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6"/>
        </w:rPr>
      </w:pPr>
    </w:p>
    <w:p>
      <w:pPr>
        <w:spacing w:line="364" w:lineRule="auto" w:before="38"/>
        <w:ind w:left="3394" w:right="731" w:hanging="2864"/>
        <w:jc w:val="left"/>
        <w:rPr>
          <w:rFonts w:ascii="黑体" w:eastAsia="黑体" w:hint="eastAsia"/>
          <w:sz w:val="44"/>
        </w:rPr>
      </w:pPr>
      <w:r>
        <w:rPr>
          <w:rFonts w:ascii="黑体" w:eastAsia="黑体" w:hint="eastAsia"/>
          <w:sz w:val="44"/>
        </w:rPr>
        <w:t>景顺长城新兴成长混合型证券投资基金基金合同</w:t>
      </w: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spacing w:before="9"/>
        <w:ind w:left="0"/>
        <w:rPr>
          <w:rFonts w:ascii="黑体"/>
          <w:sz w:val="48"/>
        </w:rPr>
      </w:pPr>
    </w:p>
    <w:p>
      <w:pPr>
        <w:spacing w:line="364" w:lineRule="auto" w:before="0"/>
        <w:ind w:left="1713" w:right="1273" w:firstLine="0"/>
        <w:jc w:val="center"/>
        <w:rPr>
          <w:rFonts w:ascii="黑体" w:eastAsia="黑体" w:hint="eastAsia"/>
          <w:sz w:val="32"/>
        </w:rPr>
      </w:pPr>
      <w:r>
        <w:rPr>
          <w:rFonts w:ascii="黑体" w:eastAsia="黑体" w:hint="eastAsia"/>
          <w:sz w:val="32"/>
        </w:rPr>
        <w:t>基金管理人：景顺长城基金管理有限公司基金托管人：中国工商银行股份有限公司</w:t>
      </w:r>
    </w:p>
    <w:p>
      <w:pPr>
        <w:pStyle w:val="BodyText"/>
        <w:ind w:left="0"/>
        <w:rPr>
          <w:rFonts w:ascii="黑体"/>
          <w:sz w:val="32"/>
        </w:rPr>
      </w:pPr>
    </w:p>
    <w:p>
      <w:pPr>
        <w:spacing w:before="211"/>
        <w:ind w:left="1713" w:right="1270" w:firstLine="0"/>
        <w:jc w:val="center"/>
        <w:rPr>
          <w:rFonts w:ascii="黑体" w:eastAsia="黑体" w:hint="eastAsia"/>
          <w:sz w:val="32"/>
        </w:rPr>
      </w:pPr>
      <w:r>
        <w:rPr>
          <w:rFonts w:ascii="黑体" w:eastAsia="黑体" w:hint="eastAsia"/>
          <w:sz w:val="32"/>
        </w:rPr>
        <w:t>二〇二〇年十一月</w:t>
      </w:r>
    </w:p>
    <w:p>
      <w:pPr>
        <w:spacing w:after="0"/>
        <w:jc w:val="center"/>
        <w:rPr>
          <w:rFonts w:ascii="黑体" w:eastAsia="黑体" w:hint="eastAsia"/>
          <w:sz w:val="32"/>
        </w:rPr>
        <w:sectPr>
          <w:type w:val="continuous"/>
          <w:pgSz w:w="11910" w:h="16840"/>
          <w:pgMar w:top="1580" w:bottom="280" w:left="1680" w:right="1480"/>
        </w:sectPr>
      </w:pPr>
    </w:p>
    <w:p>
      <w:pPr>
        <w:pStyle w:val="BodyText"/>
        <w:ind w:left="0"/>
        <w:rPr>
          <w:rFonts w:ascii="黑体"/>
          <w:sz w:val="20"/>
        </w:rPr>
      </w:pPr>
    </w:p>
    <w:p>
      <w:pPr>
        <w:pStyle w:val="BodyText"/>
        <w:spacing w:before="4"/>
        <w:ind w:left="0"/>
        <w:rPr>
          <w:rFonts w:ascii="黑体"/>
          <w:sz w:val="29"/>
        </w:rPr>
      </w:pPr>
    </w:p>
    <w:p>
      <w:pPr>
        <w:tabs>
          <w:tab w:pos="1240" w:val="left" w:leader="none"/>
        </w:tabs>
        <w:spacing w:before="50"/>
        <w:ind w:left="519" w:right="0" w:firstLine="0"/>
        <w:jc w:val="center"/>
        <w:rPr>
          <w:rFonts w:ascii="黑体" w:eastAsia="黑体" w:hint="eastAsia"/>
          <w:sz w:val="36"/>
        </w:rPr>
      </w:pPr>
      <w:r>
        <w:rPr>
          <w:rFonts w:ascii="黑体" w:eastAsia="黑体" w:hint="eastAsia"/>
          <w:sz w:val="36"/>
        </w:rPr>
        <w:t>目</w:t>
        <w:tab/>
        <w:t>录</w:t>
      </w:r>
    </w:p>
    <w:sdt>
      <w:sdtPr>
        <w:docPartObj>
          <w:docPartGallery w:val="Table of Contents"/>
          <w:docPartUnique/>
        </w:docPartObj>
      </w:sdtPr>
      <w:sdtEndPr/>
      <w:sdtContent>
        <w:p>
          <w:pPr>
            <w:pStyle w:val="TOC1"/>
            <w:tabs>
              <w:tab w:pos="8420" w:val="right" w:leader="dot"/>
            </w:tabs>
            <w:spacing w:before="262"/>
            <w:rPr>
              <w:rFonts w:ascii="Calibri" w:eastAsia="Calibri"/>
            </w:rPr>
          </w:pPr>
          <w:hyperlink w:history="true" w:anchor="_bookmark0">
            <w:r>
              <w:rPr/>
              <w:t>一、</w:t>
            </w:r>
            <w:r>
              <w:rPr>
                <w:spacing w:val="-3"/>
              </w:rPr>
              <w:t>前</w:t>
            </w:r>
            <w:r>
              <w:rPr/>
              <w:t>言</w:t>
            </w:r>
            <w:r>
              <w:rPr>
                <w:spacing w:val="-3"/>
              </w:rPr>
              <w:t>和</w:t>
            </w:r>
            <w:r>
              <w:rPr/>
              <w:t>释义</w:t>
              <w:tab/>
            </w:r>
            <w:r>
              <w:rPr>
                <w:rFonts w:ascii="Calibri" w:eastAsia="Calibri"/>
              </w:rPr>
              <w:t>2</w:t>
            </w:r>
          </w:hyperlink>
        </w:p>
        <w:p>
          <w:pPr>
            <w:pStyle w:val="TOC1"/>
            <w:tabs>
              <w:tab w:pos="8420" w:val="right" w:leader="dot"/>
            </w:tabs>
            <w:rPr>
              <w:rFonts w:ascii="Calibri" w:eastAsia="Calibri"/>
            </w:rPr>
          </w:pPr>
          <w:hyperlink w:history="true" w:anchor="_bookmark1">
            <w:r>
              <w:rPr/>
              <w:t>二、</w:t>
            </w:r>
            <w:r>
              <w:rPr>
                <w:spacing w:val="-3"/>
              </w:rPr>
              <w:t>景</w:t>
            </w:r>
            <w:r>
              <w:rPr/>
              <w:t>顺</w:t>
            </w:r>
            <w:r>
              <w:rPr>
                <w:spacing w:val="-3"/>
              </w:rPr>
              <w:t>长</w:t>
            </w:r>
            <w:r>
              <w:rPr/>
              <w:t>城</w:t>
            </w:r>
            <w:r>
              <w:rPr>
                <w:spacing w:val="-3"/>
              </w:rPr>
              <w:t>新</w:t>
            </w:r>
            <w:r>
              <w:rPr/>
              <w:t>兴</w:t>
            </w:r>
            <w:r>
              <w:rPr>
                <w:spacing w:val="-3"/>
              </w:rPr>
              <w:t>成</w:t>
            </w:r>
            <w:r>
              <w:rPr/>
              <w:t>长</w:t>
            </w:r>
            <w:r>
              <w:rPr>
                <w:spacing w:val="-3"/>
              </w:rPr>
              <w:t>混</w:t>
            </w:r>
            <w:r>
              <w:rPr/>
              <w:t>合型</w:t>
            </w:r>
            <w:r>
              <w:rPr>
                <w:spacing w:val="-3"/>
              </w:rPr>
              <w:t>证</w:t>
            </w:r>
            <w:r>
              <w:rPr/>
              <w:t>券</w:t>
            </w:r>
            <w:r>
              <w:rPr>
                <w:spacing w:val="-3"/>
              </w:rPr>
              <w:t>投</w:t>
            </w:r>
            <w:r>
              <w:rPr/>
              <w:t>资</w:t>
            </w:r>
            <w:r>
              <w:rPr>
                <w:spacing w:val="-3"/>
              </w:rPr>
              <w:t>基</w:t>
            </w:r>
            <w:r>
              <w:rPr/>
              <w:t>金</w:t>
            </w:r>
            <w:r>
              <w:rPr>
                <w:spacing w:val="-3"/>
              </w:rPr>
              <w:t>基</w:t>
            </w:r>
            <w:r>
              <w:rPr/>
              <w:t>本</w:t>
            </w:r>
            <w:r>
              <w:rPr>
                <w:spacing w:val="-3"/>
              </w:rPr>
              <w:t>情</w:t>
            </w:r>
            <w:r>
              <w:rPr/>
              <w:t>况</w:t>
              <w:tab/>
            </w:r>
            <w:r>
              <w:rPr>
                <w:rFonts w:ascii="Calibri" w:eastAsia="Calibri"/>
              </w:rPr>
              <w:t>7</w:t>
            </w:r>
          </w:hyperlink>
        </w:p>
        <w:p>
          <w:pPr>
            <w:pStyle w:val="TOC1"/>
            <w:tabs>
              <w:tab w:pos="8420" w:val="right" w:leader="dot"/>
            </w:tabs>
            <w:rPr>
              <w:rFonts w:ascii="Calibri" w:eastAsia="Calibri"/>
            </w:rPr>
          </w:pPr>
          <w:hyperlink w:history="true" w:anchor="_bookmark2">
            <w:r>
              <w:rPr/>
              <w:t>三、</w:t>
            </w:r>
            <w:r>
              <w:rPr>
                <w:spacing w:val="-3"/>
              </w:rPr>
              <w:t>基</w:t>
            </w:r>
            <w:r>
              <w:rPr/>
              <w:t>金</w:t>
            </w:r>
            <w:r>
              <w:rPr>
                <w:spacing w:val="-3"/>
              </w:rPr>
              <w:t>份</w:t>
            </w:r>
            <w:r>
              <w:rPr/>
              <w:t>额</w:t>
            </w:r>
            <w:r>
              <w:rPr>
                <w:spacing w:val="-3"/>
              </w:rPr>
              <w:t>的</w:t>
            </w:r>
            <w:r>
              <w:rPr/>
              <w:t>发售</w:t>
              <w:tab/>
            </w:r>
            <w:r>
              <w:rPr>
                <w:rFonts w:ascii="Calibri" w:eastAsia="Calibri"/>
              </w:rPr>
              <w:t>8</w:t>
            </w:r>
          </w:hyperlink>
        </w:p>
        <w:p>
          <w:pPr>
            <w:pStyle w:val="TOC1"/>
            <w:tabs>
              <w:tab w:pos="8420" w:val="right" w:leader="dot"/>
            </w:tabs>
            <w:rPr>
              <w:rFonts w:ascii="Calibri" w:eastAsia="Calibri"/>
            </w:rPr>
          </w:pPr>
          <w:hyperlink w:history="true" w:anchor="_bookmark3">
            <w:r>
              <w:rPr/>
              <w:t>四、</w:t>
            </w:r>
            <w:r>
              <w:rPr>
                <w:spacing w:val="-3"/>
              </w:rPr>
              <w:t>基</w:t>
            </w:r>
            <w:r>
              <w:rPr/>
              <w:t>金</w:t>
            </w:r>
            <w:r>
              <w:rPr>
                <w:spacing w:val="-3"/>
              </w:rPr>
              <w:t>备</w:t>
            </w:r>
            <w:r>
              <w:rPr/>
              <w:t>案</w:t>
              <w:tab/>
            </w:r>
            <w:r>
              <w:rPr>
                <w:rFonts w:ascii="Calibri" w:eastAsia="Calibri"/>
              </w:rPr>
              <w:t>9</w:t>
            </w:r>
          </w:hyperlink>
        </w:p>
        <w:p>
          <w:pPr>
            <w:pStyle w:val="TOC1"/>
            <w:tabs>
              <w:tab w:pos="8421" w:val="right" w:leader="dot"/>
            </w:tabs>
            <w:rPr>
              <w:rFonts w:ascii="Calibri" w:eastAsia="Calibri"/>
            </w:rPr>
          </w:pPr>
          <w:hyperlink w:history="true" w:anchor="_bookmark4">
            <w:r>
              <w:rPr/>
              <w:t>五、</w:t>
            </w:r>
            <w:r>
              <w:rPr>
                <w:spacing w:val="-3"/>
              </w:rPr>
              <w:t>基</w:t>
            </w:r>
            <w:r>
              <w:rPr/>
              <w:t>金</w:t>
            </w:r>
            <w:r>
              <w:rPr>
                <w:spacing w:val="-3"/>
              </w:rPr>
              <w:t>的</w:t>
            </w:r>
            <w:r>
              <w:rPr/>
              <w:t>申</w:t>
            </w:r>
            <w:r>
              <w:rPr>
                <w:spacing w:val="-3"/>
              </w:rPr>
              <w:t>购</w:t>
            </w:r>
            <w:r>
              <w:rPr/>
              <w:t>、</w:t>
            </w:r>
            <w:r>
              <w:rPr>
                <w:spacing w:val="-3"/>
              </w:rPr>
              <w:t>赎</w:t>
            </w:r>
            <w:r>
              <w:rPr/>
              <w:t>回</w:t>
            </w:r>
            <w:r>
              <w:rPr>
                <w:spacing w:val="-3"/>
              </w:rPr>
              <w:t>及</w:t>
            </w:r>
            <w:r>
              <w:rPr/>
              <w:t>其他</w:t>
            </w:r>
            <w:r>
              <w:rPr>
                <w:spacing w:val="-3"/>
              </w:rPr>
              <w:t>注</w:t>
            </w:r>
            <w:r>
              <w:rPr/>
              <w:t>册</w:t>
            </w:r>
            <w:r>
              <w:rPr>
                <w:spacing w:val="-3"/>
              </w:rPr>
              <w:t>登</w:t>
            </w:r>
            <w:r>
              <w:rPr/>
              <w:t>记</w:t>
            </w:r>
            <w:r>
              <w:rPr>
                <w:spacing w:val="-3"/>
              </w:rPr>
              <w:t>业</w:t>
            </w:r>
            <w:r>
              <w:rPr/>
              <w:t>务</w:t>
              <w:tab/>
            </w:r>
            <w:r>
              <w:rPr>
                <w:rFonts w:ascii="Calibri" w:eastAsia="Calibri"/>
              </w:rPr>
              <w:t>10</w:t>
            </w:r>
          </w:hyperlink>
        </w:p>
        <w:p>
          <w:pPr>
            <w:pStyle w:val="TOC1"/>
            <w:tabs>
              <w:tab w:pos="8421" w:val="right" w:leader="dot"/>
            </w:tabs>
            <w:rPr>
              <w:rFonts w:ascii="Calibri" w:eastAsia="Calibri"/>
            </w:rPr>
          </w:pPr>
          <w:hyperlink w:history="true" w:anchor="_bookmark5">
            <w:r>
              <w:rPr/>
              <w:t>六、</w:t>
            </w:r>
            <w:r>
              <w:rPr>
                <w:spacing w:val="-3"/>
              </w:rPr>
              <w:t>基</w:t>
            </w:r>
            <w:r>
              <w:rPr/>
              <w:t>金</w:t>
            </w:r>
            <w:r>
              <w:rPr>
                <w:spacing w:val="-3"/>
              </w:rPr>
              <w:t>合</w:t>
            </w:r>
            <w:r>
              <w:rPr/>
              <w:t>同</w:t>
            </w:r>
            <w:r>
              <w:rPr>
                <w:spacing w:val="-3"/>
              </w:rPr>
              <w:t>当</w:t>
            </w:r>
            <w:r>
              <w:rPr/>
              <w:t>事</w:t>
            </w:r>
            <w:r>
              <w:rPr>
                <w:spacing w:val="-3"/>
              </w:rPr>
              <w:t>人</w:t>
            </w:r>
            <w:r>
              <w:rPr/>
              <w:t>及</w:t>
            </w:r>
            <w:r>
              <w:rPr>
                <w:spacing w:val="-3"/>
              </w:rPr>
              <w:t>权</w:t>
            </w:r>
            <w:r>
              <w:rPr/>
              <w:t>利义务</w:t>
              <w:tab/>
            </w:r>
            <w:r>
              <w:rPr>
                <w:rFonts w:ascii="Calibri" w:eastAsia="Calibri"/>
              </w:rPr>
              <w:t>16</w:t>
            </w:r>
          </w:hyperlink>
        </w:p>
        <w:p>
          <w:pPr>
            <w:pStyle w:val="TOC1"/>
            <w:tabs>
              <w:tab w:pos="8421" w:val="right" w:leader="dot"/>
            </w:tabs>
            <w:rPr>
              <w:rFonts w:ascii="Calibri" w:eastAsia="Calibri"/>
            </w:rPr>
          </w:pPr>
          <w:hyperlink w:history="true" w:anchor="_bookmark6">
            <w:r>
              <w:rPr/>
              <w:t>七、</w:t>
            </w:r>
            <w:r>
              <w:rPr>
                <w:spacing w:val="-3"/>
              </w:rPr>
              <w:t>基</w:t>
            </w:r>
            <w:r>
              <w:rPr/>
              <w:t>金</w:t>
            </w:r>
            <w:r>
              <w:rPr>
                <w:spacing w:val="-3"/>
              </w:rPr>
              <w:t>份</w:t>
            </w:r>
            <w:r>
              <w:rPr/>
              <w:t>额</w:t>
            </w:r>
            <w:r>
              <w:rPr>
                <w:spacing w:val="-3"/>
              </w:rPr>
              <w:t>持</w:t>
            </w:r>
            <w:r>
              <w:rPr/>
              <w:t>有</w:t>
            </w:r>
            <w:r>
              <w:rPr>
                <w:spacing w:val="-3"/>
              </w:rPr>
              <w:t>人</w:t>
            </w:r>
            <w:r>
              <w:rPr/>
              <w:t>大会</w:t>
              <w:tab/>
            </w:r>
            <w:r>
              <w:rPr>
                <w:rFonts w:ascii="Calibri" w:eastAsia="Calibri"/>
              </w:rPr>
              <w:t>21</w:t>
            </w:r>
          </w:hyperlink>
        </w:p>
        <w:p>
          <w:pPr>
            <w:pStyle w:val="TOC1"/>
            <w:tabs>
              <w:tab w:pos="8421" w:val="right" w:leader="dot"/>
            </w:tabs>
            <w:rPr>
              <w:rFonts w:ascii="Calibri" w:eastAsia="Calibri"/>
            </w:rPr>
          </w:pPr>
          <w:hyperlink w:history="true" w:anchor="_bookmark7">
            <w:r>
              <w:rPr/>
              <w:t>八、</w:t>
            </w:r>
            <w:r>
              <w:rPr>
                <w:spacing w:val="-3"/>
              </w:rPr>
              <w:t>基</w:t>
            </w:r>
            <w:r>
              <w:rPr/>
              <w:t>金</w:t>
            </w:r>
            <w:r>
              <w:rPr>
                <w:spacing w:val="-3"/>
              </w:rPr>
              <w:t>管</w:t>
            </w:r>
            <w:r>
              <w:rPr/>
              <w:t>理</w:t>
            </w:r>
            <w:r>
              <w:rPr>
                <w:spacing w:val="-3"/>
              </w:rPr>
              <w:t>人</w:t>
            </w:r>
            <w:r>
              <w:rPr/>
              <w:t>、</w:t>
            </w:r>
            <w:r>
              <w:rPr>
                <w:spacing w:val="-3"/>
              </w:rPr>
              <w:t>基</w:t>
            </w:r>
            <w:r>
              <w:rPr/>
              <w:t>金</w:t>
            </w:r>
            <w:r>
              <w:rPr>
                <w:spacing w:val="-3"/>
              </w:rPr>
              <w:t>托</w:t>
            </w:r>
            <w:r>
              <w:rPr/>
              <w:t>管人</w:t>
            </w:r>
            <w:r>
              <w:rPr>
                <w:spacing w:val="-3"/>
              </w:rPr>
              <w:t>的</w:t>
            </w:r>
            <w:r>
              <w:rPr/>
              <w:t>更</w:t>
            </w:r>
            <w:r>
              <w:rPr>
                <w:spacing w:val="-3"/>
              </w:rPr>
              <w:t>换</w:t>
            </w:r>
            <w:r>
              <w:rPr/>
              <w:t>条</w:t>
            </w:r>
            <w:r>
              <w:rPr>
                <w:spacing w:val="-3"/>
              </w:rPr>
              <w:t>件</w:t>
            </w:r>
            <w:r>
              <w:rPr/>
              <w:t>和</w:t>
            </w:r>
            <w:r>
              <w:rPr>
                <w:spacing w:val="-3"/>
              </w:rPr>
              <w:t>程</w:t>
            </w:r>
            <w:r>
              <w:rPr/>
              <w:t>序</w:t>
              <w:tab/>
            </w:r>
            <w:r>
              <w:rPr>
                <w:rFonts w:ascii="Calibri" w:eastAsia="Calibri"/>
              </w:rPr>
              <w:t>27</w:t>
            </w:r>
          </w:hyperlink>
        </w:p>
        <w:p>
          <w:pPr>
            <w:pStyle w:val="TOC1"/>
            <w:tabs>
              <w:tab w:pos="8421" w:val="right" w:leader="dot"/>
            </w:tabs>
            <w:rPr>
              <w:rFonts w:ascii="Calibri" w:eastAsia="Calibri"/>
            </w:rPr>
          </w:pPr>
          <w:hyperlink w:history="true" w:anchor="_bookmark8">
            <w:r>
              <w:rPr/>
              <w:t>九、</w:t>
            </w:r>
            <w:r>
              <w:rPr>
                <w:spacing w:val="-3"/>
              </w:rPr>
              <w:t>基</w:t>
            </w:r>
            <w:r>
              <w:rPr/>
              <w:t>金</w:t>
            </w:r>
            <w:r>
              <w:rPr>
                <w:spacing w:val="-3"/>
              </w:rPr>
              <w:t>的</w:t>
            </w:r>
            <w:r>
              <w:rPr/>
              <w:t>托管</w:t>
              <w:tab/>
            </w:r>
            <w:r>
              <w:rPr>
                <w:rFonts w:ascii="Calibri" w:eastAsia="Calibri"/>
              </w:rPr>
              <w:t>28</w:t>
            </w:r>
          </w:hyperlink>
        </w:p>
        <w:p>
          <w:pPr>
            <w:pStyle w:val="TOC1"/>
            <w:tabs>
              <w:tab w:pos="8421" w:val="right" w:leader="dot"/>
            </w:tabs>
            <w:rPr>
              <w:rFonts w:ascii="Calibri" w:eastAsia="Calibri"/>
            </w:rPr>
          </w:pPr>
          <w:hyperlink w:history="true" w:anchor="_bookmark9">
            <w:r>
              <w:rPr/>
              <w:t>十、</w:t>
            </w:r>
            <w:r>
              <w:rPr>
                <w:spacing w:val="-3"/>
              </w:rPr>
              <w:t>基</w:t>
            </w:r>
            <w:r>
              <w:rPr/>
              <w:t>金</w:t>
            </w:r>
            <w:r>
              <w:rPr>
                <w:spacing w:val="-3"/>
              </w:rPr>
              <w:t>份</w:t>
            </w:r>
            <w:r>
              <w:rPr/>
              <w:t>额</w:t>
            </w:r>
            <w:r>
              <w:rPr>
                <w:spacing w:val="-3"/>
              </w:rPr>
              <w:t>的</w:t>
            </w:r>
            <w:r>
              <w:rPr/>
              <w:t>注</w:t>
            </w:r>
            <w:r>
              <w:rPr>
                <w:spacing w:val="-3"/>
              </w:rPr>
              <w:t>册</w:t>
            </w:r>
            <w:r>
              <w:rPr/>
              <w:t>登记</w:t>
              <w:tab/>
            </w:r>
            <w:r>
              <w:rPr>
                <w:rFonts w:ascii="Calibri" w:eastAsia="Calibri"/>
              </w:rPr>
              <w:t>28</w:t>
            </w:r>
          </w:hyperlink>
        </w:p>
        <w:p>
          <w:pPr>
            <w:pStyle w:val="TOC1"/>
            <w:tabs>
              <w:tab w:pos="8421" w:val="right" w:leader="dot"/>
            </w:tabs>
            <w:rPr>
              <w:rFonts w:ascii="Calibri" w:eastAsia="Calibri"/>
            </w:rPr>
          </w:pPr>
          <w:hyperlink w:history="true" w:anchor="_bookmark10">
            <w:r>
              <w:rPr/>
              <w:t>十一</w:t>
            </w:r>
            <w:r>
              <w:rPr>
                <w:spacing w:val="-3"/>
              </w:rPr>
              <w:t>、</w:t>
            </w:r>
            <w:r>
              <w:rPr/>
              <w:t>基</w:t>
            </w:r>
            <w:r>
              <w:rPr>
                <w:spacing w:val="-3"/>
              </w:rPr>
              <w:t>金</w:t>
            </w:r>
            <w:r>
              <w:rPr/>
              <w:t>的</w:t>
            </w:r>
            <w:r>
              <w:rPr>
                <w:spacing w:val="-3"/>
              </w:rPr>
              <w:t>投</w:t>
            </w:r>
            <w:r>
              <w:rPr/>
              <w:t>资</w:t>
              <w:tab/>
            </w:r>
            <w:r>
              <w:rPr>
                <w:rFonts w:ascii="Calibri" w:eastAsia="Calibri"/>
              </w:rPr>
              <w:t>29</w:t>
            </w:r>
          </w:hyperlink>
        </w:p>
        <w:p>
          <w:pPr>
            <w:pStyle w:val="TOC1"/>
            <w:tabs>
              <w:tab w:pos="8421" w:val="right" w:leader="dot"/>
            </w:tabs>
            <w:rPr>
              <w:rFonts w:ascii="Calibri" w:eastAsia="Calibri"/>
            </w:rPr>
          </w:pPr>
          <w:hyperlink w:history="true" w:anchor="_bookmark11">
            <w:r>
              <w:rPr/>
              <w:t>十二</w:t>
            </w:r>
            <w:r>
              <w:rPr>
                <w:spacing w:val="-3"/>
              </w:rPr>
              <w:t>、</w:t>
            </w:r>
            <w:r>
              <w:rPr/>
              <w:t>基</w:t>
            </w:r>
            <w:r>
              <w:rPr>
                <w:spacing w:val="-3"/>
              </w:rPr>
              <w:t>金</w:t>
            </w:r>
            <w:r>
              <w:rPr/>
              <w:t>的</w:t>
            </w:r>
            <w:r>
              <w:rPr>
                <w:spacing w:val="-3"/>
              </w:rPr>
              <w:t>财</w:t>
            </w:r>
            <w:r>
              <w:rPr/>
              <w:t>产</w:t>
              <w:tab/>
            </w:r>
            <w:r>
              <w:rPr>
                <w:rFonts w:ascii="Calibri" w:eastAsia="Calibri"/>
              </w:rPr>
              <w:t>37</w:t>
            </w:r>
          </w:hyperlink>
        </w:p>
        <w:p>
          <w:pPr>
            <w:pStyle w:val="TOC1"/>
            <w:tabs>
              <w:tab w:pos="8421" w:val="right" w:leader="dot"/>
            </w:tabs>
            <w:rPr>
              <w:rFonts w:ascii="Calibri" w:eastAsia="Calibri"/>
            </w:rPr>
          </w:pPr>
          <w:hyperlink w:history="true" w:anchor="_bookmark12">
            <w:r>
              <w:rPr/>
              <w:t>十三</w:t>
            </w:r>
            <w:r>
              <w:rPr>
                <w:spacing w:val="-3"/>
              </w:rPr>
              <w:t>、</w:t>
            </w:r>
            <w:r>
              <w:rPr/>
              <w:t>基</w:t>
            </w:r>
            <w:r>
              <w:rPr>
                <w:spacing w:val="-3"/>
              </w:rPr>
              <w:t>金</w:t>
            </w:r>
            <w:r>
              <w:rPr/>
              <w:t>资</w:t>
            </w:r>
            <w:r>
              <w:rPr>
                <w:spacing w:val="-3"/>
              </w:rPr>
              <w:t>产</w:t>
            </w:r>
            <w:r>
              <w:rPr/>
              <w:t>估值</w:t>
              <w:tab/>
            </w:r>
            <w:r>
              <w:rPr>
                <w:rFonts w:ascii="Calibri" w:eastAsia="Calibri"/>
              </w:rPr>
              <w:t>38</w:t>
            </w:r>
          </w:hyperlink>
        </w:p>
        <w:p>
          <w:pPr>
            <w:pStyle w:val="TOC1"/>
            <w:tabs>
              <w:tab w:pos="8421" w:val="right" w:leader="dot"/>
            </w:tabs>
            <w:rPr>
              <w:rFonts w:ascii="Calibri" w:eastAsia="Calibri"/>
            </w:rPr>
          </w:pPr>
          <w:hyperlink w:history="true" w:anchor="_bookmark13">
            <w:r>
              <w:rPr/>
              <w:t>十四</w:t>
            </w:r>
            <w:r>
              <w:rPr>
                <w:spacing w:val="-3"/>
              </w:rPr>
              <w:t>、</w:t>
            </w:r>
            <w:r>
              <w:rPr/>
              <w:t>基</w:t>
            </w:r>
            <w:r>
              <w:rPr>
                <w:spacing w:val="-3"/>
              </w:rPr>
              <w:t>金</w:t>
            </w:r>
            <w:r>
              <w:rPr/>
              <w:t>费</w:t>
            </w:r>
            <w:r>
              <w:rPr>
                <w:spacing w:val="-3"/>
              </w:rPr>
              <w:t>用</w:t>
            </w:r>
            <w:r>
              <w:rPr/>
              <w:t>与</w:t>
            </w:r>
            <w:r>
              <w:rPr>
                <w:spacing w:val="-3"/>
              </w:rPr>
              <w:t>税</w:t>
            </w:r>
            <w:r>
              <w:rPr/>
              <w:t>收</w:t>
              <w:tab/>
            </w:r>
            <w:r>
              <w:rPr>
                <w:rFonts w:ascii="Calibri" w:eastAsia="Calibri"/>
              </w:rPr>
              <w:t>42</w:t>
            </w:r>
          </w:hyperlink>
        </w:p>
        <w:p>
          <w:pPr>
            <w:pStyle w:val="TOC1"/>
            <w:tabs>
              <w:tab w:pos="8421" w:val="right" w:leader="dot"/>
            </w:tabs>
            <w:rPr>
              <w:rFonts w:ascii="Calibri" w:eastAsia="Calibri"/>
            </w:rPr>
          </w:pPr>
          <w:hyperlink w:history="true" w:anchor="_bookmark14">
            <w:r>
              <w:rPr/>
              <w:t>十五</w:t>
            </w:r>
            <w:r>
              <w:rPr>
                <w:spacing w:val="-3"/>
              </w:rPr>
              <w:t>、</w:t>
            </w:r>
            <w:r>
              <w:rPr/>
              <w:t>基</w:t>
            </w:r>
            <w:r>
              <w:rPr>
                <w:spacing w:val="-3"/>
              </w:rPr>
              <w:t>金</w:t>
            </w:r>
            <w:r>
              <w:rPr/>
              <w:t>的</w:t>
            </w:r>
            <w:r>
              <w:rPr>
                <w:spacing w:val="-3"/>
              </w:rPr>
              <w:t>收</w:t>
            </w:r>
            <w:r>
              <w:rPr/>
              <w:t>益</w:t>
            </w:r>
            <w:r>
              <w:rPr>
                <w:spacing w:val="-3"/>
              </w:rPr>
              <w:t>与</w:t>
            </w:r>
            <w:r>
              <w:rPr/>
              <w:t>分配</w:t>
              <w:tab/>
            </w:r>
            <w:r>
              <w:rPr>
                <w:rFonts w:ascii="Calibri" w:eastAsia="Calibri"/>
              </w:rPr>
              <w:t>43</w:t>
            </w:r>
          </w:hyperlink>
        </w:p>
        <w:p>
          <w:pPr>
            <w:pStyle w:val="TOC1"/>
            <w:tabs>
              <w:tab w:pos="8421" w:val="right" w:leader="dot"/>
            </w:tabs>
            <w:rPr>
              <w:rFonts w:ascii="Calibri" w:eastAsia="Calibri"/>
            </w:rPr>
          </w:pPr>
          <w:hyperlink w:history="true" w:anchor="_bookmark15">
            <w:r>
              <w:rPr/>
              <w:t>十六</w:t>
            </w:r>
            <w:r>
              <w:rPr>
                <w:spacing w:val="-3"/>
              </w:rPr>
              <w:t>、</w:t>
            </w:r>
            <w:r>
              <w:rPr/>
              <w:t>基</w:t>
            </w:r>
            <w:r>
              <w:rPr>
                <w:spacing w:val="-3"/>
              </w:rPr>
              <w:t>金</w:t>
            </w:r>
            <w:r>
              <w:rPr/>
              <w:t>的</w:t>
            </w:r>
            <w:r>
              <w:rPr>
                <w:spacing w:val="-3"/>
              </w:rPr>
              <w:t>会</w:t>
            </w:r>
            <w:r>
              <w:rPr/>
              <w:t>计</w:t>
            </w:r>
            <w:r>
              <w:rPr>
                <w:spacing w:val="-3"/>
              </w:rPr>
              <w:t>与</w:t>
            </w:r>
            <w:r>
              <w:rPr/>
              <w:t>审计</w:t>
              <w:tab/>
            </w:r>
            <w:r>
              <w:rPr>
                <w:rFonts w:ascii="Calibri" w:eastAsia="Calibri"/>
              </w:rPr>
              <w:t>44</w:t>
            </w:r>
          </w:hyperlink>
        </w:p>
        <w:p>
          <w:pPr>
            <w:pStyle w:val="TOC1"/>
            <w:tabs>
              <w:tab w:pos="8421" w:val="right" w:leader="dot"/>
            </w:tabs>
            <w:rPr>
              <w:rFonts w:ascii="Calibri" w:eastAsia="Calibri"/>
            </w:rPr>
          </w:pPr>
          <w:hyperlink w:history="true" w:anchor="_bookmark16">
            <w:r>
              <w:rPr/>
              <w:t>十七</w:t>
            </w:r>
            <w:r>
              <w:rPr>
                <w:spacing w:val="-3"/>
              </w:rPr>
              <w:t>、</w:t>
            </w:r>
            <w:r>
              <w:rPr/>
              <w:t>基</w:t>
            </w:r>
            <w:r>
              <w:rPr>
                <w:spacing w:val="-3"/>
              </w:rPr>
              <w:t>金</w:t>
            </w:r>
            <w:r>
              <w:rPr/>
              <w:t>的</w:t>
            </w:r>
            <w:r>
              <w:rPr>
                <w:spacing w:val="-3"/>
              </w:rPr>
              <w:t>信</w:t>
            </w:r>
            <w:r>
              <w:rPr/>
              <w:t>息</w:t>
            </w:r>
            <w:r>
              <w:rPr>
                <w:spacing w:val="-3"/>
              </w:rPr>
              <w:t>披</w:t>
            </w:r>
            <w:r>
              <w:rPr/>
              <w:t>露</w:t>
              <w:tab/>
            </w:r>
            <w:r>
              <w:rPr>
                <w:rFonts w:ascii="Calibri" w:eastAsia="Calibri"/>
              </w:rPr>
              <w:t>45</w:t>
            </w:r>
          </w:hyperlink>
        </w:p>
        <w:p>
          <w:pPr>
            <w:pStyle w:val="TOC1"/>
            <w:tabs>
              <w:tab w:pos="8421" w:val="right" w:leader="dot"/>
            </w:tabs>
            <w:rPr>
              <w:rFonts w:ascii="Calibri" w:eastAsia="Calibri"/>
            </w:rPr>
          </w:pPr>
          <w:hyperlink w:history="true" w:anchor="_bookmark17">
            <w:r>
              <w:rPr/>
              <w:t>十八</w:t>
            </w:r>
            <w:r>
              <w:rPr>
                <w:spacing w:val="-3"/>
              </w:rPr>
              <w:t>、</w:t>
            </w:r>
            <w:r>
              <w:rPr/>
              <w:t>基</w:t>
            </w:r>
            <w:r>
              <w:rPr>
                <w:spacing w:val="-3"/>
              </w:rPr>
              <w:t>金</w:t>
            </w:r>
            <w:r>
              <w:rPr/>
              <w:t>合</w:t>
            </w:r>
            <w:r>
              <w:rPr>
                <w:spacing w:val="-3"/>
              </w:rPr>
              <w:t>同</w:t>
            </w:r>
            <w:r>
              <w:rPr/>
              <w:t>的</w:t>
            </w:r>
            <w:r>
              <w:rPr>
                <w:spacing w:val="-3"/>
              </w:rPr>
              <w:t>变</w:t>
            </w:r>
            <w:r>
              <w:rPr/>
              <w:t>更</w:t>
            </w:r>
            <w:r>
              <w:rPr>
                <w:spacing w:val="-3"/>
              </w:rPr>
              <w:t>、</w:t>
            </w:r>
            <w:r>
              <w:rPr/>
              <w:t>终止</w:t>
            </w:r>
            <w:r>
              <w:rPr>
                <w:spacing w:val="-3"/>
              </w:rPr>
              <w:t>与</w:t>
            </w:r>
            <w:r>
              <w:rPr/>
              <w:t>基</w:t>
            </w:r>
            <w:r>
              <w:rPr>
                <w:spacing w:val="-3"/>
              </w:rPr>
              <w:t>金</w:t>
            </w:r>
            <w:r>
              <w:rPr/>
              <w:t>财</w:t>
            </w:r>
            <w:r>
              <w:rPr>
                <w:spacing w:val="-3"/>
              </w:rPr>
              <w:t>产</w:t>
            </w:r>
            <w:r>
              <w:rPr/>
              <w:t>的</w:t>
            </w:r>
            <w:r>
              <w:rPr>
                <w:spacing w:val="-3"/>
              </w:rPr>
              <w:t>清</w:t>
            </w:r>
            <w:r>
              <w:rPr/>
              <w:t>算</w:t>
              <w:tab/>
            </w:r>
            <w:r>
              <w:rPr>
                <w:rFonts w:ascii="Calibri" w:eastAsia="Calibri"/>
              </w:rPr>
              <w:t>50</w:t>
            </w:r>
          </w:hyperlink>
        </w:p>
        <w:p>
          <w:pPr>
            <w:pStyle w:val="TOC1"/>
            <w:tabs>
              <w:tab w:pos="8421" w:val="right" w:leader="dot"/>
            </w:tabs>
            <w:rPr>
              <w:rFonts w:ascii="Calibri" w:eastAsia="Calibri"/>
            </w:rPr>
          </w:pPr>
          <w:hyperlink w:history="true" w:anchor="_bookmark18">
            <w:r>
              <w:rPr/>
              <w:t>十九</w:t>
            </w:r>
            <w:r>
              <w:rPr>
                <w:spacing w:val="-3"/>
              </w:rPr>
              <w:t>、</w:t>
            </w:r>
            <w:r>
              <w:rPr/>
              <w:t>违</w:t>
            </w:r>
            <w:r>
              <w:rPr>
                <w:spacing w:val="-3"/>
              </w:rPr>
              <w:t>约</w:t>
            </w:r>
            <w:r>
              <w:rPr/>
              <w:t>责任</w:t>
              <w:tab/>
            </w:r>
            <w:r>
              <w:rPr>
                <w:rFonts w:ascii="Calibri" w:eastAsia="Calibri"/>
              </w:rPr>
              <w:t>52</w:t>
            </w:r>
          </w:hyperlink>
        </w:p>
        <w:p>
          <w:pPr>
            <w:pStyle w:val="TOC1"/>
            <w:tabs>
              <w:tab w:pos="8421" w:val="right" w:leader="dot"/>
            </w:tabs>
            <w:rPr>
              <w:rFonts w:ascii="Calibri" w:eastAsia="Calibri"/>
            </w:rPr>
          </w:pPr>
          <w:hyperlink w:history="true" w:anchor="_bookmark19">
            <w:r>
              <w:rPr/>
              <w:t>二十</w:t>
            </w:r>
            <w:r>
              <w:rPr>
                <w:spacing w:val="-3"/>
              </w:rPr>
              <w:t>、</w:t>
            </w:r>
            <w:r>
              <w:rPr/>
              <w:t>争</w:t>
            </w:r>
            <w:r>
              <w:rPr>
                <w:spacing w:val="-3"/>
              </w:rPr>
              <w:t>议</w:t>
            </w:r>
            <w:r>
              <w:rPr/>
              <w:t>的</w:t>
            </w:r>
            <w:r>
              <w:rPr>
                <w:spacing w:val="-3"/>
              </w:rPr>
              <w:t>处</w:t>
            </w:r>
            <w:r>
              <w:rPr/>
              <w:t>理</w:t>
            </w:r>
            <w:r>
              <w:rPr>
                <w:spacing w:val="-3"/>
              </w:rPr>
              <w:t>和</w:t>
            </w:r>
            <w:r>
              <w:rPr/>
              <w:t>适</w:t>
            </w:r>
            <w:r>
              <w:rPr>
                <w:spacing w:val="-3"/>
              </w:rPr>
              <w:t>用</w:t>
            </w:r>
            <w:r>
              <w:rPr/>
              <w:t>的法律</w:t>
              <w:tab/>
            </w:r>
            <w:r>
              <w:rPr>
                <w:rFonts w:ascii="Calibri" w:eastAsia="Calibri"/>
              </w:rPr>
              <w:t>52</w:t>
            </w:r>
          </w:hyperlink>
        </w:p>
        <w:p>
          <w:pPr>
            <w:pStyle w:val="TOC1"/>
            <w:tabs>
              <w:tab w:pos="8421" w:val="right" w:leader="dot"/>
            </w:tabs>
            <w:rPr>
              <w:rFonts w:ascii="Calibri" w:eastAsia="Calibri"/>
            </w:rPr>
          </w:pPr>
          <w:hyperlink w:history="true" w:anchor="_bookmark20">
            <w:r>
              <w:rPr/>
              <w:t>二十</w:t>
            </w:r>
            <w:r>
              <w:rPr>
                <w:spacing w:val="-3"/>
              </w:rPr>
              <w:t>一</w:t>
            </w:r>
            <w:r>
              <w:rPr/>
              <w:t>、</w:t>
            </w:r>
            <w:r>
              <w:rPr>
                <w:spacing w:val="-3"/>
              </w:rPr>
              <w:t>基</w:t>
            </w:r>
            <w:r>
              <w:rPr/>
              <w:t>金</w:t>
            </w:r>
            <w:r>
              <w:rPr>
                <w:spacing w:val="-3"/>
              </w:rPr>
              <w:t>合</w:t>
            </w:r>
            <w:r>
              <w:rPr/>
              <w:t>同</w:t>
            </w:r>
            <w:r>
              <w:rPr>
                <w:spacing w:val="-3"/>
              </w:rPr>
              <w:t>的</w:t>
            </w:r>
            <w:r>
              <w:rPr/>
              <w:t>效力</w:t>
              <w:tab/>
            </w:r>
            <w:r>
              <w:rPr>
                <w:rFonts w:ascii="Calibri" w:eastAsia="Calibri"/>
              </w:rPr>
              <w:t>53</w:t>
            </w:r>
          </w:hyperlink>
        </w:p>
        <w:p>
          <w:pPr>
            <w:pStyle w:val="TOC1"/>
            <w:tabs>
              <w:tab w:pos="8421" w:val="right" w:leader="dot"/>
            </w:tabs>
            <w:rPr>
              <w:rFonts w:ascii="Calibri" w:eastAsia="Calibri"/>
            </w:rPr>
          </w:pPr>
          <w:hyperlink w:history="true" w:anchor="_bookmark21">
            <w:r>
              <w:rPr/>
              <w:t>二十</w:t>
            </w:r>
            <w:r>
              <w:rPr>
                <w:spacing w:val="-3"/>
              </w:rPr>
              <w:t>二</w:t>
            </w:r>
            <w:r>
              <w:rPr/>
              <w:t>、</w:t>
            </w:r>
            <w:r>
              <w:rPr>
                <w:spacing w:val="-3"/>
              </w:rPr>
              <w:t>基</w:t>
            </w:r>
            <w:r>
              <w:rPr/>
              <w:t>金</w:t>
            </w:r>
            <w:r>
              <w:rPr>
                <w:spacing w:val="-3"/>
              </w:rPr>
              <w:t>合</w:t>
            </w:r>
            <w:r>
              <w:rPr/>
              <w:t>同</w:t>
            </w:r>
            <w:r>
              <w:rPr>
                <w:spacing w:val="-3"/>
              </w:rPr>
              <w:t>摘</w:t>
            </w:r>
            <w:r>
              <w:rPr/>
              <w:t>要</w:t>
              <w:tab/>
            </w:r>
            <w:r>
              <w:rPr>
                <w:rFonts w:ascii="Calibri" w:eastAsia="Calibri"/>
              </w:rPr>
              <w:t>53</w:t>
            </w:r>
          </w:hyperlink>
        </w:p>
        <w:p>
          <w:pPr>
            <w:pStyle w:val="TOC1"/>
            <w:tabs>
              <w:tab w:pos="8421" w:val="right" w:leader="dot"/>
            </w:tabs>
            <w:rPr>
              <w:rFonts w:ascii="Calibri" w:eastAsia="Calibri"/>
            </w:rPr>
          </w:pPr>
          <w:hyperlink w:history="true" w:anchor="_bookmark22">
            <w:r>
              <w:rPr/>
              <w:t>二十</w:t>
            </w:r>
            <w:r>
              <w:rPr>
                <w:spacing w:val="-3"/>
              </w:rPr>
              <w:t>三</w:t>
            </w:r>
            <w:r>
              <w:rPr/>
              <w:t>、</w:t>
            </w:r>
            <w:r>
              <w:rPr>
                <w:spacing w:val="-3"/>
              </w:rPr>
              <w:t>其</w:t>
            </w:r>
            <w:r>
              <w:rPr/>
              <w:t>他</w:t>
            </w:r>
            <w:r>
              <w:rPr>
                <w:spacing w:val="-3"/>
              </w:rPr>
              <w:t>事</w:t>
            </w:r>
            <w:r>
              <w:rPr/>
              <w:t>项</w:t>
              <w:tab/>
            </w:r>
            <w:r>
              <w:rPr>
                <w:rFonts w:ascii="Calibri" w:eastAsia="Calibri"/>
              </w:rPr>
              <w:t>68</w:t>
            </w:r>
          </w:hyperlink>
        </w:p>
      </w:sdtContent>
    </w:sdt>
    <w:p>
      <w:pPr>
        <w:pStyle w:val="BodyText"/>
        <w:ind w:left="0"/>
        <w:rPr>
          <w:rFonts w:ascii="Calibri"/>
          <w:sz w:val="24"/>
        </w:rPr>
      </w:pPr>
    </w:p>
    <w:p>
      <w:pPr>
        <w:pStyle w:val="BodyText"/>
        <w:ind w:left="0"/>
        <w:rPr>
          <w:rFonts w:ascii="Calibri"/>
          <w:sz w:val="24"/>
        </w:rPr>
      </w:pPr>
    </w:p>
    <w:p>
      <w:pPr>
        <w:pStyle w:val="BodyText"/>
        <w:ind w:left="0"/>
        <w:rPr>
          <w:rFonts w:ascii="Calibri"/>
          <w:sz w:val="24"/>
        </w:rPr>
      </w:pPr>
    </w:p>
    <w:p>
      <w:pPr>
        <w:pStyle w:val="BodyText"/>
        <w:ind w:left="0"/>
        <w:rPr>
          <w:rFonts w:ascii="Calibri"/>
          <w:sz w:val="24"/>
        </w:rPr>
      </w:pPr>
    </w:p>
    <w:p>
      <w:pPr>
        <w:pStyle w:val="BodyText"/>
        <w:ind w:left="0"/>
        <w:rPr>
          <w:rFonts w:ascii="Calibri"/>
          <w:sz w:val="24"/>
        </w:rPr>
      </w:pPr>
    </w:p>
    <w:p>
      <w:pPr>
        <w:pStyle w:val="BodyText"/>
        <w:ind w:left="0"/>
        <w:rPr>
          <w:rFonts w:ascii="Calibri"/>
          <w:sz w:val="24"/>
        </w:rPr>
      </w:pPr>
    </w:p>
    <w:p>
      <w:pPr>
        <w:pStyle w:val="BodyText"/>
        <w:ind w:left="0"/>
        <w:rPr>
          <w:rFonts w:ascii="Calibri"/>
          <w:sz w:val="24"/>
        </w:rPr>
      </w:pPr>
    </w:p>
    <w:p>
      <w:pPr>
        <w:pStyle w:val="BodyText"/>
        <w:spacing w:before="5"/>
        <w:ind w:left="0"/>
        <w:rPr>
          <w:rFonts w:ascii="Calibri"/>
        </w:rPr>
      </w:pPr>
    </w:p>
    <w:p>
      <w:pPr>
        <w:pStyle w:val="Heading1"/>
        <w:ind w:left="1674"/>
      </w:pPr>
      <w:bookmarkStart w:name="_bookmark0" w:id="1"/>
      <w:bookmarkEnd w:id="1"/>
      <w:r>
        <w:rPr/>
      </w:r>
      <w:r>
        <w:rPr/>
        <w:t>一、前言和释义</w:t>
      </w:r>
    </w:p>
    <w:p>
      <w:pPr>
        <w:pStyle w:val="BodyText"/>
        <w:spacing w:before="10"/>
        <w:ind w:left="0"/>
        <w:rPr>
          <w:rFonts w:ascii="黑体"/>
          <w:sz w:val="27"/>
        </w:rPr>
      </w:pPr>
    </w:p>
    <w:p>
      <w:pPr>
        <w:pStyle w:val="BodyText"/>
        <w:ind w:left="540"/>
      </w:pPr>
      <w:r>
        <w:rPr/>
        <w:t>一、前言</w:t>
      </w:r>
    </w:p>
    <w:p>
      <w:pPr>
        <w:pStyle w:val="BodyText"/>
        <w:spacing w:line="364" w:lineRule="auto" w:before="139"/>
        <w:ind w:right="311" w:firstLine="419"/>
        <w:jc w:val="both"/>
      </w:pPr>
      <w:r>
        <w:rPr>
          <w:spacing w:val="-9"/>
        </w:rPr>
        <w:t>为保护基金投资者合法权益，明确《基金合同》当事人的权利与义务，规范景顺长城新</w:t>
      </w:r>
      <w:r>
        <w:rPr>
          <w:spacing w:val="-5"/>
          <w:w w:val="100"/>
        </w:rPr>
        <w:t>兴成长混合型证券投资基金</w:t>
      </w:r>
      <w:r>
        <w:rPr>
          <w:w w:val="100"/>
        </w:rPr>
        <w:t>（</w:t>
      </w:r>
      <w:r>
        <w:rPr>
          <w:spacing w:val="-11"/>
          <w:w w:val="100"/>
        </w:rPr>
        <w:t>以下简称“本基金”或“基金”</w:t>
      </w:r>
      <w:r>
        <w:rPr>
          <w:w w:val="100"/>
        </w:rPr>
        <w:t>）</w:t>
      </w:r>
      <w:r>
        <w:rPr>
          <w:spacing w:val="-3"/>
          <w:w w:val="100"/>
        </w:rPr>
        <w:t>运作，依照《中华人民共和</w:t>
      </w:r>
      <w:r>
        <w:rPr>
          <w:spacing w:val="-13"/>
        </w:rPr>
        <w:t>国合同法》、 《中华人民共和国证券投资基金法</w:t>
      </w:r>
      <w:r>
        <w:rPr>
          <w:spacing w:val="-123"/>
        </w:rPr>
        <w:t>》</w:t>
      </w:r>
      <w:r>
        <w:rPr/>
        <w:t>（</w:t>
      </w:r>
      <w:r>
        <w:rPr>
          <w:spacing w:val="-16"/>
        </w:rPr>
        <w:t>以下简称《基金法》</w:t>
      </w:r>
      <w:r>
        <w:rPr>
          <w:spacing w:val="-106"/>
        </w:rPr>
        <w:t>）</w:t>
      </w:r>
      <w:r>
        <w:rPr>
          <w:spacing w:val="-4"/>
        </w:rPr>
        <w:t>、 《证券投资基金</w:t>
      </w:r>
      <w:r>
        <w:rPr>
          <w:spacing w:val="-19"/>
        </w:rPr>
        <w:t>运作管理办法》</w:t>
      </w:r>
      <w:r>
        <w:rPr/>
        <w:t>（</w:t>
      </w:r>
      <w:r>
        <w:rPr>
          <w:spacing w:val="-14"/>
        </w:rPr>
        <w:t>以下简称《运作办法》</w:t>
      </w:r>
      <w:r>
        <w:rPr>
          <w:spacing w:val="-108"/>
        </w:rPr>
        <w:t>）</w:t>
      </w:r>
      <w:r>
        <w:rPr>
          <w:spacing w:val="-9"/>
        </w:rPr>
        <w:t>、 《证券投资基金销售管理办法》</w:t>
      </w:r>
      <w:r>
        <w:rPr/>
        <w:t>（</w:t>
      </w:r>
      <w:r>
        <w:rPr>
          <w:spacing w:val="-3"/>
        </w:rPr>
        <w:t>以下简称《销</w:t>
      </w:r>
      <w:r>
        <w:rPr>
          <w:spacing w:val="-29"/>
        </w:rPr>
        <w:t>售办法》</w:t>
      </w:r>
      <w:r>
        <w:rPr>
          <w:spacing w:val="-108"/>
        </w:rPr>
        <w:t>）</w:t>
      </w:r>
      <w:r>
        <w:rPr>
          <w:spacing w:val="-17"/>
        </w:rPr>
        <w:t>、《公开募集证券投资基金信息披露管理办法》</w:t>
      </w:r>
      <w:r>
        <w:rPr/>
        <w:t>（</w:t>
      </w:r>
      <w:r>
        <w:rPr>
          <w:spacing w:val="-12"/>
        </w:rPr>
        <w:t>以下简称《信息披露办法》</w:t>
      </w:r>
      <w:r>
        <w:rPr>
          <w:spacing w:val="-106"/>
        </w:rPr>
        <w:t>）</w:t>
      </w:r>
      <w:r>
        <w:rPr>
          <w:spacing w:val="-36"/>
        </w:rPr>
        <w:t>、《公</w:t>
      </w:r>
    </w:p>
    <w:p>
      <w:pPr>
        <w:spacing w:after="0" w:line="364" w:lineRule="auto"/>
        <w:jc w:val="both"/>
        <w:sectPr>
          <w:headerReference w:type="default" r:id="rId5"/>
          <w:footerReference w:type="default" r:id="rId6"/>
          <w:pgSz w:w="11910" w:h="16840"/>
          <w:pgMar w:header="877" w:footer="1195" w:top="1380" w:bottom="1380" w:left="1680" w:right="1480"/>
          <w:pgNumType w:start="2"/>
        </w:sectPr>
      </w:pPr>
    </w:p>
    <w:p>
      <w:pPr>
        <w:pStyle w:val="BodyText"/>
        <w:spacing w:line="364" w:lineRule="auto" w:before="61"/>
        <w:ind w:right="311"/>
        <w:jc w:val="both"/>
      </w:pPr>
      <w:r>
        <w:rPr>
          <w:spacing w:val="-8"/>
        </w:rPr>
        <w:t>开募集开放式证券投资基金流动性风险管理规定》(以下简称《流动性风险管理规定》)及其</w:t>
      </w:r>
      <w:r>
        <w:rPr>
          <w:spacing w:val="-13"/>
        </w:rPr>
        <w:t>他有关规定，在平等自愿、诚实信用、充分保护基金投资者及相关当事人的合法权益的原则</w:t>
      </w:r>
      <w:r>
        <w:rPr>
          <w:spacing w:val="-10"/>
        </w:rPr>
        <w:t>基础上，特订立《景顺长城新兴成长混合型证券投资基金基金合同》</w:t>
      </w:r>
      <w:r>
        <w:rPr>
          <w:spacing w:val="-3"/>
        </w:rPr>
        <w:t>（</w:t>
      </w:r>
      <w:r>
        <w:rPr>
          <w:spacing w:val="-2"/>
        </w:rPr>
        <w:t>以下简称“本合同” </w:t>
      </w:r>
      <w:r>
        <w:rPr>
          <w:spacing w:val="-30"/>
        </w:rPr>
        <w:t>或“《基金合同》</w:t>
      </w:r>
      <w:r>
        <w:rPr>
          <w:spacing w:val="-106"/>
        </w:rPr>
        <w:t>”）</w:t>
      </w:r>
      <w:r>
        <w:rPr/>
        <w:t>。</w:t>
      </w:r>
    </w:p>
    <w:p>
      <w:pPr>
        <w:pStyle w:val="BodyText"/>
        <w:spacing w:line="364" w:lineRule="auto"/>
        <w:ind w:right="311" w:firstLine="419"/>
        <w:jc w:val="both"/>
      </w:pPr>
      <w:r>
        <w:rPr>
          <w:spacing w:val="-10"/>
        </w:rPr>
        <w:t>《基金合同》是规定基金合同当事人之间权利义务的基本法律文件，其他与本基金相关</w:t>
      </w:r>
      <w:r>
        <w:rPr>
          <w:spacing w:val="-4"/>
        </w:rPr>
        <w:t>的涉及基金合同当事人之间权利义务关系的任何文件或表述，均以本合同为准。 《基金合</w:t>
      </w:r>
      <w:r>
        <w:rPr>
          <w:spacing w:val="-21"/>
        </w:rPr>
        <w:t>同》的当事人包括基金管理人、基金托管人和基金份额持有人。基金投资者自依《基金合同》</w:t>
      </w:r>
      <w:r>
        <w:rPr>
          <w:spacing w:val="-13"/>
        </w:rPr>
        <w:t>取得基金份额，即成为基金份额持有人和《基金合同》的当事人，其持有基金份额的行为本</w:t>
      </w:r>
      <w:r>
        <w:rPr>
          <w:spacing w:val="-12"/>
        </w:rPr>
        <w:t>身即表明其对《基金合同》的承认和接受。《基金合同》的当事人按照法律法规和《基金合</w:t>
      </w:r>
      <w:r>
        <w:rPr>
          <w:spacing w:val="-6"/>
        </w:rPr>
        <w:t>同》的规定享有权利，同时需承担相应的义务。</w:t>
      </w:r>
    </w:p>
    <w:p>
      <w:pPr>
        <w:pStyle w:val="BodyText"/>
        <w:spacing w:line="364" w:lineRule="auto"/>
        <w:ind w:right="311" w:firstLine="419"/>
        <w:jc w:val="both"/>
      </w:pPr>
      <w:r>
        <w:rPr/>
        <w:t>景顺长城新兴成长混合型证券投资基金由景顺长城新兴成长股票型证券投资基金变更</w:t>
      </w:r>
      <w:r>
        <w:rPr>
          <w:spacing w:val="-9"/>
        </w:rPr>
        <w:t>而来。景顺长城新兴成长股票型证券投资基金由基金管理人按照法律法规和《基金合同》的</w:t>
      </w:r>
      <w:r>
        <w:rPr>
          <w:spacing w:val="-13"/>
        </w:rPr>
        <w:t>规定募集，并经中国证监会核准。中国证监会对景顺长城新兴成长股票型证券投资基金募集</w:t>
      </w:r>
      <w:r>
        <w:rPr>
          <w:spacing w:val="-10"/>
        </w:rPr>
        <w:t>的核准并不表明其对本基金的价值和收益作出实质性判断或保证，也不表明投资于本基金没</w:t>
      </w:r>
      <w:r>
        <w:rPr>
          <w:spacing w:val="-6"/>
        </w:rPr>
        <w:t>有风险。</w:t>
      </w:r>
    </w:p>
    <w:p>
      <w:pPr>
        <w:pStyle w:val="BodyText"/>
        <w:spacing w:line="364" w:lineRule="auto"/>
        <w:ind w:right="207" w:firstLine="419"/>
      </w:pPr>
      <w:r>
        <w:rPr/>
        <w:t>投资者应当认真阅读基金招募说明书、基金合同、基金产品资料概要等信息披露文件， 自主判断基金的投资价值，自主做出投资决策，自行承担投资风险。</w:t>
      </w:r>
    </w:p>
    <w:p>
      <w:pPr>
        <w:pStyle w:val="BodyText"/>
        <w:spacing w:line="364" w:lineRule="auto"/>
        <w:ind w:right="315" w:firstLine="419"/>
      </w:pPr>
      <w:r>
        <w:rPr>
          <w:spacing w:val="-9"/>
        </w:rPr>
        <w:t>基金管理人依照恪尽职守、诚实信用、勤勉尽责的原则管理和运用基金财产，但不保证</w:t>
      </w:r>
      <w:r>
        <w:rPr>
          <w:spacing w:val="-5"/>
        </w:rPr>
        <w:t>投资本基金一定盈利，也不保证基金份额持有人的最低收益。</w:t>
      </w:r>
    </w:p>
    <w:p>
      <w:pPr>
        <w:pStyle w:val="BodyText"/>
        <w:spacing w:line="364" w:lineRule="auto"/>
        <w:ind w:right="311" w:firstLine="419"/>
        <w:jc w:val="both"/>
      </w:pPr>
      <w:r>
        <w:rPr>
          <w:spacing w:val="-11"/>
        </w:rPr>
        <w:t>《基金合同》应当适用《基金法》及相应法律法规之规定，若因法律法规的修改或更新</w:t>
      </w:r>
      <w:r>
        <w:rPr>
          <w:spacing w:val="-12"/>
        </w:rPr>
        <w:t>导致《基金合同》的内容与届时有效的法律法规的规定不一致，应当以届时有效的法律法规</w:t>
      </w:r>
      <w:r>
        <w:rPr>
          <w:spacing w:val="-6"/>
        </w:rPr>
        <w:t>的规定为准，及时作出相应的变更和调整，同时就该等变更或调整进行公告。</w:t>
      </w:r>
    </w:p>
    <w:p>
      <w:pPr>
        <w:pStyle w:val="BodyText"/>
        <w:spacing w:line="269" w:lineRule="exact"/>
        <w:ind w:left="540"/>
        <w:jc w:val="both"/>
      </w:pPr>
      <w:r>
        <w:rPr/>
        <w:t>本基金合同关于基金产品资料概要的编制、披露及更新等内容，将不晚于 2020 年 9 月</w:t>
      </w:r>
    </w:p>
    <w:p>
      <w:pPr>
        <w:pStyle w:val="BodyText"/>
        <w:spacing w:before="131"/>
        <w:jc w:val="both"/>
      </w:pPr>
      <w:r>
        <w:rPr/>
        <w:t>1 日起执行。</w:t>
      </w:r>
    </w:p>
    <w:p>
      <w:pPr>
        <w:pStyle w:val="BodyText"/>
        <w:spacing w:line="364" w:lineRule="auto" w:before="140"/>
        <w:ind w:right="311" w:firstLine="419"/>
        <w:jc w:val="both"/>
      </w:pPr>
      <w:r>
        <w:rPr>
          <w:spacing w:val="-10"/>
        </w:rPr>
        <w:t>本基金的投资范围包括存托凭证，若投资可能面临中国存托凭证价格大幅波动甚至出现</w:t>
      </w:r>
      <w:r>
        <w:rPr>
          <w:spacing w:val="-13"/>
        </w:rPr>
        <w:t>较大亏损的风险，以及与创新企业、境外发行人、中国存托凭证发行机制以及交易机制等相</w:t>
      </w:r>
      <w:r>
        <w:rPr>
          <w:spacing w:val="-7"/>
        </w:rPr>
        <w:t>关的风险。</w:t>
      </w:r>
    </w:p>
    <w:p>
      <w:pPr>
        <w:pStyle w:val="BodyText"/>
        <w:spacing w:line="269" w:lineRule="exact"/>
        <w:ind w:left="540"/>
      </w:pPr>
      <w:r>
        <w:rPr/>
        <w:t>二、释义</w:t>
      </w:r>
    </w:p>
    <w:p>
      <w:pPr>
        <w:pStyle w:val="BodyText"/>
        <w:spacing w:before="139"/>
        <w:ind w:left="540"/>
      </w:pPr>
      <w:r>
        <w:rPr/>
        <w:t>《基金合同》中除非文意另有所指，下列词语具有如下含义：</w:t>
      </w:r>
    </w:p>
    <w:p>
      <w:pPr>
        <w:pStyle w:val="BodyText"/>
        <w:spacing w:before="139"/>
        <w:jc w:val="both"/>
      </w:pPr>
      <w:r>
        <w:rPr/>
        <w:t>本合同、《基金合同》 指《景顺长城新兴成长混合型证券投资基金基金合同》及</w:t>
      </w:r>
    </w:p>
    <w:p>
      <w:pPr>
        <w:pStyle w:val="BodyText"/>
        <w:spacing w:before="139"/>
        <w:ind w:left="3166"/>
      </w:pPr>
      <w:r>
        <w:rPr/>
        <w:t>对本合同的任何修订和补充</w:t>
      </w:r>
    </w:p>
    <w:p>
      <w:pPr>
        <w:pStyle w:val="BodyText"/>
        <w:tabs>
          <w:tab w:pos="3166" w:val="left" w:leader="none"/>
        </w:tabs>
        <w:spacing w:line="364" w:lineRule="auto" w:before="141"/>
        <w:ind w:left="3166" w:right="313" w:hanging="3047"/>
      </w:pPr>
      <w:r>
        <w:rPr/>
        <w:t>中国</w:t>
        <w:tab/>
        <w:t>指</w:t>
      </w:r>
      <w:r>
        <w:rPr>
          <w:spacing w:val="-3"/>
        </w:rPr>
        <w:t>中</w:t>
      </w:r>
      <w:r>
        <w:rPr/>
        <w:t>华</w:t>
      </w:r>
      <w:r>
        <w:rPr>
          <w:spacing w:val="-3"/>
        </w:rPr>
        <w:t>人</w:t>
      </w:r>
      <w:r>
        <w:rPr/>
        <w:t>民</w:t>
      </w:r>
      <w:r>
        <w:rPr>
          <w:spacing w:val="-3"/>
        </w:rPr>
        <w:t>共</w:t>
      </w:r>
      <w:r>
        <w:rPr/>
        <w:t>和</w:t>
      </w:r>
      <w:r>
        <w:rPr>
          <w:spacing w:val="-3"/>
        </w:rPr>
        <w:t>国(</w:t>
      </w:r>
      <w:r>
        <w:rPr/>
        <w:t>就本</w:t>
      </w:r>
      <w:r>
        <w:rPr>
          <w:spacing w:val="-3"/>
        </w:rPr>
        <w:t>基</w:t>
      </w:r>
      <w:r>
        <w:rPr/>
        <w:t>金</w:t>
      </w:r>
      <w:r>
        <w:rPr>
          <w:spacing w:val="-3"/>
        </w:rPr>
        <w:t>合</w:t>
      </w:r>
      <w:r>
        <w:rPr/>
        <w:t>同</w:t>
      </w:r>
      <w:r>
        <w:rPr>
          <w:spacing w:val="-3"/>
        </w:rPr>
        <w:t>而言</w:t>
      </w:r>
      <w:r>
        <w:rPr>
          <w:spacing w:val="-94"/>
        </w:rPr>
        <w:t>，</w:t>
      </w:r>
      <w:r>
        <w:rPr>
          <w:spacing w:val="-3"/>
        </w:rPr>
        <w:t>不</w:t>
      </w:r>
      <w:r>
        <w:rPr/>
        <w:t>包</w:t>
      </w:r>
      <w:r>
        <w:rPr>
          <w:spacing w:val="-3"/>
        </w:rPr>
        <w:t>括</w:t>
      </w:r>
      <w:r>
        <w:rPr/>
        <w:t>香港</w:t>
      </w:r>
      <w:r>
        <w:rPr>
          <w:spacing w:val="-3"/>
        </w:rPr>
        <w:t>特</w:t>
      </w:r>
      <w:r>
        <w:rPr/>
        <w:t>别行政区</w:t>
      </w:r>
      <w:r>
        <w:rPr>
          <w:spacing w:val="-3"/>
        </w:rPr>
        <w:t>、</w:t>
      </w:r>
      <w:r>
        <w:rPr/>
        <w:t>澳</w:t>
      </w:r>
      <w:r>
        <w:rPr>
          <w:spacing w:val="-3"/>
        </w:rPr>
        <w:t>门</w:t>
      </w:r>
      <w:r>
        <w:rPr/>
        <w:t>特</w:t>
      </w:r>
      <w:r>
        <w:rPr>
          <w:spacing w:val="-3"/>
        </w:rPr>
        <w:t>别</w:t>
      </w:r>
      <w:r>
        <w:rPr/>
        <w:t>行</w:t>
      </w:r>
      <w:r>
        <w:rPr>
          <w:spacing w:val="-3"/>
        </w:rPr>
        <w:t>政</w:t>
      </w:r>
      <w:r>
        <w:rPr/>
        <w:t>区</w:t>
      </w:r>
      <w:r>
        <w:rPr>
          <w:spacing w:val="-3"/>
        </w:rPr>
        <w:t>及</w:t>
      </w:r>
      <w:r>
        <w:rPr/>
        <w:t>台湾</w:t>
      </w:r>
      <w:r>
        <w:rPr>
          <w:spacing w:val="-3"/>
        </w:rPr>
        <w:t>地</w:t>
      </w:r>
      <w:r>
        <w:rPr/>
        <w:t>区)</w:t>
      </w:r>
    </w:p>
    <w:p>
      <w:pPr>
        <w:pStyle w:val="BodyText"/>
        <w:tabs>
          <w:tab w:pos="3166" w:val="left" w:leader="none"/>
        </w:tabs>
        <w:spacing w:line="268" w:lineRule="exact"/>
      </w:pPr>
      <w:r>
        <w:rPr/>
        <w:t>法律</w:t>
      </w:r>
      <w:r>
        <w:rPr>
          <w:spacing w:val="-3"/>
        </w:rPr>
        <w:t>法</w:t>
      </w:r>
      <w:r>
        <w:rPr/>
        <w:t>规</w:t>
        <w:tab/>
        <w:t>指</w:t>
      </w:r>
      <w:r>
        <w:rPr>
          <w:spacing w:val="-3"/>
        </w:rPr>
        <w:t>中</w:t>
      </w:r>
      <w:r>
        <w:rPr/>
        <w:t>国</w:t>
      </w:r>
      <w:r>
        <w:rPr>
          <w:spacing w:val="-3"/>
        </w:rPr>
        <w:t>现</w:t>
      </w:r>
      <w:r>
        <w:rPr/>
        <w:t>时</w:t>
      </w:r>
      <w:r>
        <w:rPr>
          <w:spacing w:val="-3"/>
        </w:rPr>
        <w:t>有</w:t>
      </w:r>
      <w:r>
        <w:rPr/>
        <w:t>效</w:t>
      </w:r>
      <w:r>
        <w:rPr>
          <w:spacing w:val="-3"/>
        </w:rPr>
        <w:t>并</w:t>
      </w:r>
      <w:r>
        <w:rPr/>
        <w:t>公布</w:t>
      </w:r>
      <w:r>
        <w:rPr>
          <w:spacing w:val="-3"/>
        </w:rPr>
        <w:t>实</w:t>
      </w:r>
      <w:r>
        <w:rPr/>
        <w:t>施</w:t>
      </w:r>
      <w:r>
        <w:rPr>
          <w:spacing w:val="-3"/>
        </w:rPr>
        <w:t>的</w:t>
      </w:r>
      <w:r>
        <w:rPr/>
        <w:t>法</w:t>
      </w:r>
      <w:r>
        <w:rPr>
          <w:spacing w:val="-3"/>
        </w:rPr>
        <w:t>律</w:t>
      </w:r>
      <w:r>
        <w:rPr/>
        <w:t>、</w:t>
      </w:r>
      <w:r>
        <w:rPr>
          <w:spacing w:val="-3"/>
        </w:rPr>
        <w:t>行</w:t>
      </w:r>
      <w:r>
        <w:rPr/>
        <w:t>政</w:t>
      </w:r>
      <w:r>
        <w:rPr>
          <w:spacing w:val="-3"/>
        </w:rPr>
        <w:t>法</w:t>
      </w:r>
      <w:r>
        <w:rPr/>
        <w:t>规、</w:t>
      </w:r>
      <w:r>
        <w:rPr>
          <w:spacing w:val="-3"/>
        </w:rPr>
        <w:t>行</w:t>
      </w:r>
      <w:r>
        <w:rPr/>
        <w:t>政</w:t>
      </w:r>
      <w:r>
        <w:rPr>
          <w:spacing w:val="-3"/>
        </w:rPr>
        <w:t>规</w:t>
      </w:r>
      <w:r>
        <w:rPr/>
        <w:t>章</w:t>
      </w:r>
    </w:p>
    <w:p>
      <w:pPr>
        <w:spacing w:after="0" w:line="268" w:lineRule="exact"/>
        <w:sectPr>
          <w:pgSz w:w="11910" w:h="16840"/>
          <w:pgMar w:header="877" w:footer="1195" w:top="1380" w:bottom="1380" w:left="1680" w:right="1480"/>
        </w:sectPr>
      </w:pPr>
    </w:p>
    <w:p>
      <w:pPr>
        <w:pStyle w:val="BodyText"/>
        <w:spacing w:before="61"/>
        <w:ind w:left="3166"/>
      </w:pPr>
      <w:r>
        <w:rPr/>
        <w:t>及规范性文件、地方法规、地方规章及规范性文件</w:t>
      </w:r>
    </w:p>
    <w:p>
      <w:pPr>
        <w:pStyle w:val="BodyText"/>
        <w:tabs>
          <w:tab w:pos="3166" w:val="left" w:leader="none"/>
        </w:tabs>
        <w:spacing w:before="139"/>
      </w:pPr>
      <w:r>
        <w:rPr/>
        <w:t>《基</w:t>
      </w:r>
      <w:r>
        <w:rPr>
          <w:spacing w:val="-3"/>
        </w:rPr>
        <w:t>金</w:t>
      </w:r>
      <w:r>
        <w:rPr/>
        <w:t>法》</w:t>
        <w:tab/>
        <w:t>指</w:t>
      </w:r>
      <w:r>
        <w:rPr>
          <w:spacing w:val="-3"/>
        </w:rPr>
        <w:t>《</w:t>
      </w:r>
      <w:r>
        <w:rPr/>
        <w:t>中</w:t>
      </w:r>
      <w:r>
        <w:rPr>
          <w:spacing w:val="-3"/>
        </w:rPr>
        <w:t>华</w:t>
      </w:r>
      <w:r>
        <w:rPr/>
        <w:t>人</w:t>
      </w:r>
      <w:r>
        <w:rPr>
          <w:spacing w:val="-3"/>
        </w:rPr>
        <w:t>民</w:t>
      </w:r>
      <w:r>
        <w:rPr/>
        <w:t>共</w:t>
      </w:r>
      <w:r>
        <w:rPr>
          <w:spacing w:val="-3"/>
        </w:rPr>
        <w:t>和</w:t>
      </w:r>
      <w:r>
        <w:rPr/>
        <w:t>国证</w:t>
      </w:r>
      <w:r>
        <w:rPr>
          <w:spacing w:val="-3"/>
        </w:rPr>
        <w:t>券</w:t>
      </w:r>
      <w:r>
        <w:rPr/>
        <w:t>投</w:t>
      </w:r>
      <w:r>
        <w:rPr>
          <w:spacing w:val="-3"/>
        </w:rPr>
        <w:t>资</w:t>
      </w:r>
      <w:r>
        <w:rPr/>
        <w:t>基</w:t>
      </w:r>
      <w:r>
        <w:rPr>
          <w:spacing w:val="-3"/>
        </w:rPr>
        <w:t>金</w:t>
      </w:r>
      <w:r>
        <w:rPr/>
        <w:t>法》</w:t>
      </w:r>
    </w:p>
    <w:p>
      <w:pPr>
        <w:pStyle w:val="BodyText"/>
        <w:tabs>
          <w:tab w:pos="3166" w:val="left" w:leader="none"/>
        </w:tabs>
        <w:spacing w:before="139"/>
      </w:pPr>
      <w:r>
        <w:rPr/>
        <w:t>《销</w:t>
      </w:r>
      <w:r>
        <w:rPr>
          <w:spacing w:val="-3"/>
        </w:rPr>
        <w:t>售</w:t>
      </w:r>
      <w:r>
        <w:rPr/>
        <w:t>办</w:t>
      </w:r>
      <w:r>
        <w:rPr>
          <w:spacing w:val="-3"/>
        </w:rPr>
        <w:t>法</w:t>
      </w:r>
      <w:r>
        <w:rPr/>
        <w:t>》</w:t>
        <w:tab/>
        <w:t>指</w:t>
      </w:r>
      <w:r>
        <w:rPr>
          <w:spacing w:val="-3"/>
        </w:rPr>
        <w:t>《</w:t>
      </w:r>
      <w:r>
        <w:rPr/>
        <w:t>证</w:t>
      </w:r>
      <w:r>
        <w:rPr>
          <w:spacing w:val="-3"/>
        </w:rPr>
        <w:t>券</w:t>
      </w:r>
      <w:r>
        <w:rPr/>
        <w:t>投</w:t>
      </w:r>
      <w:r>
        <w:rPr>
          <w:spacing w:val="-3"/>
        </w:rPr>
        <w:t>资</w:t>
      </w:r>
      <w:r>
        <w:rPr/>
        <w:t>基</w:t>
      </w:r>
      <w:r>
        <w:rPr>
          <w:spacing w:val="-3"/>
        </w:rPr>
        <w:t>金</w:t>
      </w:r>
      <w:r>
        <w:rPr/>
        <w:t>销售</w:t>
      </w:r>
      <w:r>
        <w:rPr>
          <w:spacing w:val="-3"/>
        </w:rPr>
        <w:t>管</w:t>
      </w:r>
      <w:r>
        <w:rPr/>
        <w:t>理</w:t>
      </w:r>
      <w:r>
        <w:rPr>
          <w:spacing w:val="-3"/>
        </w:rPr>
        <w:t>办</w:t>
      </w:r>
      <w:r>
        <w:rPr/>
        <w:t>法》</w:t>
      </w:r>
    </w:p>
    <w:p>
      <w:pPr>
        <w:pStyle w:val="BodyText"/>
        <w:tabs>
          <w:tab w:pos="3166" w:val="left" w:leader="none"/>
        </w:tabs>
        <w:spacing w:before="141"/>
      </w:pPr>
      <w:r>
        <w:rPr/>
        <w:t>《运</w:t>
      </w:r>
      <w:r>
        <w:rPr>
          <w:spacing w:val="-3"/>
        </w:rPr>
        <w:t>作</w:t>
      </w:r>
      <w:r>
        <w:rPr/>
        <w:t>办</w:t>
      </w:r>
      <w:r>
        <w:rPr>
          <w:spacing w:val="-3"/>
        </w:rPr>
        <w:t>法</w:t>
      </w:r>
      <w:r>
        <w:rPr/>
        <w:t>》</w:t>
        <w:tab/>
        <w:t>指</w:t>
      </w:r>
      <w:r>
        <w:rPr>
          <w:spacing w:val="-3"/>
        </w:rPr>
        <w:t>《</w:t>
      </w:r>
      <w:r>
        <w:rPr/>
        <w:t>证</w:t>
      </w:r>
      <w:r>
        <w:rPr>
          <w:spacing w:val="-3"/>
        </w:rPr>
        <w:t>券</w:t>
      </w:r>
      <w:r>
        <w:rPr/>
        <w:t>投</w:t>
      </w:r>
      <w:r>
        <w:rPr>
          <w:spacing w:val="-3"/>
        </w:rPr>
        <w:t>资</w:t>
      </w:r>
      <w:r>
        <w:rPr/>
        <w:t>基</w:t>
      </w:r>
      <w:r>
        <w:rPr>
          <w:spacing w:val="-3"/>
        </w:rPr>
        <w:t>金</w:t>
      </w:r>
      <w:r>
        <w:rPr/>
        <w:t>运作</w:t>
      </w:r>
      <w:r>
        <w:rPr>
          <w:spacing w:val="-3"/>
        </w:rPr>
        <w:t>管</w:t>
      </w:r>
      <w:r>
        <w:rPr/>
        <w:t>理</w:t>
      </w:r>
      <w:r>
        <w:rPr>
          <w:spacing w:val="-3"/>
        </w:rPr>
        <w:t>办</w:t>
      </w:r>
      <w:r>
        <w:rPr/>
        <w:t>法》</w:t>
      </w:r>
    </w:p>
    <w:p>
      <w:pPr>
        <w:pStyle w:val="BodyText"/>
        <w:tabs>
          <w:tab w:pos="3166" w:val="left" w:leader="none"/>
        </w:tabs>
        <w:spacing w:before="139"/>
      </w:pPr>
      <w:r>
        <w:rPr/>
        <w:t>《信</w:t>
      </w:r>
      <w:r>
        <w:rPr>
          <w:spacing w:val="-3"/>
        </w:rPr>
        <w:t>息</w:t>
      </w:r>
      <w:r>
        <w:rPr/>
        <w:t>披</w:t>
      </w:r>
      <w:r>
        <w:rPr>
          <w:spacing w:val="-3"/>
        </w:rPr>
        <w:t>露</w:t>
      </w:r>
      <w:r>
        <w:rPr/>
        <w:t>办</w:t>
      </w:r>
      <w:r>
        <w:rPr>
          <w:spacing w:val="-3"/>
        </w:rPr>
        <w:t>法</w:t>
      </w:r>
      <w:r>
        <w:rPr/>
        <w:t>》</w:t>
        <w:tab/>
        <w:t>指</w:t>
      </w:r>
      <w:r>
        <w:rPr>
          <w:spacing w:val="-3"/>
        </w:rPr>
        <w:t>中</w:t>
      </w:r>
      <w:r>
        <w:rPr/>
        <w:t>国</w:t>
      </w:r>
      <w:r>
        <w:rPr>
          <w:spacing w:val="-3"/>
        </w:rPr>
        <w:t>证</w:t>
      </w:r>
      <w:r>
        <w:rPr/>
        <w:t>监会</w:t>
      </w:r>
      <w:r>
        <w:rPr>
          <w:spacing w:val="-52"/>
        </w:rPr>
        <w:t> </w:t>
      </w:r>
      <w:r>
        <w:rPr/>
        <w:t>2019</w:t>
      </w:r>
      <w:r>
        <w:rPr>
          <w:spacing w:val="-54"/>
        </w:rPr>
        <w:t> </w:t>
      </w:r>
      <w:r>
        <w:rPr/>
        <w:t>年</w:t>
      </w:r>
      <w:r>
        <w:rPr>
          <w:spacing w:val="-51"/>
        </w:rPr>
        <w:t> </w:t>
      </w:r>
      <w:r>
        <w:rPr/>
        <w:t>7</w:t>
      </w:r>
      <w:r>
        <w:rPr>
          <w:spacing w:val="-52"/>
        </w:rPr>
        <w:t> </w:t>
      </w:r>
      <w:r>
        <w:rPr/>
        <w:t>月</w:t>
      </w:r>
      <w:r>
        <w:rPr>
          <w:spacing w:val="-51"/>
        </w:rPr>
        <w:t> </w:t>
      </w:r>
      <w:r>
        <w:rPr/>
        <w:t>26</w:t>
      </w:r>
      <w:r>
        <w:rPr>
          <w:spacing w:val="-52"/>
        </w:rPr>
        <w:t> </w:t>
      </w:r>
      <w:r>
        <w:rPr/>
        <w:t>日</w:t>
      </w:r>
      <w:r>
        <w:rPr>
          <w:spacing w:val="-3"/>
        </w:rPr>
        <w:t>颁</w:t>
      </w:r>
      <w:r>
        <w:rPr/>
        <w:t>布</w:t>
      </w:r>
      <w:r>
        <w:rPr>
          <w:spacing w:val="-3"/>
        </w:rPr>
        <w:t>、</w:t>
      </w:r>
      <w:r>
        <w:rPr/>
        <w:t>同年</w:t>
      </w:r>
      <w:r>
        <w:rPr>
          <w:spacing w:val="-50"/>
        </w:rPr>
        <w:t> </w:t>
      </w:r>
      <w:r>
        <w:rPr/>
        <w:t>9</w:t>
      </w:r>
      <w:r>
        <w:rPr>
          <w:spacing w:val="-54"/>
        </w:rPr>
        <w:t> </w:t>
      </w:r>
      <w:r>
        <w:rPr/>
        <w:t>月</w:t>
      </w:r>
      <w:r>
        <w:rPr>
          <w:spacing w:val="-51"/>
        </w:rPr>
        <w:t> </w:t>
      </w:r>
      <w:r>
        <w:rPr/>
        <w:t>1</w:t>
      </w:r>
      <w:r>
        <w:rPr>
          <w:spacing w:val="-52"/>
        </w:rPr>
        <w:t> </w:t>
      </w:r>
      <w:r>
        <w:rPr/>
        <w:t>日</w:t>
      </w:r>
      <w:r>
        <w:rPr>
          <w:spacing w:val="-3"/>
        </w:rPr>
        <w:t>实</w:t>
      </w:r>
      <w:r>
        <w:rPr/>
        <w:t>施</w:t>
      </w:r>
    </w:p>
    <w:p>
      <w:pPr>
        <w:pStyle w:val="BodyText"/>
        <w:spacing w:line="364" w:lineRule="auto" w:before="139"/>
        <w:ind w:left="3166" w:right="311"/>
      </w:pPr>
      <w:r>
        <w:rPr/>
        <w:t>的《公开募集证券投资基金信息披露管理办法》及颁布机关对其不时做出的修订</w:t>
      </w:r>
    </w:p>
    <w:p>
      <w:pPr>
        <w:pStyle w:val="BodyText"/>
        <w:tabs>
          <w:tab w:pos="3166" w:val="left" w:leader="none"/>
        </w:tabs>
        <w:spacing w:before="1"/>
      </w:pPr>
      <w:r>
        <w:rPr/>
        <w:t>元</w:t>
        <w:tab/>
        <w:t>指</w:t>
      </w:r>
      <w:r>
        <w:rPr>
          <w:spacing w:val="-3"/>
        </w:rPr>
        <w:t>中</w:t>
      </w:r>
      <w:r>
        <w:rPr/>
        <w:t>国</w:t>
      </w:r>
      <w:r>
        <w:rPr>
          <w:spacing w:val="-3"/>
        </w:rPr>
        <w:t>法</w:t>
      </w:r>
      <w:r>
        <w:rPr/>
        <w:t>定</w:t>
      </w:r>
      <w:r>
        <w:rPr>
          <w:spacing w:val="-3"/>
        </w:rPr>
        <w:t>货</w:t>
      </w:r>
      <w:r>
        <w:rPr/>
        <w:t>币</w:t>
      </w:r>
      <w:r>
        <w:rPr>
          <w:spacing w:val="-3"/>
        </w:rPr>
        <w:t>人</w:t>
      </w:r>
      <w:r>
        <w:rPr/>
        <w:t>民币元</w:t>
      </w:r>
    </w:p>
    <w:p>
      <w:pPr>
        <w:pStyle w:val="BodyText"/>
        <w:tabs>
          <w:tab w:pos="3166" w:val="left" w:leader="none"/>
        </w:tabs>
        <w:spacing w:line="364" w:lineRule="auto" w:before="139"/>
        <w:ind w:left="3166" w:right="311" w:hanging="3047"/>
        <w:jc w:val="both"/>
      </w:pPr>
      <w:r>
        <w:rPr/>
        <w:t>基金</w:t>
      </w:r>
      <w:r>
        <w:rPr>
          <w:spacing w:val="-3"/>
        </w:rPr>
        <w:t>或</w:t>
      </w:r>
      <w:r>
        <w:rPr/>
        <w:t>本</w:t>
      </w:r>
      <w:r>
        <w:rPr>
          <w:spacing w:val="-3"/>
        </w:rPr>
        <w:t>基</w:t>
      </w:r>
      <w:r>
        <w:rPr/>
        <w:t>金</w:t>
        <w:tab/>
        <w:t>指</w:t>
      </w:r>
      <w:r>
        <w:rPr>
          <w:spacing w:val="-3"/>
        </w:rPr>
        <w:t>依</w:t>
      </w:r>
      <w:r>
        <w:rPr/>
        <w:t>据</w:t>
      </w:r>
      <w:r>
        <w:rPr>
          <w:spacing w:val="-3"/>
        </w:rPr>
        <w:t>《</w:t>
      </w:r>
      <w:r>
        <w:rPr/>
        <w:t>基</w:t>
      </w:r>
      <w:r>
        <w:rPr>
          <w:spacing w:val="-3"/>
        </w:rPr>
        <w:t>金</w:t>
      </w:r>
      <w:r>
        <w:rPr/>
        <w:t>合</w:t>
      </w:r>
      <w:r>
        <w:rPr>
          <w:spacing w:val="-3"/>
        </w:rPr>
        <w:t>同</w:t>
      </w:r>
      <w:r>
        <w:rPr/>
        <w:t>》所</w:t>
      </w:r>
      <w:r>
        <w:rPr>
          <w:spacing w:val="-3"/>
        </w:rPr>
        <w:t>募</w:t>
      </w:r>
      <w:r>
        <w:rPr/>
        <w:t>集</w:t>
      </w:r>
      <w:r>
        <w:rPr>
          <w:spacing w:val="-3"/>
        </w:rPr>
        <w:t>的</w:t>
      </w:r>
      <w:r>
        <w:rPr/>
        <w:t>景</w:t>
      </w:r>
      <w:r>
        <w:rPr>
          <w:spacing w:val="-3"/>
        </w:rPr>
        <w:t>顺</w:t>
      </w:r>
      <w:r>
        <w:rPr/>
        <w:t>长</w:t>
      </w:r>
      <w:r>
        <w:rPr>
          <w:spacing w:val="-3"/>
        </w:rPr>
        <w:t>城</w:t>
      </w:r>
      <w:r>
        <w:rPr/>
        <w:t>新</w:t>
      </w:r>
      <w:r>
        <w:rPr>
          <w:spacing w:val="-3"/>
        </w:rPr>
        <w:t>兴</w:t>
      </w:r>
      <w:r>
        <w:rPr/>
        <w:t>成长</w:t>
      </w:r>
      <w:r>
        <w:rPr>
          <w:spacing w:val="-3"/>
        </w:rPr>
        <w:t>混</w:t>
      </w:r>
      <w:r>
        <w:rPr/>
        <w:t>合</w:t>
      </w:r>
      <w:r>
        <w:rPr>
          <w:spacing w:val="-3"/>
        </w:rPr>
        <w:t>型证</w:t>
      </w:r>
      <w:r>
        <w:rPr/>
        <w:t>券投资</w:t>
      </w:r>
      <w:r>
        <w:rPr>
          <w:spacing w:val="-3"/>
        </w:rPr>
        <w:t>基</w:t>
      </w:r>
      <w:r>
        <w:rPr/>
        <w:t>金，本</w:t>
      </w:r>
      <w:r>
        <w:rPr>
          <w:spacing w:val="-3"/>
        </w:rPr>
        <w:t>基</w:t>
      </w:r>
      <w:r>
        <w:rPr/>
        <w:t>金由</w:t>
      </w:r>
      <w:r>
        <w:rPr>
          <w:spacing w:val="-3"/>
        </w:rPr>
        <w:t>景</w:t>
      </w:r>
      <w:r>
        <w:rPr/>
        <w:t>顺长城</w:t>
      </w:r>
      <w:r>
        <w:rPr>
          <w:spacing w:val="-3"/>
        </w:rPr>
        <w:t>新</w:t>
      </w:r>
      <w:r>
        <w:rPr/>
        <w:t>兴成长</w:t>
      </w:r>
      <w:r>
        <w:rPr>
          <w:spacing w:val="-3"/>
        </w:rPr>
        <w:t>股</w:t>
      </w:r>
      <w:r>
        <w:rPr/>
        <w:t>票型</w:t>
      </w:r>
      <w:r>
        <w:rPr>
          <w:spacing w:val="-3"/>
        </w:rPr>
        <w:t>证</w:t>
      </w:r>
      <w:r>
        <w:rPr/>
        <w:t>券投</w:t>
      </w:r>
      <w:r>
        <w:rPr>
          <w:spacing w:val="-12"/>
        </w:rPr>
        <w:t>资</w:t>
      </w:r>
      <w:r>
        <w:rPr/>
        <w:t>基金</w:t>
      </w:r>
      <w:r>
        <w:rPr>
          <w:spacing w:val="-3"/>
        </w:rPr>
        <w:t>变</w:t>
      </w:r>
      <w:r>
        <w:rPr/>
        <w:t>更</w:t>
      </w:r>
      <w:r>
        <w:rPr>
          <w:spacing w:val="-3"/>
        </w:rPr>
        <w:t>而</w:t>
      </w:r>
      <w:r>
        <w:rPr/>
        <w:t>来</w:t>
      </w:r>
    </w:p>
    <w:p>
      <w:pPr>
        <w:pStyle w:val="BodyText"/>
        <w:tabs>
          <w:tab w:pos="3068" w:val="left" w:leader="none"/>
        </w:tabs>
        <w:spacing w:line="364" w:lineRule="auto"/>
        <w:ind w:left="3061" w:right="205" w:hanging="2941"/>
      </w:pPr>
      <w:r>
        <w:rPr/>
        <w:t>招募</w:t>
      </w:r>
      <w:r>
        <w:rPr>
          <w:spacing w:val="-3"/>
        </w:rPr>
        <w:t>说</w:t>
      </w:r>
      <w:r>
        <w:rPr/>
        <w:t>明书</w:t>
        <w:tab/>
        <w:tab/>
      </w:r>
      <w:r>
        <w:rPr>
          <w:spacing w:val="-3"/>
        </w:rPr>
        <w:t>指</w:t>
      </w:r>
      <w:r>
        <w:rPr/>
        <w:t>《景</w:t>
      </w:r>
      <w:r>
        <w:rPr>
          <w:spacing w:val="-3"/>
        </w:rPr>
        <w:t>顺</w:t>
      </w:r>
      <w:r>
        <w:rPr/>
        <w:t>长</w:t>
      </w:r>
      <w:r>
        <w:rPr>
          <w:spacing w:val="-3"/>
        </w:rPr>
        <w:t>城</w:t>
      </w:r>
      <w:r>
        <w:rPr/>
        <w:t>新兴</w:t>
      </w:r>
      <w:r>
        <w:rPr>
          <w:spacing w:val="-3"/>
        </w:rPr>
        <w:t>成</w:t>
      </w:r>
      <w:r>
        <w:rPr/>
        <w:t>长混</w:t>
      </w:r>
      <w:r>
        <w:rPr>
          <w:spacing w:val="-3"/>
        </w:rPr>
        <w:t>合</w:t>
      </w:r>
      <w:r>
        <w:rPr/>
        <w:t>型证</w:t>
      </w:r>
      <w:r>
        <w:rPr>
          <w:spacing w:val="-3"/>
        </w:rPr>
        <w:t>券</w:t>
      </w:r>
      <w:r>
        <w:rPr/>
        <w:t>投</w:t>
      </w:r>
      <w:r>
        <w:rPr>
          <w:spacing w:val="-3"/>
        </w:rPr>
        <w:t>资</w:t>
      </w:r>
      <w:r>
        <w:rPr/>
        <w:t>基金</w:t>
      </w:r>
      <w:r>
        <w:rPr>
          <w:spacing w:val="-3"/>
        </w:rPr>
        <w:t>招</w:t>
      </w:r>
      <w:r>
        <w:rPr/>
        <w:t>募说</w:t>
      </w:r>
      <w:r>
        <w:rPr>
          <w:spacing w:val="-3"/>
        </w:rPr>
        <w:t>明</w:t>
      </w:r>
      <w:r>
        <w:rPr/>
        <w:t>书</w:t>
      </w:r>
      <w:r>
        <w:rPr>
          <w:spacing w:val="-106"/>
        </w:rPr>
        <w:t>》</w:t>
      </w:r>
      <w:r>
        <w:rPr/>
        <w:t>， 即用</w:t>
      </w:r>
      <w:r>
        <w:rPr>
          <w:spacing w:val="-3"/>
        </w:rPr>
        <w:t>于</w:t>
      </w:r>
      <w:r>
        <w:rPr/>
        <w:t>公</w:t>
      </w:r>
      <w:r>
        <w:rPr>
          <w:spacing w:val="-3"/>
        </w:rPr>
        <w:t>开</w:t>
      </w:r>
      <w:r>
        <w:rPr/>
        <w:t>披</w:t>
      </w:r>
      <w:r>
        <w:rPr>
          <w:spacing w:val="-3"/>
        </w:rPr>
        <w:t>露</w:t>
      </w:r>
      <w:r>
        <w:rPr/>
        <w:t>本</w:t>
      </w:r>
      <w:r>
        <w:rPr>
          <w:spacing w:val="-3"/>
        </w:rPr>
        <w:t>基</w:t>
      </w:r>
      <w:r>
        <w:rPr/>
        <w:t>金</w:t>
      </w:r>
      <w:r>
        <w:rPr>
          <w:spacing w:val="-3"/>
        </w:rPr>
        <w:t>管</w:t>
      </w:r>
      <w:r>
        <w:rPr/>
        <w:t>理人</w:t>
      </w:r>
      <w:r>
        <w:rPr>
          <w:spacing w:val="-3"/>
        </w:rPr>
        <w:t>及</w:t>
      </w:r>
      <w:r>
        <w:rPr/>
        <w:t>托</w:t>
      </w:r>
      <w:r>
        <w:rPr>
          <w:spacing w:val="-3"/>
        </w:rPr>
        <w:t>管</w:t>
      </w:r>
      <w:r>
        <w:rPr/>
        <w:t>人</w:t>
      </w:r>
      <w:r>
        <w:rPr>
          <w:spacing w:val="-51"/>
        </w:rPr>
        <w:t>、</w:t>
      </w:r>
      <w:r>
        <w:rPr/>
        <w:t>相</w:t>
      </w:r>
      <w:r>
        <w:rPr>
          <w:spacing w:val="-3"/>
        </w:rPr>
        <w:t>关</w:t>
      </w:r>
      <w:r>
        <w:rPr/>
        <w:t>服</w:t>
      </w:r>
      <w:r>
        <w:rPr>
          <w:spacing w:val="-3"/>
        </w:rPr>
        <w:t>务</w:t>
      </w:r>
      <w:r>
        <w:rPr/>
        <w:t>机构</w:t>
      </w:r>
      <w:r>
        <w:rPr>
          <w:spacing w:val="-51"/>
        </w:rPr>
        <w:t>、基</w:t>
      </w:r>
      <w:r>
        <w:rPr/>
        <w:t>金的</w:t>
      </w:r>
      <w:r>
        <w:rPr>
          <w:spacing w:val="-3"/>
        </w:rPr>
        <w:t>募集</w:t>
      </w:r>
      <w:r>
        <w:rPr>
          <w:spacing w:val="-32"/>
        </w:rPr>
        <w:t>、</w:t>
      </w:r>
      <w:r>
        <w:rPr>
          <w:spacing w:val="-3"/>
        </w:rPr>
        <w:t>基</w:t>
      </w:r>
      <w:r>
        <w:rPr/>
        <w:t>金合</w:t>
      </w:r>
      <w:r>
        <w:rPr>
          <w:spacing w:val="-3"/>
        </w:rPr>
        <w:t>同</w:t>
      </w:r>
      <w:r>
        <w:rPr/>
        <w:t>的</w:t>
      </w:r>
      <w:r>
        <w:rPr>
          <w:spacing w:val="-3"/>
        </w:rPr>
        <w:t>生</w:t>
      </w:r>
      <w:r>
        <w:rPr/>
        <w:t>效</w:t>
      </w:r>
      <w:r>
        <w:rPr>
          <w:spacing w:val="-34"/>
        </w:rPr>
        <w:t>、</w:t>
      </w:r>
      <w:r>
        <w:rPr/>
        <w:t>基</w:t>
      </w:r>
      <w:r>
        <w:rPr>
          <w:spacing w:val="-3"/>
        </w:rPr>
        <w:t>金</w:t>
      </w:r>
      <w:r>
        <w:rPr/>
        <w:t>份</w:t>
      </w:r>
      <w:r>
        <w:rPr>
          <w:spacing w:val="-3"/>
        </w:rPr>
        <w:t>额</w:t>
      </w:r>
      <w:r>
        <w:rPr/>
        <w:t>的交</w:t>
      </w:r>
      <w:r>
        <w:rPr>
          <w:spacing w:val="-3"/>
        </w:rPr>
        <w:t>易</w:t>
      </w:r>
      <w:r>
        <w:rPr>
          <w:spacing w:val="-34"/>
        </w:rPr>
        <w:t>、</w:t>
      </w:r>
      <w:r>
        <w:rPr>
          <w:spacing w:val="-3"/>
        </w:rPr>
        <w:t>基</w:t>
      </w:r>
      <w:r>
        <w:rPr/>
        <w:t>金份</w:t>
      </w:r>
      <w:r>
        <w:rPr>
          <w:spacing w:val="-3"/>
        </w:rPr>
        <w:t>额</w:t>
      </w:r>
      <w:r>
        <w:rPr/>
        <w:t>的申购</w:t>
      </w:r>
      <w:r>
        <w:rPr>
          <w:spacing w:val="-3"/>
        </w:rPr>
        <w:t>和</w:t>
      </w:r>
      <w:r>
        <w:rPr/>
        <w:t>赎</w:t>
      </w:r>
      <w:r>
        <w:rPr>
          <w:spacing w:val="-3"/>
        </w:rPr>
        <w:t>回</w:t>
      </w:r>
      <w:r>
        <w:rPr>
          <w:spacing w:val="-25"/>
        </w:rPr>
        <w:t>、</w:t>
      </w:r>
      <w:r>
        <w:rPr>
          <w:spacing w:val="-3"/>
        </w:rPr>
        <w:t>基</w:t>
      </w:r>
      <w:r>
        <w:rPr/>
        <w:t>金</w:t>
      </w:r>
      <w:r>
        <w:rPr>
          <w:spacing w:val="-3"/>
        </w:rPr>
        <w:t>的</w:t>
      </w:r>
      <w:r>
        <w:rPr/>
        <w:t>投</w:t>
      </w:r>
      <w:r>
        <w:rPr>
          <w:spacing w:val="-3"/>
        </w:rPr>
        <w:t>资</w:t>
      </w:r>
      <w:r>
        <w:rPr>
          <w:spacing w:val="-25"/>
        </w:rPr>
        <w:t>、</w:t>
      </w:r>
      <w:r>
        <w:rPr/>
        <w:t>基</w:t>
      </w:r>
      <w:r>
        <w:rPr>
          <w:spacing w:val="-3"/>
        </w:rPr>
        <w:t>金</w:t>
      </w:r>
      <w:r>
        <w:rPr/>
        <w:t>的</w:t>
      </w:r>
      <w:r>
        <w:rPr>
          <w:spacing w:val="-3"/>
        </w:rPr>
        <w:t>业</w:t>
      </w:r>
      <w:r>
        <w:rPr/>
        <w:t>绩</w:t>
      </w:r>
      <w:r>
        <w:rPr>
          <w:spacing w:val="-27"/>
        </w:rPr>
        <w:t>、</w:t>
      </w:r>
      <w:r>
        <w:rPr/>
        <w:t>基</w:t>
      </w:r>
      <w:r>
        <w:rPr>
          <w:spacing w:val="-3"/>
        </w:rPr>
        <w:t>金</w:t>
      </w:r>
      <w:r>
        <w:rPr/>
        <w:t>的</w:t>
      </w:r>
      <w:r>
        <w:rPr>
          <w:spacing w:val="-3"/>
        </w:rPr>
        <w:t>财</w:t>
      </w:r>
      <w:r>
        <w:rPr/>
        <w:t>产</w:t>
      </w:r>
      <w:r>
        <w:rPr>
          <w:spacing w:val="-25"/>
        </w:rPr>
        <w:t>、</w:t>
      </w:r>
      <w:r>
        <w:rPr>
          <w:spacing w:val="-3"/>
        </w:rPr>
        <w:t>基</w:t>
      </w:r>
      <w:r>
        <w:rPr/>
        <w:t>金资产</w:t>
      </w:r>
      <w:r>
        <w:rPr>
          <w:spacing w:val="-3"/>
        </w:rPr>
        <w:t>的</w:t>
      </w:r>
      <w:r>
        <w:rPr/>
        <w:t>估</w:t>
      </w:r>
      <w:r>
        <w:rPr>
          <w:spacing w:val="-3"/>
        </w:rPr>
        <w:t>值</w:t>
      </w:r>
      <w:r>
        <w:rPr>
          <w:spacing w:val="-34"/>
        </w:rPr>
        <w:t>、</w:t>
      </w:r>
      <w:r>
        <w:rPr/>
        <w:t>基金</w:t>
      </w:r>
      <w:r>
        <w:rPr>
          <w:spacing w:val="-3"/>
        </w:rPr>
        <w:t>收</w:t>
      </w:r>
      <w:r>
        <w:rPr/>
        <w:t>益</w:t>
      </w:r>
      <w:r>
        <w:rPr>
          <w:spacing w:val="-3"/>
        </w:rPr>
        <w:t>与</w:t>
      </w:r>
      <w:r>
        <w:rPr/>
        <w:t>分</w:t>
      </w:r>
      <w:r>
        <w:rPr>
          <w:spacing w:val="-3"/>
        </w:rPr>
        <w:t>配</w:t>
      </w:r>
      <w:r>
        <w:rPr>
          <w:spacing w:val="-32"/>
        </w:rPr>
        <w:t>、</w:t>
      </w:r>
      <w:r>
        <w:rPr>
          <w:spacing w:val="-3"/>
        </w:rPr>
        <w:t>基</w:t>
      </w:r>
      <w:r>
        <w:rPr/>
        <w:t>金</w:t>
      </w:r>
      <w:r>
        <w:rPr>
          <w:spacing w:val="-3"/>
        </w:rPr>
        <w:t>的</w:t>
      </w:r>
      <w:r>
        <w:rPr/>
        <w:t>费用</w:t>
      </w:r>
      <w:r>
        <w:rPr>
          <w:spacing w:val="-3"/>
        </w:rPr>
        <w:t>与</w:t>
      </w:r>
      <w:r>
        <w:rPr/>
        <w:t>税</w:t>
      </w:r>
      <w:r>
        <w:rPr>
          <w:spacing w:val="-3"/>
        </w:rPr>
        <w:t>收</w:t>
      </w:r>
      <w:r>
        <w:rPr>
          <w:spacing w:val="-32"/>
        </w:rPr>
        <w:t>、</w:t>
      </w:r>
      <w:r>
        <w:rPr>
          <w:spacing w:val="-3"/>
        </w:rPr>
        <w:t>基</w:t>
      </w:r>
      <w:r>
        <w:rPr/>
        <w:t>金的信息</w:t>
      </w:r>
      <w:r>
        <w:rPr>
          <w:spacing w:val="-3"/>
        </w:rPr>
        <w:t>披露</w:t>
      </w:r>
      <w:r>
        <w:rPr>
          <w:spacing w:val="-32"/>
        </w:rPr>
        <w:t>、</w:t>
      </w:r>
      <w:r>
        <w:rPr>
          <w:spacing w:val="-3"/>
        </w:rPr>
        <w:t>风</w:t>
      </w:r>
      <w:r>
        <w:rPr/>
        <w:t>险揭</w:t>
      </w:r>
      <w:r>
        <w:rPr>
          <w:spacing w:val="-3"/>
        </w:rPr>
        <w:t>示</w:t>
      </w:r>
      <w:r>
        <w:rPr>
          <w:spacing w:val="-34"/>
        </w:rPr>
        <w:t>、</w:t>
      </w:r>
      <w:r>
        <w:rPr>
          <w:spacing w:val="-3"/>
        </w:rPr>
        <w:t>基</w:t>
      </w:r>
      <w:r>
        <w:rPr/>
        <w:t>金的</w:t>
      </w:r>
      <w:r>
        <w:rPr>
          <w:spacing w:val="-3"/>
        </w:rPr>
        <w:t>终</w:t>
      </w:r>
      <w:r>
        <w:rPr/>
        <w:t>止</w:t>
      </w:r>
      <w:r>
        <w:rPr>
          <w:spacing w:val="-3"/>
        </w:rPr>
        <w:t>与</w:t>
      </w:r>
      <w:r>
        <w:rPr/>
        <w:t>清</w:t>
      </w:r>
      <w:r>
        <w:rPr>
          <w:spacing w:val="-3"/>
        </w:rPr>
        <w:t>算</w:t>
      </w:r>
      <w:r>
        <w:rPr>
          <w:spacing w:val="-32"/>
        </w:rPr>
        <w:t>、</w:t>
      </w:r>
      <w:r>
        <w:rPr>
          <w:spacing w:val="-3"/>
        </w:rPr>
        <w:t>基</w:t>
      </w:r>
      <w:r>
        <w:rPr/>
        <w:t>金</w:t>
      </w:r>
      <w:r>
        <w:rPr>
          <w:spacing w:val="-3"/>
        </w:rPr>
        <w:t>合</w:t>
      </w:r>
      <w:r>
        <w:rPr/>
        <w:t>同的</w:t>
      </w:r>
      <w:r>
        <w:rPr>
          <w:spacing w:val="-3"/>
        </w:rPr>
        <w:t>内</w:t>
      </w:r>
      <w:r>
        <w:rPr/>
        <w:t>容摘</w:t>
      </w:r>
      <w:r>
        <w:rPr>
          <w:spacing w:val="-3"/>
        </w:rPr>
        <w:t>要</w:t>
      </w:r>
      <w:r>
        <w:rPr>
          <w:spacing w:val="-99"/>
        </w:rPr>
        <w:t>、</w:t>
      </w:r>
      <w:r>
        <w:rPr>
          <w:spacing w:val="-3"/>
        </w:rPr>
        <w:t>基</w:t>
      </w:r>
      <w:r>
        <w:rPr/>
        <w:t>金</w:t>
      </w:r>
      <w:r>
        <w:rPr>
          <w:spacing w:val="-3"/>
        </w:rPr>
        <w:t>托</w:t>
      </w:r>
      <w:r>
        <w:rPr/>
        <w:t>管</w:t>
      </w:r>
      <w:r>
        <w:rPr>
          <w:spacing w:val="-3"/>
        </w:rPr>
        <w:t>协</w:t>
      </w:r>
      <w:r>
        <w:rPr/>
        <w:t>议</w:t>
      </w:r>
      <w:r>
        <w:rPr>
          <w:spacing w:val="-3"/>
        </w:rPr>
        <w:t>的</w:t>
      </w:r>
      <w:r>
        <w:rPr/>
        <w:t>内</w:t>
      </w:r>
      <w:r>
        <w:rPr>
          <w:spacing w:val="-3"/>
        </w:rPr>
        <w:t>容</w:t>
      </w:r>
      <w:r>
        <w:rPr/>
        <w:t>摘</w:t>
      </w:r>
      <w:r>
        <w:rPr>
          <w:spacing w:val="-3"/>
        </w:rPr>
        <w:t>要</w:t>
      </w:r>
      <w:r>
        <w:rPr>
          <w:spacing w:val="-99"/>
        </w:rPr>
        <w:t>、</w:t>
      </w:r>
      <w:r>
        <w:rPr>
          <w:spacing w:val="-3"/>
        </w:rPr>
        <w:t>对</w:t>
      </w:r>
      <w:r>
        <w:rPr/>
        <w:t>基</w:t>
      </w:r>
      <w:r>
        <w:rPr>
          <w:spacing w:val="-3"/>
        </w:rPr>
        <w:t>金</w:t>
      </w:r>
      <w:r>
        <w:rPr/>
        <w:t>份</w:t>
      </w:r>
      <w:r>
        <w:rPr>
          <w:spacing w:val="-3"/>
        </w:rPr>
        <w:t>额</w:t>
      </w:r>
      <w:r>
        <w:rPr/>
        <w:t>持</w:t>
      </w:r>
      <w:r>
        <w:rPr>
          <w:spacing w:val="-3"/>
        </w:rPr>
        <w:t>有</w:t>
      </w:r>
      <w:r>
        <w:rPr/>
        <w:t>人</w:t>
      </w:r>
      <w:r>
        <w:rPr>
          <w:spacing w:val="-3"/>
        </w:rPr>
        <w:t>的</w:t>
      </w:r>
      <w:r>
        <w:rPr/>
        <w:t>服务、其他</w:t>
      </w:r>
      <w:r>
        <w:rPr>
          <w:spacing w:val="-3"/>
        </w:rPr>
        <w:t>应</w:t>
      </w:r>
      <w:r>
        <w:rPr/>
        <w:t>披</w:t>
      </w:r>
      <w:r>
        <w:rPr>
          <w:spacing w:val="-3"/>
        </w:rPr>
        <w:t>露</w:t>
      </w:r>
      <w:r>
        <w:rPr/>
        <w:t>事</w:t>
      </w:r>
      <w:r>
        <w:rPr>
          <w:spacing w:val="-3"/>
        </w:rPr>
        <w:t>项</w:t>
      </w:r>
      <w:r>
        <w:rPr>
          <w:spacing w:val="-48"/>
        </w:rPr>
        <w:t>、</w:t>
      </w:r>
      <w:r>
        <w:rPr>
          <w:spacing w:val="-3"/>
        </w:rPr>
        <w:t>招</w:t>
      </w:r>
      <w:r>
        <w:rPr/>
        <w:t>募</w:t>
      </w:r>
      <w:r>
        <w:rPr>
          <w:spacing w:val="-3"/>
        </w:rPr>
        <w:t>说</w:t>
      </w:r>
      <w:r>
        <w:rPr/>
        <w:t>明书</w:t>
      </w:r>
      <w:r>
        <w:rPr>
          <w:spacing w:val="-3"/>
        </w:rPr>
        <w:t>的</w:t>
      </w:r>
      <w:r>
        <w:rPr/>
        <w:t>存</w:t>
      </w:r>
      <w:r>
        <w:rPr>
          <w:spacing w:val="-3"/>
        </w:rPr>
        <w:t>放</w:t>
      </w:r>
      <w:r>
        <w:rPr/>
        <w:t>及</w:t>
      </w:r>
      <w:r>
        <w:rPr>
          <w:spacing w:val="-3"/>
        </w:rPr>
        <w:t>查</w:t>
      </w:r>
      <w:r>
        <w:rPr/>
        <w:t>阅</w:t>
      </w:r>
      <w:r>
        <w:rPr>
          <w:spacing w:val="-3"/>
        </w:rPr>
        <w:t>方</w:t>
      </w:r>
      <w:r>
        <w:rPr/>
        <w:t>式</w:t>
      </w:r>
      <w:r>
        <w:rPr>
          <w:spacing w:val="-51"/>
        </w:rPr>
        <w:t>、</w:t>
      </w:r>
      <w:r>
        <w:rPr/>
        <w:t>备查</w:t>
      </w:r>
      <w:r>
        <w:rPr>
          <w:spacing w:val="-3"/>
        </w:rPr>
        <w:t>文</w:t>
      </w:r>
      <w:r>
        <w:rPr/>
        <w:t>件等涉</w:t>
      </w:r>
      <w:r>
        <w:rPr>
          <w:spacing w:val="-3"/>
        </w:rPr>
        <w:t>及</w:t>
      </w:r>
      <w:r>
        <w:rPr/>
        <w:t>本</w:t>
      </w:r>
      <w:r>
        <w:rPr>
          <w:spacing w:val="-3"/>
        </w:rPr>
        <w:t>基</w:t>
      </w:r>
      <w:r>
        <w:rPr/>
        <w:t>金</w:t>
      </w:r>
      <w:r>
        <w:rPr>
          <w:spacing w:val="-3"/>
        </w:rPr>
        <w:t>的</w:t>
      </w:r>
      <w:r>
        <w:rPr/>
        <w:t>信</w:t>
      </w:r>
      <w:r>
        <w:rPr>
          <w:spacing w:val="-3"/>
        </w:rPr>
        <w:t>息</w:t>
      </w:r>
      <w:r>
        <w:rPr>
          <w:spacing w:val="-97"/>
        </w:rPr>
        <w:t>，</w:t>
      </w:r>
      <w:r>
        <w:rPr/>
        <w:t>供</w:t>
      </w:r>
      <w:r>
        <w:rPr>
          <w:spacing w:val="-3"/>
        </w:rPr>
        <w:t>基</w:t>
      </w:r>
      <w:r>
        <w:rPr/>
        <w:t>金投</w:t>
      </w:r>
      <w:r>
        <w:rPr>
          <w:spacing w:val="-3"/>
        </w:rPr>
        <w:t>资</w:t>
      </w:r>
      <w:r>
        <w:rPr/>
        <w:t>者</w:t>
      </w:r>
      <w:r>
        <w:rPr>
          <w:spacing w:val="-3"/>
        </w:rPr>
        <w:t>选</w:t>
      </w:r>
      <w:r>
        <w:rPr/>
        <w:t>择</w:t>
      </w:r>
      <w:r>
        <w:rPr>
          <w:spacing w:val="-3"/>
        </w:rPr>
        <w:t>并</w:t>
      </w:r>
      <w:r>
        <w:rPr/>
        <w:t>决</w:t>
      </w:r>
      <w:r>
        <w:rPr>
          <w:spacing w:val="-3"/>
        </w:rPr>
        <w:t>定</w:t>
      </w:r>
      <w:r>
        <w:rPr/>
        <w:t>是</w:t>
      </w:r>
      <w:r>
        <w:rPr>
          <w:spacing w:val="-3"/>
        </w:rPr>
        <w:t>否</w:t>
      </w:r>
      <w:r>
        <w:rPr/>
        <w:t>提出基金认</w:t>
      </w:r>
      <w:r>
        <w:rPr>
          <w:spacing w:val="-3"/>
        </w:rPr>
        <w:t>购</w:t>
      </w:r>
      <w:r>
        <w:rPr/>
        <w:t>或</w:t>
      </w:r>
      <w:r>
        <w:rPr>
          <w:spacing w:val="-3"/>
        </w:rPr>
        <w:t>申</w:t>
      </w:r>
      <w:r>
        <w:rPr/>
        <w:t>购</w:t>
      </w:r>
      <w:r>
        <w:rPr>
          <w:spacing w:val="-3"/>
        </w:rPr>
        <w:t>申</w:t>
      </w:r>
      <w:r>
        <w:rPr/>
        <w:t>请</w:t>
      </w:r>
      <w:r>
        <w:rPr>
          <w:spacing w:val="-3"/>
        </w:rPr>
        <w:t>的</w:t>
      </w:r>
      <w:r>
        <w:rPr/>
        <w:t>要</w:t>
      </w:r>
      <w:r>
        <w:rPr>
          <w:spacing w:val="-3"/>
        </w:rPr>
        <w:t>约</w:t>
      </w:r>
      <w:r>
        <w:rPr/>
        <w:t>邀请</w:t>
      </w:r>
      <w:r>
        <w:rPr>
          <w:spacing w:val="-3"/>
        </w:rPr>
        <w:t>文</w:t>
      </w:r>
      <w:r>
        <w:rPr/>
        <w:t>件</w:t>
      </w:r>
      <w:r>
        <w:rPr>
          <w:spacing w:val="-3"/>
        </w:rPr>
        <w:t>，</w:t>
      </w:r>
      <w:r>
        <w:rPr/>
        <w:t>及</w:t>
      </w:r>
      <w:r>
        <w:rPr>
          <w:spacing w:val="-3"/>
        </w:rPr>
        <w:t>其</w:t>
      </w:r>
      <w:r>
        <w:rPr/>
        <w:t>更新</w:t>
      </w:r>
    </w:p>
    <w:p>
      <w:pPr>
        <w:pStyle w:val="BodyText"/>
        <w:tabs>
          <w:tab w:pos="3060" w:val="left" w:leader="none"/>
        </w:tabs>
        <w:spacing w:line="267" w:lineRule="exact"/>
      </w:pPr>
      <w:r>
        <w:rPr/>
        <w:t>基金</w:t>
      </w:r>
      <w:r>
        <w:rPr>
          <w:spacing w:val="-3"/>
        </w:rPr>
        <w:t>产</w:t>
      </w:r>
      <w:r>
        <w:rPr/>
        <w:t>品</w:t>
      </w:r>
      <w:r>
        <w:rPr>
          <w:spacing w:val="-3"/>
        </w:rPr>
        <w:t>资</w:t>
      </w:r>
      <w:r>
        <w:rPr/>
        <w:t>料</w:t>
      </w:r>
      <w:r>
        <w:rPr>
          <w:spacing w:val="-3"/>
        </w:rPr>
        <w:t>概</w:t>
      </w:r>
      <w:r>
        <w:rPr/>
        <w:t>要</w:t>
        <w:tab/>
      </w:r>
      <w:r>
        <w:rPr>
          <w:spacing w:val="-94"/>
        </w:rPr>
        <w:t>指</w:t>
      </w:r>
      <w:r>
        <w:rPr>
          <w:spacing w:val="-3"/>
        </w:rPr>
        <w:t>《</w:t>
      </w:r>
      <w:r>
        <w:rPr/>
        <w:t>景</w:t>
      </w:r>
      <w:r>
        <w:rPr>
          <w:spacing w:val="-3"/>
        </w:rPr>
        <w:t>顺</w:t>
      </w:r>
      <w:r>
        <w:rPr/>
        <w:t>长</w:t>
      </w:r>
      <w:r>
        <w:rPr>
          <w:spacing w:val="-3"/>
        </w:rPr>
        <w:t>城</w:t>
      </w:r>
      <w:r>
        <w:rPr/>
        <w:t>新</w:t>
      </w:r>
      <w:r>
        <w:rPr>
          <w:spacing w:val="-3"/>
        </w:rPr>
        <w:t>兴</w:t>
      </w:r>
      <w:r>
        <w:rPr/>
        <w:t>成</w:t>
      </w:r>
      <w:r>
        <w:rPr>
          <w:spacing w:val="-3"/>
        </w:rPr>
        <w:t>长</w:t>
      </w:r>
      <w:r>
        <w:rPr/>
        <w:t>混</w:t>
      </w:r>
      <w:r>
        <w:rPr>
          <w:spacing w:val="-3"/>
        </w:rPr>
        <w:t>合</w:t>
      </w:r>
      <w:r>
        <w:rPr/>
        <w:t>型证</w:t>
      </w:r>
      <w:r>
        <w:rPr>
          <w:spacing w:val="-3"/>
        </w:rPr>
        <w:t>券</w:t>
      </w:r>
      <w:r>
        <w:rPr/>
        <w:t>投</w:t>
      </w:r>
      <w:r>
        <w:rPr>
          <w:spacing w:val="-3"/>
        </w:rPr>
        <w:t>资</w:t>
      </w:r>
      <w:r>
        <w:rPr/>
        <w:t>基</w:t>
      </w:r>
      <w:r>
        <w:rPr>
          <w:spacing w:val="-3"/>
        </w:rPr>
        <w:t>金</w:t>
      </w:r>
      <w:r>
        <w:rPr/>
        <w:t>基金产</w:t>
      </w:r>
      <w:r>
        <w:rPr>
          <w:spacing w:val="-3"/>
        </w:rPr>
        <w:t>品</w:t>
      </w:r>
      <w:r>
        <w:rPr/>
        <w:t>资料概</w:t>
      </w:r>
    </w:p>
    <w:p>
      <w:pPr>
        <w:pStyle w:val="BodyText"/>
        <w:spacing w:before="136"/>
        <w:ind w:left="3061"/>
      </w:pPr>
      <w:r>
        <w:rPr/>
        <w:t>要》及其更新</w:t>
      </w:r>
    </w:p>
    <w:p>
      <w:pPr>
        <w:pStyle w:val="BodyText"/>
        <w:tabs>
          <w:tab w:pos="3060" w:val="left" w:leader="none"/>
        </w:tabs>
        <w:spacing w:line="364" w:lineRule="auto" w:before="139"/>
        <w:ind w:left="3061" w:right="313" w:hanging="2941"/>
      </w:pPr>
      <w:r>
        <w:rPr/>
        <w:t>发售</w:t>
      </w:r>
      <w:r>
        <w:rPr>
          <w:spacing w:val="-3"/>
        </w:rPr>
        <w:t>公</w:t>
      </w:r>
      <w:r>
        <w:rPr/>
        <w:t>告</w:t>
        <w:tab/>
        <w:t>指</w:t>
      </w:r>
      <w:r>
        <w:rPr>
          <w:spacing w:val="-3"/>
        </w:rPr>
        <w:t>本</w:t>
      </w:r>
      <w:r>
        <w:rPr/>
        <w:t>基</w:t>
      </w:r>
      <w:r>
        <w:rPr>
          <w:spacing w:val="-3"/>
        </w:rPr>
        <w:t>金</w:t>
      </w:r>
      <w:r>
        <w:rPr/>
        <w:t>根</w:t>
      </w:r>
      <w:r>
        <w:rPr>
          <w:spacing w:val="-34"/>
        </w:rPr>
        <w:t>据</w:t>
      </w:r>
      <w:r>
        <w:rPr/>
        <w:t>《</w:t>
      </w:r>
      <w:r>
        <w:rPr>
          <w:spacing w:val="-3"/>
        </w:rPr>
        <w:t>运作</w:t>
      </w:r>
      <w:r>
        <w:rPr/>
        <w:t>办</w:t>
      </w:r>
      <w:r>
        <w:rPr>
          <w:spacing w:val="-3"/>
        </w:rPr>
        <w:t>法</w:t>
      </w:r>
      <w:r>
        <w:rPr>
          <w:spacing w:val="-32"/>
        </w:rPr>
        <w:t>》</w:t>
      </w:r>
      <w:r>
        <w:rPr>
          <w:spacing w:val="-3"/>
        </w:rPr>
        <w:t>变</w:t>
      </w:r>
      <w:r>
        <w:rPr/>
        <w:t>更</w:t>
      </w:r>
      <w:r>
        <w:rPr>
          <w:spacing w:val="-3"/>
        </w:rPr>
        <w:t>为</w:t>
      </w:r>
      <w:r>
        <w:rPr/>
        <w:t>混合</w:t>
      </w:r>
      <w:r>
        <w:rPr>
          <w:spacing w:val="-3"/>
        </w:rPr>
        <w:t>基</w:t>
      </w:r>
      <w:r>
        <w:rPr/>
        <w:t>金</w:t>
      </w:r>
      <w:r>
        <w:rPr>
          <w:spacing w:val="-3"/>
        </w:rPr>
        <w:t>前</w:t>
      </w:r>
      <w:r>
        <w:rPr>
          <w:spacing w:val="-31"/>
        </w:rPr>
        <w:t>的</w:t>
      </w:r>
      <w:r>
        <w:rPr>
          <w:spacing w:val="-3"/>
        </w:rPr>
        <w:t>《</w:t>
      </w:r>
      <w:r>
        <w:rPr/>
        <w:t>景</w:t>
      </w:r>
      <w:r>
        <w:rPr>
          <w:spacing w:val="-3"/>
        </w:rPr>
        <w:t>顺</w:t>
      </w:r>
      <w:r>
        <w:rPr/>
        <w:t>长城新兴</w:t>
      </w:r>
      <w:r>
        <w:rPr>
          <w:spacing w:val="-3"/>
        </w:rPr>
        <w:t>成</w:t>
      </w:r>
      <w:r>
        <w:rPr/>
        <w:t>长</w:t>
      </w:r>
      <w:r>
        <w:rPr>
          <w:spacing w:val="-3"/>
        </w:rPr>
        <w:t>股</w:t>
      </w:r>
      <w:r>
        <w:rPr/>
        <w:t>票</w:t>
      </w:r>
      <w:r>
        <w:rPr>
          <w:spacing w:val="-3"/>
        </w:rPr>
        <w:t>型</w:t>
      </w:r>
      <w:r>
        <w:rPr/>
        <w:t>证</w:t>
      </w:r>
      <w:r>
        <w:rPr>
          <w:spacing w:val="-3"/>
        </w:rPr>
        <w:t>券</w:t>
      </w:r>
      <w:r>
        <w:rPr/>
        <w:t>投</w:t>
      </w:r>
      <w:r>
        <w:rPr>
          <w:spacing w:val="-3"/>
        </w:rPr>
        <w:t>资</w:t>
      </w:r>
      <w:r>
        <w:rPr/>
        <w:t>基金</w:t>
      </w:r>
      <w:r>
        <w:rPr>
          <w:spacing w:val="-3"/>
        </w:rPr>
        <w:t>份</w:t>
      </w:r>
      <w:r>
        <w:rPr/>
        <w:t>额</w:t>
      </w:r>
      <w:r>
        <w:rPr>
          <w:spacing w:val="-3"/>
        </w:rPr>
        <w:t>发</w:t>
      </w:r>
      <w:r>
        <w:rPr/>
        <w:t>售</w:t>
      </w:r>
      <w:r>
        <w:rPr>
          <w:spacing w:val="-3"/>
        </w:rPr>
        <w:t>公</w:t>
      </w:r>
      <w:r>
        <w:rPr/>
        <w:t>告》</w:t>
      </w:r>
    </w:p>
    <w:p>
      <w:pPr>
        <w:pStyle w:val="BodyText"/>
        <w:tabs>
          <w:tab w:pos="3060" w:val="left" w:leader="none"/>
        </w:tabs>
        <w:spacing w:line="367" w:lineRule="auto"/>
        <w:ind w:left="3061" w:right="313" w:hanging="2941"/>
      </w:pPr>
      <w:r>
        <w:rPr/>
        <w:t>业务</w:t>
      </w:r>
      <w:r>
        <w:rPr>
          <w:spacing w:val="-3"/>
        </w:rPr>
        <w:t>规</w:t>
      </w:r>
      <w:r>
        <w:rPr/>
        <w:t>则</w:t>
        <w:tab/>
      </w:r>
      <w:r>
        <w:rPr>
          <w:spacing w:val="-94"/>
        </w:rPr>
        <w:t>指</w:t>
      </w:r>
      <w:r>
        <w:rPr>
          <w:spacing w:val="-3"/>
        </w:rPr>
        <w:t>《</w:t>
      </w:r>
      <w:r>
        <w:rPr/>
        <w:t>景</w:t>
      </w:r>
      <w:r>
        <w:rPr>
          <w:spacing w:val="-3"/>
        </w:rPr>
        <w:t>顺</w:t>
      </w:r>
      <w:r>
        <w:rPr/>
        <w:t>长</w:t>
      </w:r>
      <w:r>
        <w:rPr>
          <w:spacing w:val="-3"/>
        </w:rPr>
        <w:t>城</w:t>
      </w:r>
      <w:r>
        <w:rPr/>
        <w:t>基</w:t>
      </w:r>
      <w:r>
        <w:rPr>
          <w:spacing w:val="-3"/>
        </w:rPr>
        <w:t>金管</w:t>
      </w:r>
      <w:r>
        <w:rPr/>
        <w:t>理有</w:t>
      </w:r>
      <w:r>
        <w:rPr>
          <w:spacing w:val="-3"/>
        </w:rPr>
        <w:t>限</w:t>
      </w:r>
      <w:r>
        <w:rPr/>
        <w:t>公</w:t>
      </w:r>
      <w:r>
        <w:rPr>
          <w:spacing w:val="-3"/>
        </w:rPr>
        <w:t>司</w:t>
      </w:r>
      <w:r>
        <w:rPr/>
        <w:t>开</w:t>
      </w:r>
      <w:r>
        <w:rPr>
          <w:spacing w:val="-3"/>
        </w:rPr>
        <w:t>放</w:t>
      </w:r>
      <w:r>
        <w:rPr/>
        <w:t>式</w:t>
      </w:r>
      <w:r>
        <w:rPr>
          <w:spacing w:val="-3"/>
        </w:rPr>
        <w:t>基</w:t>
      </w:r>
      <w:r>
        <w:rPr/>
        <w:t>金</w:t>
      </w:r>
      <w:r>
        <w:rPr>
          <w:spacing w:val="-3"/>
        </w:rPr>
        <w:t>注</w:t>
      </w:r>
      <w:r>
        <w:rPr/>
        <w:t>册登</w:t>
      </w:r>
      <w:r>
        <w:rPr>
          <w:spacing w:val="-3"/>
        </w:rPr>
        <w:t>记</w:t>
      </w:r>
      <w:r>
        <w:rPr/>
        <w:t>业</w:t>
      </w:r>
      <w:r>
        <w:rPr>
          <w:spacing w:val="-3"/>
        </w:rPr>
        <w:t>务</w:t>
      </w:r>
      <w:r>
        <w:rPr/>
        <w:t>规则》</w:t>
      </w:r>
    </w:p>
    <w:p>
      <w:pPr>
        <w:pStyle w:val="BodyText"/>
        <w:tabs>
          <w:tab w:pos="3060" w:val="left" w:leader="none"/>
        </w:tabs>
        <w:spacing w:line="264" w:lineRule="exact"/>
      </w:pPr>
      <w:r>
        <w:rPr/>
        <w:t>中国</w:t>
      </w:r>
      <w:r>
        <w:rPr>
          <w:spacing w:val="-3"/>
        </w:rPr>
        <w:t>证</w:t>
      </w:r>
      <w:r>
        <w:rPr/>
        <w:t>监会</w:t>
        <w:tab/>
        <w:t>指</w:t>
      </w:r>
      <w:r>
        <w:rPr>
          <w:spacing w:val="-3"/>
        </w:rPr>
        <w:t>中</w:t>
      </w:r>
      <w:r>
        <w:rPr/>
        <w:t>国</w:t>
      </w:r>
      <w:r>
        <w:rPr>
          <w:spacing w:val="-3"/>
        </w:rPr>
        <w:t>证</w:t>
      </w:r>
      <w:r>
        <w:rPr/>
        <w:t>券</w:t>
      </w:r>
      <w:r>
        <w:rPr>
          <w:spacing w:val="-3"/>
        </w:rPr>
        <w:t>监</w:t>
      </w:r>
      <w:r>
        <w:rPr/>
        <w:t>督</w:t>
      </w:r>
      <w:r>
        <w:rPr>
          <w:spacing w:val="-3"/>
        </w:rPr>
        <w:t>管理</w:t>
      </w:r>
      <w:r>
        <w:rPr/>
        <w:t>委员会</w:t>
      </w:r>
    </w:p>
    <w:p>
      <w:pPr>
        <w:pStyle w:val="BodyText"/>
        <w:tabs>
          <w:tab w:pos="3060" w:val="left" w:leader="none"/>
        </w:tabs>
        <w:spacing w:before="138"/>
      </w:pPr>
      <w:r>
        <w:rPr/>
        <w:t>银行</w:t>
      </w:r>
      <w:r>
        <w:rPr>
          <w:spacing w:val="-3"/>
        </w:rPr>
        <w:t>监</w:t>
      </w:r>
      <w:r>
        <w:rPr/>
        <w:t>管</w:t>
      </w:r>
      <w:r>
        <w:rPr>
          <w:spacing w:val="-3"/>
        </w:rPr>
        <w:t>机</w:t>
      </w:r>
      <w:r>
        <w:rPr/>
        <w:t>构</w:t>
        <w:tab/>
        <w:t>指</w:t>
      </w:r>
      <w:r>
        <w:rPr>
          <w:spacing w:val="-3"/>
        </w:rPr>
        <w:t>中</w:t>
      </w:r>
      <w:r>
        <w:rPr/>
        <w:t>国</w:t>
      </w:r>
      <w:r>
        <w:rPr>
          <w:spacing w:val="-3"/>
        </w:rPr>
        <w:t>银</w:t>
      </w:r>
      <w:r>
        <w:rPr/>
        <w:t>行</w:t>
      </w:r>
      <w:r>
        <w:rPr>
          <w:spacing w:val="-3"/>
        </w:rPr>
        <w:t>业</w:t>
      </w:r>
      <w:r>
        <w:rPr/>
        <w:t>监</w:t>
      </w:r>
      <w:r>
        <w:rPr>
          <w:spacing w:val="-3"/>
        </w:rPr>
        <w:t>督管</w:t>
      </w:r>
      <w:r>
        <w:rPr/>
        <w:t>理委</w:t>
      </w:r>
      <w:r>
        <w:rPr>
          <w:spacing w:val="-3"/>
        </w:rPr>
        <w:t>员</w:t>
      </w:r>
      <w:r>
        <w:rPr/>
        <w:t>会</w:t>
      </w:r>
      <w:r>
        <w:rPr>
          <w:spacing w:val="-3"/>
        </w:rPr>
        <w:t>或</w:t>
      </w:r>
      <w:r>
        <w:rPr/>
        <w:t>其</w:t>
      </w:r>
      <w:r>
        <w:rPr>
          <w:spacing w:val="-3"/>
        </w:rPr>
        <w:t>他</w:t>
      </w:r>
      <w:r>
        <w:rPr/>
        <w:t>经</w:t>
      </w:r>
      <w:r>
        <w:rPr>
          <w:spacing w:val="-3"/>
        </w:rPr>
        <w:t>国</w:t>
      </w:r>
      <w:r>
        <w:rPr/>
        <w:t>务</w:t>
      </w:r>
      <w:r>
        <w:rPr>
          <w:spacing w:val="-3"/>
        </w:rPr>
        <w:t>院</w:t>
      </w:r>
      <w:r>
        <w:rPr/>
        <w:t>授权</w:t>
      </w:r>
      <w:r>
        <w:rPr>
          <w:spacing w:val="-3"/>
        </w:rPr>
        <w:t>的</w:t>
      </w:r>
      <w:r>
        <w:rPr/>
        <w:t>机构</w:t>
      </w:r>
    </w:p>
    <w:p>
      <w:pPr>
        <w:pStyle w:val="BodyText"/>
        <w:tabs>
          <w:tab w:pos="3060" w:val="left" w:leader="none"/>
        </w:tabs>
        <w:spacing w:before="139"/>
      </w:pPr>
      <w:r>
        <w:rPr/>
        <w:t>基金</w:t>
      </w:r>
      <w:r>
        <w:rPr>
          <w:spacing w:val="-3"/>
        </w:rPr>
        <w:t>管</w:t>
      </w:r>
      <w:r>
        <w:rPr/>
        <w:t>理人</w:t>
        <w:tab/>
        <w:t>指</w:t>
      </w:r>
      <w:r>
        <w:rPr>
          <w:spacing w:val="-3"/>
        </w:rPr>
        <w:t>景</w:t>
      </w:r>
      <w:r>
        <w:rPr/>
        <w:t>顺</w:t>
      </w:r>
      <w:r>
        <w:rPr>
          <w:spacing w:val="-3"/>
        </w:rPr>
        <w:t>长</w:t>
      </w:r>
      <w:r>
        <w:rPr/>
        <w:t>城</w:t>
      </w:r>
      <w:r>
        <w:rPr>
          <w:spacing w:val="-3"/>
        </w:rPr>
        <w:t>基</w:t>
      </w:r>
      <w:r>
        <w:rPr/>
        <w:t>金</w:t>
      </w:r>
      <w:r>
        <w:rPr>
          <w:spacing w:val="-3"/>
        </w:rPr>
        <w:t>管理</w:t>
      </w:r>
      <w:r>
        <w:rPr/>
        <w:t>有限</w:t>
      </w:r>
      <w:r>
        <w:rPr>
          <w:spacing w:val="-3"/>
        </w:rPr>
        <w:t>公</w:t>
      </w:r>
      <w:r>
        <w:rPr/>
        <w:t>司</w:t>
      </w:r>
    </w:p>
    <w:p>
      <w:pPr>
        <w:pStyle w:val="BodyText"/>
        <w:tabs>
          <w:tab w:pos="3060" w:val="left" w:leader="none"/>
        </w:tabs>
        <w:spacing w:before="139"/>
      </w:pPr>
      <w:r>
        <w:rPr/>
        <w:t>基金</w:t>
      </w:r>
      <w:r>
        <w:rPr>
          <w:spacing w:val="-3"/>
        </w:rPr>
        <w:t>托</w:t>
      </w:r>
      <w:r>
        <w:rPr/>
        <w:t>管人</w:t>
        <w:tab/>
        <w:t>指</w:t>
      </w:r>
      <w:r>
        <w:rPr>
          <w:spacing w:val="-3"/>
        </w:rPr>
        <w:t>中</w:t>
      </w:r>
      <w:r>
        <w:rPr/>
        <w:t>国</w:t>
      </w:r>
      <w:r>
        <w:rPr>
          <w:spacing w:val="-3"/>
        </w:rPr>
        <w:t>工</w:t>
      </w:r>
      <w:r>
        <w:rPr/>
        <w:t>商</w:t>
      </w:r>
      <w:r>
        <w:rPr>
          <w:spacing w:val="-3"/>
        </w:rPr>
        <w:t>银</w:t>
      </w:r>
      <w:r>
        <w:rPr/>
        <w:t>行</w:t>
      </w:r>
      <w:r>
        <w:rPr>
          <w:spacing w:val="-3"/>
        </w:rPr>
        <w:t>股份</w:t>
      </w:r>
      <w:r>
        <w:rPr/>
        <w:t>有限</w:t>
      </w:r>
      <w:r>
        <w:rPr>
          <w:spacing w:val="-3"/>
        </w:rPr>
        <w:t>公</w:t>
      </w:r>
      <w:r>
        <w:rPr/>
        <w:t>司</w:t>
      </w:r>
    </w:p>
    <w:p>
      <w:pPr>
        <w:pStyle w:val="BodyText"/>
        <w:tabs>
          <w:tab w:pos="3060" w:val="left" w:leader="none"/>
        </w:tabs>
        <w:spacing w:before="141"/>
      </w:pPr>
      <w:r>
        <w:rPr/>
        <w:t>基金</w:t>
      </w:r>
      <w:r>
        <w:rPr>
          <w:spacing w:val="-3"/>
        </w:rPr>
        <w:t>份</w:t>
      </w:r>
      <w:r>
        <w:rPr/>
        <w:t>额</w:t>
      </w:r>
      <w:r>
        <w:rPr>
          <w:spacing w:val="-3"/>
        </w:rPr>
        <w:t>持</w:t>
      </w:r>
      <w:r>
        <w:rPr/>
        <w:t>有人</w:t>
        <w:tab/>
        <w:t>指</w:t>
      </w:r>
      <w:r>
        <w:rPr>
          <w:spacing w:val="-3"/>
        </w:rPr>
        <w:t>根</w:t>
      </w:r>
      <w:r>
        <w:rPr>
          <w:spacing w:val="-48"/>
        </w:rPr>
        <w:t>据</w:t>
      </w:r>
      <w:r>
        <w:rPr/>
        <w:t>《</w:t>
      </w:r>
      <w:r>
        <w:rPr>
          <w:spacing w:val="-3"/>
        </w:rPr>
        <w:t>基</w:t>
      </w:r>
      <w:r>
        <w:rPr/>
        <w:t>金</w:t>
      </w:r>
      <w:r>
        <w:rPr>
          <w:spacing w:val="-3"/>
        </w:rPr>
        <w:t>合</w:t>
      </w:r>
      <w:r>
        <w:rPr/>
        <w:t>同</w:t>
      </w:r>
      <w:r>
        <w:rPr>
          <w:spacing w:val="-51"/>
        </w:rPr>
        <w:t>》</w:t>
      </w:r>
      <w:r>
        <w:rPr/>
        <w:t>及相</w:t>
      </w:r>
      <w:r>
        <w:rPr>
          <w:spacing w:val="-3"/>
        </w:rPr>
        <w:t>关</w:t>
      </w:r>
      <w:r>
        <w:rPr/>
        <w:t>文</w:t>
      </w:r>
      <w:r>
        <w:rPr>
          <w:spacing w:val="-3"/>
        </w:rPr>
        <w:t>件</w:t>
      </w:r>
      <w:r>
        <w:rPr/>
        <w:t>合</w:t>
      </w:r>
      <w:r>
        <w:rPr>
          <w:spacing w:val="-3"/>
        </w:rPr>
        <w:t>法</w:t>
      </w:r>
      <w:r>
        <w:rPr/>
        <w:t>取</w:t>
      </w:r>
      <w:r>
        <w:rPr>
          <w:spacing w:val="-3"/>
        </w:rPr>
        <w:t>得</w:t>
      </w:r>
      <w:r>
        <w:rPr/>
        <w:t>本</w:t>
      </w:r>
      <w:r>
        <w:rPr>
          <w:spacing w:val="-3"/>
        </w:rPr>
        <w:t>基</w:t>
      </w:r>
      <w:r>
        <w:rPr/>
        <w:t>金基</w:t>
      </w:r>
      <w:r>
        <w:rPr>
          <w:spacing w:val="-3"/>
        </w:rPr>
        <w:t>金</w:t>
      </w:r>
      <w:r>
        <w:rPr/>
        <w:t>份</w:t>
      </w:r>
      <w:r>
        <w:rPr>
          <w:spacing w:val="-3"/>
        </w:rPr>
        <w:t>额</w:t>
      </w:r>
      <w:r>
        <w:rPr/>
        <w:t>的</w:t>
      </w:r>
    </w:p>
    <w:p>
      <w:pPr>
        <w:pStyle w:val="BodyText"/>
        <w:spacing w:before="139"/>
        <w:ind w:left="3061"/>
      </w:pPr>
      <w:r>
        <w:rPr/>
        <w:t>投资者</w:t>
      </w:r>
    </w:p>
    <w:p>
      <w:pPr>
        <w:pStyle w:val="BodyText"/>
        <w:tabs>
          <w:tab w:pos="3060" w:val="left" w:leader="none"/>
        </w:tabs>
        <w:spacing w:before="139"/>
      </w:pPr>
      <w:r>
        <w:rPr/>
        <w:t>基金</w:t>
      </w:r>
      <w:r>
        <w:rPr>
          <w:spacing w:val="-3"/>
        </w:rPr>
        <w:t>代</w:t>
      </w:r>
      <w:r>
        <w:rPr/>
        <w:t>销</w:t>
      </w:r>
      <w:r>
        <w:rPr>
          <w:spacing w:val="-3"/>
        </w:rPr>
        <w:t>机</w:t>
      </w:r>
      <w:r>
        <w:rPr/>
        <w:t>构</w:t>
        <w:tab/>
        <w:t>指</w:t>
      </w:r>
      <w:r>
        <w:rPr>
          <w:spacing w:val="-3"/>
        </w:rPr>
        <w:t>依</w:t>
      </w:r>
      <w:r>
        <w:rPr/>
        <w:t>据</w:t>
      </w:r>
      <w:r>
        <w:rPr>
          <w:spacing w:val="-3"/>
        </w:rPr>
        <w:t>有</w:t>
      </w:r>
      <w:r>
        <w:rPr/>
        <w:t>关</w:t>
      </w:r>
      <w:r>
        <w:rPr>
          <w:spacing w:val="-3"/>
        </w:rPr>
        <w:t>基</w:t>
      </w:r>
      <w:r>
        <w:rPr/>
        <w:t>金</w:t>
      </w:r>
      <w:r>
        <w:rPr>
          <w:spacing w:val="-3"/>
        </w:rPr>
        <w:t>销售</w:t>
      </w:r>
      <w:r>
        <w:rPr/>
        <w:t>与服</w:t>
      </w:r>
      <w:r>
        <w:rPr>
          <w:spacing w:val="-3"/>
        </w:rPr>
        <w:t>务</w:t>
      </w:r>
      <w:r>
        <w:rPr/>
        <w:t>代</w:t>
      </w:r>
      <w:r>
        <w:rPr>
          <w:spacing w:val="-3"/>
        </w:rPr>
        <w:t>理</w:t>
      </w:r>
      <w:r>
        <w:rPr/>
        <w:t>协</w:t>
      </w:r>
      <w:r>
        <w:rPr>
          <w:spacing w:val="-3"/>
        </w:rPr>
        <w:t>议</w:t>
      </w:r>
      <w:r>
        <w:rPr/>
        <w:t>办</w:t>
      </w:r>
      <w:r>
        <w:rPr>
          <w:spacing w:val="-3"/>
        </w:rPr>
        <w:t>理</w:t>
      </w:r>
      <w:r>
        <w:rPr/>
        <w:t>本</w:t>
      </w:r>
      <w:r>
        <w:rPr>
          <w:spacing w:val="-3"/>
        </w:rPr>
        <w:t>基</w:t>
      </w:r>
      <w:r>
        <w:rPr/>
        <w:t>金发</w:t>
      </w:r>
      <w:r>
        <w:rPr>
          <w:spacing w:val="-3"/>
        </w:rPr>
        <w:t>售</w:t>
      </w:r>
      <w:r>
        <w:rPr>
          <w:spacing w:val="-97"/>
        </w:rPr>
        <w:t>、</w:t>
      </w:r>
      <w:r>
        <w:rPr/>
        <w:t>申</w:t>
      </w:r>
      <w:r>
        <w:rPr>
          <w:spacing w:val="-3"/>
        </w:rPr>
        <w:t>购</w:t>
      </w:r>
      <w:r>
        <w:rPr/>
        <w:t>、</w:t>
      </w:r>
    </w:p>
    <w:p>
      <w:pPr>
        <w:spacing w:after="0"/>
        <w:sectPr>
          <w:pgSz w:w="11910" w:h="16840"/>
          <w:pgMar w:header="877" w:footer="1195" w:top="1380" w:bottom="1380" w:left="1680" w:right="1480"/>
        </w:sectPr>
      </w:pPr>
    </w:p>
    <w:p>
      <w:pPr>
        <w:pStyle w:val="BodyText"/>
        <w:spacing w:before="61"/>
        <w:ind w:left="3061"/>
      </w:pPr>
      <w:r>
        <w:rPr/>
        <w:t>赎回和其他基金业务的代理机构</w:t>
      </w:r>
    </w:p>
    <w:p>
      <w:pPr>
        <w:pStyle w:val="BodyText"/>
        <w:tabs>
          <w:tab w:pos="3060" w:val="left" w:leader="none"/>
        </w:tabs>
        <w:spacing w:before="139"/>
      </w:pPr>
      <w:r>
        <w:rPr/>
        <w:t>销售</w:t>
      </w:r>
      <w:r>
        <w:rPr>
          <w:spacing w:val="-3"/>
        </w:rPr>
        <w:t>机</w:t>
      </w:r>
      <w:r>
        <w:rPr/>
        <w:t>构</w:t>
        <w:tab/>
        <w:t>指</w:t>
      </w:r>
      <w:r>
        <w:rPr>
          <w:spacing w:val="-3"/>
        </w:rPr>
        <w:t>基</w:t>
      </w:r>
      <w:r>
        <w:rPr/>
        <w:t>金</w:t>
      </w:r>
      <w:r>
        <w:rPr>
          <w:spacing w:val="-3"/>
        </w:rPr>
        <w:t>管</w:t>
      </w:r>
      <w:r>
        <w:rPr/>
        <w:t>理</w:t>
      </w:r>
      <w:r>
        <w:rPr>
          <w:spacing w:val="-3"/>
        </w:rPr>
        <w:t>人</w:t>
      </w:r>
      <w:r>
        <w:rPr/>
        <w:t>及</w:t>
      </w:r>
      <w:r>
        <w:rPr>
          <w:spacing w:val="-3"/>
        </w:rPr>
        <w:t>基金</w:t>
      </w:r>
      <w:r>
        <w:rPr/>
        <w:t>代销</w:t>
      </w:r>
      <w:r>
        <w:rPr>
          <w:spacing w:val="-3"/>
        </w:rPr>
        <w:t>机</w:t>
      </w:r>
      <w:r>
        <w:rPr/>
        <w:t>构</w:t>
      </w:r>
    </w:p>
    <w:p>
      <w:pPr>
        <w:pStyle w:val="BodyText"/>
        <w:tabs>
          <w:tab w:pos="3060" w:val="left" w:leader="none"/>
        </w:tabs>
        <w:spacing w:before="139"/>
      </w:pPr>
      <w:r>
        <w:rPr/>
        <w:t>基金</w:t>
      </w:r>
      <w:r>
        <w:rPr>
          <w:spacing w:val="-3"/>
        </w:rPr>
        <w:t>销</w:t>
      </w:r>
      <w:r>
        <w:rPr/>
        <w:t>售</w:t>
      </w:r>
      <w:r>
        <w:rPr>
          <w:spacing w:val="-3"/>
        </w:rPr>
        <w:t>网</w:t>
      </w:r>
      <w:r>
        <w:rPr/>
        <w:t>点</w:t>
        <w:tab/>
        <w:t>指</w:t>
      </w:r>
      <w:r>
        <w:rPr>
          <w:spacing w:val="-3"/>
        </w:rPr>
        <w:t>基</w:t>
      </w:r>
      <w:r>
        <w:rPr/>
        <w:t>金</w:t>
      </w:r>
      <w:r>
        <w:rPr>
          <w:spacing w:val="-3"/>
        </w:rPr>
        <w:t>管</w:t>
      </w:r>
      <w:r>
        <w:rPr/>
        <w:t>理</w:t>
      </w:r>
      <w:r>
        <w:rPr>
          <w:spacing w:val="-3"/>
        </w:rPr>
        <w:t>人</w:t>
      </w:r>
      <w:r>
        <w:rPr/>
        <w:t>的</w:t>
      </w:r>
      <w:r>
        <w:rPr>
          <w:spacing w:val="-3"/>
        </w:rPr>
        <w:t>直销</w:t>
      </w:r>
      <w:r>
        <w:rPr/>
        <w:t>网点</w:t>
      </w:r>
      <w:r>
        <w:rPr>
          <w:spacing w:val="-3"/>
        </w:rPr>
        <w:t>及</w:t>
      </w:r>
      <w:r>
        <w:rPr/>
        <w:t>基</w:t>
      </w:r>
      <w:r>
        <w:rPr>
          <w:spacing w:val="-3"/>
        </w:rPr>
        <w:t>金</w:t>
      </w:r>
      <w:r>
        <w:rPr/>
        <w:t>代</w:t>
      </w:r>
      <w:r>
        <w:rPr>
          <w:spacing w:val="-3"/>
        </w:rPr>
        <w:t>销</w:t>
      </w:r>
      <w:r>
        <w:rPr/>
        <w:t>机</w:t>
      </w:r>
      <w:r>
        <w:rPr>
          <w:spacing w:val="-3"/>
        </w:rPr>
        <w:t>构</w:t>
      </w:r>
      <w:r>
        <w:rPr/>
        <w:t>的</w:t>
      </w:r>
      <w:r>
        <w:rPr>
          <w:spacing w:val="-3"/>
        </w:rPr>
        <w:t>代</w:t>
      </w:r>
      <w:r>
        <w:rPr/>
        <w:t>销网点</w:t>
      </w:r>
    </w:p>
    <w:p>
      <w:pPr>
        <w:pStyle w:val="BodyText"/>
        <w:tabs>
          <w:tab w:pos="3060" w:val="left" w:leader="none"/>
        </w:tabs>
        <w:spacing w:line="364" w:lineRule="auto" w:before="141"/>
        <w:ind w:left="3061" w:right="211" w:hanging="2941"/>
      </w:pPr>
      <w:r>
        <w:rPr/>
        <w:t>注册</w:t>
      </w:r>
      <w:r>
        <w:rPr>
          <w:spacing w:val="-3"/>
        </w:rPr>
        <w:t>登</w:t>
      </w:r>
      <w:r>
        <w:rPr/>
        <w:t>记</w:t>
      </w:r>
      <w:r>
        <w:rPr>
          <w:spacing w:val="-3"/>
        </w:rPr>
        <w:t>业</w:t>
      </w:r>
      <w:r>
        <w:rPr/>
        <w:t>务</w:t>
        <w:tab/>
        <w:t>指</w:t>
      </w:r>
      <w:r>
        <w:rPr>
          <w:spacing w:val="-3"/>
        </w:rPr>
        <w:t>基</w:t>
      </w:r>
      <w:r>
        <w:rPr/>
        <w:t>金</w:t>
      </w:r>
      <w:r>
        <w:rPr>
          <w:spacing w:val="-3"/>
        </w:rPr>
        <w:t>登</w:t>
      </w:r>
      <w:r>
        <w:rPr/>
        <w:t>记</w:t>
      </w:r>
      <w:r>
        <w:rPr>
          <w:spacing w:val="-34"/>
        </w:rPr>
        <w:t>、</w:t>
      </w:r>
      <w:r>
        <w:rPr/>
        <w:t>存</w:t>
      </w:r>
      <w:r>
        <w:rPr>
          <w:spacing w:val="-3"/>
        </w:rPr>
        <w:t>管</w:t>
      </w:r>
      <w:r>
        <w:rPr>
          <w:spacing w:val="-34"/>
        </w:rPr>
        <w:t>、</w:t>
      </w:r>
      <w:r>
        <w:rPr/>
        <w:t>清算</w:t>
      </w:r>
      <w:r>
        <w:rPr>
          <w:spacing w:val="-3"/>
        </w:rPr>
        <w:t>和</w:t>
      </w:r>
      <w:r>
        <w:rPr/>
        <w:t>交</w:t>
      </w:r>
      <w:r>
        <w:rPr>
          <w:spacing w:val="-3"/>
        </w:rPr>
        <w:t>收</w:t>
      </w:r>
      <w:r>
        <w:rPr/>
        <w:t>业</w:t>
      </w:r>
      <w:r>
        <w:rPr>
          <w:spacing w:val="-3"/>
        </w:rPr>
        <w:t>务</w:t>
      </w:r>
      <w:r>
        <w:rPr>
          <w:spacing w:val="-32"/>
        </w:rPr>
        <w:t>，</w:t>
      </w:r>
      <w:r>
        <w:rPr>
          <w:spacing w:val="-3"/>
        </w:rPr>
        <w:t>具</w:t>
      </w:r>
      <w:r>
        <w:rPr/>
        <w:t>体</w:t>
      </w:r>
      <w:r>
        <w:rPr>
          <w:spacing w:val="-3"/>
        </w:rPr>
        <w:t>内</w:t>
      </w:r>
      <w:r>
        <w:rPr/>
        <w:t>容包</w:t>
      </w:r>
      <w:r>
        <w:rPr>
          <w:spacing w:val="-3"/>
        </w:rPr>
        <w:t>括</w:t>
      </w:r>
      <w:r>
        <w:rPr/>
        <w:t>投</w:t>
      </w:r>
      <w:r>
        <w:rPr>
          <w:spacing w:val="-3"/>
        </w:rPr>
        <w:t>资</w:t>
      </w:r>
      <w:r>
        <w:rPr/>
        <w:t>者基金</w:t>
      </w:r>
      <w:r>
        <w:rPr>
          <w:spacing w:val="-3"/>
        </w:rPr>
        <w:t>账</w:t>
      </w:r>
      <w:r>
        <w:rPr/>
        <w:t>户</w:t>
      </w:r>
      <w:r>
        <w:rPr>
          <w:spacing w:val="-3"/>
        </w:rPr>
        <w:t>管</w:t>
      </w:r>
      <w:r>
        <w:rPr/>
        <w:t>理</w:t>
      </w:r>
      <w:r>
        <w:rPr>
          <w:spacing w:val="-3"/>
        </w:rPr>
        <w:t>、</w:t>
      </w:r>
      <w:r>
        <w:rPr/>
        <w:t>基</w:t>
      </w:r>
      <w:r>
        <w:rPr>
          <w:spacing w:val="-3"/>
        </w:rPr>
        <w:t>金</w:t>
      </w:r>
      <w:r>
        <w:rPr/>
        <w:t>份</w:t>
      </w:r>
      <w:r>
        <w:rPr>
          <w:spacing w:val="-3"/>
        </w:rPr>
        <w:t>额</w:t>
      </w:r>
      <w:r>
        <w:rPr/>
        <w:t>注册</w:t>
      </w:r>
      <w:r>
        <w:rPr>
          <w:spacing w:val="-3"/>
        </w:rPr>
        <w:t>登</w:t>
      </w:r>
      <w:r>
        <w:rPr/>
        <w:t>记</w:t>
      </w:r>
      <w:r>
        <w:rPr>
          <w:spacing w:val="-3"/>
        </w:rPr>
        <w:t>、</w:t>
      </w:r>
      <w:r>
        <w:rPr/>
        <w:t>清</w:t>
      </w:r>
      <w:r>
        <w:rPr>
          <w:spacing w:val="-3"/>
        </w:rPr>
        <w:t>算</w:t>
      </w:r>
      <w:r>
        <w:rPr/>
        <w:t>及</w:t>
      </w:r>
      <w:r>
        <w:rPr>
          <w:spacing w:val="-3"/>
        </w:rPr>
        <w:t>基</w:t>
      </w:r>
      <w:r>
        <w:rPr/>
        <w:t>金</w:t>
      </w:r>
      <w:r>
        <w:rPr>
          <w:spacing w:val="-3"/>
        </w:rPr>
        <w:t>交</w:t>
      </w:r>
      <w:r>
        <w:rPr/>
        <w:t>易确认</w:t>
      </w:r>
      <w:r>
        <w:rPr>
          <w:spacing w:val="-11"/>
        </w:rPr>
        <w:t>、</w:t>
      </w:r>
      <w:r>
        <w:rPr/>
        <w:t>发放</w:t>
      </w:r>
      <w:r>
        <w:rPr>
          <w:spacing w:val="-3"/>
        </w:rPr>
        <w:t>红</w:t>
      </w:r>
      <w:r>
        <w:rPr/>
        <w:t>利</w:t>
      </w:r>
      <w:r>
        <w:rPr>
          <w:spacing w:val="-3"/>
        </w:rPr>
        <w:t>、</w:t>
      </w:r>
      <w:r>
        <w:rPr/>
        <w:t>建</w:t>
      </w:r>
      <w:r>
        <w:rPr>
          <w:spacing w:val="-3"/>
        </w:rPr>
        <w:t>立</w:t>
      </w:r>
      <w:r>
        <w:rPr/>
        <w:t>并</w:t>
      </w:r>
      <w:r>
        <w:rPr>
          <w:spacing w:val="-3"/>
        </w:rPr>
        <w:t>保</w:t>
      </w:r>
      <w:r>
        <w:rPr/>
        <w:t>管</w:t>
      </w:r>
      <w:r>
        <w:rPr>
          <w:spacing w:val="-3"/>
        </w:rPr>
        <w:t>基</w:t>
      </w:r>
      <w:r>
        <w:rPr/>
        <w:t>金份</w:t>
      </w:r>
      <w:r>
        <w:rPr>
          <w:spacing w:val="-3"/>
        </w:rPr>
        <w:t>额</w:t>
      </w:r>
      <w:r>
        <w:rPr/>
        <w:t>持</w:t>
      </w:r>
      <w:r>
        <w:rPr>
          <w:spacing w:val="-3"/>
        </w:rPr>
        <w:t>有</w:t>
      </w:r>
      <w:r>
        <w:rPr/>
        <w:t>人</w:t>
      </w:r>
      <w:r>
        <w:rPr>
          <w:spacing w:val="-3"/>
        </w:rPr>
        <w:t>名</w:t>
      </w:r>
      <w:r>
        <w:rPr/>
        <w:t>册等</w:t>
      </w:r>
    </w:p>
    <w:p>
      <w:pPr>
        <w:pStyle w:val="BodyText"/>
        <w:tabs>
          <w:tab w:pos="3060" w:val="left" w:leader="none"/>
        </w:tabs>
        <w:spacing w:line="266" w:lineRule="exact"/>
      </w:pPr>
      <w:r>
        <w:rPr/>
        <w:t>基金</w:t>
      </w:r>
      <w:r>
        <w:rPr>
          <w:spacing w:val="-3"/>
        </w:rPr>
        <w:t>注</w:t>
      </w:r>
      <w:r>
        <w:rPr/>
        <w:t>册</w:t>
      </w:r>
      <w:r>
        <w:rPr>
          <w:spacing w:val="-3"/>
        </w:rPr>
        <w:t>登</w:t>
      </w:r>
      <w:r>
        <w:rPr/>
        <w:t>记人</w:t>
        <w:tab/>
        <w:t>指</w:t>
      </w:r>
      <w:r>
        <w:rPr>
          <w:spacing w:val="-3"/>
        </w:rPr>
        <w:t>景</w:t>
      </w:r>
      <w:r>
        <w:rPr/>
        <w:t>顺</w:t>
      </w:r>
      <w:r>
        <w:rPr>
          <w:spacing w:val="-3"/>
        </w:rPr>
        <w:t>长</w:t>
      </w:r>
      <w:r>
        <w:rPr/>
        <w:t>城</w:t>
      </w:r>
      <w:r>
        <w:rPr>
          <w:spacing w:val="-3"/>
        </w:rPr>
        <w:t>基</w:t>
      </w:r>
      <w:r>
        <w:rPr/>
        <w:t>金</w:t>
      </w:r>
      <w:r>
        <w:rPr>
          <w:spacing w:val="-3"/>
        </w:rPr>
        <w:t>管理</w:t>
      </w:r>
      <w:r>
        <w:rPr/>
        <w:t>有限</w:t>
      </w:r>
      <w:r>
        <w:rPr>
          <w:spacing w:val="-3"/>
        </w:rPr>
        <w:t>公</w:t>
      </w:r>
      <w:r>
        <w:rPr/>
        <w:t>司</w:t>
      </w:r>
      <w:r>
        <w:rPr>
          <w:spacing w:val="-3"/>
        </w:rPr>
        <w:t>或</w:t>
      </w:r>
      <w:r>
        <w:rPr/>
        <w:t>其</w:t>
      </w:r>
      <w:r>
        <w:rPr>
          <w:spacing w:val="-3"/>
        </w:rPr>
        <w:t>委</w:t>
      </w:r>
      <w:r>
        <w:rPr/>
        <w:t>托</w:t>
      </w:r>
      <w:r>
        <w:rPr>
          <w:spacing w:val="-3"/>
        </w:rPr>
        <w:t>的</w:t>
      </w:r>
      <w:r>
        <w:rPr/>
        <w:t>其</w:t>
      </w:r>
      <w:r>
        <w:rPr>
          <w:spacing w:val="-3"/>
        </w:rPr>
        <w:t>他</w:t>
      </w:r>
      <w:r>
        <w:rPr/>
        <w:t>符合</w:t>
      </w:r>
      <w:r>
        <w:rPr>
          <w:spacing w:val="-3"/>
        </w:rPr>
        <w:t>条</w:t>
      </w:r>
      <w:r>
        <w:rPr/>
        <w:t>件的</w:t>
      </w:r>
    </w:p>
    <w:p>
      <w:pPr>
        <w:pStyle w:val="BodyText"/>
        <w:spacing w:before="142"/>
        <w:ind w:left="3061"/>
      </w:pPr>
      <w:r>
        <w:rPr/>
        <w:t>机构</w:t>
      </w:r>
    </w:p>
    <w:p>
      <w:pPr>
        <w:pStyle w:val="BodyText"/>
        <w:tabs>
          <w:tab w:pos="3046" w:val="left" w:leader="none"/>
        </w:tabs>
        <w:spacing w:before="139"/>
      </w:pPr>
      <w:r>
        <w:rPr/>
        <w:t>《基</w:t>
      </w:r>
      <w:r>
        <w:rPr>
          <w:spacing w:val="-3"/>
        </w:rPr>
        <w:t>金</w:t>
      </w:r>
      <w:r>
        <w:rPr/>
        <w:t>合同</w:t>
      </w:r>
      <w:r>
        <w:rPr>
          <w:spacing w:val="-20"/>
        </w:rPr>
        <w:t>》</w:t>
      </w:r>
      <w:r>
        <w:rPr/>
        <w:t>当</w:t>
      </w:r>
      <w:r>
        <w:rPr>
          <w:spacing w:val="-3"/>
        </w:rPr>
        <w:t>事</w:t>
      </w:r>
      <w:r>
        <w:rPr/>
        <w:t>人</w:t>
        <w:tab/>
        <w:t>指</w:t>
      </w:r>
      <w:r>
        <w:rPr>
          <w:spacing w:val="-17"/>
        </w:rPr>
        <w:t>受</w:t>
      </w:r>
      <w:r>
        <w:rPr>
          <w:spacing w:val="-3"/>
        </w:rPr>
        <w:t>《</w:t>
      </w:r>
      <w:r>
        <w:rPr/>
        <w:t>基</w:t>
      </w:r>
      <w:r>
        <w:rPr>
          <w:spacing w:val="-3"/>
        </w:rPr>
        <w:t>金</w:t>
      </w:r>
      <w:r>
        <w:rPr/>
        <w:t>合同</w:t>
      </w:r>
      <w:r>
        <w:rPr>
          <w:spacing w:val="-20"/>
        </w:rPr>
        <w:t>》</w:t>
      </w:r>
      <w:r>
        <w:rPr>
          <w:spacing w:val="-3"/>
        </w:rPr>
        <w:t>约</w:t>
      </w:r>
      <w:r>
        <w:rPr/>
        <w:t>束</w:t>
      </w:r>
      <w:r>
        <w:rPr>
          <w:spacing w:val="-17"/>
        </w:rPr>
        <w:t>，</w:t>
      </w:r>
      <w:r>
        <w:rPr/>
        <w:t>根</w:t>
      </w:r>
      <w:r>
        <w:rPr>
          <w:spacing w:val="-20"/>
        </w:rPr>
        <w:t>据</w:t>
      </w:r>
      <w:r>
        <w:rPr/>
        <w:t>《</w:t>
      </w:r>
      <w:r>
        <w:rPr>
          <w:spacing w:val="-3"/>
        </w:rPr>
        <w:t>基</w:t>
      </w:r>
      <w:r>
        <w:rPr/>
        <w:t>金合</w:t>
      </w:r>
      <w:r>
        <w:rPr>
          <w:spacing w:val="-3"/>
        </w:rPr>
        <w:t>同</w:t>
      </w:r>
      <w:r>
        <w:rPr>
          <w:spacing w:val="-17"/>
        </w:rPr>
        <w:t>》</w:t>
      </w:r>
      <w:r>
        <w:rPr>
          <w:spacing w:val="-3"/>
        </w:rPr>
        <w:t>享</w:t>
      </w:r>
      <w:r>
        <w:rPr/>
        <w:t>受权</w:t>
      </w:r>
      <w:r>
        <w:rPr>
          <w:spacing w:val="-3"/>
        </w:rPr>
        <w:t>利</w:t>
      </w:r>
      <w:r>
        <w:rPr/>
        <w:t>并</w:t>
      </w:r>
      <w:r>
        <w:rPr>
          <w:spacing w:val="-3"/>
        </w:rPr>
        <w:t>承</w:t>
      </w:r>
      <w:r>
        <w:rPr/>
        <w:t>担</w:t>
      </w:r>
    </w:p>
    <w:p>
      <w:pPr>
        <w:pStyle w:val="BodyText"/>
        <w:spacing w:before="139"/>
        <w:ind w:left="3061"/>
      </w:pPr>
      <w:r>
        <w:rPr/>
        <w:t>义务的法律主体</w:t>
      </w:r>
    </w:p>
    <w:p>
      <w:pPr>
        <w:pStyle w:val="BodyText"/>
        <w:tabs>
          <w:tab w:pos="3060" w:val="left" w:leader="none"/>
        </w:tabs>
        <w:spacing w:line="364" w:lineRule="auto" w:before="139"/>
        <w:ind w:left="3061" w:right="428" w:hanging="2941"/>
      </w:pPr>
      <w:r>
        <w:rPr/>
        <w:t>个人</w:t>
      </w:r>
      <w:r>
        <w:rPr>
          <w:spacing w:val="-3"/>
        </w:rPr>
        <w:t>投</w:t>
      </w:r>
      <w:r>
        <w:rPr/>
        <w:t>资者</w:t>
        <w:tab/>
        <w:t>指</w:t>
      </w:r>
      <w:r>
        <w:rPr>
          <w:spacing w:val="-3"/>
        </w:rPr>
        <w:t>符</w:t>
      </w:r>
      <w:r>
        <w:rPr/>
        <w:t>合</w:t>
      </w:r>
      <w:r>
        <w:rPr>
          <w:spacing w:val="-3"/>
        </w:rPr>
        <w:t>法</w:t>
      </w:r>
      <w:r>
        <w:rPr/>
        <w:t>律</w:t>
      </w:r>
      <w:r>
        <w:rPr>
          <w:spacing w:val="-3"/>
        </w:rPr>
        <w:t>法</w:t>
      </w:r>
      <w:r>
        <w:rPr/>
        <w:t>规</w:t>
      </w:r>
      <w:r>
        <w:rPr>
          <w:spacing w:val="-3"/>
        </w:rPr>
        <w:t>规定</w:t>
      </w:r>
      <w:r>
        <w:rPr/>
        <w:t>的条</w:t>
      </w:r>
      <w:r>
        <w:rPr>
          <w:spacing w:val="-3"/>
        </w:rPr>
        <w:t>件</w:t>
      </w:r>
      <w:r>
        <w:rPr/>
        <w:t>可</w:t>
      </w:r>
      <w:r>
        <w:rPr>
          <w:spacing w:val="-3"/>
        </w:rPr>
        <w:t>以</w:t>
      </w:r>
      <w:r>
        <w:rPr/>
        <w:t>投</w:t>
      </w:r>
      <w:r>
        <w:rPr>
          <w:spacing w:val="-3"/>
        </w:rPr>
        <w:t>资</w:t>
      </w:r>
      <w:r>
        <w:rPr/>
        <w:t>证</w:t>
      </w:r>
      <w:r>
        <w:rPr>
          <w:spacing w:val="-3"/>
        </w:rPr>
        <w:t>券</w:t>
      </w:r>
      <w:r>
        <w:rPr/>
        <w:t>投</w:t>
      </w:r>
      <w:r>
        <w:rPr>
          <w:spacing w:val="-3"/>
        </w:rPr>
        <w:t>资</w:t>
      </w:r>
      <w:r>
        <w:rPr/>
        <w:t>基金</w:t>
      </w:r>
      <w:r>
        <w:rPr>
          <w:spacing w:val="-3"/>
        </w:rPr>
        <w:t>的</w:t>
      </w:r>
      <w:r>
        <w:rPr/>
        <w:t>自然人</w:t>
      </w:r>
    </w:p>
    <w:p>
      <w:pPr>
        <w:pStyle w:val="BodyText"/>
        <w:tabs>
          <w:tab w:pos="3060" w:val="left" w:leader="none"/>
        </w:tabs>
        <w:spacing w:line="364" w:lineRule="auto" w:before="1"/>
        <w:ind w:left="3061" w:right="428" w:hanging="2941"/>
      </w:pPr>
      <w:r>
        <w:rPr/>
        <w:t>机构</w:t>
      </w:r>
      <w:r>
        <w:rPr>
          <w:spacing w:val="-3"/>
        </w:rPr>
        <w:t>投</w:t>
      </w:r>
      <w:r>
        <w:rPr/>
        <w:t>资者</w:t>
        <w:tab/>
        <w:t>指</w:t>
      </w:r>
      <w:r>
        <w:rPr>
          <w:spacing w:val="-3"/>
        </w:rPr>
        <w:t>符</w:t>
      </w:r>
      <w:r>
        <w:rPr/>
        <w:t>合</w:t>
      </w:r>
      <w:r>
        <w:rPr>
          <w:spacing w:val="-3"/>
        </w:rPr>
        <w:t>法</w:t>
      </w:r>
      <w:r>
        <w:rPr/>
        <w:t>律</w:t>
      </w:r>
      <w:r>
        <w:rPr>
          <w:spacing w:val="-3"/>
        </w:rPr>
        <w:t>法</w:t>
      </w:r>
      <w:r>
        <w:rPr/>
        <w:t>规</w:t>
      </w:r>
      <w:r>
        <w:rPr>
          <w:spacing w:val="-3"/>
        </w:rPr>
        <w:t>规定</w:t>
      </w:r>
      <w:r>
        <w:rPr/>
        <w:t>可以</w:t>
      </w:r>
      <w:r>
        <w:rPr>
          <w:spacing w:val="-3"/>
        </w:rPr>
        <w:t>投</w:t>
      </w:r>
      <w:r>
        <w:rPr/>
        <w:t>资</w:t>
      </w:r>
      <w:r>
        <w:rPr>
          <w:spacing w:val="-3"/>
        </w:rPr>
        <w:t>证</w:t>
      </w:r>
      <w:r>
        <w:rPr/>
        <w:t>券</w:t>
      </w:r>
      <w:r>
        <w:rPr>
          <w:spacing w:val="-3"/>
        </w:rPr>
        <w:t>投</w:t>
      </w:r>
      <w:r>
        <w:rPr/>
        <w:t>资</w:t>
      </w:r>
      <w:r>
        <w:rPr>
          <w:spacing w:val="-3"/>
        </w:rPr>
        <w:t>基</w:t>
      </w:r>
      <w:r>
        <w:rPr/>
        <w:t>金</w:t>
      </w:r>
      <w:r>
        <w:rPr>
          <w:spacing w:val="-3"/>
        </w:rPr>
        <w:t>的</w:t>
      </w:r>
      <w:r>
        <w:rPr/>
        <w:t>在中</w:t>
      </w:r>
      <w:r>
        <w:rPr>
          <w:spacing w:val="-3"/>
        </w:rPr>
        <w:t>华</w:t>
      </w:r>
      <w:r>
        <w:rPr/>
        <w:t>人民共和</w:t>
      </w:r>
      <w:r>
        <w:rPr>
          <w:spacing w:val="-3"/>
        </w:rPr>
        <w:t>国</w:t>
      </w:r>
      <w:r>
        <w:rPr/>
        <w:t>注</w:t>
      </w:r>
      <w:r>
        <w:rPr>
          <w:spacing w:val="-3"/>
        </w:rPr>
        <w:t>册</w:t>
      </w:r>
      <w:r>
        <w:rPr/>
        <w:t>登</w:t>
      </w:r>
      <w:r>
        <w:rPr>
          <w:spacing w:val="-3"/>
        </w:rPr>
        <w:t>记</w:t>
      </w:r>
      <w:r>
        <w:rPr/>
        <w:t>或</w:t>
      </w:r>
      <w:r>
        <w:rPr>
          <w:spacing w:val="-3"/>
        </w:rPr>
        <w:t>经</w:t>
      </w:r>
      <w:r>
        <w:rPr/>
        <w:t>政</w:t>
      </w:r>
      <w:r>
        <w:rPr>
          <w:spacing w:val="-3"/>
        </w:rPr>
        <w:t>府</w:t>
      </w:r>
      <w:r>
        <w:rPr/>
        <w:t>有关</w:t>
      </w:r>
      <w:r>
        <w:rPr>
          <w:spacing w:val="-3"/>
        </w:rPr>
        <w:t>部</w:t>
      </w:r>
      <w:r>
        <w:rPr/>
        <w:t>门</w:t>
      </w:r>
      <w:r>
        <w:rPr>
          <w:spacing w:val="-3"/>
        </w:rPr>
        <w:t>批</w:t>
      </w:r>
      <w:r>
        <w:rPr/>
        <w:t>准</w:t>
      </w:r>
      <w:r>
        <w:rPr>
          <w:spacing w:val="-3"/>
        </w:rPr>
        <w:t>设</w:t>
      </w:r>
      <w:r>
        <w:rPr/>
        <w:t>立</w:t>
      </w:r>
      <w:r>
        <w:rPr>
          <w:spacing w:val="-3"/>
        </w:rPr>
        <w:t>的</w:t>
      </w:r>
      <w:r>
        <w:rPr/>
        <w:t>机构</w:t>
      </w:r>
    </w:p>
    <w:p>
      <w:pPr>
        <w:pStyle w:val="BodyText"/>
        <w:tabs>
          <w:tab w:pos="3060" w:val="left" w:leader="none"/>
        </w:tabs>
        <w:spacing w:line="267" w:lineRule="exact"/>
      </w:pPr>
      <w:r>
        <w:rPr/>
        <w:t>合格</w:t>
      </w:r>
      <w:r>
        <w:rPr>
          <w:spacing w:val="-3"/>
        </w:rPr>
        <w:t>境</w:t>
      </w:r>
      <w:r>
        <w:rPr/>
        <w:t>外</w:t>
      </w:r>
      <w:r>
        <w:rPr>
          <w:spacing w:val="-3"/>
        </w:rPr>
        <w:t>机</w:t>
      </w:r>
      <w:r>
        <w:rPr/>
        <w:t>构</w:t>
      </w:r>
      <w:r>
        <w:rPr>
          <w:spacing w:val="-3"/>
        </w:rPr>
        <w:t>投</w:t>
      </w:r>
      <w:r>
        <w:rPr/>
        <w:t>资者</w:t>
        <w:tab/>
        <w:t>指</w:t>
      </w:r>
      <w:r>
        <w:rPr>
          <w:spacing w:val="-3"/>
        </w:rPr>
        <w:t>符</w:t>
      </w:r>
      <w:r>
        <w:rPr/>
        <w:t>合</w:t>
      </w:r>
      <w:r>
        <w:rPr>
          <w:spacing w:val="-3"/>
        </w:rPr>
        <w:t>《</w:t>
      </w:r>
      <w:r>
        <w:rPr/>
        <w:t>合</w:t>
      </w:r>
      <w:r>
        <w:rPr>
          <w:spacing w:val="-3"/>
        </w:rPr>
        <w:t>格</w:t>
      </w:r>
      <w:r>
        <w:rPr/>
        <w:t>境</w:t>
      </w:r>
      <w:r>
        <w:rPr>
          <w:spacing w:val="-3"/>
        </w:rPr>
        <w:t>外机</w:t>
      </w:r>
      <w:r>
        <w:rPr/>
        <w:t>构投</w:t>
      </w:r>
      <w:r>
        <w:rPr>
          <w:spacing w:val="-3"/>
        </w:rPr>
        <w:t>资</w:t>
      </w:r>
      <w:r>
        <w:rPr/>
        <w:t>者</w:t>
      </w:r>
      <w:r>
        <w:rPr>
          <w:spacing w:val="-3"/>
        </w:rPr>
        <w:t>境</w:t>
      </w:r>
      <w:r>
        <w:rPr/>
        <w:t>内</w:t>
      </w:r>
      <w:r>
        <w:rPr>
          <w:spacing w:val="-3"/>
        </w:rPr>
        <w:t>证</w:t>
      </w:r>
      <w:r>
        <w:rPr/>
        <w:t>券</w:t>
      </w:r>
      <w:r>
        <w:rPr>
          <w:spacing w:val="-3"/>
        </w:rPr>
        <w:t>投</w:t>
      </w:r>
      <w:r>
        <w:rPr/>
        <w:t>资</w:t>
      </w:r>
      <w:r>
        <w:rPr>
          <w:spacing w:val="-3"/>
        </w:rPr>
        <w:t>管</w:t>
      </w:r>
      <w:r>
        <w:rPr/>
        <w:t>理暂行办法》</w:t>
      </w:r>
    </w:p>
    <w:p>
      <w:pPr>
        <w:pStyle w:val="BodyText"/>
        <w:spacing w:line="364" w:lineRule="auto" w:before="139"/>
        <w:ind w:left="3061" w:right="426"/>
      </w:pPr>
      <w:r>
        <w:rPr/>
        <w:t>及相关法律法规规定的可投资于中国境内证券的中国境外的机构投资者</w:t>
      </w:r>
    </w:p>
    <w:p>
      <w:pPr>
        <w:pStyle w:val="BodyText"/>
        <w:tabs>
          <w:tab w:pos="3060" w:val="left" w:leader="none"/>
        </w:tabs>
        <w:spacing w:line="364" w:lineRule="auto"/>
        <w:ind w:right="313"/>
      </w:pPr>
      <w:r>
        <w:rPr/>
        <w:t>投资者</w:t>
        <w:tab/>
        <w:t>指</w:t>
      </w:r>
      <w:r>
        <w:rPr>
          <w:spacing w:val="-3"/>
        </w:rPr>
        <w:t>个</w:t>
      </w:r>
      <w:r>
        <w:rPr/>
        <w:t>人</w:t>
      </w:r>
      <w:r>
        <w:rPr>
          <w:spacing w:val="-3"/>
        </w:rPr>
        <w:t>投</w:t>
      </w:r>
      <w:r>
        <w:rPr/>
        <w:t>资</w:t>
      </w:r>
      <w:r>
        <w:rPr>
          <w:spacing w:val="-3"/>
        </w:rPr>
        <w:t>者</w:t>
      </w:r>
      <w:r>
        <w:rPr/>
        <w:t>、</w:t>
      </w:r>
      <w:r>
        <w:rPr>
          <w:spacing w:val="-3"/>
        </w:rPr>
        <w:t>机构</w:t>
      </w:r>
      <w:r>
        <w:rPr/>
        <w:t>投资</w:t>
      </w:r>
      <w:r>
        <w:rPr>
          <w:spacing w:val="-3"/>
        </w:rPr>
        <w:t>者</w:t>
      </w:r>
      <w:r>
        <w:rPr/>
        <w:t>和</w:t>
      </w:r>
      <w:r>
        <w:rPr>
          <w:spacing w:val="-3"/>
        </w:rPr>
        <w:t>合</w:t>
      </w:r>
      <w:r>
        <w:rPr/>
        <w:t>格</w:t>
      </w:r>
      <w:r>
        <w:rPr>
          <w:spacing w:val="-3"/>
        </w:rPr>
        <w:t>境</w:t>
      </w:r>
      <w:r>
        <w:rPr/>
        <w:t>外</w:t>
      </w:r>
      <w:r>
        <w:rPr>
          <w:spacing w:val="-3"/>
        </w:rPr>
        <w:t>机</w:t>
      </w:r>
      <w:r>
        <w:rPr/>
        <w:t>构</w:t>
      </w:r>
      <w:r>
        <w:rPr>
          <w:spacing w:val="-3"/>
        </w:rPr>
        <w:t>投</w:t>
      </w:r>
      <w:r>
        <w:rPr/>
        <w:t>资者</w:t>
      </w:r>
      <w:r>
        <w:rPr>
          <w:spacing w:val="-3"/>
        </w:rPr>
        <w:t>的</w:t>
      </w:r>
      <w:r>
        <w:rPr/>
        <w:t>总和基金</w:t>
      </w:r>
      <w:r>
        <w:rPr>
          <w:spacing w:val="-3"/>
        </w:rPr>
        <w:t>合</w:t>
      </w:r>
      <w:r>
        <w:rPr/>
        <w:t>同</w:t>
      </w:r>
      <w:r>
        <w:rPr>
          <w:spacing w:val="-3"/>
        </w:rPr>
        <w:t>生</w:t>
      </w:r>
      <w:r>
        <w:rPr/>
        <w:t>效日</w:t>
        <w:tab/>
        <w:t>基</w:t>
      </w:r>
      <w:r>
        <w:rPr>
          <w:spacing w:val="-3"/>
        </w:rPr>
        <w:t>金</w:t>
      </w:r>
      <w:r>
        <w:rPr/>
        <w:t>达</w:t>
      </w:r>
      <w:r>
        <w:rPr>
          <w:spacing w:val="-3"/>
        </w:rPr>
        <w:t>到</w:t>
      </w:r>
      <w:r>
        <w:rPr/>
        <w:t>法</w:t>
      </w:r>
      <w:r>
        <w:rPr>
          <w:spacing w:val="-3"/>
        </w:rPr>
        <w:t>律</w:t>
      </w:r>
      <w:r>
        <w:rPr/>
        <w:t>规</w:t>
      </w:r>
      <w:r>
        <w:rPr>
          <w:spacing w:val="-3"/>
        </w:rPr>
        <w:t>定及</w:t>
      </w:r>
      <w:r>
        <w:rPr/>
        <w:t>基金</w:t>
      </w:r>
      <w:r>
        <w:rPr>
          <w:spacing w:val="-3"/>
        </w:rPr>
        <w:t>合</w:t>
      </w:r>
      <w:r>
        <w:rPr/>
        <w:t>同</w:t>
      </w:r>
      <w:r>
        <w:rPr>
          <w:spacing w:val="-3"/>
        </w:rPr>
        <w:t>规</w:t>
      </w:r>
      <w:r>
        <w:rPr/>
        <w:t>定</w:t>
      </w:r>
      <w:r>
        <w:rPr>
          <w:spacing w:val="-3"/>
        </w:rPr>
        <w:t>的</w:t>
      </w:r>
      <w:r>
        <w:rPr/>
        <w:t>条</w:t>
      </w:r>
      <w:r>
        <w:rPr>
          <w:spacing w:val="-3"/>
        </w:rPr>
        <w:t>件</w:t>
      </w:r>
      <w:r>
        <w:rPr>
          <w:spacing w:val="-97"/>
        </w:rPr>
        <w:t>，</w:t>
      </w:r>
      <w:r>
        <w:rPr/>
        <w:t>基</w:t>
      </w:r>
      <w:r>
        <w:rPr>
          <w:spacing w:val="-3"/>
        </w:rPr>
        <w:t>金</w:t>
      </w:r>
      <w:r>
        <w:rPr/>
        <w:t>管理</w:t>
      </w:r>
      <w:r>
        <w:rPr>
          <w:spacing w:val="-3"/>
        </w:rPr>
        <w:t>人</w:t>
      </w:r>
      <w:r>
        <w:rPr/>
        <w:t>聘请</w:t>
      </w:r>
    </w:p>
    <w:p>
      <w:pPr>
        <w:pStyle w:val="BodyText"/>
        <w:spacing w:line="364" w:lineRule="auto"/>
        <w:ind w:left="3061" w:right="313"/>
      </w:pPr>
      <w:r>
        <w:rPr>
          <w:spacing w:val="-8"/>
        </w:rPr>
        <w:t>法定机构验资并办理完毕基金合同备案手续后，基金合同生</w:t>
      </w:r>
      <w:r>
        <w:rPr>
          <w:spacing w:val="-6"/>
        </w:rPr>
        <w:t>效的日期</w:t>
      </w:r>
    </w:p>
    <w:p>
      <w:pPr>
        <w:pStyle w:val="BodyText"/>
        <w:tabs>
          <w:tab w:pos="3060" w:val="left" w:leader="none"/>
        </w:tabs>
      </w:pPr>
      <w:r>
        <w:rPr/>
        <w:t>募集期</w:t>
        <w:tab/>
        <w:t>指</w:t>
      </w:r>
      <w:r>
        <w:rPr>
          <w:spacing w:val="-3"/>
        </w:rPr>
        <w:t>自</w:t>
      </w:r>
      <w:r>
        <w:rPr/>
        <w:t>基</w:t>
      </w:r>
      <w:r>
        <w:rPr>
          <w:spacing w:val="-3"/>
        </w:rPr>
        <w:t>金</w:t>
      </w:r>
      <w:r>
        <w:rPr/>
        <w:t>份</w:t>
      </w:r>
      <w:r>
        <w:rPr>
          <w:spacing w:val="-3"/>
        </w:rPr>
        <w:t>额</w:t>
      </w:r>
      <w:r>
        <w:rPr/>
        <w:t>发</w:t>
      </w:r>
      <w:r>
        <w:rPr>
          <w:spacing w:val="-3"/>
        </w:rPr>
        <w:t>售之</w:t>
      </w:r>
      <w:r>
        <w:rPr/>
        <w:t>日起</w:t>
      </w:r>
      <w:r>
        <w:rPr>
          <w:spacing w:val="-3"/>
        </w:rPr>
        <w:t>不</w:t>
      </w:r>
      <w:r>
        <w:rPr/>
        <w:t>超过</w:t>
      </w:r>
      <w:r>
        <w:rPr>
          <w:spacing w:val="-2"/>
        </w:rPr>
        <w:t> </w:t>
      </w:r>
      <w:r>
        <w:rPr/>
        <w:t>3</w:t>
      </w:r>
      <w:r>
        <w:rPr>
          <w:spacing w:val="-1"/>
        </w:rPr>
        <w:t> </w:t>
      </w:r>
      <w:r>
        <w:rPr/>
        <w:t>个月</w:t>
      </w:r>
    </w:p>
    <w:p>
      <w:pPr>
        <w:pStyle w:val="BodyText"/>
        <w:tabs>
          <w:tab w:pos="3060" w:val="left" w:leader="none"/>
        </w:tabs>
        <w:spacing w:before="138"/>
      </w:pPr>
      <w:r>
        <w:rPr/>
        <w:t>基金</w:t>
      </w:r>
      <w:r>
        <w:rPr>
          <w:spacing w:val="-3"/>
        </w:rPr>
        <w:t>存</w:t>
      </w:r>
      <w:r>
        <w:rPr/>
        <w:t>续期</w:t>
        <w:tab/>
        <w:t>指</w:t>
      </w:r>
      <w:r>
        <w:rPr>
          <w:spacing w:val="-3"/>
        </w:rPr>
        <w:t>基</w:t>
      </w:r>
      <w:r>
        <w:rPr/>
        <w:t>金</w:t>
      </w:r>
      <w:r>
        <w:rPr>
          <w:spacing w:val="-3"/>
        </w:rPr>
        <w:t>合</w:t>
      </w:r>
      <w:r>
        <w:rPr/>
        <w:t>同</w:t>
      </w:r>
      <w:r>
        <w:rPr>
          <w:spacing w:val="-3"/>
        </w:rPr>
        <w:t>生</w:t>
      </w:r>
      <w:r>
        <w:rPr/>
        <w:t>效</w:t>
      </w:r>
      <w:r>
        <w:rPr>
          <w:spacing w:val="-3"/>
        </w:rPr>
        <w:t>后合</w:t>
      </w:r>
      <w:r>
        <w:rPr/>
        <w:t>法存</w:t>
      </w:r>
      <w:r>
        <w:rPr>
          <w:spacing w:val="-3"/>
        </w:rPr>
        <w:t>续</w:t>
      </w:r>
      <w:r>
        <w:rPr/>
        <w:t>的</w:t>
      </w:r>
      <w:r>
        <w:rPr>
          <w:spacing w:val="-3"/>
        </w:rPr>
        <w:t>不</w:t>
      </w:r>
      <w:r>
        <w:rPr/>
        <w:t>定</w:t>
      </w:r>
      <w:r>
        <w:rPr>
          <w:spacing w:val="-3"/>
        </w:rPr>
        <w:t>期</w:t>
      </w:r>
      <w:r>
        <w:rPr/>
        <w:t>之</w:t>
      </w:r>
      <w:r>
        <w:rPr>
          <w:spacing w:val="-3"/>
        </w:rPr>
        <w:t>期</w:t>
      </w:r>
      <w:r>
        <w:rPr/>
        <w:t>间</w:t>
      </w:r>
    </w:p>
    <w:p>
      <w:pPr>
        <w:pStyle w:val="BodyText"/>
        <w:tabs>
          <w:tab w:pos="3060" w:val="left" w:leader="none"/>
        </w:tabs>
        <w:spacing w:before="139"/>
      </w:pPr>
      <w:r>
        <w:rPr/>
        <w:t>日/天</w:t>
        <w:tab/>
        <w:t>指</w:t>
      </w:r>
      <w:r>
        <w:rPr>
          <w:spacing w:val="-3"/>
        </w:rPr>
        <w:t>公</w:t>
      </w:r>
      <w:r>
        <w:rPr/>
        <w:t>历日</w:t>
      </w:r>
    </w:p>
    <w:p>
      <w:pPr>
        <w:pStyle w:val="BodyText"/>
        <w:tabs>
          <w:tab w:pos="3060" w:val="left" w:leader="none"/>
        </w:tabs>
        <w:spacing w:before="139"/>
      </w:pPr>
      <w:r>
        <w:rPr/>
        <w:t>月</w:t>
        <w:tab/>
        <w:t>指</w:t>
      </w:r>
      <w:r>
        <w:rPr>
          <w:spacing w:val="-3"/>
        </w:rPr>
        <w:t>公</w:t>
      </w:r>
      <w:r>
        <w:rPr/>
        <w:t>历月</w:t>
      </w:r>
    </w:p>
    <w:p>
      <w:pPr>
        <w:pStyle w:val="BodyText"/>
        <w:tabs>
          <w:tab w:pos="3060" w:val="left" w:leader="none"/>
        </w:tabs>
        <w:spacing w:before="139"/>
      </w:pPr>
      <w:r>
        <w:rPr/>
        <w:t>工作日</w:t>
        <w:tab/>
        <w:t>指</w:t>
      </w:r>
      <w:r>
        <w:rPr>
          <w:spacing w:val="-3"/>
        </w:rPr>
        <w:t>上</w:t>
      </w:r>
      <w:r>
        <w:rPr/>
        <w:t>海</w:t>
      </w:r>
      <w:r>
        <w:rPr>
          <w:spacing w:val="-3"/>
        </w:rPr>
        <w:t>证</w:t>
      </w:r>
      <w:r>
        <w:rPr/>
        <w:t>券</w:t>
      </w:r>
      <w:r>
        <w:rPr>
          <w:spacing w:val="-3"/>
        </w:rPr>
        <w:t>交</w:t>
      </w:r>
      <w:r>
        <w:rPr/>
        <w:t>易</w:t>
      </w:r>
      <w:r>
        <w:rPr>
          <w:spacing w:val="-3"/>
        </w:rPr>
        <w:t>所和</w:t>
      </w:r>
      <w:r>
        <w:rPr/>
        <w:t>深圳</w:t>
      </w:r>
      <w:r>
        <w:rPr>
          <w:spacing w:val="-3"/>
        </w:rPr>
        <w:t>证</w:t>
      </w:r>
      <w:r>
        <w:rPr/>
        <w:t>券</w:t>
      </w:r>
      <w:r>
        <w:rPr>
          <w:spacing w:val="-3"/>
        </w:rPr>
        <w:t>交</w:t>
      </w:r>
      <w:r>
        <w:rPr/>
        <w:t>易</w:t>
      </w:r>
      <w:r>
        <w:rPr>
          <w:spacing w:val="-3"/>
        </w:rPr>
        <w:t>所</w:t>
      </w:r>
      <w:r>
        <w:rPr/>
        <w:t>的</w:t>
      </w:r>
      <w:r>
        <w:rPr>
          <w:spacing w:val="-3"/>
        </w:rPr>
        <w:t>正</w:t>
      </w:r>
      <w:r>
        <w:rPr/>
        <w:t>常</w:t>
      </w:r>
      <w:r>
        <w:rPr>
          <w:spacing w:val="-3"/>
        </w:rPr>
        <w:t>交</w:t>
      </w:r>
      <w:r>
        <w:rPr/>
        <w:t>易日</w:t>
      </w:r>
    </w:p>
    <w:p>
      <w:pPr>
        <w:pStyle w:val="BodyText"/>
        <w:tabs>
          <w:tab w:pos="3060" w:val="left" w:leader="none"/>
        </w:tabs>
        <w:spacing w:before="142"/>
      </w:pPr>
      <w:r>
        <w:rPr/>
        <w:t>开放日</w:t>
        <w:tab/>
        <w:t>指</w:t>
      </w:r>
      <w:r>
        <w:rPr>
          <w:spacing w:val="-3"/>
        </w:rPr>
        <w:t>销</w:t>
      </w:r>
      <w:r>
        <w:rPr/>
        <w:t>售</w:t>
      </w:r>
      <w:r>
        <w:rPr>
          <w:spacing w:val="-3"/>
        </w:rPr>
        <w:t>机</w:t>
      </w:r>
      <w:r>
        <w:rPr/>
        <w:t>构</w:t>
      </w:r>
      <w:r>
        <w:rPr>
          <w:spacing w:val="-3"/>
        </w:rPr>
        <w:t>办</w:t>
      </w:r>
      <w:r>
        <w:rPr/>
        <w:t>理</w:t>
      </w:r>
      <w:r>
        <w:rPr>
          <w:spacing w:val="-3"/>
        </w:rPr>
        <w:t>本基</w:t>
      </w:r>
      <w:r>
        <w:rPr/>
        <w:t>金申</w:t>
      </w:r>
      <w:r>
        <w:rPr>
          <w:spacing w:val="-3"/>
        </w:rPr>
        <w:t>购</w:t>
      </w:r>
      <w:r>
        <w:rPr/>
        <w:t>、</w:t>
      </w:r>
      <w:r>
        <w:rPr>
          <w:spacing w:val="-3"/>
        </w:rPr>
        <w:t>赎</w:t>
      </w:r>
      <w:r>
        <w:rPr/>
        <w:t>回</w:t>
      </w:r>
      <w:r>
        <w:rPr>
          <w:spacing w:val="-3"/>
        </w:rPr>
        <w:t>等</w:t>
      </w:r>
      <w:r>
        <w:rPr/>
        <w:t>业</w:t>
      </w:r>
      <w:r>
        <w:rPr>
          <w:spacing w:val="-3"/>
        </w:rPr>
        <w:t>务</w:t>
      </w:r>
      <w:r>
        <w:rPr/>
        <w:t>的</w:t>
      </w:r>
      <w:r>
        <w:rPr>
          <w:spacing w:val="-3"/>
        </w:rPr>
        <w:t>工</w:t>
      </w:r>
      <w:r>
        <w:rPr/>
        <w:t>作日</w:t>
      </w:r>
    </w:p>
    <w:p>
      <w:pPr>
        <w:pStyle w:val="BodyText"/>
        <w:tabs>
          <w:tab w:pos="3060" w:val="left" w:leader="none"/>
        </w:tabs>
        <w:spacing w:before="139"/>
      </w:pPr>
      <w:r>
        <w:rPr/>
        <w:t>T 日</w:t>
        <w:tab/>
        <w:t>指</w:t>
      </w:r>
      <w:r>
        <w:rPr>
          <w:spacing w:val="-3"/>
        </w:rPr>
        <w:t>日</w:t>
      </w:r>
      <w:r>
        <w:rPr/>
        <w:t>常</w:t>
      </w:r>
      <w:r>
        <w:rPr>
          <w:spacing w:val="-3"/>
        </w:rPr>
        <w:t>申</w:t>
      </w:r>
      <w:r>
        <w:rPr/>
        <w:t>购</w:t>
      </w:r>
      <w:r>
        <w:rPr>
          <w:spacing w:val="-3"/>
        </w:rPr>
        <w:t>、</w:t>
      </w:r>
      <w:r>
        <w:rPr/>
        <w:t>赎</w:t>
      </w:r>
      <w:r>
        <w:rPr>
          <w:spacing w:val="-3"/>
        </w:rPr>
        <w:t>回或</w:t>
      </w:r>
      <w:r>
        <w:rPr/>
        <w:t>办理</w:t>
      </w:r>
      <w:r>
        <w:rPr>
          <w:spacing w:val="-3"/>
        </w:rPr>
        <w:t>其</w:t>
      </w:r>
      <w:r>
        <w:rPr/>
        <w:t>他</w:t>
      </w:r>
      <w:r>
        <w:rPr>
          <w:spacing w:val="-3"/>
        </w:rPr>
        <w:t>基</w:t>
      </w:r>
      <w:r>
        <w:rPr/>
        <w:t>金</w:t>
      </w:r>
      <w:r>
        <w:rPr>
          <w:spacing w:val="-3"/>
        </w:rPr>
        <w:t>业</w:t>
      </w:r>
      <w:r>
        <w:rPr/>
        <w:t>务</w:t>
      </w:r>
      <w:r>
        <w:rPr>
          <w:spacing w:val="-3"/>
        </w:rPr>
        <w:t>的</w:t>
      </w:r>
      <w:r>
        <w:rPr/>
        <w:t>申</w:t>
      </w:r>
      <w:r>
        <w:rPr>
          <w:spacing w:val="-3"/>
        </w:rPr>
        <w:t>请</w:t>
      </w:r>
      <w:r>
        <w:rPr/>
        <w:t>日</w:t>
      </w:r>
    </w:p>
    <w:p>
      <w:pPr>
        <w:pStyle w:val="BodyText"/>
        <w:tabs>
          <w:tab w:pos="3060" w:val="left" w:leader="none"/>
        </w:tabs>
        <w:spacing w:before="138"/>
      </w:pPr>
      <w:r>
        <w:rPr/>
        <w:t>T+n</w:t>
      </w:r>
      <w:r>
        <w:rPr>
          <w:spacing w:val="1"/>
        </w:rPr>
        <w:t> </w:t>
      </w:r>
      <w:r>
        <w:rPr/>
        <w:t>日</w:t>
        <w:tab/>
        <w:t>指自</w:t>
      </w:r>
      <w:r>
        <w:rPr>
          <w:spacing w:val="-1"/>
        </w:rPr>
        <w:t> </w:t>
      </w:r>
      <w:r>
        <w:rPr/>
        <w:t>T</w:t>
      </w:r>
      <w:r>
        <w:rPr>
          <w:spacing w:val="1"/>
        </w:rPr>
        <w:t> </w:t>
      </w:r>
      <w:r>
        <w:rPr>
          <w:spacing w:val="-3"/>
        </w:rPr>
        <w:t>日</w:t>
      </w:r>
      <w:r>
        <w:rPr/>
        <w:t>起第</w:t>
      </w:r>
      <w:r>
        <w:rPr>
          <w:spacing w:val="-1"/>
        </w:rPr>
        <w:t> </w:t>
      </w:r>
      <w:r>
        <w:rPr/>
        <w:t>n</w:t>
      </w:r>
      <w:r>
        <w:rPr>
          <w:spacing w:val="-1"/>
        </w:rPr>
        <w:t> </w:t>
      </w:r>
      <w:r>
        <w:rPr>
          <w:spacing w:val="-3"/>
        </w:rPr>
        <w:t>个</w:t>
      </w:r>
      <w:r>
        <w:rPr/>
        <w:t>工作</w:t>
      </w:r>
      <w:r>
        <w:rPr>
          <w:spacing w:val="-3"/>
        </w:rPr>
        <w:t>日</w:t>
      </w:r>
      <w:r>
        <w:rPr/>
        <w:t>（</w:t>
      </w:r>
      <w:r>
        <w:rPr>
          <w:spacing w:val="-3"/>
        </w:rPr>
        <w:t>不</w:t>
      </w:r>
      <w:r>
        <w:rPr/>
        <w:t>包含</w:t>
      </w:r>
      <w:r>
        <w:rPr>
          <w:spacing w:val="-3"/>
        </w:rPr>
        <w:t> </w:t>
      </w:r>
      <w:r>
        <w:rPr/>
        <w:t>T</w:t>
      </w:r>
      <w:r>
        <w:rPr>
          <w:spacing w:val="-1"/>
        </w:rPr>
        <w:t> </w:t>
      </w:r>
      <w:r>
        <w:rPr/>
        <w:t>日）</w:t>
      </w:r>
    </w:p>
    <w:p>
      <w:pPr>
        <w:pStyle w:val="BodyText"/>
        <w:tabs>
          <w:tab w:pos="3060" w:val="left" w:leader="none"/>
        </w:tabs>
        <w:spacing w:before="139"/>
        <w:jc w:val="both"/>
      </w:pPr>
      <w:r>
        <w:rPr/>
        <w:t>认购</w:t>
        <w:tab/>
        <w:t>指</w:t>
      </w:r>
      <w:r>
        <w:rPr>
          <w:spacing w:val="-3"/>
        </w:rPr>
        <w:t>本</w:t>
      </w:r>
      <w:r>
        <w:rPr/>
        <w:t>基</w:t>
      </w:r>
      <w:r>
        <w:rPr>
          <w:spacing w:val="-3"/>
        </w:rPr>
        <w:t>金</w:t>
      </w:r>
      <w:r>
        <w:rPr/>
        <w:t>在</w:t>
      </w:r>
      <w:r>
        <w:rPr>
          <w:spacing w:val="-3"/>
        </w:rPr>
        <w:t>募</w:t>
      </w:r>
      <w:r>
        <w:rPr/>
        <w:t>集</w:t>
      </w:r>
      <w:r>
        <w:rPr>
          <w:spacing w:val="-3"/>
        </w:rPr>
        <w:t>期内</w:t>
      </w:r>
      <w:r>
        <w:rPr/>
        <w:t>投资</w:t>
      </w:r>
      <w:r>
        <w:rPr>
          <w:spacing w:val="-3"/>
        </w:rPr>
        <w:t>者</w:t>
      </w:r>
      <w:r>
        <w:rPr/>
        <w:t>购</w:t>
      </w:r>
      <w:r>
        <w:rPr>
          <w:spacing w:val="-3"/>
        </w:rPr>
        <w:t>买</w:t>
      </w:r>
      <w:r>
        <w:rPr/>
        <w:t>本</w:t>
      </w:r>
      <w:r>
        <w:rPr>
          <w:spacing w:val="-3"/>
        </w:rPr>
        <w:t>基</w:t>
      </w:r>
      <w:r>
        <w:rPr/>
        <w:t>金</w:t>
      </w:r>
      <w:r>
        <w:rPr>
          <w:spacing w:val="-3"/>
        </w:rPr>
        <w:t>份</w:t>
      </w:r>
      <w:r>
        <w:rPr/>
        <w:t>额</w:t>
      </w:r>
      <w:r>
        <w:rPr>
          <w:spacing w:val="-3"/>
        </w:rPr>
        <w:t>的</w:t>
      </w:r>
      <w:r>
        <w:rPr/>
        <w:t>行为</w:t>
      </w:r>
    </w:p>
    <w:p>
      <w:pPr>
        <w:pStyle w:val="BodyText"/>
        <w:tabs>
          <w:tab w:pos="3060" w:val="left" w:leader="none"/>
        </w:tabs>
        <w:spacing w:line="364" w:lineRule="auto" w:before="139"/>
        <w:ind w:left="3061" w:right="313" w:hanging="2941"/>
        <w:jc w:val="both"/>
      </w:pPr>
      <w:r>
        <w:rPr/>
        <w:t>申购</w:t>
        <w:tab/>
        <w:t>指</w:t>
      </w:r>
      <w:r>
        <w:rPr>
          <w:spacing w:val="-3"/>
        </w:rPr>
        <w:t>基</w:t>
      </w:r>
      <w:r>
        <w:rPr/>
        <w:t>金</w:t>
      </w:r>
      <w:r>
        <w:rPr>
          <w:spacing w:val="-3"/>
        </w:rPr>
        <w:t>投</w:t>
      </w:r>
      <w:r>
        <w:rPr/>
        <w:t>资</w:t>
      </w:r>
      <w:r>
        <w:rPr>
          <w:spacing w:val="-3"/>
        </w:rPr>
        <w:t>者</w:t>
      </w:r>
      <w:r>
        <w:rPr/>
        <w:t>根</w:t>
      </w:r>
      <w:r>
        <w:rPr>
          <w:spacing w:val="-3"/>
        </w:rPr>
        <w:t>据基</w:t>
      </w:r>
      <w:r>
        <w:rPr/>
        <w:t>金销</w:t>
      </w:r>
      <w:r>
        <w:rPr>
          <w:spacing w:val="-3"/>
        </w:rPr>
        <w:t>售</w:t>
      </w:r>
      <w:r>
        <w:rPr/>
        <w:t>网</w:t>
      </w:r>
      <w:r>
        <w:rPr>
          <w:spacing w:val="-3"/>
        </w:rPr>
        <w:t>点</w:t>
      </w:r>
      <w:r>
        <w:rPr/>
        <w:t>规</w:t>
      </w:r>
      <w:r>
        <w:rPr>
          <w:spacing w:val="-3"/>
        </w:rPr>
        <w:t>定</w:t>
      </w:r>
      <w:r>
        <w:rPr/>
        <w:t>的</w:t>
      </w:r>
      <w:r>
        <w:rPr>
          <w:spacing w:val="-3"/>
        </w:rPr>
        <w:t>手续</w:t>
      </w:r>
      <w:r>
        <w:rPr>
          <w:spacing w:val="-94"/>
        </w:rPr>
        <w:t>，</w:t>
      </w:r>
      <w:r>
        <w:rPr>
          <w:spacing w:val="-3"/>
        </w:rPr>
        <w:t>向</w:t>
      </w:r>
      <w:r>
        <w:rPr/>
        <w:t>基金</w:t>
      </w:r>
      <w:r>
        <w:rPr>
          <w:spacing w:val="-3"/>
        </w:rPr>
        <w:t>管</w:t>
      </w:r>
      <w:r>
        <w:rPr/>
        <w:t>理人购买</w:t>
      </w:r>
      <w:r>
        <w:rPr>
          <w:spacing w:val="-3"/>
        </w:rPr>
        <w:t>基</w:t>
      </w:r>
      <w:r>
        <w:rPr/>
        <w:t>金</w:t>
      </w:r>
      <w:r>
        <w:rPr>
          <w:spacing w:val="-3"/>
        </w:rPr>
        <w:t>份</w:t>
      </w:r>
      <w:r>
        <w:rPr/>
        <w:t>额</w:t>
      </w:r>
      <w:r>
        <w:rPr>
          <w:spacing w:val="-3"/>
        </w:rPr>
        <w:t>的</w:t>
      </w:r>
      <w:r>
        <w:rPr/>
        <w:t>行</w:t>
      </w:r>
      <w:r>
        <w:rPr>
          <w:spacing w:val="-3"/>
        </w:rPr>
        <w:t>为</w:t>
      </w:r>
      <w:r>
        <w:rPr>
          <w:spacing w:val="-97"/>
        </w:rPr>
        <w:t>。</w:t>
      </w:r>
      <w:r>
        <w:rPr/>
        <w:t>本</w:t>
      </w:r>
      <w:r>
        <w:rPr>
          <w:spacing w:val="-3"/>
        </w:rPr>
        <w:t>基</w:t>
      </w:r>
      <w:r>
        <w:rPr/>
        <w:t>金的</w:t>
      </w:r>
      <w:r>
        <w:rPr>
          <w:spacing w:val="-3"/>
        </w:rPr>
        <w:t>日</w:t>
      </w:r>
      <w:r>
        <w:rPr/>
        <w:t>常</w:t>
      </w:r>
      <w:r>
        <w:rPr>
          <w:spacing w:val="-3"/>
        </w:rPr>
        <w:t>申</w:t>
      </w:r>
      <w:r>
        <w:rPr/>
        <w:t>购</w:t>
      </w:r>
      <w:r>
        <w:rPr>
          <w:spacing w:val="-3"/>
        </w:rPr>
        <w:t>自</w:t>
      </w:r>
      <w:r>
        <w:rPr/>
        <w:t>基</w:t>
      </w:r>
      <w:r>
        <w:rPr>
          <w:spacing w:val="-3"/>
        </w:rPr>
        <w:t>金</w:t>
      </w:r>
      <w:r>
        <w:rPr/>
        <w:t>合</w:t>
      </w:r>
      <w:r>
        <w:rPr>
          <w:spacing w:val="-3"/>
        </w:rPr>
        <w:t>同</w:t>
      </w:r>
      <w:r>
        <w:rPr/>
        <w:t>生</w:t>
      </w:r>
      <w:r>
        <w:rPr>
          <w:spacing w:val="-3"/>
        </w:rPr>
        <w:t>效</w:t>
      </w:r>
      <w:r>
        <w:rPr/>
        <w:t>后不超过</w:t>
      </w:r>
      <w:r>
        <w:rPr>
          <w:spacing w:val="-2"/>
        </w:rPr>
        <w:t> </w:t>
      </w:r>
      <w:r>
        <w:rPr/>
        <w:t>3</w:t>
      </w:r>
      <w:r>
        <w:rPr>
          <w:spacing w:val="-1"/>
        </w:rPr>
        <w:t> </w:t>
      </w:r>
      <w:r>
        <w:rPr/>
        <w:t>个</w:t>
      </w:r>
      <w:r>
        <w:rPr>
          <w:spacing w:val="-3"/>
        </w:rPr>
        <w:t>月</w:t>
      </w:r>
      <w:r>
        <w:rPr/>
        <w:t>的</w:t>
      </w:r>
      <w:r>
        <w:rPr>
          <w:spacing w:val="-3"/>
        </w:rPr>
        <w:t>时</w:t>
      </w:r>
      <w:r>
        <w:rPr/>
        <w:t>间</w:t>
      </w:r>
      <w:r>
        <w:rPr>
          <w:spacing w:val="-3"/>
        </w:rPr>
        <w:t>开始</w:t>
      </w:r>
      <w:r>
        <w:rPr/>
        <w:t>办理</w:t>
      </w:r>
    </w:p>
    <w:p>
      <w:pPr>
        <w:pStyle w:val="BodyText"/>
        <w:tabs>
          <w:tab w:pos="3060" w:val="left" w:leader="none"/>
        </w:tabs>
        <w:jc w:val="both"/>
      </w:pPr>
      <w:r>
        <w:rPr/>
        <w:t>赎回</w:t>
        <w:tab/>
        <w:t>指</w:t>
      </w:r>
      <w:r>
        <w:rPr>
          <w:spacing w:val="-3"/>
        </w:rPr>
        <w:t>基</w:t>
      </w:r>
      <w:r>
        <w:rPr/>
        <w:t>金</w:t>
      </w:r>
      <w:r>
        <w:rPr>
          <w:spacing w:val="-3"/>
        </w:rPr>
        <w:t>投</w:t>
      </w:r>
      <w:r>
        <w:rPr/>
        <w:t>资</w:t>
      </w:r>
      <w:r>
        <w:rPr>
          <w:spacing w:val="-3"/>
        </w:rPr>
        <w:t>者</w:t>
      </w:r>
      <w:r>
        <w:rPr/>
        <w:t>根</w:t>
      </w:r>
      <w:r>
        <w:rPr>
          <w:spacing w:val="-3"/>
        </w:rPr>
        <w:t>据基</w:t>
      </w:r>
      <w:r>
        <w:rPr/>
        <w:t>金销</w:t>
      </w:r>
      <w:r>
        <w:rPr>
          <w:spacing w:val="-3"/>
        </w:rPr>
        <w:t>售</w:t>
      </w:r>
      <w:r>
        <w:rPr/>
        <w:t>网</w:t>
      </w:r>
      <w:r>
        <w:rPr>
          <w:spacing w:val="-3"/>
        </w:rPr>
        <w:t>点</w:t>
      </w:r>
      <w:r>
        <w:rPr/>
        <w:t>规</w:t>
      </w:r>
      <w:r>
        <w:rPr>
          <w:spacing w:val="-3"/>
        </w:rPr>
        <w:t>定</w:t>
      </w:r>
      <w:r>
        <w:rPr/>
        <w:t>的</w:t>
      </w:r>
      <w:r>
        <w:rPr>
          <w:spacing w:val="-3"/>
        </w:rPr>
        <w:t>手续</w:t>
      </w:r>
      <w:r>
        <w:rPr>
          <w:spacing w:val="-94"/>
        </w:rPr>
        <w:t>，</w:t>
      </w:r>
      <w:r>
        <w:rPr>
          <w:spacing w:val="-3"/>
        </w:rPr>
        <w:t>向</w:t>
      </w:r>
      <w:r>
        <w:rPr/>
        <w:t>基金</w:t>
      </w:r>
      <w:r>
        <w:rPr>
          <w:spacing w:val="-3"/>
        </w:rPr>
        <w:t>管</w:t>
      </w:r>
      <w:r>
        <w:rPr/>
        <w:t>理人</w:t>
      </w:r>
    </w:p>
    <w:p>
      <w:pPr>
        <w:spacing w:after="0"/>
        <w:jc w:val="both"/>
        <w:sectPr>
          <w:pgSz w:w="11910" w:h="16840"/>
          <w:pgMar w:header="877" w:footer="1195" w:top="1380" w:bottom="1380" w:left="1680" w:right="1480"/>
        </w:sectPr>
      </w:pPr>
    </w:p>
    <w:p>
      <w:pPr>
        <w:pStyle w:val="BodyText"/>
        <w:spacing w:line="364" w:lineRule="auto" w:before="61"/>
        <w:ind w:left="3061" w:right="313"/>
      </w:pPr>
      <w:r>
        <w:rPr>
          <w:spacing w:val="-12"/>
        </w:rPr>
        <w:t>卖出基金份额的行为。本基金的日常赎回自基金合同生效后</w:t>
      </w:r>
      <w:r>
        <w:rPr>
          <w:spacing w:val="-10"/>
        </w:rPr>
        <w:t>不超过 </w:t>
      </w:r>
      <w:r>
        <w:rPr/>
        <w:t>3</w:t>
      </w:r>
      <w:r>
        <w:rPr>
          <w:spacing w:val="-3"/>
        </w:rPr>
        <w:t> 个月的时间开始办理</w:t>
      </w:r>
    </w:p>
    <w:p>
      <w:pPr>
        <w:pStyle w:val="BodyText"/>
        <w:tabs>
          <w:tab w:pos="3060" w:val="left" w:leader="none"/>
        </w:tabs>
        <w:spacing w:line="367" w:lineRule="auto"/>
        <w:ind w:left="3061" w:right="428" w:hanging="2941"/>
      </w:pPr>
      <w:r>
        <w:rPr/>
        <w:t>基金</w:t>
      </w:r>
      <w:r>
        <w:rPr>
          <w:spacing w:val="-3"/>
        </w:rPr>
        <w:t>账</w:t>
      </w:r>
      <w:r>
        <w:rPr/>
        <w:t>户</w:t>
        <w:tab/>
        <w:t>指</w:t>
      </w:r>
      <w:r>
        <w:rPr>
          <w:spacing w:val="-3"/>
        </w:rPr>
        <w:t>基</w:t>
      </w:r>
      <w:r>
        <w:rPr/>
        <w:t>金</w:t>
      </w:r>
      <w:r>
        <w:rPr>
          <w:spacing w:val="-3"/>
        </w:rPr>
        <w:t>注</w:t>
      </w:r>
      <w:r>
        <w:rPr/>
        <w:t>册</w:t>
      </w:r>
      <w:r>
        <w:rPr>
          <w:spacing w:val="-3"/>
        </w:rPr>
        <w:t>登</w:t>
      </w:r>
      <w:r>
        <w:rPr/>
        <w:t>记</w:t>
      </w:r>
      <w:r>
        <w:rPr>
          <w:spacing w:val="-3"/>
        </w:rPr>
        <w:t>人给</w:t>
      </w:r>
      <w:r>
        <w:rPr/>
        <w:t>投资</w:t>
      </w:r>
      <w:r>
        <w:rPr>
          <w:spacing w:val="-3"/>
        </w:rPr>
        <w:t>者</w:t>
      </w:r>
      <w:r>
        <w:rPr/>
        <w:t>开</w:t>
      </w:r>
      <w:r>
        <w:rPr>
          <w:spacing w:val="-3"/>
        </w:rPr>
        <w:t>立</w:t>
      </w:r>
      <w:r>
        <w:rPr/>
        <w:t>的</w:t>
      </w:r>
      <w:r>
        <w:rPr>
          <w:spacing w:val="-3"/>
        </w:rPr>
        <w:t>用</w:t>
      </w:r>
      <w:r>
        <w:rPr/>
        <w:t>于</w:t>
      </w:r>
      <w:r>
        <w:rPr>
          <w:spacing w:val="-3"/>
        </w:rPr>
        <w:t>记</w:t>
      </w:r>
      <w:r>
        <w:rPr/>
        <w:t>录</w:t>
      </w:r>
      <w:r>
        <w:rPr>
          <w:spacing w:val="-3"/>
        </w:rPr>
        <w:t>投</w:t>
      </w:r>
      <w:r>
        <w:rPr/>
        <w:t>资者</w:t>
      </w:r>
      <w:r>
        <w:rPr>
          <w:spacing w:val="-3"/>
        </w:rPr>
        <w:t>持</w:t>
      </w:r>
      <w:r>
        <w:rPr/>
        <w:t>有基金管</w:t>
      </w:r>
      <w:r>
        <w:rPr>
          <w:spacing w:val="-3"/>
        </w:rPr>
        <w:t>理</w:t>
      </w:r>
      <w:r>
        <w:rPr/>
        <w:t>人</w:t>
      </w:r>
      <w:r>
        <w:rPr>
          <w:spacing w:val="-3"/>
        </w:rPr>
        <w:t>管</w:t>
      </w:r>
      <w:r>
        <w:rPr/>
        <w:t>理</w:t>
      </w:r>
      <w:r>
        <w:rPr>
          <w:spacing w:val="-3"/>
        </w:rPr>
        <w:t>的</w:t>
      </w:r>
      <w:r>
        <w:rPr/>
        <w:t>开</w:t>
      </w:r>
      <w:r>
        <w:rPr>
          <w:spacing w:val="-3"/>
        </w:rPr>
        <w:t>放</w:t>
      </w:r>
      <w:r>
        <w:rPr/>
        <w:t>式</w:t>
      </w:r>
      <w:r>
        <w:rPr>
          <w:spacing w:val="-3"/>
        </w:rPr>
        <w:t>基</w:t>
      </w:r>
      <w:r>
        <w:rPr/>
        <w:t>金份</w:t>
      </w:r>
      <w:r>
        <w:rPr>
          <w:spacing w:val="-3"/>
        </w:rPr>
        <w:t>额</w:t>
      </w:r>
      <w:r>
        <w:rPr/>
        <w:t>情</w:t>
      </w:r>
      <w:r>
        <w:rPr>
          <w:spacing w:val="-3"/>
        </w:rPr>
        <w:t>况</w:t>
      </w:r>
      <w:r>
        <w:rPr/>
        <w:t>的</w:t>
      </w:r>
      <w:r>
        <w:rPr>
          <w:spacing w:val="-3"/>
        </w:rPr>
        <w:t>账</w:t>
      </w:r>
      <w:r>
        <w:rPr/>
        <w:t>户</w:t>
      </w:r>
    </w:p>
    <w:p>
      <w:pPr>
        <w:pStyle w:val="BodyText"/>
        <w:tabs>
          <w:tab w:pos="3060" w:val="left" w:leader="none"/>
        </w:tabs>
        <w:spacing w:line="364" w:lineRule="auto"/>
        <w:ind w:left="3061" w:right="426" w:hanging="2941"/>
      </w:pPr>
      <w:r>
        <w:rPr/>
        <w:t>交易</w:t>
      </w:r>
      <w:r>
        <w:rPr>
          <w:spacing w:val="-3"/>
        </w:rPr>
        <w:t>账</w:t>
      </w:r>
      <w:r>
        <w:rPr/>
        <w:t>户</w:t>
        <w:tab/>
        <w:t>指</w:t>
      </w:r>
      <w:r>
        <w:rPr>
          <w:spacing w:val="-3"/>
        </w:rPr>
        <w:t>各</w:t>
      </w:r>
      <w:r>
        <w:rPr/>
        <w:t>销</w:t>
      </w:r>
      <w:r>
        <w:rPr>
          <w:spacing w:val="-3"/>
        </w:rPr>
        <w:t>售</w:t>
      </w:r>
      <w:r>
        <w:rPr/>
        <w:t>机</w:t>
      </w:r>
      <w:r>
        <w:rPr>
          <w:spacing w:val="-3"/>
        </w:rPr>
        <w:t>构</w:t>
      </w:r>
      <w:r>
        <w:rPr/>
        <w:t>为</w:t>
      </w:r>
      <w:r>
        <w:rPr>
          <w:spacing w:val="-3"/>
        </w:rPr>
        <w:t>投资</w:t>
      </w:r>
      <w:r>
        <w:rPr/>
        <w:t>者开</w:t>
      </w:r>
      <w:r>
        <w:rPr>
          <w:spacing w:val="-3"/>
        </w:rPr>
        <w:t>立</w:t>
      </w:r>
      <w:r>
        <w:rPr/>
        <w:t>的</w:t>
      </w:r>
      <w:r>
        <w:rPr>
          <w:spacing w:val="-3"/>
        </w:rPr>
        <w:t>记</w:t>
      </w:r>
      <w:r>
        <w:rPr/>
        <w:t>录</w:t>
      </w:r>
      <w:r>
        <w:rPr>
          <w:spacing w:val="-3"/>
        </w:rPr>
        <w:t>投</w:t>
      </w:r>
      <w:r>
        <w:rPr/>
        <w:t>资</w:t>
      </w:r>
      <w:r>
        <w:rPr>
          <w:spacing w:val="-3"/>
        </w:rPr>
        <w:t>者</w:t>
      </w:r>
      <w:r>
        <w:rPr/>
        <w:t>通</w:t>
      </w:r>
      <w:r>
        <w:rPr>
          <w:spacing w:val="-3"/>
        </w:rPr>
        <w:t>过</w:t>
      </w:r>
      <w:r>
        <w:rPr/>
        <w:t>该销</w:t>
      </w:r>
      <w:r>
        <w:rPr>
          <w:spacing w:val="-3"/>
        </w:rPr>
        <w:t>售</w:t>
      </w:r>
      <w:r>
        <w:rPr/>
        <w:t>机构办理</w:t>
      </w:r>
      <w:r>
        <w:rPr>
          <w:spacing w:val="-3"/>
        </w:rPr>
        <w:t>基</w:t>
      </w:r>
      <w:r>
        <w:rPr/>
        <w:t>金</w:t>
      </w:r>
      <w:r>
        <w:rPr>
          <w:spacing w:val="-3"/>
        </w:rPr>
        <w:t>交</w:t>
      </w:r>
      <w:r>
        <w:rPr/>
        <w:t>易</w:t>
      </w:r>
      <w:r>
        <w:rPr>
          <w:spacing w:val="-3"/>
        </w:rPr>
        <w:t>所</w:t>
      </w:r>
      <w:r>
        <w:rPr/>
        <w:t>引</w:t>
      </w:r>
      <w:r>
        <w:rPr>
          <w:spacing w:val="-3"/>
        </w:rPr>
        <w:t>起</w:t>
      </w:r>
      <w:r>
        <w:rPr/>
        <w:t>的</w:t>
      </w:r>
      <w:r>
        <w:rPr>
          <w:spacing w:val="-3"/>
        </w:rPr>
        <w:t>基</w:t>
      </w:r>
      <w:r>
        <w:rPr/>
        <w:t>金份</w:t>
      </w:r>
      <w:r>
        <w:rPr>
          <w:spacing w:val="-3"/>
        </w:rPr>
        <w:t>额</w:t>
      </w:r>
      <w:r>
        <w:rPr/>
        <w:t>的</w:t>
      </w:r>
      <w:r>
        <w:rPr>
          <w:spacing w:val="-3"/>
        </w:rPr>
        <w:t>变</w:t>
      </w:r>
      <w:r>
        <w:rPr/>
        <w:t>动</w:t>
      </w:r>
      <w:r>
        <w:rPr>
          <w:spacing w:val="-3"/>
        </w:rPr>
        <w:t>及</w:t>
      </w:r>
      <w:r>
        <w:rPr/>
        <w:t>结</w:t>
      </w:r>
      <w:r>
        <w:rPr>
          <w:spacing w:val="-3"/>
        </w:rPr>
        <w:t>余</w:t>
      </w:r>
      <w:r>
        <w:rPr/>
        <w:t>情</w:t>
      </w:r>
      <w:r>
        <w:rPr>
          <w:spacing w:val="-3"/>
        </w:rPr>
        <w:t>况</w:t>
      </w:r>
      <w:r>
        <w:rPr/>
        <w:t>的账</w:t>
      </w:r>
      <w:r>
        <w:rPr>
          <w:spacing w:val="-11"/>
        </w:rPr>
        <w:t>户</w:t>
      </w:r>
    </w:p>
    <w:p>
      <w:pPr>
        <w:pStyle w:val="BodyText"/>
        <w:tabs>
          <w:tab w:pos="3060" w:val="left" w:leader="none"/>
        </w:tabs>
        <w:spacing w:line="367" w:lineRule="auto"/>
        <w:ind w:left="3061" w:right="428" w:hanging="2941"/>
      </w:pPr>
      <w:r>
        <w:rPr/>
        <w:t>转托管</w:t>
        <w:tab/>
        <w:t>指</w:t>
      </w:r>
      <w:r>
        <w:rPr>
          <w:spacing w:val="-3"/>
        </w:rPr>
        <w:t>投</w:t>
      </w:r>
      <w:r>
        <w:rPr/>
        <w:t>资</w:t>
      </w:r>
      <w:r>
        <w:rPr>
          <w:spacing w:val="-3"/>
        </w:rPr>
        <w:t>者</w:t>
      </w:r>
      <w:r>
        <w:rPr/>
        <w:t>将</w:t>
      </w:r>
      <w:r>
        <w:rPr>
          <w:spacing w:val="-3"/>
        </w:rPr>
        <w:t>其</w:t>
      </w:r>
      <w:r>
        <w:rPr/>
        <w:t>持</w:t>
      </w:r>
      <w:r>
        <w:rPr>
          <w:spacing w:val="-3"/>
        </w:rPr>
        <w:t>有的</w:t>
      </w:r>
      <w:r>
        <w:rPr/>
        <w:t>同一</w:t>
      </w:r>
      <w:r>
        <w:rPr>
          <w:spacing w:val="-3"/>
        </w:rPr>
        <w:t>基</w:t>
      </w:r>
      <w:r>
        <w:rPr/>
        <w:t>金</w:t>
      </w:r>
      <w:r>
        <w:rPr>
          <w:spacing w:val="-3"/>
        </w:rPr>
        <w:t>账</w:t>
      </w:r>
      <w:r>
        <w:rPr/>
        <w:t>户</w:t>
      </w:r>
      <w:r>
        <w:rPr>
          <w:spacing w:val="-3"/>
        </w:rPr>
        <w:t>下</w:t>
      </w:r>
      <w:r>
        <w:rPr/>
        <w:t>的</w:t>
      </w:r>
      <w:r>
        <w:rPr>
          <w:spacing w:val="-3"/>
        </w:rPr>
        <w:t>基</w:t>
      </w:r>
      <w:r>
        <w:rPr/>
        <w:t>金</w:t>
      </w:r>
      <w:r>
        <w:rPr>
          <w:spacing w:val="-3"/>
        </w:rPr>
        <w:t>份</w:t>
      </w:r>
      <w:r>
        <w:rPr/>
        <w:t>额从</w:t>
      </w:r>
      <w:r>
        <w:rPr>
          <w:spacing w:val="-3"/>
        </w:rPr>
        <w:t>某</w:t>
      </w:r>
      <w:r>
        <w:rPr/>
        <w:t>一交易账</w:t>
      </w:r>
      <w:r>
        <w:rPr>
          <w:spacing w:val="-3"/>
        </w:rPr>
        <w:t>户</w:t>
      </w:r>
      <w:r>
        <w:rPr/>
        <w:t>转</w:t>
      </w:r>
      <w:r>
        <w:rPr>
          <w:spacing w:val="-3"/>
        </w:rPr>
        <w:t>入</w:t>
      </w:r>
      <w:r>
        <w:rPr/>
        <w:t>另</w:t>
      </w:r>
      <w:r>
        <w:rPr>
          <w:spacing w:val="-3"/>
        </w:rPr>
        <w:t>一</w:t>
      </w:r>
      <w:r>
        <w:rPr/>
        <w:t>交</w:t>
      </w:r>
      <w:r>
        <w:rPr>
          <w:spacing w:val="-3"/>
        </w:rPr>
        <w:t>易</w:t>
      </w:r>
      <w:r>
        <w:rPr/>
        <w:t>账</w:t>
      </w:r>
      <w:r>
        <w:rPr>
          <w:spacing w:val="-3"/>
        </w:rPr>
        <w:t>户</w:t>
      </w:r>
      <w:r>
        <w:rPr/>
        <w:t>的业务</w:t>
      </w:r>
    </w:p>
    <w:p>
      <w:pPr>
        <w:pStyle w:val="BodyText"/>
        <w:tabs>
          <w:tab w:pos="3060" w:val="left" w:leader="none"/>
        </w:tabs>
        <w:spacing w:line="364" w:lineRule="auto"/>
        <w:ind w:left="3061" w:right="313" w:hanging="2941"/>
      </w:pPr>
      <w:r>
        <w:rPr/>
        <w:t>基金</w:t>
      </w:r>
      <w:r>
        <w:rPr>
          <w:spacing w:val="-3"/>
        </w:rPr>
        <w:t>转</w:t>
      </w:r>
      <w:r>
        <w:rPr/>
        <w:t>换</w:t>
        <w:tab/>
        <w:t>指</w:t>
      </w:r>
      <w:r>
        <w:rPr>
          <w:spacing w:val="-3"/>
        </w:rPr>
        <w:t>投</w:t>
      </w:r>
      <w:r>
        <w:rPr/>
        <w:t>资</w:t>
      </w:r>
      <w:r>
        <w:rPr>
          <w:spacing w:val="-3"/>
        </w:rPr>
        <w:t>者</w:t>
      </w:r>
      <w:r>
        <w:rPr/>
        <w:t>向</w:t>
      </w:r>
      <w:r>
        <w:rPr>
          <w:spacing w:val="-3"/>
        </w:rPr>
        <w:t>本</w:t>
      </w:r>
      <w:r>
        <w:rPr/>
        <w:t>基</w:t>
      </w:r>
      <w:r>
        <w:rPr>
          <w:spacing w:val="-3"/>
        </w:rPr>
        <w:t>金管</w:t>
      </w:r>
      <w:r>
        <w:rPr/>
        <w:t>理人</w:t>
      </w:r>
      <w:r>
        <w:rPr>
          <w:spacing w:val="-3"/>
        </w:rPr>
        <w:t>提</w:t>
      </w:r>
      <w:r>
        <w:rPr/>
        <w:t>出</w:t>
      </w:r>
      <w:r>
        <w:rPr>
          <w:spacing w:val="-3"/>
        </w:rPr>
        <w:t>申</w:t>
      </w:r>
      <w:r>
        <w:rPr/>
        <w:t>请</w:t>
      </w:r>
      <w:r>
        <w:rPr>
          <w:spacing w:val="-3"/>
        </w:rPr>
        <w:t>将</w:t>
      </w:r>
      <w:r>
        <w:rPr/>
        <w:t>其</w:t>
      </w:r>
      <w:r>
        <w:rPr>
          <w:spacing w:val="-3"/>
        </w:rPr>
        <w:t>所</w:t>
      </w:r>
      <w:r>
        <w:rPr/>
        <w:t>持</w:t>
      </w:r>
      <w:r>
        <w:rPr>
          <w:spacing w:val="-3"/>
        </w:rPr>
        <w:t>有</w:t>
      </w:r>
      <w:r>
        <w:rPr/>
        <w:t>的本</w:t>
      </w:r>
      <w:r>
        <w:rPr>
          <w:spacing w:val="-3"/>
        </w:rPr>
        <w:t>基</w:t>
      </w:r>
      <w:r>
        <w:rPr/>
        <w:t>金管理人</w:t>
      </w:r>
      <w:r>
        <w:rPr>
          <w:spacing w:val="-3"/>
        </w:rPr>
        <w:t>管</w:t>
      </w:r>
      <w:r>
        <w:rPr/>
        <w:t>理</w:t>
      </w:r>
      <w:r>
        <w:rPr>
          <w:spacing w:val="-3"/>
        </w:rPr>
        <w:t>的</w:t>
      </w:r>
      <w:r>
        <w:rPr/>
        <w:t>任</w:t>
      </w:r>
      <w:r>
        <w:rPr>
          <w:spacing w:val="-3"/>
        </w:rPr>
        <w:t>一</w:t>
      </w:r>
      <w:r>
        <w:rPr/>
        <w:t>开</w:t>
      </w:r>
      <w:r>
        <w:rPr>
          <w:spacing w:val="-3"/>
        </w:rPr>
        <w:t>放</w:t>
      </w:r>
      <w:r>
        <w:rPr/>
        <w:t>式</w:t>
      </w:r>
      <w:r>
        <w:rPr>
          <w:spacing w:val="-3"/>
        </w:rPr>
        <w:t>基</w:t>
      </w:r>
      <w:r>
        <w:rPr>
          <w:spacing w:val="-48"/>
        </w:rPr>
        <w:t>金</w:t>
      </w:r>
      <w:r>
        <w:rPr/>
        <w:t>（</w:t>
      </w:r>
      <w:r>
        <w:rPr>
          <w:spacing w:val="-3"/>
        </w:rPr>
        <w:t>转</w:t>
      </w:r>
      <w:r>
        <w:rPr/>
        <w:t>出</w:t>
      </w:r>
      <w:r>
        <w:rPr>
          <w:spacing w:val="-3"/>
        </w:rPr>
        <w:t>基</w:t>
      </w:r>
      <w:r>
        <w:rPr/>
        <w:t>金</w:t>
      </w:r>
      <w:r>
        <w:rPr>
          <w:spacing w:val="-48"/>
        </w:rPr>
        <w:t>）</w:t>
      </w:r>
      <w:r>
        <w:rPr>
          <w:spacing w:val="-3"/>
        </w:rPr>
        <w:t>的</w:t>
      </w:r>
      <w:r>
        <w:rPr/>
        <w:t>全</w:t>
      </w:r>
      <w:r>
        <w:rPr>
          <w:spacing w:val="-3"/>
        </w:rPr>
        <w:t>部</w:t>
      </w:r>
      <w:r>
        <w:rPr/>
        <w:t>或</w:t>
      </w:r>
      <w:r>
        <w:rPr>
          <w:spacing w:val="-3"/>
        </w:rPr>
        <w:t>部</w:t>
      </w:r>
      <w:r>
        <w:rPr/>
        <w:t>分</w:t>
      </w:r>
      <w:r>
        <w:rPr>
          <w:spacing w:val="-3"/>
        </w:rPr>
        <w:t>基</w:t>
      </w:r>
      <w:r>
        <w:rPr/>
        <w:t>金份额</w:t>
      </w:r>
      <w:r>
        <w:rPr>
          <w:spacing w:val="-3"/>
        </w:rPr>
        <w:t>转</w:t>
      </w:r>
      <w:r>
        <w:rPr/>
        <w:t>换</w:t>
      </w:r>
      <w:r>
        <w:rPr>
          <w:spacing w:val="-3"/>
        </w:rPr>
        <w:t>为</w:t>
      </w:r>
      <w:r>
        <w:rPr/>
        <w:t>本</w:t>
      </w:r>
      <w:r>
        <w:rPr>
          <w:spacing w:val="-3"/>
        </w:rPr>
        <w:t>基</w:t>
      </w:r>
      <w:r>
        <w:rPr/>
        <w:t>金</w:t>
      </w:r>
      <w:r>
        <w:rPr>
          <w:spacing w:val="-3"/>
        </w:rPr>
        <w:t>管</w:t>
      </w:r>
      <w:r>
        <w:rPr/>
        <w:t>理</w:t>
      </w:r>
      <w:r>
        <w:rPr>
          <w:spacing w:val="-3"/>
        </w:rPr>
        <w:t>人</w:t>
      </w:r>
      <w:r>
        <w:rPr/>
        <w:t>管理</w:t>
      </w:r>
      <w:r>
        <w:rPr>
          <w:spacing w:val="-3"/>
        </w:rPr>
        <w:t>的</w:t>
      </w:r>
      <w:r>
        <w:rPr/>
        <w:t>任</w:t>
      </w:r>
      <w:r>
        <w:rPr>
          <w:spacing w:val="-3"/>
        </w:rPr>
        <w:t>何</w:t>
      </w:r>
      <w:r>
        <w:rPr/>
        <w:t>其</w:t>
      </w:r>
      <w:r>
        <w:rPr>
          <w:spacing w:val="-3"/>
        </w:rPr>
        <w:t>他</w:t>
      </w:r>
      <w:r>
        <w:rPr/>
        <w:t>开</w:t>
      </w:r>
      <w:r>
        <w:rPr>
          <w:spacing w:val="-3"/>
        </w:rPr>
        <w:t>放</w:t>
      </w:r>
      <w:r>
        <w:rPr/>
        <w:t>式</w:t>
      </w:r>
      <w:r>
        <w:rPr>
          <w:spacing w:val="-3"/>
        </w:rPr>
        <w:t>基</w:t>
      </w:r>
      <w:r>
        <w:rPr>
          <w:spacing w:val="-94"/>
        </w:rPr>
        <w:t>金</w:t>
      </w:r>
      <w:r>
        <w:rPr>
          <w:spacing w:val="-3"/>
        </w:rPr>
        <w:t>（转</w:t>
      </w:r>
      <w:r>
        <w:rPr/>
        <w:t>入基金</w:t>
      </w:r>
      <w:r>
        <w:rPr>
          <w:spacing w:val="-3"/>
        </w:rPr>
        <w:t>）</w:t>
      </w:r>
      <w:r>
        <w:rPr/>
        <w:t>的</w:t>
      </w:r>
      <w:r>
        <w:rPr>
          <w:spacing w:val="-3"/>
        </w:rPr>
        <w:t>基</w:t>
      </w:r>
      <w:r>
        <w:rPr/>
        <w:t>金</w:t>
      </w:r>
      <w:r>
        <w:rPr>
          <w:spacing w:val="-3"/>
        </w:rPr>
        <w:t>份</w:t>
      </w:r>
      <w:r>
        <w:rPr/>
        <w:t>额</w:t>
      </w:r>
      <w:r>
        <w:rPr>
          <w:spacing w:val="-3"/>
        </w:rPr>
        <w:t>的</w:t>
      </w:r>
      <w:r>
        <w:rPr/>
        <w:t>行为</w:t>
      </w:r>
    </w:p>
    <w:p>
      <w:pPr>
        <w:pStyle w:val="BodyText"/>
        <w:tabs>
          <w:tab w:pos="3060" w:val="left" w:leader="none"/>
        </w:tabs>
        <w:spacing w:line="268" w:lineRule="exact"/>
      </w:pPr>
      <w:r>
        <w:rPr/>
        <w:t>定期</w:t>
      </w:r>
      <w:r>
        <w:rPr>
          <w:spacing w:val="-3"/>
        </w:rPr>
        <w:t>定</w:t>
      </w:r>
      <w:r>
        <w:rPr/>
        <w:t>额</w:t>
      </w:r>
      <w:r>
        <w:rPr>
          <w:spacing w:val="-3"/>
        </w:rPr>
        <w:t>投</w:t>
      </w:r>
      <w:r>
        <w:rPr/>
        <w:t>资</w:t>
      </w:r>
      <w:r>
        <w:rPr>
          <w:spacing w:val="-3"/>
        </w:rPr>
        <w:t>计</w:t>
      </w:r>
      <w:r>
        <w:rPr/>
        <w:t>划</w:t>
        <w:tab/>
        <w:t>指</w:t>
      </w:r>
      <w:r>
        <w:rPr>
          <w:spacing w:val="-3"/>
        </w:rPr>
        <w:t>投</w:t>
      </w:r>
      <w:r>
        <w:rPr/>
        <w:t>资</w:t>
      </w:r>
      <w:r>
        <w:rPr>
          <w:spacing w:val="-3"/>
        </w:rPr>
        <w:t>者</w:t>
      </w:r>
      <w:r>
        <w:rPr/>
        <w:t>通</w:t>
      </w:r>
      <w:r>
        <w:rPr>
          <w:spacing w:val="-3"/>
        </w:rPr>
        <w:t>过</w:t>
      </w:r>
      <w:r>
        <w:rPr/>
        <w:t>有</w:t>
      </w:r>
      <w:r>
        <w:rPr>
          <w:spacing w:val="-3"/>
        </w:rPr>
        <w:t>关销</w:t>
      </w:r>
      <w:r>
        <w:rPr/>
        <w:t>售机</w:t>
      </w:r>
      <w:r>
        <w:rPr>
          <w:spacing w:val="-3"/>
        </w:rPr>
        <w:t>构</w:t>
      </w:r>
      <w:r>
        <w:rPr/>
        <w:t>提</w:t>
      </w:r>
      <w:r>
        <w:rPr>
          <w:spacing w:val="-3"/>
        </w:rPr>
        <w:t>出</w:t>
      </w:r>
      <w:r>
        <w:rPr/>
        <w:t>申</w:t>
      </w:r>
      <w:r>
        <w:rPr>
          <w:spacing w:val="-3"/>
        </w:rPr>
        <w:t>请</w:t>
      </w:r>
      <w:r>
        <w:rPr>
          <w:spacing w:val="-48"/>
        </w:rPr>
        <w:t>，</w:t>
      </w:r>
      <w:r>
        <w:rPr>
          <w:spacing w:val="-3"/>
        </w:rPr>
        <w:t>约</w:t>
      </w:r>
      <w:r>
        <w:rPr/>
        <w:t>定</w:t>
      </w:r>
      <w:r>
        <w:rPr>
          <w:spacing w:val="-3"/>
        </w:rPr>
        <w:t>每</w:t>
      </w:r>
      <w:r>
        <w:rPr/>
        <w:t>期扣</w:t>
      </w:r>
      <w:r>
        <w:rPr>
          <w:spacing w:val="-3"/>
        </w:rPr>
        <w:t>款</w:t>
      </w:r>
      <w:r>
        <w:rPr/>
        <w:t>日</w:t>
      </w:r>
      <w:r>
        <w:rPr>
          <w:spacing w:val="-51"/>
        </w:rPr>
        <w:t>、</w:t>
      </w:r>
      <w:r>
        <w:rPr/>
        <w:t>扣</w:t>
      </w:r>
    </w:p>
    <w:p>
      <w:pPr>
        <w:pStyle w:val="BodyText"/>
        <w:spacing w:line="364" w:lineRule="auto" w:before="126"/>
        <w:ind w:left="3061" w:right="313"/>
      </w:pPr>
      <w:r>
        <w:rPr>
          <w:spacing w:val="-12"/>
        </w:rPr>
        <w:t>款金额及扣款方式，由销售机构于每期约定扣款日在投资者</w:t>
      </w:r>
      <w:r>
        <w:rPr>
          <w:spacing w:val="-6"/>
        </w:rPr>
        <w:t>指定银行账户内自动完成扣款及基金申购申请的一种投资方式</w:t>
      </w:r>
    </w:p>
    <w:p>
      <w:pPr>
        <w:pStyle w:val="BodyText"/>
        <w:tabs>
          <w:tab w:pos="3060" w:val="left" w:leader="none"/>
        </w:tabs>
        <w:spacing w:line="367" w:lineRule="auto"/>
        <w:ind w:left="3061" w:right="316" w:hanging="2941"/>
      </w:pPr>
      <w:r>
        <w:rPr/>
        <w:t>基金</w:t>
      </w:r>
      <w:r>
        <w:rPr>
          <w:spacing w:val="-3"/>
        </w:rPr>
        <w:t>收</w:t>
      </w:r>
      <w:r>
        <w:rPr/>
        <w:t>益</w:t>
        <w:tab/>
        <w:t>指</w:t>
      </w:r>
      <w:r>
        <w:rPr>
          <w:spacing w:val="-3"/>
        </w:rPr>
        <w:t>基</w:t>
      </w:r>
      <w:r>
        <w:rPr/>
        <w:t>金</w:t>
      </w:r>
      <w:r>
        <w:rPr>
          <w:spacing w:val="-3"/>
        </w:rPr>
        <w:t>投</w:t>
      </w:r>
      <w:r>
        <w:rPr/>
        <w:t>资</w:t>
      </w:r>
      <w:r>
        <w:rPr>
          <w:spacing w:val="-3"/>
        </w:rPr>
        <w:t>所</w:t>
      </w:r>
      <w:r>
        <w:rPr/>
        <w:t>得</w:t>
      </w:r>
      <w:r>
        <w:rPr>
          <w:spacing w:val="-3"/>
        </w:rPr>
        <w:t>股票</w:t>
      </w:r>
      <w:r>
        <w:rPr/>
        <w:t>红</w:t>
      </w:r>
      <w:r>
        <w:rPr>
          <w:spacing w:val="-3"/>
        </w:rPr>
        <w:t>利</w:t>
      </w:r>
      <w:r>
        <w:rPr>
          <w:spacing w:val="-32"/>
        </w:rPr>
        <w:t>、</w:t>
      </w:r>
      <w:r>
        <w:rPr>
          <w:spacing w:val="-3"/>
        </w:rPr>
        <w:t>债</w:t>
      </w:r>
      <w:r>
        <w:rPr/>
        <w:t>券</w:t>
      </w:r>
      <w:r>
        <w:rPr>
          <w:spacing w:val="-3"/>
        </w:rPr>
        <w:t>利</w:t>
      </w:r>
      <w:r>
        <w:rPr/>
        <w:t>息</w:t>
      </w:r>
      <w:r>
        <w:rPr>
          <w:spacing w:val="-34"/>
        </w:rPr>
        <w:t>、</w:t>
      </w:r>
      <w:r>
        <w:rPr/>
        <w:t>票</w:t>
      </w:r>
      <w:r>
        <w:rPr>
          <w:spacing w:val="-3"/>
        </w:rPr>
        <w:t>据投</w:t>
      </w:r>
      <w:r>
        <w:rPr/>
        <w:t>资收</w:t>
      </w:r>
      <w:r>
        <w:rPr>
          <w:spacing w:val="-3"/>
        </w:rPr>
        <w:t>益</w:t>
      </w:r>
      <w:r>
        <w:rPr>
          <w:spacing w:val="-34"/>
        </w:rPr>
        <w:t>、</w:t>
      </w:r>
      <w:r>
        <w:rPr/>
        <w:t>买卖证券</w:t>
      </w:r>
      <w:r>
        <w:rPr>
          <w:spacing w:val="-3"/>
        </w:rPr>
        <w:t>差</w:t>
      </w:r>
      <w:r>
        <w:rPr/>
        <w:t>价</w:t>
      </w:r>
      <w:r>
        <w:rPr>
          <w:spacing w:val="-3"/>
        </w:rPr>
        <w:t>、</w:t>
      </w:r>
      <w:r>
        <w:rPr/>
        <w:t>银</w:t>
      </w:r>
      <w:r>
        <w:rPr>
          <w:spacing w:val="-3"/>
        </w:rPr>
        <w:t>行</w:t>
      </w:r>
      <w:r>
        <w:rPr/>
        <w:t>存</w:t>
      </w:r>
      <w:r>
        <w:rPr>
          <w:spacing w:val="-3"/>
        </w:rPr>
        <w:t>款</w:t>
      </w:r>
      <w:r>
        <w:rPr/>
        <w:t>利</w:t>
      </w:r>
      <w:r>
        <w:rPr>
          <w:spacing w:val="-3"/>
        </w:rPr>
        <w:t>息</w:t>
      </w:r>
      <w:r>
        <w:rPr/>
        <w:t>以及</w:t>
      </w:r>
      <w:r>
        <w:rPr>
          <w:spacing w:val="-3"/>
        </w:rPr>
        <w:t>其</w:t>
      </w:r>
      <w:r>
        <w:rPr/>
        <w:t>他</w:t>
      </w:r>
      <w:r>
        <w:rPr>
          <w:spacing w:val="-3"/>
        </w:rPr>
        <w:t>收</w:t>
      </w:r>
      <w:r>
        <w:rPr/>
        <w:t>益</w:t>
      </w:r>
    </w:p>
    <w:p>
      <w:pPr>
        <w:pStyle w:val="BodyText"/>
        <w:tabs>
          <w:tab w:pos="3060" w:val="left" w:leader="none"/>
        </w:tabs>
        <w:spacing w:line="364" w:lineRule="auto"/>
        <w:ind w:left="3061" w:right="313" w:hanging="2941"/>
      </w:pPr>
      <w:r>
        <w:rPr/>
        <w:t>基金</w:t>
      </w:r>
      <w:r>
        <w:rPr>
          <w:spacing w:val="-3"/>
        </w:rPr>
        <w:t>资</w:t>
      </w:r>
      <w:r>
        <w:rPr/>
        <w:t>产</w:t>
      </w:r>
      <w:r>
        <w:rPr>
          <w:spacing w:val="-3"/>
        </w:rPr>
        <w:t>总</w:t>
      </w:r>
      <w:r>
        <w:rPr/>
        <w:t>值</w:t>
        <w:tab/>
        <w:t>指</w:t>
      </w:r>
      <w:r>
        <w:rPr>
          <w:spacing w:val="-3"/>
        </w:rPr>
        <w:t>基</w:t>
      </w:r>
      <w:r>
        <w:rPr/>
        <w:t>金</w:t>
      </w:r>
      <w:r>
        <w:rPr>
          <w:spacing w:val="-3"/>
        </w:rPr>
        <w:t>所</w:t>
      </w:r>
      <w:r>
        <w:rPr/>
        <w:t>购</w:t>
      </w:r>
      <w:r>
        <w:rPr>
          <w:spacing w:val="-3"/>
        </w:rPr>
        <w:t>买</w:t>
      </w:r>
      <w:r>
        <w:rPr/>
        <w:t>的</w:t>
      </w:r>
      <w:r>
        <w:rPr>
          <w:spacing w:val="-3"/>
        </w:rPr>
        <w:t>各类</w:t>
      </w:r>
      <w:r>
        <w:rPr/>
        <w:t>证券</w:t>
      </w:r>
      <w:r>
        <w:rPr>
          <w:spacing w:val="-3"/>
        </w:rPr>
        <w:t>及</w:t>
      </w:r>
      <w:r>
        <w:rPr/>
        <w:t>票</w:t>
      </w:r>
      <w:r>
        <w:rPr>
          <w:spacing w:val="-3"/>
        </w:rPr>
        <w:t>据</w:t>
      </w:r>
      <w:r>
        <w:rPr/>
        <w:t>价</w:t>
      </w:r>
      <w:r>
        <w:rPr>
          <w:spacing w:val="-3"/>
        </w:rPr>
        <w:t>值</w:t>
      </w:r>
      <w:r>
        <w:rPr>
          <w:spacing w:val="-97"/>
        </w:rPr>
        <w:t>、</w:t>
      </w:r>
      <w:r>
        <w:rPr/>
        <w:t>银</w:t>
      </w:r>
      <w:r>
        <w:rPr>
          <w:spacing w:val="-3"/>
        </w:rPr>
        <w:t>行</w:t>
      </w:r>
      <w:r>
        <w:rPr/>
        <w:t>存</w:t>
      </w:r>
      <w:r>
        <w:rPr>
          <w:spacing w:val="-3"/>
        </w:rPr>
        <w:t>款</w:t>
      </w:r>
      <w:r>
        <w:rPr/>
        <w:t>本息</w:t>
      </w:r>
      <w:r>
        <w:rPr>
          <w:spacing w:val="-3"/>
        </w:rPr>
        <w:t>和</w:t>
      </w:r>
      <w:r>
        <w:rPr/>
        <w:t>本基金应</w:t>
      </w:r>
      <w:r>
        <w:rPr>
          <w:spacing w:val="-3"/>
        </w:rPr>
        <w:t>收</w:t>
      </w:r>
      <w:r>
        <w:rPr/>
        <w:t>的</w:t>
      </w:r>
      <w:r>
        <w:rPr>
          <w:spacing w:val="-3"/>
        </w:rPr>
        <w:t>申</w:t>
      </w:r>
      <w:r>
        <w:rPr/>
        <w:t>购</w:t>
      </w:r>
      <w:r>
        <w:rPr>
          <w:spacing w:val="-3"/>
        </w:rPr>
        <w:t>基</w:t>
      </w:r>
      <w:r>
        <w:rPr/>
        <w:t>金</w:t>
      </w:r>
      <w:r>
        <w:rPr>
          <w:spacing w:val="-3"/>
        </w:rPr>
        <w:t>款</w:t>
      </w:r>
      <w:r>
        <w:rPr/>
        <w:t>以</w:t>
      </w:r>
      <w:r>
        <w:rPr>
          <w:spacing w:val="-3"/>
        </w:rPr>
        <w:t>及</w:t>
      </w:r>
      <w:r>
        <w:rPr/>
        <w:t>其他</w:t>
      </w:r>
      <w:r>
        <w:rPr>
          <w:spacing w:val="-3"/>
        </w:rPr>
        <w:t>投</w:t>
      </w:r>
      <w:r>
        <w:rPr/>
        <w:t>资</w:t>
      </w:r>
      <w:r>
        <w:rPr>
          <w:spacing w:val="-3"/>
        </w:rPr>
        <w:t>所</w:t>
      </w:r>
      <w:r>
        <w:rPr/>
        <w:t>形</w:t>
      </w:r>
      <w:r>
        <w:rPr>
          <w:spacing w:val="-3"/>
        </w:rPr>
        <w:t>成</w:t>
      </w:r>
      <w:r>
        <w:rPr/>
        <w:t>的</w:t>
      </w:r>
      <w:r>
        <w:rPr>
          <w:spacing w:val="-3"/>
        </w:rPr>
        <w:t>价</w:t>
      </w:r>
      <w:r>
        <w:rPr/>
        <w:t>值</w:t>
      </w:r>
      <w:r>
        <w:rPr>
          <w:spacing w:val="-3"/>
        </w:rPr>
        <w:t>总</w:t>
      </w:r>
      <w:r>
        <w:rPr/>
        <w:t>和</w:t>
      </w:r>
    </w:p>
    <w:p>
      <w:pPr>
        <w:pStyle w:val="BodyText"/>
        <w:tabs>
          <w:tab w:pos="3060" w:val="left" w:leader="none"/>
        </w:tabs>
        <w:spacing w:line="267" w:lineRule="exact"/>
      </w:pPr>
      <w:r>
        <w:rPr/>
        <w:t>基金</w:t>
      </w:r>
      <w:r>
        <w:rPr>
          <w:spacing w:val="-3"/>
        </w:rPr>
        <w:t>资</w:t>
      </w:r>
      <w:r>
        <w:rPr/>
        <w:t>产</w:t>
      </w:r>
      <w:r>
        <w:rPr>
          <w:spacing w:val="-3"/>
        </w:rPr>
        <w:t>净</w:t>
      </w:r>
      <w:r>
        <w:rPr/>
        <w:t>值</w:t>
        <w:tab/>
        <w:t>指</w:t>
      </w:r>
      <w:r>
        <w:rPr>
          <w:spacing w:val="-3"/>
        </w:rPr>
        <w:t>基</w:t>
      </w:r>
      <w:r>
        <w:rPr/>
        <w:t>金</w:t>
      </w:r>
      <w:r>
        <w:rPr>
          <w:spacing w:val="-3"/>
        </w:rPr>
        <w:t>资</w:t>
      </w:r>
      <w:r>
        <w:rPr/>
        <w:t>产</w:t>
      </w:r>
      <w:r>
        <w:rPr>
          <w:spacing w:val="-3"/>
        </w:rPr>
        <w:t>总</w:t>
      </w:r>
      <w:r>
        <w:rPr/>
        <w:t>值</w:t>
      </w:r>
      <w:r>
        <w:rPr>
          <w:spacing w:val="-3"/>
        </w:rPr>
        <w:t>扣除</w:t>
      </w:r>
      <w:r>
        <w:rPr/>
        <w:t>负债</w:t>
      </w:r>
      <w:r>
        <w:rPr>
          <w:spacing w:val="-3"/>
        </w:rPr>
        <w:t>后</w:t>
      </w:r>
      <w:r>
        <w:rPr/>
        <w:t>的</w:t>
      </w:r>
      <w:r>
        <w:rPr>
          <w:spacing w:val="-3"/>
        </w:rPr>
        <w:t>净</w:t>
      </w:r>
      <w:r>
        <w:rPr/>
        <w:t>资</w:t>
      </w:r>
      <w:r>
        <w:rPr>
          <w:spacing w:val="-3"/>
        </w:rPr>
        <w:t>产</w:t>
      </w:r>
      <w:r>
        <w:rPr/>
        <w:t>值</w:t>
      </w:r>
    </w:p>
    <w:p>
      <w:pPr>
        <w:pStyle w:val="BodyText"/>
        <w:tabs>
          <w:tab w:pos="3060" w:val="left" w:leader="none"/>
        </w:tabs>
        <w:spacing w:line="364" w:lineRule="auto" w:before="134"/>
        <w:ind w:left="3061" w:right="428" w:hanging="2941"/>
      </w:pPr>
      <w:r>
        <w:rPr/>
        <w:t>基金</w:t>
      </w:r>
      <w:r>
        <w:rPr>
          <w:spacing w:val="-3"/>
        </w:rPr>
        <w:t>份</w:t>
      </w:r>
      <w:r>
        <w:rPr/>
        <w:t>额</w:t>
      </w:r>
      <w:r>
        <w:rPr>
          <w:spacing w:val="-3"/>
        </w:rPr>
        <w:t>净</w:t>
      </w:r>
      <w:r>
        <w:rPr/>
        <w:t>值</w:t>
        <w:tab/>
        <w:t>指</w:t>
      </w:r>
      <w:r>
        <w:rPr>
          <w:spacing w:val="-3"/>
        </w:rPr>
        <w:t>计</w:t>
      </w:r>
      <w:r>
        <w:rPr/>
        <w:t>算</w:t>
      </w:r>
      <w:r>
        <w:rPr>
          <w:spacing w:val="-3"/>
        </w:rPr>
        <w:t>日</w:t>
      </w:r>
      <w:r>
        <w:rPr/>
        <w:t>基</w:t>
      </w:r>
      <w:r>
        <w:rPr>
          <w:spacing w:val="-3"/>
        </w:rPr>
        <w:t>金</w:t>
      </w:r>
      <w:r>
        <w:rPr/>
        <w:t>资</w:t>
      </w:r>
      <w:r>
        <w:rPr>
          <w:spacing w:val="-3"/>
        </w:rPr>
        <w:t>产净</w:t>
      </w:r>
      <w:r>
        <w:rPr/>
        <w:t>值除</w:t>
      </w:r>
      <w:r>
        <w:rPr>
          <w:spacing w:val="-3"/>
        </w:rPr>
        <w:t>以</w:t>
      </w:r>
      <w:r>
        <w:rPr/>
        <w:t>该</w:t>
      </w:r>
      <w:r>
        <w:rPr>
          <w:spacing w:val="-3"/>
        </w:rPr>
        <w:t>计</w:t>
      </w:r>
      <w:r>
        <w:rPr/>
        <w:t>算</w:t>
      </w:r>
      <w:r>
        <w:rPr>
          <w:spacing w:val="-3"/>
        </w:rPr>
        <w:t>日</w:t>
      </w:r>
      <w:r>
        <w:rPr/>
        <w:t>发</w:t>
      </w:r>
      <w:r>
        <w:rPr>
          <w:spacing w:val="-3"/>
        </w:rPr>
        <w:t>行</w:t>
      </w:r>
      <w:r>
        <w:rPr/>
        <w:t>在</w:t>
      </w:r>
      <w:r>
        <w:rPr>
          <w:spacing w:val="-3"/>
        </w:rPr>
        <w:t>外</w:t>
      </w:r>
      <w:r>
        <w:rPr/>
        <w:t>的基</w:t>
      </w:r>
      <w:r>
        <w:rPr>
          <w:spacing w:val="-3"/>
        </w:rPr>
        <w:t>金</w:t>
      </w:r>
      <w:r>
        <w:rPr/>
        <w:t>份额总数</w:t>
      </w:r>
      <w:r>
        <w:rPr>
          <w:spacing w:val="-3"/>
        </w:rPr>
        <w:t>后</w:t>
      </w:r>
      <w:r>
        <w:rPr/>
        <w:t>的值</w:t>
      </w:r>
    </w:p>
    <w:p>
      <w:pPr>
        <w:pStyle w:val="BodyText"/>
        <w:tabs>
          <w:tab w:pos="3060" w:val="left" w:leader="none"/>
        </w:tabs>
        <w:spacing w:line="364" w:lineRule="auto"/>
        <w:ind w:left="3061" w:right="313" w:hanging="2941"/>
      </w:pPr>
      <w:r>
        <w:rPr/>
        <w:t>基金</w:t>
      </w:r>
      <w:r>
        <w:rPr>
          <w:spacing w:val="-3"/>
        </w:rPr>
        <w:t>资</w:t>
      </w:r>
      <w:r>
        <w:rPr/>
        <w:t>产</w:t>
      </w:r>
      <w:r>
        <w:rPr>
          <w:spacing w:val="-3"/>
        </w:rPr>
        <w:t>估</w:t>
      </w:r>
      <w:r>
        <w:rPr/>
        <w:t>值</w:t>
        <w:tab/>
        <w:t>指</w:t>
      </w:r>
      <w:r>
        <w:rPr>
          <w:spacing w:val="-3"/>
        </w:rPr>
        <w:t>计</w:t>
      </w:r>
      <w:r>
        <w:rPr/>
        <w:t>算</w:t>
      </w:r>
      <w:r>
        <w:rPr>
          <w:spacing w:val="-3"/>
        </w:rPr>
        <w:t>评</w:t>
      </w:r>
      <w:r>
        <w:rPr/>
        <w:t>估</w:t>
      </w:r>
      <w:r>
        <w:rPr>
          <w:spacing w:val="-3"/>
        </w:rPr>
        <w:t>基</w:t>
      </w:r>
      <w:r>
        <w:rPr/>
        <w:t>金</w:t>
      </w:r>
      <w:r>
        <w:rPr>
          <w:spacing w:val="-3"/>
        </w:rPr>
        <w:t>资产</w:t>
      </w:r>
      <w:r>
        <w:rPr/>
        <w:t>和负</w:t>
      </w:r>
      <w:r>
        <w:rPr>
          <w:spacing w:val="-3"/>
        </w:rPr>
        <w:t>债</w:t>
      </w:r>
      <w:r>
        <w:rPr/>
        <w:t>的</w:t>
      </w:r>
      <w:r>
        <w:rPr>
          <w:spacing w:val="-3"/>
        </w:rPr>
        <w:t>价值</w:t>
      </w:r>
      <w:r>
        <w:rPr>
          <w:spacing w:val="-94"/>
        </w:rPr>
        <w:t>，</w:t>
      </w:r>
      <w:r>
        <w:rPr>
          <w:spacing w:val="-3"/>
        </w:rPr>
        <w:t>以</w:t>
      </w:r>
      <w:r>
        <w:rPr/>
        <w:t>确</w:t>
      </w:r>
      <w:r>
        <w:rPr>
          <w:spacing w:val="-3"/>
        </w:rPr>
        <w:t>定</w:t>
      </w:r>
      <w:r>
        <w:rPr/>
        <w:t>基</w:t>
      </w:r>
      <w:r>
        <w:rPr>
          <w:spacing w:val="-3"/>
        </w:rPr>
        <w:t>金</w:t>
      </w:r>
      <w:r>
        <w:rPr/>
        <w:t>资产</w:t>
      </w:r>
      <w:r>
        <w:rPr>
          <w:spacing w:val="-3"/>
        </w:rPr>
        <w:t>净</w:t>
      </w:r>
      <w:r>
        <w:rPr/>
        <w:t>值的过程</w:t>
      </w:r>
    </w:p>
    <w:p>
      <w:pPr>
        <w:pStyle w:val="BodyText"/>
        <w:tabs>
          <w:tab w:pos="3060" w:val="left" w:leader="none"/>
        </w:tabs>
        <w:spacing w:line="364" w:lineRule="auto"/>
        <w:ind w:left="3061" w:right="311" w:hanging="2941"/>
        <w:jc w:val="both"/>
      </w:pPr>
      <w:r>
        <w:rPr/>
        <w:t>指定</w:t>
      </w:r>
      <w:r>
        <w:rPr>
          <w:spacing w:val="-3"/>
        </w:rPr>
        <w:t>媒</w:t>
      </w:r>
      <w:r>
        <w:rPr/>
        <w:t>介</w:t>
        <w:tab/>
      </w:r>
      <w:r>
        <w:rPr>
          <w:spacing w:val="4"/>
        </w:rPr>
        <w:t>指中</w:t>
      </w:r>
      <w:r>
        <w:rPr/>
        <w:t>国</w:t>
      </w:r>
      <w:r>
        <w:rPr>
          <w:spacing w:val="4"/>
        </w:rPr>
        <w:t>证</w:t>
      </w:r>
      <w:r>
        <w:rPr/>
        <w:t>监</w:t>
      </w:r>
      <w:r>
        <w:rPr>
          <w:spacing w:val="4"/>
        </w:rPr>
        <w:t>会</w:t>
      </w:r>
      <w:r>
        <w:rPr/>
        <w:t>指</w:t>
      </w:r>
      <w:r>
        <w:rPr>
          <w:spacing w:val="4"/>
        </w:rPr>
        <w:t>定</w:t>
      </w:r>
      <w:r>
        <w:rPr/>
        <w:t>的</w:t>
      </w:r>
      <w:r>
        <w:rPr>
          <w:spacing w:val="4"/>
        </w:rPr>
        <w:t>用</w:t>
      </w:r>
      <w:r>
        <w:rPr/>
        <w:t>以</w:t>
      </w:r>
      <w:r>
        <w:rPr>
          <w:spacing w:val="4"/>
        </w:rPr>
        <w:t>进行</w:t>
      </w:r>
      <w:r>
        <w:rPr/>
        <w:t>信</w:t>
      </w:r>
      <w:r>
        <w:rPr>
          <w:spacing w:val="4"/>
        </w:rPr>
        <w:t>息</w:t>
      </w:r>
      <w:r>
        <w:rPr/>
        <w:t>披</w:t>
      </w:r>
      <w:r>
        <w:rPr>
          <w:spacing w:val="4"/>
        </w:rPr>
        <w:t>露</w:t>
      </w:r>
      <w:r>
        <w:rPr/>
        <w:t>的</w:t>
      </w:r>
      <w:r>
        <w:rPr>
          <w:spacing w:val="4"/>
        </w:rPr>
        <w:t>全</w:t>
      </w:r>
      <w:r>
        <w:rPr/>
        <w:t>国</w:t>
      </w:r>
      <w:r>
        <w:rPr>
          <w:spacing w:val="4"/>
        </w:rPr>
        <w:t>性</w:t>
      </w:r>
      <w:r>
        <w:rPr/>
        <w:t>报</w:t>
      </w:r>
      <w:r>
        <w:rPr>
          <w:spacing w:val="4"/>
        </w:rPr>
        <w:t>刊及</w:t>
      </w:r>
      <w:r>
        <w:rPr/>
        <w:t>指定互</w:t>
      </w:r>
      <w:r>
        <w:rPr>
          <w:spacing w:val="-3"/>
        </w:rPr>
        <w:t>联</w:t>
      </w:r>
      <w:r>
        <w:rPr/>
        <w:t>网</w:t>
      </w:r>
      <w:r>
        <w:rPr>
          <w:spacing w:val="-3"/>
        </w:rPr>
        <w:t>网</w:t>
      </w:r>
      <w:r>
        <w:rPr>
          <w:spacing w:val="-34"/>
        </w:rPr>
        <w:t>站</w:t>
      </w:r>
      <w:r>
        <w:rPr/>
        <w:t>（包</w:t>
      </w:r>
      <w:r>
        <w:rPr>
          <w:spacing w:val="-3"/>
        </w:rPr>
        <w:t>括</w:t>
      </w:r>
      <w:r>
        <w:rPr/>
        <w:t>基</w:t>
      </w:r>
      <w:r>
        <w:rPr>
          <w:spacing w:val="-3"/>
        </w:rPr>
        <w:t>金</w:t>
      </w:r>
      <w:r>
        <w:rPr/>
        <w:t>管理</w:t>
      </w:r>
      <w:r>
        <w:rPr>
          <w:spacing w:val="-3"/>
        </w:rPr>
        <w:t>人</w:t>
      </w:r>
      <w:r>
        <w:rPr/>
        <w:t>网</w:t>
      </w:r>
      <w:r>
        <w:rPr>
          <w:spacing w:val="-3"/>
        </w:rPr>
        <w:t>站</w:t>
      </w:r>
      <w:r>
        <w:rPr>
          <w:spacing w:val="-34"/>
        </w:rPr>
        <w:t>、</w:t>
      </w:r>
      <w:r>
        <w:rPr/>
        <w:t>基金</w:t>
      </w:r>
      <w:r>
        <w:rPr>
          <w:spacing w:val="-3"/>
        </w:rPr>
        <w:t>托</w:t>
      </w:r>
      <w:r>
        <w:rPr/>
        <w:t>管</w:t>
      </w:r>
      <w:r>
        <w:rPr>
          <w:spacing w:val="-3"/>
        </w:rPr>
        <w:t>人</w:t>
      </w:r>
      <w:r>
        <w:rPr/>
        <w:t>网</w:t>
      </w:r>
      <w:r>
        <w:rPr>
          <w:spacing w:val="-3"/>
        </w:rPr>
        <w:t>站</w:t>
      </w:r>
      <w:r>
        <w:rPr>
          <w:spacing w:val="-32"/>
        </w:rPr>
        <w:t>、</w:t>
      </w:r>
      <w:r>
        <w:rPr/>
        <w:t>中国证</w:t>
      </w:r>
      <w:r>
        <w:rPr>
          <w:spacing w:val="-3"/>
        </w:rPr>
        <w:t>监</w:t>
      </w:r>
      <w:r>
        <w:rPr/>
        <w:t>会</w:t>
      </w:r>
      <w:r>
        <w:rPr>
          <w:spacing w:val="-3"/>
        </w:rPr>
        <w:t>基</w:t>
      </w:r>
      <w:r>
        <w:rPr/>
        <w:t>金</w:t>
      </w:r>
      <w:r>
        <w:rPr>
          <w:spacing w:val="-3"/>
        </w:rPr>
        <w:t>电</w:t>
      </w:r>
      <w:r>
        <w:rPr/>
        <w:t>子</w:t>
      </w:r>
      <w:r>
        <w:rPr>
          <w:spacing w:val="-3"/>
        </w:rPr>
        <w:t>披</w:t>
      </w:r>
      <w:r>
        <w:rPr/>
        <w:t>露</w:t>
      </w:r>
      <w:r>
        <w:rPr>
          <w:spacing w:val="-3"/>
        </w:rPr>
        <w:t>网</w:t>
      </w:r>
      <w:r>
        <w:rPr/>
        <w:t>站）</w:t>
      </w:r>
      <w:r>
        <w:rPr>
          <w:spacing w:val="-3"/>
        </w:rPr>
        <w:t>等</w:t>
      </w:r>
      <w:r>
        <w:rPr/>
        <w:t>媒介</w:t>
      </w:r>
    </w:p>
    <w:p>
      <w:pPr>
        <w:pStyle w:val="BodyText"/>
        <w:tabs>
          <w:tab w:pos="3060" w:val="left" w:leader="none"/>
        </w:tabs>
        <w:spacing w:line="364" w:lineRule="auto"/>
        <w:ind w:left="3061" w:right="211" w:hanging="2941"/>
      </w:pPr>
      <w:r>
        <w:rPr/>
        <w:t>不可</w:t>
      </w:r>
      <w:r>
        <w:rPr>
          <w:spacing w:val="-3"/>
        </w:rPr>
        <w:t>抗</w:t>
      </w:r>
      <w:r>
        <w:rPr/>
        <w:t>力</w:t>
        <w:tab/>
        <w:t>指</w:t>
      </w:r>
      <w:r>
        <w:rPr>
          <w:spacing w:val="-3"/>
        </w:rPr>
        <w:t>本</w:t>
      </w:r>
      <w:r>
        <w:rPr/>
        <w:t>合</w:t>
      </w:r>
      <w:r>
        <w:rPr>
          <w:spacing w:val="-3"/>
        </w:rPr>
        <w:t>同</w:t>
      </w:r>
      <w:r>
        <w:rPr/>
        <w:t>当</w:t>
      </w:r>
      <w:r>
        <w:rPr>
          <w:spacing w:val="-3"/>
        </w:rPr>
        <w:t>事</w:t>
      </w:r>
      <w:r>
        <w:rPr/>
        <w:t>人</w:t>
      </w:r>
      <w:r>
        <w:rPr>
          <w:spacing w:val="-3"/>
        </w:rPr>
        <w:t>无法</w:t>
      </w:r>
      <w:r>
        <w:rPr/>
        <w:t>预见</w:t>
      </w:r>
      <w:r>
        <w:rPr>
          <w:spacing w:val="-51"/>
        </w:rPr>
        <w:t>、</w:t>
      </w:r>
      <w:r>
        <w:rPr/>
        <w:t>无</w:t>
      </w:r>
      <w:r>
        <w:rPr>
          <w:spacing w:val="-3"/>
        </w:rPr>
        <w:t>法</w:t>
      </w:r>
      <w:r>
        <w:rPr/>
        <w:t>抗拒</w:t>
      </w:r>
      <w:r>
        <w:rPr>
          <w:spacing w:val="-51"/>
        </w:rPr>
        <w:t>、</w:t>
      </w:r>
      <w:r>
        <w:rPr/>
        <w:t>无</w:t>
      </w:r>
      <w:r>
        <w:rPr>
          <w:spacing w:val="-3"/>
        </w:rPr>
        <w:t>法</w:t>
      </w:r>
      <w:r>
        <w:rPr/>
        <w:t>避</w:t>
      </w:r>
      <w:r>
        <w:rPr>
          <w:spacing w:val="-3"/>
        </w:rPr>
        <w:t>免</w:t>
      </w:r>
      <w:r>
        <w:rPr/>
        <w:t>且在</w:t>
      </w:r>
      <w:r>
        <w:rPr>
          <w:spacing w:val="-3"/>
        </w:rPr>
        <w:t>本</w:t>
      </w:r>
      <w:r>
        <w:rPr/>
        <w:t>合同由基</w:t>
      </w:r>
      <w:r>
        <w:rPr>
          <w:spacing w:val="-3"/>
        </w:rPr>
        <w:t>金</w:t>
      </w:r>
      <w:r>
        <w:rPr/>
        <w:t>托</w:t>
      </w:r>
      <w:r>
        <w:rPr>
          <w:spacing w:val="-3"/>
        </w:rPr>
        <w:t>管</w:t>
      </w:r>
      <w:r>
        <w:rPr/>
        <w:t>人</w:t>
      </w:r>
      <w:r>
        <w:rPr>
          <w:spacing w:val="-51"/>
        </w:rPr>
        <w:t>、</w:t>
      </w:r>
      <w:r>
        <w:rPr/>
        <w:t>基</w:t>
      </w:r>
      <w:r>
        <w:rPr>
          <w:spacing w:val="-3"/>
        </w:rPr>
        <w:t>金</w:t>
      </w:r>
      <w:r>
        <w:rPr/>
        <w:t>管</w:t>
      </w:r>
      <w:r>
        <w:rPr>
          <w:spacing w:val="-3"/>
        </w:rPr>
        <w:t>理</w:t>
      </w:r>
      <w:r>
        <w:rPr/>
        <w:t>人签</w:t>
      </w:r>
      <w:r>
        <w:rPr>
          <w:spacing w:val="-3"/>
        </w:rPr>
        <w:t>署</w:t>
      </w:r>
      <w:r>
        <w:rPr/>
        <w:t>之</w:t>
      </w:r>
      <w:r>
        <w:rPr>
          <w:spacing w:val="-3"/>
        </w:rPr>
        <w:t>日</w:t>
      </w:r>
      <w:r>
        <w:rPr/>
        <w:t>后</w:t>
      </w:r>
      <w:r>
        <w:rPr>
          <w:spacing w:val="-3"/>
        </w:rPr>
        <w:t>发</w:t>
      </w:r>
      <w:r>
        <w:rPr/>
        <w:t>生</w:t>
      </w:r>
      <w:r>
        <w:rPr>
          <w:spacing w:val="-3"/>
        </w:rPr>
        <w:t>的</w:t>
      </w:r>
      <w:r>
        <w:rPr>
          <w:spacing w:val="-48"/>
        </w:rPr>
        <w:t>，</w:t>
      </w:r>
      <w:r>
        <w:rPr>
          <w:spacing w:val="-3"/>
        </w:rPr>
        <w:t>使</w:t>
      </w:r>
      <w:r>
        <w:rPr/>
        <w:t>本合</w:t>
      </w:r>
      <w:r>
        <w:rPr>
          <w:spacing w:val="-3"/>
        </w:rPr>
        <w:t>同</w:t>
      </w:r>
      <w:r>
        <w:rPr/>
        <w:t>当事人</w:t>
      </w:r>
      <w:r>
        <w:rPr>
          <w:spacing w:val="-3"/>
        </w:rPr>
        <w:t>无</w:t>
      </w:r>
      <w:r>
        <w:rPr/>
        <w:t>法</w:t>
      </w:r>
      <w:r>
        <w:rPr>
          <w:spacing w:val="-3"/>
        </w:rPr>
        <w:t>全</w:t>
      </w:r>
      <w:r>
        <w:rPr/>
        <w:t>部</w:t>
      </w:r>
      <w:r>
        <w:rPr>
          <w:spacing w:val="-3"/>
        </w:rPr>
        <w:t>履</w:t>
      </w:r>
      <w:r>
        <w:rPr/>
        <w:t>行</w:t>
      </w:r>
      <w:r>
        <w:rPr>
          <w:spacing w:val="-3"/>
        </w:rPr>
        <w:t>或</w:t>
      </w:r>
      <w:r>
        <w:rPr/>
        <w:t>无</w:t>
      </w:r>
      <w:r>
        <w:rPr>
          <w:spacing w:val="-3"/>
        </w:rPr>
        <w:t>法</w:t>
      </w:r>
      <w:r>
        <w:rPr/>
        <w:t>部分</w:t>
      </w:r>
      <w:r>
        <w:rPr>
          <w:spacing w:val="-3"/>
        </w:rPr>
        <w:t>履</w:t>
      </w:r>
      <w:r>
        <w:rPr/>
        <w:t>行</w:t>
      </w:r>
      <w:r>
        <w:rPr>
          <w:spacing w:val="-3"/>
        </w:rPr>
        <w:t>本</w:t>
      </w:r>
      <w:r>
        <w:rPr/>
        <w:t>合</w:t>
      </w:r>
      <w:r>
        <w:rPr>
          <w:spacing w:val="-3"/>
        </w:rPr>
        <w:t>同</w:t>
      </w:r>
      <w:r>
        <w:rPr/>
        <w:t>的</w:t>
      </w:r>
      <w:r>
        <w:rPr>
          <w:spacing w:val="-3"/>
        </w:rPr>
        <w:t>任</w:t>
      </w:r>
      <w:r>
        <w:rPr/>
        <w:t>何</w:t>
      </w:r>
      <w:r>
        <w:rPr>
          <w:spacing w:val="-3"/>
        </w:rPr>
        <w:t>事</w:t>
      </w:r>
      <w:r>
        <w:rPr/>
        <w:t>件</w:t>
      </w:r>
      <w:r>
        <w:rPr>
          <w:spacing w:val="-97"/>
        </w:rPr>
        <w:t>，</w:t>
      </w:r>
      <w:r>
        <w:rPr>
          <w:spacing w:val="-3"/>
        </w:rPr>
        <w:t>包</w:t>
      </w:r>
      <w:r>
        <w:rPr/>
        <w:t>括但不</w:t>
      </w:r>
      <w:r>
        <w:rPr>
          <w:spacing w:val="-3"/>
        </w:rPr>
        <w:t>限</w:t>
      </w:r>
      <w:r>
        <w:rPr/>
        <w:t>于</w:t>
      </w:r>
      <w:r>
        <w:rPr>
          <w:spacing w:val="-3"/>
        </w:rPr>
        <w:t>洪</w:t>
      </w:r>
      <w:r>
        <w:rPr/>
        <w:t>水</w:t>
      </w:r>
      <w:r>
        <w:rPr>
          <w:spacing w:val="-3"/>
        </w:rPr>
        <w:t>、</w:t>
      </w:r>
      <w:r>
        <w:rPr/>
        <w:t>地</w:t>
      </w:r>
      <w:r>
        <w:rPr>
          <w:spacing w:val="-3"/>
        </w:rPr>
        <w:t>震</w:t>
      </w:r>
      <w:r>
        <w:rPr/>
        <w:t>及</w:t>
      </w:r>
      <w:r>
        <w:rPr>
          <w:spacing w:val="-3"/>
        </w:rPr>
        <w:t>其</w:t>
      </w:r>
      <w:r>
        <w:rPr/>
        <w:t>他自</w:t>
      </w:r>
      <w:r>
        <w:rPr>
          <w:spacing w:val="-3"/>
        </w:rPr>
        <w:t>然</w:t>
      </w:r>
      <w:r>
        <w:rPr/>
        <w:t>灾</w:t>
      </w:r>
      <w:r>
        <w:rPr>
          <w:spacing w:val="-3"/>
        </w:rPr>
        <w:t>害</w:t>
      </w:r>
      <w:r>
        <w:rPr/>
        <w:t>、</w:t>
      </w:r>
      <w:r>
        <w:rPr>
          <w:spacing w:val="-3"/>
        </w:rPr>
        <w:t>战</w:t>
      </w:r>
      <w:r>
        <w:rPr/>
        <w:t>争</w:t>
      </w:r>
      <w:r>
        <w:rPr>
          <w:spacing w:val="-3"/>
        </w:rPr>
        <w:t>、</w:t>
      </w:r>
      <w:r>
        <w:rPr/>
        <w:t>骚</w:t>
      </w:r>
      <w:r>
        <w:rPr>
          <w:spacing w:val="-3"/>
        </w:rPr>
        <w:t>乱</w:t>
      </w:r>
      <w:r>
        <w:rPr/>
        <w:t>、火灾</w:t>
      </w:r>
      <w:r>
        <w:rPr>
          <w:spacing w:val="-11"/>
        </w:rPr>
        <w:t>、</w:t>
      </w:r>
      <w:r>
        <w:rPr/>
        <w:t>政府</w:t>
      </w:r>
      <w:r>
        <w:rPr>
          <w:spacing w:val="-3"/>
        </w:rPr>
        <w:t>征用</w:t>
      </w:r>
      <w:r>
        <w:rPr>
          <w:spacing w:val="-101"/>
        </w:rPr>
        <w:t>、</w:t>
      </w:r>
      <w:r>
        <w:rPr>
          <w:spacing w:val="-3"/>
        </w:rPr>
        <w:t>没</w:t>
      </w:r>
      <w:r>
        <w:rPr/>
        <w:t>收</w:t>
      </w:r>
      <w:r>
        <w:rPr>
          <w:spacing w:val="-104"/>
        </w:rPr>
        <w:t>、</w:t>
      </w:r>
      <w:r>
        <w:rPr/>
        <w:t>法</w:t>
      </w:r>
      <w:r>
        <w:rPr>
          <w:spacing w:val="-3"/>
        </w:rPr>
        <w:t>律</w:t>
      </w:r>
      <w:r>
        <w:rPr/>
        <w:t>法</w:t>
      </w:r>
      <w:r>
        <w:rPr>
          <w:spacing w:val="-3"/>
        </w:rPr>
        <w:t>规</w:t>
      </w:r>
      <w:r>
        <w:rPr/>
        <w:t>变</w:t>
      </w:r>
      <w:r>
        <w:rPr>
          <w:spacing w:val="-3"/>
        </w:rPr>
        <w:t>化</w:t>
      </w:r>
      <w:r>
        <w:rPr>
          <w:spacing w:val="-101"/>
        </w:rPr>
        <w:t>、</w:t>
      </w:r>
      <w:r>
        <w:rPr>
          <w:spacing w:val="-3"/>
        </w:rPr>
        <w:t>突</w:t>
      </w:r>
      <w:r>
        <w:rPr/>
        <w:t>发</w:t>
      </w:r>
      <w:r>
        <w:rPr>
          <w:spacing w:val="-3"/>
        </w:rPr>
        <w:t>停</w:t>
      </w:r>
      <w:r>
        <w:rPr/>
        <w:t>电</w:t>
      </w:r>
      <w:r>
        <w:rPr>
          <w:spacing w:val="-3"/>
        </w:rPr>
        <w:t>或</w:t>
      </w:r>
      <w:r>
        <w:rPr/>
        <w:t>其</w:t>
      </w:r>
      <w:r>
        <w:rPr>
          <w:spacing w:val="-3"/>
        </w:rPr>
        <w:t>他</w:t>
      </w:r>
      <w:r>
        <w:rPr/>
        <w:t>突</w:t>
      </w:r>
      <w:r>
        <w:rPr>
          <w:spacing w:val="-3"/>
        </w:rPr>
        <w:t>发</w:t>
      </w:r>
      <w:r>
        <w:rPr/>
        <w:t>事</w:t>
      </w:r>
      <w:r>
        <w:rPr>
          <w:spacing w:val="-3"/>
        </w:rPr>
        <w:t>件</w:t>
      </w:r>
      <w:r>
        <w:rPr/>
        <w:t>、证券</w:t>
      </w:r>
      <w:r>
        <w:rPr>
          <w:spacing w:val="-3"/>
        </w:rPr>
        <w:t>交</w:t>
      </w:r>
      <w:r>
        <w:rPr/>
        <w:t>易</w:t>
      </w:r>
      <w:r>
        <w:rPr>
          <w:spacing w:val="-3"/>
        </w:rPr>
        <w:t>所</w:t>
      </w:r>
      <w:r>
        <w:rPr/>
        <w:t>非</w:t>
      </w:r>
      <w:r>
        <w:rPr>
          <w:spacing w:val="-3"/>
        </w:rPr>
        <w:t>正</w:t>
      </w:r>
      <w:r>
        <w:rPr/>
        <w:t>常</w:t>
      </w:r>
      <w:r>
        <w:rPr>
          <w:spacing w:val="-3"/>
        </w:rPr>
        <w:t>暂</w:t>
      </w:r>
      <w:r>
        <w:rPr/>
        <w:t>停</w:t>
      </w:r>
      <w:r>
        <w:rPr>
          <w:spacing w:val="-3"/>
        </w:rPr>
        <w:t>或</w:t>
      </w:r>
      <w:r>
        <w:rPr/>
        <w:t>停止</w:t>
      </w:r>
      <w:r>
        <w:rPr>
          <w:spacing w:val="-3"/>
        </w:rPr>
        <w:t>交</w:t>
      </w:r>
      <w:r>
        <w:rPr/>
        <w:t>易</w:t>
      </w:r>
    </w:p>
    <w:p>
      <w:pPr>
        <w:spacing w:after="0" w:line="364" w:lineRule="auto"/>
        <w:sectPr>
          <w:pgSz w:w="11910" w:h="16840"/>
          <w:pgMar w:header="877" w:footer="1195" w:top="1380" w:bottom="1380" w:left="1680" w:right="1480"/>
        </w:sectPr>
      </w:pPr>
    </w:p>
    <w:p>
      <w:pPr>
        <w:pStyle w:val="BodyText"/>
        <w:tabs>
          <w:tab w:pos="3060" w:val="left" w:leader="none"/>
        </w:tabs>
        <w:spacing w:line="364" w:lineRule="auto" w:before="61"/>
        <w:ind w:right="313"/>
        <w:jc w:val="both"/>
      </w:pPr>
      <w:r>
        <w:rPr/>
        <w:t>流动</w:t>
      </w:r>
      <w:r>
        <w:rPr>
          <w:spacing w:val="-3"/>
        </w:rPr>
        <w:t>性</w:t>
      </w:r>
      <w:r>
        <w:rPr/>
        <w:t>风</w:t>
      </w:r>
      <w:r>
        <w:rPr>
          <w:spacing w:val="-3"/>
        </w:rPr>
        <w:t>险</w:t>
      </w:r>
      <w:r>
        <w:rPr/>
        <w:t>管</w:t>
      </w:r>
      <w:r>
        <w:rPr>
          <w:spacing w:val="-3"/>
        </w:rPr>
        <w:t>理</w:t>
      </w:r>
      <w:r>
        <w:rPr/>
        <w:t>规定         </w:t>
      </w:r>
      <w:r>
        <w:rPr>
          <w:spacing w:val="32"/>
        </w:rPr>
        <w:t> </w:t>
      </w:r>
      <w:r>
        <w:rPr/>
        <w:t>指</w:t>
      </w:r>
      <w:r>
        <w:rPr>
          <w:spacing w:val="-3"/>
        </w:rPr>
        <w:t>《</w:t>
      </w:r>
      <w:r>
        <w:rPr/>
        <w:t>公</w:t>
      </w:r>
      <w:r>
        <w:rPr>
          <w:spacing w:val="-3"/>
        </w:rPr>
        <w:t>开</w:t>
      </w:r>
      <w:r>
        <w:rPr/>
        <w:t>募</w:t>
      </w:r>
      <w:r>
        <w:rPr>
          <w:spacing w:val="-3"/>
        </w:rPr>
        <w:t>集</w:t>
      </w:r>
      <w:r>
        <w:rPr/>
        <w:t>开</w:t>
      </w:r>
      <w:r>
        <w:rPr>
          <w:spacing w:val="-3"/>
        </w:rPr>
        <w:t>放式</w:t>
      </w:r>
      <w:r>
        <w:rPr/>
        <w:t>证券</w:t>
      </w:r>
      <w:r>
        <w:rPr>
          <w:spacing w:val="-3"/>
        </w:rPr>
        <w:t>投</w:t>
      </w:r>
      <w:r>
        <w:rPr/>
        <w:t>资</w:t>
      </w:r>
      <w:r>
        <w:rPr>
          <w:spacing w:val="-3"/>
        </w:rPr>
        <w:t>基</w:t>
      </w:r>
      <w:r>
        <w:rPr/>
        <w:t>金</w:t>
      </w:r>
      <w:r>
        <w:rPr>
          <w:spacing w:val="-3"/>
        </w:rPr>
        <w:t>流</w:t>
      </w:r>
      <w:r>
        <w:rPr/>
        <w:t>动</w:t>
      </w:r>
      <w:r>
        <w:rPr>
          <w:spacing w:val="-3"/>
        </w:rPr>
        <w:t>性</w:t>
      </w:r>
      <w:r>
        <w:rPr/>
        <w:t>风</w:t>
      </w:r>
      <w:r>
        <w:rPr>
          <w:spacing w:val="-3"/>
        </w:rPr>
        <w:t>险</w:t>
      </w:r>
      <w:r>
        <w:rPr/>
        <w:t>管理</w:t>
      </w:r>
      <w:r>
        <w:rPr>
          <w:spacing w:val="-3"/>
        </w:rPr>
        <w:t>规</w:t>
      </w:r>
      <w:r>
        <w:rPr/>
        <w:t>定》流动</w:t>
      </w:r>
      <w:r>
        <w:rPr>
          <w:spacing w:val="-3"/>
        </w:rPr>
        <w:t>性</w:t>
      </w:r>
      <w:r>
        <w:rPr/>
        <w:t>受</w:t>
      </w:r>
      <w:r>
        <w:rPr>
          <w:spacing w:val="-3"/>
        </w:rPr>
        <w:t>限</w:t>
      </w:r>
      <w:r>
        <w:rPr/>
        <w:t>资产</w:t>
        <w:tab/>
        <w:t>指</w:t>
      </w:r>
      <w:r>
        <w:rPr>
          <w:spacing w:val="-3"/>
        </w:rPr>
        <w:t>由</w:t>
      </w:r>
      <w:r>
        <w:rPr/>
        <w:t>于</w:t>
      </w:r>
      <w:r>
        <w:rPr>
          <w:spacing w:val="-3"/>
        </w:rPr>
        <w:t>法</w:t>
      </w:r>
      <w:r>
        <w:rPr/>
        <w:t>律</w:t>
      </w:r>
      <w:r>
        <w:rPr>
          <w:spacing w:val="-3"/>
        </w:rPr>
        <w:t>法</w:t>
      </w:r>
      <w:r>
        <w:rPr/>
        <w:t>规</w:t>
      </w:r>
      <w:r>
        <w:rPr>
          <w:spacing w:val="-48"/>
        </w:rPr>
        <w:t>、</w:t>
      </w:r>
      <w:r>
        <w:rPr>
          <w:spacing w:val="-3"/>
        </w:rPr>
        <w:t>监</w:t>
      </w:r>
      <w:r>
        <w:rPr/>
        <w:t>管</w:t>
      </w:r>
      <w:r>
        <w:rPr>
          <w:spacing w:val="-48"/>
        </w:rPr>
        <w:t>、</w:t>
      </w:r>
      <w:r>
        <w:rPr>
          <w:spacing w:val="-3"/>
        </w:rPr>
        <w:t>合</w:t>
      </w:r>
      <w:r>
        <w:rPr/>
        <w:t>同</w:t>
      </w:r>
      <w:r>
        <w:rPr>
          <w:spacing w:val="-3"/>
        </w:rPr>
        <w:t>或</w:t>
      </w:r>
      <w:r>
        <w:rPr/>
        <w:t>操</w:t>
      </w:r>
      <w:r>
        <w:rPr>
          <w:spacing w:val="-3"/>
        </w:rPr>
        <w:t>作</w:t>
      </w:r>
      <w:r>
        <w:rPr/>
        <w:t>障</w:t>
      </w:r>
      <w:r>
        <w:rPr>
          <w:spacing w:val="-3"/>
        </w:rPr>
        <w:t>碍</w:t>
      </w:r>
      <w:r>
        <w:rPr/>
        <w:t>等</w:t>
      </w:r>
      <w:r>
        <w:rPr>
          <w:spacing w:val="-3"/>
        </w:rPr>
        <w:t>原</w:t>
      </w:r>
      <w:r>
        <w:rPr/>
        <w:t>因无</w:t>
      </w:r>
      <w:r>
        <w:rPr>
          <w:spacing w:val="-3"/>
        </w:rPr>
        <w:t>法</w:t>
      </w:r>
      <w:r>
        <w:rPr/>
        <w:t>以</w:t>
      </w:r>
      <w:r>
        <w:rPr>
          <w:spacing w:val="-3"/>
        </w:rPr>
        <w:t>合</w:t>
      </w:r>
      <w:r>
        <w:rPr/>
        <w:t>理</w:t>
      </w:r>
    </w:p>
    <w:p>
      <w:pPr>
        <w:pStyle w:val="BodyText"/>
        <w:spacing w:line="364" w:lineRule="auto"/>
        <w:ind w:left="3097" w:right="312"/>
        <w:jc w:val="both"/>
      </w:pPr>
      <w:r>
        <w:rPr>
          <w:spacing w:val="-8"/>
        </w:rPr>
        <w:t>价格予以变现的资产，包括但不限于到期日在 </w:t>
      </w:r>
      <w:r>
        <w:rPr/>
        <w:t>10</w:t>
      </w:r>
      <w:r>
        <w:rPr>
          <w:spacing w:val="-10"/>
        </w:rPr>
        <w:t> 个交易日以上的逆回购与银行定期存款（含协议约定有条件提前支</w:t>
      </w:r>
      <w:r>
        <w:rPr>
          <w:spacing w:val="-5"/>
        </w:rPr>
        <w:t>取的银行存款</w:t>
      </w:r>
      <w:r>
        <w:rPr>
          <w:spacing w:val="-108"/>
        </w:rPr>
        <w:t>）</w:t>
      </w:r>
      <w:r>
        <w:rPr>
          <w:spacing w:val="-7"/>
        </w:rPr>
        <w:t>、停牌股票、流通受限的新股及非公开发行股票、资产支持证券、因发行人债务违约无法进行转让或</w:t>
      </w:r>
      <w:r>
        <w:rPr>
          <w:spacing w:val="-5"/>
        </w:rPr>
        <w:t>交易的债券等</w:t>
      </w:r>
    </w:p>
    <w:p>
      <w:pPr>
        <w:pStyle w:val="BodyText"/>
        <w:tabs>
          <w:tab w:pos="3060" w:val="left" w:leader="none"/>
        </w:tabs>
        <w:spacing w:line="364" w:lineRule="auto"/>
        <w:ind w:left="3097" w:right="312" w:hanging="2977"/>
        <w:jc w:val="both"/>
      </w:pPr>
      <w:r>
        <w:rPr/>
        <w:t>摆动</w:t>
      </w:r>
      <w:r>
        <w:rPr>
          <w:spacing w:val="-3"/>
        </w:rPr>
        <w:t>定</w:t>
      </w:r>
      <w:r>
        <w:rPr/>
        <w:t>价</w:t>
      </w:r>
      <w:r>
        <w:rPr>
          <w:spacing w:val="-3"/>
        </w:rPr>
        <w:t>机</w:t>
      </w:r>
      <w:r>
        <w:rPr/>
        <w:t>制</w:t>
        <w:tab/>
        <w:t>指</w:t>
      </w:r>
      <w:r>
        <w:rPr>
          <w:spacing w:val="-3"/>
        </w:rPr>
        <w:t>当</w:t>
      </w:r>
      <w:r>
        <w:rPr/>
        <w:t>开</w:t>
      </w:r>
      <w:r>
        <w:rPr>
          <w:spacing w:val="-3"/>
        </w:rPr>
        <w:t>放</w:t>
      </w:r>
      <w:r>
        <w:rPr/>
        <w:t>式</w:t>
      </w:r>
      <w:r>
        <w:rPr>
          <w:spacing w:val="-3"/>
        </w:rPr>
        <w:t>基</w:t>
      </w:r>
      <w:r>
        <w:rPr/>
        <w:t>金</w:t>
      </w:r>
      <w:r>
        <w:rPr>
          <w:spacing w:val="-3"/>
        </w:rPr>
        <w:t>遭遇</w:t>
      </w:r>
      <w:r>
        <w:rPr/>
        <w:t>大额</w:t>
      </w:r>
      <w:r>
        <w:rPr>
          <w:spacing w:val="-3"/>
        </w:rPr>
        <w:t>申</w:t>
      </w:r>
      <w:r>
        <w:rPr/>
        <w:t>购</w:t>
      </w:r>
      <w:r>
        <w:rPr>
          <w:spacing w:val="-3"/>
        </w:rPr>
        <w:t>赎</w:t>
      </w:r>
      <w:r>
        <w:rPr/>
        <w:t>回</w:t>
      </w:r>
      <w:r>
        <w:rPr>
          <w:spacing w:val="-3"/>
        </w:rPr>
        <w:t>时</w:t>
      </w:r>
      <w:r>
        <w:rPr>
          <w:spacing w:val="-97"/>
        </w:rPr>
        <w:t>，</w:t>
      </w:r>
      <w:r>
        <w:rPr/>
        <w:t>通</w:t>
      </w:r>
      <w:r>
        <w:rPr>
          <w:spacing w:val="-3"/>
        </w:rPr>
        <w:t>过</w:t>
      </w:r>
      <w:r>
        <w:rPr/>
        <w:t>调</w:t>
      </w:r>
      <w:r>
        <w:rPr>
          <w:spacing w:val="-3"/>
        </w:rPr>
        <w:t>整</w:t>
      </w:r>
      <w:r>
        <w:rPr/>
        <w:t>基金</w:t>
      </w:r>
      <w:r>
        <w:rPr>
          <w:spacing w:val="-3"/>
        </w:rPr>
        <w:t>份</w:t>
      </w:r>
      <w:r>
        <w:rPr/>
        <w:t>额净值的方式，将基金调整投资组合的市场冲击成本分配给实际申购、赎回的投资者，从而减少对存量基金份额持有人利益的不利影响，确保投资者的合法权益不受损害并得到公平</w:t>
      </w:r>
      <w:r>
        <w:rPr>
          <w:spacing w:val="-3"/>
        </w:rPr>
        <w:t>对</w:t>
      </w:r>
      <w:r>
        <w:rPr/>
        <w:t>待</w:t>
      </w: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15"/>
        </w:rPr>
      </w:pPr>
    </w:p>
    <w:p>
      <w:pPr>
        <w:pStyle w:val="Heading1"/>
        <w:ind w:left="401" w:right="0"/>
      </w:pPr>
      <w:bookmarkStart w:name="_bookmark1" w:id="2"/>
      <w:bookmarkEnd w:id="2"/>
      <w:r>
        <w:rPr/>
      </w:r>
      <w:r>
        <w:rPr/>
        <w:t>二、景顺长城新兴成长混合型证券投资基金基本情况</w:t>
      </w:r>
    </w:p>
    <w:p>
      <w:pPr>
        <w:pStyle w:val="BodyText"/>
        <w:spacing w:before="10"/>
        <w:ind w:left="0"/>
        <w:rPr>
          <w:rFonts w:ascii="黑体"/>
          <w:sz w:val="27"/>
        </w:rPr>
      </w:pPr>
    </w:p>
    <w:p>
      <w:pPr>
        <w:pStyle w:val="BodyText"/>
        <w:spacing w:before="1"/>
        <w:ind w:left="540"/>
      </w:pPr>
      <w:r>
        <w:rPr/>
        <w:t>一、基金名称</w:t>
      </w:r>
    </w:p>
    <w:p>
      <w:pPr>
        <w:pStyle w:val="BodyText"/>
        <w:spacing w:before="139"/>
        <w:ind w:left="540"/>
      </w:pPr>
      <w:r>
        <w:rPr/>
        <w:t>景顺长城新兴成长混合型证券投资基金</w:t>
      </w:r>
    </w:p>
    <w:p>
      <w:pPr>
        <w:pStyle w:val="BodyText"/>
        <w:ind w:left="0"/>
        <w:rPr>
          <w:sz w:val="20"/>
        </w:rPr>
      </w:pPr>
    </w:p>
    <w:p>
      <w:pPr>
        <w:pStyle w:val="BodyText"/>
        <w:spacing w:before="11"/>
        <w:ind w:left="0"/>
        <w:rPr>
          <w:sz w:val="22"/>
        </w:rPr>
      </w:pPr>
    </w:p>
    <w:p>
      <w:pPr>
        <w:pStyle w:val="BodyText"/>
        <w:ind w:left="540"/>
      </w:pPr>
      <w:r>
        <w:rPr/>
        <w:t>二、基金的类别</w:t>
      </w:r>
    </w:p>
    <w:p>
      <w:pPr>
        <w:pStyle w:val="BodyText"/>
        <w:spacing w:before="139"/>
        <w:ind w:left="540"/>
      </w:pPr>
      <w:r>
        <w:rPr/>
        <w:t>混合型证券投资基金</w:t>
      </w:r>
    </w:p>
    <w:p>
      <w:pPr>
        <w:pStyle w:val="BodyText"/>
        <w:ind w:left="0"/>
        <w:rPr>
          <w:sz w:val="20"/>
        </w:rPr>
      </w:pPr>
    </w:p>
    <w:p>
      <w:pPr>
        <w:pStyle w:val="BodyText"/>
        <w:spacing w:before="8"/>
        <w:ind w:left="0"/>
        <w:rPr>
          <w:sz w:val="22"/>
        </w:rPr>
      </w:pPr>
    </w:p>
    <w:p>
      <w:pPr>
        <w:pStyle w:val="BodyText"/>
        <w:spacing w:line="367" w:lineRule="auto" w:before="1"/>
        <w:ind w:left="540" w:right="6310"/>
      </w:pPr>
      <w:r>
        <w:rPr/>
        <w:t>三、基金的运作方式契约型开放式</w:t>
      </w:r>
    </w:p>
    <w:p>
      <w:pPr>
        <w:pStyle w:val="BodyText"/>
        <w:ind w:left="0"/>
        <w:rPr>
          <w:sz w:val="20"/>
        </w:rPr>
      </w:pPr>
    </w:p>
    <w:p>
      <w:pPr>
        <w:pStyle w:val="BodyText"/>
        <w:spacing w:before="147"/>
        <w:ind w:left="540"/>
      </w:pPr>
      <w:r>
        <w:rPr/>
        <w:t>四、基金的投资目标</w:t>
      </w:r>
    </w:p>
    <w:p>
      <w:pPr>
        <w:pStyle w:val="BodyText"/>
        <w:spacing w:line="367" w:lineRule="auto" w:before="139"/>
        <w:ind w:right="311" w:firstLine="419"/>
      </w:pPr>
      <w:r>
        <w:rPr>
          <w:spacing w:val="-7"/>
        </w:rPr>
        <w:t>本基金以长期看好中国经济增长和资本市场发展为立足点，通过投资于具有合理估值的</w:t>
      </w:r>
      <w:r>
        <w:rPr>
          <w:spacing w:val="-5"/>
        </w:rPr>
        <w:t>高成长性上市公司股票，以获取基金资产的长期稳定增值。</w:t>
      </w:r>
    </w:p>
    <w:p>
      <w:pPr>
        <w:pStyle w:val="BodyText"/>
        <w:ind w:left="0"/>
        <w:rPr>
          <w:sz w:val="20"/>
        </w:rPr>
      </w:pPr>
    </w:p>
    <w:p>
      <w:pPr>
        <w:pStyle w:val="BodyText"/>
        <w:spacing w:before="147"/>
        <w:ind w:left="540"/>
      </w:pPr>
      <w:r>
        <w:rPr/>
        <w:t>五、基金的最低募集份额总额</w:t>
      </w:r>
    </w:p>
    <w:p>
      <w:pPr>
        <w:pStyle w:val="BodyText"/>
        <w:spacing w:before="139"/>
        <w:ind w:left="540"/>
      </w:pPr>
      <w:r>
        <w:rPr/>
        <w:t>本基金的最低募集份额总额为 2 亿份。</w:t>
      </w:r>
    </w:p>
    <w:p>
      <w:pPr>
        <w:pStyle w:val="BodyText"/>
        <w:ind w:left="0"/>
        <w:rPr>
          <w:sz w:val="20"/>
        </w:rPr>
      </w:pPr>
    </w:p>
    <w:p>
      <w:pPr>
        <w:pStyle w:val="BodyText"/>
        <w:spacing w:before="11"/>
        <w:ind w:left="0"/>
        <w:rPr>
          <w:sz w:val="22"/>
        </w:rPr>
      </w:pPr>
    </w:p>
    <w:p>
      <w:pPr>
        <w:pStyle w:val="BodyText"/>
        <w:ind w:left="540"/>
      </w:pPr>
      <w:r>
        <w:rPr/>
        <w:t>六、基金份额面值和认购费用</w:t>
      </w:r>
    </w:p>
    <w:p>
      <w:pPr>
        <w:pStyle w:val="BodyText"/>
        <w:spacing w:before="139"/>
        <w:ind w:left="540"/>
      </w:pPr>
      <w:r>
        <w:rPr/>
        <w:t>本基金份额面值为人民币 1.00 元。</w:t>
      </w:r>
    </w:p>
    <w:p>
      <w:pPr>
        <w:spacing w:after="0"/>
        <w:sectPr>
          <w:pgSz w:w="11910" w:h="16840"/>
          <w:pgMar w:header="877" w:footer="1195" w:top="1380" w:bottom="1380" w:left="1680" w:right="1480"/>
        </w:sectPr>
      </w:pPr>
    </w:p>
    <w:p>
      <w:pPr>
        <w:pStyle w:val="BodyText"/>
        <w:spacing w:before="61"/>
        <w:ind w:left="540"/>
      </w:pPr>
      <w:r>
        <w:rPr/>
        <w:t>本基金采取金额认购方式，认购费率最高不超过 1.2%，具体在招募说明书中列示。</w:t>
      </w:r>
    </w:p>
    <w:p>
      <w:pPr>
        <w:pStyle w:val="BodyText"/>
        <w:ind w:left="0"/>
        <w:rPr>
          <w:sz w:val="20"/>
        </w:rPr>
      </w:pPr>
    </w:p>
    <w:p>
      <w:pPr>
        <w:pStyle w:val="BodyText"/>
        <w:spacing w:before="9"/>
        <w:ind w:left="0"/>
        <w:rPr>
          <w:sz w:val="22"/>
        </w:rPr>
      </w:pPr>
    </w:p>
    <w:p>
      <w:pPr>
        <w:pStyle w:val="BodyText"/>
        <w:spacing w:line="367" w:lineRule="auto"/>
        <w:ind w:left="540" w:right="6521"/>
      </w:pPr>
      <w:r>
        <w:rPr/>
        <w:t>七、基金存续期限不定期</w:t>
      </w:r>
    </w:p>
    <w:p>
      <w:pPr>
        <w:pStyle w:val="BodyText"/>
        <w:ind w:left="0"/>
        <w:rPr>
          <w:sz w:val="20"/>
        </w:rPr>
      </w:pPr>
    </w:p>
    <w:p>
      <w:pPr>
        <w:pStyle w:val="BodyText"/>
        <w:spacing w:before="7"/>
        <w:ind w:left="0"/>
        <w:rPr>
          <w:sz w:val="23"/>
        </w:rPr>
      </w:pPr>
    </w:p>
    <w:p>
      <w:pPr>
        <w:pStyle w:val="Heading1"/>
        <w:ind w:left="1674"/>
      </w:pPr>
      <w:bookmarkStart w:name="_bookmark2" w:id="3"/>
      <w:bookmarkEnd w:id="3"/>
      <w:r>
        <w:rPr/>
      </w:r>
      <w:r>
        <w:rPr/>
        <w:t>三、基金份额的发售</w:t>
      </w:r>
    </w:p>
    <w:p>
      <w:pPr>
        <w:pStyle w:val="BodyText"/>
        <w:spacing w:before="10"/>
        <w:ind w:left="0"/>
        <w:rPr>
          <w:rFonts w:ascii="黑体"/>
          <w:sz w:val="27"/>
        </w:rPr>
      </w:pPr>
    </w:p>
    <w:p>
      <w:pPr>
        <w:pStyle w:val="BodyText"/>
        <w:ind w:left="540"/>
      </w:pPr>
      <w:r>
        <w:rPr/>
        <w:t>本基金份额面值为人民币 1.00 元，按面值发售。</w:t>
      </w:r>
    </w:p>
    <w:p>
      <w:pPr>
        <w:pStyle w:val="BodyText"/>
        <w:ind w:left="0"/>
        <w:rPr>
          <w:sz w:val="20"/>
        </w:rPr>
      </w:pPr>
    </w:p>
    <w:p>
      <w:pPr>
        <w:pStyle w:val="BodyText"/>
        <w:spacing w:before="12"/>
        <w:ind w:left="0"/>
        <w:rPr>
          <w:sz w:val="22"/>
        </w:rPr>
      </w:pPr>
    </w:p>
    <w:p>
      <w:pPr>
        <w:pStyle w:val="BodyText"/>
        <w:ind w:left="540"/>
      </w:pPr>
      <w:r>
        <w:rPr/>
        <w:t>一、募集期</w:t>
      </w:r>
    </w:p>
    <w:p>
      <w:pPr>
        <w:pStyle w:val="BodyText"/>
        <w:spacing w:before="139"/>
        <w:ind w:left="540"/>
      </w:pPr>
      <w:r>
        <w:rPr>
          <w:spacing w:val="-3"/>
        </w:rPr>
        <w:t>自基金份额发售之日起不超过 </w:t>
      </w:r>
      <w:r>
        <w:rPr/>
        <w:t>3</w:t>
      </w:r>
      <w:r>
        <w:rPr>
          <w:spacing w:val="-25"/>
        </w:rPr>
        <w:t> 个月，具体发售时间见《招募说明书》及《发售公告》。</w:t>
      </w:r>
    </w:p>
    <w:p>
      <w:pPr>
        <w:pStyle w:val="BodyText"/>
        <w:ind w:left="0"/>
        <w:rPr>
          <w:sz w:val="20"/>
        </w:rPr>
      </w:pPr>
    </w:p>
    <w:p>
      <w:pPr>
        <w:pStyle w:val="BodyText"/>
        <w:spacing w:before="8"/>
        <w:ind w:left="0"/>
        <w:rPr>
          <w:sz w:val="22"/>
        </w:rPr>
      </w:pPr>
    </w:p>
    <w:p>
      <w:pPr>
        <w:pStyle w:val="BodyText"/>
        <w:spacing w:before="1"/>
        <w:ind w:left="540"/>
      </w:pPr>
      <w:r>
        <w:rPr/>
        <w:t>二、发售对象</w:t>
      </w:r>
    </w:p>
    <w:p>
      <w:pPr>
        <w:pStyle w:val="BodyText"/>
        <w:spacing w:line="364" w:lineRule="auto" w:before="141"/>
        <w:ind w:right="311" w:firstLine="419"/>
      </w:pPr>
      <w:r>
        <w:rPr>
          <w:spacing w:val="-8"/>
        </w:rPr>
        <w:t>中华人民共和国境内的个人投资者和机构投资者</w:t>
      </w:r>
      <w:r>
        <w:rPr/>
        <w:t>（</w:t>
      </w:r>
      <w:r>
        <w:rPr>
          <w:spacing w:val="-3"/>
        </w:rPr>
        <w:t>法律法规禁止投资证券投资基金的除外）及合格境外机构投资者。</w:t>
      </w:r>
    </w:p>
    <w:p>
      <w:pPr>
        <w:pStyle w:val="BodyText"/>
        <w:ind w:left="0"/>
        <w:rPr>
          <w:sz w:val="20"/>
        </w:rPr>
      </w:pPr>
    </w:p>
    <w:p>
      <w:pPr>
        <w:pStyle w:val="BodyText"/>
        <w:spacing w:before="150"/>
        <w:ind w:left="540"/>
      </w:pPr>
      <w:r>
        <w:rPr/>
        <w:t>三、募集目标</w:t>
      </w:r>
    </w:p>
    <w:p>
      <w:pPr>
        <w:pStyle w:val="BodyText"/>
        <w:spacing w:before="139"/>
        <w:ind w:left="540"/>
      </w:pPr>
      <w:r>
        <w:rPr/>
        <w:t>本基金不设募集目标。</w:t>
      </w:r>
    </w:p>
    <w:p>
      <w:pPr>
        <w:pStyle w:val="BodyText"/>
        <w:ind w:left="0"/>
        <w:rPr>
          <w:sz w:val="20"/>
        </w:rPr>
      </w:pPr>
    </w:p>
    <w:p>
      <w:pPr>
        <w:pStyle w:val="BodyText"/>
        <w:spacing w:before="11"/>
        <w:ind w:left="0"/>
        <w:rPr>
          <w:sz w:val="22"/>
        </w:rPr>
      </w:pPr>
    </w:p>
    <w:p>
      <w:pPr>
        <w:pStyle w:val="BodyText"/>
        <w:ind w:left="540"/>
      </w:pPr>
      <w:r>
        <w:rPr/>
        <w:t>四、发售方式和销售渠道</w:t>
      </w:r>
    </w:p>
    <w:p>
      <w:pPr>
        <w:pStyle w:val="BodyText"/>
        <w:spacing w:line="364" w:lineRule="auto" w:before="139"/>
        <w:ind w:right="311" w:firstLine="419"/>
      </w:pPr>
      <w:r>
        <w:rPr>
          <w:spacing w:val="-6"/>
        </w:rPr>
        <w:t>本基金将通过基金管理人的直销网点及基金代销机构的代销网点公开发售。本基金认购</w:t>
      </w:r>
      <w:r>
        <w:rPr>
          <w:spacing w:val="-4"/>
        </w:rPr>
        <w:t>采取全额缴款认购的方式。基金投资者在募集期内可多次认购，认购一经受理不得撤销。</w:t>
      </w:r>
    </w:p>
    <w:p>
      <w:pPr>
        <w:pStyle w:val="BodyText"/>
        <w:ind w:left="0"/>
        <w:rPr>
          <w:sz w:val="20"/>
        </w:rPr>
      </w:pPr>
    </w:p>
    <w:p>
      <w:pPr>
        <w:pStyle w:val="BodyText"/>
        <w:spacing w:before="152"/>
        <w:ind w:left="540"/>
      </w:pPr>
      <w:r>
        <w:rPr/>
        <w:t>五、认购费用</w:t>
      </w:r>
    </w:p>
    <w:p>
      <w:pPr>
        <w:pStyle w:val="BodyText"/>
        <w:spacing w:line="364" w:lineRule="auto" w:before="140"/>
        <w:ind w:right="208" w:firstLine="419"/>
      </w:pPr>
      <w:r>
        <w:rPr>
          <w:spacing w:val="-3"/>
        </w:rPr>
        <w:t>本基金以认购金额为基数采用比例费率计算认购费用，认购费率最高不超过 </w:t>
      </w:r>
      <w:r>
        <w:rPr/>
        <w:t>1.2%</w:t>
      </w:r>
      <w:r>
        <w:rPr>
          <w:spacing w:val="-2"/>
        </w:rPr>
        <w:t>，具</w:t>
      </w:r>
      <w:r>
        <w:rPr>
          <w:spacing w:val="-3"/>
        </w:rPr>
        <w:t>体在招募说明书中列示。基金认购费用不列入基金财产，主要用于基金的市场推广、销售、注册登记等募集期间发生的各项费用。</w:t>
      </w:r>
    </w:p>
    <w:p>
      <w:pPr>
        <w:pStyle w:val="BodyText"/>
        <w:ind w:left="0"/>
        <w:rPr>
          <w:sz w:val="20"/>
        </w:rPr>
      </w:pPr>
    </w:p>
    <w:p>
      <w:pPr>
        <w:pStyle w:val="BodyText"/>
        <w:spacing w:before="151"/>
        <w:ind w:left="540"/>
      </w:pPr>
      <w:r>
        <w:rPr>
          <w:spacing w:val="-3"/>
        </w:rPr>
        <w:t>六、认购期利息的处理方式</w:t>
      </w:r>
    </w:p>
    <w:p>
      <w:pPr>
        <w:pStyle w:val="BodyText"/>
        <w:spacing w:line="364" w:lineRule="auto" w:before="139"/>
        <w:ind w:right="311" w:firstLine="419"/>
      </w:pPr>
      <w:r>
        <w:rPr>
          <w:spacing w:val="-6"/>
        </w:rPr>
        <w:t>认购款项在基金合同生效前产生的利息将折算为基金份额归基金份额持有人所有，其中</w:t>
      </w:r>
      <w:r>
        <w:rPr>
          <w:spacing w:val="-4"/>
        </w:rPr>
        <w:t>利息以注册登记人的记录为准。</w:t>
      </w:r>
    </w:p>
    <w:p>
      <w:pPr>
        <w:pStyle w:val="BodyText"/>
        <w:ind w:left="0"/>
        <w:rPr>
          <w:sz w:val="20"/>
        </w:rPr>
      </w:pPr>
    </w:p>
    <w:p>
      <w:pPr>
        <w:pStyle w:val="BodyText"/>
        <w:spacing w:before="153"/>
        <w:ind w:left="540"/>
      </w:pPr>
      <w:r>
        <w:rPr/>
        <w:t>七、基金认购份额的计算</w:t>
      </w:r>
    </w:p>
    <w:p>
      <w:pPr>
        <w:pStyle w:val="BodyText"/>
        <w:spacing w:before="139"/>
        <w:ind w:left="540"/>
      </w:pPr>
      <w:r>
        <w:rPr/>
        <w:t>1、基金认购采用金额认购的方式。基金的认购金额包括认购费用和净认购金额。计算</w:t>
      </w:r>
    </w:p>
    <w:p>
      <w:pPr>
        <w:spacing w:after="0"/>
        <w:sectPr>
          <w:pgSz w:w="11910" w:h="16840"/>
          <w:pgMar w:header="877" w:footer="1195" w:top="1380" w:bottom="1380" w:left="1680" w:right="1480"/>
        </w:sectPr>
      </w:pPr>
    </w:p>
    <w:p>
      <w:pPr>
        <w:pStyle w:val="BodyText"/>
        <w:spacing w:before="61"/>
      </w:pPr>
      <w:r>
        <w:rPr/>
        <w:t>公式为：</w:t>
      </w:r>
    </w:p>
    <w:p>
      <w:pPr>
        <w:pStyle w:val="ListParagraph"/>
        <w:numPr>
          <w:ilvl w:val="0"/>
          <w:numId w:val="1"/>
        </w:numPr>
        <w:tabs>
          <w:tab w:pos="1070" w:val="left" w:leader="none"/>
        </w:tabs>
        <w:spacing w:line="240" w:lineRule="auto" w:before="139" w:after="0"/>
        <w:ind w:left="1069" w:right="0" w:hanging="530"/>
        <w:jc w:val="left"/>
        <w:rPr>
          <w:sz w:val="21"/>
        </w:rPr>
      </w:pPr>
      <w:r>
        <w:rPr>
          <w:spacing w:val="-3"/>
          <w:sz w:val="21"/>
        </w:rPr>
        <w:t>认购费用=认购金额×认购费率；</w:t>
      </w:r>
    </w:p>
    <w:p>
      <w:pPr>
        <w:pStyle w:val="ListParagraph"/>
        <w:numPr>
          <w:ilvl w:val="0"/>
          <w:numId w:val="1"/>
        </w:numPr>
        <w:tabs>
          <w:tab w:pos="1070" w:val="left" w:leader="none"/>
        </w:tabs>
        <w:spacing w:line="240" w:lineRule="auto" w:before="139" w:after="0"/>
        <w:ind w:left="1069" w:right="0" w:hanging="530"/>
        <w:jc w:val="left"/>
        <w:rPr>
          <w:sz w:val="21"/>
        </w:rPr>
      </w:pPr>
      <w:r>
        <w:rPr>
          <w:spacing w:val="-3"/>
          <w:sz w:val="21"/>
        </w:rPr>
        <w:t>净认购金额=</w:t>
      </w:r>
      <w:r>
        <w:rPr>
          <w:sz w:val="21"/>
        </w:rPr>
        <w:t>（</w:t>
      </w:r>
      <w:r>
        <w:rPr>
          <w:spacing w:val="-3"/>
          <w:sz w:val="21"/>
        </w:rPr>
        <w:t>认购金额+认购利息</w:t>
      </w:r>
      <w:r>
        <w:rPr>
          <w:sz w:val="21"/>
        </w:rPr>
        <w:t>）</w:t>
      </w:r>
      <w:r>
        <w:rPr>
          <w:spacing w:val="-2"/>
          <w:sz w:val="21"/>
        </w:rPr>
        <w:t>－认购费用；</w:t>
      </w:r>
    </w:p>
    <w:p>
      <w:pPr>
        <w:pStyle w:val="ListParagraph"/>
        <w:numPr>
          <w:ilvl w:val="0"/>
          <w:numId w:val="1"/>
        </w:numPr>
        <w:tabs>
          <w:tab w:pos="1070" w:val="left" w:leader="none"/>
        </w:tabs>
        <w:spacing w:line="240" w:lineRule="auto" w:before="141" w:after="0"/>
        <w:ind w:left="1069" w:right="0" w:hanging="530"/>
        <w:jc w:val="left"/>
        <w:rPr>
          <w:sz w:val="21"/>
        </w:rPr>
      </w:pPr>
      <w:r>
        <w:rPr>
          <w:spacing w:val="-3"/>
          <w:sz w:val="21"/>
        </w:rPr>
        <w:t>认购份额=净认购金额</w:t>
      </w:r>
      <w:r>
        <w:rPr>
          <w:sz w:val="21"/>
        </w:rPr>
        <w:t>/</w:t>
      </w:r>
      <w:r>
        <w:rPr>
          <w:spacing w:val="-3"/>
          <w:sz w:val="21"/>
        </w:rPr>
        <w:t>基金份额面值。</w:t>
      </w:r>
    </w:p>
    <w:p>
      <w:pPr>
        <w:pStyle w:val="BodyText"/>
        <w:spacing w:line="364" w:lineRule="auto" w:before="139"/>
        <w:ind w:right="314" w:firstLine="419"/>
      </w:pPr>
      <w:r>
        <w:rPr/>
        <w:t>2、认购份额计算结果保留到小数点后两位，小数点后两位以后的部分四舍五入，由此产生的误差计入基金财产。</w:t>
      </w:r>
    </w:p>
    <w:p>
      <w:pPr>
        <w:pStyle w:val="BodyText"/>
        <w:spacing w:line="367" w:lineRule="auto"/>
        <w:ind w:right="314" w:firstLine="419"/>
      </w:pPr>
      <w:r>
        <w:rPr/>
        <w:t>3</w:t>
      </w:r>
      <w:r>
        <w:rPr>
          <w:spacing w:val="-15"/>
        </w:rPr>
        <w:t>、本基金的认购费率将按照《运作办法》、《销售办法》的规定，参照行业惯例，结合</w:t>
      </w:r>
      <w:r>
        <w:rPr>
          <w:spacing w:val="-11"/>
        </w:rPr>
        <w:t>市场实际情况收取。具体费率详见本基金的《招募说明书》和《发售公告》。</w:t>
      </w:r>
    </w:p>
    <w:p>
      <w:pPr>
        <w:pStyle w:val="BodyText"/>
        <w:ind w:left="0"/>
        <w:rPr>
          <w:sz w:val="20"/>
        </w:rPr>
      </w:pPr>
    </w:p>
    <w:p>
      <w:pPr>
        <w:pStyle w:val="BodyText"/>
        <w:spacing w:before="146"/>
        <w:ind w:left="540"/>
      </w:pPr>
      <w:r>
        <w:rPr/>
        <w:t>八、基金认购金额的限制</w:t>
      </w:r>
    </w:p>
    <w:p>
      <w:pPr>
        <w:pStyle w:val="BodyText"/>
        <w:spacing w:line="364" w:lineRule="auto" w:before="139"/>
        <w:ind w:right="311" w:firstLine="419"/>
      </w:pPr>
      <w:r>
        <w:rPr>
          <w:spacing w:val="-18"/>
        </w:rPr>
        <w:t>在募集期内，基金管理人可以对每个账户的最低认购金额进行限制，具体限制请参见《招</w:t>
      </w:r>
      <w:r>
        <w:rPr>
          <w:spacing w:val="-25"/>
        </w:rPr>
        <w:t>募说明书》。</w:t>
      </w:r>
    </w:p>
    <w:p>
      <w:pPr>
        <w:pStyle w:val="BodyText"/>
        <w:ind w:left="0"/>
        <w:rPr>
          <w:sz w:val="20"/>
        </w:rPr>
      </w:pPr>
    </w:p>
    <w:p>
      <w:pPr>
        <w:pStyle w:val="BodyText"/>
        <w:spacing w:before="152"/>
        <w:ind w:left="540"/>
      </w:pPr>
      <w:r>
        <w:rPr/>
        <w:t>九、基金份额的认购和持有限额</w:t>
      </w:r>
    </w:p>
    <w:p>
      <w:pPr>
        <w:pStyle w:val="BodyText"/>
        <w:spacing w:before="139"/>
        <w:ind w:left="540"/>
      </w:pPr>
      <w:r>
        <w:rPr>
          <w:spacing w:val="-13"/>
        </w:rPr>
        <w:t>基金管理人可以规定单个投资者累计持有的基金份额上限，具体规定参见《招募说明书》。</w:t>
      </w:r>
    </w:p>
    <w:p>
      <w:pPr>
        <w:pStyle w:val="BodyText"/>
        <w:ind w:left="0"/>
        <w:rPr>
          <w:sz w:val="20"/>
        </w:rPr>
      </w:pPr>
    </w:p>
    <w:p>
      <w:pPr>
        <w:pStyle w:val="BodyText"/>
        <w:ind w:left="0"/>
        <w:rPr>
          <w:sz w:val="20"/>
        </w:rPr>
      </w:pPr>
    </w:p>
    <w:p>
      <w:pPr>
        <w:pStyle w:val="BodyText"/>
        <w:spacing w:before="12"/>
        <w:ind w:left="0"/>
        <w:rPr>
          <w:sz w:val="14"/>
        </w:rPr>
      </w:pPr>
    </w:p>
    <w:p>
      <w:pPr>
        <w:spacing w:before="0"/>
        <w:ind w:left="1713" w:right="1271" w:firstLine="0"/>
        <w:jc w:val="center"/>
        <w:rPr>
          <w:rFonts w:ascii="黑体" w:eastAsia="黑体" w:hint="eastAsia"/>
          <w:sz w:val="32"/>
        </w:rPr>
      </w:pPr>
      <w:bookmarkStart w:name="_bookmark3" w:id="4"/>
      <w:bookmarkEnd w:id="4"/>
      <w:r>
        <w:rPr/>
      </w:r>
      <w:r>
        <w:rPr>
          <w:rFonts w:ascii="黑体" w:eastAsia="黑体" w:hint="eastAsia"/>
          <w:sz w:val="32"/>
        </w:rPr>
        <w:t>四、基金备案</w:t>
      </w:r>
    </w:p>
    <w:p>
      <w:pPr>
        <w:pStyle w:val="BodyText"/>
        <w:spacing w:before="10"/>
        <w:ind w:left="0"/>
        <w:rPr>
          <w:rFonts w:ascii="黑体"/>
          <w:sz w:val="28"/>
        </w:rPr>
      </w:pPr>
    </w:p>
    <w:p>
      <w:pPr>
        <w:pStyle w:val="BodyText"/>
        <w:spacing w:before="1"/>
        <w:ind w:left="540"/>
      </w:pPr>
      <w:r>
        <w:rPr/>
        <w:t>一、基金备案的条件</w:t>
      </w:r>
    </w:p>
    <w:p>
      <w:pPr>
        <w:pStyle w:val="BodyText"/>
        <w:spacing w:before="139"/>
        <w:ind w:left="540"/>
      </w:pPr>
      <w:r>
        <w:rPr>
          <w:spacing w:val="-3"/>
        </w:rPr>
        <w:t>本基金自基金份额发售之日起 </w:t>
      </w:r>
      <w:r>
        <w:rPr/>
        <w:t>3</w:t>
      </w:r>
      <w:r>
        <w:rPr>
          <w:spacing w:val="-7"/>
        </w:rPr>
        <w:t> 个月内，在基金募集份额总额不少于 </w:t>
      </w:r>
      <w:r>
        <w:rPr/>
        <w:t>2</w:t>
      </w:r>
      <w:r>
        <w:rPr>
          <w:spacing w:val="-8"/>
        </w:rPr>
        <w:t> 亿份，基金募</w:t>
      </w:r>
    </w:p>
    <w:p>
      <w:pPr>
        <w:pStyle w:val="BodyText"/>
        <w:spacing w:before="138"/>
      </w:pPr>
      <w:r>
        <w:rPr>
          <w:spacing w:val="-1"/>
        </w:rPr>
        <w:t>集金额不少于 </w:t>
      </w:r>
      <w:r>
        <w:rPr/>
        <w:t>2</w:t>
      </w:r>
      <w:r>
        <w:rPr>
          <w:spacing w:val="-3"/>
        </w:rPr>
        <w:t> 亿元人民币且基金份额持有人的人数不少于 </w:t>
      </w:r>
      <w:r>
        <w:rPr/>
        <w:t>200</w:t>
      </w:r>
      <w:r>
        <w:rPr>
          <w:spacing w:val="-11"/>
        </w:rPr>
        <w:t> 人的条件下，基金管理人</w:t>
      </w:r>
    </w:p>
    <w:p>
      <w:pPr>
        <w:pStyle w:val="BodyText"/>
        <w:spacing w:before="139"/>
      </w:pPr>
      <w:r>
        <w:rPr/>
        <w:t>依据法律法规及招募说明书可以决定停止基金发售，并在 10 日内聘请法定验资机构验资，</w:t>
      </w:r>
    </w:p>
    <w:p>
      <w:pPr>
        <w:pStyle w:val="BodyText"/>
        <w:spacing w:before="142"/>
      </w:pPr>
      <w:r>
        <w:rPr/>
        <w:t>自收到验资报告之日起 10 日内，向中国证监会办理基金备案手续。</w:t>
      </w:r>
    </w:p>
    <w:p>
      <w:pPr>
        <w:pStyle w:val="BodyText"/>
        <w:spacing w:line="364" w:lineRule="auto" w:before="139"/>
        <w:ind w:right="311" w:firstLine="419"/>
      </w:pPr>
      <w:r>
        <w:rPr>
          <w:spacing w:val="-9"/>
        </w:rPr>
        <w:t>基金募集达到基金备案条件，经基金管理人办理完毕基金合同备案手续，并自中国证监</w:t>
      </w:r>
      <w:r>
        <w:rPr>
          <w:spacing w:val="-5"/>
        </w:rPr>
        <w:t>会书面确认之日起，基金合同生效；否则基金合同不生效。</w:t>
      </w:r>
    </w:p>
    <w:p>
      <w:pPr>
        <w:pStyle w:val="BodyText"/>
        <w:spacing w:line="364" w:lineRule="auto"/>
        <w:ind w:right="311" w:firstLine="419"/>
        <w:jc w:val="both"/>
      </w:pPr>
      <w:r>
        <w:rPr>
          <w:spacing w:val="-7"/>
        </w:rPr>
        <w:t>基金管理人应将基金募集期间募集的资金存入专门账户，在基金募集行为结束前，任何</w:t>
      </w:r>
      <w:r>
        <w:rPr>
          <w:spacing w:val="-13"/>
        </w:rPr>
        <w:t>人不得动用。基金合同生效时，认购款项在募集期内产生的利息将折合成基金份额归投资者所有。</w:t>
      </w:r>
    </w:p>
    <w:p>
      <w:pPr>
        <w:pStyle w:val="BodyText"/>
        <w:ind w:left="0"/>
        <w:rPr>
          <w:sz w:val="20"/>
        </w:rPr>
      </w:pPr>
    </w:p>
    <w:p>
      <w:pPr>
        <w:pStyle w:val="BodyText"/>
        <w:spacing w:before="150"/>
        <w:ind w:left="540"/>
      </w:pPr>
      <w:r>
        <w:rPr/>
        <w:t>二、基金合同不能生效时募集资金的处理方式</w:t>
      </w:r>
    </w:p>
    <w:p>
      <w:pPr>
        <w:pStyle w:val="BodyText"/>
        <w:spacing w:line="367" w:lineRule="auto" w:before="139"/>
        <w:ind w:left="540" w:right="2955"/>
      </w:pPr>
      <w:r>
        <w:rPr>
          <w:spacing w:val="-4"/>
        </w:rPr>
        <w:t>如果基金合同不能生效，基金管理人应当承担下列责任： </w:t>
      </w:r>
      <w:r>
        <w:rPr/>
        <w:t>1</w:t>
      </w:r>
      <w:r>
        <w:rPr>
          <w:spacing w:val="-3"/>
        </w:rPr>
        <w:t>、以其固有财产承担因募集行为而产生的债务和费用；</w:t>
      </w:r>
    </w:p>
    <w:p>
      <w:pPr>
        <w:pStyle w:val="BodyText"/>
        <w:spacing w:line="364" w:lineRule="auto"/>
        <w:ind w:right="314" w:firstLine="419"/>
      </w:pPr>
      <w:r>
        <w:rPr/>
        <w:t>2、在基金募集期限届满后三十日内返还投资人已缴纳的款项，并加计银行同期存款利息。</w:t>
      </w:r>
    </w:p>
    <w:p>
      <w:pPr>
        <w:spacing w:after="0" w:line="364" w:lineRule="auto"/>
        <w:sectPr>
          <w:pgSz w:w="11910" w:h="16840"/>
          <w:pgMar w:header="877" w:footer="1195" w:top="1380" w:bottom="1380" w:left="1680" w:right="1480"/>
        </w:sectPr>
      </w:pPr>
    </w:p>
    <w:p>
      <w:pPr>
        <w:pStyle w:val="BodyText"/>
        <w:ind w:left="0"/>
        <w:rPr>
          <w:sz w:val="20"/>
        </w:rPr>
      </w:pPr>
    </w:p>
    <w:p>
      <w:pPr>
        <w:pStyle w:val="BodyText"/>
        <w:spacing w:before="8"/>
        <w:ind w:left="0"/>
        <w:rPr>
          <w:sz w:val="16"/>
        </w:rPr>
      </w:pPr>
    </w:p>
    <w:p>
      <w:pPr>
        <w:pStyle w:val="BodyText"/>
        <w:ind w:left="540"/>
      </w:pPr>
      <w:r>
        <w:rPr/>
        <w:t>三、基金存续期内的基金份额持有人数量和资金额</w:t>
      </w:r>
    </w:p>
    <w:p>
      <w:pPr>
        <w:pStyle w:val="BodyText"/>
        <w:spacing w:before="139"/>
        <w:ind w:left="540"/>
      </w:pPr>
      <w:r>
        <w:rPr/>
        <w:t>本基金合同生效后，基金份额持有人数量不满 200 人或者基金资产净值低于 5,000 万</w:t>
      </w:r>
    </w:p>
    <w:p>
      <w:pPr>
        <w:pStyle w:val="BodyText"/>
        <w:spacing w:line="364" w:lineRule="auto" w:before="141"/>
        <w:ind w:right="313"/>
        <w:jc w:val="both"/>
      </w:pPr>
      <w:r>
        <w:rPr>
          <w:spacing w:val="-8"/>
        </w:rPr>
        <w:t>元的，基金管理人应当及时报告中国证监会；连续 </w:t>
      </w:r>
      <w:r>
        <w:rPr/>
        <w:t>20</w:t>
      </w:r>
      <w:r>
        <w:rPr>
          <w:spacing w:val="-6"/>
        </w:rPr>
        <w:t> 个工作日出现前述情形的，基金管理</w:t>
      </w:r>
      <w:r>
        <w:rPr>
          <w:spacing w:val="-4"/>
        </w:rPr>
        <w:t>人应当向中国证监会说明原因并报送解决方案。法律法规另有规定的，按其规定办理。</w:t>
      </w:r>
    </w:p>
    <w:p>
      <w:pPr>
        <w:pStyle w:val="BodyText"/>
        <w:ind w:left="0"/>
        <w:rPr>
          <w:sz w:val="20"/>
        </w:rPr>
      </w:pPr>
    </w:p>
    <w:p>
      <w:pPr>
        <w:pStyle w:val="BodyText"/>
        <w:ind w:left="0"/>
        <w:rPr>
          <w:sz w:val="20"/>
        </w:rPr>
      </w:pPr>
    </w:p>
    <w:p>
      <w:pPr>
        <w:pStyle w:val="BodyText"/>
        <w:ind w:left="0"/>
        <w:rPr>
          <w:sz w:val="20"/>
        </w:rPr>
      </w:pPr>
    </w:p>
    <w:p>
      <w:pPr>
        <w:pStyle w:val="Heading1"/>
        <w:spacing w:before="162"/>
        <w:ind w:left="519" w:right="119"/>
      </w:pPr>
      <w:bookmarkStart w:name="_bookmark4" w:id="5"/>
      <w:bookmarkEnd w:id="5"/>
      <w:r>
        <w:rPr/>
      </w:r>
      <w:r>
        <w:rPr/>
        <w:t>五、基金的申购、赎回及其他注册登记业务</w:t>
      </w:r>
    </w:p>
    <w:p>
      <w:pPr>
        <w:pStyle w:val="BodyText"/>
        <w:spacing w:before="10"/>
        <w:ind w:left="0"/>
        <w:rPr>
          <w:rFonts w:ascii="黑体"/>
          <w:sz w:val="27"/>
        </w:rPr>
      </w:pPr>
    </w:p>
    <w:p>
      <w:pPr>
        <w:pStyle w:val="BodyText"/>
        <w:spacing w:before="1"/>
        <w:ind w:left="540"/>
      </w:pPr>
      <w:r>
        <w:rPr/>
        <w:t>一、申购与赎回场所</w:t>
      </w:r>
    </w:p>
    <w:p>
      <w:pPr>
        <w:pStyle w:val="BodyText"/>
        <w:spacing w:before="141"/>
        <w:ind w:left="540"/>
      </w:pPr>
      <w:r>
        <w:rPr/>
        <w:t>本基金的销售机构包括本基金管理人和本基金管理人委托的代销机构。</w:t>
      </w:r>
    </w:p>
    <w:p>
      <w:pPr>
        <w:pStyle w:val="BodyText"/>
        <w:spacing w:line="364" w:lineRule="auto" w:before="139"/>
        <w:ind w:right="314" w:firstLine="419"/>
      </w:pPr>
      <w:r>
        <w:rPr/>
        <w:t>基金投资者应当在销售机构基金销售业务的营业场所或按销售机构约定的方式办理基金的申购与赎回。</w:t>
      </w:r>
    </w:p>
    <w:p>
      <w:pPr>
        <w:pStyle w:val="BodyText"/>
        <w:spacing w:line="267" w:lineRule="exact"/>
        <w:ind w:left="540"/>
      </w:pPr>
      <w:r>
        <w:rPr/>
        <w:t>二、申购与赎回的开放日及时间</w:t>
      </w:r>
    </w:p>
    <w:p>
      <w:pPr>
        <w:pStyle w:val="BodyText"/>
        <w:spacing w:before="141"/>
        <w:ind w:left="540"/>
      </w:pPr>
      <w:r>
        <w:rPr/>
        <w:t>本基金的申购、赎回自基金合同生效后不超过 3 个月的时间开始办理，基金管理人应</w:t>
      </w:r>
    </w:p>
    <w:p>
      <w:pPr>
        <w:pStyle w:val="BodyText"/>
        <w:spacing w:before="139"/>
        <w:jc w:val="both"/>
      </w:pPr>
      <w:r>
        <w:rPr/>
        <w:t>在开始办理申购赎回的具体日期前 2 个工作日在指定媒介公告。</w:t>
      </w:r>
    </w:p>
    <w:p>
      <w:pPr>
        <w:pStyle w:val="BodyText"/>
        <w:spacing w:line="364" w:lineRule="auto" w:before="139"/>
        <w:ind w:right="311" w:firstLine="419"/>
        <w:jc w:val="both"/>
      </w:pPr>
      <w:r>
        <w:rPr>
          <w:spacing w:val="-8"/>
        </w:rPr>
        <w:t>投资者应当在开放日办理申购和赎回申请。开放日的具体业务办理时间另行公告。投资</w:t>
      </w:r>
      <w:r>
        <w:rPr>
          <w:spacing w:val="-9"/>
        </w:rPr>
        <w:t>者在基金合同约定之外的日期和时间提出申购、赎回或者转换申请的，其基金份额申购、赎</w:t>
      </w:r>
      <w:r>
        <w:rPr>
          <w:spacing w:val="-5"/>
        </w:rPr>
        <w:t>回价格为下一开放日的相应价格。</w:t>
      </w:r>
    </w:p>
    <w:p>
      <w:pPr>
        <w:pStyle w:val="BodyText"/>
        <w:spacing w:line="364" w:lineRule="auto"/>
        <w:ind w:right="102" w:firstLine="419"/>
      </w:pPr>
      <w:r>
        <w:rPr>
          <w:spacing w:val="-7"/>
        </w:rPr>
        <w:t>若出现新的证券交易市场或交易所交易时间更改或实际情况需要，基金管理人可对申购、</w:t>
      </w:r>
      <w:r>
        <w:rPr>
          <w:spacing w:val="-5"/>
        </w:rPr>
        <w:t>赎回时间进行调整，并应当依照《信息披露办法》的有关规定在指定媒介公告。</w:t>
      </w:r>
    </w:p>
    <w:p>
      <w:pPr>
        <w:pStyle w:val="BodyText"/>
        <w:ind w:left="0"/>
        <w:rPr>
          <w:sz w:val="20"/>
        </w:rPr>
      </w:pPr>
    </w:p>
    <w:p>
      <w:pPr>
        <w:pStyle w:val="BodyText"/>
        <w:spacing w:before="150"/>
        <w:ind w:left="540"/>
      </w:pPr>
      <w:r>
        <w:rPr/>
        <w:t>三、申购与赎回的原则</w:t>
      </w:r>
    </w:p>
    <w:p>
      <w:pPr>
        <w:pStyle w:val="BodyText"/>
        <w:spacing w:before="139"/>
        <w:ind w:left="540"/>
      </w:pPr>
      <w:r>
        <w:rPr/>
        <w:t>1、“未知价”原则，即申购、赎回价格以申请当日的基金份额净值为基准进行计算；</w:t>
      </w:r>
    </w:p>
    <w:p>
      <w:pPr>
        <w:pStyle w:val="BodyText"/>
        <w:spacing w:before="142"/>
        <w:ind w:left="540"/>
      </w:pPr>
      <w:r>
        <w:rPr/>
        <w:t>2、“金额申购、份额赎回”原则，即申购以金额申请，赎回以份额申请；</w:t>
      </w:r>
    </w:p>
    <w:p>
      <w:pPr>
        <w:pStyle w:val="BodyText"/>
        <w:spacing w:before="139"/>
        <w:ind w:left="540"/>
      </w:pPr>
      <w:r>
        <w:rPr/>
        <w:t>3、当日的申购与赎回申请可以在基金管理人规定的时间以内撤销；</w:t>
      </w:r>
    </w:p>
    <w:p>
      <w:pPr>
        <w:pStyle w:val="BodyText"/>
        <w:spacing w:line="364" w:lineRule="auto" w:before="139"/>
        <w:ind w:right="313" w:firstLine="419"/>
        <w:jc w:val="both"/>
      </w:pPr>
      <w:r>
        <w:rPr/>
        <w:t>4</w:t>
      </w:r>
      <w:r>
        <w:rPr>
          <w:spacing w:val="-3"/>
        </w:rPr>
        <w:t>、基金管理人可根据基金运作的实际情况并在不影响基金份额持有人实质利益的前提</w:t>
      </w:r>
      <w:r>
        <w:rPr>
          <w:spacing w:val="-10"/>
        </w:rPr>
        <w:t>下调整上述原则。基金管理人应当依照《信息披露办法》的有关规定在中国证监会指定媒介</w:t>
      </w:r>
      <w:r>
        <w:rPr/>
        <w:t>公告。</w:t>
      </w:r>
    </w:p>
    <w:p>
      <w:pPr>
        <w:pStyle w:val="BodyText"/>
        <w:ind w:left="0"/>
        <w:rPr>
          <w:sz w:val="20"/>
        </w:rPr>
      </w:pPr>
    </w:p>
    <w:p>
      <w:pPr>
        <w:pStyle w:val="BodyText"/>
        <w:spacing w:before="151"/>
        <w:ind w:left="540"/>
      </w:pPr>
      <w:r>
        <w:rPr/>
        <w:t>四、申购与赎回的程序</w:t>
      </w:r>
    </w:p>
    <w:p>
      <w:pPr>
        <w:pStyle w:val="BodyText"/>
        <w:spacing w:before="139"/>
        <w:ind w:left="540"/>
      </w:pPr>
      <w:r>
        <w:rPr/>
        <w:t>1、申购和赎回的申请方式</w:t>
      </w:r>
    </w:p>
    <w:p>
      <w:pPr>
        <w:pStyle w:val="BodyText"/>
        <w:spacing w:line="367" w:lineRule="auto" w:before="139"/>
        <w:ind w:right="311" w:firstLine="419"/>
      </w:pPr>
      <w:r>
        <w:rPr>
          <w:spacing w:val="-8"/>
        </w:rPr>
        <w:t>基金投资者必须根据基金销售机构规定的程序，在开放日的业务办理时间向基金销售机</w:t>
      </w:r>
      <w:r>
        <w:rPr>
          <w:spacing w:val="-5"/>
        </w:rPr>
        <w:t>构提出申购或赎回的申请。</w:t>
      </w:r>
    </w:p>
    <w:p>
      <w:pPr>
        <w:spacing w:after="0" w:line="367" w:lineRule="auto"/>
        <w:sectPr>
          <w:pgSz w:w="11910" w:h="16840"/>
          <w:pgMar w:header="877" w:footer="1195" w:top="1380" w:bottom="1380" w:left="1680" w:right="1480"/>
        </w:sectPr>
      </w:pPr>
    </w:p>
    <w:p>
      <w:pPr>
        <w:pStyle w:val="BodyText"/>
        <w:spacing w:line="364" w:lineRule="auto" w:before="61"/>
        <w:ind w:right="311" w:firstLine="419"/>
      </w:pPr>
      <w:r>
        <w:rPr>
          <w:spacing w:val="-7"/>
        </w:rPr>
        <w:t>投资者在申购本基金时须按销售机构规定的方式备足申购资金，投资者在提交赎回申请</w:t>
      </w:r>
      <w:r>
        <w:rPr>
          <w:spacing w:val="-5"/>
        </w:rPr>
        <w:t>时，必须有足够的基金份额余额，否则所提交的申购、赎回的申请无效而不予成交。</w:t>
      </w:r>
    </w:p>
    <w:p>
      <w:pPr>
        <w:pStyle w:val="BodyText"/>
        <w:spacing w:line="267" w:lineRule="exact"/>
        <w:ind w:left="540"/>
      </w:pPr>
      <w:r>
        <w:rPr/>
        <w:t>2、申购和赎回申请的确认</w:t>
      </w:r>
    </w:p>
    <w:p>
      <w:pPr>
        <w:pStyle w:val="BodyText"/>
        <w:spacing w:line="364" w:lineRule="auto" w:before="142"/>
        <w:ind w:right="311" w:firstLine="419"/>
        <w:jc w:val="both"/>
      </w:pPr>
      <w:r>
        <w:rPr/>
        <w:t>T</w:t>
      </w:r>
      <w:r>
        <w:rPr>
          <w:spacing w:val="-3"/>
        </w:rPr>
        <w:t> 日规定时间受理的申请，正常情况下，本基金注册登记人在 </w:t>
      </w:r>
      <w:r>
        <w:rPr/>
        <w:t>T+1</w:t>
      </w:r>
      <w:r>
        <w:rPr>
          <w:spacing w:val="-1"/>
        </w:rPr>
        <w:t> 日内为投资者对该</w:t>
      </w:r>
      <w:r>
        <w:rPr>
          <w:spacing w:val="-5"/>
        </w:rPr>
        <w:t>交易的有效性进行确认，在 </w:t>
      </w:r>
      <w:r>
        <w:rPr/>
        <w:t>T＋2</w:t>
      </w:r>
      <w:r>
        <w:rPr>
          <w:spacing w:val="-6"/>
        </w:rPr>
        <w:t> 日后</w:t>
      </w:r>
      <w:r>
        <w:rPr/>
        <w:t>（</w:t>
      </w:r>
      <w:r>
        <w:rPr>
          <w:spacing w:val="-3"/>
        </w:rPr>
        <w:t>包括该日</w:t>
      </w:r>
      <w:r>
        <w:rPr>
          <w:spacing w:val="-32"/>
        </w:rPr>
        <w:t>）</w:t>
      </w:r>
      <w:r>
        <w:rPr>
          <w:spacing w:val="-3"/>
        </w:rPr>
        <w:t>投资者可向销售机构或以销售机构规定的其他方式查询申购与赎回的成交情况。</w:t>
      </w:r>
    </w:p>
    <w:p>
      <w:pPr>
        <w:pStyle w:val="BodyText"/>
        <w:spacing w:line="266" w:lineRule="exact"/>
        <w:ind w:left="540"/>
      </w:pPr>
      <w:r>
        <w:rPr/>
        <w:t>3、申购和赎回的款项支付</w:t>
      </w:r>
    </w:p>
    <w:p>
      <w:pPr>
        <w:pStyle w:val="BodyText"/>
        <w:spacing w:line="364" w:lineRule="auto" w:before="141"/>
        <w:ind w:right="311" w:firstLine="419"/>
      </w:pPr>
      <w:r>
        <w:rPr>
          <w:spacing w:val="-10"/>
        </w:rPr>
        <w:t>申购采用全额缴款方式，若申购资金在规定时间内未全额到账则申购不成功，若申购不</w:t>
      </w:r>
      <w:r>
        <w:rPr>
          <w:spacing w:val="-5"/>
        </w:rPr>
        <w:t>成功或无效，申购款项将退回投资者账户。</w:t>
      </w:r>
    </w:p>
    <w:p>
      <w:pPr>
        <w:pStyle w:val="BodyText"/>
        <w:spacing w:line="364" w:lineRule="auto"/>
        <w:ind w:right="311" w:firstLine="419"/>
        <w:jc w:val="both"/>
      </w:pPr>
      <w:r>
        <w:rPr>
          <w:spacing w:val="-6"/>
        </w:rPr>
        <w:t>投资者赎回申请成功后，基金管理人将通过注册登记人在 </w:t>
      </w:r>
      <w:r>
        <w:rPr/>
        <w:t>T＋7</w:t>
      </w:r>
      <w:r>
        <w:rPr>
          <w:spacing w:val="-8"/>
        </w:rPr>
        <w:t> 日</w:t>
      </w:r>
      <w:r>
        <w:rPr/>
        <w:t>（</w:t>
      </w:r>
      <w:r>
        <w:rPr>
          <w:spacing w:val="-3"/>
        </w:rPr>
        <w:t>包括该日</w:t>
      </w:r>
      <w:r>
        <w:rPr>
          <w:spacing w:val="-34"/>
        </w:rPr>
        <w:t>）</w:t>
      </w:r>
      <w:r>
        <w:rPr>
          <w:spacing w:val="-2"/>
        </w:rPr>
        <w:t>内将赎</w:t>
      </w:r>
      <w:r>
        <w:rPr>
          <w:spacing w:val="-8"/>
        </w:rPr>
        <w:t>回款项划往基金份额持有人账户。在发生巨额赎回的情形时，款项的支付办法参照本《基金</w:t>
      </w:r>
      <w:r>
        <w:rPr>
          <w:spacing w:val="-5"/>
        </w:rPr>
        <w:t>合同》的有关条款处理。</w:t>
      </w:r>
    </w:p>
    <w:p>
      <w:pPr>
        <w:pStyle w:val="BodyText"/>
        <w:ind w:left="0"/>
        <w:rPr>
          <w:sz w:val="20"/>
        </w:rPr>
      </w:pPr>
    </w:p>
    <w:p>
      <w:pPr>
        <w:pStyle w:val="BodyText"/>
        <w:spacing w:before="150"/>
        <w:ind w:left="540"/>
      </w:pPr>
      <w:r>
        <w:rPr/>
        <w:t>五、申购与赎回的数额限制</w:t>
      </w:r>
    </w:p>
    <w:p>
      <w:pPr>
        <w:pStyle w:val="BodyText"/>
        <w:spacing w:line="364" w:lineRule="auto" w:before="139"/>
        <w:ind w:right="314" w:firstLine="419"/>
      </w:pPr>
      <w:r>
        <w:rPr/>
        <w:t>1、基金管理人可以规定投资者首次申购和每次申购的最低金额以及每次赎回的最低份额。具体规定请参见《招募说明书》；</w:t>
      </w:r>
    </w:p>
    <w:p>
      <w:pPr>
        <w:pStyle w:val="BodyText"/>
        <w:spacing w:line="367" w:lineRule="auto"/>
        <w:ind w:right="315" w:firstLine="419"/>
      </w:pPr>
      <w:r>
        <w:rPr/>
        <w:t>2</w:t>
      </w:r>
      <w:r>
        <w:rPr>
          <w:spacing w:val="-15"/>
        </w:rPr>
        <w:t>、基金管理人可以规定投资者每个交易账户的最低基金份额余额。具体规定请参见《招</w:t>
      </w:r>
      <w:r>
        <w:rPr>
          <w:spacing w:val="-25"/>
        </w:rPr>
        <w:t>募说明书》；</w:t>
      </w:r>
    </w:p>
    <w:p>
      <w:pPr>
        <w:pStyle w:val="BodyText"/>
        <w:spacing w:line="364" w:lineRule="auto"/>
        <w:ind w:right="314" w:firstLine="419"/>
      </w:pPr>
      <w:r>
        <w:rPr/>
        <w:t>3、基金管理人可以规定单个投资者累计持有的基金份额上限。具体规定请参见《招募说明书》；</w:t>
      </w:r>
    </w:p>
    <w:p>
      <w:pPr>
        <w:pStyle w:val="BodyText"/>
        <w:spacing w:line="364" w:lineRule="auto"/>
        <w:ind w:right="311" w:firstLine="419"/>
        <w:jc w:val="both"/>
      </w:pPr>
      <w:r>
        <w:rPr/>
        <w:t>4</w:t>
      </w:r>
      <w:r>
        <w:rPr>
          <w:spacing w:val="-3"/>
        </w:rPr>
        <w:t>、基金管理人可根据市场情况，在法律法规允许的情况下，调整上述对申购的金额和</w:t>
      </w:r>
      <w:r>
        <w:rPr>
          <w:spacing w:val="-9"/>
        </w:rPr>
        <w:t>赎回的份额的数量限制，基金管理人应当依照《信息披露办法》的有关规定在中国证监会指</w:t>
      </w:r>
      <w:r>
        <w:rPr>
          <w:spacing w:val="-5"/>
        </w:rPr>
        <w:t>定媒介公告；</w:t>
      </w:r>
    </w:p>
    <w:p>
      <w:pPr>
        <w:pStyle w:val="BodyText"/>
        <w:spacing w:line="364" w:lineRule="auto"/>
        <w:ind w:right="311" w:firstLine="419"/>
        <w:jc w:val="both"/>
      </w:pPr>
      <w:r>
        <w:rPr/>
        <w:t>5</w:t>
      </w:r>
      <w:r>
        <w:rPr>
          <w:spacing w:val="-3"/>
        </w:rPr>
        <w:t>、当接受申购申请对存量基金份额持有人利益构成潜在重大不利影响时，基金管理人</w:t>
      </w:r>
      <w:r>
        <w:rPr>
          <w:spacing w:val="-7"/>
        </w:rPr>
        <w:t>应当采取设定单一投资者申购金额上限或基金单日净申购比例上限、拒绝大额申购、暂停基</w:t>
      </w:r>
      <w:r>
        <w:rPr>
          <w:spacing w:val="-12"/>
        </w:rPr>
        <w:t>金申购等措施，切实保护存量基金份额持有人的合法权益。基金管理人基于投资运作与风险</w:t>
      </w:r>
      <w:r>
        <w:rPr>
          <w:spacing w:val="-6"/>
        </w:rPr>
        <w:t>控制的需要，可采取上述措施对基金规模予以控制。具体请参见相关公告。</w:t>
      </w:r>
    </w:p>
    <w:p>
      <w:pPr>
        <w:pStyle w:val="BodyText"/>
        <w:ind w:left="0"/>
        <w:rPr>
          <w:sz w:val="20"/>
        </w:rPr>
      </w:pPr>
    </w:p>
    <w:p>
      <w:pPr>
        <w:pStyle w:val="BodyText"/>
        <w:spacing w:before="142"/>
        <w:ind w:left="540"/>
      </w:pPr>
      <w:r>
        <w:rPr/>
        <w:t>六、申购费用和赎回费用</w:t>
      </w:r>
    </w:p>
    <w:p>
      <w:pPr>
        <w:pStyle w:val="BodyText"/>
        <w:spacing w:line="364" w:lineRule="auto" w:before="139"/>
        <w:ind w:right="314" w:firstLine="419"/>
      </w:pPr>
      <w:r>
        <w:rPr/>
        <w:t>1、本基金的申购费用由基金申购人承担，不列入基金财产，主要用于本基金的市场推广、销售、注册登记等各项费用。赎回费用由基金赎回人承担。</w:t>
      </w:r>
    </w:p>
    <w:p>
      <w:pPr>
        <w:pStyle w:val="BodyText"/>
        <w:spacing w:line="364" w:lineRule="auto"/>
        <w:ind w:right="311" w:firstLine="419"/>
        <w:jc w:val="both"/>
      </w:pPr>
      <w:r>
        <w:rPr/>
        <w:t>2</w:t>
      </w:r>
      <w:r>
        <w:rPr>
          <w:spacing w:val="-3"/>
        </w:rPr>
        <w:t>、投资者可将其持有的全部或部分基金份额赎回。本基金的赎回费用在投资人赎回本</w:t>
      </w:r>
      <w:r>
        <w:rPr>
          <w:spacing w:val="-10"/>
        </w:rPr>
        <w:t>基金份额时收取，扣除用于市场推广、注册登记费和其他手续费后的余额归基金财产，赎回</w:t>
      </w:r>
      <w:r>
        <w:rPr>
          <w:spacing w:val="-8"/>
        </w:rPr>
        <w:t>费归入基金财产的比例不得低于法律法规或中国证监会规定的比例下限。对于持续持有期少</w:t>
      </w:r>
    </w:p>
    <w:p>
      <w:pPr>
        <w:spacing w:after="0" w:line="364" w:lineRule="auto"/>
        <w:jc w:val="both"/>
        <w:sectPr>
          <w:pgSz w:w="11910" w:h="16840"/>
          <w:pgMar w:header="877" w:footer="1195" w:top="1380" w:bottom="1380" w:left="1680" w:right="1480"/>
        </w:sectPr>
      </w:pPr>
    </w:p>
    <w:p>
      <w:pPr>
        <w:pStyle w:val="BodyText"/>
        <w:spacing w:line="364" w:lineRule="auto" w:before="61"/>
        <w:ind w:left="540" w:right="1636" w:hanging="420"/>
        <w:jc w:val="both"/>
      </w:pPr>
      <w:r>
        <w:rPr>
          <w:spacing w:val="-22"/>
        </w:rPr>
        <w:t>于 </w:t>
      </w:r>
      <w:r>
        <w:rPr/>
        <w:t>7</w:t>
      </w:r>
      <w:r>
        <w:rPr>
          <w:spacing w:val="-11"/>
        </w:rPr>
        <w:t> 日的投资者，本基金将收取不低于 </w:t>
      </w:r>
      <w:r>
        <w:rPr/>
        <w:t>1.5</w:t>
      </w:r>
      <w:r>
        <w:rPr>
          <w:spacing w:val="-3"/>
        </w:rPr>
        <w:t>%的赎回费并全额计入基金财产。3、本基金申购费率最高不超过 </w:t>
      </w:r>
      <w:r>
        <w:rPr/>
        <w:t>5</w:t>
      </w:r>
      <w:r>
        <w:rPr>
          <w:spacing w:val="-3"/>
        </w:rPr>
        <w:t>%，赎回费率最高不超过 </w:t>
      </w:r>
      <w:r>
        <w:rPr/>
        <w:t>5%。</w:t>
      </w:r>
    </w:p>
    <w:p>
      <w:pPr>
        <w:pStyle w:val="BodyText"/>
        <w:spacing w:line="364" w:lineRule="auto"/>
        <w:ind w:right="311" w:firstLine="419"/>
        <w:jc w:val="both"/>
      </w:pPr>
      <w:r>
        <w:rPr/>
        <w:t>4</w:t>
      </w:r>
      <w:r>
        <w:rPr>
          <w:spacing w:val="-3"/>
        </w:rPr>
        <w:t>、本基金的申购费率、赎回费率和收费方式由基金管理人根据《基金合同》的规定确</w:t>
      </w:r>
      <w:r>
        <w:rPr>
          <w:spacing w:val="-11"/>
        </w:rPr>
        <w:t>定并在《招募说明书》及基金产品资料概要中列示。基金管理人可以在《基金合同》约定的</w:t>
      </w:r>
      <w:r>
        <w:rPr>
          <w:spacing w:val="-12"/>
        </w:rPr>
        <w:t>范围内调整费率或收费方式，基金管理人应当依照《信息披露办法》的有关规定在中国证监</w:t>
      </w:r>
      <w:r>
        <w:rPr>
          <w:spacing w:val="-6"/>
        </w:rPr>
        <w:t>会指定媒介公告。</w:t>
      </w:r>
    </w:p>
    <w:p>
      <w:pPr>
        <w:pStyle w:val="BodyText"/>
        <w:spacing w:line="367" w:lineRule="auto"/>
        <w:ind w:right="311" w:firstLine="419"/>
      </w:pPr>
      <w:r>
        <w:rPr/>
        <w:t>5</w:t>
      </w:r>
      <w:r>
        <w:rPr>
          <w:spacing w:val="-3"/>
        </w:rPr>
        <w:t>、基金管理人可以在不违背法律法规规定及《基金合同》约定的情形下根据市场情况</w:t>
      </w:r>
      <w:r>
        <w:rPr>
          <w:spacing w:val="-10"/>
        </w:rPr>
        <w:t>制定基金促销计划，针对特定地域范围、特定行业、特定职业的投资者以及以特定交易方式</w:t>
      </w:r>
    </w:p>
    <w:p>
      <w:pPr>
        <w:pStyle w:val="BodyText"/>
        <w:spacing w:line="364" w:lineRule="auto"/>
        <w:ind w:right="208"/>
      </w:pPr>
      <w:r>
        <w:rPr/>
        <w:t>（如网上交易、电话交易等）等进行基金交易的投资者定期或不定期地开展基金促销活动。在基金促销活动期间，基金管理人可以适当调低基金申购费率和基金赎回费率。</w:t>
      </w:r>
    </w:p>
    <w:p>
      <w:pPr>
        <w:pStyle w:val="BodyText"/>
        <w:spacing w:line="417" w:lineRule="auto" w:before="89"/>
        <w:ind w:right="205" w:firstLine="419"/>
      </w:pPr>
      <w:r>
        <w:rPr/>
        <w:t>6</w:t>
      </w:r>
      <w:r>
        <w:rPr>
          <w:spacing w:val="-3"/>
        </w:rPr>
        <w:t>、当发生大额申购或赎回情形时，在履行适当程序后，基金管理人可以采用摆动定价</w:t>
      </w:r>
      <w:r>
        <w:rPr>
          <w:spacing w:val="-17"/>
        </w:rPr>
        <w:t>机制，以确保基金估值的公平性。具体处理原则与操作规范遵循相关法律法规以及监管部门、</w:t>
      </w:r>
      <w:r>
        <w:rPr>
          <w:spacing w:val="-7"/>
        </w:rPr>
        <w:t>自律组织的规定。</w:t>
      </w:r>
    </w:p>
    <w:p>
      <w:pPr>
        <w:pStyle w:val="BodyText"/>
        <w:spacing w:before="1"/>
        <w:ind w:left="0"/>
        <w:rPr>
          <w:sz w:val="24"/>
        </w:rPr>
      </w:pPr>
    </w:p>
    <w:p>
      <w:pPr>
        <w:pStyle w:val="BodyText"/>
        <w:spacing w:line="367" w:lineRule="auto"/>
        <w:ind w:left="540" w:right="5258"/>
      </w:pPr>
      <w:r>
        <w:rPr/>
        <w:t>七、申购份额与赎回金额的计算1、本基金申购份额的计算</w:t>
      </w:r>
    </w:p>
    <w:p>
      <w:pPr>
        <w:pStyle w:val="BodyText"/>
        <w:spacing w:line="364" w:lineRule="auto"/>
        <w:ind w:left="540" w:right="3369"/>
      </w:pPr>
      <w:r>
        <w:rPr>
          <w:spacing w:val="-4"/>
        </w:rPr>
        <w:t>基金的申购金额包括申购费用和净申购金额，其中： </w:t>
      </w:r>
      <w:r>
        <w:rPr>
          <w:spacing w:val="-3"/>
          <w:w w:val="100"/>
        </w:rPr>
        <w:t>净申购金额=申购金额</w:t>
      </w:r>
      <w:r>
        <w:rPr>
          <w:w w:val="100"/>
        </w:rPr>
        <w:t>/</w:t>
      </w:r>
      <w:r>
        <w:rPr>
          <w:spacing w:val="-3"/>
          <w:w w:val="100"/>
        </w:rPr>
        <w:t>（1</w:t>
      </w:r>
      <w:r>
        <w:rPr>
          <w:spacing w:val="-1"/>
          <w:w w:val="100"/>
        </w:rPr>
        <w:t>+申购费率</w:t>
      </w:r>
      <w:r>
        <w:rPr>
          <w:spacing w:val="-108"/>
          <w:w w:val="100"/>
        </w:rPr>
        <w:t>）</w:t>
      </w:r>
      <w:r>
        <w:rPr>
          <w:w w:val="100"/>
        </w:rPr>
        <w:t>；</w:t>
      </w:r>
    </w:p>
    <w:p>
      <w:pPr>
        <w:pStyle w:val="BodyText"/>
        <w:spacing w:line="267" w:lineRule="exact"/>
        <w:ind w:left="540"/>
      </w:pPr>
      <w:r>
        <w:rPr/>
        <w:t>申购费用=申购金额-净申购金额；</w:t>
      </w:r>
    </w:p>
    <w:p>
      <w:pPr>
        <w:pStyle w:val="BodyText"/>
        <w:spacing w:line="367" w:lineRule="auto" w:before="135"/>
        <w:ind w:left="540" w:right="4428"/>
      </w:pPr>
      <w:r>
        <w:rPr/>
        <w:t>申购份额=净申购金额/T 日基金份额净值2、本基金赎回金额的计算</w:t>
      </w:r>
    </w:p>
    <w:p>
      <w:pPr>
        <w:pStyle w:val="BodyText"/>
        <w:spacing w:line="364" w:lineRule="auto"/>
        <w:ind w:left="540" w:right="313"/>
      </w:pPr>
      <w:r>
        <w:rPr>
          <w:spacing w:val="-13"/>
        </w:rPr>
        <w:t>采用“份额赎回”方式，赎回价格以 </w:t>
      </w:r>
      <w:r>
        <w:rPr/>
        <w:t>T</w:t>
      </w:r>
      <w:r>
        <w:rPr>
          <w:spacing w:val="-6"/>
        </w:rPr>
        <w:t> 日的基金份额净值为基准进行计算，计算公式： </w:t>
      </w:r>
      <w:r>
        <w:rPr>
          <w:spacing w:val="-4"/>
        </w:rPr>
        <w:t>赎回总金额=赎回份额×赎回当日基金份额净值</w:t>
      </w:r>
    </w:p>
    <w:p>
      <w:pPr>
        <w:pStyle w:val="BodyText"/>
        <w:spacing w:line="364" w:lineRule="auto"/>
        <w:ind w:left="540" w:right="5049"/>
      </w:pPr>
      <w:r>
        <w:rPr/>
        <w:t>赎回费用=赎回总金额×赎回费率净赎回金额=赎回总金额</w:t>
      </w:r>
      <w:r>
        <w:rPr>
          <w:rFonts w:ascii="MS Gothic" w:hAnsi="MS Gothic" w:eastAsia="MS Gothic" w:hint="eastAsia"/>
        </w:rPr>
        <w:t>−</w:t>
      </w:r>
      <w:r>
        <w:rPr/>
        <w:t>赎回费用3、本基金份额净值的计算</w:t>
      </w:r>
    </w:p>
    <w:p>
      <w:pPr>
        <w:pStyle w:val="BodyText"/>
        <w:spacing w:line="364" w:lineRule="auto"/>
        <w:ind w:right="313" w:firstLine="419"/>
      </w:pPr>
      <w:r>
        <w:rPr/>
        <w:t>T 日的基金份额净值在当天收市后计算，并在 T+1 日内公告。遇特殊情况，经中国证监会同意，可以适当延迟计算或公告。本基金份额净值的计算，保留到小数点后 3 位，小</w:t>
      </w:r>
    </w:p>
    <w:p>
      <w:pPr>
        <w:pStyle w:val="BodyText"/>
        <w:spacing w:line="267" w:lineRule="exact"/>
      </w:pPr>
      <w:r>
        <w:rPr/>
        <w:t>数点后第 4 位四舍五入。</w:t>
      </w:r>
    </w:p>
    <w:p>
      <w:pPr>
        <w:pStyle w:val="BodyText"/>
        <w:spacing w:before="134"/>
        <w:ind w:left="540"/>
      </w:pPr>
      <w:r>
        <w:rPr/>
        <w:t>4、申购份额、余额的处理方式</w:t>
      </w:r>
    </w:p>
    <w:p>
      <w:pPr>
        <w:pStyle w:val="BodyText"/>
        <w:spacing w:line="364" w:lineRule="auto" w:before="139"/>
        <w:ind w:right="311" w:firstLine="419"/>
        <w:jc w:val="both"/>
      </w:pPr>
      <w:r>
        <w:rPr>
          <w:spacing w:val="-7"/>
        </w:rPr>
        <w:t>申购的有效份额为按实际确认的申购金额在扣除相应的费用后，以当日基金份额净值为</w:t>
      </w:r>
      <w:r>
        <w:rPr>
          <w:spacing w:val="-3"/>
        </w:rPr>
        <w:t>基准计算，计算结果保留到小数点后 </w:t>
      </w:r>
      <w:r>
        <w:rPr/>
        <w:t>2</w:t>
      </w:r>
      <w:r>
        <w:rPr>
          <w:spacing w:val="-3"/>
        </w:rPr>
        <w:t> 位，小数点后两位以后的部分四舍五入，由此产生的误差计入基金财产。</w:t>
      </w:r>
    </w:p>
    <w:p>
      <w:pPr>
        <w:pStyle w:val="BodyText"/>
        <w:spacing w:line="267" w:lineRule="exact"/>
        <w:ind w:left="540"/>
      </w:pPr>
      <w:r>
        <w:rPr/>
        <w:t>5、赎回金额的处理方式</w:t>
      </w:r>
    </w:p>
    <w:p>
      <w:pPr>
        <w:spacing w:after="0" w:line="267" w:lineRule="exact"/>
        <w:sectPr>
          <w:pgSz w:w="11910" w:h="16840"/>
          <w:pgMar w:header="877" w:footer="1195" w:top="1380" w:bottom="1380" w:left="1680" w:right="1480"/>
        </w:sectPr>
      </w:pPr>
    </w:p>
    <w:p>
      <w:pPr>
        <w:pStyle w:val="BodyText"/>
        <w:spacing w:line="364" w:lineRule="auto" w:before="61"/>
        <w:ind w:right="208" w:firstLine="419"/>
      </w:pPr>
      <w:r>
        <w:rPr>
          <w:spacing w:val="-3"/>
        </w:rPr>
        <w:t>赎回金额为按实际确认的有效赎回份额以当日基金份额净值为基准并扣除相应的费用， </w:t>
      </w:r>
      <w:r>
        <w:rPr>
          <w:spacing w:val="-2"/>
        </w:rPr>
        <w:t>计算结果保留到小数点后 </w:t>
      </w:r>
      <w:r>
        <w:rPr/>
        <w:t>2</w:t>
      </w:r>
      <w:r>
        <w:rPr>
          <w:spacing w:val="-3"/>
        </w:rPr>
        <w:t> 位，小数点后两位以后的部分四舍五入，由此产生的误差计入基金财产。</w:t>
      </w:r>
    </w:p>
    <w:p>
      <w:pPr>
        <w:pStyle w:val="BodyText"/>
        <w:ind w:left="0"/>
        <w:rPr>
          <w:sz w:val="20"/>
        </w:rPr>
      </w:pPr>
    </w:p>
    <w:p>
      <w:pPr>
        <w:pStyle w:val="BodyText"/>
        <w:spacing w:before="151"/>
        <w:ind w:left="540"/>
      </w:pPr>
      <w:r>
        <w:rPr/>
        <w:t>八、申购和赎回的注册登记</w:t>
      </w:r>
    </w:p>
    <w:p>
      <w:pPr>
        <w:pStyle w:val="BodyText"/>
        <w:spacing w:line="364" w:lineRule="auto" w:before="139"/>
        <w:ind w:right="208" w:firstLine="419"/>
      </w:pPr>
      <w:r>
        <w:rPr>
          <w:spacing w:val="-11"/>
        </w:rPr>
        <w:t>投资者申购基金成功后，注册登记人在 </w:t>
      </w:r>
      <w:r>
        <w:rPr/>
        <w:t>T+1</w:t>
      </w:r>
      <w:r>
        <w:rPr>
          <w:spacing w:val="-3"/>
        </w:rPr>
        <w:t> 日为投资者登记权益并办理注册登记手续， 投资者自 </w:t>
      </w:r>
      <w:r>
        <w:rPr/>
        <w:t>T+2</w:t>
      </w:r>
      <w:r>
        <w:rPr>
          <w:spacing w:val="-1"/>
        </w:rPr>
        <w:t> 日</w:t>
      </w:r>
      <w:r>
        <w:rPr>
          <w:spacing w:val="-3"/>
        </w:rPr>
        <w:t>（含该日</w:t>
      </w:r>
      <w:r>
        <w:rPr/>
        <w:t>）</w:t>
      </w:r>
      <w:r>
        <w:rPr>
          <w:spacing w:val="-3"/>
        </w:rPr>
        <w:t>后有权赎回该部分基金份额。</w:t>
      </w:r>
    </w:p>
    <w:p>
      <w:pPr>
        <w:pStyle w:val="BodyText"/>
        <w:spacing w:line="364" w:lineRule="auto" w:before="1"/>
        <w:ind w:left="540" w:right="208"/>
      </w:pPr>
      <w:r>
        <w:rPr>
          <w:spacing w:val="-11"/>
        </w:rPr>
        <w:t>投资者赎回基金成功后，注册登记人在 </w:t>
      </w:r>
      <w:r>
        <w:rPr/>
        <w:t>T+1</w:t>
      </w:r>
      <w:r>
        <w:rPr>
          <w:spacing w:val="-3"/>
        </w:rPr>
        <w:t> 日为投资者办理扣除权益的注册登记手续。</w:t>
      </w:r>
      <w:r>
        <w:rPr>
          <w:spacing w:val="-8"/>
        </w:rPr>
        <w:t>基金管理人可以在法律法规允许的范围内，对上述注册登记办理时间进行调整，但不得</w:t>
      </w:r>
    </w:p>
    <w:p>
      <w:pPr>
        <w:pStyle w:val="BodyText"/>
        <w:spacing w:line="268" w:lineRule="exact"/>
      </w:pPr>
      <w:r>
        <w:rPr/>
        <w:t>实质影响投资者的合法权益，并应当依照《信息披露办法》的有关规定在指定媒介公告。</w:t>
      </w:r>
    </w:p>
    <w:p>
      <w:pPr>
        <w:pStyle w:val="BodyText"/>
        <w:ind w:left="0"/>
        <w:rPr>
          <w:sz w:val="20"/>
        </w:rPr>
      </w:pPr>
    </w:p>
    <w:p>
      <w:pPr>
        <w:pStyle w:val="BodyText"/>
        <w:spacing w:before="8"/>
        <w:ind w:left="0"/>
        <w:rPr>
          <w:sz w:val="22"/>
        </w:rPr>
      </w:pPr>
    </w:p>
    <w:p>
      <w:pPr>
        <w:pStyle w:val="BodyText"/>
        <w:spacing w:before="1"/>
        <w:ind w:left="540"/>
      </w:pPr>
      <w:r>
        <w:rPr/>
        <w:t>九、拒绝或暂停申购的情形及处理方式</w:t>
      </w:r>
    </w:p>
    <w:p>
      <w:pPr>
        <w:pStyle w:val="BodyText"/>
        <w:spacing w:line="364" w:lineRule="auto" w:before="141"/>
        <w:ind w:left="540" w:right="1528"/>
      </w:pPr>
      <w:r>
        <w:rPr>
          <w:spacing w:val="-3"/>
        </w:rPr>
        <w:t>除非出现如下情形，基金管理人不得拒绝或暂停基金投资者的申购申请： 1、不可抗力的原因导致基金无法正常运作；</w:t>
      </w:r>
    </w:p>
    <w:p>
      <w:pPr>
        <w:pStyle w:val="BodyText"/>
        <w:spacing w:line="364" w:lineRule="auto"/>
        <w:ind w:right="311" w:firstLine="419"/>
        <w:jc w:val="both"/>
      </w:pPr>
      <w:r>
        <w:rPr/>
        <w:t>2</w:t>
      </w:r>
      <w:r>
        <w:rPr>
          <w:spacing w:val="-3"/>
        </w:rPr>
        <w:t>、发生基金合同规定的暂停基金资产估值情况时，基金管理人可暂停接受投资人的申</w:t>
      </w:r>
      <w:r>
        <w:rPr>
          <w:spacing w:val="-10"/>
        </w:rPr>
        <w:t>购申请。当前一估值日基金资产净值 </w:t>
      </w:r>
      <w:r>
        <w:rPr/>
        <w:t>50</w:t>
      </w:r>
      <w:r>
        <w:rPr>
          <w:spacing w:val="-3"/>
        </w:rPr>
        <w:t>%以上的资产出现无可参考的活跃市场价格且采用估</w:t>
      </w:r>
      <w:r>
        <w:rPr>
          <w:spacing w:val="-8"/>
        </w:rPr>
        <w:t>值技术仍导致公允价值存在重大不确定性，经与基金托管人协商确定后，基金管理人应当暂</w:t>
      </w:r>
      <w:r>
        <w:rPr>
          <w:spacing w:val="-5"/>
        </w:rPr>
        <w:t>停接受申购申请；</w:t>
      </w:r>
    </w:p>
    <w:p>
      <w:pPr>
        <w:pStyle w:val="BodyText"/>
        <w:spacing w:line="268" w:lineRule="exact"/>
        <w:ind w:left="540"/>
      </w:pPr>
      <w:r>
        <w:rPr/>
        <w:t>3、证券交易场所在交易时间非正常停市，导致当日基金资产净值无法计算；</w:t>
      </w:r>
    </w:p>
    <w:p>
      <w:pPr>
        <w:pStyle w:val="BodyText"/>
        <w:spacing w:line="364" w:lineRule="auto" w:before="137"/>
        <w:ind w:right="314" w:firstLine="419"/>
      </w:pPr>
      <w:r>
        <w:rPr/>
        <w:t>4、基金资产规模过大，使基金管理人无法找到合适的投资品种，或可能对基金业绩产生负面影响，从而损害现有基金份额持有人的利益；</w:t>
      </w:r>
    </w:p>
    <w:p>
      <w:pPr>
        <w:pStyle w:val="BodyText"/>
        <w:ind w:left="540"/>
      </w:pPr>
      <w:r>
        <w:rPr/>
        <w:t>5、法律、法规规定或中国证监会认定的其他可暂停申购的情形；</w:t>
      </w:r>
    </w:p>
    <w:p>
      <w:pPr>
        <w:pStyle w:val="BodyText"/>
        <w:spacing w:line="364" w:lineRule="auto" w:before="139"/>
        <w:ind w:right="314" w:firstLine="419"/>
      </w:pPr>
      <w:r>
        <w:rPr/>
        <w:t>6、基金管理人接受某笔或者某些申购申请有可能导致单一投资者持有基金份额的比例达到或者超过 50%，或者变相规避 50%集中度的情形时；</w:t>
      </w:r>
    </w:p>
    <w:p>
      <w:pPr>
        <w:pStyle w:val="BodyText"/>
        <w:spacing w:line="268" w:lineRule="exact"/>
        <w:ind w:left="540"/>
      </w:pPr>
      <w:r>
        <w:rPr/>
        <w:t>7、基金管理人认为有必要拒绝或暂停接受的某笔申购申请。</w:t>
      </w:r>
    </w:p>
    <w:p>
      <w:pPr>
        <w:pStyle w:val="BodyText"/>
        <w:spacing w:line="367" w:lineRule="auto" w:before="139"/>
        <w:ind w:right="311" w:firstLine="419"/>
      </w:pPr>
      <w:r>
        <w:rPr>
          <w:spacing w:val="-8"/>
        </w:rPr>
        <w:t>发生上述情形之一且基金管理人决定暂停申购的，申购款项将全部或部分相应退还投资</w:t>
      </w:r>
      <w:r>
        <w:rPr>
          <w:spacing w:val="-3"/>
        </w:rPr>
        <w:t>者。发生上述 </w:t>
      </w:r>
      <w:r>
        <w:rPr/>
        <w:t>1</w:t>
      </w:r>
      <w:r>
        <w:rPr>
          <w:spacing w:val="-12"/>
        </w:rPr>
        <w:t> 到 </w:t>
      </w:r>
      <w:r>
        <w:rPr/>
        <w:t>5</w:t>
      </w:r>
      <w:r>
        <w:rPr>
          <w:spacing w:val="-9"/>
        </w:rPr>
        <w:t> 项暂停申购情形时，基金管理人应当在指定媒介刊登暂停申购公告。</w:t>
      </w:r>
    </w:p>
    <w:p>
      <w:pPr>
        <w:pStyle w:val="BodyText"/>
        <w:ind w:left="0"/>
        <w:rPr>
          <w:sz w:val="20"/>
        </w:rPr>
      </w:pPr>
    </w:p>
    <w:p>
      <w:pPr>
        <w:pStyle w:val="BodyText"/>
        <w:spacing w:before="147"/>
        <w:ind w:left="540"/>
      </w:pPr>
      <w:r>
        <w:rPr/>
        <w:t>十、暂停赎回或者延缓支付赎回款项的情形及处理方式</w:t>
      </w:r>
    </w:p>
    <w:p>
      <w:pPr>
        <w:pStyle w:val="BodyText"/>
        <w:spacing w:line="364" w:lineRule="auto" w:before="139"/>
        <w:ind w:right="311" w:firstLine="419"/>
      </w:pPr>
      <w:r>
        <w:rPr>
          <w:spacing w:val="-12"/>
        </w:rPr>
        <w:t>除非出现如下情形，基金管理人不得拒绝接受或暂停基金份额持有人的赎回申请或者延</w:t>
      </w:r>
      <w:r>
        <w:rPr>
          <w:spacing w:val="-6"/>
        </w:rPr>
        <w:t>缓支付赎回款项：</w:t>
      </w:r>
    </w:p>
    <w:p>
      <w:pPr>
        <w:pStyle w:val="BodyText"/>
        <w:ind w:left="540"/>
      </w:pPr>
      <w:r>
        <w:rPr/>
        <w:t>1、不可抗力的原因导致基金无法正常运作；</w:t>
      </w:r>
    </w:p>
    <w:p>
      <w:pPr>
        <w:pStyle w:val="BodyText"/>
        <w:spacing w:line="364" w:lineRule="auto" w:before="140"/>
        <w:ind w:right="311" w:firstLine="419"/>
      </w:pPr>
      <w:r>
        <w:rPr/>
        <w:t>2</w:t>
      </w:r>
      <w:r>
        <w:rPr>
          <w:spacing w:val="-3"/>
        </w:rPr>
        <w:t>、发生基金合同规定的暂停基金资产估值情况时，基金管理人可暂停接受投资人的赎</w:t>
      </w:r>
      <w:r>
        <w:rPr>
          <w:spacing w:val="-8"/>
        </w:rPr>
        <w:t>回申请或延缓支付赎回款项。当前一估值日基金资产净值 </w:t>
      </w:r>
      <w:r>
        <w:rPr/>
        <w:t>50</w:t>
      </w:r>
      <w:r>
        <w:rPr>
          <w:spacing w:val="-3"/>
        </w:rPr>
        <w:t>%以上的资产出现无可参考的活</w:t>
      </w:r>
    </w:p>
    <w:p>
      <w:pPr>
        <w:spacing w:after="0" w:line="364" w:lineRule="auto"/>
        <w:sectPr>
          <w:pgSz w:w="11910" w:h="16840"/>
          <w:pgMar w:header="877" w:footer="1195" w:top="1380" w:bottom="1380" w:left="1680" w:right="1480"/>
        </w:sectPr>
      </w:pPr>
    </w:p>
    <w:p>
      <w:pPr>
        <w:pStyle w:val="BodyText"/>
        <w:spacing w:line="364" w:lineRule="auto" w:before="61"/>
        <w:ind w:right="102"/>
      </w:pPr>
      <w:r>
        <w:rPr>
          <w:spacing w:val="-7"/>
        </w:rPr>
        <w:t>跃市场价格且采用估值技术仍导致公允价值存在重大不确定性，经与基金托管人协商确定后， </w:t>
      </w:r>
      <w:r>
        <w:rPr>
          <w:spacing w:val="-5"/>
        </w:rPr>
        <w:t>基金管理人应当暂停接受赎回申请或延缓支付赎回款项；</w:t>
      </w:r>
    </w:p>
    <w:p>
      <w:pPr>
        <w:pStyle w:val="BodyText"/>
        <w:spacing w:line="267" w:lineRule="exact"/>
        <w:ind w:left="540"/>
      </w:pPr>
      <w:r>
        <w:rPr/>
        <w:t>3、证券交易场所交易时间非正常停市，导致当日基金资产净值无法计算；</w:t>
      </w:r>
    </w:p>
    <w:p>
      <w:pPr>
        <w:pStyle w:val="BodyText"/>
        <w:spacing w:before="142"/>
        <w:ind w:left="540"/>
      </w:pPr>
      <w:r>
        <w:rPr/>
        <w:t>4、因市场剧烈波动或其他原因而出现巨额赎回，导致本基金的现金支付出现困难；</w:t>
      </w:r>
    </w:p>
    <w:p>
      <w:pPr>
        <w:pStyle w:val="BodyText"/>
        <w:spacing w:before="138"/>
        <w:ind w:left="540"/>
      </w:pPr>
      <w:r>
        <w:rPr/>
        <w:t>5、法律、法规规定或中国证监会认定的其他情形。</w:t>
      </w:r>
    </w:p>
    <w:p>
      <w:pPr>
        <w:pStyle w:val="BodyText"/>
        <w:spacing w:line="364" w:lineRule="auto" w:before="139"/>
        <w:ind w:right="311" w:firstLine="419"/>
        <w:jc w:val="both"/>
      </w:pPr>
      <w:r>
        <w:rPr>
          <w:spacing w:val="-10"/>
        </w:rPr>
        <w:t>发生上述情形之一的，基金管理人应在当日立即向中国证监会报告备案。已接受的赎回</w:t>
      </w:r>
      <w:r>
        <w:rPr>
          <w:spacing w:val="-11"/>
        </w:rPr>
        <w:t>申请，基金管理人将足额支付；如暂时不能足额支付的，可支付部分按每个赎回申请人已被</w:t>
      </w:r>
      <w:r>
        <w:rPr>
          <w:spacing w:val="-10"/>
        </w:rPr>
        <w:t>接受的赎回申请量占已接受赎回申请总量的比例分配给赎回申请人，未支付部分由基金管理</w:t>
      </w:r>
      <w:r>
        <w:rPr>
          <w:spacing w:val="-5"/>
        </w:rPr>
        <w:t>人按照发生的情况制定相应的处理办法在后续开放日予以支付。</w:t>
      </w:r>
    </w:p>
    <w:p>
      <w:pPr>
        <w:pStyle w:val="BodyText"/>
        <w:spacing w:line="364" w:lineRule="auto"/>
        <w:ind w:right="311" w:firstLine="419"/>
        <w:jc w:val="both"/>
      </w:pPr>
      <w:r>
        <w:rPr>
          <w:spacing w:val="-8"/>
        </w:rPr>
        <w:t>同时在出现连续巨额赎回的情形时，对已接受的赎回申请可延期支付赎回款项，最长不</w:t>
      </w:r>
      <w:r>
        <w:rPr>
          <w:spacing w:val="-3"/>
        </w:rPr>
        <w:t>超过正常支付时间 </w:t>
      </w:r>
      <w:r>
        <w:rPr/>
        <w:t>20</w:t>
      </w:r>
      <w:r>
        <w:rPr>
          <w:spacing w:val="-10"/>
        </w:rPr>
        <w:t> 个工作日，并在指定媒介公告。投资者在申请赎回时可事先选择将当</w:t>
      </w:r>
      <w:r>
        <w:rPr>
          <w:spacing w:val="-5"/>
        </w:rPr>
        <w:t>日可能未获受理部分予以撤销。</w:t>
      </w:r>
    </w:p>
    <w:p>
      <w:pPr>
        <w:pStyle w:val="BodyText"/>
        <w:spacing w:line="364" w:lineRule="auto"/>
        <w:ind w:left="540" w:right="1686"/>
      </w:pPr>
      <w:r>
        <w:rPr/>
        <w:t>暂停基金的赎回，基金管理人应及时在指定媒介上刊登暂停赎回公告。在暂停赎回的情况消除时，基金管理人应及时恢复赎回业务的办理。</w:t>
      </w:r>
    </w:p>
    <w:p>
      <w:pPr>
        <w:pStyle w:val="BodyText"/>
        <w:ind w:left="0"/>
        <w:rPr>
          <w:sz w:val="20"/>
        </w:rPr>
      </w:pPr>
    </w:p>
    <w:p>
      <w:pPr>
        <w:pStyle w:val="BodyText"/>
        <w:spacing w:line="364" w:lineRule="auto" w:before="149"/>
        <w:ind w:left="540" w:right="5049"/>
      </w:pPr>
      <w:r>
        <w:rPr/>
        <w:t>十一、巨额赎回的情形及处理方式1、巨额赎回的认定</w:t>
      </w:r>
    </w:p>
    <w:p>
      <w:pPr>
        <w:pStyle w:val="BodyText"/>
        <w:spacing w:line="364" w:lineRule="auto" w:before="1"/>
        <w:ind w:right="311" w:firstLine="419"/>
        <w:jc w:val="both"/>
      </w:pPr>
      <w:r>
        <w:rPr>
          <w:spacing w:val="-12"/>
        </w:rPr>
        <w:t>本基金单个开放日，基金净赎回申请</w:t>
      </w:r>
      <w:r>
        <w:rPr/>
        <w:t>（</w:t>
      </w:r>
      <w:r>
        <w:rPr>
          <w:spacing w:val="-3"/>
        </w:rPr>
        <w:t>赎回申请总数加上基金转换中转出申请份额总数后扣除申购申请总数及基金转换中转入申请份额总数后的余额）超过上一日基金总份额的10%时，即认为发生了巨额赎回。</w:t>
      </w:r>
    </w:p>
    <w:p>
      <w:pPr>
        <w:pStyle w:val="BodyText"/>
        <w:spacing w:line="266" w:lineRule="exact"/>
        <w:ind w:left="540"/>
      </w:pPr>
      <w:r>
        <w:rPr/>
        <w:t>2、巨额赎回的处理方式</w:t>
      </w:r>
    </w:p>
    <w:p>
      <w:pPr>
        <w:pStyle w:val="BodyText"/>
        <w:spacing w:line="364" w:lineRule="auto" w:before="141"/>
        <w:ind w:right="311" w:firstLine="419"/>
      </w:pPr>
      <w:r>
        <w:rPr>
          <w:spacing w:val="-12"/>
        </w:rPr>
        <w:t>当出现巨额赎回时，基金管理人可以根据本基金当时的资产组合状况决定全额赎回或部</w:t>
      </w:r>
      <w:r>
        <w:rPr>
          <w:spacing w:val="-6"/>
        </w:rPr>
        <w:t>分顺延赎回。</w:t>
      </w:r>
    </w:p>
    <w:p>
      <w:pPr>
        <w:pStyle w:val="ListParagraph"/>
        <w:numPr>
          <w:ilvl w:val="0"/>
          <w:numId w:val="2"/>
        </w:numPr>
        <w:tabs>
          <w:tab w:pos="1070" w:val="left" w:leader="none"/>
        </w:tabs>
        <w:spacing w:line="364" w:lineRule="auto" w:before="0" w:after="0"/>
        <w:ind w:left="120" w:right="314" w:firstLine="419"/>
        <w:jc w:val="left"/>
        <w:rPr>
          <w:sz w:val="21"/>
        </w:rPr>
      </w:pPr>
      <w:r>
        <w:rPr>
          <w:spacing w:val="-3"/>
          <w:sz w:val="21"/>
        </w:rPr>
        <w:t>全额赎回：当基金管理人认为有能力支付投资者的赎回申请时，按正常赎回程序执行。</w:t>
      </w:r>
    </w:p>
    <w:p>
      <w:pPr>
        <w:pStyle w:val="ListParagraph"/>
        <w:numPr>
          <w:ilvl w:val="0"/>
          <w:numId w:val="2"/>
        </w:numPr>
        <w:tabs>
          <w:tab w:pos="1070" w:val="left" w:leader="none"/>
        </w:tabs>
        <w:spacing w:line="364" w:lineRule="auto" w:before="0" w:after="0"/>
        <w:ind w:left="120" w:right="311" w:firstLine="419"/>
        <w:jc w:val="both"/>
        <w:rPr>
          <w:sz w:val="21"/>
        </w:rPr>
      </w:pPr>
      <w:r>
        <w:rPr>
          <w:spacing w:val="-3"/>
          <w:sz w:val="21"/>
        </w:rPr>
        <w:t>部分顺延赎回：当基金管理人认为支付投资者的赎回申请有困难或认为支付投资</w:t>
      </w:r>
      <w:r>
        <w:rPr>
          <w:spacing w:val="-7"/>
          <w:sz w:val="21"/>
        </w:rPr>
        <w:t>者的赎回申请可能会对基金的资产净值造成较大波动时，基金管理人在当日接受赎回比例不</w:t>
      </w:r>
      <w:r>
        <w:rPr>
          <w:spacing w:val="-1"/>
          <w:sz w:val="21"/>
        </w:rPr>
        <w:t>低于基金总份额的 </w:t>
      </w:r>
      <w:r>
        <w:rPr>
          <w:sz w:val="21"/>
        </w:rPr>
        <w:t>10%</w:t>
      </w:r>
      <w:r>
        <w:rPr>
          <w:spacing w:val="-11"/>
          <w:sz w:val="21"/>
        </w:rPr>
        <w:t>的前提下，对其余赎回申请延期予以办理。对于当日的赎回申请，应当按单个账户赎回申请量占赎回申请总量的比例，确定当日受理的赎回份额；投资者未能赎</w:t>
      </w:r>
      <w:r>
        <w:rPr>
          <w:spacing w:val="-12"/>
          <w:sz w:val="21"/>
        </w:rPr>
        <w:t>回部分，除投资者在提交赎回申请时明确作出不参加顺延下一个开放日赎回的表示外，自动</w:t>
      </w:r>
      <w:r>
        <w:rPr>
          <w:spacing w:val="-13"/>
          <w:sz w:val="21"/>
        </w:rPr>
        <w:t>转为下一个开放日赎回处理。依照上述规定转入下一个开放日的赎回不享有赎回优先权并将</w:t>
      </w:r>
      <w:r>
        <w:rPr>
          <w:spacing w:val="-10"/>
          <w:sz w:val="21"/>
        </w:rPr>
        <w:t>以下一个开放日的基金份额净值为准进行计算，并以此类推，直到全部赎回为止。部分顺延</w:t>
      </w:r>
      <w:r>
        <w:rPr>
          <w:spacing w:val="-5"/>
          <w:sz w:val="21"/>
        </w:rPr>
        <w:t>赎回不受单笔赎回最低份额的限制。</w:t>
      </w:r>
    </w:p>
    <w:p>
      <w:pPr>
        <w:pStyle w:val="ListParagraph"/>
        <w:numPr>
          <w:ilvl w:val="0"/>
          <w:numId w:val="2"/>
        </w:numPr>
        <w:tabs>
          <w:tab w:pos="1070" w:val="left" w:leader="none"/>
        </w:tabs>
        <w:spacing w:line="266" w:lineRule="exact" w:before="0" w:after="0"/>
        <w:ind w:left="1069" w:right="0" w:hanging="530"/>
        <w:jc w:val="both"/>
        <w:rPr>
          <w:sz w:val="21"/>
        </w:rPr>
      </w:pPr>
      <w:r>
        <w:rPr>
          <w:spacing w:val="-3"/>
          <w:sz w:val="21"/>
        </w:rPr>
        <w:t>如果基金发生巨额赎回，在单个基金份额持有人超过上一开放日基金总份额 </w:t>
      </w:r>
      <w:r>
        <w:rPr>
          <w:sz w:val="21"/>
        </w:rPr>
        <w:t>20%</w:t>
      </w:r>
    </w:p>
    <w:p>
      <w:pPr>
        <w:spacing w:after="0" w:line="266" w:lineRule="exact"/>
        <w:jc w:val="both"/>
        <w:rPr>
          <w:sz w:val="21"/>
        </w:rPr>
        <w:sectPr>
          <w:pgSz w:w="11910" w:h="16840"/>
          <w:pgMar w:header="877" w:footer="1195" w:top="1380" w:bottom="1380" w:left="1680" w:right="1480"/>
        </w:sectPr>
      </w:pPr>
    </w:p>
    <w:p>
      <w:pPr>
        <w:pStyle w:val="BodyText"/>
        <w:spacing w:line="364" w:lineRule="auto" w:before="61"/>
        <w:ind w:right="311"/>
        <w:jc w:val="both"/>
      </w:pPr>
      <w:r>
        <w:rPr>
          <w:spacing w:val="-8"/>
        </w:rPr>
        <w:t>以上的赎回申请的情形下，基金管理人可以对该基金份额持有人超过 </w:t>
      </w:r>
      <w:r>
        <w:rPr/>
        <w:t>20</w:t>
      </w:r>
      <w:r>
        <w:rPr>
          <w:spacing w:val="-3"/>
        </w:rPr>
        <w:t>%以上的部分延期办</w:t>
      </w:r>
      <w:r>
        <w:rPr>
          <w:spacing w:val="-12"/>
        </w:rPr>
        <w:t>理赎回申请。对于当日非延期的赎回申请，应当按单个账户非延期赎回申请量占非延期赎回申请总量的比例，确定当日受理的赎回份额；对于未能赎回部分，投资人在提交赎回申请时</w:t>
      </w:r>
      <w:r>
        <w:rPr>
          <w:spacing w:val="-11"/>
        </w:rPr>
        <w:t>可以选择延期赎回或取消赎回。选择延期赎回的，将自动转入下一个开放日继续赎回，直到</w:t>
      </w:r>
      <w:r>
        <w:rPr>
          <w:spacing w:val="-12"/>
        </w:rPr>
        <w:t>全部赎回为止；选择取消赎回的，当日未获受理的部分赎回申请将被撤销。延期的赎回申请</w:t>
      </w:r>
      <w:r>
        <w:rPr>
          <w:spacing w:val="-13"/>
        </w:rPr>
        <w:t>与下一开放日赎回申请一并处理，无优先权并以下一开放日的基金份额净值为基础计算赎回</w:t>
      </w:r>
      <w:r>
        <w:rPr>
          <w:spacing w:val="-12"/>
        </w:rPr>
        <w:t>金额，以此类推，直到全部赎回为止。如投资人在提交赎回申请时未作明确选择，投资人未</w:t>
      </w:r>
      <w:r>
        <w:rPr>
          <w:spacing w:val="-6"/>
        </w:rPr>
        <w:t>能赎回部分作自动延期赎回处理。</w:t>
      </w:r>
    </w:p>
    <w:p>
      <w:pPr>
        <w:pStyle w:val="ListParagraph"/>
        <w:numPr>
          <w:ilvl w:val="0"/>
          <w:numId w:val="2"/>
        </w:numPr>
        <w:tabs>
          <w:tab w:pos="650" w:val="left" w:leader="none"/>
        </w:tabs>
        <w:spacing w:line="364" w:lineRule="auto" w:before="0" w:after="0"/>
        <w:ind w:left="120" w:right="311" w:firstLine="0"/>
        <w:jc w:val="both"/>
        <w:rPr>
          <w:sz w:val="21"/>
        </w:rPr>
      </w:pPr>
      <w:r>
        <w:rPr>
          <w:spacing w:val="-13"/>
          <w:sz w:val="21"/>
        </w:rPr>
        <w:t>巨额赎回的公告：开放式基金发生巨额赎回并延期办理的，基金管理人应当通过邮寄</w:t>
      </w:r>
      <w:r>
        <w:rPr>
          <w:spacing w:val="-2"/>
          <w:sz w:val="21"/>
        </w:rPr>
        <w:t>、传真或者招募说明书规定的其他方式，在 </w:t>
      </w:r>
      <w:r>
        <w:rPr>
          <w:sz w:val="21"/>
        </w:rPr>
        <w:t>3</w:t>
      </w:r>
      <w:r>
        <w:rPr>
          <w:spacing w:val="-3"/>
          <w:sz w:val="21"/>
        </w:rPr>
        <w:t> 个工作日内通知基金份额持有人，说明有关处</w:t>
      </w:r>
    </w:p>
    <w:p>
      <w:pPr>
        <w:pStyle w:val="BodyText"/>
        <w:spacing w:line="267" w:lineRule="exact"/>
        <w:jc w:val="both"/>
      </w:pPr>
      <w:r>
        <w:rPr/>
        <w:t>理方法，并在 2 日内在指定媒介上刊登公告。</w:t>
      </w:r>
    </w:p>
    <w:p>
      <w:pPr>
        <w:pStyle w:val="BodyText"/>
        <w:spacing w:before="137"/>
        <w:ind w:left="540"/>
      </w:pPr>
      <w:r>
        <w:rPr/>
        <w:t>本基金连续 2 个开放日以上发生巨额赎回，如基金管理人认为有必要，可暂停接受赎</w:t>
      </w:r>
    </w:p>
    <w:p>
      <w:pPr>
        <w:pStyle w:val="BodyText"/>
        <w:spacing w:line="364" w:lineRule="auto" w:before="141"/>
        <w:ind w:right="311"/>
        <w:jc w:val="both"/>
      </w:pPr>
      <w:r>
        <w:rPr>
          <w:spacing w:val="-10"/>
        </w:rPr>
        <w:t>回申请；已经接受的赎回申请可以延缓支付赎回款项，但不得超过正常支付时间 </w:t>
      </w:r>
      <w:r>
        <w:rPr/>
        <w:t>20</w:t>
      </w:r>
      <w:r>
        <w:rPr>
          <w:spacing w:val="3"/>
        </w:rPr>
        <w:t> 个工作</w:t>
      </w:r>
      <w:r>
        <w:rPr>
          <w:spacing w:val="-3"/>
        </w:rPr>
        <w:t>日，并应当在指定媒介公告。</w:t>
      </w:r>
    </w:p>
    <w:p>
      <w:pPr>
        <w:pStyle w:val="BodyText"/>
        <w:ind w:left="0"/>
        <w:rPr>
          <w:sz w:val="20"/>
        </w:rPr>
      </w:pPr>
    </w:p>
    <w:p>
      <w:pPr>
        <w:pStyle w:val="BodyText"/>
        <w:spacing w:before="150"/>
        <w:ind w:left="540"/>
      </w:pPr>
      <w:r>
        <w:rPr/>
        <w:t>十二、重新开放申购或赎回的公告</w:t>
      </w:r>
    </w:p>
    <w:p>
      <w:pPr>
        <w:pStyle w:val="BodyText"/>
        <w:spacing w:line="367" w:lineRule="auto" w:before="139"/>
        <w:ind w:right="311" w:firstLine="419"/>
      </w:pPr>
      <w:r>
        <w:rPr>
          <w:spacing w:val="-11"/>
        </w:rPr>
        <w:t>如果发生暂停的时间为一天，基金管理人应于重新开放日在指定媒介刊登基金重新开放</w:t>
      </w:r>
      <w:r>
        <w:rPr>
          <w:spacing w:val="-6"/>
        </w:rPr>
        <w:t>申购或赎回公告并公布最近一个开放日的基金份额净值。</w:t>
      </w:r>
    </w:p>
    <w:p>
      <w:pPr>
        <w:pStyle w:val="BodyText"/>
        <w:spacing w:line="364" w:lineRule="auto"/>
        <w:ind w:right="311" w:firstLine="419"/>
        <w:jc w:val="both"/>
      </w:pPr>
      <w:r>
        <w:rPr>
          <w:spacing w:val="-8"/>
        </w:rPr>
        <w:t>暂停结束基金重新开放申购或赎回时，基金管理人应当依照《信息披露办法》的有关规</w:t>
      </w:r>
      <w:r>
        <w:rPr>
          <w:spacing w:val="-10"/>
        </w:rPr>
        <w:t>定指定媒介刊登基金重新开放申购或赎回公告，并在重新开始办理申购或赎回的开放日公告</w:t>
      </w:r>
      <w:r>
        <w:rPr>
          <w:spacing w:val="-5"/>
        </w:rPr>
        <w:t>最近一个工作日的基金份额净值。</w:t>
      </w:r>
    </w:p>
    <w:p>
      <w:pPr>
        <w:pStyle w:val="BodyText"/>
        <w:ind w:left="0"/>
        <w:rPr>
          <w:sz w:val="20"/>
        </w:rPr>
      </w:pPr>
    </w:p>
    <w:p>
      <w:pPr>
        <w:pStyle w:val="BodyText"/>
        <w:spacing w:before="147"/>
        <w:ind w:left="540"/>
      </w:pPr>
      <w:r>
        <w:rPr/>
        <w:t>十三、基金的转换</w:t>
      </w:r>
    </w:p>
    <w:p>
      <w:pPr>
        <w:pStyle w:val="BodyText"/>
        <w:spacing w:line="364" w:lineRule="auto" w:before="138"/>
        <w:ind w:right="311" w:firstLine="419"/>
        <w:jc w:val="both"/>
      </w:pPr>
      <w:r>
        <w:rPr>
          <w:spacing w:val="-10"/>
        </w:rPr>
        <w:t>为方便基金份额持有人，未来在各项技术条件和准备完备的情况下，投资者可以选择在</w:t>
      </w:r>
      <w:r>
        <w:rPr>
          <w:spacing w:val="-9"/>
        </w:rPr>
        <w:t>本基金和本基金管理人管理的其他基金之间进行基金转换。基金转换的数额限制、转换费率</w:t>
      </w:r>
      <w:r>
        <w:rPr>
          <w:spacing w:val="-5"/>
        </w:rPr>
        <w:t>等具体规定可以由基金管理人届时另行规定并公告。</w:t>
      </w:r>
    </w:p>
    <w:p>
      <w:pPr>
        <w:pStyle w:val="BodyText"/>
        <w:ind w:left="0"/>
        <w:rPr>
          <w:sz w:val="20"/>
        </w:rPr>
      </w:pPr>
    </w:p>
    <w:p>
      <w:pPr>
        <w:pStyle w:val="BodyText"/>
        <w:spacing w:before="152"/>
        <w:ind w:left="540"/>
      </w:pPr>
      <w:r>
        <w:rPr/>
        <w:t>十四、转托管</w:t>
      </w:r>
    </w:p>
    <w:p>
      <w:pPr>
        <w:pStyle w:val="BodyText"/>
        <w:spacing w:line="364" w:lineRule="auto" w:before="139"/>
        <w:ind w:right="311" w:firstLine="419"/>
        <w:jc w:val="both"/>
      </w:pPr>
      <w:r>
        <w:rPr>
          <w:spacing w:val="-9"/>
        </w:rPr>
        <w:t>本基金目前实行份额托管的交易制度。投资者可将所持有的基金份额从一个交易账户转</w:t>
      </w:r>
      <w:r>
        <w:rPr>
          <w:spacing w:val="-11"/>
        </w:rPr>
        <w:t>入另一个交易账户进行交易。具体办理方法参照《景顺长城基金管理有限公司开放式基金注</w:t>
      </w:r>
      <w:r>
        <w:rPr>
          <w:spacing w:val="-6"/>
        </w:rPr>
        <w:t>册登记业务规则》的有关规定以及基金代销机构的具体规定。</w:t>
      </w:r>
    </w:p>
    <w:p>
      <w:pPr>
        <w:pStyle w:val="BodyText"/>
        <w:ind w:left="0"/>
        <w:rPr>
          <w:sz w:val="20"/>
        </w:rPr>
      </w:pPr>
    </w:p>
    <w:p>
      <w:pPr>
        <w:pStyle w:val="BodyText"/>
        <w:spacing w:before="152"/>
        <w:ind w:left="540"/>
      </w:pPr>
      <w:r>
        <w:rPr/>
        <w:t>十五、定期定额投资计划</w:t>
      </w:r>
    </w:p>
    <w:p>
      <w:pPr>
        <w:pStyle w:val="BodyText"/>
        <w:spacing w:before="139"/>
        <w:ind w:left="540"/>
      </w:pPr>
      <w:r>
        <w:rPr/>
        <w:t>基金管理人可以为投资者办理定期定额投资计划，具体规则由基金管理人在届时发布公</w:t>
      </w:r>
    </w:p>
    <w:p>
      <w:pPr>
        <w:spacing w:after="0"/>
        <w:sectPr>
          <w:pgSz w:w="11910" w:h="16840"/>
          <w:pgMar w:header="877" w:footer="1195" w:top="1380" w:bottom="1380" w:left="1680" w:right="1480"/>
        </w:sectPr>
      </w:pPr>
    </w:p>
    <w:p>
      <w:pPr>
        <w:pStyle w:val="BodyText"/>
        <w:spacing w:before="61"/>
      </w:pPr>
      <w:r>
        <w:rPr/>
        <w:t>告或更新的招募说明书中确定。</w:t>
      </w:r>
    </w:p>
    <w:p>
      <w:pPr>
        <w:pStyle w:val="BodyText"/>
        <w:ind w:left="0"/>
        <w:rPr>
          <w:sz w:val="20"/>
        </w:rPr>
      </w:pPr>
    </w:p>
    <w:p>
      <w:pPr>
        <w:pStyle w:val="BodyText"/>
        <w:spacing w:before="9"/>
        <w:ind w:left="0"/>
        <w:rPr>
          <w:sz w:val="22"/>
        </w:rPr>
      </w:pPr>
    </w:p>
    <w:p>
      <w:pPr>
        <w:pStyle w:val="BodyText"/>
        <w:ind w:left="540"/>
      </w:pPr>
      <w:r>
        <w:rPr/>
        <w:t>十六、基金的非交易过户</w:t>
      </w:r>
    </w:p>
    <w:p>
      <w:pPr>
        <w:pStyle w:val="BodyText"/>
        <w:spacing w:line="364" w:lineRule="auto" w:before="141"/>
        <w:ind w:right="311" w:firstLine="419"/>
      </w:pPr>
      <w:r>
        <w:rPr>
          <w:spacing w:val="-9"/>
        </w:rPr>
        <w:t>非交易过户是指不采用申购、赎回等基金交易方式，将一定数量的基金份额按照一定规</w:t>
      </w:r>
      <w:r>
        <w:rPr>
          <w:spacing w:val="-5"/>
        </w:rPr>
        <w:t>则从某一投资者基金账户转移到另一投资者基金账户的行为。</w:t>
      </w:r>
    </w:p>
    <w:p>
      <w:pPr>
        <w:pStyle w:val="BodyText"/>
        <w:spacing w:line="364" w:lineRule="auto"/>
        <w:ind w:right="311" w:firstLine="419"/>
        <w:jc w:val="both"/>
      </w:pPr>
      <w:r>
        <w:rPr>
          <w:spacing w:val="-19"/>
        </w:rPr>
        <w:t>基金注册登记人只受理继承、捐赠、司法执行等法律法规允许的非交易过户。其中，“继</w:t>
      </w:r>
      <w:r>
        <w:rPr>
          <w:spacing w:val="-11"/>
          <w:w w:val="100"/>
        </w:rPr>
        <w:t>承”指基金份额持有人死亡，其持有的基金份额由其合法的继承人继承；“捐赠”只受理基</w:t>
      </w:r>
      <w:r>
        <w:rPr>
          <w:spacing w:val="-9"/>
          <w:w w:val="100"/>
        </w:rPr>
        <w:t>金份额持有人将其合法持有的基金份额捐赠给福利性质的基金会或社会团体的情形；“司法</w:t>
      </w:r>
      <w:r>
        <w:rPr>
          <w:spacing w:val="-13"/>
        </w:rPr>
        <w:t>执行”是指司法机构依据生效司法文书将基金份额持有人持有的基金份额强制划转给其他自然人、法人、社会团体或其他组织。无论在上述何种情况下，接受划转的主体应符合相关法</w:t>
      </w:r>
      <w:r>
        <w:rPr>
          <w:spacing w:val="-6"/>
        </w:rPr>
        <w:t>律和基金合同规定的持有本基金份额的条件。办理非交易过户必须提供相关资料。</w:t>
      </w:r>
    </w:p>
    <w:p>
      <w:pPr>
        <w:pStyle w:val="BodyText"/>
        <w:spacing w:line="266" w:lineRule="exact"/>
        <w:ind w:left="540"/>
      </w:pPr>
      <w:r>
        <w:rPr>
          <w:spacing w:val="-3"/>
        </w:rPr>
        <w:t>注册登记人受理上述情况下的非交易过户，其他销售机构不得办理该项业务。</w:t>
      </w:r>
    </w:p>
    <w:p>
      <w:pPr>
        <w:pStyle w:val="BodyText"/>
        <w:spacing w:line="364" w:lineRule="auto" w:before="140"/>
        <w:ind w:right="311" w:firstLine="419"/>
      </w:pPr>
      <w:r>
        <w:rPr>
          <w:spacing w:val="-10"/>
        </w:rPr>
        <w:t>对于符合条件的非交易过户申请按《景顺长城基金管理有限公司开放式基金注册登记业</w:t>
      </w:r>
      <w:r>
        <w:rPr>
          <w:spacing w:val="-5"/>
        </w:rPr>
        <w:t>务规则》的有关规定办理。</w:t>
      </w:r>
    </w:p>
    <w:p>
      <w:pPr>
        <w:pStyle w:val="BodyText"/>
        <w:ind w:left="0"/>
        <w:rPr>
          <w:sz w:val="20"/>
        </w:rPr>
      </w:pPr>
    </w:p>
    <w:p>
      <w:pPr>
        <w:pStyle w:val="BodyText"/>
        <w:spacing w:before="150"/>
        <w:ind w:left="540"/>
      </w:pPr>
      <w:r>
        <w:rPr/>
        <w:t>十七、基金的冻结、解冻及质押</w:t>
      </w:r>
    </w:p>
    <w:p>
      <w:pPr>
        <w:pStyle w:val="BodyText"/>
        <w:spacing w:line="364" w:lineRule="auto" w:before="139"/>
        <w:ind w:right="311" w:firstLine="419"/>
        <w:jc w:val="both"/>
      </w:pPr>
      <w:r>
        <w:rPr>
          <w:spacing w:val="-6"/>
        </w:rPr>
        <w:t>基金注册登记人只受理国家有权机关依法要求的基金账户或基金份额的冻结与解冻。基</w:t>
      </w:r>
      <w:r>
        <w:rPr>
          <w:spacing w:val="-9"/>
        </w:rPr>
        <w:t>金账户或基金份额被冻结的，被冻结部分产生的权益</w:t>
      </w:r>
      <w:r>
        <w:rPr>
          <w:spacing w:val="-3"/>
        </w:rPr>
        <w:t>（包括现金分红和红利再投资</w:t>
      </w:r>
      <w:r>
        <w:rPr>
          <w:spacing w:val="-34"/>
        </w:rPr>
        <w:t>）</w:t>
      </w:r>
      <w:r>
        <w:rPr>
          <w:spacing w:val="-2"/>
        </w:rPr>
        <w:t>一并冻</w:t>
      </w:r>
      <w:r>
        <w:rPr>
          <w:spacing w:val="-10"/>
        </w:rPr>
        <w:t>结，被冻结部分份额仍然参与基金收益分配与支付。具体执行办法由《景顺长城基金管理有</w:t>
      </w:r>
      <w:r>
        <w:rPr>
          <w:spacing w:val="-5"/>
        </w:rPr>
        <w:t>限公司开放式基金注册登记业务规则》约定。</w:t>
      </w:r>
    </w:p>
    <w:p>
      <w:pPr>
        <w:pStyle w:val="BodyText"/>
        <w:spacing w:line="367" w:lineRule="auto"/>
        <w:ind w:right="311" w:firstLine="419"/>
      </w:pPr>
      <w:r>
        <w:rPr>
          <w:spacing w:val="-9"/>
        </w:rPr>
        <w:t>在有关法律法规有明确规定的情况下，基金管理人将可以办理基金份额的质押或其它业</w:t>
      </w:r>
      <w:r>
        <w:rPr>
          <w:spacing w:val="-5"/>
        </w:rPr>
        <w:t>务，并会同注册登记人制定、公布和实施相应的业务规则。</w:t>
      </w:r>
    </w:p>
    <w:p>
      <w:pPr>
        <w:pStyle w:val="BodyText"/>
        <w:ind w:left="0"/>
        <w:rPr>
          <w:sz w:val="20"/>
        </w:rPr>
      </w:pPr>
    </w:p>
    <w:p>
      <w:pPr>
        <w:pStyle w:val="BodyText"/>
        <w:spacing w:before="12"/>
        <w:ind w:left="0"/>
      </w:pPr>
    </w:p>
    <w:p>
      <w:pPr>
        <w:pStyle w:val="Heading1"/>
      </w:pPr>
      <w:bookmarkStart w:name="_bookmark5" w:id="6"/>
      <w:bookmarkEnd w:id="6"/>
      <w:r>
        <w:rPr/>
      </w:r>
      <w:r>
        <w:rPr/>
        <w:t>六、基金合同当事人及权利义务</w:t>
      </w:r>
    </w:p>
    <w:p>
      <w:pPr>
        <w:pStyle w:val="BodyText"/>
        <w:spacing w:before="10"/>
        <w:ind w:left="0"/>
        <w:rPr>
          <w:rFonts w:ascii="黑体"/>
          <w:sz w:val="27"/>
        </w:rPr>
      </w:pPr>
    </w:p>
    <w:p>
      <w:pPr>
        <w:pStyle w:val="BodyText"/>
        <w:ind w:left="540"/>
      </w:pPr>
      <w:r>
        <w:rPr/>
        <w:t>一、基金管理人</w:t>
      </w:r>
    </w:p>
    <w:p>
      <w:pPr>
        <w:pStyle w:val="BodyText"/>
        <w:spacing w:before="139"/>
        <w:ind w:left="540"/>
      </w:pPr>
      <w:r>
        <w:rPr/>
        <w:t>（一）基金管理人简况</w:t>
      </w:r>
    </w:p>
    <w:p>
      <w:pPr>
        <w:pStyle w:val="BodyText"/>
        <w:spacing w:before="139"/>
        <w:ind w:left="540"/>
      </w:pPr>
      <w:r>
        <w:rPr/>
        <w:t>名称：景顺长城基金管理有限公司</w:t>
      </w:r>
    </w:p>
    <w:p>
      <w:pPr>
        <w:pStyle w:val="BodyText"/>
        <w:spacing w:before="142"/>
        <w:ind w:left="540"/>
      </w:pPr>
      <w:r>
        <w:rPr/>
        <w:t>注册地址：深圳市中心四路 1 号嘉里建设广场第 1 座 21 层</w:t>
      </w:r>
    </w:p>
    <w:p>
      <w:pPr>
        <w:pStyle w:val="BodyText"/>
        <w:spacing w:line="364" w:lineRule="auto" w:before="139"/>
        <w:ind w:left="540" w:right="1900"/>
      </w:pPr>
      <w:r>
        <w:rPr/>
        <w:t>英文名称：INVESCO Great Wall Fund Management Company Limited 法定代表人：李进</w:t>
      </w:r>
    </w:p>
    <w:p>
      <w:pPr>
        <w:pStyle w:val="BodyText"/>
        <w:spacing w:line="267" w:lineRule="exact"/>
        <w:ind w:left="540"/>
      </w:pPr>
      <w:r>
        <w:rPr/>
        <w:t>设立时间：2003 年 6 月 12 日</w:t>
      </w:r>
    </w:p>
    <w:p>
      <w:pPr>
        <w:pStyle w:val="BodyText"/>
        <w:spacing w:line="364" w:lineRule="auto" w:before="141"/>
        <w:ind w:left="540" w:right="1792"/>
      </w:pPr>
      <w:r>
        <w:rPr/>
        <w:t>批准设立机关及批准设立文号：中国证监会证监基金字【2003】76 号组织形式：有限责任公司</w:t>
      </w:r>
    </w:p>
    <w:p>
      <w:pPr>
        <w:spacing w:after="0" w:line="364" w:lineRule="auto"/>
        <w:sectPr>
          <w:pgSz w:w="11910" w:h="16840"/>
          <w:pgMar w:header="877" w:footer="1195" w:top="1380" w:bottom="1380" w:left="1680" w:right="1480"/>
        </w:sectPr>
      </w:pPr>
    </w:p>
    <w:p>
      <w:pPr>
        <w:pStyle w:val="BodyText"/>
        <w:spacing w:line="364" w:lineRule="auto" w:before="61"/>
        <w:ind w:left="540" w:right="5681"/>
      </w:pPr>
      <w:r>
        <w:rPr/>
        <w:t>注册资本：1.3 亿元人民币存续期间：持续经营</w:t>
      </w:r>
    </w:p>
    <w:p>
      <w:pPr>
        <w:pStyle w:val="BodyText"/>
        <w:spacing w:line="267" w:lineRule="exact"/>
        <w:ind w:left="540"/>
      </w:pPr>
      <w:r>
        <w:rPr/>
        <w:t>（二）基金管理人的权利与义务</w:t>
      </w:r>
    </w:p>
    <w:p>
      <w:pPr>
        <w:pStyle w:val="BodyText"/>
        <w:spacing w:before="142"/>
        <w:ind w:left="540"/>
      </w:pPr>
      <w:r>
        <w:rPr/>
        <w:t>1、根据《基金法》、《运作办法》及其他有关规定，基金管理人的权利包括但不限于：</w:t>
      </w:r>
    </w:p>
    <w:p>
      <w:pPr>
        <w:pStyle w:val="ListParagraph"/>
        <w:numPr>
          <w:ilvl w:val="1"/>
          <w:numId w:val="2"/>
        </w:numPr>
        <w:tabs>
          <w:tab w:pos="1070" w:val="left" w:leader="none"/>
        </w:tabs>
        <w:spacing w:line="240" w:lineRule="auto" w:before="138" w:after="0"/>
        <w:ind w:left="1069" w:right="0" w:hanging="530"/>
        <w:jc w:val="left"/>
        <w:rPr>
          <w:sz w:val="21"/>
        </w:rPr>
      </w:pPr>
      <w:r>
        <w:rPr>
          <w:spacing w:val="-3"/>
          <w:sz w:val="21"/>
        </w:rPr>
        <w:t>依法募集基金；</w:t>
      </w:r>
    </w:p>
    <w:p>
      <w:pPr>
        <w:pStyle w:val="ListParagraph"/>
        <w:numPr>
          <w:ilvl w:val="1"/>
          <w:numId w:val="2"/>
        </w:numPr>
        <w:tabs>
          <w:tab w:pos="1070" w:val="left" w:leader="none"/>
        </w:tabs>
        <w:spacing w:line="364" w:lineRule="auto" w:before="139" w:after="0"/>
        <w:ind w:left="120" w:right="314" w:firstLine="419"/>
        <w:jc w:val="left"/>
        <w:rPr>
          <w:sz w:val="21"/>
        </w:rPr>
      </w:pPr>
      <w:r>
        <w:rPr>
          <w:spacing w:val="-3"/>
          <w:sz w:val="21"/>
        </w:rPr>
        <w:t>自《基金合同》生效之日起，根据法律法规和《基金合同》独立运用并管理基金财产，包括依照有关规定行使因基金财产投资于证券所产生的权利；</w:t>
      </w:r>
    </w:p>
    <w:p>
      <w:pPr>
        <w:pStyle w:val="ListParagraph"/>
        <w:numPr>
          <w:ilvl w:val="1"/>
          <w:numId w:val="2"/>
        </w:numPr>
        <w:tabs>
          <w:tab w:pos="1070" w:val="left" w:leader="none"/>
        </w:tabs>
        <w:spacing w:line="364" w:lineRule="auto" w:before="1" w:after="0"/>
        <w:ind w:left="120" w:right="314" w:firstLine="419"/>
        <w:jc w:val="left"/>
        <w:rPr>
          <w:sz w:val="21"/>
        </w:rPr>
      </w:pPr>
      <w:r>
        <w:rPr>
          <w:spacing w:val="-3"/>
          <w:sz w:val="21"/>
        </w:rPr>
        <w:t>依《基金合同》约定获得基金管理费、其他法定收入和其他法律法规允许或监管部门批准的约定收入；</w:t>
      </w:r>
    </w:p>
    <w:p>
      <w:pPr>
        <w:pStyle w:val="ListParagraph"/>
        <w:numPr>
          <w:ilvl w:val="1"/>
          <w:numId w:val="2"/>
        </w:numPr>
        <w:tabs>
          <w:tab w:pos="1070" w:val="left" w:leader="none"/>
        </w:tabs>
        <w:spacing w:line="268" w:lineRule="exact" w:before="0" w:after="0"/>
        <w:ind w:left="1069" w:right="0" w:hanging="530"/>
        <w:jc w:val="left"/>
        <w:rPr>
          <w:sz w:val="21"/>
        </w:rPr>
      </w:pPr>
      <w:r>
        <w:rPr>
          <w:spacing w:val="-3"/>
          <w:sz w:val="21"/>
        </w:rPr>
        <w:t>销售基金份额；</w:t>
      </w:r>
    </w:p>
    <w:p>
      <w:pPr>
        <w:pStyle w:val="ListParagraph"/>
        <w:numPr>
          <w:ilvl w:val="1"/>
          <w:numId w:val="2"/>
        </w:numPr>
        <w:tabs>
          <w:tab w:pos="1070" w:val="left" w:leader="none"/>
        </w:tabs>
        <w:spacing w:line="240" w:lineRule="auto" w:before="139" w:after="0"/>
        <w:ind w:left="1069" w:right="0" w:hanging="530"/>
        <w:jc w:val="left"/>
        <w:rPr>
          <w:sz w:val="21"/>
        </w:rPr>
      </w:pPr>
      <w:r>
        <w:rPr>
          <w:spacing w:val="-3"/>
          <w:sz w:val="21"/>
        </w:rPr>
        <w:t>召集基金份额持有人大会；</w:t>
      </w:r>
    </w:p>
    <w:p>
      <w:pPr>
        <w:pStyle w:val="ListParagraph"/>
        <w:numPr>
          <w:ilvl w:val="1"/>
          <w:numId w:val="2"/>
        </w:numPr>
        <w:tabs>
          <w:tab w:pos="1070" w:val="left" w:leader="none"/>
        </w:tabs>
        <w:spacing w:line="364" w:lineRule="auto" w:before="139" w:after="0"/>
        <w:ind w:left="120" w:right="311" w:firstLine="419"/>
        <w:jc w:val="both"/>
        <w:rPr>
          <w:sz w:val="21"/>
        </w:rPr>
      </w:pPr>
      <w:r>
        <w:rPr>
          <w:spacing w:val="-13"/>
          <w:sz w:val="21"/>
        </w:rPr>
        <w:t>依据《基金合同》及有关法律规定监督基金托管人，如认为基金托管人违反了《 基金合同》及国家有关法律规定，应呈报中国证监会和其他监管部门，并采取必要措施保护</w:t>
      </w:r>
      <w:r>
        <w:rPr>
          <w:spacing w:val="-3"/>
          <w:sz w:val="21"/>
        </w:rPr>
        <w:t>基金投资者的利益；</w:t>
      </w:r>
    </w:p>
    <w:p>
      <w:pPr>
        <w:pStyle w:val="ListParagraph"/>
        <w:numPr>
          <w:ilvl w:val="1"/>
          <w:numId w:val="2"/>
        </w:numPr>
        <w:tabs>
          <w:tab w:pos="1070" w:val="left" w:leader="none"/>
        </w:tabs>
        <w:spacing w:line="269" w:lineRule="exact" w:before="0" w:after="0"/>
        <w:ind w:left="1069" w:right="0" w:hanging="530"/>
        <w:jc w:val="left"/>
        <w:rPr>
          <w:sz w:val="21"/>
        </w:rPr>
      </w:pPr>
      <w:r>
        <w:rPr>
          <w:spacing w:val="-3"/>
          <w:sz w:val="21"/>
        </w:rPr>
        <w:t>在基金托管人更换时，提名新的基金托管人；</w:t>
      </w:r>
    </w:p>
    <w:p>
      <w:pPr>
        <w:pStyle w:val="ListParagraph"/>
        <w:numPr>
          <w:ilvl w:val="1"/>
          <w:numId w:val="2"/>
        </w:numPr>
        <w:tabs>
          <w:tab w:pos="1070" w:val="left" w:leader="none"/>
        </w:tabs>
        <w:spacing w:line="240" w:lineRule="auto" w:before="139" w:after="0"/>
        <w:ind w:left="1069" w:right="0" w:hanging="530"/>
        <w:jc w:val="left"/>
        <w:rPr>
          <w:sz w:val="21"/>
        </w:rPr>
      </w:pPr>
      <w:r>
        <w:rPr>
          <w:spacing w:val="-3"/>
          <w:sz w:val="21"/>
        </w:rPr>
        <w:t>选择、委托、更换基金代销机构，对基金代销机构的相关行为进行监督和处理；</w:t>
      </w:r>
    </w:p>
    <w:p>
      <w:pPr>
        <w:pStyle w:val="ListParagraph"/>
        <w:numPr>
          <w:ilvl w:val="1"/>
          <w:numId w:val="2"/>
        </w:numPr>
        <w:tabs>
          <w:tab w:pos="1070" w:val="left" w:leader="none"/>
        </w:tabs>
        <w:spacing w:line="240" w:lineRule="auto" w:before="139" w:after="0"/>
        <w:ind w:left="1069" w:right="0" w:hanging="530"/>
        <w:jc w:val="left"/>
        <w:rPr>
          <w:sz w:val="21"/>
        </w:rPr>
      </w:pPr>
      <w:r>
        <w:rPr>
          <w:spacing w:val="-3"/>
          <w:sz w:val="21"/>
        </w:rPr>
        <w:t>依据《基金合同》及有关法律法规决定基金收益的分配方案；</w:t>
      </w:r>
    </w:p>
    <w:p>
      <w:pPr>
        <w:pStyle w:val="ListParagraph"/>
        <w:numPr>
          <w:ilvl w:val="1"/>
          <w:numId w:val="2"/>
        </w:numPr>
        <w:tabs>
          <w:tab w:pos="1175" w:val="left" w:leader="none"/>
        </w:tabs>
        <w:spacing w:line="240" w:lineRule="auto" w:before="141" w:after="0"/>
        <w:ind w:left="1175" w:right="0" w:hanging="635"/>
        <w:jc w:val="left"/>
        <w:rPr>
          <w:sz w:val="21"/>
        </w:rPr>
      </w:pPr>
      <w:r>
        <w:rPr>
          <w:spacing w:val="-3"/>
          <w:sz w:val="21"/>
        </w:rPr>
        <w:t>在《基金合同》约定的范围内，拒绝或暂停受理申购与赎回申请；</w:t>
      </w:r>
    </w:p>
    <w:p>
      <w:pPr>
        <w:pStyle w:val="ListParagraph"/>
        <w:numPr>
          <w:ilvl w:val="1"/>
          <w:numId w:val="2"/>
        </w:numPr>
        <w:tabs>
          <w:tab w:pos="1175" w:val="left" w:leader="none"/>
        </w:tabs>
        <w:spacing w:line="240" w:lineRule="auto" w:before="139" w:after="0"/>
        <w:ind w:left="1175" w:right="0" w:hanging="635"/>
        <w:jc w:val="left"/>
        <w:rPr>
          <w:sz w:val="21"/>
        </w:rPr>
      </w:pPr>
      <w:r>
        <w:rPr>
          <w:spacing w:val="-19"/>
          <w:sz w:val="21"/>
        </w:rPr>
        <w:t>在符合有关法律法规和《基金合同》的前提下，制订和调整开放式基金业务规则；</w:t>
      </w:r>
    </w:p>
    <w:p>
      <w:pPr>
        <w:pStyle w:val="ListParagraph"/>
        <w:numPr>
          <w:ilvl w:val="1"/>
          <w:numId w:val="2"/>
        </w:numPr>
        <w:tabs>
          <w:tab w:pos="1175" w:val="left" w:leader="none"/>
        </w:tabs>
        <w:spacing w:line="364" w:lineRule="auto" w:before="139" w:after="0"/>
        <w:ind w:left="120" w:right="311" w:firstLine="419"/>
        <w:jc w:val="left"/>
        <w:rPr>
          <w:sz w:val="21"/>
        </w:rPr>
      </w:pPr>
      <w:r>
        <w:rPr>
          <w:spacing w:val="-5"/>
          <w:sz w:val="21"/>
        </w:rPr>
        <w:t>依照法律法规为基金的利益对被投资公司行使股东权利，为基金的利益行使因 </w:t>
      </w:r>
      <w:r>
        <w:rPr>
          <w:spacing w:val="-4"/>
          <w:sz w:val="21"/>
        </w:rPr>
        <w:t>基金财产投资于证券所产生的权利；</w:t>
      </w:r>
    </w:p>
    <w:p>
      <w:pPr>
        <w:pStyle w:val="ListParagraph"/>
        <w:numPr>
          <w:ilvl w:val="1"/>
          <w:numId w:val="2"/>
        </w:numPr>
        <w:tabs>
          <w:tab w:pos="1175" w:val="left" w:leader="none"/>
        </w:tabs>
        <w:spacing w:line="240" w:lineRule="auto" w:before="1" w:after="0"/>
        <w:ind w:left="1175" w:right="0" w:hanging="635"/>
        <w:jc w:val="left"/>
        <w:rPr>
          <w:sz w:val="21"/>
        </w:rPr>
      </w:pPr>
      <w:r>
        <w:rPr>
          <w:spacing w:val="-3"/>
          <w:sz w:val="21"/>
        </w:rPr>
        <w:t>在法律法规允许的前提下，为基金的利益依法为基金进行融资；</w:t>
      </w:r>
    </w:p>
    <w:p>
      <w:pPr>
        <w:pStyle w:val="ListParagraph"/>
        <w:numPr>
          <w:ilvl w:val="1"/>
          <w:numId w:val="2"/>
        </w:numPr>
        <w:tabs>
          <w:tab w:pos="1175" w:val="left" w:leader="none"/>
        </w:tabs>
        <w:spacing w:line="364" w:lineRule="auto" w:before="139" w:after="0"/>
        <w:ind w:left="120" w:right="311" w:firstLine="419"/>
        <w:jc w:val="left"/>
        <w:rPr>
          <w:sz w:val="21"/>
        </w:rPr>
      </w:pPr>
      <w:r>
        <w:rPr>
          <w:spacing w:val="-8"/>
          <w:sz w:val="21"/>
        </w:rPr>
        <w:t>以基金管理人的名义，代表基金份额持有人的利益行使诉讼权利或者实施其他 </w:t>
      </w:r>
      <w:r>
        <w:rPr>
          <w:spacing w:val="-6"/>
          <w:sz w:val="21"/>
        </w:rPr>
        <w:t>法律行为；</w:t>
      </w:r>
    </w:p>
    <w:p>
      <w:pPr>
        <w:pStyle w:val="ListParagraph"/>
        <w:numPr>
          <w:ilvl w:val="1"/>
          <w:numId w:val="2"/>
        </w:numPr>
        <w:tabs>
          <w:tab w:pos="1175" w:val="left" w:leader="none"/>
        </w:tabs>
        <w:spacing w:line="268" w:lineRule="exact" w:before="0" w:after="0"/>
        <w:ind w:left="1175" w:right="0" w:hanging="635"/>
        <w:jc w:val="left"/>
        <w:rPr>
          <w:sz w:val="21"/>
        </w:rPr>
      </w:pPr>
      <w:r>
        <w:rPr>
          <w:spacing w:val="-3"/>
          <w:sz w:val="21"/>
        </w:rPr>
        <w:t>选择、更换律师、审计师、证券经纪商或其他为基金提供服务的外部机构；</w:t>
      </w:r>
    </w:p>
    <w:p>
      <w:pPr>
        <w:pStyle w:val="ListParagraph"/>
        <w:numPr>
          <w:ilvl w:val="1"/>
          <w:numId w:val="2"/>
        </w:numPr>
        <w:tabs>
          <w:tab w:pos="1175" w:val="left" w:leader="none"/>
        </w:tabs>
        <w:spacing w:line="240" w:lineRule="auto" w:before="139" w:after="0"/>
        <w:ind w:left="1175" w:right="0" w:hanging="635"/>
        <w:jc w:val="left"/>
        <w:rPr>
          <w:sz w:val="21"/>
        </w:rPr>
      </w:pPr>
      <w:r>
        <w:rPr>
          <w:spacing w:val="-3"/>
          <w:sz w:val="21"/>
        </w:rPr>
        <w:t>法律法规和《基金合同》规定的其他权利。</w:t>
      </w:r>
    </w:p>
    <w:p>
      <w:pPr>
        <w:pStyle w:val="BodyText"/>
        <w:spacing w:before="141"/>
        <w:ind w:left="540"/>
      </w:pPr>
      <w:r>
        <w:rPr/>
        <w:t>2、根据《基金法》、《运作办法》及其他有关规定，基金管理人的义务包括但不限于：</w:t>
      </w:r>
    </w:p>
    <w:p>
      <w:pPr>
        <w:pStyle w:val="ListParagraph"/>
        <w:numPr>
          <w:ilvl w:val="0"/>
          <w:numId w:val="3"/>
        </w:numPr>
        <w:tabs>
          <w:tab w:pos="1070" w:val="left" w:leader="none"/>
        </w:tabs>
        <w:spacing w:line="240" w:lineRule="auto" w:before="139" w:after="0"/>
        <w:ind w:left="1069" w:right="0" w:hanging="530"/>
        <w:jc w:val="left"/>
        <w:rPr>
          <w:sz w:val="21"/>
        </w:rPr>
      </w:pPr>
      <w:r>
        <w:rPr>
          <w:spacing w:val="-3"/>
          <w:sz w:val="21"/>
        </w:rPr>
        <w:t>办理基金备案手续；</w:t>
      </w:r>
    </w:p>
    <w:p>
      <w:pPr>
        <w:pStyle w:val="ListParagraph"/>
        <w:numPr>
          <w:ilvl w:val="0"/>
          <w:numId w:val="3"/>
        </w:numPr>
        <w:tabs>
          <w:tab w:pos="1070" w:val="left" w:leader="none"/>
        </w:tabs>
        <w:spacing w:line="240" w:lineRule="auto" w:before="139" w:after="0"/>
        <w:ind w:left="1069" w:right="0" w:hanging="530"/>
        <w:jc w:val="left"/>
        <w:rPr>
          <w:sz w:val="21"/>
        </w:rPr>
      </w:pPr>
      <w:r>
        <w:rPr>
          <w:spacing w:val="-3"/>
          <w:sz w:val="21"/>
        </w:rPr>
        <w:t>自基金合同生效之日起,以诚实信用、勤勉尽责的原则管理和运用基金财产；</w:t>
      </w:r>
    </w:p>
    <w:p>
      <w:pPr>
        <w:pStyle w:val="ListParagraph"/>
        <w:numPr>
          <w:ilvl w:val="0"/>
          <w:numId w:val="3"/>
        </w:numPr>
        <w:tabs>
          <w:tab w:pos="1070" w:val="left" w:leader="none"/>
        </w:tabs>
        <w:spacing w:line="364" w:lineRule="auto" w:before="139" w:after="0"/>
        <w:ind w:left="120" w:right="314" w:firstLine="419"/>
        <w:jc w:val="left"/>
        <w:rPr>
          <w:sz w:val="21"/>
        </w:rPr>
      </w:pPr>
      <w:r>
        <w:rPr>
          <w:spacing w:val="-3"/>
          <w:sz w:val="21"/>
        </w:rPr>
        <w:t>配备足够的具有专业资格的人员进行基金投资分析、决策，以专业化的经营方式管理和运作基金财产；</w:t>
      </w:r>
    </w:p>
    <w:p>
      <w:pPr>
        <w:pStyle w:val="ListParagraph"/>
        <w:numPr>
          <w:ilvl w:val="0"/>
          <w:numId w:val="3"/>
        </w:numPr>
        <w:tabs>
          <w:tab w:pos="1070" w:val="left" w:leader="none"/>
        </w:tabs>
        <w:spacing w:line="364" w:lineRule="auto" w:before="0" w:after="0"/>
        <w:ind w:left="120" w:right="311" w:firstLine="419"/>
        <w:jc w:val="both"/>
        <w:rPr>
          <w:sz w:val="21"/>
        </w:rPr>
      </w:pPr>
      <w:r>
        <w:rPr>
          <w:spacing w:val="-3"/>
          <w:sz w:val="21"/>
        </w:rPr>
        <w:t>依法募集基金，办理或者委托经国务院证券监督管理机构认定的其他机构代为办</w:t>
      </w:r>
      <w:r>
        <w:rPr>
          <w:spacing w:val="-6"/>
          <w:sz w:val="21"/>
        </w:rPr>
        <w:t>理基金份额的发售、申购、赎回和登记事宜；如认为基金代销机构违反本《基金合同》、基</w:t>
      </w:r>
      <w:r>
        <w:rPr>
          <w:spacing w:val="-9"/>
          <w:sz w:val="21"/>
        </w:rPr>
        <w:t>金销售与服务代理协议及国家有关法律规定，应呈报中国证监会和其他监管部门，并采取必</w:t>
      </w:r>
    </w:p>
    <w:p>
      <w:pPr>
        <w:spacing w:after="0" w:line="364" w:lineRule="auto"/>
        <w:jc w:val="both"/>
        <w:rPr>
          <w:sz w:val="21"/>
        </w:rPr>
        <w:sectPr>
          <w:pgSz w:w="11910" w:h="16840"/>
          <w:pgMar w:header="877" w:footer="1195" w:top="1380" w:bottom="1380" w:left="1680" w:right="1480"/>
        </w:sectPr>
      </w:pPr>
    </w:p>
    <w:p>
      <w:pPr>
        <w:pStyle w:val="BodyText"/>
        <w:spacing w:before="61"/>
      </w:pPr>
      <w:r>
        <w:rPr/>
        <w:t>要措施保护基金投资者的利益；</w:t>
      </w:r>
    </w:p>
    <w:p>
      <w:pPr>
        <w:pStyle w:val="ListParagraph"/>
        <w:numPr>
          <w:ilvl w:val="0"/>
          <w:numId w:val="3"/>
        </w:numPr>
        <w:tabs>
          <w:tab w:pos="1070" w:val="left" w:leader="none"/>
        </w:tabs>
        <w:spacing w:line="364" w:lineRule="auto" w:before="139" w:after="0"/>
        <w:ind w:left="120" w:right="311" w:firstLine="419"/>
        <w:jc w:val="both"/>
        <w:rPr>
          <w:sz w:val="21"/>
        </w:rPr>
      </w:pPr>
      <w:r>
        <w:rPr>
          <w:spacing w:val="-3"/>
          <w:sz w:val="21"/>
        </w:rPr>
        <w:t>建立健全内部风险控制、监察与稽核、财务管理及人事管理等制度，保证所管理的基金财产和基金管理人的财产相互独立,对所管理的不同基金分别管理，分别记账，进行证券投资；</w:t>
      </w:r>
    </w:p>
    <w:p>
      <w:pPr>
        <w:pStyle w:val="ListParagraph"/>
        <w:numPr>
          <w:ilvl w:val="0"/>
          <w:numId w:val="3"/>
        </w:numPr>
        <w:tabs>
          <w:tab w:pos="1070" w:val="left" w:leader="none"/>
        </w:tabs>
        <w:spacing w:line="364" w:lineRule="auto" w:before="0" w:after="0"/>
        <w:ind w:left="120" w:right="313" w:firstLine="419"/>
        <w:jc w:val="left"/>
        <w:rPr>
          <w:sz w:val="21"/>
        </w:rPr>
      </w:pPr>
      <w:r>
        <w:rPr>
          <w:spacing w:val="-20"/>
          <w:sz w:val="21"/>
        </w:rPr>
        <w:t>除依据《基金法》、《基金合同》及其他有关规定外,不得利用基金资产为自己及 </w:t>
      </w:r>
      <w:r>
        <w:rPr>
          <w:spacing w:val="-3"/>
          <w:sz w:val="21"/>
        </w:rPr>
        <w:t>任何第三人谋取利益，不得委托第三人运作基金财产；</w:t>
      </w:r>
    </w:p>
    <w:p>
      <w:pPr>
        <w:pStyle w:val="ListParagraph"/>
        <w:numPr>
          <w:ilvl w:val="0"/>
          <w:numId w:val="3"/>
        </w:numPr>
        <w:tabs>
          <w:tab w:pos="1070" w:val="left" w:leader="none"/>
        </w:tabs>
        <w:spacing w:line="267" w:lineRule="exact" w:before="0" w:after="0"/>
        <w:ind w:left="1069" w:right="0" w:hanging="530"/>
        <w:jc w:val="left"/>
        <w:rPr>
          <w:sz w:val="21"/>
        </w:rPr>
      </w:pPr>
      <w:r>
        <w:rPr>
          <w:spacing w:val="-3"/>
          <w:sz w:val="21"/>
        </w:rPr>
        <w:t>依法接受基金托管人的监督；</w:t>
      </w:r>
    </w:p>
    <w:p>
      <w:pPr>
        <w:pStyle w:val="ListParagraph"/>
        <w:numPr>
          <w:ilvl w:val="0"/>
          <w:numId w:val="3"/>
        </w:numPr>
        <w:tabs>
          <w:tab w:pos="1070" w:val="left" w:leader="none"/>
        </w:tabs>
        <w:spacing w:line="364" w:lineRule="auto" w:before="141" w:after="0"/>
        <w:ind w:left="120" w:right="311" w:firstLine="419"/>
        <w:jc w:val="both"/>
        <w:rPr>
          <w:sz w:val="21"/>
        </w:rPr>
      </w:pPr>
      <w:r>
        <w:rPr>
          <w:spacing w:val="-11"/>
          <w:sz w:val="21"/>
        </w:rPr>
        <w:t>采取适当合理的措施使计算基金份额认购、申购、赎回和注销价格的方法符合《 </w:t>
      </w:r>
      <w:r>
        <w:rPr>
          <w:spacing w:val="-13"/>
          <w:sz w:val="21"/>
        </w:rPr>
        <w:t>基金合同》等法律文件的规定，按有关规定计算并公告基金净值信息，确定基金份额申购、</w:t>
      </w:r>
      <w:r>
        <w:rPr>
          <w:spacing w:val="-1"/>
          <w:sz w:val="21"/>
        </w:rPr>
        <w:t>赎回的价格；</w:t>
      </w:r>
    </w:p>
    <w:p>
      <w:pPr>
        <w:pStyle w:val="ListParagraph"/>
        <w:numPr>
          <w:ilvl w:val="0"/>
          <w:numId w:val="3"/>
        </w:numPr>
        <w:tabs>
          <w:tab w:pos="1070" w:val="left" w:leader="none"/>
        </w:tabs>
        <w:spacing w:line="267" w:lineRule="exact" w:before="0" w:after="0"/>
        <w:ind w:left="1069" w:right="0" w:hanging="530"/>
        <w:jc w:val="left"/>
        <w:rPr>
          <w:sz w:val="21"/>
        </w:rPr>
      </w:pPr>
      <w:r>
        <w:rPr>
          <w:spacing w:val="-3"/>
          <w:sz w:val="21"/>
        </w:rPr>
        <w:t>进行基金会计核算并编制基金财务会计报告；</w:t>
      </w:r>
    </w:p>
    <w:p>
      <w:pPr>
        <w:pStyle w:val="ListParagraph"/>
        <w:numPr>
          <w:ilvl w:val="0"/>
          <w:numId w:val="3"/>
        </w:numPr>
        <w:tabs>
          <w:tab w:pos="1175" w:val="left" w:leader="none"/>
        </w:tabs>
        <w:spacing w:line="240" w:lineRule="auto" w:before="139" w:after="0"/>
        <w:ind w:left="1175" w:right="0" w:hanging="635"/>
        <w:jc w:val="left"/>
        <w:rPr>
          <w:sz w:val="21"/>
        </w:rPr>
      </w:pPr>
      <w:r>
        <w:rPr>
          <w:spacing w:val="-3"/>
          <w:sz w:val="21"/>
        </w:rPr>
        <w:t>编制季度报告、中期报告和年度报告；</w:t>
      </w:r>
    </w:p>
    <w:p>
      <w:pPr>
        <w:pStyle w:val="ListParagraph"/>
        <w:numPr>
          <w:ilvl w:val="0"/>
          <w:numId w:val="3"/>
        </w:numPr>
        <w:tabs>
          <w:tab w:pos="1175" w:val="left" w:leader="none"/>
        </w:tabs>
        <w:spacing w:line="240" w:lineRule="auto" w:before="141" w:after="0"/>
        <w:ind w:left="1175" w:right="0" w:hanging="635"/>
        <w:jc w:val="left"/>
        <w:rPr>
          <w:sz w:val="21"/>
        </w:rPr>
      </w:pPr>
      <w:r>
        <w:rPr>
          <w:spacing w:val="-17"/>
          <w:sz w:val="21"/>
        </w:rPr>
        <w:t>严格按照《基金法》、《基金合同》及其他有关规定，履行信息披露及报告义务；</w:t>
      </w:r>
    </w:p>
    <w:p>
      <w:pPr>
        <w:pStyle w:val="ListParagraph"/>
        <w:numPr>
          <w:ilvl w:val="0"/>
          <w:numId w:val="3"/>
        </w:numPr>
        <w:tabs>
          <w:tab w:pos="1175" w:val="left" w:leader="none"/>
        </w:tabs>
        <w:spacing w:line="364" w:lineRule="auto" w:before="139" w:after="0"/>
        <w:ind w:left="120" w:right="314" w:firstLine="419"/>
        <w:jc w:val="left"/>
        <w:rPr>
          <w:sz w:val="21"/>
        </w:rPr>
      </w:pPr>
      <w:r>
        <w:rPr>
          <w:spacing w:val="-12"/>
          <w:sz w:val="21"/>
        </w:rPr>
        <w:t>保守基金商业秘密，不泄露基金投资计划、投资意向等。除《基金法》</w:t>
      </w:r>
      <w:r>
        <w:rPr>
          <w:spacing w:val="-33"/>
          <w:sz w:val="21"/>
        </w:rPr>
        <w:t>、《基金 </w:t>
      </w:r>
      <w:r>
        <w:rPr>
          <w:spacing w:val="-3"/>
          <w:sz w:val="21"/>
        </w:rPr>
        <w:t>合同》及其他有关规定另有规定外，在基金信息公开披露前应予保密，不向他人泄露；</w:t>
      </w:r>
    </w:p>
    <w:p>
      <w:pPr>
        <w:pStyle w:val="ListParagraph"/>
        <w:numPr>
          <w:ilvl w:val="0"/>
          <w:numId w:val="3"/>
        </w:numPr>
        <w:tabs>
          <w:tab w:pos="1175" w:val="left" w:leader="none"/>
        </w:tabs>
        <w:spacing w:line="267" w:lineRule="exact" w:before="0" w:after="0"/>
        <w:ind w:left="1175" w:right="0" w:hanging="635"/>
        <w:jc w:val="left"/>
        <w:rPr>
          <w:sz w:val="21"/>
        </w:rPr>
      </w:pPr>
      <w:r>
        <w:rPr>
          <w:spacing w:val="-3"/>
          <w:sz w:val="21"/>
        </w:rPr>
        <w:t>按《基金合同》规定向基金份额持有人分配基金收益；</w:t>
      </w:r>
    </w:p>
    <w:p>
      <w:pPr>
        <w:pStyle w:val="ListParagraph"/>
        <w:numPr>
          <w:ilvl w:val="0"/>
          <w:numId w:val="3"/>
        </w:numPr>
        <w:tabs>
          <w:tab w:pos="1175" w:val="left" w:leader="none"/>
        </w:tabs>
        <w:spacing w:line="240" w:lineRule="auto" w:before="140" w:after="0"/>
        <w:ind w:left="1175" w:right="0" w:hanging="635"/>
        <w:jc w:val="left"/>
        <w:rPr>
          <w:sz w:val="21"/>
        </w:rPr>
      </w:pPr>
      <w:r>
        <w:rPr>
          <w:spacing w:val="-3"/>
          <w:sz w:val="21"/>
        </w:rPr>
        <w:t>按规定受理申购与赎回申请，及时、足额支付赎回款项；</w:t>
      </w:r>
    </w:p>
    <w:p>
      <w:pPr>
        <w:pStyle w:val="ListParagraph"/>
        <w:numPr>
          <w:ilvl w:val="0"/>
          <w:numId w:val="3"/>
        </w:numPr>
        <w:tabs>
          <w:tab w:pos="1175" w:val="left" w:leader="none"/>
        </w:tabs>
        <w:spacing w:line="364" w:lineRule="auto" w:before="141" w:after="0"/>
        <w:ind w:left="120" w:right="311" w:firstLine="419"/>
        <w:jc w:val="both"/>
        <w:rPr>
          <w:sz w:val="21"/>
        </w:rPr>
      </w:pPr>
      <w:r>
        <w:rPr>
          <w:spacing w:val="-15"/>
          <w:sz w:val="21"/>
        </w:rPr>
        <w:t>依据《基金法》、 基金合同》及其他有关规定召集基金份额持有人大会或配合</w:t>
      </w:r>
      <w:r>
        <w:rPr>
          <w:spacing w:val="-3"/>
          <w:sz w:val="21"/>
        </w:rPr>
        <w:t>基金托管人、基金份额持有人依法召集基金份额持有人大会；</w:t>
      </w:r>
    </w:p>
    <w:p>
      <w:pPr>
        <w:pStyle w:val="ListParagraph"/>
        <w:numPr>
          <w:ilvl w:val="0"/>
          <w:numId w:val="3"/>
        </w:numPr>
        <w:tabs>
          <w:tab w:pos="1175" w:val="left" w:leader="none"/>
        </w:tabs>
        <w:spacing w:line="364" w:lineRule="auto" w:before="0" w:after="0"/>
        <w:ind w:left="120" w:right="316" w:firstLine="419"/>
        <w:jc w:val="both"/>
        <w:rPr>
          <w:sz w:val="21"/>
        </w:rPr>
      </w:pPr>
      <w:r>
        <w:rPr>
          <w:spacing w:val="-2"/>
          <w:sz w:val="21"/>
        </w:rPr>
        <w:t>按规定保存基金财产管理业务活动的会计账册、报表、记录和其他相关资料 </w:t>
      </w:r>
      <w:r>
        <w:rPr>
          <w:spacing w:val="-3"/>
          <w:sz w:val="21"/>
        </w:rPr>
        <w:t>15 </w:t>
      </w:r>
      <w:r>
        <w:rPr>
          <w:spacing w:val="-1"/>
          <w:sz w:val="21"/>
        </w:rPr>
        <w:t>年以上；</w:t>
      </w:r>
    </w:p>
    <w:p>
      <w:pPr>
        <w:pStyle w:val="ListParagraph"/>
        <w:numPr>
          <w:ilvl w:val="0"/>
          <w:numId w:val="3"/>
        </w:numPr>
        <w:tabs>
          <w:tab w:pos="1175" w:val="left" w:leader="none"/>
        </w:tabs>
        <w:spacing w:line="364" w:lineRule="auto" w:before="0" w:after="0"/>
        <w:ind w:left="120" w:right="311" w:firstLine="419"/>
        <w:jc w:val="both"/>
        <w:rPr>
          <w:sz w:val="21"/>
        </w:rPr>
      </w:pPr>
      <w:r>
        <w:rPr>
          <w:spacing w:val="-5"/>
          <w:sz w:val="21"/>
        </w:rPr>
        <w:t>确保需要向基金投资者提供的各项文件或资料在规定时间发出，并且保证投资 </w:t>
      </w:r>
      <w:r>
        <w:rPr>
          <w:spacing w:val="-11"/>
          <w:sz w:val="21"/>
        </w:rPr>
        <w:t>者能够按照《基金合同》规定的时间和方式，随时查阅到与基金有关的公开资料，并在支付</w:t>
      </w:r>
      <w:r>
        <w:rPr>
          <w:spacing w:val="-7"/>
          <w:sz w:val="21"/>
        </w:rPr>
        <w:t>合理成本的条件下得到有关资料的复印件；</w:t>
      </w:r>
    </w:p>
    <w:p>
      <w:pPr>
        <w:pStyle w:val="ListParagraph"/>
        <w:numPr>
          <w:ilvl w:val="0"/>
          <w:numId w:val="3"/>
        </w:numPr>
        <w:tabs>
          <w:tab w:pos="1175" w:val="left" w:leader="none"/>
        </w:tabs>
        <w:spacing w:line="267" w:lineRule="exact" w:before="0" w:after="0"/>
        <w:ind w:left="1175" w:right="0" w:hanging="635"/>
        <w:jc w:val="left"/>
        <w:rPr>
          <w:sz w:val="21"/>
        </w:rPr>
      </w:pPr>
      <w:r>
        <w:rPr>
          <w:spacing w:val="-9"/>
          <w:sz w:val="21"/>
        </w:rPr>
        <w:t>组织并参加基金财产清算小组,参与基金财产的保管、清理、估价、变现和分配；</w:t>
      </w:r>
    </w:p>
    <w:p>
      <w:pPr>
        <w:pStyle w:val="ListParagraph"/>
        <w:numPr>
          <w:ilvl w:val="0"/>
          <w:numId w:val="3"/>
        </w:numPr>
        <w:tabs>
          <w:tab w:pos="1173" w:val="left" w:leader="none"/>
        </w:tabs>
        <w:spacing w:line="367" w:lineRule="auto" w:before="137" w:after="0"/>
        <w:ind w:left="120" w:right="311" w:firstLine="419"/>
        <w:jc w:val="left"/>
        <w:rPr>
          <w:sz w:val="21"/>
        </w:rPr>
      </w:pPr>
      <w:r>
        <w:rPr>
          <w:spacing w:val="-10"/>
          <w:sz w:val="21"/>
        </w:rPr>
        <w:t>面临解散、依法被撤销或者被依法宣告破产时，及时报告中国证监会并通知基 </w:t>
      </w:r>
      <w:r>
        <w:rPr>
          <w:spacing w:val="-8"/>
          <w:sz w:val="21"/>
        </w:rPr>
        <w:t>金托管人；</w:t>
      </w:r>
    </w:p>
    <w:p>
      <w:pPr>
        <w:pStyle w:val="ListParagraph"/>
        <w:numPr>
          <w:ilvl w:val="0"/>
          <w:numId w:val="3"/>
        </w:numPr>
        <w:tabs>
          <w:tab w:pos="1175" w:val="left" w:leader="none"/>
        </w:tabs>
        <w:spacing w:line="364" w:lineRule="auto" w:before="0" w:after="0"/>
        <w:ind w:left="120" w:right="311" w:firstLine="419"/>
        <w:jc w:val="left"/>
        <w:rPr>
          <w:sz w:val="21"/>
        </w:rPr>
      </w:pPr>
      <w:r>
        <w:rPr>
          <w:spacing w:val="-10"/>
          <w:sz w:val="21"/>
        </w:rPr>
        <w:t>因违反《基金合同》导致基金财产的损失或损害基金份额持有人合法权益时， </w:t>
      </w:r>
      <w:r>
        <w:rPr>
          <w:spacing w:val="-3"/>
          <w:sz w:val="21"/>
        </w:rPr>
        <w:t>应当承担赔偿责任，其赔偿责任不因其退任而免除；</w:t>
      </w:r>
    </w:p>
    <w:p>
      <w:pPr>
        <w:pStyle w:val="ListParagraph"/>
        <w:numPr>
          <w:ilvl w:val="0"/>
          <w:numId w:val="3"/>
        </w:numPr>
        <w:tabs>
          <w:tab w:pos="1175" w:val="left" w:leader="none"/>
        </w:tabs>
        <w:spacing w:line="364" w:lineRule="auto" w:before="0" w:after="0"/>
        <w:ind w:left="120" w:right="311" w:firstLine="419"/>
        <w:jc w:val="left"/>
        <w:rPr>
          <w:sz w:val="21"/>
        </w:rPr>
      </w:pPr>
      <w:r>
        <w:rPr>
          <w:spacing w:val="-5"/>
          <w:sz w:val="21"/>
        </w:rPr>
        <w:t>监督基金托管人按法律法规和合同规定履行自己的义务，基金托管人违反基金 </w:t>
      </w:r>
      <w:r>
        <w:rPr>
          <w:spacing w:val="-4"/>
          <w:sz w:val="21"/>
        </w:rPr>
        <w:t>合同造成基金财产损失时，基金管理人应为基金份额持有人利益向基金托管人追偿；</w:t>
      </w:r>
    </w:p>
    <w:p>
      <w:pPr>
        <w:pStyle w:val="ListParagraph"/>
        <w:numPr>
          <w:ilvl w:val="0"/>
          <w:numId w:val="3"/>
        </w:numPr>
        <w:tabs>
          <w:tab w:pos="1173" w:val="left" w:leader="none"/>
        </w:tabs>
        <w:spacing w:line="240" w:lineRule="auto" w:before="0" w:after="0"/>
        <w:ind w:left="1172" w:right="0" w:hanging="633"/>
        <w:jc w:val="left"/>
        <w:rPr>
          <w:sz w:val="21"/>
        </w:rPr>
      </w:pPr>
      <w:r>
        <w:rPr>
          <w:spacing w:val="-12"/>
          <w:sz w:val="21"/>
        </w:rPr>
        <w:t>以基金管理人名义，代表基金份额持有人利益行使诉讼权利或实施其他法律行为；</w:t>
      </w:r>
    </w:p>
    <w:p>
      <w:pPr>
        <w:pStyle w:val="ListParagraph"/>
        <w:numPr>
          <w:ilvl w:val="0"/>
          <w:numId w:val="3"/>
        </w:numPr>
        <w:tabs>
          <w:tab w:pos="1175" w:val="left" w:leader="none"/>
        </w:tabs>
        <w:spacing w:line="364" w:lineRule="auto" w:before="133" w:after="0"/>
        <w:ind w:left="120" w:right="313" w:firstLine="419"/>
        <w:jc w:val="left"/>
        <w:rPr>
          <w:sz w:val="21"/>
        </w:rPr>
      </w:pPr>
      <w:r>
        <w:rPr>
          <w:spacing w:val="-8"/>
          <w:sz w:val="21"/>
        </w:rPr>
        <w:t>基金管理人在募集期间未能达到基金的备案条件，《基金合同》不能生效，基金</w:t>
      </w:r>
      <w:r>
        <w:rPr>
          <w:spacing w:val="-12"/>
          <w:sz w:val="21"/>
        </w:rPr>
        <w:t>管理人承担全部募集费用，将已募集资金并加计银行同期存款利息在募集期结束后 </w:t>
      </w:r>
      <w:r>
        <w:rPr>
          <w:sz w:val="21"/>
        </w:rPr>
        <w:t>30</w:t>
      </w:r>
      <w:r>
        <w:rPr>
          <w:spacing w:val="4"/>
          <w:sz w:val="21"/>
        </w:rPr>
        <w:t> 天内</w:t>
      </w:r>
    </w:p>
    <w:p>
      <w:pPr>
        <w:spacing w:after="0" w:line="364" w:lineRule="auto"/>
        <w:jc w:val="left"/>
        <w:rPr>
          <w:sz w:val="21"/>
        </w:rPr>
        <w:sectPr>
          <w:pgSz w:w="11910" w:h="16840"/>
          <w:pgMar w:header="877" w:footer="1195" w:top="1380" w:bottom="1380" w:left="1680" w:right="1480"/>
        </w:sectPr>
      </w:pPr>
    </w:p>
    <w:p>
      <w:pPr>
        <w:pStyle w:val="BodyText"/>
        <w:spacing w:before="61"/>
      </w:pPr>
      <w:r>
        <w:rPr/>
        <w:t>退还基金认购人；</w:t>
      </w:r>
    </w:p>
    <w:p>
      <w:pPr>
        <w:pStyle w:val="ListParagraph"/>
        <w:numPr>
          <w:ilvl w:val="0"/>
          <w:numId w:val="3"/>
        </w:numPr>
        <w:tabs>
          <w:tab w:pos="1175" w:val="left" w:leader="none"/>
        </w:tabs>
        <w:spacing w:line="240" w:lineRule="auto" w:before="139" w:after="0"/>
        <w:ind w:left="1175" w:right="0" w:hanging="635"/>
        <w:jc w:val="left"/>
        <w:rPr>
          <w:sz w:val="21"/>
        </w:rPr>
      </w:pPr>
      <w:r>
        <w:rPr>
          <w:spacing w:val="-3"/>
          <w:sz w:val="21"/>
        </w:rPr>
        <w:t>执行生效的基金份额持有人大会的决定；</w:t>
      </w:r>
    </w:p>
    <w:p>
      <w:pPr>
        <w:pStyle w:val="ListParagraph"/>
        <w:numPr>
          <w:ilvl w:val="0"/>
          <w:numId w:val="3"/>
        </w:numPr>
        <w:tabs>
          <w:tab w:pos="1175" w:val="left" w:leader="none"/>
        </w:tabs>
        <w:spacing w:line="240" w:lineRule="auto" w:before="139" w:after="0"/>
        <w:ind w:left="1175" w:right="0" w:hanging="635"/>
        <w:jc w:val="left"/>
        <w:rPr>
          <w:sz w:val="21"/>
        </w:rPr>
      </w:pPr>
      <w:r>
        <w:rPr>
          <w:spacing w:val="-3"/>
          <w:sz w:val="21"/>
        </w:rPr>
        <w:t>法律法规和《基金合同》规定的其他义务。</w:t>
      </w:r>
    </w:p>
    <w:p>
      <w:pPr>
        <w:pStyle w:val="BodyText"/>
        <w:ind w:left="0"/>
        <w:rPr>
          <w:sz w:val="20"/>
        </w:rPr>
      </w:pPr>
    </w:p>
    <w:p>
      <w:pPr>
        <w:pStyle w:val="BodyText"/>
        <w:spacing w:before="11"/>
        <w:ind w:left="0"/>
        <w:rPr>
          <w:sz w:val="22"/>
        </w:rPr>
      </w:pPr>
    </w:p>
    <w:p>
      <w:pPr>
        <w:pStyle w:val="BodyText"/>
        <w:ind w:left="540"/>
      </w:pPr>
      <w:r>
        <w:rPr/>
        <w:t>二、基金托管人</w:t>
      </w:r>
    </w:p>
    <w:p>
      <w:pPr>
        <w:pStyle w:val="BodyText"/>
        <w:spacing w:before="139"/>
        <w:ind w:left="540"/>
      </w:pPr>
      <w:r>
        <w:rPr/>
        <w:t>（一）基金托管人简况</w:t>
      </w:r>
    </w:p>
    <w:p>
      <w:pPr>
        <w:pStyle w:val="BodyText"/>
        <w:spacing w:before="139"/>
        <w:ind w:left="540"/>
      </w:pPr>
      <w:r>
        <w:rPr/>
        <w:t>名称：中国工商银行股份有限公司</w:t>
      </w:r>
    </w:p>
    <w:p>
      <w:pPr>
        <w:pStyle w:val="BodyText"/>
        <w:spacing w:line="364" w:lineRule="auto" w:before="142"/>
        <w:ind w:left="540" w:right="3998"/>
        <w:rPr>
          <w:sz w:val="20"/>
        </w:rPr>
      </w:pPr>
      <w:r>
        <w:rPr/>
        <w:t>注册地址：北京市西城区复兴门内大街 55 号法定代表人：</w:t>
      </w:r>
      <w:r>
        <w:rPr>
          <w:sz w:val="20"/>
        </w:rPr>
        <w:t>陈四清</w:t>
      </w:r>
    </w:p>
    <w:p>
      <w:pPr>
        <w:pStyle w:val="BodyText"/>
        <w:spacing w:line="268" w:lineRule="exact"/>
        <w:ind w:left="540"/>
      </w:pPr>
      <w:r>
        <w:rPr/>
        <w:t>成立时间：1985 年 11 月 22 日</w:t>
      </w:r>
    </w:p>
    <w:p>
      <w:pPr>
        <w:pStyle w:val="BodyText"/>
        <w:spacing w:line="364" w:lineRule="auto" w:before="138"/>
        <w:ind w:right="311" w:firstLine="419"/>
      </w:pPr>
      <w:r>
        <w:rPr>
          <w:spacing w:val="-4"/>
        </w:rPr>
        <w:t>批准设立机关和设立文号：</w:t>
      </w:r>
      <w:r>
        <w:rPr>
          <w:spacing w:val="-10"/>
        </w:rPr>
        <w:t>1983</w:t>
      </w:r>
      <w:r>
        <w:rPr>
          <w:spacing w:val="5"/>
        </w:rPr>
        <w:t> 年 </w:t>
      </w:r>
      <w:r>
        <w:rPr/>
        <w:t>9</w:t>
      </w:r>
      <w:r>
        <w:rPr>
          <w:spacing w:val="4"/>
        </w:rPr>
        <w:t> 月 </w:t>
      </w:r>
      <w:r>
        <w:rPr/>
        <w:t>17</w:t>
      </w:r>
      <w:r>
        <w:rPr>
          <w:spacing w:val="-8"/>
        </w:rPr>
        <w:t> 日国务院《关于中国人民银行专门行使中</w:t>
      </w:r>
      <w:r>
        <w:rPr>
          <w:spacing w:val="-17"/>
        </w:rPr>
        <w:t>央银行职能的决定》</w:t>
      </w:r>
      <w:r>
        <w:rPr/>
        <w:t>（</w:t>
      </w:r>
      <w:r>
        <w:rPr>
          <w:spacing w:val="-3"/>
        </w:rPr>
        <w:t>国发</w:t>
      </w:r>
      <w:r>
        <w:rPr/>
        <w:t>[1983]146</w:t>
      </w:r>
      <w:r>
        <w:rPr>
          <w:spacing w:val="-1"/>
        </w:rPr>
        <w:t> 号</w:t>
      </w:r>
      <w:r>
        <w:rPr/>
        <w:t>）</w:t>
      </w:r>
    </w:p>
    <w:p>
      <w:pPr>
        <w:pStyle w:val="BodyText"/>
        <w:spacing w:line="364" w:lineRule="auto" w:before="1"/>
        <w:ind w:left="540" w:right="4421"/>
      </w:pPr>
      <w:r>
        <w:rPr>
          <w:spacing w:val="-9"/>
        </w:rPr>
        <w:t>注册资本：人民币 </w:t>
      </w:r>
      <w:r>
        <w:rPr/>
        <w:t>35,640,625.7089</w:t>
      </w:r>
      <w:r>
        <w:rPr>
          <w:spacing w:val="-22"/>
        </w:rPr>
        <w:t> 万元</w:t>
      </w:r>
      <w:r>
        <w:rPr>
          <w:spacing w:val="-3"/>
        </w:rPr>
        <w:t>存续期间：持续经营</w:t>
      </w:r>
    </w:p>
    <w:p>
      <w:pPr>
        <w:pStyle w:val="BodyText"/>
        <w:spacing w:line="267" w:lineRule="exact"/>
        <w:ind w:left="540"/>
      </w:pPr>
      <w:r>
        <w:rPr/>
        <w:t>基金托管资格批文及文号：中国证监会和中国人民银行证监基字【1998】3 号</w:t>
      </w:r>
    </w:p>
    <w:p>
      <w:pPr>
        <w:pStyle w:val="BodyText"/>
        <w:spacing w:before="139"/>
        <w:ind w:left="540"/>
      </w:pPr>
      <w:r>
        <w:rPr/>
        <w:t>（二）基金托管人的权利与义务</w:t>
      </w:r>
    </w:p>
    <w:p>
      <w:pPr>
        <w:pStyle w:val="BodyText"/>
        <w:spacing w:before="139"/>
        <w:ind w:left="540"/>
      </w:pPr>
      <w:r>
        <w:rPr/>
        <w:t>1、根据《基金法》、《运作办法》及其他有关规定，基金托管人的权利包括但不限于：</w:t>
      </w:r>
    </w:p>
    <w:p>
      <w:pPr>
        <w:pStyle w:val="ListParagraph"/>
        <w:numPr>
          <w:ilvl w:val="0"/>
          <w:numId w:val="4"/>
        </w:numPr>
        <w:tabs>
          <w:tab w:pos="1070" w:val="left" w:leader="none"/>
        </w:tabs>
        <w:spacing w:line="240" w:lineRule="auto" w:before="141" w:after="0"/>
        <w:ind w:left="1069" w:right="0" w:hanging="530"/>
        <w:jc w:val="left"/>
        <w:rPr>
          <w:sz w:val="21"/>
        </w:rPr>
      </w:pPr>
      <w:r>
        <w:rPr>
          <w:spacing w:val="-13"/>
          <w:sz w:val="21"/>
        </w:rPr>
        <w:t>自本基金合同生效之日起，依法律法规和《基金合同》的规定安全保管基金资产；</w:t>
      </w:r>
    </w:p>
    <w:p>
      <w:pPr>
        <w:pStyle w:val="ListParagraph"/>
        <w:numPr>
          <w:ilvl w:val="0"/>
          <w:numId w:val="4"/>
        </w:numPr>
        <w:tabs>
          <w:tab w:pos="1070" w:val="left" w:leader="none"/>
        </w:tabs>
        <w:spacing w:line="364" w:lineRule="auto" w:before="139" w:after="0"/>
        <w:ind w:left="120" w:right="314" w:firstLine="419"/>
        <w:jc w:val="left"/>
        <w:rPr>
          <w:sz w:val="21"/>
        </w:rPr>
      </w:pPr>
      <w:r>
        <w:rPr>
          <w:spacing w:val="-3"/>
          <w:sz w:val="21"/>
        </w:rPr>
        <w:t>依《基金合同》约定获得基金托管费、其他法定收入和其他法律法规允许或监管部门批准的约定收入；</w:t>
      </w:r>
    </w:p>
    <w:p>
      <w:pPr>
        <w:pStyle w:val="ListParagraph"/>
        <w:numPr>
          <w:ilvl w:val="0"/>
          <w:numId w:val="4"/>
        </w:numPr>
        <w:tabs>
          <w:tab w:pos="1070" w:val="left" w:leader="none"/>
        </w:tabs>
        <w:spacing w:line="367" w:lineRule="auto" w:before="0" w:after="0"/>
        <w:ind w:left="120" w:right="314" w:firstLine="419"/>
        <w:jc w:val="left"/>
        <w:rPr>
          <w:sz w:val="21"/>
        </w:rPr>
      </w:pPr>
      <w:r>
        <w:rPr>
          <w:spacing w:val="-3"/>
          <w:sz w:val="21"/>
        </w:rPr>
        <w:t>监督基金管理人对本基金的投资运作，如发现基金管理人有违反《基金合同》及国家法律法规行为，应呈报中国证监会，并采取必要措施保护基金投资者的利益；</w:t>
      </w:r>
    </w:p>
    <w:p>
      <w:pPr>
        <w:pStyle w:val="ListParagraph"/>
        <w:numPr>
          <w:ilvl w:val="0"/>
          <w:numId w:val="4"/>
        </w:numPr>
        <w:tabs>
          <w:tab w:pos="1070" w:val="left" w:leader="none"/>
        </w:tabs>
        <w:spacing w:line="364" w:lineRule="auto" w:before="0" w:after="0"/>
        <w:ind w:left="120" w:right="314" w:firstLine="419"/>
        <w:jc w:val="left"/>
        <w:rPr>
          <w:sz w:val="21"/>
        </w:rPr>
      </w:pPr>
      <w:r>
        <w:rPr>
          <w:spacing w:val="-3"/>
          <w:sz w:val="21"/>
        </w:rPr>
        <w:t>以基金托管人和基金联名的方式在中国证券登记结算有限公司上海分公司和深圳分公司开设证券账户；</w:t>
      </w:r>
    </w:p>
    <w:p>
      <w:pPr>
        <w:pStyle w:val="ListParagraph"/>
        <w:numPr>
          <w:ilvl w:val="0"/>
          <w:numId w:val="4"/>
        </w:numPr>
        <w:tabs>
          <w:tab w:pos="1070" w:val="left" w:leader="none"/>
        </w:tabs>
        <w:spacing w:line="268" w:lineRule="exact" w:before="0" w:after="0"/>
        <w:ind w:left="1069" w:right="0" w:hanging="530"/>
        <w:jc w:val="left"/>
        <w:rPr>
          <w:sz w:val="21"/>
        </w:rPr>
      </w:pPr>
      <w:r>
        <w:rPr>
          <w:spacing w:val="-3"/>
          <w:sz w:val="21"/>
        </w:rPr>
        <w:t>以基金托管人名义开立证券交易资金账户，用于证券交易资金清算；</w:t>
      </w:r>
    </w:p>
    <w:p>
      <w:pPr>
        <w:pStyle w:val="ListParagraph"/>
        <w:numPr>
          <w:ilvl w:val="0"/>
          <w:numId w:val="4"/>
        </w:numPr>
        <w:tabs>
          <w:tab w:pos="1070" w:val="left" w:leader="none"/>
        </w:tabs>
        <w:spacing w:line="367" w:lineRule="auto" w:before="132" w:after="0"/>
        <w:ind w:left="120" w:right="314" w:firstLine="419"/>
        <w:jc w:val="left"/>
        <w:rPr>
          <w:sz w:val="21"/>
        </w:rPr>
      </w:pPr>
      <w:r>
        <w:rPr>
          <w:spacing w:val="-3"/>
          <w:sz w:val="21"/>
        </w:rPr>
        <w:t>以基金的名义在中央国债登记结算有限公司开设银行间债券托管账户，负责基金的债券及资金的清算；</w:t>
      </w:r>
    </w:p>
    <w:p>
      <w:pPr>
        <w:pStyle w:val="ListParagraph"/>
        <w:numPr>
          <w:ilvl w:val="0"/>
          <w:numId w:val="4"/>
        </w:numPr>
        <w:tabs>
          <w:tab w:pos="1070" w:val="left" w:leader="none"/>
        </w:tabs>
        <w:spacing w:line="264" w:lineRule="exact" w:before="0" w:after="0"/>
        <w:ind w:left="1069" w:right="0" w:hanging="530"/>
        <w:jc w:val="left"/>
        <w:rPr>
          <w:sz w:val="21"/>
        </w:rPr>
      </w:pPr>
      <w:r>
        <w:rPr>
          <w:spacing w:val="-3"/>
          <w:sz w:val="21"/>
        </w:rPr>
        <w:t>提议召开基金份额持有人大会；</w:t>
      </w:r>
    </w:p>
    <w:p>
      <w:pPr>
        <w:pStyle w:val="ListParagraph"/>
        <w:numPr>
          <w:ilvl w:val="0"/>
          <w:numId w:val="4"/>
        </w:numPr>
        <w:tabs>
          <w:tab w:pos="1070" w:val="left" w:leader="none"/>
        </w:tabs>
        <w:spacing w:line="240" w:lineRule="auto" w:before="139" w:after="0"/>
        <w:ind w:left="1069" w:right="0" w:hanging="530"/>
        <w:jc w:val="left"/>
        <w:rPr>
          <w:sz w:val="21"/>
        </w:rPr>
      </w:pPr>
      <w:r>
        <w:rPr>
          <w:spacing w:val="-3"/>
          <w:sz w:val="21"/>
        </w:rPr>
        <w:t>在基金管理人更换时，提名新的基金管理人；</w:t>
      </w:r>
    </w:p>
    <w:p>
      <w:pPr>
        <w:pStyle w:val="ListParagraph"/>
        <w:numPr>
          <w:ilvl w:val="0"/>
          <w:numId w:val="4"/>
        </w:numPr>
        <w:tabs>
          <w:tab w:pos="1070" w:val="left" w:leader="none"/>
        </w:tabs>
        <w:spacing w:line="240" w:lineRule="auto" w:before="139" w:after="0"/>
        <w:ind w:left="1069" w:right="0" w:hanging="530"/>
        <w:jc w:val="left"/>
        <w:rPr>
          <w:sz w:val="21"/>
        </w:rPr>
      </w:pPr>
      <w:r>
        <w:rPr>
          <w:spacing w:val="-3"/>
          <w:sz w:val="21"/>
        </w:rPr>
        <w:t>法律法规和《基金合同》规定的其他权利。</w:t>
      </w:r>
    </w:p>
    <w:p>
      <w:pPr>
        <w:pStyle w:val="BodyText"/>
        <w:spacing w:before="139"/>
        <w:ind w:left="540"/>
      </w:pPr>
      <w:r>
        <w:rPr/>
        <w:t>2、根据《基金法》、《运作办法》及其他有关规定，基金托管人的义务包括但不限于：</w:t>
      </w:r>
    </w:p>
    <w:p>
      <w:pPr>
        <w:pStyle w:val="ListParagraph"/>
        <w:numPr>
          <w:ilvl w:val="0"/>
          <w:numId w:val="5"/>
        </w:numPr>
        <w:tabs>
          <w:tab w:pos="1070" w:val="left" w:leader="none"/>
        </w:tabs>
        <w:spacing w:line="240" w:lineRule="auto" w:before="142" w:after="0"/>
        <w:ind w:left="1069" w:right="0" w:hanging="530"/>
        <w:jc w:val="left"/>
        <w:rPr>
          <w:sz w:val="21"/>
        </w:rPr>
      </w:pPr>
      <w:r>
        <w:rPr>
          <w:spacing w:val="-3"/>
          <w:sz w:val="21"/>
        </w:rPr>
        <w:t>以诚实信用、勤勉尽责的原则持有并安全保管基金财产；</w:t>
      </w:r>
    </w:p>
    <w:p>
      <w:pPr>
        <w:pStyle w:val="ListParagraph"/>
        <w:numPr>
          <w:ilvl w:val="0"/>
          <w:numId w:val="5"/>
        </w:numPr>
        <w:tabs>
          <w:tab w:pos="1070" w:val="left" w:leader="none"/>
        </w:tabs>
        <w:spacing w:line="364" w:lineRule="auto" w:before="139" w:after="0"/>
        <w:ind w:left="120" w:right="314" w:firstLine="419"/>
        <w:jc w:val="left"/>
        <w:rPr>
          <w:sz w:val="21"/>
        </w:rPr>
      </w:pPr>
      <w:r>
        <w:rPr>
          <w:spacing w:val="-3"/>
          <w:sz w:val="21"/>
        </w:rPr>
        <w:t>设立专门的资产托管部，具有符合要求的营业场所，配备足够的、合格的熟悉基金托管业务的专职人员，负责基金财产托管事宜；</w:t>
      </w:r>
    </w:p>
    <w:p>
      <w:pPr>
        <w:spacing w:after="0" w:line="364" w:lineRule="auto"/>
        <w:jc w:val="left"/>
        <w:rPr>
          <w:sz w:val="21"/>
        </w:rPr>
        <w:sectPr>
          <w:pgSz w:w="11910" w:h="16840"/>
          <w:pgMar w:header="877" w:footer="1195" w:top="1380" w:bottom="1380" w:left="1680" w:right="1480"/>
        </w:sectPr>
      </w:pPr>
    </w:p>
    <w:p>
      <w:pPr>
        <w:pStyle w:val="ListParagraph"/>
        <w:numPr>
          <w:ilvl w:val="0"/>
          <w:numId w:val="5"/>
        </w:numPr>
        <w:tabs>
          <w:tab w:pos="1070" w:val="left" w:leader="none"/>
        </w:tabs>
        <w:spacing w:line="364" w:lineRule="auto" w:before="61" w:after="0"/>
        <w:ind w:left="120" w:right="311" w:firstLine="419"/>
        <w:jc w:val="both"/>
        <w:rPr>
          <w:sz w:val="21"/>
        </w:rPr>
      </w:pPr>
      <w:r>
        <w:rPr>
          <w:spacing w:val="-3"/>
          <w:sz w:val="21"/>
        </w:rPr>
        <w:t>建立健全内部风险控制、监察与稽核、财务管理及人事管理等制度，确保基金财</w:t>
      </w:r>
      <w:r>
        <w:rPr>
          <w:spacing w:val="-10"/>
          <w:sz w:val="21"/>
        </w:rPr>
        <w:t>产的安全，保证其托管的基金财产与基金托管人自有财产以及不同的基金财产相互独立；对</w:t>
      </w:r>
      <w:r>
        <w:rPr>
          <w:spacing w:val="-21"/>
          <w:sz w:val="21"/>
        </w:rPr>
        <w:t>不同的基金分别设置账户，独立核算，分账管理，保证不同基金之间在名册登记、账户设置、</w:t>
      </w:r>
      <w:r>
        <w:rPr>
          <w:spacing w:val="-8"/>
          <w:sz w:val="21"/>
        </w:rPr>
        <w:t>资金划拨、账册记录等方面相互独立；</w:t>
      </w:r>
    </w:p>
    <w:p>
      <w:pPr>
        <w:pStyle w:val="ListParagraph"/>
        <w:numPr>
          <w:ilvl w:val="0"/>
          <w:numId w:val="5"/>
        </w:numPr>
        <w:tabs>
          <w:tab w:pos="1070" w:val="left" w:leader="none"/>
        </w:tabs>
        <w:spacing w:line="364" w:lineRule="auto" w:before="0" w:after="0"/>
        <w:ind w:left="120" w:right="314" w:firstLine="419"/>
        <w:jc w:val="left"/>
        <w:rPr>
          <w:sz w:val="21"/>
        </w:rPr>
      </w:pPr>
      <w:r>
        <w:rPr>
          <w:spacing w:val="-17"/>
          <w:sz w:val="21"/>
        </w:rPr>
        <w:t>除依据《基金法》、《基金合同》及其他有关规定外，不得利用基金财产为自己及</w:t>
      </w:r>
      <w:r>
        <w:rPr>
          <w:spacing w:val="-7"/>
          <w:sz w:val="21"/>
        </w:rPr>
        <w:t>任何第三人谋取利益，不得委托第三人托管基金财产；</w:t>
      </w:r>
    </w:p>
    <w:p>
      <w:pPr>
        <w:pStyle w:val="ListParagraph"/>
        <w:numPr>
          <w:ilvl w:val="0"/>
          <w:numId w:val="5"/>
        </w:numPr>
        <w:tabs>
          <w:tab w:pos="1070" w:val="left" w:leader="none"/>
        </w:tabs>
        <w:spacing w:line="267" w:lineRule="exact" w:before="0" w:after="0"/>
        <w:ind w:left="1069" w:right="0" w:hanging="530"/>
        <w:jc w:val="left"/>
        <w:rPr>
          <w:sz w:val="21"/>
        </w:rPr>
      </w:pPr>
      <w:r>
        <w:rPr>
          <w:spacing w:val="-3"/>
          <w:sz w:val="21"/>
        </w:rPr>
        <w:t>保管由基金管理人代表基金签订的与基金有关的重大合同及有关凭证；</w:t>
      </w:r>
    </w:p>
    <w:p>
      <w:pPr>
        <w:pStyle w:val="ListParagraph"/>
        <w:numPr>
          <w:ilvl w:val="0"/>
          <w:numId w:val="5"/>
        </w:numPr>
        <w:tabs>
          <w:tab w:pos="1070" w:val="left" w:leader="none"/>
        </w:tabs>
        <w:spacing w:line="364" w:lineRule="auto" w:before="140" w:after="0"/>
        <w:ind w:left="120" w:right="311" w:firstLine="419"/>
        <w:jc w:val="left"/>
        <w:rPr>
          <w:sz w:val="21"/>
        </w:rPr>
      </w:pPr>
      <w:r>
        <w:rPr>
          <w:spacing w:val="-6"/>
          <w:sz w:val="21"/>
        </w:rPr>
        <w:t>按规定开设基金财产的资金账户和证券账户,按照《基金合同》的约定，根据基 </w:t>
      </w:r>
      <w:r>
        <w:rPr>
          <w:spacing w:val="-5"/>
          <w:sz w:val="21"/>
        </w:rPr>
        <w:t>金管理人的投资指令，及时办理清算、交割事宜；</w:t>
      </w:r>
    </w:p>
    <w:p>
      <w:pPr>
        <w:pStyle w:val="ListParagraph"/>
        <w:numPr>
          <w:ilvl w:val="0"/>
          <w:numId w:val="5"/>
        </w:numPr>
        <w:tabs>
          <w:tab w:pos="1070" w:val="left" w:leader="none"/>
        </w:tabs>
        <w:spacing w:line="364" w:lineRule="auto" w:before="0" w:after="0"/>
        <w:ind w:left="120" w:right="314" w:firstLine="419"/>
        <w:jc w:val="left"/>
        <w:rPr>
          <w:sz w:val="21"/>
        </w:rPr>
      </w:pPr>
      <w:r>
        <w:rPr>
          <w:spacing w:val="-16"/>
          <w:sz w:val="21"/>
        </w:rPr>
        <w:t>保守基金商业秘密，除《基金法》、《基金合同》及其他有关规定另有规定外，在</w:t>
      </w:r>
      <w:r>
        <w:rPr>
          <w:spacing w:val="-7"/>
          <w:sz w:val="21"/>
        </w:rPr>
        <w:t>基金信息公开披露前予以保密，不得向他人泄露；</w:t>
      </w:r>
    </w:p>
    <w:p>
      <w:pPr>
        <w:pStyle w:val="ListParagraph"/>
        <w:numPr>
          <w:ilvl w:val="0"/>
          <w:numId w:val="5"/>
        </w:numPr>
        <w:tabs>
          <w:tab w:pos="1070" w:val="left" w:leader="none"/>
        </w:tabs>
        <w:spacing w:line="367" w:lineRule="auto" w:before="0" w:after="0"/>
        <w:ind w:left="120" w:right="313" w:firstLine="419"/>
        <w:jc w:val="left"/>
        <w:rPr>
          <w:sz w:val="21"/>
        </w:rPr>
      </w:pPr>
      <w:r>
        <w:rPr>
          <w:spacing w:val="-3"/>
          <w:sz w:val="21"/>
        </w:rPr>
        <w:t>复核、审查基金管理人计算的基金资产净值、基金份额净值、基金份额申购、赎回价格；</w:t>
      </w:r>
    </w:p>
    <w:p>
      <w:pPr>
        <w:pStyle w:val="ListParagraph"/>
        <w:numPr>
          <w:ilvl w:val="0"/>
          <w:numId w:val="5"/>
        </w:numPr>
        <w:tabs>
          <w:tab w:pos="1070" w:val="left" w:leader="none"/>
        </w:tabs>
        <w:spacing w:line="264" w:lineRule="exact" w:before="0" w:after="0"/>
        <w:ind w:left="1069" w:right="0" w:hanging="530"/>
        <w:jc w:val="left"/>
        <w:rPr>
          <w:sz w:val="21"/>
        </w:rPr>
      </w:pPr>
      <w:r>
        <w:rPr>
          <w:spacing w:val="-3"/>
          <w:sz w:val="21"/>
        </w:rPr>
        <w:t>办理与基金托管业务活动有关的信息披露事项；</w:t>
      </w:r>
    </w:p>
    <w:p>
      <w:pPr>
        <w:pStyle w:val="ListParagraph"/>
        <w:numPr>
          <w:ilvl w:val="0"/>
          <w:numId w:val="5"/>
        </w:numPr>
        <w:tabs>
          <w:tab w:pos="1175" w:val="left" w:leader="none"/>
        </w:tabs>
        <w:spacing w:line="364" w:lineRule="auto" w:before="136" w:after="0"/>
        <w:ind w:left="120" w:right="311" w:firstLine="419"/>
        <w:jc w:val="both"/>
        <w:rPr>
          <w:sz w:val="21"/>
        </w:rPr>
      </w:pPr>
      <w:r>
        <w:rPr>
          <w:spacing w:val="-9"/>
          <w:sz w:val="21"/>
        </w:rPr>
        <w:t>对基金财务会计报告、季度报告、中期报告和年度报告出具意见，说明基金管 </w:t>
      </w:r>
      <w:r>
        <w:rPr>
          <w:spacing w:val="-19"/>
          <w:sz w:val="21"/>
        </w:rPr>
        <w:t>理人在各重要方面的运作是否严格按照《基金合同》的规定进行；如果基金管理人有未执行《</w:t>
      </w:r>
      <w:r>
        <w:rPr>
          <w:spacing w:val="-3"/>
          <w:sz w:val="21"/>
        </w:rPr>
        <w:t>基金合同》规定的行为，还应当说明基金托管人是否采取了适当的措施；</w:t>
      </w:r>
    </w:p>
    <w:p>
      <w:pPr>
        <w:pStyle w:val="ListParagraph"/>
        <w:numPr>
          <w:ilvl w:val="0"/>
          <w:numId w:val="5"/>
        </w:numPr>
        <w:tabs>
          <w:tab w:pos="1175" w:val="left" w:leader="none"/>
        </w:tabs>
        <w:spacing w:line="364" w:lineRule="auto" w:before="0" w:after="0"/>
        <w:ind w:left="120" w:right="311" w:firstLine="419"/>
        <w:jc w:val="both"/>
        <w:rPr>
          <w:sz w:val="21"/>
        </w:rPr>
      </w:pPr>
      <w:r>
        <w:rPr>
          <w:spacing w:val="-7"/>
          <w:sz w:val="21"/>
        </w:rPr>
        <w:t>按有关规定，保存基金托管业务活动的记录、账册、报表和其他相关资料  </w:t>
      </w:r>
      <w:r>
        <w:rPr>
          <w:sz w:val="21"/>
        </w:rPr>
        <w:t>15 年以上；</w:t>
      </w:r>
    </w:p>
    <w:p>
      <w:pPr>
        <w:pStyle w:val="ListParagraph"/>
        <w:numPr>
          <w:ilvl w:val="0"/>
          <w:numId w:val="5"/>
        </w:numPr>
        <w:tabs>
          <w:tab w:pos="1175" w:val="left" w:leader="none"/>
        </w:tabs>
        <w:spacing w:line="267" w:lineRule="exact" w:before="0" w:after="0"/>
        <w:ind w:left="1175" w:right="0" w:hanging="635"/>
        <w:jc w:val="left"/>
        <w:rPr>
          <w:sz w:val="21"/>
        </w:rPr>
      </w:pPr>
      <w:r>
        <w:rPr>
          <w:spacing w:val="-3"/>
          <w:sz w:val="21"/>
        </w:rPr>
        <w:t>建立并保存基金份额持有人名册；</w:t>
      </w:r>
    </w:p>
    <w:p>
      <w:pPr>
        <w:pStyle w:val="ListParagraph"/>
        <w:numPr>
          <w:ilvl w:val="0"/>
          <w:numId w:val="5"/>
        </w:numPr>
        <w:tabs>
          <w:tab w:pos="1175" w:val="left" w:leader="none"/>
        </w:tabs>
        <w:spacing w:line="240" w:lineRule="auto" w:before="138" w:after="0"/>
        <w:ind w:left="1175" w:right="0" w:hanging="635"/>
        <w:jc w:val="left"/>
        <w:rPr>
          <w:sz w:val="21"/>
        </w:rPr>
      </w:pPr>
      <w:r>
        <w:rPr>
          <w:spacing w:val="-3"/>
          <w:sz w:val="21"/>
        </w:rPr>
        <w:t>按规定制作相关账册并与基金管理人核对；</w:t>
      </w:r>
    </w:p>
    <w:p>
      <w:pPr>
        <w:pStyle w:val="ListParagraph"/>
        <w:numPr>
          <w:ilvl w:val="0"/>
          <w:numId w:val="5"/>
        </w:numPr>
        <w:tabs>
          <w:tab w:pos="1175" w:val="left" w:leader="none"/>
        </w:tabs>
        <w:spacing w:line="240" w:lineRule="auto" w:before="142" w:after="0"/>
        <w:ind w:left="1175" w:right="0" w:hanging="635"/>
        <w:jc w:val="left"/>
        <w:rPr>
          <w:sz w:val="21"/>
        </w:rPr>
      </w:pPr>
      <w:r>
        <w:rPr>
          <w:spacing w:val="-3"/>
          <w:sz w:val="21"/>
        </w:rPr>
        <w:t>依据基金管理人的指令或有关规定向基金份额持有人支付基金收益和赎回款项；</w:t>
      </w:r>
    </w:p>
    <w:p>
      <w:pPr>
        <w:pStyle w:val="ListParagraph"/>
        <w:numPr>
          <w:ilvl w:val="0"/>
          <w:numId w:val="5"/>
        </w:numPr>
        <w:tabs>
          <w:tab w:pos="1173" w:val="left" w:leader="none"/>
        </w:tabs>
        <w:spacing w:line="364" w:lineRule="auto" w:before="139" w:after="0"/>
        <w:ind w:left="120" w:right="311" w:firstLine="419"/>
        <w:jc w:val="left"/>
        <w:rPr>
          <w:sz w:val="21"/>
        </w:rPr>
      </w:pPr>
      <w:r>
        <w:rPr>
          <w:spacing w:val="-3"/>
          <w:sz w:val="21"/>
        </w:rPr>
        <w:t>按照规定召集基金份额持有人大会或配合基金份额持有人依法自行召集基金份</w:t>
      </w:r>
      <w:r>
        <w:rPr>
          <w:spacing w:val="-2"/>
          <w:sz w:val="21"/>
        </w:rPr>
        <w:t>额持有人大会；</w:t>
      </w:r>
    </w:p>
    <w:p>
      <w:pPr>
        <w:pStyle w:val="ListParagraph"/>
        <w:numPr>
          <w:ilvl w:val="0"/>
          <w:numId w:val="5"/>
        </w:numPr>
        <w:tabs>
          <w:tab w:pos="1175" w:val="left" w:leader="none"/>
        </w:tabs>
        <w:spacing w:line="268" w:lineRule="exact" w:before="0" w:after="0"/>
        <w:ind w:left="1175" w:right="0" w:hanging="635"/>
        <w:jc w:val="left"/>
        <w:rPr>
          <w:sz w:val="21"/>
        </w:rPr>
      </w:pPr>
      <w:r>
        <w:rPr>
          <w:spacing w:val="-3"/>
          <w:sz w:val="21"/>
        </w:rPr>
        <w:t>按照法律法规和基金合同的规定监督基金管理人的投资运作；</w:t>
      </w:r>
    </w:p>
    <w:p>
      <w:pPr>
        <w:pStyle w:val="ListParagraph"/>
        <w:numPr>
          <w:ilvl w:val="0"/>
          <w:numId w:val="5"/>
        </w:numPr>
        <w:tabs>
          <w:tab w:pos="1175" w:val="left" w:leader="none"/>
        </w:tabs>
        <w:spacing w:line="240" w:lineRule="auto" w:before="139" w:after="0"/>
        <w:ind w:left="1175" w:right="0" w:hanging="635"/>
        <w:jc w:val="left"/>
        <w:rPr>
          <w:sz w:val="21"/>
        </w:rPr>
      </w:pPr>
      <w:r>
        <w:rPr>
          <w:spacing w:val="-3"/>
          <w:sz w:val="21"/>
        </w:rPr>
        <w:t>参加基金财产清算小组，参与基金财产的保管、清理、估价、变现和分配；</w:t>
      </w:r>
    </w:p>
    <w:p>
      <w:pPr>
        <w:pStyle w:val="ListParagraph"/>
        <w:numPr>
          <w:ilvl w:val="0"/>
          <w:numId w:val="5"/>
        </w:numPr>
        <w:tabs>
          <w:tab w:pos="1173" w:val="left" w:leader="none"/>
        </w:tabs>
        <w:spacing w:line="364" w:lineRule="auto" w:before="141" w:after="0"/>
        <w:ind w:left="120" w:right="311" w:firstLine="419"/>
        <w:jc w:val="left"/>
        <w:rPr>
          <w:sz w:val="21"/>
        </w:rPr>
      </w:pPr>
      <w:r>
        <w:rPr>
          <w:spacing w:val="-10"/>
          <w:sz w:val="21"/>
        </w:rPr>
        <w:t>面临解散、依法被撤销或者被依法宣告破产时，及时报告中国证监会和银行监 </w:t>
      </w:r>
      <w:r>
        <w:rPr>
          <w:spacing w:val="-7"/>
          <w:sz w:val="21"/>
        </w:rPr>
        <w:t>管机构，并通知基金管理人；</w:t>
      </w:r>
    </w:p>
    <w:p>
      <w:pPr>
        <w:pStyle w:val="ListParagraph"/>
        <w:numPr>
          <w:ilvl w:val="0"/>
          <w:numId w:val="5"/>
        </w:numPr>
        <w:tabs>
          <w:tab w:pos="1175" w:val="left" w:leader="none"/>
        </w:tabs>
        <w:spacing w:line="364" w:lineRule="auto" w:before="0" w:after="0"/>
        <w:ind w:left="120" w:right="311" w:firstLine="419"/>
        <w:jc w:val="left"/>
        <w:rPr>
          <w:sz w:val="21"/>
        </w:rPr>
      </w:pPr>
      <w:r>
        <w:rPr>
          <w:spacing w:val="-10"/>
          <w:sz w:val="21"/>
        </w:rPr>
        <w:t>因违反《基金合同》导致基金财产损失时，应承担赔偿责任，其赔偿责任不因 </w:t>
      </w:r>
      <w:r>
        <w:rPr>
          <w:spacing w:val="-7"/>
          <w:sz w:val="21"/>
        </w:rPr>
        <w:t>其退任而免除；</w:t>
      </w:r>
    </w:p>
    <w:p>
      <w:pPr>
        <w:pStyle w:val="ListParagraph"/>
        <w:numPr>
          <w:ilvl w:val="0"/>
          <w:numId w:val="5"/>
        </w:numPr>
        <w:tabs>
          <w:tab w:pos="1173" w:val="left" w:leader="none"/>
        </w:tabs>
        <w:spacing w:line="367" w:lineRule="auto" w:before="0" w:after="0"/>
        <w:ind w:left="120" w:right="311" w:firstLine="419"/>
        <w:jc w:val="left"/>
        <w:rPr>
          <w:sz w:val="21"/>
        </w:rPr>
      </w:pPr>
      <w:r>
        <w:rPr>
          <w:spacing w:val="-6"/>
          <w:sz w:val="21"/>
        </w:rPr>
        <w:t>监督基金管理人按法律法规和合同规定履行自己的义务，基金管理人因违反《 </w:t>
      </w:r>
      <w:r>
        <w:rPr>
          <w:spacing w:val="-3"/>
          <w:sz w:val="21"/>
        </w:rPr>
        <w:t>基金合同》造成基金财产损失时，应为基金份额持有人的利益向基金管理人追偿；</w:t>
      </w:r>
    </w:p>
    <w:p>
      <w:pPr>
        <w:pStyle w:val="ListParagraph"/>
        <w:numPr>
          <w:ilvl w:val="0"/>
          <w:numId w:val="5"/>
        </w:numPr>
        <w:tabs>
          <w:tab w:pos="1175" w:val="left" w:leader="none"/>
        </w:tabs>
        <w:spacing w:line="265" w:lineRule="exact" w:before="0" w:after="0"/>
        <w:ind w:left="1175" w:right="0" w:hanging="635"/>
        <w:jc w:val="left"/>
        <w:rPr>
          <w:sz w:val="21"/>
        </w:rPr>
      </w:pPr>
      <w:r>
        <w:rPr>
          <w:spacing w:val="-3"/>
          <w:sz w:val="21"/>
        </w:rPr>
        <w:t>执行生效的基金份额持有人大会的决定；</w:t>
      </w:r>
    </w:p>
    <w:p>
      <w:pPr>
        <w:pStyle w:val="ListParagraph"/>
        <w:numPr>
          <w:ilvl w:val="0"/>
          <w:numId w:val="5"/>
        </w:numPr>
        <w:tabs>
          <w:tab w:pos="1175" w:val="left" w:leader="none"/>
        </w:tabs>
        <w:spacing w:line="240" w:lineRule="auto" w:before="135" w:after="0"/>
        <w:ind w:left="1175" w:right="0" w:hanging="635"/>
        <w:jc w:val="left"/>
        <w:rPr>
          <w:sz w:val="21"/>
        </w:rPr>
      </w:pPr>
      <w:r>
        <w:rPr>
          <w:spacing w:val="-3"/>
          <w:sz w:val="21"/>
        </w:rPr>
        <w:t>法律法规和《基金合同》规定的其他义务。</w:t>
      </w:r>
    </w:p>
    <w:p>
      <w:pPr>
        <w:spacing w:after="0" w:line="240" w:lineRule="auto"/>
        <w:jc w:val="left"/>
        <w:rPr>
          <w:sz w:val="21"/>
        </w:rPr>
        <w:sectPr>
          <w:pgSz w:w="11910" w:h="16840"/>
          <w:pgMar w:header="877" w:footer="1195" w:top="1380" w:bottom="1380" w:left="1680" w:right="1480"/>
        </w:sectPr>
      </w:pPr>
    </w:p>
    <w:p>
      <w:pPr>
        <w:pStyle w:val="BodyText"/>
        <w:ind w:left="0"/>
        <w:rPr>
          <w:sz w:val="20"/>
        </w:rPr>
      </w:pPr>
    </w:p>
    <w:p>
      <w:pPr>
        <w:pStyle w:val="BodyText"/>
        <w:spacing w:before="8"/>
        <w:ind w:left="0"/>
        <w:rPr>
          <w:sz w:val="16"/>
        </w:rPr>
      </w:pPr>
    </w:p>
    <w:p>
      <w:pPr>
        <w:pStyle w:val="BodyText"/>
        <w:ind w:left="540"/>
      </w:pPr>
      <w:r>
        <w:rPr/>
        <w:t>三、基金份额持有人</w:t>
      </w:r>
    </w:p>
    <w:p>
      <w:pPr>
        <w:pStyle w:val="BodyText"/>
        <w:spacing w:line="364" w:lineRule="auto" w:before="139"/>
        <w:ind w:right="311" w:firstLine="419"/>
        <w:jc w:val="both"/>
      </w:pPr>
      <w:r>
        <w:rPr>
          <w:spacing w:val="-7"/>
        </w:rPr>
        <w:t>基金投资者购买本基金基金份额的行为即视为对《基金合同》的承认和接受，基金投资</w:t>
      </w:r>
      <w:r>
        <w:rPr>
          <w:spacing w:val="-12"/>
        </w:rPr>
        <w:t>者自取得依据《基金合同》募集的基金份额，即成为本基金份额持有人和《基金合同》的当</w:t>
      </w:r>
      <w:r>
        <w:rPr>
          <w:spacing w:val="-11"/>
        </w:rPr>
        <w:t>事人，直至其不再持有本基金的基金份额。基金份额持有人作为本《基金合同》当事人并不</w:t>
      </w:r>
      <w:r>
        <w:rPr>
          <w:spacing w:val="-6"/>
        </w:rPr>
        <w:t>以在《基金合同》上书面签章为必要条件。</w:t>
      </w:r>
    </w:p>
    <w:p>
      <w:pPr>
        <w:pStyle w:val="BodyText"/>
        <w:spacing w:line="268" w:lineRule="exact"/>
        <w:ind w:left="540"/>
      </w:pPr>
      <w:r>
        <w:rPr/>
        <w:t>每份基金份额具有同等的合法权益。</w:t>
      </w:r>
    </w:p>
    <w:p>
      <w:pPr>
        <w:pStyle w:val="BodyText"/>
        <w:spacing w:line="364" w:lineRule="auto" w:before="141"/>
        <w:ind w:right="314" w:firstLine="419"/>
      </w:pPr>
      <w:r>
        <w:rPr/>
        <w:t>1</w:t>
      </w:r>
      <w:r>
        <w:rPr>
          <w:spacing w:val="-17"/>
        </w:rPr>
        <w:t>、根据《基金法》、《运作办法》及其他有关规定，基金份额持有人的权利包括但不限于：</w:t>
      </w:r>
    </w:p>
    <w:p>
      <w:pPr>
        <w:pStyle w:val="ListParagraph"/>
        <w:numPr>
          <w:ilvl w:val="0"/>
          <w:numId w:val="6"/>
        </w:numPr>
        <w:tabs>
          <w:tab w:pos="1070" w:val="left" w:leader="none"/>
        </w:tabs>
        <w:spacing w:line="268" w:lineRule="exact" w:before="0" w:after="0"/>
        <w:ind w:left="1069" w:right="0" w:hanging="530"/>
        <w:jc w:val="left"/>
        <w:rPr>
          <w:sz w:val="21"/>
        </w:rPr>
      </w:pPr>
      <w:r>
        <w:rPr>
          <w:spacing w:val="-3"/>
          <w:sz w:val="21"/>
        </w:rPr>
        <w:t>分享基金财产收益；</w:t>
      </w:r>
    </w:p>
    <w:p>
      <w:pPr>
        <w:pStyle w:val="ListParagraph"/>
        <w:numPr>
          <w:ilvl w:val="0"/>
          <w:numId w:val="6"/>
        </w:numPr>
        <w:tabs>
          <w:tab w:pos="1070" w:val="left" w:leader="none"/>
        </w:tabs>
        <w:spacing w:line="240" w:lineRule="auto" w:before="139" w:after="0"/>
        <w:ind w:left="1069" w:right="0" w:hanging="530"/>
        <w:jc w:val="left"/>
        <w:rPr>
          <w:sz w:val="21"/>
        </w:rPr>
      </w:pPr>
      <w:r>
        <w:rPr>
          <w:spacing w:val="-3"/>
          <w:sz w:val="21"/>
        </w:rPr>
        <w:t>参与分配清算后的剩余基金财产；</w:t>
      </w:r>
    </w:p>
    <w:p>
      <w:pPr>
        <w:pStyle w:val="ListParagraph"/>
        <w:numPr>
          <w:ilvl w:val="0"/>
          <w:numId w:val="6"/>
        </w:numPr>
        <w:tabs>
          <w:tab w:pos="1070" w:val="left" w:leader="none"/>
        </w:tabs>
        <w:spacing w:line="240" w:lineRule="auto" w:before="139" w:after="0"/>
        <w:ind w:left="1069" w:right="0" w:hanging="530"/>
        <w:jc w:val="left"/>
        <w:rPr>
          <w:sz w:val="21"/>
        </w:rPr>
      </w:pPr>
      <w:r>
        <w:rPr>
          <w:spacing w:val="-3"/>
          <w:sz w:val="21"/>
        </w:rPr>
        <w:t>依法申请赎回其持有的基金份额；</w:t>
      </w:r>
    </w:p>
    <w:p>
      <w:pPr>
        <w:pStyle w:val="ListParagraph"/>
        <w:numPr>
          <w:ilvl w:val="0"/>
          <w:numId w:val="6"/>
        </w:numPr>
        <w:tabs>
          <w:tab w:pos="1070" w:val="left" w:leader="none"/>
        </w:tabs>
        <w:spacing w:line="240" w:lineRule="auto" w:before="141" w:after="0"/>
        <w:ind w:left="1069" w:right="0" w:hanging="530"/>
        <w:jc w:val="left"/>
        <w:rPr>
          <w:sz w:val="21"/>
        </w:rPr>
      </w:pPr>
      <w:r>
        <w:rPr>
          <w:spacing w:val="-3"/>
          <w:sz w:val="21"/>
        </w:rPr>
        <w:t>按照规定要求召开基金份额持有人大会；</w:t>
      </w:r>
    </w:p>
    <w:p>
      <w:pPr>
        <w:pStyle w:val="ListParagraph"/>
        <w:numPr>
          <w:ilvl w:val="0"/>
          <w:numId w:val="6"/>
        </w:numPr>
        <w:tabs>
          <w:tab w:pos="1070" w:val="left" w:leader="none"/>
        </w:tabs>
        <w:spacing w:line="364" w:lineRule="auto" w:before="139" w:after="0"/>
        <w:ind w:left="120" w:right="314" w:firstLine="419"/>
        <w:jc w:val="left"/>
        <w:rPr>
          <w:sz w:val="21"/>
        </w:rPr>
      </w:pPr>
      <w:r>
        <w:rPr>
          <w:spacing w:val="-3"/>
          <w:sz w:val="21"/>
        </w:rPr>
        <w:t>出席或者委派代表出席基金份额持有人大会，对基金份额持有人大会审议事项行使表决权；</w:t>
      </w:r>
    </w:p>
    <w:p>
      <w:pPr>
        <w:pStyle w:val="ListParagraph"/>
        <w:numPr>
          <w:ilvl w:val="0"/>
          <w:numId w:val="6"/>
        </w:numPr>
        <w:tabs>
          <w:tab w:pos="1070" w:val="left" w:leader="none"/>
        </w:tabs>
        <w:spacing w:line="267" w:lineRule="exact" w:before="0" w:after="0"/>
        <w:ind w:left="1069" w:right="0" w:hanging="530"/>
        <w:jc w:val="left"/>
        <w:rPr>
          <w:sz w:val="21"/>
        </w:rPr>
      </w:pPr>
      <w:r>
        <w:rPr>
          <w:spacing w:val="-3"/>
          <w:sz w:val="21"/>
        </w:rPr>
        <w:t>查阅或者复制公开披露的基金信息资料；</w:t>
      </w:r>
    </w:p>
    <w:p>
      <w:pPr>
        <w:pStyle w:val="ListParagraph"/>
        <w:numPr>
          <w:ilvl w:val="0"/>
          <w:numId w:val="6"/>
        </w:numPr>
        <w:tabs>
          <w:tab w:pos="1070" w:val="left" w:leader="none"/>
        </w:tabs>
        <w:spacing w:line="240" w:lineRule="auto" w:before="140" w:after="0"/>
        <w:ind w:left="1069" w:right="0" w:hanging="530"/>
        <w:jc w:val="left"/>
        <w:rPr>
          <w:sz w:val="21"/>
        </w:rPr>
      </w:pPr>
      <w:r>
        <w:rPr>
          <w:spacing w:val="-3"/>
          <w:sz w:val="21"/>
        </w:rPr>
        <w:t>监督基金管理人的投资运作；</w:t>
      </w:r>
    </w:p>
    <w:p>
      <w:pPr>
        <w:pStyle w:val="ListParagraph"/>
        <w:numPr>
          <w:ilvl w:val="0"/>
          <w:numId w:val="6"/>
        </w:numPr>
        <w:tabs>
          <w:tab w:pos="1070" w:val="left" w:leader="none"/>
        </w:tabs>
        <w:spacing w:line="364" w:lineRule="auto" w:before="141" w:after="0"/>
        <w:ind w:left="120" w:right="314" w:firstLine="419"/>
        <w:jc w:val="left"/>
        <w:rPr>
          <w:sz w:val="21"/>
        </w:rPr>
      </w:pPr>
      <w:r>
        <w:rPr>
          <w:spacing w:val="-3"/>
          <w:sz w:val="21"/>
        </w:rPr>
        <w:t>对基金管理人、基金托管人、基金份额发售机构损害其合法权益的行为依法提起诉讼；</w:t>
      </w:r>
    </w:p>
    <w:p>
      <w:pPr>
        <w:pStyle w:val="ListParagraph"/>
        <w:numPr>
          <w:ilvl w:val="0"/>
          <w:numId w:val="6"/>
        </w:numPr>
        <w:tabs>
          <w:tab w:pos="1070" w:val="left" w:leader="none"/>
        </w:tabs>
        <w:spacing w:line="267" w:lineRule="exact" w:before="0" w:after="0"/>
        <w:ind w:left="1069" w:right="0" w:hanging="530"/>
        <w:jc w:val="left"/>
        <w:rPr>
          <w:sz w:val="21"/>
        </w:rPr>
      </w:pPr>
      <w:r>
        <w:rPr>
          <w:spacing w:val="-3"/>
          <w:sz w:val="21"/>
        </w:rPr>
        <w:t>法律法规和《基金合同》规定的其他权利。</w:t>
      </w:r>
    </w:p>
    <w:p>
      <w:pPr>
        <w:pStyle w:val="BodyText"/>
        <w:spacing w:line="367" w:lineRule="auto" w:before="139"/>
        <w:ind w:right="314" w:firstLine="419"/>
      </w:pPr>
      <w:r>
        <w:rPr/>
        <w:t>2</w:t>
      </w:r>
      <w:r>
        <w:rPr>
          <w:spacing w:val="-17"/>
        </w:rPr>
        <w:t>、根据《基金法》、《运作办法》及其他有关规定，基金份额持有人的义务包括但不限于：</w:t>
      </w:r>
    </w:p>
    <w:p>
      <w:pPr>
        <w:pStyle w:val="ListParagraph"/>
        <w:numPr>
          <w:ilvl w:val="0"/>
          <w:numId w:val="7"/>
        </w:numPr>
        <w:tabs>
          <w:tab w:pos="1070" w:val="left" w:leader="none"/>
        </w:tabs>
        <w:spacing w:line="264" w:lineRule="exact" w:before="0" w:after="0"/>
        <w:ind w:left="1069" w:right="0" w:hanging="530"/>
        <w:jc w:val="left"/>
        <w:rPr>
          <w:sz w:val="21"/>
        </w:rPr>
      </w:pPr>
      <w:r>
        <w:rPr>
          <w:spacing w:val="-15"/>
          <w:sz w:val="21"/>
        </w:rPr>
        <w:t>遵守《基金合同》；</w:t>
      </w:r>
    </w:p>
    <w:p>
      <w:pPr>
        <w:pStyle w:val="ListParagraph"/>
        <w:numPr>
          <w:ilvl w:val="0"/>
          <w:numId w:val="7"/>
        </w:numPr>
        <w:tabs>
          <w:tab w:pos="1070" w:val="left" w:leader="none"/>
        </w:tabs>
        <w:spacing w:line="240" w:lineRule="auto" w:before="139" w:after="0"/>
        <w:ind w:left="1069" w:right="0" w:hanging="530"/>
        <w:jc w:val="left"/>
        <w:rPr>
          <w:sz w:val="21"/>
        </w:rPr>
      </w:pPr>
      <w:r>
        <w:rPr>
          <w:spacing w:val="-3"/>
          <w:sz w:val="21"/>
        </w:rPr>
        <w:t>缴纳基金认购、申购、赎回款项及法律法规和《基金合同》所规定的费用；</w:t>
      </w:r>
    </w:p>
    <w:p>
      <w:pPr>
        <w:pStyle w:val="ListParagraph"/>
        <w:numPr>
          <w:ilvl w:val="0"/>
          <w:numId w:val="7"/>
        </w:numPr>
        <w:tabs>
          <w:tab w:pos="1070" w:val="left" w:leader="none"/>
        </w:tabs>
        <w:spacing w:line="240" w:lineRule="auto" w:before="139" w:after="0"/>
        <w:ind w:left="1069" w:right="0" w:hanging="530"/>
        <w:jc w:val="left"/>
        <w:rPr>
          <w:sz w:val="21"/>
        </w:rPr>
      </w:pPr>
      <w:r>
        <w:rPr>
          <w:spacing w:val="-3"/>
          <w:sz w:val="21"/>
        </w:rPr>
        <w:t>在持有的基金份额范围内，承担基金亏损或者《基金合同》终止的有限责任；</w:t>
      </w:r>
    </w:p>
    <w:p>
      <w:pPr>
        <w:pStyle w:val="ListParagraph"/>
        <w:numPr>
          <w:ilvl w:val="0"/>
          <w:numId w:val="7"/>
        </w:numPr>
        <w:tabs>
          <w:tab w:pos="1070" w:val="left" w:leader="none"/>
        </w:tabs>
        <w:spacing w:line="240" w:lineRule="auto" w:before="139" w:after="0"/>
        <w:ind w:left="1069" w:right="0" w:hanging="530"/>
        <w:jc w:val="left"/>
        <w:rPr>
          <w:sz w:val="21"/>
        </w:rPr>
      </w:pPr>
      <w:r>
        <w:rPr>
          <w:spacing w:val="-3"/>
          <w:sz w:val="21"/>
        </w:rPr>
        <w:t>不从事任何有损基金及其他《基金合同》当事人合法权益的活动；</w:t>
      </w:r>
    </w:p>
    <w:p>
      <w:pPr>
        <w:pStyle w:val="ListParagraph"/>
        <w:numPr>
          <w:ilvl w:val="0"/>
          <w:numId w:val="7"/>
        </w:numPr>
        <w:tabs>
          <w:tab w:pos="1070" w:val="left" w:leader="none"/>
        </w:tabs>
        <w:spacing w:line="364" w:lineRule="auto" w:before="142" w:after="0"/>
        <w:ind w:left="120" w:right="314" w:firstLine="419"/>
        <w:jc w:val="left"/>
        <w:rPr>
          <w:sz w:val="21"/>
        </w:rPr>
      </w:pPr>
      <w:r>
        <w:rPr>
          <w:spacing w:val="-3"/>
          <w:sz w:val="21"/>
        </w:rPr>
        <w:t>返还在基金交易过程中因任何原因，自基金管理人、基金托管人及基金管理人的代理人处获得的不当得利；</w:t>
      </w:r>
    </w:p>
    <w:p>
      <w:pPr>
        <w:pStyle w:val="ListParagraph"/>
        <w:numPr>
          <w:ilvl w:val="0"/>
          <w:numId w:val="7"/>
        </w:numPr>
        <w:tabs>
          <w:tab w:pos="1070" w:val="left" w:leader="none"/>
        </w:tabs>
        <w:spacing w:line="267" w:lineRule="exact" w:before="0" w:after="0"/>
        <w:ind w:left="1069" w:right="0" w:hanging="530"/>
        <w:jc w:val="left"/>
        <w:rPr>
          <w:sz w:val="21"/>
        </w:rPr>
      </w:pPr>
      <w:r>
        <w:rPr>
          <w:spacing w:val="-3"/>
          <w:sz w:val="21"/>
        </w:rPr>
        <w:t>法律法规和《基金合同》规定的其他义务。</w:t>
      </w:r>
    </w:p>
    <w:p>
      <w:pPr>
        <w:pStyle w:val="BodyText"/>
        <w:ind w:left="0"/>
        <w:rPr>
          <w:sz w:val="20"/>
        </w:rPr>
      </w:pPr>
    </w:p>
    <w:p>
      <w:pPr>
        <w:pStyle w:val="BodyText"/>
        <w:ind w:left="0"/>
        <w:rPr>
          <w:sz w:val="20"/>
        </w:rPr>
      </w:pPr>
    </w:p>
    <w:p>
      <w:pPr>
        <w:pStyle w:val="Heading1"/>
        <w:spacing w:before="170"/>
        <w:ind w:left="1675"/>
      </w:pPr>
      <w:bookmarkStart w:name="_bookmark6" w:id="7"/>
      <w:bookmarkEnd w:id="7"/>
      <w:r>
        <w:rPr/>
      </w:r>
      <w:r>
        <w:rPr/>
        <w:t>七、基金份额持有人大会</w:t>
      </w:r>
    </w:p>
    <w:p>
      <w:pPr>
        <w:pStyle w:val="BodyText"/>
        <w:ind w:left="0"/>
        <w:rPr>
          <w:rFonts w:ascii="黑体"/>
          <w:sz w:val="28"/>
        </w:rPr>
      </w:pPr>
    </w:p>
    <w:p>
      <w:pPr>
        <w:pStyle w:val="BodyText"/>
        <w:spacing w:line="364" w:lineRule="auto"/>
        <w:ind w:right="311" w:firstLine="419"/>
      </w:pPr>
      <w:r>
        <w:rPr>
          <w:spacing w:val="-6"/>
        </w:rPr>
        <w:t>基金份额持有人大会由基金份额持有人或基金份额持有人的合法授权代表共同组成。基</w:t>
      </w:r>
      <w:r>
        <w:rPr>
          <w:spacing w:val="-4"/>
        </w:rPr>
        <w:t>金份额持有人持有的每一基金份额拥有平等的投票权。</w:t>
      </w:r>
    </w:p>
    <w:p>
      <w:pPr>
        <w:spacing w:after="0" w:line="364" w:lineRule="auto"/>
        <w:sectPr>
          <w:pgSz w:w="11910" w:h="16840"/>
          <w:pgMar w:header="877" w:footer="1195" w:top="1380" w:bottom="1380" w:left="1680" w:right="1480"/>
        </w:sectPr>
      </w:pPr>
    </w:p>
    <w:p>
      <w:pPr>
        <w:pStyle w:val="BodyText"/>
        <w:ind w:left="0"/>
        <w:rPr>
          <w:sz w:val="20"/>
        </w:rPr>
      </w:pPr>
    </w:p>
    <w:p>
      <w:pPr>
        <w:pStyle w:val="BodyText"/>
        <w:spacing w:before="8"/>
        <w:ind w:left="0"/>
        <w:rPr>
          <w:sz w:val="16"/>
        </w:rPr>
      </w:pPr>
    </w:p>
    <w:p>
      <w:pPr>
        <w:pStyle w:val="BodyText"/>
        <w:ind w:left="540"/>
      </w:pPr>
      <w:r>
        <w:rPr/>
        <w:t>一、召开事由</w:t>
      </w:r>
    </w:p>
    <w:p>
      <w:pPr>
        <w:pStyle w:val="BodyText"/>
        <w:spacing w:before="139"/>
        <w:ind w:left="540"/>
      </w:pPr>
      <w:r>
        <w:rPr/>
        <w:t>1、当出现或需要决定下列事由之一的，应当召开基金份额持有人大会：</w:t>
      </w:r>
    </w:p>
    <w:p>
      <w:pPr>
        <w:pStyle w:val="ListParagraph"/>
        <w:numPr>
          <w:ilvl w:val="0"/>
          <w:numId w:val="8"/>
        </w:numPr>
        <w:tabs>
          <w:tab w:pos="1070" w:val="left" w:leader="none"/>
        </w:tabs>
        <w:spacing w:line="240" w:lineRule="auto" w:before="141" w:after="0"/>
        <w:ind w:left="1069" w:right="0" w:hanging="530"/>
        <w:jc w:val="left"/>
        <w:rPr>
          <w:sz w:val="21"/>
        </w:rPr>
      </w:pPr>
      <w:r>
        <w:rPr>
          <w:spacing w:val="-15"/>
          <w:sz w:val="21"/>
        </w:rPr>
        <w:t>终止《基金合同》；</w:t>
      </w:r>
    </w:p>
    <w:p>
      <w:pPr>
        <w:pStyle w:val="ListParagraph"/>
        <w:numPr>
          <w:ilvl w:val="0"/>
          <w:numId w:val="8"/>
        </w:numPr>
        <w:tabs>
          <w:tab w:pos="1070" w:val="left" w:leader="none"/>
        </w:tabs>
        <w:spacing w:line="240" w:lineRule="auto" w:before="139" w:after="0"/>
        <w:ind w:left="1069" w:right="0" w:hanging="530"/>
        <w:jc w:val="left"/>
        <w:rPr>
          <w:sz w:val="21"/>
        </w:rPr>
      </w:pPr>
      <w:r>
        <w:rPr>
          <w:spacing w:val="-3"/>
          <w:sz w:val="21"/>
        </w:rPr>
        <w:t>更换基金管理人；</w:t>
      </w:r>
    </w:p>
    <w:p>
      <w:pPr>
        <w:pStyle w:val="ListParagraph"/>
        <w:numPr>
          <w:ilvl w:val="0"/>
          <w:numId w:val="8"/>
        </w:numPr>
        <w:tabs>
          <w:tab w:pos="1070" w:val="left" w:leader="none"/>
        </w:tabs>
        <w:spacing w:line="240" w:lineRule="auto" w:before="139" w:after="0"/>
        <w:ind w:left="1069" w:right="0" w:hanging="530"/>
        <w:jc w:val="left"/>
        <w:rPr>
          <w:sz w:val="21"/>
        </w:rPr>
      </w:pPr>
      <w:r>
        <w:rPr>
          <w:spacing w:val="-3"/>
          <w:sz w:val="21"/>
        </w:rPr>
        <w:t>更换基金托管人；</w:t>
      </w:r>
    </w:p>
    <w:p>
      <w:pPr>
        <w:pStyle w:val="ListParagraph"/>
        <w:numPr>
          <w:ilvl w:val="0"/>
          <w:numId w:val="8"/>
        </w:numPr>
        <w:tabs>
          <w:tab w:pos="1070" w:val="left" w:leader="none"/>
        </w:tabs>
        <w:spacing w:line="240" w:lineRule="auto" w:before="139" w:after="0"/>
        <w:ind w:left="1069" w:right="0" w:hanging="530"/>
        <w:jc w:val="left"/>
        <w:rPr>
          <w:sz w:val="21"/>
        </w:rPr>
      </w:pPr>
      <w:r>
        <w:rPr>
          <w:spacing w:val="-3"/>
          <w:sz w:val="21"/>
        </w:rPr>
        <w:t>转换基金运作方式；</w:t>
      </w:r>
    </w:p>
    <w:p>
      <w:pPr>
        <w:pStyle w:val="ListParagraph"/>
        <w:numPr>
          <w:ilvl w:val="0"/>
          <w:numId w:val="8"/>
        </w:numPr>
        <w:tabs>
          <w:tab w:pos="1070" w:val="left" w:leader="none"/>
        </w:tabs>
        <w:spacing w:line="240" w:lineRule="auto" w:before="141" w:after="0"/>
        <w:ind w:left="1069" w:right="0" w:hanging="530"/>
        <w:jc w:val="left"/>
        <w:rPr>
          <w:sz w:val="21"/>
        </w:rPr>
      </w:pPr>
      <w:r>
        <w:rPr>
          <w:spacing w:val="-3"/>
          <w:sz w:val="21"/>
        </w:rPr>
        <w:t>提高基金管理人、基金托管人的报酬标准；</w:t>
      </w:r>
    </w:p>
    <w:p>
      <w:pPr>
        <w:pStyle w:val="ListParagraph"/>
        <w:numPr>
          <w:ilvl w:val="0"/>
          <w:numId w:val="8"/>
        </w:numPr>
        <w:tabs>
          <w:tab w:pos="1070" w:val="left" w:leader="none"/>
        </w:tabs>
        <w:spacing w:line="240" w:lineRule="auto" w:before="140" w:after="0"/>
        <w:ind w:left="1069" w:right="0" w:hanging="530"/>
        <w:jc w:val="left"/>
        <w:rPr>
          <w:sz w:val="21"/>
        </w:rPr>
      </w:pPr>
      <w:r>
        <w:rPr>
          <w:spacing w:val="-3"/>
          <w:sz w:val="21"/>
        </w:rPr>
        <w:t>变更基金类别；</w:t>
      </w:r>
    </w:p>
    <w:p>
      <w:pPr>
        <w:pStyle w:val="ListParagraph"/>
        <w:numPr>
          <w:ilvl w:val="0"/>
          <w:numId w:val="8"/>
        </w:numPr>
        <w:tabs>
          <w:tab w:pos="1070" w:val="left" w:leader="none"/>
        </w:tabs>
        <w:spacing w:line="240" w:lineRule="auto" w:before="139" w:after="0"/>
        <w:ind w:left="1069" w:right="0" w:hanging="530"/>
        <w:jc w:val="left"/>
        <w:rPr>
          <w:sz w:val="21"/>
        </w:rPr>
      </w:pPr>
      <w:r>
        <w:rPr>
          <w:spacing w:val="-3"/>
          <w:sz w:val="21"/>
        </w:rPr>
        <w:t>变更基金投资目标、范围或策略；</w:t>
      </w:r>
    </w:p>
    <w:p>
      <w:pPr>
        <w:pStyle w:val="ListParagraph"/>
        <w:numPr>
          <w:ilvl w:val="0"/>
          <w:numId w:val="8"/>
        </w:numPr>
        <w:tabs>
          <w:tab w:pos="1070" w:val="left" w:leader="none"/>
        </w:tabs>
        <w:spacing w:line="240" w:lineRule="auto" w:before="139" w:after="0"/>
        <w:ind w:left="1069" w:right="0" w:hanging="530"/>
        <w:jc w:val="left"/>
        <w:rPr>
          <w:sz w:val="21"/>
        </w:rPr>
      </w:pPr>
      <w:r>
        <w:rPr>
          <w:spacing w:val="-3"/>
          <w:sz w:val="21"/>
        </w:rPr>
        <w:t>变更基金份额持有人大会程序；</w:t>
      </w:r>
    </w:p>
    <w:p>
      <w:pPr>
        <w:pStyle w:val="ListParagraph"/>
        <w:numPr>
          <w:ilvl w:val="0"/>
          <w:numId w:val="8"/>
        </w:numPr>
        <w:tabs>
          <w:tab w:pos="1070" w:val="left" w:leader="none"/>
        </w:tabs>
        <w:spacing w:line="240" w:lineRule="auto" w:before="139" w:after="0"/>
        <w:ind w:left="1069" w:right="0" w:hanging="530"/>
        <w:jc w:val="left"/>
        <w:rPr>
          <w:sz w:val="21"/>
        </w:rPr>
      </w:pPr>
      <w:r>
        <w:rPr>
          <w:spacing w:val="-3"/>
          <w:sz w:val="21"/>
        </w:rPr>
        <w:t>对基金当事人权利和义务产生重大影响的事项；</w:t>
      </w:r>
    </w:p>
    <w:p>
      <w:pPr>
        <w:pStyle w:val="ListParagraph"/>
        <w:numPr>
          <w:ilvl w:val="0"/>
          <w:numId w:val="8"/>
        </w:numPr>
        <w:tabs>
          <w:tab w:pos="1175" w:val="left" w:leader="none"/>
        </w:tabs>
        <w:spacing w:line="364" w:lineRule="auto" w:before="141" w:after="0"/>
        <w:ind w:left="120" w:right="314" w:firstLine="419"/>
        <w:jc w:val="left"/>
        <w:rPr>
          <w:sz w:val="21"/>
        </w:rPr>
      </w:pPr>
      <w:r>
        <w:rPr>
          <w:spacing w:val="-12"/>
          <w:sz w:val="21"/>
        </w:rPr>
        <w:t>法律法规、《基金合同》或中国证监会规定的其他应当召开基金份额持有人大会</w:t>
      </w:r>
      <w:r>
        <w:rPr>
          <w:spacing w:val="-7"/>
          <w:sz w:val="21"/>
        </w:rPr>
        <w:t>的事项。</w:t>
      </w:r>
    </w:p>
    <w:p>
      <w:pPr>
        <w:pStyle w:val="BodyText"/>
        <w:spacing w:line="267" w:lineRule="exact"/>
        <w:ind w:left="540"/>
      </w:pPr>
      <w:r>
        <w:rPr/>
        <w:t>2、以下情况可由基金管理人和基金托管人协商后修改，不需召开基金份额持有人大会：</w:t>
      </w:r>
    </w:p>
    <w:p>
      <w:pPr>
        <w:pStyle w:val="ListParagraph"/>
        <w:numPr>
          <w:ilvl w:val="0"/>
          <w:numId w:val="9"/>
        </w:numPr>
        <w:tabs>
          <w:tab w:pos="1070" w:val="left" w:leader="none"/>
        </w:tabs>
        <w:spacing w:line="240" w:lineRule="auto" w:before="139" w:after="0"/>
        <w:ind w:left="1069" w:right="0" w:hanging="530"/>
        <w:jc w:val="left"/>
        <w:rPr>
          <w:sz w:val="21"/>
        </w:rPr>
      </w:pPr>
      <w:r>
        <w:rPr>
          <w:spacing w:val="-3"/>
          <w:sz w:val="21"/>
        </w:rPr>
        <w:t>调低基金管理费、基金托管费；</w:t>
      </w:r>
    </w:p>
    <w:p>
      <w:pPr>
        <w:pStyle w:val="ListParagraph"/>
        <w:numPr>
          <w:ilvl w:val="0"/>
          <w:numId w:val="9"/>
        </w:numPr>
        <w:tabs>
          <w:tab w:pos="1070" w:val="left" w:leader="none"/>
        </w:tabs>
        <w:spacing w:line="240" w:lineRule="auto" w:before="139" w:after="0"/>
        <w:ind w:left="1069" w:right="0" w:hanging="530"/>
        <w:jc w:val="left"/>
        <w:rPr>
          <w:sz w:val="21"/>
        </w:rPr>
      </w:pPr>
      <w:r>
        <w:rPr>
          <w:spacing w:val="-3"/>
          <w:sz w:val="21"/>
        </w:rPr>
        <w:t>在《基金合同》规定的范围内变更本基金的申购费率、赎回费率或收费方式；</w:t>
      </w:r>
    </w:p>
    <w:p>
      <w:pPr>
        <w:pStyle w:val="ListParagraph"/>
        <w:numPr>
          <w:ilvl w:val="0"/>
          <w:numId w:val="9"/>
        </w:numPr>
        <w:tabs>
          <w:tab w:pos="1070" w:val="left" w:leader="none"/>
        </w:tabs>
        <w:spacing w:line="240" w:lineRule="auto" w:before="142" w:after="0"/>
        <w:ind w:left="1069" w:right="0" w:hanging="530"/>
        <w:jc w:val="left"/>
        <w:rPr>
          <w:sz w:val="21"/>
        </w:rPr>
      </w:pPr>
      <w:r>
        <w:rPr>
          <w:spacing w:val="-3"/>
          <w:sz w:val="21"/>
        </w:rPr>
        <w:t>因相应的法律法规发生变动而应当对《基金合同》进行修改；</w:t>
      </w:r>
    </w:p>
    <w:p>
      <w:pPr>
        <w:pStyle w:val="ListParagraph"/>
        <w:numPr>
          <w:ilvl w:val="0"/>
          <w:numId w:val="9"/>
        </w:numPr>
        <w:tabs>
          <w:tab w:pos="1070" w:val="left" w:leader="none"/>
        </w:tabs>
        <w:spacing w:line="364" w:lineRule="auto" w:before="139" w:after="0"/>
        <w:ind w:left="120" w:right="314" w:firstLine="419"/>
        <w:jc w:val="left"/>
        <w:rPr>
          <w:sz w:val="21"/>
        </w:rPr>
      </w:pPr>
      <w:r>
        <w:rPr>
          <w:spacing w:val="-3"/>
          <w:sz w:val="21"/>
        </w:rPr>
        <w:t>对《基金合同》的修改对基金份额持有人利益无实质性不利影响或修改不涉及基金合同当事人权利义务关系发生变化；</w:t>
      </w:r>
    </w:p>
    <w:p>
      <w:pPr>
        <w:pStyle w:val="ListParagraph"/>
        <w:numPr>
          <w:ilvl w:val="0"/>
          <w:numId w:val="9"/>
        </w:numPr>
        <w:tabs>
          <w:tab w:pos="1070" w:val="left" w:leader="none"/>
        </w:tabs>
        <w:spacing w:line="367" w:lineRule="auto" w:before="0" w:after="0"/>
        <w:ind w:left="120" w:right="313" w:firstLine="419"/>
        <w:jc w:val="left"/>
        <w:rPr>
          <w:sz w:val="21"/>
        </w:rPr>
      </w:pPr>
      <w:r>
        <w:rPr>
          <w:spacing w:val="-3"/>
          <w:sz w:val="21"/>
        </w:rPr>
        <w:t>除按照法律法规和《基金合同》规定应当召开基金份额持有人大会的以外的其他情形。</w:t>
      </w:r>
    </w:p>
    <w:p>
      <w:pPr>
        <w:pStyle w:val="BodyText"/>
        <w:ind w:left="0"/>
        <w:rPr>
          <w:sz w:val="20"/>
        </w:rPr>
      </w:pPr>
    </w:p>
    <w:p>
      <w:pPr>
        <w:pStyle w:val="BodyText"/>
        <w:spacing w:before="144"/>
        <w:ind w:left="540"/>
      </w:pPr>
      <w:r>
        <w:rPr/>
        <w:t>二、会议召集人及召集方式</w:t>
      </w:r>
    </w:p>
    <w:p>
      <w:pPr>
        <w:pStyle w:val="BodyText"/>
        <w:spacing w:line="364" w:lineRule="auto" w:before="140"/>
        <w:ind w:right="314" w:firstLine="419"/>
      </w:pPr>
      <w:r>
        <w:rPr/>
        <w:t>1、除法律法规规定或《基金合同》另有约定外，基金份额持有人大会由基金管理人召集；</w:t>
      </w:r>
    </w:p>
    <w:p>
      <w:pPr>
        <w:pStyle w:val="BodyText"/>
        <w:ind w:left="540"/>
      </w:pPr>
      <w:r>
        <w:rPr/>
        <w:t>2、基金管理人未按规定召集或不能召集时，由基金托管人召集；</w:t>
      </w:r>
    </w:p>
    <w:p>
      <w:pPr>
        <w:pStyle w:val="BodyText"/>
        <w:spacing w:line="364" w:lineRule="auto" w:before="139"/>
        <w:ind w:right="205" w:firstLine="419"/>
        <w:jc w:val="both"/>
      </w:pPr>
      <w:r>
        <w:rPr/>
        <w:t>3</w:t>
      </w:r>
      <w:r>
        <w:rPr>
          <w:spacing w:val="-3"/>
        </w:rPr>
        <w:t>、基金托管人认为有必要召开基金份额持有人大会的，应当向基金管理人提出书面提</w:t>
      </w:r>
      <w:r>
        <w:rPr>
          <w:spacing w:val="-11"/>
        </w:rPr>
        <w:t>议。基金管理人应当自收到书面提议之日起 </w:t>
      </w:r>
      <w:r>
        <w:rPr/>
        <w:t>10</w:t>
      </w:r>
      <w:r>
        <w:rPr>
          <w:spacing w:val="-11"/>
        </w:rPr>
        <w:t> 日内决定是否召集，并书面告知基金托管人。</w:t>
      </w:r>
    </w:p>
    <w:p>
      <w:pPr>
        <w:pStyle w:val="BodyText"/>
        <w:spacing w:line="364" w:lineRule="auto"/>
        <w:ind w:right="208"/>
        <w:jc w:val="both"/>
      </w:pPr>
      <w:r>
        <w:rPr>
          <w:spacing w:val="-11"/>
        </w:rPr>
        <w:t>基金管理人决定召集的，应当自出具书面决定之日起 </w:t>
      </w:r>
      <w:r>
        <w:rPr/>
        <w:t>60</w:t>
      </w:r>
      <w:r>
        <w:rPr>
          <w:spacing w:val="-11"/>
        </w:rPr>
        <w:t> 日内召开；基金管理人决定不召集， </w:t>
      </w:r>
      <w:r>
        <w:rPr>
          <w:spacing w:val="-6"/>
        </w:rPr>
        <w:t>基金托管人仍认为有必要召开的，应当由基金托管人自行召集。</w:t>
      </w:r>
    </w:p>
    <w:p>
      <w:pPr>
        <w:pStyle w:val="BodyText"/>
        <w:spacing w:line="364" w:lineRule="auto"/>
        <w:ind w:right="311" w:firstLine="419"/>
        <w:jc w:val="both"/>
      </w:pPr>
      <w:r>
        <w:rPr/>
        <w:t>4、代表基金份额 10</w:t>
      </w:r>
      <w:r>
        <w:rPr>
          <w:spacing w:val="-1"/>
        </w:rPr>
        <w:t>%以上</w:t>
      </w:r>
      <w:r>
        <w:rPr/>
        <w:t>（</w:t>
      </w:r>
      <w:r>
        <w:rPr>
          <w:spacing w:val="8"/>
        </w:rPr>
        <w:t>含 </w:t>
      </w:r>
      <w:r>
        <w:rPr/>
        <w:t>10%）</w:t>
      </w:r>
      <w:r>
        <w:rPr>
          <w:spacing w:val="-3"/>
        </w:rPr>
        <w:t>的基金份额持有人就同一事项书面要求召开基金</w:t>
      </w:r>
      <w:r>
        <w:rPr>
          <w:spacing w:val="-11"/>
        </w:rPr>
        <w:t>份额持有人大会，应当向基金管理人提出书面提议。基金管理人应当自收到书面提议之日起10</w:t>
      </w:r>
      <w:r>
        <w:rPr>
          <w:spacing w:val="-3"/>
        </w:rPr>
        <w:t> 日内决定是否召集，并书面告知提出提议的基金份额持有人代表和基金托管人。基金管</w:t>
      </w:r>
    </w:p>
    <w:p>
      <w:pPr>
        <w:spacing w:after="0" w:line="364" w:lineRule="auto"/>
        <w:jc w:val="both"/>
        <w:sectPr>
          <w:pgSz w:w="11910" w:h="16840"/>
          <w:pgMar w:header="877" w:footer="1195" w:top="1380" w:bottom="1380" w:left="1680" w:right="1480"/>
        </w:sectPr>
      </w:pPr>
    </w:p>
    <w:p>
      <w:pPr>
        <w:pStyle w:val="BodyText"/>
        <w:spacing w:line="364" w:lineRule="auto" w:before="61"/>
        <w:ind w:right="311"/>
        <w:jc w:val="both"/>
      </w:pPr>
      <w:r>
        <w:rPr>
          <w:spacing w:val="-6"/>
        </w:rPr>
        <w:t>理人决定召集的，应当自出具书面决定之日起 </w:t>
      </w:r>
      <w:r>
        <w:rPr/>
        <w:t>60</w:t>
      </w:r>
      <w:r>
        <w:rPr>
          <w:spacing w:val="-7"/>
        </w:rPr>
        <w:t> 日内召开；基金管理人决定不召集，代表</w:t>
      </w:r>
      <w:r>
        <w:rPr>
          <w:spacing w:val="-1"/>
        </w:rPr>
        <w:t>基金份额 </w:t>
      </w:r>
      <w:r>
        <w:rPr/>
        <w:t>10</w:t>
      </w:r>
      <w:r>
        <w:rPr>
          <w:spacing w:val="-12"/>
        </w:rPr>
        <w:t>%以上</w:t>
      </w:r>
      <w:r>
        <w:rPr>
          <w:spacing w:val="-3"/>
        </w:rPr>
        <w:t>（</w:t>
      </w:r>
      <w:r>
        <w:rPr>
          <w:spacing w:val="10"/>
        </w:rPr>
        <w:t>含 </w:t>
      </w:r>
      <w:r>
        <w:rPr>
          <w:spacing w:val="-10"/>
        </w:rPr>
        <w:t>10%）</w:t>
      </w:r>
      <w:r>
        <w:rPr>
          <w:spacing w:val="-5"/>
        </w:rPr>
        <w:t>的基金份额持有人仍认为有必要召开的，应当向基金托管人提</w:t>
      </w:r>
      <w:r>
        <w:rPr>
          <w:spacing w:val="-8"/>
        </w:rPr>
        <w:t>出书面提议。基金托管人应当自收到书面提议之日起 </w:t>
      </w:r>
      <w:r>
        <w:rPr/>
        <w:t>10</w:t>
      </w:r>
      <w:r>
        <w:rPr>
          <w:spacing w:val="-7"/>
        </w:rPr>
        <w:t> 日内决定是否召集，并书面告知提</w:t>
      </w:r>
      <w:r>
        <w:rPr>
          <w:spacing w:val="-10"/>
        </w:rPr>
        <w:t>出提议的基金份额持有人代表和基金管理人；基金托管人决定召集的，应当自出具书面决定</w:t>
      </w:r>
      <w:r>
        <w:rPr>
          <w:spacing w:val="-8"/>
        </w:rPr>
        <w:t>之日起 </w:t>
      </w:r>
      <w:r>
        <w:rPr/>
        <w:t>60</w:t>
      </w:r>
      <w:r>
        <w:rPr>
          <w:spacing w:val="-3"/>
        </w:rPr>
        <w:t> 日内召开。</w:t>
      </w:r>
    </w:p>
    <w:p>
      <w:pPr>
        <w:pStyle w:val="BodyText"/>
        <w:spacing w:line="364" w:lineRule="auto"/>
        <w:ind w:right="311" w:firstLine="419"/>
        <w:jc w:val="both"/>
      </w:pPr>
      <w:r>
        <w:rPr/>
        <w:t>5</w:t>
      </w:r>
      <w:r>
        <w:rPr>
          <w:spacing w:val="-4"/>
        </w:rPr>
        <w:t>、如在上述第 </w:t>
      </w:r>
      <w:r>
        <w:rPr/>
        <w:t>4</w:t>
      </w:r>
      <w:r>
        <w:rPr>
          <w:spacing w:val="-7"/>
        </w:rPr>
        <w:t> 条情况下，基金管理人、基金托管人都不召集的，单独或合计代表基</w:t>
      </w:r>
      <w:r>
        <w:rPr>
          <w:spacing w:val="-4"/>
        </w:rPr>
        <w:t>金份额 </w:t>
      </w:r>
      <w:r>
        <w:rPr/>
        <w:t>10</w:t>
      </w:r>
      <w:r>
        <w:rPr>
          <w:spacing w:val="-12"/>
        </w:rPr>
        <w:t>%以上</w:t>
      </w:r>
      <w:r>
        <w:rPr/>
        <w:t>（</w:t>
      </w:r>
      <w:r>
        <w:rPr>
          <w:spacing w:val="4"/>
        </w:rPr>
        <w:t>含 </w:t>
      </w:r>
      <w:r>
        <w:rPr>
          <w:spacing w:val="-9"/>
        </w:rPr>
        <w:t>10%）</w:t>
      </w:r>
      <w:r>
        <w:rPr>
          <w:spacing w:val="-5"/>
        </w:rPr>
        <w:t>的基金份额持有人有权自行召集，并至少提前 </w:t>
      </w:r>
      <w:r>
        <w:rPr/>
        <w:t>30</w:t>
      </w:r>
      <w:r>
        <w:rPr>
          <w:spacing w:val="-1"/>
        </w:rPr>
        <w:t> 日报中国证监</w:t>
      </w:r>
      <w:r>
        <w:rPr>
          <w:spacing w:val="-9"/>
        </w:rPr>
        <w:t>会备案。基金份额持有人依法自行召集基金份额持有人大会的，基金管理人、基金托管人应</w:t>
      </w:r>
      <w:r>
        <w:rPr>
          <w:spacing w:val="-5"/>
        </w:rPr>
        <w:t>当配合，不得阻碍、干扰。</w:t>
      </w:r>
    </w:p>
    <w:p>
      <w:pPr>
        <w:pStyle w:val="BodyText"/>
        <w:spacing w:line="268" w:lineRule="exact"/>
        <w:ind w:left="540"/>
      </w:pPr>
      <w:r>
        <w:rPr/>
        <w:t>6、基金份额持有人会议的召集人负责选择确定开会时间、地点、方式和权益登记日。</w:t>
      </w:r>
    </w:p>
    <w:p>
      <w:pPr>
        <w:pStyle w:val="BodyText"/>
        <w:ind w:left="0"/>
        <w:rPr>
          <w:sz w:val="20"/>
        </w:rPr>
      </w:pPr>
    </w:p>
    <w:p>
      <w:pPr>
        <w:pStyle w:val="BodyText"/>
        <w:spacing w:before="6"/>
        <w:ind w:left="0"/>
        <w:rPr>
          <w:sz w:val="22"/>
        </w:rPr>
      </w:pPr>
    </w:p>
    <w:p>
      <w:pPr>
        <w:pStyle w:val="BodyText"/>
        <w:spacing w:before="1"/>
        <w:ind w:left="540"/>
      </w:pPr>
      <w:r>
        <w:rPr/>
        <w:t>三、召开基金份额持有人大会的通知时间、通知内容、通知方式</w:t>
      </w:r>
    </w:p>
    <w:p>
      <w:pPr>
        <w:pStyle w:val="BodyText"/>
        <w:spacing w:line="364" w:lineRule="auto" w:before="141"/>
        <w:ind w:right="313" w:firstLine="419"/>
      </w:pPr>
      <w:r>
        <w:rPr/>
        <w:t>1、召开基金份额持有人大会，召集人应于会议召开前 40 天，在指定媒介公告。基金份额持有人大会通知应至少载明以下内容：</w:t>
      </w:r>
    </w:p>
    <w:p>
      <w:pPr>
        <w:pStyle w:val="ListParagraph"/>
        <w:numPr>
          <w:ilvl w:val="0"/>
          <w:numId w:val="10"/>
        </w:numPr>
        <w:tabs>
          <w:tab w:pos="1070" w:val="left" w:leader="none"/>
        </w:tabs>
        <w:spacing w:line="267" w:lineRule="exact" w:before="0" w:after="0"/>
        <w:ind w:left="1069" w:right="0" w:hanging="530"/>
        <w:jc w:val="left"/>
        <w:rPr>
          <w:sz w:val="21"/>
        </w:rPr>
      </w:pPr>
      <w:r>
        <w:rPr>
          <w:spacing w:val="-3"/>
          <w:sz w:val="21"/>
        </w:rPr>
        <w:t>会议召开的时间、地点、方式；</w:t>
      </w:r>
    </w:p>
    <w:p>
      <w:pPr>
        <w:pStyle w:val="ListParagraph"/>
        <w:numPr>
          <w:ilvl w:val="0"/>
          <w:numId w:val="10"/>
        </w:numPr>
        <w:tabs>
          <w:tab w:pos="1070" w:val="left" w:leader="none"/>
        </w:tabs>
        <w:spacing w:line="240" w:lineRule="auto" w:before="139" w:after="0"/>
        <w:ind w:left="1069" w:right="0" w:hanging="530"/>
        <w:jc w:val="left"/>
        <w:rPr>
          <w:sz w:val="21"/>
        </w:rPr>
      </w:pPr>
      <w:r>
        <w:rPr>
          <w:spacing w:val="-3"/>
          <w:sz w:val="21"/>
        </w:rPr>
        <w:t>会议拟审议的事项、议事程序；</w:t>
      </w:r>
    </w:p>
    <w:p>
      <w:pPr>
        <w:pStyle w:val="ListParagraph"/>
        <w:numPr>
          <w:ilvl w:val="0"/>
          <w:numId w:val="10"/>
        </w:numPr>
        <w:tabs>
          <w:tab w:pos="1070" w:val="left" w:leader="none"/>
        </w:tabs>
        <w:spacing w:line="240" w:lineRule="auto" w:before="139" w:after="0"/>
        <w:ind w:left="1069" w:right="0" w:hanging="530"/>
        <w:jc w:val="left"/>
        <w:rPr>
          <w:sz w:val="21"/>
        </w:rPr>
      </w:pPr>
      <w:r>
        <w:rPr>
          <w:spacing w:val="-3"/>
          <w:sz w:val="21"/>
        </w:rPr>
        <w:t>有权出席基金份额持有人大会的基金份额持有人的权益登记日；</w:t>
      </w:r>
    </w:p>
    <w:p>
      <w:pPr>
        <w:pStyle w:val="ListParagraph"/>
        <w:numPr>
          <w:ilvl w:val="0"/>
          <w:numId w:val="10"/>
        </w:numPr>
        <w:tabs>
          <w:tab w:pos="1070" w:val="left" w:leader="none"/>
        </w:tabs>
        <w:spacing w:line="240" w:lineRule="auto" w:before="141" w:after="0"/>
        <w:ind w:left="1069" w:right="0" w:hanging="530"/>
        <w:jc w:val="left"/>
        <w:rPr>
          <w:sz w:val="21"/>
        </w:rPr>
      </w:pPr>
      <w:r>
        <w:rPr>
          <w:spacing w:val="-3"/>
          <w:sz w:val="21"/>
        </w:rPr>
        <w:t>代理投票授权委托书送达时间和地点；</w:t>
      </w:r>
    </w:p>
    <w:p>
      <w:pPr>
        <w:pStyle w:val="ListParagraph"/>
        <w:numPr>
          <w:ilvl w:val="0"/>
          <w:numId w:val="10"/>
        </w:numPr>
        <w:tabs>
          <w:tab w:pos="1070" w:val="left" w:leader="none"/>
        </w:tabs>
        <w:spacing w:line="240" w:lineRule="auto" w:before="139" w:after="0"/>
        <w:ind w:left="1069" w:right="0" w:hanging="530"/>
        <w:jc w:val="left"/>
        <w:rPr>
          <w:sz w:val="21"/>
        </w:rPr>
      </w:pPr>
      <w:r>
        <w:rPr>
          <w:spacing w:val="-3"/>
          <w:sz w:val="21"/>
        </w:rPr>
        <w:t>会务常设联系人姓名及联系电话。</w:t>
      </w:r>
    </w:p>
    <w:p>
      <w:pPr>
        <w:pStyle w:val="BodyText"/>
        <w:spacing w:line="364" w:lineRule="auto" w:before="139"/>
        <w:ind w:right="311" w:firstLine="419"/>
        <w:jc w:val="both"/>
      </w:pPr>
      <w:r>
        <w:rPr/>
        <w:t>2</w:t>
      </w:r>
      <w:r>
        <w:rPr>
          <w:spacing w:val="-3"/>
        </w:rPr>
        <w:t>、采取通讯开会方式并进行表决的情况下，由会议召集人决定通讯方式和书面表决方</w:t>
      </w:r>
      <w:r>
        <w:rPr>
          <w:spacing w:val="-11"/>
        </w:rPr>
        <w:t>式，并在会议通知中说明本次基金份额持有人大会所采取的具体通讯方式、委托的公证机关</w:t>
      </w:r>
      <w:r>
        <w:rPr>
          <w:spacing w:val="-6"/>
        </w:rPr>
        <w:t>及其联系方式和联系人、书面表决意见寄交的截止时间和收取方式。</w:t>
      </w:r>
    </w:p>
    <w:p>
      <w:pPr>
        <w:pStyle w:val="BodyText"/>
        <w:ind w:left="0"/>
        <w:rPr>
          <w:sz w:val="20"/>
        </w:rPr>
      </w:pPr>
    </w:p>
    <w:p>
      <w:pPr>
        <w:pStyle w:val="BodyText"/>
        <w:spacing w:before="152"/>
        <w:ind w:left="540"/>
      </w:pPr>
      <w:r>
        <w:rPr/>
        <w:t>四、基金份额持有人出席会议的方式</w:t>
      </w:r>
    </w:p>
    <w:p>
      <w:pPr>
        <w:pStyle w:val="BodyText"/>
        <w:spacing w:before="139"/>
        <w:ind w:left="540"/>
      </w:pPr>
      <w:r>
        <w:rPr/>
        <w:t>基金份额持有人大会可通过现场开会方式或通讯开会方式召开。</w:t>
      </w:r>
    </w:p>
    <w:p>
      <w:pPr>
        <w:pStyle w:val="BodyText"/>
        <w:spacing w:line="367" w:lineRule="auto" w:before="139"/>
        <w:ind w:right="311" w:firstLine="419"/>
      </w:pPr>
      <w:r>
        <w:rPr>
          <w:spacing w:val="-9"/>
        </w:rPr>
        <w:t>会议的召开方式由会议召集人确定，但更换基金管理人和基金托管人必须以现场开会方</w:t>
      </w:r>
      <w:r>
        <w:rPr>
          <w:spacing w:val="-6"/>
        </w:rPr>
        <w:t>式召开。</w:t>
      </w:r>
    </w:p>
    <w:p>
      <w:pPr>
        <w:pStyle w:val="BodyText"/>
        <w:spacing w:line="364" w:lineRule="auto"/>
        <w:ind w:right="311" w:firstLine="419"/>
        <w:jc w:val="both"/>
      </w:pPr>
      <w:r>
        <w:rPr/>
        <w:t>1</w:t>
      </w:r>
      <w:r>
        <w:rPr>
          <w:spacing w:val="-3"/>
        </w:rPr>
        <w:t>、现场开会。由基金份额持有人本人出席或以代理投票授权委托书委派代表出席，现</w:t>
      </w:r>
      <w:r>
        <w:rPr>
          <w:spacing w:val="-6"/>
        </w:rPr>
        <w:t>场开会时基金管理人和基金托管人的授权代表应当出席基金份额持有人大会。现场开会同时</w:t>
      </w:r>
      <w:r>
        <w:rPr>
          <w:spacing w:val="-4"/>
        </w:rPr>
        <w:t>符合以下条件时，可以进行基金份额持有人大会议程：</w:t>
      </w:r>
    </w:p>
    <w:p>
      <w:pPr>
        <w:pStyle w:val="ListParagraph"/>
        <w:numPr>
          <w:ilvl w:val="0"/>
          <w:numId w:val="11"/>
        </w:numPr>
        <w:tabs>
          <w:tab w:pos="1070" w:val="left" w:leader="none"/>
        </w:tabs>
        <w:spacing w:line="367" w:lineRule="auto" w:before="0" w:after="0"/>
        <w:ind w:left="120" w:right="314" w:firstLine="419"/>
        <w:jc w:val="left"/>
        <w:rPr>
          <w:sz w:val="21"/>
        </w:rPr>
      </w:pPr>
      <w:r>
        <w:rPr>
          <w:spacing w:val="-3"/>
          <w:sz w:val="21"/>
        </w:rPr>
        <w:t>亲自出席会议者持有基金份额的凭证、受托出席会议者出具的委托人持有基金份</w:t>
      </w:r>
      <w:r>
        <w:rPr>
          <w:spacing w:val="-8"/>
          <w:sz w:val="21"/>
        </w:rPr>
        <w:t>额的凭证及委托人的代理投票授权委托书符合法律法规、《基金合同》和会议通知的规定；</w:t>
      </w:r>
    </w:p>
    <w:p>
      <w:pPr>
        <w:pStyle w:val="ListParagraph"/>
        <w:numPr>
          <w:ilvl w:val="0"/>
          <w:numId w:val="11"/>
        </w:numPr>
        <w:tabs>
          <w:tab w:pos="1070" w:val="left" w:leader="none"/>
        </w:tabs>
        <w:spacing w:line="364" w:lineRule="auto" w:before="0" w:after="0"/>
        <w:ind w:left="120" w:right="314" w:firstLine="419"/>
        <w:jc w:val="left"/>
        <w:rPr>
          <w:sz w:val="21"/>
        </w:rPr>
      </w:pPr>
      <w:r>
        <w:rPr>
          <w:spacing w:val="-3"/>
          <w:sz w:val="21"/>
        </w:rPr>
        <w:t>经核对，汇总到会者出示的在权利登记日持有基金份额的凭证显示，有效的基金</w:t>
      </w:r>
      <w:r>
        <w:rPr>
          <w:spacing w:val="-3"/>
          <w:w w:val="100"/>
          <w:sz w:val="21"/>
        </w:rPr>
        <w:t>份额不少于本基金在权益登记日基金总份额的</w:t>
      </w:r>
      <w:r>
        <w:rPr>
          <w:spacing w:val="-2"/>
          <w:sz w:val="21"/>
        </w:rPr>
        <w:t> </w:t>
      </w:r>
      <w:r>
        <w:rPr>
          <w:w w:val="100"/>
          <w:sz w:val="21"/>
        </w:rPr>
        <w:t>50</w:t>
      </w:r>
      <w:r>
        <w:rPr>
          <w:spacing w:val="-2"/>
          <w:w w:val="100"/>
          <w:sz w:val="21"/>
        </w:rPr>
        <w:t>%</w:t>
      </w:r>
      <w:r>
        <w:rPr>
          <w:w w:val="100"/>
          <w:sz w:val="21"/>
        </w:rPr>
        <w:t>（含</w:t>
      </w:r>
      <w:r>
        <w:rPr>
          <w:sz w:val="21"/>
        </w:rPr>
        <w:t> </w:t>
      </w:r>
      <w:r>
        <w:rPr>
          <w:spacing w:val="-3"/>
          <w:w w:val="100"/>
          <w:sz w:val="21"/>
        </w:rPr>
        <w:t>5</w:t>
      </w:r>
      <w:r>
        <w:rPr>
          <w:w w:val="100"/>
          <w:sz w:val="21"/>
        </w:rPr>
        <w:t>0</w:t>
      </w:r>
      <w:r>
        <w:rPr>
          <w:spacing w:val="-1"/>
          <w:w w:val="100"/>
          <w:sz w:val="21"/>
        </w:rPr>
        <w:t>%</w:t>
      </w:r>
      <w:r>
        <w:rPr>
          <w:spacing w:val="-108"/>
          <w:w w:val="100"/>
          <w:sz w:val="21"/>
        </w:rPr>
        <w:t>）。</w:t>
      </w:r>
    </w:p>
    <w:p>
      <w:pPr>
        <w:spacing w:after="0" w:line="364" w:lineRule="auto"/>
        <w:jc w:val="left"/>
        <w:rPr>
          <w:sz w:val="21"/>
        </w:rPr>
        <w:sectPr>
          <w:pgSz w:w="11910" w:h="16840"/>
          <w:pgMar w:header="877" w:footer="1195" w:top="1380" w:bottom="1380" w:left="1680" w:right="1480"/>
        </w:sectPr>
      </w:pPr>
    </w:p>
    <w:p>
      <w:pPr>
        <w:pStyle w:val="BodyText"/>
        <w:spacing w:line="364" w:lineRule="auto" w:before="61"/>
        <w:ind w:right="311" w:firstLine="419"/>
      </w:pPr>
      <w:r>
        <w:rPr>
          <w:spacing w:val="-10"/>
        </w:rPr>
        <w:t>如上述条件未能满足，则召集人可另行确定并公告重新开会的时间和地点，但确定有权</w:t>
      </w:r>
      <w:r>
        <w:rPr>
          <w:spacing w:val="-5"/>
        </w:rPr>
        <w:t>出席会议的基金份额持有人资格的权益登记日不变。</w:t>
      </w:r>
    </w:p>
    <w:p>
      <w:pPr>
        <w:pStyle w:val="BodyText"/>
        <w:spacing w:line="367" w:lineRule="auto"/>
        <w:ind w:right="314" w:firstLine="419"/>
      </w:pPr>
      <w:r>
        <w:rPr/>
        <w:t>2、通讯开会。通讯开会系指基金份额持有人将其对表决事项的投票以书面形式在表决截至日以前送达至召集人指定的地址。通讯开会应以书面方式进行表决。</w:t>
      </w:r>
    </w:p>
    <w:p>
      <w:pPr>
        <w:pStyle w:val="BodyText"/>
        <w:spacing w:line="264" w:lineRule="exact"/>
        <w:ind w:left="540"/>
      </w:pPr>
      <w:r>
        <w:rPr/>
        <w:t>在同时符合以下条件时，通讯开会的方式视为有效：</w:t>
      </w:r>
    </w:p>
    <w:p>
      <w:pPr>
        <w:pStyle w:val="ListParagraph"/>
        <w:numPr>
          <w:ilvl w:val="0"/>
          <w:numId w:val="12"/>
        </w:numPr>
        <w:tabs>
          <w:tab w:pos="1070" w:val="left" w:leader="none"/>
        </w:tabs>
        <w:spacing w:line="364" w:lineRule="auto" w:before="137" w:after="0"/>
        <w:ind w:left="120" w:right="311" w:firstLine="419"/>
        <w:jc w:val="left"/>
        <w:rPr>
          <w:sz w:val="21"/>
        </w:rPr>
      </w:pPr>
      <w:r>
        <w:rPr>
          <w:spacing w:val="-9"/>
          <w:sz w:val="21"/>
        </w:rPr>
        <w:t>会议召集人按《基金合同》规定公布会议通知后，在 </w:t>
      </w:r>
      <w:r>
        <w:rPr>
          <w:sz w:val="21"/>
        </w:rPr>
        <w:t>2</w:t>
      </w:r>
      <w:r>
        <w:rPr>
          <w:spacing w:val="-2"/>
          <w:sz w:val="21"/>
        </w:rPr>
        <w:t> 个工作日内连续公布相关提示性公告；</w:t>
      </w:r>
    </w:p>
    <w:p>
      <w:pPr>
        <w:pStyle w:val="ListParagraph"/>
        <w:numPr>
          <w:ilvl w:val="0"/>
          <w:numId w:val="12"/>
        </w:numPr>
        <w:tabs>
          <w:tab w:pos="1070" w:val="left" w:leader="none"/>
        </w:tabs>
        <w:spacing w:line="364" w:lineRule="auto" w:before="1" w:after="0"/>
        <w:ind w:left="120" w:right="314" w:firstLine="419"/>
        <w:jc w:val="left"/>
        <w:rPr>
          <w:sz w:val="21"/>
        </w:rPr>
      </w:pPr>
      <w:r>
        <w:rPr>
          <w:spacing w:val="-3"/>
          <w:sz w:val="21"/>
        </w:rPr>
        <w:t>会议召集人在基金托管人</w:t>
      </w:r>
      <w:r>
        <w:rPr>
          <w:sz w:val="21"/>
        </w:rPr>
        <w:t>（</w:t>
      </w:r>
      <w:r>
        <w:rPr>
          <w:spacing w:val="-3"/>
          <w:sz w:val="21"/>
        </w:rPr>
        <w:t>如果基金托管人为召集人，则为基金管理人</w:t>
      </w:r>
      <w:r>
        <w:rPr>
          <w:sz w:val="21"/>
        </w:rPr>
        <w:t>）</w:t>
      </w:r>
      <w:r>
        <w:rPr>
          <w:spacing w:val="-2"/>
          <w:sz w:val="21"/>
        </w:rPr>
        <w:t>和公证</w:t>
      </w:r>
      <w:r>
        <w:rPr>
          <w:spacing w:val="-3"/>
          <w:sz w:val="21"/>
        </w:rPr>
        <w:t>机关的监督下按照会议通知规定的方式收取基金份额持有人的书面表决意见；</w:t>
      </w:r>
    </w:p>
    <w:p>
      <w:pPr>
        <w:pStyle w:val="ListParagraph"/>
        <w:numPr>
          <w:ilvl w:val="0"/>
          <w:numId w:val="12"/>
        </w:numPr>
        <w:tabs>
          <w:tab w:pos="1070" w:val="left" w:leader="none"/>
        </w:tabs>
        <w:spacing w:line="364" w:lineRule="auto" w:before="0" w:after="0"/>
        <w:ind w:left="120" w:right="314" w:firstLine="419"/>
        <w:jc w:val="left"/>
        <w:rPr>
          <w:sz w:val="21"/>
        </w:rPr>
      </w:pPr>
      <w:r>
        <w:rPr>
          <w:spacing w:val="-3"/>
          <w:sz w:val="21"/>
        </w:rPr>
        <w:t>本人直接出具书面意见或授权他人代表出具书面意见的，基金份额持有人所持有</w:t>
      </w:r>
      <w:r>
        <w:rPr>
          <w:spacing w:val="-3"/>
          <w:w w:val="100"/>
          <w:sz w:val="21"/>
        </w:rPr>
        <w:t>的基金份额不小于在权益登记日基金总份额的</w:t>
      </w:r>
      <w:r>
        <w:rPr>
          <w:spacing w:val="-2"/>
          <w:sz w:val="21"/>
        </w:rPr>
        <w:t> </w:t>
      </w:r>
      <w:r>
        <w:rPr>
          <w:w w:val="100"/>
          <w:sz w:val="21"/>
        </w:rPr>
        <w:t>50</w:t>
      </w:r>
      <w:r>
        <w:rPr>
          <w:spacing w:val="-2"/>
          <w:w w:val="100"/>
          <w:sz w:val="21"/>
        </w:rPr>
        <w:t>%</w:t>
      </w:r>
      <w:r>
        <w:rPr>
          <w:w w:val="100"/>
          <w:sz w:val="21"/>
        </w:rPr>
        <w:t>（含</w:t>
      </w:r>
      <w:r>
        <w:rPr>
          <w:sz w:val="21"/>
        </w:rPr>
        <w:t> </w:t>
      </w:r>
      <w:r>
        <w:rPr>
          <w:spacing w:val="-3"/>
          <w:w w:val="100"/>
          <w:sz w:val="21"/>
        </w:rPr>
        <w:t>5</w:t>
      </w:r>
      <w:r>
        <w:rPr>
          <w:w w:val="100"/>
          <w:sz w:val="21"/>
        </w:rPr>
        <w:t>0</w:t>
      </w:r>
      <w:r>
        <w:rPr>
          <w:spacing w:val="-1"/>
          <w:w w:val="100"/>
          <w:sz w:val="21"/>
        </w:rPr>
        <w:t>%</w:t>
      </w:r>
      <w:r>
        <w:rPr>
          <w:spacing w:val="-108"/>
          <w:w w:val="100"/>
          <w:sz w:val="21"/>
        </w:rPr>
        <w:t>）；</w:t>
      </w:r>
    </w:p>
    <w:p>
      <w:pPr>
        <w:pStyle w:val="BodyText"/>
        <w:spacing w:line="367" w:lineRule="auto"/>
        <w:ind w:right="311" w:firstLine="419"/>
      </w:pPr>
      <w:r>
        <w:rPr>
          <w:spacing w:val="-10"/>
        </w:rPr>
        <w:t>如上述条件未能满足，则召集人可另行确定并公告重新开会的时间和地点，但确定有权</w:t>
      </w:r>
      <w:r>
        <w:rPr>
          <w:spacing w:val="-5"/>
        </w:rPr>
        <w:t>出席会议的基金份额持有人资格的权益登记日不变。</w:t>
      </w:r>
    </w:p>
    <w:p>
      <w:pPr>
        <w:pStyle w:val="ListParagraph"/>
        <w:numPr>
          <w:ilvl w:val="0"/>
          <w:numId w:val="12"/>
        </w:numPr>
        <w:tabs>
          <w:tab w:pos="1070" w:val="left" w:leader="none"/>
        </w:tabs>
        <w:spacing w:line="364" w:lineRule="auto" w:before="0" w:after="0"/>
        <w:ind w:left="120" w:right="311" w:firstLine="419"/>
        <w:jc w:val="both"/>
        <w:rPr>
          <w:sz w:val="21"/>
        </w:rPr>
      </w:pPr>
      <w:r>
        <w:rPr>
          <w:spacing w:val="-12"/>
          <w:sz w:val="21"/>
        </w:rPr>
        <w:t>上述第</w:t>
      </w:r>
      <w:r>
        <w:rPr>
          <w:spacing w:val="-13"/>
          <w:sz w:val="21"/>
        </w:rPr>
        <w:t>（3）</w:t>
      </w:r>
      <w:r>
        <w:rPr>
          <w:spacing w:val="-3"/>
          <w:sz w:val="21"/>
        </w:rPr>
        <w:t>项中直接出具书面意见的基金份额持有人或受托代表他人出具书面 </w:t>
      </w:r>
      <w:r>
        <w:rPr>
          <w:spacing w:val="-10"/>
          <w:sz w:val="21"/>
        </w:rPr>
        <w:t>意见的代理人，同时提交的持有基金份额的凭证、受托出具书面意见的代理人出具的委托人</w:t>
      </w:r>
      <w:r>
        <w:rPr>
          <w:spacing w:val="-11"/>
          <w:sz w:val="21"/>
        </w:rPr>
        <w:t>持有基金份额的凭证及委托人的代理投票授权委托书符合法律法规、《基金合同》和会议通</w:t>
      </w:r>
      <w:r>
        <w:rPr>
          <w:spacing w:val="-8"/>
          <w:sz w:val="21"/>
        </w:rPr>
        <w:t>知的规定；</w:t>
      </w:r>
    </w:p>
    <w:p>
      <w:pPr>
        <w:pStyle w:val="ListParagraph"/>
        <w:numPr>
          <w:ilvl w:val="0"/>
          <w:numId w:val="12"/>
        </w:numPr>
        <w:tabs>
          <w:tab w:pos="1070" w:val="left" w:leader="none"/>
        </w:tabs>
        <w:spacing w:line="268" w:lineRule="exact" w:before="0" w:after="0"/>
        <w:ind w:left="1069" w:right="0" w:hanging="530"/>
        <w:jc w:val="left"/>
        <w:rPr>
          <w:sz w:val="21"/>
        </w:rPr>
      </w:pPr>
      <w:r>
        <w:rPr>
          <w:spacing w:val="-3"/>
          <w:sz w:val="21"/>
        </w:rPr>
        <w:t>会议通知公布前报中国证监会备案。</w:t>
      </w:r>
    </w:p>
    <w:p>
      <w:pPr>
        <w:pStyle w:val="BodyText"/>
        <w:spacing w:line="364" w:lineRule="auto" w:before="130"/>
        <w:ind w:right="208" w:firstLine="419"/>
      </w:pPr>
      <w:r>
        <w:rPr>
          <w:spacing w:val="-9"/>
        </w:rPr>
        <w:t>采取通讯方式进行表决时，除非在计票时有充分的相反证据证明，否则提交符合会议通知中规定的确认投资者身份文件的表决视为有效出席的投资者；表面符合法律法规和会议通</w:t>
      </w:r>
      <w:r>
        <w:rPr>
          <w:spacing w:val="-5"/>
        </w:rPr>
        <w:t>知规定的书面表决意见即视为有效的表决，表决意见模糊不清或相互矛盾的视为弃权表决， </w:t>
      </w:r>
      <w:r>
        <w:rPr>
          <w:spacing w:val="-4"/>
        </w:rPr>
        <w:t>但应当计入出具书面意见的基金份额持有人所代表的基金份额总数。</w:t>
      </w:r>
    </w:p>
    <w:p>
      <w:pPr>
        <w:pStyle w:val="BodyText"/>
        <w:ind w:left="0"/>
        <w:rPr>
          <w:sz w:val="20"/>
        </w:rPr>
      </w:pPr>
    </w:p>
    <w:p>
      <w:pPr>
        <w:pStyle w:val="BodyText"/>
        <w:spacing w:line="364" w:lineRule="auto" w:before="151"/>
        <w:ind w:left="540" w:right="6206"/>
      </w:pPr>
      <w:r>
        <w:rPr>
          <w:spacing w:val="-3"/>
        </w:rPr>
        <w:t>五、议事内容与程序 1</w:t>
      </w:r>
      <w:r>
        <w:rPr>
          <w:spacing w:val="-5"/>
        </w:rPr>
        <w:t>、议事内容及提案权</w:t>
      </w:r>
    </w:p>
    <w:p>
      <w:pPr>
        <w:pStyle w:val="BodyText"/>
        <w:spacing w:line="364" w:lineRule="auto"/>
        <w:ind w:right="311" w:firstLine="419"/>
        <w:jc w:val="both"/>
      </w:pPr>
      <w:r>
        <w:rPr>
          <w:spacing w:val="-8"/>
        </w:rPr>
        <w:t>议事内容为关系基金份额持有人利益的重大事项，如《基金合同》的重大修改、决定终</w:t>
      </w:r>
      <w:r>
        <w:rPr>
          <w:spacing w:val="-13"/>
        </w:rPr>
        <w:t>止《基金合同》、更换基金管理人、更换基金托管人、与其他基金合并、法律法规及《基金</w:t>
      </w:r>
      <w:r>
        <w:rPr>
          <w:spacing w:val="-6"/>
        </w:rPr>
        <w:t>合同》规定的其他事项以及会议召集人认为需提交基金份额持有人大会讨论的其他事项。</w:t>
      </w:r>
    </w:p>
    <w:p>
      <w:pPr>
        <w:pStyle w:val="BodyText"/>
        <w:spacing w:line="364" w:lineRule="auto"/>
        <w:ind w:right="311" w:firstLine="419"/>
        <w:jc w:val="both"/>
      </w:pPr>
      <w:r>
        <w:rPr>
          <w:spacing w:val="-8"/>
        </w:rPr>
        <w:t>基金管理人、基金托管人、单独或合并持有权利登记日基金总份额 </w:t>
      </w:r>
      <w:r>
        <w:rPr>
          <w:spacing w:val="-7"/>
        </w:rPr>
        <w:t>10%（</w:t>
      </w:r>
      <w:r>
        <w:rPr>
          <w:spacing w:val="9"/>
        </w:rPr>
        <w:t>含 </w:t>
      </w:r>
      <w:r>
        <w:rPr>
          <w:spacing w:val="-7"/>
        </w:rPr>
        <w:t>10%）</w:t>
      </w:r>
      <w:r>
        <w:rPr/>
        <w:t>以上的基金份额持有人可以在大会召集人发出会议通知前向大会召集人提交需由基金份额持有</w:t>
      </w:r>
      <w:r>
        <w:rPr>
          <w:spacing w:val="-10"/>
        </w:rPr>
        <w:t>人大会审议表决的提案；也可以在会议通知发出后向大会召集人提交临时提案，临时提案应</w:t>
      </w:r>
      <w:r>
        <w:rPr>
          <w:spacing w:val="-5"/>
        </w:rPr>
        <w:t>当在大会召开日前 </w:t>
      </w:r>
      <w:r>
        <w:rPr/>
        <w:t>35</w:t>
      </w:r>
      <w:r>
        <w:rPr>
          <w:spacing w:val="-3"/>
        </w:rPr>
        <w:t> 天提交召集人。</w:t>
      </w:r>
    </w:p>
    <w:p>
      <w:pPr>
        <w:pStyle w:val="BodyText"/>
        <w:spacing w:line="364" w:lineRule="auto"/>
        <w:ind w:right="311" w:firstLine="419"/>
        <w:jc w:val="both"/>
      </w:pPr>
      <w:r>
        <w:rPr>
          <w:spacing w:val="-7"/>
        </w:rPr>
        <w:t>基金份额持有人大会的召集人发出召集会议的通知后，对原有提案的修改应当在基金份</w:t>
      </w:r>
      <w:r>
        <w:rPr>
          <w:spacing w:val="-4"/>
        </w:rPr>
        <w:t>额持有人大会召开日 </w:t>
      </w:r>
      <w:r>
        <w:rPr/>
        <w:t>30</w:t>
      </w:r>
      <w:r>
        <w:rPr>
          <w:spacing w:val="-11"/>
        </w:rPr>
        <w:t> 天前公告。否则，会议的召开日期应当顺延并保证至少有 </w:t>
      </w:r>
      <w:r>
        <w:rPr/>
        <w:t>30</w:t>
      </w:r>
      <w:r>
        <w:rPr>
          <w:spacing w:val="1"/>
        </w:rPr>
        <w:t> 天的</w:t>
      </w:r>
    </w:p>
    <w:p>
      <w:pPr>
        <w:spacing w:after="0" w:line="364" w:lineRule="auto"/>
        <w:jc w:val="both"/>
        <w:sectPr>
          <w:pgSz w:w="11910" w:h="16840"/>
          <w:pgMar w:header="877" w:footer="1195" w:top="1380" w:bottom="1380" w:left="1680" w:right="1480"/>
        </w:sectPr>
      </w:pPr>
    </w:p>
    <w:p>
      <w:pPr>
        <w:pStyle w:val="BodyText"/>
        <w:spacing w:before="61"/>
      </w:pPr>
      <w:r>
        <w:rPr/>
        <w:t>间隔期。</w:t>
      </w:r>
    </w:p>
    <w:p>
      <w:pPr>
        <w:pStyle w:val="BodyText"/>
        <w:spacing w:before="139"/>
        <w:ind w:left="540"/>
      </w:pPr>
      <w:r>
        <w:rPr/>
        <w:t>基金份额持有人大会不得对未事先公告的议事内容进行表决。</w:t>
      </w:r>
    </w:p>
    <w:p>
      <w:pPr>
        <w:pStyle w:val="BodyText"/>
        <w:spacing w:line="367" w:lineRule="auto" w:before="139"/>
        <w:ind w:right="311" w:firstLine="419"/>
        <w:jc w:val="both"/>
      </w:pPr>
      <w:r>
        <w:rPr>
          <w:spacing w:val="-10"/>
        </w:rPr>
        <w:t>召集人对于基金管理人、基金托管人和基金份额持有人提交的临时提案进行审核，符合</w:t>
      </w:r>
      <w:r>
        <w:rPr>
          <w:spacing w:val="-4"/>
        </w:rPr>
        <w:t>条件的应当在大会召开日 </w:t>
      </w:r>
      <w:r>
        <w:rPr/>
        <w:t>30</w:t>
      </w:r>
      <w:r>
        <w:rPr>
          <w:spacing w:val="-3"/>
        </w:rPr>
        <w:t> 天前公告。大会召集人应当按照以下原则对提案进行审核：</w:t>
      </w:r>
    </w:p>
    <w:p>
      <w:pPr>
        <w:pStyle w:val="ListParagraph"/>
        <w:numPr>
          <w:ilvl w:val="0"/>
          <w:numId w:val="13"/>
        </w:numPr>
        <w:tabs>
          <w:tab w:pos="1070" w:val="left" w:leader="none"/>
        </w:tabs>
        <w:spacing w:line="364" w:lineRule="auto" w:before="0" w:after="0"/>
        <w:ind w:left="120" w:right="311" w:firstLine="419"/>
        <w:jc w:val="both"/>
        <w:rPr>
          <w:sz w:val="21"/>
        </w:rPr>
      </w:pPr>
      <w:r>
        <w:rPr>
          <w:spacing w:val="-3"/>
          <w:sz w:val="21"/>
        </w:rPr>
        <w:t>关联性。大会召集人对于提案涉及事项与基金有直接关系，并且不超出法律法规</w:t>
      </w:r>
      <w:r>
        <w:rPr>
          <w:spacing w:val="-10"/>
          <w:sz w:val="21"/>
        </w:rPr>
        <w:t>和《基金合同》规定的基金份额持有人大会职权范围的，应提交大会审议；对于不符合上述</w:t>
      </w:r>
      <w:r>
        <w:rPr>
          <w:spacing w:val="-12"/>
          <w:sz w:val="21"/>
        </w:rPr>
        <w:t>要求的，不提交基金份额持有人大会审议。如果召集人决定不将基金份额持有人提案提交大</w:t>
      </w:r>
      <w:r>
        <w:rPr>
          <w:spacing w:val="-6"/>
          <w:sz w:val="21"/>
        </w:rPr>
        <w:t>会表决，应当在该次基金份额持有人大会上进行解释和说明。</w:t>
      </w:r>
    </w:p>
    <w:p>
      <w:pPr>
        <w:pStyle w:val="ListParagraph"/>
        <w:numPr>
          <w:ilvl w:val="0"/>
          <w:numId w:val="13"/>
        </w:numPr>
        <w:tabs>
          <w:tab w:pos="1070" w:val="left" w:leader="none"/>
        </w:tabs>
        <w:spacing w:line="364" w:lineRule="auto" w:before="0" w:after="0"/>
        <w:ind w:left="120" w:right="311" w:firstLine="419"/>
        <w:jc w:val="both"/>
        <w:rPr>
          <w:sz w:val="21"/>
        </w:rPr>
      </w:pPr>
      <w:r>
        <w:rPr>
          <w:spacing w:val="-3"/>
          <w:sz w:val="21"/>
        </w:rPr>
        <w:t>程序性。大会召集人可以对提案涉及的程序性问题做出决定。如将提案进行分拆</w:t>
      </w:r>
      <w:r>
        <w:rPr>
          <w:spacing w:val="-10"/>
          <w:sz w:val="21"/>
        </w:rPr>
        <w:t>或合并表决，需征得原提案人同意；原提案人不同意变更的，大会主持人可以就程序性问题</w:t>
      </w:r>
      <w:r>
        <w:rPr>
          <w:spacing w:val="-5"/>
          <w:sz w:val="21"/>
        </w:rPr>
        <w:t>提请基金份额持有人大会做出决定，并按照基金份额持有人大会决定的程序进行审议。</w:t>
      </w:r>
    </w:p>
    <w:p>
      <w:pPr>
        <w:pStyle w:val="BodyText"/>
        <w:spacing w:line="364" w:lineRule="auto"/>
        <w:ind w:right="311" w:firstLine="419"/>
        <w:jc w:val="both"/>
      </w:pPr>
      <w:r>
        <w:rPr>
          <w:spacing w:val="-2"/>
        </w:rPr>
        <w:t>单独或合并持有权利登记日基金总份额 </w:t>
      </w:r>
      <w:r>
        <w:rPr>
          <w:spacing w:val="-14"/>
        </w:rPr>
        <w:t>10%（</w:t>
      </w:r>
      <w:r>
        <w:rPr>
          <w:spacing w:val="11"/>
        </w:rPr>
        <w:t>含 </w:t>
      </w:r>
      <w:r>
        <w:rPr>
          <w:spacing w:val="-13"/>
        </w:rPr>
        <w:t>10%）</w:t>
      </w:r>
      <w:r>
        <w:rPr>
          <w:spacing w:val="-3"/>
        </w:rPr>
        <w:t>以上的基金份额持有人提交基金</w:t>
      </w:r>
      <w:r>
        <w:rPr>
          <w:spacing w:val="-10"/>
        </w:rPr>
        <w:t>份额持有人大会审议表决的提案，或基金管理人或基金托管人提交基金份额持有人大会审议</w:t>
      </w:r>
      <w:r>
        <w:rPr>
          <w:spacing w:val="-12"/>
        </w:rPr>
        <w:t>表决的提案，未获基金份额持有人大会审议通过，就同一提案再次提请基金份额持有人大会</w:t>
      </w:r>
      <w:r>
        <w:rPr>
          <w:spacing w:val="-6"/>
        </w:rPr>
        <w:t>审议，其时间间隔不少于 </w:t>
      </w:r>
      <w:r>
        <w:rPr/>
        <w:t>6</w:t>
      </w:r>
      <w:r>
        <w:rPr>
          <w:spacing w:val="-1"/>
        </w:rPr>
        <w:t> 个月。</w:t>
      </w:r>
    </w:p>
    <w:p>
      <w:pPr>
        <w:pStyle w:val="BodyText"/>
        <w:spacing w:line="268" w:lineRule="exact"/>
        <w:ind w:left="540"/>
      </w:pPr>
      <w:r>
        <w:rPr/>
        <w:t>2、议事程序</w:t>
      </w:r>
    </w:p>
    <w:p>
      <w:pPr>
        <w:pStyle w:val="ListParagraph"/>
        <w:numPr>
          <w:ilvl w:val="0"/>
          <w:numId w:val="14"/>
        </w:numPr>
        <w:tabs>
          <w:tab w:pos="1070" w:val="left" w:leader="none"/>
        </w:tabs>
        <w:spacing w:line="240" w:lineRule="auto" w:before="131" w:after="0"/>
        <w:ind w:left="1069" w:right="0" w:hanging="530"/>
        <w:jc w:val="left"/>
        <w:rPr>
          <w:sz w:val="21"/>
        </w:rPr>
      </w:pPr>
      <w:r>
        <w:rPr>
          <w:spacing w:val="-2"/>
          <w:sz w:val="21"/>
        </w:rPr>
        <w:t>现场开会</w:t>
      </w:r>
    </w:p>
    <w:p>
      <w:pPr>
        <w:pStyle w:val="BodyText"/>
        <w:spacing w:line="364" w:lineRule="auto" w:before="141"/>
        <w:ind w:right="208" w:firstLine="419"/>
      </w:pPr>
      <w:r>
        <w:rPr>
          <w:spacing w:val="-3"/>
        </w:rPr>
        <w:t>在现场开会的方式下，首先由大会主持人按照下列第七条规定程序确定和公布监票人， </w:t>
      </w:r>
      <w:r>
        <w:rPr>
          <w:spacing w:val="-9"/>
        </w:rPr>
        <w:t>然后由大会主持人宣读提案，经讨论后进行表决，并形成大会决议。大会主持人为基金管理</w:t>
      </w:r>
      <w:r>
        <w:rPr>
          <w:spacing w:val="-12"/>
        </w:rPr>
        <w:t>人授权出席会议的代表，在基金管理人授权代表未能主持大会的情况下，由基金托管人授权</w:t>
      </w:r>
      <w:r>
        <w:rPr>
          <w:spacing w:val="-6"/>
        </w:rPr>
        <w:t>其出席会议的代表主持；如果基金管理人授权代表和基金托管人授权代表均未能主持大会， </w:t>
      </w:r>
      <w:r>
        <w:rPr>
          <w:spacing w:val="-4"/>
          <w:w w:val="100"/>
        </w:rPr>
        <w:t>则由出席大会的基金份额持有人或其代理人以所代表的基金份额</w:t>
      </w:r>
      <w:r>
        <w:rPr>
          <w:spacing w:val="-4"/>
        </w:rPr>
        <w:t> </w:t>
      </w:r>
      <w:r>
        <w:rPr>
          <w:w w:val="100"/>
        </w:rPr>
        <w:t>50%</w:t>
      </w:r>
      <w:r>
        <w:rPr>
          <w:spacing w:val="-2"/>
          <w:w w:val="100"/>
        </w:rPr>
        <w:t>以上</w:t>
      </w:r>
      <w:r>
        <w:rPr>
          <w:spacing w:val="-3"/>
          <w:w w:val="100"/>
        </w:rPr>
        <w:t>（</w:t>
      </w:r>
      <w:r>
        <w:rPr>
          <w:w w:val="100"/>
        </w:rPr>
        <w:t>含</w:t>
      </w:r>
      <w:r>
        <w:rPr/>
        <w:t> </w:t>
      </w:r>
      <w:r>
        <w:rPr>
          <w:w w:val="100"/>
        </w:rPr>
        <w:t>50%</w:t>
      </w:r>
      <w:r>
        <w:rPr>
          <w:spacing w:val="-108"/>
          <w:w w:val="100"/>
        </w:rPr>
        <w:t>）</w:t>
      </w:r>
      <w:r>
        <w:rPr>
          <w:spacing w:val="-2"/>
          <w:w w:val="100"/>
        </w:rPr>
        <w:t>，选举</w:t>
      </w:r>
      <w:r>
        <w:rPr>
          <w:spacing w:val="-3"/>
        </w:rPr>
        <w:t>产生一名代表作为该次基金份额持有人大会的主持人。</w:t>
      </w:r>
    </w:p>
    <w:p>
      <w:pPr>
        <w:pStyle w:val="ListParagraph"/>
        <w:numPr>
          <w:ilvl w:val="0"/>
          <w:numId w:val="14"/>
        </w:numPr>
        <w:tabs>
          <w:tab w:pos="1070" w:val="left" w:leader="none"/>
        </w:tabs>
        <w:spacing w:line="266" w:lineRule="exact" w:before="0" w:after="0"/>
        <w:ind w:left="1069" w:right="0" w:hanging="530"/>
        <w:jc w:val="left"/>
        <w:rPr>
          <w:sz w:val="21"/>
        </w:rPr>
      </w:pPr>
      <w:r>
        <w:rPr>
          <w:spacing w:val="-2"/>
          <w:sz w:val="21"/>
        </w:rPr>
        <w:t>通讯开会</w:t>
      </w:r>
    </w:p>
    <w:p>
      <w:pPr>
        <w:pStyle w:val="BodyText"/>
        <w:spacing w:line="364" w:lineRule="auto" w:before="140"/>
        <w:ind w:right="311" w:firstLine="419"/>
      </w:pPr>
      <w:r>
        <w:rPr>
          <w:spacing w:val="-10"/>
        </w:rPr>
        <w:t>在通讯开会的情况下，公告会议通知时应当同时公布提案，在所通知的表决截止日期后2</w:t>
      </w:r>
      <w:r>
        <w:rPr>
          <w:spacing w:val="-3"/>
        </w:rPr>
        <w:t> 个工作日内统计全部有效表决，在公证机关监督下形成决议。</w:t>
      </w:r>
    </w:p>
    <w:p>
      <w:pPr>
        <w:pStyle w:val="BodyText"/>
        <w:ind w:left="0"/>
        <w:rPr>
          <w:sz w:val="20"/>
        </w:rPr>
      </w:pPr>
    </w:p>
    <w:p>
      <w:pPr>
        <w:pStyle w:val="BodyText"/>
        <w:spacing w:before="152"/>
        <w:ind w:left="540"/>
      </w:pPr>
      <w:r>
        <w:rPr/>
        <w:t>六、表决</w:t>
      </w:r>
    </w:p>
    <w:p>
      <w:pPr>
        <w:pStyle w:val="BodyText"/>
        <w:spacing w:line="364" w:lineRule="auto" w:before="139"/>
        <w:ind w:left="540" w:right="3369"/>
      </w:pPr>
      <w:r>
        <w:rPr>
          <w:spacing w:val="-3"/>
        </w:rPr>
        <w:t>基金份额持有人所持每份基金份额有一票表决权。 </w:t>
      </w:r>
      <w:r>
        <w:rPr>
          <w:spacing w:val="-4"/>
        </w:rPr>
        <w:t>基金份额持有人大会决议分为一般决议和特别决议：</w:t>
      </w:r>
    </w:p>
    <w:p>
      <w:pPr>
        <w:pStyle w:val="BodyText"/>
        <w:spacing w:line="364" w:lineRule="auto"/>
        <w:ind w:right="311" w:firstLine="419"/>
        <w:jc w:val="both"/>
      </w:pPr>
      <w:r>
        <w:rPr/>
        <w:t>1、一般决议，一般决议须经参加大会的基金份额持有人或其代理人所持表决权的 50% 以上（含 50%）通过方为有效；除下列第 2 项所规定的须以特别决议通过事项以外的其他事项均以一般决议的方式通过。</w:t>
      </w:r>
    </w:p>
    <w:p>
      <w:pPr>
        <w:pStyle w:val="BodyText"/>
        <w:ind w:left="540"/>
      </w:pPr>
      <w:r>
        <w:rPr/>
        <w:t>2、特别决议，特别决议应当经参加大会的基金份额持有人或其代理人所持表决权的三</w:t>
      </w:r>
    </w:p>
    <w:p>
      <w:pPr>
        <w:spacing w:after="0"/>
        <w:sectPr>
          <w:pgSz w:w="11910" w:h="16840"/>
          <w:pgMar w:header="877" w:footer="1195" w:top="1380" w:bottom="1380" w:left="1680" w:right="1480"/>
        </w:sectPr>
      </w:pPr>
    </w:p>
    <w:p>
      <w:pPr>
        <w:pStyle w:val="BodyText"/>
        <w:spacing w:line="364" w:lineRule="auto" w:before="61"/>
        <w:ind w:right="311"/>
      </w:pPr>
      <w:r>
        <w:rPr>
          <w:spacing w:val="-7"/>
        </w:rPr>
        <w:t>分之二以上</w:t>
      </w:r>
      <w:r>
        <w:rPr/>
        <w:t>（</w:t>
      </w:r>
      <w:r>
        <w:rPr>
          <w:spacing w:val="-3"/>
        </w:rPr>
        <w:t>含三分之二</w:t>
      </w:r>
      <w:r>
        <w:rPr>
          <w:spacing w:val="-25"/>
        </w:rPr>
        <w:t>）</w:t>
      </w:r>
      <w:r>
        <w:rPr>
          <w:spacing w:val="-9"/>
        </w:rPr>
        <w:t>通过方可做出。转换基金运作方式、更换基金管理人或者基金托</w:t>
      </w:r>
      <w:r>
        <w:rPr>
          <w:spacing w:val="-5"/>
        </w:rPr>
        <w:t>管人、终止《基金合同》以特别决议通过方为有效。</w:t>
      </w:r>
    </w:p>
    <w:p>
      <w:pPr>
        <w:pStyle w:val="BodyText"/>
        <w:spacing w:line="267" w:lineRule="exact"/>
        <w:ind w:left="540"/>
      </w:pPr>
      <w:r>
        <w:rPr/>
        <w:t>基金份额持有人大会采取记名方式进行投票表决。</w:t>
      </w:r>
    </w:p>
    <w:p>
      <w:pPr>
        <w:pStyle w:val="BodyText"/>
        <w:spacing w:line="364" w:lineRule="auto" w:before="142"/>
        <w:ind w:right="311" w:firstLine="419"/>
        <w:jc w:val="both"/>
      </w:pPr>
      <w:r>
        <w:rPr>
          <w:spacing w:val="-11"/>
        </w:rPr>
        <w:t>采取通讯方式进行表决时，提交符合会议通知中规定的确认投资者身份文件的表决视为</w:t>
      </w:r>
      <w:r>
        <w:rPr>
          <w:spacing w:val="-12"/>
        </w:rPr>
        <w:t>有效出席的投资者，符合会议通知规定的书面表决意见视为有效表决，表决意见模糊不清或</w:t>
      </w:r>
      <w:r>
        <w:rPr>
          <w:spacing w:val="-13"/>
        </w:rPr>
        <w:t>相互矛盾的视为弃权表决，但应当计入出具书面意见的基金份额持有人所代表的基金份额总数。</w:t>
      </w:r>
    </w:p>
    <w:p>
      <w:pPr>
        <w:pStyle w:val="BodyText"/>
        <w:spacing w:line="364" w:lineRule="auto"/>
        <w:ind w:right="311" w:firstLine="419"/>
      </w:pPr>
      <w:r>
        <w:rPr>
          <w:spacing w:val="-6"/>
        </w:rPr>
        <w:t>基金份额持有人大会的各项提案或同一项提案内并列的各项议题应当分开审议、逐项表决。</w:t>
      </w:r>
    </w:p>
    <w:p>
      <w:pPr>
        <w:pStyle w:val="BodyText"/>
        <w:spacing w:line="268" w:lineRule="exact"/>
        <w:ind w:left="540"/>
      </w:pPr>
      <w:r>
        <w:rPr/>
        <w:t>七、计票</w:t>
      </w:r>
    </w:p>
    <w:p>
      <w:pPr>
        <w:pStyle w:val="BodyText"/>
        <w:ind w:left="0"/>
        <w:rPr>
          <w:sz w:val="20"/>
        </w:rPr>
      </w:pPr>
    </w:p>
    <w:p>
      <w:pPr>
        <w:pStyle w:val="BodyText"/>
        <w:spacing w:before="7"/>
        <w:ind w:left="0"/>
        <w:rPr>
          <w:sz w:val="22"/>
        </w:rPr>
      </w:pPr>
    </w:p>
    <w:p>
      <w:pPr>
        <w:pStyle w:val="BodyText"/>
        <w:ind w:left="540"/>
      </w:pPr>
      <w:r>
        <w:rPr/>
        <w:t>1、现场开会</w:t>
      </w:r>
    </w:p>
    <w:p>
      <w:pPr>
        <w:pStyle w:val="ListParagraph"/>
        <w:numPr>
          <w:ilvl w:val="0"/>
          <w:numId w:val="15"/>
        </w:numPr>
        <w:tabs>
          <w:tab w:pos="1070" w:val="left" w:leader="none"/>
        </w:tabs>
        <w:spacing w:line="364" w:lineRule="auto" w:before="141" w:after="0"/>
        <w:ind w:left="120" w:right="311" w:firstLine="419"/>
        <w:jc w:val="both"/>
        <w:rPr>
          <w:sz w:val="21"/>
        </w:rPr>
      </w:pPr>
      <w:r>
        <w:rPr>
          <w:spacing w:val="-3"/>
          <w:sz w:val="21"/>
        </w:rPr>
        <w:t>如大会由基金管理人或基金托管人召集，基金份额持有人大会的主持人应当在会议开始后宣布在出席会议的基金份额持有人中选举两名基金份额持有人代表与大会召集人</w:t>
      </w:r>
      <w:r>
        <w:rPr>
          <w:spacing w:val="-8"/>
          <w:sz w:val="21"/>
        </w:rPr>
        <w:t>授权的一名监督员共同担任监票人；如大会由基金份额持有人自行召集，基金份额持有人大会的主持人应当在会议开始后宣布在出席会议的基金份额持有人中选举三名基金份额持有</w:t>
      </w:r>
      <w:r>
        <w:rPr>
          <w:spacing w:val="-5"/>
          <w:sz w:val="21"/>
        </w:rPr>
        <w:t>人代表担任监票人。</w:t>
      </w:r>
    </w:p>
    <w:p>
      <w:pPr>
        <w:pStyle w:val="ListParagraph"/>
        <w:numPr>
          <w:ilvl w:val="0"/>
          <w:numId w:val="15"/>
        </w:numPr>
        <w:tabs>
          <w:tab w:pos="1070" w:val="left" w:leader="none"/>
        </w:tabs>
        <w:spacing w:line="364" w:lineRule="auto" w:before="0" w:after="0"/>
        <w:ind w:left="120" w:right="314" w:firstLine="419"/>
        <w:jc w:val="left"/>
        <w:rPr>
          <w:sz w:val="21"/>
        </w:rPr>
      </w:pPr>
      <w:r>
        <w:rPr>
          <w:spacing w:val="-3"/>
          <w:sz w:val="21"/>
        </w:rPr>
        <w:t>监票人应当在基金份额持有人表决后立即进行清点并由大会主持人当场公布计票结果。</w:t>
      </w:r>
    </w:p>
    <w:p>
      <w:pPr>
        <w:pStyle w:val="ListParagraph"/>
        <w:numPr>
          <w:ilvl w:val="0"/>
          <w:numId w:val="15"/>
        </w:numPr>
        <w:tabs>
          <w:tab w:pos="1070" w:val="left" w:leader="none"/>
        </w:tabs>
        <w:spacing w:line="364" w:lineRule="auto" w:before="0" w:after="0"/>
        <w:ind w:left="120" w:right="205" w:firstLine="419"/>
        <w:jc w:val="left"/>
        <w:rPr>
          <w:sz w:val="21"/>
        </w:rPr>
      </w:pPr>
      <w:r>
        <w:rPr>
          <w:spacing w:val="-3"/>
          <w:sz w:val="21"/>
        </w:rPr>
        <w:t>如果会议主持人或基金份额持有人对于提交的表决结果有怀疑，可以在宣布表决</w:t>
      </w:r>
      <w:r>
        <w:rPr>
          <w:spacing w:val="-12"/>
          <w:sz w:val="21"/>
        </w:rPr>
        <w:t>结果后立即对所投票数要求进行重新清点。监票人应当进行重新清点，重新清点以一次为限。</w:t>
      </w:r>
      <w:r>
        <w:rPr>
          <w:spacing w:val="-6"/>
          <w:sz w:val="21"/>
        </w:rPr>
        <w:t>重新清点后，大会主持人应当当场公布重新清点结果。</w:t>
      </w:r>
    </w:p>
    <w:p>
      <w:pPr>
        <w:pStyle w:val="ListParagraph"/>
        <w:numPr>
          <w:ilvl w:val="0"/>
          <w:numId w:val="15"/>
        </w:numPr>
        <w:tabs>
          <w:tab w:pos="1070" w:val="left" w:leader="none"/>
        </w:tabs>
        <w:spacing w:line="364" w:lineRule="auto" w:before="0" w:after="0"/>
        <w:ind w:left="540" w:right="4526" w:firstLine="0"/>
        <w:jc w:val="left"/>
        <w:rPr>
          <w:sz w:val="21"/>
        </w:rPr>
      </w:pPr>
      <w:r>
        <w:rPr>
          <w:spacing w:val="-4"/>
          <w:sz w:val="21"/>
        </w:rPr>
        <w:t>计票过程应由公证机关予以公证。</w:t>
      </w:r>
      <w:r>
        <w:rPr>
          <w:sz w:val="21"/>
        </w:rPr>
        <w:t>2</w:t>
      </w:r>
      <w:r>
        <w:rPr>
          <w:spacing w:val="-3"/>
          <w:sz w:val="21"/>
        </w:rPr>
        <w:t>、通讯开会</w:t>
      </w:r>
    </w:p>
    <w:p>
      <w:pPr>
        <w:pStyle w:val="BodyText"/>
        <w:spacing w:line="364" w:lineRule="auto"/>
        <w:ind w:right="311" w:firstLine="419"/>
        <w:jc w:val="both"/>
      </w:pPr>
      <w:r>
        <w:rPr>
          <w:spacing w:val="-11"/>
        </w:rPr>
        <w:t>在通讯开会的情况下，计票方式为：由大会召集人授权的两名监督员在基金托管人授权</w:t>
      </w:r>
      <w:r>
        <w:rPr>
          <w:spacing w:val="-18"/>
        </w:rPr>
        <w:t>代表</w:t>
      </w:r>
      <w:r>
        <w:rPr>
          <w:spacing w:val="-3"/>
        </w:rPr>
        <w:t>（</w:t>
      </w:r>
      <w:r>
        <w:rPr>
          <w:spacing w:val="-6"/>
        </w:rPr>
        <w:t>若由基金托管人召集，则为基金管理人授权代表</w:t>
      </w:r>
      <w:r>
        <w:rPr>
          <w:spacing w:val="-27"/>
        </w:rPr>
        <w:t>）</w:t>
      </w:r>
      <w:r>
        <w:rPr>
          <w:spacing w:val="-6"/>
        </w:rPr>
        <w:t>的监督下进行计票，并由公证机关</w:t>
      </w:r>
      <w:r>
        <w:rPr>
          <w:spacing w:val="-4"/>
        </w:rPr>
        <w:t>对其计票过程予以公证。</w:t>
      </w:r>
    </w:p>
    <w:p>
      <w:pPr>
        <w:pStyle w:val="BodyText"/>
        <w:ind w:left="0"/>
        <w:rPr>
          <w:sz w:val="20"/>
        </w:rPr>
      </w:pPr>
    </w:p>
    <w:p>
      <w:pPr>
        <w:pStyle w:val="BodyText"/>
        <w:spacing w:before="146"/>
        <w:ind w:left="540"/>
      </w:pPr>
      <w:r>
        <w:rPr/>
        <w:t>八、生效与公告</w:t>
      </w:r>
    </w:p>
    <w:p>
      <w:pPr>
        <w:pStyle w:val="BodyText"/>
        <w:spacing w:line="364" w:lineRule="auto" w:before="138"/>
        <w:ind w:right="313" w:firstLine="419"/>
      </w:pPr>
      <w:r>
        <w:rPr/>
        <w:t>基金份额持有人大会表决通过的事项，召集人应当自通过之日起 5 日内报中国证监会核准或者备案。</w:t>
      </w:r>
    </w:p>
    <w:p>
      <w:pPr>
        <w:pStyle w:val="BodyText"/>
        <w:spacing w:line="364" w:lineRule="auto" w:before="1"/>
        <w:ind w:right="318" w:firstLine="419"/>
      </w:pPr>
      <w:r>
        <w:rPr/>
        <w:t>基金份额持有人大会决定的事项自中国证监会依法核准或者出具无异议意见之日起生效。</w:t>
      </w:r>
    </w:p>
    <w:p>
      <w:pPr>
        <w:pStyle w:val="BodyText"/>
        <w:spacing w:line="268" w:lineRule="exact"/>
        <w:ind w:left="540"/>
      </w:pPr>
      <w:r>
        <w:rPr/>
        <w:t>基金份额持有人大会决议自生效之日起 2 日内在指定媒介上公告。</w:t>
      </w:r>
    </w:p>
    <w:p>
      <w:pPr>
        <w:spacing w:after="0" w:line="268" w:lineRule="exact"/>
        <w:sectPr>
          <w:pgSz w:w="11910" w:h="16840"/>
          <w:pgMar w:header="877" w:footer="1195" w:top="1380" w:bottom="1380" w:left="1680" w:right="1480"/>
        </w:sectPr>
      </w:pPr>
    </w:p>
    <w:p>
      <w:pPr>
        <w:pStyle w:val="BodyText"/>
        <w:spacing w:line="364" w:lineRule="auto" w:before="61"/>
        <w:ind w:left="540" w:right="105"/>
      </w:pPr>
      <w:r>
        <w:rPr>
          <w:spacing w:val="-12"/>
        </w:rPr>
        <w:t>基金管理人、基金托管人和基金份额持有人应当执行生效的基金份额持有人大会的决定。</w:t>
      </w:r>
      <w:r>
        <w:rPr>
          <w:spacing w:val="-15"/>
        </w:rPr>
        <w:t>基金份额持有人大会决议对全体基金份额持有人、基金管理人、基金托管人均有约束力。</w:t>
      </w:r>
    </w:p>
    <w:p>
      <w:pPr>
        <w:pStyle w:val="BodyText"/>
        <w:ind w:left="0"/>
        <w:rPr>
          <w:sz w:val="20"/>
        </w:rPr>
      </w:pPr>
    </w:p>
    <w:p>
      <w:pPr>
        <w:pStyle w:val="BodyText"/>
        <w:spacing w:before="6"/>
        <w:ind w:left="0"/>
        <w:rPr>
          <w:sz w:val="22"/>
        </w:rPr>
      </w:pPr>
    </w:p>
    <w:p>
      <w:pPr>
        <w:pStyle w:val="Heading1"/>
        <w:ind w:left="400" w:right="0"/>
      </w:pPr>
      <w:bookmarkStart w:name="_bookmark7" w:id="8"/>
      <w:bookmarkEnd w:id="8"/>
      <w:r>
        <w:rPr/>
      </w:r>
      <w:r>
        <w:rPr/>
        <w:t>八、基金管理人、基金托管人的更换条件和程序</w:t>
      </w:r>
    </w:p>
    <w:p>
      <w:pPr>
        <w:pStyle w:val="BodyText"/>
        <w:spacing w:before="10"/>
        <w:ind w:left="0"/>
        <w:rPr>
          <w:rFonts w:ascii="黑体"/>
          <w:sz w:val="27"/>
        </w:rPr>
      </w:pPr>
    </w:p>
    <w:p>
      <w:pPr>
        <w:pStyle w:val="BodyText"/>
        <w:ind w:left="540"/>
      </w:pPr>
      <w:r>
        <w:rPr/>
        <w:t>一、基金管理人和基金托管人职责终止的情形</w:t>
      </w:r>
    </w:p>
    <w:p>
      <w:pPr>
        <w:pStyle w:val="BodyText"/>
        <w:spacing w:before="139"/>
        <w:ind w:left="540"/>
      </w:pPr>
      <w:r>
        <w:rPr/>
        <w:t>（一）基金管理人职责终止的情形</w:t>
      </w:r>
    </w:p>
    <w:p>
      <w:pPr>
        <w:pStyle w:val="BodyText"/>
        <w:spacing w:line="364" w:lineRule="auto" w:before="139"/>
        <w:ind w:left="540" w:right="4209"/>
      </w:pPr>
      <w:r>
        <w:rPr>
          <w:spacing w:val="-4"/>
        </w:rPr>
        <w:t>有下列情形之一的，基金管理人职责终止： </w:t>
      </w:r>
      <w:r>
        <w:rPr/>
        <w:t>1</w:t>
      </w:r>
      <w:r>
        <w:rPr>
          <w:spacing w:val="-3"/>
        </w:rPr>
        <w:t>、被依法取消基金管理人资格；</w:t>
      </w:r>
    </w:p>
    <w:p>
      <w:pPr>
        <w:pStyle w:val="BodyText"/>
        <w:spacing w:before="1"/>
        <w:ind w:left="540"/>
      </w:pPr>
      <w:r>
        <w:rPr/>
        <w:t>2</w:t>
      </w:r>
      <w:r>
        <w:rPr>
          <w:spacing w:val="-3"/>
        </w:rPr>
        <w:t>、被基金份额持有人大会解任；</w:t>
      </w:r>
    </w:p>
    <w:p>
      <w:pPr>
        <w:pStyle w:val="BodyText"/>
        <w:spacing w:before="139"/>
        <w:ind w:left="540"/>
      </w:pPr>
      <w:r>
        <w:rPr/>
        <w:t>3、依法解散、被依法撤销或被依法宣告破产；</w:t>
      </w:r>
    </w:p>
    <w:p>
      <w:pPr>
        <w:pStyle w:val="BodyText"/>
        <w:spacing w:before="139"/>
        <w:ind w:left="540"/>
      </w:pPr>
      <w:r>
        <w:rPr/>
        <w:t>4、法律法规和基金合同规定的其他情形。</w:t>
      </w:r>
    </w:p>
    <w:p>
      <w:pPr>
        <w:pStyle w:val="BodyText"/>
        <w:spacing w:before="139"/>
        <w:ind w:left="540"/>
      </w:pPr>
      <w:r>
        <w:rPr/>
        <w:t>（二）基金托管人职责终止的情形</w:t>
      </w:r>
    </w:p>
    <w:p>
      <w:pPr>
        <w:pStyle w:val="BodyText"/>
        <w:spacing w:line="367" w:lineRule="auto" w:before="139"/>
        <w:ind w:left="540" w:right="4209"/>
      </w:pPr>
      <w:r>
        <w:rPr>
          <w:spacing w:val="-4"/>
        </w:rPr>
        <w:t>有下列情形之一的，基金托管人职责终止： </w:t>
      </w:r>
      <w:r>
        <w:rPr/>
        <w:t>1</w:t>
      </w:r>
      <w:r>
        <w:rPr>
          <w:spacing w:val="-3"/>
        </w:rPr>
        <w:t>、被依法取消基金托管人资格；</w:t>
      </w:r>
    </w:p>
    <w:p>
      <w:pPr>
        <w:pStyle w:val="BodyText"/>
        <w:spacing w:line="264" w:lineRule="exact"/>
        <w:ind w:left="540"/>
      </w:pPr>
      <w:r>
        <w:rPr/>
        <w:t>2</w:t>
      </w:r>
      <w:r>
        <w:rPr>
          <w:spacing w:val="-3"/>
        </w:rPr>
        <w:t>、被基金份额持有人大会解任；</w:t>
      </w:r>
    </w:p>
    <w:p>
      <w:pPr>
        <w:pStyle w:val="BodyText"/>
        <w:spacing w:before="139"/>
        <w:ind w:left="540"/>
      </w:pPr>
      <w:r>
        <w:rPr/>
        <w:t>3、依法解散、被依法撤销或被依法宣告破产；</w:t>
      </w:r>
    </w:p>
    <w:p>
      <w:pPr>
        <w:pStyle w:val="BodyText"/>
        <w:spacing w:before="139"/>
        <w:ind w:left="540"/>
      </w:pPr>
      <w:r>
        <w:rPr/>
        <w:t>4、法律法规和基金合同规定的其他情形。</w:t>
      </w:r>
    </w:p>
    <w:p>
      <w:pPr>
        <w:pStyle w:val="BodyText"/>
        <w:ind w:left="0"/>
        <w:rPr>
          <w:sz w:val="20"/>
        </w:rPr>
      </w:pPr>
    </w:p>
    <w:p>
      <w:pPr>
        <w:pStyle w:val="BodyText"/>
        <w:spacing w:before="11"/>
        <w:ind w:left="0"/>
        <w:rPr>
          <w:sz w:val="22"/>
        </w:rPr>
      </w:pPr>
    </w:p>
    <w:p>
      <w:pPr>
        <w:pStyle w:val="BodyText"/>
        <w:ind w:left="540"/>
      </w:pPr>
      <w:r>
        <w:rPr/>
        <w:t>二、基金管理人和基金托管人的更换程序</w:t>
      </w:r>
    </w:p>
    <w:p>
      <w:pPr>
        <w:pStyle w:val="BodyText"/>
        <w:spacing w:before="139"/>
        <w:ind w:left="540"/>
      </w:pPr>
      <w:r>
        <w:rPr/>
        <w:t>（一）基金管理人的更换程序</w:t>
      </w:r>
    </w:p>
    <w:p>
      <w:pPr>
        <w:pStyle w:val="BodyText"/>
        <w:spacing w:line="364" w:lineRule="auto" w:before="139"/>
        <w:ind w:right="311" w:firstLine="419"/>
        <w:jc w:val="both"/>
      </w:pPr>
      <w:r>
        <w:rPr/>
        <w:t>1、提名：新任基金管理人由基金托管人或由代表 50%以上（含 50%）基金份额的基金份额持有人提名；</w:t>
      </w:r>
    </w:p>
    <w:p>
      <w:pPr>
        <w:pStyle w:val="BodyText"/>
        <w:spacing w:line="364" w:lineRule="auto" w:before="1"/>
        <w:ind w:right="311" w:firstLine="419"/>
        <w:jc w:val="both"/>
      </w:pPr>
      <w:r>
        <w:rPr/>
        <w:t>2</w:t>
      </w:r>
      <w:r>
        <w:rPr>
          <w:spacing w:val="-11"/>
        </w:rPr>
        <w:t>、决议：基金份额持有人大会在基金管理人职责终止后 </w:t>
      </w:r>
      <w:r>
        <w:rPr/>
        <w:t>6</w:t>
      </w:r>
      <w:r>
        <w:rPr>
          <w:spacing w:val="-3"/>
        </w:rPr>
        <w:t> 个月内对被提名的基金管理人形成决议，该决议需经参加大会的基金份额持有人所持表决权的 </w:t>
      </w:r>
      <w:r>
        <w:rPr/>
        <w:t>2/3</w:t>
      </w:r>
      <w:r>
        <w:rPr>
          <w:spacing w:val="2"/>
        </w:rPr>
        <w:t> 以上</w:t>
      </w:r>
      <w:r>
        <w:rPr/>
        <w:t>（</w:t>
      </w:r>
      <w:r>
        <w:rPr>
          <w:spacing w:val="7"/>
        </w:rPr>
        <w:t>含 </w:t>
      </w:r>
      <w:r>
        <w:rPr/>
        <w:t>2/3）表</w:t>
      </w:r>
      <w:r>
        <w:rPr>
          <w:spacing w:val="-1"/>
        </w:rPr>
        <w:t>决通过；</w:t>
      </w:r>
    </w:p>
    <w:p>
      <w:pPr>
        <w:pStyle w:val="BodyText"/>
        <w:spacing w:line="267" w:lineRule="exact"/>
        <w:ind w:left="540"/>
      </w:pPr>
      <w:r>
        <w:rPr/>
        <w:t>3、临时基金管理人：新任基金管理人产生之前，由中国证监会指定临时基金管理人；</w:t>
      </w:r>
    </w:p>
    <w:p>
      <w:pPr>
        <w:pStyle w:val="BodyText"/>
        <w:spacing w:line="367" w:lineRule="auto" w:before="139"/>
        <w:ind w:right="314" w:firstLine="419"/>
      </w:pPr>
      <w:r>
        <w:rPr/>
        <w:t>4、核准：新任基金管理人须经中国证监会核准方可出任，原基金管理人须经中国证监会批准方可退任；</w:t>
      </w:r>
    </w:p>
    <w:p>
      <w:pPr>
        <w:pStyle w:val="BodyText"/>
        <w:spacing w:line="364" w:lineRule="auto"/>
        <w:ind w:right="311" w:firstLine="419"/>
        <w:jc w:val="both"/>
      </w:pPr>
      <w:r>
        <w:rPr/>
        <w:t>5</w:t>
      </w:r>
      <w:r>
        <w:rPr>
          <w:spacing w:val="-11"/>
        </w:rPr>
        <w:t>、公告：基金管理人更换后，由基金托管人在中国证监会核准后 </w:t>
      </w:r>
      <w:r>
        <w:rPr/>
        <w:t>2</w:t>
      </w:r>
      <w:r>
        <w:rPr>
          <w:spacing w:val="-1"/>
        </w:rPr>
        <w:t> 日内在指定媒介公</w:t>
      </w:r>
      <w:r>
        <w:rPr>
          <w:spacing w:val="-10"/>
        </w:rPr>
        <w:t>告。新任基金管理人与原基金管理人进行资产管理的交接手续，并与基金托管人核对资产总</w:t>
      </w:r>
      <w:r>
        <w:rPr>
          <w:spacing w:val="-12"/>
        </w:rPr>
        <w:t>值。如果基金托管人和基金管理人同时更换，由新任的基金管理人和新任的基金托管人在中</w:t>
      </w:r>
      <w:r>
        <w:rPr>
          <w:spacing w:val="-3"/>
        </w:rPr>
        <w:t>国证监会批准后 </w:t>
      </w:r>
      <w:r>
        <w:rPr/>
        <w:t>2</w:t>
      </w:r>
      <w:r>
        <w:rPr>
          <w:spacing w:val="-3"/>
        </w:rPr>
        <w:t> 日内在指定媒介公告；基金管理人应妥善保管基金管理业务资料，及时</w:t>
      </w:r>
      <w:r>
        <w:rPr>
          <w:spacing w:val="-7"/>
        </w:rPr>
        <w:t>向临时基金管理人或新任基金管理人办理基金管理业务的移交手续，临时基金管理人或新任</w:t>
      </w:r>
    </w:p>
    <w:p>
      <w:pPr>
        <w:spacing w:after="0" w:line="364" w:lineRule="auto"/>
        <w:jc w:val="both"/>
        <w:sectPr>
          <w:pgSz w:w="11910" w:h="16840"/>
          <w:pgMar w:header="877" w:footer="1195" w:top="1380" w:bottom="1380" w:left="1680" w:right="1480"/>
        </w:sectPr>
      </w:pPr>
    </w:p>
    <w:p>
      <w:pPr>
        <w:pStyle w:val="BodyText"/>
        <w:spacing w:before="61"/>
      </w:pPr>
      <w:r>
        <w:rPr/>
        <w:t>基金管理人应及时接收；</w:t>
      </w:r>
    </w:p>
    <w:p>
      <w:pPr>
        <w:pStyle w:val="BodyText"/>
        <w:spacing w:line="364" w:lineRule="auto" w:before="139"/>
        <w:ind w:right="314" w:firstLine="419"/>
      </w:pPr>
      <w:r>
        <w:rPr/>
        <w:t>6、审计：基金管理人职责终止的，应当按照法律法规规定聘请会计师事务所对基金财产进行审计，并将审计结果予以公告同时报中国证监会备案；</w:t>
      </w:r>
    </w:p>
    <w:p>
      <w:pPr>
        <w:pStyle w:val="BodyText"/>
        <w:spacing w:line="364" w:lineRule="auto" w:before="1"/>
        <w:ind w:right="313" w:firstLine="419"/>
      </w:pPr>
      <w:r>
        <w:rPr/>
        <w:t>7、基金名称变更：基金管理人更换后，如果原任或新任基金管理人要求，应按其要求替换或删除基金名称中与原基金管理人有关的名称字样。</w:t>
      </w:r>
    </w:p>
    <w:p>
      <w:pPr>
        <w:pStyle w:val="BodyText"/>
        <w:spacing w:line="267" w:lineRule="exact"/>
        <w:ind w:left="540"/>
      </w:pPr>
      <w:r>
        <w:rPr/>
        <w:t>（二）基金托管人的更换程序</w:t>
      </w:r>
    </w:p>
    <w:p>
      <w:pPr>
        <w:pStyle w:val="BodyText"/>
        <w:spacing w:line="367" w:lineRule="auto" w:before="139"/>
        <w:ind w:right="311" w:firstLine="419"/>
        <w:jc w:val="both"/>
      </w:pPr>
      <w:r>
        <w:rPr/>
        <w:t>1、提名：新任基金托管人由基金管理人或由代表 50%以上（含 50%）基金份额的基金份额持有人提名；</w:t>
      </w:r>
    </w:p>
    <w:p>
      <w:pPr>
        <w:pStyle w:val="BodyText"/>
        <w:spacing w:line="364" w:lineRule="auto"/>
        <w:ind w:right="311" w:firstLine="419"/>
        <w:jc w:val="both"/>
      </w:pPr>
      <w:r>
        <w:rPr/>
        <w:t>2</w:t>
      </w:r>
      <w:r>
        <w:rPr>
          <w:spacing w:val="-11"/>
        </w:rPr>
        <w:t>、决议：基金份额持有人大会在基金托管人职责终止后 </w:t>
      </w:r>
      <w:r>
        <w:rPr/>
        <w:t>6</w:t>
      </w:r>
      <w:r>
        <w:rPr>
          <w:spacing w:val="-3"/>
        </w:rPr>
        <w:t> 个月内对被提名的基金托管人形成决议，该决议需经参加大会的基金份额持有人所持表决权的 </w:t>
      </w:r>
      <w:r>
        <w:rPr/>
        <w:t>2/3</w:t>
      </w:r>
      <w:r>
        <w:rPr>
          <w:spacing w:val="2"/>
        </w:rPr>
        <w:t> 以上</w:t>
      </w:r>
      <w:r>
        <w:rPr/>
        <w:t>（</w:t>
      </w:r>
      <w:r>
        <w:rPr>
          <w:spacing w:val="7"/>
        </w:rPr>
        <w:t>含 </w:t>
      </w:r>
      <w:r>
        <w:rPr/>
        <w:t>2/3）表</w:t>
      </w:r>
      <w:r>
        <w:rPr>
          <w:spacing w:val="-1"/>
        </w:rPr>
        <w:t>决通过；</w:t>
      </w:r>
    </w:p>
    <w:p>
      <w:pPr>
        <w:pStyle w:val="BodyText"/>
        <w:spacing w:line="266" w:lineRule="exact"/>
        <w:ind w:left="540"/>
      </w:pPr>
      <w:r>
        <w:rPr/>
        <w:t>3、临时基金托管人：新任基金托管人产生之前，由中国证监会指定临时基金托管人；</w:t>
      </w:r>
    </w:p>
    <w:p>
      <w:pPr>
        <w:pStyle w:val="BodyText"/>
        <w:spacing w:line="364" w:lineRule="auto" w:before="137"/>
        <w:ind w:right="313" w:firstLine="419"/>
      </w:pPr>
      <w:r>
        <w:rPr/>
        <w:t>4、核准：新任基金托管人须经中国证监会核准方可出任，原基金托管人须经中国证监会批准方可退任；</w:t>
      </w:r>
    </w:p>
    <w:p>
      <w:pPr>
        <w:pStyle w:val="BodyText"/>
        <w:spacing w:line="364" w:lineRule="auto"/>
        <w:ind w:right="311" w:firstLine="419"/>
        <w:jc w:val="both"/>
      </w:pPr>
      <w:r>
        <w:rPr/>
        <w:t>5</w:t>
      </w:r>
      <w:r>
        <w:rPr>
          <w:spacing w:val="-11"/>
        </w:rPr>
        <w:t>、公告：基金托管人更换后，由基金管理人在中国证监会核准后 </w:t>
      </w:r>
      <w:r>
        <w:rPr/>
        <w:t>2</w:t>
      </w:r>
      <w:r>
        <w:rPr>
          <w:spacing w:val="-1"/>
        </w:rPr>
        <w:t> 个工作日内在指定</w:t>
      </w:r>
      <w:r>
        <w:rPr>
          <w:spacing w:val="-10"/>
        </w:rPr>
        <w:t>媒介公告。新任基金托管人与原基金托管人进行资产托管的交接手续，并与基金管理人核对</w:t>
      </w:r>
      <w:r>
        <w:rPr>
          <w:spacing w:val="-12"/>
        </w:rPr>
        <w:t>资产总值。如果基金托管人和基金管理人同时更换，由新任的基金管理人和新任的基金托管</w:t>
      </w:r>
      <w:r>
        <w:rPr>
          <w:spacing w:val="-6"/>
        </w:rPr>
        <w:t>人在中国证监会批准后 </w:t>
      </w:r>
      <w:r>
        <w:rPr/>
        <w:t>2</w:t>
      </w:r>
      <w:r>
        <w:rPr>
          <w:spacing w:val="-3"/>
        </w:rPr>
        <w:t> 日内在指定媒介公告；</w:t>
      </w:r>
    </w:p>
    <w:p>
      <w:pPr>
        <w:pStyle w:val="BodyText"/>
        <w:spacing w:line="364" w:lineRule="auto"/>
        <w:ind w:right="314" w:firstLine="419"/>
      </w:pPr>
      <w:r>
        <w:rPr/>
        <w:t>6</w:t>
      </w:r>
      <w:r>
        <w:rPr>
          <w:spacing w:val="-3"/>
        </w:rPr>
        <w:t>、审计：基金托管人职责终止的，应当按照法律法规规定聘请会计师事务所对基金财产进行审计，并予以公告，同时报中国证监会备案。</w:t>
      </w:r>
    </w:p>
    <w:p>
      <w:pPr>
        <w:pStyle w:val="BodyText"/>
        <w:spacing w:line="267" w:lineRule="exact"/>
        <w:ind w:left="540"/>
      </w:pPr>
      <w:r>
        <w:rPr/>
        <w:t>（三</w:t>
      </w:r>
      <w:r>
        <w:rPr>
          <w:spacing w:val="-3"/>
        </w:rPr>
        <w:t>）基金管理人和基金托管人的同时更换程序</w:t>
      </w:r>
    </w:p>
    <w:p>
      <w:pPr>
        <w:pStyle w:val="BodyText"/>
        <w:spacing w:line="364" w:lineRule="auto" w:before="138"/>
        <w:ind w:right="311" w:firstLine="419"/>
      </w:pPr>
      <w:r>
        <w:rPr>
          <w:spacing w:val="-9"/>
        </w:rPr>
        <w:t>同时更换基金管理人和基金托管人，分别按照上述基金管理人和基金托管人更换程序进行。</w:t>
      </w:r>
    </w:p>
    <w:p>
      <w:pPr>
        <w:pStyle w:val="BodyText"/>
        <w:ind w:left="0"/>
        <w:rPr>
          <w:sz w:val="20"/>
        </w:rPr>
      </w:pPr>
    </w:p>
    <w:p>
      <w:pPr>
        <w:pStyle w:val="BodyText"/>
        <w:spacing w:before="2"/>
        <w:ind w:left="0"/>
        <w:rPr>
          <w:sz w:val="16"/>
        </w:rPr>
      </w:pPr>
    </w:p>
    <w:p>
      <w:pPr>
        <w:spacing w:before="0"/>
        <w:ind w:left="1634" w:right="1273" w:firstLine="0"/>
        <w:jc w:val="center"/>
        <w:rPr>
          <w:rFonts w:ascii="黑体" w:eastAsia="黑体" w:hint="eastAsia"/>
          <w:sz w:val="28"/>
        </w:rPr>
      </w:pPr>
      <w:bookmarkStart w:name="_bookmark8" w:id="9"/>
      <w:bookmarkEnd w:id="9"/>
      <w:r>
        <w:rPr/>
      </w:r>
      <w:r>
        <w:rPr>
          <w:rFonts w:ascii="黑体" w:eastAsia="黑体" w:hint="eastAsia"/>
          <w:sz w:val="28"/>
        </w:rPr>
        <w:t>九、基金的托管</w:t>
      </w:r>
    </w:p>
    <w:p>
      <w:pPr>
        <w:pStyle w:val="BodyText"/>
        <w:spacing w:before="12"/>
        <w:ind w:left="0"/>
        <w:rPr>
          <w:rFonts w:ascii="黑体"/>
          <w:sz w:val="26"/>
        </w:rPr>
      </w:pPr>
    </w:p>
    <w:p>
      <w:pPr>
        <w:pStyle w:val="BodyText"/>
        <w:spacing w:line="364" w:lineRule="auto"/>
        <w:ind w:left="540" w:right="208"/>
      </w:pPr>
      <w:r>
        <w:rPr>
          <w:spacing w:val="-15"/>
        </w:rPr>
        <w:t>基金托管人和基金管理人按照《基金法》、《基金合同》及其他有关规定订立托管协议。</w:t>
      </w:r>
      <w:r>
        <w:rPr>
          <w:spacing w:val="-7"/>
        </w:rPr>
        <w:t>订立托管协议的目的是明确基金托管人与基金管理人之间在基金份额持有人名册登记、</w:t>
      </w:r>
    </w:p>
    <w:p>
      <w:pPr>
        <w:pStyle w:val="BodyText"/>
        <w:spacing w:line="367" w:lineRule="auto"/>
        <w:ind w:right="311"/>
      </w:pPr>
      <w:r>
        <w:rPr>
          <w:spacing w:val="-9"/>
        </w:rPr>
        <w:t>基金财产的保管、基金财产的管理和运作及相互监督等相关事宜中的权利、义务及职责，确</w:t>
      </w:r>
      <w:r>
        <w:rPr>
          <w:spacing w:val="-5"/>
        </w:rPr>
        <w:t>保基金财产的安全，保护基金份额持有人的合法权益。</w:t>
      </w: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15"/>
        </w:rPr>
      </w:pPr>
    </w:p>
    <w:p>
      <w:pPr>
        <w:spacing w:before="0"/>
        <w:ind w:left="1713" w:right="1271" w:firstLine="0"/>
        <w:jc w:val="center"/>
        <w:rPr>
          <w:rFonts w:ascii="黑体" w:eastAsia="黑体" w:hint="eastAsia"/>
          <w:sz w:val="32"/>
        </w:rPr>
      </w:pPr>
      <w:bookmarkStart w:name="_bookmark9" w:id="10"/>
      <w:bookmarkEnd w:id="10"/>
      <w:r>
        <w:rPr/>
      </w:r>
      <w:r>
        <w:rPr>
          <w:rFonts w:ascii="黑体" w:eastAsia="黑体" w:hint="eastAsia"/>
          <w:sz w:val="32"/>
        </w:rPr>
        <w:t>十、基金份额的注册登记</w:t>
      </w:r>
    </w:p>
    <w:p>
      <w:pPr>
        <w:spacing w:after="0"/>
        <w:jc w:val="center"/>
        <w:rPr>
          <w:rFonts w:ascii="黑体" w:eastAsia="黑体" w:hint="eastAsia"/>
          <w:sz w:val="32"/>
        </w:rPr>
        <w:sectPr>
          <w:pgSz w:w="11910" w:h="16840"/>
          <w:pgMar w:header="877" w:footer="1195" w:top="1380" w:bottom="1380" w:left="1680" w:right="1480"/>
        </w:sectPr>
      </w:pPr>
    </w:p>
    <w:p>
      <w:pPr>
        <w:pStyle w:val="BodyText"/>
        <w:spacing w:before="61"/>
        <w:ind w:left="540"/>
      </w:pPr>
      <w:r>
        <w:rPr/>
        <w:t>一、基金注册登记业务</w:t>
      </w:r>
    </w:p>
    <w:p>
      <w:pPr>
        <w:pStyle w:val="BodyText"/>
        <w:spacing w:line="364" w:lineRule="auto" w:before="139"/>
        <w:ind w:right="311" w:firstLine="419"/>
        <w:jc w:val="both"/>
      </w:pPr>
      <w:r>
        <w:rPr>
          <w:spacing w:val="-8"/>
        </w:rPr>
        <w:t>本基金份额的注册登记业务指本基金登记、存管、清算和交收业务，具体内容包括投资</w:t>
      </w:r>
      <w:r>
        <w:rPr>
          <w:spacing w:val="-11"/>
        </w:rPr>
        <w:t>者基金账户管理、基金份额注册登记、清算及基金交易确认、发放红利、建立并保管基金份</w:t>
      </w:r>
      <w:r>
        <w:rPr>
          <w:spacing w:val="-6"/>
        </w:rPr>
        <w:t>额持有人名册等。</w:t>
      </w:r>
    </w:p>
    <w:p>
      <w:pPr>
        <w:pStyle w:val="BodyText"/>
        <w:ind w:left="0"/>
        <w:rPr>
          <w:sz w:val="20"/>
        </w:rPr>
      </w:pPr>
    </w:p>
    <w:p>
      <w:pPr>
        <w:pStyle w:val="BodyText"/>
        <w:spacing w:before="151"/>
        <w:ind w:left="540"/>
      </w:pPr>
      <w:r>
        <w:rPr/>
        <w:t>二、基金份额注册登记业务办理机构</w:t>
      </w:r>
    </w:p>
    <w:p>
      <w:pPr>
        <w:pStyle w:val="BodyText"/>
        <w:spacing w:line="364" w:lineRule="auto" w:before="139"/>
        <w:ind w:right="311" w:firstLine="419"/>
        <w:jc w:val="both"/>
      </w:pPr>
      <w:r>
        <w:rPr/>
        <w:t>本基金份额的注册登记业务由基金管理人或基金管理人委托的其他符合条件的机构办</w:t>
      </w:r>
      <w:r>
        <w:rPr>
          <w:spacing w:val="-10"/>
        </w:rPr>
        <w:t>理。基金管理人委托其他机构办理本基金份额注册登记业务的，应与代理人签订委托代理协议，以明确基金管理人和代理机构在投资人基金账户管理、基金份额注册登记、清算及基金</w:t>
      </w:r>
      <w:r>
        <w:rPr>
          <w:spacing w:val="-12"/>
        </w:rPr>
        <w:t>交易确认、发放红利、建立并保管基金份额持有人名册等事宜中的权利和义务，保护基金份</w:t>
      </w:r>
      <w:r>
        <w:rPr>
          <w:spacing w:val="-6"/>
        </w:rPr>
        <w:t>额持有人的合法权益。</w:t>
      </w:r>
    </w:p>
    <w:p>
      <w:pPr>
        <w:pStyle w:val="BodyText"/>
        <w:ind w:left="0"/>
        <w:rPr>
          <w:sz w:val="20"/>
        </w:rPr>
      </w:pPr>
    </w:p>
    <w:p>
      <w:pPr>
        <w:pStyle w:val="BodyText"/>
        <w:spacing w:before="153"/>
        <w:ind w:left="540"/>
      </w:pPr>
      <w:r>
        <w:rPr/>
        <w:t>三、基金份额注册登记机构的权利</w:t>
      </w:r>
    </w:p>
    <w:p>
      <w:pPr>
        <w:pStyle w:val="BodyText"/>
        <w:spacing w:line="364" w:lineRule="auto" w:before="139"/>
        <w:ind w:left="540" w:right="4620"/>
      </w:pPr>
      <w:r>
        <w:rPr/>
        <w:t>基金份额注册登记机构享有以下权利： 1、取得注册登记费；</w:t>
      </w:r>
    </w:p>
    <w:p>
      <w:pPr>
        <w:pStyle w:val="BodyText"/>
        <w:spacing w:line="267" w:lineRule="exact"/>
        <w:ind w:left="540"/>
      </w:pPr>
      <w:r>
        <w:rPr/>
        <w:t>2、保管基金份额持有人开户资料、交易资料、基金份额持有人名册等；</w:t>
      </w:r>
    </w:p>
    <w:p>
      <w:pPr>
        <w:pStyle w:val="BodyText"/>
        <w:spacing w:before="139"/>
        <w:ind w:left="540"/>
      </w:pPr>
      <w:r>
        <w:rPr/>
        <w:t>3、法律法规规定的其他权利。</w:t>
      </w:r>
    </w:p>
    <w:p>
      <w:pPr>
        <w:pStyle w:val="BodyText"/>
        <w:ind w:left="0"/>
        <w:rPr>
          <w:sz w:val="20"/>
        </w:rPr>
      </w:pPr>
    </w:p>
    <w:p>
      <w:pPr>
        <w:pStyle w:val="BodyText"/>
        <w:spacing w:before="11"/>
        <w:ind w:left="0"/>
        <w:rPr>
          <w:sz w:val="22"/>
        </w:rPr>
      </w:pPr>
    </w:p>
    <w:p>
      <w:pPr>
        <w:pStyle w:val="BodyText"/>
        <w:ind w:left="540"/>
      </w:pPr>
      <w:r>
        <w:rPr/>
        <w:t>四、基金份额注册登记机构的义务</w:t>
      </w:r>
    </w:p>
    <w:p>
      <w:pPr>
        <w:pStyle w:val="BodyText"/>
        <w:spacing w:before="139"/>
        <w:ind w:left="540"/>
      </w:pPr>
      <w:r>
        <w:rPr/>
        <w:t>基金份额注册登记机构承担以下义务：</w:t>
      </w:r>
    </w:p>
    <w:p>
      <w:pPr>
        <w:pStyle w:val="BodyText"/>
        <w:spacing w:before="139"/>
        <w:ind w:left="540"/>
      </w:pPr>
      <w:r>
        <w:rPr/>
        <w:t>1、配备足够的专业人员办理本基金份额的注册登记业务；</w:t>
      </w:r>
    </w:p>
    <w:p>
      <w:pPr>
        <w:pStyle w:val="BodyText"/>
        <w:spacing w:before="141"/>
        <w:ind w:left="540"/>
      </w:pPr>
      <w:r>
        <w:rPr/>
        <w:t>2、严格按照法律法规和《基金合同》规定的条件办理本基金份额的注册登记业务；</w:t>
      </w:r>
    </w:p>
    <w:p>
      <w:pPr>
        <w:pStyle w:val="BodyText"/>
        <w:spacing w:before="139"/>
        <w:ind w:left="540"/>
        <w:jc w:val="both"/>
      </w:pPr>
      <w:r>
        <w:rPr/>
        <w:t>3、保持基金份额持有人名册及相关的申购与赎回等业务记录 15 年以上；</w:t>
      </w:r>
    </w:p>
    <w:p>
      <w:pPr>
        <w:pStyle w:val="BodyText"/>
        <w:spacing w:line="364" w:lineRule="auto" w:before="139"/>
        <w:ind w:right="311" w:firstLine="419"/>
        <w:jc w:val="both"/>
      </w:pPr>
      <w:r>
        <w:rPr/>
        <w:t>4</w:t>
      </w:r>
      <w:r>
        <w:rPr>
          <w:spacing w:val="-3"/>
        </w:rPr>
        <w:t>、对基金份额持有人的基金账户信息负有保密义务，因违反该保密义务对投资者或基</w:t>
      </w:r>
      <w:r>
        <w:rPr>
          <w:spacing w:val="-12"/>
        </w:rPr>
        <w:t>金带来的损失，须承担相应的赔偿责任，但司法强制检查情形及法律法规规定的其他情形除外；</w:t>
      </w:r>
    </w:p>
    <w:p>
      <w:pPr>
        <w:pStyle w:val="BodyText"/>
        <w:spacing w:line="364" w:lineRule="auto"/>
        <w:ind w:right="314" w:firstLine="419"/>
      </w:pPr>
      <w:r>
        <w:rPr/>
        <w:t>5、按本《基金合同》及招募说明书规定为投资人办理非交易过户业务、提供其他必要的服务；</w:t>
      </w:r>
    </w:p>
    <w:p>
      <w:pPr>
        <w:pStyle w:val="BodyText"/>
        <w:spacing w:line="267" w:lineRule="exact"/>
        <w:ind w:left="540"/>
      </w:pPr>
      <w:r>
        <w:rPr/>
        <w:t>6、法律法规规定的其他义务。</w:t>
      </w:r>
    </w:p>
    <w:p>
      <w:pPr>
        <w:pStyle w:val="BodyText"/>
        <w:ind w:left="0"/>
        <w:rPr>
          <w:sz w:val="20"/>
        </w:rPr>
      </w:pPr>
    </w:p>
    <w:p>
      <w:pPr>
        <w:pStyle w:val="BodyText"/>
        <w:ind w:left="0"/>
        <w:rPr>
          <w:sz w:val="20"/>
        </w:rPr>
      </w:pPr>
    </w:p>
    <w:p>
      <w:pPr>
        <w:pStyle w:val="Heading1"/>
        <w:spacing w:before="170"/>
      </w:pPr>
      <w:bookmarkStart w:name="_bookmark10" w:id="11"/>
      <w:bookmarkEnd w:id="11"/>
      <w:r>
        <w:rPr/>
      </w:r>
      <w:r>
        <w:rPr/>
        <w:t>十一、基金的投资</w:t>
      </w:r>
    </w:p>
    <w:p>
      <w:pPr>
        <w:pStyle w:val="BodyText"/>
        <w:ind w:left="0"/>
        <w:rPr>
          <w:rFonts w:ascii="黑体"/>
          <w:sz w:val="28"/>
        </w:rPr>
      </w:pPr>
    </w:p>
    <w:p>
      <w:pPr>
        <w:pStyle w:val="BodyText"/>
        <w:ind w:left="540"/>
      </w:pPr>
      <w:r>
        <w:rPr/>
        <w:t>一、投资目标</w:t>
      </w:r>
    </w:p>
    <w:p>
      <w:pPr>
        <w:pStyle w:val="BodyText"/>
        <w:spacing w:before="139"/>
        <w:ind w:left="540"/>
      </w:pPr>
      <w:r>
        <w:rPr/>
        <w:t>本基金以长期看好中国经济增长和资本市场发展为立足点，通过投资于具有合理估值的</w:t>
      </w:r>
    </w:p>
    <w:p>
      <w:pPr>
        <w:spacing w:after="0"/>
        <w:sectPr>
          <w:pgSz w:w="11910" w:h="16840"/>
          <w:pgMar w:header="877" w:footer="1195" w:top="1380" w:bottom="1380" w:left="1680" w:right="1480"/>
        </w:sectPr>
      </w:pPr>
    </w:p>
    <w:p>
      <w:pPr>
        <w:pStyle w:val="BodyText"/>
        <w:spacing w:before="61"/>
      </w:pPr>
      <w:r>
        <w:rPr/>
        <w:t>高成长性上市公司股票，以获取基金资产的长期稳定增值。</w:t>
      </w:r>
    </w:p>
    <w:p>
      <w:pPr>
        <w:pStyle w:val="BodyText"/>
        <w:ind w:left="0"/>
        <w:rPr>
          <w:sz w:val="20"/>
        </w:rPr>
      </w:pPr>
    </w:p>
    <w:p>
      <w:pPr>
        <w:pStyle w:val="BodyText"/>
        <w:spacing w:before="9"/>
        <w:ind w:left="0"/>
        <w:rPr>
          <w:sz w:val="22"/>
        </w:rPr>
      </w:pPr>
    </w:p>
    <w:p>
      <w:pPr>
        <w:pStyle w:val="BodyText"/>
        <w:ind w:left="540"/>
      </w:pPr>
      <w:r>
        <w:rPr/>
        <w:t>二、投资范围</w:t>
      </w:r>
    </w:p>
    <w:p>
      <w:pPr>
        <w:pStyle w:val="BodyText"/>
        <w:spacing w:before="141"/>
        <w:ind w:left="540"/>
      </w:pPr>
      <w:r>
        <w:rPr/>
        <w:t>本基金投资于具有良好流动性的金融工具，包括国内依法发行和上市交易的公司股票</w:t>
      </w:r>
    </w:p>
    <w:p>
      <w:pPr>
        <w:pStyle w:val="BodyText"/>
        <w:spacing w:before="139"/>
      </w:pPr>
      <w:r>
        <w:rPr/>
        <w:t>（含存托凭证）和债券以及经中国证监会批准的允许基金投资的其他金融工具。</w:t>
      </w:r>
    </w:p>
    <w:p>
      <w:pPr>
        <w:pStyle w:val="BodyText"/>
        <w:ind w:left="0"/>
        <w:rPr>
          <w:sz w:val="20"/>
        </w:rPr>
      </w:pPr>
    </w:p>
    <w:p>
      <w:pPr>
        <w:pStyle w:val="BodyText"/>
        <w:spacing w:before="9"/>
        <w:ind w:left="0"/>
        <w:rPr>
          <w:sz w:val="22"/>
        </w:rPr>
      </w:pPr>
    </w:p>
    <w:p>
      <w:pPr>
        <w:pStyle w:val="BodyText"/>
        <w:ind w:left="540"/>
      </w:pPr>
      <w:r>
        <w:rPr/>
        <w:t>三、投资理念</w:t>
      </w:r>
    </w:p>
    <w:p>
      <w:pPr>
        <w:pStyle w:val="BodyText"/>
        <w:spacing w:line="364" w:lineRule="auto" w:before="141"/>
        <w:ind w:right="311" w:firstLine="419"/>
      </w:pPr>
      <w:r>
        <w:rPr>
          <w:spacing w:val="-10"/>
        </w:rPr>
        <w:t>宁取细水长流，不要惊涛裂岸。本基金的所有投资都基于基本面分析和价值投资，通过</w:t>
      </w:r>
      <w:r>
        <w:rPr>
          <w:spacing w:val="-5"/>
        </w:rPr>
        <w:t>深入挖掘具有合理估值的高成长性上市公司股票，实现基金资产的长期稳定增值。</w:t>
      </w:r>
    </w:p>
    <w:p>
      <w:pPr>
        <w:pStyle w:val="BodyText"/>
        <w:ind w:left="0"/>
        <w:rPr>
          <w:sz w:val="20"/>
        </w:rPr>
      </w:pPr>
    </w:p>
    <w:p>
      <w:pPr>
        <w:pStyle w:val="BodyText"/>
        <w:spacing w:before="151"/>
        <w:ind w:left="540"/>
      </w:pPr>
      <w:r>
        <w:rPr/>
        <w:t>四、投资策略</w:t>
      </w:r>
    </w:p>
    <w:p>
      <w:pPr>
        <w:pStyle w:val="BodyText"/>
        <w:spacing w:before="139"/>
        <w:ind w:left="540"/>
      </w:pPr>
      <w:r>
        <w:rPr/>
        <w:t>1、投资管理的决策依据</w:t>
      </w:r>
    </w:p>
    <w:p>
      <w:pPr>
        <w:pStyle w:val="BodyText"/>
        <w:spacing w:line="364" w:lineRule="auto" w:before="141"/>
        <w:ind w:right="311" w:firstLine="419"/>
        <w:jc w:val="both"/>
      </w:pPr>
      <w:r>
        <w:rPr>
          <w:spacing w:val="-3"/>
        </w:rPr>
        <w:t>本基金依据以宏观经济分析模型</w:t>
      </w:r>
      <w:r>
        <w:rPr/>
        <w:t>（MEM）</w:t>
      </w:r>
      <w:r>
        <w:rPr>
          <w:spacing w:val="-3"/>
        </w:rPr>
        <w:t>为基础的资产配置模型决定基金的资产配置， </w:t>
      </w:r>
      <w:r>
        <w:rPr>
          <w:spacing w:val="-12"/>
          <w:w w:val="100"/>
        </w:rPr>
        <w:t>通过对个股成长性的定性分析，结合景顺长城“股票研究数据库</w:t>
      </w:r>
      <w:r>
        <w:rPr>
          <w:w w:val="100"/>
        </w:rPr>
        <w:t>（SR</w:t>
      </w:r>
      <w:r>
        <w:rPr>
          <w:spacing w:val="-3"/>
          <w:w w:val="100"/>
        </w:rPr>
        <w:t>D</w:t>
      </w:r>
      <w:r>
        <w:rPr>
          <w:spacing w:val="-106"/>
          <w:w w:val="100"/>
        </w:rPr>
        <w:t>）</w:t>
      </w:r>
      <w:r>
        <w:rPr>
          <w:spacing w:val="-9"/>
          <w:w w:val="100"/>
        </w:rPr>
        <w:t>”等分析系统及</w:t>
      </w:r>
      <w:r>
        <w:rPr>
          <w:spacing w:val="-9"/>
        </w:rPr>
        <w:t> </w:t>
      </w:r>
      <w:r>
        <w:rPr>
          <w:w w:val="100"/>
        </w:rPr>
        <w:t>FV</w:t>
      </w:r>
      <w:r>
        <w:rPr>
          <w:spacing w:val="-3"/>
          <w:w w:val="100"/>
        </w:rPr>
        <w:t>M</w:t>
      </w:r>
      <w:r>
        <w:rPr>
          <w:w w:val="100"/>
        </w:rPr>
        <w:t>C</w:t>
      </w:r>
      <w:r>
        <w:rPr>
          <w:spacing w:val="-10"/>
        </w:rPr>
        <w:t>等选股模型作为个股选择的依据，同时依据景顺长城风险管理系统和绩效评估系统进行投资</w:t>
      </w:r>
      <w:r>
        <w:rPr>
          <w:spacing w:val="-5"/>
        </w:rPr>
        <w:t>组合的调整。</w:t>
      </w:r>
    </w:p>
    <w:p>
      <w:pPr>
        <w:pStyle w:val="BodyText"/>
        <w:spacing w:line="266" w:lineRule="exact"/>
        <w:ind w:left="540"/>
      </w:pPr>
      <w:r>
        <w:rPr/>
        <w:t>2</w:t>
      </w:r>
      <w:r>
        <w:rPr>
          <w:spacing w:val="-3"/>
        </w:rPr>
        <w:t>、投资管理的方法和标准</w:t>
      </w:r>
    </w:p>
    <w:p>
      <w:pPr>
        <w:pStyle w:val="ListParagraph"/>
        <w:numPr>
          <w:ilvl w:val="0"/>
          <w:numId w:val="16"/>
        </w:numPr>
        <w:tabs>
          <w:tab w:pos="1070" w:val="left" w:leader="none"/>
        </w:tabs>
        <w:spacing w:line="240" w:lineRule="auto" w:before="141" w:after="0"/>
        <w:ind w:left="1069" w:right="0" w:hanging="530"/>
        <w:jc w:val="left"/>
        <w:rPr>
          <w:sz w:val="21"/>
        </w:rPr>
      </w:pPr>
      <w:r>
        <w:rPr>
          <w:spacing w:val="-2"/>
          <w:sz w:val="21"/>
        </w:rPr>
        <w:t>资产配置</w:t>
      </w:r>
    </w:p>
    <w:p>
      <w:pPr>
        <w:pStyle w:val="BodyText"/>
        <w:spacing w:line="364" w:lineRule="auto" w:before="139"/>
        <w:ind w:right="311" w:firstLine="419"/>
        <w:jc w:val="both"/>
      </w:pPr>
      <w:r>
        <w:rPr>
          <w:spacing w:val="-7"/>
        </w:rPr>
        <w:t>基金经理依据定期公布的宏观和金融数据以及投资部对于宏观经济、股市政策、市场趋</w:t>
      </w:r>
      <w:r>
        <w:rPr>
          <w:spacing w:val="-5"/>
        </w:rPr>
        <w:t>势的综合分析，运用宏观经济模型</w:t>
      </w:r>
      <w:r>
        <w:rPr/>
        <w:t>（MEM）</w:t>
      </w:r>
      <w:r>
        <w:rPr>
          <w:spacing w:val="-3"/>
        </w:rPr>
        <w:t>做出对于宏观经济的评价，结合基金合同、投资制度的要求提出资产配置建议，经投资决策委员审核后形成资产配置方案。</w:t>
      </w:r>
    </w:p>
    <w:p>
      <w:pPr>
        <w:pStyle w:val="BodyText"/>
        <w:spacing w:line="364" w:lineRule="auto"/>
        <w:ind w:right="311" w:firstLine="419"/>
        <w:jc w:val="both"/>
      </w:pPr>
      <w:r>
        <w:rPr>
          <w:spacing w:val="-5"/>
        </w:rPr>
        <w:t>本基金是一只高持股的混合型基金，对于股票的投资不少于基金资产净值的 </w:t>
      </w:r>
      <w:r>
        <w:rPr>
          <w:spacing w:val="-12"/>
        </w:rPr>
        <w:t>65%</w:t>
      </w:r>
      <w:r>
        <w:rPr>
          <w:spacing w:val="-6"/>
        </w:rPr>
        <w:t>，持有</w:t>
      </w:r>
      <w:r>
        <w:rPr>
          <w:spacing w:val="-3"/>
        </w:rPr>
        <w:t>现金或者到期日在一年以内的政府债券的比例不低于基金资产净值的 </w:t>
      </w:r>
      <w:r>
        <w:rPr/>
        <w:t>5</w:t>
      </w:r>
      <w:r>
        <w:rPr>
          <w:spacing w:val="-2"/>
        </w:rPr>
        <w:t>%，其中现金不包括</w:t>
      </w:r>
      <w:r>
        <w:rPr>
          <w:spacing w:val="-3"/>
        </w:rPr>
        <w:t>结算备付金、存出保证金和应收申购款等。</w:t>
      </w:r>
    </w:p>
    <w:p>
      <w:pPr>
        <w:pStyle w:val="BodyText"/>
        <w:spacing w:line="267" w:lineRule="exact"/>
        <w:ind w:left="540"/>
        <w:jc w:val="both"/>
      </w:pPr>
      <w:r>
        <w:rPr/>
        <w:t>本基金投资于成长型上市公司的股票比例高于非现金基金资产的 80%。</w:t>
      </w:r>
    </w:p>
    <w:p>
      <w:pPr>
        <w:pStyle w:val="ListParagraph"/>
        <w:numPr>
          <w:ilvl w:val="0"/>
          <w:numId w:val="16"/>
        </w:numPr>
        <w:tabs>
          <w:tab w:pos="1070" w:val="left" w:leader="none"/>
        </w:tabs>
        <w:spacing w:line="240" w:lineRule="auto" w:before="139" w:after="0"/>
        <w:ind w:left="1069" w:right="0" w:hanging="530"/>
        <w:jc w:val="left"/>
        <w:rPr>
          <w:sz w:val="21"/>
        </w:rPr>
      </w:pPr>
      <w:r>
        <w:rPr>
          <w:spacing w:val="-3"/>
          <w:sz w:val="21"/>
        </w:rPr>
        <w:t>股票投资策略</w:t>
      </w:r>
    </w:p>
    <w:p>
      <w:pPr>
        <w:pStyle w:val="ListParagraph"/>
        <w:numPr>
          <w:ilvl w:val="1"/>
          <w:numId w:val="16"/>
        </w:numPr>
        <w:tabs>
          <w:tab w:pos="1070" w:val="left" w:leader="none"/>
        </w:tabs>
        <w:spacing w:line="240" w:lineRule="auto" w:before="141" w:after="0"/>
        <w:ind w:left="1069" w:right="0" w:hanging="530"/>
        <w:jc w:val="left"/>
        <w:rPr>
          <w:sz w:val="21"/>
        </w:rPr>
      </w:pPr>
      <w:r>
        <w:rPr>
          <w:spacing w:val="-3"/>
          <w:sz w:val="21"/>
        </w:rPr>
        <w:t>成长型股票的判别</w:t>
      </w:r>
    </w:p>
    <w:p>
      <w:pPr>
        <w:pStyle w:val="BodyText"/>
        <w:spacing w:line="364" w:lineRule="auto" w:before="139"/>
        <w:ind w:right="311" w:firstLine="419"/>
      </w:pPr>
      <w:r>
        <w:rPr>
          <w:spacing w:val="-6"/>
        </w:rPr>
        <w:t>本基金合同中所指的成长型公司是那些销售收入具备持续增长能力的公司，具体判别标</w:t>
      </w:r>
      <w:r>
        <w:rPr>
          <w:spacing w:val="-4"/>
        </w:rPr>
        <w:t>准为预期未来两年销售收入保持较快增长。</w:t>
      </w:r>
    </w:p>
    <w:p>
      <w:pPr>
        <w:pStyle w:val="ListParagraph"/>
        <w:numPr>
          <w:ilvl w:val="1"/>
          <w:numId w:val="16"/>
        </w:numPr>
        <w:tabs>
          <w:tab w:pos="1175" w:val="left" w:leader="none"/>
        </w:tabs>
        <w:spacing w:line="267" w:lineRule="exact" w:before="0" w:after="0"/>
        <w:ind w:left="1175" w:right="0" w:hanging="635"/>
        <w:jc w:val="left"/>
        <w:rPr>
          <w:sz w:val="21"/>
        </w:rPr>
      </w:pPr>
      <w:r>
        <w:rPr>
          <w:spacing w:val="-3"/>
          <w:sz w:val="21"/>
        </w:rPr>
        <w:t>成长型股票投资策略</w:t>
      </w:r>
    </w:p>
    <w:p>
      <w:pPr>
        <w:pStyle w:val="BodyText"/>
        <w:spacing w:line="364" w:lineRule="auto" w:before="139"/>
        <w:ind w:right="311" w:firstLine="419"/>
        <w:jc w:val="both"/>
      </w:pPr>
      <w:r>
        <w:rPr>
          <w:spacing w:val="-8"/>
        </w:rPr>
        <w:t>根据不同类型成长型公司扩张起源的背景因素，本基金主要采取“自下而上”的投资策</w:t>
      </w:r>
      <w:r>
        <w:rPr>
          <w:spacing w:val="-11"/>
        </w:rPr>
        <w:t>略，并结合估值因素最终确定投资标的。在“自下而上”的研究中重点关注经营与管理、创</w:t>
      </w:r>
      <w:r>
        <w:rPr>
          <w:spacing w:val="-6"/>
        </w:rPr>
        <w:t>新及融资。</w:t>
      </w:r>
    </w:p>
    <w:p>
      <w:pPr>
        <w:pStyle w:val="ListParagraph"/>
        <w:numPr>
          <w:ilvl w:val="1"/>
          <w:numId w:val="16"/>
        </w:numPr>
        <w:tabs>
          <w:tab w:pos="1279" w:val="left" w:leader="none"/>
        </w:tabs>
        <w:spacing w:line="240" w:lineRule="auto" w:before="0" w:after="0"/>
        <w:ind w:left="1278" w:right="0" w:hanging="739"/>
        <w:jc w:val="left"/>
        <w:rPr>
          <w:sz w:val="21"/>
        </w:rPr>
      </w:pPr>
      <w:r>
        <w:rPr>
          <w:spacing w:val="-3"/>
          <w:sz w:val="21"/>
        </w:rPr>
        <w:t>本基金投资存托凭证的策略依照上述境内上市交易的股票投资策略执行。</w:t>
      </w:r>
    </w:p>
    <w:p>
      <w:pPr>
        <w:spacing w:after="0" w:line="240" w:lineRule="auto"/>
        <w:jc w:val="left"/>
        <w:rPr>
          <w:sz w:val="21"/>
        </w:rPr>
        <w:sectPr>
          <w:pgSz w:w="11910" w:h="16840"/>
          <w:pgMar w:header="877" w:footer="1195" w:top="1380" w:bottom="1380" w:left="1680" w:right="1480"/>
        </w:sectPr>
      </w:pPr>
    </w:p>
    <w:p>
      <w:pPr>
        <w:pStyle w:val="ListParagraph"/>
        <w:numPr>
          <w:ilvl w:val="0"/>
          <w:numId w:val="16"/>
        </w:numPr>
        <w:tabs>
          <w:tab w:pos="1070" w:val="left" w:leader="none"/>
        </w:tabs>
        <w:spacing w:line="240" w:lineRule="auto" w:before="61" w:after="0"/>
        <w:ind w:left="1069" w:right="0" w:hanging="530"/>
        <w:jc w:val="left"/>
        <w:rPr>
          <w:sz w:val="21"/>
        </w:rPr>
      </w:pPr>
      <w:r>
        <w:rPr>
          <w:spacing w:val="-3"/>
          <w:sz w:val="21"/>
        </w:rPr>
        <w:t>债券投资策略</w:t>
      </w:r>
    </w:p>
    <w:p>
      <w:pPr>
        <w:pStyle w:val="BodyText"/>
        <w:spacing w:line="364" w:lineRule="auto" w:before="139"/>
        <w:ind w:right="311" w:firstLine="419"/>
      </w:pPr>
      <w:r>
        <w:rPr>
          <w:spacing w:val="-10"/>
        </w:rPr>
        <w:t>债券投资采取利率预期策略、信用策略、流动性策略和时机策略相结合的积极性投资方</w:t>
      </w:r>
      <w:r>
        <w:rPr>
          <w:spacing w:val="-5"/>
        </w:rPr>
        <w:t>法，力求在控制各类风险的基础上为投资者获取稳定的收益。</w:t>
      </w:r>
    </w:p>
    <w:p>
      <w:pPr>
        <w:pStyle w:val="ListParagraph"/>
        <w:numPr>
          <w:ilvl w:val="0"/>
          <w:numId w:val="16"/>
        </w:numPr>
        <w:tabs>
          <w:tab w:pos="1070" w:val="left" w:leader="none"/>
        </w:tabs>
        <w:spacing w:line="240" w:lineRule="auto" w:before="1" w:after="0"/>
        <w:ind w:left="1069" w:right="0" w:hanging="530"/>
        <w:jc w:val="left"/>
        <w:rPr>
          <w:sz w:val="21"/>
        </w:rPr>
      </w:pPr>
      <w:r>
        <w:rPr>
          <w:spacing w:val="-3"/>
          <w:sz w:val="21"/>
        </w:rPr>
        <w:t>权证投资策略</w:t>
      </w:r>
    </w:p>
    <w:p>
      <w:pPr>
        <w:pStyle w:val="BodyText"/>
        <w:spacing w:line="364" w:lineRule="auto" w:before="139"/>
        <w:ind w:right="311" w:firstLine="419"/>
      </w:pPr>
      <w:r>
        <w:rPr>
          <w:spacing w:val="-8"/>
        </w:rPr>
        <w:t>本公司将在有效进行风险管理的前提下，通过对权证标的证券的基本面研究，并结合期</w:t>
      </w:r>
      <w:r>
        <w:rPr>
          <w:spacing w:val="-5"/>
        </w:rPr>
        <w:t>权定价模型估计权证价值，谨慎进行投资。</w:t>
      </w:r>
    </w:p>
    <w:p>
      <w:pPr>
        <w:pStyle w:val="BodyText"/>
        <w:spacing w:line="367" w:lineRule="auto"/>
        <w:ind w:left="540" w:right="2843"/>
      </w:pPr>
      <w:r>
        <w:rPr/>
        <w:t>本基金持有的全部权证的市值不超过基金资产净值的 3%。五、投资管理程序</w:t>
      </w:r>
    </w:p>
    <w:p>
      <w:pPr>
        <w:pStyle w:val="BodyText"/>
        <w:spacing w:line="364" w:lineRule="auto"/>
        <w:ind w:right="208" w:firstLine="419"/>
      </w:pPr>
      <w:r>
        <w:rPr>
          <w:spacing w:val="-8"/>
        </w:rPr>
        <w:t>投资决策委员会是公司投资的最高决策机构，以定期或不定期会议的形式讨论和决定基</w:t>
      </w:r>
      <w:r>
        <w:rPr>
          <w:spacing w:val="-11"/>
        </w:rPr>
        <w:t>金投资的重大问题，包括确立各基金的投资方针及投资方向，审定基金财产的配置方案。投</w:t>
      </w:r>
      <w:r>
        <w:rPr>
          <w:spacing w:val="-6"/>
        </w:rPr>
        <w:t>资决策委员会召开前，由基金经理依据对宏观经济走势的分析，提出基金的资产配置建议， </w:t>
      </w:r>
      <w:r>
        <w:rPr>
          <w:spacing w:val="-10"/>
        </w:rPr>
        <w:t>交由投资决策委员会讨论。一旦做出决议，即成为指导基金投资的正式文件，投资部据此拟</w:t>
      </w:r>
      <w:r>
        <w:rPr>
          <w:spacing w:val="-5"/>
        </w:rPr>
        <w:t>订具体的投资计划。</w:t>
      </w:r>
    </w:p>
    <w:p>
      <w:pPr>
        <w:pStyle w:val="BodyText"/>
        <w:spacing w:line="364" w:lineRule="auto"/>
        <w:ind w:right="208" w:firstLine="419"/>
      </w:pPr>
      <w:r>
        <w:rPr>
          <w:spacing w:val="-8"/>
        </w:rPr>
        <w:t>投资部是负责管理基金日常投资活动的具体部门，投资总监除履行投资决策委员会执行</w:t>
      </w:r>
      <w:r>
        <w:rPr>
          <w:spacing w:val="-12"/>
        </w:rPr>
        <w:t>委员的职责外，还负责管理和协调投资部的日常运作。投资研究联席会议是投资部常设议事机构，负责讨论研究计划、投资策略、资产配置方案、基金投资组合构建或调整方案、基金</w:t>
      </w:r>
      <w:r>
        <w:rPr>
          <w:spacing w:val="-6"/>
        </w:rPr>
        <w:t>资产运作绩效评估与风险控制。投资研究室负责宏观经济研究、行业研究和投资品种研究， 编制、维护股票库和买进名单等投资证券备选库，建立与维护景顺长城“股票研究数据库</w:t>
      </w:r>
    </w:p>
    <w:p>
      <w:pPr>
        <w:pStyle w:val="BodyText"/>
        <w:spacing w:line="364" w:lineRule="auto"/>
        <w:ind w:right="311"/>
        <w:jc w:val="both"/>
      </w:pPr>
      <w:r>
        <w:rPr>
          <w:spacing w:val="-1"/>
          <w:w w:val="100"/>
        </w:rPr>
        <w:t>（</w:t>
      </w:r>
      <w:r>
        <w:rPr>
          <w:w w:val="100"/>
        </w:rPr>
        <w:t>SRD</w:t>
      </w:r>
      <w:r>
        <w:rPr>
          <w:spacing w:val="-108"/>
          <w:w w:val="100"/>
        </w:rPr>
        <w:t>）</w:t>
      </w:r>
      <w:r>
        <w:rPr>
          <w:spacing w:val="-11"/>
          <w:w w:val="100"/>
        </w:rPr>
        <w:t>”与债券研究资料库，并为投资决策委员会、投资研究联席会议、投资总监和基金经</w:t>
      </w:r>
      <w:r>
        <w:rPr>
          <w:spacing w:val="-11"/>
        </w:rPr>
        <w:t>理提供投资决策依据。基金投资室负责拟订基金的总体投资策略、资产配置、行业和板块分</w:t>
      </w:r>
      <w:r>
        <w:rPr>
          <w:spacing w:val="-12"/>
        </w:rPr>
        <w:t>布方案，重大投资项目提案和投资组合方案等报投资研究联席会议讨论决定，其中基金经理</w:t>
      </w:r>
      <w:r>
        <w:rPr>
          <w:spacing w:val="-6"/>
        </w:rPr>
        <w:t>根据投资决策委员会及投资研究联席会议决议具体承担本基金的日常管理工作。</w:t>
      </w:r>
    </w:p>
    <w:p>
      <w:pPr>
        <w:pStyle w:val="BodyText"/>
        <w:spacing w:line="364" w:lineRule="auto"/>
        <w:ind w:right="311" w:firstLine="419"/>
        <w:jc w:val="both"/>
      </w:pPr>
      <w:r>
        <w:rPr>
          <w:spacing w:val="-8"/>
        </w:rPr>
        <w:t>风险控制委员会作为风险管理的决策机构，由各部门总监组成，负责基金运作风险的评</w:t>
      </w:r>
      <w:r>
        <w:rPr>
          <w:spacing w:val="-13"/>
        </w:rPr>
        <w:t>估和控制，指导业务方向，并接受、审阅监察稽核报告，基于风险与回报对业务策略提出质</w:t>
      </w:r>
      <w:r>
        <w:rPr>
          <w:spacing w:val="-10"/>
        </w:rPr>
        <w:t>疑。投资部绩效评估与风险控制室负责投资组合风险与绩效的定期评估。法律、监察稽核部</w:t>
      </w:r>
      <w:r>
        <w:rPr>
          <w:spacing w:val="-5"/>
        </w:rPr>
        <w:t>负责基金日常运作的合规控制。</w:t>
      </w:r>
    </w:p>
    <w:p>
      <w:pPr>
        <w:pStyle w:val="BodyText"/>
        <w:spacing w:line="268" w:lineRule="exact"/>
        <w:ind w:left="540"/>
      </w:pPr>
      <w:r>
        <w:rPr/>
        <w:t>本基金投资决策过程为：</w:t>
      </w:r>
    </w:p>
    <w:p>
      <w:pPr>
        <w:pStyle w:val="BodyText"/>
        <w:spacing w:line="364" w:lineRule="auto" w:before="126"/>
        <w:ind w:right="314" w:firstLine="419"/>
      </w:pPr>
      <w:r>
        <w:rPr/>
        <w:t>1、由基金经理依据宏观经济、股市政策、市场趋势判断，结合基金合同、投资制度的要求提出资产配置建议。</w:t>
      </w:r>
    </w:p>
    <w:p>
      <w:pPr>
        <w:pStyle w:val="BodyText"/>
        <w:spacing w:line="267" w:lineRule="exact"/>
        <w:ind w:left="540"/>
      </w:pPr>
      <w:r>
        <w:rPr/>
        <w:t>2、投资决策委员审核基金经理提交的资产配置建议，并最终决定资产配置方案。</w:t>
      </w:r>
    </w:p>
    <w:p>
      <w:pPr>
        <w:pStyle w:val="BodyText"/>
        <w:spacing w:line="367" w:lineRule="auto" w:before="139"/>
        <w:ind w:right="314" w:firstLine="419"/>
      </w:pPr>
      <w:r>
        <w:rPr/>
        <w:t>3、投资部依据本基金的投资目标，按流程筛选出个股，由投资研究联席会议集体决定个股配置方案。</w:t>
      </w:r>
    </w:p>
    <w:p>
      <w:pPr>
        <w:pStyle w:val="ListParagraph"/>
        <w:numPr>
          <w:ilvl w:val="0"/>
          <w:numId w:val="17"/>
        </w:numPr>
        <w:tabs>
          <w:tab w:pos="1070" w:val="left" w:leader="none"/>
        </w:tabs>
        <w:spacing w:line="364" w:lineRule="auto" w:before="0" w:after="0"/>
        <w:ind w:left="120" w:right="311" w:firstLine="419"/>
        <w:jc w:val="left"/>
        <w:rPr>
          <w:sz w:val="21"/>
        </w:rPr>
      </w:pPr>
      <w:r>
        <w:rPr>
          <w:spacing w:val="-3"/>
          <w:sz w:val="21"/>
        </w:rPr>
        <w:t>构建公司股票库。公司股票库的构建采用定量分析和定性分析相结合的方法，以</w:t>
      </w:r>
      <w:r>
        <w:rPr>
          <w:spacing w:val="-9"/>
          <w:sz w:val="21"/>
        </w:rPr>
        <w:t>富时中国 </w:t>
      </w:r>
      <w:r>
        <w:rPr>
          <w:sz w:val="21"/>
        </w:rPr>
        <w:t>A200</w:t>
      </w:r>
      <w:r>
        <w:rPr>
          <w:spacing w:val="-7"/>
          <w:sz w:val="21"/>
        </w:rPr>
        <w:t> 指数的成分股为基础，投资部投资研究联席会议可以按照我们主动选股的标</w:t>
      </w:r>
    </w:p>
    <w:p>
      <w:pPr>
        <w:spacing w:after="0" w:line="364" w:lineRule="auto"/>
        <w:jc w:val="left"/>
        <w:rPr>
          <w:sz w:val="21"/>
        </w:rPr>
        <w:sectPr>
          <w:pgSz w:w="11910" w:h="16840"/>
          <w:pgMar w:header="877" w:footer="1195" w:top="1380" w:bottom="1380" w:left="1680" w:right="1480"/>
        </w:sectPr>
      </w:pPr>
    </w:p>
    <w:p>
      <w:pPr>
        <w:pStyle w:val="BodyText"/>
        <w:spacing w:before="61"/>
      </w:pPr>
      <w:r>
        <w:rPr/>
        <w:t>准加入部分上市公司，二者结合形成股票数据库。</w:t>
      </w:r>
    </w:p>
    <w:p>
      <w:pPr>
        <w:pStyle w:val="ListParagraph"/>
        <w:numPr>
          <w:ilvl w:val="0"/>
          <w:numId w:val="17"/>
        </w:numPr>
        <w:tabs>
          <w:tab w:pos="1070" w:val="left" w:leader="none"/>
        </w:tabs>
        <w:spacing w:line="364" w:lineRule="auto" w:before="139" w:after="0"/>
        <w:ind w:left="120" w:right="208" w:firstLine="419"/>
        <w:jc w:val="left"/>
        <w:rPr>
          <w:sz w:val="21"/>
        </w:rPr>
      </w:pPr>
      <w:r>
        <w:rPr>
          <w:spacing w:val="-3"/>
          <w:sz w:val="21"/>
        </w:rPr>
        <w:t>构建成长型股票库。本基金的股票投资是建立在公司股票库基础上的风格型股票投资。根据成长型股票的判别标准，我们选择预期未来两年销售收入保持较快增长的股票， 以构建本基金的成长型股票库。</w:t>
      </w:r>
    </w:p>
    <w:p>
      <w:pPr>
        <w:pStyle w:val="ListParagraph"/>
        <w:numPr>
          <w:ilvl w:val="0"/>
          <w:numId w:val="17"/>
        </w:numPr>
        <w:tabs>
          <w:tab w:pos="1070" w:val="left" w:leader="none"/>
        </w:tabs>
        <w:spacing w:line="269" w:lineRule="exact" w:before="0" w:after="0"/>
        <w:ind w:left="1069" w:right="0" w:hanging="530"/>
        <w:jc w:val="left"/>
        <w:rPr>
          <w:sz w:val="21"/>
        </w:rPr>
      </w:pPr>
      <w:r>
        <w:rPr>
          <w:spacing w:val="-3"/>
          <w:sz w:val="21"/>
        </w:rPr>
        <w:t>确定买入名单。对于进入成长型股票库的股票，运用景顺长城“股票研究数据库</w:t>
      </w:r>
    </w:p>
    <w:p>
      <w:pPr>
        <w:pStyle w:val="BodyText"/>
        <w:spacing w:line="364" w:lineRule="auto" w:before="139"/>
        <w:ind w:right="208"/>
      </w:pPr>
      <w:r>
        <w:rPr>
          <w:spacing w:val="-1"/>
          <w:w w:val="100"/>
        </w:rPr>
        <w:t>（</w:t>
      </w:r>
      <w:r>
        <w:rPr>
          <w:w w:val="100"/>
        </w:rPr>
        <w:t>SRD</w:t>
      </w:r>
      <w:r>
        <w:rPr>
          <w:spacing w:val="-108"/>
          <w:w w:val="100"/>
        </w:rPr>
        <w:t>）</w:t>
      </w:r>
      <w:r>
        <w:rPr>
          <w:spacing w:val="-3"/>
          <w:w w:val="100"/>
        </w:rPr>
        <w:t>”当中的标准分析模板对上市公司的品质和估值水平进行鉴别，重点考察业务价值、</w:t>
      </w:r>
      <w:r>
        <w:rPr>
          <w:spacing w:val="-3"/>
        </w:rPr>
        <w:t>估值水平、管理能力和现金流，结合必要的合理性分析，制定股票买入名单。</w:t>
      </w:r>
    </w:p>
    <w:p>
      <w:pPr>
        <w:pStyle w:val="BodyText"/>
        <w:spacing w:before="1"/>
        <w:ind w:left="540"/>
      </w:pPr>
      <w:r>
        <w:rPr/>
        <w:t>4、投资研究联席会议审核投资组合方案，如无异议，由基金经理具体执行投资计划。</w:t>
      </w:r>
    </w:p>
    <w:p>
      <w:pPr>
        <w:pStyle w:val="BodyText"/>
        <w:ind w:left="0"/>
        <w:rPr>
          <w:sz w:val="20"/>
        </w:rPr>
      </w:pPr>
    </w:p>
    <w:p>
      <w:pPr>
        <w:pStyle w:val="BodyText"/>
        <w:spacing w:before="9"/>
        <w:ind w:left="0"/>
        <w:rPr>
          <w:sz w:val="22"/>
        </w:rPr>
      </w:pPr>
    </w:p>
    <w:p>
      <w:pPr>
        <w:pStyle w:val="BodyText"/>
        <w:spacing w:line="364" w:lineRule="auto"/>
        <w:ind w:left="540" w:right="6941"/>
      </w:pPr>
      <w:r>
        <w:rPr/>
        <w:t>六、投资限制1、禁止行为</w:t>
      </w:r>
    </w:p>
    <w:p>
      <w:pPr>
        <w:pStyle w:val="BodyText"/>
        <w:spacing w:line="267" w:lineRule="exact"/>
        <w:ind w:left="540"/>
      </w:pPr>
      <w:r>
        <w:rPr/>
        <w:t>为维护基金份额持有人的合法权益，本基金禁止从事下列行为：</w:t>
      </w:r>
    </w:p>
    <w:p>
      <w:pPr>
        <w:pStyle w:val="ListParagraph"/>
        <w:numPr>
          <w:ilvl w:val="0"/>
          <w:numId w:val="18"/>
        </w:numPr>
        <w:tabs>
          <w:tab w:pos="1070" w:val="left" w:leader="none"/>
        </w:tabs>
        <w:spacing w:line="240" w:lineRule="auto" w:before="141" w:after="0"/>
        <w:ind w:left="1069" w:right="0" w:hanging="530"/>
        <w:jc w:val="left"/>
        <w:rPr>
          <w:sz w:val="21"/>
        </w:rPr>
      </w:pPr>
      <w:r>
        <w:rPr>
          <w:spacing w:val="-3"/>
          <w:sz w:val="21"/>
        </w:rPr>
        <w:t>承销证券；</w:t>
      </w:r>
    </w:p>
    <w:p>
      <w:pPr>
        <w:pStyle w:val="ListParagraph"/>
        <w:numPr>
          <w:ilvl w:val="0"/>
          <w:numId w:val="18"/>
        </w:numPr>
        <w:tabs>
          <w:tab w:pos="1070" w:val="left" w:leader="none"/>
        </w:tabs>
        <w:spacing w:line="240" w:lineRule="auto" w:before="139" w:after="0"/>
        <w:ind w:left="1069" w:right="0" w:hanging="530"/>
        <w:jc w:val="left"/>
        <w:rPr>
          <w:sz w:val="21"/>
        </w:rPr>
      </w:pPr>
      <w:r>
        <w:rPr>
          <w:spacing w:val="-3"/>
          <w:sz w:val="21"/>
        </w:rPr>
        <w:t>向他人贷款或提供担保；</w:t>
      </w:r>
    </w:p>
    <w:p>
      <w:pPr>
        <w:pStyle w:val="ListParagraph"/>
        <w:numPr>
          <w:ilvl w:val="0"/>
          <w:numId w:val="18"/>
        </w:numPr>
        <w:tabs>
          <w:tab w:pos="1070" w:val="left" w:leader="none"/>
        </w:tabs>
        <w:spacing w:line="240" w:lineRule="auto" w:before="139" w:after="0"/>
        <w:ind w:left="1069" w:right="0" w:hanging="530"/>
        <w:jc w:val="left"/>
        <w:rPr>
          <w:sz w:val="21"/>
        </w:rPr>
      </w:pPr>
      <w:r>
        <w:rPr>
          <w:spacing w:val="-3"/>
          <w:sz w:val="21"/>
        </w:rPr>
        <w:t>从事承担无限责任的投资；</w:t>
      </w:r>
    </w:p>
    <w:p>
      <w:pPr>
        <w:pStyle w:val="ListParagraph"/>
        <w:numPr>
          <w:ilvl w:val="0"/>
          <w:numId w:val="18"/>
        </w:numPr>
        <w:tabs>
          <w:tab w:pos="1070" w:val="left" w:leader="none"/>
        </w:tabs>
        <w:spacing w:line="240" w:lineRule="auto" w:before="139" w:after="0"/>
        <w:ind w:left="1069" w:right="0" w:hanging="530"/>
        <w:jc w:val="left"/>
        <w:rPr>
          <w:sz w:val="21"/>
        </w:rPr>
      </w:pPr>
      <w:r>
        <w:rPr>
          <w:spacing w:val="-3"/>
          <w:sz w:val="21"/>
        </w:rPr>
        <w:t>买卖其他基金份额，但国务院另有规定的除外；</w:t>
      </w:r>
    </w:p>
    <w:p>
      <w:pPr>
        <w:pStyle w:val="ListParagraph"/>
        <w:numPr>
          <w:ilvl w:val="0"/>
          <w:numId w:val="18"/>
        </w:numPr>
        <w:tabs>
          <w:tab w:pos="1070" w:val="left" w:leader="none"/>
        </w:tabs>
        <w:spacing w:line="367" w:lineRule="auto" w:before="139" w:after="0"/>
        <w:ind w:left="120" w:right="314" w:firstLine="419"/>
        <w:jc w:val="left"/>
        <w:rPr>
          <w:sz w:val="21"/>
        </w:rPr>
      </w:pPr>
      <w:r>
        <w:rPr>
          <w:spacing w:val="-3"/>
          <w:sz w:val="21"/>
        </w:rPr>
        <w:t>向基金管理人、基金托管人出资或者买卖其基金管理人、基金托管人发行的股票或债券；</w:t>
      </w:r>
    </w:p>
    <w:p>
      <w:pPr>
        <w:pStyle w:val="ListParagraph"/>
        <w:numPr>
          <w:ilvl w:val="0"/>
          <w:numId w:val="18"/>
        </w:numPr>
        <w:tabs>
          <w:tab w:pos="1070" w:val="left" w:leader="none"/>
        </w:tabs>
        <w:spacing w:line="364" w:lineRule="auto" w:before="0" w:after="0"/>
        <w:ind w:left="120" w:right="314" w:firstLine="419"/>
        <w:jc w:val="left"/>
        <w:rPr>
          <w:sz w:val="21"/>
        </w:rPr>
      </w:pPr>
      <w:r>
        <w:rPr>
          <w:spacing w:val="-3"/>
          <w:sz w:val="21"/>
        </w:rPr>
        <w:t>买卖与基金管理人、基金托管人有控股关系的股东或者与基金管理人、基金托管人有其他重大利害关系的公司发行的证券或者承销期内承销的证券；</w:t>
      </w:r>
    </w:p>
    <w:p>
      <w:pPr>
        <w:pStyle w:val="ListParagraph"/>
        <w:numPr>
          <w:ilvl w:val="0"/>
          <w:numId w:val="18"/>
        </w:numPr>
        <w:tabs>
          <w:tab w:pos="1070" w:val="left" w:leader="none"/>
        </w:tabs>
        <w:spacing w:line="267" w:lineRule="exact" w:before="0" w:after="0"/>
        <w:ind w:left="1069" w:right="0" w:hanging="530"/>
        <w:jc w:val="left"/>
        <w:rPr>
          <w:sz w:val="21"/>
        </w:rPr>
      </w:pPr>
      <w:r>
        <w:rPr>
          <w:spacing w:val="-3"/>
          <w:sz w:val="21"/>
        </w:rPr>
        <w:t>从事内幕交易、操纵证券价格及其他不正当的证券交易活动；</w:t>
      </w:r>
    </w:p>
    <w:p>
      <w:pPr>
        <w:pStyle w:val="ListParagraph"/>
        <w:numPr>
          <w:ilvl w:val="0"/>
          <w:numId w:val="18"/>
        </w:numPr>
        <w:tabs>
          <w:tab w:pos="1070" w:val="left" w:leader="none"/>
        </w:tabs>
        <w:spacing w:line="364" w:lineRule="auto" w:before="137" w:after="0"/>
        <w:ind w:left="540" w:right="532" w:firstLine="0"/>
        <w:jc w:val="left"/>
        <w:rPr>
          <w:sz w:val="21"/>
        </w:rPr>
      </w:pPr>
      <w:r>
        <w:rPr>
          <w:spacing w:val="-3"/>
          <w:sz w:val="21"/>
        </w:rPr>
        <w:t>当时有效的法律法规、中国证监会及《基金合同》规定禁止从事的其他行为。2、投资组合限制</w:t>
      </w:r>
    </w:p>
    <w:p>
      <w:pPr>
        <w:pStyle w:val="BodyText"/>
        <w:spacing w:line="267" w:lineRule="exact"/>
        <w:ind w:left="540"/>
      </w:pPr>
      <w:r>
        <w:rPr/>
        <w:t>本基金的投资组合将遵循以下限制：</w:t>
      </w:r>
    </w:p>
    <w:p>
      <w:pPr>
        <w:pStyle w:val="ListParagraph"/>
        <w:numPr>
          <w:ilvl w:val="0"/>
          <w:numId w:val="19"/>
        </w:numPr>
        <w:tabs>
          <w:tab w:pos="1070" w:val="left" w:leader="none"/>
        </w:tabs>
        <w:spacing w:line="240" w:lineRule="auto" w:before="139" w:after="0"/>
        <w:ind w:left="1069" w:right="0" w:hanging="530"/>
        <w:jc w:val="left"/>
        <w:rPr>
          <w:sz w:val="21"/>
        </w:rPr>
      </w:pPr>
      <w:r>
        <w:rPr>
          <w:spacing w:val="-5"/>
          <w:sz w:val="21"/>
        </w:rPr>
        <w:t>本基金持有一家上市公司的股票，其市值不得超过基金资产净值的 </w:t>
      </w:r>
      <w:r>
        <w:rPr>
          <w:sz w:val="21"/>
        </w:rPr>
        <w:t>10%；</w:t>
      </w:r>
    </w:p>
    <w:p>
      <w:pPr>
        <w:pStyle w:val="ListParagraph"/>
        <w:numPr>
          <w:ilvl w:val="0"/>
          <w:numId w:val="19"/>
        </w:numPr>
        <w:tabs>
          <w:tab w:pos="1070" w:val="left" w:leader="none"/>
        </w:tabs>
        <w:spacing w:line="367" w:lineRule="auto" w:before="139" w:after="0"/>
        <w:ind w:left="120" w:right="314" w:firstLine="419"/>
        <w:jc w:val="left"/>
        <w:rPr>
          <w:sz w:val="21"/>
        </w:rPr>
      </w:pPr>
      <w:r>
        <w:rPr>
          <w:spacing w:val="-3"/>
          <w:sz w:val="21"/>
        </w:rPr>
        <w:t>本基金与由本基金管理人管理的其他基金共同持有一家公司发行的证券，不得超过该证券的 </w:t>
      </w:r>
      <w:r>
        <w:rPr>
          <w:sz w:val="21"/>
        </w:rPr>
        <w:t>10%；</w:t>
      </w:r>
    </w:p>
    <w:p>
      <w:pPr>
        <w:pStyle w:val="ListParagraph"/>
        <w:numPr>
          <w:ilvl w:val="0"/>
          <w:numId w:val="19"/>
        </w:numPr>
        <w:tabs>
          <w:tab w:pos="1070" w:val="left" w:leader="none"/>
        </w:tabs>
        <w:spacing w:line="264" w:lineRule="exact" w:before="0" w:after="0"/>
        <w:ind w:left="1069" w:right="0" w:hanging="530"/>
        <w:jc w:val="left"/>
        <w:rPr>
          <w:sz w:val="21"/>
        </w:rPr>
      </w:pPr>
      <w:r>
        <w:rPr>
          <w:spacing w:val="-3"/>
          <w:sz w:val="21"/>
        </w:rPr>
        <w:t>本基金不得违反本基金合同关于投资范围、投资策略和投资比例的约定；</w:t>
      </w:r>
    </w:p>
    <w:p>
      <w:pPr>
        <w:pStyle w:val="ListParagraph"/>
        <w:numPr>
          <w:ilvl w:val="0"/>
          <w:numId w:val="19"/>
        </w:numPr>
        <w:tabs>
          <w:tab w:pos="1070" w:val="left" w:leader="none"/>
        </w:tabs>
        <w:spacing w:line="364" w:lineRule="auto" w:before="139" w:after="0"/>
        <w:ind w:left="120" w:right="311" w:firstLine="419"/>
        <w:jc w:val="both"/>
        <w:rPr>
          <w:sz w:val="21"/>
        </w:rPr>
      </w:pPr>
      <w:r>
        <w:rPr>
          <w:spacing w:val="-3"/>
          <w:sz w:val="21"/>
        </w:rPr>
        <w:t>本基金投资股权分置改革中产生的权证，在任何交易日买入的总金额，不超过上</w:t>
      </w:r>
      <w:r>
        <w:rPr>
          <w:spacing w:val="-2"/>
          <w:sz w:val="21"/>
        </w:rPr>
        <w:t>一交易日基金资产净值的 </w:t>
      </w:r>
      <w:r>
        <w:rPr>
          <w:spacing w:val="-11"/>
          <w:sz w:val="21"/>
        </w:rPr>
        <w:t>0.5%</w:t>
      </w:r>
      <w:r>
        <w:rPr>
          <w:spacing w:val="-4"/>
          <w:sz w:val="21"/>
        </w:rPr>
        <w:t>，基金持有的全部权证的市值不超过基金资产净值的 </w:t>
      </w:r>
      <w:r>
        <w:rPr>
          <w:spacing w:val="-17"/>
          <w:sz w:val="21"/>
        </w:rPr>
        <w:t>3%</w:t>
      </w:r>
      <w:r>
        <w:rPr>
          <w:spacing w:val="-34"/>
          <w:sz w:val="21"/>
        </w:rPr>
        <w:t>，本</w:t>
      </w:r>
      <w:r>
        <w:rPr>
          <w:spacing w:val="-2"/>
          <w:sz w:val="21"/>
        </w:rPr>
        <w:t>公司管理的全部基金持有同一权证的比例不超过该权证的 </w:t>
      </w:r>
      <w:r>
        <w:rPr>
          <w:sz w:val="21"/>
        </w:rPr>
        <w:t>10</w:t>
      </w:r>
      <w:r>
        <w:rPr>
          <w:spacing w:val="-12"/>
          <w:sz w:val="21"/>
        </w:rPr>
        <w:t>%。其它权证的投资比例，遵从</w:t>
      </w:r>
      <w:r>
        <w:rPr>
          <w:spacing w:val="-6"/>
          <w:sz w:val="21"/>
        </w:rPr>
        <w:t>法规或监管部门的相关规定；</w:t>
      </w:r>
    </w:p>
    <w:p>
      <w:pPr>
        <w:pStyle w:val="ListParagraph"/>
        <w:numPr>
          <w:ilvl w:val="0"/>
          <w:numId w:val="19"/>
        </w:numPr>
        <w:tabs>
          <w:tab w:pos="1070" w:val="left" w:leader="none"/>
        </w:tabs>
        <w:spacing w:line="364" w:lineRule="auto" w:before="0" w:after="0"/>
        <w:ind w:left="120" w:right="314" w:firstLine="419"/>
        <w:jc w:val="left"/>
        <w:rPr>
          <w:sz w:val="21"/>
        </w:rPr>
      </w:pPr>
      <w:r>
        <w:rPr>
          <w:spacing w:val="-3"/>
          <w:sz w:val="21"/>
        </w:rPr>
        <w:t>基金财产参与股票发行申购，本基金所申报的金额不得超过本基金的总资产，所申报的股票数量不得超过拟发行股票公司本次发行股票的总量；</w:t>
      </w:r>
    </w:p>
    <w:p>
      <w:pPr>
        <w:spacing w:after="0" w:line="364" w:lineRule="auto"/>
        <w:jc w:val="left"/>
        <w:rPr>
          <w:sz w:val="21"/>
        </w:rPr>
        <w:sectPr>
          <w:pgSz w:w="11910" w:h="16840"/>
          <w:pgMar w:header="877" w:footer="1195" w:top="1380" w:bottom="1380" w:left="1680" w:right="1480"/>
        </w:sectPr>
      </w:pPr>
    </w:p>
    <w:p>
      <w:pPr>
        <w:pStyle w:val="ListParagraph"/>
        <w:numPr>
          <w:ilvl w:val="0"/>
          <w:numId w:val="19"/>
        </w:numPr>
        <w:tabs>
          <w:tab w:pos="1070" w:val="left" w:leader="none"/>
        </w:tabs>
        <w:spacing w:line="240" w:lineRule="auto" w:before="61" w:after="0"/>
        <w:ind w:left="1069" w:right="0" w:hanging="530"/>
        <w:jc w:val="left"/>
        <w:rPr>
          <w:sz w:val="21"/>
        </w:rPr>
      </w:pPr>
      <w:r>
        <w:rPr>
          <w:spacing w:val="-3"/>
          <w:sz w:val="21"/>
        </w:rPr>
        <w:t>相关法律法规以及监管部门规定的其它投资限制；</w:t>
      </w:r>
    </w:p>
    <w:p>
      <w:pPr>
        <w:pStyle w:val="ListParagraph"/>
        <w:numPr>
          <w:ilvl w:val="0"/>
          <w:numId w:val="19"/>
        </w:numPr>
        <w:tabs>
          <w:tab w:pos="1070" w:val="left" w:leader="none"/>
        </w:tabs>
        <w:spacing w:line="364" w:lineRule="auto" w:before="139" w:after="0"/>
        <w:ind w:left="120" w:right="313" w:firstLine="419"/>
        <w:jc w:val="both"/>
        <w:rPr>
          <w:sz w:val="21"/>
        </w:rPr>
      </w:pPr>
      <w:r>
        <w:rPr>
          <w:spacing w:val="-4"/>
          <w:sz w:val="21"/>
        </w:rPr>
        <w:t>本基金保持不低于基金资产净值 </w:t>
      </w:r>
      <w:r>
        <w:rPr>
          <w:sz w:val="21"/>
        </w:rPr>
        <w:t>5</w:t>
      </w:r>
      <w:r>
        <w:rPr>
          <w:spacing w:val="-4"/>
          <w:sz w:val="21"/>
        </w:rPr>
        <w:t>%的现金或到期日在一年以内的政府债券，其</w:t>
      </w:r>
      <w:r>
        <w:rPr>
          <w:spacing w:val="-3"/>
          <w:sz w:val="21"/>
        </w:rPr>
        <w:t>中现金不包括结算备付金、存出保证金和应收申购款等；</w:t>
      </w:r>
    </w:p>
    <w:p>
      <w:pPr>
        <w:pStyle w:val="ListParagraph"/>
        <w:numPr>
          <w:ilvl w:val="0"/>
          <w:numId w:val="19"/>
        </w:numPr>
        <w:tabs>
          <w:tab w:pos="1070" w:val="left" w:leader="none"/>
        </w:tabs>
        <w:spacing w:line="417" w:lineRule="auto" w:before="99" w:after="0"/>
        <w:ind w:left="120" w:right="311" w:firstLine="419"/>
        <w:jc w:val="both"/>
        <w:rPr>
          <w:sz w:val="21"/>
        </w:rPr>
      </w:pPr>
      <w:r>
        <w:rPr>
          <w:spacing w:val="-3"/>
          <w:sz w:val="21"/>
        </w:rPr>
        <w:t>本基金管理人管理的全部开放式基金</w:t>
      </w:r>
      <w:r>
        <w:rPr>
          <w:sz w:val="21"/>
        </w:rPr>
        <w:t>（</w:t>
      </w:r>
      <w:r>
        <w:rPr>
          <w:spacing w:val="-3"/>
          <w:sz w:val="21"/>
        </w:rPr>
        <w:t>包括开放式基金以及处于开放期的定期开放基金）</w:t>
      </w:r>
      <w:r>
        <w:rPr>
          <w:spacing w:val="-2"/>
          <w:sz w:val="21"/>
        </w:rPr>
        <w:t>持有一家上市公司发行的可流通股票，不超过该上市公司可流通股票的 </w:t>
      </w:r>
      <w:r>
        <w:rPr>
          <w:sz w:val="21"/>
        </w:rPr>
        <w:t>15％；本</w:t>
      </w:r>
      <w:r>
        <w:rPr>
          <w:spacing w:val="-6"/>
          <w:sz w:val="21"/>
        </w:rPr>
        <w:t>基金管理人管理的全部投资组合持有一家上市公司发行的可流通股票，不超过该上市公司可</w:t>
      </w:r>
      <w:r>
        <w:rPr>
          <w:spacing w:val="-13"/>
          <w:sz w:val="21"/>
        </w:rPr>
        <w:t>流通股票的 </w:t>
      </w:r>
      <w:r>
        <w:rPr>
          <w:sz w:val="21"/>
        </w:rPr>
        <w:t>30％；</w:t>
      </w:r>
    </w:p>
    <w:p>
      <w:pPr>
        <w:pStyle w:val="ListParagraph"/>
        <w:numPr>
          <w:ilvl w:val="0"/>
          <w:numId w:val="19"/>
        </w:numPr>
        <w:tabs>
          <w:tab w:pos="1070" w:val="left" w:leader="none"/>
        </w:tabs>
        <w:spacing w:line="417" w:lineRule="auto" w:before="0" w:after="0"/>
        <w:ind w:left="120" w:right="311" w:firstLine="419"/>
        <w:jc w:val="both"/>
        <w:rPr>
          <w:sz w:val="21"/>
        </w:rPr>
      </w:pPr>
      <w:r>
        <w:rPr>
          <w:spacing w:val="-2"/>
          <w:sz w:val="21"/>
        </w:rPr>
        <w:t>本基金主动投资于流动性受限资产的市值合计不超过基金资产的 </w:t>
      </w:r>
      <w:r>
        <w:rPr>
          <w:sz w:val="21"/>
        </w:rPr>
        <w:t>15%</w:t>
      </w:r>
      <w:r>
        <w:rPr>
          <w:spacing w:val="-1"/>
          <w:sz w:val="21"/>
        </w:rPr>
        <w:t>；因证券市</w:t>
      </w:r>
      <w:r>
        <w:rPr>
          <w:spacing w:val="-12"/>
          <w:sz w:val="21"/>
        </w:rPr>
        <w:t>场波动、上市公司股票停牌、基金规模变动等基金管理人之外的因素致使基金不符合本项所</w:t>
      </w:r>
      <w:r>
        <w:rPr>
          <w:spacing w:val="-6"/>
          <w:sz w:val="21"/>
        </w:rPr>
        <w:t>规定的比例限制的，基金管理人不得主动新增流动性受限资产的投资；</w:t>
      </w:r>
    </w:p>
    <w:p>
      <w:pPr>
        <w:pStyle w:val="ListParagraph"/>
        <w:numPr>
          <w:ilvl w:val="0"/>
          <w:numId w:val="19"/>
        </w:numPr>
        <w:tabs>
          <w:tab w:pos="1173" w:val="left" w:leader="none"/>
        </w:tabs>
        <w:spacing w:line="417" w:lineRule="auto" w:before="0" w:after="0"/>
        <w:ind w:left="120" w:right="311" w:firstLine="419"/>
        <w:jc w:val="left"/>
        <w:rPr>
          <w:sz w:val="21"/>
        </w:rPr>
      </w:pPr>
      <w:r>
        <w:rPr>
          <w:spacing w:val="-3"/>
          <w:sz w:val="21"/>
        </w:rPr>
        <w:t>本基金与私募类证券资管产品及中国证监会认定的其他主体为交易对手开展逆回购交易的，可接受质押品的资质要求应当与投资范围保持一致；</w:t>
      </w:r>
    </w:p>
    <w:p>
      <w:pPr>
        <w:pStyle w:val="ListParagraph"/>
        <w:numPr>
          <w:ilvl w:val="0"/>
          <w:numId w:val="19"/>
        </w:numPr>
        <w:tabs>
          <w:tab w:pos="1175" w:val="left" w:leader="none"/>
        </w:tabs>
        <w:spacing w:line="269" w:lineRule="exact" w:before="0" w:after="0"/>
        <w:ind w:left="1175" w:right="0" w:hanging="635"/>
        <w:jc w:val="left"/>
        <w:rPr>
          <w:sz w:val="21"/>
        </w:rPr>
      </w:pPr>
      <w:r>
        <w:rPr>
          <w:spacing w:val="-5"/>
          <w:sz w:val="21"/>
        </w:rPr>
        <w:t>本基金投资存托凭证的比例限制依照境内上市交易的股票执行，与境内上市交易</w:t>
      </w:r>
    </w:p>
    <w:p>
      <w:pPr>
        <w:pStyle w:val="BodyText"/>
        <w:spacing w:before="6"/>
        <w:ind w:left="0"/>
        <w:rPr>
          <w:sz w:val="15"/>
        </w:rPr>
      </w:pPr>
    </w:p>
    <w:p>
      <w:pPr>
        <w:pStyle w:val="BodyText"/>
      </w:pPr>
      <w:r>
        <w:rPr/>
        <w:t>的股票合并计算；</w:t>
      </w:r>
    </w:p>
    <w:p>
      <w:pPr>
        <w:pStyle w:val="ListParagraph"/>
        <w:numPr>
          <w:ilvl w:val="0"/>
          <w:numId w:val="19"/>
        </w:numPr>
        <w:tabs>
          <w:tab w:pos="1175" w:val="left" w:leader="none"/>
        </w:tabs>
        <w:spacing w:line="240" w:lineRule="auto" w:before="101" w:after="0"/>
        <w:ind w:left="1175" w:right="0" w:hanging="635"/>
        <w:jc w:val="left"/>
        <w:rPr>
          <w:sz w:val="21"/>
        </w:rPr>
      </w:pPr>
      <w:r>
        <w:rPr>
          <w:spacing w:val="-3"/>
          <w:sz w:val="21"/>
        </w:rPr>
        <w:t>法律法规或监管部门取消上述限制，本基金不受上述限制。</w:t>
      </w:r>
    </w:p>
    <w:p>
      <w:pPr>
        <w:pStyle w:val="BodyText"/>
        <w:spacing w:line="364" w:lineRule="auto" w:before="139"/>
        <w:ind w:right="311" w:firstLine="419"/>
        <w:jc w:val="both"/>
      </w:pPr>
      <w:r>
        <w:rPr>
          <w:spacing w:val="-5"/>
          <w:w w:val="100"/>
        </w:rPr>
        <w:t>除上述第</w:t>
      </w:r>
      <w:r>
        <w:rPr>
          <w:w w:val="100"/>
        </w:rPr>
        <w:t>（7</w:t>
      </w:r>
      <w:r>
        <w:rPr>
          <w:spacing w:val="-108"/>
          <w:w w:val="100"/>
        </w:rPr>
        <w:t>）</w:t>
      </w:r>
      <w:r>
        <w:rPr>
          <w:spacing w:val="-123"/>
          <w:w w:val="100"/>
        </w:rPr>
        <w:t>、</w:t>
      </w:r>
      <w:r>
        <w:rPr>
          <w:w w:val="100"/>
        </w:rPr>
        <w:t>（9</w:t>
      </w:r>
      <w:r>
        <w:rPr>
          <w:spacing w:val="-106"/>
          <w:w w:val="100"/>
        </w:rPr>
        <w:t>）</w:t>
      </w:r>
      <w:r>
        <w:rPr>
          <w:spacing w:val="-125"/>
          <w:w w:val="100"/>
        </w:rPr>
        <w:t>、</w:t>
      </w:r>
      <w:r>
        <w:rPr>
          <w:w w:val="100"/>
        </w:rPr>
        <w:t>（1</w:t>
      </w:r>
      <w:r>
        <w:rPr>
          <w:spacing w:val="-3"/>
          <w:w w:val="100"/>
        </w:rPr>
        <w:t>0</w:t>
      </w:r>
      <w:r>
        <w:rPr>
          <w:spacing w:val="-17"/>
          <w:w w:val="100"/>
        </w:rPr>
        <w:t>）</w:t>
      </w:r>
      <w:r>
        <w:rPr>
          <w:spacing w:val="-6"/>
          <w:w w:val="100"/>
        </w:rPr>
        <w:t>项外，由于证券市场波动、上市公司合并或基金规模变动等</w:t>
      </w:r>
      <w:r>
        <w:rPr>
          <w:spacing w:val="-7"/>
        </w:rPr>
        <w:t>基金管理人之外的原因导致的投资组合不符合上述约定的比例不在限制之内，但基金管理人应在 10</w:t>
      </w:r>
      <w:r>
        <w:rPr>
          <w:spacing w:val="-4"/>
        </w:rPr>
        <w:t> 个交易日内进行调整，以达到标准。</w:t>
      </w:r>
    </w:p>
    <w:p>
      <w:pPr>
        <w:pStyle w:val="BodyText"/>
        <w:ind w:left="0"/>
        <w:rPr>
          <w:sz w:val="20"/>
        </w:rPr>
      </w:pPr>
    </w:p>
    <w:p>
      <w:pPr>
        <w:pStyle w:val="BodyText"/>
        <w:spacing w:before="151"/>
        <w:ind w:left="540"/>
      </w:pPr>
      <w:r>
        <w:rPr/>
        <w:t>七、业绩比较基准</w:t>
      </w:r>
    </w:p>
    <w:p>
      <w:pPr>
        <w:pStyle w:val="BodyText"/>
        <w:spacing w:line="364" w:lineRule="auto" w:before="139"/>
        <w:ind w:left="540" w:right="1165"/>
      </w:pPr>
      <w:r>
        <w:rPr>
          <w:spacing w:val="-6"/>
        </w:rPr>
        <w:t>基金整体业绩比较基准=中证 </w:t>
      </w:r>
      <w:r>
        <w:rPr/>
        <w:t>800</w:t>
      </w:r>
      <w:r>
        <w:rPr>
          <w:spacing w:val="-11"/>
        </w:rPr>
        <w:t> 成长指数</w:t>
      </w:r>
      <w:r>
        <w:rPr/>
        <w:t>×80</w:t>
      </w:r>
      <w:r>
        <w:rPr>
          <w:spacing w:val="-3"/>
        </w:rPr>
        <w:t>%＋银行同业存款利率×</w:t>
      </w:r>
      <w:r>
        <w:rPr/>
        <w:t>20%。</w:t>
      </w:r>
      <w:r>
        <w:rPr>
          <w:spacing w:val="-3"/>
        </w:rPr>
        <w:t>使用上述业绩比较基准的主要理由为：</w:t>
      </w:r>
    </w:p>
    <w:p>
      <w:pPr>
        <w:pStyle w:val="BodyText"/>
        <w:spacing w:line="267" w:lineRule="exact"/>
        <w:ind w:left="540"/>
      </w:pPr>
      <w:r>
        <w:rPr/>
        <w:t>1、风格的一致性</w:t>
      </w:r>
    </w:p>
    <w:p>
      <w:pPr>
        <w:pStyle w:val="BodyText"/>
        <w:spacing w:line="364" w:lineRule="auto" w:before="142"/>
        <w:ind w:right="313" w:firstLine="419"/>
      </w:pPr>
      <w:r>
        <w:rPr>
          <w:spacing w:val="-15"/>
        </w:rPr>
        <w:t>中证 </w:t>
      </w:r>
      <w:r>
        <w:rPr/>
        <w:t>800</w:t>
      </w:r>
      <w:r>
        <w:rPr>
          <w:spacing w:val="-7"/>
        </w:rPr>
        <w:t> 成长指数是由中证指数有限公司推出的中国 </w:t>
      </w:r>
      <w:r>
        <w:rPr/>
        <w:t>A</w:t>
      </w:r>
      <w:r>
        <w:rPr>
          <w:spacing w:val="-3"/>
        </w:rPr>
        <w:t> 股市场风格指数，与本基金的投资风格定位具有一致性。</w:t>
      </w:r>
    </w:p>
    <w:p>
      <w:pPr>
        <w:pStyle w:val="BodyText"/>
        <w:spacing w:line="267" w:lineRule="exact"/>
        <w:ind w:left="540"/>
      </w:pPr>
      <w:r>
        <w:rPr/>
        <w:t>2、复合基准构建的公允性</w:t>
      </w:r>
    </w:p>
    <w:p>
      <w:pPr>
        <w:pStyle w:val="BodyText"/>
        <w:spacing w:line="364" w:lineRule="auto" w:before="139"/>
        <w:ind w:right="313" w:firstLine="419"/>
      </w:pPr>
      <w:r>
        <w:rPr/>
        <w:t>本基金股票资产的配置比例为 65-95%，中位值为 80%，复合基准可以比较公允地反映基金管理人的投资管理能力。</w:t>
      </w:r>
    </w:p>
    <w:p>
      <w:pPr>
        <w:pStyle w:val="BodyText"/>
        <w:spacing w:before="1"/>
        <w:ind w:left="540"/>
      </w:pPr>
      <w:r>
        <w:rPr/>
        <w:t>3、易于观测性</w:t>
      </w:r>
    </w:p>
    <w:p>
      <w:pPr>
        <w:pStyle w:val="BodyText"/>
        <w:spacing w:line="364" w:lineRule="auto" w:before="138"/>
        <w:ind w:right="311" w:firstLine="419"/>
      </w:pPr>
      <w:r>
        <w:rPr>
          <w:spacing w:val="-11"/>
        </w:rPr>
        <w:t>本基金的比较基准易于观察，任何投资人都可以使用公开的数据经过简单的算术运算获</w:t>
      </w:r>
      <w:r>
        <w:rPr>
          <w:spacing w:val="-6"/>
        </w:rPr>
        <w:t>得比较基准，保证了基金业绩评价的透明性。</w:t>
      </w:r>
    </w:p>
    <w:p>
      <w:pPr>
        <w:pStyle w:val="BodyText"/>
        <w:spacing w:line="268" w:lineRule="exact"/>
        <w:ind w:left="540"/>
      </w:pPr>
      <w:r>
        <w:rPr/>
        <w:t>如果本基金业绩比较基准中所使用的指数暂停或终止发布，本基金的管理人可以在报备</w:t>
      </w:r>
    </w:p>
    <w:p>
      <w:pPr>
        <w:spacing w:after="0" w:line="268" w:lineRule="exact"/>
        <w:sectPr>
          <w:pgSz w:w="11910" w:h="16840"/>
          <w:pgMar w:header="877" w:footer="1195" w:top="1380" w:bottom="1380" w:left="1680" w:right="1480"/>
        </w:sectPr>
      </w:pPr>
    </w:p>
    <w:p>
      <w:pPr>
        <w:pStyle w:val="BodyText"/>
        <w:spacing w:before="61"/>
      </w:pPr>
      <w:r>
        <w:rPr/>
        <w:t>中国证监会后，使用其他可以合理的作为业绩比较基准的指数代替原有指数。</w:t>
      </w:r>
    </w:p>
    <w:p>
      <w:pPr>
        <w:pStyle w:val="BodyText"/>
        <w:spacing w:line="364" w:lineRule="auto" w:before="139"/>
        <w:ind w:right="205" w:firstLine="419"/>
      </w:pPr>
      <w:r>
        <w:rPr>
          <w:spacing w:val="-16"/>
        </w:rPr>
        <w:t>如果今后法律法规发生变化，或者有更权威的、能为市场普遍接受的业绩比较基准推出， </w:t>
      </w:r>
      <w:r>
        <w:rPr>
          <w:spacing w:val="-7"/>
        </w:rPr>
        <w:t>基金管理人可以在报中国证监会备案后变更业绩比较基准并及时公告。</w:t>
      </w:r>
    </w:p>
    <w:p>
      <w:pPr>
        <w:pStyle w:val="BodyText"/>
        <w:ind w:left="0"/>
        <w:rPr>
          <w:sz w:val="20"/>
        </w:rPr>
      </w:pPr>
    </w:p>
    <w:p>
      <w:pPr>
        <w:pStyle w:val="BodyText"/>
        <w:spacing w:before="152"/>
        <w:ind w:left="540"/>
      </w:pPr>
      <w:r>
        <w:rPr/>
        <w:t>八、风险收益特征</w:t>
      </w:r>
    </w:p>
    <w:p>
      <w:pPr>
        <w:pStyle w:val="BodyText"/>
        <w:spacing w:line="364" w:lineRule="auto" w:before="139"/>
        <w:ind w:right="311" w:firstLine="419"/>
      </w:pPr>
      <w:r>
        <w:rPr>
          <w:spacing w:val="-10"/>
        </w:rPr>
        <w:t>本基金是混合型基金，属于风险程度较高的投资品种，其预期风险和预期收益水平低于</w:t>
      </w:r>
      <w:r>
        <w:rPr>
          <w:spacing w:val="-5"/>
        </w:rPr>
        <w:t>股票型基金，高于货币型基金与债券型基金。</w:t>
      </w:r>
    </w:p>
    <w:p>
      <w:pPr>
        <w:pStyle w:val="BodyText"/>
        <w:spacing w:before="1"/>
        <w:ind w:left="540"/>
      </w:pPr>
      <w:r>
        <w:rPr/>
        <w:t>1、 各类别风险定义</w:t>
      </w:r>
    </w:p>
    <w:p>
      <w:pPr>
        <w:pStyle w:val="ListParagraph"/>
        <w:numPr>
          <w:ilvl w:val="0"/>
          <w:numId w:val="20"/>
        </w:numPr>
        <w:tabs>
          <w:tab w:pos="1070" w:val="left" w:leader="none"/>
        </w:tabs>
        <w:spacing w:line="240" w:lineRule="auto" w:before="139" w:after="0"/>
        <w:ind w:left="1069" w:right="0" w:hanging="530"/>
        <w:jc w:val="left"/>
        <w:rPr>
          <w:sz w:val="21"/>
        </w:rPr>
      </w:pPr>
      <w:r>
        <w:rPr>
          <w:spacing w:val="-3"/>
          <w:sz w:val="21"/>
        </w:rPr>
        <w:t>投资组合风险</w:t>
      </w:r>
    </w:p>
    <w:p>
      <w:pPr>
        <w:pStyle w:val="BodyText"/>
        <w:spacing w:line="364" w:lineRule="auto" w:before="139"/>
        <w:ind w:right="311" w:firstLine="419"/>
      </w:pPr>
      <w:r>
        <w:rPr>
          <w:spacing w:val="-9"/>
        </w:rPr>
        <w:t>在基金日常管理风险过程中，由投资部对投资组合风险进行监控和管理。此类风险主要</w:t>
      </w:r>
      <w:r>
        <w:rPr>
          <w:spacing w:val="-5"/>
        </w:rPr>
        <w:t>包括以下几种：</w:t>
      </w:r>
    </w:p>
    <w:p>
      <w:pPr>
        <w:pStyle w:val="ListParagraph"/>
        <w:numPr>
          <w:ilvl w:val="1"/>
          <w:numId w:val="20"/>
        </w:numPr>
        <w:tabs>
          <w:tab w:pos="1070" w:val="left" w:leader="none"/>
        </w:tabs>
        <w:spacing w:line="267" w:lineRule="exact" w:before="0" w:after="0"/>
        <w:ind w:left="1069" w:right="0" w:hanging="530"/>
        <w:jc w:val="left"/>
        <w:rPr>
          <w:sz w:val="21"/>
        </w:rPr>
      </w:pPr>
      <w:r>
        <w:rPr>
          <w:spacing w:val="-3"/>
          <w:sz w:val="21"/>
        </w:rPr>
        <w:t>系统性风险：基金在投资中因市场原因而无法规避的风险；</w:t>
      </w:r>
    </w:p>
    <w:p>
      <w:pPr>
        <w:pStyle w:val="ListParagraph"/>
        <w:numPr>
          <w:ilvl w:val="1"/>
          <w:numId w:val="20"/>
        </w:numPr>
        <w:tabs>
          <w:tab w:pos="1173" w:val="left" w:leader="none"/>
        </w:tabs>
        <w:spacing w:line="240" w:lineRule="auto" w:before="142" w:after="0"/>
        <w:ind w:left="1172" w:right="0" w:hanging="633"/>
        <w:jc w:val="left"/>
        <w:rPr>
          <w:sz w:val="21"/>
        </w:rPr>
      </w:pPr>
      <w:r>
        <w:rPr>
          <w:spacing w:val="-12"/>
          <w:sz w:val="21"/>
        </w:rPr>
        <w:t>行业配置风险：基金中某行业投资比例出现与基准的较大偏差而可能产生的风险；</w:t>
      </w:r>
    </w:p>
    <w:p>
      <w:pPr>
        <w:pStyle w:val="ListParagraph"/>
        <w:numPr>
          <w:ilvl w:val="1"/>
          <w:numId w:val="20"/>
        </w:numPr>
        <w:tabs>
          <w:tab w:pos="1281" w:val="left" w:leader="none"/>
        </w:tabs>
        <w:spacing w:line="364" w:lineRule="auto" w:before="138" w:after="0"/>
        <w:ind w:left="120" w:right="314" w:firstLine="419"/>
        <w:jc w:val="left"/>
        <w:rPr>
          <w:sz w:val="21"/>
        </w:rPr>
      </w:pPr>
      <w:r>
        <w:rPr>
          <w:spacing w:val="-3"/>
          <w:sz w:val="21"/>
        </w:rPr>
        <w:t>证券选择风险：基金中某只股票的持仓比例出现与基准的较大偏差而可能产生的风险；</w:t>
      </w:r>
    </w:p>
    <w:p>
      <w:pPr>
        <w:pStyle w:val="ListParagraph"/>
        <w:numPr>
          <w:ilvl w:val="1"/>
          <w:numId w:val="20"/>
        </w:numPr>
        <w:tabs>
          <w:tab w:pos="1173" w:val="left" w:leader="none"/>
        </w:tabs>
        <w:spacing w:line="364" w:lineRule="auto" w:before="0" w:after="0"/>
        <w:ind w:left="120" w:right="311" w:firstLine="419"/>
        <w:jc w:val="left"/>
        <w:rPr>
          <w:sz w:val="21"/>
        </w:rPr>
      </w:pPr>
      <w:r>
        <w:rPr>
          <w:spacing w:val="-10"/>
          <w:sz w:val="21"/>
        </w:rPr>
        <w:t>风格风险：基金在投资风格上与基准之间产生偏差，偏重于某种风格而产生的 风险。</w:t>
      </w:r>
    </w:p>
    <w:p>
      <w:pPr>
        <w:pStyle w:val="ListParagraph"/>
        <w:numPr>
          <w:ilvl w:val="0"/>
          <w:numId w:val="20"/>
        </w:numPr>
        <w:tabs>
          <w:tab w:pos="1070" w:val="left" w:leader="none"/>
        </w:tabs>
        <w:spacing w:line="240" w:lineRule="auto" w:before="0" w:after="0"/>
        <w:ind w:left="1069" w:right="0" w:hanging="530"/>
        <w:jc w:val="left"/>
        <w:rPr>
          <w:sz w:val="21"/>
        </w:rPr>
      </w:pPr>
      <w:r>
        <w:rPr>
          <w:spacing w:val="-2"/>
          <w:sz w:val="21"/>
        </w:rPr>
        <w:t>个股风险</w:t>
      </w:r>
    </w:p>
    <w:p>
      <w:pPr>
        <w:pStyle w:val="BodyText"/>
        <w:spacing w:line="364" w:lineRule="auto" w:before="138"/>
        <w:ind w:right="311" w:firstLine="419"/>
      </w:pPr>
      <w:r>
        <w:rPr>
          <w:spacing w:val="-9"/>
        </w:rPr>
        <w:t>在基金日常管理风险过程中，由投资部对个股风险进行监控和管理。此类风险主要包括</w:t>
      </w:r>
      <w:r>
        <w:rPr>
          <w:spacing w:val="-5"/>
        </w:rPr>
        <w:t>以下几种：</w:t>
      </w:r>
    </w:p>
    <w:p>
      <w:pPr>
        <w:pStyle w:val="ListParagraph"/>
        <w:numPr>
          <w:ilvl w:val="0"/>
          <w:numId w:val="21"/>
        </w:numPr>
        <w:tabs>
          <w:tab w:pos="1070" w:val="left" w:leader="none"/>
        </w:tabs>
        <w:spacing w:line="367" w:lineRule="auto" w:before="0" w:after="0"/>
        <w:ind w:left="120" w:right="314" w:firstLine="419"/>
        <w:jc w:val="left"/>
        <w:rPr>
          <w:sz w:val="21"/>
        </w:rPr>
      </w:pPr>
      <w:r>
        <w:rPr>
          <w:spacing w:val="-3"/>
          <w:sz w:val="21"/>
        </w:rPr>
        <w:t>财务风险：基金在投资过程中，由于对上市公司基本面特别是财务状况判断出现失误，造成基金资产净值受损的风险；</w:t>
      </w:r>
    </w:p>
    <w:p>
      <w:pPr>
        <w:pStyle w:val="ListParagraph"/>
        <w:numPr>
          <w:ilvl w:val="0"/>
          <w:numId w:val="21"/>
        </w:numPr>
        <w:tabs>
          <w:tab w:pos="1175" w:val="left" w:leader="none"/>
        </w:tabs>
        <w:spacing w:line="364" w:lineRule="auto" w:before="0" w:after="0"/>
        <w:ind w:left="120" w:right="311" w:firstLine="419"/>
        <w:jc w:val="left"/>
        <w:rPr>
          <w:sz w:val="21"/>
        </w:rPr>
      </w:pPr>
      <w:r>
        <w:rPr>
          <w:spacing w:val="-9"/>
          <w:sz w:val="21"/>
        </w:rPr>
        <w:t>流动性风险：基金资产不能迅速、低成本地转变成现金，或者不能应付可能出 </w:t>
      </w:r>
      <w:r>
        <w:rPr>
          <w:spacing w:val="-6"/>
          <w:sz w:val="21"/>
        </w:rPr>
        <w:t>现地投资者大额赎回的风险；</w:t>
      </w:r>
    </w:p>
    <w:p>
      <w:pPr>
        <w:pStyle w:val="ListParagraph"/>
        <w:numPr>
          <w:ilvl w:val="0"/>
          <w:numId w:val="21"/>
        </w:numPr>
        <w:tabs>
          <w:tab w:pos="1281" w:val="left" w:leader="none"/>
        </w:tabs>
        <w:spacing w:line="364" w:lineRule="auto" w:before="0" w:after="0"/>
        <w:ind w:left="120" w:right="314" w:firstLine="419"/>
        <w:jc w:val="left"/>
        <w:rPr>
          <w:sz w:val="21"/>
        </w:rPr>
      </w:pPr>
      <w:r>
        <w:rPr>
          <w:spacing w:val="-3"/>
          <w:sz w:val="21"/>
        </w:rPr>
        <w:t>价格风险：在一定时间期限内，当基金中某只证券的二级市场股票价格波动幅度超出一定比例。</w:t>
      </w:r>
    </w:p>
    <w:p>
      <w:pPr>
        <w:pStyle w:val="ListParagraph"/>
        <w:numPr>
          <w:ilvl w:val="0"/>
          <w:numId w:val="20"/>
        </w:numPr>
        <w:tabs>
          <w:tab w:pos="1070" w:val="left" w:leader="none"/>
        </w:tabs>
        <w:spacing w:line="240" w:lineRule="auto" w:before="0" w:after="0"/>
        <w:ind w:left="1069" w:right="0" w:hanging="530"/>
        <w:jc w:val="left"/>
        <w:rPr>
          <w:sz w:val="21"/>
        </w:rPr>
      </w:pPr>
      <w:r>
        <w:rPr>
          <w:spacing w:val="-3"/>
          <w:sz w:val="21"/>
        </w:rPr>
        <w:t>衍生工具风险</w:t>
      </w:r>
    </w:p>
    <w:p>
      <w:pPr>
        <w:pStyle w:val="BodyText"/>
        <w:spacing w:line="364" w:lineRule="auto" w:before="131"/>
        <w:ind w:right="311" w:firstLine="419"/>
      </w:pPr>
      <w:r>
        <w:rPr>
          <w:spacing w:val="-8"/>
        </w:rPr>
        <w:t>在基金日常管理风险过程中，由投资部对个股风险进行监控和管理。目前，此类风险主</w:t>
      </w:r>
      <w:r>
        <w:rPr>
          <w:spacing w:val="-5"/>
        </w:rPr>
        <w:t>要指由权证投资引发的风险。</w:t>
      </w:r>
    </w:p>
    <w:p>
      <w:pPr>
        <w:pStyle w:val="ListParagraph"/>
        <w:numPr>
          <w:ilvl w:val="0"/>
          <w:numId w:val="20"/>
        </w:numPr>
        <w:tabs>
          <w:tab w:pos="1070" w:val="left" w:leader="none"/>
        </w:tabs>
        <w:spacing w:line="267" w:lineRule="exact" w:before="0" w:after="0"/>
        <w:ind w:left="1069" w:right="0" w:hanging="530"/>
        <w:jc w:val="left"/>
        <w:rPr>
          <w:sz w:val="21"/>
        </w:rPr>
      </w:pPr>
      <w:r>
        <w:rPr>
          <w:spacing w:val="-3"/>
          <w:sz w:val="21"/>
        </w:rPr>
        <w:t>作业执行风险</w:t>
      </w:r>
    </w:p>
    <w:p>
      <w:pPr>
        <w:pStyle w:val="BodyText"/>
        <w:spacing w:line="364" w:lineRule="auto" w:before="139"/>
        <w:ind w:right="311" w:firstLine="419"/>
        <w:jc w:val="both"/>
      </w:pPr>
      <w:r>
        <w:rPr>
          <w:spacing w:val="-10"/>
        </w:rPr>
        <w:t>在基金日常管理风险过程中，由运营部及法律、监察稽核部对作业风险进行实时预警与</w:t>
      </w:r>
      <w:r>
        <w:rPr>
          <w:spacing w:val="-12"/>
        </w:rPr>
        <w:t>监控。此类风险主要包括基金在日常操作中出现违反法规或公司相关管理制度，或者交易执</w:t>
      </w:r>
      <w:r>
        <w:rPr>
          <w:spacing w:val="-6"/>
        </w:rPr>
        <w:t>行中的操作失误以及信息系统故障产生的风险。</w:t>
      </w:r>
    </w:p>
    <w:p>
      <w:pPr>
        <w:pStyle w:val="BodyText"/>
        <w:ind w:left="540"/>
      </w:pPr>
      <w:r>
        <w:rPr/>
        <w:t>2、风险管理措施</w:t>
      </w:r>
    </w:p>
    <w:p>
      <w:pPr>
        <w:spacing w:after="0"/>
        <w:sectPr>
          <w:pgSz w:w="11910" w:h="16840"/>
          <w:pgMar w:header="877" w:footer="1195" w:top="1380" w:bottom="1380" w:left="1680" w:right="1480"/>
        </w:sectPr>
      </w:pPr>
    </w:p>
    <w:p>
      <w:pPr>
        <w:pStyle w:val="ListParagraph"/>
        <w:numPr>
          <w:ilvl w:val="0"/>
          <w:numId w:val="22"/>
        </w:numPr>
        <w:tabs>
          <w:tab w:pos="1070" w:val="left" w:leader="none"/>
        </w:tabs>
        <w:spacing w:line="240" w:lineRule="auto" w:before="61" w:after="0"/>
        <w:ind w:left="1069" w:right="0" w:hanging="530"/>
        <w:jc w:val="left"/>
        <w:rPr>
          <w:sz w:val="21"/>
        </w:rPr>
      </w:pPr>
      <w:r>
        <w:rPr>
          <w:spacing w:val="-3"/>
          <w:sz w:val="21"/>
        </w:rPr>
        <w:t>投资组合风险</w:t>
      </w:r>
    </w:p>
    <w:p>
      <w:pPr>
        <w:pStyle w:val="BodyText"/>
        <w:spacing w:line="364" w:lineRule="auto" w:before="139"/>
        <w:ind w:right="208" w:firstLine="419"/>
      </w:pPr>
      <w:r>
        <w:rPr>
          <w:spacing w:val="-3"/>
        </w:rPr>
        <w:t>本公司运用国际通行的风险管理系统，以跟踪误差为核心，建立一整套评估指标测量、</w:t>
      </w:r>
      <w:r>
        <w:rPr>
          <w:spacing w:val="-9"/>
        </w:rPr>
        <w:t>分析跟踪误差的构成，判断风格因素、行业因素、个股因素对跟踪误差的影响。同时，运用</w:t>
      </w:r>
      <w:r>
        <w:rPr>
          <w:spacing w:val="-5"/>
        </w:rPr>
        <w:t>国际通行的回报分析系统将基金的超额回报</w:t>
      </w:r>
      <w:r>
        <w:rPr>
          <w:spacing w:val="-3"/>
        </w:rPr>
        <w:t>/风险分解为时机选择、风格选择、行业选择、</w:t>
      </w:r>
      <w:r>
        <w:rPr>
          <w:spacing w:val="-10"/>
        </w:rPr>
        <w:t>个股选择四类回报，有效地帮助基金管理人了解超额回报来源以及相应承受的风险水平，为基金管理人资产调整提供参考性的指引，以实现在有效控制组合风险的情况下获取更高的超</w:t>
      </w:r>
      <w:r>
        <w:rPr>
          <w:spacing w:val="-6"/>
        </w:rPr>
        <w:t>额收益。</w:t>
      </w:r>
    </w:p>
    <w:p>
      <w:pPr>
        <w:pStyle w:val="ListParagraph"/>
        <w:numPr>
          <w:ilvl w:val="0"/>
          <w:numId w:val="22"/>
        </w:numPr>
        <w:tabs>
          <w:tab w:pos="1070" w:val="left" w:leader="none"/>
        </w:tabs>
        <w:spacing w:line="268" w:lineRule="exact" w:before="0" w:after="0"/>
        <w:ind w:left="1069" w:right="0" w:hanging="530"/>
        <w:jc w:val="left"/>
        <w:rPr>
          <w:sz w:val="21"/>
        </w:rPr>
      </w:pPr>
      <w:r>
        <w:rPr>
          <w:spacing w:val="-2"/>
          <w:sz w:val="21"/>
        </w:rPr>
        <w:t>个股风险</w:t>
      </w:r>
    </w:p>
    <w:p>
      <w:pPr>
        <w:pStyle w:val="ListParagraph"/>
        <w:numPr>
          <w:ilvl w:val="0"/>
          <w:numId w:val="23"/>
        </w:numPr>
        <w:tabs>
          <w:tab w:pos="1070" w:val="left" w:leader="none"/>
        </w:tabs>
        <w:spacing w:line="364" w:lineRule="auto" w:before="140" w:after="0"/>
        <w:ind w:left="120" w:right="311" w:firstLine="419"/>
        <w:jc w:val="both"/>
        <w:rPr>
          <w:sz w:val="21"/>
        </w:rPr>
      </w:pPr>
      <w:r>
        <w:rPr>
          <w:spacing w:val="-3"/>
          <w:sz w:val="21"/>
        </w:rPr>
        <w:t>财务风险。本公司投资以基本面为基础，个股的挑选不仅注重盈利的成长动能以</w:t>
      </w:r>
      <w:r>
        <w:rPr>
          <w:spacing w:val="-3"/>
          <w:w w:val="100"/>
          <w:sz w:val="21"/>
        </w:rPr>
        <w:t>及价值评估，还重视个股的财务风险。通过景顺长城“股票研究数据库</w:t>
      </w:r>
      <w:r>
        <w:rPr>
          <w:w w:val="100"/>
          <w:sz w:val="21"/>
        </w:rPr>
        <w:t>（SR</w:t>
      </w:r>
      <w:r>
        <w:rPr>
          <w:spacing w:val="-3"/>
          <w:w w:val="100"/>
          <w:sz w:val="21"/>
        </w:rPr>
        <w:t>D</w:t>
      </w:r>
      <w:r>
        <w:rPr>
          <w:spacing w:val="-106"/>
          <w:w w:val="100"/>
          <w:sz w:val="21"/>
        </w:rPr>
        <w:t>）”</w:t>
      </w:r>
      <w:r>
        <w:rPr>
          <w:spacing w:val="-1"/>
          <w:w w:val="100"/>
          <w:sz w:val="21"/>
        </w:rPr>
        <w:t>，详尽评估</w:t>
      </w:r>
      <w:r>
        <w:rPr>
          <w:spacing w:val="-10"/>
          <w:sz w:val="21"/>
        </w:rPr>
        <w:t>公司的财务状况，包括资产负债结构、现金流状况、营运状况、盈利能力等，并通过对所投</w:t>
      </w:r>
      <w:r>
        <w:rPr>
          <w:spacing w:val="-5"/>
          <w:sz w:val="21"/>
        </w:rPr>
        <w:t>资品种的实地调研及公司业绩的合理性分析，有效规避可能的财务风险。</w:t>
      </w:r>
    </w:p>
    <w:p>
      <w:pPr>
        <w:pStyle w:val="ListParagraph"/>
        <w:numPr>
          <w:ilvl w:val="0"/>
          <w:numId w:val="23"/>
        </w:numPr>
        <w:tabs>
          <w:tab w:pos="1173" w:val="left" w:leader="none"/>
        </w:tabs>
        <w:spacing w:line="364" w:lineRule="auto" w:before="0" w:after="0"/>
        <w:ind w:left="120" w:right="311" w:firstLine="419"/>
        <w:jc w:val="left"/>
        <w:rPr>
          <w:sz w:val="21"/>
        </w:rPr>
      </w:pPr>
      <w:r>
        <w:rPr>
          <w:spacing w:val="-10"/>
          <w:sz w:val="21"/>
        </w:rPr>
        <w:t>流动性风险。流动性风险管理的具体指标是行业集中度、个股集中度和流动性 比率。</w:t>
      </w:r>
    </w:p>
    <w:p>
      <w:pPr>
        <w:pStyle w:val="ListParagraph"/>
        <w:numPr>
          <w:ilvl w:val="0"/>
          <w:numId w:val="23"/>
        </w:numPr>
        <w:tabs>
          <w:tab w:pos="1281" w:val="left" w:leader="none"/>
        </w:tabs>
        <w:spacing w:line="364" w:lineRule="auto" w:before="0" w:after="0"/>
        <w:ind w:left="120" w:right="314" w:firstLine="419"/>
        <w:jc w:val="left"/>
        <w:rPr>
          <w:sz w:val="21"/>
        </w:rPr>
      </w:pPr>
      <w:r>
        <w:rPr>
          <w:spacing w:val="-3"/>
          <w:sz w:val="21"/>
        </w:rPr>
        <w:t>价格风险。建立并执行实时价格异常监控机制，任何异常变化将通知相关研究人员分析调查。</w:t>
      </w:r>
    </w:p>
    <w:p>
      <w:pPr>
        <w:pStyle w:val="ListParagraph"/>
        <w:numPr>
          <w:ilvl w:val="0"/>
          <w:numId w:val="22"/>
        </w:numPr>
        <w:tabs>
          <w:tab w:pos="1070" w:val="left" w:leader="none"/>
        </w:tabs>
        <w:spacing w:line="268" w:lineRule="exact" w:before="0" w:after="0"/>
        <w:ind w:left="1069" w:right="0" w:hanging="530"/>
        <w:jc w:val="left"/>
        <w:rPr>
          <w:sz w:val="21"/>
        </w:rPr>
      </w:pPr>
      <w:r>
        <w:rPr>
          <w:spacing w:val="-3"/>
          <w:sz w:val="21"/>
        </w:rPr>
        <w:t>衍生工具风险</w:t>
      </w:r>
    </w:p>
    <w:p>
      <w:pPr>
        <w:pStyle w:val="BodyText"/>
        <w:spacing w:before="138"/>
        <w:ind w:left="540"/>
      </w:pPr>
      <w:r>
        <w:rPr/>
        <w:t>对权证投资风险所采取的风险管理措施主要包括：</w:t>
      </w:r>
    </w:p>
    <w:p>
      <w:pPr>
        <w:pStyle w:val="ListParagraph"/>
        <w:numPr>
          <w:ilvl w:val="1"/>
          <w:numId w:val="22"/>
        </w:numPr>
        <w:tabs>
          <w:tab w:pos="1070" w:val="left" w:leader="none"/>
        </w:tabs>
        <w:spacing w:line="240" w:lineRule="auto" w:before="138" w:after="0"/>
        <w:ind w:left="1069" w:right="0" w:hanging="530"/>
        <w:jc w:val="left"/>
        <w:rPr>
          <w:sz w:val="21"/>
        </w:rPr>
      </w:pPr>
      <w:r>
        <w:rPr>
          <w:spacing w:val="-3"/>
          <w:sz w:val="21"/>
        </w:rPr>
        <w:t>制定权证投资管理制度，并根据实际情况进行更新调整。</w:t>
      </w:r>
    </w:p>
    <w:p>
      <w:pPr>
        <w:pStyle w:val="ListParagraph"/>
        <w:numPr>
          <w:ilvl w:val="1"/>
          <w:numId w:val="22"/>
        </w:numPr>
        <w:tabs>
          <w:tab w:pos="1175" w:val="left" w:leader="none"/>
        </w:tabs>
        <w:spacing w:line="240" w:lineRule="auto" w:before="139" w:after="0"/>
        <w:ind w:left="1175" w:right="0" w:hanging="635"/>
        <w:jc w:val="left"/>
        <w:rPr>
          <w:sz w:val="21"/>
        </w:rPr>
      </w:pPr>
      <w:r>
        <w:rPr>
          <w:spacing w:val="-3"/>
          <w:sz w:val="21"/>
        </w:rPr>
        <w:t>严格执行公司的投资管理制度。</w:t>
      </w:r>
    </w:p>
    <w:p>
      <w:pPr>
        <w:pStyle w:val="ListParagraph"/>
        <w:numPr>
          <w:ilvl w:val="1"/>
          <w:numId w:val="22"/>
        </w:numPr>
        <w:tabs>
          <w:tab w:pos="1279" w:val="left" w:leader="none"/>
        </w:tabs>
        <w:spacing w:line="240" w:lineRule="auto" w:before="139" w:after="0"/>
        <w:ind w:left="1278" w:right="0" w:hanging="739"/>
        <w:jc w:val="left"/>
        <w:rPr>
          <w:sz w:val="21"/>
        </w:rPr>
      </w:pPr>
      <w:r>
        <w:rPr>
          <w:spacing w:val="-3"/>
          <w:sz w:val="21"/>
        </w:rPr>
        <w:t>对权证市场进行充分研究并定期对权证投资进行风险和绩效评估。</w:t>
      </w:r>
    </w:p>
    <w:p>
      <w:pPr>
        <w:pStyle w:val="ListParagraph"/>
        <w:numPr>
          <w:ilvl w:val="0"/>
          <w:numId w:val="22"/>
        </w:numPr>
        <w:tabs>
          <w:tab w:pos="1070" w:val="left" w:leader="none"/>
        </w:tabs>
        <w:spacing w:line="240" w:lineRule="auto" w:before="142" w:after="0"/>
        <w:ind w:left="1069" w:right="0" w:hanging="530"/>
        <w:jc w:val="left"/>
        <w:rPr>
          <w:sz w:val="21"/>
        </w:rPr>
      </w:pPr>
      <w:r>
        <w:rPr>
          <w:spacing w:val="-3"/>
          <w:sz w:val="21"/>
        </w:rPr>
        <w:t>作业执行风险</w:t>
      </w:r>
    </w:p>
    <w:p>
      <w:pPr>
        <w:pStyle w:val="BodyText"/>
        <w:spacing w:line="364" w:lineRule="auto" w:before="139"/>
        <w:ind w:right="311" w:firstLine="419"/>
        <w:jc w:val="both"/>
      </w:pPr>
      <w:r>
        <w:rPr>
          <w:spacing w:val="-7"/>
        </w:rPr>
        <w:t>作业执行风险识别与衡量的具体指标是法规限制和投资比例限制。本公司信息系统除定</w:t>
      </w:r>
      <w:r>
        <w:rPr>
          <w:spacing w:val="-5"/>
          <w:w w:val="100"/>
        </w:rPr>
        <w:t>期进行数据备份之外，并定有灾难回复计划</w:t>
      </w:r>
      <w:r>
        <w:rPr>
          <w:w w:val="100"/>
        </w:rPr>
        <w:t>（</w:t>
      </w:r>
      <w:r>
        <w:rPr>
          <w:spacing w:val="-3"/>
          <w:w w:val="100"/>
        </w:rPr>
        <w:t>B</w:t>
      </w:r>
      <w:r>
        <w:rPr>
          <w:w w:val="100"/>
        </w:rPr>
        <w:t>usi</w:t>
      </w:r>
      <w:r>
        <w:rPr>
          <w:spacing w:val="-3"/>
          <w:w w:val="100"/>
        </w:rPr>
        <w:t>n</w:t>
      </w:r>
      <w:r>
        <w:rPr>
          <w:w w:val="100"/>
        </w:rPr>
        <w:t>ess</w:t>
      </w:r>
      <w:r>
        <w:rPr/>
        <w:t> </w:t>
      </w:r>
      <w:r>
        <w:rPr>
          <w:w w:val="100"/>
        </w:rPr>
        <w:t>R</w:t>
      </w:r>
      <w:r>
        <w:rPr>
          <w:spacing w:val="-3"/>
          <w:w w:val="100"/>
        </w:rPr>
        <w:t>e</w:t>
      </w:r>
      <w:r>
        <w:rPr>
          <w:w w:val="100"/>
        </w:rPr>
        <w:t>cov</w:t>
      </w:r>
      <w:r>
        <w:rPr>
          <w:spacing w:val="-3"/>
          <w:w w:val="100"/>
        </w:rPr>
        <w:t>e</w:t>
      </w:r>
      <w:r>
        <w:rPr>
          <w:w w:val="100"/>
        </w:rPr>
        <w:t>ry</w:t>
      </w:r>
      <w:r>
        <w:rPr/>
        <w:t> </w:t>
      </w:r>
      <w:r>
        <w:rPr>
          <w:w w:val="100"/>
        </w:rPr>
        <w:t>P</w:t>
      </w:r>
      <w:r>
        <w:rPr>
          <w:spacing w:val="-3"/>
          <w:w w:val="100"/>
        </w:rPr>
        <w:t>l</w:t>
      </w:r>
      <w:r>
        <w:rPr>
          <w:w w:val="100"/>
        </w:rPr>
        <w:t>an</w:t>
      </w:r>
      <w:r>
        <w:rPr>
          <w:spacing w:val="-106"/>
          <w:w w:val="100"/>
        </w:rPr>
        <w:t>）</w:t>
      </w:r>
      <w:r>
        <w:rPr>
          <w:spacing w:val="-3"/>
          <w:w w:val="100"/>
        </w:rPr>
        <w:t>，确保公司操作系</w:t>
      </w:r>
      <w:r>
        <w:rPr>
          <w:spacing w:val="-3"/>
        </w:rPr>
        <w:t>统可以在重大灾难发生后，迅速回复运作，以确保客户权益。</w:t>
      </w:r>
    </w:p>
    <w:p>
      <w:pPr>
        <w:pStyle w:val="BodyText"/>
        <w:ind w:left="0"/>
        <w:rPr>
          <w:sz w:val="20"/>
        </w:rPr>
      </w:pPr>
    </w:p>
    <w:p>
      <w:pPr>
        <w:pStyle w:val="BodyText"/>
        <w:spacing w:before="151"/>
        <w:ind w:left="540"/>
      </w:pPr>
      <w:r>
        <w:rPr>
          <w:spacing w:val="-3"/>
        </w:rPr>
        <w:t>九、基金管理人代表基金行使股东权利的处理原则及方法</w:t>
      </w:r>
    </w:p>
    <w:p>
      <w:pPr>
        <w:pStyle w:val="BodyText"/>
        <w:spacing w:before="139"/>
        <w:ind w:left="540"/>
      </w:pPr>
      <w:r>
        <w:rPr/>
        <w:t>1、不谋求对上市公司的控股，不参与所投资上市公司的经营管理；</w:t>
      </w:r>
    </w:p>
    <w:p>
      <w:pPr>
        <w:pStyle w:val="BodyText"/>
        <w:spacing w:before="139"/>
        <w:ind w:left="540"/>
      </w:pPr>
      <w:r>
        <w:rPr/>
        <w:t>2、有利于基金资产的安全与增值；</w:t>
      </w:r>
    </w:p>
    <w:p>
      <w:pPr>
        <w:pStyle w:val="BodyText"/>
        <w:spacing w:before="139"/>
        <w:ind w:left="540"/>
      </w:pPr>
      <w:r>
        <w:rPr/>
        <w:t>3、基金管理人按照国家有关规定代表基金独立行使股东权利，保护基金投资者的利益。</w:t>
      </w:r>
    </w:p>
    <w:p>
      <w:pPr>
        <w:pStyle w:val="BodyText"/>
        <w:spacing w:line="367" w:lineRule="auto" w:before="139"/>
        <w:ind w:right="314" w:firstLine="419"/>
      </w:pPr>
      <w:r>
        <w:rPr/>
        <w:t>4、基金管理人按照国家有关规定代表基金独立行使债权人权利，保护基金投资者的利益。</w:t>
      </w:r>
    </w:p>
    <w:p>
      <w:pPr>
        <w:pStyle w:val="BodyText"/>
        <w:ind w:left="0"/>
        <w:rPr>
          <w:sz w:val="20"/>
        </w:rPr>
      </w:pPr>
    </w:p>
    <w:p>
      <w:pPr>
        <w:pStyle w:val="BodyText"/>
        <w:spacing w:before="147"/>
        <w:ind w:left="540"/>
      </w:pPr>
      <w:r>
        <w:rPr/>
        <w:t>十、基金的融资</w:t>
      </w:r>
    </w:p>
    <w:p>
      <w:pPr>
        <w:spacing w:after="0"/>
        <w:sectPr>
          <w:pgSz w:w="11910" w:h="16840"/>
          <w:pgMar w:header="877" w:footer="1195" w:top="1380" w:bottom="1380" w:left="1680" w:right="1480"/>
        </w:sectPr>
      </w:pPr>
    </w:p>
    <w:p>
      <w:pPr>
        <w:pStyle w:val="BodyText"/>
        <w:spacing w:before="61"/>
        <w:ind w:left="540"/>
      </w:pPr>
      <w:r>
        <w:rPr/>
        <w:t>本基金可以按照国家的有关规定进行融资。</w:t>
      </w:r>
    </w:p>
    <w:p>
      <w:pPr>
        <w:pStyle w:val="BodyText"/>
        <w:ind w:left="0"/>
        <w:rPr>
          <w:sz w:val="20"/>
        </w:rPr>
      </w:pPr>
    </w:p>
    <w:p>
      <w:pPr>
        <w:pStyle w:val="BodyText"/>
        <w:spacing w:before="9"/>
        <w:ind w:left="0"/>
        <w:rPr>
          <w:sz w:val="22"/>
        </w:rPr>
      </w:pPr>
    </w:p>
    <w:p>
      <w:pPr>
        <w:pStyle w:val="BodyText"/>
        <w:ind w:left="540"/>
      </w:pPr>
      <w:r>
        <w:rPr/>
        <w:t>十一、基金管理人和基金经理的承诺</w:t>
      </w:r>
    </w:p>
    <w:p>
      <w:pPr>
        <w:pStyle w:val="BodyText"/>
        <w:spacing w:line="364" w:lineRule="auto" w:before="141"/>
        <w:ind w:right="208" w:firstLine="419"/>
      </w:pPr>
      <w:r>
        <w:rPr/>
        <w:t>1</w:t>
      </w:r>
      <w:r>
        <w:rPr>
          <w:spacing w:val="-3"/>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pPr>
        <w:pStyle w:val="BodyText"/>
        <w:spacing w:line="367" w:lineRule="auto"/>
        <w:ind w:right="314" w:firstLine="419"/>
      </w:pPr>
      <w:r>
        <w:rPr/>
        <w:t>2</w:t>
      </w:r>
      <w:r>
        <w:rPr>
          <w:spacing w:val="-15"/>
        </w:rPr>
        <w:t>、本基金管理人承诺严格遵守《证券法》、《基金法》及有关法律法规，建立健全的内</w:t>
      </w:r>
      <w:r>
        <w:rPr>
          <w:spacing w:val="-7"/>
        </w:rPr>
        <w:t>部控制制度，采取有效措施，防止下列行为发生：</w:t>
      </w:r>
    </w:p>
    <w:p>
      <w:pPr>
        <w:pStyle w:val="ListParagraph"/>
        <w:numPr>
          <w:ilvl w:val="0"/>
          <w:numId w:val="24"/>
        </w:numPr>
        <w:tabs>
          <w:tab w:pos="1070" w:val="left" w:leader="none"/>
        </w:tabs>
        <w:spacing w:line="265" w:lineRule="exact" w:before="0" w:after="0"/>
        <w:ind w:left="1069" w:right="0" w:hanging="530"/>
        <w:jc w:val="left"/>
        <w:rPr>
          <w:sz w:val="21"/>
        </w:rPr>
      </w:pPr>
      <w:r>
        <w:rPr>
          <w:spacing w:val="-3"/>
          <w:sz w:val="21"/>
        </w:rPr>
        <w:t>将其固有财产或者他人财产混同于基金财产从事证券投资；</w:t>
      </w:r>
    </w:p>
    <w:p>
      <w:pPr>
        <w:pStyle w:val="ListParagraph"/>
        <w:numPr>
          <w:ilvl w:val="0"/>
          <w:numId w:val="24"/>
        </w:numPr>
        <w:tabs>
          <w:tab w:pos="1070" w:val="left" w:leader="none"/>
        </w:tabs>
        <w:spacing w:line="240" w:lineRule="auto" w:before="136" w:after="0"/>
        <w:ind w:left="1069" w:right="0" w:hanging="530"/>
        <w:jc w:val="left"/>
        <w:rPr>
          <w:sz w:val="21"/>
        </w:rPr>
      </w:pPr>
      <w:r>
        <w:rPr>
          <w:spacing w:val="-3"/>
          <w:sz w:val="21"/>
        </w:rPr>
        <w:t>不公平地对待其管理的不同基金财产；</w:t>
      </w:r>
    </w:p>
    <w:p>
      <w:pPr>
        <w:pStyle w:val="ListParagraph"/>
        <w:numPr>
          <w:ilvl w:val="0"/>
          <w:numId w:val="24"/>
        </w:numPr>
        <w:tabs>
          <w:tab w:pos="1070" w:val="left" w:leader="none"/>
        </w:tabs>
        <w:spacing w:line="240" w:lineRule="auto" w:before="139" w:after="0"/>
        <w:ind w:left="1069" w:right="0" w:hanging="530"/>
        <w:jc w:val="left"/>
        <w:rPr>
          <w:sz w:val="21"/>
        </w:rPr>
      </w:pPr>
      <w:r>
        <w:rPr>
          <w:spacing w:val="-3"/>
          <w:sz w:val="21"/>
        </w:rPr>
        <w:t>利用基金财产为基金份额持有人以外的第三人谋取利益；</w:t>
      </w:r>
    </w:p>
    <w:p>
      <w:pPr>
        <w:pStyle w:val="ListParagraph"/>
        <w:numPr>
          <w:ilvl w:val="0"/>
          <w:numId w:val="24"/>
        </w:numPr>
        <w:tabs>
          <w:tab w:pos="1070" w:val="left" w:leader="none"/>
        </w:tabs>
        <w:spacing w:line="240" w:lineRule="auto" w:before="139" w:after="0"/>
        <w:ind w:left="1069" w:right="0" w:hanging="530"/>
        <w:jc w:val="left"/>
        <w:rPr>
          <w:sz w:val="21"/>
        </w:rPr>
      </w:pPr>
      <w:r>
        <w:rPr>
          <w:spacing w:val="-3"/>
          <w:sz w:val="21"/>
        </w:rPr>
        <w:t>向基金份额持有人违规承诺收益或者承担损失；</w:t>
      </w:r>
    </w:p>
    <w:p>
      <w:pPr>
        <w:pStyle w:val="ListParagraph"/>
        <w:numPr>
          <w:ilvl w:val="0"/>
          <w:numId w:val="24"/>
        </w:numPr>
        <w:tabs>
          <w:tab w:pos="1070" w:val="left" w:leader="none"/>
        </w:tabs>
        <w:spacing w:line="240" w:lineRule="auto" w:before="142" w:after="0"/>
        <w:ind w:left="1069" w:right="0" w:hanging="530"/>
        <w:jc w:val="left"/>
        <w:rPr>
          <w:sz w:val="21"/>
        </w:rPr>
      </w:pPr>
      <w:r>
        <w:rPr>
          <w:spacing w:val="-3"/>
          <w:sz w:val="21"/>
        </w:rPr>
        <w:t>法律法规或中国证监会禁止的其他行为。</w:t>
      </w:r>
    </w:p>
    <w:p>
      <w:pPr>
        <w:pStyle w:val="BodyText"/>
        <w:spacing w:line="364" w:lineRule="auto" w:before="139"/>
        <w:ind w:right="314" w:firstLine="419"/>
      </w:pPr>
      <w:r>
        <w:rPr/>
        <w:t>3、本基金管理人承诺加强人员管理，强化职业操守，督促和约束员工遵守国家有关法律、法规及行业规范，诚实信用、勤勉尽责，不从事以下活动：</w:t>
      </w:r>
    </w:p>
    <w:p>
      <w:pPr>
        <w:pStyle w:val="ListParagraph"/>
        <w:numPr>
          <w:ilvl w:val="0"/>
          <w:numId w:val="25"/>
        </w:numPr>
        <w:tabs>
          <w:tab w:pos="1070" w:val="left" w:leader="none"/>
        </w:tabs>
        <w:spacing w:line="267" w:lineRule="exact" w:before="0" w:after="0"/>
        <w:ind w:left="1069" w:right="0" w:hanging="530"/>
        <w:jc w:val="left"/>
        <w:rPr>
          <w:sz w:val="21"/>
        </w:rPr>
      </w:pPr>
      <w:r>
        <w:rPr>
          <w:spacing w:val="-3"/>
          <w:sz w:val="21"/>
        </w:rPr>
        <w:t>越权或违规经营；</w:t>
      </w:r>
    </w:p>
    <w:p>
      <w:pPr>
        <w:pStyle w:val="ListParagraph"/>
        <w:numPr>
          <w:ilvl w:val="0"/>
          <w:numId w:val="25"/>
        </w:numPr>
        <w:tabs>
          <w:tab w:pos="1070" w:val="left" w:leader="none"/>
        </w:tabs>
        <w:spacing w:line="240" w:lineRule="auto" w:before="139" w:after="0"/>
        <w:ind w:left="1069" w:right="0" w:hanging="530"/>
        <w:jc w:val="left"/>
        <w:rPr>
          <w:sz w:val="21"/>
        </w:rPr>
      </w:pPr>
      <w:r>
        <w:rPr>
          <w:spacing w:val="-3"/>
          <w:sz w:val="21"/>
        </w:rPr>
        <w:t>违反基金合同或托管协议；</w:t>
      </w:r>
    </w:p>
    <w:p>
      <w:pPr>
        <w:pStyle w:val="ListParagraph"/>
        <w:numPr>
          <w:ilvl w:val="0"/>
          <w:numId w:val="25"/>
        </w:numPr>
        <w:tabs>
          <w:tab w:pos="1070" w:val="left" w:leader="none"/>
        </w:tabs>
        <w:spacing w:line="240" w:lineRule="auto" w:before="141" w:after="0"/>
        <w:ind w:left="1069" w:right="0" w:hanging="530"/>
        <w:jc w:val="left"/>
        <w:rPr>
          <w:sz w:val="21"/>
        </w:rPr>
      </w:pPr>
      <w:r>
        <w:rPr>
          <w:spacing w:val="-3"/>
          <w:sz w:val="21"/>
        </w:rPr>
        <w:t>故意损害基金份额持有人或其他基金相关机构的合法利益；</w:t>
      </w:r>
    </w:p>
    <w:p>
      <w:pPr>
        <w:pStyle w:val="ListParagraph"/>
        <w:numPr>
          <w:ilvl w:val="0"/>
          <w:numId w:val="25"/>
        </w:numPr>
        <w:tabs>
          <w:tab w:pos="1070" w:val="left" w:leader="none"/>
        </w:tabs>
        <w:spacing w:line="240" w:lineRule="auto" w:before="139" w:after="0"/>
        <w:ind w:left="1069" w:right="0" w:hanging="530"/>
        <w:jc w:val="left"/>
        <w:rPr>
          <w:sz w:val="21"/>
        </w:rPr>
      </w:pPr>
      <w:r>
        <w:rPr>
          <w:spacing w:val="-3"/>
          <w:sz w:val="21"/>
        </w:rPr>
        <w:t>在向中国证监会报送的资料中弄虚作假；</w:t>
      </w:r>
    </w:p>
    <w:p>
      <w:pPr>
        <w:pStyle w:val="ListParagraph"/>
        <w:numPr>
          <w:ilvl w:val="0"/>
          <w:numId w:val="25"/>
        </w:numPr>
        <w:tabs>
          <w:tab w:pos="1070" w:val="left" w:leader="none"/>
        </w:tabs>
        <w:spacing w:line="240" w:lineRule="auto" w:before="139" w:after="0"/>
        <w:ind w:left="1069" w:right="0" w:hanging="530"/>
        <w:jc w:val="left"/>
        <w:rPr>
          <w:sz w:val="21"/>
        </w:rPr>
      </w:pPr>
      <w:r>
        <w:rPr>
          <w:spacing w:val="-3"/>
          <w:sz w:val="21"/>
        </w:rPr>
        <w:t>拒绝、干扰、阻挠或严重影响中国证监会依法监管；</w:t>
      </w:r>
    </w:p>
    <w:p>
      <w:pPr>
        <w:pStyle w:val="ListParagraph"/>
        <w:numPr>
          <w:ilvl w:val="0"/>
          <w:numId w:val="25"/>
        </w:numPr>
        <w:tabs>
          <w:tab w:pos="1070" w:val="left" w:leader="none"/>
        </w:tabs>
        <w:spacing w:line="240" w:lineRule="auto" w:before="139" w:after="0"/>
        <w:ind w:left="1069" w:right="0" w:hanging="530"/>
        <w:jc w:val="left"/>
        <w:rPr>
          <w:sz w:val="21"/>
        </w:rPr>
      </w:pPr>
      <w:r>
        <w:rPr>
          <w:spacing w:val="-3"/>
          <w:sz w:val="21"/>
        </w:rPr>
        <w:t>玩忽职守、滥用职权；</w:t>
      </w:r>
    </w:p>
    <w:p>
      <w:pPr>
        <w:pStyle w:val="ListParagraph"/>
        <w:numPr>
          <w:ilvl w:val="0"/>
          <w:numId w:val="25"/>
        </w:numPr>
        <w:tabs>
          <w:tab w:pos="1070" w:val="left" w:leader="none"/>
        </w:tabs>
        <w:spacing w:line="364" w:lineRule="auto" w:before="141" w:after="0"/>
        <w:ind w:left="120" w:right="313" w:firstLine="419"/>
        <w:jc w:val="both"/>
        <w:rPr>
          <w:sz w:val="21"/>
        </w:rPr>
      </w:pPr>
      <w:r>
        <w:rPr>
          <w:spacing w:val="-3"/>
          <w:sz w:val="21"/>
        </w:rPr>
        <w:t>违反现行有效的有关法律、法规、规章、基金合同和中国证监会的有关规定，泄</w:t>
      </w:r>
      <w:r>
        <w:rPr>
          <w:spacing w:val="-9"/>
          <w:sz w:val="21"/>
        </w:rPr>
        <w:t>漏在任职期间知悉的有关证券、基金的商业秘密，尚未依法公开的基金投资内容、基金投资</w:t>
      </w:r>
      <w:r>
        <w:rPr>
          <w:spacing w:val="-5"/>
          <w:sz w:val="21"/>
        </w:rPr>
        <w:t>计划等信息；</w:t>
      </w:r>
    </w:p>
    <w:p>
      <w:pPr>
        <w:pStyle w:val="ListParagraph"/>
        <w:numPr>
          <w:ilvl w:val="0"/>
          <w:numId w:val="25"/>
        </w:numPr>
        <w:tabs>
          <w:tab w:pos="1070" w:val="left" w:leader="none"/>
        </w:tabs>
        <w:spacing w:line="364" w:lineRule="auto" w:before="0" w:after="0"/>
        <w:ind w:left="120" w:right="314" w:firstLine="419"/>
        <w:jc w:val="left"/>
        <w:rPr>
          <w:sz w:val="21"/>
        </w:rPr>
      </w:pPr>
      <w:r>
        <w:rPr>
          <w:spacing w:val="-3"/>
          <w:sz w:val="21"/>
        </w:rPr>
        <w:t>违反证券交易场所业务规则，利用对敲、倒仓等手段操纵市场价格，扰乱市场秩序；</w:t>
      </w:r>
    </w:p>
    <w:p>
      <w:pPr>
        <w:pStyle w:val="ListParagraph"/>
        <w:numPr>
          <w:ilvl w:val="0"/>
          <w:numId w:val="25"/>
        </w:numPr>
        <w:tabs>
          <w:tab w:pos="1070" w:val="left" w:leader="none"/>
        </w:tabs>
        <w:spacing w:line="240" w:lineRule="auto" w:before="0" w:after="0"/>
        <w:ind w:left="1069" w:right="0" w:hanging="530"/>
        <w:jc w:val="left"/>
        <w:rPr>
          <w:sz w:val="21"/>
        </w:rPr>
      </w:pPr>
      <w:r>
        <w:rPr>
          <w:spacing w:val="-3"/>
          <w:sz w:val="21"/>
        </w:rPr>
        <w:t>贬损同行，以抬高自己；</w:t>
      </w:r>
    </w:p>
    <w:p>
      <w:pPr>
        <w:pStyle w:val="ListParagraph"/>
        <w:numPr>
          <w:ilvl w:val="0"/>
          <w:numId w:val="25"/>
        </w:numPr>
        <w:tabs>
          <w:tab w:pos="1175" w:val="left" w:leader="none"/>
        </w:tabs>
        <w:spacing w:line="240" w:lineRule="auto" w:before="137" w:after="0"/>
        <w:ind w:left="1175" w:right="0" w:hanging="635"/>
        <w:jc w:val="left"/>
        <w:rPr>
          <w:sz w:val="21"/>
        </w:rPr>
      </w:pPr>
      <w:r>
        <w:rPr>
          <w:spacing w:val="-3"/>
          <w:sz w:val="21"/>
        </w:rPr>
        <w:t>以不正当手段谋求业务发展；</w:t>
      </w:r>
    </w:p>
    <w:p>
      <w:pPr>
        <w:pStyle w:val="ListParagraph"/>
        <w:numPr>
          <w:ilvl w:val="0"/>
          <w:numId w:val="25"/>
        </w:numPr>
        <w:tabs>
          <w:tab w:pos="1175" w:val="left" w:leader="none"/>
        </w:tabs>
        <w:spacing w:line="240" w:lineRule="auto" w:before="139" w:after="0"/>
        <w:ind w:left="1175" w:right="0" w:hanging="635"/>
        <w:jc w:val="left"/>
        <w:rPr>
          <w:sz w:val="21"/>
        </w:rPr>
      </w:pPr>
      <w:r>
        <w:rPr>
          <w:spacing w:val="-3"/>
          <w:sz w:val="21"/>
        </w:rPr>
        <w:t>有悖社会公德，损害证券投资基金人员形象；</w:t>
      </w:r>
    </w:p>
    <w:p>
      <w:pPr>
        <w:pStyle w:val="ListParagraph"/>
        <w:numPr>
          <w:ilvl w:val="0"/>
          <w:numId w:val="25"/>
        </w:numPr>
        <w:tabs>
          <w:tab w:pos="1175" w:val="left" w:leader="none"/>
        </w:tabs>
        <w:spacing w:line="240" w:lineRule="auto" w:before="139" w:after="0"/>
        <w:ind w:left="1175" w:right="0" w:hanging="635"/>
        <w:jc w:val="left"/>
        <w:rPr>
          <w:sz w:val="21"/>
        </w:rPr>
      </w:pPr>
      <w:r>
        <w:rPr>
          <w:spacing w:val="-3"/>
          <w:sz w:val="21"/>
        </w:rPr>
        <w:t>在公开信息披露和广告中故意含有虚假、误导、欺诈成分；</w:t>
      </w:r>
    </w:p>
    <w:p>
      <w:pPr>
        <w:pStyle w:val="ListParagraph"/>
        <w:numPr>
          <w:ilvl w:val="0"/>
          <w:numId w:val="25"/>
        </w:numPr>
        <w:tabs>
          <w:tab w:pos="1175" w:val="left" w:leader="none"/>
        </w:tabs>
        <w:spacing w:line="367" w:lineRule="auto" w:before="139" w:after="0"/>
        <w:ind w:left="540" w:right="2947" w:firstLine="0"/>
        <w:jc w:val="left"/>
        <w:rPr>
          <w:sz w:val="21"/>
        </w:rPr>
      </w:pPr>
      <w:r>
        <w:rPr>
          <w:spacing w:val="-4"/>
          <w:sz w:val="21"/>
        </w:rPr>
        <w:t>其他法律、行政法规以及中国证监会禁止的行为。</w:t>
      </w:r>
      <w:r>
        <w:rPr>
          <w:sz w:val="21"/>
        </w:rPr>
        <w:t>4</w:t>
      </w:r>
      <w:r>
        <w:rPr>
          <w:spacing w:val="-3"/>
          <w:sz w:val="21"/>
        </w:rPr>
        <w:t>、基金经理承诺</w:t>
      </w:r>
    </w:p>
    <w:p>
      <w:pPr>
        <w:pStyle w:val="ListParagraph"/>
        <w:numPr>
          <w:ilvl w:val="0"/>
          <w:numId w:val="26"/>
        </w:numPr>
        <w:tabs>
          <w:tab w:pos="1070" w:val="left" w:leader="none"/>
        </w:tabs>
        <w:spacing w:line="364" w:lineRule="auto" w:before="0" w:after="0"/>
        <w:ind w:left="120" w:right="314" w:firstLine="419"/>
        <w:jc w:val="left"/>
        <w:rPr>
          <w:sz w:val="21"/>
        </w:rPr>
      </w:pPr>
      <w:r>
        <w:rPr>
          <w:spacing w:val="-3"/>
          <w:sz w:val="21"/>
        </w:rPr>
        <w:t>依照有关法律、法规和基金合同的规定，本着谨慎的原则为基金份额持有人谋取最大利益；</w:t>
      </w:r>
    </w:p>
    <w:p>
      <w:pPr>
        <w:spacing w:after="0" w:line="364" w:lineRule="auto"/>
        <w:jc w:val="left"/>
        <w:rPr>
          <w:sz w:val="21"/>
        </w:rPr>
        <w:sectPr>
          <w:pgSz w:w="11910" w:h="16840"/>
          <w:pgMar w:header="877" w:footer="1195" w:top="1380" w:bottom="1380" w:left="1680" w:right="1480"/>
        </w:sectPr>
      </w:pPr>
    </w:p>
    <w:p>
      <w:pPr>
        <w:pStyle w:val="ListParagraph"/>
        <w:numPr>
          <w:ilvl w:val="0"/>
          <w:numId w:val="26"/>
        </w:numPr>
        <w:tabs>
          <w:tab w:pos="1070" w:val="left" w:leader="none"/>
        </w:tabs>
        <w:spacing w:line="240" w:lineRule="auto" w:before="61" w:after="0"/>
        <w:ind w:left="1069" w:right="0" w:hanging="530"/>
        <w:jc w:val="left"/>
        <w:rPr>
          <w:sz w:val="21"/>
        </w:rPr>
      </w:pPr>
      <w:r>
        <w:rPr>
          <w:spacing w:val="-3"/>
          <w:sz w:val="21"/>
        </w:rPr>
        <w:t>不利用职务之便为自己及其代理人、受雇人或任何第三人谋取利益；</w:t>
      </w:r>
    </w:p>
    <w:p>
      <w:pPr>
        <w:pStyle w:val="ListParagraph"/>
        <w:numPr>
          <w:ilvl w:val="0"/>
          <w:numId w:val="26"/>
        </w:numPr>
        <w:tabs>
          <w:tab w:pos="1070" w:val="left" w:leader="none"/>
        </w:tabs>
        <w:spacing w:line="364" w:lineRule="auto" w:before="139" w:after="0"/>
        <w:ind w:left="120" w:right="311" w:firstLine="419"/>
        <w:jc w:val="both"/>
        <w:rPr>
          <w:sz w:val="21"/>
        </w:rPr>
      </w:pPr>
      <w:r>
        <w:rPr>
          <w:spacing w:val="-3"/>
          <w:sz w:val="21"/>
        </w:rPr>
        <w:t>不违反现行有效的有关法律、法规、规章、基金合同和中国证监会的有关规定， </w:t>
      </w:r>
      <w:r>
        <w:rPr>
          <w:spacing w:val="-9"/>
          <w:sz w:val="21"/>
        </w:rPr>
        <w:t>泄漏在任职期间知悉的有关证券、基金的商业秘密、尚未依法公开的基金投资内容、基金投</w:t>
      </w:r>
      <w:r>
        <w:rPr>
          <w:spacing w:val="-5"/>
          <w:sz w:val="21"/>
        </w:rPr>
        <w:t>资计划等信息；</w:t>
      </w:r>
    </w:p>
    <w:p>
      <w:pPr>
        <w:pStyle w:val="ListParagraph"/>
        <w:numPr>
          <w:ilvl w:val="0"/>
          <w:numId w:val="26"/>
        </w:numPr>
        <w:tabs>
          <w:tab w:pos="1070" w:val="left" w:leader="none"/>
        </w:tabs>
        <w:spacing w:line="269" w:lineRule="exact" w:before="0" w:after="0"/>
        <w:ind w:left="1069" w:right="0" w:hanging="530"/>
        <w:jc w:val="left"/>
        <w:rPr>
          <w:sz w:val="21"/>
        </w:rPr>
      </w:pPr>
      <w:r>
        <w:rPr>
          <w:spacing w:val="-3"/>
          <w:sz w:val="21"/>
        </w:rPr>
        <w:t>不从事损害基金财产和基金份额持有人利益的证券交易及其他活动。</w:t>
      </w:r>
    </w:p>
    <w:p>
      <w:pPr>
        <w:pStyle w:val="BodyText"/>
        <w:ind w:left="0"/>
        <w:rPr>
          <w:sz w:val="20"/>
        </w:rPr>
      </w:pPr>
    </w:p>
    <w:p>
      <w:pPr>
        <w:pStyle w:val="BodyText"/>
        <w:ind w:left="0"/>
        <w:rPr>
          <w:sz w:val="20"/>
        </w:rPr>
      </w:pPr>
    </w:p>
    <w:p>
      <w:pPr>
        <w:pStyle w:val="Heading1"/>
        <w:spacing w:before="170"/>
      </w:pPr>
      <w:bookmarkStart w:name="_bookmark11" w:id="12"/>
      <w:bookmarkEnd w:id="12"/>
      <w:r>
        <w:rPr/>
      </w:r>
      <w:r>
        <w:rPr/>
        <w:t>十二、基金的财产</w:t>
      </w:r>
    </w:p>
    <w:p>
      <w:pPr>
        <w:pStyle w:val="BodyText"/>
        <w:spacing w:before="11"/>
        <w:ind w:left="0"/>
        <w:rPr>
          <w:rFonts w:ascii="黑体"/>
          <w:sz w:val="27"/>
        </w:rPr>
      </w:pPr>
    </w:p>
    <w:p>
      <w:pPr>
        <w:pStyle w:val="BodyText"/>
        <w:ind w:left="540"/>
      </w:pPr>
      <w:r>
        <w:rPr/>
        <w:t>一、基金资产总值</w:t>
      </w:r>
    </w:p>
    <w:p>
      <w:pPr>
        <w:pStyle w:val="BodyText"/>
        <w:spacing w:line="364" w:lineRule="auto" w:before="141"/>
        <w:ind w:right="311" w:firstLine="419"/>
      </w:pPr>
      <w:r>
        <w:rPr>
          <w:spacing w:val="-8"/>
        </w:rPr>
        <w:t>基金资产总值是指购买的各类证券及票据价值、银行存款本息和基金应收的申购基金款</w:t>
      </w:r>
      <w:r>
        <w:rPr>
          <w:spacing w:val="-5"/>
        </w:rPr>
        <w:t>以及其他投资所形成的价值总和。</w:t>
      </w:r>
    </w:p>
    <w:p>
      <w:pPr>
        <w:pStyle w:val="BodyText"/>
        <w:spacing w:line="267" w:lineRule="exact"/>
        <w:ind w:left="540"/>
      </w:pPr>
      <w:r>
        <w:rPr/>
        <w:t>其构成主要有：</w:t>
      </w:r>
    </w:p>
    <w:p>
      <w:pPr>
        <w:pStyle w:val="BodyText"/>
        <w:spacing w:before="139"/>
        <w:ind w:left="540"/>
      </w:pPr>
      <w:r>
        <w:rPr/>
        <w:t>1、银行存款及其应计利息；</w:t>
      </w:r>
    </w:p>
    <w:p>
      <w:pPr>
        <w:pStyle w:val="BodyText"/>
        <w:spacing w:before="139"/>
        <w:ind w:left="540"/>
      </w:pPr>
      <w:r>
        <w:rPr/>
        <w:t>2、清算备付金及其应计利息；</w:t>
      </w:r>
    </w:p>
    <w:p>
      <w:pPr>
        <w:pStyle w:val="BodyText"/>
        <w:spacing w:before="141"/>
        <w:ind w:left="540"/>
      </w:pPr>
      <w:r>
        <w:rPr/>
        <w:t>3、根据有关规定缴纳的保证金；</w:t>
      </w:r>
    </w:p>
    <w:p>
      <w:pPr>
        <w:pStyle w:val="BodyText"/>
        <w:spacing w:before="139"/>
        <w:ind w:left="540"/>
      </w:pPr>
      <w:r>
        <w:rPr/>
        <w:t>4、应收证券交易清算款；</w:t>
      </w:r>
    </w:p>
    <w:p>
      <w:pPr>
        <w:pStyle w:val="BodyText"/>
        <w:spacing w:before="140"/>
        <w:ind w:left="540"/>
      </w:pPr>
      <w:r>
        <w:rPr/>
        <w:t>5、应收申购款；</w:t>
      </w:r>
    </w:p>
    <w:p>
      <w:pPr>
        <w:pStyle w:val="BodyText"/>
        <w:spacing w:before="139"/>
        <w:ind w:left="540"/>
      </w:pPr>
      <w:r>
        <w:rPr/>
        <w:t>6、股票投资及其估值调整；</w:t>
      </w:r>
    </w:p>
    <w:p>
      <w:pPr>
        <w:pStyle w:val="BodyText"/>
        <w:spacing w:before="139"/>
        <w:ind w:left="540"/>
      </w:pPr>
      <w:r>
        <w:rPr/>
        <w:t>7、债券投资及其估值调整和应计利息；</w:t>
      </w:r>
    </w:p>
    <w:p>
      <w:pPr>
        <w:pStyle w:val="BodyText"/>
        <w:spacing w:before="141"/>
        <w:ind w:left="540"/>
      </w:pPr>
      <w:r>
        <w:rPr/>
        <w:t>8</w:t>
      </w:r>
      <w:r>
        <w:rPr>
          <w:spacing w:val="-3"/>
        </w:rPr>
        <w:t>、权证投资及其估值调整；</w:t>
      </w:r>
    </w:p>
    <w:p>
      <w:pPr>
        <w:pStyle w:val="BodyText"/>
        <w:spacing w:before="139"/>
        <w:ind w:left="540"/>
      </w:pPr>
      <w:r>
        <w:rPr/>
        <w:t>9</w:t>
      </w:r>
      <w:r>
        <w:rPr>
          <w:spacing w:val="-3"/>
        </w:rPr>
        <w:t>、其他投资及其估值调整；</w:t>
      </w:r>
    </w:p>
    <w:p>
      <w:pPr>
        <w:pStyle w:val="BodyText"/>
        <w:spacing w:before="139"/>
        <w:ind w:left="540"/>
      </w:pPr>
      <w:r>
        <w:rPr/>
        <w:t>10</w:t>
      </w:r>
      <w:r>
        <w:rPr>
          <w:spacing w:val="-3"/>
        </w:rPr>
        <w:t>、其他资产等。</w:t>
      </w:r>
    </w:p>
    <w:p>
      <w:pPr>
        <w:pStyle w:val="BodyText"/>
        <w:ind w:left="0"/>
        <w:rPr>
          <w:sz w:val="20"/>
        </w:rPr>
      </w:pPr>
    </w:p>
    <w:p>
      <w:pPr>
        <w:pStyle w:val="BodyText"/>
        <w:spacing w:before="11"/>
        <w:ind w:left="0"/>
        <w:rPr>
          <w:sz w:val="22"/>
        </w:rPr>
      </w:pPr>
    </w:p>
    <w:p>
      <w:pPr>
        <w:pStyle w:val="BodyText"/>
        <w:ind w:left="540"/>
      </w:pPr>
      <w:r>
        <w:rPr>
          <w:spacing w:val="-3"/>
        </w:rPr>
        <w:t>二、基金资产净值</w:t>
      </w:r>
    </w:p>
    <w:p>
      <w:pPr>
        <w:pStyle w:val="BodyText"/>
        <w:spacing w:before="140"/>
        <w:ind w:left="540"/>
      </w:pPr>
      <w:r>
        <w:rPr/>
        <w:t>基金资产净值是指基金资产总值减去基金负债后的价值。</w:t>
      </w:r>
    </w:p>
    <w:p>
      <w:pPr>
        <w:pStyle w:val="BodyText"/>
        <w:ind w:left="0"/>
        <w:rPr>
          <w:sz w:val="20"/>
        </w:rPr>
      </w:pPr>
    </w:p>
    <w:p>
      <w:pPr>
        <w:pStyle w:val="BodyText"/>
        <w:spacing w:before="8"/>
        <w:ind w:left="0"/>
        <w:rPr>
          <w:sz w:val="22"/>
        </w:rPr>
      </w:pPr>
    </w:p>
    <w:p>
      <w:pPr>
        <w:pStyle w:val="BodyText"/>
        <w:ind w:left="540"/>
      </w:pPr>
      <w:r>
        <w:rPr/>
        <w:t>三、基金财产的账户</w:t>
      </w:r>
    </w:p>
    <w:p>
      <w:pPr>
        <w:pStyle w:val="BodyText"/>
        <w:spacing w:line="364" w:lineRule="auto" w:before="139"/>
        <w:ind w:right="311" w:firstLine="419"/>
        <w:jc w:val="both"/>
      </w:pPr>
      <w:r>
        <w:rPr>
          <w:spacing w:val="-6"/>
        </w:rPr>
        <w:t>本基金以基金托管人的名义开立资金结算账户和托管专户用于基金的资金结算业务，并</w:t>
      </w:r>
      <w:r>
        <w:rPr>
          <w:spacing w:val="-8"/>
        </w:rPr>
        <w:t>以基金托管人和本基金联名的方式开立基金证券账户、以本基金的名义开立银行间债券托管</w:t>
      </w:r>
      <w:r>
        <w:rPr>
          <w:spacing w:val="-10"/>
        </w:rPr>
        <w:t>账户并报中国人民银行备案。开立的基金专用账户与基金管理人、基金托管人、基金代销机</w:t>
      </w:r>
      <w:r>
        <w:rPr>
          <w:spacing w:val="-3"/>
        </w:rPr>
        <w:t>构和基金注册登记人自有的财产账户以及其他基金财产账户相独立。</w:t>
      </w:r>
    </w:p>
    <w:p>
      <w:pPr>
        <w:pStyle w:val="BodyText"/>
        <w:ind w:left="0"/>
        <w:rPr>
          <w:sz w:val="20"/>
        </w:rPr>
      </w:pPr>
    </w:p>
    <w:p>
      <w:pPr>
        <w:pStyle w:val="BodyText"/>
        <w:spacing w:before="153"/>
        <w:ind w:left="540"/>
      </w:pPr>
      <w:r>
        <w:rPr/>
        <w:t>四、基金财产的保管和处分</w:t>
      </w:r>
    </w:p>
    <w:p>
      <w:pPr>
        <w:pStyle w:val="BodyText"/>
        <w:spacing w:before="139"/>
        <w:ind w:left="540"/>
      </w:pPr>
      <w:r>
        <w:rPr/>
        <w:t>本基金财产独立于基金管理人、基金托管人和基金代销机构的财产，并由基金托管人保</w:t>
      </w:r>
    </w:p>
    <w:p>
      <w:pPr>
        <w:spacing w:after="0"/>
        <w:sectPr>
          <w:pgSz w:w="11910" w:h="16840"/>
          <w:pgMar w:header="877" w:footer="1195" w:top="1380" w:bottom="1380" w:left="1680" w:right="1480"/>
        </w:sectPr>
      </w:pPr>
    </w:p>
    <w:p>
      <w:pPr>
        <w:pStyle w:val="BodyText"/>
        <w:spacing w:line="364" w:lineRule="auto" w:before="61"/>
        <w:ind w:right="311"/>
        <w:jc w:val="both"/>
      </w:pPr>
      <w:r>
        <w:rPr>
          <w:spacing w:val="-11"/>
        </w:rPr>
        <w:t>管。基金管理人、基金托管人不得将基金财产归入其固有财产；基金管理人、基金托管人因</w:t>
      </w:r>
      <w:r>
        <w:rPr>
          <w:spacing w:val="-12"/>
        </w:rPr>
        <w:t>基金财产的管理、运用或其他情形而取得的财产和收益，归入基金财产。基金管理人、基金托管人、基金注册登记人和基金代销机构以其自有的财产承担其自身的法律责任，其债权人</w:t>
      </w:r>
      <w:r>
        <w:rPr>
          <w:spacing w:val="-11"/>
        </w:rPr>
        <w:t>不得对本基金财产行使请求冻结、扣押或其他权利。除依法律法规和《基金合同》的规定处</w:t>
      </w:r>
      <w:r>
        <w:rPr>
          <w:spacing w:val="-6"/>
        </w:rPr>
        <w:t>分外，基金财产不得被处分。</w:t>
      </w:r>
    </w:p>
    <w:p>
      <w:pPr>
        <w:pStyle w:val="BodyText"/>
        <w:spacing w:line="364" w:lineRule="auto"/>
        <w:ind w:right="208" w:firstLine="419"/>
      </w:pPr>
      <w:r>
        <w:rPr/>
        <w:t>基金管理人管理运作基金财产所产生的债权，不得与其固有资产产生的债务相互抵消； 基金管理人管理运作不同基金的基金财产所产生的债权债务不得相互抵消。</w:t>
      </w:r>
    </w:p>
    <w:p>
      <w:pPr>
        <w:pStyle w:val="BodyText"/>
        <w:ind w:left="0"/>
        <w:rPr>
          <w:sz w:val="20"/>
        </w:rPr>
      </w:pPr>
    </w:p>
    <w:p>
      <w:pPr>
        <w:pStyle w:val="BodyText"/>
        <w:spacing w:before="4"/>
        <w:ind w:left="0"/>
        <w:rPr>
          <w:sz w:val="22"/>
        </w:rPr>
      </w:pPr>
    </w:p>
    <w:p>
      <w:pPr>
        <w:pStyle w:val="Heading1"/>
        <w:ind w:left="1674"/>
      </w:pPr>
      <w:bookmarkStart w:name="_bookmark12" w:id="13"/>
      <w:bookmarkEnd w:id="13"/>
      <w:r>
        <w:rPr/>
      </w:r>
      <w:r>
        <w:rPr/>
        <w:t>十三、基金资产估值</w:t>
      </w:r>
    </w:p>
    <w:p>
      <w:pPr>
        <w:pStyle w:val="BodyText"/>
        <w:spacing w:before="10"/>
        <w:ind w:left="0"/>
        <w:rPr>
          <w:rFonts w:ascii="黑体"/>
          <w:sz w:val="27"/>
        </w:rPr>
      </w:pPr>
    </w:p>
    <w:p>
      <w:pPr>
        <w:pStyle w:val="BodyText"/>
        <w:ind w:left="540"/>
      </w:pPr>
      <w:r>
        <w:rPr/>
        <w:t>一、估值目的</w:t>
      </w:r>
    </w:p>
    <w:p>
      <w:pPr>
        <w:pStyle w:val="BodyText"/>
        <w:spacing w:line="364" w:lineRule="auto" w:before="139"/>
        <w:ind w:right="311" w:firstLine="419"/>
      </w:pPr>
      <w:r>
        <w:rPr>
          <w:spacing w:val="-8"/>
        </w:rPr>
        <w:t>基金资产估值的目的是客观、准确地反映基金资产是否保值、增值，依据经基金资产估</w:t>
      </w:r>
      <w:r>
        <w:rPr>
          <w:spacing w:val="-5"/>
        </w:rPr>
        <w:t>值后确定的基金资产净值而计算出的基金份额净值，是计算基金申购与赎回价格的基础。</w:t>
      </w:r>
    </w:p>
    <w:p>
      <w:pPr>
        <w:pStyle w:val="BodyText"/>
        <w:ind w:left="0"/>
        <w:rPr>
          <w:sz w:val="20"/>
        </w:rPr>
      </w:pPr>
    </w:p>
    <w:p>
      <w:pPr>
        <w:pStyle w:val="BodyText"/>
        <w:spacing w:before="152"/>
        <w:ind w:left="540"/>
      </w:pPr>
      <w:r>
        <w:rPr/>
        <w:t>二、估值日</w:t>
      </w:r>
    </w:p>
    <w:p>
      <w:pPr>
        <w:pStyle w:val="BodyText"/>
        <w:spacing w:line="364" w:lineRule="auto" w:before="139"/>
        <w:ind w:right="314" w:firstLine="419"/>
      </w:pPr>
      <w:r>
        <w:rPr/>
        <w:t>本基金的估值日为相关的证券交易场所的正常营业日以及国家法律法规规定需要对外披露基金净值的非营业日。</w:t>
      </w:r>
    </w:p>
    <w:p>
      <w:pPr>
        <w:pStyle w:val="BodyText"/>
        <w:ind w:left="0"/>
        <w:rPr>
          <w:sz w:val="20"/>
        </w:rPr>
      </w:pPr>
    </w:p>
    <w:p>
      <w:pPr>
        <w:pStyle w:val="BodyText"/>
        <w:spacing w:before="151"/>
        <w:ind w:left="540"/>
      </w:pPr>
      <w:r>
        <w:rPr/>
        <w:t>三、估值对象</w:t>
      </w:r>
    </w:p>
    <w:p>
      <w:pPr>
        <w:pStyle w:val="BodyText"/>
        <w:spacing w:before="141"/>
        <w:ind w:left="540"/>
      </w:pPr>
      <w:r>
        <w:rPr/>
        <w:t>基金所拥有的股票、债券、权证和银行存款本息等资产和负债。</w:t>
      </w:r>
    </w:p>
    <w:p>
      <w:pPr>
        <w:pStyle w:val="BodyText"/>
        <w:ind w:left="0"/>
        <w:rPr>
          <w:sz w:val="20"/>
        </w:rPr>
      </w:pPr>
    </w:p>
    <w:p>
      <w:pPr>
        <w:pStyle w:val="BodyText"/>
        <w:spacing w:before="9"/>
        <w:ind w:left="0"/>
        <w:rPr>
          <w:sz w:val="22"/>
        </w:rPr>
      </w:pPr>
    </w:p>
    <w:p>
      <w:pPr>
        <w:pStyle w:val="BodyText"/>
        <w:ind w:left="540"/>
      </w:pPr>
      <w:r>
        <w:rPr/>
        <w:t>四、估值程序</w:t>
      </w:r>
    </w:p>
    <w:p>
      <w:pPr>
        <w:pStyle w:val="BodyText"/>
        <w:spacing w:line="364" w:lineRule="auto" w:before="139"/>
        <w:ind w:right="311" w:firstLine="419"/>
        <w:jc w:val="both"/>
      </w:pPr>
      <w:r>
        <w:rPr>
          <w:spacing w:val="-8"/>
        </w:rPr>
        <w:t>基金日常估值由基金管理人进行。基金管理人完成估值后，将估值结果加盖业务公章以</w:t>
      </w:r>
      <w:r>
        <w:rPr>
          <w:spacing w:val="-9"/>
        </w:rPr>
        <w:t>书面形式加密传真至基金托管人，基金托管人按法律法规、《基金合同》规定的估值方法、</w:t>
      </w:r>
      <w:r>
        <w:rPr>
          <w:spacing w:val="-13"/>
        </w:rPr>
        <w:t>时间、程序进行复核，复核无误后在基金管理人传真的书面估值结果上加盖业务公章返回给</w:t>
      </w:r>
      <w:r>
        <w:rPr>
          <w:spacing w:val="-6"/>
        </w:rPr>
        <w:t>基金管理人；月末、年中和年末估值复核与基金会计账目的核对同时进行。</w:t>
      </w:r>
    </w:p>
    <w:p>
      <w:pPr>
        <w:pStyle w:val="BodyText"/>
        <w:ind w:left="0"/>
        <w:rPr>
          <w:sz w:val="20"/>
        </w:rPr>
      </w:pPr>
    </w:p>
    <w:p>
      <w:pPr>
        <w:pStyle w:val="BodyText"/>
        <w:spacing w:before="151"/>
        <w:ind w:left="540"/>
      </w:pPr>
      <w:r>
        <w:rPr/>
        <w:t>五、估值方法</w:t>
      </w:r>
    </w:p>
    <w:p>
      <w:pPr>
        <w:pStyle w:val="BodyText"/>
        <w:spacing w:before="141"/>
        <w:ind w:left="540"/>
      </w:pPr>
      <w:r>
        <w:rPr/>
        <w:t>本基金按以下方式进行估值：</w:t>
      </w:r>
    </w:p>
    <w:p>
      <w:pPr>
        <w:pStyle w:val="BodyText"/>
        <w:spacing w:before="139"/>
        <w:ind w:left="540"/>
      </w:pPr>
      <w:r>
        <w:rPr/>
        <w:t>1、证券交易所上市的有价证券的估值</w:t>
      </w:r>
    </w:p>
    <w:p>
      <w:pPr>
        <w:pStyle w:val="ListParagraph"/>
        <w:numPr>
          <w:ilvl w:val="0"/>
          <w:numId w:val="27"/>
        </w:numPr>
        <w:tabs>
          <w:tab w:pos="1070" w:val="left" w:leader="none"/>
        </w:tabs>
        <w:spacing w:line="364" w:lineRule="auto" w:before="139" w:after="0"/>
        <w:ind w:left="120" w:right="311" w:firstLine="419"/>
        <w:jc w:val="both"/>
        <w:rPr>
          <w:sz w:val="21"/>
        </w:rPr>
      </w:pPr>
      <w:r>
        <w:rPr>
          <w:spacing w:val="-6"/>
          <w:sz w:val="21"/>
        </w:rPr>
        <w:t>交易所上市的有价证券</w:t>
      </w:r>
      <w:r>
        <w:rPr>
          <w:sz w:val="21"/>
        </w:rPr>
        <w:t>（</w:t>
      </w:r>
      <w:r>
        <w:rPr>
          <w:spacing w:val="-7"/>
          <w:sz w:val="21"/>
        </w:rPr>
        <w:t>包括股票、权证等</w:t>
      </w:r>
      <w:r>
        <w:rPr>
          <w:spacing w:val="-67"/>
          <w:sz w:val="21"/>
        </w:rPr>
        <w:t>）</w:t>
      </w:r>
      <w:r>
        <w:rPr>
          <w:spacing w:val="-10"/>
          <w:sz w:val="21"/>
        </w:rPr>
        <w:t>，以其估值日在证券交易所挂牌的 市价</w:t>
      </w:r>
      <w:r>
        <w:rPr>
          <w:sz w:val="21"/>
        </w:rPr>
        <w:t>（</w:t>
      </w:r>
      <w:r>
        <w:rPr>
          <w:spacing w:val="-3"/>
          <w:sz w:val="21"/>
        </w:rPr>
        <w:t>收盘价</w:t>
      </w:r>
      <w:r>
        <w:rPr>
          <w:spacing w:val="-20"/>
          <w:sz w:val="21"/>
        </w:rPr>
        <w:t>）</w:t>
      </w:r>
      <w:r>
        <w:rPr>
          <w:spacing w:val="-9"/>
          <w:sz w:val="21"/>
        </w:rPr>
        <w:t>估值；估值日无交易的，且最近交易日后经济环境未发生重大变化，以最近</w:t>
      </w:r>
      <w:r>
        <w:rPr>
          <w:spacing w:val="-11"/>
          <w:sz w:val="21"/>
        </w:rPr>
        <w:t>交易日的市价</w:t>
      </w:r>
      <w:r>
        <w:rPr>
          <w:sz w:val="21"/>
        </w:rPr>
        <w:t>（</w:t>
      </w:r>
      <w:r>
        <w:rPr>
          <w:spacing w:val="-3"/>
          <w:sz w:val="21"/>
        </w:rPr>
        <w:t>收盘价</w:t>
      </w:r>
      <w:r>
        <w:rPr>
          <w:spacing w:val="-25"/>
          <w:sz w:val="21"/>
        </w:rPr>
        <w:t>）</w:t>
      </w:r>
      <w:r>
        <w:rPr>
          <w:spacing w:val="-8"/>
          <w:sz w:val="21"/>
        </w:rPr>
        <w:t>估值；如最近交易日后经济环境发生了重大变化的，可参考类似投</w:t>
      </w:r>
      <w:r>
        <w:rPr>
          <w:spacing w:val="-6"/>
          <w:sz w:val="21"/>
        </w:rPr>
        <w:t>资品种的现行市价及重大变化因素，调整最近交易市价，确定公允价格。</w:t>
      </w:r>
    </w:p>
    <w:p>
      <w:pPr>
        <w:spacing w:after="0" w:line="364" w:lineRule="auto"/>
        <w:jc w:val="both"/>
        <w:rPr>
          <w:sz w:val="21"/>
        </w:rPr>
        <w:sectPr>
          <w:pgSz w:w="11910" w:h="16840"/>
          <w:pgMar w:header="877" w:footer="1195" w:top="1380" w:bottom="1380" w:left="1680" w:right="1480"/>
        </w:sectPr>
      </w:pPr>
    </w:p>
    <w:p>
      <w:pPr>
        <w:pStyle w:val="ListParagraph"/>
        <w:numPr>
          <w:ilvl w:val="0"/>
          <w:numId w:val="27"/>
        </w:numPr>
        <w:tabs>
          <w:tab w:pos="1070" w:val="left" w:leader="none"/>
        </w:tabs>
        <w:spacing w:line="364" w:lineRule="auto" w:before="61" w:after="0"/>
        <w:ind w:left="120" w:right="205" w:firstLine="419"/>
        <w:jc w:val="left"/>
        <w:rPr>
          <w:sz w:val="21"/>
        </w:rPr>
      </w:pPr>
      <w:r>
        <w:rPr>
          <w:spacing w:val="-3"/>
          <w:sz w:val="21"/>
        </w:rPr>
        <w:t>交易所上市实行净价交易的债券按估值日收盘价估值，估值日没有交易的，且最</w:t>
      </w:r>
      <w:r>
        <w:rPr>
          <w:spacing w:val="-8"/>
          <w:sz w:val="21"/>
        </w:rPr>
        <w:t>近交易日后经济环境未发生重大变化，按最近交易日的收盘价估值。如最近交易日后经济环</w:t>
      </w:r>
      <w:r>
        <w:rPr>
          <w:spacing w:val="-16"/>
          <w:sz w:val="21"/>
        </w:rPr>
        <w:t>境发生了重大变化的，可参考类似投资品种的现行市价及重大变化因素，调整最近交易市价， </w:t>
      </w:r>
      <w:r>
        <w:rPr>
          <w:spacing w:val="-6"/>
          <w:sz w:val="21"/>
        </w:rPr>
        <w:t>确定公允价格；</w:t>
      </w:r>
    </w:p>
    <w:p>
      <w:pPr>
        <w:pStyle w:val="ListParagraph"/>
        <w:numPr>
          <w:ilvl w:val="0"/>
          <w:numId w:val="27"/>
        </w:numPr>
        <w:tabs>
          <w:tab w:pos="1070" w:val="left" w:leader="none"/>
        </w:tabs>
        <w:spacing w:line="364" w:lineRule="auto" w:before="0" w:after="0"/>
        <w:ind w:left="120" w:right="208" w:firstLine="419"/>
        <w:jc w:val="left"/>
        <w:rPr>
          <w:sz w:val="21"/>
        </w:rPr>
      </w:pPr>
      <w:r>
        <w:rPr>
          <w:spacing w:val="-3"/>
          <w:sz w:val="21"/>
        </w:rPr>
        <w:t>交易所上市未实行净价交易的债券按估值日收盘价减去债券收盘价中所含的债券</w:t>
      </w:r>
      <w:r>
        <w:rPr>
          <w:spacing w:val="-9"/>
          <w:sz w:val="21"/>
        </w:rPr>
        <w:t>应收利息得到的净价进行估值；估值日没有交易的，且最近交易日后经济环境未发生重大变</w:t>
      </w:r>
      <w:r>
        <w:rPr>
          <w:spacing w:val="-5"/>
          <w:sz w:val="21"/>
        </w:rPr>
        <w:t>化，按最近交易日债券收盘价减去债券收盘价中所含的债券应收利息得到的净价进行估值。</w:t>
      </w:r>
      <w:r>
        <w:rPr>
          <w:spacing w:val="-9"/>
          <w:sz w:val="21"/>
        </w:rPr>
        <w:t>如最近交易日后经济环境发生了重大变化的，可参考类似投资品种的现行市价及重大变化因</w:t>
      </w:r>
      <w:r>
        <w:rPr>
          <w:spacing w:val="-5"/>
          <w:sz w:val="21"/>
        </w:rPr>
        <w:t>素，调整最近交易市价，确定公允价格；</w:t>
      </w:r>
    </w:p>
    <w:p>
      <w:pPr>
        <w:pStyle w:val="ListParagraph"/>
        <w:numPr>
          <w:ilvl w:val="0"/>
          <w:numId w:val="27"/>
        </w:numPr>
        <w:tabs>
          <w:tab w:pos="1070" w:val="left" w:leader="none"/>
        </w:tabs>
        <w:spacing w:line="364" w:lineRule="auto" w:before="0" w:after="0"/>
        <w:ind w:left="120" w:right="315" w:firstLine="419"/>
        <w:jc w:val="left"/>
        <w:rPr>
          <w:sz w:val="21"/>
        </w:rPr>
      </w:pPr>
      <w:r>
        <w:rPr>
          <w:spacing w:val="-5"/>
          <w:sz w:val="21"/>
        </w:rPr>
        <w:t>交易所上市不存在活跃市场的有价证券</w:t>
      </w:r>
      <w:r>
        <w:rPr>
          <w:spacing w:val="-3"/>
          <w:sz w:val="21"/>
        </w:rPr>
        <w:t>（包括资产支持证券等</w:t>
      </w:r>
      <w:r>
        <w:rPr>
          <w:spacing w:val="-70"/>
          <w:sz w:val="21"/>
        </w:rPr>
        <w:t>）</w:t>
      </w:r>
      <w:r>
        <w:rPr>
          <w:spacing w:val="-13"/>
          <w:sz w:val="21"/>
        </w:rPr>
        <w:t>，采用估值技术 </w:t>
      </w:r>
      <w:r>
        <w:rPr>
          <w:spacing w:val="-3"/>
          <w:sz w:val="21"/>
        </w:rPr>
        <w:t>确定公允价值，在估值技术难以可靠计量公允价值的情况下，按成本估值。</w:t>
      </w:r>
    </w:p>
    <w:p>
      <w:pPr>
        <w:pStyle w:val="BodyText"/>
        <w:spacing w:line="267" w:lineRule="exact"/>
        <w:ind w:left="540"/>
      </w:pPr>
      <w:r>
        <w:rPr/>
        <w:t>2、处于未上市期间的有价证券应区分如下情况处理：</w:t>
      </w:r>
    </w:p>
    <w:p>
      <w:pPr>
        <w:pStyle w:val="ListParagraph"/>
        <w:numPr>
          <w:ilvl w:val="0"/>
          <w:numId w:val="28"/>
        </w:numPr>
        <w:tabs>
          <w:tab w:pos="1070" w:val="left" w:leader="none"/>
        </w:tabs>
        <w:spacing w:line="364" w:lineRule="auto" w:before="138" w:after="0"/>
        <w:ind w:left="120" w:right="314" w:firstLine="419"/>
        <w:jc w:val="left"/>
        <w:rPr>
          <w:sz w:val="21"/>
        </w:rPr>
      </w:pPr>
      <w:r>
        <w:rPr>
          <w:spacing w:val="-3"/>
          <w:sz w:val="21"/>
        </w:rPr>
        <w:t>送股、转增股、配股和公开增发的新股，按估值日在证券交易所挂牌的同一股票的市价</w:t>
      </w:r>
      <w:r>
        <w:rPr>
          <w:sz w:val="21"/>
        </w:rPr>
        <w:t>（</w:t>
      </w:r>
      <w:r>
        <w:rPr>
          <w:spacing w:val="-3"/>
          <w:sz w:val="21"/>
        </w:rPr>
        <w:t>收盘价</w:t>
      </w:r>
      <w:r>
        <w:rPr>
          <w:sz w:val="21"/>
        </w:rPr>
        <w:t>）</w:t>
      </w:r>
      <w:r>
        <w:rPr>
          <w:spacing w:val="-3"/>
          <w:sz w:val="21"/>
        </w:rPr>
        <w:t>估值；该日无交易的，以最近一日的市价（</w:t>
      </w:r>
      <w:r>
        <w:rPr>
          <w:spacing w:val="-2"/>
          <w:sz w:val="21"/>
        </w:rPr>
        <w:t>收盘价</w:t>
      </w:r>
      <w:r>
        <w:rPr>
          <w:spacing w:val="-3"/>
          <w:sz w:val="21"/>
        </w:rPr>
        <w:t>）</w:t>
      </w:r>
      <w:r>
        <w:rPr>
          <w:spacing w:val="-2"/>
          <w:sz w:val="21"/>
        </w:rPr>
        <w:t>估值；</w:t>
      </w:r>
    </w:p>
    <w:p>
      <w:pPr>
        <w:pStyle w:val="ListParagraph"/>
        <w:numPr>
          <w:ilvl w:val="0"/>
          <w:numId w:val="28"/>
        </w:numPr>
        <w:tabs>
          <w:tab w:pos="1070" w:val="left" w:leader="none"/>
        </w:tabs>
        <w:spacing w:line="364" w:lineRule="auto" w:before="0" w:after="0"/>
        <w:ind w:left="120" w:right="314" w:firstLine="419"/>
        <w:jc w:val="left"/>
        <w:rPr>
          <w:sz w:val="21"/>
        </w:rPr>
      </w:pPr>
      <w:r>
        <w:rPr>
          <w:spacing w:val="-3"/>
          <w:sz w:val="21"/>
        </w:rPr>
        <w:t>首次公开发行未上市的股票、债券和权证，采用估值技术确定公允价值，在估值技术难以可靠计量公允价值的情况下，按成本估值；</w:t>
      </w:r>
    </w:p>
    <w:p>
      <w:pPr>
        <w:pStyle w:val="ListParagraph"/>
        <w:numPr>
          <w:ilvl w:val="0"/>
          <w:numId w:val="28"/>
        </w:numPr>
        <w:tabs>
          <w:tab w:pos="1070" w:val="left" w:leader="none"/>
        </w:tabs>
        <w:spacing w:line="364" w:lineRule="auto" w:before="0" w:after="0"/>
        <w:ind w:left="120" w:right="311" w:firstLine="419"/>
        <w:jc w:val="both"/>
        <w:rPr>
          <w:sz w:val="21"/>
        </w:rPr>
      </w:pPr>
      <w:r>
        <w:rPr>
          <w:spacing w:val="-3"/>
          <w:sz w:val="21"/>
        </w:rPr>
        <w:t>流通受限的股票，包括非公开发行股票、首次公开发行股票时公司股东公开发售</w:t>
      </w:r>
      <w:r>
        <w:rPr>
          <w:spacing w:val="-8"/>
          <w:sz w:val="21"/>
        </w:rPr>
        <w:t>股份、通过大宗交易取得的带限售期的股票等</w:t>
      </w:r>
      <w:r>
        <w:rPr>
          <w:sz w:val="21"/>
        </w:rPr>
        <w:t>（</w:t>
      </w:r>
      <w:r>
        <w:rPr>
          <w:spacing w:val="-8"/>
          <w:sz w:val="21"/>
        </w:rPr>
        <w:t>不包括停牌、新发行未上市、回购交易中的</w:t>
      </w:r>
      <w:r>
        <w:rPr>
          <w:spacing w:val="-5"/>
          <w:w w:val="100"/>
          <w:sz w:val="21"/>
        </w:rPr>
        <w:t>质押券等流通受限股票</w:t>
      </w:r>
      <w:r>
        <w:rPr>
          <w:spacing w:val="-108"/>
          <w:w w:val="100"/>
          <w:sz w:val="21"/>
        </w:rPr>
        <w:t>）</w:t>
      </w:r>
      <w:r>
        <w:rPr>
          <w:spacing w:val="-3"/>
          <w:w w:val="100"/>
          <w:sz w:val="21"/>
        </w:rPr>
        <w:t>，按监管机构或行业协会有关规定确定公允价值。</w:t>
      </w:r>
    </w:p>
    <w:p>
      <w:pPr>
        <w:pStyle w:val="ListParagraph"/>
        <w:numPr>
          <w:ilvl w:val="0"/>
          <w:numId w:val="28"/>
        </w:numPr>
        <w:tabs>
          <w:tab w:pos="1070" w:val="left" w:leader="none"/>
        </w:tabs>
        <w:spacing w:line="364" w:lineRule="auto" w:before="0" w:after="0"/>
        <w:ind w:left="120" w:right="314" w:firstLine="419"/>
        <w:jc w:val="left"/>
        <w:rPr>
          <w:sz w:val="21"/>
        </w:rPr>
      </w:pPr>
      <w:r>
        <w:rPr>
          <w:spacing w:val="-3"/>
          <w:sz w:val="21"/>
        </w:rPr>
        <w:t>因持有股票而享有的配股权，从配股除权日起到配股确认日止，如果收盘价高于配股价，按收盘价高于配股价的差额估值。收盘价等于或低于配股价，则估值为零。</w:t>
      </w:r>
    </w:p>
    <w:p>
      <w:pPr>
        <w:pStyle w:val="BodyText"/>
        <w:spacing w:line="364" w:lineRule="auto"/>
        <w:ind w:right="314" w:firstLine="419"/>
      </w:pPr>
      <w:r>
        <w:rPr/>
        <w:t>3、全国银行间债券市场交易的债券、资产支持证券等固定收益品种，采用估值技术确定公允价值。</w:t>
      </w:r>
    </w:p>
    <w:p>
      <w:pPr>
        <w:pStyle w:val="BodyText"/>
        <w:spacing w:line="267" w:lineRule="exact"/>
        <w:ind w:left="540"/>
      </w:pPr>
      <w:r>
        <w:rPr/>
        <w:t>4、同一债券同时在两个或两个以上市场交易的，按债券所处的市场分别估值。</w:t>
      </w:r>
    </w:p>
    <w:p>
      <w:pPr>
        <w:pStyle w:val="BodyText"/>
        <w:spacing w:line="364" w:lineRule="auto" w:before="136"/>
        <w:ind w:right="313" w:firstLine="419"/>
      </w:pPr>
      <w:r>
        <w:rPr/>
        <w:t>5、当发生大额申购或赎回情形时，在履行适当程序后，基金管理人可以采用摆动定价机制以确保基金估值的公平性。</w:t>
      </w:r>
    </w:p>
    <w:p>
      <w:pPr>
        <w:pStyle w:val="BodyText"/>
        <w:spacing w:line="364" w:lineRule="auto" w:before="1"/>
        <w:ind w:right="314" w:firstLine="419"/>
      </w:pPr>
      <w:r>
        <w:rPr/>
        <w:t>6、如有确凿证据表明按上述方法进行估值不能客观反映其公允价值的，基金管理人可根据具体情况与基金托管人商定后，按最能反映公允价值的价格估值。</w:t>
      </w:r>
    </w:p>
    <w:p>
      <w:pPr>
        <w:pStyle w:val="BodyText"/>
        <w:spacing w:line="267" w:lineRule="exact"/>
        <w:ind w:left="540"/>
      </w:pPr>
      <w:r>
        <w:rPr/>
        <w:t>7、本基金投资存托凭证的估值核算，依照境内上市交易的股票进行。</w:t>
      </w:r>
    </w:p>
    <w:p>
      <w:pPr>
        <w:pStyle w:val="BodyText"/>
        <w:spacing w:line="364" w:lineRule="auto" w:before="139"/>
        <w:ind w:right="314" w:firstLine="419"/>
      </w:pPr>
      <w:r>
        <w:rPr/>
        <w:t>8、相关法律法规以及监管部门有强制规定的，从其规定。如有新增事项，按国家最新规定估值。</w:t>
      </w:r>
    </w:p>
    <w:p>
      <w:pPr>
        <w:pStyle w:val="BodyText"/>
        <w:spacing w:line="364" w:lineRule="auto"/>
        <w:ind w:right="311" w:firstLine="419"/>
        <w:jc w:val="both"/>
      </w:pPr>
      <w:r>
        <w:rPr>
          <w:spacing w:val="-12"/>
        </w:rPr>
        <w:t>根据《基金法》，基金管理人计算并公告基金资产净值，基金托管人复核、审查基金管理人计算的基金资产净值。因此，就与本基金有关的会计问题，如经相关各方在平等基础上</w:t>
      </w:r>
      <w:r>
        <w:rPr>
          <w:spacing w:val="-13"/>
        </w:rPr>
        <w:t>充分讨论后，仍无法达成一致的意见，按照基金管理人对基金净值信息的计算结果对外予以</w:t>
      </w:r>
    </w:p>
    <w:p>
      <w:pPr>
        <w:spacing w:after="0" w:line="364" w:lineRule="auto"/>
        <w:jc w:val="both"/>
        <w:sectPr>
          <w:pgSz w:w="11910" w:h="16840"/>
          <w:pgMar w:header="877" w:footer="1195" w:top="1380" w:bottom="1380" w:left="1680" w:right="1480"/>
        </w:sectPr>
      </w:pPr>
    </w:p>
    <w:p>
      <w:pPr>
        <w:pStyle w:val="BodyText"/>
        <w:spacing w:before="61"/>
      </w:pPr>
      <w:r>
        <w:rPr/>
        <w:t>公布。</w:t>
      </w:r>
    </w:p>
    <w:p>
      <w:pPr>
        <w:pStyle w:val="BodyText"/>
        <w:ind w:left="0"/>
        <w:rPr>
          <w:sz w:val="20"/>
        </w:rPr>
      </w:pPr>
    </w:p>
    <w:p>
      <w:pPr>
        <w:pStyle w:val="BodyText"/>
        <w:spacing w:before="9"/>
        <w:ind w:left="0"/>
        <w:rPr>
          <w:sz w:val="22"/>
        </w:rPr>
      </w:pPr>
    </w:p>
    <w:p>
      <w:pPr>
        <w:pStyle w:val="BodyText"/>
        <w:ind w:left="540"/>
      </w:pPr>
      <w:r>
        <w:rPr/>
        <w:t>六、基金份额净值的确认和估值错误的处理</w:t>
      </w:r>
    </w:p>
    <w:p>
      <w:pPr>
        <w:pStyle w:val="BodyText"/>
        <w:spacing w:line="364" w:lineRule="auto" w:before="141"/>
        <w:ind w:right="205" w:firstLine="419"/>
      </w:pPr>
      <w:r>
        <w:rPr>
          <w:spacing w:val="-6"/>
        </w:rPr>
        <w:t>基金份额净值的计算保留到小数点后 </w:t>
      </w:r>
      <w:r>
        <w:rPr/>
        <w:t>3</w:t>
      </w:r>
      <w:r>
        <w:rPr>
          <w:spacing w:val="-18"/>
        </w:rPr>
        <w:t> 位，小数点后第 </w:t>
      </w:r>
      <w:r>
        <w:rPr/>
        <w:t>4</w:t>
      </w:r>
      <w:r>
        <w:rPr>
          <w:spacing w:val="-11"/>
        </w:rPr>
        <w:t> 位四舍五入。当估值或份额净</w:t>
      </w:r>
      <w:r>
        <w:rPr>
          <w:spacing w:val="-17"/>
        </w:rPr>
        <w:t>值计价错误实际发生时，基金管理人应当立即纠正，并采取合理的措施防止损失进一步扩大。</w:t>
      </w:r>
      <w:r>
        <w:rPr>
          <w:spacing w:val="-10"/>
        </w:rPr>
        <w:t>当错误达到或超过基金资产净值的 </w:t>
      </w:r>
      <w:r>
        <w:rPr/>
        <w:t>0.25</w:t>
      </w:r>
      <w:r>
        <w:rPr>
          <w:spacing w:val="-7"/>
        </w:rPr>
        <w:t>%时，基金管理人应报中国证监会备案；当估值错误</w:t>
      </w:r>
      <w:r>
        <w:rPr>
          <w:spacing w:val="-3"/>
        </w:rPr>
        <w:t>偏差达到基金份额净值的 </w:t>
      </w:r>
      <w:r>
        <w:rPr/>
        <w:t>0.5%</w:t>
      </w:r>
      <w:r>
        <w:rPr>
          <w:spacing w:val="-3"/>
        </w:rPr>
        <w:t>时，基金管理人应当公告，并报中国证监会备案。因基金估值错误给投资者造成损失的，应先由基金管理人承担，基金管理人对不应由其承担的责任， 有权向过错人追偿。</w:t>
      </w:r>
    </w:p>
    <w:p>
      <w:pPr>
        <w:pStyle w:val="BodyText"/>
        <w:spacing w:line="364" w:lineRule="auto"/>
        <w:ind w:left="540" w:right="3369"/>
      </w:pPr>
      <w:r>
        <w:rPr/>
        <w:t>关于差错处理，本合同的当事人按照以下约定处理： 1、差错类型</w:t>
      </w:r>
    </w:p>
    <w:p>
      <w:pPr>
        <w:pStyle w:val="BodyText"/>
        <w:spacing w:line="364" w:lineRule="auto"/>
        <w:ind w:right="311" w:firstLine="419"/>
        <w:jc w:val="both"/>
      </w:pPr>
      <w:r>
        <w:rPr>
          <w:spacing w:val="-9"/>
        </w:rPr>
        <w:t>本基金运作过程中，如果由于基金管理人或基金托管人、或注册登记人、或代理销售机</w:t>
      </w:r>
      <w:r>
        <w:rPr>
          <w:spacing w:val="-10"/>
        </w:rPr>
        <w:t>构、或投资者自身的过错造成差错，导致其他当事人遭受损失的，过错的责任人应当对由于</w:t>
      </w:r>
      <w:r>
        <w:rPr>
          <w:spacing w:val="-5"/>
          <w:w w:val="100"/>
        </w:rPr>
        <w:t>该差错遭受损失的当事人</w:t>
      </w:r>
      <w:r>
        <w:rPr>
          <w:spacing w:val="-106"/>
          <w:w w:val="100"/>
        </w:rPr>
        <w:t>（</w:t>
      </w:r>
      <w:r>
        <w:rPr>
          <w:spacing w:val="-24"/>
          <w:w w:val="100"/>
        </w:rPr>
        <w:t>“受损方”</w:t>
      </w:r>
      <w:r>
        <w:rPr>
          <w:w w:val="100"/>
        </w:rPr>
        <w:t>）</w:t>
      </w:r>
      <w:r>
        <w:rPr>
          <w:spacing w:val="-3"/>
          <w:w w:val="100"/>
        </w:rPr>
        <w:t>按下述“差错处理原则”给予赔偿承担赔偿责任。</w:t>
      </w:r>
    </w:p>
    <w:p>
      <w:pPr>
        <w:pStyle w:val="BodyText"/>
        <w:spacing w:line="364" w:lineRule="auto"/>
        <w:ind w:right="311" w:firstLine="419"/>
        <w:jc w:val="both"/>
      </w:pPr>
      <w:r>
        <w:rPr>
          <w:spacing w:val="-8"/>
        </w:rPr>
        <w:t>上述差错的主要类型包括但不限于：资料申报差错、数据传输差错、数据计算差错、系</w:t>
      </w:r>
      <w:r>
        <w:rPr>
          <w:spacing w:val="-12"/>
        </w:rPr>
        <w:t>统故障差错、下达指令差错等；对于因技术原因引起的差错，若系同行业现有技术水平无法</w:t>
      </w:r>
      <w:r>
        <w:rPr>
          <w:spacing w:val="-6"/>
        </w:rPr>
        <w:t>预见、无法避免、无法抗拒，则属不可抗力，按照下述规定执行。</w:t>
      </w:r>
    </w:p>
    <w:p>
      <w:pPr>
        <w:pStyle w:val="BodyText"/>
        <w:spacing w:line="364" w:lineRule="auto"/>
        <w:ind w:right="311" w:firstLine="419"/>
        <w:jc w:val="both"/>
      </w:pPr>
      <w:r>
        <w:rPr>
          <w:spacing w:val="-6"/>
        </w:rPr>
        <w:t>由于不可抗力原因造成投资者的交易资料灭失或被错误处理或造成其他差错，因不可抗</w:t>
      </w:r>
      <w:r>
        <w:rPr>
          <w:spacing w:val="-8"/>
        </w:rPr>
        <w:t>力原因出现差错的当事人不对其他当事人承担赔偿责任，但因该差错取得不当得利的当事人</w:t>
      </w:r>
      <w:r>
        <w:rPr>
          <w:spacing w:val="-5"/>
        </w:rPr>
        <w:t>仍应负有返还不当得利的义务。</w:t>
      </w:r>
    </w:p>
    <w:p>
      <w:pPr>
        <w:pStyle w:val="BodyText"/>
        <w:spacing w:line="266" w:lineRule="exact"/>
        <w:ind w:left="540"/>
      </w:pPr>
      <w:r>
        <w:rPr/>
        <w:t>2、差错处理原则</w:t>
      </w:r>
    </w:p>
    <w:p>
      <w:pPr>
        <w:pStyle w:val="ListParagraph"/>
        <w:numPr>
          <w:ilvl w:val="0"/>
          <w:numId w:val="29"/>
        </w:numPr>
        <w:tabs>
          <w:tab w:pos="1070" w:val="left" w:leader="none"/>
        </w:tabs>
        <w:spacing w:line="364" w:lineRule="auto" w:before="136" w:after="0"/>
        <w:ind w:left="120" w:right="311" w:firstLine="419"/>
        <w:jc w:val="both"/>
        <w:rPr>
          <w:sz w:val="21"/>
        </w:rPr>
      </w:pPr>
      <w:r>
        <w:rPr>
          <w:spacing w:val="-3"/>
          <w:sz w:val="21"/>
        </w:rPr>
        <w:t>差错已发生，但尚未给当事人造成损失时，差错责任方应及时协调各方，及时进</w:t>
      </w:r>
      <w:r>
        <w:rPr>
          <w:spacing w:val="-11"/>
          <w:sz w:val="21"/>
        </w:rPr>
        <w:t>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w:t>
      </w:r>
      <w:r>
        <w:rPr>
          <w:spacing w:val="-6"/>
          <w:sz w:val="21"/>
        </w:rPr>
        <w:t>正的情况向有关当事人进行确认，确保差错已得到更正。</w:t>
      </w:r>
    </w:p>
    <w:p>
      <w:pPr>
        <w:pStyle w:val="ListParagraph"/>
        <w:numPr>
          <w:ilvl w:val="0"/>
          <w:numId w:val="29"/>
        </w:numPr>
        <w:tabs>
          <w:tab w:pos="1070" w:val="left" w:leader="none"/>
        </w:tabs>
        <w:spacing w:line="364" w:lineRule="auto" w:before="0" w:after="0"/>
        <w:ind w:left="120" w:right="314" w:firstLine="419"/>
        <w:jc w:val="left"/>
        <w:rPr>
          <w:sz w:val="21"/>
        </w:rPr>
      </w:pPr>
      <w:r>
        <w:rPr>
          <w:spacing w:val="-3"/>
          <w:sz w:val="21"/>
        </w:rPr>
        <w:t>差错的责任方对可能导致有关当事人的直接损失负责，不对间接损失负责，并且仅对差错的有关直接当事人负责，不对第三方负责。</w:t>
      </w:r>
    </w:p>
    <w:p>
      <w:pPr>
        <w:pStyle w:val="ListParagraph"/>
        <w:numPr>
          <w:ilvl w:val="0"/>
          <w:numId w:val="29"/>
        </w:numPr>
        <w:tabs>
          <w:tab w:pos="1070" w:val="left" w:leader="none"/>
        </w:tabs>
        <w:spacing w:line="364" w:lineRule="auto" w:before="0" w:after="0"/>
        <w:ind w:left="120" w:right="311" w:firstLine="419"/>
        <w:jc w:val="both"/>
        <w:rPr>
          <w:sz w:val="21"/>
        </w:rPr>
      </w:pPr>
      <w:r>
        <w:rPr>
          <w:spacing w:val="-3"/>
          <w:sz w:val="21"/>
        </w:rPr>
        <w:t>因差错而获得不当得利的当事人负有及时返还不当得利的义务。但差错责任方仍</w:t>
      </w:r>
      <w:r>
        <w:rPr>
          <w:spacing w:val="-12"/>
          <w:sz w:val="21"/>
        </w:rPr>
        <w:t>应对差错负责，如果由于获得不当得利的当事人不返还或不全部返还不当得利造成其他当事</w:t>
      </w:r>
      <w:r>
        <w:rPr>
          <w:spacing w:val="-6"/>
          <w:w w:val="100"/>
          <w:sz w:val="21"/>
        </w:rPr>
        <w:t>人的利益损失</w:t>
      </w:r>
      <w:r>
        <w:rPr>
          <w:spacing w:val="-106"/>
          <w:w w:val="100"/>
          <w:sz w:val="21"/>
        </w:rPr>
        <w:t>（</w:t>
      </w:r>
      <w:r>
        <w:rPr>
          <w:spacing w:val="-23"/>
          <w:w w:val="100"/>
          <w:sz w:val="21"/>
        </w:rPr>
        <w:t>“受损方”</w:t>
      </w:r>
      <w:r>
        <w:rPr>
          <w:spacing w:val="-108"/>
          <w:w w:val="100"/>
          <w:sz w:val="21"/>
        </w:rPr>
        <w:t>）</w:t>
      </w:r>
      <w:r>
        <w:rPr>
          <w:spacing w:val="-3"/>
          <w:w w:val="100"/>
          <w:sz w:val="21"/>
        </w:rPr>
        <w:t>，则差错责任方应赔偿受损方的损失，并在其支付的赔偿金额的</w:t>
      </w:r>
      <w:r>
        <w:rPr>
          <w:spacing w:val="-7"/>
          <w:sz w:val="21"/>
        </w:rPr>
        <w:t>范围内对获得不当得利的当事人享有要求交付不当得利的权利；如果获得不当得利的当事人</w:t>
      </w:r>
      <w:r>
        <w:rPr>
          <w:spacing w:val="-11"/>
          <w:sz w:val="21"/>
        </w:rPr>
        <w:t>已经将此部分不当得利返还给受损方，则受损方应当将其已经获得的赔偿额加上已经获得的</w:t>
      </w:r>
      <w:r>
        <w:rPr>
          <w:spacing w:val="-6"/>
          <w:sz w:val="21"/>
        </w:rPr>
        <w:t>不当得利返还的总和超过其实际损失的差额部分支付给差错责任方。</w:t>
      </w:r>
    </w:p>
    <w:p>
      <w:pPr>
        <w:spacing w:after="0" w:line="364" w:lineRule="auto"/>
        <w:jc w:val="both"/>
        <w:rPr>
          <w:sz w:val="21"/>
        </w:rPr>
        <w:sectPr>
          <w:pgSz w:w="11910" w:h="16840"/>
          <w:pgMar w:header="877" w:footer="1195" w:top="1380" w:bottom="1380" w:left="1680" w:right="1480"/>
        </w:sectPr>
      </w:pPr>
    </w:p>
    <w:p>
      <w:pPr>
        <w:pStyle w:val="ListParagraph"/>
        <w:numPr>
          <w:ilvl w:val="0"/>
          <w:numId w:val="29"/>
        </w:numPr>
        <w:tabs>
          <w:tab w:pos="1070" w:val="left" w:leader="none"/>
        </w:tabs>
        <w:spacing w:line="240" w:lineRule="auto" w:before="61" w:after="0"/>
        <w:ind w:left="1069" w:right="0" w:hanging="530"/>
        <w:jc w:val="left"/>
        <w:rPr>
          <w:sz w:val="21"/>
        </w:rPr>
      </w:pPr>
      <w:r>
        <w:rPr>
          <w:spacing w:val="-3"/>
          <w:sz w:val="21"/>
        </w:rPr>
        <w:t>差错调整采用尽量恢复至假设未发生差错的正确情形的方式。</w:t>
      </w:r>
    </w:p>
    <w:p>
      <w:pPr>
        <w:pStyle w:val="ListParagraph"/>
        <w:numPr>
          <w:ilvl w:val="0"/>
          <w:numId w:val="29"/>
        </w:numPr>
        <w:tabs>
          <w:tab w:pos="1070" w:val="left" w:leader="none"/>
        </w:tabs>
        <w:spacing w:line="364" w:lineRule="auto" w:before="139" w:after="0"/>
        <w:ind w:left="120" w:right="311" w:firstLine="419"/>
        <w:jc w:val="both"/>
        <w:rPr>
          <w:sz w:val="21"/>
        </w:rPr>
      </w:pPr>
      <w:r>
        <w:rPr>
          <w:spacing w:val="-3"/>
          <w:sz w:val="21"/>
        </w:rPr>
        <w:t>差错责任方拒绝进行赔偿时，如果因基金管理人过错造成基金资产损失时，基金</w:t>
      </w:r>
      <w:r>
        <w:rPr>
          <w:spacing w:val="-8"/>
          <w:sz w:val="21"/>
        </w:rPr>
        <w:t>托管人应为基金的利益向基金管理人追偿，如果因基金托管人过错造成基金资产损失时，基</w:t>
      </w:r>
      <w:r>
        <w:rPr>
          <w:spacing w:val="-10"/>
          <w:sz w:val="21"/>
        </w:rPr>
        <w:t>金管理人应为基金的利益向基金托管人追偿。除基金管理人和托管人之外的第三方造成基金</w:t>
      </w:r>
      <w:r>
        <w:rPr>
          <w:spacing w:val="-5"/>
          <w:sz w:val="21"/>
        </w:rPr>
        <w:t>资产的损失，并拒绝进行赔偿时，由基金管理人负责向差错方追偿。</w:t>
      </w:r>
    </w:p>
    <w:p>
      <w:pPr>
        <w:pStyle w:val="ListParagraph"/>
        <w:numPr>
          <w:ilvl w:val="0"/>
          <w:numId w:val="29"/>
        </w:numPr>
        <w:tabs>
          <w:tab w:pos="1076" w:val="left" w:leader="none"/>
        </w:tabs>
        <w:spacing w:line="268" w:lineRule="exact" w:before="0" w:after="0"/>
        <w:ind w:left="1075" w:right="0" w:hanging="536"/>
        <w:jc w:val="left"/>
        <w:rPr>
          <w:sz w:val="21"/>
        </w:rPr>
      </w:pPr>
      <w:r>
        <w:rPr>
          <w:sz w:val="21"/>
        </w:rPr>
        <w:t>如果出现差错的当事人未按规定对受损方进行赔偿，并且依据法律、行政法规、</w:t>
      </w:r>
    </w:p>
    <w:p>
      <w:pPr>
        <w:pStyle w:val="BodyText"/>
        <w:spacing w:line="364" w:lineRule="auto" w:before="139"/>
        <w:ind w:right="311"/>
        <w:jc w:val="both"/>
      </w:pPr>
      <w:r>
        <w:rPr>
          <w:spacing w:val="-11"/>
        </w:rPr>
        <w:t>《基金合同》或其他规定，基金管理人自行或依据法院判决、仲裁裁决对受损方承担了赔偿</w:t>
      </w:r>
      <w:r>
        <w:rPr>
          <w:spacing w:val="-12"/>
        </w:rPr>
        <w:t>责任，则基金管理人有权向出现过错的当事人进行追索，并有权要求其赔偿或补偿由此发生</w:t>
      </w:r>
      <w:r>
        <w:rPr>
          <w:spacing w:val="-6"/>
        </w:rPr>
        <w:t>的费用和遭受的损失。</w:t>
      </w:r>
    </w:p>
    <w:p>
      <w:pPr>
        <w:pStyle w:val="ListParagraph"/>
        <w:numPr>
          <w:ilvl w:val="0"/>
          <w:numId w:val="29"/>
        </w:numPr>
        <w:tabs>
          <w:tab w:pos="1070" w:val="left" w:leader="none"/>
        </w:tabs>
        <w:spacing w:line="364" w:lineRule="auto" w:before="0" w:after="0"/>
        <w:ind w:left="540" w:right="4106" w:firstLine="0"/>
        <w:jc w:val="left"/>
        <w:rPr>
          <w:sz w:val="21"/>
        </w:rPr>
      </w:pPr>
      <w:r>
        <w:rPr>
          <w:spacing w:val="-4"/>
          <w:sz w:val="21"/>
        </w:rPr>
        <w:t>按法律法规规定的其他原则处理差错。</w:t>
      </w:r>
      <w:r>
        <w:rPr>
          <w:sz w:val="21"/>
        </w:rPr>
        <w:t>3</w:t>
      </w:r>
      <w:r>
        <w:rPr>
          <w:spacing w:val="-3"/>
          <w:sz w:val="21"/>
        </w:rPr>
        <w:t>、差错处理程序</w:t>
      </w:r>
    </w:p>
    <w:p>
      <w:pPr>
        <w:pStyle w:val="BodyText"/>
        <w:spacing w:line="267" w:lineRule="exact"/>
        <w:ind w:left="540"/>
      </w:pPr>
      <w:r>
        <w:rPr/>
        <w:t>差错被发现后，有关的当事人应当及时进行处理，处理的程序如下：</w:t>
      </w:r>
    </w:p>
    <w:p>
      <w:pPr>
        <w:pStyle w:val="ListParagraph"/>
        <w:numPr>
          <w:ilvl w:val="0"/>
          <w:numId w:val="30"/>
        </w:numPr>
        <w:tabs>
          <w:tab w:pos="1070" w:val="left" w:leader="none"/>
        </w:tabs>
        <w:spacing w:line="364" w:lineRule="auto" w:before="141" w:after="0"/>
        <w:ind w:left="120" w:right="314" w:firstLine="419"/>
        <w:jc w:val="left"/>
        <w:rPr>
          <w:sz w:val="21"/>
        </w:rPr>
      </w:pPr>
      <w:r>
        <w:rPr>
          <w:spacing w:val="-3"/>
          <w:sz w:val="21"/>
        </w:rPr>
        <w:t>查明差错发生的原因，列明所有的当事人，并根据差错发生的原因确定差错的责任方；</w:t>
      </w:r>
    </w:p>
    <w:p>
      <w:pPr>
        <w:pStyle w:val="ListParagraph"/>
        <w:numPr>
          <w:ilvl w:val="0"/>
          <w:numId w:val="30"/>
        </w:numPr>
        <w:tabs>
          <w:tab w:pos="1070" w:val="left" w:leader="none"/>
        </w:tabs>
        <w:spacing w:line="267" w:lineRule="exact" w:before="0" w:after="0"/>
        <w:ind w:left="1069" w:right="0" w:hanging="530"/>
        <w:jc w:val="left"/>
        <w:rPr>
          <w:sz w:val="21"/>
        </w:rPr>
      </w:pPr>
      <w:r>
        <w:rPr>
          <w:spacing w:val="-3"/>
          <w:sz w:val="21"/>
        </w:rPr>
        <w:t>根据差错处理原则或当事人协商的方法对因差错造成的损失进行评估；</w:t>
      </w:r>
    </w:p>
    <w:p>
      <w:pPr>
        <w:pStyle w:val="ListParagraph"/>
        <w:numPr>
          <w:ilvl w:val="0"/>
          <w:numId w:val="30"/>
        </w:numPr>
        <w:tabs>
          <w:tab w:pos="1070" w:val="left" w:leader="none"/>
        </w:tabs>
        <w:spacing w:line="240" w:lineRule="auto" w:before="139" w:after="0"/>
        <w:ind w:left="1069" w:right="0" w:hanging="530"/>
        <w:jc w:val="left"/>
        <w:rPr>
          <w:sz w:val="21"/>
        </w:rPr>
      </w:pPr>
      <w:r>
        <w:rPr>
          <w:spacing w:val="-3"/>
          <w:sz w:val="21"/>
        </w:rPr>
        <w:t>根据差错处理原则或当事人协商的方法由差错的责任方进行更正和赔偿损失；</w:t>
      </w:r>
    </w:p>
    <w:p>
      <w:pPr>
        <w:pStyle w:val="ListParagraph"/>
        <w:numPr>
          <w:ilvl w:val="0"/>
          <w:numId w:val="30"/>
        </w:numPr>
        <w:tabs>
          <w:tab w:pos="1070" w:val="left" w:leader="none"/>
        </w:tabs>
        <w:spacing w:line="367" w:lineRule="auto" w:before="140" w:after="0"/>
        <w:ind w:left="120" w:right="314" w:firstLine="419"/>
        <w:jc w:val="left"/>
        <w:rPr>
          <w:sz w:val="21"/>
        </w:rPr>
      </w:pPr>
      <w:r>
        <w:rPr>
          <w:spacing w:val="-3"/>
          <w:sz w:val="21"/>
        </w:rPr>
        <w:t>根据差错处理的方法，需要修改基金注册登记人的交易数据的，由基金注册登记人进行更正，并就差错的更正向有关当事人进行确认；</w:t>
      </w:r>
    </w:p>
    <w:p>
      <w:pPr>
        <w:pStyle w:val="ListParagraph"/>
        <w:numPr>
          <w:ilvl w:val="0"/>
          <w:numId w:val="30"/>
        </w:numPr>
        <w:tabs>
          <w:tab w:pos="1070" w:val="left" w:leader="none"/>
        </w:tabs>
        <w:spacing w:line="364" w:lineRule="auto" w:before="0" w:after="0"/>
        <w:ind w:left="120" w:right="311" w:firstLine="419"/>
        <w:jc w:val="both"/>
        <w:rPr>
          <w:sz w:val="21"/>
        </w:rPr>
      </w:pPr>
      <w:r>
        <w:rPr>
          <w:spacing w:val="-2"/>
          <w:sz w:val="21"/>
        </w:rPr>
        <w:t>基金管理人及基金托管人基金份额净值计算错误偏差达到基金资产净值的 </w:t>
      </w:r>
      <w:r>
        <w:rPr>
          <w:sz w:val="21"/>
        </w:rPr>
        <w:t>0.25% </w:t>
      </w:r>
      <w:r>
        <w:rPr>
          <w:spacing w:val="-11"/>
          <w:sz w:val="21"/>
        </w:rPr>
        <w:t>时，基金管理人应当报告中国证监会；基金管理人及基金托管人基金份额净值计算错误偏差达到基金份额净值的 </w:t>
      </w:r>
      <w:r>
        <w:rPr>
          <w:sz w:val="21"/>
        </w:rPr>
        <w:t>0.5</w:t>
      </w:r>
      <w:r>
        <w:rPr>
          <w:spacing w:val="-3"/>
          <w:sz w:val="21"/>
        </w:rPr>
        <w:t>%时，基金管理人应当公告并报中国证监会备案。</w:t>
      </w:r>
    </w:p>
    <w:p>
      <w:pPr>
        <w:pStyle w:val="BodyText"/>
        <w:ind w:left="0"/>
        <w:rPr>
          <w:sz w:val="20"/>
        </w:rPr>
      </w:pPr>
    </w:p>
    <w:p>
      <w:pPr>
        <w:pStyle w:val="BodyText"/>
        <w:spacing w:before="146"/>
        <w:ind w:left="540"/>
      </w:pPr>
      <w:r>
        <w:rPr/>
        <w:t>七、暂停估值的情形</w:t>
      </w:r>
    </w:p>
    <w:p>
      <w:pPr>
        <w:pStyle w:val="BodyText"/>
        <w:spacing w:before="139"/>
        <w:ind w:left="540"/>
      </w:pPr>
      <w:r>
        <w:rPr/>
        <w:t>1、与本基金投资有关的证券交易场所遇法定节假日或因其他原因暂停营业时；</w:t>
      </w:r>
    </w:p>
    <w:p>
      <w:pPr>
        <w:pStyle w:val="BodyText"/>
        <w:spacing w:before="140"/>
        <w:ind w:left="540"/>
      </w:pPr>
      <w:r>
        <w:rPr/>
        <w:t>2、因不可抗力或其他情形致使基金管理人无法准确评估基金资产价值时；</w:t>
      </w:r>
    </w:p>
    <w:p>
      <w:pPr>
        <w:pStyle w:val="BodyText"/>
        <w:spacing w:line="367" w:lineRule="auto" w:before="138"/>
        <w:ind w:right="313" w:firstLine="419"/>
      </w:pPr>
      <w:r>
        <w:rPr/>
        <w:t>3、前一估值日基金资产净值 50%以上的资产出现无可参考的活跃市场价格且采用估值技术仍导致公允价值存在重大不确定时，经与基金托管人协商确认后，应当暂停估值；</w:t>
      </w:r>
    </w:p>
    <w:p>
      <w:pPr>
        <w:pStyle w:val="BodyText"/>
        <w:spacing w:line="264" w:lineRule="exact"/>
        <w:ind w:left="540"/>
      </w:pPr>
      <w:r>
        <w:rPr/>
        <w:t>4、中国证监会认定的其他情形。</w:t>
      </w:r>
    </w:p>
    <w:p>
      <w:pPr>
        <w:pStyle w:val="BodyText"/>
        <w:ind w:left="0"/>
        <w:rPr>
          <w:sz w:val="20"/>
        </w:rPr>
      </w:pPr>
    </w:p>
    <w:p>
      <w:pPr>
        <w:pStyle w:val="BodyText"/>
        <w:spacing w:before="9"/>
        <w:ind w:left="0"/>
        <w:rPr>
          <w:sz w:val="22"/>
        </w:rPr>
      </w:pPr>
    </w:p>
    <w:p>
      <w:pPr>
        <w:pStyle w:val="BodyText"/>
        <w:ind w:left="540"/>
      </w:pPr>
      <w:r>
        <w:rPr/>
        <w:t>八、特殊情形的处理</w:t>
      </w:r>
    </w:p>
    <w:p>
      <w:pPr>
        <w:pStyle w:val="BodyText"/>
        <w:spacing w:line="367" w:lineRule="auto" w:before="139"/>
        <w:ind w:right="313" w:firstLine="419"/>
      </w:pPr>
      <w:r>
        <w:rPr/>
        <w:t>1</w:t>
      </w:r>
      <w:r>
        <w:rPr>
          <w:spacing w:val="-5"/>
        </w:rPr>
        <w:t>、基金管理人按估值方法的第 </w:t>
      </w:r>
      <w:r>
        <w:rPr/>
        <w:t>6</w:t>
      </w:r>
      <w:r>
        <w:rPr>
          <w:spacing w:val="-7"/>
        </w:rPr>
        <w:t> 项进行估值时，所造成的误差不作为基金资产估值错</w:t>
      </w:r>
      <w:r>
        <w:rPr>
          <w:spacing w:val="-5"/>
        </w:rPr>
        <w:t>误处理；</w:t>
      </w:r>
    </w:p>
    <w:p>
      <w:pPr>
        <w:pStyle w:val="BodyText"/>
        <w:spacing w:line="364" w:lineRule="auto"/>
        <w:ind w:right="311" w:firstLine="419"/>
      </w:pPr>
      <w:r>
        <w:rPr/>
        <w:t>2</w:t>
      </w:r>
      <w:r>
        <w:rPr>
          <w:spacing w:val="-3"/>
        </w:rPr>
        <w:t>、由于证券交易所及其登记结算公司发送的数据错误，或由于其他不可抗力原因，基</w:t>
      </w:r>
      <w:r>
        <w:rPr>
          <w:spacing w:val="-8"/>
        </w:rPr>
        <w:t>金管理人和基金托管人虽然已经采取必要、适当、合理的措施进行检查，但是未能发现该错</w:t>
      </w:r>
    </w:p>
    <w:p>
      <w:pPr>
        <w:spacing w:after="0" w:line="364" w:lineRule="auto"/>
        <w:sectPr>
          <w:pgSz w:w="11910" w:h="16840"/>
          <w:pgMar w:header="877" w:footer="1195" w:top="1380" w:bottom="1380" w:left="1680" w:right="1480"/>
        </w:sectPr>
      </w:pPr>
    </w:p>
    <w:p>
      <w:pPr>
        <w:pStyle w:val="BodyText"/>
        <w:spacing w:line="364" w:lineRule="auto" w:before="61"/>
        <w:ind w:right="311"/>
      </w:pPr>
      <w:r>
        <w:rPr>
          <w:spacing w:val="-10"/>
        </w:rPr>
        <w:t>误的，由此造成的基金资产估值错误，基金管理人和基金托管人可以免除赔偿责任。但基金</w:t>
      </w:r>
      <w:r>
        <w:rPr>
          <w:spacing w:val="-5"/>
        </w:rPr>
        <w:t>管理人、基金托管人应当积极采取必要的措施消除由此造成的影响。</w:t>
      </w:r>
    </w:p>
    <w:p>
      <w:pPr>
        <w:pStyle w:val="BodyText"/>
        <w:ind w:left="0"/>
        <w:rPr>
          <w:sz w:val="20"/>
        </w:rPr>
      </w:pPr>
    </w:p>
    <w:p>
      <w:pPr>
        <w:pStyle w:val="BodyText"/>
        <w:spacing w:before="8"/>
        <w:ind w:left="0"/>
        <w:rPr>
          <w:sz w:val="22"/>
        </w:rPr>
      </w:pPr>
    </w:p>
    <w:p>
      <w:pPr>
        <w:spacing w:before="0"/>
        <w:ind w:left="1712" w:right="1273" w:firstLine="0"/>
        <w:jc w:val="center"/>
        <w:rPr>
          <w:rFonts w:ascii="黑体" w:eastAsia="黑体" w:hint="eastAsia"/>
          <w:sz w:val="32"/>
        </w:rPr>
      </w:pPr>
      <w:bookmarkStart w:name="_bookmark13" w:id="14"/>
      <w:bookmarkEnd w:id="14"/>
      <w:r>
        <w:rPr/>
      </w:r>
      <w:r>
        <w:rPr>
          <w:rFonts w:ascii="黑体" w:eastAsia="黑体" w:hint="eastAsia"/>
          <w:sz w:val="32"/>
        </w:rPr>
        <w:t>十四、基金费用与税收</w:t>
      </w:r>
    </w:p>
    <w:p>
      <w:pPr>
        <w:pStyle w:val="BodyText"/>
        <w:spacing w:before="8"/>
        <w:ind w:left="0"/>
        <w:rPr>
          <w:rFonts w:ascii="黑体"/>
          <w:sz w:val="28"/>
        </w:rPr>
      </w:pPr>
    </w:p>
    <w:p>
      <w:pPr>
        <w:pStyle w:val="BodyText"/>
        <w:ind w:left="540"/>
      </w:pPr>
      <w:r>
        <w:rPr/>
        <w:t>一、基金费用的种类</w:t>
      </w:r>
    </w:p>
    <w:p>
      <w:pPr>
        <w:pStyle w:val="BodyText"/>
        <w:spacing w:before="139"/>
        <w:ind w:left="540"/>
      </w:pPr>
      <w:r>
        <w:rPr/>
        <w:t>1</w:t>
      </w:r>
      <w:r>
        <w:rPr>
          <w:spacing w:val="-3"/>
        </w:rPr>
        <w:t>、基金管理人的管理费；</w:t>
      </w:r>
    </w:p>
    <w:p>
      <w:pPr>
        <w:pStyle w:val="BodyText"/>
        <w:spacing w:before="139"/>
        <w:ind w:left="540"/>
      </w:pPr>
      <w:r>
        <w:rPr/>
        <w:t>2</w:t>
      </w:r>
      <w:r>
        <w:rPr>
          <w:spacing w:val="-3"/>
        </w:rPr>
        <w:t>、基金托管人的托管费；</w:t>
      </w:r>
    </w:p>
    <w:p>
      <w:pPr>
        <w:pStyle w:val="BodyText"/>
        <w:spacing w:before="142"/>
        <w:ind w:left="540"/>
      </w:pPr>
      <w:r>
        <w:rPr/>
        <w:t>3、销售服务费；</w:t>
      </w:r>
    </w:p>
    <w:p>
      <w:pPr>
        <w:pStyle w:val="BodyText"/>
        <w:spacing w:before="139"/>
        <w:ind w:left="540"/>
      </w:pPr>
      <w:r>
        <w:rPr/>
        <w:t>4、基金合同生效后与基金相关的信息披露费用；</w:t>
      </w:r>
    </w:p>
    <w:p>
      <w:pPr>
        <w:pStyle w:val="BodyText"/>
        <w:spacing w:before="139"/>
        <w:ind w:left="540"/>
      </w:pPr>
      <w:r>
        <w:rPr/>
        <w:t>5、基金合同生效后与基金相关的会计师费和律师费；</w:t>
      </w:r>
    </w:p>
    <w:p>
      <w:pPr>
        <w:pStyle w:val="BodyText"/>
        <w:spacing w:before="139"/>
        <w:ind w:left="540"/>
      </w:pPr>
      <w:r>
        <w:rPr/>
        <w:t>6、基金份额持有人大会费用；</w:t>
      </w:r>
    </w:p>
    <w:p>
      <w:pPr>
        <w:pStyle w:val="BodyText"/>
        <w:spacing w:before="139"/>
        <w:ind w:left="540"/>
      </w:pPr>
      <w:r>
        <w:rPr/>
        <w:t>7、基金的证券交易费用；</w:t>
      </w:r>
    </w:p>
    <w:p>
      <w:pPr>
        <w:pStyle w:val="BodyText"/>
        <w:spacing w:before="141"/>
        <w:ind w:left="540"/>
      </w:pPr>
      <w:r>
        <w:rPr/>
        <w:t>8、银行汇划费用；</w:t>
      </w:r>
    </w:p>
    <w:p>
      <w:pPr>
        <w:pStyle w:val="BodyText"/>
        <w:spacing w:line="364" w:lineRule="auto" w:before="139"/>
        <w:ind w:left="540" w:right="743"/>
      </w:pPr>
      <w:r>
        <w:rPr/>
        <w:t>9、按照国家有关规定和《基金合同》约定，可以在基金财产中列支的其他费用。本基金终止清算时所发生费用，按实际支出额从基金财产总值中扣除。</w:t>
      </w:r>
    </w:p>
    <w:p>
      <w:pPr>
        <w:pStyle w:val="BodyText"/>
        <w:ind w:left="0"/>
        <w:rPr>
          <w:sz w:val="20"/>
        </w:rPr>
      </w:pPr>
    </w:p>
    <w:p>
      <w:pPr>
        <w:pStyle w:val="BodyText"/>
        <w:spacing w:line="367" w:lineRule="auto" w:before="150"/>
        <w:ind w:left="540" w:right="3998"/>
      </w:pPr>
      <w:r>
        <w:rPr/>
        <w:t>二、基金费用计提方法、计提标准和支付方式1、基金管理人的管理费</w:t>
      </w:r>
    </w:p>
    <w:p>
      <w:pPr>
        <w:pStyle w:val="BodyText"/>
        <w:spacing w:line="364" w:lineRule="auto"/>
        <w:ind w:left="540" w:right="323"/>
      </w:pPr>
      <w:r>
        <w:rPr/>
        <w:t>本基金的管理费按前一日基金资产净值的 1.5%年费率计提。管理费的计算方法如下： H＝E×1.5%÷当年天数</w:t>
      </w:r>
    </w:p>
    <w:p>
      <w:pPr>
        <w:pStyle w:val="BodyText"/>
        <w:spacing w:line="367" w:lineRule="auto"/>
        <w:ind w:left="540" w:right="5470"/>
      </w:pPr>
      <w:r>
        <w:rPr/>
        <w:t>H 为每日应计提的基金管理费E 为前一日的基金资产净值</w:t>
      </w:r>
    </w:p>
    <w:p>
      <w:pPr>
        <w:pStyle w:val="BodyText"/>
        <w:spacing w:line="364" w:lineRule="auto"/>
        <w:ind w:right="311" w:firstLine="419"/>
        <w:jc w:val="both"/>
      </w:pPr>
      <w:r>
        <w:rPr>
          <w:spacing w:val="-9"/>
        </w:rPr>
        <w:t>基金管理费每日计算，逐日累计至每月月末，按月支付，由基金管理人向基金托管人发</w:t>
      </w:r>
      <w:r>
        <w:rPr>
          <w:spacing w:val="-4"/>
        </w:rPr>
        <w:t>送基金管理费划款指令，基金托管人复核后于次月前 </w:t>
      </w:r>
      <w:r>
        <w:rPr/>
        <w:t>2</w:t>
      </w:r>
      <w:r>
        <w:rPr>
          <w:spacing w:val="-2"/>
        </w:rPr>
        <w:t> 个工作日内从基金财产中一次性支</w:t>
      </w:r>
      <w:r>
        <w:rPr>
          <w:spacing w:val="-3"/>
        </w:rPr>
        <w:t>付给基金管理人。若遇法定节假日、公休假等,支付日期顺延。</w:t>
      </w:r>
    </w:p>
    <w:p>
      <w:pPr>
        <w:pStyle w:val="BodyText"/>
        <w:spacing w:line="267" w:lineRule="exact"/>
        <w:ind w:left="540"/>
      </w:pPr>
      <w:r>
        <w:rPr/>
        <w:t>2</w:t>
      </w:r>
      <w:r>
        <w:rPr>
          <w:spacing w:val="-3"/>
        </w:rPr>
        <w:t>、基金托管人的托管费</w:t>
      </w:r>
    </w:p>
    <w:p>
      <w:pPr>
        <w:pStyle w:val="BodyText"/>
        <w:spacing w:line="364" w:lineRule="auto" w:before="130"/>
        <w:ind w:left="540" w:right="104"/>
      </w:pPr>
      <w:r>
        <w:rPr>
          <w:spacing w:val="-1"/>
        </w:rPr>
        <w:t>本基金的托管费按前一日基金资产净值的 </w:t>
      </w:r>
      <w:r>
        <w:rPr/>
        <w:t>2.5</w:t>
      </w:r>
      <w:r>
        <w:rPr>
          <w:spacing w:val="-12"/>
        </w:rPr>
        <w:t>‰的年费率计提。托管费的计算方法如下： H＝E×2.5</w:t>
      </w:r>
      <w:r>
        <w:rPr>
          <w:spacing w:val="-7"/>
        </w:rPr>
        <w:t>‰÷当年天数</w:t>
      </w:r>
    </w:p>
    <w:p>
      <w:pPr>
        <w:pStyle w:val="BodyText"/>
        <w:spacing w:line="364" w:lineRule="auto"/>
        <w:ind w:left="540" w:right="5470"/>
      </w:pPr>
      <w:r>
        <w:rPr/>
        <w:t>H 为每日应计提的基金托管费E 为前一日的基金资产净值</w:t>
      </w:r>
    </w:p>
    <w:p>
      <w:pPr>
        <w:pStyle w:val="BodyText"/>
        <w:spacing w:line="364" w:lineRule="auto"/>
        <w:ind w:right="311" w:firstLine="419"/>
        <w:jc w:val="both"/>
      </w:pPr>
      <w:r>
        <w:rPr>
          <w:spacing w:val="-9"/>
        </w:rPr>
        <w:t>基金托管费每日计算，逐日累计至每月月末，按月支付，由基金管理人向基金托管人发</w:t>
      </w:r>
      <w:r>
        <w:rPr>
          <w:spacing w:val="-4"/>
        </w:rPr>
        <w:t>送基金托管费划款指令，基金托管人复核后于次月前 </w:t>
      </w:r>
      <w:r>
        <w:rPr/>
        <w:t>2</w:t>
      </w:r>
      <w:r>
        <w:rPr>
          <w:spacing w:val="-2"/>
        </w:rPr>
        <w:t> 个工作日内从基金财产中一次性支</w:t>
      </w:r>
      <w:r>
        <w:rPr>
          <w:spacing w:val="-3"/>
        </w:rPr>
        <w:t>取。若遇法定节假日、公休日等,支付日期顺延。</w:t>
      </w:r>
    </w:p>
    <w:p>
      <w:pPr>
        <w:spacing w:after="0" w:line="364" w:lineRule="auto"/>
        <w:jc w:val="both"/>
        <w:sectPr>
          <w:pgSz w:w="11910" w:h="16840"/>
          <w:pgMar w:header="877" w:footer="1195" w:top="1380" w:bottom="1380" w:left="1680" w:right="1480"/>
        </w:sectPr>
      </w:pPr>
    </w:p>
    <w:p>
      <w:pPr>
        <w:pStyle w:val="BodyText"/>
        <w:spacing w:before="61"/>
        <w:ind w:left="540"/>
      </w:pPr>
      <w:r>
        <w:rPr/>
        <w:t>3、销售服务费</w:t>
      </w:r>
    </w:p>
    <w:p>
      <w:pPr>
        <w:pStyle w:val="BodyText"/>
        <w:spacing w:line="364" w:lineRule="auto" w:before="139"/>
        <w:ind w:right="311" w:firstLine="419"/>
        <w:jc w:val="both"/>
      </w:pPr>
      <w:r>
        <w:rPr>
          <w:spacing w:val="-6"/>
        </w:rPr>
        <w:t>销售服务费是指基金管理人根据基金合同的约定及届时有效的相关法律法规的规定，从</w:t>
      </w:r>
      <w:r>
        <w:rPr>
          <w:spacing w:val="-9"/>
        </w:rPr>
        <w:t>开放式基金财产中计提的一定比例的费用，用于支付销售机构佣金、基金的营销费用以及基</w:t>
      </w:r>
      <w:r>
        <w:rPr>
          <w:spacing w:val="-5"/>
        </w:rPr>
        <w:t>金份额持有人服务费等。</w:t>
      </w:r>
    </w:p>
    <w:p>
      <w:pPr>
        <w:pStyle w:val="BodyText"/>
        <w:spacing w:line="364" w:lineRule="auto"/>
        <w:ind w:right="311" w:firstLine="419"/>
        <w:jc w:val="both"/>
      </w:pPr>
      <w:r>
        <w:rPr>
          <w:spacing w:val="-10"/>
        </w:rPr>
        <w:t>基金管理人可以选取适当的时机</w:t>
      </w:r>
      <w:r>
        <w:rPr>
          <w:spacing w:val="-3"/>
        </w:rPr>
        <w:t>（但应于中国证监会发布有关收取开放式证券投资基金销售费用的规定后</w:t>
      </w:r>
      <w:r>
        <w:rPr>
          <w:spacing w:val="-27"/>
        </w:rPr>
        <w:t>）</w:t>
      </w:r>
      <w:r>
        <w:rPr>
          <w:spacing w:val="-9"/>
        </w:rPr>
        <w:t>开始计提销售服务费，但应当依照《信息披露办法》的有关规定在指定</w:t>
      </w:r>
      <w:r>
        <w:rPr>
          <w:spacing w:val="-5"/>
        </w:rPr>
        <w:t>媒介公告。 公告中应规定计提销售服务费的条件、程序、用途和费率标准。</w:t>
      </w:r>
    </w:p>
    <w:p>
      <w:pPr>
        <w:pStyle w:val="BodyText"/>
        <w:spacing w:line="364" w:lineRule="auto"/>
        <w:ind w:right="314" w:firstLine="419"/>
      </w:pPr>
      <w:r>
        <w:rPr/>
        <w:t>基金管理人依据本基金合同及届时有效的有关法律法规公告收取基金销售服务费或酌情降低基金销售服务费的，无须召开基金份额持有人大会。</w:t>
      </w:r>
    </w:p>
    <w:p>
      <w:pPr>
        <w:pStyle w:val="BodyText"/>
        <w:spacing w:line="364" w:lineRule="auto"/>
        <w:ind w:right="311" w:firstLine="419"/>
      </w:pPr>
      <w:r>
        <w:rPr>
          <w:spacing w:val="-6"/>
        </w:rPr>
        <w:t>上述一、基金费用的种类中第 </w:t>
      </w:r>
      <w:r>
        <w:rPr/>
        <w:t>3－8</w:t>
      </w:r>
      <w:r>
        <w:rPr>
          <w:spacing w:val="-7"/>
        </w:rPr>
        <w:t> 项费用，根据有关法规及相应协议规定，按费用实</w:t>
      </w:r>
      <w:r>
        <w:rPr>
          <w:spacing w:val="-5"/>
        </w:rPr>
        <w:t>际支出金额列入当期费用，由基金托管人从基金财产中支付。</w:t>
      </w:r>
    </w:p>
    <w:p>
      <w:pPr>
        <w:pStyle w:val="BodyText"/>
        <w:ind w:left="0"/>
        <w:rPr>
          <w:sz w:val="20"/>
        </w:rPr>
      </w:pPr>
    </w:p>
    <w:p>
      <w:pPr>
        <w:pStyle w:val="BodyText"/>
        <w:spacing w:line="364" w:lineRule="auto" w:before="150"/>
        <w:ind w:left="540" w:right="5681"/>
      </w:pPr>
      <w:r>
        <w:rPr/>
        <w:t>三、不列入基金费用的项目下列费用不列入基金费用：</w:t>
      </w:r>
    </w:p>
    <w:p>
      <w:pPr>
        <w:pStyle w:val="BodyText"/>
        <w:spacing w:line="364" w:lineRule="auto"/>
        <w:ind w:right="314" w:firstLine="419"/>
      </w:pPr>
      <w:r>
        <w:rPr/>
        <w:t>1、基金管理人和基金托管人因未履行或未完全履行义务导致的费用支出或基金财产的损失；</w:t>
      </w:r>
    </w:p>
    <w:p>
      <w:pPr>
        <w:pStyle w:val="BodyText"/>
        <w:spacing w:line="268" w:lineRule="exact"/>
        <w:ind w:left="540"/>
      </w:pPr>
      <w:r>
        <w:rPr/>
        <w:t>2、基金管理人和基金托管人处理与基金运作无关的事项发生的费用；</w:t>
      </w:r>
    </w:p>
    <w:p>
      <w:pPr>
        <w:pStyle w:val="BodyText"/>
        <w:spacing w:line="364" w:lineRule="auto" w:before="139"/>
        <w:ind w:right="314" w:firstLine="419"/>
      </w:pPr>
      <w:r>
        <w:rPr/>
        <w:t>3、基金合同生效前的相关费用，包括但不限于验资费、会计师和律师费、信息披露费用等费用；</w:t>
      </w:r>
    </w:p>
    <w:p>
      <w:pPr>
        <w:pStyle w:val="BodyText"/>
        <w:spacing w:line="267" w:lineRule="exact"/>
        <w:ind w:left="540"/>
      </w:pPr>
      <w:r>
        <w:rPr/>
        <w:t>4、其他根据相关法律法规及中国证监会的有关规定不得列入基金费用的项目。</w:t>
      </w:r>
    </w:p>
    <w:p>
      <w:pPr>
        <w:pStyle w:val="BodyText"/>
        <w:ind w:left="0"/>
        <w:rPr>
          <w:sz w:val="20"/>
        </w:rPr>
      </w:pPr>
    </w:p>
    <w:p>
      <w:pPr>
        <w:pStyle w:val="BodyText"/>
        <w:spacing w:before="11"/>
        <w:ind w:left="0"/>
        <w:rPr>
          <w:sz w:val="22"/>
        </w:rPr>
      </w:pPr>
    </w:p>
    <w:p>
      <w:pPr>
        <w:pStyle w:val="BodyText"/>
        <w:spacing w:before="1"/>
        <w:ind w:left="540"/>
      </w:pPr>
      <w:r>
        <w:rPr/>
        <w:t>四、费用调整</w:t>
      </w:r>
    </w:p>
    <w:p>
      <w:pPr>
        <w:pStyle w:val="BodyText"/>
        <w:spacing w:line="364" w:lineRule="auto" w:before="138"/>
        <w:ind w:right="311" w:firstLine="419"/>
        <w:jc w:val="both"/>
      </w:pPr>
      <w:r>
        <w:rPr>
          <w:spacing w:val="-9"/>
        </w:rPr>
        <w:t>基金管理人和基金托管人协商一致后，可根据基金发展情况酎情降低基金管理费率或基</w:t>
      </w:r>
      <w:r>
        <w:rPr>
          <w:spacing w:val="-11"/>
        </w:rPr>
        <w:t>金托管费率，无须召开基金份额持有人大会。基金管理人应当依照《信息披露办法》的有关</w:t>
      </w:r>
      <w:r>
        <w:rPr>
          <w:spacing w:val="-6"/>
        </w:rPr>
        <w:t>规定在指定媒介公告。</w:t>
      </w:r>
    </w:p>
    <w:p>
      <w:pPr>
        <w:pStyle w:val="BodyText"/>
        <w:ind w:left="0"/>
        <w:rPr>
          <w:sz w:val="20"/>
        </w:rPr>
      </w:pPr>
    </w:p>
    <w:p>
      <w:pPr>
        <w:pStyle w:val="BodyText"/>
        <w:spacing w:before="152"/>
        <w:ind w:left="540"/>
      </w:pPr>
      <w:r>
        <w:rPr/>
        <w:t>五、基金税收</w:t>
      </w:r>
    </w:p>
    <w:p>
      <w:pPr>
        <w:pStyle w:val="BodyText"/>
        <w:spacing w:before="139"/>
        <w:ind w:left="540"/>
      </w:pPr>
      <w:r>
        <w:rPr/>
        <w:t>本基金运作过程中涉及的各纳税主体，其纳税义务按国家税收法律、法规执行。</w:t>
      </w:r>
    </w:p>
    <w:p>
      <w:pPr>
        <w:pStyle w:val="BodyText"/>
        <w:ind w:left="0"/>
        <w:rPr>
          <w:sz w:val="20"/>
        </w:rPr>
      </w:pPr>
    </w:p>
    <w:p>
      <w:pPr>
        <w:pStyle w:val="BodyText"/>
        <w:ind w:left="0"/>
        <w:rPr>
          <w:sz w:val="20"/>
        </w:rPr>
      </w:pPr>
    </w:p>
    <w:p>
      <w:pPr>
        <w:pStyle w:val="Heading1"/>
        <w:spacing w:before="170"/>
        <w:ind w:left="1675"/>
      </w:pPr>
      <w:bookmarkStart w:name="_bookmark14" w:id="15"/>
      <w:bookmarkEnd w:id="15"/>
      <w:r>
        <w:rPr/>
      </w:r>
      <w:r>
        <w:rPr/>
        <w:t>十五、基金的收益与分配</w:t>
      </w:r>
    </w:p>
    <w:p>
      <w:pPr>
        <w:pStyle w:val="BodyText"/>
        <w:spacing w:before="10"/>
        <w:ind w:left="0"/>
        <w:rPr>
          <w:rFonts w:ascii="黑体"/>
          <w:sz w:val="27"/>
        </w:rPr>
      </w:pPr>
    </w:p>
    <w:p>
      <w:pPr>
        <w:pStyle w:val="BodyText"/>
        <w:ind w:left="540"/>
      </w:pPr>
      <w:r>
        <w:rPr/>
        <w:t>一、基金收益的构成</w:t>
      </w:r>
    </w:p>
    <w:p>
      <w:pPr>
        <w:pStyle w:val="BodyText"/>
        <w:spacing w:line="364" w:lineRule="auto" w:before="142"/>
        <w:ind w:right="208" w:firstLine="419"/>
      </w:pPr>
      <w:r>
        <w:rPr/>
        <w:t>基金收益包括：基金投资所得红利、股息、债券利息、票据投资收益、买卖证券差价、银行存款利息以及其他收入。因运用基金财产带来的成本或费用的节约计入收益。</w:t>
      </w:r>
    </w:p>
    <w:p>
      <w:pPr>
        <w:spacing w:after="0" w:line="364" w:lineRule="auto"/>
        <w:sectPr>
          <w:pgSz w:w="11910" w:h="16840"/>
          <w:pgMar w:header="877" w:footer="1195" w:top="1380" w:bottom="1380" w:left="1680" w:right="1480"/>
        </w:sectPr>
      </w:pPr>
    </w:p>
    <w:p>
      <w:pPr>
        <w:pStyle w:val="BodyText"/>
        <w:ind w:left="0"/>
        <w:rPr>
          <w:sz w:val="20"/>
        </w:rPr>
      </w:pPr>
    </w:p>
    <w:p>
      <w:pPr>
        <w:pStyle w:val="BodyText"/>
        <w:spacing w:before="8"/>
        <w:ind w:left="0"/>
        <w:rPr>
          <w:sz w:val="16"/>
        </w:rPr>
      </w:pPr>
    </w:p>
    <w:p>
      <w:pPr>
        <w:pStyle w:val="BodyText"/>
        <w:ind w:left="540"/>
      </w:pPr>
      <w:r>
        <w:rPr/>
        <w:t>二、基金净收益</w:t>
      </w:r>
    </w:p>
    <w:p>
      <w:pPr>
        <w:pStyle w:val="BodyText"/>
        <w:spacing w:before="139"/>
        <w:ind w:left="540"/>
      </w:pPr>
      <w:r>
        <w:rPr/>
        <w:t>基金净收益为基金收益扣除按照有关规定可以在基金收益中扣除的费用后的余额。</w:t>
      </w:r>
    </w:p>
    <w:p>
      <w:pPr>
        <w:pStyle w:val="BodyText"/>
        <w:ind w:left="0"/>
        <w:rPr>
          <w:sz w:val="20"/>
        </w:rPr>
      </w:pPr>
    </w:p>
    <w:p>
      <w:pPr>
        <w:pStyle w:val="BodyText"/>
        <w:spacing w:before="11"/>
        <w:ind w:left="0"/>
        <w:rPr>
          <w:sz w:val="22"/>
        </w:rPr>
      </w:pPr>
    </w:p>
    <w:p>
      <w:pPr>
        <w:pStyle w:val="BodyText"/>
        <w:ind w:left="540"/>
      </w:pPr>
      <w:r>
        <w:rPr/>
        <w:t>三、基金收益分配原则</w:t>
      </w:r>
    </w:p>
    <w:p>
      <w:pPr>
        <w:pStyle w:val="BodyText"/>
        <w:spacing w:line="364" w:lineRule="auto" w:before="139"/>
        <w:ind w:right="208" w:firstLine="419"/>
        <w:jc w:val="both"/>
      </w:pPr>
      <w:r>
        <w:rPr/>
        <w:t>1</w:t>
      </w:r>
      <w:r>
        <w:rPr>
          <w:spacing w:val="-9"/>
        </w:rPr>
        <w:t>、在符合有关基金分红条件的前提下，本基金每年收益分配次数最多为 </w:t>
      </w:r>
      <w:r>
        <w:rPr/>
        <w:t>6</w:t>
      </w:r>
      <w:r>
        <w:rPr>
          <w:spacing w:val="-5"/>
        </w:rPr>
        <w:t> 次，全年分</w:t>
      </w:r>
      <w:r>
        <w:rPr>
          <w:spacing w:val="-4"/>
          <w:w w:val="100"/>
        </w:rPr>
        <w:t>配比例不得低于年度可供分配收益的</w:t>
      </w:r>
      <w:r>
        <w:rPr>
          <w:spacing w:val="-4"/>
        </w:rPr>
        <w:t> </w:t>
      </w:r>
      <w:r>
        <w:rPr>
          <w:w w:val="100"/>
        </w:rPr>
        <w:t>50</w:t>
      </w:r>
      <w:r>
        <w:rPr>
          <w:spacing w:val="-12"/>
          <w:w w:val="100"/>
        </w:rPr>
        <w:t>%，若基金合同生效不满</w:t>
      </w:r>
      <w:r>
        <w:rPr>
          <w:spacing w:val="-12"/>
        </w:rPr>
        <w:t> </w:t>
      </w:r>
      <w:r>
        <w:rPr>
          <w:w w:val="100"/>
        </w:rPr>
        <w:t>3</w:t>
      </w:r>
      <w:r>
        <w:rPr/>
        <w:t> </w:t>
      </w:r>
      <w:r>
        <w:rPr>
          <w:spacing w:val="-3"/>
          <w:w w:val="100"/>
        </w:rPr>
        <w:t>个月可不进行收益分配；</w:t>
      </w:r>
    </w:p>
    <w:p>
      <w:pPr>
        <w:pStyle w:val="BodyText"/>
        <w:spacing w:line="364" w:lineRule="auto"/>
        <w:ind w:right="311" w:firstLine="419"/>
        <w:jc w:val="both"/>
      </w:pPr>
      <w:r>
        <w:rPr/>
        <w:t>2</w:t>
      </w:r>
      <w:r>
        <w:rPr>
          <w:spacing w:val="-3"/>
        </w:rPr>
        <w:t>、本基金收益分配方式分两种：现金分红与红利再投资，投资人可选择现金红利或将</w:t>
      </w:r>
      <w:r>
        <w:rPr>
          <w:spacing w:val="-7"/>
        </w:rPr>
        <w:t>现金红利按除权日的基金份额净值自动转为基金份额进行再投资；若投资者不选择，本基金</w:t>
      </w:r>
      <w:r>
        <w:rPr>
          <w:spacing w:val="-5"/>
        </w:rPr>
        <w:t>默认的收益分配方式是现金分红；</w:t>
      </w:r>
    </w:p>
    <w:p>
      <w:pPr>
        <w:pStyle w:val="BodyText"/>
        <w:spacing w:line="267" w:lineRule="exact"/>
        <w:ind w:left="540"/>
      </w:pPr>
      <w:r>
        <w:rPr/>
        <w:t>3、基金投资当期出现净亏损，则不进行收益分配；</w:t>
      </w:r>
    </w:p>
    <w:p>
      <w:pPr>
        <w:pStyle w:val="BodyText"/>
        <w:spacing w:before="139"/>
        <w:ind w:left="540"/>
      </w:pPr>
      <w:r>
        <w:rPr/>
        <w:t>4、基金当年收益应先弥补上一年度亏损后，才可进行当年收益分配；</w:t>
      </w:r>
    </w:p>
    <w:p>
      <w:pPr>
        <w:pStyle w:val="BodyText"/>
        <w:spacing w:before="142"/>
        <w:ind w:left="540"/>
      </w:pPr>
      <w:r>
        <w:rPr/>
        <w:t>5、基金收益分配后基金份额净值不能低于面值；</w:t>
      </w:r>
    </w:p>
    <w:p>
      <w:pPr>
        <w:pStyle w:val="BodyText"/>
        <w:spacing w:before="139"/>
        <w:ind w:left="540"/>
      </w:pPr>
      <w:r>
        <w:rPr/>
        <w:t>6、每一基金份额享有同等分配权；</w:t>
      </w:r>
    </w:p>
    <w:p>
      <w:pPr>
        <w:pStyle w:val="BodyText"/>
        <w:spacing w:before="139"/>
        <w:ind w:left="540"/>
      </w:pPr>
      <w:r>
        <w:rPr/>
        <w:t>7、法律法规或监管机关另有规定的，从其规定。</w:t>
      </w:r>
    </w:p>
    <w:p>
      <w:pPr>
        <w:pStyle w:val="BodyText"/>
        <w:ind w:left="0"/>
        <w:rPr>
          <w:sz w:val="20"/>
        </w:rPr>
      </w:pPr>
    </w:p>
    <w:p>
      <w:pPr>
        <w:pStyle w:val="BodyText"/>
        <w:spacing w:before="9"/>
        <w:ind w:left="0"/>
        <w:rPr>
          <w:sz w:val="22"/>
        </w:rPr>
      </w:pPr>
    </w:p>
    <w:p>
      <w:pPr>
        <w:pStyle w:val="BodyText"/>
        <w:ind w:left="540"/>
      </w:pPr>
      <w:r>
        <w:rPr>
          <w:spacing w:val="-3"/>
        </w:rPr>
        <w:t>四、收益分配方案</w:t>
      </w:r>
    </w:p>
    <w:p>
      <w:pPr>
        <w:pStyle w:val="BodyText"/>
        <w:spacing w:line="364" w:lineRule="auto" w:before="141"/>
        <w:ind w:right="311" w:firstLine="419"/>
      </w:pPr>
      <w:r>
        <w:rPr>
          <w:spacing w:val="-7"/>
        </w:rPr>
        <w:t>基金收益分配方案中应载明基金净收益、基金收益分配对象、分配时间、分配数额及比</w:t>
      </w:r>
      <w:r>
        <w:rPr>
          <w:spacing w:val="-5"/>
        </w:rPr>
        <w:t>例、分配方式等内容。</w:t>
      </w:r>
    </w:p>
    <w:p>
      <w:pPr>
        <w:pStyle w:val="BodyText"/>
        <w:ind w:left="0"/>
        <w:rPr>
          <w:sz w:val="20"/>
        </w:rPr>
      </w:pPr>
    </w:p>
    <w:p>
      <w:pPr>
        <w:pStyle w:val="BodyText"/>
        <w:spacing w:before="150"/>
        <w:ind w:left="540"/>
      </w:pPr>
      <w:r>
        <w:rPr/>
        <w:t>五、收益分配方案的确定、公告与实施</w:t>
      </w:r>
    </w:p>
    <w:p>
      <w:pPr>
        <w:pStyle w:val="BodyText"/>
        <w:spacing w:line="364" w:lineRule="auto" w:before="141"/>
        <w:ind w:right="208" w:firstLine="419"/>
      </w:pPr>
      <w:r>
        <w:rPr/>
        <w:t>本基金收益分配方案由基金管理人拟定，并由基金托管人复核，依照《信息披露办法》规定在指定媒介公告。</w:t>
      </w:r>
    </w:p>
    <w:p>
      <w:pPr>
        <w:pStyle w:val="BodyText"/>
        <w:ind w:left="0"/>
        <w:rPr>
          <w:sz w:val="20"/>
        </w:rPr>
      </w:pPr>
    </w:p>
    <w:p>
      <w:pPr>
        <w:pStyle w:val="BodyText"/>
        <w:spacing w:before="151"/>
        <w:ind w:left="540"/>
      </w:pPr>
      <w:r>
        <w:rPr/>
        <w:t>六、基金收益分配中发生的费用</w:t>
      </w:r>
    </w:p>
    <w:p>
      <w:pPr>
        <w:pStyle w:val="BodyText"/>
        <w:spacing w:line="364" w:lineRule="auto" w:before="139"/>
        <w:ind w:right="311" w:firstLine="419"/>
        <w:jc w:val="both"/>
      </w:pPr>
      <w:r>
        <w:rPr>
          <w:spacing w:val="-7"/>
        </w:rPr>
        <w:t>红利分配时所发生的银行转账或其他手续费用由投资者自行承担。当投资者的现金红利</w:t>
      </w:r>
      <w:r>
        <w:rPr>
          <w:spacing w:val="-12"/>
        </w:rPr>
        <w:t>小于一定金额，不足于支付银行转账或其他手续费用时，基金注册登记人可将投资者的现金</w:t>
      </w:r>
      <w:r>
        <w:rPr>
          <w:spacing w:val="-10"/>
        </w:rPr>
        <w:t>红利按权益登记日除权后的基金份额净值自动转为基金份额。红利再投资的计算方法，依照</w:t>
      </w:r>
      <w:r>
        <w:rPr>
          <w:spacing w:val="-5"/>
        </w:rPr>
        <w:t>景顺长城基金管理有限公司开放式基金有关业务规定执行。</w:t>
      </w:r>
    </w:p>
    <w:p>
      <w:pPr>
        <w:pStyle w:val="BodyText"/>
        <w:ind w:left="0"/>
        <w:rPr>
          <w:sz w:val="20"/>
        </w:rPr>
      </w:pPr>
    </w:p>
    <w:p>
      <w:pPr>
        <w:pStyle w:val="BodyText"/>
        <w:spacing w:before="3"/>
        <w:ind w:left="0"/>
        <w:rPr>
          <w:sz w:val="22"/>
        </w:rPr>
      </w:pPr>
    </w:p>
    <w:p>
      <w:pPr>
        <w:pStyle w:val="Heading1"/>
        <w:spacing w:before="1"/>
        <w:ind w:left="1675"/>
      </w:pPr>
      <w:bookmarkStart w:name="_bookmark15" w:id="16"/>
      <w:bookmarkEnd w:id="16"/>
      <w:r>
        <w:rPr/>
      </w:r>
      <w:r>
        <w:rPr/>
        <w:t>十六、基金的会计与审计</w:t>
      </w:r>
    </w:p>
    <w:p>
      <w:pPr>
        <w:pStyle w:val="BodyText"/>
        <w:ind w:left="0"/>
        <w:rPr>
          <w:rFonts w:ascii="黑体"/>
          <w:sz w:val="28"/>
        </w:rPr>
      </w:pPr>
    </w:p>
    <w:p>
      <w:pPr>
        <w:pStyle w:val="BodyText"/>
        <w:ind w:left="540"/>
      </w:pPr>
      <w:r>
        <w:rPr/>
        <w:t>一、基金会计政策</w:t>
      </w:r>
    </w:p>
    <w:p>
      <w:pPr>
        <w:pStyle w:val="BodyText"/>
        <w:spacing w:before="139"/>
        <w:ind w:left="540"/>
      </w:pPr>
      <w:r>
        <w:rPr/>
        <w:t>1、基金管理人为本基金的基金会计责任方；</w:t>
      </w:r>
    </w:p>
    <w:p>
      <w:pPr>
        <w:spacing w:after="0"/>
        <w:sectPr>
          <w:pgSz w:w="11910" w:h="16840"/>
          <w:pgMar w:header="877" w:footer="1195" w:top="1380" w:bottom="1380" w:left="1680" w:right="1480"/>
        </w:sectPr>
      </w:pPr>
    </w:p>
    <w:p>
      <w:pPr>
        <w:pStyle w:val="BodyText"/>
        <w:spacing w:before="61"/>
        <w:ind w:left="540"/>
      </w:pPr>
      <w:r>
        <w:rPr/>
        <w:t>2、基金的会计年度为公历年度的 1 月 1 日至 12 月 31 日；基金首次募集的会计年</w:t>
      </w:r>
    </w:p>
    <w:p>
      <w:pPr>
        <w:pStyle w:val="BodyText"/>
        <w:spacing w:line="364" w:lineRule="auto" w:before="139"/>
        <w:ind w:left="540" w:right="1575" w:hanging="420"/>
      </w:pPr>
      <w:r>
        <w:rPr/>
        <w:t>度按如下原则：如果基金合同生效少于 3 个月，可以并入下一个会计年度； 3、基金核算以人民币为记账本位币，以人民币元为记账单位；</w:t>
      </w:r>
    </w:p>
    <w:p>
      <w:pPr>
        <w:pStyle w:val="BodyText"/>
        <w:spacing w:before="1"/>
        <w:ind w:left="540"/>
      </w:pPr>
      <w:r>
        <w:rPr/>
        <w:t>4、会计制度执行国家有关会计制度；</w:t>
      </w:r>
    </w:p>
    <w:p>
      <w:pPr>
        <w:pStyle w:val="BodyText"/>
        <w:spacing w:before="139"/>
        <w:ind w:left="540"/>
      </w:pPr>
      <w:r>
        <w:rPr/>
        <w:t>5、本基金独立建账、独立核算；</w:t>
      </w:r>
    </w:p>
    <w:p>
      <w:pPr>
        <w:pStyle w:val="BodyText"/>
        <w:spacing w:line="364" w:lineRule="auto" w:before="138"/>
        <w:ind w:right="314" w:firstLine="419"/>
      </w:pPr>
      <w:r>
        <w:rPr/>
        <w:t>6、基金管理人及基金托管人各自保留完整的会计账目、凭证并进行日常的会计核算， 按照有关规定编制基金会计报表；</w:t>
      </w:r>
    </w:p>
    <w:p>
      <w:pPr>
        <w:pStyle w:val="BodyText"/>
        <w:spacing w:line="364" w:lineRule="auto" w:before="1"/>
        <w:ind w:right="314" w:firstLine="419"/>
      </w:pPr>
      <w:r>
        <w:rPr/>
        <w:t>7、基金托管人每月与基金管理人就基金的会计核算、报表编制等进行核对并以书面方式确认。</w:t>
      </w:r>
    </w:p>
    <w:p>
      <w:pPr>
        <w:pStyle w:val="BodyText"/>
        <w:ind w:left="0"/>
        <w:rPr>
          <w:sz w:val="20"/>
        </w:rPr>
      </w:pPr>
    </w:p>
    <w:p>
      <w:pPr>
        <w:pStyle w:val="BodyText"/>
        <w:spacing w:before="150"/>
        <w:ind w:left="540"/>
      </w:pPr>
      <w:r>
        <w:rPr/>
        <w:t>二、基金的年度审计</w:t>
      </w:r>
    </w:p>
    <w:p>
      <w:pPr>
        <w:pStyle w:val="BodyText"/>
        <w:spacing w:line="367" w:lineRule="auto" w:before="139"/>
        <w:ind w:right="314" w:firstLine="419"/>
      </w:pPr>
      <w:r>
        <w:rPr/>
        <w:t>1、基金管理人聘请与基金管理人、基金托管人相互独立的具有证券、期货相关业务资格的会计师事务所及其注册会计师对本基金的年度财务报表进行审计。</w:t>
      </w:r>
    </w:p>
    <w:p>
      <w:pPr>
        <w:pStyle w:val="BodyText"/>
        <w:spacing w:line="364" w:lineRule="auto"/>
        <w:ind w:right="314" w:firstLine="419"/>
      </w:pPr>
      <w:r>
        <w:rPr/>
        <w:t>2、会计师事务所更换经办注册会计师，应事先征得基金管理人和基金托管人同意，并报中国证监会备案。</w:t>
      </w:r>
    </w:p>
    <w:p>
      <w:pPr>
        <w:pStyle w:val="BodyText"/>
        <w:spacing w:line="364" w:lineRule="auto"/>
        <w:ind w:right="314" w:firstLine="419"/>
      </w:pPr>
      <w:r>
        <w:rPr/>
        <w:t>3、基金管理人认为有充足理由更换会计师事务所，须通报基金托管人。更换会计师事务所需按照《信息披露办法》的有关规定在指定媒介公告。</w:t>
      </w:r>
    </w:p>
    <w:p>
      <w:pPr>
        <w:pStyle w:val="BodyText"/>
        <w:ind w:left="0"/>
        <w:rPr>
          <w:sz w:val="20"/>
        </w:rPr>
      </w:pPr>
    </w:p>
    <w:p>
      <w:pPr>
        <w:pStyle w:val="BodyText"/>
        <w:spacing w:before="6"/>
        <w:ind w:left="0"/>
        <w:rPr>
          <w:sz w:val="23"/>
        </w:rPr>
      </w:pPr>
    </w:p>
    <w:p>
      <w:pPr>
        <w:pStyle w:val="Heading1"/>
      </w:pPr>
      <w:bookmarkStart w:name="_bookmark16" w:id="17"/>
      <w:bookmarkEnd w:id="17"/>
      <w:r>
        <w:rPr/>
      </w:r>
      <w:r>
        <w:rPr/>
        <w:t>十七、基金的信息披露</w:t>
      </w:r>
    </w:p>
    <w:p>
      <w:pPr>
        <w:pStyle w:val="BodyText"/>
        <w:spacing w:before="10"/>
        <w:ind w:left="0"/>
        <w:rPr>
          <w:rFonts w:ascii="黑体"/>
          <w:sz w:val="27"/>
        </w:rPr>
      </w:pPr>
    </w:p>
    <w:p>
      <w:pPr>
        <w:pStyle w:val="BodyText"/>
        <w:spacing w:line="364" w:lineRule="auto"/>
        <w:ind w:right="208" w:firstLine="419"/>
      </w:pPr>
      <w:r>
        <w:rPr>
          <w:spacing w:val="-29"/>
        </w:rPr>
        <w:t>一、本基金的信息披露应符合《基金法》、《运作办法》、《信息披露办法》、《基金合同》</w:t>
      </w:r>
      <w:r>
        <w:rPr>
          <w:spacing w:val="-10"/>
        </w:rPr>
        <w:t>及其他有关规定。</w:t>
      </w:r>
    </w:p>
    <w:p>
      <w:pPr>
        <w:pStyle w:val="BodyText"/>
        <w:ind w:left="0"/>
        <w:rPr>
          <w:sz w:val="20"/>
        </w:rPr>
      </w:pPr>
    </w:p>
    <w:p>
      <w:pPr>
        <w:pStyle w:val="BodyText"/>
        <w:spacing w:before="152"/>
        <w:ind w:left="540"/>
      </w:pPr>
      <w:r>
        <w:rPr/>
        <w:t>二、信息披露义务人</w:t>
      </w:r>
    </w:p>
    <w:p>
      <w:pPr>
        <w:pStyle w:val="BodyText"/>
        <w:spacing w:line="364" w:lineRule="auto" w:before="140"/>
        <w:ind w:right="311" w:firstLine="419"/>
      </w:pPr>
      <w:r>
        <w:rPr>
          <w:spacing w:val="-8"/>
        </w:rPr>
        <w:t>本基金信息披露义务人包括基金管理人、基金托管人、召集基金份额持有人大会的基金</w:t>
      </w:r>
      <w:r>
        <w:rPr>
          <w:spacing w:val="-5"/>
        </w:rPr>
        <w:t>份额持有人等法律、行政法规和中国证监会规定的自然人、法人和非法人组织。</w:t>
      </w:r>
    </w:p>
    <w:p>
      <w:pPr>
        <w:pStyle w:val="BodyText"/>
        <w:spacing w:line="364" w:lineRule="auto"/>
        <w:ind w:right="311" w:firstLine="419"/>
        <w:jc w:val="both"/>
      </w:pPr>
      <w:r>
        <w:rPr>
          <w:spacing w:val="-7"/>
        </w:rPr>
        <w:t>本基金信息披露义务人以保护基金份额持有人利益为根本出发点，按照法律法规和中国</w:t>
      </w:r>
      <w:r>
        <w:rPr>
          <w:spacing w:val="-11"/>
        </w:rPr>
        <w:t>证监会的规定披露基金信息，并保证所披露信息的真实性、准确性、完整性、及时性、简明</w:t>
      </w:r>
      <w:r>
        <w:rPr>
          <w:spacing w:val="-6"/>
        </w:rPr>
        <w:t>性和易得性。</w:t>
      </w:r>
    </w:p>
    <w:p>
      <w:pPr>
        <w:pStyle w:val="BodyText"/>
        <w:spacing w:line="364" w:lineRule="auto"/>
        <w:ind w:right="311" w:firstLine="419"/>
        <w:jc w:val="both"/>
      </w:pPr>
      <w:r>
        <w:rPr>
          <w:spacing w:val="-7"/>
        </w:rPr>
        <w:t>本基金信息披露义务人应当在中国证监会规定时间内，将应予披露的基金信息通过中国</w:t>
      </w:r>
      <w:r>
        <w:rPr>
          <w:spacing w:val="-4"/>
          <w:w w:val="100"/>
        </w:rPr>
        <w:t>证监会指定的全国性报刊</w:t>
      </w:r>
      <w:r>
        <w:rPr>
          <w:w w:val="100"/>
        </w:rPr>
        <w:t>（</w:t>
      </w:r>
      <w:r>
        <w:rPr>
          <w:spacing w:val="-14"/>
          <w:w w:val="100"/>
        </w:rPr>
        <w:t>以下简称“指定报刊”</w:t>
      </w:r>
      <w:r>
        <w:rPr>
          <w:spacing w:val="-3"/>
          <w:w w:val="100"/>
        </w:rPr>
        <w:t>）</w:t>
      </w:r>
      <w:r>
        <w:rPr>
          <w:spacing w:val="-2"/>
          <w:w w:val="100"/>
        </w:rPr>
        <w:t>及指定互联网网站</w:t>
      </w:r>
      <w:r>
        <w:rPr>
          <w:spacing w:val="-3"/>
          <w:w w:val="100"/>
        </w:rPr>
        <w:t>（以下简称“指定网</w:t>
      </w:r>
      <w:r>
        <w:rPr>
          <w:spacing w:val="-9"/>
        </w:rPr>
        <w:t>站”</w:t>
      </w:r>
      <w:r>
        <w:rPr>
          <w:spacing w:val="-14"/>
        </w:rPr>
        <w:t>）</w:t>
      </w:r>
      <w:r>
        <w:rPr>
          <w:spacing w:val="-9"/>
        </w:rPr>
        <w:t>等媒介披露，并保证基金投资者能够按照《基金合同》约定的时间和方式查阅或者复</w:t>
      </w:r>
      <w:r>
        <w:rPr>
          <w:spacing w:val="-5"/>
        </w:rPr>
        <w:t>制公开披露的信息资料。</w:t>
      </w:r>
    </w:p>
    <w:p>
      <w:pPr>
        <w:spacing w:after="0" w:line="364" w:lineRule="auto"/>
        <w:jc w:val="both"/>
        <w:sectPr>
          <w:pgSz w:w="11910" w:h="16840"/>
          <w:pgMar w:header="877" w:footer="1195" w:top="1380" w:bottom="1380" w:left="1680" w:right="1480"/>
        </w:sectPr>
      </w:pPr>
    </w:p>
    <w:p>
      <w:pPr>
        <w:pStyle w:val="BodyText"/>
        <w:spacing w:line="364" w:lineRule="auto" w:before="61"/>
        <w:ind w:left="540" w:right="1528"/>
      </w:pPr>
      <w:r>
        <w:rPr>
          <w:spacing w:val="-3"/>
        </w:rPr>
        <w:t>三、本基金信息披露义务人承诺公开披露的基金信息，不得有下列行为： 1、虚假记载、误导性陈述或者重大遗漏；</w:t>
      </w:r>
    </w:p>
    <w:p>
      <w:pPr>
        <w:pStyle w:val="BodyText"/>
        <w:spacing w:line="267" w:lineRule="exact"/>
        <w:ind w:left="540"/>
      </w:pPr>
      <w:r>
        <w:rPr/>
        <w:t>2、对证券投资业绩进行预测；</w:t>
      </w:r>
    </w:p>
    <w:p>
      <w:pPr>
        <w:pStyle w:val="BodyText"/>
        <w:spacing w:before="142"/>
        <w:ind w:left="540"/>
      </w:pPr>
      <w:r>
        <w:rPr/>
        <w:t>3、违规承诺收益或者承担损失；</w:t>
      </w:r>
    </w:p>
    <w:p>
      <w:pPr>
        <w:pStyle w:val="BodyText"/>
        <w:spacing w:before="138"/>
        <w:ind w:left="540"/>
      </w:pPr>
      <w:r>
        <w:rPr/>
        <w:t>4、诋毁其他基金管理人、基金托管人或者基金销售机构；</w:t>
      </w:r>
    </w:p>
    <w:p>
      <w:pPr>
        <w:pStyle w:val="BodyText"/>
        <w:spacing w:before="139"/>
        <w:ind w:left="540"/>
      </w:pPr>
      <w:r>
        <w:rPr/>
        <w:t>5、登载任何自然人、法人和非法人组织的祝贺性、恭维性或推荐性的文字；</w:t>
      </w:r>
    </w:p>
    <w:p>
      <w:pPr>
        <w:pStyle w:val="BodyText"/>
        <w:spacing w:before="139"/>
        <w:ind w:left="540"/>
      </w:pPr>
      <w:r>
        <w:rPr/>
        <w:t>6、中国证监会禁止的其他行为。</w:t>
      </w:r>
    </w:p>
    <w:p>
      <w:pPr>
        <w:pStyle w:val="BodyText"/>
        <w:ind w:left="0"/>
        <w:rPr>
          <w:sz w:val="20"/>
        </w:rPr>
      </w:pPr>
    </w:p>
    <w:p>
      <w:pPr>
        <w:pStyle w:val="BodyText"/>
        <w:spacing w:before="12"/>
        <w:ind w:left="0"/>
        <w:rPr>
          <w:sz w:val="22"/>
        </w:rPr>
      </w:pPr>
    </w:p>
    <w:p>
      <w:pPr>
        <w:pStyle w:val="BodyText"/>
        <w:spacing w:line="364" w:lineRule="auto"/>
        <w:ind w:right="311" w:firstLine="419"/>
      </w:pPr>
      <w:r>
        <w:rPr>
          <w:spacing w:val="-10"/>
        </w:rPr>
        <w:t>四、本基金公开披露的信息应采用中文文本。同时采用外文文本的，基金信息披露义务</w:t>
      </w:r>
      <w:r>
        <w:rPr>
          <w:spacing w:val="-5"/>
        </w:rPr>
        <w:t>人应保证不同文本的内容一致。不同文本之间发生歧义的，以中文文本为准。</w:t>
      </w:r>
    </w:p>
    <w:p>
      <w:pPr>
        <w:pStyle w:val="BodyText"/>
        <w:spacing w:line="267" w:lineRule="exact"/>
        <w:ind w:left="540"/>
      </w:pPr>
      <w:r>
        <w:rPr/>
        <w:t>本基金公开披露的信息采用阿拉伯数字；除特别说明外，货币单位为人民币元。</w:t>
      </w:r>
    </w:p>
    <w:p>
      <w:pPr>
        <w:pStyle w:val="BodyText"/>
        <w:ind w:left="0"/>
        <w:rPr>
          <w:sz w:val="20"/>
        </w:rPr>
      </w:pPr>
    </w:p>
    <w:p>
      <w:pPr>
        <w:pStyle w:val="BodyText"/>
        <w:spacing w:before="11"/>
        <w:ind w:left="0"/>
        <w:rPr>
          <w:sz w:val="22"/>
        </w:rPr>
      </w:pPr>
    </w:p>
    <w:p>
      <w:pPr>
        <w:pStyle w:val="BodyText"/>
        <w:spacing w:line="364" w:lineRule="auto"/>
        <w:ind w:left="540" w:right="5681"/>
      </w:pPr>
      <w:r>
        <w:rPr>
          <w:spacing w:val="-3"/>
        </w:rPr>
        <w:t>五、公开披露的基金信息 </w:t>
      </w:r>
      <w:r>
        <w:rPr>
          <w:spacing w:val="-4"/>
        </w:rPr>
        <w:t>公开披露的基金信息包括：</w:t>
      </w:r>
    </w:p>
    <w:p>
      <w:pPr>
        <w:pStyle w:val="BodyText"/>
        <w:spacing w:line="267" w:lineRule="exact"/>
        <w:ind w:left="540"/>
      </w:pPr>
      <w:r>
        <w:rPr/>
        <w:t>（一）基金招募说明书、基金合同、基金托管协议、基金产品资料概要</w:t>
      </w:r>
    </w:p>
    <w:p>
      <w:pPr>
        <w:pStyle w:val="BodyText"/>
        <w:spacing w:line="364" w:lineRule="auto" w:before="139"/>
        <w:ind w:right="311" w:firstLine="419"/>
        <w:jc w:val="both"/>
      </w:pPr>
      <w:r>
        <w:rPr>
          <w:spacing w:val="-3"/>
        </w:rPr>
        <w:t>基金募集申请经中国证监会核准后，基金管理人在基金份额发售的 </w:t>
      </w:r>
      <w:r>
        <w:rPr/>
        <w:t>3 日前，将基金招</w:t>
      </w:r>
      <w:r>
        <w:rPr>
          <w:spacing w:val="-10"/>
        </w:rPr>
        <w:t>募说明书、基金合同摘要登载在指定媒介上；基金管理人、基金托管人应当将基金合同、基</w:t>
      </w:r>
      <w:r>
        <w:rPr>
          <w:spacing w:val="-5"/>
        </w:rPr>
        <w:t>金托管协议登载在网站上。</w:t>
      </w:r>
    </w:p>
    <w:p>
      <w:pPr>
        <w:pStyle w:val="BodyText"/>
        <w:spacing w:line="364" w:lineRule="auto"/>
        <w:ind w:right="311" w:firstLine="419"/>
        <w:jc w:val="both"/>
      </w:pPr>
      <w:r>
        <w:rPr/>
        <w:t>1</w:t>
      </w:r>
      <w:r>
        <w:rPr>
          <w:spacing w:val="-3"/>
        </w:rPr>
        <w:t>、基金招募说明书应当最大限度地披露影响基金投资者决策的全部事项，说明基金认</w:t>
      </w:r>
      <w:r>
        <w:rPr>
          <w:spacing w:val="-11"/>
        </w:rPr>
        <w:t>购、申购和赎回安排、基金投资、基金产品特性、风险揭示、信息披露及基金份额持有人服</w:t>
      </w:r>
      <w:r>
        <w:rPr>
          <w:spacing w:val="-12"/>
        </w:rPr>
        <w:t>务等内容。本基金合同生效后，基金招募说明书的信息发生重大变更的，基金管理人应当在三个工作日内，更新基金招募说明书并登载在指定网站上；基金招募说明书其他信息发生变</w:t>
      </w:r>
      <w:r>
        <w:rPr>
          <w:spacing w:val="-11"/>
        </w:rPr>
        <w:t>更的，基金管理人至少每年更新一次。基金终止运作的，基金管理人不再更新基金招募说明书。</w:t>
      </w:r>
    </w:p>
    <w:p>
      <w:pPr>
        <w:pStyle w:val="BodyText"/>
        <w:spacing w:line="364" w:lineRule="auto"/>
        <w:ind w:right="104" w:firstLine="419"/>
      </w:pPr>
      <w:r>
        <w:rPr/>
        <w:t>2</w:t>
      </w:r>
      <w:r>
        <w:rPr>
          <w:spacing w:val="-3"/>
        </w:rPr>
        <w:t>、基金合同是界定基金合同当事人的各项权利、义务关系，明确基金份额持有人大会 </w:t>
      </w:r>
      <w:r>
        <w:rPr>
          <w:spacing w:val="-12"/>
        </w:rPr>
        <w:t>召开的规则及具体程序，说明基金产品的特性等涉及基金投资者重大利益的事项的法律文件。</w:t>
      </w:r>
    </w:p>
    <w:p>
      <w:pPr>
        <w:pStyle w:val="BodyText"/>
        <w:spacing w:line="364" w:lineRule="auto"/>
        <w:ind w:right="314" w:firstLine="419"/>
      </w:pPr>
      <w:r>
        <w:rPr/>
        <w:t>3、基金托管协议是界定基金托管人和基金管理人在基金财产保管及基金运作监督等活动中的权利、义务关系的法律文件。</w:t>
      </w:r>
    </w:p>
    <w:p>
      <w:pPr>
        <w:pStyle w:val="BodyText"/>
        <w:spacing w:line="364" w:lineRule="auto"/>
        <w:ind w:right="311" w:firstLine="419"/>
        <w:jc w:val="both"/>
      </w:pPr>
      <w:r>
        <w:rPr/>
        <w:t>4</w:t>
      </w:r>
      <w:r>
        <w:rPr>
          <w:spacing w:val="-3"/>
        </w:rPr>
        <w:t>、基金产品资料概要是基金招募说明书的摘要文件，用于向投资者提供简明的基金概</w:t>
      </w:r>
      <w:r>
        <w:rPr>
          <w:spacing w:val="-12"/>
        </w:rPr>
        <w:t>要信息。《基金合同》生效后，基金产品资料概要的信息发生重大变更的，基金管理人应当在三个工作日内，更新基金产品资料概要，并登载在指定网站及基金销售机构网站或营业网</w:t>
      </w:r>
      <w:r>
        <w:rPr>
          <w:spacing w:val="-11"/>
        </w:rPr>
        <w:t>点；基金产品资料概要其他信息发生变更的，基金管理人至少每年更新一次。基金终止运作</w:t>
      </w:r>
      <w:r>
        <w:rPr>
          <w:spacing w:val="-6"/>
        </w:rPr>
        <w:t>的，基金管理人不再更新基金产品资料概要。</w:t>
      </w:r>
    </w:p>
    <w:p>
      <w:pPr>
        <w:pStyle w:val="BodyText"/>
        <w:spacing w:line="267" w:lineRule="exact"/>
        <w:ind w:left="540"/>
      </w:pPr>
      <w:r>
        <w:rPr/>
        <w:t>（二）基金份额发售公告</w:t>
      </w:r>
    </w:p>
    <w:p>
      <w:pPr>
        <w:spacing w:after="0" w:line="267" w:lineRule="exact"/>
        <w:sectPr>
          <w:pgSz w:w="11910" w:h="16840"/>
          <w:pgMar w:header="877" w:footer="1195" w:top="1380" w:bottom="1380" w:left="1680" w:right="1480"/>
        </w:sectPr>
      </w:pPr>
    </w:p>
    <w:p>
      <w:pPr>
        <w:pStyle w:val="BodyText"/>
        <w:spacing w:line="364" w:lineRule="auto" w:before="61"/>
        <w:ind w:right="311" w:firstLine="419"/>
      </w:pPr>
      <w:r>
        <w:rPr>
          <w:spacing w:val="-7"/>
        </w:rPr>
        <w:t>基金管理人应当就基金份额发售的具体事宜编制基金份额发售公告，并在披露招募说明</w:t>
      </w:r>
      <w:r>
        <w:rPr>
          <w:spacing w:val="-5"/>
        </w:rPr>
        <w:t>书的当日登载于指定媒介上。</w:t>
      </w:r>
    </w:p>
    <w:p>
      <w:pPr>
        <w:pStyle w:val="BodyText"/>
        <w:spacing w:line="267" w:lineRule="exact"/>
        <w:ind w:left="540"/>
      </w:pPr>
      <w:r>
        <w:rPr/>
        <w:t>（三</w:t>
      </w:r>
      <w:r>
        <w:rPr>
          <w:spacing w:val="-3"/>
        </w:rPr>
        <w:t>）基金合同生效公告</w:t>
      </w:r>
    </w:p>
    <w:p>
      <w:pPr>
        <w:pStyle w:val="BodyText"/>
        <w:spacing w:before="142"/>
        <w:ind w:left="540"/>
      </w:pPr>
      <w:r>
        <w:rPr/>
        <w:t>基金管理人应当在本基金合同生效的次日在指定媒介上登载基金合同生效公告。</w:t>
      </w:r>
    </w:p>
    <w:p>
      <w:pPr>
        <w:pStyle w:val="BodyText"/>
        <w:spacing w:before="138"/>
        <w:ind w:left="540"/>
      </w:pPr>
      <w:r>
        <w:rPr/>
        <w:t>（四）基金净值信息</w:t>
      </w:r>
    </w:p>
    <w:p>
      <w:pPr>
        <w:pStyle w:val="BodyText"/>
        <w:spacing w:line="364" w:lineRule="auto" w:before="139"/>
        <w:ind w:right="311" w:firstLine="419"/>
      </w:pPr>
      <w:r>
        <w:rPr>
          <w:spacing w:val="-11"/>
        </w:rPr>
        <w:t>基金合同生效后，在开始办理基金份额申购或者赎回前，基金管理人应当至少每周公告</w:t>
      </w:r>
      <w:r>
        <w:rPr>
          <w:spacing w:val="-6"/>
        </w:rPr>
        <w:t>一次基金资产净值和基金份额净值。</w:t>
      </w:r>
    </w:p>
    <w:p>
      <w:pPr>
        <w:pStyle w:val="BodyText"/>
        <w:spacing w:line="364" w:lineRule="auto" w:before="1"/>
        <w:ind w:right="311" w:firstLine="419"/>
        <w:jc w:val="both"/>
      </w:pPr>
      <w:r>
        <w:rPr>
          <w:spacing w:val="-8"/>
        </w:rPr>
        <w:t>在开始办理基金份额申购或者赎回后，基金管理人应当在不晚于每个开放日的次日，通</w:t>
      </w:r>
      <w:r>
        <w:rPr>
          <w:spacing w:val="-13"/>
        </w:rPr>
        <w:t>过指定网站、基金销售机构网站或者营业网点披露开放日的基金份额净值和基金份额累计净值。</w:t>
      </w:r>
    </w:p>
    <w:p>
      <w:pPr>
        <w:pStyle w:val="BodyText"/>
        <w:spacing w:line="364" w:lineRule="auto"/>
        <w:ind w:right="311" w:firstLine="419"/>
      </w:pPr>
      <w:r>
        <w:rPr>
          <w:spacing w:val="-7"/>
        </w:rPr>
        <w:t>基金管理人应当在不晚于半年度和年度最后一日的次日，在指定网站披露半年度和年度</w:t>
      </w:r>
      <w:r>
        <w:rPr>
          <w:spacing w:val="-5"/>
        </w:rPr>
        <w:t>最后一日的基金份额净值和基金份额累计净值。</w:t>
      </w:r>
    </w:p>
    <w:p>
      <w:pPr>
        <w:pStyle w:val="BodyText"/>
        <w:ind w:left="540"/>
      </w:pPr>
      <w:r>
        <w:rPr/>
        <w:t>（五）基金份额申购、赎回价格</w:t>
      </w:r>
    </w:p>
    <w:p>
      <w:pPr>
        <w:pStyle w:val="BodyText"/>
        <w:spacing w:line="364" w:lineRule="auto" w:before="137"/>
        <w:ind w:right="311" w:firstLine="419"/>
        <w:jc w:val="both"/>
      </w:pPr>
      <w:r>
        <w:rPr>
          <w:spacing w:val="-9"/>
        </w:rPr>
        <w:t>基金管理人应当在基金合同、招募说明书等信息披露文件上载明基金份额申购、赎回价</w:t>
      </w:r>
      <w:r>
        <w:rPr>
          <w:spacing w:val="-12"/>
        </w:rPr>
        <w:t>格的计算方式及有关申购、赎回费率，并保证投资人能够在基金销售机构网站或营业网点查</w:t>
      </w:r>
      <w:r>
        <w:rPr>
          <w:spacing w:val="-6"/>
        </w:rPr>
        <w:t>阅或者复制前述信息资料。</w:t>
      </w:r>
    </w:p>
    <w:p>
      <w:pPr>
        <w:pStyle w:val="BodyText"/>
        <w:spacing w:line="267" w:lineRule="exact"/>
        <w:ind w:left="540"/>
      </w:pPr>
      <w:r>
        <w:rPr/>
        <w:t>（六）基金定期报告，包括基金年度报告、基金中期报告和基金季度报告</w:t>
      </w:r>
    </w:p>
    <w:p>
      <w:pPr>
        <w:pStyle w:val="BodyText"/>
        <w:spacing w:line="364" w:lineRule="auto" w:before="141"/>
        <w:ind w:right="311" w:firstLine="419"/>
        <w:jc w:val="both"/>
      </w:pPr>
      <w:r>
        <w:rPr>
          <w:spacing w:val="-8"/>
        </w:rPr>
        <w:t>基金管理人应当在每年结束之日起三个月内，编制完成基金年度报告，将年度报告登载</w:t>
      </w:r>
      <w:r>
        <w:rPr>
          <w:spacing w:val="-12"/>
        </w:rPr>
        <w:t>在指定网站上，并将年度报告提示性公告登载在指定报刊上。基金年度报告中的财务会计报</w:t>
      </w:r>
      <w:r>
        <w:rPr>
          <w:spacing w:val="-6"/>
        </w:rPr>
        <w:t>告应当经过具有证券、期货相关业务资格的会计师事务所审计。</w:t>
      </w:r>
    </w:p>
    <w:p>
      <w:pPr>
        <w:pStyle w:val="BodyText"/>
        <w:spacing w:line="367" w:lineRule="auto"/>
        <w:ind w:right="311" w:firstLine="419"/>
      </w:pPr>
      <w:r>
        <w:rPr>
          <w:spacing w:val="-8"/>
        </w:rPr>
        <w:t>基金管理人应当在上半年结束之日起两个月内，编制完成基金中期报告，将中期报告登</w:t>
      </w:r>
      <w:r>
        <w:rPr>
          <w:spacing w:val="-5"/>
        </w:rPr>
        <w:t>载在指定网站上，并将中期报告提示性公告登载在指定报刊上。</w:t>
      </w:r>
    </w:p>
    <w:p>
      <w:pPr>
        <w:pStyle w:val="BodyText"/>
        <w:spacing w:line="364" w:lineRule="auto"/>
        <w:ind w:right="311" w:firstLine="419"/>
      </w:pPr>
      <w:r>
        <w:rPr>
          <w:spacing w:val="-5"/>
        </w:rPr>
        <w:t>基金管理人应当在季度结束之日起 </w:t>
      </w:r>
      <w:r>
        <w:rPr/>
        <w:t>15</w:t>
      </w:r>
      <w:r>
        <w:rPr>
          <w:spacing w:val="-7"/>
        </w:rPr>
        <w:t> 个工作日内，编制完成基金季度报告，将季度报</w:t>
      </w:r>
      <w:r>
        <w:rPr>
          <w:spacing w:val="-5"/>
        </w:rPr>
        <w:t>告登载在指定网站上，并将季度报告提示性公告登载在指定报刊上。</w:t>
      </w:r>
    </w:p>
    <w:p>
      <w:pPr>
        <w:pStyle w:val="BodyText"/>
        <w:spacing w:line="364" w:lineRule="auto"/>
        <w:ind w:right="311" w:firstLine="419"/>
      </w:pPr>
      <w:r>
        <w:rPr>
          <w:spacing w:val="-7"/>
        </w:rPr>
        <w:t>基金合同生效不足 </w:t>
      </w:r>
      <w:r>
        <w:rPr/>
        <w:t>2</w:t>
      </w:r>
      <w:r>
        <w:rPr>
          <w:spacing w:val="-13"/>
        </w:rPr>
        <w:t> 个月的，基金管理人可以不编制当期季度报告、中期报告或者年度报告。</w:t>
      </w:r>
    </w:p>
    <w:p>
      <w:pPr>
        <w:pStyle w:val="BodyText"/>
        <w:spacing w:line="364" w:lineRule="auto"/>
        <w:ind w:right="314" w:firstLine="419"/>
      </w:pPr>
      <w:r>
        <w:rPr/>
        <w:t>基金管理人应当在基金年度报告和中期报告中披露基金组合资产情况及其流动性风险分析等。</w:t>
      </w:r>
    </w:p>
    <w:p>
      <w:pPr>
        <w:pStyle w:val="BodyText"/>
        <w:spacing w:line="364" w:lineRule="auto"/>
        <w:ind w:right="311" w:firstLine="419"/>
        <w:jc w:val="both"/>
      </w:pPr>
      <w:r>
        <w:rPr>
          <w:spacing w:val="-4"/>
        </w:rPr>
        <w:t>报告期内出现单一投资者持有基金份额比例达到或超过基金总份额 </w:t>
      </w:r>
      <w:r>
        <w:rPr/>
        <w:t>20</w:t>
      </w:r>
      <w:r>
        <w:rPr>
          <w:spacing w:val="-8"/>
        </w:rPr>
        <w:t>%的情形，为保障</w:t>
      </w:r>
      <w:r>
        <w:rPr>
          <w:spacing w:val="-12"/>
        </w:rPr>
        <w:t>其他投资者的权益，基金管理人至少应当在基金定期报告文件中“影响投资者决策的其他重要信息”项下披露该投资者的类别、报告期末持有份额及占比、报告期内持有份额变化情况</w:t>
      </w:r>
      <w:r>
        <w:rPr>
          <w:spacing w:val="-6"/>
        </w:rPr>
        <w:t>及本基金的特有风险，中国证监会认定的特殊情形除外。</w:t>
      </w:r>
    </w:p>
    <w:p>
      <w:pPr>
        <w:pStyle w:val="BodyText"/>
        <w:ind w:left="0"/>
        <w:rPr>
          <w:sz w:val="20"/>
        </w:rPr>
      </w:pPr>
    </w:p>
    <w:p>
      <w:pPr>
        <w:pStyle w:val="BodyText"/>
        <w:spacing w:before="140"/>
        <w:ind w:left="540"/>
      </w:pPr>
      <w:r>
        <w:rPr/>
        <w:t>（七）临时报告</w:t>
      </w:r>
    </w:p>
    <w:p>
      <w:pPr>
        <w:spacing w:after="0"/>
        <w:sectPr>
          <w:pgSz w:w="11910" w:h="16840"/>
          <w:pgMar w:header="877" w:footer="1195" w:top="1380" w:bottom="1380" w:left="1680" w:right="1480"/>
        </w:sectPr>
      </w:pPr>
    </w:p>
    <w:p>
      <w:pPr>
        <w:pStyle w:val="BodyText"/>
        <w:spacing w:line="364" w:lineRule="auto" w:before="61"/>
        <w:ind w:right="313" w:firstLine="419"/>
      </w:pPr>
      <w:r>
        <w:rPr/>
        <w:t>本基金发生重大事件，有关信息披露义务人应当在 2 日内编制临时报告书，并登载在指定报刊和指定网站上。</w:t>
      </w:r>
    </w:p>
    <w:p>
      <w:pPr>
        <w:pStyle w:val="BodyText"/>
        <w:spacing w:line="367" w:lineRule="auto"/>
        <w:ind w:right="311" w:firstLine="419"/>
      </w:pPr>
      <w:r>
        <w:rPr>
          <w:spacing w:val="-12"/>
        </w:rPr>
        <w:t>前款所称重大事件，是指可能对基金份额持有人权益或者基金份额的价格产生重大影响</w:t>
      </w:r>
      <w:r>
        <w:rPr>
          <w:spacing w:val="-6"/>
        </w:rPr>
        <w:t>的下列事件：</w:t>
      </w:r>
    </w:p>
    <w:p>
      <w:pPr>
        <w:pStyle w:val="BodyText"/>
        <w:spacing w:line="264" w:lineRule="exact"/>
        <w:ind w:left="540"/>
      </w:pPr>
      <w:r>
        <w:rPr/>
        <w:t>1、基金份额持有人大会的召开及决定的事项；</w:t>
      </w:r>
    </w:p>
    <w:p>
      <w:pPr>
        <w:pStyle w:val="BodyText"/>
        <w:spacing w:before="137"/>
        <w:ind w:left="540"/>
      </w:pPr>
      <w:r>
        <w:rPr/>
        <w:t>2、基金合同终止、基金清算；</w:t>
      </w:r>
    </w:p>
    <w:p>
      <w:pPr>
        <w:pStyle w:val="BodyText"/>
        <w:spacing w:before="139"/>
        <w:ind w:left="540"/>
      </w:pPr>
      <w:r>
        <w:rPr/>
        <w:t>3、转换基金运作方式、基金合并；</w:t>
      </w:r>
    </w:p>
    <w:p>
      <w:pPr>
        <w:pStyle w:val="BodyText"/>
        <w:spacing w:before="141"/>
        <w:ind w:left="540"/>
      </w:pPr>
      <w:r>
        <w:rPr/>
        <w:t>4、更换基金管理人、基金托管人、基金份额登记机构，基金改聘会计师事务所；</w:t>
      </w:r>
    </w:p>
    <w:p>
      <w:pPr>
        <w:pStyle w:val="BodyText"/>
        <w:spacing w:line="364" w:lineRule="auto" w:before="140"/>
        <w:ind w:right="314" w:firstLine="419"/>
      </w:pPr>
      <w:r>
        <w:rPr/>
        <w:t>5、基金管理人委托基金服务机构代为办理基金的份额登记、核算、估值等事项，基金托管人委托基金服务机构代为办理基金的核算、估值、复核等事项；</w:t>
      </w:r>
    </w:p>
    <w:p>
      <w:pPr>
        <w:pStyle w:val="BodyText"/>
        <w:spacing w:line="267" w:lineRule="exact"/>
        <w:ind w:left="540"/>
      </w:pPr>
      <w:r>
        <w:rPr/>
        <w:t>6、基金管理人、基金托管人的法定名称、住所发生变更；</w:t>
      </w:r>
    </w:p>
    <w:p>
      <w:pPr>
        <w:pStyle w:val="BodyText"/>
        <w:spacing w:before="139"/>
        <w:ind w:left="540"/>
      </w:pPr>
      <w:r>
        <w:rPr/>
        <w:t>7、基金管理人变更持有百分之五以上股权的股东、基金管理人的实际控制人变更；</w:t>
      </w:r>
    </w:p>
    <w:p>
      <w:pPr>
        <w:pStyle w:val="BodyText"/>
        <w:spacing w:before="141"/>
        <w:ind w:left="540"/>
      </w:pPr>
      <w:r>
        <w:rPr/>
        <w:t>8、基金募集期延长；</w:t>
      </w:r>
    </w:p>
    <w:p>
      <w:pPr>
        <w:pStyle w:val="BodyText"/>
        <w:spacing w:line="364" w:lineRule="auto" w:before="139"/>
        <w:ind w:right="314" w:firstLine="419"/>
      </w:pPr>
      <w:r>
        <w:rPr/>
        <w:t>9、基金管理人的高级管理人员、基金经理和基金托管人专门基金托管部门负责人发生变动；</w:t>
      </w:r>
    </w:p>
    <w:p>
      <w:pPr>
        <w:pStyle w:val="BodyText"/>
        <w:spacing w:line="267" w:lineRule="exact"/>
        <w:ind w:left="540"/>
      </w:pPr>
      <w:r>
        <w:rPr/>
        <w:t>10、基金管理人的董事在最近 12 个月内变更超过百分之五十，基金管理人、基金托管</w:t>
      </w:r>
    </w:p>
    <w:p>
      <w:pPr>
        <w:pStyle w:val="BodyText"/>
        <w:spacing w:line="367" w:lineRule="auto" w:before="140"/>
        <w:ind w:left="540" w:right="1528" w:hanging="420"/>
      </w:pPr>
      <w:r>
        <w:rPr>
          <w:spacing w:val="-5"/>
        </w:rPr>
        <w:t>人专门基金托管部门的主要业务人员在最近 </w:t>
      </w:r>
      <w:r>
        <w:rPr/>
        <w:t>12</w:t>
      </w:r>
      <w:r>
        <w:rPr>
          <w:spacing w:val="-8"/>
        </w:rPr>
        <w:t> 个月内变动超过百分之三十； 11</w:t>
      </w:r>
      <w:r>
        <w:rPr>
          <w:spacing w:val="-4"/>
        </w:rPr>
        <w:t>、涉及基金管理业务、基金财产、基金托管业务的诉讼或仲裁；</w:t>
      </w:r>
    </w:p>
    <w:p>
      <w:pPr>
        <w:pStyle w:val="BodyText"/>
        <w:spacing w:line="364" w:lineRule="auto"/>
        <w:ind w:right="311" w:firstLine="419"/>
        <w:jc w:val="both"/>
      </w:pPr>
      <w:r>
        <w:rPr/>
        <w:t>12</w:t>
      </w:r>
      <w:r>
        <w:rPr>
          <w:spacing w:val="-12"/>
        </w:rPr>
        <w:t>、基金管理人或其高级管理人员、基金经理因基金管理业务相关行为受到重大行政处</w:t>
      </w:r>
      <w:r>
        <w:rPr>
          <w:spacing w:val="-13"/>
        </w:rPr>
        <w:t>罚、刑事处罚，基金托管人或其专门基金托管部门负责人因基金托管业务相关行为受到重大</w:t>
      </w:r>
      <w:r>
        <w:rPr>
          <w:spacing w:val="-6"/>
        </w:rPr>
        <w:t>行政处罚、刑事处罚；</w:t>
      </w:r>
    </w:p>
    <w:p>
      <w:pPr>
        <w:pStyle w:val="BodyText"/>
        <w:spacing w:line="364" w:lineRule="auto"/>
        <w:ind w:right="311" w:firstLine="419"/>
        <w:jc w:val="both"/>
      </w:pPr>
      <w:r>
        <w:rPr/>
        <w:t>13</w:t>
      </w:r>
      <w:r>
        <w:rPr>
          <w:spacing w:val="-10"/>
        </w:rPr>
        <w:t>、基金管理人运用基金财产买卖基金管理人、基金托管人及其控股股东、实际控制人</w:t>
      </w:r>
      <w:r>
        <w:rPr>
          <w:spacing w:val="-8"/>
        </w:rPr>
        <w:t>或者与其有重大利害关系的公司发行的证券或者承销期内承销的证券，或者从事其他重大关</w:t>
      </w:r>
      <w:r>
        <w:rPr>
          <w:spacing w:val="-5"/>
        </w:rPr>
        <w:t>联交易事项，中国证监会另有规定的情形除外；</w:t>
      </w:r>
    </w:p>
    <w:p>
      <w:pPr>
        <w:pStyle w:val="BodyText"/>
        <w:spacing w:line="267" w:lineRule="exact"/>
        <w:ind w:left="540"/>
      </w:pPr>
      <w:r>
        <w:rPr/>
        <w:t>14、基金收益分配事项；</w:t>
      </w:r>
    </w:p>
    <w:p>
      <w:pPr>
        <w:pStyle w:val="BodyText"/>
        <w:spacing w:before="133"/>
        <w:ind w:left="540"/>
      </w:pPr>
      <w:r>
        <w:rPr/>
        <w:t>15、管理费、托管费、申购费、赎回费等费用计提标准、计提方式和费率发生变更；</w:t>
      </w:r>
    </w:p>
    <w:p>
      <w:pPr>
        <w:pStyle w:val="BodyText"/>
        <w:spacing w:before="141"/>
        <w:ind w:left="540"/>
      </w:pPr>
      <w:r>
        <w:rPr/>
        <w:t>16、基金份额净值计价错误达基金份额净值百分之零点五；</w:t>
      </w:r>
    </w:p>
    <w:p>
      <w:pPr>
        <w:pStyle w:val="BodyText"/>
        <w:spacing w:before="139"/>
        <w:ind w:left="540"/>
      </w:pPr>
      <w:r>
        <w:rPr/>
        <w:t>17、本基金开始办理申购、赎回；</w:t>
      </w:r>
    </w:p>
    <w:p>
      <w:pPr>
        <w:pStyle w:val="BodyText"/>
        <w:spacing w:before="139"/>
        <w:ind w:left="540"/>
      </w:pPr>
      <w:r>
        <w:rPr/>
        <w:t>18、本基金发生巨额赎回并延期办理；</w:t>
      </w:r>
    </w:p>
    <w:p>
      <w:pPr>
        <w:pStyle w:val="BodyText"/>
        <w:spacing w:before="139"/>
        <w:ind w:left="540"/>
      </w:pPr>
      <w:r>
        <w:rPr/>
        <w:t>19、本基金连续发生巨额赎回并暂停接受赎回申请或延缓支付赎回款项；</w:t>
      </w:r>
    </w:p>
    <w:p>
      <w:pPr>
        <w:pStyle w:val="BodyText"/>
        <w:spacing w:before="139"/>
        <w:ind w:left="540"/>
      </w:pPr>
      <w:r>
        <w:rPr/>
        <w:t>20、本基金暂停接受申购、赎回申请或重新接受申购、赎回申请；</w:t>
      </w:r>
    </w:p>
    <w:p>
      <w:pPr>
        <w:pStyle w:val="BodyText"/>
        <w:spacing w:before="141"/>
        <w:ind w:left="540"/>
      </w:pPr>
      <w:r>
        <w:rPr/>
        <w:t>21、发生涉及基金申购、赎回事项调整或潜在影响投资者赎回等重大事项时；</w:t>
      </w:r>
    </w:p>
    <w:p>
      <w:pPr>
        <w:pStyle w:val="BodyText"/>
        <w:spacing w:before="140"/>
        <w:ind w:left="540"/>
      </w:pPr>
      <w:r>
        <w:rPr/>
        <w:t>22、基金管理人采用摆动定价机制进行估值；</w:t>
      </w:r>
    </w:p>
    <w:p>
      <w:pPr>
        <w:pStyle w:val="BodyText"/>
        <w:spacing w:before="139"/>
        <w:ind w:left="540"/>
      </w:pPr>
      <w:r>
        <w:rPr/>
        <w:t>23、基金信息披露义务人认为可能对基金份额持有人权益或者基金份额的价格产生重大</w:t>
      </w:r>
    </w:p>
    <w:p>
      <w:pPr>
        <w:spacing w:after="0"/>
        <w:sectPr>
          <w:pgSz w:w="11910" w:h="16840"/>
          <w:pgMar w:header="877" w:footer="1195" w:top="1380" w:bottom="1380" w:left="1680" w:right="1480"/>
        </w:sectPr>
      </w:pPr>
    </w:p>
    <w:p>
      <w:pPr>
        <w:pStyle w:val="BodyText"/>
        <w:spacing w:before="61"/>
      </w:pPr>
      <w:r>
        <w:rPr/>
        <w:t>影响的其他事项或中国证监会规定的其他事项。</w:t>
      </w:r>
    </w:p>
    <w:p>
      <w:pPr>
        <w:pStyle w:val="BodyText"/>
        <w:spacing w:before="139"/>
        <w:ind w:left="540"/>
      </w:pPr>
      <w:r>
        <w:rPr/>
        <w:t>（八）澄清公告</w:t>
      </w:r>
    </w:p>
    <w:p>
      <w:pPr>
        <w:pStyle w:val="BodyText"/>
        <w:spacing w:line="364" w:lineRule="auto" w:before="139"/>
        <w:ind w:right="210" w:firstLine="419"/>
        <w:jc w:val="both"/>
      </w:pPr>
      <w:r>
        <w:rPr>
          <w:spacing w:val="-11"/>
        </w:rPr>
        <w:t>在本基金合同存续期限内，任何公共媒介中出现的或者在市场上流传的消息可能对基金份额价格产生误导性影响或者引起较大波动，以及可能损害基金份额持有人权益的，相关信</w:t>
      </w:r>
      <w:r>
        <w:rPr>
          <w:spacing w:val="-6"/>
        </w:rPr>
        <w:t>息披露义务人知悉后应当立即对该消息进行公开澄清，并将有关情况立即报告中国证监会。</w:t>
      </w:r>
    </w:p>
    <w:p>
      <w:pPr>
        <w:pStyle w:val="BodyText"/>
        <w:spacing w:line="269" w:lineRule="exact"/>
        <w:ind w:left="540"/>
      </w:pPr>
      <w:r>
        <w:rPr/>
        <w:t>（九）基金份额持有人大会决议</w:t>
      </w:r>
    </w:p>
    <w:p>
      <w:pPr>
        <w:pStyle w:val="BodyText"/>
        <w:spacing w:line="364" w:lineRule="auto" w:before="139"/>
        <w:ind w:right="311" w:firstLine="419"/>
        <w:jc w:val="both"/>
      </w:pPr>
      <w:r>
        <w:rPr>
          <w:spacing w:val="-8"/>
        </w:rPr>
        <w:t>基金份额持有人大会决定的事项，应当依法报中国证监会备案，并予以公告。召开基金</w:t>
      </w:r>
      <w:r>
        <w:rPr>
          <w:spacing w:val="-9"/>
        </w:rPr>
        <w:t>份额持有人大会的，召集人应当至少提前 </w:t>
      </w:r>
      <w:r>
        <w:rPr/>
        <w:t>40</w:t>
      </w:r>
      <w:r>
        <w:rPr>
          <w:spacing w:val="-6"/>
        </w:rPr>
        <w:t> 日公告基金份额持有人大会的召开时间、会议</w:t>
      </w:r>
      <w:r>
        <w:rPr>
          <w:spacing w:val="-4"/>
        </w:rPr>
        <w:t>形式、审议事项、议事程序和表决方式等事项。</w:t>
      </w:r>
    </w:p>
    <w:p>
      <w:pPr>
        <w:pStyle w:val="BodyText"/>
        <w:spacing w:line="364" w:lineRule="auto"/>
        <w:ind w:right="311" w:firstLine="419"/>
        <w:jc w:val="both"/>
      </w:pPr>
      <w:r>
        <w:rPr>
          <w:spacing w:val="-7"/>
        </w:rPr>
        <w:t>基金份额持有人依法自行召集基金份额持有人大会，本基金管理人、本基金托管人对基</w:t>
      </w:r>
      <w:r>
        <w:rPr>
          <w:spacing w:val="-9"/>
        </w:rPr>
        <w:t>金份额持有人大会决定的事项不依法履行信息披露义务的，召集人应当履行相关信息披露义务。</w:t>
      </w:r>
    </w:p>
    <w:p>
      <w:pPr>
        <w:pStyle w:val="BodyText"/>
        <w:spacing w:line="269" w:lineRule="exact"/>
        <w:ind w:left="540"/>
      </w:pPr>
      <w:r>
        <w:rPr/>
        <w:t>（十）清算报告</w:t>
      </w:r>
    </w:p>
    <w:p>
      <w:pPr>
        <w:pStyle w:val="BodyText"/>
        <w:spacing w:line="364" w:lineRule="auto" w:before="139"/>
        <w:ind w:right="311" w:firstLine="419"/>
        <w:jc w:val="both"/>
      </w:pPr>
      <w:r>
        <w:rPr>
          <w:spacing w:val="-12"/>
        </w:rPr>
        <w:t>基金合同终止的，基金管理人应当依法组织基金财产清算小组对基金财产进行清算并作出清算报告。基金财产清算小组应当将清算报告登载在指定网站上，并将清算报告提示性公</w:t>
      </w:r>
      <w:r>
        <w:rPr>
          <w:spacing w:val="-6"/>
        </w:rPr>
        <w:t>告登载在指定报刊上。</w:t>
      </w:r>
    </w:p>
    <w:p>
      <w:pPr>
        <w:pStyle w:val="BodyText"/>
        <w:spacing w:line="267" w:lineRule="exact"/>
        <w:ind w:left="540"/>
      </w:pPr>
      <w:r>
        <w:rPr/>
        <w:t>（十一）中国证监会规定的其他信息。</w:t>
      </w:r>
    </w:p>
    <w:p>
      <w:pPr>
        <w:pStyle w:val="BodyText"/>
        <w:ind w:left="0"/>
        <w:rPr>
          <w:sz w:val="20"/>
        </w:rPr>
      </w:pPr>
    </w:p>
    <w:p>
      <w:pPr>
        <w:pStyle w:val="BodyText"/>
        <w:spacing w:before="11"/>
        <w:ind w:left="0"/>
        <w:rPr>
          <w:sz w:val="22"/>
        </w:rPr>
      </w:pPr>
    </w:p>
    <w:p>
      <w:pPr>
        <w:pStyle w:val="BodyText"/>
        <w:ind w:left="540"/>
      </w:pPr>
      <w:r>
        <w:rPr>
          <w:spacing w:val="-3"/>
        </w:rPr>
        <w:t>六、信息披露事务管理</w:t>
      </w:r>
    </w:p>
    <w:p>
      <w:pPr>
        <w:pStyle w:val="BodyText"/>
        <w:spacing w:line="364" w:lineRule="auto" w:before="139"/>
        <w:ind w:right="311" w:firstLine="419"/>
      </w:pPr>
      <w:r>
        <w:rPr>
          <w:spacing w:val="-10"/>
        </w:rPr>
        <w:t>基金管理人、基金托管人应当建立健全信息披露管理制度，指定专门部门及高级管理人</w:t>
      </w:r>
      <w:r>
        <w:rPr>
          <w:spacing w:val="-5"/>
        </w:rPr>
        <w:t>员负责管理信息披露事务。</w:t>
      </w:r>
    </w:p>
    <w:p>
      <w:pPr>
        <w:pStyle w:val="BodyText"/>
        <w:spacing w:line="364" w:lineRule="auto" w:before="1"/>
        <w:ind w:right="311" w:firstLine="419"/>
      </w:pPr>
      <w:r>
        <w:rPr>
          <w:spacing w:val="-9"/>
        </w:rPr>
        <w:t>基金信息披露义务人公开披露基金信息，应当符合中国证监会相关基金信息披露内容与</w:t>
      </w:r>
      <w:r>
        <w:rPr>
          <w:spacing w:val="-5"/>
        </w:rPr>
        <w:t>格式准则等法律法规规定。</w:t>
      </w:r>
    </w:p>
    <w:p>
      <w:pPr>
        <w:pStyle w:val="BodyText"/>
        <w:spacing w:line="364" w:lineRule="auto"/>
        <w:ind w:right="311" w:firstLine="419"/>
        <w:jc w:val="both"/>
      </w:pPr>
      <w:r>
        <w:rPr>
          <w:spacing w:val="-8"/>
        </w:rPr>
        <w:t>基金托管人应当按照相关法律法规、中国证监会的规定和《基金合同》的约定，对基金</w:t>
      </w:r>
      <w:r>
        <w:rPr>
          <w:spacing w:val="-10"/>
        </w:rPr>
        <w:t>管理人编制的基金资产净值、基金份额净值、基金份额申购赎回价格、基金定期报告、更新</w:t>
      </w:r>
      <w:r>
        <w:rPr>
          <w:spacing w:val="-12"/>
        </w:rPr>
        <w:t>的招募说明书、基金产品资料概要、基金清算报告等公开披露的相关基金信息进行复核、审</w:t>
      </w:r>
      <w:r>
        <w:rPr>
          <w:spacing w:val="-6"/>
        </w:rPr>
        <w:t>查，并向基金管理人进行书面或电子确认。</w:t>
      </w:r>
    </w:p>
    <w:p>
      <w:pPr>
        <w:pStyle w:val="BodyText"/>
        <w:spacing w:line="364" w:lineRule="auto"/>
        <w:ind w:right="205" w:firstLine="419"/>
      </w:pPr>
      <w:r>
        <w:rPr>
          <w:spacing w:val="-15"/>
        </w:rPr>
        <w:t>基金管理人、基金托管人应当在指定报刊中选择一家报刊披露本基金信息。基金管理人、</w:t>
      </w:r>
      <w:r>
        <w:rPr>
          <w:spacing w:val="-10"/>
        </w:rPr>
        <w:t>基金托管人应当向中国证监会基金电子披露网站报送拟披露的基金信息，并保证相关报送信</w:t>
      </w:r>
      <w:r>
        <w:rPr>
          <w:spacing w:val="-5"/>
        </w:rPr>
        <w:t>息的真实、准确、完整、及时。</w:t>
      </w:r>
    </w:p>
    <w:p>
      <w:pPr>
        <w:pStyle w:val="BodyText"/>
        <w:spacing w:line="364" w:lineRule="auto"/>
        <w:ind w:right="311" w:firstLine="419"/>
        <w:jc w:val="both"/>
      </w:pPr>
      <w:r>
        <w:rPr>
          <w:spacing w:val="-10"/>
        </w:rPr>
        <w:t>基金管理人、基金托管人除依法在指定媒介上披露信息外，还可以根据需要在其他公共</w:t>
      </w:r>
      <w:r>
        <w:rPr>
          <w:spacing w:val="-12"/>
        </w:rPr>
        <w:t>媒介披露信息，但是其他公共媒介不得早于指定媒介披露信息，并且在不同媒介上披露同一</w:t>
      </w:r>
      <w:r>
        <w:rPr>
          <w:spacing w:val="-6"/>
        </w:rPr>
        <w:t>信息的内容应当一致。</w:t>
      </w:r>
    </w:p>
    <w:p>
      <w:pPr>
        <w:pStyle w:val="BodyText"/>
        <w:ind w:left="540"/>
      </w:pPr>
      <w:r>
        <w:rPr/>
        <w:t>基金管理人、基金托管人除按法律法规要求披露信息外、也可着眼于为投资者决策提供</w:t>
      </w:r>
    </w:p>
    <w:p>
      <w:pPr>
        <w:spacing w:after="0"/>
        <w:sectPr>
          <w:pgSz w:w="11910" w:h="16840"/>
          <w:pgMar w:header="877" w:footer="1195" w:top="1380" w:bottom="1380" w:left="1680" w:right="1480"/>
        </w:sectPr>
      </w:pPr>
    </w:p>
    <w:p>
      <w:pPr>
        <w:pStyle w:val="BodyText"/>
        <w:spacing w:line="364" w:lineRule="auto" w:before="61"/>
        <w:ind w:right="208"/>
      </w:pPr>
      <w:r>
        <w:rPr>
          <w:spacing w:val="-10"/>
        </w:rPr>
        <w:t>有用信息的角度，在保证公平对待投资者、不误导投资者、不影响基金正常投资操作的前提</w:t>
      </w:r>
      <w:r>
        <w:rPr>
          <w:spacing w:val="-5"/>
        </w:rPr>
        <w:t>下，自主提升信息披露服务的质量。具体要求应当符合中国证监会及自律规则的相关规定。</w:t>
      </w:r>
      <w:r>
        <w:rPr>
          <w:spacing w:val="-4"/>
        </w:rPr>
        <w:t>前述自主披露如产生信息披露费用，该费用不得从基金财产中列支。</w:t>
      </w:r>
    </w:p>
    <w:p>
      <w:pPr>
        <w:pStyle w:val="BodyText"/>
        <w:spacing w:line="364" w:lineRule="auto"/>
        <w:ind w:right="311" w:firstLine="419"/>
      </w:pPr>
      <w:r>
        <w:rPr>
          <w:spacing w:val="-7"/>
        </w:rPr>
        <w:t>为基金信息披露义务人公开披露的基金信息出具审计报告、法律意见书的专业机构，应</w:t>
      </w:r>
      <w:r>
        <w:rPr>
          <w:spacing w:val="-5"/>
        </w:rPr>
        <w:t>当制作工作底稿，并将相关档案至少保存到基金合同终止后 </w:t>
      </w:r>
      <w:r>
        <w:rPr/>
        <w:t>10</w:t>
      </w:r>
      <w:r>
        <w:rPr>
          <w:spacing w:val="-2"/>
        </w:rPr>
        <w:t> 年。</w:t>
      </w:r>
    </w:p>
    <w:p>
      <w:pPr>
        <w:pStyle w:val="BodyText"/>
        <w:ind w:left="0"/>
        <w:rPr>
          <w:sz w:val="20"/>
        </w:rPr>
      </w:pPr>
    </w:p>
    <w:p>
      <w:pPr>
        <w:pStyle w:val="BodyText"/>
        <w:spacing w:before="149"/>
        <w:ind w:left="540"/>
      </w:pPr>
      <w:r>
        <w:rPr/>
        <w:t>七、信息披露文件的存放与查阅</w:t>
      </w:r>
    </w:p>
    <w:p>
      <w:pPr>
        <w:pStyle w:val="BodyText"/>
        <w:spacing w:line="364" w:lineRule="auto" w:before="142"/>
        <w:ind w:right="311" w:firstLine="419"/>
      </w:pPr>
      <w:r>
        <w:rPr>
          <w:spacing w:val="-10"/>
        </w:rPr>
        <w:t>依法必须披露的信息发布后，基金管理人、基金托管人应当按照相关法律法规规定将信</w:t>
      </w:r>
      <w:r>
        <w:rPr>
          <w:spacing w:val="-5"/>
        </w:rPr>
        <w:t>息置备于各自住所，供社会公众查阅、复制。</w:t>
      </w:r>
    </w:p>
    <w:p>
      <w:pPr>
        <w:pStyle w:val="BodyText"/>
        <w:ind w:left="0"/>
        <w:rPr>
          <w:sz w:val="20"/>
        </w:rPr>
      </w:pPr>
    </w:p>
    <w:p>
      <w:pPr>
        <w:pStyle w:val="BodyText"/>
        <w:spacing w:before="131"/>
        <w:ind w:left="540"/>
      </w:pPr>
      <w:r>
        <w:rPr/>
        <w:t>八、本基金信息披露事项以法律法规规定及本章节约定的内容为准。</w:t>
      </w:r>
    </w:p>
    <w:p>
      <w:pPr>
        <w:pStyle w:val="BodyText"/>
        <w:ind w:left="0"/>
        <w:rPr>
          <w:sz w:val="20"/>
        </w:rPr>
      </w:pPr>
    </w:p>
    <w:p>
      <w:pPr>
        <w:pStyle w:val="BodyText"/>
        <w:ind w:left="0"/>
        <w:rPr>
          <w:sz w:val="20"/>
        </w:rPr>
      </w:pPr>
    </w:p>
    <w:p>
      <w:pPr>
        <w:pStyle w:val="Heading1"/>
        <w:spacing w:before="170"/>
        <w:ind w:left="400" w:right="0"/>
      </w:pPr>
      <w:bookmarkStart w:name="_bookmark17" w:id="18"/>
      <w:bookmarkEnd w:id="18"/>
      <w:r>
        <w:rPr/>
      </w:r>
      <w:r>
        <w:rPr/>
        <w:t>十八、基金合同的变更、终止与基金财产的清算</w:t>
      </w:r>
    </w:p>
    <w:p>
      <w:pPr>
        <w:pStyle w:val="BodyText"/>
        <w:ind w:left="0"/>
        <w:rPr>
          <w:rFonts w:ascii="黑体"/>
          <w:sz w:val="28"/>
        </w:rPr>
      </w:pPr>
    </w:p>
    <w:p>
      <w:pPr>
        <w:pStyle w:val="BodyText"/>
        <w:ind w:left="540"/>
      </w:pPr>
      <w:r>
        <w:rPr/>
        <w:t>一、《基金合同》的变更</w:t>
      </w:r>
    </w:p>
    <w:p>
      <w:pPr>
        <w:pStyle w:val="BodyText"/>
        <w:spacing w:before="139"/>
        <w:ind w:left="540"/>
      </w:pPr>
      <w:r>
        <w:rPr/>
        <w:t>1、以下变更基金合同的事项应经基金份额持有人大会决议通过：</w:t>
      </w:r>
    </w:p>
    <w:p>
      <w:pPr>
        <w:pStyle w:val="ListParagraph"/>
        <w:numPr>
          <w:ilvl w:val="0"/>
          <w:numId w:val="31"/>
        </w:numPr>
        <w:tabs>
          <w:tab w:pos="1070" w:val="left" w:leader="none"/>
        </w:tabs>
        <w:spacing w:line="240" w:lineRule="auto" w:before="139" w:after="0"/>
        <w:ind w:left="1069" w:right="0" w:hanging="530"/>
        <w:jc w:val="left"/>
        <w:rPr>
          <w:sz w:val="21"/>
        </w:rPr>
      </w:pPr>
      <w:r>
        <w:rPr>
          <w:spacing w:val="-15"/>
          <w:sz w:val="21"/>
        </w:rPr>
        <w:t>终止《基金合同》；</w:t>
      </w:r>
    </w:p>
    <w:p>
      <w:pPr>
        <w:pStyle w:val="ListParagraph"/>
        <w:numPr>
          <w:ilvl w:val="0"/>
          <w:numId w:val="31"/>
        </w:numPr>
        <w:tabs>
          <w:tab w:pos="1070" w:val="left" w:leader="none"/>
        </w:tabs>
        <w:spacing w:line="240" w:lineRule="auto" w:before="139" w:after="0"/>
        <w:ind w:left="1069" w:right="0" w:hanging="530"/>
        <w:jc w:val="left"/>
        <w:rPr>
          <w:sz w:val="21"/>
        </w:rPr>
      </w:pPr>
      <w:r>
        <w:rPr>
          <w:spacing w:val="-3"/>
          <w:sz w:val="21"/>
        </w:rPr>
        <w:t>更换基金管理人；</w:t>
      </w:r>
    </w:p>
    <w:p>
      <w:pPr>
        <w:pStyle w:val="ListParagraph"/>
        <w:numPr>
          <w:ilvl w:val="0"/>
          <w:numId w:val="31"/>
        </w:numPr>
        <w:tabs>
          <w:tab w:pos="1070" w:val="left" w:leader="none"/>
        </w:tabs>
        <w:spacing w:line="240" w:lineRule="auto" w:before="139" w:after="0"/>
        <w:ind w:left="1069" w:right="0" w:hanging="530"/>
        <w:jc w:val="left"/>
        <w:rPr>
          <w:sz w:val="21"/>
        </w:rPr>
      </w:pPr>
      <w:r>
        <w:rPr>
          <w:spacing w:val="-3"/>
          <w:sz w:val="21"/>
        </w:rPr>
        <w:t>更换基金托管人；</w:t>
      </w:r>
    </w:p>
    <w:p>
      <w:pPr>
        <w:pStyle w:val="ListParagraph"/>
        <w:numPr>
          <w:ilvl w:val="0"/>
          <w:numId w:val="31"/>
        </w:numPr>
        <w:tabs>
          <w:tab w:pos="1070" w:val="left" w:leader="none"/>
        </w:tabs>
        <w:spacing w:line="240" w:lineRule="auto" w:before="141" w:after="0"/>
        <w:ind w:left="1069" w:right="0" w:hanging="530"/>
        <w:jc w:val="left"/>
        <w:rPr>
          <w:sz w:val="21"/>
        </w:rPr>
      </w:pPr>
      <w:r>
        <w:rPr>
          <w:spacing w:val="-3"/>
          <w:sz w:val="21"/>
        </w:rPr>
        <w:t>转换基金运作方式；</w:t>
      </w:r>
    </w:p>
    <w:p>
      <w:pPr>
        <w:pStyle w:val="ListParagraph"/>
        <w:numPr>
          <w:ilvl w:val="0"/>
          <w:numId w:val="31"/>
        </w:numPr>
        <w:tabs>
          <w:tab w:pos="1070" w:val="left" w:leader="none"/>
        </w:tabs>
        <w:spacing w:line="240" w:lineRule="auto" w:before="139" w:after="0"/>
        <w:ind w:left="1069" w:right="0" w:hanging="530"/>
        <w:jc w:val="left"/>
        <w:rPr>
          <w:sz w:val="21"/>
        </w:rPr>
      </w:pPr>
      <w:r>
        <w:rPr>
          <w:spacing w:val="-3"/>
          <w:sz w:val="21"/>
        </w:rPr>
        <w:t>提高基金管理人、基金托管人的报酬标准；</w:t>
      </w:r>
    </w:p>
    <w:p>
      <w:pPr>
        <w:pStyle w:val="ListParagraph"/>
        <w:numPr>
          <w:ilvl w:val="0"/>
          <w:numId w:val="31"/>
        </w:numPr>
        <w:tabs>
          <w:tab w:pos="1070" w:val="left" w:leader="none"/>
        </w:tabs>
        <w:spacing w:line="240" w:lineRule="auto" w:before="139" w:after="0"/>
        <w:ind w:left="1069" w:right="0" w:hanging="530"/>
        <w:jc w:val="left"/>
        <w:rPr>
          <w:sz w:val="21"/>
        </w:rPr>
      </w:pPr>
      <w:r>
        <w:rPr>
          <w:spacing w:val="-3"/>
          <w:sz w:val="21"/>
        </w:rPr>
        <w:t>变更基金类别；</w:t>
      </w:r>
    </w:p>
    <w:p>
      <w:pPr>
        <w:pStyle w:val="ListParagraph"/>
        <w:numPr>
          <w:ilvl w:val="0"/>
          <w:numId w:val="31"/>
        </w:numPr>
        <w:tabs>
          <w:tab w:pos="1070" w:val="left" w:leader="none"/>
        </w:tabs>
        <w:spacing w:line="240" w:lineRule="auto" w:before="139" w:after="0"/>
        <w:ind w:left="1069" w:right="0" w:hanging="530"/>
        <w:jc w:val="left"/>
        <w:rPr>
          <w:sz w:val="21"/>
        </w:rPr>
      </w:pPr>
      <w:r>
        <w:rPr>
          <w:spacing w:val="-3"/>
          <w:sz w:val="21"/>
        </w:rPr>
        <w:t>变更基金投资目标、范围或策略；</w:t>
      </w:r>
    </w:p>
    <w:p>
      <w:pPr>
        <w:pStyle w:val="ListParagraph"/>
        <w:numPr>
          <w:ilvl w:val="0"/>
          <w:numId w:val="31"/>
        </w:numPr>
        <w:tabs>
          <w:tab w:pos="1070" w:val="left" w:leader="none"/>
        </w:tabs>
        <w:spacing w:line="240" w:lineRule="auto" w:before="139" w:after="0"/>
        <w:ind w:left="1069" w:right="0" w:hanging="530"/>
        <w:jc w:val="left"/>
        <w:rPr>
          <w:sz w:val="21"/>
        </w:rPr>
      </w:pPr>
      <w:r>
        <w:rPr>
          <w:spacing w:val="-3"/>
          <w:sz w:val="21"/>
        </w:rPr>
        <w:t>变更基金份额持有人大会程序；</w:t>
      </w:r>
    </w:p>
    <w:p>
      <w:pPr>
        <w:pStyle w:val="ListParagraph"/>
        <w:numPr>
          <w:ilvl w:val="0"/>
          <w:numId w:val="31"/>
        </w:numPr>
        <w:tabs>
          <w:tab w:pos="1070" w:val="left" w:leader="none"/>
        </w:tabs>
        <w:spacing w:line="240" w:lineRule="auto" w:before="142" w:after="0"/>
        <w:ind w:left="1069" w:right="0" w:hanging="530"/>
        <w:jc w:val="left"/>
        <w:rPr>
          <w:sz w:val="21"/>
        </w:rPr>
      </w:pPr>
      <w:r>
        <w:rPr>
          <w:spacing w:val="-3"/>
          <w:sz w:val="21"/>
        </w:rPr>
        <w:t>对基金当事人权利和义务产生重大影响的事项；</w:t>
      </w:r>
    </w:p>
    <w:p>
      <w:pPr>
        <w:pStyle w:val="BodyText"/>
        <w:spacing w:line="364" w:lineRule="auto" w:before="139"/>
        <w:ind w:right="311" w:firstLine="419"/>
        <w:jc w:val="both"/>
      </w:pPr>
      <w:r>
        <w:rPr/>
        <w:t>2</w:t>
      </w:r>
      <w:r>
        <w:rPr>
          <w:spacing w:val="-3"/>
        </w:rPr>
        <w:t>、基金合同变更的内容对基金合同当事人权利、义务产生重大影响的，应经基金份额</w:t>
      </w:r>
      <w:r>
        <w:rPr>
          <w:spacing w:val="-9"/>
        </w:rPr>
        <w:t>持有人大会决议同意，并报中国证监会核准或备案。但如因相应的法律、法规发生变动并属</w:t>
      </w:r>
      <w:r>
        <w:rPr>
          <w:spacing w:val="-10"/>
        </w:rPr>
        <w:t>于基金合同必须遵照进行修改的情形，或者基金合同另有规定的，可不经基金份额持有人大</w:t>
      </w:r>
      <w:r>
        <w:rPr>
          <w:spacing w:val="-5"/>
        </w:rPr>
        <w:t>会决议，而经基金管理人和基金托管人同意后修改，并报证监会备案。</w:t>
      </w:r>
    </w:p>
    <w:p>
      <w:pPr>
        <w:pStyle w:val="BodyText"/>
        <w:spacing w:line="364" w:lineRule="auto"/>
        <w:ind w:right="314" w:firstLine="419"/>
      </w:pPr>
      <w:r>
        <w:rPr/>
        <w:t>3、依现行有效的有关法律法规，对《基金合同》的变更自中国证监会核准或出具无异议意见之日起生效。</w:t>
      </w:r>
    </w:p>
    <w:p>
      <w:pPr>
        <w:pStyle w:val="BodyText"/>
        <w:spacing w:line="364" w:lineRule="auto"/>
        <w:ind w:right="311" w:firstLine="419"/>
        <w:jc w:val="both"/>
      </w:pPr>
      <w:r>
        <w:rPr/>
        <w:t>4</w:t>
      </w:r>
      <w:r>
        <w:rPr>
          <w:spacing w:val="-8"/>
        </w:rPr>
        <w:t>、除依本《基金合同》和</w:t>
      </w:r>
      <w:r>
        <w:rPr/>
        <w:t>/</w:t>
      </w:r>
      <w:r>
        <w:rPr>
          <w:spacing w:val="-7"/>
        </w:rPr>
        <w:t>或依现行有效的有关法律法规，对《基金合同》的变更须基</w:t>
      </w:r>
      <w:r>
        <w:rPr>
          <w:spacing w:val="-4"/>
        </w:rPr>
        <w:t>金份额持有人大会决议通过和</w:t>
      </w:r>
      <w:r>
        <w:rPr/>
        <w:t>/</w:t>
      </w:r>
      <w:r>
        <w:rPr>
          <w:spacing w:val="-3"/>
        </w:rPr>
        <w:t>或须报中国证监会核准以外的情形，经基金管理人和基金托管人同意可对《基金合同》进行变更后公布，并报中国证监会备案。</w:t>
      </w:r>
    </w:p>
    <w:p>
      <w:pPr>
        <w:spacing w:after="0" w:line="364" w:lineRule="auto"/>
        <w:jc w:val="both"/>
        <w:sectPr>
          <w:pgSz w:w="11910" w:h="16840"/>
          <w:pgMar w:header="877" w:footer="1195" w:top="1380" w:bottom="1380" w:left="1680" w:right="1480"/>
        </w:sectPr>
      </w:pPr>
    </w:p>
    <w:p>
      <w:pPr>
        <w:pStyle w:val="BodyText"/>
        <w:ind w:left="0"/>
        <w:rPr>
          <w:sz w:val="20"/>
        </w:rPr>
      </w:pPr>
    </w:p>
    <w:p>
      <w:pPr>
        <w:pStyle w:val="BodyText"/>
        <w:spacing w:before="8"/>
        <w:ind w:left="0"/>
        <w:rPr>
          <w:sz w:val="16"/>
        </w:rPr>
      </w:pPr>
    </w:p>
    <w:p>
      <w:pPr>
        <w:pStyle w:val="BodyText"/>
        <w:ind w:left="540"/>
      </w:pPr>
      <w:r>
        <w:rPr/>
        <w:t>二、《基金合同》的终止</w:t>
      </w:r>
    </w:p>
    <w:p>
      <w:pPr>
        <w:pStyle w:val="BodyText"/>
        <w:spacing w:line="367" w:lineRule="auto" w:before="139"/>
        <w:ind w:left="540" w:right="4410"/>
      </w:pPr>
      <w:r>
        <w:rPr/>
        <w:t>有下列情形之一的，基金合同应当终止： 1、基金份额持有人大会决定终止的；</w:t>
      </w:r>
    </w:p>
    <w:p>
      <w:pPr>
        <w:pStyle w:val="BodyText"/>
        <w:spacing w:line="364" w:lineRule="auto"/>
        <w:ind w:right="311" w:firstLine="419"/>
      </w:pPr>
      <w:r>
        <w:rPr/>
        <w:t>2</w:t>
      </w:r>
      <w:r>
        <w:rPr>
          <w:spacing w:val="-9"/>
        </w:rPr>
        <w:t>、基金管理人、基金托管人职责终止，在 </w:t>
      </w:r>
      <w:r>
        <w:rPr/>
        <w:t>6</w:t>
      </w:r>
      <w:r>
        <w:rPr>
          <w:spacing w:val="-4"/>
        </w:rPr>
        <w:t> 个月内没有新基金管理人、新基金托管人</w:t>
      </w:r>
      <w:r>
        <w:rPr>
          <w:spacing w:val="-3"/>
        </w:rPr>
        <w:t>承接的；</w:t>
      </w:r>
    </w:p>
    <w:p>
      <w:pPr>
        <w:pStyle w:val="BodyText"/>
        <w:spacing w:line="267" w:lineRule="exact"/>
        <w:ind w:left="540"/>
      </w:pPr>
      <w:r>
        <w:rPr/>
        <w:t>3、《基金合同》约定的其他情形；</w:t>
      </w:r>
    </w:p>
    <w:p>
      <w:pPr>
        <w:pStyle w:val="BodyText"/>
        <w:spacing w:before="136"/>
        <w:ind w:left="540"/>
      </w:pPr>
      <w:r>
        <w:rPr/>
        <w:t>4、相关法律法规和中国证监会规定的其他情况。</w:t>
      </w:r>
    </w:p>
    <w:p>
      <w:pPr>
        <w:pStyle w:val="BodyText"/>
        <w:ind w:left="0"/>
        <w:rPr>
          <w:sz w:val="20"/>
        </w:rPr>
      </w:pPr>
    </w:p>
    <w:p>
      <w:pPr>
        <w:pStyle w:val="BodyText"/>
        <w:spacing w:before="10"/>
        <w:ind w:left="0"/>
        <w:rPr>
          <w:sz w:val="22"/>
        </w:rPr>
      </w:pPr>
    </w:p>
    <w:p>
      <w:pPr>
        <w:pStyle w:val="BodyText"/>
        <w:ind w:left="540"/>
      </w:pPr>
      <w:r>
        <w:rPr/>
        <w:t>三、基金财产的清算</w:t>
      </w:r>
    </w:p>
    <w:p>
      <w:pPr>
        <w:pStyle w:val="BodyText"/>
        <w:spacing w:line="364" w:lineRule="auto" w:before="139"/>
        <w:ind w:right="311" w:firstLine="419"/>
        <w:jc w:val="both"/>
      </w:pPr>
      <w:r>
        <w:rPr/>
        <w:t>1</w:t>
      </w:r>
      <w:r>
        <w:rPr>
          <w:spacing w:val="-16"/>
        </w:rPr>
        <w:t>、基金财产清算小组：自出现基金合同终止事由之日起 </w:t>
      </w:r>
      <w:r>
        <w:rPr/>
        <w:t>30</w:t>
      </w:r>
      <w:r>
        <w:rPr>
          <w:spacing w:val="-3"/>
        </w:rPr>
        <w:t> 个工作日内成立清算小组， 基金管理人组织基金财产清算小组并在中国证监会的监督下进行基金清算。</w:t>
      </w:r>
    </w:p>
    <w:p>
      <w:pPr>
        <w:pStyle w:val="BodyText"/>
        <w:spacing w:line="364" w:lineRule="auto"/>
        <w:ind w:right="311" w:firstLine="419"/>
        <w:jc w:val="both"/>
      </w:pPr>
      <w:r>
        <w:rPr/>
        <w:t>2</w:t>
      </w:r>
      <w:r>
        <w:rPr>
          <w:spacing w:val="-3"/>
        </w:rPr>
        <w:t>、基金财产清算小组组成：基金财产清算小组成员由基金管理人、基金托管人、具有</w:t>
      </w:r>
      <w:r>
        <w:rPr>
          <w:spacing w:val="-10"/>
        </w:rPr>
        <w:t>从事证券、期货相关业务资格的注册会计师、律师以及中国证监会指定的人员组成。基金财</w:t>
      </w:r>
      <w:r>
        <w:rPr>
          <w:spacing w:val="-5"/>
        </w:rPr>
        <w:t>产清算小组可以聘用必要的工作人员。</w:t>
      </w:r>
    </w:p>
    <w:p>
      <w:pPr>
        <w:pStyle w:val="BodyText"/>
        <w:spacing w:line="364" w:lineRule="auto"/>
        <w:ind w:right="314" w:firstLine="419"/>
      </w:pPr>
      <w:r>
        <w:rPr/>
        <w:t>3、基金财产清算小组职责：基金财产清算小组负责基金财产的保管、清理、估价、变现和分配。基金财产清算小组可以依法进行必要的民事活动。</w:t>
      </w:r>
    </w:p>
    <w:p>
      <w:pPr>
        <w:pStyle w:val="BodyText"/>
        <w:ind w:left="540"/>
      </w:pPr>
      <w:r>
        <w:rPr/>
        <w:t>4、基金财产清算程序：</w:t>
      </w:r>
    </w:p>
    <w:p>
      <w:pPr>
        <w:pStyle w:val="ListParagraph"/>
        <w:numPr>
          <w:ilvl w:val="0"/>
          <w:numId w:val="32"/>
        </w:numPr>
        <w:tabs>
          <w:tab w:pos="1070" w:val="left" w:leader="none"/>
        </w:tabs>
        <w:spacing w:line="240" w:lineRule="auto" w:before="137" w:after="0"/>
        <w:ind w:left="1069" w:right="0" w:hanging="530"/>
        <w:jc w:val="left"/>
        <w:rPr>
          <w:sz w:val="21"/>
        </w:rPr>
      </w:pPr>
      <w:r>
        <w:rPr>
          <w:spacing w:val="-3"/>
          <w:sz w:val="21"/>
        </w:rPr>
        <w:t>基金合同终止后，由基金财产清算小组统一接管基金；</w:t>
      </w:r>
    </w:p>
    <w:p>
      <w:pPr>
        <w:pStyle w:val="ListParagraph"/>
        <w:numPr>
          <w:ilvl w:val="0"/>
          <w:numId w:val="32"/>
        </w:numPr>
        <w:tabs>
          <w:tab w:pos="1070" w:val="left" w:leader="none"/>
        </w:tabs>
        <w:spacing w:line="240" w:lineRule="auto" w:before="139" w:after="0"/>
        <w:ind w:left="1069" w:right="0" w:hanging="530"/>
        <w:jc w:val="left"/>
        <w:rPr>
          <w:sz w:val="21"/>
        </w:rPr>
      </w:pPr>
      <w:r>
        <w:rPr>
          <w:spacing w:val="-3"/>
          <w:sz w:val="21"/>
        </w:rPr>
        <w:t>对基金财产和债权债务进行清理和确认；</w:t>
      </w:r>
    </w:p>
    <w:p>
      <w:pPr>
        <w:pStyle w:val="ListParagraph"/>
        <w:numPr>
          <w:ilvl w:val="0"/>
          <w:numId w:val="32"/>
        </w:numPr>
        <w:tabs>
          <w:tab w:pos="1070" w:val="left" w:leader="none"/>
        </w:tabs>
        <w:spacing w:line="240" w:lineRule="auto" w:before="139" w:after="0"/>
        <w:ind w:left="1069" w:right="0" w:hanging="530"/>
        <w:jc w:val="left"/>
        <w:rPr>
          <w:sz w:val="21"/>
        </w:rPr>
      </w:pPr>
      <w:r>
        <w:rPr>
          <w:spacing w:val="-3"/>
          <w:sz w:val="21"/>
        </w:rPr>
        <w:t>对基金财产进行估值和变现；</w:t>
      </w:r>
    </w:p>
    <w:p>
      <w:pPr>
        <w:pStyle w:val="ListParagraph"/>
        <w:numPr>
          <w:ilvl w:val="0"/>
          <w:numId w:val="32"/>
        </w:numPr>
        <w:tabs>
          <w:tab w:pos="1070" w:val="left" w:leader="none"/>
        </w:tabs>
        <w:spacing w:line="240" w:lineRule="auto" w:before="141" w:after="0"/>
        <w:ind w:left="1069" w:right="0" w:hanging="530"/>
        <w:jc w:val="left"/>
        <w:rPr>
          <w:sz w:val="21"/>
        </w:rPr>
      </w:pPr>
      <w:r>
        <w:rPr>
          <w:spacing w:val="-3"/>
          <w:sz w:val="21"/>
        </w:rPr>
        <w:t>对基金财产进行分配；</w:t>
      </w:r>
    </w:p>
    <w:p>
      <w:pPr>
        <w:pStyle w:val="ListParagraph"/>
        <w:numPr>
          <w:ilvl w:val="0"/>
          <w:numId w:val="32"/>
        </w:numPr>
        <w:tabs>
          <w:tab w:pos="1070" w:val="left" w:leader="none"/>
        </w:tabs>
        <w:spacing w:line="240" w:lineRule="auto" w:before="139" w:after="0"/>
        <w:ind w:left="1069" w:right="0" w:hanging="530"/>
        <w:jc w:val="left"/>
        <w:rPr>
          <w:sz w:val="21"/>
        </w:rPr>
      </w:pPr>
      <w:r>
        <w:rPr>
          <w:spacing w:val="-3"/>
          <w:sz w:val="21"/>
        </w:rPr>
        <w:t>制作清算报告；</w:t>
      </w:r>
    </w:p>
    <w:p>
      <w:pPr>
        <w:pStyle w:val="ListParagraph"/>
        <w:numPr>
          <w:ilvl w:val="0"/>
          <w:numId w:val="32"/>
        </w:numPr>
        <w:tabs>
          <w:tab w:pos="1070" w:val="left" w:leader="none"/>
        </w:tabs>
        <w:spacing w:line="364" w:lineRule="auto" w:before="139" w:after="0"/>
        <w:ind w:left="120" w:right="314" w:firstLine="419"/>
        <w:jc w:val="left"/>
        <w:rPr>
          <w:sz w:val="21"/>
        </w:rPr>
      </w:pPr>
      <w:r>
        <w:rPr>
          <w:spacing w:val="-3"/>
          <w:sz w:val="21"/>
        </w:rPr>
        <w:t>聘请会计师事务所对清算报告进行外部审计，聘请律师事务所对清算报告出具法律意见书；</w:t>
      </w:r>
    </w:p>
    <w:p>
      <w:pPr>
        <w:pStyle w:val="ListParagraph"/>
        <w:numPr>
          <w:ilvl w:val="0"/>
          <w:numId w:val="32"/>
        </w:numPr>
        <w:tabs>
          <w:tab w:pos="1070" w:val="left" w:leader="none"/>
        </w:tabs>
        <w:spacing w:line="367" w:lineRule="auto" w:before="0" w:after="0"/>
        <w:ind w:left="540" w:right="4106" w:firstLine="0"/>
        <w:jc w:val="left"/>
        <w:rPr>
          <w:sz w:val="21"/>
        </w:rPr>
      </w:pPr>
      <w:r>
        <w:rPr>
          <w:spacing w:val="-4"/>
          <w:sz w:val="21"/>
        </w:rPr>
        <w:t>将清算报告报中国证监会备案并公告。</w:t>
      </w:r>
      <w:r>
        <w:rPr>
          <w:sz w:val="21"/>
        </w:rPr>
        <w:t>5</w:t>
      </w:r>
      <w:r>
        <w:rPr>
          <w:spacing w:val="-3"/>
          <w:sz w:val="21"/>
        </w:rPr>
        <w:t>、基金财产清算的期限为 </w:t>
      </w:r>
      <w:r>
        <w:rPr>
          <w:sz w:val="21"/>
        </w:rPr>
        <w:t>6</w:t>
      </w:r>
      <w:r>
        <w:rPr>
          <w:spacing w:val="-1"/>
          <w:sz w:val="21"/>
        </w:rPr>
        <w:t> 个月。</w:t>
      </w:r>
    </w:p>
    <w:p>
      <w:pPr>
        <w:pStyle w:val="BodyText"/>
        <w:ind w:left="0"/>
        <w:rPr>
          <w:sz w:val="20"/>
        </w:rPr>
      </w:pPr>
    </w:p>
    <w:p>
      <w:pPr>
        <w:pStyle w:val="BodyText"/>
        <w:spacing w:before="146"/>
        <w:ind w:left="540"/>
      </w:pPr>
      <w:r>
        <w:rPr/>
        <w:t>四、清算费用</w:t>
      </w:r>
    </w:p>
    <w:p>
      <w:pPr>
        <w:pStyle w:val="BodyText"/>
        <w:spacing w:line="364" w:lineRule="auto" w:before="138"/>
        <w:ind w:right="311" w:firstLine="419"/>
      </w:pPr>
      <w:r>
        <w:rPr>
          <w:spacing w:val="-6"/>
        </w:rPr>
        <w:t>清算费用是指基金财产清算小组在进行基金清算过程中发生的所有合理费用，清算费用</w:t>
      </w:r>
      <w:r>
        <w:rPr>
          <w:spacing w:val="-4"/>
        </w:rPr>
        <w:t>由基金财产清算小组优先从基金财产中支付。</w:t>
      </w:r>
    </w:p>
    <w:p>
      <w:pPr>
        <w:pStyle w:val="BodyText"/>
        <w:ind w:left="0"/>
        <w:rPr>
          <w:sz w:val="20"/>
        </w:rPr>
      </w:pPr>
    </w:p>
    <w:p>
      <w:pPr>
        <w:pStyle w:val="BodyText"/>
        <w:spacing w:before="153"/>
        <w:ind w:left="540"/>
      </w:pPr>
      <w:r>
        <w:rPr/>
        <w:t>五、基金财产清算剩余资产的分配</w:t>
      </w:r>
    </w:p>
    <w:p>
      <w:pPr>
        <w:pStyle w:val="BodyText"/>
        <w:spacing w:before="139"/>
        <w:ind w:left="540"/>
      </w:pPr>
      <w:r>
        <w:rPr/>
        <w:t>依据基金财产清算的分配方案，将基金财产清算后的全部剩余资产扣除基金财产清算费</w:t>
      </w:r>
    </w:p>
    <w:p>
      <w:pPr>
        <w:spacing w:after="0"/>
        <w:sectPr>
          <w:pgSz w:w="11910" w:h="16840"/>
          <w:pgMar w:header="877" w:footer="1195" w:top="1380" w:bottom="1380" w:left="1680" w:right="1480"/>
        </w:sectPr>
      </w:pPr>
    </w:p>
    <w:p>
      <w:pPr>
        <w:pStyle w:val="BodyText"/>
        <w:spacing w:before="61"/>
      </w:pPr>
      <w:r>
        <w:rPr/>
        <w:t>用后，按基金份额持有人持有的基金份额比例进行分配。</w:t>
      </w:r>
    </w:p>
    <w:p>
      <w:pPr>
        <w:pStyle w:val="BodyText"/>
        <w:ind w:left="0"/>
        <w:rPr>
          <w:sz w:val="20"/>
        </w:rPr>
      </w:pPr>
    </w:p>
    <w:p>
      <w:pPr>
        <w:pStyle w:val="BodyText"/>
        <w:spacing w:before="9"/>
        <w:ind w:left="0"/>
        <w:rPr>
          <w:sz w:val="22"/>
        </w:rPr>
      </w:pPr>
    </w:p>
    <w:p>
      <w:pPr>
        <w:pStyle w:val="BodyText"/>
        <w:ind w:left="540"/>
      </w:pPr>
      <w:r>
        <w:rPr/>
        <w:t>六、基金财产清算的公告</w:t>
      </w:r>
    </w:p>
    <w:p>
      <w:pPr>
        <w:pStyle w:val="BodyText"/>
        <w:spacing w:line="364" w:lineRule="auto" w:before="141"/>
        <w:ind w:right="311" w:firstLine="419"/>
        <w:jc w:val="both"/>
      </w:pPr>
      <w:r>
        <w:rPr>
          <w:spacing w:val="-3"/>
        </w:rPr>
        <w:t>基金财产清算报告在《基金合同》终止并报中国证监会备案后 </w:t>
      </w:r>
      <w:r>
        <w:rPr/>
        <w:t>5</w:t>
      </w:r>
      <w:r>
        <w:rPr>
          <w:spacing w:val="-1"/>
        </w:rPr>
        <w:t> 个工作日内由基金财</w:t>
      </w:r>
      <w:r>
        <w:rPr>
          <w:spacing w:val="-11"/>
        </w:rPr>
        <w:t>产清算小组公告，基金财产清算小组应当将清算报告登载在指定网站上，并将清算报告提示</w:t>
      </w:r>
      <w:r>
        <w:rPr>
          <w:spacing w:val="-12"/>
        </w:rPr>
        <w:t>性公告登载在指定报刊上；清算过程中的有关重大事项须及时公告；基金财产清算报告经具</w:t>
      </w:r>
      <w:r>
        <w:rPr>
          <w:spacing w:val="-13"/>
        </w:rPr>
        <w:t>有证券、期货相关业务资格的会计师事务所审计并由律师事务所出具法律意见书后报中国证</w:t>
      </w:r>
      <w:r>
        <w:rPr>
          <w:spacing w:val="-6"/>
        </w:rPr>
        <w:t>监会备案并公告。</w:t>
      </w:r>
    </w:p>
    <w:p>
      <w:pPr>
        <w:pStyle w:val="BodyText"/>
        <w:ind w:left="0"/>
        <w:rPr>
          <w:sz w:val="20"/>
        </w:rPr>
      </w:pPr>
    </w:p>
    <w:p>
      <w:pPr>
        <w:pStyle w:val="BodyText"/>
        <w:spacing w:before="150"/>
        <w:ind w:left="540"/>
      </w:pPr>
      <w:r>
        <w:rPr/>
        <w:t>七、基金财产清算账册及文件的保存</w:t>
      </w:r>
    </w:p>
    <w:p>
      <w:pPr>
        <w:pStyle w:val="BodyText"/>
        <w:spacing w:before="139"/>
        <w:ind w:left="540"/>
      </w:pPr>
      <w:r>
        <w:rPr/>
        <w:t>基金财产清算账册及有关文件由基金托管人保存 15 年以上。</w:t>
      </w:r>
    </w:p>
    <w:p>
      <w:pPr>
        <w:pStyle w:val="BodyText"/>
        <w:ind w:left="0"/>
        <w:rPr>
          <w:sz w:val="20"/>
        </w:rPr>
      </w:pPr>
    </w:p>
    <w:p>
      <w:pPr>
        <w:pStyle w:val="BodyText"/>
        <w:ind w:left="0"/>
        <w:rPr>
          <w:sz w:val="20"/>
        </w:rPr>
      </w:pPr>
    </w:p>
    <w:p>
      <w:pPr>
        <w:pStyle w:val="BodyText"/>
        <w:spacing w:before="1"/>
        <w:ind w:left="0"/>
        <w:rPr>
          <w:sz w:val="15"/>
        </w:rPr>
      </w:pPr>
    </w:p>
    <w:p>
      <w:pPr>
        <w:spacing w:before="0"/>
        <w:ind w:left="1713" w:right="1273" w:firstLine="0"/>
        <w:jc w:val="center"/>
        <w:rPr>
          <w:rFonts w:ascii="黑体" w:eastAsia="黑体" w:hint="eastAsia"/>
          <w:sz w:val="32"/>
        </w:rPr>
      </w:pPr>
      <w:bookmarkStart w:name="_bookmark18" w:id="19"/>
      <w:bookmarkEnd w:id="19"/>
      <w:r>
        <w:rPr/>
      </w:r>
      <w:r>
        <w:rPr>
          <w:rFonts w:ascii="黑体" w:eastAsia="黑体" w:hint="eastAsia"/>
          <w:sz w:val="32"/>
        </w:rPr>
        <w:t>十九、违约责任</w:t>
      </w:r>
    </w:p>
    <w:p>
      <w:pPr>
        <w:pStyle w:val="BodyText"/>
        <w:spacing w:before="8"/>
        <w:ind w:left="0"/>
        <w:rPr>
          <w:rFonts w:ascii="黑体"/>
          <w:sz w:val="28"/>
        </w:rPr>
      </w:pPr>
    </w:p>
    <w:p>
      <w:pPr>
        <w:pStyle w:val="BodyText"/>
        <w:spacing w:line="364" w:lineRule="auto" w:before="1"/>
        <w:ind w:right="210" w:firstLine="419"/>
        <w:jc w:val="both"/>
      </w:pPr>
      <w:r>
        <w:rPr>
          <w:spacing w:val="-12"/>
        </w:rPr>
        <w:t>一、由于《基金合同》当事人的违约行为造成《基金合同》不能履行或者不能完全履行</w:t>
      </w:r>
      <w:r>
        <w:rPr>
          <w:spacing w:val="-11"/>
        </w:rPr>
        <w:t>的，由违约的一方承担违约责任；如属《基金合同》当事人双方或多方当事人的违约，根据</w:t>
      </w:r>
      <w:r>
        <w:rPr>
          <w:spacing w:val="-6"/>
        </w:rPr>
        <w:t>实际情况，由违约方分别承担各自应负的违约责任。但是发生下列情况，当事人可以免责：</w:t>
      </w:r>
    </w:p>
    <w:p>
      <w:pPr>
        <w:pStyle w:val="BodyText"/>
        <w:spacing w:line="364" w:lineRule="auto"/>
        <w:ind w:right="314" w:firstLine="419"/>
      </w:pPr>
      <w:r>
        <w:rPr/>
        <w:t>1</w:t>
      </w:r>
      <w:r>
        <w:rPr>
          <w:spacing w:val="-3"/>
        </w:rPr>
        <w:t>、基金管理人及基金托管人按照中国证监会的规定或当时有效的法律、法规或规章的作为或不作为而造成的损失等；</w:t>
      </w:r>
    </w:p>
    <w:p>
      <w:pPr>
        <w:pStyle w:val="BodyText"/>
        <w:spacing w:line="364" w:lineRule="auto"/>
        <w:ind w:right="314" w:firstLine="419"/>
      </w:pPr>
      <w:r>
        <w:rPr/>
        <w:t>2</w:t>
      </w:r>
      <w:r>
        <w:rPr>
          <w:spacing w:val="-3"/>
        </w:rPr>
        <w:t>、在没有欺诈或过失的情况下，基金管理人由于按照《基金合同》规定的投资原则而投资或不投资而造成的损失等；</w:t>
      </w:r>
    </w:p>
    <w:p>
      <w:pPr>
        <w:pStyle w:val="BodyText"/>
        <w:spacing w:line="267" w:lineRule="exact"/>
        <w:ind w:left="540"/>
      </w:pPr>
      <w:r>
        <w:rPr/>
        <w:t>3、不可抗力。</w:t>
      </w:r>
    </w:p>
    <w:p>
      <w:pPr>
        <w:pStyle w:val="BodyText"/>
        <w:ind w:left="0"/>
        <w:rPr>
          <w:sz w:val="20"/>
        </w:rPr>
      </w:pPr>
    </w:p>
    <w:p>
      <w:pPr>
        <w:pStyle w:val="BodyText"/>
        <w:spacing w:before="9"/>
        <w:ind w:left="0"/>
        <w:rPr>
          <w:sz w:val="22"/>
        </w:rPr>
      </w:pPr>
    </w:p>
    <w:p>
      <w:pPr>
        <w:pStyle w:val="BodyText"/>
        <w:spacing w:line="364" w:lineRule="auto"/>
        <w:ind w:right="311" w:firstLine="419"/>
      </w:pPr>
      <w:r>
        <w:rPr>
          <w:spacing w:val="-10"/>
        </w:rPr>
        <w:t>二、基金合同当事人违反基金合同，给其他基金合同当事人造成直接损失的，应进行赔偿。</w:t>
      </w:r>
    </w:p>
    <w:p>
      <w:pPr>
        <w:pStyle w:val="BodyText"/>
        <w:ind w:left="0"/>
        <w:rPr>
          <w:sz w:val="20"/>
        </w:rPr>
      </w:pPr>
    </w:p>
    <w:p>
      <w:pPr>
        <w:pStyle w:val="BodyText"/>
        <w:spacing w:before="153"/>
        <w:ind w:left="540"/>
      </w:pPr>
      <w:r>
        <w:rPr/>
        <w:t>三、在发生一方或多方违约的情况下，在最大限度地保护基金份额持有人利益的前提下，</w:t>
      </w:r>
    </w:p>
    <w:p>
      <w:pPr>
        <w:pStyle w:val="BodyText"/>
        <w:spacing w:line="364" w:lineRule="auto" w:before="139"/>
        <w:ind w:right="311"/>
      </w:pPr>
      <w:r>
        <w:rPr>
          <w:spacing w:val="-11"/>
        </w:rPr>
        <w:t>《基金合同》能够继续履行的应当继续履行。未违约方当事人在职责范围内有义务及时采取</w:t>
      </w:r>
      <w:r>
        <w:rPr>
          <w:spacing w:val="-6"/>
        </w:rPr>
        <w:t>必要的措施，防止损失的扩大。</w:t>
      </w:r>
    </w:p>
    <w:p>
      <w:pPr>
        <w:pStyle w:val="BodyText"/>
        <w:ind w:left="0"/>
        <w:rPr>
          <w:sz w:val="20"/>
        </w:rPr>
      </w:pPr>
    </w:p>
    <w:p>
      <w:pPr>
        <w:pStyle w:val="BodyText"/>
        <w:spacing w:before="3"/>
        <w:ind w:left="0"/>
        <w:rPr>
          <w:sz w:val="22"/>
        </w:rPr>
      </w:pPr>
    </w:p>
    <w:p>
      <w:pPr>
        <w:pStyle w:val="Heading1"/>
      </w:pPr>
      <w:bookmarkStart w:name="_bookmark19" w:id="20"/>
      <w:bookmarkEnd w:id="20"/>
      <w:r>
        <w:rPr/>
      </w:r>
      <w:r>
        <w:rPr/>
        <w:t>二十、争议的处理和适用的法律</w:t>
      </w:r>
    </w:p>
    <w:p>
      <w:pPr>
        <w:pStyle w:val="BodyText"/>
        <w:spacing w:line="410" w:lineRule="atLeast" w:before="216"/>
        <w:ind w:right="311" w:firstLine="419"/>
      </w:pPr>
      <w:r>
        <w:rPr>
          <w:spacing w:val="-11"/>
        </w:rPr>
        <w:t>各方当事人同意，因《基金合同》而产生的或与《基金合同》有关的一切争议，如经友</w:t>
      </w:r>
      <w:r>
        <w:rPr>
          <w:spacing w:val="-13"/>
        </w:rPr>
        <w:t>好协商未能解决的，应提交中国国际经济贸易仲裁委员会根据该会当时有效的仲裁规则进行</w:t>
      </w:r>
    </w:p>
    <w:p>
      <w:pPr>
        <w:spacing w:after="0" w:line="410" w:lineRule="atLeast"/>
        <w:sectPr>
          <w:pgSz w:w="11910" w:h="16840"/>
          <w:pgMar w:header="877" w:footer="1195" w:top="1380" w:bottom="1380" w:left="1680" w:right="1480"/>
        </w:sectPr>
      </w:pPr>
    </w:p>
    <w:p>
      <w:pPr>
        <w:pStyle w:val="BodyText"/>
        <w:spacing w:line="364" w:lineRule="auto" w:before="61"/>
        <w:ind w:right="311"/>
      </w:pPr>
      <w:r>
        <w:rPr>
          <w:spacing w:val="-11"/>
        </w:rPr>
        <w:t>仲裁，仲裁的地点在北京，仲裁裁决是终局性的并对各方当事人具有约束力，仲裁费由败诉</w:t>
      </w:r>
      <w:r>
        <w:rPr>
          <w:spacing w:val="-7"/>
        </w:rPr>
        <w:t>方承担。</w:t>
      </w:r>
    </w:p>
    <w:p>
      <w:pPr>
        <w:pStyle w:val="BodyText"/>
        <w:spacing w:line="267" w:lineRule="exact"/>
        <w:ind w:left="540"/>
      </w:pPr>
      <w:r>
        <w:rPr/>
        <w:t>本《基金合同》受中国法律管辖。</w:t>
      </w:r>
    </w:p>
    <w:p>
      <w:pPr>
        <w:pStyle w:val="BodyText"/>
        <w:ind w:left="0"/>
        <w:rPr>
          <w:sz w:val="20"/>
        </w:rPr>
      </w:pPr>
    </w:p>
    <w:p>
      <w:pPr>
        <w:pStyle w:val="BodyText"/>
        <w:ind w:left="0"/>
        <w:rPr>
          <w:sz w:val="20"/>
        </w:rPr>
      </w:pPr>
    </w:p>
    <w:p>
      <w:pPr>
        <w:pStyle w:val="Heading1"/>
        <w:spacing w:before="173"/>
        <w:ind w:left="1675"/>
      </w:pPr>
      <w:bookmarkStart w:name="_bookmark20" w:id="21"/>
      <w:bookmarkEnd w:id="21"/>
      <w:r>
        <w:rPr/>
      </w:r>
      <w:r>
        <w:rPr/>
        <w:t>二十一、基金合同的效力</w:t>
      </w:r>
    </w:p>
    <w:p>
      <w:pPr>
        <w:pStyle w:val="BodyText"/>
        <w:spacing w:before="10"/>
        <w:ind w:left="0"/>
        <w:rPr>
          <w:rFonts w:ascii="黑体"/>
          <w:sz w:val="27"/>
        </w:rPr>
      </w:pPr>
    </w:p>
    <w:p>
      <w:pPr>
        <w:pStyle w:val="BodyText"/>
        <w:spacing w:line="364" w:lineRule="auto"/>
        <w:ind w:left="540" w:right="208"/>
      </w:pPr>
      <w:r>
        <w:rPr>
          <w:spacing w:val="-18"/>
        </w:rPr>
        <w:t>《基金合同》是约定基金当事人之间、基金与基金当事人之间权利义务关系的法律文件。1</w:t>
      </w:r>
      <w:r>
        <w:rPr>
          <w:spacing w:val="-13"/>
        </w:rPr>
        <w:t>、 《基金合同》经基金管理人、基金托管人双方盖章以及双方法定代表人或授权代表</w:t>
      </w:r>
    </w:p>
    <w:p>
      <w:pPr>
        <w:pStyle w:val="BodyText"/>
        <w:spacing w:line="367" w:lineRule="auto"/>
        <w:ind w:right="311"/>
      </w:pPr>
      <w:r>
        <w:rPr>
          <w:spacing w:val="-7"/>
        </w:rPr>
        <w:t>签字并在募集结束后经基金管理人向中国证监会办理基金备案手续，并经中国证券监督管理</w:t>
      </w:r>
      <w:r>
        <w:rPr>
          <w:spacing w:val="-5"/>
        </w:rPr>
        <w:t>委员会书面确认后生效。</w:t>
      </w:r>
    </w:p>
    <w:p>
      <w:pPr>
        <w:pStyle w:val="BodyText"/>
        <w:spacing w:line="364" w:lineRule="auto"/>
        <w:ind w:right="311" w:firstLine="419"/>
      </w:pPr>
      <w:r>
        <w:rPr/>
        <w:t>2、《基金合同》的有效期自其生效之日起至本基金财产清算报告经中国证监会批准并公告之日止。</w:t>
      </w:r>
    </w:p>
    <w:p>
      <w:pPr>
        <w:pStyle w:val="BodyText"/>
        <w:spacing w:line="364" w:lineRule="auto"/>
        <w:ind w:right="311" w:firstLine="419"/>
      </w:pPr>
      <w:r>
        <w:rPr/>
        <w:t>3</w:t>
      </w:r>
      <w:r>
        <w:rPr>
          <w:spacing w:val="-9"/>
        </w:rPr>
        <w:t>、 《基金合同》自生效之日起对包括基金管理人、基金托管人和基金份额持有人在内</w:t>
      </w:r>
      <w:r>
        <w:rPr>
          <w:spacing w:val="-5"/>
        </w:rPr>
        <w:t>的《基金合同》各方当事人具有同等的法律约束力。</w:t>
      </w:r>
    </w:p>
    <w:p>
      <w:pPr>
        <w:pStyle w:val="BodyText"/>
        <w:spacing w:line="364" w:lineRule="auto"/>
        <w:ind w:right="311" w:firstLine="419"/>
      </w:pPr>
      <w:r>
        <w:rPr/>
        <w:t>4</w:t>
      </w:r>
      <w:r>
        <w:rPr>
          <w:spacing w:val="-17"/>
        </w:rPr>
        <w:t>、《基金合同》正本一式六份，除上报有关监管机构一式二份外，基金管理人、基金托</w:t>
      </w:r>
      <w:r>
        <w:rPr>
          <w:spacing w:val="-7"/>
        </w:rPr>
        <w:t>管人各持有二份，每份具有同等的法律效力。</w:t>
      </w:r>
    </w:p>
    <w:p>
      <w:pPr>
        <w:pStyle w:val="BodyText"/>
        <w:spacing w:line="364" w:lineRule="auto"/>
        <w:ind w:right="311" w:firstLine="419"/>
        <w:jc w:val="both"/>
      </w:pPr>
      <w:r>
        <w:rPr/>
        <w:t>5</w:t>
      </w:r>
      <w:r>
        <w:rPr>
          <w:spacing w:val="-17"/>
        </w:rPr>
        <w:t>、《基金合同》可印制成册，供投资者在基金管理人、基金托管人、代销机构的办公场</w:t>
      </w:r>
      <w:r>
        <w:rPr>
          <w:spacing w:val="-12"/>
        </w:rPr>
        <w:t>所和营业场所查阅；投资者也可按工本费购买《基金合同》复制件或复印件，但内容应以本</w:t>
      </w:r>
      <w:r>
        <w:rPr>
          <w:spacing w:val="-6"/>
        </w:rPr>
        <w:t>基金合同正本为准。</w:t>
      </w:r>
    </w:p>
    <w:p>
      <w:pPr>
        <w:pStyle w:val="BodyText"/>
        <w:ind w:left="0"/>
        <w:rPr>
          <w:sz w:val="20"/>
        </w:rPr>
      </w:pPr>
    </w:p>
    <w:p>
      <w:pPr>
        <w:pStyle w:val="BodyText"/>
        <w:spacing w:before="8"/>
        <w:ind w:left="0"/>
      </w:pPr>
    </w:p>
    <w:p>
      <w:pPr>
        <w:pStyle w:val="Heading1"/>
      </w:pPr>
      <w:bookmarkStart w:name="_bookmark21" w:id="22"/>
      <w:bookmarkEnd w:id="22"/>
      <w:r>
        <w:rPr/>
      </w:r>
      <w:r>
        <w:rPr/>
        <w:t>二十二、基金合同摘要</w:t>
      </w:r>
    </w:p>
    <w:p>
      <w:pPr>
        <w:pStyle w:val="BodyText"/>
        <w:spacing w:before="10"/>
        <w:ind w:left="0"/>
        <w:rPr>
          <w:rFonts w:ascii="黑体"/>
          <w:sz w:val="27"/>
        </w:rPr>
      </w:pPr>
    </w:p>
    <w:p>
      <w:pPr>
        <w:pStyle w:val="BodyText"/>
        <w:ind w:left="540"/>
      </w:pPr>
      <w:r>
        <w:rPr>
          <w:spacing w:val="-3"/>
        </w:rPr>
        <w:t>一、基金份额持有人、基金管理人和基金托管人的权利、义务</w:t>
      </w:r>
    </w:p>
    <w:p>
      <w:pPr>
        <w:pStyle w:val="BodyText"/>
        <w:spacing w:before="139"/>
        <w:ind w:left="540"/>
      </w:pPr>
      <w:r>
        <w:rPr/>
        <w:t>（一）基金份额持有人的权利与义务</w:t>
      </w:r>
    </w:p>
    <w:p>
      <w:pPr>
        <w:pStyle w:val="BodyText"/>
        <w:spacing w:line="364" w:lineRule="auto" w:before="140"/>
        <w:ind w:right="311" w:firstLine="419"/>
        <w:jc w:val="both"/>
      </w:pPr>
      <w:r>
        <w:rPr>
          <w:spacing w:val="-7"/>
        </w:rPr>
        <w:t>基金投资者购买本基金基金份额的行为即视为对《基金合同》的承认和接受，基金投资</w:t>
      </w:r>
      <w:r>
        <w:rPr>
          <w:spacing w:val="-12"/>
        </w:rPr>
        <w:t>者自取得依据《基金合同》募集的基金份额，即成为本基金份额持有人和《基金合同》的当</w:t>
      </w:r>
      <w:r>
        <w:rPr>
          <w:spacing w:val="-11"/>
        </w:rPr>
        <w:t>事人，直至其不再持有本基金的基金份额。基金份额持有人作为本《基金合同》当事人并不</w:t>
      </w:r>
      <w:r>
        <w:rPr>
          <w:spacing w:val="-6"/>
        </w:rPr>
        <w:t>以在《基金合同》上书面签章为必要条件。</w:t>
      </w:r>
    </w:p>
    <w:p>
      <w:pPr>
        <w:pStyle w:val="BodyText"/>
        <w:spacing w:line="268" w:lineRule="exact"/>
        <w:ind w:left="540"/>
      </w:pPr>
      <w:r>
        <w:rPr/>
        <w:t>每份基金份额具有同等的合法权益。</w:t>
      </w:r>
    </w:p>
    <w:p>
      <w:pPr>
        <w:pStyle w:val="BodyText"/>
        <w:spacing w:line="367" w:lineRule="auto" w:before="139"/>
        <w:ind w:right="314" w:firstLine="419"/>
      </w:pPr>
      <w:r>
        <w:rPr/>
        <w:t>1</w:t>
      </w:r>
      <w:r>
        <w:rPr>
          <w:spacing w:val="-17"/>
        </w:rPr>
        <w:t>、根据《基金法》、《运作办法》及其他有关规定，基金份额持有人的权利包括但不限于：</w:t>
      </w:r>
    </w:p>
    <w:p>
      <w:pPr>
        <w:pStyle w:val="ListParagraph"/>
        <w:numPr>
          <w:ilvl w:val="0"/>
          <w:numId w:val="33"/>
        </w:numPr>
        <w:tabs>
          <w:tab w:pos="1070" w:val="left" w:leader="none"/>
        </w:tabs>
        <w:spacing w:line="264" w:lineRule="exact" w:before="0" w:after="0"/>
        <w:ind w:left="1069" w:right="0" w:hanging="530"/>
        <w:jc w:val="left"/>
        <w:rPr>
          <w:sz w:val="21"/>
        </w:rPr>
      </w:pPr>
      <w:r>
        <w:rPr>
          <w:spacing w:val="-3"/>
          <w:sz w:val="21"/>
        </w:rPr>
        <w:t>分享基金财产收益；</w:t>
      </w:r>
    </w:p>
    <w:p>
      <w:pPr>
        <w:pStyle w:val="ListParagraph"/>
        <w:numPr>
          <w:ilvl w:val="0"/>
          <w:numId w:val="33"/>
        </w:numPr>
        <w:tabs>
          <w:tab w:pos="1070" w:val="left" w:leader="none"/>
        </w:tabs>
        <w:spacing w:line="240" w:lineRule="auto" w:before="139" w:after="0"/>
        <w:ind w:left="1069" w:right="0" w:hanging="530"/>
        <w:jc w:val="left"/>
        <w:rPr>
          <w:sz w:val="21"/>
        </w:rPr>
      </w:pPr>
      <w:r>
        <w:rPr>
          <w:spacing w:val="-3"/>
          <w:sz w:val="21"/>
        </w:rPr>
        <w:t>参与分配清算后的剩余基金财产；</w:t>
      </w:r>
    </w:p>
    <w:p>
      <w:pPr>
        <w:pStyle w:val="ListParagraph"/>
        <w:numPr>
          <w:ilvl w:val="0"/>
          <w:numId w:val="33"/>
        </w:numPr>
        <w:tabs>
          <w:tab w:pos="1070" w:val="left" w:leader="none"/>
        </w:tabs>
        <w:spacing w:line="240" w:lineRule="auto" w:before="139" w:after="0"/>
        <w:ind w:left="1069" w:right="0" w:hanging="530"/>
        <w:jc w:val="left"/>
        <w:rPr>
          <w:sz w:val="21"/>
        </w:rPr>
      </w:pPr>
      <w:r>
        <w:rPr>
          <w:spacing w:val="-3"/>
          <w:sz w:val="21"/>
        </w:rPr>
        <w:t>依法申请赎回其持有的基金份额；</w:t>
      </w:r>
    </w:p>
    <w:p>
      <w:pPr>
        <w:spacing w:after="0" w:line="240" w:lineRule="auto"/>
        <w:jc w:val="left"/>
        <w:rPr>
          <w:sz w:val="21"/>
        </w:rPr>
        <w:sectPr>
          <w:pgSz w:w="11910" w:h="16840"/>
          <w:pgMar w:header="877" w:footer="1195" w:top="1380" w:bottom="1380" w:left="1680" w:right="1480"/>
        </w:sectPr>
      </w:pPr>
    </w:p>
    <w:p>
      <w:pPr>
        <w:pStyle w:val="ListParagraph"/>
        <w:numPr>
          <w:ilvl w:val="0"/>
          <w:numId w:val="33"/>
        </w:numPr>
        <w:tabs>
          <w:tab w:pos="1070" w:val="left" w:leader="none"/>
        </w:tabs>
        <w:spacing w:line="240" w:lineRule="auto" w:before="61" w:after="0"/>
        <w:ind w:left="1069" w:right="0" w:hanging="530"/>
        <w:jc w:val="left"/>
        <w:rPr>
          <w:sz w:val="21"/>
        </w:rPr>
      </w:pPr>
      <w:r>
        <w:rPr>
          <w:spacing w:val="-3"/>
          <w:sz w:val="21"/>
        </w:rPr>
        <w:t>按照规定要求召开基金份额持有人大会；</w:t>
      </w:r>
    </w:p>
    <w:p>
      <w:pPr>
        <w:pStyle w:val="ListParagraph"/>
        <w:numPr>
          <w:ilvl w:val="0"/>
          <w:numId w:val="33"/>
        </w:numPr>
        <w:tabs>
          <w:tab w:pos="1070" w:val="left" w:leader="none"/>
        </w:tabs>
        <w:spacing w:line="364" w:lineRule="auto" w:before="139" w:after="0"/>
        <w:ind w:left="120" w:right="314" w:firstLine="419"/>
        <w:jc w:val="left"/>
        <w:rPr>
          <w:sz w:val="21"/>
        </w:rPr>
      </w:pPr>
      <w:r>
        <w:rPr>
          <w:spacing w:val="-3"/>
          <w:sz w:val="21"/>
        </w:rPr>
        <w:t>出席或者委派代表出席基金份额持有人大会，对基金份额持有人大会审议事项行使表决权；</w:t>
      </w:r>
    </w:p>
    <w:p>
      <w:pPr>
        <w:pStyle w:val="ListParagraph"/>
        <w:numPr>
          <w:ilvl w:val="0"/>
          <w:numId w:val="33"/>
        </w:numPr>
        <w:tabs>
          <w:tab w:pos="1070" w:val="left" w:leader="none"/>
        </w:tabs>
        <w:spacing w:line="240" w:lineRule="auto" w:before="1" w:after="0"/>
        <w:ind w:left="1069" w:right="0" w:hanging="530"/>
        <w:jc w:val="left"/>
        <w:rPr>
          <w:sz w:val="21"/>
        </w:rPr>
      </w:pPr>
      <w:r>
        <w:rPr>
          <w:spacing w:val="-3"/>
          <w:sz w:val="21"/>
        </w:rPr>
        <w:t>查阅或者复制公开披露的基金信息资料；</w:t>
      </w:r>
    </w:p>
    <w:p>
      <w:pPr>
        <w:pStyle w:val="ListParagraph"/>
        <w:numPr>
          <w:ilvl w:val="0"/>
          <w:numId w:val="33"/>
        </w:numPr>
        <w:tabs>
          <w:tab w:pos="1070" w:val="left" w:leader="none"/>
        </w:tabs>
        <w:spacing w:line="240" w:lineRule="auto" w:before="139" w:after="0"/>
        <w:ind w:left="1069" w:right="0" w:hanging="530"/>
        <w:jc w:val="left"/>
        <w:rPr>
          <w:sz w:val="21"/>
        </w:rPr>
      </w:pPr>
      <w:r>
        <w:rPr>
          <w:spacing w:val="-3"/>
          <w:sz w:val="21"/>
        </w:rPr>
        <w:t>监督基金管理人的投资运作；</w:t>
      </w:r>
    </w:p>
    <w:p>
      <w:pPr>
        <w:pStyle w:val="ListParagraph"/>
        <w:numPr>
          <w:ilvl w:val="0"/>
          <w:numId w:val="33"/>
        </w:numPr>
        <w:tabs>
          <w:tab w:pos="1070" w:val="left" w:leader="none"/>
        </w:tabs>
        <w:spacing w:line="364" w:lineRule="auto" w:before="138" w:after="0"/>
        <w:ind w:left="120" w:right="314" w:firstLine="419"/>
        <w:jc w:val="left"/>
        <w:rPr>
          <w:sz w:val="21"/>
        </w:rPr>
      </w:pPr>
      <w:r>
        <w:rPr>
          <w:spacing w:val="-3"/>
          <w:sz w:val="21"/>
        </w:rPr>
        <w:t>对基金管理人、基金托管人、基金份额发售机构损害其合法权益的行为依法提起诉讼；</w:t>
      </w:r>
    </w:p>
    <w:p>
      <w:pPr>
        <w:pStyle w:val="ListParagraph"/>
        <w:numPr>
          <w:ilvl w:val="0"/>
          <w:numId w:val="33"/>
        </w:numPr>
        <w:tabs>
          <w:tab w:pos="1070" w:val="left" w:leader="none"/>
        </w:tabs>
        <w:spacing w:line="240" w:lineRule="auto" w:before="1" w:after="0"/>
        <w:ind w:left="1069" w:right="0" w:hanging="530"/>
        <w:jc w:val="left"/>
        <w:rPr>
          <w:sz w:val="21"/>
        </w:rPr>
      </w:pPr>
      <w:r>
        <w:rPr>
          <w:spacing w:val="-3"/>
          <w:sz w:val="21"/>
        </w:rPr>
        <w:t>法律法规和《基金合同》规定的其他权利。</w:t>
      </w:r>
    </w:p>
    <w:p>
      <w:pPr>
        <w:pStyle w:val="BodyText"/>
        <w:spacing w:line="364" w:lineRule="auto" w:before="139"/>
        <w:ind w:right="314" w:firstLine="419"/>
      </w:pPr>
      <w:r>
        <w:rPr/>
        <w:t>2</w:t>
      </w:r>
      <w:r>
        <w:rPr>
          <w:spacing w:val="-17"/>
        </w:rPr>
        <w:t>、根据《基金法》、《运作办法》及其他有关规定，基金份额持有人的义务包括但不限于：</w:t>
      </w:r>
    </w:p>
    <w:p>
      <w:pPr>
        <w:pStyle w:val="ListParagraph"/>
        <w:numPr>
          <w:ilvl w:val="0"/>
          <w:numId w:val="34"/>
        </w:numPr>
        <w:tabs>
          <w:tab w:pos="1070" w:val="left" w:leader="none"/>
        </w:tabs>
        <w:spacing w:line="267" w:lineRule="exact" w:before="0" w:after="0"/>
        <w:ind w:left="1069" w:right="0" w:hanging="530"/>
        <w:jc w:val="left"/>
        <w:rPr>
          <w:sz w:val="21"/>
        </w:rPr>
      </w:pPr>
      <w:r>
        <w:rPr>
          <w:spacing w:val="-15"/>
          <w:sz w:val="21"/>
        </w:rPr>
        <w:t>遵守《基金合同》；</w:t>
      </w:r>
    </w:p>
    <w:p>
      <w:pPr>
        <w:pStyle w:val="ListParagraph"/>
        <w:numPr>
          <w:ilvl w:val="0"/>
          <w:numId w:val="34"/>
        </w:numPr>
        <w:tabs>
          <w:tab w:pos="1070" w:val="left" w:leader="none"/>
        </w:tabs>
        <w:spacing w:line="240" w:lineRule="auto" w:before="139" w:after="0"/>
        <w:ind w:left="1069" w:right="0" w:hanging="530"/>
        <w:jc w:val="left"/>
        <w:rPr>
          <w:sz w:val="21"/>
        </w:rPr>
      </w:pPr>
      <w:r>
        <w:rPr>
          <w:spacing w:val="-3"/>
          <w:sz w:val="21"/>
        </w:rPr>
        <w:t>缴纳基金认购、申购、赎回款项及法律法规和《基金合同》所规定的费用；</w:t>
      </w:r>
    </w:p>
    <w:p>
      <w:pPr>
        <w:pStyle w:val="ListParagraph"/>
        <w:numPr>
          <w:ilvl w:val="0"/>
          <w:numId w:val="34"/>
        </w:numPr>
        <w:tabs>
          <w:tab w:pos="1070" w:val="left" w:leader="none"/>
        </w:tabs>
        <w:spacing w:line="240" w:lineRule="auto" w:before="142" w:after="0"/>
        <w:ind w:left="1069" w:right="0" w:hanging="530"/>
        <w:jc w:val="left"/>
        <w:rPr>
          <w:sz w:val="21"/>
        </w:rPr>
      </w:pPr>
      <w:r>
        <w:rPr>
          <w:spacing w:val="-3"/>
          <w:sz w:val="21"/>
        </w:rPr>
        <w:t>在持有的基金份额范围内，承担基金亏损或者《基金合同》终止的有限责任；</w:t>
      </w:r>
    </w:p>
    <w:p>
      <w:pPr>
        <w:pStyle w:val="ListParagraph"/>
        <w:numPr>
          <w:ilvl w:val="0"/>
          <w:numId w:val="34"/>
        </w:numPr>
        <w:tabs>
          <w:tab w:pos="1070" w:val="left" w:leader="none"/>
        </w:tabs>
        <w:spacing w:line="240" w:lineRule="auto" w:before="139" w:after="0"/>
        <w:ind w:left="1069" w:right="0" w:hanging="530"/>
        <w:jc w:val="left"/>
        <w:rPr>
          <w:sz w:val="21"/>
        </w:rPr>
      </w:pPr>
      <w:r>
        <w:rPr>
          <w:spacing w:val="-3"/>
          <w:sz w:val="21"/>
        </w:rPr>
        <w:t>不从事任何有损基金及其他《基金合同》当事人合法权益的活动；</w:t>
      </w:r>
    </w:p>
    <w:p>
      <w:pPr>
        <w:pStyle w:val="ListParagraph"/>
        <w:numPr>
          <w:ilvl w:val="0"/>
          <w:numId w:val="34"/>
        </w:numPr>
        <w:tabs>
          <w:tab w:pos="1070" w:val="left" w:leader="none"/>
        </w:tabs>
        <w:spacing w:line="364" w:lineRule="auto" w:before="139" w:after="0"/>
        <w:ind w:left="120" w:right="313" w:firstLine="419"/>
        <w:jc w:val="left"/>
        <w:rPr>
          <w:sz w:val="21"/>
        </w:rPr>
      </w:pPr>
      <w:r>
        <w:rPr>
          <w:spacing w:val="-3"/>
          <w:sz w:val="21"/>
        </w:rPr>
        <w:t>返还在基金交易过程中因任何原因，自基金管理人、基金托管人及基金管理人的代理人处获得的不当得利；</w:t>
      </w:r>
    </w:p>
    <w:p>
      <w:pPr>
        <w:pStyle w:val="ListParagraph"/>
        <w:numPr>
          <w:ilvl w:val="0"/>
          <w:numId w:val="34"/>
        </w:numPr>
        <w:tabs>
          <w:tab w:pos="1070" w:val="left" w:leader="none"/>
        </w:tabs>
        <w:spacing w:line="268" w:lineRule="exact" w:before="0" w:after="0"/>
        <w:ind w:left="1069" w:right="0" w:hanging="530"/>
        <w:jc w:val="left"/>
        <w:rPr>
          <w:sz w:val="21"/>
        </w:rPr>
      </w:pPr>
      <w:r>
        <w:rPr>
          <w:spacing w:val="-3"/>
          <w:sz w:val="21"/>
        </w:rPr>
        <w:t>法律法规和《基金合同》规定的其他义务。</w:t>
      </w:r>
    </w:p>
    <w:p>
      <w:pPr>
        <w:pStyle w:val="BodyText"/>
        <w:spacing w:before="141"/>
        <w:ind w:left="540"/>
      </w:pPr>
      <w:r>
        <w:rPr/>
        <w:t>（二）基金管理人的权利与义务</w:t>
      </w:r>
    </w:p>
    <w:p>
      <w:pPr>
        <w:pStyle w:val="BodyText"/>
        <w:spacing w:before="139"/>
        <w:ind w:left="540"/>
      </w:pPr>
      <w:r>
        <w:rPr/>
        <w:t>1、根据《基金法》、《运作办法》及其他有关规定，基金管理人的权利包括但不限于：</w:t>
      </w:r>
    </w:p>
    <w:p>
      <w:pPr>
        <w:pStyle w:val="ListParagraph"/>
        <w:numPr>
          <w:ilvl w:val="0"/>
          <w:numId w:val="35"/>
        </w:numPr>
        <w:tabs>
          <w:tab w:pos="1070" w:val="left" w:leader="none"/>
        </w:tabs>
        <w:spacing w:line="240" w:lineRule="auto" w:before="139" w:after="0"/>
        <w:ind w:left="1069" w:right="0" w:hanging="530"/>
        <w:jc w:val="left"/>
        <w:rPr>
          <w:sz w:val="21"/>
        </w:rPr>
      </w:pPr>
      <w:r>
        <w:rPr>
          <w:spacing w:val="-3"/>
          <w:sz w:val="21"/>
        </w:rPr>
        <w:t>依法募集基金；</w:t>
      </w:r>
    </w:p>
    <w:p>
      <w:pPr>
        <w:pStyle w:val="ListParagraph"/>
        <w:numPr>
          <w:ilvl w:val="0"/>
          <w:numId w:val="35"/>
        </w:numPr>
        <w:tabs>
          <w:tab w:pos="1070" w:val="left" w:leader="none"/>
        </w:tabs>
        <w:spacing w:line="367" w:lineRule="auto" w:before="139" w:after="0"/>
        <w:ind w:left="120" w:right="314" w:firstLine="419"/>
        <w:jc w:val="left"/>
        <w:rPr>
          <w:sz w:val="21"/>
        </w:rPr>
      </w:pPr>
      <w:r>
        <w:rPr>
          <w:spacing w:val="-3"/>
          <w:sz w:val="21"/>
        </w:rPr>
        <w:t>自《基金合同》生效之日起，根据法律法规和《基金合同》独立运用并管理基金财产，包括依照有关规定行使因基金财产投资于证券所产生的权利；</w:t>
      </w:r>
    </w:p>
    <w:p>
      <w:pPr>
        <w:pStyle w:val="ListParagraph"/>
        <w:numPr>
          <w:ilvl w:val="0"/>
          <w:numId w:val="35"/>
        </w:numPr>
        <w:tabs>
          <w:tab w:pos="1070" w:val="left" w:leader="none"/>
        </w:tabs>
        <w:spacing w:line="364" w:lineRule="auto" w:before="0" w:after="0"/>
        <w:ind w:left="120" w:right="314" w:firstLine="419"/>
        <w:jc w:val="left"/>
        <w:rPr>
          <w:sz w:val="21"/>
        </w:rPr>
      </w:pPr>
      <w:r>
        <w:rPr>
          <w:spacing w:val="-3"/>
          <w:sz w:val="21"/>
        </w:rPr>
        <w:t>依《基金合同》约定获得基金管理费、其他法定收入和其他法律法规允许或监管部门批准的约定收入；</w:t>
      </w:r>
    </w:p>
    <w:p>
      <w:pPr>
        <w:pStyle w:val="ListParagraph"/>
        <w:numPr>
          <w:ilvl w:val="0"/>
          <w:numId w:val="35"/>
        </w:numPr>
        <w:tabs>
          <w:tab w:pos="1070" w:val="left" w:leader="none"/>
        </w:tabs>
        <w:spacing w:line="268" w:lineRule="exact" w:before="0" w:after="0"/>
        <w:ind w:left="1069" w:right="0" w:hanging="530"/>
        <w:jc w:val="left"/>
        <w:rPr>
          <w:sz w:val="21"/>
        </w:rPr>
      </w:pPr>
      <w:r>
        <w:rPr>
          <w:spacing w:val="-3"/>
          <w:sz w:val="21"/>
        </w:rPr>
        <w:t>销售基金份额；</w:t>
      </w:r>
    </w:p>
    <w:p>
      <w:pPr>
        <w:pStyle w:val="ListParagraph"/>
        <w:numPr>
          <w:ilvl w:val="0"/>
          <w:numId w:val="35"/>
        </w:numPr>
        <w:tabs>
          <w:tab w:pos="1070" w:val="left" w:leader="none"/>
        </w:tabs>
        <w:spacing w:line="240" w:lineRule="auto" w:before="134" w:after="0"/>
        <w:ind w:left="1069" w:right="0" w:hanging="530"/>
        <w:jc w:val="left"/>
        <w:rPr>
          <w:sz w:val="21"/>
        </w:rPr>
      </w:pPr>
      <w:r>
        <w:rPr>
          <w:spacing w:val="-3"/>
          <w:sz w:val="21"/>
        </w:rPr>
        <w:t>召集基金份额持有人大会；</w:t>
      </w:r>
    </w:p>
    <w:p>
      <w:pPr>
        <w:pStyle w:val="ListParagraph"/>
        <w:numPr>
          <w:ilvl w:val="0"/>
          <w:numId w:val="35"/>
        </w:numPr>
        <w:tabs>
          <w:tab w:pos="1070" w:val="left" w:leader="none"/>
        </w:tabs>
        <w:spacing w:line="364" w:lineRule="auto" w:before="141" w:after="0"/>
        <w:ind w:left="120" w:right="311" w:firstLine="419"/>
        <w:jc w:val="both"/>
        <w:rPr>
          <w:sz w:val="21"/>
        </w:rPr>
      </w:pPr>
      <w:r>
        <w:rPr>
          <w:spacing w:val="-13"/>
          <w:sz w:val="21"/>
        </w:rPr>
        <w:t>依据《基金合同》及有关法律规定监督基金托管人，如认为基金托管人违反了《 基金合同》及国家有关法律规定，应呈报中国证监会和其他监管部门，并采取必要措施保护</w:t>
      </w:r>
      <w:r>
        <w:rPr>
          <w:spacing w:val="-3"/>
          <w:sz w:val="21"/>
        </w:rPr>
        <w:t>基金投资者的利益；</w:t>
      </w:r>
    </w:p>
    <w:p>
      <w:pPr>
        <w:pStyle w:val="ListParagraph"/>
        <w:numPr>
          <w:ilvl w:val="0"/>
          <w:numId w:val="35"/>
        </w:numPr>
        <w:tabs>
          <w:tab w:pos="1070" w:val="left" w:leader="none"/>
        </w:tabs>
        <w:spacing w:line="266" w:lineRule="exact" w:before="0" w:after="0"/>
        <w:ind w:left="1069" w:right="0" w:hanging="530"/>
        <w:jc w:val="left"/>
        <w:rPr>
          <w:sz w:val="21"/>
        </w:rPr>
      </w:pPr>
      <w:r>
        <w:rPr>
          <w:spacing w:val="-3"/>
          <w:sz w:val="21"/>
        </w:rPr>
        <w:t>在基金托管人更换时，提名新的基金托管人；</w:t>
      </w:r>
    </w:p>
    <w:p>
      <w:pPr>
        <w:pStyle w:val="ListParagraph"/>
        <w:numPr>
          <w:ilvl w:val="0"/>
          <w:numId w:val="35"/>
        </w:numPr>
        <w:tabs>
          <w:tab w:pos="1070" w:val="left" w:leader="none"/>
        </w:tabs>
        <w:spacing w:line="240" w:lineRule="auto" w:before="139" w:after="0"/>
        <w:ind w:left="1069" w:right="0" w:hanging="530"/>
        <w:jc w:val="left"/>
        <w:rPr>
          <w:sz w:val="21"/>
        </w:rPr>
      </w:pPr>
      <w:r>
        <w:rPr>
          <w:spacing w:val="-3"/>
          <w:sz w:val="21"/>
        </w:rPr>
        <w:t>选择、委托、更换基金代销机构，对基金代销机构的相关行为进行监督和处理；</w:t>
      </w:r>
    </w:p>
    <w:p>
      <w:pPr>
        <w:pStyle w:val="ListParagraph"/>
        <w:numPr>
          <w:ilvl w:val="0"/>
          <w:numId w:val="35"/>
        </w:numPr>
        <w:tabs>
          <w:tab w:pos="1070" w:val="left" w:leader="none"/>
        </w:tabs>
        <w:spacing w:line="240" w:lineRule="auto" w:before="141" w:after="0"/>
        <w:ind w:left="1069" w:right="0" w:hanging="530"/>
        <w:jc w:val="left"/>
        <w:rPr>
          <w:sz w:val="21"/>
        </w:rPr>
      </w:pPr>
      <w:r>
        <w:rPr>
          <w:spacing w:val="-3"/>
          <w:sz w:val="21"/>
        </w:rPr>
        <w:t>依据《基金合同》及有关法律法规决定基金收益的分配方案；</w:t>
      </w:r>
    </w:p>
    <w:p>
      <w:pPr>
        <w:pStyle w:val="ListParagraph"/>
        <w:numPr>
          <w:ilvl w:val="0"/>
          <w:numId w:val="35"/>
        </w:numPr>
        <w:tabs>
          <w:tab w:pos="1175" w:val="left" w:leader="none"/>
        </w:tabs>
        <w:spacing w:line="240" w:lineRule="auto" w:before="140" w:after="0"/>
        <w:ind w:left="1175" w:right="0" w:hanging="635"/>
        <w:jc w:val="left"/>
        <w:rPr>
          <w:sz w:val="21"/>
        </w:rPr>
      </w:pPr>
      <w:r>
        <w:rPr>
          <w:spacing w:val="-3"/>
          <w:sz w:val="21"/>
        </w:rPr>
        <w:t>在《基金合同》约定的范围内，拒绝或暂停受理申购与赎回申请；</w:t>
      </w:r>
    </w:p>
    <w:p>
      <w:pPr>
        <w:pStyle w:val="ListParagraph"/>
        <w:numPr>
          <w:ilvl w:val="0"/>
          <w:numId w:val="35"/>
        </w:numPr>
        <w:tabs>
          <w:tab w:pos="1175" w:val="left" w:leader="none"/>
        </w:tabs>
        <w:spacing w:line="240" w:lineRule="auto" w:before="139" w:after="0"/>
        <w:ind w:left="1175" w:right="0" w:hanging="635"/>
        <w:jc w:val="left"/>
        <w:rPr>
          <w:sz w:val="21"/>
        </w:rPr>
      </w:pPr>
      <w:r>
        <w:rPr>
          <w:spacing w:val="-19"/>
          <w:sz w:val="21"/>
        </w:rPr>
        <w:t>在符合有关法律法规和《基金合同》的前提下，制订和调整开放式基金业务规则；</w:t>
      </w:r>
    </w:p>
    <w:p>
      <w:pPr>
        <w:spacing w:after="0" w:line="240" w:lineRule="auto"/>
        <w:jc w:val="left"/>
        <w:rPr>
          <w:sz w:val="21"/>
        </w:rPr>
        <w:sectPr>
          <w:pgSz w:w="11910" w:h="16840"/>
          <w:pgMar w:header="877" w:footer="1195" w:top="1380" w:bottom="1380" w:left="1680" w:right="1480"/>
        </w:sectPr>
      </w:pPr>
    </w:p>
    <w:p>
      <w:pPr>
        <w:pStyle w:val="ListParagraph"/>
        <w:numPr>
          <w:ilvl w:val="0"/>
          <w:numId w:val="35"/>
        </w:numPr>
        <w:tabs>
          <w:tab w:pos="1175" w:val="left" w:leader="none"/>
        </w:tabs>
        <w:spacing w:line="364" w:lineRule="auto" w:before="61" w:after="0"/>
        <w:ind w:left="120" w:right="311" w:firstLine="419"/>
        <w:jc w:val="left"/>
        <w:rPr>
          <w:sz w:val="21"/>
        </w:rPr>
      </w:pPr>
      <w:r>
        <w:rPr>
          <w:spacing w:val="-5"/>
          <w:sz w:val="21"/>
        </w:rPr>
        <w:t>依照法律法规为基金的利益对被投资公司行使股东权利，为基金的利益行使因 </w:t>
      </w:r>
      <w:r>
        <w:rPr>
          <w:spacing w:val="-4"/>
          <w:sz w:val="21"/>
        </w:rPr>
        <w:t>基金财产投资于证券所产生的权利；</w:t>
      </w:r>
    </w:p>
    <w:p>
      <w:pPr>
        <w:pStyle w:val="ListParagraph"/>
        <w:numPr>
          <w:ilvl w:val="0"/>
          <w:numId w:val="35"/>
        </w:numPr>
        <w:tabs>
          <w:tab w:pos="1175" w:val="left" w:leader="none"/>
        </w:tabs>
        <w:spacing w:line="267" w:lineRule="exact" w:before="0" w:after="0"/>
        <w:ind w:left="1175" w:right="0" w:hanging="635"/>
        <w:jc w:val="left"/>
        <w:rPr>
          <w:sz w:val="21"/>
        </w:rPr>
      </w:pPr>
      <w:r>
        <w:rPr>
          <w:spacing w:val="-3"/>
          <w:sz w:val="21"/>
        </w:rPr>
        <w:t>在法律法规允许的前提下，为基金的利益依法为基金进行融资；</w:t>
      </w:r>
    </w:p>
    <w:p>
      <w:pPr>
        <w:pStyle w:val="ListParagraph"/>
        <w:numPr>
          <w:ilvl w:val="0"/>
          <w:numId w:val="35"/>
        </w:numPr>
        <w:tabs>
          <w:tab w:pos="1175" w:val="left" w:leader="none"/>
        </w:tabs>
        <w:spacing w:line="364" w:lineRule="auto" w:before="142" w:after="0"/>
        <w:ind w:left="120" w:right="311" w:firstLine="419"/>
        <w:jc w:val="left"/>
        <w:rPr>
          <w:sz w:val="21"/>
        </w:rPr>
      </w:pPr>
      <w:r>
        <w:rPr>
          <w:spacing w:val="-8"/>
          <w:sz w:val="21"/>
        </w:rPr>
        <w:t>以基金管理人的名义，代表基金份额持有人的利益行使诉讼权利或者实施其他 </w:t>
      </w:r>
      <w:r>
        <w:rPr>
          <w:spacing w:val="-6"/>
          <w:sz w:val="21"/>
        </w:rPr>
        <w:t>法律行为；</w:t>
      </w:r>
    </w:p>
    <w:p>
      <w:pPr>
        <w:pStyle w:val="ListParagraph"/>
        <w:numPr>
          <w:ilvl w:val="0"/>
          <w:numId w:val="35"/>
        </w:numPr>
        <w:tabs>
          <w:tab w:pos="1175" w:val="left" w:leader="none"/>
        </w:tabs>
        <w:spacing w:line="267" w:lineRule="exact" w:before="0" w:after="0"/>
        <w:ind w:left="1175" w:right="0" w:hanging="635"/>
        <w:jc w:val="left"/>
        <w:rPr>
          <w:sz w:val="21"/>
        </w:rPr>
      </w:pPr>
      <w:r>
        <w:rPr>
          <w:spacing w:val="-3"/>
          <w:sz w:val="21"/>
        </w:rPr>
        <w:t>选择、更换律师、审计师、证券经纪商或其他为基金提供服务的外部机构；</w:t>
      </w:r>
    </w:p>
    <w:p>
      <w:pPr>
        <w:pStyle w:val="ListParagraph"/>
        <w:numPr>
          <w:ilvl w:val="0"/>
          <w:numId w:val="35"/>
        </w:numPr>
        <w:tabs>
          <w:tab w:pos="1175" w:val="left" w:leader="none"/>
        </w:tabs>
        <w:spacing w:line="240" w:lineRule="auto" w:before="138" w:after="0"/>
        <w:ind w:left="1175" w:right="0" w:hanging="635"/>
        <w:jc w:val="left"/>
        <w:rPr>
          <w:sz w:val="21"/>
        </w:rPr>
      </w:pPr>
      <w:r>
        <w:rPr>
          <w:spacing w:val="-3"/>
          <w:sz w:val="21"/>
        </w:rPr>
        <w:t>法律法规和《基金合同》规定的其他权利。</w:t>
      </w:r>
    </w:p>
    <w:p>
      <w:pPr>
        <w:pStyle w:val="BodyText"/>
        <w:spacing w:before="142"/>
        <w:ind w:left="540"/>
      </w:pPr>
      <w:r>
        <w:rPr/>
        <w:t>2、根据《基金法》、《运作办法》及其他有关规定，基金管理人的义务包括但不限于：</w:t>
      </w:r>
    </w:p>
    <w:p>
      <w:pPr>
        <w:pStyle w:val="ListParagraph"/>
        <w:numPr>
          <w:ilvl w:val="0"/>
          <w:numId w:val="36"/>
        </w:numPr>
        <w:tabs>
          <w:tab w:pos="1070" w:val="left" w:leader="none"/>
        </w:tabs>
        <w:spacing w:line="240" w:lineRule="auto" w:before="139" w:after="0"/>
        <w:ind w:left="1069" w:right="0" w:hanging="530"/>
        <w:jc w:val="left"/>
        <w:rPr>
          <w:sz w:val="21"/>
        </w:rPr>
      </w:pPr>
      <w:r>
        <w:rPr>
          <w:spacing w:val="-3"/>
          <w:sz w:val="21"/>
        </w:rPr>
        <w:t>办理基金备案手续；</w:t>
      </w:r>
    </w:p>
    <w:p>
      <w:pPr>
        <w:pStyle w:val="ListParagraph"/>
        <w:numPr>
          <w:ilvl w:val="0"/>
          <w:numId w:val="36"/>
        </w:numPr>
        <w:tabs>
          <w:tab w:pos="1070" w:val="left" w:leader="none"/>
        </w:tabs>
        <w:spacing w:line="240" w:lineRule="auto" w:before="139" w:after="0"/>
        <w:ind w:left="1069" w:right="0" w:hanging="530"/>
        <w:jc w:val="left"/>
        <w:rPr>
          <w:sz w:val="21"/>
        </w:rPr>
      </w:pPr>
      <w:r>
        <w:rPr>
          <w:spacing w:val="-3"/>
          <w:sz w:val="21"/>
        </w:rPr>
        <w:t>自基金合同生效之日起,以诚实信用、勤勉尽责的原则管理和运用基金财产；</w:t>
      </w:r>
    </w:p>
    <w:p>
      <w:pPr>
        <w:pStyle w:val="ListParagraph"/>
        <w:numPr>
          <w:ilvl w:val="0"/>
          <w:numId w:val="36"/>
        </w:numPr>
        <w:tabs>
          <w:tab w:pos="1070" w:val="left" w:leader="none"/>
        </w:tabs>
        <w:spacing w:line="364" w:lineRule="auto" w:before="139" w:after="0"/>
        <w:ind w:left="120" w:right="314" w:firstLine="419"/>
        <w:jc w:val="left"/>
        <w:rPr>
          <w:sz w:val="21"/>
        </w:rPr>
      </w:pPr>
      <w:r>
        <w:rPr>
          <w:spacing w:val="-3"/>
          <w:sz w:val="21"/>
        </w:rPr>
        <w:t>配备足够的具有专业资格的人员进行基金投资分析、决策，以专业化的经营方式管理和运作基金财产；</w:t>
      </w:r>
    </w:p>
    <w:p>
      <w:pPr>
        <w:pStyle w:val="ListParagraph"/>
        <w:numPr>
          <w:ilvl w:val="0"/>
          <w:numId w:val="36"/>
        </w:numPr>
        <w:tabs>
          <w:tab w:pos="1070" w:val="left" w:leader="none"/>
        </w:tabs>
        <w:spacing w:line="364" w:lineRule="auto" w:before="1" w:after="0"/>
        <w:ind w:left="120" w:right="311" w:firstLine="419"/>
        <w:jc w:val="both"/>
        <w:rPr>
          <w:sz w:val="21"/>
        </w:rPr>
      </w:pPr>
      <w:r>
        <w:rPr>
          <w:spacing w:val="-3"/>
          <w:sz w:val="21"/>
        </w:rPr>
        <w:t>依法募集基金，办理或者委托经国务院证券监督管理机构认定的其他机构代为办</w:t>
      </w:r>
      <w:r>
        <w:rPr>
          <w:spacing w:val="-6"/>
          <w:sz w:val="21"/>
        </w:rPr>
        <w:t>理基金份额的发售、申购、赎回和登记事宜；如认为基金代销机构违反本《基金合同》、基</w:t>
      </w:r>
      <w:r>
        <w:rPr>
          <w:spacing w:val="-9"/>
          <w:sz w:val="21"/>
        </w:rPr>
        <w:t>金销售与服务代理协议及国家有关法律规定，应呈报中国证监会和其他监管部门，并采取必</w:t>
      </w:r>
      <w:r>
        <w:rPr>
          <w:spacing w:val="-5"/>
          <w:sz w:val="21"/>
        </w:rPr>
        <w:t>要措施保护基金投资者的利益；</w:t>
      </w:r>
    </w:p>
    <w:p>
      <w:pPr>
        <w:pStyle w:val="ListParagraph"/>
        <w:numPr>
          <w:ilvl w:val="0"/>
          <w:numId w:val="36"/>
        </w:numPr>
        <w:tabs>
          <w:tab w:pos="1070" w:val="left" w:leader="none"/>
        </w:tabs>
        <w:spacing w:line="364" w:lineRule="auto" w:before="0" w:after="0"/>
        <w:ind w:left="120" w:right="311" w:firstLine="419"/>
        <w:jc w:val="both"/>
        <w:rPr>
          <w:sz w:val="21"/>
        </w:rPr>
      </w:pPr>
      <w:r>
        <w:rPr>
          <w:spacing w:val="-3"/>
          <w:sz w:val="21"/>
        </w:rPr>
        <w:t>建立健全内部风险控制、监察与稽核、财务管理及人事管理等制度，保证所管理的基金财产和基金管理人的财产相互独立,对所管理的不同基金分别管理，分别记账，进行证券投资；</w:t>
      </w:r>
    </w:p>
    <w:p>
      <w:pPr>
        <w:pStyle w:val="ListParagraph"/>
        <w:numPr>
          <w:ilvl w:val="0"/>
          <w:numId w:val="36"/>
        </w:numPr>
        <w:tabs>
          <w:tab w:pos="1070" w:val="left" w:leader="none"/>
        </w:tabs>
        <w:spacing w:line="364" w:lineRule="auto" w:before="0" w:after="0"/>
        <w:ind w:left="120" w:right="313" w:firstLine="419"/>
        <w:jc w:val="left"/>
        <w:rPr>
          <w:sz w:val="21"/>
        </w:rPr>
      </w:pPr>
      <w:r>
        <w:rPr>
          <w:spacing w:val="-20"/>
          <w:sz w:val="21"/>
        </w:rPr>
        <w:t>除依据《基金法》、《基金合同》及其他有关规定外,不得利用基金资产为自己及 </w:t>
      </w:r>
      <w:r>
        <w:rPr>
          <w:spacing w:val="-3"/>
          <w:sz w:val="21"/>
        </w:rPr>
        <w:t>任何第三人谋取利益，不得委托第三人运作基金财产；</w:t>
      </w:r>
    </w:p>
    <w:p>
      <w:pPr>
        <w:pStyle w:val="ListParagraph"/>
        <w:numPr>
          <w:ilvl w:val="0"/>
          <w:numId w:val="36"/>
        </w:numPr>
        <w:tabs>
          <w:tab w:pos="1070" w:val="left" w:leader="none"/>
        </w:tabs>
        <w:spacing w:line="240" w:lineRule="auto" w:before="0" w:after="0"/>
        <w:ind w:left="1069" w:right="0" w:hanging="530"/>
        <w:jc w:val="left"/>
        <w:rPr>
          <w:sz w:val="21"/>
        </w:rPr>
      </w:pPr>
      <w:r>
        <w:rPr>
          <w:spacing w:val="-3"/>
          <w:sz w:val="21"/>
        </w:rPr>
        <w:t>依法接受基金托管人的监督；</w:t>
      </w:r>
    </w:p>
    <w:p>
      <w:pPr>
        <w:pStyle w:val="ListParagraph"/>
        <w:numPr>
          <w:ilvl w:val="0"/>
          <w:numId w:val="36"/>
        </w:numPr>
        <w:tabs>
          <w:tab w:pos="1070" w:val="left" w:leader="none"/>
        </w:tabs>
        <w:spacing w:line="364" w:lineRule="auto" w:before="135" w:after="0"/>
        <w:ind w:left="120" w:right="311" w:firstLine="419"/>
        <w:jc w:val="both"/>
        <w:rPr>
          <w:sz w:val="21"/>
        </w:rPr>
      </w:pPr>
      <w:r>
        <w:rPr>
          <w:spacing w:val="-11"/>
          <w:sz w:val="21"/>
        </w:rPr>
        <w:t>采取适当合理的措施使计算基金份额认购、申购、赎回和注销价格的方法符合《 </w:t>
      </w:r>
      <w:r>
        <w:rPr>
          <w:spacing w:val="-13"/>
          <w:sz w:val="21"/>
        </w:rPr>
        <w:t>基金合同》等法律文件的规定，按有关规定计算并公告基金净值信息，确定基金份额申购、</w:t>
      </w:r>
      <w:r>
        <w:rPr>
          <w:spacing w:val="-1"/>
          <w:sz w:val="21"/>
        </w:rPr>
        <w:t>赎回价格；</w:t>
      </w:r>
    </w:p>
    <w:p>
      <w:pPr>
        <w:pStyle w:val="ListParagraph"/>
        <w:numPr>
          <w:ilvl w:val="0"/>
          <w:numId w:val="36"/>
        </w:numPr>
        <w:tabs>
          <w:tab w:pos="1070" w:val="left" w:leader="none"/>
        </w:tabs>
        <w:spacing w:line="267" w:lineRule="exact" w:before="0" w:after="0"/>
        <w:ind w:left="1069" w:right="0" w:hanging="530"/>
        <w:jc w:val="left"/>
        <w:rPr>
          <w:sz w:val="21"/>
        </w:rPr>
      </w:pPr>
      <w:r>
        <w:rPr>
          <w:spacing w:val="-3"/>
          <w:sz w:val="21"/>
        </w:rPr>
        <w:t>进行基金会计核算并编制基金财务会计报告；</w:t>
      </w:r>
    </w:p>
    <w:p>
      <w:pPr>
        <w:pStyle w:val="ListParagraph"/>
        <w:numPr>
          <w:ilvl w:val="0"/>
          <w:numId w:val="36"/>
        </w:numPr>
        <w:tabs>
          <w:tab w:pos="1175" w:val="left" w:leader="none"/>
        </w:tabs>
        <w:spacing w:line="240" w:lineRule="auto" w:before="141" w:after="0"/>
        <w:ind w:left="1175" w:right="0" w:hanging="635"/>
        <w:jc w:val="left"/>
        <w:rPr>
          <w:sz w:val="21"/>
        </w:rPr>
      </w:pPr>
      <w:r>
        <w:rPr>
          <w:spacing w:val="-3"/>
          <w:sz w:val="21"/>
        </w:rPr>
        <w:t>编制季度报告、中期报告和年度报告；</w:t>
      </w:r>
    </w:p>
    <w:p>
      <w:pPr>
        <w:pStyle w:val="ListParagraph"/>
        <w:numPr>
          <w:ilvl w:val="0"/>
          <w:numId w:val="36"/>
        </w:numPr>
        <w:tabs>
          <w:tab w:pos="1175" w:val="left" w:leader="none"/>
        </w:tabs>
        <w:spacing w:line="240" w:lineRule="auto" w:before="139" w:after="0"/>
        <w:ind w:left="1175" w:right="0" w:hanging="635"/>
        <w:jc w:val="left"/>
        <w:rPr>
          <w:sz w:val="21"/>
        </w:rPr>
      </w:pPr>
      <w:r>
        <w:rPr>
          <w:spacing w:val="-17"/>
          <w:sz w:val="21"/>
        </w:rPr>
        <w:t>严格按照《基金法》、《基金合同》及其他有关规定，履行信息披露及报告义务；</w:t>
      </w:r>
    </w:p>
    <w:p>
      <w:pPr>
        <w:pStyle w:val="ListParagraph"/>
        <w:numPr>
          <w:ilvl w:val="0"/>
          <w:numId w:val="36"/>
        </w:numPr>
        <w:tabs>
          <w:tab w:pos="1175" w:val="left" w:leader="none"/>
        </w:tabs>
        <w:spacing w:line="364" w:lineRule="auto" w:before="139" w:after="0"/>
        <w:ind w:left="120" w:right="314" w:firstLine="419"/>
        <w:jc w:val="left"/>
        <w:rPr>
          <w:sz w:val="21"/>
        </w:rPr>
      </w:pPr>
      <w:r>
        <w:rPr>
          <w:spacing w:val="-12"/>
          <w:sz w:val="21"/>
        </w:rPr>
        <w:t>保守基金商业秘密，不泄露基金投资计划、投资意向等。除《基金法》</w:t>
      </w:r>
      <w:r>
        <w:rPr>
          <w:spacing w:val="-33"/>
          <w:sz w:val="21"/>
        </w:rPr>
        <w:t>、《基金 </w:t>
      </w:r>
      <w:r>
        <w:rPr>
          <w:spacing w:val="-3"/>
          <w:sz w:val="21"/>
        </w:rPr>
        <w:t>合同》及其他有关规定另有规定外，在基金信息公开披露前应予保密，不向他人泄露；</w:t>
      </w:r>
    </w:p>
    <w:p>
      <w:pPr>
        <w:pStyle w:val="ListParagraph"/>
        <w:numPr>
          <w:ilvl w:val="0"/>
          <w:numId w:val="36"/>
        </w:numPr>
        <w:tabs>
          <w:tab w:pos="1175" w:val="left" w:leader="none"/>
        </w:tabs>
        <w:spacing w:line="267" w:lineRule="exact" w:before="0" w:after="0"/>
        <w:ind w:left="1175" w:right="0" w:hanging="635"/>
        <w:jc w:val="left"/>
        <w:rPr>
          <w:sz w:val="21"/>
        </w:rPr>
      </w:pPr>
      <w:r>
        <w:rPr>
          <w:spacing w:val="-3"/>
          <w:sz w:val="21"/>
        </w:rPr>
        <w:t>按《基金合同》规定向基金份额持有人分配基金收益；</w:t>
      </w:r>
    </w:p>
    <w:p>
      <w:pPr>
        <w:pStyle w:val="ListParagraph"/>
        <w:numPr>
          <w:ilvl w:val="0"/>
          <w:numId w:val="36"/>
        </w:numPr>
        <w:tabs>
          <w:tab w:pos="1175" w:val="left" w:leader="none"/>
        </w:tabs>
        <w:spacing w:line="240" w:lineRule="auto" w:before="142" w:after="0"/>
        <w:ind w:left="1175" w:right="0" w:hanging="635"/>
        <w:jc w:val="left"/>
        <w:rPr>
          <w:sz w:val="21"/>
        </w:rPr>
      </w:pPr>
      <w:r>
        <w:rPr>
          <w:spacing w:val="-3"/>
          <w:sz w:val="21"/>
        </w:rPr>
        <w:t>按规定受理申购与赎回申请，及时、足额支付赎回款项；</w:t>
      </w:r>
    </w:p>
    <w:p>
      <w:pPr>
        <w:pStyle w:val="ListParagraph"/>
        <w:numPr>
          <w:ilvl w:val="0"/>
          <w:numId w:val="36"/>
        </w:numPr>
        <w:tabs>
          <w:tab w:pos="1175" w:val="left" w:leader="none"/>
        </w:tabs>
        <w:spacing w:line="364" w:lineRule="auto" w:before="139" w:after="0"/>
        <w:ind w:left="120" w:right="311" w:firstLine="419"/>
        <w:jc w:val="left"/>
        <w:rPr>
          <w:sz w:val="21"/>
        </w:rPr>
      </w:pPr>
      <w:r>
        <w:rPr>
          <w:spacing w:val="-15"/>
          <w:sz w:val="21"/>
        </w:rPr>
        <w:t>依据《基金法》、 基金合同》及其他有关规定召集基金份额持有人大会或配合</w:t>
      </w:r>
      <w:r>
        <w:rPr>
          <w:spacing w:val="-3"/>
          <w:sz w:val="21"/>
        </w:rPr>
        <w:t>基金托管人、基金份额持有人依法召集基金份额持有人大会；</w:t>
      </w:r>
    </w:p>
    <w:p>
      <w:pPr>
        <w:spacing w:after="0" w:line="364" w:lineRule="auto"/>
        <w:jc w:val="left"/>
        <w:rPr>
          <w:sz w:val="21"/>
        </w:rPr>
        <w:sectPr>
          <w:pgSz w:w="11910" w:h="16840"/>
          <w:pgMar w:header="877" w:footer="1195" w:top="1380" w:bottom="1380" w:left="1680" w:right="1480"/>
        </w:sectPr>
      </w:pPr>
    </w:p>
    <w:p>
      <w:pPr>
        <w:pStyle w:val="ListParagraph"/>
        <w:numPr>
          <w:ilvl w:val="0"/>
          <w:numId w:val="36"/>
        </w:numPr>
        <w:tabs>
          <w:tab w:pos="1175" w:val="left" w:leader="none"/>
        </w:tabs>
        <w:spacing w:line="364" w:lineRule="auto" w:before="61" w:after="0"/>
        <w:ind w:left="120" w:right="316" w:firstLine="419"/>
        <w:jc w:val="both"/>
        <w:rPr>
          <w:sz w:val="21"/>
        </w:rPr>
      </w:pPr>
      <w:r>
        <w:rPr>
          <w:spacing w:val="-2"/>
          <w:sz w:val="21"/>
        </w:rPr>
        <w:t>按规定保存基金财产管理业务活动的会计账册、报表、记录和其他相关资料 </w:t>
      </w:r>
      <w:r>
        <w:rPr>
          <w:spacing w:val="-3"/>
          <w:sz w:val="21"/>
        </w:rPr>
        <w:t>15 </w:t>
      </w:r>
      <w:r>
        <w:rPr>
          <w:spacing w:val="-1"/>
          <w:sz w:val="21"/>
        </w:rPr>
        <w:t>年以上；</w:t>
      </w:r>
    </w:p>
    <w:p>
      <w:pPr>
        <w:pStyle w:val="ListParagraph"/>
        <w:numPr>
          <w:ilvl w:val="0"/>
          <w:numId w:val="36"/>
        </w:numPr>
        <w:tabs>
          <w:tab w:pos="1175" w:val="left" w:leader="none"/>
        </w:tabs>
        <w:spacing w:line="364" w:lineRule="auto" w:before="0" w:after="0"/>
        <w:ind w:left="120" w:right="311" w:firstLine="419"/>
        <w:jc w:val="both"/>
        <w:rPr>
          <w:sz w:val="21"/>
        </w:rPr>
      </w:pPr>
      <w:r>
        <w:rPr>
          <w:spacing w:val="-5"/>
          <w:sz w:val="21"/>
        </w:rPr>
        <w:t>确保需要向基金投资者提供的各项文件或资料在规定时间发出，并且保证投资 </w:t>
      </w:r>
      <w:r>
        <w:rPr>
          <w:spacing w:val="-11"/>
          <w:sz w:val="21"/>
        </w:rPr>
        <w:t>者能够按照《基金合同》规定的时间和方式，随时查阅到与基金有关的公开资料，并在支付</w:t>
      </w:r>
      <w:r>
        <w:rPr>
          <w:spacing w:val="-7"/>
          <w:sz w:val="21"/>
        </w:rPr>
        <w:t>合理成本的条件下得到有关资料的复印件；</w:t>
      </w:r>
    </w:p>
    <w:p>
      <w:pPr>
        <w:pStyle w:val="ListParagraph"/>
        <w:numPr>
          <w:ilvl w:val="0"/>
          <w:numId w:val="36"/>
        </w:numPr>
        <w:tabs>
          <w:tab w:pos="1175" w:val="left" w:leader="none"/>
        </w:tabs>
        <w:spacing w:line="269" w:lineRule="exact" w:before="0" w:after="0"/>
        <w:ind w:left="1175" w:right="0" w:hanging="635"/>
        <w:jc w:val="left"/>
        <w:rPr>
          <w:sz w:val="21"/>
        </w:rPr>
      </w:pPr>
      <w:r>
        <w:rPr>
          <w:spacing w:val="-9"/>
          <w:sz w:val="21"/>
        </w:rPr>
        <w:t>组织并参加基金财产清算小组,参与基金财产的保管、清理、估价、变现和分配；</w:t>
      </w:r>
    </w:p>
    <w:p>
      <w:pPr>
        <w:pStyle w:val="ListParagraph"/>
        <w:numPr>
          <w:ilvl w:val="0"/>
          <w:numId w:val="36"/>
        </w:numPr>
        <w:tabs>
          <w:tab w:pos="1173" w:val="left" w:leader="none"/>
        </w:tabs>
        <w:spacing w:line="367" w:lineRule="auto" w:before="137" w:after="0"/>
        <w:ind w:left="120" w:right="311" w:firstLine="419"/>
        <w:jc w:val="left"/>
        <w:rPr>
          <w:sz w:val="21"/>
        </w:rPr>
      </w:pPr>
      <w:r>
        <w:rPr>
          <w:spacing w:val="-10"/>
          <w:sz w:val="21"/>
        </w:rPr>
        <w:t>面临解散、依法被撤销或者被依法宣告破产时，及时报告中国证监会并通知基 </w:t>
      </w:r>
      <w:r>
        <w:rPr>
          <w:spacing w:val="-8"/>
          <w:sz w:val="21"/>
        </w:rPr>
        <w:t>金托管人；</w:t>
      </w:r>
    </w:p>
    <w:p>
      <w:pPr>
        <w:pStyle w:val="ListParagraph"/>
        <w:numPr>
          <w:ilvl w:val="0"/>
          <w:numId w:val="36"/>
        </w:numPr>
        <w:tabs>
          <w:tab w:pos="1175" w:val="left" w:leader="none"/>
        </w:tabs>
        <w:spacing w:line="364" w:lineRule="auto" w:before="0" w:after="0"/>
        <w:ind w:left="120" w:right="311" w:firstLine="419"/>
        <w:jc w:val="left"/>
        <w:rPr>
          <w:sz w:val="21"/>
        </w:rPr>
      </w:pPr>
      <w:r>
        <w:rPr>
          <w:spacing w:val="-10"/>
          <w:sz w:val="21"/>
        </w:rPr>
        <w:t>因违反《基金合同》导致基金财产的损失或损害基金份额持有人合法权益时， </w:t>
      </w:r>
      <w:r>
        <w:rPr>
          <w:spacing w:val="-3"/>
          <w:sz w:val="21"/>
        </w:rPr>
        <w:t>应当承担赔偿责任，其赔偿责任不因其退任而免除；</w:t>
      </w:r>
    </w:p>
    <w:p>
      <w:pPr>
        <w:pStyle w:val="ListParagraph"/>
        <w:numPr>
          <w:ilvl w:val="0"/>
          <w:numId w:val="36"/>
        </w:numPr>
        <w:tabs>
          <w:tab w:pos="1175" w:val="left" w:leader="none"/>
        </w:tabs>
        <w:spacing w:line="364" w:lineRule="auto" w:before="0" w:after="0"/>
        <w:ind w:left="120" w:right="311" w:firstLine="419"/>
        <w:jc w:val="left"/>
        <w:rPr>
          <w:sz w:val="21"/>
        </w:rPr>
      </w:pPr>
      <w:r>
        <w:rPr>
          <w:spacing w:val="-5"/>
          <w:sz w:val="21"/>
        </w:rPr>
        <w:t>监督基金托管人按法律法规和合同规定履行自己的义务，基金托管人违反基金 </w:t>
      </w:r>
      <w:r>
        <w:rPr>
          <w:spacing w:val="-4"/>
          <w:sz w:val="21"/>
        </w:rPr>
        <w:t>合同造成基金财产损失时，基金管理人应为基金份额持有人利益向基金托管人追偿；</w:t>
      </w:r>
    </w:p>
    <w:p>
      <w:pPr>
        <w:pStyle w:val="ListParagraph"/>
        <w:numPr>
          <w:ilvl w:val="0"/>
          <w:numId w:val="36"/>
        </w:numPr>
        <w:tabs>
          <w:tab w:pos="1173" w:val="left" w:leader="none"/>
        </w:tabs>
        <w:spacing w:line="240" w:lineRule="auto" w:before="0" w:after="0"/>
        <w:ind w:left="1172" w:right="0" w:hanging="633"/>
        <w:jc w:val="left"/>
        <w:rPr>
          <w:sz w:val="21"/>
        </w:rPr>
      </w:pPr>
      <w:r>
        <w:rPr>
          <w:spacing w:val="-12"/>
          <w:sz w:val="21"/>
        </w:rPr>
        <w:t>以基金管理人名义，代表基金份额持有人利益行使诉讼权利或实施其他法律行为；</w:t>
      </w:r>
    </w:p>
    <w:p>
      <w:pPr>
        <w:pStyle w:val="ListParagraph"/>
        <w:numPr>
          <w:ilvl w:val="0"/>
          <w:numId w:val="36"/>
        </w:numPr>
        <w:tabs>
          <w:tab w:pos="1175" w:val="left" w:leader="none"/>
        </w:tabs>
        <w:spacing w:line="364" w:lineRule="auto" w:before="133" w:after="0"/>
        <w:ind w:left="120" w:right="313" w:firstLine="419"/>
        <w:jc w:val="both"/>
        <w:rPr>
          <w:sz w:val="21"/>
        </w:rPr>
      </w:pPr>
      <w:r>
        <w:rPr>
          <w:spacing w:val="-8"/>
          <w:sz w:val="21"/>
        </w:rPr>
        <w:t>基金管理人在募集期间未能达到基金的备案条件，《基金合同》不能生效，基金</w:t>
      </w:r>
      <w:r>
        <w:rPr>
          <w:spacing w:val="-12"/>
          <w:sz w:val="21"/>
        </w:rPr>
        <w:t>管理人承担全部募集费用，将已募集资金并加计银行同期存款利息在募集期结束后 </w:t>
      </w:r>
      <w:r>
        <w:rPr>
          <w:sz w:val="21"/>
        </w:rPr>
        <w:t>30</w:t>
      </w:r>
      <w:r>
        <w:rPr>
          <w:spacing w:val="4"/>
          <w:sz w:val="21"/>
        </w:rPr>
        <w:t> 天内</w:t>
      </w:r>
      <w:r>
        <w:rPr>
          <w:spacing w:val="-3"/>
          <w:sz w:val="21"/>
        </w:rPr>
        <w:t>退还基金认购人；</w:t>
      </w:r>
    </w:p>
    <w:p>
      <w:pPr>
        <w:pStyle w:val="ListParagraph"/>
        <w:numPr>
          <w:ilvl w:val="0"/>
          <w:numId w:val="36"/>
        </w:numPr>
        <w:tabs>
          <w:tab w:pos="1175" w:val="left" w:leader="none"/>
        </w:tabs>
        <w:spacing w:line="267" w:lineRule="exact" w:before="0" w:after="0"/>
        <w:ind w:left="1175" w:right="0" w:hanging="635"/>
        <w:jc w:val="left"/>
        <w:rPr>
          <w:sz w:val="21"/>
        </w:rPr>
      </w:pPr>
      <w:r>
        <w:rPr>
          <w:spacing w:val="-3"/>
          <w:sz w:val="21"/>
        </w:rPr>
        <w:t>执行生效的基金份额持有人大会的决定；</w:t>
      </w:r>
    </w:p>
    <w:p>
      <w:pPr>
        <w:pStyle w:val="ListParagraph"/>
        <w:numPr>
          <w:ilvl w:val="0"/>
          <w:numId w:val="36"/>
        </w:numPr>
        <w:tabs>
          <w:tab w:pos="1175" w:val="left" w:leader="none"/>
        </w:tabs>
        <w:spacing w:line="240" w:lineRule="auto" w:before="142" w:after="0"/>
        <w:ind w:left="1175" w:right="0" w:hanging="635"/>
        <w:jc w:val="left"/>
        <w:rPr>
          <w:sz w:val="21"/>
        </w:rPr>
      </w:pPr>
      <w:r>
        <w:rPr>
          <w:spacing w:val="-3"/>
          <w:sz w:val="21"/>
        </w:rPr>
        <w:t>法律法规和《基金合同》规定的其他义务。</w:t>
      </w:r>
    </w:p>
    <w:p>
      <w:pPr>
        <w:pStyle w:val="BodyText"/>
        <w:spacing w:before="139"/>
        <w:ind w:left="540"/>
      </w:pPr>
      <w:r>
        <w:rPr/>
        <w:t>（三）基金托管人的权利与义务</w:t>
      </w:r>
    </w:p>
    <w:p>
      <w:pPr>
        <w:pStyle w:val="BodyText"/>
        <w:spacing w:before="139"/>
        <w:ind w:left="540"/>
      </w:pPr>
      <w:r>
        <w:rPr/>
        <w:t>1、根据《基金法》、《运作办法》及其他有关规定，基金托管人的权利包括但不限于：</w:t>
      </w:r>
    </w:p>
    <w:p>
      <w:pPr>
        <w:pStyle w:val="ListParagraph"/>
        <w:numPr>
          <w:ilvl w:val="0"/>
          <w:numId w:val="37"/>
        </w:numPr>
        <w:tabs>
          <w:tab w:pos="1070" w:val="left" w:leader="none"/>
        </w:tabs>
        <w:spacing w:line="240" w:lineRule="auto" w:before="138" w:after="0"/>
        <w:ind w:left="1069" w:right="0" w:hanging="530"/>
        <w:jc w:val="left"/>
        <w:rPr>
          <w:sz w:val="21"/>
        </w:rPr>
      </w:pPr>
      <w:r>
        <w:rPr>
          <w:spacing w:val="-13"/>
          <w:sz w:val="21"/>
        </w:rPr>
        <w:t>自本基金合同生效之日起，依法律法规和《基金合同》的规定安全保管基金资产；</w:t>
      </w:r>
    </w:p>
    <w:p>
      <w:pPr>
        <w:pStyle w:val="ListParagraph"/>
        <w:numPr>
          <w:ilvl w:val="0"/>
          <w:numId w:val="37"/>
        </w:numPr>
        <w:tabs>
          <w:tab w:pos="1070" w:val="left" w:leader="none"/>
        </w:tabs>
        <w:spacing w:line="364" w:lineRule="auto" w:before="142" w:after="0"/>
        <w:ind w:left="120" w:right="314" w:firstLine="419"/>
        <w:jc w:val="left"/>
        <w:rPr>
          <w:sz w:val="21"/>
        </w:rPr>
      </w:pPr>
      <w:r>
        <w:rPr>
          <w:spacing w:val="-3"/>
          <w:sz w:val="21"/>
        </w:rPr>
        <w:t>依《基金合同》约定获得基金托管费、其他法定收入和其他法律法规允许或监管部门批准的约定收入；</w:t>
      </w:r>
    </w:p>
    <w:p>
      <w:pPr>
        <w:pStyle w:val="ListParagraph"/>
        <w:numPr>
          <w:ilvl w:val="0"/>
          <w:numId w:val="37"/>
        </w:numPr>
        <w:tabs>
          <w:tab w:pos="1070" w:val="left" w:leader="none"/>
        </w:tabs>
        <w:spacing w:line="364" w:lineRule="auto" w:before="0" w:after="0"/>
        <w:ind w:left="120" w:right="314" w:firstLine="419"/>
        <w:jc w:val="left"/>
        <w:rPr>
          <w:sz w:val="21"/>
        </w:rPr>
      </w:pPr>
      <w:r>
        <w:rPr>
          <w:spacing w:val="-3"/>
          <w:sz w:val="21"/>
        </w:rPr>
        <w:t>监督基金管理人对本基金的投资运作，如发现基金管理人有违反《基金合同》及国家法律法规行为，应呈报中国证监会，并采取必要措施保护基金投资者的利益；</w:t>
      </w:r>
    </w:p>
    <w:p>
      <w:pPr>
        <w:pStyle w:val="ListParagraph"/>
        <w:numPr>
          <w:ilvl w:val="0"/>
          <w:numId w:val="37"/>
        </w:numPr>
        <w:tabs>
          <w:tab w:pos="1070" w:val="left" w:leader="none"/>
        </w:tabs>
        <w:spacing w:line="367" w:lineRule="auto" w:before="0" w:after="0"/>
        <w:ind w:left="120" w:right="314" w:firstLine="419"/>
        <w:jc w:val="left"/>
        <w:rPr>
          <w:sz w:val="21"/>
        </w:rPr>
      </w:pPr>
      <w:r>
        <w:rPr>
          <w:spacing w:val="-3"/>
          <w:sz w:val="21"/>
        </w:rPr>
        <w:t>以基金托管人和基金联名的方式在中国证券登记结算有限公司上海分公司和深圳分公司开设证券账户；</w:t>
      </w:r>
    </w:p>
    <w:p>
      <w:pPr>
        <w:pStyle w:val="ListParagraph"/>
        <w:numPr>
          <w:ilvl w:val="0"/>
          <w:numId w:val="37"/>
        </w:numPr>
        <w:tabs>
          <w:tab w:pos="1070" w:val="left" w:leader="none"/>
        </w:tabs>
        <w:spacing w:line="264" w:lineRule="exact" w:before="0" w:after="0"/>
        <w:ind w:left="1069" w:right="0" w:hanging="530"/>
        <w:jc w:val="left"/>
        <w:rPr>
          <w:sz w:val="21"/>
        </w:rPr>
      </w:pPr>
      <w:r>
        <w:rPr>
          <w:spacing w:val="-3"/>
          <w:sz w:val="21"/>
        </w:rPr>
        <w:t>以基金托管人名义开立证券交易资金账户，用于证券交易资金清算；</w:t>
      </w:r>
    </w:p>
    <w:p>
      <w:pPr>
        <w:pStyle w:val="ListParagraph"/>
        <w:numPr>
          <w:ilvl w:val="0"/>
          <w:numId w:val="37"/>
        </w:numPr>
        <w:tabs>
          <w:tab w:pos="1070" w:val="left" w:leader="none"/>
        </w:tabs>
        <w:spacing w:line="364" w:lineRule="auto" w:before="135" w:after="0"/>
        <w:ind w:left="120" w:right="314" w:firstLine="419"/>
        <w:jc w:val="left"/>
        <w:rPr>
          <w:sz w:val="21"/>
        </w:rPr>
      </w:pPr>
      <w:r>
        <w:rPr>
          <w:spacing w:val="-3"/>
          <w:sz w:val="21"/>
        </w:rPr>
        <w:t>以基金的名义在中央国债登记结算有限公司开设银行间债券托管账户，负责基金的债券及资金的清算；</w:t>
      </w:r>
    </w:p>
    <w:p>
      <w:pPr>
        <w:pStyle w:val="ListParagraph"/>
        <w:numPr>
          <w:ilvl w:val="0"/>
          <w:numId w:val="37"/>
        </w:numPr>
        <w:tabs>
          <w:tab w:pos="1070" w:val="left" w:leader="none"/>
        </w:tabs>
        <w:spacing w:line="267" w:lineRule="exact" w:before="0" w:after="0"/>
        <w:ind w:left="1069" w:right="0" w:hanging="530"/>
        <w:jc w:val="left"/>
        <w:rPr>
          <w:sz w:val="21"/>
        </w:rPr>
      </w:pPr>
      <w:r>
        <w:rPr>
          <w:spacing w:val="-3"/>
          <w:sz w:val="21"/>
        </w:rPr>
        <w:t>提议召开基金份额持有人大会；</w:t>
      </w:r>
    </w:p>
    <w:p>
      <w:pPr>
        <w:pStyle w:val="ListParagraph"/>
        <w:numPr>
          <w:ilvl w:val="0"/>
          <w:numId w:val="37"/>
        </w:numPr>
        <w:tabs>
          <w:tab w:pos="1070" w:val="left" w:leader="none"/>
        </w:tabs>
        <w:spacing w:line="240" w:lineRule="auto" w:before="142" w:after="0"/>
        <w:ind w:left="1069" w:right="0" w:hanging="530"/>
        <w:jc w:val="left"/>
        <w:rPr>
          <w:sz w:val="21"/>
        </w:rPr>
      </w:pPr>
      <w:r>
        <w:rPr>
          <w:spacing w:val="-3"/>
          <w:sz w:val="21"/>
        </w:rPr>
        <w:t>在基金管理人更换时，提名新的基金管理人；</w:t>
      </w:r>
    </w:p>
    <w:p>
      <w:pPr>
        <w:pStyle w:val="ListParagraph"/>
        <w:numPr>
          <w:ilvl w:val="0"/>
          <w:numId w:val="37"/>
        </w:numPr>
        <w:tabs>
          <w:tab w:pos="1070" w:val="left" w:leader="none"/>
        </w:tabs>
        <w:spacing w:line="240" w:lineRule="auto" w:before="139" w:after="0"/>
        <w:ind w:left="1069" w:right="0" w:hanging="530"/>
        <w:jc w:val="left"/>
        <w:rPr>
          <w:sz w:val="21"/>
        </w:rPr>
      </w:pPr>
      <w:r>
        <w:rPr>
          <w:spacing w:val="-3"/>
          <w:sz w:val="21"/>
        </w:rPr>
        <w:t>法律法规和《基金合同》规定的其他权利。</w:t>
      </w:r>
    </w:p>
    <w:p>
      <w:pPr>
        <w:pStyle w:val="BodyText"/>
        <w:spacing w:before="139"/>
        <w:ind w:left="540"/>
      </w:pPr>
      <w:r>
        <w:rPr/>
        <w:t>2、根据《基金法》、《运作办法》及其他有关规定，基金托管人的义务包括但不限于：</w:t>
      </w:r>
    </w:p>
    <w:p>
      <w:pPr>
        <w:spacing w:after="0"/>
        <w:sectPr>
          <w:pgSz w:w="11910" w:h="16840"/>
          <w:pgMar w:header="877" w:footer="1195" w:top="1380" w:bottom="1380" w:left="1680" w:right="1480"/>
        </w:sectPr>
      </w:pPr>
    </w:p>
    <w:p>
      <w:pPr>
        <w:pStyle w:val="ListParagraph"/>
        <w:numPr>
          <w:ilvl w:val="0"/>
          <w:numId w:val="38"/>
        </w:numPr>
        <w:tabs>
          <w:tab w:pos="1070" w:val="left" w:leader="none"/>
        </w:tabs>
        <w:spacing w:line="240" w:lineRule="auto" w:before="61" w:after="0"/>
        <w:ind w:left="1069" w:right="0" w:hanging="530"/>
        <w:jc w:val="left"/>
        <w:rPr>
          <w:sz w:val="21"/>
        </w:rPr>
      </w:pPr>
      <w:r>
        <w:rPr>
          <w:spacing w:val="-3"/>
          <w:sz w:val="21"/>
        </w:rPr>
        <w:t>以诚实信用、勤勉尽责的原则持有并安全保管基金财产；</w:t>
      </w:r>
    </w:p>
    <w:p>
      <w:pPr>
        <w:pStyle w:val="ListParagraph"/>
        <w:numPr>
          <w:ilvl w:val="0"/>
          <w:numId w:val="38"/>
        </w:numPr>
        <w:tabs>
          <w:tab w:pos="1070" w:val="left" w:leader="none"/>
        </w:tabs>
        <w:spacing w:line="364" w:lineRule="auto" w:before="139" w:after="0"/>
        <w:ind w:left="120" w:right="314" w:firstLine="419"/>
        <w:jc w:val="left"/>
        <w:rPr>
          <w:sz w:val="21"/>
        </w:rPr>
      </w:pPr>
      <w:r>
        <w:rPr>
          <w:spacing w:val="-3"/>
          <w:sz w:val="21"/>
        </w:rPr>
        <w:t>设立专门的资产托管部，具有符合要求的营业场所，配备足够的、合格的熟悉基金托管业务的专职人员，负责基金财产托管事宜；</w:t>
      </w:r>
    </w:p>
    <w:p>
      <w:pPr>
        <w:pStyle w:val="ListParagraph"/>
        <w:numPr>
          <w:ilvl w:val="0"/>
          <w:numId w:val="38"/>
        </w:numPr>
        <w:tabs>
          <w:tab w:pos="1070" w:val="left" w:leader="none"/>
        </w:tabs>
        <w:spacing w:line="364" w:lineRule="auto" w:before="1" w:after="0"/>
        <w:ind w:left="120" w:right="311" w:firstLine="419"/>
        <w:jc w:val="both"/>
        <w:rPr>
          <w:sz w:val="21"/>
        </w:rPr>
      </w:pPr>
      <w:r>
        <w:rPr>
          <w:spacing w:val="-3"/>
          <w:sz w:val="21"/>
        </w:rPr>
        <w:t>建立健全内部风险控制、监察与稽核、财务管理及人事管理等制度，确保基金财</w:t>
      </w:r>
      <w:r>
        <w:rPr>
          <w:spacing w:val="-10"/>
          <w:sz w:val="21"/>
        </w:rPr>
        <w:t>产的安全，保证其托管的基金财产与基金托管人自有财产以及不同的基金财产相互独立；对</w:t>
      </w:r>
      <w:r>
        <w:rPr>
          <w:spacing w:val="-21"/>
          <w:sz w:val="21"/>
        </w:rPr>
        <w:t>不同的基金分别设置账户，独立核算，分账管理，保证不同基金之间在名册登记、账户设置、</w:t>
      </w:r>
      <w:r>
        <w:rPr>
          <w:spacing w:val="-8"/>
          <w:sz w:val="21"/>
        </w:rPr>
        <w:t>资金划拨、账册记录等方面相互独立；</w:t>
      </w:r>
    </w:p>
    <w:p>
      <w:pPr>
        <w:pStyle w:val="ListParagraph"/>
        <w:numPr>
          <w:ilvl w:val="0"/>
          <w:numId w:val="38"/>
        </w:numPr>
        <w:tabs>
          <w:tab w:pos="1070" w:val="left" w:leader="none"/>
        </w:tabs>
        <w:spacing w:line="364" w:lineRule="auto" w:before="0" w:after="0"/>
        <w:ind w:left="120" w:right="314" w:firstLine="419"/>
        <w:jc w:val="left"/>
        <w:rPr>
          <w:sz w:val="21"/>
        </w:rPr>
      </w:pPr>
      <w:r>
        <w:rPr>
          <w:spacing w:val="-17"/>
          <w:sz w:val="21"/>
        </w:rPr>
        <w:t>除依据《基金法》、《基金合同》及其他有关规定外，不得利用基金财产为自己及</w:t>
      </w:r>
      <w:r>
        <w:rPr>
          <w:spacing w:val="-7"/>
          <w:sz w:val="21"/>
        </w:rPr>
        <w:t>任何第三人谋取利益，不得委托第三人托管基金财产；</w:t>
      </w:r>
    </w:p>
    <w:p>
      <w:pPr>
        <w:pStyle w:val="ListParagraph"/>
        <w:numPr>
          <w:ilvl w:val="0"/>
          <w:numId w:val="38"/>
        </w:numPr>
        <w:tabs>
          <w:tab w:pos="1070" w:val="left" w:leader="none"/>
        </w:tabs>
        <w:spacing w:line="268" w:lineRule="exact" w:before="0" w:after="0"/>
        <w:ind w:left="1069" w:right="0" w:hanging="530"/>
        <w:jc w:val="left"/>
        <w:rPr>
          <w:sz w:val="21"/>
        </w:rPr>
      </w:pPr>
      <w:r>
        <w:rPr>
          <w:spacing w:val="-3"/>
          <w:sz w:val="21"/>
        </w:rPr>
        <w:t>保管由基金管理人代表基金签订的与基金有关的重大合同及有关凭证；</w:t>
      </w:r>
    </w:p>
    <w:p>
      <w:pPr>
        <w:pStyle w:val="ListParagraph"/>
        <w:numPr>
          <w:ilvl w:val="0"/>
          <w:numId w:val="38"/>
        </w:numPr>
        <w:tabs>
          <w:tab w:pos="1070" w:val="left" w:leader="none"/>
        </w:tabs>
        <w:spacing w:line="364" w:lineRule="auto" w:before="137" w:after="0"/>
        <w:ind w:left="120" w:right="311" w:firstLine="419"/>
        <w:jc w:val="left"/>
        <w:rPr>
          <w:sz w:val="21"/>
        </w:rPr>
      </w:pPr>
      <w:r>
        <w:rPr>
          <w:spacing w:val="-6"/>
          <w:sz w:val="21"/>
        </w:rPr>
        <w:t>按规定开设基金财产的资金账户和证券账户,按照《基金合同》的约定，根据基 </w:t>
      </w:r>
      <w:r>
        <w:rPr>
          <w:spacing w:val="-5"/>
          <w:sz w:val="21"/>
        </w:rPr>
        <w:t>金管理人的投资指令，及时办理清算、交割事宜；</w:t>
      </w:r>
    </w:p>
    <w:p>
      <w:pPr>
        <w:pStyle w:val="ListParagraph"/>
        <w:numPr>
          <w:ilvl w:val="0"/>
          <w:numId w:val="38"/>
        </w:numPr>
        <w:tabs>
          <w:tab w:pos="1070" w:val="left" w:leader="none"/>
        </w:tabs>
        <w:spacing w:line="364" w:lineRule="auto" w:before="0" w:after="0"/>
        <w:ind w:left="120" w:right="314" w:firstLine="419"/>
        <w:jc w:val="left"/>
        <w:rPr>
          <w:sz w:val="21"/>
        </w:rPr>
      </w:pPr>
      <w:r>
        <w:rPr>
          <w:spacing w:val="-16"/>
          <w:sz w:val="21"/>
        </w:rPr>
        <w:t>保守基金商业秘密，除《基金法》、《基金合同》及其他有关规定另有规定外，在</w:t>
      </w:r>
      <w:r>
        <w:rPr>
          <w:spacing w:val="-7"/>
          <w:sz w:val="21"/>
        </w:rPr>
        <w:t>基金信息公开披露前予以保密，不得向他人泄露；</w:t>
      </w:r>
    </w:p>
    <w:p>
      <w:pPr>
        <w:pStyle w:val="ListParagraph"/>
        <w:numPr>
          <w:ilvl w:val="0"/>
          <w:numId w:val="38"/>
        </w:numPr>
        <w:tabs>
          <w:tab w:pos="1070" w:val="left" w:leader="none"/>
        </w:tabs>
        <w:spacing w:line="364" w:lineRule="auto" w:before="0" w:after="0"/>
        <w:ind w:left="120" w:right="313" w:firstLine="419"/>
        <w:jc w:val="left"/>
        <w:rPr>
          <w:sz w:val="21"/>
        </w:rPr>
      </w:pPr>
      <w:r>
        <w:rPr>
          <w:spacing w:val="-3"/>
          <w:sz w:val="21"/>
        </w:rPr>
        <w:t>复核、审查基金管理人计算的基金资产净值、基金份额净值、基金份额申购、赎回价格；</w:t>
      </w:r>
    </w:p>
    <w:p>
      <w:pPr>
        <w:pStyle w:val="ListParagraph"/>
        <w:numPr>
          <w:ilvl w:val="0"/>
          <w:numId w:val="38"/>
        </w:numPr>
        <w:tabs>
          <w:tab w:pos="1070" w:val="left" w:leader="none"/>
        </w:tabs>
        <w:spacing w:line="268" w:lineRule="exact" w:before="0" w:after="0"/>
        <w:ind w:left="1069" w:right="0" w:hanging="530"/>
        <w:jc w:val="left"/>
        <w:rPr>
          <w:sz w:val="21"/>
        </w:rPr>
      </w:pPr>
      <w:r>
        <w:rPr>
          <w:spacing w:val="-3"/>
          <w:sz w:val="21"/>
        </w:rPr>
        <w:t>办理与基金托管业务活动有关的信息披露事项；</w:t>
      </w:r>
    </w:p>
    <w:p>
      <w:pPr>
        <w:pStyle w:val="ListParagraph"/>
        <w:numPr>
          <w:ilvl w:val="0"/>
          <w:numId w:val="38"/>
        </w:numPr>
        <w:tabs>
          <w:tab w:pos="1175" w:val="left" w:leader="none"/>
        </w:tabs>
        <w:spacing w:line="364" w:lineRule="auto" w:before="140" w:after="0"/>
        <w:ind w:left="120" w:right="311" w:firstLine="419"/>
        <w:jc w:val="both"/>
        <w:rPr>
          <w:sz w:val="21"/>
        </w:rPr>
      </w:pPr>
      <w:r>
        <w:rPr>
          <w:spacing w:val="-9"/>
          <w:sz w:val="21"/>
        </w:rPr>
        <w:t>对基金财务会计报告、季度报告、中期报告和年度报告出具意见，说明基金管 </w:t>
      </w:r>
      <w:r>
        <w:rPr>
          <w:spacing w:val="-19"/>
          <w:sz w:val="21"/>
        </w:rPr>
        <w:t>理人在各重要方面的运作是否严格按照《基金合同》的规定进行；如果基金管理人有未执行《</w:t>
      </w:r>
      <w:r>
        <w:rPr>
          <w:spacing w:val="-3"/>
          <w:sz w:val="21"/>
        </w:rPr>
        <w:t>基金合同》规定的行为，还应当说明基金托管人是否采取了适当的措施；</w:t>
      </w:r>
    </w:p>
    <w:p>
      <w:pPr>
        <w:pStyle w:val="ListParagraph"/>
        <w:numPr>
          <w:ilvl w:val="0"/>
          <w:numId w:val="38"/>
        </w:numPr>
        <w:tabs>
          <w:tab w:pos="1175" w:val="left" w:leader="none"/>
        </w:tabs>
        <w:spacing w:line="367" w:lineRule="auto" w:before="0" w:after="0"/>
        <w:ind w:left="120" w:right="311" w:firstLine="419"/>
        <w:jc w:val="both"/>
        <w:rPr>
          <w:sz w:val="21"/>
        </w:rPr>
      </w:pPr>
      <w:r>
        <w:rPr>
          <w:spacing w:val="-7"/>
          <w:sz w:val="21"/>
        </w:rPr>
        <w:t>按有关规定，保存基金托管业务活动的记录、账册、报表和其他相关资料  </w:t>
      </w:r>
      <w:r>
        <w:rPr>
          <w:sz w:val="21"/>
        </w:rPr>
        <w:t>15 年以上；</w:t>
      </w:r>
    </w:p>
    <w:p>
      <w:pPr>
        <w:pStyle w:val="ListParagraph"/>
        <w:numPr>
          <w:ilvl w:val="0"/>
          <w:numId w:val="38"/>
        </w:numPr>
        <w:tabs>
          <w:tab w:pos="1175" w:val="left" w:leader="none"/>
        </w:tabs>
        <w:spacing w:line="264" w:lineRule="exact" w:before="0" w:after="0"/>
        <w:ind w:left="1175" w:right="0" w:hanging="635"/>
        <w:jc w:val="left"/>
        <w:rPr>
          <w:sz w:val="21"/>
        </w:rPr>
      </w:pPr>
      <w:r>
        <w:rPr>
          <w:spacing w:val="-3"/>
          <w:sz w:val="21"/>
        </w:rPr>
        <w:t>建立并保存基金份额持有人名册；</w:t>
      </w:r>
    </w:p>
    <w:p>
      <w:pPr>
        <w:pStyle w:val="ListParagraph"/>
        <w:numPr>
          <w:ilvl w:val="0"/>
          <w:numId w:val="38"/>
        </w:numPr>
        <w:tabs>
          <w:tab w:pos="1175" w:val="left" w:leader="none"/>
        </w:tabs>
        <w:spacing w:line="240" w:lineRule="auto" w:before="136" w:after="0"/>
        <w:ind w:left="1175" w:right="0" w:hanging="635"/>
        <w:jc w:val="left"/>
        <w:rPr>
          <w:sz w:val="21"/>
        </w:rPr>
      </w:pPr>
      <w:r>
        <w:rPr>
          <w:spacing w:val="-3"/>
          <w:sz w:val="21"/>
        </w:rPr>
        <w:t>按规定制作相关账册并与基金管理人核对；</w:t>
      </w:r>
    </w:p>
    <w:p>
      <w:pPr>
        <w:pStyle w:val="ListParagraph"/>
        <w:numPr>
          <w:ilvl w:val="0"/>
          <w:numId w:val="38"/>
        </w:numPr>
        <w:tabs>
          <w:tab w:pos="1175" w:val="left" w:leader="none"/>
        </w:tabs>
        <w:spacing w:line="240" w:lineRule="auto" w:before="139" w:after="0"/>
        <w:ind w:left="1175" w:right="0" w:hanging="635"/>
        <w:jc w:val="left"/>
        <w:rPr>
          <w:sz w:val="21"/>
        </w:rPr>
      </w:pPr>
      <w:r>
        <w:rPr>
          <w:spacing w:val="-3"/>
          <w:sz w:val="21"/>
        </w:rPr>
        <w:t>依据基金管理人的指令或有关规定向基金份额持有人支付基金收益和赎回款项；</w:t>
      </w:r>
    </w:p>
    <w:p>
      <w:pPr>
        <w:pStyle w:val="ListParagraph"/>
        <w:numPr>
          <w:ilvl w:val="0"/>
          <w:numId w:val="38"/>
        </w:numPr>
        <w:tabs>
          <w:tab w:pos="1173" w:val="left" w:leader="none"/>
        </w:tabs>
        <w:spacing w:line="367" w:lineRule="auto" w:before="139" w:after="0"/>
        <w:ind w:left="120" w:right="311" w:firstLine="419"/>
        <w:jc w:val="left"/>
        <w:rPr>
          <w:sz w:val="21"/>
        </w:rPr>
      </w:pPr>
      <w:r>
        <w:rPr>
          <w:spacing w:val="-3"/>
          <w:sz w:val="21"/>
        </w:rPr>
        <w:t>按照规定召集基金份额持有人大会或配合基金份额持有人依法自行召集基金份</w:t>
      </w:r>
      <w:r>
        <w:rPr>
          <w:spacing w:val="-2"/>
          <w:sz w:val="21"/>
        </w:rPr>
        <w:t>额持有人大会；</w:t>
      </w:r>
    </w:p>
    <w:p>
      <w:pPr>
        <w:pStyle w:val="ListParagraph"/>
        <w:numPr>
          <w:ilvl w:val="0"/>
          <w:numId w:val="38"/>
        </w:numPr>
        <w:tabs>
          <w:tab w:pos="1175" w:val="left" w:leader="none"/>
        </w:tabs>
        <w:spacing w:line="264" w:lineRule="exact" w:before="0" w:after="0"/>
        <w:ind w:left="1175" w:right="0" w:hanging="635"/>
        <w:jc w:val="left"/>
        <w:rPr>
          <w:sz w:val="21"/>
        </w:rPr>
      </w:pPr>
      <w:r>
        <w:rPr>
          <w:spacing w:val="-3"/>
          <w:sz w:val="21"/>
        </w:rPr>
        <w:t>按照法律法规和基金合同的规定监督基金管理人的投资运作；</w:t>
      </w:r>
    </w:p>
    <w:p>
      <w:pPr>
        <w:pStyle w:val="ListParagraph"/>
        <w:numPr>
          <w:ilvl w:val="0"/>
          <w:numId w:val="38"/>
        </w:numPr>
        <w:tabs>
          <w:tab w:pos="1175" w:val="left" w:leader="none"/>
        </w:tabs>
        <w:spacing w:line="240" w:lineRule="auto" w:before="139" w:after="0"/>
        <w:ind w:left="1175" w:right="0" w:hanging="635"/>
        <w:jc w:val="left"/>
        <w:rPr>
          <w:sz w:val="21"/>
        </w:rPr>
      </w:pPr>
      <w:r>
        <w:rPr>
          <w:spacing w:val="-3"/>
          <w:sz w:val="21"/>
        </w:rPr>
        <w:t>参加基金财产清算小组，参与基金财产的保管、清理、估价、变现和分配；</w:t>
      </w:r>
    </w:p>
    <w:p>
      <w:pPr>
        <w:pStyle w:val="ListParagraph"/>
        <w:numPr>
          <w:ilvl w:val="0"/>
          <w:numId w:val="38"/>
        </w:numPr>
        <w:tabs>
          <w:tab w:pos="1173" w:val="left" w:leader="none"/>
        </w:tabs>
        <w:spacing w:line="364" w:lineRule="auto" w:before="139" w:after="0"/>
        <w:ind w:left="120" w:right="311" w:firstLine="419"/>
        <w:jc w:val="left"/>
        <w:rPr>
          <w:sz w:val="21"/>
        </w:rPr>
      </w:pPr>
      <w:r>
        <w:rPr>
          <w:spacing w:val="-10"/>
          <w:sz w:val="21"/>
        </w:rPr>
        <w:t>面临解散、依法被撤销或者被依法宣告破产时，及时报告中国证监会和银行监 </w:t>
      </w:r>
      <w:r>
        <w:rPr>
          <w:spacing w:val="-7"/>
          <w:sz w:val="21"/>
        </w:rPr>
        <w:t>管机构，并通知基金管理人；</w:t>
      </w:r>
    </w:p>
    <w:p>
      <w:pPr>
        <w:pStyle w:val="ListParagraph"/>
        <w:numPr>
          <w:ilvl w:val="0"/>
          <w:numId w:val="38"/>
        </w:numPr>
        <w:tabs>
          <w:tab w:pos="1175" w:val="left" w:leader="none"/>
        </w:tabs>
        <w:spacing w:line="364" w:lineRule="auto" w:before="1" w:after="0"/>
        <w:ind w:left="120" w:right="311" w:firstLine="419"/>
        <w:jc w:val="left"/>
        <w:rPr>
          <w:sz w:val="21"/>
        </w:rPr>
      </w:pPr>
      <w:r>
        <w:rPr>
          <w:spacing w:val="-10"/>
          <w:sz w:val="21"/>
        </w:rPr>
        <w:t>因违反《基金合同》导致基金财产损失时，应承担赔偿责任，其赔偿责任不因 </w:t>
      </w:r>
      <w:r>
        <w:rPr>
          <w:spacing w:val="-7"/>
          <w:sz w:val="21"/>
        </w:rPr>
        <w:t>其退任而免除；</w:t>
      </w:r>
    </w:p>
    <w:p>
      <w:pPr>
        <w:pStyle w:val="ListParagraph"/>
        <w:numPr>
          <w:ilvl w:val="0"/>
          <w:numId w:val="38"/>
        </w:numPr>
        <w:tabs>
          <w:tab w:pos="1173" w:val="left" w:leader="none"/>
        </w:tabs>
        <w:spacing w:line="268" w:lineRule="exact" w:before="0" w:after="0"/>
        <w:ind w:left="1172" w:right="0" w:hanging="633"/>
        <w:jc w:val="left"/>
        <w:rPr>
          <w:sz w:val="21"/>
        </w:rPr>
      </w:pPr>
      <w:r>
        <w:rPr>
          <w:spacing w:val="-6"/>
          <w:sz w:val="21"/>
        </w:rPr>
        <w:t>监督基金管理人按法律法规和合同规定履行自己的义务，基金管理人因违反《基</w:t>
      </w:r>
    </w:p>
    <w:p>
      <w:pPr>
        <w:spacing w:after="0" w:line="268" w:lineRule="exact"/>
        <w:jc w:val="left"/>
        <w:rPr>
          <w:sz w:val="21"/>
        </w:rPr>
        <w:sectPr>
          <w:pgSz w:w="11910" w:h="16840"/>
          <w:pgMar w:header="877" w:footer="1195" w:top="1380" w:bottom="1380" w:left="1680" w:right="1480"/>
        </w:sectPr>
      </w:pPr>
    </w:p>
    <w:p>
      <w:pPr>
        <w:pStyle w:val="BodyText"/>
        <w:spacing w:before="61"/>
      </w:pPr>
      <w:r>
        <w:rPr/>
        <w:t>金合同》造成基金财产损失时，应为基金份额持有人的利益向基金管理人追偿；</w:t>
      </w:r>
    </w:p>
    <w:p>
      <w:pPr>
        <w:pStyle w:val="ListParagraph"/>
        <w:numPr>
          <w:ilvl w:val="0"/>
          <w:numId w:val="38"/>
        </w:numPr>
        <w:tabs>
          <w:tab w:pos="1175" w:val="left" w:leader="none"/>
        </w:tabs>
        <w:spacing w:line="240" w:lineRule="auto" w:before="139" w:after="0"/>
        <w:ind w:left="1175" w:right="0" w:hanging="635"/>
        <w:jc w:val="left"/>
        <w:rPr>
          <w:sz w:val="21"/>
        </w:rPr>
      </w:pPr>
      <w:r>
        <w:rPr>
          <w:spacing w:val="-3"/>
          <w:sz w:val="21"/>
        </w:rPr>
        <w:t>执行生效的基金份额持有人大会的决定；</w:t>
      </w:r>
    </w:p>
    <w:p>
      <w:pPr>
        <w:pStyle w:val="ListParagraph"/>
        <w:numPr>
          <w:ilvl w:val="0"/>
          <w:numId w:val="38"/>
        </w:numPr>
        <w:tabs>
          <w:tab w:pos="1175" w:val="left" w:leader="none"/>
        </w:tabs>
        <w:spacing w:line="240" w:lineRule="auto" w:before="139" w:after="0"/>
        <w:ind w:left="1175" w:right="0" w:hanging="635"/>
        <w:jc w:val="left"/>
        <w:rPr>
          <w:sz w:val="21"/>
        </w:rPr>
      </w:pPr>
      <w:r>
        <w:rPr>
          <w:spacing w:val="-3"/>
          <w:sz w:val="21"/>
        </w:rPr>
        <w:t>法律法规和《基金合同》规定的其他义务。</w:t>
      </w:r>
    </w:p>
    <w:p>
      <w:pPr>
        <w:pStyle w:val="BodyText"/>
        <w:ind w:left="0"/>
        <w:rPr>
          <w:sz w:val="20"/>
        </w:rPr>
      </w:pPr>
    </w:p>
    <w:p>
      <w:pPr>
        <w:pStyle w:val="BodyText"/>
        <w:spacing w:before="11"/>
        <w:ind w:left="0"/>
        <w:rPr>
          <w:sz w:val="22"/>
        </w:rPr>
      </w:pPr>
    </w:p>
    <w:p>
      <w:pPr>
        <w:pStyle w:val="BodyText"/>
        <w:ind w:left="540"/>
      </w:pPr>
      <w:r>
        <w:rPr/>
        <w:t>二、基金份额持有人大会召集、议事及表决的程序和规则</w:t>
      </w:r>
    </w:p>
    <w:p>
      <w:pPr>
        <w:pStyle w:val="BodyText"/>
        <w:spacing w:line="364" w:lineRule="auto" w:before="139"/>
        <w:ind w:right="311" w:firstLine="419"/>
      </w:pPr>
      <w:r>
        <w:rPr>
          <w:spacing w:val="-6"/>
        </w:rPr>
        <w:t>基金份额持有人大会由基金份额持有人或基金份额持有人的合法授权代表共同组成。基</w:t>
      </w:r>
      <w:r>
        <w:rPr>
          <w:spacing w:val="-4"/>
        </w:rPr>
        <w:t>金份额持有人持有的每一基金份额拥有平等的投票权。</w:t>
      </w:r>
    </w:p>
    <w:p>
      <w:pPr>
        <w:pStyle w:val="BodyText"/>
        <w:spacing w:before="1"/>
        <w:ind w:left="540"/>
      </w:pPr>
      <w:r>
        <w:rPr/>
        <w:t>（一）召开事由</w:t>
      </w:r>
    </w:p>
    <w:p>
      <w:pPr>
        <w:pStyle w:val="BodyText"/>
        <w:spacing w:before="139"/>
        <w:ind w:left="540"/>
      </w:pPr>
      <w:r>
        <w:rPr/>
        <w:t>1、当出现或需要决定下列事由之一的，应当召开基金份额持有人大会：</w:t>
      </w:r>
    </w:p>
    <w:p>
      <w:pPr>
        <w:pStyle w:val="ListParagraph"/>
        <w:numPr>
          <w:ilvl w:val="0"/>
          <w:numId w:val="39"/>
        </w:numPr>
        <w:tabs>
          <w:tab w:pos="1070" w:val="left" w:leader="none"/>
        </w:tabs>
        <w:spacing w:line="240" w:lineRule="auto" w:before="139" w:after="0"/>
        <w:ind w:left="1069" w:right="0" w:hanging="530"/>
        <w:jc w:val="left"/>
        <w:rPr>
          <w:sz w:val="21"/>
        </w:rPr>
      </w:pPr>
      <w:r>
        <w:rPr>
          <w:spacing w:val="-15"/>
          <w:sz w:val="21"/>
        </w:rPr>
        <w:t>终止《基金合同》；</w:t>
      </w:r>
    </w:p>
    <w:p>
      <w:pPr>
        <w:pStyle w:val="ListParagraph"/>
        <w:numPr>
          <w:ilvl w:val="0"/>
          <w:numId w:val="39"/>
        </w:numPr>
        <w:tabs>
          <w:tab w:pos="1070" w:val="left" w:leader="none"/>
        </w:tabs>
        <w:spacing w:line="240" w:lineRule="auto" w:before="139" w:after="0"/>
        <w:ind w:left="1069" w:right="0" w:hanging="530"/>
        <w:jc w:val="left"/>
        <w:rPr>
          <w:sz w:val="21"/>
        </w:rPr>
      </w:pPr>
      <w:r>
        <w:rPr>
          <w:spacing w:val="-3"/>
          <w:sz w:val="21"/>
        </w:rPr>
        <w:t>更换基金管理人；</w:t>
      </w:r>
    </w:p>
    <w:p>
      <w:pPr>
        <w:pStyle w:val="ListParagraph"/>
        <w:numPr>
          <w:ilvl w:val="0"/>
          <w:numId w:val="39"/>
        </w:numPr>
        <w:tabs>
          <w:tab w:pos="1070" w:val="left" w:leader="none"/>
        </w:tabs>
        <w:spacing w:line="240" w:lineRule="auto" w:before="139" w:after="0"/>
        <w:ind w:left="1069" w:right="0" w:hanging="530"/>
        <w:jc w:val="left"/>
        <w:rPr>
          <w:sz w:val="21"/>
        </w:rPr>
      </w:pPr>
      <w:r>
        <w:rPr>
          <w:spacing w:val="-3"/>
          <w:sz w:val="21"/>
        </w:rPr>
        <w:t>更换基金托管人；</w:t>
      </w:r>
    </w:p>
    <w:p>
      <w:pPr>
        <w:pStyle w:val="ListParagraph"/>
        <w:numPr>
          <w:ilvl w:val="0"/>
          <w:numId w:val="39"/>
        </w:numPr>
        <w:tabs>
          <w:tab w:pos="1070" w:val="left" w:leader="none"/>
        </w:tabs>
        <w:spacing w:line="240" w:lineRule="auto" w:before="141" w:after="0"/>
        <w:ind w:left="1069" w:right="0" w:hanging="530"/>
        <w:jc w:val="left"/>
        <w:rPr>
          <w:sz w:val="21"/>
        </w:rPr>
      </w:pPr>
      <w:r>
        <w:rPr>
          <w:spacing w:val="-3"/>
          <w:sz w:val="21"/>
        </w:rPr>
        <w:t>转换基金运作方式；</w:t>
      </w:r>
    </w:p>
    <w:p>
      <w:pPr>
        <w:pStyle w:val="ListParagraph"/>
        <w:numPr>
          <w:ilvl w:val="0"/>
          <w:numId w:val="39"/>
        </w:numPr>
        <w:tabs>
          <w:tab w:pos="1070" w:val="left" w:leader="none"/>
        </w:tabs>
        <w:spacing w:line="240" w:lineRule="auto" w:before="139" w:after="0"/>
        <w:ind w:left="1069" w:right="0" w:hanging="530"/>
        <w:jc w:val="left"/>
        <w:rPr>
          <w:sz w:val="21"/>
        </w:rPr>
      </w:pPr>
      <w:r>
        <w:rPr>
          <w:spacing w:val="-3"/>
          <w:sz w:val="21"/>
        </w:rPr>
        <w:t>提高基金管理人、基金托管人的报酬标准；</w:t>
      </w:r>
    </w:p>
    <w:p>
      <w:pPr>
        <w:pStyle w:val="ListParagraph"/>
        <w:numPr>
          <w:ilvl w:val="0"/>
          <w:numId w:val="39"/>
        </w:numPr>
        <w:tabs>
          <w:tab w:pos="1070" w:val="left" w:leader="none"/>
        </w:tabs>
        <w:spacing w:line="240" w:lineRule="auto" w:before="139" w:after="0"/>
        <w:ind w:left="1069" w:right="0" w:hanging="530"/>
        <w:jc w:val="left"/>
        <w:rPr>
          <w:sz w:val="21"/>
        </w:rPr>
      </w:pPr>
      <w:r>
        <w:rPr>
          <w:spacing w:val="-3"/>
          <w:sz w:val="21"/>
        </w:rPr>
        <w:t>变更基金类别；</w:t>
      </w:r>
    </w:p>
    <w:p>
      <w:pPr>
        <w:pStyle w:val="ListParagraph"/>
        <w:numPr>
          <w:ilvl w:val="0"/>
          <w:numId w:val="39"/>
        </w:numPr>
        <w:tabs>
          <w:tab w:pos="1070" w:val="left" w:leader="none"/>
        </w:tabs>
        <w:spacing w:line="240" w:lineRule="auto" w:before="139" w:after="0"/>
        <w:ind w:left="1069" w:right="0" w:hanging="530"/>
        <w:jc w:val="left"/>
        <w:rPr>
          <w:sz w:val="21"/>
        </w:rPr>
      </w:pPr>
      <w:r>
        <w:rPr>
          <w:spacing w:val="-3"/>
          <w:sz w:val="21"/>
        </w:rPr>
        <w:t>变更基金投资目标、范围或策略；</w:t>
      </w:r>
    </w:p>
    <w:p>
      <w:pPr>
        <w:pStyle w:val="ListParagraph"/>
        <w:numPr>
          <w:ilvl w:val="0"/>
          <w:numId w:val="39"/>
        </w:numPr>
        <w:tabs>
          <w:tab w:pos="1070" w:val="left" w:leader="none"/>
        </w:tabs>
        <w:spacing w:line="240" w:lineRule="auto" w:before="140" w:after="0"/>
        <w:ind w:left="1069" w:right="0" w:hanging="530"/>
        <w:jc w:val="left"/>
        <w:rPr>
          <w:sz w:val="21"/>
        </w:rPr>
      </w:pPr>
      <w:r>
        <w:rPr>
          <w:spacing w:val="-3"/>
          <w:sz w:val="21"/>
        </w:rPr>
        <w:t>变更基金份额持有人大会程序；</w:t>
      </w:r>
    </w:p>
    <w:p>
      <w:pPr>
        <w:pStyle w:val="ListParagraph"/>
        <w:numPr>
          <w:ilvl w:val="0"/>
          <w:numId w:val="39"/>
        </w:numPr>
        <w:tabs>
          <w:tab w:pos="1070" w:val="left" w:leader="none"/>
        </w:tabs>
        <w:spacing w:line="240" w:lineRule="auto" w:before="141" w:after="0"/>
        <w:ind w:left="1069" w:right="0" w:hanging="530"/>
        <w:jc w:val="left"/>
        <w:rPr>
          <w:sz w:val="21"/>
        </w:rPr>
      </w:pPr>
      <w:r>
        <w:rPr>
          <w:spacing w:val="-3"/>
          <w:sz w:val="21"/>
        </w:rPr>
        <w:t>对基金当事人权利和义务产生重大影响的事项；</w:t>
      </w:r>
    </w:p>
    <w:p>
      <w:pPr>
        <w:pStyle w:val="ListParagraph"/>
        <w:numPr>
          <w:ilvl w:val="0"/>
          <w:numId w:val="39"/>
        </w:numPr>
        <w:tabs>
          <w:tab w:pos="1175" w:val="left" w:leader="none"/>
        </w:tabs>
        <w:spacing w:line="364" w:lineRule="auto" w:before="139" w:after="0"/>
        <w:ind w:left="120" w:right="314" w:firstLine="419"/>
        <w:jc w:val="left"/>
        <w:rPr>
          <w:sz w:val="21"/>
        </w:rPr>
      </w:pPr>
      <w:r>
        <w:rPr>
          <w:spacing w:val="-12"/>
          <w:sz w:val="21"/>
        </w:rPr>
        <w:t>法律法规、《基金合同》或中国证监会规定的其他应当召开基金份额持有人大会</w:t>
      </w:r>
      <w:r>
        <w:rPr>
          <w:spacing w:val="-7"/>
          <w:sz w:val="21"/>
        </w:rPr>
        <w:t>的事项。</w:t>
      </w:r>
    </w:p>
    <w:p>
      <w:pPr>
        <w:pStyle w:val="BodyText"/>
        <w:spacing w:line="267" w:lineRule="exact"/>
        <w:ind w:left="540"/>
      </w:pPr>
      <w:r>
        <w:rPr/>
        <w:t>2、以下情况可由基金管理人和基金托管人协商后修改，不需召开基金份额持有人大会：</w:t>
      </w:r>
    </w:p>
    <w:p>
      <w:pPr>
        <w:pStyle w:val="ListParagraph"/>
        <w:numPr>
          <w:ilvl w:val="0"/>
          <w:numId w:val="40"/>
        </w:numPr>
        <w:tabs>
          <w:tab w:pos="1070" w:val="left" w:leader="none"/>
        </w:tabs>
        <w:spacing w:line="240" w:lineRule="auto" w:before="141" w:after="0"/>
        <w:ind w:left="1069" w:right="0" w:hanging="530"/>
        <w:jc w:val="left"/>
        <w:rPr>
          <w:sz w:val="21"/>
        </w:rPr>
      </w:pPr>
      <w:r>
        <w:rPr>
          <w:spacing w:val="-3"/>
          <w:sz w:val="21"/>
        </w:rPr>
        <w:t>调低基金管理费、基金托管费；</w:t>
      </w:r>
    </w:p>
    <w:p>
      <w:pPr>
        <w:pStyle w:val="ListParagraph"/>
        <w:numPr>
          <w:ilvl w:val="0"/>
          <w:numId w:val="40"/>
        </w:numPr>
        <w:tabs>
          <w:tab w:pos="1070" w:val="left" w:leader="none"/>
        </w:tabs>
        <w:spacing w:line="240" w:lineRule="auto" w:before="139" w:after="0"/>
        <w:ind w:left="1069" w:right="0" w:hanging="530"/>
        <w:jc w:val="left"/>
        <w:rPr>
          <w:sz w:val="21"/>
        </w:rPr>
      </w:pPr>
      <w:r>
        <w:rPr>
          <w:spacing w:val="-3"/>
          <w:sz w:val="21"/>
        </w:rPr>
        <w:t>在《基金合同》规定的范围内变更本基金的申购费率、赎回费率或收费方式；</w:t>
      </w:r>
    </w:p>
    <w:p>
      <w:pPr>
        <w:pStyle w:val="ListParagraph"/>
        <w:numPr>
          <w:ilvl w:val="0"/>
          <w:numId w:val="40"/>
        </w:numPr>
        <w:tabs>
          <w:tab w:pos="1070" w:val="left" w:leader="none"/>
        </w:tabs>
        <w:spacing w:line="240" w:lineRule="auto" w:before="139" w:after="0"/>
        <w:ind w:left="1069" w:right="0" w:hanging="530"/>
        <w:jc w:val="left"/>
        <w:rPr>
          <w:sz w:val="21"/>
        </w:rPr>
      </w:pPr>
      <w:r>
        <w:rPr>
          <w:spacing w:val="-3"/>
          <w:sz w:val="21"/>
        </w:rPr>
        <w:t>因相应的法律法规发生变动而应当对《基金合同》进行修改；</w:t>
      </w:r>
    </w:p>
    <w:p>
      <w:pPr>
        <w:pStyle w:val="ListParagraph"/>
        <w:numPr>
          <w:ilvl w:val="0"/>
          <w:numId w:val="40"/>
        </w:numPr>
        <w:tabs>
          <w:tab w:pos="1070" w:val="left" w:leader="none"/>
        </w:tabs>
        <w:spacing w:line="364" w:lineRule="auto" w:before="140" w:after="0"/>
        <w:ind w:left="120" w:right="314" w:firstLine="419"/>
        <w:jc w:val="left"/>
        <w:rPr>
          <w:sz w:val="21"/>
        </w:rPr>
      </w:pPr>
      <w:r>
        <w:rPr>
          <w:spacing w:val="-3"/>
          <w:sz w:val="21"/>
        </w:rPr>
        <w:t>对《基金合同》的修改对基金份额持有人利益无实质性不利影响或修改不涉及基金合同当事人权利义务关系发生变化；</w:t>
      </w:r>
    </w:p>
    <w:p>
      <w:pPr>
        <w:pStyle w:val="ListParagraph"/>
        <w:numPr>
          <w:ilvl w:val="0"/>
          <w:numId w:val="40"/>
        </w:numPr>
        <w:tabs>
          <w:tab w:pos="1070" w:val="left" w:leader="none"/>
        </w:tabs>
        <w:spacing w:line="364" w:lineRule="auto" w:before="0" w:after="0"/>
        <w:ind w:left="120" w:right="314" w:firstLine="419"/>
        <w:jc w:val="left"/>
        <w:rPr>
          <w:sz w:val="21"/>
        </w:rPr>
      </w:pPr>
      <w:r>
        <w:rPr>
          <w:spacing w:val="-3"/>
          <w:sz w:val="21"/>
        </w:rPr>
        <w:t>除按照法律法规和《基金合同》规定应当召开基金份额持有人大会的以外的其他情形。</w:t>
      </w:r>
    </w:p>
    <w:p>
      <w:pPr>
        <w:pStyle w:val="BodyText"/>
        <w:spacing w:line="267" w:lineRule="exact"/>
        <w:ind w:left="540"/>
      </w:pPr>
      <w:r>
        <w:rPr/>
        <w:t>（二）会议召集人及召集方式</w:t>
      </w:r>
    </w:p>
    <w:p>
      <w:pPr>
        <w:pStyle w:val="BodyText"/>
        <w:spacing w:line="364" w:lineRule="auto" w:before="139"/>
        <w:ind w:right="314" w:firstLine="419"/>
      </w:pPr>
      <w:r>
        <w:rPr/>
        <w:t>1、除法律法规规定或《基金合同》另有约定外，基金份额持有人大会由基金管理人召集；</w:t>
      </w:r>
    </w:p>
    <w:p>
      <w:pPr>
        <w:pStyle w:val="BodyText"/>
        <w:ind w:left="540"/>
      </w:pPr>
      <w:r>
        <w:rPr/>
        <w:t>2、基金管理人未按规定召集或不能召集时，由基金托管人召集；</w:t>
      </w:r>
    </w:p>
    <w:p>
      <w:pPr>
        <w:pStyle w:val="BodyText"/>
        <w:spacing w:line="364" w:lineRule="auto" w:before="140"/>
        <w:ind w:right="125" w:firstLine="419"/>
      </w:pPr>
      <w:r>
        <w:rPr/>
        <w:t>3、基金托管人认为有必要召开基金份额持有人大会的，应当向基金管理人提出书面提议。基金管理人应当自收到书面提议之日起 10 日内决定是否召集，并书面告知基金托管人。</w:t>
      </w:r>
    </w:p>
    <w:p>
      <w:pPr>
        <w:spacing w:after="0" w:line="364" w:lineRule="auto"/>
        <w:sectPr>
          <w:pgSz w:w="11910" w:h="16840"/>
          <w:pgMar w:header="877" w:footer="1195" w:top="1380" w:bottom="1380" w:left="1680" w:right="1480"/>
        </w:sectPr>
      </w:pPr>
    </w:p>
    <w:p>
      <w:pPr>
        <w:pStyle w:val="BodyText"/>
        <w:spacing w:line="364" w:lineRule="auto" w:before="61"/>
        <w:ind w:right="208"/>
        <w:jc w:val="both"/>
      </w:pPr>
      <w:r>
        <w:rPr>
          <w:spacing w:val="-11"/>
        </w:rPr>
        <w:t>基金管理人决定召集的，应当自出具书面决定之日起 </w:t>
      </w:r>
      <w:r>
        <w:rPr/>
        <w:t>60</w:t>
      </w:r>
      <w:r>
        <w:rPr>
          <w:spacing w:val="-11"/>
        </w:rPr>
        <w:t> 日内召开；基金管理人决定不召集， </w:t>
      </w:r>
      <w:r>
        <w:rPr>
          <w:spacing w:val="-6"/>
        </w:rPr>
        <w:t>基金托管人仍认为有必要召开的，应当由基金托管人自行召集。</w:t>
      </w:r>
    </w:p>
    <w:p>
      <w:pPr>
        <w:pStyle w:val="BodyText"/>
        <w:spacing w:line="364" w:lineRule="auto"/>
        <w:ind w:right="311" w:firstLine="419"/>
        <w:jc w:val="both"/>
      </w:pPr>
      <w:r>
        <w:rPr/>
        <w:t>4、代表基金份额 10</w:t>
      </w:r>
      <w:r>
        <w:rPr>
          <w:spacing w:val="-1"/>
        </w:rPr>
        <w:t>%以上</w:t>
      </w:r>
      <w:r>
        <w:rPr/>
        <w:t>（</w:t>
      </w:r>
      <w:r>
        <w:rPr>
          <w:spacing w:val="8"/>
        </w:rPr>
        <w:t>含 </w:t>
      </w:r>
      <w:r>
        <w:rPr/>
        <w:t>10%）</w:t>
      </w:r>
      <w:r>
        <w:rPr>
          <w:spacing w:val="-3"/>
        </w:rPr>
        <w:t>的基金份额持有人就同一事项书面要求召开基金</w:t>
      </w:r>
      <w:r>
        <w:rPr>
          <w:spacing w:val="-11"/>
        </w:rPr>
        <w:t>份额持有人大会，应当向基金管理人提出书面提议。基金管理人应当自收到书面提议之日起10</w:t>
      </w:r>
      <w:r>
        <w:rPr>
          <w:spacing w:val="-3"/>
        </w:rPr>
        <w:t> 日内决定是否召集，并书面告知提出提议的基金份额持有人代表和基金托管人。基金管</w:t>
      </w:r>
    </w:p>
    <w:p>
      <w:pPr>
        <w:pStyle w:val="BodyText"/>
        <w:spacing w:line="364" w:lineRule="auto"/>
        <w:ind w:right="311"/>
        <w:jc w:val="both"/>
      </w:pPr>
      <w:r>
        <w:rPr>
          <w:spacing w:val="-6"/>
        </w:rPr>
        <w:t>理人决定召集的，应当自出具书面决定之日起 </w:t>
      </w:r>
      <w:r>
        <w:rPr/>
        <w:t>60</w:t>
      </w:r>
      <w:r>
        <w:rPr>
          <w:spacing w:val="-7"/>
        </w:rPr>
        <w:t> 日内召开；基金管理人决定不召集，代表</w:t>
      </w:r>
      <w:r>
        <w:rPr>
          <w:spacing w:val="-1"/>
        </w:rPr>
        <w:t>基金份额 </w:t>
      </w:r>
      <w:r>
        <w:rPr/>
        <w:t>10</w:t>
      </w:r>
      <w:r>
        <w:rPr>
          <w:spacing w:val="-12"/>
        </w:rPr>
        <w:t>%以上</w:t>
      </w:r>
      <w:r>
        <w:rPr>
          <w:spacing w:val="-3"/>
        </w:rPr>
        <w:t>（</w:t>
      </w:r>
      <w:r>
        <w:rPr>
          <w:spacing w:val="10"/>
        </w:rPr>
        <w:t>含 </w:t>
      </w:r>
      <w:r>
        <w:rPr>
          <w:spacing w:val="-10"/>
        </w:rPr>
        <w:t>10%）</w:t>
      </w:r>
      <w:r>
        <w:rPr>
          <w:spacing w:val="-5"/>
        </w:rPr>
        <w:t>的基金份额持有人仍认为有必要召开的，应当向基金托管人提</w:t>
      </w:r>
      <w:r>
        <w:rPr>
          <w:spacing w:val="-8"/>
        </w:rPr>
        <w:t>出书面提议。基金托管人应当自收到书面提议之日起 </w:t>
      </w:r>
      <w:r>
        <w:rPr/>
        <w:t>10</w:t>
      </w:r>
      <w:r>
        <w:rPr>
          <w:spacing w:val="-7"/>
        </w:rPr>
        <w:t> 日内决定是否召集，并书面告知提</w:t>
      </w:r>
      <w:r>
        <w:rPr>
          <w:spacing w:val="-10"/>
        </w:rPr>
        <w:t>出提议的基金份额持有人代表和基金管理人；基金托管人决定召集的，应当自出具书面决定</w:t>
      </w:r>
      <w:r>
        <w:rPr>
          <w:spacing w:val="-8"/>
        </w:rPr>
        <w:t>之日起 </w:t>
      </w:r>
      <w:r>
        <w:rPr/>
        <w:t>60</w:t>
      </w:r>
      <w:r>
        <w:rPr>
          <w:spacing w:val="-3"/>
        </w:rPr>
        <w:t> 日内召开。</w:t>
      </w:r>
    </w:p>
    <w:p>
      <w:pPr>
        <w:pStyle w:val="BodyText"/>
        <w:spacing w:line="364" w:lineRule="auto"/>
        <w:ind w:left="540" w:right="311"/>
        <w:jc w:val="both"/>
      </w:pPr>
      <w:r>
        <w:rPr/>
        <w:t>5</w:t>
      </w:r>
      <w:r>
        <w:rPr>
          <w:spacing w:val="-4"/>
        </w:rPr>
        <w:t>、如在上述第 </w:t>
      </w:r>
      <w:r>
        <w:rPr/>
        <w:t>4</w:t>
      </w:r>
      <w:r>
        <w:rPr>
          <w:spacing w:val="-7"/>
        </w:rPr>
        <w:t> 条情况下，基金管理人、基金托管人都不召集的，单独或合计代表基</w:t>
      </w:r>
      <w:r>
        <w:rPr>
          <w:spacing w:val="-4"/>
        </w:rPr>
        <w:t>金份额 </w:t>
      </w:r>
      <w:r>
        <w:rPr/>
        <w:t>10</w:t>
      </w:r>
      <w:r>
        <w:rPr>
          <w:spacing w:val="-12"/>
        </w:rPr>
        <w:t>%以上</w:t>
      </w:r>
      <w:r>
        <w:rPr/>
        <w:t>（</w:t>
      </w:r>
      <w:r>
        <w:rPr>
          <w:spacing w:val="3"/>
        </w:rPr>
        <w:t>含 </w:t>
      </w:r>
      <w:r>
        <w:rPr>
          <w:spacing w:val="-9"/>
        </w:rPr>
        <w:t>10%）</w:t>
      </w:r>
      <w:r>
        <w:rPr>
          <w:spacing w:val="-5"/>
        </w:rPr>
        <w:t>的基金份额持有人有权自行召集，并至少提前 </w:t>
      </w:r>
      <w:r>
        <w:rPr/>
        <w:t>30 日报中国</w:t>
      </w:r>
    </w:p>
    <w:p>
      <w:pPr>
        <w:pStyle w:val="BodyText"/>
      </w:pPr>
      <w:r>
        <w:rPr/>
        <w:t>证监会备案。</w:t>
      </w:r>
    </w:p>
    <w:p>
      <w:pPr>
        <w:pStyle w:val="BodyText"/>
        <w:spacing w:before="135"/>
        <w:ind w:left="540"/>
      </w:pPr>
      <w:r>
        <w:rPr/>
        <w:t>6、基金份额持有人会议的召集人负责选择确定开会时间、地点、方式和权益登记日。</w:t>
      </w:r>
    </w:p>
    <w:p>
      <w:pPr>
        <w:pStyle w:val="BodyText"/>
        <w:spacing w:before="139"/>
        <w:ind w:left="540"/>
      </w:pPr>
      <w:r>
        <w:rPr/>
        <w:t>（三）召开基金份额持有人大会的通知时间、通知内容、通知方式</w:t>
      </w:r>
    </w:p>
    <w:p>
      <w:pPr>
        <w:pStyle w:val="BodyText"/>
        <w:spacing w:line="364" w:lineRule="auto" w:before="139"/>
        <w:ind w:right="313" w:firstLine="419"/>
      </w:pPr>
      <w:r>
        <w:rPr/>
        <w:t>1、召开基金份额持有人大会，召集人应于会议召开前 40 天，在指定媒介公告。基金份额持有人大会通知应至少载明以下内容：</w:t>
      </w:r>
    </w:p>
    <w:p>
      <w:pPr>
        <w:pStyle w:val="ListParagraph"/>
        <w:numPr>
          <w:ilvl w:val="0"/>
          <w:numId w:val="41"/>
        </w:numPr>
        <w:tabs>
          <w:tab w:pos="1070" w:val="left" w:leader="none"/>
        </w:tabs>
        <w:spacing w:line="240" w:lineRule="auto" w:before="1" w:after="0"/>
        <w:ind w:left="1069" w:right="0" w:hanging="530"/>
        <w:jc w:val="left"/>
        <w:rPr>
          <w:sz w:val="21"/>
        </w:rPr>
      </w:pPr>
      <w:r>
        <w:rPr>
          <w:spacing w:val="-3"/>
          <w:sz w:val="21"/>
        </w:rPr>
        <w:t>会议召开的时间、地点、方式；</w:t>
      </w:r>
    </w:p>
    <w:p>
      <w:pPr>
        <w:pStyle w:val="ListParagraph"/>
        <w:numPr>
          <w:ilvl w:val="0"/>
          <w:numId w:val="41"/>
        </w:numPr>
        <w:tabs>
          <w:tab w:pos="1070" w:val="left" w:leader="none"/>
        </w:tabs>
        <w:spacing w:line="240" w:lineRule="auto" w:before="139" w:after="0"/>
        <w:ind w:left="1069" w:right="0" w:hanging="530"/>
        <w:jc w:val="left"/>
        <w:rPr>
          <w:sz w:val="21"/>
        </w:rPr>
      </w:pPr>
      <w:r>
        <w:rPr>
          <w:spacing w:val="-3"/>
          <w:sz w:val="21"/>
        </w:rPr>
        <w:t>会议拟审议的事项、议事程序；</w:t>
      </w:r>
    </w:p>
    <w:p>
      <w:pPr>
        <w:pStyle w:val="ListParagraph"/>
        <w:numPr>
          <w:ilvl w:val="0"/>
          <w:numId w:val="41"/>
        </w:numPr>
        <w:tabs>
          <w:tab w:pos="1070" w:val="left" w:leader="none"/>
        </w:tabs>
        <w:spacing w:line="240" w:lineRule="auto" w:before="139" w:after="0"/>
        <w:ind w:left="1069" w:right="0" w:hanging="530"/>
        <w:jc w:val="left"/>
        <w:rPr>
          <w:sz w:val="21"/>
        </w:rPr>
      </w:pPr>
      <w:r>
        <w:rPr>
          <w:spacing w:val="-3"/>
          <w:sz w:val="21"/>
        </w:rPr>
        <w:t>有权出席基金份额持有人大会的基金份额持有人的权益登记日；</w:t>
      </w:r>
    </w:p>
    <w:p>
      <w:pPr>
        <w:pStyle w:val="ListParagraph"/>
        <w:numPr>
          <w:ilvl w:val="0"/>
          <w:numId w:val="41"/>
        </w:numPr>
        <w:tabs>
          <w:tab w:pos="1070" w:val="left" w:leader="none"/>
        </w:tabs>
        <w:spacing w:line="240" w:lineRule="auto" w:before="139" w:after="0"/>
        <w:ind w:left="1069" w:right="0" w:hanging="530"/>
        <w:jc w:val="left"/>
        <w:rPr>
          <w:sz w:val="21"/>
        </w:rPr>
      </w:pPr>
      <w:r>
        <w:rPr>
          <w:spacing w:val="-3"/>
          <w:sz w:val="21"/>
        </w:rPr>
        <w:t>代理投票授权委托书送达时间和地点；</w:t>
      </w:r>
    </w:p>
    <w:p>
      <w:pPr>
        <w:pStyle w:val="ListParagraph"/>
        <w:numPr>
          <w:ilvl w:val="0"/>
          <w:numId w:val="41"/>
        </w:numPr>
        <w:tabs>
          <w:tab w:pos="1070" w:val="left" w:leader="none"/>
        </w:tabs>
        <w:spacing w:line="240" w:lineRule="auto" w:before="141" w:after="0"/>
        <w:ind w:left="1069" w:right="0" w:hanging="530"/>
        <w:jc w:val="left"/>
        <w:rPr>
          <w:sz w:val="21"/>
        </w:rPr>
      </w:pPr>
      <w:r>
        <w:rPr>
          <w:spacing w:val="-3"/>
          <w:sz w:val="21"/>
        </w:rPr>
        <w:t>会务常设联系人姓名及联系电话。</w:t>
      </w:r>
    </w:p>
    <w:p>
      <w:pPr>
        <w:pStyle w:val="BodyText"/>
        <w:spacing w:line="364" w:lineRule="auto" w:before="139"/>
        <w:ind w:right="311" w:firstLine="419"/>
        <w:jc w:val="both"/>
      </w:pPr>
      <w:r>
        <w:rPr/>
        <w:t>2</w:t>
      </w:r>
      <w:r>
        <w:rPr>
          <w:spacing w:val="-3"/>
        </w:rPr>
        <w:t>、采取通讯开会方式并进行表决的情况下，由会议召集人决定通讯方式和书面表决方</w:t>
      </w:r>
      <w:r>
        <w:rPr>
          <w:spacing w:val="-11"/>
        </w:rPr>
        <w:t>式，并在会议通知中说明本次基金份额持有人大会所采取的具体通讯方式、委托的公证机关</w:t>
      </w:r>
      <w:r>
        <w:rPr>
          <w:spacing w:val="-6"/>
        </w:rPr>
        <w:t>及其联系方式和联系人、书面表决意见的寄交的截止时间和收取方式。</w:t>
      </w:r>
    </w:p>
    <w:p>
      <w:pPr>
        <w:pStyle w:val="BodyText"/>
        <w:spacing w:line="267" w:lineRule="exact"/>
        <w:ind w:left="540"/>
      </w:pPr>
      <w:r>
        <w:rPr/>
        <w:t>（四）基金份额持有人出席会议的方式</w:t>
      </w:r>
    </w:p>
    <w:p>
      <w:pPr>
        <w:pStyle w:val="BodyText"/>
        <w:spacing w:before="141"/>
        <w:ind w:left="540"/>
      </w:pPr>
      <w:r>
        <w:rPr/>
        <w:t>基金份额持有人大会可通过现场开会方式或通讯开会方式召开。</w:t>
      </w:r>
    </w:p>
    <w:p>
      <w:pPr>
        <w:pStyle w:val="BodyText"/>
        <w:spacing w:line="364" w:lineRule="auto" w:before="139"/>
        <w:ind w:right="311" w:firstLine="419"/>
      </w:pPr>
      <w:r>
        <w:rPr>
          <w:spacing w:val="-9"/>
        </w:rPr>
        <w:t>会议的召开方式由会议召集人确定，但更换基金管理人和基金托管人必须以现场开会方</w:t>
      </w:r>
      <w:r>
        <w:rPr>
          <w:spacing w:val="-6"/>
        </w:rPr>
        <w:t>式召开。</w:t>
      </w:r>
    </w:p>
    <w:p>
      <w:pPr>
        <w:pStyle w:val="BodyText"/>
        <w:spacing w:line="364" w:lineRule="auto"/>
        <w:ind w:right="311" w:firstLine="419"/>
        <w:jc w:val="both"/>
      </w:pPr>
      <w:r>
        <w:rPr/>
        <w:t>1</w:t>
      </w:r>
      <w:r>
        <w:rPr>
          <w:spacing w:val="-3"/>
        </w:rPr>
        <w:t>、现场开会。由基金份额持有人本人出席或以代理投票授权委托书委派代表出席，现</w:t>
      </w:r>
      <w:r>
        <w:rPr>
          <w:spacing w:val="-6"/>
        </w:rPr>
        <w:t>场开会时基金管理人和基金托管人的授权代表应当出席基金份额持有人大会。现场开会同时</w:t>
      </w:r>
      <w:r>
        <w:rPr>
          <w:spacing w:val="-4"/>
        </w:rPr>
        <w:t>符合以下条件时，可以进行基金份额持有人大会议程：</w:t>
      </w:r>
    </w:p>
    <w:p>
      <w:pPr>
        <w:pStyle w:val="ListParagraph"/>
        <w:numPr>
          <w:ilvl w:val="0"/>
          <w:numId w:val="42"/>
        </w:numPr>
        <w:tabs>
          <w:tab w:pos="1070" w:val="left" w:leader="none"/>
        </w:tabs>
        <w:spacing w:line="364" w:lineRule="auto" w:before="0" w:after="0"/>
        <w:ind w:left="120" w:right="314" w:firstLine="419"/>
        <w:jc w:val="left"/>
        <w:rPr>
          <w:sz w:val="21"/>
        </w:rPr>
      </w:pPr>
      <w:r>
        <w:rPr>
          <w:spacing w:val="-3"/>
          <w:sz w:val="21"/>
        </w:rPr>
        <w:t>亲自出席会议者持有基金份额的凭证、受托出席会议者出具的委托人持有基金份</w:t>
      </w:r>
      <w:r>
        <w:rPr>
          <w:spacing w:val="-8"/>
          <w:sz w:val="21"/>
        </w:rPr>
        <w:t>额的凭证及委托人的代理投票授权委托书符合法律法规、《基金合同》和会议通知的规定；</w:t>
      </w:r>
    </w:p>
    <w:p>
      <w:pPr>
        <w:spacing w:after="0" w:line="364" w:lineRule="auto"/>
        <w:jc w:val="left"/>
        <w:rPr>
          <w:sz w:val="21"/>
        </w:rPr>
        <w:sectPr>
          <w:pgSz w:w="11910" w:h="16840"/>
          <w:pgMar w:header="877" w:footer="1195" w:top="1380" w:bottom="1380" w:left="1680" w:right="1480"/>
        </w:sectPr>
      </w:pPr>
    </w:p>
    <w:p>
      <w:pPr>
        <w:pStyle w:val="ListParagraph"/>
        <w:numPr>
          <w:ilvl w:val="0"/>
          <w:numId w:val="42"/>
        </w:numPr>
        <w:tabs>
          <w:tab w:pos="1070" w:val="left" w:leader="none"/>
        </w:tabs>
        <w:spacing w:line="364" w:lineRule="auto" w:before="61" w:after="0"/>
        <w:ind w:left="120" w:right="314" w:firstLine="419"/>
        <w:jc w:val="both"/>
        <w:rPr>
          <w:sz w:val="21"/>
        </w:rPr>
      </w:pPr>
      <w:r>
        <w:rPr>
          <w:spacing w:val="-3"/>
          <w:sz w:val="21"/>
        </w:rPr>
        <w:t>经核对，汇总到会者出示的在权利登记日持有基金份额的凭证显示，有效的基金</w:t>
      </w:r>
      <w:r>
        <w:rPr>
          <w:spacing w:val="-3"/>
          <w:w w:val="100"/>
          <w:sz w:val="21"/>
        </w:rPr>
        <w:t>份额不少于本基金在权益登记日基金总份额的</w:t>
      </w:r>
      <w:r>
        <w:rPr>
          <w:spacing w:val="-2"/>
          <w:sz w:val="21"/>
        </w:rPr>
        <w:t> </w:t>
      </w:r>
      <w:r>
        <w:rPr>
          <w:w w:val="100"/>
          <w:sz w:val="21"/>
        </w:rPr>
        <w:t>50</w:t>
      </w:r>
      <w:r>
        <w:rPr>
          <w:spacing w:val="-2"/>
          <w:w w:val="100"/>
          <w:sz w:val="21"/>
        </w:rPr>
        <w:t>%</w:t>
      </w:r>
      <w:r>
        <w:rPr>
          <w:w w:val="100"/>
          <w:sz w:val="21"/>
        </w:rPr>
        <w:t>（含</w:t>
      </w:r>
      <w:r>
        <w:rPr>
          <w:sz w:val="21"/>
        </w:rPr>
        <w:t> </w:t>
      </w:r>
      <w:r>
        <w:rPr>
          <w:spacing w:val="-3"/>
          <w:w w:val="100"/>
          <w:sz w:val="21"/>
        </w:rPr>
        <w:t>5</w:t>
      </w:r>
      <w:r>
        <w:rPr>
          <w:w w:val="100"/>
          <w:sz w:val="21"/>
        </w:rPr>
        <w:t>0</w:t>
      </w:r>
      <w:r>
        <w:rPr>
          <w:spacing w:val="-1"/>
          <w:w w:val="100"/>
          <w:sz w:val="21"/>
        </w:rPr>
        <w:t>%</w:t>
      </w:r>
      <w:r>
        <w:rPr>
          <w:spacing w:val="-108"/>
          <w:w w:val="100"/>
          <w:sz w:val="21"/>
        </w:rPr>
        <w:t>）。</w:t>
      </w:r>
    </w:p>
    <w:p>
      <w:pPr>
        <w:pStyle w:val="BodyText"/>
        <w:spacing w:line="364" w:lineRule="auto"/>
        <w:ind w:right="311" w:firstLine="419"/>
        <w:jc w:val="both"/>
      </w:pPr>
      <w:r>
        <w:rPr>
          <w:spacing w:val="-10"/>
        </w:rPr>
        <w:t>如上述条件未能满足，则召集人可另行确定并公告重新开会的时间和地点，但确定有权</w:t>
      </w:r>
      <w:r>
        <w:rPr>
          <w:spacing w:val="-9"/>
        </w:rPr>
        <w:t>出席会议的基金份额持有人资格的权益登记日不变。重新以现场开会方式再次召集基金份额</w:t>
      </w:r>
      <w:r>
        <w:rPr>
          <w:spacing w:val="-5"/>
        </w:rPr>
        <w:t>持有人大会的，仍应满足上述条件。</w:t>
      </w:r>
    </w:p>
    <w:p>
      <w:pPr>
        <w:pStyle w:val="BodyText"/>
        <w:spacing w:line="364" w:lineRule="auto"/>
        <w:ind w:right="314" w:firstLine="419"/>
      </w:pPr>
      <w:r>
        <w:rPr/>
        <w:t>2、通讯开会。通讯开会系指基金份额持有人将其对表决事项的投票以书面形式在表决截至日以前送达至召集人指定的地址。通讯开会应以书面方式进行表决。</w:t>
      </w:r>
    </w:p>
    <w:p>
      <w:pPr>
        <w:pStyle w:val="BodyText"/>
        <w:ind w:left="540"/>
      </w:pPr>
      <w:r>
        <w:rPr/>
        <w:t>在同时符合以下条件时，通讯开会的方式视为有效：</w:t>
      </w:r>
    </w:p>
    <w:p>
      <w:pPr>
        <w:pStyle w:val="ListParagraph"/>
        <w:numPr>
          <w:ilvl w:val="0"/>
          <w:numId w:val="43"/>
        </w:numPr>
        <w:tabs>
          <w:tab w:pos="1070" w:val="left" w:leader="none"/>
        </w:tabs>
        <w:spacing w:line="364" w:lineRule="auto" w:before="138" w:after="0"/>
        <w:ind w:left="120" w:right="311" w:firstLine="419"/>
        <w:jc w:val="left"/>
        <w:rPr>
          <w:sz w:val="21"/>
        </w:rPr>
      </w:pPr>
      <w:r>
        <w:rPr>
          <w:spacing w:val="-9"/>
          <w:sz w:val="21"/>
        </w:rPr>
        <w:t>会议召集人按《基金合同》规定公布会议通知后，在 </w:t>
      </w:r>
      <w:r>
        <w:rPr>
          <w:sz w:val="21"/>
        </w:rPr>
        <w:t>2</w:t>
      </w:r>
      <w:r>
        <w:rPr>
          <w:spacing w:val="-2"/>
          <w:sz w:val="21"/>
        </w:rPr>
        <w:t> 个工作日内连续公布相关提示性公告；</w:t>
      </w:r>
    </w:p>
    <w:p>
      <w:pPr>
        <w:pStyle w:val="ListParagraph"/>
        <w:numPr>
          <w:ilvl w:val="0"/>
          <w:numId w:val="43"/>
        </w:numPr>
        <w:tabs>
          <w:tab w:pos="1070" w:val="left" w:leader="none"/>
        </w:tabs>
        <w:spacing w:line="364" w:lineRule="auto" w:before="0" w:after="0"/>
        <w:ind w:left="120" w:right="313" w:firstLine="419"/>
        <w:jc w:val="left"/>
        <w:rPr>
          <w:sz w:val="21"/>
        </w:rPr>
      </w:pPr>
      <w:r>
        <w:rPr>
          <w:spacing w:val="-3"/>
          <w:sz w:val="21"/>
        </w:rPr>
        <w:t>会议召集人在基金托管人</w:t>
      </w:r>
      <w:r>
        <w:rPr>
          <w:sz w:val="21"/>
        </w:rPr>
        <w:t>（</w:t>
      </w:r>
      <w:r>
        <w:rPr>
          <w:spacing w:val="-3"/>
          <w:sz w:val="21"/>
        </w:rPr>
        <w:t>如果基金托管人为召集人，则为基金管理人</w:t>
      </w:r>
      <w:r>
        <w:rPr>
          <w:sz w:val="21"/>
        </w:rPr>
        <w:t>）</w:t>
      </w:r>
      <w:r>
        <w:rPr>
          <w:spacing w:val="-2"/>
          <w:sz w:val="21"/>
        </w:rPr>
        <w:t>和公证</w:t>
      </w:r>
      <w:r>
        <w:rPr>
          <w:spacing w:val="-3"/>
          <w:sz w:val="21"/>
        </w:rPr>
        <w:t>机关的监督下按照会议通知规定的方式收取基金份额持有人的书面表决意见；</w:t>
      </w:r>
    </w:p>
    <w:p>
      <w:pPr>
        <w:pStyle w:val="ListParagraph"/>
        <w:numPr>
          <w:ilvl w:val="0"/>
          <w:numId w:val="43"/>
        </w:numPr>
        <w:tabs>
          <w:tab w:pos="1070" w:val="left" w:leader="none"/>
        </w:tabs>
        <w:spacing w:line="364" w:lineRule="auto" w:before="0" w:after="0"/>
        <w:ind w:left="120" w:right="314" w:firstLine="419"/>
        <w:jc w:val="left"/>
        <w:rPr>
          <w:sz w:val="21"/>
        </w:rPr>
      </w:pPr>
      <w:r>
        <w:rPr>
          <w:spacing w:val="-3"/>
          <w:sz w:val="21"/>
        </w:rPr>
        <w:t>本人直接出具书面意见或授权他人代表出具书面意见的，基金份额持有人所持有</w:t>
      </w:r>
      <w:r>
        <w:rPr>
          <w:spacing w:val="-3"/>
          <w:w w:val="100"/>
          <w:sz w:val="21"/>
        </w:rPr>
        <w:t>的基金份额不小于在权益登记日基金总份额的</w:t>
      </w:r>
      <w:r>
        <w:rPr>
          <w:spacing w:val="-2"/>
          <w:sz w:val="21"/>
        </w:rPr>
        <w:t> </w:t>
      </w:r>
      <w:r>
        <w:rPr>
          <w:w w:val="100"/>
          <w:sz w:val="21"/>
        </w:rPr>
        <w:t>50</w:t>
      </w:r>
      <w:r>
        <w:rPr>
          <w:spacing w:val="-2"/>
          <w:w w:val="100"/>
          <w:sz w:val="21"/>
        </w:rPr>
        <w:t>%</w:t>
      </w:r>
      <w:r>
        <w:rPr>
          <w:w w:val="100"/>
          <w:sz w:val="21"/>
        </w:rPr>
        <w:t>（含</w:t>
      </w:r>
      <w:r>
        <w:rPr>
          <w:sz w:val="21"/>
        </w:rPr>
        <w:t> </w:t>
      </w:r>
      <w:r>
        <w:rPr>
          <w:spacing w:val="-3"/>
          <w:w w:val="100"/>
          <w:sz w:val="21"/>
        </w:rPr>
        <w:t>5</w:t>
      </w:r>
      <w:r>
        <w:rPr>
          <w:w w:val="100"/>
          <w:sz w:val="21"/>
        </w:rPr>
        <w:t>0</w:t>
      </w:r>
      <w:r>
        <w:rPr>
          <w:spacing w:val="-1"/>
          <w:w w:val="100"/>
          <w:sz w:val="21"/>
        </w:rPr>
        <w:t>%</w:t>
      </w:r>
      <w:r>
        <w:rPr>
          <w:spacing w:val="-108"/>
          <w:w w:val="100"/>
          <w:sz w:val="21"/>
        </w:rPr>
        <w:t>）；</w:t>
      </w:r>
    </w:p>
    <w:p>
      <w:pPr>
        <w:pStyle w:val="BodyText"/>
        <w:spacing w:line="364" w:lineRule="auto"/>
        <w:ind w:right="311" w:firstLine="419"/>
      </w:pPr>
      <w:r>
        <w:rPr>
          <w:spacing w:val="-10"/>
        </w:rPr>
        <w:t>如上述条件未能满足，则召集人可另行确定并公告重新开会的时间和地点，但确定有权</w:t>
      </w:r>
      <w:r>
        <w:rPr>
          <w:spacing w:val="-5"/>
        </w:rPr>
        <w:t>出席会议的基金份额持有人资格的权益登记日不变。</w:t>
      </w:r>
    </w:p>
    <w:p>
      <w:pPr>
        <w:pStyle w:val="ListParagraph"/>
        <w:numPr>
          <w:ilvl w:val="0"/>
          <w:numId w:val="43"/>
        </w:numPr>
        <w:tabs>
          <w:tab w:pos="1070" w:val="left" w:leader="none"/>
        </w:tabs>
        <w:spacing w:line="364" w:lineRule="auto" w:before="0" w:after="0"/>
        <w:ind w:left="120" w:right="311" w:firstLine="419"/>
        <w:jc w:val="both"/>
        <w:rPr>
          <w:sz w:val="21"/>
        </w:rPr>
      </w:pPr>
      <w:r>
        <w:rPr>
          <w:spacing w:val="-12"/>
          <w:sz w:val="21"/>
        </w:rPr>
        <w:t>上述第</w:t>
      </w:r>
      <w:r>
        <w:rPr>
          <w:spacing w:val="-13"/>
          <w:sz w:val="21"/>
        </w:rPr>
        <w:t>（3）</w:t>
      </w:r>
      <w:r>
        <w:rPr>
          <w:spacing w:val="-3"/>
          <w:sz w:val="21"/>
        </w:rPr>
        <w:t>项中直接出具书面意见的基金份额持有人或受托代表他人出具书面 </w:t>
      </w:r>
      <w:r>
        <w:rPr>
          <w:spacing w:val="-10"/>
          <w:sz w:val="21"/>
        </w:rPr>
        <w:t>意见的代理人，同时提交的持有基金份额的凭证、受托出具书面意见的代理人出具的委托人</w:t>
      </w:r>
      <w:r>
        <w:rPr>
          <w:spacing w:val="-11"/>
          <w:sz w:val="21"/>
        </w:rPr>
        <w:t>持有基金份额的凭证及委托人的代理投票授权委托书符合法律法规、《基金合同》和会议通</w:t>
      </w:r>
      <w:r>
        <w:rPr>
          <w:spacing w:val="-8"/>
          <w:sz w:val="21"/>
        </w:rPr>
        <w:t>知的规定；</w:t>
      </w:r>
    </w:p>
    <w:p>
      <w:pPr>
        <w:pStyle w:val="ListParagraph"/>
        <w:numPr>
          <w:ilvl w:val="0"/>
          <w:numId w:val="43"/>
        </w:numPr>
        <w:tabs>
          <w:tab w:pos="1070" w:val="left" w:leader="none"/>
        </w:tabs>
        <w:spacing w:line="268" w:lineRule="exact" w:before="0" w:after="0"/>
        <w:ind w:left="1069" w:right="0" w:hanging="530"/>
        <w:jc w:val="left"/>
        <w:rPr>
          <w:sz w:val="21"/>
        </w:rPr>
      </w:pPr>
      <w:r>
        <w:rPr>
          <w:spacing w:val="-3"/>
          <w:sz w:val="21"/>
        </w:rPr>
        <w:t>会议通知公布前报中国证监会备案。</w:t>
      </w:r>
    </w:p>
    <w:p>
      <w:pPr>
        <w:pStyle w:val="BodyText"/>
        <w:spacing w:line="364" w:lineRule="auto" w:before="136"/>
        <w:ind w:right="207" w:firstLine="419"/>
      </w:pPr>
      <w:r>
        <w:rPr>
          <w:spacing w:val="-9"/>
        </w:rPr>
        <w:t>采取通讯方式进行表决时，除非在计票时有充分的相反证据证明，否则提交符合会议通知中规定的确认投资者身份文件的表决视为有效出席的投资者；表面符合法律法规和会议通</w:t>
      </w:r>
      <w:r>
        <w:rPr>
          <w:spacing w:val="-5"/>
        </w:rPr>
        <w:t>知规定的书面表决意见即视为有效的表决，表决意见模糊不清或相互矛盾的视为弃权表决， </w:t>
      </w:r>
      <w:r>
        <w:rPr>
          <w:spacing w:val="-4"/>
        </w:rPr>
        <w:t>但应当计入出具书面意见的基金份额持有人所代表的基金份额总数。</w:t>
      </w:r>
    </w:p>
    <w:p>
      <w:pPr>
        <w:pStyle w:val="BodyText"/>
        <w:spacing w:line="367" w:lineRule="auto"/>
        <w:ind w:left="540" w:right="6101"/>
      </w:pPr>
      <w:r>
        <w:rPr/>
        <w:t>（五）议事内容与程序1、议事内容及提案权</w:t>
      </w:r>
    </w:p>
    <w:p>
      <w:pPr>
        <w:pStyle w:val="BodyText"/>
        <w:spacing w:line="364" w:lineRule="auto"/>
        <w:ind w:right="311" w:firstLine="419"/>
        <w:jc w:val="both"/>
      </w:pPr>
      <w:r>
        <w:rPr>
          <w:spacing w:val="-8"/>
        </w:rPr>
        <w:t>议事内容为关系基金份额持有人利益的重大事项，如《基金合同》的重大修改、决定终</w:t>
      </w:r>
      <w:r>
        <w:rPr>
          <w:spacing w:val="-13"/>
        </w:rPr>
        <w:t>止《基金合同》、更换基金管理人、更换基金托管人、与其他基金合并、法律法规及《基金</w:t>
      </w:r>
      <w:r>
        <w:rPr>
          <w:spacing w:val="-6"/>
        </w:rPr>
        <w:t>合同》规定的其他事项以及会议召集人认为需提交基金份额持有人大会讨论的其他事项。</w:t>
      </w:r>
    </w:p>
    <w:p>
      <w:pPr>
        <w:pStyle w:val="BodyText"/>
        <w:spacing w:line="364" w:lineRule="auto"/>
        <w:ind w:right="311" w:firstLine="419"/>
        <w:jc w:val="both"/>
      </w:pPr>
      <w:r>
        <w:rPr>
          <w:spacing w:val="-8"/>
        </w:rPr>
        <w:t>基金管理人、基金托管人、单独或合并持有权利登记日基金总份额 </w:t>
      </w:r>
      <w:r>
        <w:rPr>
          <w:spacing w:val="-7"/>
        </w:rPr>
        <w:t>10%（</w:t>
      </w:r>
      <w:r>
        <w:rPr>
          <w:spacing w:val="9"/>
        </w:rPr>
        <w:t>含 </w:t>
      </w:r>
      <w:r>
        <w:rPr>
          <w:spacing w:val="-7"/>
        </w:rPr>
        <w:t>10%）</w:t>
      </w:r>
      <w:r>
        <w:rPr/>
        <w:t>以上的基金份额持有人可以在大会召集人发出会议通知前向大会召集人提交需由基金份额持有</w:t>
      </w:r>
      <w:r>
        <w:rPr>
          <w:spacing w:val="-10"/>
        </w:rPr>
        <w:t>人大会审议表决的提案；也可以在会议通知发出后向大会召集人提交临时提案，临时提案应</w:t>
      </w:r>
      <w:r>
        <w:rPr>
          <w:spacing w:val="-5"/>
        </w:rPr>
        <w:t>当在大会召开日前 </w:t>
      </w:r>
      <w:r>
        <w:rPr/>
        <w:t>35</w:t>
      </w:r>
      <w:r>
        <w:rPr>
          <w:spacing w:val="-3"/>
        </w:rPr>
        <w:t> 天提交召集人。</w:t>
      </w:r>
    </w:p>
    <w:p>
      <w:pPr>
        <w:spacing w:after="0" w:line="364" w:lineRule="auto"/>
        <w:jc w:val="both"/>
        <w:sectPr>
          <w:pgSz w:w="11910" w:h="16840"/>
          <w:pgMar w:header="877" w:footer="1195" w:top="1380" w:bottom="1380" w:left="1680" w:right="1480"/>
        </w:sectPr>
      </w:pPr>
    </w:p>
    <w:p>
      <w:pPr>
        <w:pStyle w:val="BodyText"/>
        <w:spacing w:line="364" w:lineRule="auto" w:before="61"/>
        <w:ind w:right="311" w:firstLine="419"/>
        <w:jc w:val="both"/>
      </w:pPr>
      <w:r>
        <w:rPr>
          <w:spacing w:val="-7"/>
        </w:rPr>
        <w:t>基金份额持有人大会的召集人发出召集会议的通知后，对原有提案的修改应当在基金份</w:t>
      </w:r>
      <w:r>
        <w:rPr>
          <w:spacing w:val="-4"/>
        </w:rPr>
        <w:t>额持有人大会召开日 </w:t>
      </w:r>
      <w:r>
        <w:rPr/>
        <w:t>30</w:t>
      </w:r>
      <w:r>
        <w:rPr>
          <w:spacing w:val="-11"/>
        </w:rPr>
        <w:t> 天前公告。否则，会议的召开日期应当顺延并保证至少有 </w:t>
      </w:r>
      <w:r>
        <w:rPr/>
        <w:t>30</w:t>
      </w:r>
      <w:r>
        <w:rPr>
          <w:spacing w:val="1"/>
        </w:rPr>
        <w:t> 天的</w:t>
      </w:r>
      <w:r>
        <w:rPr>
          <w:spacing w:val="-1"/>
        </w:rPr>
        <w:t>间隔期。</w:t>
      </w:r>
    </w:p>
    <w:p>
      <w:pPr>
        <w:pStyle w:val="BodyText"/>
        <w:spacing w:line="269" w:lineRule="exact"/>
        <w:ind w:left="540"/>
      </w:pPr>
      <w:r>
        <w:rPr/>
        <w:t>基金份额持有人大会不得对未事先公告的议事内容进行表决。</w:t>
      </w:r>
    </w:p>
    <w:p>
      <w:pPr>
        <w:pStyle w:val="BodyText"/>
        <w:spacing w:line="364" w:lineRule="auto" w:before="139"/>
        <w:ind w:right="311" w:firstLine="419"/>
        <w:jc w:val="both"/>
      </w:pPr>
      <w:r>
        <w:rPr>
          <w:spacing w:val="-10"/>
        </w:rPr>
        <w:t>召集人对于基金管理人、基金托管人和基金份额持有人提交的临时提案进行审核，符合</w:t>
      </w:r>
      <w:r>
        <w:rPr>
          <w:spacing w:val="-4"/>
        </w:rPr>
        <w:t>条件的应当在大会召开日 </w:t>
      </w:r>
      <w:r>
        <w:rPr/>
        <w:t>30</w:t>
      </w:r>
      <w:r>
        <w:rPr>
          <w:spacing w:val="-3"/>
        </w:rPr>
        <w:t> 天前公告。大会召集人应当按照以下原则对提案进行审核：</w:t>
      </w:r>
    </w:p>
    <w:p>
      <w:pPr>
        <w:pStyle w:val="ListParagraph"/>
        <w:numPr>
          <w:ilvl w:val="0"/>
          <w:numId w:val="44"/>
        </w:numPr>
        <w:tabs>
          <w:tab w:pos="1070" w:val="left" w:leader="none"/>
        </w:tabs>
        <w:spacing w:line="364" w:lineRule="auto" w:before="0" w:after="0"/>
        <w:ind w:left="120" w:right="311" w:firstLine="419"/>
        <w:jc w:val="both"/>
        <w:rPr>
          <w:sz w:val="21"/>
        </w:rPr>
      </w:pPr>
      <w:r>
        <w:rPr>
          <w:spacing w:val="-3"/>
          <w:sz w:val="21"/>
        </w:rPr>
        <w:t>关联性。大会召集人对于提案涉及事项与基金有直接关系，并且不超出法律法规</w:t>
      </w:r>
      <w:r>
        <w:rPr>
          <w:spacing w:val="-10"/>
          <w:sz w:val="21"/>
        </w:rPr>
        <w:t>和《基金合同》规定的基金份额持有人大会职权范围的，应提交大会审议；对于不符合上述</w:t>
      </w:r>
      <w:r>
        <w:rPr>
          <w:spacing w:val="-12"/>
          <w:sz w:val="21"/>
        </w:rPr>
        <w:t>要求的，不提交基金份额持有人大会审议。如果召集人决定不将基金份额持有人提案提交大</w:t>
      </w:r>
      <w:r>
        <w:rPr>
          <w:spacing w:val="-6"/>
          <w:sz w:val="21"/>
        </w:rPr>
        <w:t>会表决，应当在该次基金份额持有人大会上进行解释和说明。</w:t>
      </w:r>
    </w:p>
    <w:p>
      <w:pPr>
        <w:pStyle w:val="ListParagraph"/>
        <w:numPr>
          <w:ilvl w:val="0"/>
          <w:numId w:val="44"/>
        </w:numPr>
        <w:tabs>
          <w:tab w:pos="1070" w:val="left" w:leader="none"/>
        </w:tabs>
        <w:spacing w:line="364" w:lineRule="auto" w:before="0" w:after="0"/>
        <w:ind w:left="120" w:right="311" w:firstLine="419"/>
        <w:jc w:val="both"/>
        <w:rPr>
          <w:sz w:val="21"/>
        </w:rPr>
      </w:pPr>
      <w:r>
        <w:rPr>
          <w:spacing w:val="-3"/>
          <w:sz w:val="21"/>
        </w:rPr>
        <w:t>程序性。大会召集人可以对提案涉及的程序性问题做出决定。如将提案进行分拆</w:t>
      </w:r>
      <w:r>
        <w:rPr>
          <w:spacing w:val="-10"/>
          <w:sz w:val="21"/>
        </w:rPr>
        <w:t>或合并表决，需征得原提案人同意；原提案人不同意变更的，大会主持人可以就程序性问题</w:t>
      </w:r>
      <w:r>
        <w:rPr>
          <w:spacing w:val="-5"/>
          <w:sz w:val="21"/>
        </w:rPr>
        <w:t>提请基金份额持有人大会做出决定，并按照基金份额持有人大会决定的程序进行审议。</w:t>
      </w:r>
    </w:p>
    <w:p>
      <w:pPr>
        <w:pStyle w:val="BodyText"/>
        <w:spacing w:line="364" w:lineRule="auto"/>
        <w:ind w:right="311" w:firstLine="419"/>
        <w:jc w:val="both"/>
      </w:pPr>
      <w:r>
        <w:rPr>
          <w:spacing w:val="-2"/>
        </w:rPr>
        <w:t>单独或合并持有权利登记日基金总份额 </w:t>
      </w:r>
      <w:r>
        <w:rPr>
          <w:spacing w:val="-14"/>
        </w:rPr>
        <w:t>10%（</w:t>
      </w:r>
      <w:r>
        <w:rPr>
          <w:spacing w:val="11"/>
        </w:rPr>
        <w:t>含 </w:t>
      </w:r>
      <w:r>
        <w:rPr>
          <w:spacing w:val="-13"/>
        </w:rPr>
        <w:t>10%）</w:t>
      </w:r>
      <w:r>
        <w:rPr>
          <w:spacing w:val="-3"/>
        </w:rPr>
        <w:t>以上的基金份额持有人提交基金</w:t>
      </w:r>
      <w:r>
        <w:rPr>
          <w:spacing w:val="-10"/>
        </w:rPr>
        <w:t>份额持有人大会审议表决的提案，或基金管理人或基金托管人提交基金份额持有人大会审议</w:t>
      </w:r>
      <w:r>
        <w:rPr>
          <w:spacing w:val="-12"/>
        </w:rPr>
        <w:t>表决的提案，未获基金份额持有人大会审议通过，就同一提案再次提请基金份额持有人大会</w:t>
      </w:r>
      <w:r>
        <w:rPr>
          <w:spacing w:val="-6"/>
        </w:rPr>
        <w:t>审议，其时间间隔不少于 </w:t>
      </w:r>
      <w:r>
        <w:rPr/>
        <w:t>6</w:t>
      </w:r>
      <w:r>
        <w:rPr>
          <w:spacing w:val="-1"/>
        </w:rPr>
        <w:t> 个月。</w:t>
      </w:r>
    </w:p>
    <w:p>
      <w:pPr>
        <w:pStyle w:val="BodyText"/>
        <w:spacing w:line="268" w:lineRule="exact"/>
        <w:ind w:left="540"/>
      </w:pPr>
      <w:r>
        <w:rPr/>
        <w:t>2、议事程序</w:t>
      </w:r>
    </w:p>
    <w:p>
      <w:pPr>
        <w:pStyle w:val="ListParagraph"/>
        <w:numPr>
          <w:ilvl w:val="0"/>
          <w:numId w:val="45"/>
        </w:numPr>
        <w:tabs>
          <w:tab w:pos="1070" w:val="left" w:leader="none"/>
        </w:tabs>
        <w:spacing w:line="240" w:lineRule="auto" w:before="136" w:after="0"/>
        <w:ind w:left="1069" w:right="0" w:hanging="530"/>
        <w:jc w:val="left"/>
        <w:rPr>
          <w:sz w:val="21"/>
        </w:rPr>
      </w:pPr>
      <w:r>
        <w:rPr>
          <w:spacing w:val="-2"/>
          <w:sz w:val="21"/>
        </w:rPr>
        <w:t>现场开会</w:t>
      </w:r>
    </w:p>
    <w:p>
      <w:pPr>
        <w:pStyle w:val="BodyText"/>
        <w:spacing w:line="364" w:lineRule="auto" w:before="139"/>
        <w:ind w:right="208" w:firstLine="419"/>
      </w:pPr>
      <w:r>
        <w:rPr>
          <w:spacing w:val="-3"/>
        </w:rPr>
        <w:t>在现场开会的方式下，首先由大会主持人按照下列第七条规定程序确定和公布监票人， </w:t>
      </w:r>
      <w:r>
        <w:rPr>
          <w:spacing w:val="-9"/>
        </w:rPr>
        <w:t>然后由大会主持人宣读提案，经讨论后进行表决，并形成大会决议。大会主持人为基金管理</w:t>
      </w:r>
      <w:r>
        <w:rPr>
          <w:spacing w:val="-12"/>
        </w:rPr>
        <w:t>人授权出席会议的代表，在基金管理人授权代表未能主持大会的情况下，由基金托管人授权</w:t>
      </w:r>
      <w:r>
        <w:rPr>
          <w:spacing w:val="-6"/>
        </w:rPr>
        <w:t>其出席会议的代表主持；如果基金管理人授权代表和基金托管人授权代表均未能主持大会， </w:t>
      </w:r>
      <w:r>
        <w:rPr>
          <w:spacing w:val="-4"/>
          <w:w w:val="100"/>
        </w:rPr>
        <w:t>则由出席大会的基金份额持有人或其代理人以所代表的基金份额</w:t>
      </w:r>
      <w:r>
        <w:rPr>
          <w:spacing w:val="-4"/>
        </w:rPr>
        <w:t> </w:t>
      </w:r>
      <w:r>
        <w:rPr>
          <w:spacing w:val="-3"/>
          <w:w w:val="100"/>
        </w:rPr>
        <w:t>5</w:t>
      </w:r>
      <w:r>
        <w:rPr>
          <w:w w:val="100"/>
        </w:rPr>
        <w:t>0</w:t>
      </w:r>
      <w:r>
        <w:rPr>
          <w:spacing w:val="-3"/>
          <w:w w:val="100"/>
        </w:rPr>
        <w:t>%以上(含</w:t>
      </w:r>
      <w:r>
        <w:rPr>
          <w:spacing w:val="-3"/>
        </w:rPr>
        <w:t> </w:t>
      </w:r>
      <w:r>
        <w:rPr>
          <w:w w:val="100"/>
        </w:rPr>
        <w:t>50%</w:t>
      </w:r>
      <w:r>
        <w:rPr>
          <w:spacing w:val="-21"/>
          <w:w w:val="100"/>
        </w:rPr>
        <w:t>)，选举产</w:t>
      </w:r>
      <w:r>
        <w:rPr>
          <w:spacing w:val="-8"/>
        </w:rPr>
        <w:t>生一名代表作为该次基金份额持有人大会的主持人。</w:t>
      </w:r>
    </w:p>
    <w:p>
      <w:pPr>
        <w:pStyle w:val="ListParagraph"/>
        <w:numPr>
          <w:ilvl w:val="0"/>
          <w:numId w:val="45"/>
        </w:numPr>
        <w:tabs>
          <w:tab w:pos="1070" w:val="left" w:leader="none"/>
        </w:tabs>
        <w:spacing w:line="266" w:lineRule="exact" w:before="0" w:after="0"/>
        <w:ind w:left="1069" w:right="0" w:hanging="530"/>
        <w:jc w:val="left"/>
        <w:rPr>
          <w:sz w:val="21"/>
        </w:rPr>
      </w:pPr>
      <w:r>
        <w:rPr>
          <w:spacing w:val="-2"/>
          <w:sz w:val="21"/>
        </w:rPr>
        <w:t>通讯开会</w:t>
      </w:r>
    </w:p>
    <w:p>
      <w:pPr>
        <w:pStyle w:val="BodyText"/>
        <w:spacing w:line="364" w:lineRule="auto" w:before="141"/>
        <w:ind w:right="311" w:firstLine="419"/>
      </w:pPr>
      <w:r>
        <w:rPr>
          <w:spacing w:val="-10"/>
        </w:rPr>
        <w:t>在通讯开会的情况下，公告会议通知时应当同时公布提案，在所通知的表决截止日期后2</w:t>
      </w:r>
      <w:r>
        <w:rPr>
          <w:spacing w:val="-3"/>
        </w:rPr>
        <w:t> 个工作日内统计全部有效表决，在公证机关监督下形成决议。</w:t>
      </w:r>
    </w:p>
    <w:p>
      <w:pPr>
        <w:pStyle w:val="BodyText"/>
        <w:spacing w:line="267" w:lineRule="exact"/>
        <w:ind w:left="540"/>
      </w:pPr>
      <w:r>
        <w:rPr/>
        <w:t>（六）表决</w:t>
      </w:r>
    </w:p>
    <w:p>
      <w:pPr>
        <w:pStyle w:val="BodyText"/>
        <w:spacing w:line="364" w:lineRule="auto" w:before="139"/>
        <w:ind w:left="540" w:right="3369"/>
      </w:pPr>
      <w:r>
        <w:rPr>
          <w:spacing w:val="-3"/>
        </w:rPr>
        <w:t>基金份额持有人所持每份基金份额有一票表决权。 </w:t>
      </w:r>
      <w:r>
        <w:rPr>
          <w:spacing w:val="-4"/>
        </w:rPr>
        <w:t>基金份额持有人大会决议分为一般决议和特别决议：</w:t>
      </w:r>
    </w:p>
    <w:p>
      <w:pPr>
        <w:pStyle w:val="BodyText"/>
        <w:spacing w:line="364" w:lineRule="auto"/>
        <w:ind w:right="311" w:firstLine="419"/>
        <w:jc w:val="both"/>
      </w:pPr>
      <w:r>
        <w:rPr/>
        <w:t>1、一般决议，一般决议须经参加大会的基金份额持有人或其代理人所持表决权的 50% 以上（含 50%）通过方为有效；除下列第 2 项所规定的须以特别决议通过事项以外的其他事项均以一般决议的方式通过。</w:t>
      </w:r>
    </w:p>
    <w:p>
      <w:pPr>
        <w:spacing w:after="0" w:line="364" w:lineRule="auto"/>
        <w:jc w:val="both"/>
        <w:sectPr>
          <w:pgSz w:w="11910" w:h="16840"/>
          <w:pgMar w:header="877" w:footer="1195" w:top="1380" w:bottom="1380" w:left="1680" w:right="1480"/>
        </w:sectPr>
      </w:pPr>
    </w:p>
    <w:p>
      <w:pPr>
        <w:pStyle w:val="BodyText"/>
        <w:spacing w:line="364" w:lineRule="auto" w:before="61"/>
        <w:ind w:right="311" w:firstLine="419"/>
        <w:jc w:val="both"/>
      </w:pPr>
      <w:r>
        <w:rPr/>
        <w:t>2</w:t>
      </w:r>
      <w:r>
        <w:rPr>
          <w:spacing w:val="-3"/>
        </w:rPr>
        <w:t>、特别决议，特别决议应当经参加大会的基金份额持有人或其代理人所持表决权的三</w:t>
      </w:r>
      <w:r>
        <w:rPr>
          <w:spacing w:val="-8"/>
        </w:rPr>
        <w:t>分之二以上</w:t>
      </w:r>
      <w:r>
        <w:rPr/>
        <w:t>（</w:t>
      </w:r>
      <w:r>
        <w:rPr>
          <w:spacing w:val="-3"/>
        </w:rPr>
        <w:t>含三分之二</w:t>
      </w:r>
      <w:r>
        <w:rPr>
          <w:spacing w:val="-25"/>
        </w:rPr>
        <w:t>）</w:t>
      </w:r>
      <w:r>
        <w:rPr>
          <w:spacing w:val="-9"/>
        </w:rPr>
        <w:t>通过方可做出。转换基金运作方式、更换基金管理人或者基金托</w:t>
      </w:r>
      <w:r>
        <w:rPr>
          <w:spacing w:val="-5"/>
        </w:rPr>
        <w:t>管人、终止《基金合同》以特别决议通过方为有效。</w:t>
      </w:r>
    </w:p>
    <w:p>
      <w:pPr>
        <w:pStyle w:val="BodyText"/>
        <w:spacing w:line="269" w:lineRule="exact"/>
        <w:ind w:left="540"/>
      </w:pPr>
      <w:r>
        <w:rPr/>
        <w:t>基金份额持有人大会采取记名方式进行投票表决。</w:t>
      </w:r>
    </w:p>
    <w:p>
      <w:pPr>
        <w:pStyle w:val="BodyText"/>
        <w:spacing w:line="364" w:lineRule="auto" w:before="139"/>
        <w:ind w:right="311" w:firstLine="419"/>
        <w:jc w:val="both"/>
      </w:pPr>
      <w:r>
        <w:rPr>
          <w:spacing w:val="-11"/>
        </w:rPr>
        <w:t>采取通讯方式进行表决时，提交符合会议通知中规定的确认投资者身份文件的表决视为</w:t>
      </w:r>
      <w:r>
        <w:rPr>
          <w:spacing w:val="-12"/>
        </w:rPr>
        <w:t>有效出席的投资者，符合会议通知规定的书面表决意见视为有效表决，表决意见模糊不清或</w:t>
      </w:r>
      <w:r>
        <w:rPr>
          <w:spacing w:val="-13"/>
        </w:rPr>
        <w:t>相互矛盾的视为弃权表决，但应当计入出具书面意见的基金份额持有人所代表的基金份额总数。</w:t>
      </w:r>
    </w:p>
    <w:p>
      <w:pPr>
        <w:pStyle w:val="BodyText"/>
        <w:spacing w:line="364" w:lineRule="auto"/>
        <w:ind w:right="311" w:firstLine="419"/>
      </w:pPr>
      <w:r>
        <w:rPr>
          <w:spacing w:val="-6"/>
        </w:rPr>
        <w:t>基金份额持有人大会的各项提案或同一项提案内并列的各项议题应当分开审议、逐项表决。</w:t>
      </w:r>
    </w:p>
    <w:p>
      <w:pPr>
        <w:pStyle w:val="BodyText"/>
        <w:spacing w:line="364" w:lineRule="auto"/>
        <w:ind w:left="540" w:right="7047"/>
      </w:pPr>
      <w:r>
        <w:rPr/>
        <w:t>（七</w:t>
      </w:r>
      <w:r>
        <w:rPr>
          <w:spacing w:val="-3"/>
        </w:rPr>
        <w:t>）</w:t>
      </w:r>
      <w:r>
        <w:rPr/>
        <w:t>计票 1</w:t>
      </w:r>
      <w:r>
        <w:rPr>
          <w:spacing w:val="-6"/>
        </w:rPr>
        <w:t>、现场开会</w:t>
      </w:r>
    </w:p>
    <w:p>
      <w:pPr>
        <w:pStyle w:val="ListParagraph"/>
        <w:numPr>
          <w:ilvl w:val="0"/>
          <w:numId w:val="46"/>
        </w:numPr>
        <w:tabs>
          <w:tab w:pos="1070" w:val="left" w:leader="none"/>
        </w:tabs>
        <w:spacing w:line="364" w:lineRule="auto" w:before="0" w:after="0"/>
        <w:ind w:left="120" w:right="311" w:firstLine="419"/>
        <w:jc w:val="both"/>
        <w:rPr>
          <w:sz w:val="21"/>
        </w:rPr>
      </w:pPr>
      <w:r>
        <w:rPr>
          <w:spacing w:val="-3"/>
          <w:sz w:val="21"/>
        </w:rPr>
        <w:t>如大会由基金管理人或基金托管人召集，基金份额持有人大会的主持人应当在会议开始后宣布在出席会议的基金份额持有人中选举两名基金份额持有人代表与大会召集人</w:t>
      </w:r>
      <w:r>
        <w:rPr>
          <w:spacing w:val="-8"/>
          <w:sz w:val="21"/>
        </w:rPr>
        <w:t>授权的一名监督员共同担任监票人；如大会由基金份额持有人自行召集，基金份额持有人大会的主持人应当在会议开始后宣布在出席会议的基金份额持有人中选举三名基金份额持有</w:t>
      </w:r>
      <w:r>
        <w:rPr>
          <w:spacing w:val="-5"/>
          <w:sz w:val="21"/>
        </w:rPr>
        <w:t>人代表担任监票人。</w:t>
      </w:r>
    </w:p>
    <w:p>
      <w:pPr>
        <w:pStyle w:val="ListParagraph"/>
        <w:numPr>
          <w:ilvl w:val="0"/>
          <w:numId w:val="46"/>
        </w:numPr>
        <w:tabs>
          <w:tab w:pos="1070" w:val="left" w:leader="none"/>
        </w:tabs>
        <w:spacing w:line="364" w:lineRule="auto" w:before="0" w:after="0"/>
        <w:ind w:left="120" w:right="314" w:firstLine="419"/>
        <w:jc w:val="left"/>
        <w:rPr>
          <w:sz w:val="21"/>
        </w:rPr>
      </w:pPr>
      <w:r>
        <w:rPr>
          <w:spacing w:val="-3"/>
          <w:sz w:val="21"/>
        </w:rPr>
        <w:t>监票人应当在基金份额持有人表决后立即进行清点并由大会主持人当场公布计票结果。</w:t>
      </w:r>
    </w:p>
    <w:p>
      <w:pPr>
        <w:pStyle w:val="ListParagraph"/>
        <w:numPr>
          <w:ilvl w:val="0"/>
          <w:numId w:val="46"/>
        </w:numPr>
        <w:tabs>
          <w:tab w:pos="1070" w:val="left" w:leader="none"/>
        </w:tabs>
        <w:spacing w:line="364" w:lineRule="auto" w:before="0" w:after="0"/>
        <w:ind w:left="120" w:right="205" w:firstLine="419"/>
        <w:jc w:val="left"/>
        <w:rPr>
          <w:sz w:val="21"/>
        </w:rPr>
      </w:pPr>
      <w:r>
        <w:rPr>
          <w:spacing w:val="-3"/>
          <w:sz w:val="21"/>
        </w:rPr>
        <w:t>如果会议主持人或基金份额持有人对于提交的表决结果有怀疑，可以在宣布表决</w:t>
      </w:r>
      <w:r>
        <w:rPr>
          <w:spacing w:val="-12"/>
          <w:sz w:val="21"/>
        </w:rPr>
        <w:t>结果后立即对所投票数要求进行重新清点。监票人应当进行重新清点，重新清点以一次为限。</w:t>
      </w:r>
      <w:r>
        <w:rPr>
          <w:spacing w:val="-6"/>
          <w:sz w:val="21"/>
        </w:rPr>
        <w:t>重新清点后，大会主持人应当当场公布重新清点结果。</w:t>
      </w:r>
    </w:p>
    <w:p>
      <w:pPr>
        <w:pStyle w:val="ListParagraph"/>
        <w:numPr>
          <w:ilvl w:val="0"/>
          <w:numId w:val="46"/>
        </w:numPr>
        <w:tabs>
          <w:tab w:pos="1070" w:val="left" w:leader="none"/>
        </w:tabs>
        <w:spacing w:line="364" w:lineRule="auto" w:before="0" w:after="0"/>
        <w:ind w:left="540" w:right="4526" w:firstLine="0"/>
        <w:jc w:val="left"/>
        <w:rPr>
          <w:sz w:val="21"/>
        </w:rPr>
      </w:pPr>
      <w:r>
        <w:rPr>
          <w:spacing w:val="-4"/>
          <w:sz w:val="21"/>
        </w:rPr>
        <w:t>计票过程应由公证机关予以公证。</w:t>
      </w:r>
      <w:r>
        <w:rPr>
          <w:sz w:val="21"/>
        </w:rPr>
        <w:t>2</w:t>
      </w:r>
      <w:r>
        <w:rPr>
          <w:spacing w:val="-3"/>
          <w:sz w:val="21"/>
        </w:rPr>
        <w:t>、通讯开会</w:t>
      </w:r>
    </w:p>
    <w:p>
      <w:pPr>
        <w:pStyle w:val="BodyText"/>
        <w:spacing w:line="364" w:lineRule="auto"/>
        <w:ind w:right="311" w:firstLine="419"/>
        <w:jc w:val="both"/>
      </w:pPr>
      <w:r>
        <w:rPr>
          <w:spacing w:val="-11"/>
        </w:rPr>
        <w:t>在通讯开会的情况下，计票方式为：由大会召集人授权的两名监督员在基金托管人授权</w:t>
      </w:r>
      <w:r>
        <w:rPr>
          <w:spacing w:val="-18"/>
        </w:rPr>
        <w:t>代表</w:t>
      </w:r>
      <w:r>
        <w:rPr>
          <w:spacing w:val="-3"/>
        </w:rPr>
        <w:t>（</w:t>
      </w:r>
      <w:r>
        <w:rPr>
          <w:spacing w:val="-6"/>
        </w:rPr>
        <w:t>若由基金托管人召集，则为基金管理人授权代表</w:t>
      </w:r>
      <w:r>
        <w:rPr>
          <w:spacing w:val="-27"/>
        </w:rPr>
        <w:t>）</w:t>
      </w:r>
      <w:r>
        <w:rPr>
          <w:spacing w:val="-6"/>
        </w:rPr>
        <w:t>的监督下进行计票，并由公证机关</w:t>
      </w:r>
      <w:r>
        <w:rPr>
          <w:spacing w:val="-4"/>
        </w:rPr>
        <w:t>对其计票过程予以公证。</w:t>
      </w:r>
    </w:p>
    <w:p>
      <w:pPr>
        <w:pStyle w:val="BodyText"/>
        <w:spacing w:line="269" w:lineRule="exact"/>
        <w:ind w:left="540"/>
      </w:pPr>
      <w:r>
        <w:rPr/>
        <w:t>（八）生效与公告</w:t>
      </w:r>
    </w:p>
    <w:p>
      <w:pPr>
        <w:pStyle w:val="BodyText"/>
        <w:spacing w:line="364" w:lineRule="auto" w:before="131"/>
        <w:ind w:right="313" w:firstLine="419"/>
      </w:pPr>
      <w:r>
        <w:rPr/>
        <w:t>基金份额持有人大会表决通过的事项，召集人应当自通过之日起 5 日内报中国证监会核准或者备案。</w:t>
      </w:r>
    </w:p>
    <w:p>
      <w:pPr>
        <w:pStyle w:val="BodyText"/>
        <w:spacing w:line="367" w:lineRule="auto"/>
        <w:ind w:right="318" w:firstLine="419"/>
      </w:pPr>
      <w:r>
        <w:rPr/>
        <w:t>基金份额持有人大会决定的事项自中国证监会依法核准或者出具无异议意见之日起生效。</w:t>
      </w:r>
    </w:p>
    <w:p>
      <w:pPr>
        <w:pStyle w:val="BodyText"/>
        <w:spacing w:line="265" w:lineRule="exact"/>
        <w:ind w:left="540"/>
      </w:pPr>
      <w:r>
        <w:rPr/>
        <w:t>基金份额持有人大会决议自生效之日起 2 日内在指定媒介上公告。</w:t>
      </w:r>
    </w:p>
    <w:p>
      <w:pPr>
        <w:pStyle w:val="BodyText"/>
        <w:spacing w:before="137"/>
        <w:ind w:left="540"/>
      </w:pPr>
      <w:r>
        <w:rPr/>
        <w:t>基金管理人、基金托管人和基金份额持有人应当执行生效的基金份额持有人大会的决定。</w:t>
      </w:r>
    </w:p>
    <w:p>
      <w:pPr>
        <w:spacing w:after="0"/>
        <w:sectPr>
          <w:pgSz w:w="11910" w:h="16840"/>
          <w:pgMar w:header="877" w:footer="1195" w:top="1380" w:bottom="1380" w:left="1680" w:right="1480"/>
        </w:sectPr>
      </w:pPr>
    </w:p>
    <w:p>
      <w:pPr>
        <w:pStyle w:val="BodyText"/>
        <w:spacing w:before="61"/>
        <w:ind w:left="540"/>
      </w:pPr>
      <w:r>
        <w:rPr/>
        <w:t>基金份额持有人大会决议对全体基金份额持有人、基金管理人、基金托管人均有约束力。</w:t>
      </w:r>
    </w:p>
    <w:p>
      <w:pPr>
        <w:pStyle w:val="BodyText"/>
        <w:ind w:left="0"/>
        <w:rPr>
          <w:sz w:val="20"/>
        </w:rPr>
      </w:pPr>
    </w:p>
    <w:p>
      <w:pPr>
        <w:pStyle w:val="BodyText"/>
        <w:spacing w:before="9"/>
        <w:ind w:left="0"/>
        <w:rPr>
          <w:sz w:val="22"/>
        </w:rPr>
      </w:pPr>
    </w:p>
    <w:p>
      <w:pPr>
        <w:pStyle w:val="BodyText"/>
        <w:ind w:left="540"/>
      </w:pPr>
      <w:r>
        <w:rPr/>
        <w:t>三、基金收益分配原则、执行方式</w:t>
      </w:r>
    </w:p>
    <w:p>
      <w:pPr>
        <w:pStyle w:val="BodyText"/>
        <w:spacing w:before="141"/>
        <w:ind w:left="540"/>
      </w:pPr>
      <w:r>
        <w:rPr/>
        <w:t>（一）基金收益分配原则</w:t>
      </w:r>
    </w:p>
    <w:p>
      <w:pPr>
        <w:pStyle w:val="BodyText"/>
        <w:spacing w:line="364" w:lineRule="auto" w:before="139"/>
        <w:ind w:right="208" w:firstLine="419"/>
        <w:jc w:val="both"/>
      </w:pPr>
      <w:r>
        <w:rPr/>
        <w:t>1</w:t>
      </w:r>
      <w:r>
        <w:rPr>
          <w:spacing w:val="-9"/>
        </w:rPr>
        <w:t>、在符合有关基金分红条件的前提下，本基金每年收益分配次数最多为 </w:t>
      </w:r>
      <w:r>
        <w:rPr/>
        <w:t>6</w:t>
      </w:r>
      <w:r>
        <w:rPr>
          <w:spacing w:val="-5"/>
        </w:rPr>
        <w:t> 次，全年分</w:t>
      </w:r>
      <w:r>
        <w:rPr>
          <w:spacing w:val="-4"/>
        </w:rPr>
        <w:t>配比例不得低于年度可供分配收益的 </w:t>
      </w:r>
      <w:r>
        <w:rPr/>
        <w:t>50</w:t>
      </w:r>
      <w:r>
        <w:rPr>
          <w:spacing w:val="-10"/>
        </w:rPr>
        <w:t>%。若基金合同生效不满 </w:t>
      </w:r>
      <w:r>
        <w:rPr/>
        <w:t>3</w:t>
      </w:r>
      <w:r>
        <w:rPr>
          <w:spacing w:val="-2"/>
        </w:rPr>
        <w:t> 个月可不进行收益分配；</w:t>
      </w:r>
    </w:p>
    <w:p>
      <w:pPr>
        <w:pStyle w:val="BodyText"/>
        <w:spacing w:line="364" w:lineRule="auto"/>
        <w:ind w:right="311" w:firstLine="419"/>
        <w:jc w:val="both"/>
      </w:pPr>
      <w:r>
        <w:rPr/>
        <w:t>2</w:t>
      </w:r>
      <w:r>
        <w:rPr>
          <w:spacing w:val="-3"/>
        </w:rPr>
        <w:t>、本基金收益分配方式分两种：现金分红与红利再投资，投资人可选择现金红利或将</w:t>
      </w:r>
      <w:r>
        <w:rPr>
          <w:spacing w:val="-7"/>
        </w:rPr>
        <w:t>现金红利按除权日的基金份额净值自动转为基金份额进行再投资；若投资者不选择，本基金</w:t>
      </w:r>
      <w:r>
        <w:rPr>
          <w:spacing w:val="-5"/>
        </w:rPr>
        <w:t>默认的收益分配方式是现金分红；</w:t>
      </w:r>
    </w:p>
    <w:p>
      <w:pPr>
        <w:pStyle w:val="BodyText"/>
        <w:ind w:left="540"/>
      </w:pPr>
      <w:r>
        <w:rPr/>
        <w:t>3、基金投资当期出现净亏损，则不进行收益分配；</w:t>
      </w:r>
    </w:p>
    <w:p>
      <w:pPr>
        <w:pStyle w:val="BodyText"/>
        <w:spacing w:before="137"/>
        <w:ind w:left="540"/>
      </w:pPr>
      <w:r>
        <w:rPr/>
        <w:t>4、基金当年收益应先弥补上一年度亏损后，才可进行当年收益分配；</w:t>
      </w:r>
    </w:p>
    <w:p>
      <w:pPr>
        <w:pStyle w:val="BodyText"/>
        <w:spacing w:before="139"/>
        <w:ind w:left="540"/>
      </w:pPr>
      <w:r>
        <w:rPr/>
        <w:t>5、基金收益分配后基金份额净值不能低于面值；</w:t>
      </w:r>
    </w:p>
    <w:p>
      <w:pPr>
        <w:pStyle w:val="BodyText"/>
        <w:spacing w:before="142"/>
        <w:ind w:left="540"/>
      </w:pPr>
      <w:r>
        <w:rPr/>
        <w:t>6、每一基金份额享有同等分配权；</w:t>
      </w:r>
    </w:p>
    <w:p>
      <w:pPr>
        <w:pStyle w:val="BodyText"/>
        <w:spacing w:before="139"/>
        <w:ind w:left="540"/>
      </w:pPr>
      <w:r>
        <w:rPr/>
        <w:t>7、法律法规或监管机关另有规定的，从其规定。</w:t>
      </w:r>
    </w:p>
    <w:p>
      <w:pPr>
        <w:pStyle w:val="BodyText"/>
        <w:spacing w:before="138"/>
        <w:ind w:left="540"/>
      </w:pPr>
      <w:r>
        <w:rPr/>
        <w:t>（二）收益分配方案</w:t>
      </w:r>
    </w:p>
    <w:p>
      <w:pPr>
        <w:pStyle w:val="BodyText"/>
        <w:spacing w:line="364" w:lineRule="auto" w:before="139"/>
        <w:ind w:right="311" w:firstLine="419"/>
      </w:pPr>
      <w:r>
        <w:rPr>
          <w:spacing w:val="-7"/>
        </w:rPr>
        <w:t>基金收益分配方案中应载明基金净收益、基金收益分配对象、分配时间、分配数额及比</w:t>
      </w:r>
      <w:r>
        <w:rPr>
          <w:spacing w:val="-5"/>
        </w:rPr>
        <w:t>例、分配方式等内容。</w:t>
      </w:r>
    </w:p>
    <w:p>
      <w:pPr>
        <w:pStyle w:val="BodyText"/>
        <w:spacing w:before="1"/>
        <w:ind w:left="540"/>
      </w:pPr>
      <w:r>
        <w:rPr/>
        <w:t>（三）收益分配方案的确定、公告与实施</w:t>
      </w:r>
    </w:p>
    <w:p>
      <w:pPr>
        <w:pStyle w:val="BodyText"/>
        <w:spacing w:line="364" w:lineRule="auto" w:before="139"/>
        <w:ind w:right="208" w:firstLine="419"/>
      </w:pPr>
      <w:r>
        <w:rPr/>
        <w:t>本基金收益分配方案由基金管理人拟定，并由基金托管人复核，依照《信息披露办法》在指定媒介公告。</w:t>
      </w:r>
    </w:p>
    <w:p>
      <w:pPr>
        <w:pStyle w:val="BodyText"/>
        <w:spacing w:line="267" w:lineRule="exact"/>
        <w:ind w:left="540"/>
      </w:pPr>
      <w:r>
        <w:rPr/>
        <w:t>（四）基金收益分配中发生的费用</w:t>
      </w:r>
    </w:p>
    <w:p>
      <w:pPr>
        <w:pStyle w:val="BodyText"/>
        <w:spacing w:line="364" w:lineRule="auto" w:before="142"/>
        <w:ind w:right="311" w:firstLine="419"/>
        <w:jc w:val="both"/>
      </w:pPr>
      <w:r>
        <w:rPr>
          <w:spacing w:val="-7"/>
        </w:rPr>
        <w:t>红利分配时所发生的银行转账或其他手续费用由投资者自行承担。当投资者的现金红利</w:t>
      </w:r>
      <w:r>
        <w:rPr>
          <w:spacing w:val="-12"/>
        </w:rPr>
        <w:t>小于一定金额，不足于支付银行转账或其他手续费用时，基金注册登记人可将投资者的现金</w:t>
      </w:r>
      <w:r>
        <w:rPr>
          <w:spacing w:val="-10"/>
        </w:rPr>
        <w:t>红利按权益登记日除息后的基金份额净值自动转为基金份额。红利再投资的计算方法，依照</w:t>
      </w:r>
      <w:r>
        <w:rPr>
          <w:spacing w:val="-5"/>
        </w:rPr>
        <w:t>景顺长城基金管理有限公司开放式基金有关业务规定执行。</w:t>
      </w:r>
    </w:p>
    <w:p>
      <w:pPr>
        <w:pStyle w:val="BodyText"/>
        <w:ind w:left="0"/>
        <w:rPr>
          <w:sz w:val="20"/>
        </w:rPr>
      </w:pPr>
    </w:p>
    <w:p>
      <w:pPr>
        <w:pStyle w:val="BodyText"/>
        <w:spacing w:before="172"/>
      </w:pPr>
      <w:r>
        <w:rPr/>
        <w:t>四、与基金财产管理、运作有关费用的提取、支付方式与比例</w:t>
      </w:r>
    </w:p>
    <w:p>
      <w:pPr>
        <w:pStyle w:val="BodyText"/>
        <w:spacing w:before="43"/>
        <w:ind w:left="540"/>
      </w:pPr>
      <w:r>
        <w:rPr/>
        <w:t>（一）基金管理人的管理费</w:t>
      </w:r>
    </w:p>
    <w:p>
      <w:pPr>
        <w:pStyle w:val="BodyText"/>
        <w:spacing w:line="364" w:lineRule="auto" w:before="21"/>
        <w:ind w:left="540" w:right="323"/>
      </w:pPr>
      <w:r>
        <w:rPr/>
        <w:t>本基金的管理费按前一日基金资产净值的 1.5%年费率计提。管理费的计算方法如下： H＝E×1.5%÷当年天数</w:t>
      </w:r>
    </w:p>
    <w:p>
      <w:pPr>
        <w:pStyle w:val="BodyText"/>
        <w:spacing w:line="364" w:lineRule="auto"/>
        <w:ind w:left="540" w:right="5470"/>
      </w:pPr>
      <w:r>
        <w:rPr/>
        <w:t>H 为每日应计提的基金管理费E 为前一日的基金资产净值</w:t>
      </w:r>
    </w:p>
    <w:p>
      <w:pPr>
        <w:pStyle w:val="BodyText"/>
        <w:spacing w:line="367" w:lineRule="auto"/>
        <w:ind w:right="311" w:firstLine="419"/>
      </w:pPr>
      <w:r>
        <w:rPr>
          <w:spacing w:val="-9"/>
        </w:rPr>
        <w:t>基金管理费每日计算，逐日累计至每月月末，按月支付，由基金管理人向基金托管人发</w:t>
      </w:r>
      <w:r>
        <w:rPr>
          <w:spacing w:val="-4"/>
        </w:rPr>
        <w:t>送基金管理费划款指令，基金托管人复核后于次月前 </w:t>
      </w:r>
      <w:r>
        <w:rPr/>
        <w:t>2</w:t>
      </w:r>
      <w:r>
        <w:rPr>
          <w:spacing w:val="-2"/>
        </w:rPr>
        <w:t> 个工作日内从基金资产中一次性支</w:t>
      </w:r>
    </w:p>
    <w:p>
      <w:pPr>
        <w:spacing w:after="0" w:line="367" w:lineRule="auto"/>
        <w:sectPr>
          <w:pgSz w:w="11910" w:h="16840"/>
          <w:pgMar w:header="877" w:footer="1195" w:top="1380" w:bottom="1380" w:left="1680" w:right="1480"/>
        </w:sectPr>
      </w:pPr>
    </w:p>
    <w:p>
      <w:pPr>
        <w:pStyle w:val="BodyText"/>
        <w:spacing w:before="61"/>
      </w:pPr>
      <w:r>
        <w:rPr/>
        <w:t>付给基金管理人。若遇法定节假日、公休假等,支付日期顺延。</w:t>
      </w:r>
    </w:p>
    <w:p>
      <w:pPr>
        <w:pStyle w:val="BodyText"/>
        <w:spacing w:before="139"/>
        <w:ind w:left="540"/>
      </w:pPr>
      <w:r>
        <w:rPr/>
        <w:t>（二）基金托管人的托管费</w:t>
      </w:r>
    </w:p>
    <w:p>
      <w:pPr>
        <w:pStyle w:val="BodyText"/>
        <w:spacing w:line="367" w:lineRule="auto" w:before="139"/>
        <w:ind w:left="540" w:right="104"/>
      </w:pPr>
      <w:r>
        <w:rPr>
          <w:spacing w:val="-2"/>
        </w:rPr>
        <w:t>本基金的托管费按前一日基金资产净值的 </w:t>
      </w:r>
      <w:r>
        <w:rPr/>
        <w:t>2.5</w:t>
      </w:r>
      <w:r>
        <w:rPr>
          <w:spacing w:val="-12"/>
        </w:rPr>
        <w:t>‰的年费率计提。托管费的计算方法如下： H＝E×2.5</w:t>
      </w:r>
      <w:r>
        <w:rPr>
          <w:spacing w:val="-7"/>
        </w:rPr>
        <w:t>‰÷当年天数</w:t>
      </w:r>
    </w:p>
    <w:p>
      <w:pPr>
        <w:pStyle w:val="BodyText"/>
        <w:spacing w:line="364" w:lineRule="auto"/>
        <w:ind w:left="540" w:right="5470"/>
      </w:pPr>
      <w:r>
        <w:rPr/>
        <w:t>H 为每日应计提的基金托管费E 为前一日的基金资产净值</w:t>
      </w:r>
    </w:p>
    <w:p>
      <w:pPr>
        <w:pStyle w:val="BodyText"/>
        <w:spacing w:line="364" w:lineRule="auto"/>
        <w:ind w:right="311" w:firstLine="419"/>
        <w:jc w:val="both"/>
      </w:pPr>
      <w:r>
        <w:rPr>
          <w:spacing w:val="-9"/>
        </w:rPr>
        <w:t>基金托管费每日计算，逐日累计至每月月末，按月支付，由基金管理人向基金托管人发</w:t>
      </w:r>
      <w:r>
        <w:rPr>
          <w:spacing w:val="-4"/>
        </w:rPr>
        <w:t>送基金托管费划款指令，基金托管人复核后于次月前 </w:t>
      </w:r>
      <w:r>
        <w:rPr/>
        <w:t>2</w:t>
      </w:r>
      <w:r>
        <w:rPr>
          <w:spacing w:val="-2"/>
        </w:rPr>
        <w:t> 个工作日内从基金财产中一次性支</w:t>
      </w:r>
      <w:r>
        <w:rPr>
          <w:spacing w:val="-3"/>
        </w:rPr>
        <w:t>取。若遇法定节假日、公休日等,支付日期顺延。</w:t>
      </w:r>
    </w:p>
    <w:p>
      <w:pPr>
        <w:pStyle w:val="BodyText"/>
        <w:ind w:left="0"/>
        <w:rPr>
          <w:sz w:val="20"/>
        </w:rPr>
      </w:pPr>
    </w:p>
    <w:p>
      <w:pPr>
        <w:pStyle w:val="BodyText"/>
        <w:spacing w:before="145"/>
        <w:ind w:left="540"/>
      </w:pPr>
      <w:r>
        <w:rPr/>
        <w:t>五、基金资产的投资方向和投资限制</w:t>
      </w:r>
    </w:p>
    <w:p>
      <w:pPr>
        <w:pStyle w:val="BodyText"/>
        <w:spacing w:before="139"/>
        <w:ind w:left="540"/>
      </w:pPr>
      <w:r>
        <w:rPr/>
        <w:t>（一）投资方向</w:t>
      </w:r>
    </w:p>
    <w:p>
      <w:pPr>
        <w:pStyle w:val="BodyText"/>
        <w:spacing w:before="141"/>
        <w:ind w:left="540"/>
      </w:pPr>
      <w:r>
        <w:rPr/>
        <w:t>本基金投资于具有良好流动性的金融工具，包括国内依法发行和上市交易的公司股票</w:t>
      </w:r>
    </w:p>
    <w:p>
      <w:pPr>
        <w:pStyle w:val="BodyText"/>
        <w:spacing w:before="139"/>
      </w:pPr>
      <w:r>
        <w:rPr/>
        <w:t>（含存托凭证）和债券以及经中国证监会批准的允许基金投资的其他金融工具。</w:t>
      </w:r>
    </w:p>
    <w:p>
      <w:pPr>
        <w:pStyle w:val="BodyText"/>
        <w:spacing w:line="364" w:lineRule="auto" w:before="139"/>
        <w:ind w:right="311" w:firstLine="419"/>
        <w:jc w:val="both"/>
      </w:pPr>
      <w:r>
        <w:rPr>
          <w:spacing w:val="-5"/>
        </w:rPr>
        <w:t>本基金是一只高持股的混合型基金，对于股票的投资不少于基金资产净值的 </w:t>
      </w:r>
      <w:r>
        <w:rPr>
          <w:spacing w:val="-12"/>
        </w:rPr>
        <w:t>65%</w:t>
      </w:r>
      <w:r>
        <w:rPr>
          <w:spacing w:val="-6"/>
        </w:rPr>
        <w:t>，持有</w:t>
      </w:r>
      <w:r>
        <w:rPr>
          <w:spacing w:val="-4"/>
        </w:rPr>
        <w:t>现金或者到期日在一年以内的政府债券的比例不低于基金资产净值的 </w:t>
      </w:r>
      <w:r>
        <w:rPr/>
        <w:t>5</w:t>
      </w:r>
      <w:r>
        <w:rPr>
          <w:spacing w:val="-2"/>
        </w:rPr>
        <w:t>%，其中现金不包括</w:t>
      </w:r>
      <w:r>
        <w:rPr>
          <w:spacing w:val="-9"/>
        </w:rPr>
        <w:t>结算备付金、存出保证金和应收申购款等。。</w:t>
      </w:r>
    </w:p>
    <w:p>
      <w:pPr>
        <w:pStyle w:val="BodyText"/>
        <w:ind w:left="540"/>
        <w:jc w:val="both"/>
      </w:pPr>
      <w:r>
        <w:rPr/>
        <w:t>本基金投资于成长型上市公司的股票比例高于非现金基金资产的 80%。</w:t>
      </w:r>
    </w:p>
    <w:p>
      <w:pPr>
        <w:pStyle w:val="BodyText"/>
        <w:spacing w:line="364" w:lineRule="auto" w:before="139"/>
        <w:ind w:left="540" w:right="6730"/>
      </w:pPr>
      <w:r>
        <w:rPr/>
        <w:t>（二）投资限制1、禁止行为</w:t>
      </w:r>
    </w:p>
    <w:p>
      <w:pPr>
        <w:pStyle w:val="BodyText"/>
        <w:spacing w:line="267" w:lineRule="exact"/>
        <w:ind w:left="540"/>
      </w:pPr>
      <w:r>
        <w:rPr/>
        <w:t>为维护基金份额持有人的合法权益，本基金禁止从事下列行为：</w:t>
      </w:r>
    </w:p>
    <w:p>
      <w:pPr>
        <w:pStyle w:val="ListParagraph"/>
        <w:numPr>
          <w:ilvl w:val="0"/>
          <w:numId w:val="47"/>
        </w:numPr>
        <w:tabs>
          <w:tab w:pos="1070" w:val="left" w:leader="none"/>
        </w:tabs>
        <w:spacing w:line="240" w:lineRule="auto" w:before="141" w:after="0"/>
        <w:ind w:left="1069" w:right="0" w:hanging="530"/>
        <w:jc w:val="left"/>
        <w:rPr>
          <w:sz w:val="21"/>
        </w:rPr>
      </w:pPr>
      <w:r>
        <w:rPr>
          <w:spacing w:val="-3"/>
          <w:sz w:val="21"/>
        </w:rPr>
        <w:t>承销证券；</w:t>
      </w:r>
    </w:p>
    <w:p>
      <w:pPr>
        <w:pStyle w:val="ListParagraph"/>
        <w:numPr>
          <w:ilvl w:val="0"/>
          <w:numId w:val="47"/>
        </w:numPr>
        <w:tabs>
          <w:tab w:pos="1070" w:val="left" w:leader="none"/>
        </w:tabs>
        <w:spacing w:line="240" w:lineRule="auto" w:before="139" w:after="0"/>
        <w:ind w:left="1069" w:right="0" w:hanging="530"/>
        <w:jc w:val="left"/>
        <w:rPr>
          <w:sz w:val="21"/>
        </w:rPr>
      </w:pPr>
      <w:r>
        <w:rPr>
          <w:spacing w:val="-3"/>
          <w:sz w:val="21"/>
        </w:rPr>
        <w:t>向他人贷款或提供担保；</w:t>
      </w:r>
    </w:p>
    <w:p>
      <w:pPr>
        <w:pStyle w:val="ListParagraph"/>
        <w:numPr>
          <w:ilvl w:val="0"/>
          <w:numId w:val="47"/>
        </w:numPr>
        <w:tabs>
          <w:tab w:pos="1070" w:val="left" w:leader="none"/>
        </w:tabs>
        <w:spacing w:line="240" w:lineRule="auto" w:before="139" w:after="0"/>
        <w:ind w:left="1069" w:right="0" w:hanging="530"/>
        <w:jc w:val="left"/>
        <w:rPr>
          <w:sz w:val="21"/>
        </w:rPr>
      </w:pPr>
      <w:r>
        <w:rPr>
          <w:spacing w:val="-3"/>
          <w:sz w:val="21"/>
        </w:rPr>
        <w:t>从事承担无限责任的投资；</w:t>
      </w:r>
    </w:p>
    <w:p>
      <w:pPr>
        <w:pStyle w:val="ListParagraph"/>
        <w:numPr>
          <w:ilvl w:val="0"/>
          <w:numId w:val="47"/>
        </w:numPr>
        <w:tabs>
          <w:tab w:pos="1070" w:val="left" w:leader="none"/>
        </w:tabs>
        <w:spacing w:line="240" w:lineRule="auto" w:before="140" w:after="0"/>
        <w:ind w:left="1069" w:right="0" w:hanging="530"/>
        <w:jc w:val="left"/>
        <w:rPr>
          <w:sz w:val="21"/>
        </w:rPr>
      </w:pPr>
      <w:r>
        <w:rPr>
          <w:spacing w:val="-3"/>
          <w:sz w:val="21"/>
        </w:rPr>
        <w:t>买卖其他基金份额，但国务院另有规定的除外；</w:t>
      </w:r>
    </w:p>
    <w:p>
      <w:pPr>
        <w:pStyle w:val="ListParagraph"/>
        <w:numPr>
          <w:ilvl w:val="0"/>
          <w:numId w:val="47"/>
        </w:numPr>
        <w:tabs>
          <w:tab w:pos="1070" w:val="left" w:leader="none"/>
        </w:tabs>
        <w:spacing w:line="367" w:lineRule="auto" w:before="139" w:after="0"/>
        <w:ind w:left="120" w:right="314" w:firstLine="419"/>
        <w:jc w:val="left"/>
        <w:rPr>
          <w:sz w:val="21"/>
        </w:rPr>
      </w:pPr>
      <w:r>
        <w:rPr>
          <w:spacing w:val="-3"/>
          <w:sz w:val="21"/>
        </w:rPr>
        <w:t>向基金管理人、基金托管人出资或者买卖其基金管理人、基金托管人发行的股票或债券；</w:t>
      </w:r>
    </w:p>
    <w:p>
      <w:pPr>
        <w:pStyle w:val="ListParagraph"/>
        <w:numPr>
          <w:ilvl w:val="0"/>
          <w:numId w:val="47"/>
        </w:numPr>
        <w:tabs>
          <w:tab w:pos="1070" w:val="left" w:leader="none"/>
        </w:tabs>
        <w:spacing w:line="364" w:lineRule="auto" w:before="0" w:after="0"/>
        <w:ind w:left="120" w:right="314" w:firstLine="419"/>
        <w:jc w:val="left"/>
        <w:rPr>
          <w:sz w:val="21"/>
        </w:rPr>
      </w:pPr>
      <w:r>
        <w:rPr>
          <w:spacing w:val="-3"/>
          <w:sz w:val="21"/>
        </w:rPr>
        <w:t>买卖与基金管理人、基金托管人有控股关系的股东或者与基金管理人、基金托管人有其他重大利害关系的公司发行的证券或者承销期内承销的证券；</w:t>
      </w:r>
    </w:p>
    <w:p>
      <w:pPr>
        <w:pStyle w:val="ListParagraph"/>
        <w:numPr>
          <w:ilvl w:val="0"/>
          <w:numId w:val="47"/>
        </w:numPr>
        <w:tabs>
          <w:tab w:pos="1070" w:val="left" w:leader="none"/>
        </w:tabs>
        <w:spacing w:line="267" w:lineRule="exact" w:before="0" w:after="0"/>
        <w:ind w:left="1069" w:right="0" w:hanging="530"/>
        <w:jc w:val="left"/>
        <w:rPr>
          <w:sz w:val="21"/>
        </w:rPr>
      </w:pPr>
      <w:r>
        <w:rPr>
          <w:spacing w:val="-3"/>
          <w:sz w:val="21"/>
        </w:rPr>
        <w:t>从事内幕交易、操纵证券价格及其他不正当的证券交易活动；</w:t>
      </w:r>
    </w:p>
    <w:p>
      <w:pPr>
        <w:pStyle w:val="ListParagraph"/>
        <w:numPr>
          <w:ilvl w:val="0"/>
          <w:numId w:val="47"/>
        </w:numPr>
        <w:tabs>
          <w:tab w:pos="1070" w:val="left" w:leader="none"/>
        </w:tabs>
        <w:spacing w:line="367" w:lineRule="auto" w:before="134" w:after="0"/>
        <w:ind w:left="540" w:right="532" w:firstLine="0"/>
        <w:jc w:val="left"/>
        <w:rPr>
          <w:sz w:val="21"/>
        </w:rPr>
      </w:pPr>
      <w:r>
        <w:rPr>
          <w:spacing w:val="-3"/>
          <w:sz w:val="21"/>
        </w:rPr>
        <w:t>当时有效的法律法规、中国证监会及《基金合同》规定禁止从事的其他行为。2、投资组合限制</w:t>
      </w:r>
    </w:p>
    <w:p>
      <w:pPr>
        <w:pStyle w:val="BodyText"/>
        <w:spacing w:line="265" w:lineRule="exact"/>
        <w:ind w:left="540"/>
      </w:pPr>
      <w:r>
        <w:rPr/>
        <w:t>本基金的投资组合将遵循以下限制：</w:t>
      </w:r>
    </w:p>
    <w:p>
      <w:pPr>
        <w:pStyle w:val="ListParagraph"/>
        <w:numPr>
          <w:ilvl w:val="0"/>
          <w:numId w:val="48"/>
        </w:numPr>
        <w:tabs>
          <w:tab w:pos="1070" w:val="left" w:leader="none"/>
        </w:tabs>
        <w:spacing w:line="240" w:lineRule="auto" w:before="139" w:after="0"/>
        <w:ind w:left="1069" w:right="0" w:hanging="530"/>
        <w:jc w:val="both"/>
        <w:rPr>
          <w:sz w:val="21"/>
        </w:rPr>
      </w:pPr>
      <w:r>
        <w:rPr>
          <w:spacing w:val="-5"/>
          <w:sz w:val="21"/>
        </w:rPr>
        <w:t>本基金持有一家上市公司的股票，其市值不得超过基金资产净值的 </w:t>
      </w:r>
      <w:r>
        <w:rPr>
          <w:sz w:val="21"/>
        </w:rPr>
        <w:t>10%；</w:t>
      </w:r>
    </w:p>
    <w:p>
      <w:pPr>
        <w:spacing w:after="0" w:line="240" w:lineRule="auto"/>
        <w:jc w:val="both"/>
        <w:rPr>
          <w:sz w:val="21"/>
        </w:rPr>
        <w:sectPr>
          <w:pgSz w:w="11910" w:h="16840"/>
          <w:pgMar w:header="877" w:footer="1195" w:top="1380" w:bottom="1380" w:left="1680" w:right="1480"/>
        </w:sectPr>
      </w:pPr>
    </w:p>
    <w:p>
      <w:pPr>
        <w:pStyle w:val="ListParagraph"/>
        <w:numPr>
          <w:ilvl w:val="0"/>
          <w:numId w:val="48"/>
        </w:numPr>
        <w:tabs>
          <w:tab w:pos="1070" w:val="left" w:leader="none"/>
        </w:tabs>
        <w:spacing w:line="364" w:lineRule="auto" w:before="61" w:after="0"/>
        <w:ind w:left="120" w:right="314" w:firstLine="419"/>
        <w:jc w:val="left"/>
        <w:rPr>
          <w:sz w:val="21"/>
        </w:rPr>
      </w:pPr>
      <w:r>
        <w:rPr>
          <w:spacing w:val="-3"/>
          <w:sz w:val="21"/>
        </w:rPr>
        <w:t>本基金与由本基金管理人管理的其他基金共同持有一家公司发行的证券，不得超过该证券的 </w:t>
      </w:r>
      <w:r>
        <w:rPr>
          <w:sz w:val="21"/>
        </w:rPr>
        <w:t>10%；</w:t>
      </w:r>
    </w:p>
    <w:p>
      <w:pPr>
        <w:pStyle w:val="ListParagraph"/>
        <w:numPr>
          <w:ilvl w:val="0"/>
          <w:numId w:val="48"/>
        </w:numPr>
        <w:tabs>
          <w:tab w:pos="1070" w:val="left" w:leader="none"/>
        </w:tabs>
        <w:spacing w:line="267" w:lineRule="exact" w:before="0" w:after="0"/>
        <w:ind w:left="1069" w:right="0" w:hanging="530"/>
        <w:jc w:val="left"/>
        <w:rPr>
          <w:sz w:val="21"/>
        </w:rPr>
      </w:pPr>
      <w:r>
        <w:rPr>
          <w:spacing w:val="-3"/>
          <w:sz w:val="21"/>
        </w:rPr>
        <w:t>本基金不得违反本基金合同关于投资范围、投资策略和投资比例的约定；</w:t>
      </w:r>
    </w:p>
    <w:p>
      <w:pPr>
        <w:pStyle w:val="ListParagraph"/>
        <w:numPr>
          <w:ilvl w:val="0"/>
          <w:numId w:val="48"/>
        </w:numPr>
        <w:tabs>
          <w:tab w:pos="1070" w:val="left" w:leader="none"/>
        </w:tabs>
        <w:spacing w:line="364" w:lineRule="auto" w:before="142" w:after="0"/>
        <w:ind w:left="120" w:right="311" w:firstLine="419"/>
        <w:jc w:val="both"/>
        <w:rPr>
          <w:sz w:val="21"/>
        </w:rPr>
      </w:pPr>
      <w:r>
        <w:rPr>
          <w:spacing w:val="-3"/>
          <w:sz w:val="21"/>
        </w:rPr>
        <w:t>本基金投资股权分置改革中产生的权证，在任何交易日买入的总金额，不超过上</w:t>
      </w:r>
      <w:r>
        <w:rPr>
          <w:spacing w:val="-2"/>
          <w:sz w:val="21"/>
        </w:rPr>
        <w:t>一交易日基金资产净值的 </w:t>
      </w:r>
      <w:r>
        <w:rPr>
          <w:spacing w:val="-11"/>
          <w:sz w:val="21"/>
        </w:rPr>
        <w:t>0.5%</w:t>
      </w:r>
      <w:r>
        <w:rPr>
          <w:spacing w:val="-4"/>
          <w:sz w:val="21"/>
        </w:rPr>
        <w:t>，基金持有的全部权证的市值不超过基金资产净值的 </w:t>
      </w:r>
      <w:r>
        <w:rPr>
          <w:spacing w:val="-17"/>
          <w:sz w:val="21"/>
        </w:rPr>
        <w:t>3%</w:t>
      </w:r>
      <w:r>
        <w:rPr>
          <w:spacing w:val="-34"/>
          <w:sz w:val="21"/>
        </w:rPr>
        <w:t>，本</w:t>
      </w:r>
      <w:r>
        <w:rPr>
          <w:spacing w:val="-2"/>
          <w:sz w:val="21"/>
        </w:rPr>
        <w:t>公司管理的全部基金持有同一权证的比例不超过该权证的 </w:t>
      </w:r>
      <w:r>
        <w:rPr>
          <w:sz w:val="21"/>
        </w:rPr>
        <w:t>10</w:t>
      </w:r>
      <w:r>
        <w:rPr>
          <w:spacing w:val="-12"/>
          <w:sz w:val="21"/>
        </w:rPr>
        <w:t>%。其它权证的投资比例，遵从</w:t>
      </w:r>
      <w:r>
        <w:rPr>
          <w:spacing w:val="-6"/>
          <w:sz w:val="21"/>
        </w:rPr>
        <w:t>法规或监管部门的相关规定；</w:t>
      </w:r>
    </w:p>
    <w:p>
      <w:pPr>
        <w:pStyle w:val="ListParagraph"/>
        <w:numPr>
          <w:ilvl w:val="0"/>
          <w:numId w:val="48"/>
        </w:numPr>
        <w:tabs>
          <w:tab w:pos="1070" w:val="left" w:leader="none"/>
        </w:tabs>
        <w:spacing w:line="364" w:lineRule="auto" w:before="0" w:after="0"/>
        <w:ind w:left="120" w:right="314" w:firstLine="419"/>
        <w:jc w:val="left"/>
        <w:rPr>
          <w:sz w:val="21"/>
        </w:rPr>
      </w:pPr>
      <w:r>
        <w:rPr>
          <w:spacing w:val="-3"/>
          <w:sz w:val="21"/>
        </w:rPr>
        <w:t>基金财产参与股票发行申购，本基金所申报的金额不得超过本基金的总资产，所申报的股票数量不得超过拟发行股票公司本次发行股票的总量；</w:t>
      </w:r>
    </w:p>
    <w:p>
      <w:pPr>
        <w:pStyle w:val="ListParagraph"/>
        <w:numPr>
          <w:ilvl w:val="0"/>
          <w:numId w:val="48"/>
        </w:numPr>
        <w:tabs>
          <w:tab w:pos="1070" w:val="left" w:leader="none"/>
        </w:tabs>
        <w:spacing w:line="268" w:lineRule="exact" w:before="0" w:after="0"/>
        <w:ind w:left="1069" w:right="0" w:hanging="530"/>
        <w:jc w:val="left"/>
        <w:rPr>
          <w:sz w:val="21"/>
        </w:rPr>
      </w:pPr>
      <w:r>
        <w:rPr>
          <w:spacing w:val="-3"/>
          <w:sz w:val="21"/>
        </w:rPr>
        <w:t>相关法律法规以及监管部门规定的其它投资限制；</w:t>
      </w:r>
    </w:p>
    <w:p>
      <w:pPr>
        <w:pStyle w:val="ListParagraph"/>
        <w:numPr>
          <w:ilvl w:val="0"/>
          <w:numId w:val="48"/>
        </w:numPr>
        <w:tabs>
          <w:tab w:pos="1070" w:val="left" w:leader="none"/>
        </w:tabs>
        <w:spacing w:line="364" w:lineRule="auto" w:before="137" w:after="0"/>
        <w:ind w:left="120" w:right="313" w:firstLine="419"/>
        <w:jc w:val="both"/>
        <w:rPr>
          <w:sz w:val="21"/>
        </w:rPr>
      </w:pPr>
      <w:r>
        <w:rPr>
          <w:spacing w:val="-4"/>
          <w:sz w:val="21"/>
        </w:rPr>
        <w:t>本基金保持不低于基金资产净值 </w:t>
      </w:r>
      <w:r>
        <w:rPr>
          <w:sz w:val="21"/>
        </w:rPr>
        <w:t>5</w:t>
      </w:r>
      <w:r>
        <w:rPr>
          <w:spacing w:val="-4"/>
          <w:sz w:val="21"/>
        </w:rPr>
        <w:t>%的现金或到期日在一年以内的政府债券，其</w:t>
      </w:r>
      <w:r>
        <w:rPr>
          <w:spacing w:val="-3"/>
          <w:sz w:val="21"/>
        </w:rPr>
        <w:t>中现金不包括结算备付金、存出保证金和应收申购款等；</w:t>
      </w:r>
    </w:p>
    <w:p>
      <w:pPr>
        <w:pStyle w:val="ListParagraph"/>
        <w:numPr>
          <w:ilvl w:val="0"/>
          <w:numId w:val="48"/>
        </w:numPr>
        <w:tabs>
          <w:tab w:pos="1070" w:val="left" w:leader="none"/>
        </w:tabs>
        <w:spacing w:line="364" w:lineRule="auto" w:before="0" w:after="0"/>
        <w:ind w:left="120" w:right="311" w:firstLine="419"/>
        <w:jc w:val="both"/>
        <w:rPr>
          <w:sz w:val="21"/>
        </w:rPr>
      </w:pPr>
      <w:r>
        <w:rPr>
          <w:spacing w:val="-3"/>
          <w:sz w:val="21"/>
        </w:rPr>
        <w:t>本基金管理人管理的全部开放式基金</w:t>
      </w:r>
      <w:r>
        <w:rPr>
          <w:sz w:val="21"/>
        </w:rPr>
        <w:t>（</w:t>
      </w:r>
      <w:r>
        <w:rPr>
          <w:spacing w:val="-3"/>
          <w:sz w:val="21"/>
        </w:rPr>
        <w:t>包括开放式基金以及处于开放期的定期开放基金）</w:t>
      </w:r>
      <w:r>
        <w:rPr>
          <w:spacing w:val="-2"/>
          <w:sz w:val="21"/>
        </w:rPr>
        <w:t>持有一家上市公司发行的可流通股票，不超过该上市公司可流通股票的 </w:t>
      </w:r>
      <w:r>
        <w:rPr>
          <w:sz w:val="21"/>
        </w:rPr>
        <w:t>15％；本</w:t>
      </w:r>
      <w:r>
        <w:rPr>
          <w:spacing w:val="-6"/>
          <w:sz w:val="21"/>
        </w:rPr>
        <w:t>基金管理人管理的全部投资组合持有一家上市公司发行的可流通股票，不超过该上市公司可</w:t>
      </w:r>
      <w:r>
        <w:rPr>
          <w:spacing w:val="-13"/>
          <w:sz w:val="21"/>
        </w:rPr>
        <w:t>流通股票的 </w:t>
      </w:r>
      <w:r>
        <w:rPr>
          <w:sz w:val="21"/>
        </w:rPr>
        <w:t>30％；</w:t>
      </w:r>
    </w:p>
    <w:p>
      <w:pPr>
        <w:pStyle w:val="ListParagraph"/>
        <w:numPr>
          <w:ilvl w:val="0"/>
          <w:numId w:val="48"/>
        </w:numPr>
        <w:tabs>
          <w:tab w:pos="1070" w:val="left" w:leader="none"/>
        </w:tabs>
        <w:spacing w:line="364" w:lineRule="auto" w:before="0" w:after="0"/>
        <w:ind w:left="120" w:right="311" w:firstLine="419"/>
        <w:jc w:val="both"/>
        <w:rPr>
          <w:sz w:val="21"/>
        </w:rPr>
      </w:pPr>
      <w:r>
        <w:rPr>
          <w:spacing w:val="-2"/>
          <w:sz w:val="21"/>
        </w:rPr>
        <w:t>本基金主动投资于流动性受限资产的市值合计不超过基金资产的 </w:t>
      </w:r>
      <w:r>
        <w:rPr>
          <w:sz w:val="21"/>
        </w:rPr>
        <w:t>15%</w:t>
      </w:r>
      <w:r>
        <w:rPr>
          <w:spacing w:val="-1"/>
          <w:sz w:val="21"/>
        </w:rPr>
        <w:t>；因证券市</w:t>
      </w:r>
      <w:r>
        <w:rPr>
          <w:spacing w:val="-12"/>
          <w:sz w:val="21"/>
        </w:rPr>
        <w:t>场波动、上市公司股票停牌、基金规模变动等基金管理人之外的因素致使基金不符合本项所</w:t>
      </w:r>
      <w:r>
        <w:rPr>
          <w:spacing w:val="-6"/>
          <w:sz w:val="21"/>
        </w:rPr>
        <w:t>规定的比例限制的，基金管理人不得主动新增流动性受限资产的投资；</w:t>
      </w:r>
    </w:p>
    <w:p>
      <w:pPr>
        <w:pStyle w:val="ListParagraph"/>
        <w:numPr>
          <w:ilvl w:val="0"/>
          <w:numId w:val="48"/>
        </w:numPr>
        <w:tabs>
          <w:tab w:pos="1173" w:val="left" w:leader="none"/>
        </w:tabs>
        <w:spacing w:line="364" w:lineRule="auto" w:before="0" w:after="0"/>
        <w:ind w:left="120" w:right="311" w:firstLine="419"/>
        <w:jc w:val="left"/>
        <w:rPr>
          <w:sz w:val="21"/>
        </w:rPr>
      </w:pPr>
      <w:r>
        <w:rPr>
          <w:spacing w:val="-3"/>
          <w:sz w:val="21"/>
        </w:rPr>
        <w:t>本基金与私募类证券资管产品及中国证监会认定的其他主体为交易对手开展逆回购交易的，可接受质押品的资质要求应当与投资范围保持一致；</w:t>
      </w:r>
    </w:p>
    <w:p>
      <w:pPr>
        <w:pStyle w:val="ListParagraph"/>
        <w:numPr>
          <w:ilvl w:val="0"/>
          <w:numId w:val="48"/>
        </w:numPr>
        <w:tabs>
          <w:tab w:pos="1175" w:val="left" w:leader="none"/>
        </w:tabs>
        <w:spacing w:line="364" w:lineRule="auto" w:before="0" w:after="0"/>
        <w:ind w:left="120" w:right="311" w:firstLine="419"/>
        <w:jc w:val="left"/>
        <w:rPr>
          <w:sz w:val="21"/>
        </w:rPr>
      </w:pPr>
      <w:r>
        <w:rPr>
          <w:spacing w:val="-5"/>
          <w:sz w:val="21"/>
        </w:rPr>
        <w:t>本基金投资存托凭证的比例限制依照境内上市交易的股票执行，与境内上市交 </w:t>
      </w:r>
      <w:r>
        <w:rPr>
          <w:spacing w:val="-4"/>
          <w:sz w:val="21"/>
        </w:rPr>
        <w:t>易的股票合并计算；</w:t>
      </w:r>
    </w:p>
    <w:p>
      <w:pPr>
        <w:pStyle w:val="ListParagraph"/>
        <w:numPr>
          <w:ilvl w:val="0"/>
          <w:numId w:val="48"/>
        </w:numPr>
        <w:tabs>
          <w:tab w:pos="1175" w:val="left" w:leader="none"/>
        </w:tabs>
        <w:spacing w:line="267" w:lineRule="exact" w:before="0" w:after="0"/>
        <w:ind w:left="1175" w:right="0" w:hanging="635"/>
        <w:jc w:val="left"/>
        <w:rPr>
          <w:sz w:val="21"/>
        </w:rPr>
      </w:pPr>
      <w:r>
        <w:rPr>
          <w:spacing w:val="-3"/>
          <w:sz w:val="21"/>
        </w:rPr>
        <w:t>法律法规或监管部门取消上述限制，本基金不受上述限制。</w:t>
      </w:r>
    </w:p>
    <w:p>
      <w:pPr>
        <w:pStyle w:val="BodyText"/>
        <w:spacing w:line="364" w:lineRule="auto" w:before="136"/>
        <w:ind w:right="311" w:firstLine="419"/>
        <w:jc w:val="both"/>
      </w:pPr>
      <w:r>
        <w:rPr>
          <w:spacing w:val="-5"/>
          <w:w w:val="100"/>
        </w:rPr>
        <w:t>除上述第</w:t>
      </w:r>
      <w:r>
        <w:rPr>
          <w:w w:val="100"/>
        </w:rPr>
        <w:t>（7</w:t>
      </w:r>
      <w:r>
        <w:rPr>
          <w:spacing w:val="-108"/>
          <w:w w:val="100"/>
        </w:rPr>
        <w:t>）</w:t>
      </w:r>
      <w:r>
        <w:rPr>
          <w:spacing w:val="-123"/>
          <w:w w:val="100"/>
        </w:rPr>
        <w:t>、</w:t>
      </w:r>
      <w:r>
        <w:rPr>
          <w:w w:val="100"/>
        </w:rPr>
        <w:t>（9</w:t>
      </w:r>
      <w:r>
        <w:rPr>
          <w:spacing w:val="-106"/>
          <w:w w:val="100"/>
        </w:rPr>
        <w:t>）</w:t>
      </w:r>
      <w:r>
        <w:rPr>
          <w:spacing w:val="-125"/>
          <w:w w:val="100"/>
        </w:rPr>
        <w:t>、</w:t>
      </w:r>
      <w:r>
        <w:rPr>
          <w:w w:val="100"/>
        </w:rPr>
        <w:t>（1</w:t>
      </w:r>
      <w:r>
        <w:rPr>
          <w:spacing w:val="-3"/>
          <w:w w:val="100"/>
        </w:rPr>
        <w:t>0</w:t>
      </w:r>
      <w:r>
        <w:rPr>
          <w:spacing w:val="-17"/>
          <w:w w:val="100"/>
        </w:rPr>
        <w:t>）</w:t>
      </w:r>
      <w:r>
        <w:rPr>
          <w:spacing w:val="-6"/>
          <w:w w:val="100"/>
        </w:rPr>
        <w:t>项外，由于证券市场波动、上市公司合并或基金规模变动等</w:t>
      </w:r>
      <w:r>
        <w:rPr>
          <w:spacing w:val="-7"/>
        </w:rPr>
        <w:t>基金管理人之外的原因导致的投资组合不符合上述约定的比例不在限制之内，但基金管理人应在 10</w:t>
      </w:r>
      <w:r>
        <w:rPr>
          <w:spacing w:val="-4"/>
        </w:rPr>
        <w:t> 个交易日内进行调整，以达到标准。</w:t>
      </w:r>
    </w:p>
    <w:p>
      <w:pPr>
        <w:pStyle w:val="BodyText"/>
        <w:ind w:left="0"/>
        <w:rPr>
          <w:sz w:val="20"/>
        </w:rPr>
      </w:pPr>
    </w:p>
    <w:p>
      <w:pPr>
        <w:pStyle w:val="BodyText"/>
        <w:spacing w:before="152"/>
        <w:ind w:left="540"/>
      </w:pPr>
      <w:r>
        <w:rPr>
          <w:spacing w:val="-3"/>
        </w:rPr>
        <w:t>六、基金净值信息的计算方法和公告方式</w:t>
      </w:r>
    </w:p>
    <w:p>
      <w:pPr>
        <w:pStyle w:val="BodyText"/>
        <w:spacing w:before="139"/>
        <w:ind w:left="540"/>
      </w:pPr>
      <w:r>
        <w:rPr/>
        <w:t>基金资产净值是指基金资产总值减去基金负债后的价值。</w:t>
      </w:r>
    </w:p>
    <w:p>
      <w:pPr>
        <w:pStyle w:val="BodyText"/>
        <w:spacing w:line="367" w:lineRule="auto" w:before="138"/>
        <w:ind w:right="311" w:firstLine="419"/>
      </w:pPr>
      <w:r>
        <w:rPr>
          <w:spacing w:val="-11"/>
        </w:rPr>
        <w:t>基金合同生效后，在开始办理基金份额申购或者赎回前，基金管理人应当至少每周公告</w:t>
      </w:r>
      <w:r>
        <w:rPr>
          <w:spacing w:val="-6"/>
        </w:rPr>
        <w:t>一次基金资产净值和基金份额净值。</w:t>
      </w:r>
    </w:p>
    <w:p>
      <w:pPr>
        <w:pStyle w:val="BodyText"/>
        <w:spacing w:line="364" w:lineRule="auto"/>
        <w:ind w:right="311" w:firstLine="419"/>
      </w:pPr>
      <w:r>
        <w:rPr>
          <w:spacing w:val="-8"/>
        </w:rPr>
        <w:t>在开始办理基金份额申购或者赎回后，基金管理人应当在不晚于每个开放日的次日，通</w:t>
      </w:r>
      <w:r>
        <w:rPr>
          <w:spacing w:val="-13"/>
        </w:rPr>
        <w:t>过指定网站、基金销售机构网站或者营业网点披露开放日的基金份额净值和基金份额累计净</w:t>
      </w:r>
    </w:p>
    <w:p>
      <w:pPr>
        <w:spacing w:after="0" w:line="364" w:lineRule="auto"/>
        <w:sectPr>
          <w:pgSz w:w="11910" w:h="16840"/>
          <w:pgMar w:header="877" w:footer="1195" w:top="1380" w:bottom="1380" w:left="1680" w:right="1480"/>
        </w:sectPr>
      </w:pPr>
    </w:p>
    <w:p>
      <w:pPr>
        <w:pStyle w:val="BodyText"/>
        <w:spacing w:before="61"/>
      </w:pPr>
      <w:r>
        <w:rPr/>
        <w:t>值。</w:t>
      </w:r>
    </w:p>
    <w:p>
      <w:pPr>
        <w:pStyle w:val="BodyText"/>
        <w:spacing w:line="364" w:lineRule="auto" w:before="139"/>
        <w:ind w:right="311" w:firstLine="419"/>
      </w:pPr>
      <w:r>
        <w:rPr>
          <w:spacing w:val="-7"/>
        </w:rPr>
        <w:t>基金管理人应当在不晚于半年度和年度最后一日的次日，在指定网站披露半年度和年度</w:t>
      </w:r>
      <w:r>
        <w:rPr>
          <w:spacing w:val="-5"/>
        </w:rPr>
        <w:t>最后一日的基金份额净值和基金份额累计净值。</w:t>
      </w:r>
    </w:p>
    <w:p>
      <w:pPr>
        <w:pStyle w:val="BodyText"/>
        <w:ind w:left="0"/>
        <w:rPr>
          <w:sz w:val="20"/>
        </w:rPr>
      </w:pPr>
    </w:p>
    <w:p>
      <w:pPr>
        <w:pStyle w:val="BodyText"/>
        <w:spacing w:before="152"/>
        <w:ind w:left="540"/>
      </w:pPr>
      <w:r>
        <w:rPr/>
        <w:t>七、基金合同解除和终止的事由、程序以及基金财产的清算方式</w:t>
      </w:r>
    </w:p>
    <w:p>
      <w:pPr>
        <w:pStyle w:val="BodyText"/>
        <w:spacing w:before="139"/>
        <w:ind w:left="540"/>
      </w:pPr>
      <w:r>
        <w:rPr/>
        <w:t>（一</w:t>
      </w:r>
      <w:r>
        <w:rPr>
          <w:spacing w:val="-108"/>
        </w:rPr>
        <w:t>）</w:t>
      </w:r>
      <w:r>
        <w:rPr>
          <w:spacing w:val="-3"/>
        </w:rPr>
        <w:t>《基金合同》的变更</w:t>
      </w:r>
    </w:p>
    <w:p>
      <w:pPr>
        <w:pStyle w:val="BodyText"/>
        <w:spacing w:before="139"/>
        <w:ind w:left="540"/>
      </w:pPr>
      <w:r>
        <w:rPr/>
        <w:t>1、以下变更基金合同的事项应经基金份额持有人大会决议通过：</w:t>
      </w:r>
    </w:p>
    <w:p>
      <w:pPr>
        <w:pStyle w:val="ListParagraph"/>
        <w:numPr>
          <w:ilvl w:val="0"/>
          <w:numId w:val="49"/>
        </w:numPr>
        <w:tabs>
          <w:tab w:pos="1070" w:val="left" w:leader="none"/>
        </w:tabs>
        <w:spacing w:line="240" w:lineRule="auto" w:before="142" w:after="0"/>
        <w:ind w:left="1069" w:right="0" w:hanging="530"/>
        <w:jc w:val="left"/>
        <w:rPr>
          <w:sz w:val="21"/>
        </w:rPr>
      </w:pPr>
      <w:r>
        <w:rPr>
          <w:spacing w:val="-15"/>
          <w:sz w:val="21"/>
        </w:rPr>
        <w:t>终止《基金合同》；</w:t>
      </w:r>
    </w:p>
    <w:p>
      <w:pPr>
        <w:pStyle w:val="ListParagraph"/>
        <w:numPr>
          <w:ilvl w:val="0"/>
          <w:numId w:val="49"/>
        </w:numPr>
        <w:tabs>
          <w:tab w:pos="1070" w:val="left" w:leader="none"/>
        </w:tabs>
        <w:spacing w:line="240" w:lineRule="auto" w:before="139" w:after="0"/>
        <w:ind w:left="1069" w:right="0" w:hanging="530"/>
        <w:jc w:val="left"/>
        <w:rPr>
          <w:sz w:val="21"/>
        </w:rPr>
      </w:pPr>
      <w:r>
        <w:rPr>
          <w:spacing w:val="-3"/>
          <w:sz w:val="21"/>
        </w:rPr>
        <w:t>更换基金管理人；</w:t>
      </w:r>
    </w:p>
    <w:p>
      <w:pPr>
        <w:pStyle w:val="ListParagraph"/>
        <w:numPr>
          <w:ilvl w:val="0"/>
          <w:numId w:val="49"/>
        </w:numPr>
        <w:tabs>
          <w:tab w:pos="1070" w:val="left" w:leader="none"/>
        </w:tabs>
        <w:spacing w:line="240" w:lineRule="auto" w:before="139" w:after="0"/>
        <w:ind w:left="1069" w:right="0" w:hanging="530"/>
        <w:jc w:val="left"/>
        <w:rPr>
          <w:sz w:val="21"/>
        </w:rPr>
      </w:pPr>
      <w:r>
        <w:rPr>
          <w:spacing w:val="-3"/>
          <w:sz w:val="21"/>
        </w:rPr>
        <w:t>更换基金托管人；</w:t>
      </w:r>
    </w:p>
    <w:p>
      <w:pPr>
        <w:pStyle w:val="ListParagraph"/>
        <w:numPr>
          <w:ilvl w:val="0"/>
          <w:numId w:val="49"/>
        </w:numPr>
        <w:tabs>
          <w:tab w:pos="1070" w:val="left" w:leader="none"/>
        </w:tabs>
        <w:spacing w:line="240" w:lineRule="auto" w:before="139" w:after="0"/>
        <w:ind w:left="1069" w:right="0" w:hanging="530"/>
        <w:jc w:val="left"/>
        <w:rPr>
          <w:sz w:val="21"/>
        </w:rPr>
      </w:pPr>
      <w:r>
        <w:rPr>
          <w:spacing w:val="-3"/>
          <w:sz w:val="21"/>
        </w:rPr>
        <w:t>转换基金运作方式；</w:t>
      </w:r>
    </w:p>
    <w:p>
      <w:pPr>
        <w:pStyle w:val="ListParagraph"/>
        <w:numPr>
          <w:ilvl w:val="0"/>
          <w:numId w:val="49"/>
        </w:numPr>
        <w:tabs>
          <w:tab w:pos="1070" w:val="left" w:leader="none"/>
        </w:tabs>
        <w:spacing w:line="240" w:lineRule="auto" w:before="139" w:after="0"/>
        <w:ind w:left="1069" w:right="0" w:hanging="530"/>
        <w:jc w:val="left"/>
        <w:rPr>
          <w:sz w:val="21"/>
        </w:rPr>
      </w:pPr>
      <w:r>
        <w:rPr>
          <w:spacing w:val="-3"/>
          <w:sz w:val="21"/>
        </w:rPr>
        <w:t>提高基金管理人、基金托管人的报酬标准；</w:t>
      </w:r>
    </w:p>
    <w:p>
      <w:pPr>
        <w:pStyle w:val="ListParagraph"/>
        <w:numPr>
          <w:ilvl w:val="0"/>
          <w:numId w:val="49"/>
        </w:numPr>
        <w:tabs>
          <w:tab w:pos="1070" w:val="left" w:leader="none"/>
        </w:tabs>
        <w:spacing w:line="240" w:lineRule="auto" w:before="141" w:after="0"/>
        <w:ind w:left="1069" w:right="0" w:hanging="530"/>
        <w:jc w:val="left"/>
        <w:rPr>
          <w:sz w:val="21"/>
        </w:rPr>
      </w:pPr>
      <w:r>
        <w:rPr>
          <w:spacing w:val="-3"/>
          <w:sz w:val="21"/>
        </w:rPr>
        <w:t>变更基金类别；</w:t>
      </w:r>
    </w:p>
    <w:p>
      <w:pPr>
        <w:pStyle w:val="ListParagraph"/>
        <w:numPr>
          <w:ilvl w:val="0"/>
          <w:numId w:val="49"/>
        </w:numPr>
        <w:tabs>
          <w:tab w:pos="1070" w:val="left" w:leader="none"/>
        </w:tabs>
        <w:spacing w:line="240" w:lineRule="auto" w:before="139" w:after="0"/>
        <w:ind w:left="1069" w:right="0" w:hanging="530"/>
        <w:jc w:val="left"/>
        <w:rPr>
          <w:sz w:val="21"/>
        </w:rPr>
      </w:pPr>
      <w:r>
        <w:rPr>
          <w:spacing w:val="-3"/>
          <w:sz w:val="21"/>
        </w:rPr>
        <w:t>变更基金投资目标、范围或策略；</w:t>
      </w:r>
    </w:p>
    <w:p>
      <w:pPr>
        <w:pStyle w:val="ListParagraph"/>
        <w:numPr>
          <w:ilvl w:val="0"/>
          <w:numId w:val="49"/>
        </w:numPr>
        <w:tabs>
          <w:tab w:pos="1070" w:val="left" w:leader="none"/>
        </w:tabs>
        <w:spacing w:line="240" w:lineRule="auto" w:before="139" w:after="0"/>
        <w:ind w:left="1069" w:right="0" w:hanging="530"/>
        <w:jc w:val="left"/>
        <w:rPr>
          <w:sz w:val="21"/>
        </w:rPr>
      </w:pPr>
      <w:r>
        <w:rPr>
          <w:spacing w:val="-3"/>
          <w:sz w:val="21"/>
        </w:rPr>
        <w:t>变更基金份额持有人大会程序；</w:t>
      </w:r>
    </w:p>
    <w:p>
      <w:pPr>
        <w:pStyle w:val="ListParagraph"/>
        <w:numPr>
          <w:ilvl w:val="0"/>
          <w:numId w:val="49"/>
        </w:numPr>
        <w:tabs>
          <w:tab w:pos="1070" w:val="left" w:leader="none"/>
        </w:tabs>
        <w:spacing w:line="240" w:lineRule="auto" w:before="139" w:after="0"/>
        <w:ind w:left="1069" w:right="0" w:hanging="530"/>
        <w:jc w:val="left"/>
        <w:rPr>
          <w:sz w:val="21"/>
        </w:rPr>
      </w:pPr>
      <w:r>
        <w:rPr>
          <w:spacing w:val="-3"/>
          <w:sz w:val="21"/>
        </w:rPr>
        <w:t>对基金当事人权利和义务产生重大影响的事项；</w:t>
      </w:r>
    </w:p>
    <w:p>
      <w:pPr>
        <w:pStyle w:val="BodyText"/>
        <w:spacing w:line="364" w:lineRule="auto" w:before="139"/>
        <w:ind w:right="311" w:firstLine="419"/>
        <w:jc w:val="both"/>
      </w:pPr>
      <w:r>
        <w:rPr/>
        <w:t>2</w:t>
      </w:r>
      <w:r>
        <w:rPr>
          <w:spacing w:val="-3"/>
        </w:rPr>
        <w:t>、基金合同变更的内容对基金合同当事人权利、义务产生重大影响的，应经基金份额</w:t>
      </w:r>
      <w:r>
        <w:rPr>
          <w:spacing w:val="-9"/>
        </w:rPr>
        <w:t>持有人大会决议同意，并报中国证监会核准或备案。但如因相应的法律、法规发生变动并属</w:t>
      </w:r>
      <w:r>
        <w:rPr>
          <w:spacing w:val="-10"/>
        </w:rPr>
        <w:t>于基金合同必须遵照进行修改的情形，或者基金合同另有规定的，可不经基金份额持有人大</w:t>
      </w:r>
      <w:r>
        <w:rPr>
          <w:spacing w:val="-5"/>
        </w:rPr>
        <w:t>会决议，而经基金管理人和基金托管人同意后修改，并报证监会备案。</w:t>
      </w:r>
    </w:p>
    <w:p>
      <w:pPr>
        <w:pStyle w:val="BodyText"/>
        <w:spacing w:line="367" w:lineRule="auto"/>
        <w:ind w:right="314" w:firstLine="419"/>
      </w:pPr>
      <w:r>
        <w:rPr/>
        <w:t>3、依现行有效的有关法律法规，对《基金合同》的变更自中国证监会核准或出具无异议意见之日起生效。</w:t>
      </w:r>
    </w:p>
    <w:p>
      <w:pPr>
        <w:pStyle w:val="BodyText"/>
        <w:spacing w:line="364" w:lineRule="auto"/>
        <w:ind w:right="311" w:firstLine="419"/>
        <w:jc w:val="both"/>
      </w:pPr>
      <w:r>
        <w:rPr/>
        <w:t>4</w:t>
      </w:r>
      <w:r>
        <w:rPr>
          <w:spacing w:val="-8"/>
        </w:rPr>
        <w:t>、除依本《基金合同》和</w:t>
      </w:r>
      <w:r>
        <w:rPr/>
        <w:t>/</w:t>
      </w:r>
      <w:r>
        <w:rPr>
          <w:spacing w:val="-7"/>
        </w:rPr>
        <w:t>或依现行有效的有关法律法规，对《基金合同》的变更须基</w:t>
      </w:r>
      <w:r>
        <w:rPr>
          <w:spacing w:val="-4"/>
        </w:rPr>
        <w:t>金份额持有人大会决议通过和</w:t>
      </w:r>
      <w:r>
        <w:rPr/>
        <w:t>/</w:t>
      </w:r>
      <w:r>
        <w:rPr>
          <w:spacing w:val="-3"/>
        </w:rPr>
        <w:t>或须报中国证监会核准以外的情形，经基金管理人和基金托管人同意可对《基金合同》进行变更后公布，并报中国证监会备案。</w:t>
      </w:r>
    </w:p>
    <w:p>
      <w:pPr>
        <w:pStyle w:val="BodyText"/>
        <w:spacing w:line="267" w:lineRule="exact"/>
        <w:ind w:left="540"/>
      </w:pPr>
      <w:r>
        <w:rPr/>
        <w:t>（二</w:t>
      </w:r>
      <w:r>
        <w:rPr>
          <w:spacing w:val="-108"/>
        </w:rPr>
        <w:t>）</w:t>
      </w:r>
      <w:r>
        <w:rPr>
          <w:spacing w:val="-3"/>
        </w:rPr>
        <w:t>《基金合同》的终止</w:t>
      </w:r>
    </w:p>
    <w:p>
      <w:pPr>
        <w:pStyle w:val="BodyText"/>
        <w:spacing w:line="364" w:lineRule="auto" w:before="135"/>
        <w:ind w:left="540" w:right="4410"/>
      </w:pPr>
      <w:r>
        <w:rPr/>
        <w:t>有下列情形之一的，基金合同应当终止： 1、基金份额持有人大会决定终止的；</w:t>
      </w:r>
    </w:p>
    <w:p>
      <w:pPr>
        <w:pStyle w:val="BodyText"/>
        <w:spacing w:line="364" w:lineRule="auto"/>
        <w:ind w:right="311" w:firstLine="419"/>
      </w:pPr>
      <w:r>
        <w:rPr/>
        <w:t>2</w:t>
      </w:r>
      <w:r>
        <w:rPr>
          <w:spacing w:val="-9"/>
        </w:rPr>
        <w:t>、基金管理人、基金托管人职责终止，在 </w:t>
      </w:r>
      <w:r>
        <w:rPr/>
        <w:t>6</w:t>
      </w:r>
      <w:r>
        <w:rPr>
          <w:spacing w:val="-4"/>
        </w:rPr>
        <w:t> 个月内没有新基金管理人、新基金托管人</w:t>
      </w:r>
      <w:r>
        <w:rPr>
          <w:spacing w:val="-3"/>
        </w:rPr>
        <w:t>承接的；</w:t>
      </w:r>
    </w:p>
    <w:p>
      <w:pPr>
        <w:pStyle w:val="BodyText"/>
        <w:spacing w:line="267" w:lineRule="exact"/>
        <w:ind w:left="540"/>
      </w:pPr>
      <w:r>
        <w:rPr/>
        <w:t>3、《基金合同》约定的其他情形；</w:t>
      </w:r>
    </w:p>
    <w:p>
      <w:pPr>
        <w:pStyle w:val="BodyText"/>
        <w:spacing w:before="140"/>
        <w:ind w:left="540"/>
      </w:pPr>
      <w:r>
        <w:rPr/>
        <w:t>4、相关法律法规和中国证监会规定的其他情况。</w:t>
      </w:r>
    </w:p>
    <w:p>
      <w:pPr>
        <w:pStyle w:val="BodyText"/>
        <w:spacing w:before="139"/>
        <w:ind w:left="540"/>
      </w:pPr>
      <w:r>
        <w:rPr/>
        <w:t>（三）基金财产的清算</w:t>
      </w:r>
    </w:p>
    <w:p>
      <w:pPr>
        <w:pStyle w:val="BodyText"/>
        <w:spacing w:before="139"/>
        <w:ind w:left="540"/>
      </w:pPr>
      <w:r>
        <w:rPr/>
        <w:t>1、基金财产清算小组：自出现基金合同终止事由之日起 30 个工作日内成立清算小组，</w:t>
      </w:r>
    </w:p>
    <w:p>
      <w:pPr>
        <w:spacing w:after="0"/>
        <w:sectPr>
          <w:pgSz w:w="11910" w:h="16840"/>
          <w:pgMar w:header="877" w:footer="1195" w:top="1380" w:bottom="1380" w:left="1680" w:right="1480"/>
        </w:sectPr>
      </w:pPr>
    </w:p>
    <w:p>
      <w:pPr>
        <w:pStyle w:val="BodyText"/>
        <w:spacing w:before="61"/>
      </w:pPr>
      <w:r>
        <w:rPr/>
        <w:t>基金管理人组织基金财产清算小组并在中国证监会的监督下进行基金清算。</w:t>
      </w:r>
    </w:p>
    <w:p>
      <w:pPr>
        <w:pStyle w:val="BodyText"/>
        <w:spacing w:line="364" w:lineRule="auto" w:before="139"/>
        <w:ind w:right="311" w:firstLine="419"/>
        <w:jc w:val="both"/>
      </w:pPr>
      <w:r>
        <w:rPr/>
        <w:t>2</w:t>
      </w:r>
      <w:r>
        <w:rPr>
          <w:spacing w:val="-3"/>
        </w:rPr>
        <w:t>、基金财产清算小组组成：基金财产清算小组成员由基金管理人、基金托管人、具有</w:t>
      </w:r>
      <w:r>
        <w:rPr>
          <w:spacing w:val="-10"/>
        </w:rPr>
        <w:t>从事证券、期货相关业务资格的注册会计师、律师以及中国证监会指定的人员组成。基金财</w:t>
      </w:r>
      <w:r>
        <w:rPr>
          <w:spacing w:val="-5"/>
        </w:rPr>
        <w:t>产清算小组可以聘用必要的工作人员。</w:t>
      </w:r>
    </w:p>
    <w:p>
      <w:pPr>
        <w:pStyle w:val="BodyText"/>
        <w:spacing w:line="364" w:lineRule="auto"/>
        <w:ind w:right="313" w:firstLine="419"/>
      </w:pPr>
      <w:r>
        <w:rPr/>
        <w:t>3、基金财产清算小组职责：基金财产清算小组负责基金财产的保管、清理、估价、变现和分配。基金财产清算小组可以依法进行必要的民事活动。</w:t>
      </w:r>
    </w:p>
    <w:p>
      <w:pPr>
        <w:pStyle w:val="BodyText"/>
        <w:spacing w:line="267" w:lineRule="exact"/>
        <w:ind w:left="540"/>
      </w:pPr>
      <w:r>
        <w:rPr/>
        <w:t>4、基金财产清算程序：</w:t>
      </w:r>
    </w:p>
    <w:p>
      <w:pPr>
        <w:pStyle w:val="ListParagraph"/>
        <w:numPr>
          <w:ilvl w:val="0"/>
          <w:numId w:val="50"/>
        </w:numPr>
        <w:tabs>
          <w:tab w:pos="1070" w:val="left" w:leader="none"/>
        </w:tabs>
        <w:spacing w:line="240" w:lineRule="auto" w:before="141" w:after="0"/>
        <w:ind w:left="1069" w:right="0" w:hanging="530"/>
        <w:jc w:val="left"/>
        <w:rPr>
          <w:sz w:val="21"/>
        </w:rPr>
      </w:pPr>
      <w:r>
        <w:rPr>
          <w:spacing w:val="-3"/>
          <w:sz w:val="21"/>
        </w:rPr>
        <w:t>基金合同终止后，由基金财产清算小组统一接管基金；</w:t>
      </w:r>
    </w:p>
    <w:p>
      <w:pPr>
        <w:pStyle w:val="ListParagraph"/>
        <w:numPr>
          <w:ilvl w:val="0"/>
          <w:numId w:val="50"/>
        </w:numPr>
        <w:tabs>
          <w:tab w:pos="1070" w:val="left" w:leader="none"/>
        </w:tabs>
        <w:spacing w:line="240" w:lineRule="auto" w:before="139" w:after="0"/>
        <w:ind w:left="1069" w:right="0" w:hanging="530"/>
        <w:jc w:val="left"/>
        <w:rPr>
          <w:sz w:val="21"/>
        </w:rPr>
      </w:pPr>
      <w:r>
        <w:rPr>
          <w:spacing w:val="-3"/>
          <w:sz w:val="21"/>
        </w:rPr>
        <w:t>对基金财产和债权债务进行清理和确认；</w:t>
      </w:r>
    </w:p>
    <w:p>
      <w:pPr>
        <w:pStyle w:val="ListParagraph"/>
        <w:numPr>
          <w:ilvl w:val="0"/>
          <w:numId w:val="50"/>
        </w:numPr>
        <w:tabs>
          <w:tab w:pos="1070" w:val="left" w:leader="none"/>
        </w:tabs>
        <w:spacing w:line="240" w:lineRule="auto" w:before="139" w:after="0"/>
        <w:ind w:left="1069" w:right="0" w:hanging="530"/>
        <w:jc w:val="left"/>
        <w:rPr>
          <w:sz w:val="21"/>
        </w:rPr>
      </w:pPr>
      <w:r>
        <w:rPr>
          <w:spacing w:val="-3"/>
          <w:sz w:val="21"/>
        </w:rPr>
        <w:t>对基金财产进行估值和变现；</w:t>
      </w:r>
    </w:p>
    <w:p>
      <w:pPr>
        <w:pStyle w:val="ListParagraph"/>
        <w:numPr>
          <w:ilvl w:val="0"/>
          <w:numId w:val="50"/>
        </w:numPr>
        <w:tabs>
          <w:tab w:pos="1070" w:val="left" w:leader="none"/>
        </w:tabs>
        <w:spacing w:line="240" w:lineRule="auto" w:before="139" w:after="0"/>
        <w:ind w:left="1069" w:right="0" w:hanging="530"/>
        <w:jc w:val="left"/>
        <w:rPr>
          <w:sz w:val="21"/>
        </w:rPr>
      </w:pPr>
      <w:r>
        <w:rPr>
          <w:spacing w:val="-3"/>
          <w:sz w:val="21"/>
        </w:rPr>
        <w:t>对基金财产进行分配；</w:t>
      </w:r>
    </w:p>
    <w:p>
      <w:pPr>
        <w:pStyle w:val="ListParagraph"/>
        <w:numPr>
          <w:ilvl w:val="0"/>
          <w:numId w:val="50"/>
        </w:numPr>
        <w:tabs>
          <w:tab w:pos="1070" w:val="left" w:leader="none"/>
        </w:tabs>
        <w:spacing w:line="240" w:lineRule="auto" w:before="139" w:after="0"/>
        <w:ind w:left="1069" w:right="0" w:hanging="530"/>
        <w:jc w:val="left"/>
        <w:rPr>
          <w:sz w:val="21"/>
        </w:rPr>
      </w:pPr>
      <w:r>
        <w:rPr>
          <w:spacing w:val="-3"/>
          <w:sz w:val="21"/>
        </w:rPr>
        <w:t>制作清算报告；</w:t>
      </w:r>
    </w:p>
    <w:p>
      <w:pPr>
        <w:pStyle w:val="ListParagraph"/>
        <w:numPr>
          <w:ilvl w:val="0"/>
          <w:numId w:val="50"/>
        </w:numPr>
        <w:tabs>
          <w:tab w:pos="1070" w:val="left" w:leader="none"/>
        </w:tabs>
        <w:spacing w:line="364" w:lineRule="auto" w:before="142" w:after="0"/>
        <w:ind w:left="120" w:right="314" w:firstLine="419"/>
        <w:jc w:val="left"/>
        <w:rPr>
          <w:sz w:val="21"/>
        </w:rPr>
      </w:pPr>
      <w:r>
        <w:rPr>
          <w:spacing w:val="-3"/>
          <w:sz w:val="21"/>
        </w:rPr>
        <w:t>聘请会计师事务所对清算报告进行外部审计，聘请律师事务所对清算报告出具法律意见书；</w:t>
      </w:r>
    </w:p>
    <w:p>
      <w:pPr>
        <w:pStyle w:val="ListParagraph"/>
        <w:numPr>
          <w:ilvl w:val="0"/>
          <w:numId w:val="50"/>
        </w:numPr>
        <w:tabs>
          <w:tab w:pos="1070" w:val="left" w:leader="none"/>
        </w:tabs>
        <w:spacing w:line="364" w:lineRule="auto" w:before="0" w:after="0"/>
        <w:ind w:left="540" w:right="4106" w:firstLine="0"/>
        <w:jc w:val="left"/>
        <w:rPr>
          <w:sz w:val="21"/>
        </w:rPr>
      </w:pPr>
      <w:r>
        <w:rPr>
          <w:spacing w:val="-4"/>
          <w:sz w:val="21"/>
        </w:rPr>
        <w:t>将清算报告报中国证监会备案并公告。</w:t>
      </w:r>
      <w:r>
        <w:rPr>
          <w:sz w:val="21"/>
        </w:rPr>
        <w:t>5</w:t>
      </w:r>
      <w:r>
        <w:rPr>
          <w:spacing w:val="-3"/>
          <w:sz w:val="21"/>
        </w:rPr>
        <w:t>、基金财产清算的期限为 </w:t>
      </w:r>
      <w:r>
        <w:rPr>
          <w:sz w:val="21"/>
        </w:rPr>
        <w:t>6</w:t>
      </w:r>
      <w:r>
        <w:rPr>
          <w:spacing w:val="-1"/>
          <w:sz w:val="21"/>
        </w:rPr>
        <w:t> 个月。</w:t>
      </w:r>
    </w:p>
    <w:p>
      <w:pPr>
        <w:pStyle w:val="BodyText"/>
        <w:spacing w:line="268" w:lineRule="exact"/>
        <w:ind w:left="540"/>
      </w:pPr>
      <w:r>
        <w:rPr/>
        <w:t>6、清算费用</w:t>
      </w:r>
    </w:p>
    <w:p>
      <w:pPr>
        <w:pStyle w:val="BodyText"/>
        <w:spacing w:line="364" w:lineRule="auto" w:before="139"/>
        <w:ind w:right="311" w:firstLine="419"/>
      </w:pPr>
      <w:r>
        <w:rPr>
          <w:spacing w:val="-6"/>
        </w:rPr>
        <w:t>清算费用是指基金财产清算小组在进行基金清算过程中发生的所有合理费用，清算费用</w:t>
      </w:r>
      <w:r>
        <w:rPr>
          <w:spacing w:val="-4"/>
        </w:rPr>
        <w:t>由基金财产清算小组优先从基金财产中支付。</w:t>
      </w:r>
    </w:p>
    <w:p>
      <w:pPr>
        <w:pStyle w:val="BodyText"/>
        <w:spacing w:line="267" w:lineRule="exact"/>
        <w:ind w:left="540"/>
      </w:pPr>
      <w:r>
        <w:rPr/>
        <w:t>7、基金财产清算剩余资产的分配</w:t>
      </w:r>
    </w:p>
    <w:p>
      <w:pPr>
        <w:pStyle w:val="BodyText"/>
        <w:spacing w:line="367" w:lineRule="auto" w:before="139"/>
        <w:ind w:right="311" w:firstLine="419"/>
      </w:pPr>
      <w:r>
        <w:rPr>
          <w:spacing w:val="-10"/>
        </w:rPr>
        <w:t>依据基金财产清算的分配方案，将基金财产清算后的全部剩余资产扣除基金财产清算费</w:t>
      </w:r>
      <w:r>
        <w:rPr>
          <w:spacing w:val="-5"/>
        </w:rPr>
        <w:t>用后，按基金份额持有人持有的基金份额比例进行分配。</w:t>
      </w:r>
    </w:p>
    <w:p>
      <w:pPr>
        <w:pStyle w:val="BodyText"/>
        <w:spacing w:line="264" w:lineRule="exact"/>
        <w:ind w:left="540"/>
      </w:pPr>
      <w:r>
        <w:rPr/>
        <w:t>8、基金财产清算的公告</w:t>
      </w:r>
    </w:p>
    <w:p>
      <w:pPr>
        <w:pStyle w:val="BodyText"/>
        <w:spacing w:line="364" w:lineRule="auto" w:before="139"/>
        <w:ind w:right="311" w:firstLine="419"/>
        <w:jc w:val="both"/>
      </w:pPr>
      <w:r>
        <w:rPr>
          <w:spacing w:val="-3"/>
        </w:rPr>
        <w:t>基金财产清算报告在《基金合同》终止并报中国证监会备案后 </w:t>
      </w:r>
      <w:r>
        <w:rPr/>
        <w:t>5</w:t>
      </w:r>
      <w:r>
        <w:rPr>
          <w:spacing w:val="-1"/>
        </w:rPr>
        <w:t> 个工作日内由基金财</w:t>
      </w:r>
      <w:r>
        <w:rPr>
          <w:spacing w:val="-11"/>
        </w:rPr>
        <w:t>产清算小组公告，基金财产清算小组应当将清算报告登载在指定网站上，并将清算报告提示</w:t>
      </w:r>
      <w:r>
        <w:rPr>
          <w:spacing w:val="-12"/>
        </w:rPr>
        <w:t>性公告登载在指定报刊上；清算过程中的有关重大事项须及时公告；基金财产清算报告经具</w:t>
      </w:r>
      <w:r>
        <w:rPr>
          <w:spacing w:val="-13"/>
        </w:rPr>
        <w:t>有证券、期货相关业务资格的会计师事务所审计并由律师事务所出具法律意见书后报中国证</w:t>
      </w:r>
      <w:r>
        <w:rPr>
          <w:spacing w:val="-6"/>
        </w:rPr>
        <w:t>监会备案并公告。</w:t>
      </w:r>
    </w:p>
    <w:p>
      <w:pPr>
        <w:pStyle w:val="BodyText"/>
        <w:spacing w:line="267" w:lineRule="exact"/>
        <w:ind w:left="540"/>
      </w:pPr>
      <w:r>
        <w:rPr/>
        <w:t>9、基金财产清算账册及文件的保存</w:t>
      </w:r>
    </w:p>
    <w:p>
      <w:pPr>
        <w:pStyle w:val="BodyText"/>
        <w:spacing w:before="139"/>
        <w:ind w:left="540"/>
      </w:pPr>
      <w:r>
        <w:rPr/>
        <w:t>基金财产清算账册及有关文件由基金托管人保存 15 年以上。</w:t>
      </w:r>
    </w:p>
    <w:p>
      <w:pPr>
        <w:pStyle w:val="BodyText"/>
        <w:ind w:left="0"/>
        <w:rPr>
          <w:sz w:val="20"/>
        </w:rPr>
      </w:pPr>
    </w:p>
    <w:p>
      <w:pPr>
        <w:pStyle w:val="BodyText"/>
        <w:spacing w:before="11"/>
        <w:ind w:left="0"/>
        <w:rPr>
          <w:sz w:val="22"/>
        </w:rPr>
      </w:pPr>
    </w:p>
    <w:p>
      <w:pPr>
        <w:pStyle w:val="BodyText"/>
        <w:ind w:left="540"/>
      </w:pPr>
      <w:r>
        <w:rPr/>
        <w:t>八、争议解决方式</w:t>
      </w:r>
    </w:p>
    <w:p>
      <w:pPr>
        <w:pStyle w:val="BodyText"/>
        <w:spacing w:line="364" w:lineRule="auto" w:before="139"/>
        <w:ind w:right="311" w:firstLine="419"/>
      </w:pPr>
      <w:r>
        <w:rPr>
          <w:spacing w:val="-11"/>
        </w:rPr>
        <w:t>各方当事人同意，因《基金合同》而产生的或与《基金合同》有关的一切争议，如经友</w:t>
      </w:r>
      <w:r>
        <w:rPr>
          <w:spacing w:val="-13"/>
        </w:rPr>
        <w:t>好协商未能解决的，应提交中国国际经济贸易仲裁委员会根据该会当时有效的仲裁规则进行</w:t>
      </w:r>
    </w:p>
    <w:p>
      <w:pPr>
        <w:spacing w:after="0" w:line="364" w:lineRule="auto"/>
        <w:sectPr>
          <w:pgSz w:w="11910" w:h="16840"/>
          <w:pgMar w:header="877" w:footer="1195" w:top="1380" w:bottom="1380" w:left="1680" w:right="1480"/>
        </w:sectPr>
      </w:pPr>
    </w:p>
    <w:p>
      <w:pPr>
        <w:pStyle w:val="BodyText"/>
        <w:spacing w:line="364" w:lineRule="auto" w:before="61"/>
        <w:ind w:right="311"/>
      </w:pPr>
      <w:r>
        <w:rPr>
          <w:spacing w:val="-11"/>
        </w:rPr>
        <w:t>仲裁，仲裁的地点在北京，仲裁裁决是终局性的并对各方当事人具有约束力，仲裁费由败诉</w:t>
      </w:r>
      <w:r>
        <w:rPr>
          <w:spacing w:val="-7"/>
        </w:rPr>
        <w:t>方承担。</w:t>
      </w:r>
    </w:p>
    <w:p>
      <w:pPr>
        <w:pStyle w:val="BodyText"/>
        <w:spacing w:line="267" w:lineRule="exact"/>
        <w:ind w:left="540"/>
      </w:pPr>
      <w:r>
        <w:rPr/>
        <w:t>本《基金合同》受中国法律管辖。</w:t>
      </w:r>
    </w:p>
    <w:p>
      <w:pPr>
        <w:pStyle w:val="BodyText"/>
        <w:ind w:left="0"/>
        <w:rPr>
          <w:sz w:val="20"/>
        </w:rPr>
      </w:pPr>
    </w:p>
    <w:p>
      <w:pPr>
        <w:pStyle w:val="BodyText"/>
        <w:spacing w:before="11"/>
        <w:ind w:left="0"/>
        <w:rPr>
          <w:sz w:val="22"/>
        </w:rPr>
      </w:pPr>
    </w:p>
    <w:p>
      <w:pPr>
        <w:pStyle w:val="BodyText"/>
        <w:ind w:left="540"/>
      </w:pPr>
      <w:r>
        <w:rPr/>
        <w:t>九、基金合同存放地和投资者取得合同的方式</w:t>
      </w:r>
    </w:p>
    <w:p>
      <w:pPr>
        <w:pStyle w:val="BodyText"/>
        <w:spacing w:line="364" w:lineRule="auto" w:before="139"/>
        <w:ind w:right="311" w:firstLine="419"/>
        <w:jc w:val="both"/>
      </w:pPr>
      <w:r>
        <w:rPr>
          <w:spacing w:val="-10"/>
        </w:rPr>
        <w:t>《基金合同》可印制成册，供投资者在基金管理人、基金托管人、代销机构的办公场所</w:t>
      </w:r>
      <w:r>
        <w:rPr>
          <w:spacing w:val="-11"/>
        </w:rPr>
        <w:t>和营业场所查阅；投资者也可按工本费购买《基金合同》复制件或复印件，但内容应以本基</w:t>
      </w:r>
      <w:r>
        <w:rPr>
          <w:spacing w:val="-6"/>
        </w:rPr>
        <w:t>金合同正本为准。</w:t>
      </w:r>
    </w:p>
    <w:p>
      <w:pPr>
        <w:pStyle w:val="BodyText"/>
        <w:ind w:left="0"/>
        <w:rPr>
          <w:sz w:val="20"/>
        </w:rPr>
      </w:pPr>
    </w:p>
    <w:p>
      <w:pPr>
        <w:pStyle w:val="BodyText"/>
        <w:spacing w:before="6"/>
        <w:ind w:left="0"/>
        <w:rPr>
          <w:sz w:val="22"/>
        </w:rPr>
      </w:pPr>
    </w:p>
    <w:p>
      <w:pPr>
        <w:pStyle w:val="Heading1"/>
      </w:pPr>
      <w:bookmarkStart w:name="_bookmark22" w:id="23"/>
      <w:bookmarkEnd w:id="23"/>
      <w:r>
        <w:rPr/>
      </w:r>
      <w:r>
        <w:rPr/>
        <w:t>二十三、其他事项</w:t>
      </w:r>
    </w:p>
    <w:p>
      <w:pPr>
        <w:pStyle w:val="BodyText"/>
        <w:spacing w:before="10"/>
        <w:ind w:left="0"/>
        <w:rPr>
          <w:rFonts w:ascii="黑体"/>
          <w:sz w:val="27"/>
        </w:rPr>
      </w:pPr>
    </w:p>
    <w:p>
      <w:pPr>
        <w:pStyle w:val="BodyText"/>
        <w:ind w:left="540"/>
      </w:pPr>
      <w:r>
        <w:rPr/>
        <w:t>本《基金合同》如有未尽事宜，由本《基金合同》当事人各方按有关法律法规协商解决。</w:t>
      </w:r>
    </w:p>
    <w:p>
      <w:pPr>
        <w:spacing w:after="0"/>
        <w:sectPr>
          <w:pgSz w:w="11910" w:h="16840"/>
          <w:pgMar w:header="877" w:footer="1195" w:top="1380" w:bottom="1380" w:left="1680" w:right="1480"/>
        </w:sectPr>
      </w:pPr>
    </w:p>
    <w:p>
      <w:pPr>
        <w:pStyle w:val="BodyText"/>
        <w:spacing w:before="7"/>
        <w:ind w:left="0"/>
        <w:rPr>
          <w:sz w:val="23"/>
        </w:rPr>
      </w:pPr>
    </w:p>
    <w:p>
      <w:pPr>
        <w:pStyle w:val="BodyText"/>
        <w:spacing w:before="72"/>
        <w:ind w:left="540"/>
      </w:pPr>
      <w:r>
        <w:rPr/>
        <w:t>（本页无正文，为《景顺长城新兴成长混合型证券投资基金基金合同》签字页）</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26"/>
        </w:rPr>
      </w:pPr>
    </w:p>
    <w:p>
      <w:pPr>
        <w:pStyle w:val="BodyText"/>
        <w:ind w:left="540"/>
      </w:pPr>
      <w:r>
        <w:rPr/>
        <w:t>《基金合同》当事人盖章及法定代表人或授权代表签字、签订地、签订日</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18"/>
        </w:rPr>
      </w:pPr>
    </w:p>
    <w:p>
      <w:pPr>
        <w:pStyle w:val="BodyText"/>
        <w:spacing w:before="1"/>
        <w:ind w:left="540"/>
      </w:pPr>
      <w:r>
        <w:rPr/>
        <w:t>基金管理人：景顺长城基金管理有限公司（章）</w:t>
      </w: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4"/>
        </w:rPr>
      </w:pPr>
    </w:p>
    <w:p>
      <w:pPr>
        <w:pStyle w:val="BodyText"/>
        <w:ind w:left="540"/>
      </w:pPr>
      <w:r>
        <w:rPr>
          <w:spacing w:val="-2"/>
          <w:w w:val="100"/>
        </w:rPr>
        <w:t>法定代表人</w:t>
      </w:r>
      <w:r>
        <w:rPr>
          <w:w w:val="100"/>
        </w:rPr>
        <w:t>（</w:t>
      </w:r>
      <w:r>
        <w:rPr>
          <w:spacing w:val="-2"/>
          <w:w w:val="100"/>
        </w:rPr>
        <w:t>签字</w:t>
      </w:r>
      <w:r>
        <w:rPr>
          <w:spacing w:val="-108"/>
          <w:w w:val="100"/>
        </w:rPr>
        <w:t>）</w:t>
      </w:r>
      <w:r>
        <w:rPr>
          <w:w w:val="100"/>
        </w:rPr>
        <w:t>：</w:t>
      </w: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14"/>
        </w:rPr>
      </w:pPr>
    </w:p>
    <w:p>
      <w:pPr>
        <w:pStyle w:val="BodyText"/>
        <w:spacing w:before="1"/>
        <w:ind w:left="540"/>
      </w:pPr>
      <w:r>
        <w:rPr/>
        <w:t>基金托管人：中国工商银行股份有限公司（章）</w:t>
      </w: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4"/>
        </w:rPr>
      </w:pPr>
    </w:p>
    <w:p>
      <w:pPr>
        <w:pStyle w:val="BodyText"/>
        <w:ind w:left="540"/>
      </w:pPr>
      <w:r>
        <w:rPr>
          <w:spacing w:val="-3"/>
          <w:w w:val="100"/>
        </w:rPr>
        <w:t>法定代表人(或授权代表)</w:t>
      </w:r>
      <w:r>
        <w:rPr>
          <w:w w:val="100"/>
        </w:rPr>
        <w:t>（</w:t>
      </w:r>
      <w:r>
        <w:rPr>
          <w:spacing w:val="-2"/>
          <w:w w:val="100"/>
        </w:rPr>
        <w:t>签字</w:t>
      </w:r>
      <w:r>
        <w:rPr>
          <w:spacing w:val="-106"/>
          <w:w w:val="100"/>
        </w:rPr>
        <w:t>）</w:t>
      </w:r>
      <w:r>
        <w:rPr>
          <w:w w:val="100"/>
        </w:rPr>
        <w:t>：</w:t>
      </w:r>
    </w:p>
    <w:p>
      <w:pPr>
        <w:pStyle w:val="BodyText"/>
        <w:ind w:left="0"/>
        <w:rPr>
          <w:sz w:val="20"/>
        </w:rPr>
      </w:pPr>
    </w:p>
    <w:p>
      <w:pPr>
        <w:pStyle w:val="BodyText"/>
        <w:spacing w:before="9"/>
        <w:ind w:left="0"/>
        <w:rPr>
          <w:sz w:val="22"/>
        </w:rPr>
      </w:pPr>
    </w:p>
    <w:p>
      <w:pPr>
        <w:pStyle w:val="BodyText"/>
        <w:ind w:left="540"/>
      </w:pPr>
      <w:r>
        <w:rPr/>
        <w:t>签字地：</w:t>
      </w:r>
    </w:p>
    <w:p>
      <w:pPr>
        <w:pStyle w:val="BodyText"/>
        <w:tabs>
          <w:tab w:pos="2326" w:val="left" w:leader="none"/>
          <w:tab w:pos="3060" w:val="left" w:leader="none"/>
          <w:tab w:pos="3692" w:val="left" w:leader="none"/>
        </w:tabs>
        <w:spacing w:before="141"/>
        <w:ind w:left="540"/>
      </w:pPr>
      <w:r>
        <w:rPr/>
        <w:t>签字</w:t>
      </w:r>
      <w:r>
        <w:rPr>
          <w:spacing w:val="-3"/>
        </w:rPr>
        <w:t>日</w:t>
      </w:r>
      <w:r>
        <w:rPr/>
        <w:t>：</w:t>
        <w:tab/>
        <w:t>年</w:t>
        <w:tab/>
        <w:t>月</w:t>
        <w:tab/>
        <w:t>日</w:t>
      </w:r>
    </w:p>
    <w:sectPr>
      <w:pgSz w:w="11910" w:h="16840"/>
      <w:pgMar w:header="877" w:footer="1195" w:top="1380" w:bottom="1380" w:left="16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Calibri">
    <w:altName w:val="Calibri"/>
    <w:charset w:val="0"/>
    <w:family w:val="swiss"/>
    <w:pitch w:val="variable"/>
  </w:font>
  <w:font w:name="宋体">
    <w:altName w:val="宋体"/>
    <w:charset w:val="86"/>
    <w:family w:val="auto"/>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1.089996pt;margin-top:771.169983pt;width:13.15pt;height:11pt;mso-position-horizontal-relative:page;mso-position-vertical-relative:page;z-index:-253553664" type="#_x0000_t202" filled="false" stroked="false">
          <v:textbox inset="0,0,0,0">
            <w:txbxContent>
              <w:p>
                <w:pPr>
                  <w:spacing w:line="203" w:lineRule="exact" w:before="0"/>
                  <w:ind w:left="4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253555712" from="88.584pt,55.559982pt" to="506.854pt,55.559982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02.210007pt;margin-top:42.865608pt;width:191.05pt;height:11pt;mso-position-horizontal-relative:page;mso-position-vertical-relative:page;z-index:-253554688" type="#_x0000_t202" filled="false" stroked="false">
          <v:textbox inset="0,0,0,0">
            <w:txbxContent>
              <w:p>
                <w:pPr>
                  <w:spacing w:line="220" w:lineRule="exact" w:before="0"/>
                  <w:ind w:left="20" w:right="0" w:firstLine="0"/>
                  <w:jc w:val="left"/>
                  <w:rPr>
                    <w:sz w:val="18"/>
                  </w:rPr>
                </w:pPr>
                <w:r>
                  <w:rPr>
                    <w:sz w:val="18"/>
                  </w:rPr>
                  <w:t>景顺长城新兴成长混合型证券投资基金基金合同</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9">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8">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7">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6">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5">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44">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3">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42">
    <w:multiLevelType w:val="hybridMultilevel"/>
    <w:lvl w:ilvl="0">
      <w:start w:val="1"/>
      <w:numFmt w:val="decimal"/>
      <w:lvlText w:val="（%1）"/>
      <w:lvlJc w:val="left"/>
      <w:pPr>
        <w:ind w:left="120" w:hanging="529"/>
        <w:jc w:val="left"/>
      </w:pPr>
      <w:rPr>
        <w:rFonts w:hint="default" w:ascii="宋体" w:hAnsi="宋体" w:eastAsia="宋体" w:cs="宋体"/>
        <w:spacing w:val="-27"/>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41">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40">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9">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8">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7">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6">
    <w:multiLevelType w:val="hybridMultilevel"/>
    <w:lvl w:ilvl="0">
      <w:start w:val="1"/>
      <w:numFmt w:val="decimal"/>
      <w:lvlText w:val="（%1）"/>
      <w:lvlJc w:val="left"/>
      <w:pPr>
        <w:ind w:left="1069" w:hanging="529"/>
        <w:jc w:val="left"/>
      </w:pPr>
      <w:rPr>
        <w:rFonts w:hint="default" w:ascii="宋体" w:hAnsi="宋体" w:eastAsia="宋体" w:cs="宋体"/>
        <w:spacing w:val="-51"/>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5">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4">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3">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2">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1">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0">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9">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8">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7">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6">
    <w:multiLevelType w:val="hybridMultilevel"/>
    <w:lvl w:ilvl="0">
      <w:start w:val="1"/>
      <w:numFmt w:val="decimal"/>
      <w:lvlText w:val="（%1）"/>
      <w:lvlJc w:val="left"/>
      <w:pPr>
        <w:ind w:left="120" w:hanging="529"/>
        <w:jc w:val="left"/>
      </w:pPr>
      <w:rPr>
        <w:rFonts w:hint="default" w:ascii="宋体" w:hAnsi="宋体" w:eastAsia="宋体" w:cs="宋体"/>
        <w:spacing w:val="-27"/>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5">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4">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3">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2">
    <w:multiLevelType w:val="hybridMultilevel"/>
    <w:lvl w:ilvl="0">
      <w:start w:val="1"/>
      <w:numFmt w:val="lowerRoman"/>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21">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1"/>
      <w:numFmt w:val="lowerRoman"/>
      <w:lvlText w:val="（%2）"/>
      <w:lvlJc w:val="left"/>
      <w:pPr>
        <w:ind w:left="1069" w:hanging="529"/>
        <w:jc w:val="left"/>
      </w:pPr>
      <w:rPr>
        <w:rFonts w:hint="default" w:ascii="宋体" w:hAnsi="宋体" w:eastAsia="宋体" w:cs="宋体"/>
        <w:spacing w:val="-3"/>
        <w:w w:val="100"/>
        <w:sz w:val="19"/>
        <w:szCs w:val="19"/>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0">
    <w:multiLevelType w:val="hybridMultilevel"/>
    <w:lvl w:ilvl="0">
      <w:start w:val="1"/>
      <w:numFmt w:val="lowerRoman"/>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9">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1"/>
      <w:numFmt w:val="lowerRoman"/>
      <w:lvlText w:val="（%2）"/>
      <w:lvlJc w:val="left"/>
      <w:pPr>
        <w:ind w:left="1069" w:hanging="529"/>
        <w:jc w:val="left"/>
      </w:pPr>
      <w:rPr>
        <w:rFonts w:hint="default" w:ascii="宋体" w:hAnsi="宋体" w:eastAsia="宋体" w:cs="宋体"/>
        <w:spacing w:val="-3"/>
        <w:w w:val="100"/>
        <w:sz w:val="19"/>
        <w:szCs w:val="19"/>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18">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17">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16">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5">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1"/>
      <w:numFmt w:val="lowerRoman"/>
      <w:lvlText w:val="（%2）"/>
      <w:lvlJc w:val="left"/>
      <w:pPr>
        <w:ind w:left="1069" w:hanging="529"/>
        <w:jc w:val="left"/>
      </w:pPr>
      <w:rPr>
        <w:rFonts w:hint="default" w:ascii="宋体" w:hAnsi="宋体" w:eastAsia="宋体" w:cs="宋体"/>
        <w:spacing w:val="-3"/>
        <w:w w:val="100"/>
        <w:sz w:val="19"/>
        <w:szCs w:val="19"/>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14">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3">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12">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1">
    <w:multiLevelType w:val="hybridMultilevel"/>
    <w:lvl w:ilvl="0">
      <w:start w:val="1"/>
      <w:numFmt w:val="decimal"/>
      <w:lvlText w:val="（%1）"/>
      <w:lvlJc w:val="left"/>
      <w:pPr>
        <w:ind w:left="120" w:hanging="529"/>
        <w:jc w:val="left"/>
      </w:pPr>
      <w:rPr>
        <w:rFonts w:hint="default" w:ascii="宋体" w:hAnsi="宋体" w:eastAsia="宋体" w:cs="宋体"/>
        <w:spacing w:val="-27"/>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10">
    <w:multiLevelType w:val="hybridMultilevel"/>
    <w:lvl w:ilvl="0">
      <w:start w:val="1"/>
      <w:numFmt w:val="decimal"/>
      <w:lvlText w:val="（%1）"/>
      <w:lvlJc w:val="left"/>
      <w:pPr>
        <w:ind w:left="120"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82" w:hanging="529"/>
      </w:pPr>
      <w:rPr>
        <w:rFonts w:hint="default"/>
        <w:lang w:val="zh-CN" w:eastAsia="zh-CN" w:bidi="zh-CN"/>
      </w:rPr>
    </w:lvl>
    <w:lvl w:ilvl="2">
      <w:start w:val="0"/>
      <w:numFmt w:val="bullet"/>
      <w:lvlText w:val="•"/>
      <w:lvlJc w:val="left"/>
      <w:pPr>
        <w:ind w:left="1845" w:hanging="529"/>
      </w:pPr>
      <w:rPr>
        <w:rFonts w:hint="default"/>
        <w:lang w:val="zh-CN" w:eastAsia="zh-CN" w:bidi="zh-CN"/>
      </w:rPr>
    </w:lvl>
    <w:lvl w:ilvl="3">
      <w:start w:val="0"/>
      <w:numFmt w:val="bullet"/>
      <w:lvlText w:val="•"/>
      <w:lvlJc w:val="left"/>
      <w:pPr>
        <w:ind w:left="2707" w:hanging="529"/>
      </w:pPr>
      <w:rPr>
        <w:rFonts w:hint="default"/>
        <w:lang w:val="zh-CN" w:eastAsia="zh-CN" w:bidi="zh-CN"/>
      </w:rPr>
    </w:lvl>
    <w:lvl w:ilvl="4">
      <w:start w:val="0"/>
      <w:numFmt w:val="bullet"/>
      <w:lvlText w:val="•"/>
      <w:lvlJc w:val="left"/>
      <w:pPr>
        <w:ind w:left="3570" w:hanging="529"/>
      </w:pPr>
      <w:rPr>
        <w:rFonts w:hint="default"/>
        <w:lang w:val="zh-CN" w:eastAsia="zh-CN" w:bidi="zh-CN"/>
      </w:rPr>
    </w:lvl>
    <w:lvl w:ilvl="5">
      <w:start w:val="0"/>
      <w:numFmt w:val="bullet"/>
      <w:lvlText w:val="•"/>
      <w:lvlJc w:val="left"/>
      <w:pPr>
        <w:ind w:left="4433" w:hanging="529"/>
      </w:pPr>
      <w:rPr>
        <w:rFonts w:hint="default"/>
        <w:lang w:val="zh-CN" w:eastAsia="zh-CN" w:bidi="zh-CN"/>
      </w:rPr>
    </w:lvl>
    <w:lvl w:ilvl="6">
      <w:start w:val="0"/>
      <w:numFmt w:val="bullet"/>
      <w:lvlText w:val="•"/>
      <w:lvlJc w:val="left"/>
      <w:pPr>
        <w:ind w:left="5295" w:hanging="529"/>
      </w:pPr>
      <w:rPr>
        <w:rFonts w:hint="default"/>
        <w:lang w:val="zh-CN" w:eastAsia="zh-CN" w:bidi="zh-CN"/>
      </w:rPr>
    </w:lvl>
    <w:lvl w:ilvl="7">
      <w:start w:val="0"/>
      <w:numFmt w:val="bullet"/>
      <w:lvlText w:val="•"/>
      <w:lvlJc w:val="left"/>
      <w:pPr>
        <w:ind w:left="6158" w:hanging="529"/>
      </w:pPr>
      <w:rPr>
        <w:rFonts w:hint="default"/>
        <w:lang w:val="zh-CN" w:eastAsia="zh-CN" w:bidi="zh-CN"/>
      </w:rPr>
    </w:lvl>
    <w:lvl w:ilvl="8">
      <w:start w:val="0"/>
      <w:numFmt w:val="bullet"/>
      <w:lvlText w:val="•"/>
      <w:lvlJc w:val="left"/>
      <w:pPr>
        <w:ind w:left="7021" w:hanging="529"/>
      </w:pPr>
      <w:rPr>
        <w:rFonts w:hint="default"/>
        <w:lang w:val="zh-CN" w:eastAsia="zh-CN" w:bidi="zh-CN"/>
      </w:rPr>
    </w:lvl>
  </w:abstractNum>
  <w:abstractNum w:abstractNumId="9">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8">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7">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6">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5">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4">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3">
    <w:multiLevelType w:val="hybridMultilevel"/>
    <w:lvl w:ilvl="0">
      <w:start w:val="1"/>
      <w:numFmt w:val="decimal"/>
      <w:lvlText w:val="（%1）"/>
      <w:lvlJc w:val="left"/>
      <w:pPr>
        <w:ind w:left="1069" w:hanging="529"/>
        <w:jc w:val="left"/>
      </w:pPr>
      <w:rPr>
        <w:rFonts w:hint="default" w:ascii="宋体" w:hAnsi="宋体" w:eastAsia="宋体" w:cs="宋体"/>
        <w:spacing w:val="-51"/>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2">
    <w:multiLevelType w:val="hybridMultilevel"/>
    <w:lvl w:ilvl="0">
      <w:start w:val="1"/>
      <w:numFmt w:val="decimal"/>
      <w:lvlText w:val="（%1）"/>
      <w:lvlJc w:val="left"/>
      <w:pPr>
        <w:ind w:left="1069"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28" w:hanging="529"/>
      </w:pPr>
      <w:rPr>
        <w:rFonts w:hint="default"/>
        <w:lang w:val="zh-CN" w:eastAsia="zh-CN" w:bidi="zh-CN"/>
      </w:rPr>
    </w:lvl>
    <w:lvl w:ilvl="2">
      <w:start w:val="0"/>
      <w:numFmt w:val="bullet"/>
      <w:lvlText w:val="•"/>
      <w:lvlJc w:val="left"/>
      <w:pPr>
        <w:ind w:left="2597" w:hanging="529"/>
      </w:pPr>
      <w:rPr>
        <w:rFonts w:hint="default"/>
        <w:lang w:val="zh-CN" w:eastAsia="zh-CN" w:bidi="zh-CN"/>
      </w:rPr>
    </w:lvl>
    <w:lvl w:ilvl="3">
      <w:start w:val="0"/>
      <w:numFmt w:val="bullet"/>
      <w:lvlText w:val="•"/>
      <w:lvlJc w:val="left"/>
      <w:pPr>
        <w:ind w:left="3365" w:hanging="529"/>
      </w:pPr>
      <w:rPr>
        <w:rFonts w:hint="default"/>
        <w:lang w:val="zh-CN" w:eastAsia="zh-CN" w:bidi="zh-CN"/>
      </w:rPr>
    </w:lvl>
    <w:lvl w:ilvl="4">
      <w:start w:val="0"/>
      <w:numFmt w:val="bullet"/>
      <w:lvlText w:val="•"/>
      <w:lvlJc w:val="left"/>
      <w:pPr>
        <w:ind w:left="4134" w:hanging="529"/>
      </w:pPr>
      <w:rPr>
        <w:rFonts w:hint="default"/>
        <w:lang w:val="zh-CN" w:eastAsia="zh-CN" w:bidi="zh-CN"/>
      </w:rPr>
    </w:lvl>
    <w:lvl w:ilvl="5">
      <w:start w:val="0"/>
      <w:numFmt w:val="bullet"/>
      <w:lvlText w:val="•"/>
      <w:lvlJc w:val="left"/>
      <w:pPr>
        <w:ind w:left="4903" w:hanging="529"/>
      </w:pPr>
      <w:rPr>
        <w:rFonts w:hint="default"/>
        <w:lang w:val="zh-CN" w:eastAsia="zh-CN" w:bidi="zh-CN"/>
      </w:rPr>
    </w:lvl>
    <w:lvl w:ilvl="6">
      <w:start w:val="0"/>
      <w:numFmt w:val="bullet"/>
      <w:lvlText w:val="•"/>
      <w:lvlJc w:val="left"/>
      <w:pPr>
        <w:ind w:left="5671" w:hanging="529"/>
      </w:pPr>
      <w:rPr>
        <w:rFonts w:hint="default"/>
        <w:lang w:val="zh-CN" w:eastAsia="zh-CN" w:bidi="zh-CN"/>
      </w:rPr>
    </w:lvl>
    <w:lvl w:ilvl="7">
      <w:start w:val="0"/>
      <w:numFmt w:val="bullet"/>
      <w:lvlText w:val="•"/>
      <w:lvlJc w:val="left"/>
      <w:pPr>
        <w:ind w:left="6440" w:hanging="529"/>
      </w:pPr>
      <w:rPr>
        <w:rFonts w:hint="default"/>
        <w:lang w:val="zh-CN" w:eastAsia="zh-CN" w:bidi="zh-CN"/>
      </w:rPr>
    </w:lvl>
    <w:lvl w:ilvl="8">
      <w:start w:val="0"/>
      <w:numFmt w:val="bullet"/>
      <w:lvlText w:val="•"/>
      <w:lvlJc w:val="left"/>
      <w:pPr>
        <w:ind w:left="7209" w:hanging="529"/>
      </w:pPr>
      <w:rPr>
        <w:rFonts w:hint="default"/>
        <w:lang w:val="zh-CN" w:eastAsia="zh-CN" w:bidi="zh-CN"/>
      </w:rPr>
    </w:lvl>
  </w:abstractNum>
  <w:abstractNum w:abstractNumId="1">
    <w:multiLevelType w:val="hybridMultilevel"/>
    <w:lvl w:ilvl="0">
      <w:start w:val="1"/>
      <w:numFmt w:val="decimal"/>
      <w:lvlText w:val="（%1）"/>
      <w:lvlJc w:val="left"/>
      <w:pPr>
        <w:ind w:left="120" w:hanging="529"/>
        <w:jc w:val="right"/>
      </w:pPr>
      <w:rPr>
        <w:rFonts w:hint="default" w:ascii="宋体" w:hAnsi="宋体" w:eastAsia="宋体" w:cs="宋体"/>
        <w:w w:val="100"/>
        <w:sz w:val="19"/>
        <w:szCs w:val="19"/>
        <w:lang w:val="zh-CN" w:eastAsia="zh-CN" w:bidi="zh-CN"/>
      </w:rPr>
    </w:lvl>
    <w:lvl w:ilvl="1">
      <w:start w:val="1"/>
      <w:numFmt w:val="decimal"/>
      <w:lvlText w:val="（%2）"/>
      <w:lvlJc w:val="left"/>
      <w:pPr>
        <w:ind w:left="1069" w:hanging="529"/>
        <w:jc w:val="left"/>
      </w:pPr>
      <w:rPr>
        <w:rFonts w:hint="default" w:ascii="宋体" w:hAnsi="宋体" w:eastAsia="宋体" w:cs="宋体"/>
        <w:spacing w:val="-3"/>
        <w:w w:val="100"/>
        <w:sz w:val="19"/>
        <w:szCs w:val="19"/>
        <w:lang w:val="zh-CN" w:eastAsia="zh-CN" w:bidi="zh-CN"/>
      </w:rPr>
    </w:lvl>
    <w:lvl w:ilvl="2">
      <w:start w:val="0"/>
      <w:numFmt w:val="bullet"/>
      <w:lvlText w:val="•"/>
      <w:lvlJc w:val="left"/>
      <w:pPr>
        <w:ind w:left="1914" w:hanging="529"/>
      </w:pPr>
      <w:rPr>
        <w:rFonts w:hint="default"/>
        <w:lang w:val="zh-CN" w:eastAsia="zh-CN" w:bidi="zh-CN"/>
      </w:rPr>
    </w:lvl>
    <w:lvl w:ilvl="3">
      <w:start w:val="0"/>
      <w:numFmt w:val="bullet"/>
      <w:lvlText w:val="•"/>
      <w:lvlJc w:val="left"/>
      <w:pPr>
        <w:ind w:left="2768" w:hanging="529"/>
      </w:pPr>
      <w:rPr>
        <w:rFonts w:hint="default"/>
        <w:lang w:val="zh-CN" w:eastAsia="zh-CN" w:bidi="zh-CN"/>
      </w:rPr>
    </w:lvl>
    <w:lvl w:ilvl="4">
      <w:start w:val="0"/>
      <w:numFmt w:val="bullet"/>
      <w:lvlText w:val="•"/>
      <w:lvlJc w:val="left"/>
      <w:pPr>
        <w:ind w:left="3622" w:hanging="529"/>
      </w:pPr>
      <w:rPr>
        <w:rFonts w:hint="default"/>
        <w:lang w:val="zh-CN" w:eastAsia="zh-CN" w:bidi="zh-CN"/>
      </w:rPr>
    </w:lvl>
    <w:lvl w:ilvl="5">
      <w:start w:val="0"/>
      <w:numFmt w:val="bullet"/>
      <w:lvlText w:val="•"/>
      <w:lvlJc w:val="left"/>
      <w:pPr>
        <w:ind w:left="4476" w:hanging="529"/>
      </w:pPr>
      <w:rPr>
        <w:rFonts w:hint="default"/>
        <w:lang w:val="zh-CN" w:eastAsia="zh-CN" w:bidi="zh-CN"/>
      </w:rPr>
    </w:lvl>
    <w:lvl w:ilvl="6">
      <w:start w:val="0"/>
      <w:numFmt w:val="bullet"/>
      <w:lvlText w:val="•"/>
      <w:lvlJc w:val="left"/>
      <w:pPr>
        <w:ind w:left="5330" w:hanging="529"/>
      </w:pPr>
      <w:rPr>
        <w:rFonts w:hint="default"/>
        <w:lang w:val="zh-CN" w:eastAsia="zh-CN" w:bidi="zh-CN"/>
      </w:rPr>
    </w:lvl>
    <w:lvl w:ilvl="7">
      <w:start w:val="0"/>
      <w:numFmt w:val="bullet"/>
      <w:lvlText w:val="•"/>
      <w:lvlJc w:val="left"/>
      <w:pPr>
        <w:ind w:left="6184" w:hanging="529"/>
      </w:pPr>
      <w:rPr>
        <w:rFonts w:hint="default"/>
        <w:lang w:val="zh-CN" w:eastAsia="zh-CN" w:bidi="zh-CN"/>
      </w:rPr>
    </w:lvl>
    <w:lvl w:ilvl="8">
      <w:start w:val="0"/>
      <w:numFmt w:val="bullet"/>
      <w:lvlText w:val="•"/>
      <w:lvlJc w:val="left"/>
      <w:pPr>
        <w:ind w:left="7038" w:hanging="529"/>
      </w:pPr>
      <w:rPr>
        <w:rFonts w:hint="default"/>
        <w:lang w:val="zh-CN" w:eastAsia="zh-CN" w:bidi="zh-CN"/>
      </w:rPr>
    </w:lvl>
  </w:abstractNum>
  <w:num w:numId="1">
    <w:abstractNumId w:val="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43"/>
      <w:ind w:left="120"/>
    </w:pPr>
    <w:rPr>
      <w:rFonts w:ascii="宋体" w:hAnsi="宋体" w:eastAsia="宋体" w:cs="宋体"/>
      <w:sz w:val="21"/>
      <w:szCs w:val="21"/>
      <w:lang w:val="zh-CN" w:eastAsia="zh-CN" w:bidi="zh-CN"/>
    </w:rPr>
  </w:style>
  <w:style w:styleId="BodyText" w:type="paragraph">
    <w:name w:val="Body Text"/>
    <w:basedOn w:val="Normal"/>
    <w:uiPriority w:val="1"/>
    <w:qFormat/>
    <w:pPr>
      <w:ind w:left="120"/>
    </w:pPr>
    <w:rPr>
      <w:rFonts w:ascii="宋体" w:hAnsi="宋体" w:eastAsia="宋体" w:cs="宋体"/>
      <w:sz w:val="21"/>
      <w:szCs w:val="21"/>
      <w:lang w:val="zh-CN" w:eastAsia="zh-CN" w:bidi="zh-CN"/>
    </w:rPr>
  </w:style>
  <w:style w:styleId="Heading1" w:type="paragraph">
    <w:name w:val="Heading 1"/>
    <w:basedOn w:val="Normal"/>
    <w:uiPriority w:val="1"/>
    <w:qFormat/>
    <w:pPr>
      <w:ind w:left="1672" w:right="1273"/>
      <w:jc w:val="center"/>
      <w:outlineLvl w:val="1"/>
    </w:pPr>
    <w:rPr>
      <w:rFonts w:ascii="黑体" w:hAnsi="黑体" w:eastAsia="黑体" w:cs="黑体"/>
      <w:sz w:val="30"/>
      <w:szCs w:val="30"/>
      <w:lang w:val="zh-CN" w:eastAsia="zh-CN" w:bidi="zh-CN"/>
    </w:rPr>
  </w:style>
  <w:style w:styleId="ListParagraph" w:type="paragraph">
    <w:name w:val="List Paragraph"/>
    <w:basedOn w:val="Normal"/>
    <w:uiPriority w:val="1"/>
    <w:qFormat/>
    <w:pPr>
      <w:ind w:left="1069" w:hanging="53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dc:creator>
  <dcterms:created xsi:type="dcterms:W3CDTF">2020-11-17T05:58:09Z</dcterms:created>
  <dcterms:modified xsi:type="dcterms:W3CDTF">2020-11-17T05:58:09Z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2020-11-17T00:00:00Z</vt:filetime>
  </property>
</Properties>
</file>