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before="0"/>
        <w:ind w:left="103"/>
        <w:rPr>
          <w:rFonts w:ascii="Times New Roman"/>
          <w:sz w:val="2"/>
        </w:rPr>
      </w:pPr>
      <w:r>
        <w:rPr>
          <w:rFonts w:ascii="Times New Roman"/>
          <w:sz w:val="2"/>
        </w:rPr>
        <w:pict>
          <v:group style="width:418.3pt;height:.75pt;mso-position-horizontal-relative:char;mso-position-vertical-relative:line" coordorigin="0,0" coordsize="8366,15">
            <v:line style="position:absolute" from="0,7" to="8365,7" stroked="true" strokeweight=".72pt" strokecolor="#000000">
              <v:stroke dashstyle="solid"/>
            </v:line>
          </v:group>
        </w:pict>
      </w:r>
      <w:r>
        <w:rPr>
          <w:rFonts w:ascii="Times New Roman"/>
          <w:sz w:val="2"/>
        </w:rPr>
      </w: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9"/>
        <w:ind w:left="0"/>
        <w:rPr>
          <w:rFonts w:ascii="Times New Roman"/>
          <w:sz w:val="22"/>
        </w:rPr>
      </w:pPr>
    </w:p>
    <w:p>
      <w:pPr>
        <w:spacing w:line="242" w:lineRule="auto" w:before="32"/>
        <w:ind w:left="195" w:right="283" w:firstLine="0"/>
        <w:jc w:val="center"/>
        <w:rPr>
          <w:b/>
          <w:sz w:val="48"/>
        </w:rPr>
      </w:pPr>
      <w:r>
        <w:rPr>
          <w:b/>
          <w:w w:val="95"/>
          <w:sz w:val="48"/>
        </w:rPr>
        <w:t>景顺长城内需增长贰号混合型证券投资</w:t>
      </w:r>
      <w:r>
        <w:rPr>
          <w:b/>
          <w:sz w:val="48"/>
        </w:rPr>
        <w:t>基金基金合同</w:t>
      </w:r>
    </w:p>
    <w:p>
      <w:pPr>
        <w:spacing w:before="137"/>
        <w:ind w:left="195" w:right="276" w:firstLine="0"/>
        <w:jc w:val="center"/>
        <w:rPr>
          <w:b/>
          <w:sz w:val="52"/>
        </w:rPr>
      </w:pPr>
      <w:r>
        <w:rPr>
          <w:b/>
          <w:sz w:val="52"/>
        </w:rPr>
        <w:t>（修改稿）</w:t>
      </w:r>
    </w:p>
    <w:p>
      <w:pPr>
        <w:pStyle w:val="BodyText"/>
        <w:spacing w:before="0"/>
        <w:ind w:left="0"/>
        <w:rPr>
          <w:b/>
          <w:sz w:val="52"/>
        </w:rPr>
      </w:pPr>
    </w:p>
    <w:p>
      <w:pPr>
        <w:pStyle w:val="BodyText"/>
        <w:spacing w:before="0"/>
        <w:ind w:left="0"/>
        <w:rPr>
          <w:b/>
          <w:sz w:val="52"/>
        </w:rPr>
      </w:pPr>
    </w:p>
    <w:p>
      <w:pPr>
        <w:pStyle w:val="BodyText"/>
        <w:spacing w:before="0"/>
        <w:ind w:left="0"/>
        <w:rPr>
          <w:b/>
          <w:sz w:val="52"/>
        </w:rPr>
      </w:pPr>
    </w:p>
    <w:p>
      <w:pPr>
        <w:spacing w:line="324" w:lineRule="auto" w:before="404"/>
        <w:ind w:left="1037" w:right="1120" w:firstLine="0"/>
        <w:jc w:val="center"/>
        <w:rPr>
          <w:b/>
          <w:sz w:val="36"/>
        </w:rPr>
      </w:pPr>
      <w:r>
        <w:rPr>
          <w:b/>
          <w:sz w:val="36"/>
        </w:rPr>
        <w:t>基金管理人：景顺长城基金管理有限公司基金托管人：中国农业银行股份有限公司</w:t>
      </w:r>
    </w:p>
    <w:p>
      <w:pPr>
        <w:pStyle w:val="BodyText"/>
        <w:spacing w:before="0"/>
        <w:ind w:left="0"/>
        <w:rPr>
          <w:b/>
          <w:sz w:val="36"/>
        </w:rPr>
      </w:pPr>
    </w:p>
    <w:p>
      <w:pPr>
        <w:pStyle w:val="BodyText"/>
        <w:spacing w:before="0"/>
        <w:ind w:left="0"/>
        <w:rPr>
          <w:b/>
          <w:sz w:val="36"/>
        </w:rPr>
      </w:pPr>
    </w:p>
    <w:p>
      <w:pPr>
        <w:pStyle w:val="BodyText"/>
        <w:spacing w:before="5"/>
        <w:ind w:left="0"/>
        <w:rPr>
          <w:b/>
          <w:sz w:val="28"/>
        </w:rPr>
      </w:pPr>
    </w:p>
    <w:p>
      <w:pPr>
        <w:spacing w:before="1"/>
        <w:ind w:left="195" w:right="273" w:firstLine="0"/>
        <w:jc w:val="center"/>
        <w:rPr>
          <w:b/>
          <w:sz w:val="30"/>
        </w:rPr>
      </w:pPr>
      <w:r>
        <w:rPr>
          <w:b/>
          <w:sz w:val="30"/>
        </w:rPr>
        <w:t>二零二零年十一月</w:t>
      </w:r>
    </w:p>
    <w:p>
      <w:pPr>
        <w:spacing w:after="0"/>
        <w:jc w:val="center"/>
        <w:rPr>
          <w:sz w:val="30"/>
        </w:rPr>
        <w:sectPr>
          <w:type w:val="continuous"/>
          <w:pgSz w:w="11910" w:h="16840"/>
          <w:pgMar w:top="1060" w:bottom="280" w:left="1660" w:right="1580"/>
        </w:sectPr>
      </w:pPr>
    </w:p>
    <w:p>
      <w:pPr>
        <w:pStyle w:val="BodyText"/>
        <w:spacing w:before="6"/>
        <w:ind w:left="0"/>
        <w:rPr>
          <w:b/>
          <w:sz w:val="9"/>
        </w:rPr>
      </w:pPr>
    </w:p>
    <w:p>
      <w:pPr>
        <w:pStyle w:val="Heading2"/>
        <w:tabs>
          <w:tab w:pos="837" w:val="left" w:leader="none"/>
        </w:tabs>
      </w:pPr>
      <w:r>
        <w:rPr/>
        <w:t>目</w:t>
        <w:tab/>
        <w:t>录</w:t>
      </w:r>
    </w:p>
    <w:sdt>
      <w:sdtPr>
        <w:docPartObj>
          <w:docPartGallery w:val="Table of Contents"/>
          <w:docPartUnique/>
        </w:docPartObj>
      </w:sdtPr>
      <w:sdtEndPr/>
      <w:sdtContent>
        <w:p>
          <w:pPr>
            <w:pStyle w:val="TOC1"/>
            <w:tabs>
              <w:tab w:pos="8438" w:val="right" w:leader="dot"/>
            </w:tabs>
            <w:spacing w:before="232"/>
            <w:rPr>
              <w:rFonts w:ascii="Times New Roman" w:eastAsia="Times New Roman"/>
            </w:rPr>
          </w:pPr>
          <w:hyperlink w:history="true" w:anchor="_bookmark0">
            <w:r>
              <w:rPr/>
              <w:t>一、</w:t>
            </w:r>
            <w:r>
              <w:rPr>
                <w:spacing w:val="-2"/>
              </w:rPr>
              <w:t> </w:t>
            </w:r>
            <w:r>
              <w:rPr/>
              <w:t>前言</w:t>
              <w:tab/>
            </w:r>
            <w:r>
              <w:rPr>
                <w:rFonts w:ascii="Times New Roman" w:eastAsia="Times New Roman"/>
              </w:rPr>
              <w:t>1</w:t>
            </w:r>
          </w:hyperlink>
        </w:p>
        <w:p>
          <w:pPr>
            <w:pStyle w:val="TOC1"/>
            <w:tabs>
              <w:tab w:pos="8438" w:val="right" w:leader="dot"/>
            </w:tabs>
            <w:rPr>
              <w:rFonts w:ascii="Times New Roman" w:eastAsia="Times New Roman"/>
            </w:rPr>
          </w:pPr>
          <w:hyperlink w:history="true" w:anchor="_bookmark1">
            <w:r>
              <w:rPr/>
              <w:t>二、</w:t>
            </w:r>
            <w:r>
              <w:rPr>
                <w:spacing w:val="-3"/>
              </w:rPr>
              <w:t>释</w:t>
            </w:r>
            <w:r>
              <w:rPr/>
              <w:t>义</w:t>
              <w:tab/>
            </w:r>
            <w:r>
              <w:rPr>
                <w:rFonts w:ascii="Times New Roman" w:eastAsia="Times New Roman"/>
              </w:rPr>
              <w:t>3</w:t>
            </w:r>
          </w:hyperlink>
        </w:p>
        <w:p>
          <w:pPr>
            <w:pStyle w:val="TOC1"/>
            <w:tabs>
              <w:tab w:pos="8438" w:val="right" w:leader="dot"/>
            </w:tabs>
            <w:rPr>
              <w:rFonts w:ascii="Times New Roman" w:eastAsia="Times New Roman"/>
            </w:rPr>
          </w:pPr>
          <w:hyperlink w:history="true" w:anchor="_bookmark2">
            <w:r>
              <w:rPr/>
              <w:t>三、</w:t>
            </w:r>
            <w:r>
              <w:rPr>
                <w:spacing w:val="-3"/>
              </w:rPr>
              <w:t>基</w:t>
            </w:r>
            <w:r>
              <w:rPr/>
              <w:t>金</w:t>
            </w:r>
            <w:r>
              <w:rPr>
                <w:spacing w:val="-3"/>
              </w:rPr>
              <w:t>的</w:t>
            </w:r>
            <w:r>
              <w:rPr/>
              <w:t>基</w:t>
            </w:r>
            <w:r>
              <w:rPr>
                <w:spacing w:val="-3"/>
              </w:rPr>
              <w:t>本</w:t>
            </w:r>
            <w:r>
              <w:rPr/>
              <w:t>情况</w:t>
              <w:tab/>
            </w:r>
            <w:r>
              <w:rPr>
                <w:rFonts w:ascii="Times New Roman" w:eastAsia="Times New Roman"/>
              </w:rPr>
              <w:t>7</w:t>
            </w:r>
          </w:hyperlink>
        </w:p>
        <w:p>
          <w:pPr>
            <w:pStyle w:val="TOC1"/>
            <w:tabs>
              <w:tab w:pos="8438" w:val="right" w:leader="dot"/>
            </w:tabs>
            <w:rPr>
              <w:rFonts w:ascii="Times New Roman" w:eastAsia="Times New Roman"/>
            </w:rPr>
          </w:pPr>
          <w:hyperlink w:history="true" w:anchor="_bookmark3">
            <w:r>
              <w:rPr/>
              <w:t>四、</w:t>
            </w:r>
            <w:r>
              <w:rPr>
                <w:spacing w:val="-3"/>
              </w:rPr>
              <w:t>基</w:t>
            </w:r>
            <w:r>
              <w:rPr/>
              <w:t>金</w:t>
            </w:r>
            <w:r>
              <w:rPr>
                <w:spacing w:val="-3"/>
              </w:rPr>
              <w:t>份</w:t>
            </w:r>
            <w:r>
              <w:rPr/>
              <w:t>额</w:t>
            </w:r>
            <w:r>
              <w:rPr>
                <w:spacing w:val="-3"/>
              </w:rPr>
              <w:t>的</w:t>
            </w:r>
            <w:r>
              <w:rPr/>
              <w:t>发售</w:t>
              <w:tab/>
            </w:r>
            <w:r>
              <w:rPr>
                <w:rFonts w:ascii="Times New Roman" w:eastAsia="Times New Roman"/>
              </w:rPr>
              <w:t>8</w:t>
            </w:r>
          </w:hyperlink>
        </w:p>
        <w:p>
          <w:pPr>
            <w:pStyle w:val="TOC1"/>
            <w:tabs>
              <w:tab w:pos="8438" w:val="right" w:leader="dot"/>
            </w:tabs>
            <w:rPr>
              <w:rFonts w:ascii="Times New Roman" w:eastAsia="Times New Roman"/>
            </w:rPr>
          </w:pPr>
          <w:hyperlink w:history="true" w:anchor="_bookmark4">
            <w:r>
              <w:rPr/>
              <w:t>五、</w:t>
            </w:r>
            <w:r>
              <w:rPr>
                <w:spacing w:val="-3"/>
              </w:rPr>
              <w:t>基</w:t>
            </w:r>
            <w:r>
              <w:rPr/>
              <w:t>金</w:t>
            </w:r>
            <w:r>
              <w:rPr>
                <w:spacing w:val="-3"/>
              </w:rPr>
              <w:t>备</w:t>
            </w:r>
            <w:r>
              <w:rPr/>
              <w:t>案</w:t>
              <w:tab/>
            </w:r>
            <w:r>
              <w:rPr>
                <w:rFonts w:ascii="Times New Roman" w:eastAsia="Times New Roman"/>
              </w:rPr>
              <w:t>10</w:t>
            </w:r>
          </w:hyperlink>
        </w:p>
        <w:p>
          <w:pPr>
            <w:pStyle w:val="TOC1"/>
            <w:tabs>
              <w:tab w:pos="8433" w:val="right" w:leader="dot"/>
            </w:tabs>
            <w:rPr>
              <w:rFonts w:ascii="Times New Roman" w:eastAsia="Times New Roman"/>
            </w:rPr>
          </w:pPr>
          <w:hyperlink w:history="true" w:anchor="_bookmark5">
            <w:r>
              <w:rPr/>
              <w:t>六、</w:t>
            </w:r>
            <w:r>
              <w:rPr>
                <w:spacing w:val="-3"/>
              </w:rPr>
              <w:t>基</w:t>
            </w:r>
            <w:r>
              <w:rPr/>
              <w:t>金</w:t>
            </w:r>
            <w:r>
              <w:rPr>
                <w:spacing w:val="-3"/>
              </w:rPr>
              <w:t>的</w:t>
            </w:r>
            <w:r>
              <w:rPr/>
              <w:t>申</w:t>
            </w:r>
            <w:r>
              <w:rPr>
                <w:spacing w:val="-3"/>
              </w:rPr>
              <w:t>购</w:t>
            </w:r>
            <w:r>
              <w:rPr/>
              <w:t>和</w:t>
            </w:r>
            <w:r>
              <w:rPr>
                <w:spacing w:val="-3"/>
              </w:rPr>
              <w:t>赎</w:t>
            </w:r>
            <w:r>
              <w:rPr/>
              <w:t>回</w:t>
            </w:r>
            <w:r>
              <w:rPr>
                <w:spacing w:val="-3"/>
              </w:rPr>
              <w:t>及</w:t>
            </w:r>
            <w:r>
              <w:rPr/>
              <w:t>其他</w:t>
            </w:r>
            <w:r>
              <w:rPr>
                <w:spacing w:val="-3"/>
              </w:rPr>
              <w:t>注</w:t>
            </w:r>
            <w:r>
              <w:rPr/>
              <w:t>册</w:t>
            </w:r>
            <w:r>
              <w:rPr>
                <w:spacing w:val="-3"/>
              </w:rPr>
              <w:t>登</w:t>
            </w:r>
            <w:r>
              <w:rPr/>
              <w:t>记</w:t>
            </w:r>
            <w:r>
              <w:rPr>
                <w:spacing w:val="-3"/>
              </w:rPr>
              <w:t>业</w:t>
            </w:r>
            <w:r>
              <w:rPr/>
              <w:t>务</w:t>
              <w:tab/>
            </w:r>
            <w:r>
              <w:rPr>
                <w:rFonts w:ascii="Times New Roman" w:eastAsia="Times New Roman"/>
                <w:spacing w:val="-8"/>
              </w:rPr>
              <w:t>11</w:t>
            </w:r>
          </w:hyperlink>
        </w:p>
        <w:p>
          <w:pPr>
            <w:pStyle w:val="TOC1"/>
            <w:tabs>
              <w:tab w:pos="8438" w:val="right" w:leader="dot"/>
            </w:tabs>
            <w:rPr>
              <w:rFonts w:ascii="Times New Roman" w:eastAsia="Times New Roman"/>
            </w:rPr>
          </w:pPr>
          <w:hyperlink w:history="true" w:anchor="_bookmark6">
            <w:r>
              <w:rPr/>
              <w:t>七、</w:t>
            </w:r>
            <w:r>
              <w:rPr>
                <w:spacing w:val="-3"/>
              </w:rPr>
              <w:t>基</w:t>
            </w:r>
            <w:r>
              <w:rPr/>
              <w:t>金</w:t>
            </w:r>
            <w:r>
              <w:rPr>
                <w:spacing w:val="-3"/>
              </w:rPr>
              <w:t>合</w:t>
            </w:r>
            <w:r>
              <w:rPr/>
              <w:t>同</w:t>
            </w:r>
            <w:r>
              <w:rPr>
                <w:spacing w:val="-3"/>
              </w:rPr>
              <w:t>当</w:t>
            </w:r>
            <w:r>
              <w:rPr/>
              <w:t>事</w:t>
            </w:r>
            <w:r>
              <w:rPr>
                <w:spacing w:val="-3"/>
              </w:rPr>
              <w:t>人</w:t>
            </w:r>
            <w:r>
              <w:rPr/>
              <w:t>及</w:t>
            </w:r>
            <w:r>
              <w:rPr>
                <w:spacing w:val="-3"/>
              </w:rPr>
              <w:t>其</w:t>
            </w:r>
            <w:r>
              <w:rPr/>
              <w:t>权利</w:t>
            </w:r>
            <w:r>
              <w:rPr>
                <w:spacing w:val="-3"/>
              </w:rPr>
              <w:t>和</w:t>
            </w:r>
            <w:r>
              <w:rPr/>
              <w:t>义务</w:t>
              <w:tab/>
            </w:r>
            <w:r>
              <w:rPr>
                <w:rFonts w:ascii="Times New Roman" w:eastAsia="Times New Roman"/>
              </w:rPr>
              <w:t>19</w:t>
            </w:r>
          </w:hyperlink>
        </w:p>
        <w:p>
          <w:pPr>
            <w:pStyle w:val="TOC1"/>
            <w:tabs>
              <w:tab w:pos="8438" w:val="right" w:leader="dot"/>
            </w:tabs>
            <w:rPr>
              <w:rFonts w:ascii="Times New Roman" w:eastAsia="Times New Roman"/>
            </w:rPr>
          </w:pPr>
          <w:hyperlink w:history="true" w:anchor="_bookmark7">
            <w:r>
              <w:rPr/>
              <w:t>八、</w:t>
            </w:r>
            <w:r>
              <w:rPr>
                <w:spacing w:val="-3"/>
              </w:rPr>
              <w:t>基</w:t>
            </w:r>
            <w:r>
              <w:rPr/>
              <w:t>金</w:t>
            </w:r>
            <w:r>
              <w:rPr>
                <w:spacing w:val="-3"/>
              </w:rPr>
              <w:t>份</w:t>
            </w:r>
            <w:r>
              <w:rPr/>
              <w:t>额</w:t>
            </w:r>
            <w:r>
              <w:rPr>
                <w:spacing w:val="-3"/>
              </w:rPr>
              <w:t>持</w:t>
            </w:r>
            <w:r>
              <w:rPr/>
              <w:t>有</w:t>
            </w:r>
            <w:r>
              <w:rPr>
                <w:spacing w:val="-3"/>
              </w:rPr>
              <w:t>人</w:t>
            </w:r>
            <w:r>
              <w:rPr/>
              <w:t>大会</w:t>
              <w:tab/>
            </w:r>
            <w:r>
              <w:rPr>
                <w:rFonts w:ascii="Times New Roman" w:eastAsia="Times New Roman"/>
              </w:rPr>
              <w:t>26</w:t>
            </w:r>
          </w:hyperlink>
        </w:p>
        <w:p>
          <w:pPr>
            <w:pStyle w:val="TOC1"/>
            <w:tabs>
              <w:tab w:pos="8438" w:val="right" w:leader="dot"/>
            </w:tabs>
            <w:rPr>
              <w:rFonts w:ascii="Times New Roman" w:eastAsia="Times New Roman"/>
            </w:rPr>
          </w:pPr>
          <w:hyperlink w:history="true" w:anchor="_bookmark8">
            <w:r>
              <w:rPr/>
              <w:t>九、</w:t>
            </w:r>
            <w:r>
              <w:rPr>
                <w:spacing w:val="-3"/>
              </w:rPr>
              <w:t>基</w:t>
            </w:r>
            <w:r>
              <w:rPr/>
              <w:t>金</w:t>
            </w:r>
            <w:r>
              <w:rPr>
                <w:spacing w:val="-3"/>
              </w:rPr>
              <w:t>管</w:t>
            </w:r>
            <w:r>
              <w:rPr/>
              <w:t>理</w:t>
            </w:r>
            <w:r>
              <w:rPr>
                <w:spacing w:val="-3"/>
              </w:rPr>
              <w:t>人</w:t>
            </w:r>
            <w:r>
              <w:rPr/>
              <w:t>、</w:t>
            </w:r>
            <w:r>
              <w:rPr>
                <w:spacing w:val="-3"/>
              </w:rPr>
              <w:t>基</w:t>
            </w:r>
            <w:r>
              <w:rPr/>
              <w:t>金</w:t>
            </w:r>
            <w:r>
              <w:rPr>
                <w:spacing w:val="-3"/>
              </w:rPr>
              <w:t>托</w:t>
            </w:r>
            <w:r>
              <w:rPr/>
              <w:t>管人</w:t>
            </w:r>
            <w:r>
              <w:rPr>
                <w:spacing w:val="-3"/>
              </w:rPr>
              <w:t>的</w:t>
            </w:r>
            <w:r>
              <w:rPr/>
              <w:t>更</w:t>
            </w:r>
            <w:r>
              <w:rPr>
                <w:spacing w:val="-3"/>
              </w:rPr>
              <w:t>换</w:t>
            </w:r>
            <w:r>
              <w:rPr/>
              <w:t>条</w:t>
            </w:r>
            <w:r>
              <w:rPr>
                <w:spacing w:val="-3"/>
              </w:rPr>
              <w:t>件</w:t>
            </w:r>
            <w:r>
              <w:rPr/>
              <w:t>和</w:t>
            </w:r>
            <w:r>
              <w:rPr>
                <w:spacing w:val="-3"/>
              </w:rPr>
              <w:t>程</w:t>
            </w:r>
            <w:r>
              <w:rPr/>
              <w:t>序</w:t>
              <w:tab/>
            </w:r>
            <w:r>
              <w:rPr>
                <w:rFonts w:ascii="Times New Roman" w:eastAsia="Times New Roman"/>
              </w:rPr>
              <w:t>33</w:t>
            </w:r>
          </w:hyperlink>
        </w:p>
        <w:p>
          <w:pPr>
            <w:pStyle w:val="TOC1"/>
            <w:tabs>
              <w:tab w:pos="8438" w:val="right" w:leader="dot"/>
            </w:tabs>
            <w:rPr>
              <w:rFonts w:ascii="Times New Roman" w:eastAsia="Times New Roman"/>
            </w:rPr>
          </w:pPr>
          <w:hyperlink w:history="true" w:anchor="_bookmark9">
            <w:r>
              <w:rPr/>
              <w:t>十、</w:t>
            </w:r>
            <w:r>
              <w:rPr>
                <w:spacing w:val="-3"/>
              </w:rPr>
              <w:t>基</w:t>
            </w:r>
            <w:r>
              <w:rPr/>
              <w:t>金</w:t>
            </w:r>
            <w:r>
              <w:rPr>
                <w:spacing w:val="-3"/>
              </w:rPr>
              <w:t>的</w:t>
            </w:r>
            <w:r>
              <w:rPr/>
              <w:t>托管</w:t>
              <w:tab/>
            </w:r>
            <w:r>
              <w:rPr>
                <w:rFonts w:ascii="Times New Roman" w:eastAsia="Times New Roman"/>
              </w:rPr>
              <w:t>36</w:t>
            </w:r>
          </w:hyperlink>
        </w:p>
        <w:p>
          <w:pPr>
            <w:pStyle w:val="TOC1"/>
            <w:tabs>
              <w:tab w:pos="8438" w:val="right" w:leader="dot"/>
            </w:tabs>
            <w:rPr>
              <w:rFonts w:ascii="Times New Roman" w:eastAsia="Times New Roman"/>
            </w:rPr>
          </w:pPr>
          <w:hyperlink w:history="true" w:anchor="_bookmark10">
            <w:r>
              <w:rPr/>
              <w:t>十一</w:t>
            </w:r>
            <w:r>
              <w:rPr>
                <w:spacing w:val="-3"/>
              </w:rPr>
              <w:t>、</w:t>
            </w:r>
            <w:r>
              <w:rPr/>
              <w:t>基</w:t>
            </w:r>
            <w:r>
              <w:rPr>
                <w:spacing w:val="-3"/>
              </w:rPr>
              <w:t>金</w:t>
            </w:r>
            <w:r>
              <w:rPr/>
              <w:t>的</w:t>
            </w:r>
            <w:r>
              <w:rPr>
                <w:spacing w:val="-3"/>
              </w:rPr>
              <w:t>销</w:t>
            </w:r>
            <w:r>
              <w:rPr/>
              <w:t>售</w:t>
            </w:r>
            <w:r>
              <w:rPr>
                <w:spacing w:val="-3"/>
              </w:rPr>
              <w:t>及</w:t>
            </w:r>
            <w:r>
              <w:rPr/>
              <w:t>服</w:t>
            </w:r>
            <w:r>
              <w:rPr>
                <w:spacing w:val="-3"/>
              </w:rPr>
              <w:t>务</w:t>
            </w:r>
            <w:r>
              <w:rPr/>
              <w:t>代理</w:t>
              <w:tab/>
            </w:r>
            <w:r>
              <w:rPr>
                <w:rFonts w:ascii="Times New Roman" w:eastAsia="Times New Roman"/>
              </w:rPr>
              <w:t>37</w:t>
            </w:r>
          </w:hyperlink>
        </w:p>
        <w:p>
          <w:pPr>
            <w:pStyle w:val="TOC1"/>
            <w:tabs>
              <w:tab w:pos="8438" w:val="right" w:leader="dot"/>
            </w:tabs>
            <w:rPr>
              <w:rFonts w:ascii="Times New Roman" w:eastAsia="Times New Roman"/>
            </w:rPr>
          </w:pPr>
          <w:hyperlink w:history="true" w:anchor="_bookmark11">
            <w:r>
              <w:rPr/>
              <w:t>十二</w:t>
            </w:r>
            <w:r>
              <w:rPr>
                <w:spacing w:val="-3"/>
              </w:rPr>
              <w:t>、</w:t>
            </w:r>
            <w:r>
              <w:rPr/>
              <w:t>基</w:t>
            </w:r>
            <w:r>
              <w:rPr>
                <w:spacing w:val="-3"/>
              </w:rPr>
              <w:t>金</w:t>
            </w:r>
            <w:r>
              <w:rPr/>
              <w:t>份</w:t>
            </w:r>
            <w:r>
              <w:rPr>
                <w:spacing w:val="-3"/>
              </w:rPr>
              <w:t>额</w:t>
            </w:r>
            <w:r>
              <w:rPr/>
              <w:t>的</w:t>
            </w:r>
            <w:r>
              <w:rPr>
                <w:spacing w:val="-3"/>
              </w:rPr>
              <w:t>注</w:t>
            </w:r>
            <w:r>
              <w:rPr/>
              <w:t>册</w:t>
            </w:r>
            <w:r>
              <w:rPr>
                <w:spacing w:val="-3"/>
              </w:rPr>
              <w:t>登</w:t>
            </w:r>
            <w:r>
              <w:rPr/>
              <w:t>记</w:t>
              <w:tab/>
            </w:r>
            <w:r>
              <w:rPr>
                <w:rFonts w:ascii="Times New Roman" w:eastAsia="Times New Roman"/>
              </w:rPr>
              <w:t>38</w:t>
            </w:r>
          </w:hyperlink>
        </w:p>
        <w:p>
          <w:pPr>
            <w:pStyle w:val="TOC1"/>
            <w:tabs>
              <w:tab w:pos="8438" w:val="right" w:leader="dot"/>
            </w:tabs>
            <w:rPr>
              <w:rFonts w:ascii="Times New Roman" w:eastAsia="Times New Roman"/>
            </w:rPr>
          </w:pPr>
          <w:hyperlink w:history="true" w:anchor="_bookmark12">
            <w:r>
              <w:rPr/>
              <w:t>十三</w:t>
            </w:r>
            <w:r>
              <w:rPr>
                <w:spacing w:val="-3"/>
              </w:rPr>
              <w:t>、</w:t>
            </w:r>
            <w:r>
              <w:rPr/>
              <w:t>基</w:t>
            </w:r>
            <w:r>
              <w:rPr>
                <w:spacing w:val="-3"/>
              </w:rPr>
              <w:t>金</w:t>
            </w:r>
            <w:r>
              <w:rPr/>
              <w:t>的</w:t>
            </w:r>
            <w:r>
              <w:rPr>
                <w:spacing w:val="-3"/>
              </w:rPr>
              <w:t>投</w:t>
            </w:r>
            <w:r>
              <w:rPr/>
              <w:t>资</w:t>
              <w:tab/>
            </w:r>
            <w:r>
              <w:rPr>
                <w:rFonts w:ascii="Times New Roman" w:eastAsia="Times New Roman"/>
              </w:rPr>
              <w:t>40</w:t>
            </w:r>
          </w:hyperlink>
        </w:p>
        <w:p>
          <w:pPr>
            <w:pStyle w:val="TOC1"/>
            <w:tabs>
              <w:tab w:pos="8438" w:val="right" w:leader="dot"/>
            </w:tabs>
            <w:rPr>
              <w:rFonts w:ascii="Times New Roman" w:eastAsia="Times New Roman"/>
            </w:rPr>
          </w:pPr>
          <w:hyperlink w:history="true" w:anchor="_bookmark13">
            <w:r>
              <w:rPr/>
              <w:t>十四</w:t>
            </w:r>
            <w:r>
              <w:rPr>
                <w:spacing w:val="-3"/>
              </w:rPr>
              <w:t>、</w:t>
            </w:r>
            <w:r>
              <w:rPr/>
              <w:t>基</w:t>
            </w:r>
            <w:r>
              <w:rPr>
                <w:spacing w:val="-3"/>
              </w:rPr>
              <w:t>金</w:t>
            </w:r>
            <w:r>
              <w:rPr/>
              <w:t>财产</w:t>
              <w:tab/>
            </w:r>
            <w:r>
              <w:rPr>
                <w:rFonts w:ascii="Times New Roman" w:eastAsia="Times New Roman"/>
              </w:rPr>
              <w:t>49</w:t>
            </w:r>
          </w:hyperlink>
        </w:p>
        <w:p>
          <w:pPr>
            <w:pStyle w:val="TOC1"/>
            <w:tabs>
              <w:tab w:pos="8438" w:val="right" w:leader="dot"/>
            </w:tabs>
            <w:rPr>
              <w:rFonts w:ascii="Times New Roman" w:eastAsia="Times New Roman"/>
            </w:rPr>
          </w:pPr>
          <w:hyperlink w:history="true" w:anchor="_bookmark14">
            <w:r>
              <w:rPr/>
              <w:t>十五</w:t>
            </w:r>
            <w:r>
              <w:rPr>
                <w:spacing w:val="-3"/>
              </w:rPr>
              <w:t>、</w:t>
            </w:r>
            <w:r>
              <w:rPr/>
              <w:t>基</w:t>
            </w:r>
            <w:r>
              <w:rPr>
                <w:spacing w:val="-3"/>
              </w:rPr>
              <w:t>金</w:t>
            </w:r>
            <w:r>
              <w:rPr/>
              <w:t>资</w:t>
            </w:r>
            <w:r>
              <w:rPr>
                <w:spacing w:val="-3"/>
              </w:rPr>
              <w:t>产</w:t>
            </w:r>
            <w:r>
              <w:rPr/>
              <w:t>估值</w:t>
              <w:tab/>
            </w:r>
            <w:r>
              <w:rPr>
                <w:rFonts w:ascii="Times New Roman" w:eastAsia="Times New Roman"/>
              </w:rPr>
              <w:t>51</w:t>
            </w:r>
          </w:hyperlink>
        </w:p>
        <w:p>
          <w:pPr>
            <w:pStyle w:val="TOC1"/>
            <w:tabs>
              <w:tab w:pos="8438" w:val="right" w:leader="dot"/>
            </w:tabs>
            <w:rPr>
              <w:rFonts w:ascii="Times New Roman" w:eastAsia="Times New Roman"/>
            </w:rPr>
          </w:pPr>
          <w:hyperlink w:history="true" w:anchor="_bookmark15">
            <w:r>
              <w:rPr/>
              <w:t>十六</w:t>
            </w:r>
            <w:r>
              <w:rPr>
                <w:spacing w:val="-3"/>
              </w:rPr>
              <w:t>、</w:t>
            </w:r>
            <w:r>
              <w:rPr/>
              <w:t>基</w:t>
            </w:r>
            <w:r>
              <w:rPr>
                <w:spacing w:val="-3"/>
              </w:rPr>
              <w:t>金</w:t>
            </w:r>
            <w:r>
              <w:rPr/>
              <w:t>费</w:t>
            </w:r>
            <w:r>
              <w:rPr>
                <w:spacing w:val="-3"/>
              </w:rPr>
              <w:t>用</w:t>
            </w:r>
            <w:r>
              <w:rPr/>
              <w:t>与</w:t>
            </w:r>
            <w:r>
              <w:rPr>
                <w:spacing w:val="-3"/>
              </w:rPr>
              <w:t>税</w:t>
            </w:r>
            <w:r>
              <w:rPr/>
              <w:t>收</w:t>
              <w:tab/>
            </w:r>
            <w:r>
              <w:rPr>
                <w:rFonts w:ascii="Times New Roman" w:eastAsia="Times New Roman"/>
              </w:rPr>
              <w:t>58</w:t>
            </w:r>
          </w:hyperlink>
        </w:p>
        <w:p>
          <w:pPr>
            <w:pStyle w:val="TOC1"/>
            <w:tabs>
              <w:tab w:pos="8438" w:val="right" w:leader="dot"/>
            </w:tabs>
            <w:rPr>
              <w:rFonts w:ascii="Times New Roman" w:eastAsia="Times New Roman"/>
            </w:rPr>
          </w:pPr>
          <w:hyperlink w:history="true" w:anchor="_bookmark16">
            <w:r>
              <w:rPr/>
              <w:t>十七</w:t>
            </w:r>
            <w:r>
              <w:rPr>
                <w:spacing w:val="-3"/>
              </w:rPr>
              <w:t>、</w:t>
            </w:r>
            <w:r>
              <w:rPr/>
              <w:t>基</w:t>
            </w:r>
            <w:r>
              <w:rPr>
                <w:spacing w:val="-3"/>
              </w:rPr>
              <w:t>金</w:t>
            </w:r>
            <w:r>
              <w:rPr/>
              <w:t>的</w:t>
            </w:r>
            <w:r>
              <w:rPr>
                <w:spacing w:val="-3"/>
              </w:rPr>
              <w:t>收</w:t>
            </w:r>
            <w:r>
              <w:rPr/>
              <w:t>益</w:t>
            </w:r>
            <w:r>
              <w:rPr>
                <w:spacing w:val="-3"/>
              </w:rPr>
              <w:t>与</w:t>
            </w:r>
            <w:r>
              <w:rPr/>
              <w:t>分配</w:t>
              <w:tab/>
            </w:r>
            <w:r>
              <w:rPr>
                <w:rFonts w:ascii="Times New Roman" w:eastAsia="Times New Roman"/>
              </w:rPr>
              <w:t>61</w:t>
            </w:r>
          </w:hyperlink>
        </w:p>
        <w:p>
          <w:pPr>
            <w:pStyle w:val="TOC1"/>
            <w:tabs>
              <w:tab w:pos="8438" w:val="right" w:leader="dot"/>
            </w:tabs>
            <w:rPr>
              <w:rFonts w:ascii="Times New Roman" w:eastAsia="Times New Roman"/>
            </w:rPr>
          </w:pPr>
          <w:hyperlink w:history="true" w:anchor="_bookmark17">
            <w:r>
              <w:rPr/>
              <w:t>十八</w:t>
            </w:r>
            <w:r>
              <w:rPr>
                <w:spacing w:val="-3"/>
              </w:rPr>
              <w:t>、</w:t>
            </w:r>
            <w:r>
              <w:rPr/>
              <w:t>基</w:t>
            </w:r>
            <w:r>
              <w:rPr>
                <w:spacing w:val="-3"/>
              </w:rPr>
              <w:t>金</w:t>
            </w:r>
            <w:r>
              <w:rPr/>
              <w:t>的</w:t>
            </w:r>
            <w:r>
              <w:rPr>
                <w:spacing w:val="-3"/>
              </w:rPr>
              <w:t>会</w:t>
            </w:r>
            <w:r>
              <w:rPr/>
              <w:t>计</w:t>
            </w:r>
            <w:r>
              <w:rPr>
                <w:spacing w:val="-3"/>
              </w:rPr>
              <w:t>与</w:t>
            </w:r>
            <w:r>
              <w:rPr/>
              <w:t>审计</w:t>
              <w:tab/>
            </w:r>
            <w:r>
              <w:rPr>
                <w:rFonts w:ascii="Times New Roman" w:eastAsia="Times New Roman"/>
              </w:rPr>
              <w:t>63</w:t>
            </w:r>
          </w:hyperlink>
        </w:p>
        <w:p>
          <w:pPr>
            <w:pStyle w:val="TOC1"/>
            <w:tabs>
              <w:tab w:pos="8438" w:val="right" w:leader="dot"/>
            </w:tabs>
            <w:rPr>
              <w:rFonts w:ascii="Times New Roman" w:eastAsia="Times New Roman"/>
            </w:rPr>
          </w:pPr>
          <w:hyperlink w:history="true" w:anchor="_bookmark18">
            <w:r>
              <w:rPr/>
              <w:t>十九</w:t>
            </w:r>
            <w:r>
              <w:rPr>
                <w:spacing w:val="-3"/>
              </w:rPr>
              <w:t>、</w:t>
            </w:r>
            <w:r>
              <w:rPr/>
              <w:t>基</w:t>
            </w:r>
            <w:r>
              <w:rPr>
                <w:spacing w:val="-3"/>
              </w:rPr>
              <w:t>金</w:t>
            </w:r>
            <w:r>
              <w:rPr/>
              <w:t>的</w:t>
            </w:r>
            <w:r>
              <w:rPr>
                <w:spacing w:val="-3"/>
              </w:rPr>
              <w:t>信</w:t>
            </w:r>
            <w:r>
              <w:rPr/>
              <w:t>息</w:t>
            </w:r>
            <w:r>
              <w:rPr>
                <w:spacing w:val="-3"/>
              </w:rPr>
              <w:t>披</w:t>
            </w:r>
            <w:r>
              <w:rPr/>
              <w:t>露</w:t>
              <w:tab/>
            </w:r>
            <w:r>
              <w:rPr>
                <w:rFonts w:ascii="Times New Roman" w:eastAsia="Times New Roman"/>
              </w:rPr>
              <w:t>64</w:t>
            </w:r>
          </w:hyperlink>
        </w:p>
        <w:p>
          <w:pPr>
            <w:pStyle w:val="TOC1"/>
            <w:tabs>
              <w:tab w:pos="8438" w:val="right" w:leader="dot"/>
            </w:tabs>
            <w:rPr>
              <w:rFonts w:ascii="Times New Roman" w:eastAsia="Times New Roman"/>
            </w:rPr>
          </w:pPr>
          <w:hyperlink w:history="true" w:anchor="_bookmark19">
            <w:r>
              <w:rPr/>
              <w:t>二十</w:t>
            </w:r>
            <w:r>
              <w:rPr>
                <w:spacing w:val="-3"/>
              </w:rPr>
              <w:t>、</w:t>
            </w:r>
            <w:r>
              <w:rPr/>
              <w:t>基</w:t>
            </w:r>
            <w:r>
              <w:rPr>
                <w:spacing w:val="-3"/>
              </w:rPr>
              <w:t>金</w:t>
            </w:r>
            <w:r>
              <w:rPr/>
              <w:t>合</w:t>
            </w:r>
            <w:r>
              <w:rPr>
                <w:spacing w:val="-3"/>
              </w:rPr>
              <w:t>同</w:t>
            </w:r>
            <w:r>
              <w:rPr/>
              <w:t>的</w:t>
            </w:r>
            <w:r>
              <w:rPr>
                <w:spacing w:val="-3"/>
              </w:rPr>
              <w:t>变</w:t>
            </w:r>
            <w:r>
              <w:rPr/>
              <w:t>更</w:t>
            </w:r>
            <w:r>
              <w:rPr>
                <w:spacing w:val="-3"/>
              </w:rPr>
              <w:t>、</w:t>
            </w:r>
            <w:r>
              <w:rPr/>
              <w:t>终止</w:t>
            </w:r>
            <w:r>
              <w:rPr>
                <w:spacing w:val="-3"/>
              </w:rPr>
              <w:t>和</w:t>
            </w:r>
            <w:r>
              <w:rPr/>
              <w:t>基</w:t>
            </w:r>
            <w:r>
              <w:rPr>
                <w:spacing w:val="-3"/>
              </w:rPr>
              <w:t>金</w:t>
            </w:r>
            <w:r>
              <w:rPr/>
              <w:t>财</w:t>
            </w:r>
            <w:r>
              <w:rPr>
                <w:spacing w:val="-3"/>
              </w:rPr>
              <w:t>产</w:t>
            </w:r>
            <w:r>
              <w:rPr/>
              <w:t>的</w:t>
            </w:r>
            <w:r>
              <w:rPr>
                <w:spacing w:val="-3"/>
              </w:rPr>
              <w:t>清</w:t>
            </w:r>
            <w:r>
              <w:rPr/>
              <w:t>算</w:t>
              <w:tab/>
            </w:r>
            <w:r>
              <w:rPr>
                <w:rFonts w:ascii="Times New Roman" w:eastAsia="Times New Roman"/>
              </w:rPr>
              <w:t>71</w:t>
            </w:r>
          </w:hyperlink>
        </w:p>
        <w:p>
          <w:pPr>
            <w:pStyle w:val="TOC1"/>
            <w:tabs>
              <w:tab w:pos="8438" w:val="right" w:leader="dot"/>
            </w:tabs>
            <w:rPr>
              <w:rFonts w:ascii="Times New Roman" w:eastAsia="Times New Roman"/>
            </w:rPr>
          </w:pPr>
          <w:hyperlink w:history="true" w:anchor="_bookmark20">
            <w:r>
              <w:rPr/>
              <w:t>二十</w:t>
            </w:r>
            <w:r>
              <w:rPr>
                <w:spacing w:val="-3"/>
              </w:rPr>
              <w:t>一</w:t>
            </w:r>
            <w:r>
              <w:rPr/>
              <w:t>、</w:t>
            </w:r>
            <w:r>
              <w:rPr>
                <w:spacing w:val="-3"/>
              </w:rPr>
              <w:t>违</w:t>
            </w:r>
            <w:r>
              <w:rPr/>
              <w:t>约</w:t>
            </w:r>
            <w:r>
              <w:rPr>
                <w:spacing w:val="-3"/>
              </w:rPr>
              <w:t>责</w:t>
            </w:r>
            <w:r>
              <w:rPr/>
              <w:t>任</w:t>
              <w:tab/>
            </w:r>
            <w:r>
              <w:rPr>
                <w:rFonts w:ascii="Times New Roman" w:eastAsia="Times New Roman"/>
              </w:rPr>
              <w:t>73</w:t>
            </w:r>
          </w:hyperlink>
        </w:p>
        <w:p>
          <w:pPr>
            <w:pStyle w:val="TOC1"/>
            <w:tabs>
              <w:tab w:pos="8438" w:val="right" w:leader="dot"/>
            </w:tabs>
            <w:rPr>
              <w:rFonts w:ascii="Times New Roman" w:eastAsia="Times New Roman"/>
            </w:rPr>
          </w:pPr>
          <w:hyperlink w:history="true" w:anchor="_bookmark21">
            <w:r>
              <w:rPr/>
              <w:t>二十</w:t>
            </w:r>
            <w:r>
              <w:rPr>
                <w:spacing w:val="-3"/>
              </w:rPr>
              <w:t>二</w:t>
            </w:r>
            <w:r>
              <w:rPr/>
              <w:t>、</w:t>
            </w:r>
            <w:r>
              <w:rPr>
                <w:spacing w:val="-3"/>
              </w:rPr>
              <w:t>争</w:t>
            </w:r>
            <w:r>
              <w:rPr/>
              <w:t>议</w:t>
            </w:r>
            <w:r>
              <w:rPr>
                <w:spacing w:val="-3"/>
              </w:rPr>
              <w:t>的</w:t>
            </w:r>
            <w:r>
              <w:rPr/>
              <w:t>处理</w:t>
              <w:tab/>
            </w:r>
            <w:r>
              <w:rPr>
                <w:rFonts w:ascii="Times New Roman" w:eastAsia="Times New Roman"/>
              </w:rPr>
              <w:t>74</w:t>
            </w:r>
          </w:hyperlink>
        </w:p>
        <w:p>
          <w:pPr>
            <w:pStyle w:val="TOC1"/>
            <w:tabs>
              <w:tab w:pos="8438" w:val="right" w:leader="dot"/>
            </w:tabs>
            <w:rPr>
              <w:rFonts w:ascii="Times New Roman" w:eastAsia="Times New Roman"/>
            </w:rPr>
          </w:pPr>
          <w:hyperlink w:history="true" w:anchor="_bookmark22">
            <w:r>
              <w:rPr/>
              <w:t>二十</w:t>
            </w:r>
            <w:r>
              <w:rPr>
                <w:spacing w:val="-3"/>
              </w:rPr>
              <w:t>三</w:t>
            </w:r>
            <w:r>
              <w:rPr/>
              <w:t>、</w:t>
            </w:r>
            <w:r>
              <w:rPr>
                <w:spacing w:val="-3"/>
              </w:rPr>
              <w:t>基</w:t>
            </w:r>
            <w:r>
              <w:rPr/>
              <w:t>金</w:t>
            </w:r>
            <w:r>
              <w:rPr>
                <w:spacing w:val="-3"/>
              </w:rPr>
              <w:t>合</w:t>
            </w:r>
            <w:r>
              <w:rPr/>
              <w:t>同</w:t>
            </w:r>
            <w:r>
              <w:rPr>
                <w:spacing w:val="-3"/>
              </w:rPr>
              <w:t>的</w:t>
            </w:r>
            <w:r>
              <w:rPr/>
              <w:t>效力</w:t>
              <w:tab/>
            </w:r>
            <w:r>
              <w:rPr>
                <w:rFonts w:ascii="Times New Roman" w:eastAsia="Times New Roman"/>
              </w:rPr>
              <w:t>75</w:t>
            </w:r>
          </w:hyperlink>
        </w:p>
        <w:p>
          <w:pPr>
            <w:pStyle w:val="TOC1"/>
            <w:tabs>
              <w:tab w:pos="8438" w:val="right" w:leader="dot"/>
            </w:tabs>
            <w:rPr>
              <w:rFonts w:ascii="Times New Roman" w:eastAsia="Times New Roman"/>
            </w:rPr>
          </w:pPr>
          <w:hyperlink w:history="true" w:anchor="_bookmark23">
            <w:r>
              <w:rPr/>
              <w:t>二十</w:t>
            </w:r>
            <w:r>
              <w:rPr>
                <w:spacing w:val="-3"/>
              </w:rPr>
              <w:t>四</w:t>
            </w:r>
            <w:r>
              <w:rPr/>
              <w:t>、</w:t>
            </w:r>
            <w:r>
              <w:rPr>
                <w:spacing w:val="-3"/>
              </w:rPr>
              <w:t>其</w:t>
            </w:r>
            <w:r>
              <w:rPr/>
              <w:t>他</w:t>
            </w:r>
            <w:r>
              <w:rPr>
                <w:spacing w:val="-3"/>
              </w:rPr>
              <w:t>事</w:t>
            </w:r>
            <w:r>
              <w:rPr/>
              <w:t>项</w:t>
              <w:tab/>
            </w:r>
            <w:r>
              <w:rPr>
                <w:rFonts w:ascii="Times New Roman" w:eastAsia="Times New Roman"/>
              </w:rPr>
              <w:t>76</w:t>
            </w:r>
          </w:hyperlink>
        </w:p>
      </w:sdtContent>
    </w:sdt>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spacing w:before="135"/>
        <w:ind w:left="0" w:right="74" w:firstLine="0"/>
        <w:jc w:val="center"/>
        <w:rPr>
          <w:rFonts w:ascii="Times New Roman"/>
          <w:sz w:val="18"/>
        </w:rPr>
      </w:pPr>
      <w:r>
        <w:rPr>
          <w:rFonts w:ascii="Times New Roman"/>
          <w:sz w:val="18"/>
        </w:rPr>
        <w:t>1</w:t>
      </w:r>
    </w:p>
    <w:p>
      <w:pPr>
        <w:spacing w:after="0"/>
        <w:jc w:val="center"/>
        <w:rPr>
          <w:rFonts w:ascii="Times New Roman"/>
          <w:sz w:val="18"/>
        </w:rPr>
        <w:sectPr>
          <w:headerReference w:type="default" r:id="rId5"/>
          <w:pgSz w:w="11910" w:h="16840"/>
          <w:pgMar w:header="880" w:footer="0" w:top="1380" w:bottom="280" w:left="1660" w:right="1580"/>
        </w:sectPr>
      </w:pPr>
    </w:p>
    <w:p>
      <w:pPr>
        <w:pStyle w:val="BodyText"/>
        <w:spacing w:before="9"/>
        <w:ind w:left="0"/>
        <w:rPr>
          <w:rFonts w:ascii="Times New Roman"/>
          <w:sz w:val="8"/>
        </w:rPr>
      </w:pPr>
    </w:p>
    <w:p>
      <w:pPr>
        <w:pStyle w:val="Heading1"/>
        <w:tabs>
          <w:tab w:pos="959" w:val="left" w:leader="none"/>
        </w:tabs>
      </w:pPr>
      <w:bookmarkStart w:name="_bookmark0" w:id="1"/>
      <w:bookmarkEnd w:id="1"/>
      <w:r>
        <w:rPr/>
      </w:r>
      <w:r>
        <w:rPr/>
        <w:t>一、</w:t>
        <w:tab/>
        <w:t>前言</w:t>
      </w:r>
    </w:p>
    <w:p>
      <w:pPr>
        <w:pStyle w:val="BodyText"/>
        <w:ind w:left="0"/>
        <w:rPr>
          <w:rFonts w:ascii="黑体"/>
          <w:sz w:val="32"/>
        </w:rPr>
      </w:pPr>
    </w:p>
    <w:p>
      <w:pPr>
        <w:pStyle w:val="Heading3"/>
      </w:pPr>
      <w:r>
        <w:rPr/>
        <w:t>重要提示</w:t>
      </w:r>
    </w:p>
    <w:p>
      <w:pPr>
        <w:pStyle w:val="BodyText"/>
        <w:spacing w:line="364" w:lineRule="auto" w:before="225"/>
        <w:ind w:right="338" w:firstLine="479"/>
      </w:pPr>
      <w:r>
        <w:rPr/>
        <w:t>中国证监会对本基金募集的核准，并不表明其对基金的价值和收益做出实质性判断或保证，也不表明投资于本基金没有风险。</w:t>
      </w:r>
    </w:p>
    <w:p>
      <w:pPr>
        <w:pStyle w:val="BodyText"/>
        <w:spacing w:line="364" w:lineRule="auto"/>
        <w:ind w:right="338" w:firstLine="479"/>
      </w:pPr>
      <w:r>
        <w:rPr/>
        <w:t>基金管理人依照恪尽职守、诚实信用、谨慎勤勉的原则管理和运用基金财产，但不保证投资于本基金一定盈利，也不保证最低收益。</w:t>
      </w:r>
    </w:p>
    <w:p>
      <w:pPr>
        <w:pStyle w:val="BodyText"/>
        <w:spacing w:line="364" w:lineRule="auto" w:before="2"/>
        <w:ind w:right="215" w:firstLine="479"/>
      </w:pPr>
      <w:r>
        <w:rPr>
          <w:spacing w:val="-10"/>
        </w:rPr>
        <w:t>一、订立《景顺长城内需增长贰号混合型证券投资基金基金合同》的目的、</w:t>
      </w:r>
      <w:r>
        <w:rPr/>
        <w:t>依据和原则</w:t>
      </w:r>
    </w:p>
    <w:p>
      <w:pPr>
        <w:pStyle w:val="BodyText"/>
        <w:spacing w:line="364" w:lineRule="auto"/>
        <w:ind w:right="332" w:firstLine="479"/>
        <w:jc w:val="both"/>
      </w:pPr>
      <w:r>
        <w:rPr/>
        <w:t>1</w:t>
      </w:r>
      <w:r>
        <w:rPr>
          <w:spacing w:val="-5"/>
        </w:rPr>
        <w:t>、订立《景顺长城内需增长贰号混合型证券投资基金基金合同》</w:t>
      </w:r>
      <w:r>
        <w:rPr/>
        <w:t>（以下简</w:t>
      </w:r>
      <w:r>
        <w:rPr>
          <w:spacing w:val="-16"/>
        </w:rPr>
        <w:t>称“基金合同”或“本基金合同”</w:t>
      </w:r>
      <w:r>
        <w:rPr>
          <w:spacing w:val="-17"/>
        </w:rPr>
        <w:t>）</w:t>
      </w:r>
      <w:r>
        <w:rPr>
          <w:spacing w:val="-3"/>
        </w:rPr>
        <w:t>的目的是保护基金投资者合法权益、明确本</w:t>
      </w:r>
      <w:r>
        <w:rPr/>
        <w:t>基金合同当事人的权利与义务、规范景顺长城内需增长贰号混合型证券投资基金（</w:t>
      </w:r>
      <w:r>
        <w:rPr>
          <w:spacing w:val="-14"/>
        </w:rPr>
        <w:t>以下简称“本基金”</w:t>
      </w:r>
      <w:r>
        <w:rPr/>
        <w:t>）的运作。</w:t>
      </w:r>
    </w:p>
    <w:p>
      <w:pPr>
        <w:pStyle w:val="BodyText"/>
        <w:spacing w:line="364" w:lineRule="auto" w:before="2"/>
        <w:ind w:right="332" w:firstLine="479"/>
        <w:jc w:val="both"/>
      </w:pPr>
      <w:r>
        <w:rPr/>
        <w:t>2</w:t>
      </w:r>
      <w:r>
        <w:rPr>
          <w:spacing w:val="-13"/>
        </w:rPr>
        <w:t>、订立本基金合同的依据是《中华人民共和国民法通则》</w:t>
      </w:r>
      <w:r>
        <w:rPr>
          <w:spacing w:val="-23"/>
        </w:rPr>
        <w:t>、《中华人民共和国合同法》、《中华人民共和国信托法》、</w:t>
      </w:r>
      <w:r>
        <w:rPr/>
        <w:t>2003</w:t>
      </w:r>
      <w:r>
        <w:rPr>
          <w:spacing w:val="-28"/>
        </w:rPr>
        <w:t> 年 </w:t>
      </w:r>
      <w:r>
        <w:rPr/>
        <w:t>10</w:t>
      </w:r>
      <w:r>
        <w:rPr>
          <w:spacing w:val="-28"/>
        </w:rPr>
        <w:t> 月 </w:t>
      </w:r>
      <w:r>
        <w:rPr/>
        <w:t>28</w:t>
      </w:r>
      <w:r>
        <w:rPr>
          <w:spacing w:val="-8"/>
        </w:rPr>
        <w:t> 日第十届全国人民代</w:t>
      </w:r>
    </w:p>
    <w:p>
      <w:pPr>
        <w:pStyle w:val="BodyText"/>
        <w:spacing w:before="2"/>
        <w:jc w:val="both"/>
      </w:pPr>
      <w:r>
        <w:rPr>
          <w:spacing w:val="-4"/>
        </w:rPr>
        <w:t>表大会常务委员会第五次会议通过并于 </w:t>
      </w:r>
      <w:r>
        <w:rPr/>
        <w:t>2004</w:t>
      </w:r>
      <w:r>
        <w:rPr>
          <w:spacing w:val="-40"/>
        </w:rPr>
        <w:t> 年 </w:t>
      </w:r>
      <w:r>
        <w:rPr/>
        <w:t>6</w:t>
      </w:r>
      <w:r>
        <w:rPr>
          <w:spacing w:val="-40"/>
        </w:rPr>
        <w:t> 月 </w:t>
      </w:r>
      <w:r>
        <w:rPr/>
        <w:t>1</w:t>
      </w:r>
      <w:r>
        <w:rPr>
          <w:spacing w:val="-15"/>
        </w:rPr>
        <w:t> 日起施行的《中华人民共</w:t>
      </w:r>
    </w:p>
    <w:p>
      <w:pPr>
        <w:pStyle w:val="BodyText"/>
        <w:spacing w:before="160"/>
        <w:jc w:val="both"/>
      </w:pPr>
      <w:r>
        <w:rPr>
          <w:spacing w:val="-13"/>
        </w:rPr>
        <w:t>和国证券投资基金法》</w:t>
      </w:r>
      <w:r>
        <w:rPr/>
        <w:t>（</w:t>
      </w:r>
      <w:r>
        <w:rPr>
          <w:spacing w:val="-16"/>
        </w:rPr>
        <w:t>以下简称《基金法》</w:t>
      </w:r>
      <w:r>
        <w:rPr>
          <w:spacing w:val="-120"/>
        </w:rPr>
        <w:t>）</w:t>
      </w:r>
      <w:r>
        <w:rPr>
          <w:spacing w:val="-10"/>
        </w:rPr>
        <w:t>、</w:t>
      </w:r>
      <w:r>
        <w:rPr/>
        <w:t>2004</w:t>
      </w:r>
      <w:r>
        <w:rPr>
          <w:spacing w:val="-40"/>
        </w:rPr>
        <w:t> 年 </w:t>
      </w:r>
      <w:r>
        <w:rPr/>
        <w:t>6</w:t>
      </w:r>
      <w:r>
        <w:rPr>
          <w:spacing w:val="-40"/>
        </w:rPr>
        <w:t> 月 </w:t>
      </w:r>
      <w:r>
        <w:rPr/>
        <w:t>29</w:t>
      </w:r>
      <w:r>
        <w:rPr>
          <w:spacing w:val="-8"/>
        </w:rPr>
        <w:t> 日中国证券监督</w:t>
      </w:r>
    </w:p>
    <w:p>
      <w:pPr>
        <w:pStyle w:val="BodyText"/>
        <w:spacing w:line="364" w:lineRule="auto" w:before="161"/>
        <w:ind w:right="214"/>
        <w:jc w:val="both"/>
      </w:pPr>
      <w:r>
        <w:rPr>
          <w:spacing w:val="-11"/>
        </w:rPr>
        <w:t>管理委员会</w:t>
      </w:r>
      <w:r>
        <w:rPr/>
        <w:t>（</w:t>
      </w:r>
      <w:r>
        <w:rPr>
          <w:spacing w:val="-16"/>
        </w:rPr>
        <w:t>以下简称“中国证监会”</w:t>
      </w:r>
      <w:r>
        <w:rPr>
          <w:spacing w:val="-87"/>
        </w:rPr>
        <w:t>）</w:t>
      </w:r>
      <w:r>
        <w:rPr>
          <w:spacing w:val="-12"/>
        </w:rPr>
        <w:t>发布并于 </w:t>
      </w:r>
      <w:r>
        <w:rPr/>
        <w:t>2004</w:t>
      </w:r>
      <w:r>
        <w:rPr>
          <w:spacing w:val="-40"/>
        </w:rPr>
        <w:t> 年 </w:t>
      </w:r>
      <w:r>
        <w:rPr/>
        <w:t>7</w:t>
      </w:r>
      <w:r>
        <w:rPr>
          <w:spacing w:val="-40"/>
        </w:rPr>
        <w:t> 月 </w:t>
      </w:r>
      <w:r>
        <w:rPr/>
        <w:t>1</w:t>
      </w:r>
      <w:r>
        <w:rPr>
          <w:spacing w:val="-15"/>
        </w:rPr>
        <w:t> 日起施行的《证</w:t>
      </w:r>
      <w:r>
        <w:rPr>
          <w:spacing w:val="-24"/>
        </w:rPr>
        <w:t>券投资基金运作管理办法》</w:t>
      </w:r>
      <w:r>
        <w:rPr/>
        <w:t>（</w:t>
      </w:r>
      <w:r>
        <w:rPr>
          <w:spacing w:val="-12"/>
        </w:rPr>
        <w:t>以下简称《运作办法》</w:t>
      </w:r>
      <w:r>
        <w:rPr/>
        <w:t>）和《证券投资基金销售管</w:t>
      </w:r>
      <w:r>
        <w:rPr>
          <w:spacing w:val="-38"/>
        </w:rPr>
        <w:t>理办法》</w:t>
      </w:r>
      <w:r>
        <w:rPr/>
        <w:t>（</w:t>
      </w:r>
      <w:r>
        <w:rPr>
          <w:spacing w:val="-18"/>
        </w:rPr>
        <w:t>以下简称《销售办法》</w:t>
      </w:r>
      <w:r>
        <w:rPr>
          <w:spacing w:val="-120"/>
        </w:rPr>
        <w:t>）</w:t>
      </w:r>
      <w:r>
        <w:rPr>
          <w:spacing w:val="-15"/>
        </w:rPr>
        <w:t>、《公开募集证券投资基金信息披露管理办法》</w:t>
      </w:r>
    </w:p>
    <w:p>
      <w:pPr>
        <w:pStyle w:val="BodyText"/>
        <w:spacing w:line="364" w:lineRule="auto" w:before="2"/>
        <w:ind w:right="332"/>
      </w:pPr>
      <w:r>
        <w:rPr/>
        <w:t>（</w:t>
      </w:r>
      <w:r>
        <w:rPr>
          <w:spacing w:val="-17"/>
        </w:rPr>
        <w:t>以下简称《信息披露办法》</w:t>
      </w:r>
      <w:r>
        <w:rPr>
          <w:spacing w:val="-120"/>
        </w:rPr>
        <w:t>）</w:t>
      </w:r>
      <w:r>
        <w:rPr>
          <w:spacing w:val="-15"/>
        </w:rPr>
        <w:t>、《公开募集开放式证券投资基金流动性风险管理</w:t>
      </w:r>
      <w:r>
        <w:rPr/>
        <w:t>规定》(以下简称《流动性风险管理规定》)及其他有关规定。</w:t>
      </w:r>
    </w:p>
    <w:p>
      <w:pPr>
        <w:pStyle w:val="BodyText"/>
        <w:spacing w:line="364" w:lineRule="auto"/>
        <w:ind w:right="332" w:firstLine="479"/>
      </w:pPr>
      <w:r>
        <w:rPr/>
        <w:t>3</w:t>
      </w:r>
      <w:r>
        <w:rPr>
          <w:spacing w:val="-10"/>
        </w:rPr>
        <w:t>、订立本基金合同的原则是平等自愿、诚实信用、充分保护投资者合法权</w:t>
      </w:r>
      <w:r>
        <w:rPr/>
        <w:t>益。</w:t>
      </w:r>
    </w:p>
    <w:p>
      <w:pPr>
        <w:pStyle w:val="BodyText"/>
        <w:spacing w:line="364" w:lineRule="auto" w:before="2"/>
        <w:ind w:right="336" w:firstLine="479"/>
        <w:jc w:val="both"/>
      </w:pPr>
      <w:r>
        <w:rPr/>
        <w:t>二、基金合同是规定基金合同当事人之间权利义务关系的基本法律文件， 其他与本基金相关的涉及基金合同当事人之间权利义务关系的任何文件或表述，均以基金合同为准。</w:t>
      </w:r>
    </w:p>
    <w:p>
      <w:pPr>
        <w:pStyle w:val="BodyText"/>
        <w:ind w:left="618"/>
      </w:pPr>
      <w:r>
        <w:rPr/>
        <w:t>三、本基金合同的当事人包括基金管理人、基金托管人和基金份额持有人。</w:t>
      </w:r>
    </w:p>
    <w:p>
      <w:pPr>
        <w:spacing w:after="0"/>
        <w:sectPr>
          <w:footerReference w:type="default" r:id="rId6"/>
          <w:pgSz w:w="11910" w:h="16840"/>
          <w:pgMar w:footer="1964" w:header="880" w:top="1380" w:bottom="2160" w:left="1660" w:right="1580"/>
          <w:pgNumType w:start="1"/>
        </w:sectPr>
      </w:pPr>
    </w:p>
    <w:p>
      <w:pPr>
        <w:pStyle w:val="BodyText"/>
        <w:spacing w:line="364" w:lineRule="auto" w:before="130"/>
        <w:ind w:right="334"/>
        <w:jc w:val="both"/>
      </w:pPr>
      <w:r>
        <w:rPr/>
        <w:t>基金管理人和基金托管人自基金合同签定之日起成为基金合同的当事人。基金</w:t>
      </w:r>
      <w:r>
        <w:rPr>
          <w:spacing w:val="-1"/>
        </w:rPr>
        <w:t>投资人自依基金合同的规定取得了基金份额，即成为基金份额持有人和基金合同的当事人，其持有基金份额的行为本身即表明其对基金合同的承认和接受。</w:t>
      </w:r>
      <w:r>
        <w:rPr>
          <w:spacing w:val="-15"/>
        </w:rPr>
        <w:t>本基金合同的当事人按照《基金法》、基金合同及其他有关规定享受权利，承担</w:t>
      </w:r>
      <w:r>
        <w:rPr/>
        <w:t>义务。</w:t>
      </w:r>
    </w:p>
    <w:p>
      <w:pPr>
        <w:pStyle w:val="BodyText"/>
        <w:spacing w:line="364" w:lineRule="auto" w:before="3"/>
        <w:ind w:right="215" w:firstLine="479"/>
      </w:pPr>
      <w:r>
        <w:rPr>
          <w:spacing w:val="-11"/>
        </w:rPr>
        <w:t>四、基金管理人、基金托管人在本基金合同之外披露的涉及本基金的信息， </w:t>
      </w:r>
      <w:r>
        <w:rPr/>
        <w:t>其内容涉及界定本基金合同当事人之间权利义务关系的，以本基金合同的规定为准。</w:t>
      </w:r>
    </w:p>
    <w:p>
      <w:pPr>
        <w:pStyle w:val="BodyText"/>
        <w:spacing w:line="364" w:lineRule="auto" w:before="2"/>
        <w:ind w:right="340" w:firstLine="479"/>
        <w:jc w:val="both"/>
      </w:pPr>
      <w:r>
        <w:rPr/>
        <w:t>五、现行法规变更引起本基金合同事项变更，或者相关事项变更对持有人权利或权益无不良影响，经基金管理人和托管人协商，并经监管机关批准，可以不召开持有人大会对本合同进行修改。</w:t>
      </w:r>
    </w:p>
    <w:p>
      <w:pPr>
        <w:pStyle w:val="BodyText"/>
        <w:spacing w:line="364" w:lineRule="auto" w:before="2"/>
        <w:ind w:right="332" w:firstLine="479"/>
        <w:jc w:val="both"/>
      </w:pPr>
      <w:r>
        <w:rPr/>
        <w:t>六、景顺长城内需增长贰号混合型证券投资基金由景顺长城内需增长贰号</w:t>
      </w:r>
      <w:r>
        <w:rPr>
          <w:spacing w:val="-1"/>
        </w:rPr>
        <w:t>股票型证券投资基金变更而来，景顺长城内需增长贰号股票型证券投资基金由</w:t>
      </w:r>
      <w:r>
        <w:rPr>
          <w:spacing w:val="-17"/>
        </w:rPr>
        <w:t>基金管理人依照《基金法》、基金合同及其他有关规定募集，并经中国证券监督</w:t>
      </w:r>
      <w:r>
        <w:rPr/>
        <w:t>管理委员会</w:t>
      </w:r>
      <w:r>
        <w:rPr>
          <w:rFonts w:ascii="Times New Roman" w:hAnsi="Times New Roman" w:eastAsia="Times New Roman"/>
        </w:rPr>
        <w:t>(</w:t>
      </w:r>
      <w:r>
        <w:rPr/>
        <w:t>以下简称“中国证监会”</w:t>
      </w:r>
      <w:r>
        <w:rPr>
          <w:rFonts w:ascii="Times New Roman" w:hAnsi="Times New Roman" w:eastAsia="Times New Roman"/>
        </w:rPr>
        <w:t>)</w:t>
      </w:r>
      <w:r>
        <w:rPr/>
        <w:t>核准。</w:t>
      </w:r>
    </w:p>
    <w:p>
      <w:pPr>
        <w:pStyle w:val="BodyText"/>
        <w:spacing w:line="364" w:lineRule="auto" w:before="3"/>
        <w:ind w:right="340" w:firstLine="479"/>
        <w:jc w:val="both"/>
      </w:pPr>
      <w:r>
        <w:rPr/>
        <w:t>七、本基金合同关于基金产品资料概要的编制、披露及更新等内容，将不晚于 </w:t>
      </w:r>
      <w:r>
        <w:rPr>
          <w:rFonts w:ascii="Times New Roman" w:eastAsia="Times New Roman"/>
        </w:rPr>
        <w:t>2020 </w:t>
      </w:r>
      <w:r>
        <w:rPr/>
        <w:t>年 </w:t>
      </w:r>
      <w:r>
        <w:rPr>
          <w:rFonts w:ascii="Times New Roman" w:eastAsia="Times New Roman"/>
        </w:rPr>
        <w:t>9 </w:t>
      </w:r>
      <w:r>
        <w:rPr/>
        <w:t>月 </w:t>
      </w:r>
      <w:r>
        <w:rPr>
          <w:rFonts w:ascii="Times New Roman" w:eastAsia="Times New Roman"/>
        </w:rPr>
        <w:t>1 </w:t>
      </w:r>
      <w:r>
        <w:rPr/>
        <w:t>日起执行。</w:t>
      </w:r>
    </w:p>
    <w:p>
      <w:pPr>
        <w:pStyle w:val="BodyText"/>
        <w:spacing w:line="364" w:lineRule="auto"/>
        <w:ind w:right="340" w:firstLine="479"/>
        <w:jc w:val="both"/>
      </w:pPr>
      <w:r>
        <w:rPr/>
        <w:t>八、本基金的投资范围包括存托凭证，若投资可能面临中国存托凭证价格大幅波动甚至出现较大亏损的风险，以及与创新企业、境外发行人、中国存托凭证发行机制以及交易机制等相关的风险。</w:t>
      </w:r>
    </w:p>
    <w:p>
      <w:pPr>
        <w:spacing w:after="0" w:line="364" w:lineRule="auto"/>
        <w:jc w:val="both"/>
        <w:sectPr>
          <w:pgSz w:w="11910" w:h="16840"/>
          <w:pgMar w:header="880" w:footer="1964" w:top="1380" w:bottom="2160" w:left="1660" w:right="1580"/>
        </w:sectPr>
      </w:pPr>
    </w:p>
    <w:p>
      <w:pPr>
        <w:pStyle w:val="BodyText"/>
        <w:spacing w:before="8"/>
        <w:ind w:left="0"/>
        <w:rPr>
          <w:sz w:val="8"/>
        </w:rPr>
      </w:pPr>
    </w:p>
    <w:p>
      <w:pPr>
        <w:spacing w:before="58"/>
        <w:ind w:left="87" w:right="283" w:firstLine="0"/>
        <w:jc w:val="center"/>
        <w:rPr>
          <w:b/>
          <w:sz w:val="30"/>
        </w:rPr>
      </w:pPr>
      <w:bookmarkStart w:name="_bookmark1" w:id="2"/>
      <w:bookmarkEnd w:id="2"/>
      <w:r>
        <w:rPr/>
      </w:r>
      <w:r>
        <w:rPr>
          <w:b/>
          <w:sz w:val="30"/>
        </w:rPr>
        <w:t>二、释义</w:t>
      </w:r>
    </w:p>
    <w:p>
      <w:pPr>
        <w:pStyle w:val="BodyText"/>
        <w:spacing w:before="0"/>
        <w:ind w:left="0"/>
        <w:rPr>
          <w:b/>
          <w:sz w:val="30"/>
        </w:rPr>
      </w:pPr>
    </w:p>
    <w:p>
      <w:pPr>
        <w:pStyle w:val="BodyText"/>
        <w:spacing w:before="2"/>
        <w:ind w:left="0"/>
        <w:rPr>
          <w:b/>
          <w:sz w:val="22"/>
        </w:rPr>
      </w:pPr>
    </w:p>
    <w:p>
      <w:pPr>
        <w:pStyle w:val="BodyText"/>
        <w:ind w:left="618"/>
      </w:pPr>
      <w:r>
        <w:rPr/>
        <w:t>本基金合同中，除非文义另有所指，下列词语或简称具有如下含义：</w:t>
      </w:r>
    </w:p>
    <w:p>
      <w:pPr>
        <w:pStyle w:val="BodyText"/>
        <w:spacing w:line="364" w:lineRule="auto" w:before="160"/>
        <w:ind w:right="337" w:firstLine="479"/>
      </w:pPr>
      <w:r>
        <w:rPr/>
        <w:t>基金合同：指《景顺长城内需增长贰号混合型证券投资基金基金合同》及对本基金合同的任何修订和补充；</w:t>
      </w:r>
    </w:p>
    <w:p>
      <w:pPr>
        <w:pStyle w:val="BodyText"/>
        <w:spacing w:line="364" w:lineRule="auto"/>
        <w:ind w:right="340" w:firstLine="479"/>
      </w:pPr>
      <w:r>
        <w:rPr/>
        <w:t>中国：指中华人民共和国（</w:t>
      </w:r>
      <w:r>
        <w:rPr>
          <w:spacing w:val="-1"/>
        </w:rPr>
        <w:t>就本基金合同而言，不包括香港特别行政区、</w:t>
      </w:r>
      <w:r>
        <w:rPr/>
        <w:t>澳门特别行政区及台湾地区</w:t>
      </w:r>
      <w:r>
        <w:rPr>
          <w:spacing w:val="-120"/>
        </w:rPr>
        <w:t>）</w:t>
      </w:r>
      <w:r>
        <w:rPr/>
        <w:t>；</w:t>
      </w:r>
    </w:p>
    <w:p>
      <w:pPr>
        <w:pStyle w:val="BodyText"/>
        <w:spacing w:before="2"/>
        <w:ind w:left="618"/>
      </w:pPr>
      <w:r>
        <w:rPr/>
        <w:t>《基金法》：指 </w:t>
      </w:r>
      <w:r>
        <w:rPr>
          <w:rFonts w:ascii="Times New Roman" w:eastAsia="Times New Roman"/>
        </w:rPr>
        <w:t>2003 </w:t>
      </w:r>
      <w:r>
        <w:rPr/>
        <w:t>年 </w:t>
      </w:r>
      <w:r>
        <w:rPr>
          <w:rFonts w:ascii="Times New Roman" w:eastAsia="Times New Roman"/>
        </w:rPr>
        <w:t>10 </w:t>
      </w:r>
      <w:r>
        <w:rPr/>
        <w:t>月 </w:t>
      </w:r>
      <w:r>
        <w:rPr>
          <w:rFonts w:ascii="Times New Roman" w:eastAsia="Times New Roman"/>
        </w:rPr>
        <w:t>28 </w:t>
      </w:r>
      <w:r>
        <w:rPr/>
        <w:t>日经第十届全国人民代表大会常务委员会</w:t>
      </w:r>
    </w:p>
    <w:p>
      <w:pPr>
        <w:pStyle w:val="BodyText"/>
        <w:spacing w:line="364" w:lineRule="auto" w:before="161"/>
        <w:ind w:right="334"/>
      </w:pPr>
      <w:r>
        <w:rPr>
          <w:spacing w:val="-6"/>
        </w:rPr>
        <w:t>第五次会议通过并于 </w:t>
      </w:r>
      <w:r>
        <w:rPr>
          <w:rFonts w:ascii="Times New Roman" w:eastAsia="Times New Roman"/>
        </w:rPr>
        <w:t>2004 </w:t>
      </w:r>
      <w:r>
        <w:rPr>
          <w:spacing w:val="-30"/>
        </w:rPr>
        <w:t>年 </w:t>
      </w:r>
      <w:r>
        <w:rPr>
          <w:rFonts w:ascii="Times New Roman" w:eastAsia="Times New Roman"/>
        </w:rPr>
        <w:t>6 </w:t>
      </w:r>
      <w:r>
        <w:rPr>
          <w:spacing w:val="-30"/>
        </w:rPr>
        <w:t>月 </w:t>
      </w:r>
      <w:r>
        <w:rPr>
          <w:rFonts w:ascii="Times New Roman" w:eastAsia="Times New Roman"/>
        </w:rPr>
        <w:t>1 </w:t>
      </w:r>
      <w:r>
        <w:rPr>
          <w:spacing w:val="-11"/>
        </w:rPr>
        <w:t>日起施行的《中华人民共和国证券投资基金</w:t>
      </w:r>
      <w:r>
        <w:rPr>
          <w:spacing w:val="-40"/>
        </w:rPr>
        <w:t>法》；</w:t>
      </w:r>
    </w:p>
    <w:p>
      <w:pPr>
        <w:pStyle w:val="BodyText"/>
        <w:spacing w:line="364" w:lineRule="auto"/>
        <w:ind w:right="333" w:firstLine="479"/>
        <w:jc w:val="both"/>
      </w:pPr>
      <w:r>
        <w:rPr/>
        <w:t>《运作办法》</w:t>
      </w:r>
      <w:r>
        <w:rPr>
          <w:rFonts w:ascii="Times New Roman" w:eastAsia="Times New Roman"/>
          <w:spacing w:val="23"/>
        </w:rPr>
        <w:t>: </w:t>
      </w:r>
      <w:r>
        <w:rPr>
          <w:spacing w:val="-26"/>
        </w:rPr>
        <w:t>指 </w:t>
      </w:r>
      <w:r>
        <w:rPr>
          <w:rFonts w:ascii="Times New Roman" w:eastAsia="Times New Roman"/>
        </w:rPr>
        <w:t>2004 </w:t>
      </w:r>
      <w:r>
        <w:rPr>
          <w:spacing w:val="-26"/>
        </w:rPr>
        <w:t>年 </w:t>
      </w:r>
      <w:r>
        <w:rPr>
          <w:rFonts w:ascii="Times New Roman" w:eastAsia="Times New Roman"/>
        </w:rPr>
        <w:t>6 </w:t>
      </w:r>
      <w:r>
        <w:rPr>
          <w:spacing w:val="-25"/>
        </w:rPr>
        <w:t>月 </w:t>
      </w:r>
      <w:r>
        <w:rPr>
          <w:rFonts w:ascii="Times New Roman" w:eastAsia="Times New Roman"/>
        </w:rPr>
        <w:t>29 </w:t>
      </w:r>
      <w:r>
        <w:rPr>
          <w:spacing w:val="-4"/>
        </w:rPr>
        <w:t>日由中国证监会发布并于同年 </w:t>
      </w:r>
      <w:r>
        <w:rPr>
          <w:rFonts w:ascii="Times New Roman" w:eastAsia="Times New Roman"/>
        </w:rPr>
        <w:t>7 </w:t>
      </w:r>
      <w:r>
        <w:rPr>
          <w:spacing w:val="-26"/>
        </w:rPr>
        <w:t>月 </w:t>
      </w:r>
      <w:r>
        <w:rPr>
          <w:rFonts w:ascii="Times New Roman" w:eastAsia="Times New Roman"/>
        </w:rPr>
        <w:t>1 </w:t>
      </w:r>
      <w:r>
        <w:rPr/>
        <w:t>日</w:t>
      </w:r>
      <w:r>
        <w:rPr>
          <w:spacing w:val="-7"/>
        </w:rPr>
        <w:t>起施行的《证券投资基金运作管理办法》；</w:t>
      </w:r>
    </w:p>
    <w:p>
      <w:pPr>
        <w:pStyle w:val="BodyText"/>
        <w:spacing w:line="364" w:lineRule="auto"/>
        <w:ind w:right="333" w:firstLine="479"/>
        <w:jc w:val="both"/>
      </w:pPr>
      <w:r>
        <w:rPr>
          <w:spacing w:val="-31"/>
        </w:rPr>
        <w:t>《销售办法》：指 </w:t>
      </w:r>
      <w:r>
        <w:rPr>
          <w:rFonts w:ascii="Times New Roman" w:eastAsia="Times New Roman"/>
        </w:rPr>
        <w:t>2004 </w:t>
      </w:r>
      <w:r>
        <w:rPr>
          <w:spacing w:val="-30"/>
        </w:rPr>
        <w:t>年 </w:t>
      </w:r>
      <w:r>
        <w:rPr>
          <w:rFonts w:ascii="Times New Roman" w:eastAsia="Times New Roman"/>
        </w:rPr>
        <w:t>6 </w:t>
      </w:r>
      <w:r>
        <w:rPr>
          <w:spacing w:val="-30"/>
        </w:rPr>
        <w:t>月 </w:t>
      </w:r>
      <w:r>
        <w:rPr>
          <w:rFonts w:ascii="Times New Roman" w:eastAsia="Times New Roman"/>
        </w:rPr>
        <w:t>25 </w:t>
      </w:r>
      <w:r>
        <w:rPr>
          <w:spacing w:val="-5"/>
        </w:rPr>
        <w:t>日由中国证监会发布并于同年 </w:t>
      </w:r>
      <w:r>
        <w:rPr>
          <w:rFonts w:ascii="Times New Roman" w:eastAsia="Times New Roman"/>
        </w:rPr>
        <w:t>7 </w:t>
      </w:r>
      <w:r>
        <w:rPr>
          <w:spacing w:val="-30"/>
        </w:rPr>
        <w:t>月 </w:t>
      </w:r>
      <w:r>
        <w:rPr>
          <w:rFonts w:ascii="Times New Roman" w:eastAsia="Times New Roman"/>
        </w:rPr>
        <w:t>1 </w:t>
      </w:r>
      <w:r>
        <w:rPr>
          <w:spacing w:val="-8"/>
        </w:rPr>
        <w:t>日起施行的《证券投资基金销售管理办法》；</w:t>
      </w:r>
    </w:p>
    <w:p>
      <w:pPr>
        <w:pStyle w:val="BodyText"/>
        <w:spacing w:line="364" w:lineRule="auto" w:before="2"/>
        <w:ind w:right="331" w:firstLine="479"/>
        <w:jc w:val="both"/>
      </w:pPr>
      <w:r>
        <w:rPr>
          <w:spacing w:val="-17"/>
        </w:rPr>
        <w:t>《信息披露办法》：指中国证监会 </w:t>
      </w:r>
      <w:r>
        <w:rPr>
          <w:rFonts w:ascii="Times New Roman" w:eastAsia="Times New Roman"/>
        </w:rPr>
        <w:t>2019 </w:t>
      </w:r>
      <w:r>
        <w:rPr>
          <w:spacing w:val="-30"/>
        </w:rPr>
        <w:t>年 </w:t>
      </w:r>
      <w:r>
        <w:rPr>
          <w:rFonts w:ascii="Times New Roman" w:eastAsia="Times New Roman"/>
        </w:rPr>
        <w:t>7 </w:t>
      </w:r>
      <w:r>
        <w:rPr>
          <w:spacing w:val="-30"/>
        </w:rPr>
        <w:t>月 </w:t>
      </w:r>
      <w:r>
        <w:rPr>
          <w:rFonts w:ascii="Times New Roman" w:eastAsia="Times New Roman"/>
        </w:rPr>
        <w:t>26 </w:t>
      </w:r>
      <w:r>
        <w:rPr>
          <w:spacing w:val="-17"/>
        </w:rPr>
        <w:t>日颁布、同年 </w:t>
      </w:r>
      <w:r>
        <w:rPr>
          <w:rFonts w:ascii="Times New Roman" w:eastAsia="Times New Roman"/>
        </w:rPr>
        <w:t>9 </w:t>
      </w:r>
      <w:r>
        <w:rPr>
          <w:spacing w:val="-30"/>
        </w:rPr>
        <w:t>月 </w:t>
      </w:r>
      <w:r>
        <w:rPr>
          <w:rFonts w:ascii="Times New Roman" w:eastAsia="Times New Roman"/>
        </w:rPr>
        <w:t>1 </w:t>
      </w:r>
      <w:r>
        <w:rPr>
          <w:spacing w:val="-8"/>
        </w:rPr>
        <w:t>日实</w:t>
      </w:r>
      <w:r>
        <w:rPr/>
        <w:t>施的《公开募集证券投资基金信息披露管理办法》及颁布机关对其不时做出的修订；</w:t>
      </w:r>
    </w:p>
    <w:p>
      <w:pPr>
        <w:pStyle w:val="BodyText"/>
        <w:ind w:left="618"/>
      </w:pPr>
      <w:r>
        <w:rPr/>
        <w:t>元：指人民币元；</w:t>
      </w:r>
    </w:p>
    <w:p>
      <w:pPr>
        <w:pStyle w:val="BodyText"/>
        <w:spacing w:line="364" w:lineRule="auto" w:before="161"/>
        <w:ind w:right="339" w:firstLine="479"/>
      </w:pPr>
      <w:r>
        <w:rPr/>
        <w:t>基金或本基金：指景顺长城内需增长贰号混合型证券投资基金，本基金由景顺长城内需增长贰号股票型证券投资基金变更而来；</w:t>
      </w:r>
    </w:p>
    <w:p>
      <w:pPr>
        <w:pStyle w:val="BodyText"/>
        <w:spacing w:line="364" w:lineRule="auto"/>
        <w:ind w:right="215" w:firstLine="479"/>
      </w:pPr>
      <w:r>
        <w:rPr>
          <w:spacing w:val="-11"/>
        </w:rPr>
        <w:t>招募说明书：指《景顺长城内需增长贰号混合型证券投资基金招募说明书》</w:t>
      </w:r>
      <w:r>
        <w:rPr/>
        <w:t>及其任何有效修订与更新；</w:t>
      </w:r>
    </w:p>
    <w:p>
      <w:pPr>
        <w:pStyle w:val="BodyText"/>
        <w:spacing w:line="364" w:lineRule="auto" w:before="2"/>
        <w:ind w:right="336" w:firstLine="479"/>
      </w:pPr>
      <w:r>
        <w:rPr>
          <w:spacing w:val="-1"/>
        </w:rPr>
        <w:t>基金产品资料概要：指《景顺长城内需增长贰号混合型证券投资基金基金</w:t>
      </w:r>
      <w:r>
        <w:rPr/>
        <w:t>产品资料概要》及其更新；</w:t>
      </w:r>
    </w:p>
    <w:p>
      <w:pPr>
        <w:pStyle w:val="BodyText"/>
        <w:spacing w:line="364" w:lineRule="auto"/>
        <w:ind w:right="337" w:firstLine="479"/>
      </w:pPr>
      <w:r>
        <w:rPr/>
        <w:t>发售公告或基金份额发售公告：指本基金根据《运作办法》变更为混合基金前的《景顺长城内需增长贰号股票型证券投资基金基金份额发售公告》；</w:t>
      </w:r>
    </w:p>
    <w:p>
      <w:pPr>
        <w:pStyle w:val="BodyText"/>
        <w:ind w:left="618"/>
      </w:pPr>
      <w:r>
        <w:rPr/>
        <w:t>中国证监会：指中国证券监督管理委员会；</w:t>
      </w:r>
    </w:p>
    <w:p>
      <w:pPr>
        <w:spacing w:after="0"/>
        <w:sectPr>
          <w:pgSz w:w="11910" w:h="16840"/>
          <w:pgMar w:header="880" w:footer="1964" w:top="1380" w:bottom="2160" w:left="1660" w:right="1580"/>
        </w:sectPr>
      </w:pPr>
    </w:p>
    <w:p>
      <w:pPr>
        <w:pStyle w:val="BodyText"/>
        <w:spacing w:line="364" w:lineRule="auto" w:before="130"/>
        <w:ind w:left="618" w:right="215"/>
      </w:pPr>
      <w:r>
        <w:rPr>
          <w:spacing w:val="-11"/>
        </w:rPr>
        <w:t>银行监管机构：指中国银行业监督管理委员会或其他经国务院授权的机构； </w:t>
      </w:r>
      <w:r>
        <w:rPr/>
        <w:t>基金管理人：指景顺长城基金管理有限公司；</w:t>
      </w:r>
    </w:p>
    <w:p>
      <w:pPr>
        <w:pStyle w:val="BodyText"/>
        <w:ind w:left="618"/>
      </w:pPr>
      <w:r>
        <w:rPr/>
        <w:t>基金托管人：指中国农业银行股份有限公司；</w:t>
      </w:r>
    </w:p>
    <w:p>
      <w:pPr>
        <w:pStyle w:val="BodyText"/>
        <w:spacing w:line="364" w:lineRule="auto" w:before="160"/>
        <w:ind w:right="340" w:firstLine="479"/>
      </w:pPr>
      <w:r>
        <w:rPr/>
        <w:t>基金份额持有人：指根据《基金合同》及相关文件合法取得本基金基金份额的投资者；</w:t>
      </w:r>
    </w:p>
    <w:p>
      <w:pPr>
        <w:pStyle w:val="BodyText"/>
        <w:spacing w:line="364" w:lineRule="auto" w:before="2"/>
        <w:ind w:right="340" w:firstLine="479"/>
      </w:pPr>
      <w:r>
        <w:rPr/>
        <w:t>基金代销机构：指依据有关基金销售与服务代理协议办理本基金发售、申购、赎回和其他基金业务的代理机构；</w:t>
      </w:r>
    </w:p>
    <w:p>
      <w:pPr>
        <w:pStyle w:val="BodyText"/>
        <w:ind w:left="618"/>
      </w:pPr>
      <w:r>
        <w:rPr/>
        <w:t>销售机构：指基金管理人及基金代销机构；</w:t>
      </w:r>
    </w:p>
    <w:p>
      <w:pPr>
        <w:pStyle w:val="BodyText"/>
        <w:spacing w:before="161"/>
        <w:ind w:left="618"/>
      </w:pPr>
      <w:r>
        <w:rPr/>
        <w:t>基金销售网点：指基金管理人的直销网点及基金代销机构的代销网点</w:t>
      </w:r>
    </w:p>
    <w:p>
      <w:pPr>
        <w:pStyle w:val="BodyText"/>
        <w:spacing w:line="364" w:lineRule="auto" w:before="160"/>
        <w:ind w:right="340" w:firstLine="479"/>
        <w:jc w:val="both"/>
      </w:pPr>
      <w:r>
        <w:rPr/>
        <w:t>注册登记业务：指基金登记、存管、清算和交收业务，具体内容包括投资者基金账户管理、基金份额注册登记、清算及基金交易确认、代理发放红利、建立并保管基金份额持有人名册等；</w:t>
      </w:r>
    </w:p>
    <w:p>
      <w:pPr>
        <w:pStyle w:val="BodyText"/>
        <w:spacing w:line="364" w:lineRule="auto" w:before="2"/>
        <w:ind w:right="340" w:firstLine="479"/>
      </w:pPr>
      <w:r>
        <w:rPr/>
        <w:t>基金注册登记人：指景顺长城基金管理有限公司或其委托的其他符合条件的机构；</w:t>
      </w:r>
    </w:p>
    <w:p>
      <w:pPr>
        <w:pStyle w:val="BodyText"/>
        <w:spacing w:line="364" w:lineRule="auto" w:before="2"/>
        <w:ind w:right="340" w:firstLine="479"/>
      </w:pPr>
      <w:r>
        <w:rPr/>
        <w:t>《基金合同》当事人：指受《基金合同》约束，根据《基金合同》享受权利并承担义务的法律主体；</w:t>
      </w:r>
    </w:p>
    <w:p>
      <w:pPr>
        <w:pStyle w:val="BodyText"/>
        <w:spacing w:line="364" w:lineRule="auto"/>
        <w:ind w:left="618" w:right="215"/>
      </w:pPr>
      <w:r>
        <w:rPr>
          <w:spacing w:val="-11"/>
        </w:rPr>
        <w:t>个人投资者：指符合法律法规规定的条件可以投资证券投资基金的自然人； </w:t>
      </w:r>
      <w:r>
        <w:rPr/>
        <w:t>机构投资者：指符合法律法规规定可以投资证券投资基金的在中华人民共</w:t>
      </w:r>
    </w:p>
    <w:p>
      <w:pPr>
        <w:pStyle w:val="BodyText"/>
      </w:pPr>
      <w:r>
        <w:rPr/>
        <w:t>和国注册登记或经政府有关部门批准设立的机构；</w:t>
      </w:r>
    </w:p>
    <w:p>
      <w:pPr>
        <w:pStyle w:val="BodyText"/>
        <w:spacing w:line="364" w:lineRule="auto" w:before="161"/>
        <w:ind w:right="340" w:firstLine="479"/>
        <w:jc w:val="both"/>
      </w:pPr>
      <w:r>
        <w:rPr/>
        <w:t>合格境外机构投资者：指符合《合格境外机构投资者境内证券投资管理暂行办法》及相关法律法规规定的可投资于中国境内证券的中国境外的机构投资者；</w:t>
      </w:r>
    </w:p>
    <w:p>
      <w:pPr>
        <w:pStyle w:val="BodyText"/>
        <w:spacing w:before="2"/>
        <w:ind w:left="618"/>
      </w:pPr>
      <w:r>
        <w:rPr/>
        <w:t>投资者：指个人投资者、机构投资者和合格境外机构投资者的总称；</w:t>
      </w:r>
    </w:p>
    <w:p>
      <w:pPr>
        <w:pStyle w:val="BodyText"/>
        <w:spacing w:line="364" w:lineRule="auto" w:before="161"/>
        <w:ind w:right="340" w:firstLine="479"/>
      </w:pPr>
      <w:r>
        <w:rPr/>
        <w:t>基金合同生效日：指基金募集期结束并达到合同生效条件后向中国证监会办理基金合同备案手续并收到其书面确认之日；</w:t>
      </w:r>
    </w:p>
    <w:p>
      <w:pPr>
        <w:pStyle w:val="BodyText"/>
        <w:ind w:left="618"/>
      </w:pPr>
      <w:r>
        <w:rPr/>
        <w:t>募集期：指自基金份额发售之日起最长不超过 </w:t>
      </w:r>
      <w:r>
        <w:rPr>
          <w:rFonts w:ascii="Times New Roman" w:eastAsia="Times New Roman"/>
        </w:rPr>
        <w:t>3 </w:t>
      </w:r>
      <w:r>
        <w:rPr/>
        <w:t>个月；</w:t>
      </w:r>
    </w:p>
    <w:p>
      <w:pPr>
        <w:pStyle w:val="BodyText"/>
        <w:spacing w:line="364" w:lineRule="auto" w:before="160"/>
        <w:ind w:left="618" w:right="604"/>
        <w:rPr>
          <w:rFonts w:ascii="Times New Roman" w:eastAsia="Times New Roman"/>
        </w:rPr>
      </w:pPr>
      <w:r>
        <w:rPr/>
        <w:t>存续期：指基金合同生效至基金合同终止，基金存续的不定期之期限； 日</w:t>
      </w:r>
      <w:r>
        <w:rPr>
          <w:rFonts w:ascii="Times New Roman" w:eastAsia="Times New Roman"/>
        </w:rPr>
        <w:t>/</w:t>
      </w:r>
      <w:r>
        <w:rPr/>
        <w:t>天</w:t>
      </w:r>
      <w:r>
        <w:rPr>
          <w:rFonts w:ascii="Times New Roman" w:eastAsia="Times New Roman"/>
        </w:rPr>
        <w:t>: </w:t>
      </w:r>
      <w:r>
        <w:rPr/>
        <w:t>指公历日</w:t>
      </w:r>
      <w:r>
        <w:rPr>
          <w:rFonts w:ascii="Times New Roman" w:eastAsia="Times New Roman"/>
        </w:rPr>
        <w:t>;</w:t>
      </w:r>
    </w:p>
    <w:p>
      <w:pPr>
        <w:spacing w:after="0" w:line="364" w:lineRule="auto"/>
        <w:rPr>
          <w:rFonts w:ascii="Times New Roman" w:eastAsia="Times New Roman"/>
        </w:rPr>
        <w:sectPr>
          <w:pgSz w:w="11910" w:h="16840"/>
          <w:pgMar w:header="880" w:footer="1964" w:top="1380" w:bottom="2160" w:left="1660" w:right="1580"/>
        </w:sectPr>
      </w:pPr>
    </w:p>
    <w:p>
      <w:pPr>
        <w:pStyle w:val="BodyText"/>
        <w:spacing w:before="130"/>
        <w:ind w:left="618"/>
      </w:pPr>
      <w:r>
        <w:rPr/>
        <w:t>月：指公历月；</w:t>
      </w:r>
    </w:p>
    <w:p>
      <w:pPr>
        <w:pStyle w:val="BodyText"/>
        <w:spacing w:line="364" w:lineRule="auto" w:before="160"/>
        <w:ind w:left="618" w:right="1566"/>
      </w:pPr>
      <w:r>
        <w:rPr/>
        <w:t>工作日：指上海证券交易所和深圳证券交易所的正常交易日； 开放日：指销售机构办理本基金申购、赎回等业务的工作日；</w:t>
      </w:r>
    </w:p>
    <w:p>
      <w:pPr>
        <w:pStyle w:val="BodyText"/>
        <w:spacing w:line="364" w:lineRule="auto"/>
        <w:ind w:left="618" w:right="881"/>
      </w:pPr>
      <w:r>
        <w:rPr>
          <w:rFonts w:ascii="Times New Roman" w:eastAsia="Times New Roman"/>
        </w:rPr>
        <w:t>T </w:t>
      </w:r>
      <w:r>
        <w:rPr/>
        <w:t>日：指销售机构在规定时间受理投资者申购、赎回或其他业务申请的日期；</w:t>
      </w:r>
    </w:p>
    <w:p>
      <w:pPr>
        <w:pStyle w:val="BodyText"/>
        <w:spacing w:before="2"/>
        <w:ind w:left="618"/>
      </w:pPr>
      <w:r>
        <w:rPr>
          <w:rFonts w:ascii="Times New Roman" w:eastAsia="Times New Roman"/>
        </w:rPr>
        <w:t>T</w:t>
      </w:r>
      <w:r>
        <w:rPr>
          <w:rFonts w:ascii="Times New Roman" w:eastAsia="Times New Roman"/>
          <w:spacing w:val="-2"/>
        </w:rPr>
        <w:t>+</w:t>
      </w:r>
      <w:r>
        <w:rPr>
          <w:rFonts w:ascii="Times New Roman" w:eastAsia="Times New Roman"/>
          <w:w w:val="99"/>
        </w:rPr>
        <w:t>N</w:t>
      </w:r>
      <w:r>
        <w:rPr>
          <w:rFonts w:ascii="Times New Roman" w:eastAsia="Times New Roman"/>
          <w:spacing w:val="-1"/>
        </w:rPr>
        <w:t> </w:t>
      </w:r>
      <w:r>
        <w:rPr>
          <w:spacing w:val="-12"/>
        </w:rPr>
        <w:t>日：指自 </w:t>
      </w:r>
      <w:r>
        <w:rPr>
          <w:rFonts w:ascii="Times New Roman" w:eastAsia="Times New Roman"/>
        </w:rPr>
        <w:t>T</w:t>
      </w:r>
      <w:r>
        <w:rPr>
          <w:rFonts w:ascii="Times New Roman" w:eastAsia="Times New Roman"/>
          <w:spacing w:val="-1"/>
        </w:rPr>
        <w:t> </w:t>
      </w:r>
      <w:r>
        <w:rPr>
          <w:spacing w:val="-15"/>
        </w:rPr>
        <w:t>日起第 </w:t>
      </w:r>
      <w:r>
        <w:rPr>
          <w:rFonts w:ascii="Times New Roman" w:eastAsia="Times New Roman"/>
          <w:w w:val="99"/>
        </w:rPr>
        <w:t>N</w:t>
      </w:r>
      <w:r>
        <w:rPr>
          <w:rFonts w:ascii="Times New Roman" w:eastAsia="Times New Roman"/>
          <w:spacing w:val="-1"/>
        </w:rPr>
        <w:t> </w:t>
      </w:r>
      <w:r>
        <w:rPr/>
        <w:t>个工作日（</w:t>
      </w:r>
      <w:r>
        <w:rPr>
          <w:spacing w:val="-15"/>
        </w:rPr>
        <w:t>不包含 </w:t>
      </w:r>
      <w:r>
        <w:rPr>
          <w:rFonts w:ascii="Times New Roman" w:eastAsia="Times New Roman"/>
        </w:rPr>
        <w:t>T</w:t>
      </w:r>
      <w:r>
        <w:rPr>
          <w:rFonts w:ascii="Times New Roman" w:eastAsia="Times New Roman"/>
          <w:spacing w:val="-1"/>
        </w:rPr>
        <w:t> </w:t>
      </w:r>
      <w:r>
        <w:rPr/>
        <w:t>日</w:t>
      </w:r>
      <w:r>
        <w:rPr>
          <w:spacing w:val="-120"/>
        </w:rPr>
        <w:t>）</w:t>
      </w:r>
      <w:r>
        <w:rPr/>
        <w:t>；</w:t>
      </w:r>
    </w:p>
    <w:p>
      <w:pPr>
        <w:pStyle w:val="BodyText"/>
        <w:spacing w:before="160"/>
        <w:ind w:left="618"/>
      </w:pPr>
      <w:r>
        <w:rPr/>
        <w:t>认购：指在本基金募集期内，投资者申请购买本基金份额的行为；</w:t>
      </w:r>
    </w:p>
    <w:p>
      <w:pPr>
        <w:pStyle w:val="BodyText"/>
        <w:spacing w:line="364" w:lineRule="auto" w:before="161"/>
        <w:ind w:right="334" w:firstLine="479"/>
        <w:jc w:val="both"/>
      </w:pPr>
      <w:r>
        <w:rPr/>
        <w:t>申购：指基金投资者根据基金销售网点规定的手续，向基金管理人购买基</w:t>
      </w:r>
      <w:r>
        <w:rPr>
          <w:spacing w:val="-2"/>
        </w:rPr>
        <w:t>金份额的行为。本基金的日常申购自基金合同生效后不超过 </w:t>
      </w:r>
      <w:r>
        <w:rPr>
          <w:rFonts w:ascii="Times New Roman" w:eastAsia="Times New Roman"/>
        </w:rPr>
        <w:t>3 </w:t>
      </w:r>
      <w:r>
        <w:rPr>
          <w:spacing w:val="-3"/>
        </w:rPr>
        <w:t>个月的时间开始</w:t>
      </w:r>
      <w:r>
        <w:rPr/>
        <w:t>办理；</w:t>
      </w:r>
    </w:p>
    <w:p>
      <w:pPr>
        <w:pStyle w:val="BodyText"/>
        <w:spacing w:line="364" w:lineRule="auto" w:before="2"/>
        <w:ind w:right="334" w:firstLine="479"/>
        <w:jc w:val="both"/>
      </w:pPr>
      <w:r>
        <w:rPr/>
        <w:t>赎回：指基金投资者根据基金销售网点规定的手续，向基金管理人卖基金</w:t>
      </w:r>
      <w:r>
        <w:rPr>
          <w:spacing w:val="-2"/>
        </w:rPr>
        <w:t>份额的行为。本基金的日常赎回自基金合同生效后不超过 </w:t>
      </w:r>
      <w:r>
        <w:rPr>
          <w:rFonts w:ascii="Times New Roman" w:eastAsia="Times New Roman"/>
        </w:rPr>
        <w:t>3 </w:t>
      </w:r>
      <w:r>
        <w:rPr>
          <w:spacing w:val="-2"/>
        </w:rPr>
        <w:t>个月的时间开始办</w:t>
      </w:r>
      <w:r>
        <w:rPr/>
        <w:t>理；</w:t>
      </w:r>
    </w:p>
    <w:p>
      <w:pPr>
        <w:pStyle w:val="BodyText"/>
        <w:spacing w:line="364" w:lineRule="auto" w:before="2"/>
        <w:ind w:right="340" w:firstLine="479"/>
      </w:pPr>
      <w:r>
        <w:rPr/>
        <w:t>基金账户：指基金注册登记人给投资者开立的用于记录投资者持有基金管理人管理的开放式基金份额情况的账户；</w:t>
      </w:r>
    </w:p>
    <w:p>
      <w:pPr>
        <w:pStyle w:val="BodyText"/>
        <w:spacing w:line="364" w:lineRule="auto"/>
        <w:ind w:right="340" w:firstLine="479"/>
      </w:pPr>
      <w:r>
        <w:rPr/>
        <w:t>交易账户：指各销售机构为投资者开立的记录投资者通过该销售机构办理基金交易所引起的基金份额的变动及结余情况的账户；</w:t>
      </w:r>
    </w:p>
    <w:p>
      <w:pPr>
        <w:pStyle w:val="BodyText"/>
        <w:spacing w:line="364" w:lineRule="auto" w:before="2"/>
        <w:ind w:right="340" w:firstLine="479"/>
      </w:pPr>
      <w:r>
        <w:rPr/>
        <w:t>转托管：指投资者将其持有的同一基金账户下的基金份额从某一交易账户转入另一交易账户的业务；</w:t>
      </w:r>
    </w:p>
    <w:p>
      <w:pPr>
        <w:pStyle w:val="BodyText"/>
        <w:spacing w:line="364" w:lineRule="auto"/>
        <w:ind w:right="340" w:firstLine="479"/>
        <w:jc w:val="both"/>
      </w:pPr>
      <w:r>
        <w:rPr/>
        <w:t>基金转换：指投资者向本基金管理人提出申请将其所持有的本基金管理人管理的任一开放式基金（转出基金）的全部或部分基金份额转换为本基金管理人管理的任何其他开放式基金（转入基金）的基金份额的行为；</w:t>
      </w:r>
    </w:p>
    <w:p>
      <w:pPr>
        <w:pStyle w:val="BodyText"/>
        <w:spacing w:line="364" w:lineRule="auto" w:before="2"/>
        <w:ind w:right="340" w:firstLine="479"/>
        <w:jc w:val="both"/>
      </w:pPr>
      <w:r>
        <w:rPr/>
        <w:t>定期定额投资计划：指投资者通过有关销售机构提出申请，约定每期扣款日、扣款金额及扣款方式，由销售机构于每期约定扣款日在投资者指定银行账户内自动完成扣款及基金申购申请的一种投资方式；</w:t>
      </w:r>
    </w:p>
    <w:p>
      <w:pPr>
        <w:pStyle w:val="BodyText"/>
        <w:spacing w:line="364" w:lineRule="auto" w:before="2"/>
        <w:ind w:right="340" w:firstLine="479"/>
      </w:pPr>
      <w:r>
        <w:rPr/>
        <w:t>基金收益：指基金投资所得股票红利、债券利息、票据投资收益、买卖证券差价、银行存款利息以及其他收益；</w:t>
      </w:r>
    </w:p>
    <w:p>
      <w:pPr>
        <w:pStyle w:val="BodyText"/>
        <w:ind w:left="618"/>
      </w:pPr>
      <w:r>
        <w:rPr/>
        <w:t>基金资产总值：指基金所购买的各类证券及票据价值、银行存款本息和本</w:t>
      </w:r>
    </w:p>
    <w:p>
      <w:pPr>
        <w:spacing w:after="0"/>
        <w:sectPr>
          <w:pgSz w:w="11910" w:h="16840"/>
          <w:pgMar w:header="880" w:footer="1964" w:top="1380" w:bottom="2160" w:left="1660" w:right="1580"/>
        </w:sectPr>
      </w:pPr>
    </w:p>
    <w:p>
      <w:pPr>
        <w:pStyle w:val="BodyText"/>
        <w:spacing w:before="130"/>
      </w:pPr>
      <w:r>
        <w:rPr/>
        <w:t>基金应收的申购基金款以及其他投资所形成的价值总和；</w:t>
      </w:r>
    </w:p>
    <w:p>
      <w:pPr>
        <w:pStyle w:val="BodyText"/>
        <w:spacing w:before="160"/>
        <w:ind w:left="618"/>
      </w:pPr>
      <w:r>
        <w:rPr/>
        <w:t>基金资产净值：指基金资产总值扣除负债后的净资产值；</w:t>
      </w:r>
    </w:p>
    <w:p>
      <w:pPr>
        <w:pStyle w:val="BodyText"/>
        <w:spacing w:line="364" w:lineRule="auto" w:before="161"/>
        <w:ind w:right="338" w:firstLine="479"/>
      </w:pPr>
      <w:r>
        <w:rPr/>
        <w:t>基金份额净值：指计算日基金资产净值除以该计算日发行在外的基金份额总数后的值；</w:t>
      </w:r>
    </w:p>
    <w:p>
      <w:pPr>
        <w:pStyle w:val="BodyText"/>
        <w:spacing w:line="364" w:lineRule="auto"/>
        <w:ind w:right="340" w:firstLine="479"/>
      </w:pPr>
      <w:r>
        <w:rPr/>
        <w:t>基金资产估值：指计算评估基金资产和负债的价值，以确定基金资产净值的过程；</w:t>
      </w:r>
    </w:p>
    <w:p>
      <w:pPr>
        <w:pStyle w:val="BodyText"/>
        <w:spacing w:line="364" w:lineRule="auto"/>
        <w:ind w:right="340" w:firstLine="479"/>
        <w:jc w:val="both"/>
      </w:pPr>
      <w:r>
        <w:rPr/>
        <w:t>指定媒介：指中国证监会指定的用以进行信息披露的全国性报刊及指定互联网网站（包括基金管理人网站、基金托管人网站、中国证监会基金电子披露网站）等媒介；</w:t>
      </w:r>
    </w:p>
    <w:p>
      <w:pPr>
        <w:pStyle w:val="BodyText"/>
        <w:spacing w:line="364" w:lineRule="auto" w:before="3"/>
        <w:ind w:right="337" w:firstLine="479"/>
        <w:jc w:val="both"/>
      </w:pPr>
      <w:r>
        <w:rPr/>
        <w:t>不可抗力：指本合同当事人无法预见、无法抗拒、无法避免且在本合同由基金托管人、基金管理人签署之日后发生的，使本合同当事人无法全部履行或无法部分履行本合同的任何事件，包括但不限于洪水、地震及其他自然灾害、战争、骚乱、火灾、政府征用、没收、法律法规变化、突发停电或其他突发事件、证券交易所非正常暂停或停止交易；</w:t>
      </w:r>
    </w:p>
    <w:p>
      <w:pPr>
        <w:pStyle w:val="BodyText"/>
        <w:spacing w:before="3"/>
        <w:ind w:left="618"/>
        <w:jc w:val="both"/>
        <w:rPr>
          <w:rFonts w:ascii="Times New Roman" w:eastAsia="Times New Roman"/>
        </w:rPr>
      </w:pPr>
      <w:r>
        <w:rPr/>
        <w:t>《流动性风险管理规定》：指中国证监会 </w:t>
      </w:r>
      <w:r>
        <w:rPr>
          <w:rFonts w:ascii="Times New Roman" w:eastAsia="Times New Roman"/>
        </w:rPr>
        <w:t>2017 </w:t>
      </w:r>
      <w:r>
        <w:rPr/>
        <w:t>年 </w:t>
      </w:r>
      <w:r>
        <w:rPr>
          <w:rFonts w:ascii="Times New Roman" w:eastAsia="Times New Roman"/>
        </w:rPr>
        <w:t>8 </w:t>
      </w:r>
      <w:r>
        <w:rPr/>
        <w:t>月 </w:t>
      </w:r>
      <w:r>
        <w:rPr>
          <w:rFonts w:ascii="Times New Roman" w:eastAsia="Times New Roman"/>
        </w:rPr>
        <w:t>31 </w:t>
      </w:r>
      <w:r>
        <w:rPr/>
        <w:t>日颁布、同年 </w:t>
      </w:r>
      <w:r>
        <w:rPr>
          <w:rFonts w:ascii="Times New Roman" w:eastAsia="Times New Roman"/>
        </w:rPr>
        <w:t>10</w:t>
      </w:r>
    </w:p>
    <w:p>
      <w:pPr>
        <w:pStyle w:val="BodyText"/>
        <w:spacing w:line="364" w:lineRule="auto" w:before="160"/>
        <w:ind w:right="335"/>
        <w:jc w:val="both"/>
      </w:pPr>
      <w:r>
        <w:rPr>
          <w:spacing w:val="-23"/>
        </w:rPr>
        <w:t>月 </w:t>
      </w:r>
      <w:r>
        <w:rPr>
          <w:rFonts w:ascii="Times New Roman" w:eastAsia="Times New Roman"/>
        </w:rPr>
        <w:t>1 </w:t>
      </w:r>
      <w:r>
        <w:rPr>
          <w:spacing w:val="-1"/>
        </w:rPr>
        <w:t>日实施的《公开募集开放式证券投资基金流动性风险管理规定》及颁布机</w:t>
      </w:r>
      <w:r>
        <w:rPr/>
        <w:t>关对其不时做出的修订；</w:t>
      </w:r>
    </w:p>
    <w:p>
      <w:pPr>
        <w:pStyle w:val="BodyText"/>
        <w:spacing w:line="364" w:lineRule="auto" w:before="2"/>
        <w:ind w:right="332" w:firstLine="479"/>
        <w:jc w:val="both"/>
      </w:pPr>
      <w:r>
        <w:rPr/>
        <w:t>流动性受限资产：指由于法律法规、监管、合同或操作障碍等原因无法以</w:t>
      </w:r>
      <w:r>
        <w:rPr>
          <w:spacing w:val="-11"/>
        </w:rPr>
        <w:t>合理价格予以变现的资产，包括但不限于到期日在 </w:t>
      </w:r>
      <w:r>
        <w:rPr>
          <w:rFonts w:ascii="Times New Roman" w:eastAsia="Times New Roman"/>
        </w:rPr>
        <w:t>10 </w:t>
      </w:r>
      <w:r>
        <w:rPr>
          <w:spacing w:val="-2"/>
        </w:rPr>
        <w:t>个交易日以上的逆回购与</w:t>
      </w:r>
      <w:r>
        <w:rPr>
          <w:spacing w:val="-5"/>
        </w:rPr>
        <w:t>银行定期存款</w:t>
      </w:r>
      <w:r>
        <w:rPr/>
        <w:t>（含协议约定有条件提前支取的银行存款</w:t>
      </w:r>
      <w:r>
        <w:rPr>
          <w:spacing w:val="-120"/>
        </w:rPr>
        <w:t>）</w:t>
      </w:r>
      <w:r>
        <w:rPr>
          <w:spacing w:val="-9"/>
        </w:rPr>
        <w:t>、停牌股票、流通受限</w:t>
      </w:r>
      <w:r>
        <w:rPr/>
        <w:t>的新股及非公开发行股票、资产支持证券、因发行人债务违约无法进行转让或交易的债券等；</w:t>
      </w:r>
    </w:p>
    <w:p>
      <w:pPr>
        <w:pStyle w:val="BodyText"/>
        <w:spacing w:line="364" w:lineRule="auto" w:before="3"/>
        <w:ind w:right="340" w:firstLine="479"/>
        <w:jc w:val="both"/>
      </w:pPr>
      <w:r>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pPr>
        <w:spacing w:after="0" w:line="364" w:lineRule="auto"/>
        <w:jc w:val="both"/>
        <w:sectPr>
          <w:pgSz w:w="11910" w:h="16840"/>
          <w:pgMar w:header="880" w:footer="1964" w:top="1380" w:bottom="2160" w:left="1660" w:right="1580"/>
        </w:sect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10"/>
        <w:ind w:left="0"/>
        <w:rPr>
          <w:sz w:val="14"/>
        </w:rPr>
      </w:pPr>
    </w:p>
    <w:p>
      <w:pPr>
        <w:tabs>
          <w:tab w:pos="779" w:val="left" w:leader="none"/>
        </w:tabs>
        <w:spacing w:before="58"/>
        <w:ind w:left="0" w:right="199" w:firstLine="0"/>
        <w:jc w:val="center"/>
        <w:rPr>
          <w:b/>
          <w:sz w:val="30"/>
        </w:rPr>
      </w:pPr>
      <w:bookmarkStart w:name="_bookmark2" w:id="3"/>
      <w:bookmarkEnd w:id="3"/>
      <w:r>
        <w:rPr/>
      </w:r>
      <w:r>
        <w:rPr>
          <w:sz w:val="24"/>
        </w:rPr>
        <w:t>三、</w:t>
        <w:tab/>
      </w:r>
      <w:r>
        <w:rPr>
          <w:b/>
          <w:sz w:val="30"/>
        </w:rPr>
        <w:t>基金的基本情况</w:t>
      </w:r>
    </w:p>
    <w:p>
      <w:pPr>
        <w:pStyle w:val="BodyText"/>
        <w:spacing w:before="0"/>
        <w:ind w:left="0"/>
        <w:rPr>
          <w:b/>
          <w:sz w:val="30"/>
        </w:rPr>
      </w:pPr>
    </w:p>
    <w:p>
      <w:pPr>
        <w:pStyle w:val="BodyText"/>
        <w:spacing w:before="3"/>
        <w:ind w:left="0"/>
        <w:rPr>
          <w:b/>
          <w:sz w:val="22"/>
        </w:rPr>
      </w:pPr>
    </w:p>
    <w:p>
      <w:pPr>
        <w:pStyle w:val="BodyText"/>
        <w:spacing w:line="364" w:lineRule="auto" w:before="0"/>
        <w:ind w:left="562" w:right="1860"/>
      </w:pPr>
      <w:r>
        <w:rPr/>
        <w:t>一、基金的名称景顺长城内需增长贰号混合型证券投资基金二、基金的运作方式契约型开放式</w:t>
      </w:r>
    </w:p>
    <w:p>
      <w:pPr>
        <w:pStyle w:val="BodyText"/>
        <w:ind w:left="562"/>
      </w:pPr>
      <w:r>
        <w:rPr/>
        <w:t>三、基金的投资目标</w:t>
      </w:r>
    </w:p>
    <w:p>
      <w:pPr>
        <w:pStyle w:val="BodyText"/>
        <w:spacing w:line="364" w:lineRule="auto" w:before="161"/>
        <w:ind w:right="331" w:firstLine="424"/>
      </w:pPr>
      <w:r>
        <w:rPr/>
        <w:t>本基金通过优先投资于内需拉动型行业中的优势企业，分享中国经济和行业的快速增长带来的最大收益，实现基金资产的长期、可持续的稳定增值。</w:t>
      </w:r>
    </w:p>
    <w:p>
      <w:pPr>
        <w:pStyle w:val="BodyText"/>
        <w:ind w:left="562"/>
      </w:pPr>
      <w:r>
        <w:rPr/>
        <w:t>四、基金最低募集份额总额</w:t>
      </w:r>
    </w:p>
    <w:p>
      <w:pPr>
        <w:pStyle w:val="BodyText"/>
        <w:spacing w:before="161"/>
        <w:ind w:left="562"/>
      </w:pPr>
      <w:r>
        <w:rPr>
          <w:rFonts w:ascii="Times New Roman" w:eastAsia="Times New Roman"/>
        </w:rPr>
        <w:t>2 </w:t>
      </w:r>
      <w:r>
        <w:rPr/>
        <w:t>亿份。</w:t>
      </w:r>
    </w:p>
    <w:p>
      <w:pPr>
        <w:pStyle w:val="BodyText"/>
        <w:spacing w:before="160"/>
        <w:ind w:left="618"/>
      </w:pPr>
      <w:r>
        <w:rPr/>
        <w:t>五、基金份额面值</w:t>
      </w:r>
    </w:p>
    <w:p>
      <w:pPr>
        <w:pStyle w:val="BodyText"/>
        <w:spacing w:before="161"/>
        <w:ind w:left="618"/>
      </w:pPr>
      <w:r>
        <w:rPr>
          <w:rFonts w:ascii="Times New Roman" w:eastAsia="Times New Roman"/>
        </w:rPr>
        <w:t>1.00 </w:t>
      </w:r>
      <w:r>
        <w:rPr/>
        <w:t>元人民币</w:t>
      </w:r>
    </w:p>
    <w:p>
      <w:pPr>
        <w:pStyle w:val="BodyText"/>
        <w:spacing w:before="160"/>
        <w:ind w:left="618"/>
      </w:pPr>
      <w:r>
        <w:rPr/>
        <w:t>六、基金认购费用</w:t>
      </w:r>
    </w:p>
    <w:p>
      <w:pPr>
        <w:pStyle w:val="BodyText"/>
        <w:spacing w:line="364" w:lineRule="auto" w:before="161"/>
        <w:ind w:right="340" w:firstLine="479"/>
      </w:pPr>
      <w:r>
        <w:rPr/>
        <w:t>本基金认购费用在投资人认购基金份额时收取。具体费率请参见招募说明书。</w:t>
      </w:r>
    </w:p>
    <w:p>
      <w:pPr>
        <w:pStyle w:val="BodyText"/>
        <w:spacing w:before="2"/>
        <w:ind w:left="618"/>
      </w:pPr>
      <w:r>
        <w:rPr/>
        <w:t>七、基金募集规模</w:t>
      </w:r>
    </w:p>
    <w:p>
      <w:pPr>
        <w:pStyle w:val="BodyText"/>
        <w:spacing w:line="364" w:lineRule="auto" w:before="160"/>
        <w:ind w:left="618" w:right="5406"/>
      </w:pPr>
      <w:r>
        <w:rPr>
          <w:spacing w:val="-2"/>
        </w:rPr>
        <w:t>基金不设募集规模上限。</w:t>
      </w:r>
      <w:r>
        <w:rPr/>
        <w:t>八、基金存续期限</w:t>
      </w:r>
    </w:p>
    <w:p>
      <w:pPr>
        <w:pStyle w:val="BodyText"/>
        <w:ind w:left="618"/>
      </w:pPr>
      <w:r>
        <w:rPr/>
        <w:t>不定期</w:t>
      </w:r>
    </w:p>
    <w:p>
      <w:pPr>
        <w:spacing w:after="0"/>
        <w:sectPr>
          <w:pgSz w:w="11910" w:h="16840"/>
          <w:pgMar w:header="880" w:footer="1964" w:top="1380" w:bottom="2160" w:left="1660" w:right="1580"/>
        </w:sectPr>
      </w:pPr>
    </w:p>
    <w:p>
      <w:pPr>
        <w:pStyle w:val="BodyText"/>
        <w:spacing w:before="8"/>
        <w:ind w:left="0"/>
        <w:rPr>
          <w:sz w:val="8"/>
        </w:rPr>
      </w:pPr>
    </w:p>
    <w:p>
      <w:pPr>
        <w:tabs>
          <w:tab w:pos="902" w:val="left" w:leader="none"/>
        </w:tabs>
        <w:spacing w:before="58"/>
        <w:ind w:left="0" w:right="197" w:firstLine="0"/>
        <w:jc w:val="center"/>
        <w:rPr>
          <w:b/>
          <w:sz w:val="30"/>
        </w:rPr>
      </w:pPr>
      <w:bookmarkStart w:name="_bookmark3" w:id="4"/>
      <w:bookmarkEnd w:id="4"/>
      <w:r>
        <w:rPr/>
      </w:r>
      <w:r>
        <w:rPr>
          <w:b/>
          <w:sz w:val="30"/>
        </w:rPr>
        <w:t>四、</w:t>
        <w:tab/>
      </w:r>
      <w:r>
        <w:rPr>
          <w:b/>
          <w:w w:val="95"/>
          <w:sz w:val="30"/>
        </w:rPr>
        <w:t>基金份额的发售</w:t>
      </w:r>
    </w:p>
    <w:p>
      <w:pPr>
        <w:pStyle w:val="BodyText"/>
        <w:spacing w:before="0"/>
        <w:ind w:left="0"/>
        <w:rPr>
          <w:b/>
          <w:sz w:val="30"/>
        </w:rPr>
      </w:pPr>
    </w:p>
    <w:p>
      <w:pPr>
        <w:pStyle w:val="BodyText"/>
        <w:spacing w:before="2"/>
        <w:ind w:left="0"/>
        <w:rPr>
          <w:b/>
          <w:sz w:val="22"/>
        </w:rPr>
      </w:pPr>
    </w:p>
    <w:p>
      <w:pPr>
        <w:pStyle w:val="BodyText"/>
        <w:ind w:left="618"/>
      </w:pPr>
      <w:r>
        <w:rPr>
          <w:spacing w:val="-5"/>
        </w:rPr>
        <w:t>本基金份额面值为人民币 </w:t>
      </w:r>
      <w:r>
        <w:rPr>
          <w:rFonts w:ascii="Times New Roman" w:eastAsia="Times New Roman"/>
        </w:rPr>
        <w:t>1.00 </w:t>
      </w:r>
      <w:r>
        <w:rPr/>
        <w:t>元，按面值发售。</w:t>
      </w:r>
    </w:p>
    <w:p>
      <w:pPr>
        <w:pStyle w:val="BodyText"/>
        <w:spacing w:line="364" w:lineRule="auto" w:before="160"/>
        <w:ind w:right="283" w:firstLine="479"/>
      </w:pPr>
      <w:r>
        <w:rPr/>
        <w:t>一、募集期自基金份额发售之日起不超过 </w:t>
      </w:r>
      <w:r>
        <w:rPr>
          <w:rFonts w:ascii="Times New Roman" w:eastAsia="Times New Roman"/>
        </w:rPr>
        <w:t>3 </w:t>
      </w:r>
      <w:r>
        <w:rPr/>
        <w:t>个月，具体发售时间见《招募说明书》及《发售公告》。</w:t>
      </w:r>
    </w:p>
    <w:p>
      <w:pPr>
        <w:pStyle w:val="BodyText"/>
        <w:spacing w:line="364" w:lineRule="auto"/>
        <w:ind w:right="340" w:firstLine="479"/>
      </w:pPr>
      <w:r>
        <w:rPr/>
        <w:t>二、发售对象中华人民共和国境内的个人投资者和机构投资者（法律法规禁止投资证券投资基金的除外）及合格境外机构投资者。</w:t>
      </w:r>
    </w:p>
    <w:p>
      <w:pPr>
        <w:pStyle w:val="BodyText"/>
        <w:spacing w:before="2"/>
        <w:ind w:left="618"/>
      </w:pPr>
      <w:r>
        <w:rPr/>
        <w:t>三、募集目标本基金不设募集目标。</w:t>
      </w:r>
    </w:p>
    <w:p>
      <w:pPr>
        <w:pStyle w:val="BodyText"/>
        <w:spacing w:line="364" w:lineRule="auto" w:before="161"/>
        <w:ind w:right="340" w:firstLine="479"/>
        <w:jc w:val="both"/>
      </w:pPr>
      <w:r>
        <w:rPr/>
        <w:t>四、发售方式和销售渠道本基金将通过基金管理人的直销网点及基金代销机构的代销网点公开发售。本基金认购采取全额缴款认购的方式。基金投资者在募集期内可多次认购，认购一经受理不得撤销。</w:t>
      </w:r>
    </w:p>
    <w:p>
      <w:pPr>
        <w:pStyle w:val="BodyText"/>
        <w:spacing w:line="364" w:lineRule="auto"/>
        <w:ind w:right="214" w:firstLine="479"/>
      </w:pPr>
      <w:r>
        <w:rPr/>
        <w:t>五、认购费用本基金以认购金额为基数采用比例费率计算认购费用，认购</w:t>
      </w:r>
      <w:r>
        <w:rPr>
          <w:spacing w:val="-8"/>
        </w:rPr>
        <w:t>费率最高不超过 </w:t>
      </w:r>
      <w:r>
        <w:rPr>
          <w:rFonts w:ascii="Times New Roman" w:eastAsia="Times New Roman"/>
        </w:rPr>
        <w:t>2</w:t>
      </w:r>
      <w:r>
        <w:rPr>
          <w:rFonts w:ascii="Times New Roman" w:eastAsia="Times New Roman"/>
          <w:spacing w:val="-1"/>
        </w:rPr>
        <w:t>%</w:t>
      </w:r>
      <w:r>
        <w:rPr>
          <w:spacing w:val="-16"/>
        </w:rPr>
        <w:t>，具体在招募说明书中列示。基金认购费用不列入基金财产，</w:t>
      </w:r>
      <w:r>
        <w:rPr/>
        <w:t>主要用于基金的市场推广、销售、注册登记等募集期间发生的各项费用。</w:t>
      </w:r>
    </w:p>
    <w:p>
      <w:pPr>
        <w:pStyle w:val="BodyText"/>
        <w:spacing w:line="364" w:lineRule="auto" w:before="3"/>
        <w:ind w:right="340" w:firstLine="479"/>
      </w:pPr>
      <w:r>
        <w:rPr>
          <w:spacing w:val="-1"/>
        </w:rPr>
        <w:t>六、认购期利息的处理方式认购款项在基金合同生效前产生的利息将折算</w:t>
      </w:r>
      <w:r>
        <w:rPr/>
        <w:t>为基金份额归基金份额持有人所有，其中利息以注册登记人的记录为准。</w:t>
      </w:r>
    </w:p>
    <w:p>
      <w:pPr>
        <w:pStyle w:val="BodyText"/>
        <w:ind w:left="618"/>
      </w:pPr>
      <w:r>
        <w:rPr/>
        <w:t>七、基金认购份额的计算</w:t>
      </w:r>
    </w:p>
    <w:p>
      <w:pPr>
        <w:pStyle w:val="BodyText"/>
        <w:spacing w:line="364" w:lineRule="auto" w:before="160"/>
        <w:ind w:right="333" w:firstLine="479"/>
      </w:pPr>
      <w:r>
        <w:rPr>
          <w:rFonts w:ascii="Times New Roman" w:eastAsia="Times New Roman"/>
        </w:rPr>
        <w:t>1</w:t>
      </w:r>
      <w:r>
        <w:rPr>
          <w:spacing w:val="-11"/>
        </w:rPr>
        <w:t>、基金认购采用金额认购的方式。基金的认购金额包括认购费用和净认购</w:t>
      </w:r>
      <w:r>
        <w:rPr/>
        <w:t>金额。计算公式为：</w:t>
      </w:r>
    </w:p>
    <w:p>
      <w:pPr>
        <w:pStyle w:val="ListParagraph"/>
        <w:numPr>
          <w:ilvl w:val="0"/>
          <w:numId w:val="1"/>
        </w:numPr>
        <w:tabs>
          <w:tab w:pos="1219" w:val="left" w:leader="none"/>
        </w:tabs>
        <w:spacing w:line="240" w:lineRule="auto" w:before="1" w:after="0"/>
        <w:ind w:left="1219" w:right="0" w:hanging="601"/>
        <w:jc w:val="left"/>
        <w:rPr>
          <w:sz w:val="24"/>
        </w:rPr>
      </w:pPr>
      <w:r>
        <w:rPr>
          <w:sz w:val="24"/>
        </w:rPr>
        <w:t>认购费用</w:t>
      </w:r>
      <w:r>
        <w:rPr>
          <w:rFonts w:ascii="Times New Roman" w:hAnsi="Times New Roman" w:eastAsia="Times New Roman"/>
          <w:sz w:val="24"/>
        </w:rPr>
        <w:t>=</w:t>
      </w:r>
      <w:r>
        <w:rPr>
          <w:sz w:val="24"/>
        </w:rPr>
        <w:t>认购金额×认购费率；</w:t>
      </w:r>
    </w:p>
    <w:p>
      <w:pPr>
        <w:pStyle w:val="ListParagraph"/>
        <w:numPr>
          <w:ilvl w:val="0"/>
          <w:numId w:val="1"/>
        </w:numPr>
        <w:tabs>
          <w:tab w:pos="1219" w:val="left" w:leader="none"/>
        </w:tabs>
        <w:spacing w:line="240" w:lineRule="auto" w:before="161" w:after="0"/>
        <w:ind w:left="1219" w:right="0" w:hanging="601"/>
        <w:jc w:val="left"/>
        <w:rPr>
          <w:sz w:val="24"/>
        </w:rPr>
      </w:pPr>
      <w:r>
        <w:rPr>
          <w:sz w:val="24"/>
        </w:rPr>
        <w:t>净认购金额</w:t>
      </w:r>
      <w:r>
        <w:rPr>
          <w:rFonts w:ascii="Times New Roman" w:eastAsia="Times New Roman"/>
          <w:sz w:val="24"/>
        </w:rPr>
        <w:t>=</w:t>
      </w:r>
      <w:r>
        <w:rPr>
          <w:sz w:val="24"/>
        </w:rPr>
        <w:t>（认购金额</w:t>
      </w:r>
      <w:r>
        <w:rPr>
          <w:rFonts w:ascii="Times New Roman" w:eastAsia="Times New Roman"/>
          <w:sz w:val="24"/>
        </w:rPr>
        <w:t>+</w:t>
      </w:r>
      <w:r>
        <w:rPr>
          <w:sz w:val="24"/>
        </w:rPr>
        <w:t>认购利息）－认购费用；</w:t>
      </w:r>
    </w:p>
    <w:p>
      <w:pPr>
        <w:pStyle w:val="ListParagraph"/>
        <w:numPr>
          <w:ilvl w:val="0"/>
          <w:numId w:val="1"/>
        </w:numPr>
        <w:tabs>
          <w:tab w:pos="1219" w:val="left" w:leader="none"/>
        </w:tabs>
        <w:spacing w:line="240" w:lineRule="auto" w:before="161" w:after="0"/>
        <w:ind w:left="1219" w:right="0" w:hanging="601"/>
        <w:jc w:val="left"/>
        <w:rPr>
          <w:sz w:val="24"/>
        </w:rPr>
      </w:pPr>
      <w:r>
        <w:rPr>
          <w:sz w:val="24"/>
        </w:rPr>
        <w:t>认购份额</w:t>
      </w:r>
      <w:r>
        <w:rPr>
          <w:rFonts w:ascii="Times New Roman" w:eastAsia="Times New Roman"/>
          <w:sz w:val="24"/>
        </w:rPr>
        <w:t>=</w:t>
      </w:r>
      <w:r>
        <w:rPr>
          <w:sz w:val="24"/>
        </w:rPr>
        <w:t>净认购金额</w:t>
      </w:r>
      <w:r>
        <w:rPr>
          <w:rFonts w:ascii="Times New Roman" w:eastAsia="Times New Roman"/>
          <w:sz w:val="24"/>
        </w:rPr>
        <w:t>/</w:t>
      </w:r>
      <w:r>
        <w:rPr>
          <w:sz w:val="24"/>
        </w:rPr>
        <w:t>基金份额面值。</w:t>
      </w:r>
    </w:p>
    <w:p>
      <w:pPr>
        <w:pStyle w:val="BodyText"/>
        <w:spacing w:line="364" w:lineRule="auto" w:before="161"/>
        <w:ind w:right="213" w:firstLine="479"/>
      </w:pPr>
      <w:r>
        <w:rPr>
          <w:rFonts w:ascii="Times New Roman" w:eastAsia="Times New Roman"/>
        </w:rPr>
        <w:t>2</w:t>
      </w:r>
      <w:r>
        <w:rPr>
          <w:spacing w:val="-16"/>
        </w:rPr>
        <w:t>、认购份额计算结果保留到小数点后两位，小数点后两位以后的部分舍去， </w:t>
      </w:r>
      <w:r>
        <w:rPr/>
        <w:t>舍去部分所代表的资产归基金所有。</w:t>
      </w:r>
    </w:p>
    <w:p>
      <w:pPr>
        <w:pStyle w:val="BodyText"/>
        <w:spacing w:line="364" w:lineRule="auto"/>
        <w:ind w:right="335" w:firstLine="479"/>
        <w:jc w:val="both"/>
      </w:pPr>
      <w:r>
        <w:rPr>
          <w:rFonts w:ascii="Times New Roman" w:eastAsia="Times New Roman"/>
        </w:rPr>
        <w:t>3</w:t>
      </w:r>
      <w:r>
        <w:rPr>
          <w:spacing w:val="-20"/>
        </w:rPr>
        <w:t>、本基金的认购费率将按照《运作办法》、《销售办法》的规定，参照行业</w:t>
      </w:r>
      <w:r>
        <w:rPr>
          <w:spacing w:val="-1"/>
        </w:rPr>
        <w:t>惯例，结合市场实际情况收取。具体费率详见本基金的《招募说明书》和《发</w:t>
      </w:r>
      <w:r>
        <w:rPr>
          <w:spacing w:val="-24"/>
        </w:rPr>
        <w:t>售公告》。</w:t>
      </w:r>
    </w:p>
    <w:p>
      <w:pPr>
        <w:spacing w:after="0" w:line="364" w:lineRule="auto"/>
        <w:jc w:val="both"/>
        <w:sectPr>
          <w:pgSz w:w="11910" w:h="16840"/>
          <w:pgMar w:header="880" w:footer="1964" w:top="1380" w:bottom="2160" w:left="1660" w:right="1580"/>
        </w:sectPr>
      </w:pPr>
    </w:p>
    <w:p>
      <w:pPr>
        <w:pStyle w:val="BodyText"/>
        <w:spacing w:line="364" w:lineRule="auto" w:before="130"/>
        <w:ind w:right="340" w:firstLine="479"/>
      </w:pPr>
      <w:r>
        <w:rPr/>
        <w:t>八、基金认购金额的限制在募集期内，基金管理人可以对每个账户的最低认购金额进行限制，具体限制请参见《招募说明书》。</w:t>
      </w:r>
    </w:p>
    <w:p>
      <w:pPr>
        <w:pStyle w:val="BodyText"/>
        <w:spacing w:line="364" w:lineRule="auto"/>
        <w:ind w:right="340" w:firstLine="479"/>
      </w:pPr>
      <w:r>
        <w:rPr/>
        <w:t>九、基金份额的认购和持有限额基金管理人可以规定单个投资者累计持有的基金份额上限，具体规定参见《招募说明书》。</w:t>
      </w:r>
    </w:p>
    <w:p>
      <w:pPr>
        <w:spacing w:after="0" w:line="364" w:lineRule="auto"/>
        <w:sectPr>
          <w:pgSz w:w="11910" w:h="16840"/>
          <w:pgMar w:header="880" w:footer="1964" w:top="1380" w:bottom="2160" w:left="1660" w:right="1580"/>
        </w:sectPr>
      </w:pPr>
    </w:p>
    <w:p>
      <w:pPr>
        <w:pStyle w:val="BodyText"/>
        <w:spacing w:before="8"/>
        <w:ind w:left="0"/>
        <w:rPr>
          <w:sz w:val="8"/>
        </w:rPr>
      </w:pPr>
    </w:p>
    <w:p>
      <w:pPr>
        <w:spacing w:before="58"/>
        <w:ind w:left="87" w:right="283" w:firstLine="0"/>
        <w:jc w:val="center"/>
        <w:rPr>
          <w:b/>
          <w:sz w:val="30"/>
        </w:rPr>
      </w:pPr>
      <w:bookmarkStart w:name="_bookmark4" w:id="5"/>
      <w:bookmarkEnd w:id="5"/>
      <w:r>
        <w:rPr/>
      </w:r>
      <w:r>
        <w:rPr>
          <w:b/>
          <w:sz w:val="30"/>
        </w:rPr>
        <w:t>五、基金备案</w:t>
      </w:r>
    </w:p>
    <w:p>
      <w:pPr>
        <w:pStyle w:val="BodyText"/>
        <w:spacing w:before="0"/>
        <w:ind w:left="0"/>
        <w:rPr>
          <w:b/>
          <w:sz w:val="30"/>
        </w:rPr>
      </w:pPr>
    </w:p>
    <w:p>
      <w:pPr>
        <w:pStyle w:val="BodyText"/>
        <w:spacing w:before="2"/>
        <w:ind w:left="0"/>
        <w:rPr>
          <w:b/>
          <w:sz w:val="22"/>
        </w:rPr>
      </w:pPr>
    </w:p>
    <w:p>
      <w:pPr>
        <w:pStyle w:val="BodyText"/>
        <w:ind w:left="618"/>
      </w:pPr>
      <w:r>
        <w:rPr/>
        <w:t>一、基金备案的条件</w:t>
      </w:r>
    </w:p>
    <w:p>
      <w:pPr>
        <w:pStyle w:val="BodyText"/>
        <w:spacing w:before="160"/>
        <w:ind w:left="618"/>
        <w:jc w:val="both"/>
      </w:pPr>
      <w:r>
        <w:rPr/>
        <w:t>本基金自基金份额发售之日起 </w:t>
      </w:r>
      <w:r>
        <w:rPr>
          <w:rFonts w:ascii="Times New Roman" w:eastAsia="Times New Roman"/>
        </w:rPr>
        <w:t>3 </w:t>
      </w:r>
      <w:r>
        <w:rPr/>
        <w:t>个月内，在基金募集份额总额不少于 </w:t>
      </w:r>
      <w:r>
        <w:rPr>
          <w:rFonts w:ascii="Times New Roman" w:eastAsia="Times New Roman"/>
        </w:rPr>
        <w:t>2 </w:t>
      </w:r>
      <w:r>
        <w:rPr/>
        <w:t>亿</w:t>
      </w:r>
    </w:p>
    <w:p>
      <w:pPr>
        <w:pStyle w:val="BodyText"/>
        <w:spacing w:line="364" w:lineRule="auto" w:before="161"/>
        <w:ind w:right="364"/>
        <w:jc w:val="both"/>
      </w:pPr>
      <w:r>
        <w:rPr>
          <w:spacing w:val="-5"/>
        </w:rPr>
        <w:t>份，基金募集金额不少于 </w:t>
      </w:r>
      <w:r>
        <w:rPr>
          <w:rFonts w:ascii="Times New Roman" w:eastAsia="Times New Roman"/>
        </w:rPr>
        <w:t>2 </w:t>
      </w:r>
      <w:r>
        <w:rPr>
          <w:spacing w:val="-3"/>
        </w:rPr>
        <w:t>亿元人民币且基金份额持有人的人数不少于 </w:t>
      </w:r>
      <w:r>
        <w:rPr>
          <w:rFonts w:ascii="Times New Roman" w:eastAsia="Times New Roman"/>
        </w:rPr>
        <w:t>200 </w:t>
      </w:r>
      <w:r>
        <w:rPr>
          <w:spacing w:val="-17"/>
        </w:rPr>
        <w:t>人</w:t>
      </w:r>
      <w:r>
        <w:rPr>
          <w:spacing w:val="-1"/>
        </w:rPr>
        <w:t>的条件下，基金管理人依据法律法规及招募说明书可以决定停止基金发售，并</w:t>
      </w:r>
      <w:r>
        <w:rPr>
          <w:spacing w:val="-31"/>
        </w:rPr>
        <w:t>在 </w:t>
      </w:r>
      <w:r>
        <w:rPr>
          <w:rFonts w:ascii="Times New Roman" w:eastAsia="Times New Roman"/>
        </w:rPr>
        <w:t>10 </w:t>
      </w:r>
      <w:r>
        <w:rPr>
          <w:spacing w:val="-3"/>
        </w:rPr>
        <w:t>日内聘请法定验资机构验资，自收到验资报告之日起 </w:t>
      </w:r>
      <w:r>
        <w:rPr>
          <w:rFonts w:ascii="Times New Roman" w:eastAsia="Times New Roman"/>
        </w:rPr>
        <w:t>10 </w:t>
      </w:r>
      <w:r>
        <w:rPr>
          <w:spacing w:val="-3"/>
        </w:rPr>
        <w:t>日内，向中国证</w:t>
      </w:r>
      <w:r>
        <w:rPr/>
        <w:t>监会办理基金备案手续。</w:t>
      </w:r>
    </w:p>
    <w:p>
      <w:pPr>
        <w:pStyle w:val="BodyText"/>
        <w:spacing w:line="364" w:lineRule="auto" w:before="3"/>
        <w:ind w:right="366" w:firstLine="479"/>
      </w:pPr>
      <w:r>
        <w:rPr/>
        <w:t>基金募集达到基金备案条件，经基金管理人办理完毕基金合同备案手续， 并自中国证监会书面确认之日起，基金合同生效；否则基金合同不生效。</w:t>
      </w:r>
    </w:p>
    <w:p>
      <w:pPr>
        <w:pStyle w:val="BodyText"/>
        <w:spacing w:line="364" w:lineRule="auto"/>
        <w:ind w:right="366" w:firstLine="479"/>
        <w:jc w:val="both"/>
      </w:pPr>
      <w:r>
        <w:rPr/>
        <w:t>基金管理人应将基金募集期间募集的资金存入专门账户，在基金募集行为结束前，任何人不得动用。基金合同生效时，认购款项在募集期内产生的利息将折合成基金份额归投资者所有。</w:t>
      </w:r>
    </w:p>
    <w:p>
      <w:pPr>
        <w:pStyle w:val="BodyText"/>
        <w:spacing w:before="2"/>
        <w:ind w:left="618"/>
      </w:pPr>
      <w:r>
        <w:rPr/>
        <w:t>二、基金合同不能生效时的处理方式</w:t>
      </w:r>
    </w:p>
    <w:p>
      <w:pPr>
        <w:pStyle w:val="BodyText"/>
        <w:spacing w:before="160"/>
        <w:ind w:left="618"/>
      </w:pPr>
      <w:r>
        <w:rPr/>
        <w:t>如果基金合同不能生效，基金管理人应当承担下列责任：</w:t>
      </w:r>
    </w:p>
    <w:p>
      <w:pPr>
        <w:pStyle w:val="BodyText"/>
        <w:spacing w:before="161"/>
        <w:ind w:left="618"/>
      </w:pPr>
      <w:r>
        <w:rPr>
          <w:rFonts w:ascii="Times New Roman" w:eastAsia="Times New Roman"/>
        </w:rPr>
        <w:t>1</w:t>
      </w:r>
      <w:r>
        <w:rPr/>
        <w:t>、以其固有财产承担因募集行为而产生的债务和费用；</w:t>
      </w:r>
    </w:p>
    <w:p>
      <w:pPr>
        <w:pStyle w:val="BodyText"/>
        <w:spacing w:line="364" w:lineRule="auto" w:before="160"/>
        <w:ind w:right="333" w:firstLine="479"/>
      </w:pPr>
      <w:r>
        <w:rPr>
          <w:rFonts w:ascii="Times New Roman" w:eastAsia="Times New Roman"/>
        </w:rPr>
        <w:t>2</w:t>
      </w:r>
      <w:r>
        <w:rPr>
          <w:spacing w:val="-10"/>
        </w:rPr>
        <w:t>、在基金募集期限届满后三十日内返还投资人已缴纳的款项，并加计银行</w:t>
      </w:r>
      <w:r>
        <w:rPr/>
        <w:t>同期存款利息。</w:t>
      </w:r>
    </w:p>
    <w:p>
      <w:pPr>
        <w:pStyle w:val="BodyText"/>
        <w:spacing w:before="2"/>
        <w:ind w:left="618"/>
      </w:pPr>
      <w:r>
        <w:rPr/>
        <w:t>三、基金合同生效后的基金份额持有人数量和资产规模限制</w:t>
      </w:r>
    </w:p>
    <w:p>
      <w:pPr>
        <w:pStyle w:val="BodyText"/>
        <w:spacing w:before="160"/>
        <w:ind w:left="618"/>
        <w:jc w:val="both"/>
      </w:pPr>
      <w:r>
        <w:rPr/>
        <w:t>本基金合同生效后，基金份额持有人数量不满 </w:t>
      </w:r>
      <w:r>
        <w:rPr>
          <w:rFonts w:ascii="Times New Roman" w:eastAsia="Times New Roman"/>
        </w:rPr>
        <w:t>200 </w:t>
      </w:r>
      <w:r>
        <w:rPr/>
        <w:t>人或者基金资产净值低</w:t>
      </w:r>
    </w:p>
    <w:p>
      <w:pPr>
        <w:pStyle w:val="BodyText"/>
        <w:spacing w:line="364" w:lineRule="auto" w:before="161"/>
        <w:ind w:right="332"/>
        <w:jc w:val="both"/>
      </w:pPr>
      <w:r>
        <w:rPr>
          <w:spacing w:val="-26"/>
        </w:rPr>
        <w:t>于 </w:t>
      </w:r>
      <w:r>
        <w:rPr>
          <w:rFonts w:ascii="Times New Roman" w:eastAsia="Times New Roman"/>
        </w:rPr>
        <w:t>5000 </w:t>
      </w:r>
      <w:r>
        <w:rPr>
          <w:spacing w:val="-3"/>
        </w:rPr>
        <w:t>万元的，基金管理人应当及时报告中国证监会；连续 </w:t>
      </w:r>
      <w:r>
        <w:rPr>
          <w:rFonts w:ascii="Times New Roman" w:eastAsia="Times New Roman"/>
        </w:rPr>
        <w:t>20 </w:t>
      </w:r>
      <w:r>
        <w:rPr>
          <w:spacing w:val="-3"/>
        </w:rPr>
        <w:t>个工作日出现</w:t>
      </w:r>
      <w:r>
        <w:rPr/>
        <w:t>前述情形的，基金管理人应当向中国证监会说明原因和报送解决方案。法律法规另有规定的按其规定办理。</w:t>
      </w:r>
    </w:p>
    <w:p>
      <w:pPr>
        <w:spacing w:after="0" w:line="364" w:lineRule="auto"/>
        <w:jc w:val="both"/>
        <w:sectPr>
          <w:pgSz w:w="11910" w:h="16840"/>
          <w:pgMar w:header="880" w:footer="1964" w:top="1380" w:bottom="2160" w:left="1660" w:right="1580"/>
        </w:sectPr>
      </w:pPr>
    </w:p>
    <w:p>
      <w:pPr>
        <w:pStyle w:val="BodyText"/>
        <w:spacing w:before="8"/>
        <w:ind w:left="0"/>
        <w:rPr>
          <w:sz w:val="8"/>
        </w:rPr>
      </w:pPr>
    </w:p>
    <w:p>
      <w:pPr>
        <w:spacing w:before="58"/>
        <w:ind w:left="81" w:right="283" w:firstLine="0"/>
        <w:jc w:val="center"/>
        <w:rPr>
          <w:b/>
          <w:sz w:val="30"/>
        </w:rPr>
      </w:pPr>
      <w:bookmarkStart w:name="_bookmark5" w:id="6"/>
      <w:bookmarkEnd w:id="6"/>
      <w:r>
        <w:rPr/>
      </w:r>
      <w:r>
        <w:rPr>
          <w:b/>
          <w:sz w:val="30"/>
        </w:rPr>
        <w:t>六、基金的申购和赎回及其他注册登记业务</w:t>
      </w:r>
    </w:p>
    <w:p>
      <w:pPr>
        <w:pStyle w:val="BodyText"/>
        <w:spacing w:before="0"/>
        <w:ind w:left="0"/>
        <w:rPr>
          <w:b/>
          <w:sz w:val="30"/>
        </w:rPr>
      </w:pPr>
    </w:p>
    <w:p>
      <w:pPr>
        <w:pStyle w:val="BodyText"/>
        <w:spacing w:before="2"/>
        <w:ind w:left="0"/>
        <w:rPr>
          <w:b/>
          <w:sz w:val="22"/>
        </w:rPr>
      </w:pPr>
    </w:p>
    <w:p>
      <w:pPr>
        <w:pStyle w:val="BodyText"/>
        <w:ind w:left="618"/>
      </w:pPr>
      <w:r>
        <w:rPr/>
        <w:t>一、申购与赎回场所</w:t>
      </w:r>
    </w:p>
    <w:p>
      <w:pPr>
        <w:pStyle w:val="BodyText"/>
        <w:spacing w:line="364" w:lineRule="auto" w:before="160"/>
        <w:ind w:left="618" w:right="338"/>
      </w:pPr>
      <w:r>
        <w:rPr/>
        <w:t>本基金的销售机构包括本基金管理人和本基金管理人委托的代销机构。 </w:t>
      </w:r>
      <w:r>
        <w:rPr>
          <w:spacing w:val="-1"/>
        </w:rPr>
        <w:t>基金投资者应当在销售机构基金销售业务的营业场所或按销售机构约定的</w:t>
      </w:r>
    </w:p>
    <w:p>
      <w:pPr>
        <w:pStyle w:val="BodyText"/>
      </w:pPr>
      <w:r>
        <w:rPr/>
        <w:t>方式办理基金的申购与赎回。</w:t>
      </w:r>
    </w:p>
    <w:p>
      <w:pPr>
        <w:pStyle w:val="BodyText"/>
        <w:spacing w:before="161"/>
        <w:ind w:left="618"/>
      </w:pPr>
      <w:r>
        <w:rPr/>
        <w:t>二、申购与赎回的开放日及时间</w:t>
      </w:r>
    </w:p>
    <w:p>
      <w:pPr>
        <w:pStyle w:val="BodyText"/>
        <w:spacing w:before="161"/>
        <w:ind w:left="618"/>
      </w:pPr>
      <w:r>
        <w:rPr>
          <w:spacing w:val="-3"/>
        </w:rPr>
        <w:t>本基金的申购、赎回自基金合同生效后不超过 </w:t>
      </w:r>
      <w:r>
        <w:rPr>
          <w:rFonts w:ascii="Times New Roman" w:eastAsia="Times New Roman"/>
        </w:rPr>
        <w:t>3</w:t>
      </w:r>
      <w:r>
        <w:rPr>
          <w:rFonts w:ascii="Times New Roman" w:eastAsia="Times New Roman"/>
          <w:spacing w:val="15"/>
        </w:rPr>
        <w:t> </w:t>
      </w:r>
      <w:r>
        <w:rPr/>
        <w:t>个月的时间开始办理，基</w:t>
      </w:r>
    </w:p>
    <w:p>
      <w:pPr>
        <w:pStyle w:val="BodyText"/>
        <w:spacing w:line="364" w:lineRule="auto" w:before="160"/>
        <w:ind w:left="618" w:right="340" w:hanging="480"/>
      </w:pPr>
      <w:r>
        <w:rPr>
          <w:spacing w:val="-3"/>
        </w:rPr>
        <w:t>金管理人应在开始办理申购赎回的具体日期前 </w:t>
      </w:r>
      <w:r>
        <w:rPr>
          <w:rFonts w:ascii="Times New Roman" w:eastAsia="Times New Roman"/>
        </w:rPr>
        <w:t>2</w:t>
      </w:r>
      <w:r>
        <w:rPr>
          <w:rFonts w:ascii="Times New Roman" w:eastAsia="Times New Roman"/>
          <w:spacing w:val="16"/>
        </w:rPr>
        <w:t> </w:t>
      </w:r>
      <w:r>
        <w:rPr/>
        <w:t>个工作日在指定媒介公告。投</w:t>
      </w:r>
      <w:r>
        <w:rPr>
          <w:spacing w:val="-1"/>
        </w:rPr>
        <w:t>资者应当在开放日办理申购和赎回申请。开放日的具体业务办理时间另</w:t>
      </w:r>
    </w:p>
    <w:p>
      <w:pPr>
        <w:pStyle w:val="BodyText"/>
        <w:spacing w:line="364" w:lineRule="auto" w:before="2"/>
        <w:ind w:right="340"/>
      </w:pPr>
      <w:r>
        <w:rPr/>
        <w:t>行公告。投资者在基金合同约定之外的日期和时间提出申购、赎回或者转换申请的，其基金份额申购、赎回价格为下一开放日的相应价格。</w:t>
      </w:r>
    </w:p>
    <w:p>
      <w:pPr>
        <w:pStyle w:val="BodyText"/>
        <w:spacing w:line="364" w:lineRule="auto"/>
        <w:ind w:right="337" w:firstLine="479"/>
        <w:jc w:val="both"/>
      </w:pPr>
      <w:r>
        <w:rPr/>
        <w:t>若出现新的证券交易市场或交易所交易时间更改或实际情况需要，基金管理人可对申购、赎回时间进行调整，但应当依照《信息披露办法》的有关规定在指定媒介公告。</w:t>
      </w:r>
    </w:p>
    <w:p>
      <w:pPr>
        <w:pStyle w:val="BodyText"/>
        <w:spacing w:before="2"/>
        <w:ind w:left="618"/>
      </w:pPr>
      <w:r>
        <w:rPr/>
        <w:t>三、申购与赎回的原则</w:t>
      </w:r>
    </w:p>
    <w:p>
      <w:pPr>
        <w:pStyle w:val="BodyText"/>
        <w:spacing w:line="364" w:lineRule="auto" w:before="160"/>
        <w:ind w:right="338" w:firstLine="479"/>
      </w:pPr>
      <w:r>
        <w:rPr>
          <w:rFonts w:ascii="Times New Roman" w:hAnsi="Times New Roman" w:eastAsia="Times New Roman"/>
        </w:rPr>
        <w:t>1</w:t>
      </w:r>
      <w:r>
        <w:rPr>
          <w:spacing w:val="-13"/>
        </w:rPr>
        <w:t>、“未知价”原则，即申购、赎回价格以申请当日的基金份额净值为基准</w:t>
      </w:r>
      <w:r>
        <w:rPr/>
        <w:t>进行计算；</w:t>
      </w:r>
    </w:p>
    <w:p>
      <w:pPr>
        <w:pStyle w:val="BodyText"/>
        <w:spacing w:before="2"/>
        <w:ind w:left="618"/>
      </w:pPr>
      <w:r>
        <w:rPr>
          <w:rFonts w:ascii="Times New Roman" w:hAnsi="Times New Roman" w:eastAsia="Times New Roman"/>
        </w:rPr>
        <w:t>2</w:t>
      </w:r>
      <w:r>
        <w:rPr/>
        <w:t>、“金额申购、份额赎回”原则，即申购以金额申请，赎回以份额申请；</w:t>
      </w:r>
    </w:p>
    <w:p>
      <w:pPr>
        <w:pStyle w:val="BodyText"/>
        <w:spacing w:before="160"/>
        <w:ind w:left="618"/>
      </w:pPr>
      <w:r>
        <w:rPr>
          <w:rFonts w:ascii="Times New Roman" w:eastAsia="Times New Roman"/>
        </w:rPr>
        <w:t>3</w:t>
      </w:r>
      <w:r>
        <w:rPr/>
        <w:t>、当日的申购与赎回申请可以在基金管理人规定的时间以内撤销；</w:t>
      </w:r>
    </w:p>
    <w:p>
      <w:pPr>
        <w:pStyle w:val="BodyText"/>
        <w:spacing w:line="364" w:lineRule="auto" w:before="161"/>
        <w:ind w:right="335" w:firstLine="479"/>
        <w:jc w:val="both"/>
      </w:pPr>
      <w:r>
        <w:rPr>
          <w:rFonts w:ascii="Times New Roman" w:eastAsia="Times New Roman"/>
        </w:rPr>
        <w:t>4</w:t>
      </w:r>
      <w:r>
        <w:rPr>
          <w:spacing w:val="-11"/>
        </w:rPr>
        <w:t>、基金管理人可根据基金运作的实际情况并在不影响基金份额持有人实质</w:t>
      </w:r>
      <w:r>
        <w:rPr>
          <w:spacing w:val="-1"/>
        </w:rPr>
        <w:t>利益的前提下调整上述原则。基金管理人应当依照《信息披露办法》的有关规</w:t>
      </w:r>
      <w:r>
        <w:rPr/>
        <w:t>定在指定媒介公告。</w:t>
      </w:r>
    </w:p>
    <w:p>
      <w:pPr>
        <w:pStyle w:val="BodyText"/>
        <w:spacing w:before="2"/>
        <w:ind w:left="618"/>
      </w:pPr>
      <w:r>
        <w:rPr/>
        <w:t>四、申购与赎回的程序</w:t>
      </w:r>
    </w:p>
    <w:p>
      <w:pPr>
        <w:pStyle w:val="BodyText"/>
        <w:spacing w:line="364" w:lineRule="auto" w:before="161"/>
        <w:ind w:right="245" w:firstLine="479"/>
      </w:pPr>
      <w:r>
        <w:rPr>
          <w:rFonts w:ascii="Times New Roman" w:eastAsia="Times New Roman"/>
        </w:rPr>
        <w:t>1</w:t>
      </w:r>
      <w:r>
        <w:rPr/>
        <w:t>、申购和赎回的申请方式基金投资者必须根据基金销售机构规定的程序， 在开放日的业务办理时间向基金销售机构提出申购或赎回的申请。</w:t>
      </w:r>
    </w:p>
    <w:p>
      <w:pPr>
        <w:pStyle w:val="BodyText"/>
        <w:ind w:left="618"/>
      </w:pPr>
      <w:r>
        <w:rPr/>
        <w:t>投资者在申购本基金时须按销售机构规定的方式备足申购资金，投资者在</w:t>
      </w:r>
    </w:p>
    <w:p>
      <w:pPr>
        <w:spacing w:after="0"/>
        <w:sectPr>
          <w:pgSz w:w="11910" w:h="16840"/>
          <w:pgMar w:header="880" w:footer="1964" w:top="1380" w:bottom="2160" w:left="1660" w:right="1580"/>
        </w:sectPr>
      </w:pPr>
    </w:p>
    <w:p>
      <w:pPr>
        <w:pStyle w:val="BodyText"/>
        <w:spacing w:line="364" w:lineRule="auto" w:before="130"/>
        <w:ind w:right="340"/>
      </w:pPr>
      <w:r>
        <w:rPr/>
        <w:t>提交赎回申请时，必须有足够的基金份额余额，否则所提交的申购、赎回的申请无效而不予成交。</w:t>
      </w:r>
    </w:p>
    <w:p>
      <w:pPr>
        <w:pStyle w:val="BodyText"/>
        <w:spacing w:line="364" w:lineRule="auto"/>
        <w:ind w:right="333" w:firstLine="479"/>
        <w:jc w:val="both"/>
      </w:pPr>
      <w:r>
        <w:rPr>
          <w:rFonts w:ascii="Times New Roman" w:eastAsia="Times New Roman"/>
        </w:rPr>
        <w:t>2</w:t>
      </w:r>
      <w:r>
        <w:rPr>
          <w:spacing w:val="-12"/>
        </w:rPr>
        <w:t>、申购和赎回申请的确认 </w:t>
      </w:r>
      <w:r>
        <w:rPr>
          <w:rFonts w:ascii="Times New Roman" w:eastAsia="Times New Roman"/>
        </w:rPr>
        <w:t>T </w:t>
      </w:r>
      <w:r>
        <w:rPr>
          <w:spacing w:val="-8"/>
        </w:rPr>
        <w:t>日规定时间受理的申请，正常情况下，本基金</w:t>
      </w:r>
      <w:r>
        <w:rPr>
          <w:spacing w:val="-9"/>
        </w:rPr>
        <w:t>注册登记人在 </w:t>
      </w:r>
      <w:r>
        <w:rPr>
          <w:rFonts w:ascii="Times New Roman" w:eastAsia="Times New Roman"/>
        </w:rPr>
        <w:t>T+1 </w:t>
      </w:r>
      <w:r>
        <w:rPr>
          <w:spacing w:val="-8"/>
        </w:rPr>
        <w:t>日内为投资者对该交易的有效性进行确认，在 </w:t>
      </w:r>
      <w:r>
        <w:rPr>
          <w:rFonts w:ascii="Times New Roman" w:eastAsia="Times New Roman"/>
        </w:rPr>
        <w:t>T</w:t>
      </w:r>
      <w:r>
        <w:rPr/>
        <w:t>＋</w:t>
      </w:r>
      <w:r>
        <w:rPr>
          <w:rFonts w:ascii="Times New Roman" w:eastAsia="Times New Roman"/>
        </w:rPr>
        <w:t>2 </w:t>
      </w:r>
      <w:r>
        <w:rPr>
          <w:spacing w:val="-40"/>
        </w:rPr>
        <w:t>日后</w:t>
      </w:r>
      <w:r>
        <w:rPr/>
        <w:t>（</w:t>
      </w:r>
      <w:r>
        <w:rPr>
          <w:spacing w:val="-13"/>
        </w:rPr>
        <w:t>包</w:t>
      </w:r>
      <w:r>
        <w:rPr/>
        <w:t>括该日）投资者可向销售机构或以销售机构规定的其他方式查询申购与赎回的成交情况。</w:t>
      </w:r>
    </w:p>
    <w:p>
      <w:pPr>
        <w:pStyle w:val="BodyText"/>
        <w:spacing w:line="364" w:lineRule="auto" w:before="2"/>
        <w:ind w:right="333" w:firstLine="479"/>
        <w:jc w:val="both"/>
      </w:pPr>
      <w:r>
        <w:rPr>
          <w:rFonts w:ascii="Times New Roman" w:eastAsia="Times New Roman"/>
        </w:rPr>
        <w:t>3</w:t>
      </w:r>
      <w:r>
        <w:rPr>
          <w:spacing w:val="-10"/>
        </w:rPr>
        <w:t>、申购和赎回的款项支付申购采用全额缴款方式，若申购资金在规定时间</w:t>
      </w:r>
      <w:r>
        <w:rPr/>
        <w:t>内未全额到账则申购不成功，若申购不成功或无效，申购款项将退回投资者账户。</w:t>
      </w:r>
    </w:p>
    <w:p>
      <w:pPr>
        <w:pStyle w:val="BodyText"/>
        <w:spacing w:line="364" w:lineRule="auto" w:before="3"/>
        <w:ind w:right="334" w:firstLine="479"/>
        <w:jc w:val="both"/>
      </w:pPr>
      <w:r>
        <w:rPr>
          <w:spacing w:val="-9"/>
        </w:rPr>
        <w:t>投资者赎回申请成功后，基金管理人将通过注册登记人在 </w:t>
      </w:r>
      <w:r>
        <w:rPr>
          <w:rFonts w:ascii="Times New Roman" w:eastAsia="Times New Roman"/>
        </w:rPr>
        <w:t>T</w:t>
      </w:r>
      <w:r>
        <w:rPr/>
        <w:t>＋</w:t>
      </w:r>
      <w:r>
        <w:rPr>
          <w:rFonts w:ascii="Times New Roman" w:eastAsia="Times New Roman"/>
        </w:rPr>
        <w:t>7 </w:t>
      </w:r>
      <w:r>
        <w:rPr>
          <w:spacing w:val="-58"/>
        </w:rPr>
        <w:t>日</w:t>
      </w:r>
      <w:r>
        <w:rPr/>
        <w:t>（</w:t>
      </w:r>
      <w:r>
        <w:rPr>
          <w:spacing w:val="-6"/>
        </w:rPr>
        <w:t>包括该</w:t>
      </w:r>
      <w:r>
        <w:rPr/>
        <w:t>日）内将赎回款项划往基金份额持有人账户。在发生巨额赎回的情形时，款项的支付办法参照本《基金合同》的有关条款处理。</w:t>
      </w:r>
    </w:p>
    <w:p>
      <w:pPr>
        <w:pStyle w:val="BodyText"/>
        <w:spacing w:before="2"/>
        <w:ind w:left="618"/>
      </w:pPr>
      <w:r>
        <w:rPr/>
        <w:t>五、申购与赎回的数额限制</w:t>
      </w:r>
    </w:p>
    <w:p>
      <w:pPr>
        <w:pStyle w:val="BodyText"/>
        <w:spacing w:line="364" w:lineRule="auto" w:before="160"/>
        <w:ind w:right="335" w:firstLine="479"/>
      </w:pPr>
      <w:r>
        <w:rPr>
          <w:rFonts w:ascii="Times New Roman" w:eastAsia="Times New Roman"/>
        </w:rPr>
        <w:t>1</w:t>
      </w:r>
      <w:r>
        <w:rPr>
          <w:spacing w:val="-11"/>
        </w:rPr>
        <w:t>、基金管理人可以规定投资者首次申购和每次申购的最低金额以及每次赎</w:t>
      </w:r>
      <w:r>
        <w:rPr>
          <w:spacing w:val="-6"/>
        </w:rPr>
        <w:t>回的最低份额。具体规定请参见《招募说明书》；</w:t>
      </w:r>
    </w:p>
    <w:p>
      <w:pPr>
        <w:pStyle w:val="BodyText"/>
        <w:spacing w:line="364" w:lineRule="auto" w:before="2"/>
        <w:ind w:right="333" w:firstLine="479"/>
      </w:pPr>
      <w:r>
        <w:rPr>
          <w:rFonts w:ascii="Times New Roman" w:eastAsia="Times New Roman"/>
        </w:rPr>
        <w:t>2</w:t>
      </w:r>
      <w:r>
        <w:rPr>
          <w:spacing w:val="-10"/>
        </w:rPr>
        <w:t>、基金管理人可以规定投资者每个交易账户的最低基金份额余额。具体规</w:t>
      </w:r>
      <w:r>
        <w:rPr>
          <w:spacing w:val="-11"/>
        </w:rPr>
        <w:t>定请参见《招募说明书》；</w:t>
      </w:r>
    </w:p>
    <w:p>
      <w:pPr>
        <w:pStyle w:val="BodyText"/>
        <w:spacing w:line="364" w:lineRule="auto"/>
        <w:ind w:right="332" w:firstLine="479"/>
      </w:pPr>
      <w:r>
        <w:rPr>
          <w:rFonts w:ascii="Times New Roman" w:eastAsia="Times New Roman"/>
        </w:rPr>
        <w:t>3</w:t>
      </w:r>
      <w:r>
        <w:rPr>
          <w:spacing w:val="-10"/>
        </w:rPr>
        <w:t>、基金管理人可以规定单个投资者累计持有的基金份额上限。具体规定请</w:t>
      </w:r>
      <w:r>
        <w:rPr>
          <w:spacing w:val="-13"/>
        </w:rPr>
        <w:t>参见《招募说明书》；</w:t>
      </w:r>
    </w:p>
    <w:p>
      <w:pPr>
        <w:pStyle w:val="BodyText"/>
        <w:spacing w:line="364" w:lineRule="auto"/>
        <w:ind w:right="332" w:firstLine="479"/>
        <w:jc w:val="both"/>
      </w:pPr>
      <w:r>
        <w:rPr>
          <w:rFonts w:ascii="Times New Roman" w:eastAsia="Times New Roman"/>
        </w:rPr>
        <w:t>4</w:t>
      </w:r>
      <w:r>
        <w:rPr>
          <w:spacing w:val="-10"/>
        </w:rPr>
        <w:t>、基金管理人可根据市场情况，在法律法规允许的情况下，调整上述对申</w:t>
      </w:r>
      <w:r>
        <w:rPr/>
        <w:t>购的金额和赎回的份额的数量限制，基金管理人应当依照《信息披露办法》的有关规定在指定媒体公告；</w:t>
      </w:r>
    </w:p>
    <w:p>
      <w:pPr>
        <w:pStyle w:val="BodyText"/>
        <w:spacing w:line="364" w:lineRule="auto" w:before="2"/>
        <w:ind w:right="246" w:firstLine="479"/>
      </w:pPr>
      <w:r>
        <w:rPr>
          <w:rFonts w:ascii="Times New Roman" w:eastAsia="Times New Roman"/>
        </w:rPr>
        <w:t>5</w:t>
      </w:r>
      <w:r>
        <w:rPr/>
        <w:t>、当接受申购申请对存量基金份额持有人利益构成潜在重大不利影响时， 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pPr>
        <w:pStyle w:val="BodyText"/>
        <w:spacing w:before="3"/>
        <w:ind w:left="618"/>
      </w:pPr>
      <w:r>
        <w:rPr/>
        <w:t>六、申购费用和赎回费用</w:t>
      </w:r>
    </w:p>
    <w:p>
      <w:pPr>
        <w:spacing w:after="0"/>
        <w:sectPr>
          <w:pgSz w:w="11910" w:h="16840"/>
          <w:pgMar w:header="880" w:footer="1964" w:top="1380" w:bottom="2160" w:left="1660" w:right="1580"/>
        </w:sectPr>
      </w:pPr>
    </w:p>
    <w:p>
      <w:pPr>
        <w:pStyle w:val="BodyText"/>
        <w:spacing w:line="364" w:lineRule="auto" w:before="130"/>
        <w:ind w:right="332" w:firstLine="479"/>
      </w:pPr>
      <w:r>
        <w:rPr>
          <w:rFonts w:ascii="Times New Roman" w:eastAsia="Times New Roman"/>
        </w:rPr>
        <w:t>1</w:t>
      </w:r>
      <w:r>
        <w:rPr>
          <w:spacing w:val="-10"/>
        </w:rPr>
        <w:t>、本基金的申购费用由基金申购人承担，不列入基金财产，主要用于本基</w:t>
      </w:r>
      <w:r>
        <w:rPr/>
        <w:t>金的市场推广、销售、注册登记等各项费用。赎回费用由基金赎回人承担。</w:t>
      </w:r>
    </w:p>
    <w:p>
      <w:pPr>
        <w:pStyle w:val="BodyText"/>
        <w:spacing w:line="364" w:lineRule="auto"/>
        <w:ind w:right="333" w:firstLine="479"/>
        <w:jc w:val="both"/>
      </w:pPr>
      <w:r>
        <w:rPr>
          <w:rFonts w:ascii="Times New Roman" w:eastAsia="Times New Roman"/>
        </w:rPr>
        <w:t>2</w:t>
      </w:r>
      <w:r>
        <w:rPr>
          <w:spacing w:val="-10"/>
        </w:rPr>
        <w:t>、投资者可将其持有的全部或部分基金份额赎回。本基金的赎回费用在投</w:t>
      </w:r>
      <w:r>
        <w:rPr/>
        <w:t>资人赎回本基金份额时收取，扣除用于市场推广、注册登记费和其他手续费后的余额归基金财产，赎回费归入基金财产的比例不得低于法律法规或中国证监会规定的比例下限。</w:t>
      </w:r>
    </w:p>
    <w:p>
      <w:pPr>
        <w:pStyle w:val="BodyText"/>
        <w:spacing w:before="2"/>
        <w:ind w:left="618"/>
        <w:jc w:val="both"/>
      </w:pPr>
      <w:r>
        <w:rPr>
          <w:rFonts w:ascii="Times New Roman" w:eastAsia="Times New Roman"/>
        </w:rPr>
        <w:t>3</w:t>
      </w:r>
      <w:r>
        <w:rPr/>
        <w:t>、本基金申购费率最高不超过 </w:t>
      </w:r>
      <w:r>
        <w:rPr>
          <w:rFonts w:ascii="Times New Roman" w:eastAsia="Times New Roman"/>
        </w:rPr>
        <w:t>5%</w:t>
      </w:r>
      <w:r>
        <w:rPr/>
        <w:t>，赎回费率最高不超过 </w:t>
      </w:r>
      <w:r>
        <w:rPr>
          <w:rFonts w:ascii="Times New Roman" w:eastAsia="Times New Roman"/>
        </w:rPr>
        <w:t>5%</w:t>
      </w:r>
      <w:r>
        <w:rPr/>
        <w:t>。</w:t>
      </w:r>
    </w:p>
    <w:p>
      <w:pPr>
        <w:pStyle w:val="BodyText"/>
        <w:spacing w:line="364" w:lineRule="auto" w:before="161"/>
        <w:ind w:right="213" w:firstLine="479"/>
      </w:pPr>
      <w:r>
        <w:rPr>
          <w:rFonts w:ascii="Times New Roman" w:eastAsia="Times New Roman"/>
        </w:rPr>
        <w:t>4</w:t>
      </w:r>
      <w:r>
        <w:rPr>
          <w:spacing w:val="-16"/>
        </w:rPr>
        <w:t>、本基金的申购费率、赎回费率和收费方式由基金管理人根据《基金合同》</w:t>
      </w:r>
      <w:r>
        <w:rPr>
          <w:spacing w:val="-2"/>
        </w:rPr>
        <w:t>的规定确定并在《招募说明书》中列示，对于持续持有期少于 </w:t>
      </w:r>
      <w:r>
        <w:rPr>
          <w:rFonts w:ascii="Times New Roman" w:eastAsia="Times New Roman"/>
        </w:rPr>
        <w:t>7 </w:t>
      </w:r>
      <w:r>
        <w:rPr/>
        <w:t>日的投资者， </w:t>
      </w:r>
      <w:r>
        <w:rPr>
          <w:spacing w:val="3"/>
        </w:rPr>
        <w:t>本基金将收取不低于 </w:t>
      </w:r>
      <w:r>
        <w:rPr>
          <w:rFonts w:ascii="Times New Roman" w:eastAsia="Times New Roman"/>
        </w:rPr>
        <w:t>1.5%</w:t>
      </w:r>
      <w:r>
        <w:rPr/>
        <w:t>的赎回费并全额计入基金财产。基金管理人可以在</w:t>
      </w:r>
    </w:p>
    <w:p>
      <w:pPr>
        <w:pStyle w:val="BodyText"/>
        <w:spacing w:line="364" w:lineRule="auto" w:before="2"/>
        <w:ind w:right="336"/>
      </w:pPr>
      <w:r>
        <w:rPr/>
        <w:t>《基金合同》约定的范围内调整费率或收费方式，基金管理人应当依照《信息披露办法》的有关规定在指定媒介公告。</w:t>
      </w:r>
    </w:p>
    <w:p>
      <w:pPr>
        <w:pStyle w:val="BodyText"/>
        <w:spacing w:line="364" w:lineRule="auto"/>
        <w:ind w:right="335" w:firstLine="479"/>
        <w:jc w:val="both"/>
      </w:pPr>
      <w:r>
        <w:rPr>
          <w:rFonts w:ascii="Times New Roman" w:eastAsia="Times New Roman"/>
        </w:rPr>
        <w:t>5</w:t>
      </w:r>
      <w:r>
        <w:rPr>
          <w:spacing w:val="-10"/>
        </w:rPr>
        <w:t>、基金管理人可以在不违背法律法规规定及《基金合同》约定的情形下根</w:t>
      </w:r>
      <w:r>
        <w:rPr>
          <w:spacing w:val="-1"/>
        </w:rPr>
        <w:t>据市场情况制定基金促销计划，针对特定地域范围、特定行业、特定职业的投</w:t>
      </w:r>
      <w:r>
        <w:rPr/>
        <w:t>资者以及以特定交易方式（如网上交易、电话交易等）</w:t>
      </w:r>
      <w:r>
        <w:rPr>
          <w:spacing w:val="-2"/>
        </w:rPr>
        <w:t>等进行基金交易的投资</w:t>
      </w:r>
      <w:r>
        <w:rPr/>
        <w:t>者定期或不定期地开展基金促销活动。</w:t>
      </w:r>
    </w:p>
    <w:p>
      <w:pPr>
        <w:pStyle w:val="BodyText"/>
        <w:spacing w:line="364" w:lineRule="auto" w:before="3"/>
        <w:ind w:right="338" w:firstLine="479"/>
      </w:pPr>
      <w:r>
        <w:rPr/>
        <w:t>在基金促销活动期间，基金管理人可以适当调低基金申购费率和基金赎回费率。</w:t>
      </w:r>
    </w:p>
    <w:p>
      <w:pPr>
        <w:pStyle w:val="BodyText"/>
        <w:spacing w:line="364" w:lineRule="auto"/>
        <w:ind w:right="332" w:firstLine="479"/>
        <w:jc w:val="both"/>
      </w:pPr>
      <w:r>
        <w:rPr>
          <w:rFonts w:ascii="Times New Roman" w:eastAsia="Times New Roman"/>
        </w:rPr>
        <w:t>6</w:t>
      </w:r>
      <w:r>
        <w:rPr>
          <w:spacing w:val="-10"/>
        </w:rPr>
        <w:t>、当发生大额申购或赎回情形时，在履行适当程序后，基金管理人可以采</w:t>
      </w:r>
      <w:r>
        <w:rPr/>
        <w:t>用摆动定价机制，以确保基金估值的公平性。具体处理原则与操作规范遵循相关法律法规以及监管部门、自律规则的规定。</w:t>
      </w:r>
    </w:p>
    <w:p>
      <w:pPr>
        <w:pStyle w:val="BodyText"/>
        <w:spacing w:before="3"/>
        <w:ind w:left="618"/>
      </w:pPr>
      <w:r>
        <w:rPr/>
        <w:t>七、申购份额与赎回金额的计算</w:t>
      </w:r>
    </w:p>
    <w:p>
      <w:pPr>
        <w:pStyle w:val="BodyText"/>
        <w:spacing w:line="364" w:lineRule="auto" w:before="160"/>
        <w:ind w:right="335" w:firstLine="479"/>
      </w:pPr>
      <w:r>
        <w:rPr>
          <w:rFonts w:ascii="Times New Roman" w:eastAsia="Times New Roman"/>
        </w:rPr>
        <w:t>1</w:t>
      </w:r>
      <w:r>
        <w:rPr>
          <w:spacing w:val="-11"/>
        </w:rPr>
        <w:t>、基金申购费用及申购份额的计算本基金的申购费用及申购份额的计算公</w:t>
      </w:r>
      <w:r>
        <w:rPr/>
        <w:t>式如下：</w:t>
      </w:r>
    </w:p>
    <w:p>
      <w:pPr>
        <w:pStyle w:val="BodyText"/>
        <w:spacing w:before="2"/>
        <w:ind w:left="618"/>
      </w:pPr>
      <w:r>
        <w:rPr/>
        <w:t>基金的申购金额包括申购费用和净申购金额，其中：</w:t>
      </w:r>
    </w:p>
    <w:p>
      <w:pPr>
        <w:pStyle w:val="BodyText"/>
        <w:spacing w:line="364" w:lineRule="auto" w:before="160"/>
        <w:ind w:right="293" w:firstLine="479"/>
      </w:pPr>
      <w:r>
        <w:rPr/>
        <w:t>净申购金额</w:t>
      </w:r>
      <w:r>
        <w:rPr>
          <w:rFonts w:ascii="Times New Roman" w:eastAsia="Times New Roman"/>
          <w:spacing w:val="-1"/>
        </w:rPr>
        <w:t>=</w:t>
      </w:r>
      <w:r>
        <w:rPr/>
        <w:t>申购金额</w:t>
      </w:r>
      <w:r>
        <w:rPr>
          <w:rFonts w:ascii="Times New Roman" w:eastAsia="Times New Roman"/>
        </w:rPr>
        <w:t>/</w:t>
      </w:r>
      <w:r>
        <w:rPr/>
        <w:t>（</w:t>
      </w:r>
      <w:r>
        <w:rPr>
          <w:rFonts w:ascii="Times New Roman" w:eastAsia="Times New Roman"/>
        </w:rPr>
        <w:t>1</w:t>
      </w:r>
      <w:r>
        <w:rPr>
          <w:rFonts w:ascii="Times New Roman" w:eastAsia="Times New Roman"/>
          <w:spacing w:val="-1"/>
        </w:rPr>
        <w:t>+</w:t>
      </w:r>
      <w:r>
        <w:rPr/>
        <w:t>申购费率</w:t>
      </w:r>
      <w:r>
        <w:rPr>
          <w:spacing w:val="-120"/>
        </w:rPr>
        <w:t>）</w:t>
      </w:r>
      <w:r>
        <w:rPr/>
        <w:t>；申购费用</w:t>
      </w:r>
      <w:r>
        <w:rPr>
          <w:rFonts w:ascii="Times New Roman" w:eastAsia="Times New Roman"/>
          <w:spacing w:val="-1"/>
        </w:rPr>
        <w:t>=</w:t>
      </w:r>
      <w:r>
        <w:rPr/>
        <w:t>申购金额</w:t>
      </w:r>
      <w:r>
        <w:rPr>
          <w:rFonts w:ascii="Times New Roman" w:eastAsia="Times New Roman"/>
          <w:spacing w:val="-1"/>
        </w:rPr>
        <w:t>-</w:t>
      </w:r>
      <w:r>
        <w:rPr>
          <w:spacing w:val="-3"/>
        </w:rPr>
        <w:t>净申购金额；</w:t>
      </w:r>
      <w:r>
        <w:rPr/>
        <w:t>申购份额</w:t>
      </w:r>
      <w:r>
        <w:rPr>
          <w:rFonts w:ascii="Times New Roman" w:eastAsia="Times New Roman"/>
        </w:rPr>
        <w:t>=</w:t>
      </w:r>
      <w:r>
        <w:rPr/>
        <w:t>净申购金额</w:t>
      </w:r>
      <w:r>
        <w:rPr>
          <w:rFonts w:ascii="Times New Roman" w:eastAsia="Times New Roman"/>
        </w:rPr>
        <w:t>/T </w:t>
      </w:r>
      <w:r>
        <w:rPr/>
        <w:t>日基金份额净值。</w:t>
      </w:r>
    </w:p>
    <w:p>
      <w:pPr>
        <w:pStyle w:val="BodyText"/>
        <w:ind w:left="618"/>
      </w:pPr>
      <w:r>
        <w:rPr/>
        <w:t>基金申购份额保留到小数点后两位，舍去部分所代表的资产归基金所有。</w:t>
      </w:r>
    </w:p>
    <w:p>
      <w:pPr>
        <w:spacing w:after="0"/>
        <w:sectPr>
          <w:pgSz w:w="11910" w:h="16840"/>
          <w:pgMar w:header="880" w:footer="1964" w:top="1380" w:bottom="2160" w:left="1660" w:right="1580"/>
        </w:sectPr>
      </w:pPr>
    </w:p>
    <w:p>
      <w:pPr>
        <w:pStyle w:val="BodyText"/>
        <w:spacing w:line="364" w:lineRule="auto" w:before="130"/>
        <w:ind w:right="333" w:firstLine="479"/>
      </w:pPr>
      <w:r>
        <w:rPr>
          <w:rFonts w:ascii="Times New Roman" w:hAnsi="Times New Roman" w:eastAsia="Times New Roman"/>
        </w:rPr>
        <w:t>2</w:t>
      </w:r>
      <w:r>
        <w:rPr>
          <w:spacing w:val="-13"/>
        </w:rPr>
        <w:t>、本基金赎回金额的计算采用“份额赎回”方式，赎回价格以 </w:t>
      </w:r>
      <w:r>
        <w:rPr>
          <w:rFonts w:ascii="Times New Roman" w:hAnsi="Times New Roman" w:eastAsia="Times New Roman"/>
        </w:rPr>
        <w:t>T </w:t>
      </w:r>
      <w:r>
        <w:rPr>
          <w:spacing w:val="-4"/>
        </w:rPr>
        <w:t>日的基金</w:t>
      </w:r>
      <w:r>
        <w:rPr/>
        <w:t>份额净值为基准进行计算，计算公式：</w:t>
      </w:r>
    </w:p>
    <w:p>
      <w:pPr>
        <w:pStyle w:val="BodyText"/>
        <w:tabs>
          <w:tab w:pos="3155" w:val="left" w:leader="none"/>
        </w:tabs>
        <w:spacing w:line="364" w:lineRule="auto"/>
        <w:ind w:right="812" w:firstLine="479"/>
      </w:pPr>
      <w:r>
        <w:rPr/>
        <w:drawing>
          <wp:anchor distT="0" distB="0" distL="0" distR="0" allowOverlap="1" layoutInCell="1" locked="0" behindDoc="1" simplePos="0" relativeHeight="250229760">
            <wp:simplePos x="0" y="0"/>
            <wp:positionH relativeFrom="page">
              <wp:posOffset>2905379</wp:posOffset>
            </wp:positionH>
            <wp:positionV relativeFrom="paragraph">
              <wp:posOffset>15875</wp:posOffset>
            </wp:positionV>
            <wp:extent cx="304800" cy="16916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04800" cy="169164"/>
                    </a:xfrm>
                    <a:prstGeom prst="rect">
                      <a:avLst/>
                    </a:prstGeom>
                  </pic:spPr>
                </pic:pic>
              </a:graphicData>
            </a:graphic>
          </wp:anchor>
        </w:drawing>
      </w:r>
      <w:r>
        <w:rPr/>
        <w:pict>
          <v:group style="position:absolute;margin-left:475.660004pt;margin-top:1.250015pt;width:24pt;height:13.35pt;mso-position-horizontal-relative:page;mso-position-vertical-relative:paragraph;z-index:251661312" coordorigin="9513,25" coordsize="480,267">
            <v:shape style="position:absolute;left:9513;top:25;width:480;height:267" type="#_x0000_t75" stroked="false">
              <v:imagedata r:id="rId7" o:title=""/>
            </v:shape>
            <v:shape style="position:absolute;left:9513;top:25;width:480;height:267" type="#_x0000_t202" filled="false" stroked="false">
              <v:textbox inset="0,0,0,0">
                <w:txbxContent>
                  <w:p>
                    <w:pPr>
                      <w:spacing w:line="266" w:lineRule="exact" w:before="0"/>
                      <w:ind w:left="240" w:right="-15" w:firstLine="0"/>
                      <w:jc w:val="left"/>
                      <w:rPr>
                        <w:sz w:val="24"/>
                      </w:rPr>
                    </w:pPr>
                    <w:r>
                      <w:rPr>
                        <w:sz w:val="24"/>
                      </w:rPr>
                      <w:t>赎</w:t>
                    </w:r>
                  </w:p>
                </w:txbxContent>
              </v:textbox>
              <w10:wrap type="none"/>
            </v:shape>
            <w10:wrap type="none"/>
          </v:group>
        </w:pict>
      </w:r>
      <w:r>
        <w:rPr/>
        <w:t>赎回总金额</w:t>
      </w:r>
      <w:r>
        <w:rPr>
          <w:rFonts w:ascii="Times New Roman" w:hAnsi="Times New Roman" w:eastAsia="Times New Roman"/>
        </w:rPr>
        <w:t>=</w:t>
      </w:r>
      <w:r>
        <w:rPr/>
        <w:t>赎回份额</w:t>
        <w:tab/>
        <w:t>赎回当日基金份额净值赎回费用</w:t>
      </w:r>
      <w:r>
        <w:rPr>
          <w:rFonts w:ascii="Times New Roman" w:hAnsi="Times New Roman" w:eastAsia="Times New Roman"/>
        </w:rPr>
        <w:t>=</w:t>
      </w:r>
      <w:r>
        <w:rPr/>
        <w:t>赎回总金</w:t>
      </w:r>
      <w:r>
        <w:rPr>
          <w:spacing w:val="-17"/>
        </w:rPr>
        <w:t>额</w:t>
      </w:r>
      <w:r>
        <w:rPr/>
        <w:t>回费率净赎回金额</w:t>
      </w:r>
      <w:r>
        <w:rPr>
          <w:rFonts w:ascii="Times New Roman" w:hAnsi="Times New Roman" w:eastAsia="Times New Roman"/>
        </w:rPr>
        <w:t>=</w:t>
      </w:r>
      <w:r>
        <w:rPr/>
        <w:t>赎回总金额</w:t>
      </w:r>
      <w:r>
        <w:rPr>
          <w:rFonts w:ascii="Times New Roman" w:hAnsi="Times New Roman" w:eastAsia="Times New Roman"/>
        </w:rPr>
        <w:t>−</w:t>
      </w:r>
      <w:r>
        <w:rPr/>
        <w:t>赎回费用</w:t>
      </w:r>
    </w:p>
    <w:p>
      <w:pPr>
        <w:pStyle w:val="BodyText"/>
        <w:spacing w:line="364" w:lineRule="auto"/>
        <w:ind w:right="332" w:firstLine="479"/>
        <w:jc w:val="both"/>
      </w:pPr>
      <w:r>
        <w:rPr>
          <w:rFonts w:ascii="Times New Roman" w:eastAsia="Times New Roman"/>
        </w:rPr>
        <w:t>3</w:t>
      </w:r>
      <w:r>
        <w:rPr/>
        <w:t>、本基金份额净值的计算 </w:t>
      </w:r>
      <w:r>
        <w:rPr>
          <w:rFonts w:ascii="Times New Roman" w:eastAsia="Times New Roman"/>
        </w:rPr>
        <w:t>T </w:t>
      </w:r>
      <w:r>
        <w:rPr/>
        <w:t>日的基金份额净值在当天收市后计算，并在</w:t>
      </w:r>
      <w:r>
        <w:rPr>
          <w:rFonts w:ascii="Times New Roman" w:eastAsia="Times New Roman"/>
        </w:rPr>
        <w:t>T+1 </w:t>
      </w:r>
      <w:r>
        <w:rPr/>
        <w:t>日内公告。遇特殊情况，经中国证监会同意，可以适当延迟计算或公告。本基金份额净值的计算，保留到小数点后 </w:t>
      </w:r>
      <w:r>
        <w:rPr>
          <w:rFonts w:ascii="Times New Roman" w:eastAsia="Times New Roman"/>
        </w:rPr>
        <w:t>3 </w:t>
      </w:r>
      <w:r>
        <w:rPr/>
        <w:t>位，小数点后第 </w:t>
      </w:r>
      <w:r>
        <w:rPr>
          <w:rFonts w:ascii="Times New Roman" w:eastAsia="Times New Roman"/>
        </w:rPr>
        <w:t>4 </w:t>
      </w:r>
      <w:r>
        <w:rPr/>
        <w:t>位四舍五入。</w:t>
      </w:r>
    </w:p>
    <w:p>
      <w:pPr>
        <w:pStyle w:val="BodyText"/>
        <w:spacing w:line="364" w:lineRule="auto" w:before="3"/>
        <w:ind w:right="334" w:firstLine="479"/>
        <w:jc w:val="right"/>
      </w:pPr>
      <w:r>
        <w:rPr>
          <w:rFonts w:ascii="Times New Roman" w:eastAsia="Times New Roman"/>
        </w:rPr>
        <w:t>4</w:t>
      </w:r>
      <w:r>
        <w:rPr>
          <w:spacing w:val="-11"/>
        </w:rPr>
        <w:t>、申购份额、余额的处理方式申购的有效份额为按实际确认的申购金额在</w:t>
      </w:r>
      <w:r>
        <w:rPr/>
        <w:t>扣除相应的费用后，以当日基金份额净值为基准计算，计算结果保留到小数点</w:t>
      </w:r>
      <w:r>
        <w:rPr>
          <w:spacing w:val="-31"/>
        </w:rPr>
        <w:t>后 </w:t>
      </w:r>
      <w:r>
        <w:rPr>
          <w:rFonts w:ascii="Times New Roman" w:eastAsia="Times New Roman"/>
        </w:rPr>
        <w:t>2 </w:t>
      </w:r>
      <w:r>
        <w:rPr/>
        <w:t>位，小数点后两位以后的部分舍去，舍去部分所代表的资产归基金所有。 </w:t>
      </w:r>
      <w:r>
        <w:rPr>
          <w:rFonts w:ascii="Times New Roman" w:eastAsia="Times New Roman"/>
        </w:rPr>
        <w:t>5</w:t>
      </w:r>
      <w:r>
        <w:rPr>
          <w:spacing w:val="-10"/>
        </w:rPr>
        <w:t>、赎回金额的处理方式赎回金额为按实际确认的有效赎回份额以当日基金</w:t>
      </w:r>
    </w:p>
    <w:p>
      <w:pPr>
        <w:pStyle w:val="BodyText"/>
        <w:spacing w:line="364" w:lineRule="auto" w:before="2"/>
        <w:ind w:right="283"/>
      </w:pPr>
      <w:r>
        <w:rPr/>
        <w:t>份额净值为基准并扣除相应的费用，计算结果保留到小数点后 </w:t>
      </w:r>
      <w:r>
        <w:rPr>
          <w:rFonts w:ascii="Times New Roman" w:eastAsia="Times New Roman"/>
        </w:rPr>
        <w:t>2 </w:t>
      </w:r>
      <w:r>
        <w:rPr/>
        <w:t>位，小数点后两位以后的部分四舍五入，由此产生的误差计入基金财产。</w:t>
      </w:r>
    </w:p>
    <w:p>
      <w:pPr>
        <w:pStyle w:val="BodyText"/>
        <w:ind w:left="618"/>
      </w:pPr>
      <w:r>
        <w:rPr/>
        <w:t>八、申购和赎回的注册登记</w:t>
      </w:r>
    </w:p>
    <w:p>
      <w:pPr>
        <w:pStyle w:val="BodyText"/>
        <w:spacing w:line="364" w:lineRule="auto" w:before="161"/>
        <w:ind w:right="334" w:firstLine="479"/>
        <w:jc w:val="both"/>
      </w:pPr>
      <w:r>
        <w:rPr>
          <w:spacing w:val="-6"/>
        </w:rPr>
        <w:t>投资者申购基金成功后，注册登记人在 </w:t>
      </w:r>
      <w:r>
        <w:rPr>
          <w:rFonts w:ascii="Times New Roman" w:eastAsia="Times New Roman"/>
        </w:rPr>
        <w:t>T+1 </w:t>
      </w:r>
      <w:r>
        <w:rPr>
          <w:spacing w:val="-2"/>
        </w:rPr>
        <w:t>日为投资者登记权益并办理注</w:t>
      </w:r>
      <w:r>
        <w:rPr>
          <w:spacing w:val="-6"/>
        </w:rPr>
        <w:t>册登记手续，投资者自 </w:t>
      </w:r>
      <w:r>
        <w:rPr>
          <w:rFonts w:ascii="Times New Roman" w:eastAsia="Times New Roman"/>
        </w:rPr>
        <w:t>T+2 </w:t>
      </w:r>
      <w:r>
        <w:rPr/>
        <w:t>日（含该日）后有权赎回该部分基金份额。</w:t>
      </w:r>
    </w:p>
    <w:p>
      <w:pPr>
        <w:pStyle w:val="BodyText"/>
        <w:spacing w:line="364" w:lineRule="auto"/>
        <w:ind w:right="334" w:firstLine="479"/>
        <w:jc w:val="both"/>
      </w:pPr>
      <w:r>
        <w:rPr>
          <w:spacing w:val="-6"/>
        </w:rPr>
        <w:t>投资者赎回基金成功后，注册登记人在 </w:t>
      </w:r>
      <w:r>
        <w:rPr>
          <w:rFonts w:ascii="Times New Roman" w:eastAsia="Times New Roman"/>
        </w:rPr>
        <w:t>T+1 </w:t>
      </w:r>
      <w:r>
        <w:rPr>
          <w:spacing w:val="-2"/>
        </w:rPr>
        <w:t>日为投资者办理扣除权益的注</w:t>
      </w:r>
      <w:r>
        <w:rPr/>
        <w:t>册登记手续。</w:t>
      </w:r>
    </w:p>
    <w:p>
      <w:pPr>
        <w:pStyle w:val="BodyText"/>
        <w:spacing w:line="364" w:lineRule="auto"/>
        <w:ind w:right="337" w:firstLine="479"/>
        <w:jc w:val="both"/>
      </w:pPr>
      <w:r>
        <w:rPr/>
        <w:t>基金管理人可以在法律法规允许的范围内，对上述注册登记办理时间进行调整，但不得实质影响投资者的合法权益，应当依照《信息披露办法》的有关规定在指定媒介公告。</w:t>
      </w:r>
    </w:p>
    <w:p>
      <w:pPr>
        <w:pStyle w:val="BodyText"/>
        <w:spacing w:before="3"/>
        <w:ind w:left="618"/>
      </w:pPr>
      <w:r>
        <w:rPr/>
        <w:t>九、拒绝或暂停申购的情形及处理方式</w:t>
      </w:r>
    </w:p>
    <w:p>
      <w:pPr>
        <w:pStyle w:val="BodyText"/>
        <w:spacing w:before="160"/>
        <w:ind w:left="618"/>
      </w:pPr>
      <w:r>
        <w:rPr/>
        <w:t>除非出现如下情形，基金管理人不得拒绝或暂停基金投资者的申购申请：</w:t>
      </w:r>
    </w:p>
    <w:p>
      <w:pPr>
        <w:pStyle w:val="BodyText"/>
        <w:spacing w:before="161"/>
        <w:ind w:left="618"/>
      </w:pPr>
      <w:r>
        <w:rPr>
          <w:rFonts w:ascii="Times New Roman" w:eastAsia="Times New Roman"/>
        </w:rPr>
        <w:t>1</w:t>
      </w:r>
      <w:r>
        <w:rPr/>
        <w:t>、不可抗力的原因导致基金无法正常运作；</w:t>
      </w:r>
    </w:p>
    <w:p>
      <w:pPr>
        <w:pStyle w:val="BodyText"/>
        <w:spacing w:before="160"/>
        <w:ind w:left="618"/>
      </w:pPr>
      <w:r>
        <w:rPr>
          <w:rFonts w:ascii="Times New Roman" w:eastAsia="Times New Roman"/>
        </w:rPr>
        <w:t>2</w:t>
      </w:r>
      <w:r>
        <w:rPr/>
        <w:t>、证券交易场所在交易时间非正常停市，导致当日基金资产净值无法计算；</w:t>
      </w:r>
    </w:p>
    <w:p>
      <w:pPr>
        <w:pStyle w:val="BodyText"/>
        <w:spacing w:line="364" w:lineRule="auto" w:before="161"/>
        <w:ind w:left="558" w:right="288"/>
      </w:pPr>
      <w:r>
        <w:rPr>
          <w:rFonts w:ascii="Times New Roman" w:eastAsia="Times New Roman"/>
        </w:rPr>
        <w:t>3</w:t>
      </w:r>
      <w:r>
        <w:rPr/>
        <w:t>、基金资产规模过大，使基金管理人无法找到合适的投资品种，或可能对基金业绩产生负面影响，从而损害现有基金份额持有人的利益；</w:t>
      </w:r>
    </w:p>
    <w:p>
      <w:pPr>
        <w:pStyle w:val="BodyText"/>
        <w:ind w:left="618"/>
      </w:pPr>
      <w:r>
        <w:rPr>
          <w:rFonts w:ascii="Times New Roman" w:eastAsia="Times New Roman"/>
        </w:rPr>
        <w:t>4</w:t>
      </w:r>
      <w:r>
        <w:rPr/>
        <w:t>、法律、法规规定或中国证监会认定的其他可暂停申购的情形；</w:t>
      </w:r>
    </w:p>
    <w:p>
      <w:pPr>
        <w:spacing w:after="0"/>
        <w:sectPr>
          <w:pgSz w:w="11910" w:h="16840"/>
          <w:pgMar w:header="880" w:footer="1964" w:top="1380" w:bottom="2160" w:left="1660" w:right="1580"/>
        </w:sectPr>
      </w:pPr>
    </w:p>
    <w:p>
      <w:pPr>
        <w:pStyle w:val="BodyText"/>
        <w:spacing w:before="130"/>
        <w:ind w:left="618"/>
      </w:pPr>
      <w:r>
        <w:rPr>
          <w:rFonts w:ascii="Times New Roman" w:eastAsia="Times New Roman"/>
        </w:rPr>
        <w:t>5</w:t>
      </w:r>
      <w:r>
        <w:rPr/>
        <w:t>、基金管理人认为有必要拒绝或暂停接受的某笔申购申请。</w:t>
      </w:r>
    </w:p>
    <w:p>
      <w:pPr>
        <w:pStyle w:val="BodyText"/>
        <w:spacing w:line="364" w:lineRule="auto" w:before="160"/>
        <w:ind w:right="334" w:firstLine="479"/>
        <w:jc w:val="both"/>
      </w:pPr>
      <w:r>
        <w:rPr>
          <w:rFonts w:ascii="Times New Roman" w:eastAsia="Times New Roman"/>
        </w:rPr>
        <w:t>6</w:t>
      </w:r>
      <w:r>
        <w:rPr>
          <w:spacing w:val="-15"/>
        </w:rPr>
        <w:t>、当前一估值日基金资产净值 </w:t>
      </w:r>
      <w:r>
        <w:rPr>
          <w:rFonts w:ascii="Times New Roman" w:eastAsia="Times New Roman"/>
        </w:rPr>
        <w:t>50%</w:t>
      </w:r>
      <w:r>
        <w:rPr>
          <w:spacing w:val="-1"/>
        </w:rPr>
        <w:t>以上的资产出现无可参考的活跃市场价</w:t>
      </w:r>
      <w:r>
        <w:rPr/>
        <w:t>格且采用估值技术仍导致公允价值存在重大不确定性，经与基金托管人协商确定后，基金管理人应当暂停接受申购申请。</w:t>
      </w:r>
    </w:p>
    <w:p>
      <w:pPr>
        <w:pStyle w:val="BodyText"/>
        <w:spacing w:line="364" w:lineRule="auto" w:before="2"/>
        <w:ind w:right="335" w:firstLine="479"/>
        <w:jc w:val="both"/>
      </w:pPr>
      <w:r>
        <w:rPr>
          <w:rFonts w:ascii="Times New Roman" w:eastAsia="Times New Roman"/>
        </w:rPr>
        <w:t>7</w:t>
      </w:r>
      <w:r>
        <w:rPr>
          <w:spacing w:val="-11"/>
        </w:rPr>
        <w:t>、基金管理人接受某笔或者某些申购申请有可能导致单一投资者持有基金</w:t>
      </w:r>
      <w:r>
        <w:rPr>
          <w:spacing w:val="-6"/>
        </w:rPr>
        <w:t>份额的比例达到或者超过 </w:t>
      </w:r>
      <w:r>
        <w:rPr>
          <w:rFonts w:ascii="Times New Roman" w:eastAsia="Times New Roman"/>
        </w:rPr>
        <w:t>50%</w:t>
      </w:r>
      <w:r>
        <w:rPr>
          <w:spacing w:val="-8"/>
        </w:rPr>
        <w:t>，或者变相规避 </w:t>
      </w:r>
      <w:r>
        <w:rPr>
          <w:rFonts w:ascii="Times New Roman" w:eastAsia="Times New Roman"/>
        </w:rPr>
        <w:t>50%</w:t>
      </w:r>
      <w:r>
        <w:rPr/>
        <w:t>集中度的情形时。</w:t>
      </w:r>
    </w:p>
    <w:p>
      <w:pPr>
        <w:pStyle w:val="BodyText"/>
        <w:spacing w:line="364" w:lineRule="auto"/>
        <w:ind w:right="333" w:firstLine="479"/>
        <w:jc w:val="both"/>
      </w:pPr>
      <w:r>
        <w:rPr>
          <w:spacing w:val="-12"/>
        </w:rPr>
        <w:t>发生上述 </w:t>
      </w:r>
      <w:r>
        <w:rPr>
          <w:rFonts w:ascii="Times New Roman" w:eastAsia="Times New Roman"/>
        </w:rPr>
        <w:t>1</w:t>
      </w:r>
      <w:r>
        <w:rPr>
          <w:spacing w:val="-24"/>
        </w:rPr>
        <w:t>、到 </w:t>
      </w:r>
      <w:r>
        <w:rPr>
          <w:rFonts w:ascii="Times New Roman" w:eastAsia="Times New Roman"/>
        </w:rPr>
        <w:t>4</w:t>
      </w:r>
      <w:r>
        <w:rPr>
          <w:spacing w:val="-10"/>
        </w:rPr>
        <w:t>、</w:t>
      </w:r>
      <w:r>
        <w:rPr>
          <w:rFonts w:ascii="Times New Roman" w:eastAsia="Times New Roman"/>
        </w:rPr>
        <w:t>6 </w:t>
      </w:r>
      <w:r>
        <w:rPr>
          <w:spacing w:val="-3"/>
        </w:rPr>
        <w:t>项暂停申购情形时，基金管理人应当根据有关规定在</w:t>
      </w:r>
      <w:r>
        <w:rPr/>
        <w:t>指定媒介刊登暂停申购公告。</w:t>
      </w:r>
    </w:p>
    <w:p>
      <w:pPr>
        <w:pStyle w:val="BodyText"/>
        <w:spacing w:before="2"/>
        <w:ind w:left="618"/>
      </w:pPr>
      <w:r>
        <w:rPr/>
        <w:t>十、暂停赎回或者延缓支付赎回款项的情形</w:t>
      </w:r>
    </w:p>
    <w:p>
      <w:pPr>
        <w:pStyle w:val="BodyText"/>
        <w:spacing w:line="364" w:lineRule="auto" w:before="161"/>
        <w:ind w:right="340" w:firstLine="479"/>
      </w:pPr>
      <w:r>
        <w:rPr/>
        <w:t>及处理方式除非出现如下情形，基金管理人不得拒绝接受或暂停基金份额持有人的赎回申请或者延缓支付赎回款项：</w:t>
      </w:r>
    </w:p>
    <w:p>
      <w:pPr>
        <w:pStyle w:val="BodyText"/>
        <w:ind w:left="618"/>
      </w:pPr>
      <w:r>
        <w:rPr>
          <w:rFonts w:ascii="Times New Roman" w:eastAsia="Times New Roman"/>
        </w:rPr>
        <w:t>1</w:t>
      </w:r>
      <w:r>
        <w:rPr/>
        <w:t>、不可抗力的原因导致基金无法正常运作；</w:t>
      </w:r>
    </w:p>
    <w:p>
      <w:pPr>
        <w:pStyle w:val="BodyText"/>
        <w:spacing w:before="160"/>
        <w:ind w:left="618"/>
      </w:pPr>
      <w:r>
        <w:rPr>
          <w:rFonts w:ascii="Times New Roman" w:eastAsia="Times New Roman"/>
        </w:rPr>
        <w:t>2</w:t>
      </w:r>
      <w:r>
        <w:rPr/>
        <w:t>、证券交易场所交易时间非正常停市，导致当日基金资产净值无法计算；</w:t>
      </w:r>
    </w:p>
    <w:p>
      <w:pPr>
        <w:pStyle w:val="BodyText"/>
        <w:spacing w:line="364" w:lineRule="auto" w:before="161"/>
        <w:ind w:left="558" w:right="288"/>
      </w:pPr>
      <w:r>
        <w:rPr>
          <w:rFonts w:ascii="Times New Roman" w:eastAsia="Times New Roman"/>
        </w:rPr>
        <w:t>3</w:t>
      </w:r>
      <w:r>
        <w:rPr/>
        <w:t>、因市场剧烈波动或其他原因而出现巨额赎回，导致本基金的现金支付出现困难；</w:t>
      </w:r>
    </w:p>
    <w:p>
      <w:pPr>
        <w:pStyle w:val="BodyText"/>
        <w:spacing w:line="364" w:lineRule="auto"/>
        <w:ind w:left="558" w:right="334" w:firstLine="60"/>
        <w:jc w:val="both"/>
      </w:pPr>
      <w:r>
        <w:rPr>
          <w:rFonts w:ascii="Times New Roman" w:eastAsia="Times New Roman"/>
        </w:rPr>
        <w:t>4</w:t>
      </w:r>
      <w:r>
        <w:rPr>
          <w:spacing w:val="-15"/>
        </w:rPr>
        <w:t>、当前一估值日基金资产净值 </w:t>
      </w:r>
      <w:r>
        <w:rPr>
          <w:rFonts w:ascii="Times New Roman" w:eastAsia="Times New Roman"/>
        </w:rPr>
        <w:t>50%</w:t>
      </w:r>
      <w:r>
        <w:rPr>
          <w:spacing w:val="-1"/>
        </w:rPr>
        <w:t>以上的资产出现无可参考的活跃市场价</w:t>
      </w:r>
      <w:r>
        <w:rPr/>
        <w:t>格且采用估值技术仍导致公允价值存在重大不确定性，经与基金托管人协商确定后，基金管理人应当暂停接受赎回申请或延缓支付赎回款项。</w:t>
      </w:r>
    </w:p>
    <w:p>
      <w:pPr>
        <w:pStyle w:val="BodyText"/>
        <w:spacing w:before="2"/>
        <w:ind w:left="618"/>
      </w:pPr>
      <w:r>
        <w:rPr>
          <w:rFonts w:ascii="Times New Roman" w:eastAsia="Times New Roman"/>
        </w:rPr>
        <w:t>5</w:t>
      </w:r>
      <w:r>
        <w:rPr/>
        <w:t>、法律、法规规定或中国证监会认定的其他情形。</w:t>
      </w:r>
    </w:p>
    <w:p>
      <w:pPr>
        <w:pStyle w:val="BodyText"/>
        <w:spacing w:line="364" w:lineRule="auto" w:before="161"/>
        <w:ind w:right="340" w:firstLine="479"/>
        <w:jc w:val="both"/>
      </w:pPr>
      <w:r>
        <w:rPr/>
        <w:t>发生上述情形之一的，基金管理人应在当日立即向中国证监会报告备案。已接受的赎回申请，基金管理人将足额支付；如暂时不能足额支付的，可支付部分按每个赎回申请人已被接受的赎回申请量占已接受赎回申请总量的比例分配给赎回申请人，未支付部分由基金管理人按照发生的情况制定相应的处理办法在后续开放日予以支付。</w:t>
      </w:r>
    </w:p>
    <w:p>
      <w:pPr>
        <w:pStyle w:val="BodyText"/>
        <w:spacing w:line="364" w:lineRule="auto" w:before="3"/>
        <w:ind w:right="334" w:firstLine="479"/>
        <w:jc w:val="both"/>
      </w:pPr>
      <w:r>
        <w:rPr/>
        <w:t>同时在出现连续巨额赎回的情形时，对已接受的赎回申请可延期支付赎回</w:t>
      </w:r>
      <w:r>
        <w:rPr>
          <w:spacing w:val="-10"/>
        </w:rPr>
        <w:t>款项，最长不超过正常支付时间 </w:t>
      </w:r>
      <w:r>
        <w:rPr>
          <w:rFonts w:ascii="Times New Roman" w:eastAsia="Times New Roman"/>
        </w:rPr>
        <w:t>20 </w:t>
      </w:r>
      <w:r>
        <w:rPr>
          <w:spacing w:val="-8"/>
        </w:rPr>
        <w:t>个工作日，并在指定媒介公告。投资者在申</w:t>
      </w:r>
      <w:r>
        <w:rPr/>
        <w:t>请赎回时可事先选择将当日可能未获受理部分予以撤销。</w:t>
      </w:r>
    </w:p>
    <w:p>
      <w:pPr>
        <w:pStyle w:val="BodyText"/>
        <w:spacing w:before="2"/>
        <w:ind w:left="618"/>
      </w:pPr>
      <w:r>
        <w:rPr/>
        <w:t>暂停基金的赎回，基金管理人应及时在指定媒介上刊登暂停赎回公告。</w:t>
      </w:r>
    </w:p>
    <w:p>
      <w:pPr>
        <w:spacing w:after="0"/>
        <w:sectPr>
          <w:pgSz w:w="11910" w:h="16840"/>
          <w:pgMar w:header="880" w:footer="1964" w:top="1380" w:bottom="2160" w:left="1660" w:right="1580"/>
        </w:sectPr>
      </w:pPr>
    </w:p>
    <w:p>
      <w:pPr>
        <w:pStyle w:val="BodyText"/>
        <w:spacing w:line="364" w:lineRule="auto" w:before="130"/>
        <w:ind w:left="618" w:right="846"/>
      </w:pPr>
      <w:r>
        <w:rPr/>
        <w:t>在暂停赎回的情况消除时，基金管理人应及时恢复赎回业务的办理。十一、巨额赎回的情形及处理方式</w:t>
      </w:r>
    </w:p>
    <w:p>
      <w:pPr>
        <w:pStyle w:val="BodyText"/>
        <w:spacing w:line="364" w:lineRule="auto"/>
        <w:ind w:left="58" w:right="332" w:firstLine="479"/>
        <w:jc w:val="right"/>
      </w:pPr>
      <w:r>
        <w:rPr>
          <w:rFonts w:ascii="Times New Roman" w:eastAsia="Times New Roman"/>
        </w:rPr>
        <w:t>1</w:t>
      </w:r>
      <w:r>
        <w:rPr/>
        <w:t>、巨额赎回的认定本基金单个开放日，基金净赎回申请（赎回申请总数加上基金转换中转出申请份额总数后扣除申购申请总数及基金转换中转入申请份额总数后的余额）超过上一日基金总份额的 </w:t>
      </w:r>
      <w:r>
        <w:rPr>
          <w:rFonts w:ascii="Times New Roman" w:eastAsia="Times New Roman"/>
        </w:rPr>
        <w:t>10%</w:t>
      </w:r>
      <w:r>
        <w:rPr/>
        <w:t>时，即认为发生了巨额赎回。 </w:t>
      </w:r>
      <w:r>
        <w:rPr>
          <w:rFonts w:ascii="Times New Roman" w:eastAsia="Times New Roman"/>
        </w:rPr>
        <w:t>2</w:t>
      </w:r>
      <w:r>
        <w:rPr/>
        <w:t>、巨额赎回的处理方式当出现巨额赎回时，基金管理人可以根据本基金当</w:t>
      </w:r>
    </w:p>
    <w:p>
      <w:pPr>
        <w:pStyle w:val="BodyText"/>
        <w:spacing w:before="2"/>
      </w:pPr>
      <w:r>
        <w:rPr/>
        <w:t>时的资产组合状况决定全额赎回或部分顺延赎回。</w:t>
      </w:r>
    </w:p>
    <w:p>
      <w:pPr>
        <w:pStyle w:val="ListParagraph"/>
        <w:numPr>
          <w:ilvl w:val="0"/>
          <w:numId w:val="2"/>
        </w:numPr>
        <w:tabs>
          <w:tab w:pos="1219" w:val="left" w:leader="none"/>
        </w:tabs>
        <w:spacing w:line="364" w:lineRule="auto" w:before="161" w:after="0"/>
        <w:ind w:left="138" w:right="335" w:firstLine="479"/>
        <w:jc w:val="left"/>
        <w:rPr>
          <w:sz w:val="24"/>
        </w:rPr>
      </w:pPr>
      <w:r>
        <w:rPr>
          <w:spacing w:val="-6"/>
          <w:sz w:val="24"/>
        </w:rPr>
        <w:t>全额赎回：当基金管理人认为有能力支付投资者的赎回申请时，按</w:t>
      </w:r>
      <w:r>
        <w:rPr>
          <w:spacing w:val="-4"/>
          <w:sz w:val="24"/>
        </w:rPr>
        <w:t>正常赎回程序执行。</w:t>
      </w:r>
    </w:p>
    <w:p>
      <w:pPr>
        <w:pStyle w:val="ListParagraph"/>
        <w:numPr>
          <w:ilvl w:val="0"/>
          <w:numId w:val="2"/>
        </w:numPr>
        <w:tabs>
          <w:tab w:pos="1219" w:val="left" w:leader="none"/>
        </w:tabs>
        <w:spacing w:line="364" w:lineRule="auto" w:before="2" w:after="0"/>
        <w:ind w:left="138" w:right="334" w:firstLine="479"/>
        <w:jc w:val="both"/>
        <w:rPr>
          <w:sz w:val="24"/>
        </w:rPr>
      </w:pPr>
      <w:r>
        <w:rPr>
          <w:spacing w:val="-7"/>
          <w:sz w:val="24"/>
        </w:rPr>
        <w:t>部分顺延赎回：当基金管理人认为支付投资者的赎回申请有困难或</w:t>
      </w:r>
      <w:r>
        <w:rPr>
          <w:spacing w:val="-4"/>
          <w:sz w:val="24"/>
        </w:rPr>
        <w:t>认为支付投资者的赎回申请可能会对基金的资产净值造成较大波动时，基金管</w:t>
      </w:r>
      <w:r>
        <w:rPr>
          <w:spacing w:val="-7"/>
          <w:sz w:val="24"/>
        </w:rPr>
        <w:t>理人在当日接受赎回比例不低于基金总份额的 </w:t>
      </w:r>
      <w:r>
        <w:rPr>
          <w:rFonts w:ascii="Times New Roman" w:eastAsia="Times New Roman"/>
          <w:sz w:val="24"/>
        </w:rPr>
        <w:t>10%</w:t>
      </w:r>
      <w:r>
        <w:rPr>
          <w:sz w:val="24"/>
        </w:rPr>
        <w:t>的前提下，对其余赎回申请</w:t>
      </w:r>
      <w:r>
        <w:rPr>
          <w:spacing w:val="-4"/>
          <w:sz w:val="24"/>
        </w:rPr>
        <w:t>延期予以办理。</w:t>
      </w:r>
    </w:p>
    <w:p>
      <w:pPr>
        <w:pStyle w:val="BodyText"/>
        <w:spacing w:line="364" w:lineRule="auto" w:before="2"/>
        <w:ind w:right="335" w:firstLine="479"/>
        <w:jc w:val="both"/>
      </w:pPr>
      <w:r>
        <w:rPr/>
        <w:t>若进行上述延期办理，在单个基金份额持有人超过上一工作日基金总份额</w:t>
      </w:r>
      <w:r>
        <w:rPr>
          <w:rFonts w:ascii="Times New Roman" w:eastAsia="Times New Roman"/>
        </w:rPr>
        <w:t>20%</w:t>
      </w:r>
      <w:r>
        <w:rPr>
          <w:spacing w:val="-1"/>
        </w:rPr>
        <w:t>以上的赎回申请的情形下，基金管理人可以对该基金份额持有人超过 </w:t>
      </w:r>
      <w:r>
        <w:rPr>
          <w:rFonts w:ascii="Times New Roman" w:eastAsia="Times New Roman"/>
          <w:spacing w:val="-6"/>
        </w:rPr>
        <w:t>20% </w:t>
      </w:r>
      <w:r>
        <w:rPr/>
        <w:t>以上的部分延期办理赎回申请。</w:t>
      </w:r>
    </w:p>
    <w:p>
      <w:pPr>
        <w:pStyle w:val="BodyText"/>
        <w:spacing w:line="364" w:lineRule="auto" w:before="2"/>
        <w:ind w:right="337" w:firstLine="479"/>
        <w:jc w:val="both"/>
      </w:pPr>
      <w:r>
        <w:rPr/>
        <w:t>对于其余当日非自动延期办理的赎回申请，应当按单个账户非自动延期办理的赎回申请量占非自动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pPr>
        <w:pStyle w:val="ListParagraph"/>
        <w:numPr>
          <w:ilvl w:val="0"/>
          <w:numId w:val="2"/>
        </w:numPr>
        <w:tabs>
          <w:tab w:pos="1219" w:val="left" w:leader="none"/>
        </w:tabs>
        <w:spacing w:line="364" w:lineRule="auto" w:before="6" w:after="0"/>
        <w:ind w:left="138" w:right="332" w:firstLine="479"/>
        <w:jc w:val="both"/>
        <w:rPr>
          <w:sz w:val="24"/>
        </w:rPr>
      </w:pPr>
      <w:r>
        <w:rPr>
          <w:spacing w:val="-5"/>
          <w:sz w:val="24"/>
        </w:rPr>
        <w:t>巨额赎回的公告：开放式基金发生巨额赎回并延期办理的，基金管</w:t>
      </w:r>
      <w:r>
        <w:rPr>
          <w:spacing w:val="-6"/>
          <w:sz w:val="24"/>
        </w:rPr>
        <w:t>理人应当通过邮寄、传真或者招募说明书规定的其他方式，在 </w:t>
      </w:r>
      <w:r>
        <w:rPr>
          <w:rFonts w:ascii="Times New Roman" w:eastAsia="Times New Roman"/>
          <w:sz w:val="24"/>
        </w:rPr>
        <w:t>3</w:t>
      </w:r>
      <w:r>
        <w:rPr>
          <w:rFonts w:ascii="Times New Roman" w:eastAsia="Times New Roman"/>
          <w:spacing w:val="15"/>
          <w:sz w:val="24"/>
        </w:rPr>
        <w:t> </w:t>
      </w:r>
      <w:r>
        <w:rPr>
          <w:sz w:val="24"/>
        </w:rPr>
        <w:t>个工作日内通</w:t>
      </w:r>
      <w:r>
        <w:rPr>
          <w:spacing w:val="-15"/>
          <w:sz w:val="24"/>
        </w:rPr>
        <w:t>知</w:t>
      </w:r>
    </w:p>
    <w:p>
      <w:pPr>
        <w:pStyle w:val="BodyText"/>
        <w:jc w:val="both"/>
      </w:pPr>
      <w:r>
        <w:rPr/>
        <w:t>基金份额持有人，说明有关处理方法，并于 </w:t>
      </w:r>
      <w:r>
        <w:rPr>
          <w:rFonts w:ascii="Times New Roman" w:eastAsia="Times New Roman"/>
        </w:rPr>
        <w:t>2 </w:t>
      </w:r>
      <w:r>
        <w:rPr/>
        <w:t>日内在指定媒介上刊登公告。</w:t>
      </w:r>
    </w:p>
    <w:p>
      <w:pPr>
        <w:spacing w:after="0"/>
        <w:jc w:val="both"/>
        <w:sectPr>
          <w:pgSz w:w="11910" w:h="16840"/>
          <w:pgMar w:header="880" w:footer="1964" w:top="1380" w:bottom="2160" w:left="1660" w:right="1580"/>
        </w:sectPr>
      </w:pPr>
    </w:p>
    <w:p>
      <w:pPr>
        <w:pStyle w:val="BodyText"/>
        <w:spacing w:line="364" w:lineRule="auto" w:before="130"/>
        <w:ind w:right="335" w:firstLine="479"/>
        <w:jc w:val="both"/>
      </w:pPr>
      <w:r>
        <w:rPr>
          <w:spacing w:val="-8"/>
        </w:rPr>
        <w:t>本基金连续 </w:t>
      </w:r>
      <w:r>
        <w:rPr>
          <w:rFonts w:ascii="Times New Roman" w:eastAsia="Times New Roman"/>
        </w:rPr>
        <w:t>2 </w:t>
      </w:r>
      <w:r>
        <w:rPr>
          <w:spacing w:val="-1"/>
        </w:rPr>
        <w:t>个开放日以上发生巨额赎回，如基金管理人认为有必要，可暂停接受赎回申请；已经接受的赎回申请可以延缓支付赎回款项，但不得超过</w:t>
      </w:r>
      <w:r>
        <w:rPr>
          <w:spacing w:val="-9"/>
        </w:rPr>
        <w:t>正常支付时间 </w:t>
      </w:r>
      <w:r>
        <w:rPr>
          <w:rFonts w:ascii="Times New Roman" w:eastAsia="Times New Roman"/>
        </w:rPr>
        <w:t>20 </w:t>
      </w:r>
      <w:r>
        <w:rPr/>
        <w:t>个工作日，并应当在指定媒介公告。</w:t>
      </w:r>
    </w:p>
    <w:p>
      <w:pPr>
        <w:pStyle w:val="BodyText"/>
        <w:spacing w:before="2"/>
        <w:ind w:left="618"/>
      </w:pPr>
      <w:r>
        <w:rPr/>
        <w:t>十二、重新开放申购或赎回的公告</w:t>
      </w:r>
    </w:p>
    <w:p>
      <w:pPr>
        <w:pStyle w:val="BodyText"/>
        <w:spacing w:line="364" w:lineRule="auto" w:before="160"/>
        <w:ind w:right="337" w:firstLine="479"/>
        <w:jc w:val="both"/>
      </w:pPr>
      <w:r>
        <w:rPr/>
        <w:t>暂停结束基金重新开放申购或赎回时，基金管理人应当依照《信息披露办法》的有关规定在指定媒介刊登基金重新开放申购或赎回公告并在重新开放申购或赎回日公告最近一个开放日的基金份额净值。</w:t>
      </w:r>
    </w:p>
    <w:p>
      <w:pPr>
        <w:pStyle w:val="BodyText"/>
        <w:spacing w:before="2"/>
        <w:ind w:left="618"/>
      </w:pPr>
      <w:r>
        <w:rPr/>
        <w:t>十三、基金的转换</w:t>
      </w:r>
    </w:p>
    <w:p>
      <w:pPr>
        <w:pStyle w:val="BodyText"/>
        <w:spacing w:line="364" w:lineRule="auto" w:before="161"/>
        <w:ind w:right="215" w:firstLine="479"/>
        <w:jc w:val="both"/>
      </w:pPr>
      <w:r>
        <w:rPr/>
        <w:t>为方便基金份额持有人，未来在各项技术条件和准备完备的情况下，投资者可以选择在本基金和本基金管理人管理的其他基金之间进行基金转换。基金</w:t>
      </w:r>
      <w:r>
        <w:rPr>
          <w:spacing w:val="-11"/>
        </w:rPr>
        <w:t>转换的数额限制、转换费率等具体规定可以由基金管理人届时另行规定并公告。</w:t>
      </w:r>
    </w:p>
    <w:p>
      <w:pPr>
        <w:pStyle w:val="BodyText"/>
        <w:spacing w:before="2"/>
        <w:ind w:left="618"/>
      </w:pPr>
      <w:r>
        <w:rPr/>
        <w:t>十四、转托管</w:t>
      </w:r>
    </w:p>
    <w:p>
      <w:pPr>
        <w:pStyle w:val="BodyText"/>
        <w:spacing w:line="364" w:lineRule="auto" w:before="160"/>
        <w:ind w:right="340" w:firstLine="479"/>
        <w:jc w:val="both"/>
      </w:pPr>
      <w:r>
        <w:rPr/>
        <w:t>本基金目前实行份额托管的交易制度。投资者可将所持有的基金份额从一个交易账户转入另一个交易账户进行交易。具体办理方法参照《景顺长城基金管理有限公司开放式基金注册登记业务规则》的有关规定以及基金代销机构的具体规定。</w:t>
      </w:r>
    </w:p>
    <w:p>
      <w:pPr>
        <w:pStyle w:val="BodyText"/>
        <w:spacing w:before="3"/>
        <w:ind w:left="618"/>
      </w:pPr>
      <w:r>
        <w:rPr/>
        <w:t>十五、定期定额投资计划</w:t>
      </w:r>
    </w:p>
    <w:p>
      <w:pPr>
        <w:pStyle w:val="BodyText"/>
        <w:spacing w:line="364" w:lineRule="auto" w:before="161"/>
        <w:ind w:right="340" w:firstLine="479"/>
      </w:pPr>
      <w:r>
        <w:rPr/>
        <w:t>基金管理人可以为投资者办理定期定额投资计划，具体规则由基金管理人在届时发布公告或更新的招募说明书中确定。</w:t>
      </w:r>
    </w:p>
    <w:p>
      <w:pPr>
        <w:pStyle w:val="BodyText"/>
        <w:ind w:left="618"/>
      </w:pPr>
      <w:r>
        <w:rPr/>
        <w:t>十六、基金的非交易</w:t>
      </w:r>
    </w:p>
    <w:p>
      <w:pPr>
        <w:pStyle w:val="BodyText"/>
        <w:spacing w:line="364" w:lineRule="auto" w:before="160"/>
        <w:ind w:right="339" w:firstLine="479"/>
        <w:jc w:val="both"/>
      </w:pPr>
      <w:r>
        <w:rPr/>
        <w:t>过户非交易过户是指不采用申购、赎回等基金交易方式，将一定数量的基金份额按照一定规则从某一投资者基金账户转移到另一投资者基金账户的行为。</w:t>
      </w:r>
    </w:p>
    <w:p>
      <w:pPr>
        <w:pStyle w:val="BodyText"/>
        <w:spacing w:line="364" w:lineRule="auto" w:before="3"/>
        <w:ind w:right="335" w:firstLine="479"/>
        <w:jc w:val="both"/>
      </w:pPr>
      <w:r>
        <w:rPr/>
        <w:t>基金注册登记人只受理继承、捐赠、司法执行等法律法规允许的非交易过</w:t>
      </w:r>
      <w:r>
        <w:rPr>
          <w:spacing w:val="-16"/>
        </w:rPr>
        <w:t>户。其中，“继承”指基金份额持有人死亡，其持有的基金份额由其合法的继承</w:t>
      </w:r>
      <w:r>
        <w:rPr/>
        <w:t>人继承</w:t>
      </w:r>
      <w:r>
        <w:rPr>
          <w:spacing w:val="-16"/>
        </w:rPr>
        <w:t>；“捐赠”只受理基金份额持有人将其合法持有的基金份额捐赠给福利性</w:t>
      </w:r>
      <w:r>
        <w:rPr/>
        <w:t>质的基金会或社会团体的情形</w:t>
      </w:r>
      <w:r>
        <w:rPr>
          <w:spacing w:val="-17"/>
        </w:rPr>
        <w:t>；“司法执行”是指司法机构依据生效司法文书将</w:t>
      </w:r>
      <w:r>
        <w:rPr>
          <w:spacing w:val="-1"/>
        </w:rPr>
        <w:t>基金份额持有人持有的基金份额强制划转给其他自然人、法人、社会团体或其</w:t>
      </w:r>
    </w:p>
    <w:p>
      <w:pPr>
        <w:spacing w:after="0" w:line="364" w:lineRule="auto"/>
        <w:jc w:val="both"/>
        <w:sectPr>
          <w:pgSz w:w="11910" w:h="16840"/>
          <w:pgMar w:header="880" w:footer="1964" w:top="1380" w:bottom="2160" w:left="1660" w:right="1580"/>
        </w:sectPr>
      </w:pPr>
    </w:p>
    <w:p>
      <w:pPr>
        <w:pStyle w:val="BodyText"/>
        <w:spacing w:line="364" w:lineRule="auto" w:before="130"/>
        <w:ind w:right="340"/>
      </w:pPr>
      <w:r>
        <w:rPr/>
        <w:t>他组织。无论在上述何种情况下，接受划转的主体应符合相关法律和基金合同规定的持有本基金份额的条件。办理非交易过户必须提供相关资料。</w:t>
      </w:r>
    </w:p>
    <w:p>
      <w:pPr>
        <w:pStyle w:val="BodyText"/>
        <w:spacing w:line="364" w:lineRule="auto"/>
        <w:ind w:right="340" w:firstLine="479"/>
      </w:pPr>
      <w:r>
        <w:rPr/>
        <w:t>注册登记人受理上述情况下的非交易过户，其他销售机构不得办理该项业务。</w:t>
      </w:r>
    </w:p>
    <w:p>
      <w:pPr>
        <w:pStyle w:val="BodyText"/>
        <w:spacing w:line="364" w:lineRule="auto"/>
        <w:ind w:right="340" w:firstLine="479"/>
      </w:pPr>
      <w:r>
        <w:rPr>
          <w:spacing w:val="-1"/>
        </w:rPr>
        <w:t>对于符合条件的非交易过户申请按《景顺长城基金管理有限公司开放式基</w:t>
      </w:r>
      <w:r>
        <w:rPr/>
        <w:t>金注册登记业务规则》的有关规定办理。</w:t>
      </w:r>
    </w:p>
    <w:p>
      <w:pPr>
        <w:pStyle w:val="BodyText"/>
        <w:spacing w:line="364" w:lineRule="auto"/>
        <w:ind w:right="339" w:firstLine="479"/>
        <w:jc w:val="both"/>
      </w:pPr>
      <w:r>
        <w:rPr>
          <w:spacing w:val="-1"/>
        </w:rPr>
        <w:t>十七、基金的冻结、解冻及质押基金注册登记人只受理国家有权机关依法要求的基金账户或基金份额的冻结与解冻。基金账户或基金份额被冻结的，被</w:t>
      </w:r>
      <w:r>
        <w:rPr/>
        <w:t>冻结部分产生的权益（包括现金分红和红利再投资）</w:t>
      </w:r>
      <w:r>
        <w:rPr>
          <w:spacing w:val="-2"/>
        </w:rPr>
        <w:t>一并冻结，被冻结部分份</w:t>
      </w:r>
      <w:r>
        <w:rPr>
          <w:spacing w:val="-1"/>
        </w:rPr>
        <w:t>额仍然参与基金收益分配与支付。具体执行办法由《景顺长城基金管理有限公</w:t>
      </w:r>
      <w:r>
        <w:rPr/>
        <w:t>司开放式基金注册登记业务规则》约定。</w:t>
      </w:r>
    </w:p>
    <w:p>
      <w:pPr>
        <w:pStyle w:val="BodyText"/>
        <w:spacing w:line="364" w:lineRule="auto" w:before="4"/>
        <w:ind w:right="340" w:firstLine="479"/>
      </w:pPr>
      <w:r>
        <w:rPr/>
        <w:t>在有关法律法规有明确规定的情况下，基金管理人将可以办理基金份额的质押或其它业务，并会同注册登记人制定、公布和实施相应的业务规则。</w:t>
      </w:r>
    </w:p>
    <w:p>
      <w:pPr>
        <w:spacing w:after="0" w:line="364" w:lineRule="auto"/>
        <w:sectPr>
          <w:pgSz w:w="11910" w:h="16840"/>
          <w:pgMar w:header="880" w:footer="1964" w:top="1380" w:bottom="2160" w:left="1660" w:right="1580"/>
        </w:sectPr>
      </w:pPr>
    </w:p>
    <w:p>
      <w:pPr>
        <w:pStyle w:val="BodyText"/>
        <w:spacing w:before="8"/>
        <w:ind w:left="0"/>
        <w:rPr>
          <w:sz w:val="8"/>
        </w:rPr>
      </w:pPr>
    </w:p>
    <w:p>
      <w:pPr>
        <w:spacing w:before="58"/>
        <w:ind w:left="80" w:right="283" w:firstLine="0"/>
        <w:jc w:val="center"/>
        <w:rPr>
          <w:b/>
          <w:sz w:val="30"/>
        </w:rPr>
      </w:pPr>
      <w:bookmarkStart w:name="_bookmark6" w:id="7"/>
      <w:bookmarkEnd w:id="7"/>
      <w:r>
        <w:rPr/>
      </w:r>
      <w:r>
        <w:rPr>
          <w:b/>
          <w:sz w:val="30"/>
        </w:rPr>
        <w:t>七、基金合同当事人及其权利和义务</w:t>
      </w:r>
    </w:p>
    <w:p>
      <w:pPr>
        <w:pStyle w:val="BodyText"/>
        <w:spacing w:before="0"/>
        <w:ind w:left="0"/>
        <w:rPr>
          <w:b/>
          <w:sz w:val="30"/>
        </w:rPr>
      </w:pPr>
    </w:p>
    <w:p>
      <w:pPr>
        <w:pStyle w:val="BodyText"/>
        <w:spacing w:before="2"/>
        <w:ind w:left="0"/>
        <w:rPr>
          <w:b/>
          <w:sz w:val="22"/>
        </w:rPr>
      </w:pPr>
    </w:p>
    <w:p>
      <w:pPr>
        <w:pStyle w:val="BodyText"/>
        <w:ind w:left="618"/>
      </w:pPr>
      <w:r>
        <w:rPr/>
        <w:t>一、基金管理人</w:t>
      </w:r>
    </w:p>
    <w:p>
      <w:pPr>
        <w:pStyle w:val="BodyText"/>
        <w:spacing w:before="160"/>
        <w:ind w:left="618"/>
      </w:pPr>
      <w:r>
        <w:rPr/>
        <w:t>（一）基金管理人简况</w:t>
      </w:r>
    </w:p>
    <w:p>
      <w:pPr>
        <w:pStyle w:val="BodyText"/>
        <w:spacing w:before="161"/>
        <w:ind w:left="618"/>
      </w:pPr>
      <w:r>
        <w:rPr/>
        <w:t>名称：景顺长城基金管理有限公司</w:t>
      </w:r>
    </w:p>
    <w:p>
      <w:pPr>
        <w:pStyle w:val="BodyText"/>
        <w:spacing w:before="160"/>
        <w:ind w:left="618"/>
      </w:pPr>
      <w:r>
        <w:rPr/>
        <w:t>注册地址：深圳市中心四路 </w:t>
      </w:r>
      <w:r>
        <w:rPr>
          <w:rFonts w:ascii="Times New Roman" w:eastAsia="Times New Roman"/>
        </w:rPr>
        <w:t>1 </w:t>
      </w:r>
      <w:r>
        <w:rPr/>
        <w:t>号嘉里建设广场第一座 </w:t>
      </w:r>
      <w:r>
        <w:rPr>
          <w:rFonts w:ascii="Times New Roman" w:eastAsia="Times New Roman"/>
        </w:rPr>
        <w:t>21 </w:t>
      </w:r>
      <w:r>
        <w:rPr/>
        <w:t>层</w:t>
      </w:r>
    </w:p>
    <w:p>
      <w:pPr>
        <w:pStyle w:val="BodyText"/>
        <w:spacing w:before="161"/>
        <w:ind w:left="618"/>
        <w:rPr>
          <w:rFonts w:ascii="Times New Roman" w:eastAsia="Times New Roman"/>
        </w:rPr>
      </w:pPr>
      <w:r>
        <w:rPr/>
        <w:t>英文名称：</w:t>
      </w:r>
      <w:r>
        <w:rPr>
          <w:rFonts w:ascii="Times New Roman" w:eastAsia="Times New Roman"/>
        </w:rPr>
        <w:t>Invesco Great Wall Fund Management Company Limited</w:t>
      </w:r>
    </w:p>
    <w:p>
      <w:pPr>
        <w:pStyle w:val="BodyText"/>
        <w:spacing w:before="161"/>
        <w:ind w:left="618"/>
      </w:pPr>
      <w:r>
        <w:rPr/>
        <w:t>法定代表人：李进</w:t>
      </w:r>
    </w:p>
    <w:p>
      <w:pPr>
        <w:pStyle w:val="BodyText"/>
        <w:spacing w:before="160"/>
        <w:ind w:left="618"/>
      </w:pPr>
      <w:r>
        <w:rPr/>
        <w:t>设立时间：</w:t>
      </w:r>
      <w:r>
        <w:rPr>
          <w:rFonts w:ascii="Times New Roman" w:eastAsia="Times New Roman"/>
        </w:rPr>
        <w:t>2003 </w:t>
      </w:r>
      <w:r>
        <w:rPr/>
        <w:t>年 </w:t>
      </w:r>
      <w:r>
        <w:rPr>
          <w:rFonts w:ascii="Times New Roman" w:eastAsia="Times New Roman"/>
        </w:rPr>
        <w:t>6 </w:t>
      </w:r>
      <w:r>
        <w:rPr/>
        <w:t>月 </w:t>
      </w:r>
      <w:r>
        <w:rPr>
          <w:rFonts w:ascii="Times New Roman" w:eastAsia="Times New Roman"/>
        </w:rPr>
        <w:t>12 </w:t>
      </w:r>
      <w:r>
        <w:rPr/>
        <w:t>日</w:t>
      </w:r>
    </w:p>
    <w:p>
      <w:pPr>
        <w:pStyle w:val="BodyText"/>
        <w:spacing w:line="364" w:lineRule="auto" w:before="161"/>
        <w:ind w:left="618" w:right="1101"/>
      </w:pPr>
      <w:r>
        <w:rPr/>
        <w:t>批准设立机关及批准设立文号：中国证监会证监基金字</w:t>
      </w:r>
      <w:r>
        <w:rPr>
          <w:rFonts w:ascii="Times New Roman" w:eastAsia="Times New Roman"/>
        </w:rPr>
        <w:t>[2003]76 </w:t>
      </w:r>
      <w:r>
        <w:rPr/>
        <w:t>号组织形式：有限责任公司</w:t>
      </w:r>
    </w:p>
    <w:p>
      <w:pPr>
        <w:pStyle w:val="BodyText"/>
        <w:spacing w:line="364" w:lineRule="auto"/>
        <w:ind w:left="618" w:right="5285"/>
      </w:pPr>
      <w:r>
        <w:rPr/>
        <w:t>注册资本：</w:t>
      </w:r>
      <w:r>
        <w:rPr>
          <w:rFonts w:ascii="Times New Roman" w:eastAsia="Times New Roman"/>
        </w:rPr>
        <w:t>1.3 </w:t>
      </w:r>
      <w:r>
        <w:rPr/>
        <w:t>亿元人民币存续期间：持续经营</w:t>
      </w:r>
    </w:p>
    <w:p>
      <w:pPr>
        <w:pStyle w:val="BodyText"/>
        <w:ind w:left="618"/>
      </w:pPr>
      <w:r>
        <w:rPr/>
        <w:t>（二）基金管理人的权利与义务</w:t>
      </w:r>
    </w:p>
    <w:p>
      <w:pPr>
        <w:pStyle w:val="BodyText"/>
        <w:spacing w:line="364" w:lineRule="auto" w:before="161"/>
        <w:ind w:right="338" w:firstLine="599"/>
      </w:pPr>
      <w:r>
        <w:rPr>
          <w:rFonts w:ascii="Times New Roman" w:eastAsia="Times New Roman"/>
        </w:rPr>
        <w:t>1</w:t>
      </w:r>
      <w:r>
        <w:rPr>
          <w:spacing w:val="-17"/>
        </w:rPr>
        <w:t>、根据《基金法》、《运作办法》及其他有关规定，基金管理人的权利包</w:t>
      </w:r>
      <w:r>
        <w:rPr/>
        <w:t>括但不限于：</w:t>
      </w:r>
    </w:p>
    <w:p>
      <w:pPr>
        <w:pStyle w:val="ListParagraph"/>
        <w:numPr>
          <w:ilvl w:val="0"/>
          <w:numId w:val="3"/>
        </w:numPr>
        <w:tabs>
          <w:tab w:pos="1219" w:val="left" w:leader="none"/>
        </w:tabs>
        <w:spacing w:line="240" w:lineRule="auto" w:before="1" w:after="0"/>
        <w:ind w:left="1219" w:right="0" w:hanging="601"/>
        <w:jc w:val="left"/>
        <w:rPr>
          <w:sz w:val="24"/>
        </w:rPr>
      </w:pPr>
      <w:r>
        <w:rPr>
          <w:sz w:val="24"/>
        </w:rPr>
        <w:t>依法募集基金，办理基金备案手续；</w:t>
      </w:r>
    </w:p>
    <w:p>
      <w:pPr>
        <w:pStyle w:val="ListParagraph"/>
        <w:numPr>
          <w:ilvl w:val="0"/>
          <w:numId w:val="3"/>
        </w:numPr>
        <w:tabs>
          <w:tab w:pos="1219" w:val="left" w:leader="none"/>
        </w:tabs>
        <w:spacing w:line="364" w:lineRule="auto" w:before="161" w:after="0"/>
        <w:ind w:left="138" w:right="333" w:firstLine="479"/>
        <w:jc w:val="left"/>
        <w:rPr>
          <w:sz w:val="24"/>
        </w:rPr>
      </w:pPr>
      <w:r>
        <w:rPr>
          <w:spacing w:val="-4"/>
          <w:sz w:val="24"/>
        </w:rPr>
        <w:t>自本基金合同生效之日起，依法并依照基金合同的规定独立运用基</w:t>
      </w:r>
      <w:r>
        <w:rPr>
          <w:spacing w:val="-5"/>
          <w:sz w:val="24"/>
        </w:rPr>
        <w:t>金财产；</w:t>
      </w:r>
    </w:p>
    <w:p>
      <w:pPr>
        <w:pStyle w:val="ListParagraph"/>
        <w:numPr>
          <w:ilvl w:val="0"/>
          <w:numId w:val="3"/>
        </w:numPr>
        <w:tabs>
          <w:tab w:pos="1219" w:val="left" w:leader="none"/>
        </w:tabs>
        <w:spacing w:line="240" w:lineRule="auto" w:before="1" w:after="0"/>
        <w:ind w:left="1219" w:right="0" w:hanging="601"/>
        <w:jc w:val="left"/>
        <w:rPr>
          <w:sz w:val="24"/>
        </w:rPr>
      </w:pPr>
      <w:r>
        <w:rPr>
          <w:sz w:val="24"/>
        </w:rPr>
        <w:t>依据有关法律规定及本基金合同决定基金收益分配方案；</w:t>
      </w:r>
    </w:p>
    <w:p>
      <w:pPr>
        <w:pStyle w:val="ListParagraph"/>
        <w:numPr>
          <w:ilvl w:val="0"/>
          <w:numId w:val="3"/>
        </w:numPr>
        <w:tabs>
          <w:tab w:pos="1219" w:val="left" w:leader="none"/>
        </w:tabs>
        <w:spacing w:line="240" w:lineRule="auto" w:before="160" w:after="0"/>
        <w:ind w:left="1219" w:right="0" w:hanging="601"/>
        <w:jc w:val="left"/>
        <w:rPr>
          <w:sz w:val="24"/>
        </w:rPr>
      </w:pPr>
      <w:r>
        <w:rPr>
          <w:sz w:val="24"/>
        </w:rPr>
        <w:t>根据基金合同的规定，获取基金管理费及其他约定和法定的收入；</w:t>
      </w:r>
    </w:p>
    <w:p>
      <w:pPr>
        <w:pStyle w:val="ListParagraph"/>
        <w:numPr>
          <w:ilvl w:val="0"/>
          <w:numId w:val="3"/>
        </w:numPr>
        <w:tabs>
          <w:tab w:pos="1219" w:val="left" w:leader="none"/>
        </w:tabs>
        <w:spacing w:line="364" w:lineRule="auto" w:before="161" w:after="0"/>
        <w:ind w:left="138" w:right="332" w:firstLine="479"/>
        <w:jc w:val="left"/>
        <w:rPr>
          <w:sz w:val="24"/>
        </w:rPr>
      </w:pPr>
      <w:r>
        <w:rPr>
          <w:spacing w:val="-5"/>
          <w:sz w:val="24"/>
        </w:rPr>
        <w:t>在符合有关法律法规的前提下，并经中国证监会批准后，制订和调</w:t>
      </w:r>
      <w:r>
        <w:rPr>
          <w:spacing w:val="-4"/>
          <w:sz w:val="24"/>
        </w:rPr>
        <w:t>整开放式基金业务规则，决定本基金的相关费率结构和收费方式；</w:t>
      </w:r>
    </w:p>
    <w:p>
      <w:pPr>
        <w:pStyle w:val="ListParagraph"/>
        <w:numPr>
          <w:ilvl w:val="0"/>
          <w:numId w:val="3"/>
        </w:numPr>
        <w:tabs>
          <w:tab w:pos="1219" w:val="left" w:leader="none"/>
        </w:tabs>
        <w:spacing w:line="240" w:lineRule="auto" w:before="2" w:after="0"/>
        <w:ind w:left="1219" w:right="0" w:hanging="601"/>
        <w:jc w:val="left"/>
        <w:rPr>
          <w:sz w:val="24"/>
        </w:rPr>
      </w:pPr>
      <w:r>
        <w:rPr>
          <w:sz w:val="24"/>
        </w:rPr>
        <w:t>销售基金份额，获取认（申）购费；</w:t>
      </w:r>
    </w:p>
    <w:p>
      <w:pPr>
        <w:pStyle w:val="ListParagraph"/>
        <w:numPr>
          <w:ilvl w:val="0"/>
          <w:numId w:val="3"/>
        </w:numPr>
        <w:tabs>
          <w:tab w:pos="1219" w:val="left" w:leader="none"/>
        </w:tabs>
        <w:spacing w:line="240" w:lineRule="auto" w:before="160" w:after="0"/>
        <w:ind w:left="1219" w:right="0" w:hanging="601"/>
        <w:jc w:val="left"/>
        <w:rPr>
          <w:sz w:val="24"/>
        </w:rPr>
      </w:pPr>
      <w:r>
        <w:rPr>
          <w:sz w:val="24"/>
        </w:rPr>
        <w:t>选择和更换代销机构，并对其销售代理行为进行必要的监督；</w:t>
      </w:r>
    </w:p>
    <w:p>
      <w:pPr>
        <w:pStyle w:val="ListParagraph"/>
        <w:numPr>
          <w:ilvl w:val="0"/>
          <w:numId w:val="3"/>
        </w:numPr>
        <w:tabs>
          <w:tab w:pos="1219" w:val="left" w:leader="none"/>
        </w:tabs>
        <w:spacing w:line="364" w:lineRule="auto" w:before="161" w:after="0"/>
        <w:ind w:left="138" w:right="332" w:firstLine="479"/>
        <w:jc w:val="left"/>
        <w:rPr>
          <w:sz w:val="24"/>
        </w:rPr>
      </w:pPr>
      <w:r>
        <w:rPr>
          <w:spacing w:val="-5"/>
          <w:sz w:val="24"/>
        </w:rPr>
        <w:t>依照有关法律法规，代表基金行使因运营基金财产而产生的股权、</w:t>
      </w:r>
      <w:r>
        <w:rPr>
          <w:spacing w:val="-4"/>
          <w:sz w:val="24"/>
        </w:rPr>
        <w:t>债权及其他权利；</w:t>
      </w:r>
    </w:p>
    <w:p>
      <w:pPr>
        <w:spacing w:after="0" w:line="364" w:lineRule="auto"/>
        <w:jc w:val="left"/>
        <w:rPr>
          <w:sz w:val="24"/>
        </w:rPr>
        <w:sectPr>
          <w:pgSz w:w="11910" w:h="16840"/>
          <w:pgMar w:header="880" w:footer="1964" w:top="1380" w:bottom="2160" w:left="1660" w:right="1580"/>
        </w:sectPr>
      </w:pPr>
    </w:p>
    <w:p>
      <w:pPr>
        <w:pStyle w:val="ListParagraph"/>
        <w:numPr>
          <w:ilvl w:val="0"/>
          <w:numId w:val="3"/>
        </w:numPr>
        <w:tabs>
          <w:tab w:pos="1219" w:val="left" w:leader="none"/>
        </w:tabs>
        <w:spacing w:line="364" w:lineRule="auto" w:before="130" w:after="0"/>
        <w:ind w:left="138" w:right="333" w:firstLine="479"/>
        <w:jc w:val="left"/>
        <w:rPr>
          <w:sz w:val="24"/>
        </w:rPr>
      </w:pPr>
      <w:r>
        <w:rPr>
          <w:spacing w:val="-3"/>
          <w:sz w:val="24"/>
        </w:rPr>
        <w:t>担任注册登记人或选择和更换注册登记代理机构，并对其注册登记</w:t>
      </w:r>
      <w:r>
        <w:rPr>
          <w:spacing w:val="-4"/>
          <w:sz w:val="24"/>
        </w:rPr>
        <w:t>代理行为进行必要的监督；</w:t>
      </w:r>
    </w:p>
    <w:p>
      <w:pPr>
        <w:pStyle w:val="ListParagraph"/>
        <w:numPr>
          <w:ilvl w:val="0"/>
          <w:numId w:val="3"/>
        </w:numPr>
        <w:tabs>
          <w:tab w:pos="1339" w:val="left" w:leader="none"/>
        </w:tabs>
        <w:spacing w:line="364" w:lineRule="auto" w:before="1" w:after="0"/>
        <w:ind w:left="138" w:right="213" w:firstLine="479"/>
        <w:jc w:val="left"/>
        <w:rPr>
          <w:sz w:val="24"/>
        </w:rPr>
      </w:pPr>
      <w:r>
        <w:rPr>
          <w:spacing w:val="-4"/>
          <w:sz w:val="24"/>
        </w:rPr>
        <w:t>基金合同规定的情形出现时，决定暂停或拒绝受理基金份额的申购、暂停受理基金份额的赎回申请或延缓支付赎回款项；</w:t>
      </w:r>
    </w:p>
    <w:p>
      <w:pPr>
        <w:pStyle w:val="ListParagraph"/>
        <w:numPr>
          <w:ilvl w:val="0"/>
          <w:numId w:val="3"/>
        </w:numPr>
        <w:tabs>
          <w:tab w:pos="1335" w:val="left" w:leader="none"/>
        </w:tabs>
        <w:spacing w:line="364" w:lineRule="auto" w:before="1" w:after="0"/>
        <w:ind w:left="138" w:right="338" w:firstLine="479"/>
        <w:jc w:val="both"/>
        <w:rPr>
          <w:sz w:val="24"/>
        </w:rPr>
      </w:pPr>
      <w:r>
        <w:rPr>
          <w:spacing w:val="-1"/>
          <w:sz w:val="24"/>
        </w:rPr>
        <w:t>监督基金托管人，如认为基金托管人违反基金合同或有关法律法规的规定，呈报中国证监会和其他监管部门，并采取必要措施保护基金投资者的</w:t>
      </w:r>
      <w:r>
        <w:rPr>
          <w:sz w:val="24"/>
        </w:rPr>
        <w:t>利益；</w:t>
      </w:r>
    </w:p>
    <w:p>
      <w:pPr>
        <w:pStyle w:val="ListParagraph"/>
        <w:numPr>
          <w:ilvl w:val="0"/>
          <w:numId w:val="3"/>
        </w:numPr>
        <w:tabs>
          <w:tab w:pos="1341" w:val="left" w:leader="none"/>
        </w:tabs>
        <w:spacing w:line="364" w:lineRule="auto" w:before="3" w:after="0"/>
        <w:ind w:left="138" w:right="340" w:firstLine="479"/>
        <w:jc w:val="left"/>
        <w:rPr>
          <w:sz w:val="24"/>
        </w:rPr>
      </w:pPr>
      <w:r>
        <w:rPr>
          <w:spacing w:val="-1"/>
          <w:sz w:val="24"/>
        </w:rPr>
        <w:t>以自身名义，代表基金份额持有人利益行使诉讼权利或者实施其他</w:t>
      </w:r>
      <w:r>
        <w:rPr>
          <w:sz w:val="24"/>
        </w:rPr>
        <w:t>法律行为；</w:t>
      </w:r>
    </w:p>
    <w:p>
      <w:pPr>
        <w:pStyle w:val="ListParagraph"/>
        <w:numPr>
          <w:ilvl w:val="0"/>
          <w:numId w:val="3"/>
        </w:numPr>
        <w:tabs>
          <w:tab w:pos="1339" w:val="left" w:leader="none"/>
        </w:tabs>
        <w:spacing w:line="240" w:lineRule="auto" w:before="1" w:after="0"/>
        <w:ind w:left="1339" w:right="0" w:hanging="721"/>
        <w:jc w:val="left"/>
        <w:rPr>
          <w:sz w:val="24"/>
        </w:rPr>
      </w:pPr>
      <w:r>
        <w:rPr>
          <w:sz w:val="24"/>
        </w:rPr>
        <w:t>召集基金份额持有人大会；</w:t>
      </w:r>
    </w:p>
    <w:p>
      <w:pPr>
        <w:pStyle w:val="ListParagraph"/>
        <w:numPr>
          <w:ilvl w:val="0"/>
          <w:numId w:val="3"/>
        </w:numPr>
        <w:tabs>
          <w:tab w:pos="1339" w:val="left" w:leader="none"/>
        </w:tabs>
        <w:spacing w:line="240" w:lineRule="auto" w:before="160" w:after="0"/>
        <w:ind w:left="1339" w:right="0" w:hanging="721"/>
        <w:jc w:val="left"/>
        <w:rPr>
          <w:sz w:val="24"/>
        </w:rPr>
      </w:pPr>
      <w:r>
        <w:rPr>
          <w:sz w:val="24"/>
        </w:rPr>
        <w:t>在更换基金托管人时，提名新任基金托管人；</w:t>
      </w:r>
    </w:p>
    <w:p>
      <w:pPr>
        <w:pStyle w:val="ListParagraph"/>
        <w:numPr>
          <w:ilvl w:val="0"/>
          <w:numId w:val="3"/>
        </w:numPr>
        <w:tabs>
          <w:tab w:pos="1339" w:val="left" w:leader="none"/>
        </w:tabs>
        <w:spacing w:line="240" w:lineRule="auto" w:before="161" w:after="0"/>
        <w:ind w:left="1339" w:right="0" w:hanging="721"/>
        <w:jc w:val="left"/>
        <w:rPr>
          <w:sz w:val="24"/>
        </w:rPr>
      </w:pPr>
      <w:r>
        <w:rPr>
          <w:sz w:val="24"/>
        </w:rPr>
        <w:t>法律法规及基金合同规定的其他权利。</w:t>
      </w:r>
    </w:p>
    <w:p>
      <w:pPr>
        <w:pStyle w:val="BodyText"/>
        <w:spacing w:line="364" w:lineRule="auto" w:before="160"/>
        <w:ind w:right="332" w:firstLine="479"/>
      </w:pPr>
      <w:r>
        <w:rPr>
          <w:rFonts w:ascii="Times New Roman" w:eastAsia="Times New Roman"/>
        </w:rPr>
        <w:t>2</w:t>
      </w:r>
      <w:r>
        <w:rPr>
          <w:spacing w:val="-19"/>
        </w:rPr>
        <w:t>、根据《基金法》、《运作办法》及其他有关规定，基金管理人的义务包括</w:t>
      </w:r>
      <w:r>
        <w:rPr/>
        <w:t>但不限于：</w:t>
      </w:r>
    </w:p>
    <w:p>
      <w:pPr>
        <w:pStyle w:val="ListParagraph"/>
        <w:numPr>
          <w:ilvl w:val="0"/>
          <w:numId w:val="4"/>
        </w:numPr>
        <w:tabs>
          <w:tab w:pos="1219" w:val="left" w:leader="none"/>
        </w:tabs>
        <w:spacing w:line="240" w:lineRule="auto" w:before="2" w:after="0"/>
        <w:ind w:left="1219" w:right="0" w:hanging="601"/>
        <w:jc w:val="left"/>
        <w:rPr>
          <w:sz w:val="24"/>
        </w:rPr>
      </w:pPr>
      <w:r>
        <w:rPr>
          <w:sz w:val="24"/>
        </w:rPr>
        <w:t>依法募集基金，办理基金备案手续；</w:t>
      </w:r>
    </w:p>
    <w:p>
      <w:pPr>
        <w:pStyle w:val="ListParagraph"/>
        <w:numPr>
          <w:ilvl w:val="0"/>
          <w:numId w:val="4"/>
        </w:numPr>
        <w:tabs>
          <w:tab w:pos="1219" w:val="left" w:leader="none"/>
        </w:tabs>
        <w:spacing w:line="240" w:lineRule="auto" w:before="160" w:after="0"/>
        <w:ind w:left="1219" w:right="0" w:hanging="601"/>
        <w:jc w:val="left"/>
        <w:rPr>
          <w:sz w:val="24"/>
        </w:rPr>
      </w:pPr>
      <w:r>
        <w:rPr>
          <w:sz w:val="24"/>
        </w:rPr>
        <w:t>遵守基金合同；</w:t>
      </w:r>
    </w:p>
    <w:p>
      <w:pPr>
        <w:pStyle w:val="ListParagraph"/>
        <w:numPr>
          <w:ilvl w:val="0"/>
          <w:numId w:val="4"/>
        </w:numPr>
        <w:tabs>
          <w:tab w:pos="1219" w:val="left" w:leader="none"/>
        </w:tabs>
        <w:spacing w:line="364" w:lineRule="auto" w:before="161" w:after="0"/>
        <w:ind w:left="138" w:right="335" w:firstLine="479"/>
        <w:jc w:val="left"/>
        <w:rPr>
          <w:sz w:val="24"/>
        </w:rPr>
      </w:pPr>
      <w:r>
        <w:rPr>
          <w:spacing w:val="-5"/>
          <w:sz w:val="24"/>
        </w:rPr>
        <w:t>自基金合同生效之日起，以诚实信用、勤勉尽责的原则管理和运用</w:t>
      </w:r>
      <w:r>
        <w:rPr>
          <w:spacing w:val="-4"/>
          <w:sz w:val="24"/>
        </w:rPr>
        <w:t>基金财产；</w:t>
      </w:r>
    </w:p>
    <w:p>
      <w:pPr>
        <w:pStyle w:val="ListParagraph"/>
        <w:numPr>
          <w:ilvl w:val="0"/>
          <w:numId w:val="4"/>
        </w:numPr>
        <w:tabs>
          <w:tab w:pos="1219" w:val="left" w:leader="none"/>
        </w:tabs>
        <w:spacing w:line="364" w:lineRule="auto" w:before="1" w:after="0"/>
        <w:ind w:left="138" w:right="335" w:firstLine="479"/>
        <w:jc w:val="left"/>
        <w:rPr>
          <w:sz w:val="24"/>
        </w:rPr>
      </w:pPr>
      <w:r>
        <w:rPr>
          <w:spacing w:val="-4"/>
          <w:sz w:val="24"/>
        </w:rPr>
        <w:t>配备足够的具有专业资格的人员进行基金投资分析、决策，以专业化的经营方式管理和运作基金财产；</w:t>
      </w:r>
    </w:p>
    <w:p>
      <w:pPr>
        <w:pStyle w:val="ListParagraph"/>
        <w:numPr>
          <w:ilvl w:val="0"/>
          <w:numId w:val="4"/>
        </w:numPr>
        <w:tabs>
          <w:tab w:pos="1219" w:val="left" w:leader="none"/>
        </w:tabs>
        <w:spacing w:line="364" w:lineRule="auto" w:before="1" w:after="0"/>
        <w:ind w:left="138" w:right="246" w:firstLine="479"/>
        <w:jc w:val="left"/>
        <w:rPr>
          <w:sz w:val="24"/>
        </w:rPr>
      </w:pPr>
      <w:r>
        <w:rPr>
          <w:spacing w:val="-1"/>
          <w:sz w:val="24"/>
        </w:rPr>
        <w:t>设置相应的部门并配备足够的专业人员办理基金份额的认购、申购、</w:t>
      </w:r>
      <w:r>
        <w:rPr>
          <w:sz w:val="24"/>
        </w:rPr>
        <w:t>赎回及其他业务或委托其他机构代理这些业务；</w:t>
      </w:r>
    </w:p>
    <w:p>
      <w:pPr>
        <w:pStyle w:val="ListParagraph"/>
        <w:numPr>
          <w:ilvl w:val="0"/>
          <w:numId w:val="4"/>
        </w:numPr>
        <w:tabs>
          <w:tab w:pos="1219" w:val="left" w:leader="none"/>
        </w:tabs>
        <w:spacing w:line="364" w:lineRule="auto" w:before="2" w:after="0"/>
        <w:ind w:left="138" w:right="334" w:firstLine="479"/>
        <w:jc w:val="left"/>
        <w:rPr>
          <w:sz w:val="24"/>
        </w:rPr>
      </w:pPr>
      <w:r>
        <w:rPr>
          <w:sz w:val="24"/>
        </w:rPr>
        <w:t>设置相应的部门并配备足够的专业人员办理基金的注册登记工作或</w:t>
      </w:r>
      <w:r>
        <w:rPr>
          <w:spacing w:val="-4"/>
          <w:sz w:val="24"/>
        </w:rPr>
        <w:t>委托其他机构代理该项业务；</w:t>
      </w:r>
    </w:p>
    <w:p>
      <w:pPr>
        <w:pStyle w:val="ListParagraph"/>
        <w:numPr>
          <w:ilvl w:val="0"/>
          <w:numId w:val="4"/>
        </w:numPr>
        <w:tabs>
          <w:tab w:pos="1219" w:val="left" w:leader="none"/>
        </w:tabs>
        <w:spacing w:line="364" w:lineRule="auto" w:before="1" w:after="0"/>
        <w:ind w:left="138" w:right="246" w:firstLine="479"/>
        <w:jc w:val="left"/>
        <w:rPr>
          <w:sz w:val="24"/>
        </w:rPr>
      </w:pPr>
      <w:r>
        <w:rPr>
          <w:spacing w:val="-1"/>
          <w:sz w:val="24"/>
        </w:rPr>
        <w:t>建立健全内部风险控制、监察与稽核、财务管理及人事管理等制度， </w:t>
      </w:r>
      <w:r>
        <w:rPr>
          <w:sz w:val="24"/>
        </w:rPr>
        <w:t>保证所管理的基金财产和管理人的财产相互独立，对所管理的不同基金分别管理，分别记账，进行证券投资；</w:t>
      </w:r>
    </w:p>
    <w:p>
      <w:pPr>
        <w:pStyle w:val="ListParagraph"/>
        <w:numPr>
          <w:ilvl w:val="0"/>
          <w:numId w:val="4"/>
        </w:numPr>
        <w:tabs>
          <w:tab w:pos="1221" w:val="left" w:leader="none"/>
        </w:tabs>
        <w:spacing w:line="240" w:lineRule="auto" w:before="2" w:after="0"/>
        <w:ind w:left="1220" w:right="0" w:hanging="603"/>
        <w:jc w:val="left"/>
        <w:rPr>
          <w:sz w:val="24"/>
        </w:rPr>
      </w:pPr>
      <w:r>
        <w:rPr>
          <w:spacing w:val="-11"/>
          <w:sz w:val="24"/>
        </w:rPr>
        <w:t>除依据《基金法》、基金合同及其他有关规定外，不得以基金财产为</w:t>
      </w:r>
    </w:p>
    <w:p>
      <w:pPr>
        <w:spacing w:after="0" w:line="240" w:lineRule="auto"/>
        <w:jc w:val="left"/>
        <w:rPr>
          <w:sz w:val="24"/>
        </w:rPr>
        <w:sectPr>
          <w:pgSz w:w="11910" w:h="16840"/>
          <w:pgMar w:header="880" w:footer="1964" w:top="1380" w:bottom="2160" w:left="1660" w:right="1580"/>
        </w:sectPr>
      </w:pPr>
    </w:p>
    <w:p>
      <w:pPr>
        <w:pStyle w:val="BodyText"/>
        <w:spacing w:before="130"/>
      </w:pPr>
      <w:r>
        <w:rPr/>
        <w:t>自己及任何第三人谋取利益，不得委托第三人运作基金财产；</w:t>
      </w:r>
    </w:p>
    <w:p>
      <w:pPr>
        <w:pStyle w:val="ListParagraph"/>
        <w:numPr>
          <w:ilvl w:val="0"/>
          <w:numId w:val="4"/>
        </w:numPr>
        <w:tabs>
          <w:tab w:pos="1219" w:val="left" w:leader="none"/>
        </w:tabs>
        <w:spacing w:line="240" w:lineRule="auto" w:before="160" w:after="0"/>
        <w:ind w:left="1219" w:right="0" w:hanging="601"/>
        <w:jc w:val="left"/>
        <w:rPr>
          <w:sz w:val="24"/>
        </w:rPr>
      </w:pPr>
      <w:r>
        <w:rPr>
          <w:sz w:val="24"/>
        </w:rPr>
        <w:t>依法接受基金托管人的监督；</w:t>
      </w:r>
    </w:p>
    <w:p>
      <w:pPr>
        <w:pStyle w:val="ListParagraph"/>
        <w:numPr>
          <w:ilvl w:val="0"/>
          <w:numId w:val="4"/>
        </w:numPr>
        <w:tabs>
          <w:tab w:pos="1339" w:val="left" w:leader="none"/>
        </w:tabs>
        <w:spacing w:line="240" w:lineRule="auto" w:before="161" w:after="0"/>
        <w:ind w:left="1339" w:right="0" w:hanging="721"/>
        <w:jc w:val="left"/>
        <w:rPr>
          <w:sz w:val="24"/>
        </w:rPr>
      </w:pPr>
      <w:r>
        <w:rPr>
          <w:sz w:val="24"/>
        </w:rPr>
        <w:t>按规定计算并公告基金净值信息，确定基金份额申购、赎回价格；</w:t>
      </w:r>
    </w:p>
    <w:p>
      <w:pPr>
        <w:pStyle w:val="ListParagraph"/>
        <w:numPr>
          <w:ilvl w:val="0"/>
          <w:numId w:val="4"/>
        </w:numPr>
        <w:tabs>
          <w:tab w:pos="1335" w:val="left" w:leader="none"/>
        </w:tabs>
        <w:spacing w:line="364" w:lineRule="auto" w:before="160" w:after="0"/>
        <w:ind w:left="138" w:right="338" w:firstLine="479"/>
        <w:jc w:val="left"/>
        <w:rPr>
          <w:sz w:val="24"/>
        </w:rPr>
      </w:pPr>
      <w:r>
        <w:rPr>
          <w:spacing w:val="-1"/>
          <w:sz w:val="24"/>
        </w:rPr>
        <w:t>采取适当合理的措施使计算开放式基金份额认购、申购、赎回和注</w:t>
      </w:r>
      <w:r>
        <w:rPr>
          <w:sz w:val="24"/>
        </w:rPr>
        <w:t>销价格的方法符合基金合同等法律文件的规定；</w:t>
      </w:r>
    </w:p>
    <w:p>
      <w:pPr>
        <w:pStyle w:val="ListParagraph"/>
        <w:numPr>
          <w:ilvl w:val="0"/>
          <w:numId w:val="4"/>
        </w:numPr>
        <w:tabs>
          <w:tab w:pos="1339" w:val="left" w:leader="none"/>
        </w:tabs>
        <w:spacing w:line="364" w:lineRule="auto" w:before="1" w:after="0"/>
        <w:ind w:left="138" w:right="335" w:firstLine="479"/>
        <w:jc w:val="left"/>
        <w:rPr>
          <w:sz w:val="24"/>
        </w:rPr>
      </w:pPr>
      <w:r>
        <w:rPr>
          <w:spacing w:val="-29"/>
          <w:sz w:val="24"/>
        </w:rPr>
        <w:t>严格按照《基金法》、《运作办法》、《销售办法》、和本基金合同及其</w:t>
      </w:r>
      <w:r>
        <w:rPr>
          <w:sz w:val="24"/>
        </w:rPr>
        <w:t>他有关规定，受理并办理申购、赎回申请，及时、足额支付赎回款项；</w:t>
      </w:r>
    </w:p>
    <w:p>
      <w:pPr>
        <w:pStyle w:val="ListParagraph"/>
        <w:numPr>
          <w:ilvl w:val="0"/>
          <w:numId w:val="4"/>
        </w:numPr>
        <w:tabs>
          <w:tab w:pos="1341" w:val="left" w:leader="none"/>
        </w:tabs>
        <w:spacing w:line="364" w:lineRule="auto" w:before="2" w:after="0"/>
        <w:ind w:left="138" w:right="337" w:firstLine="479"/>
        <w:jc w:val="left"/>
        <w:rPr>
          <w:sz w:val="24"/>
        </w:rPr>
      </w:pPr>
      <w:r>
        <w:rPr>
          <w:spacing w:val="-23"/>
          <w:sz w:val="24"/>
        </w:rPr>
        <w:t>严格按照《基金法》、《信息披露办法》、《运作办法》和本基金合同</w:t>
      </w:r>
      <w:r>
        <w:rPr>
          <w:sz w:val="24"/>
        </w:rPr>
        <w:t>及其他有关规定履行信息披露及报告义务；</w:t>
      </w:r>
    </w:p>
    <w:p>
      <w:pPr>
        <w:pStyle w:val="ListParagraph"/>
        <w:numPr>
          <w:ilvl w:val="0"/>
          <w:numId w:val="4"/>
        </w:numPr>
        <w:tabs>
          <w:tab w:pos="1341" w:val="left" w:leader="none"/>
        </w:tabs>
        <w:spacing w:line="364" w:lineRule="auto" w:before="1" w:after="0"/>
        <w:ind w:left="138" w:right="213" w:firstLine="479"/>
        <w:jc w:val="left"/>
        <w:rPr>
          <w:sz w:val="24"/>
        </w:rPr>
      </w:pPr>
      <w:r>
        <w:rPr>
          <w:sz w:val="24"/>
        </w:rPr>
        <w:t>保守基金商业秘密，不得泄露基金投资计划、投资意向等。除《基</w:t>
      </w:r>
      <w:r>
        <w:rPr>
          <w:spacing w:val="-21"/>
          <w:sz w:val="24"/>
        </w:rPr>
        <w:t>金法》、基金合同及其他有关规定另有规定外，在基金信息公开披露前应予保密， </w:t>
      </w:r>
      <w:r>
        <w:rPr>
          <w:sz w:val="24"/>
        </w:rPr>
        <w:t>不得向他人泄露；</w:t>
      </w:r>
    </w:p>
    <w:p>
      <w:pPr>
        <w:pStyle w:val="ListParagraph"/>
        <w:numPr>
          <w:ilvl w:val="0"/>
          <w:numId w:val="4"/>
        </w:numPr>
        <w:tabs>
          <w:tab w:pos="1341" w:val="left" w:leader="none"/>
        </w:tabs>
        <w:spacing w:line="364" w:lineRule="auto" w:before="2" w:after="0"/>
        <w:ind w:left="138" w:right="340" w:firstLine="479"/>
        <w:jc w:val="left"/>
        <w:rPr>
          <w:sz w:val="24"/>
        </w:rPr>
      </w:pPr>
      <w:r>
        <w:rPr>
          <w:spacing w:val="-1"/>
          <w:sz w:val="24"/>
        </w:rPr>
        <w:t>按基金合同的约定确定基金收益分配方案，及时向基金份额持有人</w:t>
      </w:r>
      <w:r>
        <w:rPr>
          <w:sz w:val="24"/>
        </w:rPr>
        <w:t>分配收益；</w:t>
      </w:r>
    </w:p>
    <w:p>
      <w:pPr>
        <w:pStyle w:val="ListParagraph"/>
        <w:numPr>
          <w:ilvl w:val="0"/>
          <w:numId w:val="4"/>
        </w:numPr>
        <w:tabs>
          <w:tab w:pos="1339" w:val="left" w:leader="none"/>
        </w:tabs>
        <w:spacing w:line="240" w:lineRule="auto" w:before="2" w:after="0"/>
        <w:ind w:left="1339" w:right="0" w:hanging="721"/>
        <w:jc w:val="left"/>
        <w:rPr>
          <w:sz w:val="24"/>
        </w:rPr>
      </w:pPr>
      <w:r>
        <w:rPr>
          <w:sz w:val="24"/>
        </w:rPr>
        <w:t>不谋求对上市公司的控股和直接管理；</w:t>
      </w:r>
    </w:p>
    <w:p>
      <w:pPr>
        <w:pStyle w:val="ListParagraph"/>
        <w:numPr>
          <w:ilvl w:val="0"/>
          <w:numId w:val="4"/>
        </w:numPr>
        <w:tabs>
          <w:tab w:pos="1339" w:val="left" w:leader="none"/>
        </w:tabs>
        <w:spacing w:line="364" w:lineRule="auto" w:before="160" w:after="0"/>
        <w:ind w:left="138" w:right="335" w:firstLine="479"/>
        <w:jc w:val="left"/>
        <w:rPr>
          <w:sz w:val="24"/>
        </w:rPr>
      </w:pPr>
      <w:r>
        <w:rPr>
          <w:spacing w:val="-15"/>
          <w:sz w:val="24"/>
        </w:rPr>
        <w:t>依据《基金法》、基金合同及其他有关规定召集基金份额持有人大</w:t>
      </w:r>
      <w:r>
        <w:rPr>
          <w:spacing w:val="-4"/>
          <w:sz w:val="24"/>
        </w:rPr>
        <w:t>会或配合基金托管人、基金份额持有人依法召集基金份额持有人大会；</w:t>
      </w:r>
    </w:p>
    <w:p>
      <w:pPr>
        <w:pStyle w:val="ListParagraph"/>
        <w:numPr>
          <w:ilvl w:val="0"/>
          <w:numId w:val="4"/>
        </w:numPr>
        <w:tabs>
          <w:tab w:pos="1339" w:val="left" w:leader="none"/>
        </w:tabs>
        <w:spacing w:line="364" w:lineRule="auto" w:before="2" w:after="0"/>
        <w:ind w:left="138" w:right="331" w:firstLine="479"/>
        <w:jc w:val="left"/>
        <w:rPr>
          <w:sz w:val="24"/>
        </w:rPr>
      </w:pPr>
      <w:r>
        <w:rPr>
          <w:spacing w:val="-4"/>
          <w:sz w:val="24"/>
        </w:rPr>
        <w:t>编制基金的财务会计报告；保存基金的会计账册、报表、记录 </w:t>
      </w:r>
      <w:r>
        <w:rPr>
          <w:rFonts w:ascii="Times New Roman" w:eastAsia="Times New Roman"/>
          <w:sz w:val="24"/>
        </w:rPr>
        <w:t>15 </w:t>
      </w:r>
      <w:r>
        <w:rPr>
          <w:spacing w:val="-5"/>
          <w:sz w:val="24"/>
        </w:rPr>
        <w:t>年以上；</w:t>
      </w:r>
    </w:p>
    <w:p>
      <w:pPr>
        <w:pStyle w:val="ListParagraph"/>
        <w:numPr>
          <w:ilvl w:val="0"/>
          <w:numId w:val="4"/>
        </w:numPr>
        <w:tabs>
          <w:tab w:pos="1341" w:val="left" w:leader="none"/>
        </w:tabs>
        <w:spacing w:line="364" w:lineRule="auto" w:before="1" w:after="0"/>
        <w:ind w:left="138" w:right="341" w:firstLine="479"/>
        <w:jc w:val="both"/>
        <w:rPr>
          <w:sz w:val="24"/>
        </w:rPr>
      </w:pPr>
      <w:r>
        <w:rPr>
          <w:spacing w:val="-1"/>
          <w:sz w:val="24"/>
        </w:rPr>
        <w:t>确保向基金投资者提供的各项文件或资料在规定时间发出；并且保证投资者能够按照基金合同或招募说明书公告的时间和方式查阅与基金有关的</w:t>
      </w:r>
      <w:r>
        <w:rPr>
          <w:sz w:val="24"/>
        </w:rPr>
        <w:t>公开资料，并得到有关资料的复印件；</w:t>
      </w:r>
    </w:p>
    <w:p>
      <w:pPr>
        <w:pStyle w:val="ListParagraph"/>
        <w:numPr>
          <w:ilvl w:val="0"/>
          <w:numId w:val="4"/>
        </w:numPr>
        <w:tabs>
          <w:tab w:pos="1339" w:val="left" w:leader="none"/>
        </w:tabs>
        <w:spacing w:line="364" w:lineRule="auto" w:before="2" w:after="0"/>
        <w:ind w:left="138" w:right="212" w:firstLine="479"/>
        <w:jc w:val="left"/>
        <w:rPr>
          <w:sz w:val="24"/>
        </w:rPr>
      </w:pPr>
      <w:r>
        <w:rPr>
          <w:spacing w:val="-5"/>
          <w:sz w:val="24"/>
        </w:rPr>
        <w:t>组织并参加基金财产清算小组，参与基金财产的保管、清理、估价、</w:t>
      </w:r>
      <w:r>
        <w:rPr>
          <w:sz w:val="24"/>
        </w:rPr>
        <w:t>变现和分配；</w:t>
      </w:r>
    </w:p>
    <w:p>
      <w:pPr>
        <w:pStyle w:val="ListParagraph"/>
        <w:numPr>
          <w:ilvl w:val="0"/>
          <w:numId w:val="4"/>
        </w:numPr>
        <w:tabs>
          <w:tab w:pos="1341" w:val="left" w:leader="none"/>
        </w:tabs>
        <w:spacing w:line="364" w:lineRule="auto" w:before="1" w:after="0"/>
        <w:ind w:left="138" w:right="340" w:firstLine="479"/>
        <w:jc w:val="left"/>
        <w:rPr>
          <w:sz w:val="24"/>
        </w:rPr>
      </w:pPr>
      <w:r>
        <w:rPr>
          <w:spacing w:val="-1"/>
          <w:sz w:val="24"/>
        </w:rPr>
        <w:t>面临解散、依法被撤销、破产或者由接管人接管其资产时，及时报</w:t>
      </w:r>
      <w:r>
        <w:rPr>
          <w:sz w:val="24"/>
        </w:rPr>
        <w:t>告中国证监会并通知基金托管人；</w:t>
      </w:r>
    </w:p>
    <w:p>
      <w:pPr>
        <w:pStyle w:val="ListParagraph"/>
        <w:numPr>
          <w:ilvl w:val="0"/>
          <w:numId w:val="4"/>
        </w:numPr>
        <w:tabs>
          <w:tab w:pos="1339" w:val="left" w:leader="none"/>
        </w:tabs>
        <w:spacing w:line="364" w:lineRule="auto" w:before="1" w:after="0"/>
        <w:ind w:left="138" w:right="215" w:firstLine="479"/>
        <w:jc w:val="left"/>
        <w:rPr>
          <w:sz w:val="24"/>
        </w:rPr>
      </w:pPr>
      <w:r>
        <w:rPr>
          <w:sz w:val="24"/>
        </w:rPr>
        <w:t>因违反基金合同导致基金财产损失或损害基金份额持有人合法权益</w:t>
      </w:r>
      <w:r>
        <w:rPr>
          <w:spacing w:val="-4"/>
          <w:sz w:val="24"/>
        </w:rPr>
        <w:t>，应当承担赔偿责任，其赔偿责任不因其退任而免除；</w:t>
      </w:r>
    </w:p>
    <w:p>
      <w:pPr>
        <w:spacing w:after="0" w:line="364" w:lineRule="auto"/>
        <w:jc w:val="left"/>
        <w:rPr>
          <w:sz w:val="24"/>
        </w:rPr>
        <w:sectPr>
          <w:pgSz w:w="11910" w:h="16840"/>
          <w:pgMar w:header="880" w:footer="1964" w:top="1380" w:bottom="2160" w:left="1660" w:right="1580"/>
        </w:sectPr>
      </w:pPr>
    </w:p>
    <w:p>
      <w:pPr>
        <w:pStyle w:val="ListParagraph"/>
        <w:numPr>
          <w:ilvl w:val="0"/>
          <w:numId w:val="4"/>
        </w:numPr>
        <w:tabs>
          <w:tab w:pos="1341" w:val="left" w:leader="none"/>
        </w:tabs>
        <w:spacing w:line="364" w:lineRule="auto" w:before="130" w:after="0"/>
        <w:ind w:left="138" w:right="340" w:firstLine="479"/>
        <w:jc w:val="left"/>
        <w:rPr>
          <w:sz w:val="24"/>
        </w:rPr>
      </w:pPr>
      <w:r>
        <w:rPr>
          <w:spacing w:val="-1"/>
          <w:sz w:val="24"/>
        </w:rPr>
        <w:t>因估值错误导致基金持有人的损失，应承担赔偿责任，其赔偿责任</w:t>
      </w:r>
      <w:r>
        <w:rPr>
          <w:sz w:val="24"/>
        </w:rPr>
        <w:t>不因其退任而免除；</w:t>
      </w:r>
    </w:p>
    <w:p>
      <w:pPr>
        <w:pStyle w:val="ListParagraph"/>
        <w:numPr>
          <w:ilvl w:val="0"/>
          <w:numId w:val="4"/>
        </w:numPr>
        <w:tabs>
          <w:tab w:pos="1341" w:val="left" w:leader="none"/>
        </w:tabs>
        <w:spacing w:line="364" w:lineRule="auto" w:before="1" w:after="0"/>
        <w:ind w:left="138" w:right="340" w:firstLine="479"/>
        <w:jc w:val="left"/>
        <w:rPr>
          <w:sz w:val="24"/>
        </w:rPr>
      </w:pPr>
      <w:r>
        <w:rPr>
          <w:spacing w:val="-1"/>
          <w:sz w:val="24"/>
        </w:rPr>
        <w:t>基金托管人因违反基金合同造成基金财产损失时，应代表基金向基</w:t>
      </w:r>
      <w:r>
        <w:rPr>
          <w:sz w:val="24"/>
        </w:rPr>
        <w:t>金托管人追偿；</w:t>
      </w:r>
    </w:p>
    <w:p>
      <w:pPr>
        <w:pStyle w:val="ListParagraph"/>
        <w:numPr>
          <w:ilvl w:val="0"/>
          <w:numId w:val="4"/>
        </w:numPr>
        <w:tabs>
          <w:tab w:pos="1339" w:val="left" w:leader="none"/>
        </w:tabs>
        <w:spacing w:line="240" w:lineRule="auto" w:before="1" w:after="0"/>
        <w:ind w:left="1339" w:right="0" w:hanging="721"/>
        <w:jc w:val="left"/>
        <w:rPr>
          <w:sz w:val="24"/>
        </w:rPr>
      </w:pPr>
      <w:r>
        <w:rPr>
          <w:sz w:val="24"/>
        </w:rPr>
        <w:t>为基金聘请会计师和律师；</w:t>
      </w:r>
    </w:p>
    <w:p>
      <w:pPr>
        <w:pStyle w:val="ListParagraph"/>
        <w:numPr>
          <w:ilvl w:val="0"/>
          <w:numId w:val="4"/>
        </w:numPr>
        <w:tabs>
          <w:tab w:pos="1339" w:val="left" w:leader="none"/>
        </w:tabs>
        <w:spacing w:line="240" w:lineRule="auto" w:before="161" w:after="0"/>
        <w:ind w:left="1339" w:right="0" w:hanging="721"/>
        <w:jc w:val="left"/>
        <w:rPr>
          <w:sz w:val="24"/>
        </w:rPr>
      </w:pPr>
      <w:r>
        <w:rPr>
          <w:sz w:val="24"/>
        </w:rPr>
        <w:t>不从事任何有损基金及其他基金当事人利益的活动；</w:t>
      </w:r>
    </w:p>
    <w:p>
      <w:pPr>
        <w:pStyle w:val="ListParagraph"/>
        <w:numPr>
          <w:ilvl w:val="0"/>
          <w:numId w:val="4"/>
        </w:numPr>
        <w:tabs>
          <w:tab w:pos="1339" w:val="left" w:leader="none"/>
        </w:tabs>
        <w:spacing w:line="240" w:lineRule="auto" w:before="160" w:after="0"/>
        <w:ind w:left="1339" w:right="0" w:hanging="721"/>
        <w:jc w:val="left"/>
        <w:rPr>
          <w:sz w:val="24"/>
        </w:rPr>
      </w:pPr>
      <w:r>
        <w:rPr>
          <w:sz w:val="24"/>
        </w:rPr>
        <w:t>以基金管理人名义代表基金份额持有人利益行使诉讼权及其他权力；</w:t>
      </w:r>
    </w:p>
    <w:p>
      <w:pPr>
        <w:pStyle w:val="ListParagraph"/>
        <w:numPr>
          <w:ilvl w:val="0"/>
          <w:numId w:val="4"/>
        </w:numPr>
        <w:tabs>
          <w:tab w:pos="1339" w:val="left" w:leader="none"/>
        </w:tabs>
        <w:spacing w:line="240" w:lineRule="auto" w:before="161" w:after="0"/>
        <w:ind w:left="1339" w:right="0" w:hanging="721"/>
        <w:jc w:val="left"/>
        <w:rPr>
          <w:sz w:val="24"/>
        </w:rPr>
      </w:pPr>
      <w:r>
        <w:rPr>
          <w:sz w:val="24"/>
        </w:rPr>
        <w:t>执行生效的基金份额持有人大会决议；</w:t>
      </w:r>
    </w:p>
    <w:p>
      <w:pPr>
        <w:pStyle w:val="ListParagraph"/>
        <w:numPr>
          <w:ilvl w:val="0"/>
          <w:numId w:val="4"/>
        </w:numPr>
        <w:tabs>
          <w:tab w:pos="1339" w:val="left" w:leader="none"/>
        </w:tabs>
        <w:spacing w:line="364" w:lineRule="auto" w:before="161" w:after="0"/>
        <w:ind w:left="618" w:right="3246" w:firstLine="0"/>
        <w:jc w:val="left"/>
        <w:rPr>
          <w:sz w:val="24"/>
        </w:rPr>
      </w:pPr>
      <w:r>
        <w:rPr>
          <w:spacing w:val="-2"/>
          <w:sz w:val="24"/>
        </w:rPr>
        <w:t>法律法规及基金合同规定的其他义务。</w:t>
      </w:r>
      <w:r>
        <w:rPr>
          <w:sz w:val="24"/>
        </w:rPr>
        <w:t>二、基金托管人</w:t>
      </w:r>
    </w:p>
    <w:p>
      <w:pPr>
        <w:pStyle w:val="BodyText"/>
        <w:ind w:left="618"/>
      </w:pPr>
      <w:r>
        <w:rPr/>
        <w:t>（一）基金托管人简况</w:t>
      </w:r>
    </w:p>
    <w:p>
      <w:pPr>
        <w:pStyle w:val="BodyText"/>
        <w:spacing w:before="160"/>
        <w:ind w:left="618"/>
      </w:pPr>
      <w:r>
        <w:rPr/>
        <w:t>名称：中国农业银行股份有限公司</w:t>
      </w:r>
    </w:p>
    <w:p>
      <w:pPr>
        <w:pStyle w:val="BodyText"/>
        <w:spacing w:line="364" w:lineRule="auto" w:before="161"/>
        <w:ind w:left="618" w:right="3778"/>
      </w:pPr>
      <w:r>
        <w:rPr/>
        <w:t>住所：北京市东城区建国门内大街 </w:t>
      </w:r>
      <w:r>
        <w:rPr>
          <w:rFonts w:ascii="Times New Roman" w:eastAsia="Times New Roman"/>
        </w:rPr>
        <w:t>69 </w:t>
      </w:r>
      <w:r>
        <w:rPr/>
        <w:t>号法定代表人：周慕冰</w:t>
      </w:r>
    </w:p>
    <w:p>
      <w:pPr>
        <w:pStyle w:val="BodyText"/>
        <w:ind w:left="618"/>
      </w:pPr>
      <w:r>
        <w:rPr/>
        <w:t>成立时间：</w:t>
      </w:r>
      <w:r>
        <w:rPr>
          <w:rFonts w:ascii="Times New Roman" w:eastAsia="Times New Roman"/>
        </w:rPr>
        <w:t>2009 </w:t>
      </w:r>
      <w:r>
        <w:rPr/>
        <w:t>年 </w:t>
      </w:r>
      <w:r>
        <w:rPr>
          <w:rFonts w:ascii="Times New Roman" w:eastAsia="Times New Roman"/>
        </w:rPr>
        <w:t>1 </w:t>
      </w:r>
      <w:r>
        <w:rPr/>
        <w:t>月 </w:t>
      </w:r>
      <w:r>
        <w:rPr>
          <w:rFonts w:ascii="Times New Roman" w:eastAsia="Times New Roman"/>
        </w:rPr>
        <w:t>15 </w:t>
      </w:r>
      <w:r>
        <w:rPr/>
        <w:t>日</w:t>
      </w:r>
    </w:p>
    <w:p>
      <w:pPr>
        <w:pStyle w:val="BodyText"/>
        <w:spacing w:line="364" w:lineRule="auto" w:before="161"/>
        <w:ind w:left="558" w:right="331" w:firstLine="60"/>
      </w:pPr>
      <w:r>
        <w:rPr>
          <w:spacing w:val="33"/>
        </w:rPr>
        <w:t>批准设立机关和批准设立文号：中国银监会银监复【</w:t>
      </w:r>
      <w:r>
        <w:rPr>
          <w:rFonts w:ascii="Times New Roman" w:eastAsia="Times New Roman"/>
        </w:rPr>
        <w:t>2009 </w:t>
      </w:r>
      <w:r>
        <w:rPr>
          <w:spacing w:val="33"/>
        </w:rPr>
        <w:t>】</w:t>
      </w:r>
      <w:r>
        <w:rPr>
          <w:rFonts w:ascii="Times New Roman" w:eastAsia="Times New Roman"/>
        </w:rPr>
        <w:t>13 </w:t>
      </w:r>
      <w:r>
        <w:rPr/>
        <w:t>号组织形式：股份有限公司</w:t>
      </w:r>
    </w:p>
    <w:p>
      <w:pPr>
        <w:pStyle w:val="BodyText"/>
        <w:spacing w:line="364" w:lineRule="auto"/>
        <w:ind w:left="618" w:right="4325"/>
      </w:pPr>
      <w:r>
        <w:rPr/>
        <w:t>注册资本：</w:t>
      </w:r>
      <w:r>
        <w:rPr>
          <w:rFonts w:ascii="Times New Roman" w:eastAsia="Times New Roman"/>
        </w:rPr>
        <w:t>34,998,303.4 </w:t>
      </w:r>
      <w:r>
        <w:rPr/>
        <w:t>万元人民币存续期间：持续经营</w:t>
      </w:r>
    </w:p>
    <w:p>
      <w:pPr>
        <w:pStyle w:val="BodyText"/>
        <w:ind w:left="618"/>
      </w:pPr>
      <w:r>
        <w:rPr/>
        <w:t>基金托管资格批文及文号：中国证监会证监基字</w:t>
      </w:r>
      <w:r>
        <w:rPr>
          <w:rFonts w:ascii="Times New Roman" w:eastAsia="Times New Roman"/>
        </w:rPr>
        <w:t>[1998]23 </w:t>
      </w:r>
      <w:r>
        <w:rPr/>
        <w:t>号</w:t>
      </w:r>
    </w:p>
    <w:p>
      <w:pPr>
        <w:pStyle w:val="BodyText"/>
        <w:spacing w:before="161"/>
        <w:ind w:left="618"/>
      </w:pPr>
      <w:r>
        <w:rPr/>
        <w:t>（二）基金托管人的权利与义务</w:t>
      </w:r>
    </w:p>
    <w:p>
      <w:pPr>
        <w:pStyle w:val="BodyText"/>
        <w:spacing w:line="364" w:lineRule="auto" w:before="161"/>
        <w:ind w:right="332" w:firstLine="479"/>
      </w:pPr>
      <w:r>
        <w:rPr>
          <w:rFonts w:ascii="Times New Roman" w:eastAsia="Times New Roman"/>
        </w:rPr>
        <w:t>1</w:t>
      </w:r>
      <w:r>
        <w:rPr>
          <w:spacing w:val="-19"/>
        </w:rPr>
        <w:t>、根据《基金法》、《运作办法》及其他有关规定，基金托管人的权利包括</w:t>
      </w:r>
      <w:r>
        <w:rPr/>
        <w:t>但不限于：</w:t>
      </w:r>
    </w:p>
    <w:p>
      <w:pPr>
        <w:pStyle w:val="ListParagraph"/>
        <w:numPr>
          <w:ilvl w:val="0"/>
          <w:numId w:val="5"/>
        </w:numPr>
        <w:tabs>
          <w:tab w:pos="1219" w:val="left" w:leader="none"/>
        </w:tabs>
        <w:spacing w:line="240" w:lineRule="auto" w:before="1" w:after="0"/>
        <w:ind w:left="1219" w:right="0" w:hanging="601"/>
        <w:jc w:val="left"/>
        <w:rPr>
          <w:sz w:val="24"/>
        </w:rPr>
      </w:pPr>
      <w:r>
        <w:rPr>
          <w:sz w:val="24"/>
        </w:rPr>
        <w:t>依法持有并保管基金财产；</w:t>
      </w:r>
    </w:p>
    <w:p>
      <w:pPr>
        <w:pStyle w:val="ListParagraph"/>
        <w:numPr>
          <w:ilvl w:val="0"/>
          <w:numId w:val="5"/>
        </w:numPr>
        <w:tabs>
          <w:tab w:pos="1219" w:val="left" w:leader="none"/>
        </w:tabs>
        <w:spacing w:line="240" w:lineRule="auto" w:before="161" w:after="0"/>
        <w:ind w:left="1219" w:right="0" w:hanging="601"/>
        <w:jc w:val="left"/>
        <w:rPr>
          <w:sz w:val="24"/>
        </w:rPr>
      </w:pPr>
      <w:r>
        <w:rPr>
          <w:sz w:val="24"/>
        </w:rPr>
        <w:t>获取基金托管费；</w:t>
      </w:r>
    </w:p>
    <w:p>
      <w:pPr>
        <w:pStyle w:val="ListParagraph"/>
        <w:numPr>
          <w:ilvl w:val="0"/>
          <w:numId w:val="5"/>
        </w:numPr>
        <w:tabs>
          <w:tab w:pos="1219" w:val="left" w:leader="none"/>
        </w:tabs>
        <w:spacing w:line="240" w:lineRule="auto" w:before="160" w:after="0"/>
        <w:ind w:left="1219" w:right="0" w:hanging="601"/>
        <w:jc w:val="left"/>
        <w:rPr>
          <w:sz w:val="24"/>
        </w:rPr>
      </w:pPr>
      <w:r>
        <w:rPr>
          <w:sz w:val="24"/>
        </w:rPr>
        <w:t>监督本基金的投资运作；</w:t>
      </w:r>
    </w:p>
    <w:p>
      <w:pPr>
        <w:pStyle w:val="ListParagraph"/>
        <w:numPr>
          <w:ilvl w:val="0"/>
          <w:numId w:val="5"/>
        </w:numPr>
        <w:tabs>
          <w:tab w:pos="1219" w:val="left" w:leader="none"/>
        </w:tabs>
        <w:spacing w:line="364" w:lineRule="auto" w:before="161" w:after="0"/>
        <w:ind w:left="138" w:right="335" w:firstLine="479"/>
        <w:jc w:val="left"/>
        <w:rPr>
          <w:sz w:val="24"/>
        </w:rPr>
      </w:pPr>
      <w:r>
        <w:rPr>
          <w:spacing w:val="-6"/>
          <w:sz w:val="24"/>
        </w:rPr>
        <w:t>监督基金管理人，如认为基金管理人违反基金合同或有关法律法规</w:t>
      </w:r>
      <w:r>
        <w:rPr>
          <w:spacing w:val="-4"/>
          <w:sz w:val="24"/>
        </w:rPr>
        <w:t>的规定，应呈报中国证监会和其他监管部门，并采取必要措施保护基金投资者</w:t>
      </w:r>
      <w:r>
        <w:rPr>
          <w:spacing w:val="-12"/>
          <w:sz w:val="24"/>
        </w:rPr>
        <w:t>的</w:t>
      </w:r>
    </w:p>
    <w:p>
      <w:pPr>
        <w:spacing w:after="0" w:line="364" w:lineRule="auto"/>
        <w:jc w:val="left"/>
        <w:rPr>
          <w:sz w:val="24"/>
        </w:rPr>
        <w:sectPr>
          <w:pgSz w:w="11910" w:h="16840"/>
          <w:pgMar w:header="880" w:footer="1964" w:top="1380" w:bottom="2160" w:left="1660" w:right="1580"/>
        </w:sectPr>
      </w:pPr>
    </w:p>
    <w:p>
      <w:pPr>
        <w:pStyle w:val="BodyText"/>
        <w:spacing w:before="130"/>
      </w:pPr>
      <w:r>
        <w:rPr/>
        <w:t>利益；</w:t>
      </w:r>
    </w:p>
    <w:p>
      <w:pPr>
        <w:pStyle w:val="ListParagraph"/>
        <w:numPr>
          <w:ilvl w:val="0"/>
          <w:numId w:val="5"/>
        </w:numPr>
        <w:tabs>
          <w:tab w:pos="1219" w:val="left" w:leader="none"/>
        </w:tabs>
        <w:spacing w:line="240" w:lineRule="auto" w:before="160" w:after="0"/>
        <w:ind w:left="1219" w:right="0" w:hanging="601"/>
        <w:jc w:val="left"/>
        <w:rPr>
          <w:sz w:val="24"/>
        </w:rPr>
      </w:pPr>
      <w:r>
        <w:rPr>
          <w:sz w:val="24"/>
        </w:rPr>
        <w:t>在更换基金管理人时，提名新任基金管理人；</w:t>
      </w:r>
    </w:p>
    <w:p>
      <w:pPr>
        <w:pStyle w:val="ListParagraph"/>
        <w:numPr>
          <w:ilvl w:val="0"/>
          <w:numId w:val="5"/>
        </w:numPr>
        <w:tabs>
          <w:tab w:pos="1219" w:val="left" w:leader="none"/>
        </w:tabs>
        <w:spacing w:line="240" w:lineRule="auto" w:before="161" w:after="0"/>
        <w:ind w:left="1219" w:right="0" w:hanging="601"/>
        <w:jc w:val="left"/>
        <w:rPr>
          <w:sz w:val="24"/>
        </w:rPr>
      </w:pPr>
      <w:r>
        <w:rPr>
          <w:sz w:val="24"/>
        </w:rPr>
        <w:t>提议召开基金份额持有人大会；</w:t>
      </w:r>
    </w:p>
    <w:p>
      <w:pPr>
        <w:pStyle w:val="ListParagraph"/>
        <w:numPr>
          <w:ilvl w:val="0"/>
          <w:numId w:val="5"/>
        </w:numPr>
        <w:tabs>
          <w:tab w:pos="1219" w:val="left" w:leader="none"/>
        </w:tabs>
        <w:spacing w:line="240" w:lineRule="auto" w:before="160" w:after="0"/>
        <w:ind w:left="1219" w:right="0" w:hanging="601"/>
        <w:jc w:val="left"/>
        <w:rPr>
          <w:sz w:val="24"/>
        </w:rPr>
      </w:pPr>
      <w:r>
        <w:rPr>
          <w:sz w:val="24"/>
        </w:rPr>
        <w:t>法律法规及基金合同规定的其他权利。</w:t>
      </w:r>
    </w:p>
    <w:p>
      <w:pPr>
        <w:pStyle w:val="BodyText"/>
        <w:spacing w:line="364" w:lineRule="auto" w:before="161"/>
        <w:ind w:right="332" w:firstLine="479"/>
      </w:pPr>
      <w:r>
        <w:rPr>
          <w:rFonts w:ascii="Times New Roman" w:eastAsia="Times New Roman"/>
        </w:rPr>
        <w:t>2</w:t>
      </w:r>
      <w:r>
        <w:rPr>
          <w:spacing w:val="-19"/>
        </w:rPr>
        <w:t>、根据《基金法》、《运作办法》及其他有关规定，基金托管人的义务包括</w:t>
      </w:r>
      <w:r>
        <w:rPr/>
        <w:t>但不限于：</w:t>
      </w:r>
    </w:p>
    <w:p>
      <w:pPr>
        <w:pStyle w:val="ListParagraph"/>
        <w:numPr>
          <w:ilvl w:val="0"/>
          <w:numId w:val="6"/>
        </w:numPr>
        <w:tabs>
          <w:tab w:pos="1219" w:val="left" w:leader="none"/>
        </w:tabs>
        <w:spacing w:line="240" w:lineRule="auto" w:before="1" w:after="0"/>
        <w:ind w:left="1219" w:right="0" w:hanging="601"/>
        <w:jc w:val="left"/>
        <w:rPr>
          <w:sz w:val="24"/>
        </w:rPr>
      </w:pPr>
      <w:r>
        <w:rPr>
          <w:sz w:val="24"/>
        </w:rPr>
        <w:t>遵守基金合同；</w:t>
      </w:r>
    </w:p>
    <w:p>
      <w:pPr>
        <w:pStyle w:val="ListParagraph"/>
        <w:numPr>
          <w:ilvl w:val="0"/>
          <w:numId w:val="6"/>
        </w:numPr>
        <w:tabs>
          <w:tab w:pos="1219" w:val="left" w:leader="none"/>
        </w:tabs>
        <w:spacing w:line="240" w:lineRule="auto" w:before="161" w:after="0"/>
        <w:ind w:left="1219" w:right="0" w:hanging="601"/>
        <w:jc w:val="left"/>
        <w:rPr>
          <w:sz w:val="24"/>
        </w:rPr>
      </w:pPr>
      <w:r>
        <w:rPr>
          <w:sz w:val="24"/>
        </w:rPr>
        <w:t>以诚实信用、勤勉尽责的原则安全保管基金财产；</w:t>
      </w:r>
    </w:p>
    <w:p>
      <w:pPr>
        <w:pStyle w:val="ListParagraph"/>
        <w:numPr>
          <w:ilvl w:val="0"/>
          <w:numId w:val="6"/>
        </w:numPr>
        <w:tabs>
          <w:tab w:pos="1219" w:val="left" w:leader="none"/>
        </w:tabs>
        <w:spacing w:line="364" w:lineRule="auto" w:before="160" w:after="0"/>
        <w:ind w:left="138" w:right="246" w:firstLine="479"/>
        <w:jc w:val="left"/>
        <w:rPr>
          <w:sz w:val="24"/>
        </w:rPr>
      </w:pPr>
      <w:r>
        <w:rPr>
          <w:spacing w:val="-1"/>
          <w:sz w:val="24"/>
        </w:rPr>
        <w:t>设有专门的基金托管部门，具有符合要求的营业场所，配备足够的、</w:t>
      </w:r>
      <w:r>
        <w:rPr>
          <w:sz w:val="24"/>
        </w:rPr>
        <w:t>合格的熟悉基金托管业务的专职人员，负责基金财产托管事宜；</w:t>
      </w:r>
    </w:p>
    <w:p>
      <w:pPr>
        <w:pStyle w:val="ListParagraph"/>
        <w:numPr>
          <w:ilvl w:val="0"/>
          <w:numId w:val="6"/>
        </w:numPr>
        <w:tabs>
          <w:tab w:pos="1221" w:val="left" w:leader="none"/>
        </w:tabs>
        <w:spacing w:line="364" w:lineRule="auto" w:before="2" w:after="0"/>
        <w:ind w:left="138" w:right="337" w:firstLine="479"/>
        <w:jc w:val="left"/>
        <w:rPr>
          <w:sz w:val="24"/>
        </w:rPr>
      </w:pPr>
      <w:r>
        <w:rPr>
          <w:spacing w:val="-20"/>
          <w:sz w:val="24"/>
        </w:rPr>
        <w:t>除依据《基金法》、《运作办法》、基金合同及其他有关规定外，不得</w:t>
      </w:r>
      <w:r>
        <w:rPr>
          <w:sz w:val="24"/>
        </w:rPr>
        <w:t>委托其他人托管基金财产；</w:t>
      </w:r>
    </w:p>
    <w:p>
      <w:pPr>
        <w:pStyle w:val="ListParagraph"/>
        <w:numPr>
          <w:ilvl w:val="0"/>
          <w:numId w:val="6"/>
        </w:numPr>
        <w:tabs>
          <w:tab w:pos="1219" w:val="left" w:leader="none"/>
        </w:tabs>
        <w:spacing w:line="364" w:lineRule="auto" w:before="1" w:after="0"/>
        <w:ind w:left="138" w:right="331" w:firstLine="479"/>
        <w:jc w:val="left"/>
        <w:rPr>
          <w:sz w:val="24"/>
        </w:rPr>
      </w:pPr>
      <w:r>
        <w:rPr>
          <w:spacing w:val="-7"/>
          <w:sz w:val="24"/>
        </w:rPr>
        <w:t>复核、审查基金管理人计算的基金资产净值、基金份额净值、基金 </w:t>
      </w:r>
      <w:r>
        <w:rPr>
          <w:spacing w:val="-4"/>
          <w:sz w:val="24"/>
        </w:rPr>
        <w:t>份额申购、赎回价格；</w:t>
      </w:r>
    </w:p>
    <w:p>
      <w:pPr>
        <w:pStyle w:val="ListParagraph"/>
        <w:numPr>
          <w:ilvl w:val="0"/>
          <w:numId w:val="6"/>
        </w:numPr>
        <w:tabs>
          <w:tab w:pos="1219" w:val="left" w:leader="none"/>
        </w:tabs>
        <w:spacing w:line="364" w:lineRule="auto" w:before="1" w:after="0"/>
        <w:ind w:left="138" w:right="246" w:firstLine="479"/>
        <w:jc w:val="left"/>
        <w:rPr>
          <w:sz w:val="24"/>
        </w:rPr>
      </w:pPr>
      <w:r>
        <w:rPr>
          <w:spacing w:val="-1"/>
          <w:sz w:val="24"/>
        </w:rPr>
        <w:t>建立健全内部风险控制、监察与稽核、财务管理及人事管理等制度， </w:t>
      </w:r>
      <w:r>
        <w:rPr>
          <w:sz w:val="24"/>
        </w:rPr>
        <w:t>确保基金财产的安全，保证其托管的基金财产与基金托管人自有资产以及不同的基金财产相互独立；对不同的基金分别设置账户，独立核算，分账管理，保证不同基金之间在账户设置、资金划拨、账册记录等方面相互独立；</w:t>
      </w:r>
    </w:p>
    <w:p>
      <w:pPr>
        <w:pStyle w:val="ListParagraph"/>
        <w:numPr>
          <w:ilvl w:val="0"/>
          <w:numId w:val="6"/>
        </w:numPr>
        <w:tabs>
          <w:tab w:pos="1233" w:val="left" w:leader="none"/>
        </w:tabs>
        <w:spacing w:line="364" w:lineRule="auto" w:before="3" w:after="0"/>
        <w:ind w:left="138" w:right="332" w:firstLine="479"/>
        <w:jc w:val="left"/>
        <w:rPr>
          <w:sz w:val="24"/>
        </w:rPr>
      </w:pPr>
      <w:r>
        <w:rPr>
          <w:spacing w:val="4"/>
          <w:sz w:val="24"/>
        </w:rPr>
        <w:t>保管由基金管理人代表基金签订的与基金有关的重大合同及有关凭</w:t>
      </w:r>
      <w:r>
        <w:rPr>
          <w:sz w:val="24"/>
        </w:rPr>
        <w:t>证；</w:t>
      </w:r>
    </w:p>
    <w:p>
      <w:pPr>
        <w:pStyle w:val="ListParagraph"/>
        <w:numPr>
          <w:ilvl w:val="0"/>
          <w:numId w:val="6"/>
        </w:numPr>
        <w:tabs>
          <w:tab w:pos="1219" w:val="left" w:leader="none"/>
        </w:tabs>
        <w:spacing w:line="364" w:lineRule="auto" w:before="1" w:after="0"/>
        <w:ind w:left="138" w:right="334" w:firstLine="479"/>
        <w:jc w:val="left"/>
        <w:rPr>
          <w:sz w:val="24"/>
        </w:rPr>
      </w:pPr>
      <w:r>
        <w:rPr>
          <w:spacing w:val="-7"/>
          <w:sz w:val="24"/>
        </w:rPr>
        <w:t>设立证券账户、银行存款账户等基金财产账户，负责基金投资于证</w:t>
      </w:r>
      <w:r>
        <w:rPr>
          <w:spacing w:val="-4"/>
          <w:sz w:val="24"/>
        </w:rPr>
        <w:t>券的清算交割，执行基金管理人的投资指令，负责基金名下的资金往来；</w:t>
      </w:r>
    </w:p>
    <w:p>
      <w:pPr>
        <w:pStyle w:val="ListParagraph"/>
        <w:numPr>
          <w:ilvl w:val="0"/>
          <w:numId w:val="6"/>
        </w:numPr>
        <w:tabs>
          <w:tab w:pos="1221" w:val="left" w:leader="none"/>
        </w:tabs>
        <w:spacing w:line="364" w:lineRule="auto" w:before="2" w:after="0"/>
        <w:ind w:left="138" w:right="340" w:firstLine="479"/>
        <w:jc w:val="left"/>
        <w:rPr>
          <w:sz w:val="24"/>
        </w:rPr>
      </w:pPr>
      <w:r>
        <w:rPr>
          <w:spacing w:val="-20"/>
          <w:sz w:val="24"/>
        </w:rPr>
        <w:t>保守基金商业秘密，除《基金法》、《运作办法》、基金合同及其他有</w:t>
      </w:r>
      <w:r>
        <w:rPr>
          <w:sz w:val="24"/>
        </w:rPr>
        <w:t>关规定另有规定外，在基金信息公开披露前予以保密，不得向他人泄露；</w:t>
      </w:r>
    </w:p>
    <w:p>
      <w:pPr>
        <w:pStyle w:val="ListParagraph"/>
        <w:numPr>
          <w:ilvl w:val="0"/>
          <w:numId w:val="6"/>
        </w:numPr>
        <w:tabs>
          <w:tab w:pos="1341" w:val="left" w:leader="none"/>
        </w:tabs>
        <w:spacing w:line="364" w:lineRule="auto" w:before="1" w:after="0"/>
        <w:ind w:left="138" w:right="340" w:firstLine="479"/>
        <w:jc w:val="left"/>
        <w:rPr>
          <w:sz w:val="24"/>
        </w:rPr>
      </w:pPr>
      <w:r>
        <w:rPr>
          <w:spacing w:val="-1"/>
          <w:sz w:val="24"/>
        </w:rPr>
        <w:t>按规定出具基金业绩和基金托管情况的报告，并报中国证监会和中</w:t>
      </w:r>
      <w:r>
        <w:rPr>
          <w:sz w:val="24"/>
        </w:rPr>
        <w:t>国银监会；</w:t>
      </w:r>
    </w:p>
    <w:p>
      <w:pPr>
        <w:pStyle w:val="ListParagraph"/>
        <w:numPr>
          <w:ilvl w:val="0"/>
          <w:numId w:val="6"/>
        </w:numPr>
        <w:tabs>
          <w:tab w:pos="1335" w:val="left" w:leader="none"/>
        </w:tabs>
        <w:spacing w:line="364" w:lineRule="auto" w:before="1" w:after="0"/>
        <w:ind w:left="138" w:right="333" w:firstLine="479"/>
        <w:jc w:val="left"/>
        <w:rPr>
          <w:sz w:val="24"/>
        </w:rPr>
      </w:pPr>
      <w:r>
        <w:rPr>
          <w:spacing w:val="-1"/>
          <w:sz w:val="24"/>
        </w:rPr>
        <w:t>对基金财务会计报告、季度报告、中期报告和年度报告出具意见， 说明基金管理人在各重要方面的运作是否严格按照基金合同的规定进行；如果</w:t>
      </w:r>
    </w:p>
    <w:p>
      <w:pPr>
        <w:spacing w:after="0" w:line="364" w:lineRule="auto"/>
        <w:jc w:val="left"/>
        <w:rPr>
          <w:sz w:val="24"/>
        </w:rPr>
        <w:sectPr>
          <w:pgSz w:w="11910" w:h="16840"/>
          <w:pgMar w:header="880" w:footer="1964" w:top="1380" w:bottom="2160" w:left="1660" w:right="1580"/>
        </w:sectPr>
      </w:pPr>
    </w:p>
    <w:p>
      <w:pPr>
        <w:pStyle w:val="BodyText"/>
        <w:spacing w:line="364" w:lineRule="auto" w:before="130"/>
        <w:ind w:right="337"/>
      </w:pPr>
      <w:r>
        <w:rPr/>
        <w:t>基金管理人有未执行基金合同规定的行为，还应当说明基金托管人是否采取了适当的措施；</w:t>
      </w:r>
    </w:p>
    <w:p>
      <w:pPr>
        <w:pStyle w:val="ListParagraph"/>
        <w:numPr>
          <w:ilvl w:val="0"/>
          <w:numId w:val="6"/>
        </w:numPr>
        <w:tabs>
          <w:tab w:pos="1341" w:val="left" w:leader="none"/>
        </w:tabs>
        <w:spacing w:line="364" w:lineRule="auto" w:before="1" w:after="0"/>
        <w:ind w:left="138" w:right="340" w:firstLine="479"/>
        <w:jc w:val="left"/>
        <w:rPr>
          <w:sz w:val="24"/>
        </w:rPr>
      </w:pPr>
      <w:r>
        <w:rPr>
          <w:spacing w:val="-1"/>
          <w:sz w:val="24"/>
        </w:rPr>
        <w:t>按有关规定，保存基金的会计账册、报表和记录、基金份额持有人</w:t>
      </w:r>
      <w:r>
        <w:rPr>
          <w:spacing w:val="-16"/>
          <w:sz w:val="24"/>
        </w:rPr>
        <w:t>名册等 </w:t>
      </w:r>
      <w:r>
        <w:rPr>
          <w:rFonts w:ascii="Times New Roman" w:eastAsia="Times New Roman"/>
          <w:sz w:val="24"/>
        </w:rPr>
        <w:t>15 </w:t>
      </w:r>
      <w:r>
        <w:rPr>
          <w:sz w:val="24"/>
        </w:rPr>
        <w:t>年以上；</w:t>
      </w:r>
    </w:p>
    <w:p>
      <w:pPr>
        <w:pStyle w:val="ListParagraph"/>
        <w:numPr>
          <w:ilvl w:val="0"/>
          <w:numId w:val="6"/>
        </w:numPr>
        <w:tabs>
          <w:tab w:pos="1339" w:val="left" w:leader="none"/>
        </w:tabs>
        <w:spacing w:line="240" w:lineRule="auto" w:before="1" w:after="0"/>
        <w:ind w:left="1339" w:right="0" w:hanging="721"/>
        <w:jc w:val="left"/>
        <w:rPr>
          <w:sz w:val="24"/>
        </w:rPr>
      </w:pPr>
      <w:r>
        <w:rPr>
          <w:sz w:val="24"/>
        </w:rPr>
        <w:t>按规定制作相关账册并与基金管理人核对；</w:t>
      </w:r>
    </w:p>
    <w:p>
      <w:pPr>
        <w:pStyle w:val="ListParagraph"/>
        <w:numPr>
          <w:ilvl w:val="0"/>
          <w:numId w:val="6"/>
        </w:numPr>
        <w:tabs>
          <w:tab w:pos="1341" w:val="left" w:leader="none"/>
        </w:tabs>
        <w:spacing w:line="364" w:lineRule="auto" w:before="161" w:after="0"/>
        <w:ind w:left="138" w:right="340" w:firstLine="479"/>
        <w:jc w:val="left"/>
        <w:rPr>
          <w:sz w:val="24"/>
        </w:rPr>
      </w:pPr>
      <w:r>
        <w:rPr>
          <w:spacing w:val="-1"/>
          <w:sz w:val="24"/>
        </w:rPr>
        <w:t>依据基金管理人的指令或有关规定支付基金份额持有人的收益和赎</w:t>
      </w:r>
      <w:r>
        <w:rPr>
          <w:sz w:val="24"/>
        </w:rPr>
        <w:t>回款项；</w:t>
      </w:r>
    </w:p>
    <w:p>
      <w:pPr>
        <w:pStyle w:val="ListParagraph"/>
        <w:numPr>
          <w:ilvl w:val="0"/>
          <w:numId w:val="6"/>
        </w:numPr>
        <w:tabs>
          <w:tab w:pos="1341" w:val="left" w:leader="none"/>
        </w:tabs>
        <w:spacing w:line="364" w:lineRule="auto" w:before="1" w:after="0"/>
        <w:ind w:left="138" w:right="340" w:firstLine="479"/>
        <w:jc w:val="left"/>
        <w:rPr>
          <w:sz w:val="24"/>
        </w:rPr>
      </w:pPr>
      <w:r>
        <w:rPr>
          <w:spacing w:val="-1"/>
          <w:sz w:val="24"/>
        </w:rPr>
        <w:t>参加基金清算小组，参与基金财产的保管、清理、估价、变现和分</w:t>
      </w:r>
      <w:r>
        <w:rPr>
          <w:sz w:val="24"/>
        </w:rPr>
        <w:t>配；</w:t>
      </w:r>
    </w:p>
    <w:p>
      <w:pPr>
        <w:pStyle w:val="ListParagraph"/>
        <w:numPr>
          <w:ilvl w:val="0"/>
          <w:numId w:val="6"/>
        </w:numPr>
        <w:tabs>
          <w:tab w:pos="1341" w:val="left" w:leader="none"/>
        </w:tabs>
        <w:spacing w:line="364" w:lineRule="auto" w:before="2" w:after="0"/>
        <w:ind w:left="138" w:right="340" w:firstLine="479"/>
        <w:jc w:val="left"/>
        <w:rPr>
          <w:sz w:val="24"/>
        </w:rPr>
      </w:pPr>
      <w:r>
        <w:rPr>
          <w:spacing w:val="-1"/>
          <w:sz w:val="24"/>
        </w:rPr>
        <w:t>面临解散、依法被撤销、破产或者由接管人接管其资产时，及时报</w:t>
      </w:r>
      <w:r>
        <w:rPr>
          <w:sz w:val="24"/>
        </w:rPr>
        <w:t>告中国证监会和中国银监会，并通知基金管理人；</w:t>
      </w:r>
    </w:p>
    <w:p>
      <w:pPr>
        <w:pStyle w:val="ListParagraph"/>
        <w:numPr>
          <w:ilvl w:val="0"/>
          <w:numId w:val="6"/>
        </w:numPr>
        <w:tabs>
          <w:tab w:pos="1341" w:val="left" w:leader="none"/>
        </w:tabs>
        <w:spacing w:line="364" w:lineRule="auto" w:before="1" w:after="0"/>
        <w:ind w:left="138" w:right="340" w:firstLine="479"/>
        <w:jc w:val="left"/>
        <w:rPr>
          <w:sz w:val="24"/>
        </w:rPr>
      </w:pPr>
      <w:r>
        <w:rPr>
          <w:spacing w:val="-1"/>
          <w:sz w:val="24"/>
        </w:rPr>
        <w:t>因违反基金合同导致基金财产的损失，承担赔偿责任，其违反基金</w:t>
      </w:r>
      <w:r>
        <w:rPr>
          <w:sz w:val="24"/>
        </w:rPr>
        <w:t>合同责任不因其退任而免除；</w:t>
      </w:r>
    </w:p>
    <w:p>
      <w:pPr>
        <w:pStyle w:val="ListParagraph"/>
        <w:numPr>
          <w:ilvl w:val="0"/>
          <w:numId w:val="6"/>
        </w:numPr>
        <w:tabs>
          <w:tab w:pos="1341" w:val="left" w:leader="none"/>
        </w:tabs>
        <w:spacing w:line="364" w:lineRule="auto" w:before="1" w:after="0"/>
        <w:ind w:left="138" w:right="338" w:firstLine="479"/>
        <w:jc w:val="left"/>
        <w:rPr>
          <w:sz w:val="24"/>
        </w:rPr>
      </w:pPr>
      <w:r>
        <w:rPr>
          <w:spacing w:val="-1"/>
          <w:sz w:val="24"/>
        </w:rPr>
        <w:t>基金管理人因违反基金合同造成基金财产损失时，基金托管人应为</w:t>
      </w:r>
      <w:r>
        <w:rPr>
          <w:sz w:val="24"/>
        </w:rPr>
        <w:t>基金向基金管理人追偿；</w:t>
      </w:r>
    </w:p>
    <w:p>
      <w:pPr>
        <w:pStyle w:val="ListParagraph"/>
        <w:numPr>
          <w:ilvl w:val="0"/>
          <w:numId w:val="6"/>
        </w:numPr>
        <w:tabs>
          <w:tab w:pos="1339" w:val="left" w:leader="none"/>
        </w:tabs>
        <w:spacing w:line="240" w:lineRule="auto" w:before="2" w:after="0"/>
        <w:ind w:left="1339" w:right="0" w:hanging="721"/>
        <w:jc w:val="left"/>
        <w:rPr>
          <w:sz w:val="24"/>
        </w:rPr>
      </w:pPr>
      <w:r>
        <w:rPr>
          <w:sz w:val="24"/>
        </w:rPr>
        <w:t>不从事任何有损基金及本基金其他当事人利益的活动；</w:t>
      </w:r>
    </w:p>
    <w:p>
      <w:pPr>
        <w:pStyle w:val="ListParagraph"/>
        <w:numPr>
          <w:ilvl w:val="0"/>
          <w:numId w:val="6"/>
        </w:numPr>
        <w:tabs>
          <w:tab w:pos="1339" w:val="left" w:leader="none"/>
        </w:tabs>
        <w:spacing w:line="240" w:lineRule="auto" w:before="160" w:after="0"/>
        <w:ind w:left="1339" w:right="0" w:hanging="721"/>
        <w:jc w:val="left"/>
        <w:rPr>
          <w:sz w:val="24"/>
        </w:rPr>
      </w:pPr>
      <w:r>
        <w:rPr>
          <w:sz w:val="24"/>
        </w:rPr>
        <w:t>监督基金管理人的投资运作；</w:t>
      </w:r>
    </w:p>
    <w:p>
      <w:pPr>
        <w:pStyle w:val="ListParagraph"/>
        <w:numPr>
          <w:ilvl w:val="0"/>
          <w:numId w:val="6"/>
        </w:numPr>
        <w:tabs>
          <w:tab w:pos="1339" w:val="left" w:leader="none"/>
        </w:tabs>
        <w:spacing w:line="240" w:lineRule="auto" w:before="161" w:after="0"/>
        <w:ind w:left="1339" w:right="0" w:hanging="721"/>
        <w:jc w:val="left"/>
        <w:rPr>
          <w:sz w:val="24"/>
        </w:rPr>
      </w:pPr>
      <w:r>
        <w:rPr>
          <w:sz w:val="24"/>
        </w:rPr>
        <w:t>按照规定召集基金份额持有人大会或配合召开基金份额持有人大会；</w:t>
      </w:r>
    </w:p>
    <w:p>
      <w:pPr>
        <w:pStyle w:val="ListParagraph"/>
        <w:numPr>
          <w:ilvl w:val="0"/>
          <w:numId w:val="6"/>
        </w:numPr>
        <w:tabs>
          <w:tab w:pos="1339" w:val="left" w:leader="none"/>
        </w:tabs>
        <w:spacing w:line="240" w:lineRule="auto" w:before="160" w:after="0"/>
        <w:ind w:left="1339" w:right="0" w:hanging="721"/>
        <w:jc w:val="left"/>
        <w:rPr>
          <w:sz w:val="24"/>
        </w:rPr>
      </w:pPr>
      <w:r>
        <w:rPr>
          <w:sz w:val="24"/>
        </w:rPr>
        <w:t>执行生效的基金份额持有人大会决议；</w:t>
      </w:r>
    </w:p>
    <w:p>
      <w:pPr>
        <w:pStyle w:val="ListParagraph"/>
        <w:numPr>
          <w:ilvl w:val="0"/>
          <w:numId w:val="6"/>
        </w:numPr>
        <w:tabs>
          <w:tab w:pos="1339" w:val="left" w:leader="none"/>
        </w:tabs>
        <w:spacing w:line="240" w:lineRule="auto" w:before="161" w:after="0"/>
        <w:ind w:left="1339" w:right="0" w:hanging="721"/>
        <w:jc w:val="left"/>
        <w:rPr>
          <w:sz w:val="24"/>
        </w:rPr>
      </w:pPr>
      <w:r>
        <w:rPr>
          <w:sz w:val="24"/>
        </w:rPr>
        <w:t>不得运用基金财产为自己及第三人谋取利益；</w:t>
      </w:r>
    </w:p>
    <w:p>
      <w:pPr>
        <w:pStyle w:val="ListParagraph"/>
        <w:numPr>
          <w:ilvl w:val="0"/>
          <w:numId w:val="6"/>
        </w:numPr>
        <w:tabs>
          <w:tab w:pos="1339" w:val="left" w:leader="none"/>
        </w:tabs>
        <w:spacing w:line="364" w:lineRule="auto" w:before="160" w:after="0"/>
        <w:ind w:left="618" w:right="3246" w:firstLine="0"/>
        <w:jc w:val="left"/>
        <w:rPr>
          <w:sz w:val="24"/>
        </w:rPr>
      </w:pPr>
      <w:r>
        <w:rPr>
          <w:spacing w:val="-2"/>
          <w:sz w:val="24"/>
        </w:rPr>
        <w:t>法律法规及基金合同规定的其他义务。</w:t>
      </w:r>
      <w:r>
        <w:rPr>
          <w:sz w:val="24"/>
        </w:rPr>
        <w:t>三、基金份额持有人</w:t>
      </w:r>
    </w:p>
    <w:p>
      <w:pPr>
        <w:pStyle w:val="BodyText"/>
        <w:spacing w:line="364" w:lineRule="auto" w:before="2"/>
        <w:ind w:right="336" w:firstLine="479"/>
        <w:jc w:val="both"/>
      </w:pPr>
      <w:r>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本《基金合同》当事人并不以在《基金合同》上书面签章为必要条件。</w:t>
      </w:r>
    </w:p>
    <w:p>
      <w:pPr>
        <w:pStyle w:val="BodyText"/>
        <w:spacing w:before="3"/>
        <w:ind w:left="618"/>
      </w:pPr>
      <w:r>
        <w:rPr/>
        <w:t>每份基金份额具有同等的合法权益。</w:t>
      </w:r>
    </w:p>
    <w:p>
      <w:pPr>
        <w:spacing w:after="0"/>
        <w:sectPr>
          <w:pgSz w:w="11910" w:h="16840"/>
          <w:pgMar w:header="880" w:footer="1964" w:top="1380" w:bottom="2160" w:left="1660" w:right="1580"/>
        </w:sectPr>
      </w:pPr>
    </w:p>
    <w:p>
      <w:pPr>
        <w:pStyle w:val="BodyText"/>
        <w:spacing w:line="364" w:lineRule="auto" w:before="130"/>
        <w:ind w:right="332" w:firstLine="479"/>
      </w:pPr>
      <w:r>
        <w:rPr>
          <w:rFonts w:ascii="Times New Roman" w:eastAsia="Times New Roman"/>
        </w:rPr>
        <w:t>1</w:t>
      </w:r>
      <w:r>
        <w:rPr>
          <w:spacing w:val="-19"/>
        </w:rPr>
        <w:t>、根据《基金法》、《运作办法》及其他有关规定，基金份额持有人的权利</w:t>
      </w:r>
      <w:r>
        <w:rPr/>
        <w:t>包括但不限于：</w:t>
      </w:r>
    </w:p>
    <w:p>
      <w:pPr>
        <w:pStyle w:val="ListParagraph"/>
        <w:numPr>
          <w:ilvl w:val="0"/>
          <w:numId w:val="7"/>
        </w:numPr>
        <w:tabs>
          <w:tab w:pos="1219" w:val="left" w:leader="none"/>
        </w:tabs>
        <w:spacing w:line="240" w:lineRule="auto" w:before="1" w:after="0"/>
        <w:ind w:left="1219" w:right="0" w:hanging="601"/>
        <w:jc w:val="left"/>
        <w:rPr>
          <w:sz w:val="24"/>
        </w:rPr>
      </w:pPr>
      <w:r>
        <w:rPr>
          <w:sz w:val="24"/>
        </w:rPr>
        <w:t>分享基金财产收益；</w:t>
      </w:r>
    </w:p>
    <w:p>
      <w:pPr>
        <w:pStyle w:val="ListParagraph"/>
        <w:numPr>
          <w:ilvl w:val="0"/>
          <w:numId w:val="7"/>
        </w:numPr>
        <w:tabs>
          <w:tab w:pos="1219" w:val="left" w:leader="none"/>
        </w:tabs>
        <w:spacing w:line="240" w:lineRule="auto" w:before="160" w:after="0"/>
        <w:ind w:left="1219" w:right="0" w:hanging="601"/>
        <w:jc w:val="left"/>
        <w:rPr>
          <w:sz w:val="24"/>
        </w:rPr>
      </w:pPr>
      <w:r>
        <w:rPr>
          <w:sz w:val="24"/>
        </w:rPr>
        <w:t>参与分配清算后的剩余基金财产；</w:t>
      </w:r>
    </w:p>
    <w:p>
      <w:pPr>
        <w:pStyle w:val="ListParagraph"/>
        <w:numPr>
          <w:ilvl w:val="0"/>
          <w:numId w:val="7"/>
        </w:numPr>
        <w:tabs>
          <w:tab w:pos="1219" w:val="left" w:leader="none"/>
        </w:tabs>
        <w:spacing w:line="240" w:lineRule="auto" w:before="161" w:after="0"/>
        <w:ind w:left="1219" w:right="0" w:hanging="601"/>
        <w:jc w:val="left"/>
        <w:rPr>
          <w:sz w:val="24"/>
        </w:rPr>
      </w:pPr>
      <w:r>
        <w:rPr>
          <w:sz w:val="24"/>
        </w:rPr>
        <w:t>依法转让或者申请赎回其持有的基金份额；</w:t>
      </w:r>
    </w:p>
    <w:p>
      <w:pPr>
        <w:pStyle w:val="ListParagraph"/>
        <w:numPr>
          <w:ilvl w:val="0"/>
          <w:numId w:val="7"/>
        </w:numPr>
        <w:tabs>
          <w:tab w:pos="1219" w:val="left" w:leader="none"/>
        </w:tabs>
        <w:spacing w:line="240" w:lineRule="auto" w:before="160" w:after="0"/>
        <w:ind w:left="1219" w:right="0" w:hanging="601"/>
        <w:jc w:val="left"/>
        <w:rPr>
          <w:sz w:val="24"/>
        </w:rPr>
      </w:pPr>
      <w:r>
        <w:rPr>
          <w:sz w:val="24"/>
        </w:rPr>
        <w:t>按照法律法规和基金合同规定的要求召开基金份额持有人大会；</w:t>
      </w:r>
    </w:p>
    <w:p>
      <w:pPr>
        <w:pStyle w:val="ListParagraph"/>
        <w:numPr>
          <w:ilvl w:val="0"/>
          <w:numId w:val="7"/>
        </w:numPr>
        <w:tabs>
          <w:tab w:pos="1219" w:val="left" w:leader="none"/>
        </w:tabs>
        <w:spacing w:line="364" w:lineRule="auto" w:before="161" w:after="0"/>
        <w:ind w:left="138" w:right="333" w:firstLine="479"/>
        <w:jc w:val="left"/>
        <w:rPr>
          <w:sz w:val="24"/>
        </w:rPr>
      </w:pPr>
      <w:r>
        <w:rPr>
          <w:spacing w:val="-3"/>
          <w:sz w:val="24"/>
        </w:rPr>
        <w:t>出席或者委派代表出席基金份额持有人大会，对基金份额持有人大</w:t>
      </w:r>
      <w:r>
        <w:rPr>
          <w:spacing w:val="-4"/>
          <w:sz w:val="24"/>
        </w:rPr>
        <w:t>会审议事项行使表决权；</w:t>
      </w:r>
    </w:p>
    <w:p>
      <w:pPr>
        <w:pStyle w:val="ListParagraph"/>
        <w:numPr>
          <w:ilvl w:val="0"/>
          <w:numId w:val="7"/>
        </w:numPr>
        <w:tabs>
          <w:tab w:pos="1219" w:val="left" w:leader="none"/>
        </w:tabs>
        <w:spacing w:line="240" w:lineRule="auto" w:before="2" w:after="0"/>
        <w:ind w:left="1219" w:right="0" w:hanging="601"/>
        <w:jc w:val="left"/>
        <w:rPr>
          <w:sz w:val="24"/>
        </w:rPr>
      </w:pPr>
      <w:r>
        <w:rPr>
          <w:sz w:val="24"/>
        </w:rPr>
        <w:t>查阅或者复制公开披露的基金信息资料；</w:t>
      </w:r>
    </w:p>
    <w:p>
      <w:pPr>
        <w:pStyle w:val="ListParagraph"/>
        <w:numPr>
          <w:ilvl w:val="0"/>
          <w:numId w:val="7"/>
        </w:numPr>
        <w:tabs>
          <w:tab w:pos="1219" w:val="left" w:leader="none"/>
        </w:tabs>
        <w:spacing w:line="240" w:lineRule="auto" w:before="160" w:after="0"/>
        <w:ind w:left="1219" w:right="0" w:hanging="601"/>
        <w:jc w:val="left"/>
        <w:rPr>
          <w:sz w:val="24"/>
        </w:rPr>
      </w:pPr>
      <w:r>
        <w:rPr>
          <w:sz w:val="24"/>
        </w:rPr>
        <w:t>监督基金管理人的投资运作；</w:t>
      </w:r>
    </w:p>
    <w:p>
      <w:pPr>
        <w:pStyle w:val="ListParagraph"/>
        <w:numPr>
          <w:ilvl w:val="0"/>
          <w:numId w:val="7"/>
        </w:numPr>
        <w:tabs>
          <w:tab w:pos="1219" w:val="left" w:leader="none"/>
        </w:tabs>
        <w:spacing w:line="364" w:lineRule="auto" w:before="161" w:after="0"/>
        <w:ind w:left="138" w:right="335" w:firstLine="479"/>
        <w:jc w:val="left"/>
        <w:rPr>
          <w:sz w:val="24"/>
        </w:rPr>
      </w:pPr>
      <w:r>
        <w:rPr>
          <w:spacing w:val="-7"/>
          <w:sz w:val="24"/>
        </w:rPr>
        <w:t>对基金管理人、基金托管人、基金份额发售机构损害其合法权益的</w:t>
      </w:r>
      <w:r>
        <w:rPr>
          <w:spacing w:val="-4"/>
          <w:sz w:val="24"/>
        </w:rPr>
        <w:t>行为要求赔偿或依法提起诉讼；</w:t>
      </w:r>
    </w:p>
    <w:p>
      <w:pPr>
        <w:pStyle w:val="ListParagraph"/>
        <w:numPr>
          <w:ilvl w:val="0"/>
          <w:numId w:val="7"/>
        </w:numPr>
        <w:tabs>
          <w:tab w:pos="1219" w:val="left" w:leader="none"/>
        </w:tabs>
        <w:spacing w:line="240" w:lineRule="auto" w:before="1" w:after="0"/>
        <w:ind w:left="1219" w:right="0" w:hanging="601"/>
        <w:jc w:val="left"/>
        <w:rPr>
          <w:sz w:val="24"/>
        </w:rPr>
      </w:pPr>
      <w:r>
        <w:rPr>
          <w:sz w:val="24"/>
        </w:rPr>
        <w:t>获取基金业务及财务状况的公开资料；</w:t>
      </w:r>
    </w:p>
    <w:p>
      <w:pPr>
        <w:pStyle w:val="ListParagraph"/>
        <w:numPr>
          <w:ilvl w:val="0"/>
          <w:numId w:val="7"/>
        </w:numPr>
        <w:tabs>
          <w:tab w:pos="1339" w:val="left" w:leader="none"/>
        </w:tabs>
        <w:spacing w:line="240" w:lineRule="auto" w:before="160" w:after="0"/>
        <w:ind w:left="1339" w:right="0" w:hanging="721"/>
        <w:jc w:val="left"/>
        <w:rPr>
          <w:sz w:val="24"/>
        </w:rPr>
      </w:pPr>
      <w:r>
        <w:rPr>
          <w:sz w:val="24"/>
        </w:rPr>
        <w:t>法律法规及基金合同规定的其他权利。</w:t>
      </w:r>
    </w:p>
    <w:p>
      <w:pPr>
        <w:pStyle w:val="BodyText"/>
        <w:spacing w:line="364" w:lineRule="auto" w:before="161"/>
        <w:ind w:right="332" w:firstLine="479"/>
      </w:pPr>
      <w:r>
        <w:rPr>
          <w:rFonts w:ascii="Times New Roman" w:eastAsia="Times New Roman"/>
        </w:rPr>
        <w:t>2</w:t>
      </w:r>
      <w:r>
        <w:rPr>
          <w:spacing w:val="-19"/>
        </w:rPr>
        <w:t>、根据《基金法》、《运作办法》及其他有关规定，基金份额持有人的义务</w:t>
      </w:r>
      <w:r>
        <w:rPr/>
        <w:t>包括但不限于：</w:t>
      </w:r>
    </w:p>
    <w:p>
      <w:pPr>
        <w:pStyle w:val="ListParagraph"/>
        <w:numPr>
          <w:ilvl w:val="0"/>
          <w:numId w:val="8"/>
        </w:numPr>
        <w:tabs>
          <w:tab w:pos="1219" w:val="left" w:leader="none"/>
        </w:tabs>
        <w:spacing w:line="240" w:lineRule="auto" w:before="2" w:after="0"/>
        <w:ind w:left="1219" w:right="0" w:hanging="601"/>
        <w:jc w:val="left"/>
        <w:rPr>
          <w:sz w:val="24"/>
        </w:rPr>
      </w:pPr>
      <w:r>
        <w:rPr>
          <w:sz w:val="24"/>
        </w:rPr>
        <w:t>遵守基金合同及相关业务规则；</w:t>
      </w:r>
    </w:p>
    <w:p>
      <w:pPr>
        <w:pStyle w:val="ListParagraph"/>
        <w:numPr>
          <w:ilvl w:val="0"/>
          <w:numId w:val="8"/>
        </w:numPr>
        <w:tabs>
          <w:tab w:pos="1219" w:val="left" w:leader="none"/>
        </w:tabs>
        <w:spacing w:line="240" w:lineRule="auto" w:before="160" w:after="0"/>
        <w:ind w:left="1219" w:right="0" w:hanging="601"/>
        <w:jc w:val="left"/>
        <w:rPr>
          <w:sz w:val="24"/>
        </w:rPr>
      </w:pPr>
      <w:r>
        <w:rPr>
          <w:sz w:val="24"/>
        </w:rPr>
        <w:t>缴纳基金认购、申购、赎回等事宜涉及的款项，承担规定的费用；</w:t>
      </w:r>
    </w:p>
    <w:p>
      <w:pPr>
        <w:pStyle w:val="ListParagraph"/>
        <w:numPr>
          <w:ilvl w:val="0"/>
          <w:numId w:val="8"/>
        </w:numPr>
        <w:tabs>
          <w:tab w:pos="1219" w:val="left" w:leader="none"/>
        </w:tabs>
        <w:spacing w:line="364" w:lineRule="auto" w:before="160" w:after="0"/>
        <w:ind w:left="138" w:right="331" w:firstLine="479"/>
        <w:jc w:val="left"/>
        <w:rPr>
          <w:sz w:val="24"/>
        </w:rPr>
      </w:pPr>
      <w:r>
        <w:rPr>
          <w:spacing w:val="-4"/>
          <w:sz w:val="24"/>
        </w:rPr>
        <w:t>在持有的基金份额范围内，承担基金亏损或者基金合同终止的有限</w:t>
      </w:r>
      <w:r>
        <w:rPr>
          <w:spacing w:val="-6"/>
          <w:sz w:val="24"/>
        </w:rPr>
        <w:t>责任；</w:t>
      </w:r>
    </w:p>
    <w:p>
      <w:pPr>
        <w:pStyle w:val="ListParagraph"/>
        <w:numPr>
          <w:ilvl w:val="0"/>
          <w:numId w:val="8"/>
        </w:numPr>
        <w:tabs>
          <w:tab w:pos="1219" w:val="left" w:leader="none"/>
        </w:tabs>
        <w:spacing w:line="364" w:lineRule="auto" w:before="2" w:after="0"/>
        <w:ind w:left="138" w:right="333" w:firstLine="479"/>
        <w:jc w:val="left"/>
        <w:rPr>
          <w:sz w:val="24"/>
        </w:rPr>
      </w:pPr>
      <w:r>
        <w:rPr>
          <w:spacing w:val="-5"/>
          <w:sz w:val="24"/>
        </w:rPr>
        <w:t>不从事任何有损基金、基金份额持有人及其他基金当事人合法权益的活动；</w:t>
      </w:r>
    </w:p>
    <w:p>
      <w:pPr>
        <w:pStyle w:val="ListParagraph"/>
        <w:numPr>
          <w:ilvl w:val="0"/>
          <w:numId w:val="8"/>
        </w:numPr>
        <w:tabs>
          <w:tab w:pos="1219" w:val="left" w:leader="none"/>
        </w:tabs>
        <w:spacing w:line="240" w:lineRule="auto" w:before="2" w:after="0"/>
        <w:ind w:left="1219" w:right="0" w:hanging="601"/>
        <w:jc w:val="left"/>
        <w:rPr>
          <w:sz w:val="24"/>
        </w:rPr>
      </w:pPr>
      <w:r>
        <w:rPr>
          <w:sz w:val="24"/>
        </w:rPr>
        <w:t>执行生效的基金份额持有人大会决议；</w:t>
      </w:r>
    </w:p>
    <w:p>
      <w:pPr>
        <w:pStyle w:val="ListParagraph"/>
        <w:numPr>
          <w:ilvl w:val="0"/>
          <w:numId w:val="8"/>
        </w:numPr>
        <w:tabs>
          <w:tab w:pos="1219" w:val="left" w:leader="none"/>
        </w:tabs>
        <w:spacing w:line="240" w:lineRule="auto" w:before="160" w:after="0"/>
        <w:ind w:left="1219" w:right="0" w:hanging="601"/>
        <w:jc w:val="left"/>
        <w:rPr>
          <w:sz w:val="24"/>
        </w:rPr>
      </w:pPr>
      <w:r>
        <w:rPr>
          <w:sz w:val="24"/>
        </w:rPr>
        <w:t>法律法规及基金合同规定的其他义务。</w:t>
      </w:r>
    </w:p>
    <w:p>
      <w:pPr>
        <w:spacing w:after="0" w:line="240" w:lineRule="auto"/>
        <w:jc w:val="left"/>
        <w:rPr>
          <w:sz w:val="24"/>
        </w:rPr>
        <w:sectPr>
          <w:pgSz w:w="11910" w:h="16840"/>
          <w:pgMar w:header="880" w:footer="1964" w:top="1380" w:bottom="2160" w:left="1660" w:right="1580"/>
        </w:sectPr>
      </w:pPr>
    </w:p>
    <w:p>
      <w:pPr>
        <w:pStyle w:val="BodyText"/>
        <w:spacing w:before="8"/>
        <w:ind w:left="0"/>
        <w:rPr>
          <w:sz w:val="8"/>
        </w:rPr>
      </w:pPr>
    </w:p>
    <w:p>
      <w:pPr>
        <w:spacing w:before="58"/>
        <w:ind w:left="84" w:right="283" w:firstLine="0"/>
        <w:jc w:val="center"/>
        <w:rPr>
          <w:b/>
          <w:sz w:val="30"/>
        </w:rPr>
      </w:pPr>
      <w:bookmarkStart w:name="_bookmark7" w:id="8"/>
      <w:bookmarkEnd w:id="8"/>
      <w:r>
        <w:rPr/>
      </w:r>
      <w:r>
        <w:rPr>
          <w:b/>
          <w:sz w:val="30"/>
        </w:rPr>
        <w:t>八、基金份额持有人大会</w:t>
      </w:r>
    </w:p>
    <w:p>
      <w:pPr>
        <w:pStyle w:val="BodyText"/>
        <w:spacing w:before="0"/>
        <w:ind w:left="0"/>
        <w:rPr>
          <w:b/>
          <w:sz w:val="30"/>
        </w:rPr>
      </w:pPr>
    </w:p>
    <w:p>
      <w:pPr>
        <w:pStyle w:val="BodyText"/>
        <w:spacing w:before="2"/>
        <w:ind w:left="0"/>
        <w:rPr>
          <w:b/>
          <w:sz w:val="22"/>
        </w:rPr>
      </w:pPr>
    </w:p>
    <w:p>
      <w:pPr>
        <w:pStyle w:val="BodyText"/>
        <w:spacing w:line="364" w:lineRule="auto"/>
        <w:ind w:right="338" w:firstLine="479"/>
        <w:jc w:val="both"/>
      </w:pPr>
      <w:r>
        <w:rPr/>
        <w:t>一、召开原则基金份额持有人大会由基金份额持有人或基金份额持有人合法的授权代表共同组成。基金份额持有人持有的每一基金份额拥有平等的投票权。</w:t>
      </w:r>
    </w:p>
    <w:p>
      <w:pPr>
        <w:pStyle w:val="BodyText"/>
        <w:spacing w:line="364" w:lineRule="auto"/>
        <w:ind w:right="340" w:firstLine="479"/>
      </w:pPr>
      <w:r>
        <w:rPr/>
        <w:t>持有人大会决议须经基金份额持有人大会审议通过。上述通过事项如无需监管部门批准，则即刻生效；需监管部门批准的，在获得相关批准后生效。</w:t>
      </w:r>
    </w:p>
    <w:p>
      <w:pPr>
        <w:pStyle w:val="BodyText"/>
        <w:spacing w:line="364" w:lineRule="auto" w:before="2"/>
        <w:ind w:right="338" w:firstLine="479"/>
      </w:pPr>
      <w:r>
        <w:rPr/>
        <w:t>二、召开事由在本基金需要决定下列事项之一时，应召开基金份额持有人大会：</w:t>
      </w:r>
    </w:p>
    <w:p>
      <w:pPr>
        <w:pStyle w:val="BodyText"/>
        <w:spacing w:line="364" w:lineRule="auto"/>
        <w:ind w:right="335" w:firstLine="479"/>
      </w:pPr>
      <w:r>
        <w:rPr>
          <w:rFonts w:ascii="Times New Roman" w:eastAsia="Times New Roman"/>
        </w:rPr>
        <w:t>1</w:t>
      </w:r>
      <w:r>
        <w:rPr>
          <w:spacing w:val="-11"/>
        </w:rPr>
        <w:t>、修改基金合同。但本基金合同另有规定或根据法律法规变更做出相应更</w:t>
      </w:r>
      <w:r>
        <w:rPr/>
        <w:t>改的除外；</w:t>
      </w:r>
    </w:p>
    <w:p>
      <w:pPr>
        <w:pStyle w:val="BodyText"/>
        <w:spacing w:before="2"/>
        <w:ind w:left="618"/>
      </w:pPr>
      <w:r>
        <w:rPr>
          <w:rFonts w:ascii="Times New Roman" w:eastAsia="Times New Roman"/>
        </w:rPr>
        <w:t>2</w:t>
      </w:r>
      <w:r>
        <w:rPr/>
        <w:t>、更换基金管理人；</w:t>
      </w:r>
    </w:p>
    <w:p>
      <w:pPr>
        <w:pStyle w:val="BodyText"/>
        <w:spacing w:before="160"/>
        <w:ind w:left="618"/>
      </w:pPr>
      <w:r>
        <w:rPr>
          <w:rFonts w:ascii="Times New Roman" w:eastAsia="Times New Roman"/>
        </w:rPr>
        <w:t>3</w:t>
      </w:r>
      <w:r>
        <w:rPr/>
        <w:t>、更换基金托管人；</w:t>
      </w:r>
    </w:p>
    <w:p>
      <w:pPr>
        <w:pStyle w:val="BodyText"/>
        <w:spacing w:before="161"/>
        <w:ind w:left="618"/>
      </w:pPr>
      <w:r>
        <w:rPr>
          <w:rFonts w:ascii="Times New Roman" w:eastAsia="Times New Roman"/>
        </w:rPr>
        <w:t>4</w:t>
      </w:r>
      <w:r>
        <w:rPr/>
        <w:t>、决定终止基金合同；</w:t>
      </w:r>
    </w:p>
    <w:p>
      <w:pPr>
        <w:pStyle w:val="BodyText"/>
        <w:spacing w:before="160"/>
        <w:ind w:left="618"/>
      </w:pPr>
      <w:r>
        <w:rPr>
          <w:rFonts w:ascii="Times New Roman" w:eastAsia="Times New Roman"/>
        </w:rPr>
        <w:t>5</w:t>
      </w:r>
      <w:r>
        <w:rPr/>
        <w:t>、与其他基金合并；</w:t>
      </w:r>
    </w:p>
    <w:p>
      <w:pPr>
        <w:pStyle w:val="BodyText"/>
        <w:spacing w:line="364" w:lineRule="auto" w:before="161"/>
        <w:ind w:right="333" w:firstLine="479"/>
      </w:pPr>
      <w:r>
        <w:rPr>
          <w:rFonts w:ascii="Times New Roman" w:eastAsia="Times New Roman"/>
        </w:rPr>
        <w:t>6</w:t>
      </w:r>
      <w:r>
        <w:rPr>
          <w:spacing w:val="-9"/>
        </w:rPr>
        <w:t>、持有本基金百分之十或以上基金份额的基金份额持有人</w:t>
      </w:r>
      <w:r>
        <w:rPr/>
        <w:t>（</w:t>
      </w:r>
      <w:r>
        <w:rPr>
          <w:spacing w:val="-3"/>
        </w:rPr>
        <w:t>以基金管理人</w:t>
      </w:r>
      <w:r>
        <w:rPr/>
        <w:t>收到提议当日的基金份额计算）提议召开基金份额持有人大会；</w:t>
      </w:r>
    </w:p>
    <w:p>
      <w:pPr>
        <w:pStyle w:val="BodyText"/>
        <w:ind w:left="618"/>
      </w:pPr>
      <w:r>
        <w:rPr>
          <w:rFonts w:ascii="Times New Roman" w:eastAsia="Times New Roman"/>
        </w:rPr>
        <w:t>7</w:t>
      </w:r>
      <w:r>
        <w:rPr/>
        <w:t>、基金管理人或基金托管人要求召开基金份额持有人大会；</w:t>
      </w:r>
    </w:p>
    <w:p>
      <w:pPr>
        <w:pStyle w:val="BodyText"/>
        <w:spacing w:before="161"/>
        <w:ind w:left="618"/>
      </w:pPr>
      <w:r>
        <w:rPr>
          <w:rFonts w:ascii="Times New Roman" w:eastAsia="Times New Roman"/>
        </w:rPr>
        <w:t>8</w:t>
      </w:r>
      <w:r>
        <w:rPr/>
        <w:t>、转换基金运作方式；</w:t>
      </w:r>
    </w:p>
    <w:p>
      <w:pPr>
        <w:pStyle w:val="BodyText"/>
        <w:spacing w:line="364" w:lineRule="auto" w:before="160"/>
        <w:ind w:right="335" w:firstLine="479"/>
      </w:pPr>
      <w:r>
        <w:rPr>
          <w:rFonts w:ascii="Times New Roman" w:eastAsia="Times New Roman"/>
        </w:rPr>
        <w:t>9</w:t>
      </w:r>
      <w:r>
        <w:rPr>
          <w:spacing w:val="-11"/>
        </w:rPr>
        <w:t>、提高基金管理人、基金托管人的报酬标准，但根据法律法规的要求提高</w:t>
      </w:r>
      <w:r>
        <w:rPr/>
        <w:t>该等报酬标准的除外；</w:t>
      </w:r>
    </w:p>
    <w:p>
      <w:pPr>
        <w:pStyle w:val="BodyText"/>
        <w:spacing w:before="2"/>
        <w:ind w:left="618"/>
      </w:pPr>
      <w:r>
        <w:rPr>
          <w:rFonts w:ascii="Times New Roman" w:eastAsia="Times New Roman"/>
        </w:rPr>
        <w:t>10</w:t>
      </w:r>
      <w:r>
        <w:rPr/>
        <w:t>、变更基金类别；</w:t>
      </w:r>
    </w:p>
    <w:p>
      <w:pPr>
        <w:pStyle w:val="BodyText"/>
        <w:spacing w:before="160"/>
        <w:ind w:left="618"/>
      </w:pPr>
      <w:r>
        <w:rPr>
          <w:rFonts w:ascii="Times New Roman" w:eastAsia="Times New Roman"/>
        </w:rPr>
        <w:t>11</w:t>
      </w:r>
      <w:r>
        <w:rPr/>
        <w:t>、变更基金的投资目标、投资范围或策略；</w:t>
      </w:r>
    </w:p>
    <w:p>
      <w:pPr>
        <w:pStyle w:val="BodyText"/>
        <w:spacing w:before="161"/>
        <w:ind w:left="618"/>
      </w:pPr>
      <w:r>
        <w:rPr>
          <w:rFonts w:ascii="Times New Roman" w:eastAsia="Times New Roman"/>
        </w:rPr>
        <w:t>12</w:t>
      </w:r>
      <w:r>
        <w:rPr/>
        <w:t>、变更基金份额持有人大会程序；</w:t>
      </w:r>
    </w:p>
    <w:p>
      <w:pPr>
        <w:pStyle w:val="BodyText"/>
        <w:spacing w:before="160"/>
        <w:ind w:left="618"/>
      </w:pPr>
      <w:r>
        <w:rPr>
          <w:rFonts w:ascii="Times New Roman" w:eastAsia="Times New Roman"/>
        </w:rPr>
        <w:t>13</w:t>
      </w:r>
      <w:r>
        <w:rPr/>
        <w:t>、法律、法规或中国证监会规定的其他情形。</w:t>
      </w:r>
    </w:p>
    <w:p>
      <w:pPr>
        <w:pStyle w:val="BodyText"/>
        <w:spacing w:line="364" w:lineRule="auto" w:before="161"/>
        <w:ind w:right="340" w:firstLine="479"/>
      </w:pPr>
      <w:r>
        <w:rPr/>
        <w:t>以下情况可由基金管理人和基金托管人协商后修改基金合同，不需召开基金份额持有人大会：</w:t>
      </w:r>
    </w:p>
    <w:p>
      <w:pPr>
        <w:spacing w:after="0" w:line="364" w:lineRule="auto"/>
        <w:sectPr>
          <w:pgSz w:w="11910" w:h="16840"/>
          <w:pgMar w:header="880" w:footer="1964" w:top="1380" w:bottom="2160" w:left="1660" w:right="1580"/>
        </w:sectPr>
      </w:pPr>
    </w:p>
    <w:p>
      <w:pPr>
        <w:pStyle w:val="BodyText"/>
        <w:spacing w:before="130"/>
        <w:ind w:left="618"/>
      </w:pPr>
      <w:r>
        <w:rPr>
          <w:rFonts w:ascii="Times New Roman" w:eastAsia="Times New Roman"/>
        </w:rPr>
        <w:t>1</w:t>
      </w:r>
      <w:r>
        <w:rPr/>
        <w:t>、因相应的法律、法规发生变动必须对基金合同进行修改；</w:t>
      </w:r>
    </w:p>
    <w:p>
      <w:pPr>
        <w:pStyle w:val="BodyText"/>
        <w:spacing w:before="160"/>
        <w:ind w:left="618"/>
      </w:pPr>
      <w:r>
        <w:rPr>
          <w:rFonts w:ascii="Times New Roman" w:eastAsia="Times New Roman"/>
        </w:rPr>
        <w:t>2</w:t>
      </w:r>
      <w:r>
        <w:rPr/>
        <w:t>、调低基金管理费、基金托管费；</w:t>
      </w:r>
    </w:p>
    <w:p>
      <w:pPr>
        <w:pStyle w:val="BodyText"/>
        <w:spacing w:line="364" w:lineRule="auto" w:before="161"/>
        <w:ind w:right="333" w:firstLine="479"/>
      </w:pPr>
      <w:r>
        <w:rPr>
          <w:rFonts w:ascii="Times New Roman" w:eastAsia="Times New Roman"/>
        </w:rPr>
        <w:t>3</w:t>
      </w:r>
      <w:r>
        <w:rPr>
          <w:spacing w:val="-10"/>
        </w:rPr>
        <w:t>、在法律法规和基金合同规定的范围内变更本基金的申购费率、赎回费率</w:t>
      </w:r>
      <w:r>
        <w:rPr/>
        <w:t>或收费方式；</w:t>
      </w:r>
    </w:p>
    <w:p>
      <w:pPr>
        <w:pStyle w:val="BodyText"/>
        <w:ind w:left="618"/>
      </w:pPr>
      <w:r>
        <w:rPr>
          <w:rFonts w:ascii="Times New Roman" w:eastAsia="Times New Roman"/>
        </w:rPr>
        <w:t>4</w:t>
      </w:r>
      <w:r>
        <w:rPr/>
        <w:t>、对基金合同的修改不涉及本基金合同当事人权利义务关系的变化；</w:t>
      </w:r>
    </w:p>
    <w:p>
      <w:pPr>
        <w:pStyle w:val="BodyText"/>
        <w:spacing w:before="160"/>
        <w:ind w:left="618"/>
      </w:pPr>
      <w:r>
        <w:rPr>
          <w:rFonts w:ascii="Times New Roman" w:eastAsia="Times New Roman"/>
        </w:rPr>
        <w:t>5</w:t>
      </w:r>
      <w:r>
        <w:rPr/>
        <w:t>、对基金合同的修改对基金份额持有人利益无实质性不利影响；</w:t>
      </w:r>
    </w:p>
    <w:p>
      <w:pPr>
        <w:pStyle w:val="BodyText"/>
        <w:spacing w:line="364" w:lineRule="auto" w:before="161"/>
        <w:ind w:right="335" w:firstLine="479"/>
      </w:pPr>
      <w:r>
        <w:rPr>
          <w:rFonts w:ascii="Times New Roman" w:eastAsia="Times New Roman"/>
        </w:rPr>
        <w:t>6</w:t>
      </w:r>
      <w:r>
        <w:rPr>
          <w:spacing w:val="-11"/>
        </w:rPr>
        <w:t>、按照法律法规或本基金合同规定不需召开基金份额持有人大会的其他情</w:t>
      </w:r>
      <w:r>
        <w:rPr/>
        <w:t>形。</w:t>
      </w:r>
    </w:p>
    <w:p>
      <w:pPr>
        <w:pStyle w:val="BodyText"/>
        <w:spacing w:before="2"/>
        <w:ind w:left="618"/>
      </w:pPr>
      <w:r>
        <w:rPr/>
        <w:t>三、召集方式</w:t>
      </w:r>
    </w:p>
    <w:p>
      <w:pPr>
        <w:pStyle w:val="BodyText"/>
        <w:spacing w:line="364" w:lineRule="auto" w:before="160"/>
        <w:ind w:right="335" w:firstLine="479"/>
      </w:pPr>
      <w:r>
        <w:rPr>
          <w:rFonts w:ascii="Times New Roman" w:eastAsia="Times New Roman"/>
        </w:rPr>
        <w:t>1</w:t>
      </w:r>
      <w:r>
        <w:rPr>
          <w:spacing w:val="-11"/>
        </w:rPr>
        <w:t>、在正常情况下，基金份额持有人大会由基金管理人召集，基金份额持有</w:t>
      </w:r>
      <w:r>
        <w:rPr/>
        <w:t>人大会的开会时间、地点及权益登记日由基金管理人选择确定；</w:t>
      </w:r>
    </w:p>
    <w:p>
      <w:pPr>
        <w:pStyle w:val="BodyText"/>
        <w:spacing w:line="364" w:lineRule="auto"/>
        <w:ind w:right="333" w:firstLine="479"/>
      </w:pPr>
      <w:r>
        <w:rPr>
          <w:rFonts w:ascii="Times New Roman" w:eastAsia="Times New Roman"/>
        </w:rPr>
        <w:t>2</w:t>
      </w:r>
      <w:r>
        <w:rPr>
          <w:spacing w:val="-10"/>
        </w:rPr>
        <w:t>、在更换基金管理人或基金管理人未行使召集权的情况下，由基金托管人</w:t>
      </w:r>
      <w:r>
        <w:rPr/>
        <w:t>召集；</w:t>
      </w:r>
    </w:p>
    <w:p>
      <w:pPr>
        <w:pStyle w:val="BodyText"/>
        <w:spacing w:line="364" w:lineRule="auto" w:before="2"/>
        <w:ind w:right="333" w:firstLine="479"/>
        <w:jc w:val="both"/>
      </w:pPr>
      <w:r>
        <w:rPr>
          <w:rFonts w:ascii="Times New Roman" w:eastAsia="Times New Roman"/>
        </w:rPr>
        <w:t>3</w:t>
      </w:r>
      <w:r>
        <w:rPr>
          <w:spacing w:val="-10"/>
        </w:rPr>
        <w:t>、基金托管人认为有必要召开基金份额持有人大会的，应当向基金管理人</w:t>
      </w:r>
      <w:r>
        <w:rPr/>
        <w:t>提出书面提议。基金管理人应当自收到书面提议之日起十日内决定是否召集， 并书面告知基金托管人。</w:t>
      </w:r>
    </w:p>
    <w:p>
      <w:pPr>
        <w:pStyle w:val="BodyText"/>
        <w:spacing w:line="364" w:lineRule="auto" w:before="2"/>
        <w:ind w:right="340" w:firstLine="479"/>
      </w:pPr>
      <w:r>
        <w:rPr/>
        <w:t>基金管理人决定召集的，应当自出具书面决定之日起六十日内召开；基金管理人决定不召集，基金托管人仍认为有必要召开的，应当自行召集。</w:t>
      </w:r>
    </w:p>
    <w:p>
      <w:pPr>
        <w:pStyle w:val="BodyText"/>
        <w:spacing w:line="364" w:lineRule="auto"/>
        <w:ind w:right="333" w:firstLine="479"/>
        <w:jc w:val="both"/>
      </w:pPr>
      <w:r>
        <w:rPr>
          <w:rFonts w:ascii="Times New Roman" w:eastAsia="Times New Roman"/>
        </w:rPr>
        <w:t>4</w:t>
      </w:r>
      <w:r>
        <w:rPr>
          <w:spacing w:val="-10"/>
        </w:rPr>
        <w:t>、在基金管理人和基金托管人均未行使召集权的情况下，单独或合计持有</w:t>
      </w:r>
      <w:r>
        <w:rPr/>
        <w:t>权益登记日百分之十或以上份额的基金份额持有人有权自行召集；若就同一事项出现若干个基金份额持有人提案，则由提出该等提案的基金份额持有人共同推选出代表召集持有人大会。</w:t>
      </w:r>
    </w:p>
    <w:p>
      <w:pPr>
        <w:pStyle w:val="BodyText"/>
        <w:spacing w:line="364" w:lineRule="auto" w:before="3"/>
        <w:ind w:right="335" w:firstLine="479"/>
        <w:jc w:val="both"/>
      </w:pPr>
      <w:r>
        <w:rPr>
          <w:rFonts w:ascii="Times New Roman" w:eastAsia="Times New Roman"/>
        </w:rPr>
        <w:t>5</w:t>
      </w:r>
      <w:r>
        <w:rPr>
          <w:spacing w:val="-11"/>
        </w:rPr>
        <w:t>、代表基金份额百分之十或以上的基金份额持有人认为有必要召开基金份</w:t>
      </w:r>
      <w:r>
        <w:rPr>
          <w:spacing w:val="-1"/>
        </w:rPr>
        <w:t>额持有人大会的，应当向基金管理人提出书面提议。基金管理人应当自收到书面提议之日起十日内决定是否召集，并书面告知提出提议的基金份额持有人代</w:t>
      </w:r>
      <w:r>
        <w:rPr/>
        <w:t>表和基金托管人。</w:t>
      </w:r>
    </w:p>
    <w:p>
      <w:pPr>
        <w:pStyle w:val="BodyText"/>
        <w:spacing w:line="364" w:lineRule="auto" w:before="2"/>
        <w:ind w:right="341" w:firstLine="479"/>
      </w:pPr>
      <w:r>
        <w:rPr/>
        <w:t>基金管理人决定召集的，应当自出具书面决定之日起六十日内召开；基金管理人决定不召集，代表基金份额百分之十或以上的基金份额持有人仍认为有</w:t>
      </w:r>
    </w:p>
    <w:p>
      <w:pPr>
        <w:spacing w:after="0" w:line="364" w:lineRule="auto"/>
        <w:sectPr>
          <w:pgSz w:w="11910" w:h="16840"/>
          <w:pgMar w:header="880" w:footer="1964" w:top="1380" w:bottom="2160" w:left="1660" w:right="1580"/>
        </w:sectPr>
      </w:pPr>
    </w:p>
    <w:p>
      <w:pPr>
        <w:pStyle w:val="BodyText"/>
        <w:spacing w:before="130"/>
      </w:pPr>
      <w:r>
        <w:rPr/>
        <w:t>必要召开的，应当向基金托管人提出书面提议。</w:t>
      </w:r>
    </w:p>
    <w:p>
      <w:pPr>
        <w:pStyle w:val="BodyText"/>
        <w:spacing w:line="364" w:lineRule="auto" w:before="160"/>
        <w:ind w:right="341" w:firstLine="479"/>
        <w:jc w:val="both"/>
      </w:pPr>
      <w:r>
        <w:rPr/>
        <w:t>基金托管人应当自收到书面提议之日起十日内决定是否召集，并书面告知提出提议的基金份额持有人代表和基金管理人；基金托管人决定召集的，应当自出具书面决定之日起六十日内召开。</w:t>
      </w:r>
    </w:p>
    <w:p>
      <w:pPr>
        <w:pStyle w:val="BodyText"/>
        <w:spacing w:line="364" w:lineRule="auto" w:before="2"/>
        <w:ind w:right="333" w:firstLine="479"/>
        <w:jc w:val="both"/>
      </w:pPr>
      <w:r>
        <w:rPr>
          <w:rFonts w:ascii="Times New Roman" w:eastAsia="Times New Roman"/>
        </w:rPr>
        <w:t>6</w:t>
      </w:r>
      <w:r>
        <w:rPr>
          <w:spacing w:val="-10"/>
        </w:rPr>
        <w:t>、基金管理人和基金托管人都不召集基金份额持有人大会的，基金份额持</w:t>
      </w:r>
      <w:r>
        <w:rPr/>
        <w:t>有人可以按照《证券投资基金法》第七十二条第二款的规定自行召集基金份额持有人大会。</w:t>
      </w:r>
    </w:p>
    <w:p>
      <w:pPr>
        <w:pStyle w:val="BodyText"/>
        <w:spacing w:line="364" w:lineRule="auto" w:before="2"/>
        <w:ind w:right="338" w:firstLine="479"/>
      </w:pPr>
      <w:r>
        <w:rPr/>
        <w:t>基金份额持有人自行召集基金份额持有人大会的，应当至少提前三十日向中国证监会备案。</w:t>
      </w:r>
    </w:p>
    <w:p>
      <w:pPr>
        <w:pStyle w:val="BodyText"/>
        <w:spacing w:line="364" w:lineRule="auto" w:before="2"/>
        <w:ind w:right="332" w:firstLine="479"/>
      </w:pPr>
      <w:r>
        <w:rPr>
          <w:rFonts w:ascii="Times New Roman" w:eastAsia="Times New Roman"/>
        </w:rPr>
        <w:t>7</w:t>
      </w:r>
      <w:r>
        <w:rPr>
          <w:spacing w:val="-9"/>
        </w:rPr>
        <w:t>、基金份额持有人依法自行召集基金份额持有人大会的，基金管理人、基</w:t>
      </w:r>
      <w:r>
        <w:rPr/>
        <w:t>金托管人应当配合，不得阻碍、干扰。</w:t>
      </w:r>
    </w:p>
    <w:p>
      <w:pPr>
        <w:pStyle w:val="BodyText"/>
        <w:ind w:left="618"/>
      </w:pPr>
      <w:r>
        <w:rPr/>
        <w:t>四、通知</w:t>
      </w:r>
    </w:p>
    <w:p>
      <w:pPr>
        <w:pStyle w:val="BodyText"/>
        <w:spacing w:line="364" w:lineRule="auto" w:before="160"/>
        <w:ind w:right="336" w:firstLine="479"/>
      </w:pPr>
      <w:r>
        <w:rPr/>
        <w:t>召开基金份额持有人大会，召集人应在会议召开前至少三十日，在指定媒介公告通知。基金份额持有人大会通知至少应载明以下内容：</w:t>
      </w:r>
    </w:p>
    <w:p>
      <w:pPr>
        <w:pStyle w:val="BodyText"/>
        <w:spacing w:before="2"/>
        <w:ind w:left="618"/>
      </w:pPr>
      <w:r>
        <w:rPr>
          <w:rFonts w:ascii="Times New Roman" w:eastAsia="Times New Roman"/>
        </w:rPr>
        <w:t>1</w:t>
      </w:r>
      <w:r>
        <w:rPr/>
        <w:t>、会议召开的时间、地点和方式；</w:t>
      </w:r>
    </w:p>
    <w:p>
      <w:pPr>
        <w:pStyle w:val="BodyText"/>
        <w:spacing w:before="160"/>
        <w:ind w:left="618"/>
      </w:pPr>
      <w:r>
        <w:rPr>
          <w:rFonts w:ascii="Times New Roman" w:eastAsia="Times New Roman"/>
        </w:rPr>
        <w:t>2</w:t>
      </w:r>
      <w:r>
        <w:rPr/>
        <w:t>、会议拟审议的主要事项；</w:t>
      </w:r>
    </w:p>
    <w:p>
      <w:pPr>
        <w:pStyle w:val="BodyText"/>
        <w:spacing w:before="161"/>
        <w:ind w:left="618"/>
      </w:pPr>
      <w:r>
        <w:rPr>
          <w:rFonts w:ascii="Times New Roman" w:eastAsia="Times New Roman"/>
        </w:rPr>
        <w:t>3</w:t>
      </w:r>
      <w:r>
        <w:rPr/>
        <w:t>、会议的议事程序；</w:t>
      </w:r>
    </w:p>
    <w:p>
      <w:pPr>
        <w:pStyle w:val="BodyText"/>
        <w:spacing w:before="160"/>
        <w:ind w:left="618"/>
      </w:pPr>
      <w:r>
        <w:rPr>
          <w:rFonts w:ascii="Times New Roman" w:eastAsia="Times New Roman"/>
        </w:rPr>
        <w:t>4</w:t>
      </w:r>
      <w:r>
        <w:rPr/>
        <w:t>、会议的表决方式；</w:t>
      </w:r>
    </w:p>
    <w:p>
      <w:pPr>
        <w:pStyle w:val="BodyText"/>
        <w:spacing w:before="161"/>
        <w:ind w:left="618"/>
      </w:pPr>
      <w:r>
        <w:rPr>
          <w:rFonts w:ascii="Times New Roman" w:eastAsia="Times New Roman"/>
        </w:rPr>
        <w:t>5</w:t>
      </w:r>
      <w:r>
        <w:rPr/>
        <w:t>、有权出席基金份额持有人大会的权益登记日；</w:t>
      </w:r>
    </w:p>
    <w:p>
      <w:pPr>
        <w:pStyle w:val="BodyText"/>
        <w:spacing w:before="160"/>
        <w:ind w:left="618"/>
      </w:pPr>
      <w:r>
        <w:rPr>
          <w:rFonts w:ascii="Times New Roman" w:eastAsia="Times New Roman"/>
        </w:rPr>
        <w:t>6</w:t>
      </w:r>
      <w:r>
        <w:rPr/>
        <w:t>、代理投票授权委托书送达时间和地点；</w:t>
      </w:r>
    </w:p>
    <w:p>
      <w:pPr>
        <w:pStyle w:val="BodyText"/>
        <w:spacing w:before="161"/>
        <w:ind w:left="618"/>
      </w:pPr>
      <w:r>
        <w:rPr>
          <w:rFonts w:ascii="Times New Roman" w:eastAsia="Times New Roman"/>
        </w:rPr>
        <w:t>7</w:t>
      </w:r>
      <w:r>
        <w:rPr/>
        <w:t>、会务常设联系人姓名、电话；</w:t>
      </w:r>
    </w:p>
    <w:p>
      <w:pPr>
        <w:pStyle w:val="BodyText"/>
        <w:spacing w:before="161"/>
        <w:ind w:left="618"/>
      </w:pPr>
      <w:r>
        <w:rPr>
          <w:rFonts w:ascii="Times New Roman" w:eastAsia="Times New Roman"/>
        </w:rPr>
        <w:t>8</w:t>
      </w:r>
      <w:r>
        <w:rPr/>
        <w:t>、召集人需要通知的其他事项。</w:t>
      </w:r>
    </w:p>
    <w:p>
      <w:pPr>
        <w:pStyle w:val="BodyText"/>
        <w:spacing w:line="364" w:lineRule="auto" w:before="161"/>
        <w:ind w:right="341" w:firstLine="479"/>
        <w:jc w:val="both"/>
      </w:pPr>
      <w:r>
        <w:rPr/>
        <w:t>若采取通讯等方式开会并进行表决，会议通知中还应说明本次基金份额持有人大会所采取的具体方式、委托的公证机关（或鉴证律师）及其联系方式和联系人、表决意见的寄交和收取方式。</w:t>
      </w:r>
    </w:p>
    <w:p>
      <w:pPr>
        <w:pStyle w:val="BodyText"/>
        <w:spacing w:line="364" w:lineRule="auto"/>
        <w:ind w:right="341" w:firstLine="479"/>
      </w:pPr>
      <w:r>
        <w:rPr/>
        <w:t>五、召开方式基金份额持有人大会可以采取现场方式召开，也可以采取通讯等方式召开。会议的召开方式由召集人确定。</w:t>
      </w:r>
    </w:p>
    <w:p>
      <w:pPr>
        <w:pStyle w:val="BodyText"/>
        <w:spacing w:before="2"/>
        <w:ind w:left="618"/>
      </w:pPr>
      <w:r>
        <w:rPr/>
        <w:t>基金份额持有人大会应当有代表百分之五十以上基金份额的持有人参加方</w:t>
      </w:r>
    </w:p>
    <w:p>
      <w:pPr>
        <w:spacing w:after="0"/>
        <w:sectPr>
          <w:pgSz w:w="11910" w:h="16840"/>
          <w:pgMar w:header="880" w:footer="1964" w:top="1380" w:bottom="2160" w:left="1660" w:right="1580"/>
        </w:sectPr>
      </w:pPr>
    </w:p>
    <w:p>
      <w:pPr>
        <w:pStyle w:val="BodyText"/>
        <w:spacing w:line="364" w:lineRule="auto" w:before="130"/>
        <w:ind w:right="341"/>
      </w:pPr>
      <w:r>
        <w:rPr/>
        <w:t>可召开，但确定有权出席会议的基金份额持有人资格的权益登记日不应发生变化。</w:t>
      </w:r>
    </w:p>
    <w:p>
      <w:pPr>
        <w:pStyle w:val="BodyText"/>
        <w:spacing w:line="364" w:lineRule="auto"/>
        <w:ind w:right="338" w:firstLine="479"/>
        <w:jc w:val="both"/>
      </w:pPr>
      <w:r>
        <w:rPr/>
        <w:t>（一）现场开会由基金份额持有人本人出席或以代理投票授权委托书委派代表出席，现场开会时基金管理人和基金托管人的授权代表应当列席基金份额持有人大会。</w:t>
      </w:r>
    </w:p>
    <w:p>
      <w:pPr>
        <w:pStyle w:val="BodyText"/>
        <w:spacing w:line="364" w:lineRule="auto" w:before="2"/>
        <w:ind w:right="334" w:firstLine="479"/>
        <w:jc w:val="both"/>
      </w:pPr>
      <w:r>
        <w:rPr/>
        <w:t>亲自出席会议者应持有基金份额的凭证</w:t>
      </w:r>
      <w:r>
        <w:rPr>
          <w:rFonts w:ascii="Times New Roman" w:eastAsia="Times New Roman"/>
        </w:rPr>
        <w:t>,</w:t>
      </w:r>
      <w:r>
        <w:rPr/>
        <w:t>受托出席会议者应出具的委托人持有基金份额的凭证及委托人的代理投票授权委托书应符合法律、法规、本基金合同和会议通知的规定。</w:t>
      </w:r>
    </w:p>
    <w:p>
      <w:pPr>
        <w:pStyle w:val="BodyText"/>
        <w:spacing w:line="364" w:lineRule="auto" w:before="2"/>
        <w:ind w:left="618" w:right="1805"/>
      </w:pPr>
      <w:r>
        <w:rPr/>
        <w:t>（二）</w:t>
      </w:r>
      <w:r>
        <w:rPr>
          <w:spacing w:val="-1"/>
        </w:rPr>
        <w:t>通讯方式开会通讯方式开会应以书面方式进行表决。</w:t>
      </w:r>
      <w:r>
        <w:rPr/>
        <w:t>在符合以下条件时，通讯开会的方式视为有效：</w:t>
      </w:r>
    </w:p>
    <w:p>
      <w:pPr>
        <w:pStyle w:val="BodyText"/>
        <w:ind w:left="618"/>
      </w:pPr>
      <w:r>
        <w:rPr>
          <w:rFonts w:ascii="Times New Roman" w:eastAsia="Times New Roman"/>
        </w:rPr>
        <w:t>1</w:t>
      </w:r>
      <w:r>
        <w:rPr/>
        <w:t>、召集人应按本基金合同规定公告会议通知；</w:t>
      </w:r>
    </w:p>
    <w:p>
      <w:pPr>
        <w:pStyle w:val="BodyText"/>
        <w:spacing w:line="364" w:lineRule="auto" w:before="161"/>
        <w:ind w:right="332" w:firstLine="479"/>
        <w:jc w:val="both"/>
      </w:pPr>
      <w:r>
        <w:rPr>
          <w:rFonts w:ascii="Times New Roman" w:eastAsia="Times New Roman"/>
        </w:rPr>
        <w:t>2</w:t>
      </w:r>
      <w:r>
        <w:rPr>
          <w:spacing w:val="-7"/>
        </w:rPr>
        <w:t>、召集人在基金托管人</w:t>
      </w:r>
      <w:r>
        <w:rPr/>
        <w:t>（</w:t>
      </w:r>
      <w:r>
        <w:rPr>
          <w:spacing w:val="-2"/>
        </w:rPr>
        <w:t>如果基金托管人为召集人，则为基金管理人</w:t>
      </w:r>
      <w:r>
        <w:rPr>
          <w:spacing w:val="-22"/>
        </w:rPr>
        <w:t>）</w:t>
      </w:r>
      <w:r>
        <w:rPr>
          <w:spacing w:val="-15"/>
        </w:rPr>
        <w:t>和</w:t>
      </w:r>
      <w:r>
        <w:rPr/>
        <w:t>公证机关（或鉴证律师）</w:t>
      </w:r>
      <w:r>
        <w:rPr>
          <w:spacing w:val="-1"/>
        </w:rPr>
        <w:t>的监督下按照会议通知规定的方式收取基金份额持有</w:t>
      </w:r>
      <w:r>
        <w:rPr/>
        <w:t>人的书面表决意见；</w:t>
      </w:r>
    </w:p>
    <w:p>
      <w:pPr>
        <w:pStyle w:val="BodyText"/>
        <w:spacing w:line="364" w:lineRule="auto" w:before="2"/>
        <w:ind w:right="335" w:firstLine="479"/>
        <w:jc w:val="both"/>
      </w:pPr>
      <w:r>
        <w:rPr>
          <w:rFonts w:ascii="Times New Roman" w:eastAsia="Times New Roman"/>
        </w:rPr>
        <w:t>3</w:t>
      </w:r>
      <w:r>
        <w:rPr>
          <w:spacing w:val="-11"/>
        </w:rPr>
        <w:t>、直接出具书面意见的基金份额持有人或受托代表他人出具书面意见的代</w:t>
      </w:r>
      <w:r>
        <w:rPr>
          <w:spacing w:val="-1"/>
        </w:rPr>
        <w:t>理人，提交的持有基金份额的凭证、受托出席会议者出具的委托人持有基金份额的凭证及委托人的代理投票授权委托书应符合法律、法规、本基金合同和会</w:t>
      </w:r>
      <w:r>
        <w:rPr/>
        <w:t>议通知的规定。</w:t>
      </w:r>
    </w:p>
    <w:p>
      <w:pPr>
        <w:pStyle w:val="BodyText"/>
        <w:spacing w:line="364" w:lineRule="auto" w:before="2"/>
        <w:ind w:right="337" w:firstLine="479"/>
        <w:jc w:val="both"/>
      </w:pPr>
      <w:r>
        <w:rPr/>
        <w:t>六、议事内容与程序（一）议事内容及提案权议事内容为关系基金份额持有人利益的重大事项，如决定终止基金、更换基金管理人、更换基金托管人、与其他基金合并以及召集人认为需提交基金份额持有人大会讨论的其他事项。</w:t>
      </w:r>
    </w:p>
    <w:p>
      <w:pPr>
        <w:pStyle w:val="BodyText"/>
        <w:spacing w:before="3"/>
        <w:ind w:left="618"/>
      </w:pPr>
      <w:r>
        <w:rPr/>
        <w:t>基金份额持有人大会不得对未事先公告的议事内容进行表决。</w:t>
      </w:r>
    </w:p>
    <w:p>
      <w:pPr>
        <w:pStyle w:val="BodyText"/>
        <w:spacing w:line="364" w:lineRule="auto" w:before="160"/>
        <w:ind w:right="341" w:firstLine="479"/>
        <w:jc w:val="both"/>
      </w:pPr>
      <w:r>
        <w:rPr/>
        <w:t>基金份额持有人大会的召集人发出召集会议的通知后，对原有提案的修改应当在基金份额持有人大会召开日前三十日公告。否则，会议的召开日期应当顺延并保证至少有三十日的间隔期。</w:t>
      </w:r>
    </w:p>
    <w:p>
      <w:pPr>
        <w:pStyle w:val="BodyText"/>
        <w:spacing w:line="364" w:lineRule="auto" w:before="2"/>
        <w:ind w:right="341" w:firstLine="479"/>
        <w:jc w:val="both"/>
      </w:pPr>
      <w:r>
        <w:rPr/>
        <w:t>基金管理人、基金托管人、单独或合并持有权益登记日基金总份额百分之十或以上的基金份额持有人可以在大会召集人发出会议通知前向大会召集人提交需由基金份额持有人大会审议表决的提案。</w:t>
      </w:r>
    </w:p>
    <w:p>
      <w:pPr>
        <w:spacing w:after="0" w:line="364" w:lineRule="auto"/>
        <w:jc w:val="both"/>
        <w:sectPr>
          <w:pgSz w:w="11910" w:h="16840"/>
          <w:pgMar w:header="880" w:footer="1964" w:top="1380" w:bottom="2160" w:left="1660" w:right="1580"/>
        </w:sectPr>
      </w:pPr>
    </w:p>
    <w:p>
      <w:pPr>
        <w:pStyle w:val="BodyText"/>
        <w:spacing w:line="364" w:lineRule="auto" w:before="130"/>
        <w:ind w:right="340" w:firstLine="479"/>
      </w:pPr>
      <w:r>
        <w:rPr/>
        <w:t>对于基金份额持有人提交的提案，大会召集人应当按照以下原则对提案进行审核：</w:t>
      </w:r>
    </w:p>
    <w:p>
      <w:pPr>
        <w:pStyle w:val="BodyText"/>
        <w:spacing w:line="364" w:lineRule="auto"/>
        <w:ind w:right="214" w:firstLine="479"/>
      </w:pPr>
      <w:r>
        <w:rPr>
          <w:rFonts w:ascii="Times New Roman" w:eastAsia="Times New Roman"/>
        </w:rPr>
        <w:t>1</w:t>
      </w:r>
      <w:r>
        <w:rPr>
          <w:spacing w:val="-10"/>
        </w:rPr>
        <w:t>、关联性。大会召集人对于基金份额持有人提案涉及事项与基金有直接关</w:t>
      </w:r>
      <w:r>
        <w:rPr>
          <w:spacing w:val="-12"/>
        </w:rPr>
        <w:t>系，并且不超出法律、法规和基金合同规定的基金份额持有人大会职权范围的， </w:t>
      </w:r>
      <w:r>
        <w:rPr/>
        <w:t>应提交大会审议；对于不符合上述要求的，不提交基金份额持有人大会审议。如果召集人决定不将基金份额持有人提案提交大会表决，应当在该次基金份额持有人大会上进行解释和说明。</w:t>
      </w:r>
    </w:p>
    <w:p>
      <w:pPr>
        <w:pStyle w:val="BodyText"/>
        <w:spacing w:line="364" w:lineRule="auto" w:before="4"/>
        <w:ind w:right="214" w:firstLine="479"/>
      </w:pPr>
      <w:r>
        <w:rPr>
          <w:rFonts w:ascii="Times New Roman" w:eastAsia="Times New Roman"/>
        </w:rPr>
        <w:t>2</w:t>
      </w:r>
      <w:r>
        <w:rPr>
          <w:spacing w:val="-10"/>
        </w:rPr>
        <w:t>、程序性。大会召集人可以对基金份额持有人的提案涉及的程序性问题做出决定。如将其提案进行分拆或合并表决，需征得原提案人同意；原提案人不</w:t>
      </w:r>
      <w:r>
        <w:rPr>
          <w:spacing w:val="-14"/>
        </w:rPr>
        <w:t>同意变更的，大会主持人可以就程序性问题提请基金份额持有人大会做出决定， </w:t>
      </w:r>
      <w:r>
        <w:rPr/>
        <w:t>并按照基金份额持有人大会决定的程序进行审议。</w:t>
      </w:r>
    </w:p>
    <w:p>
      <w:pPr>
        <w:pStyle w:val="BodyText"/>
        <w:spacing w:before="2"/>
        <w:ind w:left="618"/>
      </w:pPr>
      <w:r>
        <w:rPr/>
        <w:t>（二）议事程序</w:t>
      </w:r>
    </w:p>
    <w:p>
      <w:pPr>
        <w:pStyle w:val="BodyText"/>
        <w:spacing w:line="364" w:lineRule="auto" w:before="160"/>
        <w:ind w:right="332" w:firstLine="479"/>
        <w:jc w:val="both"/>
      </w:pPr>
      <w:r>
        <w:rPr>
          <w:rFonts w:ascii="Times New Roman" w:eastAsia="Times New Roman"/>
        </w:rPr>
        <w:t>1</w:t>
      </w:r>
      <w:r>
        <w:rPr>
          <w:spacing w:val="-10"/>
        </w:rPr>
        <w:t>、现场开会大会主持人为基金管理人授权出席会议的代表，在基金管理人</w:t>
      </w:r>
      <w:r>
        <w:rPr/>
        <w:t>未能主持大会的情况下，由基金托管人授权其出席会议的代表主持；如果基金管理人和基金托管人均未能主持大会，则由出席大会的基金份额持有人以所代表的基金份额百分之五十以上（不含百分之五十）多数选举产生一名基金份额持有人或其代理人作为该次基金份额持有人大会的主持人。</w:t>
      </w:r>
    </w:p>
    <w:p>
      <w:pPr>
        <w:pStyle w:val="BodyText"/>
        <w:spacing w:line="364" w:lineRule="auto" w:before="4"/>
        <w:ind w:right="341" w:firstLine="479"/>
        <w:jc w:val="both"/>
      </w:pPr>
      <w:r>
        <w:rPr/>
        <w:t>在现场开会的方式下，首先由大会主持人按照下列第（八）款规定程序确定和公布监票人，然后由大会主持人宣读提案，经讨论后进行表决，并形成大会决议。</w:t>
      </w:r>
    </w:p>
    <w:p>
      <w:pPr>
        <w:pStyle w:val="BodyText"/>
        <w:spacing w:line="364" w:lineRule="auto" w:before="2"/>
        <w:ind w:right="212" w:firstLine="479"/>
        <w:jc w:val="both"/>
      </w:pPr>
      <w:r>
        <w:rPr>
          <w:rFonts w:ascii="Times New Roman" w:eastAsia="Times New Roman"/>
        </w:rPr>
        <w:t>2</w:t>
      </w:r>
      <w:r>
        <w:rPr>
          <w:spacing w:val="-16"/>
        </w:rPr>
        <w:t>、通讯方式开会在通讯方式开会的情况下，由召集人提前三十日公布提案， </w:t>
      </w:r>
      <w:r>
        <w:rPr>
          <w:spacing w:val="-4"/>
        </w:rPr>
        <w:t>在所通知的表决截止日期第二天统计全部有效表决，在公证机构</w:t>
      </w:r>
      <w:r>
        <w:rPr/>
        <w:t>（或鉴证律师</w:t>
      </w:r>
      <w:r>
        <w:rPr>
          <w:spacing w:val="-14"/>
        </w:rPr>
        <w:t>） </w:t>
      </w:r>
      <w:r>
        <w:rPr/>
        <w:t>监督下形成决议。</w:t>
      </w:r>
    </w:p>
    <w:p>
      <w:pPr>
        <w:pStyle w:val="BodyText"/>
        <w:spacing w:before="2"/>
        <w:ind w:left="618"/>
      </w:pPr>
      <w:r>
        <w:rPr/>
        <w:t>七、表决</w:t>
      </w:r>
    </w:p>
    <w:p>
      <w:pPr>
        <w:pStyle w:val="BodyText"/>
        <w:spacing w:line="364" w:lineRule="auto" w:before="161"/>
        <w:ind w:right="333" w:firstLine="479"/>
      </w:pPr>
      <w:r>
        <w:rPr>
          <w:rFonts w:ascii="Times New Roman" w:eastAsia="Times New Roman"/>
        </w:rPr>
        <w:t>1</w:t>
      </w:r>
      <w:r>
        <w:rPr>
          <w:spacing w:val="-10"/>
        </w:rPr>
        <w:t>、基金份额持有人所持每份基金份额有一票表决权；所持基金份额不足一</w:t>
      </w:r>
      <w:r>
        <w:rPr/>
        <w:t>份的，不具有表决权。</w:t>
      </w:r>
    </w:p>
    <w:p>
      <w:pPr>
        <w:pStyle w:val="BodyText"/>
        <w:ind w:left="618"/>
      </w:pPr>
      <w:r>
        <w:rPr>
          <w:rFonts w:ascii="Times New Roman" w:eastAsia="Times New Roman"/>
        </w:rPr>
        <w:t>2</w:t>
      </w:r>
      <w:r>
        <w:rPr/>
        <w:t>、基金份额持有人大会决议分为一般决议和特别决议：</w:t>
      </w:r>
    </w:p>
    <w:p>
      <w:pPr>
        <w:pStyle w:val="ListParagraph"/>
        <w:numPr>
          <w:ilvl w:val="0"/>
          <w:numId w:val="9"/>
        </w:numPr>
        <w:tabs>
          <w:tab w:pos="1219" w:val="left" w:leader="none"/>
        </w:tabs>
        <w:spacing w:line="240" w:lineRule="auto" w:before="160" w:after="0"/>
        <w:ind w:left="1219" w:right="0" w:hanging="601"/>
        <w:jc w:val="left"/>
        <w:rPr>
          <w:sz w:val="24"/>
        </w:rPr>
      </w:pPr>
      <w:r>
        <w:rPr>
          <w:spacing w:val="-7"/>
          <w:sz w:val="24"/>
        </w:rPr>
        <w:t>一般决议，须经出席会议的基金份额持有人所持表决权的百分之五十</w:t>
      </w:r>
    </w:p>
    <w:p>
      <w:pPr>
        <w:spacing w:after="0" w:line="240" w:lineRule="auto"/>
        <w:jc w:val="left"/>
        <w:rPr>
          <w:sz w:val="24"/>
        </w:rPr>
        <w:sectPr>
          <w:pgSz w:w="11910" w:h="16840"/>
          <w:pgMar w:header="880" w:footer="1964" w:top="1380" w:bottom="2160" w:left="1660" w:right="1580"/>
        </w:sectPr>
      </w:pPr>
    </w:p>
    <w:p>
      <w:pPr>
        <w:pStyle w:val="BodyText"/>
        <w:spacing w:line="364" w:lineRule="auto" w:before="130"/>
        <w:ind w:right="334"/>
      </w:pPr>
      <w:r>
        <w:rPr>
          <w:spacing w:val="-9"/>
        </w:rPr>
        <w:t>以上</w:t>
      </w:r>
      <w:r>
        <w:rPr/>
        <w:t>（不含百分之五十</w:t>
      </w:r>
      <w:r>
        <w:rPr>
          <w:spacing w:val="-17"/>
        </w:rPr>
        <w:t>）</w:t>
      </w:r>
      <w:r>
        <w:rPr>
          <w:spacing w:val="-5"/>
        </w:rPr>
        <w:t>通过方为有效，除下列</w:t>
      </w:r>
      <w:r>
        <w:rPr>
          <w:spacing w:val="-6"/>
        </w:rPr>
        <w:t>（</w:t>
      </w:r>
      <w:r>
        <w:rPr>
          <w:rFonts w:ascii="Times New Roman" w:eastAsia="Times New Roman"/>
          <w:spacing w:val="-6"/>
        </w:rPr>
        <w:t>2</w:t>
      </w:r>
      <w:r>
        <w:rPr>
          <w:spacing w:val="-6"/>
        </w:rPr>
        <w:t>）</w:t>
      </w:r>
      <w:r>
        <w:rPr>
          <w:spacing w:val="-3"/>
        </w:rPr>
        <w:t>所规定的须以特别决议通</w:t>
      </w:r>
      <w:r>
        <w:rPr/>
        <w:t>过事项以外的其他事项均以一般决议的方式通过。</w:t>
      </w:r>
    </w:p>
    <w:p>
      <w:pPr>
        <w:pStyle w:val="ListParagraph"/>
        <w:numPr>
          <w:ilvl w:val="0"/>
          <w:numId w:val="9"/>
        </w:numPr>
        <w:tabs>
          <w:tab w:pos="1219" w:val="left" w:leader="none"/>
        </w:tabs>
        <w:spacing w:line="364" w:lineRule="auto" w:before="1" w:after="0"/>
        <w:ind w:left="138" w:right="335" w:firstLine="479"/>
        <w:jc w:val="both"/>
        <w:rPr>
          <w:sz w:val="24"/>
        </w:rPr>
      </w:pPr>
      <w:r>
        <w:rPr>
          <w:spacing w:val="-7"/>
          <w:sz w:val="24"/>
        </w:rPr>
        <w:t>特别决议，须经出席会议的基金份额持有人所持表决权的三分之二</w:t>
      </w:r>
      <w:r>
        <w:rPr>
          <w:spacing w:val="-8"/>
          <w:sz w:val="24"/>
        </w:rPr>
        <w:t>以上</w:t>
      </w:r>
      <w:r>
        <w:rPr>
          <w:sz w:val="24"/>
        </w:rPr>
        <w:t>（不含三分之二）通过方可做出。更换基金管理人、更换基金托管人、决</w:t>
      </w:r>
      <w:r>
        <w:rPr>
          <w:spacing w:val="-4"/>
          <w:sz w:val="24"/>
        </w:rPr>
        <w:t>定终止基金合同、转换基金运作方式等重大事项必须以特别决议通过方为有效</w:t>
      </w:r>
      <w:r>
        <w:rPr>
          <w:spacing w:val="-3"/>
          <w:sz w:val="24"/>
        </w:rPr>
        <w:t>，但法律法规、本基金合同另有约定的除外。</w:t>
      </w:r>
    </w:p>
    <w:p>
      <w:pPr>
        <w:pStyle w:val="BodyText"/>
        <w:spacing w:before="2"/>
        <w:ind w:left="618"/>
      </w:pPr>
      <w:r>
        <w:rPr>
          <w:rFonts w:ascii="Times New Roman" w:eastAsia="Times New Roman"/>
        </w:rPr>
        <w:t>3</w:t>
      </w:r>
      <w:r>
        <w:rPr/>
        <w:t>、基金份额持有人大会采取记名方式进行投票表决。</w:t>
      </w:r>
    </w:p>
    <w:p>
      <w:pPr>
        <w:pStyle w:val="BodyText"/>
        <w:spacing w:line="364" w:lineRule="auto" w:before="161"/>
        <w:ind w:right="332" w:firstLine="479"/>
        <w:jc w:val="both"/>
      </w:pPr>
      <w:r>
        <w:rPr>
          <w:rFonts w:ascii="Times New Roman" w:eastAsia="Times New Roman"/>
        </w:rPr>
        <w:t>4</w:t>
      </w:r>
      <w:r>
        <w:rPr>
          <w:spacing w:val="-10"/>
        </w:rPr>
        <w:t>、采取通讯方式进行表决时，除非有充分相反证据证明，否则其表面符合</w:t>
      </w:r>
      <w:r>
        <w:rPr/>
        <w:t>法律法规和会议通知规定的书面表决意见视为有效表决。意见模糊或相互矛盾的视为无效表决。</w:t>
      </w:r>
    </w:p>
    <w:p>
      <w:pPr>
        <w:pStyle w:val="BodyText"/>
        <w:spacing w:line="364" w:lineRule="auto" w:before="2"/>
        <w:ind w:right="335" w:firstLine="479"/>
      </w:pPr>
      <w:r>
        <w:rPr>
          <w:rFonts w:ascii="Times New Roman" w:eastAsia="Times New Roman"/>
        </w:rPr>
        <w:t>5</w:t>
      </w:r>
      <w:r>
        <w:rPr>
          <w:spacing w:val="-11"/>
        </w:rPr>
        <w:t>、基金份额持有人大会的各项提案或同一项提案内并列的各项议题应当分</w:t>
      </w:r>
      <w:r>
        <w:rPr/>
        <w:t>开审议、逐项表决。</w:t>
      </w:r>
    </w:p>
    <w:p>
      <w:pPr>
        <w:pStyle w:val="BodyText"/>
        <w:ind w:left="618"/>
      </w:pPr>
      <w:r>
        <w:rPr/>
        <w:t>八、计票</w:t>
      </w:r>
    </w:p>
    <w:p>
      <w:pPr>
        <w:pStyle w:val="BodyText"/>
        <w:spacing w:before="161"/>
        <w:ind w:left="618"/>
      </w:pPr>
      <w:r>
        <w:rPr/>
        <w:t>（一）现场开会</w:t>
      </w:r>
    </w:p>
    <w:p>
      <w:pPr>
        <w:pStyle w:val="BodyText"/>
        <w:spacing w:line="364" w:lineRule="auto" w:before="161"/>
        <w:ind w:right="333" w:firstLine="479"/>
        <w:jc w:val="both"/>
      </w:pPr>
      <w:r>
        <w:rPr>
          <w:rFonts w:ascii="Times New Roman" w:eastAsia="Times New Roman"/>
        </w:rPr>
        <w:t>1</w:t>
      </w:r>
      <w:r>
        <w:rPr>
          <w:spacing w:val="-10"/>
        </w:rPr>
        <w:t>、如基金份额持有人大会由基金管理人或基金托管人召集，基金份额持有</w:t>
      </w:r>
      <w:r>
        <w:rPr/>
        <w:t>人大会的主持人应当在会议开始后宣布在出席会议的基金份额持有人中选举两名基金份额持有人代表与大会召集人授权的一名监督员共同担任监票人；如大会由基金份额持有人自行召集，基金份额持有人大会的主持人应当在会议开始</w:t>
      </w:r>
      <w:r>
        <w:rPr>
          <w:spacing w:val="-1"/>
        </w:rPr>
        <w:t>后宣布在出席会议的基金份额持有人中选举三名基金份额持有人代表担任监票</w:t>
      </w:r>
      <w:r>
        <w:rPr/>
        <w:t>人；</w:t>
      </w:r>
    </w:p>
    <w:p>
      <w:pPr>
        <w:pStyle w:val="BodyText"/>
        <w:spacing w:line="364" w:lineRule="auto" w:before="3"/>
        <w:ind w:right="335" w:firstLine="479"/>
      </w:pPr>
      <w:r>
        <w:rPr>
          <w:rFonts w:ascii="Times New Roman" w:eastAsia="Times New Roman"/>
        </w:rPr>
        <w:t>2</w:t>
      </w:r>
      <w:r>
        <w:rPr>
          <w:spacing w:val="-11"/>
        </w:rPr>
        <w:t>、计票人应在基金份额持有人表决后立即进行清点并由大会主持人当场公</w:t>
      </w:r>
      <w:r>
        <w:rPr/>
        <w:t>布计票结果；</w:t>
      </w:r>
    </w:p>
    <w:p>
      <w:pPr>
        <w:pStyle w:val="BodyText"/>
        <w:spacing w:line="364" w:lineRule="auto" w:before="2"/>
        <w:ind w:right="214" w:firstLine="479"/>
        <w:jc w:val="both"/>
      </w:pPr>
      <w:r>
        <w:rPr>
          <w:rFonts w:ascii="Times New Roman" w:eastAsia="Times New Roman"/>
        </w:rPr>
        <w:t>3</w:t>
      </w:r>
      <w:r>
        <w:rPr>
          <w:spacing w:val="-9"/>
        </w:rPr>
        <w:t>、如果会议主持人对于提交的表决结果有怀疑，可以对所投票数进行重新清点；如果会议主持人未进行重新清点，而出席会议的基金份额持有人或者基</w:t>
      </w:r>
      <w:r>
        <w:rPr>
          <w:spacing w:val="-8"/>
        </w:rPr>
        <w:t>金份额持有人代理人对会议主持人宣布的表决结果有异议，其有权在宣布表决</w:t>
      </w:r>
      <w:r>
        <w:rPr>
          <w:spacing w:val="-14"/>
        </w:rPr>
        <w:t>结果后立即要求重新清点，会议主持人应当立即重新清点并公布重新清点结果。</w:t>
      </w:r>
    </w:p>
    <w:p>
      <w:pPr>
        <w:pStyle w:val="BodyText"/>
        <w:spacing w:line="364" w:lineRule="auto" w:before="3"/>
        <w:ind w:right="338" w:firstLine="479"/>
      </w:pPr>
      <w:r>
        <w:rPr/>
        <w:t>（二）通讯方式开会在通讯方式开会的情况下，计票方式为：由大会召集人授权的两名监督员在基金托管人授权代表的监督下进行计票，并由公证机关</w:t>
      </w:r>
    </w:p>
    <w:p>
      <w:pPr>
        <w:spacing w:after="0" w:line="364" w:lineRule="auto"/>
        <w:sectPr>
          <w:pgSz w:w="11910" w:h="16840"/>
          <w:pgMar w:header="880" w:footer="1964" w:top="1380" w:bottom="2160" w:left="1660" w:right="1580"/>
        </w:sectPr>
      </w:pPr>
    </w:p>
    <w:p>
      <w:pPr>
        <w:pStyle w:val="BodyText"/>
        <w:spacing w:line="364" w:lineRule="auto" w:before="130"/>
        <w:ind w:right="332"/>
        <w:jc w:val="both"/>
      </w:pPr>
      <w:r>
        <w:rPr>
          <w:spacing w:val="-5"/>
        </w:rPr>
        <w:t>对其计票过程予以公证</w:t>
      </w:r>
      <w:r>
        <w:rPr/>
        <w:t>（或由律师对其计票过程予以鉴证</w:t>
      </w:r>
      <w:r>
        <w:rPr>
          <w:spacing w:val="-83"/>
        </w:rPr>
        <w:t>）</w:t>
      </w:r>
      <w:r>
        <w:rPr>
          <w:spacing w:val="-13"/>
        </w:rPr>
        <w:t>，并在公告基金份额</w:t>
      </w:r>
      <w:r>
        <w:rPr/>
        <w:t>持有人大会决议时，将公证书全文、公证机关、公证员姓名（</w:t>
      </w:r>
      <w:r>
        <w:rPr>
          <w:spacing w:val="-2"/>
        </w:rPr>
        <w:t>或鉴证报告、律</w:t>
      </w:r>
      <w:r>
        <w:rPr/>
        <w:t>师事务所、经办律师）等一同公告。</w:t>
      </w:r>
    </w:p>
    <w:p>
      <w:pPr>
        <w:pStyle w:val="BodyText"/>
        <w:spacing w:before="2"/>
        <w:ind w:left="618"/>
      </w:pPr>
      <w:r>
        <w:rPr/>
        <w:t>九、生效与公告</w:t>
      </w:r>
    </w:p>
    <w:p>
      <w:pPr>
        <w:pStyle w:val="BodyText"/>
        <w:spacing w:line="364" w:lineRule="auto" w:before="160"/>
        <w:ind w:right="338" w:firstLine="479"/>
        <w:jc w:val="both"/>
      </w:pPr>
      <w:r>
        <w:rPr/>
        <w:t>基金份额持有人大会决议自表决通过之日起五日内报中国证监会或其他有权机构核准或者备案，自其核准之日或相关核准另行确定的日期或出具无异议意见之日起生效。</w:t>
      </w:r>
    </w:p>
    <w:p>
      <w:pPr>
        <w:pStyle w:val="BodyText"/>
        <w:spacing w:line="364" w:lineRule="auto" w:before="2"/>
        <w:ind w:right="340" w:firstLine="479"/>
      </w:pPr>
      <w:r>
        <w:rPr/>
        <w:t>生效的基金份额持有人大会决议对基金管理人、基金托管人和全体基金份额持有人均有法律约束力。</w:t>
      </w:r>
    </w:p>
    <w:p>
      <w:pPr>
        <w:pStyle w:val="BodyText"/>
        <w:spacing w:line="364" w:lineRule="auto" w:before="2"/>
        <w:ind w:right="283" w:firstLine="479"/>
      </w:pPr>
      <w:r>
        <w:rPr/>
        <w:t>基金份额持有人大会决议自生效之日起 </w:t>
      </w:r>
      <w:r>
        <w:rPr>
          <w:rFonts w:ascii="Times New Roman" w:eastAsia="Times New Roman"/>
        </w:rPr>
        <w:t>2 </w:t>
      </w:r>
      <w:r>
        <w:rPr/>
        <w:t>日内在指定媒介公告。法律法规或监管机关对基金份额持有人大会有关事项另有规定的，从其规定。</w:t>
      </w:r>
    </w:p>
    <w:p>
      <w:pPr>
        <w:spacing w:after="0" w:line="364" w:lineRule="auto"/>
        <w:sectPr>
          <w:pgSz w:w="11910" w:h="16840"/>
          <w:pgMar w:header="880" w:footer="1964" w:top="1380" w:bottom="2160" w:left="1660" w:right="1580"/>
        </w:sectPr>
      </w:pPr>
    </w:p>
    <w:p>
      <w:pPr>
        <w:pStyle w:val="BodyText"/>
        <w:spacing w:before="12"/>
        <w:ind w:left="0"/>
        <w:rPr>
          <w:sz w:val="17"/>
        </w:rPr>
      </w:pPr>
    </w:p>
    <w:p>
      <w:pPr>
        <w:spacing w:before="58"/>
        <w:ind w:left="83" w:right="283" w:firstLine="0"/>
        <w:jc w:val="center"/>
        <w:rPr>
          <w:b/>
          <w:sz w:val="30"/>
        </w:rPr>
      </w:pPr>
      <w:bookmarkStart w:name="_bookmark8" w:id="9"/>
      <w:bookmarkEnd w:id="9"/>
      <w:r>
        <w:rPr/>
      </w:r>
      <w:r>
        <w:rPr>
          <w:b/>
          <w:sz w:val="30"/>
        </w:rPr>
        <w:t>九、基金管理人、基金托管人的更换条件和程序</w:t>
      </w:r>
    </w:p>
    <w:p>
      <w:pPr>
        <w:pStyle w:val="BodyText"/>
        <w:spacing w:before="0"/>
        <w:ind w:left="0"/>
        <w:rPr>
          <w:b/>
          <w:sz w:val="30"/>
        </w:rPr>
      </w:pPr>
    </w:p>
    <w:p>
      <w:pPr>
        <w:pStyle w:val="BodyText"/>
        <w:spacing w:before="8"/>
        <w:ind w:left="0"/>
        <w:rPr>
          <w:b/>
          <w:sz w:val="31"/>
        </w:rPr>
      </w:pPr>
    </w:p>
    <w:p>
      <w:pPr>
        <w:pStyle w:val="BodyText"/>
        <w:spacing w:before="0"/>
        <w:ind w:left="618"/>
      </w:pPr>
      <w:r>
        <w:rPr/>
        <w:t>一、基金管理人的更换</w:t>
      </w:r>
    </w:p>
    <w:p>
      <w:pPr>
        <w:pStyle w:val="BodyText"/>
        <w:spacing w:line="364" w:lineRule="auto" w:before="160"/>
        <w:ind w:right="338" w:firstLine="479"/>
      </w:pPr>
      <w:r>
        <w:rPr/>
        <w:t>（一）基金管理人的更换条件有下列情形之一的，经中国证监会批准，更换基金管理人：</w:t>
      </w:r>
    </w:p>
    <w:p>
      <w:pPr>
        <w:pStyle w:val="BodyText"/>
        <w:spacing w:before="2"/>
        <w:ind w:left="618"/>
      </w:pPr>
      <w:r>
        <w:rPr>
          <w:rFonts w:ascii="Times New Roman" w:eastAsia="Times New Roman"/>
        </w:rPr>
        <w:t>1</w:t>
      </w:r>
      <w:r>
        <w:rPr/>
        <w:t>、基金管理人解散、依法被撤销、破产或者由接管人接管其资产的；</w:t>
      </w:r>
    </w:p>
    <w:p>
      <w:pPr>
        <w:pStyle w:val="BodyText"/>
        <w:spacing w:before="161"/>
        <w:ind w:left="618"/>
      </w:pPr>
      <w:r>
        <w:rPr>
          <w:rFonts w:ascii="Times New Roman" w:eastAsia="Times New Roman"/>
        </w:rPr>
        <w:t>2</w:t>
      </w:r>
      <w:r>
        <w:rPr/>
        <w:t>、原基金管理人被依法取消基金管理资格；</w:t>
      </w:r>
    </w:p>
    <w:p>
      <w:pPr>
        <w:pStyle w:val="BodyText"/>
        <w:spacing w:before="160"/>
        <w:ind w:left="618"/>
      </w:pPr>
      <w:r>
        <w:rPr>
          <w:rFonts w:ascii="Times New Roman" w:eastAsia="Times New Roman"/>
        </w:rPr>
        <w:t>3</w:t>
      </w:r>
      <w:r>
        <w:rPr/>
        <w:t>、生效的基金份额持有人大会决议要求基金管理人退任；</w:t>
      </w:r>
    </w:p>
    <w:p>
      <w:pPr>
        <w:pStyle w:val="BodyText"/>
        <w:spacing w:before="161"/>
        <w:ind w:left="618"/>
      </w:pPr>
      <w:r>
        <w:rPr>
          <w:rFonts w:ascii="Times New Roman" w:eastAsia="Times New Roman"/>
        </w:rPr>
        <w:t>4</w:t>
      </w:r>
      <w:r>
        <w:rPr/>
        <w:t>、有关法律、法规和基金合同约定的其他情形。</w:t>
      </w:r>
    </w:p>
    <w:p>
      <w:pPr>
        <w:pStyle w:val="BodyText"/>
        <w:spacing w:before="160"/>
        <w:ind w:left="618"/>
      </w:pPr>
      <w:r>
        <w:rPr/>
        <w:t>（二）基金管理人的更换程序</w:t>
      </w:r>
    </w:p>
    <w:p>
      <w:pPr>
        <w:pStyle w:val="BodyText"/>
        <w:spacing w:line="364" w:lineRule="auto" w:before="161"/>
        <w:ind w:right="216" w:firstLine="479"/>
        <w:jc w:val="both"/>
      </w:pPr>
      <w:r>
        <w:rPr>
          <w:rFonts w:ascii="Times New Roman" w:eastAsia="Times New Roman"/>
        </w:rPr>
        <w:t>1</w:t>
      </w:r>
      <w:r>
        <w:rPr>
          <w:spacing w:val="-17"/>
        </w:rPr>
        <w:t>、提名：更换基金管理人时，由基金托管人或由代表 </w:t>
      </w:r>
      <w:r>
        <w:rPr>
          <w:rFonts w:ascii="Times New Roman" w:eastAsia="Times New Roman"/>
        </w:rPr>
        <w:t>50%</w:t>
      </w:r>
      <w:r>
        <w:rPr>
          <w:spacing w:val="-32"/>
        </w:rPr>
        <w:t>以上</w:t>
      </w:r>
      <w:r>
        <w:rPr/>
        <w:t>（</w:t>
      </w:r>
      <w:r>
        <w:rPr>
          <w:spacing w:val="-20"/>
        </w:rPr>
        <w:t>不含 </w:t>
      </w:r>
      <w:r>
        <w:rPr>
          <w:rFonts w:ascii="Times New Roman" w:eastAsia="Times New Roman"/>
          <w:spacing w:val="-5"/>
        </w:rPr>
        <w:t>50%</w:t>
      </w:r>
      <w:r>
        <w:rPr>
          <w:spacing w:val="-5"/>
        </w:rPr>
        <w:t>） </w:t>
      </w:r>
      <w:r>
        <w:rPr/>
        <w:t>权益的基金份额持有人提名新任基金管理人；</w:t>
      </w:r>
    </w:p>
    <w:p>
      <w:pPr>
        <w:pStyle w:val="BodyText"/>
        <w:spacing w:line="364" w:lineRule="auto"/>
        <w:ind w:right="331" w:firstLine="479"/>
        <w:jc w:val="both"/>
      </w:pPr>
      <w:r>
        <w:rPr>
          <w:rFonts w:ascii="Times New Roman" w:eastAsia="Times New Roman"/>
        </w:rPr>
        <w:t>2</w:t>
      </w:r>
      <w:r>
        <w:rPr>
          <w:spacing w:val="-11"/>
        </w:rPr>
        <w:t>、决议：基金管理人职责终止的，基金份额持有人大会应当在六个月内对</w:t>
      </w:r>
      <w:r>
        <w:rPr>
          <w:spacing w:val="-1"/>
        </w:rPr>
        <w:t>被提名的新任基金管理人形成决议，该决议需经基金份额持有人大会 </w:t>
      </w:r>
      <w:r>
        <w:rPr>
          <w:rFonts w:ascii="Times New Roman" w:eastAsia="Times New Roman"/>
        </w:rPr>
        <w:t>2/3 </w:t>
      </w:r>
      <w:r>
        <w:rPr>
          <w:spacing w:val="-8"/>
        </w:rPr>
        <w:t>以上</w:t>
      </w:r>
      <w:r>
        <w:rPr/>
        <w:t>表决权通过方为有效；</w:t>
      </w:r>
    </w:p>
    <w:p>
      <w:pPr>
        <w:pStyle w:val="BodyText"/>
        <w:spacing w:line="364" w:lineRule="auto" w:before="2"/>
        <w:ind w:right="335" w:firstLine="479"/>
        <w:jc w:val="both"/>
      </w:pPr>
      <w:r>
        <w:rPr>
          <w:rFonts w:ascii="Times New Roman" w:eastAsia="Times New Roman"/>
        </w:rPr>
        <w:t>3</w:t>
      </w:r>
      <w:r>
        <w:rPr>
          <w:spacing w:val="-12"/>
        </w:rPr>
        <w:t>、移交和审计：更换基金管理人的，基金管理人应当妥善保管基金管理业</w:t>
      </w:r>
      <w:r>
        <w:rPr>
          <w:spacing w:val="-1"/>
        </w:rPr>
        <w:t>务资料，及时办理基金管理业务的移交手续，新基金管理人或者临时基金管理人应当及时接收。新任基金管理人与原基金管理人进行资产管理的交接手续， 并与基金托管人核对资产总值。基金管理人职责终止的，应当按照规定聘请会计师事务所对基金财产进行审计，并将审计结果予以公告，同时报中国证监会</w:t>
      </w:r>
      <w:r>
        <w:rPr/>
        <w:t>备案；</w:t>
      </w:r>
    </w:p>
    <w:p>
      <w:pPr>
        <w:pStyle w:val="BodyText"/>
        <w:spacing w:line="364" w:lineRule="auto" w:before="4"/>
        <w:ind w:right="335" w:firstLine="479"/>
        <w:jc w:val="both"/>
      </w:pPr>
      <w:r>
        <w:rPr>
          <w:rFonts w:ascii="Times New Roman" w:eastAsia="Times New Roman"/>
        </w:rPr>
        <w:t>4</w:t>
      </w:r>
      <w:r>
        <w:rPr>
          <w:spacing w:val="-10"/>
        </w:rPr>
        <w:t>、核准：新任基金管理人经中国证监会核准后方可继任，原任基金管理人</w:t>
      </w:r>
      <w:r>
        <w:rPr>
          <w:spacing w:val="-1"/>
        </w:rPr>
        <w:t>经中国证监会核准后方可退任。新基金管理人产生之前，由中国证监会指定临</w:t>
      </w:r>
      <w:r>
        <w:rPr/>
        <w:t>时基金管理人；</w:t>
      </w:r>
    </w:p>
    <w:p>
      <w:pPr>
        <w:pStyle w:val="BodyText"/>
        <w:spacing w:line="364" w:lineRule="auto" w:before="2"/>
        <w:ind w:right="326" w:firstLine="479"/>
        <w:jc w:val="both"/>
      </w:pPr>
      <w:r>
        <w:rPr>
          <w:rFonts w:ascii="Times New Roman" w:eastAsia="Times New Roman"/>
        </w:rPr>
        <w:t>5</w:t>
      </w:r>
      <w:r>
        <w:rPr>
          <w:spacing w:val="-12"/>
        </w:rPr>
        <w:t>、公告：基金管理人更换后，将由基金托管人在中国证监会核准后 </w:t>
      </w:r>
      <w:r>
        <w:rPr>
          <w:rFonts w:ascii="Times New Roman" w:eastAsia="Times New Roman"/>
        </w:rPr>
        <w:t>5 </w:t>
      </w:r>
      <w:r>
        <w:rPr/>
        <w:t>个工作日内在指定媒介上公告。如果基金托管人和基金管理人同时更换，由新任的</w:t>
      </w:r>
      <w:r>
        <w:rPr>
          <w:spacing w:val="3"/>
        </w:rPr>
        <w:t>基金管理人和新任的基金托管人在获得核准后 </w:t>
      </w:r>
      <w:r>
        <w:rPr>
          <w:rFonts w:ascii="Times New Roman" w:eastAsia="Times New Roman"/>
        </w:rPr>
        <w:t>5 </w:t>
      </w:r>
      <w:r>
        <w:rPr>
          <w:spacing w:val="4"/>
        </w:rPr>
        <w:t>个工作日内在指定媒介上公</w:t>
      </w:r>
    </w:p>
    <w:p>
      <w:pPr>
        <w:spacing w:after="0" w:line="364" w:lineRule="auto"/>
        <w:jc w:val="both"/>
        <w:sectPr>
          <w:pgSz w:w="11910" w:h="16840"/>
          <w:pgMar w:header="880" w:footer="1964" w:top="1380" w:bottom="2160" w:left="1660" w:right="1580"/>
        </w:sectPr>
      </w:pPr>
    </w:p>
    <w:p>
      <w:pPr>
        <w:pStyle w:val="BodyText"/>
        <w:spacing w:before="130"/>
      </w:pPr>
      <w:r>
        <w:rPr/>
        <w:t>告；</w:t>
      </w:r>
    </w:p>
    <w:p>
      <w:pPr>
        <w:pStyle w:val="BodyText"/>
        <w:spacing w:line="364" w:lineRule="auto" w:before="160"/>
        <w:ind w:right="332" w:firstLine="479"/>
      </w:pPr>
      <w:r>
        <w:rPr>
          <w:rFonts w:ascii="Times New Roman" w:hAnsi="Times New Roman" w:eastAsia="Times New Roman"/>
        </w:rPr>
        <w:t>6</w:t>
      </w:r>
      <w:r>
        <w:rPr>
          <w:spacing w:val="-11"/>
        </w:rPr>
        <w:t>、基金名称变更：基金管理人更换后，如基金管理人要求，新任基金管理</w:t>
      </w:r>
      <w:r>
        <w:rPr/>
        <w:t>人应按照其要求替换或删除基金名称中“景顺长城”的字样。</w:t>
      </w:r>
    </w:p>
    <w:p>
      <w:pPr>
        <w:pStyle w:val="BodyText"/>
        <w:ind w:left="618"/>
      </w:pPr>
      <w:r>
        <w:rPr/>
        <w:t>二、基金托管人的更换</w:t>
      </w:r>
    </w:p>
    <w:p>
      <w:pPr>
        <w:pStyle w:val="BodyText"/>
        <w:spacing w:line="364" w:lineRule="auto" w:before="161"/>
        <w:ind w:right="338" w:firstLine="479"/>
      </w:pPr>
      <w:r>
        <w:rPr/>
        <w:t>（一）基金托管人的更换条件有下列情形之一的，经中国证监会及中国银监会批准，基金托管人必须更换：</w:t>
      </w:r>
    </w:p>
    <w:p>
      <w:pPr>
        <w:pStyle w:val="BodyText"/>
        <w:ind w:left="618"/>
      </w:pPr>
      <w:r>
        <w:rPr>
          <w:rFonts w:ascii="Times New Roman" w:eastAsia="Times New Roman"/>
        </w:rPr>
        <w:t>1</w:t>
      </w:r>
      <w:r>
        <w:rPr/>
        <w:t>、基金托管人解散、依法被撤销、破产或者由接管人接管其资产；</w:t>
      </w:r>
    </w:p>
    <w:p>
      <w:pPr>
        <w:pStyle w:val="BodyText"/>
        <w:spacing w:before="161"/>
        <w:ind w:left="618"/>
      </w:pPr>
      <w:r>
        <w:rPr>
          <w:rFonts w:ascii="Times New Roman" w:eastAsia="Times New Roman"/>
        </w:rPr>
        <w:t>2</w:t>
      </w:r>
      <w:r>
        <w:rPr/>
        <w:t>、基金托管人被依法取消基金托管资格；</w:t>
      </w:r>
    </w:p>
    <w:p>
      <w:pPr>
        <w:pStyle w:val="BodyText"/>
        <w:spacing w:before="161"/>
        <w:ind w:left="618"/>
      </w:pPr>
      <w:r>
        <w:rPr>
          <w:rFonts w:ascii="Times New Roman" w:eastAsia="Times New Roman"/>
        </w:rPr>
        <w:t>3</w:t>
      </w:r>
      <w:r>
        <w:rPr/>
        <w:t>、生效的基金份额持有人大会决议要求基金托管人更换的；</w:t>
      </w:r>
    </w:p>
    <w:p>
      <w:pPr>
        <w:pStyle w:val="BodyText"/>
        <w:spacing w:before="160"/>
        <w:ind w:left="618"/>
      </w:pPr>
      <w:r>
        <w:rPr>
          <w:rFonts w:ascii="Times New Roman" w:eastAsia="Times New Roman"/>
        </w:rPr>
        <w:t>4</w:t>
      </w:r>
      <w:r>
        <w:rPr/>
        <w:t>、有关法律、法规和基金合同约定的其他情形。</w:t>
      </w:r>
    </w:p>
    <w:p>
      <w:pPr>
        <w:pStyle w:val="BodyText"/>
        <w:spacing w:before="161"/>
        <w:ind w:left="618"/>
      </w:pPr>
      <w:r>
        <w:rPr/>
        <w:t>（二）基金托管人更换的程序</w:t>
      </w:r>
    </w:p>
    <w:p>
      <w:pPr>
        <w:pStyle w:val="BodyText"/>
        <w:spacing w:line="364" w:lineRule="auto" w:before="160"/>
        <w:ind w:right="216" w:firstLine="479"/>
        <w:jc w:val="both"/>
      </w:pPr>
      <w:r>
        <w:rPr>
          <w:rFonts w:ascii="Times New Roman" w:eastAsia="Times New Roman"/>
        </w:rPr>
        <w:t>1</w:t>
      </w:r>
      <w:r>
        <w:rPr>
          <w:spacing w:val="-17"/>
        </w:rPr>
        <w:t>、提名：更换基金托管人时，由基金管理人或由代表 </w:t>
      </w:r>
      <w:r>
        <w:rPr>
          <w:rFonts w:ascii="Times New Roman" w:eastAsia="Times New Roman"/>
        </w:rPr>
        <w:t>50%</w:t>
      </w:r>
      <w:r>
        <w:rPr>
          <w:spacing w:val="-32"/>
        </w:rPr>
        <w:t>以上</w:t>
      </w:r>
      <w:r>
        <w:rPr/>
        <w:t>（</w:t>
      </w:r>
      <w:r>
        <w:rPr>
          <w:spacing w:val="-20"/>
        </w:rPr>
        <w:t>不含 </w:t>
      </w:r>
      <w:r>
        <w:rPr>
          <w:rFonts w:ascii="Times New Roman" w:eastAsia="Times New Roman"/>
          <w:spacing w:val="-5"/>
        </w:rPr>
        <w:t>50%</w:t>
      </w:r>
      <w:r>
        <w:rPr>
          <w:spacing w:val="-5"/>
        </w:rPr>
        <w:t>） </w:t>
      </w:r>
      <w:r>
        <w:rPr/>
        <w:t>权益的基金份额持有人提名新任基金托管人；</w:t>
      </w:r>
    </w:p>
    <w:p>
      <w:pPr>
        <w:pStyle w:val="BodyText"/>
        <w:spacing w:line="364" w:lineRule="auto"/>
        <w:ind w:right="334" w:firstLine="479"/>
        <w:jc w:val="both"/>
      </w:pPr>
      <w:r>
        <w:rPr>
          <w:rFonts w:ascii="Times New Roman" w:eastAsia="Times New Roman"/>
        </w:rPr>
        <w:t>2</w:t>
      </w:r>
      <w:r>
        <w:rPr>
          <w:spacing w:val="-11"/>
        </w:rPr>
        <w:t>、决议：基金托管人职责终止的，基金份额持有人大会应对被提名的新任</w:t>
      </w:r>
      <w:r>
        <w:rPr>
          <w:spacing w:val="-1"/>
        </w:rPr>
        <w:t>基金托管人形成决议，该决议需经基金份额持有人大会 </w:t>
      </w:r>
      <w:r>
        <w:rPr>
          <w:rFonts w:ascii="Times New Roman" w:eastAsia="Times New Roman"/>
        </w:rPr>
        <w:t>2/3 </w:t>
      </w:r>
      <w:r>
        <w:rPr>
          <w:spacing w:val="-3"/>
        </w:rPr>
        <w:t>以上表决权通过方</w:t>
      </w:r>
      <w:r>
        <w:rPr/>
        <w:t>为有效；</w:t>
      </w:r>
    </w:p>
    <w:p>
      <w:pPr>
        <w:pStyle w:val="BodyText"/>
        <w:spacing w:line="364" w:lineRule="auto" w:before="3"/>
        <w:ind w:right="212" w:firstLine="479"/>
      </w:pPr>
      <w:r>
        <w:rPr>
          <w:rFonts w:ascii="Times New Roman" w:eastAsia="Times New Roman"/>
        </w:rPr>
        <w:t>3</w:t>
      </w:r>
      <w:r>
        <w:rPr>
          <w:spacing w:val="-11"/>
        </w:rPr>
        <w:t>、移交和审计：更换基金托管人的，基金托管人应当妥善保管基金财产和基金托管业务资料，及时办理基金财产和基金托管业务的移交手续，新基金托</w:t>
      </w:r>
      <w:r>
        <w:rPr>
          <w:spacing w:val="-10"/>
        </w:rPr>
        <w:t>管人或者临时基金托管人应当及时接收。新任基金托管人与原基金托管人进行</w:t>
      </w:r>
      <w:r>
        <w:rPr>
          <w:spacing w:val="-15"/>
        </w:rPr>
        <w:t>资产管理的交接手续，并与基金管理人核对资产总值。基金托管人职责终止的， </w:t>
      </w:r>
      <w:r>
        <w:rPr>
          <w:spacing w:val="-5"/>
        </w:rPr>
        <w:t>应当按照规定聘请会计师事务所对基金财产进行审计，并将审计结果予以公告， </w:t>
      </w:r>
      <w:r>
        <w:rPr/>
        <w:t>同时报中国证监会备案；</w:t>
      </w:r>
    </w:p>
    <w:p>
      <w:pPr>
        <w:pStyle w:val="BodyText"/>
        <w:spacing w:line="364" w:lineRule="auto" w:before="4"/>
        <w:ind w:right="246" w:firstLine="479"/>
      </w:pPr>
      <w:r>
        <w:rPr>
          <w:rFonts w:ascii="Times New Roman" w:eastAsia="Times New Roman"/>
        </w:rPr>
        <w:t>4</w:t>
      </w:r>
      <w:r>
        <w:rPr/>
        <w:t>、核准：新任基金托管人应经中国银监会和中国证监会核准后方可继任。原任基金托管人应经中国证监会和中国银监会核准后方可退任。新基金托管人产生之前，由中国证监会指定临时基金托管人；</w:t>
      </w:r>
    </w:p>
    <w:p>
      <w:pPr>
        <w:pStyle w:val="BodyText"/>
        <w:spacing w:line="364" w:lineRule="auto" w:before="2"/>
        <w:ind w:right="214" w:firstLine="479"/>
      </w:pPr>
      <w:r>
        <w:rPr>
          <w:rFonts w:ascii="Times New Roman" w:eastAsia="Times New Roman"/>
        </w:rPr>
        <w:t>5</w:t>
      </w:r>
      <w:r>
        <w:rPr>
          <w:spacing w:val="-10"/>
        </w:rPr>
        <w:t>、公告：基金托管人更换后，由基金管理人在中国证监会和中国银监会核</w:t>
      </w:r>
      <w:r>
        <w:rPr>
          <w:spacing w:val="-27"/>
        </w:rPr>
        <w:t>准后 </w:t>
      </w:r>
      <w:r>
        <w:rPr>
          <w:rFonts w:ascii="Times New Roman" w:eastAsia="Times New Roman"/>
        </w:rPr>
        <w:t>5 </w:t>
      </w:r>
      <w:r>
        <w:rPr>
          <w:spacing w:val="-8"/>
        </w:rPr>
        <w:t>个工作日内在指定媒介上公告。如果基金托管人和基金管理人同时更换，</w:t>
      </w:r>
    </w:p>
    <w:p>
      <w:pPr>
        <w:pStyle w:val="BodyText"/>
      </w:pPr>
      <w:r>
        <w:rPr>
          <w:spacing w:val="-2"/>
        </w:rPr>
        <w:t>由新任的基金管理人和新任的基金托管人在核准后的 </w:t>
      </w:r>
      <w:r>
        <w:rPr>
          <w:rFonts w:ascii="Times New Roman" w:eastAsia="Times New Roman"/>
        </w:rPr>
        <w:t>5</w:t>
      </w:r>
      <w:r>
        <w:rPr>
          <w:rFonts w:ascii="Times New Roman" w:eastAsia="Times New Roman"/>
          <w:spacing w:val="14"/>
        </w:rPr>
        <w:t> </w:t>
      </w:r>
      <w:r>
        <w:rPr/>
        <w:t>个工作日内在指定媒介</w:t>
      </w:r>
    </w:p>
    <w:p>
      <w:pPr>
        <w:spacing w:after="0"/>
        <w:sectPr>
          <w:pgSz w:w="11910" w:h="16840"/>
          <w:pgMar w:header="880" w:footer="1964" w:top="1380" w:bottom="2160" w:left="1660" w:right="1580"/>
        </w:sectPr>
      </w:pPr>
    </w:p>
    <w:p>
      <w:pPr>
        <w:pStyle w:val="BodyText"/>
        <w:spacing w:before="130"/>
      </w:pPr>
      <w:r>
        <w:rPr/>
        <w:t>上联合刊登公告。</w:t>
      </w:r>
    </w:p>
    <w:p>
      <w:pPr>
        <w:spacing w:after="0"/>
        <w:sectPr>
          <w:pgSz w:w="11910" w:h="16840"/>
          <w:pgMar w:header="880" w:footer="1964" w:top="1380" w:bottom="2160" w:left="1660" w:right="1580"/>
        </w:sectPr>
      </w:pPr>
    </w:p>
    <w:p>
      <w:pPr>
        <w:pStyle w:val="BodyText"/>
        <w:spacing w:before="8"/>
        <w:ind w:left="0"/>
        <w:rPr>
          <w:sz w:val="8"/>
        </w:rPr>
      </w:pPr>
    </w:p>
    <w:p>
      <w:pPr>
        <w:spacing w:before="58"/>
        <w:ind w:left="84" w:right="283" w:firstLine="0"/>
        <w:jc w:val="center"/>
        <w:rPr>
          <w:b/>
          <w:sz w:val="30"/>
        </w:rPr>
      </w:pPr>
      <w:bookmarkStart w:name="_bookmark9" w:id="10"/>
      <w:bookmarkEnd w:id="10"/>
      <w:r>
        <w:rPr/>
      </w:r>
      <w:r>
        <w:rPr>
          <w:b/>
          <w:sz w:val="30"/>
        </w:rPr>
        <w:t>十、基金的托管</w:t>
      </w:r>
    </w:p>
    <w:p>
      <w:pPr>
        <w:pStyle w:val="BodyText"/>
        <w:spacing w:before="0"/>
        <w:ind w:left="0"/>
        <w:rPr>
          <w:b/>
          <w:sz w:val="30"/>
        </w:rPr>
      </w:pPr>
    </w:p>
    <w:p>
      <w:pPr>
        <w:pStyle w:val="BodyText"/>
        <w:spacing w:before="2"/>
        <w:ind w:left="0"/>
        <w:rPr>
          <w:b/>
          <w:sz w:val="22"/>
        </w:rPr>
      </w:pPr>
    </w:p>
    <w:p>
      <w:pPr>
        <w:pStyle w:val="BodyText"/>
        <w:spacing w:line="364" w:lineRule="auto"/>
        <w:ind w:right="338" w:firstLine="479"/>
      </w:pPr>
      <w:r>
        <w:rPr>
          <w:spacing w:val="-14"/>
        </w:rPr>
        <w:t>基金托管人和基金管理人按照《基金法》、《基金合同》及其他有关规定订</w:t>
      </w:r>
      <w:r>
        <w:rPr/>
        <w:t>立托管协议。</w:t>
      </w:r>
    </w:p>
    <w:p>
      <w:pPr>
        <w:pStyle w:val="BodyText"/>
        <w:spacing w:line="364" w:lineRule="auto"/>
        <w:ind w:right="338" w:firstLine="479"/>
        <w:jc w:val="both"/>
      </w:pPr>
      <w:r>
        <w:rPr/>
        <w:t>订立托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p>
    <w:p>
      <w:pPr>
        <w:spacing w:after="0" w:line="364" w:lineRule="auto"/>
        <w:jc w:val="both"/>
        <w:sectPr>
          <w:pgSz w:w="11910" w:h="16840"/>
          <w:pgMar w:header="880" w:footer="1964" w:top="1380" w:bottom="2160" w:left="1660" w:right="1580"/>
        </w:sectPr>
      </w:pPr>
    </w:p>
    <w:p>
      <w:pPr>
        <w:pStyle w:val="BodyText"/>
        <w:spacing w:before="8"/>
        <w:ind w:left="0"/>
        <w:rPr>
          <w:sz w:val="8"/>
        </w:rPr>
      </w:pPr>
    </w:p>
    <w:p>
      <w:pPr>
        <w:spacing w:before="58"/>
        <w:ind w:left="86" w:right="283" w:firstLine="0"/>
        <w:jc w:val="center"/>
        <w:rPr>
          <w:b/>
          <w:sz w:val="30"/>
        </w:rPr>
      </w:pPr>
      <w:bookmarkStart w:name="_bookmark10" w:id="11"/>
      <w:bookmarkEnd w:id="11"/>
      <w:r>
        <w:rPr/>
      </w:r>
      <w:r>
        <w:rPr>
          <w:b/>
          <w:sz w:val="30"/>
        </w:rPr>
        <w:t>十一、基金的销售及服务代理</w:t>
      </w:r>
    </w:p>
    <w:p>
      <w:pPr>
        <w:pStyle w:val="BodyText"/>
        <w:spacing w:before="0"/>
        <w:ind w:left="0"/>
        <w:rPr>
          <w:b/>
          <w:sz w:val="30"/>
        </w:rPr>
      </w:pPr>
    </w:p>
    <w:p>
      <w:pPr>
        <w:pStyle w:val="BodyText"/>
        <w:spacing w:before="2"/>
        <w:ind w:left="0"/>
        <w:rPr>
          <w:b/>
          <w:sz w:val="22"/>
        </w:rPr>
      </w:pPr>
    </w:p>
    <w:p>
      <w:pPr>
        <w:pStyle w:val="BodyText"/>
        <w:spacing w:line="364" w:lineRule="auto"/>
        <w:ind w:right="213" w:firstLine="479"/>
      </w:pPr>
      <w:r>
        <w:rPr>
          <w:spacing w:val="-10"/>
        </w:rPr>
        <w:t>一、本基金的销售业务指接受投资者申请为其办理的本基金的认购、申购、</w:t>
      </w:r>
      <w:r>
        <w:rPr/>
        <w:t>赎回、转换、非交易过户、转托管等业务。</w:t>
      </w:r>
    </w:p>
    <w:p>
      <w:pPr>
        <w:pStyle w:val="BodyText"/>
        <w:spacing w:line="364" w:lineRule="auto"/>
        <w:ind w:right="340" w:firstLine="479"/>
        <w:jc w:val="both"/>
      </w:pPr>
      <w:r>
        <w:rPr/>
        <w:t>二、本基金的销售业务由基金管理人及基金管理人委托的其他符合条件的销售机构办理。基金管理人与其他代为办理基金份额销售业务的机构，应当签订委托代理协议。订立代理协议的目的是为了明确基金代销机构和基金管理人之间在基金份额认购、申购和赎回等事宜中的权利、义务和职责，确保基金财产的安全，保护基金份额持有人的合法权益。</w:t>
      </w:r>
    </w:p>
    <w:p>
      <w:pPr>
        <w:pStyle w:val="BodyText"/>
        <w:spacing w:line="364" w:lineRule="auto" w:before="3"/>
        <w:ind w:right="340" w:firstLine="479"/>
      </w:pPr>
      <w:r>
        <w:rPr/>
        <w:t>三、代销机构应严格按照法律法规和本基金合同规定的要求办理本基金的销售业务。</w:t>
      </w:r>
    </w:p>
    <w:p>
      <w:pPr>
        <w:spacing w:after="0" w:line="364" w:lineRule="auto"/>
        <w:sectPr>
          <w:pgSz w:w="11910" w:h="16840"/>
          <w:pgMar w:header="880" w:footer="1964" w:top="1380" w:bottom="2160" w:left="1660" w:right="1580"/>
        </w:sectPr>
      </w:pPr>
    </w:p>
    <w:p>
      <w:pPr>
        <w:pStyle w:val="BodyText"/>
        <w:spacing w:before="8"/>
        <w:ind w:left="0"/>
        <w:rPr>
          <w:sz w:val="8"/>
        </w:rPr>
      </w:pPr>
    </w:p>
    <w:p>
      <w:pPr>
        <w:spacing w:before="58"/>
        <w:ind w:left="83" w:right="283" w:firstLine="0"/>
        <w:jc w:val="center"/>
        <w:rPr>
          <w:b/>
          <w:sz w:val="30"/>
        </w:rPr>
      </w:pPr>
      <w:bookmarkStart w:name="_bookmark11" w:id="12"/>
      <w:bookmarkEnd w:id="12"/>
      <w:r>
        <w:rPr/>
      </w:r>
      <w:r>
        <w:rPr>
          <w:b/>
          <w:sz w:val="30"/>
        </w:rPr>
        <w:t>十二、基金份额的注册登记</w:t>
      </w:r>
    </w:p>
    <w:p>
      <w:pPr>
        <w:pStyle w:val="BodyText"/>
        <w:spacing w:before="0"/>
        <w:ind w:left="0"/>
        <w:rPr>
          <w:b/>
          <w:sz w:val="30"/>
        </w:rPr>
      </w:pPr>
    </w:p>
    <w:p>
      <w:pPr>
        <w:pStyle w:val="BodyText"/>
        <w:spacing w:before="2"/>
        <w:ind w:left="0"/>
        <w:rPr>
          <w:b/>
          <w:sz w:val="22"/>
        </w:rPr>
      </w:pPr>
    </w:p>
    <w:p>
      <w:pPr>
        <w:pStyle w:val="BodyText"/>
        <w:ind w:left="618"/>
      </w:pPr>
      <w:r>
        <w:rPr/>
        <w:t>一、基金注册登记业务</w:t>
      </w:r>
    </w:p>
    <w:p>
      <w:pPr>
        <w:pStyle w:val="BodyText"/>
        <w:spacing w:line="364" w:lineRule="auto" w:before="160"/>
        <w:ind w:right="337" w:firstLine="479"/>
        <w:jc w:val="both"/>
      </w:pPr>
      <w:r>
        <w:rPr/>
        <w:t>本基金份额的注册登记业务指本基金登记、存管、清算和交收业务，具体内容包括投资者基金账户管理、基金份额注册登记、清算及基金交易确认、发放红利、建立并保管基金份额持有人名册等。</w:t>
      </w:r>
    </w:p>
    <w:p>
      <w:pPr>
        <w:pStyle w:val="BodyText"/>
        <w:spacing w:before="2"/>
        <w:ind w:left="618"/>
      </w:pPr>
      <w:r>
        <w:rPr/>
        <w:t>二、基金份额注册登记业务办理机构</w:t>
      </w:r>
    </w:p>
    <w:p>
      <w:pPr>
        <w:pStyle w:val="BodyText"/>
        <w:spacing w:line="364" w:lineRule="auto" w:before="161"/>
        <w:ind w:right="340" w:firstLine="479"/>
        <w:jc w:val="both"/>
      </w:pPr>
      <w:r>
        <w:rPr/>
        <w:t>本基金份额的注册登记业务由基金管理人或基金管理人委托的其他符合条件的机构办理。基金管理人委托其他机构办理本基金份额注册登记业务的，应与代理人签订委托代理协议，以明确基金管理人和代理机构在投资人基金账户管理、基金份额注册登记、清算及基金交易确认、发放红利、建立并保管基金份额持有人名册等事宜中的权利和义务，保护基金份额持有人的合法权益。</w:t>
      </w:r>
    </w:p>
    <w:p>
      <w:pPr>
        <w:pStyle w:val="BodyText"/>
        <w:spacing w:before="3"/>
        <w:ind w:left="618"/>
      </w:pPr>
      <w:r>
        <w:rPr/>
        <w:t>三、基金份额注册登记机构的权利</w:t>
      </w:r>
    </w:p>
    <w:p>
      <w:pPr>
        <w:pStyle w:val="BodyText"/>
        <w:spacing w:before="160"/>
        <w:ind w:left="618"/>
      </w:pPr>
      <w:r>
        <w:rPr/>
        <w:t>基金份额注册登记机构享有以下权利：</w:t>
      </w:r>
    </w:p>
    <w:p>
      <w:pPr>
        <w:pStyle w:val="BodyText"/>
        <w:spacing w:before="161"/>
        <w:ind w:left="618"/>
      </w:pPr>
      <w:r>
        <w:rPr>
          <w:rFonts w:ascii="Times New Roman" w:eastAsia="Times New Roman"/>
        </w:rPr>
        <w:t>1</w:t>
      </w:r>
      <w:r>
        <w:rPr/>
        <w:t>、取得注册登记费；</w:t>
      </w:r>
    </w:p>
    <w:p>
      <w:pPr>
        <w:pStyle w:val="BodyText"/>
        <w:spacing w:before="161"/>
        <w:ind w:left="618"/>
      </w:pPr>
      <w:r>
        <w:rPr>
          <w:rFonts w:ascii="Times New Roman" w:eastAsia="Times New Roman"/>
        </w:rPr>
        <w:t>2</w:t>
      </w:r>
      <w:r>
        <w:rPr/>
        <w:t>、保管基金份额持有人开户资料、交易资料、基金份额持有人名册等；</w:t>
      </w:r>
    </w:p>
    <w:p>
      <w:pPr>
        <w:pStyle w:val="BodyText"/>
        <w:spacing w:before="160"/>
        <w:ind w:left="618"/>
      </w:pPr>
      <w:r>
        <w:rPr>
          <w:rFonts w:ascii="Times New Roman" w:eastAsia="Times New Roman"/>
        </w:rPr>
        <w:t>3</w:t>
      </w:r>
      <w:r>
        <w:rPr/>
        <w:t>、法律法规规定的其他权利。</w:t>
      </w:r>
    </w:p>
    <w:p>
      <w:pPr>
        <w:pStyle w:val="BodyText"/>
        <w:spacing w:before="161"/>
        <w:ind w:left="618"/>
      </w:pPr>
      <w:r>
        <w:rPr/>
        <w:t>四、基金份额注册登记机构的义务</w:t>
      </w:r>
    </w:p>
    <w:p>
      <w:pPr>
        <w:pStyle w:val="BodyText"/>
        <w:spacing w:before="160"/>
        <w:ind w:left="618"/>
      </w:pPr>
      <w:r>
        <w:rPr/>
        <w:t>基金份额注册登记机构承担以下义务：</w:t>
      </w:r>
    </w:p>
    <w:p>
      <w:pPr>
        <w:pStyle w:val="BodyText"/>
        <w:spacing w:before="161"/>
        <w:ind w:left="618"/>
      </w:pPr>
      <w:r>
        <w:rPr>
          <w:rFonts w:ascii="Times New Roman" w:eastAsia="Times New Roman"/>
        </w:rPr>
        <w:t>1</w:t>
      </w:r>
      <w:r>
        <w:rPr/>
        <w:t>、配备足够的专业人员办理本基金份额的注册登记业务；</w:t>
      </w:r>
    </w:p>
    <w:p>
      <w:pPr>
        <w:pStyle w:val="BodyText"/>
        <w:spacing w:line="364" w:lineRule="auto" w:before="160"/>
        <w:ind w:right="335" w:firstLine="479"/>
      </w:pPr>
      <w:r>
        <w:rPr>
          <w:rFonts w:ascii="Times New Roman" w:eastAsia="Times New Roman"/>
        </w:rPr>
        <w:t>2</w:t>
      </w:r>
      <w:r>
        <w:rPr>
          <w:spacing w:val="-12"/>
        </w:rPr>
        <w:t>、严格按照法律法规和《基金合同》规定的条件办理本基金份额的注册登</w:t>
      </w:r>
      <w:r>
        <w:rPr/>
        <w:t>记业务；</w:t>
      </w:r>
    </w:p>
    <w:p>
      <w:pPr>
        <w:pStyle w:val="BodyText"/>
        <w:spacing w:before="2"/>
        <w:ind w:left="618"/>
      </w:pPr>
      <w:r>
        <w:rPr>
          <w:rFonts w:ascii="Times New Roman" w:eastAsia="Times New Roman"/>
        </w:rPr>
        <w:t>3</w:t>
      </w:r>
      <w:r>
        <w:rPr/>
        <w:t>、保持基金份额持有人名册及相关的申购与赎回等业务记录 </w:t>
      </w:r>
      <w:r>
        <w:rPr>
          <w:rFonts w:ascii="Times New Roman" w:eastAsia="Times New Roman"/>
        </w:rPr>
        <w:t>15 </w:t>
      </w:r>
      <w:r>
        <w:rPr/>
        <w:t>年以上；</w:t>
      </w:r>
    </w:p>
    <w:p>
      <w:pPr>
        <w:pStyle w:val="BodyText"/>
        <w:spacing w:line="364" w:lineRule="auto" w:before="161"/>
        <w:ind w:right="333" w:firstLine="479"/>
        <w:jc w:val="both"/>
      </w:pPr>
      <w:r>
        <w:rPr>
          <w:rFonts w:ascii="Times New Roman" w:eastAsia="Times New Roman"/>
        </w:rPr>
        <w:t>4</w:t>
      </w:r>
      <w:r>
        <w:rPr>
          <w:spacing w:val="-10"/>
        </w:rPr>
        <w:t>、对基金份额持有人的基金账户信息负有保密义务，因违反该保密义务对</w:t>
      </w:r>
      <w:r>
        <w:rPr/>
        <w:t>投资者或基金带来的损失，须承担相应的赔偿责任，但司法强制检查情形及法律法规规定的其他情形除外；</w:t>
      </w:r>
    </w:p>
    <w:p>
      <w:pPr>
        <w:pStyle w:val="BodyText"/>
        <w:ind w:left="618"/>
      </w:pPr>
      <w:r>
        <w:rPr>
          <w:rFonts w:ascii="Times New Roman" w:eastAsia="Times New Roman"/>
        </w:rPr>
        <w:t>5</w:t>
      </w:r>
      <w:r>
        <w:rPr/>
        <w:t>、按本《基金合同》及招募说明书规定为投资人办理非交易过户业务、提</w:t>
      </w:r>
    </w:p>
    <w:p>
      <w:pPr>
        <w:spacing w:after="0"/>
        <w:sectPr>
          <w:pgSz w:w="11910" w:h="16840"/>
          <w:pgMar w:header="880" w:footer="1964" w:top="1380" w:bottom="2160" w:left="1660" w:right="1580"/>
        </w:sectPr>
      </w:pPr>
    </w:p>
    <w:p>
      <w:pPr>
        <w:pStyle w:val="BodyText"/>
        <w:spacing w:before="130"/>
      </w:pPr>
      <w:r>
        <w:rPr/>
        <w:t>供其他必要的服务；</w:t>
      </w:r>
    </w:p>
    <w:p>
      <w:pPr>
        <w:pStyle w:val="BodyText"/>
        <w:spacing w:before="160"/>
        <w:ind w:left="618"/>
      </w:pPr>
      <w:r>
        <w:rPr>
          <w:rFonts w:ascii="Times New Roman" w:eastAsia="Times New Roman"/>
        </w:rPr>
        <w:t>6</w:t>
      </w:r>
      <w:r>
        <w:rPr/>
        <w:t>、法律法规规定的其他义务。</w:t>
      </w:r>
    </w:p>
    <w:p>
      <w:pPr>
        <w:spacing w:after="0"/>
        <w:sectPr>
          <w:pgSz w:w="11910" w:h="16840"/>
          <w:pgMar w:header="880" w:footer="1964" w:top="1380" w:bottom="2160" w:left="1660" w:right="1580"/>
        </w:sectPr>
      </w:pPr>
    </w:p>
    <w:p>
      <w:pPr>
        <w:pStyle w:val="BodyText"/>
        <w:spacing w:before="8"/>
        <w:ind w:left="0"/>
        <w:rPr>
          <w:sz w:val="8"/>
        </w:rPr>
      </w:pPr>
    </w:p>
    <w:p>
      <w:pPr>
        <w:spacing w:before="58"/>
        <w:ind w:left="84" w:right="283" w:firstLine="0"/>
        <w:jc w:val="center"/>
        <w:rPr>
          <w:b/>
          <w:sz w:val="30"/>
        </w:rPr>
      </w:pPr>
      <w:bookmarkStart w:name="_bookmark12" w:id="13"/>
      <w:bookmarkEnd w:id="13"/>
      <w:r>
        <w:rPr/>
      </w:r>
      <w:r>
        <w:rPr>
          <w:b/>
          <w:sz w:val="30"/>
        </w:rPr>
        <w:t>十三、基金的投资</w:t>
      </w:r>
    </w:p>
    <w:p>
      <w:pPr>
        <w:pStyle w:val="BodyText"/>
        <w:spacing w:before="0"/>
        <w:ind w:left="0"/>
        <w:rPr>
          <w:b/>
          <w:sz w:val="30"/>
        </w:rPr>
      </w:pPr>
    </w:p>
    <w:p>
      <w:pPr>
        <w:pStyle w:val="BodyText"/>
        <w:spacing w:before="2"/>
        <w:ind w:left="0"/>
        <w:rPr>
          <w:b/>
          <w:sz w:val="22"/>
        </w:rPr>
      </w:pPr>
    </w:p>
    <w:p>
      <w:pPr>
        <w:pStyle w:val="BodyText"/>
        <w:ind w:left="618"/>
      </w:pPr>
      <w:r>
        <w:rPr/>
        <w:t>一、投资理念</w:t>
      </w:r>
    </w:p>
    <w:p>
      <w:pPr>
        <w:pStyle w:val="BodyText"/>
        <w:spacing w:line="364" w:lineRule="auto" w:before="160"/>
        <w:ind w:right="340" w:firstLine="479"/>
      </w:pPr>
      <w:r>
        <w:rPr/>
        <w:t>宁取细水长流，不要惊涛裂岸。本基金的所有投资都是基于基本面分析和价值投资，深度挖掘个股的投资机会，实现基金资产的最佳风险收益比。</w:t>
      </w:r>
    </w:p>
    <w:p>
      <w:pPr>
        <w:pStyle w:val="BodyText"/>
        <w:ind w:left="618"/>
      </w:pPr>
      <w:r>
        <w:rPr/>
        <w:t>二、投资目标</w:t>
      </w:r>
    </w:p>
    <w:p>
      <w:pPr>
        <w:pStyle w:val="BodyText"/>
        <w:spacing w:line="364" w:lineRule="auto" w:before="161"/>
        <w:ind w:right="340" w:firstLine="479"/>
      </w:pPr>
      <w:r>
        <w:rPr/>
        <w:t>本基金通过优先投资于内需拉动型行业中的优势企业，分享中国经济和行业的快速增长带来的最大收益，实现基金资产的长期、可持续的稳定增值。</w:t>
      </w:r>
    </w:p>
    <w:p>
      <w:pPr>
        <w:pStyle w:val="BodyText"/>
        <w:spacing w:before="2"/>
        <w:ind w:left="618"/>
      </w:pPr>
      <w:r>
        <w:rPr/>
        <w:t>三、投资范围</w:t>
      </w:r>
    </w:p>
    <w:p>
      <w:pPr>
        <w:pStyle w:val="BodyText"/>
        <w:spacing w:line="364" w:lineRule="auto" w:before="160"/>
        <w:ind w:right="338" w:firstLine="479"/>
        <w:jc w:val="both"/>
      </w:pPr>
      <w:r>
        <w:rPr/>
        <w:t>本基金投资于具有良好流动性的金融工具，包括国内依法发行和上市交易的公司股票（包含存托凭证）和债券以及经中国证监会批准的允许基金投资的其他金融工具。</w:t>
      </w:r>
    </w:p>
    <w:p>
      <w:pPr>
        <w:pStyle w:val="BodyText"/>
        <w:spacing w:line="364" w:lineRule="auto" w:before="2"/>
        <w:ind w:right="326" w:firstLine="479"/>
        <w:jc w:val="both"/>
      </w:pPr>
      <w:r>
        <w:rPr>
          <w:spacing w:val="-3"/>
        </w:rPr>
        <w:t>在资产配置方面，投资于股票的最大比例和最小比例分别是 </w:t>
      </w:r>
      <w:r>
        <w:rPr>
          <w:rFonts w:ascii="Times New Roman" w:eastAsia="Times New Roman"/>
        </w:rPr>
        <w:t>95%</w:t>
      </w:r>
      <w:r>
        <w:rPr>
          <w:spacing w:val="-30"/>
        </w:rPr>
        <w:t>和 </w:t>
      </w:r>
      <w:r>
        <w:rPr>
          <w:rFonts w:ascii="Times New Roman" w:eastAsia="Times New Roman"/>
          <w:spacing w:val="-5"/>
        </w:rPr>
        <w:t>70%</w:t>
      </w:r>
      <w:r>
        <w:rPr>
          <w:spacing w:val="-5"/>
        </w:rPr>
        <w:t>， </w:t>
      </w:r>
      <w:r>
        <w:rPr>
          <w:spacing w:val="-6"/>
        </w:rPr>
        <w:t>投资于债券的最大比例是 </w:t>
      </w:r>
      <w:r>
        <w:rPr>
          <w:rFonts w:ascii="Times New Roman" w:eastAsia="Times New Roman"/>
        </w:rPr>
        <w:t>30%</w:t>
      </w:r>
      <w:r>
        <w:rPr/>
        <w:t>。</w:t>
      </w:r>
    </w:p>
    <w:p>
      <w:pPr>
        <w:pStyle w:val="BodyText"/>
        <w:spacing w:line="364" w:lineRule="auto"/>
        <w:ind w:right="340" w:firstLine="479"/>
        <w:jc w:val="both"/>
      </w:pPr>
      <w:r>
        <w:rPr/>
        <w:t>本基金优先投资于和经济增长最为密切的内需拉动型行业中的优势企业， 对这些行业的投资占股票投资的比重不低于 </w:t>
      </w:r>
      <w:r>
        <w:rPr>
          <w:rFonts w:ascii="Times New Roman" w:eastAsia="Times New Roman"/>
        </w:rPr>
        <w:t>80%</w:t>
      </w:r>
      <w:r>
        <w:rPr/>
        <w:t>。</w:t>
      </w:r>
    </w:p>
    <w:p>
      <w:pPr>
        <w:pStyle w:val="BodyText"/>
        <w:spacing w:before="2"/>
        <w:ind w:left="618"/>
      </w:pPr>
      <w:r>
        <w:rPr/>
        <w:t>四、投资策略</w:t>
      </w:r>
    </w:p>
    <w:p>
      <w:pPr>
        <w:pStyle w:val="BodyText"/>
        <w:spacing w:before="160"/>
        <w:ind w:left="618"/>
      </w:pPr>
      <w:r>
        <w:rPr>
          <w:rFonts w:ascii="Times New Roman" w:eastAsia="Times New Roman"/>
        </w:rPr>
        <w:t>1</w:t>
      </w:r>
      <w:r>
        <w:rPr/>
        <w:t>、股票投资策略</w:t>
      </w:r>
    </w:p>
    <w:p>
      <w:pPr>
        <w:pStyle w:val="BodyText"/>
        <w:spacing w:line="364" w:lineRule="auto" w:before="161"/>
        <w:ind w:right="215" w:firstLine="479"/>
      </w:pPr>
      <w:r>
        <w:rPr>
          <w:spacing w:val="-6"/>
        </w:rPr>
        <w:t>在构建和管理投资组合的过程中，主要采取“自上而下”为主的投资方法， </w:t>
      </w:r>
      <w:r>
        <w:rPr/>
        <w:t>着重在内需拉动型行业内部选择基本面良好的优势企业或估值偏低的股票。基于对宏观经济运行状况及政策分析、金融货币运行状况及政策分析、产业运行景气状况及政策的分析，对行业偏好进行修正，进而结合证券市场状况和政策分析，做出资产配置及组合构建的决定。</w:t>
      </w:r>
    </w:p>
    <w:p>
      <w:pPr>
        <w:pStyle w:val="BodyText"/>
        <w:spacing w:line="364" w:lineRule="auto" w:before="3"/>
        <w:ind w:right="340" w:firstLine="479"/>
        <w:jc w:val="both"/>
      </w:pPr>
      <w:r>
        <w:rPr/>
        <w:t>股票投资部分以“内需拉动型”行业的优势企业为主，以成长、价值及稳定收入为基础，在合适的价位买入具有高成长性的成长型股票，价值被市场低估的价值型股票，以及能提供稳定收入的收益型股票。</w:t>
      </w:r>
    </w:p>
    <w:p>
      <w:pPr>
        <w:pStyle w:val="BodyText"/>
        <w:spacing w:before="2"/>
        <w:ind w:left="618"/>
      </w:pPr>
      <w:r>
        <w:rPr/>
        <w:t>本基金投资存托凭证的策略依照上述境内上市交易的股票投资策略执行。</w:t>
      </w:r>
    </w:p>
    <w:p>
      <w:pPr>
        <w:spacing w:after="0"/>
        <w:sectPr>
          <w:pgSz w:w="11910" w:h="16840"/>
          <w:pgMar w:header="880" w:footer="1964" w:top="1380" w:bottom="2160" w:left="1660" w:right="1580"/>
        </w:sectPr>
      </w:pPr>
    </w:p>
    <w:p>
      <w:pPr>
        <w:pStyle w:val="BodyText"/>
        <w:spacing w:before="130"/>
        <w:ind w:left="618"/>
      </w:pPr>
      <w:r>
        <w:rPr>
          <w:rFonts w:ascii="Times New Roman" w:eastAsia="Times New Roman"/>
        </w:rPr>
        <w:t>2</w:t>
      </w:r>
      <w:r>
        <w:rPr/>
        <w:t>、债券投资策略</w:t>
      </w:r>
    </w:p>
    <w:p>
      <w:pPr>
        <w:pStyle w:val="BodyText"/>
        <w:spacing w:line="364" w:lineRule="auto" w:before="160"/>
        <w:ind w:right="212" w:firstLine="479"/>
      </w:pPr>
      <w:r>
        <w:rPr/>
        <w:t>本基金债券投资部分着重本金安全性和流动性。综合分析宏观经济形势， 并对货币政策与财政政策以及社会政治状况等进行研究，着重利率的变化趋势预测，建立对收益率曲线变动的预测模型。通过该模型进行估值分析，确定价</w:t>
      </w:r>
      <w:r>
        <w:rPr>
          <w:spacing w:val="-9"/>
        </w:rPr>
        <w:t>格中枢的变动趋势；同时，计算债券投资组合久期、到期收益率和期限等指标， </w:t>
      </w:r>
      <w:r>
        <w:rPr/>
        <w:t>进行“自下而上”的选券和债券品种配置。</w:t>
      </w:r>
    </w:p>
    <w:p>
      <w:pPr>
        <w:pStyle w:val="BodyText"/>
        <w:spacing w:before="3"/>
        <w:ind w:left="618"/>
      </w:pPr>
      <w:r>
        <w:rPr>
          <w:rFonts w:ascii="Times New Roman" w:eastAsia="Times New Roman"/>
        </w:rPr>
        <w:t>3</w:t>
      </w:r>
      <w:r>
        <w:rPr/>
        <w:t>、权证投资策略</w:t>
      </w:r>
    </w:p>
    <w:p>
      <w:pPr>
        <w:pStyle w:val="BodyText"/>
        <w:spacing w:line="364" w:lineRule="auto" w:before="161"/>
        <w:ind w:right="340" w:firstLine="479"/>
      </w:pPr>
      <w:r>
        <w:rPr/>
        <w:t>本公司将在有效进行风险管理的前提下，通过对权证标的证券的基本面研究，并结合期权定价模型估计权证价值，谨慎进行投资。</w:t>
      </w:r>
    </w:p>
    <w:p>
      <w:pPr>
        <w:pStyle w:val="BodyText"/>
        <w:spacing w:before="2"/>
        <w:ind w:left="618"/>
      </w:pPr>
      <w:r>
        <w:rPr/>
        <w:t>本基金持有的全部权证的市值不超过基金资产净值的 </w:t>
      </w:r>
      <w:r>
        <w:rPr>
          <w:rFonts w:ascii="Times New Roman" w:eastAsia="Times New Roman"/>
        </w:rPr>
        <w:t>3%</w:t>
      </w:r>
      <w:r>
        <w:rPr/>
        <w:t>。</w:t>
      </w:r>
    </w:p>
    <w:p>
      <w:pPr>
        <w:pStyle w:val="BodyText"/>
        <w:spacing w:line="364" w:lineRule="auto" w:before="160"/>
        <w:ind w:right="337" w:firstLine="479"/>
      </w:pPr>
      <w:r>
        <w:rPr/>
        <w:t>本基金将持续地进行定期与不定期的投资组合回顾与风险监控，适时地做出相应的调整。</w:t>
      </w:r>
    </w:p>
    <w:p>
      <w:pPr>
        <w:pStyle w:val="BodyText"/>
        <w:ind w:left="618"/>
      </w:pPr>
      <w:r>
        <w:rPr/>
        <w:t>五、投资管理程序</w:t>
      </w:r>
    </w:p>
    <w:p>
      <w:pPr>
        <w:pStyle w:val="BodyText"/>
        <w:spacing w:line="364" w:lineRule="auto" w:before="161"/>
        <w:ind w:right="340" w:firstLine="479"/>
        <w:jc w:val="both"/>
      </w:pPr>
      <w:r>
        <w:rPr/>
        <w:t>投资决策委员会是公司投资的最高决策机构，以定期或不定期会议的形式讨论和决定基金投资的重大问题，包括确立各基金的投资方针及投资方向，审定基金财产的配置方案。投资决策委员会召开前，由基金经理依据对宏观经济走势的分析，提出基金的资产配置建议，交由投资决策委员会讨论。一旦做出决议，即成为指导基金投资的正式文件，投资部据此拟订具体的投资计划。</w:t>
      </w:r>
    </w:p>
    <w:p>
      <w:pPr>
        <w:pStyle w:val="BodyText"/>
        <w:spacing w:line="364" w:lineRule="auto" w:before="3"/>
        <w:ind w:right="212" w:firstLine="479"/>
      </w:pPr>
      <w:r>
        <w:rPr/>
        <w:t>投资部是负责管理基金日常投资活动的具体部门，投资总监除履行投资决策委员会执行委员的职责外，还负责管理和协调投资部的日常运作。投资研究联席会议是投资部常设议事机构，负责讨论研究计划、投资策略、资产配置方案、基金投资组合构建或调整方案、基金资产运作绩效评估与风险控制。投资研究室负责宏观经济研究、行业研究和投资品种研究，编制、维护股票库和买</w:t>
      </w:r>
      <w:r>
        <w:rPr>
          <w:spacing w:val="-4"/>
        </w:rPr>
        <w:t>进名单等投资证券备选库，建立与维护景顺长城“股票研究数据库</w:t>
      </w:r>
      <w:r>
        <w:rPr>
          <w:spacing w:val="1"/>
        </w:rPr>
        <w:t>（</w:t>
      </w:r>
      <w:r>
        <w:rPr>
          <w:rFonts w:ascii="Times New Roman" w:hAnsi="Times New Roman" w:eastAsia="Times New Roman"/>
          <w:w w:val="99"/>
        </w:rPr>
        <w:t>S</w:t>
      </w:r>
      <w:r>
        <w:rPr>
          <w:rFonts w:ascii="Times New Roman" w:hAnsi="Times New Roman" w:eastAsia="Times New Roman"/>
        </w:rPr>
        <w:t>R</w:t>
      </w:r>
      <w:r>
        <w:rPr>
          <w:rFonts w:ascii="Times New Roman" w:hAnsi="Times New Roman" w:eastAsia="Times New Roman"/>
          <w:w w:val="99"/>
        </w:rPr>
        <w:t>D</w:t>
      </w:r>
      <w:r>
        <w:rPr>
          <w:spacing w:val="-120"/>
        </w:rPr>
        <w:t>）</w:t>
      </w:r>
      <w:r>
        <w:rPr>
          <w:spacing w:val="-10"/>
        </w:rPr>
        <w:t>”与债券研究资料库，并为投资决策委员会、投资研究联席会议、投资总监和基金</w:t>
      </w:r>
      <w:r>
        <w:rPr>
          <w:spacing w:val="-15"/>
        </w:rPr>
        <w:t>经理提供投资决策依据。基金投资室负责拟订基金的总体投资策略、资产配置、</w:t>
      </w:r>
      <w:r>
        <w:rPr/>
        <w:t>行业和板块分布方案，重大投资项目提案和投资组合方案等报投资研究联席会议讨论决定，其中基金经理根据投资决策委员会及投资研究联席会议决议具体</w:t>
      </w:r>
    </w:p>
    <w:p>
      <w:pPr>
        <w:spacing w:after="0" w:line="364" w:lineRule="auto"/>
        <w:sectPr>
          <w:pgSz w:w="11910" w:h="16840"/>
          <w:pgMar w:header="880" w:footer="1964" w:top="1380" w:bottom="2160" w:left="1660" w:right="1580"/>
        </w:sectPr>
      </w:pPr>
    </w:p>
    <w:p>
      <w:pPr>
        <w:pStyle w:val="BodyText"/>
        <w:spacing w:before="130"/>
      </w:pPr>
      <w:r>
        <w:rPr/>
        <w:t>承担本基金的日常管理工作。</w:t>
      </w:r>
    </w:p>
    <w:p>
      <w:pPr>
        <w:pStyle w:val="BodyText"/>
        <w:spacing w:line="364" w:lineRule="auto" w:before="160"/>
        <w:ind w:right="340" w:firstLine="479"/>
        <w:jc w:val="both"/>
      </w:pPr>
      <w:r>
        <w:rPr/>
        <w:t>风险控制委员会作为风险管理的决策机构，由各部门总监组成，负责基金运作风险的评估和控制，指导业务方向，并接受、审阅监察稽核报告，基于风险与回报对业务策略提出质疑。投资部绩效评估与风险控制室负责投资组合风险与绩效的定期评估。法律、监察稽核部负责基金日常运作的合规控制。</w:t>
      </w:r>
    </w:p>
    <w:p>
      <w:pPr>
        <w:pStyle w:val="BodyText"/>
        <w:spacing w:before="3"/>
        <w:ind w:left="618"/>
      </w:pPr>
      <w:r>
        <w:rPr/>
        <w:t>本基金投资决策过程为：</w:t>
      </w:r>
    </w:p>
    <w:p>
      <w:pPr>
        <w:pStyle w:val="BodyText"/>
        <w:spacing w:line="364" w:lineRule="auto" w:before="160"/>
        <w:ind w:right="246" w:firstLine="479"/>
      </w:pPr>
      <w:r>
        <w:rPr>
          <w:rFonts w:ascii="Times New Roman" w:eastAsia="Times New Roman"/>
        </w:rPr>
        <w:t>1</w:t>
      </w:r>
      <w:r>
        <w:rPr/>
        <w:t>、由基金经理依据宏观经济、股市政策、市场趋势判断，结合基金合同、投资制度的要求提出资产配置建议。</w:t>
      </w:r>
    </w:p>
    <w:p>
      <w:pPr>
        <w:pStyle w:val="BodyText"/>
        <w:spacing w:line="364" w:lineRule="auto" w:before="2"/>
        <w:ind w:right="332" w:firstLine="479"/>
      </w:pPr>
      <w:r>
        <w:rPr>
          <w:rFonts w:ascii="Times New Roman" w:eastAsia="Times New Roman"/>
        </w:rPr>
        <w:t>2</w:t>
      </w:r>
      <w:r>
        <w:rPr>
          <w:spacing w:val="-10"/>
        </w:rPr>
        <w:t>、投资决策委员审核基金经理提交的资产配置建议，并最终决定资产配置</w:t>
      </w:r>
      <w:r>
        <w:rPr/>
        <w:t>方案。</w:t>
      </w:r>
    </w:p>
    <w:p>
      <w:pPr>
        <w:pStyle w:val="BodyText"/>
        <w:spacing w:line="364" w:lineRule="auto"/>
        <w:ind w:right="332" w:firstLine="479"/>
      </w:pPr>
      <w:r>
        <w:rPr>
          <w:rFonts w:ascii="Times New Roman" w:eastAsia="Times New Roman"/>
        </w:rPr>
        <w:t>3</w:t>
      </w:r>
      <w:r>
        <w:rPr>
          <w:spacing w:val="-10"/>
        </w:rPr>
        <w:t>、投资部依据本基金的投资目标，按流程筛选出个股，由投资研究联席会</w:t>
      </w:r>
      <w:r>
        <w:rPr/>
        <w:t>议集体决定个股配置方案。</w:t>
      </w:r>
    </w:p>
    <w:p>
      <w:pPr>
        <w:pStyle w:val="BodyText"/>
        <w:spacing w:line="364" w:lineRule="auto"/>
        <w:ind w:right="332" w:firstLine="479"/>
      </w:pPr>
      <w:r>
        <w:rPr>
          <w:rFonts w:ascii="Times New Roman" w:eastAsia="Times New Roman"/>
        </w:rPr>
        <w:t>4</w:t>
      </w:r>
      <w:r>
        <w:rPr>
          <w:spacing w:val="-10"/>
        </w:rPr>
        <w:t>、投资研究联席会议审核投资组合方案，如无异议，由基金经理具体执行</w:t>
      </w:r>
      <w:r>
        <w:rPr/>
        <w:t>投资计划。</w:t>
      </w:r>
    </w:p>
    <w:p>
      <w:pPr>
        <w:pStyle w:val="BodyText"/>
        <w:spacing w:before="2"/>
        <w:ind w:left="618"/>
      </w:pPr>
      <w:r>
        <w:rPr/>
        <w:t>六、投资限制</w:t>
      </w:r>
    </w:p>
    <w:p>
      <w:pPr>
        <w:pStyle w:val="BodyText"/>
        <w:spacing w:before="160"/>
        <w:ind w:left="618"/>
      </w:pPr>
      <w:r>
        <w:rPr>
          <w:rFonts w:ascii="Times New Roman" w:eastAsia="Times New Roman"/>
        </w:rPr>
        <w:t>1</w:t>
      </w:r>
      <w:r>
        <w:rPr/>
        <w:t>、禁止行为为维护基金份额持有人的合法权益，本基金禁止从事下列行为：</w:t>
      </w:r>
    </w:p>
    <w:p>
      <w:pPr>
        <w:pStyle w:val="ListParagraph"/>
        <w:numPr>
          <w:ilvl w:val="0"/>
          <w:numId w:val="10"/>
        </w:numPr>
        <w:tabs>
          <w:tab w:pos="1219" w:val="left" w:leader="none"/>
        </w:tabs>
        <w:spacing w:line="240" w:lineRule="auto" w:before="161" w:after="0"/>
        <w:ind w:left="1219" w:right="0" w:hanging="601"/>
        <w:jc w:val="left"/>
        <w:rPr>
          <w:sz w:val="24"/>
        </w:rPr>
      </w:pPr>
      <w:r>
        <w:rPr>
          <w:sz w:val="24"/>
        </w:rPr>
        <w:t>承销证券；</w:t>
      </w:r>
    </w:p>
    <w:p>
      <w:pPr>
        <w:pStyle w:val="ListParagraph"/>
        <w:numPr>
          <w:ilvl w:val="0"/>
          <w:numId w:val="10"/>
        </w:numPr>
        <w:tabs>
          <w:tab w:pos="1219" w:val="left" w:leader="none"/>
        </w:tabs>
        <w:spacing w:line="240" w:lineRule="auto" w:before="160" w:after="0"/>
        <w:ind w:left="1219" w:right="0" w:hanging="601"/>
        <w:jc w:val="left"/>
        <w:rPr>
          <w:sz w:val="24"/>
        </w:rPr>
      </w:pPr>
      <w:r>
        <w:rPr>
          <w:sz w:val="24"/>
        </w:rPr>
        <w:t>向他人贷款或提供担保；</w:t>
      </w:r>
    </w:p>
    <w:p>
      <w:pPr>
        <w:pStyle w:val="ListParagraph"/>
        <w:numPr>
          <w:ilvl w:val="0"/>
          <w:numId w:val="10"/>
        </w:numPr>
        <w:tabs>
          <w:tab w:pos="1219" w:val="left" w:leader="none"/>
        </w:tabs>
        <w:spacing w:line="240" w:lineRule="auto" w:before="161" w:after="0"/>
        <w:ind w:left="1219" w:right="0" w:hanging="601"/>
        <w:jc w:val="left"/>
        <w:rPr>
          <w:sz w:val="24"/>
        </w:rPr>
      </w:pPr>
      <w:r>
        <w:rPr>
          <w:sz w:val="24"/>
        </w:rPr>
        <w:t>从事承担无限责任的投资；</w:t>
      </w:r>
    </w:p>
    <w:p>
      <w:pPr>
        <w:pStyle w:val="ListParagraph"/>
        <w:numPr>
          <w:ilvl w:val="0"/>
          <w:numId w:val="10"/>
        </w:numPr>
        <w:tabs>
          <w:tab w:pos="1219" w:val="left" w:leader="none"/>
        </w:tabs>
        <w:spacing w:line="240" w:lineRule="auto" w:before="160" w:after="0"/>
        <w:ind w:left="1219" w:right="0" w:hanging="601"/>
        <w:jc w:val="left"/>
        <w:rPr>
          <w:sz w:val="24"/>
        </w:rPr>
      </w:pPr>
      <w:r>
        <w:rPr>
          <w:sz w:val="24"/>
        </w:rPr>
        <w:t>买卖其他基金份额，但国务院另有规定的除外；</w:t>
      </w:r>
    </w:p>
    <w:p>
      <w:pPr>
        <w:pStyle w:val="ListParagraph"/>
        <w:numPr>
          <w:ilvl w:val="0"/>
          <w:numId w:val="10"/>
        </w:numPr>
        <w:tabs>
          <w:tab w:pos="1219" w:val="left" w:leader="none"/>
        </w:tabs>
        <w:spacing w:line="364" w:lineRule="auto" w:before="161" w:after="0"/>
        <w:ind w:left="138" w:right="335" w:firstLine="479"/>
        <w:jc w:val="left"/>
        <w:rPr>
          <w:sz w:val="24"/>
        </w:rPr>
      </w:pPr>
      <w:r>
        <w:rPr>
          <w:spacing w:val="-6"/>
          <w:sz w:val="24"/>
        </w:rPr>
        <w:t>向基金管理人、基金托管人出资或者买卖其基金管理人、基金托管</w:t>
      </w:r>
      <w:r>
        <w:rPr>
          <w:spacing w:val="-4"/>
          <w:sz w:val="24"/>
        </w:rPr>
        <w:t>人发行的股票或债券；</w:t>
      </w:r>
    </w:p>
    <w:p>
      <w:pPr>
        <w:pStyle w:val="ListParagraph"/>
        <w:numPr>
          <w:ilvl w:val="0"/>
          <w:numId w:val="10"/>
        </w:numPr>
        <w:tabs>
          <w:tab w:pos="1219" w:val="left" w:leader="none"/>
        </w:tabs>
        <w:spacing w:line="364" w:lineRule="auto" w:before="2" w:after="0"/>
        <w:ind w:left="138" w:right="212" w:firstLine="479"/>
        <w:jc w:val="left"/>
        <w:rPr>
          <w:sz w:val="24"/>
        </w:rPr>
      </w:pPr>
      <w:r>
        <w:rPr>
          <w:spacing w:val="-10"/>
          <w:sz w:val="24"/>
        </w:rPr>
        <w:t>买卖与基金管理人、基金托管人有控股关系的股东或者与基金管理人</w:t>
      </w:r>
      <w:r>
        <w:rPr>
          <w:spacing w:val="-4"/>
          <w:sz w:val="24"/>
        </w:rPr>
        <w:t>、基金托管人有其他重大利害关系的公司发行的证券或者承销期内承销的证券；</w:t>
      </w:r>
    </w:p>
    <w:p>
      <w:pPr>
        <w:pStyle w:val="ListParagraph"/>
        <w:numPr>
          <w:ilvl w:val="0"/>
          <w:numId w:val="10"/>
        </w:numPr>
        <w:tabs>
          <w:tab w:pos="1219" w:val="left" w:leader="none"/>
        </w:tabs>
        <w:spacing w:line="240" w:lineRule="auto" w:before="1" w:after="0"/>
        <w:ind w:left="1219" w:right="0" w:hanging="601"/>
        <w:jc w:val="left"/>
        <w:rPr>
          <w:sz w:val="24"/>
        </w:rPr>
      </w:pPr>
      <w:r>
        <w:rPr>
          <w:sz w:val="24"/>
        </w:rPr>
        <w:t>从事内幕交易、操纵证券价格及其他不正当的证券交易活动；</w:t>
      </w:r>
    </w:p>
    <w:p>
      <w:pPr>
        <w:pStyle w:val="ListParagraph"/>
        <w:numPr>
          <w:ilvl w:val="0"/>
          <w:numId w:val="10"/>
        </w:numPr>
        <w:tabs>
          <w:tab w:pos="1219" w:val="left" w:leader="none"/>
        </w:tabs>
        <w:spacing w:line="364" w:lineRule="auto" w:before="160" w:after="0"/>
        <w:ind w:left="138" w:right="332" w:firstLine="479"/>
        <w:jc w:val="left"/>
        <w:rPr>
          <w:sz w:val="24"/>
        </w:rPr>
      </w:pPr>
      <w:r>
        <w:rPr>
          <w:spacing w:val="-7"/>
          <w:sz w:val="24"/>
        </w:rPr>
        <w:t>当时有效的法律法规、中国证监会及《基金合同》规定禁止从事的其</w:t>
      </w:r>
      <w:r>
        <w:rPr>
          <w:sz w:val="24"/>
        </w:rPr>
        <w:t>他行为。</w:t>
      </w:r>
    </w:p>
    <w:p>
      <w:pPr>
        <w:pStyle w:val="BodyText"/>
        <w:spacing w:before="2"/>
        <w:ind w:left="618"/>
      </w:pPr>
      <w:r>
        <w:rPr>
          <w:rFonts w:ascii="Times New Roman" w:eastAsia="Times New Roman"/>
        </w:rPr>
        <w:t>2</w:t>
      </w:r>
      <w:r>
        <w:rPr/>
        <w:t>、投资组合限制本基金的投资组合将遵循以下限制：</w:t>
      </w:r>
    </w:p>
    <w:p>
      <w:pPr>
        <w:spacing w:after="0"/>
        <w:sectPr>
          <w:pgSz w:w="11910" w:h="16840"/>
          <w:pgMar w:header="880" w:footer="1964" w:top="1380" w:bottom="2160" w:left="1660" w:right="1580"/>
        </w:sectPr>
      </w:pPr>
    </w:p>
    <w:p>
      <w:pPr>
        <w:pStyle w:val="ListParagraph"/>
        <w:numPr>
          <w:ilvl w:val="0"/>
          <w:numId w:val="11"/>
        </w:numPr>
        <w:tabs>
          <w:tab w:pos="1219" w:val="left" w:leader="none"/>
        </w:tabs>
        <w:spacing w:line="240" w:lineRule="auto" w:before="130" w:after="0"/>
        <w:ind w:left="1219" w:right="0" w:hanging="601"/>
        <w:jc w:val="left"/>
        <w:rPr>
          <w:sz w:val="24"/>
        </w:rPr>
      </w:pPr>
      <w:r>
        <w:rPr>
          <w:spacing w:val="-3"/>
          <w:sz w:val="24"/>
        </w:rPr>
        <w:t>本基金投资于股票、债券的比例不低于基金资产总值的 </w:t>
      </w:r>
      <w:r>
        <w:rPr>
          <w:rFonts w:ascii="Times New Roman" w:eastAsia="Times New Roman"/>
          <w:sz w:val="24"/>
        </w:rPr>
        <w:t>80%</w:t>
      </w:r>
      <w:r>
        <w:rPr>
          <w:sz w:val="24"/>
        </w:rPr>
        <w:t>；</w:t>
      </w:r>
    </w:p>
    <w:p>
      <w:pPr>
        <w:pStyle w:val="ListParagraph"/>
        <w:numPr>
          <w:ilvl w:val="0"/>
          <w:numId w:val="11"/>
        </w:numPr>
        <w:tabs>
          <w:tab w:pos="1233" w:val="left" w:leader="none"/>
        </w:tabs>
        <w:spacing w:line="240" w:lineRule="auto" w:before="160" w:after="0"/>
        <w:ind w:left="1232" w:right="0" w:hanging="615"/>
        <w:jc w:val="left"/>
        <w:rPr>
          <w:sz w:val="24"/>
        </w:rPr>
      </w:pPr>
      <w:r>
        <w:rPr>
          <w:spacing w:val="4"/>
          <w:sz w:val="24"/>
        </w:rPr>
        <w:t>本基金持有一家上市公司的股票，其市值不得超过基金资产净值的</w:t>
      </w:r>
    </w:p>
    <w:p>
      <w:pPr>
        <w:pStyle w:val="BodyText"/>
        <w:spacing w:before="161"/>
      </w:pPr>
      <w:r>
        <w:rPr>
          <w:rFonts w:ascii="Times New Roman" w:eastAsia="Times New Roman"/>
        </w:rPr>
        <w:t>10%</w:t>
      </w:r>
      <w:r>
        <w:rPr/>
        <w:t>；</w:t>
      </w:r>
    </w:p>
    <w:p>
      <w:pPr>
        <w:pStyle w:val="ListParagraph"/>
        <w:numPr>
          <w:ilvl w:val="0"/>
          <w:numId w:val="11"/>
        </w:numPr>
        <w:tabs>
          <w:tab w:pos="1219" w:val="left" w:leader="none"/>
        </w:tabs>
        <w:spacing w:line="364" w:lineRule="auto" w:before="160" w:after="0"/>
        <w:ind w:left="138" w:right="335" w:firstLine="479"/>
        <w:jc w:val="left"/>
        <w:rPr>
          <w:sz w:val="24"/>
        </w:rPr>
      </w:pPr>
      <w:r>
        <w:rPr>
          <w:sz w:val="24"/>
        </w:rPr>
        <w:t>本基金与由本基金管理人管理的其他基金共同持有一家公司发行的</w:t>
      </w:r>
      <w:r>
        <w:rPr>
          <w:spacing w:val="-9"/>
          <w:sz w:val="24"/>
        </w:rPr>
        <w:t>证券，不得超过该证券的 </w:t>
      </w:r>
      <w:r>
        <w:rPr>
          <w:rFonts w:ascii="Times New Roman" w:eastAsia="Times New Roman"/>
          <w:sz w:val="24"/>
        </w:rPr>
        <w:t>10%</w:t>
      </w:r>
      <w:r>
        <w:rPr>
          <w:sz w:val="24"/>
        </w:rPr>
        <w:t>；</w:t>
      </w:r>
    </w:p>
    <w:p>
      <w:pPr>
        <w:pStyle w:val="ListParagraph"/>
        <w:numPr>
          <w:ilvl w:val="0"/>
          <w:numId w:val="11"/>
        </w:numPr>
        <w:tabs>
          <w:tab w:pos="1219" w:val="left" w:leader="none"/>
        </w:tabs>
        <w:spacing w:line="364" w:lineRule="auto" w:before="1" w:after="0"/>
        <w:ind w:left="138" w:right="333" w:firstLine="479"/>
        <w:jc w:val="left"/>
        <w:rPr>
          <w:sz w:val="24"/>
        </w:rPr>
      </w:pPr>
      <w:r>
        <w:rPr>
          <w:spacing w:val="-3"/>
          <w:sz w:val="24"/>
        </w:rPr>
        <w:t>本基金不得违反本基金合同关于投资范围、投资策略和投资比例的</w:t>
      </w:r>
      <w:r>
        <w:rPr>
          <w:spacing w:val="-6"/>
          <w:sz w:val="24"/>
        </w:rPr>
        <w:t>约定；</w:t>
      </w:r>
    </w:p>
    <w:p>
      <w:pPr>
        <w:pStyle w:val="ListParagraph"/>
        <w:numPr>
          <w:ilvl w:val="0"/>
          <w:numId w:val="11"/>
        </w:numPr>
        <w:tabs>
          <w:tab w:pos="1219" w:val="left" w:leader="none"/>
        </w:tabs>
        <w:spacing w:line="364" w:lineRule="auto" w:before="2" w:after="0"/>
        <w:ind w:left="138" w:right="213" w:firstLine="479"/>
        <w:jc w:val="left"/>
        <w:rPr>
          <w:sz w:val="24"/>
        </w:rPr>
      </w:pPr>
      <w:r>
        <w:rPr>
          <w:spacing w:val="-6"/>
          <w:sz w:val="24"/>
        </w:rPr>
        <w:t>本基金投资股权分置改革中产生的权证，在任何交易日买入的总金额</w:t>
      </w:r>
      <w:r>
        <w:rPr>
          <w:spacing w:val="-8"/>
          <w:sz w:val="24"/>
        </w:rPr>
        <w:t>，不超过上一交易日基金资产净值的 </w:t>
      </w:r>
      <w:r>
        <w:rPr>
          <w:rFonts w:ascii="Times New Roman" w:eastAsia="Times New Roman"/>
          <w:spacing w:val="-10"/>
          <w:sz w:val="24"/>
        </w:rPr>
        <w:t>0.5%</w:t>
      </w:r>
      <w:r>
        <w:rPr>
          <w:spacing w:val="-3"/>
          <w:sz w:val="24"/>
        </w:rPr>
        <w:t>，基金持有的全部权证的市值不超过</w:t>
      </w:r>
      <w:r>
        <w:rPr>
          <w:spacing w:val="-11"/>
          <w:sz w:val="24"/>
        </w:rPr>
        <w:t>基金资产净值的 </w:t>
      </w:r>
      <w:r>
        <w:rPr>
          <w:rFonts w:ascii="Times New Roman" w:eastAsia="Times New Roman"/>
          <w:sz w:val="24"/>
        </w:rPr>
        <w:t>3</w:t>
      </w:r>
      <w:r>
        <w:rPr>
          <w:rFonts w:ascii="Times New Roman" w:eastAsia="Times New Roman"/>
          <w:spacing w:val="-1"/>
          <w:sz w:val="24"/>
        </w:rPr>
        <w:t>%</w:t>
      </w:r>
      <w:r>
        <w:rPr>
          <w:spacing w:val="-11"/>
          <w:sz w:val="24"/>
        </w:rPr>
        <w:t>，本公司管理的全部基金持有同一权证的比例不超过该权证</w:t>
      </w:r>
      <w:r>
        <w:rPr>
          <w:spacing w:val="-7"/>
          <w:sz w:val="24"/>
        </w:rPr>
        <w:t>的 </w:t>
      </w:r>
      <w:r>
        <w:rPr>
          <w:rFonts w:ascii="Times New Roman" w:eastAsia="Times New Roman"/>
          <w:sz w:val="24"/>
        </w:rPr>
        <w:t>10%</w:t>
      </w:r>
      <w:r>
        <w:rPr>
          <w:sz w:val="24"/>
        </w:rPr>
        <w:t>。其它权证的投资比例，遵从法规或监管部门的相关规定；</w:t>
      </w:r>
    </w:p>
    <w:p>
      <w:pPr>
        <w:pStyle w:val="ListParagraph"/>
        <w:numPr>
          <w:ilvl w:val="0"/>
          <w:numId w:val="11"/>
        </w:numPr>
        <w:tabs>
          <w:tab w:pos="1219" w:val="left" w:leader="none"/>
        </w:tabs>
        <w:spacing w:line="364" w:lineRule="auto" w:before="3" w:after="0"/>
        <w:ind w:left="138" w:right="333" w:firstLine="479"/>
        <w:jc w:val="left"/>
        <w:rPr>
          <w:sz w:val="24"/>
        </w:rPr>
      </w:pPr>
      <w:r>
        <w:rPr>
          <w:spacing w:val="-4"/>
          <w:sz w:val="24"/>
        </w:rPr>
        <w:t>基金财产参与股票发行申购，本基金所申报的金额不得超过本基金的总资产，所申报的股票数量不得超过拟发行股票公司本次发行股票的总量；</w:t>
      </w:r>
    </w:p>
    <w:p>
      <w:pPr>
        <w:pStyle w:val="ListParagraph"/>
        <w:numPr>
          <w:ilvl w:val="0"/>
          <w:numId w:val="11"/>
        </w:numPr>
        <w:tabs>
          <w:tab w:pos="1219" w:val="left" w:leader="none"/>
        </w:tabs>
        <w:spacing w:line="364" w:lineRule="auto" w:before="1" w:after="0"/>
        <w:ind w:left="138" w:right="333" w:firstLine="479"/>
        <w:jc w:val="both"/>
        <w:rPr>
          <w:sz w:val="24"/>
        </w:rPr>
      </w:pPr>
      <w:r>
        <w:rPr>
          <w:spacing w:val="-3"/>
          <w:sz w:val="24"/>
        </w:rPr>
        <w:t>本基金管理人管理的全部开放式基金</w:t>
      </w:r>
      <w:r>
        <w:rPr>
          <w:sz w:val="24"/>
        </w:rPr>
        <w:t>（包括开放式基金以及处于开</w:t>
      </w:r>
      <w:r>
        <w:rPr>
          <w:spacing w:val="-4"/>
          <w:sz w:val="24"/>
        </w:rPr>
        <w:t>放期的定期开放基金</w:t>
      </w:r>
      <w:r>
        <w:rPr>
          <w:sz w:val="24"/>
        </w:rPr>
        <w:t>）持有一家上市公司发行的可流通股票，不超过该上市公</w:t>
      </w:r>
      <w:r>
        <w:rPr>
          <w:spacing w:val="-8"/>
          <w:sz w:val="24"/>
        </w:rPr>
        <w:t>司可流通股票的 </w:t>
      </w:r>
      <w:r>
        <w:rPr>
          <w:rFonts w:ascii="Times New Roman" w:eastAsia="Times New Roman"/>
          <w:spacing w:val="-8"/>
          <w:sz w:val="24"/>
        </w:rPr>
        <w:t>15</w:t>
      </w:r>
      <w:r>
        <w:rPr>
          <w:spacing w:val="-4"/>
          <w:sz w:val="24"/>
        </w:rPr>
        <w:t>％；本基金管理人管理的全部投资组合持有一家上市公司发</w:t>
      </w:r>
      <w:r>
        <w:rPr>
          <w:spacing w:val="-7"/>
          <w:sz w:val="24"/>
        </w:rPr>
        <w:t>行的可流通股票，不超过该上市公司可流通股票的 </w:t>
      </w:r>
      <w:r>
        <w:rPr>
          <w:rFonts w:ascii="Times New Roman" w:eastAsia="Times New Roman"/>
          <w:sz w:val="24"/>
        </w:rPr>
        <w:t>30</w:t>
      </w:r>
      <w:r>
        <w:rPr>
          <w:sz w:val="24"/>
        </w:rPr>
        <w:t>％；</w:t>
      </w:r>
    </w:p>
    <w:p>
      <w:pPr>
        <w:pStyle w:val="ListParagraph"/>
        <w:numPr>
          <w:ilvl w:val="0"/>
          <w:numId w:val="11"/>
        </w:numPr>
        <w:tabs>
          <w:tab w:pos="1257" w:val="left" w:leader="none"/>
        </w:tabs>
        <w:spacing w:line="364" w:lineRule="auto" w:before="3" w:after="0"/>
        <w:ind w:left="138" w:right="332" w:firstLine="479"/>
        <w:jc w:val="both"/>
        <w:rPr>
          <w:sz w:val="24"/>
        </w:rPr>
      </w:pPr>
      <w:r>
        <w:rPr>
          <w:spacing w:val="10"/>
          <w:sz w:val="24"/>
        </w:rPr>
        <w:t>本基金主动投资于流动性受限资产的市值合计不超过基金资产的</w:t>
      </w:r>
      <w:r>
        <w:rPr>
          <w:rFonts w:ascii="Times New Roman" w:eastAsia="Times New Roman"/>
          <w:spacing w:val="10"/>
          <w:sz w:val="24"/>
        </w:rPr>
        <w:t>15%</w:t>
      </w:r>
      <w:r>
        <w:rPr>
          <w:spacing w:val="10"/>
          <w:sz w:val="24"/>
        </w:rPr>
        <w:t>；因证券市场波动、上市公司股票停牌、基金规模变动等基金管理人之外的因素致使基金不符合本项所规定的比例限制的，基金管理人不得主动新增流动性受限资产的投资；</w:t>
      </w:r>
    </w:p>
    <w:p>
      <w:pPr>
        <w:pStyle w:val="ListParagraph"/>
        <w:numPr>
          <w:ilvl w:val="0"/>
          <w:numId w:val="11"/>
        </w:numPr>
        <w:tabs>
          <w:tab w:pos="1219" w:val="left" w:leader="none"/>
        </w:tabs>
        <w:spacing w:line="364" w:lineRule="auto" w:before="3" w:after="0"/>
        <w:ind w:left="138" w:right="334" w:firstLine="479"/>
        <w:jc w:val="left"/>
        <w:rPr>
          <w:sz w:val="24"/>
        </w:rPr>
      </w:pPr>
      <w:r>
        <w:rPr>
          <w:sz w:val="24"/>
        </w:rPr>
        <w:t>本基金与私募类证券资管产品及中国证监会认定的其他主体为交易</w:t>
      </w:r>
      <w:r>
        <w:rPr>
          <w:spacing w:val="-4"/>
          <w:sz w:val="24"/>
        </w:rPr>
        <w:t>对手开展逆回购交易的，可接受质押品的资质要求应当与投资范围保持一致；</w:t>
      </w:r>
    </w:p>
    <w:p>
      <w:pPr>
        <w:pStyle w:val="ListParagraph"/>
        <w:numPr>
          <w:ilvl w:val="0"/>
          <w:numId w:val="11"/>
        </w:numPr>
        <w:tabs>
          <w:tab w:pos="1341" w:val="left" w:leader="none"/>
        </w:tabs>
        <w:spacing w:line="364" w:lineRule="auto" w:before="1" w:after="0"/>
        <w:ind w:left="138" w:right="340" w:firstLine="479"/>
        <w:jc w:val="left"/>
        <w:rPr>
          <w:sz w:val="24"/>
        </w:rPr>
      </w:pPr>
      <w:r>
        <w:rPr>
          <w:spacing w:val="-1"/>
          <w:sz w:val="24"/>
        </w:rPr>
        <w:t>本基金投资存托凭证的比例限制依照境内上市交易的股票执行，与</w:t>
      </w:r>
      <w:r>
        <w:rPr>
          <w:sz w:val="24"/>
        </w:rPr>
        <w:t>境内上市交易的股票合并计算；</w:t>
      </w:r>
    </w:p>
    <w:p>
      <w:pPr>
        <w:pStyle w:val="ListParagraph"/>
        <w:numPr>
          <w:ilvl w:val="0"/>
          <w:numId w:val="11"/>
        </w:numPr>
        <w:tabs>
          <w:tab w:pos="1330" w:val="left" w:leader="none"/>
        </w:tabs>
        <w:spacing w:line="240" w:lineRule="auto" w:before="1" w:after="0"/>
        <w:ind w:left="1329" w:right="0" w:hanging="712"/>
        <w:jc w:val="left"/>
        <w:rPr>
          <w:sz w:val="24"/>
        </w:rPr>
      </w:pPr>
      <w:r>
        <w:rPr>
          <w:sz w:val="24"/>
        </w:rPr>
        <w:t>相关法律法规以及监管部门规定的其它投资限制；</w:t>
      </w:r>
    </w:p>
    <w:p>
      <w:pPr>
        <w:pStyle w:val="ListParagraph"/>
        <w:numPr>
          <w:ilvl w:val="0"/>
          <w:numId w:val="11"/>
        </w:numPr>
        <w:tabs>
          <w:tab w:pos="1339" w:val="left" w:leader="none"/>
        </w:tabs>
        <w:spacing w:line="240" w:lineRule="auto" w:before="160" w:after="0"/>
        <w:ind w:left="1339" w:right="0" w:hanging="721"/>
        <w:jc w:val="left"/>
        <w:rPr>
          <w:sz w:val="24"/>
        </w:rPr>
      </w:pPr>
      <w:r>
        <w:rPr>
          <w:sz w:val="24"/>
        </w:rPr>
        <w:t>法律法规或监管部门取消上述限制，本基金不受上述限制。</w:t>
      </w:r>
    </w:p>
    <w:p>
      <w:pPr>
        <w:pStyle w:val="BodyText"/>
        <w:spacing w:before="161"/>
        <w:ind w:left="618"/>
      </w:pPr>
      <w:r>
        <w:rPr/>
        <w:t>基金管理人应当自基金合同生效之日起 </w:t>
      </w:r>
      <w:r>
        <w:rPr>
          <w:rFonts w:ascii="Times New Roman" w:eastAsia="Times New Roman"/>
        </w:rPr>
        <w:t>6 </w:t>
      </w:r>
      <w:r>
        <w:rPr/>
        <w:t>个月内使基金的投资组合比例符</w:t>
      </w:r>
    </w:p>
    <w:p>
      <w:pPr>
        <w:spacing w:after="0"/>
        <w:sectPr>
          <w:pgSz w:w="11910" w:h="16840"/>
          <w:pgMar w:header="880" w:footer="1964" w:top="1380" w:bottom="2160" w:left="1660" w:right="1580"/>
        </w:sectPr>
      </w:pPr>
    </w:p>
    <w:p>
      <w:pPr>
        <w:pStyle w:val="BodyText"/>
        <w:spacing w:before="130"/>
      </w:pPr>
      <w:r>
        <w:rPr/>
        <w:t>合基金合同的有关约定。</w:t>
      </w:r>
    </w:p>
    <w:p>
      <w:pPr>
        <w:pStyle w:val="BodyText"/>
        <w:spacing w:line="364" w:lineRule="auto" w:before="160"/>
        <w:ind w:right="245" w:firstLine="479"/>
      </w:pPr>
      <w:r>
        <w:rPr/>
        <w:t>除上述第（</w:t>
      </w:r>
      <w:r>
        <w:rPr>
          <w:rFonts w:ascii="Times New Roman" w:eastAsia="Times New Roman"/>
          <w:spacing w:val="2"/>
        </w:rPr>
        <w:t>8</w:t>
      </w:r>
      <w:r>
        <w:rPr>
          <w:spacing w:val="-120"/>
        </w:rPr>
        <w:t>）</w:t>
      </w:r>
      <w:r>
        <w:rPr>
          <w:spacing w:val="-118"/>
        </w:rPr>
        <w:t>、</w:t>
      </w:r>
      <w:r>
        <w:rPr/>
        <w:t>（</w:t>
      </w:r>
      <w:r>
        <w:rPr>
          <w:rFonts w:ascii="Times New Roman" w:eastAsia="Times New Roman"/>
        </w:rPr>
        <w:t>9</w:t>
      </w:r>
      <w:r>
        <w:rPr>
          <w:spacing w:val="2"/>
        </w:rPr>
        <w:t>）</w:t>
      </w:r>
      <w:r>
        <w:rPr/>
        <w:t>项外，由于证券市场波动、上市公司合并、基金规模变动、股权分置改革中支付对价等基金管理人之外的原因导致的投资组合不符</w:t>
      </w:r>
      <w:r>
        <w:rPr>
          <w:spacing w:val="-3"/>
        </w:rPr>
        <w:t>合上述约定的比例不在限制之内，但基金管理人应在 </w:t>
      </w:r>
      <w:r>
        <w:rPr>
          <w:rFonts w:ascii="Times New Roman" w:eastAsia="Times New Roman"/>
        </w:rPr>
        <w:t>10 </w:t>
      </w:r>
      <w:r>
        <w:rPr>
          <w:spacing w:val="-2"/>
        </w:rPr>
        <w:t>个交易日内进行调整， </w:t>
      </w:r>
      <w:r>
        <w:rPr/>
        <w:t>以达到标准。</w:t>
      </w:r>
    </w:p>
    <w:p>
      <w:pPr>
        <w:pStyle w:val="BodyText"/>
        <w:spacing w:before="3"/>
        <w:ind w:left="618"/>
      </w:pPr>
      <w:r>
        <w:rPr/>
        <w:t>七、业绩比较基准</w:t>
      </w:r>
    </w:p>
    <w:p>
      <w:pPr>
        <w:pStyle w:val="BodyText"/>
        <w:spacing w:line="364" w:lineRule="auto" w:before="160"/>
        <w:ind w:left="618" w:right="482"/>
      </w:pPr>
      <w:r>
        <w:rPr/>
        <w:t>基金整体业绩比较基准</w:t>
      </w:r>
      <w:r>
        <w:rPr>
          <w:rFonts w:ascii="Times New Roman" w:hAnsi="Times New Roman" w:eastAsia="Times New Roman"/>
        </w:rPr>
        <w:t>=</w:t>
      </w:r>
      <w:r>
        <w:rPr/>
        <w:t>中证 </w:t>
      </w:r>
      <w:r>
        <w:rPr>
          <w:rFonts w:ascii="Times New Roman" w:hAnsi="Times New Roman" w:eastAsia="Times New Roman"/>
        </w:rPr>
        <w:t>800 </w:t>
      </w:r>
      <w:r>
        <w:rPr/>
        <w:t>指数×</w:t>
      </w:r>
      <w:r>
        <w:rPr>
          <w:rFonts w:ascii="Times New Roman" w:hAnsi="Times New Roman" w:eastAsia="Times New Roman"/>
        </w:rPr>
        <w:t>80%</w:t>
      </w:r>
      <w:r>
        <w:rPr/>
        <w:t>＋中国债券总指数×</w:t>
      </w:r>
      <w:r>
        <w:rPr>
          <w:rFonts w:ascii="Times New Roman" w:hAnsi="Times New Roman" w:eastAsia="Times New Roman"/>
        </w:rPr>
        <w:t>20%</w:t>
      </w:r>
      <w:r>
        <w:rPr/>
        <w:t>。使用上述业绩比较基准的主要理由为：</w:t>
      </w:r>
    </w:p>
    <w:p>
      <w:pPr>
        <w:pStyle w:val="BodyText"/>
        <w:spacing w:before="2"/>
        <w:ind w:left="618"/>
      </w:pPr>
      <w:r>
        <w:rPr>
          <w:rFonts w:ascii="Times New Roman" w:eastAsia="Times New Roman"/>
        </w:rPr>
        <w:t>1</w:t>
      </w:r>
      <w:r>
        <w:rPr>
          <w:spacing w:val="1"/>
        </w:rPr>
        <w:t>、市场代表性中证 </w:t>
      </w:r>
      <w:r>
        <w:rPr>
          <w:rFonts w:ascii="Times New Roman" w:eastAsia="Times New Roman"/>
        </w:rPr>
        <w:t>800</w:t>
      </w:r>
      <w:r>
        <w:rPr>
          <w:rFonts w:ascii="Times New Roman" w:eastAsia="Times New Roman"/>
          <w:spacing w:val="6"/>
        </w:rPr>
        <w:t>  </w:t>
      </w:r>
      <w:r>
        <w:rPr/>
        <w:t>指数是由中证指数有限公司编制的综合反映沪深</w:t>
      </w:r>
    </w:p>
    <w:p>
      <w:pPr>
        <w:pStyle w:val="BodyText"/>
        <w:spacing w:before="160"/>
      </w:pPr>
      <w:r>
        <w:rPr>
          <w:spacing w:val="-5"/>
        </w:rPr>
        <w:t>证券市场内大中小市值公司的整体状况的指数。中证 </w:t>
      </w:r>
      <w:r>
        <w:rPr>
          <w:rFonts w:ascii="Times New Roman" w:eastAsia="Times New Roman"/>
        </w:rPr>
        <w:t>800  </w:t>
      </w:r>
      <w:r>
        <w:rPr/>
        <w:t>指数的成份股由中证</w:t>
      </w:r>
    </w:p>
    <w:p>
      <w:pPr>
        <w:pStyle w:val="BodyText"/>
        <w:spacing w:before="161"/>
        <w:jc w:val="both"/>
      </w:pPr>
      <w:r>
        <w:rPr>
          <w:rFonts w:ascii="Times New Roman" w:eastAsia="Times New Roman"/>
        </w:rPr>
        <w:t>500</w:t>
      </w:r>
      <w:r>
        <w:rPr>
          <w:rFonts w:ascii="Times New Roman" w:eastAsia="Times New Roman"/>
          <w:spacing w:val="59"/>
        </w:rPr>
        <w:t> </w:t>
      </w:r>
      <w:r>
        <w:rPr/>
        <w:t>指数和沪深 </w:t>
      </w:r>
      <w:r>
        <w:rPr>
          <w:rFonts w:ascii="Times New Roman" w:eastAsia="Times New Roman"/>
        </w:rPr>
        <w:t>300 </w:t>
      </w:r>
      <w:r>
        <w:rPr/>
        <w:t>指数成份股一起构成，具有很好的市场代表性。</w:t>
      </w:r>
    </w:p>
    <w:p>
      <w:pPr>
        <w:pStyle w:val="BodyText"/>
        <w:spacing w:line="364" w:lineRule="auto" w:before="160"/>
        <w:ind w:right="327" w:firstLine="479"/>
        <w:jc w:val="both"/>
      </w:pPr>
      <w:r>
        <w:rPr>
          <w:rFonts w:ascii="Times New Roman" w:eastAsia="Times New Roman"/>
        </w:rPr>
        <w:t>2</w:t>
      </w:r>
      <w:r>
        <w:rPr>
          <w:spacing w:val="-9"/>
        </w:rPr>
        <w:t>、复合基准构建的公允性本基金是一只高持股率的基金，股票投资比例范</w:t>
      </w:r>
      <w:r>
        <w:rPr>
          <w:spacing w:val="-16"/>
        </w:rPr>
        <w:t>围为基金资产的 </w:t>
      </w:r>
      <w:r>
        <w:rPr>
          <w:rFonts w:ascii="Times New Roman" w:eastAsia="Times New Roman"/>
          <w:spacing w:val="-7"/>
        </w:rPr>
        <w:t>70-95%</w:t>
      </w:r>
      <w:r>
        <w:rPr>
          <w:spacing w:val="-7"/>
        </w:rPr>
        <w:t>，其中市场中性时的股票仓位为 </w:t>
      </w:r>
      <w:r>
        <w:rPr>
          <w:rFonts w:ascii="Times New Roman" w:eastAsia="Times New Roman"/>
        </w:rPr>
        <w:t>80%</w:t>
      </w:r>
      <w:r>
        <w:rPr>
          <w:spacing w:val="-7"/>
        </w:rPr>
        <w:t>。本基金股票和债</w:t>
      </w:r>
      <w:r>
        <w:rPr>
          <w:spacing w:val="3"/>
        </w:rPr>
        <w:t>券投资的比较基准分别使用具有充分市场认同度的中证 </w:t>
      </w:r>
      <w:r>
        <w:rPr>
          <w:rFonts w:ascii="Times New Roman" w:eastAsia="Times New Roman"/>
        </w:rPr>
        <w:t>800 </w:t>
      </w:r>
      <w:r>
        <w:rPr>
          <w:spacing w:val="4"/>
        </w:rPr>
        <w:t>指数和中国债券</w:t>
      </w:r>
      <w:r>
        <w:rPr/>
        <w:t>总指数，股票和债券投资的比较基准在基金整体业绩比较基准的占比按照市场中性时两类资产的投资比例确定，可以比较公允地反映基金管理人的投资管理</w:t>
      </w:r>
      <w:r>
        <w:rPr>
          <w:spacing w:val="-10"/>
        </w:rPr>
        <w:t>能力。 如果本基金业绩比较基准中所使用的指数暂停或终止发布，本基金的管</w:t>
      </w:r>
      <w:r>
        <w:rPr/>
        <w:t>理人可以在报备中国证监会后，使用其他可以合理的作为业绩比较基准的指数代替原有指数。</w:t>
      </w:r>
    </w:p>
    <w:p>
      <w:pPr>
        <w:pStyle w:val="BodyText"/>
        <w:spacing w:line="364" w:lineRule="auto" w:before="6"/>
        <w:ind w:right="339" w:firstLine="479"/>
        <w:jc w:val="both"/>
      </w:pPr>
      <w:r>
        <w:rPr/>
        <w:t>如果今后法律法规发生变化，或者有更权威的、能为市场普遍接受的业绩比较基准推出，基金管理人可以在报中国证监会备案后变更业绩比较基准并及时公告。</w:t>
      </w:r>
    </w:p>
    <w:p>
      <w:pPr>
        <w:pStyle w:val="BodyText"/>
        <w:spacing w:before="2"/>
        <w:ind w:left="618"/>
      </w:pPr>
      <w:r>
        <w:rPr/>
        <w:t>八、风险收益特征</w:t>
      </w:r>
    </w:p>
    <w:p>
      <w:pPr>
        <w:pStyle w:val="BodyText"/>
        <w:spacing w:line="364" w:lineRule="auto" w:before="160"/>
        <w:ind w:right="340" w:firstLine="479"/>
      </w:pPr>
      <w:r>
        <w:rPr/>
        <w:t>本基金是混合型基金，属于风险程度较高的投资品种，其预期风险和预期收益水平低于股票型基金，高于货币型基金与债券型基金。</w:t>
      </w:r>
    </w:p>
    <w:p>
      <w:pPr>
        <w:pStyle w:val="BodyText"/>
        <w:spacing w:before="2"/>
        <w:ind w:left="618"/>
      </w:pPr>
      <w:r>
        <w:rPr/>
        <w:t>（一）各类别风险定义</w:t>
      </w:r>
    </w:p>
    <w:p>
      <w:pPr>
        <w:pStyle w:val="BodyText"/>
        <w:spacing w:line="364" w:lineRule="auto" w:before="160"/>
        <w:ind w:right="333" w:firstLine="479"/>
      </w:pPr>
      <w:r>
        <w:rPr>
          <w:rFonts w:ascii="Times New Roman" w:eastAsia="Times New Roman"/>
        </w:rPr>
        <w:t>1</w:t>
      </w:r>
      <w:r>
        <w:rPr>
          <w:spacing w:val="-10"/>
        </w:rPr>
        <w:t>、投资组合风险在基金日常管理风险过程中，由投资部对投资组合风险进</w:t>
      </w:r>
      <w:r>
        <w:rPr/>
        <w:t>行监控和管理。此类风险主要包括以下几种：</w:t>
      </w:r>
    </w:p>
    <w:p>
      <w:pPr>
        <w:spacing w:after="0" w:line="364" w:lineRule="auto"/>
        <w:sectPr>
          <w:pgSz w:w="11910" w:h="16840"/>
          <w:pgMar w:header="880" w:footer="1964" w:top="1380" w:bottom="2160" w:left="1660" w:right="1580"/>
        </w:sectPr>
      </w:pPr>
    </w:p>
    <w:p>
      <w:pPr>
        <w:pStyle w:val="ListParagraph"/>
        <w:numPr>
          <w:ilvl w:val="0"/>
          <w:numId w:val="12"/>
        </w:numPr>
        <w:tabs>
          <w:tab w:pos="1219" w:val="left" w:leader="none"/>
        </w:tabs>
        <w:spacing w:line="240" w:lineRule="auto" w:before="130" w:after="0"/>
        <w:ind w:left="1219" w:right="0" w:hanging="601"/>
        <w:jc w:val="left"/>
        <w:rPr>
          <w:sz w:val="24"/>
        </w:rPr>
      </w:pPr>
      <w:r>
        <w:rPr>
          <w:sz w:val="24"/>
        </w:rPr>
        <w:t>系统性风险：基金在投资中因市场原因而无法规避的风险；</w:t>
      </w:r>
    </w:p>
    <w:p>
      <w:pPr>
        <w:pStyle w:val="ListParagraph"/>
        <w:numPr>
          <w:ilvl w:val="0"/>
          <w:numId w:val="12"/>
        </w:numPr>
        <w:tabs>
          <w:tab w:pos="1219" w:val="left" w:leader="none"/>
        </w:tabs>
        <w:spacing w:line="364" w:lineRule="auto" w:before="160" w:after="0"/>
        <w:ind w:left="138" w:right="335" w:firstLine="479"/>
        <w:jc w:val="left"/>
        <w:rPr>
          <w:sz w:val="24"/>
        </w:rPr>
      </w:pPr>
      <w:r>
        <w:rPr>
          <w:spacing w:val="-7"/>
          <w:sz w:val="24"/>
        </w:rPr>
        <w:t>行业配置风险：基金中某行业投资比例出现与基准的较大偏差而可</w:t>
      </w:r>
      <w:r>
        <w:rPr>
          <w:spacing w:val="-4"/>
          <w:sz w:val="24"/>
        </w:rPr>
        <w:t>能产生的风险；</w:t>
      </w:r>
    </w:p>
    <w:p>
      <w:pPr>
        <w:pStyle w:val="ListParagraph"/>
        <w:numPr>
          <w:ilvl w:val="0"/>
          <w:numId w:val="12"/>
        </w:numPr>
        <w:tabs>
          <w:tab w:pos="1219" w:val="left" w:leader="none"/>
        </w:tabs>
        <w:spacing w:line="364" w:lineRule="auto" w:before="1" w:after="0"/>
        <w:ind w:left="138" w:right="334" w:firstLine="479"/>
        <w:jc w:val="left"/>
        <w:rPr>
          <w:sz w:val="24"/>
        </w:rPr>
      </w:pPr>
      <w:r>
        <w:rPr>
          <w:spacing w:val="-7"/>
          <w:sz w:val="24"/>
        </w:rPr>
        <w:t>证券选择风险：基金中某只股票的持仓比例出现与基准的较大偏差</w:t>
      </w:r>
      <w:r>
        <w:rPr>
          <w:spacing w:val="-4"/>
          <w:sz w:val="24"/>
        </w:rPr>
        <w:t>而可能产生的风险；</w:t>
      </w:r>
    </w:p>
    <w:p>
      <w:pPr>
        <w:pStyle w:val="ListParagraph"/>
        <w:numPr>
          <w:ilvl w:val="0"/>
          <w:numId w:val="12"/>
        </w:numPr>
        <w:tabs>
          <w:tab w:pos="1219" w:val="left" w:leader="none"/>
        </w:tabs>
        <w:spacing w:line="364" w:lineRule="auto" w:before="2" w:after="0"/>
        <w:ind w:left="138" w:right="335" w:firstLine="479"/>
        <w:jc w:val="left"/>
        <w:rPr>
          <w:sz w:val="24"/>
        </w:rPr>
      </w:pPr>
      <w:r>
        <w:rPr>
          <w:spacing w:val="-7"/>
          <w:sz w:val="24"/>
        </w:rPr>
        <w:t>风格风险：基金在投资风格上与基准之间产生偏差，偏重于某种风</w:t>
      </w:r>
      <w:r>
        <w:rPr>
          <w:spacing w:val="-4"/>
          <w:sz w:val="24"/>
        </w:rPr>
        <w:t>格而产生的风险。</w:t>
      </w:r>
    </w:p>
    <w:p>
      <w:pPr>
        <w:pStyle w:val="BodyText"/>
        <w:spacing w:line="364" w:lineRule="auto"/>
        <w:ind w:right="333" w:firstLine="479"/>
      </w:pPr>
      <w:r>
        <w:rPr>
          <w:rFonts w:ascii="Times New Roman" w:eastAsia="Times New Roman"/>
        </w:rPr>
        <w:t>2</w:t>
      </w:r>
      <w:r>
        <w:rPr>
          <w:spacing w:val="-11"/>
        </w:rPr>
        <w:t>、个股风险在基金日常管理风险过程中，由投资部对个股风险进行监控和</w:t>
      </w:r>
      <w:r>
        <w:rPr/>
        <w:t>管理。此类风险主要包括以下几种：</w:t>
      </w:r>
    </w:p>
    <w:p>
      <w:pPr>
        <w:pStyle w:val="ListParagraph"/>
        <w:numPr>
          <w:ilvl w:val="0"/>
          <w:numId w:val="13"/>
        </w:numPr>
        <w:tabs>
          <w:tab w:pos="1219" w:val="left" w:leader="none"/>
        </w:tabs>
        <w:spacing w:line="364" w:lineRule="auto" w:before="2" w:after="0"/>
        <w:ind w:left="138" w:right="335" w:firstLine="479"/>
        <w:jc w:val="left"/>
        <w:rPr>
          <w:sz w:val="24"/>
        </w:rPr>
      </w:pPr>
      <w:r>
        <w:rPr>
          <w:spacing w:val="-7"/>
          <w:sz w:val="24"/>
        </w:rPr>
        <w:t>财务风险：基金在投资过程中，由于对上市公司基本面特别是财务</w:t>
      </w:r>
      <w:r>
        <w:rPr>
          <w:spacing w:val="-4"/>
          <w:sz w:val="24"/>
        </w:rPr>
        <w:t>状况判断出现失误，造成基金资产净值受损的风险；</w:t>
      </w:r>
    </w:p>
    <w:p>
      <w:pPr>
        <w:pStyle w:val="ListParagraph"/>
        <w:numPr>
          <w:ilvl w:val="0"/>
          <w:numId w:val="13"/>
        </w:numPr>
        <w:tabs>
          <w:tab w:pos="1219" w:val="left" w:leader="none"/>
        </w:tabs>
        <w:spacing w:line="364" w:lineRule="auto" w:before="1" w:after="0"/>
        <w:ind w:left="138" w:right="332" w:firstLine="479"/>
        <w:jc w:val="left"/>
        <w:rPr>
          <w:sz w:val="24"/>
        </w:rPr>
      </w:pPr>
      <w:r>
        <w:rPr>
          <w:spacing w:val="-8"/>
          <w:sz w:val="24"/>
        </w:rPr>
        <w:t>流动性风险：基金资产不能迅速、低成本地转变成现金，或者不能应</w:t>
      </w:r>
      <w:r>
        <w:rPr>
          <w:sz w:val="24"/>
        </w:rPr>
        <w:t>付可能出现地投资者大额赎回的风险；</w:t>
      </w:r>
    </w:p>
    <w:p>
      <w:pPr>
        <w:pStyle w:val="ListParagraph"/>
        <w:numPr>
          <w:ilvl w:val="0"/>
          <w:numId w:val="13"/>
        </w:numPr>
        <w:tabs>
          <w:tab w:pos="1219" w:val="left" w:leader="none"/>
        </w:tabs>
        <w:spacing w:line="364" w:lineRule="auto" w:before="1" w:after="0"/>
        <w:ind w:left="138" w:right="335" w:firstLine="479"/>
        <w:jc w:val="left"/>
        <w:rPr>
          <w:sz w:val="24"/>
        </w:rPr>
      </w:pPr>
      <w:r>
        <w:rPr>
          <w:spacing w:val="-7"/>
          <w:sz w:val="24"/>
        </w:rPr>
        <w:t>价格风险：在一定时间期限内，当基金中某只证券的二级市场股票</w:t>
      </w:r>
      <w:r>
        <w:rPr>
          <w:spacing w:val="-4"/>
          <w:sz w:val="24"/>
        </w:rPr>
        <w:t>价格波动幅度超出一定比例。</w:t>
      </w:r>
    </w:p>
    <w:p>
      <w:pPr>
        <w:pStyle w:val="BodyText"/>
        <w:spacing w:line="364" w:lineRule="auto" w:before="2"/>
        <w:ind w:right="333" w:firstLine="479"/>
      </w:pPr>
      <w:r>
        <w:rPr>
          <w:rFonts w:ascii="Times New Roman" w:eastAsia="Times New Roman"/>
        </w:rPr>
        <w:t>3</w:t>
      </w:r>
      <w:r>
        <w:rPr>
          <w:spacing w:val="-10"/>
        </w:rPr>
        <w:t>、衍生工具风险在基金日常管理风险过程中，由投资部对个股风险进行监</w:t>
      </w:r>
      <w:r>
        <w:rPr/>
        <w:t>控和管理。目前，此类风险主要指由权证投资引发的风险。</w:t>
      </w:r>
    </w:p>
    <w:p>
      <w:pPr>
        <w:pStyle w:val="BodyText"/>
        <w:spacing w:line="364" w:lineRule="auto"/>
        <w:ind w:right="335" w:firstLine="479"/>
        <w:jc w:val="both"/>
      </w:pPr>
      <w:r>
        <w:rPr>
          <w:rFonts w:ascii="Times New Roman" w:eastAsia="Times New Roman"/>
        </w:rPr>
        <w:t>4</w:t>
      </w:r>
      <w:r>
        <w:rPr>
          <w:spacing w:val="-10"/>
        </w:rPr>
        <w:t>、作业执行风险在基金日常管理风险过程中，由运营部及法律、监察稽核</w:t>
      </w:r>
      <w:r>
        <w:rPr>
          <w:spacing w:val="-1"/>
        </w:rPr>
        <w:t>部对作业风险进行实时预警与监控。此类风险主要包括基金在日常操作中出现违反法规或公司相关管理制度，或者交易执行中的操作失误以及信息系统故障</w:t>
      </w:r>
      <w:r>
        <w:rPr/>
        <w:t>产生的风险。</w:t>
      </w:r>
    </w:p>
    <w:p>
      <w:pPr>
        <w:pStyle w:val="BodyText"/>
        <w:spacing w:before="3"/>
        <w:ind w:left="618"/>
      </w:pPr>
      <w:r>
        <w:rPr/>
        <w:t>（二）风险管理措施</w:t>
      </w:r>
    </w:p>
    <w:p>
      <w:pPr>
        <w:pStyle w:val="BodyText"/>
        <w:spacing w:line="364" w:lineRule="auto" w:before="160"/>
        <w:ind w:right="213" w:firstLine="479"/>
      </w:pPr>
      <w:r>
        <w:rPr>
          <w:rFonts w:ascii="Times New Roman" w:eastAsia="Times New Roman"/>
        </w:rPr>
        <w:t>1</w:t>
      </w:r>
      <w:r>
        <w:rPr>
          <w:spacing w:val="-16"/>
        </w:rPr>
        <w:t>、投资组合风险本公司运用国际通行的风险管理系统，以跟踪误差为核心， </w:t>
      </w:r>
      <w:r>
        <w:rPr/>
        <w:t>建立一整套评估指标测量、分析跟踪误差的构成，判断风格因素、行业因素、个股因素对跟踪误差的影响。同时，运用国际通行的回报分析系统将基金的超额回报</w:t>
      </w:r>
      <w:r>
        <w:rPr>
          <w:rFonts w:ascii="Times New Roman" w:eastAsia="Times New Roman"/>
        </w:rPr>
        <w:t>/</w:t>
      </w:r>
      <w:r>
        <w:rPr>
          <w:spacing w:val="-4"/>
        </w:rPr>
        <w:t>风险分解为时机选择、风格选择、行业选择、个股选择四类回报，有效地帮助基金管理人了解超额回报来源以及相应承受的风险水平，为基金管理人资产调整提供参考性的指引，以实现在有效控制组合风险的情况下获取更高的</w:t>
      </w:r>
    </w:p>
    <w:p>
      <w:pPr>
        <w:spacing w:after="0" w:line="364" w:lineRule="auto"/>
        <w:sectPr>
          <w:pgSz w:w="11910" w:h="16840"/>
          <w:pgMar w:header="880" w:footer="1964" w:top="1380" w:bottom="2160" w:left="1660" w:right="1580"/>
        </w:sectPr>
      </w:pPr>
    </w:p>
    <w:p>
      <w:pPr>
        <w:pStyle w:val="BodyText"/>
        <w:spacing w:before="130"/>
      </w:pPr>
      <w:r>
        <w:rPr/>
        <w:t>超额收益。</w:t>
      </w:r>
    </w:p>
    <w:p>
      <w:pPr>
        <w:pStyle w:val="BodyText"/>
        <w:spacing w:line="364" w:lineRule="auto" w:before="160"/>
        <w:ind w:right="332" w:firstLine="479"/>
        <w:jc w:val="both"/>
      </w:pPr>
      <w:r>
        <w:rPr>
          <w:rFonts w:ascii="Times New Roman" w:hAnsi="Times New Roman" w:eastAsia="Times New Roman"/>
        </w:rPr>
        <w:t>2</w:t>
      </w:r>
      <w:r>
        <w:rPr/>
        <w:t>、个股风险（</w:t>
      </w:r>
      <w:r>
        <w:rPr>
          <w:rFonts w:ascii="Times New Roman" w:hAnsi="Times New Roman" w:eastAsia="Times New Roman"/>
        </w:rPr>
        <w:t>1</w:t>
      </w:r>
      <w:r>
        <w:rPr/>
        <w:t>）财务风险。本公司投资以基本面为基础，个股的挑选不仅注重盈利的成长动能以及价值评估，还重视个股的财务风险。通过景顺长城“股票研究数据库</w:t>
      </w:r>
      <w:r>
        <w:rPr>
          <w:spacing w:val="4"/>
        </w:rPr>
        <w:t>（</w:t>
      </w:r>
      <w:r>
        <w:rPr>
          <w:rFonts w:ascii="Times New Roman" w:hAnsi="Times New Roman" w:eastAsia="Times New Roman"/>
          <w:spacing w:val="-2"/>
          <w:w w:val="99"/>
        </w:rPr>
        <w:t>S</w:t>
      </w:r>
      <w:r>
        <w:rPr>
          <w:rFonts w:ascii="Times New Roman" w:hAnsi="Times New Roman" w:eastAsia="Times New Roman"/>
        </w:rPr>
        <w:t>R</w:t>
      </w:r>
      <w:r>
        <w:rPr>
          <w:rFonts w:ascii="Times New Roman" w:hAnsi="Times New Roman" w:eastAsia="Times New Roman"/>
          <w:spacing w:val="2"/>
          <w:w w:val="99"/>
        </w:rPr>
        <w:t>D</w:t>
      </w:r>
      <w:r>
        <w:rPr>
          <w:spacing w:val="-118"/>
        </w:rPr>
        <w:t>）</w:t>
      </w:r>
      <w:r>
        <w:rPr>
          <w:spacing w:val="-12"/>
        </w:rPr>
        <w:t>”，详尽评估公司的财务状况，包括资产负债结构、</w:t>
      </w:r>
      <w:r>
        <w:rPr/>
        <w:t>现金流状况、营运状况、盈利能力等，并通过对所投资品种的实地调研及公司业绩的合理性分析，有效规避可能的财务风险。</w:t>
      </w:r>
    </w:p>
    <w:p>
      <w:pPr>
        <w:pStyle w:val="ListParagraph"/>
        <w:numPr>
          <w:ilvl w:val="0"/>
          <w:numId w:val="14"/>
        </w:numPr>
        <w:tabs>
          <w:tab w:pos="1219" w:val="left" w:leader="none"/>
        </w:tabs>
        <w:spacing w:line="364" w:lineRule="auto" w:before="3" w:after="0"/>
        <w:ind w:left="138" w:right="335" w:firstLine="479"/>
        <w:jc w:val="left"/>
        <w:rPr>
          <w:sz w:val="24"/>
        </w:rPr>
      </w:pPr>
      <w:r>
        <w:rPr>
          <w:spacing w:val="-6"/>
          <w:sz w:val="24"/>
        </w:rPr>
        <w:t>流动性风险。流动性风险管理的具体指标是行业集中度、个股集中</w:t>
      </w:r>
      <w:r>
        <w:rPr>
          <w:spacing w:val="-4"/>
          <w:sz w:val="24"/>
        </w:rPr>
        <w:t>度和流动性比率。</w:t>
      </w:r>
    </w:p>
    <w:p>
      <w:pPr>
        <w:pStyle w:val="ListParagraph"/>
        <w:numPr>
          <w:ilvl w:val="0"/>
          <w:numId w:val="14"/>
        </w:numPr>
        <w:tabs>
          <w:tab w:pos="1219" w:val="left" w:leader="none"/>
        </w:tabs>
        <w:spacing w:line="364" w:lineRule="auto" w:before="2" w:after="0"/>
        <w:ind w:left="138" w:right="335" w:firstLine="479"/>
        <w:jc w:val="left"/>
        <w:rPr>
          <w:sz w:val="24"/>
        </w:rPr>
      </w:pPr>
      <w:r>
        <w:rPr>
          <w:spacing w:val="-7"/>
          <w:sz w:val="24"/>
        </w:rPr>
        <w:t>价格风险。建立并执行实时价格异常监控机制，任何异常变化将通</w:t>
      </w:r>
      <w:r>
        <w:rPr>
          <w:spacing w:val="-4"/>
          <w:sz w:val="24"/>
        </w:rPr>
        <w:t>知相关研究人员分析调查。</w:t>
      </w:r>
    </w:p>
    <w:p>
      <w:pPr>
        <w:pStyle w:val="BodyText"/>
        <w:ind w:left="618"/>
      </w:pPr>
      <w:r>
        <w:rPr>
          <w:rFonts w:ascii="Times New Roman" w:eastAsia="Times New Roman"/>
        </w:rPr>
        <w:t>3</w:t>
      </w:r>
      <w:r>
        <w:rPr/>
        <w:t>、衍生工具风险对权证投资风险所采取的风险管理措施主要包括：</w:t>
      </w:r>
    </w:p>
    <w:p>
      <w:pPr>
        <w:pStyle w:val="ListParagraph"/>
        <w:numPr>
          <w:ilvl w:val="0"/>
          <w:numId w:val="15"/>
        </w:numPr>
        <w:tabs>
          <w:tab w:pos="1219" w:val="left" w:leader="none"/>
        </w:tabs>
        <w:spacing w:line="240" w:lineRule="auto" w:before="161" w:after="0"/>
        <w:ind w:left="1219" w:right="0" w:hanging="601"/>
        <w:jc w:val="left"/>
        <w:rPr>
          <w:sz w:val="24"/>
        </w:rPr>
      </w:pPr>
      <w:r>
        <w:rPr>
          <w:sz w:val="24"/>
        </w:rPr>
        <w:t>制定权证投资管理制度，并根据实际情况进行更新调整。</w:t>
      </w:r>
    </w:p>
    <w:p>
      <w:pPr>
        <w:pStyle w:val="ListParagraph"/>
        <w:numPr>
          <w:ilvl w:val="0"/>
          <w:numId w:val="15"/>
        </w:numPr>
        <w:tabs>
          <w:tab w:pos="1219" w:val="left" w:leader="none"/>
        </w:tabs>
        <w:spacing w:line="240" w:lineRule="auto" w:before="160" w:after="0"/>
        <w:ind w:left="1219" w:right="0" w:hanging="601"/>
        <w:jc w:val="left"/>
        <w:rPr>
          <w:sz w:val="24"/>
        </w:rPr>
      </w:pPr>
      <w:r>
        <w:rPr>
          <w:sz w:val="24"/>
        </w:rPr>
        <w:t>严格执行公司的投资管理制度。</w:t>
      </w:r>
    </w:p>
    <w:p>
      <w:pPr>
        <w:pStyle w:val="ListParagraph"/>
        <w:numPr>
          <w:ilvl w:val="0"/>
          <w:numId w:val="15"/>
        </w:numPr>
        <w:tabs>
          <w:tab w:pos="1219" w:val="left" w:leader="none"/>
        </w:tabs>
        <w:spacing w:line="240" w:lineRule="auto" w:before="161" w:after="0"/>
        <w:ind w:left="1219" w:right="0" w:hanging="601"/>
        <w:jc w:val="left"/>
        <w:rPr>
          <w:sz w:val="24"/>
        </w:rPr>
      </w:pPr>
      <w:r>
        <w:rPr>
          <w:sz w:val="24"/>
        </w:rPr>
        <w:t>对权证市场进行充分研究并定期对权证投资进行风险和绩效评估。</w:t>
      </w:r>
    </w:p>
    <w:p>
      <w:pPr>
        <w:pStyle w:val="BodyText"/>
        <w:spacing w:line="364" w:lineRule="auto" w:before="161"/>
        <w:ind w:right="315" w:firstLine="479"/>
      </w:pPr>
      <w:r>
        <w:rPr>
          <w:rFonts w:ascii="Times New Roman" w:eastAsia="Times New Roman"/>
        </w:rPr>
        <w:t>4</w:t>
      </w:r>
      <w:r>
        <w:rPr>
          <w:spacing w:val="-10"/>
        </w:rPr>
        <w:t>、作业执行风险作业执行风险识别与衡量的具体指标是法规限制和投资比</w:t>
      </w:r>
      <w:r>
        <w:rPr>
          <w:spacing w:val="14"/>
        </w:rPr>
        <w:t>例限制。本公司信息系统除定期进行数据备份之外，并定有灾难回复计划</w:t>
      </w:r>
    </w:p>
    <w:p>
      <w:pPr>
        <w:pStyle w:val="BodyText"/>
        <w:spacing w:line="364" w:lineRule="auto"/>
        <w:ind w:right="334"/>
      </w:pPr>
      <w:r>
        <w:rPr>
          <w:spacing w:val="-1"/>
        </w:rPr>
        <w:t>（</w:t>
      </w:r>
      <w:r>
        <w:rPr>
          <w:rFonts w:ascii="Times New Roman" w:eastAsia="Times New Roman"/>
          <w:spacing w:val="-2"/>
        </w:rPr>
        <w:t>B</w:t>
      </w:r>
      <w:r>
        <w:rPr>
          <w:rFonts w:ascii="Times New Roman" w:eastAsia="Times New Roman"/>
          <w:w w:val="99"/>
        </w:rPr>
        <w:t>usiness</w:t>
      </w:r>
      <w:r>
        <w:rPr>
          <w:rFonts w:ascii="Times New Roman" w:eastAsia="Times New Roman"/>
        </w:rPr>
        <w:t> R</w:t>
      </w:r>
      <w:r>
        <w:rPr>
          <w:rFonts w:ascii="Times New Roman" w:eastAsia="Times New Roman"/>
          <w:spacing w:val="-1"/>
        </w:rPr>
        <w:t>ec</w:t>
      </w:r>
      <w:r>
        <w:rPr>
          <w:rFonts w:ascii="Times New Roman" w:eastAsia="Times New Roman"/>
        </w:rPr>
        <w:t>o</w:t>
      </w:r>
      <w:r>
        <w:rPr>
          <w:rFonts w:ascii="Times New Roman" w:eastAsia="Times New Roman"/>
          <w:spacing w:val="2"/>
        </w:rPr>
        <w:t>v</w:t>
      </w:r>
      <w:r>
        <w:rPr>
          <w:rFonts w:ascii="Times New Roman" w:eastAsia="Times New Roman"/>
          <w:spacing w:val="-1"/>
        </w:rPr>
        <w:t>e</w:t>
      </w:r>
      <w:r>
        <w:rPr>
          <w:rFonts w:ascii="Times New Roman" w:eastAsia="Times New Roman"/>
          <w:spacing w:val="3"/>
        </w:rPr>
        <w:t>r</w:t>
      </w:r>
      <w:r>
        <w:rPr>
          <w:rFonts w:ascii="Times New Roman" w:eastAsia="Times New Roman"/>
        </w:rPr>
        <w:t>y </w:t>
      </w:r>
      <w:r>
        <w:rPr>
          <w:rFonts w:ascii="Times New Roman" w:eastAsia="Times New Roman"/>
          <w:w w:val="99"/>
        </w:rPr>
        <w:t>P</w:t>
      </w:r>
      <w:r>
        <w:rPr>
          <w:rFonts w:ascii="Times New Roman" w:eastAsia="Times New Roman"/>
        </w:rPr>
        <w:t>l</w:t>
      </w:r>
      <w:r>
        <w:rPr>
          <w:rFonts w:ascii="Times New Roman" w:eastAsia="Times New Roman"/>
          <w:spacing w:val="1"/>
        </w:rPr>
        <w:t>an</w:t>
      </w:r>
      <w:r>
        <w:rPr>
          <w:spacing w:val="-120"/>
        </w:rPr>
        <w:t>）</w:t>
      </w:r>
      <w:r>
        <w:rPr>
          <w:spacing w:val="-4"/>
        </w:rPr>
        <w:t>，确保公司操作系统可以在重大灾难发生后，迅速回</w:t>
      </w:r>
      <w:r>
        <w:rPr/>
        <w:t>复运作，以确保客户权益。</w:t>
      </w:r>
    </w:p>
    <w:p>
      <w:pPr>
        <w:pStyle w:val="BodyText"/>
        <w:ind w:left="618"/>
      </w:pPr>
      <w:r>
        <w:rPr/>
        <w:t>九、基金管理人代表基金行使股东权利的处理原则及方法</w:t>
      </w:r>
    </w:p>
    <w:p>
      <w:pPr>
        <w:pStyle w:val="BodyText"/>
        <w:spacing w:before="160"/>
        <w:ind w:left="618"/>
      </w:pPr>
      <w:r>
        <w:rPr>
          <w:rFonts w:ascii="Times New Roman" w:eastAsia="Times New Roman"/>
        </w:rPr>
        <w:t>1</w:t>
      </w:r>
      <w:r>
        <w:rPr/>
        <w:t>、不谋求对上市公司的控股，不参与所投资上市公司的经营管理；</w:t>
      </w:r>
    </w:p>
    <w:p>
      <w:pPr>
        <w:pStyle w:val="BodyText"/>
        <w:spacing w:before="161"/>
        <w:ind w:left="618"/>
      </w:pPr>
      <w:r>
        <w:rPr>
          <w:rFonts w:ascii="Times New Roman" w:eastAsia="Times New Roman"/>
        </w:rPr>
        <w:t>2</w:t>
      </w:r>
      <w:r>
        <w:rPr/>
        <w:t>、有利于基金资产的安全与增值；</w:t>
      </w:r>
    </w:p>
    <w:p>
      <w:pPr>
        <w:pStyle w:val="BodyText"/>
        <w:spacing w:line="364" w:lineRule="auto" w:before="161"/>
        <w:ind w:right="333" w:firstLine="479"/>
      </w:pPr>
      <w:r>
        <w:rPr>
          <w:rFonts w:ascii="Times New Roman" w:eastAsia="Times New Roman"/>
        </w:rPr>
        <w:t>3</w:t>
      </w:r>
      <w:r>
        <w:rPr>
          <w:spacing w:val="-10"/>
        </w:rPr>
        <w:t>、基金管理人按照国家有关规定代表基金独立行使股东权利，保护基金投</w:t>
      </w:r>
      <w:r>
        <w:rPr/>
        <w:t>资者的利益。</w:t>
      </w:r>
    </w:p>
    <w:p>
      <w:pPr>
        <w:pStyle w:val="BodyText"/>
        <w:spacing w:line="364" w:lineRule="auto"/>
        <w:ind w:right="331" w:firstLine="479"/>
      </w:pPr>
      <w:r>
        <w:rPr>
          <w:rFonts w:ascii="Times New Roman" w:eastAsia="Times New Roman"/>
        </w:rPr>
        <w:t>4</w:t>
      </w:r>
      <w:r>
        <w:rPr>
          <w:spacing w:val="-10"/>
        </w:rPr>
        <w:t>、基金管理人按照国家有关规定代表基金独立行使债权人权利，保护基金</w:t>
      </w:r>
      <w:r>
        <w:rPr/>
        <w:t>投资者的利益。</w:t>
      </w:r>
    </w:p>
    <w:p>
      <w:pPr>
        <w:pStyle w:val="BodyText"/>
        <w:spacing w:line="364" w:lineRule="auto"/>
        <w:ind w:left="618" w:right="1806"/>
      </w:pPr>
      <w:r>
        <w:rPr/>
        <w:t>十、基金的融资本基金可以按照国家的有关规定进行融资。十一、基金管理人和基金经理的承诺</w:t>
      </w:r>
    </w:p>
    <w:p>
      <w:pPr>
        <w:pStyle w:val="BodyText"/>
        <w:spacing w:before="2"/>
        <w:ind w:left="618"/>
      </w:pPr>
      <w:r>
        <w:rPr>
          <w:rFonts w:ascii="Times New Roman" w:eastAsia="Times New Roman"/>
        </w:rPr>
        <w:t>1</w:t>
      </w:r>
      <w:r>
        <w:rPr/>
        <w:t>、本基金管理人承诺严格遵守现行有效的相关法律、法规、规章、基金合</w:t>
      </w:r>
    </w:p>
    <w:p>
      <w:pPr>
        <w:spacing w:after="0"/>
        <w:sectPr>
          <w:pgSz w:w="11910" w:h="16840"/>
          <w:pgMar w:header="880" w:footer="1964" w:top="1380" w:bottom="2160" w:left="1660" w:right="1580"/>
        </w:sectPr>
      </w:pPr>
    </w:p>
    <w:p>
      <w:pPr>
        <w:pStyle w:val="BodyText"/>
        <w:spacing w:line="364" w:lineRule="auto" w:before="130"/>
        <w:ind w:right="340"/>
        <w:jc w:val="both"/>
      </w:pPr>
      <w:r>
        <w:rPr/>
        <w:t>同和中国证监会的有关规定，建立健全内部控制制度，采取有效措施，防止违反现行有效的有关法律、法规、规章、基金合同和中国证监会有关规定的行为发生。</w:t>
      </w:r>
    </w:p>
    <w:p>
      <w:pPr>
        <w:pStyle w:val="BodyText"/>
        <w:spacing w:line="364" w:lineRule="auto" w:before="2"/>
        <w:ind w:right="332" w:firstLine="479"/>
      </w:pPr>
      <w:r>
        <w:rPr>
          <w:rFonts w:ascii="Times New Roman" w:eastAsia="Times New Roman"/>
        </w:rPr>
        <w:t>2</w:t>
      </w:r>
      <w:r>
        <w:rPr>
          <w:spacing w:val="-19"/>
        </w:rPr>
        <w:t>、本基金管理人承诺严格遵守《证券法》、《基金法》及有关法律法规，建</w:t>
      </w:r>
      <w:r>
        <w:rPr/>
        <w:t>立健全的内部控制制度，采取有效措施，防止下列行为发生：</w:t>
      </w:r>
    </w:p>
    <w:p>
      <w:pPr>
        <w:pStyle w:val="ListParagraph"/>
        <w:numPr>
          <w:ilvl w:val="0"/>
          <w:numId w:val="16"/>
        </w:numPr>
        <w:tabs>
          <w:tab w:pos="1219" w:val="left" w:leader="none"/>
        </w:tabs>
        <w:spacing w:line="240" w:lineRule="auto" w:before="1" w:after="0"/>
        <w:ind w:left="1219" w:right="0" w:hanging="601"/>
        <w:jc w:val="left"/>
        <w:rPr>
          <w:sz w:val="24"/>
        </w:rPr>
      </w:pPr>
      <w:r>
        <w:rPr>
          <w:sz w:val="24"/>
        </w:rPr>
        <w:t>将其固有财产或者他人财产混同于基金财产从事证券投资；</w:t>
      </w:r>
    </w:p>
    <w:p>
      <w:pPr>
        <w:pStyle w:val="ListParagraph"/>
        <w:numPr>
          <w:ilvl w:val="0"/>
          <w:numId w:val="16"/>
        </w:numPr>
        <w:tabs>
          <w:tab w:pos="1219" w:val="left" w:leader="none"/>
        </w:tabs>
        <w:spacing w:line="240" w:lineRule="auto" w:before="160" w:after="0"/>
        <w:ind w:left="1219" w:right="0" w:hanging="601"/>
        <w:jc w:val="left"/>
        <w:rPr>
          <w:sz w:val="24"/>
        </w:rPr>
      </w:pPr>
      <w:r>
        <w:rPr>
          <w:sz w:val="24"/>
        </w:rPr>
        <w:t>不公平地对待其管理的不同基金财产；</w:t>
      </w:r>
    </w:p>
    <w:p>
      <w:pPr>
        <w:pStyle w:val="ListParagraph"/>
        <w:numPr>
          <w:ilvl w:val="0"/>
          <w:numId w:val="16"/>
        </w:numPr>
        <w:tabs>
          <w:tab w:pos="1219" w:val="left" w:leader="none"/>
        </w:tabs>
        <w:spacing w:line="240" w:lineRule="auto" w:before="161" w:after="0"/>
        <w:ind w:left="1219" w:right="0" w:hanging="601"/>
        <w:jc w:val="left"/>
        <w:rPr>
          <w:sz w:val="24"/>
        </w:rPr>
      </w:pPr>
      <w:r>
        <w:rPr>
          <w:sz w:val="24"/>
        </w:rPr>
        <w:t>利用基金财产为基金份额持有人以外的第三人谋取利益；</w:t>
      </w:r>
    </w:p>
    <w:p>
      <w:pPr>
        <w:pStyle w:val="ListParagraph"/>
        <w:numPr>
          <w:ilvl w:val="0"/>
          <w:numId w:val="16"/>
        </w:numPr>
        <w:tabs>
          <w:tab w:pos="1219" w:val="left" w:leader="none"/>
        </w:tabs>
        <w:spacing w:line="240" w:lineRule="auto" w:before="161" w:after="0"/>
        <w:ind w:left="1219" w:right="0" w:hanging="601"/>
        <w:jc w:val="left"/>
        <w:rPr>
          <w:sz w:val="24"/>
        </w:rPr>
      </w:pPr>
      <w:r>
        <w:rPr>
          <w:sz w:val="24"/>
        </w:rPr>
        <w:t>向基金份额持有人违规承诺收益或者承担损失；</w:t>
      </w:r>
    </w:p>
    <w:p>
      <w:pPr>
        <w:pStyle w:val="ListParagraph"/>
        <w:numPr>
          <w:ilvl w:val="0"/>
          <w:numId w:val="16"/>
        </w:numPr>
        <w:tabs>
          <w:tab w:pos="1219" w:val="left" w:leader="none"/>
        </w:tabs>
        <w:spacing w:line="240" w:lineRule="auto" w:before="160" w:after="0"/>
        <w:ind w:left="1219" w:right="0" w:hanging="601"/>
        <w:jc w:val="left"/>
        <w:rPr>
          <w:sz w:val="24"/>
        </w:rPr>
      </w:pPr>
      <w:r>
        <w:rPr>
          <w:sz w:val="24"/>
        </w:rPr>
        <w:t>法律法规或中国证监会禁止的其他行为。</w:t>
      </w:r>
    </w:p>
    <w:p>
      <w:pPr>
        <w:pStyle w:val="BodyText"/>
        <w:spacing w:line="364" w:lineRule="auto" w:before="161"/>
        <w:ind w:right="332" w:firstLine="479"/>
      </w:pPr>
      <w:r>
        <w:rPr>
          <w:rFonts w:ascii="Times New Roman" w:eastAsia="Times New Roman"/>
        </w:rPr>
        <w:t>3</w:t>
      </w:r>
      <w:r>
        <w:rPr>
          <w:spacing w:val="-10"/>
        </w:rPr>
        <w:t>、本基金管理人承诺加强人员管理，强化职业操守，督促和约束员工遵守</w:t>
      </w:r>
      <w:r>
        <w:rPr/>
        <w:t>国家有关法律、法规及行业规范，诚实信用、勤勉尽责，不从事以下活动：</w:t>
      </w:r>
    </w:p>
    <w:p>
      <w:pPr>
        <w:pStyle w:val="ListParagraph"/>
        <w:numPr>
          <w:ilvl w:val="0"/>
          <w:numId w:val="17"/>
        </w:numPr>
        <w:tabs>
          <w:tab w:pos="1219" w:val="left" w:leader="none"/>
        </w:tabs>
        <w:spacing w:line="240" w:lineRule="auto" w:before="1" w:after="0"/>
        <w:ind w:left="1219" w:right="0" w:hanging="601"/>
        <w:jc w:val="left"/>
        <w:rPr>
          <w:sz w:val="24"/>
        </w:rPr>
      </w:pPr>
      <w:r>
        <w:rPr>
          <w:sz w:val="24"/>
        </w:rPr>
        <w:t>越权或违规经营；</w:t>
      </w:r>
    </w:p>
    <w:p>
      <w:pPr>
        <w:pStyle w:val="ListParagraph"/>
        <w:numPr>
          <w:ilvl w:val="0"/>
          <w:numId w:val="17"/>
        </w:numPr>
        <w:tabs>
          <w:tab w:pos="1219" w:val="left" w:leader="none"/>
        </w:tabs>
        <w:spacing w:line="240" w:lineRule="auto" w:before="161" w:after="0"/>
        <w:ind w:left="1219" w:right="0" w:hanging="601"/>
        <w:jc w:val="left"/>
        <w:rPr>
          <w:sz w:val="24"/>
        </w:rPr>
      </w:pPr>
      <w:r>
        <w:rPr>
          <w:sz w:val="24"/>
        </w:rPr>
        <w:t>违反基金合同或托管协议；</w:t>
      </w:r>
    </w:p>
    <w:p>
      <w:pPr>
        <w:pStyle w:val="ListParagraph"/>
        <w:numPr>
          <w:ilvl w:val="0"/>
          <w:numId w:val="17"/>
        </w:numPr>
        <w:tabs>
          <w:tab w:pos="1219" w:val="left" w:leader="none"/>
        </w:tabs>
        <w:spacing w:line="240" w:lineRule="auto" w:before="160" w:after="0"/>
        <w:ind w:left="1219" w:right="0" w:hanging="601"/>
        <w:jc w:val="left"/>
        <w:rPr>
          <w:sz w:val="24"/>
        </w:rPr>
      </w:pPr>
      <w:r>
        <w:rPr>
          <w:sz w:val="24"/>
        </w:rPr>
        <w:t>故意损害基金份额持有人或其他基金相关机构的合法利益；</w:t>
      </w:r>
    </w:p>
    <w:p>
      <w:pPr>
        <w:pStyle w:val="ListParagraph"/>
        <w:numPr>
          <w:ilvl w:val="0"/>
          <w:numId w:val="17"/>
        </w:numPr>
        <w:tabs>
          <w:tab w:pos="1219" w:val="left" w:leader="none"/>
        </w:tabs>
        <w:spacing w:line="240" w:lineRule="auto" w:before="161" w:after="0"/>
        <w:ind w:left="1219" w:right="0" w:hanging="601"/>
        <w:jc w:val="left"/>
        <w:rPr>
          <w:sz w:val="24"/>
        </w:rPr>
      </w:pPr>
      <w:r>
        <w:rPr>
          <w:sz w:val="24"/>
        </w:rPr>
        <w:t>在向中国证监会报送的资料中弄虚作假；</w:t>
      </w:r>
    </w:p>
    <w:p>
      <w:pPr>
        <w:pStyle w:val="ListParagraph"/>
        <w:numPr>
          <w:ilvl w:val="0"/>
          <w:numId w:val="17"/>
        </w:numPr>
        <w:tabs>
          <w:tab w:pos="1219" w:val="left" w:leader="none"/>
        </w:tabs>
        <w:spacing w:line="240" w:lineRule="auto" w:before="160" w:after="0"/>
        <w:ind w:left="1219" w:right="0" w:hanging="601"/>
        <w:jc w:val="left"/>
        <w:rPr>
          <w:sz w:val="24"/>
        </w:rPr>
      </w:pPr>
      <w:r>
        <w:rPr>
          <w:sz w:val="24"/>
        </w:rPr>
        <w:t>拒绝、干扰、阻挠或严重影响中国证监会依法监管；</w:t>
      </w:r>
    </w:p>
    <w:p>
      <w:pPr>
        <w:pStyle w:val="ListParagraph"/>
        <w:numPr>
          <w:ilvl w:val="0"/>
          <w:numId w:val="17"/>
        </w:numPr>
        <w:tabs>
          <w:tab w:pos="1219" w:val="left" w:leader="none"/>
        </w:tabs>
        <w:spacing w:line="240" w:lineRule="auto" w:before="161" w:after="0"/>
        <w:ind w:left="1219" w:right="0" w:hanging="601"/>
        <w:jc w:val="left"/>
        <w:rPr>
          <w:sz w:val="24"/>
        </w:rPr>
      </w:pPr>
      <w:r>
        <w:rPr>
          <w:sz w:val="24"/>
        </w:rPr>
        <w:t>玩忽职守、滥用职权；</w:t>
      </w:r>
    </w:p>
    <w:p>
      <w:pPr>
        <w:pStyle w:val="ListParagraph"/>
        <w:numPr>
          <w:ilvl w:val="0"/>
          <w:numId w:val="17"/>
        </w:numPr>
        <w:tabs>
          <w:tab w:pos="1219" w:val="left" w:leader="none"/>
        </w:tabs>
        <w:spacing w:line="364" w:lineRule="auto" w:before="160" w:after="0"/>
        <w:ind w:left="138" w:right="332" w:firstLine="479"/>
        <w:jc w:val="both"/>
        <w:rPr>
          <w:sz w:val="24"/>
        </w:rPr>
      </w:pPr>
      <w:r>
        <w:rPr>
          <w:spacing w:val="-6"/>
          <w:sz w:val="24"/>
        </w:rPr>
        <w:t>违反现行有效的有关法律、法规、规章、基金合同和中国证监会的有</w:t>
      </w:r>
      <w:r>
        <w:rPr>
          <w:sz w:val="24"/>
        </w:rPr>
        <w:t>关规定，泄漏在任职期间知悉的有关证券、基金的商业秘密，尚未依法公开的基金投资内容、基金投资计划等信息；</w:t>
      </w:r>
    </w:p>
    <w:p>
      <w:pPr>
        <w:pStyle w:val="ListParagraph"/>
        <w:numPr>
          <w:ilvl w:val="0"/>
          <w:numId w:val="17"/>
        </w:numPr>
        <w:tabs>
          <w:tab w:pos="1219" w:val="left" w:leader="none"/>
        </w:tabs>
        <w:spacing w:line="364" w:lineRule="auto" w:before="3" w:after="0"/>
        <w:ind w:left="138" w:right="246" w:firstLine="479"/>
        <w:jc w:val="left"/>
        <w:rPr>
          <w:sz w:val="24"/>
        </w:rPr>
      </w:pPr>
      <w:r>
        <w:rPr>
          <w:spacing w:val="-1"/>
          <w:sz w:val="24"/>
        </w:rPr>
        <w:t>违反证券交易场所业务规则，利用对敲、倒仓等手段操纵市场价格， </w:t>
      </w:r>
      <w:r>
        <w:rPr>
          <w:sz w:val="24"/>
        </w:rPr>
        <w:t>扰乱市场秩序；</w:t>
      </w:r>
    </w:p>
    <w:p>
      <w:pPr>
        <w:pStyle w:val="ListParagraph"/>
        <w:numPr>
          <w:ilvl w:val="0"/>
          <w:numId w:val="17"/>
        </w:numPr>
        <w:tabs>
          <w:tab w:pos="1219" w:val="left" w:leader="none"/>
        </w:tabs>
        <w:spacing w:line="240" w:lineRule="auto" w:before="1" w:after="0"/>
        <w:ind w:left="1219" w:right="0" w:hanging="601"/>
        <w:jc w:val="left"/>
        <w:rPr>
          <w:sz w:val="24"/>
        </w:rPr>
      </w:pPr>
      <w:r>
        <w:rPr>
          <w:sz w:val="24"/>
        </w:rPr>
        <w:t>贬损同行，以抬高自己；</w:t>
      </w:r>
    </w:p>
    <w:p>
      <w:pPr>
        <w:pStyle w:val="ListParagraph"/>
        <w:numPr>
          <w:ilvl w:val="0"/>
          <w:numId w:val="17"/>
        </w:numPr>
        <w:tabs>
          <w:tab w:pos="1339" w:val="left" w:leader="none"/>
        </w:tabs>
        <w:spacing w:line="240" w:lineRule="auto" w:before="161" w:after="0"/>
        <w:ind w:left="1339" w:right="0" w:hanging="721"/>
        <w:jc w:val="left"/>
        <w:rPr>
          <w:sz w:val="24"/>
        </w:rPr>
      </w:pPr>
      <w:r>
        <w:rPr>
          <w:sz w:val="24"/>
        </w:rPr>
        <w:t>以不正当手段谋求业务发展；</w:t>
      </w:r>
    </w:p>
    <w:p>
      <w:pPr>
        <w:pStyle w:val="ListParagraph"/>
        <w:numPr>
          <w:ilvl w:val="0"/>
          <w:numId w:val="17"/>
        </w:numPr>
        <w:tabs>
          <w:tab w:pos="1330" w:val="left" w:leader="none"/>
        </w:tabs>
        <w:spacing w:line="240" w:lineRule="auto" w:before="160" w:after="0"/>
        <w:ind w:left="1329" w:right="0" w:hanging="712"/>
        <w:jc w:val="left"/>
        <w:rPr>
          <w:sz w:val="24"/>
        </w:rPr>
      </w:pPr>
      <w:r>
        <w:rPr>
          <w:sz w:val="24"/>
        </w:rPr>
        <w:t>有悖社会公德，损害证券投资基金人员形象；</w:t>
      </w:r>
    </w:p>
    <w:p>
      <w:pPr>
        <w:pStyle w:val="ListParagraph"/>
        <w:numPr>
          <w:ilvl w:val="0"/>
          <w:numId w:val="17"/>
        </w:numPr>
        <w:tabs>
          <w:tab w:pos="1339" w:val="left" w:leader="none"/>
        </w:tabs>
        <w:spacing w:line="240" w:lineRule="auto" w:before="160" w:after="0"/>
        <w:ind w:left="1339" w:right="0" w:hanging="721"/>
        <w:jc w:val="left"/>
        <w:rPr>
          <w:sz w:val="24"/>
        </w:rPr>
      </w:pPr>
      <w:r>
        <w:rPr>
          <w:sz w:val="24"/>
        </w:rPr>
        <w:t>在公开信息披露和广告中故意含有虚假、误导、欺诈成分；</w:t>
      </w:r>
    </w:p>
    <w:p>
      <w:pPr>
        <w:pStyle w:val="ListParagraph"/>
        <w:numPr>
          <w:ilvl w:val="0"/>
          <w:numId w:val="17"/>
        </w:numPr>
        <w:tabs>
          <w:tab w:pos="1339" w:val="left" w:leader="none"/>
        </w:tabs>
        <w:spacing w:line="240" w:lineRule="auto" w:before="161" w:after="0"/>
        <w:ind w:left="1339" w:right="0" w:hanging="721"/>
        <w:jc w:val="left"/>
        <w:rPr>
          <w:sz w:val="24"/>
        </w:rPr>
      </w:pPr>
      <w:r>
        <w:rPr>
          <w:sz w:val="24"/>
        </w:rPr>
        <w:t>其他法律、行政法规以及中国证监会禁止的行为。</w:t>
      </w:r>
    </w:p>
    <w:p>
      <w:pPr>
        <w:spacing w:after="0" w:line="240" w:lineRule="auto"/>
        <w:jc w:val="left"/>
        <w:rPr>
          <w:sz w:val="24"/>
        </w:rPr>
        <w:sectPr>
          <w:pgSz w:w="11910" w:h="16840"/>
          <w:pgMar w:header="880" w:footer="1964" w:top="1380" w:bottom="2160" w:left="1660" w:right="1580"/>
        </w:sectPr>
      </w:pPr>
    </w:p>
    <w:p>
      <w:pPr>
        <w:pStyle w:val="BodyText"/>
        <w:spacing w:before="130"/>
        <w:ind w:left="618"/>
      </w:pPr>
      <w:r>
        <w:rPr>
          <w:rFonts w:ascii="Times New Roman" w:eastAsia="Times New Roman"/>
        </w:rPr>
        <w:t>4</w:t>
      </w:r>
      <w:r>
        <w:rPr/>
        <w:t>、基金经理承诺</w:t>
      </w:r>
    </w:p>
    <w:p>
      <w:pPr>
        <w:pStyle w:val="ListParagraph"/>
        <w:numPr>
          <w:ilvl w:val="0"/>
          <w:numId w:val="18"/>
        </w:numPr>
        <w:tabs>
          <w:tab w:pos="1219" w:val="left" w:leader="none"/>
        </w:tabs>
        <w:spacing w:line="364" w:lineRule="auto" w:before="160" w:after="0"/>
        <w:ind w:left="138" w:right="335" w:firstLine="479"/>
        <w:jc w:val="left"/>
        <w:rPr>
          <w:sz w:val="24"/>
        </w:rPr>
      </w:pPr>
      <w:r>
        <w:rPr>
          <w:spacing w:val="-7"/>
          <w:sz w:val="24"/>
        </w:rPr>
        <w:t>依照有关法律、法规和基金合同的规定，本着谨慎的原则为基金份</w:t>
      </w:r>
      <w:r>
        <w:rPr>
          <w:spacing w:val="-4"/>
          <w:sz w:val="24"/>
        </w:rPr>
        <w:t>额持有人谋取最大利益；</w:t>
      </w:r>
    </w:p>
    <w:p>
      <w:pPr>
        <w:pStyle w:val="ListParagraph"/>
        <w:numPr>
          <w:ilvl w:val="0"/>
          <w:numId w:val="18"/>
        </w:numPr>
        <w:tabs>
          <w:tab w:pos="1219" w:val="left" w:leader="none"/>
        </w:tabs>
        <w:spacing w:line="240" w:lineRule="auto" w:before="1" w:after="0"/>
        <w:ind w:left="1219" w:right="0" w:hanging="601"/>
        <w:jc w:val="left"/>
        <w:rPr>
          <w:sz w:val="24"/>
        </w:rPr>
      </w:pPr>
      <w:r>
        <w:rPr>
          <w:sz w:val="24"/>
        </w:rPr>
        <w:t>不利用职务之便为自己及其代理人、受雇人或任何第三人谋取利益；</w:t>
      </w:r>
    </w:p>
    <w:p>
      <w:pPr>
        <w:pStyle w:val="ListParagraph"/>
        <w:numPr>
          <w:ilvl w:val="0"/>
          <w:numId w:val="18"/>
        </w:numPr>
        <w:tabs>
          <w:tab w:pos="1219" w:val="left" w:leader="none"/>
        </w:tabs>
        <w:spacing w:line="364" w:lineRule="auto" w:before="161" w:after="0"/>
        <w:ind w:left="138" w:right="332" w:firstLine="479"/>
        <w:jc w:val="both"/>
        <w:rPr>
          <w:sz w:val="24"/>
        </w:rPr>
      </w:pPr>
      <w:r>
        <w:rPr>
          <w:spacing w:val="-6"/>
          <w:sz w:val="24"/>
        </w:rPr>
        <w:t>不违反现行有效的有关法律、法规、规章、基金合同和中国证监会的</w:t>
      </w:r>
      <w:r>
        <w:rPr>
          <w:sz w:val="24"/>
        </w:rPr>
        <w:t>有关规定，泄漏在任职期间知悉的有关证券、基金的商业秘密、尚未依法公开的基金投资内容、基金投资计划等信息；</w:t>
      </w:r>
    </w:p>
    <w:p>
      <w:pPr>
        <w:pStyle w:val="ListParagraph"/>
        <w:numPr>
          <w:ilvl w:val="0"/>
          <w:numId w:val="18"/>
        </w:numPr>
        <w:tabs>
          <w:tab w:pos="1219" w:val="left" w:leader="none"/>
        </w:tabs>
        <w:spacing w:line="240" w:lineRule="auto" w:before="2" w:after="0"/>
        <w:ind w:left="1219" w:right="0" w:hanging="601"/>
        <w:jc w:val="left"/>
        <w:rPr>
          <w:sz w:val="24"/>
        </w:rPr>
      </w:pPr>
      <w:r>
        <w:rPr>
          <w:sz w:val="24"/>
        </w:rPr>
        <w:t>不从事损害基金财产和基金份额持有人利益的证券交易及其他活动。</w:t>
      </w:r>
    </w:p>
    <w:p>
      <w:pPr>
        <w:spacing w:after="0" w:line="240" w:lineRule="auto"/>
        <w:jc w:val="left"/>
        <w:rPr>
          <w:sz w:val="24"/>
        </w:rPr>
        <w:sectPr>
          <w:pgSz w:w="11910" w:h="16840"/>
          <w:pgMar w:header="880" w:footer="1964" w:top="1380" w:bottom="2160" w:left="1660" w:right="1580"/>
        </w:sectPr>
      </w:pPr>
    </w:p>
    <w:p>
      <w:pPr>
        <w:pStyle w:val="BodyText"/>
        <w:spacing w:before="8"/>
        <w:ind w:left="0"/>
        <w:rPr>
          <w:sz w:val="8"/>
        </w:rPr>
      </w:pPr>
    </w:p>
    <w:p>
      <w:pPr>
        <w:spacing w:before="58"/>
        <w:ind w:left="84" w:right="283" w:firstLine="0"/>
        <w:jc w:val="center"/>
        <w:rPr>
          <w:b/>
          <w:sz w:val="30"/>
        </w:rPr>
      </w:pPr>
      <w:bookmarkStart w:name="_bookmark13" w:id="14"/>
      <w:bookmarkEnd w:id="14"/>
      <w:r>
        <w:rPr/>
      </w:r>
      <w:r>
        <w:rPr>
          <w:b/>
          <w:sz w:val="30"/>
        </w:rPr>
        <w:t>十四、基金财产</w:t>
      </w:r>
    </w:p>
    <w:p>
      <w:pPr>
        <w:pStyle w:val="BodyText"/>
        <w:spacing w:line="364" w:lineRule="auto" w:before="201"/>
        <w:ind w:right="336" w:firstLine="479"/>
      </w:pPr>
      <w:r>
        <w:rPr/>
        <w:t>一、基金资产总值基金资产总值是指购买的各类证券及票据价值、银行存款本息和基金应收的申购基金款以及其他投资所形成的价值总和。</w:t>
      </w:r>
    </w:p>
    <w:p>
      <w:pPr>
        <w:pStyle w:val="BodyText"/>
        <w:ind w:left="618"/>
      </w:pPr>
      <w:r>
        <w:rPr/>
        <w:t>其构成主要有：</w:t>
      </w:r>
    </w:p>
    <w:p>
      <w:pPr>
        <w:pStyle w:val="BodyText"/>
        <w:spacing w:before="161"/>
        <w:ind w:left="618"/>
      </w:pPr>
      <w:r>
        <w:rPr>
          <w:rFonts w:ascii="Times New Roman" w:eastAsia="Times New Roman"/>
        </w:rPr>
        <w:t>1</w:t>
      </w:r>
      <w:r>
        <w:rPr/>
        <w:t>、银行存款及其应计利息；</w:t>
      </w:r>
    </w:p>
    <w:p>
      <w:pPr>
        <w:pStyle w:val="BodyText"/>
        <w:spacing w:before="160"/>
        <w:ind w:left="618"/>
      </w:pPr>
      <w:r>
        <w:rPr>
          <w:rFonts w:ascii="Times New Roman" w:eastAsia="Times New Roman"/>
        </w:rPr>
        <w:t>2</w:t>
      </w:r>
      <w:r>
        <w:rPr/>
        <w:t>、清算备付金及其应计利息；</w:t>
      </w:r>
    </w:p>
    <w:p>
      <w:pPr>
        <w:pStyle w:val="BodyText"/>
        <w:spacing w:before="161"/>
        <w:ind w:left="618"/>
      </w:pPr>
      <w:r>
        <w:rPr>
          <w:rFonts w:ascii="Times New Roman" w:eastAsia="Times New Roman"/>
        </w:rPr>
        <w:t>3</w:t>
      </w:r>
      <w:r>
        <w:rPr/>
        <w:t>、根据有关规定缴纳的保证金；</w:t>
      </w:r>
    </w:p>
    <w:p>
      <w:pPr>
        <w:pStyle w:val="BodyText"/>
        <w:spacing w:before="161"/>
        <w:ind w:left="618"/>
      </w:pPr>
      <w:r>
        <w:rPr>
          <w:rFonts w:ascii="Times New Roman" w:eastAsia="Times New Roman"/>
        </w:rPr>
        <w:t>4</w:t>
      </w:r>
      <w:r>
        <w:rPr/>
        <w:t>、应收证券交易清算款；</w:t>
      </w:r>
    </w:p>
    <w:p>
      <w:pPr>
        <w:pStyle w:val="BodyText"/>
        <w:spacing w:before="160"/>
        <w:ind w:left="618"/>
      </w:pPr>
      <w:r>
        <w:rPr>
          <w:rFonts w:ascii="Times New Roman" w:eastAsia="Times New Roman"/>
        </w:rPr>
        <w:t>5</w:t>
      </w:r>
      <w:r>
        <w:rPr/>
        <w:t>、应收申购款；</w:t>
      </w:r>
    </w:p>
    <w:p>
      <w:pPr>
        <w:pStyle w:val="BodyText"/>
        <w:spacing w:before="161"/>
        <w:ind w:left="618"/>
      </w:pPr>
      <w:r>
        <w:rPr>
          <w:rFonts w:ascii="Times New Roman" w:eastAsia="Times New Roman"/>
        </w:rPr>
        <w:t>6</w:t>
      </w:r>
      <w:r>
        <w:rPr/>
        <w:t>、股票投资及其估值调整；</w:t>
      </w:r>
    </w:p>
    <w:p>
      <w:pPr>
        <w:pStyle w:val="BodyText"/>
        <w:spacing w:before="160"/>
        <w:ind w:left="618"/>
      </w:pPr>
      <w:r>
        <w:rPr>
          <w:rFonts w:ascii="Times New Roman" w:eastAsia="Times New Roman"/>
        </w:rPr>
        <w:t>7</w:t>
      </w:r>
      <w:r>
        <w:rPr/>
        <w:t>、债券投资及其估值调整和应计利息；</w:t>
      </w:r>
    </w:p>
    <w:p>
      <w:pPr>
        <w:pStyle w:val="BodyText"/>
        <w:spacing w:before="161"/>
        <w:ind w:left="618"/>
      </w:pPr>
      <w:r>
        <w:rPr>
          <w:rFonts w:ascii="Times New Roman" w:eastAsia="Times New Roman"/>
        </w:rPr>
        <w:t>8</w:t>
      </w:r>
      <w:r>
        <w:rPr/>
        <w:t>、权证投资及其估值调整；</w:t>
      </w:r>
    </w:p>
    <w:p>
      <w:pPr>
        <w:pStyle w:val="BodyText"/>
        <w:spacing w:before="160"/>
        <w:ind w:left="618"/>
      </w:pPr>
      <w:r>
        <w:rPr>
          <w:rFonts w:ascii="Times New Roman" w:eastAsia="Times New Roman"/>
        </w:rPr>
        <w:t>9</w:t>
      </w:r>
      <w:r>
        <w:rPr/>
        <w:t>、其他投资及其估值调整；</w:t>
      </w:r>
    </w:p>
    <w:p>
      <w:pPr>
        <w:pStyle w:val="BodyText"/>
        <w:spacing w:before="161"/>
        <w:ind w:left="618"/>
      </w:pPr>
      <w:r>
        <w:rPr>
          <w:rFonts w:ascii="Times New Roman" w:eastAsia="Times New Roman"/>
        </w:rPr>
        <w:t>10</w:t>
      </w:r>
      <w:r>
        <w:rPr/>
        <w:t>、其他资产等。</w:t>
      </w:r>
    </w:p>
    <w:p>
      <w:pPr>
        <w:pStyle w:val="BodyText"/>
        <w:spacing w:line="364" w:lineRule="auto" w:before="161"/>
        <w:ind w:left="618" w:right="215"/>
      </w:pPr>
      <w:r>
        <w:rPr>
          <w:spacing w:val="-11"/>
        </w:rPr>
        <w:t>二、基金资产净值基金资产净值是指基金资产总值减去基金负债后的价值。</w:t>
      </w:r>
      <w:r>
        <w:rPr/>
        <w:t>三、基金财产的账户本基金以基金托管人的名义开立资金结算账户和托管</w:t>
      </w:r>
    </w:p>
    <w:p>
      <w:pPr>
        <w:pStyle w:val="BodyText"/>
        <w:spacing w:line="364" w:lineRule="auto"/>
        <w:ind w:right="338"/>
        <w:jc w:val="both"/>
      </w:pPr>
      <w:r>
        <w:rPr/>
        <w:t>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人自有的财产账户以及其他基金财产账户相独立。</w:t>
      </w:r>
    </w:p>
    <w:p>
      <w:pPr>
        <w:pStyle w:val="BodyText"/>
        <w:spacing w:line="364" w:lineRule="auto" w:before="2"/>
        <w:ind w:right="339" w:firstLine="479"/>
        <w:jc w:val="both"/>
      </w:pPr>
      <w:r>
        <w:rPr/>
        <w:t>四、基金财产的保管和处分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人和基金代销机构以其自有的财产承担其自身的法律责任，其债权人不得对本基金财产行使请求冻结、扣押或其他权利。除依法律法规和《基金合同》的规定处分外，基金财产不得被处分。</w:t>
      </w:r>
    </w:p>
    <w:p>
      <w:pPr>
        <w:spacing w:after="0" w:line="364" w:lineRule="auto"/>
        <w:jc w:val="both"/>
        <w:sectPr>
          <w:pgSz w:w="11910" w:h="16840"/>
          <w:pgMar w:header="880" w:footer="1964" w:top="1380" w:bottom="2160" w:left="1660" w:right="1580"/>
        </w:sectPr>
      </w:pPr>
    </w:p>
    <w:p>
      <w:pPr>
        <w:pStyle w:val="BodyText"/>
        <w:spacing w:line="364" w:lineRule="auto" w:before="130"/>
        <w:ind w:right="340" w:firstLine="479"/>
      </w:pPr>
      <w:r>
        <w:rPr/>
        <w:t>基金管理人管理运作基金财产所产生的债权，不得与其固有资产产生的债务相互抵消；</w:t>
      </w:r>
    </w:p>
    <w:p>
      <w:pPr>
        <w:pStyle w:val="BodyText"/>
        <w:spacing w:line="364" w:lineRule="auto"/>
        <w:ind w:right="341" w:firstLine="479"/>
      </w:pPr>
      <w:r>
        <w:rPr/>
        <w:t>基金管理人管理运作不同基金的基金财产所产生的债权债务不得相互抵消。</w:t>
      </w:r>
    </w:p>
    <w:p>
      <w:pPr>
        <w:spacing w:after="0" w:line="364" w:lineRule="auto"/>
        <w:sectPr>
          <w:pgSz w:w="11910" w:h="16840"/>
          <w:pgMar w:header="880" w:footer="1964" w:top="1380" w:bottom="2160" w:left="1660" w:right="1580"/>
        </w:sectPr>
      </w:pPr>
    </w:p>
    <w:p>
      <w:pPr>
        <w:pStyle w:val="BodyText"/>
        <w:spacing w:before="8"/>
        <w:ind w:left="0"/>
        <w:rPr>
          <w:sz w:val="8"/>
        </w:rPr>
      </w:pPr>
    </w:p>
    <w:p>
      <w:pPr>
        <w:spacing w:before="58"/>
        <w:ind w:left="86" w:right="283" w:firstLine="0"/>
        <w:jc w:val="center"/>
        <w:rPr>
          <w:b/>
          <w:sz w:val="30"/>
        </w:rPr>
      </w:pPr>
      <w:bookmarkStart w:name="_bookmark14" w:id="15"/>
      <w:bookmarkEnd w:id="15"/>
      <w:r>
        <w:rPr/>
      </w:r>
      <w:r>
        <w:rPr>
          <w:b/>
          <w:sz w:val="30"/>
        </w:rPr>
        <w:t>十五、基金资产估值</w:t>
      </w:r>
    </w:p>
    <w:p>
      <w:pPr>
        <w:pStyle w:val="BodyText"/>
        <w:spacing w:before="201"/>
        <w:ind w:left="618"/>
      </w:pPr>
      <w:r>
        <w:rPr/>
        <w:t>一、估值目的</w:t>
      </w:r>
    </w:p>
    <w:p>
      <w:pPr>
        <w:pStyle w:val="BodyText"/>
        <w:spacing w:line="364" w:lineRule="auto" w:before="160"/>
        <w:ind w:right="340" w:firstLine="479"/>
      </w:pPr>
      <w:r>
        <w:rPr/>
        <w:t>基金资产的估值目的是客观、准确地反映基金相关金融资产的公允价值， 并为基金份额提供计价依据。</w:t>
      </w:r>
    </w:p>
    <w:p>
      <w:pPr>
        <w:pStyle w:val="BodyText"/>
        <w:spacing w:before="2"/>
        <w:ind w:left="618"/>
      </w:pPr>
      <w:r>
        <w:rPr/>
        <w:t>二、估值日</w:t>
      </w:r>
    </w:p>
    <w:p>
      <w:pPr>
        <w:pStyle w:val="BodyText"/>
        <w:spacing w:line="364" w:lineRule="auto" w:before="160"/>
        <w:ind w:right="340" w:firstLine="479"/>
      </w:pPr>
      <w:r>
        <w:rPr/>
        <w:t>本基金的估值日为相关的证券交易场所的正常营业日，以及国家法律法规规定需要对外披露基金净值的非营业日。</w:t>
      </w:r>
    </w:p>
    <w:p>
      <w:pPr>
        <w:pStyle w:val="BodyText"/>
        <w:spacing w:before="2"/>
        <w:ind w:left="618"/>
      </w:pPr>
      <w:r>
        <w:rPr/>
        <w:t>三、估值对象</w:t>
      </w:r>
    </w:p>
    <w:p>
      <w:pPr>
        <w:pStyle w:val="BodyText"/>
        <w:spacing w:line="364" w:lineRule="auto" w:before="160"/>
        <w:ind w:left="618" w:right="2526"/>
      </w:pPr>
      <w:r>
        <w:rPr>
          <w:spacing w:val="-1"/>
        </w:rPr>
        <w:t>基金依法拥有的股票、债券、权证及其他基金资产。</w:t>
      </w:r>
      <w:r>
        <w:rPr/>
        <w:t>四、估值方法</w:t>
      </w:r>
    </w:p>
    <w:p>
      <w:pPr>
        <w:pStyle w:val="BodyText"/>
        <w:spacing w:before="2"/>
        <w:ind w:left="618"/>
      </w:pPr>
      <w:r>
        <w:rPr>
          <w:rFonts w:ascii="Times New Roman" w:eastAsia="Times New Roman"/>
        </w:rPr>
        <w:t>1</w:t>
      </w:r>
      <w:r>
        <w:rPr/>
        <w:t>、股票估值方法：</w:t>
      </w:r>
    </w:p>
    <w:p>
      <w:pPr>
        <w:pStyle w:val="ListParagraph"/>
        <w:numPr>
          <w:ilvl w:val="0"/>
          <w:numId w:val="19"/>
        </w:numPr>
        <w:tabs>
          <w:tab w:pos="1219" w:val="left" w:leader="none"/>
        </w:tabs>
        <w:spacing w:line="364" w:lineRule="auto" w:before="160" w:after="0"/>
        <w:ind w:left="138" w:right="213" w:firstLine="479"/>
        <w:jc w:val="left"/>
        <w:rPr>
          <w:sz w:val="24"/>
        </w:rPr>
      </w:pPr>
      <w:r>
        <w:rPr>
          <w:spacing w:val="-2"/>
          <w:sz w:val="24"/>
        </w:rPr>
        <w:t>上市流通股票按估值日其所在证券交易所的收盘价估值；估值日无交</w:t>
      </w:r>
      <w:r>
        <w:rPr>
          <w:spacing w:val="-11"/>
          <w:sz w:val="24"/>
        </w:rPr>
        <w:t>易的，且最近交易日后经济环境未发生重大变化，以最近交易日的收盘价估值； </w:t>
      </w:r>
      <w:r>
        <w:rPr>
          <w:sz w:val="24"/>
        </w:rPr>
        <w:t>如果估值日无交易，且最近交易日后经济环境发生了重大变化的，将参考类似投资品种的现行市价及重大变化因素，调整最近交易日收盘价，确定公允价值进行估值。</w:t>
      </w:r>
    </w:p>
    <w:p>
      <w:pPr>
        <w:pStyle w:val="ListParagraph"/>
        <w:numPr>
          <w:ilvl w:val="0"/>
          <w:numId w:val="19"/>
        </w:numPr>
        <w:tabs>
          <w:tab w:pos="1219" w:val="left" w:leader="none"/>
        </w:tabs>
        <w:spacing w:line="240" w:lineRule="auto" w:before="3" w:after="0"/>
        <w:ind w:left="1219" w:right="0" w:hanging="601"/>
        <w:jc w:val="left"/>
        <w:rPr>
          <w:sz w:val="24"/>
        </w:rPr>
      </w:pPr>
      <w:r>
        <w:rPr>
          <w:sz w:val="24"/>
        </w:rPr>
        <w:t>未上市股票的估值：</w:t>
      </w:r>
    </w:p>
    <w:p>
      <w:pPr>
        <w:pStyle w:val="BodyText"/>
        <w:spacing w:line="364" w:lineRule="auto" w:before="161"/>
        <w:ind w:right="340" w:firstLine="479"/>
      </w:pPr>
      <w:r>
        <w:rPr>
          <w:spacing w:val="-1"/>
        </w:rPr>
        <w:t>①首次发行未上市的股票，采用估值技术确定公允价值，在估值技术难以</w:t>
      </w:r>
      <w:r>
        <w:rPr/>
        <w:t>可靠计量公允价值的情况下，按成本价估值；</w:t>
      </w:r>
    </w:p>
    <w:p>
      <w:pPr>
        <w:pStyle w:val="BodyText"/>
        <w:spacing w:line="364" w:lineRule="auto"/>
        <w:ind w:right="340" w:firstLine="479"/>
      </w:pPr>
      <w:r>
        <w:rPr>
          <w:spacing w:val="-1"/>
        </w:rPr>
        <w:t>②送股、转增股、配股和公开增发新股等发行未上市的股票，按估值日在</w:t>
      </w:r>
      <w:r>
        <w:rPr/>
        <w:t>证券交易所上市的同一股票的市价进行估值；</w:t>
      </w:r>
    </w:p>
    <w:p>
      <w:pPr>
        <w:pStyle w:val="BodyText"/>
        <w:spacing w:line="364" w:lineRule="auto" w:before="2"/>
        <w:ind w:right="333" w:firstLine="479"/>
        <w:jc w:val="both"/>
      </w:pPr>
      <w:r>
        <w:rPr/>
        <w:t>③流通受限的股票，包括非公开发行股票、首次公开发行股票时公司股东公开发售股份、通过大宗交易取得的带限售期的股票等（不包括停牌、新发行</w:t>
      </w:r>
      <w:r>
        <w:rPr>
          <w:spacing w:val="-7"/>
        </w:rPr>
        <w:t>未上市、回购交易中的质押券等流通受限股票</w:t>
      </w:r>
      <w:r>
        <w:rPr>
          <w:spacing w:val="-83"/>
        </w:rPr>
        <w:t>）</w:t>
      </w:r>
      <w:r>
        <w:rPr>
          <w:spacing w:val="-11"/>
        </w:rPr>
        <w:t>，按监管机构或行业协会有关规</w:t>
      </w:r>
      <w:r>
        <w:rPr/>
        <w:t>定确定公允价值。</w:t>
      </w:r>
    </w:p>
    <w:p>
      <w:pPr>
        <w:pStyle w:val="ListParagraph"/>
        <w:numPr>
          <w:ilvl w:val="0"/>
          <w:numId w:val="19"/>
        </w:numPr>
        <w:tabs>
          <w:tab w:pos="1219" w:val="left" w:leader="none"/>
        </w:tabs>
        <w:spacing w:line="364" w:lineRule="auto" w:before="2" w:after="0"/>
        <w:ind w:left="138" w:right="334" w:firstLine="479"/>
        <w:jc w:val="left"/>
        <w:rPr>
          <w:sz w:val="24"/>
        </w:rPr>
      </w:pPr>
      <w:r>
        <w:rPr>
          <w:spacing w:val="-4"/>
          <w:sz w:val="24"/>
        </w:rPr>
        <w:t>在任何情况下，基金管理人如采用本项第</w:t>
      </w:r>
      <w:r>
        <w:rPr>
          <w:spacing w:val="-7"/>
          <w:sz w:val="24"/>
        </w:rPr>
        <w:t>（</w:t>
      </w:r>
      <w:r>
        <w:rPr>
          <w:rFonts w:ascii="Times New Roman" w:eastAsia="Times New Roman"/>
          <w:spacing w:val="-7"/>
          <w:sz w:val="24"/>
        </w:rPr>
        <w:t>1</w:t>
      </w:r>
      <w:r>
        <w:rPr>
          <w:spacing w:val="-7"/>
          <w:sz w:val="24"/>
        </w:rPr>
        <w:t>）－（</w:t>
      </w:r>
      <w:r>
        <w:rPr>
          <w:rFonts w:ascii="Times New Roman" w:eastAsia="Times New Roman"/>
          <w:spacing w:val="-7"/>
          <w:sz w:val="24"/>
        </w:rPr>
        <w:t>2</w:t>
      </w:r>
      <w:r>
        <w:rPr>
          <w:spacing w:val="-7"/>
          <w:sz w:val="24"/>
        </w:rPr>
        <w:t>）</w:t>
      </w:r>
      <w:r>
        <w:rPr>
          <w:spacing w:val="-3"/>
          <w:sz w:val="24"/>
        </w:rPr>
        <w:t>小项规定的方</w:t>
      </w:r>
      <w:r>
        <w:rPr>
          <w:sz w:val="24"/>
        </w:rPr>
        <w:t>法对基金资产进行估值，均应被认为采用了适当的估值方法。但是，如果基金</w:t>
      </w:r>
    </w:p>
    <w:p>
      <w:pPr>
        <w:spacing w:after="0" w:line="364" w:lineRule="auto"/>
        <w:jc w:val="left"/>
        <w:rPr>
          <w:sz w:val="24"/>
        </w:rPr>
        <w:sectPr>
          <w:pgSz w:w="11910" w:h="16840"/>
          <w:pgMar w:header="880" w:footer="1964" w:top="1380" w:bottom="2160" w:left="1660" w:right="1580"/>
        </w:sectPr>
      </w:pPr>
    </w:p>
    <w:p>
      <w:pPr>
        <w:pStyle w:val="BodyText"/>
        <w:spacing w:line="364" w:lineRule="auto" w:before="130"/>
        <w:ind w:right="338"/>
        <w:jc w:val="both"/>
      </w:pPr>
      <w:r>
        <w:rPr/>
        <w:t>管理人认为按本项第（</w:t>
      </w:r>
      <w:r>
        <w:rPr>
          <w:rFonts w:ascii="Times New Roman" w:eastAsia="Times New Roman"/>
        </w:rPr>
        <w:t>1</w:t>
      </w:r>
      <w:r>
        <w:rPr/>
        <w:t>）－（</w:t>
      </w:r>
      <w:r>
        <w:rPr>
          <w:rFonts w:ascii="Times New Roman" w:eastAsia="Times New Roman"/>
        </w:rPr>
        <w:t>2</w:t>
      </w:r>
      <w:r>
        <w:rPr/>
        <w:t>）小项规定的方法对基金资产进行估值不能客观反映其公允价值的，基金管理人可根据具体情况，并与基金托管人商定后， 按最能反映公允价值的价格估值。</w:t>
      </w:r>
    </w:p>
    <w:p>
      <w:pPr>
        <w:pStyle w:val="ListParagraph"/>
        <w:numPr>
          <w:ilvl w:val="0"/>
          <w:numId w:val="19"/>
        </w:numPr>
        <w:tabs>
          <w:tab w:pos="1219" w:val="left" w:leader="none"/>
        </w:tabs>
        <w:spacing w:line="240" w:lineRule="auto" w:before="2" w:after="0"/>
        <w:ind w:left="1219" w:right="0" w:hanging="601"/>
        <w:jc w:val="left"/>
        <w:rPr>
          <w:sz w:val="24"/>
        </w:rPr>
      </w:pPr>
      <w:r>
        <w:rPr>
          <w:sz w:val="24"/>
        </w:rPr>
        <w:t>国家有最新规定的，按其规定进行估值。</w:t>
      </w:r>
    </w:p>
    <w:p>
      <w:pPr>
        <w:pStyle w:val="BodyText"/>
        <w:spacing w:before="160"/>
        <w:ind w:left="618"/>
      </w:pPr>
      <w:r>
        <w:rPr>
          <w:rFonts w:ascii="Times New Roman" w:eastAsia="Times New Roman"/>
        </w:rPr>
        <w:t>2</w:t>
      </w:r>
      <w:r>
        <w:rPr/>
        <w:t>、债券估值方法：</w:t>
      </w:r>
    </w:p>
    <w:p>
      <w:pPr>
        <w:pStyle w:val="ListParagraph"/>
        <w:numPr>
          <w:ilvl w:val="0"/>
          <w:numId w:val="20"/>
        </w:numPr>
        <w:tabs>
          <w:tab w:pos="1233" w:val="left" w:leader="none"/>
        </w:tabs>
        <w:spacing w:line="364" w:lineRule="auto" w:before="160" w:after="0"/>
        <w:ind w:left="138" w:right="332" w:firstLine="479"/>
        <w:jc w:val="both"/>
        <w:rPr>
          <w:sz w:val="24"/>
        </w:rPr>
      </w:pPr>
      <w:r>
        <w:rPr>
          <w:spacing w:val="4"/>
          <w:sz w:val="24"/>
        </w:rPr>
        <w:t>在证券交易所市场挂牌交易实行净价交易的债券按估值日收盘价估</w:t>
      </w:r>
      <w:r>
        <w:rPr>
          <w:sz w:val="24"/>
        </w:rPr>
        <w:t>值；估值日没有交易的，且最近交易日后经济环境未发生重大变化，按最近交易日的收盘价估值；如果估值日无交易，且最近交易日后经济环境发生了重大变化的，将参考类似投资品种的现行市价及重大变化因素，调整最近交易日收盘价，确定公允价值进行估值。</w:t>
      </w:r>
    </w:p>
    <w:p>
      <w:pPr>
        <w:pStyle w:val="ListParagraph"/>
        <w:numPr>
          <w:ilvl w:val="0"/>
          <w:numId w:val="20"/>
        </w:numPr>
        <w:tabs>
          <w:tab w:pos="1219" w:val="left" w:leader="none"/>
        </w:tabs>
        <w:spacing w:line="364" w:lineRule="auto" w:before="4" w:after="0"/>
        <w:ind w:left="138" w:right="215" w:firstLine="479"/>
        <w:jc w:val="left"/>
        <w:rPr>
          <w:sz w:val="24"/>
        </w:rPr>
      </w:pPr>
      <w:r>
        <w:rPr>
          <w:sz w:val="24"/>
        </w:rPr>
        <w:t>在证券交易所市场挂牌交易未实行净价交易的债券按估值日收盘价减</w:t>
      </w:r>
      <w:r>
        <w:rPr>
          <w:spacing w:val="-5"/>
          <w:sz w:val="24"/>
        </w:rPr>
        <w:t>去债券收盘价中所含的债券应收利息得到的净价进行估值；估值日没有交易的， </w:t>
      </w:r>
      <w:r>
        <w:rPr>
          <w:sz w:val="24"/>
        </w:rPr>
        <w:t>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pPr>
        <w:pStyle w:val="ListParagraph"/>
        <w:numPr>
          <w:ilvl w:val="0"/>
          <w:numId w:val="20"/>
        </w:numPr>
        <w:tabs>
          <w:tab w:pos="1219" w:val="left" w:leader="none"/>
        </w:tabs>
        <w:spacing w:line="364" w:lineRule="auto" w:before="4" w:after="0"/>
        <w:ind w:left="138" w:right="333" w:firstLine="479"/>
        <w:jc w:val="left"/>
        <w:rPr>
          <w:sz w:val="24"/>
        </w:rPr>
      </w:pPr>
      <w:r>
        <w:rPr>
          <w:spacing w:val="-2"/>
          <w:sz w:val="24"/>
        </w:rPr>
        <w:t>首次发行未上市债券采用估值技术确定的公允价值进行估值，在估</w:t>
      </w:r>
      <w:r>
        <w:rPr>
          <w:spacing w:val="-4"/>
          <w:sz w:val="24"/>
        </w:rPr>
        <w:t>值技术难以可靠计量公允价值的情况下，按成本估值。</w:t>
      </w:r>
    </w:p>
    <w:p>
      <w:pPr>
        <w:pStyle w:val="ListParagraph"/>
        <w:numPr>
          <w:ilvl w:val="0"/>
          <w:numId w:val="20"/>
        </w:numPr>
        <w:tabs>
          <w:tab w:pos="1219" w:val="left" w:leader="none"/>
        </w:tabs>
        <w:spacing w:line="364" w:lineRule="auto" w:before="1" w:after="0"/>
        <w:ind w:left="138" w:right="333" w:firstLine="479"/>
        <w:jc w:val="left"/>
        <w:rPr>
          <w:sz w:val="24"/>
        </w:rPr>
      </w:pPr>
      <w:r>
        <w:rPr>
          <w:spacing w:val="-3"/>
          <w:sz w:val="24"/>
        </w:rPr>
        <w:t>交易所以大宗交易方式转让的资产支持证券，采用估值技术确定公</w:t>
      </w:r>
      <w:r>
        <w:rPr>
          <w:spacing w:val="-4"/>
          <w:sz w:val="24"/>
        </w:rPr>
        <w:t>允价值，在估值技术难以可靠计量公允价值的情况下，按成本进行后续计量。</w:t>
      </w:r>
    </w:p>
    <w:p>
      <w:pPr>
        <w:pStyle w:val="ListParagraph"/>
        <w:numPr>
          <w:ilvl w:val="0"/>
          <w:numId w:val="20"/>
        </w:numPr>
        <w:tabs>
          <w:tab w:pos="1219" w:val="left" w:leader="none"/>
        </w:tabs>
        <w:spacing w:line="364" w:lineRule="auto" w:before="1" w:after="0"/>
        <w:ind w:left="138" w:right="246" w:firstLine="479"/>
        <w:jc w:val="left"/>
        <w:rPr>
          <w:sz w:val="24"/>
        </w:rPr>
      </w:pPr>
      <w:r>
        <w:rPr>
          <w:spacing w:val="-1"/>
          <w:sz w:val="24"/>
        </w:rPr>
        <w:t>在全国银行间债券市场交易的债券、资产支持证券等固定收益品种， </w:t>
      </w:r>
      <w:r>
        <w:rPr>
          <w:sz w:val="24"/>
        </w:rPr>
        <w:t>采用估值技术确定公允价值。</w:t>
      </w:r>
    </w:p>
    <w:p>
      <w:pPr>
        <w:pStyle w:val="ListParagraph"/>
        <w:numPr>
          <w:ilvl w:val="0"/>
          <w:numId w:val="20"/>
        </w:numPr>
        <w:tabs>
          <w:tab w:pos="1219" w:val="left" w:leader="none"/>
        </w:tabs>
        <w:spacing w:line="364" w:lineRule="auto" w:before="2" w:after="0"/>
        <w:ind w:left="138" w:right="333" w:firstLine="479"/>
        <w:jc w:val="left"/>
        <w:rPr>
          <w:sz w:val="24"/>
        </w:rPr>
      </w:pPr>
      <w:r>
        <w:rPr>
          <w:spacing w:val="-3"/>
          <w:sz w:val="24"/>
        </w:rPr>
        <w:t>同一债券同时在两个或两个以上市场交易的，按债券所处的市场分</w:t>
      </w:r>
      <w:r>
        <w:rPr>
          <w:spacing w:val="-5"/>
          <w:sz w:val="24"/>
        </w:rPr>
        <w:t>别估值。</w:t>
      </w:r>
    </w:p>
    <w:p>
      <w:pPr>
        <w:pStyle w:val="ListParagraph"/>
        <w:numPr>
          <w:ilvl w:val="0"/>
          <w:numId w:val="20"/>
        </w:numPr>
        <w:tabs>
          <w:tab w:pos="1219" w:val="left" w:leader="none"/>
        </w:tabs>
        <w:spacing w:line="364" w:lineRule="auto" w:before="2" w:after="0"/>
        <w:ind w:left="138" w:right="212" w:firstLine="479"/>
        <w:jc w:val="both"/>
        <w:rPr>
          <w:sz w:val="24"/>
        </w:rPr>
      </w:pPr>
      <w:r>
        <w:rPr>
          <w:spacing w:val="-4"/>
          <w:sz w:val="24"/>
        </w:rPr>
        <w:t>在任何情况下，基金管理人如采用本项第</w:t>
      </w:r>
      <w:r>
        <w:rPr>
          <w:spacing w:val="-7"/>
          <w:sz w:val="24"/>
        </w:rPr>
        <w:t>（</w:t>
      </w:r>
      <w:r>
        <w:rPr>
          <w:rFonts w:ascii="Times New Roman" w:eastAsia="Times New Roman"/>
          <w:spacing w:val="-7"/>
          <w:sz w:val="24"/>
        </w:rPr>
        <w:t>1</w:t>
      </w:r>
      <w:r>
        <w:rPr>
          <w:spacing w:val="-7"/>
          <w:sz w:val="24"/>
        </w:rPr>
        <w:t>）－（</w:t>
      </w:r>
      <w:r>
        <w:rPr>
          <w:rFonts w:ascii="Times New Roman" w:eastAsia="Times New Roman"/>
          <w:spacing w:val="-7"/>
          <w:sz w:val="24"/>
        </w:rPr>
        <w:t>6</w:t>
      </w:r>
      <w:r>
        <w:rPr>
          <w:spacing w:val="-7"/>
          <w:sz w:val="24"/>
        </w:rPr>
        <w:t>）</w:t>
      </w:r>
      <w:r>
        <w:rPr>
          <w:spacing w:val="-1"/>
          <w:sz w:val="24"/>
        </w:rPr>
        <w:t>小项规定的方法对基金资产进行估值，均应被认为采用了适当的估值方法。但是，如果基金管理人认为按本项第（</w:t>
      </w:r>
      <w:r>
        <w:rPr>
          <w:rFonts w:ascii="Times New Roman" w:eastAsia="Times New Roman"/>
          <w:spacing w:val="-1"/>
          <w:sz w:val="24"/>
        </w:rPr>
        <w:t>1</w:t>
      </w:r>
      <w:r>
        <w:rPr>
          <w:spacing w:val="-1"/>
          <w:sz w:val="24"/>
        </w:rPr>
        <w:t>）－（</w:t>
      </w:r>
      <w:r>
        <w:rPr>
          <w:rFonts w:ascii="Times New Roman" w:eastAsia="Times New Roman"/>
          <w:spacing w:val="-1"/>
          <w:sz w:val="24"/>
        </w:rPr>
        <w:t>6</w:t>
      </w:r>
      <w:r>
        <w:rPr>
          <w:spacing w:val="-1"/>
          <w:sz w:val="24"/>
        </w:rPr>
        <w:t>）小项规定的方法对基金资产进行估值不能客</w:t>
      </w:r>
      <w:r>
        <w:rPr>
          <w:spacing w:val="-7"/>
          <w:sz w:val="24"/>
        </w:rPr>
        <w:t>观反映其公允价值的，基金管理人在综合考虑市场成交价、市场报价、流动性、</w:t>
      </w:r>
    </w:p>
    <w:p>
      <w:pPr>
        <w:spacing w:after="0" w:line="364" w:lineRule="auto"/>
        <w:jc w:val="both"/>
        <w:rPr>
          <w:sz w:val="24"/>
        </w:rPr>
        <w:sectPr>
          <w:pgSz w:w="11910" w:h="16840"/>
          <w:pgMar w:header="880" w:footer="1964" w:top="1380" w:bottom="2160" w:left="1660" w:right="1580"/>
        </w:sectPr>
      </w:pPr>
    </w:p>
    <w:p>
      <w:pPr>
        <w:pStyle w:val="BodyText"/>
        <w:spacing w:line="364" w:lineRule="auto" w:before="130"/>
        <w:ind w:right="340"/>
      </w:pPr>
      <w:r>
        <w:rPr/>
        <w:t>收益率曲线等多种因素基础上形成的债券估值，基金管理人可根据具体情况与基金托管人商定后，按最能反映公允价值的价格估值。</w:t>
      </w:r>
    </w:p>
    <w:p>
      <w:pPr>
        <w:pStyle w:val="ListParagraph"/>
        <w:numPr>
          <w:ilvl w:val="0"/>
          <w:numId w:val="20"/>
        </w:numPr>
        <w:tabs>
          <w:tab w:pos="1219" w:val="left" w:leader="none"/>
        </w:tabs>
        <w:spacing w:line="240" w:lineRule="auto" w:before="1" w:after="0"/>
        <w:ind w:left="1219" w:right="0" w:hanging="601"/>
        <w:jc w:val="left"/>
        <w:rPr>
          <w:sz w:val="24"/>
        </w:rPr>
      </w:pPr>
      <w:r>
        <w:rPr>
          <w:sz w:val="24"/>
        </w:rPr>
        <w:t>国家有最新规定的，按其规定进行估值。</w:t>
      </w:r>
    </w:p>
    <w:p>
      <w:pPr>
        <w:pStyle w:val="BodyText"/>
        <w:spacing w:before="160"/>
        <w:ind w:left="618"/>
      </w:pPr>
      <w:r>
        <w:rPr>
          <w:rFonts w:ascii="Times New Roman" w:eastAsia="Times New Roman"/>
        </w:rPr>
        <w:t>3</w:t>
      </w:r>
      <w:r>
        <w:rPr/>
        <w:t>、权证估值办法：</w:t>
      </w:r>
    </w:p>
    <w:p>
      <w:pPr>
        <w:pStyle w:val="ListParagraph"/>
        <w:numPr>
          <w:ilvl w:val="0"/>
          <w:numId w:val="21"/>
        </w:numPr>
        <w:tabs>
          <w:tab w:pos="1219" w:val="left" w:leader="none"/>
        </w:tabs>
        <w:spacing w:line="364" w:lineRule="auto" w:before="161" w:after="0"/>
        <w:ind w:left="138" w:right="332" w:firstLine="479"/>
        <w:jc w:val="both"/>
        <w:rPr>
          <w:sz w:val="24"/>
        </w:rPr>
      </w:pPr>
      <w:r>
        <w:rPr>
          <w:spacing w:val="-5"/>
          <w:sz w:val="24"/>
        </w:rPr>
        <w:t>基金持有的权证，从持有确认日起到卖出日或行权日止，上市交易</w:t>
      </w:r>
      <w:r>
        <w:rPr>
          <w:spacing w:val="-4"/>
          <w:sz w:val="24"/>
        </w:rPr>
        <w:t>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w:t>
      </w:r>
      <w:r>
        <w:rPr>
          <w:spacing w:val="-3"/>
          <w:sz w:val="24"/>
        </w:rPr>
        <w:t>重大变化因素，调整最近交易市价，确定公允价格。</w:t>
      </w:r>
    </w:p>
    <w:p>
      <w:pPr>
        <w:pStyle w:val="ListParagraph"/>
        <w:numPr>
          <w:ilvl w:val="0"/>
          <w:numId w:val="21"/>
        </w:numPr>
        <w:tabs>
          <w:tab w:pos="1219" w:val="left" w:leader="none"/>
        </w:tabs>
        <w:spacing w:line="364" w:lineRule="auto" w:before="4" w:after="0"/>
        <w:ind w:left="138" w:right="332" w:firstLine="479"/>
        <w:jc w:val="left"/>
        <w:rPr>
          <w:sz w:val="24"/>
        </w:rPr>
      </w:pPr>
      <w:r>
        <w:rPr>
          <w:spacing w:val="-5"/>
          <w:sz w:val="24"/>
        </w:rPr>
        <w:t>首次发行未上市的权证，采用估值技术确定公允价值，在估值技术</w:t>
      </w:r>
      <w:r>
        <w:rPr>
          <w:spacing w:val="-4"/>
          <w:sz w:val="24"/>
        </w:rPr>
        <w:t>难以可靠计量公允价值的情况下，按成本估值。</w:t>
      </w:r>
    </w:p>
    <w:p>
      <w:pPr>
        <w:pStyle w:val="ListParagraph"/>
        <w:numPr>
          <w:ilvl w:val="0"/>
          <w:numId w:val="21"/>
        </w:numPr>
        <w:tabs>
          <w:tab w:pos="1219" w:val="left" w:leader="none"/>
        </w:tabs>
        <w:spacing w:line="364" w:lineRule="auto" w:before="1" w:after="0"/>
        <w:ind w:left="138" w:right="332" w:firstLine="479"/>
        <w:jc w:val="left"/>
        <w:rPr>
          <w:sz w:val="24"/>
        </w:rPr>
      </w:pPr>
      <w:r>
        <w:rPr>
          <w:spacing w:val="-5"/>
          <w:sz w:val="24"/>
        </w:rPr>
        <w:t>因持有股票而享有的配股权，以及停止交易、但未行权的权证，采用</w:t>
      </w:r>
      <w:r>
        <w:rPr>
          <w:sz w:val="24"/>
        </w:rPr>
        <w:t>估值技术确定公允价值进行估值。</w:t>
      </w:r>
    </w:p>
    <w:p>
      <w:pPr>
        <w:pStyle w:val="ListParagraph"/>
        <w:numPr>
          <w:ilvl w:val="0"/>
          <w:numId w:val="21"/>
        </w:numPr>
        <w:tabs>
          <w:tab w:pos="1219" w:val="left" w:leader="none"/>
        </w:tabs>
        <w:spacing w:line="364" w:lineRule="auto" w:before="1" w:after="0"/>
        <w:ind w:left="138" w:right="334" w:firstLine="479"/>
        <w:jc w:val="both"/>
        <w:rPr>
          <w:sz w:val="24"/>
        </w:rPr>
      </w:pPr>
      <w:r>
        <w:rPr>
          <w:spacing w:val="-4"/>
          <w:sz w:val="24"/>
        </w:rPr>
        <w:t>在任何情况下，基金管理人如采用本项第</w:t>
      </w:r>
      <w:r>
        <w:rPr>
          <w:spacing w:val="-7"/>
          <w:sz w:val="24"/>
        </w:rPr>
        <w:t>（</w:t>
      </w:r>
      <w:r>
        <w:rPr>
          <w:rFonts w:ascii="Times New Roman" w:eastAsia="Times New Roman"/>
          <w:spacing w:val="-7"/>
          <w:sz w:val="24"/>
        </w:rPr>
        <w:t>1</w:t>
      </w:r>
      <w:r>
        <w:rPr>
          <w:spacing w:val="-7"/>
          <w:sz w:val="24"/>
        </w:rPr>
        <w:t>）－（</w:t>
      </w:r>
      <w:r>
        <w:rPr>
          <w:rFonts w:ascii="Times New Roman" w:eastAsia="Times New Roman"/>
          <w:spacing w:val="-7"/>
          <w:sz w:val="24"/>
        </w:rPr>
        <w:t>3</w:t>
      </w:r>
      <w:r>
        <w:rPr>
          <w:spacing w:val="-7"/>
          <w:sz w:val="24"/>
        </w:rPr>
        <w:t>）</w:t>
      </w:r>
      <w:r>
        <w:rPr>
          <w:spacing w:val="-3"/>
          <w:sz w:val="24"/>
        </w:rPr>
        <w:t>项规定的方法</w:t>
      </w:r>
      <w:r>
        <w:rPr>
          <w:sz w:val="24"/>
        </w:rPr>
        <w:t>对基金资产进行估值，均应被认为采用了适当的估值方法。但是，如果基金管理人认为按本项第（</w:t>
      </w:r>
      <w:r>
        <w:rPr>
          <w:rFonts w:ascii="Times New Roman" w:eastAsia="Times New Roman"/>
          <w:sz w:val="24"/>
        </w:rPr>
        <w:t>1</w:t>
      </w:r>
      <w:r>
        <w:rPr>
          <w:sz w:val="24"/>
        </w:rPr>
        <w:t>）－（</w:t>
      </w:r>
      <w:r>
        <w:rPr>
          <w:rFonts w:ascii="Times New Roman" w:eastAsia="Times New Roman"/>
          <w:sz w:val="24"/>
        </w:rPr>
        <w:t>3</w:t>
      </w:r>
      <w:r>
        <w:rPr>
          <w:sz w:val="24"/>
        </w:rPr>
        <w:t>）</w:t>
      </w:r>
      <w:r>
        <w:rPr>
          <w:spacing w:val="-1"/>
          <w:sz w:val="24"/>
        </w:rPr>
        <w:t>项规定的方法对基金资产进行估值不能客观反映其公允价值的，基金管理人可根据具体情况，并与基金托管人商定后，按最</w:t>
      </w:r>
      <w:r>
        <w:rPr>
          <w:sz w:val="24"/>
        </w:rPr>
        <w:t>能反映公允价值的价格估值。</w:t>
      </w:r>
    </w:p>
    <w:p>
      <w:pPr>
        <w:pStyle w:val="ListParagraph"/>
        <w:numPr>
          <w:ilvl w:val="0"/>
          <w:numId w:val="21"/>
        </w:numPr>
        <w:tabs>
          <w:tab w:pos="1219" w:val="left" w:leader="none"/>
        </w:tabs>
        <w:spacing w:line="240" w:lineRule="auto" w:before="3" w:after="0"/>
        <w:ind w:left="1219" w:right="0" w:hanging="601"/>
        <w:jc w:val="left"/>
        <w:rPr>
          <w:sz w:val="24"/>
        </w:rPr>
      </w:pPr>
      <w:r>
        <w:rPr>
          <w:sz w:val="24"/>
        </w:rPr>
        <w:t>国家有最新规定的，按其规定进行估值。</w:t>
      </w:r>
    </w:p>
    <w:p>
      <w:pPr>
        <w:pStyle w:val="BodyText"/>
        <w:spacing w:line="364" w:lineRule="auto" w:before="161"/>
        <w:ind w:right="332" w:firstLine="479"/>
      </w:pPr>
      <w:r>
        <w:rPr>
          <w:rFonts w:ascii="Times New Roman" w:eastAsia="Times New Roman"/>
        </w:rPr>
        <w:t>4</w:t>
      </w:r>
      <w:r>
        <w:rPr>
          <w:spacing w:val="-10"/>
        </w:rPr>
        <w:t>、当发生大额申购或赎回情形时，在履行适当程序后，基金管理人可以采</w:t>
      </w:r>
      <w:r>
        <w:rPr/>
        <w:t>用摆动定价机制以确保基金估值的公平性。</w:t>
      </w:r>
    </w:p>
    <w:p>
      <w:pPr>
        <w:pStyle w:val="BodyText"/>
        <w:spacing w:before="2"/>
        <w:ind w:left="618"/>
      </w:pPr>
      <w:r>
        <w:rPr>
          <w:rFonts w:ascii="Times New Roman" w:eastAsia="Times New Roman"/>
        </w:rPr>
        <w:t>5</w:t>
      </w:r>
      <w:r>
        <w:rPr/>
        <w:t>、本基金投资存托凭证的估值核算，依照境内上市交易的股票进行。</w:t>
      </w:r>
    </w:p>
    <w:p>
      <w:pPr>
        <w:pStyle w:val="BodyText"/>
        <w:spacing w:before="160"/>
        <w:ind w:left="618"/>
      </w:pPr>
      <w:r>
        <w:rPr>
          <w:rFonts w:ascii="Times New Roman" w:eastAsia="Times New Roman"/>
        </w:rPr>
        <w:t>6</w:t>
      </w:r>
      <w:r>
        <w:rPr/>
        <w:t>、其他有价证券等资产按国家有关规定进行估值。</w:t>
      </w:r>
    </w:p>
    <w:p>
      <w:pPr>
        <w:pStyle w:val="BodyText"/>
        <w:spacing w:line="364" w:lineRule="auto" w:before="161"/>
        <w:ind w:right="336" w:firstLine="479"/>
        <w:jc w:val="both"/>
      </w:pPr>
      <w:r>
        <w:rPr/>
        <w:t>五、估值程序基金日常估值由基金管理人进行。基金份额净值由基金管理人完成估值后，将估值结果以书面形式报给基金托管人，基金托管人按基金合同规定的估值方法、时间、程序进行复核，基金托管人复核无误后签章返回给基金管理人，由基金管理人依据本基金合同和有关法律法规的规定予以公布。月末、年中和年末估值复核与基金会计账目的核对同时进行。</w:t>
      </w:r>
    </w:p>
    <w:p>
      <w:pPr>
        <w:spacing w:after="0" w:line="364" w:lineRule="auto"/>
        <w:jc w:val="both"/>
        <w:sectPr>
          <w:pgSz w:w="11910" w:h="16840"/>
          <w:pgMar w:header="880" w:footer="1964" w:top="1380" w:bottom="2160" w:left="1660" w:right="1580"/>
        </w:sectPr>
      </w:pPr>
    </w:p>
    <w:p>
      <w:pPr>
        <w:pStyle w:val="BodyText"/>
        <w:spacing w:line="364" w:lineRule="auto" w:before="130"/>
        <w:ind w:right="340" w:firstLine="479"/>
      </w:pPr>
      <w:r>
        <w:rPr/>
        <w:t>六、估值错误的处理基金管理人和基金托管人将采取必要、适当、合理的措施确保基金资产估值的准确性、及时性。</w:t>
      </w:r>
    </w:p>
    <w:p>
      <w:pPr>
        <w:pStyle w:val="BodyText"/>
        <w:ind w:left="618"/>
      </w:pPr>
      <w:r>
        <w:rPr/>
        <w:t>本基金合同的当事人应按照以下约定处理：</w:t>
      </w:r>
    </w:p>
    <w:p>
      <w:pPr>
        <w:pStyle w:val="BodyText"/>
        <w:spacing w:line="364" w:lineRule="auto" w:before="160"/>
        <w:ind w:right="333" w:firstLine="479"/>
        <w:jc w:val="both"/>
      </w:pPr>
      <w:r>
        <w:rPr>
          <w:rFonts w:ascii="Times New Roman" w:hAnsi="Times New Roman" w:eastAsia="Times New Roman"/>
        </w:rPr>
        <w:t>1</w:t>
      </w:r>
      <w:r>
        <w:rPr>
          <w:spacing w:val="-11"/>
        </w:rPr>
        <w:t>、差错类型本基金运作过程中，如果由于基金管理人或基金托管人或注册</w:t>
      </w:r>
      <w:r>
        <w:rPr/>
        <w:t>登记机构或代销机构或投资者自身的过错造成差错，导致其他当事人遭受损失</w:t>
      </w:r>
      <w:r>
        <w:rPr>
          <w:spacing w:val="-10"/>
        </w:rPr>
        <w:t>的，过错的责任人应当对由于该差错遭受损失的当事人</w:t>
      </w:r>
      <w:r>
        <w:rPr>
          <w:spacing w:val="-120"/>
        </w:rPr>
        <w:t>（</w:t>
      </w:r>
      <w:r>
        <w:rPr>
          <w:spacing w:val="-24"/>
        </w:rPr>
        <w:t>“受损方”</w:t>
      </w:r>
      <w:r>
        <w:rPr>
          <w:spacing w:val="-51"/>
        </w:rPr>
        <w:t>）</w:t>
      </w:r>
      <w:r>
        <w:rPr>
          <w:spacing w:val="-15"/>
        </w:rPr>
        <w:t>按下述“差</w:t>
      </w:r>
      <w:r>
        <w:rPr/>
        <w:t>错处理原则”给予赔偿，承担赔偿责任。</w:t>
      </w:r>
    </w:p>
    <w:p>
      <w:pPr>
        <w:pStyle w:val="BodyText"/>
        <w:spacing w:line="364" w:lineRule="auto" w:before="3"/>
        <w:ind w:right="340" w:firstLine="479"/>
        <w:jc w:val="both"/>
      </w:pPr>
      <w:r>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pPr>
        <w:pStyle w:val="BodyText"/>
        <w:spacing w:line="364" w:lineRule="auto" w:before="3"/>
        <w:ind w:right="340" w:firstLine="479"/>
        <w:jc w:val="both"/>
      </w:pPr>
      <w:r>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pPr>
        <w:pStyle w:val="BodyText"/>
        <w:spacing w:before="2"/>
        <w:ind w:left="618"/>
      </w:pPr>
      <w:r>
        <w:rPr>
          <w:rFonts w:ascii="Times New Roman" w:eastAsia="Times New Roman"/>
        </w:rPr>
        <w:t>2</w:t>
      </w:r>
      <w:r>
        <w:rPr/>
        <w:t>、差错处理原则</w:t>
      </w:r>
    </w:p>
    <w:p>
      <w:pPr>
        <w:pStyle w:val="ListParagraph"/>
        <w:numPr>
          <w:ilvl w:val="0"/>
          <w:numId w:val="22"/>
        </w:numPr>
        <w:tabs>
          <w:tab w:pos="1219" w:val="left" w:leader="none"/>
        </w:tabs>
        <w:spacing w:line="364" w:lineRule="auto" w:before="160" w:after="0"/>
        <w:ind w:left="138" w:right="335" w:firstLine="479"/>
        <w:jc w:val="both"/>
        <w:rPr>
          <w:sz w:val="24"/>
        </w:rPr>
      </w:pPr>
      <w:r>
        <w:rPr>
          <w:spacing w:val="-7"/>
          <w:sz w:val="24"/>
        </w:rPr>
        <w:t>差错已发生，但尚未给当事人造成损失时，差错责任方应及时协调</w:t>
      </w:r>
      <w:r>
        <w:rPr>
          <w:spacing w:val="-4"/>
          <w:sz w:val="24"/>
        </w:rPr>
        <w:t>各方，及时进行更正，因更正差错发生的费用由差错责任方承担；由于差错责</w:t>
      </w:r>
      <w:r>
        <w:rPr>
          <w:spacing w:val="-3"/>
          <w:sz w:val="24"/>
        </w:rPr>
        <w:t>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pPr>
        <w:pStyle w:val="ListParagraph"/>
        <w:numPr>
          <w:ilvl w:val="0"/>
          <w:numId w:val="22"/>
        </w:numPr>
        <w:tabs>
          <w:tab w:pos="1219" w:val="left" w:leader="none"/>
        </w:tabs>
        <w:spacing w:line="364" w:lineRule="auto" w:before="5" w:after="0"/>
        <w:ind w:left="138" w:right="333" w:firstLine="479"/>
        <w:jc w:val="left"/>
        <w:rPr>
          <w:sz w:val="24"/>
        </w:rPr>
      </w:pPr>
      <w:r>
        <w:rPr>
          <w:spacing w:val="-2"/>
          <w:sz w:val="24"/>
        </w:rPr>
        <w:t>差错的责任方对可能导致有关当事人的直接损失负责，不对间接损</w:t>
      </w:r>
      <w:r>
        <w:rPr>
          <w:spacing w:val="-4"/>
          <w:sz w:val="24"/>
        </w:rPr>
        <w:t>失负责，并且仅对差错的有关直接当事人负责，不对第三方负责；</w:t>
      </w:r>
    </w:p>
    <w:p>
      <w:pPr>
        <w:pStyle w:val="ListParagraph"/>
        <w:numPr>
          <w:ilvl w:val="0"/>
          <w:numId w:val="22"/>
        </w:numPr>
        <w:tabs>
          <w:tab w:pos="1219" w:val="left" w:leader="none"/>
        </w:tabs>
        <w:spacing w:line="364" w:lineRule="auto" w:before="1" w:after="0"/>
        <w:ind w:left="138" w:right="335" w:firstLine="479"/>
        <w:jc w:val="both"/>
        <w:rPr>
          <w:sz w:val="24"/>
        </w:rPr>
      </w:pPr>
      <w:r>
        <w:rPr>
          <w:spacing w:val="-2"/>
          <w:sz w:val="24"/>
        </w:rPr>
        <w:t>因差错而获得不当得利的当事人负有及时返还不当得利的义务。但</w:t>
      </w:r>
      <w:r>
        <w:rPr>
          <w:spacing w:val="-4"/>
          <w:sz w:val="24"/>
        </w:rPr>
        <w:t>差错责任方仍应对差错负责。如果由于获得不当得利的当事人不返还或不全部返还不当得利造成其他当事人的利益损失，则差错责任方应赔偿受损方的损失</w:t>
      </w:r>
      <w:r>
        <w:rPr>
          <w:spacing w:val="-3"/>
          <w:sz w:val="24"/>
        </w:rPr>
        <w:t>，并在其支付的赔偿金额的范围内对获得不当得利的当事人享有要求交付不当得利的权利；如果获得不当得利的当事人已经将此部分不当得利返还给受损方</w:t>
      </w:r>
      <w:r>
        <w:rPr>
          <w:spacing w:val="-11"/>
          <w:sz w:val="24"/>
        </w:rPr>
        <w:t>，</w:t>
      </w:r>
    </w:p>
    <w:p>
      <w:pPr>
        <w:spacing w:after="0" w:line="364" w:lineRule="auto"/>
        <w:jc w:val="both"/>
        <w:rPr>
          <w:sz w:val="24"/>
        </w:rPr>
        <w:sectPr>
          <w:pgSz w:w="11910" w:h="16840"/>
          <w:pgMar w:header="880" w:footer="1964" w:top="1380" w:bottom="2160" w:left="1660" w:right="1580"/>
        </w:sectPr>
      </w:pPr>
    </w:p>
    <w:p>
      <w:pPr>
        <w:pStyle w:val="BodyText"/>
        <w:spacing w:line="364" w:lineRule="auto" w:before="130"/>
        <w:ind w:right="340"/>
      </w:pPr>
      <w:r>
        <w:rPr/>
        <w:t>则受损方应当将其已经获得的赔偿额加上已经获得的不当得利返还的总和超过其实际损失的差额部分支付给差错责任方；</w:t>
      </w:r>
    </w:p>
    <w:p>
      <w:pPr>
        <w:pStyle w:val="ListParagraph"/>
        <w:numPr>
          <w:ilvl w:val="0"/>
          <w:numId w:val="22"/>
        </w:numPr>
        <w:tabs>
          <w:tab w:pos="1219" w:val="left" w:leader="none"/>
        </w:tabs>
        <w:spacing w:line="240" w:lineRule="auto" w:before="1" w:after="0"/>
        <w:ind w:left="1219" w:right="0" w:hanging="601"/>
        <w:jc w:val="left"/>
        <w:rPr>
          <w:sz w:val="24"/>
        </w:rPr>
      </w:pPr>
      <w:r>
        <w:rPr>
          <w:sz w:val="24"/>
        </w:rPr>
        <w:t>差错调整采用尽量恢复至假设未发生差错的正确情形的方式；</w:t>
      </w:r>
    </w:p>
    <w:p>
      <w:pPr>
        <w:pStyle w:val="ListParagraph"/>
        <w:numPr>
          <w:ilvl w:val="0"/>
          <w:numId w:val="22"/>
        </w:numPr>
        <w:tabs>
          <w:tab w:pos="1219" w:val="left" w:leader="none"/>
        </w:tabs>
        <w:spacing w:line="364" w:lineRule="auto" w:before="160" w:after="0"/>
        <w:ind w:left="138" w:right="213" w:firstLine="479"/>
        <w:jc w:val="left"/>
        <w:rPr>
          <w:sz w:val="24"/>
        </w:rPr>
      </w:pPr>
      <w:r>
        <w:rPr>
          <w:spacing w:val="-4"/>
          <w:sz w:val="24"/>
        </w:rPr>
        <w:t>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托管人之外的第三方造成基金财产的损失，并拒绝进行赔偿时，由</w:t>
      </w:r>
      <w:r>
        <w:rPr>
          <w:spacing w:val="-11"/>
          <w:sz w:val="24"/>
        </w:rPr>
        <w:t>基金管理人负责向差错方追偿；追偿过程中产生的有关费用，应列入基金费用， </w:t>
      </w:r>
      <w:r>
        <w:rPr>
          <w:sz w:val="24"/>
        </w:rPr>
        <w:t>从基金资产中支付；</w:t>
      </w:r>
    </w:p>
    <w:p>
      <w:pPr>
        <w:pStyle w:val="ListParagraph"/>
        <w:numPr>
          <w:ilvl w:val="0"/>
          <w:numId w:val="22"/>
        </w:numPr>
        <w:tabs>
          <w:tab w:pos="1219" w:val="left" w:leader="none"/>
        </w:tabs>
        <w:spacing w:line="364" w:lineRule="auto" w:before="5" w:after="0"/>
        <w:ind w:left="138" w:right="333" w:firstLine="479"/>
        <w:jc w:val="both"/>
        <w:rPr>
          <w:sz w:val="24"/>
        </w:rPr>
      </w:pPr>
      <w:r>
        <w:rPr>
          <w:spacing w:val="-2"/>
          <w:sz w:val="24"/>
        </w:rPr>
        <w:t>如果出现差错的当事人未按规定对受损方进行赔偿，并且依据法律</w:t>
      </w:r>
      <w:r>
        <w:rPr>
          <w:spacing w:val="-4"/>
          <w:sz w:val="24"/>
        </w:rPr>
        <w:t>法规、基金合同或其他规定，基金管理人自行或依据法院判决、仲裁裁决对受损方承担了赔偿责任，则基金管理人有权向有责任的当事人进行追索，并有权要求其赔偿或补偿由此发生的费用和遭受的损失；</w:t>
      </w:r>
    </w:p>
    <w:p>
      <w:pPr>
        <w:pStyle w:val="ListParagraph"/>
        <w:numPr>
          <w:ilvl w:val="0"/>
          <w:numId w:val="22"/>
        </w:numPr>
        <w:tabs>
          <w:tab w:pos="1219" w:val="left" w:leader="none"/>
        </w:tabs>
        <w:spacing w:line="240" w:lineRule="auto" w:before="2" w:after="0"/>
        <w:ind w:left="1219" w:right="0" w:hanging="601"/>
        <w:jc w:val="left"/>
        <w:rPr>
          <w:sz w:val="24"/>
        </w:rPr>
      </w:pPr>
      <w:r>
        <w:rPr>
          <w:sz w:val="24"/>
        </w:rPr>
        <w:t>按法律法规规定的其他原则处理差错。</w:t>
      </w:r>
    </w:p>
    <w:p>
      <w:pPr>
        <w:pStyle w:val="BodyText"/>
        <w:spacing w:line="364" w:lineRule="auto" w:before="161"/>
        <w:ind w:right="332" w:firstLine="479"/>
      </w:pPr>
      <w:r>
        <w:rPr>
          <w:rFonts w:ascii="Times New Roman" w:eastAsia="Times New Roman"/>
        </w:rPr>
        <w:t>3</w:t>
      </w:r>
      <w:r>
        <w:rPr>
          <w:spacing w:val="-10"/>
        </w:rPr>
        <w:t>、差错处理程序差错被发现后，有关的当事人应当及时进行处理，处理的</w:t>
      </w:r>
      <w:r>
        <w:rPr/>
        <w:t>程序如下：</w:t>
      </w:r>
    </w:p>
    <w:p>
      <w:pPr>
        <w:pStyle w:val="ListParagraph"/>
        <w:numPr>
          <w:ilvl w:val="0"/>
          <w:numId w:val="23"/>
        </w:numPr>
        <w:tabs>
          <w:tab w:pos="1219" w:val="left" w:leader="none"/>
        </w:tabs>
        <w:spacing w:line="364" w:lineRule="auto" w:before="1" w:after="0"/>
        <w:ind w:left="138" w:right="332" w:firstLine="479"/>
        <w:jc w:val="left"/>
        <w:rPr>
          <w:sz w:val="24"/>
        </w:rPr>
      </w:pPr>
      <w:r>
        <w:rPr>
          <w:spacing w:val="-5"/>
          <w:sz w:val="24"/>
        </w:rPr>
        <w:t>查明差错发生的原因，列明所有的当事人，并根据差错发生的原因</w:t>
      </w:r>
      <w:r>
        <w:rPr>
          <w:spacing w:val="-4"/>
          <w:sz w:val="24"/>
        </w:rPr>
        <w:t>确定差错的责任方；</w:t>
      </w:r>
    </w:p>
    <w:p>
      <w:pPr>
        <w:pStyle w:val="ListParagraph"/>
        <w:numPr>
          <w:ilvl w:val="0"/>
          <w:numId w:val="23"/>
        </w:numPr>
        <w:tabs>
          <w:tab w:pos="1233" w:val="left" w:leader="none"/>
        </w:tabs>
        <w:spacing w:line="364" w:lineRule="auto" w:before="1" w:after="0"/>
        <w:ind w:left="138" w:right="332" w:firstLine="479"/>
        <w:jc w:val="left"/>
        <w:rPr>
          <w:sz w:val="24"/>
        </w:rPr>
      </w:pPr>
      <w:r>
        <w:rPr>
          <w:spacing w:val="4"/>
          <w:sz w:val="24"/>
        </w:rPr>
        <w:t>根据差错处理原则或当事人协商的方法对因差错造成的损失进行评</w:t>
      </w:r>
      <w:r>
        <w:rPr>
          <w:sz w:val="24"/>
        </w:rPr>
        <w:t>估；</w:t>
      </w:r>
    </w:p>
    <w:p>
      <w:pPr>
        <w:pStyle w:val="ListParagraph"/>
        <w:numPr>
          <w:ilvl w:val="0"/>
          <w:numId w:val="23"/>
        </w:numPr>
        <w:tabs>
          <w:tab w:pos="1219" w:val="left" w:leader="none"/>
        </w:tabs>
        <w:spacing w:line="364" w:lineRule="auto" w:before="1" w:after="0"/>
        <w:ind w:left="138" w:right="335" w:firstLine="479"/>
        <w:jc w:val="left"/>
        <w:rPr>
          <w:sz w:val="24"/>
        </w:rPr>
      </w:pPr>
      <w:r>
        <w:rPr>
          <w:sz w:val="24"/>
        </w:rPr>
        <w:t>根据差错处理原则或当事人协商的方法由差错的责任方进行更正和</w:t>
      </w:r>
      <w:r>
        <w:rPr>
          <w:spacing w:val="-4"/>
          <w:sz w:val="24"/>
        </w:rPr>
        <w:t>赔偿损失；</w:t>
      </w:r>
    </w:p>
    <w:p>
      <w:pPr>
        <w:pStyle w:val="ListParagraph"/>
        <w:numPr>
          <w:ilvl w:val="0"/>
          <w:numId w:val="23"/>
        </w:numPr>
        <w:tabs>
          <w:tab w:pos="1219" w:val="left" w:leader="none"/>
        </w:tabs>
        <w:spacing w:line="364" w:lineRule="auto" w:before="2" w:after="0"/>
        <w:ind w:left="138" w:right="332" w:firstLine="479"/>
        <w:jc w:val="left"/>
        <w:rPr>
          <w:sz w:val="24"/>
        </w:rPr>
      </w:pPr>
      <w:r>
        <w:rPr>
          <w:spacing w:val="-4"/>
          <w:sz w:val="24"/>
        </w:rPr>
        <w:t>根据差错处理的方法，需要修改基金注册登记机构交易数据的，由基金注册登记机构进行更正，并就差错的更正向有关当事人进行确认；</w:t>
      </w:r>
    </w:p>
    <w:p>
      <w:pPr>
        <w:pStyle w:val="BodyText"/>
        <w:spacing w:before="2"/>
        <w:ind w:left="618"/>
        <w:jc w:val="both"/>
        <w:rPr>
          <w:rFonts w:ascii="Times New Roman" w:eastAsia="Times New Roman"/>
        </w:rPr>
      </w:pPr>
      <w:r>
        <w:rPr>
          <w:rFonts w:ascii="Times New Roman" w:eastAsia="Times New Roman"/>
        </w:rPr>
        <w:t>4</w:t>
      </w:r>
      <w:r>
        <w:rPr/>
        <w:t>、基金份额净值差错处理的原则和方法（</w:t>
      </w:r>
      <w:r>
        <w:rPr>
          <w:rFonts w:ascii="Times New Roman" w:eastAsia="Times New Roman"/>
        </w:rPr>
        <w:t>1</w:t>
      </w:r>
      <w:r>
        <w:rPr/>
        <w:t>）</w:t>
      </w:r>
      <w:r>
        <w:rPr>
          <w:spacing w:val="2"/>
        </w:rPr>
        <w:t>当基金份额净值小数点后 </w:t>
      </w:r>
      <w:r>
        <w:rPr>
          <w:rFonts w:ascii="Times New Roman" w:eastAsia="Times New Roman"/>
        </w:rPr>
        <w:t>3</w:t>
      </w:r>
    </w:p>
    <w:p>
      <w:pPr>
        <w:pStyle w:val="BodyText"/>
        <w:spacing w:line="364" w:lineRule="auto" w:before="160"/>
        <w:ind w:right="332"/>
        <w:jc w:val="both"/>
      </w:pPr>
      <w:r>
        <w:rPr/>
        <w:t>位以内（</w:t>
      </w:r>
      <w:r>
        <w:rPr>
          <w:spacing w:val="-15"/>
        </w:rPr>
        <w:t>含第 </w:t>
      </w:r>
      <w:r>
        <w:rPr>
          <w:rFonts w:ascii="Times New Roman" w:eastAsia="Times New Roman"/>
        </w:rPr>
        <w:t>3</w:t>
      </w:r>
      <w:r>
        <w:rPr>
          <w:rFonts w:ascii="Times New Roman" w:eastAsia="Times New Roman"/>
          <w:spacing w:val="15"/>
        </w:rPr>
        <w:t> </w:t>
      </w:r>
      <w:r>
        <w:rPr/>
        <w:t>位）</w:t>
      </w:r>
      <w:r>
        <w:rPr>
          <w:spacing w:val="-1"/>
        </w:rPr>
        <w:t>发生差错时，视为基金份额净值错误；基金份额净值出现</w:t>
      </w:r>
      <w:r>
        <w:rPr/>
        <w:t>错误时，基金管理人应当立即予以纠正，通报基金托管人，并采取合理的措施防止损失进一步扩大；当错误达到或超过基金资产净值的 </w:t>
      </w:r>
      <w:r>
        <w:rPr>
          <w:rFonts w:ascii="Times New Roman" w:eastAsia="Times New Roman"/>
        </w:rPr>
        <w:t>0.25%</w:t>
      </w:r>
      <w:r>
        <w:rPr>
          <w:spacing w:val="-3"/>
        </w:rPr>
        <w:t>时，基金管理</w:t>
      </w:r>
    </w:p>
    <w:p>
      <w:pPr>
        <w:spacing w:after="0" w:line="364" w:lineRule="auto"/>
        <w:jc w:val="both"/>
        <w:sectPr>
          <w:pgSz w:w="11910" w:h="16840"/>
          <w:pgMar w:header="880" w:footer="1964" w:top="1380" w:bottom="2160" w:left="1660" w:right="1580"/>
        </w:sectPr>
      </w:pPr>
    </w:p>
    <w:p>
      <w:pPr>
        <w:pStyle w:val="BodyText"/>
        <w:spacing w:line="364" w:lineRule="auto" w:before="130"/>
        <w:ind w:right="334"/>
        <w:jc w:val="both"/>
      </w:pPr>
      <w:r>
        <w:rPr/>
        <w:t>公司应当及时通知基金托管人并报中国证监会；错误偏差达到基金份额净值的</w:t>
      </w:r>
      <w:r>
        <w:rPr>
          <w:rFonts w:ascii="Times New Roman" w:eastAsia="Times New Roman"/>
        </w:rPr>
        <w:t>0.5%</w:t>
      </w:r>
      <w:r>
        <w:rPr>
          <w:spacing w:val="-1"/>
        </w:rPr>
        <w:t>时，基金管理人应当公告、通报基金托管人并报中国证监会备案；当发生</w:t>
      </w:r>
      <w:r>
        <w:rPr/>
        <w:t>净值计算错误时，由基金管理人负责处理，由此给基金份额持有人和基金造成损失的，应由基金管理人先行赔付，基金管理人按差错情形，有权向其他当事人追偿。</w:t>
      </w:r>
    </w:p>
    <w:p>
      <w:pPr>
        <w:pStyle w:val="ListParagraph"/>
        <w:numPr>
          <w:ilvl w:val="0"/>
          <w:numId w:val="24"/>
        </w:numPr>
        <w:tabs>
          <w:tab w:pos="1219" w:val="left" w:leader="none"/>
        </w:tabs>
        <w:spacing w:line="364" w:lineRule="auto" w:before="3" w:after="0"/>
        <w:ind w:left="138" w:right="335" w:firstLine="479"/>
        <w:jc w:val="both"/>
        <w:rPr>
          <w:sz w:val="24"/>
        </w:rPr>
      </w:pPr>
      <w:r>
        <w:rPr>
          <w:sz w:val="24"/>
        </w:rPr>
        <w:t>当基金份额净值计算差错给基金和基金份额持有人造成损失需要进</w:t>
      </w:r>
      <w:r>
        <w:rPr>
          <w:spacing w:val="-4"/>
          <w:sz w:val="24"/>
        </w:rPr>
        <w:t>行赔偿时，基金管理人和基金托管人应根据实际情况界定双方承担的责任，经</w:t>
      </w:r>
      <w:r>
        <w:rPr>
          <w:spacing w:val="-3"/>
          <w:sz w:val="24"/>
        </w:rPr>
        <w:t>确认后按以下条款进行赔偿：</w:t>
      </w:r>
    </w:p>
    <w:p>
      <w:pPr>
        <w:pStyle w:val="BodyText"/>
        <w:spacing w:line="364" w:lineRule="auto" w:before="2"/>
        <w:ind w:right="213" w:firstLine="479"/>
      </w:pPr>
      <w:r>
        <w:rPr>
          <w:spacing w:val="-6"/>
        </w:rPr>
        <w:t>①本基金的基金会计责任方由基金管理人担任，与本基金有关的会计问题， </w:t>
      </w:r>
      <w:r>
        <w:rPr/>
        <w:t>如经双方在平等基础上充分讨论后，尚不能达成一致时，按基金会计责任方的</w:t>
      </w:r>
      <w:r>
        <w:rPr>
          <w:spacing w:val="-10"/>
        </w:rPr>
        <w:t>建议执行，由此给基金份额持有人和基金造成的损失，由基金管理人负责赔付；</w:t>
      </w:r>
    </w:p>
    <w:p>
      <w:pPr>
        <w:pStyle w:val="BodyText"/>
        <w:spacing w:line="364" w:lineRule="auto" w:before="2"/>
        <w:ind w:right="333" w:firstLine="479"/>
        <w:jc w:val="both"/>
      </w:pPr>
      <w:r>
        <w:rPr/>
        <w:t>②若基金管理人计算的基金份额净值已由基金托管人复核确认后公告，而且基金托管人未对计算过程提出疑义或要求基金管理人书面说明，份额净值出错且造成基金份额持有人损失的，应根据法律法规的规定对投资者或基金支付</w:t>
      </w:r>
      <w:r>
        <w:rPr>
          <w:spacing w:val="-2"/>
        </w:rPr>
        <w:t>赔偿金，就实际向投资者或基金支付的赔偿金额，其中基金管理人承担 </w:t>
      </w:r>
      <w:r>
        <w:rPr>
          <w:rFonts w:ascii="Times New Roman" w:hAnsi="Times New Roman" w:eastAsia="Times New Roman"/>
          <w:spacing w:val="-6"/>
        </w:rPr>
        <w:t>50%</w:t>
      </w:r>
      <w:r>
        <w:rPr>
          <w:spacing w:val="-6"/>
        </w:rPr>
        <w:t>， </w:t>
      </w:r>
      <w:r>
        <w:rPr>
          <w:spacing w:val="-8"/>
        </w:rPr>
        <w:t>基金托管人承担 </w:t>
      </w:r>
      <w:r>
        <w:rPr>
          <w:rFonts w:ascii="Times New Roman" w:hAnsi="Times New Roman" w:eastAsia="Times New Roman"/>
        </w:rPr>
        <w:t>50%</w:t>
      </w:r>
      <w:r>
        <w:rPr/>
        <w:t>；</w:t>
      </w:r>
    </w:p>
    <w:p>
      <w:pPr>
        <w:pStyle w:val="BodyText"/>
        <w:spacing w:line="364" w:lineRule="auto" w:before="3"/>
        <w:ind w:right="215" w:firstLine="479"/>
      </w:pPr>
      <w:r>
        <w:rPr/>
        <w:t>③如基金管理人和基金托管人对基金份额净值的计算结果，虽然多次重新计算和核对，尚不能达成一致时，为避免不能按时公布基金份额净值的情形， </w:t>
      </w:r>
      <w:r>
        <w:rPr>
          <w:spacing w:val="-7"/>
        </w:rPr>
        <w:t>以基金管理人的计算结果对外公布，由此给基金份额持有人和基金造成的损失， </w:t>
      </w:r>
      <w:r>
        <w:rPr/>
        <w:t>由基金管理人负责赔付；</w:t>
      </w:r>
    </w:p>
    <w:p>
      <w:pPr>
        <w:pStyle w:val="BodyText"/>
        <w:spacing w:line="364" w:lineRule="auto" w:before="3"/>
        <w:ind w:right="246" w:firstLine="479"/>
      </w:pPr>
      <w:r>
        <w:rPr>
          <w:spacing w:val="6"/>
        </w:rPr>
        <w:t>④由于基金管理人提供的信息错误</w:t>
      </w:r>
      <w:r>
        <w:rPr>
          <w:spacing w:val="9"/>
        </w:rPr>
        <w:t>（</w:t>
      </w:r>
      <w:r>
        <w:rPr>
          <w:spacing w:val="5"/>
        </w:rPr>
        <w:t>包括但不限于基金申购或赎回金额等</w:t>
      </w:r>
      <w:r>
        <w:rPr>
          <w:spacing w:val="-120"/>
        </w:rPr>
        <w:t>）</w:t>
      </w:r>
      <w:r>
        <w:rPr>
          <w:spacing w:val="-1"/>
        </w:rPr>
        <w:t>，进而导致基金份额净值计算错误而引起的基金份额持有人和基金的损失，</w:t>
      </w:r>
      <w:r>
        <w:rPr/>
        <w:t>由基金管理人负责赔付。</w:t>
      </w:r>
    </w:p>
    <w:p>
      <w:pPr>
        <w:pStyle w:val="ListParagraph"/>
        <w:numPr>
          <w:ilvl w:val="0"/>
          <w:numId w:val="24"/>
        </w:numPr>
        <w:tabs>
          <w:tab w:pos="1219" w:val="left" w:leader="none"/>
        </w:tabs>
        <w:spacing w:line="364" w:lineRule="auto" w:before="2" w:after="0"/>
        <w:ind w:left="138" w:right="335" w:firstLine="479"/>
        <w:jc w:val="left"/>
        <w:rPr>
          <w:sz w:val="24"/>
        </w:rPr>
      </w:pPr>
      <w:r>
        <w:rPr>
          <w:sz w:val="24"/>
        </w:rPr>
        <w:t>基金管理人和基金托管人由于各自技术系统设置而产生的净值计算</w:t>
      </w:r>
      <w:r>
        <w:rPr>
          <w:spacing w:val="-4"/>
          <w:sz w:val="24"/>
        </w:rPr>
        <w:t>尾差，以基金管理人计算结果为准。</w:t>
      </w:r>
    </w:p>
    <w:p>
      <w:pPr>
        <w:pStyle w:val="ListParagraph"/>
        <w:numPr>
          <w:ilvl w:val="0"/>
          <w:numId w:val="24"/>
        </w:numPr>
        <w:tabs>
          <w:tab w:pos="1219" w:val="left" w:leader="none"/>
        </w:tabs>
        <w:spacing w:line="364" w:lineRule="auto" w:before="1" w:after="0"/>
        <w:ind w:left="138" w:right="335" w:firstLine="479"/>
        <w:jc w:val="both"/>
        <w:rPr>
          <w:sz w:val="24"/>
        </w:rPr>
      </w:pPr>
      <w:r>
        <w:rPr>
          <w:spacing w:val="-4"/>
          <w:sz w:val="24"/>
        </w:rPr>
        <w:t>前述内容如法律法规或者监管部门另有规定的，从其规定。如果行业有通行做法，双方当事人应本着平等和保护基金份额持有人利益的原则进行协商。</w:t>
      </w:r>
    </w:p>
    <w:p>
      <w:pPr>
        <w:spacing w:after="0" w:line="364" w:lineRule="auto"/>
        <w:jc w:val="both"/>
        <w:rPr>
          <w:sz w:val="24"/>
        </w:rPr>
        <w:sectPr>
          <w:pgSz w:w="11910" w:h="16840"/>
          <w:pgMar w:header="880" w:footer="1964" w:top="1380" w:bottom="2160" w:left="1660" w:right="1580"/>
        </w:sectPr>
      </w:pPr>
    </w:p>
    <w:p>
      <w:pPr>
        <w:pStyle w:val="BodyText"/>
        <w:spacing w:before="130"/>
        <w:ind w:left="618"/>
      </w:pPr>
      <w:r>
        <w:rPr/>
        <w:t>七、暂停估值的情形</w:t>
      </w:r>
    </w:p>
    <w:p>
      <w:pPr>
        <w:pStyle w:val="BodyText"/>
        <w:spacing w:before="160"/>
        <w:ind w:left="618"/>
      </w:pPr>
      <w:r>
        <w:rPr>
          <w:rFonts w:ascii="Times New Roman" w:eastAsia="Times New Roman"/>
        </w:rPr>
        <w:t>1</w:t>
      </w:r>
      <w:r>
        <w:rPr/>
        <w:t>、基金投资所涉及的证券交易所遇法定节假日或因其他原因暂停营业时；</w:t>
      </w:r>
    </w:p>
    <w:p>
      <w:pPr>
        <w:pStyle w:val="BodyText"/>
        <w:spacing w:line="364" w:lineRule="auto" w:before="161"/>
        <w:ind w:right="333" w:firstLine="479"/>
      </w:pPr>
      <w:r>
        <w:rPr>
          <w:rFonts w:ascii="Times New Roman" w:eastAsia="Times New Roman"/>
        </w:rPr>
        <w:t>2</w:t>
      </w:r>
      <w:r>
        <w:rPr>
          <w:spacing w:val="-10"/>
        </w:rPr>
        <w:t>、因不可抗力或其他情形致使基金管理人、基金托管人无法准确评估基金</w:t>
      </w:r>
      <w:r>
        <w:rPr/>
        <w:t>资产价值时；</w:t>
      </w:r>
    </w:p>
    <w:p>
      <w:pPr>
        <w:pStyle w:val="BodyText"/>
        <w:spacing w:line="364" w:lineRule="auto"/>
        <w:ind w:right="333" w:firstLine="479"/>
      </w:pPr>
      <w:r>
        <w:rPr>
          <w:rFonts w:ascii="Times New Roman" w:eastAsia="Times New Roman"/>
        </w:rPr>
        <w:t>3</w:t>
      </w:r>
      <w:r>
        <w:rPr>
          <w:spacing w:val="-10"/>
        </w:rPr>
        <w:t>、占基金相当比例的投资品种的估值出现重大转变，而基金管理人为保障</w:t>
      </w:r>
      <w:r>
        <w:rPr/>
        <w:t>投资者的利益，已决定延迟估值；</w:t>
      </w:r>
    </w:p>
    <w:p>
      <w:pPr>
        <w:pStyle w:val="BodyText"/>
        <w:spacing w:line="364" w:lineRule="auto"/>
        <w:ind w:right="333" w:firstLine="479"/>
      </w:pPr>
      <w:r>
        <w:rPr>
          <w:rFonts w:ascii="Times New Roman" w:eastAsia="Times New Roman"/>
        </w:rPr>
        <w:t>4</w:t>
      </w:r>
      <w:r>
        <w:rPr>
          <w:spacing w:val="-10"/>
        </w:rPr>
        <w:t>、如出现基金管理人认为属于紧急事故的任何情况，会导致基金管理人不</w:t>
      </w:r>
      <w:r>
        <w:rPr/>
        <w:t>能出售或评估基金资产的；</w:t>
      </w:r>
    </w:p>
    <w:p>
      <w:pPr>
        <w:pStyle w:val="BodyText"/>
        <w:spacing w:line="364" w:lineRule="auto" w:before="2"/>
        <w:ind w:right="334" w:firstLine="479"/>
        <w:jc w:val="both"/>
      </w:pPr>
      <w:r>
        <w:rPr>
          <w:rFonts w:ascii="Times New Roman" w:eastAsia="Times New Roman"/>
        </w:rPr>
        <w:t>5</w:t>
      </w:r>
      <w:r>
        <w:rPr>
          <w:spacing w:val="-15"/>
        </w:rPr>
        <w:t>、当前一估值日基金资产净值 </w:t>
      </w:r>
      <w:r>
        <w:rPr>
          <w:rFonts w:ascii="Times New Roman" w:eastAsia="Times New Roman"/>
        </w:rPr>
        <w:t>50%</w:t>
      </w:r>
      <w:r>
        <w:rPr>
          <w:spacing w:val="-1"/>
        </w:rPr>
        <w:t>以上的资产出现无可参考的活跃市场价</w:t>
      </w:r>
      <w:r>
        <w:rPr/>
        <w:t>格且采用估值技术仍导致公允价值存在重大不确定时，经与基金托管人协商确认后，应当暂停估值；</w:t>
      </w:r>
    </w:p>
    <w:p>
      <w:pPr>
        <w:pStyle w:val="BodyText"/>
        <w:spacing w:before="2"/>
        <w:ind w:left="618"/>
      </w:pPr>
      <w:r>
        <w:rPr>
          <w:rFonts w:ascii="Times New Roman" w:eastAsia="Times New Roman"/>
        </w:rPr>
        <w:t>6</w:t>
      </w:r>
      <w:r>
        <w:rPr/>
        <w:t>、中国证监会和基金合同认定的其他情形。</w:t>
      </w:r>
    </w:p>
    <w:p>
      <w:pPr>
        <w:pStyle w:val="BodyText"/>
        <w:spacing w:line="364" w:lineRule="auto" w:before="160"/>
        <w:ind w:right="341" w:firstLine="479"/>
        <w:jc w:val="both"/>
      </w:pPr>
      <w:r>
        <w:rPr/>
        <w:t>八、基金净值的确认用于基金信息披露的基金资产净值和基金份额净值由基金管理人负责计算，基金托管人负责进行复核。基金管理人应于每个工作日交易结束后将当日的净值计算结果发送给基金托管人。基金托管人对净值计算结果复核确认后发送给基金管理人，由基金管理人依据本基金合同和有关法律法规的规定对基金净值予以公布。</w:t>
      </w:r>
    </w:p>
    <w:p>
      <w:pPr>
        <w:pStyle w:val="BodyText"/>
        <w:spacing w:line="364" w:lineRule="auto" w:before="4"/>
        <w:ind w:right="334" w:firstLine="479"/>
        <w:jc w:val="both"/>
      </w:pPr>
      <w:r>
        <w:rPr>
          <w:spacing w:val="-3"/>
        </w:rPr>
        <w:t>基金份额净值的计算精确到 </w:t>
      </w:r>
      <w:r>
        <w:rPr>
          <w:rFonts w:ascii="Times New Roman" w:eastAsia="Times New Roman"/>
        </w:rPr>
        <w:t>0.001 </w:t>
      </w:r>
      <w:r>
        <w:rPr>
          <w:spacing w:val="-5"/>
        </w:rPr>
        <w:t>元，小数点后第 </w:t>
      </w:r>
      <w:r>
        <w:rPr>
          <w:rFonts w:ascii="Times New Roman" w:eastAsia="Times New Roman"/>
        </w:rPr>
        <w:t>4 </w:t>
      </w:r>
      <w:r>
        <w:rPr>
          <w:spacing w:val="-2"/>
        </w:rPr>
        <w:t>位四舍五入。国家另</w:t>
      </w:r>
      <w:r>
        <w:rPr/>
        <w:t>有规定的，从其规定。</w:t>
      </w:r>
    </w:p>
    <w:p>
      <w:pPr>
        <w:pStyle w:val="BodyText"/>
        <w:ind w:left="618"/>
      </w:pPr>
      <w:r>
        <w:rPr/>
        <w:t>九、特殊情形的处理</w:t>
      </w:r>
    </w:p>
    <w:p>
      <w:pPr>
        <w:pStyle w:val="BodyText"/>
        <w:spacing w:line="364" w:lineRule="auto" w:before="160"/>
        <w:ind w:right="336" w:firstLine="479"/>
        <w:jc w:val="both"/>
      </w:pPr>
      <w:r>
        <w:rPr>
          <w:rFonts w:ascii="Times New Roman" w:eastAsia="Times New Roman"/>
        </w:rPr>
        <w:t>1</w:t>
      </w:r>
      <w:r>
        <w:rPr/>
        <w:t>、基金管理人或基金托管人按股票估值方法的第（</w:t>
      </w:r>
      <w:r>
        <w:rPr>
          <w:rFonts w:ascii="Times New Roman" w:eastAsia="Times New Roman"/>
        </w:rPr>
        <w:t>3</w:t>
      </w:r>
      <w:r>
        <w:rPr/>
        <w:t>）项、债券估值方法的第（</w:t>
      </w:r>
      <w:r>
        <w:rPr>
          <w:rFonts w:ascii="Times New Roman" w:eastAsia="Times New Roman"/>
        </w:rPr>
        <w:t>7</w:t>
      </w:r>
      <w:r>
        <w:rPr/>
        <w:t>）项或权证估值方法的第（</w:t>
      </w:r>
      <w:r>
        <w:rPr>
          <w:rFonts w:ascii="Times New Roman" w:eastAsia="Times New Roman"/>
        </w:rPr>
        <w:t>4</w:t>
      </w:r>
      <w:r>
        <w:rPr/>
        <w:t>）项进行估值时，所造成的误差不作为基金资产估值错误处理。</w:t>
      </w:r>
    </w:p>
    <w:p>
      <w:pPr>
        <w:pStyle w:val="BodyText"/>
        <w:spacing w:line="364" w:lineRule="auto" w:before="3"/>
        <w:ind w:right="215" w:firstLine="599"/>
      </w:pPr>
      <w:r>
        <w:rPr>
          <w:rFonts w:ascii="Times New Roman" w:eastAsia="Times New Roman"/>
        </w:rPr>
        <w:t>2</w:t>
      </w:r>
      <w:r>
        <w:rPr/>
        <w:t>、由于证券交易所及登记结算公司发送的数据错误，有关会计制度变化</w:t>
      </w:r>
      <w:r>
        <w:rPr>
          <w:spacing w:val="-7"/>
        </w:rPr>
        <w:t>或由于其他不可抗力原因，基金管理人和基金托管人虽然已经采取必要、适当、</w:t>
      </w:r>
      <w:r>
        <w:rPr/>
        <w:t>合理的措施进行检查，但是未能发现该错误而造成的基金份额净值计算错误， 基金管理人、基金托管人可以免除赔偿责任。但基金管理人、基金托管人应积极采取必要的措施消除由此造成的影响。</w:t>
      </w:r>
    </w:p>
    <w:p>
      <w:pPr>
        <w:spacing w:after="0" w:line="364" w:lineRule="auto"/>
        <w:sectPr>
          <w:pgSz w:w="11910" w:h="16840"/>
          <w:pgMar w:header="880" w:footer="1964" w:top="1380" w:bottom="2160" w:left="1660" w:right="1580"/>
        </w:sectPr>
      </w:pPr>
    </w:p>
    <w:p>
      <w:pPr>
        <w:pStyle w:val="BodyText"/>
        <w:spacing w:before="8"/>
        <w:ind w:left="0"/>
        <w:rPr>
          <w:sz w:val="8"/>
        </w:rPr>
      </w:pPr>
    </w:p>
    <w:p>
      <w:pPr>
        <w:spacing w:before="58"/>
        <w:ind w:left="86" w:right="283" w:firstLine="0"/>
        <w:jc w:val="center"/>
        <w:rPr>
          <w:b/>
          <w:sz w:val="30"/>
        </w:rPr>
      </w:pPr>
      <w:bookmarkStart w:name="_bookmark15" w:id="16"/>
      <w:bookmarkEnd w:id="16"/>
      <w:r>
        <w:rPr/>
      </w:r>
      <w:r>
        <w:rPr>
          <w:b/>
          <w:sz w:val="30"/>
        </w:rPr>
        <w:t>十六、基金费用与税收</w:t>
      </w:r>
    </w:p>
    <w:p>
      <w:pPr>
        <w:pStyle w:val="BodyText"/>
        <w:spacing w:before="0"/>
        <w:ind w:left="0"/>
        <w:rPr>
          <w:b/>
          <w:sz w:val="40"/>
        </w:rPr>
      </w:pPr>
    </w:p>
    <w:p>
      <w:pPr>
        <w:pStyle w:val="BodyText"/>
        <w:spacing w:before="0"/>
        <w:ind w:left="678"/>
      </w:pPr>
      <w:r>
        <w:rPr/>
        <w:t>一、基金费用的种类</w:t>
      </w:r>
    </w:p>
    <w:p>
      <w:pPr>
        <w:pStyle w:val="BodyText"/>
        <w:spacing w:before="161"/>
        <w:ind w:left="678"/>
      </w:pPr>
      <w:r>
        <w:rPr>
          <w:rFonts w:ascii="Times New Roman" w:eastAsia="Times New Roman"/>
        </w:rPr>
        <w:t>1</w:t>
      </w:r>
      <w:r>
        <w:rPr/>
        <w:t>、基金管理人的管理费；</w:t>
      </w:r>
    </w:p>
    <w:p>
      <w:pPr>
        <w:pStyle w:val="BodyText"/>
        <w:spacing w:before="160"/>
        <w:ind w:left="678"/>
      </w:pPr>
      <w:r>
        <w:rPr>
          <w:rFonts w:ascii="Times New Roman" w:eastAsia="Times New Roman"/>
        </w:rPr>
        <w:t>2</w:t>
      </w:r>
      <w:r>
        <w:rPr/>
        <w:t>、基金托管人的托管费；</w:t>
      </w:r>
    </w:p>
    <w:p>
      <w:pPr>
        <w:pStyle w:val="BodyText"/>
        <w:spacing w:before="161"/>
        <w:ind w:left="678"/>
      </w:pPr>
      <w:r>
        <w:rPr>
          <w:rFonts w:ascii="Times New Roman" w:eastAsia="Times New Roman"/>
        </w:rPr>
        <w:t>3</w:t>
      </w:r>
      <w:r>
        <w:rPr/>
        <w:t>、销售服务费；</w:t>
      </w:r>
    </w:p>
    <w:p>
      <w:pPr>
        <w:pStyle w:val="BodyText"/>
        <w:spacing w:before="160"/>
        <w:ind w:left="678"/>
      </w:pPr>
      <w:r>
        <w:rPr>
          <w:rFonts w:ascii="Times New Roman" w:eastAsia="Times New Roman"/>
        </w:rPr>
        <w:t>4</w:t>
      </w:r>
      <w:r>
        <w:rPr/>
        <w:t>、基金合同生效后与基金相关的信息披露费用；</w:t>
      </w:r>
    </w:p>
    <w:p>
      <w:pPr>
        <w:pStyle w:val="BodyText"/>
        <w:spacing w:before="161"/>
        <w:ind w:left="678"/>
      </w:pPr>
      <w:r>
        <w:rPr>
          <w:rFonts w:ascii="Times New Roman" w:eastAsia="Times New Roman"/>
        </w:rPr>
        <w:t>5</w:t>
      </w:r>
      <w:r>
        <w:rPr/>
        <w:t>、基金合同生效后与基金相关的会计师费和律师费；</w:t>
      </w:r>
    </w:p>
    <w:p>
      <w:pPr>
        <w:pStyle w:val="BodyText"/>
        <w:spacing w:before="161"/>
        <w:ind w:left="678"/>
      </w:pPr>
      <w:r>
        <w:rPr>
          <w:rFonts w:ascii="Times New Roman" w:eastAsia="Times New Roman"/>
        </w:rPr>
        <w:t>6</w:t>
      </w:r>
      <w:r>
        <w:rPr/>
        <w:t>、基金份额持有人大会费用；</w:t>
      </w:r>
    </w:p>
    <w:p>
      <w:pPr>
        <w:pStyle w:val="BodyText"/>
        <w:spacing w:before="160"/>
        <w:ind w:left="678"/>
      </w:pPr>
      <w:r>
        <w:rPr>
          <w:rFonts w:ascii="Times New Roman" w:eastAsia="Times New Roman"/>
        </w:rPr>
        <w:t>7</w:t>
      </w:r>
      <w:r>
        <w:rPr/>
        <w:t>、基金的证券交易费用；</w:t>
      </w:r>
    </w:p>
    <w:p>
      <w:pPr>
        <w:pStyle w:val="BodyText"/>
        <w:spacing w:before="161"/>
        <w:ind w:left="678"/>
      </w:pPr>
      <w:r>
        <w:rPr>
          <w:rFonts w:ascii="Times New Roman" w:eastAsia="Times New Roman"/>
        </w:rPr>
        <w:t>8</w:t>
      </w:r>
      <w:r>
        <w:rPr/>
        <w:t>、银行汇划费用；</w:t>
      </w:r>
    </w:p>
    <w:p>
      <w:pPr>
        <w:pStyle w:val="BodyText"/>
        <w:spacing w:line="364" w:lineRule="auto" w:before="160"/>
        <w:ind w:right="344" w:firstLine="539"/>
      </w:pPr>
      <w:r>
        <w:rPr>
          <w:rFonts w:ascii="Times New Roman" w:eastAsia="Times New Roman"/>
        </w:rPr>
        <w:t>9</w:t>
      </w:r>
      <w:r>
        <w:rPr/>
        <w:t>、按照国家有关规定和《基金合同》约定，可以在基金财产中列支的其他费用。</w:t>
      </w:r>
    </w:p>
    <w:p>
      <w:pPr>
        <w:pStyle w:val="BodyText"/>
        <w:spacing w:line="364" w:lineRule="auto" w:before="2"/>
        <w:ind w:left="678" w:right="546"/>
      </w:pPr>
      <w:r>
        <w:rPr/>
        <w:t>本基金终止清算时所发生费用，按实际支出额从基金财产总值中扣除。二、基金费用计提方法、计提标准和支付方式</w:t>
      </w:r>
    </w:p>
    <w:p>
      <w:pPr>
        <w:pStyle w:val="BodyText"/>
        <w:ind w:left="678"/>
      </w:pPr>
      <w:r>
        <w:rPr>
          <w:rFonts w:ascii="Times New Roman" w:eastAsia="Times New Roman"/>
        </w:rPr>
        <w:t>1</w:t>
      </w:r>
      <w:r>
        <w:rPr/>
        <w:t>、基金管理人的管理费</w:t>
      </w:r>
    </w:p>
    <w:p>
      <w:pPr>
        <w:pStyle w:val="BodyText"/>
        <w:spacing w:line="364" w:lineRule="auto" w:before="161"/>
        <w:ind w:right="334" w:firstLine="539"/>
      </w:pPr>
      <w:r>
        <w:rPr>
          <w:spacing w:val="-4"/>
        </w:rPr>
        <w:t>本基金的管理费按前一日基金资产净值的 </w:t>
      </w:r>
      <w:r>
        <w:rPr>
          <w:rFonts w:ascii="Times New Roman" w:eastAsia="Times New Roman"/>
        </w:rPr>
        <w:t>1.5%</w:t>
      </w:r>
      <w:r>
        <w:rPr>
          <w:spacing w:val="-12"/>
        </w:rPr>
        <w:t>年费率计提。管理费的计算</w:t>
      </w:r>
      <w:r>
        <w:rPr/>
        <w:t>方法如下：</w:t>
      </w:r>
    </w:p>
    <w:p>
      <w:pPr>
        <w:pStyle w:val="BodyText"/>
        <w:ind w:left="678"/>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1.5%</w:t>
      </w:r>
      <w:r>
        <w:rPr/>
        <w:t>÷当年天数</w:t>
      </w:r>
    </w:p>
    <w:p>
      <w:pPr>
        <w:pStyle w:val="BodyText"/>
        <w:spacing w:before="160"/>
        <w:ind w:left="678"/>
      </w:pPr>
      <w:r>
        <w:rPr>
          <w:rFonts w:ascii="Times New Roman" w:eastAsia="Times New Roman"/>
        </w:rPr>
        <w:t>H </w:t>
      </w:r>
      <w:r>
        <w:rPr/>
        <w:t>为每日应计提的基金管理费</w:t>
      </w:r>
    </w:p>
    <w:p>
      <w:pPr>
        <w:pStyle w:val="BodyText"/>
        <w:spacing w:before="161"/>
        <w:ind w:left="678"/>
        <w:jc w:val="both"/>
      </w:pPr>
      <w:r>
        <w:rPr>
          <w:rFonts w:ascii="Times New Roman" w:eastAsia="Times New Roman"/>
        </w:rPr>
        <w:t>E </w:t>
      </w:r>
      <w:r>
        <w:rPr/>
        <w:t>为前一日的基金资产净值</w:t>
      </w:r>
    </w:p>
    <w:p>
      <w:pPr>
        <w:pStyle w:val="BodyText"/>
        <w:spacing w:line="364" w:lineRule="auto" w:before="161"/>
        <w:ind w:right="333" w:firstLine="539"/>
        <w:jc w:val="both"/>
      </w:pPr>
      <w:r>
        <w:rPr>
          <w:spacing w:val="-4"/>
        </w:rPr>
        <w:t>基金管理费每日计算，逐日累计至每月月末，按月支付，由基金管理人向</w:t>
      </w:r>
      <w:r>
        <w:rPr>
          <w:spacing w:val="-2"/>
        </w:rPr>
        <w:t>基金托管人发送基金管理费划款指令，基金托管人复核后于次月前 </w:t>
      </w:r>
      <w:r>
        <w:rPr>
          <w:rFonts w:ascii="Times New Roman" w:eastAsia="Times New Roman"/>
        </w:rPr>
        <w:t>2 </w:t>
      </w:r>
      <w:r>
        <w:rPr>
          <w:spacing w:val="-5"/>
        </w:rPr>
        <w:t>个工作日</w:t>
      </w:r>
      <w:r>
        <w:rPr>
          <w:spacing w:val="-2"/>
        </w:rPr>
        <w:t>内从基金财产中一次性支付给基金管理人。若遇法定节假日、公休假等</w:t>
      </w:r>
      <w:r>
        <w:rPr>
          <w:rFonts w:ascii="Times New Roman" w:eastAsia="Times New Roman"/>
        </w:rPr>
        <w:t>,</w:t>
      </w:r>
      <w:r>
        <w:rPr>
          <w:spacing w:val="-6"/>
        </w:rPr>
        <w:t>支付日</w:t>
      </w:r>
      <w:r>
        <w:rPr/>
        <w:t>期顺延。</w:t>
      </w:r>
    </w:p>
    <w:p>
      <w:pPr>
        <w:pStyle w:val="BodyText"/>
        <w:spacing w:before="2"/>
        <w:ind w:left="678"/>
      </w:pPr>
      <w:r>
        <w:rPr>
          <w:rFonts w:ascii="Times New Roman" w:eastAsia="Times New Roman"/>
        </w:rPr>
        <w:t>2</w:t>
      </w:r>
      <w:r>
        <w:rPr/>
        <w:t>、基金托管人的托管费</w:t>
      </w:r>
    </w:p>
    <w:p>
      <w:pPr>
        <w:pStyle w:val="BodyText"/>
        <w:spacing w:line="364" w:lineRule="auto" w:before="161"/>
        <w:ind w:right="337" w:firstLine="539"/>
      </w:pPr>
      <w:r>
        <w:rPr/>
        <w:t>本基金的托管费按前一日基金资产净值的 </w:t>
      </w:r>
      <w:r>
        <w:rPr>
          <w:rFonts w:ascii="Times New Roman" w:hAnsi="Times New Roman" w:eastAsia="Times New Roman"/>
        </w:rPr>
        <w:t>2.5</w:t>
      </w:r>
      <w:r>
        <w:rPr/>
        <w:t>‰的年费率计提。托管费的计算方法如下：</w:t>
      </w:r>
    </w:p>
    <w:p>
      <w:pPr>
        <w:spacing w:after="0" w:line="364" w:lineRule="auto"/>
        <w:sectPr>
          <w:pgSz w:w="11910" w:h="16840"/>
          <w:pgMar w:header="880" w:footer="1964" w:top="1380" w:bottom="2160" w:left="1660" w:right="1580"/>
        </w:sectPr>
      </w:pPr>
    </w:p>
    <w:p>
      <w:pPr>
        <w:pStyle w:val="BodyText"/>
        <w:spacing w:before="130"/>
        <w:ind w:left="678"/>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2.5</w:t>
      </w:r>
      <w:r>
        <w:rPr/>
        <w:t>‰÷当年天数</w:t>
      </w:r>
    </w:p>
    <w:p>
      <w:pPr>
        <w:pStyle w:val="BodyText"/>
        <w:spacing w:before="160"/>
        <w:ind w:left="678"/>
      </w:pPr>
      <w:r>
        <w:rPr>
          <w:rFonts w:ascii="Times New Roman" w:eastAsia="Times New Roman"/>
        </w:rPr>
        <w:t>H </w:t>
      </w:r>
      <w:r>
        <w:rPr/>
        <w:t>为每日应计提的基金托管费</w:t>
      </w:r>
    </w:p>
    <w:p>
      <w:pPr>
        <w:pStyle w:val="BodyText"/>
        <w:spacing w:before="161"/>
        <w:ind w:left="678"/>
        <w:jc w:val="both"/>
      </w:pPr>
      <w:r>
        <w:rPr>
          <w:rFonts w:ascii="Times New Roman" w:eastAsia="Times New Roman"/>
        </w:rPr>
        <w:t>E </w:t>
      </w:r>
      <w:r>
        <w:rPr/>
        <w:t>为前一日的基金资产净值</w:t>
      </w:r>
    </w:p>
    <w:p>
      <w:pPr>
        <w:pStyle w:val="BodyText"/>
        <w:spacing w:line="364" w:lineRule="auto" w:before="160"/>
        <w:ind w:right="333" w:firstLine="539"/>
        <w:jc w:val="both"/>
      </w:pPr>
      <w:r>
        <w:rPr>
          <w:spacing w:val="-4"/>
        </w:rPr>
        <w:t>基金托管费每日计算，逐日累计至每月月末，按月支付，由基金管理人向</w:t>
      </w:r>
      <w:r>
        <w:rPr>
          <w:spacing w:val="-2"/>
        </w:rPr>
        <w:t>基金托管人发送基金托管费划款指令，基金托管人复核后于次月前 </w:t>
      </w:r>
      <w:r>
        <w:rPr>
          <w:rFonts w:ascii="Times New Roman" w:eastAsia="Times New Roman"/>
        </w:rPr>
        <w:t>2 </w:t>
      </w:r>
      <w:r>
        <w:rPr>
          <w:spacing w:val="-5"/>
        </w:rPr>
        <w:t>个工作日</w:t>
      </w:r>
      <w:r>
        <w:rPr/>
        <w:t>内从基金财产中一次性支取。若遇法定节假日、公休日等，支付日期顺延。</w:t>
      </w:r>
    </w:p>
    <w:p>
      <w:pPr>
        <w:pStyle w:val="BodyText"/>
        <w:spacing w:before="2"/>
        <w:ind w:left="678"/>
      </w:pPr>
      <w:r>
        <w:rPr>
          <w:rFonts w:ascii="Times New Roman" w:eastAsia="Times New Roman"/>
        </w:rPr>
        <w:t>3</w:t>
      </w:r>
      <w:r>
        <w:rPr/>
        <w:t>、销售服务费</w:t>
      </w:r>
    </w:p>
    <w:p>
      <w:pPr>
        <w:pStyle w:val="BodyText"/>
        <w:spacing w:line="364" w:lineRule="auto" w:before="161"/>
        <w:ind w:right="330" w:firstLine="539"/>
        <w:jc w:val="both"/>
      </w:pPr>
      <w:r>
        <w:rPr/>
        <w:t>销售服务费是指基金管理人根据基金合同的约定及届时有效的相关法律法规的规定，从开放式基金财产中计提的一定比例的费用，用于支付销售机构佣金、基金的营销费用以及基金份额持有人服务费等。</w:t>
      </w:r>
    </w:p>
    <w:p>
      <w:pPr>
        <w:pStyle w:val="BodyText"/>
        <w:spacing w:line="364" w:lineRule="auto" w:before="2"/>
        <w:ind w:right="212" w:firstLine="539"/>
      </w:pPr>
      <w:r>
        <w:rPr>
          <w:spacing w:val="-3"/>
        </w:rPr>
        <w:t>基金管理人可以选取适当的时机</w:t>
      </w:r>
      <w:r>
        <w:rPr/>
        <w:t>（但应于中国证监会发布有关收取开放式证券投资基金销售费用的规定后）开始计提销售服务费，但应当依照《信息披</w:t>
      </w:r>
      <w:r>
        <w:rPr>
          <w:spacing w:val="-11"/>
        </w:rPr>
        <w:t>露办法》的有关规定在指定媒介上公告。公告中应规定计提销售服务费的条件、</w:t>
      </w:r>
      <w:r>
        <w:rPr/>
        <w:t>程序、用途和费率标准。</w:t>
      </w:r>
    </w:p>
    <w:p>
      <w:pPr>
        <w:pStyle w:val="BodyText"/>
        <w:spacing w:line="364" w:lineRule="auto" w:before="3"/>
        <w:ind w:right="330" w:firstLine="539"/>
      </w:pPr>
      <w:r>
        <w:rPr/>
        <w:t>基金管理人依据本基金合同及届时有效的有关法律法规公告收取基金销售服务费或酌情降低基金销售服务费的，无须召开基金份额持有人大会。</w:t>
      </w:r>
    </w:p>
    <w:p>
      <w:pPr>
        <w:pStyle w:val="BodyText"/>
        <w:spacing w:line="364" w:lineRule="auto"/>
        <w:ind w:right="334" w:firstLine="539"/>
      </w:pPr>
      <w:r>
        <w:rPr/>
        <w:t>上述一、基金费用的种类中第 </w:t>
      </w:r>
      <w:r>
        <w:rPr>
          <w:rFonts w:ascii="Times New Roman" w:eastAsia="Times New Roman"/>
        </w:rPr>
        <w:t>3</w:t>
      </w:r>
      <w:r>
        <w:rPr/>
        <w:t>－</w:t>
      </w:r>
      <w:r>
        <w:rPr>
          <w:rFonts w:ascii="Times New Roman" w:eastAsia="Times New Roman"/>
        </w:rPr>
        <w:t>8 </w:t>
      </w:r>
      <w:r>
        <w:rPr/>
        <w:t>项费用，根据有关法规及相应协议规定，按费用实际支出金额列入当期费用，由基金托管人从基金财产中支付。</w:t>
      </w:r>
    </w:p>
    <w:p>
      <w:pPr>
        <w:pStyle w:val="BodyText"/>
        <w:ind w:left="678"/>
      </w:pPr>
      <w:r>
        <w:rPr/>
        <w:t>三、不列入基金费用的项目下列费用不列入基金费用：</w:t>
      </w:r>
    </w:p>
    <w:p>
      <w:pPr>
        <w:pStyle w:val="BodyText"/>
        <w:spacing w:line="364" w:lineRule="auto" w:before="161"/>
        <w:ind w:right="344" w:firstLine="539"/>
      </w:pPr>
      <w:r>
        <w:rPr>
          <w:rFonts w:ascii="Times New Roman" w:eastAsia="Times New Roman"/>
        </w:rPr>
        <w:t>1</w:t>
      </w:r>
      <w:r>
        <w:rPr/>
        <w:t>、基金管理人和基金托管人因未履行或未完全履行义务导致的费用支出或基金财产的损失；</w:t>
      </w:r>
    </w:p>
    <w:p>
      <w:pPr>
        <w:pStyle w:val="BodyText"/>
        <w:ind w:left="678"/>
      </w:pPr>
      <w:r>
        <w:rPr>
          <w:rFonts w:ascii="Times New Roman" w:eastAsia="Times New Roman"/>
        </w:rPr>
        <w:t>2</w:t>
      </w:r>
      <w:r>
        <w:rPr/>
        <w:t>、基金管理人和基金托管人处理与基金运作无关的事项发生的费用；</w:t>
      </w:r>
    </w:p>
    <w:p>
      <w:pPr>
        <w:pStyle w:val="BodyText"/>
        <w:spacing w:line="364" w:lineRule="auto" w:before="161"/>
        <w:ind w:right="169" w:firstLine="539"/>
      </w:pPr>
      <w:r>
        <w:rPr>
          <w:rFonts w:ascii="Times New Roman" w:eastAsia="Times New Roman"/>
        </w:rPr>
        <w:t>3</w:t>
      </w:r>
      <w:r>
        <w:rPr/>
        <w:t>、基金合同生效前的相关费用，包括但不限于验资费、会计师和律师费、信息披露费用等费用；</w:t>
      </w:r>
    </w:p>
    <w:p>
      <w:pPr>
        <w:pStyle w:val="BodyText"/>
        <w:spacing w:line="364" w:lineRule="auto"/>
        <w:ind w:right="344" w:firstLine="539"/>
      </w:pPr>
      <w:r>
        <w:rPr>
          <w:rFonts w:ascii="Times New Roman" w:eastAsia="Times New Roman"/>
        </w:rPr>
        <w:t>4</w:t>
      </w:r>
      <w:r>
        <w:rPr/>
        <w:t>、其他根据相关法律法规及中国证监会的有关规定不得列入基金费用的项目。</w:t>
      </w:r>
    </w:p>
    <w:p>
      <w:pPr>
        <w:pStyle w:val="BodyText"/>
        <w:ind w:left="678"/>
      </w:pPr>
      <w:r>
        <w:rPr/>
        <w:t>四、费用调整</w:t>
      </w:r>
    </w:p>
    <w:p>
      <w:pPr>
        <w:pStyle w:val="BodyText"/>
        <w:spacing w:before="161"/>
        <w:ind w:left="678"/>
      </w:pPr>
      <w:r>
        <w:rPr/>
        <w:t>基金管理人和基金托管人协商一致后，可根据基金发展情况酎情降低基金</w:t>
      </w:r>
    </w:p>
    <w:p>
      <w:pPr>
        <w:spacing w:after="0"/>
        <w:sectPr>
          <w:pgSz w:w="11910" w:h="16840"/>
          <w:pgMar w:header="880" w:footer="1964" w:top="1380" w:bottom="2160" w:left="1660" w:right="1580"/>
        </w:sectPr>
      </w:pPr>
    </w:p>
    <w:p>
      <w:pPr>
        <w:pStyle w:val="BodyText"/>
        <w:spacing w:line="364" w:lineRule="auto" w:before="130"/>
        <w:ind w:right="336"/>
      </w:pPr>
      <w:r>
        <w:rPr/>
        <w:t>管理费率或基金托管费率，无须召开基金份额持有人大会。基金管理人必须依照《信息披露办法》的有关规定在指定媒介公告并报中国证监会备案。</w:t>
      </w:r>
    </w:p>
    <w:p>
      <w:pPr>
        <w:pStyle w:val="BodyText"/>
        <w:spacing w:line="364" w:lineRule="auto"/>
        <w:ind w:right="289" w:firstLine="539"/>
      </w:pPr>
      <w:r>
        <w:rPr/>
        <w:t>五、基金税收本基金运作过程中涉及的各纳税主体，其纳税义务按国家税收法律、法规执行。</w:t>
      </w:r>
    </w:p>
    <w:p>
      <w:pPr>
        <w:spacing w:after="0" w:line="364" w:lineRule="auto"/>
        <w:sectPr>
          <w:pgSz w:w="11910" w:h="16840"/>
          <w:pgMar w:header="880" w:footer="1964" w:top="1380" w:bottom="2160" w:left="1660" w:right="1580"/>
        </w:sectPr>
      </w:pPr>
    </w:p>
    <w:p>
      <w:pPr>
        <w:pStyle w:val="BodyText"/>
        <w:spacing w:before="8"/>
        <w:ind w:left="0"/>
        <w:rPr>
          <w:sz w:val="8"/>
        </w:rPr>
      </w:pPr>
    </w:p>
    <w:p>
      <w:pPr>
        <w:spacing w:before="58"/>
        <w:ind w:left="84" w:right="283" w:firstLine="0"/>
        <w:jc w:val="center"/>
        <w:rPr>
          <w:b/>
          <w:sz w:val="30"/>
        </w:rPr>
      </w:pPr>
      <w:bookmarkStart w:name="_bookmark16" w:id="17"/>
      <w:bookmarkEnd w:id="17"/>
      <w:r>
        <w:rPr/>
      </w:r>
      <w:r>
        <w:rPr>
          <w:b/>
          <w:sz w:val="30"/>
        </w:rPr>
        <w:t>十七、基金的收益与分配</w:t>
      </w:r>
    </w:p>
    <w:p>
      <w:pPr>
        <w:pStyle w:val="BodyText"/>
        <w:spacing w:before="201"/>
        <w:ind w:left="618"/>
      </w:pPr>
      <w:r>
        <w:rPr/>
        <w:t>一、基金收益的构成</w:t>
      </w:r>
    </w:p>
    <w:p>
      <w:pPr>
        <w:pStyle w:val="BodyText"/>
        <w:spacing w:line="364" w:lineRule="auto" w:before="160"/>
        <w:ind w:right="340" w:firstLine="479"/>
        <w:jc w:val="both"/>
      </w:pPr>
      <w:r>
        <w:rPr/>
        <w:t>基金收益包括：基金投资所得红利、股息、债券利息、票据投资收益、买卖证券差价、银行存款利息以及其他收入。因运用基金财产带来的成本或费用的节约计入收益。</w:t>
      </w:r>
    </w:p>
    <w:p>
      <w:pPr>
        <w:pStyle w:val="BodyText"/>
        <w:spacing w:before="2"/>
        <w:ind w:left="618"/>
      </w:pPr>
      <w:r>
        <w:rPr/>
        <w:t>二、基金净收益</w:t>
      </w:r>
    </w:p>
    <w:p>
      <w:pPr>
        <w:pStyle w:val="BodyText"/>
        <w:spacing w:line="364" w:lineRule="auto" w:before="161"/>
        <w:ind w:right="340" w:firstLine="479"/>
      </w:pPr>
      <w:r>
        <w:rPr/>
        <w:t>基金净收益为基金收益扣除按照有关规定可以在基金收益中扣除的费用后的余额。</w:t>
      </w:r>
    </w:p>
    <w:p>
      <w:pPr>
        <w:pStyle w:val="BodyText"/>
        <w:ind w:left="618"/>
      </w:pPr>
      <w:r>
        <w:rPr/>
        <w:t>三、基金收益分配原则</w:t>
      </w:r>
    </w:p>
    <w:p>
      <w:pPr>
        <w:pStyle w:val="BodyText"/>
        <w:spacing w:before="161"/>
        <w:ind w:left="618"/>
        <w:rPr>
          <w:rFonts w:ascii="Times New Roman" w:eastAsia="Times New Roman"/>
        </w:rPr>
      </w:pPr>
      <w:r>
        <w:rPr>
          <w:rFonts w:ascii="Times New Roman" w:eastAsia="Times New Roman"/>
        </w:rPr>
        <w:t>1</w:t>
      </w:r>
      <w:r>
        <w:rPr>
          <w:spacing w:val="-7"/>
        </w:rPr>
        <w:t>、在符合有关基金分红条件的前提下，本基金每年收益分配次数最多为 </w:t>
      </w:r>
      <w:r>
        <w:rPr>
          <w:rFonts w:ascii="Times New Roman" w:eastAsia="Times New Roman"/>
        </w:rPr>
        <w:t>6</w:t>
      </w:r>
    </w:p>
    <w:p>
      <w:pPr>
        <w:pStyle w:val="BodyText"/>
        <w:spacing w:before="160"/>
        <w:ind w:left="0" w:right="195"/>
        <w:jc w:val="center"/>
        <w:rPr>
          <w:rFonts w:ascii="Times New Roman" w:eastAsia="Times New Roman"/>
        </w:rPr>
      </w:pPr>
      <w:r>
        <w:rPr>
          <w:spacing w:val="-2"/>
        </w:rPr>
        <w:t>次，全年分配比例不得低于年度可供分配收益的 </w:t>
      </w:r>
      <w:r>
        <w:rPr>
          <w:rFonts w:ascii="Times New Roman" w:eastAsia="Times New Roman"/>
        </w:rPr>
        <w:t>50%</w:t>
      </w:r>
      <w:r>
        <w:rPr>
          <w:spacing w:val="-3"/>
        </w:rPr>
        <w:t>，若基金合同生效不满 </w:t>
      </w:r>
      <w:r>
        <w:rPr>
          <w:rFonts w:ascii="Times New Roman" w:eastAsia="Times New Roman"/>
        </w:rPr>
        <w:t>3</w:t>
      </w:r>
    </w:p>
    <w:p>
      <w:pPr>
        <w:pStyle w:val="BodyText"/>
        <w:spacing w:before="161"/>
      </w:pPr>
      <w:r>
        <w:rPr/>
        <w:t>个月可不进行收益分配；</w:t>
      </w:r>
    </w:p>
    <w:p>
      <w:pPr>
        <w:pStyle w:val="BodyText"/>
        <w:spacing w:line="364" w:lineRule="auto" w:before="160"/>
        <w:ind w:right="332" w:firstLine="479"/>
        <w:jc w:val="both"/>
      </w:pPr>
      <w:r>
        <w:rPr>
          <w:rFonts w:ascii="Times New Roman" w:eastAsia="Times New Roman"/>
        </w:rPr>
        <w:t>2</w:t>
      </w:r>
      <w:r>
        <w:rPr>
          <w:spacing w:val="-10"/>
        </w:rPr>
        <w:t>、本基金收益分配方式分两种：现金分红与红利再投资，投资人可选择现</w:t>
      </w:r>
      <w:r>
        <w:rPr/>
        <w:t>金红利或将现金红利按除权日的基金份额净值自动转为基金份额进行再投资； 若投资者不选择，本基金默认的收益分配方式是现金分红；</w:t>
      </w:r>
    </w:p>
    <w:p>
      <w:pPr>
        <w:pStyle w:val="BodyText"/>
        <w:spacing w:before="3"/>
        <w:ind w:left="618"/>
      </w:pPr>
      <w:r>
        <w:rPr>
          <w:rFonts w:ascii="Times New Roman" w:eastAsia="Times New Roman"/>
        </w:rPr>
        <w:t>3</w:t>
      </w:r>
      <w:r>
        <w:rPr/>
        <w:t>、基金投资当期出现净亏损，则不进行收益分配；</w:t>
      </w:r>
    </w:p>
    <w:p>
      <w:pPr>
        <w:pStyle w:val="BodyText"/>
        <w:spacing w:before="160"/>
        <w:ind w:left="618"/>
      </w:pPr>
      <w:r>
        <w:rPr>
          <w:rFonts w:ascii="Times New Roman" w:eastAsia="Times New Roman"/>
        </w:rPr>
        <w:t>4</w:t>
      </w:r>
      <w:r>
        <w:rPr/>
        <w:t>、基金当期收益应先弥补上期累计亏损后，才可进行当期收益分配；</w:t>
      </w:r>
    </w:p>
    <w:p>
      <w:pPr>
        <w:pStyle w:val="BodyText"/>
        <w:spacing w:before="161"/>
        <w:ind w:left="618"/>
      </w:pPr>
      <w:r>
        <w:rPr>
          <w:rFonts w:ascii="Times New Roman" w:eastAsia="Times New Roman"/>
        </w:rPr>
        <w:t>5</w:t>
      </w:r>
      <w:r>
        <w:rPr/>
        <w:t>、基金收益分配后基金份额净值不能低于面值；</w:t>
      </w:r>
    </w:p>
    <w:p>
      <w:pPr>
        <w:pStyle w:val="BodyText"/>
        <w:spacing w:before="160"/>
        <w:ind w:left="618"/>
      </w:pPr>
      <w:r>
        <w:rPr>
          <w:rFonts w:ascii="Times New Roman" w:eastAsia="Times New Roman"/>
        </w:rPr>
        <w:t>6</w:t>
      </w:r>
      <w:r>
        <w:rPr/>
        <w:t>、每一基金份额享有同等分配权；</w:t>
      </w:r>
    </w:p>
    <w:p>
      <w:pPr>
        <w:pStyle w:val="BodyText"/>
        <w:spacing w:before="161"/>
        <w:ind w:left="618"/>
      </w:pPr>
      <w:r>
        <w:rPr>
          <w:rFonts w:ascii="Times New Roman" w:eastAsia="Times New Roman"/>
        </w:rPr>
        <w:t>7</w:t>
      </w:r>
      <w:r>
        <w:rPr/>
        <w:t>、法律法规或监管机关另有规定的，从其规定。</w:t>
      </w:r>
    </w:p>
    <w:p>
      <w:pPr>
        <w:pStyle w:val="BodyText"/>
        <w:spacing w:line="364" w:lineRule="auto" w:before="160"/>
        <w:ind w:right="340" w:firstLine="479"/>
      </w:pPr>
      <w:r>
        <w:rPr/>
        <w:t>四、收益分配方案基金收益分配方案中应载明基金净收益、基金收益分配对象、分配时间、分配数额及比例、分配方式等内容。</w:t>
      </w:r>
    </w:p>
    <w:p>
      <w:pPr>
        <w:pStyle w:val="BodyText"/>
        <w:spacing w:before="2"/>
        <w:ind w:left="618"/>
      </w:pPr>
      <w:r>
        <w:rPr/>
        <w:t>五、收益分配方案的确定、公告与实施</w:t>
      </w:r>
    </w:p>
    <w:p>
      <w:pPr>
        <w:pStyle w:val="BodyText"/>
        <w:spacing w:line="364" w:lineRule="auto" w:before="160"/>
        <w:ind w:right="336" w:firstLine="479"/>
      </w:pPr>
      <w:r>
        <w:rPr/>
        <w:t>本基金收益分配方案由基金管理人拟定，并由基金托管人复核，由基金管理人依照《信息披露办法》的有关规定在指定媒介公告。</w:t>
      </w:r>
    </w:p>
    <w:p>
      <w:pPr>
        <w:pStyle w:val="BodyText"/>
        <w:spacing w:line="364" w:lineRule="auto" w:before="2"/>
        <w:ind w:right="340" w:firstLine="479"/>
      </w:pPr>
      <w:r>
        <w:rPr/>
        <w:t>六、基金收益分配中发生的费用红利分配时所发生的银行转账或其他手续费用由投资者自行承担。当投资者的现金红利小于一定金额，不足于支付银行</w:t>
      </w:r>
    </w:p>
    <w:p>
      <w:pPr>
        <w:spacing w:after="0" w:line="364" w:lineRule="auto"/>
        <w:sectPr>
          <w:pgSz w:w="11910" w:h="16840"/>
          <w:pgMar w:header="880" w:footer="1964" w:top="1380" w:bottom="2160" w:left="1660" w:right="1580"/>
        </w:sectPr>
      </w:pPr>
    </w:p>
    <w:p>
      <w:pPr>
        <w:pStyle w:val="BodyText"/>
        <w:spacing w:line="364" w:lineRule="auto" w:before="130"/>
        <w:ind w:right="336"/>
        <w:jc w:val="both"/>
      </w:pPr>
      <w:r>
        <w:rPr/>
        <w:t>转账或其他手续费用时，基金注册登记人可将投资者的现金红利按权益登记日除权后的基金份额净值自动转为基金份额。红利再投资的计算方法，依照景顺长城基金管理有限公司开放式基金有关业务规定执行。</w:t>
      </w:r>
    </w:p>
    <w:p>
      <w:pPr>
        <w:spacing w:after="0" w:line="364" w:lineRule="auto"/>
        <w:jc w:val="both"/>
        <w:sectPr>
          <w:pgSz w:w="11910" w:h="16840"/>
          <w:pgMar w:header="880" w:footer="1964" w:top="1380" w:bottom="2160" w:left="1660" w:right="1580"/>
        </w:sectPr>
      </w:pPr>
    </w:p>
    <w:p>
      <w:pPr>
        <w:pStyle w:val="BodyText"/>
        <w:spacing w:before="8"/>
        <w:ind w:left="0"/>
        <w:rPr>
          <w:sz w:val="8"/>
        </w:rPr>
      </w:pPr>
    </w:p>
    <w:p>
      <w:pPr>
        <w:spacing w:before="58"/>
        <w:ind w:left="84" w:right="283" w:firstLine="0"/>
        <w:jc w:val="center"/>
        <w:rPr>
          <w:b/>
          <w:sz w:val="30"/>
        </w:rPr>
      </w:pPr>
      <w:bookmarkStart w:name="_bookmark17" w:id="18"/>
      <w:bookmarkEnd w:id="18"/>
      <w:r>
        <w:rPr/>
      </w:r>
      <w:r>
        <w:rPr>
          <w:b/>
          <w:sz w:val="30"/>
        </w:rPr>
        <w:t>十八、基金的会计与审计</w:t>
      </w:r>
    </w:p>
    <w:p>
      <w:pPr>
        <w:pStyle w:val="BodyText"/>
        <w:spacing w:before="201"/>
        <w:ind w:left="618"/>
      </w:pPr>
      <w:r>
        <w:rPr/>
        <w:t>一、基金会计政策</w:t>
      </w:r>
    </w:p>
    <w:p>
      <w:pPr>
        <w:pStyle w:val="BodyText"/>
        <w:spacing w:line="364" w:lineRule="auto" w:before="160"/>
        <w:ind w:right="333" w:firstLine="479"/>
        <w:jc w:val="both"/>
      </w:pPr>
      <w:r>
        <w:rPr>
          <w:rFonts w:ascii="Times New Roman" w:eastAsia="Times New Roman"/>
        </w:rPr>
        <w:t>1</w:t>
      </w:r>
      <w:r>
        <w:rPr>
          <w:spacing w:val="-10"/>
        </w:rPr>
        <w:t>、基金管理人为本基金的基金会计责任方，基金管理人也可以委托基金托</w:t>
      </w:r>
      <w:r>
        <w:rPr/>
        <w:t>管人或者具有证券从业资格的独立的会计师事务所担任基金会计，但该会计师事务所不能同时从事本基金的审计业务；</w:t>
      </w:r>
    </w:p>
    <w:p>
      <w:pPr>
        <w:pStyle w:val="BodyText"/>
        <w:spacing w:before="2"/>
        <w:ind w:left="618"/>
        <w:jc w:val="both"/>
      </w:pPr>
      <w:r>
        <w:rPr>
          <w:rFonts w:ascii="Times New Roman" w:eastAsia="Times New Roman"/>
        </w:rPr>
        <w:t>2</w:t>
      </w:r>
      <w:r>
        <w:rPr>
          <w:spacing w:val="-11"/>
        </w:rPr>
        <w:t>、基金的会计年度为公历每年 </w:t>
      </w:r>
      <w:r>
        <w:rPr>
          <w:rFonts w:ascii="Times New Roman" w:eastAsia="Times New Roman"/>
        </w:rPr>
        <w:t>1</w:t>
      </w:r>
      <w:r>
        <w:rPr>
          <w:rFonts w:ascii="Times New Roman" w:eastAsia="Times New Roman"/>
          <w:spacing w:val="1"/>
        </w:rPr>
        <w:t> </w:t>
      </w:r>
      <w:r>
        <w:rPr>
          <w:spacing w:val="-30"/>
        </w:rPr>
        <w:t>月 </w:t>
      </w:r>
      <w:r>
        <w:rPr>
          <w:rFonts w:ascii="Times New Roman" w:eastAsia="Times New Roman"/>
        </w:rPr>
        <w:t>1</w:t>
      </w:r>
      <w:r>
        <w:rPr>
          <w:rFonts w:ascii="Times New Roman" w:eastAsia="Times New Roman"/>
          <w:spacing w:val="1"/>
        </w:rPr>
        <w:t> </w:t>
      </w:r>
      <w:r>
        <w:rPr>
          <w:spacing w:val="-20"/>
        </w:rPr>
        <w:t>日至 </w:t>
      </w:r>
      <w:r>
        <w:rPr>
          <w:rFonts w:ascii="Times New Roman" w:eastAsia="Times New Roman"/>
        </w:rPr>
        <w:t>12</w:t>
      </w:r>
      <w:r>
        <w:rPr>
          <w:rFonts w:ascii="Times New Roman" w:eastAsia="Times New Roman"/>
          <w:spacing w:val="1"/>
        </w:rPr>
        <w:t> </w:t>
      </w:r>
      <w:r>
        <w:rPr>
          <w:spacing w:val="-30"/>
        </w:rPr>
        <w:t>月 </w:t>
      </w:r>
      <w:r>
        <w:rPr>
          <w:rFonts w:ascii="Times New Roman" w:eastAsia="Times New Roman"/>
        </w:rPr>
        <w:t>31</w:t>
      </w:r>
      <w:r>
        <w:rPr>
          <w:rFonts w:ascii="Times New Roman" w:eastAsia="Times New Roman"/>
          <w:spacing w:val="1"/>
        </w:rPr>
        <w:t> </w:t>
      </w:r>
      <w:r>
        <w:rPr>
          <w:spacing w:val="-7"/>
        </w:rPr>
        <w:t>日；基金首次募集的会</w:t>
      </w:r>
    </w:p>
    <w:p>
      <w:pPr>
        <w:pStyle w:val="BodyText"/>
        <w:spacing w:before="161"/>
        <w:ind w:left="0" w:right="227"/>
        <w:jc w:val="center"/>
      </w:pPr>
      <w:r>
        <w:rPr>
          <w:spacing w:val="-4"/>
        </w:rPr>
        <w:t>计年度按如下规则：若基金合同生效少于 </w:t>
      </w:r>
      <w:r>
        <w:rPr>
          <w:rFonts w:ascii="Times New Roman" w:eastAsia="Times New Roman"/>
        </w:rPr>
        <w:t>3 </w:t>
      </w:r>
      <w:r>
        <w:rPr/>
        <w:t>个月，可以并入下一个会计年度；</w:t>
      </w:r>
    </w:p>
    <w:p>
      <w:pPr>
        <w:pStyle w:val="BodyText"/>
        <w:spacing w:before="161"/>
        <w:ind w:left="618"/>
      </w:pPr>
      <w:r>
        <w:rPr>
          <w:rFonts w:ascii="Times New Roman" w:eastAsia="Times New Roman"/>
        </w:rPr>
        <w:t>3</w:t>
      </w:r>
      <w:r>
        <w:rPr/>
        <w:t>、基金核算以人民币为记账本位币，以人民币元为记账单位；</w:t>
      </w:r>
    </w:p>
    <w:p>
      <w:pPr>
        <w:pStyle w:val="BodyText"/>
        <w:spacing w:before="160"/>
        <w:ind w:left="618"/>
      </w:pPr>
      <w:r>
        <w:rPr>
          <w:rFonts w:ascii="Times New Roman" w:eastAsia="Times New Roman"/>
        </w:rPr>
        <w:t>4</w:t>
      </w:r>
      <w:r>
        <w:rPr/>
        <w:t>、会计制度执行国家有关的会计制度；</w:t>
      </w:r>
    </w:p>
    <w:p>
      <w:pPr>
        <w:pStyle w:val="BodyText"/>
        <w:spacing w:before="161"/>
        <w:ind w:left="618"/>
      </w:pPr>
      <w:r>
        <w:rPr>
          <w:rFonts w:ascii="Times New Roman" w:eastAsia="Times New Roman"/>
        </w:rPr>
        <w:t>5</w:t>
      </w:r>
      <w:r>
        <w:rPr/>
        <w:t>、本基金独立建账、独立核算；</w:t>
      </w:r>
    </w:p>
    <w:p>
      <w:pPr>
        <w:pStyle w:val="BodyText"/>
        <w:spacing w:line="364" w:lineRule="auto" w:before="160"/>
        <w:ind w:right="333" w:firstLine="479"/>
      </w:pPr>
      <w:r>
        <w:rPr>
          <w:rFonts w:ascii="Times New Roman" w:eastAsia="Times New Roman"/>
        </w:rPr>
        <w:t>6</w:t>
      </w:r>
      <w:r>
        <w:rPr>
          <w:spacing w:val="-10"/>
        </w:rPr>
        <w:t>、基金管理人及基金托管人各自保留完整的会计账目、凭证并进行日常的</w:t>
      </w:r>
      <w:r>
        <w:rPr/>
        <w:t>会计核算，按照有关规定编制基金会计报表；</w:t>
      </w:r>
    </w:p>
    <w:p>
      <w:pPr>
        <w:pStyle w:val="BodyText"/>
        <w:spacing w:line="364" w:lineRule="auto"/>
        <w:ind w:right="333" w:firstLine="479"/>
      </w:pPr>
      <w:r>
        <w:rPr>
          <w:rFonts w:ascii="Times New Roman" w:eastAsia="Times New Roman"/>
        </w:rPr>
        <w:t>7</w:t>
      </w:r>
      <w:r>
        <w:rPr>
          <w:spacing w:val="-10"/>
        </w:rPr>
        <w:t>、基金托管人每月与基金管理人就基金的会计核算、报表编制等进行核对</w:t>
      </w:r>
      <w:r>
        <w:rPr/>
        <w:t>并以书面方式确认。</w:t>
      </w:r>
    </w:p>
    <w:p>
      <w:pPr>
        <w:pStyle w:val="BodyText"/>
        <w:spacing w:before="2"/>
        <w:ind w:left="618"/>
      </w:pPr>
      <w:r>
        <w:rPr/>
        <w:t>二、基金审计</w:t>
      </w:r>
    </w:p>
    <w:p>
      <w:pPr>
        <w:pStyle w:val="BodyText"/>
        <w:spacing w:line="364" w:lineRule="auto" w:before="161"/>
        <w:ind w:right="331" w:firstLine="479"/>
        <w:jc w:val="both"/>
      </w:pPr>
      <w:r>
        <w:rPr>
          <w:rFonts w:ascii="Times New Roman" w:eastAsia="Times New Roman"/>
        </w:rPr>
        <w:t>1</w:t>
      </w:r>
      <w:r>
        <w:rPr>
          <w:spacing w:val="-11"/>
        </w:rPr>
        <w:t>、本基金管理人聘请具有证券、期货相关业务资格的会计师事务所及其注</w:t>
      </w:r>
      <w:r>
        <w:rPr/>
        <w:t>册会计师对本基金年度财务报表进行审计。会计师事务所及其注册会计师与基金管理人、基金托管人相互独立。</w:t>
      </w:r>
    </w:p>
    <w:p>
      <w:pPr>
        <w:pStyle w:val="BodyText"/>
        <w:spacing w:line="364" w:lineRule="auto"/>
        <w:ind w:right="331" w:firstLine="479"/>
      </w:pPr>
      <w:r>
        <w:rPr>
          <w:rFonts w:ascii="Times New Roman" w:eastAsia="Times New Roman"/>
        </w:rPr>
        <w:t>2</w:t>
      </w:r>
      <w:r>
        <w:rPr>
          <w:spacing w:val="-11"/>
        </w:rPr>
        <w:t>、会计师事务所更换经办注册会计师，须事先征得基金管理人和基金托管</w:t>
      </w:r>
      <w:r>
        <w:rPr/>
        <w:t>人同意，并报中国证监会备案。</w:t>
      </w:r>
    </w:p>
    <w:p>
      <w:pPr>
        <w:pStyle w:val="BodyText"/>
        <w:spacing w:line="364" w:lineRule="auto" w:before="2"/>
        <w:ind w:right="132" w:firstLine="479"/>
      </w:pPr>
      <w:r>
        <w:rPr>
          <w:rFonts w:ascii="Times New Roman" w:eastAsia="Times New Roman"/>
        </w:rPr>
        <w:t>3</w:t>
      </w:r>
      <w:r>
        <w:rPr/>
        <w:t>、基金管理人（或基金托管人）认为有充足理由更换会计师事务所，须经基金托管人（或基金管理人）同意，更换会计师事务所需按照《信息披露办法》的有关规定在指定媒介公告。</w:t>
      </w:r>
    </w:p>
    <w:p>
      <w:pPr>
        <w:spacing w:after="0" w:line="364" w:lineRule="auto"/>
        <w:sectPr>
          <w:pgSz w:w="11910" w:h="16840"/>
          <w:pgMar w:header="880" w:footer="1964" w:top="1380" w:bottom="2160" w:left="1660" w:right="1580"/>
        </w:sectPr>
      </w:pPr>
    </w:p>
    <w:p>
      <w:pPr>
        <w:pStyle w:val="BodyText"/>
        <w:spacing w:before="8"/>
        <w:ind w:left="0"/>
        <w:rPr>
          <w:sz w:val="8"/>
        </w:rPr>
      </w:pPr>
    </w:p>
    <w:p>
      <w:pPr>
        <w:spacing w:before="58"/>
        <w:ind w:left="86" w:right="283" w:firstLine="0"/>
        <w:jc w:val="center"/>
        <w:rPr>
          <w:b/>
          <w:sz w:val="30"/>
        </w:rPr>
      </w:pPr>
      <w:bookmarkStart w:name="_bookmark18" w:id="19"/>
      <w:bookmarkEnd w:id="19"/>
      <w:r>
        <w:rPr/>
      </w:r>
      <w:r>
        <w:rPr>
          <w:b/>
          <w:sz w:val="30"/>
        </w:rPr>
        <w:t>十九、基金的信息披露</w:t>
      </w:r>
    </w:p>
    <w:p>
      <w:pPr>
        <w:pStyle w:val="BodyText"/>
        <w:spacing w:before="0"/>
        <w:ind w:left="0"/>
        <w:rPr>
          <w:b/>
          <w:sz w:val="30"/>
        </w:rPr>
      </w:pPr>
    </w:p>
    <w:p>
      <w:pPr>
        <w:pStyle w:val="BodyText"/>
        <w:spacing w:before="2"/>
        <w:ind w:left="0"/>
        <w:rPr>
          <w:b/>
          <w:sz w:val="22"/>
        </w:rPr>
      </w:pPr>
    </w:p>
    <w:p>
      <w:pPr>
        <w:pStyle w:val="BodyText"/>
        <w:ind w:left="618"/>
      </w:pPr>
      <w:r>
        <w:rPr/>
        <w:t>一、信息披露要求</w:t>
      </w:r>
    </w:p>
    <w:p>
      <w:pPr>
        <w:pStyle w:val="BodyText"/>
        <w:spacing w:line="364" w:lineRule="auto" w:before="160"/>
        <w:ind w:right="332" w:firstLine="479"/>
        <w:jc w:val="both"/>
      </w:pPr>
      <w:r>
        <w:rPr>
          <w:spacing w:val="-10"/>
        </w:rPr>
        <w:t>本基金的信息披露应符合《基金法》</w:t>
      </w:r>
      <w:r>
        <w:rPr>
          <w:spacing w:val="-34"/>
        </w:rPr>
        <w:t>、《运作办法》、《信息披露办法》、基金</w:t>
      </w:r>
      <w:r>
        <w:rPr/>
        <w:t>合同及其他有关规定。本基金信息披露事项应当在中国证监会规定时间内，通过指定报刊和网站等媒介披露，并保证投资人能够按照基金合同约定的时间和方式查阅或者复制公开披露的信息资料。</w:t>
      </w:r>
    </w:p>
    <w:p>
      <w:pPr>
        <w:pStyle w:val="BodyText"/>
        <w:spacing w:before="3"/>
        <w:ind w:left="558"/>
      </w:pPr>
      <w:r>
        <w:rPr/>
        <w:t>二、信息披露义务人</w:t>
      </w:r>
    </w:p>
    <w:p>
      <w:pPr>
        <w:pStyle w:val="BodyText"/>
        <w:spacing w:line="364" w:lineRule="auto" w:before="161"/>
        <w:ind w:right="337" w:firstLine="479"/>
        <w:jc w:val="both"/>
      </w:pPr>
      <w:r>
        <w:rPr/>
        <w:t>本基金信息披露义务人包括基金管理人、基金托管人、召集基金份额持有人大会的基金份额持有人及其日常机构（如有）等法律、行政法规和中国证监会规定的自然人、法人和非法人组织。</w:t>
      </w:r>
    </w:p>
    <w:p>
      <w:pPr>
        <w:pStyle w:val="BodyText"/>
        <w:spacing w:line="364" w:lineRule="auto"/>
        <w:ind w:right="340" w:firstLine="479"/>
        <w:jc w:val="both"/>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line="364" w:lineRule="auto" w:before="3"/>
        <w:ind w:right="332" w:firstLine="479"/>
        <w:jc w:val="both"/>
      </w:pPr>
      <w:r>
        <w:rPr/>
        <w:t>本基金信息披露义务人应当在中国证监会规定时间内，将应予披露的基金</w:t>
      </w:r>
      <w:r>
        <w:rPr>
          <w:spacing w:val="-2"/>
        </w:rPr>
        <w:t>信息通过中国证监会指定的全国性报刊</w:t>
      </w:r>
      <w:r>
        <w:rPr/>
        <w:t>（</w:t>
      </w:r>
      <w:r>
        <w:rPr>
          <w:spacing w:val="-13"/>
        </w:rPr>
        <w:t>以下简称“指定报刊”</w:t>
      </w:r>
      <w:r>
        <w:rPr>
          <w:spacing w:val="-75"/>
        </w:rPr>
        <w:t>）</w:t>
      </w:r>
      <w:r>
        <w:rPr>
          <w:spacing w:val="-4"/>
        </w:rPr>
        <w:t>及指定互联网</w:t>
      </w:r>
      <w:r>
        <w:rPr>
          <w:spacing w:val="-11"/>
        </w:rPr>
        <w:t>网站</w:t>
      </w:r>
      <w:r>
        <w:rPr/>
        <w:t>（</w:t>
      </w:r>
      <w:r>
        <w:rPr>
          <w:spacing w:val="-17"/>
        </w:rPr>
        <w:t>以下简称“指定网站”</w:t>
      </w:r>
      <w:r>
        <w:rPr>
          <w:spacing w:val="-22"/>
        </w:rPr>
        <w:t>）</w:t>
      </w:r>
      <w:r>
        <w:rPr>
          <w:spacing w:val="-5"/>
        </w:rPr>
        <w:t>等媒介披露，并保证基金投资者能够按照基金合</w:t>
      </w:r>
      <w:r>
        <w:rPr/>
        <w:t>同约定的时间和方式查阅或者复制公开披露的信息资料。</w:t>
      </w:r>
    </w:p>
    <w:p>
      <w:pPr>
        <w:pStyle w:val="BodyText"/>
        <w:spacing w:before="2"/>
        <w:ind w:left="618"/>
      </w:pPr>
      <w:r>
        <w:rPr/>
        <w:t>三、本基金信息披露义务人承诺公开披露的基金信息，不得有下列行为：</w:t>
      </w:r>
    </w:p>
    <w:p>
      <w:pPr>
        <w:pStyle w:val="BodyText"/>
        <w:spacing w:before="160"/>
        <w:ind w:left="618"/>
      </w:pPr>
      <w:r>
        <w:rPr>
          <w:rFonts w:ascii="Times New Roman" w:eastAsia="Times New Roman"/>
        </w:rPr>
        <w:t>1</w:t>
      </w:r>
      <w:r>
        <w:rPr/>
        <w:t>、虚假记载、误导性陈述或者重大遗漏；</w:t>
      </w:r>
    </w:p>
    <w:p>
      <w:pPr>
        <w:pStyle w:val="BodyText"/>
        <w:spacing w:before="161"/>
        <w:ind w:left="618"/>
      </w:pPr>
      <w:r>
        <w:rPr>
          <w:rFonts w:ascii="Times New Roman" w:eastAsia="Times New Roman"/>
        </w:rPr>
        <w:t>2</w:t>
      </w:r>
      <w:r>
        <w:rPr/>
        <w:t>、对证券投资业绩进行预测；</w:t>
      </w:r>
    </w:p>
    <w:p>
      <w:pPr>
        <w:pStyle w:val="BodyText"/>
        <w:spacing w:before="161"/>
        <w:ind w:left="618"/>
      </w:pPr>
      <w:r>
        <w:rPr>
          <w:rFonts w:ascii="Times New Roman" w:eastAsia="Times New Roman"/>
        </w:rPr>
        <w:t>3</w:t>
      </w:r>
      <w:r>
        <w:rPr/>
        <w:t>、违规承诺收益或者承担损失；</w:t>
      </w:r>
    </w:p>
    <w:p>
      <w:pPr>
        <w:pStyle w:val="BodyText"/>
        <w:spacing w:before="161"/>
        <w:ind w:left="618"/>
      </w:pPr>
      <w:r>
        <w:rPr>
          <w:rFonts w:ascii="Times New Roman" w:eastAsia="Times New Roman"/>
        </w:rPr>
        <w:t>4</w:t>
      </w:r>
      <w:r>
        <w:rPr/>
        <w:t>、诋毁其他基金管理人、基金托管人或者基金销售机构；</w:t>
      </w:r>
    </w:p>
    <w:p>
      <w:pPr>
        <w:pStyle w:val="BodyText"/>
        <w:spacing w:before="160"/>
        <w:ind w:left="618"/>
      </w:pPr>
      <w:r>
        <w:rPr>
          <w:rFonts w:ascii="Times New Roman" w:eastAsia="Times New Roman"/>
        </w:rPr>
        <w:t>5</w:t>
      </w:r>
      <w:r>
        <w:rPr/>
        <w:t>、登载任何自然人、法人和非法人组织的祝贺性、恭维性或推荐性的文字；</w:t>
      </w:r>
    </w:p>
    <w:p>
      <w:pPr>
        <w:pStyle w:val="BodyText"/>
        <w:spacing w:before="161"/>
        <w:ind w:left="618"/>
      </w:pPr>
      <w:r>
        <w:rPr>
          <w:rFonts w:ascii="Times New Roman" w:eastAsia="Times New Roman"/>
        </w:rPr>
        <w:t>6</w:t>
      </w:r>
      <w:r>
        <w:rPr/>
        <w:t>、中国证监会禁止的其他行为。</w:t>
      </w:r>
    </w:p>
    <w:p>
      <w:pPr>
        <w:pStyle w:val="BodyText"/>
        <w:spacing w:line="364" w:lineRule="auto" w:before="160"/>
        <w:ind w:right="338" w:firstLine="479"/>
      </w:pPr>
      <w:r>
        <w:rPr/>
        <w:t>四、本基金公开披露的信息应采用中文文本。同时采用外文文本的，基金信息披露义务人应保证不同文本的内容一致。不同文本之间发生歧义的，以中</w:t>
      </w:r>
    </w:p>
    <w:p>
      <w:pPr>
        <w:spacing w:after="0" w:line="364" w:lineRule="auto"/>
        <w:sectPr>
          <w:pgSz w:w="11910" w:h="16840"/>
          <w:pgMar w:header="880" w:footer="1964" w:top="1380" w:bottom="2160" w:left="1660" w:right="1580"/>
        </w:sectPr>
      </w:pPr>
    </w:p>
    <w:p>
      <w:pPr>
        <w:pStyle w:val="BodyText"/>
        <w:spacing w:before="130"/>
      </w:pPr>
      <w:r>
        <w:rPr/>
        <w:t>文文本为准。</w:t>
      </w:r>
    </w:p>
    <w:p>
      <w:pPr>
        <w:pStyle w:val="BodyText"/>
        <w:spacing w:line="364" w:lineRule="auto" w:before="160"/>
        <w:ind w:right="340" w:firstLine="479"/>
      </w:pPr>
      <w:r>
        <w:rPr/>
        <w:t>本基金公开披露的信息采用阿拉伯数字；除特别说明外，货币单位为人民币元。</w:t>
      </w:r>
    </w:p>
    <w:p>
      <w:pPr>
        <w:pStyle w:val="BodyText"/>
        <w:spacing w:line="364" w:lineRule="auto"/>
        <w:ind w:left="618" w:right="5166"/>
      </w:pPr>
      <w:r>
        <w:rPr/>
        <w:t>五、公开披露的基金信息 </w:t>
      </w:r>
      <w:r>
        <w:rPr>
          <w:spacing w:val="-2"/>
        </w:rPr>
        <w:t>公开披露的基金信息包括：</w:t>
      </w:r>
    </w:p>
    <w:p>
      <w:pPr>
        <w:pStyle w:val="BodyText"/>
        <w:spacing w:line="364" w:lineRule="auto" w:before="2"/>
        <w:ind w:left="618" w:right="336"/>
        <w:rPr>
          <w:rFonts w:ascii="Times New Roman" w:eastAsia="Times New Roman"/>
        </w:rPr>
      </w:pPr>
      <w:r>
        <w:rPr/>
        <w:t>（一）基金招募说明书、基金合同、基金托管协议、基金产品资料概要 基金募集申请经中国证监会核准后，基金管理人应当在基金份额发售的 </w:t>
      </w:r>
      <w:r>
        <w:rPr>
          <w:rFonts w:ascii="Times New Roman" w:eastAsia="Times New Roman"/>
          <w:spacing w:val="-16"/>
        </w:rPr>
        <w:t>3</w:t>
      </w:r>
    </w:p>
    <w:p>
      <w:pPr>
        <w:pStyle w:val="BodyText"/>
        <w:spacing w:line="364" w:lineRule="auto"/>
        <w:ind w:right="340"/>
      </w:pPr>
      <w:r>
        <w:rPr/>
        <w:t>日前，将基金招募说明书、基金合同摘要登载在指定报刊和网站上；基金管理人、基金托管人应当同时将基金合同、基金托管协议登载在网站上。</w:t>
      </w:r>
    </w:p>
    <w:p>
      <w:pPr>
        <w:pStyle w:val="ListParagraph"/>
        <w:numPr>
          <w:ilvl w:val="0"/>
          <w:numId w:val="25"/>
        </w:numPr>
        <w:tabs>
          <w:tab w:pos="899" w:val="left" w:leader="none"/>
        </w:tabs>
        <w:spacing w:line="364" w:lineRule="auto" w:before="2" w:after="0"/>
        <w:ind w:left="138" w:right="335" w:firstLine="479"/>
        <w:jc w:val="both"/>
        <w:rPr>
          <w:sz w:val="24"/>
        </w:rPr>
      </w:pPr>
      <w:r>
        <w:rPr>
          <w:spacing w:val="-2"/>
          <w:sz w:val="24"/>
        </w:rPr>
        <w:t>招募说明书应当最大限度地披露影响基金投资者决策的全部事项，说明</w:t>
      </w:r>
      <w:r>
        <w:rPr>
          <w:spacing w:val="-1"/>
          <w:sz w:val="24"/>
        </w:rPr>
        <w:t>基金认购、申购和赎回安排、基金投资、基金产品特性、风险揭示、信息披露及基金份额持有人服务等内容。本基金合同生效后，基金招募说明书的信息发生重大变更的，基金管理人应当在三个工作日内，更新基金招募说明书并登载在指定网站上；基金招募说明书其他信息发生变更的，基金管理人至少每年更</w:t>
      </w:r>
      <w:r>
        <w:rPr>
          <w:sz w:val="24"/>
        </w:rPr>
        <w:t>新一次。基金终止运作的，基金管理人不再更新基金招募说明书。</w:t>
      </w:r>
    </w:p>
    <w:p>
      <w:pPr>
        <w:pStyle w:val="ListParagraph"/>
        <w:numPr>
          <w:ilvl w:val="0"/>
          <w:numId w:val="25"/>
        </w:numPr>
        <w:tabs>
          <w:tab w:pos="899" w:val="left" w:leader="none"/>
        </w:tabs>
        <w:spacing w:line="364" w:lineRule="auto" w:before="4" w:after="0"/>
        <w:ind w:left="138" w:right="335" w:firstLine="479"/>
        <w:jc w:val="both"/>
        <w:rPr>
          <w:sz w:val="24"/>
        </w:rPr>
      </w:pPr>
      <w:r>
        <w:rPr>
          <w:spacing w:val="-3"/>
          <w:sz w:val="24"/>
        </w:rPr>
        <w:t>基金合同是界定基金合同当事人的各项权利、义务关系，明确基金份额</w:t>
      </w:r>
      <w:r>
        <w:rPr>
          <w:spacing w:val="-1"/>
          <w:sz w:val="24"/>
        </w:rPr>
        <w:t>持有人大会召开的规则及具体程序，说明基金产品的特性等涉及基金投资者重</w:t>
      </w:r>
      <w:r>
        <w:rPr>
          <w:sz w:val="24"/>
        </w:rPr>
        <w:t>大利益的事项的法律文件。</w:t>
      </w:r>
    </w:p>
    <w:p>
      <w:pPr>
        <w:pStyle w:val="ListParagraph"/>
        <w:numPr>
          <w:ilvl w:val="0"/>
          <w:numId w:val="25"/>
        </w:numPr>
        <w:tabs>
          <w:tab w:pos="904" w:val="left" w:leader="none"/>
        </w:tabs>
        <w:spacing w:line="364" w:lineRule="auto" w:before="1" w:after="0"/>
        <w:ind w:left="138" w:right="338" w:firstLine="479"/>
        <w:jc w:val="left"/>
        <w:rPr>
          <w:sz w:val="24"/>
        </w:rPr>
      </w:pPr>
      <w:r>
        <w:rPr>
          <w:spacing w:val="5"/>
          <w:sz w:val="24"/>
        </w:rPr>
        <w:t>托管协议是界定基金托管人和基金管理人在基金财产保管及基金运作监督等活动中的权利、义务关系的法律文件。</w:t>
      </w:r>
    </w:p>
    <w:p>
      <w:pPr>
        <w:pStyle w:val="BodyText"/>
        <w:spacing w:line="364" w:lineRule="auto" w:before="2"/>
        <w:ind w:right="333" w:firstLine="479"/>
        <w:jc w:val="both"/>
      </w:pPr>
      <w:r>
        <w:rPr>
          <w:spacing w:val="-16"/>
        </w:rPr>
        <w:t>（</w:t>
      </w:r>
      <w:r>
        <w:rPr>
          <w:rFonts w:ascii="Times New Roman" w:eastAsia="Times New Roman"/>
          <w:spacing w:val="-16"/>
        </w:rPr>
        <w:t>4</w:t>
      </w:r>
      <w:r>
        <w:rPr>
          <w:spacing w:val="-16"/>
        </w:rPr>
        <w:t>）</w:t>
      </w:r>
      <w:r>
        <w:rPr>
          <w:spacing w:val="-4"/>
        </w:rPr>
        <w:t>基金产品资料概要是基金招募说明书的摘要文件，用于向投资者提供</w:t>
      </w:r>
      <w:r>
        <w:rPr/>
        <w:t>简明的基金概要信息</w:t>
      </w:r>
      <w:r>
        <w:rPr>
          <w:spacing w:val="-16"/>
        </w:rPr>
        <w:t>。《基金合同》生效后，基金产品资料概要的信息发生重大</w:t>
      </w:r>
      <w:r>
        <w:rPr/>
        <w:t>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pPr>
        <w:pStyle w:val="BodyText"/>
        <w:spacing w:before="4"/>
        <w:ind w:left="618"/>
      </w:pPr>
      <w:r>
        <w:rPr/>
        <w:t>（二）基金份额发售公告</w:t>
      </w:r>
    </w:p>
    <w:p>
      <w:pPr>
        <w:pStyle w:val="BodyText"/>
        <w:spacing w:before="160"/>
        <w:ind w:left="618"/>
      </w:pPr>
      <w:r>
        <w:rPr/>
        <w:t>基金管理人应当就基金份额发售的具体事宜编制基金份额发售公告，并在</w:t>
      </w:r>
    </w:p>
    <w:p>
      <w:pPr>
        <w:spacing w:after="0"/>
        <w:sectPr>
          <w:pgSz w:w="11910" w:h="16840"/>
          <w:pgMar w:header="880" w:footer="1964" w:top="1380" w:bottom="2160" w:left="1660" w:right="1580"/>
        </w:sectPr>
      </w:pPr>
    </w:p>
    <w:p>
      <w:pPr>
        <w:pStyle w:val="BodyText"/>
        <w:spacing w:before="130"/>
      </w:pPr>
      <w:r>
        <w:rPr/>
        <w:t>披露招募说明书的当日登载于指定报刊和网站上。</w:t>
      </w:r>
    </w:p>
    <w:p>
      <w:pPr>
        <w:pStyle w:val="BodyText"/>
        <w:spacing w:before="160"/>
        <w:ind w:left="618"/>
      </w:pPr>
      <w:r>
        <w:rPr/>
        <w:t>（三）基金合同生效公告</w:t>
      </w:r>
    </w:p>
    <w:p>
      <w:pPr>
        <w:pStyle w:val="BodyText"/>
        <w:spacing w:line="364" w:lineRule="auto" w:before="161"/>
        <w:ind w:right="340" w:firstLine="479"/>
      </w:pPr>
      <w:r>
        <w:rPr/>
        <w:t>基金管理人应当在基金合同生效的次日在指定报刊和网站上登载基金合同生效公告。</w:t>
      </w:r>
    </w:p>
    <w:p>
      <w:pPr>
        <w:pStyle w:val="BodyText"/>
        <w:ind w:left="618"/>
      </w:pPr>
      <w:r>
        <w:rPr/>
        <w:t>（四）基金资产净值、基金份额净值</w:t>
      </w:r>
    </w:p>
    <w:p>
      <w:pPr>
        <w:pStyle w:val="BodyText"/>
        <w:spacing w:line="364" w:lineRule="auto" w:before="160"/>
        <w:ind w:right="340" w:firstLine="479"/>
      </w:pPr>
      <w:r>
        <w:rPr/>
        <w:t>基金合同生效后，在开始办理基金份额申购或者赎回前，基金管理人应当至少每周公告一次基金资产净值和基金份额净值。</w:t>
      </w:r>
    </w:p>
    <w:p>
      <w:pPr>
        <w:pStyle w:val="BodyText"/>
        <w:spacing w:line="364" w:lineRule="auto" w:before="2"/>
        <w:ind w:right="336" w:firstLine="479"/>
        <w:jc w:val="both"/>
      </w:pPr>
      <w:r>
        <w:rPr/>
        <w:t>在开始办理基金份额申购或者赎回后，基金管理人应当在不晚于每个开放日的次日，通过指定网站、基金销售机构网站或者营业网点披露开放日的基金份额净值和基金份额累计净值。</w:t>
      </w:r>
    </w:p>
    <w:p>
      <w:pPr>
        <w:pStyle w:val="BodyText"/>
        <w:spacing w:line="364" w:lineRule="auto" w:before="2"/>
        <w:ind w:right="337" w:firstLine="479"/>
      </w:pPr>
      <w:r>
        <w:rPr/>
        <w:t>基金管理人应当在不晚于半年度和年度最后一日的次日，在指定网站披露半年度和年度最后一日的基金份额净值和基金份额累计净值。</w:t>
      </w:r>
    </w:p>
    <w:p>
      <w:pPr>
        <w:pStyle w:val="BodyText"/>
        <w:spacing w:line="364" w:lineRule="auto"/>
        <w:ind w:right="337" w:firstLine="479"/>
        <w:jc w:val="both"/>
      </w:pPr>
      <w:r>
        <w:rPr/>
        <w:t>（五）基金份额申购、赎回价格基金管理人应当在基金合同、招募说明书等信息披露文件上载明基金份额申购、赎回价格的计算方式及有关申购、赎回费率，并保证投资人能够在基金销售机构网站或营业网点查阅或者复制前述信息资料。</w:t>
      </w:r>
    </w:p>
    <w:p>
      <w:pPr>
        <w:pStyle w:val="BodyText"/>
        <w:spacing w:line="364" w:lineRule="auto" w:before="3"/>
        <w:ind w:left="618" w:right="336"/>
        <w:jc w:val="right"/>
      </w:pPr>
      <w:r>
        <w:rPr/>
        <w:t>（六）基金定期报告，包括基金年度报告、基金中期报告和基金季度报告基金管理人应当在每年结束之日起三个月内，编制完成基金年度报告，将</w:t>
      </w:r>
    </w:p>
    <w:p>
      <w:pPr>
        <w:pStyle w:val="BodyText"/>
        <w:spacing w:line="364" w:lineRule="auto"/>
        <w:ind w:right="336"/>
        <w:jc w:val="both"/>
      </w:pPr>
      <w:r>
        <w:rPr/>
        <w:t>年度报告登载在指定网站上，并将年度报告提示性公告登载在指定报刊上。基金年度报告中的财务会计报告应当经过具有证券、期货相关业务资格的会计师事务所审计。</w:t>
      </w:r>
    </w:p>
    <w:p>
      <w:pPr>
        <w:pStyle w:val="BodyText"/>
        <w:spacing w:line="364" w:lineRule="auto" w:before="3"/>
        <w:ind w:right="336" w:firstLine="479"/>
        <w:jc w:val="right"/>
      </w:pPr>
      <w:r>
        <w:rPr/>
        <w:t>基金管理人应当在上半年结束之日起两个月内，编制完成基金中期报告， 将中期报告登载在指定网站上，并将中期报告提示性公告登载在指定报刊上。基金管理人应当在季度结束之日起十五个工作日内，编制完成基金季度报</w:t>
      </w:r>
    </w:p>
    <w:p>
      <w:pPr>
        <w:pStyle w:val="BodyText"/>
        <w:spacing w:line="364" w:lineRule="auto"/>
        <w:ind w:right="340"/>
      </w:pPr>
      <w:r>
        <w:rPr/>
        <w:t>告，将季度报告登载在指定网站上，并将季度报告提示性公告登载在指定报刊上。</w:t>
      </w:r>
    </w:p>
    <w:p>
      <w:pPr>
        <w:pStyle w:val="BodyText"/>
        <w:spacing w:line="364" w:lineRule="auto" w:before="2"/>
        <w:ind w:right="336" w:firstLine="479"/>
      </w:pPr>
      <w:r>
        <w:rPr/>
        <w:t>基金合同生效不足两个月的，基金管理人可以不编制当期季度报告、中期报告或者年度报告。</w:t>
      </w:r>
    </w:p>
    <w:p>
      <w:pPr>
        <w:spacing w:after="0" w:line="364" w:lineRule="auto"/>
        <w:sectPr>
          <w:pgSz w:w="11910" w:h="16840"/>
          <w:pgMar w:header="880" w:footer="1964" w:top="1380" w:bottom="2160" w:left="1660" w:right="1580"/>
        </w:sectPr>
      </w:pPr>
    </w:p>
    <w:p>
      <w:pPr>
        <w:pStyle w:val="BodyText"/>
        <w:spacing w:line="364" w:lineRule="auto" w:before="130"/>
        <w:ind w:right="337" w:firstLine="479"/>
      </w:pPr>
      <w:r>
        <w:rPr/>
        <w:t>基金管理人应当在基金年度报告和中期报告中披露基金组合资产情况，及其流动性风险分析等。</w:t>
      </w:r>
    </w:p>
    <w:p>
      <w:pPr>
        <w:pStyle w:val="BodyText"/>
        <w:spacing w:line="364" w:lineRule="auto"/>
        <w:ind w:right="333" w:firstLine="479"/>
        <w:jc w:val="both"/>
      </w:pPr>
      <w:r>
        <w:rPr>
          <w:spacing w:val="-2"/>
        </w:rPr>
        <w:t>报告期内出现单一投资者持有基金份额比例达到或超过基金总份额 </w:t>
      </w:r>
      <w:r>
        <w:rPr>
          <w:rFonts w:ascii="Times New Roman" w:hAnsi="Times New Roman" w:eastAsia="Times New Roman"/>
        </w:rPr>
        <w:t>20%</w:t>
      </w:r>
      <w:r>
        <w:rPr>
          <w:spacing w:val="-16"/>
        </w:rPr>
        <w:t>的</w:t>
      </w:r>
      <w:r>
        <w:rPr/>
        <w:t>情形，为保障其他投资者的权益，基金管理人至少应当在基金定期报告文件中“影响投资者决策的其他重要信息”项下披露该投资者的类别、报告期末持有份额及占比、报告期内持有份额变化情况及本基金的特有风险，中国证监会认定的特殊情形除外。</w:t>
      </w:r>
    </w:p>
    <w:p>
      <w:pPr>
        <w:pStyle w:val="BodyText"/>
        <w:spacing w:before="4"/>
        <w:ind w:left="618"/>
      </w:pPr>
      <w:r>
        <w:rPr/>
        <w:t>《基金法》及其他有关法律法规或中国证监会另有规定的，从其规定。</w:t>
      </w:r>
    </w:p>
    <w:p>
      <w:pPr>
        <w:pStyle w:val="BodyText"/>
        <w:spacing w:before="160"/>
        <w:ind w:left="618"/>
      </w:pPr>
      <w:r>
        <w:rPr/>
        <w:t>（七）临时报告</w:t>
      </w:r>
    </w:p>
    <w:p>
      <w:pPr>
        <w:pStyle w:val="BodyText"/>
        <w:spacing w:line="364" w:lineRule="auto" w:before="161"/>
        <w:ind w:right="336" w:firstLine="479"/>
        <w:jc w:val="both"/>
      </w:pPr>
      <w:r>
        <w:rPr/>
        <w:t>基金发生重大事件，即可能对基金份额持有人权益或者基金份额的价格产生重大影响的事件，有关信息披露义务人应当在两日内编制临时报告书，并登载在指定报刊和指定网站上。重大事件包括：</w:t>
      </w:r>
    </w:p>
    <w:p>
      <w:pPr>
        <w:pStyle w:val="BodyText"/>
        <w:ind w:left="618"/>
      </w:pPr>
      <w:r>
        <w:rPr>
          <w:rFonts w:ascii="Times New Roman" w:eastAsia="Times New Roman"/>
        </w:rPr>
        <w:t>1</w:t>
      </w:r>
      <w:r>
        <w:rPr/>
        <w:t>、基金份额持有人大会的召开及决定的事项；</w:t>
      </w:r>
    </w:p>
    <w:p>
      <w:pPr>
        <w:pStyle w:val="BodyText"/>
        <w:spacing w:before="161"/>
        <w:ind w:left="618"/>
      </w:pPr>
      <w:r>
        <w:rPr>
          <w:rFonts w:ascii="Times New Roman" w:eastAsia="Times New Roman"/>
        </w:rPr>
        <w:t>2</w:t>
      </w:r>
      <w:r>
        <w:rPr/>
        <w:t>、基金合同终止、基金清算；</w:t>
      </w:r>
    </w:p>
    <w:p>
      <w:pPr>
        <w:pStyle w:val="BodyText"/>
        <w:spacing w:before="161"/>
        <w:ind w:left="618"/>
      </w:pPr>
      <w:r>
        <w:rPr>
          <w:rFonts w:ascii="Times New Roman" w:eastAsia="Times New Roman"/>
        </w:rPr>
        <w:t>3</w:t>
      </w:r>
      <w:r>
        <w:rPr/>
        <w:t>、转换基金运作方式、基金合并；</w:t>
      </w:r>
    </w:p>
    <w:p>
      <w:pPr>
        <w:pStyle w:val="BodyText"/>
        <w:spacing w:line="364" w:lineRule="auto" w:before="160"/>
        <w:ind w:right="332" w:firstLine="479"/>
      </w:pPr>
      <w:r>
        <w:rPr>
          <w:rFonts w:ascii="Times New Roman" w:eastAsia="Times New Roman"/>
        </w:rPr>
        <w:t>4</w:t>
      </w:r>
      <w:r>
        <w:rPr>
          <w:spacing w:val="-10"/>
        </w:rPr>
        <w:t>、更换基金管理人、基金托管人、基金份额登记机构，基金改聘会计师事</w:t>
      </w:r>
      <w:r>
        <w:rPr/>
        <w:t>务所；</w:t>
      </w:r>
    </w:p>
    <w:p>
      <w:pPr>
        <w:pStyle w:val="BodyText"/>
        <w:spacing w:line="364" w:lineRule="auto"/>
        <w:ind w:right="215" w:firstLine="479"/>
      </w:pPr>
      <w:r>
        <w:rPr>
          <w:rFonts w:ascii="Times New Roman" w:eastAsia="Times New Roman"/>
        </w:rPr>
        <w:t>5</w:t>
      </w:r>
      <w:r>
        <w:rPr>
          <w:spacing w:val="-8"/>
        </w:rPr>
        <w:t>、基金管理人委托基金服务机构代为办理基金的份额登记、核算、估值等</w:t>
      </w:r>
      <w:r>
        <w:rPr>
          <w:spacing w:val="-10"/>
        </w:rPr>
        <w:t>事项，基金托管人委托基金服务机构代为办理基金的核算、估值、复核等事项；</w:t>
      </w:r>
    </w:p>
    <w:p>
      <w:pPr>
        <w:pStyle w:val="BodyText"/>
        <w:spacing w:before="2"/>
        <w:ind w:left="618"/>
      </w:pPr>
      <w:r>
        <w:rPr>
          <w:rFonts w:ascii="Times New Roman" w:eastAsia="Times New Roman"/>
        </w:rPr>
        <w:t>6</w:t>
      </w:r>
      <w:r>
        <w:rPr/>
        <w:t>、基金管理人、基金托管人的法定名称、住所发生变更；</w:t>
      </w:r>
    </w:p>
    <w:p>
      <w:pPr>
        <w:pStyle w:val="BodyText"/>
        <w:spacing w:line="364" w:lineRule="auto" w:before="160"/>
        <w:ind w:right="333" w:firstLine="479"/>
      </w:pPr>
      <w:r>
        <w:rPr>
          <w:rFonts w:ascii="Times New Roman" w:eastAsia="Times New Roman"/>
        </w:rPr>
        <w:t>7</w:t>
      </w:r>
      <w:r>
        <w:rPr>
          <w:spacing w:val="-10"/>
        </w:rPr>
        <w:t>、基金管理人变更持有百分之五以上股权的股东、基金管理人的实际控制</w:t>
      </w:r>
      <w:r>
        <w:rPr/>
        <w:t>人变更；</w:t>
      </w:r>
    </w:p>
    <w:p>
      <w:pPr>
        <w:pStyle w:val="BodyText"/>
        <w:spacing w:before="2"/>
        <w:ind w:left="618"/>
      </w:pPr>
      <w:r>
        <w:rPr>
          <w:rFonts w:ascii="Times New Roman" w:eastAsia="Times New Roman"/>
        </w:rPr>
        <w:t>8</w:t>
      </w:r>
      <w:r>
        <w:rPr/>
        <w:t>、基金募集期延长；</w:t>
      </w:r>
    </w:p>
    <w:p>
      <w:pPr>
        <w:pStyle w:val="BodyText"/>
        <w:spacing w:line="364" w:lineRule="auto" w:before="160"/>
        <w:ind w:right="332" w:firstLine="479"/>
      </w:pPr>
      <w:r>
        <w:rPr>
          <w:rFonts w:ascii="Times New Roman" w:eastAsia="Times New Roman"/>
        </w:rPr>
        <w:t>9</w:t>
      </w:r>
      <w:r>
        <w:rPr>
          <w:spacing w:val="-11"/>
        </w:rPr>
        <w:t>、基金管理人的高级管理人员、基金经理和基金托管人专门基金托管部门</w:t>
      </w:r>
      <w:r>
        <w:rPr/>
        <w:t>负责人发生变动；</w:t>
      </w:r>
    </w:p>
    <w:p>
      <w:pPr>
        <w:pStyle w:val="BodyText"/>
        <w:spacing w:before="2"/>
        <w:ind w:left="618"/>
      </w:pPr>
      <w:r>
        <w:rPr>
          <w:rFonts w:ascii="Times New Roman" w:eastAsia="Times New Roman"/>
        </w:rPr>
        <w:t>10</w:t>
      </w:r>
      <w:r>
        <w:rPr>
          <w:spacing w:val="-15"/>
        </w:rPr>
        <w:t>、基金管理人的董事在最近 </w:t>
      </w:r>
      <w:r>
        <w:rPr>
          <w:rFonts w:ascii="Times New Roman" w:eastAsia="Times New Roman"/>
        </w:rPr>
        <w:t>12 </w:t>
      </w:r>
      <w:r>
        <w:rPr>
          <w:spacing w:val="-9"/>
        </w:rPr>
        <w:t>个月内变更超过百分之五十，基金管理人、</w:t>
      </w:r>
    </w:p>
    <w:p>
      <w:pPr>
        <w:pStyle w:val="BodyText"/>
        <w:spacing w:line="364" w:lineRule="auto" w:before="160"/>
        <w:ind w:right="337"/>
      </w:pPr>
      <w:r>
        <w:rPr/>
        <w:t>基金托管人专门基金托管部门的主要业务人员在最近 </w:t>
      </w:r>
      <w:r>
        <w:rPr>
          <w:rFonts w:ascii="Times New Roman" w:eastAsia="Times New Roman"/>
        </w:rPr>
        <w:t>12 </w:t>
      </w:r>
      <w:r>
        <w:rPr/>
        <w:t>个月内变动超过百分之三十；</w:t>
      </w:r>
    </w:p>
    <w:p>
      <w:pPr>
        <w:spacing w:after="0" w:line="364" w:lineRule="auto"/>
        <w:sectPr>
          <w:pgSz w:w="11910" w:h="16840"/>
          <w:pgMar w:header="880" w:footer="1964" w:top="1380" w:bottom="2160" w:left="1660" w:right="1580"/>
        </w:sectPr>
      </w:pPr>
    </w:p>
    <w:p>
      <w:pPr>
        <w:pStyle w:val="BodyText"/>
        <w:spacing w:before="130"/>
        <w:ind w:left="618"/>
      </w:pPr>
      <w:r>
        <w:rPr>
          <w:rFonts w:ascii="Times New Roman" w:eastAsia="Times New Roman"/>
        </w:rPr>
        <w:t>11</w:t>
      </w:r>
      <w:r>
        <w:rPr/>
        <w:t>、涉及基金财产、基金管理业务、基金托管业务的诉讼或仲裁；</w:t>
      </w:r>
    </w:p>
    <w:p>
      <w:pPr>
        <w:pStyle w:val="BodyText"/>
        <w:spacing w:line="364" w:lineRule="auto" w:before="160"/>
        <w:ind w:right="340" w:firstLine="479"/>
        <w:jc w:val="both"/>
      </w:pPr>
      <w:r>
        <w:rPr>
          <w:rFonts w:ascii="Times New Roman" w:eastAsia="Times New Roman"/>
        </w:rPr>
        <w:t>12</w:t>
      </w:r>
      <w:r>
        <w:rPr/>
        <w:t>、基金管理人或其高级管理人员、基金经理因基金管理业务相关行为受到重大行政处罚、刑事处罚，基金托管人或其专门基金托管部门负责人因基金托管业务相关行为受到重大行政处罚、刑事处罚；</w:t>
      </w:r>
    </w:p>
    <w:p>
      <w:pPr>
        <w:pStyle w:val="BodyText"/>
        <w:spacing w:line="364" w:lineRule="auto" w:before="2"/>
        <w:ind w:right="211" w:firstLine="479"/>
      </w:pPr>
      <w:r>
        <w:rPr>
          <w:rFonts w:ascii="Times New Roman" w:eastAsia="Times New Roman"/>
        </w:rPr>
        <w:t>13</w:t>
      </w:r>
      <w:r>
        <w:rPr>
          <w:spacing w:val="-10"/>
        </w:rPr>
        <w:t>、基金管理人运用基金财产买卖基金管理人、基金托管人及其控股股东、</w:t>
      </w:r>
      <w:r>
        <w:rPr/>
        <w:t>实际控制人或者与其有重大利害关系的公司发行的证券或者承销期内承销的证券，或者从事其他重大关联交易事项，但中国证监会另有规定的除外；</w:t>
      </w:r>
    </w:p>
    <w:p>
      <w:pPr>
        <w:pStyle w:val="BodyText"/>
        <w:spacing w:before="2"/>
        <w:ind w:left="618"/>
      </w:pPr>
      <w:r>
        <w:rPr>
          <w:rFonts w:ascii="Times New Roman" w:eastAsia="Times New Roman"/>
        </w:rPr>
        <w:t>14</w:t>
      </w:r>
      <w:r>
        <w:rPr/>
        <w:t>、基金收益分配事项；</w:t>
      </w:r>
    </w:p>
    <w:p>
      <w:pPr>
        <w:pStyle w:val="BodyText"/>
        <w:spacing w:line="364" w:lineRule="auto" w:before="161"/>
        <w:ind w:right="337" w:firstLine="479"/>
      </w:pPr>
      <w:r>
        <w:rPr>
          <w:rFonts w:ascii="Times New Roman" w:eastAsia="Times New Roman"/>
        </w:rPr>
        <w:t>15</w:t>
      </w:r>
      <w:r>
        <w:rPr/>
        <w:t>、管理费、托管费、销售服务费、申购费、赎回费等费用计提标准、计提方式和费率发生变更；</w:t>
      </w:r>
    </w:p>
    <w:p>
      <w:pPr>
        <w:pStyle w:val="BodyText"/>
        <w:ind w:left="618"/>
      </w:pPr>
      <w:r>
        <w:rPr>
          <w:rFonts w:ascii="Times New Roman" w:eastAsia="Times New Roman"/>
        </w:rPr>
        <w:t>16</w:t>
      </w:r>
      <w:r>
        <w:rPr/>
        <w:t>、基金份额净值计价错误达基金份额净值百分之零点五；</w:t>
      </w:r>
    </w:p>
    <w:p>
      <w:pPr>
        <w:pStyle w:val="BodyText"/>
        <w:spacing w:before="161"/>
        <w:ind w:left="618"/>
      </w:pPr>
      <w:r>
        <w:rPr>
          <w:rFonts w:ascii="Times New Roman" w:eastAsia="Times New Roman"/>
        </w:rPr>
        <w:t>17</w:t>
      </w:r>
      <w:r>
        <w:rPr/>
        <w:t>、基金开始办理申购、赎回；</w:t>
      </w:r>
    </w:p>
    <w:p>
      <w:pPr>
        <w:pStyle w:val="BodyText"/>
        <w:spacing w:before="160"/>
        <w:ind w:left="618"/>
      </w:pPr>
      <w:r>
        <w:rPr>
          <w:rFonts w:ascii="Times New Roman" w:eastAsia="Times New Roman"/>
        </w:rPr>
        <w:t>18</w:t>
      </w:r>
      <w:r>
        <w:rPr/>
        <w:t>、基金发生巨额赎回并延期办理；</w:t>
      </w:r>
    </w:p>
    <w:p>
      <w:pPr>
        <w:pStyle w:val="BodyText"/>
        <w:spacing w:before="161"/>
        <w:ind w:left="618"/>
      </w:pPr>
      <w:r>
        <w:rPr>
          <w:rFonts w:ascii="Times New Roman" w:eastAsia="Times New Roman"/>
        </w:rPr>
        <w:t>19</w:t>
      </w:r>
      <w:r>
        <w:rPr/>
        <w:t>、基金连续发生巨额赎回并暂停接受赎回申请或延缓支付赎回款项；</w:t>
      </w:r>
    </w:p>
    <w:p>
      <w:pPr>
        <w:pStyle w:val="BodyText"/>
        <w:spacing w:before="160"/>
        <w:ind w:left="618"/>
      </w:pPr>
      <w:r>
        <w:rPr>
          <w:rFonts w:ascii="Times New Roman" w:eastAsia="Times New Roman"/>
        </w:rPr>
        <w:t>20</w:t>
      </w:r>
      <w:r>
        <w:rPr/>
        <w:t>、基金暂停接受申购、赎回申请或重新接受申购、赎回申请；</w:t>
      </w:r>
    </w:p>
    <w:p>
      <w:pPr>
        <w:pStyle w:val="BodyText"/>
        <w:spacing w:line="364" w:lineRule="auto" w:before="161"/>
        <w:ind w:right="341" w:firstLine="479"/>
      </w:pPr>
      <w:r>
        <w:rPr>
          <w:rFonts w:ascii="Times New Roman" w:eastAsia="Times New Roman"/>
        </w:rPr>
        <w:t>21</w:t>
      </w:r>
      <w:r>
        <w:rPr/>
        <w:t>、发生涉及基金申购、赎回事项调整或潜在影响投资者赎回等重大事项时；</w:t>
      </w:r>
    </w:p>
    <w:p>
      <w:pPr>
        <w:pStyle w:val="BodyText"/>
        <w:ind w:left="618"/>
      </w:pPr>
      <w:r>
        <w:rPr>
          <w:rFonts w:ascii="Times New Roman" w:eastAsia="Times New Roman"/>
        </w:rPr>
        <w:t>22</w:t>
      </w:r>
      <w:r>
        <w:rPr/>
        <w:t>、基金管理人采用摆动定价机制进行估值；</w:t>
      </w:r>
    </w:p>
    <w:p>
      <w:pPr>
        <w:pStyle w:val="BodyText"/>
        <w:spacing w:line="364" w:lineRule="auto" w:before="161"/>
        <w:ind w:right="335" w:firstLine="479"/>
      </w:pPr>
      <w:r>
        <w:rPr>
          <w:rFonts w:ascii="Times New Roman" w:eastAsia="Times New Roman"/>
        </w:rPr>
        <w:t>23</w:t>
      </w:r>
      <w:r>
        <w:rPr/>
        <w:t>、基金信息披露义务人认为可能对基金份额持有人权益或者基金份额的价格产生重大影响的其他事项或中国证监会规定的其他事项。</w:t>
      </w:r>
    </w:p>
    <w:p>
      <w:pPr>
        <w:pStyle w:val="BodyText"/>
        <w:ind w:left="618"/>
      </w:pPr>
      <w:r>
        <w:rPr/>
        <w:t>（八）基金份额持有人大会决议</w:t>
      </w:r>
    </w:p>
    <w:p>
      <w:pPr>
        <w:pStyle w:val="BodyText"/>
        <w:spacing w:line="364" w:lineRule="auto" w:before="161"/>
        <w:ind w:right="340" w:firstLine="479"/>
      </w:pPr>
      <w:r>
        <w:rPr/>
        <w:t>召开基金份额持有人大会的，召集人应当至少提前三十日公告基金份额持有人大会的召开时间、会议形式、审议事项、议事程序和表决方式等事项。</w:t>
      </w:r>
    </w:p>
    <w:p>
      <w:pPr>
        <w:pStyle w:val="BodyText"/>
        <w:spacing w:line="364" w:lineRule="auto"/>
        <w:ind w:right="336" w:firstLine="479"/>
        <w:jc w:val="both"/>
      </w:pPr>
      <w:r>
        <w:rPr/>
        <w:t>基金份额持有人依法自行召集持有人大会，基金管理人、基金托管人对基金份额持有人大会决定的事项不依法履行信息披露义务的，召集人应当履行相关信息披露义务。</w:t>
      </w:r>
    </w:p>
    <w:p>
      <w:pPr>
        <w:pStyle w:val="BodyText"/>
        <w:spacing w:before="2"/>
        <w:ind w:left="618"/>
      </w:pPr>
      <w:r>
        <w:rPr/>
        <w:t>（九）澄清公告</w:t>
      </w:r>
    </w:p>
    <w:p>
      <w:pPr>
        <w:pStyle w:val="BodyText"/>
        <w:spacing w:before="161"/>
        <w:ind w:left="618"/>
      </w:pPr>
      <w:r>
        <w:rPr/>
        <w:t>在基金合同期限内，任何公共媒介中出现的或者在市场上流传的消息可能</w:t>
      </w:r>
    </w:p>
    <w:p>
      <w:pPr>
        <w:spacing w:after="0"/>
        <w:sectPr>
          <w:pgSz w:w="11910" w:h="16840"/>
          <w:pgMar w:header="880" w:footer="1964" w:top="1380" w:bottom="2160" w:left="1660" w:right="1580"/>
        </w:sectPr>
      </w:pPr>
    </w:p>
    <w:p>
      <w:pPr>
        <w:pStyle w:val="BodyText"/>
        <w:spacing w:line="364" w:lineRule="auto" w:before="130"/>
        <w:ind w:right="337"/>
        <w:jc w:val="both"/>
      </w:pPr>
      <w:r>
        <w:rPr/>
        <w:t>对基金份额价格产生误导性影响或者引起较大波动，以及可能损害基金份额持有人权益的，相关信息披露义务人知悉后应当立即对该消息进行公开澄清，并将有关情况立即报告中国证监会。</w:t>
      </w:r>
    </w:p>
    <w:p>
      <w:pPr>
        <w:pStyle w:val="BodyText"/>
        <w:spacing w:before="2"/>
        <w:ind w:left="618"/>
      </w:pPr>
      <w:r>
        <w:rPr/>
        <w:t>（十）清算报告</w:t>
      </w:r>
    </w:p>
    <w:p>
      <w:pPr>
        <w:pStyle w:val="BodyText"/>
        <w:spacing w:line="364" w:lineRule="auto" w:before="160"/>
        <w:ind w:right="340" w:firstLine="479"/>
        <w:jc w:val="both"/>
      </w:pPr>
      <w:r>
        <w:rPr/>
        <w:t>基金合同终止的，基金管理人应当依法组织基金财产清算小组对基金财产进行清算并作出清算报告。基金财产清算小组应当将清算报告登载在指定网站上，并将清算报告提示性公告登载在指定报刊上。</w:t>
      </w:r>
    </w:p>
    <w:p>
      <w:pPr>
        <w:pStyle w:val="BodyText"/>
        <w:spacing w:line="364" w:lineRule="auto" w:before="2"/>
        <w:ind w:left="618" w:right="3966"/>
      </w:pPr>
      <w:r>
        <w:rPr/>
        <w:t>（十一）中国证监会规定的其他信息。六、信息披露事务管理</w:t>
      </w:r>
    </w:p>
    <w:p>
      <w:pPr>
        <w:pStyle w:val="BodyText"/>
        <w:spacing w:line="364" w:lineRule="auto" w:before="2"/>
        <w:ind w:right="340" w:firstLine="479"/>
      </w:pPr>
      <w:r>
        <w:rPr>
          <w:spacing w:val="-1"/>
        </w:rPr>
        <w:t>基金管理人、基金托管人应当建立健全信息披露管理制度，指定专门部门</w:t>
      </w:r>
      <w:r>
        <w:rPr/>
        <w:t>及高级管理人员负责管理信息披露事务。</w:t>
      </w:r>
    </w:p>
    <w:p>
      <w:pPr>
        <w:pStyle w:val="BodyText"/>
        <w:spacing w:line="364" w:lineRule="auto"/>
        <w:ind w:right="340" w:firstLine="479"/>
      </w:pPr>
      <w:r>
        <w:rPr>
          <w:spacing w:val="-1"/>
        </w:rPr>
        <w:t>基金信息披露义务人公开披露基金信息，应当符合中国证监会相关基金信</w:t>
      </w:r>
      <w:r>
        <w:rPr/>
        <w:t>息披露内容与格式准则等法律法规规定。</w:t>
      </w:r>
    </w:p>
    <w:p>
      <w:pPr>
        <w:pStyle w:val="BodyText"/>
        <w:spacing w:line="364" w:lineRule="auto"/>
        <w:ind w:right="215" w:firstLine="479"/>
      </w:pPr>
      <w:r>
        <w:rPr>
          <w:spacing w:val="-7"/>
        </w:rPr>
        <w:t>基金托管人应当按照相关法律法规、中国证监会的规定和基金合同的约定， </w:t>
      </w:r>
      <w:r>
        <w:rPr>
          <w:spacing w:val="-6"/>
        </w:rPr>
        <w:t>对基金管理人编制的基金资产净值、基金份额净值、基金份额申购、赎回价格、</w:t>
      </w:r>
      <w:r>
        <w:rPr/>
        <w:t>基金定期报告、更新的招募说明书、基金产品资料概要、基金清算报告等公开披露的相关基金信息进行复核、审查，并向基金管理人进行书面或电子确认。</w:t>
      </w:r>
    </w:p>
    <w:p>
      <w:pPr>
        <w:pStyle w:val="BodyText"/>
        <w:spacing w:line="364" w:lineRule="auto" w:before="3"/>
        <w:ind w:right="214" w:firstLine="479"/>
      </w:pPr>
      <w:r>
        <w:rPr>
          <w:spacing w:val="-11"/>
        </w:rPr>
        <w:t>基金管理人、基金托管人应当在指定报刊中选择一家报刊披露本基金信息。</w:t>
      </w:r>
      <w:r>
        <w:rPr/>
        <w:t>基金管理人、基金托管人应当向中国证监会基金电子披露网站报送拟披露的基金信息，并保证相关报送信息的真实、准确、完整、及时。</w:t>
      </w:r>
    </w:p>
    <w:p>
      <w:pPr>
        <w:pStyle w:val="BodyText"/>
        <w:spacing w:line="364" w:lineRule="auto" w:before="2"/>
        <w:ind w:right="340" w:firstLine="479"/>
        <w:jc w:val="both"/>
      </w:pPr>
      <w:r>
        <w:rPr/>
        <w:t>基金管理人、基金托管人除依法在指定媒介上披露信息外，还可以根据需要在其他公共媒介披露信息，但是其他公共媒介不得早于指定媒介披露信息， 并且在不同媒介上披露同一信息的内容应当一致。</w:t>
      </w:r>
    </w:p>
    <w:p>
      <w:pPr>
        <w:pStyle w:val="BodyText"/>
        <w:spacing w:line="364" w:lineRule="auto" w:before="2"/>
        <w:ind w:right="337" w:firstLine="479"/>
        <w:jc w:val="both"/>
      </w:pPr>
      <w:r>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 该费用不得从基金财产中列支。</w:t>
      </w:r>
    </w:p>
    <w:p>
      <w:pPr>
        <w:spacing w:after="0" w:line="364" w:lineRule="auto"/>
        <w:jc w:val="both"/>
        <w:sectPr>
          <w:pgSz w:w="11910" w:h="16840"/>
          <w:pgMar w:header="880" w:footer="1964" w:top="1380" w:bottom="2160" w:left="1660" w:right="1580"/>
        </w:sectPr>
      </w:pPr>
    </w:p>
    <w:p>
      <w:pPr>
        <w:pStyle w:val="BodyText"/>
        <w:spacing w:line="364" w:lineRule="auto" w:before="130"/>
        <w:ind w:right="340" w:firstLine="479"/>
        <w:jc w:val="both"/>
      </w:pPr>
      <w:r>
        <w:rPr/>
        <w:t>为基金信息披露义务人公开披露的基金信息出具审计报告、法律意见书的专业机构，应当制作工作底稿，并将相关档案至少保存到《基金合同》终止后</w:t>
      </w:r>
      <w:r>
        <w:rPr>
          <w:rFonts w:ascii="Times New Roman" w:eastAsia="Times New Roman"/>
        </w:rPr>
        <w:t>10 </w:t>
      </w:r>
      <w:r>
        <w:rPr/>
        <w:t>年。</w:t>
      </w:r>
    </w:p>
    <w:p>
      <w:pPr>
        <w:pStyle w:val="BodyText"/>
        <w:spacing w:before="2"/>
        <w:ind w:left="618"/>
      </w:pPr>
      <w:r>
        <w:rPr/>
        <w:t>七、信息披露文件的存放与查阅</w:t>
      </w:r>
    </w:p>
    <w:p>
      <w:pPr>
        <w:pStyle w:val="BodyText"/>
        <w:spacing w:line="364" w:lineRule="auto" w:before="160"/>
        <w:ind w:right="340" w:firstLine="479"/>
      </w:pPr>
      <w:r>
        <w:rPr/>
        <w:t>依法必须披露的信息发布后，基金管理人、基金托管人应当按照相关法律法规规定将信息置备于各自住所，供社会公众查阅、复制。</w:t>
      </w:r>
    </w:p>
    <w:p>
      <w:pPr>
        <w:pStyle w:val="BodyText"/>
        <w:ind w:left="618"/>
      </w:pPr>
      <w:r>
        <w:rPr/>
        <w:t>八、本基金信息披露事项以法律法规规定及本章节约定的内容为准。</w:t>
      </w:r>
    </w:p>
    <w:p>
      <w:pPr>
        <w:spacing w:after="0"/>
        <w:sectPr>
          <w:pgSz w:w="11910" w:h="16840"/>
          <w:pgMar w:header="880" w:footer="1964" w:top="1380" w:bottom="2160" w:left="1660" w:right="1580"/>
        </w:sectPr>
      </w:pPr>
    </w:p>
    <w:p>
      <w:pPr>
        <w:pStyle w:val="BodyText"/>
        <w:spacing w:before="8"/>
        <w:ind w:left="0"/>
        <w:rPr>
          <w:sz w:val="8"/>
        </w:rPr>
      </w:pPr>
    </w:p>
    <w:p>
      <w:pPr>
        <w:spacing w:before="58"/>
        <w:ind w:left="86" w:right="283" w:firstLine="0"/>
        <w:jc w:val="center"/>
        <w:rPr>
          <w:b/>
          <w:sz w:val="30"/>
        </w:rPr>
      </w:pPr>
      <w:bookmarkStart w:name="_bookmark19" w:id="20"/>
      <w:bookmarkEnd w:id="20"/>
      <w:r>
        <w:rPr/>
      </w:r>
      <w:r>
        <w:rPr>
          <w:b/>
          <w:sz w:val="30"/>
        </w:rPr>
        <w:t>二十、基金合同的变更、终止和基金财产的清算</w:t>
      </w:r>
    </w:p>
    <w:p>
      <w:pPr>
        <w:pStyle w:val="BodyText"/>
        <w:spacing w:before="0"/>
        <w:ind w:left="0"/>
        <w:rPr>
          <w:b/>
          <w:sz w:val="30"/>
        </w:rPr>
      </w:pPr>
    </w:p>
    <w:p>
      <w:pPr>
        <w:pStyle w:val="BodyText"/>
        <w:spacing w:before="2"/>
        <w:ind w:left="0"/>
        <w:rPr>
          <w:b/>
          <w:sz w:val="22"/>
        </w:rPr>
      </w:pPr>
    </w:p>
    <w:p>
      <w:pPr>
        <w:pStyle w:val="BodyText"/>
        <w:ind w:left="618"/>
      </w:pPr>
      <w:r>
        <w:rPr/>
        <w:t>一、基金合同的变更</w:t>
      </w:r>
    </w:p>
    <w:p>
      <w:pPr>
        <w:pStyle w:val="BodyText"/>
        <w:spacing w:before="160"/>
        <w:ind w:left="618"/>
      </w:pPr>
      <w:r>
        <w:rPr>
          <w:rFonts w:ascii="Times New Roman" w:eastAsia="Times New Roman"/>
        </w:rPr>
        <w:t>1</w:t>
      </w:r>
      <w:r>
        <w:rPr/>
        <w:t>、本基金合同的变更应经基金管理人和基金托管人同意；</w:t>
      </w:r>
    </w:p>
    <w:p>
      <w:pPr>
        <w:pStyle w:val="BodyText"/>
        <w:spacing w:line="364" w:lineRule="auto" w:before="161"/>
        <w:ind w:right="215" w:firstLine="479"/>
      </w:pPr>
      <w:r>
        <w:rPr>
          <w:rFonts w:ascii="Times New Roman" w:eastAsia="Times New Roman"/>
        </w:rPr>
        <w:t>2</w:t>
      </w:r>
      <w:r>
        <w:rPr/>
        <w:t>、变更基金合同应经基金份额持有人大会决议通过并报中国证监会批准， 自批准之日起生效。但如因相应的法律法规发生变动并属于本基金合同必须遵照进行变更的情形，或者基金合同的变更不涉及基金合同当事人权利义务关系发生变化，或者基金合同的变更对基金份额持有人利益无实质性不利影响，可</w:t>
      </w:r>
      <w:r>
        <w:rPr>
          <w:spacing w:val="-8"/>
        </w:rPr>
        <w:t>不经基金份额持有人大会决议，而经基金管理人和基金托管人同意变更后公布， </w:t>
      </w:r>
      <w:r>
        <w:rPr/>
        <w:t>并报中国证监会备案。</w:t>
      </w:r>
    </w:p>
    <w:p>
      <w:pPr>
        <w:pStyle w:val="BodyText"/>
        <w:spacing w:before="4"/>
        <w:ind w:left="618"/>
      </w:pPr>
      <w:r>
        <w:rPr>
          <w:rFonts w:ascii="Times New Roman" w:eastAsia="Times New Roman"/>
        </w:rPr>
        <w:t>3</w:t>
      </w:r>
      <w:r>
        <w:rPr/>
        <w:t>、以下基金合同变更事项需召开基金份额持有人大会：</w:t>
      </w:r>
    </w:p>
    <w:p>
      <w:pPr>
        <w:pStyle w:val="ListParagraph"/>
        <w:numPr>
          <w:ilvl w:val="0"/>
          <w:numId w:val="26"/>
        </w:numPr>
        <w:tabs>
          <w:tab w:pos="1219" w:val="left" w:leader="none"/>
        </w:tabs>
        <w:spacing w:line="240" w:lineRule="auto" w:before="160" w:after="0"/>
        <w:ind w:left="1219" w:right="0" w:hanging="601"/>
        <w:jc w:val="left"/>
        <w:rPr>
          <w:sz w:val="24"/>
        </w:rPr>
      </w:pPr>
      <w:r>
        <w:rPr>
          <w:sz w:val="24"/>
        </w:rPr>
        <w:t>终止基金合同；</w:t>
      </w:r>
    </w:p>
    <w:p>
      <w:pPr>
        <w:pStyle w:val="ListParagraph"/>
        <w:numPr>
          <w:ilvl w:val="0"/>
          <w:numId w:val="26"/>
        </w:numPr>
        <w:tabs>
          <w:tab w:pos="1219" w:val="left" w:leader="none"/>
        </w:tabs>
        <w:spacing w:line="240" w:lineRule="auto" w:before="161" w:after="0"/>
        <w:ind w:left="1219" w:right="0" w:hanging="601"/>
        <w:jc w:val="left"/>
        <w:rPr>
          <w:sz w:val="24"/>
        </w:rPr>
      </w:pPr>
      <w:r>
        <w:rPr>
          <w:sz w:val="24"/>
        </w:rPr>
        <w:t>转换基金运作方式；</w:t>
      </w:r>
    </w:p>
    <w:p>
      <w:pPr>
        <w:pStyle w:val="ListParagraph"/>
        <w:numPr>
          <w:ilvl w:val="0"/>
          <w:numId w:val="26"/>
        </w:numPr>
        <w:tabs>
          <w:tab w:pos="1219" w:val="left" w:leader="none"/>
        </w:tabs>
        <w:spacing w:line="240" w:lineRule="auto" w:before="160" w:after="0"/>
        <w:ind w:left="1219" w:right="0" w:hanging="601"/>
        <w:jc w:val="left"/>
        <w:rPr>
          <w:sz w:val="24"/>
        </w:rPr>
      </w:pPr>
      <w:r>
        <w:rPr>
          <w:sz w:val="24"/>
        </w:rPr>
        <w:t>提高基金管理人、基金托管人的报酬标准；</w:t>
      </w:r>
    </w:p>
    <w:p>
      <w:pPr>
        <w:pStyle w:val="ListParagraph"/>
        <w:numPr>
          <w:ilvl w:val="0"/>
          <w:numId w:val="26"/>
        </w:numPr>
        <w:tabs>
          <w:tab w:pos="1219" w:val="left" w:leader="none"/>
        </w:tabs>
        <w:spacing w:line="240" w:lineRule="auto" w:before="161" w:after="0"/>
        <w:ind w:left="1219" w:right="0" w:hanging="601"/>
        <w:jc w:val="left"/>
        <w:rPr>
          <w:sz w:val="24"/>
        </w:rPr>
      </w:pPr>
      <w:r>
        <w:rPr>
          <w:sz w:val="24"/>
        </w:rPr>
        <w:t>更换基金管理人、基金托管人；</w:t>
      </w:r>
    </w:p>
    <w:p>
      <w:pPr>
        <w:pStyle w:val="ListParagraph"/>
        <w:numPr>
          <w:ilvl w:val="0"/>
          <w:numId w:val="26"/>
        </w:numPr>
        <w:tabs>
          <w:tab w:pos="1219" w:val="left" w:leader="none"/>
        </w:tabs>
        <w:spacing w:line="364" w:lineRule="auto" w:before="161" w:after="0"/>
        <w:ind w:left="618" w:right="4566" w:firstLine="0"/>
        <w:jc w:val="left"/>
        <w:rPr>
          <w:sz w:val="24"/>
        </w:rPr>
      </w:pPr>
      <w:r>
        <w:rPr>
          <w:spacing w:val="-2"/>
          <w:sz w:val="24"/>
        </w:rPr>
        <w:t>基金合同约定的其他事项。</w:t>
      </w:r>
      <w:r>
        <w:rPr>
          <w:sz w:val="24"/>
        </w:rPr>
        <w:t>二、基金合同的终止</w:t>
      </w:r>
    </w:p>
    <w:p>
      <w:pPr>
        <w:pStyle w:val="BodyText"/>
        <w:ind w:left="618"/>
      </w:pPr>
      <w:r>
        <w:rPr>
          <w:rFonts w:ascii="Times New Roman" w:eastAsia="Times New Roman"/>
        </w:rPr>
        <w:t>1</w:t>
      </w:r>
      <w:r>
        <w:rPr/>
        <w:t>、出现下列情况之一的，本基金合同经中国证监会批准后将终止：</w:t>
      </w:r>
    </w:p>
    <w:p>
      <w:pPr>
        <w:pStyle w:val="ListParagraph"/>
        <w:numPr>
          <w:ilvl w:val="0"/>
          <w:numId w:val="27"/>
        </w:numPr>
        <w:tabs>
          <w:tab w:pos="1219" w:val="left" w:leader="none"/>
        </w:tabs>
        <w:spacing w:line="240" w:lineRule="auto" w:before="160" w:after="0"/>
        <w:ind w:left="1219" w:right="0" w:hanging="601"/>
        <w:jc w:val="left"/>
        <w:rPr>
          <w:sz w:val="24"/>
        </w:rPr>
      </w:pPr>
      <w:r>
        <w:rPr>
          <w:sz w:val="24"/>
        </w:rPr>
        <w:t>基金份额持有人大会决定终止的；</w:t>
      </w:r>
    </w:p>
    <w:p>
      <w:pPr>
        <w:pStyle w:val="ListParagraph"/>
        <w:numPr>
          <w:ilvl w:val="0"/>
          <w:numId w:val="27"/>
        </w:numPr>
        <w:tabs>
          <w:tab w:pos="1219" w:val="left" w:leader="none"/>
        </w:tabs>
        <w:spacing w:line="364" w:lineRule="auto" w:before="161" w:after="0"/>
        <w:ind w:left="138" w:right="246" w:firstLine="479"/>
        <w:jc w:val="left"/>
        <w:rPr>
          <w:sz w:val="24"/>
        </w:rPr>
      </w:pPr>
      <w:r>
        <w:rPr>
          <w:spacing w:val="-1"/>
          <w:sz w:val="24"/>
        </w:rPr>
        <w:t>基金管理人、基金托管人职责终止，在六个月内没有新基金管理人、</w:t>
      </w:r>
      <w:r>
        <w:rPr>
          <w:sz w:val="24"/>
        </w:rPr>
        <w:t>新基金托管人承接的；</w:t>
      </w:r>
    </w:p>
    <w:p>
      <w:pPr>
        <w:pStyle w:val="ListParagraph"/>
        <w:numPr>
          <w:ilvl w:val="0"/>
          <w:numId w:val="27"/>
        </w:numPr>
        <w:tabs>
          <w:tab w:pos="1219" w:val="left" w:leader="none"/>
        </w:tabs>
        <w:spacing w:line="240" w:lineRule="auto" w:before="2" w:after="0"/>
        <w:ind w:left="1219" w:right="0" w:hanging="601"/>
        <w:jc w:val="left"/>
        <w:rPr>
          <w:sz w:val="24"/>
        </w:rPr>
      </w:pPr>
      <w:r>
        <w:rPr>
          <w:sz w:val="24"/>
        </w:rPr>
        <w:t>由于投资方向变更引起的基金合并、撤销；</w:t>
      </w:r>
    </w:p>
    <w:p>
      <w:pPr>
        <w:pStyle w:val="ListParagraph"/>
        <w:numPr>
          <w:ilvl w:val="0"/>
          <w:numId w:val="27"/>
        </w:numPr>
        <w:tabs>
          <w:tab w:pos="1219" w:val="left" w:leader="none"/>
        </w:tabs>
        <w:spacing w:line="240" w:lineRule="auto" w:before="160" w:after="0"/>
        <w:ind w:left="1219" w:right="0" w:hanging="601"/>
        <w:jc w:val="left"/>
        <w:rPr>
          <w:sz w:val="24"/>
        </w:rPr>
      </w:pPr>
      <w:r>
        <w:rPr>
          <w:sz w:val="24"/>
        </w:rPr>
        <w:t>基金合同约定的其他情形；</w:t>
      </w:r>
    </w:p>
    <w:p>
      <w:pPr>
        <w:pStyle w:val="ListParagraph"/>
        <w:numPr>
          <w:ilvl w:val="0"/>
          <w:numId w:val="27"/>
        </w:numPr>
        <w:tabs>
          <w:tab w:pos="1219" w:val="left" w:leader="none"/>
        </w:tabs>
        <w:spacing w:line="240" w:lineRule="auto" w:before="161" w:after="0"/>
        <w:ind w:left="1219" w:right="0" w:hanging="601"/>
        <w:jc w:val="left"/>
        <w:rPr>
          <w:sz w:val="24"/>
        </w:rPr>
      </w:pPr>
      <w:r>
        <w:rPr>
          <w:sz w:val="24"/>
        </w:rPr>
        <w:t>法律、法规规定或中国证监会允许的其他情况。</w:t>
      </w:r>
    </w:p>
    <w:p>
      <w:pPr>
        <w:pStyle w:val="BodyText"/>
        <w:spacing w:line="364" w:lineRule="auto" w:before="160"/>
        <w:ind w:right="334" w:firstLine="479"/>
        <w:jc w:val="both"/>
      </w:pPr>
      <w:r>
        <w:rPr>
          <w:rFonts w:ascii="Times New Roman" w:eastAsia="Times New Roman"/>
        </w:rPr>
        <w:t>2</w:t>
      </w:r>
      <w:r>
        <w:rPr>
          <w:spacing w:val="-11"/>
        </w:rPr>
        <w:t>、基金合同终止时，基金管理人应予公告并组织清算组对基金财产进行清</w:t>
      </w:r>
      <w:r>
        <w:rPr/>
        <w:t>算。自基金终止之日，与基金有关的所有交易应立即停止。在基金清算小组组成并接管基金财产之前，基金管理人和基金托管人应按照本基金合同和托管协</w:t>
      </w:r>
    </w:p>
    <w:p>
      <w:pPr>
        <w:spacing w:after="0" w:line="364" w:lineRule="auto"/>
        <w:jc w:val="both"/>
        <w:sectPr>
          <w:pgSz w:w="11910" w:h="16840"/>
          <w:pgMar w:header="880" w:footer="1964" w:top="1380" w:bottom="2160" w:left="1660" w:right="1580"/>
        </w:sectPr>
      </w:pPr>
    </w:p>
    <w:p>
      <w:pPr>
        <w:pStyle w:val="BodyText"/>
        <w:spacing w:line="364" w:lineRule="auto" w:before="130"/>
        <w:ind w:left="618" w:right="3726" w:hanging="480"/>
      </w:pPr>
      <w:r>
        <w:rPr/>
        <w:t>议的规定继续履行保护基金财产安全的职责。三、基金财产的清算</w:t>
      </w:r>
    </w:p>
    <w:p>
      <w:pPr>
        <w:pStyle w:val="BodyText"/>
        <w:ind w:left="618"/>
      </w:pPr>
      <w:r>
        <w:rPr>
          <w:rFonts w:ascii="Times New Roman" w:eastAsia="Times New Roman"/>
        </w:rPr>
        <w:t>1</w:t>
      </w:r>
      <w:r>
        <w:rPr/>
        <w:t>、清算小组</w:t>
      </w:r>
    </w:p>
    <w:p>
      <w:pPr>
        <w:pStyle w:val="ListParagraph"/>
        <w:numPr>
          <w:ilvl w:val="0"/>
          <w:numId w:val="28"/>
        </w:numPr>
        <w:tabs>
          <w:tab w:pos="1219" w:val="left" w:leader="none"/>
        </w:tabs>
        <w:spacing w:line="364" w:lineRule="auto" w:before="160" w:after="0"/>
        <w:ind w:left="138" w:right="335" w:firstLine="479"/>
        <w:jc w:val="left"/>
        <w:rPr>
          <w:sz w:val="24"/>
        </w:rPr>
      </w:pPr>
      <w:r>
        <w:rPr>
          <w:spacing w:val="-2"/>
          <w:sz w:val="24"/>
        </w:rPr>
        <w:t>自基金合同终止之日起三十个工作日内成立基金财产清算小组，清</w:t>
      </w:r>
      <w:r>
        <w:rPr>
          <w:spacing w:val="-4"/>
          <w:sz w:val="24"/>
        </w:rPr>
        <w:t>算小组必须在中国证监会的监督下进行基金清算。</w:t>
      </w:r>
    </w:p>
    <w:p>
      <w:pPr>
        <w:pStyle w:val="ListParagraph"/>
        <w:numPr>
          <w:ilvl w:val="0"/>
          <w:numId w:val="28"/>
        </w:numPr>
        <w:tabs>
          <w:tab w:pos="1219" w:val="left" w:leader="none"/>
        </w:tabs>
        <w:spacing w:line="364" w:lineRule="auto" w:before="2" w:after="0"/>
        <w:ind w:left="138" w:right="332" w:firstLine="479"/>
        <w:jc w:val="left"/>
        <w:rPr>
          <w:sz w:val="24"/>
        </w:rPr>
      </w:pPr>
      <w:r>
        <w:rPr>
          <w:spacing w:val="-6"/>
          <w:sz w:val="24"/>
        </w:rPr>
        <w:t>清算小组成员由基金管理人、基金托管人、注册会计师、律师以及中</w:t>
      </w:r>
      <w:r>
        <w:rPr>
          <w:sz w:val="24"/>
        </w:rPr>
        <w:t>国证监会指定的人员组成。清算小组可以聘请必要的工作人员。</w:t>
      </w:r>
    </w:p>
    <w:p>
      <w:pPr>
        <w:pStyle w:val="ListParagraph"/>
        <w:numPr>
          <w:ilvl w:val="0"/>
          <w:numId w:val="28"/>
        </w:numPr>
        <w:tabs>
          <w:tab w:pos="1219" w:val="left" w:leader="none"/>
        </w:tabs>
        <w:spacing w:line="364" w:lineRule="auto" w:before="1" w:after="0"/>
        <w:ind w:left="138" w:right="334" w:firstLine="479"/>
        <w:jc w:val="left"/>
        <w:rPr>
          <w:sz w:val="24"/>
        </w:rPr>
      </w:pPr>
      <w:r>
        <w:rPr>
          <w:spacing w:val="-7"/>
          <w:sz w:val="24"/>
        </w:rPr>
        <w:t>清算小组负责基金财产的保管、清理、估价、变现和分配。清算小组</w:t>
      </w:r>
      <w:r>
        <w:rPr>
          <w:sz w:val="24"/>
        </w:rPr>
        <w:t>可以依法进行必要的民事活动。</w:t>
      </w:r>
    </w:p>
    <w:p>
      <w:pPr>
        <w:pStyle w:val="BodyText"/>
        <w:spacing w:before="2"/>
        <w:ind w:left="618"/>
      </w:pPr>
      <w:r>
        <w:rPr>
          <w:rFonts w:ascii="Times New Roman" w:eastAsia="Times New Roman"/>
        </w:rPr>
        <w:t>2</w:t>
      </w:r>
      <w:r>
        <w:rPr/>
        <w:t>、清算程序</w:t>
      </w:r>
    </w:p>
    <w:p>
      <w:pPr>
        <w:pStyle w:val="ListParagraph"/>
        <w:numPr>
          <w:ilvl w:val="0"/>
          <w:numId w:val="29"/>
        </w:numPr>
        <w:tabs>
          <w:tab w:pos="1219" w:val="left" w:leader="none"/>
        </w:tabs>
        <w:spacing w:line="240" w:lineRule="auto" w:before="160" w:after="0"/>
        <w:ind w:left="1219" w:right="0" w:hanging="601"/>
        <w:jc w:val="left"/>
        <w:rPr>
          <w:sz w:val="24"/>
        </w:rPr>
      </w:pPr>
      <w:r>
        <w:rPr>
          <w:sz w:val="24"/>
        </w:rPr>
        <w:t>基金合同终止后，由清算小组统一接管基金财产；</w:t>
      </w:r>
    </w:p>
    <w:p>
      <w:pPr>
        <w:pStyle w:val="ListParagraph"/>
        <w:numPr>
          <w:ilvl w:val="0"/>
          <w:numId w:val="29"/>
        </w:numPr>
        <w:tabs>
          <w:tab w:pos="1219" w:val="left" w:leader="none"/>
        </w:tabs>
        <w:spacing w:line="240" w:lineRule="auto" w:before="161" w:after="0"/>
        <w:ind w:left="1219" w:right="0" w:hanging="601"/>
        <w:jc w:val="left"/>
        <w:rPr>
          <w:sz w:val="24"/>
        </w:rPr>
      </w:pPr>
      <w:r>
        <w:rPr>
          <w:sz w:val="24"/>
        </w:rPr>
        <w:t>清算小组对基金财产进行清理和确认；</w:t>
      </w:r>
    </w:p>
    <w:p>
      <w:pPr>
        <w:pStyle w:val="ListParagraph"/>
        <w:numPr>
          <w:ilvl w:val="0"/>
          <w:numId w:val="29"/>
        </w:numPr>
        <w:tabs>
          <w:tab w:pos="1219" w:val="left" w:leader="none"/>
        </w:tabs>
        <w:spacing w:line="240" w:lineRule="auto" w:before="160" w:after="0"/>
        <w:ind w:left="1219" w:right="0" w:hanging="601"/>
        <w:jc w:val="left"/>
        <w:rPr>
          <w:sz w:val="24"/>
        </w:rPr>
      </w:pPr>
      <w:r>
        <w:rPr>
          <w:sz w:val="24"/>
        </w:rPr>
        <w:t>对基金财产进行估价；</w:t>
      </w:r>
    </w:p>
    <w:p>
      <w:pPr>
        <w:pStyle w:val="ListParagraph"/>
        <w:numPr>
          <w:ilvl w:val="0"/>
          <w:numId w:val="29"/>
        </w:numPr>
        <w:tabs>
          <w:tab w:pos="1219" w:val="left" w:leader="none"/>
        </w:tabs>
        <w:spacing w:line="240" w:lineRule="auto" w:before="161" w:after="0"/>
        <w:ind w:left="1219" w:right="0" w:hanging="601"/>
        <w:jc w:val="left"/>
        <w:rPr>
          <w:sz w:val="24"/>
        </w:rPr>
      </w:pPr>
      <w:r>
        <w:rPr>
          <w:sz w:val="24"/>
        </w:rPr>
        <w:t>对基金财产进行变现；</w:t>
      </w:r>
    </w:p>
    <w:p>
      <w:pPr>
        <w:pStyle w:val="ListParagraph"/>
        <w:numPr>
          <w:ilvl w:val="0"/>
          <w:numId w:val="29"/>
        </w:numPr>
        <w:tabs>
          <w:tab w:pos="1219" w:val="left" w:leader="none"/>
        </w:tabs>
        <w:spacing w:line="364" w:lineRule="auto" w:before="160" w:after="0"/>
        <w:ind w:left="138" w:right="333" w:firstLine="479"/>
        <w:jc w:val="left"/>
        <w:rPr>
          <w:sz w:val="24"/>
        </w:rPr>
      </w:pPr>
      <w:r>
        <w:rPr>
          <w:spacing w:val="-2"/>
          <w:sz w:val="24"/>
        </w:rPr>
        <w:t>聘请会计师事务所对基金财产清算报告进行外部审计，聘请律师事</w:t>
      </w:r>
      <w:r>
        <w:rPr>
          <w:spacing w:val="-4"/>
          <w:sz w:val="24"/>
        </w:rPr>
        <w:t>务所对基金财产清算报告出具法律意见书；</w:t>
      </w:r>
    </w:p>
    <w:p>
      <w:pPr>
        <w:pStyle w:val="ListParagraph"/>
        <w:numPr>
          <w:ilvl w:val="0"/>
          <w:numId w:val="29"/>
        </w:numPr>
        <w:tabs>
          <w:tab w:pos="1219" w:val="left" w:leader="none"/>
        </w:tabs>
        <w:spacing w:line="240" w:lineRule="auto" w:before="2" w:after="0"/>
        <w:ind w:left="1219" w:right="0" w:hanging="601"/>
        <w:jc w:val="left"/>
        <w:rPr>
          <w:sz w:val="24"/>
        </w:rPr>
      </w:pPr>
      <w:r>
        <w:rPr>
          <w:sz w:val="24"/>
        </w:rPr>
        <w:t>将基金财产清算报告中国证监会；</w:t>
      </w:r>
    </w:p>
    <w:p>
      <w:pPr>
        <w:pStyle w:val="ListParagraph"/>
        <w:numPr>
          <w:ilvl w:val="0"/>
          <w:numId w:val="29"/>
        </w:numPr>
        <w:tabs>
          <w:tab w:pos="1219" w:val="left" w:leader="none"/>
        </w:tabs>
        <w:spacing w:line="240" w:lineRule="auto" w:before="160" w:after="0"/>
        <w:ind w:left="1219" w:right="0" w:hanging="601"/>
        <w:jc w:val="left"/>
        <w:rPr>
          <w:sz w:val="24"/>
        </w:rPr>
      </w:pPr>
      <w:r>
        <w:rPr>
          <w:sz w:val="24"/>
        </w:rPr>
        <w:t>公布基金清算公告；</w:t>
      </w:r>
    </w:p>
    <w:p>
      <w:pPr>
        <w:pStyle w:val="ListParagraph"/>
        <w:numPr>
          <w:ilvl w:val="0"/>
          <w:numId w:val="29"/>
        </w:numPr>
        <w:tabs>
          <w:tab w:pos="1219" w:val="left" w:leader="none"/>
        </w:tabs>
        <w:spacing w:line="240" w:lineRule="auto" w:before="161" w:after="0"/>
        <w:ind w:left="1219" w:right="0" w:hanging="601"/>
        <w:jc w:val="left"/>
        <w:rPr>
          <w:sz w:val="24"/>
        </w:rPr>
      </w:pPr>
      <w:r>
        <w:rPr>
          <w:sz w:val="24"/>
        </w:rPr>
        <w:t>进行基金剩余资产的分配。</w:t>
      </w:r>
    </w:p>
    <w:p>
      <w:pPr>
        <w:pStyle w:val="BodyText"/>
        <w:spacing w:before="160"/>
        <w:ind w:left="618"/>
      </w:pPr>
      <w:r>
        <w:rPr>
          <w:rFonts w:ascii="Times New Roman" w:eastAsia="Times New Roman"/>
        </w:rPr>
        <w:t>3</w:t>
      </w:r>
      <w:r>
        <w:rPr/>
        <w:t>、清算费用</w:t>
      </w:r>
    </w:p>
    <w:p>
      <w:pPr>
        <w:pStyle w:val="BodyText"/>
        <w:spacing w:line="364" w:lineRule="auto" w:before="161"/>
        <w:ind w:right="337" w:firstLine="479"/>
      </w:pPr>
      <w:r>
        <w:rPr/>
        <w:t>清算费用是指清算小组在进行基金清算过程中发生的所有合理费用，清算费用由清算小组从基金财产中支付。</w:t>
      </w:r>
    </w:p>
    <w:p>
      <w:pPr>
        <w:pStyle w:val="BodyText"/>
        <w:spacing w:before="2"/>
        <w:ind w:left="618"/>
      </w:pPr>
      <w:r>
        <w:rPr>
          <w:rFonts w:ascii="Times New Roman" w:eastAsia="Times New Roman"/>
        </w:rPr>
        <w:t>4</w:t>
      </w:r>
      <w:r>
        <w:rPr/>
        <w:t>、基金剩余资产的分配</w:t>
      </w:r>
    </w:p>
    <w:p>
      <w:pPr>
        <w:pStyle w:val="BodyText"/>
        <w:spacing w:line="364" w:lineRule="auto" w:before="160"/>
        <w:ind w:right="340" w:firstLine="479"/>
      </w:pPr>
      <w:r>
        <w:rPr/>
        <w:t>基金清算后的全部剩余资产扣除基金清算费用后，按基金份额持有人持有的基金份额比例进行分配。</w:t>
      </w:r>
    </w:p>
    <w:p>
      <w:pPr>
        <w:pStyle w:val="BodyText"/>
        <w:ind w:left="618"/>
      </w:pPr>
      <w:r>
        <w:rPr>
          <w:rFonts w:ascii="Times New Roman" w:eastAsia="Times New Roman"/>
        </w:rPr>
        <w:t>5</w:t>
      </w:r>
      <w:r>
        <w:rPr/>
        <w:t>、基金清算的公告</w:t>
      </w:r>
    </w:p>
    <w:p>
      <w:pPr>
        <w:pStyle w:val="BodyText"/>
        <w:spacing w:before="161"/>
        <w:ind w:left="618"/>
      </w:pPr>
      <w:r>
        <w:rPr/>
        <w:t>基金财产清算报告报中国证监会备案后 </w:t>
      </w:r>
      <w:r>
        <w:rPr>
          <w:rFonts w:ascii="Times New Roman" w:eastAsia="Times New Roman"/>
        </w:rPr>
        <w:t>5 </w:t>
      </w:r>
      <w:r>
        <w:rPr/>
        <w:t>个工作日内由清算小组公告。</w:t>
      </w:r>
    </w:p>
    <w:p>
      <w:pPr>
        <w:pStyle w:val="BodyText"/>
        <w:spacing w:before="160"/>
        <w:ind w:left="618"/>
      </w:pPr>
      <w:r>
        <w:rPr>
          <w:rFonts w:ascii="Times New Roman" w:eastAsia="Times New Roman"/>
        </w:rPr>
        <w:t>6</w:t>
      </w:r>
      <w:r>
        <w:rPr/>
        <w:t>、基金清算账册及文件的保存</w:t>
      </w:r>
    </w:p>
    <w:p>
      <w:pPr>
        <w:spacing w:after="0"/>
        <w:sectPr>
          <w:pgSz w:w="11910" w:h="16840"/>
          <w:pgMar w:header="880" w:footer="1964" w:top="1380" w:bottom="2160" w:left="1660" w:right="1580"/>
        </w:sectPr>
      </w:pPr>
    </w:p>
    <w:p>
      <w:pPr>
        <w:pStyle w:val="BodyText"/>
        <w:spacing w:before="130"/>
        <w:ind w:left="618"/>
      </w:pPr>
      <w:r>
        <w:rPr/>
        <w:t>基金清算账册及有关文件由基金托管人保存 </w:t>
      </w:r>
      <w:r>
        <w:rPr>
          <w:rFonts w:ascii="Times New Roman" w:eastAsia="Times New Roman"/>
        </w:rPr>
        <w:t>15 </w:t>
      </w:r>
      <w:r>
        <w:rPr/>
        <w:t>年以上。</w:t>
      </w:r>
    </w:p>
    <w:p>
      <w:pPr>
        <w:pStyle w:val="BodyText"/>
        <w:spacing w:before="0"/>
        <w:ind w:left="0"/>
        <w:rPr>
          <w:sz w:val="26"/>
        </w:rPr>
      </w:pPr>
    </w:p>
    <w:p>
      <w:pPr>
        <w:pStyle w:val="BodyText"/>
        <w:spacing w:before="0"/>
        <w:ind w:left="0"/>
        <w:rPr>
          <w:sz w:val="26"/>
        </w:rPr>
      </w:pPr>
    </w:p>
    <w:p>
      <w:pPr>
        <w:pStyle w:val="BodyText"/>
        <w:spacing w:before="0"/>
        <w:ind w:left="0"/>
        <w:rPr>
          <w:sz w:val="26"/>
        </w:rPr>
      </w:pPr>
    </w:p>
    <w:p>
      <w:pPr>
        <w:pStyle w:val="BodyText"/>
        <w:spacing w:before="0"/>
        <w:ind w:left="0"/>
        <w:rPr>
          <w:sz w:val="26"/>
        </w:rPr>
      </w:pPr>
    </w:p>
    <w:p>
      <w:pPr>
        <w:pStyle w:val="BodyText"/>
        <w:spacing w:before="10"/>
        <w:ind w:left="0"/>
        <w:rPr>
          <w:sz w:val="38"/>
        </w:rPr>
      </w:pPr>
    </w:p>
    <w:p>
      <w:pPr>
        <w:spacing w:before="0"/>
        <w:ind w:left="84" w:right="283" w:firstLine="0"/>
        <w:jc w:val="center"/>
        <w:rPr>
          <w:b/>
          <w:sz w:val="32"/>
        </w:rPr>
      </w:pPr>
      <w:bookmarkStart w:name="_bookmark20" w:id="21"/>
      <w:bookmarkEnd w:id="21"/>
      <w:r>
        <w:rPr/>
      </w:r>
      <w:r>
        <w:rPr>
          <w:b/>
          <w:sz w:val="32"/>
        </w:rPr>
        <w:t>二十一、违约责任</w:t>
      </w:r>
    </w:p>
    <w:p>
      <w:pPr>
        <w:pStyle w:val="BodyText"/>
        <w:spacing w:before="0"/>
        <w:ind w:left="0"/>
        <w:rPr>
          <w:b/>
          <w:sz w:val="32"/>
        </w:rPr>
      </w:pPr>
    </w:p>
    <w:p>
      <w:pPr>
        <w:pStyle w:val="BodyText"/>
        <w:spacing w:before="0"/>
        <w:ind w:left="0"/>
        <w:rPr>
          <w:b/>
          <w:sz w:val="32"/>
        </w:rPr>
      </w:pPr>
    </w:p>
    <w:p>
      <w:pPr>
        <w:pStyle w:val="BodyText"/>
        <w:spacing w:before="6"/>
        <w:ind w:left="0"/>
        <w:rPr>
          <w:b/>
          <w:sz w:val="28"/>
        </w:rPr>
      </w:pPr>
    </w:p>
    <w:p>
      <w:pPr>
        <w:pStyle w:val="BodyText"/>
        <w:spacing w:line="364" w:lineRule="auto"/>
        <w:ind w:right="338" w:firstLine="479"/>
        <w:jc w:val="both"/>
      </w:pPr>
      <w:r>
        <w:rPr>
          <w:spacing w:val="-1"/>
        </w:rPr>
        <w:t>一、基金管理人、基金托管人在履行各自职责的过程中，违反《基金法》等法律法规的规定或基金合同的约定，给基金财产或者基金份额持有人造成损害的，应当分别对各自的行为依法承担赔偿责任；因共同行为给基金财产或者基金份额持有人造成损害的，应当承担连带赔偿责任。但发生以下情况的，有</w:t>
      </w:r>
      <w:r>
        <w:rPr/>
        <w:t>关当事人可以免责：</w:t>
      </w:r>
    </w:p>
    <w:p>
      <w:pPr>
        <w:pStyle w:val="BodyText"/>
        <w:spacing w:before="3"/>
        <w:ind w:left="618"/>
      </w:pPr>
      <w:r>
        <w:rPr>
          <w:rFonts w:ascii="Times New Roman" w:eastAsia="Times New Roman"/>
        </w:rPr>
        <w:t>1</w:t>
      </w:r>
      <w:r>
        <w:rPr/>
        <w:t>、不可抗力；</w:t>
      </w:r>
    </w:p>
    <w:p>
      <w:pPr>
        <w:pStyle w:val="BodyText"/>
        <w:spacing w:line="364" w:lineRule="auto" w:before="161"/>
        <w:ind w:right="333" w:firstLine="479"/>
      </w:pPr>
      <w:r>
        <w:rPr>
          <w:rFonts w:ascii="Times New Roman" w:eastAsia="Times New Roman"/>
        </w:rPr>
        <w:t>2</w:t>
      </w:r>
      <w:r>
        <w:rPr>
          <w:spacing w:val="-10"/>
        </w:rPr>
        <w:t>、基金管理人或基金托管人按照当时有效的法律、法规或规章的规定作为</w:t>
      </w:r>
      <w:r>
        <w:rPr/>
        <w:t>或不作为而造成的损失等；</w:t>
      </w:r>
    </w:p>
    <w:p>
      <w:pPr>
        <w:pStyle w:val="BodyText"/>
        <w:spacing w:line="364" w:lineRule="auto"/>
        <w:ind w:right="335" w:firstLine="479"/>
      </w:pPr>
      <w:r>
        <w:rPr>
          <w:rFonts w:ascii="Times New Roman" w:eastAsia="Times New Roman"/>
        </w:rPr>
        <w:t>3</w:t>
      </w:r>
      <w:r>
        <w:rPr>
          <w:spacing w:val="-11"/>
        </w:rPr>
        <w:t>、基金管理人由于按照本基金合同规定的投资原则投资或不投资造成的损</w:t>
      </w:r>
      <w:r>
        <w:rPr/>
        <w:t>失或潜在损失等。</w:t>
      </w:r>
    </w:p>
    <w:p>
      <w:pPr>
        <w:pStyle w:val="BodyText"/>
        <w:spacing w:line="364" w:lineRule="auto"/>
        <w:ind w:right="340" w:firstLine="479"/>
        <w:jc w:val="both"/>
      </w:pPr>
      <w:r>
        <w:rPr/>
        <w:t>二、在发生一方或多方违约的情况下，在最大限度地保护基金份额持有人利益的前提下，基金合同能够继续履行的，应当继续履行。当事人在职责范围内有义务及时采取必要的措施，防止损失的扩大。</w:t>
      </w:r>
    </w:p>
    <w:p>
      <w:pPr>
        <w:spacing w:after="0" w:line="364" w:lineRule="auto"/>
        <w:jc w:val="both"/>
        <w:sectPr>
          <w:pgSz w:w="11910" w:h="16840"/>
          <w:pgMar w:header="880" w:footer="1964" w:top="1380" w:bottom="2160" w:left="1660" w:right="1580"/>
        </w:sectPr>
      </w:pPr>
    </w:p>
    <w:p>
      <w:pPr>
        <w:pStyle w:val="BodyText"/>
        <w:spacing w:before="0"/>
        <w:ind w:left="0"/>
        <w:rPr>
          <w:sz w:val="20"/>
        </w:rPr>
      </w:pPr>
    </w:p>
    <w:p>
      <w:pPr>
        <w:pStyle w:val="BodyText"/>
        <w:spacing w:before="0"/>
        <w:ind w:left="0"/>
        <w:rPr>
          <w:sz w:val="20"/>
        </w:rPr>
      </w:pPr>
    </w:p>
    <w:p>
      <w:pPr>
        <w:pStyle w:val="BodyText"/>
        <w:spacing w:before="2"/>
        <w:ind w:left="0"/>
        <w:rPr>
          <w:sz w:val="23"/>
        </w:rPr>
      </w:pPr>
    </w:p>
    <w:p>
      <w:pPr>
        <w:spacing w:before="54"/>
        <w:ind w:left="85" w:right="283" w:firstLine="0"/>
        <w:jc w:val="center"/>
        <w:rPr>
          <w:b/>
          <w:sz w:val="32"/>
        </w:rPr>
      </w:pPr>
      <w:bookmarkStart w:name="_bookmark21" w:id="22"/>
      <w:bookmarkEnd w:id="22"/>
      <w:r>
        <w:rPr/>
      </w:r>
      <w:r>
        <w:rPr>
          <w:b/>
          <w:sz w:val="32"/>
        </w:rPr>
        <w:t>二十二、争议的处理</w:t>
      </w:r>
    </w:p>
    <w:p>
      <w:pPr>
        <w:pStyle w:val="BodyText"/>
        <w:spacing w:before="0"/>
        <w:ind w:left="0"/>
        <w:rPr>
          <w:b/>
          <w:sz w:val="32"/>
        </w:rPr>
      </w:pPr>
    </w:p>
    <w:p>
      <w:pPr>
        <w:pStyle w:val="BodyText"/>
        <w:spacing w:before="12"/>
        <w:ind w:left="0"/>
        <w:rPr>
          <w:b/>
          <w:sz w:val="23"/>
        </w:rPr>
      </w:pPr>
    </w:p>
    <w:p>
      <w:pPr>
        <w:pStyle w:val="BodyText"/>
        <w:spacing w:line="364" w:lineRule="auto" w:before="0"/>
        <w:ind w:right="340" w:firstLine="479"/>
        <w:jc w:val="both"/>
      </w:pPr>
      <w:r>
        <w:rPr/>
        <w:t>对于因本协议的订立、内容、履行和解释或与本协议有关的争议，本基金合同当事人应尽量通过协商、调解途径解决。不愿或者不能通过协商、调解解决的，任何一方均有权将争议提交中国国际经济贸易仲裁委员会深圳分会，按照中国国际经济贸易仲裁委员会届时有效的仲裁规则进行仲裁。仲裁裁决是终局的，对当事人均有约束力。</w:t>
      </w:r>
    </w:p>
    <w:p>
      <w:pPr>
        <w:spacing w:after="0" w:line="364" w:lineRule="auto"/>
        <w:jc w:val="both"/>
        <w:sectPr>
          <w:pgSz w:w="11910" w:h="16840"/>
          <w:pgMar w:header="880" w:footer="1964" w:top="1380" w:bottom="2160" w:left="1660" w:right="1580"/>
        </w:sectPr>
      </w:pPr>
    </w:p>
    <w:p>
      <w:pPr>
        <w:pStyle w:val="BodyText"/>
        <w:spacing w:before="8"/>
        <w:ind w:left="0"/>
        <w:rPr>
          <w:sz w:val="8"/>
        </w:rPr>
      </w:pPr>
    </w:p>
    <w:p>
      <w:pPr>
        <w:spacing w:before="58"/>
        <w:ind w:left="84" w:right="283" w:firstLine="0"/>
        <w:jc w:val="center"/>
        <w:rPr>
          <w:b/>
          <w:sz w:val="30"/>
        </w:rPr>
      </w:pPr>
      <w:bookmarkStart w:name="_bookmark22" w:id="23"/>
      <w:bookmarkEnd w:id="23"/>
      <w:r>
        <w:rPr/>
      </w:r>
      <w:r>
        <w:rPr>
          <w:b/>
          <w:sz w:val="30"/>
        </w:rPr>
        <w:t>二十三、基金合同的效力</w:t>
      </w:r>
    </w:p>
    <w:p>
      <w:pPr>
        <w:pStyle w:val="BodyText"/>
        <w:spacing w:before="0"/>
        <w:ind w:left="0"/>
        <w:rPr>
          <w:b/>
          <w:sz w:val="40"/>
        </w:rPr>
      </w:pPr>
    </w:p>
    <w:p>
      <w:pPr>
        <w:pStyle w:val="BodyText"/>
        <w:spacing w:line="364" w:lineRule="auto" w:before="0"/>
        <w:ind w:right="337" w:firstLine="479"/>
        <w:jc w:val="both"/>
      </w:pPr>
      <w:r>
        <w:rPr/>
        <w:t>一、本基金合同是本基金当事人之间的法律文件。本基金合同需经基金管理人和基金托管人盖章以及其各自法定代表人或授权代表签字。在基金募集结束后，本基金合同需报中国证监会备案并获中国证监会书面确认后生效。基金合同的有效期自其生效之日起至该基金财产清算结果报中国证监会批准并公告之日止。</w:t>
      </w:r>
    </w:p>
    <w:p>
      <w:pPr>
        <w:pStyle w:val="BodyText"/>
        <w:spacing w:line="364" w:lineRule="auto" w:before="4"/>
        <w:ind w:right="341" w:firstLine="479"/>
        <w:jc w:val="both"/>
      </w:pPr>
      <w:r>
        <w:rPr/>
        <w:t>基金投资者购买本基金基金份额的行为即视为对本基金合同的承认和接受，基金投资者自取得依据本基金合同发售的基金份额，即成为基金份额持有人和本基金合同的当事人，直至其不再持有本基金的基金份额。基金份额持有人作为当事人并不以在本基金合同上书面签章为必要条件。</w:t>
      </w:r>
    </w:p>
    <w:p>
      <w:pPr>
        <w:pStyle w:val="BodyText"/>
        <w:spacing w:line="364" w:lineRule="auto" w:before="2"/>
        <w:ind w:left="618" w:right="340"/>
      </w:pPr>
      <w:r>
        <w:rPr/>
        <w:t>二、本基金合同自生效之日对本基金合同当事人具有同等的法律约束力。三、本基金合同正本一式八份，基金管理人和基金托管人各持有两份，报</w:t>
      </w:r>
    </w:p>
    <w:p>
      <w:pPr>
        <w:pStyle w:val="BodyText"/>
        <w:spacing w:before="2"/>
      </w:pPr>
      <w:r>
        <w:rPr/>
        <w:t>送中国证监会和中国银监会各两份。每份具有同等的法律效力。</w:t>
      </w:r>
    </w:p>
    <w:p>
      <w:pPr>
        <w:pStyle w:val="BodyText"/>
        <w:spacing w:line="364" w:lineRule="auto" w:before="160"/>
        <w:ind w:right="340" w:firstLine="479"/>
        <w:jc w:val="both"/>
      </w:pPr>
      <w:r>
        <w:rPr/>
        <w:t>四、本基金合同可印制成册并对外公开散发，供投资者在基金管理人、基金托管人、代销机构和注册登记人办公场所查阅；投资者也可按工本费购买本基金合同复制件或复印件，但所载事项应以本基金合同正本为准。</w:t>
      </w:r>
    </w:p>
    <w:p>
      <w:pPr>
        <w:spacing w:after="0" w:line="364" w:lineRule="auto"/>
        <w:jc w:val="both"/>
        <w:sectPr>
          <w:pgSz w:w="11910" w:h="16840"/>
          <w:pgMar w:header="880" w:footer="1964" w:top="1380" w:bottom="2160" w:left="1660" w:right="1580"/>
        </w:sectPr>
      </w:pPr>
    </w:p>
    <w:p>
      <w:pPr>
        <w:pStyle w:val="BodyText"/>
        <w:spacing w:before="0"/>
        <w:ind w:left="0"/>
        <w:rPr>
          <w:sz w:val="20"/>
        </w:rPr>
      </w:pPr>
    </w:p>
    <w:p>
      <w:pPr>
        <w:pStyle w:val="BodyText"/>
        <w:spacing w:before="2"/>
        <w:ind w:left="0"/>
        <w:rPr>
          <w:sz w:val="25"/>
        </w:rPr>
      </w:pPr>
    </w:p>
    <w:p>
      <w:pPr>
        <w:spacing w:before="58"/>
        <w:ind w:left="84" w:right="283" w:firstLine="0"/>
        <w:jc w:val="center"/>
        <w:rPr>
          <w:b/>
          <w:sz w:val="30"/>
        </w:rPr>
      </w:pPr>
      <w:bookmarkStart w:name="_bookmark23" w:id="24"/>
      <w:bookmarkEnd w:id="24"/>
      <w:r>
        <w:rPr/>
      </w:r>
      <w:r>
        <w:rPr>
          <w:b/>
          <w:sz w:val="30"/>
        </w:rPr>
        <w:t>二十四、其他事项</w:t>
      </w:r>
    </w:p>
    <w:p>
      <w:pPr>
        <w:pStyle w:val="BodyText"/>
        <w:spacing w:line="364" w:lineRule="auto" w:before="201"/>
        <w:ind w:right="340" w:firstLine="479"/>
      </w:pPr>
      <w:r>
        <w:rPr/>
        <w:t>本《基金合同》如有未尽事宜，由本《基金合同》当事人各方按有关法律法规协商解决。</w:t>
      </w:r>
    </w:p>
    <w:p>
      <w:pPr>
        <w:spacing w:after="0" w:line="364" w:lineRule="auto"/>
        <w:sectPr>
          <w:pgSz w:w="11910" w:h="16840"/>
          <w:pgMar w:header="880" w:footer="1964" w:top="1380" w:bottom="2160" w:left="1660" w:right="1580"/>
        </w:sectPr>
      </w:pPr>
    </w:p>
    <w:p>
      <w:pPr>
        <w:pStyle w:val="BodyText"/>
        <w:spacing w:line="104" w:lineRule="exact" w:before="0"/>
        <w:ind w:left="96"/>
        <w:rPr>
          <w:sz w:val="10"/>
        </w:rPr>
      </w:pPr>
      <w:r>
        <w:rPr>
          <w:position w:val="-1"/>
          <w:sz w:val="10"/>
        </w:rPr>
        <w:pict>
          <v:group style="width:418.3pt;height:5.2pt;mso-position-horizontal-relative:char;mso-position-vertical-relative:line" coordorigin="0,0" coordsize="8366,104">
            <v:line style="position:absolute" from="0,89" to="8365,89" stroked="true" strokeweight="1.44pt" strokecolor="#000000">
              <v:stroke dashstyle="solid"/>
            </v:line>
            <v:line style="position:absolute" from="0,7" to="8365,7" stroked="true" strokeweight=".72pt" strokecolor="#000000">
              <v:stroke dashstyle="solid"/>
            </v:line>
          </v:group>
        </w:pict>
      </w:r>
      <w:r>
        <w:rPr>
          <w:position w:val="-1"/>
          <w:sz w:val="10"/>
        </w:rPr>
      </w:r>
    </w:p>
    <w:p>
      <w:pPr>
        <w:pStyle w:val="BodyText"/>
        <w:spacing w:before="0"/>
        <w:ind w:left="0"/>
        <w:rPr>
          <w:sz w:val="7"/>
        </w:rPr>
      </w:pPr>
    </w:p>
    <w:p>
      <w:pPr>
        <w:pStyle w:val="BodyText"/>
        <w:spacing w:line="364" w:lineRule="auto" w:before="66"/>
        <w:ind w:left="140" w:right="101" w:firstLine="820"/>
      </w:pPr>
      <w:r>
        <w:rPr>
          <w:spacing w:val="-16"/>
        </w:rPr>
        <w:t>(本页为《景顺长城内需增长贰号混合型证券投资基金基金合同》签署页， </w:t>
      </w:r>
      <w:r>
        <w:rPr/>
        <w:t>无正文）</w:t>
      </w:r>
    </w:p>
    <w:p>
      <w:pPr>
        <w:pStyle w:val="BodyText"/>
        <w:spacing w:before="0"/>
        <w:ind w:left="0"/>
      </w:pPr>
    </w:p>
    <w:p>
      <w:pPr>
        <w:pStyle w:val="BodyText"/>
        <w:spacing w:before="162"/>
        <w:ind w:left="961"/>
      </w:pPr>
      <w:r>
        <w:rPr/>
        <w:t>基金管理人： 景顺长城基金管理有限公司</w:t>
      </w:r>
    </w:p>
    <w:p>
      <w:pPr>
        <w:pStyle w:val="BodyText"/>
        <w:spacing w:before="0"/>
        <w:ind w:left="0"/>
      </w:pPr>
    </w:p>
    <w:p>
      <w:pPr>
        <w:pStyle w:val="BodyText"/>
        <w:ind w:left="0"/>
        <w:rPr>
          <w:sz w:val="25"/>
        </w:rPr>
      </w:pPr>
    </w:p>
    <w:p>
      <w:pPr>
        <w:pStyle w:val="BodyText"/>
        <w:spacing w:before="0"/>
        <w:ind w:left="961"/>
      </w:pPr>
      <w:r>
        <w:rPr/>
        <w:t>法定代表人或授权签字人：</w:t>
      </w:r>
    </w:p>
    <w:p>
      <w:pPr>
        <w:pStyle w:val="BodyText"/>
        <w:spacing w:before="0"/>
        <w:ind w:left="0"/>
      </w:pPr>
    </w:p>
    <w:p>
      <w:pPr>
        <w:pStyle w:val="BodyText"/>
        <w:spacing w:before="0"/>
        <w:ind w:left="0"/>
      </w:pPr>
    </w:p>
    <w:p>
      <w:pPr>
        <w:pStyle w:val="BodyText"/>
        <w:spacing w:before="0"/>
        <w:ind w:left="0"/>
      </w:pPr>
    </w:p>
    <w:p>
      <w:pPr>
        <w:pStyle w:val="BodyText"/>
        <w:spacing w:line="364" w:lineRule="auto" w:before="174"/>
        <w:ind w:left="961" w:right="6743"/>
      </w:pPr>
      <w:r>
        <w:rPr/>
        <w:t>签订日： 签订地：</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176"/>
        <w:ind w:left="961"/>
      </w:pPr>
      <w:r>
        <w:rPr/>
        <w:t>基金托管人: 中国农业银行股份有限公司</w:t>
      </w:r>
    </w:p>
    <w:p>
      <w:pPr>
        <w:pStyle w:val="BodyText"/>
        <w:spacing w:before="0"/>
        <w:ind w:left="0"/>
      </w:pPr>
    </w:p>
    <w:p>
      <w:pPr>
        <w:pStyle w:val="BodyText"/>
        <w:spacing w:before="0"/>
        <w:ind w:left="0"/>
        <w:rPr>
          <w:sz w:val="25"/>
        </w:rPr>
      </w:pPr>
    </w:p>
    <w:p>
      <w:pPr>
        <w:pStyle w:val="BodyText"/>
        <w:ind w:left="961"/>
      </w:pPr>
      <w:r>
        <w:rPr/>
        <w:t>法定代表人或授权签字人：</w:t>
      </w:r>
    </w:p>
    <w:p>
      <w:pPr>
        <w:pStyle w:val="BodyText"/>
        <w:spacing w:before="0"/>
        <w:ind w:left="0"/>
      </w:pPr>
    </w:p>
    <w:p>
      <w:pPr>
        <w:pStyle w:val="BodyText"/>
        <w:spacing w:before="0"/>
        <w:ind w:left="0"/>
      </w:pPr>
    </w:p>
    <w:p>
      <w:pPr>
        <w:pStyle w:val="BodyText"/>
        <w:spacing w:before="0"/>
        <w:ind w:left="0"/>
      </w:pPr>
    </w:p>
    <w:p>
      <w:pPr>
        <w:pStyle w:val="BodyText"/>
        <w:spacing w:line="364" w:lineRule="auto" w:before="174"/>
        <w:ind w:left="961" w:right="6743"/>
      </w:pPr>
      <w:r>
        <w:rPr/>
        <w:t>签订日： 签订地：</w:t>
      </w:r>
    </w:p>
    <w:sectPr>
      <w:headerReference w:type="default" r:id="rId8"/>
      <w:footerReference w:type="default" r:id="rId9"/>
      <w:pgSz w:w="11910" w:h="16840"/>
      <w:pgMar w:header="0" w:footer="0" w:top="1240" w:bottom="280" w:left="166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1.209991pt;margin-top:732.699951pt;width:13.15pt;height:12pt;mso-position-horizontal-relative:page;mso-position-vertical-relative:page;z-index:-25308467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253087744" from="88.584pt,64.679985pt" to="506.854pt,64.679985pt" stroked="true" strokeweight=".72pt" strokecolor="#000000">
          <v:stroke dashstyle="solid"/>
          <w10:wrap type="none"/>
        </v:line>
      </w:pict>
    </w:r>
    <w:r>
      <w:rPr/>
      <w:pict>
        <v:line style="position:absolute;mso-position-horizontal-relative:page;mso-position-vertical-relative:page;z-index:-253086720" from="88.584pt,68.759979pt" to="506.854pt,68.759979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62.660004pt;margin-top:42.985607pt;width:38pt;height:11pt;mso-position-horizontal-relative:page;mso-position-vertical-relative:page;z-index:-253085696" type="#_x0000_t202" filled="false" stroked="false">
          <v:textbox inset="0,0,0,0">
            <w:txbxContent>
              <w:p>
                <w:pPr>
                  <w:spacing w:line="220" w:lineRule="exact" w:before="0"/>
                  <w:ind w:left="20" w:right="0" w:firstLine="0"/>
                  <w:jc w:val="left"/>
                  <w:rPr>
                    <w:sz w:val="18"/>
                  </w:rPr>
                </w:pPr>
                <w:r>
                  <w:rPr>
                    <w:sz w:val="18"/>
                  </w:rPr>
                  <w:t>基金合同</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21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28">
    <w:multiLevelType w:val="hybridMultilevel"/>
    <w:lvl w:ilvl="0">
      <w:start w:val="1"/>
      <w:numFmt w:val="decimal"/>
      <w:lvlText w:val="（%1）"/>
      <w:lvlJc w:val="left"/>
      <w:pPr>
        <w:ind w:left="121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27">
    <w:multiLevelType w:val="hybridMultilevel"/>
    <w:lvl w:ilvl="0">
      <w:start w:val="1"/>
      <w:numFmt w:val="decimal"/>
      <w:lvlText w:val="（%1）"/>
      <w:lvlJc w:val="left"/>
      <w:pPr>
        <w:ind w:left="138" w:hanging="601"/>
        <w:jc w:val="left"/>
      </w:pPr>
      <w:rPr>
        <w:rFonts w:hint="default" w:ascii="宋体" w:hAnsi="宋体" w:eastAsia="宋体" w:cs="宋体"/>
        <w:spacing w:val="-46"/>
        <w:w w:val="100"/>
        <w:sz w:val="22"/>
        <w:szCs w:val="22"/>
        <w:lang w:val="zh-CN" w:eastAsia="zh-CN" w:bidi="zh-CN"/>
      </w:rPr>
    </w:lvl>
    <w:lvl w:ilvl="1">
      <w:start w:val="0"/>
      <w:numFmt w:val="bullet"/>
      <w:lvlText w:val="•"/>
      <w:lvlJc w:val="left"/>
      <w:pPr>
        <w:ind w:left="992" w:hanging="601"/>
      </w:pPr>
      <w:rPr>
        <w:rFonts w:hint="default"/>
        <w:lang w:val="zh-CN" w:eastAsia="zh-CN" w:bidi="zh-CN"/>
      </w:rPr>
    </w:lvl>
    <w:lvl w:ilvl="2">
      <w:start w:val="0"/>
      <w:numFmt w:val="bullet"/>
      <w:lvlText w:val="•"/>
      <w:lvlJc w:val="left"/>
      <w:pPr>
        <w:ind w:left="1845" w:hanging="601"/>
      </w:pPr>
      <w:rPr>
        <w:rFonts w:hint="default"/>
        <w:lang w:val="zh-CN" w:eastAsia="zh-CN" w:bidi="zh-CN"/>
      </w:rPr>
    </w:lvl>
    <w:lvl w:ilvl="3">
      <w:start w:val="0"/>
      <w:numFmt w:val="bullet"/>
      <w:lvlText w:val="•"/>
      <w:lvlJc w:val="left"/>
      <w:pPr>
        <w:ind w:left="2697" w:hanging="601"/>
      </w:pPr>
      <w:rPr>
        <w:rFonts w:hint="default"/>
        <w:lang w:val="zh-CN" w:eastAsia="zh-CN" w:bidi="zh-CN"/>
      </w:rPr>
    </w:lvl>
    <w:lvl w:ilvl="4">
      <w:start w:val="0"/>
      <w:numFmt w:val="bullet"/>
      <w:lvlText w:val="•"/>
      <w:lvlJc w:val="left"/>
      <w:pPr>
        <w:ind w:left="3550" w:hanging="601"/>
      </w:pPr>
      <w:rPr>
        <w:rFonts w:hint="default"/>
        <w:lang w:val="zh-CN" w:eastAsia="zh-CN" w:bidi="zh-CN"/>
      </w:rPr>
    </w:lvl>
    <w:lvl w:ilvl="5">
      <w:start w:val="0"/>
      <w:numFmt w:val="bullet"/>
      <w:lvlText w:val="•"/>
      <w:lvlJc w:val="left"/>
      <w:pPr>
        <w:ind w:left="4403" w:hanging="601"/>
      </w:pPr>
      <w:rPr>
        <w:rFonts w:hint="default"/>
        <w:lang w:val="zh-CN" w:eastAsia="zh-CN" w:bidi="zh-CN"/>
      </w:rPr>
    </w:lvl>
    <w:lvl w:ilvl="6">
      <w:start w:val="0"/>
      <w:numFmt w:val="bullet"/>
      <w:lvlText w:val="•"/>
      <w:lvlJc w:val="left"/>
      <w:pPr>
        <w:ind w:left="5255" w:hanging="601"/>
      </w:pPr>
      <w:rPr>
        <w:rFonts w:hint="default"/>
        <w:lang w:val="zh-CN" w:eastAsia="zh-CN" w:bidi="zh-CN"/>
      </w:rPr>
    </w:lvl>
    <w:lvl w:ilvl="7">
      <w:start w:val="0"/>
      <w:numFmt w:val="bullet"/>
      <w:lvlText w:val="•"/>
      <w:lvlJc w:val="left"/>
      <w:pPr>
        <w:ind w:left="6108" w:hanging="601"/>
      </w:pPr>
      <w:rPr>
        <w:rFonts w:hint="default"/>
        <w:lang w:val="zh-CN" w:eastAsia="zh-CN" w:bidi="zh-CN"/>
      </w:rPr>
    </w:lvl>
    <w:lvl w:ilvl="8">
      <w:start w:val="0"/>
      <w:numFmt w:val="bullet"/>
      <w:lvlText w:val="•"/>
      <w:lvlJc w:val="left"/>
      <w:pPr>
        <w:ind w:left="6961" w:hanging="601"/>
      </w:pPr>
      <w:rPr>
        <w:rFonts w:hint="default"/>
        <w:lang w:val="zh-CN" w:eastAsia="zh-CN" w:bidi="zh-CN"/>
      </w:rPr>
    </w:lvl>
  </w:abstractNum>
  <w:abstractNum w:abstractNumId="26">
    <w:multiLevelType w:val="hybridMultilevel"/>
    <w:lvl w:ilvl="0">
      <w:start w:val="1"/>
      <w:numFmt w:val="decimal"/>
      <w:lvlText w:val="（%1）"/>
      <w:lvlJc w:val="left"/>
      <w:pPr>
        <w:ind w:left="121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25">
    <w:multiLevelType w:val="hybridMultilevel"/>
    <w:lvl w:ilvl="0">
      <w:start w:val="1"/>
      <w:numFmt w:val="decimal"/>
      <w:lvlText w:val="（%1）"/>
      <w:lvlJc w:val="left"/>
      <w:pPr>
        <w:ind w:left="121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24">
    <w:multiLevelType w:val="hybridMultilevel"/>
    <w:lvl w:ilvl="0">
      <w:start w:val="1"/>
      <w:numFmt w:val="decimal"/>
      <w:lvlText w:val="(%1)"/>
      <w:lvlJc w:val="left"/>
      <w:pPr>
        <w:ind w:left="138" w:hanging="281"/>
        <w:jc w:val="left"/>
      </w:pPr>
      <w:rPr>
        <w:rFonts w:hint="default" w:ascii="Times New Roman" w:hAnsi="Times New Roman" w:eastAsia="Times New Roman" w:cs="Times New Roman"/>
        <w:spacing w:val="-2"/>
        <w:w w:val="99"/>
        <w:sz w:val="22"/>
        <w:szCs w:val="22"/>
        <w:lang w:val="zh-CN" w:eastAsia="zh-CN" w:bidi="zh-CN"/>
      </w:rPr>
    </w:lvl>
    <w:lvl w:ilvl="1">
      <w:start w:val="0"/>
      <w:numFmt w:val="bullet"/>
      <w:lvlText w:val="•"/>
      <w:lvlJc w:val="left"/>
      <w:pPr>
        <w:ind w:left="992" w:hanging="281"/>
      </w:pPr>
      <w:rPr>
        <w:rFonts w:hint="default"/>
        <w:lang w:val="zh-CN" w:eastAsia="zh-CN" w:bidi="zh-CN"/>
      </w:rPr>
    </w:lvl>
    <w:lvl w:ilvl="2">
      <w:start w:val="0"/>
      <w:numFmt w:val="bullet"/>
      <w:lvlText w:val="•"/>
      <w:lvlJc w:val="left"/>
      <w:pPr>
        <w:ind w:left="1845" w:hanging="281"/>
      </w:pPr>
      <w:rPr>
        <w:rFonts w:hint="default"/>
        <w:lang w:val="zh-CN" w:eastAsia="zh-CN" w:bidi="zh-CN"/>
      </w:rPr>
    </w:lvl>
    <w:lvl w:ilvl="3">
      <w:start w:val="0"/>
      <w:numFmt w:val="bullet"/>
      <w:lvlText w:val="•"/>
      <w:lvlJc w:val="left"/>
      <w:pPr>
        <w:ind w:left="2697" w:hanging="281"/>
      </w:pPr>
      <w:rPr>
        <w:rFonts w:hint="default"/>
        <w:lang w:val="zh-CN" w:eastAsia="zh-CN" w:bidi="zh-CN"/>
      </w:rPr>
    </w:lvl>
    <w:lvl w:ilvl="4">
      <w:start w:val="0"/>
      <w:numFmt w:val="bullet"/>
      <w:lvlText w:val="•"/>
      <w:lvlJc w:val="left"/>
      <w:pPr>
        <w:ind w:left="3550" w:hanging="281"/>
      </w:pPr>
      <w:rPr>
        <w:rFonts w:hint="default"/>
        <w:lang w:val="zh-CN" w:eastAsia="zh-CN" w:bidi="zh-CN"/>
      </w:rPr>
    </w:lvl>
    <w:lvl w:ilvl="5">
      <w:start w:val="0"/>
      <w:numFmt w:val="bullet"/>
      <w:lvlText w:val="•"/>
      <w:lvlJc w:val="left"/>
      <w:pPr>
        <w:ind w:left="4403" w:hanging="281"/>
      </w:pPr>
      <w:rPr>
        <w:rFonts w:hint="default"/>
        <w:lang w:val="zh-CN" w:eastAsia="zh-CN" w:bidi="zh-CN"/>
      </w:rPr>
    </w:lvl>
    <w:lvl w:ilvl="6">
      <w:start w:val="0"/>
      <w:numFmt w:val="bullet"/>
      <w:lvlText w:val="•"/>
      <w:lvlJc w:val="left"/>
      <w:pPr>
        <w:ind w:left="5255" w:hanging="281"/>
      </w:pPr>
      <w:rPr>
        <w:rFonts w:hint="default"/>
        <w:lang w:val="zh-CN" w:eastAsia="zh-CN" w:bidi="zh-CN"/>
      </w:rPr>
    </w:lvl>
    <w:lvl w:ilvl="7">
      <w:start w:val="0"/>
      <w:numFmt w:val="bullet"/>
      <w:lvlText w:val="•"/>
      <w:lvlJc w:val="left"/>
      <w:pPr>
        <w:ind w:left="6108" w:hanging="281"/>
      </w:pPr>
      <w:rPr>
        <w:rFonts w:hint="default"/>
        <w:lang w:val="zh-CN" w:eastAsia="zh-CN" w:bidi="zh-CN"/>
      </w:rPr>
    </w:lvl>
    <w:lvl w:ilvl="8">
      <w:start w:val="0"/>
      <w:numFmt w:val="bullet"/>
      <w:lvlText w:val="•"/>
      <w:lvlJc w:val="left"/>
      <w:pPr>
        <w:ind w:left="6961" w:hanging="281"/>
      </w:pPr>
      <w:rPr>
        <w:rFonts w:hint="default"/>
        <w:lang w:val="zh-CN" w:eastAsia="zh-CN" w:bidi="zh-CN"/>
      </w:rPr>
    </w:lvl>
  </w:abstractNum>
  <w:abstractNum w:abstractNumId="23">
    <w:multiLevelType w:val="hybridMultilevel"/>
    <w:lvl w:ilvl="0">
      <w:start w:val="2"/>
      <w:numFmt w:val="decimal"/>
      <w:lvlText w:val="（%1）"/>
      <w:lvlJc w:val="left"/>
      <w:pPr>
        <w:ind w:left="138" w:hanging="601"/>
        <w:jc w:val="left"/>
      </w:pPr>
      <w:rPr>
        <w:rFonts w:hint="default" w:ascii="宋体" w:hAnsi="宋体" w:eastAsia="宋体" w:cs="宋体"/>
        <w:spacing w:val="-89"/>
        <w:w w:val="100"/>
        <w:sz w:val="22"/>
        <w:szCs w:val="22"/>
        <w:lang w:val="zh-CN" w:eastAsia="zh-CN" w:bidi="zh-CN"/>
      </w:rPr>
    </w:lvl>
    <w:lvl w:ilvl="1">
      <w:start w:val="0"/>
      <w:numFmt w:val="bullet"/>
      <w:lvlText w:val="•"/>
      <w:lvlJc w:val="left"/>
      <w:pPr>
        <w:ind w:left="992" w:hanging="601"/>
      </w:pPr>
      <w:rPr>
        <w:rFonts w:hint="default"/>
        <w:lang w:val="zh-CN" w:eastAsia="zh-CN" w:bidi="zh-CN"/>
      </w:rPr>
    </w:lvl>
    <w:lvl w:ilvl="2">
      <w:start w:val="0"/>
      <w:numFmt w:val="bullet"/>
      <w:lvlText w:val="•"/>
      <w:lvlJc w:val="left"/>
      <w:pPr>
        <w:ind w:left="1845" w:hanging="601"/>
      </w:pPr>
      <w:rPr>
        <w:rFonts w:hint="default"/>
        <w:lang w:val="zh-CN" w:eastAsia="zh-CN" w:bidi="zh-CN"/>
      </w:rPr>
    </w:lvl>
    <w:lvl w:ilvl="3">
      <w:start w:val="0"/>
      <w:numFmt w:val="bullet"/>
      <w:lvlText w:val="•"/>
      <w:lvlJc w:val="left"/>
      <w:pPr>
        <w:ind w:left="2697" w:hanging="601"/>
      </w:pPr>
      <w:rPr>
        <w:rFonts w:hint="default"/>
        <w:lang w:val="zh-CN" w:eastAsia="zh-CN" w:bidi="zh-CN"/>
      </w:rPr>
    </w:lvl>
    <w:lvl w:ilvl="4">
      <w:start w:val="0"/>
      <w:numFmt w:val="bullet"/>
      <w:lvlText w:val="•"/>
      <w:lvlJc w:val="left"/>
      <w:pPr>
        <w:ind w:left="3550" w:hanging="601"/>
      </w:pPr>
      <w:rPr>
        <w:rFonts w:hint="default"/>
        <w:lang w:val="zh-CN" w:eastAsia="zh-CN" w:bidi="zh-CN"/>
      </w:rPr>
    </w:lvl>
    <w:lvl w:ilvl="5">
      <w:start w:val="0"/>
      <w:numFmt w:val="bullet"/>
      <w:lvlText w:val="•"/>
      <w:lvlJc w:val="left"/>
      <w:pPr>
        <w:ind w:left="4403" w:hanging="601"/>
      </w:pPr>
      <w:rPr>
        <w:rFonts w:hint="default"/>
        <w:lang w:val="zh-CN" w:eastAsia="zh-CN" w:bidi="zh-CN"/>
      </w:rPr>
    </w:lvl>
    <w:lvl w:ilvl="6">
      <w:start w:val="0"/>
      <w:numFmt w:val="bullet"/>
      <w:lvlText w:val="•"/>
      <w:lvlJc w:val="left"/>
      <w:pPr>
        <w:ind w:left="5255" w:hanging="601"/>
      </w:pPr>
      <w:rPr>
        <w:rFonts w:hint="default"/>
        <w:lang w:val="zh-CN" w:eastAsia="zh-CN" w:bidi="zh-CN"/>
      </w:rPr>
    </w:lvl>
    <w:lvl w:ilvl="7">
      <w:start w:val="0"/>
      <w:numFmt w:val="bullet"/>
      <w:lvlText w:val="•"/>
      <w:lvlJc w:val="left"/>
      <w:pPr>
        <w:ind w:left="6108" w:hanging="601"/>
      </w:pPr>
      <w:rPr>
        <w:rFonts w:hint="default"/>
        <w:lang w:val="zh-CN" w:eastAsia="zh-CN" w:bidi="zh-CN"/>
      </w:rPr>
    </w:lvl>
    <w:lvl w:ilvl="8">
      <w:start w:val="0"/>
      <w:numFmt w:val="bullet"/>
      <w:lvlText w:val="•"/>
      <w:lvlJc w:val="left"/>
      <w:pPr>
        <w:ind w:left="6961" w:hanging="601"/>
      </w:pPr>
      <w:rPr>
        <w:rFonts w:hint="default"/>
        <w:lang w:val="zh-CN" w:eastAsia="zh-CN" w:bidi="zh-CN"/>
      </w:rPr>
    </w:lvl>
  </w:abstractNum>
  <w:abstractNum w:abstractNumId="22">
    <w:multiLevelType w:val="hybridMultilevel"/>
    <w:lvl w:ilvl="0">
      <w:start w:val="1"/>
      <w:numFmt w:val="decimal"/>
      <w:lvlText w:val="（%1）"/>
      <w:lvlJc w:val="left"/>
      <w:pPr>
        <w:ind w:left="138"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992" w:hanging="601"/>
      </w:pPr>
      <w:rPr>
        <w:rFonts w:hint="default"/>
        <w:lang w:val="zh-CN" w:eastAsia="zh-CN" w:bidi="zh-CN"/>
      </w:rPr>
    </w:lvl>
    <w:lvl w:ilvl="2">
      <w:start w:val="0"/>
      <w:numFmt w:val="bullet"/>
      <w:lvlText w:val="•"/>
      <w:lvlJc w:val="left"/>
      <w:pPr>
        <w:ind w:left="1845" w:hanging="601"/>
      </w:pPr>
      <w:rPr>
        <w:rFonts w:hint="default"/>
        <w:lang w:val="zh-CN" w:eastAsia="zh-CN" w:bidi="zh-CN"/>
      </w:rPr>
    </w:lvl>
    <w:lvl w:ilvl="3">
      <w:start w:val="0"/>
      <w:numFmt w:val="bullet"/>
      <w:lvlText w:val="•"/>
      <w:lvlJc w:val="left"/>
      <w:pPr>
        <w:ind w:left="2697" w:hanging="601"/>
      </w:pPr>
      <w:rPr>
        <w:rFonts w:hint="default"/>
        <w:lang w:val="zh-CN" w:eastAsia="zh-CN" w:bidi="zh-CN"/>
      </w:rPr>
    </w:lvl>
    <w:lvl w:ilvl="4">
      <w:start w:val="0"/>
      <w:numFmt w:val="bullet"/>
      <w:lvlText w:val="•"/>
      <w:lvlJc w:val="left"/>
      <w:pPr>
        <w:ind w:left="3550" w:hanging="601"/>
      </w:pPr>
      <w:rPr>
        <w:rFonts w:hint="default"/>
        <w:lang w:val="zh-CN" w:eastAsia="zh-CN" w:bidi="zh-CN"/>
      </w:rPr>
    </w:lvl>
    <w:lvl w:ilvl="5">
      <w:start w:val="0"/>
      <w:numFmt w:val="bullet"/>
      <w:lvlText w:val="•"/>
      <w:lvlJc w:val="left"/>
      <w:pPr>
        <w:ind w:left="4403" w:hanging="601"/>
      </w:pPr>
      <w:rPr>
        <w:rFonts w:hint="default"/>
        <w:lang w:val="zh-CN" w:eastAsia="zh-CN" w:bidi="zh-CN"/>
      </w:rPr>
    </w:lvl>
    <w:lvl w:ilvl="6">
      <w:start w:val="0"/>
      <w:numFmt w:val="bullet"/>
      <w:lvlText w:val="•"/>
      <w:lvlJc w:val="left"/>
      <w:pPr>
        <w:ind w:left="5255" w:hanging="601"/>
      </w:pPr>
      <w:rPr>
        <w:rFonts w:hint="default"/>
        <w:lang w:val="zh-CN" w:eastAsia="zh-CN" w:bidi="zh-CN"/>
      </w:rPr>
    </w:lvl>
    <w:lvl w:ilvl="7">
      <w:start w:val="0"/>
      <w:numFmt w:val="bullet"/>
      <w:lvlText w:val="•"/>
      <w:lvlJc w:val="left"/>
      <w:pPr>
        <w:ind w:left="6108" w:hanging="601"/>
      </w:pPr>
      <w:rPr>
        <w:rFonts w:hint="default"/>
        <w:lang w:val="zh-CN" w:eastAsia="zh-CN" w:bidi="zh-CN"/>
      </w:rPr>
    </w:lvl>
    <w:lvl w:ilvl="8">
      <w:start w:val="0"/>
      <w:numFmt w:val="bullet"/>
      <w:lvlText w:val="•"/>
      <w:lvlJc w:val="left"/>
      <w:pPr>
        <w:ind w:left="6961" w:hanging="601"/>
      </w:pPr>
      <w:rPr>
        <w:rFonts w:hint="default"/>
        <w:lang w:val="zh-CN" w:eastAsia="zh-CN" w:bidi="zh-CN"/>
      </w:rPr>
    </w:lvl>
  </w:abstractNum>
  <w:abstractNum w:abstractNumId="21">
    <w:multiLevelType w:val="hybridMultilevel"/>
    <w:lvl w:ilvl="0">
      <w:start w:val="1"/>
      <w:numFmt w:val="decimal"/>
      <w:lvlText w:val="（%1）"/>
      <w:lvlJc w:val="left"/>
      <w:pPr>
        <w:ind w:left="138"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992" w:hanging="601"/>
      </w:pPr>
      <w:rPr>
        <w:rFonts w:hint="default"/>
        <w:lang w:val="zh-CN" w:eastAsia="zh-CN" w:bidi="zh-CN"/>
      </w:rPr>
    </w:lvl>
    <w:lvl w:ilvl="2">
      <w:start w:val="0"/>
      <w:numFmt w:val="bullet"/>
      <w:lvlText w:val="•"/>
      <w:lvlJc w:val="left"/>
      <w:pPr>
        <w:ind w:left="1845" w:hanging="601"/>
      </w:pPr>
      <w:rPr>
        <w:rFonts w:hint="default"/>
        <w:lang w:val="zh-CN" w:eastAsia="zh-CN" w:bidi="zh-CN"/>
      </w:rPr>
    </w:lvl>
    <w:lvl w:ilvl="3">
      <w:start w:val="0"/>
      <w:numFmt w:val="bullet"/>
      <w:lvlText w:val="•"/>
      <w:lvlJc w:val="left"/>
      <w:pPr>
        <w:ind w:left="2697" w:hanging="601"/>
      </w:pPr>
      <w:rPr>
        <w:rFonts w:hint="default"/>
        <w:lang w:val="zh-CN" w:eastAsia="zh-CN" w:bidi="zh-CN"/>
      </w:rPr>
    </w:lvl>
    <w:lvl w:ilvl="4">
      <w:start w:val="0"/>
      <w:numFmt w:val="bullet"/>
      <w:lvlText w:val="•"/>
      <w:lvlJc w:val="left"/>
      <w:pPr>
        <w:ind w:left="3550" w:hanging="601"/>
      </w:pPr>
      <w:rPr>
        <w:rFonts w:hint="default"/>
        <w:lang w:val="zh-CN" w:eastAsia="zh-CN" w:bidi="zh-CN"/>
      </w:rPr>
    </w:lvl>
    <w:lvl w:ilvl="5">
      <w:start w:val="0"/>
      <w:numFmt w:val="bullet"/>
      <w:lvlText w:val="•"/>
      <w:lvlJc w:val="left"/>
      <w:pPr>
        <w:ind w:left="4403" w:hanging="601"/>
      </w:pPr>
      <w:rPr>
        <w:rFonts w:hint="default"/>
        <w:lang w:val="zh-CN" w:eastAsia="zh-CN" w:bidi="zh-CN"/>
      </w:rPr>
    </w:lvl>
    <w:lvl w:ilvl="6">
      <w:start w:val="0"/>
      <w:numFmt w:val="bullet"/>
      <w:lvlText w:val="•"/>
      <w:lvlJc w:val="left"/>
      <w:pPr>
        <w:ind w:left="5255" w:hanging="601"/>
      </w:pPr>
      <w:rPr>
        <w:rFonts w:hint="default"/>
        <w:lang w:val="zh-CN" w:eastAsia="zh-CN" w:bidi="zh-CN"/>
      </w:rPr>
    </w:lvl>
    <w:lvl w:ilvl="7">
      <w:start w:val="0"/>
      <w:numFmt w:val="bullet"/>
      <w:lvlText w:val="•"/>
      <w:lvlJc w:val="left"/>
      <w:pPr>
        <w:ind w:left="6108" w:hanging="601"/>
      </w:pPr>
      <w:rPr>
        <w:rFonts w:hint="default"/>
        <w:lang w:val="zh-CN" w:eastAsia="zh-CN" w:bidi="zh-CN"/>
      </w:rPr>
    </w:lvl>
    <w:lvl w:ilvl="8">
      <w:start w:val="0"/>
      <w:numFmt w:val="bullet"/>
      <w:lvlText w:val="•"/>
      <w:lvlJc w:val="left"/>
      <w:pPr>
        <w:ind w:left="6961" w:hanging="601"/>
      </w:pPr>
      <w:rPr>
        <w:rFonts w:hint="default"/>
        <w:lang w:val="zh-CN" w:eastAsia="zh-CN" w:bidi="zh-CN"/>
      </w:rPr>
    </w:lvl>
  </w:abstractNum>
  <w:abstractNum w:abstractNumId="20">
    <w:multiLevelType w:val="hybridMultilevel"/>
    <w:lvl w:ilvl="0">
      <w:start w:val="1"/>
      <w:numFmt w:val="decimal"/>
      <w:lvlText w:val="（%1）"/>
      <w:lvlJc w:val="left"/>
      <w:pPr>
        <w:ind w:left="138"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992" w:hanging="601"/>
      </w:pPr>
      <w:rPr>
        <w:rFonts w:hint="default"/>
        <w:lang w:val="zh-CN" w:eastAsia="zh-CN" w:bidi="zh-CN"/>
      </w:rPr>
    </w:lvl>
    <w:lvl w:ilvl="2">
      <w:start w:val="0"/>
      <w:numFmt w:val="bullet"/>
      <w:lvlText w:val="•"/>
      <w:lvlJc w:val="left"/>
      <w:pPr>
        <w:ind w:left="1845" w:hanging="601"/>
      </w:pPr>
      <w:rPr>
        <w:rFonts w:hint="default"/>
        <w:lang w:val="zh-CN" w:eastAsia="zh-CN" w:bidi="zh-CN"/>
      </w:rPr>
    </w:lvl>
    <w:lvl w:ilvl="3">
      <w:start w:val="0"/>
      <w:numFmt w:val="bullet"/>
      <w:lvlText w:val="•"/>
      <w:lvlJc w:val="left"/>
      <w:pPr>
        <w:ind w:left="2697" w:hanging="601"/>
      </w:pPr>
      <w:rPr>
        <w:rFonts w:hint="default"/>
        <w:lang w:val="zh-CN" w:eastAsia="zh-CN" w:bidi="zh-CN"/>
      </w:rPr>
    </w:lvl>
    <w:lvl w:ilvl="4">
      <w:start w:val="0"/>
      <w:numFmt w:val="bullet"/>
      <w:lvlText w:val="•"/>
      <w:lvlJc w:val="left"/>
      <w:pPr>
        <w:ind w:left="3550" w:hanging="601"/>
      </w:pPr>
      <w:rPr>
        <w:rFonts w:hint="default"/>
        <w:lang w:val="zh-CN" w:eastAsia="zh-CN" w:bidi="zh-CN"/>
      </w:rPr>
    </w:lvl>
    <w:lvl w:ilvl="5">
      <w:start w:val="0"/>
      <w:numFmt w:val="bullet"/>
      <w:lvlText w:val="•"/>
      <w:lvlJc w:val="left"/>
      <w:pPr>
        <w:ind w:left="4403" w:hanging="601"/>
      </w:pPr>
      <w:rPr>
        <w:rFonts w:hint="default"/>
        <w:lang w:val="zh-CN" w:eastAsia="zh-CN" w:bidi="zh-CN"/>
      </w:rPr>
    </w:lvl>
    <w:lvl w:ilvl="6">
      <w:start w:val="0"/>
      <w:numFmt w:val="bullet"/>
      <w:lvlText w:val="•"/>
      <w:lvlJc w:val="left"/>
      <w:pPr>
        <w:ind w:left="5255" w:hanging="601"/>
      </w:pPr>
      <w:rPr>
        <w:rFonts w:hint="default"/>
        <w:lang w:val="zh-CN" w:eastAsia="zh-CN" w:bidi="zh-CN"/>
      </w:rPr>
    </w:lvl>
    <w:lvl w:ilvl="7">
      <w:start w:val="0"/>
      <w:numFmt w:val="bullet"/>
      <w:lvlText w:val="•"/>
      <w:lvlJc w:val="left"/>
      <w:pPr>
        <w:ind w:left="6108" w:hanging="601"/>
      </w:pPr>
      <w:rPr>
        <w:rFonts w:hint="default"/>
        <w:lang w:val="zh-CN" w:eastAsia="zh-CN" w:bidi="zh-CN"/>
      </w:rPr>
    </w:lvl>
    <w:lvl w:ilvl="8">
      <w:start w:val="0"/>
      <w:numFmt w:val="bullet"/>
      <w:lvlText w:val="•"/>
      <w:lvlJc w:val="left"/>
      <w:pPr>
        <w:ind w:left="6961" w:hanging="601"/>
      </w:pPr>
      <w:rPr>
        <w:rFonts w:hint="default"/>
        <w:lang w:val="zh-CN" w:eastAsia="zh-CN" w:bidi="zh-CN"/>
      </w:rPr>
    </w:lvl>
  </w:abstractNum>
  <w:abstractNum w:abstractNumId="19">
    <w:multiLevelType w:val="hybridMultilevel"/>
    <w:lvl w:ilvl="0">
      <w:start w:val="1"/>
      <w:numFmt w:val="decimal"/>
      <w:lvlText w:val="（%1）"/>
      <w:lvlJc w:val="left"/>
      <w:pPr>
        <w:ind w:left="138" w:hanging="615"/>
        <w:jc w:val="left"/>
      </w:pPr>
      <w:rPr>
        <w:rFonts w:hint="default" w:ascii="宋体" w:hAnsi="宋体" w:eastAsia="宋体" w:cs="宋体"/>
        <w:spacing w:val="0"/>
        <w:w w:val="100"/>
        <w:sz w:val="22"/>
        <w:szCs w:val="22"/>
        <w:lang w:val="zh-CN" w:eastAsia="zh-CN" w:bidi="zh-CN"/>
      </w:rPr>
    </w:lvl>
    <w:lvl w:ilvl="1">
      <w:start w:val="0"/>
      <w:numFmt w:val="bullet"/>
      <w:lvlText w:val="•"/>
      <w:lvlJc w:val="left"/>
      <w:pPr>
        <w:ind w:left="992" w:hanging="615"/>
      </w:pPr>
      <w:rPr>
        <w:rFonts w:hint="default"/>
        <w:lang w:val="zh-CN" w:eastAsia="zh-CN" w:bidi="zh-CN"/>
      </w:rPr>
    </w:lvl>
    <w:lvl w:ilvl="2">
      <w:start w:val="0"/>
      <w:numFmt w:val="bullet"/>
      <w:lvlText w:val="•"/>
      <w:lvlJc w:val="left"/>
      <w:pPr>
        <w:ind w:left="1845" w:hanging="615"/>
      </w:pPr>
      <w:rPr>
        <w:rFonts w:hint="default"/>
        <w:lang w:val="zh-CN" w:eastAsia="zh-CN" w:bidi="zh-CN"/>
      </w:rPr>
    </w:lvl>
    <w:lvl w:ilvl="3">
      <w:start w:val="0"/>
      <w:numFmt w:val="bullet"/>
      <w:lvlText w:val="•"/>
      <w:lvlJc w:val="left"/>
      <w:pPr>
        <w:ind w:left="2697" w:hanging="615"/>
      </w:pPr>
      <w:rPr>
        <w:rFonts w:hint="default"/>
        <w:lang w:val="zh-CN" w:eastAsia="zh-CN" w:bidi="zh-CN"/>
      </w:rPr>
    </w:lvl>
    <w:lvl w:ilvl="4">
      <w:start w:val="0"/>
      <w:numFmt w:val="bullet"/>
      <w:lvlText w:val="•"/>
      <w:lvlJc w:val="left"/>
      <w:pPr>
        <w:ind w:left="3550" w:hanging="615"/>
      </w:pPr>
      <w:rPr>
        <w:rFonts w:hint="default"/>
        <w:lang w:val="zh-CN" w:eastAsia="zh-CN" w:bidi="zh-CN"/>
      </w:rPr>
    </w:lvl>
    <w:lvl w:ilvl="5">
      <w:start w:val="0"/>
      <w:numFmt w:val="bullet"/>
      <w:lvlText w:val="•"/>
      <w:lvlJc w:val="left"/>
      <w:pPr>
        <w:ind w:left="4403" w:hanging="615"/>
      </w:pPr>
      <w:rPr>
        <w:rFonts w:hint="default"/>
        <w:lang w:val="zh-CN" w:eastAsia="zh-CN" w:bidi="zh-CN"/>
      </w:rPr>
    </w:lvl>
    <w:lvl w:ilvl="6">
      <w:start w:val="0"/>
      <w:numFmt w:val="bullet"/>
      <w:lvlText w:val="•"/>
      <w:lvlJc w:val="left"/>
      <w:pPr>
        <w:ind w:left="5255" w:hanging="615"/>
      </w:pPr>
      <w:rPr>
        <w:rFonts w:hint="default"/>
        <w:lang w:val="zh-CN" w:eastAsia="zh-CN" w:bidi="zh-CN"/>
      </w:rPr>
    </w:lvl>
    <w:lvl w:ilvl="7">
      <w:start w:val="0"/>
      <w:numFmt w:val="bullet"/>
      <w:lvlText w:val="•"/>
      <w:lvlJc w:val="left"/>
      <w:pPr>
        <w:ind w:left="6108" w:hanging="615"/>
      </w:pPr>
      <w:rPr>
        <w:rFonts w:hint="default"/>
        <w:lang w:val="zh-CN" w:eastAsia="zh-CN" w:bidi="zh-CN"/>
      </w:rPr>
    </w:lvl>
    <w:lvl w:ilvl="8">
      <w:start w:val="0"/>
      <w:numFmt w:val="bullet"/>
      <w:lvlText w:val="•"/>
      <w:lvlJc w:val="left"/>
      <w:pPr>
        <w:ind w:left="6961" w:hanging="615"/>
      </w:pPr>
      <w:rPr>
        <w:rFonts w:hint="default"/>
        <w:lang w:val="zh-CN" w:eastAsia="zh-CN" w:bidi="zh-CN"/>
      </w:rPr>
    </w:lvl>
  </w:abstractNum>
  <w:abstractNum w:abstractNumId="18">
    <w:multiLevelType w:val="hybridMultilevel"/>
    <w:lvl w:ilvl="0">
      <w:start w:val="1"/>
      <w:numFmt w:val="decimal"/>
      <w:lvlText w:val="（%1）"/>
      <w:lvlJc w:val="left"/>
      <w:pPr>
        <w:ind w:left="138" w:hanging="601"/>
        <w:jc w:val="left"/>
      </w:pPr>
      <w:rPr>
        <w:rFonts w:hint="default" w:ascii="宋体" w:hAnsi="宋体" w:eastAsia="宋体" w:cs="宋体"/>
        <w:spacing w:val="-46"/>
        <w:w w:val="100"/>
        <w:sz w:val="22"/>
        <w:szCs w:val="22"/>
        <w:lang w:val="zh-CN" w:eastAsia="zh-CN" w:bidi="zh-CN"/>
      </w:rPr>
    </w:lvl>
    <w:lvl w:ilvl="1">
      <w:start w:val="0"/>
      <w:numFmt w:val="bullet"/>
      <w:lvlText w:val="•"/>
      <w:lvlJc w:val="left"/>
      <w:pPr>
        <w:ind w:left="992" w:hanging="601"/>
      </w:pPr>
      <w:rPr>
        <w:rFonts w:hint="default"/>
        <w:lang w:val="zh-CN" w:eastAsia="zh-CN" w:bidi="zh-CN"/>
      </w:rPr>
    </w:lvl>
    <w:lvl w:ilvl="2">
      <w:start w:val="0"/>
      <w:numFmt w:val="bullet"/>
      <w:lvlText w:val="•"/>
      <w:lvlJc w:val="left"/>
      <w:pPr>
        <w:ind w:left="1845" w:hanging="601"/>
      </w:pPr>
      <w:rPr>
        <w:rFonts w:hint="default"/>
        <w:lang w:val="zh-CN" w:eastAsia="zh-CN" w:bidi="zh-CN"/>
      </w:rPr>
    </w:lvl>
    <w:lvl w:ilvl="3">
      <w:start w:val="0"/>
      <w:numFmt w:val="bullet"/>
      <w:lvlText w:val="•"/>
      <w:lvlJc w:val="left"/>
      <w:pPr>
        <w:ind w:left="2697" w:hanging="601"/>
      </w:pPr>
      <w:rPr>
        <w:rFonts w:hint="default"/>
        <w:lang w:val="zh-CN" w:eastAsia="zh-CN" w:bidi="zh-CN"/>
      </w:rPr>
    </w:lvl>
    <w:lvl w:ilvl="4">
      <w:start w:val="0"/>
      <w:numFmt w:val="bullet"/>
      <w:lvlText w:val="•"/>
      <w:lvlJc w:val="left"/>
      <w:pPr>
        <w:ind w:left="3550" w:hanging="601"/>
      </w:pPr>
      <w:rPr>
        <w:rFonts w:hint="default"/>
        <w:lang w:val="zh-CN" w:eastAsia="zh-CN" w:bidi="zh-CN"/>
      </w:rPr>
    </w:lvl>
    <w:lvl w:ilvl="5">
      <w:start w:val="0"/>
      <w:numFmt w:val="bullet"/>
      <w:lvlText w:val="•"/>
      <w:lvlJc w:val="left"/>
      <w:pPr>
        <w:ind w:left="4403" w:hanging="601"/>
      </w:pPr>
      <w:rPr>
        <w:rFonts w:hint="default"/>
        <w:lang w:val="zh-CN" w:eastAsia="zh-CN" w:bidi="zh-CN"/>
      </w:rPr>
    </w:lvl>
    <w:lvl w:ilvl="6">
      <w:start w:val="0"/>
      <w:numFmt w:val="bullet"/>
      <w:lvlText w:val="•"/>
      <w:lvlJc w:val="left"/>
      <w:pPr>
        <w:ind w:left="5255" w:hanging="601"/>
      </w:pPr>
      <w:rPr>
        <w:rFonts w:hint="default"/>
        <w:lang w:val="zh-CN" w:eastAsia="zh-CN" w:bidi="zh-CN"/>
      </w:rPr>
    </w:lvl>
    <w:lvl w:ilvl="7">
      <w:start w:val="0"/>
      <w:numFmt w:val="bullet"/>
      <w:lvlText w:val="•"/>
      <w:lvlJc w:val="left"/>
      <w:pPr>
        <w:ind w:left="6108" w:hanging="601"/>
      </w:pPr>
      <w:rPr>
        <w:rFonts w:hint="default"/>
        <w:lang w:val="zh-CN" w:eastAsia="zh-CN" w:bidi="zh-CN"/>
      </w:rPr>
    </w:lvl>
    <w:lvl w:ilvl="8">
      <w:start w:val="0"/>
      <w:numFmt w:val="bullet"/>
      <w:lvlText w:val="•"/>
      <w:lvlJc w:val="left"/>
      <w:pPr>
        <w:ind w:left="6961" w:hanging="601"/>
      </w:pPr>
      <w:rPr>
        <w:rFonts w:hint="default"/>
        <w:lang w:val="zh-CN" w:eastAsia="zh-CN" w:bidi="zh-CN"/>
      </w:rPr>
    </w:lvl>
  </w:abstractNum>
  <w:abstractNum w:abstractNumId="17">
    <w:multiLevelType w:val="hybridMultilevel"/>
    <w:lvl w:ilvl="0">
      <w:start w:val="1"/>
      <w:numFmt w:val="decimal"/>
      <w:lvlText w:val="（%1）"/>
      <w:lvlJc w:val="left"/>
      <w:pPr>
        <w:ind w:left="138"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992" w:hanging="601"/>
      </w:pPr>
      <w:rPr>
        <w:rFonts w:hint="default"/>
        <w:lang w:val="zh-CN" w:eastAsia="zh-CN" w:bidi="zh-CN"/>
      </w:rPr>
    </w:lvl>
    <w:lvl w:ilvl="2">
      <w:start w:val="0"/>
      <w:numFmt w:val="bullet"/>
      <w:lvlText w:val="•"/>
      <w:lvlJc w:val="left"/>
      <w:pPr>
        <w:ind w:left="1845" w:hanging="601"/>
      </w:pPr>
      <w:rPr>
        <w:rFonts w:hint="default"/>
        <w:lang w:val="zh-CN" w:eastAsia="zh-CN" w:bidi="zh-CN"/>
      </w:rPr>
    </w:lvl>
    <w:lvl w:ilvl="3">
      <w:start w:val="0"/>
      <w:numFmt w:val="bullet"/>
      <w:lvlText w:val="•"/>
      <w:lvlJc w:val="left"/>
      <w:pPr>
        <w:ind w:left="2697" w:hanging="601"/>
      </w:pPr>
      <w:rPr>
        <w:rFonts w:hint="default"/>
        <w:lang w:val="zh-CN" w:eastAsia="zh-CN" w:bidi="zh-CN"/>
      </w:rPr>
    </w:lvl>
    <w:lvl w:ilvl="4">
      <w:start w:val="0"/>
      <w:numFmt w:val="bullet"/>
      <w:lvlText w:val="•"/>
      <w:lvlJc w:val="left"/>
      <w:pPr>
        <w:ind w:left="3550" w:hanging="601"/>
      </w:pPr>
      <w:rPr>
        <w:rFonts w:hint="default"/>
        <w:lang w:val="zh-CN" w:eastAsia="zh-CN" w:bidi="zh-CN"/>
      </w:rPr>
    </w:lvl>
    <w:lvl w:ilvl="5">
      <w:start w:val="0"/>
      <w:numFmt w:val="bullet"/>
      <w:lvlText w:val="•"/>
      <w:lvlJc w:val="left"/>
      <w:pPr>
        <w:ind w:left="4403" w:hanging="601"/>
      </w:pPr>
      <w:rPr>
        <w:rFonts w:hint="default"/>
        <w:lang w:val="zh-CN" w:eastAsia="zh-CN" w:bidi="zh-CN"/>
      </w:rPr>
    </w:lvl>
    <w:lvl w:ilvl="6">
      <w:start w:val="0"/>
      <w:numFmt w:val="bullet"/>
      <w:lvlText w:val="•"/>
      <w:lvlJc w:val="left"/>
      <w:pPr>
        <w:ind w:left="5255" w:hanging="601"/>
      </w:pPr>
      <w:rPr>
        <w:rFonts w:hint="default"/>
        <w:lang w:val="zh-CN" w:eastAsia="zh-CN" w:bidi="zh-CN"/>
      </w:rPr>
    </w:lvl>
    <w:lvl w:ilvl="7">
      <w:start w:val="0"/>
      <w:numFmt w:val="bullet"/>
      <w:lvlText w:val="•"/>
      <w:lvlJc w:val="left"/>
      <w:pPr>
        <w:ind w:left="6108" w:hanging="601"/>
      </w:pPr>
      <w:rPr>
        <w:rFonts w:hint="default"/>
        <w:lang w:val="zh-CN" w:eastAsia="zh-CN" w:bidi="zh-CN"/>
      </w:rPr>
    </w:lvl>
    <w:lvl w:ilvl="8">
      <w:start w:val="0"/>
      <w:numFmt w:val="bullet"/>
      <w:lvlText w:val="•"/>
      <w:lvlJc w:val="left"/>
      <w:pPr>
        <w:ind w:left="6961" w:hanging="601"/>
      </w:pPr>
      <w:rPr>
        <w:rFonts w:hint="default"/>
        <w:lang w:val="zh-CN" w:eastAsia="zh-CN" w:bidi="zh-CN"/>
      </w:rPr>
    </w:lvl>
  </w:abstractNum>
  <w:abstractNum w:abstractNumId="16">
    <w:multiLevelType w:val="hybridMultilevel"/>
    <w:lvl w:ilvl="0">
      <w:start w:val="1"/>
      <w:numFmt w:val="decimal"/>
      <w:lvlText w:val="（%1）"/>
      <w:lvlJc w:val="left"/>
      <w:pPr>
        <w:ind w:left="121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15">
    <w:multiLevelType w:val="hybridMultilevel"/>
    <w:lvl w:ilvl="0">
      <w:start w:val="1"/>
      <w:numFmt w:val="decimal"/>
      <w:lvlText w:val="（%1）"/>
      <w:lvlJc w:val="left"/>
      <w:pPr>
        <w:ind w:left="121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14">
    <w:multiLevelType w:val="hybridMultilevel"/>
    <w:lvl w:ilvl="0">
      <w:start w:val="1"/>
      <w:numFmt w:val="decimal"/>
      <w:lvlText w:val="（%1）"/>
      <w:lvlJc w:val="left"/>
      <w:pPr>
        <w:ind w:left="121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13">
    <w:multiLevelType w:val="hybridMultilevel"/>
    <w:lvl w:ilvl="0">
      <w:start w:val="2"/>
      <w:numFmt w:val="decimal"/>
      <w:lvlText w:val="（%1）"/>
      <w:lvlJc w:val="left"/>
      <w:pPr>
        <w:ind w:left="138"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992" w:hanging="601"/>
      </w:pPr>
      <w:rPr>
        <w:rFonts w:hint="default"/>
        <w:lang w:val="zh-CN" w:eastAsia="zh-CN" w:bidi="zh-CN"/>
      </w:rPr>
    </w:lvl>
    <w:lvl w:ilvl="2">
      <w:start w:val="0"/>
      <w:numFmt w:val="bullet"/>
      <w:lvlText w:val="•"/>
      <w:lvlJc w:val="left"/>
      <w:pPr>
        <w:ind w:left="1845" w:hanging="601"/>
      </w:pPr>
      <w:rPr>
        <w:rFonts w:hint="default"/>
        <w:lang w:val="zh-CN" w:eastAsia="zh-CN" w:bidi="zh-CN"/>
      </w:rPr>
    </w:lvl>
    <w:lvl w:ilvl="3">
      <w:start w:val="0"/>
      <w:numFmt w:val="bullet"/>
      <w:lvlText w:val="•"/>
      <w:lvlJc w:val="left"/>
      <w:pPr>
        <w:ind w:left="2697" w:hanging="601"/>
      </w:pPr>
      <w:rPr>
        <w:rFonts w:hint="default"/>
        <w:lang w:val="zh-CN" w:eastAsia="zh-CN" w:bidi="zh-CN"/>
      </w:rPr>
    </w:lvl>
    <w:lvl w:ilvl="4">
      <w:start w:val="0"/>
      <w:numFmt w:val="bullet"/>
      <w:lvlText w:val="•"/>
      <w:lvlJc w:val="left"/>
      <w:pPr>
        <w:ind w:left="3550" w:hanging="601"/>
      </w:pPr>
      <w:rPr>
        <w:rFonts w:hint="default"/>
        <w:lang w:val="zh-CN" w:eastAsia="zh-CN" w:bidi="zh-CN"/>
      </w:rPr>
    </w:lvl>
    <w:lvl w:ilvl="5">
      <w:start w:val="0"/>
      <w:numFmt w:val="bullet"/>
      <w:lvlText w:val="•"/>
      <w:lvlJc w:val="left"/>
      <w:pPr>
        <w:ind w:left="4403" w:hanging="601"/>
      </w:pPr>
      <w:rPr>
        <w:rFonts w:hint="default"/>
        <w:lang w:val="zh-CN" w:eastAsia="zh-CN" w:bidi="zh-CN"/>
      </w:rPr>
    </w:lvl>
    <w:lvl w:ilvl="6">
      <w:start w:val="0"/>
      <w:numFmt w:val="bullet"/>
      <w:lvlText w:val="•"/>
      <w:lvlJc w:val="left"/>
      <w:pPr>
        <w:ind w:left="5255" w:hanging="601"/>
      </w:pPr>
      <w:rPr>
        <w:rFonts w:hint="default"/>
        <w:lang w:val="zh-CN" w:eastAsia="zh-CN" w:bidi="zh-CN"/>
      </w:rPr>
    </w:lvl>
    <w:lvl w:ilvl="7">
      <w:start w:val="0"/>
      <w:numFmt w:val="bullet"/>
      <w:lvlText w:val="•"/>
      <w:lvlJc w:val="left"/>
      <w:pPr>
        <w:ind w:left="6108" w:hanging="601"/>
      </w:pPr>
      <w:rPr>
        <w:rFonts w:hint="default"/>
        <w:lang w:val="zh-CN" w:eastAsia="zh-CN" w:bidi="zh-CN"/>
      </w:rPr>
    </w:lvl>
    <w:lvl w:ilvl="8">
      <w:start w:val="0"/>
      <w:numFmt w:val="bullet"/>
      <w:lvlText w:val="•"/>
      <w:lvlJc w:val="left"/>
      <w:pPr>
        <w:ind w:left="6961" w:hanging="601"/>
      </w:pPr>
      <w:rPr>
        <w:rFonts w:hint="default"/>
        <w:lang w:val="zh-CN" w:eastAsia="zh-CN" w:bidi="zh-CN"/>
      </w:rPr>
    </w:lvl>
  </w:abstractNum>
  <w:abstractNum w:abstractNumId="12">
    <w:multiLevelType w:val="hybridMultilevel"/>
    <w:lvl w:ilvl="0">
      <w:start w:val="1"/>
      <w:numFmt w:val="decimal"/>
      <w:lvlText w:val="（%1）"/>
      <w:lvlJc w:val="left"/>
      <w:pPr>
        <w:ind w:left="138"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992" w:hanging="601"/>
      </w:pPr>
      <w:rPr>
        <w:rFonts w:hint="default"/>
        <w:lang w:val="zh-CN" w:eastAsia="zh-CN" w:bidi="zh-CN"/>
      </w:rPr>
    </w:lvl>
    <w:lvl w:ilvl="2">
      <w:start w:val="0"/>
      <w:numFmt w:val="bullet"/>
      <w:lvlText w:val="•"/>
      <w:lvlJc w:val="left"/>
      <w:pPr>
        <w:ind w:left="1845" w:hanging="601"/>
      </w:pPr>
      <w:rPr>
        <w:rFonts w:hint="default"/>
        <w:lang w:val="zh-CN" w:eastAsia="zh-CN" w:bidi="zh-CN"/>
      </w:rPr>
    </w:lvl>
    <w:lvl w:ilvl="3">
      <w:start w:val="0"/>
      <w:numFmt w:val="bullet"/>
      <w:lvlText w:val="•"/>
      <w:lvlJc w:val="left"/>
      <w:pPr>
        <w:ind w:left="2697" w:hanging="601"/>
      </w:pPr>
      <w:rPr>
        <w:rFonts w:hint="default"/>
        <w:lang w:val="zh-CN" w:eastAsia="zh-CN" w:bidi="zh-CN"/>
      </w:rPr>
    </w:lvl>
    <w:lvl w:ilvl="4">
      <w:start w:val="0"/>
      <w:numFmt w:val="bullet"/>
      <w:lvlText w:val="•"/>
      <w:lvlJc w:val="left"/>
      <w:pPr>
        <w:ind w:left="3550" w:hanging="601"/>
      </w:pPr>
      <w:rPr>
        <w:rFonts w:hint="default"/>
        <w:lang w:val="zh-CN" w:eastAsia="zh-CN" w:bidi="zh-CN"/>
      </w:rPr>
    </w:lvl>
    <w:lvl w:ilvl="5">
      <w:start w:val="0"/>
      <w:numFmt w:val="bullet"/>
      <w:lvlText w:val="•"/>
      <w:lvlJc w:val="left"/>
      <w:pPr>
        <w:ind w:left="4403" w:hanging="601"/>
      </w:pPr>
      <w:rPr>
        <w:rFonts w:hint="default"/>
        <w:lang w:val="zh-CN" w:eastAsia="zh-CN" w:bidi="zh-CN"/>
      </w:rPr>
    </w:lvl>
    <w:lvl w:ilvl="6">
      <w:start w:val="0"/>
      <w:numFmt w:val="bullet"/>
      <w:lvlText w:val="•"/>
      <w:lvlJc w:val="left"/>
      <w:pPr>
        <w:ind w:left="5255" w:hanging="601"/>
      </w:pPr>
      <w:rPr>
        <w:rFonts w:hint="default"/>
        <w:lang w:val="zh-CN" w:eastAsia="zh-CN" w:bidi="zh-CN"/>
      </w:rPr>
    </w:lvl>
    <w:lvl w:ilvl="7">
      <w:start w:val="0"/>
      <w:numFmt w:val="bullet"/>
      <w:lvlText w:val="•"/>
      <w:lvlJc w:val="left"/>
      <w:pPr>
        <w:ind w:left="6108" w:hanging="601"/>
      </w:pPr>
      <w:rPr>
        <w:rFonts w:hint="default"/>
        <w:lang w:val="zh-CN" w:eastAsia="zh-CN" w:bidi="zh-CN"/>
      </w:rPr>
    </w:lvl>
    <w:lvl w:ilvl="8">
      <w:start w:val="0"/>
      <w:numFmt w:val="bullet"/>
      <w:lvlText w:val="•"/>
      <w:lvlJc w:val="left"/>
      <w:pPr>
        <w:ind w:left="6961" w:hanging="601"/>
      </w:pPr>
      <w:rPr>
        <w:rFonts w:hint="default"/>
        <w:lang w:val="zh-CN" w:eastAsia="zh-CN" w:bidi="zh-CN"/>
      </w:rPr>
    </w:lvl>
  </w:abstractNum>
  <w:abstractNum w:abstractNumId="10">
    <w:multiLevelType w:val="hybridMultilevel"/>
    <w:lvl w:ilvl="0">
      <w:start w:val="1"/>
      <w:numFmt w:val="decimal"/>
      <w:lvlText w:val="（%1）"/>
      <w:lvlJc w:val="left"/>
      <w:pPr>
        <w:ind w:left="1219" w:hanging="601"/>
        <w:jc w:val="left"/>
      </w:pPr>
      <w:rPr>
        <w:rFonts w:hint="default" w:ascii="宋体" w:hAnsi="宋体" w:eastAsia="宋体" w:cs="宋体"/>
        <w:spacing w:val="-59"/>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9">
    <w:multiLevelType w:val="hybridMultilevel"/>
    <w:lvl w:ilvl="0">
      <w:start w:val="1"/>
      <w:numFmt w:val="decimal"/>
      <w:lvlText w:val="（%1）"/>
      <w:lvlJc w:val="left"/>
      <w:pPr>
        <w:ind w:left="121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8">
    <w:multiLevelType w:val="hybridMultilevel"/>
    <w:lvl w:ilvl="0">
      <w:start w:val="1"/>
      <w:numFmt w:val="decimal"/>
      <w:lvlText w:val="（%1）"/>
      <w:lvlJc w:val="left"/>
      <w:pPr>
        <w:ind w:left="1219" w:hanging="601"/>
        <w:jc w:val="left"/>
      </w:pPr>
      <w:rPr>
        <w:rFonts w:hint="default" w:ascii="宋体" w:hAnsi="宋体" w:eastAsia="宋体" w:cs="宋体"/>
        <w:spacing w:val="-46"/>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7">
    <w:multiLevelType w:val="hybridMultilevel"/>
    <w:lvl w:ilvl="0">
      <w:start w:val="1"/>
      <w:numFmt w:val="decimal"/>
      <w:lvlText w:val="（%1）"/>
      <w:lvlJc w:val="left"/>
      <w:pPr>
        <w:ind w:left="121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6">
    <w:multiLevelType w:val="hybridMultilevel"/>
    <w:lvl w:ilvl="0">
      <w:start w:val="1"/>
      <w:numFmt w:val="decimal"/>
      <w:lvlText w:val="（%1）"/>
      <w:lvlJc w:val="left"/>
      <w:pPr>
        <w:ind w:left="121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5">
    <w:multiLevelType w:val="hybridMultilevel"/>
    <w:lvl w:ilvl="0">
      <w:start w:val="1"/>
      <w:numFmt w:val="decimal"/>
      <w:lvlText w:val="（%1）"/>
      <w:lvlJc w:val="left"/>
      <w:pPr>
        <w:ind w:left="121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4">
    <w:multiLevelType w:val="hybridMultilevel"/>
    <w:lvl w:ilvl="0">
      <w:start w:val="1"/>
      <w:numFmt w:val="decimal"/>
      <w:lvlText w:val="（%1）"/>
      <w:lvlJc w:val="left"/>
      <w:pPr>
        <w:ind w:left="121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3">
    <w:multiLevelType w:val="hybridMultilevel"/>
    <w:lvl w:ilvl="0">
      <w:start w:val="1"/>
      <w:numFmt w:val="decimal"/>
      <w:lvlText w:val="（%1）"/>
      <w:lvlJc w:val="left"/>
      <w:pPr>
        <w:ind w:left="121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2">
    <w:multiLevelType w:val="hybridMultilevel"/>
    <w:lvl w:ilvl="0">
      <w:start w:val="1"/>
      <w:numFmt w:val="decimal"/>
      <w:lvlText w:val="（%1）"/>
      <w:lvlJc w:val="left"/>
      <w:pPr>
        <w:ind w:left="121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abstractNum w:abstractNumId="1">
    <w:multiLevelType w:val="hybridMultilevel"/>
    <w:lvl w:ilvl="0">
      <w:start w:val="1"/>
      <w:numFmt w:val="decimal"/>
      <w:lvlText w:val="（%1）"/>
      <w:lvlJc w:val="left"/>
      <w:pPr>
        <w:ind w:left="138"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992" w:hanging="601"/>
      </w:pPr>
      <w:rPr>
        <w:rFonts w:hint="default"/>
        <w:lang w:val="zh-CN" w:eastAsia="zh-CN" w:bidi="zh-CN"/>
      </w:rPr>
    </w:lvl>
    <w:lvl w:ilvl="2">
      <w:start w:val="0"/>
      <w:numFmt w:val="bullet"/>
      <w:lvlText w:val="•"/>
      <w:lvlJc w:val="left"/>
      <w:pPr>
        <w:ind w:left="1845" w:hanging="601"/>
      </w:pPr>
      <w:rPr>
        <w:rFonts w:hint="default"/>
        <w:lang w:val="zh-CN" w:eastAsia="zh-CN" w:bidi="zh-CN"/>
      </w:rPr>
    </w:lvl>
    <w:lvl w:ilvl="3">
      <w:start w:val="0"/>
      <w:numFmt w:val="bullet"/>
      <w:lvlText w:val="•"/>
      <w:lvlJc w:val="left"/>
      <w:pPr>
        <w:ind w:left="2697" w:hanging="601"/>
      </w:pPr>
      <w:rPr>
        <w:rFonts w:hint="default"/>
        <w:lang w:val="zh-CN" w:eastAsia="zh-CN" w:bidi="zh-CN"/>
      </w:rPr>
    </w:lvl>
    <w:lvl w:ilvl="4">
      <w:start w:val="0"/>
      <w:numFmt w:val="bullet"/>
      <w:lvlText w:val="•"/>
      <w:lvlJc w:val="left"/>
      <w:pPr>
        <w:ind w:left="3550" w:hanging="601"/>
      </w:pPr>
      <w:rPr>
        <w:rFonts w:hint="default"/>
        <w:lang w:val="zh-CN" w:eastAsia="zh-CN" w:bidi="zh-CN"/>
      </w:rPr>
    </w:lvl>
    <w:lvl w:ilvl="5">
      <w:start w:val="0"/>
      <w:numFmt w:val="bullet"/>
      <w:lvlText w:val="•"/>
      <w:lvlJc w:val="left"/>
      <w:pPr>
        <w:ind w:left="4403" w:hanging="601"/>
      </w:pPr>
      <w:rPr>
        <w:rFonts w:hint="default"/>
        <w:lang w:val="zh-CN" w:eastAsia="zh-CN" w:bidi="zh-CN"/>
      </w:rPr>
    </w:lvl>
    <w:lvl w:ilvl="6">
      <w:start w:val="0"/>
      <w:numFmt w:val="bullet"/>
      <w:lvlText w:val="•"/>
      <w:lvlJc w:val="left"/>
      <w:pPr>
        <w:ind w:left="5255" w:hanging="601"/>
      </w:pPr>
      <w:rPr>
        <w:rFonts w:hint="default"/>
        <w:lang w:val="zh-CN" w:eastAsia="zh-CN" w:bidi="zh-CN"/>
      </w:rPr>
    </w:lvl>
    <w:lvl w:ilvl="7">
      <w:start w:val="0"/>
      <w:numFmt w:val="bullet"/>
      <w:lvlText w:val="•"/>
      <w:lvlJc w:val="left"/>
      <w:pPr>
        <w:ind w:left="6108" w:hanging="601"/>
      </w:pPr>
      <w:rPr>
        <w:rFonts w:hint="default"/>
        <w:lang w:val="zh-CN" w:eastAsia="zh-CN" w:bidi="zh-CN"/>
      </w:rPr>
    </w:lvl>
    <w:lvl w:ilvl="8">
      <w:start w:val="0"/>
      <w:numFmt w:val="bullet"/>
      <w:lvlText w:val="•"/>
      <w:lvlJc w:val="left"/>
      <w:pPr>
        <w:ind w:left="6961" w:hanging="601"/>
      </w:pPr>
      <w:rPr>
        <w:rFonts w:hint="default"/>
        <w:lang w:val="zh-CN" w:eastAsia="zh-CN" w:bidi="zh-CN"/>
      </w:rPr>
    </w:lvl>
  </w:abstractNum>
  <w:abstractNum w:abstractNumId="0">
    <w:multiLevelType w:val="hybridMultilevel"/>
    <w:lvl w:ilvl="0">
      <w:start w:val="1"/>
      <w:numFmt w:val="decimal"/>
      <w:lvlText w:val="（%1）"/>
      <w:lvlJc w:val="left"/>
      <w:pPr>
        <w:ind w:left="1219"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1964" w:hanging="601"/>
      </w:pPr>
      <w:rPr>
        <w:rFonts w:hint="default"/>
        <w:lang w:val="zh-CN" w:eastAsia="zh-CN" w:bidi="zh-CN"/>
      </w:rPr>
    </w:lvl>
    <w:lvl w:ilvl="2">
      <w:start w:val="0"/>
      <w:numFmt w:val="bullet"/>
      <w:lvlText w:val="•"/>
      <w:lvlJc w:val="left"/>
      <w:pPr>
        <w:ind w:left="2709" w:hanging="601"/>
      </w:pPr>
      <w:rPr>
        <w:rFonts w:hint="default"/>
        <w:lang w:val="zh-CN" w:eastAsia="zh-CN" w:bidi="zh-CN"/>
      </w:rPr>
    </w:lvl>
    <w:lvl w:ilvl="3">
      <w:start w:val="0"/>
      <w:numFmt w:val="bullet"/>
      <w:lvlText w:val="•"/>
      <w:lvlJc w:val="left"/>
      <w:pPr>
        <w:ind w:left="3453" w:hanging="601"/>
      </w:pPr>
      <w:rPr>
        <w:rFonts w:hint="default"/>
        <w:lang w:val="zh-CN" w:eastAsia="zh-CN" w:bidi="zh-CN"/>
      </w:rPr>
    </w:lvl>
    <w:lvl w:ilvl="4">
      <w:start w:val="0"/>
      <w:numFmt w:val="bullet"/>
      <w:lvlText w:val="•"/>
      <w:lvlJc w:val="left"/>
      <w:pPr>
        <w:ind w:left="4198" w:hanging="601"/>
      </w:pPr>
      <w:rPr>
        <w:rFonts w:hint="default"/>
        <w:lang w:val="zh-CN" w:eastAsia="zh-CN" w:bidi="zh-CN"/>
      </w:rPr>
    </w:lvl>
    <w:lvl w:ilvl="5">
      <w:start w:val="0"/>
      <w:numFmt w:val="bullet"/>
      <w:lvlText w:val="•"/>
      <w:lvlJc w:val="left"/>
      <w:pPr>
        <w:ind w:left="4943" w:hanging="601"/>
      </w:pPr>
      <w:rPr>
        <w:rFonts w:hint="default"/>
        <w:lang w:val="zh-CN" w:eastAsia="zh-CN" w:bidi="zh-CN"/>
      </w:rPr>
    </w:lvl>
    <w:lvl w:ilvl="6">
      <w:start w:val="0"/>
      <w:numFmt w:val="bullet"/>
      <w:lvlText w:val="•"/>
      <w:lvlJc w:val="left"/>
      <w:pPr>
        <w:ind w:left="5687" w:hanging="601"/>
      </w:pPr>
      <w:rPr>
        <w:rFonts w:hint="default"/>
        <w:lang w:val="zh-CN" w:eastAsia="zh-CN" w:bidi="zh-CN"/>
      </w:rPr>
    </w:lvl>
    <w:lvl w:ilvl="7">
      <w:start w:val="0"/>
      <w:numFmt w:val="bullet"/>
      <w:lvlText w:val="•"/>
      <w:lvlJc w:val="left"/>
      <w:pPr>
        <w:ind w:left="6432" w:hanging="601"/>
      </w:pPr>
      <w:rPr>
        <w:rFonts w:hint="default"/>
        <w:lang w:val="zh-CN" w:eastAsia="zh-CN" w:bidi="zh-CN"/>
      </w:rPr>
    </w:lvl>
    <w:lvl w:ilvl="8">
      <w:start w:val="0"/>
      <w:numFmt w:val="bullet"/>
      <w:lvlText w:val="•"/>
      <w:lvlJc w:val="left"/>
      <w:pPr>
        <w:ind w:left="7177" w:hanging="601"/>
      </w:pPr>
      <w:rPr>
        <w:rFonts w:hint="default"/>
        <w:lang w:val="zh-CN" w:eastAsia="zh-CN" w:bidi="zh-CN"/>
      </w:rPr>
    </w:lvl>
  </w:abstractNum>
  <w:num w:numId="12">
    <w:abstractNumId w:val="11"/>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99"/>
      <w:ind w:left="140"/>
    </w:pPr>
    <w:rPr>
      <w:rFonts w:ascii="宋体" w:hAnsi="宋体" w:eastAsia="宋体" w:cs="宋体"/>
      <w:sz w:val="21"/>
      <w:szCs w:val="21"/>
      <w:lang w:val="zh-CN" w:eastAsia="zh-CN" w:bidi="zh-CN"/>
    </w:rPr>
  </w:style>
  <w:style w:styleId="BodyText" w:type="paragraph">
    <w:name w:val="Body Text"/>
    <w:basedOn w:val="Normal"/>
    <w:uiPriority w:val="1"/>
    <w:qFormat/>
    <w:pPr>
      <w:spacing w:before="1"/>
      <w:ind w:left="138"/>
    </w:pPr>
    <w:rPr>
      <w:rFonts w:ascii="宋体" w:hAnsi="宋体" w:eastAsia="宋体" w:cs="宋体"/>
      <w:sz w:val="24"/>
      <w:szCs w:val="24"/>
      <w:lang w:val="zh-CN" w:eastAsia="zh-CN" w:bidi="zh-CN"/>
    </w:rPr>
  </w:style>
  <w:style w:styleId="Heading1" w:type="paragraph">
    <w:name w:val="Heading 1"/>
    <w:basedOn w:val="Normal"/>
    <w:uiPriority w:val="1"/>
    <w:qFormat/>
    <w:pPr>
      <w:spacing w:before="54"/>
      <w:ind w:right="193"/>
      <w:jc w:val="center"/>
      <w:outlineLvl w:val="1"/>
    </w:pPr>
    <w:rPr>
      <w:rFonts w:ascii="黑体" w:hAnsi="黑体" w:eastAsia="黑体" w:cs="黑体"/>
      <w:sz w:val="32"/>
      <w:szCs w:val="32"/>
      <w:lang w:val="zh-CN" w:eastAsia="zh-CN" w:bidi="zh-CN"/>
    </w:rPr>
  </w:style>
  <w:style w:styleId="Heading2" w:type="paragraph">
    <w:name w:val="Heading 2"/>
    <w:basedOn w:val="Normal"/>
    <w:uiPriority w:val="1"/>
    <w:qFormat/>
    <w:pPr>
      <w:spacing w:before="62"/>
      <w:ind w:right="78"/>
      <w:jc w:val="center"/>
      <w:outlineLvl w:val="2"/>
    </w:pPr>
    <w:rPr>
      <w:rFonts w:ascii="宋体" w:hAnsi="宋体" w:eastAsia="宋体" w:cs="宋体"/>
      <w:sz w:val="28"/>
      <w:szCs w:val="28"/>
      <w:lang w:val="zh-CN" w:eastAsia="zh-CN" w:bidi="zh-CN"/>
    </w:rPr>
  </w:style>
  <w:style w:styleId="Heading3" w:type="paragraph">
    <w:name w:val="Heading 3"/>
    <w:basedOn w:val="Normal"/>
    <w:uiPriority w:val="1"/>
    <w:qFormat/>
    <w:pPr>
      <w:ind w:left="3714"/>
      <w:outlineLvl w:val="3"/>
    </w:pPr>
    <w:rPr>
      <w:rFonts w:ascii="宋体" w:hAnsi="宋体" w:eastAsia="宋体" w:cs="宋体"/>
      <w:sz w:val="26"/>
      <w:szCs w:val="26"/>
      <w:lang w:val="zh-CN" w:eastAsia="zh-CN" w:bidi="zh-CN"/>
    </w:rPr>
  </w:style>
  <w:style w:styleId="ListParagraph" w:type="paragraph">
    <w:name w:val="List Paragraph"/>
    <w:basedOn w:val="Normal"/>
    <w:uiPriority w:val="1"/>
    <w:qFormat/>
    <w:pPr>
      <w:spacing w:before="1"/>
      <w:ind w:left="138"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刘翠碧</dc:creator>
  <dc:title>___证券投资基金招募说明书1</dc:title>
  <dcterms:created xsi:type="dcterms:W3CDTF">2020-11-17T05:58:14Z</dcterms:created>
  <dcterms:modified xsi:type="dcterms:W3CDTF">2020-11-17T05:58:14Z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Office Word 2007</vt:lpwstr>
  </property>
  <property fmtid="{D5CDD505-2E9C-101B-9397-08002B2CF9AE}" pid="4" name="LastSaved">
    <vt:filetime>2020-11-17T00:00:00Z</vt:filetime>
  </property>
</Properties>
</file>