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18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9"/>
        <w:ind w:left="0"/>
        <w:rPr>
          <w:rFonts w:ascii="Times New Roman"/>
          <w:sz w:val="22"/>
        </w:rPr>
      </w:pPr>
    </w:p>
    <w:p>
      <w:pPr>
        <w:spacing w:before="32"/>
        <w:ind w:left="0" w:right="145" w:firstLine="0"/>
        <w:jc w:val="center"/>
        <w:rPr>
          <w:b/>
          <w:sz w:val="48"/>
        </w:rPr>
      </w:pPr>
      <w:r>
        <w:rPr>
          <w:b/>
          <w:sz w:val="48"/>
        </w:rPr>
        <w:t>景顺长城鼎益混合型证券投资基金</w:t>
      </w:r>
    </w:p>
    <w:p>
      <w:pPr>
        <w:spacing w:line="242" w:lineRule="auto" w:before="9"/>
        <w:ind w:left="3398" w:right="3536" w:firstLine="0"/>
        <w:jc w:val="center"/>
        <w:rPr>
          <w:b/>
          <w:sz w:val="48"/>
        </w:rPr>
      </w:pPr>
      <w:r>
        <w:rPr>
          <w:b/>
          <w:sz w:val="48"/>
        </w:rPr>
        <w:t>（</w:t>
      </w:r>
      <w:r>
        <w:rPr>
          <w:rFonts w:ascii="Times New Roman" w:eastAsia="Times New Roman"/>
          <w:b/>
          <w:sz w:val="48"/>
        </w:rPr>
        <w:t>LOF</w:t>
      </w:r>
      <w:r>
        <w:rPr>
          <w:b/>
          <w:sz w:val="48"/>
        </w:rPr>
        <w:t>）基金合同</w:t>
      </w: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spacing w:line="324" w:lineRule="auto" w:before="425"/>
        <w:ind w:left="1117" w:right="1258" w:firstLine="0"/>
        <w:jc w:val="center"/>
        <w:rPr>
          <w:b/>
          <w:sz w:val="36"/>
        </w:rPr>
      </w:pPr>
      <w:r>
        <w:rPr>
          <w:b/>
          <w:sz w:val="36"/>
        </w:rPr>
        <w:t>基金管理人：</w:t>
      </w:r>
      <w:r>
        <w:rPr>
          <w:b/>
          <w:sz w:val="36"/>
          <w:u w:val="single"/>
        </w:rPr>
        <w:t>景顺长城基金管理有限公司</w:t>
      </w:r>
      <w:r>
        <w:rPr>
          <w:b/>
          <w:sz w:val="36"/>
        </w:rPr>
        <w:t>基金托管人：</w:t>
      </w:r>
      <w:r>
        <w:rPr>
          <w:b/>
          <w:sz w:val="36"/>
          <w:u w:val="single"/>
        </w:rPr>
        <w:t>中国银行股份有限公司</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12"/>
        <w:ind w:left="0"/>
        <w:rPr>
          <w:b/>
          <w:sz w:val="15"/>
        </w:rPr>
      </w:pPr>
    </w:p>
    <w:p>
      <w:pPr>
        <w:spacing w:before="58"/>
        <w:ind w:left="0" w:right="139" w:firstLine="0"/>
        <w:jc w:val="center"/>
        <w:rPr>
          <w:b/>
          <w:sz w:val="30"/>
        </w:rPr>
      </w:pPr>
      <w:r>
        <w:rPr>
          <w:b/>
          <w:sz w:val="30"/>
        </w:rPr>
        <w:t>二零二零年十一月</w:t>
      </w:r>
    </w:p>
    <w:p>
      <w:pPr>
        <w:spacing w:after="0"/>
        <w:jc w:val="center"/>
        <w:rPr>
          <w:sz w:val="30"/>
        </w:rPr>
        <w:sectPr>
          <w:type w:val="continuous"/>
          <w:pgSz w:w="11910" w:h="16840"/>
          <w:pgMar w:top="1060" w:bottom="280" w:left="1580" w:right="1440"/>
        </w:sectPr>
      </w:pPr>
    </w:p>
    <w:p>
      <w:pPr>
        <w:pStyle w:val="BodyText"/>
        <w:spacing w:before="6"/>
        <w:ind w:left="0"/>
        <w:rPr>
          <w:b/>
          <w:sz w:val="9"/>
        </w:r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8518" w:val="right" w:leader="dot"/>
            </w:tabs>
            <w:spacing w:before="134"/>
            <w:rPr>
              <w:rFonts w:ascii="Times New Roman" w:eastAsia="Times New Roman"/>
            </w:rPr>
          </w:pPr>
          <w:hyperlink w:history="true" w:anchor="_bookmark0">
            <w:r>
              <w:rPr/>
              <w:t>一、</w:t>
            </w:r>
            <w:r>
              <w:rPr>
                <w:spacing w:val="-3"/>
              </w:rPr>
              <w:t>前</w:t>
            </w:r>
            <w:r>
              <w:rPr/>
              <w:t>言</w:t>
              <w:tab/>
            </w:r>
            <w:r>
              <w:rPr>
                <w:rFonts w:ascii="Times New Roman" w:eastAsia="Times New Roman"/>
              </w:rPr>
              <w:t>1</w:t>
            </w:r>
          </w:hyperlink>
        </w:p>
        <w:p>
          <w:pPr>
            <w:pStyle w:val="TOC1"/>
            <w:tabs>
              <w:tab w:pos="8518" w:val="right" w:leader="dot"/>
            </w:tabs>
            <w:rPr>
              <w:rFonts w:ascii="Times New Roman" w:eastAsia="Times New Roman"/>
            </w:rPr>
          </w:pPr>
          <w:hyperlink w:history="true" w:anchor="_bookmark1">
            <w:r>
              <w:rPr/>
              <w:t>第二</w:t>
            </w:r>
            <w:r>
              <w:rPr>
                <w:spacing w:val="-3"/>
              </w:rPr>
              <w:t>部</w:t>
            </w:r>
            <w:r>
              <w:rPr/>
              <w:t>分</w:t>
            </w:r>
            <w:r>
              <w:rPr>
                <w:spacing w:val="-2"/>
              </w:rPr>
              <w:t> </w:t>
            </w:r>
            <w:r>
              <w:rPr/>
              <w:t>释义</w:t>
              <w:tab/>
            </w:r>
            <w:r>
              <w:rPr>
                <w:rFonts w:ascii="Times New Roman" w:eastAsia="Times New Roman"/>
              </w:rPr>
              <w:t>3</w:t>
            </w:r>
          </w:hyperlink>
        </w:p>
        <w:p>
          <w:pPr>
            <w:pStyle w:val="TOC1"/>
            <w:tabs>
              <w:tab w:pos="8518" w:val="right" w:leader="dot"/>
            </w:tabs>
            <w:rPr>
              <w:rFonts w:ascii="Times New Roman" w:eastAsia="Times New Roman"/>
            </w:rPr>
          </w:pPr>
          <w:hyperlink w:history="true" w:anchor="_bookmark2">
            <w:r>
              <w:rPr/>
              <w:t>三、</w:t>
            </w:r>
            <w:r>
              <w:rPr>
                <w:spacing w:val="-3"/>
              </w:rPr>
              <w:t>基</w:t>
            </w:r>
            <w:r>
              <w:rPr/>
              <w:t>金</w:t>
            </w:r>
            <w:r>
              <w:rPr>
                <w:spacing w:val="-3"/>
              </w:rPr>
              <w:t>的</w:t>
            </w:r>
            <w:r>
              <w:rPr/>
              <w:t>基</w:t>
            </w:r>
            <w:r>
              <w:rPr>
                <w:spacing w:val="-3"/>
              </w:rPr>
              <w:t>本</w:t>
            </w:r>
            <w:r>
              <w:rPr/>
              <w:t>情况</w:t>
              <w:tab/>
            </w:r>
            <w:r>
              <w:rPr>
                <w:rFonts w:ascii="Times New Roman" w:eastAsia="Times New Roman"/>
              </w:rPr>
              <w:t>8</w:t>
            </w:r>
          </w:hyperlink>
        </w:p>
        <w:p>
          <w:pPr>
            <w:pStyle w:val="TOC1"/>
            <w:tabs>
              <w:tab w:pos="8518" w:val="right" w:leader="dot"/>
            </w:tabs>
            <w:spacing w:before="100"/>
            <w:rPr>
              <w:rFonts w:ascii="Times New Roman" w:eastAsia="Times New Roman"/>
            </w:rPr>
          </w:pPr>
          <w:hyperlink w:history="true" w:anchor="_bookmark3">
            <w:r>
              <w:rPr/>
              <w:t>四、</w:t>
            </w:r>
            <w:r>
              <w:rPr>
                <w:spacing w:val="-3"/>
              </w:rPr>
              <w:t>基</w:t>
            </w:r>
            <w:r>
              <w:rPr/>
              <w:t>金</w:t>
            </w:r>
            <w:r>
              <w:rPr>
                <w:spacing w:val="-3"/>
              </w:rPr>
              <w:t>份</w:t>
            </w:r>
            <w:r>
              <w:rPr/>
              <w:t>额</w:t>
            </w:r>
            <w:r>
              <w:rPr>
                <w:spacing w:val="-3"/>
              </w:rPr>
              <w:t>的</w:t>
            </w:r>
            <w:r>
              <w:rPr/>
              <w:t>场</w:t>
            </w:r>
            <w:r>
              <w:rPr>
                <w:spacing w:val="-3"/>
              </w:rPr>
              <w:t>外</w:t>
            </w:r>
            <w:r>
              <w:rPr/>
              <w:t>认购</w:t>
              <w:tab/>
            </w:r>
            <w:r>
              <w:rPr>
                <w:rFonts w:ascii="Times New Roman" w:eastAsia="Times New Roman"/>
              </w:rPr>
              <w:t>9</w:t>
            </w:r>
          </w:hyperlink>
        </w:p>
        <w:p>
          <w:pPr>
            <w:pStyle w:val="TOC1"/>
            <w:tabs>
              <w:tab w:pos="8513" w:val="right" w:leader="dot"/>
            </w:tabs>
            <w:spacing w:before="99"/>
            <w:rPr>
              <w:rFonts w:ascii="Times New Roman" w:eastAsia="Times New Roman"/>
            </w:rPr>
          </w:pPr>
          <w:hyperlink w:history="true" w:anchor="_bookmark4">
            <w:r>
              <w:rPr/>
              <w:t>五、</w:t>
            </w:r>
            <w:r>
              <w:rPr>
                <w:spacing w:val="-3"/>
              </w:rPr>
              <w:t>基</w:t>
            </w:r>
            <w:r>
              <w:rPr/>
              <w:t>金</w:t>
            </w:r>
            <w:r>
              <w:rPr>
                <w:spacing w:val="-3"/>
              </w:rPr>
              <w:t>份</w:t>
            </w:r>
            <w:r>
              <w:rPr/>
              <w:t>额</w:t>
            </w:r>
            <w:r>
              <w:rPr>
                <w:spacing w:val="-3"/>
              </w:rPr>
              <w:t>的</w:t>
            </w:r>
            <w:r>
              <w:rPr/>
              <w:t>场</w:t>
            </w:r>
            <w:r>
              <w:rPr>
                <w:spacing w:val="-3"/>
              </w:rPr>
              <w:t>内</w:t>
            </w:r>
            <w:r>
              <w:rPr/>
              <w:t>认购</w:t>
              <w:tab/>
            </w:r>
            <w:r>
              <w:rPr>
                <w:rFonts w:ascii="Times New Roman" w:eastAsia="Times New Roman"/>
                <w:spacing w:val="-8"/>
              </w:rPr>
              <w:t>11</w:t>
            </w:r>
          </w:hyperlink>
        </w:p>
        <w:p>
          <w:pPr>
            <w:pStyle w:val="TOC1"/>
            <w:tabs>
              <w:tab w:pos="8518" w:val="right" w:leader="dot"/>
            </w:tabs>
            <w:rPr>
              <w:rFonts w:ascii="Times New Roman" w:eastAsia="Times New Roman"/>
            </w:rPr>
          </w:pPr>
          <w:hyperlink w:history="true" w:anchor="_bookmark5">
            <w:r>
              <w:rPr/>
              <w:t>六、</w:t>
            </w:r>
            <w:r>
              <w:rPr>
                <w:spacing w:val="-3"/>
              </w:rPr>
              <w:t>基</w:t>
            </w:r>
            <w:r>
              <w:rPr/>
              <w:t>金</w:t>
            </w:r>
            <w:r>
              <w:rPr>
                <w:spacing w:val="-3"/>
              </w:rPr>
              <w:t>备</w:t>
            </w:r>
            <w:r>
              <w:rPr/>
              <w:t>案</w:t>
              <w:tab/>
            </w:r>
            <w:r>
              <w:rPr>
                <w:rFonts w:ascii="Times New Roman" w:eastAsia="Times New Roman"/>
              </w:rPr>
              <w:t>13</w:t>
            </w:r>
          </w:hyperlink>
        </w:p>
        <w:p>
          <w:pPr>
            <w:pStyle w:val="TOC1"/>
            <w:tabs>
              <w:tab w:pos="8518" w:val="right" w:leader="dot"/>
            </w:tabs>
            <w:rPr>
              <w:rFonts w:ascii="Times New Roman" w:eastAsia="Times New Roman"/>
            </w:rPr>
          </w:pPr>
          <w:hyperlink w:history="true" w:anchor="_bookmark6">
            <w:r>
              <w:rPr/>
              <w:t>七、</w:t>
            </w:r>
            <w:r>
              <w:rPr>
                <w:spacing w:val="-3"/>
              </w:rPr>
              <w:t>基</w:t>
            </w:r>
            <w:r>
              <w:rPr/>
              <w:t>金</w:t>
            </w:r>
            <w:r>
              <w:rPr>
                <w:spacing w:val="-3"/>
              </w:rPr>
              <w:t>份</w:t>
            </w:r>
            <w:r>
              <w:rPr/>
              <w:t>额</w:t>
            </w:r>
            <w:r>
              <w:rPr>
                <w:spacing w:val="-3"/>
              </w:rPr>
              <w:t>的</w:t>
            </w:r>
            <w:r>
              <w:rPr/>
              <w:t>上</w:t>
            </w:r>
            <w:r>
              <w:rPr>
                <w:spacing w:val="-3"/>
              </w:rPr>
              <w:t>市</w:t>
            </w:r>
            <w:r>
              <w:rPr/>
              <w:t>交易</w:t>
              <w:tab/>
            </w:r>
            <w:r>
              <w:rPr>
                <w:rFonts w:ascii="Times New Roman" w:eastAsia="Times New Roman"/>
              </w:rPr>
              <w:t>14</w:t>
            </w:r>
          </w:hyperlink>
        </w:p>
        <w:p>
          <w:pPr>
            <w:pStyle w:val="TOC1"/>
            <w:tabs>
              <w:tab w:pos="8518" w:val="right" w:leader="dot"/>
            </w:tabs>
            <w:rPr>
              <w:rFonts w:ascii="Times New Roman" w:eastAsia="Times New Roman"/>
            </w:rPr>
          </w:pPr>
          <w:hyperlink w:history="true" w:anchor="_bookmark7">
            <w:r>
              <w:rPr/>
              <w:t>八、</w:t>
            </w:r>
            <w:r>
              <w:rPr>
                <w:spacing w:val="-3"/>
              </w:rPr>
              <w:t>基</w:t>
            </w:r>
            <w:r>
              <w:rPr/>
              <w:t>金</w:t>
            </w:r>
            <w:r>
              <w:rPr>
                <w:spacing w:val="-3"/>
              </w:rPr>
              <w:t>的</w:t>
            </w:r>
            <w:r>
              <w:rPr/>
              <w:t>申</w:t>
            </w:r>
            <w:r>
              <w:rPr>
                <w:spacing w:val="-3"/>
              </w:rPr>
              <w:t>购</w:t>
            </w:r>
            <w:r>
              <w:rPr/>
              <w:t>和</w:t>
            </w:r>
            <w:r>
              <w:rPr>
                <w:spacing w:val="-3"/>
              </w:rPr>
              <w:t>赎</w:t>
            </w:r>
            <w:r>
              <w:rPr/>
              <w:t>回</w:t>
              <w:tab/>
            </w:r>
            <w:r>
              <w:rPr>
                <w:rFonts w:ascii="Times New Roman" w:eastAsia="Times New Roman"/>
              </w:rPr>
              <w:t>16</w:t>
            </w:r>
          </w:hyperlink>
        </w:p>
        <w:p>
          <w:pPr>
            <w:pStyle w:val="TOC1"/>
            <w:tabs>
              <w:tab w:pos="8518" w:val="right" w:leader="dot"/>
            </w:tabs>
            <w:spacing w:before="101"/>
            <w:rPr>
              <w:rFonts w:ascii="Times New Roman" w:eastAsia="Times New Roman"/>
            </w:rPr>
          </w:pPr>
          <w:hyperlink w:history="true" w:anchor="_bookmark8">
            <w:r>
              <w:rPr/>
              <w:t>九、</w:t>
            </w:r>
            <w:r>
              <w:rPr>
                <w:spacing w:val="-3"/>
              </w:rPr>
              <w:t>基</w:t>
            </w:r>
            <w:r>
              <w:rPr/>
              <w:t>金</w:t>
            </w:r>
            <w:r>
              <w:rPr>
                <w:spacing w:val="-3"/>
              </w:rPr>
              <w:t>合</w:t>
            </w:r>
            <w:r>
              <w:rPr/>
              <w:t>同</w:t>
            </w:r>
            <w:r>
              <w:rPr>
                <w:spacing w:val="-3"/>
              </w:rPr>
              <w:t>当</w:t>
            </w:r>
            <w:r>
              <w:rPr/>
              <w:t>事</w:t>
            </w:r>
            <w:r>
              <w:rPr>
                <w:spacing w:val="-3"/>
              </w:rPr>
              <w:t>人</w:t>
            </w:r>
            <w:r>
              <w:rPr/>
              <w:t>及</w:t>
            </w:r>
            <w:r>
              <w:rPr>
                <w:spacing w:val="-3"/>
              </w:rPr>
              <w:t>其</w:t>
            </w:r>
            <w:r>
              <w:rPr/>
              <w:t>权利</w:t>
            </w:r>
            <w:r>
              <w:rPr>
                <w:spacing w:val="-3"/>
              </w:rPr>
              <w:t>和</w:t>
            </w:r>
            <w:r>
              <w:rPr/>
              <w:t>义务</w:t>
              <w:tab/>
            </w:r>
            <w:r>
              <w:rPr>
                <w:rFonts w:ascii="Times New Roman" w:eastAsia="Times New Roman"/>
              </w:rPr>
              <w:t>23</w:t>
            </w:r>
          </w:hyperlink>
        </w:p>
        <w:p>
          <w:pPr>
            <w:pStyle w:val="TOC1"/>
            <w:tabs>
              <w:tab w:pos="8518" w:val="right" w:leader="dot"/>
            </w:tabs>
            <w:rPr>
              <w:rFonts w:ascii="Times New Roman" w:eastAsia="Times New Roman"/>
            </w:rPr>
          </w:pPr>
          <w:hyperlink w:history="true" w:anchor="_bookmark9">
            <w:r>
              <w:rPr/>
              <w:t>十、</w:t>
            </w:r>
            <w:r>
              <w:rPr>
                <w:spacing w:val="-3"/>
              </w:rPr>
              <w:t>基</w:t>
            </w:r>
            <w:r>
              <w:rPr/>
              <w:t>金</w:t>
            </w:r>
            <w:r>
              <w:rPr>
                <w:spacing w:val="-3"/>
              </w:rPr>
              <w:t>份</w:t>
            </w:r>
            <w:r>
              <w:rPr/>
              <w:t>额</w:t>
            </w:r>
            <w:r>
              <w:rPr>
                <w:spacing w:val="-3"/>
              </w:rPr>
              <w:t>持</w:t>
            </w:r>
            <w:r>
              <w:rPr/>
              <w:t>有</w:t>
            </w:r>
            <w:r>
              <w:rPr>
                <w:spacing w:val="-3"/>
              </w:rPr>
              <w:t>人</w:t>
            </w:r>
            <w:r>
              <w:rPr/>
              <w:t>大会</w:t>
              <w:tab/>
            </w:r>
            <w:r>
              <w:rPr>
                <w:rFonts w:ascii="Times New Roman" w:eastAsia="Times New Roman"/>
              </w:rPr>
              <w:t>30</w:t>
            </w:r>
          </w:hyperlink>
        </w:p>
        <w:p>
          <w:pPr>
            <w:pStyle w:val="TOC1"/>
            <w:tabs>
              <w:tab w:pos="8518" w:val="right" w:leader="dot"/>
            </w:tabs>
            <w:rPr>
              <w:rFonts w:ascii="Times New Roman" w:eastAsia="Times New Roman"/>
            </w:rPr>
          </w:pPr>
          <w:hyperlink w:history="true" w:anchor="_bookmark10">
            <w:r>
              <w:rPr/>
              <w:t>十一</w:t>
            </w:r>
            <w:r>
              <w:rPr>
                <w:spacing w:val="-3"/>
              </w:rPr>
              <w:t>、</w:t>
            </w:r>
            <w:r>
              <w:rPr/>
              <w:t>基</w:t>
            </w:r>
            <w:r>
              <w:rPr>
                <w:spacing w:val="-3"/>
              </w:rPr>
              <w:t>金</w:t>
            </w:r>
            <w:r>
              <w:rPr/>
              <w:t>管</w:t>
            </w:r>
            <w:r>
              <w:rPr>
                <w:spacing w:val="-3"/>
              </w:rPr>
              <w:t>理</w:t>
            </w:r>
            <w:r>
              <w:rPr/>
              <w:t>人</w:t>
            </w:r>
            <w:r>
              <w:rPr>
                <w:spacing w:val="-3"/>
              </w:rPr>
              <w:t>、</w:t>
            </w:r>
            <w:r>
              <w:rPr/>
              <w:t>基</w:t>
            </w:r>
            <w:r>
              <w:rPr>
                <w:spacing w:val="-3"/>
              </w:rPr>
              <w:t>金</w:t>
            </w:r>
            <w:r>
              <w:rPr/>
              <w:t>托管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37</w:t>
            </w:r>
          </w:hyperlink>
        </w:p>
        <w:p>
          <w:pPr>
            <w:pStyle w:val="TOC1"/>
            <w:tabs>
              <w:tab w:pos="8518" w:val="right" w:leader="dot"/>
            </w:tabs>
            <w:spacing w:before="99"/>
            <w:rPr>
              <w:rFonts w:ascii="Times New Roman" w:eastAsia="Times New Roman"/>
            </w:rPr>
          </w:pPr>
          <w:hyperlink w:history="true" w:anchor="_bookmark11">
            <w:r>
              <w:rPr/>
              <w:t>十二</w:t>
            </w:r>
            <w:r>
              <w:rPr>
                <w:spacing w:val="-3"/>
              </w:rPr>
              <w:t>、</w:t>
            </w:r>
            <w:r>
              <w:rPr/>
              <w:t>基</w:t>
            </w:r>
            <w:r>
              <w:rPr>
                <w:spacing w:val="-3"/>
              </w:rPr>
              <w:t>金</w:t>
            </w:r>
            <w:r>
              <w:rPr/>
              <w:t>份</w:t>
            </w:r>
            <w:r>
              <w:rPr>
                <w:spacing w:val="-3"/>
              </w:rPr>
              <w:t>额</w:t>
            </w:r>
            <w:r>
              <w:rPr/>
              <w:t>的</w:t>
            </w:r>
            <w:r>
              <w:rPr>
                <w:spacing w:val="-3"/>
              </w:rPr>
              <w:t>非</w:t>
            </w:r>
            <w:r>
              <w:rPr/>
              <w:t>交</w:t>
            </w:r>
            <w:r>
              <w:rPr>
                <w:spacing w:val="-3"/>
              </w:rPr>
              <w:t>易</w:t>
            </w:r>
            <w:r>
              <w:rPr/>
              <w:t>过户</w:t>
            </w:r>
            <w:r>
              <w:rPr>
                <w:spacing w:val="-3"/>
              </w:rPr>
              <w:t>及</w:t>
            </w:r>
            <w:r>
              <w:rPr/>
              <w:t>基</w:t>
            </w:r>
            <w:r>
              <w:rPr>
                <w:spacing w:val="-3"/>
              </w:rPr>
              <w:t>金</w:t>
            </w:r>
            <w:r>
              <w:rPr/>
              <w:t>间</w:t>
            </w:r>
            <w:r>
              <w:rPr>
                <w:spacing w:val="-3"/>
              </w:rPr>
              <w:t>的</w:t>
            </w:r>
            <w:r>
              <w:rPr/>
              <w:t>转换</w:t>
              <w:tab/>
            </w:r>
            <w:r>
              <w:rPr>
                <w:rFonts w:ascii="Times New Roman" w:eastAsia="Times New Roman"/>
              </w:rPr>
              <w:t>39</w:t>
            </w:r>
          </w:hyperlink>
        </w:p>
        <w:p>
          <w:pPr>
            <w:pStyle w:val="TOC1"/>
            <w:tabs>
              <w:tab w:pos="8518" w:val="right" w:leader="dot"/>
            </w:tabs>
            <w:rPr>
              <w:rFonts w:ascii="Times New Roman" w:eastAsia="Times New Roman"/>
            </w:rPr>
          </w:pPr>
          <w:hyperlink w:history="true" w:anchor="_bookmark12">
            <w:r>
              <w:rPr/>
              <w:t>十三</w:t>
            </w:r>
            <w:r>
              <w:rPr>
                <w:spacing w:val="-3"/>
              </w:rPr>
              <w:t>、</w:t>
            </w:r>
            <w:r>
              <w:rPr/>
              <w:t>基</w:t>
            </w:r>
            <w:r>
              <w:rPr>
                <w:spacing w:val="-3"/>
              </w:rPr>
              <w:t>金</w:t>
            </w:r>
            <w:r>
              <w:rPr/>
              <w:t>的</w:t>
            </w:r>
            <w:r>
              <w:rPr>
                <w:spacing w:val="-3"/>
              </w:rPr>
              <w:t>托</w:t>
            </w:r>
            <w:r>
              <w:rPr/>
              <w:t>管</w:t>
              <w:tab/>
            </w:r>
            <w:r>
              <w:rPr>
                <w:rFonts w:ascii="Times New Roman" w:eastAsia="Times New Roman"/>
              </w:rPr>
              <w:t>40</w:t>
            </w:r>
          </w:hyperlink>
        </w:p>
        <w:p>
          <w:pPr>
            <w:pStyle w:val="TOC1"/>
            <w:tabs>
              <w:tab w:pos="8518" w:val="right" w:leader="dot"/>
            </w:tabs>
            <w:spacing w:before="100"/>
            <w:rPr>
              <w:rFonts w:ascii="Times New Roman" w:eastAsia="Times New Roman"/>
            </w:rPr>
          </w:pPr>
          <w:hyperlink w:history="true" w:anchor="_bookmark13">
            <w:r>
              <w:rPr/>
              <w:t>十四</w:t>
            </w:r>
            <w:r>
              <w:rPr>
                <w:spacing w:val="-3"/>
              </w:rPr>
              <w:t>、</w:t>
            </w:r>
            <w:r>
              <w:rPr/>
              <w:t>基</w:t>
            </w:r>
            <w:r>
              <w:rPr>
                <w:spacing w:val="-3"/>
              </w:rPr>
              <w:t>金</w:t>
            </w:r>
            <w:r>
              <w:rPr/>
              <w:t>的</w:t>
            </w:r>
            <w:r>
              <w:rPr>
                <w:spacing w:val="-3"/>
              </w:rPr>
              <w:t>销</w:t>
            </w:r>
            <w:r>
              <w:rPr/>
              <w:t>售</w:t>
            </w:r>
            <w:r>
              <w:rPr>
                <w:spacing w:val="-3"/>
              </w:rPr>
              <w:t>及</w:t>
            </w:r>
            <w:r>
              <w:rPr/>
              <w:t>服</w:t>
            </w:r>
            <w:r>
              <w:rPr>
                <w:spacing w:val="-3"/>
              </w:rPr>
              <w:t>务</w:t>
            </w:r>
            <w:r>
              <w:rPr/>
              <w:t>代理</w:t>
              <w:tab/>
            </w:r>
            <w:r>
              <w:rPr>
                <w:rFonts w:ascii="Times New Roman" w:eastAsia="Times New Roman"/>
              </w:rPr>
              <w:t>41</w:t>
            </w:r>
          </w:hyperlink>
        </w:p>
        <w:p>
          <w:pPr>
            <w:pStyle w:val="TOC1"/>
            <w:tabs>
              <w:tab w:pos="8518" w:val="right" w:leader="dot"/>
            </w:tabs>
            <w:rPr>
              <w:rFonts w:ascii="Times New Roman" w:eastAsia="Times New Roman"/>
            </w:rPr>
          </w:pPr>
          <w:hyperlink w:history="true" w:anchor="_bookmark14">
            <w:r>
              <w:rPr/>
              <w:t>十五</w:t>
            </w:r>
            <w:r>
              <w:rPr>
                <w:spacing w:val="-3"/>
              </w:rPr>
              <w:t>、</w:t>
            </w:r>
            <w:r>
              <w:rPr/>
              <w:t>基</w:t>
            </w:r>
            <w:r>
              <w:rPr>
                <w:spacing w:val="-3"/>
              </w:rPr>
              <w:t>金</w:t>
            </w:r>
            <w:r>
              <w:rPr/>
              <w:t>份</w:t>
            </w:r>
            <w:r>
              <w:rPr>
                <w:spacing w:val="-3"/>
              </w:rPr>
              <w:t>额</w:t>
            </w:r>
            <w:r>
              <w:rPr/>
              <w:t>的</w:t>
            </w:r>
            <w:r>
              <w:rPr>
                <w:spacing w:val="-3"/>
              </w:rPr>
              <w:t>登</w:t>
            </w:r>
            <w:r>
              <w:rPr/>
              <w:t>记</w:t>
            </w:r>
            <w:r>
              <w:rPr>
                <w:spacing w:val="-3"/>
              </w:rPr>
              <w:t>、</w:t>
            </w:r>
            <w:r>
              <w:rPr/>
              <w:t>系统</w:t>
            </w:r>
            <w:r>
              <w:rPr>
                <w:spacing w:val="-3"/>
              </w:rPr>
              <w:t>内</w:t>
            </w:r>
            <w:r>
              <w:rPr/>
              <w:t>转</w:t>
            </w:r>
            <w:r>
              <w:rPr>
                <w:spacing w:val="-3"/>
              </w:rPr>
              <w:t>托</w:t>
            </w:r>
            <w:r>
              <w:rPr/>
              <w:t>管</w:t>
            </w:r>
            <w:r>
              <w:rPr>
                <w:spacing w:val="-3"/>
              </w:rPr>
              <w:t>和</w:t>
            </w:r>
            <w:r>
              <w:rPr/>
              <w:t>跨</w:t>
            </w:r>
            <w:r>
              <w:rPr>
                <w:spacing w:val="-3"/>
              </w:rPr>
              <w:t>系</w:t>
            </w:r>
            <w:r>
              <w:rPr/>
              <w:t>统</w:t>
            </w:r>
            <w:r>
              <w:rPr>
                <w:spacing w:val="-3"/>
              </w:rPr>
              <w:t>转</w:t>
            </w:r>
            <w:r>
              <w:rPr/>
              <w:t>登记</w:t>
              <w:tab/>
            </w:r>
            <w:r>
              <w:rPr>
                <w:rFonts w:ascii="Times New Roman" w:eastAsia="Times New Roman"/>
              </w:rPr>
              <w:t>42</w:t>
            </w:r>
          </w:hyperlink>
        </w:p>
        <w:p>
          <w:pPr>
            <w:pStyle w:val="TOC1"/>
            <w:tabs>
              <w:tab w:pos="8518" w:val="right" w:leader="dot"/>
            </w:tabs>
            <w:rPr>
              <w:rFonts w:ascii="Times New Roman" w:eastAsia="Times New Roman"/>
            </w:rPr>
          </w:pPr>
          <w:hyperlink w:history="true" w:anchor="_bookmark15">
            <w:r>
              <w:rPr/>
              <w:t>十六</w:t>
            </w:r>
            <w:r>
              <w:rPr>
                <w:spacing w:val="-3"/>
              </w:rPr>
              <w:t>、</w:t>
            </w:r>
            <w:r>
              <w:rPr/>
              <w:t>基</w:t>
            </w:r>
            <w:r>
              <w:rPr>
                <w:spacing w:val="-3"/>
              </w:rPr>
              <w:t>金</w:t>
            </w:r>
            <w:r>
              <w:rPr/>
              <w:t>的</w:t>
            </w:r>
            <w:r>
              <w:rPr>
                <w:spacing w:val="-3"/>
              </w:rPr>
              <w:t>注</w:t>
            </w:r>
            <w:r>
              <w:rPr/>
              <w:t>册</w:t>
            </w:r>
            <w:r>
              <w:rPr>
                <w:spacing w:val="-3"/>
              </w:rPr>
              <w:t>登</w:t>
            </w:r>
            <w:r>
              <w:rPr/>
              <w:t>记</w:t>
              <w:tab/>
            </w:r>
            <w:r>
              <w:rPr>
                <w:rFonts w:ascii="Times New Roman" w:eastAsia="Times New Roman"/>
              </w:rPr>
              <w:t>43</w:t>
            </w:r>
          </w:hyperlink>
        </w:p>
        <w:p>
          <w:pPr>
            <w:pStyle w:val="TOC1"/>
            <w:tabs>
              <w:tab w:pos="8518" w:val="right" w:leader="dot"/>
            </w:tabs>
            <w:spacing w:before="99"/>
            <w:rPr>
              <w:rFonts w:ascii="Times New Roman" w:eastAsia="Times New Roman"/>
            </w:rPr>
          </w:pPr>
          <w:hyperlink w:history="true" w:anchor="_bookmark16">
            <w:r>
              <w:rPr/>
              <w:t>十七</w:t>
            </w:r>
            <w:r>
              <w:rPr>
                <w:spacing w:val="-3"/>
              </w:rPr>
              <w:t>、</w:t>
            </w:r>
            <w:r>
              <w:rPr/>
              <w:t>基</w:t>
            </w:r>
            <w:r>
              <w:rPr>
                <w:spacing w:val="-3"/>
              </w:rPr>
              <w:t>金</w:t>
            </w:r>
            <w:r>
              <w:rPr/>
              <w:t>的</w:t>
            </w:r>
            <w:r>
              <w:rPr>
                <w:spacing w:val="-3"/>
              </w:rPr>
              <w:t>投</w:t>
            </w:r>
            <w:r>
              <w:rPr/>
              <w:t>资</w:t>
              <w:tab/>
            </w:r>
            <w:r>
              <w:rPr>
                <w:rFonts w:ascii="Times New Roman" w:eastAsia="Times New Roman"/>
              </w:rPr>
              <w:t>44</w:t>
            </w:r>
          </w:hyperlink>
        </w:p>
        <w:p>
          <w:pPr>
            <w:pStyle w:val="TOC1"/>
            <w:tabs>
              <w:tab w:pos="8518" w:val="right" w:leader="dot"/>
            </w:tabs>
            <w:rPr>
              <w:rFonts w:ascii="Times New Roman" w:eastAsia="Times New Roman"/>
            </w:rPr>
          </w:pPr>
          <w:hyperlink w:history="true" w:anchor="_bookmark17">
            <w:r>
              <w:rPr/>
              <w:t>十八</w:t>
            </w:r>
            <w:r>
              <w:rPr>
                <w:spacing w:val="-3"/>
              </w:rPr>
              <w:t>、</w:t>
            </w:r>
            <w:r>
              <w:rPr/>
              <w:t>基</w:t>
            </w:r>
            <w:r>
              <w:rPr>
                <w:spacing w:val="-3"/>
              </w:rPr>
              <w:t>金</w:t>
            </w:r>
            <w:r>
              <w:rPr/>
              <w:t>的</w:t>
            </w:r>
            <w:r>
              <w:rPr>
                <w:spacing w:val="-3"/>
              </w:rPr>
              <w:t>融</w:t>
            </w:r>
            <w:r>
              <w:rPr/>
              <w:t>资</w:t>
              <w:tab/>
            </w:r>
            <w:r>
              <w:rPr>
                <w:rFonts w:ascii="Times New Roman" w:eastAsia="Times New Roman"/>
              </w:rPr>
              <w:t>50</w:t>
            </w:r>
          </w:hyperlink>
        </w:p>
        <w:p>
          <w:pPr>
            <w:pStyle w:val="TOC1"/>
            <w:tabs>
              <w:tab w:pos="8518" w:val="right" w:leader="dot"/>
            </w:tabs>
            <w:rPr>
              <w:rFonts w:ascii="Times New Roman" w:eastAsia="Times New Roman"/>
            </w:rPr>
          </w:pPr>
          <w:hyperlink w:history="true" w:anchor="_bookmark18">
            <w:r>
              <w:rPr/>
              <w:t>十九</w:t>
            </w:r>
            <w:r>
              <w:rPr>
                <w:spacing w:val="-3"/>
              </w:rPr>
              <w:t>、</w:t>
            </w:r>
            <w:r>
              <w:rPr/>
              <w:t>基</w:t>
            </w:r>
            <w:r>
              <w:rPr>
                <w:spacing w:val="-3"/>
              </w:rPr>
              <w:t>金</w:t>
            </w:r>
            <w:r>
              <w:rPr/>
              <w:t>财产</w:t>
              <w:tab/>
            </w:r>
            <w:r>
              <w:rPr>
                <w:rFonts w:ascii="Times New Roman" w:eastAsia="Times New Roman"/>
              </w:rPr>
              <w:t>51</w:t>
            </w:r>
          </w:hyperlink>
        </w:p>
        <w:p>
          <w:pPr>
            <w:pStyle w:val="TOC1"/>
            <w:tabs>
              <w:tab w:pos="8518" w:val="right" w:leader="dot"/>
            </w:tabs>
            <w:spacing w:before="101"/>
            <w:rPr>
              <w:rFonts w:ascii="Times New Roman" w:eastAsia="Times New Roman"/>
            </w:rPr>
          </w:pPr>
          <w:hyperlink w:history="true" w:anchor="_bookmark19">
            <w:r>
              <w:rPr/>
              <w:t>二十</w:t>
            </w:r>
            <w:r>
              <w:rPr>
                <w:spacing w:val="-3"/>
              </w:rPr>
              <w:t>、</w:t>
            </w:r>
            <w:r>
              <w:rPr/>
              <w:t>基</w:t>
            </w:r>
            <w:r>
              <w:rPr>
                <w:spacing w:val="-3"/>
              </w:rPr>
              <w:t>金</w:t>
            </w:r>
            <w:r>
              <w:rPr/>
              <w:t>财</w:t>
            </w:r>
            <w:r>
              <w:rPr>
                <w:spacing w:val="-3"/>
              </w:rPr>
              <w:t>产</w:t>
            </w:r>
            <w:r>
              <w:rPr/>
              <w:t>的</w:t>
            </w:r>
            <w:r>
              <w:rPr>
                <w:spacing w:val="-3"/>
              </w:rPr>
              <w:t>估</w:t>
            </w:r>
            <w:r>
              <w:rPr/>
              <w:t>值</w:t>
              <w:tab/>
            </w:r>
            <w:r>
              <w:rPr>
                <w:rFonts w:ascii="Times New Roman" w:eastAsia="Times New Roman"/>
              </w:rPr>
              <w:t>53</w:t>
            </w:r>
          </w:hyperlink>
        </w:p>
        <w:p>
          <w:pPr>
            <w:pStyle w:val="TOC1"/>
            <w:tabs>
              <w:tab w:pos="8518" w:val="right" w:leader="dot"/>
            </w:tabs>
            <w:rPr>
              <w:rFonts w:ascii="Times New Roman" w:eastAsia="Times New Roman"/>
            </w:rPr>
          </w:pPr>
          <w:hyperlink w:history="true" w:anchor="_bookmark20">
            <w:r>
              <w:rPr/>
              <w:t>二十</w:t>
            </w:r>
            <w:r>
              <w:rPr>
                <w:spacing w:val="-3"/>
              </w:rPr>
              <w:t>一</w:t>
            </w:r>
            <w:r>
              <w:rPr/>
              <w:t>、</w:t>
            </w:r>
            <w:r>
              <w:rPr>
                <w:spacing w:val="-3"/>
              </w:rPr>
              <w:t>基</w:t>
            </w:r>
            <w:r>
              <w:rPr/>
              <w:t>金</w:t>
            </w:r>
            <w:r>
              <w:rPr>
                <w:spacing w:val="-3"/>
              </w:rPr>
              <w:t>费</w:t>
            </w:r>
            <w:r>
              <w:rPr/>
              <w:t>用</w:t>
            </w:r>
            <w:r>
              <w:rPr>
                <w:spacing w:val="-3"/>
              </w:rPr>
              <w:t>与</w:t>
            </w:r>
            <w:r>
              <w:rPr/>
              <w:t>税收</w:t>
              <w:tab/>
            </w:r>
            <w:r>
              <w:rPr>
                <w:rFonts w:ascii="Times New Roman" w:eastAsia="Times New Roman"/>
              </w:rPr>
              <w:t>58</w:t>
            </w:r>
          </w:hyperlink>
        </w:p>
        <w:p>
          <w:pPr>
            <w:pStyle w:val="TOC1"/>
            <w:tabs>
              <w:tab w:pos="8518" w:val="right" w:leader="dot"/>
            </w:tabs>
            <w:rPr>
              <w:rFonts w:ascii="Times New Roman" w:eastAsia="Times New Roman"/>
            </w:rPr>
          </w:pPr>
          <w:hyperlink w:history="true" w:anchor="_bookmark21">
            <w:r>
              <w:rPr/>
              <w:t>二十</w:t>
            </w:r>
            <w:r>
              <w:rPr>
                <w:spacing w:val="-3"/>
              </w:rPr>
              <w:t>二</w:t>
            </w:r>
            <w:r>
              <w:rPr/>
              <w:t>、</w:t>
            </w:r>
            <w:r>
              <w:rPr>
                <w:spacing w:val="-3"/>
              </w:rPr>
              <w:t>基</w:t>
            </w:r>
            <w:r>
              <w:rPr/>
              <w:t>金</w:t>
            </w:r>
            <w:r>
              <w:rPr>
                <w:spacing w:val="-3"/>
              </w:rPr>
              <w:t>的</w:t>
            </w:r>
            <w:r>
              <w:rPr/>
              <w:t>收</w:t>
            </w:r>
            <w:r>
              <w:rPr>
                <w:spacing w:val="-3"/>
              </w:rPr>
              <w:t>益</w:t>
            </w:r>
            <w:r>
              <w:rPr/>
              <w:t>与</w:t>
            </w:r>
            <w:r>
              <w:rPr>
                <w:spacing w:val="-3"/>
              </w:rPr>
              <w:t>分</w:t>
            </w:r>
            <w:r>
              <w:rPr/>
              <w:t>配</w:t>
              <w:tab/>
            </w:r>
            <w:r>
              <w:rPr>
                <w:rFonts w:ascii="Times New Roman" w:eastAsia="Times New Roman"/>
              </w:rPr>
              <w:t>60</w:t>
            </w:r>
          </w:hyperlink>
        </w:p>
        <w:p>
          <w:pPr>
            <w:pStyle w:val="TOC1"/>
            <w:tabs>
              <w:tab w:pos="8518" w:val="right" w:leader="dot"/>
            </w:tabs>
            <w:rPr>
              <w:rFonts w:ascii="Times New Roman" w:eastAsia="Times New Roman"/>
            </w:rPr>
          </w:pPr>
          <w:hyperlink w:history="true" w:anchor="_bookmark22">
            <w:r>
              <w:rPr/>
              <w:t>二十</w:t>
            </w:r>
            <w:r>
              <w:rPr>
                <w:spacing w:val="-3"/>
              </w:rPr>
              <w:t>三</w:t>
            </w:r>
            <w:r>
              <w:rPr/>
              <w:t>、</w:t>
            </w:r>
            <w:r>
              <w:rPr>
                <w:spacing w:val="-3"/>
              </w:rPr>
              <w:t>基</w:t>
            </w:r>
            <w:r>
              <w:rPr/>
              <w:t>金</w:t>
            </w:r>
            <w:r>
              <w:rPr>
                <w:spacing w:val="-3"/>
              </w:rPr>
              <w:t>的</w:t>
            </w:r>
            <w:r>
              <w:rPr/>
              <w:t>会</w:t>
            </w:r>
            <w:r>
              <w:rPr>
                <w:spacing w:val="-3"/>
              </w:rPr>
              <w:t>计</w:t>
            </w:r>
            <w:r>
              <w:rPr/>
              <w:t>与</w:t>
            </w:r>
            <w:r>
              <w:rPr>
                <w:spacing w:val="-3"/>
              </w:rPr>
              <w:t>审</w:t>
            </w:r>
            <w:r>
              <w:rPr/>
              <w:t>计</w:t>
              <w:tab/>
            </w:r>
            <w:r>
              <w:rPr>
                <w:rFonts w:ascii="Times New Roman" w:eastAsia="Times New Roman"/>
              </w:rPr>
              <w:t>62</w:t>
            </w:r>
          </w:hyperlink>
        </w:p>
        <w:p>
          <w:pPr>
            <w:pStyle w:val="TOC1"/>
            <w:tabs>
              <w:tab w:pos="8518" w:val="right" w:leader="dot"/>
            </w:tabs>
            <w:rPr>
              <w:rFonts w:ascii="Times New Roman" w:eastAsia="Times New Roman"/>
            </w:rPr>
          </w:pPr>
          <w:hyperlink w:history="true" w:anchor="_bookmark23">
            <w:r>
              <w:rPr/>
              <w:t>二十</w:t>
            </w:r>
            <w:r>
              <w:rPr>
                <w:spacing w:val="-3"/>
              </w:rPr>
              <w:t>四</w:t>
            </w:r>
            <w:r>
              <w:rPr/>
              <w:t>、</w:t>
            </w:r>
            <w:r>
              <w:rPr>
                <w:spacing w:val="-3"/>
              </w:rPr>
              <w:t>基</w:t>
            </w:r>
            <w:r>
              <w:rPr/>
              <w:t>金</w:t>
            </w:r>
            <w:r>
              <w:rPr>
                <w:spacing w:val="-3"/>
              </w:rPr>
              <w:t>的</w:t>
            </w:r>
            <w:r>
              <w:rPr/>
              <w:t>信</w:t>
            </w:r>
            <w:r>
              <w:rPr>
                <w:spacing w:val="-3"/>
              </w:rPr>
              <w:t>息</w:t>
            </w:r>
            <w:r>
              <w:rPr/>
              <w:t>披露</w:t>
              <w:tab/>
            </w:r>
            <w:r>
              <w:rPr>
                <w:rFonts w:ascii="Times New Roman" w:eastAsia="Times New Roman"/>
              </w:rPr>
              <w:t>63</w:t>
            </w:r>
          </w:hyperlink>
        </w:p>
        <w:p>
          <w:pPr>
            <w:pStyle w:val="TOC1"/>
            <w:tabs>
              <w:tab w:pos="8518" w:val="right" w:leader="dot"/>
            </w:tabs>
            <w:spacing w:before="101"/>
            <w:rPr>
              <w:rFonts w:ascii="Times New Roman" w:eastAsia="Times New Roman"/>
            </w:rPr>
          </w:pPr>
          <w:hyperlink w:history="true" w:anchor="_bookmark24">
            <w:r>
              <w:rPr/>
              <w:t>二十</w:t>
            </w:r>
            <w:r>
              <w:rPr>
                <w:spacing w:val="-3"/>
              </w:rPr>
              <w:t>五</w:t>
            </w:r>
            <w:r>
              <w:rPr/>
              <w:t>、</w:t>
            </w:r>
            <w:r>
              <w:rPr>
                <w:spacing w:val="-3"/>
              </w:rPr>
              <w:t>基</w:t>
            </w:r>
            <w:r>
              <w:rPr/>
              <w:t>金</w:t>
            </w:r>
            <w:r>
              <w:rPr>
                <w:spacing w:val="-3"/>
              </w:rPr>
              <w:t>合</w:t>
            </w:r>
            <w:r>
              <w:rPr/>
              <w:t>同</w:t>
            </w:r>
            <w:r>
              <w:rPr>
                <w:spacing w:val="-3"/>
              </w:rPr>
              <w:t>的</w:t>
            </w:r>
            <w:r>
              <w:rPr/>
              <w:t>变</w:t>
            </w:r>
            <w:r>
              <w:rPr>
                <w:spacing w:val="-3"/>
              </w:rPr>
              <w:t>更</w:t>
            </w:r>
            <w:r>
              <w:rPr/>
              <w:t>、终</w:t>
            </w:r>
            <w:r>
              <w:rPr>
                <w:spacing w:val="-3"/>
              </w:rPr>
              <w:t>止</w:t>
            </w:r>
            <w:r>
              <w:rPr/>
              <w:t>和</w:t>
            </w:r>
            <w:r>
              <w:rPr>
                <w:spacing w:val="-3"/>
              </w:rPr>
              <w:t>基</w:t>
            </w:r>
            <w:r>
              <w:rPr/>
              <w:t>金</w:t>
            </w:r>
            <w:r>
              <w:rPr>
                <w:spacing w:val="-3"/>
              </w:rPr>
              <w:t>财</w:t>
            </w:r>
            <w:r>
              <w:rPr/>
              <w:t>产</w:t>
            </w:r>
            <w:r>
              <w:rPr>
                <w:spacing w:val="-3"/>
              </w:rPr>
              <w:t>的</w:t>
            </w:r>
            <w:r>
              <w:rPr/>
              <w:t>清算</w:t>
              <w:tab/>
            </w:r>
            <w:r>
              <w:rPr>
                <w:rFonts w:ascii="Times New Roman" w:eastAsia="Times New Roman"/>
              </w:rPr>
              <w:t>69</w:t>
            </w:r>
          </w:hyperlink>
        </w:p>
        <w:p>
          <w:pPr>
            <w:pStyle w:val="TOC1"/>
            <w:tabs>
              <w:tab w:pos="8518" w:val="right" w:leader="dot"/>
            </w:tabs>
            <w:spacing w:before="99"/>
            <w:rPr>
              <w:rFonts w:ascii="Times New Roman" w:eastAsia="Times New Roman"/>
            </w:rPr>
          </w:pPr>
          <w:hyperlink w:history="true" w:anchor="_bookmark25">
            <w:r>
              <w:rPr/>
              <w:t>二十</w:t>
            </w:r>
            <w:r>
              <w:rPr>
                <w:spacing w:val="-3"/>
              </w:rPr>
              <w:t>六</w:t>
            </w:r>
            <w:r>
              <w:rPr/>
              <w:t>、</w:t>
            </w:r>
            <w:r>
              <w:rPr>
                <w:spacing w:val="-3"/>
              </w:rPr>
              <w:t>违</w:t>
            </w:r>
            <w:r>
              <w:rPr/>
              <w:t>约</w:t>
            </w:r>
            <w:r>
              <w:rPr>
                <w:spacing w:val="-3"/>
              </w:rPr>
              <w:t>责</w:t>
            </w:r>
            <w:r>
              <w:rPr/>
              <w:t>任</w:t>
              <w:tab/>
            </w:r>
            <w:r>
              <w:rPr>
                <w:rFonts w:ascii="Times New Roman" w:eastAsia="Times New Roman"/>
              </w:rPr>
              <w:t>71</w:t>
            </w:r>
          </w:hyperlink>
        </w:p>
        <w:p>
          <w:pPr>
            <w:pStyle w:val="TOC1"/>
            <w:tabs>
              <w:tab w:pos="8518" w:val="right" w:leader="dot"/>
            </w:tabs>
            <w:rPr>
              <w:rFonts w:ascii="Times New Roman" w:eastAsia="Times New Roman"/>
            </w:rPr>
          </w:pPr>
          <w:hyperlink w:history="true" w:anchor="_bookmark26">
            <w:r>
              <w:rPr/>
              <w:t>二十</w:t>
            </w:r>
            <w:r>
              <w:rPr>
                <w:spacing w:val="-3"/>
              </w:rPr>
              <w:t>七</w:t>
            </w:r>
            <w:r>
              <w:rPr/>
              <w:t>、</w:t>
            </w:r>
            <w:r>
              <w:rPr>
                <w:spacing w:val="-3"/>
              </w:rPr>
              <w:t>争</w:t>
            </w:r>
            <w:r>
              <w:rPr/>
              <w:t>议</w:t>
            </w:r>
            <w:r>
              <w:rPr>
                <w:spacing w:val="-3"/>
              </w:rPr>
              <w:t>的</w:t>
            </w:r>
            <w:r>
              <w:rPr/>
              <w:t>处理</w:t>
              <w:tab/>
            </w:r>
            <w:r>
              <w:rPr>
                <w:rFonts w:ascii="Times New Roman" w:eastAsia="Times New Roman"/>
              </w:rPr>
              <w:t>72</w:t>
            </w:r>
          </w:hyperlink>
        </w:p>
        <w:p>
          <w:pPr>
            <w:pStyle w:val="TOC1"/>
            <w:tabs>
              <w:tab w:pos="8518" w:val="right" w:leader="dot"/>
            </w:tabs>
            <w:rPr>
              <w:rFonts w:ascii="Times New Roman" w:eastAsia="Times New Roman"/>
            </w:rPr>
          </w:pPr>
          <w:hyperlink w:history="true" w:anchor="_bookmark27">
            <w:r>
              <w:rPr/>
              <w:t>二十</w:t>
            </w:r>
            <w:r>
              <w:rPr>
                <w:spacing w:val="-3"/>
              </w:rPr>
              <w:t>八</w:t>
            </w:r>
            <w:r>
              <w:rPr/>
              <w:t>、</w:t>
            </w:r>
            <w:r>
              <w:rPr>
                <w:spacing w:val="-3"/>
              </w:rPr>
              <w:t>基</w:t>
            </w:r>
            <w:r>
              <w:rPr/>
              <w:t>金</w:t>
            </w:r>
            <w:r>
              <w:rPr>
                <w:spacing w:val="-3"/>
              </w:rPr>
              <w:t>合</w:t>
            </w:r>
            <w:r>
              <w:rPr/>
              <w:t>同</w:t>
            </w:r>
            <w:r>
              <w:rPr>
                <w:spacing w:val="-3"/>
              </w:rPr>
              <w:t>的</w:t>
            </w:r>
            <w:r>
              <w:rPr/>
              <w:t>效力</w:t>
              <w:tab/>
            </w:r>
            <w:r>
              <w:rPr>
                <w:rFonts w:ascii="Times New Roman" w:eastAsia="Times New Roman"/>
              </w:rPr>
              <w:t>73</w:t>
            </w:r>
          </w:hyperlink>
        </w:p>
        <w:p>
          <w:pPr>
            <w:pStyle w:val="TOC1"/>
            <w:tabs>
              <w:tab w:pos="8518" w:val="right" w:leader="dot"/>
            </w:tabs>
            <w:rPr>
              <w:rFonts w:ascii="Times New Roman" w:eastAsia="Times New Roman"/>
            </w:rPr>
          </w:pPr>
          <w:hyperlink w:history="true" w:anchor="_bookmark28">
            <w:r>
              <w:rPr/>
              <w:t>二十</w:t>
            </w:r>
            <w:r>
              <w:rPr>
                <w:spacing w:val="-3"/>
              </w:rPr>
              <w:t>九</w:t>
            </w:r>
            <w:r>
              <w:rPr/>
              <w:t>、</w:t>
            </w:r>
            <w:r>
              <w:rPr>
                <w:spacing w:val="-3"/>
              </w:rPr>
              <w:t>其</w:t>
            </w:r>
            <w:r>
              <w:rPr/>
              <w:t>他</w:t>
            </w:r>
            <w:r>
              <w:rPr>
                <w:spacing w:val="-3"/>
              </w:rPr>
              <w:t>事</w:t>
            </w:r>
            <w:r>
              <w:rPr/>
              <w:t>项</w:t>
              <w:tab/>
            </w:r>
            <w:r>
              <w:rPr>
                <w:rFonts w:ascii="Times New Roman" w:eastAsia="Times New Roman"/>
              </w:rPr>
              <w:t>74</w:t>
            </w:r>
          </w:hyperlink>
        </w:p>
      </w:sdtContent>
    </w:sdt>
    <w:p>
      <w:pPr>
        <w:spacing w:after="0"/>
        <w:rPr>
          <w:rFonts w:ascii="Times New Roman" w:eastAsia="Times New Roman"/>
        </w:rPr>
        <w:sectPr>
          <w:headerReference w:type="default" r:id="rId5"/>
          <w:footerReference w:type="default" r:id="rId6"/>
          <w:pgSz w:w="11910" w:h="16840"/>
          <w:pgMar w:header="874" w:footer="997" w:top="1380" w:bottom="1180" w:left="1580" w:right="1440"/>
        </w:sectPr>
      </w:pPr>
    </w:p>
    <w:p>
      <w:pPr>
        <w:pStyle w:val="Heading1"/>
        <w:spacing w:before="168"/>
        <w:ind w:right="136"/>
      </w:pPr>
      <w:bookmarkStart w:name="_bookmark0" w:id="1"/>
      <w:bookmarkEnd w:id="1"/>
      <w:r>
        <w:rPr>
          <w:b w:val="0"/>
        </w:rPr>
      </w:r>
      <w:r>
        <w:rPr/>
        <w:t>一、前言</w:t>
      </w:r>
    </w:p>
    <w:p>
      <w:pPr>
        <w:pStyle w:val="BodyText"/>
        <w:spacing w:before="1"/>
        <w:ind w:left="0"/>
        <w:rPr>
          <w:b/>
          <w:sz w:val="40"/>
        </w:rPr>
      </w:pPr>
    </w:p>
    <w:p>
      <w:pPr>
        <w:pStyle w:val="BodyText"/>
        <w:spacing w:before="0"/>
        <w:ind w:left="749" w:right="410"/>
        <w:jc w:val="center"/>
      </w:pPr>
      <w:r>
        <w:rPr/>
        <w:t>重要提示</w:t>
      </w:r>
    </w:p>
    <w:p>
      <w:pPr>
        <w:pStyle w:val="BodyText"/>
        <w:spacing w:before="0"/>
        <w:ind w:left="0"/>
      </w:pPr>
    </w:p>
    <w:p>
      <w:pPr>
        <w:pStyle w:val="BodyText"/>
        <w:spacing w:before="0"/>
        <w:ind w:left="0"/>
        <w:rPr>
          <w:sz w:val="25"/>
        </w:rPr>
      </w:pPr>
    </w:p>
    <w:p>
      <w:pPr>
        <w:pStyle w:val="BodyText"/>
        <w:spacing w:line="364" w:lineRule="auto" w:before="1"/>
        <w:ind w:right="356" w:firstLine="479"/>
        <w:jc w:val="both"/>
      </w:pPr>
      <w:r>
        <w:rPr>
          <w:spacing w:val="-2"/>
        </w:rPr>
        <w:t>中国证监会对景顺长城鼎益股票型证券投资基金</w:t>
      </w:r>
      <w:r>
        <w:rPr>
          <w:spacing w:val="-6"/>
        </w:rPr>
        <w:t>（</w:t>
      </w:r>
      <w:r>
        <w:rPr>
          <w:rFonts w:ascii="Times New Roman" w:eastAsia="Times New Roman"/>
          <w:spacing w:val="-6"/>
        </w:rPr>
        <w:t>LOF</w:t>
      </w:r>
      <w:r>
        <w:rPr>
          <w:spacing w:val="-6"/>
        </w:rPr>
        <w:t>）</w:t>
      </w:r>
      <w:r>
        <w:rPr>
          <w:spacing w:val="-5"/>
        </w:rPr>
        <w:t>募集的核准，并不</w:t>
      </w:r>
      <w:r>
        <w:rPr>
          <w:spacing w:val="-6"/>
        </w:rPr>
        <w:t>表明其对基金的价值和收益做出实质性判断或保证，也不表明投资于本基金没有</w:t>
      </w:r>
      <w:r>
        <w:rPr/>
        <w:t>风险。</w:t>
      </w:r>
    </w:p>
    <w:p>
      <w:pPr>
        <w:pStyle w:val="BodyText"/>
        <w:spacing w:line="364" w:lineRule="auto" w:before="2"/>
        <w:ind w:right="23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1"/>
        <w:ind w:right="356" w:firstLine="479"/>
      </w:pPr>
      <w:r>
        <w:rPr/>
        <w:t>（一</w:t>
      </w:r>
      <w:r>
        <w:rPr>
          <w:spacing w:val="-63"/>
        </w:rPr>
        <w:t>）</w:t>
      </w:r>
      <w:r>
        <w:rPr>
          <w:spacing w:val="-12"/>
        </w:rPr>
        <w:t>订立《景顺长城鼎益混合型证券投资基金</w:t>
      </w:r>
      <w:r>
        <w:rPr>
          <w:spacing w:val="-13"/>
        </w:rPr>
        <w:t>（</w:t>
      </w:r>
      <w:r>
        <w:rPr>
          <w:rFonts w:ascii="Times New Roman" w:eastAsia="Times New Roman"/>
          <w:spacing w:val="-13"/>
        </w:rPr>
        <w:t>LOF</w:t>
      </w:r>
      <w:r>
        <w:rPr>
          <w:spacing w:val="-13"/>
        </w:rPr>
        <w:t>）</w:t>
      </w:r>
      <w:r>
        <w:rPr>
          <w:spacing w:val="-10"/>
        </w:rPr>
        <w:t>基金合同》的目的、</w:t>
      </w:r>
      <w:r>
        <w:rPr/>
        <w:t>依据和原则</w:t>
      </w:r>
    </w:p>
    <w:p>
      <w:pPr>
        <w:pStyle w:val="BodyText"/>
        <w:spacing w:line="364" w:lineRule="auto" w:before="1"/>
        <w:ind w:right="356" w:firstLine="479"/>
        <w:jc w:val="both"/>
      </w:pPr>
      <w:r>
        <w:rPr>
          <w:rFonts w:ascii="Times New Roman" w:hAnsi="Times New Roman" w:eastAsia="Times New Roman"/>
        </w:rPr>
        <w:t>1</w:t>
      </w:r>
      <w:r>
        <w:rPr>
          <w:spacing w:val="-7"/>
        </w:rPr>
        <w:t>、订立《景顺长城鼎益混合型证券投资基金</w:t>
      </w:r>
      <w:r>
        <w:rPr>
          <w:spacing w:val="-3"/>
        </w:rPr>
        <w:t>（</w:t>
      </w:r>
      <w:r>
        <w:rPr>
          <w:rFonts w:ascii="Times New Roman" w:hAnsi="Times New Roman" w:eastAsia="Times New Roman"/>
          <w:spacing w:val="-3"/>
        </w:rPr>
        <w:t>LOF</w:t>
      </w:r>
      <w:r>
        <w:rPr>
          <w:spacing w:val="-3"/>
        </w:rPr>
        <w:t>）</w:t>
      </w:r>
      <w:r>
        <w:rPr>
          <w:spacing w:val="-27"/>
        </w:rPr>
        <w:t>基金合同》</w:t>
      </w:r>
      <w:r>
        <w:rPr/>
        <w:t>（</w:t>
      </w:r>
      <w:r>
        <w:rPr>
          <w:spacing w:val="-3"/>
        </w:rPr>
        <w:t>以下简称</w:t>
      </w:r>
      <w:r>
        <w:rPr>
          <w:rFonts w:ascii="Times New Roman" w:hAnsi="Times New Roman" w:eastAsia="Times New Roman"/>
        </w:rPr>
        <w:t>“</w:t>
      </w:r>
      <w:r>
        <w:rPr/>
        <w:t>基金合同</w:t>
      </w:r>
      <w:r>
        <w:rPr>
          <w:rFonts w:ascii="Times New Roman" w:hAnsi="Times New Roman" w:eastAsia="Times New Roman"/>
        </w:rPr>
        <w:t>”</w:t>
      </w:r>
      <w:r>
        <w:rPr/>
        <w:t>或</w:t>
      </w:r>
      <w:r>
        <w:rPr>
          <w:rFonts w:ascii="Times New Roman" w:hAnsi="Times New Roman" w:eastAsia="Times New Roman"/>
        </w:rPr>
        <w:t>“</w:t>
      </w:r>
      <w:r>
        <w:rPr/>
        <w:t>本基金合同</w:t>
      </w:r>
      <w:r>
        <w:rPr>
          <w:rFonts w:ascii="Times New Roman" w:hAnsi="Times New Roman" w:eastAsia="Times New Roman"/>
          <w:spacing w:val="-11"/>
        </w:rPr>
        <w:t>”</w:t>
      </w:r>
      <w:r>
        <w:rPr>
          <w:spacing w:val="-11"/>
        </w:rPr>
        <w:t>）</w:t>
      </w:r>
      <w:r>
        <w:rPr>
          <w:spacing w:val="-3"/>
        </w:rPr>
        <w:t>的目的是保护基金投资者合法权益、明确本基金合</w:t>
      </w:r>
      <w:r>
        <w:rPr/>
        <w:t>同当事人的权利与义务、规范景顺长城鼎益混合型证券投资基金</w:t>
      </w:r>
      <w:r>
        <w:rPr>
          <w:spacing w:val="3"/>
        </w:rPr>
        <w:t>（</w:t>
      </w:r>
      <w:r>
        <w:rPr>
          <w:rFonts w:ascii="Times New Roman" w:hAnsi="Times New Roman" w:eastAsia="Times New Roman"/>
          <w:spacing w:val="-3"/>
        </w:rPr>
        <w:t>L</w:t>
      </w:r>
      <w:r>
        <w:rPr>
          <w:rFonts w:ascii="Times New Roman" w:hAnsi="Times New Roman" w:eastAsia="Times New Roman"/>
          <w:w w:val="99"/>
        </w:rPr>
        <w:t>O</w:t>
      </w:r>
      <w:r>
        <w:rPr>
          <w:rFonts w:ascii="Times New Roman" w:hAnsi="Times New Roman" w:eastAsia="Times New Roman"/>
          <w:spacing w:val="-2"/>
          <w:w w:val="99"/>
        </w:rPr>
        <w:t>F</w:t>
      </w:r>
      <w:r>
        <w:rPr>
          <w:spacing w:val="-120"/>
        </w:rPr>
        <w:t>）</w:t>
      </w:r>
      <w:r>
        <w:rPr/>
        <w:t>（以下简称</w:t>
      </w:r>
      <w:r>
        <w:rPr>
          <w:rFonts w:ascii="Times New Roman" w:hAnsi="Times New Roman" w:eastAsia="Times New Roman"/>
        </w:rPr>
        <w:t>“</w:t>
      </w:r>
      <w:r>
        <w:rPr/>
        <w:t>本基金</w:t>
      </w:r>
      <w:r>
        <w:rPr>
          <w:rFonts w:ascii="Times New Roman" w:hAnsi="Times New Roman" w:eastAsia="Times New Roman"/>
        </w:rPr>
        <w:t>”</w:t>
      </w:r>
      <w:r>
        <w:rPr/>
        <w:t>）的运作。</w:t>
      </w:r>
    </w:p>
    <w:p>
      <w:pPr>
        <w:pStyle w:val="BodyText"/>
        <w:spacing w:line="364" w:lineRule="auto" w:before="3"/>
        <w:ind w:right="385" w:firstLine="479"/>
        <w:jc w:val="both"/>
      </w:pPr>
      <w:r>
        <w:rPr>
          <w:rFonts w:ascii="Times New Roman" w:eastAsia="Times New Roman"/>
        </w:rPr>
        <w:t>2</w:t>
      </w:r>
      <w:r>
        <w:rPr>
          <w:spacing w:val="-11"/>
        </w:rPr>
        <w:t>、订立本基金合同的依据是《中华人民共和国民法通则》、《中华人民共和</w:t>
      </w:r>
      <w:r>
        <w:rPr>
          <w:spacing w:val="-22"/>
        </w:rPr>
        <w:t>国合同法》、《中华人民共和国信托法》、</w:t>
      </w:r>
      <w:r>
        <w:rPr>
          <w:rFonts w:ascii="Times New Roman" w:eastAsia="Times New Roman"/>
        </w:rPr>
        <w:t>2003 </w:t>
      </w:r>
      <w:r>
        <w:rPr/>
        <w:t>年 </w:t>
      </w:r>
      <w:r>
        <w:rPr>
          <w:rFonts w:ascii="Times New Roman" w:eastAsia="Times New Roman"/>
        </w:rPr>
        <w:t>10 </w:t>
      </w:r>
      <w:r>
        <w:rPr/>
        <w:t>月 </w:t>
      </w:r>
      <w:r>
        <w:rPr>
          <w:rFonts w:ascii="Times New Roman" w:eastAsia="Times New Roman"/>
        </w:rPr>
        <w:t>28 </w:t>
      </w:r>
      <w:r>
        <w:rPr/>
        <w:t>日第十届全国人民代</w:t>
      </w:r>
    </w:p>
    <w:p>
      <w:pPr>
        <w:pStyle w:val="BodyText"/>
        <w:spacing w:before="1"/>
        <w:jc w:val="both"/>
      </w:pPr>
      <w:r>
        <w:rPr/>
        <w:t>表大会常务委员会第五次会议通过并于 </w:t>
      </w:r>
      <w:r>
        <w:rPr>
          <w:rFonts w:ascii="Times New Roman" w:eastAsia="Times New Roman"/>
        </w:rPr>
        <w:t>2004 </w:t>
      </w:r>
      <w:r>
        <w:rPr/>
        <w:t>年 </w:t>
      </w:r>
      <w:r>
        <w:rPr>
          <w:rFonts w:ascii="Times New Roman" w:eastAsia="Times New Roman"/>
        </w:rPr>
        <w:t>6 </w:t>
      </w:r>
      <w:r>
        <w:rPr/>
        <w:t>月 </w:t>
      </w:r>
      <w:r>
        <w:rPr>
          <w:rFonts w:ascii="Times New Roman" w:eastAsia="Times New Roman"/>
        </w:rPr>
        <w:t>1 </w:t>
      </w:r>
      <w:r>
        <w:rPr/>
        <w:t>日起施行的《中华人民</w:t>
      </w:r>
    </w:p>
    <w:p>
      <w:pPr>
        <w:pStyle w:val="BodyText"/>
        <w:jc w:val="both"/>
      </w:pPr>
      <w:r>
        <w:rPr>
          <w:spacing w:val="-6"/>
        </w:rPr>
        <w:t>共和国证券投资基金法》以下简称《基金法》</w:t>
      </w:r>
      <w:r>
        <w:rPr>
          <w:spacing w:val="-120"/>
        </w:rPr>
        <w:t>）</w:t>
      </w:r>
      <w:r>
        <w:rPr/>
        <w:t>、</w:t>
      </w:r>
      <w:r>
        <w:rPr>
          <w:rFonts w:ascii="Times New Roman" w:eastAsia="Times New Roman"/>
        </w:rPr>
        <w:t>2004 </w:t>
      </w:r>
      <w:r>
        <w:rPr/>
        <w:t>年 </w:t>
      </w:r>
      <w:r>
        <w:rPr>
          <w:rFonts w:ascii="Times New Roman" w:eastAsia="Times New Roman"/>
        </w:rPr>
        <w:t>6 </w:t>
      </w:r>
      <w:r>
        <w:rPr/>
        <w:t>月 </w:t>
      </w:r>
      <w:r>
        <w:rPr>
          <w:rFonts w:ascii="Times New Roman" w:eastAsia="Times New Roman"/>
        </w:rPr>
        <w:t>29 </w:t>
      </w:r>
      <w:r>
        <w:rPr/>
        <w:t>日中国证券监</w:t>
      </w:r>
    </w:p>
    <w:p>
      <w:pPr>
        <w:pStyle w:val="BodyText"/>
        <w:spacing w:before="160"/>
      </w:pPr>
      <w:r>
        <w:rPr/>
        <w:t>督管理委员会（以下简称</w:t>
      </w:r>
      <w:r>
        <w:rPr>
          <w:rFonts w:ascii="Times New Roman" w:hAnsi="Times New Roman" w:eastAsia="Times New Roman"/>
        </w:rPr>
        <w:t>“</w:t>
      </w:r>
      <w:r>
        <w:rPr/>
        <w:t>中国证监会</w:t>
      </w:r>
      <w:r>
        <w:rPr>
          <w:rFonts w:ascii="Times New Roman" w:hAnsi="Times New Roman" w:eastAsia="Times New Roman"/>
        </w:rPr>
        <w:t>”</w:t>
      </w:r>
      <w:r>
        <w:rPr/>
        <w:t>）发布并于 </w:t>
      </w:r>
      <w:r>
        <w:rPr>
          <w:rFonts w:ascii="Times New Roman" w:hAnsi="Times New Roman" w:eastAsia="Times New Roman"/>
        </w:rPr>
        <w:t>2004 </w:t>
      </w:r>
      <w:r>
        <w:rPr/>
        <w:t>年 </w:t>
      </w:r>
      <w:r>
        <w:rPr>
          <w:rFonts w:ascii="Times New Roman" w:hAnsi="Times New Roman" w:eastAsia="Times New Roman"/>
        </w:rPr>
        <w:t>7 </w:t>
      </w:r>
      <w:r>
        <w:rPr/>
        <w:t>月 </w:t>
      </w:r>
      <w:r>
        <w:rPr>
          <w:rFonts w:ascii="Times New Roman" w:hAnsi="Times New Roman" w:eastAsia="Times New Roman"/>
        </w:rPr>
        <w:t>1 </w:t>
      </w:r>
      <w:r>
        <w:rPr/>
        <w:t>日起施行的</w:t>
      </w:r>
    </w:p>
    <w:p>
      <w:pPr>
        <w:pStyle w:val="BodyText"/>
        <w:spacing w:line="364" w:lineRule="auto"/>
        <w:ind w:right="356"/>
        <w:rPr>
          <w:rFonts w:ascii="Times New Roman" w:eastAsia="Times New Roman"/>
        </w:rPr>
      </w:pPr>
      <w:r>
        <w:rPr/>
        <w:t>《证券投资基金运作管理办法</w:t>
      </w:r>
      <w:r>
        <w:rPr>
          <w:spacing w:val="-144"/>
        </w:rPr>
        <w:t>》</w:t>
      </w:r>
      <w:r>
        <w:rPr/>
        <w:t>（</w:t>
      </w:r>
      <w:r>
        <w:rPr>
          <w:spacing w:val="-17"/>
        </w:rPr>
        <w:t>以下简称《运作办法》</w:t>
      </w:r>
      <w:r>
        <w:rPr>
          <w:spacing w:val="-24"/>
        </w:rPr>
        <w:t>）</w:t>
      </w:r>
      <w:r>
        <w:rPr>
          <w:spacing w:val="-6"/>
        </w:rPr>
        <w:t>和《证券投资基金销售</w:t>
      </w:r>
      <w:r>
        <w:rPr/>
        <w:t>管理办法</w:t>
      </w:r>
      <w:r>
        <w:rPr>
          <w:spacing w:val="-212"/>
        </w:rPr>
        <w:t>》</w:t>
      </w:r>
      <w:r>
        <w:rPr/>
        <w:t>（</w:t>
      </w:r>
      <w:r>
        <w:rPr>
          <w:spacing w:val="-23"/>
        </w:rPr>
        <w:t>以下简称《销售办法》</w:t>
      </w:r>
      <w:r>
        <w:rPr>
          <w:spacing w:val="-120"/>
        </w:rPr>
        <w:t>）</w:t>
      </w:r>
      <w:r>
        <w:rPr>
          <w:spacing w:val="-91"/>
        </w:rPr>
        <w:t>、</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w:t>
      </w:r>
      <w:r>
        <w:rPr>
          <w:rFonts w:ascii="Times New Roman" w:eastAsia="Times New Roman"/>
          <w:spacing w:val="1"/>
        </w:rPr>
        <w:t> </w:t>
      </w:r>
      <w:r>
        <w:rPr/>
        <w:t>日中国证监会颁布并于 </w:t>
      </w:r>
      <w:r>
        <w:rPr>
          <w:rFonts w:ascii="Times New Roman" w:eastAsia="Times New Roman"/>
          <w:spacing w:val="-4"/>
        </w:rPr>
        <w:t>2019</w:t>
      </w:r>
    </w:p>
    <w:p>
      <w:pPr>
        <w:pStyle w:val="BodyText"/>
        <w:spacing w:before="2"/>
      </w:pPr>
      <w:r>
        <w:rPr>
          <w:spacing w:val="-31"/>
        </w:rPr>
        <w:t>年 </w:t>
      </w:r>
      <w:r>
        <w:rPr>
          <w:rFonts w:ascii="Times New Roman" w:eastAsia="Times New Roman"/>
        </w:rPr>
        <w:t>9 </w:t>
      </w:r>
      <w:r>
        <w:rPr>
          <w:spacing w:val="-30"/>
        </w:rPr>
        <w:t>月 </w:t>
      </w:r>
      <w:r>
        <w:rPr>
          <w:rFonts w:ascii="Times New Roman" w:eastAsia="Times New Roman"/>
        </w:rPr>
        <w:t>1 </w:t>
      </w:r>
      <w:r>
        <w:rPr>
          <w:spacing w:val="-9"/>
        </w:rPr>
        <w:t>日起施行的《公开募集证券投资基金信息披露管理办法》以下简称《信</w:t>
      </w:r>
    </w:p>
    <w:p>
      <w:pPr>
        <w:pStyle w:val="BodyText"/>
        <w:spacing w:before="160"/>
      </w:pPr>
      <w:r>
        <w:rPr/>
        <w:t>息披露办法》）以及 </w:t>
      </w:r>
      <w:r>
        <w:rPr>
          <w:rFonts w:ascii="Times New Roman" w:eastAsia="Times New Roman"/>
        </w:rPr>
        <w:t>2004 </w:t>
      </w:r>
      <w:r>
        <w:rPr/>
        <w:t>年 </w:t>
      </w:r>
      <w:r>
        <w:rPr>
          <w:rFonts w:ascii="Times New Roman" w:eastAsia="Times New Roman"/>
        </w:rPr>
        <w:t>8 </w:t>
      </w:r>
      <w:r>
        <w:rPr/>
        <w:t>月 </w:t>
      </w:r>
      <w:r>
        <w:rPr>
          <w:rFonts w:ascii="Times New Roman" w:eastAsia="Times New Roman"/>
        </w:rPr>
        <w:t>17 </w:t>
      </w:r>
      <w:r>
        <w:rPr/>
        <w:t>日深圳证券交易所发布并于 </w:t>
      </w:r>
      <w:r>
        <w:rPr>
          <w:rFonts w:ascii="Times New Roman" w:eastAsia="Times New Roman"/>
        </w:rPr>
        <w:t>2004 </w:t>
      </w:r>
      <w:r>
        <w:rPr/>
        <w:t>年 </w:t>
      </w:r>
      <w:r>
        <w:rPr>
          <w:rFonts w:ascii="Times New Roman" w:eastAsia="Times New Roman"/>
        </w:rPr>
        <w:t>8 </w:t>
      </w:r>
      <w:r>
        <w:rPr/>
        <w:t>月</w:t>
      </w:r>
    </w:p>
    <w:p>
      <w:pPr>
        <w:pStyle w:val="BodyText"/>
      </w:pPr>
      <w:r>
        <w:rPr>
          <w:rFonts w:ascii="Times New Roman" w:eastAsia="Times New Roman"/>
        </w:rPr>
        <w:t>17 </w:t>
      </w:r>
      <w:r>
        <w:rPr>
          <w:spacing w:val="-10"/>
        </w:rPr>
        <w:t>日施行的《深圳证券交易所上市开放式基金业务规则</w:t>
      </w:r>
      <w:r>
        <w:rPr>
          <w:spacing w:val="-212"/>
        </w:rPr>
        <w:t>》</w:t>
      </w:r>
      <w:r>
        <w:rPr/>
        <w:t>（</w:t>
      </w:r>
      <w:r>
        <w:rPr>
          <w:spacing w:val="-23"/>
        </w:rPr>
        <w:t>以下简称《业务规则》</w:t>
      </w:r>
      <w:r>
        <w:rPr>
          <w:spacing w:val="-120"/>
        </w:rPr>
        <w:t>）</w:t>
      </w:r>
      <w:r>
        <w:rPr/>
        <w:t>、</w:t>
      </w:r>
    </w:p>
    <w:p>
      <w:pPr>
        <w:pStyle w:val="BodyText"/>
        <w:spacing w:line="364" w:lineRule="auto" w:before="160"/>
        <w:ind w:right="237"/>
      </w:pPr>
      <w:r>
        <w:rPr/>
        <w:t>《公开募集开放式证券投资基金流动性风险管理规定</w:t>
      </w:r>
      <w:r>
        <w:rPr>
          <w:spacing w:val="-228"/>
        </w:rPr>
        <w:t>》</w:t>
      </w:r>
      <w:r>
        <w:rPr/>
        <w:t>（</w:t>
      </w:r>
      <w:r>
        <w:rPr>
          <w:spacing w:val="-23"/>
        </w:rPr>
        <w:t>以下简称《流动性规定》</w:t>
      </w:r>
      <w:r>
        <w:rPr>
          <w:spacing w:val="-17"/>
        </w:rPr>
        <w:t>） </w:t>
      </w:r>
      <w:r>
        <w:rPr/>
        <w:t>及其他有关规定。</w:t>
      </w:r>
    </w:p>
    <w:p>
      <w:pPr>
        <w:pStyle w:val="BodyText"/>
        <w:spacing w:line="364" w:lineRule="auto" w:before="1"/>
        <w:ind w:right="385" w:firstLine="479"/>
      </w:pPr>
      <w:r>
        <w:rPr>
          <w:rFonts w:ascii="Times New Roman" w:eastAsia="Times New Roman"/>
        </w:rPr>
        <w:t>3</w:t>
      </w:r>
      <w:r>
        <w:rPr/>
        <w:t>、订立本基金合同的原则是平等自愿、诚实信用、充分保护投资者合法权益。</w:t>
      </w:r>
    </w:p>
    <w:p>
      <w:pPr>
        <w:spacing w:after="0" w:line="364" w:lineRule="auto"/>
        <w:sectPr>
          <w:pgSz w:w="11910" w:h="16840"/>
          <w:pgMar w:header="874" w:footer="997" w:top="1380" w:bottom="1180" w:left="1580" w:right="1440"/>
        </w:sectPr>
      </w:pPr>
    </w:p>
    <w:p>
      <w:pPr>
        <w:pStyle w:val="BodyText"/>
        <w:spacing w:line="364" w:lineRule="auto" w:before="130"/>
        <w:ind w:right="241" w:firstLine="479"/>
        <w:jc w:val="both"/>
      </w:pPr>
      <w:r>
        <w:rPr/>
        <w:t>（二）基金合同是规定基金合同当事人之间权利义务关系的基本法律文件， 其他与本基金相关的涉及基金合同当事人之间权利义务关系的任何文件或表述， 均以基金合同为准。</w:t>
      </w:r>
    </w:p>
    <w:p>
      <w:pPr>
        <w:pStyle w:val="BodyText"/>
        <w:spacing w:line="364" w:lineRule="auto" w:before="2"/>
        <w:ind w:right="241" w:firstLine="479"/>
      </w:pPr>
      <w:r>
        <w:rPr/>
        <w:t>（三</w:t>
      </w:r>
      <w:r>
        <w:rPr>
          <w:spacing w:val="-108"/>
        </w:rPr>
        <w:t>）</w:t>
      </w:r>
      <w:r>
        <w:rPr>
          <w:spacing w:val="-8"/>
        </w:rPr>
        <w:t>本基金合同的当事人包括基金管理人、基金托管人和基金份额持有人。</w:t>
      </w:r>
      <w:r>
        <w:rPr>
          <w:spacing w:val="-3"/>
        </w:rPr>
        <w:t>基金管理人和基金托管人自基金合同签定之日起成为基金合同的当事人。基金投</w:t>
      </w:r>
      <w:r>
        <w:rPr>
          <w:spacing w:val="-8"/>
        </w:rPr>
        <w:t>资人自依基金合同的规定取得了基金份额，即成为基金份额持有人和基金合同的</w:t>
      </w:r>
      <w:r>
        <w:rPr>
          <w:spacing w:val="-11"/>
        </w:rPr>
        <w:t>当事人，其持有基金份额的行为本身即表明其对基金合同的承认和接受。本基金</w:t>
      </w:r>
      <w:r>
        <w:rPr>
          <w:spacing w:val="-16"/>
        </w:rPr>
        <w:t>合同的当事人按照《基金法》、基金合同及其他有关规定享受权利，承担义务。</w:t>
      </w:r>
    </w:p>
    <w:p>
      <w:pPr>
        <w:pStyle w:val="BodyText"/>
        <w:spacing w:line="364" w:lineRule="auto" w:before="3"/>
        <w:ind w:right="241" w:firstLine="479"/>
      </w:pPr>
      <w:r>
        <w:rPr/>
        <w:t>投资者应当认真阅读基金招募说明书、基金合同、基金产品资料概要等信息披露文件，自主判断基金的投资价值，自主做出投资决策，自行承担投资风险。</w:t>
      </w:r>
    </w:p>
    <w:p>
      <w:pPr>
        <w:pStyle w:val="BodyText"/>
        <w:spacing w:line="364" w:lineRule="auto" w:before="1"/>
        <w:ind w:right="237" w:firstLine="479"/>
      </w:pPr>
      <w:r>
        <w:rPr/>
        <w:t>（四</w:t>
      </w:r>
      <w:r>
        <w:rPr>
          <w:spacing w:val="-108"/>
        </w:rPr>
        <w:t>）</w:t>
      </w:r>
      <w:r>
        <w:rPr>
          <w:spacing w:val="-12"/>
        </w:rPr>
        <w:t>基金管理人、基金托管人在本基金合同之外披露的涉及本基金的信息， </w:t>
      </w:r>
      <w:r>
        <w:rPr>
          <w:spacing w:val="-4"/>
        </w:rPr>
        <w:t>其内容涉及界定本基金合同当事人之间权利义务关系的，以本基金合同的规定为准。</w:t>
      </w:r>
    </w:p>
    <w:p>
      <w:pPr>
        <w:pStyle w:val="BodyText"/>
        <w:spacing w:line="364" w:lineRule="auto" w:before="2"/>
        <w:ind w:right="358" w:firstLine="479"/>
        <w:jc w:val="both"/>
      </w:pPr>
      <w:r>
        <w:rPr/>
        <w:t>（五</w:t>
      </w:r>
      <w:r>
        <w:rPr>
          <w:spacing w:val="-48"/>
        </w:rPr>
        <w:t>）</w:t>
      </w:r>
      <w:r>
        <w:rPr>
          <w:spacing w:val="-4"/>
        </w:rPr>
        <w:t>现行法规变更引起本基金合同事项变更，或者相关事项变更对持有人</w:t>
      </w:r>
      <w:r>
        <w:rPr>
          <w:spacing w:val="-7"/>
        </w:rPr>
        <w:t>权利或权益无不良影响，经基金管理人和托管人协商，并经监管机关批准，可以</w:t>
      </w:r>
      <w:r>
        <w:rPr/>
        <w:t>不召开持有人大会对本合同进行修改。</w:t>
      </w:r>
    </w:p>
    <w:p>
      <w:pPr>
        <w:pStyle w:val="BodyText"/>
        <w:spacing w:line="364" w:lineRule="auto" w:before="2"/>
        <w:ind w:right="241" w:firstLine="479"/>
        <w:jc w:val="both"/>
      </w:pPr>
      <w:r>
        <w:rPr/>
        <w:t>（六</w:t>
      </w:r>
      <w:r>
        <w:rPr>
          <w:spacing w:val="-108"/>
        </w:rPr>
        <w:t>）</w:t>
      </w:r>
      <w:r>
        <w:rPr>
          <w:spacing w:val="-6"/>
        </w:rPr>
        <w:t>本基金合同约定的关于基金产品资料概要的编制、披露及更新等要求， </w:t>
      </w:r>
      <w:r>
        <w:rPr>
          <w:spacing w:val="-13"/>
        </w:rPr>
        <w:t>将不晚于 </w:t>
      </w:r>
      <w:r>
        <w:rPr>
          <w:rFonts w:ascii="Times New Roman" w:eastAsia="Times New Roman"/>
        </w:rPr>
        <w:t>2020 </w:t>
      </w:r>
      <w:r>
        <w:rPr>
          <w:spacing w:val="-30"/>
        </w:rPr>
        <w:t>年 </w:t>
      </w:r>
      <w:r>
        <w:rPr>
          <w:rFonts w:ascii="Times New Roman" w:eastAsia="Times New Roman"/>
        </w:rPr>
        <w:t>9 </w:t>
      </w:r>
      <w:r>
        <w:rPr>
          <w:spacing w:val="-30"/>
        </w:rPr>
        <w:t>月 </w:t>
      </w:r>
      <w:r>
        <w:rPr>
          <w:rFonts w:ascii="Times New Roman" w:eastAsia="Times New Roman"/>
        </w:rPr>
        <w:t>1 </w:t>
      </w:r>
      <w:r>
        <w:rPr/>
        <w:t>日起执行。</w:t>
      </w:r>
    </w:p>
    <w:p>
      <w:pPr>
        <w:pStyle w:val="BodyText"/>
        <w:spacing w:line="364" w:lineRule="auto" w:before="1"/>
        <w:ind w:right="357" w:firstLine="479"/>
        <w:jc w:val="both"/>
      </w:pPr>
      <w:r>
        <w:rPr/>
        <w:t>（七</w:t>
      </w:r>
      <w:r>
        <w:rPr>
          <w:spacing w:val="-48"/>
        </w:rPr>
        <w:t>）</w:t>
      </w:r>
      <w:r>
        <w:rPr>
          <w:spacing w:val="-5"/>
        </w:rPr>
        <w:t>本基金的投资范围包括存托凭证，若投资可能面临中国存托凭证价格</w:t>
      </w:r>
      <w:r>
        <w:rPr>
          <w:spacing w:val="-6"/>
        </w:rPr>
        <w:t>大幅波动甚至出现较大亏损的风险，以及与创新企业、境外发行人、中国存托凭</w:t>
      </w:r>
      <w:r>
        <w:rPr/>
        <w:t>证发行机制以及交易机制等相关的风险。</w:t>
      </w:r>
    </w:p>
    <w:p>
      <w:pPr>
        <w:spacing w:after="0" w:line="364" w:lineRule="auto"/>
        <w:jc w:val="both"/>
        <w:sectPr>
          <w:footerReference w:type="default" r:id="rId7"/>
          <w:pgSz w:w="11910" w:h="16840"/>
          <w:pgMar w:footer="997" w:header="874" w:top="1380" w:bottom="1180" w:left="1580" w:right="1440"/>
          <w:pgNumType w:start="2"/>
        </w:sectPr>
      </w:pPr>
    </w:p>
    <w:p>
      <w:pPr>
        <w:pStyle w:val="BodyText"/>
        <w:spacing w:before="8"/>
        <w:ind w:left="0"/>
        <w:rPr>
          <w:sz w:val="8"/>
        </w:rPr>
      </w:pPr>
    </w:p>
    <w:p>
      <w:pPr>
        <w:spacing w:before="58"/>
        <w:ind w:left="0" w:right="136" w:firstLine="0"/>
        <w:jc w:val="center"/>
        <w:rPr>
          <w:b/>
          <w:sz w:val="30"/>
        </w:rPr>
      </w:pPr>
      <w:bookmarkStart w:name="_bookmark1" w:id="2"/>
      <w:bookmarkEnd w:id="2"/>
      <w:r>
        <w:rPr/>
      </w:r>
      <w:r>
        <w:rPr>
          <w:b/>
          <w:sz w:val="30"/>
        </w:rPr>
        <w:t>二、释义</w:t>
      </w:r>
    </w:p>
    <w:p>
      <w:pPr>
        <w:pStyle w:val="BodyText"/>
        <w:spacing w:before="0"/>
        <w:ind w:left="0"/>
        <w:rPr>
          <w:b/>
          <w:sz w:val="30"/>
        </w:rPr>
      </w:pPr>
    </w:p>
    <w:p>
      <w:pPr>
        <w:pStyle w:val="BodyText"/>
        <w:spacing w:before="2"/>
        <w:ind w:left="0"/>
        <w:rPr>
          <w:b/>
          <w:sz w:val="22"/>
        </w:rPr>
      </w:pPr>
    </w:p>
    <w:p>
      <w:pPr>
        <w:pStyle w:val="BodyText"/>
        <w:spacing w:before="1"/>
        <w:ind w:left="700"/>
      </w:pPr>
      <w:r>
        <w:rPr/>
        <w:t>在本基金合同中，除非文意另有所指，下列词语或简称具有如下含义：</w:t>
      </w:r>
    </w:p>
    <w:p>
      <w:pPr>
        <w:pStyle w:val="BodyText"/>
        <w:spacing w:line="364" w:lineRule="auto" w:before="160"/>
        <w:ind w:left="1072" w:right="357" w:hanging="372"/>
      </w:pPr>
      <w:r>
        <w:rPr>
          <w:rFonts w:ascii="Times New Roman" w:eastAsia="Times New Roman"/>
        </w:rPr>
        <w:t>1</w:t>
      </w:r>
      <w:r>
        <w:rPr/>
        <w:t>、基金合同：指《景顺长城鼎益混合型证券投资基金（</w:t>
      </w:r>
      <w:r>
        <w:rPr>
          <w:rFonts w:ascii="Times New Roman" w:eastAsia="Times New Roman"/>
        </w:rPr>
        <w:t>LOF</w:t>
      </w:r>
      <w:r>
        <w:rPr/>
        <w:t>）基金合同》及对本基金合同的任何修订和补充；</w:t>
      </w:r>
    </w:p>
    <w:p>
      <w:pPr>
        <w:pStyle w:val="BodyText"/>
        <w:spacing w:before="1"/>
        <w:ind w:left="700"/>
      </w:pPr>
      <w:r>
        <w:rPr>
          <w:rFonts w:ascii="Times New Roman" w:eastAsia="Times New Roman"/>
        </w:rPr>
        <w:t>2</w:t>
      </w:r>
      <w:r>
        <w:rPr/>
        <w:t>、《基金法》：指 </w:t>
      </w:r>
      <w:r>
        <w:rPr>
          <w:rFonts w:ascii="Times New Roman" w:eastAsia="Times New Roman"/>
        </w:rPr>
        <w:t>2003 </w:t>
      </w:r>
      <w:r>
        <w:rPr/>
        <w:t>年 </w:t>
      </w:r>
      <w:r>
        <w:rPr>
          <w:rFonts w:ascii="Times New Roman" w:eastAsia="Times New Roman"/>
        </w:rPr>
        <w:t>10 </w:t>
      </w:r>
      <w:r>
        <w:rPr/>
        <w:t>月 </w:t>
      </w:r>
      <w:r>
        <w:rPr>
          <w:rFonts w:ascii="Times New Roman" w:eastAsia="Times New Roman"/>
        </w:rPr>
        <w:t>28 </w:t>
      </w:r>
      <w:r>
        <w:rPr/>
        <w:t>日经第十届全国人民代表大会常务委</w:t>
      </w:r>
    </w:p>
    <w:p>
      <w:pPr>
        <w:pStyle w:val="BodyText"/>
        <w:spacing w:line="364" w:lineRule="auto"/>
        <w:ind w:left="1072" w:right="297"/>
      </w:pPr>
      <w:r>
        <w:rPr/>
        <w:t>员会第五次会议通过并于 </w:t>
      </w:r>
      <w:r>
        <w:rPr>
          <w:rFonts w:ascii="Times New Roman" w:eastAsia="Times New Roman"/>
        </w:rPr>
        <w:t>2004 </w:t>
      </w:r>
      <w:r>
        <w:rPr/>
        <w:t>年 </w:t>
      </w:r>
      <w:r>
        <w:rPr>
          <w:rFonts w:ascii="Times New Roman" w:eastAsia="Times New Roman"/>
        </w:rPr>
        <w:t>6 </w:t>
      </w:r>
      <w:r>
        <w:rPr/>
        <w:t>月 </w:t>
      </w:r>
      <w:r>
        <w:rPr>
          <w:rFonts w:ascii="Times New Roman" w:eastAsia="Times New Roman"/>
        </w:rPr>
        <w:t>1 </w:t>
      </w:r>
      <w:r>
        <w:rPr/>
        <w:t>日起施行的《中华人民共和国证券投资基金法》；</w:t>
      </w:r>
    </w:p>
    <w:p>
      <w:pPr>
        <w:pStyle w:val="BodyText"/>
        <w:spacing w:before="2"/>
        <w:ind w:left="700"/>
        <w:rPr>
          <w:rFonts w:ascii="Times New Roman" w:eastAsia="Times New Roman"/>
        </w:rPr>
      </w:pPr>
      <w:r>
        <w:rPr>
          <w:rFonts w:ascii="Times New Roman" w:eastAsia="Times New Roman"/>
        </w:rPr>
        <w:t>3</w:t>
      </w:r>
      <w:r>
        <w:rPr/>
        <w:t>、《运作办法》：指 </w:t>
      </w:r>
      <w:r>
        <w:rPr>
          <w:rFonts w:ascii="Times New Roman" w:eastAsia="Times New Roman"/>
        </w:rPr>
        <w:t>2004 </w:t>
      </w:r>
      <w:r>
        <w:rPr/>
        <w:t>年 </w:t>
      </w:r>
      <w:r>
        <w:rPr>
          <w:rFonts w:ascii="Times New Roman" w:eastAsia="Times New Roman"/>
        </w:rPr>
        <w:t>6 </w:t>
      </w:r>
      <w:r>
        <w:rPr/>
        <w:t>月 </w:t>
      </w:r>
      <w:r>
        <w:rPr>
          <w:rFonts w:ascii="Times New Roman" w:eastAsia="Times New Roman"/>
        </w:rPr>
        <w:t>29 </w:t>
      </w:r>
      <w:r>
        <w:rPr/>
        <w:t>日由中国证监会发布并于同年 </w:t>
      </w:r>
      <w:r>
        <w:rPr>
          <w:rFonts w:ascii="Times New Roman" w:eastAsia="Times New Roman"/>
        </w:rPr>
        <w:t>7 </w:t>
      </w:r>
      <w:r>
        <w:rPr/>
        <w:t>月 </w:t>
      </w:r>
      <w:r>
        <w:rPr>
          <w:rFonts w:ascii="Times New Roman" w:eastAsia="Times New Roman"/>
        </w:rPr>
        <w:t>1</w:t>
      </w:r>
    </w:p>
    <w:p>
      <w:pPr>
        <w:pStyle w:val="BodyText"/>
        <w:spacing w:before="160"/>
        <w:ind w:left="1072"/>
      </w:pPr>
      <w:r>
        <w:rPr/>
        <w:t>日起施行的《证券投资基金运作管理办法》</w:t>
      </w:r>
    </w:p>
    <w:p>
      <w:pPr>
        <w:pStyle w:val="BodyText"/>
        <w:ind w:left="700"/>
        <w:rPr>
          <w:rFonts w:ascii="Times New Roman" w:eastAsia="Times New Roman"/>
        </w:rPr>
      </w:pPr>
      <w:r>
        <w:rPr>
          <w:rFonts w:ascii="Times New Roman" w:eastAsia="Times New Roman"/>
        </w:rPr>
        <w:t>4</w:t>
      </w:r>
      <w:r>
        <w:rPr/>
        <w:t>、《销售办法》：指 </w:t>
      </w:r>
      <w:r>
        <w:rPr>
          <w:rFonts w:ascii="Times New Roman" w:eastAsia="Times New Roman"/>
        </w:rPr>
        <w:t>2004 </w:t>
      </w:r>
      <w:r>
        <w:rPr/>
        <w:t>年 </w:t>
      </w:r>
      <w:r>
        <w:rPr>
          <w:rFonts w:ascii="Times New Roman" w:eastAsia="Times New Roman"/>
        </w:rPr>
        <w:t>6 </w:t>
      </w:r>
      <w:r>
        <w:rPr/>
        <w:t>月 </w:t>
      </w:r>
      <w:r>
        <w:rPr>
          <w:rFonts w:ascii="Times New Roman" w:eastAsia="Times New Roman"/>
        </w:rPr>
        <w:t>25 </w:t>
      </w:r>
      <w:r>
        <w:rPr/>
        <w:t>日由中国证监会发布并于同年 </w:t>
      </w:r>
      <w:r>
        <w:rPr>
          <w:rFonts w:ascii="Times New Roman" w:eastAsia="Times New Roman"/>
        </w:rPr>
        <w:t>7 </w:t>
      </w:r>
      <w:r>
        <w:rPr/>
        <w:t>月 </w:t>
      </w:r>
      <w:r>
        <w:rPr>
          <w:rFonts w:ascii="Times New Roman" w:eastAsia="Times New Roman"/>
        </w:rPr>
        <w:t>1</w:t>
      </w:r>
    </w:p>
    <w:p>
      <w:pPr>
        <w:pStyle w:val="BodyText"/>
        <w:spacing w:before="160"/>
        <w:ind w:left="1072"/>
      </w:pPr>
      <w:r>
        <w:rPr/>
        <w:t>日起施行的《证券投资基金销售管理办法》</w:t>
      </w:r>
    </w:p>
    <w:p>
      <w:pPr>
        <w:pStyle w:val="BodyText"/>
        <w:spacing w:line="364" w:lineRule="auto"/>
        <w:ind w:left="1060" w:right="356" w:hanging="360"/>
        <w:jc w:val="both"/>
      </w:pPr>
      <w:r>
        <w:rPr>
          <w:rFonts w:ascii="Times New Roman" w:eastAsia="Times New Roman"/>
        </w:rPr>
        <w:t>5</w:t>
      </w:r>
      <w:r>
        <w:rPr>
          <w:spacing w:val="-13"/>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6"/>
        </w:rPr>
        <w:t>日颁布、同年 </w:t>
      </w:r>
      <w:r>
        <w:rPr>
          <w:rFonts w:ascii="Times New Roman" w:eastAsia="Times New Roman"/>
        </w:rPr>
        <w:t>9 </w:t>
      </w:r>
      <w:r>
        <w:rPr>
          <w:spacing w:val="-18"/>
        </w:rPr>
        <w:t>月 </w:t>
      </w:r>
      <w:r>
        <w:rPr>
          <w:rFonts w:ascii="Times New Roman" w:eastAsia="Times New Roman"/>
          <w:spacing w:val="-15"/>
        </w:rPr>
        <w:t>1 </w:t>
      </w:r>
      <w:r>
        <w:rPr>
          <w:spacing w:val="-1"/>
        </w:rPr>
        <w:t>日实施的《公开募集证券投资基金信息披露管理办法》及颁布机关对其</w:t>
      </w:r>
      <w:r>
        <w:rPr/>
        <w:t>不时作出的修订</w:t>
      </w:r>
    </w:p>
    <w:p>
      <w:pPr>
        <w:pStyle w:val="BodyText"/>
        <w:spacing w:before="2"/>
        <w:ind w:left="700"/>
        <w:jc w:val="both"/>
        <w:rPr>
          <w:rFonts w:ascii="Times New Roman" w:eastAsia="Times New Roman"/>
        </w:rPr>
      </w:pPr>
      <w:r>
        <w:rPr>
          <w:rFonts w:ascii="Times New Roman" w:eastAsia="Times New Roman"/>
        </w:rPr>
        <w:t>6</w:t>
      </w:r>
      <w:r>
        <w:rPr/>
        <w:t>、《业务规则》：指 </w:t>
      </w:r>
      <w:r>
        <w:rPr>
          <w:rFonts w:ascii="Times New Roman" w:eastAsia="Times New Roman"/>
        </w:rPr>
        <w:t>2004 </w:t>
      </w:r>
      <w:r>
        <w:rPr/>
        <w:t>年 </w:t>
      </w:r>
      <w:r>
        <w:rPr>
          <w:rFonts w:ascii="Times New Roman" w:eastAsia="Times New Roman"/>
        </w:rPr>
        <w:t>8 </w:t>
      </w:r>
      <w:r>
        <w:rPr/>
        <w:t>月 </w:t>
      </w:r>
      <w:r>
        <w:rPr>
          <w:rFonts w:ascii="Times New Roman" w:eastAsia="Times New Roman"/>
        </w:rPr>
        <w:t>17 </w:t>
      </w:r>
      <w:r>
        <w:rPr/>
        <w:t>日深圳证券交易所发布并于 </w:t>
      </w:r>
      <w:r>
        <w:rPr>
          <w:rFonts w:ascii="Times New Roman" w:eastAsia="Times New Roman"/>
        </w:rPr>
        <w:t>2004 </w:t>
      </w:r>
      <w:r>
        <w:rPr/>
        <w:t>年 </w:t>
      </w:r>
      <w:r>
        <w:rPr>
          <w:rFonts w:ascii="Times New Roman" w:eastAsia="Times New Roman"/>
        </w:rPr>
        <w:t>8</w:t>
      </w:r>
    </w:p>
    <w:p>
      <w:pPr>
        <w:pStyle w:val="BodyText"/>
        <w:spacing w:before="160"/>
        <w:ind w:left="1060"/>
      </w:pPr>
      <w:r>
        <w:rPr/>
        <w:t>月 </w:t>
      </w:r>
      <w:r>
        <w:rPr>
          <w:rFonts w:ascii="Times New Roman" w:eastAsia="Times New Roman"/>
        </w:rPr>
        <w:t>17 </w:t>
      </w:r>
      <w:r>
        <w:rPr/>
        <w:t>日起施行的《深圳证券交易所上市开放式基金业务规则》</w:t>
      </w:r>
    </w:p>
    <w:p>
      <w:pPr>
        <w:pStyle w:val="BodyText"/>
        <w:ind w:left="700"/>
      </w:pPr>
      <w:r>
        <w:rPr>
          <w:rFonts w:ascii="Times New Roman" w:eastAsia="Times New Roman"/>
        </w:rPr>
        <w:t>7</w:t>
      </w:r>
      <w:r>
        <w:rPr/>
        <w:t>、元：指人民币元</w:t>
      </w:r>
    </w:p>
    <w:p>
      <w:pPr>
        <w:pStyle w:val="BodyText"/>
        <w:spacing w:line="364" w:lineRule="auto" w:before="160"/>
        <w:ind w:left="1060" w:right="351" w:hanging="360"/>
      </w:pPr>
      <w:r>
        <w:rPr>
          <w:rFonts w:ascii="Times New Roman" w:eastAsia="Times New Roman"/>
        </w:rPr>
        <w:t>8</w:t>
      </w:r>
      <w:r>
        <w:rPr/>
        <w:t>、本基金：指景顺长城鼎益混合型证券投资基金（</w:t>
      </w:r>
      <w:r>
        <w:rPr>
          <w:rFonts w:ascii="Times New Roman" w:eastAsia="Times New Roman"/>
        </w:rPr>
        <w:t>LOF</w:t>
      </w:r>
      <w:r>
        <w:rPr/>
        <w:t>）由景顺长城鼎益股票型证券投资基金</w:t>
      </w:r>
      <w:r>
        <w:rPr>
          <w:rFonts w:ascii="Times New Roman" w:eastAsia="Times New Roman"/>
        </w:rPr>
        <w:t>(LOF)</w:t>
      </w:r>
      <w:r>
        <w:rPr/>
        <w:t>变更而来</w:t>
      </w:r>
    </w:p>
    <w:p>
      <w:pPr>
        <w:pStyle w:val="BodyText"/>
        <w:spacing w:before="1"/>
        <w:ind w:left="700"/>
      </w:pPr>
      <w:r>
        <w:rPr>
          <w:rFonts w:ascii="Times New Roman" w:eastAsia="Times New Roman"/>
        </w:rPr>
        <w:t>9</w:t>
      </w:r>
      <w:r>
        <w:rPr/>
        <w:t>、招募说明书或本招募说明书：指《景顺长城鼎益混合型证券投资基金</w:t>
      </w:r>
    </w:p>
    <w:p>
      <w:pPr>
        <w:pStyle w:val="BodyText"/>
        <w:spacing w:before="162"/>
        <w:ind w:left="1060"/>
      </w:pPr>
      <w:r>
        <w:rPr/>
        <w:t>（</w:t>
      </w:r>
      <w:r>
        <w:rPr>
          <w:rFonts w:ascii="Times New Roman" w:eastAsia="Times New Roman"/>
        </w:rPr>
        <w:t>LOF</w:t>
      </w:r>
      <w:r>
        <w:rPr/>
        <w:t>）招募说明书》及其任何有效修订与更新</w:t>
      </w:r>
    </w:p>
    <w:p>
      <w:pPr>
        <w:pStyle w:val="BodyText"/>
        <w:spacing w:line="364" w:lineRule="auto" w:before="160"/>
        <w:ind w:left="1060" w:right="360" w:hanging="360"/>
        <w:jc w:val="both"/>
      </w:pPr>
      <w:r>
        <w:rPr>
          <w:rFonts w:ascii="Times New Roman" w:eastAsia="Times New Roman"/>
        </w:rPr>
        <w:t>10</w:t>
      </w:r>
      <w:r>
        <w:rPr>
          <w:spacing w:val="-6"/>
        </w:rPr>
        <w:t>、 基金产品资料概要：指《景顺长城鼎益混合型证券投资基金</w:t>
      </w:r>
      <w:r>
        <w:rPr>
          <w:spacing w:val="-4"/>
        </w:rPr>
        <w:t>（</w:t>
      </w:r>
      <w:r>
        <w:rPr>
          <w:rFonts w:ascii="Times New Roman" w:eastAsia="Times New Roman"/>
          <w:spacing w:val="-4"/>
        </w:rPr>
        <w:t>LOF</w:t>
      </w:r>
      <w:r>
        <w:rPr>
          <w:spacing w:val="-4"/>
        </w:rPr>
        <w:t>） </w:t>
      </w:r>
      <w:r>
        <w:rPr/>
        <w:t>基金产品资料概要》及其更新</w:t>
      </w:r>
    </w:p>
    <w:p>
      <w:pPr>
        <w:pStyle w:val="BodyText"/>
        <w:spacing w:line="364" w:lineRule="auto" w:before="1"/>
        <w:ind w:left="1060" w:right="356" w:hanging="360"/>
        <w:jc w:val="both"/>
      </w:pPr>
      <w:r>
        <w:rPr>
          <w:rFonts w:ascii="Times New Roman" w:eastAsia="Times New Roman"/>
        </w:rPr>
        <w:t>11</w:t>
      </w:r>
      <w:r>
        <w:rPr/>
        <w:t>、 发售公告或基金份额发售公告：指本基金根据《运作办法》变更为</w:t>
      </w:r>
      <w:r>
        <w:rPr>
          <w:spacing w:val="-11"/>
        </w:rPr>
        <w:t>混合基金前的《景顺长城鼎益股票型证券投资基金</w:t>
      </w:r>
      <w:r>
        <w:rPr>
          <w:rFonts w:ascii="Times New Roman" w:eastAsia="Times New Roman"/>
        </w:rPr>
        <w:t>(LOF)</w:t>
      </w:r>
      <w:r>
        <w:rPr>
          <w:spacing w:val="-3"/>
        </w:rPr>
        <w:t>基金份额发售公</w:t>
      </w:r>
      <w:r>
        <w:rPr/>
        <w:t>告》</w:t>
      </w:r>
    </w:p>
    <w:p>
      <w:pPr>
        <w:pStyle w:val="BodyText"/>
        <w:spacing w:before="2"/>
        <w:ind w:left="700"/>
        <w:jc w:val="both"/>
      </w:pPr>
      <w:r>
        <w:rPr>
          <w:rFonts w:ascii="Times New Roman" w:eastAsia="Times New Roman"/>
        </w:rPr>
        <w:t>12</w:t>
      </w:r>
      <w:r>
        <w:rPr/>
        <w:t>、 中国证监会：指中国证券监督管理委员会</w:t>
      </w:r>
    </w:p>
    <w:p>
      <w:pPr>
        <w:pStyle w:val="BodyText"/>
        <w:ind w:left="700"/>
        <w:jc w:val="both"/>
      </w:pPr>
      <w:r>
        <w:rPr>
          <w:rFonts w:ascii="Times New Roman" w:eastAsia="Times New Roman"/>
        </w:rPr>
        <w:t>13</w:t>
      </w:r>
      <w:r>
        <w:rPr/>
        <w:t>、 中国银监会：指中国银行业监督管理委员会</w:t>
      </w:r>
    </w:p>
    <w:p>
      <w:pPr>
        <w:spacing w:after="0"/>
        <w:jc w:val="both"/>
        <w:sectPr>
          <w:pgSz w:w="11910" w:h="16840"/>
          <w:pgMar w:header="874" w:footer="997" w:top="1380" w:bottom="1180" w:left="1580" w:right="1440"/>
        </w:sectPr>
      </w:pPr>
    </w:p>
    <w:p>
      <w:pPr>
        <w:pStyle w:val="BodyText"/>
        <w:spacing w:before="130"/>
        <w:ind w:left="700"/>
        <w:jc w:val="both"/>
      </w:pPr>
      <w:r>
        <w:rPr>
          <w:rFonts w:ascii="Times New Roman" w:eastAsia="Times New Roman"/>
        </w:rPr>
        <w:t>14</w:t>
      </w:r>
      <w:r>
        <w:rPr/>
        <w:t>、 基金管理人：指景顺长城基金管理有限公司</w:t>
      </w:r>
    </w:p>
    <w:p>
      <w:pPr>
        <w:pStyle w:val="BodyText"/>
        <w:spacing w:before="160"/>
        <w:ind w:left="700"/>
        <w:jc w:val="both"/>
      </w:pPr>
      <w:r>
        <w:rPr>
          <w:rFonts w:ascii="Times New Roman" w:hAnsi="Times New Roman" w:eastAsia="Times New Roman"/>
        </w:rPr>
        <w:t>15</w:t>
      </w:r>
      <w:r>
        <w:rPr/>
        <w:t>、 基金托管人：指中国银行股份有限公司（以下简称</w:t>
      </w:r>
      <w:r>
        <w:rPr>
          <w:rFonts w:ascii="Times New Roman" w:hAnsi="Times New Roman" w:eastAsia="Times New Roman"/>
        </w:rPr>
        <w:t>“</w:t>
      </w:r>
      <w:r>
        <w:rPr/>
        <w:t>中国银行</w:t>
      </w:r>
      <w:r>
        <w:rPr>
          <w:rFonts w:ascii="Times New Roman" w:hAnsi="Times New Roman" w:eastAsia="Times New Roman"/>
        </w:rPr>
        <w:t>”</w:t>
      </w:r>
      <w:r>
        <w:rPr/>
        <w:t>）</w:t>
      </w:r>
    </w:p>
    <w:p>
      <w:pPr>
        <w:pStyle w:val="BodyText"/>
        <w:spacing w:line="364" w:lineRule="auto"/>
        <w:ind w:left="1060" w:right="358" w:hanging="360"/>
        <w:jc w:val="both"/>
      </w:pPr>
      <w:r>
        <w:rPr>
          <w:rFonts w:ascii="Times New Roman" w:eastAsia="Times New Roman"/>
        </w:rPr>
        <w:t>16</w:t>
      </w:r>
      <w:r>
        <w:rPr/>
        <w:t>、 注册登记业务：指本基金登记、存管、清算和交收业务，具体内容包括投资人基金账户管理、基金份额注册登记、清算及基金交易确认、代理发放红利、建立并保管基金份额持有人名册等</w:t>
      </w:r>
    </w:p>
    <w:p>
      <w:pPr>
        <w:pStyle w:val="BodyText"/>
        <w:spacing w:line="364" w:lineRule="auto" w:before="1"/>
        <w:ind w:left="1060" w:right="366" w:hanging="360"/>
        <w:jc w:val="both"/>
      </w:pPr>
      <w:r>
        <w:rPr>
          <w:rFonts w:ascii="Times New Roman" w:eastAsia="Times New Roman"/>
        </w:rPr>
        <w:t>17</w:t>
      </w:r>
      <w:r>
        <w:rPr/>
        <w:t>、 注册登记代理机构：指接受基金管理人委托代为办理本基金注册登记业务的机构</w:t>
      </w:r>
    </w:p>
    <w:p>
      <w:pPr>
        <w:pStyle w:val="BodyText"/>
        <w:spacing w:before="2"/>
        <w:ind w:left="700"/>
        <w:jc w:val="both"/>
      </w:pPr>
      <w:r>
        <w:rPr>
          <w:rFonts w:ascii="Times New Roman" w:eastAsia="Times New Roman"/>
        </w:rPr>
        <w:t>18</w:t>
      </w:r>
      <w:r>
        <w:rPr/>
        <w:t>、 销售场所：指场外销售场所和场内交易场所，分别简称场外和场内</w:t>
      </w:r>
    </w:p>
    <w:p>
      <w:pPr>
        <w:pStyle w:val="BodyText"/>
        <w:tabs>
          <w:tab w:pos="1480" w:val="left" w:leader="none"/>
        </w:tabs>
        <w:spacing w:line="364" w:lineRule="auto"/>
        <w:ind w:left="1060" w:right="366" w:hanging="360"/>
      </w:pPr>
      <w:r>
        <w:rPr>
          <w:rFonts w:ascii="Times New Roman" w:eastAsia="Times New Roman"/>
        </w:rPr>
        <w:t>19</w:t>
      </w:r>
      <w:r>
        <w:rPr/>
        <w:t>、</w:t>
        <w:tab/>
        <w:t>场外：指</w:t>
      </w:r>
      <w:r>
        <w:rPr>
          <w:spacing w:val="4"/>
        </w:rPr>
        <w:t>通</w:t>
      </w:r>
      <w:r>
        <w:rPr/>
        <w:t>过深</w:t>
      </w:r>
      <w:r>
        <w:rPr>
          <w:spacing w:val="4"/>
        </w:rPr>
        <w:t>圳</w:t>
      </w:r>
      <w:r>
        <w:rPr/>
        <w:t>证</w:t>
      </w:r>
      <w:r>
        <w:rPr>
          <w:spacing w:val="4"/>
        </w:rPr>
        <w:t>券</w:t>
      </w:r>
      <w:r>
        <w:rPr/>
        <w:t>交易所外</w:t>
      </w:r>
      <w:r>
        <w:rPr>
          <w:spacing w:val="4"/>
        </w:rPr>
        <w:t>的</w:t>
      </w:r>
      <w:r>
        <w:rPr/>
        <w:t>销售</w:t>
      </w:r>
      <w:r>
        <w:rPr>
          <w:spacing w:val="4"/>
        </w:rPr>
        <w:t>机</w:t>
      </w:r>
      <w:r>
        <w:rPr/>
        <w:t>构</w:t>
      </w:r>
      <w:r>
        <w:rPr>
          <w:spacing w:val="4"/>
        </w:rPr>
        <w:t>进</w:t>
      </w:r>
      <w:r>
        <w:rPr/>
        <w:t>行基金份</w:t>
      </w:r>
      <w:r>
        <w:rPr>
          <w:spacing w:val="4"/>
        </w:rPr>
        <w:t>额</w:t>
      </w:r>
      <w:r>
        <w:rPr/>
        <w:t>认购、申购和赎回的场所</w:t>
      </w:r>
    </w:p>
    <w:p>
      <w:pPr>
        <w:pStyle w:val="BodyText"/>
        <w:tabs>
          <w:tab w:pos="1480" w:val="left" w:leader="none"/>
        </w:tabs>
        <w:spacing w:line="364" w:lineRule="auto" w:before="1"/>
        <w:ind w:left="1060" w:right="366" w:hanging="360"/>
      </w:pPr>
      <w:r>
        <w:rPr>
          <w:rFonts w:ascii="Times New Roman" w:eastAsia="Times New Roman"/>
        </w:rPr>
        <w:t>20</w:t>
      </w:r>
      <w:r>
        <w:rPr/>
        <w:t>、</w:t>
        <w:tab/>
        <w:t>场内：指</w:t>
      </w:r>
      <w:r>
        <w:rPr>
          <w:spacing w:val="4"/>
        </w:rPr>
        <w:t>通</w:t>
      </w:r>
      <w:r>
        <w:rPr/>
        <w:t>过深</w:t>
      </w:r>
      <w:r>
        <w:rPr>
          <w:spacing w:val="4"/>
        </w:rPr>
        <w:t>圳</w:t>
      </w:r>
      <w:r>
        <w:rPr/>
        <w:t>证</w:t>
      </w:r>
      <w:r>
        <w:rPr>
          <w:spacing w:val="4"/>
        </w:rPr>
        <w:t>券</w:t>
      </w:r>
      <w:r>
        <w:rPr/>
        <w:t>交易所内</w:t>
      </w:r>
      <w:r>
        <w:rPr>
          <w:spacing w:val="4"/>
        </w:rPr>
        <w:t>的</w:t>
      </w:r>
      <w:r>
        <w:rPr/>
        <w:t>会员</w:t>
      </w:r>
      <w:r>
        <w:rPr>
          <w:spacing w:val="4"/>
        </w:rPr>
        <w:t>单</w:t>
      </w:r>
      <w:r>
        <w:rPr/>
        <w:t>位</w:t>
      </w:r>
      <w:r>
        <w:rPr>
          <w:spacing w:val="4"/>
        </w:rPr>
        <w:t>进</w:t>
      </w:r>
      <w:r>
        <w:rPr/>
        <w:t>行基金份</w:t>
      </w:r>
      <w:r>
        <w:rPr>
          <w:spacing w:val="4"/>
        </w:rPr>
        <w:t>额</w:t>
      </w:r>
      <w:r>
        <w:rPr/>
        <w:t>认购、上市交易的场所</w:t>
      </w:r>
    </w:p>
    <w:p>
      <w:pPr>
        <w:pStyle w:val="BodyText"/>
        <w:tabs>
          <w:tab w:pos="1480" w:val="left" w:leader="none"/>
        </w:tabs>
        <w:spacing w:line="364" w:lineRule="auto" w:before="1"/>
        <w:ind w:left="1060" w:right="366" w:hanging="360"/>
      </w:pPr>
      <w:r>
        <w:rPr>
          <w:rFonts w:ascii="Times New Roman" w:eastAsia="Times New Roman"/>
        </w:rPr>
        <w:t>21</w:t>
      </w:r>
      <w:r>
        <w:rPr/>
        <w:t>、</w:t>
        <w:tab/>
        <w:t>代销机构</w:t>
      </w:r>
      <w:r>
        <w:rPr>
          <w:spacing w:val="4"/>
        </w:rPr>
        <w:t>：</w:t>
      </w:r>
      <w:r>
        <w:rPr/>
        <w:t>指接</w:t>
      </w:r>
      <w:r>
        <w:rPr>
          <w:spacing w:val="4"/>
        </w:rPr>
        <w:t>受</w:t>
      </w:r>
      <w:r>
        <w:rPr/>
        <w:t>基</w:t>
      </w:r>
      <w:r>
        <w:rPr>
          <w:spacing w:val="4"/>
        </w:rPr>
        <w:t>金</w:t>
      </w:r>
      <w:r>
        <w:rPr/>
        <w:t>管理人委</w:t>
      </w:r>
      <w:r>
        <w:rPr>
          <w:spacing w:val="4"/>
        </w:rPr>
        <w:t>托</w:t>
      </w:r>
      <w:r>
        <w:rPr/>
        <w:t>代为</w:t>
      </w:r>
      <w:r>
        <w:rPr>
          <w:spacing w:val="4"/>
        </w:rPr>
        <w:t>办</w:t>
      </w:r>
      <w:r>
        <w:rPr/>
        <w:t>理</w:t>
      </w:r>
      <w:r>
        <w:rPr>
          <w:spacing w:val="4"/>
        </w:rPr>
        <w:t>本</w:t>
      </w:r>
      <w:r>
        <w:rPr/>
        <w:t>基金的认</w:t>
      </w:r>
      <w:r>
        <w:rPr>
          <w:spacing w:val="4"/>
        </w:rPr>
        <w:t>购</w:t>
      </w:r>
      <w:r>
        <w:rPr/>
        <w:t>、申购、赎回及转托管等业务的机构</w:t>
      </w:r>
    </w:p>
    <w:p>
      <w:pPr>
        <w:pStyle w:val="BodyText"/>
        <w:tabs>
          <w:tab w:pos="1480" w:val="left" w:leader="none"/>
        </w:tabs>
        <w:spacing w:before="2"/>
        <w:ind w:left="700"/>
      </w:pPr>
      <w:r>
        <w:rPr>
          <w:rFonts w:ascii="Times New Roman" w:eastAsia="Times New Roman"/>
        </w:rPr>
        <w:t>22</w:t>
      </w:r>
      <w:r>
        <w:rPr/>
        <w:t>、</w:t>
        <w:tab/>
        <w:t>销售机构：指基金管理人及基金代销机构</w:t>
      </w:r>
    </w:p>
    <w:p>
      <w:pPr>
        <w:pStyle w:val="BodyText"/>
        <w:tabs>
          <w:tab w:pos="1480" w:val="left" w:leader="none"/>
        </w:tabs>
        <w:spacing w:before="160"/>
        <w:ind w:left="700"/>
      </w:pPr>
      <w:r>
        <w:rPr>
          <w:rFonts w:ascii="Times New Roman" w:eastAsia="Times New Roman"/>
        </w:rPr>
        <w:t>23</w:t>
      </w:r>
      <w:r>
        <w:rPr/>
        <w:t>、</w:t>
        <w:tab/>
        <w:t>会员单位：指具有开放式基金代销资格的深圳证券交易所会员单位</w:t>
      </w:r>
    </w:p>
    <w:p>
      <w:pPr>
        <w:pStyle w:val="BodyText"/>
        <w:tabs>
          <w:tab w:pos="1480" w:val="left" w:leader="none"/>
        </w:tabs>
        <w:ind w:left="700"/>
      </w:pPr>
      <w:r>
        <w:rPr>
          <w:rFonts w:ascii="Times New Roman" w:eastAsia="Times New Roman"/>
        </w:rPr>
        <w:t>24</w:t>
      </w:r>
      <w:r>
        <w:rPr/>
        <w:t>、</w:t>
        <w:tab/>
        <w:t>注册登记人：指中国证券登记结算有限公司</w:t>
      </w:r>
    </w:p>
    <w:p>
      <w:pPr>
        <w:pStyle w:val="BodyText"/>
        <w:tabs>
          <w:tab w:pos="1480" w:val="left" w:leader="none"/>
        </w:tabs>
        <w:spacing w:line="364" w:lineRule="auto" w:before="160"/>
        <w:ind w:left="1060" w:right="366" w:hanging="360"/>
      </w:pPr>
      <w:r>
        <w:rPr>
          <w:rFonts w:ascii="Times New Roman" w:eastAsia="Times New Roman"/>
        </w:rPr>
        <w:t>25</w:t>
      </w:r>
      <w:r>
        <w:rPr/>
        <w:t>、</w:t>
        <w:tab/>
        <w:t>注册登记</w:t>
      </w:r>
      <w:r>
        <w:rPr>
          <w:spacing w:val="4"/>
        </w:rPr>
        <w:t>系</w:t>
      </w:r>
      <w:r>
        <w:rPr/>
        <w:t>统：</w:t>
      </w:r>
      <w:r>
        <w:rPr>
          <w:spacing w:val="4"/>
        </w:rPr>
        <w:t>指</w:t>
      </w:r>
      <w:r>
        <w:rPr/>
        <w:t>中</w:t>
      </w:r>
      <w:r>
        <w:rPr>
          <w:spacing w:val="4"/>
        </w:rPr>
        <w:t>国</w:t>
      </w:r>
      <w:r>
        <w:rPr/>
        <w:t>证券登记</w:t>
      </w:r>
      <w:r>
        <w:rPr>
          <w:spacing w:val="4"/>
        </w:rPr>
        <w:t>结</w:t>
      </w:r>
      <w:r>
        <w:rPr/>
        <w:t>算有</w:t>
      </w:r>
      <w:r>
        <w:rPr>
          <w:spacing w:val="4"/>
        </w:rPr>
        <w:t>限</w:t>
      </w:r>
      <w:r>
        <w:rPr/>
        <w:t>公</w:t>
      </w:r>
      <w:r>
        <w:rPr>
          <w:spacing w:val="4"/>
        </w:rPr>
        <w:t>司</w:t>
      </w:r>
      <w:r>
        <w:rPr/>
        <w:t>开放式基</w:t>
      </w:r>
      <w:r>
        <w:rPr>
          <w:spacing w:val="4"/>
        </w:rPr>
        <w:t>金</w:t>
      </w:r>
      <w:r>
        <w:rPr/>
        <w:t>注册登记系统</w:t>
      </w:r>
    </w:p>
    <w:p>
      <w:pPr>
        <w:pStyle w:val="BodyText"/>
        <w:tabs>
          <w:tab w:pos="1480" w:val="left" w:leader="none"/>
        </w:tabs>
        <w:spacing w:line="364" w:lineRule="auto" w:before="1"/>
        <w:ind w:left="1060" w:right="366" w:hanging="360"/>
      </w:pPr>
      <w:r>
        <w:rPr>
          <w:rFonts w:ascii="Times New Roman" w:eastAsia="Times New Roman"/>
        </w:rPr>
        <w:t>26</w:t>
      </w:r>
      <w:r>
        <w:rPr/>
        <w:t>、</w:t>
        <w:tab/>
        <w:t>证券登记</w:t>
      </w:r>
      <w:r>
        <w:rPr>
          <w:spacing w:val="4"/>
        </w:rPr>
        <w:t>结</w:t>
      </w:r>
      <w:r>
        <w:rPr/>
        <w:t>算系</w:t>
      </w:r>
      <w:r>
        <w:rPr>
          <w:spacing w:val="4"/>
        </w:rPr>
        <w:t>统</w:t>
      </w:r>
      <w:r>
        <w:rPr/>
        <w:t>：</w:t>
      </w:r>
      <w:r>
        <w:rPr>
          <w:spacing w:val="4"/>
        </w:rPr>
        <w:t>指</w:t>
      </w:r>
      <w:r>
        <w:rPr/>
        <w:t>中国证券</w:t>
      </w:r>
      <w:r>
        <w:rPr>
          <w:spacing w:val="4"/>
        </w:rPr>
        <w:t>登</w:t>
      </w:r>
      <w:r>
        <w:rPr/>
        <w:t>记结</w:t>
      </w:r>
      <w:r>
        <w:rPr>
          <w:spacing w:val="4"/>
        </w:rPr>
        <w:t>算</w:t>
      </w:r>
      <w:r>
        <w:rPr/>
        <w:t>有</w:t>
      </w:r>
      <w:r>
        <w:rPr>
          <w:spacing w:val="4"/>
        </w:rPr>
        <w:t>限</w:t>
      </w:r>
      <w:r>
        <w:rPr/>
        <w:t>公司深圳</w:t>
      </w:r>
      <w:r>
        <w:rPr>
          <w:spacing w:val="4"/>
        </w:rPr>
        <w:t>分</w:t>
      </w:r>
      <w:r>
        <w:rPr/>
        <w:t>公司证券登记结算系统</w:t>
      </w:r>
    </w:p>
    <w:p>
      <w:pPr>
        <w:pStyle w:val="BodyText"/>
        <w:tabs>
          <w:tab w:pos="1480" w:val="left" w:leader="none"/>
        </w:tabs>
        <w:spacing w:line="364" w:lineRule="auto" w:before="2"/>
        <w:ind w:left="1060" w:right="366" w:hanging="360"/>
      </w:pPr>
      <w:r>
        <w:rPr>
          <w:rFonts w:ascii="Times New Roman" w:eastAsia="Times New Roman"/>
        </w:rPr>
        <w:t>27</w:t>
      </w:r>
      <w:r>
        <w:rPr/>
        <w:t>、</w:t>
        <w:tab/>
        <w:t>基金合同</w:t>
      </w:r>
      <w:r>
        <w:rPr>
          <w:spacing w:val="4"/>
        </w:rPr>
        <w:t>当</w:t>
      </w:r>
      <w:r>
        <w:rPr/>
        <w:t>事人</w:t>
      </w:r>
      <w:r>
        <w:rPr>
          <w:spacing w:val="4"/>
        </w:rPr>
        <w:t>：</w:t>
      </w:r>
      <w:r>
        <w:rPr/>
        <w:t>指</w:t>
      </w:r>
      <w:r>
        <w:rPr>
          <w:spacing w:val="4"/>
        </w:rPr>
        <w:t>受</w:t>
      </w:r>
      <w:r>
        <w:rPr/>
        <w:t>基金合同</w:t>
      </w:r>
      <w:r>
        <w:rPr>
          <w:spacing w:val="4"/>
        </w:rPr>
        <w:t>约</w:t>
      </w:r>
      <w:r>
        <w:rPr/>
        <w:t>束，</w:t>
      </w:r>
      <w:r>
        <w:rPr>
          <w:spacing w:val="4"/>
        </w:rPr>
        <w:t>根</w:t>
      </w:r>
      <w:r>
        <w:rPr/>
        <w:t>据</w:t>
      </w:r>
      <w:r>
        <w:rPr>
          <w:spacing w:val="4"/>
        </w:rPr>
        <w:t>本</w:t>
      </w:r>
      <w:r>
        <w:rPr/>
        <w:t>基金合同</w:t>
      </w:r>
      <w:r>
        <w:rPr>
          <w:spacing w:val="4"/>
        </w:rPr>
        <w:t>享</w:t>
      </w:r>
      <w:r>
        <w:rPr/>
        <w:t>有权利并承担义务的基金管理人、基金托管人和基金份额持有人</w:t>
      </w:r>
    </w:p>
    <w:p>
      <w:pPr>
        <w:pStyle w:val="BodyText"/>
        <w:tabs>
          <w:tab w:pos="1480" w:val="left" w:leader="none"/>
        </w:tabs>
        <w:spacing w:before="1"/>
        <w:ind w:left="700"/>
      </w:pPr>
      <w:r>
        <w:rPr>
          <w:rFonts w:ascii="Times New Roman" w:eastAsia="Times New Roman"/>
        </w:rPr>
        <w:t>28</w:t>
      </w:r>
      <w:r>
        <w:rPr/>
        <w:t>、</w:t>
        <w:tab/>
        <w:t>基金投资者：指个人投资者和机构投资者</w:t>
      </w:r>
    </w:p>
    <w:p>
      <w:pPr>
        <w:pStyle w:val="BodyText"/>
        <w:tabs>
          <w:tab w:pos="1480" w:val="left" w:leader="none"/>
        </w:tabs>
        <w:spacing w:line="364" w:lineRule="auto"/>
        <w:ind w:left="1060" w:right="366" w:hanging="360"/>
      </w:pPr>
      <w:r>
        <w:rPr>
          <w:rFonts w:ascii="Times New Roman" w:eastAsia="Times New Roman"/>
        </w:rPr>
        <w:t>29</w:t>
      </w:r>
      <w:r>
        <w:rPr/>
        <w:t>、</w:t>
        <w:tab/>
        <w:t>个人投资</w:t>
      </w:r>
      <w:r>
        <w:rPr>
          <w:spacing w:val="4"/>
        </w:rPr>
        <w:t>者</w:t>
      </w:r>
      <w:r>
        <w:rPr/>
        <w:t>：指</w:t>
      </w:r>
      <w:r>
        <w:rPr>
          <w:spacing w:val="4"/>
        </w:rPr>
        <w:t>依</w:t>
      </w:r>
      <w:r>
        <w:rPr/>
        <w:t>据</w:t>
      </w:r>
      <w:r>
        <w:rPr>
          <w:spacing w:val="4"/>
        </w:rPr>
        <w:t>中</w:t>
      </w:r>
      <w:r>
        <w:rPr/>
        <w:t>华人民共</w:t>
      </w:r>
      <w:r>
        <w:rPr>
          <w:spacing w:val="4"/>
        </w:rPr>
        <w:t>和</w:t>
      </w:r>
      <w:r>
        <w:rPr/>
        <w:t>国有</w:t>
      </w:r>
      <w:r>
        <w:rPr>
          <w:spacing w:val="4"/>
        </w:rPr>
        <w:t>关</w:t>
      </w:r>
      <w:r>
        <w:rPr/>
        <w:t>法</w:t>
      </w:r>
      <w:r>
        <w:rPr>
          <w:spacing w:val="4"/>
        </w:rPr>
        <w:t>律</w:t>
      </w:r>
      <w:r>
        <w:rPr/>
        <w:t>法规及其</w:t>
      </w:r>
      <w:r>
        <w:rPr>
          <w:spacing w:val="4"/>
        </w:rPr>
        <w:t>他</w:t>
      </w:r>
      <w:r>
        <w:rPr/>
        <w:t>有关规定可以投资于证券投资基金的自然人投资者</w:t>
      </w:r>
    </w:p>
    <w:p>
      <w:pPr>
        <w:pStyle w:val="BodyText"/>
        <w:tabs>
          <w:tab w:pos="1480" w:val="left" w:leader="none"/>
        </w:tabs>
        <w:spacing w:line="364" w:lineRule="auto" w:before="1"/>
        <w:ind w:left="1060" w:right="366" w:hanging="360"/>
      </w:pPr>
      <w:r>
        <w:rPr>
          <w:rFonts w:ascii="Times New Roman" w:eastAsia="Times New Roman"/>
        </w:rPr>
        <w:t>30</w:t>
      </w:r>
      <w:r>
        <w:rPr/>
        <w:t>、</w:t>
        <w:tab/>
        <w:t>机构投资</w:t>
      </w:r>
      <w:r>
        <w:rPr>
          <w:spacing w:val="4"/>
        </w:rPr>
        <w:t>者</w:t>
      </w:r>
      <w:r>
        <w:rPr/>
        <w:t>：指</w:t>
      </w:r>
      <w:r>
        <w:rPr>
          <w:spacing w:val="4"/>
        </w:rPr>
        <w:t>依</w:t>
      </w:r>
      <w:r>
        <w:rPr/>
        <w:t>据</w:t>
      </w:r>
      <w:r>
        <w:rPr>
          <w:spacing w:val="4"/>
        </w:rPr>
        <w:t>中</w:t>
      </w:r>
      <w:r>
        <w:rPr/>
        <w:t>华人民共</w:t>
      </w:r>
      <w:r>
        <w:rPr>
          <w:spacing w:val="4"/>
        </w:rPr>
        <w:t>和</w:t>
      </w:r>
      <w:r>
        <w:rPr/>
        <w:t>国有</w:t>
      </w:r>
      <w:r>
        <w:rPr>
          <w:spacing w:val="4"/>
        </w:rPr>
        <w:t>关</w:t>
      </w:r>
      <w:r>
        <w:rPr/>
        <w:t>法</w:t>
      </w:r>
      <w:r>
        <w:rPr>
          <w:spacing w:val="4"/>
        </w:rPr>
        <w:t>律</w:t>
      </w:r>
      <w:r>
        <w:rPr/>
        <w:t>法规及其</w:t>
      </w:r>
      <w:r>
        <w:rPr>
          <w:spacing w:val="4"/>
        </w:rPr>
        <w:t>他</w:t>
      </w:r>
      <w:r>
        <w:rPr/>
        <w:t>有关规定可以投资于证券投资基金的法人、社会团体或其他组织</w:t>
      </w:r>
    </w:p>
    <w:p>
      <w:pPr>
        <w:pStyle w:val="BodyText"/>
        <w:tabs>
          <w:tab w:pos="1480" w:val="left" w:leader="none"/>
        </w:tabs>
        <w:spacing w:before="2"/>
        <w:ind w:left="700"/>
      </w:pPr>
      <w:r>
        <w:rPr>
          <w:rFonts w:ascii="Times New Roman" w:eastAsia="Times New Roman"/>
        </w:rPr>
        <w:t>31</w:t>
      </w:r>
      <w:r>
        <w:rPr/>
        <w:t>、</w:t>
        <w:tab/>
        <w:t>基金合同</w:t>
      </w:r>
      <w:r>
        <w:rPr>
          <w:spacing w:val="4"/>
        </w:rPr>
        <w:t>生</w:t>
      </w:r>
      <w:r>
        <w:rPr/>
        <w:t>效日</w:t>
      </w:r>
      <w:r>
        <w:rPr>
          <w:spacing w:val="4"/>
        </w:rPr>
        <w:t>：</w:t>
      </w:r>
      <w:r>
        <w:rPr/>
        <w:t>指</w:t>
      </w:r>
      <w:r>
        <w:rPr>
          <w:spacing w:val="4"/>
        </w:rPr>
        <w:t>基</w:t>
      </w:r>
      <w:r>
        <w:rPr/>
        <w:t>金募集期</w:t>
      </w:r>
      <w:r>
        <w:rPr>
          <w:spacing w:val="4"/>
        </w:rPr>
        <w:t>结</w:t>
      </w:r>
      <w:r>
        <w:rPr/>
        <w:t>束并</w:t>
      </w:r>
      <w:r>
        <w:rPr>
          <w:spacing w:val="4"/>
        </w:rPr>
        <w:t>达</w:t>
      </w:r>
      <w:r>
        <w:rPr/>
        <w:t>到</w:t>
      </w:r>
      <w:r>
        <w:rPr>
          <w:spacing w:val="4"/>
        </w:rPr>
        <w:t>合</w:t>
      </w:r>
      <w:r>
        <w:rPr/>
        <w:t>同生效条</w:t>
      </w:r>
      <w:r>
        <w:rPr>
          <w:spacing w:val="4"/>
        </w:rPr>
        <w:t>件</w:t>
      </w:r>
      <w:r>
        <w:rPr/>
        <w:t>后向中国</w:t>
      </w:r>
    </w:p>
    <w:p>
      <w:pPr>
        <w:spacing w:after="0"/>
        <w:sectPr>
          <w:pgSz w:w="11910" w:h="16840"/>
          <w:pgMar w:header="874" w:footer="997" w:top="1380" w:bottom="1180" w:left="1580" w:right="1440"/>
        </w:sectPr>
      </w:pPr>
    </w:p>
    <w:p>
      <w:pPr>
        <w:pStyle w:val="BodyText"/>
        <w:spacing w:before="130"/>
        <w:ind w:left="1060"/>
      </w:pPr>
      <w:r>
        <w:rPr/>
        <w:t>证监会办理基金合同备案手续并收到其书面确认之日</w:t>
      </w:r>
    </w:p>
    <w:p>
      <w:pPr>
        <w:pStyle w:val="BodyText"/>
        <w:tabs>
          <w:tab w:pos="1480" w:val="left" w:leader="none"/>
        </w:tabs>
        <w:spacing w:before="160"/>
        <w:ind w:left="700"/>
      </w:pPr>
      <w:r>
        <w:rPr>
          <w:rFonts w:ascii="Times New Roman" w:eastAsia="Times New Roman"/>
        </w:rPr>
        <w:t>32</w:t>
      </w:r>
      <w:r>
        <w:rPr/>
        <w:t>、</w:t>
        <w:tab/>
        <w:t>募集期：指自基金份额发售之日起最长不超过</w:t>
      </w:r>
      <w:r>
        <w:rPr>
          <w:spacing w:val="1"/>
        </w:rPr>
        <w:t> </w:t>
      </w:r>
      <w:r>
        <w:rPr>
          <w:rFonts w:ascii="Times New Roman" w:eastAsia="Times New Roman"/>
        </w:rPr>
        <w:t>3 </w:t>
      </w:r>
      <w:r>
        <w:rPr/>
        <w:t>个月</w:t>
      </w:r>
    </w:p>
    <w:p>
      <w:pPr>
        <w:pStyle w:val="BodyText"/>
        <w:tabs>
          <w:tab w:pos="1480" w:val="left" w:leader="none"/>
        </w:tabs>
        <w:spacing w:line="364" w:lineRule="auto"/>
        <w:ind w:left="1060" w:right="365" w:hanging="360"/>
      </w:pPr>
      <w:r>
        <w:rPr>
          <w:rFonts w:ascii="Times New Roman" w:eastAsia="Times New Roman"/>
        </w:rPr>
        <w:t>33</w:t>
      </w:r>
      <w:r>
        <w:rPr/>
        <w:t>、</w:t>
        <w:tab/>
        <w:t>存续期</w:t>
      </w:r>
      <w:r>
        <w:rPr>
          <w:spacing w:val="3"/>
        </w:rPr>
        <w:t>：</w:t>
      </w:r>
      <w:r>
        <w:rPr>
          <w:spacing w:val="4"/>
        </w:rPr>
        <w:t>指</w:t>
      </w:r>
      <w:r>
        <w:rPr/>
        <w:t>基金</w:t>
      </w:r>
      <w:r>
        <w:rPr>
          <w:spacing w:val="4"/>
        </w:rPr>
        <w:t>合</w:t>
      </w:r>
      <w:r>
        <w:rPr/>
        <w:t>同</w:t>
      </w:r>
      <w:r>
        <w:rPr>
          <w:spacing w:val="4"/>
        </w:rPr>
        <w:t>生</w:t>
      </w:r>
      <w:r>
        <w:rPr/>
        <w:t>效至基金</w:t>
      </w:r>
      <w:r>
        <w:rPr>
          <w:spacing w:val="4"/>
        </w:rPr>
        <w:t>合</w:t>
      </w:r>
      <w:r>
        <w:rPr/>
        <w:t>同终</w:t>
      </w:r>
      <w:r>
        <w:rPr>
          <w:spacing w:val="4"/>
        </w:rPr>
        <w:t>止</w:t>
      </w:r>
      <w:r>
        <w:rPr/>
        <w:t>，</w:t>
      </w:r>
      <w:r>
        <w:rPr>
          <w:spacing w:val="4"/>
        </w:rPr>
        <w:t>基</w:t>
      </w:r>
      <w:r>
        <w:rPr/>
        <w:t>金存续的</w:t>
      </w:r>
      <w:r>
        <w:rPr>
          <w:spacing w:val="4"/>
        </w:rPr>
        <w:t>不</w:t>
      </w:r>
      <w:r>
        <w:rPr/>
        <w:t>定期之期限</w:t>
      </w:r>
    </w:p>
    <w:p>
      <w:pPr>
        <w:pStyle w:val="BodyText"/>
        <w:tabs>
          <w:tab w:pos="1480" w:val="left" w:leader="none"/>
        </w:tabs>
        <w:spacing w:before="1"/>
        <w:ind w:left="700"/>
      </w:pPr>
      <w:r>
        <w:rPr>
          <w:rFonts w:ascii="Times New Roman" w:eastAsia="Times New Roman"/>
        </w:rPr>
        <w:t>34</w:t>
      </w:r>
      <w:r>
        <w:rPr/>
        <w:t>、</w:t>
        <w:tab/>
        <w:t>日</w:t>
      </w:r>
      <w:r>
        <w:rPr>
          <w:rFonts w:ascii="Times New Roman" w:eastAsia="Times New Roman"/>
        </w:rPr>
        <w:t>/</w:t>
      </w:r>
      <w:r>
        <w:rPr/>
        <w:t>天：指公历日</w:t>
      </w:r>
    </w:p>
    <w:p>
      <w:pPr>
        <w:pStyle w:val="BodyText"/>
        <w:tabs>
          <w:tab w:pos="1480" w:val="left" w:leader="none"/>
        </w:tabs>
        <w:spacing w:before="160"/>
        <w:ind w:left="700"/>
      </w:pPr>
      <w:r>
        <w:rPr>
          <w:rFonts w:ascii="Times New Roman" w:eastAsia="Times New Roman"/>
        </w:rPr>
        <w:t>35</w:t>
      </w:r>
      <w:r>
        <w:rPr/>
        <w:t>、</w:t>
        <w:tab/>
        <w:t>月：指公历月</w:t>
      </w:r>
    </w:p>
    <w:p>
      <w:pPr>
        <w:pStyle w:val="BodyText"/>
        <w:tabs>
          <w:tab w:pos="1480" w:val="left" w:leader="none"/>
        </w:tabs>
        <w:ind w:left="700"/>
      </w:pPr>
      <w:r>
        <w:rPr>
          <w:rFonts w:ascii="Times New Roman" w:eastAsia="Times New Roman"/>
        </w:rPr>
        <w:t>36</w:t>
      </w:r>
      <w:r>
        <w:rPr/>
        <w:t>、</w:t>
        <w:tab/>
        <w:t>发售：指场外认购和场内认购</w:t>
      </w:r>
    </w:p>
    <w:p>
      <w:pPr>
        <w:pStyle w:val="BodyText"/>
        <w:tabs>
          <w:tab w:pos="1480" w:val="left" w:leader="none"/>
        </w:tabs>
        <w:spacing w:line="364" w:lineRule="auto"/>
        <w:ind w:left="1060" w:right="366" w:hanging="360"/>
      </w:pPr>
      <w:r>
        <w:rPr>
          <w:rFonts w:ascii="Times New Roman" w:eastAsia="Times New Roman"/>
        </w:rPr>
        <w:t>37</w:t>
      </w:r>
      <w:r>
        <w:rPr/>
        <w:t>、</w:t>
        <w:tab/>
        <w:t>场外认购</w:t>
      </w:r>
      <w:r>
        <w:rPr>
          <w:spacing w:val="4"/>
        </w:rPr>
        <w:t>：</w:t>
      </w:r>
      <w:r>
        <w:rPr/>
        <w:t>指基</w:t>
      </w:r>
      <w:r>
        <w:rPr>
          <w:spacing w:val="4"/>
        </w:rPr>
        <w:t>金</w:t>
      </w:r>
      <w:r>
        <w:rPr/>
        <w:t>募</w:t>
      </w:r>
      <w:r>
        <w:rPr>
          <w:spacing w:val="4"/>
        </w:rPr>
        <w:t>集</w:t>
      </w:r>
      <w:r>
        <w:rPr/>
        <w:t>期内投资</w:t>
      </w:r>
      <w:r>
        <w:rPr>
          <w:spacing w:val="4"/>
        </w:rPr>
        <w:t>者</w:t>
      </w:r>
      <w:r>
        <w:rPr/>
        <w:t>通过</w:t>
      </w:r>
      <w:r>
        <w:rPr>
          <w:spacing w:val="4"/>
        </w:rPr>
        <w:t>场</w:t>
      </w:r>
      <w:r>
        <w:rPr/>
        <w:t>外</w:t>
      </w:r>
      <w:r>
        <w:rPr>
          <w:spacing w:val="4"/>
        </w:rPr>
        <w:t>销</w:t>
      </w:r>
      <w:r>
        <w:rPr/>
        <w:t>售机构申</w:t>
      </w:r>
      <w:r>
        <w:rPr>
          <w:spacing w:val="4"/>
        </w:rPr>
        <w:t>请</w:t>
      </w:r>
      <w:r>
        <w:rPr/>
        <w:t>购买本基金份额的行为、</w:t>
      </w:r>
    </w:p>
    <w:p>
      <w:pPr>
        <w:pStyle w:val="BodyText"/>
        <w:tabs>
          <w:tab w:pos="1480" w:val="left" w:leader="none"/>
        </w:tabs>
        <w:spacing w:line="364" w:lineRule="auto" w:before="1"/>
        <w:ind w:left="1060" w:right="366" w:hanging="360"/>
      </w:pPr>
      <w:r>
        <w:rPr>
          <w:rFonts w:ascii="Times New Roman" w:eastAsia="Times New Roman"/>
        </w:rPr>
        <w:t>38</w:t>
      </w:r>
      <w:r>
        <w:rPr/>
        <w:t>、</w:t>
        <w:tab/>
        <w:t>场内认购</w:t>
      </w:r>
      <w:r>
        <w:rPr>
          <w:spacing w:val="4"/>
        </w:rPr>
        <w:t>：</w:t>
      </w:r>
      <w:r>
        <w:rPr/>
        <w:t>指基</w:t>
      </w:r>
      <w:r>
        <w:rPr>
          <w:spacing w:val="4"/>
        </w:rPr>
        <w:t>金</w:t>
      </w:r>
      <w:r>
        <w:rPr/>
        <w:t>募</w:t>
      </w:r>
      <w:r>
        <w:rPr>
          <w:spacing w:val="4"/>
        </w:rPr>
        <w:t>集</w:t>
      </w:r>
      <w:r>
        <w:rPr/>
        <w:t>期内投资</w:t>
      </w:r>
      <w:r>
        <w:rPr>
          <w:spacing w:val="4"/>
        </w:rPr>
        <w:t>者</w:t>
      </w:r>
      <w:r>
        <w:rPr/>
        <w:t>通过</w:t>
      </w:r>
      <w:r>
        <w:rPr>
          <w:spacing w:val="4"/>
        </w:rPr>
        <w:t>场</w:t>
      </w:r>
      <w:r>
        <w:rPr/>
        <w:t>内</w:t>
      </w:r>
      <w:r>
        <w:rPr>
          <w:spacing w:val="4"/>
        </w:rPr>
        <w:t>会</w:t>
      </w:r>
      <w:r>
        <w:rPr/>
        <w:t>员单位申</w:t>
      </w:r>
      <w:r>
        <w:rPr>
          <w:spacing w:val="4"/>
        </w:rPr>
        <w:t>请</w:t>
      </w:r>
      <w:r>
        <w:rPr/>
        <w:t>购买本基金份额的行为</w:t>
      </w:r>
    </w:p>
    <w:p>
      <w:pPr>
        <w:pStyle w:val="BodyText"/>
        <w:tabs>
          <w:tab w:pos="1480" w:val="left" w:leader="none"/>
        </w:tabs>
        <w:spacing w:before="1"/>
        <w:ind w:left="700"/>
      </w:pPr>
      <w:r>
        <w:rPr>
          <w:rFonts w:ascii="Times New Roman" w:eastAsia="Times New Roman"/>
        </w:rPr>
        <w:t>39</w:t>
      </w:r>
      <w:r>
        <w:rPr/>
        <w:t>、</w:t>
        <w:tab/>
        <w:t>工作日：指上海证券交易所和深圳证券交易所的正常交易日</w:t>
      </w:r>
    </w:p>
    <w:p>
      <w:pPr>
        <w:pStyle w:val="BodyText"/>
        <w:tabs>
          <w:tab w:pos="1480" w:val="left" w:leader="none"/>
        </w:tabs>
        <w:spacing w:line="364" w:lineRule="auto"/>
        <w:ind w:left="1060" w:right="352" w:hanging="360"/>
      </w:pPr>
      <w:r>
        <w:rPr>
          <w:rFonts w:ascii="Times New Roman" w:eastAsia="Times New Roman"/>
        </w:rPr>
        <w:t>40</w:t>
      </w:r>
      <w:r>
        <w:rPr/>
        <w:t>、</w:t>
        <w:tab/>
      </w:r>
      <w:r>
        <w:rPr>
          <w:rFonts w:ascii="Times New Roman" w:eastAsia="Times New Roman"/>
        </w:rPr>
        <w:t>T</w:t>
      </w:r>
      <w:r>
        <w:rPr>
          <w:rFonts w:ascii="Times New Roman" w:eastAsia="Times New Roman"/>
          <w:spacing w:val="47"/>
        </w:rPr>
        <w:t> </w:t>
      </w:r>
      <w:r>
        <w:rPr/>
        <w:t>日：指销售机构在规定时间受理投资者申购、赎回或其他业务申请的日期</w:t>
      </w:r>
    </w:p>
    <w:p>
      <w:pPr>
        <w:pStyle w:val="BodyText"/>
        <w:tabs>
          <w:tab w:pos="1480" w:val="left" w:leader="none"/>
        </w:tabs>
        <w:spacing w:before="1"/>
        <w:ind w:left="700"/>
      </w:pPr>
      <w:r>
        <w:rPr>
          <w:rFonts w:ascii="Times New Roman" w:eastAsia="Times New Roman"/>
        </w:rPr>
        <w:t>41</w:t>
      </w:r>
      <w:r>
        <w:rPr/>
        <w:t>、</w:t>
        <w:tab/>
      </w:r>
      <w:r>
        <w:rPr>
          <w:rFonts w:ascii="Times New Roman" w:eastAsia="Times New Roman"/>
        </w:rPr>
        <w:t>T+N</w:t>
      </w:r>
      <w:r>
        <w:rPr>
          <w:rFonts w:ascii="Times New Roman" w:eastAsia="Times New Roman"/>
          <w:spacing w:val="-1"/>
        </w:rPr>
        <w:t> </w:t>
      </w:r>
      <w:r>
        <w:rPr/>
        <w:t>日：指自 </w:t>
      </w:r>
      <w:r>
        <w:rPr>
          <w:rFonts w:ascii="Times New Roman" w:eastAsia="Times New Roman"/>
        </w:rPr>
        <w:t>T</w:t>
      </w:r>
      <w:r>
        <w:rPr>
          <w:rFonts w:ascii="Times New Roman" w:eastAsia="Times New Roman"/>
          <w:spacing w:val="-1"/>
        </w:rPr>
        <w:t> </w:t>
      </w:r>
      <w:r>
        <w:rPr/>
        <w:t>日起第</w:t>
      </w:r>
      <w:r>
        <w:rPr>
          <w:spacing w:val="-1"/>
        </w:rPr>
        <w:t> </w:t>
      </w:r>
      <w:r>
        <w:rPr>
          <w:rFonts w:ascii="Times New Roman" w:eastAsia="Times New Roman"/>
        </w:rPr>
        <w:t>N</w:t>
      </w:r>
      <w:r>
        <w:rPr>
          <w:rFonts w:ascii="Times New Roman" w:eastAsia="Times New Roman"/>
          <w:spacing w:val="-1"/>
        </w:rPr>
        <w:t> </w:t>
      </w:r>
      <w:r>
        <w:rPr/>
        <w:t>个工作日（不包含 </w:t>
      </w:r>
      <w:r>
        <w:rPr>
          <w:rFonts w:ascii="Times New Roman" w:eastAsia="Times New Roman"/>
        </w:rPr>
        <w:t>T</w:t>
      </w:r>
      <w:r>
        <w:rPr>
          <w:rFonts w:ascii="Times New Roman" w:eastAsia="Times New Roman"/>
          <w:spacing w:val="-1"/>
        </w:rPr>
        <w:t> </w:t>
      </w:r>
      <w:r>
        <w:rPr/>
        <w:t>日）</w:t>
      </w:r>
    </w:p>
    <w:p>
      <w:pPr>
        <w:pStyle w:val="BodyText"/>
        <w:tabs>
          <w:tab w:pos="1480" w:val="left" w:leader="none"/>
        </w:tabs>
        <w:ind w:left="700"/>
      </w:pPr>
      <w:r>
        <w:rPr>
          <w:rFonts w:ascii="Times New Roman" w:eastAsia="Times New Roman"/>
        </w:rPr>
        <w:t>42</w:t>
      </w:r>
      <w:r>
        <w:rPr/>
        <w:t>、</w:t>
        <w:tab/>
        <w:t>开放日：指为投资者办理基金申购、赎回等业务的工作日</w:t>
      </w:r>
    </w:p>
    <w:p>
      <w:pPr>
        <w:pStyle w:val="BodyText"/>
        <w:ind w:left="700"/>
        <w:jc w:val="both"/>
      </w:pPr>
      <w:r>
        <w:rPr>
          <w:rFonts w:ascii="Times New Roman" w:eastAsia="Times New Roman"/>
        </w:rPr>
        <w:t>43</w:t>
      </w:r>
      <w:r>
        <w:rPr/>
        <w:t>、 认购：指在本基金募集期内，投资者申请购买本基金份额的行为</w:t>
      </w:r>
    </w:p>
    <w:p>
      <w:pPr>
        <w:pStyle w:val="BodyText"/>
        <w:spacing w:line="364" w:lineRule="auto" w:before="160"/>
        <w:ind w:left="1060" w:right="366" w:hanging="360"/>
        <w:jc w:val="both"/>
      </w:pPr>
      <w:r>
        <w:rPr>
          <w:rFonts w:ascii="Times New Roman" w:eastAsia="Times New Roman"/>
        </w:rPr>
        <w:t>44</w:t>
      </w:r>
      <w:r>
        <w:rPr/>
        <w:t>、 申购：指在本基金基金合同生效后，投资者申请购买本基金份额的行为</w:t>
      </w:r>
    </w:p>
    <w:p>
      <w:pPr>
        <w:pStyle w:val="BodyText"/>
        <w:spacing w:line="364" w:lineRule="auto" w:before="1"/>
        <w:ind w:left="1060" w:right="366" w:hanging="360"/>
        <w:jc w:val="both"/>
      </w:pPr>
      <w:r>
        <w:rPr>
          <w:rFonts w:ascii="Times New Roman" w:eastAsia="Times New Roman"/>
        </w:rPr>
        <w:t>45</w:t>
      </w:r>
      <w:r>
        <w:rPr/>
        <w:t>、 赎回：指基金份额持有人按本基金合同规定的条件，要求基金管理人购回本基金份额的行为</w:t>
      </w:r>
    </w:p>
    <w:p>
      <w:pPr>
        <w:pStyle w:val="BodyText"/>
        <w:spacing w:line="364" w:lineRule="auto" w:before="2"/>
        <w:ind w:left="1060" w:right="366" w:hanging="360"/>
        <w:jc w:val="both"/>
      </w:pPr>
      <w:r>
        <w:rPr>
          <w:rFonts w:ascii="Times New Roman" w:eastAsia="Times New Roman"/>
        </w:rPr>
        <w:t>46</w:t>
      </w:r>
      <w:r>
        <w:rPr/>
        <w:t>、 上市交易：指基金存续期间投资者通过场内会员单位以集中竞价的方式买卖基金份额的行为</w:t>
      </w:r>
    </w:p>
    <w:p>
      <w:pPr>
        <w:pStyle w:val="BodyText"/>
        <w:spacing w:line="364" w:lineRule="auto" w:before="1"/>
        <w:ind w:left="1060" w:right="358" w:hanging="360"/>
        <w:jc w:val="both"/>
      </w:pPr>
      <w:r>
        <w:rPr>
          <w:rFonts w:ascii="Times New Roman" w:eastAsia="Times New Roman"/>
        </w:rPr>
        <w:t>47</w:t>
      </w:r>
      <w:r>
        <w:rPr/>
        <w:t>、 系统内转托管：指持有人将持有的基金份额在注册登记系统内不同销售机构（网点）之间或证券登记结算系统内不同会员单位（席位）之间进行转托管的行为</w:t>
      </w:r>
    </w:p>
    <w:p>
      <w:pPr>
        <w:pStyle w:val="BodyText"/>
        <w:spacing w:line="364" w:lineRule="auto" w:before="2"/>
        <w:ind w:left="1060" w:right="366" w:hanging="360"/>
        <w:jc w:val="both"/>
      </w:pPr>
      <w:r>
        <w:rPr>
          <w:rFonts w:ascii="Times New Roman" w:eastAsia="Times New Roman"/>
        </w:rPr>
        <w:t>48</w:t>
      </w:r>
      <w:r>
        <w:rPr/>
        <w:t>、 跨系统转登记：指持有人将持有的基金份额在注册登记系统和证券登记结算系统间进行转登记的行为</w:t>
      </w:r>
    </w:p>
    <w:p>
      <w:pPr>
        <w:pStyle w:val="BodyText"/>
        <w:spacing w:before="2"/>
        <w:ind w:left="700"/>
        <w:jc w:val="both"/>
      </w:pPr>
      <w:r>
        <w:rPr>
          <w:rFonts w:ascii="Times New Roman" w:eastAsia="Times New Roman"/>
        </w:rPr>
        <w:t>49</w:t>
      </w:r>
      <w:r>
        <w:rPr/>
        <w:t>、 开放式基金账户：指注册登记人给投资者开立的用于记录投资者持</w:t>
      </w:r>
    </w:p>
    <w:p>
      <w:pPr>
        <w:spacing w:after="0"/>
        <w:jc w:val="both"/>
        <w:sectPr>
          <w:pgSz w:w="11910" w:h="16840"/>
          <w:pgMar w:header="874" w:footer="997" w:top="1380" w:bottom="1180" w:left="1580" w:right="1440"/>
        </w:sectPr>
      </w:pPr>
    </w:p>
    <w:p>
      <w:pPr>
        <w:pStyle w:val="BodyText"/>
        <w:spacing w:line="364" w:lineRule="auto" w:before="130"/>
        <w:ind w:left="1060" w:right="358"/>
      </w:pPr>
      <w:r>
        <w:rPr/>
        <w:t>有基金份额的账户，记录在该账户下的基金份额登记在注册登记人的注册登记系统</w:t>
      </w:r>
    </w:p>
    <w:p>
      <w:pPr>
        <w:pStyle w:val="BodyText"/>
        <w:spacing w:line="364" w:lineRule="auto" w:before="1"/>
        <w:ind w:left="1060" w:right="358" w:hanging="360"/>
        <w:jc w:val="both"/>
      </w:pPr>
      <w:r>
        <w:rPr>
          <w:rFonts w:ascii="Times New Roman" w:eastAsia="Times New Roman"/>
        </w:rPr>
        <w:t>50</w:t>
      </w:r>
      <w:r>
        <w:rPr/>
        <w:t>、 证券账户：指注册登记人给投资者开立的用于记录投资者持有证券的账户，包括人民币普通股票账户和证券投资基金账户，记录在该账户下的基金份额登记在注册登记人的证券登记结算系统</w:t>
      </w:r>
    </w:p>
    <w:p>
      <w:pPr>
        <w:pStyle w:val="BodyText"/>
        <w:spacing w:line="364" w:lineRule="auto" w:before="2"/>
        <w:ind w:left="1060" w:right="358" w:hanging="360"/>
        <w:jc w:val="both"/>
      </w:pPr>
      <w:r>
        <w:rPr>
          <w:rFonts w:ascii="Times New Roman" w:eastAsia="Times New Roman"/>
        </w:rPr>
        <w:t>51</w:t>
      </w:r>
      <w:r>
        <w:rPr/>
        <w:t>、 巨额赎回：指在单个开放日内，本基金净赎回申请份额（本基金赎回申请总份额扣除申购申请总份额之余额）超过上一开放日本基金总份额的 </w:t>
      </w:r>
      <w:r>
        <w:rPr>
          <w:rFonts w:ascii="Times New Roman" w:eastAsia="Times New Roman"/>
        </w:rPr>
        <w:t>10%</w:t>
      </w:r>
      <w:r>
        <w:rPr/>
        <w:t>的情形</w:t>
      </w:r>
    </w:p>
    <w:p>
      <w:pPr>
        <w:pStyle w:val="BodyText"/>
        <w:spacing w:line="364" w:lineRule="auto" w:before="2"/>
        <w:ind w:left="1060" w:right="366" w:hanging="360"/>
        <w:jc w:val="both"/>
      </w:pPr>
      <w:r>
        <w:rPr>
          <w:rFonts w:ascii="Times New Roman" w:eastAsia="Times New Roman"/>
        </w:rPr>
        <w:t>52</w:t>
      </w:r>
      <w:r>
        <w:rPr/>
        <w:t>、 基金收益：指基金投资所得债券利息、股票分红、买卖证券价差、银行存款利息及其他合法收入</w:t>
      </w:r>
    </w:p>
    <w:p>
      <w:pPr>
        <w:pStyle w:val="BodyText"/>
        <w:spacing w:line="364" w:lineRule="auto" w:before="1"/>
        <w:ind w:left="1060" w:right="366" w:hanging="360"/>
        <w:jc w:val="both"/>
      </w:pPr>
      <w:r>
        <w:rPr>
          <w:rFonts w:ascii="Times New Roman" w:eastAsia="Times New Roman"/>
        </w:rPr>
        <w:t>53</w:t>
      </w:r>
      <w:r>
        <w:rPr/>
        <w:t>、 基金资产总值：指基金购买的各类证券、银行存款本息及其他投资等的价值总和</w:t>
      </w:r>
    </w:p>
    <w:p>
      <w:pPr>
        <w:pStyle w:val="BodyText"/>
        <w:spacing w:before="2"/>
        <w:ind w:left="700"/>
        <w:jc w:val="both"/>
      </w:pPr>
      <w:r>
        <w:rPr>
          <w:rFonts w:ascii="Times New Roman" w:eastAsia="Times New Roman"/>
        </w:rPr>
        <w:t>54</w:t>
      </w:r>
      <w:r>
        <w:rPr/>
        <w:t>、 基金资产净值：指基金资产总值减去基金负债后的价值</w:t>
      </w:r>
    </w:p>
    <w:p>
      <w:pPr>
        <w:pStyle w:val="BodyText"/>
        <w:spacing w:before="160"/>
        <w:ind w:left="700"/>
        <w:jc w:val="both"/>
      </w:pPr>
      <w:r>
        <w:rPr>
          <w:rFonts w:ascii="Times New Roman" w:eastAsia="Times New Roman"/>
        </w:rPr>
        <w:t>55</w:t>
      </w:r>
      <w:r>
        <w:rPr/>
        <w:t>、 基金份额净值：指基金资产净值除以基金份额总数</w:t>
      </w:r>
    </w:p>
    <w:p>
      <w:pPr>
        <w:pStyle w:val="BodyText"/>
        <w:spacing w:line="364" w:lineRule="auto"/>
        <w:ind w:left="1060" w:right="366" w:hanging="360"/>
        <w:jc w:val="both"/>
      </w:pPr>
      <w:r>
        <w:rPr>
          <w:rFonts w:ascii="Times New Roman" w:eastAsia="Times New Roman"/>
        </w:rPr>
        <w:t>56</w:t>
      </w:r>
      <w:r>
        <w:rPr/>
        <w:t>、 基金财产估值：指计算评估基金资产和负债的价值，以确定基金资产净值和基金份额净值的过程</w:t>
      </w:r>
    </w:p>
    <w:p>
      <w:pPr>
        <w:pStyle w:val="BodyText"/>
        <w:spacing w:line="364" w:lineRule="auto" w:before="1"/>
        <w:ind w:left="1060" w:right="354" w:hanging="360"/>
        <w:jc w:val="both"/>
      </w:pPr>
      <w:r>
        <w:rPr>
          <w:rFonts w:ascii="Times New Roman" w:eastAsia="Times New Roman"/>
        </w:rPr>
        <w:t>57</w:t>
      </w:r>
      <w:r>
        <w:rPr/>
        <w:t>、 不可抗力：指任何无法预见、无法避免和无法克服的事件或因素， </w:t>
      </w:r>
      <w:r>
        <w:rPr>
          <w:spacing w:val="-1"/>
        </w:rPr>
        <w:t>包括但不限于地震、洪水等自然灾害，战争、骚乱、火灾、政府征用、没收，相关法律、法规的变更，突发停电或其他突发事件、证券交易场</w:t>
      </w:r>
      <w:r>
        <w:rPr/>
        <w:t>所暂停或停止交易</w:t>
      </w:r>
    </w:p>
    <w:p>
      <w:pPr>
        <w:pStyle w:val="BodyText"/>
        <w:spacing w:line="364" w:lineRule="auto" w:before="2"/>
        <w:ind w:left="1060" w:right="358" w:hanging="360"/>
        <w:jc w:val="both"/>
      </w:pPr>
      <w:r>
        <w:rPr>
          <w:rFonts w:ascii="Times New Roman" w:eastAsia="Times New Roman"/>
        </w:rPr>
        <w:t>58</w:t>
      </w:r>
      <w:r>
        <w:rPr/>
        <w:t>、 指定媒介：指中国证监会指定的用以进行信息披露的全国性报刊及指定互联网网站（包括基金管理人网站、基金托管人网站、中国证监会基金电子披露网站）等媒介</w:t>
      </w:r>
    </w:p>
    <w:p>
      <w:pPr>
        <w:pStyle w:val="BodyText"/>
        <w:spacing w:line="364" w:lineRule="auto" w:before="3"/>
        <w:ind w:left="1060" w:right="358" w:hanging="360"/>
        <w:jc w:val="both"/>
      </w:pPr>
      <w:r>
        <w:rPr>
          <w:rFonts w:ascii="Times New Roman" w:eastAsia="Times New Roman"/>
        </w:rPr>
        <w:t>59</w:t>
      </w:r>
      <w:r>
        <w:rPr>
          <w:spacing w:val="-14"/>
        </w:rPr>
        <w:t>、 《流动性规定》：指中国证监会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17"/>
        </w:rPr>
        <w:t>日颁布、同年 </w:t>
      </w:r>
      <w:r>
        <w:rPr>
          <w:rFonts w:ascii="Times New Roman" w:eastAsia="Times New Roman"/>
        </w:rPr>
        <w:t>10 </w:t>
      </w:r>
      <w:r>
        <w:rPr>
          <w:spacing w:val="-30"/>
        </w:rPr>
        <w:t>月 </w:t>
      </w:r>
      <w:r>
        <w:rPr>
          <w:rFonts w:ascii="Times New Roman" w:eastAsia="Times New Roman"/>
          <w:spacing w:val="-16"/>
        </w:rPr>
        <w:t>1 </w:t>
      </w:r>
      <w:r>
        <w:rPr>
          <w:spacing w:val="-1"/>
        </w:rPr>
        <w:t>日实施的《公开募集开放式证券投资基金流动性风险管理规定》及颁布</w:t>
      </w:r>
      <w:r>
        <w:rPr/>
        <w:t>机关对其不时做出的修订</w:t>
      </w:r>
    </w:p>
    <w:p>
      <w:pPr>
        <w:pStyle w:val="BodyText"/>
        <w:spacing w:line="364" w:lineRule="auto" w:before="2"/>
        <w:ind w:left="1060" w:right="238" w:hanging="360"/>
        <w:jc w:val="both"/>
      </w:pPr>
      <w:r>
        <w:rPr>
          <w:rFonts w:ascii="Times New Roman" w:eastAsia="Times New Roman"/>
        </w:rPr>
        <w:t>60</w:t>
      </w:r>
      <w:r>
        <w:rPr/>
        <w:t>、  流动性受限资产：指由于法律法规、监管、合同或操作障碍等原因</w:t>
      </w:r>
      <w:r>
        <w:rPr>
          <w:spacing w:val="-9"/>
        </w:rPr>
        <w:t>无法以合理价格予以变现的资产，包括但不限于到期日在 </w:t>
      </w:r>
      <w:r>
        <w:rPr>
          <w:rFonts w:ascii="Times New Roman" w:eastAsia="Times New Roman"/>
        </w:rPr>
        <w:t>10 </w:t>
      </w:r>
      <w:r>
        <w:rPr/>
        <w:t>个交易日以上的逆回购与银行定期存款（含协议约定有条件提前支取的银行存款</w:t>
      </w:r>
      <w:r>
        <w:rPr>
          <w:spacing w:val="-120"/>
        </w:rPr>
        <w:t>）</w:t>
      </w:r>
      <w:r>
        <w:rPr>
          <w:spacing w:val="-16"/>
        </w:rPr>
        <w:t>、</w:t>
      </w:r>
    </w:p>
    <w:p>
      <w:pPr>
        <w:spacing w:after="0" w:line="364" w:lineRule="auto"/>
        <w:jc w:val="both"/>
        <w:sectPr>
          <w:pgSz w:w="11910" w:h="16840"/>
          <w:pgMar w:header="874" w:footer="997" w:top="1380" w:bottom="1180" w:left="1580" w:right="1440"/>
        </w:sectPr>
      </w:pPr>
    </w:p>
    <w:p>
      <w:pPr>
        <w:pStyle w:val="BodyText"/>
        <w:spacing w:line="364" w:lineRule="auto" w:before="130"/>
        <w:ind w:left="1060" w:right="358"/>
      </w:pPr>
      <w:r>
        <w:rPr/>
        <w:t>停牌股票、流通受限的新股及非公开发行股票、资产支持证券、因发行人债务违约无法进行转让或交易的债券等</w:t>
      </w:r>
    </w:p>
    <w:p>
      <w:pPr>
        <w:pStyle w:val="BodyText"/>
        <w:spacing w:line="364" w:lineRule="auto" w:before="1"/>
        <w:ind w:left="1060" w:right="358" w:hanging="360"/>
        <w:jc w:val="both"/>
      </w:pPr>
      <w:r>
        <w:rPr>
          <w:rFonts w:ascii="Times New Roman" w:eastAsia="Times New Roman"/>
        </w:rPr>
        <w:t>61</w:t>
      </w:r>
      <w:r>
        <w:rPr/>
        <w:t>、 摆动定价机制：指当开放式基金遭遇大额申购赎回时，通过调整基</w:t>
      </w:r>
      <w:r>
        <w:rPr>
          <w:spacing w:val="-1"/>
        </w:rPr>
        <w:t>金份额净值的方式，将基金调整投资组合的市场冲击成本分配给实际申购、赎回的投资者，从而减少对存量基金份额持有人利益的不利影响， </w:t>
      </w:r>
      <w:r>
        <w:rPr/>
        <w:t>确保投资者的合法权益不受损害并得到公平对待</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ind w:right="136"/>
      </w:pPr>
      <w:bookmarkStart w:name="_bookmark2" w:id="3"/>
      <w:bookmarkEnd w:id="3"/>
      <w:r>
        <w:rPr>
          <w:b w:val="0"/>
        </w:rPr>
      </w:r>
      <w:r>
        <w:rPr/>
        <w:t>三、基金的基本情况</w:t>
      </w:r>
    </w:p>
    <w:p>
      <w:pPr>
        <w:pStyle w:val="BodyText"/>
        <w:spacing w:before="0"/>
        <w:ind w:left="0"/>
        <w:rPr>
          <w:b/>
          <w:sz w:val="30"/>
        </w:rPr>
      </w:pPr>
    </w:p>
    <w:p>
      <w:pPr>
        <w:pStyle w:val="BodyText"/>
        <w:spacing w:before="2"/>
        <w:ind w:left="0"/>
        <w:rPr>
          <w:b/>
          <w:sz w:val="22"/>
        </w:rPr>
      </w:pPr>
    </w:p>
    <w:p>
      <w:pPr>
        <w:pStyle w:val="BodyText"/>
        <w:spacing w:before="1"/>
        <w:ind w:left="645"/>
      </w:pPr>
      <w:r>
        <w:rPr/>
        <w:t>（一）基金的名称</w:t>
      </w:r>
    </w:p>
    <w:p>
      <w:pPr>
        <w:pStyle w:val="BodyText"/>
        <w:spacing w:before="160"/>
        <w:ind w:left="645"/>
      </w:pPr>
      <w:r>
        <w:rPr/>
        <w:t>景顺长城鼎益混合型证券投资基金（</w:t>
      </w:r>
      <w:r>
        <w:rPr>
          <w:rFonts w:ascii="Times New Roman" w:eastAsia="Times New Roman"/>
        </w:rPr>
        <w:t>LOF</w:t>
      </w:r>
      <w:r>
        <w:rPr/>
        <w:t>）</w:t>
      </w:r>
    </w:p>
    <w:p>
      <w:pPr>
        <w:pStyle w:val="BodyText"/>
        <w:spacing w:line="364" w:lineRule="auto"/>
        <w:ind w:left="645" w:right="6319"/>
      </w:pPr>
      <w:r>
        <w:rPr/>
        <w:t>（二）基金的类别混合型基金</w:t>
      </w:r>
    </w:p>
    <w:p>
      <w:pPr>
        <w:pStyle w:val="BodyText"/>
        <w:spacing w:before="1"/>
        <w:ind w:left="645"/>
      </w:pPr>
      <w:r>
        <w:rPr/>
        <w:t>（三）基金的运作方式</w:t>
      </w:r>
    </w:p>
    <w:p>
      <w:pPr>
        <w:pStyle w:val="BodyText"/>
        <w:spacing w:line="364" w:lineRule="auto"/>
        <w:ind w:right="357" w:firstLine="424"/>
      </w:pPr>
      <w:r>
        <w:rPr>
          <w:spacing w:val="-5"/>
        </w:rPr>
        <w:t>上市契约型开放式基金。上市基金是指在证券交易所挂牌的开放式证券投资</w:t>
      </w:r>
      <w:r>
        <w:rPr>
          <w:spacing w:val="-21"/>
        </w:rPr>
        <w:t>基金，同时拥有证券交易所场内集中交易和场外认购、申购、赎回两种交易方式。</w:t>
      </w:r>
    </w:p>
    <w:p>
      <w:pPr>
        <w:pStyle w:val="BodyText"/>
        <w:spacing w:before="1"/>
        <w:ind w:left="645"/>
      </w:pPr>
      <w:r>
        <w:rPr/>
        <w:t>（四）基金的投资目标</w:t>
      </w:r>
    </w:p>
    <w:p>
      <w:pPr>
        <w:pStyle w:val="BodyText"/>
        <w:spacing w:line="364" w:lineRule="auto"/>
        <w:ind w:right="301" w:firstLine="424"/>
      </w:pPr>
      <w:r>
        <w:rPr/>
        <w:t>通过主动的基本面选股和最优化风险收益配比获取超额收益，力求基金财产长期稳定的回报。</w:t>
      </w:r>
    </w:p>
    <w:p>
      <w:pPr>
        <w:pStyle w:val="BodyText"/>
        <w:spacing w:before="1"/>
        <w:ind w:left="645"/>
      </w:pPr>
      <w:r>
        <w:rPr/>
        <w:t>（五）基金最低募集份额总额</w:t>
      </w:r>
    </w:p>
    <w:p>
      <w:pPr>
        <w:pStyle w:val="BodyText"/>
        <w:spacing w:before="160"/>
        <w:ind w:left="645"/>
      </w:pPr>
      <w:r>
        <w:rPr>
          <w:rFonts w:ascii="Times New Roman" w:eastAsia="Times New Roman"/>
        </w:rPr>
        <w:t>2 </w:t>
      </w:r>
      <w:r>
        <w:rPr/>
        <w:t>亿份</w:t>
      </w:r>
    </w:p>
    <w:p>
      <w:pPr>
        <w:pStyle w:val="BodyText"/>
        <w:ind w:left="645"/>
      </w:pPr>
      <w:r>
        <w:rPr/>
        <w:t>（六）基金份额面值</w:t>
      </w:r>
    </w:p>
    <w:p>
      <w:pPr>
        <w:pStyle w:val="BodyText"/>
        <w:ind w:left="645"/>
      </w:pPr>
      <w:r>
        <w:rPr>
          <w:rFonts w:ascii="Times New Roman" w:eastAsia="Times New Roman"/>
        </w:rPr>
        <w:t>1.00 </w:t>
      </w:r>
      <w:r>
        <w:rPr/>
        <w:t>元人民币</w:t>
      </w:r>
    </w:p>
    <w:p>
      <w:pPr>
        <w:pStyle w:val="BodyText"/>
        <w:spacing w:before="160"/>
        <w:ind w:left="645"/>
      </w:pPr>
      <w:r>
        <w:rPr/>
        <w:t>（七）基金认购费用</w:t>
      </w:r>
    </w:p>
    <w:p>
      <w:pPr>
        <w:pStyle w:val="BodyText"/>
        <w:ind w:left="645"/>
      </w:pPr>
      <w:r>
        <w:rPr/>
        <w:t>本基金认购费用在投资人认购基金份额时收取。具体费率请参见招募说明书。</w:t>
      </w:r>
    </w:p>
    <w:p>
      <w:pPr>
        <w:pStyle w:val="BodyText"/>
        <w:spacing w:before="160"/>
        <w:ind w:left="645"/>
      </w:pPr>
      <w:r>
        <w:rPr/>
        <w:t>（八）基金份额净值</w:t>
      </w:r>
    </w:p>
    <w:p>
      <w:pPr>
        <w:pStyle w:val="BodyText"/>
        <w:spacing w:line="364" w:lineRule="auto"/>
        <w:ind w:right="365" w:firstLine="424"/>
      </w:pPr>
      <w:r>
        <w:rPr/>
        <w:t>本基金的基金份额净值按照开放日收市后基金资产净值除以当日基金份额的余额数量计算。</w:t>
      </w:r>
    </w:p>
    <w:p>
      <w:pPr>
        <w:pStyle w:val="BodyText"/>
        <w:spacing w:before="1"/>
        <w:ind w:left="645"/>
      </w:pPr>
      <w:r>
        <w:rPr/>
        <w:t>（九）基金份额价格</w:t>
      </w:r>
    </w:p>
    <w:p>
      <w:pPr>
        <w:pStyle w:val="BodyText"/>
        <w:spacing w:line="364" w:lineRule="auto"/>
        <w:ind w:right="301" w:firstLine="424"/>
      </w:pPr>
      <w:r>
        <w:rPr/>
        <w:t>本基金场内基金份额交易价格按照交易所交易系统集中竞价产生，场外基金份额申购赎回价格按照基金份额净值加减一定的手续费产生。</w:t>
      </w:r>
    </w:p>
    <w:p>
      <w:pPr>
        <w:pStyle w:val="BodyText"/>
        <w:spacing w:before="1"/>
        <w:ind w:left="645"/>
      </w:pPr>
      <w:r>
        <w:rPr/>
        <w:t>（十）基金募集规模</w:t>
      </w:r>
    </w:p>
    <w:p>
      <w:pPr>
        <w:pStyle w:val="BodyText"/>
        <w:ind w:left="700"/>
      </w:pPr>
      <w:r>
        <w:rPr/>
        <w:t>本基金不设募集规模上限。</w:t>
      </w:r>
    </w:p>
    <w:p>
      <w:pPr>
        <w:pStyle w:val="BodyText"/>
        <w:spacing w:line="364" w:lineRule="auto" w:before="160"/>
        <w:ind w:left="700" w:right="5784"/>
      </w:pPr>
      <w:r>
        <w:rPr/>
        <w:t>（十一）基金存续期限不定期。</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pPr>
      <w:bookmarkStart w:name="_bookmark3" w:id="4"/>
      <w:bookmarkEnd w:id="4"/>
      <w:r>
        <w:rPr>
          <w:b w:val="0"/>
        </w:rPr>
      </w:r>
      <w:r>
        <w:rPr/>
        <w:t>四、基金份额的场外认购</w:t>
      </w:r>
    </w:p>
    <w:p>
      <w:pPr>
        <w:pStyle w:val="BodyText"/>
        <w:spacing w:before="0"/>
        <w:ind w:left="0"/>
        <w:rPr>
          <w:b/>
          <w:sz w:val="30"/>
        </w:rPr>
      </w:pPr>
    </w:p>
    <w:p>
      <w:pPr>
        <w:pStyle w:val="BodyText"/>
        <w:spacing w:before="2"/>
        <w:ind w:left="0"/>
        <w:rPr>
          <w:b/>
          <w:sz w:val="22"/>
        </w:rPr>
      </w:pPr>
    </w:p>
    <w:p>
      <w:pPr>
        <w:pStyle w:val="BodyText"/>
        <w:spacing w:line="364" w:lineRule="auto" w:before="1"/>
        <w:ind w:right="361" w:firstLine="479"/>
        <w:jc w:val="both"/>
      </w:pPr>
      <w:r>
        <w:rPr>
          <w:spacing w:val="-7"/>
        </w:rPr>
        <w:t>本基金为上市契约型开放式基金。基金存续期限为不定期。本基金由基金管</w:t>
      </w:r>
      <w:r>
        <w:rPr>
          <w:spacing w:val="-27"/>
        </w:rPr>
        <w:t>理人依照《基金法》、《运作办法》、《销售办法》、基金合同及其他有关规定，并</w:t>
      </w:r>
      <w:r>
        <w:rPr>
          <w:spacing w:val="-1"/>
        </w:rPr>
        <w:t>经中国证监会 </w:t>
      </w:r>
      <w:r>
        <w:rPr>
          <w:rFonts w:ascii="Times New Roman" w:eastAsia="Times New Roman"/>
        </w:rPr>
        <w:t>2005 </w:t>
      </w:r>
      <w:r>
        <w:rPr/>
        <w:t>年 </w:t>
      </w:r>
      <w:r>
        <w:rPr>
          <w:rFonts w:ascii="Times New Roman" w:eastAsia="Times New Roman"/>
        </w:rPr>
        <w:t>1 </w:t>
      </w:r>
      <w:r>
        <w:rPr/>
        <w:t>月 </w:t>
      </w:r>
      <w:r>
        <w:rPr>
          <w:rFonts w:ascii="Times New Roman" w:eastAsia="Times New Roman"/>
        </w:rPr>
        <w:t>12 </w:t>
      </w:r>
      <w:r>
        <w:rPr/>
        <w:t>日证监基金字</w:t>
      </w:r>
      <w:r>
        <w:rPr>
          <w:rFonts w:ascii="Times New Roman" w:eastAsia="Times New Roman"/>
        </w:rPr>
        <w:t>[2005]7 </w:t>
      </w:r>
      <w:r>
        <w:rPr>
          <w:spacing w:val="-1"/>
        </w:rPr>
        <w:t>号文核准募集。</w:t>
      </w:r>
    </w:p>
    <w:p>
      <w:pPr>
        <w:pStyle w:val="BodyText"/>
        <w:spacing w:line="364" w:lineRule="auto" w:before="1"/>
        <w:ind w:right="244" w:firstLine="479"/>
      </w:pPr>
      <w:r>
        <w:rPr>
          <w:spacing w:val="-5"/>
        </w:rPr>
        <w:t>本基金的发售包括场外认购和场内认购两种方式。本章是有关基金的场外认</w:t>
      </w:r>
      <w:r>
        <w:rPr>
          <w:spacing w:val="-10"/>
        </w:rPr>
        <w:t>购，发售后登记在注册登记系统的基金份额适用本章的相关规定。本章不适用于</w:t>
      </w:r>
      <w:r>
        <w:rPr>
          <w:spacing w:val="-14"/>
        </w:rPr>
        <w:t>发售后登记在证券登记结算系统的基金份额，此等份额适用下一章《基金份额的</w:t>
      </w:r>
      <w:r>
        <w:rPr>
          <w:spacing w:val="-15"/>
        </w:rPr>
        <w:t>场内认购》的相关规定。除法律、行政法规或中国证监会有关规定另有规定外， </w:t>
      </w:r>
      <w:r>
        <w:rPr/>
        <w:t>任何与基金份额发售有关的当事人不得预留和提前发售基金份额。</w:t>
      </w:r>
    </w:p>
    <w:p>
      <w:pPr>
        <w:pStyle w:val="BodyText"/>
        <w:spacing w:before="4"/>
        <w:ind w:left="700"/>
      </w:pPr>
      <w:r>
        <w:rPr/>
        <w:t>（一）基金份额的募集期限、销售渠道、销售对象</w:t>
      </w:r>
    </w:p>
    <w:p>
      <w:pPr>
        <w:pStyle w:val="BodyText"/>
        <w:spacing w:before="160"/>
        <w:ind w:left="700"/>
      </w:pPr>
      <w:r>
        <w:rPr>
          <w:rFonts w:ascii="Times New Roman" w:eastAsia="Times New Roman"/>
        </w:rPr>
        <w:t>1</w:t>
      </w:r>
      <w:r>
        <w:rPr/>
        <w:t>、募集期限：自基金份额发售之日起不超过 </w:t>
      </w:r>
      <w:r>
        <w:rPr>
          <w:rFonts w:ascii="Times New Roman" w:eastAsia="Times New Roman"/>
        </w:rPr>
        <w:t>3 </w:t>
      </w:r>
      <w:r>
        <w:rPr/>
        <w:t>个月。</w:t>
      </w:r>
    </w:p>
    <w:p>
      <w:pPr>
        <w:pStyle w:val="BodyText"/>
        <w:spacing w:line="364" w:lineRule="auto"/>
        <w:ind w:right="362" w:firstLine="479"/>
      </w:pPr>
      <w:r>
        <w:rPr>
          <w:rFonts w:ascii="Times New Roman" w:eastAsia="Times New Roman"/>
        </w:rPr>
        <w:t>2</w:t>
      </w:r>
      <w:r>
        <w:rPr/>
        <w:t>、销售渠道：本公司的直销网点和销售代理机构的代销网点（</w:t>
      </w:r>
      <w:r>
        <w:rPr>
          <w:spacing w:val="-3"/>
        </w:rPr>
        <w:t>具体名单见</w:t>
      </w:r>
      <w:r>
        <w:rPr/>
        <w:t>发售公告</w:t>
      </w:r>
      <w:r>
        <w:rPr>
          <w:spacing w:val="-120"/>
        </w:rPr>
        <w:t>）</w:t>
      </w:r>
      <w:r>
        <w:rPr/>
        <w:t>。</w:t>
      </w:r>
    </w:p>
    <w:p>
      <w:pPr>
        <w:pStyle w:val="BodyText"/>
        <w:spacing w:line="364" w:lineRule="auto" w:before="2"/>
        <w:ind w:right="364" w:firstLine="479"/>
      </w:pPr>
      <w:r>
        <w:rPr>
          <w:rFonts w:ascii="Times New Roman" w:eastAsia="Times New Roman"/>
        </w:rPr>
        <w:t>3</w:t>
      </w:r>
      <w:r>
        <w:rPr/>
        <w:t>、销售对象：合格的个人投资者和机构投资者（</w:t>
      </w:r>
      <w:r>
        <w:rPr>
          <w:spacing w:val="-2"/>
        </w:rPr>
        <w:t>法律、法规和有关规定禁</w:t>
      </w:r>
      <w:r>
        <w:rPr/>
        <w:t>止购买者除外</w:t>
      </w:r>
      <w:r>
        <w:rPr>
          <w:spacing w:val="-120"/>
        </w:rPr>
        <w:t>）</w:t>
      </w:r>
      <w:r>
        <w:rPr/>
        <w:t>。</w:t>
      </w:r>
    </w:p>
    <w:p>
      <w:pPr>
        <w:pStyle w:val="BodyText"/>
        <w:spacing w:before="1"/>
        <w:ind w:left="700"/>
      </w:pPr>
      <w:r>
        <w:rPr/>
        <w:t>（二）认购的时间</w:t>
      </w:r>
    </w:p>
    <w:p>
      <w:pPr>
        <w:pStyle w:val="BodyText"/>
        <w:spacing w:line="364" w:lineRule="auto" w:before="160"/>
        <w:ind w:right="357" w:firstLine="479"/>
      </w:pPr>
      <w:r>
        <w:rPr>
          <w:spacing w:val="-6"/>
        </w:rPr>
        <w:t>具体时间由基金管理人与销售代理人约定</w:t>
      </w:r>
      <w:r>
        <w:rPr/>
        <w:t>（</w:t>
      </w:r>
      <w:r>
        <w:rPr>
          <w:spacing w:val="-2"/>
        </w:rPr>
        <w:t>见发售公告及销售代理人相关公</w:t>
      </w:r>
      <w:r>
        <w:rPr/>
        <w:t>告</w:t>
      </w:r>
      <w:r>
        <w:rPr>
          <w:spacing w:val="-120"/>
        </w:rPr>
        <w:t>）</w:t>
      </w:r>
      <w:r>
        <w:rPr/>
        <w:t>。</w:t>
      </w:r>
    </w:p>
    <w:p>
      <w:pPr>
        <w:pStyle w:val="BodyText"/>
        <w:spacing w:before="1"/>
        <w:ind w:left="700"/>
      </w:pPr>
      <w:r>
        <w:rPr/>
        <w:t>（三）认购的程序</w:t>
      </w:r>
    </w:p>
    <w:p>
      <w:pPr>
        <w:pStyle w:val="BodyText"/>
        <w:ind w:left="700"/>
      </w:pPr>
      <w:r>
        <w:rPr>
          <w:rFonts w:ascii="Times New Roman" w:eastAsia="Times New Roman"/>
        </w:rPr>
        <w:t>1</w:t>
      </w:r>
      <w:r>
        <w:rPr/>
        <w:t>、申请方式：书面申请或管理人公布的其他方式。</w:t>
      </w:r>
    </w:p>
    <w:p>
      <w:pPr>
        <w:pStyle w:val="BodyText"/>
        <w:spacing w:line="364" w:lineRule="auto"/>
        <w:ind w:right="364" w:firstLine="479"/>
      </w:pPr>
      <w:r>
        <w:rPr>
          <w:rFonts w:ascii="Times New Roman" w:eastAsia="Times New Roman"/>
        </w:rPr>
        <w:t>2</w:t>
      </w:r>
      <w:r>
        <w:rPr/>
        <w:t>、认购款项支付：基金投资者认购时，采用全额缴款方式，若资金未全额到账则认购无效，基金管理人将认购无效的款项退回。</w:t>
      </w:r>
    </w:p>
    <w:p>
      <w:pPr>
        <w:pStyle w:val="BodyText"/>
        <w:spacing w:before="1"/>
        <w:ind w:left="700"/>
      </w:pPr>
      <w:r>
        <w:rPr/>
        <w:t>（四）募集目标</w:t>
      </w:r>
    </w:p>
    <w:p>
      <w:pPr>
        <w:pStyle w:val="BodyText"/>
        <w:ind w:left="700"/>
      </w:pPr>
      <w:r>
        <w:rPr/>
        <w:t>本基金不设募集规模上限。</w:t>
      </w:r>
    </w:p>
    <w:p>
      <w:pPr>
        <w:pStyle w:val="BodyText"/>
        <w:spacing w:before="160"/>
        <w:ind w:left="700"/>
      </w:pPr>
      <w:r>
        <w:rPr/>
        <w:t>（五）认购方式与费率结构</w:t>
      </w:r>
    </w:p>
    <w:p>
      <w:pPr>
        <w:pStyle w:val="BodyText"/>
        <w:spacing w:line="364" w:lineRule="auto"/>
        <w:ind w:right="357" w:firstLine="479"/>
        <w:jc w:val="both"/>
      </w:pPr>
      <w:r>
        <w:rPr>
          <w:spacing w:val="-6"/>
        </w:rPr>
        <w:t>投资者在募集期内可以多次认购基金份额，但认购资金一旦交付，撤销申请</w:t>
      </w:r>
      <w:r>
        <w:rPr>
          <w:spacing w:val="-10"/>
        </w:rPr>
        <w:t>不予接受。本基金份额的面值为人民币一元，按面值发售，投资者认购采用全额</w:t>
      </w:r>
      <w:r>
        <w:rPr/>
        <w:t>缴款的认购方式。</w:t>
      </w:r>
    </w:p>
    <w:p>
      <w:pPr>
        <w:spacing w:after="0" w:line="364" w:lineRule="auto"/>
        <w:jc w:val="both"/>
        <w:sectPr>
          <w:pgSz w:w="11910" w:h="16840"/>
          <w:pgMar w:header="874" w:footer="997" w:top="1380" w:bottom="1180" w:left="1580" w:right="1440"/>
        </w:sectPr>
      </w:pPr>
    </w:p>
    <w:p>
      <w:pPr>
        <w:pStyle w:val="BodyText"/>
        <w:spacing w:before="130"/>
        <w:ind w:left="700"/>
      </w:pPr>
      <w:r>
        <w:rPr/>
        <w:t>本基金的认购费率不高于 </w:t>
      </w:r>
      <w:r>
        <w:rPr>
          <w:rFonts w:ascii="Times New Roman" w:eastAsia="Times New Roman"/>
        </w:rPr>
        <w:t>1.0%</w:t>
      </w:r>
      <w:r>
        <w:rPr/>
        <w:t>，随认购金额的增加而递减，如下表所示：</w:t>
      </w:r>
    </w:p>
    <w:p>
      <w:pPr>
        <w:pStyle w:val="BodyText"/>
        <w:spacing w:before="4"/>
        <w:ind w:left="0"/>
        <w:rPr>
          <w:sz w:val="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4"/>
      </w:tblGrid>
      <w:tr>
        <w:trPr>
          <w:trHeight w:val="321" w:hRule="atLeast"/>
        </w:trPr>
        <w:tc>
          <w:tcPr>
            <w:tcW w:w="4261" w:type="dxa"/>
          </w:tcPr>
          <w:p>
            <w:pPr>
              <w:pStyle w:val="TableParagraph"/>
              <w:spacing w:line="242" w:lineRule="exact"/>
              <w:ind w:left="1554" w:right="0"/>
              <w:jc w:val="left"/>
              <w:rPr>
                <w:rFonts w:ascii="宋体" w:eastAsia="宋体" w:hint="eastAsia"/>
                <w:sz w:val="20"/>
              </w:rPr>
            </w:pPr>
            <w:r>
              <w:rPr>
                <w:rFonts w:ascii="宋体" w:eastAsia="宋体" w:hint="eastAsia"/>
                <w:sz w:val="20"/>
              </w:rPr>
              <w:t>认购金额（</w:t>
            </w:r>
            <w:r>
              <w:rPr>
                <w:sz w:val="20"/>
              </w:rPr>
              <w:t>M</w:t>
            </w:r>
            <w:r>
              <w:rPr>
                <w:rFonts w:ascii="宋体" w:eastAsia="宋体" w:hint="eastAsia"/>
                <w:sz w:val="20"/>
              </w:rPr>
              <w:t>）</w:t>
            </w:r>
          </w:p>
        </w:tc>
        <w:tc>
          <w:tcPr>
            <w:tcW w:w="4264" w:type="dxa"/>
          </w:tcPr>
          <w:p>
            <w:pPr>
              <w:pStyle w:val="TableParagraph"/>
              <w:spacing w:line="242" w:lineRule="exact"/>
              <w:ind w:right="1039"/>
              <w:rPr>
                <w:rFonts w:ascii="宋体" w:eastAsia="宋体" w:hint="eastAsia"/>
                <w:sz w:val="20"/>
              </w:rPr>
            </w:pPr>
            <w:r>
              <w:rPr>
                <w:rFonts w:ascii="宋体" w:eastAsia="宋体" w:hint="eastAsia"/>
                <w:sz w:val="20"/>
              </w:rPr>
              <w:t>认购费率</w:t>
            </w:r>
          </w:p>
        </w:tc>
      </w:tr>
      <w:tr>
        <w:trPr>
          <w:trHeight w:val="338" w:hRule="atLeast"/>
        </w:trPr>
        <w:tc>
          <w:tcPr>
            <w:tcW w:w="4261" w:type="dxa"/>
          </w:tcPr>
          <w:p>
            <w:pPr>
              <w:pStyle w:val="TableParagraph"/>
              <w:spacing w:line="249" w:lineRule="exact" w:before="68"/>
              <w:ind w:left="1680" w:right="1549"/>
              <w:rPr>
                <w:rFonts w:ascii="宋体" w:eastAsia="宋体" w:hint="eastAsia"/>
                <w:sz w:val="20"/>
              </w:rPr>
            </w:pPr>
            <w:r>
              <w:rPr>
                <w:sz w:val="20"/>
              </w:rPr>
              <w:t>M</w:t>
            </w:r>
            <w:r>
              <w:rPr>
                <w:rFonts w:ascii="宋体" w:eastAsia="宋体" w:hint="eastAsia"/>
                <w:sz w:val="20"/>
              </w:rPr>
              <w:t>＜</w:t>
            </w:r>
            <w:r>
              <w:rPr>
                <w:sz w:val="20"/>
              </w:rPr>
              <w:t>50</w:t>
            </w:r>
            <w:r>
              <w:rPr>
                <w:rFonts w:ascii="宋体" w:eastAsia="宋体" w:hint="eastAsia"/>
                <w:sz w:val="20"/>
              </w:rPr>
              <w:t>万</w:t>
            </w:r>
          </w:p>
        </w:tc>
        <w:tc>
          <w:tcPr>
            <w:tcW w:w="4264" w:type="dxa"/>
          </w:tcPr>
          <w:p>
            <w:pPr>
              <w:pStyle w:val="TableParagraph"/>
              <w:spacing w:before="82"/>
              <w:rPr>
                <w:sz w:val="20"/>
              </w:rPr>
            </w:pPr>
            <w:r>
              <w:rPr>
                <w:sz w:val="20"/>
              </w:rPr>
              <w:t>1.0%</w:t>
            </w:r>
          </w:p>
        </w:tc>
      </w:tr>
      <w:tr>
        <w:trPr>
          <w:trHeight w:val="337" w:hRule="atLeast"/>
        </w:trPr>
        <w:tc>
          <w:tcPr>
            <w:tcW w:w="4261" w:type="dxa"/>
          </w:tcPr>
          <w:p>
            <w:pPr>
              <w:pStyle w:val="TableParagraph"/>
              <w:spacing w:line="249" w:lineRule="exact" w:before="68"/>
              <w:ind w:left="1408" w:right="0"/>
              <w:jc w:val="left"/>
              <w:rPr>
                <w:rFonts w:ascii="宋体" w:hAnsi="宋体" w:eastAsia="宋体" w:hint="eastAsia"/>
                <w:sz w:val="20"/>
              </w:rPr>
            </w:pPr>
            <w:r>
              <w:rPr>
                <w:sz w:val="20"/>
              </w:rPr>
              <w:t>50 </w:t>
            </w:r>
            <w:r>
              <w:rPr>
                <w:rFonts w:ascii="宋体" w:hAnsi="宋体" w:eastAsia="宋体" w:hint="eastAsia"/>
                <w:sz w:val="20"/>
              </w:rPr>
              <w:t>万</w:t>
            </w:r>
            <w:r>
              <w:rPr>
                <w:sz w:val="20"/>
              </w:rPr>
              <w:t>≤M</w:t>
            </w:r>
            <w:r>
              <w:rPr>
                <w:rFonts w:ascii="宋体" w:hAnsi="宋体" w:eastAsia="宋体" w:hint="eastAsia"/>
                <w:sz w:val="20"/>
              </w:rPr>
              <w:t>＜</w:t>
            </w:r>
            <w:r>
              <w:rPr>
                <w:sz w:val="20"/>
              </w:rPr>
              <w:t>500  </w:t>
            </w:r>
            <w:r>
              <w:rPr>
                <w:rFonts w:ascii="宋体" w:hAnsi="宋体" w:eastAsia="宋体" w:hint="eastAsia"/>
                <w:sz w:val="20"/>
              </w:rPr>
              <w:t>万</w:t>
            </w:r>
          </w:p>
        </w:tc>
        <w:tc>
          <w:tcPr>
            <w:tcW w:w="4264" w:type="dxa"/>
          </w:tcPr>
          <w:p>
            <w:pPr>
              <w:pStyle w:val="TableParagraph"/>
              <w:spacing w:before="82"/>
              <w:rPr>
                <w:sz w:val="20"/>
              </w:rPr>
            </w:pPr>
            <w:r>
              <w:rPr>
                <w:sz w:val="20"/>
              </w:rPr>
              <w:t>0.8%</w:t>
            </w:r>
          </w:p>
        </w:tc>
      </w:tr>
      <w:tr>
        <w:trPr>
          <w:trHeight w:val="338" w:hRule="atLeast"/>
        </w:trPr>
        <w:tc>
          <w:tcPr>
            <w:tcW w:w="4261" w:type="dxa"/>
          </w:tcPr>
          <w:p>
            <w:pPr>
              <w:pStyle w:val="TableParagraph"/>
              <w:spacing w:line="249" w:lineRule="exact" w:before="68"/>
              <w:ind w:left="1302" w:right="0"/>
              <w:jc w:val="left"/>
              <w:rPr>
                <w:rFonts w:ascii="宋体" w:hAnsi="宋体" w:eastAsia="宋体" w:hint="eastAsia"/>
                <w:sz w:val="20"/>
              </w:rPr>
            </w:pPr>
            <w:r>
              <w:rPr>
                <w:sz w:val="20"/>
              </w:rPr>
              <w:t>500 </w:t>
            </w:r>
            <w:r>
              <w:rPr>
                <w:rFonts w:ascii="宋体" w:hAnsi="宋体" w:eastAsia="宋体" w:hint="eastAsia"/>
                <w:sz w:val="20"/>
              </w:rPr>
              <w:t>万</w:t>
            </w:r>
            <w:r>
              <w:rPr>
                <w:sz w:val="20"/>
              </w:rPr>
              <w:t>≤M</w:t>
            </w:r>
            <w:r>
              <w:rPr>
                <w:rFonts w:ascii="宋体" w:hAnsi="宋体" w:eastAsia="宋体" w:hint="eastAsia"/>
                <w:sz w:val="20"/>
              </w:rPr>
              <w:t>＜</w:t>
            </w:r>
            <w:r>
              <w:rPr>
                <w:sz w:val="20"/>
              </w:rPr>
              <w:t>1000 </w:t>
            </w:r>
            <w:r>
              <w:rPr>
                <w:rFonts w:ascii="宋体" w:hAnsi="宋体" w:eastAsia="宋体" w:hint="eastAsia"/>
                <w:sz w:val="20"/>
              </w:rPr>
              <w:t>万</w:t>
            </w:r>
          </w:p>
        </w:tc>
        <w:tc>
          <w:tcPr>
            <w:tcW w:w="4264" w:type="dxa"/>
          </w:tcPr>
          <w:p>
            <w:pPr>
              <w:pStyle w:val="TableParagraph"/>
              <w:spacing w:before="82"/>
              <w:rPr>
                <w:sz w:val="20"/>
              </w:rPr>
            </w:pPr>
            <w:r>
              <w:rPr>
                <w:sz w:val="20"/>
              </w:rPr>
              <w:t>0.6%</w:t>
            </w:r>
          </w:p>
        </w:tc>
      </w:tr>
      <w:tr>
        <w:trPr>
          <w:trHeight w:val="337" w:hRule="atLeast"/>
        </w:trPr>
        <w:tc>
          <w:tcPr>
            <w:tcW w:w="4261" w:type="dxa"/>
          </w:tcPr>
          <w:p>
            <w:pPr>
              <w:pStyle w:val="TableParagraph"/>
              <w:spacing w:line="249" w:lineRule="exact" w:before="68"/>
              <w:ind w:left="1680" w:right="1643"/>
              <w:rPr>
                <w:rFonts w:ascii="宋体" w:hAnsi="宋体" w:eastAsia="宋体" w:hint="eastAsia"/>
                <w:sz w:val="20"/>
              </w:rPr>
            </w:pPr>
            <w:r>
              <w:rPr>
                <w:sz w:val="20"/>
              </w:rPr>
              <w:t>M≥1000</w:t>
            </w:r>
            <w:r>
              <w:rPr>
                <w:rFonts w:ascii="宋体" w:hAnsi="宋体" w:eastAsia="宋体" w:hint="eastAsia"/>
                <w:sz w:val="20"/>
              </w:rPr>
              <w:t>万</w:t>
            </w:r>
          </w:p>
        </w:tc>
        <w:tc>
          <w:tcPr>
            <w:tcW w:w="4264" w:type="dxa"/>
          </w:tcPr>
          <w:p>
            <w:pPr>
              <w:pStyle w:val="TableParagraph"/>
              <w:ind w:right="1089"/>
              <w:rPr>
                <w:rFonts w:ascii="宋体" w:eastAsia="宋体" w:hint="eastAsia"/>
                <w:sz w:val="20"/>
              </w:rPr>
            </w:pPr>
            <w:r>
              <w:rPr>
                <w:rFonts w:ascii="宋体" w:eastAsia="宋体" w:hint="eastAsia"/>
                <w:sz w:val="20"/>
              </w:rPr>
              <w:t>按笔收取，</w:t>
            </w:r>
            <w:r>
              <w:rPr>
                <w:sz w:val="20"/>
              </w:rPr>
              <w:t>1000 </w:t>
            </w:r>
            <w:r>
              <w:rPr>
                <w:rFonts w:ascii="宋体" w:eastAsia="宋体" w:hint="eastAsia"/>
                <w:sz w:val="20"/>
              </w:rPr>
              <w:t>元</w:t>
            </w:r>
            <w:r>
              <w:rPr>
                <w:sz w:val="20"/>
              </w:rPr>
              <w:t>/</w:t>
            </w:r>
            <w:r>
              <w:rPr>
                <w:rFonts w:ascii="宋体" w:eastAsia="宋体" w:hint="eastAsia"/>
                <w:sz w:val="20"/>
              </w:rPr>
              <w:t>笔</w:t>
            </w:r>
          </w:p>
        </w:tc>
      </w:tr>
    </w:tbl>
    <w:p>
      <w:pPr>
        <w:pStyle w:val="BodyText"/>
        <w:spacing w:before="79"/>
        <w:ind w:left="700"/>
      </w:pPr>
      <w:r>
        <w:rPr/>
        <w:t>（六）认购的确认</w:t>
      </w:r>
    </w:p>
    <w:p>
      <w:pPr>
        <w:pStyle w:val="BodyText"/>
        <w:spacing w:line="364" w:lineRule="auto"/>
        <w:ind w:right="117" w:firstLine="479"/>
      </w:pPr>
      <w:r>
        <w:rPr>
          <w:spacing w:val="-4"/>
        </w:rPr>
        <w:t>销售网点受理申请并不表示对该申请是否成功的确认，而仅代表销售网点确 </w:t>
      </w:r>
      <w:r>
        <w:rPr>
          <w:spacing w:val="-13"/>
        </w:rPr>
        <w:t>实收到了认购申请。申请是否有效应以基金注册登记与过户机构的确认登记为准。</w:t>
      </w:r>
      <w:r>
        <w:rPr/>
        <w:t>投资人可在基金正式宣告成立后到各销售网点查询最终成交确认情况和认购的 份额。</w:t>
      </w:r>
    </w:p>
    <w:p>
      <w:pPr>
        <w:pStyle w:val="BodyText"/>
        <w:spacing w:before="0"/>
        <w:ind w:left="0"/>
      </w:pPr>
    </w:p>
    <w:p>
      <w:pPr>
        <w:pStyle w:val="BodyText"/>
        <w:spacing w:before="163"/>
        <w:ind w:left="700"/>
      </w:pPr>
      <w:r>
        <w:rPr/>
        <w:t>（七）认购的数额约定</w:t>
      </w:r>
    </w:p>
    <w:p>
      <w:pPr>
        <w:pStyle w:val="BodyText"/>
        <w:spacing w:line="364" w:lineRule="auto"/>
        <w:ind w:right="350" w:firstLine="479"/>
      </w:pPr>
      <w:r>
        <w:rPr/>
        <w:t>本基金代销机构首次认购和追加认购的最低金额按照基金管理人和代销机构约定的为准。本基金直销网点最低认购金额由基金管理人制定和调整。</w:t>
      </w:r>
    </w:p>
    <w:p>
      <w:pPr>
        <w:pStyle w:val="BodyText"/>
        <w:spacing w:before="1"/>
        <w:ind w:left="700"/>
      </w:pPr>
      <w:r>
        <w:rPr/>
        <w:t>（八）认购期利息的处理方式</w:t>
      </w:r>
    </w:p>
    <w:p>
      <w:pPr>
        <w:pStyle w:val="BodyText"/>
        <w:spacing w:line="364" w:lineRule="auto"/>
        <w:ind w:right="350" w:firstLine="479"/>
      </w:pPr>
      <w:r>
        <w:rPr/>
        <w:t>认购款项在基金财产验资前产生的利息将折算为基金份额归基金份额持有人所有，其中利息以注册登记人的记录为准。</w:t>
      </w:r>
    </w:p>
    <w:p>
      <w:pPr>
        <w:pStyle w:val="BodyText"/>
        <w:spacing w:before="1"/>
        <w:ind w:left="700"/>
      </w:pPr>
      <w:r>
        <w:rPr/>
        <w:t>（九）有关本基金认购份额的计算</w:t>
      </w:r>
    </w:p>
    <w:p>
      <w:pPr>
        <w:pStyle w:val="BodyText"/>
        <w:spacing w:line="364" w:lineRule="auto"/>
        <w:ind w:right="357" w:firstLine="479"/>
      </w:pPr>
      <w:r>
        <w:rPr>
          <w:spacing w:val="-7"/>
        </w:rPr>
        <w:t>本基金场外认购采用金额认购的方式。认购份额的计算采用四舍五入的方法</w:t>
      </w:r>
      <w:r>
        <w:rPr>
          <w:spacing w:val="-16"/>
        </w:rPr>
        <w:t>保留至 </w:t>
      </w:r>
      <w:r>
        <w:rPr>
          <w:rFonts w:ascii="Times New Roman" w:eastAsia="Times New Roman"/>
        </w:rPr>
        <w:t>0.01 </w:t>
      </w:r>
      <w:r>
        <w:rPr/>
        <w:t>份，由此产生的误差计入基金资产。</w:t>
      </w:r>
    </w:p>
    <w:p>
      <w:pPr>
        <w:pStyle w:val="BodyText"/>
        <w:spacing w:before="1"/>
        <w:ind w:left="700"/>
      </w:pPr>
      <w:r>
        <w:rPr/>
        <w:t>本基金认购份额的计算如下：</w:t>
      </w:r>
    </w:p>
    <w:p>
      <w:pPr>
        <w:pStyle w:val="BodyText"/>
        <w:spacing w:line="364" w:lineRule="auto"/>
        <w:ind w:left="700" w:right="3167"/>
      </w:pPr>
      <w:r>
        <w:rPr/>
        <w:t>认购费用</w:t>
      </w:r>
      <w:r>
        <w:rPr>
          <w:rFonts w:ascii="Times New Roman" w:hAnsi="Times New Roman" w:eastAsia="Times New Roman"/>
        </w:rPr>
        <w:t>=</w:t>
      </w:r>
      <w:r>
        <w:rPr/>
        <w:t>认购金额</w:t>
      </w:r>
      <w:r>
        <w:rPr>
          <w:rFonts w:ascii="Times New Roman" w:hAnsi="Times New Roman" w:eastAsia="Times New Roman"/>
        </w:rPr>
        <w:t>/</w:t>
      </w:r>
      <w:r>
        <w:rPr/>
        <w:t>（</w:t>
      </w:r>
      <w:r>
        <w:rPr>
          <w:rFonts w:ascii="Times New Roman" w:hAnsi="Times New Roman" w:eastAsia="Times New Roman"/>
        </w:rPr>
        <w:t>1</w:t>
      </w:r>
      <w:r>
        <w:rPr/>
        <w:t>＋认购费率）</w:t>
      </w:r>
      <w:r>
        <w:rPr>
          <w:rFonts w:ascii="Times New Roman" w:hAnsi="Times New Roman" w:eastAsia="Times New Roman"/>
        </w:rPr>
        <w:t>×</w:t>
      </w:r>
      <w:r>
        <w:rPr/>
        <w:t>认购费率净认购金额</w:t>
      </w:r>
      <w:r>
        <w:rPr>
          <w:rFonts w:ascii="Times New Roman" w:hAnsi="Times New Roman" w:eastAsia="Times New Roman"/>
        </w:rPr>
        <w:t>=</w:t>
      </w:r>
      <w:r>
        <w:rPr/>
        <w:t>认购金额</w:t>
      </w:r>
      <w:r>
        <w:rPr>
          <w:rFonts w:ascii="Times New Roman" w:hAnsi="Times New Roman" w:eastAsia="Times New Roman"/>
        </w:rPr>
        <w:t>/</w:t>
      </w:r>
      <w:r>
        <w:rPr/>
        <w:t>（</w:t>
      </w:r>
      <w:r>
        <w:rPr>
          <w:rFonts w:ascii="Times New Roman" w:hAnsi="Times New Roman" w:eastAsia="Times New Roman"/>
        </w:rPr>
        <w:t>1</w:t>
      </w:r>
      <w:r>
        <w:rPr/>
        <w:t>＋认购费率）</w:t>
      </w:r>
    </w:p>
    <w:p>
      <w:pPr>
        <w:pStyle w:val="BodyText"/>
        <w:spacing w:before="1"/>
        <w:ind w:left="700"/>
      </w:pPr>
      <w:r>
        <w:rPr/>
        <w:t>认购份额</w:t>
      </w:r>
      <w:r>
        <w:rPr>
          <w:rFonts w:ascii="Times New Roman" w:eastAsia="Times New Roman"/>
        </w:rPr>
        <w:t>=</w:t>
      </w:r>
      <w:r>
        <w:rPr/>
        <w:t>（净认购金额＋利息）</w:t>
      </w:r>
      <w:r>
        <w:rPr>
          <w:rFonts w:ascii="Times New Roman" w:eastAsia="Times New Roman"/>
        </w:rPr>
        <w:t>/</w:t>
      </w:r>
      <w:r>
        <w:rPr/>
        <w:t>基金份额面值</w:t>
      </w:r>
    </w:p>
    <w:p>
      <w:pPr>
        <w:spacing w:after="0"/>
        <w:sectPr>
          <w:pgSz w:w="11910" w:h="16840"/>
          <w:pgMar w:header="874" w:footer="997" w:top="1380" w:bottom="1180" w:left="1580" w:right="1440"/>
        </w:sectPr>
      </w:pPr>
    </w:p>
    <w:p>
      <w:pPr>
        <w:pStyle w:val="BodyText"/>
        <w:spacing w:before="8"/>
        <w:ind w:left="0"/>
        <w:rPr>
          <w:sz w:val="8"/>
        </w:rPr>
      </w:pPr>
    </w:p>
    <w:p>
      <w:pPr>
        <w:pStyle w:val="Heading1"/>
      </w:pPr>
      <w:bookmarkStart w:name="_bookmark4" w:id="5"/>
      <w:bookmarkEnd w:id="5"/>
      <w:r>
        <w:rPr>
          <w:b w:val="0"/>
        </w:rPr>
      </w:r>
      <w:r>
        <w:rPr/>
        <w:t>五、基金份额的场内认购</w:t>
      </w:r>
    </w:p>
    <w:p>
      <w:pPr>
        <w:pStyle w:val="BodyText"/>
        <w:spacing w:before="0"/>
        <w:ind w:left="0"/>
        <w:rPr>
          <w:b/>
          <w:sz w:val="30"/>
        </w:rPr>
      </w:pPr>
    </w:p>
    <w:p>
      <w:pPr>
        <w:pStyle w:val="BodyText"/>
        <w:spacing w:before="2"/>
        <w:ind w:left="0"/>
        <w:rPr>
          <w:b/>
          <w:sz w:val="22"/>
        </w:rPr>
      </w:pPr>
    </w:p>
    <w:p>
      <w:pPr>
        <w:pStyle w:val="BodyText"/>
        <w:spacing w:line="364" w:lineRule="auto" w:before="1"/>
        <w:ind w:right="361" w:firstLine="479"/>
        <w:jc w:val="both"/>
      </w:pPr>
      <w:r>
        <w:rPr>
          <w:spacing w:val="-7"/>
        </w:rPr>
        <w:t>本基金为上市契约型开放式基金。基金存续期限为不定期。本基金由基金管</w:t>
      </w:r>
      <w:r>
        <w:rPr>
          <w:spacing w:val="-27"/>
        </w:rPr>
        <w:t>理人依照《基金法》、《运作办法》、《销售办法》、基金合同及其他有关规定，并</w:t>
      </w:r>
      <w:r>
        <w:rPr>
          <w:spacing w:val="-1"/>
        </w:rPr>
        <w:t>经中国证监会 </w:t>
      </w:r>
      <w:r>
        <w:rPr>
          <w:rFonts w:ascii="Times New Roman" w:eastAsia="Times New Roman"/>
        </w:rPr>
        <w:t>2005 </w:t>
      </w:r>
      <w:r>
        <w:rPr/>
        <w:t>年 </w:t>
      </w:r>
      <w:r>
        <w:rPr>
          <w:rFonts w:ascii="Times New Roman" w:eastAsia="Times New Roman"/>
        </w:rPr>
        <w:t>1 </w:t>
      </w:r>
      <w:r>
        <w:rPr/>
        <w:t>月 </w:t>
      </w:r>
      <w:r>
        <w:rPr>
          <w:rFonts w:ascii="Times New Roman" w:eastAsia="Times New Roman"/>
        </w:rPr>
        <w:t>1 </w:t>
      </w:r>
      <w:r>
        <w:rPr/>
        <w:t>日证监基金字</w:t>
      </w:r>
      <w:r>
        <w:rPr>
          <w:rFonts w:ascii="Times New Roman" w:eastAsia="Times New Roman"/>
        </w:rPr>
        <w:t>[2005]7 </w:t>
      </w:r>
      <w:r>
        <w:rPr/>
        <w:t>号文核准募集。</w:t>
      </w:r>
    </w:p>
    <w:p>
      <w:pPr>
        <w:pStyle w:val="BodyText"/>
        <w:spacing w:line="364" w:lineRule="auto" w:before="1"/>
        <w:ind w:right="357" w:firstLine="479"/>
        <w:jc w:val="both"/>
      </w:pPr>
      <w:r>
        <w:rPr>
          <w:spacing w:val="-6"/>
        </w:rPr>
        <w:t>本基金的发售包括场内认购和场外认购两种方式。本章是有关基金的场内认</w:t>
      </w:r>
      <w:r>
        <w:rPr>
          <w:spacing w:val="-10"/>
        </w:rPr>
        <w:t>购，发售后登记在证券登记结算系统的基金份额适用本章的相关规定。本章不适</w:t>
      </w:r>
      <w:r>
        <w:rPr>
          <w:spacing w:val="-6"/>
        </w:rPr>
        <w:t>用于发售后登记在注册登记系统的基金份额，此等份额适用上一章《基金份额的</w:t>
      </w:r>
      <w:r>
        <w:rPr/>
        <w:t>场外认购》的相关规定。</w:t>
      </w:r>
    </w:p>
    <w:p>
      <w:pPr>
        <w:pStyle w:val="BodyText"/>
        <w:spacing w:line="364" w:lineRule="auto" w:before="3"/>
        <w:ind w:right="361" w:firstLine="479"/>
      </w:pPr>
      <w:r>
        <w:rPr>
          <w:spacing w:val="-10"/>
        </w:rPr>
        <w:t>除法律、行政法规或中国证监会有关规定另有规定外，任何与基金份额发售</w:t>
      </w:r>
      <w:r>
        <w:rPr/>
        <w:t>有关的当事人不得预留和提前发售基金份额。</w:t>
      </w:r>
    </w:p>
    <w:p>
      <w:pPr>
        <w:pStyle w:val="BodyText"/>
        <w:spacing w:before="2"/>
        <w:ind w:left="700"/>
      </w:pPr>
      <w:r>
        <w:rPr/>
        <w:t>（一）基金份额的募集期限、销售渠道、销售对象</w:t>
      </w:r>
    </w:p>
    <w:p>
      <w:pPr>
        <w:pStyle w:val="BodyText"/>
        <w:spacing w:before="160"/>
        <w:ind w:left="700"/>
      </w:pPr>
      <w:r>
        <w:rPr>
          <w:rFonts w:ascii="Times New Roman" w:eastAsia="Times New Roman"/>
        </w:rPr>
        <w:t>1</w:t>
      </w:r>
      <w:r>
        <w:rPr/>
        <w:t>、募集期限：自基金份额发售之日起不超过 </w:t>
      </w:r>
      <w:r>
        <w:rPr>
          <w:rFonts w:ascii="Times New Roman" w:eastAsia="Times New Roman"/>
        </w:rPr>
        <w:t>3 </w:t>
      </w:r>
      <w:r>
        <w:rPr/>
        <w:t>个月。</w:t>
      </w:r>
    </w:p>
    <w:p>
      <w:pPr>
        <w:pStyle w:val="BodyText"/>
        <w:spacing w:line="364" w:lineRule="auto"/>
        <w:ind w:right="358" w:firstLine="479"/>
      </w:pPr>
      <w:r>
        <w:rPr>
          <w:rFonts w:ascii="Times New Roman" w:eastAsia="Times New Roman"/>
        </w:rPr>
        <w:t>2</w:t>
      </w:r>
      <w:r>
        <w:rPr>
          <w:spacing w:val="-8"/>
        </w:rPr>
        <w:t>、销售渠道：本基金通过深圳证券交易所上网定价发售，每份 </w:t>
      </w:r>
      <w:r>
        <w:rPr>
          <w:rFonts w:ascii="Times New Roman" w:eastAsia="Times New Roman"/>
        </w:rPr>
        <w:t>1.00 </w:t>
      </w:r>
      <w:r>
        <w:rPr>
          <w:spacing w:val="-14"/>
        </w:rPr>
        <w:t>元，销</w:t>
      </w:r>
      <w:r>
        <w:rPr/>
        <w:t>售渠道为深圳证券交易所会员单位（具体名单见发售公告</w:t>
      </w:r>
      <w:r>
        <w:rPr>
          <w:spacing w:val="-120"/>
        </w:rPr>
        <w:t>）</w:t>
      </w:r>
      <w:r>
        <w:rPr/>
        <w:t>。</w:t>
      </w:r>
    </w:p>
    <w:p>
      <w:pPr>
        <w:pStyle w:val="BodyText"/>
        <w:spacing w:line="364" w:lineRule="auto" w:before="1"/>
        <w:ind w:right="364" w:firstLine="479"/>
      </w:pPr>
      <w:r>
        <w:rPr>
          <w:rFonts w:ascii="Times New Roman" w:eastAsia="Times New Roman"/>
        </w:rPr>
        <w:t>3</w:t>
      </w:r>
      <w:r>
        <w:rPr/>
        <w:t>、销售对象：合格的个人投资者和机构投资者（</w:t>
      </w:r>
      <w:r>
        <w:rPr>
          <w:spacing w:val="-2"/>
        </w:rPr>
        <w:t>法律、法规和有关规定禁</w:t>
      </w:r>
      <w:r>
        <w:rPr/>
        <w:t>止购买者除外</w:t>
      </w:r>
      <w:r>
        <w:rPr>
          <w:spacing w:val="-120"/>
        </w:rPr>
        <w:t>）</w:t>
      </w:r>
      <w:r>
        <w:rPr/>
        <w:t>。</w:t>
      </w:r>
    </w:p>
    <w:p>
      <w:pPr>
        <w:pStyle w:val="BodyText"/>
        <w:spacing w:before="1"/>
        <w:ind w:left="700"/>
      </w:pPr>
      <w:r>
        <w:rPr/>
        <w:t>（二）认购的时间</w:t>
      </w:r>
    </w:p>
    <w:p>
      <w:pPr>
        <w:pStyle w:val="BodyText"/>
        <w:spacing w:line="364" w:lineRule="auto"/>
        <w:ind w:right="357" w:firstLine="479"/>
      </w:pPr>
      <w:r>
        <w:rPr>
          <w:spacing w:val="-11"/>
        </w:rPr>
        <w:t>在发售期内，深圳证券交易所将于交易日交易时间内持续挂牌定价销售本基</w:t>
      </w:r>
      <w:r>
        <w:rPr/>
        <w:t>金份额（具体时间见发售公告</w:t>
      </w:r>
      <w:r>
        <w:rPr>
          <w:spacing w:val="-120"/>
        </w:rPr>
        <w:t>）</w:t>
      </w:r>
      <w:r>
        <w:rPr/>
        <w:t>。</w:t>
      </w:r>
    </w:p>
    <w:p>
      <w:pPr>
        <w:pStyle w:val="BodyText"/>
        <w:spacing w:before="1"/>
        <w:ind w:left="700"/>
      </w:pPr>
      <w:r>
        <w:rPr/>
        <w:t>（三）募集目标</w:t>
      </w:r>
    </w:p>
    <w:p>
      <w:pPr>
        <w:pStyle w:val="BodyText"/>
        <w:ind w:left="700"/>
      </w:pPr>
      <w:r>
        <w:rPr/>
        <w:t>本基金不设募集规模上限。</w:t>
      </w:r>
    </w:p>
    <w:p>
      <w:pPr>
        <w:pStyle w:val="BodyText"/>
        <w:ind w:left="700"/>
      </w:pPr>
      <w:r>
        <w:rPr/>
        <w:t>（四）认购方式与费率结构</w:t>
      </w:r>
    </w:p>
    <w:p>
      <w:pPr>
        <w:pStyle w:val="BodyText"/>
        <w:spacing w:line="364" w:lineRule="auto" w:before="160"/>
        <w:ind w:right="357" w:firstLine="479"/>
        <w:jc w:val="both"/>
      </w:pPr>
      <w:r>
        <w:rPr>
          <w:spacing w:val="-6"/>
        </w:rPr>
        <w:t>投资者在募集期内可以多次认购基金份额，但认购资金一旦交付，撤销申请</w:t>
      </w:r>
      <w:r>
        <w:rPr>
          <w:spacing w:val="-10"/>
        </w:rPr>
        <w:t>不予接受。本基金份额的面值为人民币一元，挂牌价格为基金面值。投资者认购</w:t>
      </w:r>
      <w:r>
        <w:rPr/>
        <w:t>采用全额缴款的认购方式。</w:t>
      </w:r>
    </w:p>
    <w:p>
      <w:pPr>
        <w:pStyle w:val="BodyText"/>
        <w:spacing w:before="2"/>
        <w:ind w:left="700"/>
        <w:jc w:val="both"/>
      </w:pPr>
      <w:r>
        <w:rPr/>
        <w:t>本基金的认购费率不高于 </w:t>
      </w:r>
      <w:r>
        <w:rPr>
          <w:rFonts w:ascii="Times New Roman" w:eastAsia="Times New Roman"/>
        </w:rPr>
        <w:t>1.0%</w:t>
      </w:r>
      <w:r>
        <w:rPr/>
        <w:t>，随认购金额的增加而递减，如下表所示：</w:t>
      </w:r>
    </w:p>
    <w:p>
      <w:pPr>
        <w:pStyle w:val="BodyText"/>
        <w:spacing w:before="4"/>
        <w:ind w:left="0"/>
        <w:rPr>
          <w:sz w:val="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4"/>
      </w:tblGrid>
      <w:tr>
        <w:trPr>
          <w:trHeight w:val="321" w:hRule="atLeast"/>
        </w:trPr>
        <w:tc>
          <w:tcPr>
            <w:tcW w:w="4261" w:type="dxa"/>
          </w:tcPr>
          <w:p>
            <w:pPr>
              <w:pStyle w:val="TableParagraph"/>
              <w:spacing w:line="242" w:lineRule="exact"/>
              <w:ind w:left="0" w:right="1318"/>
              <w:jc w:val="right"/>
              <w:rPr>
                <w:rFonts w:ascii="宋体" w:eastAsia="宋体" w:hint="eastAsia"/>
                <w:sz w:val="20"/>
              </w:rPr>
            </w:pPr>
            <w:r>
              <w:rPr>
                <w:rFonts w:ascii="宋体" w:eastAsia="宋体" w:hint="eastAsia"/>
                <w:w w:val="95"/>
                <w:sz w:val="20"/>
              </w:rPr>
              <w:t>认购金额（</w:t>
            </w:r>
            <w:r>
              <w:rPr>
                <w:w w:val="95"/>
                <w:sz w:val="20"/>
              </w:rPr>
              <w:t>M</w:t>
            </w:r>
            <w:r>
              <w:rPr>
                <w:rFonts w:ascii="宋体" w:eastAsia="宋体" w:hint="eastAsia"/>
                <w:w w:val="95"/>
                <w:sz w:val="20"/>
              </w:rPr>
              <w:t>）</w:t>
            </w:r>
          </w:p>
        </w:tc>
        <w:tc>
          <w:tcPr>
            <w:tcW w:w="4264" w:type="dxa"/>
          </w:tcPr>
          <w:p>
            <w:pPr>
              <w:pStyle w:val="TableParagraph"/>
              <w:spacing w:line="242" w:lineRule="exact"/>
              <w:ind w:right="1044"/>
              <w:rPr>
                <w:rFonts w:ascii="宋体" w:eastAsia="宋体" w:hint="eastAsia"/>
                <w:sz w:val="20"/>
              </w:rPr>
            </w:pPr>
            <w:r>
              <w:rPr>
                <w:rFonts w:ascii="宋体" w:eastAsia="宋体" w:hint="eastAsia"/>
                <w:sz w:val="20"/>
              </w:rPr>
              <w:t>认购费率</w:t>
            </w:r>
          </w:p>
        </w:tc>
      </w:tr>
      <w:tr>
        <w:trPr>
          <w:trHeight w:val="338" w:hRule="atLeast"/>
        </w:trPr>
        <w:tc>
          <w:tcPr>
            <w:tcW w:w="4261" w:type="dxa"/>
          </w:tcPr>
          <w:p>
            <w:pPr>
              <w:pStyle w:val="TableParagraph"/>
              <w:spacing w:line="249" w:lineRule="exact" w:before="69"/>
              <w:ind w:left="1680" w:right="1549"/>
              <w:rPr>
                <w:rFonts w:ascii="宋体" w:eastAsia="宋体" w:hint="eastAsia"/>
                <w:sz w:val="20"/>
              </w:rPr>
            </w:pPr>
            <w:r>
              <w:rPr>
                <w:sz w:val="20"/>
              </w:rPr>
              <w:t>M</w:t>
            </w:r>
            <w:r>
              <w:rPr>
                <w:rFonts w:ascii="宋体" w:eastAsia="宋体" w:hint="eastAsia"/>
                <w:sz w:val="20"/>
              </w:rPr>
              <w:t>＜</w:t>
            </w:r>
            <w:r>
              <w:rPr>
                <w:sz w:val="20"/>
              </w:rPr>
              <w:t>50</w:t>
            </w:r>
            <w:r>
              <w:rPr>
                <w:rFonts w:ascii="宋体" w:eastAsia="宋体" w:hint="eastAsia"/>
                <w:sz w:val="20"/>
              </w:rPr>
              <w:t>万</w:t>
            </w:r>
          </w:p>
        </w:tc>
        <w:tc>
          <w:tcPr>
            <w:tcW w:w="4264" w:type="dxa"/>
          </w:tcPr>
          <w:p>
            <w:pPr>
              <w:pStyle w:val="TableParagraph"/>
              <w:spacing w:before="82"/>
              <w:rPr>
                <w:sz w:val="20"/>
              </w:rPr>
            </w:pPr>
            <w:r>
              <w:rPr>
                <w:sz w:val="20"/>
              </w:rPr>
              <w:t>1.0%</w:t>
            </w:r>
          </w:p>
        </w:tc>
      </w:tr>
      <w:tr>
        <w:trPr>
          <w:trHeight w:val="338" w:hRule="atLeast"/>
        </w:trPr>
        <w:tc>
          <w:tcPr>
            <w:tcW w:w="4261" w:type="dxa"/>
          </w:tcPr>
          <w:p>
            <w:pPr>
              <w:pStyle w:val="TableParagraph"/>
              <w:spacing w:line="249" w:lineRule="exact" w:before="68"/>
              <w:ind w:left="0" w:right="1251"/>
              <w:jc w:val="right"/>
              <w:rPr>
                <w:rFonts w:ascii="宋体" w:hAnsi="宋体" w:eastAsia="宋体" w:hint="eastAsia"/>
                <w:sz w:val="20"/>
              </w:rPr>
            </w:pPr>
            <w:r>
              <w:rPr>
                <w:sz w:val="20"/>
              </w:rPr>
              <w:t>50 </w:t>
            </w:r>
            <w:r>
              <w:rPr>
                <w:rFonts w:ascii="宋体" w:hAnsi="宋体" w:eastAsia="宋体" w:hint="eastAsia"/>
                <w:sz w:val="20"/>
              </w:rPr>
              <w:t>万</w:t>
            </w:r>
            <w:r>
              <w:rPr>
                <w:sz w:val="20"/>
              </w:rPr>
              <w:t>≤M</w:t>
            </w:r>
            <w:r>
              <w:rPr>
                <w:rFonts w:ascii="宋体" w:hAnsi="宋体" w:eastAsia="宋体" w:hint="eastAsia"/>
                <w:sz w:val="20"/>
              </w:rPr>
              <w:t>＜</w:t>
            </w:r>
            <w:r>
              <w:rPr>
                <w:sz w:val="20"/>
              </w:rPr>
              <w:t>500  </w:t>
            </w:r>
            <w:r>
              <w:rPr>
                <w:rFonts w:ascii="宋体" w:hAnsi="宋体" w:eastAsia="宋体" w:hint="eastAsia"/>
                <w:sz w:val="20"/>
              </w:rPr>
              <w:t>万</w:t>
            </w:r>
          </w:p>
        </w:tc>
        <w:tc>
          <w:tcPr>
            <w:tcW w:w="4264" w:type="dxa"/>
          </w:tcPr>
          <w:p>
            <w:pPr>
              <w:pStyle w:val="TableParagraph"/>
              <w:spacing w:before="82"/>
              <w:rPr>
                <w:sz w:val="20"/>
              </w:rPr>
            </w:pPr>
            <w:r>
              <w:rPr>
                <w:sz w:val="20"/>
              </w:rPr>
              <w:t>0.8%</w:t>
            </w:r>
          </w:p>
        </w:tc>
      </w:tr>
    </w:tbl>
    <w:p>
      <w:pPr>
        <w:spacing w:after="0"/>
        <w:rPr>
          <w:sz w:val="20"/>
        </w:rPr>
        <w:sectPr>
          <w:pgSz w:w="11910" w:h="16840"/>
          <w:pgMar w:header="874" w:footer="997" w:top="1380" w:bottom="1180" w:left="1580" w:right="1440"/>
        </w:sectPr>
      </w:pPr>
    </w:p>
    <w:p>
      <w:pPr>
        <w:pStyle w:val="BodyText"/>
        <w:spacing w:before="11"/>
        <w:ind w:left="0"/>
        <w:rPr>
          <w:sz w:val="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4"/>
      </w:tblGrid>
      <w:tr>
        <w:trPr>
          <w:trHeight w:val="338" w:hRule="atLeast"/>
        </w:trPr>
        <w:tc>
          <w:tcPr>
            <w:tcW w:w="4261" w:type="dxa"/>
          </w:tcPr>
          <w:p>
            <w:pPr>
              <w:pStyle w:val="TableParagraph"/>
              <w:spacing w:line="249" w:lineRule="exact" w:before="69"/>
              <w:ind w:left="1302" w:right="0"/>
              <w:jc w:val="left"/>
              <w:rPr>
                <w:rFonts w:ascii="宋体" w:hAnsi="宋体" w:eastAsia="宋体" w:hint="eastAsia"/>
                <w:sz w:val="20"/>
              </w:rPr>
            </w:pPr>
            <w:r>
              <w:rPr>
                <w:sz w:val="20"/>
              </w:rPr>
              <w:t>500 </w:t>
            </w:r>
            <w:r>
              <w:rPr>
                <w:rFonts w:ascii="宋体" w:hAnsi="宋体" w:eastAsia="宋体" w:hint="eastAsia"/>
                <w:sz w:val="20"/>
              </w:rPr>
              <w:t>万</w:t>
            </w:r>
            <w:r>
              <w:rPr>
                <w:sz w:val="20"/>
              </w:rPr>
              <w:t>≤M</w:t>
            </w:r>
            <w:r>
              <w:rPr>
                <w:rFonts w:ascii="宋体" w:hAnsi="宋体" w:eastAsia="宋体" w:hint="eastAsia"/>
                <w:sz w:val="20"/>
              </w:rPr>
              <w:t>＜</w:t>
            </w:r>
            <w:r>
              <w:rPr>
                <w:sz w:val="20"/>
              </w:rPr>
              <w:t>1000 </w:t>
            </w:r>
            <w:r>
              <w:rPr>
                <w:rFonts w:ascii="宋体" w:hAnsi="宋体" w:eastAsia="宋体" w:hint="eastAsia"/>
                <w:sz w:val="20"/>
              </w:rPr>
              <w:t>万</w:t>
            </w:r>
          </w:p>
        </w:tc>
        <w:tc>
          <w:tcPr>
            <w:tcW w:w="4264" w:type="dxa"/>
          </w:tcPr>
          <w:p>
            <w:pPr>
              <w:pStyle w:val="TableParagraph"/>
              <w:spacing w:before="82"/>
              <w:rPr>
                <w:sz w:val="20"/>
              </w:rPr>
            </w:pPr>
            <w:r>
              <w:rPr>
                <w:sz w:val="20"/>
              </w:rPr>
              <w:t>0.6%</w:t>
            </w:r>
          </w:p>
        </w:tc>
      </w:tr>
      <w:tr>
        <w:trPr>
          <w:trHeight w:val="337" w:hRule="atLeast"/>
        </w:trPr>
        <w:tc>
          <w:tcPr>
            <w:tcW w:w="4261" w:type="dxa"/>
          </w:tcPr>
          <w:p>
            <w:pPr>
              <w:pStyle w:val="TableParagraph"/>
              <w:spacing w:line="249" w:lineRule="exact" w:before="68"/>
              <w:ind w:left="1680" w:right="1643"/>
              <w:rPr>
                <w:rFonts w:ascii="宋体" w:hAnsi="宋体" w:eastAsia="宋体" w:hint="eastAsia"/>
                <w:sz w:val="20"/>
              </w:rPr>
            </w:pPr>
            <w:r>
              <w:rPr>
                <w:sz w:val="20"/>
              </w:rPr>
              <w:t>M≥1000</w:t>
            </w:r>
            <w:r>
              <w:rPr>
                <w:rFonts w:ascii="宋体" w:hAnsi="宋体" w:eastAsia="宋体" w:hint="eastAsia"/>
                <w:sz w:val="20"/>
              </w:rPr>
              <w:t>万</w:t>
            </w:r>
          </w:p>
        </w:tc>
        <w:tc>
          <w:tcPr>
            <w:tcW w:w="4264" w:type="dxa"/>
          </w:tcPr>
          <w:p>
            <w:pPr>
              <w:pStyle w:val="TableParagraph"/>
              <w:ind w:right="1089"/>
              <w:rPr>
                <w:rFonts w:ascii="宋体" w:eastAsia="宋体" w:hint="eastAsia"/>
                <w:sz w:val="20"/>
              </w:rPr>
            </w:pPr>
            <w:r>
              <w:rPr>
                <w:rFonts w:ascii="宋体" w:eastAsia="宋体" w:hint="eastAsia"/>
                <w:sz w:val="20"/>
              </w:rPr>
              <w:t>按笔收取，</w:t>
            </w:r>
            <w:r>
              <w:rPr>
                <w:sz w:val="20"/>
              </w:rPr>
              <w:t>1000 </w:t>
            </w:r>
            <w:r>
              <w:rPr>
                <w:rFonts w:ascii="宋体" w:eastAsia="宋体" w:hint="eastAsia"/>
                <w:sz w:val="20"/>
              </w:rPr>
              <w:t>元</w:t>
            </w:r>
            <w:r>
              <w:rPr>
                <w:sz w:val="20"/>
              </w:rPr>
              <w:t>/</w:t>
            </w:r>
            <w:r>
              <w:rPr>
                <w:rFonts w:ascii="宋体" w:eastAsia="宋体" w:hint="eastAsia"/>
                <w:sz w:val="20"/>
              </w:rPr>
              <w:t>笔</w:t>
            </w:r>
          </w:p>
        </w:tc>
      </w:tr>
    </w:tbl>
    <w:p>
      <w:pPr>
        <w:pStyle w:val="BodyText"/>
        <w:spacing w:before="80"/>
        <w:ind w:left="700"/>
      </w:pPr>
      <w:r>
        <w:rPr/>
        <w:t>（五）认购的数额约定</w:t>
      </w:r>
    </w:p>
    <w:p>
      <w:pPr>
        <w:pStyle w:val="BodyText"/>
        <w:spacing w:before="160"/>
        <w:ind w:left="700"/>
      </w:pPr>
      <w:r>
        <w:rPr/>
        <w:t>本基金场内认购每次申报的认购份额必须为 </w:t>
      </w:r>
      <w:r>
        <w:rPr>
          <w:rFonts w:ascii="Times New Roman" w:eastAsia="Times New Roman"/>
        </w:rPr>
        <w:t>1000 </w:t>
      </w:r>
      <w:r>
        <w:rPr/>
        <w:t>份或 </w:t>
      </w:r>
      <w:r>
        <w:rPr>
          <w:rFonts w:ascii="Times New Roman" w:eastAsia="Times New Roman"/>
        </w:rPr>
        <w:t>1000 </w:t>
      </w:r>
      <w:r>
        <w:rPr/>
        <w:t>份的整数倍，</w:t>
      </w:r>
    </w:p>
    <w:p>
      <w:pPr>
        <w:pStyle w:val="BodyText"/>
      </w:pPr>
      <w:r>
        <w:rPr/>
        <w:t>且不超过 </w:t>
      </w:r>
      <w:r>
        <w:rPr>
          <w:rFonts w:ascii="Times New Roman" w:eastAsia="Times New Roman"/>
        </w:rPr>
        <w:t>99,999,000 </w:t>
      </w:r>
      <w:r>
        <w:rPr/>
        <w:t>份基金单位。</w:t>
      </w:r>
    </w:p>
    <w:p>
      <w:pPr>
        <w:pStyle w:val="BodyText"/>
        <w:spacing w:before="0"/>
        <w:ind w:left="0"/>
        <w:rPr>
          <w:sz w:val="26"/>
        </w:rPr>
      </w:pPr>
    </w:p>
    <w:p>
      <w:pPr>
        <w:pStyle w:val="BodyText"/>
        <w:spacing w:before="0"/>
        <w:ind w:left="0"/>
        <w:rPr>
          <w:sz w:val="23"/>
        </w:rPr>
      </w:pPr>
    </w:p>
    <w:p>
      <w:pPr>
        <w:pStyle w:val="BodyText"/>
        <w:spacing w:before="1"/>
        <w:ind w:left="700"/>
      </w:pPr>
      <w:r>
        <w:rPr/>
        <w:t>（六）认购期利息的处理方式</w:t>
      </w:r>
    </w:p>
    <w:p>
      <w:pPr>
        <w:pStyle w:val="BodyText"/>
        <w:spacing w:line="364" w:lineRule="auto" w:before="160"/>
        <w:ind w:right="350" w:firstLine="479"/>
      </w:pPr>
      <w:r>
        <w:rPr/>
        <w:t>认购款项在基金财产验资前产生的利息将折算为基金份额归基金份额持有人所有。利息折算的份额保留至 </w:t>
      </w:r>
      <w:r>
        <w:rPr>
          <w:rFonts w:ascii="Times New Roman" w:eastAsia="Times New Roman"/>
        </w:rPr>
        <w:t>1 </w:t>
      </w:r>
      <w:r>
        <w:rPr/>
        <w:t>份，余额计入基金资产。</w:t>
      </w:r>
    </w:p>
    <w:p>
      <w:pPr>
        <w:pStyle w:val="BodyText"/>
        <w:spacing w:before="2"/>
        <w:ind w:left="700"/>
      </w:pPr>
      <w:r>
        <w:rPr/>
        <w:t>（七）认购金额和利息折算的份额的计算</w:t>
      </w:r>
    </w:p>
    <w:p>
      <w:pPr>
        <w:pStyle w:val="BodyText"/>
        <w:spacing w:line="364" w:lineRule="auto" w:before="160"/>
        <w:ind w:right="357" w:firstLine="479"/>
      </w:pPr>
      <w:r>
        <w:rPr>
          <w:spacing w:val="-7"/>
        </w:rPr>
        <w:t>本基金场内认购采用份额认购的方式。本基金认购金额和利息折算的份额的</w:t>
      </w:r>
      <w:r>
        <w:rPr/>
        <w:t>计算如下：认购金额＝挂牌价格</w:t>
      </w:r>
      <w:r>
        <w:rPr>
          <w:rFonts w:ascii="Times New Roman" w:hAnsi="Times New Roman" w:eastAsia="Times New Roman"/>
        </w:rPr>
        <w:t>×</w:t>
      </w:r>
      <w:r>
        <w:rPr/>
        <w:t>（</w:t>
      </w:r>
      <w:r>
        <w:rPr>
          <w:rFonts w:ascii="Times New Roman" w:hAnsi="Times New Roman" w:eastAsia="Times New Roman"/>
        </w:rPr>
        <w:t>1</w:t>
      </w:r>
      <w:r>
        <w:rPr/>
        <w:t>＋认购费率）</w:t>
      </w:r>
      <w:r>
        <w:rPr>
          <w:rFonts w:ascii="Times New Roman" w:hAnsi="Times New Roman" w:eastAsia="Times New Roman"/>
        </w:rPr>
        <w:t>×</w:t>
      </w:r>
      <w:r>
        <w:rPr/>
        <w:t>认购份额</w:t>
      </w:r>
    </w:p>
    <w:p>
      <w:pPr>
        <w:pStyle w:val="BodyText"/>
        <w:spacing w:line="364" w:lineRule="auto" w:before="2"/>
        <w:ind w:left="700" w:right="3834"/>
      </w:pPr>
      <w:r>
        <w:rPr/>
        <w:t>认购费用＝挂牌价格</w:t>
      </w:r>
      <w:r>
        <w:rPr>
          <w:rFonts w:ascii="Times New Roman" w:hAnsi="Times New Roman" w:eastAsia="Times New Roman"/>
        </w:rPr>
        <w:t>×</w:t>
      </w:r>
      <w:r>
        <w:rPr/>
        <w:t>认购份额</w:t>
      </w:r>
      <w:r>
        <w:rPr>
          <w:rFonts w:ascii="Times New Roman" w:hAnsi="Times New Roman" w:eastAsia="Times New Roman"/>
        </w:rPr>
        <w:t>×</w:t>
      </w:r>
      <w:r>
        <w:rPr/>
        <w:t>认购费率净认购金额＝挂牌价格</w:t>
      </w:r>
      <w:r>
        <w:rPr>
          <w:rFonts w:ascii="Times New Roman" w:hAnsi="Times New Roman" w:eastAsia="Times New Roman"/>
        </w:rPr>
        <w:t>×</w:t>
      </w:r>
      <w:r>
        <w:rPr/>
        <w:t>认购份额</w:t>
      </w:r>
    </w:p>
    <w:p>
      <w:pPr>
        <w:pStyle w:val="BodyText"/>
        <w:spacing w:before="1"/>
        <w:ind w:left="700"/>
      </w:pPr>
      <w:r>
        <w:rPr/>
        <w:t>利息折算的份额＝利息</w:t>
      </w:r>
      <w:r>
        <w:rPr>
          <w:rFonts w:ascii="Times New Roman" w:eastAsia="Times New Roman"/>
        </w:rPr>
        <w:t>/</w:t>
      </w:r>
      <w:r>
        <w:rPr/>
        <w:t>挂牌价格</w:t>
      </w:r>
    </w:p>
    <w:p>
      <w:pPr>
        <w:spacing w:after="0"/>
        <w:sectPr>
          <w:pgSz w:w="11910" w:h="16840"/>
          <w:pgMar w:header="874" w:footer="997" w:top="1380" w:bottom="1180" w:left="1580" w:right="1440"/>
        </w:sectPr>
      </w:pPr>
    </w:p>
    <w:p>
      <w:pPr>
        <w:pStyle w:val="BodyText"/>
        <w:spacing w:before="8"/>
        <w:ind w:left="0"/>
        <w:rPr>
          <w:sz w:val="8"/>
        </w:rPr>
      </w:pPr>
    </w:p>
    <w:p>
      <w:pPr>
        <w:pStyle w:val="Heading1"/>
        <w:ind w:right="136"/>
      </w:pPr>
      <w:bookmarkStart w:name="_bookmark5" w:id="6"/>
      <w:bookmarkEnd w:id="6"/>
      <w:r>
        <w:rPr>
          <w:b w:val="0"/>
        </w:rPr>
      </w:r>
      <w:r>
        <w:rPr/>
        <w:t>六、基金备案</w:t>
      </w:r>
    </w:p>
    <w:p>
      <w:pPr>
        <w:pStyle w:val="BodyText"/>
        <w:spacing w:before="0"/>
        <w:ind w:left="0"/>
        <w:rPr>
          <w:b/>
          <w:sz w:val="30"/>
        </w:rPr>
      </w:pPr>
    </w:p>
    <w:p>
      <w:pPr>
        <w:pStyle w:val="BodyText"/>
        <w:spacing w:before="2"/>
        <w:ind w:left="0"/>
        <w:rPr>
          <w:b/>
          <w:sz w:val="22"/>
        </w:rPr>
      </w:pPr>
    </w:p>
    <w:p>
      <w:pPr>
        <w:pStyle w:val="BodyText"/>
        <w:spacing w:before="1"/>
        <w:ind w:left="700"/>
      </w:pPr>
      <w:r>
        <w:rPr/>
        <w:t>（一）基金备案的条件</w:t>
      </w:r>
    </w:p>
    <w:p>
      <w:pPr>
        <w:pStyle w:val="BodyText"/>
        <w:spacing w:before="160"/>
        <w:ind w:left="700"/>
      </w:pPr>
      <w:r>
        <w:rPr/>
        <w:t>投资者缴纳认购的基金份额的款项时，基金合同成立。</w:t>
      </w:r>
    </w:p>
    <w:p>
      <w:pPr>
        <w:pStyle w:val="BodyText"/>
        <w:spacing w:line="364" w:lineRule="auto"/>
        <w:ind w:right="359" w:firstLine="479"/>
      </w:pPr>
      <w:r>
        <w:rPr>
          <w:spacing w:val="-9"/>
        </w:rPr>
        <w:t>基金募集期限届满，在基金募集份额总额不少于两亿份，基金募集金额不少</w:t>
      </w:r>
      <w:r>
        <w:rPr>
          <w:spacing w:val="-1"/>
        </w:rPr>
        <w:t>于 </w:t>
      </w:r>
      <w:r>
        <w:rPr>
          <w:rFonts w:ascii="Times New Roman" w:eastAsia="Times New Roman"/>
        </w:rPr>
        <w:t>2 </w:t>
      </w:r>
      <w:r>
        <w:rPr/>
        <w:t>亿元人民币且基金份额持有人的人数不少于 </w:t>
      </w:r>
      <w:r>
        <w:rPr>
          <w:rFonts w:ascii="Times New Roman" w:eastAsia="Times New Roman"/>
        </w:rPr>
        <w:t>200 </w:t>
      </w:r>
      <w:r>
        <w:rPr>
          <w:spacing w:val="-2"/>
        </w:rPr>
        <w:t>人的条件下，基金管理人</w:t>
      </w:r>
    </w:p>
    <w:p>
      <w:pPr>
        <w:pStyle w:val="BodyText"/>
        <w:spacing w:line="364" w:lineRule="auto" w:before="1"/>
        <w:ind w:right="359"/>
      </w:pPr>
      <w:r>
        <w:rPr/>
        <w:t>应当在 </w:t>
      </w:r>
      <w:r>
        <w:rPr>
          <w:rFonts w:ascii="Times New Roman" w:eastAsia="Times New Roman"/>
        </w:rPr>
        <w:t>10 </w:t>
      </w:r>
      <w:r>
        <w:rPr/>
        <w:t>日内聘请验资机构验资，并在收到验资报告后 </w:t>
      </w:r>
      <w:r>
        <w:rPr>
          <w:rFonts w:ascii="Times New Roman" w:eastAsia="Times New Roman"/>
        </w:rPr>
        <w:t>10 </w:t>
      </w:r>
      <w:r>
        <w:rPr/>
        <w:t>日内依法向中国证监会办理基金备案手续。</w:t>
      </w:r>
    </w:p>
    <w:p>
      <w:pPr>
        <w:pStyle w:val="BodyText"/>
        <w:spacing w:line="364" w:lineRule="auto" w:before="2"/>
        <w:ind w:right="357" w:firstLine="479"/>
      </w:pPr>
      <w:r>
        <w:rPr>
          <w:spacing w:val="-7"/>
        </w:rPr>
        <w:t>自中国证监会书面确认之日起，基金备案手续办理完毕，基金合同生效。基</w:t>
      </w:r>
      <w:r>
        <w:rPr/>
        <w:t>金管理人在收到中国证监会确认文件的次日予以公告。</w:t>
      </w:r>
    </w:p>
    <w:p>
      <w:pPr>
        <w:pStyle w:val="BodyText"/>
        <w:spacing w:line="364" w:lineRule="auto" w:before="1"/>
        <w:ind w:right="361" w:firstLine="479"/>
      </w:pPr>
      <w:r>
        <w:rPr>
          <w:spacing w:val="-6"/>
        </w:rPr>
        <w:t>基金募集期间募集的资金应当存入专门账户，在基金募集行为结束前，任何</w:t>
      </w:r>
      <w:r>
        <w:rPr/>
        <w:t>人不得动用。</w:t>
      </w:r>
    </w:p>
    <w:p>
      <w:pPr>
        <w:pStyle w:val="BodyText"/>
        <w:spacing w:before="1"/>
        <w:ind w:left="700"/>
      </w:pPr>
      <w:r>
        <w:rPr/>
        <w:t>（二）基金合同不能生效时的处理方式</w:t>
      </w:r>
    </w:p>
    <w:p>
      <w:pPr>
        <w:pStyle w:val="BodyText"/>
        <w:spacing w:line="364" w:lineRule="auto" w:before="160"/>
        <w:ind w:right="240" w:firstLine="479"/>
      </w:pPr>
      <w:r>
        <w:rPr>
          <w:spacing w:val="-18"/>
        </w:rPr>
        <w:t>基金募集期限届满，不能达到下述条件，即基金募集份额总额不少于两亿份， </w:t>
      </w:r>
      <w:r>
        <w:rPr/>
        <w:t>基金募集金额不少于 </w:t>
      </w:r>
      <w:r>
        <w:rPr>
          <w:rFonts w:ascii="Times New Roman" w:eastAsia="Times New Roman"/>
        </w:rPr>
        <w:t>2 </w:t>
      </w:r>
      <w:r>
        <w:rPr/>
        <w:t>亿元人民币且基金份额持有人的人数不少于 </w:t>
      </w:r>
      <w:r>
        <w:rPr>
          <w:rFonts w:ascii="Times New Roman" w:eastAsia="Times New Roman"/>
        </w:rPr>
        <w:t>200 </w:t>
      </w:r>
      <w:r>
        <w:rPr/>
        <w:t>人时， 基金管理人保证履行以下责任：</w:t>
      </w:r>
    </w:p>
    <w:p>
      <w:pPr>
        <w:pStyle w:val="BodyText"/>
        <w:spacing w:before="3"/>
        <w:ind w:left="700"/>
      </w:pPr>
      <w:r>
        <w:rPr>
          <w:rFonts w:ascii="Times New Roman" w:eastAsia="Times New Roman"/>
        </w:rPr>
        <w:t>1</w:t>
      </w:r>
      <w:r>
        <w:rPr/>
        <w:t>、以其固有财产承担因募集行为而产生的债务和费用；</w:t>
      </w:r>
    </w:p>
    <w:p>
      <w:pPr>
        <w:pStyle w:val="BodyText"/>
        <w:spacing w:line="364" w:lineRule="auto" w:before="160"/>
        <w:ind w:right="364" w:firstLine="479"/>
      </w:pPr>
      <w:r>
        <w:rPr>
          <w:rFonts w:ascii="Times New Roman" w:eastAsia="Times New Roman"/>
        </w:rPr>
        <w:t>2</w:t>
      </w:r>
      <w:r>
        <w:rPr/>
        <w:t>、在基金募集期限届满后 </w:t>
      </w:r>
      <w:r>
        <w:rPr>
          <w:rFonts w:ascii="Times New Roman" w:eastAsia="Times New Roman"/>
        </w:rPr>
        <w:t>30 </w:t>
      </w:r>
      <w:r>
        <w:rPr/>
        <w:t>日内返还投资人已缴纳的款项，并加计银行同期存款利息。</w:t>
      </w:r>
    </w:p>
    <w:p>
      <w:pPr>
        <w:pStyle w:val="BodyText"/>
        <w:spacing w:line="364" w:lineRule="auto" w:before="1"/>
        <w:ind w:right="355" w:firstLine="479"/>
      </w:pPr>
      <w:r>
        <w:rPr>
          <w:spacing w:val="-21"/>
        </w:rPr>
        <w:t>基金合同不能生效时，基金管理人、基金托管人不得请求报酬。基金管理人、</w:t>
      </w:r>
      <w:r>
        <w:rPr/>
        <w:t>基金托管人为本基金支付之一切费用应由各方各自承担。</w:t>
      </w:r>
    </w:p>
    <w:p>
      <w:pPr>
        <w:pStyle w:val="BodyText"/>
        <w:spacing w:before="0"/>
        <w:ind w:left="0"/>
      </w:pPr>
    </w:p>
    <w:p>
      <w:pPr>
        <w:pStyle w:val="BodyText"/>
        <w:spacing w:before="0"/>
        <w:ind w:left="0"/>
      </w:pPr>
    </w:p>
    <w:p>
      <w:pPr>
        <w:pStyle w:val="BodyText"/>
        <w:spacing w:before="3"/>
        <w:ind w:left="0"/>
        <w:rPr>
          <w:sz w:val="25"/>
        </w:rPr>
      </w:pPr>
    </w:p>
    <w:p>
      <w:pPr>
        <w:pStyle w:val="BodyText"/>
        <w:spacing w:before="0"/>
        <w:ind w:left="700"/>
      </w:pPr>
      <w:r>
        <w:rPr/>
        <w:t>（三）基金合同生效后的基金份额持有人数量和资产规模限制</w:t>
      </w:r>
    </w:p>
    <w:p>
      <w:pPr>
        <w:pStyle w:val="BodyText"/>
        <w:spacing w:before="160"/>
        <w:ind w:left="700"/>
      </w:pPr>
      <w:r>
        <w:rPr/>
        <w:t>本基金合同生效后，基金份额持有人数量不满 </w:t>
      </w:r>
      <w:r>
        <w:rPr>
          <w:rFonts w:ascii="Times New Roman" w:eastAsia="Times New Roman"/>
        </w:rPr>
        <w:t>200 </w:t>
      </w:r>
      <w:r>
        <w:rPr/>
        <w:t>人或者基金资产净值低</w:t>
      </w:r>
    </w:p>
    <w:p>
      <w:pPr>
        <w:pStyle w:val="BodyText"/>
        <w:spacing w:line="364" w:lineRule="auto"/>
        <w:ind w:right="359"/>
      </w:pPr>
      <w:r>
        <w:rPr/>
        <w:t>于 </w:t>
      </w:r>
      <w:r>
        <w:rPr>
          <w:rFonts w:ascii="Times New Roman" w:eastAsia="Times New Roman"/>
        </w:rPr>
        <w:t>5000 </w:t>
      </w:r>
      <w:r>
        <w:rPr/>
        <w:t>万元的，基金管理人应当及时报告中国证监会；连续 </w:t>
      </w:r>
      <w:r>
        <w:rPr>
          <w:rFonts w:ascii="Times New Roman" w:eastAsia="Times New Roman"/>
        </w:rPr>
        <w:t>20 </w:t>
      </w:r>
      <w:r>
        <w:rPr/>
        <w:t>个工作日出现前述情形的，基金管理人应当向中国证监会说明原因和报送解决方案。</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pPr>
      <w:bookmarkStart w:name="_bookmark6" w:id="7"/>
      <w:bookmarkEnd w:id="7"/>
      <w:r>
        <w:rPr>
          <w:b w:val="0"/>
        </w:rPr>
      </w:r>
      <w:r>
        <w:rPr/>
        <w:t>七、基金份额的上市交易</w:t>
      </w:r>
    </w:p>
    <w:p>
      <w:pPr>
        <w:pStyle w:val="BodyText"/>
        <w:spacing w:before="0"/>
        <w:ind w:left="0"/>
        <w:rPr>
          <w:b/>
          <w:sz w:val="30"/>
        </w:rPr>
      </w:pPr>
    </w:p>
    <w:p>
      <w:pPr>
        <w:pStyle w:val="BodyText"/>
        <w:spacing w:before="2"/>
        <w:ind w:left="0"/>
        <w:rPr>
          <w:b/>
          <w:sz w:val="22"/>
        </w:rPr>
      </w:pPr>
    </w:p>
    <w:p>
      <w:pPr>
        <w:pStyle w:val="BodyText"/>
        <w:spacing w:line="364" w:lineRule="auto" w:before="1"/>
        <w:ind w:right="357" w:firstLine="479"/>
      </w:pPr>
      <w:r>
        <w:rPr>
          <w:spacing w:val="-5"/>
        </w:rPr>
        <w:t>本基金的日常交易包括上市交易和申购赎回两种方式。本章是有关基金的上</w:t>
      </w:r>
      <w:r>
        <w:rPr/>
        <w:t>市交易，</w:t>
      </w:r>
    </w:p>
    <w:p>
      <w:pPr>
        <w:pStyle w:val="BodyText"/>
        <w:spacing w:line="364" w:lineRule="auto" w:before="1"/>
        <w:ind w:right="244" w:firstLine="479"/>
      </w:pPr>
      <w:r>
        <w:rPr/>
        <w:t>登记在证券登记结算系统的基金份额进行日常交易时适用本章的相关规定。本章不适用于登记在注册登记系统的基金份额，此等份额适用下一章《基金份额的申购和赎回》的相关规定。</w:t>
      </w:r>
    </w:p>
    <w:p>
      <w:pPr>
        <w:pStyle w:val="BodyText"/>
        <w:spacing w:line="364" w:lineRule="auto" w:before="2"/>
        <w:ind w:left="700" w:right="5784"/>
      </w:pPr>
      <w:r>
        <w:rPr/>
        <w:t>（一）上市交易的地点深圳证券交易所。</w:t>
      </w:r>
    </w:p>
    <w:p>
      <w:pPr>
        <w:pStyle w:val="BodyText"/>
        <w:spacing w:before="1"/>
        <w:ind w:left="700"/>
      </w:pPr>
      <w:r>
        <w:rPr/>
        <w:t>（二）上市交易的时间</w:t>
      </w:r>
    </w:p>
    <w:p>
      <w:pPr>
        <w:pStyle w:val="BodyText"/>
        <w:ind w:left="700"/>
      </w:pPr>
      <w:r>
        <w:rPr/>
        <w:t>本基金合同生效后三个月内开始在深圳证券交易所上市交易。</w:t>
      </w:r>
    </w:p>
    <w:p>
      <w:pPr>
        <w:pStyle w:val="BodyText"/>
        <w:spacing w:line="364" w:lineRule="auto" w:before="160"/>
        <w:ind w:right="356" w:firstLine="479"/>
      </w:pPr>
      <w:r>
        <w:rPr/>
        <w:t>在确定上市交易的时间后，基金管理人最迟在上市前 </w:t>
      </w:r>
      <w:r>
        <w:rPr>
          <w:rFonts w:ascii="Times New Roman" w:eastAsia="Times New Roman"/>
        </w:rPr>
        <w:t>3 </w:t>
      </w:r>
      <w:r>
        <w:rPr/>
        <w:t>个工作日在指定媒介上刊登公告。</w:t>
      </w:r>
    </w:p>
    <w:p>
      <w:pPr>
        <w:pStyle w:val="BodyText"/>
        <w:spacing w:before="2"/>
        <w:ind w:left="700"/>
      </w:pPr>
      <w:r>
        <w:rPr/>
        <w:t>（三）上市交易的规则</w:t>
      </w:r>
    </w:p>
    <w:p>
      <w:pPr>
        <w:pStyle w:val="BodyText"/>
        <w:spacing w:line="364" w:lineRule="auto" w:before="160"/>
        <w:ind w:right="357" w:firstLine="479"/>
      </w:pPr>
      <w:r>
        <w:rPr>
          <w:spacing w:val="-7"/>
        </w:rPr>
        <w:t>本基金上市交易遵循《深圳证券交易所交易规则》及《业务规则》的相关规</w:t>
      </w:r>
      <w:r>
        <w:rPr/>
        <w:t>定。</w:t>
      </w:r>
    </w:p>
    <w:p>
      <w:pPr>
        <w:pStyle w:val="BodyText"/>
        <w:spacing w:before="2"/>
        <w:ind w:left="700"/>
      </w:pPr>
      <w:r>
        <w:rPr/>
        <w:t>（四）上市交易的费用</w:t>
      </w:r>
    </w:p>
    <w:p>
      <w:pPr>
        <w:pStyle w:val="BodyText"/>
        <w:spacing w:line="364" w:lineRule="auto" w:before="160"/>
        <w:ind w:right="361" w:firstLine="479"/>
      </w:pPr>
      <w:r>
        <w:rPr>
          <w:spacing w:val="-6"/>
        </w:rPr>
        <w:t>本基金上市交易的费用遵循《深圳证券交易所交易规则》及《业务规则》的</w:t>
      </w:r>
      <w:r>
        <w:rPr/>
        <w:t>相关规定。</w:t>
      </w:r>
    </w:p>
    <w:p>
      <w:pPr>
        <w:pStyle w:val="BodyText"/>
        <w:spacing w:before="1"/>
        <w:ind w:left="700"/>
      </w:pPr>
      <w:r>
        <w:rPr/>
        <w:t>（五）上市交易的行情揭示</w:t>
      </w:r>
    </w:p>
    <w:p>
      <w:pPr>
        <w:pStyle w:val="BodyText"/>
        <w:spacing w:line="364" w:lineRule="auto"/>
        <w:ind w:right="361" w:firstLine="479"/>
      </w:pPr>
      <w:r>
        <w:rPr>
          <w:spacing w:val="-7"/>
        </w:rPr>
        <w:t>本基金在深圳交易所挂牌交易，交易行情通过行情发布系统揭示。行情发布</w:t>
      </w:r>
      <w:r>
        <w:rPr/>
        <w:t>系统同时揭示基金前一交易日的基金份额净值。</w:t>
      </w:r>
    </w:p>
    <w:p>
      <w:pPr>
        <w:pStyle w:val="BodyText"/>
        <w:spacing w:before="2"/>
        <w:ind w:left="700"/>
      </w:pPr>
      <w:r>
        <w:rPr/>
        <w:t>（六）上市交易的注册登记</w:t>
      </w:r>
    </w:p>
    <w:p>
      <w:pPr>
        <w:pStyle w:val="BodyText"/>
        <w:spacing w:line="364" w:lineRule="auto" w:before="160"/>
        <w:ind w:right="308" w:firstLine="479"/>
      </w:pPr>
      <w:r>
        <w:rPr/>
        <w:t>投资者 </w:t>
      </w:r>
      <w:r>
        <w:rPr>
          <w:rFonts w:ascii="Times New Roman" w:eastAsia="Times New Roman"/>
        </w:rPr>
        <w:t>T </w:t>
      </w:r>
      <w:r>
        <w:rPr/>
        <w:t>日买入成功后，注册登记人在 </w:t>
      </w:r>
      <w:r>
        <w:rPr>
          <w:rFonts w:ascii="Times New Roman" w:eastAsia="Times New Roman"/>
        </w:rPr>
        <w:t>T </w:t>
      </w:r>
      <w:r>
        <w:rPr/>
        <w:t>日自动为投资者登记权益并办理注册登记手续，投资者自 </w:t>
      </w:r>
      <w:r>
        <w:rPr>
          <w:rFonts w:ascii="Times New Roman" w:eastAsia="Times New Roman"/>
        </w:rPr>
        <w:t>T+1 </w:t>
      </w:r>
      <w:r>
        <w:rPr/>
        <w:t>日（含该日）后有权卖出该部分基金；</w:t>
      </w:r>
    </w:p>
    <w:p>
      <w:pPr>
        <w:pStyle w:val="BodyText"/>
        <w:spacing w:line="364" w:lineRule="auto" w:before="1"/>
        <w:ind w:right="356" w:firstLine="479"/>
      </w:pPr>
      <w:r>
        <w:rPr>
          <w:spacing w:val="-12"/>
        </w:rPr>
        <w:t>投资者 </w:t>
      </w:r>
      <w:r>
        <w:rPr>
          <w:rFonts w:ascii="Times New Roman" w:eastAsia="Times New Roman"/>
        </w:rPr>
        <w:t>T </w:t>
      </w:r>
      <w:r>
        <w:rPr>
          <w:spacing w:val="-4"/>
        </w:rPr>
        <w:t>日卖出成功后，注册登记人在 </w:t>
      </w:r>
      <w:r>
        <w:rPr>
          <w:rFonts w:ascii="Times New Roman" w:eastAsia="Times New Roman"/>
        </w:rPr>
        <w:t>T</w:t>
      </w:r>
      <w:r>
        <w:rPr>
          <w:rFonts w:ascii="Times New Roman" w:eastAsia="Times New Roman"/>
          <w:spacing w:val="56"/>
        </w:rPr>
        <w:t> </w:t>
      </w:r>
      <w:r>
        <w:rPr>
          <w:spacing w:val="-2"/>
        </w:rPr>
        <w:t>日自动为投资者办理扣除权益的</w:t>
      </w:r>
      <w:r>
        <w:rPr/>
        <w:t>注册登记手续。</w:t>
      </w:r>
    </w:p>
    <w:p>
      <w:pPr>
        <w:pStyle w:val="BodyText"/>
        <w:spacing w:before="2"/>
        <w:ind w:left="700"/>
      </w:pPr>
      <w:r>
        <w:rPr/>
        <w:t>（七）上市交易的停复牌</w:t>
      </w:r>
    </w:p>
    <w:p>
      <w:pPr>
        <w:pStyle w:val="BodyText"/>
        <w:spacing w:before="160"/>
        <w:ind w:left="700"/>
      </w:pPr>
      <w:r>
        <w:rPr/>
        <w:t>本基金的停复牌按照《业务规则》的相关规定执行。</w:t>
      </w:r>
    </w:p>
    <w:p>
      <w:pPr>
        <w:spacing w:after="0"/>
        <w:sectPr>
          <w:pgSz w:w="11910" w:h="16840"/>
          <w:pgMar w:header="874" w:footer="997" w:top="1380" w:bottom="1180" w:left="1580" w:right="1440"/>
        </w:sectPr>
      </w:pPr>
    </w:p>
    <w:p>
      <w:pPr>
        <w:pStyle w:val="BodyText"/>
        <w:spacing w:before="130"/>
        <w:ind w:left="700"/>
      </w:pPr>
      <w:r>
        <w:rPr/>
        <w:t>（八）暂停上市的情形和处理方式</w:t>
      </w:r>
    </w:p>
    <w:p>
      <w:pPr>
        <w:pStyle w:val="BodyText"/>
        <w:spacing w:before="160"/>
        <w:ind w:left="700"/>
      </w:pPr>
      <w:r>
        <w:rPr/>
        <w:t>本基金上市后，发生下列情况之一时，应暂停上市交易：</w:t>
      </w:r>
    </w:p>
    <w:p>
      <w:pPr>
        <w:pStyle w:val="ListParagraph"/>
        <w:numPr>
          <w:ilvl w:val="0"/>
          <w:numId w:val="1"/>
        </w:numPr>
        <w:tabs>
          <w:tab w:pos="1302" w:val="left" w:leader="none"/>
        </w:tabs>
        <w:spacing w:line="240" w:lineRule="auto" w:before="161" w:after="0"/>
        <w:ind w:left="1301" w:right="0" w:hanging="602"/>
        <w:jc w:val="left"/>
        <w:rPr>
          <w:sz w:val="24"/>
        </w:rPr>
      </w:pPr>
      <w:r>
        <w:rPr>
          <w:spacing w:val="-6"/>
          <w:sz w:val="24"/>
        </w:rPr>
        <w:t>基金份额持有人数连续 </w:t>
      </w:r>
      <w:r>
        <w:rPr>
          <w:rFonts w:ascii="Times New Roman" w:eastAsia="Times New Roman"/>
          <w:sz w:val="24"/>
        </w:rPr>
        <w:t>20 </w:t>
      </w:r>
      <w:r>
        <w:rPr>
          <w:spacing w:val="-9"/>
          <w:sz w:val="24"/>
        </w:rPr>
        <w:t>个工作日低于 </w:t>
      </w:r>
      <w:r>
        <w:rPr>
          <w:rFonts w:ascii="Times New Roman" w:eastAsia="Times New Roman"/>
          <w:sz w:val="24"/>
        </w:rPr>
        <w:t>1000 </w:t>
      </w:r>
      <w:r>
        <w:rPr>
          <w:sz w:val="24"/>
        </w:rPr>
        <w:t>人；</w:t>
      </w:r>
    </w:p>
    <w:p>
      <w:pPr>
        <w:pStyle w:val="ListParagraph"/>
        <w:numPr>
          <w:ilvl w:val="0"/>
          <w:numId w:val="1"/>
        </w:numPr>
        <w:tabs>
          <w:tab w:pos="1302" w:val="left" w:leader="none"/>
        </w:tabs>
        <w:spacing w:line="240" w:lineRule="auto" w:before="160" w:after="0"/>
        <w:ind w:left="1301" w:right="0" w:hanging="602"/>
        <w:jc w:val="left"/>
        <w:rPr>
          <w:sz w:val="24"/>
        </w:rPr>
      </w:pPr>
      <w:r>
        <w:rPr>
          <w:spacing w:val="-8"/>
          <w:sz w:val="24"/>
        </w:rPr>
        <w:t>基金总份额连续 </w:t>
      </w:r>
      <w:r>
        <w:rPr>
          <w:rFonts w:ascii="Times New Roman" w:eastAsia="Times New Roman"/>
          <w:sz w:val="24"/>
        </w:rPr>
        <w:t>20 </w:t>
      </w:r>
      <w:r>
        <w:rPr>
          <w:spacing w:val="-9"/>
          <w:sz w:val="24"/>
        </w:rPr>
        <w:t>个工作日低于 </w:t>
      </w:r>
      <w:r>
        <w:rPr>
          <w:rFonts w:ascii="Times New Roman" w:eastAsia="Times New Roman"/>
          <w:sz w:val="24"/>
        </w:rPr>
        <w:t>2 </w:t>
      </w:r>
      <w:r>
        <w:rPr>
          <w:sz w:val="24"/>
        </w:rPr>
        <w:t>亿份；</w:t>
      </w:r>
    </w:p>
    <w:p>
      <w:pPr>
        <w:pStyle w:val="ListParagraph"/>
        <w:numPr>
          <w:ilvl w:val="0"/>
          <w:numId w:val="1"/>
        </w:numPr>
        <w:tabs>
          <w:tab w:pos="1302" w:val="left" w:leader="none"/>
        </w:tabs>
        <w:spacing w:line="240" w:lineRule="auto" w:before="161" w:after="0"/>
        <w:ind w:left="1301" w:right="0" w:hanging="602"/>
        <w:jc w:val="left"/>
        <w:rPr>
          <w:sz w:val="24"/>
        </w:rPr>
      </w:pPr>
      <w:r>
        <w:rPr>
          <w:sz w:val="24"/>
        </w:rPr>
        <w:t>违反国家有关法律、法规，被中国证监会决定暂停上市；</w:t>
      </w:r>
    </w:p>
    <w:p>
      <w:pPr>
        <w:pStyle w:val="ListParagraph"/>
        <w:numPr>
          <w:ilvl w:val="0"/>
          <w:numId w:val="1"/>
        </w:numPr>
        <w:tabs>
          <w:tab w:pos="1302" w:val="left" w:leader="none"/>
        </w:tabs>
        <w:spacing w:line="240" w:lineRule="auto" w:before="160" w:after="0"/>
        <w:ind w:left="1301" w:right="0" w:hanging="602"/>
        <w:jc w:val="left"/>
        <w:rPr>
          <w:sz w:val="24"/>
        </w:rPr>
      </w:pPr>
      <w:r>
        <w:rPr>
          <w:sz w:val="24"/>
        </w:rPr>
        <w:t>深圳证券交易所认为须暂停上市的其他情况。</w:t>
      </w:r>
    </w:p>
    <w:p>
      <w:pPr>
        <w:pStyle w:val="BodyText"/>
        <w:spacing w:line="364" w:lineRule="auto"/>
        <w:ind w:right="361" w:firstLine="479"/>
      </w:pPr>
      <w:r>
        <w:rPr>
          <w:spacing w:val="-7"/>
        </w:rPr>
        <w:t>发生上述暂停上市情形时，基金管理人在接到深圳证券交易所通知后，应立</w:t>
      </w:r>
      <w:r>
        <w:rPr/>
        <w:t>即在指定媒介上刊登暂停上市公告。</w:t>
      </w:r>
    </w:p>
    <w:p>
      <w:pPr>
        <w:pStyle w:val="BodyText"/>
        <w:spacing w:before="1"/>
        <w:ind w:left="700"/>
      </w:pPr>
      <w:r>
        <w:rPr/>
        <w:t>（九）恢复上市的公告</w:t>
      </w:r>
    </w:p>
    <w:p>
      <w:pPr>
        <w:pStyle w:val="BodyText"/>
        <w:spacing w:line="364" w:lineRule="auto"/>
        <w:ind w:right="244" w:firstLine="479"/>
      </w:pPr>
      <w:r>
        <w:rPr>
          <w:spacing w:val="-1"/>
        </w:rPr>
        <w:t>暂停上市情形消除后，基金管理人可向深圳证券交易所提出恢复上市申请， </w:t>
      </w:r>
      <w:r>
        <w:rPr>
          <w:spacing w:val="-7"/>
        </w:rPr>
        <w:t>经深圳证券交易所核准后，可恢复本基金上市，并在指定媒介上刊登恢复上市公告。</w:t>
      </w:r>
    </w:p>
    <w:p>
      <w:pPr>
        <w:pStyle w:val="BodyText"/>
        <w:spacing w:before="2"/>
        <w:ind w:left="700"/>
      </w:pPr>
      <w:r>
        <w:rPr/>
        <w:t>（十）终止上市的情形和处理方式</w:t>
      </w:r>
    </w:p>
    <w:p>
      <w:pPr>
        <w:pStyle w:val="BodyText"/>
        <w:spacing w:before="160"/>
        <w:ind w:left="700"/>
      </w:pPr>
      <w:r>
        <w:rPr/>
        <w:t>发生下列情况之一时，本基金应终止上市交易：</w:t>
      </w:r>
    </w:p>
    <w:p>
      <w:pPr>
        <w:pStyle w:val="ListParagraph"/>
        <w:numPr>
          <w:ilvl w:val="0"/>
          <w:numId w:val="2"/>
        </w:numPr>
        <w:tabs>
          <w:tab w:pos="1302" w:val="left" w:leader="none"/>
        </w:tabs>
        <w:spacing w:line="240" w:lineRule="auto" w:before="161" w:after="0"/>
        <w:ind w:left="1301" w:right="0" w:hanging="602"/>
        <w:jc w:val="left"/>
        <w:rPr>
          <w:sz w:val="24"/>
        </w:rPr>
      </w:pPr>
      <w:r>
        <w:rPr>
          <w:sz w:val="24"/>
        </w:rPr>
        <w:t>自暂停上市之日起半年内未能消除暂停上市原因的；</w:t>
      </w:r>
    </w:p>
    <w:p>
      <w:pPr>
        <w:pStyle w:val="ListParagraph"/>
        <w:numPr>
          <w:ilvl w:val="0"/>
          <w:numId w:val="2"/>
        </w:numPr>
        <w:tabs>
          <w:tab w:pos="1302" w:val="left" w:leader="none"/>
        </w:tabs>
        <w:spacing w:line="240" w:lineRule="auto" w:before="161" w:after="0"/>
        <w:ind w:left="1301" w:right="0" w:hanging="602"/>
        <w:jc w:val="left"/>
        <w:rPr>
          <w:sz w:val="24"/>
        </w:rPr>
      </w:pPr>
      <w:r>
        <w:rPr>
          <w:sz w:val="24"/>
        </w:rPr>
        <w:t>基金合同终止；</w:t>
      </w:r>
    </w:p>
    <w:p>
      <w:pPr>
        <w:pStyle w:val="ListParagraph"/>
        <w:numPr>
          <w:ilvl w:val="0"/>
          <w:numId w:val="2"/>
        </w:numPr>
        <w:tabs>
          <w:tab w:pos="1302" w:val="left" w:leader="none"/>
        </w:tabs>
        <w:spacing w:line="240" w:lineRule="auto" w:before="160" w:after="0"/>
        <w:ind w:left="1301" w:right="0" w:hanging="602"/>
        <w:jc w:val="left"/>
        <w:rPr>
          <w:sz w:val="24"/>
        </w:rPr>
      </w:pPr>
      <w:r>
        <w:rPr>
          <w:sz w:val="24"/>
        </w:rPr>
        <w:t>基金份额持有人大会决定终止上市；</w:t>
      </w:r>
    </w:p>
    <w:p>
      <w:pPr>
        <w:pStyle w:val="ListParagraph"/>
        <w:numPr>
          <w:ilvl w:val="0"/>
          <w:numId w:val="2"/>
        </w:numPr>
        <w:tabs>
          <w:tab w:pos="1302" w:val="left" w:leader="none"/>
        </w:tabs>
        <w:spacing w:line="240" w:lineRule="auto" w:before="161" w:after="0"/>
        <w:ind w:left="1301" w:right="0" w:hanging="602"/>
        <w:jc w:val="left"/>
        <w:rPr>
          <w:sz w:val="24"/>
        </w:rPr>
      </w:pPr>
      <w:r>
        <w:rPr>
          <w:sz w:val="24"/>
        </w:rPr>
        <w:t>深圳证券交易所认为须终止上市的其他情况。</w:t>
      </w:r>
    </w:p>
    <w:p>
      <w:pPr>
        <w:pStyle w:val="BodyText"/>
        <w:spacing w:line="364" w:lineRule="auto" w:before="160"/>
        <w:ind w:right="357" w:firstLine="479"/>
      </w:pPr>
      <w:r>
        <w:rPr>
          <w:spacing w:val="-9"/>
        </w:rPr>
        <w:t>发生上述终止上市情形时，基金管理人在报经中国证监会批准后终止本基金</w:t>
      </w:r>
      <w:r>
        <w:rPr/>
        <w:t>的上市，并在指定媒介上刊登终止上市公告。</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ind w:right="137"/>
      </w:pPr>
      <w:bookmarkStart w:name="_bookmark7" w:id="8"/>
      <w:bookmarkEnd w:id="8"/>
      <w:r>
        <w:rPr>
          <w:b w:val="0"/>
        </w:rPr>
      </w:r>
      <w:r>
        <w:rPr/>
        <w:t>八、基金的申购和赎回</w:t>
      </w:r>
    </w:p>
    <w:p>
      <w:pPr>
        <w:pStyle w:val="BodyText"/>
        <w:spacing w:before="0"/>
        <w:ind w:left="0"/>
        <w:rPr>
          <w:b/>
          <w:sz w:val="30"/>
        </w:rPr>
      </w:pPr>
    </w:p>
    <w:p>
      <w:pPr>
        <w:pStyle w:val="BodyText"/>
        <w:spacing w:before="2"/>
        <w:ind w:left="0"/>
        <w:rPr>
          <w:b/>
          <w:sz w:val="22"/>
        </w:rPr>
      </w:pPr>
    </w:p>
    <w:p>
      <w:pPr>
        <w:pStyle w:val="BodyText"/>
        <w:spacing w:line="364" w:lineRule="auto" w:before="1"/>
        <w:ind w:right="117" w:firstLine="479"/>
      </w:pPr>
      <w:r>
        <w:rPr>
          <w:spacing w:val="-4"/>
        </w:rPr>
        <w:t>本基金的日常交易包括申购赎回和上市交易两种方式。本章是有关基金的申 </w:t>
      </w:r>
      <w:r>
        <w:rPr>
          <w:spacing w:val="-12"/>
        </w:rPr>
        <w:t>购和赎回，登记在注册登记系统的基金份额进行日常交易时适用本章的相关规定。</w:t>
      </w:r>
      <w:r>
        <w:rPr>
          <w:spacing w:val="-5"/>
        </w:rPr>
        <w:t>本章不适用于登记在证券登记结算系统的基金份额，此等份额适用上一章《基金 份额的上市交易》的相关规定。</w:t>
      </w:r>
    </w:p>
    <w:p>
      <w:pPr>
        <w:pStyle w:val="BodyText"/>
        <w:spacing w:before="2"/>
        <w:ind w:left="700"/>
      </w:pPr>
      <w:r>
        <w:rPr/>
        <w:t>（一）申购、赎回的场所</w:t>
      </w:r>
    </w:p>
    <w:p>
      <w:pPr>
        <w:pStyle w:val="BodyText"/>
        <w:spacing w:line="364" w:lineRule="auto"/>
        <w:ind w:right="241" w:firstLine="479"/>
        <w:jc w:val="both"/>
      </w:pPr>
      <w:r>
        <w:rPr>
          <w:spacing w:val="-4"/>
        </w:rPr>
        <w:t>本基金的销售机构包括直销机构和基金管理人委托的代销机构。投资者应当</w:t>
      </w:r>
      <w:r>
        <w:rPr/>
        <w:t>在销售机构办理基金销售业务的营业场所或按销售机构提供的其他方式办理基</w:t>
      </w:r>
      <w:r>
        <w:rPr>
          <w:spacing w:val="-11"/>
        </w:rPr>
        <w:t>金的申购、赎回。具体申购、赎回场所请见本基金的基金份额发售公告及后续相</w:t>
      </w:r>
      <w:r>
        <w:rPr>
          <w:spacing w:val="-18"/>
        </w:rPr>
        <w:t>关公告。基金管理人可根据情况变更或增减代销机构，并在基金管理人网站公示。</w:t>
      </w:r>
    </w:p>
    <w:p>
      <w:pPr>
        <w:pStyle w:val="BodyText"/>
        <w:spacing w:before="2"/>
        <w:ind w:left="700"/>
      </w:pPr>
      <w:r>
        <w:rPr/>
        <w:t>（二）申购、赎回的开放日及时间</w:t>
      </w:r>
    </w:p>
    <w:p>
      <w:pPr>
        <w:pStyle w:val="BodyText"/>
        <w:ind w:left="700"/>
      </w:pPr>
      <w:r>
        <w:rPr>
          <w:rFonts w:ascii="Times New Roman" w:eastAsia="Times New Roman"/>
        </w:rPr>
        <w:t>1</w:t>
      </w:r>
      <w:r>
        <w:rPr/>
        <w:t>、开放日</w:t>
      </w:r>
    </w:p>
    <w:p>
      <w:pPr>
        <w:pStyle w:val="BodyText"/>
        <w:spacing w:line="364" w:lineRule="auto" w:before="160"/>
        <w:ind w:right="357" w:firstLine="479"/>
        <w:jc w:val="both"/>
      </w:pPr>
      <w:r>
        <w:rPr>
          <w:spacing w:val="-5"/>
        </w:rPr>
        <w:t>本基金为投资者办理申购、赎回等基金业务的时间</w:t>
      </w:r>
      <w:r>
        <w:rPr/>
        <w:t>（开放日</w:t>
      </w:r>
      <w:r>
        <w:rPr>
          <w:spacing w:val="-32"/>
        </w:rPr>
        <w:t>）</w:t>
      </w:r>
      <w:r>
        <w:rPr>
          <w:spacing w:val="-3"/>
        </w:rPr>
        <w:t>为上海证券交</w:t>
      </w:r>
      <w:r>
        <w:rPr>
          <w:spacing w:val="-11"/>
        </w:rPr>
        <w:t>易所、深圳证券交易所的交易日。在开放日的具体业务办理时间由基金管理人另</w:t>
      </w:r>
      <w:r>
        <w:rPr/>
        <w:t>行公告。</w:t>
      </w:r>
    </w:p>
    <w:p>
      <w:pPr>
        <w:pStyle w:val="BodyText"/>
        <w:spacing w:line="364" w:lineRule="auto" w:before="3"/>
        <w:ind w:right="358" w:firstLine="479"/>
        <w:jc w:val="both"/>
      </w:pPr>
      <w:r>
        <w:rPr>
          <w:spacing w:val="-8"/>
        </w:rPr>
        <w:t>本基金合同生效以后，若出现新的证券交易市场、证券交易所交易时间变更</w:t>
      </w:r>
      <w:r>
        <w:rPr>
          <w:spacing w:val="-9"/>
        </w:rPr>
        <w:t>或其他特殊情况，基金管理人将视情况对前述开放日进行相应的调整并依照《信</w:t>
      </w:r>
      <w:r>
        <w:rPr/>
        <w:t>息披露办法》的有关规定在指定媒介公告。</w:t>
      </w:r>
    </w:p>
    <w:p>
      <w:pPr>
        <w:pStyle w:val="BodyText"/>
        <w:spacing w:before="1"/>
        <w:ind w:left="700"/>
      </w:pPr>
      <w:r>
        <w:rPr>
          <w:rFonts w:ascii="Times New Roman" w:eastAsia="Times New Roman"/>
        </w:rPr>
        <w:t>2</w:t>
      </w:r>
      <w:r>
        <w:rPr/>
        <w:t>、申购、赎回的开始日及业务办理时间</w:t>
      </w:r>
    </w:p>
    <w:p>
      <w:pPr>
        <w:pStyle w:val="BodyText"/>
        <w:ind w:left="700"/>
      </w:pPr>
      <w:r>
        <w:rPr/>
        <w:t>本基金自基金合同生效后不超过 </w:t>
      </w:r>
      <w:r>
        <w:rPr>
          <w:rFonts w:ascii="Times New Roman" w:eastAsia="Times New Roman"/>
        </w:rPr>
        <w:t>45 </w:t>
      </w:r>
      <w:r>
        <w:rPr/>
        <w:t>个工作日起开始办理申购、赎回。</w:t>
      </w:r>
    </w:p>
    <w:p>
      <w:pPr>
        <w:pStyle w:val="BodyText"/>
        <w:spacing w:line="364" w:lineRule="auto"/>
        <w:ind w:right="361" w:firstLine="479"/>
      </w:pPr>
      <w:r>
        <w:rPr/>
        <w:t>在确定申购、赎回开始时间后，由基金管理人最迟于开放前 </w:t>
      </w:r>
      <w:r>
        <w:rPr>
          <w:rFonts w:ascii="Times New Roman" w:eastAsia="Times New Roman"/>
        </w:rPr>
        <w:t>3 </w:t>
      </w:r>
      <w:r>
        <w:rPr/>
        <w:t>个工作日内在中国证监会指定媒介上公告。</w:t>
      </w:r>
    </w:p>
    <w:p>
      <w:pPr>
        <w:pStyle w:val="BodyText"/>
        <w:spacing w:line="364" w:lineRule="auto" w:before="1"/>
        <w:ind w:right="356" w:firstLine="479"/>
      </w:pPr>
      <w:r>
        <w:rPr>
          <w:spacing w:val="-6"/>
        </w:rPr>
        <w:t>基金管理人如果对申购或赎回时间进行调整，应当依照《信息披露办法》的</w:t>
      </w:r>
      <w:r>
        <w:rPr/>
        <w:t>有关规定在指定媒介上公告。</w:t>
      </w:r>
    </w:p>
    <w:p>
      <w:pPr>
        <w:pStyle w:val="BodyText"/>
        <w:spacing w:before="0"/>
        <w:ind w:left="0"/>
      </w:pPr>
    </w:p>
    <w:p>
      <w:pPr>
        <w:pStyle w:val="BodyText"/>
        <w:spacing w:before="162"/>
        <w:ind w:left="700"/>
      </w:pPr>
      <w:r>
        <w:rPr/>
        <w:t>（三）申购、赎回的原则</w:t>
      </w:r>
    </w:p>
    <w:p>
      <w:pPr>
        <w:pStyle w:val="BodyText"/>
        <w:spacing w:line="364" w:lineRule="auto" w:before="160"/>
        <w:ind w:right="358" w:firstLine="479"/>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原则，即申购、赎回价格以申请当日的基金份额净值为基准进行计算。</w:t>
      </w:r>
    </w:p>
    <w:p>
      <w:pPr>
        <w:spacing w:after="0" w:line="364" w:lineRule="auto"/>
        <w:sectPr>
          <w:pgSz w:w="11910" w:h="16840"/>
          <w:pgMar w:header="874" w:footer="997" w:top="1380" w:bottom="1180" w:left="1580" w:right="1440"/>
        </w:sectPr>
      </w:pPr>
    </w:p>
    <w:p>
      <w:pPr>
        <w:pStyle w:val="BodyText"/>
        <w:spacing w:line="364" w:lineRule="auto" w:before="130"/>
        <w:ind w:right="357" w:firstLine="479"/>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原则，即申购以金额申请，赎回以持有的基金份额申请。</w:t>
      </w:r>
    </w:p>
    <w:p>
      <w:pPr>
        <w:pStyle w:val="BodyText"/>
        <w:spacing w:before="1"/>
        <w:ind w:left="700"/>
      </w:pPr>
      <w:r>
        <w:rPr>
          <w:rFonts w:ascii="Times New Roman" w:eastAsia="Times New Roman"/>
        </w:rPr>
        <w:t>3</w:t>
      </w:r>
      <w:r>
        <w:rPr/>
        <w:t>、当日的申购、赎回申请可以在基金管理人规定的时间以前撤销。</w:t>
      </w:r>
    </w:p>
    <w:p>
      <w:pPr>
        <w:pStyle w:val="BodyText"/>
        <w:spacing w:line="364" w:lineRule="auto" w:before="160"/>
        <w:ind w:right="356" w:firstLine="479"/>
        <w:jc w:val="both"/>
      </w:pPr>
      <w:r>
        <w:rPr>
          <w:rFonts w:ascii="Times New Roman" w:eastAsia="Times New Roman"/>
        </w:rPr>
        <w:t>4</w:t>
      </w:r>
      <w:r>
        <w:rPr/>
        <w:t>、基金管理人在不损害基金份额持有人权益的情况下可更改上述原则。在</w:t>
      </w:r>
      <w:r>
        <w:rPr>
          <w:spacing w:val="-9"/>
        </w:rPr>
        <w:t>变更上述原则时，基金管理人应当依照《信息披露办法》的有关规定在指定媒介</w:t>
      </w:r>
      <w:r>
        <w:rPr/>
        <w:t>上刊登公告。</w:t>
      </w:r>
    </w:p>
    <w:p>
      <w:pPr>
        <w:pStyle w:val="BodyText"/>
        <w:spacing w:before="0"/>
        <w:ind w:left="0"/>
      </w:pPr>
    </w:p>
    <w:p>
      <w:pPr>
        <w:pStyle w:val="BodyText"/>
        <w:spacing w:before="163"/>
        <w:ind w:left="700"/>
      </w:pPr>
      <w:r>
        <w:rPr/>
        <w:t>（四）申购、赎回的程序</w:t>
      </w:r>
    </w:p>
    <w:p>
      <w:pPr>
        <w:pStyle w:val="BodyText"/>
        <w:ind w:left="700"/>
      </w:pPr>
      <w:r>
        <w:rPr>
          <w:rFonts w:ascii="Times New Roman" w:eastAsia="Times New Roman"/>
        </w:rPr>
        <w:t>1</w:t>
      </w:r>
      <w:r>
        <w:rPr/>
        <w:t>、申请方式：书面申请或基金销售机构规定的其他方式。</w:t>
      </w:r>
    </w:p>
    <w:p>
      <w:pPr>
        <w:pStyle w:val="BodyText"/>
        <w:spacing w:line="364" w:lineRule="auto" w:before="160"/>
        <w:ind w:right="364" w:firstLine="479"/>
      </w:pPr>
      <w:r>
        <w:rPr>
          <w:rFonts w:ascii="Times New Roman" w:eastAsia="Times New Roman"/>
        </w:rPr>
        <w:t>2</w:t>
      </w:r>
      <w:r>
        <w:rPr/>
        <w:t>、基金投资者必须根据基金销售机构规定的手续，向基金销售机构提出申购、赎回的申请。</w:t>
      </w:r>
    </w:p>
    <w:p>
      <w:pPr>
        <w:pStyle w:val="BodyText"/>
        <w:spacing w:line="364" w:lineRule="auto" w:before="1"/>
        <w:ind w:right="357" w:firstLine="479"/>
        <w:jc w:val="both"/>
      </w:pPr>
      <w:r>
        <w:rPr>
          <w:spacing w:val="-5"/>
        </w:rPr>
        <w:t>投资人在申购本基金时须按销售机构规定的方式备足申购资金；投资者在提</w:t>
      </w:r>
      <w:r>
        <w:rPr>
          <w:spacing w:val="-10"/>
        </w:rPr>
        <w:t>交赎回申请时，账户中必须有足够的基金份额余额，否则所提交的赎回申请无效</w:t>
      </w:r>
      <w:r>
        <w:rPr/>
        <w:t>而不予成交。</w:t>
      </w:r>
    </w:p>
    <w:p>
      <w:pPr>
        <w:pStyle w:val="BodyText"/>
        <w:spacing w:before="3"/>
        <w:ind w:left="700"/>
      </w:pPr>
      <w:r>
        <w:rPr>
          <w:rFonts w:ascii="Times New Roman" w:eastAsia="Times New Roman"/>
        </w:rPr>
        <w:t>3</w:t>
      </w:r>
      <w:r>
        <w:rPr/>
        <w:t>、申购、赎回申请的确认</w:t>
      </w:r>
    </w:p>
    <w:p>
      <w:pPr>
        <w:pStyle w:val="BodyText"/>
        <w:spacing w:line="364" w:lineRule="auto" w:before="160"/>
        <w:ind w:right="356" w:firstLine="479"/>
      </w:pPr>
      <w:r>
        <w:rPr>
          <w:rFonts w:ascii="Times New Roman" w:eastAsia="Times New Roman"/>
        </w:rPr>
        <w:t>T </w:t>
      </w:r>
      <w:r>
        <w:rPr/>
        <w:t>日提交的有效申请，投资者可在 </w:t>
      </w:r>
      <w:r>
        <w:rPr>
          <w:rFonts w:ascii="Times New Roman" w:eastAsia="Times New Roman"/>
        </w:rPr>
        <w:t>T+2 </w:t>
      </w:r>
      <w:r>
        <w:rPr/>
        <w:t>日到销售网点柜台或以销售机构规定的其他方式查询申请的确认情况。</w:t>
      </w:r>
    </w:p>
    <w:p>
      <w:pPr>
        <w:pStyle w:val="BodyText"/>
        <w:spacing w:before="1"/>
        <w:ind w:left="700"/>
      </w:pPr>
      <w:r>
        <w:rPr>
          <w:rFonts w:ascii="Times New Roman" w:eastAsia="Times New Roman"/>
        </w:rPr>
        <w:t>4</w:t>
      </w:r>
      <w:r>
        <w:rPr/>
        <w:t>、申购、赎回的款项支付</w:t>
      </w:r>
    </w:p>
    <w:p>
      <w:pPr>
        <w:pStyle w:val="BodyText"/>
        <w:spacing w:line="364" w:lineRule="auto"/>
        <w:ind w:right="117" w:firstLine="479"/>
      </w:pPr>
      <w:r>
        <w:rPr>
          <w:spacing w:val="-9"/>
        </w:rPr>
        <w:t>基金申购采用全额缴款方式，若资金在规定时间内未全额到账则申购不成功。</w:t>
      </w:r>
      <w:r>
        <w:rPr>
          <w:spacing w:val="-7"/>
        </w:rPr>
        <w:t>若申购不成功或无效，申购款项将退回投资者账户。基金份额持有人赎回申请确 </w:t>
      </w:r>
      <w:r>
        <w:rPr>
          <w:spacing w:val="-15"/>
        </w:rPr>
        <w:t>认后，赎回款项通常在 </w:t>
      </w:r>
      <w:r>
        <w:rPr>
          <w:rFonts w:ascii="Times New Roman" w:eastAsia="Times New Roman"/>
        </w:rPr>
        <w:t>T+5 </w:t>
      </w:r>
      <w:r>
        <w:rPr/>
        <w:t>日但不超过 </w:t>
      </w:r>
      <w:r>
        <w:rPr>
          <w:rFonts w:ascii="Times New Roman" w:eastAsia="Times New Roman"/>
        </w:rPr>
        <w:t>T</w:t>
      </w:r>
      <w:r>
        <w:rPr/>
        <w:t>＋</w:t>
      </w:r>
      <w:r>
        <w:rPr>
          <w:rFonts w:ascii="Times New Roman" w:eastAsia="Times New Roman"/>
        </w:rPr>
        <w:t>7 </w:t>
      </w:r>
      <w:r>
        <w:rPr/>
        <w:t>日内划往赎回人指定的银行账户。在</w:t>
      </w:r>
      <w:r>
        <w:rPr>
          <w:spacing w:val="-6"/>
        </w:rPr>
        <w:t>发生巨额赎回或延期支付的情形时，款项的支付办法参照本基金合同和招募说 明书的有关条款办理。</w:t>
      </w:r>
    </w:p>
    <w:p>
      <w:pPr>
        <w:pStyle w:val="BodyText"/>
        <w:spacing w:line="364" w:lineRule="auto" w:before="3"/>
        <w:ind w:right="356" w:firstLine="479"/>
      </w:pPr>
      <w:r>
        <w:rPr>
          <w:rFonts w:ascii="Times New Roman" w:eastAsia="Times New Roman"/>
        </w:rPr>
        <w:t>5</w:t>
      </w:r>
      <w:r>
        <w:rPr>
          <w:spacing w:val="-94"/>
        </w:rPr>
        <w:t>、</w:t>
      </w:r>
      <w:r>
        <w:rPr>
          <w:rFonts w:ascii="Times New Roman" w:eastAsia="Times New Roman"/>
        </w:rPr>
        <w:t>T </w:t>
      </w:r>
      <w:r>
        <w:rPr>
          <w:spacing w:val="-6"/>
        </w:rPr>
        <w:t>日的基金份额净值在当天收市后计算，并在 </w:t>
      </w:r>
      <w:r>
        <w:rPr>
          <w:rFonts w:ascii="Times New Roman" w:eastAsia="Times New Roman"/>
        </w:rPr>
        <w:t>T+1 </w:t>
      </w:r>
      <w:r>
        <w:rPr>
          <w:spacing w:val="-14"/>
        </w:rPr>
        <w:t>日公告。遇特殊情况， </w:t>
      </w:r>
      <w:r>
        <w:rPr/>
        <w:t>基金份额净值可以适当延迟计算或公告，并报中国证监会备案。</w:t>
      </w:r>
    </w:p>
    <w:p>
      <w:pPr>
        <w:pStyle w:val="BodyText"/>
        <w:spacing w:before="0"/>
        <w:ind w:left="0"/>
      </w:pPr>
    </w:p>
    <w:p>
      <w:pPr>
        <w:pStyle w:val="BodyText"/>
        <w:spacing w:before="162"/>
        <w:ind w:left="700"/>
      </w:pPr>
      <w:r>
        <w:rPr/>
        <w:t>（五）申购、赎回的数额约定</w:t>
      </w:r>
    </w:p>
    <w:p>
      <w:pPr>
        <w:pStyle w:val="BodyText"/>
        <w:spacing w:line="364" w:lineRule="auto"/>
        <w:ind w:right="359" w:firstLine="479"/>
      </w:pPr>
      <w:r>
        <w:rPr>
          <w:rFonts w:ascii="Times New Roman" w:eastAsia="Times New Roman"/>
        </w:rPr>
        <w:t>1</w:t>
      </w:r>
      <w:r>
        <w:rPr>
          <w:spacing w:val="-16"/>
        </w:rPr>
        <w:t>、基金管理人可以规定投资人首次购买的最低金额、追加申购的最低金额、</w:t>
      </w:r>
      <w:r>
        <w:rPr>
          <w:spacing w:val="-7"/>
        </w:rPr>
        <w:t>每个交易账户的最低基金余额、单个投资人累计持有的基金份额上限等，具体规</w:t>
      </w:r>
    </w:p>
    <w:p>
      <w:pPr>
        <w:spacing w:after="0" w:line="364" w:lineRule="auto"/>
        <w:sectPr>
          <w:pgSz w:w="11910" w:h="16840"/>
          <w:pgMar w:header="874" w:footer="997" w:top="1380" w:bottom="1180" w:left="1580" w:right="1440"/>
        </w:sectPr>
      </w:pPr>
    </w:p>
    <w:p>
      <w:pPr>
        <w:pStyle w:val="BodyText"/>
        <w:spacing w:before="130"/>
      </w:pPr>
      <w:r>
        <w:rPr/>
        <w:t>定请参见招募说明书。</w:t>
      </w:r>
    </w:p>
    <w:p>
      <w:pPr>
        <w:pStyle w:val="BodyText"/>
        <w:spacing w:line="364" w:lineRule="auto" w:before="160"/>
        <w:ind w:right="364" w:firstLine="479"/>
      </w:pPr>
      <w:r>
        <w:rPr>
          <w:rFonts w:ascii="Times New Roman" w:eastAsia="Times New Roman"/>
        </w:rPr>
        <w:t>2</w:t>
      </w:r>
      <w:r>
        <w:rPr/>
        <w:t>、基金管理人可根据市场情况调整申购与赎回的有关数额限制，调整结果应当依照《信息披露办法》的有关规定在指定媒介上公告。</w:t>
      </w:r>
    </w:p>
    <w:p>
      <w:pPr>
        <w:pStyle w:val="BodyText"/>
        <w:spacing w:line="364" w:lineRule="auto" w:before="1"/>
        <w:ind w:right="117" w:firstLine="479"/>
      </w:pPr>
      <w:r>
        <w:rPr>
          <w:rFonts w:ascii="Times New Roman" w:eastAsia="Times New Roman"/>
        </w:rPr>
        <w:t>3</w:t>
      </w:r>
      <w:r>
        <w:rPr/>
        <w:t>、本基金的申购有效份额为按实际确认的申购金额在扣除相应的费用后， </w:t>
      </w:r>
      <w:r>
        <w:rPr>
          <w:spacing w:val="-5"/>
        </w:rPr>
        <w:t>以当日基金份额净值为基准计算并保留小数点后两位，小数点后第三位四舍五入， </w:t>
      </w:r>
      <w:r>
        <w:rPr/>
        <w:t>由此产生的误差计入基金资产。</w:t>
      </w:r>
    </w:p>
    <w:p>
      <w:pPr>
        <w:pStyle w:val="BodyText"/>
        <w:spacing w:line="364" w:lineRule="auto" w:before="2"/>
        <w:ind w:right="364" w:firstLine="479"/>
      </w:pPr>
      <w:r>
        <w:rPr>
          <w:rFonts w:ascii="Times New Roman" w:eastAsia="Times New Roman"/>
        </w:rPr>
        <w:t>4</w:t>
      </w:r>
      <w:r>
        <w:rPr/>
        <w:t>、赎回金额的处理方式：本基金的赎回金额按实际确认的有效赎回份额以当日基金份额净值为基准按四舍五入的方法计算并扣除相应的费用。</w:t>
      </w:r>
    </w:p>
    <w:p>
      <w:pPr>
        <w:pStyle w:val="BodyText"/>
        <w:spacing w:line="364" w:lineRule="auto" w:before="2"/>
        <w:ind w:right="239" w:firstLine="479"/>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w:t>
      </w:r>
      <w:r>
        <w:rPr>
          <w:spacing w:val="-3"/>
        </w:rPr>
        <w:t>制。 具体请参见相关公告。</w:t>
      </w:r>
    </w:p>
    <w:p>
      <w:pPr>
        <w:pStyle w:val="BodyText"/>
        <w:spacing w:before="0"/>
        <w:ind w:left="0"/>
      </w:pPr>
    </w:p>
    <w:p>
      <w:pPr>
        <w:pStyle w:val="BodyText"/>
        <w:spacing w:before="164"/>
        <w:ind w:left="700"/>
      </w:pPr>
      <w:r>
        <w:rPr/>
        <w:t>（六）申购、赎回的价格、费用及其用途</w:t>
      </w:r>
    </w:p>
    <w:p>
      <w:pPr>
        <w:pStyle w:val="BodyText"/>
        <w:spacing w:line="364" w:lineRule="auto" w:before="160"/>
        <w:ind w:right="364" w:firstLine="479"/>
      </w:pPr>
      <w:r>
        <w:rPr>
          <w:rFonts w:ascii="Times New Roman" w:eastAsia="Times New Roman"/>
        </w:rPr>
        <w:t>1</w:t>
      </w:r>
      <w:r>
        <w:rPr/>
        <w:t>、申购和赎回本基金基金份额的价格按照基金份额净值加减一定的手续费产生。</w:t>
      </w:r>
    </w:p>
    <w:p>
      <w:pPr>
        <w:pStyle w:val="BodyText"/>
        <w:spacing w:before="2"/>
        <w:ind w:left="700"/>
      </w:pPr>
      <w:r>
        <w:rPr>
          <w:rFonts w:ascii="Times New Roman" w:eastAsia="Times New Roman"/>
        </w:rPr>
        <w:t>2</w:t>
      </w:r>
      <w:r>
        <w:rPr/>
        <w:t>、本基金的申购费率、赎回费率最高不得超过法律法规规定的限额。</w:t>
      </w:r>
    </w:p>
    <w:p>
      <w:pPr>
        <w:pStyle w:val="BodyText"/>
        <w:spacing w:line="364" w:lineRule="auto" w:before="160"/>
        <w:ind w:right="356" w:firstLine="479"/>
        <w:jc w:val="both"/>
      </w:pPr>
      <w:r>
        <w:rPr>
          <w:rFonts w:ascii="Times New Roman" w:eastAsia="Times New Roman"/>
        </w:rPr>
        <w:t>3</w:t>
      </w:r>
      <w:r>
        <w:rPr/>
        <w:t>、本基金的申购费由申购人承担，归销售机构所有。本基金的赎回费由赎</w:t>
      </w:r>
      <w:r>
        <w:rPr>
          <w:spacing w:val="-3"/>
        </w:rPr>
        <w:t>回人承担，对持续持有期少于 </w:t>
      </w:r>
      <w:r>
        <w:rPr>
          <w:rFonts w:ascii="Times New Roman" w:eastAsia="Times New Roman"/>
        </w:rPr>
        <w:t>7 </w:t>
      </w:r>
      <w:r>
        <w:rPr>
          <w:spacing w:val="-4"/>
        </w:rPr>
        <w:t>日的投资者收取不低于 </w:t>
      </w:r>
      <w:r>
        <w:rPr>
          <w:rFonts w:ascii="Times New Roman" w:eastAsia="Times New Roman"/>
        </w:rPr>
        <w:t>1.5%</w:t>
      </w:r>
      <w:r>
        <w:rPr>
          <w:spacing w:val="-2"/>
        </w:rPr>
        <w:t>的赎回费，并将上</w:t>
      </w:r>
      <w:r>
        <w:rPr>
          <w:spacing w:val="-11"/>
        </w:rPr>
        <w:t>述赎回费全额计入基金财产。对持续持有期不少于 </w:t>
      </w:r>
      <w:r>
        <w:rPr>
          <w:rFonts w:ascii="Times New Roman" w:eastAsia="Times New Roman"/>
        </w:rPr>
        <w:t>7 </w:t>
      </w:r>
      <w:r>
        <w:rPr>
          <w:spacing w:val="-2"/>
        </w:rPr>
        <w:t>日的投资者所收取的赎回费</w:t>
      </w:r>
      <w:r>
        <w:rPr>
          <w:spacing w:val="9"/>
        </w:rPr>
        <w:t>中不低于 </w:t>
      </w:r>
      <w:r>
        <w:rPr>
          <w:rFonts w:ascii="Times New Roman" w:eastAsia="Times New Roman"/>
        </w:rPr>
        <w:t>25%</w:t>
      </w:r>
      <w:r>
        <w:rPr/>
        <w:t>的部分归入基金财产。申购费和赎回费用的用途为市场推广、基金份额销售及注册登记等。</w:t>
      </w:r>
    </w:p>
    <w:p>
      <w:pPr>
        <w:pStyle w:val="BodyText"/>
        <w:spacing w:line="364" w:lineRule="auto" w:before="4"/>
        <w:ind w:right="241" w:firstLine="479"/>
      </w:pPr>
      <w:r>
        <w:rPr>
          <w:rFonts w:ascii="Times New Roman" w:eastAsia="Times New Roman"/>
        </w:rPr>
        <w:t>4</w:t>
      </w:r>
      <w:r>
        <w:rPr>
          <w:spacing w:val="-16"/>
        </w:rPr>
        <w:t>、本基金的申购费率、赎回费率由基金管理人确定并在招募说明书中列示。</w:t>
      </w:r>
      <w:r>
        <w:rPr/>
        <w:t>基金管理人可依照法律法规和中国证监会规定的程序在基金合同约定的范围内</w:t>
      </w:r>
      <w:r>
        <w:rPr>
          <w:spacing w:val="-1"/>
        </w:rPr>
        <w:t>调整申购费率、赎回费率，调整申购费率、赎回费率应当依照《信息披露办法》</w:t>
      </w:r>
      <w:r>
        <w:rPr/>
        <w:t>的有关规定在指定媒介上公告。</w:t>
      </w:r>
    </w:p>
    <w:p>
      <w:pPr>
        <w:pStyle w:val="BodyText"/>
        <w:spacing w:line="364" w:lineRule="auto" w:before="2"/>
        <w:ind w:right="359" w:firstLine="479"/>
      </w:pPr>
      <w:r>
        <w:rPr>
          <w:rFonts w:ascii="Times New Roman" w:eastAsia="Times New Roman"/>
        </w:rPr>
        <w:t>5</w:t>
      </w:r>
      <w:r>
        <w:rPr/>
        <w:t>、基金管理人可以在不违背法律法规规定及基金合同约定的情形下根据市</w:t>
      </w:r>
      <w:r>
        <w:rPr>
          <w:spacing w:val="-7"/>
        </w:rPr>
        <w:t>场情况制定基金促销计划，在取得有关监管机构核准之后，对促销期间的基金申</w:t>
      </w:r>
    </w:p>
    <w:p>
      <w:pPr>
        <w:spacing w:after="0" w:line="364" w:lineRule="auto"/>
        <w:sectPr>
          <w:pgSz w:w="11910" w:h="16840"/>
          <w:pgMar w:header="874" w:footer="997" w:top="1380" w:bottom="1180" w:left="1580" w:right="1440"/>
        </w:sectPr>
      </w:pPr>
    </w:p>
    <w:p>
      <w:pPr>
        <w:pStyle w:val="BodyText"/>
        <w:spacing w:before="130"/>
      </w:pPr>
      <w:r>
        <w:rPr/>
        <w:t>购费等实行优惠。</w:t>
      </w:r>
    </w:p>
    <w:p>
      <w:pPr>
        <w:pStyle w:val="BodyText"/>
        <w:spacing w:line="364" w:lineRule="auto" w:before="160"/>
        <w:ind w:right="359" w:firstLine="479"/>
        <w:jc w:val="both"/>
      </w:pPr>
      <w:r>
        <w:rPr>
          <w:rFonts w:ascii="Times New Roman" w:eastAsia="Times New Roman"/>
        </w:rPr>
        <w:t>6</w:t>
      </w:r>
      <w:r>
        <w:rPr/>
        <w:t>、当发生大额申购或赎回情形时，在履行适当程序后，基金管理人可以采</w:t>
      </w:r>
      <w:r>
        <w:rPr>
          <w:spacing w:val="-10"/>
        </w:rPr>
        <w:t>用摆动定价机制，以确保基金估值的公平性。具体处理原则与操作规范遵循相关</w:t>
      </w:r>
      <w:r>
        <w:rPr/>
        <w:t>法律法规以及监管部门、自律规则的规定。</w:t>
      </w:r>
    </w:p>
    <w:p>
      <w:pPr>
        <w:pStyle w:val="BodyText"/>
        <w:spacing w:before="0"/>
        <w:ind w:left="0"/>
      </w:pPr>
    </w:p>
    <w:p>
      <w:pPr>
        <w:pStyle w:val="BodyText"/>
        <w:spacing w:before="162"/>
        <w:ind w:left="700"/>
      </w:pPr>
      <w:r>
        <w:rPr/>
        <w:t>（七）申购份额、赎回金额的计算方式</w:t>
      </w:r>
    </w:p>
    <w:p>
      <w:pPr>
        <w:pStyle w:val="BodyText"/>
        <w:ind w:left="700"/>
      </w:pPr>
      <w:r>
        <w:rPr>
          <w:rFonts w:ascii="Times New Roman" w:eastAsia="Times New Roman"/>
        </w:rPr>
        <w:t>1</w:t>
      </w:r>
      <w:r>
        <w:rPr/>
        <w:t>、基金申购份额的计算</w:t>
      </w:r>
    </w:p>
    <w:p>
      <w:pPr>
        <w:pStyle w:val="BodyText"/>
        <w:spacing w:line="364" w:lineRule="auto"/>
        <w:ind w:left="700" w:right="2665"/>
      </w:pPr>
      <w:r>
        <w:rPr>
          <w:spacing w:val="-1"/>
        </w:rPr>
        <w:t>基金的申购金额包括申购费用和净申购金额，其中： </w:t>
      </w:r>
      <w:r>
        <w:rPr/>
        <w:t>净申购金额</w:t>
      </w:r>
      <w:r>
        <w:rPr>
          <w:rFonts w:ascii="Times New Roman" w:eastAsia="Times New Roman"/>
          <w:spacing w:val="-1"/>
        </w:rPr>
        <w:t>=</w:t>
      </w:r>
      <w:r>
        <w:rPr/>
        <w:t>申购金额</w:t>
      </w:r>
      <w:r>
        <w:rPr>
          <w:rFonts w:ascii="Times New Roman" w:eastAsia="Times New Roman"/>
        </w:rPr>
        <w:t>/</w:t>
      </w:r>
      <w:r>
        <w:rPr/>
        <w:t>（</w:t>
      </w:r>
      <w:r>
        <w:rPr>
          <w:rFonts w:ascii="Times New Roman" w:eastAsia="Times New Roman"/>
        </w:rPr>
        <w:t>1</w:t>
      </w:r>
      <w:r>
        <w:rPr>
          <w:rFonts w:ascii="Times New Roman" w:eastAsia="Times New Roman"/>
          <w:spacing w:val="-1"/>
        </w:rPr>
        <w:t>+</w:t>
      </w:r>
      <w:r>
        <w:rPr/>
        <w:t>申购费率</w:t>
      </w:r>
      <w:r>
        <w:rPr>
          <w:spacing w:val="-120"/>
        </w:rPr>
        <w:t>）</w:t>
      </w:r>
      <w:r>
        <w:rPr/>
        <w:t>；</w:t>
      </w:r>
    </w:p>
    <w:p>
      <w:pPr>
        <w:pStyle w:val="BodyText"/>
        <w:spacing w:before="1"/>
        <w:ind w:left="700"/>
      </w:pPr>
      <w:r>
        <w:rPr/>
        <w:t>申购费用</w:t>
      </w:r>
      <w:r>
        <w:rPr>
          <w:rFonts w:ascii="Times New Roman" w:eastAsia="Times New Roman"/>
        </w:rPr>
        <w:t>=</w:t>
      </w:r>
      <w:r>
        <w:rPr/>
        <w:t>申购金额</w:t>
      </w:r>
      <w:r>
        <w:rPr>
          <w:rFonts w:ascii="Times New Roman" w:eastAsia="Times New Roman"/>
        </w:rPr>
        <w:t>-</w:t>
      </w:r>
      <w:r>
        <w:rPr/>
        <w:t>净申购金额；</w:t>
      </w:r>
    </w:p>
    <w:p>
      <w:pPr>
        <w:pStyle w:val="BodyText"/>
        <w:ind w:left="700"/>
      </w:pPr>
      <w:r>
        <w:rPr/>
        <w:t>申购份额</w:t>
      </w:r>
      <w:r>
        <w:rPr>
          <w:rFonts w:ascii="Times New Roman" w:eastAsia="Times New Roman"/>
        </w:rPr>
        <w:t>=</w:t>
      </w:r>
      <w:r>
        <w:rPr/>
        <w:t>净申购金额</w:t>
      </w:r>
      <w:r>
        <w:rPr>
          <w:rFonts w:ascii="Times New Roman" w:eastAsia="Times New Roman"/>
        </w:rPr>
        <w:t>/T </w:t>
      </w:r>
      <w:r>
        <w:rPr/>
        <w:t>日基金份额净值。</w:t>
      </w:r>
    </w:p>
    <w:p>
      <w:pPr>
        <w:pStyle w:val="BodyText"/>
        <w:spacing w:line="364" w:lineRule="auto" w:before="160"/>
        <w:ind w:right="361" w:firstLine="479"/>
      </w:pPr>
      <w:r>
        <w:rPr>
          <w:spacing w:val="-6"/>
        </w:rPr>
        <w:t>基金申购份额保留到小数点后两位，小数点后两位以后的部分四舍五入，由</w:t>
      </w:r>
      <w:r>
        <w:rPr/>
        <w:t>此产生的误差计入基金资产。</w:t>
      </w:r>
    </w:p>
    <w:p>
      <w:pPr>
        <w:pStyle w:val="BodyText"/>
        <w:spacing w:before="0"/>
        <w:ind w:left="0"/>
      </w:pPr>
    </w:p>
    <w:p>
      <w:pPr>
        <w:pStyle w:val="BodyText"/>
        <w:spacing w:before="162"/>
        <w:ind w:left="700"/>
      </w:pPr>
      <w:r>
        <w:rPr>
          <w:rFonts w:ascii="Times New Roman" w:eastAsia="Times New Roman"/>
        </w:rPr>
        <w:t>2</w:t>
      </w:r>
      <w:r>
        <w:rPr/>
        <w:t>、基金赎回金额的计算</w:t>
      </w:r>
    </w:p>
    <w:p>
      <w:pPr>
        <w:pStyle w:val="BodyText"/>
        <w:spacing w:line="364" w:lineRule="auto"/>
        <w:ind w:left="700" w:right="2394"/>
      </w:pPr>
      <w:r>
        <w:rPr/>
        <w:t>赎回费 </w:t>
      </w:r>
      <w:r>
        <w:rPr>
          <w:rFonts w:ascii="Times New Roman" w:hAnsi="Times New Roman" w:eastAsia="Times New Roman"/>
        </w:rPr>
        <w:t>= </w:t>
      </w:r>
      <w:r>
        <w:rPr/>
        <w:t>赎回当日基金份额净值</w:t>
      </w:r>
      <w:r>
        <w:rPr>
          <w:rFonts w:ascii="Times New Roman" w:hAnsi="Times New Roman" w:eastAsia="Times New Roman"/>
        </w:rPr>
        <w:t>×</w:t>
      </w:r>
      <w:r>
        <w:rPr/>
        <w:t>赎回份额</w:t>
      </w:r>
      <w:r>
        <w:rPr>
          <w:rFonts w:ascii="Times New Roman" w:hAnsi="Times New Roman" w:eastAsia="Times New Roman"/>
        </w:rPr>
        <w:t>×</w:t>
      </w:r>
      <w:r>
        <w:rPr/>
        <w:t>赎回费率赎回金额 </w:t>
      </w:r>
      <w:r>
        <w:rPr>
          <w:rFonts w:ascii="Times New Roman" w:hAnsi="Times New Roman" w:eastAsia="Times New Roman"/>
        </w:rPr>
        <w:t>= </w:t>
      </w:r>
      <w:r>
        <w:rPr/>
        <w:t>赎回当日基金份额净值</w:t>
      </w:r>
      <w:r>
        <w:rPr>
          <w:rFonts w:ascii="Times New Roman" w:hAnsi="Times New Roman" w:eastAsia="Times New Roman"/>
        </w:rPr>
        <w:t>×</w:t>
      </w:r>
      <w:r>
        <w:rPr/>
        <w:t>赎回份额－赎回费</w:t>
      </w:r>
    </w:p>
    <w:p>
      <w:pPr>
        <w:pStyle w:val="BodyText"/>
        <w:spacing w:line="364" w:lineRule="auto" w:before="1"/>
        <w:ind w:right="361" w:firstLine="479"/>
      </w:pPr>
      <w:r>
        <w:rPr>
          <w:spacing w:val="-6"/>
        </w:rPr>
        <w:t>基金赎回金额保留到小数点后两位，小数点后两位以后的部分四舍五入，由</w:t>
      </w:r>
      <w:r>
        <w:rPr/>
        <w:t>此产生的误差计入基金资产。</w:t>
      </w:r>
    </w:p>
    <w:p>
      <w:pPr>
        <w:pStyle w:val="BodyText"/>
        <w:spacing w:before="0"/>
        <w:ind w:left="0"/>
      </w:pPr>
    </w:p>
    <w:p>
      <w:pPr>
        <w:pStyle w:val="BodyText"/>
        <w:spacing w:before="162"/>
        <w:ind w:left="700"/>
      </w:pPr>
      <w:r>
        <w:rPr/>
        <w:t>（八）申购、赎回的注册登记</w:t>
      </w:r>
    </w:p>
    <w:p>
      <w:pPr>
        <w:pStyle w:val="BodyText"/>
        <w:spacing w:line="364" w:lineRule="auto"/>
        <w:ind w:left="700" w:right="642"/>
      </w:pPr>
      <w:r>
        <w:rPr/>
        <w:t>投资者申购基金成功后，基金注册登记人在 </w:t>
      </w:r>
      <w:r>
        <w:rPr>
          <w:rFonts w:ascii="Times New Roman" w:eastAsia="Times New Roman"/>
        </w:rPr>
        <w:t>T+1 </w:t>
      </w:r>
      <w:r>
        <w:rPr/>
        <w:t>日为投资者登记权益。投资者赎回成功后，基金注册登记人在 </w:t>
      </w:r>
      <w:r>
        <w:rPr>
          <w:rFonts w:ascii="Times New Roman" w:eastAsia="Times New Roman"/>
        </w:rPr>
        <w:t>T+1 </w:t>
      </w:r>
      <w:r>
        <w:rPr/>
        <w:t>日为投资者扣除权益。</w:t>
      </w:r>
    </w:p>
    <w:p>
      <w:pPr>
        <w:pStyle w:val="BodyText"/>
        <w:spacing w:line="364" w:lineRule="auto" w:before="1"/>
        <w:ind w:right="357" w:firstLine="479"/>
      </w:pPr>
      <w:r>
        <w:rPr>
          <w:spacing w:val="-6"/>
        </w:rPr>
        <w:t>基金管理人可以在法律法规允许的范围内，对上述注册登记办理时间进行调</w:t>
      </w:r>
      <w:r>
        <w:rPr/>
        <w:t>整，并应当依照《信息披露办法》的有关规定在指定媒介上刊登公告。</w:t>
      </w:r>
    </w:p>
    <w:p>
      <w:pPr>
        <w:pStyle w:val="BodyText"/>
        <w:spacing w:before="0"/>
        <w:ind w:left="0"/>
      </w:pPr>
    </w:p>
    <w:p>
      <w:pPr>
        <w:pStyle w:val="BodyText"/>
        <w:spacing w:before="162"/>
        <w:ind w:left="700"/>
      </w:pPr>
      <w:r>
        <w:rPr/>
        <w:t>（九）拒绝或暂停申购的情形及处理</w:t>
      </w:r>
    </w:p>
    <w:p>
      <w:pPr>
        <w:pStyle w:val="BodyText"/>
        <w:spacing w:line="364" w:lineRule="auto" w:before="160"/>
        <w:ind w:right="364" w:firstLine="479"/>
      </w:pPr>
      <w:r>
        <w:rPr>
          <w:rFonts w:ascii="Times New Roman" w:eastAsia="Times New Roman"/>
        </w:rPr>
        <w:t>1</w:t>
      </w:r>
      <w:r>
        <w:rPr/>
        <w:t>、本基金出现以下情况之一时，基金管理人可拒绝或暂停接受基金投资者的申购申请：</w:t>
      </w:r>
    </w:p>
    <w:p>
      <w:pPr>
        <w:spacing w:after="0" w:line="364" w:lineRule="auto"/>
        <w:sectPr>
          <w:pgSz w:w="11910" w:h="16840"/>
          <w:pgMar w:header="874" w:footer="997" w:top="1380" w:bottom="1180" w:left="1580" w:right="1440"/>
        </w:sectPr>
      </w:pPr>
    </w:p>
    <w:p>
      <w:pPr>
        <w:pStyle w:val="ListParagraph"/>
        <w:numPr>
          <w:ilvl w:val="0"/>
          <w:numId w:val="3"/>
        </w:numPr>
        <w:tabs>
          <w:tab w:pos="1302" w:val="left" w:leader="none"/>
        </w:tabs>
        <w:spacing w:line="240" w:lineRule="auto" w:before="130" w:after="0"/>
        <w:ind w:left="1301" w:right="0" w:hanging="602"/>
        <w:jc w:val="left"/>
        <w:rPr>
          <w:sz w:val="24"/>
        </w:rPr>
      </w:pPr>
      <w:r>
        <w:rPr>
          <w:sz w:val="24"/>
        </w:rPr>
        <w:t>不可抗力；</w:t>
      </w:r>
    </w:p>
    <w:p>
      <w:pPr>
        <w:pStyle w:val="ListParagraph"/>
        <w:numPr>
          <w:ilvl w:val="0"/>
          <w:numId w:val="3"/>
        </w:numPr>
        <w:tabs>
          <w:tab w:pos="1302" w:val="left" w:leader="none"/>
        </w:tabs>
        <w:spacing w:line="364" w:lineRule="auto" w:before="160" w:after="0"/>
        <w:ind w:left="220" w:right="358" w:firstLine="479"/>
        <w:jc w:val="both"/>
        <w:rPr>
          <w:sz w:val="24"/>
        </w:rPr>
      </w:pPr>
      <w:r>
        <w:rPr>
          <w:spacing w:val="-5"/>
          <w:sz w:val="24"/>
        </w:rPr>
        <w:t>当前一估值日基金资产净值 </w:t>
      </w:r>
      <w:r>
        <w:rPr>
          <w:rFonts w:ascii="Times New Roman" w:eastAsia="Times New Roman"/>
          <w:sz w:val="24"/>
        </w:rPr>
        <w:t>50%</w:t>
      </w:r>
      <w:r>
        <w:rPr>
          <w:spacing w:val="-2"/>
          <w:sz w:val="24"/>
        </w:rPr>
        <w:t>以上的资产出现无可参考的活跃市场</w:t>
      </w:r>
      <w:r>
        <w:rPr>
          <w:spacing w:val="-5"/>
          <w:sz w:val="24"/>
        </w:rPr>
        <w:t>价格且采用估值技术仍导致公允价值存在重大不确定性时，经与基金托管人协商</w:t>
      </w:r>
      <w:r>
        <w:rPr>
          <w:sz w:val="24"/>
        </w:rPr>
        <w:t>确认后，基金管理人应当暂停接受基金申购申请；</w:t>
      </w:r>
    </w:p>
    <w:p>
      <w:pPr>
        <w:pStyle w:val="ListParagraph"/>
        <w:numPr>
          <w:ilvl w:val="0"/>
          <w:numId w:val="3"/>
        </w:numPr>
        <w:tabs>
          <w:tab w:pos="1302" w:val="left" w:leader="none"/>
        </w:tabs>
        <w:spacing w:line="364" w:lineRule="auto" w:before="2" w:after="0"/>
        <w:ind w:left="220" w:right="364" w:firstLine="479"/>
        <w:jc w:val="left"/>
        <w:rPr>
          <w:sz w:val="24"/>
        </w:rPr>
      </w:pPr>
      <w:r>
        <w:rPr>
          <w:spacing w:val="-1"/>
          <w:sz w:val="24"/>
        </w:rPr>
        <w:t>证券交易所交易时间非正常停市或其他情形，导致基金管理人无法计</w:t>
      </w:r>
      <w:r>
        <w:rPr>
          <w:sz w:val="24"/>
        </w:rPr>
        <w:t>算当日基金资产净值；</w:t>
      </w:r>
    </w:p>
    <w:p>
      <w:pPr>
        <w:pStyle w:val="ListParagraph"/>
        <w:numPr>
          <w:ilvl w:val="0"/>
          <w:numId w:val="3"/>
        </w:numPr>
        <w:tabs>
          <w:tab w:pos="1302" w:val="left" w:leader="none"/>
        </w:tabs>
        <w:spacing w:line="364" w:lineRule="auto" w:before="1" w:after="0"/>
        <w:ind w:left="220" w:right="364" w:firstLine="479"/>
        <w:jc w:val="left"/>
        <w:rPr>
          <w:sz w:val="24"/>
        </w:rPr>
      </w:pPr>
      <w:r>
        <w:rPr>
          <w:spacing w:val="-1"/>
          <w:sz w:val="24"/>
        </w:rPr>
        <w:t>基金管理人认为市场缺乏合适的投资机会，继续接受申购可能对已有</w:t>
      </w:r>
      <w:r>
        <w:rPr>
          <w:sz w:val="24"/>
        </w:rPr>
        <w:t>基金持有人利益产生损害；</w:t>
      </w:r>
    </w:p>
    <w:p>
      <w:pPr>
        <w:pStyle w:val="ListParagraph"/>
        <w:numPr>
          <w:ilvl w:val="0"/>
          <w:numId w:val="3"/>
        </w:numPr>
        <w:tabs>
          <w:tab w:pos="1302" w:val="left" w:leader="none"/>
        </w:tabs>
        <w:spacing w:line="240" w:lineRule="auto" w:before="2" w:after="0"/>
        <w:ind w:left="1301" w:right="0" w:hanging="602"/>
        <w:jc w:val="left"/>
        <w:rPr>
          <w:sz w:val="24"/>
        </w:rPr>
      </w:pPr>
      <w:r>
        <w:rPr>
          <w:sz w:val="24"/>
        </w:rPr>
        <w:t>基金管理人认为会有损于现有基金份额持有人利益的某笔申购；</w:t>
      </w:r>
    </w:p>
    <w:p>
      <w:pPr>
        <w:pStyle w:val="ListParagraph"/>
        <w:numPr>
          <w:ilvl w:val="0"/>
          <w:numId w:val="3"/>
        </w:numPr>
        <w:tabs>
          <w:tab w:pos="1302" w:val="left" w:leader="none"/>
        </w:tabs>
        <w:spacing w:line="364" w:lineRule="auto" w:before="161" w:after="0"/>
        <w:ind w:left="220" w:right="364" w:firstLine="479"/>
        <w:jc w:val="left"/>
        <w:rPr>
          <w:sz w:val="24"/>
        </w:rPr>
      </w:pPr>
      <w:r>
        <w:rPr>
          <w:spacing w:val="-1"/>
          <w:sz w:val="24"/>
        </w:rPr>
        <w:t>基金管理人、基金托管人、代销机构或注册登记人的技术保障或人员</w:t>
      </w:r>
      <w:r>
        <w:rPr>
          <w:sz w:val="24"/>
        </w:rPr>
        <w:t>支持等不充分；</w:t>
      </w:r>
    </w:p>
    <w:p>
      <w:pPr>
        <w:pStyle w:val="ListParagraph"/>
        <w:numPr>
          <w:ilvl w:val="0"/>
          <w:numId w:val="3"/>
        </w:numPr>
        <w:tabs>
          <w:tab w:pos="1302" w:val="left" w:leader="none"/>
        </w:tabs>
        <w:spacing w:line="240" w:lineRule="auto" w:before="1" w:after="0"/>
        <w:ind w:left="1301" w:right="0" w:hanging="602"/>
        <w:jc w:val="left"/>
        <w:rPr>
          <w:sz w:val="24"/>
        </w:rPr>
      </w:pPr>
      <w:r>
        <w:rPr>
          <w:sz w:val="24"/>
        </w:rPr>
        <w:t>基金场内交易停牌时；</w:t>
      </w:r>
    </w:p>
    <w:p>
      <w:pPr>
        <w:pStyle w:val="ListParagraph"/>
        <w:numPr>
          <w:ilvl w:val="0"/>
          <w:numId w:val="3"/>
        </w:numPr>
        <w:tabs>
          <w:tab w:pos="1302" w:val="left" w:leader="none"/>
        </w:tabs>
        <w:spacing w:line="364" w:lineRule="auto" w:before="160" w:after="0"/>
        <w:ind w:left="220" w:right="364" w:firstLine="479"/>
        <w:jc w:val="left"/>
        <w:rPr>
          <w:sz w:val="24"/>
        </w:rPr>
      </w:pPr>
      <w:r>
        <w:rPr>
          <w:spacing w:val="-1"/>
          <w:sz w:val="24"/>
        </w:rPr>
        <w:t>基金管理人接受某笔或者某些申购申请有可能导致单一投资者持有基</w:t>
      </w:r>
      <w:r>
        <w:rPr>
          <w:spacing w:val="-5"/>
          <w:sz w:val="24"/>
        </w:rPr>
        <w:t>金份额的比例达到或者超过 </w:t>
      </w:r>
      <w:r>
        <w:rPr>
          <w:rFonts w:ascii="Times New Roman" w:eastAsia="Times New Roman"/>
          <w:sz w:val="24"/>
        </w:rPr>
        <w:t>50%</w:t>
      </w:r>
      <w:r>
        <w:rPr>
          <w:spacing w:val="-8"/>
          <w:sz w:val="24"/>
        </w:rPr>
        <w:t>，或者变相规避 </w:t>
      </w:r>
      <w:r>
        <w:rPr>
          <w:rFonts w:ascii="Times New Roman" w:eastAsia="Times New Roman"/>
          <w:sz w:val="24"/>
        </w:rPr>
        <w:t>50%</w:t>
      </w:r>
      <w:r>
        <w:rPr>
          <w:sz w:val="24"/>
        </w:rPr>
        <w:t>集中度的情形时；</w:t>
      </w:r>
    </w:p>
    <w:p>
      <w:pPr>
        <w:pStyle w:val="ListParagraph"/>
        <w:numPr>
          <w:ilvl w:val="0"/>
          <w:numId w:val="3"/>
        </w:numPr>
        <w:tabs>
          <w:tab w:pos="1302" w:val="left" w:leader="none"/>
        </w:tabs>
        <w:spacing w:line="240" w:lineRule="auto" w:before="2" w:after="0"/>
        <w:ind w:left="1301" w:right="0" w:hanging="602"/>
        <w:jc w:val="left"/>
        <w:rPr>
          <w:sz w:val="24"/>
        </w:rPr>
      </w:pPr>
      <w:r>
        <w:rPr>
          <w:sz w:val="24"/>
        </w:rPr>
        <w:t>法律、法规规定或中国证监会认定的其他情形。</w:t>
      </w:r>
    </w:p>
    <w:p>
      <w:pPr>
        <w:pStyle w:val="BodyText"/>
        <w:spacing w:line="364" w:lineRule="auto" w:before="160"/>
        <w:ind w:right="356" w:firstLine="479"/>
        <w:jc w:val="both"/>
      </w:pPr>
      <w:r>
        <w:rPr>
          <w:spacing w:val="-4"/>
        </w:rPr>
        <w:t>发生除上述</w:t>
      </w:r>
      <w:r>
        <w:rPr>
          <w:spacing w:val="-7"/>
        </w:rPr>
        <w:t>（</w:t>
      </w:r>
      <w:r>
        <w:rPr>
          <w:rFonts w:ascii="Times New Roman" w:eastAsia="Times New Roman"/>
          <w:spacing w:val="-7"/>
        </w:rPr>
        <w:t>5</w:t>
      </w:r>
      <w:r>
        <w:rPr>
          <w:spacing w:val="-7"/>
        </w:rPr>
        <w:t>）</w:t>
      </w:r>
      <w:r>
        <w:rPr>
          <w:spacing w:val="-20"/>
        </w:rPr>
        <w:t>和</w:t>
      </w:r>
      <w:r>
        <w:rPr>
          <w:spacing w:val="-6"/>
        </w:rPr>
        <w:t>（</w:t>
      </w:r>
      <w:r>
        <w:rPr>
          <w:rFonts w:ascii="Times New Roman" w:eastAsia="Times New Roman"/>
          <w:spacing w:val="-6"/>
        </w:rPr>
        <w:t>8</w:t>
      </w:r>
      <w:r>
        <w:rPr>
          <w:spacing w:val="-6"/>
        </w:rPr>
        <w:t>）</w:t>
      </w:r>
      <w:r>
        <w:rPr>
          <w:spacing w:val="-3"/>
        </w:rPr>
        <w:t>项情形之外的暂停申购情形时，基金管理人应当应</w:t>
      </w:r>
      <w:r>
        <w:rPr/>
        <w:t>当依照《信息披露办法》的有关规定在指定媒介上刊登暂停申购公告。</w:t>
      </w:r>
    </w:p>
    <w:p>
      <w:pPr>
        <w:pStyle w:val="BodyText"/>
        <w:spacing w:line="364" w:lineRule="auto" w:before="2"/>
        <w:ind w:right="356" w:firstLine="479"/>
        <w:jc w:val="both"/>
      </w:pPr>
      <w:r>
        <w:rPr>
          <w:spacing w:val="-6"/>
        </w:rPr>
        <w:t>发生本基金合同或招募说明书中未予载明的事项，但基金管理人有正当理由</w:t>
      </w:r>
      <w:r>
        <w:rPr>
          <w:spacing w:val="-7"/>
        </w:rPr>
        <w:t>认为需要暂停基金申购，应当报中国证监会批准；经批准后，基金管理人应当依</w:t>
      </w:r>
      <w:r>
        <w:rPr/>
        <w:t>照《信息披露办法》的有关规定在中国证监会指定媒介上刊登暂停申购公告。</w:t>
      </w:r>
    </w:p>
    <w:p>
      <w:pPr>
        <w:pStyle w:val="BodyText"/>
        <w:spacing w:before="0"/>
        <w:ind w:left="0"/>
      </w:pPr>
    </w:p>
    <w:p>
      <w:pPr>
        <w:pStyle w:val="BodyText"/>
        <w:spacing w:before="162"/>
        <w:ind w:left="700"/>
      </w:pPr>
      <w:r>
        <w:rPr>
          <w:rFonts w:ascii="Times New Roman" w:eastAsia="Times New Roman"/>
        </w:rPr>
        <w:t>2</w:t>
      </w:r>
      <w:r>
        <w:rPr/>
        <w:t>、暂停赎回或延缓支付赎回款项的情形和处理</w:t>
      </w:r>
    </w:p>
    <w:p>
      <w:pPr>
        <w:pStyle w:val="BodyText"/>
        <w:spacing w:line="364" w:lineRule="auto"/>
        <w:ind w:right="357" w:firstLine="479"/>
      </w:pPr>
      <w:r>
        <w:rPr>
          <w:spacing w:val="-9"/>
        </w:rPr>
        <w:t>本基金发生下列情形之一时，基金管理人可暂停接受基金投资者的赎回申请</w:t>
      </w:r>
      <w:r>
        <w:rPr/>
        <w:t>或延缓支付赎回款项：</w:t>
      </w:r>
    </w:p>
    <w:p>
      <w:pPr>
        <w:pStyle w:val="ListParagraph"/>
        <w:numPr>
          <w:ilvl w:val="0"/>
          <w:numId w:val="4"/>
        </w:numPr>
        <w:tabs>
          <w:tab w:pos="1481" w:val="left" w:leader="none"/>
        </w:tabs>
        <w:spacing w:line="240" w:lineRule="auto" w:before="1" w:after="0"/>
        <w:ind w:left="1480" w:right="0" w:hanging="781"/>
        <w:jc w:val="both"/>
        <w:rPr>
          <w:sz w:val="24"/>
        </w:rPr>
      </w:pPr>
      <w:r>
        <w:rPr>
          <w:sz w:val="24"/>
        </w:rPr>
        <w:t>不可抗力；</w:t>
      </w:r>
    </w:p>
    <w:p>
      <w:pPr>
        <w:pStyle w:val="ListParagraph"/>
        <w:numPr>
          <w:ilvl w:val="0"/>
          <w:numId w:val="4"/>
        </w:numPr>
        <w:tabs>
          <w:tab w:pos="1481" w:val="left" w:leader="none"/>
        </w:tabs>
        <w:spacing w:line="364" w:lineRule="auto" w:before="161" w:after="0"/>
        <w:ind w:left="220" w:right="357" w:firstLine="479"/>
        <w:jc w:val="both"/>
        <w:rPr>
          <w:sz w:val="24"/>
        </w:rPr>
      </w:pPr>
      <w:r>
        <w:rPr>
          <w:sz w:val="24"/>
        </w:rPr>
        <w:t>当前一估值日基金资产净值 </w:t>
      </w:r>
      <w:r>
        <w:rPr>
          <w:rFonts w:ascii="Times New Roman" w:eastAsia="Times New Roman"/>
          <w:sz w:val="24"/>
        </w:rPr>
        <w:t>50%</w:t>
      </w:r>
      <w:r>
        <w:rPr>
          <w:spacing w:val="-1"/>
          <w:sz w:val="24"/>
        </w:rPr>
        <w:t>以上的资产出现无可参考的活跃市</w:t>
      </w:r>
      <w:r>
        <w:rPr>
          <w:spacing w:val="-5"/>
          <w:sz w:val="24"/>
        </w:rPr>
        <w:t>场价格且采用估值技术仍导致公允价值存在重大不确定性时，经与基金托管人协</w:t>
      </w:r>
      <w:r>
        <w:rPr>
          <w:spacing w:val="-11"/>
          <w:sz w:val="24"/>
        </w:rPr>
        <w:t>商确认后，基金管理人应当采取延缓支付赎回款项或暂停接受基金赎回申请的措</w:t>
      </w:r>
      <w:r>
        <w:rPr>
          <w:sz w:val="24"/>
        </w:rPr>
        <w:t>施；</w:t>
      </w:r>
    </w:p>
    <w:p>
      <w:pPr>
        <w:spacing w:after="0" w:line="364" w:lineRule="auto"/>
        <w:jc w:val="both"/>
        <w:rPr>
          <w:sz w:val="24"/>
        </w:rPr>
        <w:sectPr>
          <w:pgSz w:w="11910" w:h="16840"/>
          <w:pgMar w:header="874" w:footer="997" w:top="1380" w:bottom="1180" w:left="1580" w:right="1440"/>
        </w:sectPr>
      </w:pPr>
    </w:p>
    <w:p>
      <w:pPr>
        <w:pStyle w:val="ListParagraph"/>
        <w:numPr>
          <w:ilvl w:val="0"/>
          <w:numId w:val="4"/>
        </w:numPr>
        <w:tabs>
          <w:tab w:pos="1302" w:val="left" w:leader="none"/>
        </w:tabs>
        <w:spacing w:line="364" w:lineRule="auto" w:before="130" w:after="0"/>
        <w:ind w:left="220" w:right="364" w:firstLine="479"/>
        <w:jc w:val="left"/>
        <w:rPr>
          <w:sz w:val="24"/>
        </w:rPr>
      </w:pPr>
      <w:r>
        <w:rPr>
          <w:spacing w:val="-1"/>
          <w:sz w:val="24"/>
        </w:rPr>
        <w:t>证券交易所交易时间非正常停市或其他情形，导致基金管理人无法计</w:t>
      </w:r>
      <w:r>
        <w:rPr>
          <w:sz w:val="24"/>
        </w:rPr>
        <w:t>算当日基金资产净值；</w:t>
      </w:r>
    </w:p>
    <w:p>
      <w:pPr>
        <w:pStyle w:val="ListParagraph"/>
        <w:numPr>
          <w:ilvl w:val="0"/>
          <w:numId w:val="4"/>
        </w:numPr>
        <w:tabs>
          <w:tab w:pos="1302" w:val="left" w:leader="none"/>
        </w:tabs>
        <w:spacing w:line="240" w:lineRule="auto" w:before="1" w:after="0"/>
        <w:ind w:left="1301" w:right="0" w:hanging="602"/>
        <w:jc w:val="left"/>
        <w:rPr>
          <w:sz w:val="24"/>
        </w:rPr>
      </w:pPr>
      <w:r>
        <w:rPr>
          <w:sz w:val="24"/>
        </w:rPr>
        <w:t>基金场内交易停牌时；</w:t>
      </w:r>
    </w:p>
    <w:p>
      <w:pPr>
        <w:pStyle w:val="ListParagraph"/>
        <w:numPr>
          <w:ilvl w:val="0"/>
          <w:numId w:val="4"/>
        </w:numPr>
        <w:tabs>
          <w:tab w:pos="1302" w:val="left" w:leader="none"/>
        </w:tabs>
        <w:spacing w:line="240" w:lineRule="auto" w:before="160" w:after="0"/>
        <w:ind w:left="1301" w:right="0" w:hanging="602"/>
        <w:jc w:val="left"/>
        <w:rPr>
          <w:sz w:val="24"/>
        </w:rPr>
      </w:pPr>
      <w:r>
        <w:rPr>
          <w:sz w:val="24"/>
        </w:rPr>
        <w:t>法律、法规、规章规定或中国证监会认定的其他情形。</w:t>
      </w:r>
    </w:p>
    <w:p>
      <w:pPr>
        <w:pStyle w:val="BodyText"/>
        <w:spacing w:line="364" w:lineRule="auto"/>
        <w:ind w:right="241" w:firstLine="479"/>
      </w:pPr>
      <w:r>
        <w:rPr>
          <w:spacing w:val="-10"/>
        </w:rPr>
        <w:t>发生上述情形时，基金管理人应在当日向中国证监会报告并应在规定期限内</w:t>
      </w:r>
      <w:r>
        <w:rPr>
          <w:spacing w:val="-11"/>
        </w:rPr>
        <w:t>在指定媒介上刊登暂停公告。已确认的赎回申请，基金管理人将足额按时支付； </w:t>
      </w:r>
      <w:r>
        <w:rPr>
          <w:spacing w:val="-10"/>
        </w:rPr>
        <w:t>如暂时不能足额支付，可支付部分按单个账户申请量占申请总量的比例分配给赎</w:t>
      </w:r>
      <w:r>
        <w:rPr>
          <w:spacing w:val="-12"/>
        </w:rPr>
        <w:t>回申请人，其余部分在后续开放日予以兑付，并以该开放日的基金份额净值为依</w:t>
      </w:r>
      <w:r>
        <w:rPr>
          <w:spacing w:val="-13"/>
        </w:rPr>
        <w:t>据计算赎回份额。投资者在申请赎回时可以选择将当日未获受理部分予以撤销。</w:t>
      </w:r>
    </w:p>
    <w:p>
      <w:pPr>
        <w:pStyle w:val="BodyText"/>
        <w:spacing w:line="364" w:lineRule="auto" w:before="4"/>
        <w:ind w:right="244" w:firstLine="479"/>
      </w:pPr>
      <w:r>
        <w:rPr>
          <w:spacing w:val="-5"/>
        </w:rPr>
        <w:t>发生本基金合同或招募说明书中未予载明的事项，但基金管理人有正当理由</w:t>
      </w:r>
      <w:r>
        <w:rPr>
          <w:spacing w:val="-6"/>
        </w:rPr>
        <w:t>认为需要暂停赎回或延缓支付赎回款项的，应当报中国证监会批准；经批准后， </w:t>
      </w:r>
      <w:r>
        <w:rPr>
          <w:spacing w:val="-9"/>
        </w:rPr>
        <w:t>基金管理人应当依照《信息披露办法》的有关规定在指定媒介上刊登暂停赎回或</w:t>
      </w:r>
      <w:r>
        <w:rPr>
          <w:spacing w:val="-14"/>
        </w:rPr>
        <w:t>延缓支付赎回款项的公告。在暂停赎回或延缓支付赎回款项的情况消除时，基金管理人应及时恢复赎回业务的办理并按时支付赎回款项。</w:t>
      </w:r>
    </w:p>
    <w:p>
      <w:pPr>
        <w:pStyle w:val="BodyText"/>
        <w:spacing w:before="0"/>
        <w:ind w:left="0"/>
      </w:pPr>
    </w:p>
    <w:p>
      <w:pPr>
        <w:pStyle w:val="BodyText"/>
        <w:spacing w:before="163"/>
        <w:ind w:left="700"/>
      </w:pPr>
      <w:r>
        <w:rPr/>
        <w:t>（十）巨额赎回的情形及处理方式</w:t>
      </w:r>
    </w:p>
    <w:p>
      <w:pPr>
        <w:pStyle w:val="BodyText"/>
        <w:ind w:left="700"/>
      </w:pPr>
      <w:r>
        <w:rPr>
          <w:rFonts w:ascii="Times New Roman" w:eastAsia="Times New Roman"/>
        </w:rPr>
        <w:t>1</w:t>
      </w:r>
      <w:r>
        <w:rPr/>
        <w:t>、巨额赎回的认定</w:t>
      </w:r>
    </w:p>
    <w:p>
      <w:pPr>
        <w:pStyle w:val="BodyText"/>
        <w:spacing w:line="364" w:lineRule="auto" w:before="160"/>
        <w:ind w:right="361" w:firstLine="479"/>
      </w:pPr>
      <w:r>
        <w:rPr>
          <w:spacing w:val="-6"/>
        </w:rPr>
        <w:t>巨额赎回指在单个开放日内，本基金净赎回申请份额</w:t>
      </w:r>
      <w:r>
        <w:rPr/>
        <w:t>（</w:t>
      </w:r>
      <w:r>
        <w:rPr>
          <w:spacing w:val="-2"/>
        </w:rPr>
        <w:t>基金赎回申请总份额</w:t>
      </w:r>
      <w:r>
        <w:rPr/>
        <w:t>扣除申购申请总份额之余额）</w:t>
      </w:r>
      <w:r>
        <w:rPr>
          <w:spacing w:val="-1"/>
        </w:rPr>
        <w:t>超过上一开放日基金总份额 </w:t>
      </w:r>
      <w:r>
        <w:rPr>
          <w:rFonts w:ascii="Times New Roman" w:eastAsia="Times New Roman"/>
        </w:rPr>
        <w:t>10%</w:t>
      </w:r>
      <w:r>
        <w:rPr/>
        <w:t>的情形。</w:t>
      </w:r>
    </w:p>
    <w:p>
      <w:pPr>
        <w:pStyle w:val="BodyText"/>
        <w:spacing w:before="2"/>
        <w:ind w:left="700"/>
      </w:pPr>
      <w:r>
        <w:rPr>
          <w:rFonts w:ascii="Times New Roman" w:eastAsia="Times New Roman"/>
        </w:rPr>
        <w:t>2</w:t>
      </w:r>
      <w:r>
        <w:rPr/>
        <w:t>、巨额赎回的处理</w:t>
      </w:r>
    </w:p>
    <w:p>
      <w:pPr>
        <w:pStyle w:val="ListParagraph"/>
        <w:numPr>
          <w:ilvl w:val="0"/>
          <w:numId w:val="5"/>
        </w:numPr>
        <w:tabs>
          <w:tab w:pos="1302" w:val="left" w:leader="none"/>
        </w:tabs>
        <w:spacing w:line="364" w:lineRule="auto" w:before="160" w:after="0"/>
        <w:ind w:left="220" w:right="364" w:firstLine="479"/>
        <w:jc w:val="left"/>
        <w:rPr>
          <w:sz w:val="24"/>
        </w:rPr>
      </w:pPr>
      <w:r>
        <w:rPr>
          <w:spacing w:val="-1"/>
          <w:sz w:val="24"/>
        </w:rPr>
        <w:t>全额赎回：当基金管理人认为有能力兑付投资者的赎回时，按正常赎</w:t>
      </w:r>
      <w:r>
        <w:rPr>
          <w:sz w:val="24"/>
        </w:rPr>
        <w:t>回程序执行。</w:t>
      </w:r>
    </w:p>
    <w:p>
      <w:pPr>
        <w:pStyle w:val="ListParagraph"/>
        <w:numPr>
          <w:ilvl w:val="0"/>
          <w:numId w:val="5"/>
        </w:numPr>
        <w:tabs>
          <w:tab w:pos="1302" w:val="left" w:leader="none"/>
        </w:tabs>
        <w:spacing w:line="364" w:lineRule="auto" w:before="2" w:after="0"/>
        <w:ind w:left="220" w:right="355" w:firstLine="479"/>
        <w:jc w:val="both"/>
        <w:rPr>
          <w:sz w:val="24"/>
        </w:rPr>
      </w:pPr>
      <w:r>
        <w:rPr>
          <w:sz w:val="24"/>
        </w:rPr>
        <w:t>部分延期赎回：当基金管理人认为基金兑付投资者的全部赎回申请有</w:t>
      </w:r>
      <w:r>
        <w:rPr>
          <w:spacing w:val="-12"/>
          <w:sz w:val="24"/>
        </w:rPr>
        <w:t>困难，或认为为实现投资者的赎回申请进行的资产变现可能使基金份额资产净值</w:t>
      </w:r>
      <w:r>
        <w:rPr>
          <w:sz w:val="24"/>
        </w:rPr>
        <w:t>发生较大波动时，基金管理人在当日接受赎回的比例不低于上一日基金总份额</w:t>
      </w:r>
      <w:r>
        <w:rPr>
          <w:rFonts w:ascii="Times New Roman" w:eastAsia="Times New Roman"/>
          <w:sz w:val="24"/>
        </w:rPr>
        <w:t>10</w:t>
      </w:r>
      <w:r>
        <w:rPr>
          <w:spacing w:val="-10"/>
          <w:sz w:val="24"/>
        </w:rPr>
        <w:t>％的前提下，对其余申请延期办理。对于当日的赎回申请，应当按单个账户赎</w:t>
      </w:r>
      <w:r>
        <w:rPr>
          <w:spacing w:val="-6"/>
          <w:sz w:val="24"/>
        </w:rPr>
        <w:t>回申请量占基金赎回申请总量的比例，确定当日受理的赎回份额；未受理部分除</w:t>
      </w:r>
      <w:r>
        <w:rPr>
          <w:spacing w:val="-5"/>
          <w:sz w:val="24"/>
        </w:rPr>
        <w:t>投资者在提交申请时选择将当日未获受理部分予以撤销者外，延迟至下一开放日</w:t>
      </w:r>
      <w:r>
        <w:rPr>
          <w:spacing w:val="-12"/>
          <w:sz w:val="24"/>
        </w:rPr>
        <w:t>办理。转入下一开放日的申请不享有赎回优先权并将以该开放日的基金份额净值</w:t>
      </w:r>
    </w:p>
    <w:p>
      <w:pPr>
        <w:spacing w:after="0" w:line="364" w:lineRule="auto"/>
        <w:jc w:val="both"/>
        <w:rPr>
          <w:sz w:val="24"/>
        </w:rPr>
        <w:sectPr>
          <w:pgSz w:w="11910" w:h="16840"/>
          <w:pgMar w:header="874" w:footer="997" w:top="1380" w:bottom="1180" w:left="1580" w:right="1440"/>
        </w:sectPr>
      </w:pPr>
    </w:p>
    <w:p>
      <w:pPr>
        <w:pStyle w:val="BodyText"/>
        <w:spacing w:before="130"/>
      </w:pPr>
      <w:r>
        <w:rPr/>
        <w:t>为基准计算，以此类推，直到全部完成赎回申请为止。</w:t>
      </w:r>
    </w:p>
    <w:p>
      <w:pPr>
        <w:pStyle w:val="ListParagraph"/>
        <w:numPr>
          <w:ilvl w:val="0"/>
          <w:numId w:val="5"/>
        </w:numPr>
        <w:tabs>
          <w:tab w:pos="1481" w:val="left" w:leader="none"/>
        </w:tabs>
        <w:spacing w:line="364" w:lineRule="auto" w:before="160" w:after="0"/>
        <w:ind w:left="220" w:right="357" w:firstLine="479"/>
        <w:jc w:val="both"/>
        <w:rPr>
          <w:sz w:val="24"/>
        </w:rPr>
      </w:pPr>
      <w:r>
        <w:rPr>
          <w:sz w:val="24"/>
        </w:rPr>
        <w:t>如果基金发生巨额赎回，在单个基金份额持有人超过上一开放日基</w:t>
      </w:r>
      <w:r>
        <w:rPr>
          <w:spacing w:val="-13"/>
          <w:sz w:val="24"/>
        </w:rPr>
        <w:t>金总份额 </w:t>
      </w:r>
      <w:r>
        <w:rPr>
          <w:rFonts w:ascii="Times New Roman" w:eastAsia="Times New Roman"/>
          <w:sz w:val="24"/>
        </w:rPr>
        <w:t>20%</w:t>
      </w:r>
      <w:r>
        <w:rPr>
          <w:spacing w:val="-11"/>
          <w:sz w:val="24"/>
        </w:rPr>
        <w:t>以上的赎回申请的情形下，基金管理人可以对该基金份额持有人超</w:t>
      </w:r>
      <w:r>
        <w:rPr>
          <w:spacing w:val="-31"/>
          <w:sz w:val="24"/>
        </w:rPr>
        <w:t>过 </w:t>
      </w:r>
      <w:r>
        <w:rPr>
          <w:rFonts w:ascii="Times New Roman" w:eastAsia="Times New Roman"/>
          <w:sz w:val="24"/>
        </w:rPr>
        <w:t>20%</w:t>
      </w:r>
      <w:r>
        <w:rPr>
          <w:spacing w:val="-8"/>
          <w:sz w:val="24"/>
        </w:rPr>
        <w:t>以上的部分延期办理赎回申请。若进行该种超比例延期赎回，对于当日非</w:t>
      </w:r>
      <w:r>
        <w:rPr>
          <w:spacing w:val="-11"/>
          <w:sz w:val="24"/>
        </w:rPr>
        <w:t>延期的赎回申请，应当按单个账户非延期赎回申请量占非延期赎回申请总量的比例，确定当日受理的赎回份额；对于未能赎回部分，投资人在提交赎回申请时可</w:t>
      </w:r>
      <w:r>
        <w:rPr>
          <w:spacing w:val="-8"/>
          <w:sz w:val="24"/>
        </w:rPr>
        <w:t>以选择延期赎回或取消赎回。选择延期赎回的，将自动转入下一个开放日继续赎</w:t>
      </w:r>
      <w:r>
        <w:rPr>
          <w:spacing w:val="-12"/>
          <w:sz w:val="24"/>
        </w:rPr>
        <w:t>回，直到全部赎回为止；选择取消赎回的，当日未获受理的部分赎回申请将被撤</w:t>
      </w:r>
      <w:r>
        <w:rPr>
          <w:spacing w:val="-10"/>
          <w:sz w:val="24"/>
        </w:rPr>
        <w:t>销。延期的赎回申请与下一开放日赎回申请一并处理，无优先权并以下一开放日</w:t>
      </w:r>
      <w:r>
        <w:rPr>
          <w:spacing w:val="-6"/>
          <w:sz w:val="24"/>
        </w:rPr>
        <w:t>的基金份额净值为基础计算赎回金额，以此类推，直到全部赎回为止。如投资人</w:t>
      </w:r>
      <w:r>
        <w:rPr>
          <w:sz w:val="24"/>
        </w:rPr>
        <w:t>在提交赎回申请时未作明确选择，投资人未能赎回部分作自动延期赎回处理。</w:t>
      </w:r>
    </w:p>
    <w:p>
      <w:pPr>
        <w:pStyle w:val="ListParagraph"/>
        <w:numPr>
          <w:ilvl w:val="0"/>
          <w:numId w:val="5"/>
        </w:numPr>
        <w:tabs>
          <w:tab w:pos="1481" w:val="left" w:leader="none"/>
        </w:tabs>
        <w:spacing w:line="364" w:lineRule="auto" w:before="7" w:after="0"/>
        <w:ind w:left="220" w:right="366" w:firstLine="479"/>
        <w:jc w:val="both"/>
        <w:rPr>
          <w:sz w:val="24"/>
        </w:rPr>
      </w:pPr>
      <w:r>
        <w:rPr>
          <w:sz w:val="24"/>
        </w:rPr>
        <w:t>巨额赎回业务的场内处理，按照深圳证券交易所及登记结算机构的有关《业务规则》办理。</w:t>
      </w:r>
    </w:p>
    <w:p>
      <w:pPr>
        <w:pStyle w:val="ListParagraph"/>
        <w:numPr>
          <w:ilvl w:val="0"/>
          <w:numId w:val="5"/>
        </w:numPr>
        <w:tabs>
          <w:tab w:pos="1302" w:val="left" w:leader="none"/>
        </w:tabs>
        <w:spacing w:line="240" w:lineRule="auto" w:before="1" w:after="0"/>
        <w:ind w:left="1301" w:right="0" w:hanging="602"/>
        <w:jc w:val="left"/>
        <w:rPr>
          <w:sz w:val="24"/>
        </w:rPr>
      </w:pPr>
      <w:r>
        <w:rPr>
          <w:sz w:val="24"/>
        </w:rPr>
        <w:t>巨额赎回的公告</w:t>
      </w:r>
    </w:p>
    <w:p>
      <w:pPr>
        <w:pStyle w:val="BodyText"/>
        <w:spacing w:line="364" w:lineRule="auto"/>
        <w:ind w:right="356" w:firstLine="479"/>
        <w:jc w:val="both"/>
      </w:pPr>
      <w:r>
        <w:rPr>
          <w:spacing w:val="-7"/>
        </w:rPr>
        <w:t>当发生巨额赎回并部分延期赎回时，基金管理人应立即向中国证监会备案并</w:t>
      </w:r>
      <w:r>
        <w:rPr>
          <w:spacing w:val="-12"/>
        </w:rPr>
        <w:t>按照《信息披露办法》的有关规定在 </w:t>
      </w:r>
      <w:r>
        <w:rPr/>
        <w:t>2</w:t>
      </w:r>
      <w:r>
        <w:rPr>
          <w:spacing w:val="-11"/>
        </w:rPr>
        <w:t> 日内在指定媒介上予以公告，并说明有关</w:t>
      </w:r>
      <w:r>
        <w:rPr/>
        <w:t>处理办法。</w:t>
      </w:r>
    </w:p>
    <w:p>
      <w:pPr>
        <w:pStyle w:val="BodyText"/>
        <w:spacing w:before="2"/>
        <w:ind w:left="700"/>
      </w:pPr>
      <w:r>
        <w:rPr>
          <w:rFonts w:ascii="Times New Roman" w:eastAsia="Times New Roman"/>
        </w:rPr>
        <w:t>3</w:t>
      </w:r>
      <w:r>
        <w:rPr/>
        <w:t>、连续巨额赎回的情形及处理方式</w:t>
      </w:r>
    </w:p>
    <w:p>
      <w:pPr>
        <w:pStyle w:val="BodyText"/>
        <w:spacing w:line="364" w:lineRule="auto" w:before="160"/>
        <w:ind w:right="359" w:firstLine="479"/>
        <w:jc w:val="both"/>
      </w:pPr>
      <w:r>
        <w:rPr>
          <w:spacing w:val="-6"/>
        </w:rPr>
        <w:t>基金连续两个开放日以上发生巨额赎回，如基金管理人认为有必要，可暂停</w:t>
      </w:r>
      <w:r>
        <w:rPr>
          <w:spacing w:val="-10"/>
        </w:rPr>
        <w:t>接受赎回申请；已经确认的赎回申请可以延期支付赎回款项，但不得超过正常支</w:t>
      </w:r>
      <w:r>
        <w:rPr>
          <w:spacing w:val="-1"/>
        </w:rPr>
        <w:t>付时间后的 </w:t>
      </w:r>
      <w:r>
        <w:rPr>
          <w:rFonts w:ascii="Times New Roman" w:eastAsia="Times New Roman"/>
        </w:rPr>
        <w:t>20 </w:t>
      </w:r>
      <w:r>
        <w:rPr/>
        <w:t>个工作日，并应当在指定媒介上公告。</w:t>
      </w:r>
    </w:p>
    <w:p>
      <w:pPr>
        <w:pStyle w:val="BodyText"/>
        <w:spacing w:before="3"/>
        <w:ind w:left="700"/>
      </w:pPr>
      <w:r>
        <w:rPr/>
        <w:t>（十一）与暂停申购和暂停赎回或延缓支付赎回款项相关的公告</w:t>
      </w:r>
    </w:p>
    <w:p>
      <w:pPr>
        <w:pStyle w:val="BodyText"/>
        <w:spacing w:line="364" w:lineRule="auto" w:before="160"/>
        <w:ind w:right="357" w:firstLine="479"/>
      </w:pPr>
      <w:r>
        <w:rPr>
          <w:spacing w:val="-5"/>
        </w:rPr>
        <w:t>发生上述暂停申购和暂停赎回或延缓支付赎回款项情况的，基金管理人应在</w:t>
      </w:r>
      <w:r>
        <w:rPr/>
        <w:t>规定期限内在指定媒介上刊登暂停公告。</w:t>
      </w:r>
    </w:p>
    <w:p>
      <w:pPr>
        <w:pStyle w:val="BodyText"/>
        <w:spacing w:line="364" w:lineRule="auto" w:before="1"/>
        <w:ind w:right="239" w:firstLine="479"/>
      </w:pPr>
      <w:r>
        <w:rPr>
          <w:spacing w:val="-12"/>
        </w:rPr>
        <w:t>暂停结束基金重新开放申购或赎回时，基金管理人应当依照《信息披露办法》</w:t>
      </w:r>
      <w:r>
        <w:rPr>
          <w:spacing w:val="-3"/>
        </w:rPr>
        <w:t>的有关规定在中国证监会指定媒介上刊登基金重新开放申购或赎回公告，并在重新开放申购或赎回日公告最近 </w:t>
      </w:r>
      <w:r>
        <w:rPr>
          <w:rFonts w:ascii="Times New Roman" w:eastAsia="Times New Roman"/>
          <w:spacing w:val="-3"/>
        </w:rPr>
        <w:t>1 </w:t>
      </w:r>
      <w:r>
        <w:rPr>
          <w:spacing w:val="-3"/>
        </w:rPr>
        <w:t>个工作日的基金份额净值。</w:t>
      </w:r>
    </w:p>
    <w:p>
      <w:pPr>
        <w:spacing w:after="0" w:line="364" w:lineRule="auto"/>
        <w:sectPr>
          <w:pgSz w:w="11910" w:h="16840"/>
          <w:pgMar w:header="874" w:footer="997" w:top="1380" w:bottom="1180" w:left="1580" w:right="1440"/>
        </w:sectPr>
      </w:pPr>
    </w:p>
    <w:p>
      <w:pPr>
        <w:pStyle w:val="BodyText"/>
        <w:spacing w:before="12"/>
        <w:ind w:left="0"/>
        <w:rPr>
          <w:sz w:val="17"/>
        </w:rPr>
      </w:pPr>
    </w:p>
    <w:p>
      <w:pPr>
        <w:pStyle w:val="Heading1"/>
        <w:ind w:right="143"/>
      </w:pPr>
      <w:bookmarkStart w:name="_bookmark8" w:id="9"/>
      <w:bookmarkEnd w:id="9"/>
      <w:r>
        <w:rPr>
          <w:b w:val="0"/>
        </w:rPr>
      </w:r>
      <w:r>
        <w:rPr/>
        <w:t>九、基金合同当事人及其权利和义务</w:t>
      </w:r>
    </w:p>
    <w:p>
      <w:pPr>
        <w:pStyle w:val="BodyText"/>
        <w:spacing w:before="0"/>
        <w:ind w:left="0"/>
        <w:rPr>
          <w:b/>
          <w:sz w:val="30"/>
        </w:rPr>
      </w:pPr>
    </w:p>
    <w:p>
      <w:pPr>
        <w:pStyle w:val="BodyText"/>
        <w:spacing w:before="8"/>
        <w:ind w:left="0"/>
        <w:rPr>
          <w:b/>
          <w:sz w:val="31"/>
        </w:rPr>
      </w:pPr>
    </w:p>
    <w:p>
      <w:pPr>
        <w:pStyle w:val="BodyText"/>
        <w:spacing w:before="0"/>
        <w:ind w:left="700"/>
      </w:pPr>
      <w:r>
        <w:rPr/>
        <w:t>（一）基金合同当事人</w:t>
      </w:r>
    </w:p>
    <w:p>
      <w:pPr>
        <w:pStyle w:val="BodyText"/>
        <w:spacing w:before="160"/>
        <w:ind w:left="700"/>
      </w:pPr>
      <w:r>
        <w:rPr>
          <w:rFonts w:ascii="Times New Roman" w:eastAsia="Times New Roman"/>
        </w:rPr>
        <w:t>1</w:t>
      </w:r>
      <w:r>
        <w:rPr/>
        <w:t>、基金管理人</w:t>
      </w:r>
    </w:p>
    <w:p>
      <w:pPr>
        <w:pStyle w:val="BodyText"/>
        <w:spacing w:line="364" w:lineRule="auto"/>
        <w:ind w:left="700" w:right="4585"/>
      </w:pPr>
      <w:r>
        <w:rPr/>
        <w:t>名称：景顺长城基金管理有限公司法定代表人：李进</w:t>
      </w:r>
    </w:p>
    <w:p>
      <w:pPr>
        <w:pStyle w:val="BodyText"/>
        <w:spacing w:before="2"/>
        <w:ind w:left="700"/>
      </w:pPr>
      <w:r>
        <w:rPr/>
        <w:t>成立时间：</w:t>
      </w:r>
      <w:r>
        <w:rPr>
          <w:rFonts w:ascii="Times New Roman" w:eastAsia="Times New Roman"/>
        </w:rPr>
        <w:t>2003 </w:t>
      </w:r>
      <w:r>
        <w:rPr/>
        <w:t>年 </w:t>
      </w:r>
      <w:r>
        <w:rPr>
          <w:rFonts w:ascii="Times New Roman" w:eastAsia="Times New Roman"/>
        </w:rPr>
        <w:t>6 </w:t>
      </w:r>
      <w:r>
        <w:rPr/>
        <w:t>月 </w:t>
      </w:r>
      <w:r>
        <w:rPr>
          <w:rFonts w:ascii="Times New Roman" w:eastAsia="Times New Roman"/>
        </w:rPr>
        <w:t>12 </w:t>
      </w:r>
      <w:r>
        <w:rPr/>
        <w:t>日</w:t>
      </w:r>
    </w:p>
    <w:p>
      <w:pPr>
        <w:pStyle w:val="BodyText"/>
        <w:spacing w:line="364" w:lineRule="auto" w:before="160"/>
        <w:ind w:left="700" w:right="2543"/>
      </w:pPr>
      <w:r>
        <w:rPr>
          <w:spacing w:val="-6"/>
        </w:rPr>
        <w:t>住所：深圳市中心四路 </w:t>
      </w:r>
      <w:r>
        <w:rPr>
          <w:rFonts w:ascii="Times New Roman" w:eastAsia="Times New Roman"/>
        </w:rPr>
        <w:t>1 </w:t>
      </w:r>
      <w:r>
        <w:rPr>
          <w:spacing w:val="-6"/>
        </w:rPr>
        <w:t>号嘉里建设广场第一座 </w:t>
      </w:r>
      <w:r>
        <w:rPr>
          <w:rFonts w:ascii="Times New Roman" w:eastAsia="Times New Roman"/>
        </w:rPr>
        <w:t>21 </w:t>
      </w:r>
      <w:r>
        <w:rPr>
          <w:spacing w:val="-17"/>
        </w:rPr>
        <w:t>层</w:t>
      </w:r>
      <w:r>
        <w:rPr/>
        <w:t>批准设立机关：中国证券监督管理委员会</w:t>
      </w:r>
    </w:p>
    <w:p>
      <w:pPr>
        <w:pStyle w:val="BodyText"/>
        <w:spacing w:line="364" w:lineRule="auto" w:before="1"/>
        <w:ind w:left="700" w:right="2603"/>
      </w:pPr>
      <w:r>
        <w:rPr/>
        <w:t>批准设立文号：中国证监会证监基金字【</w:t>
      </w:r>
      <w:r>
        <w:rPr>
          <w:rFonts w:ascii="Times New Roman" w:eastAsia="Times New Roman"/>
        </w:rPr>
        <w:t>2003</w:t>
      </w:r>
      <w:r>
        <w:rPr/>
        <w:t>】</w:t>
      </w:r>
      <w:r>
        <w:rPr>
          <w:rFonts w:ascii="Times New Roman" w:eastAsia="Times New Roman"/>
        </w:rPr>
        <w:t>76 </w:t>
      </w:r>
      <w:r>
        <w:rPr/>
        <w:t>号组织形式：有限责任公司</w:t>
      </w:r>
    </w:p>
    <w:p>
      <w:pPr>
        <w:pStyle w:val="BodyText"/>
        <w:spacing w:line="364" w:lineRule="auto" w:before="2"/>
        <w:ind w:left="700" w:right="5423"/>
      </w:pPr>
      <w:r>
        <w:rPr/>
        <w:t>注册资本：</w:t>
      </w:r>
      <w:r>
        <w:rPr>
          <w:rFonts w:ascii="Times New Roman" w:eastAsia="Times New Roman"/>
        </w:rPr>
        <w:t>1.3 </w:t>
      </w:r>
      <w:r>
        <w:rPr/>
        <w:t>亿元人民币存续期间：持续经营</w:t>
      </w:r>
    </w:p>
    <w:p>
      <w:pPr>
        <w:pStyle w:val="BodyText"/>
        <w:spacing w:before="1"/>
        <w:ind w:left="700"/>
      </w:pPr>
      <w:r>
        <w:rPr>
          <w:rFonts w:ascii="Times New Roman" w:eastAsia="Times New Roman"/>
        </w:rPr>
        <w:t>2</w:t>
      </w:r>
      <w:r>
        <w:rPr/>
        <w:t>、基金托管人</w:t>
      </w:r>
    </w:p>
    <w:p>
      <w:pPr>
        <w:pStyle w:val="BodyText"/>
        <w:ind w:left="700"/>
      </w:pPr>
      <w:r>
        <w:rPr/>
        <w:t>名称：中国银行股份有限公司</w:t>
      </w:r>
    </w:p>
    <w:p>
      <w:pPr>
        <w:pStyle w:val="BodyText"/>
        <w:spacing w:line="364" w:lineRule="auto" w:before="160"/>
        <w:ind w:left="700" w:right="4036"/>
      </w:pPr>
      <w:r>
        <w:rPr/>
        <w:t>住所：北京市西城区复兴门内大街 </w:t>
      </w:r>
      <w:r>
        <w:rPr>
          <w:rFonts w:ascii="Times New Roman" w:eastAsia="Times New Roman"/>
        </w:rPr>
        <w:t>1 </w:t>
      </w:r>
      <w:r>
        <w:rPr/>
        <w:t>号法定代表人：刘连舸</w:t>
      </w:r>
    </w:p>
    <w:p>
      <w:pPr>
        <w:pStyle w:val="BodyText"/>
        <w:spacing w:before="1"/>
        <w:ind w:left="700"/>
      </w:pPr>
      <w:r>
        <w:rPr/>
        <w:t>成立时间：</w:t>
      </w:r>
      <w:r>
        <w:rPr>
          <w:rFonts w:ascii="Times New Roman" w:eastAsia="Times New Roman"/>
        </w:rPr>
        <w:t>1983 </w:t>
      </w:r>
      <w:r>
        <w:rPr/>
        <w:t>年 </w:t>
      </w:r>
      <w:r>
        <w:rPr>
          <w:rFonts w:ascii="Times New Roman" w:eastAsia="Times New Roman"/>
        </w:rPr>
        <w:t>10 </w:t>
      </w:r>
      <w:r>
        <w:rPr/>
        <w:t>月 </w:t>
      </w:r>
      <w:r>
        <w:rPr>
          <w:rFonts w:ascii="Times New Roman" w:eastAsia="Times New Roman"/>
        </w:rPr>
        <w:t>31 </w:t>
      </w:r>
      <w:r>
        <w:rPr/>
        <w:t>日</w:t>
      </w:r>
    </w:p>
    <w:p>
      <w:pPr>
        <w:pStyle w:val="BodyText"/>
        <w:spacing w:line="364" w:lineRule="auto"/>
        <w:ind w:right="361" w:firstLine="479"/>
      </w:pPr>
      <w:r>
        <w:rPr>
          <w:spacing w:val="-7"/>
        </w:rPr>
        <w:t>批准设立机关和批准设立文号：国务院批转中国人民银行《关于改革中国银</w:t>
      </w:r>
      <w:r>
        <w:rPr/>
        <w:t>行体制的请示报告》</w:t>
      </w:r>
    </w:p>
    <w:p>
      <w:pPr>
        <w:pStyle w:val="BodyText"/>
        <w:spacing w:before="2"/>
        <w:ind w:left="700"/>
      </w:pPr>
      <w:r>
        <w:rPr/>
        <w:t>（国发</w:t>
      </w:r>
      <w:r>
        <w:rPr>
          <w:rFonts w:ascii="Times New Roman" w:eastAsia="Times New Roman"/>
        </w:rPr>
        <w:t>[1979]72 </w:t>
      </w:r>
      <w:r>
        <w:rPr/>
        <w:t>号）</w:t>
      </w:r>
    </w:p>
    <w:p>
      <w:pPr>
        <w:pStyle w:val="BodyText"/>
        <w:spacing w:before="160"/>
        <w:ind w:left="700"/>
      </w:pPr>
      <w:r>
        <w:rPr/>
        <w:t>组织形式：股份有限公司</w:t>
      </w:r>
    </w:p>
    <w:p>
      <w:pPr>
        <w:pStyle w:val="BodyText"/>
        <w:spacing w:line="364" w:lineRule="auto"/>
        <w:ind w:left="700" w:right="357"/>
      </w:pPr>
      <w:r>
        <w:rPr>
          <w:spacing w:val="-11"/>
        </w:rPr>
        <w:t>注册资本：人民币贰仟柒佰玖拾壹亿肆仟柒佰贰拾贰万叁仟壹佰玖拾伍元整</w:t>
      </w:r>
      <w:r>
        <w:rPr/>
        <w:t>存续期间：持续经营</w:t>
      </w:r>
    </w:p>
    <w:p>
      <w:pPr>
        <w:pStyle w:val="BodyText"/>
        <w:spacing w:before="1"/>
        <w:ind w:left="700"/>
      </w:pPr>
      <w:r>
        <w:rPr/>
        <w:t>基金托管资格批文及文号：中国证监会证监基字【</w:t>
      </w:r>
      <w:r>
        <w:rPr>
          <w:rFonts w:ascii="Times New Roman" w:eastAsia="Times New Roman"/>
        </w:rPr>
        <w:t>1998</w:t>
      </w:r>
      <w:r>
        <w:rPr/>
        <w:t>】</w:t>
      </w:r>
      <w:r>
        <w:rPr>
          <w:rFonts w:ascii="Times New Roman" w:eastAsia="Times New Roman"/>
        </w:rPr>
        <w:t>24 </w:t>
      </w:r>
      <w:r>
        <w:rPr/>
        <w:t>号</w:t>
      </w:r>
    </w:p>
    <w:p>
      <w:pPr>
        <w:pStyle w:val="BodyText"/>
        <w:spacing w:before="0"/>
        <w:ind w:left="0"/>
        <w:rPr>
          <w:sz w:val="26"/>
        </w:rPr>
      </w:pPr>
    </w:p>
    <w:p>
      <w:pPr>
        <w:pStyle w:val="BodyText"/>
        <w:spacing w:before="0"/>
        <w:ind w:left="0"/>
        <w:rPr>
          <w:sz w:val="23"/>
        </w:rPr>
      </w:pPr>
    </w:p>
    <w:p>
      <w:pPr>
        <w:pStyle w:val="BodyText"/>
        <w:spacing w:before="1"/>
        <w:ind w:left="700"/>
      </w:pPr>
      <w:r>
        <w:rPr>
          <w:rFonts w:ascii="Times New Roman" w:eastAsia="Times New Roman"/>
        </w:rPr>
        <w:t>3</w:t>
      </w:r>
      <w:r>
        <w:rPr/>
        <w:t>、基金份额持有人</w:t>
      </w:r>
    </w:p>
    <w:p>
      <w:pPr>
        <w:pStyle w:val="BodyText"/>
        <w:spacing w:line="364" w:lineRule="auto"/>
        <w:ind w:right="244" w:firstLine="479"/>
      </w:pPr>
      <w:r>
        <w:rPr/>
        <w:t>基金投资者购买本基金基金份额的行为即视为对本基金合同的承认和接受， 基金投资者自取得依据本基金合同发售的基金份额，即成为基金份额持有人和本</w:t>
      </w:r>
    </w:p>
    <w:p>
      <w:pPr>
        <w:spacing w:after="0" w:line="364" w:lineRule="auto"/>
        <w:sectPr>
          <w:pgSz w:w="11910" w:h="16840"/>
          <w:pgMar w:header="874" w:footer="997" w:top="1380" w:bottom="1180" w:left="1580" w:right="1440"/>
        </w:sectPr>
      </w:pPr>
    </w:p>
    <w:p>
      <w:pPr>
        <w:pStyle w:val="BodyText"/>
        <w:spacing w:line="364" w:lineRule="auto" w:before="130"/>
        <w:ind w:right="359"/>
      </w:pPr>
      <w:r>
        <w:rPr>
          <w:spacing w:val="-9"/>
        </w:rPr>
        <w:t>基金合同的当事人，直至其不再持有本基金的基金份额。基金份额持有人作为当</w:t>
      </w:r>
      <w:r>
        <w:rPr/>
        <w:t>事人并不以在本基金合同上书面签章为必要条件。</w:t>
      </w:r>
    </w:p>
    <w:p>
      <w:pPr>
        <w:pStyle w:val="BodyText"/>
        <w:spacing w:before="0"/>
        <w:ind w:left="0"/>
      </w:pPr>
    </w:p>
    <w:p>
      <w:pPr>
        <w:pStyle w:val="BodyText"/>
        <w:ind w:left="700"/>
      </w:pPr>
      <w:r>
        <w:rPr/>
        <w:t>（二）基金管理人的权利与义务</w:t>
      </w:r>
    </w:p>
    <w:p>
      <w:pPr>
        <w:pStyle w:val="BodyText"/>
        <w:ind w:left="700"/>
      </w:pPr>
      <w:r>
        <w:rPr>
          <w:rFonts w:ascii="Times New Roman" w:eastAsia="Times New Roman"/>
        </w:rPr>
        <w:t>1</w:t>
      </w:r>
      <w:r>
        <w:rPr/>
        <w:t>、基金管理人的权利</w:t>
      </w:r>
    </w:p>
    <w:p>
      <w:pPr>
        <w:pStyle w:val="ListParagraph"/>
        <w:numPr>
          <w:ilvl w:val="0"/>
          <w:numId w:val="6"/>
        </w:numPr>
        <w:tabs>
          <w:tab w:pos="1302" w:val="left" w:leader="none"/>
        </w:tabs>
        <w:spacing w:line="240" w:lineRule="auto" w:before="160" w:after="0"/>
        <w:ind w:left="1301" w:right="0" w:hanging="602"/>
        <w:jc w:val="left"/>
        <w:rPr>
          <w:sz w:val="24"/>
        </w:rPr>
      </w:pPr>
      <w:r>
        <w:rPr>
          <w:sz w:val="24"/>
        </w:rPr>
        <w:t>依法募集基金，办理基金备案手续；</w:t>
      </w:r>
    </w:p>
    <w:p>
      <w:pPr>
        <w:pStyle w:val="ListParagraph"/>
        <w:numPr>
          <w:ilvl w:val="0"/>
          <w:numId w:val="6"/>
        </w:numPr>
        <w:tabs>
          <w:tab w:pos="1302" w:val="left" w:leader="none"/>
        </w:tabs>
        <w:spacing w:line="364" w:lineRule="auto" w:before="161" w:after="0"/>
        <w:ind w:left="220" w:right="364" w:firstLine="479"/>
        <w:jc w:val="left"/>
        <w:rPr>
          <w:sz w:val="24"/>
        </w:rPr>
      </w:pPr>
      <w:r>
        <w:rPr>
          <w:spacing w:val="-1"/>
          <w:sz w:val="24"/>
        </w:rPr>
        <w:t>自本基金合同生效之日起，依法并依照基金合同的规定独立运用基金</w:t>
      </w:r>
      <w:r>
        <w:rPr>
          <w:sz w:val="24"/>
        </w:rPr>
        <w:t>财产；</w:t>
      </w:r>
    </w:p>
    <w:p>
      <w:pPr>
        <w:pStyle w:val="ListParagraph"/>
        <w:numPr>
          <w:ilvl w:val="0"/>
          <w:numId w:val="6"/>
        </w:numPr>
        <w:tabs>
          <w:tab w:pos="1302" w:val="left" w:leader="none"/>
        </w:tabs>
        <w:spacing w:line="240" w:lineRule="auto" w:before="2" w:after="0"/>
        <w:ind w:left="1301" w:right="0" w:hanging="602"/>
        <w:jc w:val="left"/>
        <w:rPr>
          <w:sz w:val="24"/>
        </w:rPr>
      </w:pPr>
      <w:r>
        <w:rPr>
          <w:sz w:val="24"/>
        </w:rPr>
        <w:t>依据有关法律规定及本基金合同决定基金收益分配方案；</w:t>
      </w:r>
    </w:p>
    <w:p>
      <w:pPr>
        <w:pStyle w:val="ListParagraph"/>
        <w:numPr>
          <w:ilvl w:val="0"/>
          <w:numId w:val="6"/>
        </w:numPr>
        <w:tabs>
          <w:tab w:pos="1302" w:val="left" w:leader="none"/>
        </w:tabs>
        <w:spacing w:line="240" w:lineRule="auto" w:before="160" w:after="0"/>
        <w:ind w:left="1301" w:right="0" w:hanging="602"/>
        <w:jc w:val="left"/>
        <w:rPr>
          <w:sz w:val="24"/>
        </w:rPr>
      </w:pPr>
      <w:r>
        <w:rPr>
          <w:sz w:val="24"/>
        </w:rPr>
        <w:t>根据基金合同的规定，获取基金管理费及其他约定和法定的收入；</w:t>
      </w:r>
    </w:p>
    <w:p>
      <w:pPr>
        <w:pStyle w:val="ListParagraph"/>
        <w:numPr>
          <w:ilvl w:val="0"/>
          <w:numId w:val="6"/>
        </w:numPr>
        <w:tabs>
          <w:tab w:pos="1302" w:val="left" w:leader="none"/>
        </w:tabs>
        <w:spacing w:line="364" w:lineRule="auto" w:before="161" w:after="0"/>
        <w:ind w:left="220" w:right="364" w:firstLine="479"/>
        <w:jc w:val="left"/>
        <w:rPr>
          <w:sz w:val="24"/>
        </w:rPr>
      </w:pPr>
      <w:r>
        <w:rPr>
          <w:spacing w:val="-1"/>
          <w:sz w:val="24"/>
        </w:rPr>
        <w:t>在符合有关法律法规的前提下，并经中国证监会批准后，制订和调整</w:t>
      </w:r>
      <w:r>
        <w:rPr>
          <w:sz w:val="24"/>
        </w:rPr>
        <w:t>开放式基金业务规则，决定本基金的相关费率结构和收费方式；</w:t>
      </w:r>
    </w:p>
    <w:p>
      <w:pPr>
        <w:pStyle w:val="ListParagraph"/>
        <w:numPr>
          <w:ilvl w:val="0"/>
          <w:numId w:val="6"/>
        </w:numPr>
        <w:tabs>
          <w:tab w:pos="1302" w:val="left" w:leader="none"/>
        </w:tabs>
        <w:spacing w:line="240" w:lineRule="auto" w:before="1" w:after="0"/>
        <w:ind w:left="1301" w:right="0" w:hanging="602"/>
        <w:jc w:val="left"/>
        <w:rPr>
          <w:sz w:val="24"/>
        </w:rPr>
      </w:pPr>
      <w:r>
        <w:rPr>
          <w:sz w:val="24"/>
        </w:rPr>
        <w:t>销售基金份额，获取认（申）购费；</w:t>
      </w:r>
    </w:p>
    <w:p>
      <w:pPr>
        <w:pStyle w:val="ListParagraph"/>
        <w:numPr>
          <w:ilvl w:val="0"/>
          <w:numId w:val="6"/>
        </w:numPr>
        <w:tabs>
          <w:tab w:pos="1302" w:val="left" w:leader="none"/>
        </w:tabs>
        <w:spacing w:line="240" w:lineRule="auto" w:before="160" w:after="0"/>
        <w:ind w:left="1301" w:right="0" w:hanging="602"/>
        <w:jc w:val="left"/>
        <w:rPr>
          <w:sz w:val="24"/>
        </w:rPr>
      </w:pPr>
      <w:r>
        <w:rPr>
          <w:sz w:val="24"/>
        </w:rPr>
        <w:t>选择和更换代销机构，并对其销售代理行为进行必要的监督；</w:t>
      </w:r>
    </w:p>
    <w:p>
      <w:pPr>
        <w:pStyle w:val="ListParagraph"/>
        <w:numPr>
          <w:ilvl w:val="0"/>
          <w:numId w:val="6"/>
        </w:numPr>
        <w:tabs>
          <w:tab w:pos="1302" w:val="left" w:leader="none"/>
        </w:tabs>
        <w:spacing w:line="364" w:lineRule="auto" w:before="161" w:after="0"/>
        <w:ind w:left="220" w:right="364" w:firstLine="479"/>
        <w:jc w:val="left"/>
        <w:rPr>
          <w:sz w:val="24"/>
        </w:rPr>
      </w:pPr>
      <w:r>
        <w:rPr>
          <w:spacing w:val="-1"/>
          <w:sz w:val="24"/>
        </w:rPr>
        <w:t>依照有关法律法规，代表基金行使因运营基金财产而产生的股权、债</w:t>
      </w:r>
      <w:r>
        <w:rPr>
          <w:sz w:val="24"/>
        </w:rPr>
        <w:t>权及其他权利；</w:t>
      </w:r>
    </w:p>
    <w:p>
      <w:pPr>
        <w:pStyle w:val="ListParagraph"/>
        <w:numPr>
          <w:ilvl w:val="0"/>
          <w:numId w:val="6"/>
        </w:numPr>
        <w:tabs>
          <w:tab w:pos="1302" w:val="left" w:leader="none"/>
        </w:tabs>
        <w:spacing w:line="364" w:lineRule="auto" w:before="2" w:after="0"/>
        <w:ind w:left="220" w:right="364" w:firstLine="479"/>
        <w:jc w:val="left"/>
        <w:rPr>
          <w:sz w:val="24"/>
        </w:rPr>
      </w:pPr>
      <w:r>
        <w:rPr>
          <w:spacing w:val="-1"/>
          <w:sz w:val="24"/>
        </w:rPr>
        <w:t>担任注册登记人或选择和更换注册登记代理机构，并对其注册登记代</w:t>
      </w:r>
      <w:r>
        <w:rPr>
          <w:sz w:val="24"/>
        </w:rPr>
        <w:t>理行为进行必要的监督；</w:t>
      </w:r>
    </w:p>
    <w:p>
      <w:pPr>
        <w:pStyle w:val="ListParagraph"/>
        <w:numPr>
          <w:ilvl w:val="0"/>
          <w:numId w:val="6"/>
        </w:numPr>
        <w:tabs>
          <w:tab w:pos="1422" w:val="left" w:leader="none"/>
        </w:tabs>
        <w:spacing w:line="364" w:lineRule="auto" w:before="1" w:after="0"/>
        <w:ind w:left="220" w:right="244" w:firstLine="479"/>
        <w:jc w:val="left"/>
        <w:rPr>
          <w:sz w:val="24"/>
        </w:rPr>
      </w:pPr>
      <w:r>
        <w:rPr>
          <w:spacing w:val="-1"/>
          <w:sz w:val="24"/>
        </w:rPr>
        <w:t>基金合同规定的情形出现时，决定暂停或拒绝受理基金份额的申购、</w:t>
      </w:r>
      <w:r>
        <w:rPr>
          <w:sz w:val="24"/>
        </w:rPr>
        <w:t>暂停受理基金份额的赎回申请或延缓支付赎回款项；</w:t>
      </w:r>
    </w:p>
    <w:p>
      <w:pPr>
        <w:pStyle w:val="ListParagraph"/>
        <w:numPr>
          <w:ilvl w:val="0"/>
          <w:numId w:val="6"/>
        </w:numPr>
        <w:tabs>
          <w:tab w:pos="1412" w:val="left" w:leader="none"/>
        </w:tabs>
        <w:spacing w:line="364" w:lineRule="auto" w:before="1" w:after="0"/>
        <w:ind w:left="220" w:right="239" w:firstLine="479"/>
        <w:jc w:val="left"/>
        <w:rPr>
          <w:sz w:val="24"/>
        </w:rPr>
      </w:pPr>
      <w:r>
        <w:rPr>
          <w:spacing w:val="-6"/>
          <w:sz w:val="24"/>
        </w:rPr>
        <w:t>监督基金托管人，如认为基金托管人违反基金合同或有关法律法规的</w:t>
      </w:r>
      <w:r>
        <w:rPr>
          <w:spacing w:val="-18"/>
          <w:sz w:val="24"/>
        </w:rPr>
        <w:t>规定，呈报中国证监会和其他监管部门，并采取必要措施保护基金投资者的利益；</w:t>
      </w:r>
    </w:p>
    <w:p>
      <w:pPr>
        <w:pStyle w:val="ListParagraph"/>
        <w:numPr>
          <w:ilvl w:val="0"/>
          <w:numId w:val="6"/>
        </w:numPr>
        <w:tabs>
          <w:tab w:pos="1422" w:val="left" w:leader="none"/>
        </w:tabs>
        <w:spacing w:line="364" w:lineRule="auto" w:before="2" w:after="0"/>
        <w:ind w:left="220" w:right="357" w:firstLine="479"/>
        <w:jc w:val="left"/>
        <w:rPr>
          <w:sz w:val="24"/>
        </w:rPr>
      </w:pPr>
      <w:r>
        <w:rPr>
          <w:spacing w:val="-7"/>
          <w:sz w:val="24"/>
        </w:rPr>
        <w:t>以自身名义，代表基金份额持有人利益行使诉讼权利或者实施其他</w:t>
      </w:r>
      <w:r>
        <w:rPr>
          <w:spacing w:val="-4"/>
          <w:sz w:val="24"/>
        </w:rPr>
        <w:t>法律行为；</w:t>
      </w:r>
    </w:p>
    <w:p>
      <w:pPr>
        <w:pStyle w:val="ListParagraph"/>
        <w:numPr>
          <w:ilvl w:val="0"/>
          <w:numId w:val="6"/>
        </w:numPr>
        <w:tabs>
          <w:tab w:pos="1422" w:val="left" w:leader="none"/>
        </w:tabs>
        <w:spacing w:line="240" w:lineRule="auto" w:before="1" w:after="0"/>
        <w:ind w:left="1421" w:right="0" w:hanging="722"/>
        <w:jc w:val="left"/>
        <w:rPr>
          <w:sz w:val="24"/>
        </w:rPr>
      </w:pPr>
      <w:r>
        <w:rPr>
          <w:sz w:val="24"/>
        </w:rPr>
        <w:t>召集基金份额持有人大会；</w:t>
      </w:r>
    </w:p>
    <w:p>
      <w:pPr>
        <w:pStyle w:val="ListParagraph"/>
        <w:numPr>
          <w:ilvl w:val="0"/>
          <w:numId w:val="6"/>
        </w:numPr>
        <w:tabs>
          <w:tab w:pos="1422" w:val="left" w:leader="none"/>
        </w:tabs>
        <w:spacing w:line="240" w:lineRule="auto" w:before="160" w:after="0"/>
        <w:ind w:left="1421" w:right="0" w:hanging="722"/>
        <w:jc w:val="left"/>
        <w:rPr>
          <w:sz w:val="24"/>
        </w:rPr>
      </w:pPr>
      <w:r>
        <w:rPr>
          <w:sz w:val="24"/>
        </w:rPr>
        <w:t>在更换基金托管人时，提名新任基金托管人；</w:t>
      </w:r>
    </w:p>
    <w:p>
      <w:pPr>
        <w:pStyle w:val="ListParagraph"/>
        <w:numPr>
          <w:ilvl w:val="0"/>
          <w:numId w:val="6"/>
        </w:numPr>
        <w:tabs>
          <w:tab w:pos="1422" w:val="left" w:leader="none"/>
        </w:tabs>
        <w:spacing w:line="240" w:lineRule="auto" w:before="161" w:after="0"/>
        <w:ind w:left="1421" w:right="0" w:hanging="722"/>
        <w:jc w:val="left"/>
        <w:rPr>
          <w:sz w:val="24"/>
        </w:rPr>
      </w:pPr>
      <w:r>
        <w:rPr>
          <w:sz w:val="24"/>
        </w:rPr>
        <w:t>法律法规及基金合同规定的其他权利。</w:t>
      </w:r>
    </w:p>
    <w:p>
      <w:pPr>
        <w:spacing w:after="0" w:line="240" w:lineRule="auto"/>
        <w:jc w:val="left"/>
        <w:rPr>
          <w:sz w:val="24"/>
        </w:rPr>
        <w:sectPr>
          <w:pgSz w:w="11910" w:h="16840"/>
          <w:pgMar w:header="874" w:footer="997" w:top="1380" w:bottom="1180" w:left="1580" w:right="1440"/>
        </w:sectPr>
      </w:pPr>
    </w:p>
    <w:p>
      <w:pPr>
        <w:pStyle w:val="BodyText"/>
        <w:spacing w:before="130"/>
        <w:ind w:left="700"/>
      </w:pPr>
      <w:r>
        <w:rPr>
          <w:rFonts w:ascii="Times New Roman" w:eastAsia="Times New Roman"/>
        </w:rPr>
        <w:t>2</w:t>
      </w:r>
      <w:r>
        <w:rPr/>
        <w:t>、基金管理人的义务</w:t>
      </w:r>
    </w:p>
    <w:p>
      <w:pPr>
        <w:pStyle w:val="BodyText"/>
        <w:spacing w:line="364" w:lineRule="auto" w:before="160"/>
        <w:ind w:left="700" w:right="4050"/>
      </w:pPr>
      <w:r>
        <w:rPr>
          <w:rFonts w:ascii="Times New Roman" w:eastAsia="Times New Roman"/>
        </w:rPr>
        <w:t>(1)</w:t>
      </w:r>
      <w:r>
        <w:rPr/>
        <w:t>依法募集基金，办理基金备案手续； </w:t>
      </w:r>
      <w:r>
        <w:rPr>
          <w:rFonts w:ascii="Times New Roman" w:eastAsia="Times New Roman"/>
        </w:rPr>
        <w:t>(2)</w:t>
      </w:r>
      <w:r>
        <w:rPr/>
        <w:t>遵守基金合同；</w:t>
      </w:r>
    </w:p>
    <w:p>
      <w:pPr>
        <w:pStyle w:val="ListParagraph"/>
        <w:numPr>
          <w:ilvl w:val="0"/>
          <w:numId w:val="7"/>
        </w:numPr>
        <w:tabs>
          <w:tab w:pos="982" w:val="left" w:leader="none"/>
        </w:tabs>
        <w:spacing w:line="364" w:lineRule="auto" w:before="1" w:after="0"/>
        <w:ind w:left="220" w:right="367" w:firstLine="479"/>
        <w:jc w:val="left"/>
        <w:rPr>
          <w:sz w:val="24"/>
        </w:rPr>
      </w:pPr>
      <w:r>
        <w:rPr>
          <w:sz w:val="24"/>
        </w:rPr>
        <w:t>自基金合同生效之日起，以诚实信用、勤勉尽责的原则管理和运用基金财产；</w:t>
      </w:r>
    </w:p>
    <w:p>
      <w:pPr>
        <w:pStyle w:val="ListParagraph"/>
        <w:numPr>
          <w:ilvl w:val="0"/>
          <w:numId w:val="7"/>
        </w:numPr>
        <w:tabs>
          <w:tab w:pos="982" w:val="left" w:leader="none"/>
        </w:tabs>
        <w:spacing w:line="364" w:lineRule="auto" w:before="2" w:after="0"/>
        <w:ind w:left="220" w:right="367" w:firstLine="479"/>
        <w:jc w:val="left"/>
        <w:rPr>
          <w:sz w:val="24"/>
        </w:rPr>
      </w:pPr>
      <w:r>
        <w:rPr>
          <w:sz w:val="24"/>
        </w:rPr>
        <w:t>配备足够的具有专业资格的人员进行基金投资分析、决策，以专业化的经营方式管理和运作基金财产；</w:t>
      </w:r>
    </w:p>
    <w:p>
      <w:pPr>
        <w:pStyle w:val="ListParagraph"/>
        <w:numPr>
          <w:ilvl w:val="0"/>
          <w:numId w:val="7"/>
        </w:numPr>
        <w:tabs>
          <w:tab w:pos="982" w:val="left" w:leader="none"/>
        </w:tabs>
        <w:spacing w:line="364" w:lineRule="auto" w:before="1" w:after="0"/>
        <w:ind w:left="220" w:right="367" w:firstLine="479"/>
        <w:jc w:val="left"/>
        <w:rPr>
          <w:sz w:val="24"/>
        </w:rPr>
      </w:pPr>
      <w:r>
        <w:rPr>
          <w:sz w:val="24"/>
        </w:rPr>
        <w:t>设置相应的部门并配备足够的专业人员办理基金份额的认购、申购、赎回及其他业务或委托其他机构代理这些业务；</w:t>
      </w:r>
    </w:p>
    <w:p>
      <w:pPr>
        <w:pStyle w:val="ListParagraph"/>
        <w:numPr>
          <w:ilvl w:val="0"/>
          <w:numId w:val="7"/>
        </w:numPr>
        <w:tabs>
          <w:tab w:pos="982" w:val="left" w:leader="none"/>
        </w:tabs>
        <w:spacing w:line="364" w:lineRule="auto" w:before="2" w:after="0"/>
        <w:ind w:left="220" w:right="367" w:firstLine="479"/>
        <w:jc w:val="left"/>
        <w:rPr>
          <w:sz w:val="24"/>
        </w:rPr>
      </w:pPr>
      <w:r>
        <w:rPr>
          <w:sz w:val="24"/>
        </w:rPr>
        <w:t>设置相应的部门并配备足够的专业人员办理基金的注册登记工作或委托其他机构代理该项业务；</w:t>
      </w:r>
    </w:p>
    <w:p>
      <w:pPr>
        <w:pStyle w:val="ListParagraph"/>
        <w:numPr>
          <w:ilvl w:val="0"/>
          <w:numId w:val="7"/>
        </w:numPr>
        <w:tabs>
          <w:tab w:pos="982" w:val="left" w:leader="none"/>
        </w:tabs>
        <w:spacing w:line="364" w:lineRule="auto" w:before="1" w:after="0"/>
        <w:ind w:left="220" w:right="244" w:firstLine="479"/>
        <w:jc w:val="left"/>
        <w:rPr>
          <w:sz w:val="24"/>
        </w:rPr>
      </w:pPr>
      <w:r>
        <w:rPr>
          <w:sz w:val="24"/>
        </w:rPr>
        <w:t>建立健全内部风险控制、监察与稽核、财务管理及人事管理等制度，保</w:t>
      </w:r>
      <w:r>
        <w:rPr>
          <w:spacing w:val="-1"/>
          <w:sz w:val="24"/>
        </w:rPr>
        <w:t>证所管理的基金财产和管理人的财产相互独立，对所管理的不同基金分别管理， </w:t>
      </w:r>
      <w:r>
        <w:rPr>
          <w:sz w:val="24"/>
        </w:rPr>
        <w:t>分别记账，进行证券投资；</w:t>
      </w:r>
    </w:p>
    <w:p>
      <w:pPr>
        <w:pStyle w:val="ListParagraph"/>
        <w:numPr>
          <w:ilvl w:val="0"/>
          <w:numId w:val="7"/>
        </w:numPr>
        <w:tabs>
          <w:tab w:pos="982" w:val="left" w:leader="none"/>
        </w:tabs>
        <w:spacing w:line="364" w:lineRule="auto" w:before="2" w:after="0"/>
        <w:ind w:left="220" w:right="356" w:firstLine="479"/>
        <w:jc w:val="left"/>
        <w:rPr>
          <w:sz w:val="24"/>
        </w:rPr>
      </w:pPr>
      <w:r>
        <w:rPr>
          <w:spacing w:val="-13"/>
          <w:sz w:val="24"/>
        </w:rPr>
        <w:t>除依据《基金法》、基金合同及其他有关规定外，不得以基金财产为自己</w:t>
      </w:r>
      <w:r>
        <w:rPr>
          <w:sz w:val="24"/>
        </w:rPr>
        <w:t>及任何第三人谋取利益，不得委托第三人运作基金财产；</w:t>
      </w:r>
    </w:p>
    <w:p>
      <w:pPr>
        <w:pStyle w:val="ListParagraph"/>
        <w:numPr>
          <w:ilvl w:val="0"/>
          <w:numId w:val="7"/>
        </w:numPr>
        <w:tabs>
          <w:tab w:pos="982" w:val="left" w:leader="none"/>
        </w:tabs>
        <w:spacing w:line="240" w:lineRule="auto" w:before="1" w:after="0"/>
        <w:ind w:left="981" w:right="0" w:hanging="282"/>
        <w:jc w:val="left"/>
        <w:rPr>
          <w:sz w:val="24"/>
        </w:rPr>
      </w:pPr>
      <w:r>
        <w:rPr>
          <w:sz w:val="24"/>
        </w:rPr>
        <w:t>依法接受基金托管人的监督；</w:t>
      </w:r>
    </w:p>
    <w:p>
      <w:pPr>
        <w:pStyle w:val="ListParagraph"/>
        <w:numPr>
          <w:ilvl w:val="0"/>
          <w:numId w:val="7"/>
        </w:numPr>
        <w:tabs>
          <w:tab w:pos="1102" w:val="left" w:leader="none"/>
        </w:tabs>
        <w:spacing w:line="240" w:lineRule="auto" w:before="161" w:after="0"/>
        <w:ind w:left="1101" w:right="0" w:hanging="402"/>
        <w:jc w:val="left"/>
        <w:rPr>
          <w:sz w:val="24"/>
        </w:rPr>
      </w:pPr>
      <w:r>
        <w:rPr>
          <w:sz w:val="24"/>
        </w:rPr>
        <w:t>按规定计算并公告基金净值信息；</w:t>
      </w:r>
    </w:p>
    <w:p>
      <w:pPr>
        <w:pStyle w:val="ListParagraph"/>
        <w:numPr>
          <w:ilvl w:val="0"/>
          <w:numId w:val="7"/>
        </w:numPr>
        <w:tabs>
          <w:tab w:pos="1091" w:val="left" w:leader="none"/>
        </w:tabs>
        <w:spacing w:line="364" w:lineRule="auto" w:before="160" w:after="0"/>
        <w:ind w:left="220" w:right="357" w:firstLine="479"/>
        <w:jc w:val="left"/>
        <w:rPr>
          <w:sz w:val="24"/>
        </w:rPr>
      </w:pPr>
      <w:r>
        <w:rPr>
          <w:spacing w:val="-3"/>
          <w:sz w:val="24"/>
        </w:rPr>
        <w:t>采取适当合理的措施使计算开放式基金份额认购、申购、赎回和注销价</w:t>
      </w:r>
      <w:r>
        <w:rPr>
          <w:sz w:val="24"/>
        </w:rPr>
        <w:t>格的方法符合基金合同等法律文件的规定；</w:t>
      </w:r>
    </w:p>
    <w:p>
      <w:pPr>
        <w:pStyle w:val="ListParagraph"/>
        <w:numPr>
          <w:ilvl w:val="0"/>
          <w:numId w:val="7"/>
        </w:numPr>
        <w:tabs>
          <w:tab w:pos="1102" w:val="left" w:leader="none"/>
        </w:tabs>
        <w:spacing w:line="364" w:lineRule="auto" w:before="1" w:after="0"/>
        <w:ind w:left="220" w:right="366" w:firstLine="479"/>
        <w:jc w:val="left"/>
        <w:rPr>
          <w:sz w:val="24"/>
        </w:rPr>
      </w:pPr>
      <w:r>
        <w:rPr>
          <w:spacing w:val="-25"/>
          <w:sz w:val="24"/>
        </w:rPr>
        <w:t>严格按照《基金法》、《运作办法》、《销售办法》、和本基金合同及其他有关规定，受理并办理申购、赎回申请，及时、足额支付赎回款项；</w:t>
      </w:r>
    </w:p>
    <w:p>
      <w:pPr>
        <w:pStyle w:val="ListParagraph"/>
        <w:numPr>
          <w:ilvl w:val="0"/>
          <w:numId w:val="7"/>
        </w:numPr>
        <w:tabs>
          <w:tab w:pos="1102" w:val="left" w:leader="none"/>
        </w:tabs>
        <w:spacing w:line="364" w:lineRule="auto" w:before="2" w:after="0"/>
        <w:ind w:left="220" w:right="357" w:firstLine="479"/>
        <w:jc w:val="left"/>
        <w:rPr>
          <w:sz w:val="24"/>
        </w:rPr>
      </w:pPr>
      <w:r>
        <w:rPr>
          <w:spacing w:val="-24"/>
          <w:sz w:val="24"/>
        </w:rPr>
        <w:t>严格按照《基金法》、《信息披露办法》、《运作办法》和本基金合同及其</w:t>
      </w:r>
      <w:r>
        <w:rPr>
          <w:sz w:val="24"/>
        </w:rPr>
        <w:t>他有关规定履行信息披露及报告义务；</w:t>
      </w:r>
    </w:p>
    <w:p>
      <w:pPr>
        <w:pStyle w:val="ListParagraph"/>
        <w:numPr>
          <w:ilvl w:val="0"/>
          <w:numId w:val="7"/>
        </w:numPr>
        <w:tabs>
          <w:tab w:pos="1102" w:val="left" w:leader="none"/>
        </w:tabs>
        <w:spacing w:line="364" w:lineRule="auto" w:before="1" w:after="0"/>
        <w:ind w:left="220" w:right="357" w:firstLine="479"/>
        <w:jc w:val="both"/>
        <w:rPr>
          <w:sz w:val="24"/>
        </w:rPr>
      </w:pPr>
      <w:r>
        <w:rPr>
          <w:spacing w:val="-26"/>
          <w:sz w:val="24"/>
        </w:rPr>
        <w:t>保守基金商业秘密，不得泄露基金投资计划、投资意向等。除《基金法》、</w:t>
      </w:r>
      <w:r>
        <w:rPr>
          <w:spacing w:val="-6"/>
          <w:sz w:val="24"/>
        </w:rPr>
        <w:t>基金合同及其他有关规定另有规定外，在基金信息公开披露前应予保密，不得向</w:t>
      </w:r>
      <w:r>
        <w:rPr>
          <w:sz w:val="24"/>
        </w:rPr>
        <w:t>他人泄露；</w:t>
      </w:r>
    </w:p>
    <w:p>
      <w:pPr>
        <w:pStyle w:val="ListParagraph"/>
        <w:numPr>
          <w:ilvl w:val="0"/>
          <w:numId w:val="7"/>
        </w:numPr>
        <w:tabs>
          <w:tab w:pos="1102" w:val="left" w:leader="none"/>
        </w:tabs>
        <w:spacing w:line="364" w:lineRule="auto" w:before="2" w:after="0"/>
        <w:ind w:left="220" w:right="357" w:firstLine="479"/>
        <w:jc w:val="left"/>
        <w:rPr>
          <w:sz w:val="24"/>
        </w:rPr>
      </w:pPr>
      <w:r>
        <w:rPr>
          <w:spacing w:val="-2"/>
          <w:sz w:val="24"/>
        </w:rPr>
        <w:t>按基金合同的约定确定基金收益分配方案，及时向基金份额持有人分配</w:t>
      </w:r>
      <w:r>
        <w:rPr>
          <w:sz w:val="24"/>
        </w:rPr>
        <w:t>收益；</w:t>
      </w:r>
    </w:p>
    <w:p>
      <w:pPr>
        <w:spacing w:after="0" w:line="364" w:lineRule="auto"/>
        <w:jc w:val="left"/>
        <w:rPr>
          <w:sz w:val="24"/>
        </w:rPr>
        <w:sectPr>
          <w:pgSz w:w="11910" w:h="16840"/>
          <w:pgMar w:header="874" w:footer="997" w:top="1380" w:bottom="1180" w:left="1580" w:right="1440"/>
        </w:sectPr>
      </w:pPr>
    </w:p>
    <w:p>
      <w:pPr>
        <w:pStyle w:val="ListParagraph"/>
        <w:numPr>
          <w:ilvl w:val="0"/>
          <w:numId w:val="7"/>
        </w:numPr>
        <w:tabs>
          <w:tab w:pos="1102" w:val="left" w:leader="none"/>
        </w:tabs>
        <w:spacing w:line="240" w:lineRule="auto" w:before="130" w:after="0"/>
        <w:ind w:left="1101" w:right="0" w:hanging="402"/>
        <w:jc w:val="left"/>
        <w:rPr>
          <w:sz w:val="24"/>
        </w:rPr>
      </w:pPr>
      <w:r>
        <w:rPr>
          <w:sz w:val="24"/>
        </w:rPr>
        <w:t>不谋求对上市公司的控股和直接管理；</w:t>
      </w:r>
    </w:p>
    <w:p>
      <w:pPr>
        <w:pStyle w:val="ListParagraph"/>
        <w:numPr>
          <w:ilvl w:val="0"/>
          <w:numId w:val="7"/>
        </w:numPr>
        <w:tabs>
          <w:tab w:pos="1102" w:val="left" w:leader="none"/>
        </w:tabs>
        <w:spacing w:line="364" w:lineRule="auto" w:before="160" w:after="0"/>
        <w:ind w:left="220" w:right="366" w:firstLine="479"/>
        <w:jc w:val="left"/>
        <w:rPr>
          <w:sz w:val="24"/>
        </w:rPr>
      </w:pPr>
      <w:r>
        <w:rPr>
          <w:spacing w:val="-10"/>
          <w:sz w:val="24"/>
        </w:rPr>
        <w:t>依据《基金法》、基金合同及其他有关规定召集基金份额持有人大会或配合基金托管人、基金份额持有人依法召集基金份额持有人大会；</w:t>
      </w:r>
    </w:p>
    <w:p>
      <w:pPr>
        <w:pStyle w:val="ListParagraph"/>
        <w:numPr>
          <w:ilvl w:val="0"/>
          <w:numId w:val="7"/>
        </w:numPr>
        <w:tabs>
          <w:tab w:pos="1102" w:val="left" w:leader="none"/>
        </w:tabs>
        <w:spacing w:line="240" w:lineRule="auto" w:before="1" w:after="0"/>
        <w:ind w:left="1101" w:right="0" w:hanging="402"/>
        <w:jc w:val="left"/>
        <w:rPr>
          <w:rFonts w:ascii="Times New Roman" w:eastAsia="Times New Roman"/>
          <w:sz w:val="24"/>
        </w:rPr>
      </w:pPr>
      <w:r>
        <w:rPr>
          <w:spacing w:val="-11"/>
          <w:sz w:val="24"/>
        </w:rPr>
        <w:t>编制季度、中期报告和年度报告；保存基金的会计账册、报表、记录 </w:t>
      </w:r>
      <w:r>
        <w:rPr>
          <w:rFonts w:ascii="Times New Roman" w:eastAsia="Times New Roman"/>
          <w:sz w:val="24"/>
        </w:rPr>
        <w:t>15</w:t>
      </w:r>
    </w:p>
    <w:p>
      <w:pPr>
        <w:pStyle w:val="BodyText"/>
      </w:pPr>
      <w:r>
        <w:rPr/>
        <w:t>年以上；</w:t>
      </w:r>
    </w:p>
    <w:p>
      <w:pPr>
        <w:pStyle w:val="ListParagraph"/>
        <w:numPr>
          <w:ilvl w:val="0"/>
          <w:numId w:val="7"/>
        </w:numPr>
        <w:tabs>
          <w:tab w:pos="1102" w:val="left" w:leader="none"/>
        </w:tabs>
        <w:spacing w:line="364" w:lineRule="auto" w:before="160" w:after="0"/>
        <w:ind w:left="220" w:right="355" w:firstLine="479"/>
        <w:jc w:val="both"/>
        <w:rPr>
          <w:sz w:val="24"/>
        </w:rPr>
      </w:pPr>
      <w:r>
        <w:rPr>
          <w:spacing w:val="-2"/>
          <w:sz w:val="24"/>
        </w:rPr>
        <w:t>确保向基金投资者提供的各项文件或资料在规定时间发出；并且保证投</w:t>
      </w:r>
      <w:r>
        <w:rPr>
          <w:sz w:val="24"/>
        </w:rPr>
        <w:t>资者能够按照基金合同或招募说明书公告的时间和方式查阅与基金有关的公开资料，并得到有关资料的复印件；</w:t>
      </w:r>
    </w:p>
    <w:p>
      <w:pPr>
        <w:pStyle w:val="ListParagraph"/>
        <w:numPr>
          <w:ilvl w:val="0"/>
          <w:numId w:val="7"/>
        </w:numPr>
        <w:tabs>
          <w:tab w:pos="1102" w:val="left" w:leader="none"/>
        </w:tabs>
        <w:spacing w:line="364" w:lineRule="auto" w:before="3" w:after="0"/>
        <w:ind w:left="220" w:right="355" w:firstLine="479"/>
        <w:jc w:val="left"/>
        <w:rPr>
          <w:sz w:val="24"/>
        </w:rPr>
      </w:pPr>
      <w:r>
        <w:rPr>
          <w:spacing w:val="-4"/>
          <w:sz w:val="24"/>
        </w:rPr>
        <w:t>组织并参加基金财产清算小组，参与基金财产的保管、清理、估价、变</w:t>
      </w:r>
      <w:r>
        <w:rPr>
          <w:sz w:val="24"/>
        </w:rPr>
        <w:t>现和分配；</w:t>
      </w:r>
    </w:p>
    <w:p>
      <w:pPr>
        <w:pStyle w:val="ListParagraph"/>
        <w:numPr>
          <w:ilvl w:val="0"/>
          <w:numId w:val="7"/>
        </w:numPr>
        <w:tabs>
          <w:tab w:pos="1102" w:val="left" w:leader="none"/>
        </w:tabs>
        <w:spacing w:line="364" w:lineRule="auto" w:before="1" w:after="0"/>
        <w:ind w:left="220" w:right="357" w:firstLine="479"/>
        <w:jc w:val="left"/>
        <w:rPr>
          <w:sz w:val="24"/>
        </w:rPr>
      </w:pPr>
      <w:r>
        <w:rPr>
          <w:spacing w:val="-4"/>
          <w:sz w:val="24"/>
        </w:rPr>
        <w:t>面临解散、依法被撤销、破产或者由接管人接管其资产时，及时报告中</w:t>
      </w:r>
      <w:r>
        <w:rPr>
          <w:sz w:val="24"/>
        </w:rPr>
        <w:t>国证监会并通知基金托管人；</w:t>
      </w:r>
    </w:p>
    <w:p>
      <w:pPr>
        <w:pStyle w:val="ListParagraph"/>
        <w:numPr>
          <w:ilvl w:val="0"/>
          <w:numId w:val="7"/>
        </w:numPr>
        <w:tabs>
          <w:tab w:pos="1102" w:val="left" w:leader="none"/>
        </w:tabs>
        <w:spacing w:line="364" w:lineRule="auto" w:before="1" w:after="0"/>
        <w:ind w:left="220" w:right="357" w:firstLine="479"/>
        <w:jc w:val="left"/>
        <w:rPr>
          <w:sz w:val="24"/>
        </w:rPr>
      </w:pPr>
      <w:r>
        <w:rPr>
          <w:spacing w:val="-2"/>
          <w:sz w:val="24"/>
        </w:rPr>
        <w:t>因违反基金合同导致基金财产损失或损害基金份额持有人合法权益，应</w:t>
      </w:r>
      <w:r>
        <w:rPr>
          <w:sz w:val="24"/>
        </w:rPr>
        <w:t>当承担赔偿责任，其赔偿责任不因其退任而免除；</w:t>
      </w:r>
    </w:p>
    <w:p>
      <w:pPr>
        <w:pStyle w:val="ListParagraph"/>
        <w:numPr>
          <w:ilvl w:val="0"/>
          <w:numId w:val="7"/>
        </w:numPr>
        <w:tabs>
          <w:tab w:pos="1102" w:val="left" w:leader="none"/>
        </w:tabs>
        <w:spacing w:line="364" w:lineRule="auto" w:before="2" w:after="0"/>
        <w:ind w:left="220" w:right="356" w:firstLine="479"/>
        <w:jc w:val="left"/>
        <w:rPr>
          <w:sz w:val="24"/>
        </w:rPr>
      </w:pPr>
      <w:r>
        <w:rPr>
          <w:spacing w:val="-3"/>
          <w:sz w:val="24"/>
        </w:rPr>
        <w:t>因估值错误导致基金持有人的损失，应承担赔偿责任，其赔偿责任不因</w:t>
      </w:r>
      <w:r>
        <w:rPr>
          <w:sz w:val="24"/>
        </w:rPr>
        <w:t>其退任而免除；</w:t>
      </w:r>
    </w:p>
    <w:p>
      <w:pPr>
        <w:pStyle w:val="ListParagraph"/>
        <w:numPr>
          <w:ilvl w:val="0"/>
          <w:numId w:val="7"/>
        </w:numPr>
        <w:tabs>
          <w:tab w:pos="1102" w:val="left" w:leader="none"/>
        </w:tabs>
        <w:spacing w:line="364" w:lineRule="auto" w:before="1" w:after="0"/>
        <w:ind w:left="220" w:right="357" w:firstLine="479"/>
        <w:jc w:val="left"/>
        <w:rPr>
          <w:sz w:val="24"/>
        </w:rPr>
      </w:pPr>
      <w:r>
        <w:rPr>
          <w:spacing w:val="-2"/>
          <w:sz w:val="24"/>
        </w:rPr>
        <w:t>基金托管人因违反基金合同造成基金财产损失时，应代表基金向基金托</w:t>
      </w:r>
      <w:r>
        <w:rPr>
          <w:sz w:val="24"/>
        </w:rPr>
        <w:t>管人追偿；</w:t>
      </w:r>
    </w:p>
    <w:p>
      <w:pPr>
        <w:pStyle w:val="ListParagraph"/>
        <w:numPr>
          <w:ilvl w:val="0"/>
          <w:numId w:val="7"/>
        </w:numPr>
        <w:tabs>
          <w:tab w:pos="1102" w:val="left" w:leader="none"/>
        </w:tabs>
        <w:spacing w:line="240" w:lineRule="auto" w:before="1" w:after="0"/>
        <w:ind w:left="1101" w:right="0" w:hanging="402"/>
        <w:jc w:val="left"/>
        <w:rPr>
          <w:sz w:val="24"/>
        </w:rPr>
      </w:pPr>
      <w:r>
        <w:rPr>
          <w:sz w:val="24"/>
        </w:rPr>
        <w:t>为基金聘请会计师和律师；</w:t>
      </w:r>
    </w:p>
    <w:p>
      <w:pPr>
        <w:pStyle w:val="ListParagraph"/>
        <w:numPr>
          <w:ilvl w:val="0"/>
          <w:numId w:val="7"/>
        </w:numPr>
        <w:tabs>
          <w:tab w:pos="1102" w:val="left" w:leader="none"/>
        </w:tabs>
        <w:spacing w:line="240" w:lineRule="auto" w:before="161" w:after="0"/>
        <w:ind w:left="1101" w:right="0" w:hanging="402"/>
        <w:jc w:val="left"/>
        <w:rPr>
          <w:sz w:val="24"/>
        </w:rPr>
      </w:pPr>
      <w:r>
        <w:rPr>
          <w:sz w:val="24"/>
        </w:rPr>
        <w:t>不从事任何有损基金及其他基金当事人利益的活动；</w:t>
      </w:r>
    </w:p>
    <w:p>
      <w:pPr>
        <w:pStyle w:val="ListParagraph"/>
        <w:numPr>
          <w:ilvl w:val="0"/>
          <w:numId w:val="7"/>
        </w:numPr>
        <w:tabs>
          <w:tab w:pos="1102" w:val="left" w:leader="none"/>
        </w:tabs>
        <w:spacing w:line="364" w:lineRule="auto" w:before="160" w:after="0"/>
        <w:ind w:left="700" w:right="583" w:firstLine="0"/>
        <w:jc w:val="left"/>
        <w:rPr>
          <w:sz w:val="24"/>
        </w:rPr>
      </w:pPr>
      <w:r>
        <w:rPr>
          <w:spacing w:val="-1"/>
          <w:sz w:val="24"/>
        </w:rPr>
        <w:t>以基金管理人名义代表基金份额持有人利益行使诉讼权及其他权力； </w:t>
      </w:r>
      <w:r>
        <w:rPr>
          <w:rFonts w:ascii="Times New Roman" w:eastAsia="Times New Roman"/>
          <w:sz w:val="24"/>
        </w:rPr>
        <w:t>(28)</w:t>
      </w:r>
      <w:r>
        <w:rPr>
          <w:sz w:val="24"/>
        </w:rPr>
        <w:t>执行生效的基金份额持有人大会决议；</w:t>
      </w:r>
    </w:p>
    <w:p>
      <w:pPr>
        <w:pStyle w:val="BodyText"/>
        <w:spacing w:before="2"/>
        <w:ind w:left="700"/>
      </w:pPr>
      <w:r>
        <w:rPr>
          <w:rFonts w:ascii="Times New Roman" w:eastAsia="Times New Roman"/>
          <w:w w:val="95"/>
        </w:rPr>
        <w:t>(29)</w:t>
      </w:r>
      <w:r>
        <w:rPr>
          <w:w w:val="95"/>
        </w:rPr>
        <w:t>法律法规及基金合同规定的其他义务。</w:t>
      </w:r>
    </w:p>
    <w:p>
      <w:pPr>
        <w:pStyle w:val="BodyText"/>
        <w:spacing w:before="0"/>
        <w:ind w:left="0"/>
        <w:rPr>
          <w:sz w:val="26"/>
        </w:rPr>
      </w:pPr>
    </w:p>
    <w:p>
      <w:pPr>
        <w:pStyle w:val="BodyText"/>
        <w:spacing w:before="0"/>
        <w:ind w:left="0"/>
        <w:rPr>
          <w:sz w:val="26"/>
        </w:rPr>
      </w:pPr>
    </w:p>
    <w:p>
      <w:pPr>
        <w:pStyle w:val="BodyText"/>
        <w:spacing w:before="7"/>
        <w:ind w:left="0"/>
        <w:rPr>
          <w:sz w:val="33"/>
        </w:rPr>
      </w:pPr>
    </w:p>
    <w:p>
      <w:pPr>
        <w:pStyle w:val="BodyText"/>
        <w:spacing w:before="0"/>
        <w:ind w:left="700"/>
      </w:pPr>
      <w:r>
        <w:rPr/>
        <w:t>（三）基金托管人的权利与义务</w:t>
      </w:r>
    </w:p>
    <w:p>
      <w:pPr>
        <w:pStyle w:val="BodyText"/>
        <w:ind w:left="700"/>
      </w:pPr>
      <w:r>
        <w:rPr>
          <w:rFonts w:ascii="Times New Roman" w:eastAsia="Times New Roman"/>
        </w:rPr>
        <w:t>1</w:t>
      </w:r>
      <w:r>
        <w:rPr/>
        <w:t>、基金托管人的权利</w:t>
      </w:r>
    </w:p>
    <w:p>
      <w:pPr>
        <w:pStyle w:val="ListParagraph"/>
        <w:numPr>
          <w:ilvl w:val="0"/>
          <w:numId w:val="8"/>
        </w:numPr>
        <w:tabs>
          <w:tab w:pos="1302" w:val="left" w:leader="none"/>
        </w:tabs>
        <w:spacing w:line="240" w:lineRule="auto" w:before="160" w:after="0"/>
        <w:ind w:left="1301" w:right="0" w:hanging="602"/>
        <w:jc w:val="left"/>
        <w:rPr>
          <w:sz w:val="24"/>
        </w:rPr>
      </w:pPr>
      <w:r>
        <w:rPr>
          <w:sz w:val="24"/>
        </w:rPr>
        <w:t>依法持有并保管基金财产；</w:t>
      </w:r>
    </w:p>
    <w:p>
      <w:pPr>
        <w:pStyle w:val="ListParagraph"/>
        <w:numPr>
          <w:ilvl w:val="0"/>
          <w:numId w:val="8"/>
        </w:numPr>
        <w:tabs>
          <w:tab w:pos="1302" w:val="left" w:leader="none"/>
        </w:tabs>
        <w:spacing w:line="240" w:lineRule="auto" w:before="161" w:after="0"/>
        <w:ind w:left="1301" w:right="0" w:hanging="602"/>
        <w:jc w:val="left"/>
        <w:rPr>
          <w:sz w:val="24"/>
        </w:rPr>
      </w:pPr>
      <w:r>
        <w:rPr>
          <w:sz w:val="24"/>
        </w:rPr>
        <w:t>获取基金托管费；</w:t>
      </w:r>
    </w:p>
    <w:p>
      <w:pPr>
        <w:spacing w:after="0" w:line="240" w:lineRule="auto"/>
        <w:jc w:val="left"/>
        <w:rPr>
          <w:sz w:val="24"/>
        </w:rPr>
        <w:sectPr>
          <w:pgSz w:w="11910" w:h="16840"/>
          <w:pgMar w:header="874" w:footer="997" w:top="1380" w:bottom="1180" w:left="1580" w:right="1440"/>
        </w:sectPr>
      </w:pPr>
    </w:p>
    <w:p>
      <w:pPr>
        <w:pStyle w:val="ListParagraph"/>
        <w:numPr>
          <w:ilvl w:val="0"/>
          <w:numId w:val="8"/>
        </w:numPr>
        <w:tabs>
          <w:tab w:pos="1302" w:val="left" w:leader="none"/>
        </w:tabs>
        <w:spacing w:line="240" w:lineRule="auto" w:before="130" w:after="0"/>
        <w:ind w:left="1301" w:right="0" w:hanging="602"/>
        <w:jc w:val="left"/>
        <w:rPr>
          <w:sz w:val="24"/>
        </w:rPr>
      </w:pPr>
      <w:r>
        <w:rPr>
          <w:sz w:val="24"/>
        </w:rPr>
        <w:t>监督本基金的投资运作；</w:t>
      </w:r>
    </w:p>
    <w:p>
      <w:pPr>
        <w:pStyle w:val="ListParagraph"/>
        <w:numPr>
          <w:ilvl w:val="0"/>
          <w:numId w:val="8"/>
        </w:numPr>
        <w:tabs>
          <w:tab w:pos="1302" w:val="left" w:leader="none"/>
        </w:tabs>
        <w:spacing w:line="364" w:lineRule="auto" w:before="160" w:after="0"/>
        <w:ind w:left="220" w:right="359" w:firstLine="479"/>
        <w:jc w:val="both"/>
        <w:rPr>
          <w:sz w:val="24"/>
        </w:rPr>
      </w:pPr>
      <w:r>
        <w:rPr>
          <w:sz w:val="24"/>
        </w:rPr>
        <w:t>监督基金管理人，如认为基金管理人违反基金合同或有关法律法规的</w:t>
      </w:r>
      <w:r>
        <w:rPr>
          <w:spacing w:val="-11"/>
          <w:sz w:val="24"/>
        </w:rPr>
        <w:t>规定，应呈报中国证监会和其他监管部门，并采取必要措施保护基金投资者的利</w:t>
      </w:r>
      <w:r>
        <w:rPr>
          <w:sz w:val="24"/>
        </w:rPr>
        <w:t>益；</w:t>
      </w:r>
    </w:p>
    <w:p>
      <w:pPr>
        <w:pStyle w:val="ListParagraph"/>
        <w:numPr>
          <w:ilvl w:val="0"/>
          <w:numId w:val="8"/>
        </w:numPr>
        <w:tabs>
          <w:tab w:pos="1302" w:val="left" w:leader="none"/>
        </w:tabs>
        <w:spacing w:line="240" w:lineRule="auto" w:before="2" w:after="0"/>
        <w:ind w:left="1301" w:right="0" w:hanging="602"/>
        <w:jc w:val="left"/>
        <w:rPr>
          <w:sz w:val="24"/>
        </w:rPr>
      </w:pPr>
      <w:r>
        <w:rPr>
          <w:sz w:val="24"/>
        </w:rPr>
        <w:t>在更换基金管理人时，提名新任基金管理人；</w:t>
      </w:r>
    </w:p>
    <w:p>
      <w:pPr>
        <w:pStyle w:val="ListParagraph"/>
        <w:numPr>
          <w:ilvl w:val="0"/>
          <w:numId w:val="8"/>
        </w:numPr>
        <w:tabs>
          <w:tab w:pos="1302" w:val="left" w:leader="none"/>
        </w:tabs>
        <w:spacing w:line="240" w:lineRule="auto" w:before="160" w:after="0"/>
        <w:ind w:left="1301" w:right="0" w:hanging="602"/>
        <w:jc w:val="left"/>
        <w:rPr>
          <w:sz w:val="24"/>
        </w:rPr>
      </w:pPr>
      <w:r>
        <w:rPr>
          <w:sz w:val="24"/>
        </w:rPr>
        <w:t>提议召开基金份额持有人大会；</w:t>
      </w:r>
    </w:p>
    <w:p>
      <w:pPr>
        <w:pStyle w:val="ListParagraph"/>
        <w:numPr>
          <w:ilvl w:val="0"/>
          <w:numId w:val="8"/>
        </w:numPr>
        <w:tabs>
          <w:tab w:pos="1302" w:val="left" w:leader="none"/>
        </w:tabs>
        <w:spacing w:line="240" w:lineRule="auto" w:before="161" w:after="0"/>
        <w:ind w:left="1301" w:right="0" w:hanging="602"/>
        <w:jc w:val="left"/>
        <w:rPr>
          <w:sz w:val="24"/>
        </w:rPr>
      </w:pPr>
      <w:r>
        <w:rPr>
          <w:sz w:val="24"/>
        </w:rPr>
        <w:t>法律法规及基金合同规定的其他权利。</w:t>
      </w:r>
    </w:p>
    <w:p>
      <w:pPr>
        <w:pStyle w:val="BodyText"/>
        <w:ind w:left="700"/>
      </w:pPr>
      <w:r>
        <w:rPr>
          <w:rFonts w:ascii="Times New Roman" w:eastAsia="Times New Roman"/>
        </w:rPr>
        <w:t>2</w:t>
      </w:r>
      <w:r>
        <w:rPr/>
        <w:t>、基金托管人的义务</w:t>
      </w:r>
    </w:p>
    <w:p>
      <w:pPr>
        <w:pStyle w:val="ListParagraph"/>
        <w:numPr>
          <w:ilvl w:val="0"/>
          <w:numId w:val="9"/>
        </w:numPr>
        <w:tabs>
          <w:tab w:pos="1302" w:val="left" w:leader="none"/>
        </w:tabs>
        <w:spacing w:line="240" w:lineRule="auto" w:before="161" w:after="0"/>
        <w:ind w:left="1301" w:right="0" w:hanging="602"/>
        <w:jc w:val="left"/>
        <w:rPr>
          <w:sz w:val="24"/>
        </w:rPr>
      </w:pPr>
      <w:r>
        <w:rPr>
          <w:sz w:val="24"/>
        </w:rPr>
        <w:t>遵守基金合同；</w:t>
      </w:r>
    </w:p>
    <w:p>
      <w:pPr>
        <w:pStyle w:val="ListParagraph"/>
        <w:numPr>
          <w:ilvl w:val="0"/>
          <w:numId w:val="9"/>
        </w:numPr>
        <w:tabs>
          <w:tab w:pos="1302" w:val="left" w:leader="none"/>
        </w:tabs>
        <w:spacing w:line="240" w:lineRule="auto" w:before="160" w:after="0"/>
        <w:ind w:left="1301" w:right="0" w:hanging="602"/>
        <w:jc w:val="left"/>
        <w:rPr>
          <w:sz w:val="24"/>
        </w:rPr>
      </w:pPr>
      <w:r>
        <w:rPr>
          <w:sz w:val="24"/>
        </w:rPr>
        <w:t>以诚实信用、勤勉尽责的原则安全保管基金财产；</w:t>
      </w:r>
    </w:p>
    <w:p>
      <w:pPr>
        <w:pStyle w:val="ListParagraph"/>
        <w:numPr>
          <w:ilvl w:val="0"/>
          <w:numId w:val="9"/>
        </w:numPr>
        <w:tabs>
          <w:tab w:pos="1302" w:val="left" w:leader="none"/>
        </w:tabs>
        <w:spacing w:line="364" w:lineRule="auto" w:before="161" w:after="0"/>
        <w:ind w:left="220" w:right="364" w:firstLine="479"/>
        <w:jc w:val="left"/>
        <w:rPr>
          <w:sz w:val="24"/>
        </w:rPr>
      </w:pPr>
      <w:r>
        <w:rPr>
          <w:spacing w:val="-1"/>
          <w:sz w:val="24"/>
        </w:rPr>
        <w:t>设有专门的基金托管部门，具有符合要求的营业场所，配备足够的、</w:t>
      </w:r>
      <w:r>
        <w:rPr>
          <w:sz w:val="24"/>
        </w:rPr>
        <w:t>合格的熟悉基金托管业务的专职人员，负责基金财产托管事宜；</w:t>
      </w:r>
    </w:p>
    <w:p>
      <w:pPr>
        <w:pStyle w:val="ListParagraph"/>
        <w:numPr>
          <w:ilvl w:val="0"/>
          <w:numId w:val="9"/>
        </w:numPr>
        <w:tabs>
          <w:tab w:pos="1302" w:val="left" w:leader="none"/>
        </w:tabs>
        <w:spacing w:line="364" w:lineRule="auto" w:before="1" w:after="0"/>
        <w:ind w:left="220" w:right="361" w:firstLine="479"/>
        <w:jc w:val="left"/>
        <w:rPr>
          <w:sz w:val="24"/>
        </w:rPr>
      </w:pPr>
      <w:r>
        <w:rPr>
          <w:spacing w:val="-23"/>
          <w:sz w:val="24"/>
        </w:rPr>
        <w:t>除依据《基金法》、《运作办法》、基金合同及其他有关规定外，不得委</w:t>
      </w:r>
      <w:r>
        <w:rPr>
          <w:sz w:val="24"/>
        </w:rPr>
        <w:t>托其他人托管基金财产；</w:t>
      </w:r>
    </w:p>
    <w:p>
      <w:pPr>
        <w:pStyle w:val="ListParagraph"/>
        <w:numPr>
          <w:ilvl w:val="0"/>
          <w:numId w:val="9"/>
        </w:numPr>
        <w:tabs>
          <w:tab w:pos="1302" w:val="left" w:leader="none"/>
        </w:tabs>
        <w:spacing w:line="240" w:lineRule="auto" w:before="1" w:after="0"/>
        <w:ind w:left="1301" w:right="0" w:hanging="602"/>
        <w:jc w:val="left"/>
        <w:rPr>
          <w:sz w:val="24"/>
        </w:rPr>
      </w:pPr>
      <w:r>
        <w:rPr>
          <w:sz w:val="24"/>
        </w:rPr>
        <w:t>复核、审查基金管理人计算的基金资产净值及基金份额净值；</w:t>
      </w:r>
    </w:p>
    <w:p>
      <w:pPr>
        <w:pStyle w:val="ListParagraph"/>
        <w:numPr>
          <w:ilvl w:val="0"/>
          <w:numId w:val="9"/>
        </w:numPr>
        <w:tabs>
          <w:tab w:pos="1302" w:val="left" w:leader="none"/>
        </w:tabs>
        <w:spacing w:line="364" w:lineRule="auto" w:before="161" w:after="0"/>
        <w:ind w:left="220" w:right="357" w:firstLine="479"/>
        <w:jc w:val="both"/>
        <w:rPr>
          <w:sz w:val="24"/>
        </w:rPr>
      </w:pPr>
      <w:r>
        <w:rPr>
          <w:sz w:val="24"/>
        </w:rPr>
        <w:t>建立健全内部风险控制、监察与稽核、财务管理及人事管理等制度， </w:t>
      </w:r>
      <w:r>
        <w:rPr>
          <w:spacing w:val="-11"/>
          <w:sz w:val="24"/>
        </w:rPr>
        <w:t>确保基金财产的安全，保证其托管的基金财产与基金托管人自有资产以及不同的</w:t>
      </w:r>
      <w:r>
        <w:rPr>
          <w:spacing w:val="-7"/>
          <w:sz w:val="24"/>
        </w:rPr>
        <w:t>基金财产相互独立；对不同的基金分别设置账户，独立核算，分账管理，保证不</w:t>
      </w:r>
      <w:r>
        <w:rPr>
          <w:sz w:val="24"/>
        </w:rPr>
        <w:t>同基金之间在账户设置、资金划拨、账册记录等方面相互独立；</w:t>
      </w:r>
    </w:p>
    <w:p>
      <w:pPr>
        <w:pStyle w:val="ListParagraph"/>
        <w:numPr>
          <w:ilvl w:val="0"/>
          <w:numId w:val="9"/>
        </w:numPr>
        <w:tabs>
          <w:tab w:pos="1302" w:val="left" w:leader="none"/>
        </w:tabs>
        <w:spacing w:line="240" w:lineRule="auto" w:before="2" w:after="0"/>
        <w:ind w:left="1301" w:right="0" w:hanging="602"/>
        <w:jc w:val="left"/>
        <w:rPr>
          <w:sz w:val="24"/>
        </w:rPr>
      </w:pPr>
      <w:r>
        <w:rPr>
          <w:sz w:val="24"/>
        </w:rPr>
        <w:t>保管由基金管理人代表基金签订的与基金有关的重大合同及有关凭证；</w:t>
      </w:r>
    </w:p>
    <w:p>
      <w:pPr>
        <w:pStyle w:val="ListParagraph"/>
        <w:numPr>
          <w:ilvl w:val="0"/>
          <w:numId w:val="9"/>
        </w:numPr>
        <w:tabs>
          <w:tab w:pos="1302" w:val="left" w:leader="none"/>
        </w:tabs>
        <w:spacing w:line="364" w:lineRule="auto" w:before="161" w:after="0"/>
        <w:ind w:left="220" w:right="363" w:firstLine="479"/>
        <w:jc w:val="left"/>
        <w:rPr>
          <w:sz w:val="24"/>
        </w:rPr>
      </w:pPr>
      <w:r>
        <w:rPr>
          <w:spacing w:val="-1"/>
          <w:sz w:val="24"/>
        </w:rPr>
        <w:t>设立证券账户、银行存款账户等基金财产账户，负责基金投资于证券</w:t>
      </w:r>
      <w:r>
        <w:rPr>
          <w:sz w:val="24"/>
        </w:rPr>
        <w:t>的清算交割，执行基金管理人的投资指令，负责基金名下的资金往来；</w:t>
      </w:r>
    </w:p>
    <w:p>
      <w:pPr>
        <w:pStyle w:val="ListParagraph"/>
        <w:numPr>
          <w:ilvl w:val="0"/>
          <w:numId w:val="9"/>
        </w:numPr>
        <w:tabs>
          <w:tab w:pos="1302" w:val="left" w:leader="none"/>
        </w:tabs>
        <w:spacing w:line="364" w:lineRule="auto" w:before="2" w:after="0"/>
        <w:ind w:left="220" w:right="357" w:firstLine="479"/>
        <w:jc w:val="left"/>
        <w:rPr>
          <w:sz w:val="24"/>
        </w:rPr>
      </w:pPr>
      <w:r>
        <w:rPr>
          <w:spacing w:val="-23"/>
          <w:sz w:val="24"/>
        </w:rPr>
        <w:t>保守基金商业秘密，除《基金法》、《运作办法》、基金合同及其他有关</w:t>
      </w:r>
      <w:r>
        <w:rPr>
          <w:sz w:val="24"/>
        </w:rPr>
        <w:t>规定另有规定外，在基金信息公开披露前予以保密，不得向他人泄露；</w:t>
      </w:r>
    </w:p>
    <w:p>
      <w:pPr>
        <w:pStyle w:val="ListParagraph"/>
        <w:numPr>
          <w:ilvl w:val="0"/>
          <w:numId w:val="9"/>
        </w:numPr>
        <w:tabs>
          <w:tab w:pos="1422" w:val="left" w:leader="none"/>
        </w:tabs>
        <w:spacing w:line="364" w:lineRule="auto" w:before="1" w:after="0"/>
        <w:ind w:left="220" w:right="361" w:firstLine="479"/>
        <w:jc w:val="left"/>
        <w:rPr>
          <w:sz w:val="24"/>
        </w:rPr>
      </w:pPr>
      <w:r>
        <w:rPr>
          <w:spacing w:val="-3"/>
          <w:sz w:val="24"/>
        </w:rPr>
        <w:t>按规定出具基金业绩和基金托管情况的报告，并报中国证监会和中</w:t>
      </w:r>
      <w:r>
        <w:rPr>
          <w:spacing w:val="-5"/>
          <w:sz w:val="24"/>
        </w:rPr>
        <w:t>国银监会；</w:t>
      </w:r>
    </w:p>
    <w:p>
      <w:pPr>
        <w:pStyle w:val="ListParagraph"/>
        <w:numPr>
          <w:ilvl w:val="0"/>
          <w:numId w:val="9"/>
        </w:numPr>
        <w:tabs>
          <w:tab w:pos="1412" w:val="left" w:leader="none"/>
        </w:tabs>
        <w:spacing w:line="364" w:lineRule="auto" w:before="1" w:after="0"/>
        <w:ind w:left="220" w:right="357" w:firstLine="479"/>
        <w:jc w:val="left"/>
        <w:rPr>
          <w:sz w:val="24"/>
        </w:rPr>
      </w:pPr>
      <w:r>
        <w:rPr>
          <w:spacing w:val="-9"/>
          <w:sz w:val="24"/>
        </w:rPr>
        <w:t>采取适当、合理的措施，使基金份额的认购、申购、赎回等事项符合</w:t>
      </w:r>
      <w:r>
        <w:rPr>
          <w:sz w:val="24"/>
        </w:rPr>
        <w:t>基金合同等有关法律文件的规定；</w:t>
      </w:r>
    </w:p>
    <w:p>
      <w:pPr>
        <w:pStyle w:val="ListParagraph"/>
        <w:numPr>
          <w:ilvl w:val="0"/>
          <w:numId w:val="9"/>
        </w:numPr>
        <w:tabs>
          <w:tab w:pos="1422" w:val="left" w:leader="none"/>
        </w:tabs>
        <w:spacing w:line="240" w:lineRule="auto" w:before="2" w:after="0"/>
        <w:ind w:left="1421" w:right="0" w:hanging="722"/>
        <w:jc w:val="left"/>
        <w:rPr>
          <w:sz w:val="24"/>
        </w:rPr>
      </w:pPr>
      <w:r>
        <w:rPr>
          <w:spacing w:val="-17"/>
          <w:sz w:val="24"/>
        </w:rPr>
        <w:t>采取适当、合理的措施，使基金管理人用以计算基金份额认购、申购、</w:t>
      </w:r>
    </w:p>
    <w:p>
      <w:pPr>
        <w:spacing w:after="0" w:line="240" w:lineRule="auto"/>
        <w:jc w:val="left"/>
        <w:rPr>
          <w:sz w:val="24"/>
        </w:rPr>
        <w:sectPr>
          <w:pgSz w:w="11910" w:h="16840"/>
          <w:pgMar w:header="874" w:footer="997" w:top="1380" w:bottom="1180" w:left="1580" w:right="1440"/>
        </w:sectPr>
      </w:pPr>
    </w:p>
    <w:p>
      <w:pPr>
        <w:pStyle w:val="BodyText"/>
        <w:spacing w:before="130"/>
      </w:pPr>
      <w:r>
        <w:rPr/>
        <w:t>赎回和注销价格的方法符合基金合同等法律文件的规定；</w:t>
      </w:r>
    </w:p>
    <w:p>
      <w:pPr>
        <w:pStyle w:val="ListParagraph"/>
        <w:numPr>
          <w:ilvl w:val="0"/>
          <w:numId w:val="9"/>
        </w:numPr>
        <w:tabs>
          <w:tab w:pos="1422" w:val="left" w:leader="none"/>
        </w:tabs>
        <w:spacing w:line="364" w:lineRule="auto" w:before="160" w:after="0"/>
        <w:ind w:left="220" w:right="357" w:firstLine="479"/>
        <w:jc w:val="left"/>
        <w:rPr>
          <w:sz w:val="24"/>
        </w:rPr>
      </w:pPr>
      <w:r>
        <w:rPr>
          <w:spacing w:val="-9"/>
          <w:sz w:val="24"/>
        </w:rPr>
        <w:t>采取适当、合理的措施，使基金投资和融资符合基金合同等法律文</w:t>
      </w:r>
      <w:r>
        <w:rPr>
          <w:spacing w:val="-4"/>
          <w:sz w:val="24"/>
        </w:rPr>
        <w:t>件的规定；</w:t>
      </w:r>
    </w:p>
    <w:p>
      <w:pPr>
        <w:pStyle w:val="ListParagraph"/>
        <w:numPr>
          <w:ilvl w:val="0"/>
          <w:numId w:val="9"/>
        </w:numPr>
        <w:tabs>
          <w:tab w:pos="1422" w:val="left" w:leader="none"/>
        </w:tabs>
        <w:spacing w:line="364" w:lineRule="auto" w:before="1" w:after="0"/>
        <w:ind w:left="220" w:right="117" w:firstLine="479"/>
        <w:jc w:val="left"/>
        <w:rPr>
          <w:sz w:val="24"/>
        </w:rPr>
      </w:pPr>
      <w:r>
        <w:rPr>
          <w:spacing w:val="-6"/>
          <w:sz w:val="24"/>
        </w:rPr>
        <w:t>对基金财务会计报告、季度报告、中期报告和年度报告出具基金托管</w:t>
      </w:r>
      <w:r>
        <w:rPr>
          <w:spacing w:val="-13"/>
          <w:sz w:val="24"/>
        </w:rPr>
        <w:t>人意见，说明基金管理人在各重要方面的运作是否严格按照基金合同的规定进行； </w:t>
      </w:r>
      <w:r>
        <w:rPr>
          <w:spacing w:val="-5"/>
          <w:sz w:val="24"/>
        </w:rPr>
        <w:t>如果基金管理人有未执行基金合同规定的行为，还应当说明基金托管人是否采取 了适当的措施；</w:t>
      </w:r>
    </w:p>
    <w:p>
      <w:pPr>
        <w:pStyle w:val="ListParagraph"/>
        <w:numPr>
          <w:ilvl w:val="0"/>
          <w:numId w:val="9"/>
        </w:numPr>
        <w:tabs>
          <w:tab w:pos="1422" w:val="left" w:leader="none"/>
        </w:tabs>
        <w:spacing w:line="364" w:lineRule="auto" w:before="3" w:after="0"/>
        <w:ind w:left="220" w:right="361" w:firstLine="479"/>
        <w:jc w:val="left"/>
        <w:rPr>
          <w:sz w:val="24"/>
        </w:rPr>
      </w:pPr>
      <w:r>
        <w:rPr>
          <w:spacing w:val="-7"/>
          <w:sz w:val="24"/>
        </w:rPr>
        <w:t>按有关规定，保存基金的会计账册、报表和记录、基金份额持有人</w:t>
      </w:r>
      <w:r>
        <w:rPr>
          <w:spacing w:val="-6"/>
          <w:sz w:val="24"/>
        </w:rPr>
        <w:t>名册等 </w:t>
      </w:r>
      <w:r>
        <w:rPr>
          <w:rFonts w:ascii="Times New Roman" w:eastAsia="Times New Roman"/>
          <w:sz w:val="24"/>
        </w:rPr>
        <w:t>15 </w:t>
      </w:r>
      <w:r>
        <w:rPr>
          <w:sz w:val="24"/>
        </w:rPr>
        <w:t>年以上；</w:t>
      </w:r>
    </w:p>
    <w:p>
      <w:pPr>
        <w:pStyle w:val="ListParagraph"/>
        <w:numPr>
          <w:ilvl w:val="0"/>
          <w:numId w:val="9"/>
        </w:numPr>
        <w:tabs>
          <w:tab w:pos="1422" w:val="left" w:leader="none"/>
        </w:tabs>
        <w:spacing w:line="240" w:lineRule="auto" w:before="2" w:after="0"/>
        <w:ind w:left="1421" w:right="0" w:hanging="722"/>
        <w:jc w:val="left"/>
        <w:rPr>
          <w:sz w:val="24"/>
        </w:rPr>
      </w:pPr>
      <w:r>
        <w:rPr>
          <w:sz w:val="24"/>
        </w:rPr>
        <w:t>按规定制作相关账册并与基金管理人核对；</w:t>
      </w:r>
    </w:p>
    <w:p>
      <w:pPr>
        <w:pStyle w:val="ListParagraph"/>
        <w:numPr>
          <w:ilvl w:val="0"/>
          <w:numId w:val="9"/>
        </w:numPr>
        <w:tabs>
          <w:tab w:pos="1422" w:val="left" w:leader="none"/>
        </w:tabs>
        <w:spacing w:line="364" w:lineRule="auto" w:before="160" w:after="0"/>
        <w:ind w:left="220" w:right="357" w:firstLine="479"/>
        <w:jc w:val="left"/>
        <w:rPr>
          <w:sz w:val="24"/>
        </w:rPr>
      </w:pPr>
      <w:r>
        <w:rPr>
          <w:sz w:val="24"/>
        </w:rPr>
        <w:t>依据基金管理人的指令或有关规定支付基金份额持有人的收益和赎</w:t>
      </w:r>
      <w:r>
        <w:rPr>
          <w:spacing w:val="-5"/>
          <w:sz w:val="24"/>
        </w:rPr>
        <w:t>回款项；</w:t>
      </w:r>
    </w:p>
    <w:p>
      <w:pPr>
        <w:pStyle w:val="ListParagraph"/>
        <w:numPr>
          <w:ilvl w:val="0"/>
          <w:numId w:val="9"/>
        </w:numPr>
        <w:tabs>
          <w:tab w:pos="1422" w:val="left" w:leader="none"/>
        </w:tabs>
        <w:spacing w:line="240" w:lineRule="auto" w:before="1" w:after="0"/>
        <w:ind w:left="1421" w:right="0" w:hanging="722"/>
        <w:jc w:val="left"/>
        <w:rPr>
          <w:sz w:val="24"/>
        </w:rPr>
      </w:pPr>
      <w:r>
        <w:rPr>
          <w:spacing w:val="-18"/>
          <w:sz w:val="24"/>
        </w:rPr>
        <w:t>参加基金清算小组，参与基金财产的保管、清理、估价、变现和分配；</w:t>
      </w:r>
    </w:p>
    <w:p>
      <w:pPr>
        <w:pStyle w:val="ListParagraph"/>
        <w:numPr>
          <w:ilvl w:val="0"/>
          <w:numId w:val="9"/>
        </w:numPr>
        <w:tabs>
          <w:tab w:pos="1422" w:val="left" w:leader="none"/>
        </w:tabs>
        <w:spacing w:line="364" w:lineRule="auto" w:before="161" w:after="0"/>
        <w:ind w:left="220" w:right="361" w:firstLine="479"/>
        <w:jc w:val="left"/>
        <w:rPr>
          <w:sz w:val="24"/>
        </w:rPr>
      </w:pPr>
      <w:r>
        <w:rPr>
          <w:spacing w:val="-8"/>
          <w:sz w:val="24"/>
        </w:rPr>
        <w:t>面临解散、依法被撤销、破产或者由接管人接管其资产时，及时报</w:t>
      </w:r>
      <w:r>
        <w:rPr>
          <w:spacing w:val="-5"/>
          <w:sz w:val="24"/>
        </w:rPr>
        <w:t>告中国证监会和中国银监会，并通知基金管理人；</w:t>
      </w:r>
    </w:p>
    <w:p>
      <w:pPr>
        <w:pStyle w:val="ListParagraph"/>
        <w:numPr>
          <w:ilvl w:val="0"/>
          <w:numId w:val="9"/>
        </w:numPr>
        <w:tabs>
          <w:tab w:pos="1422" w:val="left" w:leader="none"/>
        </w:tabs>
        <w:spacing w:line="364" w:lineRule="auto" w:before="1" w:after="0"/>
        <w:ind w:left="220" w:right="357" w:firstLine="479"/>
        <w:jc w:val="left"/>
        <w:rPr>
          <w:sz w:val="24"/>
        </w:rPr>
      </w:pPr>
      <w:r>
        <w:rPr>
          <w:spacing w:val="-4"/>
          <w:sz w:val="24"/>
        </w:rPr>
        <w:t>因违反基金合同导致基金财产的损失，承担赔偿责任，其违反基金合同责任不因其退任而免除；</w:t>
      </w:r>
    </w:p>
    <w:p>
      <w:pPr>
        <w:pStyle w:val="ListParagraph"/>
        <w:numPr>
          <w:ilvl w:val="0"/>
          <w:numId w:val="9"/>
        </w:numPr>
        <w:tabs>
          <w:tab w:pos="1422" w:val="left" w:leader="none"/>
        </w:tabs>
        <w:spacing w:line="364" w:lineRule="auto" w:before="2" w:after="0"/>
        <w:ind w:left="220" w:right="361" w:firstLine="479"/>
        <w:jc w:val="left"/>
        <w:rPr>
          <w:sz w:val="24"/>
        </w:rPr>
      </w:pPr>
      <w:r>
        <w:rPr>
          <w:spacing w:val="-3"/>
          <w:sz w:val="24"/>
        </w:rPr>
        <w:t>基金管理人因违反基金合同造成基金财产损失时，基金托管人应为</w:t>
      </w:r>
      <w:r>
        <w:rPr>
          <w:spacing w:val="-5"/>
          <w:sz w:val="24"/>
        </w:rPr>
        <w:t>基金向基金管理人追偿；</w:t>
      </w:r>
    </w:p>
    <w:p>
      <w:pPr>
        <w:pStyle w:val="ListParagraph"/>
        <w:numPr>
          <w:ilvl w:val="0"/>
          <w:numId w:val="9"/>
        </w:numPr>
        <w:tabs>
          <w:tab w:pos="1422" w:val="left" w:leader="none"/>
        </w:tabs>
        <w:spacing w:line="240" w:lineRule="auto" w:before="1" w:after="0"/>
        <w:ind w:left="1421" w:right="0" w:hanging="722"/>
        <w:jc w:val="left"/>
        <w:rPr>
          <w:sz w:val="24"/>
        </w:rPr>
      </w:pPr>
      <w:r>
        <w:rPr>
          <w:sz w:val="24"/>
        </w:rPr>
        <w:t>不从事任何有损基金及本基金其他当事人利益的活动；</w:t>
      </w:r>
    </w:p>
    <w:p>
      <w:pPr>
        <w:pStyle w:val="ListParagraph"/>
        <w:numPr>
          <w:ilvl w:val="0"/>
          <w:numId w:val="9"/>
        </w:numPr>
        <w:tabs>
          <w:tab w:pos="1422" w:val="left" w:leader="none"/>
        </w:tabs>
        <w:spacing w:line="240" w:lineRule="auto" w:before="160" w:after="0"/>
        <w:ind w:left="1421" w:right="0" w:hanging="722"/>
        <w:jc w:val="left"/>
        <w:rPr>
          <w:sz w:val="24"/>
        </w:rPr>
      </w:pPr>
      <w:r>
        <w:rPr>
          <w:sz w:val="24"/>
        </w:rPr>
        <w:t>监督基金管理人的投资运作；</w:t>
      </w:r>
    </w:p>
    <w:p>
      <w:pPr>
        <w:pStyle w:val="ListParagraph"/>
        <w:numPr>
          <w:ilvl w:val="0"/>
          <w:numId w:val="9"/>
        </w:numPr>
        <w:tabs>
          <w:tab w:pos="1422" w:val="left" w:leader="none"/>
        </w:tabs>
        <w:spacing w:line="240" w:lineRule="auto" w:before="161" w:after="0"/>
        <w:ind w:left="1421" w:right="0" w:hanging="722"/>
        <w:jc w:val="left"/>
        <w:rPr>
          <w:sz w:val="24"/>
        </w:rPr>
      </w:pPr>
      <w:r>
        <w:rPr>
          <w:sz w:val="24"/>
        </w:rPr>
        <w:t>按照规定召集基金份额持有人大会或配合召开基金份额持有人大会；</w:t>
      </w:r>
    </w:p>
    <w:p>
      <w:pPr>
        <w:pStyle w:val="ListParagraph"/>
        <w:numPr>
          <w:ilvl w:val="0"/>
          <w:numId w:val="9"/>
        </w:numPr>
        <w:tabs>
          <w:tab w:pos="1422" w:val="left" w:leader="none"/>
        </w:tabs>
        <w:spacing w:line="240" w:lineRule="auto" w:before="161" w:after="0"/>
        <w:ind w:left="1421" w:right="0" w:hanging="722"/>
        <w:jc w:val="left"/>
        <w:rPr>
          <w:sz w:val="24"/>
        </w:rPr>
      </w:pPr>
      <w:r>
        <w:rPr>
          <w:sz w:val="24"/>
        </w:rPr>
        <w:t>执行生效的基金份额持有人大会决议；</w:t>
      </w:r>
    </w:p>
    <w:p>
      <w:pPr>
        <w:pStyle w:val="ListParagraph"/>
        <w:numPr>
          <w:ilvl w:val="0"/>
          <w:numId w:val="9"/>
        </w:numPr>
        <w:tabs>
          <w:tab w:pos="1422" w:val="left" w:leader="none"/>
        </w:tabs>
        <w:spacing w:line="240" w:lineRule="auto" w:before="160" w:after="0"/>
        <w:ind w:left="1421" w:right="0" w:hanging="722"/>
        <w:jc w:val="left"/>
        <w:rPr>
          <w:sz w:val="24"/>
        </w:rPr>
      </w:pPr>
      <w:r>
        <w:rPr>
          <w:sz w:val="24"/>
        </w:rPr>
        <w:t>法律法规及基金合同规定的其他义务。</w:t>
      </w:r>
    </w:p>
    <w:p>
      <w:pPr>
        <w:pStyle w:val="BodyText"/>
        <w:spacing w:before="0"/>
        <w:ind w:left="0"/>
        <w:rPr>
          <w:sz w:val="26"/>
        </w:rPr>
      </w:pPr>
    </w:p>
    <w:p>
      <w:pPr>
        <w:pStyle w:val="BodyText"/>
        <w:spacing w:before="0"/>
        <w:ind w:left="0"/>
        <w:rPr>
          <w:sz w:val="26"/>
        </w:rPr>
      </w:pPr>
    </w:p>
    <w:p>
      <w:pPr>
        <w:pStyle w:val="BodyText"/>
        <w:spacing w:before="8"/>
        <w:ind w:left="0"/>
        <w:rPr>
          <w:sz w:val="33"/>
        </w:rPr>
      </w:pPr>
    </w:p>
    <w:p>
      <w:pPr>
        <w:pStyle w:val="BodyText"/>
        <w:spacing w:before="0"/>
        <w:ind w:left="700"/>
      </w:pPr>
      <w:r>
        <w:rPr/>
        <w:t>（四）基金份额持有人的权利与义务</w:t>
      </w:r>
    </w:p>
    <w:p>
      <w:pPr>
        <w:pStyle w:val="BodyText"/>
        <w:spacing w:before="160"/>
        <w:ind w:left="700"/>
      </w:pPr>
      <w:r>
        <w:rPr>
          <w:rFonts w:ascii="Times New Roman" w:eastAsia="Times New Roman"/>
        </w:rPr>
        <w:t>1</w:t>
      </w:r>
      <w:r>
        <w:rPr/>
        <w:t>、基金份额持有人的权利</w:t>
      </w:r>
    </w:p>
    <w:p>
      <w:pPr>
        <w:pStyle w:val="ListParagraph"/>
        <w:numPr>
          <w:ilvl w:val="0"/>
          <w:numId w:val="10"/>
        </w:numPr>
        <w:tabs>
          <w:tab w:pos="1302" w:val="left" w:leader="none"/>
        </w:tabs>
        <w:spacing w:line="240" w:lineRule="auto" w:before="161" w:after="0"/>
        <w:ind w:left="1301" w:right="0" w:hanging="602"/>
        <w:jc w:val="left"/>
        <w:rPr>
          <w:sz w:val="24"/>
        </w:rPr>
      </w:pPr>
      <w:r>
        <w:rPr>
          <w:sz w:val="24"/>
        </w:rPr>
        <w:t>分享基金财产收益；</w:t>
      </w:r>
    </w:p>
    <w:p>
      <w:pPr>
        <w:spacing w:after="0" w:line="240" w:lineRule="auto"/>
        <w:jc w:val="left"/>
        <w:rPr>
          <w:sz w:val="24"/>
        </w:rPr>
        <w:sectPr>
          <w:pgSz w:w="11910" w:h="16840"/>
          <w:pgMar w:header="874" w:footer="997" w:top="1380" w:bottom="1180" w:left="1580" w:right="1440"/>
        </w:sectPr>
      </w:pPr>
    </w:p>
    <w:p>
      <w:pPr>
        <w:pStyle w:val="ListParagraph"/>
        <w:numPr>
          <w:ilvl w:val="0"/>
          <w:numId w:val="10"/>
        </w:numPr>
        <w:tabs>
          <w:tab w:pos="1302" w:val="left" w:leader="none"/>
        </w:tabs>
        <w:spacing w:line="240" w:lineRule="auto" w:before="130" w:after="0"/>
        <w:ind w:left="1301" w:right="0" w:hanging="602"/>
        <w:jc w:val="left"/>
        <w:rPr>
          <w:sz w:val="24"/>
        </w:rPr>
      </w:pPr>
      <w:r>
        <w:rPr>
          <w:sz w:val="24"/>
        </w:rPr>
        <w:t>参与分配清算后的剩余基金财产；</w:t>
      </w:r>
    </w:p>
    <w:p>
      <w:pPr>
        <w:pStyle w:val="ListParagraph"/>
        <w:numPr>
          <w:ilvl w:val="0"/>
          <w:numId w:val="10"/>
        </w:numPr>
        <w:tabs>
          <w:tab w:pos="1302" w:val="left" w:leader="none"/>
        </w:tabs>
        <w:spacing w:line="240" w:lineRule="auto" w:before="160" w:after="0"/>
        <w:ind w:left="1301" w:right="0" w:hanging="602"/>
        <w:jc w:val="left"/>
        <w:rPr>
          <w:sz w:val="24"/>
        </w:rPr>
      </w:pPr>
      <w:r>
        <w:rPr>
          <w:sz w:val="24"/>
        </w:rPr>
        <w:t>依法转让或者申请赎回其持有的基金份额；</w:t>
      </w:r>
    </w:p>
    <w:p>
      <w:pPr>
        <w:pStyle w:val="ListParagraph"/>
        <w:numPr>
          <w:ilvl w:val="0"/>
          <w:numId w:val="10"/>
        </w:numPr>
        <w:tabs>
          <w:tab w:pos="1302" w:val="left" w:leader="none"/>
        </w:tabs>
        <w:spacing w:line="240" w:lineRule="auto" w:before="161" w:after="0"/>
        <w:ind w:left="1301" w:right="0" w:hanging="602"/>
        <w:jc w:val="left"/>
        <w:rPr>
          <w:sz w:val="24"/>
        </w:rPr>
      </w:pPr>
      <w:r>
        <w:rPr>
          <w:sz w:val="24"/>
        </w:rPr>
        <w:t>按照法律法规和基金合同规定的要求召开基金份额持有人大会；</w:t>
      </w:r>
    </w:p>
    <w:p>
      <w:pPr>
        <w:pStyle w:val="ListParagraph"/>
        <w:numPr>
          <w:ilvl w:val="0"/>
          <w:numId w:val="10"/>
        </w:numPr>
        <w:tabs>
          <w:tab w:pos="1302" w:val="left" w:leader="none"/>
        </w:tabs>
        <w:spacing w:line="364" w:lineRule="auto" w:before="160" w:after="0"/>
        <w:ind w:left="220" w:right="36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10"/>
        </w:numPr>
        <w:tabs>
          <w:tab w:pos="1302" w:val="left" w:leader="none"/>
        </w:tabs>
        <w:spacing w:line="240" w:lineRule="auto" w:before="1" w:after="0"/>
        <w:ind w:left="1301" w:right="0" w:hanging="602"/>
        <w:jc w:val="left"/>
        <w:rPr>
          <w:sz w:val="24"/>
        </w:rPr>
      </w:pPr>
      <w:r>
        <w:rPr>
          <w:sz w:val="24"/>
        </w:rPr>
        <w:t>查阅或者复制公开披露的基金信息资料；</w:t>
      </w:r>
    </w:p>
    <w:p>
      <w:pPr>
        <w:pStyle w:val="ListParagraph"/>
        <w:numPr>
          <w:ilvl w:val="0"/>
          <w:numId w:val="10"/>
        </w:numPr>
        <w:tabs>
          <w:tab w:pos="1302" w:val="left" w:leader="none"/>
        </w:tabs>
        <w:spacing w:line="240" w:lineRule="auto" w:before="161" w:after="0"/>
        <w:ind w:left="1301" w:right="0" w:hanging="602"/>
        <w:jc w:val="left"/>
        <w:rPr>
          <w:sz w:val="24"/>
        </w:rPr>
      </w:pPr>
      <w:r>
        <w:rPr>
          <w:sz w:val="24"/>
        </w:rPr>
        <w:t>监督基金管理人的投资运作；</w:t>
      </w:r>
    </w:p>
    <w:p>
      <w:pPr>
        <w:pStyle w:val="ListParagraph"/>
        <w:numPr>
          <w:ilvl w:val="0"/>
          <w:numId w:val="10"/>
        </w:numPr>
        <w:tabs>
          <w:tab w:pos="1302" w:val="left" w:leader="none"/>
        </w:tabs>
        <w:spacing w:line="364" w:lineRule="auto" w:before="161" w:after="0"/>
        <w:ind w:left="220" w:right="364" w:firstLine="479"/>
        <w:jc w:val="left"/>
        <w:rPr>
          <w:sz w:val="24"/>
        </w:rPr>
      </w:pPr>
      <w:r>
        <w:rPr>
          <w:spacing w:val="-1"/>
          <w:sz w:val="24"/>
        </w:rPr>
        <w:t>对基金管理人、基金托管人、基金份额发售机构损害其合法权益的行</w:t>
      </w:r>
      <w:r>
        <w:rPr>
          <w:sz w:val="24"/>
        </w:rPr>
        <w:t>为要求赔偿或依法提起诉讼；</w:t>
      </w:r>
    </w:p>
    <w:p>
      <w:pPr>
        <w:pStyle w:val="ListParagraph"/>
        <w:numPr>
          <w:ilvl w:val="0"/>
          <w:numId w:val="10"/>
        </w:numPr>
        <w:tabs>
          <w:tab w:pos="1302" w:val="left" w:leader="none"/>
        </w:tabs>
        <w:spacing w:line="240" w:lineRule="auto" w:before="1" w:after="0"/>
        <w:ind w:left="1301" w:right="0" w:hanging="602"/>
        <w:jc w:val="left"/>
        <w:rPr>
          <w:sz w:val="24"/>
        </w:rPr>
      </w:pPr>
      <w:r>
        <w:rPr>
          <w:sz w:val="24"/>
        </w:rPr>
        <w:t>获取基金业务及财务状况的公开资料；</w:t>
      </w:r>
    </w:p>
    <w:p>
      <w:pPr>
        <w:pStyle w:val="ListParagraph"/>
        <w:numPr>
          <w:ilvl w:val="0"/>
          <w:numId w:val="10"/>
        </w:numPr>
        <w:tabs>
          <w:tab w:pos="1422" w:val="left" w:leader="none"/>
        </w:tabs>
        <w:spacing w:line="240" w:lineRule="auto" w:before="161" w:after="0"/>
        <w:ind w:left="1421" w:right="0" w:hanging="722"/>
        <w:jc w:val="left"/>
        <w:rPr>
          <w:sz w:val="24"/>
        </w:rPr>
      </w:pPr>
      <w:r>
        <w:rPr>
          <w:sz w:val="24"/>
        </w:rPr>
        <w:t>法律法规及基金合同规定的其他权利。</w:t>
      </w:r>
    </w:p>
    <w:p>
      <w:pPr>
        <w:pStyle w:val="BodyText"/>
        <w:spacing w:before="160"/>
        <w:ind w:left="700"/>
      </w:pPr>
      <w:r>
        <w:rPr>
          <w:rFonts w:ascii="Times New Roman" w:eastAsia="Times New Roman"/>
        </w:rPr>
        <w:t>2</w:t>
      </w:r>
      <w:r>
        <w:rPr/>
        <w:t>、每份基金份额具有同等的合法权益。</w:t>
      </w:r>
    </w:p>
    <w:p>
      <w:pPr>
        <w:pStyle w:val="BodyText"/>
        <w:ind w:left="700"/>
      </w:pPr>
      <w:r>
        <w:rPr>
          <w:rFonts w:ascii="Times New Roman" w:eastAsia="Times New Roman"/>
        </w:rPr>
        <w:t>3</w:t>
      </w:r>
      <w:r>
        <w:rPr/>
        <w:t>、基金份额持有人的义务</w:t>
      </w:r>
    </w:p>
    <w:p>
      <w:pPr>
        <w:pStyle w:val="ListParagraph"/>
        <w:numPr>
          <w:ilvl w:val="0"/>
          <w:numId w:val="11"/>
        </w:numPr>
        <w:tabs>
          <w:tab w:pos="1302" w:val="left" w:leader="none"/>
        </w:tabs>
        <w:spacing w:line="240" w:lineRule="auto" w:before="160" w:after="0"/>
        <w:ind w:left="1301" w:right="0" w:hanging="602"/>
        <w:jc w:val="left"/>
        <w:rPr>
          <w:sz w:val="24"/>
        </w:rPr>
      </w:pPr>
      <w:r>
        <w:rPr>
          <w:sz w:val="24"/>
        </w:rPr>
        <w:t>遵守基金合同及相关业务规则；</w:t>
      </w:r>
    </w:p>
    <w:p>
      <w:pPr>
        <w:pStyle w:val="ListParagraph"/>
        <w:numPr>
          <w:ilvl w:val="0"/>
          <w:numId w:val="11"/>
        </w:numPr>
        <w:tabs>
          <w:tab w:pos="1302" w:val="left" w:leader="none"/>
        </w:tabs>
        <w:spacing w:line="240" w:lineRule="auto" w:before="161" w:after="0"/>
        <w:ind w:left="1301" w:right="0" w:hanging="602"/>
        <w:jc w:val="left"/>
        <w:rPr>
          <w:sz w:val="24"/>
        </w:rPr>
      </w:pPr>
      <w:r>
        <w:rPr>
          <w:sz w:val="24"/>
        </w:rPr>
        <w:t>缴纳基金认购、申购、赎回等事宜涉及的款项，承担规定的费用；</w:t>
      </w:r>
    </w:p>
    <w:p>
      <w:pPr>
        <w:pStyle w:val="ListParagraph"/>
        <w:numPr>
          <w:ilvl w:val="0"/>
          <w:numId w:val="11"/>
        </w:numPr>
        <w:tabs>
          <w:tab w:pos="1302" w:val="left" w:leader="none"/>
        </w:tabs>
        <w:spacing w:line="364" w:lineRule="auto" w:before="161" w:after="0"/>
        <w:ind w:left="220" w:right="364" w:firstLine="479"/>
        <w:jc w:val="left"/>
        <w:rPr>
          <w:sz w:val="24"/>
        </w:rPr>
      </w:pPr>
      <w:r>
        <w:rPr>
          <w:spacing w:val="-1"/>
          <w:sz w:val="24"/>
        </w:rPr>
        <w:t>在持有的基金份额范围内，承担基金亏损或者基金合同终止的有限责</w:t>
      </w:r>
      <w:r>
        <w:rPr>
          <w:sz w:val="24"/>
        </w:rPr>
        <w:t>任；</w:t>
      </w:r>
    </w:p>
    <w:p>
      <w:pPr>
        <w:pStyle w:val="ListParagraph"/>
        <w:numPr>
          <w:ilvl w:val="0"/>
          <w:numId w:val="11"/>
        </w:numPr>
        <w:tabs>
          <w:tab w:pos="1302" w:val="left" w:leader="none"/>
        </w:tabs>
        <w:spacing w:line="364" w:lineRule="auto" w:before="1" w:after="0"/>
        <w:ind w:left="220" w:right="364" w:firstLine="479"/>
        <w:jc w:val="left"/>
        <w:rPr>
          <w:sz w:val="24"/>
        </w:rPr>
      </w:pPr>
      <w:r>
        <w:rPr>
          <w:spacing w:val="-1"/>
          <w:sz w:val="24"/>
        </w:rPr>
        <w:t>不从事任何有损基金、基金份额持有人及其他基金当事人合法权益的</w:t>
      </w:r>
      <w:r>
        <w:rPr>
          <w:sz w:val="24"/>
        </w:rPr>
        <w:t>活动；</w:t>
      </w:r>
    </w:p>
    <w:p>
      <w:pPr>
        <w:pStyle w:val="ListParagraph"/>
        <w:numPr>
          <w:ilvl w:val="0"/>
          <w:numId w:val="11"/>
        </w:numPr>
        <w:tabs>
          <w:tab w:pos="1302" w:val="left" w:leader="none"/>
        </w:tabs>
        <w:spacing w:line="240" w:lineRule="auto" w:before="1" w:after="0"/>
        <w:ind w:left="1301" w:right="0" w:hanging="602"/>
        <w:jc w:val="left"/>
        <w:rPr>
          <w:sz w:val="24"/>
        </w:rPr>
      </w:pPr>
      <w:r>
        <w:rPr>
          <w:sz w:val="24"/>
        </w:rPr>
        <w:t>执行生效的基金份额持有人大会决议；</w:t>
      </w:r>
    </w:p>
    <w:p>
      <w:pPr>
        <w:pStyle w:val="ListParagraph"/>
        <w:numPr>
          <w:ilvl w:val="0"/>
          <w:numId w:val="11"/>
        </w:numPr>
        <w:tabs>
          <w:tab w:pos="1302" w:val="left" w:leader="none"/>
        </w:tabs>
        <w:spacing w:line="240" w:lineRule="auto" w:before="160" w:after="0"/>
        <w:ind w:left="1301" w:right="0" w:hanging="602"/>
        <w:jc w:val="left"/>
        <w:rPr>
          <w:sz w:val="24"/>
        </w:rPr>
      </w:pPr>
      <w:r>
        <w:rPr>
          <w:sz w:val="24"/>
        </w:rPr>
        <w:t>法律法规及基金合同规定的其他义务。</w:t>
      </w:r>
    </w:p>
    <w:p>
      <w:pPr>
        <w:spacing w:after="0" w:line="240" w:lineRule="auto"/>
        <w:jc w:val="left"/>
        <w:rPr>
          <w:sz w:val="24"/>
        </w:rPr>
        <w:sectPr>
          <w:pgSz w:w="11910" w:h="16840"/>
          <w:pgMar w:header="874" w:footer="997" w:top="1380" w:bottom="1180" w:left="1580" w:right="1440"/>
        </w:sectPr>
      </w:pPr>
    </w:p>
    <w:p>
      <w:pPr>
        <w:pStyle w:val="BodyText"/>
        <w:spacing w:before="8"/>
        <w:ind w:left="0"/>
        <w:rPr>
          <w:sz w:val="8"/>
        </w:rPr>
      </w:pPr>
    </w:p>
    <w:p>
      <w:pPr>
        <w:pStyle w:val="Heading1"/>
      </w:pPr>
      <w:bookmarkStart w:name="_bookmark9" w:id="10"/>
      <w:bookmarkEnd w:id="10"/>
      <w:r>
        <w:rPr>
          <w:b w:val="0"/>
        </w:rPr>
      </w:r>
      <w:r>
        <w:rPr/>
        <w:t>十、基金份额持有人大会</w:t>
      </w:r>
    </w:p>
    <w:p>
      <w:pPr>
        <w:pStyle w:val="BodyText"/>
        <w:spacing w:before="0"/>
        <w:ind w:left="0"/>
        <w:rPr>
          <w:b/>
          <w:sz w:val="30"/>
        </w:rPr>
      </w:pPr>
    </w:p>
    <w:p>
      <w:pPr>
        <w:pStyle w:val="BodyText"/>
        <w:spacing w:before="2"/>
        <w:ind w:left="0"/>
        <w:rPr>
          <w:b/>
          <w:sz w:val="22"/>
        </w:rPr>
      </w:pPr>
    </w:p>
    <w:p>
      <w:pPr>
        <w:pStyle w:val="BodyText"/>
        <w:spacing w:before="1"/>
        <w:ind w:left="700"/>
      </w:pPr>
      <w:r>
        <w:rPr/>
        <w:t>（一）召开原则</w:t>
      </w:r>
    </w:p>
    <w:p>
      <w:pPr>
        <w:pStyle w:val="BodyText"/>
        <w:spacing w:line="364" w:lineRule="auto" w:before="160"/>
        <w:ind w:right="350" w:firstLine="479"/>
      </w:pPr>
      <w:r>
        <w:rPr/>
        <w:t>基金份额持有人大会由基金份额持有人或基金份额持有人合法的授权代表共同组成。基金份额持有人持有的每一基金份额拥有平等的投票权。</w:t>
      </w:r>
    </w:p>
    <w:p>
      <w:pPr>
        <w:pStyle w:val="BodyText"/>
        <w:spacing w:line="364" w:lineRule="auto" w:before="1"/>
        <w:ind w:right="357" w:firstLine="479"/>
      </w:pPr>
      <w:r>
        <w:rPr>
          <w:spacing w:val="-6"/>
        </w:rPr>
        <w:t>持有人大会决议须经基金份额持有人大会审议通过。上述通过事项如无需监</w:t>
      </w:r>
      <w:r>
        <w:rPr/>
        <w:t>管部门批准，则即刻生效；需监管部门批准的，在获得相关批准后生效。</w:t>
      </w:r>
    </w:p>
    <w:p>
      <w:pPr>
        <w:pStyle w:val="BodyText"/>
        <w:spacing w:before="2"/>
        <w:ind w:left="700"/>
      </w:pPr>
      <w:r>
        <w:rPr/>
        <w:t>（二）召开事由</w:t>
      </w:r>
    </w:p>
    <w:p>
      <w:pPr>
        <w:pStyle w:val="BodyText"/>
        <w:ind w:left="700"/>
      </w:pPr>
      <w:r>
        <w:rPr/>
        <w:t>在本基金需要决定下列事项之一时，应召开基金份额持有人大会：</w:t>
      </w:r>
    </w:p>
    <w:p>
      <w:pPr>
        <w:pStyle w:val="BodyText"/>
        <w:spacing w:line="364" w:lineRule="auto" w:before="160"/>
        <w:ind w:right="364" w:firstLine="479"/>
      </w:pPr>
      <w:r>
        <w:rPr>
          <w:rFonts w:ascii="Times New Roman" w:eastAsia="Times New Roman"/>
        </w:rPr>
        <w:t>1</w:t>
      </w:r>
      <w:r>
        <w:rPr/>
        <w:t>、修改基金合同。但本基金合同另有规定或根据法律法规变更做出相应更改的除外；</w:t>
      </w:r>
    </w:p>
    <w:p>
      <w:pPr>
        <w:pStyle w:val="BodyText"/>
        <w:spacing w:before="1"/>
        <w:ind w:left="700"/>
      </w:pPr>
      <w:r>
        <w:rPr>
          <w:rFonts w:ascii="Times New Roman" w:eastAsia="Times New Roman"/>
        </w:rPr>
        <w:t>2</w:t>
      </w:r>
      <w:r>
        <w:rPr/>
        <w:t>、更换基金管理人；</w:t>
      </w:r>
    </w:p>
    <w:p>
      <w:pPr>
        <w:pStyle w:val="BodyText"/>
        <w:ind w:left="700"/>
      </w:pPr>
      <w:r>
        <w:rPr>
          <w:rFonts w:ascii="Times New Roman" w:eastAsia="Times New Roman"/>
        </w:rPr>
        <w:t>3</w:t>
      </w:r>
      <w:r>
        <w:rPr/>
        <w:t>、更换基金托管人；</w:t>
      </w:r>
    </w:p>
    <w:p>
      <w:pPr>
        <w:pStyle w:val="BodyText"/>
        <w:spacing w:before="160"/>
        <w:ind w:left="700"/>
      </w:pPr>
      <w:r>
        <w:rPr>
          <w:rFonts w:ascii="Times New Roman" w:eastAsia="Times New Roman"/>
        </w:rPr>
        <w:t>4</w:t>
      </w:r>
      <w:r>
        <w:rPr/>
        <w:t>、决定终止基金合同；</w:t>
      </w:r>
    </w:p>
    <w:p>
      <w:pPr>
        <w:pStyle w:val="BodyText"/>
        <w:ind w:left="700"/>
      </w:pPr>
      <w:r>
        <w:rPr>
          <w:rFonts w:ascii="Times New Roman" w:eastAsia="Times New Roman"/>
        </w:rPr>
        <w:t>5</w:t>
      </w:r>
      <w:r>
        <w:rPr/>
        <w:t>、与其他基金合并；</w:t>
      </w:r>
    </w:p>
    <w:p>
      <w:pPr>
        <w:pStyle w:val="BodyText"/>
        <w:spacing w:line="364" w:lineRule="auto"/>
        <w:ind w:right="364" w:firstLine="479"/>
      </w:pPr>
      <w:r>
        <w:rPr>
          <w:rFonts w:ascii="Times New Roman" w:eastAsia="Times New Roman"/>
        </w:rPr>
        <w:t>6</w:t>
      </w:r>
      <w:r>
        <w:rPr/>
        <w:t>、持有本基金百分之十或以上基金份额的基金份额持有人（</w:t>
      </w:r>
      <w:r>
        <w:rPr>
          <w:spacing w:val="-3"/>
        </w:rPr>
        <w:t>以基金管理人</w:t>
      </w:r>
      <w:r>
        <w:rPr/>
        <w:t>收到提议当日的基金份额计算）提议召开基金份额持有人大会；</w:t>
      </w:r>
    </w:p>
    <w:p>
      <w:pPr>
        <w:pStyle w:val="BodyText"/>
        <w:spacing w:before="1"/>
        <w:ind w:left="700"/>
      </w:pPr>
      <w:r>
        <w:rPr>
          <w:rFonts w:ascii="Times New Roman" w:eastAsia="Times New Roman"/>
        </w:rPr>
        <w:t>7</w:t>
      </w:r>
      <w:r>
        <w:rPr/>
        <w:t>、基金管理人或基金托管人要求召开基金份额持有人大会；</w:t>
      </w:r>
    </w:p>
    <w:p>
      <w:pPr>
        <w:pStyle w:val="BodyText"/>
        <w:spacing w:before="160"/>
        <w:ind w:left="700"/>
      </w:pPr>
      <w:r>
        <w:rPr>
          <w:rFonts w:ascii="Times New Roman" w:eastAsia="Times New Roman"/>
        </w:rPr>
        <w:t>8</w:t>
      </w:r>
      <w:r>
        <w:rPr/>
        <w:t>、转换基金运作方式；</w:t>
      </w:r>
    </w:p>
    <w:p>
      <w:pPr>
        <w:pStyle w:val="BodyText"/>
        <w:spacing w:line="364" w:lineRule="auto"/>
        <w:ind w:right="364" w:firstLine="479"/>
      </w:pPr>
      <w:r>
        <w:rPr>
          <w:rFonts w:ascii="Times New Roman" w:eastAsia="Times New Roman"/>
        </w:rPr>
        <w:t>9</w:t>
      </w:r>
      <w:r>
        <w:rPr/>
        <w:t>、提高基金管理人、基金托管人的报酬标准，但根据法律法规的要求提高该等报酬标准的除外；</w:t>
      </w:r>
    </w:p>
    <w:p>
      <w:pPr>
        <w:pStyle w:val="BodyText"/>
        <w:spacing w:before="2"/>
        <w:ind w:left="700"/>
      </w:pPr>
      <w:r>
        <w:rPr>
          <w:rFonts w:ascii="Times New Roman" w:eastAsia="Times New Roman"/>
        </w:rPr>
        <w:t>10</w:t>
      </w:r>
      <w:r>
        <w:rPr/>
        <w:t>、变更基金类别；</w:t>
      </w:r>
    </w:p>
    <w:p>
      <w:pPr>
        <w:pStyle w:val="BodyText"/>
        <w:spacing w:before="160"/>
        <w:ind w:left="700"/>
      </w:pPr>
      <w:r>
        <w:rPr>
          <w:rFonts w:ascii="Times New Roman" w:eastAsia="Times New Roman"/>
        </w:rPr>
        <w:t>11</w:t>
      </w:r>
      <w:r>
        <w:rPr/>
        <w:t>、变更基金的投资目标、投资范围；</w:t>
      </w:r>
    </w:p>
    <w:p>
      <w:pPr>
        <w:pStyle w:val="BodyText"/>
        <w:ind w:left="700"/>
      </w:pPr>
      <w:r>
        <w:rPr>
          <w:rFonts w:ascii="Times New Roman" w:eastAsia="Times New Roman"/>
        </w:rPr>
        <w:t>12</w:t>
      </w:r>
      <w:r>
        <w:rPr/>
        <w:t>、法律、法规或中国证监会规定的其他情形。</w:t>
      </w:r>
    </w:p>
    <w:p>
      <w:pPr>
        <w:pStyle w:val="BodyText"/>
        <w:spacing w:line="364" w:lineRule="auto" w:before="160"/>
        <w:ind w:right="357" w:firstLine="479"/>
      </w:pPr>
      <w:r>
        <w:rPr>
          <w:spacing w:val="-5"/>
        </w:rPr>
        <w:t>以下情况可由基金管理人和基金托管人协商后修改基金合同，不需召开基金</w:t>
      </w:r>
      <w:r>
        <w:rPr/>
        <w:t>份额持有人大会：</w:t>
      </w:r>
    </w:p>
    <w:p>
      <w:pPr>
        <w:pStyle w:val="BodyText"/>
        <w:spacing w:before="1"/>
        <w:ind w:left="700"/>
      </w:pPr>
      <w:r>
        <w:rPr>
          <w:rFonts w:ascii="Times New Roman" w:eastAsia="Times New Roman"/>
        </w:rPr>
        <w:t>1</w:t>
      </w:r>
      <w:r>
        <w:rPr/>
        <w:t>、因相应的法律、法规发生变动必须对基金合同进行修改；</w:t>
      </w:r>
    </w:p>
    <w:p>
      <w:pPr>
        <w:pStyle w:val="BodyText"/>
        <w:ind w:left="700"/>
      </w:pPr>
      <w:r>
        <w:rPr>
          <w:rFonts w:ascii="Times New Roman" w:eastAsia="Times New Roman"/>
        </w:rPr>
        <w:t>2</w:t>
      </w:r>
      <w:r>
        <w:rPr/>
        <w:t>、调低基金管理费、基金托管费；</w:t>
      </w:r>
    </w:p>
    <w:p>
      <w:pPr>
        <w:pStyle w:val="BodyText"/>
        <w:ind w:left="700"/>
      </w:pPr>
      <w:r>
        <w:rPr>
          <w:rFonts w:ascii="Times New Roman" w:eastAsia="Times New Roman"/>
        </w:rPr>
        <w:t>3</w:t>
      </w:r>
      <w:r>
        <w:rPr/>
        <w:t>、在法律法规和基金合同规定的范围内变更本基金的申购费率、赎回费率</w:t>
      </w:r>
    </w:p>
    <w:p>
      <w:pPr>
        <w:spacing w:after="0"/>
        <w:sectPr>
          <w:pgSz w:w="11910" w:h="16840"/>
          <w:pgMar w:header="874" w:footer="997" w:top="1380" w:bottom="1180" w:left="1580" w:right="1440"/>
        </w:sectPr>
      </w:pPr>
    </w:p>
    <w:p>
      <w:pPr>
        <w:pStyle w:val="BodyText"/>
        <w:spacing w:before="130"/>
      </w:pPr>
      <w:r>
        <w:rPr/>
        <w:t>或收费方式；</w:t>
      </w:r>
    </w:p>
    <w:p>
      <w:pPr>
        <w:pStyle w:val="BodyText"/>
        <w:spacing w:before="160"/>
        <w:ind w:left="700"/>
      </w:pPr>
      <w:r>
        <w:rPr>
          <w:rFonts w:ascii="Times New Roman" w:eastAsia="Times New Roman"/>
        </w:rPr>
        <w:t>4</w:t>
      </w:r>
      <w:r>
        <w:rPr/>
        <w:t>、对基金合同的修改不涉及本基金合同当事人权利义务关系的变化；</w:t>
      </w:r>
    </w:p>
    <w:p>
      <w:pPr>
        <w:pStyle w:val="BodyText"/>
        <w:ind w:left="700"/>
      </w:pPr>
      <w:r>
        <w:rPr>
          <w:rFonts w:ascii="Times New Roman" w:eastAsia="Times New Roman"/>
        </w:rPr>
        <w:t>5</w:t>
      </w:r>
      <w:r>
        <w:rPr/>
        <w:t>、对基金合同的修改对基金份额持有人利益无实质性不利影响；</w:t>
      </w:r>
    </w:p>
    <w:p>
      <w:pPr>
        <w:pStyle w:val="BodyText"/>
        <w:spacing w:line="364" w:lineRule="auto" w:before="160"/>
        <w:ind w:right="364" w:firstLine="479"/>
      </w:pPr>
      <w:r>
        <w:rPr>
          <w:rFonts w:ascii="Times New Roman" w:eastAsia="Times New Roman"/>
        </w:rPr>
        <w:t>6</w:t>
      </w:r>
      <w:r>
        <w:rPr/>
        <w:t>、按照法律法规或本基金合同规定不需召开基金份额持有人大会的其他情形。</w:t>
      </w:r>
    </w:p>
    <w:p>
      <w:pPr>
        <w:pStyle w:val="BodyText"/>
        <w:spacing w:before="0"/>
        <w:ind w:left="0"/>
      </w:pPr>
    </w:p>
    <w:p>
      <w:pPr>
        <w:pStyle w:val="BodyText"/>
        <w:spacing w:before="162"/>
        <w:ind w:left="700"/>
      </w:pPr>
      <w:r>
        <w:rPr/>
        <w:t>（三）召集方式</w:t>
      </w:r>
    </w:p>
    <w:p>
      <w:pPr>
        <w:pStyle w:val="BodyText"/>
        <w:spacing w:line="364" w:lineRule="auto"/>
        <w:ind w:right="364" w:firstLine="479"/>
      </w:pPr>
      <w:r>
        <w:rPr>
          <w:rFonts w:ascii="Times New Roman" w:eastAsia="Times New Roman"/>
        </w:rPr>
        <w:t>1</w:t>
      </w:r>
      <w:r>
        <w:rPr/>
        <w:t>、在正常情况下，基金份额持有人大会由基金管理人召集，基金份额持有人大会的开会时间、地点及权益登记日由基金管理人选择确定；</w:t>
      </w:r>
    </w:p>
    <w:p>
      <w:pPr>
        <w:pStyle w:val="BodyText"/>
        <w:spacing w:line="364" w:lineRule="auto" w:before="1"/>
        <w:ind w:right="364" w:firstLine="479"/>
      </w:pPr>
      <w:r>
        <w:rPr>
          <w:rFonts w:ascii="Times New Roman" w:eastAsia="Times New Roman"/>
        </w:rPr>
        <w:t>2</w:t>
      </w:r>
      <w:r>
        <w:rPr/>
        <w:t>、在更换基金管理人或基金管理人未行使召集权的情况下，由基金托管人召集；</w:t>
      </w:r>
    </w:p>
    <w:p>
      <w:pPr>
        <w:pStyle w:val="BodyText"/>
        <w:spacing w:line="364" w:lineRule="auto" w:before="1"/>
        <w:ind w:right="359" w:firstLine="479"/>
        <w:jc w:val="both"/>
      </w:pPr>
      <w:r>
        <w:rPr>
          <w:rFonts w:ascii="Times New Roman" w:eastAsia="Times New Roman"/>
        </w:rPr>
        <w:t>3</w:t>
      </w:r>
      <w:r>
        <w:rPr/>
        <w:t>、基金托管人认为有必要召开基金份额持有人大会的，应当向基金管理人</w:t>
      </w:r>
      <w:r>
        <w:rPr>
          <w:spacing w:val="-10"/>
        </w:rPr>
        <w:t>提出书面提议。基金管理人应当自收到书面提议之日起十日内决定是否召集，并</w:t>
      </w:r>
      <w:r>
        <w:rPr/>
        <w:t>书面告知基金托管人。</w:t>
      </w:r>
    </w:p>
    <w:p>
      <w:pPr>
        <w:pStyle w:val="BodyText"/>
        <w:spacing w:line="364" w:lineRule="auto" w:before="3"/>
        <w:ind w:right="361" w:firstLine="479"/>
      </w:pPr>
      <w:r>
        <w:rPr>
          <w:spacing w:val="-8"/>
        </w:rPr>
        <w:t>基金管理人决定召集的，应当自出具书面决定之日起六十日内召开；基金管</w:t>
      </w:r>
      <w:r>
        <w:rPr/>
        <w:t>理人决定不召集，基金托管人仍认为有必要召开的，应当自行召集。</w:t>
      </w:r>
    </w:p>
    <w:p>
      <w:pPr>
        <w:pStyle w:val="BodyText"/>
        <w:spacing w:line="364" w:lineRule="auto" w:before="1"/>
        <w:ind w:right="357" w:firstLine="479"/>
        <w:jc w:val="both"/>
      </w:pPr>
      <w:r>
        <w:rPr>
          <w:rFonts w:ascii="Times New Roman" w:eastAsia="Times New Roman"/>
        </w:rPr>
        <w:t>4</w:t>
      </w:r>
      <w:r>
        <w:rPr/>
        <w:t>、在基金管理人和基金托管人均未行使召集权的情况下，单独或合计持有</w:t>
      </w:r>
      <w:r>
        <w:rPr>
          <w:spacing w:val="-5"/>
        </w:rPr>
        <w:t>权益登记日百分之十或以上份额的基金份额持有人有权自行召集；若就同一事项</w:t>
      </w:r>
      <w:r>
        <w:rPr>
          <w:spacing w:val="-8"/>
        </w:rPr>
        <w:t>出现若干个基金份额持有人提案，则由提出该等提案的基金份额持有人共同推选</w:t>
      </w:r>
      <w:r>
        <w:rPr/>
        <w:t>出代表召集持有人大会。</w:t>
      </w:r>
    </w:p>
    <w:p>
      <w:pPr>
        <w:pStyle w:val="BodyText"/>
        <w:spacing w:line="364" w:lineRule="auto" w:before="2"/>
        <w:ind w:right="357" w:firstLine="479"/>
        <w:jc w:val="both"/>
      </w:pPr>
      <w:r>
        <w:rPr>
          <w:rFonts w:ascii="Times New Roman" w:eastAsia="Times New Roman"/>
        </w:rPr>
        <w:t>5</w:t>
      </w:r>
      <w:r>
        <w:rPr/>
        <w:t>、代表基金份额百分之十或以上的基金份额持有人认为有必要召开基金份</w:t>
      </w:r>
      <w:r>
        <w:rPr>
          <w:spacing w:val="-9"/>
        </w:rPr>
        <w:t>额持有人大会的，应当向基金管理人提出书面提议。基金管理人应当自收到书面</w:t>
      </w:r>
      <w:r>
        <w:rPr>
          <w:spacing w:val="-8"/>
        </w:rPr>
        <w:t>提议之日起十日内决定是否召集，并书面告知提出提议的基金份额持有人代表和</w:t>
      </w:r>
      <w:r>
        <w:rPr/>
        <w:t>基金托管人。</w:t>
      </w:r>
    </w:p>
    <w:p>
      <w:pPr>
        <w:pStyle w:val="BodyText"/>
        <w:spacing w:line="364" w:lineRule="auto" w:before="3"/>
        <w:ind w:right="357" w:firstLine="479"/>
        <w:jc w:val="both"/>
      </w:pPr>
      <w:r>
        <w:rPr>
          <w:spacing w:val="-8"/>
        </w:rPr>
        <w:t>基金管理人决定召集的，应当自出具书面决定之日起六十日内召开；基金管</w:t>
      </w:r>
      <w:r>
        <w:rPr>
          <w:spacing w:val="-11"/>
        </w:rPr>
        <w:t>理人决定不召集，代表基金份额百分之十或以上的基金份额持有人仍认为有必要</w:t>
      </w:r>
      <w:r>
        <w:rPr/>
        <w:t>召开的，应当向基金托管人提出书面提议。</w:t>
      </w:r>
    </w:p>
    <w:p>
      <w:pPr>
        <w:pStyle w:val="BodyText"/>
        <w:spacing w:line="364" w:lineRule="auto" w:before="2"/>
        <w:ind w:right="357" w:firstLine="479"/>
      </w:pPr>
      <w:r>
        <w:rPr>
          <w:spacing w:val="-5"/>
        </w:rPr>
        <w:t>基金托管人应当自收到书面提议之日起十日内决定是否召集，并书面告知提</w:t>
      </w:r>
      <w:r>
        <w:rPr>
          <w:spacing w:val="-6"/>
        </w:rPr>
        <w:t>出提议的基金份额持有人代表和基金管理人；基金托管人决定召集的，应当自出</w:t>
      </w:r>
    </w:p>
    <w:p>
      <w:pPr>
        <w:spacing w:after="0" w:line="364" w:lineRule="auto"/>
        <w:sectPr>
          <w:pgSz w:w="11910" w:h="16840"/>
          <w:pgMar w:header="874" w:footer="997" w:top="1380" w:bottom="1180" w:left="1580" w:right="1440"/>
        </w:sectPr>
      </w:pPr>
    </w:p>
    <w:p>
      <w:pPr>
        <w:pStyle w:val="BodyText"/>
        <w:spacing w:before="130"/>
      </w:pPr>
      <w:r>
        <w:rPr/>
        <w:t>具书面决定之日起六十日内召开。</w:t>
      </w:r>
    </w:p>
    <w:p>
      <w:pPr>
        <w:pStyle w:val="BodyText"/>
        <w:spacing w:line="364" w:lineRule="auto" w:before="160"/>
        <w:ind w:right="359" w:firstLine="479"/>
        <w:jc w:val="both"/>
      </w:pPr>
      <w:r>
        <w:rPr>
          <w:rFonts w:ascii="Times New Roman" w:eastAsia="Times New Roman"/>
        </w:rPr>
        <w:t>6</w:t>
      </w:r>
      <w:r>
        <w:rPr/>
        <w:t>、基金管理人和基金托管人都不召集基金份额持有人大会的，基金份额持</w:t>
      </w:r>
      <w:r>
        <w:rPr>
          <w:spacing w:val="-11"/>
        </w:rPr>
        <w:t>有人可以按照《证券投资基金法》第七十二条第二款的规定自行召集基金份额持</w:t>
      </w:r>
      <w:r>
        <w:rPr/>
        <w:t>有人大会。</w:t>
      </w:r>
    </w:p>
    <w:p>
      <w:pPr>
        <w:pStyle w:val="BodyText"/>
        <w:spacing w:line="364" w:lineRule="auto" w:before="2"/>
        <w:ind w:right="357" w:firstLine="479"/>
      </w:pPr>
      <w:r>
        <w:rPr>
          <w:spacing w:val="-6"/>
        </w:rPr>
        <w:t>基金份额持有人自行召集基金份额持有人大会的，应当至少提前三十日向中</w:t>
      </w:r>
      <w:r>
        <w:rPr/>
        <w:t>国证监会备案。</w:t>
      </w:r>
    </w:p>
    <w:p>
      <w:pPr>
        <w:pStyle w:val="BodyText"/>
        <w:spacing w:line="364" w:lineRule="auto" w:before="1"/>
        <w:ind w:right="364" w:firstLine="479"/>
      </w:pPr>
      <w:r>
        <w:rPr>
          <w:rFonts w:ascii="Times New Roman" w:eastAsia="Times New Roman"/>
        </w:rPr>
        <w:t>7</w:t>
      </w:r>
      <w:r>
        <w:rPr/>
        <w:t>、基金份额持有人依法自行召集基金份额持有人大会的，基金管理人、基金托管人应当配合，不得阻碍、干扰。</w:t>
      </w:r>
    </w:p>
    <w:p>
      <w:pPr>
        <w:pStyle w:val="BodyText"/>
        <w:spacing w:before="0"/>
        <w:ind w:left="0"/>
      </w:pPr>
    </w:p>
    <w:p>
      <w:pPr>
        <w:pStyle w:val="BodyText"/>
        <w:spacing w:before="163"/>
        <w:ind w:left="700"/>
      </w:pPr>
      <w:r>
        <w:rPr/>
        <w:t>（四）通知</w:t>
      </w:r>
    </w:p>
    <w:p>
      <w:pPr>
        <w:pStyle w:val="BodyText"/>
        <w:spacing w:line="364" w:lineRule="auto" w:before="160"/>
        <w:ind w:right="361" w:firstLine="479"/>
      </w:pPr>
      <w:r>
        <w:rPr>
          <w:spacing w:val="-7"/>
        </w:rPr>
        <w:t>召开基金份额持有人大会，召集人应在会议召开前至少三十日，在中国证监</w:t>
      </w:r>
      <w:r>
        <w:rPr/>
        <w:t>会指定媒介公告通知。基金份额持有人大会通知至少应载明以下内容：</w:t>
      </w:r>
    </w:p>
    <w:p>
      <w:pPr>
        <w:pStyle w:val="BodyText"/>
        <w:spacing w:before="1"/>
        <w:ind w:left="700"/>
      </w:pPr>
      <w:r>
        <w:rPr>
          <w:rFonts w:ascii="Times New Roman" w:eastAsia="Times New Roman"/>
        </w:rPr>
        <w:t>1</w:t>
      </w:r>
      <w:r>
        <w:rPr/>
        <w:t>、会议召开的时间、地点和方式；</w:t>
      </w:r>
    </w:p>
    <w:p>
      <w:pPr>
        <w:pStyle w:val="BodyText"/>
        <w:ind w:left="700"/>
      </w:pPr>
      <w:r>
        <w:rPr>
          <w:rFonts w:ascii="Times New Roman" w:eastAsia="Times New Roman"/>
        </w:rPr>
        <w:t>2</w:t>
      </w:r>
      <w:r>
        <w:rPr/>
        <w:t>、会议拟审议的主要事项；</w:t>
      </w:r>
    </w:p>
    <w:p>
      <w:pPr>
        <w:pStyle w:val="BodyText"/>
        <w:ind w:left="700"/>
      </w:pPr>
      <w:r>
        <w:rPr>
          <w:rFonts w:ascii="Times New Roman" w:eastAsia="Times New Roman"/>
        </w:rPr>
        <w:t>3</w:t>
      </w:r>
      <w:r>
        <w:rPr/>
        <w:t>、会议的议事程序；</w:t>
      </w:r>
    </w:p>
    <w:p>
      <w:pPr>
        <w:pStyle w:val="BodyText"/>
        <w:spacing w:before="160"/>
        <w:ind w:left="700"/>
      </w:pPr>
      <w:r>
        <w:rPr>
          <w:rFonts w:ascii="Times New Roman" w:eastAsia="Times New Roman"/>
        </w:rPr>
        <w:t>4</w:t>
      </w:r>
      <w:r>
        <w:rPr/>
        <w:t>、会议的表决方式；</w:t>
      </w:r>
    </w:p>
    <w:p>
      <w:pPr>
        <w:pStyle w:val="BodyText"/>
        <w:ind w:left="700"/>
      </w:pPr>
      <w:r>
        <w:rPr>
          <w:rFonts w:ascii="Times New Roman" w:eastAsia="Times New Roman"/>
        </w:rPr>
        <w:t>5</w:t>
      </w:r>
      <w:r>
        <w:rPr/>
        <w:t>、有权出席基金份额持有人大会的权益登记日；</w:t>
      </w:r>
    </w:p>
    <w:p>
      <w:pPr>
        <w:pStyle w:val="BodyText"/>
        <w:spacing w:before="160"/>
        <w:ind w:left="700"/>
      </w:pPr>
      <w:r>
        <w:rPr>
          <w:rFonts w:ascii="Times New Roman" w:eastAsia="Times New Roman"/>
        </w:rPr>
        <w:t>6</w:t>
      </w:r>
      <w:r>
        <w:rPr/>
        <w:t>、代理投票授权委托书送达时间和地点；</w:t>
      </w:r>
    </w:p>
    <w:p>
      <w:pPr>
        <w:pStyle w:val="BodyText"/>
        <w:ind w:left="700"/>
      </w:pPr>
      <w:r>
        <w:rPr>
          <w:rFonts w:ascii="Times New Roman" w:eastAsia="Times New Roman"/>
        </w:rPr>
        <w:t>7</w:t>
      </w:r>
      <w:r>
        <w:rPr/>
        <w:t>、会务常设联系人姓名、电话；</w:t>
      </w:r>
    </w:p>
    <w:p>
      <w:pPr>
        <w:pStyle w:val="BodyText"/>
        <w:spacing w:before="160"/>
        <w:ind w:left="700"/>
      </w:pPr>
      <w:r>
        <w:rPr>
          <w:rFonts w:ascii="Times New Roman" w:eastAsia="Times New Roman"/>
        </w:rPr>
        <w:t>8</w:t>
      </w:r>
      <w:r>
        <w:rPr/>
        <w:t>、召集人需要通知的其他事项。</w:t>
      </w:r>
    </w:p>
    <w:p>
      <w:pPr>
        <w:pStyle w:val="BodyText"/>
        <w:spacing w:line="364" w:lineRule="auto"/>
        <w:ind w:right="357" w:firstLine="479"/>
        <w:jc w:val="both"/>
      </w:pPr>
      <w:r>
        <w:rPr>
          <w:spacing w:val="-7"/>
        </w:rPr>
        <w:t>若采取通讯等方式开会并进行表决，会议通知中还应说明本次基金份额持有人大会所采取的具体方式、委托的公证机关及其联系方式和联系人、表决意见的</w:t>
      </w:r>
      <w:r>
        <w:rPr/>
        <w:t>寄交和收取方式。</w:t>
      </w:r>
    </w:p>
    <w:p>
      <w:pPr>
        <w:pStyle w:val="BodyText"/>
        <w:spacing w:before="0"/>
        <w:ind w:left="0"/>
      </w:pPr>
    </w:p>
    <w:p>
      <w:pPr>
        <w:pStyle w:val="BodyText"/>
        <w:spacing w:before="163"/>
        <w:ind w:left="700"/>
      </w:pPr>
      <w:r>
        <w:rPr/>
        <w:t>（五）召开方式</w:t>
      </w:r>
    </w:p>
    <w:p>
      <w:pPr>
        <w:pStyle w:val="BodyText"/>
        <w:spacing w:line="364" w:lineRule="auto" w:before="160"/>
        <w:ind w:right="244" w:firstLine="479"/>
      </w:pPr>
      <w:r>
        <w:rPr/>
        <w:t>基金份额持有人大会可以采取现场方式召开，也可以采取通讯等方式召开。会议的召开方式由召集人确定。</w:t>
      </w:r>
    </w:p>
    <w:p>
      <w:pPr>
        <w:pStyle w:val="BodyText"/>
        <w:spacing w:line="364" w:lineRule="auto" w:before="1"/>
        <w:ind w:right="117" w:firstLine="479"/>
      </w:pPr>
      <w:r>
        <w:rPr>
          <w:spacing w:val="4"/>
        </w:rPr>
        <w:t>基金份额持有人大会应当有代表百分之五十以上基金份额的持有人参加方 </w:t>
      </w:r>
      <w:r>
        <w:rPr>
          <w:spacing w:val="-12"/>
        </w:rPr>
        <w:t>可召开，但确定有权出席会议的基金份额持有人资格的权益登记日不应发生变化。</w:t>
      </w:r>
    </w:p>
    <w:p>
      <w:pPr>
        <w:spacing w:after="0" w:line="364" w:lineRule="auto"/>
        <w:sectPr>
          <w:pgSz w:w="11910" w:h="16840"/>
          <w:pgMar w:header="874" w:footer="997" w:top="1380" w:bottom="1180" w:left="1580" w:right="1440"/>
        </w:sectPr>
      </w:pPr>
    </w:p>
    <w:p>
      <w:pPr>
        <w:pStyle w:val="BodyText"/>
        <w:spacing w:line="364" w:lineRule="auto" w:before="130"/>
        <w:ind w:right="357" w:firstLine="479"/>
        <w:jc w:val="both"/>
      </w:pPr>
      <w:r>
        <w:rPr>
          <w:rFonts w:ascii="Times New Roman" w:eastAsia="Times New Roman"/>
        </w:rPr>
        <w:t>1</w:t>
      </w:r>
      <w:r>
        <w:rPr/>
        <w:t>、现场开会。由基金份额持有人本人出席或以代理投票授权委托书委派代</w:t>
      </w:r>
      <w:r>
        <w:rPr>
          <w:spacing w:val="-12"/>
        </w:rPr>
        <w:t>表出席，现场开会时基金管理人和基金托管人的授权代表应当列席基金份额持有</w:t>
      </w:r>
      <w:r>
        <w:rPr/>
        <w:t>人大会。</w:t>
      </w:r>
    </w:p>
    <w:p>
      <w:pPr>
        <w:pStyle w:val="BodyText"/>
        <w:spacing w:line="364" w:lineRule="auto" w:before="2"/>
        <w:ind w:right="359" w:firstLine="479"/>
        <w:jc w:val="both"/>
      </w:pPr>
      <w:r>
        <w:rPr/>
        <w:t>亲自出席会议者应持有基金份额的凭证</w:t>
      </w:r>
      <w:r>
        <w:rPr>
          <w:rFonts w:ascii="Times New Roman" w:eastAsia="Times New Roman"/>
        </w:rPr>
        <w:t>,</w:t>
      </w:r>
      <w:r>
        <w:rPr/>
        <w:t>受托出席会议者应出具的委托人持</w:t>
      </w:r>
      <w:r>
        <w:rPr>
          <w:spacing w:val="-5"/>
        </w:rPr>
        <w:t>有基金份额的凭证及委托人的代理投票授权委托书应符合法律、法规、本基金合</w:t>
      </w:r>
      <w:r>
        <w:rPr/>
        <w:t>同和会议通知的规定。</w:t>
      </w:r>
    </w:p>
    <w:p>
      <w:pPr>
        <w:pStyle w:val="BodyText"/>
        <w:spacing w:line="364" w:lineRule="auto" w:before="1"/>
        <w:ind w:left="700" w:right="2065"/>
      </w:pPr>
      <w:r>
        <w:rPr>
          <w:rFonts w:ascii="Times New Roman" w:eastAsia="Times New Roman"/>
        </w:rPr>
        <w:t>2</w:t>
      </w:r>
      <w:r>
        <w:rPr/>
        <w:t>、通讯方式开会。通讯方式开会应以书面方式进行表决。在符合以下条件时，通讯开会的方式视为有效：</w:t>
      </w:r>
    </w:p>
    <w:p>
      <w:pPr>
        <w:pStyle w:val="ListParagraph"/>
        <w:numPr>
          <w:ilvl w:val="0"/>
          <w:numId w:val="12"/>
        </w:numPr>
        <w:tabs>
          <w:tab w:pos="1302" w:val="left" w:leader="none"/>
        </w:tabs>
        <w:spacing w:line="240" w:lineRule="auto" w:before="2" w:after="0"/>
        <w:ind w:left="1301" w:right="0" w:hanging="602"/>
        <w:jc w:val="left"/>
        <w:rPr>
          <w:sz w:val="24"/>
        </w:rPr>
      </w:pPr>
      <w:r>
        <w:rPr>
          <w:sz w:val="24"/>
        </w:rPr>
        <w:t>召集人应按本基金合同规定公告会议通知；</w:t>
      </w:r>
    </w:p>
    <w:p>
      <w:pPr>
        <w:pStyle w:val="ListParagraph"/>
        <w:numPr>
          <w:ilvl w:val="0"/>
          <w:numId w:val="12"/>
        </w:numPr>
        <w:tabs>
          <w:tab w:pos="1302" w:val="left" w:leader="none"/>
        </w:tabs>
        <w:spacing w:line="364" w:lineRule="auto" w:before="161" w:after="0"/>
        <w:ind w:left="220" w:right="355" w:firstLine="479"/>
        <w:jc w:val="both"/>
        <w:rPr>
          <w:sz w:val="24"/>
        </w:rPr>
      </w:pPr>
      <w:r>
        <w:rPr>
          <w:sz w:val="24"/>
        </w:rPr>
        <w:t>召集人在基金托管人（如果基金托管人为召集人，则为基金管理人） 和公证机关的监督下按照会议通知规定的方式收取基金份额持有人的书面表决意见；</w:t>
      </w:r>
    </w:p>
    <w:p>
      <w:pPr>
        <w:pStyle w:val="ListParagraph"/>
        <w:numPr>
          <w:ilvl w:val="0"/>
          <w:numId w:val="12"/>
        </w:numPr>
        <w:tabs>
          <w:tab w:pos="1302" w:val="left" w:leader="none"/>
        </w:tabs>
        <w:spacing w:line="364" w:lineRule="auto" w:before="1" w:after="0"/>
        <w:ind w:left="220" w:right="357" w:firstLine="479"/>
        <w:jc w:val="both"/>
        <w:rPr>
          <w:sz w:val="24"/>
        </w:rPr>
      </w:pPr>
      <w:r>
        <w:rPr>
          <w:sz w:val="24"/>
        </w:rPr>
        <w:t>直接出具书面意见的基金份额持有人或受托代表他人出具书面意见的</w:t>
      </w:r>
      <w:r>
        <w:rPr>
          <w:spacing w:val="-11"/>
          <w:sz w:val="24"/>
        </w:rPr>
        <w:t>代理人，提交的持有基金份额的凭证、受托出席会议者出具的委托人持有基金份</w:t>
      </w:r>
      <w:r>
        <w:rPr>
          <w:spacing w:val="-5"/>
          <w:sz w:val="24"/>
        </w:rPr>
        <w:t>额的凭证及委托人的代理投票授权委托书应符合法律、法规、本基金合同和会议</w:t>
      </w:r>
      <w:r>
        <w:rPr>
          <w:sz w:val="24"/>
        </w:rPr>
        <w:t>通知的规定。</w:t>
      </w:r>
    </w:p>
    <w:p>
      <w:pPr>
        <w:pStyle w:val="BodyText"/>
        <w:spacing w:before="0"/>
        <w:ind w:left="0"/>
      </w:pPr>
    </w:p>
    <w:p>
      <w:pPr>
        <w:pStyle w:val="BodyText"/>
        <w:spacing w:before="164"/>
        <w:ind w:left="700"/>
      </w:pPr>
      <w:r>
        <w:rPr/>
        <w:t>（六）议事内容与程序</w:t>
      </w:r>
    </w:p>
    <w:p>
      <w:pPr>
        <w:pStyle w:val="BodyText"/>
        <w:spacing w:before="160"/>
        <w:ind w:left="700"/>
      </w:pPr>
      <w:r>
        <w:rPr>
          <w:rFonts w:ascii="Times New Roman" w:eastAsia="Times New Roman"/>
        </w:rPr>
        <w:t>1</w:t>
      </w:r>
      <w:r>
        <w:rPr/>
        <w:t>、议事内容及提案权</w:t>
      </w:r>
    </w:p>
    <w:p>
      <w:pPr>
        <w:pStyle w:val="BodyText"/>
        <w:spacing w:line="364" w:lineRule="auto"/>
        <w:ind w:right="357" w:firstLine="479"/>
        <w:jc w:val="both"/>
      </w:pPr>
      <w:r>
        <w:rPr>
          <w:spacing w:val="-6"/>
        </w:rPr>
        <w:t>议事内容为关系基金份额持有人利益的重大事项，如决定终止基金、更换基</w:t>
      </w:r>
      <w:r>
        <w:rPr>
          <w:spacing w:val="-12"/>
        </w:rPr>
        <w:t>金管理人、更换基金托管人、与其他基金合并以及召集人认为需提交基金份额持</w:t>
      </w:r>
      <w:r>
        <w:rPr/>
        <w:t>有人大会讨论的其他事项。</w:t>
      </w:r>
    </w:p>
    <w:p>
      <w:pPr>
        <w:pStyle w:val="BodyText"/>
        <w:spacing w:before="2"/>
        <w:ind w:left="700"/>
      </w:pPr>
      <w:r>
        <w:rPr/>
        <w:t>基金份额持有人大会不得对未事先公告的议事内容进行表决。</w:t>
      </w:r>
    </w:p>
    <w:p>
      <w:pPr>
        <w:pStyle w:val="BodyText"/>
        <w:spacing w:line="364" w:lineRule="auto"/>
        <w:ind w:right="357" w:firstLine="479"/>
        <w:jc w:val="both"/>
      </w:pPr>
      <w:r>
        <w:rPr>
          <w:spacing w:val="-5"/>
        </w:rPr>
        <w:t>基金份额持有人大会的召集人发出召集会议的通知后，对原有提案的修改应</w:t>
      </w:r>
      <w:r>
        <w:rPr>
          <w:spacing w:val="-6"/>
        </w:rPr>
        <w:t>当在基金份额持有人大会召开日前三十日公告。否则，会议的召开日期应当顺延</w:t>
      </w:r>
      <w:r>
        <w:rPr/>
        <w:t>并保证至少有三十日的间隔期。</w:t>
      </w:r>
    </w:p>
    <w:p>
      <w:pPr>
        <w:pStyle w:val="BodyText"/>
        <w:spacing w:line="364" w:lineRule="auto" w:before="1"/>
        <w:ind w:right="354" w:firstLine="479"/>
        <w:jc w:val="both"/>
      </w:pPr>
      <w:r>
        <w:rPr>
          <w:spacing w:val="-11"/>
        </w:rPr>
        <w:t>基金管理人、基金托管人、单独或合并持有权益登记日基金总份额百分之十</w:t>
      </w:r>
      <w:r>
        <w:rPr/>
        <w:t>或以上的基金份额持有人可以在大会召集人发出会议通知前向大会召集人提交需由基金份额持有人大会审议表决的提案。</w:t>
      </w:r>
    </w:p>
    <w:p>
      <w:pPr>
        <w:spacing w:after="0" w:line="364" w:lineRule="auto"/>
        <w:jc w:val="both"/>
        <w:sectPr>
          <w:pgSz w:w="11910" w:h="16840"/>
          <w:pgMar w:header="874" w:footer="997" w:top="1380" w:bottom="1180" w:left="1580" w:right="1440"/>
        </w:sectPr>
      </w:pPr>
    </w:p>
    <w:p>
      <w:pPr>
        <w:pStyle w:val="BodyText"/>
        <w:spacing w:line="364" w:lineRule="auto" w:before="130"/>
        <w:ind w:right="357" w:firstLine="479"/>
      </w:pPr>
      <w:r>
        <w:rPr>
          <w:spacing w:val="-8"/>
        </w:rPr>
        <w:t>对于基金份额持有人提交的提案，大会召集人应当按照以下原则对提案进行</w:t>
      </w:r>
      <w:r>
        <w:rPr/>
        <w:t>审核：</w:t>
      </w:r>
    </w:p>
    <w:p>
      <w:pPr>
        <w:pStyle w:val="ListParagraph"/>
        <w:numPr>
          <w:ilvl w:val="0"/>
          <w:numId w:val="13"/>
        </w:numPr>
        <w:tabs>
          <w:tab w:pos="1302" w:val="left" w:leader="none"/>
        </w:tabs>
        <w:spacing w:line="364" w:lineRule="auto" w:before="1" w:after="0"/>
        <w:ind w:left="220" w:right="237" w:firstLine="479"/>
        <w:jc w:val="left"/>
        <w:rPr>
          <w:sz w:val="24"/>
        </w:rPr>
      </w:pPr>
      <w:r>
        <w:rPr>
          <w:sz w:val="24"/>
        </w:rPr>
        <w:t>关联性。大会召集人对于基金份额持有人提案涉及事项与基金有直接</w:t>
      </w:r>
      <w:r>
        <w:rPr>
          <w:spacing w:val="-17"/>
          <w:sz w:val="24"/>
        </w:rPr>
        <w:t>关系，并且不超出法律、法规和基金合同规定的基金份额持有人大会职权范围的， </w:t>
      </w:r>
      <w:r>
        <w:rPr>
          <w:spacing w:val="-7"/>
          <w:sz w:val="24"/>
        </w:rPr>
        <w:t>应提交大会审议；对于不符合上述要求的，不提交基金份额持有人大会审议。如</w:t>
      </w:r>
      <w:r>
        <w:rPr>
          <w:spacing w:val="-11"/>
          <w:sz w:val="24"/>
        </w:rPr>
        <w:t>果召集人决定不将基金份额持有人提案提交大会表决，应当在该次基金份额持有人大会上进行解释和说明。</w:t>
      </w:r>
    </w:p>
    <w:p>
      <w:pPr>
        <w:pStyle w:val="ListParagraph"/>
        <w:numPr>
          <w:ilvl w:val="0"/>
          <w:numId w:val="13"/>
        </w:numPr>
        <w:tabs>
          <w:tab w:pos="1302" w:val="left" w:leader="none"/>
        </w:tabs>
        <w:spacing w:line="364" w:lineRule="auto" w:before="4" w:after="0"/>
        <w:ind w:left="220" w:right="244" w:firstLine="479"/>
        <w:jc w:val="left"/>
        <w:rPr>
          <w:sz w:val="24"/>
        </w:rPr>
      </w:pPr>
      <w:r>
        <w:rPr>
          <w:sz w:val="24"/>
        </w:rPr>
        <w:t>程序性。大会召集人可以对基金份额持有人的提案涉及的程序性问题</w:t>
      </w:r>
      <w:r>
        <w:rPr>
          <w:spacing w:val="-9"/>
          <w:sz w:val="24"/>
        </w:rPr>
        <w:t>做出决定。如将其提案进行分拆或合并表决，需征得原提案人同意；原提案人不</w:t>
      </w:r>
      <w:r>
        <w:rPr>
          <w:spacing w:val="-10"/>
          <w:sz w:val="24"/>
        </w:rPr>
        <w:t>同意变更的，大会主持人可以就程序性问题提请基金份额持有人大会做出决定， </w:t>
      </w:r>
      <w:r>
        <w:rPr>
          <w:sz w:val="24"/>
        </w:rPr>
        <w:t>并按照基金份额持有人大会决定的程序进行审议。</w:t>
      </w:r>
    </w:p>
    <w:p>
      <w:pPr>
        <w:pStyle w:val="BodyText"/>
        <w:spacing w:before="2"/>
        <w:ind w:left="700"/>
      </w:pPr>
      <w:r>
        <w:rPr>
          <w:rFonts w:ascii="Times New Roman" w:eastAsia="Times New Roman"/>
        </w:rPr>
        <w:t>2</w:t>
      </w:r>
      <w:r>
        <w:rPr/>
        <w:t>、议事程序</w:t>
      </w:r>
    </w:p>
    <w:p>
      <w:pPr>
        <w:pStyle w:val="ListParagraph"/>
        <w:numPr>
          <w:ilvl w:val="0"/>
          <w:numId w:val="14"/>
        </w:numPr>
        <w:tabs>
          <w:tab w:pos="1302" w:val="left" w:leader="none"/>
        </w:tabs>
        <w:spacing w:line="240" w:lineRule="auto" w:before="160" w:after="0"/>
        <w:ind w:left="1301" w:right="0" w:hanging="602"/>
        <w:jc w:val="left"/>
        <w:rPr>
          <w:sz w:val="24"/>
        </w:rPr>
      </w:pPr>
      <w:r>
        <w:rPr>
          <w:sz w:val="24"/>
        </w:rPr>
        <w:t>现场开会</w:t>
      </w:r>
    </w:p>
    <w:p>
      <w:pPr>
        <w:pStyle w:val="BodyText"/>
        <w:spacing w:line="364" w:lineRule="auto"/>
        <w:ind w:right="357" w:firstLine="479"/>
        <w:jc w:val="both"/>
      </w:pPr>
      <w:r>
        <w:rPr>
          <w:spacing w:val="-6"/>
        </w:rPr>
        <w:t>大会主持人为基金管理人授权出席会议的代表，在基金管理人未能主持大会</w:t>
      </w:r>
      <w:r>
        <w:rPr>
          <w:spacing w:val="-10"/>
        </w:rPr>
        <w:t>的情况下，由基金托管人授权其出席会议的代表主持；如果基金管理人和基金托</w:t>
      </w:r>
      <w:r>
        <w:rPr>
          <w:spacing w:val="-11"/>
        </w:rPr>
        <w:t>管人均未能主持大会，则由出席大会的基金份额持有人以所代表的基金份额百分</w:t>
      </w:r>
      <w:r>
        <w:rPr>
          <w:spacing w:val="-10"/>
        </w:rPr>
        <w:t>之五十以上</w:t>
      </w:r>
      <w:r>
        <w:rPr/>
        <w:t>（不含百分之五十</w:t>
      </w:r>
      <w:r>
        <w:rPr>
          <w:spacing w:val="-48"/>
        </w:rPr>
        <w:t>）</w:t>
      </w:r>
      <w:r>
        <w:rPr>
          <w:spacing w:val="-1"/>
        </w:rPr>
        <w:t>多数选举产生一名基金份额持有人或其代理人作</w:t>
      </w:r>
      <w:r>
        <w:rPr/>
        <w:t>为该次基金份额持有人大会的主持人。</w:t>
      </w:r>
    </w:p>
    <w:p>
      <w:pPr>
        <w:pStyle w:val="BodyText"/>
        <w:spacing w:line="364" w:lineRule="auto" w:before="3"/>
        <w:ind w:right="357" w:firstLine="479"/>
        <w:jc w:val="both"/>
      </w:pPr>
      <w:r>
        <w:rPr>
          <w:spacing w:val="-6"/>
        </w:rPr>
        <w:t>在现场开会的方式下，首先由大会主持人按照下列第</w:t>
      </w:r>
      <w:r>
        <w:rPr/>
        <w:t>（八</w:t>
      </w:r>
      <w:r>
        <w:rPr>
          <w:spacing w:val="-32"/>
        </w:rPr>
        <w:t>）</w:t>
      </w:r>
      <w:r>
        <w:rPr>
          <w:spacing w:val="-2"/>
        </w:rPr>
        <w:t>款规定程序确定</w:t>
      </w:r>
      <w:r>
        <w:rPr>
          <w:spacing w:val="-9"/>
        </w:rPr>
        <w:t>和公布监票人，然后由大会主持人宣读提案，经讨论后进行表决，并形成大会决</w:t>
      </w:r>
      <w:r>
        <w:rPr/>
        <w:t>议。</w:t>
      </w:r>
    </w:p>
    <w:p>
      <w:pPr>
        <w:pStyle w:val="ListParagraph"/>
        <w:numPr>
          <w:ilvl w:val="0"/>
          <w:numId w:val="14"/>
        </w:numPr>
        <w:tabs>
          <w:tab w:pos="1302" w:val="left" w:leader="none"/>
        </w:tabs>
        <w:spacing w:line="240" w:lineRule="auto" w:before="3" w:after="0"/>
        <w:ind w:left="1301" w:right="0" w:hanging="602"/>
        <w:jc w:val="left"/>
        <w:rPr>
          <w:sz w:val="24"/>
        </w:rPr>
      </w:pPr>
      <w:r>
        <w:rPr>
          <w:sz w:val="24"/>
        </w:rPr>
        <w:t>通讯方式开会</w:t>
      </w:r>
    </w:p>
    <w:p>
      <w:pPr>
        <w:pStyle w:val="BodyText"/>
        <w:spacing w:line="364" w:lineRule="auto" w:before="160"/>
        <w:ind w:right="360" w:firstLine="479"/>
      </w:pPr>
      <w:r>
        <w:rPr>
          <w:spacing w:val="-7"/>
        </w:rPr>
        <w:t>在通讯方式开会的情况下，由召集人提前三十日公布提案，在所通知的表决</w:t>
      </w:r>
      <w:r>
        <w:rPr/>
        <w:t>截止日期第二天统计全部有效表决，在公证机构监督下形成决议。</w:t>
      </w:r>
    </w:p>
    <w:p>
      <w:pPr>
        <w:pStyle w:val="BodyText"/>
        <w:spacing w:before="0"/>
        <w:ind w:left="0"/>
      </w:pPr>
    </w:p>
    <w:p>
      <w:pPr>
        <w:pStyle w:val="BodyText"/>
        <w:spacing w:before="162"/>
        <w:ind w:left="700"/>
      </w:pPr>
      <w:r>
        <w:rPr/>
        <w:t>（七）表决</w:t>
      </w:r>
    </w:p>
    <w:p>
      <w:pPr>
        <w:pStyle w:val="BodyText"/>
        <w:spacing w:before="160"/>
        <w:ind w:left="700"/>
      </w:pPr>
      <w:r>
        <w:rPr>
          <w:rFonts w:ascii="Times New Roman" w:eastAsia="Times New Roman"/>
        </w:rPr>
        <w:t>1</w:t>
      </w:r>
      <w:r>
        <w:rPr/>
        <w:t>、基金份额持有人所持每份基金份额有一票表决权。</w:t>
      </w:r>
    </w:p>
    <w:p>
      <w:pPr>
        <w:pStyle w:val="BodyText"/>
        <w:ind w:left="700"/>
      </w:pPr>
      <w:r>
        <w:rPr>
          <w:rFonts w:ascii="Times New Roman" w:eastAsia="Times New Roman"/>
        </w:rPr>
        <w:t>2</w:t>
      </w:r>
      <w:r>
        <w:rPr/>
        <w:t>、基金份额持有人大会决议分为一般决议和特别决议：</w:t>
      </w:r>
    </w:p>
    <w:p>
      <w:pPr>
        <w:pStyle w:val="ListParagraph"/>
        <w:numPr>
          <w:ilvl w:val="0"/>
          <w:numId w:val="15"/>
        </w:numPr>
        <w:tabs>
          <w:tab w:pos="1302" w:val="left" w:leader="none"/>
        </w:tabs>
        <w:spacing w:line="240" w:lineRule="auto" w:before="161" w:after="0"/>
        <w:ind w:left="1301" w:right="0" w:hanging="602"/>
        <w:jc w:val="left"/>
        <w:rPr>
          <w:sz w:val="24"/>
        </w:rPr>
      </w:pPr>
      <w:r>
        <w:rPr>
          <w:sz w:val="24"/>
        </w:rPr>
        <w:t>一般决议，须经出席会议的基金份额持有人所持表决权的百分之五十</w:t>
      </w:r>
    </w:p>
    <w:p>
      <w:pPr>
        <w:spacing w:after="0" w:line="240" w:lineRule="auto"/>
        <w:jc w:val="left"/>
        <w:rPr>
          <w:sz w:val="24"/>
        </w:rPr>
        <w:sectPr>
          <w:pgSz w:w="11910" w:h="16840"/>
          <w:pgMar w:header="874" w:footer="997" w:top="1380" w:bottom="1180" w:left="1580" w:right="1440"/>
        </w:sectPr>
      </w:pPr>
    </w:p>
    <w:p>
      <w:pPr>
        <w:pStyle w:val="BodyText"/>
        <w:spacing w:line="364" w:lineRule="auto" w:before="130"/>
        <w:ind w:right="362"/>
      </w:pPr>
      <w:r>
        <w:rPr/>
        <w:t>以上（不含百分之五十）通过方为有效，除下列（</w:t>
      </w:r>
      <w:r>
        <w:rPr>
          <w:rFonts w:ascii="Times New Roman" w:eastAsia="Times New Roman"/>
        </w:rPr>
        <w:t>2</w:t>
      </w:r>
      <w:r>
        <w:rPr/>
        <w:t>）所规定的须以特别决议通过事项以外的其他事项均以一般决议的方式通过。</w:t>
      </w:r>
    </w:p>
    <w:p>
      <w:pPr>
        <w:pStyle w:val="ListParagraph"/>
        <w:numPr>
          <w:ilvl w:val="0"/>
          <w:numId w:val="15"/>
        </w:numPr>
        <w:tabs>
          <w:tab w:pos="1302" w:val="left" w:leader="none"/>
        </w:tabs>
        <w:spacing w:line="364" w:lineRule="auto" w:before="1" w:after="0"/>
        <w:ind w:left="220" w:right="358" w:firstLine="479"/>
        <w:jc w:val="both"/>
        <w:rPr>
          <w:sz w:val="24"/>
        </w:rPr>
      </w:pPr>
      <w:r>
        <w:rPr>
          <w:sz w:val="24"/>
        </w:rPr>
        <w:t>特别决议，须经出席会议的基金份额持有人所持表决权的三分之二以</w:t>
      </w:r>
      <w:r>
        <w:rPr>
          <w:spacing w:val="-20"/>
          <w:sz w:val="24"/>
        </w:rPr>
        <w:t>上</w:t>
      </w:r>
      <w:r>
        <w:rPr>
          <w:sz w:val="24"/>
        </w:rPr>
        <w:t>（不含三分之二</w:t>
      </w:r>
      <w:r>
        <w:rPr>
          <w:spacing w:val="-20"/>
          <w:sz w:val="24"/>
        </w:rPr>
        <w:t>）</w:t>
      </w:r>
      <w:r>
        <w:rPr>
          <w:spacing w:val="-7"/>
          <w:sz w:val="24"/>
        </w:rPr>
        <w:t>通过方可做出。更换基金管理人、更换基金托管人、决定终</w:t>
      </w:r>
      <w:r>
        <w:rPr>
          <w:spacing w:val="-10"/>
          <w:sz w:val="24"/>
        </w:rPr>
        <w:t>止基金合同、转换基金运作方式等重大事项必须以特别决议通过方为有效，但法</w:t>
      </w:r>
      <w:r>
        <w:rPr>
          <w:sz w:val="24"/>
        </w:rPr>
        <w:t>律法规、本基金合同另有约定的除外。</w:t>
      </w:r>
    </w:p>
    <w:p>
      <w:pPr>
        <w:pStyle w:val="BodyText"/>
        <w:spacing w:before="2"/>
        <w:ind w:left="700"/>
      </w:pPr>
      <w:r>
        <w:rPr>
          <w:rFonts w:ascii="Times New Roman" w:eastAsia="Times New Roman"/>
        </w:rPr>
        <w:t>3</w:t>
      </w:r>
      <w:r>
        <w:rPr/>
        <w:t>、基金份额持有人大会采取记名方式进行投票表决。</w:t>
      </w:r>
    </w:p>
    <w:p>
      <w:pPr>
        <w:pStyle w:val="BodyText"/>
        <w:spacing w:line="364" w:lineRule="auto"/>
        <w:ind w:right="357" w:firstLine="479"/>
        <w:jc w:val="both"/>
      </w:pPr>
      <w:r>
        <w:rPr>
          <w:rFonts w:ascii="Times New Roman" w:eastAsia="Times New Roman"/>
        </w:rPr>
        <w:t>4</w:t>
      </w:r>
      <w:r>
        <w:rPr/>
        <w:t>、采取通讯方式进行表决时，除非有充分相反证据证明，否则其表面符合</w:t>
      </w:r>
      <w:r>
        <w:rPr>
          <w:spacing w:val="-5"/>
        </w:rPr>
        <w:t>法律法规和会议通知规定的书面表决意见视为有效表决。意见模糊或相互矛盾的</w:t>
      </w:r>
      <w:r>
        <w:rPr/>
        <w:t>视为无效表决。</w:t>
      </w:r>
    </w:p>
    <w:p>
      <w:pPr>
        <w:pStyle w:val="BodyText"/>
        <w:spacing w:line="364" w:lineRule="auto" w:before="2"/>
        <w:ind w:right="364" w:firstLine="479"/>
      </w:pPr>
      <w:r>
        <w:rPr>
          <w:rFonts w:ascii="Times New Roman" w:eastAsia="Times New Roman"/>
        </w:rPr>
        <w:t>5</w:t>
      </w:r>
      <w:r>
        <w:rPr/>
        <w:t>、基金份额持有人大会的各项提案或同一项提案内并列的各项议题应当分开审议、逐项表决。</w:t>
      </w:r>
    </w:p>
    <w:p>
      <w:pPr>
        <w:pStyle w:val="BodyText"/>
        <w:spacing w:before="0"/>
        <w:ind w:left="0"/>
      </w:pPr>
    </w:p>
    <w:p>
      <w:pPr>
        <w:pStyle w:val="BodyText"/>
        <w:spacing w:before="162"/>
        <w:ind w:left="700"/>
      </w:pPr>
      <w:r>
        <w:rPr/>
        <w:t>（八）计票</w:t>
      </w:r>
    </w:p>
    <w:p>
      <w:pPr>
        <w:pStyle w:val="BodyText"/>
        <w:ind w:left="700"/>
      </w:pPr>
      <w:r>
        <w:rPr>
          <w:rFonts w:ascii="Times New Roman" w:eastAsia="Times New Roman"/>
        </w:rPr>
        <w:t>1</w:t>
      </w:r>
      <w:r>
        <w:rPr/>
        <w:t>、现场开会</w:t>
      </w:r>
    </w:p>
    <w:p>
      <w:pPr>
        <w:pStyle w:val="ListParagraph"/>
        <w:numPr>
          <w:ilvl w:val="0"/>
          <w:numId w:val="16"/>
        </w:numPr>
        <w:tabs>
          <w:tab w:pos="1302" w:val="left" w:leader="none"/>
        </w:tabs>
        <w:spacing w:line="364" w:lineRule="auto" w:before="160" w:after="0"/>
        <w:ind w:left="220" w:right="242" w:firstLine="479"/>
        <w:jc w:val="both"/>
        <w:rPr>
          <w:sz w:val="24"/>
        </w:rPr>
      </w:pPr>
      <w:r>
        <w:rPr>
          <w:sz w:val="24"/>
        </w:rPr>
        <w:t>如基金份额持有人大会由基金管理人或基金托管人召集，基金份额持有人大会的主持人应当在会议开始后宣布在出席会议的基金份额持有人中选举</w:t>
      </w:r>
      <w:r>
        <w:rPr>
          <w:spacing w:val="-3"/>
          <w:sz w:val="24"/>
        </w:rPr>
        <w:t>两名基金份额持有人代表与大会召集人授权的一名监督员共同担任监票人；如大</w:t>
      </w:r>
      <w:r>
        <w:rPr>
          <w:spacing w:val="-10"/>
          <w:sz w:val="24"/>
        </w:rPr>
        <w:t>会由基金份额持有人自行召集，基金份额持有人大会的主持人应当在会议开始后</w:t>
      </w:r>
      <w:r>
        <w:rPr>
          <w:spacing w:val="-11"/>
          <w:sz w:val="24"/>
        </w:rPr>
        <w:t>宣布在出席会议的基金份额持有人中选举三名基金份额持有人代表担任监票人；</w:t>
      </w:r>
    </w:p>
    <w:p>
      <w:pPr>
        <w:pStyle w:val="ListParagraph"/>
        <w:numPr>
          <w:ilvl w:val="0"/>
          <w:numId w:val="16"/>
        </w:numPr>
        <w:tabs>
          <w:tab w:pos="1302" w:val="left" w:leader="none"/>
        </w:tabs>
        <w:spacing w:line="364" w:lineRule="auto" w:before="3" w:after="0"/>
        <w:ind w:left="220" w:right="364" w:firstLine="479"/>
        <w:jc w:val="left"/>
        <w:rPr>
          <w:sz w:val="24"/>
        </w:rPr>
      </w:pPr>
      <w:r>
        <w:rPr>
          <w:spacing w:val="-1"/>
          <w:sz w:val="24"/>
        </w:rPr>
        <w:t>计票人应在基金份额持有人表决后立即进行清点并由大会主持人当场</w:t>
      </w:r>
      <w:r>
        <w:rPr>
          <w:sz w:val="24"/>
        </w:rPr>
        <w:t>公布计票结果；</w:t>
      </w:r>
    </w:p>
    <w:p>
      <w:pPr>
        <w:pStyle w:val="ListParagraph"/>
        <w:numPr>
          <w:ilvl w:val="0"/>
          <w:numId w:val="16"/>
        </w:numPr>
        <w:tabs>
          <w:tab w:pos="1302" w:val="left" w:leader="none"/>
        </w:tabs>
        <w:spacing w:line="364" w:lineRule="auto" w:before="2" w:after="0"/>
        <w:ind w:left="220" w:right="357" w:firstLine="479"/>
        <w:jc w:val="both"/>
        <w:rPr>
          <w:sz w:val="24"/>
        </w:rPr>
      </w:pPr>
      <w:r>
        <w:rPr>
          <w:sz w:val="24"/>
        </w:rPr>
        <w:t>如果会议主持人对于提交的表决结果有怀疑，可以对所投票数进行重</w:t>
      </w:r>
      <w:r>
        <w:rPr>
          <w:spacing w:val="-11"/>
          <w:sz w:val="24"/>
        </w:rPr>
        <w:t>新清点；如果会议主持人未进行重新清点，而出席会议的基金份额持有人或者基</w:t>
      </w:r>
      <w:r>
        <w:rPr>
          <w:spacing w:val="-5"/>
          <w:sz w:val="24"/>
        </w:rPr>
        <w:t>金份额持有人代理人对会议主持人宣布的表决结果有异议，其有权在宣布表决结</w:t>
      </w:r>
      <w:r>
        <w:rPr>
          <w:sz w:val="24"/>
        </w:rPr>
        <w:t>果后立即要求重新清点，会议主持人应当立即重新清点并公布重新清点结果。</w:t>
      </w:r>
    </w:p>
    <w:p>
      <w:pPr>
        <w:pStyle w:val="BodyText"/>
        <w:spacing w:before="2"/>
        <w:ind w:left="700"/>
      </w:pPr>
      <w:r>
        <w:rPr>
          <w:rFonts w:ascii="Times New Roman" w:eastAsia="Times New Roman"/>
        </w:rPr>
        <w:t>2</w:t>
      </w:r>
      <w:r>
        <w:rPr/>
        <w:t>、通讯方式开会</w:t>
      </w:r>
    </w:p>
    <w:p>
      <w:pPr>
        <w:pStyle w:val="BodyText"/>
        <w:spacing w:line="364" w:lineRule="auto"/>
        <w:ind w:right="244" w:firstLine="479"/>
      </w:pPr>
      <w:r>
        <w:rPr>
          <w:spacing w:val="-7"/>
        </w:rPr>
        <w:t>在通讯方式开会的情况下，计票方式为：由大会召集人授权的两名监督员在</w:t>
      </w:r>
      <w:r>
        <w:rPr>
          <w:spacing w:val="-8"/>
        </w:rPr>
        <w:t>基金托管人授权代表的监督下进行计票，并由公证机关对其计票过程予以公证，</w:t>
      </w:r>
    </w:p>
    <w:p>
      <w:pPr>
        <w:spacing w:after="0" w:line="364" w:lineRule="auto"/>
        <w:sectPr>
          <w:pgSz w:w="11910" w:h="16840"/>
          <w:pgMar w:header="874" w:footer="997" w:top="1380" w:bottom="1180" w:left="1580" w:right="1440"/>
        </w:sectPr>
      </w:pPr>
    </w:p>
    <w:p>
      <w:pPr>
        <w:pStyle w:val="BodyText"/>
        <w:spacing w:line="364" w:lineRule="auto" w:before="130"/>
        <w:ind w:right="357"/>
      </w:pPr>
      <w:r>
        <w:rPr>
          <w:spacing w:val="-6"/>
        </w:rPr>
        <w:t>并在公告基金份额持有人大会决议时，将公证书全文、公证机关、公证员姓名等</w:t>
      </w:r>
      <w:r>
        <w:rPr/>
        <w:t>一同公告。</w:t>
      </w:r>
    </w:p>
    <w:p>
      <w:pPr>
        <w:pStyle w:val="BodyText"/>
        <w:spacing w:before="0"/>
        <w:ind w:left="0"/>
      </w:pPr>
    </w:p>
    <w:p>
      <w:pPr>
        <w:pStyle w:val="BodyText"/>
        <w:ind w:left="700"/>
      </w:pPr>
      <w:r>
        <w:rPr/>
        <w:t>（九）生效与公告</w:t>
      </w:r>
    </w:p>
    <w:p>
      <w:pPr>
        <w:pStyle w:val="BodyText"/>
        <w:spacing w:line="364" w:lineRule="auto"/>
        <w:ind w:right="350" w:firstLine="479"/>
        <w:jc w:val="both"/>
      </w:pPr>
      <w:r>
        <w:rPr>
          <w:spacing w:val="4"/>
        </w:rPr>
        <w:t>基金份额持有人大会决议自表决通过之日起五日内报中国证监会或其他有</w:t>
      </w:r>
      <w:r>
        <w:rPr>
          <w:spacing w:val="-10"/>
        </w:rPr>
        <w:t>权机构核准或者备案，自其核准之日或相关核准另行确定的日期或出具无异议意见之日起生效。</w:t>
      </w:r>
    </w:p>
    <w:p>
      <w:pPr>
        <w:pStyle w:val="BodyText"/>
        <w:spacing w:line="364" w:lineRule="auto" w:before="2"/>
        <w:ind w:right="357" w:firstLine="479"/>
      </w:pPr>
      <w:r>
        <w:rPr>
          <w:spacing w:val="-6"/>
        </w:rPr>
        <w:t>生效的基金份额持有人大会决议对基金管理人、基金托管人和全体基金份额</w:t>
      </w:r>
      <w:r>
        <w:rPr/>
        <w:t>持有人均有法律约束力。</w:t>
      </w:r>
    </w:p>
    <w:p>
      <w:pPr>
        <w:pStyle w:val="BodyText"/>
        <w:spacing w:line="364" w:lineRule="auto" w:before="2"/>
        <w:ind w:right="356" w:firstLine="479"/>
      </w:pPr>
      <w:r>
        <w:rPr>
          <w:spacing w:val="-5"/>
        </w:rPr>
        <w:t>基金份额持有人大会决议自生效之日起五个工作日内在指定媒介公告。法律</w:t>
      </w:r>
      <w:r>
        <w:rPr/>
        <w:t>法规或监管机关对基金份额持有人大会有关事项另有规定的，从其规定。</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ind w:right="140"/>
      </w:pPr>
      <w:bookmarkStart w:name="_bookmark10" w:id="11"/>
      <w:bookmarkEnd w:id="11"/>
      <w:r>
        <w:rPr>
          <w:b w:val="0"/>
        </w:rPr>
      </w:r>
      <w:r>
        <w:rPr/>
        <w:t>十一、基金管理人、基金托管人的更换条件和程序</w:t>
      </w:r>
    </w:p>
    <w:p>
      <w:pPr>
        <w:pStyle w:val="BodyText"/>
        <w:spacing w:before="0"/>
        <w:ind w:left="0"/>
        <w:rPr>
          <w:b/>
          <w:sz w:val="30"/>
        </w:rPr>
      </w:pPr>
    </w:p>
    <w:p>
      <w:pPr>
        <w:pStyle w:val="BodyText"/>
        <w:spacing w:before="2"/>
        <w:ind w:left="0"/>
        <w:rPr>
          <w:b/>
          <w:sz w:val="22"/>
        </w:rPr>
      </w:pPr>
    </w:p>
    <w:p>
      <w:pPr>
        <w:pStyle w:val="BodyText"/>
        <w:spacing w:before="1"/>
        <w:ind w:left="700"/>
      </w:pPr>
      <w:r>
        <w:rPr/>
        <w:t>（一）基金管理人的更换</w:t>
      </w:r>
    </w:p>
    <w:p>
      <w:pPr>
        <w:pStyle w:val="BodyText"/>
        <w:spacing w:before="160"/>
        <w:ind w:left="700"/>
      </w:pPr>
      <w:r>
        <w:rPr>
          <w:rFonts w:ascii="Times New Roman" w:eastAsia="Times New Roman"/>
        </w:rPr>
        <w:t>1</w:t>
      </w:r>
      <w:r>
        <w:rPr/>
        <w:t>、基金管理人的更换条件</w:t>
      </w:r>
    </w:p>
    <w:p>
      <w:pPr>
        <w:pStyle w:val="BodyText"/>
        <w:ind w:left="700"/>
      </w:pPr>
      <w:r>
        <w:rPr/>
        <w:t>有下列情形之一的，经中国证监会批准，更换基金管理人：</w:t>
      </w:r>
    </w:p>
    <w:p>
      <w:pPr>
        <w:pStyle w:val="ListParagraph"/>
        <w:numPr>
          <w:ilvl w:val="0"/>
          <w:numId w:val="17"/>
        </w:numPr>
        <w:tabs>
          <w:tab w:pos="1302" w:val="left" w:leader="none"/>
        </w:tabs>
        <w:spacing w:line="240" w:lineRule="auto" w:before="160" w:after="0"/>
        <w:ind w:left="1301" w:right="0" w:hanging="602"/>
        <w:jc w:val="left"/>
        <w:rPr>
          <w:sz w:val="24"/>
        </w:rPr>
      </w:pPr>
      <w:r>
        <w:rPr>
          <w:sz w:val="24"/>
        </w:rPr>
        <w:t>基金管理人解散、依法被撤销、破产或者由接管人接管其资产的；</w:t>
      </w:r>
    </w:p>
    <w:p>
      <w:pPr>
        <w:pStyle w:val="ListParagraph"/>
        <w:numPr>
          <w:ilvl w:val="0"/>
          <w:numId w:val="17"/>
        </w:numPr>
        <w:tabs>
          <w:tab w:pos="1302" w:val="left" w:leader="none"/>
        </w:tabs>
        <w:spacing w:line="240" w:lineRule="auto" w:before="161" w:after="0"/>
        <w:ind w:left="1301" w:right="0" w:hanging="602"/>
        <w:jc w:val="left"/>
        <w:rPr>
          <w:sz w:val="24"/>
        </w:rPr>
      </w:pPr>
      <w:r>
        <w:rPr>
          <w:sz w:val="24"/>
        </w:rPr>
        <w:t>原基金管理人被依法取消基金管理资格；</w:t>
      </w:r>
    </w:p>
    <w:p>
      <w:pPr>
        <w:pStyle w:val="ListParagraph"/>
        <w:numPr>
          <w:ilvl w:val="0"/>
          <w:numId w:val="17"/>
        </w:numPr>
        <w:tabs>
          <w:tab w:pos="1302" w:val="left" w:leader="none"/>
        </w:tabs>
        <w:spacing w:line="240" w:lineRule="auto" w:before="161" w:after="0"/>
        <w:ind w:left="1301" w:right="0" w:hanging="602"/>
        <w:jc w:val="left"/>
        <w:rPr>
          <w:sz w:val="24"/>
        </w:rPr>
      </w:pPr>
      <w:r>
        <w:rPr>
          <w:sz w:val="24"/>
        </w:rPr>
        <w:t>生效的基金份额持有人大会决议要求基金管理人退任；</w:t>
      </w:r>
    </w:p>
    <w:p>
      <w:pPr>
        <w:pStyle w:val="ListParagraph"/>
        <w:numPr>
          <w:ilvl w:val="0"/>
          <w:numId w:val="17"/>
        </w:numPr>
        <w:tabs>
          <w:tab w:pos="1302" w:val="left" w:leader="none"/>
        </w:tabs>
        <w:spacing w:line="240" w:lineRule="auto" w:before="160" w:after="0"/>
        <w:ind w:left="1301" w:right="0" w:hanging="602"/>
        <w:jc w:val="left"/>
        <w:rPr>
          <w:sz w:val="24"/>
        </w:rPr>
      </w:pPr>
      <w:r>
        <w:rPr>
          <w:sz w:val="24"/>
        </w:rPr>
        <w:t>有关法律、法规和基金合同约定的其他情形。</w:t>
      </w:r>
    </w:p>
    <w:p>
      <w:pPr>
        <w:pStyle w:val="BodyText"/>
        <w:ind w:left="700"/>
      </w:pPr>
      <w:r>
        <w:rPr>
          <w:rFonts w:ascii="Times New Roman" w:eastAsia="Times New Roman"/>
        </w:rPr>
        <w:t>2</w:t>
      </w:r>
      <w:r>
        <w:rPr/>
        <w:t>、基金管理人的更换程序</w:t>
      </w:r>
    </w:p>
    <w:p>
      <w:pPr>
        <w:pStyle w:val="ListParagraph"/>
        <w:numPr>
          <w:ilvl w:val="0"/>
          <w:numId w:val="18"/>
        </w:numPr>
        <w:tabs>
          <w:tab w:pos="1302" w:val="left" w:leader="none"/>
        </w:tabs>
        <w:spacing w:line="364" w:lineRule="auto" w:before="160" w:after="0"/>
        <w:ind w:left="220" w:right="118" w:firstLine="479"/>
        <w:jc w:val="left"/>
        <w:rPr>
          <w:sz w:val="24"/>
        </w:rPr>
      </w:pPr>
      <w:r>
        <w:rPr>
          <w:spacing w:val="-13"/>
          <w:sz w:val="24"/>
        </w:rPr>
        <w:t>提名：更换基金管理人时，由基金托管人或由代表 </w:t>
      </w:r>
      <w:r>
        <w:rPr>
          <w:rFonts w:ascii="Times New Roman" w:eastAsia="Times New Roman"/>
          <w:sz w:val="24"/>
        </w:rPr>
        <w:t>50%</w:t>
      </w:r>
      <w:r>
        <w:rPr>
          <w:spacing w:val="-47"/>
          <w:sz w:val="24"/>
        </w:rPr>
        <w:t>以上</w:t>
      </w:r>
      <w:r>
        <w:rPr>
          <w:sz w:val="24"/>
        </w:rPr>
        <w:t>（不含</w:t>
      </w:r>
      <w:r>
        <w:rPr>
          <w:rFonts w:ascii="Times New Roman" w:eastAsia="Times New Roman"/>
          <w:spacing w:val="-5"/>
          <w:sz w:val="24"/>
        </w:rPr>
        <w:t>50%</w:t>
      </w:r>
      <w:r>
        <w:rPr>
          <w:spacing w:val="-5"/>
          <w:sz w:val="24"/>
        </w:rPr>
        <w:t>）</w:t>
      </w:r>
      <w:r>
        <w:rPr>
          <w:sz w:val="24"/>
        </w:rPr>
        <w:t>权益的基金份额持有人提名新任基金管理人；</w:t>
      </w:r>
    </w:p>
    <w:p>
      <w:pPr>
        <w:pStyle w:val="ListParagraph"/>
        <w:numPr>
          <w:ilvl w:val="0"/>
          <w:numId w:val="18"/>
        </w:numPr>
        <w:tabs>
          <w:tab w:pos="1302" w:val="left" w:leader="none"/>
        </w:tabs>
        <w:spacing w:line="364" w:lineRule="auto" w:before="1" w:after="0"/>
        <w:ind w:left="220" w:right="356" w:firstLine="479"/>
        <w:jc w:val="both"/>
        <w:rPr>
          <w:sz w:val="24"/>
        </w:rPr>
      </w:pPr>
      <w:r>
        <w:rPr>
          <w:sz w:val="24"/>
        </w:rPr>
        <w:t>决议：基金管理人职责终止的，基金份额持有人大会应当在六个月内</w:t>
      </w:r>
      <w:r>
        <w:rPr>
          <w:spacing w:val="-6"/>
          <w:sz w:val="24"/>
        </w:rPr>
        <w:t>对被提名的新任基金管理人形成决议，该决议需经基金份额持有人大会 </w:t>
      </w:r>
      <w:r>
        <w:rPr>
          <w:rFonts w:ascii="Times New Roman" w:eastAsia="Times New Roman"/>
          <w:sz w:val="24"/>
        </w:rPr>
        <w:t>2/3 </w:t>
      </w:r>
      <w:r>
        <w:rPr>
          <w:spacing w:val="-9"/>
          <w:sz w:val="24"/>
        </w:rPr>
        <w:t>以上</w:t>
      </w:r>
      <w:r>
        <w:rPr>
          <w:sz w:val="24"/>
        </w:rPr>
        <w:t>表决权通过方为有效；</w:t>
      </w:r>
    </w:p>
    <w:p>
      <w:pPr>
        <w:pStyle w:val="ListParagraph"/>
        <w:numPr>
          <w:ilvl w:val="0"/>
          <w:numId w:val="18"/>
        </w:numPr>
        <w:tabs>
          <w:tab w:pos="1302" w:val="left" w:leader="none"/>
        </w:tabs>
        <w:spacing w:line="364" w:lineRule="auto" w:before="3" w:after="0"/>
        <w:ind w:left="220" w:right="242" w:firstLine="479"/>
        <w:jc w:val="both"/>
        <w:rPr>
          <w:sz w:val="24"/>
        </w:rPr>
      </w:pPr>
      <w:r>
        <w:rPr>
          <w:sz w:val="24"/>
        </w:rPr>
        <w:t>移交和审计：更换基金管理人的，基金管理人应当妥善保管基金管理</w:t>
      </w:r>
      <w:r>
        <w:rPr>
          <w:spacing w:val="-9"/>
          <w:sz w:val="24"/>
        </w:rPr>
        <w:t>业务资料，及时办理基金管理业务的移交手续，新基金管理人或者临时基金管理</w:t>
      </w:r>
      <w:r>
        <w:rPr>
          <w:spacing w:val="-13"/>
          <w:sz w:val="24"/>
        </w:rPr>
        <w:t>人应当及时接收。新任基金管理人与原基金管理人进行资产管理的交接手续，并</w:t>
      </w:r>
      <w:r>
        <w:rPr>
          <w:spacing w:val="-16"/>
          <w:sz w:val="24"/>
        </w:rPr>
        <w:t>与基金托管人核对资产总值。基金管理人职责终止的，应当按照规定聘请会计师事务所对基金财产进行审计，并将审计结果予以公告，同时报中国证监会备案；</w:t>
      </w:r>
    </w:p>
    <w:p>
      <w:pPr>
        <w:pStyle w:val="ListParagraph"/>
        <w:numPr>
          <w:ilvl w:val="0"/>
          <w:numId w:val="18"/>
        </w:numPr>
        <w:tabs>
          <w:tab w:pos="1302" w:val="left" w:leader="none"/>
        </w:tabs>
        <w:spacing w:line="364" w:lineRule="auto" w:before="3" w:after="0"/>
        <w:ind w:left="220" w:right="359" w:firstLine="479"/>
        <w:jc w:val="both"/>
        <w:rPr>
          <w:sz w:val="24"/>
        </w:rPr>
      </w:pPr>
      <w:r>
        <w:rPr>
          <w:sz w:val="24"/>
        </w:rPr>
        <w:t>核准：新任基金管理人经中国证监会核准后方可继任，原任基金管理</w:t>
      </w:r>
      <w:r>
        <w:rPr>
          <w:spacing w:val="-7"/>
          <w:sz w:val="24"/>
        </w:rPr>
        <w:t>人经中国证监会核准后方可退任。新基金管理人产生之前，由中国证监会指定临</w:t>
      </w:r>
      <w:r>
        <w:rPr>
          <w:sz w:val="24"/>
        </w:rPr>
        <w:t>时基金管理人；</w:t>
      </w:r>
    </w:p>
    <w:p>
      <w:pPr>
        <w:pStyle w:val="ListParagraph"/>
        <w:numPr>
          <w:ilvl w:val="0"/>
          <w:numId w:val="18"/>
        </w:numPr>
        <w:tabs>
          <w:tab w:pos="1302" w:val="left" w:leader="none"/>
        </w:tabs>
        <w:spacing w:line="364" w:lineRule="auto" w:before="2" w:after="0"/>
        <w:ind w:left="220" w:right="118" w:firstLine="479"/>
        <w:jc w:val="left"/>
        <w:rPr>
          <w:sz w:val="24"/>
        </w:rPr>
      </w:pPr>
      <w:r>
        <w:rPr>
          <w:spacing w:val="-4"/>
          <w:sz w:val="24"/>
        </w:rPr>
        <w:t>公告：基金管理人更换后，将由基金托管人在中国证监会核准后 </w:t>
      </w:r>
      <w:r>
        <w:rPr>
          <w:rFonts w:ascii="Times New Roman" w:eastAsia="Times New Roman"/>
          <w:sz w:val="24"/>
        </w:rPr>
        <w:t>5 </w:t>
      </w:r>
      <w:r>
        <w:rPr>
          <w:sz w:val="24"/>
        </w:rPr>
        <w:t>个</w:t>
      </w:r>
      <w:r>
        <w:rPr>
          <w:spacing w:val="-7"/>
          <w:sz w:val="24"/>
        </w:rPr>
        <w:t>工作日内在中国证监会指定媒介上公告。如果基金托管人和基金管理人同时更换， </w:t>
      </w:r>
      <w:r>
        <w:rPr>
          <w:sz w:val="24"/>
        </w:rPr>
        <w:t>由新任的基金管理人和新任的基金托管人在获得核准后 </w:t>
      </w:r>
      <w:r>
        <w:rPr>
          <w:rFonts w:ascii="Times New Roman" w:eastAsia="Times New Roman"/>
          <w:sz w:val="24"/>
        </w:rPr>
        <w:t>5</w:t>
      </w:r>
      <w:r>
        <w:rPr>
          <w:rFonts w:ascii="Times New Roman" w:eastAsia="Times New Roman"/>
          <w:spacing w:val="7"/>
          <w:sz w:val="24"/>
        </w:rPr>
        <w:t>  </w:t>
      </w:r>
      <w:r>
        <w:rPr>
          <w:sz w:val="24"/>
        </w:rPr>
        <w:t>个工作日内在中国证监会指定媒介上公告；</w:t>
      </w:r>
    </w:p>
    <w:p>
      <w:pPr>
        <w:pStyle w:val="ListParagraph"/>
        <w:numPr>
          <w:ilvl w:val="0"/>
          <w:numId w:val="18"/>
        </w:numPr>
        <w:tabs>
          <w:tab w:pos="1302" w:val="left" w:leader="none"/>
        </w:tabs>
        <w:spacing w:line="364" w:lineRule="auto" w:before="2" w:after="0"/>
        <w:ind w:left="220" w:right="364" w:firstLine="479"/>
        <w:jc w:val="left"/>
        <w:rPr>
          <w:sz w:val="24"/>
        </w:rPr>
      </w:pPr>
      <w:r>
        <w:rPr>
          <w:spacing w:val="-1"/>
          <w:sz w:val="24"/>
        </w:rPr>
        <w:t>基金名称变更：基金管理人更换后，如基金管理人要求，新任基金管</w:t>
      </w:r>
      <w:r>
        <w:rPr>
          <w:sz w:val="24"/>
        </w:rPr>
        <w:t>理人应按照其要求替换或删除基金名称中</w:t>
      </w:r>
      <w:r>
        <w:rPr>
          <w:rFonts w:ascii="Times New Roman" w:hAnsi="Times New Roman" w:eastAsia="Times New Roman"/>
          <w:sz w:val="24"/>
        </w:rPr>
        <w:t>“</w:t>
      </w:r>
      <w:r>
        <w:rPr>
          <w:sz w:val="24"/>
        </w:rPr>
        <w:t>景顺长城</w:t>
      </w:r>
      <w:r>
        <w:rPr>
          <w:rFonts w:ascii="Times New Roman" w:hAnsi="Times New Roman" w:eastAsia="Times New Roman"/>
          <w:sz w:val="24"/>
        </w:rPr>
        <w:t>”</w:t>
      </w:r>
      <w:r>
        <w:rPr>
          <w:sz w:val="24"/>
        </w:rPr>
        <w:t>的字样。</w:t>
      </w:r>
    </w:p>
    <w:p>
      <w:pPr>
        <w:spacing w:after="0" w:line="364" w:lineRule="auto"/>
        <w:jc w:val="left"/>
        <w:rPr>
          <w:sz w:val="24"/>
        </w:rPr>
        <w:sectPr>
          <w:pgSz w:w="11910" w:h="16840"/>
          <w:pgMar w:header="874" w:footer="997" w:top="1380" w:bottom="1180" w:left="1580" w:right="144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18"/>
        </w:rPr>
      </w:pPr>
    </w:p>
    <w:p>
      <w:pPr>
        <w:pStyle w:val="BodyText"/>
        <w:spacing w:before="66"/>
        <w:ind w:left="700"/>
      </w:pPr>
      <w:r>
        <w:rPr/>
        <w:t>（二）基金托管人的更换</w:t>
      </w:r>
    </w:p>
    <w:p>
      <w:pPr>
        <w:pStyle w:val="BodyText"/>
        <w:ind w:left="700"/>
      </w:pPr>
      <w:r>
        <w:rPr>
          <w:rFonts w:ascii="Times New Roman" w:eastAsia="Times New Roman"/>
        </w:rPr>
        <w:t>1</w:t>
      </w:r>
      <w:r>
        <w:rPr/>
        <w:t>、基金托管人的更换条件</w:t>
      </w:r>
    </w:p>
    <w:p>
      <w:pPr>
        <w:pStyle w:val="BodyText"/>
        <w:spacing w:before="160"/>
        <w:ind w:left="700"/>
      </w:pPr>
      <w:r>
        <w:rPr/>
        <w:t>有下列情形之一的，经中国证监会及中国银监会批准，基金托管人必须更换：</w:t>
      </w:r>
    </w:p>
    <w:p>
      <w:pPr>
        <w:pStyle w:val="ListParagraph"/>
        <w:numPr>
          <w:ilvl w:val="0"/>
          <w:numId w:val="19"/>
        </w:numPr>
        <w:tabs>
          <w:tab w:pos="1302" w:val="left" w:leader="none"/>
        </w:tabs>
        <w:spacing w:line="240" w:lineRule="auto" w:before="161" w:after="0"/>
        <w:ind w:left="1301" w:right="0" w:hanging="602"/>
        <w:jc w:val="left"/>
        <w:rPr>
          <w:sz w:val="24"/>
        </w:rPr>
      </w:pPr>
      <w:r>
        <w:rPr>
          <w:sz w:val="24"/>
        </w:rPr>
        <w:t>基金托管人解散、依法被撤销、破产或者由接管人接管其资产；</w:t>
      </w:r>
    </w:p>
    <w:p>
      <w:pPr>
        <w:pStyle w:val="ListParagraph"/>
        <w:numPr>
          <w:ilvl w:val="0"/>
          <w:numId w:val="19"/>
        </w:numPr>
        <w:tabs>
          <w:tab w:pos="1302" w:val="left" w:leader="none"/>
        </w:tabs>
        <w:spacing w:line="240" w:lineRule="auto" w:before="160" w:after="0"/>
        <w:ind w:left="1301" w:right="0" w:hanging="602"/>
        <w:jc w:val="left"/>
        <w:rPr>
          <w:sz w:val="24"/>
        </w:rPr>
      </w:pPr>
      <w:r>
        <w:rPr>
          <w:sz w:val="24"/>
        </w:rPr>
        <w:t>基金托管人被依法取消基金托管资格；</w:t>
      </w:r>
    </w:p>
    <w:p>
      <w:pPr>
        <w:pStyle w:val="ListParagraph"/>
        <w:numPr>
          <w:ilvl w:val="0"/>
          <w:numId w:val="19"/>
        </w:numPr>
        <w:tabs>
          <w:tab w:pos="1302" w:val="left" w:leader="none"/>
        </w:tabs>
        <w:spacing w:line="240" w:lineRule="auto" w:before="161" w:after="0"/>
        <w:ind w:left="1301" w:right="0" w:hanging="602"/>
        <w:jc w:val="left"/>
        <w:rPr>
          <w:sz w:val="24"/>
        </w:rPr>
      </w:pPr>
      <w:r>
        <w:rPr>
          <w:sz w:val="24"/>
        </w:rPr>
        <w:t>生效的基金份额持有人大会决议要求基金托管人更换的；</w:t>
      </w:r>
    </w:p>
    <w:p>
      <w:pPr>
        <w:pStyle w:val="ListParagraph"/>
        <w:numPr>
          <w:ilvl w:val="0"/>
          <w:numId w:val="19"/>
        </w:numPr>
        <w:tabs>
          <w:tab w:pos="1302" w:val="left" w:leader="none"/>
        </w:tabs>
        <w:spacing w:line="240" w:lineRule="auto" w:before="161" w:after="0"/>
        <w:ind w:left="1301" w:right="0" w:hanging="602"/>
        <w:jc w:val="left"/>
        <w:rPr>
          <w:sz w:val="24"/>
        </w:rPr>
      </w:pPr>
      <w:r>
        <w:rPr>
          <w:sz w:val="24"/>
        </w:rPr>
        <w:t>有关法律、法规和基金合同约定的其他情形。</w:t>
      </w:r>
    </w:p>
    <w:p>
      <w:pPr>
        <w:pStyle w:val="BodyText"/>
        <w:spacing w:before="160"/>
        <w:ind w:left="700"/>
      </w:pPr>
      <w:r>
        <w:rPr>
          <w:rFonts w:ascii="Times New Roman" w:eastAsia="Times New Roman"/>
        </w:rPr>
        <w:t>2</w:t>
      </w:r>
      <w:r>
        <w:rPr/>
        <w:t>、基金托管人更换的程序</w:t>
      </w:r>
    </w:p>
    <w:p>
      <w:pPr>
        <w:pStyle w:val="ListParagraph"/>
        <w:numPr>
          <w:ilvl w:val="0"/>
          <w:numId w:val="20"/>
        </w:numPr>
        <w:tabs>
          <w:tab w:pos="1302" w:val="left" w:leader="none"/>
        </w:tabs>
        <w:spacing w:line="364" w:lineRule="auto" w:before="161" w:after="0"/>
        <w:ind w:left="220" w:right="118" w:firstLine="479"/>
        <w:jc w:val="left"/>
        <w:rPr>
          <w:sz w:val="24"/>
        </w:rPr>
      </w:pPr>
      <w:r>
        <w:rPr>
          <w:spacing w:val="-13"/>
          <w:sz w:val="24"/>
        </w:rPr>
        <w:t>提名：更换基金托管人时，由基金管理人或由代表 </w:t>
      </w:r>
      <w:r>
        <w:rPr>
          <w:rFonts w:ascii="Times New Roman" w:eastAsia="Times New Roman"/>
          <w:sz w:val="24"/>
        </w:rPr>
        <w:t>50%</w:t>
      </w:r>
      <w:r>
        <w:rPr>
          <w:spacing w:val="-47"/>
          <w:sz w:val="24"/>
        </w:rPr>
        <w:t>以上</w:t>
      </w:r>
      <w:r>
        <w:rPr>
          <w:sz w:val="24"/>
        </w:rPr>
        <w:t>（不含</w:t>
      </w:r>
      <w:r>
        <w:rPr>
          <w:rFonts w:ascii="Times New Roman" w:eastAsia="Times New Roman"/>
          <w:spacing w:val="-5"/>
          <w:sz w:val="24"/>
        </w:rPr>
        <w:t>50%</w:t>
      </w:r>
      <w:r>
        <w:rPr>
          <w:spacing w:val="-5"/>
          <w:sz w:val="24"/>
        </w:rPr>
        <w:t>）</w:t>
      </w:r>
      <w:r>
        <w:rPr>
          <w:sz w:val="24"/>
        </w:rPr>
        <w:t>权益的基金份额持有人提名新任基金托管人；</w:t>
      </w:r>
    </w:p>
    <w:p>
      <w:pPr>
        <w:pStyle w:val="ListParagraph"/>
        <w:numPr>
          <w:ilvl w:val="0"/>
          <w:numId w:val="20"/>
        </w:numPr>
        <w:tabs>
          <w:tab w:pos="1302" w:val="left" w:leader="none"/>
        </w:tabs>
        <w:spacing w:line="364" w:lineRule="auto" w:before="1" w:after="0"/>
        <w:ind w:left="220" w:right="356" w:firstLine="479"/>
        <w:jc w:val="both"/>
        <w:rPr>
          <w:sz w:val="24"/>
        </w:rPr>
      </w:pPr>
      <w:r>
        <w:rPr>
          <w:sz w:val="24"/>
        </w:rPr>
        <w:t>决议：基金托管人职责终止的，基金份额持有人大会应对被提名的新</w:t>
      </w:r>
      <w:r>
        <w:rPr>
          <w:spacing w:val="-10"/>
          <w:sz w:val="24"/>
        </w:rPr>
        <w:t>任基金托管人形成决议，该决议需经基金份额持有人大会 </w:t>
      </w:r>
      <w:r>
        <w:rPr>
          <w:rFonts w:ascii="Times New Roman" w:eastAsia="Times New Roman"/>
          <w:sz w:val="24"/>
        </w:rPr>
        <w:t>2/3 </w:t>
      </w:r>
      <w:r>
        <w:rPr>
          <w:spacing w:val="-2"/>
          <w:sz w:val="24"/>
        </w:rPr>
        <w:t>以上表决权通过方</w:t>
      </w:r>
      <w:r>
        <w:rPr>
          <w:sz w:val="24"/>
        </w:rPr>
        <w:t>为有效；</w:t>
      </w:r>
    </w:p>
    <w:p>
      <w:pPr>
        <w:pStyle w:val="ListParagraph"/>
        <w:numPr>
          <w:ilvl w:val="0"/>
          <w:numId w:val="20"/>
        </w:numPr>
        <w:tabs>
          <w:tab w:pos="1302" w:val="left" w:leader="none"/>
        </w:tabs>
        <w:spacing w:line="364" w:lineRule="auto" w:before="2" w:after="0"/>
        <w:ind w:left="220" w:right="357" w:firstLine="479"/>
        <w:jc w:val="both"/>
        <w:rPr>
          <w:sz w:val="24"/>
        </w:rPr>
      </w:pPr>
      <w:r>
        <w:rPr>
          <w:sz w:val="24"/>
        </w:rPr>
        <w:t>移交和审计：更换基金托管人的，基金托管人应当妥善保管基金财产</w:t>
      </w:r>
      <w:r>
        <w:rPr>
          <w:spacing w:val="-8"/>
          <w:sz w:val="24"/>
        </w:rPr>
        <w:t>和基金托管业务资料，及时办理基金财产和基金托管业务的移交手续，新基金托</w:t>
      </w:r>
      <w:r>
        <w:rPr>
          <w:spacing w:val="-7"/>
          <w:sz w:val="24"/>
        </w:rPr>
        <w:t>管人或者临时基金托管人应当及时接收。新任基金托管人与原基金托管人进行资</w:t>
      </w:r>
      <w:r>
        <w:rPr>
          <w:spacing w:val="-8"/>
          <w:sz w:val="24"/>
        </w:rPr>
        <w:t>产管理的交接手续，并与基金管理人核对资产总值。基金托管人职责终止的，应</w:t>
      </w:r>
      <w:r>
        <w:rPr>
          <w:spacing w:val="-6"/>
          <w:sz w:val="24"/>
        </w:rPr>
        <w:t>当按照规定聘请会计师事务所对基金财产进行审计，并将审计结果予以公告，同</w:t>
      </w:r>
      <w:r>
        <w:rPr>
          <w:sz w:val="24"/>
        </w:rPr>
        <w:t>时报中国证监会备案；</w:t>
      </w:r>
    </w:p>
    <w:p>
      <w:pPr>
        <w:pStyle w:val="ListParagraph"/>
        <w:numPr>
          <w:ilvl w:val="0"/>
          <w:numId w:val="20"/>
        </w:numPr>
        <w:tabs>
          <w:tab w:pos="1302" w:val="left" w:leader="none"/>
        </w:tabs>
        <w:spacing w:line="364" w:lineRule="auto" w:before="5" w:after="0"/>
        <w:ind w:left="220" w:right="357" w:firstLine="479"/>
        <w:jc w:val="both"/>
        <w:rPr>
          <w:sz w:val="24"/>
        </w:rPr>
      </w:pPr>
      <w:r>
        <w:rPr>
          <w:spacing w:val="-11"/>
          <w:sz w:val="24"/>
        </w:rPr>
        <w:t>核准：新任基金托管人应经中国银监会和中国证监会核准后方可继任</w:t>
      </w:r>
      <w:r>
        <w:rPr>
          <w:spacing w:val="-8"/>
          <w:sz w:val="24"/>
        </w:rPr>
        <w:t>。原任基金托管人应经中国证监会和中国银监会核准后方可退任。新基金托管人</w:t>
      </w:r>
      <w:r>
        <w:rPr>
          <w:spacing w:val="-4"/>
          <w:sz w:val="24"/>
        </w:rPr>
        <w:t>产生之前，由中国证监会指定临时基金托管人；</w:t>
      </w:r>
    </w:p>
    <w:p>
      <w:pPr>
        <w:pStyle w:val="ListParagraph"/>
        <w:numPr>
          <w:ilvl w:val="0"/>
          <w:numId w:val="20"/>
        </w:numPr>
        <w:tabs>
          <w:tab w:pos="1302" w:val="left" w:leader="none"/>
        </w:tabs>
        <w:spacing w:line="364" w:lineRule="auto" w:before="1" w:after="0"/>
        <w:ind w:left="220" w:right="364" w:firstLine="479"/>
        <w:jc w:val="both"/>
        <w:rPr>
          <w:sz w:val="24"/>
        </w:rPr>
      </w:pPr>
      <w:r>
        <w:rPr>
          <w:spacing w:val="-1"/>
          <w:sz w:val="24"/>
        </w:rPr>
        <w:t>公告：基金托管人更换后，由基金管理人在中国证监会和中国银监会</w:t>
      </w:r>
      <w:r>
        <w:rPr>
          <w:spacing w:val="2"/>
          <w:sz w:val="24"/>
        </w:rPr>
        <w:t>核准后 </w:t>
      </w:r>
      <w:r>
        <w:rPr>
          <w:rFonts w:ascii="Times New Roman" w:eastAsia="Times New Roman"/>
          <w:sz w:val="24"/>
        </w:rPr>
        <w:t>5</w:t>
      </w:r>
      <w:r>
        <w:rPr>
          <w:rFonts w:ascii="Times New Roman" w:eastAsia="Times New Roman"/>
          <w:spacing w:val="7"/>
          <w:sz w:val="24"/>
        </w:rPr>
        <w:t> </w:t>
      </w:r>
      <w:r>
        <w:rPr>
          <w:spacing w:val="-1"/>
          <w:sz w:val="24"/>
        </w:rPr>
        <w:t>个工作日内在指定媒介上公告。如果基金托管人和基金管理人同时更</w:t>
      </w:r>
    </w:p>
    <w:p>
      <w:pPr>
        <w:pStyle w:val="BodyText"/>
        <w:spacing w:line="364" w:lineRule="auto" w:before="2"/>
        <w:ind w:right="360"/>
        <w:jc w:val="both"/>
      </w:pPr>
      <w:r>
        <w:rPr/>
        <w:t>换，由新任的基金管理人和新任的基金托管人在核准后的 </w:t>
      </w:r>
      <w:r>
        <w:rPr>
          <w:rFonts w:ascii="Times New Roman" w:eastAsia="Times New Roman"/>
        </w:rPr>
        <w:t>5 </w:t>
      </w:r>
      <w:r>
        <w:rPr/>
        <w:t>个工作日内在指定媒介上联合刊登公告。</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ind w:right="142"/>
      </w:pPr>
      <w:bookmarkStart w:name="_bookmark11" w:id="12"/>
      <w:bookmarkEnd w:id="12"/>
      <w:r>
        <w:rPr>
          <w:b w:val="0"/>
        </w:rPr>
      </w:r>
      <w:r>
        <w:rPr/>
        <w:t>十二、基金份额的非交易过户及基金间的转换</w:t>
      </w:r>
    </w:p>
    <w:p>
      <w:pPr>
        <w:pStyle w:val="BodyText"/>
        <w:spacing w:before="0"/>
        <w:ind w:left="0"/>
        <w:rPr>
          <w:b/>
          <w:sz w:val="30"/>
        </w:rPr>
      </w:pPr>
    </w:p>
    <w:p>
      <w:pPr>
        <w:pStyle w:val="BodyText"/>
        <w:spacing w:before="2"/>
        <w:ind w:left="0"/>
        <w:rPr>
          <w:b/>
          <w:sz w:val="22"/>
        </w:rPr>
      </w:pPr>
    </w:p>
    <w:p>
      <w:pPr>
        <w:pStyle w:val="BodyText"/>
        <w:spacing w:before="1"/>
        <w:ind w:left="700"/>
      </w:pPr>
      <w:r>
        <w:rPr/>
        <w:t>（一）基金份额的非交易过户</w:t>
      </w:r>
    </w:p>
    <w:p>
      <w:pPr>
        <w:pStyle w:val="BodyText"/>
        <w:spacing w:line="364" w:lineRule="auto" w:before="160"/>
        <w:ind w:right="356" w:firstLine="479"/>
        <w:jc w:val="both"/>
      </w:pPr>
      <w:r>
        <w:rPr>
          <w:spacing w:val="-8"/>
        </w:rPr>
        <w:t>基金注册登记机构只受理继承、捐赠、司法执行和经注册登记机构认可的其</w:t>
      </w:r>
      <w:r>
        <w:rPr>
          <w:spacing w:val="-3"/>
        </w:rPr>
        <w:t>他情况下的非交易过户。其中，</w:t>
      </w:r>
      <w:r>
        <w:rPr>
          <w:rFonts w:ascii="Times New Roman" w:hAnsi="Times New Roman" w:eastAsia="Times New Roman"/>
          <w:spacing w:val="-12"/>
        </w:rPr>
        <w:t>“</w:t>
      </w:r>
      <w:r>
        <w:rPr/>
        <w:t>继承</w:t>
      </w:r>
      <w:r>
        <w:rPr>
          <w:rFonts w:ascii="Times New Roman" w:hAnsi="Times New Roman" w:eastAsia="Times New Roman"/>
        </w:rPr>
        <w:t>”</w:t>
      </w:r>
      <w:r>
        <w:rPr>
          <w:spacing w:val="-3"/>
        </w:rPr>
        <w:t>指基金份额持有人死亡，其持有的基金份额由其合法的继承人继承；</w:t>
      </w:r>
      <w:r>
        <w:rPr>
          <w:rFonts w:ascii="Times New Roman" w:hAnsi="Times New Roman" w:eastAsia="Times New Roman"/>
          <w:spacing w:val="-34"/>
        </w:rPr>
        <w:t>“</w:t>
      </w:r>
      <w:r>
        <w:rPr/>
        <w:t>捐赠</w:t>
      </w:r>
      <w:r>
        <w:rPr>
          <w:rFonts w:ascii="Times New Roman" w:hAnsi="Times New Roman" w:eastAsia="Times New Roman"/>
        </w:rPr>
        <w:t>”</w:t>
      </w:r>
      <w:r>
        <w:rPr>
          <w:spacing w:val="-1"/>
        </w:rPr>
        <w:t>只受理基金份额持有人将其合法持有的基金份</w:t>
      </w:r>
      <w:r>
        <w:rPr>
          <w:spacing w:val="-2"/>
        </w:rPr>
        <w:t>额捐赠给福利性质的基金会或社会团体的情形；</w:t>
      </w:r>
      <w:r>
        <w:rPr>
          <w:rFonts w:ascii="Times New Roman" w:hAnsi="Times New Roman" w:eastAsia="Times New Roman"/>
          <w:spacing w:val="-34"/>
        </w:rPr>
        <w:t>“</w:t>
      </w:r>
      <w:r>
        <w:rPr/>
        <w:t>司法执行</w:t>
      </w:r>
      <w:r>
        <w:rPr>
          <w:rFonts w:ascii="Times New Roman" w:hAnsi="Times New Roman" w:eastAsia="Times New Roman"/>
        </w:rPr>
        <w:t>”</w:t>
      </w:r>
      <w:r>
        <w:rPr>
          <w:spacing w:val="-2"/>
        </w:rPr>
        <w:t>是指司法机构依据生</w:t>
      </w:r>
      <w:r>
        <w:rPr>
          <w:spacing w:val="-5"/>
        </w:rPr>
        <w:t>效司法文书将基金份额持有人持有的基金份额强制划转给其他自然人、法人、社</w:t>
      </w:r>
      <w:r>
        <w:rPr/>
        <w:t>会团体或其他组织。办理非交易过户必须提供相关资料。</w:t>
      </w:r>
    </w:p>
    <w:p>
      <w:pPr>
        <w:pStyle w:val="BodyText"/>
        <w:spacing w:before="0"/>
        <w:ind w:left="0"/>
      </w:pPr>
    </w:p>
    <w:p>
      <w:pPr>
        <w:pStyle w:val="BodyText"/>
        <w:spacing w:before="165"/>
        <w:ind w:left="700"/>
      </w:pPr>
      <w:r>
        <w:rPr/>
        <w:t>（二）基金间的份额转换</w:t>
      </w:r>
    </w:p>
    <w:p>
      <w:pPr>
        <w:pStyle w:val="BodyText"/>
        <w:spacing w:line="364" w:lineRule="auto" w:before="160"/>
        <w:ind w:right="356" w:firstLine="479"/>
        <w:jc w:val="both"/>
      </w:pPr>
      <w:r>
        <w:rPr>
          <w:spacing w:val="-8"/>
        </w:rPr>
        <w:t>在条件允许的情况下，本基金也可与本公司其他开放式基金转换，具体业务</w:t>
      </w:r>
      <w:r>
        <w:rPr>
          <w:spacing w:val="-6"/>
        </w:rPr>
        <w:t>办理时间在基金转换开始公告中列明。基金管理人应当依照《信息披露办法》的</w:t>
      </w:r>
      <w:r>
        <w:rPr/>
        <w:t>有关规定在指定媒介上公告。</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pPr>
      <w:bookmarkStart w:name="_bookmark12" w:id="13"/>
      <w:bookmarkEnd w:id="13"/>
      <w:r>
        <w:rPr>
          <w:b w:val="0"/>
        </w:rPr>
      </w:r>
      <w:r>
        <w:rPr/>
        <w:t>十三、基金的托管</w:t>
      </w:r>
    </w:p>
    <w:p>
      <w:pPr>
        <w:pStyle w:val="BodyText"/>
        <w:spacing w:before="0"/>
        <w:ind w:left="0"/>
        <w:rPr>
          <w:b/>
          <w:sz w:val="30"/>
        </w:rPr>
      </w:pPr>
    </w:p>
    <w:p>
      <w:pPr>
        <w:pStyle w:val="BodyText"/>
        <w:spacing w:before="2"/>
        <w:ind w:left="0"/>
        <w:rPr>
          <w:b/>
          <w:sz w:val="22"/>
        </w:rPr>
      </w:pPr>
    </w:p>
    <w:p>
      <w:pPr>
        <w:pStyle w:val="BodyText"/>
        <w:spacing w:line="364" w:lineRule="auto" w:before="1"/>
        <w:ind w:right="353" w:firstLine="839"/>
        <w:jc w:val="both"/>
      </w:pPr>
      <w:r>
        <w:rPr>
          <w:spacing w:val="-12"/>
        </w:rPr>
        <w:t>基金托管人与基金管理人必须按照《基金法》、本基金合同及有关规定订</w:t>
      </w:r>
      <w:r>
        <w:rPr/>
        <w:t>立《景顺长城鼎益   混合型证券投资基金（</w:t>
      </w:r>
      <w:r>
        <w:rPr>
          <w:rFonts w:ascii="Times New Roman" w:eastAsia="Times New Roman"/>
        </w:rPr>
        <w:t>LOF</w:t>
      </w:r>
      <w:r>
        <w:rPr/>
        <w:t>）</w:t>
      </w:r>
      <w:r>
        <w:rPr>
          <w:spacing w:val="-12"/>
        </w:rPr>
        <w:t>托管协议》。订立托管协议</w:t>
      </w:r>
      <w:r>
        <w:rPr>
          <w:spacing w:val="-15"/>
        </w:rPr>
        <w:t>的目的是明确基金托管人与基金管理人之间在基金财产的保管、基金财产的管理</w:t>
      </w:r>
      <w:r>
        <w:rPr>
          <w:spacing w:val="-8"/>
        </w:rPr>
        <w:t>和运作及相互监督、基金资料的保管等相关事宜中的权利、义务及职责，依法确</w:t>
      </w:r>
      <w:r>
        <w:rPr/>
        <w:t>保基金财产的安全，保护基金份额持有人的合法权益。</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ind w:right="137"/>
      </w:pPr>
      <w:bookmarkStart w:name="_bookmark13" w:id="14"/>
      <w:bookmarkEnd w:id="14"/>
      <w:r>
        <w:rPr>
          <w:b w:val="0"/>
        </w:rPr>
      </w:r>
      <w:r>
        <w:rPr/>
        <w:t>十四、基金的销售及服务代理</w:t>
      </w:r>
    </w:p>
    <w:p>
      <w:pPr>
        <w:pStyle w:val="BodyText"/>
        <w:spacing w:before="0"/>
        <w:ind w:left="0"/>
        <w:rPr>
          <w:b/>
          <w:sz w:val="30"/>
        </w:rPr>
      </w:pPr>
    </w:p>
    <w:p>
      <w:pPr>
        <w:pStyle w:val="BodyText"/>
        <w:spacing w:before="2"/>
        <w:ind w:left="0"/>
        <w:rPr>
          <w:b/>
          <w:sz w:val="22"/>
        </w:rPr>
      </w:pPr>
    </w:p>
    <w:p>
      <w:pPr>
        <w:pStyle w:val="BodyText"/>
        <w:spacing w:line="364" w:lineRule="auto" w:before="1"/>
        <w:ind w:right="241" w:firstLine="479"/>
      </w:pPr>
      <w:r>
        <w:rPr/>
        <w:t>（一</w:t>
      </w:r>
      <w:r>
        <w:rPr>
          <w:spacing w:val="-108"/>
        </w:rPr>
        <w:t>）</w:t>
      </w:r>
      <w:r>
        <w:rPr>
          <w:spacing w:val="-5"/>
        </w:rPr>
        <w:t>本基金的销售业务指接受投资者申请为其办理的本基金的认购、申购、</w:t>
      </w:r>
      <w:r>
        <w:rPr/>
        <w:t>赎回、转换、非交易过户、转托管等业务。</w:t>
      </w:r>
    </w:p>
    <w:p>
      <w:pPr>
        <w:pStyle w:val="BodyText"/>
        <w:spacing w:line="364" w:lineRule="auto" w:before="1"/>
        <w:ind w:right="357" w:firstLine="479"/>
        <w:jc w:val="both"/>
      </w:pPr>
      <w:r>
        <w:rPr/>
        <w:t>（二</w:t>
      </w:r>
      <w:r>
        <w:rPr>
          <w:spacing w:val="-94"/>
        </w:rPr>
        <w:t>）</w:t>
      </w:r>
      <w:r>
        <w:rPr>
          <w:spacing w:val="-1"/>
        </w:rPr>
        <w:t>本基金的销售业务由基金管理人及基金管理人委托的其他符合条件的</w:t>
      </w:r>
      <w:r>
        <w:rPr>
          <w:spacing w:val="-10"/>
        </w:rPr>
        <w:t>销售机构办理。基金管理人与其他代为办理基金份额销售业务的机构，应当签订</w:t>
      </w:r>
      <w:r>
        <w:rPr>
          <w:spacing w:val="-11"/>
        </w:rPr>
        <w:t>委托代理协议。订立代理协议的目的是为了明确基金代销机构和基金管理人之间</w:t>
      </w:r>
      <w:r>
        <w:rPr>
          <w:spacing w:val="-8"/>
        </w:rPr>
        <w:t>在基金份额认购、申购和赎回等事宜中的权利、义务和职责，确保基金财产的安</w:t>
      </w:r>
      <w:r>
        <w:rPr/>
        <w:t>全，保护基金份额持有人的合法权益。</w:t>
      </w:r>
    </w:p>
    <w:p>
      <w:pPr>
        <w:pStyle w:val="BodyText"/>
        <w:spacing w:line="364" w:lineRule="auto" w:before="3"/>
        <w:ind w:right="357" w:firstLine="479"/>
      </w:pPr>
      <w:r>
        <w:rPr/>
        <w:t>（三</w:t>
      </w:r>
      <w:r>
        <w:rPr>
          <w:spacing w:val="-94"/>
        </w:rPr>
        <w:t>）</w:t>
      </w:r>
      <w:r>
        <w:rPr>
          <w:spacing w:val="-1"/>
        </w:rPr>
        <w:t>代销机构应严格按照法律法规和本基金合同规定的要求办理本基金的</w:t>
      </w:r>
      <w:r>
        <w:rPr/>
        <w:t>销售业务。</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ind w:left="758" w:right="0"/>
        <w:jc w:val="left"/>
      </w:pPr>
      <w:bookmarkStart w:name="_bookmark14" w:id="15"/>
      <w:bookmarkEnd w:id="15"/>
      <w:r>
        <w:rPr>
          <w:b w:val="0"/>
        </w:rPr>
      </w:r>
      <w:r>
        <w:rPr/>
        <w:t>十五、基金份额的登记、系统内转托管和跨系统转登记</w:t>
      </w:r>
    </w:p>
    <w:p>
      <w:pPr>
        <w:pStyle w:val="BodyText"/>
        <w:spacing w:before="0"/>
        <w:ind w:left="0"/>
        <w:rPr>
          <w:b/>
          <w:sz w:val="30"/>
        </w:rPr>
      </w:pPr>
    </w:p>
    <w:p>
      <w:pPr>
        <w:pStyle w:val="BodyText"/>
        <w:spacing w:before="2"/>
        <w:ind w:left="0"/>
        <w:rPr>
          <w:b/>
          <w:sz w:val="22"/>
        </w:rPr>
      </w:pPr>
    </w:p>
    <w:p>
      <w:pPr>
        <w:pStyle w:val="BodyText"/>
        <w:spacing w:before="1"/>
        <w:ind w:left="700"/>
      </w:pPr>
      <w:r>
        <w:rPr/>
        <w:t>（一）基金份额的登记</w:t>
      </w:r>
    </w:p>
    <w:p>
      <w:pPr>
        <w:pStyle w:val="BodyText"/>
        <w:spacing w:line="364" w:lineRule="auto" w:before="160"/>
        <w:ind w:right="357" w:firstLine="479"/>
        <w:jc w:val="both"/>
      </w:pPr>
      <w:r>
        <w:rPr>
          <w:rFonts w:ascii="Times New Roman" w:eastAsia="Times New Roman"/>
        </w:rPr>
        <w:t>1</w:t>
      </w:r>
      <w:r>
        <w:rPr/>
        <w:t>、本基金的份额采用分系统登记的原则。场外认购或申购买入的基金份额</w:t>
      </w:r>
      <w:r>
        <w:rPr>
          <w:spacing w:val="-6"/>
        </w:rPr>
        <w:t>登记在注册登记系统持有人开放式基金账户下；场内认购或上市交易买入的基金</w:t>
      </w:r>
      <w:r>
        <w:rPr/>
        <w:t>份额登记在证券登记结算系统持有人证券账户下。</w:t>
      </w:r>
    </w:p>
    <w:p>
      <w:pPr>
        <w:pStyle w:val="BodyText"/>
        <w:spacing w:line="364" w:lineRule="auto" w:before="2"/>
        <w:ind w:right="364" w:firstLine="479"/>
      </w:pPr>
      <w:r>
        <w:rPr>
          <w:rFonts w:ascii="Times New Roman" w:eastAsia="Times New Roman"/>
        </w:rPr>
        <w:t>2</w:t>
      </w:r>
      <w:r>
        <w:rPr>
          <w:spacing w:val="-1"/>
        </w:rPr>
        <w:t>、登记在注册登记系统中的基金份额只能申请赎回，不能直接在深圳证券</w:t>
      </w:r>
      <w:r>
        <w:rPr/>
        <w:t>交易所卖出；</w:t>
      </w:r>
    </w:p>
    <w:p>
      <w:pPr>
        <w:pStyle w:val="BodyText"/>
        <w:spacing w:line="364" w:lineRule="auto" w:before="2"/>
        <w:ind w:right="357" w:firstLine="479"/>
      </w:pPr>
      <w:r>
        <w:rPr>
          <w:spacing w:val="-5"/>
        </w:rPr>
        <w:t>登记在证券登记结算系统中的基金份额只能在深圳证券交易所卖出，不能直</w:t>
      </w:r>
      <w:r>
        <w:rPr/>
        <w:t>接申请赎回。</w:t>
      </w:r>
    </w:p>
    <w:p>
      <w:pPr>
        <w:pStyle w:val="BodyText"/>
        <w:spacing w:before="1"/>
        <w:ind w:left="700"/>
      </w:pPr>
      <w:r>
        <w:rPr/>
        <w:t>（二）系统内转托管</w:t>
      </w:r>
    </w:p>
    <w:p>
      <w:pPr>
        <w:pStyle w:val="BodyText"/>
        <w:spacing w:line="364" w:lineRule="auto" w:before="160"/>
        <w:ind w:right="364" w:firstLine="479"/>
      </w:pPr>
      <w:r>
        <w:rPr>
          <w:rFonts w:ascii="Times New Roman" w:eastAsia="Times New Roman"/>
        </w:rPr>
        <w:t>1</w:t>
      </w:r>
      <w:r>
        <w:rPr/>
        <w:t>、系统内转托管是指持有人将持有的基金份额在注册登记系统内不同销售机构（网点）席位）之间进行转托管的行为。</w:t>
      </w:r>
    </w:p>
    <w:p>
      <w:pPr>
        <w:pStyle w:val="BodyText"/>
        <w:spacing w:line="364" w:lineRule="auto" w:before="2"/>
        <w:ind w:right="359" w:firstLine="479"/>
        <w:jc w:val="both"/>
      </w:pPr>
      <w:r>
        <w:rPr>
          <w:rFonts w:ascii="Times New Roman" w:eastAsia="Times New Roman"/>
        </w:rPr>
        <w:t>2</w:t>
      </w:r>
      <w:r>
        <w:rPr/>
        <w:t>、份额登记在注册登记系统的基金份额持有人在变更办理基金赎回业务的</w:t>
      </w:r>
      <w:r>
        <w:rPr>
          <w:spacing w:val="-5"/>
        </w:rPr>
        <w:t>销售机构</w:t>
      </w:r>
      <w:r>
        <w:rPr/>
        <w:t>（网点</w:t>
      </w:r>
      <w:r>
        <w:rPr>
          <w:spacing w:val="-17"/>
        </w:rPr>
        <w:t>）</w:t>
      </w:r>
      <w:r>
        <w:rPr>
          <w:spacing w:val="-7"/>
        </w:rPr>
        <w:t>时，销售机构</w:t>
      </w:r>
      <w:r>
        <w:rPr/>
        <w:t>（网点</w:t>
      </w:r>
      <w:r>
        <w:rPr>
          <w:spacing w:val="-17"/>
        </w:rPr>
        <w:t>）</w:t>
      </w:r>
      <w:r>
        <w:rPr>
          <w:spacing w:val="-3"/>
        </w:rPr>
        <w:t>之间不能通存通兑的，可办理已持有基</w:t>
      </w:r>
      <w:r>
        <w:rPr/>
        <w:t>金份额的系统内转托管。</w:t>
      </w:r>
    </w:p>
    <w:p>
      <w:pPr>
        <w:pStyle w:val="BodyText"/>
        <w:spacing w:line="364" w:lineRule="auto" w:before="2"/>
        <w:ind w:right="364" w:firstLine="479"/>
      </w:pPr>
      <w:r>
        <w:rPr>
          <w:rFonts w:ascii="Times New Roman" w:eastAsia="Times New Roman"/>
        </w:rPr>
        <w:t>3</w:t>
      </w:r>
      <w:r>
        <w:rPr/>
        <w:t>、份额登记在证券登记结算系统的基金份额持有人在变更办理上市交易的会员单位（席位）时，可办理已持有基金份额的系统内转托管。</w:t>
      </w:r>
    </w:p>
    <w:p>
      <w:pPr>
        <w:pStyle w:val="BodyText"/>
        <w:spacing w:before="1"/>
        <w:ind w:left="700"/>
      </w:pPr>
      <w:r>
        <w:rPr/>
        <w:t>（三）跨系统转登记</w:t>
      </w:r>
    </w:p>
    <w:p>
      <w:pPr>
        <w:pStyle w:val="BodyText"/>
        <w:spacing w:line="364" w:lineRule="auto" w:before="160"/>
        <w:ind w:right="364" w:firstLine="479"/>
      </w:pPr>
      <w:r>
        <w:rPr>
          <w:rFonts w:ascii="Times New Roman" w:eastAsia="Times New Roman"/>
        </w:rPr>
        <w:t>1</w:t>
      </w:r>
      <w:r>
        <w:rPr/>
        <w:t>、跨系统转登记是指持有人将持有的基金份额在注册登记系统和证券登记结算系统之间进行转登记的行为。</w:t>
      </w:r>
    </w:p>
    <w:p>
      <w:pPr>
        <w:pStyle w:val="BodyText"/>
        <w:spacing w:line="364" w:lineRule="auto" w:before="2"/>
        <w:ind w:right="357" w:firstLine="479"/>
        <w:jc w:val="both"/>
      </w:pPr>
      <w:r>
        <w:rPr>
          <w:rFonts w:ascii="Times New Roman" w:eastAsia="Times New Roman"/>
        </w:rPr>
        <w:t>2</w:t>
      </w:r>
      <w:r>
        <w:rPr/>
        <w:t>、持有人拟申请将登记在证券登记结算系统中的基金份额赎回，或拟申请</w:t>
      </w:r>
      <w:r>
        <w:rPr>
          <w:spacing w:val="-6"/>
        </w:rPr>
        <w:t>将登记在注册登记系统中的基金份额进行上市交易，应先办理跨系统转登记，即</w:t>
      </w:r>
      <w:r>
        <w:rPr>
          <w:spacing w:val="-5"/>
        </w:rPr>
        <w:t>将登记在证券登记结算系统中的基金份额转登记到注册登记系统，或将登记在注</w:t>
      </w:r>
      <w:r>
        <w:rPr/>
        <w:t>册登记系统中的基金份额转登记到证券登记结算系统。</w:t>
      </w:r>
    </w:p>
    <w:p>
      <w:pPr>
        <w:pStyle w:val="BodyText"/>
        <w:spacing w:line="364" w:lineRule="auto" w:before="3"/>
        <w:ind w:right="364" w:firstLine="479"/>
      </w:pPr>
      <w:r>
        <w:rPr>
          <w:rFonts w:ascii="Times New Roman" w:eastAsia="Times New Roman"/>
        </w:rPr>
        <w:t>3</w:t>
      </w:r>
      <w:r>
        <w:rPr/>
        <w:t>、本基金跨系统转登记的具体业务按照中国证券登记结算有限公司的相关规定办理。</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ind w:right="137"/>
      </w:pPr>
      <w:bookmarkStart w:name="_bookmark15" w:id="16"/>
      <w:bookmarkEnd w:id="16"/>
      <w:r>
        <w:rPr>
          <w:b w:val="0"/>
        </w:rPr>
      </w:r>
      <w:r>
        <w:rPr/>
        <w:t>十六、基金的注册登记</w:t>
      </w:r>
    </w:p>
    <w:p>
      <w:pPr>
        <w:pStyle w:val="BodyText"/>
        <w:spacing w:before="0"/>
        <w:ind w:left="0"/>
        <w:rPr>
          <w:b/>
          <w:sz w:val="40"/>
        </w:rPr>
      </w:pPr>
    </w:p>
    <w:p>
      <w:pPr>
        <w:pStyle w:val="BodyText"/>
        <w:spacing w:line="364" w:lineRule="auto" w:before="0"/>
        <w:ind w:right="354" w:firstLine="539"/>
        <w:jc w:val="both"/>
      </w:pPr>
      <w:r>
        <w:rPr/>
        <w:t>（一）本基金的注册登记业务指本基金登记、存管、清算和交收业务，具</w:t>
      </w:r>
      <w:r>
        <w:rPr>
          <w:spacing w:val="-7"/>
        </w:rPr>
        <w:t>体内容包括投资人基金账户管理、基金份额注册登记、清算及基金交易确认、代</w:t>
      </w:r>
      <w:r>
        <w:rPr/>
        <w:t>理发放红利、建立并保管基金份额持有人名册等。</w:t>
      </w:r>
    </w:p>
    <w:p>
      <w:pPr>
        <w:pStyle w:val="BodyText"/>
        <w:spacing w:line="364" w:lineRule="auto" w:before="2"/>
        <w:ind w:right="354" w:firstLine="539"/>
        <w:jc w:val="both"/>
      </w:pPr>
      <w:r>
        <w:rPr/>
        <w:t>（二）本基金的注册登记业务由中国证券登记结算公司办理。基金管理人</w:t>
      </w:r>
      <w:r>
        <w:rPr>
          <w:spacing w:val="-6"/>
        </w:rPr>
        <w:t>与中国证券登记结算公司签订委托代理协议，以明确基金管理人和注册登记人在</w:t>
      </w:r>
      <w:r>
        <w:rPr>
          <w:spacing w:val="-21"/>
        </w:rPr>
        <w:t>投资人基金账户管理、基金份额注册登记、清算及基金交易确认、代理发放红利、</w:t>
      </w:r>
      <w:r>
        <w:rPr>
          <w:spacing w:val="-5"/>
        </w:rPr>
        <w:t>建立并保管基金份额持有人名册等事宜中的权利和义务，保护基金投资者和基金</w:t>
      </w:r>
      <w:r>
        <w:rPr/>
        <w:t>份额持有人的合法权益。</w:t>
      </w:r>
    </w:p>
    <w:p>
      <w:pPr>
        <w:pStyle w:val="BodyText"/>
        <w:spacing w:before="4"/>
        <w:ind w:left="760"/>
      </w:pPr>
      <w:r>
        <w:rPr/>
        <w:t>（三）注册登记人享有如下权利：</w:t>
      </w:r>
    </w:p>
    <w:p>
      <w:pPr>
        <w:pStyle w:val="BodyText"/>
        <w:spacing w:before="160"/>
        <w:ind w:left="760"/>
      </w:pPr>
      <w:r>
        <w:rPr>
          <w:rFonts w:ascii="Times New Roman" w:eastAsia="Times New Roman"/>
        </w:rPr>
        <w:t>1</w:t>
      </w:r>
      <w:r>
        <w:rPr/>
        <w:t>、取得注册登记费；</w:t>
      </w:r>
    </w:p>
    <w:p>
      <w:pPr>
        <w:pStyle w:val="BodyText"/>
        <w:ind w:left="760"/>
      </w:pPr>
      <w:r>
        <w:rPr>
          <w:rFonts w:ascii="Times New Roman" w:eastAsia="Times New Roman"/>
        </w:rPr>
        <w:t>2</w:t>
      </w:r>
      <w:r>
        <w:rPr/>
        <w:t>、保管基金份额持有人开户资料、交易资料、基金份额持有人名册等；</w:t>
      </w:r>
    </w:p>
    <w:p>
      <w:pPr>
        <w:pStyle w:val="BodyText"/>
        <w:spacing w:before="160"/>
        <w:ind w:left="760"/>
      </w:pPr>
      <w:r>
        <w:rPr>
          <w:rFonts w:ascii="Times New Roman" w:eastAsia="Times New Roman"/>
        </w:rPr>
        <w:t>3</w:t>
      </w:r>
      <w:r>
        <w:rPr/>
        <w:t>、法律法规规定的其他权利。</w:t>
      </w:r>
    </w:p>
    <w:p>
      <w:pPr>
        <w:pStyle w:val="BodyText"/>
        <w:ind w:left="760"/>
      </w:pPr>
      <w:r>
        <w:rPr/>
        <w:t>（四）注册登记人承担如下义务：</w:t>
      </w:r>
    </w:p>
    <w:p>
      <w:pPr>
        <w:pStyle w:val="BodyText"/>
        <w:ind w:left="760"/>
      </w:pPr>
      <w:r>
        <w:rPr>
          <w:rFonts w:ascii="Times New Roman" w:eastAsia="Times New Roman"/>
        </w:rPr>
        <w:t>1</w:t>
      </w:r>
      <w:r>
        <w:rPr/>
        <w:t>、配备足够的专业人员办理本基金的注册登记业务；</w:t>
      </w:r>
    </w:p>
    <w:p>
      <w:pPr>
        <w:pStyle w:val="BodyText"/>
        <w:spacing w:before="160"/>
        <w:ind w:left="760"/>
      </w:pPr>
      <w:r>
        <w:rPr>
          <w:rFonts w:ascii="Times New Roman" w:eastAsia="Times New Roman"/>
        </w:rPr>
        <w:t>2</w:t>
      </w:r>
      <w:r>
        <w:rPr/>
        <w:t>、严格按照法律法规和本基金合同规定的条件办理本基金的注册登记业务；</w:t>
      </w:r>
    </w:p>
    <w:p>
      <w:pPr>
        <w:pStyle w:val="BodyText"/>
        <w:ind w:left="760"/>
        <w:jc w:val="both"/>
      </w:pPr>
      <w:r>
        <w:rPr>
          <w:rFonts w:ascii="Times New Roman" w:eastAsia="Times New Roman"/>
        </w:rPr>
        <w:t>3</w:t>
      </w:r>
      <w:r>
        <w:rPr/>
        <w:t>、保持基金份额持有人名册及相关的申购与赎回等业务记录 </w:t>
      </w:r>
      <w:r>
        <w:rPr>
          <w:rFonts w:ascii="Times New Roman" w:eastAsia="Times New Roman"/>
        </w:rPr>
        <w:t>15 </w:t>
      </w:r>
      <w:r>
        <w:rPr/>
        <w:t>年以上；</w:t>
      </w:r>
    </w:p>
    <w:p>
      <w:pPr>
        <w:pStyle w:val="BodyText"/>
        <w:spacing w:line="364" w:lineRule="auto" w:before="160"/>
        <w:ind w:right="357" w:firstLine="539"/>
        <w:jc w:val="both"/>
      </w:pPr>
      <w:r>
        <w:rPr>
          <w:rFonts w:ascii="Times New Roman" w:eastAsia="Times New Roman"/>
        </w:rPr>
        <w:t>4</w:t>
      </w:r>
      <w:r>
        <w:rPr>
          <w:spacing w:val="-6"/>
        </w:rPr>
        <w:t>、对基金份额持有人的基金账户信息负有保密义务，因违反该保密义务对</w:t>
      </w:r>
      <w:r>
        <w:rPr>
          <w:spacing w:val="-7"/>
        </w:rPr>
        <w:t>投资者或基金带来的损失，须承担相应的赔偿责任，但司法强制检查情形及法律</w:t>
      </w:r>
      <w:r>
        <w:rPr/>
        <w:t>法规规定的其他情形除外；</w:t>
      </w:r>
    </w:p>
    <w:p>
      <w:pPr>
        <w:pStyle w:val="BodyText"/>
        <w:spacing w:line="364" w:lineRule="auto" w:before="3"/>
        <w:ind w:right="307" w:firstLine="539"/>
      </w:pPr>
      <w:r>
        <w:rPr>
          <w:rFonts w:ascii="Times New Roman" w:eastAsia="Times New Roman"/>
        </w:rPr>
        <w:t>5</w:t>
      </w:r>
      <w:r>
        <w:rPr/>
        <w:t>、按本基金合同及招募说明书规定为投资人办理非交易过户业务、提供其他必要的服务；</w:t>
      </w:r>
    </w:p>
    <w:p>
      <w:pPr>
        <w:pStyle w:val="BodyText"/>
        <w:spacing w:before="1"/>
        <w:ind w:left="760"/>
      </w:pPr>
      <w:r>
        <w:rPr>
          <w:rFonts w:ascii="Times New Roman" w:eastAsia="Times New Roman"/>
        </w:rPr>
        <w:t>6</w:t>
      </w:r>
      <w:r>
        <w:rPr/>
        <w:t>、法律法规规定的其他义务。</w:t>
      </w:r>
    </w:p>
    <w:p>
      <w:pPr>
        <w:spacing w:after="0"/>
        <w:sectPr>
          <w:pgSz w:w="11910" w:h="16840"/>
          <w:pgMar w:header="874" w:footer="997" w:top="1380" w:bottom="1180" w:left="1580" w:right="1440"/>
        </w:sectPr>
      </w:pPr>
    </w:p>
    <w:p>
      <w:pPr>
        <w:pStyle w:val="BodyText"/>
        <w:spacing w:before="8"/>
        <w:ind w:left="0"/>
        <w:rPr>
          <w:sz w:val="8"/>
        </w:rPr>
      </w:pPr>
    </w:p>
    <w:p>
      <w:pPr>
        <w:pStyle w:val="Heading1"/>
      </w:pPr>
      <w:bookmarkStart w:name="_bookmark16" w:id="17"/>
      <w:bookmarkEnd w:id="17"/>
      <w:r>
        <w:rPr>
          <w:b w:val="0"/>
        </w:rPr>
      </w:r>
      <w:r>
        <w:rPr/>
        <w:t>十七、基金的投资</w:t>
      </w:r>
    </w:p>
    <w:p>
      <w:pPr>
        <w:pStyle w:val="BodyText"/>
        <w:spacing w:before="0"/>
        <w:ind w:left="0"/>
        <w:rPr>
          <w:b/>
          <w:sz w:val="30"/>
        </w:rPr>
      </w:pPr>
    </w:p>
    <w:p>
      <w:pPr>
        <w:pStyle w:val="BodyText"/>
        <w:spacing w:before="2"/>
        <w:ind w:left="0"/>
        <w:rPr>
          <w:b/>
          <w:sz w:val="22"/>
        </w:rPr>
      </w:pPr>
    </w:p>
    <w:p>
      <w:pPr>
        <w:pStyle w:val="BodyText"/>
        <w:spacing w:before="1"/>
        <w:ind w:left="700"/>
      </w:pPr>
      <w:r>
        <w:rPr/>
        <w:t>（一）投资理念</w:t>
      </w:r>
    </w:p>
    <w:p>
      <w:pPr>
        <w:pStyle w:val="BodyText"/>
        <w:spacing w:line="364" w:lineRule="auto" w:before="160"/>
        <w:ind w:right="359" w:firstLine="479"/>
        <w:jc w:val="both"/>
      </w:pPr>
      <w:r>
        <w:rPr/>
        <w:t>坚持</w:t>
      </w:r>
      <w:r>
        <w:rPr>
          <w:rFonts w:ascii="Times New Roman" w:hAnsi="Times New Roman" w:eastAsia="Times New Roman"/>
        </w:rPr>
        <w:t>“</w:t>
      </w:r>
      <w:r>
        <w:rPr>
          <w:spacing w:val="-5"/>
        </w:rPr>
        <w:t>宁取细水长流，不要惊涛裂岸</w:t>
      </w:r>
      <w:r>
        <w:rPr>
          <w:rFonts w:ascii="Times New Roman" w:hAnsi="Times New Roman" w:eastAsia="Times New Roman"/>
        </w:rPr>
        <w:t>”</w:t>
      </w:r>
      <w:r>
        <w:rPr>
          <w:spacing w:val="-7"/>
        </w:rPr>
        <w:t>的基本理念，通过系统地运用基本面分</w:t>
      </w:r>
      <w:r>
        <w:rPr>
          <w:spacing w:val="-10"/>
        </w:rPr>
        <w:t>析、结构化和纪律化的投资流程和成熟的风险管理工具，集中研究超额收益的相</w:t>
      </w:r>
      <w:r>
        <w:rPr/>
        <w:t>关信息，关注其可预测性和持续性特征，力求获取稳定、长期的超额收益。</w:t>
      </w:r>
    </w:p>
    <w:p>
      <w:pPr>
        <w:pStyle w:val="BodyText"/>
        <w:spacing w:before="2"/>
        <w:ind w:left="700"/>
      </w:pPr>
      <w:r>
        <w:rPr/>
        <w:t>（二）投资目标</w:t>
      </w:r>
    </w:p>
    <w:p>
      <w:pPr>
        <w:pStyle w:val="BodyText"/>
        <w:spacing w:line="364" w:lineRule="auto"/>
        <w:ind w:right="357" w:firstLine="479"/>
      </w:pPr>
      <w:r>
        <w:rPr>
          <w:spacing w:val="-5"/>
        </w:rPr>
        <w:t>通过主动的基本面选股和最优化风险收益配比获取超额收益，力求基金财产</w:t>
      </w:r>
      <w:r>
        <w:rPr/>
        <w:t>长期稳定的回报。</w:t>
      </w:r>
    </w:p>
    <w:p>
      <w:pPr>
        <w:pStyle w:val="BodyText"/>
        <w:spacing w:before="1"/>
        <w:ind w:left="700"/>
      </w:pPr>
      <w:r>
        <w:rPr/>
        <w:t>（三）投资范围</w:t>
      </w:r>
    </w:p>
    <w:p>
      <w:pPr>
        <w:pStyle w:val="BodyText"/>
        <w:spacing w:line="364" w:lineRule="auto"/>
        <w:ind w:right="357" w:firstLine="479"/>
        <w:jc w:val="both"/>
      </w:pPr>
      <w:r>
        <w:rPr>
          <w:spacing w:val="-6"/>
        </w:rPr>
        <w:t>本基金投资于具有良好流动性的金融工具，包括国内依法发行和上市交易的</w:t>
      </w:r>
      <w:r>
        <w:rPr>
          <w:spacing w:val="-13"/>
        </w:rPr>
        <w:t>公司股票</w:t>
      </w:r>
      <w:r>
        <w:rPr/>
        <w:t>（含存托凭证</w:t>
      </w:r>
      <w:r>
        <w:rPr>
          <w:spacing w:val="-48"/>
        </w:rPr>
        <w:t>）</w:t>
      </w:r>
      <w:r>
        <w:rPr>
          <w:spacing w:val="-1"/>
        </w:rPr>
        <w:t>和债券以及经中国证监会批准的允许基金投资的其他金</w:t>
      </w:r>
      <w:r>
        <w:rPr/>
        <w:t>融工具。</w:t>
      </w:r>
    </w:p>
    <w:p>
      <w:pPr>
        <w:pStyle w:val="BodyText"/>
        <w:spacing w:before="1"/>
        <w:ind w:left="700"/>
      </w:pPr>
      <w:r>
        <w:rPr/>
        <w:t>（四）投资策略</w:t>
      </w:r>
    </w:p>
    <w:p>
      <w:pPr>
        <w:pStyle w:val="BodyText"/>
        <w:ind w:left="700"/>
      </w:pPr>
      <w:r>
        <w:rPr>
          <w:rFonts w:ascii="Times New Roman" w:eastAsia="Times New Roman"/>
        </w:rPr>
        <w:t>1</w:t>
      </w:r>
      <w:r>
        <w:rPr/>
        <w:t>、投资管理的决策依据和决策程序</w:t>
      </w:r>
    </w:p>
    <w:p>
      <w:pPr>
        <w:pStyle w:val="ListParagraph"/>
        <w:numPr>
          <w:ilvl w:val="0"/>
          <w:numId w:val="21"/>
        </w:numPr>
        <w:tabs>
          <w:tab w:pos="1302" w:val="left" w:leader="none"/>
        </w:tabs>
        <w:spacing w:line="240" w:lineRule="auto" w:before="161" w:after="0"/>
        <w:ind w:left="1301" w:right="0" w:hanging="602"/>
        <w:jc w:val="left"/>
        <w:rPr>
          <w:sz w:val="24"/>
        </w:rPr>
      </w:pPr>
      <w:r>
        <w:rPr>
          <w:sz w:val="24"/>
        </w:rPr>
        <w:t>投资决策依据</w:t>
      </w:r>
    </w:p>
    <w:p>
      <w:pPr>
        <w:pStyle w:val="BodyText"/>
        <w:spacing w:line="364" w:lineRule="auto" w:before="160"/>
        <w:ind w:right="351" w:firstLine="479"/>
        <w:jc w:val="both"/>
      </w:pPr>
      <w:r>
        <w:rPr>
          <w:spacing w:val="1"/>
        </w:rPr>
        <w:t>本基金依据以宏观经济分析模型 </w:t>
      </w:r>
      <w:r>
        <w:rPr>
          <w:rFonts w:ascii="Times New Roman" w:eastAsia="Times New Roman"/>
        </w:rPr>
        <w:t>MEM </w:t>
      </w:r>
      <w:r>
        <w:rPr/>
        <w:t>为基础的资产配置模型决定基金的资产配置，并运用景顺长城股票研究数据库</w:t>
      </w:r>
      <w:r>
        <w:rPr>
          <w:rFonts w:ascii="Times New Roman" w:eastAsia="Times New Roman"/>
        </w:rPr>
        <w:t>(SRD)</w:t>
      </w:r>
      <w:r>
        <w:rPr>
          <w:spacing w:val="12"/>
        </w:rPr>
        <w:t>及 </w:t>
      </w:r>
      <w:r>
        <w:rPr>
          <w:rFonts w:ascii="Times New Roman" w:eastAsia="Times New Roman"/>
        </w:rPr>
        <w:t>GVI </w:t>
      </w:r>
      <w:r>
        <w:rPr/>
        <w:t>等选股模型作为行业</w:t>
      </w:r>
      <w:r>
        <w:rPr>
          <w:spacing w:val="-6"/>
        </w:rPr>
        <w:t>配置和个股选择的依据。与此同时，本基金运用多因素模型等分析工具，结合基金管理人的主观判断，根据风险收益最优化的原则进行投资组合的调整。</w:t>
      </w:r>
    </w:p>
    <w:p>
      <w:pPr>
        <w:pStyle w:val="ListParagraph"/>
        <w:numPr>
          <w:ilvl w:val="0"/>
          <w:numId w:val="21"/>
        </w:numPr>
        <w:tabs>
          <w:tab w:pos="1302" w:val="left" w:leader="none"/>
        </w:tabs>
        <w:spacing w:line="240" w:lineRule="auto" w:before="3" w:after="0"/>
        <w:ind w:left="1301" w:right="0" w:hanging="602"/>
        <w:jc w:val="left"/>
        <w:rPr>
          <w:sz w:val="24"/>
        </w:rPr>
      </w:pPr>
      <w:r>
        <w:rPr>
          <w:sz w:val="24"/>
        </w:rPr>
        <w:t>投资决策程序</w:t>
      </w:r>
    </w:p>
    <w:p>
      <w:pPr>
        <w:pStyle w:val="ListParagraph"/>
        <w:numPr>
          <w:ilvl w:val="0"/>
          <w:numId w:val="22"/>
        </w:numPr>
        <w:tabs>
          <w:tab w:pos="928" w:val="left" w:leader="none"/>
        </w:tabs>
        <w:spacing w:line="364" w:lineRule="auto" w:before="161" w:after="0"/>
        <w:ind w:left="220" w:right="244" w:firstLine="479"/>
        <w:jc w:val="left"/>
        <w:rPr>
          <w:sz w:val="24"/>
        </w:rPr>
      </w:pPr>
      <w:r>
        <w:rPr>
          <w:spacing w:val="-5"/>
          <w:sz w:val="24"/>
        </w:rPr>
        <w:t>投资决策委员会是公司投资的最高决策机构，以定期或不定期会议的形式</w:t>
      </w:r>
      <w:r>
        <w:rPr>
          <w:spacing w:val="-10"/>
          <w:sz w:val="24"/>
        </w:rPr>
        <w:t>讨论和决定基金投资的重大问题，包括确立各基金的投资方针及投资方向，审定</w:t>
      </w:r>
      <w:r>
        <w:rPr>
          <w:spacing w:val="-14"/>
          <w:sz w:val="24"/>
        </w:rPr>
        <w:t>基金财产的配置方案。投资决策委员会召开前，由基金经理依据对宏观经济走势</w:t>
      </w:r>
      <w:r>
        <w:rPr>
          <w:spacing w:val="-15"/>
          <w:sz w:val="24"/>
        </w:rPr>
        <w:t>的分析，提出基金的资产配置建议，交由投资决策委员会讨论。一旦作出决议， </w:t>
      </w:r>
      <w:r>
        <w:rPr>
          <w:sz w:val="24"/>
        </w:rPr>
        <w:t>即成为指导基金投资的正式文件，投资部据此拟订具体的投资计划。</w:t>
      </w:r>
    </w:p>
    <w:p>
      <w:pPr>
        <w:pStyle w:val="ListParagraph"/>
        <w:numPr>
          <w:ilvl w:val="0"/>
          <w:numId w:val="22"/>
        </w:numPr>
        <w:tabs>
          <w:tab w:pos="996" w:val="left" w:leader="none"/>
        </w:tabs>
        <w:spacing w:line="364" w:lineRule="auto" w:before="3" w:after="0"/>
        <w:ind w:left="220" w:right="359" w:firstLine="479"/>
        <w:jc w:val="both"/>
        <w:rPr>
          <w:sz w:val="24"/>
        </w:rPr>
      </w:pPr>
      <w:r>
        <w:rPr>
          <w:sz w:val="24"/>
        </w:rPr>
        <w:t>投资部是负责管理基金日常投资活动的具体部门，投资总监除履行投资</w:t>
      </w:r>
      <w:r>
        <w:rPr>
          <w:spacing w:val="-7"/>
          <w:sz w:val="24"/>
        </w:rPr>
        <w:t>决策委员会执行委员的职责外，还负责管理和协调投资部的日常运作。基金经理</w:t>
      </w:r>
      <w:r>
        <w:rPr>
          <w:sz w:val="24"/>
        </w:rPr>
        <w:t>根据投资决策委员会及投资研究联席会议决议具体承担基金的日常管理工作。</w:t>
      </w:r>
    </w:p>
    <w:p>
      <w:pPr>
        <w:spacing w:after="0" w:line="364" w:lineRule="auto"/>
        <w:jc w:val="both"/>
        <w:rPr>
          <w:sz w:val="24"/>
        </w:rPr>
        <w:sectPr>
          <w:pgSz w:w="11910" w:h="16840"/>
          <w:pgMar w:header="874" w:footer="997" w:top="1380" w:bottom="1180" w:left="1580" w:right="1440"/>
        </w:sectPr>
      </w:pPr>
    </w:p>
    <w:p>
      <w:pPr>
        <w:pStyle w:val="ListParagraph"/>
        <w:numPr>
          <w:ilvl w:val="0"/>
          <w:numId w:val="22"/>
        </w:numPr>
        <w:tabs>
          <w:tab w:pos="1062" w:val="left" w:leader="none"/>
        </w:tabs>
        <w:spacing w:line="364" w:lineRule="auto" w:before="130" w:after="0"/>
        <w:ind w:left="220" w:right="359" w:firstLine="479"/>
        <w:jc w:val="both"/>
        <w:rPr>
          <w:sz w:val="24"/>
        </w:rPr>
      </w:pPr>
      <w:r>
        <w:rPr>
          <w:spacing w:val="-1"/>
          <w:sz w:val="24"/>
        </w:rPr>
        <w:t>风险控制委员会作为风险管理的决策机构，由各部门总监组成，负责公</w:t>
      </w:r>
      <w:r>
        <w:rPr>
          <w:spacing w:val="-7"/>
          <w:sz w:val="24"/>
        </w:rPr>
        <w:t>司整体运作风险的评估和控制，指导业务方向，并接受、审阅监察稽核报告，基</w:t>
      </w:r>
      <w:r>
        <w:rPr>
          <w:sz w:val="24"/>
        </w:rPr>
        <w:t>于风险与回报对业务策略提出质疑。</w:t>
      </w:r>
    </w:p>
    <w:p>
      <w:pPr>
        <w:pStyle w:val="ListParagraph"/>
        <w:numPr>
          <w:ilvl w:val="0"/>
          <w:numId w:val="22"/>
        </w:numPr>
        <w:tabs>
          <w:tab w:pos="1048" w:val="left" w:leader="none"/>
        </w:tabs>
        <w:spacing w:line="240" w:lineRule="auto" w:before="2" w:after="0"/>
        <w:ind w:left="1047" w:right="0" w:hanging="348"/>
        <w:jc w:val="left"/>
        <w:rPr>
          <w:sz w:val="24"/>
        </w:rPr>
      </w:pPr>
      <w:r>
        <w:rPr>
          <w:sz w:val="24"/>
        </w:rPr>
        <w:t>本基金决策投资过程为：</w:t>
      </w:r>
    </w:p>
    <w:p>
      <w:pPr>
        <w:pStyle w:val="BodyText"/>
        <w:spacing w:line="364" w:lineRule="auto" w:before="160"/>
        <w:ind w:right="361" w:firstLine="479"/>
      </w:pPr>
      <w:r>
        <w:rPr>
          <w:spacing w:val="-7"/>
        </w:rPr>
        <w:t>①由基金经理依据宏观经济、股市政策、市场趋势判断，结合基金合同、投</w:t>
      </w:r>
      <w:r>
        <w:rPr/>
        <w:t>资制度的要求提出资产配置建议；</w:t>
      </w:r>
    </w:p>
    <w:p>
      <w:pPr>
        <w:pStyle w:val="BodyText"/>
        <w:spacing w:line="364" w:lineRule="auto" w:before="1"/>
        <w:ind w:right="357" w:firstLine="479"/>
      </w:pPr>
      <w:r>
        <w:rPr>
          <w:spacing w:val="-6"/>
        </w:rPr>
        <w:t>②投资决策委员审核基金经理提交的资产配置建议，并最终决定资产配置方</w:t>
      </w:r>
      <w:r>
        <w:rPr/>
        <w:t>案；</w:t>
      </w:r>
    </w:p>
    <w:p>
      <w:pPr>
        <w:pStyle w:val="BodyText"/>
        <w:spacing w:line="364" w:lineRule="auto" w:before="2"/>
        <w:ind w:right="280" w:firstLine="479"/>
      </w:pPr>
      <w:r>
        <w:rPr/>
        <w:t>③投资部从景顺长城股票研究数据库（</w:t>
      </w:r>
      <w:r>
        <w:rPr>
          <w:rFonts w:ascii="Times New Roman" w:hAnsi="Times New Roman" w:eastAsia="Times New Roman"/>
        </w:rPr>
        <w:t>SRD</w:t>
      </w:r>
      <w:r>
        <w:rPr/>
        <w:t>）中精选个股，依据本基金的投资策略，由投资研究联席会议集体决定个股配置方案；</w:t>
      </w:r>
    </w:p>
    <w:p>
      <w:pPr>
        <w:pStyle w:val="BodyText"/>
        <w:spacing w:before="1"/>
        <w:ind w:left="700"/>
      </w:pPr>
      <w:r>
        <w:rPr/>
        <w:t>④投资总监审核投资组合方案，如无异议，由基金经理具体执行投资计划。</w:t>
      </w:r>
    </w:p>
    <w:p>
      <w:pPr>
        <w:pStyle w:val="BodyText"/>
        <w:ind w:left="700"/>
      </w:pPr>
      <w:r>
        <w:rPr>
          <w:rFonts w:ascii="Times New Roman" w:eastAsia="Times New Roman"/>
        </w:rPr>
        <w:t>2</w:t>
      </w:r>
      <w:r>
        <w:rPr/>
        <w:t>、投资管理的方法和标准</w:t>
      </w:r>
    </w:p>
    <w:p>
      <w:pPr>
        <w:pStyle w:val="ListParagraph"/>
        <w:numPr>
          <w:ilvl w:val="0"/>
          <w:numId w:val="23"/>
        </w:numPr>
        <w:tabs>
          <w:tab w:pos="1302" w:val="left" w:leader="none"/>
        </w:tabs>
        <w:spacing w:line="240" w:lineRule="auto" w:before="160" w:after="0"/>
        <w:ind w:left="1301" w:right="0" w:hanging="602"/>
        <w:jc w:val="left"/>
        <w:rPr>
          <w:sz w:val="24"/>
        </w:rPr>
      </w:pPr>
      <w:r>
        <w:rPr>
          <w:sz w:val="24"/>
        </w:rPr>
        <w:t>资产配置</w:t>
      </w:r>
    </w:p>
    <w:p>
      <w:pPr>
        <w:pStyle w:val="BodyText"/>
        <w:ind w:left="700"/>
      </w:pPr>
      <w:r>
        <w:rPr>
          <w:spacing w:val="4"/>
        </w:rPr>
        <w:t>本基金是一只较高持股的混合型基金，对于股票的投资不少于基金财产的</w:t>
      </w:r>
    </w:p>
    <w:p>
      <w:pPr>
        <w:pStyle w:val="BodyText"/>
      </w:pPr>
      <w:r>
        <w:rPr>
          <w:rFonts w:ascii="Times New Roman" w:eastAsia="Times New Roman"/>
          <w:spacing w:val="2"/>
        </w:rPr>
        <w:t>60%</w:t>
      </w:r>
      <w:r>
        <w:rPr>
          <w:spacing w:val="2"/>
        </w:rPr>
        <w:t>，持有现金和到期日在一年以内的政府债券的比例不低于基金资产净值的</w:t>
      </w:r>
    </w:p>
    <w:p>
      <w:pPr>
        <w:pStyle w:val="BodyText"/>
        <w:spacing w:before="160"/>
      </w:pPr>
      <w:r>
        <w:rPr>
          <w:rFonts w:ascii="Times New Roman" w:eastAsia="Times New Roman"/>
        </w:rPr>
        <w:t>5%</w:t>
      </w:r>
      <w:r>
        <w:rPr/>
        <w:t>，其中现金不包括结算备付金、存出保证金和应收申购款等。</w:t>
      </w:r>
    </w:p>
    <w:p>
      <w:pPr>
        <w:pStyle w:val="ListParagraph"/>
        <w:numPr>
          <w:ilvl w:val="0"/>
          <w:numId w:val="23"/>
        </w:numPr>
        <w:tabs>
          <w:tab w:pos="1302" w:val="left" w:leader="none"/>
        </w:tabs>
        <w:spacing w:line="240" w:lineRule="auto" w:before="161" w:after="0"/>
        <w:ind w:left="1301" w:right="0" w:hanging="602"/>
        <w:jc w:val="left"/>
        <w:rPr>
          <w:sz w:val="24"/>
        </w:rPr>
      </w:pPr>
      <w:r>
        <w:rPr>
          <w:sz w:val="24"/>
        </w:rPr>
        <w:t>投资管理方法</w:t>
      </w:r>
    </w:p>
    <w:p>
      <w:pPr>
        <w:pStyle w:val="BodyText"/>
        <w:spacing w:line="364" w:lineRule="auto" w:before="160"/>
        <w:ind w:right="357" w:firstLine="479"/>
        <w:jc w:val="both"/>
      </w:pPr>
      <w:r>
        <w:rPr/>
        <w:t>本基金管理人充分发挥</w:t>
      </w:r>
      <w:r>
        <w:rPr>
          <w:rFonts w:ascii="Times New Roman" w:hAnsi="Times New Roman" w:eastAsia="Times New Roman"/>
        </w:rPr>
        <w:t>“</w:t>
      </w:r>
      <w:r>
        <w:rPr/>
        <w:t>自下而上</w:t>
      </w:r>
      <w:r>
        <w:rPr>
          <w:rFonts w:ascii="Times New Roman" w:hAnsi="Times New Roman" w:eastAsia="Times New Roman"/>
        </w:rPr>
        <w:t>”</w:t>
      </w:r>
      <w:r>
        <w:rPr>
          <w:spacing w:val="-9"/>
        </w:rPr>
        <w:t>的主动选股能力，通过定量的业绩归因分</w:t>
      </w:r>
      <w:r>
        <w:rPr>
          <w:spacing w:val="-6"/>
        </w:rPr>
        <w:t>析深入发掘主动性回报的相关信息，适当加大选股因素的贡献度，借助投资组合</w:t>
      </w:r>
      <w:r>
        <w:rPr/>
        <w:t>优化技术实现投资风险与收益的最佳配比。</w:t>
      </w:r>
    </w:p>
    <w:p>
      <w:pPr>
        <w:pStyle w:val="BodyText"/>
        <w:spacing w:line="364" w:lineRule="auto" w:before="2"/>
        <w:ind w:right="356" w:firstLine="479"/>
        <w:jc w:val="both"/>
      </w:pPr>
      <w:r>
        <w:rPr>
          <w:spacing w:val="-11"/>
        </w:rPr>
        <w:t>同时，借鉴国外风险管理的成功经验，采用国际通行的风险管理方法实现风</w:t>
      </w:r>
      <w:r>
        <w:rPr>
          <w:spacing w:val="-10"/>
        </w:rPr>
        <w:t>险的识别、测度和控制，通过调整风险结构，突出股票选择能力，从而保证股票</w:t>
      </w:r>
      <w:r>
        <w:rPr>
          <w:spacing w:val="-5"/>
        </w:rPr>
        <w:t>投资组合相对于基准指数的年跟踪误差在预定目标之内，将投资管理的主动性风</w:t>
      </w:r>
      <w:r>
        <w:rPr/>
        <w:t>险控制在合理的水平。</w:t>
      </w:r>
    </w:p>
    <w:p>
      <w:pPr>
        <w:pStyle w:val="BodyText"/>
        <w:spacing w:line="364" w:lineRule="auto" w:before="3"/>
        <w:ind w:right="244" w:firstLine="479"/>
      </w:pPr>
      <w:r>
        <w:rPr/>
        <w:t>本基金在投资中利用多因素模型优化投资组合，将与行业、投资风格和市场敏感暴露度密切相关的非主观的风险因素控制在最低程度，借助主动选股获利， 通过精选个股和优化组合两个环节增强超额收益。</w:t>
      </w:r>
    </w:p>
    <w:p>
      <w:pPr>
        <w:pStyle w:val="ListParagraph"/>
        <w:numPr>
          <w:ilvl w:val="0"/>
          <w:numId w:val="23"/>
        </w:numPr>
        <w:tabs>
          <w:tab w:pos="1302" w:val="left" w:leader="none"/>
        </w:tabs>
        <w:spacing w:line="240" w:lineRule="auto" w:before="2" w:after="0"/>
        <w:ind w:left="1301" w:right="0" w:hanging="602"/>
        <w:jc w:val="left"/>
        <w:rPr>
          <w:sz w:val="24"/>
        </w:rPr>
      </w:pPr>
      <w:r>
        <w:rPr>
          <w:sz w:val="24"/>
        </w:rPr>
        <w:t>选股标准</w:t>
      </w:r>
    </w:p>
    <w:p>
      <w:pPr>
        <w:pStyle w:val="BodyText"/>
        <w:ind w:left="700"/>
      </w:pPr>
      <w:r>
        <w:rPr/>
        <w:t>本基金遵循基本面主动选股的原则，主要通过自下而上的基本面研究制定投</w:t>
      </w:r>
    </w:p>
    <w:p>
      <w:pPr>
        <w:spacing w:after="0"/>
        <w:sectPr>
          <w:pgSz w:w="11910" w:h="16840"/>
          <w:pgMar w:header="874" w:footer="997" w:top="1380" w:bottom="1180" w:left="1580" w:right="1440"/>
        </w:sectPr>
      </w:pPr>
    </w:p>
    <w:p>
      <w:pPr>
        <w:pStyle w:val="BodyText"/>
        <w:spacing w:line="364" w:lineRule="auto" w:before="130"/>
        <w:ind w:right="356"/>
        <w:jc w:val="both"/>
      </w:pPr>
      <w:r>
        <w:rPr>
          <w:spacing w:val="-10"/>
        </w:rPr>
        <w:t>资决策。通过选择基本面良好的优势企业的股票或估值偏低的股票，结合自上而</w:t>
      </w:r>
      <w:r>
        <w:rPr>
          <w:spacing w:val="-7"/>
        </w:rPr>
        <w:t>下的宏观经济及政策分析、产业景气及产业政策分析，制定投资备选名单。对个</w:t>
      </w:r>
      <w:r>
        <w:rPr/>
        <w:t>股的选择以成长、价值及稳定收入为基础，依据 </w:t>
      </w:r>
      <w:r>
        <w:rPr>
          <w:rFonts w:ascii="Times New Roman" w:eastAsia="Times New Roman"/>
        </w:rPr>
        <w:t>GVI </w:t>
      </w:r>
      <w:r>
        <w:rPr>
          <w:spacing w:val="-2"/>
        </w:rPr>
        <w:t>模型，选取价位合适的具</w:t>
      </w:r>
      <w:r>
        <w:rPr>
          <w:spacing w:val="-7"/>
        </w:rPr>
        <w:t>有高成长性的成长型股票，价值被市场低估的价值型股票，以及能提供稳定收入</w:t>
      </w:r>
      <w:r>
        <w:rPr/>
        <w:t>的收益型股票。</w:t>
      </w:r>
    </w:p>
    <w:p>
      <w:pPr>
        <w:pStyle w:val="ListParagraph"/>
        <w:numPr>
          <w:ilvl w:val="0"/>
          <w:numId w:val="23"/>
        </w:numPr>
        <w:tabs>
          <w:tab w:pos="1302" w:val="left" w:leader="none"/>
        </w:tabs>
        <w:spacing w:line="364" w:lineRule="auto" w:before="3" w:after="0"/>
        <w:ind w:left="220" w:right="364" w:firstLine="479"/>
        <w:jc w:val="left"/>
        <w:rPr>
          <w:sz w:val="24"/>
        </w:rPr>
      </w:pPr>
      <w:r>
        <w:rPr>
          <w:spacing w:val="-1"/>
          <w:sz w:val="24"/>
        </w:rPr>
        <w:t>本基金投资存托凭证的策略依照上述境内上市交易的股票投资策略执</w:t>
      </w:r>
      <w:r>
        <w:rPr>
          <w:sz w:val="24"/>
        </w:rPr>
        <w:t>行。</w:t>
      </w:r>
    </w:p>
    <w:p>
      <w:pPr>
        <w:pStyle w:val="BodyText"/>
        <w:spacing w:before="2"/>
        <w:ind w:left="700"/>
      </w:pPr>
      <w:r>
        <w:rPr/>
        <w:t>（五）业绩比较基准</w:t>
      </w:r>
    </w:p>
    <w:p>
      <w:pPr>
        <w:pStyle w:val="BodyText"/>
        <w:spacing w:line="364" w:lineRule="auto" w:before="160"/>
        <w:ind w:left="700" w:right="608"/>
      </w:pPr>
      <w:r>
        <w:rPr/>
        <w:t>基金整体业绩比较基准</w:t>
      </w:r>
      <w:r>
        <w:rPr>
          <w:rFonts w:ascii="Times New Roman" w:hAnsi="Times New Roman" w:eastAsia="Times New Roman"/>
        </w:rPr>
        <w:t>=</w:t>
      </w:r>
      <w:r>
        <w:rPr>
          <w:spacing w:val="-20"/>
        </w:rPr>
        <w:t>沪深 </w:t>
      </w:r>
      <w:r>
        <w:rPr>
          <w:rFonts w:ascii="Times New Roman" w:hAnsi="Times New Roman" w:eastAsia="Times New Roman"/>
        </w:rPr>
        <w:t>300 </w:t>
      </w:r>
      <w:r>
        <w:rPr/>
        <w:t>指数</w:t>
      </w:r>
      <w:r>
        <w:rPr>
          <w:rFonts w:ascii="Times New Roman" w:hAnsi="Times New Roman" w:eastAsia="Times New Roman"/>
          <w:spacing w:val="-8"/>
        </w:rPr>
        <w:t>×80% </w:t>
      </w:r>
      <w:r>
        <w:rPr/>
        <w:t>＋银行同业存款利率</w:t>
      </w:r>
      <w:r>
        <w:rPr>
          <w:rFonts w:ascii="Times New Roman" w:hAnsi="Times New Roman" w:eastAsia="Times New Roman"/>
          <w:spacing w:val="-8"/>
        </w:rPr>
        <w:t>×20% </w:t>
      </w:r>
      <w:r>
        <w:rPr>
          <w:spacing w:val="-14"/>
        </w:rPr>
        <w:t>。</w:t>
      </w:r>
      <w:r>
        <w:rPr/>
        <w:t>使用上述业绩比较基准的主要理由如下：</w:t>
      </w:r>
    </w:p>
    <w:p>
      <w:pPr>
        <w:pStyle w:val="ListParagraph"/>
        <w:numPr>
          <w:ilvl w:val="0"/>
          <w:numId w:val="24"/>
        </w:numPr>
        <w:tabs>
          <w:tab w:pos="1302" w:val="left" w:leader="none"/>
        </w:tabs>
        <w:spacing w:line="364" w:lineRule="auto" w:before="1" w:after="0"/>
        <w:ind w:left="220" w:right="240" w:firstLine="479"/>
        <w:jc w:val="left"/>
        <w:rPr>
          <w:sz w:val="24"/>
        </w:rPr>
      </w:pPr>
      <w:r>
        <w:rPr>
          <w:sz w:val="24"/>
        </w:rPr>
        <w:t>公允性。本基金定位于高持股的混合型基金，同时始终持有不少于基</w:t>
      </w:r>
      <w:r>
        <w:rPr>
          <w:spacing w:val="-9"/>
          <w:sz w:val="24"/>
        </w:rPr>
        <w:t>金资产净值 </w:t>
      </w:r>
      <w:r>
        <w:rPr>
          <w:rFonts w:ascii="Times New Roman" w:eastAsia="Times New Roman"/>
          <w:sz w:val="24"/>
        </w:rPr>
        <w:t>5%</w:t>
      </w:r>
      <w:r>
        <w:rPr>
          <w:sz w:val="24"/>
        </w:rPr>
        <w:t>的现金或到期日在一年以内的政府债券，其中现金不包括结算备</w:t>
      </w:r>
      <w:r>
        <w:rPr>
          <w:spacing w:val="-1"/>
          <w:sz w:val="24"/>
        </w:rPr>
        <w:t>付金、存出保证金和应收申购款等。以上述基准对本基金的投资业绩进行评估， </w:t>
      </w:r>
      <w:r>
        <w:rPr>
          <w:spacing w:val="-5"/>
          <w:sz w:val="24"/>
        </w:rPr>
        <w:t>能够比较客观的反映资产的市场平均收益水平，也可以比较公允的反映基金管理人的投资管理能力。</w:t>
      </w:r>
    </w:p>
    <w:p>
      <w:pPr>
        <w:pStyle w:val="ListParagraph"/>
        <w:numPr>
          <w:ilvl w:val="0"/>
          <w:numId w:val="24"/>
        </w:numPr>
        <w:tabs>
          <w:tab w:pos="1302" w:val="left" w:leader="none"/>
        </w:tabs>
        <w:spacing w:line="240" w:lineRule="auto" w:before="4" w:after="0"/>
        <w:ind w:left="1301" w:right="0" w:hanging="602"/>
        <w:jc w:val="left"/>
        <w:rPr>
          <w:sz w:val="24"/>
        </w:rPr>
      </w:pPr>
      <w:r>
        <w:rPr>
          <w:spacing w:val="-10"/>
          <w:sz w:val="24"/>
        </w:rPr>
        <w:t>关于以沪深 </w:t>
      </w:r>
      <w:r>
        <w:rPr>
          <w:rFonts w:ascii="Times New Roman" w:eastAsia="Times New Roman"/>
          <w:sz w:val="24"/>
        </w:rPr>
        <w:t>300 </w:t>
      </w:r>
      <w:r>
        <w:rPr>
          <w:sz w:val="24"/>
        </w:rPr>
        <w:t>指数作为本基金业绩比较基准中的股票部分的理由：</w:t>
      </w:r>
    </w:p>
    <w:p>
      <w:pPr>
        <w:pStyle w:val="ListParagraph"/>
        <w:numPr>
          <w:ilvl w:val="1"/>
          <w:numId w:val="24"/>
        </w:numPr>
        <w:tabs>
          <w:tab w:pos="1249" w:val="left" w:leader="none"/>
        </w:tabs>
        <w:spacing w:line="240" w:lineRule="auto" w:before="160" w:after="0"/>
        <w:ind w:left="1248" w:right="0" w:hanging="549"/>
        <w:jc w:val="left"/>
        <w:rPr>
          <w:sz w:val="24"/>
        </w:rPr>
      </w:pPr>
      <w:r>
        <w:rPr>
          <w:spacing w:val="-9"/>
          <w:sz w:val="24"/>
        </w:rPr>
        <w:t>客观性：沪深 </w:t>
      </w:r>
      <w:r>
        <w:rPr>
          <w:rFonts w:ascii="Times New Roman" w:eastAsia="Times New Roman"/>
          <w:sz w:val="24"/>
        </w:rPr>
        <w:t>300 </w:t>
      </w:r>
      <w:r>
        <w:rPr>
          <w:sz w:val="24"/>
        </w:rPr>
        <w:t>指数编制方法明确，能为市场普遍接受。</w:t>
      </w:r>
    </w:p>
    <w:p>
      <w:pPr>
        <w:pStyle w:val="ListParagraph"/>
        <w:numPr>
          <w:ilvl w:val="1"/>
          <w:numId w:val="24"/>
        </w:numPr>
        <w:tabs>
          <w:tab w:pos="1316" w:val="left" w:leader="none"/>
        </w:tabs>
        <w:spacing w:line="364" w:lineRule="auto" w:before="161" w:after="0"/>
        <w:ind w:left="220" w:right="358" w:firstLine="479"/>
        <w:jc w:val="left"/>
        <w:rPr>
          <w:sz w:val="24"/>
        </w:rPr>
      </w:pPr>
      <w:r>
        <w:rPr>
          <w:spacing w:val="-8"/>
          <w:sz w:val="24"/>
        </w:rPr>
        <w:t>透明性：沪深 </w:t>
      </w:r>
      <w:r>
        <w:rPr>
          <w:rFonts w:ascii="Times New Roman" w:eastAsia="Times New Roman"/>
          <w:sz w:val="24"/>
        </w:rPr>
        <w:t>300</w:t>
      </w:r>
      <w:r>
        <w:rPr>
          <w:rFonts w:ascii="Times New Roman" w:eastAsia="Times New Roman"/>
          <w:spacing w:val="6"/>
          <w:sz w:val="24"/>
        </w:rPr>
        <w:t> </w:t>
      </w:r>
      <w:r>
        <w:rPr>
          <w:spacing w:val="-1"/>
          <w:sz w:val="24"/>
        </w:rPr>
        <w:t>指数公开发布，投资者可以使用公开的数据经过简</w:t>
      </w:r>
      <w:r>
        <w:rPr>
          <w:sz w:val="24"/>
        </w:rPr>
        <w:t>单的算术运算获得比较基准，保证了基金业绩评价的透明性。</w:t>
      </w:r>
    </w:p>
    <w:p>
      <w:pPr>
        <w:pStyle w:val="ListParagraph"/>
        <w:numPr>
          <w:ilvl w:val="1"/>
          <w:numId w:val="24"/>
        </w:numPr>
        <w:tabs>
          <w:tab w:pos="1383" w:val="left" w:leader="none"/>
        </w:tabs>
        <w:spacing w:line="240" w:lineRule="auto" w:before="1" w:after="0"/>
        <w:ind w:left="1383" w:right="0" w:hanging="683"/>
        <w:jc w:val="left"/>
        <w:rPr>
          <w:sz w:val="24"/>
        </w:rPr>
      </w:pPr>
      <w:r>
        <w:rPr>
          <w:spacing w:val="-8"/>
          <w:sz w:val="24"/>
        </w:rPr>
        <w:t>市场代表性：沪深 </w:t>
      </w:r>
      <w:r>
        <w:rPr>
          <w:rFonts w:ascii="Times New Roman" w:eastAsia="Times New Roman"/>
          <w:sz w:val="24"/>
        </w:rPr>
        <w:t>300 </w:t>
      </w:r>
      <w:r>
        <w:rPr>
          <w:sz w:val="24"/>
        </w:rPr>
        <w:t>指数具有良好的市场代表性。</w:t>
      </w:r>
    </w:p>
    <w:p>
      <w:pPr>
        <w:pStyle w:val="ListParagraph"/>
        <w:numPr>
          <w:ilvl w:val="0"/>
          <w:numId w:val="24"/>
        </w:numPr>
        <w:tabs>
          <w:tab w:pos="1302" w:val="left" w:leader="none"/>
        </w:tabs>
        <w:spacing w:line="364" w:lineRule="auto" w:before="160" w:after="0"/>
        <w:ind w:left="700" w:right="116" w:firstLine="0"/>
        <w:jc w:val="left"/>
        <w:rPr>
          <w:sz w:val="24"/>
        </w:rPr>
      </w:pPr>
      <w:r>
        <w:rPr>
          <w:sz w:val="24"/>
        </w:rPr>
        <w:t>关于业绩比较基准中股票指数与银行同业存款利率的权重的确定依据： 本基金股票资产的配置比例为 </w:t>
      </w:r>
      <w:r>
        <w:rPr>
          <w:rFonts w:ascii="Times New Roman" w:eastAsia="Times New Roman"/>
          <w:spacing w:val="-14"/>
          <w:sz w:val="24"/>
        </w:rPr>
        <w:t>60-95%</w:t>
      </w:r>
      <w:r>
        <w:rPr>
          <w:spacing w:val="-4"/>
          <w:sz w:val="24"/>
        </w:rPr>
        <w:t>，基金股票投资的平均仓位接近 </w:t>
      </w:r>
      <w:r>
        <w:rPr>
          <w:rFonts w:ascii="Times New Roman" w:eastAsia="Times New Roman"/>
          <w:sz w:val="24"/>
        </w:rPr>
        <w:t>80%</w:t>
      </w:r>
      <w:r>
        <w:rPr>
          <w:spacing w:val="-16"/>
          <w:sz w:val="24"/>
        </w:rPr>
        <w:t>。</w:t>
      </w:r>
      <w:r>
        <w:rPr>
          <w:spacing w:val="-4"/>
          <w:sz w:val="24"/>
        </w:rPr>
        <w:t>如果本基金业绩比较基准中所使用的指数暂停或终止发布，本基金的管理人</w:t>
      </w:r>
    </w:p>
    <w:p>
      <w:pPr>
        <w:pStyle w:val="BodyText"/>
        <w:spacing w:line="364" w:lineRule="auto" w:before="3"/>
        <w:ind w:right="357"/>
      </w:pPr>
      <w:r>
        <w:rPr>
          <w:spacing w:val="-9"/>
        </w:rPr>
        <w:t>可以在报备中国证监会后，使用其他可以合理的作为业绩比较基准的指数代替原</w:t>
      </w:r>
      <w:r>
        <w:rPr/>
        <w:t>有指数。</w:t>
      </w:r>
    </w:p>
    <w:p>
      <w:pPr>
        <w:pStyle w:val="BodyText"/>
        <w:spacing w:line="364" w:lineRule="auto" w:before="1"/>
        <w:ind w:right="357" w:firstLine="479"/>
        <w:jc w:val="both"/>
      </w:pPr>
      <w:r>
        <w:rPr>
          <w:spacing w:val="-8"/>
        </w:rPr>
        <w:t>如果今后法律法规发生变化，或者有更权威的、能为市场普遍接受的业绩比</w:t>
      </w:r>
      <w:r>
        <w:rPr>
          <w:spacing w:val="-11"/>
        </w:rPr>
        <w:t>较基准推出，基金管理人可以在报中国证监会备案后变更业绩比较基准并及时公</w:t>
      </w:r>
      <w:r>
        <w:rPr/>
        <w:t>告。</w:t>
      </w:r>
    </w:p>
    <w:p>
      <w:pPr>
        <w:pStyle w:val="BodyText"/>
        <w:spacing w:before="2"/>
        <w:ind w:left="700"/>
      </w:pPr>
      <w:r>
        <w:rPr/>
        <w:t>（六）风险收益特征</w:t>
      </w:r>
    </w:p>
    <w:p>
      <w:pPr>
        <w:spacing w:after="0"/>
        <w:sectPr>
          <w:pgSz w:w="11910" w:h="16840"/>
          <w:pgMar w:header="874" w:footer="997" w:top="1380" w:bottom="1180" w:left="1580" w:right="1440"/>
        </w:sectPr>
      </w:pPr>
    </w:p>
    <w:p>
      <w:pPr>
        <w:pStyle w:val="BodyText"/>
        <w:spacing w:line="364" w:lineRule="auto" w:before="130"/>
        <w:ind w:left="700" w:right="242"/>
      </w:pPr>
      <w:r>
        <w:rPr/>
        <w:t>本基金严格控制证券市场中的非系统性风险，是风险程度适中的投资品种。依据本基金投资组合管理方法的特征，本基金将投资组合管理中面临的各类</w:t>
      </w:r>
    </w:p>
    <w:p>
      <w:pPr>
        <w:pStyle w:val="BodyText"/>
        <w:spacing w:before="1"/>
      </w:pPr>
      <w:r>
        <w:rPr/>
        <w:t>别风险定义如下：</w:t>
      </w:r>
    </w:p>
    <w:p>
      <w:pPr>
        <w:pStyle w:val="BodyText"/>
        <w:spacing w:before="160"/>
        <w:ind w:left="700"/>
      </w:pPr>
      <w:r>
        <w:rPr>
          <w:rFonts w:ascii="Times New Roman" w:eastAsia="Times New Roman"/>
        </w:rPr>
        <w:t>1</w:t>
      </w:r>
      <w:r>
        <w:rPr/>
        <w:t>、投资组合风险：</w:t>
      </w:r>
    </w:p>
    <w:p>
      <w:pPr>
        <w:pStyle w:val="BodyText"/>
        <w:spacing w:line="364" w:lineRule="auto"/>
        <w:ind w:right="361" w:firstLine="479"/>
      </w:pPr>
      <w:r>
        <w:rPr>
          <w:spacing w:val="-7"/>
        </w:rPr>
        <w:t>在基金日常管理风险过程中，由投资部对投资组合风险进行监控和管理。此</w:t>
      </w:r>
      <w:r>
        <w:rPr/>
        <w:t>类风险主要包括以下几种：</w:t>
      </w:r>
    </w:p>
    <w:p>
      <w:pPr>
        <w:pStyle w:val="ListParagraph"/>
        <w:numPr>
          <w:ilvl w:val="0"/>
          <w:numId w:val="25"/>
        </w:numPr>
        <w:tabs>
          <w:tab w:pos="1302" w:val="left" w:leader="none"/>
        </w:tabs>
        <w:spacing w:line="240" w:lineRule="auto" w:before="1" w:after="0"/>
        <w:ind w:left="1301" w:right="0" w:hanging="602"/>
        <w:jc w:val="left"/>
        <w:rPr>
          <w:sz w:val="24"/>
        </w:rPr>
      </w:pPr>
      <w:r>
        <w:rPr>
          <w:sz w:val="24"/>
        </w:rPr>
        <w:t>系统性风险：基金在投资中因市场原因而无法规避的风险；</w:t>
      </w:r>
    </w:p>
    <w:p>
      <w:pPr>
        <w:pStyle w:val="ListParagraph"/>
        <w:numPr>
          <w:ilvl w:val="0"/>
          <w:numId w:val="25"/>
        </w:numPr>
        <w:tabs>
          <w:tab w:pos="1302" w:val="left" w:leader="none"/>
        </w:tabs>
        <w:spacing w:line="364" w:lineRule="auto" w:before="161" w:after="0"/>
        <w:ind w:left="220" w:right="364" w:firstLine="479"/>
        <w:jc w:val="left"/>
        <w:rPr>
          <w:sz w:val="24"/>
        </w:rPr>
      </w:pPr>
      <w:r>
        <w:rPr>
          <w:spacing w:val="-1"/>
          <w:sz w:val="24"/>
        </w:rPr>
        <w:t>行业配置风险：基金中某行业投资比例出现与基准的较大偏差而可能</w:t>
      </w:r>
      <w:r>
        <w:rPr>
          <w:sz w:val="24"/>
        </w:rPr>
        <w:t>产生的风险；</w:t>
      </w:r>
    </w:p>
    <w:p>
      <w:pPr>
        <w:pStyle w:val="ListParagraph"/>
        <w:numPr>
          <w:ilvl w:val="0"/>
          <w:numId w:val="25"/>
        </w:numPr>
        <w:tabs>
          <w:tab w:pos="1302" w:val="left" w:leader="none"/>
        </w:tabs>
        <w:spacing w:line="364" w:lineRule="auto" w:before="1" w:after="0"/>
        <w:ind w:left="220" w:right="364" w:firstLine="479"/>
        <w:jc w:val="left"/>
        <w:rPr>
          <w:sz w:val="24"/>
        </w:rPr>
      </w:pPr>
      <w:r>
        <w:rPr>
          <w:spacing w:val="-1"/>
          <w:sz w:val="24"/>
        </w:rPr>
        <w:t>证券选择风险：基金中某只股票的持仓比例出现与基准的较大偏差而</w:t>
      </w:r>
      <w:r>
        <w:rPr>
          <w:sz w:val="24"/>
        </w:rPr>
        <w:t>可能产生的风险；</w:t>
      </w:r>
    </w:p>
    <w:p>
      <w:pPr>
        <w:pStyle w:val="ListParagraph"/>
        <w:numPr>
          <w:ilvl w:val="0"/>
          <w:numId w:val="25"/>
        </w:numPr>
        <w:tabs>
          <w:tab w:pos="1302" w:val="left" w:leader="none"/>
        </w:tabs>
        <w:spacing w:line="364" w:lineRule="auto" w:before="2" w:after="0"/>
        <w:ind w:left="220" w:right="364" w:firstLine="479"/>
        <w:jc w:val="left"/>
        <w:rPr>
          <w:sz w:val="24"/>
        </w:rPr>
      </w:pPr>
      <w:r>
        <w:rPr>
          <w:spacing w:val="-1"/>
          <w:sz w:val="24"/>
        </w:rPr>
        <w:t>风格风险：基金在投资风格上与基准之间产生偏差，偏重于某种风格</w:t>
      </w:r>
      <w:r>
        <w:rPr>
          <w:sz w:val="24"/>
        </w:rPr>
        <w:t>而产生的风险；</w:t>
      </w:r>
    </w:p>
    <w:p>
      <w:pPr>
        <w:pStyle w:val="BodyText"/>
        <w:spacing w:before="1"/>
        <w:ind w:left="700"/>
      </w:pPr>
      <w:r>
        <w:rPr>
          <w:rFonts w:ascii="Times New Roman" w:eastAsia="Times New Roman"/>
        </w:rPr>
        <w:t>2</w:t>
      </w:r>
      <w:r>
        <w:rPr/>
        <w:t>、个股风险：</w:t>
      </w:r>
    </w:p>
    <w:p>
      <w:pPr>
        <w:pStyle w:val="BodyText"/>
        <w:spacing w:line="364" w:lineRule="auto"/>
        <w:ind w:right="361" w:firstLine="479"/>
      </w:pPr>
      <w:r>
        <w:rPr>
          <w:spacing w:val="-7"/>
        </w:rPr>
        <w:t>在基金日常管理风险过程中，由投资部对个股风险进行监控和管理。此类风</w:t>
      </w:r>
      <w:r>
        <w:rPr/>
        <w:t>险主要包括以下几种：</w:t>
      </w:r>
    </w:p>
    <w:p>
      <w:pPr>
        <w:pStyle w:val="ListParagraph"/>
        <w:numPr>
          <w:ilvl w:val="0"/>
          <w:numId w:val="26"/>
        </w:numPr>
        <w:tabs>
          <w:tab w:pos="1302" w:val="left" w:leader="none"/>
        </w:tabs>
        <w:spacing w:line="364" w:lineRule="auto" w:before="1" w:after="0"/>
        <w:ind w:left="220" w:right="364" w:firstLine="479"/>
        <w:jc w:val="left"/>
        <w:rPr>
          <w:sz w:val="24"/>
        </w:rPr>
      </w:pPr>
      <w:r>
        <w:rPr>
          <w:spacing w:val="-1"/>
          <w:sz w:val="24"/>
        </w:rPr>
        <w:t>财务风险：基金在投资过程中，由于对上市公司基本面特别是财务状</w:t>
      </w:r>
      <w:r>
        <w:rPr>
          <w:sz w:val="24"/>
        </w:rPr>
        <w:t>况判断出现失误，造成基金资产净值受损的风险；</w:t>
      </w:r>
    </w:p>
    <w:p>
      <w:pPr>
        <w:pStyle w:val="ListParagraph"/>
        <w:numPr>
          <w:ilvl w:val="0"/>
          <w:numId w:val="26"/>
        </w:numPr>
        <w:tabs>
          <w:tab w:pos="1302" w:val="left" w:leader="none"/>
        </w:tabs>
        <w:spacing w:line="364" w:lineRule="auto" w:before="1" w:after="0"/>
        <w:ind w:left="220" w:right="364" w:firstLine="479"/>
        <w:jc w:val="left"/>
        <w:rPr>
          <w:sz w:val="24"/>
        </w:rPr>
      </w:pPr>
      <w:r>
        <w:rPr>
          <w:spacing w:val="-1"/>
          <w:sz w:val="24"/>
        </w:rPr>
        <w:t>流动性风险：基金资产不能迅速、低成本地转变成现金，或者不能应</w:t>
      </w:r>
      <w:r>
        <w:rPr>
          <w:sz w:val="24"/>
        </w:rPr>
        <w:t>付可能出现地投资者大额赎回的风险；</w:t>
      </w:r>
    </w:p>
    <w:p>
      <w:pPr>
        <w:pStyle w:val="ListParagraph"/>
        <w:numPr>
          <w:ilvl w:val="0"/>
          <w:numId w:val="26"/>
        </w:numPr>
        <w:tabs>
          <w:tab w:pos="1302" w:val="left" w:leader="none"/>
        </w:tabs>
        <w:spacing w:line="364" w:lineRule="auto" w:before="1" w:after="0"/>
        <w:ind w:left="220" w:right="364" w:firstLine="479"/>
        <w:jc w:val="left"/>
        <w:rPr>
          <w:sz w:val="24"/>
        </w:rPr>
      </w:pPr>
      <w:r>
        <w:rPr>
          <w:spacing w:val="-1"/>
          <w:sz w:val="24"/>
        </w:rPr>
        <w:t>价格风险：在一定时间期限内，当基金中某只证券的二级市场股票价</w:t>
      </w:r>
      <w:r>
        <w:rPr>
          <w:sz w:val="24"/>
        </w:rPr>
        <w:t>格波动幅度超出一定比例；</w:t>
      </w:r>
    </w:p>
    <w:p>
      <w:pPr>
        <w:pStyle w:val="BodyText"/>
        <w:spacing w:before="2"/>
        <w:ind w:left="700"/>
      </w:pPr>
      <w:r>
        <w:rPr>
          <w:rFonts w:ascii="Times New Roman" w:eastAsia="Times New Roman"/>
        </w:rPr>
        <w:t>3</w:t>
      </w:r>
      <w:r>
        <w:rPr/>
        <w:t>、作业执行风险：</w:t>
      </w:r>
    </w:p>
    <w:p>
      <w:pPr>
        <w:pStyle w:val="BodyText"/>
        <w:spacing w:line="364" w:lineRule="auto"/>
        <w:ind w:right="357" w:firstLine="479"/>
        <w:jc w:val="both"/>
      </w:pPr>
      <w:r>
        <w:rPr>
          <w:spacing w:val="-8"/>
        </w:rPr>
        <w:t>在基金日常管理风险过程中，由运营部及法律、监察稽核部对作业风险进行</w:t>
      </w:r>
      <w:r>
        <w:rPr>
          <w:spacing w:val="-11"/>
        </w:rPr>
        <w:t>实时预警与监控。此类风险主要包括基金在日常操作中出现违反法规或公司相关</w:t>
      </w:r>
      <w:r>
        <w:rPr/>
        <w:t>管理制度，或者交易执行中的操作失误以及信息系统故障产生的风险。</w:t>
      </w:r>
    </w:p>
    <w:p>
      <w:pPr>
        <w:pStyle w:val="BodyText"/>
        <w:spacing w:line="364" w:lineRule="auto" w:before="1"/>
        <w:ind w:right="357" w:firstLine="479"/>
        <w:jc w:val="both"/>
      </w:pPr>
      <w:r>
        <w:rPr>
          <w:spacing w:val="-5"/>
        </w:rPr>
        <w:t>本基金管理人借鉴了外方股东景顺集团的投资风险管理经验，结合中国市场</w:t>
      </w:r>
      <w:r>
        <w:rPr>
          <w:spacing w:val="-11"/>
        </w:rPr>
        <w:t>的实际情况，建立了景顺长城风险管理系统。通过严格的风险管理制度和流程有</w:t>
      </w:r>
      <w:r>
        <w:rPr>
          <w:spacing w:val="-9"/>
        </w:rPr>
        <w:t>效降低投资的风险，保障基金财产的安全和投资者的合法利益，实现基金的投资</w:t>
      </w:r>
    </w:p>
    <w:p>
      <w:pPr>
        <w:spacing w:after="0" w:line="364" w:lineRule="auto"/>
        <w:jc w:val="both"/>
        <w:sectPr>
          <w:pgSz w:w="11910" w:h="16840"/>
          <w:pgMar w:header="874" w:footer="997" w:top="1380" w:bottom="1180" w:left="1580" w:right="1440"/>
        </w:sectPr>
      </w:pPr>
    </w:p>
    <w:p>
      <w:pPr>
        <w:pStyle w:val="BodyText"/>
        <w:spacing w:before="130"/>
      </w:pPr>
      <w:r>
        <w:rPr/>
        <w:t>目标。本基金的股票风险管理主要基于公司风险管理系统和回报分析系统实现。</w:t>
      </w:r>
    </w:p>
    <w:p>
      <w:pPr>
        <w:pStyle w:val="BodyText"/>
        <w:spacing w:before="160"/>
        <w:ind w:left="700"/>
      </w:pPr>
      <w:r>
        <w:rPr/>
        <w:t>（七）投资限制</w:t>
      </w:r>
    </w:p>
    <w:p>
      <w:pPr>
        <w:pStyle w:val="BodyText"/>
        <w:ind w:left="700"/>
      </w:pPr>
      <w:r>
        <w:rPr>
          <w:rFonts w:ascii="Times New Roman" w:eastAsia="Times New Roman"/>
        </w:rPr>
        <w:t>1</w:t>
      </w:r>
      <w:r>
        <w:rPr/>
        <w:t>、禁止行为</w:t>
      </w:r>
    </w:p>
    <w:p>
      <w:pPr>
        <w:pStyle w:val="BodyText"/>
        <w:spacing w:before="160"/>
        <w:ind w:left="700"/>
      </w:pPr>
      <w:r>
        <w:rPr/>
        <w:t>本基金不得进行如下行为：</w:t>
      </w:r>
    </w:p>
    <w:p>
      <w:pPr>
        <w:pStyle w:val="ListParagraph"/>
        <w:numPr>
          <w:ilvl w:val="0"/>
          <w:numId w:val="27"/>
        </w:numPr>
        <w:tabs>
          <w:tab w:pos="1302" w:val="left" w:leader="none"/>
        </w:tabs>
        <w:spacing w:line="240" w:lineRule="auto" w:before="161" w:after="0"/>
        <w:ind w:left="1301" w:right="0" w:hanging="602"/>
        <w:jc w:val="left"/>
        <w:rPr>
          <w:sz w:val="24"/>
        </w:rPr>
      </w:pPr>
      <w:r>
        <w:rPr>
          <w:sz w:val="24"/>
        </w:rPr>
        <w:t>承销证券；</w:t>
      </w:r>
    </w:p>
    <w:p>
      <w:pPr>
        <w:pStyle w:val="ListParagraph"/>
        <w:numPr>
          <w:ilvl w:val="0"/>
          <w:numId w:val="27"/>
        </w:numPr>
        <w:tabs>
          <w:tab w:pos="1302" w:val="left" w:leader="none"/>
        </w:tabs>
        <w:spacing w:line="240" w:lineRule="auto" w:before="160" w:after="0"/>
        <w:ind w:left="1301" w:right="0" w:hanging="602"/>
        <w:jc w:val="left"/>
        <w:rPr>
          <w:sz w:val="24"/>
        </w:rPr>
      </w:pPr>
      <w:r>
        <w:rPr>
          <w:sz w:val="24"/>
        </w:rPr>
        <w:t>向他人贷款或者提供担保；</w:t>
      </w:r>
    </w:p>
    <w:p>
      <w:pPr>
        <w:pStyle w:val="ListParagraph"/>
        <w:numPr>
          <w:ilvl w:val="0"/>
          <w:numId w:val="27"/>
        </w:numPr>
        <w:tabs>
          <w:tab w:pos="1302" w:val="left" w:leader="none"/>
        </w:tabs>
        <w:spacing w:line="240" w:lineRule="auto" w:before="161" w:after="0"/>
        <w:ind w:left="1301" w:right="0" w:hanging="602"/>
        <w:jc w:val="left"/>
        <w:rPr>
          <w:sz w:val="24"/>
        </w:rPr>
      </w:pPr>
      <w:r>
        <w:rPr>
          <w:sz w:val="24"/>
        </w:rPr>
        <w:t>从事承担无限责任的投资；</w:t>
      </w:r>
    </w:p>
    <w:p>
      <w:pPr>
        <w:pStyle w:val="ListParagraph"/>
        <w:numPr>
          <w:ilvl w:val="0"/>
          <w:numId w:val="27"/>
        </w:numPr>
        <w:tabs>
          <w:tab w:pos="1302" w:val="left" w:leader="none"/>
        </w:tabs>
        <w:spacing w:line="240" w:lineRule="auto" w:before="161" w:after="0"/>
        <w:ind w:left="1301" w:right="0" w:hanging="602"/>
        <w:jc w:val="left"/>
        <w:rPr>
          <w:sz w:val="24"/>
        </w:rPr>
      </w:pPr>
      <w:r>
        <w:rPr>
          <w:sz w:val="24"/>
        </w:rPr>
        <w:t>买卖其他基金份额，但是国务院另有规定的除外；</w:t>
      </w:r>
    </w:p>
    <w:p>
      <w:pPr>
        <w:pStyle w:val="ListParagraph"/>
        <w:numPr>
          <w:ilvl w:val="0"/>
          <w:numId w:val="27"/>
        </w:numPr>
        <w:tabs>
          <w:tab w:pos="1302" w:val="left" w:leader="none"/>
        </w:tabs>
        <w:spacing w:line="364" w:lineRule="auto" w:before="160" w:after="0"/>
        <w:ind w:left="220" w:right="364" w:firstLine="479"/>
        <w:jc w:val="left"/>
        <w:rPr>
          <w:sz w:val="24"/>
        </w:rPr>
      </w:pPr>
      <w:r>
        <w:rPr>
          <w:spacing w:val="-1"/>
          <w:sz w:val="24"/>
        </w:rPr>
        <w:t>向基金管理人、基金托管人出资或者买卖基金管理人、基金托管人发</w:t>
      </w:r>
      <w:r>
        <w:rPr>
          <w:sz w:val="24"/>
        </w:rPr>
        <w:t>行的股票或者债券；</w:t>
      </w:r>
    </w:p>
    <w:p>
      <w:pPr>
        <w:pStyle w:val="ListParagraph"/>
        <w:numPr>
          <w:ilvl w:val="0"/>
          <w:numId w:val="27"/>
        </w:numPr>
        <w:tabs>
          <w:tab w:pos="1302" w:val="left" w:leader="none"/>
        </w:tabs>
        <w:spacing w:line="364" w:lineRule="auto" w:before="2" w:after="0"/>
        <w:ind w:left="220" w:right="361" w:firstLine="479"/>
        <w:jc w:val="left"/>
        <w:rPr>
          <w:sz w:val="24"/>
        </w:rPr>
      </w:pPr>
      <w:r>
        <w:rPr>
          <w:spacing w:val="-11"/>
          <w:sz w:val="24"/>
        </w:rPr>
        <w:t>买卖与基金管理人、基金托管人有控股关系的股东或者与基金管理人</w:t>
      </w:r>
      <w:r>
        <w:rPr>
          <w:spacing w:val="-5"/>
          <w:sz w:val="24"/>
        </w:rPr>
        <w:t>、基金托管人有其他重大利害关系的公司发行的证券或者承销期内承销的证券；</w:t>
      </w:r>
    </w:p>
    <w:p>
      <w:pPr>
        <w:pStyle w:val="ListParagraph"/>
        <w:numPr>
          <w:ilvl w:val="0"/>
          <w:numId w:val="27"/>
        </w:numPr>
        <w:tabs>
          <w:tab w:pos="1302" w:val="left" w:leader="none"/>
        </w:tabs>
        <w:spacing w:line="240" w:lineRule="auto" w:before="1" w:after="0"/>
        <w:ind w:left="1301" w:right="0" w:hanging="602"/>
        <w:jc w:val="left"/>
        <w:rPr>
          <w:sz w:val="24"/>
        </w:rPr>
      </w:pPr>
      <w:r>
        <w:rPr>
          <w:sz w:val="24"/>
        </w:rPr>
        <w:t>从事内幕交易、操纵证券交易价格及其他不正当的证券交易活动；</w:t>
      </w:r>
    </w:p>
    <w:p>
      <w:pPr>
        <w:pStyle w:val="ListParagraph"/>
        <w:numPr>
          <w:ilvl w:val="0"/>
          <w:numId w:val="27"/>
        </w:numPr>
        <w:tabs>
          <w:tab w:pos="1302" w:val="left" w:leader="none"/>
        </w:tabs>
        <w:spacing w:line="364" w:lineRule="auto" w:before="160" w:after="0"/>
        <w:ind w:left="220" w:right="364" w:firstLine="479"/>
        <w:jc w:val="left"/>
        <w:rPr>
          <w:sz w:val="24"/>
        </w:rPr>
      </w:pPr>
      <w:r>
        <w:rPr>
          <w:spacing w:val="-1"/>
          <w:sz w:val="24"/>
        </w:rPr>
        <w:t>依照法律、行政法规有关规定，由国务院证券监督管理机构规定禁止</w:t>
      </w:r>
      <w:r>
        <w:rPr>
          <w:sz w:val="24"/>
        </w:rPr>
        <w:t>的其他活动。</w:t>
      </w:r>
    </w:p>
    <w:p>
      <w:pPr>
        <w:pStyle w:val="BodyText"/>
        <w:spacing w:before="2"/>
        <w:ind w:left="700"/>
      </w:pPr>
      <w:r>
        <w:rPr>
          <w:rFonts w:ascii="Times New Roman" w:eastAsia="Times New Roman"/>
        </w:rPr>
        <w:t>2</w:t>
      </w:r>
      <w:r>
        <w:rPr/>
        <w:t>、本基金遵守以下投资组合比例限制：</w:t>
      </w:r>
    </w:p>
    <w:p>
      <w:pPr>
        <w:pStyle w:val="ListParagraph"/>
        <w:numPr>
          <w:ilvl w:val="0"/>
          <w:numId w:val="28"/>
        </w:numPr>
        <w:tabs>
          <w:tab w:pos="1302" w:val="left" w:leader="none"/>
        </w:tabs>
        <w:spacing w:line="240" w:lineRule="auto" w:before="160" w:after="0"/>
        <w:ind w:left="1301" w:right="0" w:hanging="602"/>
        <w:jc w:val="left"/>
        <w:rPr>
          <w:sz w:val="24"/>
        </w:rPr>
      </w:pPr>
      <w:r>
        <w:rPr>
          <w:spacing w:val="-6"/>
          <w:sz w:val="24"/>
        </w:rPr>
        <w:t>本基金持有一家上市公司的股票，其市值不超过基金资产净值的 </w:t>
      </w:r>
      <w:r>
        <w:rPr>
          <w:rFonts w:ascii="Times New Roman" w:eastAsia="Times New Roman"/>
          <w:sz w:val="24"/>
        </w:rPr>
        <w:t>10%</w:t>
      </w:r>
      <w:r>
        <w:rPr>
          <w:sz w:val="24"/>
        </w:rPr>
        <w:t>；</w:t>
      </w:r>
    </w:p>
    <w:p>
      <w:pPr>
        <w:pStyle w:val="ListParagraph"/>
        <w:numPr>
          <w:ilvl w:val="0"/>
          <w:numId w:val="28"/>
        </w:numPr>
        <w:tabs>
          <w:tab w:pos="1302" w:val="left" w:leader="none"/>
        </w:tabs>
        <w:spacing w:line="364" w:lineRule="auto" w:before="161" w:after="0"/>
        <w:ind w:left="220" w:right="364" w:firstLine="479"/>
        <w:jc w:val="left"/>
        <w:rPr>
          <w:sz w:val="24"/>
        </w:rPr>
      </w:pPr>
      <w:r>
        <w:rPr>
          <w:spacing w:val="-1"/>
          <w:sz w:val="24"/>
        </w:rPr>
        <w:t>持有现金和到期日在一年以内的政府债券的比例不低于基金资产净值的 </w:t>
      </w:r>
      <w:r>
        <w:rPr>
          <w:rFonts w:ascii="Times New Roman" w:eastAsia="Times New Roman"/>
          <w:sz w:val="24"/>
        </w:rPr>
        <w:t>5%</w:t>
      </w:r>
      <w:r>
        <w:rPr>
          <w:sz w:val="24"/>
        </w:rPr>
        <w:t>，其中现金不包括结算备付金、存出保证金和应收申购款等；</w:t>
      </w:r>
    </w:p>
    <w:p>
      <w:pPr>
        <w:pStyle w:val="ListParagraph"/>
        <w:numPr>
          <w:ilvl w:val="0"/>
          <w:numId w:val="28"/>
        </w:numPr>
        <w:tabs>
          <w:tab w:pos="1302" w:val="left" w:leader="none"/>
        </w:tabs>
        <w:spacing w:line="364" w:lineRule="auto" w:before="1" w:after="0"/>
        <w:ind w:left="220" w:right="364" w:firstLine="479"/>
        <w:jc w:val="left"/>
        <w:rPr>
          <w:sz w:val="24"/>
        </w:rPr>
      </w:pPr>
      <w:r>
        <w:rPr>
          <w:sz w:val="24"/>
        </w:rPr>
        <w:t>本基金与由本基金管理人管理的其他基金（</w:t>
      </w:r>
      <w:r>
        <w:rPr>
          <w:spacing w:val="-2"/>
          <w:sz w:val="24"/>
        </w:rPr>
        <w:t>中国证监会核准的特殊基</w:t>
      </w:r>
      <w:r>
        <w:rPr>
          <w:sz w:val="24"/>
        </w:rPr>
        <w:t>金品种除外）</w:t>
      </w:r>
      <w:r>
        <w:rPr>
          <w:spacing w:val="-1"/>
          <w:sz w:val="24"/>
        </w:rPr>
        <w:t>持有一家公司发行的证券总和，不得超过该证券的 </w:t>
      </w:r>
      <w:r>
        <w:rPr>
          <w:rFonts w:ascii="Times New Roman" w:eastAsia="Times New Roman"/>
          <w:sz w:val="24"/>
        </w:rPr>
        <w:t>10%</w:t>
      </w:r>
      <w:r>
        <w:rPr>
          <w:sz w:val="24"/>
        </w:rPr>
        <w:t>；</w:t>
      </w:r>
    </w:p>
    <w:p>
      <w:pPr>
        <w:pStyle w:val="ListParagraph"/>
        <w:numPr>
          <w:ilvl w:val="0"/>
          <w:numId w:val="28"/>
        </w:numPr>
        <w:tabs>
          <w:tab w:pos="1302" w:val="left" w:leader="none"/>
        </w:tabs>
        <w:spacing w:line="364" w:lineRule="auto" w:before="2" w:after="0"/>
        <w:ind w:left="220" w:right="364" w:firstLine="479"/>
        <w:jc w:val="left"/>
        <w:rPr>
          <w:sz w:val="24"/>
        </w:rPr>
      </w:pPr>
      <w:r>
        <w:rPr>
          <w:spacing w:val="-1"/>
          <w:sz w:val="24"/>
        </w:rPr>
        <w:t>本基金参与股票发行申购所申报的金额不得超过本基金的总资产，所</w:t>
      </w:r>
      <w:r>
        <w:rPr>
          <w:sz w:val="24"/>
        </w:rPr>
        <w:t>申报的股票数量不得超过拟发行股票公司本次的股票发售总量；</w:t>
      </w:r>
    </w:p>
    <w:p>
      <w:pPr>
        <w:pStyle w:val="ListParagraph"/>
        <w:numPr>
          <w:ilvl w:val="0"/>
          <w:numId w:val="28"/>
        </w:numPr>
        <w:tabs>
          <w:tab w:pos="1302" w:val="left" w:leader="none"/>
        </w:tabs>
        <w:spacing w:line="240" w:lineRule="auto" w:before="1" w:after="0"/>
        <w:ind w:left="1301" w:right="0" w:hanging="602"/>
        <w:jc w:val="left"/>
        <w:rPr>
          <w:sz w:val="24"/>
        </w:rPr>
      </w:pPr>
      <w:r>
        <w:rPr>
          <w:sz w:val="24"/>
        </w:rPr>
        <w:t>本基金合同中对投资比例限定的其他规定；</w:t>
      </w:r>
    </w:p>
    <w:p>
      <w:pPr>
        <w:pStyle w:val="ListParagraph"/>
        <w:numPr>
          <w:ilvl w:val="0"/>
          <w:numId w:val="28"/>
        </w:numPr>
        <w:tabs>
          <w:tab w:pos="1302" w:val="left" w:leader="none"/>
        </w:tabs>
        <w:spacing w:line="364" w:lineRule="auto" w:before="161" w:after="0"/>
        <w:ind w:left="220" w:right="359" w:firstLine="479"/>
        <w:jc w:val="both"/>
        <w:rPr>
          <w:sz w:val="24"/>
        </w:rPr>
      </w:pPr>
      <w:r>
        <w:rPr>
          <w:sz w:val="24"/>
        </w:rPr>
        <w:t>本基金管理人管理的全部开放式基金（包括开放式基金以及处于开放期的定期开放基金</w:t>
      </w:r>
      <w:r>
        <w:rPr>
          <w:spacing w:val="-48"/>
          <w:sz w:val="24"/>
        </w:rPr>
        <w:t>）</w:t>
      </w:r>
      <w:r>
        <w:rPr>
          <w:spacing w:val="-4"/>
          <w:sz w:val="24"/>
        </w:rPr>
        <w:t>持有一家上市公司发行的可流通股票，不得超过该上市公司</w:t>
      </w:r>
      <w:r>
        <w:rPr>
          <w:spacing w:val="2"/>
          <w:sz w:val="24"/>
        </w:rPr>
        <w:t>可流通股票的 </w:t>
      </w:r>
      <w:r>
        <w:rPr>
          <w:rFonts w:ascii="Times New Roman" w:eastAsia="Times New Roman"/>
          <w:sz w:val="24"/>
        </w:rPr>
        <w:t>15</w:t>
      </w:r>
      <w:r>
        <w:rPr>
          <w:spacing w:val="-1"/>
          <w:sz w:val="24"/>
        </w:rPr>
        <w:t>％；本基金管理人管理的全部投资组合持有一家上市公司发行</w:t>
      </w:r>
      <w:r>
        <w:rPr>
          <w:spacing w:val="-3"/>
          <w:sz w:val="24"/>
        </w:rPr>
        <w:t>的可流通股票，不得超过该上市公司可流通股票的 </w:t>
      </w:r>
      <w:r>
        <w:rPr>
          <w:rFonts w:ascii="Times New Roman" w:eastAsia="Times New Roman"/>
          <w:sz w:val="24"/>
        </w:rPr>
        <w:t>30</w:t>
      </w:r>
      <w:r>
        <w:rPr>
          <w:sz w:val="24"/>
        </w:rPr>
        <w:t>％；</w:t>
      </w:r>
    </w:p>
    <w:p>
      <w:pPr>
        <w:pStyle w:val="ListParagraph"/>
        <w:numPr>
          <w:ilvl w:val="0"/>
          <w:numId w:val="29"/>
        </w:numPr>
        <w:tabs>
          <w:tab w:pos="1106" w:val="left" w:leader="none"/>
        </w:tabs>
        <w:spacing w:line="240" w:lineRule="auto" w:before="2" w:after="0"/>
        <w:ind w:left="1106" w:right="0" w:hanging="406"/>
        <w:jc w:val="both"/>
        <w:rPr>
          <w:sz w:val="24"/>
        </w:rPr>
      </w:pPr>
      <w:r>
        <w:rPr>
          <w:spacing w:val="5"/>
          <w:sz w:val="24"/>
        </w:rPr>
        <w:t>本基金主动投资于流动性受限资产的市值合计不得超过该基金资产净</w:t>
      </w:r>
    </w:p>
    <w:p>
      <w:pPr>
        <w:spacing w:after="0" w:line="240" w:lineRule="auto"/>
        <w:jc w:val="both"/>
        <w:rPr>
          <w:sz w:val="24"/>
        </w:rPr>
        <w:sectPr>
          <w:pgSz w:w="11910" w:h="16840"/>
          <w:pgMar w:header="874" w:footer="997" w:top="1380" w:bottom="1180" w:left="1580" w:right="1440"/>
        </w:sectPr>
      </w:pPr>
    </w:p>
    <w:p>
      <w:pPr>
        <w:pStyle w:val="BodyText"/>
        <w:spacing w:line="364" w:lineRule="auto" w:before="130"/>
        <w:ind w:right="356"/>
        <w:jc w:val="both"/>
      </w:pPr>
      <w:r>
        <w:rPr>
          <w:spacing w:val="-20"/>
        </w:rPr>
        <w:t>值的 </w:t>
      </w:r>
      <w:r>
        <w:rPr>
          <w:rFonts w:ascii="Times New Roman" w:eastAsia="Times New Roman"/>
        </w:rPr>
        <w:t>15%</w:t>
      </w:r>
      <w:r>
        <w:rPr>
          <w:spacing w:val="-13"/>
        </w:rPr>
        <w:t>。因证券市场波动、上市公司股票停牌、基金规模变动等基金管理人之</w:t>
      </w:r>
      <w:r>
        <w:rPr>
          <w:spacing w:val="-6"/>
        </w:rPr>
        <w:t>外的因素致使基金不符合前述所规定比例限制的，基金管理人不得主动新增流动</w:t>
      </w:r>
      <w:r>
        <w:rPr/>
        <w:t>性受限资产的投资；</w:t>
      </w:r>
    </w:p>
    <w:p>
      <w:pPr>
        <w:pStyle w:val="ListParagraph"/>
        <w:numPr>
          <w:ilvl w:val="0"/>
          <w:numId w:val="29"/>
        </w:numPr>
        <w:tabs>
          <w:tab w:pos="1106" w:val="left" w:leader="none"/>
        </w:tabs>
        <w:spacing w:line="364" w:lineRule="auto" w:before="2" w:after="0"/>
        <w:ind w:left="220" w:right="357" w:firstLine="479"/>
        <w:jc w:val="both"/>
        <w:rPr>
          <w:sz w:val="24"/>
        </w:rPr>
      </w:pPr>
      <w:r>
        <w:rPr>
          <w:spacing w:val="5"/>
          <w:sz w:val="24"/>
        </w:rPr>
        <w:t>本基金与私募类证券资管产品及中国证监会认定的其他主体为交易对</w:t>
      </w:r>
      <w:r>
        <w:rPr>
          <w:spacing w:val="-6"/>
          <w:sz w:val="24"/>
        </w:rPr>
        <w:t>手开展逆回购交易的，可接受质押品的资质要求应当与基金合同约定的投资范围</w:t>
      </w:r>
      <w:r>
        <w:rPr>
          <w:sz w:val="24"/>
        </w:rPr>
        <w:t>保持一致；</w:t>
      </w:r>
    </w:p>
    <w:p>
      <w:pPr>
        <w:pStyle w:val="ListParagraph"/>
        <w:numPr>
          <w:ilvl w:val="0"/>
          <w:numId w:val="30"/>
        </w:numPr>
        <w:tabs>
          <w:tab w:pos="1302" w:val="left" w:leader="none"/>
        </w:tabs>
        <w:spacing w:line="364" w:lineRule="auto" w:before="1" w:after="0"/>
        <w:ind w:left="220" w:right="364" w:firstLine="479"/>
        <w:jc w:val="left"/>
        <w:rPr>
          <w:sz w:val="24"/>
        </w:rPr>
      </w:pPr>
      <w:r>
        <w:rPr>
          <w:spacing w:val="-1"/>
          <w:sz w:val="24"/>
        </w:rPr>
        <w:t>本基金投资存托凭证的比例限制依照境内上市交易的股票执行，与境</w:t>
      </w:r>
      <w:r>
        <w:rPr>
          <w:sz w:val="24"/>
        </w:rPr>
        <w:t>内上市交易的股票合并计算；</w:t>
      </w:r>
    </w:p>
    <w:p>
      <w:pPr>
        <w:pStyle w:val="ListParagraph"/>
        <w:numPr>
          <w:ilvl w:val="0"/>
          <w:numId w:val="30"/>
        </w:numPr>
        <w:tabs>
          <w:tab w:pos="1422" w:val="left" w:leader="none"/>
        </w:tabs>
        <w:spacing w:line="240" w:lineRule="auto" w:before="2" w:after="0"/>
        <w:ind w:left="1421" w:right="0" w:hanging="722"/>
        <w:jc w:val="left"/>
        <w:rPr>
          <w:sz w:val="24"/>
        </w:rPr>
      </w:pPr>
      <w:r>
        <w:rPr>
          <w:sz w:val="24"/>
        </w:rPr>
        <w:t>中国证监会规定的其他比例限制；</w:t>
      </w:r>
    </w:p>
    <w:p>
      <w:pPr>
        <w:pStyle w:val="ListParagraph"/>
        <w:numPr>
          <w:ilvl w:val="0"/>
          <w:numId w:val="30"/>
        </w:numPr>
        <w:tabs>
          <w:tab w:pos="1412" w:val="left" w:leader="none"/>
        </w:tabs>
        <w:spacing w:line="240" w:lineRule="auto" w:before="161" w:after="0"/>
        <w:ind w:left="1411" w:right="0" w:hanging="712"/>
        <w:jc w:val="left"/>
        <w:rPr>
          <w:sz w:val="24"/>
        </w:rPr>
      </w:pPr>
      <w:r>
        <w:rPr>
          <w:sz w:val="24"/>
        </w:rPr>
        <w:t>法律法规和监管机关对上述比例限制另有规定的，从其规定。</w:t>
      </w:r>
    </w:p>
    <w:p>
      <w:pPr>
        <w:pStyle w:val="BodyText"/>
        <w:spacing w:line="364" w:lineRule="auto" w:before="160"/>
        <w:ind w:left="700" w:right="361"/>
      </w:pPr>
      <w:r>
        <w:rPr/>
        <w:t>本基金合同生效后，在不超过 </w:t>
      </w:r>
      <w:r>
        <w:rPr>
          <w:rFonts w:ascii="Times New Roman" w:eastAsia="Times New Roman"/>
        </w:rPr>
        <w:t>3 </w:t>
      </w:r>
      <w:r>
        <w:rPr/>
        <w:t>个月的投资建仓期内达到上述比例限制。</w:t>
      </w:r>
      <w:r>
        <w:rPr>
          <w:spacing w:val="-10"/>
        </w:rPr>
        <w:t>因证券市场波动、上市公司合并、基金规模变动等基金管理人之外的因素致</w:t>
      </w:r>
    </w:p>
    <w:p>
      <w:pPr>
        <w:pStyle w:val="BodyText"/>
        <w:spacing w:line="364" w:lineRule="auto" w:before="1"/>
        <w:ind w:right="357"/>
      </w:pPr>
      <w:r>
        <w:rPr>
          <w:spacing w:val="-6"/>
        </w:rPr>
        <w:t>使基金投资组合不符合上述约定的比例的，基金管理人将根据《运作办法》和其</w:t>
      </w:r>
      <w:r>
        <w:rPr/>
        <w:t>他法律法规的规定，在规定期限内进行调整，以达到标准。</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pPr>
      <w:bookmarkStart w:name="_bookmark17" w:id="18"/>
      <w:bookmarkEnd w:id="18"/>
      <w:r>
        <w:rPr>
          <w:b w:val="0"/>
        </w:rPr>
      </w:r>
      <w:r>
        <w:rPr/>
        <w:t>十八、基金的融资</w:t>
      </w:r>
    </w:p>
    <w:p>
      <w:pPr>
        <w:pStyle w:val="BodyText"/>
        <w:spacing w:before="0"/>
        <w:ind w:left="0"/>
        <w:rPr>
          <w:b/>
          <w:sz w:val="30"/>
        </w:rPr>
      </w:pPr>
    </w:p>
    <w:p>
      <w:pPr>
        <w:pStyle w:val="BodyText"/>
        <w:spacing w:before="2"/>
        <w:ind w:left="0"/>
        <w:rPr>
          <w:b/>
          <w:sz w:val="22"/>
        </w:rPr>
      </w:pPr>
    </w:p>
    <w:p>
      <w:pPr>
        <w:pStyle w:val="BodyText"/>
        <w:spacing w:before="1"/>
        <w:ind w:left="700"/>
      </w:pPr>
      <w:r>
        <w:rPr/>
        <w:t>本基金可以按照国家的有关规定进行融资。</w:t>
      </w:r>
    </w:p>
    <w:p>
      <w:pPr>
        <w:spacing w:after="0"/>
        <w:sectPr>
          <w:pgSz w:w="11910" w:h="16840"/>
          <w:pgMar w:header="874" w:footer="997" w:top="1380" w:bottom="1180" w:left="1580" w:right="1440"/>
        </w:sectPr>
      </w:pPr>
    </w:p>
    <w:p>
      <w:pPr>
        <w:pStyle w:val="BodyText"/>
        <w:spacing w:before="8"/>
        <w:ind w:left="0"/>
        <w:rPr>
          <w:sz w:val="8"/>
        </w:rPr>
      </w:pPr>
    </w:p>
    <w:p>
      <w:pPr>
        <w:pStyle w:val="Heading1"/>
      </w:pPr>
      <w:bookmarkStart w:name="_bookmark18" w:id="19"/>
      <w:bookmarkEnd w:id="19"/>
      <w:r>
        <w:rPr>
          <w:b w:val="0"/>
        </w:rPr>
      </w:r>
      <w:r>
        <w:rPr/>
        <w:t>十九、基金财产</w:t>
      </w:r>
    </w:p>
    <w:p>
      <w:pPr>
        <w:pStyle w:val="BodyText"/>
        <w:spacing w:before="0"/>
        <w:ind w:left="0"/>
        <w:rPr>
          <w:b/>
          <w:sz w:val="30"/>
        </w:rPr>
      </w:pPr>
    </w:p>
    <w:p>
      <w:pPr>
        <w:pStyle w:val="BodyText"/>
        <w:spacing w:before="2"/>
        <w:ind w:left="0"/>
        <w:rPr>
          <w:b/>
          <w:sz w:val="22"/>
        </w:rPr>
      </w:pPr>
    </w:p>
    <w:p>
      <w:pPr>
        <w:pStyle w:val="BodyText"/>
        <w:spacing w:before="1"/>
        <w:ind w:left="700"/>
      </w:pPr>
      <w:r>
        <w:rPr/>
        <w:t>（一）基金资产总值</w:t>
      </w:r>
    </w:p>
    <w:p>
      <w:pPr>
        <w:pStyle w:val="BodyText"/>
        <w:spacing w:line="364" w:lineRule="auto" w:before="160"/>
        <w:ind w:right="357" w:firstLine="479"/>
      </w:pPr>
      <w:r>
        <w:rPr>
          <w:spacing w:val="-6"/>
        </w:rPr>
        <w:t>基金资产总值是指基金购买的各类证券价值、银行存款本息和基金应收的申</w:t>
      </w:r>
      <w:r>
        <w:rPr/>
        <w:t>购基金款以及其他投资所形成的价值总和。</w:t>
      </w:r>
    </w:p>
    <w:p>
      <w:pPr>
        <w:pStyle w:val="BodyText"/>
        <w:spacing w:before="1"/>
        <w:ind w:left="700"/>
      </w:pPr>
      <w:r>
        <w:rPr/>
        <w:t>其构成主要有：</w:t>
      </w:r>
    </w:p>
    <w:p>
      <w:pPr>
        <w:pStyle w:val="BodyText"/>
        <w:ind w:left="700"/>
      </w:pPr>
      <w:r>
        <w:rPr>
          <w:rFonts w:ascii="Times New Roman" w:eastAsia="Times New Roman"/>
        </w:rPr>
        <w:t>1</w:t>
      </w:r>
      <w:r>
        <w:rPr/>
        <w:t>、银行存款及其应计利息；</w:t>
      </w:r>
    </w:p>
    <w:p>
      <w:pPr>
        <w:pStyle w:val="BodyText"/>
        <w:ind w:left="700"/>
      </w:pPr>
      <w:r>
        <w:rPr>
          <w:rFonts w:ascii="Times New Roman" w:eastAsia="Times New Roman"/>
        </w:rPr>
        <w:t>2</w:t>
      </w:r>
      <w:r>
        <w:rPr/>
        <w:t>、清算备付金及其应计利息；</w:t>
      </w:r>
    </w:p>
    <w:p>
      <w:pPr>
        <w:pStyle w:val="BodyText"/>
        <w:spacing w:before="160"/>
        <w:ind w:left="700"/>
      </w:pPr>
      <w:r>
        <w:rPr>
          <w:rFonts w:ascii="Times New Roman" w:eastAsia="Times New Roman"/>
        </w:rPr>
        <w:t>3</w:t>
      </w:r>
      <w:r>
        <w:rPr/>
        <w:t>、根据有关规定缴纳的保证金；</w:t>
      </w:r>
    </w:p>
    <w:p>
      <w:pPr>
        <w:pStyle w:val="BodyText"/>
        <w:ind w:left="700"/>
      </w:pPr>
      <w:r>
        <w:rPr>
          <w:rFonts w:ascii="Times New Roman" w:eastAsia="Times New Roman"/>
        </w:rPr>
        <w:t>4</w:t>
      </w:r>
      <w:r>
        <w:rPr/>
        <w:t>、应收证券交易清算款；</w:t>
      </w:r>
    </w:p>
    <w:p>
      <w:pPr>
        <w:pStyle w:val="BodyText"/>
        <w:spacing w:before="160"/>
        <w:ind w:left="700"/>
      </w:pPr>
      <w:r>
        <w:rPr>
          <w:rFonts w:ascii="Times New Roman" w:eastAsia="Times New Roman"/>
        </w:rPr>
        <w:t>5</w:t>
      </w:r>
      <w:r>
        <w:rPr/>
        <w:t>、应收申购款；</w:t>
      </w:r>
    </w:p>
    <w:p>
      <w:pPr>
        <w:pStyle w:val="BodyText"/>
        <w:ind w:left="700"/>
      </w:pPr>
      <w:r>
        <w:rPr>
          <w:rFonts w:ascii="Times New Roman" w:eastAsia="Times New Roman"/>
        </w:rPr>
        <w:t>6</w:t>
      </w:r>
      <w:r>
        <w:rPr/>
        <w:t>、股票投资及其估值调整；</w:t>
      </w:r>
    </w:p>
    <w:p>
      <w:pPr>
        <w:pStyle w:val="BodyText"/>
        <w:spacing w:before="160"/>
        <w:ind w:left="700"/>
      </w:pPr>
      <w:r>
        <w:rPr>
          <w:rFonts w:ascii="Times New Roman" w:eastAsia="Times New Roman"/>
        </w:rPr>
        <w:t>7</w:t>
      </w:r>
      <w:r>
        <w:rPr/>
        <w:t>、债券投资及其估值调整和应计利息；</w:t>
      </w:r>
    </w:p>
    <w:p>
      <w:pPr>
        <w:pStyle w:val="BodyText"/>
        <w:ind w:left="700"/>
      </w:pPr>
      <w:r>
        <w:rPr>
          <w:rFonts w:ascii="Times New Roman" w:eastAsia="Times New Roman"/>
        </w:rPr>
        <w:t>8</w:t>
      </w:r>
      <w:r>
        <w:rPr/>
        <w:t>、其他投资及其估值调整；</w:t>
      </w:r>
    </w:p>
    <w:p>
      <w:pPr>
        <w:pStyle w:val="BodyText"/>
        <w:ind w:left="700"/>
      </w:pPr>
      <w:r>
        <w:rPr>
          <w:rFonts w:ascii="Times New Roman" w:eastAsia="Times New Roman"/>
        </w:rPr>
        <w:t>9</w:t>
      </w:r>
      <w:r>
        <w:rPr/>
        <w:t>、其他资产等。</w:t>
      </w:r>
    </w:p>
    <w:p>
      <w:pPr>
        <w:pStyle w:val="BodyText"/>
        <w:spacing w:before="0"/>
        <w:ind w:left="0"/>
        <w:rPr>
          <w:sz w:val="26"/>
        </w:rPr>
      </w:pPr>
    </w:p>
    <w:p>
      <w:pPr>
        <w:pStyle w:val="BodyText"/>
        <w:spacing w:before="0"/>
        <w:ind w:left="0"/>
        <w:rPr>
          <w:sz w:val="23"/>
        </w:rPr>
      </w:pPr>
    </w:p>
    <w:p>
      <w:pPr>
        <w:pStyle w:val="BodyText"/>
        <w:spacing w:before="0"/>
        <w:ind w:left="700"/>
      </w:pPr>
      <w:r>
        <w:rPr/>
        <w:t>（二）基金资产净值</w:t>
      </w:r>
    </w:p>
    <w:p>
      <w:pPr>
        <w:pStyle w:val="BodyText"/>
        <w:spacing w:line="364" w:lineRule="auto"/>
        <w:ind w:left="700" w:right="2665"/>
      </w:pPr>
      <w:r>
        <w:rPr/>
        <w:t>基金资产净值是指基金资产总值减去负债后的价值。其构成主要有：</w:t>
      </w:r>
    </w:p>
    <w:p>
      <w:pPr>
        <w:pStyle w:val="BodyText"/>
        <w:spacing w:before="1"/>
        <w:ind w:left="700"/>
      </w:pPr>
      <w:r>
        <w:rPr>
          <w:rFonts w:ascii="Times New Roman" w:eastAsia="Times New Roman"/>
        </w:rPr>
        <w:t>1</w:t>
      </w:r>
      <w:r>
        <w:rPr/>
        <w:t>、基金份额持有人申购基金份额所支付的款项；</w:t>
      </w:r>
    </w:p>
    <w:p>
      <w:pPr>
        <w:pStyle w:val="BodyText"/>
        <w:ind w:left="700"/>
      </w:pPr>
      <w:r>
        <w:rPr>
          <w:rFonts w:ascii="Times New Roman" w:eastAsia="Times New Roman"/>
        </w:rPr>
        <w:t>2</w:t>
      </w:r>
      <w:r>
        <w:rPr/>
        <w:t>、运用基金财产所获得收益（亏损</w:t>
      </w:r>
      <w:r>
        <w:rPr>
          <w:spacing w:val="-120"/>
        </w:rPr>
        <w:t>）</w:t>
      </w:r>
      <w:r>
        <w:rPr/>
        <w:t>；</w:t>
      </w:r>
    </w:p>
    <w:p>
      <w:pPr>
        <w:pStyle w:val="BodyText"/>
        <w:ind w:left="700"/>
      </w:pPr>
      <w:r>
        <w:rPr>
          <w:rFonts w:ascii="Times New Roman" w:eastAsia="Times New Roman"/>
        </w:rPr>
        <w:t>3</w:t>
      </w:r>
      <w:r>
        <w:rPr/>
        <w:t>、以前年度实现的尚未分配的收益或尚未弥补的亏损。</w:t>
      </w:r>
    </w:p>
    <w:p>
      <w:pPr>
        <w:pStyle w:val="BodyText"/>
        <w:spacing w:before="0"/>
        <w:ind w:left="0"/>
        <w:rPr>
          <w:sz w:val="26"/>
        </w:rPr>
      </w:pPr>
    </w:p>
    <w:p>
      <w:pPr>
        <w:pStyle w:val="BodyText"/>
        <w:spacing w:before="0"/>
        <w:ind w:left="0"/>
        <w:rPr>
          <w:sz w:val="23"/>
        </w:rPr>
      </w:pPr>
    </w:p>
    <w:p>
      <w:pPr>
        <w:pStyle w:val="BodyText"/>
        <w:spacing w:before="0"/>
        <w:ind w:left="700"/>
      </w:pPr>
      <w:r>
        <w:rPr/>
        <w:t>（三）基金财产的账户</w:t>
      </w:r>
    </w:p>
    <w:p>
      <w:pPr>
        <w:pStyle w:val="BodyText"/>
        <w:spacing w:line="364" w:lineRule="auto"/>
        <w:ind w:right="355" w:firstLine="479"/>
        <w:jc w:val="both"/>
      </w:pPr>
      <w:r>
        <w:rPr>
          <w:spacing w:val="-5"/>
        </w:rPr>
        <w:t>本基金财产以基金托管人名义开立基金托管专户和证券交易资金账户，以基</w:t>
      </w:r>
      <w:r>
        <w:rPr>
          <w:spacing w:val="-6"/>
        </w:rPr>
        <w:t>金托管人和基金联名的方式开立基金证券账户、以基金的名义开立银行间债券托</w:t>
      </w:r>
      <w:r>
        <w:rPr>
          <w:spacing w:val="-22"/>
        </w:rPr>
        <w:t>管账户，并报中国证监会及人民银行备案。开立的基金专用账户，与基金管理人、</w:t>
      </w:r>
      <w:r>
        <w:rPr>
          <w:spacing w:val="-12"/>
        </w:rPr>
        <w:t>基金托管人、基金代销机构、注册登记人自有的资产账户以及其他基金财产账户</w:t>
      </w:r>
      <w:r>
        <w:rPr/>
        <w:t>相独立。</w:t>
      </w:r>
    </w:p>
    <w:p>
      <w:pPr>
        <w:spacing w:after="0" w:line="364" w:lineRule="auto"/>
        <w:jc w:val="both"/>
        <w:sectPr>
          <w:pgSz w:w="11910" w:h="16840"/>
          <w:pgMar w:header="874" w:footer="997" w:top="1380" w:bottom="1180" w:left="1580" w:right="1440"/>
        </w:sectPr>
      </w:pPr>
    </w:p>
    <w:p>
      <w:pPr>
        <w:pStyle w:val="BodyText"/>
        <w:spacing w:before="130"/>
        <w:ind w:left="700"/>
      </w:pPr>
      <w:r>
        <w:rPr/>
        <w:t>（四）基金财产的处分</w:t>
      </w:r>
    </w:p>
    <w:p>
      <w:pPr>
        <w:pStyle w:val="BodyText"/>
        <w:spacing w:line="364" w:lineRule="auto" w:before="160"/>
        <w:ind w:right="357" w:firstLine="479"/>
        <w:jc w:val="both"/>
      </w:pPr>
      <w:r>
        <w:rPr>
          <w:spacing w:val="-7"/>
        </w:rPr>
        <w:t>基金财产应独立于基金管理人、基金托管人的固有资产。基金管理人、基金</w:t>
      </w:r>
      <w:r>
        <w:rPr>
          <w:spacing w:val="-6"/>
        </w:rPr>
        <w:t>托管人不得将基金财产归入其固有资产。基金管理人、基金托管人因基金财产的</w:t>
      </w:r>
      <w:r>
        <w:rPr>
          <w:spacing w:val="-9"/>
        </w:rPr>
        <w:t>管理、运用或者其他情形而取得的资产和收益，归入基金财产。基金管理人、基</w:t>
      </w:r>
      <w:r>
        <w:rPr>
          <w:spacing w:val="-8"/>
        </w:rPr>
        <w:t>金托管人因依法解散、被依法撤销或者被依法宣告破产等原因进行清算的，基金财产不属于其清算资产。非因基金财产本身承担的债务，不得对基金财产强制执</w:t>
      </w:r>
      <w:r>
        <w:rPr/>
        <w:t>行。</w:t>
      </w:r>
    </w:p>
    <w:p>
      <w:pPr>
        <w:pStyle w:val="BodyText"/>
        <w:spacing w:line="364" w:lineRule="auto" w:before="4"/>
        <w:ind w:right="357" w:firstLine="479"/>
      </w:pPr>
      <w:r>
        <w:rPr>
          <w:spacing w:val="-10"/>
        </w:rPr>
        <w:t>基金管理人、基金托管人可以按基金合同的规定，收取管理费、托管费及其</w:t>
      </w:r>
      <w:r>
        <w:rPr/>
        <w:t>他费用。</w:t>
      </w:r>
    </w:p>
    <w:p>
      <w:pPr>
        <w:spacing w:after="0" w:line="364" w:lineRule="auto"/>
        <w:sectPr>
          <w:pgSz w:w="11910" w:h="16840"/>
          <w:pgMar w:header="874" w:footer="997" w:top="1380" w:bottom="1180" w:left="1580" w:right="1440"/>
        </w:sectPr>
      </w:pPr>
    </w:p>
    <w:p>
      <w:pPr>
        <w:pStyle w:val="BodyText"/>
        <w:spacing w:before="8"/>
        <w:ind w:left="0"/>
        <w:rPr>
          <w:sz w:val="8"/>
        </w:rPr>
      </w:pPr>
    </w:p>
    <w:p>
      <w:pPr>
        <w:pStyle w:val="Heading1"/>
        <w:ind w:right="137"/>
      </w:pPr>
      <w:bookmarkStart w:name="_bookmark19" w:id="20"/>
      <w:bookmarkEnd w:id="20"/>
      <w:r>
        <w:rPr>
          <w:b w:val="0"/>
        </w:rPr>
      </w:r>
      <w:r>
        <w:rPr/>
        <w:t>二十、基金财产的估值</w:t>
      </w:r>
    </w:p>
    <w:p>
      <w:pPr>
        <w:pStyle w:val="BodyText"/>
        <w:spacing w:before="0"/>
        <w:ind w:left="0"/>
        <w:rPr>
          <w:b/>
          <w:sz w:val="30"/>
        </w:rPr>
      </w:pPr>
    </w:p>
    <w:p>
      <w:pPr>
        <w:pStyle w:val="BodyText"/>
        <w:spacing w:before="2"/>
        <w:ind w:left="0"/>
        <w:rPr>
          <w:b/>
          <w:sz w:val="22"/>
        </w:rPr>
      </w:pPr>
    </w:p>
    <w:p>
      <w:pPr>
        <w:pStyle w:val="BodyText"/>
        <w:spacing w:before="1"/>
        <w:ind w:left="700"/>
      </w:pPr>
      <w:r>
        <w:rPr/>
        <w:t>（一）估值目的</w:t>
      </w:r>
    </w:p>
    <w:p>
      <w:pPr>
        <w:pStyle w:val="BodyText"/>
        <w:spacing w:line="364" w:lineRule="auto" w:before="160"/>
        <w:ind w:right="357" w:firstLine="479"/>
        <w:jc w:val="both"/>
      </w:pPr>
      <w:r>
        <w:rPr>
          <w:spacing w:val="-7"/>
        </w:rPr>
        <w:t>基金资产估值的目的是客观、准确地反映基金资产是否保值、增值，依据经</w:t>
      </w:r>
      <w:r>
        <w:rPr>
          <w:spacing w:val="-5"/>
        </w:rPr>
        <w:t>基金资产估值后确定的基金资产净值而计算出的基金份额净值，是计算基金申购</w:t>
      </w:r>
      <w:r>
        <w:rPr/>
        <w:t>与赎回价格的基础。</w:t>
      </w:r>
    </w:p>
    <w:p>
      <w:pPr>
        <w:pStyle w:val="BodyText"/>
        <w:spacing w:before="2"/>
        <w:ind w:left="700"/>
      </w:pPr>
      <w:r>
        <w:rPr/>
        <w:t>（二）估值日</w:t>
      </w:r>
    </w:p>
    <w:p>
      <w:pPr>
        <w:pStyle w:val="BodyText"/>
        <w:spacing w:line="364" w:lineRule="auto"/>
        <w:ind w:right="350" w:firstLine="479"/>
      </w:pPr>
      <w:r>
        <w:rPr/>
        <w:t>本基金的估值日为相关的证券交易场所的正常营业日以及国家法律法规规定需要对外披露基金净值的非营业日。</w:t>
      </w:r>
    </w:p>
    <w:p>
      <w:pPr>
        <w:pStyle w:val="BodyText"/>
        <w:spacing w:before="1"/>
        <w:ind w:left="700"/>
      </w:pPr>
      <w:r>
        <w:rPr/>
        <w:t>（三）估值对象</w:t>
      </w:r>
    </w:p>
    <w:p>
      <w:pPr>
        <w:pStyle w:val="BodyText"/>
        <w:ind w:left="700"/>
      </w:pPr>
      <w:r>
        <w:rPr/>
        <w:t>基金所拥有的股票、债券、权证和银行存款本息等资产和负债。</w:t>
      </w:r>
    </w:p>
    <w:p>
      <w:pPr>
        <w:pStyle w:val="BodyText"/>
        <w:spacing w:before="160"/>
        <w:ind w:left="700"/>
      </w:pPr>
      <w:r>
        <w:rPr/>
        <w:t>（四）估值程序</w:t>
      </w:r>
    </w:p>
    <w:p>
      <w:pPr>
        <w:pStyle w:val="BodyText"/>
        <w:spacing w:line="364" w:lineRule="auto"/>
        <w:ind w:right="357" w:firstLine="479"/>
        <w:jc w:val="both"/>
      </w:pPr>
      <w:r>
        <w:rPr>
          <w:spacing w:val="-7"/>
        </w:rPr>
        <w:t>基金日常估值由基金管理人进行。基金管理人完成估值后，将估值结果加盖</w:t>
      </w:r>
      <w:r>
        <w:rPr>
          <w:spacing w:val="-4"/>
        </w:rPr>
        <w:t>业务公章以书面形式加密传真至基金托管人，基金托管人按法律法规、《基金合</w:t>
      </w:r>
      <w:r>
        <w:rPr>
          <w:spacing w:val="-12"/>
        </w:rPr>
        <w:t>同》规定的估值方法、时间、程序进行复核，复核无误后在基金管理人传真的书</w:t>
      </w:r>
      <w:r>
        <w:rPr>
          <w:spacing w:val="-6"/>
        </w:rPr>
        <w:t>面估值结果上加盖业务公章返回给基金管理人；月末、年中和年末估值复核与基</w:t>
      </w:r>
      <w:r>
        <w:rPr/>
        <w:t>金会计账目的核对同时进行。</w:t>
      </w:r>
    </w:p>
    <w:p>
      <w:pPr>
        <w:pStyle w:val="BodyText"/>
        <w:spacing w:before="3"/>
        <w:ind w:left="700"/>
      </w:pPr>
      <w:r>
        <w:rPr/>
        <w:t>（五）估值方法</w:t>
      </w:r>
    </w:p>
    <w:p>
      <w:pPr>
        <w:pStyle w:val="BodyText"/>
        <w:ind w:left="700"/>
      </w:pPr>
      <w:r>
        <w:rPr/>
        <w:t>本基金按以下方式进行估值：</w:t>
      </w:r>
    </w:p>
    <w:p>
      <w:pPr>
        <w:pStyle w:val="BodyText"/>
        <w:spacing w:before="160"/>
        <w:ind w:left="700"/>
      </w:pPr>
      <w:r>
        <w:rPr>
          <w:rFonts w:ascii="Times New Roman" w:eastAsia="Times New Roman"/>
        </w:rPr>
        <w:t>1</w:t>
      </w:r>
      <w:r>
        <w:rPr/>
        <w:t>、证券交易所上市的有价证券的估值</w:t>
      </w:r>
    </w:p>
    <w:p>
      <w:pPr>
        <w:pStyle w:val="ListParagraph"/>
        <w:numPr>
          <w:ilvl w:val="0"/>
          <w:numId w:val="31"/>
        </w:numPr>
        <w:tabs>
          <w:tab w:pos="1302" w:val="left" w:leader="none"/>
        </w:tabs>
        <w:spacing w:line="364" w:lineRule="auto" w:before="161" w:after="0"/>
        <w:ind w:left="220" w:right="359" w:firstLine="479"/>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7"/>
          <w:sz w:val="24"/>
        </w:rPr>
        <w:t>易所挂牌的市价</w:t>
      </w:r>
      <w:r>
        <w:rPr>
          <w:sz w:val="24"/>
        </w:rPr>
        <w:t>（收盘价</w:t>
      </w:r>
      <w:r>
        <w:rPr>
          <w:spacing w:val="-24"/>
          <w:sz w:val="24"/>
        </w:rPr>
        <w:t>）</w:t>
      </w:r>
      <w:r>
        <w:rPr>
          <w:spacing w:val="-7"/>
          <w:sz w:val="24"/>
        </w:rPr>
        <w:t>估值；估值日无交易的，且最近交易日后经济环境未</w:t>
      </w:r>
      <w:r>
        <w:rPr>
          <w:spacing w:val="-9"/>
          <w:sz w:val="24"/>
        </w:rPr>
        <w:t>发生重大变化，以最近交易日的市价</w:t>
      </w:r>
      <w:r>
        <w:rPr>
          <w:sz w:val="24"/>
        </w:rPr>
        <w:t>（收盘价</w:t>
      </w:r>
      <w:r>
        <w:rPr>
          <w:spacing w:val="-24"/>
          <w:sz w:val="24"/>
        </w:rPr>
        <w:t>）</w:t>
      </w:r>
      <w:r>
        <w:rPr>
          <w:spacing w:val="-5"/>
          <w:sz w:val="24"/>
        </w:rPr>
        <w:t>估值；如最近交易日后经济环境</w:t>
      </w:r>
      <w:r>
        <w:rPr>
          <w:spacing w:val="-11"/>
          <w:sz w:val="24"/>
        </w:rPr>
        <w:t>发生了重大变化的，可参考类似投资品种的现行市价及重大变化因素，调整最近</w:t>
      </w:r>
      <w:r>
        <w:rPr>
          <w:spacing w:val="-4"/>
          <w:sz w:val="24"/>
        </w:rPr>
        <w:t>交易市价，确定公允价格。</w:t>
      </w:r>
    </w:p>
    <w:p>
      <w:pPr>
        <w:pStyle w:val="ListParagraph"/>
        <w:numPr>
          <w:ilvl w:val="0"/>
          <w:numId w:val="31"/>
        </w:numPr>
        <w:tabs>
          <w:tab w:pos="1302" w:val="left" w:leader="none"/>
        </w:tabs>
        <w:spacing w:line="364" w:lineRule="auto" w:before="3" w:after="0"/>
        <w:ind w:left="220" w:right="244"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如最近交易日后经济环境发生了重大变化的，可参考类似投资品种的现行市价及重大变化因素，调整最近交易市价，确定公允价格；</w:t>
      </w:r>
    </w:p>
    <w:p>
      <w:pPr>
        <w:spacing w:after="0" w:line="364" w:lineRule="auto"/>
        <w:jc w:val="left"/>
        <w:rPr>
          <w:sz w:val="24"/>
        </w:rPr>
        <w:sectPr>
          <w:pgSz w:w="11910" w:h="16840"/>
          <w:pgMar w:header="874" w:footer="997" w:top="1380" w:bottom="1180" w:left="1580" w:right="1440"/>
        </w:sectPr>
      </w:pPr>
    </w:p>
    <w:p>
      <w:pPr>
        <w:pStyle w:val="ListParagraph"/>
        <w:numPr>
          <w:ilvl w:val="0"/>
          <w:numId w:val="31"/>
        </w:numPr>
        <w:tabs>
          <w:tab w:pos="1302" w:val="left" w:leader="none"/>
        </w:tabs>
        <w:spacing w:line="364" w:lineRule="auto" w:before="130" w:after="0"/>
        <w:ind w:left="220" w:right="244"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pacing w:val="-5"/>
          <w:sz w:val="24"/>
        </w:rPr>
        <w:t>可参考类似投资品种的现行市价及重大变化因素，调整最近交易市价，确定公允价格；</w:t>
      </w:r>
    </w:p>
    <w:p>
      <w:pPr>
        <w:pStyle w:val="ListParagraph"/>
        <w:numPr>
          <w:ilvl w:val="0"/>
          <w:numId w:val="31"/>
        </w:numPr>
        <w:tabs>
          <w:tab w:pos="1302" w:val="left" w:leader="none"/>
        </w:tabs>
        <w:spacing w:line="364" w:lineRule="auto" w:before="3" w:after="0"/>
        <w:ind w:left="220" w:right="357" w:firstLine="479"/>
        <w:jc w:val="both"/>
        <w:rPr>
          <w:sz w:val="24"/>
        </w:rPr>
      </w:pPr>
      <w:r>
        <w:rPr>
          <w:spacing w:val="-2"/>
          <w:sz w:val="24"/>
        </w:rPr>
        <w:t>交易所上市不存在活跃市场的有价证券</w:t>
      </w:r>
      <w:r>
        <w:rPr>
          <w:sz w:val="24"/>
        </w:rPr>
        <w:t>（包括资产支持证券等</w:t>
      </w:r>
      <w:r>
        <w:rPr>
          <w:spacing w:val="-76"/>
          <w:sz w:val="24"/>
        </w:rPr>
        <w:t>）</w:t>
      </w:r>
      <w:r>
        <w:rPr>
          <w:spacing w:val="-38"/>
          <w:sz w:val="24"/>
        </w:rPr>
        <w:t>，采</w:t>
      </w:r>
      <w:r>
        <w:rPr>
          <w:spacing w:val="-10"/>
          <w:sz w:val="24"/>
        </w:rPr>
        <w:t>用估值技术确定公允价值，在估值技术难以可靠计量公允价值的情况下，按成本</w:t>
      </w:r>
      <w:r>
        <w:rPr>
          <w:spacing w:val="-6"/>
          <w:sz w:val="24"/>
        </w:rPr>
        <w:t>估值。</w:t>
      </w:r>
    </w:p>
    <w:p>
      <w:pPr>
        <w:pStyle w:val="BodyText"/>
        <w:spacing w:before="3"/>
        <w:ind w:left="700"/>
      </w:pPr>
      <w:r>
        <w:rPr>
          <w:rFonts w:ascii="Times New Roman" w:eastAsia="Times New Roman"/>
        </w:rPr>
        <w:t>2</w:t>
      </w:r>
      <w:r>
        <w:rPr/>
        <w:t>、处于未上市期间的有价证券应区分如下情况处理：</w:t>
      </w:r>
    </w:p>
    <w:p>
      <w:pPr>
        <w:pStyle w:val="ListParagraph"/>
        <w:numPr>
          <w:ilvl w:val="0"/>
          <w:numId w:val="32"/>
        </w:numPr>
        <w:tabs>
          <w:tab w:pos="1302" w:val="left" w:leader="none"/>
        </w:tabs>
        <w:spacing w:line="364" w:lineRule="auto" w:before="160" w:after="0"/>
        <w:ind w:left="220" w:right="359" w:firstLine="479"/>
        <w:jc w:val="both"/>
        <w:rPr>
          <w:sz w:val="24"/>
        </w:rPr>
      </w:pPr>
      <w:r>
        <w:rPr>
          <w:sz w:val="24"/>
        </w:rPr>
        <w:t>送股、转增股、配股和公开增发的新股，按估值日在证券交易所挂牌</w:t>
      </w:r>
      <w:r>
        <w:rPr>
          <w:spacing w:val="-9"/>
          <w:sz w:val="24"/>
        </w:rPr>
        <w:t>的同一股票的市价</w:t>
      </w:r>
      <w:r>
        <w:rPr>
          <w:sz w:val="24"/>
        </w:rPr>
        <w:t>（收盘价</w:t>
      </w:r>
      <w:r>
        <w:rPr>
          <w:spacing w:val="-68"/>
          <w:sz w:val="24"/>
        </w:rPr>
        <w:t>）</w:t>
      </w:r>
      <w:r>
        <w:rPr>
          <w:spacing w:val="-17"/>
          <w:sz w:val="24"/>
        </w:rPr>
        <w:t>估值；该日无交易的，以最近一日的市价</w:t>
      </w:r>
      <w:r>
        <w:rPr>
          <w:sz w:val="24"/>
        </w:rPr>
        <w:t>（收盘价</w:t>
      </w:r>
      <w:r>
        <w:rPr>
          <w:spacing w:val="-13"/>
          <w:sz w:val="24"/>
        </w:rPr>
        <w:t>） </w:t>
      </w:r>
      <w:r>
        <w:rPr>
          <w:sz w:val="24"/>
        </w:rPr>
        <w:t>估值；</w:t>
      </w:r>
    </w:p>
    <w:p>
      <w:pPr>
        <w:pStyle w:val="ListParagraph"/>
        <w:numPr>
          <w:ilvl w:val="0"/>
          <w:numId w:val="32"/>
        </w:numPr>
        <w:tabs>
          <w:tab w:pos="1302" w:val="left" w:leader="none"/>
        </w:tabs>
        <w:spacing w:line="364" w:lineRule="auto" w:before="2" w:after="0"/>
        <w:ind w:left="220" w:right="364"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w:t>
      </w:r>
    </w:p>
    <w:p>
      <w:pPr>
        <w:pStyle w:val="ListParagraph"/>
        <w:numPr>
          <w:ilvl w:val="0"/>
          <w:numId w:val="32"/>
        </w:numPr>
        <w:tabs>
          <w:tab w:pos="1302" w:val="left" w:leader="none"/>
        </w:tabs>
        <w:spacing w:line="364" w:lineRule="auto" w:before="2" w:after="0"/>
        <w:ind w:left="220" w:right="244" w:firstLine="479"/>
        <w:jc w:val="left"/>
        <w:rPr>
          <w:sz w:val="24"/>
        </w:rPr>
      </w:pPr>
      <w:r>
        <w:rPr>
          <w:sz w:val="24"/>
        </w:rPr>
        <w:t>首次公开发行有明确锁定期的股票，同一股票在交易所上市后，按交易所上市的同一股票的市价（收盘价）</w:t>
      </w:r>
      <w:r>
        <w:rPr>
          <w:spacing w:val="-1"/>
          <w:sz w:val="24"/>
        </w:rPr>
        <w:t>估值；非公开发行有明确锁定期的股票， </w:t>
      </w:r>
      <w:r>
        <w:rPr>
          <w:sz w:val="24"/>
        </w:rPr>
        <w:t>按监管机构或行业协会有关规定确定公允价值。</w:t>
      </w:r>
    </w:p>
    <w:p>
      <w:pPr>
        <w:pStyle w:val="ListParagraph"/>
        <w:numPr>
          <w:ilvl w:val="0"/>
          <w:numId w:val="32"/>
        </w:numPr>
        <w:tabs>
          <w:tab w:pos="1302" w:val="left" w:leader="none"/>
        </w:tabs>
        <w:spacing w:line="364" w:lineRule="auto" w:before="1" w:after="0"/>
        <w:ind w:left="220" w:right="239" w:firstLine="479"/>
        <w:jc w:val="left"/>
        <w:rPr>
          <w:sz w:val="24"/>
        </w:rPr>
      </w:pPr>
      <w:r>
        <w:rPr>
          <w:sz w:val="24"/>
        </w:rPr>
        <w:t>因持有股票而享有的配股权，从配股除权日起到配股确认日止，如果</w:t>
      </w:r>
      <w:r>
        <w:rPr>
          <w:spacing w:val="-17"/>
          <w:sz w:val="24"/>
        </w:rPr>
        <w:t>收盘价高于配股价，按收盘价高于配股价的差额估值。收盘价等于或低于配股价， </w:t>
      </w:r>
      <w:r>
        <w:rPr>
          <w:sz w:val="24"/>
        </w:rPr>
        <w:t>则估值为零。</w:t>
      </w:r>
    </w:p>
    <w:p>
      <w:pPr>
        <w:pStyle w:val="BodyText"/>
        <w:spacing w:line="364" w:lineRule="auto" w:before="3"/>
        <w:ind w:right="364" w:firstLine="479"/>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before="1"/>
        <w:ind w:right="364" w:firstLine="479"/>
      </w:pPr>
      <w:r>
        <w:rPr>
          <w:rFonts w:ascii="Times New Roman" w:eastAsia="Times New Roman"/>
        </w:rPr>
        <w:t>4</w:t>
      </w:r>
      <w:r>
        <w:rPr/>
        <w:t>、同一债券同时在两个或两个以上市场交易的，按债券所处的市场分别估值。</w:t>
      </w:r>
    </w:p>
    <w:p>
      <w:pPr>
        <w:pStyle w:val="BodyText"/>
        <w:spacing w:line="364" w:lineRule="auto" w:before="1"/>
        <w:ind w:right="364" w:firstLine="479"/>
      </w:pPr>
      <w:r>
        <w:rPr>
          <w:rFonts w:ascii="Times New Roman" w:eastAsia="Times New Roman"/>
        </w:rPr>
        <w:t>5</w:t>
      </w:r>
      <w:r>
        <w:rPr/>
        <w:t>、当本基金发生大额申购或赎回情形时，在履行适当程序后，基金管理人可以采用摆动定价机制，以确保基金估值的公平性。</w:t>
      </w:r>
    </w:p>
    <w:p>
      <w:pPr>
        <w:pStyle w:val="BodyText"/>
        <w:spacing w:line="364" w:lineRule="auto" w:before="1"/>
        <w:ind w:right="117" w:firstLine="479"/>
      </w:pPr>
      <w:r>
        <w:rPr>
          <w:rFonts w:ascii="Times New Roman" w:eastAsia="Times New Roman"/>
        </w:rPr>
        <w:t>6</w:t>
      </w:r>
      <w:r>
        <w:rPr/>
        <w:t>、如有确凿证据表明按上述方法进行估值不能客观反映其公允价值的，基 </w:t>
      </w:r>
      <w:r>
        <w:rPr>
          <w:spacing w:val="-6"/>
        </w:rPr>
        <w:t>金管理人可根据具体情况与基金托管人商定后，按最能反映公允价值的价格估值。</w:t>
      </w:r>
    </w:p>
    <w:p>
      <w:pPr>
        <w:spacing w:after="0" w:line="364" w:lineRule="auto"/>
        <w:sectPr>
          <w:pgSz w:w="11910" w:h="16840"/>
          <w:pgMar w:header="874" w:footer="997" w:top="1380" w:bottom="1180" w:left="1580" w:right="1440"/>
        </w:sectPr>
      </w:pPr>
    </w:p>
    <w:p>
      <w:pPr>
        <w:pStyle w:val="BodyText"/>
        <w:spacing w:before="130"/>
        <w:ind w:left="700"/>
      </w:pPr>
      <w:r>
        <w:rPr>
          <w:rFonts w:ascii="Times New Roman" w:eastAsia="Times New Roman"/>
        </w:rPr>
        <w:t>7</w:t>
      </w:r>
      <w:r>
        <w:rPr/>
        <w:t>、本基金投资存托凭证的估值核算，依照境内上市交易的股票进行。</w:t>
      </w:r>
    </w:p>
    <w:p>
      <w:pPr>
        <w:pStyle w:val="BodyText"/>
        <w:spacing w:line="364" w:lineRule="auto" w:before="160"/>
        <w:ind w:right="364" w:firstLine="479"/>
      </w:pPr>
      <w:r>
        <w:rPr>
          <w:rFonts w:ascii="Times New Roman" w:eastAsia="Times New Roman"/>
        </w:rPr>
        <w:t>8</w:t>
      </w:r>
      <w:r>
        <w:rPr/>
        <w:t>、相关法律法规以及监管部门有强制规定的，从其规定。如有新增事项， 按国家最新规定估值。</w:t>
      </w:r>
    </w:p>
    <w:p>
      <w:pPr>
        <w:pStyle w:val="BodyText"/>
        <w:spacing w:line="364" w:lineRule="auto" w:before="1"/>
        <w:ind w:right="357" w:firstLine="479"/>
        <w:jc w:val="both"/>
      </w:pPr>
      <w:r>
        <w:rPr>
          <w:spacing w:val="-11"/>
        </w:rPr>
        <w:t>根据《基金法》，基金管理人计算并公告基金资产净值，基金托管人复核、</w:t>
      </w:r>
      <w:r>
        <w:rPr>
          <w:spacing w:val="-15"/>
        </w:rPr>
        <w:t>审查基金管理人计算的基金资产净值。因此，就与本基金有关的会计问题，如经</w:t>
      </w:r>
      <w:r>
        <w:rPr>
          <w:spacing w:val="-6"/>
        </w:rPr>
        <w:t>相关各方在平等基础上充分讨论后，仍无法达成一致的意见，按照基金管理人对</w:t>
      </w:r>
      <w:r>
        <w:rPr/>
        <w:t>基金资产净值的计算结果对外予以公布。</w:t>
      </w:r>
    </w:p>
    <w:p>
      <w:pPr>
        <w:pStyle w:val="BodyText"/>
        <w:spacing w:before="3"/>
        <w:ind w:left="700"/>
      </w:pPr>
      <w:r>
        <w:rPr/>
        <w:t>（六）基金份额净值的确认和估值错误的处理</w:t>
      </w:r>
    </w:p>
    <w:p>
      <w:pPr>
        <w:pStyle w:val="BodyText"/>
        <w:spacing w:line="364" w:lineRule="auto"/>
        <w:ind w:right="242" w:firstLine="479"/>
        <w:jc w:val="both"/>
      </w:pPr>
      <w:r>
        <w:rPr>
          <w:spacing w:val="-4"/>
        </w:rPr>
        <w:t>基金份额净值的计算保留到小数点后 </w:t>
      </w:r>
      <w:r>
        <w:rPr>
          <w:rFonts w:ascii="Times New Roman" w:eastAsia="Times New Roman"/>
        </w:rPr>
        <w:t>3 </w:t>
      </w:r>
      <w:r>
        <w:rPr>
          <w:spacing w:val="-15"/>
        </w:rPr>
        <w:t>位，小数点后第 </w:t>
      </w:r>
      <w:r>
        <w:rPr>
          <w:rFonts w:ascii="Times New Roman" w:eastAsia="Times New Roman"/>
        </w:rPr>
        <w:t>4 </w:t>
      </w:r>
      <w:r>
        <w:rPr>
          <w:spacing w:val="-7"/>
        </w:rPr>
        <w:t>位四舍五入。当估</w:t>
      </w:r>
      <w:r>
        <w:rPr>
          <w:spacing w:val="-12"/>
        </w:rPr>
        <w:t>值或份额净值计价错误实际发生时，基金管理人应当立即纠正，并采取合理的措</w:t>
      </w:r>
      <w:r>
        <w:rPr>
          <w:spacing w:val="-14"/>
        </w:rPr>
        <w:t>施防止损失进一步扩大。当错误达到或超过基金资产净值的 </w:t>
      </w:r>
      <w:r>
        <w:rPr>
          <w:rFonts w:ascii="Times New Roman" w:eastAsia="Times New Roman"/>
        </w:rPr>
        <w:t>0.25%</w:t>
      </w:r>
      <w:r>
        <w:rPr>
          <w:spacing w:val="-6"/>
        </w:rPr>
        <w:t>时，基金管理人应报中国证监会备案；当估值错误偏差达到基金份额净值的 </w:t>
      </w:r>
      <w:r>
        <w:rPr>
          <w:rFonts w:ascii="Times New Roman" w:eastAsia="Times New Roman"/>
        </w:rPr>
        <w:t>0.5%</w:t>
      </w:r>
      <w:r>
        <w:rPr/>
        <w:t>时，基金管</w:t>
      </w:r>
      <w:r>
        <w:rPr>
          <w:spacing w:val="-8"/>
        </w:rPr>
        <w:t>理人应当公告，并报中国证监会备案。因基金估值错误给投资者造成损失的，应</w:t>
      </w:r>
      <w:r>
        <w:rPr>
          <w:spacing w:val="-9"/>
        </w:rPr>
        <w:t>先由基金管理人承担，基金管理人对不应由其承担的责任，有权向过错人追偿。</w:t>
      </w:r>
    </w:p>
    <w:p>
      <w:pPr>
        <w:pStyle w:val="BodyText"/>
        <w:spacing w:before="4"/>
        <w:ind w:left="700"/>
      </w:pPr>
      <w:r>
        <w:rPr/>
        <w:t>关于差错处理，本合同的当事人按照以下约定处理：</w:t>
      </w:r>
    </w:p>
    <w:p>
      <w:pPr>
        <w:pStyle w:val="BodyText"/>
        <w:spacing w:before="160"/>
        <w:ind w:left="700"/>
      </w:pPr>
      <w:r>
        <w:rPr>
          <w:rFonts w:ascii="Times New Roman" w:eastAsia="Times New Roman"/>
        </w:rPr>
        <w:t>1</w:t>
      </w:r>
      <w:r>
        <w:rPr/>
        <w:t>、差错类型</w:t>
      </w:r>
    </w:p>
    <w:p>
      <w:pPr>
        <w:pStyle w:val="BodyText"/>
        <w:spacing w:line="364" w:lineRule="auto"/>
        <w:ind w:right="351" w:firstLine="479"/>
        <w:jc w:val="both"/>
      </w:pPr>
      <w:r>
        <w:rPr>
          <w:spacing w:val="-7"/>
        </w:rPr>
        <w:t>本基金运作过程中，如果由于基金管理人或基金托管人、或注册登记人、或</w:t>
      </w:r>
      <w:r>
        <w:rPr>
          <w:spacing w:val="-12"/>
        </w:rPr>
        <w:t>代理销售机构、或投资者自身的过错造成差错，导致其他当事人遭受损失的，过错的责任人应当对由于该差错遭受损失的当事人</w:t>
      </w:r>
      <w:r>
        <w:rPr>
          <w:spacing w:val="4"/>
        </w:rPr>
        <w:t>（</w:t>
      </w:r>
      <w:r>
        <w:rPr>
          <w:rFonts w:ascii="Times New Roman" w:hAnsi="Times New Roman" w:eastAsia="Times New Roman"/>
          <w:spacing w:val="4"/>
        </w:rPr>
        <w:t>“</w:t>
      </w:r>
      <w:r>
        <w:rPr/>
        <w:t>受损方</w:t>
      </w:r>
      <w:r>
        <w:rPr>
          <w:rFonts w:ascii="Times New Roman" w:hAnsi="Times New Roman" w:eastAsia="Times New Roman"/>
        </w:rPr>
        <w:t>”</w:t>
      </w:r>
      <w:r>
        <w:rPr/>
        <w:t>）按下述</w:t>
      </w:r>
      <w:r>
        <w:rPr>
          <w:rFonts w:ascii="Times New Roman" w:hAnsi="Times New Roman" w:eastAsia="Times New Roman"/>
        </w:rPr>
        <w:t>“</w:t>
      </w:r>
      <w:r>
        <w:rPr/>
        <w:t>差错处理原则</w:t>
      </w:r>
      <w:r>
        <w:rPr>
          <w:rFonts w:ascii="Times New Roman" w:hAnsi="Times New Roman" w:eastAsia="Times New Roman"/>
        </w:rPr>
        <w:t>”</w:t>
      </w:r>
      <w:r>
        <w:rPr/>
        <w:t>给予赔偿承担赔偿责任。</w:t>
      </w:r>
    </w:p>
    <w:p>
      <w:pPr>
        <w:pStyle w:val="BodyText"/>
        <w:spacing w:line="364" w:lineRule="auto" w:before="2"/>
        <w:ind w:right="357" w:firstLine="479"/>
        <w:jc w:val="both"/>
      </w:pPr>
      <w:r>
        <w:rPr>
          <w:spacing w:val="-6"/>
        </w:rPr>
        <w:t>上述差错的主要类型包括但不限于：资料申报差错、数据传输差错、数据计</w:t>
      </w:r>
      <w:r>
        <w:rPr>
          <w:spacing w:val="-10"/>
        </w:rPr>
        <w:t>算差错、系统故障差错、下达指令差错等；对于因技术原因引起的差错，若系同</w:t>
      </w:r>
      <w:r>
        <w:rPr>
          <w:spacing w:val="-7"/>
        </w:rPr>
        <w:t>行业现有技术水平无法预见、无法避免、无法抗拒，则属不可抗力，按照下述规</w:t>
      </w:r>
      <w:r>
        <w:rPr/>
        <w:t>定执行。</w:t>
      </w:r>
    </w:p>
    <w:p>
      <w:pPr>
        <w:pStyle w:val="BodyText"/>
        <w:spacing w:line="364" w:lineRule="auto" w:before="3"/>
        <w:ind w:right="350" w:firstLine="479"/>
        <w:jc w:val="both"/>
      </w:pPr>
      <w:r>
        <w:rPr>
          <w:spacing w:val="4"/>
        </w:rPr>
        <w:t>由于不可抗力原因造成投资者的交易资料灭失或被错误处理或造成其他差</w:t>
      </w:r>
      <w:r>
        <w:rPr>
          <w:spacing w:val="-9"/>
        </w:rPr>
        <w:t>错，因不可抗力原因出现差错的当事人不对其他当事人承担赔偿责任，但因该差错取得不当得利的当事人仍应负有返还不当得利的义务。</w:t>
      </w:r>
    </w:p>
    <w:p>
      <w:pPr>
        <w:pStyle w:val="BodyText"/>
        <w:spacing w:before="2"/>
        <w:ind w:left="700"/>
      </w:pPr>
      <w:r>
        <w:rPr>
          <w:rFonts w:ascii="Times New Roman" w:eastAsia="Times New Roman"/>
        </w:rPr>
        <w:t>2</w:t>
      </w:r>
      <w:r>
        <w:rPr/>
        <w:t>、差错处理原则</w:t>
      </w:r>
    </w:p>
    <w:p>
      <w:pPr>
        <w:pStyle w:val="ListParagraph"/>
        <w:numPr>
          <w:ilvl w:val="0"/>
          <w:numId w:val="33"/>
        </w:numPr>
        <w:tabs>
          <w:tab w:pos="1302" w:val="left" w:leader="none"/>
        </w:tabs>
        <w:spacing w:line="240" w:lineRule="auto" w:before="161" w:after="0"/>
        <w:ind w:left="1301" w:right="0" w:hanging="602"/>
        <w:jc w:val="left"/>
        <w:rPr>
          <w:sz w:val="24"/>
        </w:rPr>
      </w:pPr>
      <w:r>
        <w:rPr>
          <w:sz w:val="24"/>
        </w:rPr>
        <w:t>差错已发生，但尚未给当事人造成损失时，差错责任方应及时协调各</w:t>
      </w:r>
    </w:p>
    <w:p>
      <w:pPr>
        <w:spacing w:after="0" w:line="240" w:lineRule="auto"/>
        <w:jc w:val="left"/>
        <w:rPr>
          <w:sz w:val="24"/>
        </w:rPr>
        <w:sectPr>
          <w:pgSz w:w="11910" w:h="16840"/>
          <w:pgMar w:header="874" w:footer="997" w:top="1380" w:bottom="1180" w:left="1580" w:right="1440"/>
        </w:sectPr>
      </w:pPr>
    </w:p>
    <w:p>
      <w:pPr>
        <w:pStyle w:val="BodyText"/>
        <w:spacing w:line="364" w:lineRule="auto" w:before="130"/>
        <w:ind w:right="244"/>
      </w:pPr>
      <w:r>
        <w:rPr>
          <w:spacing w:val="-10"/>
        </w:rPr>
        <w:t>方，及时进行更正，因更正差错发生的费用由差错责任方承担；由于差错责任方</w:t>
      </w:r>
      <w:r>
        <w:rPr>
          <w:spacing w:val="-15"/>
        </w:rPr>
        <w:t>未及时更正已产生的差错，给当事人造成损失的由差错责任方承担；若差错责任方已经积极协调，并且有协助义务的当事人有足够的时间进行更正而未更正，则</w:t>
      </w:r>
      <w:r>
        <w:rPr>
          <w:spacing w:val="-16"/>
        </w:rPr>
        <w:t>其应当承担相应赔偿责任。差错责任方应对更正的情况向有关当事人进行确认， </w:t>
      </w:r>
      <w:r>
        <w:rPr/>
        <w:t>确保差错已得到更正。</w:t>
      </w:r>
    </w:p>
    <w:p>
      <w:pPr>
        <w:pStyle w:val="ListParagraph"/>
        <w:numPr>
          <w:ilvl w:val="0"/>
          <w:numId w:val="33"/>
        </w:numPr>
        <w:tabs>
          <w:tab w:pos="1302" w:val="left" w:leader="none"/>
        </w:tabs>
        <w:spacing w:line="364" w:lineRule="auto" w:before="3" w:after="0"/>
        <w:ind w:left="220" w:right="363" w:firstLine="479"/>
        <w:jc w:val="left"/>
        <w:rPr>
          <w:sz w:val="24"/>
        </w:rPr>
      </w:pPr>
      <w:r>
        <w:rPr>
          <w:spacing w:val="-1"/>
          <w:sz w:val="24"/>
        </w:rPr>
        <w:t>差错的责任方对可能导致有关当事人的直接损失负责，不对间接损失</w:t>
      </w:r>
      <w:r>
        <w:rPr>
          <w:sz w:val="24"/>
        </w:rPr>
        <w:t>负责，并且仅对差错的有关直接当事人负责，不对第三方负责。</w:t>
      </w:r>
    </w:p>
    <w:p>
      <w:pPr>
        <w:pStyle w:val="ListParagraph"/>
        <w:numPr>
          <w:ilvl w:val="0"/>
          <w:numId w:val="33"/>
        </w:numPr>
        <w:tabs>
          <w:tab w:pos="1302" w:val="left" w:leader="none"/>
        </w:tabs>
        <w:spacing w:line="364" w:lineRule="auto" w:before="2" w:after="0"/>
        <w:ind w:left="220" w:right="356" w:firstLine="479"/>
        <w:jc w:val="both"/>
        <w:rPr>
          <w:sz w:val="24"/>
        </w:rPr>
      </w:pPr>
      <w:r>
        <w:rPr>
          <w:sz w:val="24"/>
        </w:rPr>
        <w:t>因差错而获得不当得利的当事人负有及时返还不当得利的义务。但差</w:t>
      </w:r>
      <w:r>
        <w:rPr>
          <w:spacing w:val="-9"/>
          <w:sz w:val="24"/>
        </w:rPr>
        <w:t>错责任方仍应对差错负责，如果由于获得不当得利的当事人不返还或不全部返还</w:t>
      </w:r>
      <w:r>
        <w:rPr>
          <w:sz w:val="24"/>
        </w:rPr>
        <w:t>不当得利造成其他当事人的利益损失</w:t>
      </w:r>
      <w:r>
        <w:rPr>
          <w:spacing w:val="5"/>
          <w:sz w:val="24"/>
        </w:rPr>
        <w:t>（</w:t>
      </w:r>
      <w:r>
        <w:rPr>
          <w:rFonts w:ascii="Times New Roman" w:hAnsi="Times New Roman" w:eastAsia="Times New Roman"/>
          <w:spacing w:val="1"/>
          <w:sz w:val="24"/>
        </w:rPr>
        <w:t>“</w:t>
      </w:r>
      <w:r>
        <w:rPr>
          <w:spacing w:val="1"/>
          <w:sz w:val="24"/>
        </w:rPr>
        <w:t>受损方</w:t>
      </w:r>
      <w:r>
        <w:rPr>
          <w:rFonts w:ascii="Times New Roman" w:hAnsi="Times New Roman" w:eastAsia="Times New Roman"/>
          <w:spacing w:val="1"/>
          <w:sz w:val="24"/>
        </w:rPr>
        <w:t>”</w:t>
      </w:r>
      <w:r>
        <w:rPr>
          <w:spacing w:val="-118"/>
          <w:sz w:val="24"/>
        </w:rPr>
        <w:t>）</w:t>
      </w:r>
      <w:r>
        <w:rPr>
          <w:spacing w:val="-1"/>
          <w:sz w:val="24"/>
        </w:rPr>
        <w:t>，则差错责任方应赔偿受损方</w:t>
      </w:r>
      <w:r>
        <w:rPr>
          <w:spacing w:val="-12"/>
          <w:sz w:val="24"/>
        </w:rPr>
        <w:t>的损失，并在其支付的赔偿金额的范围内对获得不当得利的当事人享有要求交付</w:t>
      </w:r>
      <w:r>
        <w:rPr>
          <w:spacing w:val="-11"/>
          <w:sz w:val="24"/>
        </w:rPr>
        <w:t>不当得利的权利；如果获得不当得利的当事人已经将此部分不当得利返还给受损</w:t>
      </w:r>
      <w:r>
        <w:rPr>
          <w:spacing w:val="-12"/>
          <w:sz w:val="24"/>
        </w:rPr>
        <w:t>方，则受损方应当将其已经获得的赔偿额加上已经获得的不当得利返还的总和超</w:t>
      </w:r>
      <w:r>
        <w:rPr>
          <w:sz w:val="24"/>
        </w:rPr>
        <w:t>过其实际损失的差额部分支付给差错责任方。</w:t>
      </w:r>
    </w:p>
    <w:p>
      <w:pPr>
        <w:pStyle w:val="ListParagraph"/>
        <w:numPr>
          <w:ilvl w:val="0"/>
          <w:numId w:val="33"/>
        </w:numPr>
        <w:tabs>
          <w:tab w:pos="1302" w:val="left" w:leader="none"/>
        </w:tabs>
        <w:spacing w:line="240" w:lineRule="auto" w:before="4" w:after="0"/>
        <w:ind w:left="1301" w:right="0" w:hanging="602"/>
        <w:jc w:val="left"/>
        <w:rPr>
          <w:sz w:val="24"/>
        </w:rPr>
      </w:pPr>
      <w:r>
        <w:rPr>
          <w:sz w:val="24"/>
        </w:rPr>
        <w:t>差错调整采用尽量恢复至假设未发生差错的正确情形的方式。</w:t>
      </w:r>
    </w:p>
    <w:p>
      <w:pPr>
        <w:pStyle w:val="ListParagraph"/>
        <w:numPr>
          <w:ilvl w:val="0"/>
          <w:numId w:val="33"/>
        </w:numPr>
        <w:tabs>
          <w:tab w:pos="1302" w:val="left" w:leader="none"/>
        </w:tabs>
        <w:spacing w:line="364" w:lineRule="auto" w:before="161" w:after="0"/>
        <w:ind w:left="220" w:right="357" w:firstLine="479"/>
        <w:jc w:val="both"/>
        <w:rPr>
          <w:sz w:val="24"/>
        </w:rPr>
      </w:pPr>
      <w:r>
        <w:rPr>
          <w:sz w:val="24"/>
        </w:rPr>
        <w:t>差错责任方拒绝进行赔偿时，如果因基金管理人过错造成基金资产损</w:t>
      </w:r>
      <w:r>
        <w:rPr>
          <w:spacing w:val="-10"/>
          <w:sz w:val="24"/>
        </w:rPr>
        <w:t>失时，基金托管人应为基金的利益向基金管理人追偿，如果因基金托管人过错造</w:t>
      </w:r>
      <w:r>
        <w:rPr>
          <w:spacing w:val="-9"/>
          <w:sz w:val="24"/>
        </w:rPr>
        <w:t>成基金资产损失时，基金管理人应为基金的利益向基金托管人追偿。除基金管理</w:t>
      </w:r>
      <w:r>
        <w:rPr>
          <w:spacing w:val="-6"/>
          <w:sz w:val="24"/>
        </w:rPr>
        <w:t>人和托管人之外的第三方造成基金资产的损失，并拒绝进行赔偿时，由基金管理</w:t>
      </w:r>
      <w:r>
        <w:rPr>
          <w:sz w:val="24"/>
        </w:rPr>
        <w:t>人负责向差错方追偿。</w:t>
      </w:r>
    </w:p>
    <w:p>
      <w:pPr>
        <w:pStyle w:val="ListParagraph"/>
        <w:numPr>
          <w:ilvl w:val="0"/>
          <w:numId w:val="33"/>
        </w:numPr>
        <w:tabs>
          <w:tab w:pos="1302" w:val="left" w:leader="none"/>
        </w:tabs>
        <w:spacing w:line="364" w:lineRule="auto" w:before="3" w:after="0"/>
        <w:ind w:left="220" w:right="244" w:firstLine="479"/>
        <w:jc w:val="left"/>
        <w:rPr>
          <w:sz w:val="24"/>
        </w:rPr>
      </w:pPr>
      <w:r>
        <w:rPr>
          <w:sz w:val="24"/>
        </w:rPr>
        <w:t>如果出现差错的当事人未按规定对受损方进行赔偿，并且依据法律、</w:t>
      </w:r>
      <w:r>
        <w:rPr>
          <w:spacing w:val="-12"/>
          <w:sz w:val="24"/>
        </w:rPr>
        <w:t>行政法规、《基金合同》或其他规定，基金管理人自行或依据法院判决、仲裁裁</w:t>
      </w:r>
      <w:r>
        <w:rPr>
          <w:spacing w:val="-13"/>
          <w:sz w:val="24"/>
        </w:rPr>
        <w:t>决对受损方承担了赔偿责任，则基金管理人有权向出现过错的当事人进行追索， </w:t>
      </w:r>
      <w:r>
        <w:rPr>
          <w:sz w:val="24"/>
        </w:rPr>
        <w:t>并有权要求其赔偿或补偿由此发生的费用和遭受的损失。</w:t>
      </w:r>
    </w:p>
    <w:p>
      <w:pPr>
        <w:pStyle w:val="ListParagraph"/>
        <w:numPr>
          <w:ilvl w:val="0"/>
          <w:numId w:val="33"/>
        </w:numPr>
        <w:tabs>
          <w:tab w:pos="1302" w:val="left" w:leader="none"/>
        </w:tabs>
        <w:spacing w:line="240" w:lineRule="auto" w:before="3" w:after="0"/>
        <w:ind w:left="1301" w:right="0" w:hanging="602"/>
        <w:jc w:val="left"/>
        <w:rPr>
          <w:sz w:val="24"/>
        </w:rPr>
      </w:pPr>
      <w:r>
        <w:rPr>
          <w:sz w:val="24"/>
        </w:rPr>
        <w:t>按法律法规规定的其他原则处理差错。</w:t>
      </w:r>
    </w:p>
    <w:p>
      <w:pPr>
        <w:pStyle w:val="BodyText"/>
        <w:spacing w:before="160"/>
        <w:ind w:left="700"/>
      </w:pPr>
      <w:r>
        <w:rPr>
          <w:rFonts w:ascii="Times New Roman" w:eastAsia="Times New Roman"/>
        </w:rPr>
        <w:t>3</w:t>
      </w:r>
      <w:r>
        <w:rPr/>
        <w:t>、差错处理程序</w:t>
      </w:r>
    </w:p>
    <w:p>
      <w:pPr>
        <w:pStyle w:val="BodyText"/>
        <w:ind w:left="700"/>
      </w:pPr>
      <w:r>
        <w:rPr/>
        <w:t>差错被发现后，有关的当事人应当及时进行处理，处理的程序如下：</w:t>
      </w:r>
    </w:p>
    <w:p>
      <w:pPr>
        <w:pStyle w:val="ListParagraph"/>
        <w:numPr>
          <w:ilvl w:val="0"/>
          <w:numId w:val="34"/>
        </w:numPr>
        <w:tabs>
          <w:tab w:pos="1302" w:val="left" w:leader="none"/>
        </w:tabs>
        <w:spacing w:line="364" w:lineRule="auto" w:before="160" w:after="0"/>
        <w:ind w:left="220" w:right="364" w:firstLine="479"/>
        <w:jc w:val="left"/>
        <w:rPr>
          <w:sz w:val="24"/>
        </w:rPr>
      </w:pPr>
      <w:r>
        <w:rPr>
          <w:spacing w:val="-1"/>
          <w:sz w:val="24"/>
        </w:rPr>
        <w:t>查明差错发生的原因，列明所有的当事人，并根据差错发生的原因确</w:t>
      </w:r>
      <w:r>
        <w:rPr>
          <w:sz w:val="24"/>
        </w:rPr>
        <w:t>定差错的责任方；</w:t>
      </w:r>
    </w:p>
    <w:p>
      <w:pPr>
        <w:spacing w:after="0" w:line="364" w:lineRule="auto"/>
        <w:jc w:val="left"/>
        <w:rPr>
          <w:sz w:val="24"/>
        </w:rPr>
        <w:sectPr>
          <w:pgSz w:w="11910" w:h="16840"/>
          <w:pgMar w:header="874" w:footer="997" w:top="1380" w:bottom="1180" w:left="1580" w:right="1440"/>
        </w:sectPr>
      </w:pPr>
    </w:p>
    <w:p>
      <w:pPr>
        <w:pStyle w:val="ListParagraph"/>
        <w:numPr>
          <w:ilvl w:val="0"/>
          <w:numId w:val="34"/>
        </w:numPr>
        <w:tabs>
          <w:tab w:pos="1302" w:val="left" w:leader="none"/>
        </w:tabs>
        <w:spacing w:line="240" w:lineRule="auto" w:before="130" w:after="0"/>
        <w:ind w:left="1301" w:right="0" w:hanging="602"/>
        <w:jc w:val="left"/>
        <w:rPr>
          <w:sz w:val="24"/>
        </w:rPr>
      </w:pPr>
      <w:r>
        <w:rPr>
          <w:sz w:val="24"/>
        </w:rPr>
        <w:t>根据差错处理原则或当事人协商的方法对因差错造成的损失进行评估；</w:t>
      </w:r>
    </w:p>
    <w:p>
      <w:pPr>
        <w:pStyle w:val="ListParagraph"/>
        <w:numPr>
          <w:ilvl w:val="0"/>
          <w:numId w:val="34"/>
        </w:numPr>
        <w:tabs>
          <w:tab w:pos="1302" w:val="left" w:leader="none"/>
        </w:tabs>
        <w:spacing w:line="364" w:lineRule="auto" w:before="160" w:after="0"/>
        <w:ind w:left="220" w:right="364" w:firstLine="479"/>
        <w:jc w:val="left"/>
        <w:rPr>
          <w:sz w:val="24"/>
        </w:rPr>
      </w:pPr>
      <w:r>
        <w:rPr>
          <w:spacing w:val="-1"/>
          <w:sz w:val="24"/>
        </w:rPr>
        <w:t>根据差错处理原则或当事人协商的方法由差错的责任方进行更正和赔</w:t>
      </w:r>
      <w:r>
        <w:rPr>
          <w:sz w:val="24"/>
        </w:rPr>
        <w:t>偿损失；</w:t>
      </w:r>
    </w:p>
    <w:p>
      <w:pPr>
        <w:pStyle w:val="ListParagraph"/>
        <w:numPr>
          <w:ilvl w:val="0"/>
          <w:numId w:val="34"/>
        </w:numPr>
        <w:tabs>
          <w:tab w:pos="1302" w:val="left" w:leader="none"/>
        </w:tabs>
        <w:spacing w:line="364" w:lineRule="auto" w:before="1" w:after="0"/>
        <w:ind w:left="220" w:right="364" w:firstLine="479"/>
        <w:jc w:val="left"/>
        <w:rPr>
          <w:sz w:val="24"/>
        </w:rPr>
      </w:pPr>
      <w:r>
        <w:rPr>
          <w:spacing w:val="-1"/>
          <w:sz w:val="24"/>
        </w:rPr>
        <w:t>根据差错处理的方法，需要修改基金注册登记人的交易数据的，由基</w:t>
      </w:r>
      <w:r>
        <w:rPr>
          <w:sz w:val="24"/>
        </w:rPr>
        <w:t>金注册登记人进行更正，并就差错的更正向有关当事人进行确认；</w:t>
      </w:r>
    </w:p>
    <w:p>
      <w:pPr>
        <w:pStyle w:val="ListParagraph"/>
        <w:numPr>
          <w:ilvl w:val="0"/>
          <w:numId w:val="34"/>
        </w:numPr>
        <w:tabs>
          <w:tab w:pos="1302" w:val="left" w:leader="none"/>
        </w:tabs>
        <w:spacing w:line="364" w:lineRule="auto" w:before="2" w:after="0"/>
        <w:ind w:left="220" w:right="356" w:firstLine="479"/>
        <w:jc w:val="both"/>
        <w:rPr>
          <w:sz w:val="24"/>
        </w:rPr>
      </w:pPr>
      <w:r>
        <w:rPr>
          <w:sz w:val="24"/>
        </w:rPr>
        <w:t>基金管理人及基金托管人基金份额净值计算错误偏差达到基金份额净</w:t>
      </w:r>
      <w:r>
        <w:rPr>
          <w:spacing w:val="-21"/>
          <w:sz w:val="24"/>
        </w:rPr>
        <w:t>值的 </w:t>
      </w:r>
      <w:r>
        <w:rPr>
          <w:rFonts w:ascii="Times New Roman" w:eastAsia="Times New Roman"/>
          <w:sz w:val="24"/>
        </w:rPr>
        <w:t>0.25%</w:t>
      </w:r>
      <w:r>
        <w:rPr>
          <w:spacing w:val="-9"/>
          <w:sz w:val="24"/>
        </w:rPr>
        <w:t>时，基金管理人应当报告中国证监会；基金管理人及基金托管人基金</w:t>
      </w:r>
      <w:r>
        <w:rPr>
          <w:sz w:val="24"/>
        </w:rPr>
        <w:t>份额净值计算错误偏差达到基金份额净值的 </w:t>
      </w:r>
      <w:r>
        <w:rPr>
          <w:rFonts w:ascii="Times New Roman" w:eastAsia="Times New Roman"/>
          <w:sz w:val="24"/>
        </w:rPr>
        <w:t>0.5%</w:t>
      </w:r>
      <w:r>
        <w:rPr>
          <w:spacing w:val="-2"/>
          <w:sz w:val="24"/>
        </w:rPr>
        <w:t>时，基金管理人应当公告并报</w:t>
      </w:r>
      <w:r>
        <w:rPr>
          <w:sz w:val="24"/>
        </w:rPr>
        <w:t>中国证监会备案。</w:t>
      </w:r>
    </w:p>
    <w:p>
      <w:pPr>
        <w:pStyle w:val="BodyText"/>
        <w:spacing w:before="3"/>
        <w:ind w:left="700"/>
      </w:pPr>
      <w:r>
        <w:rPr/>
        <w:t>（七）暂停估值的情形</w:t>
      </w:r>
    </w:p>
    <w:p>
      <w:pPr>
        <w:pStyle w:val="BodyText"/>
        <w:spacing w:line="364" w:lineRule="auto" w:before="160"/>
        <w:ind w:right="364" w:firstLine="479"/>
      </w:pPr>
      <w:r>
        <w:rPr>
          <w:rFonts w:ascii="Times New Roman" w:eastAsia="Times New Roman"/>
        </w:rPr>
        <w:t>1</w:t>
      </w:r>
      <w:r>
        <w:rPr/>
        <w:t>、与本基金投资有关的证券交易场所遇法定节假日或因其他原因暂停营业时；</w:t>
      </w:r>
    </w:p>
    <w:p>
      <w:pPr>
        <w:pStyle w:val="BodyText"/>
        <w:spacing w:before="1"/>
        <w:ind w:left="700"/>
      </w:pPr>
      <w:r>
        <w:rPr>
          <w:rFonts w:ascii="Times New Roman" w:eastAsia="Times New Roman"/>
        </w:rPr>
        <w:t>2</w:t>
      </w:r>
      <w:r>
        <w:rPr/>
        <w:t>、因不可抗力或其他情形致使基金管理人无法准确评估基金资产价值时；</w:t>
      </w:r>
    </w:p>
    <w:p>
      <w:pPr>
        <w:pStyle w:val="BodyText"/>
        <w:spacing w:line="364" w:lineRule="auto"/>
        <w:ind w:right="358" w:firstLine="479"/>
        <w:jc w:val="both"/>
      </w:pPr>
      <w:r>
        <w:rPr>
          <w:rFonts w:ascii="Times New Roman" w:eastAsia="Times New Roman"/>
        </w:rPr>
        <w:t>3</w:t>
      </w:r>
      <w:r>
        <w:rPr>
          <w:spacing w:val="-4"/>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致后，应当暂停估值；</w:t>
      </w:r>
    </w:p>
    <w:p>
      <w:pPr>
        <w:pStyle w:val="BodyText"/>
        <w:spacing w:before="2"/>
        <w:ind w:left="700"/>
      </w:pPr>
      <w:r>
        <w:rPr>
          <w:rFonts w:ascii="Times New Roman" w:eastAsia="Times New Roman"/>
        </w:rPr>
        <w:t>4</w:t>
      </w:r>
      <w:r>
        <w:rPr/>
        <w:t>、中国证监会认定的其他情形。</w:t>
      </w:r>
    </w:p>
    <w:p>
      <w:pPr>
        <w:pStyle w:val="BodyText"/>
        <w:ind w:left="700"/>
      </w:pPr>
      <w:r>
        <w:rPr/>
        <w:t>（八）特殊情形的处理</w:t>
      </w:r>
    </w:p>
    <w:p>
      <w:pPr>
        <w:pStyle w:val="BodyText"/>
        <w:spacing w:line="364" w:lineRule="auto" w:before="160"/>
        <w:ind w:right="357" w:firstLine="479"/>
        <w:jc w:val="both"/>
      </w:pPr>
      <w:r>
        <w:rPr>
          <w:rFonts w:ascii="Times New Roman" w:eastAsia="Times New Roman"/>
        </w:rPr>
        <w:t>1</w:t>
      </w:r>
      <w:r>
        <w:rPr>
          <w:spacing w:val="-4"/>
        </w:rPr>
        <w:t>、基金管理人按估值方法的第 </w:t>
      </w:r>
      <w:r>
        <w:rPr>
          <w:rFonts w:ascii="Times New Roman" w:eastAsia="Times New Roman"/>
        </w:rPr>
        <w:t>6 </w:t>
      </w:r>
      <w:r>
        <w:rPr>
          <w:spacing w:val="-1"/>
        </w:rPr>
        <w:t>项进行估值时，所造成的误差不作为基金</w:t>
      </w:r>
      <w:r>
        <w:rPr/>
        <w:t>资产估值错误处理；</w:t>
      </w:r>
    </w:p>
    <w:p>
      <w:pPr>
        <w:pStyle w:val="BodyText"/>
        <w:spacing w:line="364" w:lineRule="auto" w:before="1"/>
        <w:ind w:right="357" w:firstLine="479"/>
        <w:jc w:val="both"/>
      </w:pPr>
      <w:r>
        <w:rPr>
          <w:rFonts w:ascii="Times New Roman" w:eastAsia="Times New Roman"/>
        </w:rPr>
        <w:t>2</w:t>
      </w:r>
      <w:r>
        <w:rPr/>
        <w:t>、由于证券交易所及其登记结算公司发送的数据错误，或由于其他不可抗</w:t>
      </w:r>
      <w:r>
        <w:rPr>
          <w:spacing w:val="-10"/>
        </w:rPr>
        <w:t>力原因，基金管理人和基金托管人虽然已经采取必要、适当、合理的措施进行检查，但是未能发现该错误的，由此造成的基金资产估值错误，基金管理人和基金</w:t>
      </w:r>
      <w:r>
        <w:rPr>
          <w:spacing w:val="-8"/>
        </w:rPr>
        <w:t>托管人可以免除赔偿责任。但基金管理人、基金托管人应当积极采取必要的措施</w:t>
      </w:r>
      <w:r>
        <w:rPr/>
        <w:t>消除由此造成的影响。</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pPr>
      <w:bookmarkStart w:name="_bookmark20" w:id="21"/>
      <w:bookmarkEnd w:id="21"/>
      <w:r>
        <w:rPr>
          <w:b w:val="0"/>
        </w:rPr>
      </w:r>
      <w:r>
        <w:rPr/>
        <w:t>二十一、基金费用与税收</w:t>
      </w:r>
    </w:p>
    <w:p>
      <w:pPr>
        <w:pStyle w:val="BodyText"/>
        <w:spacing w:before="0"/>
        <w:ind w:left="0"/>
        <w:rPr>
          <w:b/>
          <w:sz w:val="30"/>
        </w:rPr>
      </w:pPr>
    </w:p>
    <w:p>
      <w:pPr>
        <w:pStyle w:val="BodyText"/>
        <w:spacing w:before="2"/>
        <w:ind w:left="0"/>
        <w:rPr>
          <w:b/>
          <w:sz w:val="22"/>
        </w:rPr>
      </w:pPr>
    </w:p>
    <w:p>
      <w:pPr>
        <w:pStyle w:val="BodyText"/>
        <w:spacing w:before="1"/>
        <w:ind w:left="700"/>
      </w:pPr>
      <w:r>
        <w:rPr/>
        <w:t>（一）基金费用的种类</w:t>
      </w:r>
    </w:p>
    <w:p>
      <w:pPr>
        <w:pStyle w:val="BodyText"/>
        <w:spacing w:before="160"/>
        <w:ind w:left="700"/>
      </w:pPr>
      <w:r>
        <w:rPr>
          <w:rFonts w:ascii="Times New Roman" w:eastAsia="Times New Roman"/>
        </w:rPr>
        <w:t>1</w:t>
      </w:r>
      <w:r>
        <w:rPr/>
        <w:t>、基金管理人的管理费；</w:t>
      </w:r>
    </w:p>
    <w:p>
      <w:pPr>
        <w:pStyle w:val="BodyText"/>
        <w:ind w:left="700"/>
      </w:pPr>
      <w:r>
        <w:rPr>
          <w:rFonts w:ascii="Times New Roman" w:eastAsia="Times New Roman"/>
        </w:rPr>
        <w:t>2</w:t>
      </w:r>
      <w:r>
        <w:rPr/>
        <w:t>、基金托管人的托管费；</w:t>
      </w:r>
    </w:p>
    <w:p>
      <w:pPr>
        <w:pStyle w:val="BodyText"/>
        <w:spacing w:before="160"/>
        <w:ind w:left="700"/>
      </w:pPr>
      <w:r>
        <w:rPr>
          <w:rFonts w:ascii="Times New Roman" w:eastAsia="Times New Roman"/>
        </w:rPr>
        <w:t>3</w:t>
      </w:r>
      <w:r>
        <w:rPr/>
        <w:t>、基金证券交易费用；</w:t>
      </w:r>
    </w:p>
    <w:p>
      <w:pPr>
        <w:pStyle w:val="BodyText"/>
        <w:ind w:left="700"/>
      </w:pPr>
      <w:r>
        <w:rPr>
          <w:rFonts w:ascii="Times New Roman" w:eastAsia="Times New Roman"/>
        </w:rPr>
        <w:t>4</w:t>
      </w:r>
      <w:r>
        <w:rPr/>
        <w:t>、基金的信息披露费用；</w:t>
      </w:r>
    </w:p>
    <w:p>
      <w:pPr>
        <w:pStyle w:val="BodyText"/>
        <w:ind w:left="700"/>
      </w:pPr>
      <w:r>
        <w:rPr>
          <w:rFonts w:ascii="Times New Roman" w:eastAsia="Times New Roman"/>
        </w:rPr>
        <w:t>5</w:t>
      </w:r>
      <w:r>
        <w:rPr/>
        <w:t>、基金份额持有人大会费用；</w:t>
      </w:r>
    </w:p>
    <w:p>
      <w:pPr>
        <w:pStyle w:val="BodyText"/>
        <w:spacing w:before="160"/>
        <w:ind w:left="700"/>
      </w:pPr>
      <w:r>
        <w:rPr>
          <w:rFonts w:ascii="Times New Roman" w:eastAsia="Times New Roman"/>
        </w:rPr>
        <w:t>6</w:t>
      </w:r>
      <w:r>
        <w:rPr/>
        <w:t>、基金合同生效后与基金相关的会计师费和律师费；</w:t>
      </w:r>
    </w:p>
    <w:p>
      <w:pPr>
        <w:pStyle w:val="BodyText"/>
        <w:ind w:left="700"/>
      </w:pPr>
      <w:r>
        <w:rPr>
          <w:rFonts w:ascii="Times New Roman" w:eastAsia="Times New Roman"/>
        </w:rPr>
        <w:t>7</w:t>
      </w:r>
      <w:r>
        <w:rPr/>
        <w:t>、销售服务费，具体计提办法按中国证监会的规定执行；</w:t>
      </w:r>
    </w:p>
    <w:p>
      <w:pPr>
        <w:pStyle w:val="BodyText"/>
        <w:spacing w:before="160"/>
        <w:ind w:left="700"/>
      </w:pPr>
      <w:r>
        <w:rPr>
          <w:rFonts w:ascii="Times New Roman" w:eastAsia="Times New Roman"/>
        </w:rPr>
        <w:t>8</w:t>
      </w:r>
      <w:r>
        <w:rPr/>
        <w:t>、按照国家有关规定可以列入的其它费用。</w:t>
      </w:r>
    </w:p>
    <w:p>
      <w:pPr>
        <w:pStyle w:val="BodyText"/>
        <w:ind w:left="700"/>
      </w:pPr>
      <w:r>
        <w:rPr/>
        <w:t>（二）基金费用计提方法、计提标准和支付方式</w:t>
      </w:r>
    </w:p>
    <w:p>
      <w:pPr>
        <w:pStyle w:val="BodyText"/>
        <w:spacing w:before="160"/>
        <w:ind w:left="700"/>
      </w:pPr>
      <w:r>
        <w:rPr>
          <w:rFonts w:ascii="Times New Roman" w:eastAsia="Times New Roman"/>
        </w:rPr>
        <w:t>1</w:t>
      </w:r>
      <w:r>
        <w:rPr/>
        <w:t>、基金管理费</w:t>
      </w:r>
    </w:p>
    <w:p>
      <w:pPr>
        <w:pStyle w:val="BodyText"/>
        <w:spacing w:line="364" w:lineRule="auto"/>
        <w:ind w:right="357" w:firstLine="479"/>
      </w:pPr>
      <w:r>
        <w:rPr/>
        <w:t>本基金管理费年费率为 </w:t>
      </w:r>
      <w:r>
        <w:rPr>
          <w:rFonts w:ascii="Times New Roman" w:eastAsia="Times New Roman"/>
        </w:rPr>
        <w:t>1.5%</w:t>
      </w:r>
      <w:r>
        <w:rPr/>
        <w:t>，在通常情况下，按前一日的基金资产净值乘以相应的管理年费率，计算方法如下：</w:t>
      </w:r>
    </w:p>
    <w:p>
      <w:pPr>
        <w:pStyle w:val="BodyText"/>
        <w:spacing w:line="364" w:lineRule="auto" w:before="1"/>
        <w:ind w:left="700" w:right="4651"/>
      </w:pPr>
      <w:r>
        <w:rPr>
          <w:rFonts w:ascii="Times New Roman" w:hAnsi="Times New Roman" w:eastAsia="Times New Roman"/>
        </w:rPr>
        <w:t>H=E×</w:t>
      </w:r>
      <w:r>
        <w:rPr/>
        <w:t>年管理费率</w:t>
      </w:r>
      <w:r>
        <w:rPr>
          <w:rFonts w:ascii="Times New Roman" w:hAnsi="Times New Roman" w:eastAsia="Times New Roman"/>
          <w:spacing w:val="-3"/>
        </w:rPr>
        <w:t>÷</w:t>
      </w:r>
      <w:r>
        <w:rPr/>
        <w:t>当年天数   </w:t>
      </w:r>
      <w:r>
        <w:rPr>
          <w:rFonts w:ascii="Times New Roman" w:hAnsi="Times New Roman" w:eastAsia="Times New Roman"/>
        </w:rPr>
        <w:t>H</w:t>
      </w:r>
      <w:r>
        <w:rPr>
          <w:spacing w:val="-2"/>
        </w:rPr>
        <w:t>：为每日应计提的基金管理费； </w:t>
      </w:r>
      <w:r>
        <w:rPr>
          <w:rFonts w:ascii="Times New Roman" w:hAnsi="Times New Roman" w:eastAsia="Times New Roman"/>
        </w:rPr>
        <w:t>E</w:t>
      </w:r>
      <w:r>
        <w:rPr/>
        <w:t>：为前一日基金资产净值。</w:t>
      </w:r>
    </w:p>
    <w:p>
      <w:pPr>
        <w:pStyle w:val="BodyText"/>
        <w:spacing w:line="364" w:lineRule="auto" w:before="2"/>
        <w:ind w:right="357" w:firstLine="479"/>
      </w:pPr>
      <w:r>
        <w:rPr>
          <w:spacing w:val="-7"/>
        </w:rPr>
        <w:t>基金管理人的管理费每日计算，逐日累计至每月月底，按月支付，由基金托</w:t>
      </w:r>
      <w:r>
        <w:rPr/>
        <w:t>管人于次月前两个工作日内从本基金财产中一次性支付给基金管理人。</w:t>
      </w:r>
    </w:p>
    <w:p>
      <w:pPr>
        <w:pStyle w:val="BodyText"/>
        <w:spacing w:before="1"/>
        <w:ind w:left="700"/>
      </w:pPr>
      <w:r>
        <w:rPr>
          <w:rFonts w:ascii="Times New Roman" w:eastAsia="Times New Roman"/>
        </w:rPr>
        <w:t>2</w:t>
      </w:r>
      <w:r>
        <w:rPr/>
        <w:t>、基金托管费</w:t>
      </w:r>
    </w:p>
    <w:p>
      <w:pPr>
        <w:pStyle w:val="BodyText"/>
        <w:spacing w:line="364" w:lineRule="auto"/>
        <w:ind w:right="357" w:firstLine="479"/>
      </w:pPr>
      <w:r>
        <w:rPr/>
        <w:t>本基金托管费年费率为 </w:t>
      </w:r>
      <w:r>
        <w:rPr>
          <w:rFonts w:ascii="Times New Roman" w:eastAsia="Times New Roman"/>
          <w:spacing w:val="-10"/>
        </w:rPr>
        <w:t>0.25%</w:t>
      </w:r>
      <w:r>
        <w:rPr>
          <w:spacing w:val="-10"/>
        </w:rPr>
        <w:t>，在通常情况下，按前一日的基金资产净值乘</w:t>
      </w:r>
      <w:r>
        <w:rPr/>
        <w:t>以相应的托管年费率，计算方法如下：</w:t>
      </w:r>
    </w:p>
    <w:p>
      <w:pPr>
        <w:pStyle w:val="BodyText"/>
        <w:spacing w:line="364" w:lineRule="auto" w:before="2"/>
        <w:ind w:left="700" w:right="4651"/>
      </w:pPr>
      <w:r>
        <w:rPr>
          <w:rFonts w:ascii="Times New Roman" w:hAnsi="Times New Roman" w:eastAsia="Times New Roman"/>
        </w:rPr>
        <w:t>H</w:t>
      </w:r>
      <w:r>
        <w:rPr/>
        <w:t>＝</w:t>
      </w:r>
      <w:r>
        <w:rPr>
          <w:rFonts w:ascii="Times New Roman" w:hAnsi="Times New Roman" w:eastAsia="Times New Roman"/>
        </w:rPr>
        <w:t>E×</w:t>
      </w:r>
      <w:r>
        <w:rPr/>
        <w:t>年托管费率</w:t>
      </w:r>
      <w:r>
        <w:rPr>
          <w:rFonts w:ascii="Times New Roman" w:hAnsi="Times New Roman" w:eastAsia="Times New Roman"/>
          <w:spacing w:val="-3"/>
        </w:rPr>
        <w:t>÷</w:t>
      </w:r>
      <w:r>
        <w:rPr/>
        <w:t>当年天数  </w:t>
      </w:r>
      <w:r>
        <w:rPr>
          <w:rFonts w:ascii="Times New Roman" w:hAnsi="Times New Roman" w:eastAsia="Times New Roman"/>
        </w:rPr>
        <w:t>H</w:t>
      </w:r>
      <w:r>
        <w:rPr>
          <w:spacing w:val="-2"/>
        </w:rPr>
        <w:t>：为每日应支付的基金托管费； </w:t>
      </w:r>
      <w:r>
        <w:rPr>
          <w:rFonts w:ascii="Times New Roman" w:hAnsi="Times New Roman" w:eastAsia="Times New Roman"/>
        </w:rPr>
        <w:t>E</w:t>
      </w:r>
      <w:r>
        <w:rPr/>
        <w:t>：为前一日的基金资产净值。</w:t>
      </w:r>
    </w:p>
    <w:p>
      <w:pPr>
        <w:pStyle w:val="BodyText"/>
        <w:spacing w:line="364" w:lineRule="auto" w:before="1"/>
        <w:ind w:right="357" w:firstLine="479"/>
      </w:pPr>
      <w:r>
        <w:rPr>
          <w:spacing w:val="-9"/>
        </w:rPr>
        <w:t>基金托管费每日计算，逐日累计至每月月底，按月支付，由基金托管人于次</w:t>
      </w:r>
      <w:r>
        <w:rPr/>
        <w:t>月前两个工作日内从基金财产中一次性支取。</w:t>
      </w:r>
    </w:p>
    <w:p>
      <w:pPr>
        <w:pStyle w:val="BodyText"/>
        <w:spacing w:before="2"/>
        <w:ind w:left="700"/>
      </w:pPr>
      <w:r>
        <w:rPr>
          <w:rFonts w:ascii="Times New Roman" w:eastAsia="Times New Roman"/>
        </w:rPr>
        <w:t>3</w:t>
      </w:r>
      <w:r>
        <w:rPr/>
        <w:t>、基金首次发行中所发生的律师费、会计师费及与基金有关的法定信息披</w:t>
      </w:r>
    </w:p>
    <w:p>
      <w:pPr>
        <w:spacing w:after="0"/>
        <w:sectPr>
          <w:pgSz w:w="11910" w:h="16840"/>
          <w:pgMar w:header="874" w:footer="997" w:top="1380" w:bottom="1180" w:left="1580" w:right="1440"/>
        </w:sectPr>
      </w:pPr>
    </w:p>
    <w:p>
      <w:pPr>
        <w:pStyle w:val="BodyText"/>
        <w:spacing w:line="364" w:lineRule="auto" w:before="130"/>
        <w:ind w:right="239"/>
      </w:pPr>
      <w:r>
        <w:rPr>
          <w:spacing w:val="-12"/>
        </w:rPr>
        <w:t>露费等费用自基金发行费用中列支，不另从基金财产中支付；若本基金发行失败， </w:t>
      </w:r>
      <w:r>
        <w:rPr/>
        <w:t>发行费用由基金管理人承担。基金合同生效后的各项费用按有关规定列支。</w:t>
      </w:r>
    </w:p>
    <w:p>
      <w:pPr>
        <w:pStyle w:val="BodyText"/>
        <w:spacing w:line="364" w:lineRule="auto" w:before="1"/>
        <w:ind w:right="242" w:firstLine="479"/>
      </w:pPr>
      <w:r>
        <w:rPr>
          <w:rFonts w:ascii="Times New Roman" w:eastAsia="Times New Roman"/>
        </w:rPr>
        <w:t>4</w:t>
      </w:r>
      <w:r>
        <w:rPr/>
        <w:t>、上述（一）基金费用第 </w:t>
      </w:r>
      <w:r>
        <w:rPr>
          <w:rFonts w:ascii="Times New Roman" w:eastAsia="Times New Roman"/>
        </w:rPr>
        <w:t>3</w:t>
      </w:r>
      <w:r>
        <w:rPr/>
        <w:t>－</w:t>
      </w:r>
      <w:r>
        <w:rPr>
          <w:rFonts w:ascii="Times New Roman" w:eastAsia="Times New Roman"/>
        </w:rPr>
        <w:t>8 </w:t>
      </w:r>
      <w:r>
        <w:rPr/>
        <w:t>项费用，除上款规定的费用外，由基金托管人根据有关法规及相应协议规定，按费用实际支出金额，从基金财产中支付。</w:t>
      </w:r>
    </w:p>
    <w:p>
      <w:pPr>
        <w:pStyle w:val="BodyText"/>
        <w:spacing w:before="1"/>
        <w:ind w:left="700"/>
      </w:pPr>
      <w:r>
        <w:rPr/>
        <w:t>（三）不列入基金费用的项目</w:t>
      </w:r>
    </w:p>
    <w:p>
      <w:pPr>
        <w:pStyle w:val="BodyText"/>
        <w:spacing w:line="364" w:lineRule="auto"/>
        <w:ind w:right="117" w:firstLine="479"/>
      </w:pPr>
      <w:r>
        <w:rPr>
          <w:spacing w:val="4"/>
        </w:rPr>
        <w:t>基金管理人和基金托管人因未履行或未完全履行义务导致的费用支出或本 </w:t>
      </w:r>
      <w:r>
        <w:rPr>
          <w:spacing w:val="-11"/>
        </w:rPr>
        <w:t>基金财产的损失，以及处理与基金运作无关的事项发生的费用等不列入基金费用。</w:t>
      </w:r>
    </w:p>
    <w:p>
      <w:pPr>
        <w:pStyle w:val="BodyText"/>
        <w:spacing w:line="364" w:lineRule="auto" w:before="1"/>
        <w:ind w:right="244" w:firstLine="479"/>
      </w:pPr>
      <w:r>
        <w:rPr/>
        <w:t>（四）基金管理人和基金托管人可磋商酌情降低基金管理费、基金托管费， 下调前述费率无须召开基金份额持有人大会。基金管理人应当依照《信息披露办法》的有关规定在指定媒介上刊登公告。</w:t>
      </w:r>
    </w:p>
    <w:p>
      <w:pPr>
        <w:pStyle w:val="BodyText"/>
        <w:spacing w:before="2"/>
        <w:ind w:left="700"/>
      </w:pPr>
      <w:r>
        <w:rPr/>
        <w:t>（五）基金税收</w:t>
      </w:r>
    </w:p>
    <w:p>
      <w:pPr>
        <w:pStyle w:val="BodyText"/>
        <w:ind w:left="700"/>
      </w:pPr>
      <w:r>
        <w:rPr/>
        <w:t>本基金运作过程中的各类纳税主体依据国家有关规定依法纳税。</w:t>
      </w:r>
    </w:p>
    <w:p>
      <w:pPr>
        <w:spacing w:after="0"/>
        <w:sectPr>
          <w:pgSz w:w="11910" w:h="16840"/>
          <w:pgMar w:header="874" w:footer="997" w:top="1380" w:bottom="1180" w:left="1580" w:right="1440"/>
        </w:sectPr>
      </w:pPr>
    </w:p>
    <w:p>
      <w:pPr>
        <w:pStyle w:val="BodyText"/>
        <w:spacing w:before="8"/>
        <w:ind w:left="0"/>
        <w:rPr>
          <w:sz w:val="8"/>
        </w:rPr>
      </w:pPr>
    </w:p>
    <w:p>
      <w:pPr>
        <w:pStyle w:val="Heading1"/>
        <w:ind w:right="140"/>
      </w:pPr>
      <w:bookmarkStart w:name="_bookmark21" w:id="22"/>
      <w:bookmarkEnd w:id="22"/>
      <w:r>
        <w:rPr>
          <w:b w:val="0"/>
        </w:rPr>
      </w:r>
      <w:r>
        <w:rPr/>
        <w:t>二十二、基金的收益与分配</w:t>
      </w:r>
    </w:p>
    <w:p>
      <w:pPr>
        <w:pStyle w:val="BodyText"/>
        <w:spacing w:before="0"/>
        <w:ind w:left="0"/>
        <w:rPr>
          <w:b/>
          <w:sz w:val="30"/>
        </w:rPr>
      </w:pPr>
    </w:p>
    <w:p>
      <w:pPr>
        <w:pStyle w:val="BodyText"/>
        <w:spacing w:before="2"/>
        <w:ind w:left="0"/>
        <w:rPr>
          <w:b/>
          <w:sz w:val="22"/>
        </w:rPr>
      </w:pPr>
    </w:p>
    <w:p>
      <w:pPr>
        <w:pStyle w:val="BodyText"/>
        <w:spacing w:before="1"/>
        <w:ind w:left="700"/>
      </w:pPr>
      <w:r>
        <w:rPr/>
        <w:t>（一）基金收益的构成</w:t>
      </w:r>
    </w:p>
    <w:p>
      <w:pPr>
        <w:pStyle w:val="BodyText"/>
        <w:spacing w:before="160"/>
        <w:ind w:left="700"/>
      </w:pPr>
      <w:r>
        <w:rPr>
          <w:rFonts w:ascii="Times New Roman" w:eastAsia="Times New Roman"/>
        </w:rPr>
        <w:t>1</w:t>
      </w:r>
      <w:r>
        <w:rPr/>
        <w:t>、投资所得红利、股息、债券利息；</w:t>
      </w:r>
    </w:p>
    <w:p>
      <w:pPr>
        <w:pStyle w:val="BodyText"/>
        <w:ind w:left="700"/>
      </w:pPr>
      <w:r>
        <w:rPr>
          <w:rFonts w:ascii="Times New Roman" w:eastAsia="Times New Roman"/>
        </w:rPr>
        <w:t>2</w:t>
      </w:r>
      <w:r>
        <w:rPr/>
        <w:t>、买卖证券价差；</w:t>
      </w:r>
    </w:p>
    <w:p>
      <w:pPr>
        <w:pStyle w:val="BodyText"/>
        <w:spacing w:before="160"/>
        <w:ind w:left="700"/>
      </w:pPr>
      <w:r>
        <w:rPr>
          <w:rFonts w:ascii="Times New Roman" w:eastAsia="Times New Roman"/>
        </w:rPr>
        <w:t>3</w:t>
      </w:r>
      <w:r>
        <w:rPr/>
        <w:t>、银行存款利息；</w:t>
      </w:r>
    </w:p>
    <w:p>
      <w:pPr>
        <w:pStyle w:val="BodyText"/>
        <w:ind w:left="700"/>
      </w:pPr>
      <w:r>
        <w:rPr>
          <w:rFonts w:ascii="Times New Roman" w:eastAsia="Times New Roman"/>
        </w:rPr>
        <w:t>4</w:t>
      </w:r>
      <w:r>
        <w:rPr/>
        <w:t>、因运用基金财产带来的成本或费用的节约；</w:t>
      </w:r>
    </w:p>
    <w:p>
      <w:pPr>
        <w:pStyle w:val="BodyText"/>
        <w:ind w:left="700"/>
      </w:pPr>
      <w:r>
        <w:rPr>
          <w:rFonts w:ascii="Times New Roman" w:eastAsia="Times New Roman"/>
        </w:rPr>
        <w:t>5</w:t>
      </w:r>
      <w:r>
        <w:rPr/>
        <w:t>、已实现的其他合法收入。</w:t>
      </w:r>
    </w:p>
    <w:p>
      <w:pPr>
        <w:pStyle w:val="BodyText"/>
        <w:spacing w:before="160"/>
        <w:ind w:left="700"/>
      </w:pPr>
      <w:r>
        <w:rPr/>
        <w:t>（二）基金净收益</w:t>
      </w:r>
    </w:p>
    <w:p>
      <w:pPr>
        <w:pStyle w:val="BodyText"/>
        <w:spacing w:line="364" w:lineRule="auto"/>
        <w:ind w:right="350" w:firstLine="479"/>
      </w:pPr>
      <w:r>
        <w:rPr/>
        <w:t>基金净收益为基金收益扣除按照国家有关规定可以在基金收益中扣除的费用后的余额。</w:t>
      </w:r>
    </w:p>
    <w:p>
      <w:pPr>
        <w:pStyle w:val="BodyText"/>
        <w:spacing w:before="1"/>
        <w:ind w:left="700"/>
      </w:pPr>
      <w:r>
        <w:rPr/>
        <w:t>（三）基金收益分配的原则</w:t>
      </w:r>
    </w:p>
    <w:p>
      <w:pPr>
        <w:pStyle w:val="BodyText"/>
        <w:spacing w:before="160"/>
        <w:ind w:left="700"/>
      </w:pPr>
      <w:r>
        <w:rPr>
          <w:rFonts w:ascii="Times New Roman" w:eastAsia="Times New Roman"/>
        </w:rPr>
        <w:t>1</w:t>
      </w:r>
      <w:r>
        <w:rPr/>
        <w:t>、基金收益分配比例按有关规定制定；</w:t>
      </w:r>
    </w:p>
    <w:p>
      <w:pPr>
        <w:pStyle w:val="BodyText"/>
        <w:spacing w:line="364" w:lineRule="auto"/>
        <w:ind w:right="364" w:firstLine="479"/>
      </w:pPr>
      <w:r>
        <w:rPr>
          <w:rFonts w:ascii="Times New Roman" w:eastAsia="Times New Roman"/>
        </w:rPr>
        <w:t>2</w:t>
      </w:r>
      <w:r>
        <w:rPr/>
        <w:t>、场外投资者可以选择现金分红或红利再投资，场内投资者只能选择现金分红，本基金分红的默认方式为现金分红；</w:t>
      </w:r>
    </w:p>
    <w:p>
      <w:pPr>
        <w:pStyle w:val="BodyText"/>
        <w:spacing w:before="1"/>
        <w:ind w:left="700"/>
      </w:pPr>
      <w:r>
        <w:rPr>
          <w:rFonts w:ascii="Times New Roman" w:eastAsia="Times New Roman"/>
        </w:rPr>
        <w:t>3</w:t>
      </w:r>
      <w:r>
        <w:rPr/>
        <w:t>、基金投资当期出现净亏损，则不进行收益分配；</w:t>
      </w:r>
    </w:p>
    <w:p>
      <w:pPr>
        <w:pStyle w:val="BodyText"/>
        <w:ind w:left="700"/>
      </w:pPr>
      <w:r>
        <w:rPr>
          <w:rFonts w:ascii="Times New Roman" w:eastAsia="Times New Roman"/>
        </w:rPr>
        <w:t>4</w:t>
      </w:r>
      <w:r>
        <w:rPr/>
        <w:t>、基金当期收益应先弥补上期亏损后，才可进行当期收益分配；</w:t>
      </w:r>
    </w:p>
    <w:p>
      <w:pPr>
        <w:pStyle w:val="BodyText"/>
        <w:spacing w:line="364" w:lineRule="auto" w:before="160"/>
        <w:ind w:right="363" w:firstLine="479"/>
      </w:pPr>
      <w:r>
        <w:rPr>
          <w:rFonts w:ascii="Times New Roman" w:eastAsia="Times New Roman"/>
        </w:rPr>
        <w:t>5</w:t>
      </w:r>
      <w:r>
        <w:rPr/>
        <w:t>、在符合有关基金分红条件的前提下，本基金收益每年至少分配一次，但若基金合同生效不满 </w:t>
      </w:r>
      <w:r>
        <w:rPr>
          <w:rFonts w:ascii="Times New Roman" w:eastAsia="Times New Roman"/>
        </w:rPr>
        <w:t>3 </w:t>
      </w:r>
      <w:r>
        <w:rPr/>
        <w:t>个月则不进行收益分配，年度分配在基金会计年度结束</w:t>
      </w:r>
    </w:p>
    <w:p>
      <w:pPr>
        <w:pStyle w:val="BodyText"/>
        <w:spacing w:before="2"/>
      </w:pPr>
      <w:r>
        <w:rPr/>
        <w:t>后的 </w:t>
      </w:r>
      <w:r>
        <w:rPr>
          <w:rFonts w:ascii="Times New Roman" w:eastAsia="Times New Roman"/>
        </w:rPr>
        <w:t>4 </w:t>
      </w:r>
      <w:r>
        <w:rPr/>
        <w:t>个月内完成；</w:t>
      </w:r>
    </w:p>
    <w:p>
      <w:pPr>
        <w:pStyle w:val="BodyText"/>
        <w:spacing w:line="364" w:lineRule="auto" w:before="160"/>
        <w:ind w:right="304" w:firstLine="479"/>
      </w:pPr>
      <w:r>
        <w:rPr>
          <w:rFonts w:ascii="Times New Roman" w:eastAsia="Times New Roman"/>
        </w:rPr>
        <w:t>6</w:t>
      </w:r>
      <w:r>
        <w:rPr/>
        <w:t>、本基金每年收益分配次数最多为 </w:t>
      </w:r>
      <w:r>
        <w:rPr>
          <w:rFonts w:ascii="Times New Roman" w:eastAsia="Times New Roman"/>
        </w:rPr>
        <w:t>4 </w:t>
      </w:r>
      <w:r>
        <w:rPr/>
        <w:t>次，年度收益分配比例不低于基金年度已实现收益的 </w:t>
      </w:r>
      <w:r>
        <w:rPr>
          <w:rFonts w:ascii="Times New Roman" w:eastAsia="Times New Roman"/>
        </w:rPr>
        <w:t>50%</w:t>
      </w:r>
      <w:r>
        <w:rPr/>
        <w:t>；</w:t>
      </w:r>
    </w:p>
    <w:p>
      <w:pPr>
        <w:pStyle w:val="BodyText"/>
        <w:spacing w:before="2"/>
        <w:ind w:left="700"/>
      </w:pPr>
      <w:r>
        <w:rPr>
          <w:rFonts w:ascii="Times New Roman" w:eastAsia="Times New Roman"/>
        </w:rPr>
        <w:t>7</w:t>
      </w:r>
      <w:r>
        <w:rPr/>
        <w:t>、基金收益分配后基金份额净值不能低于面值；</w:t>
      </w:r>
    </w:p>
    <w:p>
      <w:pPr>
        <w:pStyle w:val="BodyText"/>
        <w:spacing w:before="160"/>
        <w:ind w:left="700"/>
      </w:pPr>
      <w:r>
        <w:rPr>
          <w:rFonts w:ascii="Times New Roman" w:eastAsia="Times New Roman"/>
        </w:rPr>
        <w:t>8</w:t>
      </w:r>
      <w:r>
        <w:rPr/>
        <w:t>、每一基金份额享有同等分配权。</w:t>
      </w:r>
    </w:p>
    <w:p>
      <w:pPr>
        <w:pStyle w:val="BodyText"/>
        <w:ind w:left="700"/>
      </w:pPr>
      <w:r>
        <w:rPr/>
        <w:t>（四）基金收益分配方案</w:t>
      </w:r>
    </w:p>
    <w:p>
      <w:pPr>
        <w:pStyle w:val="BodyText"/>
        <w:spacing w:line="364" w:lineRule="auto" w:before="160"/>
        <w:ind w:right="361" w:firstLine="479"/>
      </w:pPr>
      <w:r>
        <w:rPr>
          <w:spacing w:val="-6"/>
        </w:rPr>
        <w:t>基金收益分配方案中应载明基金收益的范围、基金净收益、基金收益分配对</w:t>
      </w:r>
      <w:r>
        <w:rPr/>
        <w:t>象、分配原则、分配时间、分配数额及比例、分配方式、支付方式等内容。</w:t>
      </w:r>
    </w:p>
    <w:p>
      <w:pPr>
        <w:pStyle w:val="BodyText"/>
        <w:spacing w:before="2"/>
        <w:ind w:left="700"/>
      </w:pPr>
      <w:r>
        <w:rPr/>
        <w:t>（五）基金收益分配方案的确定与公告</w:t>
      </w:r>
    </w:p>
    <w:p>
      <w:pPr>
        <w:pStyle w:val="BodyText"/>
        <w:ind w:left="700"/>
      </w:pPr>
      <w:r>
        <w:rPr/>
        <w:t>基金收益分配方案由基金管理人拟定、由基金托管人核实后确定，由基金管</w:t>
      </w:r>
    </w:p>
    <w:p>
      <w:pPr>
        <w:spacing w:after="0"/>
        <w:sectPr>
          <w:pgSz w:w="11910" w:h="16840"/>
          <w:pgMar w:header="874" w:footer="997" w:top="1380" w:bottom="1180" w:left="1580" w:right="1440"/>
        </w:sectPr>
      </w:pPr>
    </w:p>
    <w:p>
      <w:pPr>
        <w:pStyle w:val="BodyText"/>
        <w:spacing w:before="130"/>
        <w:ind w:left="0" w:right="4362"/>
        <w:jc w:val="center"/>
      </w:pPr>
      <w:r>
        <w:rPr/>
        <w:t>理人按《信息披露办法》的规定公告。</w:t>
      </w:r>
    </w:p>
    <w:p>
      <w:pPr>
        <w:pStyle w:val="BodyText"/>
        <w:spacing w:before="160"/>
        <w:ind w:left="0" w:right="4363"/>
        <w:jc w:val="center"/>
      </w:pPr>
      <w:r>
        <w:rPr/>
        <w:t>（六）收益分配中发生的费用</w:t>
      </w:r>
    </w:p>
    <w:p>
      <w:pPr>
        <w:pStyle w:val="BodyText"/>
        <w:ind w:left="700"/>
      </w:pPr>
      <w:r>
        <w:rPr>
          <w:rFonts w:ascii="Times New Roman" w:eastAsia="Times New Roman"/>
        </w:rPr>
        <w:t>1</w:t>
      </w:r>
      <w:r>
        <w:rPr/>
        <w:t>、收益分配中采用红利再投资方式的免收再投资的费用；</w:t>
      </w:r>
    </w:p>
    <w:p>
      <w:pPr>
        <w:pStyle w:val="BodyText"/>
        <w:spacing w:before="160"/>
        <w:ind w:left="700"/>
      </w:pPr>
      <w:r>
        <w:rPr>
          <w:rFonts w:ascii="Times New Roman" w:eastAsia="Times New Roman"/>
        </w:rPr>
        <w:t>2</w:t>
      </w:r>
      <w:r>
        <w:rPr/>
        <w:t>、收益分配时发生的银行转账等手续费用由基金份额持有人自行承担。</w:t>
      </w:r>
    </w:p>
    <w:p>
      <w:pPr>
        <w:spacing w:after="0"/>
        <w:sectPr>
          <w:pgSz w:w="11910" w:h="16840"/>
          <w:pgMar w:header="874" w:footer="997" w:top="1380" w:bottom="1180" w:left="1580" w:right="1440"/>
        </w:sectPr>
      </w:pPr>
    </w:p>
    <w:p>
      <w:pPr>
        <w:pStyle w:val="BodyText"/>
        <w:spacing w:before="8"/>
        <w:ind w:left="0"/>
        <w:rPr>
          <w:sz w:val="8"/>
        </w:rPr>
      </w:pPr>
    </w:p>
    <w:p>
      <w:pPr>
        <w:pStyle w:val="Heading1"/>
        <w:ind w:right="140"/>
      </w:pPr>
      <w:bookmarkStart w:name="_bookmark22" w:id="23"/>
      <w:bookmarkEnd w:id="23"/>
      <w:r>
        <w:rPr>
          <w:b w:val="0"/>
        </w:rPr>
      </w:r>
      <w:r>
        <w:rPr/>
        <w:t>二十三、基金的会计与审计</w:t>
      </w:r>
    </w:p>
    <w:p>
      <w:pPr>
        <w:pStyle w:val="BodyText"/>
        <w:spacing w:before="0"/>
        <w:ind w:left="0"/>
        <w:rPr>
          <w:b/>
          <w:sz w:val="30"/>
        </w:rPr>
      </w:pPr>
    </w:p>
    <w:p>
      <w:pPr>
        <w:pStyle w:val="BodyText"/>
        <w:spacing w:before="2"/>
        <w:ind w:left="0"/>
        <w:rPr>
          <w:b/>
          <w:sz w:val="22"/>
        </w:rPr>
      </w:pPr>
    </w:p>
    <w:p>
      <w:pPr>
        <w:pStyle w:val="BodyText"/>
        <w:spacing w:before="1"/>
        <w:ind w:left="700"/>
      </w:pPr>
      <w:r>
        <w:rPr/>
        <w:t>（一）基金会计政策</w:t>
      </w:r>
    </w:p>
    <w:p>
      <w:pPr>
        <w:pStyle w:val="BodyText"/>
        <w:spacing w:line="364" w:lineRule="auto" w:before="160"/>
        <w:ind w:right="357" w:firstLine="479"/>
        <w:jc w:val="both"/>
      </w:pPr>
      <w:r>
        <w:rPr>
          <w:rFonts w:ascii="Times New Roman" w:eastAsia="Times New Roman"/>
        </w:rPr>
        <w:t>1</w:t>
      </w:r>
      <w:r>
        <w:rPr/>
        <w:t>、基金管理人为本基金的基金会计责任方，基金管理人也可以委托基金托</w:t>
      </w:r>
      <w:r>
        <w:rPr>
          <w:spacing w:val="-5"/>
        </w:rPr>
        <w:t>管人或者具有证券从业资格的独立的会计师事务所担任基金会计，但该会计师事</w:t>
      </w:r>
      <w:r>
        <w:rPr/>
        <w:t>务所不能同时从事本基金的审计业务；</w:t>
      </w:r>
    </w:p>
    <w:p>
      <w:pPr>
        <w:pStyle w:val="BodyText"/>
        <w:spacing w:before="2"/>
        <w:ind w:left="700"/>
        <w:jc w:val="both"/>
      </w:pPr>
      <w:r>
        <w:rPr>
          <w:rFonts w:ascii="Times New Roman" w:eastAsia="Times New Roman"/>
        </w:rPr>
        <w:t>2</w:t>
      </w:r>
      <w:r>
        <w:rPr/>
        <w:t>、基金的会计年度为公历每年 </w:t>
      </w:r>
      <w:r>
        <w:rPr>
          <w:rFonts w:ascii="Times New Roman" w:eastAsia="Times New Roman"/>
        </w:rPr>
        <w:t>1</w:t>
      </w:r>
      <w:r>
        <w:rPr>
          <w:rFonts w:ascii="Times New Roman" w:eastAsia="Times New Roman"/>
          <w:spacing w:val="7"/>
        </w:rPr>
        <w:t> </w:t>
      </w:r>
      <w:r>
        <w:rPr/>
        <w:t>月 </w:t>
      </w:r>
      <w:r>
        <w:rPr>
          <w:rFonts w:ascii="Times New Roman" w:eastAsia="Times New Roman"/>
        </w:rPr>
        <w:t>1</w:t>
      </w:r>
      <w:r>
        <w:rPr>
          <w:rFonts w:ascii="Times New Roman" w:eastAsia="Times New Roman"/>
          <w:spacing w:val="7"/>
        </w:rPr>
        <w:t> </w:t>
      </w:r>
      <w:r>
        <w:rPr>
          <w:spacing w:val="-1"/>
        </w:rPr>
        <w:t>日至 </w:t>
      </w:r>
      <w:r>
        <w:rPr>
          <w:rFonts w:ascii="Times New Roman" w:eastAsia="Times New Roman"/>
        </w:rPr>
        <w:t>12</w:t>
      </w:r>
      <w:r>
        <w:rPr>
          <w:rFonts w:ascii="Times New Roman" w:eastAsia="Times New Roman"/>
          <w:spacing w:val="7"/>
        </w:rPr>
        <w:t> </w:t>
      </w:r>
      <w:r>
        <w:rPr/>
        <w:t>月 </w:t>
      </w:r>
      <w:r>
        <w:rPr>
          <w:rFonts w:ascii="Times New Roman" w:eastAsia="Times New Roman"/>
        </w:rPr>
        <w:t>31</w:t>
      </w:r>
      <w:r>
        <w:rPr>
          <w:rFonts w:ascii="Times New Roman" w:eastAsia="Times New Roman"/>
          <w:spacing w:val="7"/>
        </w:rPr>
        <w:t> </w:t>
      </w:r>
      <w:r>
        <w:rPr>
          <w:spacing w:val="-1"/>
        </w:rPr>
        <w:t>日；基金首次募集的</w:t>
      </w:r>
    </w:p>
    <w:p>
      <w:pPr>
        <w:pStyle w:val="BodyText"/>
        <w:ind w:left="0" w:right="136"/>
        <w:jc w:val="center"/>
      </w:pPr>
      <w:r>
        <w:rPr>
          <w:spacing w:val="-8"/>
        </w:rPr>
        <w:t>会计年度按如下规则：若基金合同生效少于 </w:t>
      </w:r>
      <w:r>
        <w:rPr>
          <w:rFonts w:ascii="Times New Roman" w:eastAsia="Times New Roman"/>
        </w:rPr>
        <w:t>3 </w:t>
      </w:r>
      <w:r>
        <w:rPr>
          <w:spacing w:val="-9"/>
        </w:rPr>
        <w:t>个月，可以并入下一个会计年度；</w:t>
      </w:r>
    </w:p>
    <w:p>
      <w:pPr>
        <w:pStyle w:val="BodyText"/>
        <w:spacing w:before="160"/>
        <w:ind w:left="700"/>
      </w:pPr>
      <w:r>
        <w:rPr>
          <w:rFonts w:ascii="Times New Roman" w:eastAsia="Times New Roman"/>
        </w:rPr>
        <w:t>3</w:t>
      </w:r>
      <w:r>
        <w:rPr/>
        <w:t>、基金核算以人民币为记账本位币，以人民币元为记账单位；</w:t>
      </w:r>
    </w:p>
    <w:p>
      <w:pPr>
        <w:pStyle w:val="BodyText"/>
        <w:ind w:left="700"/>
      </w:pPr>
      <w:r>
        <w:rPr>
          <w:rFonts w:ascii="Times New Roman" w:eastAsia="Times New Roman"/>
        </w:rPr>
        <w:t>4</w:t>
      </w:r>
      <w:r>
        <w:rPr/>
        <w:t>、会计制度执行国家有关的会计制度；</w:t>
      </w:r>
    </w:p>
    <w:p>
      <w:pPr>
        <w:pStyle w:val="BodyText"/>
        <w:spacing w:before="160"/>
        <w:ind w:left="700"/>
      </w:pPr>
      <w:r>
        <w:rPr>
          <w:rFonts w:ascii="Times New Roman" w:eastAsia="Times New Roman"/>
        </w:rPr>
        <w:t>5</w:t>
      </w:r>
      <w:r>
        <w:rPr/>
        <w:t>、本基金独立建账、独立核算；</w:t>
      </w:r>
    </w:p>
    <w:p>
      <w:pPr>
        <w:pStyle w:val="BodyText"/>
        <w:spacing w:line="364" w:lineRule="auto"/>
        <w:ind w:right="36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364" w:firstLine="479"/>
      </w:pPr>
      <w:r>
        <w:rPr>
          <w:rFonts w:ascii="Times New Roman" w:eastAsia="Times New Roman"/>
        </w:rPr>
        <w:t>7</w:t>
      </w:r>
      <w:r>
        <w:rPr>
          <w:spacing w:val="-1"/>
        </w:rPr>
        <w:t>、基金托管人每月与基金管理人就基金的会计核算、报表编制等进行核对</w:t>
      </w:r>
      <w:r>
        <w:rPr/>
        <w:t>并以书面方式确认。</w:t>
      </w:r>
    </w:p>
    <w:p>
      <w:pPr>
        <w:pStyle w:val="BodyText"/>
        <w:spacing w:before="2"/>
        <w:ind w:left="700"/>
      </w:pPr>
      <w:r>
        <w:rPr/>
        <w:t>（二）基金审计</w:t>
      </w:r>
    </w:p>
    <w:p>
      <w:pPr>
        <w:pStyle w:val="BodyText"/>
        <w:spacing w:line="364" w:lineRule="auto" w:before="160"/>
        <w:ind w:right="357" w:firstLine="479"/>
        <w:jc w:val="both"/>
      </w:pPr>
      <w:r>
        <w:rPr>
          <w:rFonts w:ascii="Times New Roman" w:eastAsia="Times New Roman"/>
        </w:rPr>
        <w:t>1</w:t>
      </w:r>
      <w:r>
        <w:rPr/>
        <w:t>、本基金管理人聘请具有证券、期货相关业务资格的会计师事务所及其注</w:t>
      </w:r>
      <w:r>
        <w:rPr>
          <w:spacing w:val="-6"/>
        </w:rPr>
        <w:t>册会计师对本基金年度财务报表进行审计。会计师事务所及其注册会计师与基金</w:t>
      </w:r>
      <w:r>
        <w:rPr/>
        <w:t>管理人、基金托管人相互独立。</w:t>
      </w:r>
    </w:p>
    <w:p>
      <w:pPr>
        <w:pStyle w:val="BodyText"/>
        <w:spacing w:line="364" w:lineRule="auto" w:before="2"/>
        <w:ind w:right="364" w:firstLine="479"/>
      </w:pPr>
      <w:r>
        <w:rPr>
          <w:rFonts w:ascii="Times New Roman" w:eastAsia="Times New Roman"/>
        </w:rPr>
        <w:t>2</w:t>
      </w:r>
      <w:r>
        <w:rPr/>
        <w:t>、会计师事务所更换经办注册会计师，须事先征得基金管理人和基金托管人同意。</w:t>
      </w:r>
    </w:p>
    <w:p>
      <w:pPr>
        <w:pStyle w:val="BodyText"/>
        <w:spacing w:line="364" w:lineRule="auto" w:before="2"/>
        <w:ind w:right="356" w:firstLine="479"/>
        <w:jc w:val="both"/>
      </w:pPr>
      <w:r>
        <w:rPr>
          <w:rFonts w:ascii="Times New Roman" w:eastAsia="Times New Roman"/>
        </w:rPr>
        <w:t>3</w:t>
      </w:r>
      <w:r>
        <w:rPr/>
        <w:t>、基金管理人（或基金托管人）认为有充足理由更换会计师事务所，须经</w:t>
      </w:r>
      <w:r>
        <w:rPr>
          <w:spacing w:val="-4"/>
        </w:rPr>
        <w:t>基金托管人</w:t>
      </w:r>
      <w:r>
        <w:rPr/>
        <w:t>（或基金管理人</w:t>
      </w:r>
      <w:r>
        <w:rPr>
          <w:spacing w:val="-20"/>
        </w:rPr>
        <w:t>）</w:t>
      </w:r>
      <w:r>
        <w:rPr>
          <w:spacing w:val="-9"/>
        </w:rPr>
        <w:t>同意，需按照《信息披露办法》的有关规定在指定</w:t>
      </w:r>
      <w:r>
        <w:rPr/>
        <w:t>媒介上公告。</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pPr>
      <w:bookmarkStart w:name="_bookmark23" w:id="24"/>
      <w:bookmarkEnd w:id="24"/>
      <w:r>
        <w:rPr>
          <w:b w:val="0"/>
        </w:rPr>
      </w:r>
      <w:r>
        <w:rPr/>
        <w:t>二十四、基金的信息披露</w:t>
      </w:r>
    </w:p>
    <w:p>
      <w:pPr>
        <w:pStyle w:val="BodyText"/>
        <w:spacing w:line="364" w:lineRule="auto" w:before="201"/>
        <w:ind w:right="244" w:firstLine="479"/>
      </w:pPr>
      <w:r>
        <w:rPr>
          <w:spacing w:val="-25"/>
        </w:rPr>
        <w:t>(一)本基金的信息披露应符合《基金法》、《运作办法》、《信息披露办法》、基金合同及其他有关规定。本基金信息披露事项应当在中国证监会规定时间内， </w:t>
      </w:r>
      <w:r>
        <w:rPr>
          <w:spacing w:val="-10"/>
        </w:rPr>
        <w:t>通过指定媒介披露，并保证投资人能够按照基金合同约定的时间和方式查阅或者复制公开披露的信息资料。</w:t>
      </w:r>
    </w:p>
    <w:p>
      <w:pPr>
        <w:pStyle w:val="BodyText"/>
        <w:spacing w:before="2"/>
        <w:ind w:left="700"/>
      </w:pPr>
      <w:r>
        <w:rPr/>
        <w:t>(二)信息披露义务人</w:t>
      </w:r>
    </w:p>
    <w:p>
      <w:pPr>
        <w:pStyle w:val="BodyText"/>
        <w:spacing w:line="364" w:lineRule="auto"/>
        <w:ind w:right="356" w:firstLine="479"/>
        <w:jc w:val="both"/>
      </w:pPr>
      <w:r>
        <w:rPr>
          <w:spacing w:val="-6"/>
        </w:rPr>
        <w:t>本基金信息披露义务人包括基金管理人、基金托管人、召集基金份额持有人</w:t>
      </w:r>
      <w:r>
        <w:rPr>
          <w:spacing w:val="-5"/>
        </w:rPr>
        <w:t>大会的基金份额持有人及其日常机构(如有)等法律、行政法规和中国证监会规定</w:t>
      </w:r>
      <w:r>
        <w:rPr/>
        <w:t>的自然人、法人和非法人组织。</w:t>
      </w:r>
    </w:p>
    <w:p>
      <w:pPr>
        <w:pStyle w:val="BodyText"/>
        <w:spacing w:line="364" w:lineRule="auto" w:before="2"/>
        <w:ind w:right="244"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358" w:firstLine="479"/>
        <w:jc w:val="both"/>
      </w:pPr>
      <w:r>
        <w:rPr>
          <w:spacing w:val="-5"/>
        </w:rPr>
        <w:t>本基金信息披露义务人应当在中国证监会规定时间内，将应予披露的基金信</w:t>
      </w:r>
      <w:r>
        <w:rPr/>
        <w:t>息通过中国证监会指定的全国性报刊</w:t>
      </w:r>
      <w:r>
        <w:rPr>
          <w:spacing w:val="2"/>
        </w:rPr>
        <w:t>（</w:t>
      </w:r>
      <w:r>
        <w:rPr>
          <w:spacing w:val="-12"/>
        </w:rPr>
        <w:t>以下简称“指定报刊”</w:t>
      </w:r>
      <w:r>
        <w:rPr/>
        <w:t>）</w:t>
      </w:r>
      <w:r>
        <w:rPr>
          <w:spacing w:val="-2"/>
        </w:rPr>
        <w:t>及指定互联网网</w:t>
      </w:r>
      <w:r>
        <w:rPr>
          <w:spacing w:val="-22"/>
        </w:rPr>
        <w:t>站</w:t>
      </w:r>
      <w:r>
        <w:rPr/>
        <w:t>（以下简称</w:t>
      </w:r>
      <w:r>
        <w:rPr>
          <w:rFonts w:ascii="Times New Roman" w:hAnsi="Times New Roman" w:eastAsia="Times New Roman"/>
        </w:rPr>
        <w:t>“</w:t>
      </w:r>
      <w:r>
        <w:rPr/>
        <w:t>指定网站</w:t>
      </w:r>
      <w:r>
        <w:rPr>
          <w:rFonts w:ascii="Times New Roman" w:hAnsi="Times New Roman" w:eastAsia="Times New Roman"/>
          <w:spacing w:val="-12"/>
        </w:rPr>
        <w:t>”</w:t>
      </w:r>
      <w:r>
        <w:rPr>
          <w:spacing w:val="-12"/>
        </w:rPr>
        <w:t>）</w:t>
      </w:r>
      <w:r>
        <w:rPr>
          <w:spacing w:val="-5"/>
        </w:rPr>
        <w:t>等媒介披露，并保证基金投资者能够按照基金合同约</w:t>
      </w:r>
      <w:r>
        <w:rPr/>
        <w:t>定的时间和方式查阅或者复制公开披露的信息资料。</w:t>
      </w:r>
    </w:p>
    <w:p>
      <w:pPr>
        <w:pStyle w:val="BodyText"/>
        <w:spacing w:line="364" w:lineRule="auto" w:before="3"/>
        <w:ind w:left="700" w:right="117"/>
      </w:pPr>
      <w:r>
        <w:rPr>
          <w:spacing w:val="-5"/>
        </w:rPr>
        <w:t>(三)本基金信息披露义务人在承诺公开披露的基金信息时，不得有下列行为： </w:t>
      </w:r>
      <w:r>
        <w:rPr/>
        <w:t>1、虚假记载、误导性陈述或者重大遗漏；</w:t>
      </w:r>
    </w:p>
    <w:p>
      <w:pPr>
        <w:pStyle w:val="BodyText"/>
        <w:spacing w:before="1"/>
        <w:ind w:left="700"/>
      </w:pPr>
      <w:r>
        <w:rPr/>
        <w:t>2、对证券投资业绩进行预测；</w:t>
      </w:r>
    </w:p>
    <w:p>
      <w:pPr>
        <w:pStyle w:val="BodyText"/>
        <w:spacing w:before="160"/>
        <w:ind w:left="700"/>
      </w:pPr>
      <w:r>
        <w:rPr/>
        <w:t>3、违规承诺收益或者承担损失；</w:t>
      </w:r>
    </w:p>
    <w:p>
      <w:pPr>
        <w:pStyle w:val="BodyText"/>
        <w:ind w:left="700"/>
      </w:pPr>
      <w:r>
        <w:rPr/>
        <w:t>4、诋毁其他基金管理人、基金托管人或者基金销售机构；</w:t>
      </w:r>
    </w:p>
    <w:p>
      <w:pPr>
        <w:pStyle w:val="BodyText"/>
        <w:ind w:left="700"/>
      </w:pPr>
      <w:r>
        <w:rPr/>
        <w:t>5、登载任何自然人、法人和非法人组织的祝贺性、恭维性或推荐性的文字；</w:t>
      </w:r>
    </w:p>
    <w:p>
      <w:pPr>
        <w:pStyle w:val="BodyText"/>
        <w:ind w:left="700"/>
      </w:pPr>
      <w:r>
        <w:rPr/>
        <w:t>6、中国证监会禁止的其他行为。</w:t>
      </w:r>
    </w:p>
    <w:p>
      <w:pPr>
        <w:pStyle w:val="BodyText"/>
        <w:spacing w:line="364" w:lineRule="auto" w:before="160"/>
        <w:ind w:right="359" w:firstLine="479"/>
        <w:jc w:val="both"/>
      </w:pPr>
      <w:r>
        <w:rPr>
          <w:spacing w:val="-6"/>
        </w:rPr>
        <w:t>(四)本基金公开披露的信息应采用中文文本。同时采用外文文本的，基金信息披露义务人应保证不同文本的内容一致。不同文本之间发生歧义的，以中文文</w:t>
      </w:r>
      <w:r>
        <w:rPr/>
        <w:t>本为准。</w:t>
      </w:r>
    </w:p>
    <w:p>
      <w:pPr>
        <w:pStyle w:val="BodyText"/>
        <w:spacing w:line="364" w:lineRule="auto" w:before="2"/>
        <w:ind w:right="361" w:firstLine="479"/>
      </w:pPr>
      <w:r>
        <w:rPr>
          <w:spacing w:val="-6"/>
        </w:rPr>
        <w:t>本基金公开披露的信息采用阿拉伯数字；除特别说明外，货币单位为人民币</w:t>
      </w:r>
      <w:r>
        <w:rPr/>
        <w:t>元。</w:t>
      </w:r>
    </w:p>
    <w:p>
      <w:pPr>
        <w:pStyle w:val="BodyText"/>
        <w:spacing w:before="1"/>
        <w:ind w:left="700"/>
      </w:pPr>
      <w:r>
        <w:rPr/>
        <w:t>(五)公开披露的基金信息</w:t>
      </w:r>
    </w:p>
    <w:p>
      <w:pPr>
        <w:spacing w:after="0"/>
        <w:sectPr>
          <w:pgSz w:w="11910" w:h="16840"/>
          <w:pgMar w:header="874" w:footer="997" w:top="1380" w:bottom="1180" w:left="1580" w:right="1440"/>
        </w:sectPr>
      </w:pPr>
    </w:p>
    <w:p>
      <w:pPr>
        <w:pStyle w:val="BodyText"/>
        <w:spacing w:before="130"/>
        <w:ind w:left="700"/>
      </w:pPr>
      <w:r>
        <w:rPr/>
        <w:t>公开披露的基金信息包括：</w:t>
      </w:r>
    </w:p>
    <w:p>
      <w:pPr>
        <w:pStyle w:val="BodyText"/>
        <w:spacing w:before="160"/>
        <w:ind w:left="700"/>
      </w:pPr>
      <w:r>
        <w:rPr>
          <w:rFonts w:ascii="Times New Roman" w:eastAsia="Times New Roman"/>
        </w:rPr>
        <w:t>1</w:t>
      </w:r>
      <w:r>
        <w:rPr/>
        <w:t>、基金招募说明书、基金合同、基金托管协议、基金产品资料概要</w:t>
      </w:r>
    </w:p>
    <w:p>
      <w:pPr>
        <w:pStyle w:val="ListParagraph"/>
        <w:numPr>
          <w:ilvl w:val="0"/>
          <w:numId w:val="35"/>
        </w:numPr>
        <w:tabs>
          <w:tab w:pos="1062" w:val="left" w:leader="none"/>
        </w:tabs>
        <w:spacing w:line="364" w:lineRule="auto" w:before="161" w:after="0"/>
        <w:ind w:left="220" w:right="357" w:firstLine="479"/>
        <w:jc w:val="both"/>
        <w:rPr>
          <w:sz w:val="24"/>
        </w:rPr>
      </w:pPr>
      <w:r>
        <w:rPr>
          <w:spacing w:val="-1"/>
          <w:sz w:val="24"/>
        </w:rPr>
        <w:t>招募说明书应当最大限度地披露影响基金投资者决策的全部事项，说明</w:t>
      </w:r>
      <w:r>
        <w:rPr>
          <w:spacing w:val="-10"/>
          <w:sz w:val="24"/>
        </w:rPr>
        <w:t>基金认购、申购和赎回安排、基金投资、基金产品特性、风险揭示、信息披露及</w:t>
      </w:r>
      <w:r>
        <w:rPr>
          <w:spacing w:val="-8"/>
          <w:sz w:val="24"/>
        </w:rPr>
        <w:t>基金份额持有人服务等内容。基金合同生效后，基金招募说明书的信息发生重大</w:t>
      </w:r>
      <w:r>
        <w:rPr>
          <w:spacing w:val="-11"/>
          <w:sz w:val="24"/>
        </w:rPr>
        <w:t>变更的，基金管理人应当在三个工作日内，更新基金招募说明书并登载在指定网</w:t>
      </w:r>
      <w:r>
        <w:rPr>
          <w:spacing w:val="-10"/>
          <w:sz w:val="24"/>
        </w:rPr>
        <w:t>站上；基金招募说明书其他信息发生变更的，基金管理人至少每年更新一次。基</w:t>
      </w:r>
      <w:r>
        <w:rPr>
          <w:sz w:val="24"/>
        </w:rPr>
        <w:t>金终止运作的，基金管理人不再更新基金招募说明书。</w:t>
      </w:r>
    </w:p>
    <w:p>
      <w:pPr>
        <w:pStyle w:val="ListParagraph"/>
        <w:numPr>
          <w:ilvl w:val="0"/>
          <w:numId w:val="35"/>
        </w:numPr>
        <w:tabs>
          <w:tab w:pos="1062" w:val="left" w:leader="none"/>
        </w:tabs>
        <w:spacing w:line="364" w:lineRule="auto" w:before="4" w:after="0"/>
        <w:ind w:left="220" w:right="357" w:firstLine="479"/>
        <w:jc w:val="both"/>
        <w:rPr>
          <w:sz w:val="24"/>
        </w:rPr>
      </w:pPr>
      <w:r>
        <w:rPr>
          <w:spacing w:val="-1"/>
          <w:sz w:val="24"/>
        </w:rPr>
        <w:t>基金合同是界定基金合同当事人的各项权利、义务关系，明确基金份额</w:t>
      </w:r>
      <w:r>
        <w:rPr>
          <w:spacing w:val="-7"/>
          <w:sz w:val="24"/>
        </w:rPr>
        <w:t>持有人大会召开的规则及具体程序，说明基金产品的特性等涉及基金投资者重大</w:t>
      </w:r>
      <w:r>
        <w:rPr>
          <w:sz w:val="24"/>
        </w:rPr>
        <w:t>利益的事项的法律文件。</w:t>
      </w:r>
    </w:p>
    <w:p>
      <w:pPr>
        <w:pStyle w:val="ListParagraph"/>
        <w:numPr>
          <w:ilvl w:val="0"/>
          <w:numId w:val="35"/>
        </w:numPr>
        <w:tabs>
          <w:tab w:pos="1062" w:val="left" w:leader="none"/>
        </w:tabs>
        <w:spacing w:line="364" w:lineRule="auto" w:before="2" w:after="0"/>
        <w:ind w:left="220" w:right="360" w:firstLine="479"/>
        <w:jc w:val="left"/>
        <w:rPr>
          <w:sz w:val="24"/>
        </w:rPr>
      </w:pPr>
      <w:r>
        <w:rPr>
          <w:spacing w:val="-1"/>
          <w:sz w:val="24"/>
        </w:rPr>
        <w:t>托管协议是界定基金托管人和基金管理人在基金财产保管及基金运作监</w:t>
      </w:r>
      <w:r>
        <w:rPr>
          <w:sz w:val="24"/>
        </w:rPr>
        <w:t>督等活动中的权利、义务关系的法律文件。</w:t>
      </w:r>
    </w:p>
    <w:p>
      <w:pPr>
        <w:pStyle w:val="ListParagraph"/>
        <w:numPr>
          <w:ilvl w:val="0"/>
          <w:numId w:val="36"/>
        </w:numPr>
        <w:tabs>
          <w:tab w:pos="1248" w:val="left" w:leader="none"/>
        </w:tabs>
        <w:spacing w:line="364" w:lineRule="auto" w:before="1" w:after="0"/>
        <w:ind w:left="220" w:right="116" w:firstLine="419"/>
        <w:jc w:val="left"/>
        <w:rPr>
          <w:sz w:val="24"/>
        </w:rPr>
      </w:pPr>
      <w:r>
        <w:rPr>
          <w:sz w:val="24"/>
        </w:rPr>
        <w:t>基金产品资料概要是基金招募说明书的摘要文件，用于向投资者提供 </w:t>
      </w:r>
      <w:r>
        <w:rPr>
          <w:spacing w:val="-11"/>
          <w:sz w:val="24"/>
        </w:rPr>
        <w:t>简明的基金概要信息。《基金合同》生效后，基金产品资料概要的信息发生重大 </w:t>
      </w:r>
      <w:r>
        <w:rPr>
          <w:spacing w:val="-12"/>
          <w:sz w:val="24"/>
        </w:rPr>
        <w:t>变更的，基金管理人应当在三个工作日内，更新基金产品资料概要，并登载在指 </w:t>
      </w:r>
      <w:r>
        <w:rPr>
          <w:spacing w:val="-17"/>
          <w:sz w:val="24"/>
        </w:rPr>
        <w:t>定网站及基金销售机构网站或营业网点；基金产品资料概要其他信息发生变更的， </w:t>
      </w:r>
      <w:r>
        <w:rPr>
          <w:spacing w:val="-6"/>
          <w:sz w:val="24"/>
        </w:rPr>
        <w:t>基金管理人至少每年更新一次。基金终止运作的，基金管理人不再更新基金产品 资料概要。</w:t>
      </w:r>
    </w:p>
    <w:p>
      <w:pPr>
        <w:pStyle w:val="ListParagraph"/>
        <w:numPr>
          <w:ilvl w:val="0"/>
          <w:numId w:val="36"/>
        </w:numPr>
        <w:tabs>
          <w:tab w:pos="1248" w:val="left" w:leader="none"/>
        </w:tabs>
        <w:spacing w:line="364" w:lineRule="auto" w:before="4" w:after="0"/>
        <w:ind w:left="220" w:right="364" w:firstLine="419"/>
        <w:jc w:val="both"/>
        <w:rPr>
          <w:sz w:val="24"/>
        </w:rPr>
      </w:pPr>
      <w:r>
        <w:rPr>
          <w:sz w:val="24"/>
        </w:rPr>
        <w:t>基金募集申请经中国证监会核准后，基金管理人应当在基金份额发售</w:t>
      </w:r>
      <w:r>
        <w:rPr>
          <w:spacing w:val="3"/>
          <w:sz w:val="24"/>
        </w:rPr>
        <w:t>的 </w:t>
      </w:r>
      <w:r>
        <w:rPr>
          <w:rFonts w:ascii="Times New Roman" w:eastAsia="Times New Roman"/>
          <w:sz w:val="24"/>
        </w:rPr>
        <w:t>3</w:t>
      </w:r>
      <w:r>
        <w:rPr>
          <w:rFonts w:ascii="Times New Roman" w:eastAsia="Times New Roman"/>
          <w:spacing w:val="8"/>
          <w:sz w:val="24"/>
        </w:rPr>
        <w:t> </w:t>
      </w:r>
      <w:r>
        <w:rPr>
          <w:spacing w:val="-1"/>
          <w:sz w:val="24"/>
        </w:rPr>
        <w:t>日前，将基金招募说明书、基金合同摘要登载在指定报刊和网站上；基金</w:t>
      </w:r>
      <w:r>
        <w:rPr>
          <w:sz w:val="24"/>
        </w:rPr>
        <w:t>管理人、基金托管人应当同时将基金合同、基金托管协议登载在网站上。</w:t>
      </w:r>
    </w:p>
    <w:p>
      <w:pPr>
        <w:pStyle w:val="BodyText"/>
        <w:spacing w:before="2"/>
        <w:ind w:left="700"/>
      </w:pPr>
      <w:r>
        <w:rPr>
          <w:rFonts w:ascii="Times New Roman" w:eastAsia="Times New Roman"/>
        </w:rPr>
        <w:t>2</w:t>
      </w:r>
      <w:r>
        <w:rPr/>
        <w:t>、基金份额发售公告</w:t>
      </w:r>
    </w:p>
    <w:p>
      <w:pPr>
        <w:pStyle w:val="BodyText"/>
        <w:spacing w:line="364" w:lineRule="auto"/>
        <w:ind w:right="357" w:firstLine="479"/>
      </w:pPr>
      <w:r>
        <w:rPr>
          <w:spacing w:val="-5"/>
        </w:rPr>
        <w:t>基金管理人应当就基金份额发售的具体事宜编制基金份额发售公告，并在披</w:t>
      </w:r>
      <w:r>
        <w:rPr/>
        <w:t>露招募说明书的当日登载于指定媒介上。</w:t>
      </w:r>
    </w:p>
    <w:p>
      <w:pPr>
        <w:pStyle w:val="BodyText"/>
        <w:spacing w:before="1"/>
        <w:ind w:left="700"/>
      </w:pPr>
      <w:r>
        <w:rPr>
          <w:rFonts w:ascii="Times New Roman" w:eastAsia="Times New Roman"/>
        </w:rPr>
        <w:t>3</w:t>
      </w:r>
      <w:r>
        <w:rPr/>
        <w:t>、基金合同生效公告</w:t>
      </w:r>
    </w:p>
    <w:p>
      <w:pPr>
        <w:pStyle w:val="BodyText"/>
        <w:spacing w:line="364" w:lineRule="auto" w:before="160"/>
        <w:ind w:right="349" w:firstLine="479"/>
      </w:pPr>
      <w:r>
        <w:rPr/>
        <w:t>基金管理人应当在基金合同生效的次日在指定媒介上登载基金合同生效公告。</w:t>
      </w:r>
    </w:p>
    <w:p>
      <w:pPr>
        <w:pStyle w:val="BodyText"/>
        <w:spacing w:before="2"/>
        <w:ind w:left="700"/>
      </w:pPr>
      <w:r>
        <w:rPr>
          <w:rFonts w:ascii="Times New Roman" w:eastAsia="Times New Roman"/>
        </w:rPr>
        <w:t>4</w:t>
      </w:r>
      <w:r>
        <w:rPr/>
        <w:t>、基金份额上市交易公告书</w:t>
      </w:r>
    </w:p>
    <w:p>
      <w:pPr>
        <w:spacing w:after="0"/>
        <w:sectPr>
          <w:pgSz w:w="11910" w:h="16840"/>
          <w:pgMar w:header="874" w:footer="997" w:top="1380" w:bottom="1180" w:left="1580" w:right="1440"/>
        </w:sectPr>
      </w:pPr>
    </w:p>
    <w:p>
      <w:pPr>
        <w:pStyle w:val="BodyText"/>
        <w:spacing w:line="364" w:lineRule="auto" w:before="130"/>
        <w:ind w:right="357" w:firstLine="479"/>
      </w:pPr>
      <w:r>
        <w:rPr>
          <w:spacing w:val="-7"/>
        </w:rPr>
        <w:t>基金份额获准在证券交易所上市交易的，基金管理人应当在基金份额上市交</w:t>
      </w:r>
      <w:r>
        <w:rPr/>
        <w:t>易的三个工作日前，将基金份额上市交易公告书登载在指定媒介上。</w:t>
      </w:r>
    </w:p>
    <w:p>
      <w:pPr>
        <w:pStyle w:val="BodyText"/>
        <w:spacing w:before="1"/>
        <w:ind w:left="700"/>
      </w:pPr>
      <w:r>
        <w:rPr>
          <w:rFonts w:ascii="Times New Roman" w:eastAsia="Times New Roman"/>
        </w:rPr>
        <w:t>5</w:t>
      </w:r>
      <w:r>
        <w:rPr/>
        <w:t>、 基金净值信息</w:t>
      </w:r>
    </w:p>
    <w:p>
      <w:pPr>
        <w:pStyle w:val="BodyText"/>
        <w:spacing w:line="364" w:lineRule="auto" w:before="160"/>
        <w:ind w:right="361" w:firstLine="479"/>
      </w:pPr>
      <w:r>
        <w:rPr>
          <w:spacing w:val="-9"/>
        </w:rPr>
        <w:t>基金合同生效后，在开始办理基金份额申购或者赎回前，基金管理人应当至</w:t>
      </w:r>
      <w:r>
        <w:rPr/>
        <w:t>少每周公告一次基金资产净值和基金份额净值。</w:t>
      </w:r>
    </w:p>
    <w:p>
      <w:pPr>
        <w:pStyle w:val="BodyText"/>
        <w:spacing w:line="364" w:lineRule="auto" w:before="2"/>
        <w:ind w:right="356" w:firstLine="479"/>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358" w:firstLine="479"/>
      </w:pPr>
      <w:r>
        <w:rPr>
          <w:spacing w:val="-5"/>
        </w:rPr>
        <w:t>基金管理人应当在不晚于半年度和年度最后一日的次日，在指定网站披露半</w:t>
      </w:r>
      <w:r>
        <w:rPr/>
        <w:t>年度和年度最后一日的基金份额净值和基金份额累计净值。</w:t>
      </w:r>
    </w:p>
    <w:p>
      <w:pPr>
        <w:pStyle w:val="BodyText"/>
        <w:spacing w:before="1"/>
        <w:ind w:left="700"/>
      </w:pPr>
      <w:r>
        <w:rPr>
          <w:rFonts w:ascii="Times New Roman" w:eastAsia="Times New Roman"/>
        </w:rPr>
        <w:t>6</w:t>
      </w:r>
      <w:r>
        <w:rPr/>
        <w:t>、基金份额申购、赎回价格</w:t>
      </w:r>
    </w:p>
    <w:p>
      <w:pPr>
        <w:pStyle w:val="BodyText"/>
        <w:spacing w:line="364" w:lineRule="auto"/>
        <w:ind w:right="356" w:firstLine="479"/>
        <w:jc w:val="both"/>
      </w:pPr>
      <w:r>
        <w:rPr>
          <w:spacing w:val="-9"/>
        </w:rPr>
        <w:t>基金管理人应当在基金合同、招募说明书等信息披露文件上载明基金份额申</w:t>
      </w:r>
      <w:r>
        <w:rPr>
          <w:spacing w:val="-11"/>
        </w:rPr>
        <w:t>购、赎回价格的计算方式及有关申购、赎回费率，并保证投资人能够在基金销售</w:t>
      </w:r>
      <w:r>
        <w:rPr/>
        <w:t>机构网站或者营业网点查阅或者复制前述信息资料。</w:t>
      </w:r>
    </w:p>
    <w:p>
      <w:pPr>
        <w:pStyle w:val="BodyText"/>
        <w:spacing w:before="2"/>
        <w:ind w:left="700"/>
      </w:pPr>
      <w:r>
        <w:rPr>
          <w:rFonts w:ascii="Times New Roman" w:eastAsia="Times New Roman"/>
        </w:rPr>
        <w:t>7</w:t>
      </w:r>
      <w:r>
        <w:rPr/>
        <w:t>、基金定期报告，包括基金年度报告、基金中期报告和基金季度报告</w:t>
      </w:r>
    </w:p>
    <w:p>
      <w:pPr>
        <w:pStyle w:val="BodyText"/>
        <w:spacing w:line="364" w:lineRule="auto" w:before="160"/>
        <w:ind w:right="358" w:firstLine="479"/>
      </w:pPr>
      <w:r>
        <w:rPr>
          <w:spacing w:val="-6"/>
        </w:rPr>
        <w:t>基金管理人应当在每年结束之日起三个月内，编制完成基金年度报告，将年</w:t>
      </w:r>
      <w:r>
        <w:rPr/>
        <w:t>度报告登载在指定网站上，并将年度报告提示性公告登载在指定报刊上。</w:t>
      </w:r>
    </w:p>
    <w:p>
      <w:pPr>
        <w:pStyle w:val="BodyText"/>
        <w:spacing w:line="364" w:lineRule="auto" w:before="2"/>
        <w:ind w:right="406" w:firstLine="479"/>
      </w:pPr>
      <w:r>
        <w:rPr>
          <w:spacing w:val="-7"/>
        </w:rPr>
        <w:t>基金管理人应当在上半年结束之日起两个月内，编制完成基金中期报告，并</w:t>
      </w:r>
      <w:r>
        <w:rPr/>
        <w:t>将中期报告登载在指定网站上，将中期报告摘要登载在指定报刊上。</w:t>
      </w:r>
    </w:p>
    <w:p>
      <w:pPr>
        <w:pStyle w:val="BodyText"/>
        <w:spacing w:line="364" w:lineRule="auto" w:before="1"/>
        <w:ind w:right="117" w:firstLine="479"/>
      </w:pPr>
      <w:r>
        <w:rPr>
          <w:spacing w:val="-6"/>
        </w:rPr>
        <w:t>基金管理人应当在季度结束之日起十五个工作日内，编制完成基金季度报告， </w:t>
      </w:r>
      <w:r>
        <w:rPr/>
        <w:t>并将季度报告登载在指定网站上，并将季度报告提示性公告登载在指定报刊上。</w:t>
      </w:r>
    </w:p>
    <w:p>
      <w:pPr>
        <w:pStyle w:val="BodyText"/>
        <w:spacing w:line="364" w:lineRule="auto" w:before="2"/>
        <w:ind w:right="358" w:firstLine="479"/>
      </w:pPr>
      <w:r>
        <w:rPr>
          <w:spacing w:val="-7"/>
        </w:rPr>
        <w:t>基金合同生效不足两个月的，基金管理人可以不编制当期季度报告、中期报</w:t>
      </w:r>
      <w:r>
        <w:rPr/>
        <w:t>告或者年度报告。</w:t>
      </w:r>
    </w:p>
    <w:p>
      <w:pPr>
        <w:pStyle w:val="BodyText"/>
        <w:spacing w:line="364" w:lineRule="auto" w:before="1"/>
        <w:ind w:right="349" w:firstLine="479"/>
      </w:pPr>
      <w:r>
        <w:rPr/>
        <w:t>基金管理人应当在基金年度报告和中期报告中披露基金组合资产情况及其流动性风险分析等。</w:t>
      </w:r>
    </w:p>
    <w:p>
      <w:pPr>
        <w:pStyle w:val="BodyText"/>
        <w:spacing w:line="364" w:lineRule="auto" w:before="1"/>
        <w:ind w:right="358" w:firstLine="479"/>
        <w:jc w:val="both"/>
      </w:pPr>
      <w:r>
        <w:rPr>
          <w:spacing w:val="1"/>
        </w:rPr>
        <w:t>报告期内出现单一投资者持有基金份额比例达到或超过基金总份额 </w:t>
      </w:r>
      <w:r>
        <w:rPr>
          <w:rFonts w:ascii="Times New Roman" w:hAnsi="Times New Roman" w:eastAsia="Times New Roman"/>
        </w:rPr>
        <w:t>20%</w:t>
      </w:r>
      <w:r>
        <w:rPr/>
        <w:t>的</w:t>
      </w:r>
      <w:r>
        <w:rPr>
          <w:spacing w:val="-16"/>
        </w:rPr>
        <w:t>情形，为保障其他投资者的权益，基金管理人至少应当在基金定期报告文件中</w:t>
      </w:r>
      <w:r>
        <w:rPr>
          <w:rFonts w:ascii="Times New Roman" w:hAnsi="Times New Roman" w:eastAsia="Times New Roman"/>
        </w:rPr>
        <w:t>“</w:t>
      </w:r>
      <w:r>
        <w:rPr>
          <w:spacing w:val="-16"/>
        </w:rPr>
        <w:t>影</w:t>
      </w:r>
      <w:r>
        <w:rPr/>
        <w:t>响投资者决策的其他重要信息</w:t>
      </w:r>
      <w:r>
        <w:rPr>
          <w:rFonts w:ascii="Times New Roman" w:hAnsi="Times New Roman" w:eastAsia="Times New Roman"/>
        </w:rPr>
        <w:t>”</w:t>
      </w:r>
      <w:r>
        <w:rPr>
          <w:spacing w:val="-1"/>
        </w:rPr>
        <w:t>项下披露该投资者的类别、报告期末持有份额及</w:t>
      </w:r>
      <w:r>
        <w:rPr>
          <w:spacing w:val="-10"/>
        </w:rPr>
        <w:t>占比、报告期内持有份额变化情况及本基金的特有风险，中国证监会认定的特殊</w:t>
      </w:r>
    </w:p>
    <w:p>
      <w:pPr>
        <w:spacing w:after="0" w:line="364" w:lineRule="auto"/>
        <w:jc w:val="both"/>
        <w:sectPr>
          <w:pgSz w:w="11910" w:h="16840"/>
          <w:pgMar w:header="874" w:footer="997" w:top="1380" w:bottom="1180" w:left="1580" w:right="1440"/>
        </w:sectPr>
      </w:pPr>
    </w:p>
    <w:p>
      <w:pPr>
        <w:pStyle w:val="BodyText"/>
        <w:spacing w:before="130"/>
      </w:pPr>
      <w:r>
        <w:rPr/>
        <w:t>情形除外。</w:t>
      </w:r>
    </w:p>
    <w:p>
      <w:pPr>
        <w:pStyle w:val="BodyText"/>
        <w:spacing w:before="160"/>
        <w:ind w:left="700"/>
      </w:pPr>
      <w:r>
        <w:rPr/>
        <w:t>《基金法》及其他有关法律法规或中国证监会另有规定的，从其规定。</w:t>
      </w:r>
    </w:p>
    <w:p>
      <w:pPr>
        <w:pStyle w:val="BodyText"/>
        <w:ind w:left="700"/>
      </w:pPr>
      <w:r>
        <w:rPr>
          <w:rFonts w:ascii="Times New Roman" w:eastAsia="Times New Roman"/>
        </w:rPr>
        <w:t>8</w:t>
      </w:r>
      <w:r>
        <w:rPr/>
        <w:t>、临时报告</w:t>
      </w:r>
    </w:p>
    <w:p>
      <w:pPr>
        <w:pStyle w:val="BodyText"/>
        <w:spacing w:line="364" w:lineRule="auto" w:before="160"/>
        <w:ind w:right="357" w:firstLine="479"/>
        <w:jc w:val="both"/>
      </w:pPr>
      <w:r>
        <w:rPr>
          <w:spacing w:val="-11"/>
        </w:rPr>
        <w:t>基金发生重大事件，即可能对基金份额持有人权益或者基金份额的价格产生</w:t>
      </w:r>
      <w:r>
        <w:rPr>
          <w:spacing w:val="-9"/>
        </w:rPr>
        <w:t>重大影响的事件，有关信息披露义务人应当在两日内编制临时报告书，并登载在</w:t>
      </w:r>
      <w:r>
        <w:rPr/>
        <w:t>指定报刊和指定网站上。</w:t>
      </w:r>
    </w:p>
    <w:p>
      <w:pPr>
        <w:pStyle w:val="BodyText"/>
        <w:spacing w:before="2"/>
        <w:ind w:left="700"/>
      </w:pPr>
      <w:r>
        <w:rPr/>
        <w:t>重大事件报告：</w:t>
      </w:r>
    </w:p>
    <w:p>
      <w:pPr>
        <w:pStyle w:val="ListParagraph"/>
        <w:numPr>
          <w:ilvl w:val="0"/>
          <w:numId w:val="37"/>
        </w:numPr>
        <w:tabs>
          <w:tab w:pos="1062" w:val="left" w:leader="none"/>
        </w:tabs>
        <w:spacing w:line="240" w:lineRule="auto" w:before="161" w:after="0"/>
        <w:ind w:left="1061" w:right="0" w:hanging="362"/>
        <w:jc w:val="left"/>
        <w:rPr>
          <w:rFonts w:ascii="Times New Roman" w:eastAsia="Times New Roman"/>
          <w:sz w:val="22"/>
        </w:rPr>
      </w:pPr>
      <w:r>
        <w:rPr>
          <w:sz w:val="24"/>
        </w:rPr>
        <w:t>基金份额持有人大会的召开及决定的事项；</w:t>
      </w:r>
    </w:p>
    <w:p>
      <w:pPr>
        <w:pStyle w:val="ListParagraph"/>
        <w:numPr>
          <w:ilvl w:val="0"/>
          <w:numId w:val="37"/>
        </w:numPr>
        <w:tabs>
          <w:tab w:pos="1062" w:val="left" w:leader="none"/>
        </w:tabs>
        <w:spacing w:line="240" w:lineRule="auto" w:before="161" w:after="0"/>
        <w:ind w:left="1061" w:right="0" w:hanging="362"/>
        <w:jc w:val="left"/>
        <w:rPr>
          <w:rFonts w:ascii="Times New Roman" w:eastAsia="Times New Roman"/>
          <w:sz w:val="22"/>
        </w:rPr>
      </w:pPr>
      <w:r>
        <w:rPr>
          <w:sz w:val="24"/>
        </w:rPr>
        <w:t>基金合同终止、基金清算；</w:t>
      </w:r>
    </w:p>
    <w:p>
      <w:pPr>
        <w:pStyle w:val="ListParagraph"/>
        <w:numPr>
          <w:ilvl w:val="0"/>
          <w:numId w:val="37"/>
        </w:numPr>
        <w:tabs>
          <w:tab w:pos="1062" w:val="left" w:leader="none"/>
        </w:tabs>
        <w:spacing w:line="240" w:lineRule="auto" w:before="160" w:after="0"/>
        <w:ind w:left="1061" w:right="0" w:hanging="362"/>
        <w:jc w:val="left"/>
        <w:rPr>
          <w:rFonts w:ascii="Times New Roman" w:eastAsia="Times New Roman"/>
          <w:sz w:val="22"/>
        </w:rPr>
      </w:pPr>
      <w:r>
        <w:rPr>
          <w:sz w:val="24"/>
        </w:rPr>
        <w:t>转换基金运作方式、基金合并；</w:t>
      </w:r>
    </w:p>
    <w:p>
      <w:pPr>
        <w:pStyle w:val="ListParagraph"/>
        <w:numPr>
          <w:ilvl w:val="0"/>
          <w:numId w:val="37"/>
        </w:numPr>
        <w:tabs>
          <w:tab w:pos="1062" w:val="left" w:leader="none"/>
        </w:tabs>
        <w:spacing w:line="364" w:lineRule="auto" w:before="161" w:after="0"/>
        <w:ind w:left="220" w:right="364" w:firstLine="479"/>
        <w:jc w:val="left"/>
        <w:rPr>
          <w:rFonts w:ascii="Times New Roman" w:eastAsia="Times New Roman"/>
          <w:sz w:val="22"/>
        </w:rPr>
      </w:pPr>
      <w:r>
        <w:rPr>
          <w:spacing w:val="-1"/>
          <w:sz w:val="24"/>
        </w:rPr>
        <w:t>更换基金管理人、基金托管人、基金份额登记机构，基金改聘会计师事</w:t>
      </w:r>
      <w:r>
        <w:rPr>
          <w:sz w:val="24"/>
        </w:rPr>
        <w:t>务所；</w:t>
      </w:r>
    </w:p>
    <w:p>
      <w:pPr>
        <w:pStyle w:val="ListParagraph"/>
        <w:numPr>
          <w:ilvl w:val="0"/>
          <w:numId w:val="37"/>
        </w:numPr>
        <w:tabs>
          <w:tab w:pos="1062" w:val="left" w:leader="none"/>
        </w:tabs>
        <w:spacing w:line="364" w:lineRule="auto" w:before="1" w:after="0"/>
        <w:ind w:left="220" w:right="242" w:firstLine="479"/>
        <w:jc w:val="left"/>
        <w:rPr>
          <w:rFonts w:ascii="Times New Roman" w:eastAsia="Times New Roman"/>
          <w:sz w:val="22"/>
        </w:rPr>
      </w:pPr>
      <w:r>
        <w:rPr>
          <w:sz w:val="24"/>
        </w:rPr>
        <w:t>基金管理人委托基金服务机构代为办理基金的份额登记、核算、估值等</w:t>
      </w:r>
      <w:r>
        <w:rPr>
          <w:spacing w:val="-1"/>
          <w:sz w:val="24"/>
        </w:rPr>
        <w:t>事项，基金托管人委托基金服务机构代为办理基金的核算、估值、复核等事项；</w:t>
      </w:r>
    </w:p>
    <w:p>
      <w:pPr>
        <w:pStyle w:val="ListParagraph"/>
        <w:numPr>
          <w:ilvl w:val="0"/>
          <w:numId w:val="37"/>
        </w:numPr>
        <w:tabs>
          <w:tab w:pos="1062" w:val="left" w:leader="none"/>
        </w:tabs>
        <w:spacing w:line="240" w:lineRule="auto" w:before="1" w:after="0"/>
        <w:ind w:left="1061" w:right="0" w:hanging="362"/>
        <w:jc w:val="left"/>
        <w:rPr>
          <w:rFonts w:ascii="Times New Roman" w:eastAsia="Times New Roman"/>
          <w:sz w:val="22"/>
        </w:rPr>
      </w:pPr>
      <w:r>
        <w:rPr>
          <w:sz w:val="24"/>
        </w:rPr>
        <w:t>基金管理人、基金托管人的法定名称、住所发生变更；</w:t>
      </w:r>
    </w:p>
    <w:p>
      <w:pPr>
        <w:pStyle w:val="ListParagraph"/>
        <w:numPr>
          <w:ilvl w:val="0"/>
          <w:numId w:val="37"/>
        </w:numPr>
        <w:tabs>
          <w:tab w:pos="1062" w:val="left" w:leader="none"/>
        </w:tabs>
        <w:spacing w:line="364" w:lineRule="auto" w:before="161" w:after="0"/>
        <w:ind w:left="220" w:right="363" w:firstLine="479"/>
        <w:jc w:val="left"/>
        <w:rPr>
          <w:rFonts w:ascii="Times New Roman" w:eastAsia="Times New Roman"/>
          <w:sz w:val="22"/>
        </w:rPr>
      </w:pPr>
      <w:r>
        <w:rPr>
          <w:spacing w:val="-1"/>
          <w:sz w:val="24"/>
        </w:rPr>
        <w:t>基金管理人变更持有百分之五以上股权的股东、基金管理人的实际控制</w:t>
      </w:r>
      <w:r>
        <w:rPr>
          <w:sz w:val="24"/>
        </w:rPr>
        <w:t>人变更；</w:t>
      </w:r>
    </w:p>
    <w:p>
      <w:pPr>
        <w:pStyle w:val="ListParagraph"/>
        <w:numPr>
          <w:ilvl w:val="0"/>
          <w:numId w:val="37"/>
        </w:numPr>
        <w:tabs>
          <w:tab w:pos="1062" w:val="left" w:leader="none"/>
        </w:tabs>
        <w:spacing w:line="240" w:lineRule="auto" w:before="1" w:after="0"/>
        <w:ind w:left="1061" w:right="0" w:hanging="362"/>
        <w:jc w:val="left"/>
        <w:rPr>
          <w:sz w:val="22"/>
        </w:rPr>
      </w:pPr>
      <w:r>
        <w:rPr>
          <w:sz w:val="24"/>
        </w:rPr>
        <w:t>基金募集期延长；</w:t>
      </w:r>
    </w:p>
    <w:p>
      <w:pPr>
        <w:pStyle w:val="ListParagraph"/>
        <w:numPr>
          <w:ilvl w:val="0"/>
          <w:numId w:val="37"/>
        </w:numPr>
        <w:tabs>
          <w:tab w:pos="1062" w:val="left" w:leader="none"/>
        </w:tabs>
        <w:spacing w:line="364" w:lineRule="auto" w:before="161" w:after="0"/>
        <w:ind w:left="220" w:right="361" w:firstLine="479"/>
        <w:jc w:val="left"/>
        <w:rPr>
          <w:rFonts w:ascii="Times New Roman" w:eastAsia="Times New Roman"/>
          <w:sz w:val="22"/>
        </w:rPr>
      </w:pPr>
      <w:r>
        <w:rPr>
          <w:spacing w:val="-1"/>
          <w:sz w:val="24"/>
        </w:rPr>
        <w:t>基金管理人的高级管理人员、基金经理和基金托管人专门基金托管部门</w:t>
      </w:r>
      <w:r>
        <w:rPr>
          <w:sz w:val="24"/>
        </w:rPr>
        <w:t>负责人发生变动；</w:t>
      </w:r>
    </w:p>
    <w:p>
      <w:pPr>
        <w:pStyle w:val="ListParagraph"/>
        <w:numPr>
          <w:ilvl w:val="0"/>
          <w:numId w:val="37"/>
        </w:numPr>
        <w:tabs>
          <w:tab w:pos="1182" w:val="left" w:leader="none"/>
        </w:tabs>
        <w:spacing w:line="364" w:lineRule="auto" w:before="1" w:after="0"/>
        <w:ind w:left="220" w:right="356" w:firstLine="479"/>
        <w:jc w:val="left"/>
        <w:rPr>
          <w:rFonts w:ascii="Times New Roman" w:eastAsia="Times New Roman"/>
          <w:sz w:val="22"/>
        </w:rPr>
      </w:pPr>
      <w:r>
        <w:rPr>
          <w:spacing w:val="-3"/>
          <w:sz w:val="24"/>
        </w:rPr>
        <w:t>基金管理人的董事在最近 </w:t>
      </w:r>
      <w:r>
        <w:rPr>
          <w:sz w:val="24"/>
        </w:rPr>
        <w:t>12</w:t>
      </w:r>
      <w:r>
        <w:rPr>
          <w:spacing w:val="-10"/>
          <w:sz w:val="24"/>
        </w:rPr>
        <w:t> 个月变更超过 </w:t>
      </w:r>
      <w:r>
        <w:rPr>
          <w:sz w:val="24"/>
        </w:rPr>
        <w:t>50%，</w:t>
      </w:r>
      <w:r>
        <w:rPr>
          <w:spacing w:val="-2"/>
          <w:sz w:val="24"/>
        </w:rPr>
        <w:t>基金管理人、基金托</w:t>
      </w:r>
      <w:r>
        <w:rPr>
          <w:spacing w:val="-3"/>
          <w:sz w:val="24"/>
        </w:rPr>
        <w:t>管人专门基金托管部门的主要业务人员在最近 </w:t>
      </w:r>
      <w:r>
        <w:rPr>
          <w:sz w:val="24"/>
        </w:rPr>
        <w:t>12</w:t>
      </w:r>
      <w:r>
        <w:rPr>
          <w:spacing w:val="-14"/>
          <w:sz w:val="24"/>
        </w:rPr>
        <w:t> 个月内变动超过 </w:t>
      </w:r>
      <w:r>
        <w:rPr>
          <w:sz w:val="24"/>
        </w:rPr>
        <w:t>30%；</w:t>
      </w:r>
    </w:p>
    <w:p>
      <w:pPr>
        <w:pStyle w:val="ListParagraph"/>
        <w:numPr>
          <w:ilvl w:val="0"/>
          <w:numId w:val="37"/>
        </w:numPr>
        <w:tabs>
          <w:tab w:pos="1172" w:val="left" w:leader="none"/>
        </w:tabs>
        <w:spacing w:line="240" w:lineRule="auto" w:before="2" w:after="0"/>
        <w:ind w:left="1171" w:right="0" w:hanging="472"/>
        <w:jc w:val="left"/>
        <w:rPr>
          <w:rFonts w:ascii="Times New Roman" w:eastAsia="Times New Roman"/>
          <w:sz w:val="22"/>
        </w:rPr>
      </w:pPr>
      <w:r>
        <w:rPr>
          <w:sz w:val="24"/>
        </w:rPr>
        <w:t>涉及基金财产、基金管理业务、基金托管业务的诉讼或仲裁；</w:t>
      </w:r>
    </w:p>
    <w:p>
      <w:pPr>
        <w:pStyle w:val="ListParagraph"/>
        <w:numPr>
          <w:ilvl w:val="0"/>
          <w:numId w:val="37"/>
        </w:numPr>
        <w:tabs>
          <w:tab w:pos="1182" w:val="left" w:leader="none"/>
        </w:tabs>
        <w:spacing w:line="364" w:lineRule="auto" w:before="160" w:after="0"/>
        <w:ind w:left="220" w:right="359" w:firstLine="479"/>
        <w:jc w:val="both"/>
        <w:rPr>
          <w:rFonts w:ascii="Times New Roman" w:eastAsia="Times New Roman"/>
          <w:sz w:val="22"/>
        </w:rPr>
      </w:pPr>
      <w:r>
        <w:rPr>
          <w:spacing w:val="-4"/>
          <w:sz w:val="24"/>
        </w:rPr>
        <w:t>基金管理人或其高级管理人员、基金经理因基金管理业务相关行为受</w:t>
      </w:r>
      <w:r>
        <w:rPr>
          <w:spacing w:val="-12"/>
          <w:sz w:val="24"/>
        </w:rPr>
        <w:t>到重大行政处罚、刑事处罚，基金托管人或其专门基金托管部门负责人因基金托</w:t>
      </w:r>
      <w:r>
        <w:rPr>
          <w:spacing w:val="-4"/>
          <w:sz w:val="24"/>
        </w:rPr>
        <w:t>管业务相关行为受到重大行政处罚、刑事处罚；</w:t>
      </w:r>
    </w:p>
    <w:p>
      <w:pPr>
        <w:pStyle w:val="ListParagraph"/>
        <w:numPr>
          <w:ilvl w:val="0"/>
          <w:numId w:val="37"/>
        </w:numPr>
        <w:tabs>
          <w:tab w:pos="1182" w:val="left" w:leader="none"/>
        </w:tabs>
        <w:spacing w:line="364" w:lineRule="auto" w:before="2" w:after="0"/>
        <w:ind w:left="220" w:right="244" w:firstLine="479"/>
        <w:jc w:val="left"/>
        <w:rPr>
          <w:rFonts w:ascii="Times New Roman" w:eastAsia="Times New Roman"/>
          <w:sz w:val="22"/>
        </w:rPr>
      </w:pPr>
      <w:r>
        <w:rPr>
          <w:spacing w:val="-1"/>
          <w:sz w:val="24"/>
        </w:rPr>
        <w:t>基金管理人运用基金财产买卖基金管理人、基金托管人及其控股股东、</w:t>
      </w:r>
      <w:r>
        <w:rPr>
          <w:sz w:val="24"/>
        </w:rPr>
        <w:t>实际控制人或者与其有重大利害关系的公司发行的证券或者承销期内承销的证券，或者从事其他重大关联交易事项，但中国证监会另有规定的除外；</w:t>
      </w:r>
    </w:p>
    <w:p>
      <w:pPr>
        <w:spacing w:after="0" w:line="364" w:lineRule="auto"/>
        <w:jc w:val="left"/>
        <w:rPr>
          <w:rFonts w:ascii="Times New Roman" w:eastAsia="Times New Roman"/>
          <w:sz w:val="22"/>
        </w:rPr>
        <w:sectPr>
          <w:pgSz w:w="11910" w:h="16840"/>
          <w:pgMar w:header="874" w:footer="997" w:top="1380" w:bottom="1180" w:left="1580" w:right="1440"/>
        </w:sectPr>
      </w:pPr>
    </w:p>
    <w:p>
      <w:pPr>
        <w:pStyle w:val="ListParagraph"/>
        <w:numPr>
          <w:ilvl w:val="0"/>
          <w:numId w:val="37"/>
        </w:numPr>
        <w:tabs>
          <w:tab w:pos="1182" w:val="left" w:leader="none"/>
        </w:tabs>
        <w:spacing w:line="240" w:lineRule="auto" w:before="130" w:after="0"/>
        <w:ind w:left="1181" w:right="0" w:hanging="482"/>
        <w:jc w:val="left"/>
        <w:rPr>
          <w:rFonts w:ascii="Times New Roman" w:eastAsia="Times New Roman"/>
          <w:sz w:val="22"/>
        </w:rPr>
      </w:pPr>
      <w:r>
        <w:rPr>
          <w:sz w:val="24"/>
        </w:rPr>
        <w:t>基金收益分配事项；</w:t>
      </w:r>
    </w:p>
    <w:p>
      <w:pPr>
        <w:pStyle w:val="ListParagraph"/>
        <w:numPr>
          <w:ilvl w:val="0"/>
          <w:numId w:val="37"/>
        </w:numPr>
        <w:tabs>
          <w:tab w:pos="1182" w:val="left" w:leader="none"/>
        </w:tabs>
        <w:spacing w:line="364" w:lineRule="auto" w:before="160" w:after="0"/>
        <w:ind w:left="220" w:right="359" w:firstLine="479"/>
        <w:jc w:val="left"/>
        <w:rPr>
          <w:rFonts w:ascii="Times New Roman" w:eastAsia="Times New Roman"/>
          <w:sz w:val="22"/>
        </w:rPr>
      </w:pPr>
      <w:r>
        <w:rPr>
          <w:spacing w:val="-10"/>
          <w:sz w:val="24"/>
        </w:rPr>
        <w:t>管理费、托管费、销售服务费、申购费、赎回费等费用计提标准、计提</w:t>
      </w:r>
      <w:r>
        <w:rPr>
          <w:sz w:val="24"/>
        </w:rPr>
        <w:t>方式和费率发生变更；</w:t>
      </w:r>
    </w:p>
    <w:p>
      <w:pPr>
        <w:pStyle w:val="ListParagraph"/>
        <w:numPr>
          <w:ilvl w:val="0"/>
          <w:numId w:val="37"/>
        </w:numPr>
        <w:tabs>
          <w:tab w:pos="1182" w:val="left" w:leader="none"/>
        </w:tabs>
        <w:spacing w:line="240" w:lineRule="auto" w:before="1" w:after="0"/>
        <w:ind w:left="1181" w:right="0" w:hanging="482"/>
        <w:jc w:val="left"/>
        <w:rPr>
          <w:rFonts w:ascii="Times New Roman" w:eastAsia="Times New Roman"/>
          <w:sz w:val="22"/>
        </w:rPr>
      </w:pPr>
      <w:r>
        <w:rPr>
          <w:sz w:val="24"/>
        </w:rPr>
        <w:t>基金份额净值计价错误达基金份额净值百分之零点五；</w:t>
      </w:r>
    </w:p>
    <w:p>
      <w:pPr>
        <w:pStyle w:val="ListParagraph"/>
        <w:numPr>
          <w:ilvl w:val="0"/>
          <w:numId w:val="37"/>
        </w:numPr>
        <w:tabs>
          <w:tab w:pos="1182" w:val="left" w:leader="none"/>
        </w:tabs>
        <w:spacing w:line="240" w:lineRule="auto" w:before="161" w:after="0"/>
        <w:ind w:left="1181" w:right="0" w:hanging="482"/>
        <w:jc w:val="left"/>
        <w:rPr>
          <w:rFonts w:ascii="Times New Roman" w:eastAsia="Times New Roman"/>
          <w:sz w:val="22"/>
        </w:rPr>
      </w:pPr>
      <w:r>
        <w:rPr>
          <w:sz w:val="24"/>
        </w:rPr>
        <w:t>基金开始办理申购、赎回；</w:t>
      </w:r>
    </w:p>
    <w:p>
      <w:pPr>
        <w:pStyle w:val="ListParagraph"/>
        <w:numPr>
          <w:ilvl w:val="0"/>
          <w:numId w:val="37"/>
        </w:numPr>
        <w:tabs>
          <w:tab w:pos="1182" w:val="left" w:leader="none"/>
        </w:tabs>
        <w:spacing w:line="240" w:lineRule="auto" w:before="160" w:after="0"/>
        <w:ind w:left="1181" w:right="0" w:hanging="482"/>
        <w:jc w:val="left"/>
        <w:rPr>
          <w:rFonts w:ascii="Times New Roman" w:eastAsia="Times New Roman"/>
          <w:sz w:val="22"/>
        </w:rPr>
      </w:pPr>
      <w:r>
        <w:rPr>
          <w:sz w:val="24"/>
        </w:rPr>
        <w:t>基金发生巨额赎回并延期办理；</w:t>
      </w:r>
    </w:p>
    <w:p>
      <w:pPr>
        <w:pStyle w:val="ListParagraph"/>
        <w:numPr>
          <w:ilvl w:val="0"/>
          <w:numId w:val="37"/>
        </w:numPr>
        <w:tabs>
          <w:tab w:pos="1182" w:val="left" w:leader="none"/>
        </w:tabs>
        <w:spacing w:line="240" w:lineRule="auto" w:before="161" w:after="0"/>
        <w:ind w:left="1181" w:right="0" w:hanging="482"/>
        <w:jc w:val="left"/>
        <w:rPr>
          <w:rFonts w:ascii="Times New Roman" w:eastAsia="Times New Roman"/>
          <w:sz w:val="22"/>
        </w:rPr>
      </w:pPr>
      <w:r>
        <w:rPr>
          <w:sz w:val="24"/>
        </w:rPr>
        <w:t>基金连续发生巨额赎回并暂停接受赎回申请或延缓支付赎回款项；</w:t>
      </w:r>
    </w:p>
    <w:p>
      <w:pPr>
        <w:pStyle w:val="ListParagraph"/>
        <w:numPr>
          <w:ilvl w:val="0"/>
          <w:numId w:val="37"/>
        </w:numPr>
        <w:tabs>
          <w:tab w:pos="1182" w:val="left" w:leader="none"/>
        </w:tabs>
        <w:spacing w:line="240" w:lineRule="auto" w:before="161" w:after="0"/>
        <w:ind w:left="1181" w:right="0" w:hanging="482"/>
        <w:jc w:val="left"/>
        <w:rPr>
          <w:rFonts w:ascii="Times New Roman" w:eastAsia="Times New Roman"/>
          <w:sz w:val="22"/>
        </w:rPr>
      </w:pPr>
      <w:r>
        <w:rPr>
          <w:sz w:val="24"/>
        </w:rPr>
        <w:t>基金暂停接受申购、赎回申请或重新接受申购、赎回申请；</w:t>
      </w:r>
    </w:p>
    <w:p>
      <w:pPr>
        <w:pStyle w:val="ListParagraph"/>
        <w:numPr>
          <w:ilvl w:val="0"/>
          <w:numId w:val="37"/>
        </w:numPr>
        <w:tabs>
          <w:tab w:pos="1182" w:val="left" w:leader="none"/>
        </w:tabs>
        <w:spacing w:line="364" w:lineRule="auto" w:before="160" w:after="0"/>
        <w:ind w:left="220" w:right="361" w:firstLine="479"/>
        <w:jc w:val="left"/>
        <w:rPr>
          <w:rFonts w:ascii="Times New Roman" w:eastAsia="Times New Roman"/>
          <w:sz w:val="22"/>
        </w:rPr>
      </w:pPr>
      <w:r>
        <w:rPr>
          <w:spacing w:val="-4"/>
          <w:sz w:val="24"/>
        </w:rPr>
        <w:t>本基金发生涉及基金申购、赎回事项调整或潜在影响投资者赎回的重</w:t>
      </w:r>
      <w:r>
        <w:rPr>
          <w:spacing w:val="-5"/>
          <w:sz w:val="24"/>
        </w:rPr>
        <w:t>大事项时；</w:t>
      </w:r>
    </w:p>
    <w:p>
      <w:pPr>
        <w:pStyle w:val="ListParagraph"/>
        <w:numPr>
          <w:ilvl w:val="0"/>
          <w:numId w:val="37"/>
        </w:numPr>
        <w:tabs>
          <w:tab w:pos="1182" w:val="left" w:leader="none"/>
        </w:tabs>
        <w:spacing w:line="240" w:lineRule="auto" w:before="2" w:after="0"/>
        <w:ind w:left="1181" w:right="0" w:hanging="482"/>
        <w:jc w:val="left"/>
        <w:rPr>
          <w:rFonts w:ascii="Times New Roman" w:eastAsia="Times New Roman"/>
          <w:sz w:val="22"/>
        </w:rPr>
      </w:pPr>
      <w:r>
        <w:rPr>
          <w:sz w:val="24"/>
        </w:rPr>
        <w:t>基金管理人采用摆动定价机制进行估值；</w:t>
      </w:r>
    </w:p>
    <w:p>
      <w:pPr>
        <w:pStyle w:val="ListParagraph"/>
        <w:numPr>
          <w:ilvl w:val="0"/>
          <w:numId w:val="37"/>
        </w:numPr>
        <w:tabs>
          <w:tab w:pos="1182" w:val="left" w:leader="none"/>
        </w:tabs>
        <w:spacing w:line="364" w:lineRule="auto" w:before="160" w:after="0"/>
        <w:ind w:left="220" w:right="357" w:firstLine="479"/>
        <w:jc w:val="left"/>
        <w:rPr>
          <w:rFonts w:ascii="Times New Roman" w:eastAsia="Times New Roman"/>
          <w:sz w:val="22"/>
        </w:rPr>
      </w:pPr>
      <w:r>
        <w:rPr>
          <w:sz w:val="24"/>
        </w:rPr>
        <w:t>基金信息披露义务人认为可能对基金份额持有人权益或者基金份额的</w:t>
      </w:r>
      <w:r>
        <w:rPr>
          <w:spacing w:val="-4"/>
          <w:sz w:val="24"/>
        </w:rPr>
        <w:t>价格产生重大影响的其他事项或中国证监会规定的其他事项。</w:t>
      </w:r>
    </w:p>
    <w:p>
      <w:pPr>
        <w:pStyle w:val="BodyText"/>
        <w:spacing w:before="1"/>
        <w:ind w:left="700"/>
      </w:pPr>
      <w:r>
        <w:rPr>
          <w:rFonts w:ascii="Times New Roman" w:eastAsia="Times New Roman"/>
        </w:rPr>
        <w:t>9</w:t>
      </w:r>
      <w:r>
        <w:rPr/>
        <w:t>、基金份额持有人大会决议</w:t>
      </w:r>
    </w:p>
    <w:p>
      <w:pPr>
        <w:pStyle w:val="BodyText"/>
        <w:spacing w:line="364" w:lineRule="auto"/>
        <w:ind w:right="357" w:firstLine="479"/>
      </w:pPr>
      <w:r>
        <w:rPr>
          <w:spacing w:val="-9"/>
        </w:rPr>
        <w:t>召开基金份额持有人大会的，召集人应当至少提前三十日公告基金份额持有</w:t>
      </w:r>
      <w:r>
        <w:rPr/>
        <w:t>人大会的召开时间、会议形式、审议事项、议事程序和表决方式等事项。</w:t>
      </w:r>
    </w:p>
    <w:p>
      <w:pPr>
        <w:pStyle w:val="BodyText"/>
        <w:spacing w:line="364" w:lineRule="auto" w:before="2"/>
        <w:ind w:right="357" w:firstLine="479"/>
        <w:jc w:val="both"/>
      </w:pPr>
      <w:r>
        <w:rPr>
          <w:spacing w:val="-6"/>
        </w:rPr>
        <w:t>基金份额持有人依法自行召集持有人大会，基金管理人、基金托管人对基金</w:t>
      </w:r>
      <w:r>
        <w:rPr>
          <w:spacing w:val="-5"/>
        </w:rPr>
        <w:t>份额持有人大会决定的事项不依法履行信息披露义务的，召集人应当履行相关信</w:t>
      </w:r>
      <w:r>
        <w:rPr/>
        <w:t>息披露义务。</w:t>
      </w:r>
    </w:p>
    <w:p>
      <w:pPr>
        <w:pStyle w:val="BodyText"/>
        <w:spacing w:before="1"/>
        <w:ind w:left="700"/>
      </w:pPr>
      <w:r>
        <w:rPr>
          <w:rFonts w:ascii="Times New Roman" w:eastAsia="Times New Roman"/>
        </w:rPr>
        <w:t>10</w:t>
      </w:r>
      <w:r>
        <w:rPr/>
        <w:t>、澄清公告</w:t>
      </w:r>
    </w:p>
    <w:p>
      <w:pPr>
        <w:pStyle w:val="BodyText"/>
        <w:spacing w:line="364" w:lineRule="auto"/>
        <w:ind w:right="356" w:firstLine="479"/>
        <w:jc w:val="both"/>
      </w:pPr>
      <w:r>
        <w:rPr>
          <w:spacing w:val="-11"/>
        </w:rPr>
        <w:t>在基金合同期限内，任何公共媒介中出现的或者在市场上流传的消息可能对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3"/>
        <w:ind w:left="700"/>
      </w:pPr>
      <w:r>
        <w:rPr>
          <w:rFonts w:ascii="Times New Roman" w:eastAsia="Times New Roman"/>
        </w:rPr>
        <w:t>11</w:t>
      </w:r>
      <w:r>
        <w:rPr/>
        <w:t>、清算报告</w:t>
      </w:r>
    </w:p>
    <w:p>
      <w:pPr>
        <w:pStyle w:val="BodyText"/>
        <w:spacing w:line="364" w:lineRule="auto" w:before="160"/>
        <w:ind w:right="244"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3"/>
        <w:ind w:left="700"/>
      </w:pPr>
      <w:r>
        <w:rPr/>
        <w:t>12、中国证监会规定的其他信息。</w:t>
      </w:r>
    </w:p>
    <w:p>
      <w:pPr>
        <w:spacing w:after="0"/>
        <w:sectPr>
          <w:pgSz w:w="11910" w:h="16840"/>
          <w:pgMar w:header="874" w:footer="997" w:top="1380" w:bottom="1180" w:left="1580" w:right="1440"/>
        </w:sectPr>
      </w:pPr>
    </w:p>
    <w:p>
      <w:pPr>
        <w:pStyle w:val="BodyText"/>
        <w:spacing w:before="130"/>
        <w:ind w:left="700"/>
      </w:pPr>
      <w:r>
        <w:rPr/>
        <w:t>(六)信息披露事务管理</w:t>
      </w:r>
    </w:p>
    <w:p>
      <w:pPr>
        <w:pStyle w:val="BodyText"/>
        <w:spacing w:line="364" w:lineRule="auto" w:before="160"/>
        <w:ind w:right="35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before="1"/>
        <w:ind w:right="357" w:firstLine="479"/>
      </w:pPr>
      <w:r>
        <w:rPr>
          <w:spacing w:val="-7"/>
        </w:rPr>
        <w:t>基金信息披露义务人公开披露基金信息，应当符合中国证监会相关基金信息</w:t>
      </w:r>
      <w:r>
        <w:rPr/>
        <w:t>披露内容与格式准则等法律法规规定。</w:t>
      </w:r>
    </w:p>
    <w:p>
      <w:pPr>
        <w:pStyle w:val="BodyText"/>
        <w:spacing w:line="364" w:lineRule="auto" w:before="2"/>
        <w:ind w:right="244" w:firstLine="479"/>
      </w:pPr>
      <w:r>
        <w:rPr>
          <w:spacing w:val="-1"/>
        </w:rPr>
        <w:t>基金托管人应当按照相关法律法规、中国证监会的规定和基金合同的约定， 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3"/>
        <w:ind w:right="242"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1"/>
        <w:ind w:right="242" w:firstLine="479"/>
        <w:jc w:val="both"/>
      </w:pPr>
      <w:r>
        <w:rPr>
          <w:spacing w:val="-9"/>
        </w:rPr>
        <w:t>基金管理人、基金托管人除依法在指定媒介上披露信息外，还可以根据需要</w:t>
      </w:r>
      <w:r>
        <w:rPr>
          <w:spacing w:val="-14"/>
        </w:rPr>
        <w:t>在其他公共媒介披露信息，但是其他公共媒介不得早于指定媒介和基金上市交易</w:t>
      </w:r>
      <w:r>
        <w:rPr>
          <w:spacing w:val="-15"/>
        </w:rPr>
        <w:t>的证券交易所网站披露信息，并且在不同媒介上披露同一信息的内容应当一致。</w:t>
      </w:r>
    </w:p>
    <w:p>
      <w:pPr>
        <w:pStyle w:val="BodyText"/>
        <w:spacing w:line="364" w:lineRule="auto" w:before="3"/>
        <w:ind w:right="35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700"/>
      </w:pPr>
      <w:r>
        <w:rPr/>
        <w:t>(七)信息披露文件的存放与查阅</w:t>
      </w:r>
    </w:p>
    <w:p>
      <w:pPr>
        <w:pStyle w:val="BodyText"/>
        <w:spacing w:line="364" w:lineRule="auto"/>
        <w:ind w:right="241" w:firstLine="479"/>
      </w:pPr>
      <w:r>
        <w:rPr>
          <w:spacing w:val="-7"/>
        </w:rPr>
        <w:t>依法必须披露的信息发布后，基金管理人、基金托管人应当按照相关法律法</w:t>
      </w:r>
      <w:r>
        <w:rPr>
          <w:spacing w:val="-8"/>
        </w:rPr>
        <w:t>规规定将信息置备于各自住所和基金上市交易的证券交易所，供社会公众查阅、</w:t>
      </w:r>
      <w:r>
        <w:rPr/>
        <w:t>复制。</w:t>
      </w:r>
    </w:p>
    <w:p>
      <w:pPr>
        <w:pStyle w:val="BodyText"/>
        <w:spacing w:before="2"/>
        <w:ind w:left="700"/>
      </w:pPr>
      <w:r>
        <w:rPr/>
        <w:t>（八）本基金信息披露事项以法律法规规定及本章节约定的内容为准。</w:t>
      </w:r>
    </w:p>
    <w:p>
      <w:pPr>
        <w:spacing w:after="0"/>
        <w:sectPr>
          <w:pgSz w:w="11910" w:h="16840"/>
          <w:pgMar w:header="874" w:footer="997" w:top="1380" w:bottom="1180" w:left="1580" w:right="1440"/>
        </w:sectPr>
      </w:pPr>
    </w:p>
    <w:p>
      <w:pPr>
        <w:pStyle w:val="BodyText"/>
        <w:spacing w:before="8"/>
        <w:ind w:left="0"/>
        <w:rPr>
          <w:sz w:val="8"/>
        </w:rPr>
      </w:pPr>
    </w:p>
    <w:p>
      <w:pPr>
        <w:pStyle w:val="Heading1"/>
        <w:ind w:right="140"/>
      </w:pPr>
      <w:bookmarkStart w:name="_bookmark24" w:id="25"/>
      <w:bookmarkEnd w:id="25"/>
      <w:r>
        <w:rPr>
          <w:b w:val="0"/>
        </w:rPr>
      </w:r>
      <w:r>
        <w:rPr/>
        <w:t>二十五、基金合同的变更、终止和基金财产的清算</w:t>
      </w:r>
    </w:p>
    <w:p>
      <w:pPr>
        <w:pStyle w:val="BodyText"/>
        <w:spacing w:before="201"/>
        <w:ind w:left="700"/>
      </w:pPr>
      <w:r>
        <w:rPr/>
        <w:t>（一）基金合同的变更</w:t>
      </w:r>
    </w:p>
    <w:p>
      <w:pPr>
        <w:pStyle w:val="BodyText"/>
        <w:spacing w:before="160"/>
        <w:ind w:left="700"/>
      </w:pPr>
      <w:r>
        <w:rPr>
          <w:rFonts w:ascii="Times New Roman" w:eastAsia="Times New Roman"/>
        </w:rPr>
        <w:t>1</w:t>
      </w:r>
      <w:r>
        <w:rPr/>
        <w:t>、本基金合同的变更应经基金管理人和基金托管人同意；</w:t>
      </w:r>
    </w:p>
    <w:p>
      <w:pPr>
        <w:pStyle w:val="BodyText"/>
        <w:spacing w:line="364" w:lineRule="auto"/>
        <w:ind w:right="357" w:firstLine="479"/>
        <w:jc w:val="both"/>
      </w:pPr>
      <w:r>
        <w:rPr>
          <w:rFonts w:ascii="Times New Roman" w:eastAsia="Times New Roman"/>
        </w:rPr>
        <w:t>2</w:t>
      </w:r>
      <w:r>
        <w:rPr/>
        <w:t>、变更基金合同应经基金份额持有人大会决议通过并报中国证监会批准， </w:t>
      </w:r>
      <w:r>
        <w:rPr>
          <w:spacing w:val="-11"/>
        </w:rPr>
        <w:t>自批准之日起生效。但如因相应的法律法规发生变动并属于本基金合同必须遵照进行变更的情形，或者基金合同的变更不涉及基金合同当事人权利义务关系发生</w:t>
      </w:r>
      <w:r>
        <w:rPr>
          <w:spacing w:val="-10"/>
        </w:rPr>
        <w:t>变化，或者基金合同的变更对基金份额持有人利益无实质性不利影响，可不经基</w:t>
      </w:r>
      <w:r>
        <w:rPr>
          <w:spacing w:val="-8"/>
        </w:rPr>
        <w:t>金份额持有人大会决议，而经基金管理人和基金托管人同意变更后公布，并报中</w:t>
      </w:r>
      <w:r>
        <w:rPr/>
        <w:t>国证监会备案。</w:t>
      </w:r>
    </w:p>
    <w:p>
      <w:pPr>
        <w:pStyle w:val="BodyText"/>
        <w:spacing w:line="364" w:lineRule="auto" w:before="4"/>
        <w:ind w:left="700" w:right="2074"/>
      </w:pPr>
      <w:r>
        <w:rPr>
          <w:rFonts w:ascii="Times New Roman" w:eastAsia="Times New Roman"/>
        </w:rPr>
        <w:t>3</w:t>
      </w:r>
      <w:r>
        <w:rPr>
          <w:spacing w:val="-1"/>
        </w:rPr>
        <w:t>、以下基金合同变更事项需召开基金份额持有人大会： </w:t>
      </w:r>
      <w:r>
        <w:rPr>
          <w:rFonts w:ascii="Times New Roman" w:eastAsia="Times New Roman"/>
        </w:rPr>
        <w:t>(1)</w:t>
      </w:r>
      <w:r>
        <w:rPr/>
        <w:t>提前终止基金合同；</w:t>
      </w:r>
    </w:p>
    <w:p>
      <w:pPr>
        <w:pStyle w:val="BodyText"/>
        <w:spacing w:line="364" w:lineRule="auto" w:before="1"/>
        <w:ind w:left="700" w:right="4080"/>
      </w:pPr>
      <w:r>
        <w:rPr>
          <w:rFonts w:ascii="Times New Roman" w:eastAsia="Times New Roman"/>
        </w:rPr>
        <w:t>(2)</w:t>
      </w:r>
      <w:r>
        <w:rPr>
          <w:spacing w:val="-2"/>
        </w:rPr>
        <w:t>基金扩募或者延长基金合同期限； </w:t>
      </w:r>
      <w:r>
        <w:rPr>
          <w:rFonts w:ascii="Times New Roman" w:eastAsia="Times New Roman"/>
        </w:rPr>
        <w:t>(3)</w:t>
      </w:r>
      <w:r>
        <w:rPr/>
        <w:t>转换基金运作方式；</w:t>
      </w:r>
    </w:p>
    <w:p>
      <w:pPr>
        <w:pStyle w:val="BodyText"/>
        <w:spacing w:line="364" w:lineRule="auto" w:before="1"/>
        <w:ind w:left="700" w:right="3330"/>
      </w:pPr>
      <w:r>
        <w:rPr>
          <w:rFonts w:ascii="Times New Roman" w:eastAsia="Times New Roman"/>
        </w:rPr>
        <w:t>(4)</w:t>
      </w:r>
      <w:r>
        <w:rPr/>
        <w:t>提高基金管理人、基金托管人的报酬标准； </w:t>
      </w:r>
      <w:r>
        <w:rPr>
          <w:rFonts w:ascii="Times New Roman" w:eastAsia="Times New Roman"/>
        </w:rPr>
        <w:t>(5)</w:t>
      </w:r>
      <w:r>
        <w:rPr/>
        <w:t>更换基金管理人、基金托管人；</w:t>
      </w:r>
    </w:p>
    <w:p>
      <w:pPr>
        <w:pStyle w:val="BodyText"/>
        <w:spacing w:before="2"/>
        <w:ind w:left="700"/>
      </w:pPr>
      <w:r>
        <w:rPr>
          <w:rFonts w:ascii="Times New Roman" w:eastAsia="Times New Roman"/>
        </w:rPr>
        <w:t>(6)</w:t>
      </w:r>
      <w:r>
        <w:rPr/>
        <w:t>基金合同约定的其他事项。</w:t>
      </w:r>
    </w:p>
    <w:p>
      <w:pPr>
        <w:pStyle w:val="BodyText"/>
        <w:ind w:left="700"/>
      </w:pPr>
      <w:r>
        <w:rPr/>
        <w:t>（二）基金合同的终止</w:t>
      </w:r>
    </w:p>
    <w:p>
      <w:pPr>
        <w:pStyle w:val="BodyText"/>
        <w:spacing w:before="160"/>
        <w:ind w:left="700"/>
      </w:pPr>
      <w:r>
        <w:rPr>
          <w:rFonts w:ascii="Times New Roman" w:eastAsia="Times New Roman"/>
        </w:rPr>
        <w:t>1</w:t>
      </w:r>
      <w:r>
        <w:rPr/>
        <w:t>、出现下列情况之一的，本基金合同经中国证监会批准后将终止：</w:t>
      </w:r>
    </w:p>
    <w:p>
      <w:pPr>
        <w:pStyle w:val="ListParagraph"/>
        <w:numPr>
          <w:ilvl w:val="0"/>
          <w:numId w:val="38"/>
        </w:numPr>
        <w:tabs>
          <w:tab w:pos="1302" w:val="left" w:leader="none"/>
        </w:tabs>
        <w:spacing w:line="240" w:lineRule="auto" w:before="161" w:after="0"/>
        <w:ind w:left="1301" w:right="0" w:hanging="602"/>
        <w:jc w:val="left"/>
        <w:rPr>
          <w:sz w:val="24"/>
        </w:rPr>
      </w:pPr>
      <w:r>
        <w:rPr>
          <w:sz w:val="24"/>
        </w:rPr>
        <w:t>基金份额持有人大会决定终止的；</w:t>
      </w:r>
    </w:p>
    <w:p>
      <w:pPr>
        <w:pStyle w:val="ListParagraph"/>
        <w:numPr>
          <w:ilvl w:val="0"/>
          <w:numId w:val="38"/>
        </w:numPr>
        <w:tabs>
          <w:tab w:pos="1302" w:val="left" w:leader="none"/>
        </w:tabs>
        <w:spacing w:line="364" w:lineRule="auto" w:before="160" w:after="0"/>
        <w:ind w:left="220" w:right="364" w:firstLine="479"/>
        <w:jc w:val="left"/>
        <w:rPr>
          <w:sz w:val="24"/>
        </w:rPr>
      </w:pPr>
      <w:r>
        <w:rPr>
          <w:spacing w:val="-1"/>
          <w:sz w:val="24"/>
        </w:rPr>
        <w:t>基金管理人、基金托管人职责终止，在六个月内没有新基金管理人、</w:t>
      </w:r>
      <w:r>
        <w:rPr>
          <w:sz w:val="24"/>
        </w:rPr>
        <w:t>新基金托管人承接的；</w:t>
      </w:r>
    </w:p>
    <w:p>
      <w:pPr>
        <w:pStyle w:val="ListParagraph"/>
        <w:numPr>
          <w:ilvl w:val="0"/>
          <w:numId w:val="38"/>
        </w:numPr>
        <w:tabs>
          <w:tab w:pos="1302" w:val="left" w:leader="none"/>
        </w:tabs>
        <w:spacing w:line="240" w:lineRule="auto" w:before="2" w:after="0"/>
        <w:ind w:left="1301" w:right="0" w:hanging="602"/>
        <w:jc w:val="left"/>
        <w:rPr>
          <w:sz w:val="24"/>
        </w:rPr>
      </w:pPr>
      <w:r>
        <w:rPr>
          <w:sz w:val="24"/>
        </w:rPr>
        <w:t>由于投资方向变更引起的基金合并、撤销；</w:t>
      </w:r>
    </w:p>
    <w:p>
      <w:pPr>
        <w:pStyle w:val="ListParagraph"/>
        <w:numPr>
          <w:ilvl w:val="0"/>
          <w:numId w:val="38"/>
        </w:numPr>
        <w:tabs>
          <w:tab w:pos="1302" w:val="left" w:leader="none"/>
        </w:tabs>
        <w:spacing w:line="240" w:lineRule="auto" w:before="160" w:after="0"/>
        <w:ind w:left="1301" w:right="0" w:hanging="602"/>
        <w:jc w:val="left"/>
        <w:rPr>
          <w:sz w:val="24"/>
        </w:rPr>
      </w:pPr>
      <w:r>
        <w:rPr>
          <w:sz w:val="24"/>
        </w:rPr>
        <w:t>基金合同约定的其他情形；</w:t>
      </w:r>
    </w:p>
    <w:p>
      <w:pPr>
        <w:pStyle w:val="ListParagraph"/>
        <w:numPr>
          <w:ilvl w:val="0"/>
          <w:numId w:val="38"/>
        </w:numPr>
        <w:tabs>
          <w:tab w:pos="1302" w:val="left" w:leader="none"/>
        </w:tabs>
        <w:spacing w:line="240" w:lineRule="auto" w:before="161" w:after="0"/>
        <w:ind w:left="1301" w:right="0" w:hanging="602"/>
        <w:jc w:val="left"/>
        <w:rPr>
          <w:sz w:val="24"/>
        </w:rPr>
      </w:pPr>
      <w:r>
        <w:rPr>
          <w:sz w:val="24"/>
        </w:rPr>
        <w:t>法律、法规规定或中国证监会允许的其他情况。</w:t>
      </w:r>
    </w:p>
    <w:p>
      <w:pPr>
        <w:pStyle w:val="BodyText"/>
        <w:spacing w:line="364" w:lineRule="auto" w:before="160"/>
        <w:ind w:right="357" w:firstLine="479"/>
        <w:jc w:val="both"/>
      </w:pPr>
      <w:r>
        <w:rPr>
          <w:rFonts w:ascii="Times New Roman" w:eastAsia="Times New Roman"/>
        </w:rPr>
        <w:t>2</w:t>
      </w:r>
      <w:r>
        <w:rPr/>
        <w:t>、基金合同终止时，基金管理人应予公告并组织清算组对基金财产进行清</w:t>
      </w:r>
      <w:r>
        <w:rPr>
          <w:spacing w:val="-11"/>
        </w:rPr>
        <w:t>算。自基金终止之日，与基金有关的所有交易应立即停止。在基金清算小组组成并接管基金财产之前，基金管理人和基金托管人应按照本基金合同和托管协议的</w:t>
      </w:r>
      <w:r>
        <w:rPr/>
        <w:t>规定继续履行保护基金财产安全的职责。</w:t>
      </w:r>
    </w:p>
    <w:p>
      <w:pPr>
        <w:spacing w:after="0" w:line="364" w:lineRule="auto"/>
        <w:jc w:val="both"/>
        <w:sectPr>
          <w:pgSz w:w="11910" w:h="16840"/>
          <w:pgMar w:header="874" w:footer="997" w:top="1380" w:bottom="1180" w:left="1580" w:right="1440"/>
        </w:sectPr>
      </w:pPr>
    </w:p>
    <w:p>
      <w:pPr>
        <w:pStyle w:val="BodyText"/>
        <w:spacing w:before="0"/>
        <w:ind w:left="0"/>
        <w:rPr>
          <w:sz w:val="20"/>
        </w:rPr>
      </w:pPr>
    </w:p>
    <w:p>
      <w:pPr>
        <w:pStyle w:val="BodyText"/>
        <w:spacing w:before="6"/>
        <w:ind w:left="0"/>
        <w:rPr>
          <w:sz w:val="21"/>
        </w:rPr>
      </w:pPr>
    </w:p>
    <w:p>
      <w:pPr>
        <w:pStyle w:val="BodyText"/>
        <w:spacing w:before="66"/>
        <w:ind w:left="700"/>
      </w:pPr>
      <w:r>
        <w:rPr/>
        <w:t>（三）基金财产的清算</w:t>
      </w:r>
    </w:p>
    <w:p>
      <w:pPr>
        <w:pStyle w:val="BodyText"/>
        <w:ind w:left="700"/>
      </w:pPr>
      <w:r>
        <w:rPr>
          <w:rFonts w:ascii="Times New Roman" w:eastAsia="Times New Roman"/>
        </w:rPr>
        <w:t>1</w:t>
      </w:r>
      <w:r>
        <w:rPr/>
        <w:t>、清算小组</w:t>
      </w:r>
    </w:p>
    <w:p>
      <w:pPr>
        <w:pStyle w:val="ListParagraph"/>
        <w:numPr>
          <w:ilvl w:val="0"/>
          <w:numId w:val="39"/>
        </w:numPr>
        <w:tabs>
          <w:tab w:pos="1302" w:val="left" w:leader="none"/>
        </w:tabs>
        <w:spacing w:line="364" w:lineRule="auto" w:before="160" w:after="0"/>
        <w:ind w:left="220" w:right="364" w:firstLine="479"/>
        <w:jc w:val="left"/>
        <w:rPr>
          <w:sz w:val="24"/>
        </w:rPr>
      </w:pPr>
      <w:r>
        <w:rPr>
          <w:spacing w:val="-1"/>
          <w:sz w:val="24"/>
        </w:rPr>
        <w:t>自基金合同终止之日起三十个工作日内成立基金财产清算小组，清算</w:t>
      </w:r>
      <w:r>
        <w:rPr>
          <w:sz w:val="24"/>
        </w:rPr>
        <w:t>小组必须在中国证监会的监督下进行基金清算。</w:t>
      </w:r>
    </w:p>
    <w:p>
      <w:pPr>
        <w:pStyle w:val="ListParagraph"/>
        <w:numPr>
          <w:ilvl w:val="0"/>
          <w:numId w:val="39"/>
        </w:numPr>
        <w:tabs>
          <w:tab w:pos="1302" w:val="left" w:leader="none"/>
        </w:tabs>
        <w:spacing w:line="364" w:lineRule="auto" w:before="2" w:after="0"/>
        <w:ind w:left="220" w:right="364" w:firstLine="479"/>
        <w:jc w:val="left"/>
        <w:rPr>
          <w:sz w:val="24"/>
        </w:rPr>
      </w:pPr>
      <w:r>
        <w:rPr>
          <w:spacing w:val="-1"/>
          <w:sz w:val="24"/>
        </w:rPr>
        <w:t>清算小组成员由基金管理人、基金托管人、注册会计师、律师以及中</w:t>
      </w:r>
      <w:r>
        <w:rPr>
          <w:sz w:val="24"/>
        </w:rPr>
        <w:t>国证监会指定的人员组成。清算小组可以聘请必要的工作人员。</w:t>
      </w:r>
    </w:p>
    <w:p>
      <w:pPr>
        <w:pStyle w:val="ListParagraph"/>
        <w:numPr>
          <w:ilvl w:val="0"/>
          <w:numId w:val="39"/>
        </w:numPr>
        <w:tabs>
          <w:tab w:pos="1302" w:val="left" w:leader="none"/>
        </w:tabs>
        <w:spacing w:line="364" w:lineRule="auto" w:before="1" w:after="0"/>
        <w:ind w:left="220" w:right="364" w:firstLine="479"/>
        <w:jc w:val="left"/>
        <w:rPr>
          <w:sz w:val="24"/>
        </w:rPr>
      </w:pPr>
      <w:r>
        <w:rPr>
          <w:spacing w:val="-1"/>
          <w:sz w:val="24"/>
        </w:rPr>
        <w:t>清算小组负责基金财产的保管、清理、估价、变现和分配。清算小组</w:t>
      </w:r>
      <w:r>
        <w:rPr>
          <w:sz w:val="24"/>
        </w:rPr>
        <w:t>可以依法进行必要的民事活动。</w:t>
      </w:r>
    </w:p>
    <w:p>
      <w:pPr>
        <w:pStyle w:val="BodyText"/>
        <w:spacing w:before="2"/>
        <w:ind w:left="700"/>
      </w:pPr>
      <w:r>
        <w:rPr>
          <w:rFonts w:ascii="Times New Roman" w:eastAsia="Times New Roman"/>
        </w:rPr>
        <w:t>2</w:t>
      </w:r>
      <w:r>
        <w:rPr/>
        <w:t>、清算程序</w:t>
      </w:r>
    </w:p>
    <w:p>
      <w:pPr>
        <w:pStyle w:val="ListParagraph"/>
        <w:numPr>
          <w:ilvl w:val="0"/>
          <w:numId w:val="40"/>
        </w:numPr>
        <w:tabs>
          <w:tab w:pos="1302" w:val="left" w:leader="none"/>
        </w:tabs>
        <w:spacing w:line="240" w:lineRule="auto" w:before="160" w:after="0"/>
        <w:ind w:left="1301" w:right="0" w:hanging="602"/>
        <w:jc w:val="left"/>
        <w:rPr>
          <w:sz w:val="24"/>
        </w:rPr>
      </w:pPr>
      <w:r>
        <w:rPr>
          <w:sz w:val="24"/>
        </w:rPr>
        <w:t>基金合同终止后，由清算小组统一接管基金财产；</w:t>
      </w:r>
    </w:p>
    <w:p>
      <w:pPr>
        <w:pStyle w:val="ListParagraph"/>
        <w:numPr>
          <w:ilvl w:val="0"/>
          <w:numId w:val="40"/>
        </w:numPr>
        <w:tabs>
          <w:tab w:pos="1302" w:val="left" w:leader="none"/>
        </w:tabs>
        <w:spacing w:line="240" w:lineRule="auto" w:before="161" w:after="0"/>
        <w:ind w:left="1301" w:right="0" w:hanging="602"/>
        <w:jc w:val="left"/>
        <w:rPr>
          <w:sz w:val="24"/>
        </w:rPr>
      </w:pPr>
      <w:r>
        <w:rPr>
          <w:sz w:val="24"/>
        </w:rPr>
        <w:t>清算小组对基金财产进行清理和确认；</w:t>
      </w:r>
    </w:p>
    <w:p>
      <w:pPr>
        <w:pStyle w:val="ListParagraph"/>
        <w:numPr>
          <w:ilvl w:val="0"/>
          <w:numId w:val="40"/>
        </w:numPr>
        <w:tabs>
          <w:tab w:pos="1302" w:val="left" w:leader="none"/>
        </w:tabs>
        <w:spacing w:line="240" w:lineRule="auto" w:before="160" w:after="0"/>
        <w:ind w:left="1301" w:right="0" w:hanging="602"/>
        <w:jc w:val="left"/>
        <w:rPr>
          <w:sz w:val="24"/>
        </w:rPr>
      </w:pPr>
      <w:r>
        <w:rPr>
          <w:sz w:val="24"/>
        </w:rPr>
        <w:t>对基金财产进行估价；</w:t>
      </w:r>
    </w:p>
    <w:p>
      <w:pPr>
        <w:pStyle w:val="ListParagraph"/>
        <w:numPr>
          <w:ilvl w:val="0"/>
          <w:numId w:val="40"/>
        </w:numPr>
        <w:tabs>
          <w:tab w:pos="1302" w:val="left" w:leader="none"/>
        </w:tabs>
        <w:spacing w:line="240" w:lineRule="auto" w:before="161" w:after="0"/>
        <w:ind w:left="1301" w:right="0" w:hanging="602"/>
        <w:jc w:val="left"/>
        <w:rPr>
          <w:sz w:val="24"/>
        </w:rPr>
      </w:pPr>
      <w:r>
        <w:rPr>
          <w:sz w:val="24"/>
        </w:rPr>
        <w:t>对基金财产进行变现；</w:t>
      </w:r>
    </w:p>
    <w:p>
      <w:pPr>
        <w:pStyle w:val="ListParagraph"/>
        <w:numPr>
          <w:ilvl w:val="0"/>
          <w:numId w:val="40"/>
        </w:numPr>
        <w:tabs>
          <w:tab w:pos="1302" w:val="left" w:leader="none"/>
        </w:tabs>
        <w:spacing w:line="364" w:lineRule="auto" w:before="160" w:after="0"/>
        <w:ind w:left="220" w:right="364" w:firstLine="479"/>
        <w:jc w:val="left"/>
        <w:rPr>
          <w:sz w:val="24"/>
        </w:rPr>
      </w:pPr>
      <w:r>
        <w:rPr>
          <w:spacing w:val="-1"/>
          <w:sz w:val="24"/>
        </w:rPr>
        <w:t>聘请会计师事务所对基金财产清算报告进行外部审计，聘请律师事务</w:t>
      </w:r>
      <w:r>
        <w:rPr>
          <w:sz w:val="24"/>
        </w:rPr>
        <w:t>所对基金财产清算报告出具法律意见书；</w:t>
      </w:r>
    </w:p>
    <w:p>
      <w:pPr>
        <w:pStyle w:val="ListParagraph"/>
        <w:numPr>
          <w:ilvl w:val="0"/>
          <w:numId w:val="40"/>
        </w:numPr>
        <w:tabs>
          <w:tab w:pos="1302" w:val="left" w:leader="none"/>
        </w:tabs>
        <w:spacing w:line="240" w:lineRule="auto" w:before="2" w:after="0"/>
        <w:ind w:left="1301" w:right="0" w:hanging="602"/>
        <w:jc w:val="left"/>
        <w:rPr>
          <w:sz w:val="24"/>
        </w:rPr>
      </w:pPr>
      <w:r>
        <w:rPr>
          <w:sz w:val="24"/>
        </w:rPr>
        <w:t>将基金财产清算报告中国证监会；</w:t>
      </w:r>
    </w:p>
    <w:p>
      <w:pPr>
        <w:pStyle w:val="ListParagraph"/>
        <w:numPr>
          <w:ilvl w:val="0"/>
          <w:numId w:val="40"/>
        </w:numPr>
        <w:tabs>
          <w:tab w:pos="1302" w:val="left" w:leader="none"/>
        </w:tabs>
        <w:spacing w:line="240" w:lineRule="auto" w:before="160" w:after="0"/>
        <w:ind w:left="1301" w:right="0" w:hanging="602"/>
        <w:jc w:val="left"/>
        <w:rPr>
          <w:sz w:val="24"/>
        </w:rPr>
      </w:pPr>
      <w:r>
        <w:rPr>
          <w:sz w:val="24"/>
        </w:rPr>
        <w:t>公布基金清算公告；</w:t>
      </w:r>
    </w:p>
    <w:p>
      <w:pPr>
        <w:pStyle w:val="ListParagraph"/>
        <w:numPr>
          <w:ilvl w:val="0"/>
          <w:numId w:val="40"/>
        </w:numPr>
        <w:tabs>
          <w:tab w:pos="1302" w:val="left" w:leader="none"/>
        </w:tabs>
        <w:spacing w:line="240" w:lineRule="auto" w:before="161" w:after="0"/>
        <w:ind w:left="1301" w:right="0" w:hanging="602"/>
        <w:jc w:val="left"/>
        <w:rPr>
          <w:sz w:val="24"/>
        </w:rPr>
      </w:pPr>
      <w:r>
        <w:rPr>
          <w:sz w:val="24"/>
        </w:rPr>
        <w:t>进行基金剩余资产的分配。</w:t>
      </w:r>
    </w:p>
    <w:p>
      <w:pPr>
        <w:pStyle w:val="BodyText"/>
        <w:spacing w:before="160"/>
        <w:ind w:left="700"/>
      </w:pPr>
      <w:r>
        <w:rPr>
          <w:rFonts w:ascii="Times New Roman" w:eastAsia="Times New Roman"/>
        </w:rPr>
        <w:t>3</w:t>
      </w:r>
      <w:r>
        <w:rPr/>
        <w:t>、清算费用</w:t>
      </w:r>
    </w:p>
    <w:p>
      <w:pPr>
        <w:pStyle w:val="BodyText"/>
        <w:spacing w:line="364" w:lineRule="auto"/>
        <w:ind w:right="357" w:firstLine="479"/>
      </w:pPr>
      <w:r>
        <w:rPr>
          <w:spacing w:val="-5"/>
        </w:rPr>
        <w:t>清算费用是指清算小组在进行基金清算过程中发生的所有合理费用，清算费</w:t>
      </w:r>
      <w:r>
        <w:rPr/>
        <w:t>用由清算小组从基金财产中支付。</w:t>
      </w:r>
    </w:p>
    <w:p>
      <w:pPr>
        <w:pStyle w:val="BodyText"/>
        <w:spacing w:before="1"/>
        <w:ind w:left="700"/>
      </w:pPr>
      <w:r>
        <w:rPr>
          <w:rFonts w:ascii="Times New Roman" w:eastAsia="Times New Roman"/>
        </w:rPr>
        <w:t>4</w:t>
      </w:r>
      <w:r>
        <w:rPr/>
        <w:t>、基金剩余资产的分配</w:t>
      </w:r>
    </w:p>
    <w:p>
      <w:pPr>
        <w:pStyle w:val="BodyText"/>
        <w:spacing w:line="364" w:lineRule="auto"/>
        <w:ind w:right="357" w:firstLine="479"/>
      </w:pPr>
      <w:r>
        <w:rPr>
          <w:spacing w:val="-6"/>
        </w:rPr>
        <w:t>基金清算后的全部剩余资产扣除基金清算费用后，按基金份额持有人持有的</w:t>
      </w:r>
      <w:r>
        <w:rPr/>
        <w:t>基金份额比例进行分配。</w:t>
      </w:r>
    </w:p>
    <w:p>
      <w:pPr>
        <w:pStyle w:val="BodyText"/>
        <w:spacing w:before="1"/>
        <w:ind w:left="700"/>
      </w:pPr>
      <w:r>
        <w:rPr>
          <w:rFonts w:ascii="Times New Roman" w:eastAsia="Times New Roman"/>
        </w:rPr>
        <w:t>5</w:t>
      </w:r>
      <w:r>
        <w:rPr/>
        <w:t>、基金清算的公告</w:t>
      </w:r>
    </w:p>
    <w:p>
      <w:pPr>
        <w:pStyle w:val="BodyText"/>
        <w:ind w:left="700"/>
      </w:pPr>
      <w:r>
        <w:rPr/>
        <w:t>基金财产清算报告报中国证监会备案后 </w:t>
      </w:r>
      <w:r>
        <w:rPr>
          <w:rFonts w:ascii="Times New Roman" w:eastAsia="Times New Roman"/>
        </w:rPr>
        <w:t>5 </w:t>
      </w:r>
      <w:r>
        <w:rPr/>
        <w:t>个工作日内由清算小组公告。</w:t>
      </w:r>
    </w:p>
    <w:p>
      <w:pPr>
        <w:pStyle w:val="BodyText"/>
        <w:spacing w:before="160"/>
        <w:ind w:left="700"/>
      </w:pPr>
      <w:r>
        <w:rPr>
          <w:rFonts w:ascii="Times New Roman" w:eastAsia="Times New Roman"/>
        </w:rPr>
        <w:t>6</w:t>
      </w:r>
      <w:r>
        <w:rPr/>
        <w:t>、基金清算账册及文件的保存</w:t>
      </w:r>
    </w:p>
    <w:p>
      <w:pPr>
        <w:pStyle w:val="BodyText"/>
        <w:ind w:left="700"/>
      </w:pPr>
      <w:r>
        <w:rPr/>
        <w:t>基金清算账册及有关文件由基金托管人保存 </w:t>
      </w:r>
      <w:r>
        <w:rPr>
          <w:rFonts w:ascii="Times New Roman" w:eastAsia="Times New Roman"/>
        </w:rPr>
        <w:t>15 </w:t>
      </w:r>
      <w:r>
        <w:rPr/>
        <w:t>年以上。</w:t>
      </w:r>
    </w:p>
    <w:p>
      <w:pPr>
        <w:spacing w:after="0"/>
        <w:sectPr>
          <w:pgSz w:w="11910" w:h="16840"/>
          <w:pgMar w:header="874" w:footer="997" w:top="1380" w:bottom="1180" w:left="1580" w:right="1440"/>
        </w:sectPr>
      </w:pPr>
    </w:p>
    <w:p>
      <w:pPr>
        <w:pStyle w:val="BodyText"/>
        <w:spacing w:before="8"/>
        <w:ind w:left="0"/>
        <w:rPr>
          <w:sz w:val="8"/>
        </w:rPr>
      </w:pPr>
    </w:p>
    <w:p>
      <w:pPr>
        <w:pStyle w:val="Heading1"/>
      </w:pPr>
      <w:bookmarkStart w:name="_bookmark25" w:id="26"/>
      <w:bookmarkEnd w:id="26"/>
      <w:r>
        <w:rPr>
          <w:b w:val="0"/>
        </w:rPr>
      </w:r>
      <w:r>
        <w:rPr/>
        <w:t>二十六、违约责任</w:t>
      </w:r>
    </w:p>
    <w:p>
      <w:pPr>
        <w:pStyle w:val="BodyText"/>
        <w:tabs>
          <w:tab w:pos="2868" w:val="left" w:leader="none"/>
        </w:tabs>
        <w:spacing w:line="364" w:lineRule="auto" w:before="201"/>
        <w:ind w:right="244" w:firstLine="479"/>
      </w:pPr>
      <w:r>
        <w:rPr/>
        <w:t>（一）基金管理人、基金托管人在履行各自职责的过程中，违反《基金法</w:t>
      </w:r>
      <w:r>
        <w:rPr>
          <w:spacing w:val="-15"/>
        </w:rPr>
        <w:t>》</w:t>
      </w:r>
      <w:r>
        <w:rPr/>
        <w:t>等法律法规的规定或基</w:t>
        <w:tab/>
        <w:t>金</w:t>
      </w:r>
      <w:r>
        <w:rPr>
          <w:spacing w:val="6"/>
        </w:rPr>
        <w:t> </w:t>
      </w:r>
      <w:r>
        <w:rPr/>
        <w:t>合同的约定，给基金财产或者基金份额持有人造成损害的</w:t>
      </w:r>
      <w:r>
        <w:rPr>
          <w:spacing w:val="-48"/>
        </w:rPr>
        <w:t>，</w:t>
      </w:r>
      <w:r>
        <w:rPr/>
        <w:t>应当分别对各自的行为依法承担赔偿责任</w:t>
      </w:r>
      <w:r>
        <w:rPr>
          <w:spacing w:val="-48"/>
        </w:rPr>
        <w:t>；</w:t>
      </w:r>
      <w:r>
        <w:rPr/>
        <w:t>因共同行为给基金财产或者基金份额持有人造成损害的</w:t>
      </w:r>
      <w:r>
        <w:rPr>
          <w:spacing w:val="-32"/>
        </w:rPr>
        <w:t>，</w:t>
      </w:r>
      <w:r>
        <w:rPr/>
        <w:t>应当承担连带赔偿责任</w:t>
      </w:r>
      <w:r>
        <w:rPr>
          <w:spacing w:val="-32"/>
        </w:rPr>
        <w:t>。</w:t>
      </w:r>
      <w:r>
        <w:rPr/>
        <w:t>但发生以下情况的</w:t>
      </w:r>
      <w:r>
        <w:rPr>
          <w:spacing w:val="-32"/>
        </w:rPr>
        <w:t>，</w:t>
      </w:r>
      <w:r>
        <w:rPr/>
        <w:t>有关当事人可以免责：</w:t>
      </w:r>
    </w:p>
    <w:p>
      <w:pPr>
        <w:pStyle w:val="BodyText"/>
        <w:spacing w:before="3"/>
        <w:ind w:left="700"/>
      </w:pPr>
      <w:r>
        <w:rPr>
          <w:rFonts w:ascii="Times New Roman" w:eastAsia="Times New Roman"/>
        </w:rPr>
        <w:t>1</w:t>
      </w:r>
      <w:r>
        <w:rPr/>
        <w:t>、不可抗力；</w:t>
      </w:r>
    </w:p>
    <w:p>
      <w:pPr>
        <w:pStyle w:val="BodyText"/>
        <w:spacing w:line="364" w:lineRule="auto"/>
        <w:ind w:right="364" w:firstLine="479"/>
      </w:pPr>
      <w:r>
        <w:rPr>
          <w:rFonts w:ascii="Times New Roman" w:eastAsia="Times New Roman"/>
        </w:rPr>
        <w:t>2</w:t>
      </w:r>
      <w:r>
        <w:rPr/>
        <w:t>、基金管理人或基金托管人按照当时有效的法律、法规或规章的规定作为或不作为而造成的损失等；</w:t>
      </w:r>
    </w:p>
    <w:p>
      <w:pPr>
        <w:pStyle w:val="BodyText"/>
        <w:spacing w:line="364" w:lineRule="auto" w:before="1"/>
        <w:ind w:right="364" w:firstLine="479"/>
      </w:pPr>
      <w:r>
        <w:rPr>
          <w:rFonts w:ascii="Times New Roman" w:eastAsia="Times New Roman"/>
        </w:rPr>
        <w:t>3</w:t>
      </w:r>
      <w:r>
        <w:rPr/>
        <w:t>、基金管理人由于按照本基金合同规定的投资原则投资或不投资造成的损失或潜在损失等。</w:t>
      </w:r>
    </w:p>
    <w:p>
      <w:pPr>
        <w:pStyle w:val="BodyText"/>
        <w:spacing w:line="364" w:lineRule="auto" w:before="1"/>
        <w:ind w:right="358" w:firstLine="479"/>
        <w:jc w:val="both"/>
      </w:pPr>
      <w:r>
        <w:rPr/>
        <w:t>（二</w:t>
      </w:r>
      <w:r>
        <w:rPr>
          <w:spacing w:val="-48"/>
        </w:rPr>
        <w:t>）</w:t>
      </w:r>
      <w:r>
        <w:rPr>
          <w:spacing w:val="-5"/>
        </w:rPr>
        <w:t>在发生一方或多方违约的情况下，在最大限度地保护基金份额持有人</w:t>
      </w:r>
      <w:r>
        <w:rPr>
          <w:spacing w:val="-9"/>
        </w:rPr>
        <w:t>利益的前提下，基金合同能够继续履行的，应当继续履行。当事人在职责范围内</w:t>
      </w:r>
      <w:r>
        <w:rPr/>
        <w:t>有义务及时采取必要的措施，防止损失的扩大。</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ind w:right="137"/>
      </w:pPr>
      <w:bookmarkStart w:name="_bookmark26" w:id="27"/>
      <w:bookmarkEnd w:id="27"/>
      <w:r>
        <w:rPr>
          <w:b w:val="0"/>
        </w:rPr>
      </w:r>
      <w:r>
        <w:rPr/>
        <w:t>二十七、争议的处理</w:t>
      </w:r>
    </w:p>
    <w:p>
      <w:pPr>
        <w:pStyle w:val="BodyText"/>
        <w:spacing w:line="364" w:lineRule="auto" w:before="201"/>
        <w:ind w:right="357" w:firstLine="479"/>
        <w:jc w:val="both"/>
      </w:pPr>
      <w:r>
        <w:rPr>
          <w:spacing w:val="-9"/>
        </w:rPr>
        <w:t>对于因本协议的订立、内容、履行和解释或与本协议有关的争议，本基金合</w:t>
      </w:r>
      <w:r>
        <w:rPr>
          <w:spacing w:val="-20"/>
        </w:rPr>
        <w:t>同当事人应尽量通过协商、调解途径解决。不愿或者不能通过协商、调解解决的， </w:t>
      </w:r>
      <w:r>
        <w:rPr>
          <w:spacing w:val="-5"/>
        </w:rPr>
        <w:t>任何一方均有权将争议提交中国国际经济贸易仲裁委员会深圳分会，按照中国国际经济贸易仲裁委员会届时有效的仲裁规则进行仲裁。仲裁裁决是终局的，对当</w:t>
      </w:r>
      <w:r>
        <w:rPr/>
        <w:t>事人均有约束力。</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pPr>
      <w:bookmarkStart w:name="_bookmark27" w:id="28"/>
      <w:bookmarkEnd w:id="28"/>
      <w:r>
        <w:rPr>
          <w:b w:val="0"/>
        </w:rPr>
      </w:r>
      <w:r>
        <w:rPr/>
        <w:t>二十八、基金合同的效力</w:t>
      </w:r>
    </w:p>
    <w:p>
      <w:pPr>
        <w:pStyle w:val="BodyText"/>
        <w:spacing w:line="364" w:lineRule="auto" w:before="201"/>
        <w:ind w:right="355" w:firstLine="479"/>
        <w:jc w:val="both"/>
      </w:pPr>
      <w:r>
        <w:rPr/>
        <w:t>（一</w:t>
      </w:r>
      <w:r>
        <w:rPr>
          <w:spacing w:val="-48"/>
        </w:rPr>
        <w:t>）</w:t>
      </w:r>
      <w:r>
        <w:rPr>
          <w:spacing w:val="-4"/>
        </w:rPr>
        <w:t>本基金合同是本基金当事人之间的法律文件。本基金合同需经基金管</w:t>
      </w:r>
      <w:r>
        <w:rPr>
          <w:spacing w:val="-5"/>
        </w:rPr>
        <w:t>理人和基金托管人盖章以及其各自法定代表人或授权代表签字。在基金募集结束</w:t>
      </w:r>
      <w:r>
        <w:rPr>
          <w:spacing w:val="-10"/>
        </w:rPr>
        <w:t>后，本基金合同需报中国证监会备案并获中国证监会书面确认后生效。基金合同</w:t>
      </w:r>
      <w:r>
        <w:rPr/>
        <w:t>的有效期自其生效之日起至该基金财产清算结果报中国证监会批准并公告之日止。</w:t>
      </w:r>
    </w:p>
    <w:p>
      <w:pPr>
        <w:pStyle w:val="BodyText"/>
        <w:spacing w:line="364" w:lineRule="auto" w:before="3"/>
        <w:ind w:right="244" w:firstLine="479"/>
      </w:pPr>
      <w:r>
        <w:rPr>
          <w:spacing w:val="-1"/>
        </w:rPr>
        <w:t>基金投资者购买本基金基金份额的行为即视为对本基金合同的承认和接受， </w:t>
      </w:r>
      <w:r>
        <w:rPr>
          <w:spacing w:val="-5"/>
        </w:rPr>
        <w:t>基金投资者自取得依据本基金合同发售的基金份额，即成为基金份额持有人和本</w:t>
      </w:r>
      <w:r>
        <w:rPr>
          <w:spacing w:val="-11"/>
        </w:rPr>
        <w:t>基金合同的当事人，直至其不再持有本基金的基金份额。基金份额持有人作为当事人并不以在本基金合同上书面签章为必要条件。</w:t>
      </w:r>
    </w:p>
    <w:p>
      <w:pPr>
        <w:pStyle w:val="BodyText"/>
        <w:spacing w:before="3"/>
        <w:ind w:left="700"/>
      </w:pPr>
      <w:r>
        <w:rPr/>
        <w:t>（二）本基金合同自生效之日对本基金合同当事人具有同等的法律约束力。</w:t>
      </w:r>
    </w:p>
    <w:p>
      <w:pPr>
        <w:pStyle w:val="BodyText"/>
        <w:spacing w:line="364" w:lineRule="auto" w:before="160"/>
        <w:ind w:right="357" w:firstLine="479"/>
      </w:pPr>
      <w:r>
        <w:rPr/>
        <w:t>（三</w:t>
      </w:r>
      <w:r>
        <w:rPr>
          <w:spacing w:val="-32"/>
        </w:rPr>
        <w:t>）</w:t>
      </w:r>
      <w:r>
        <w:rPr>
          <w:spacing w:val="-5"/>
        </w:rPr>
        <w:t>本基金合同正本一式八份，基金管理人和基金托管人各持有两份，报</w:t>
      </w:r>
      <w:r>
        <w:rPr/>
        <w:t>送中国证监会和中国银监会各两份。每份具有同等的法律效力。</w:t>
      </w:r>
    </w:p>
    <w:p>
      <w:pPr>
        <w:pStyle w:val="BodyText"/>
        <w:spacing w:line="364" w:lineRule="auto" w:before="2"/>
        <w:ind w:right="357" w:firstLine="479"/>
        <w:jc w:val="both"/>
      </w:pPr>
      <w:r>
        <w:rPr/>
        <w:t>（四</w:t>
      </w:r>
      <w:r>
        <w:rPr>
          <w:spacing w:val="-32"/>
        </w:rPr>
        <w:t>）</w:t>
      </w:r>
      <w:r>
        <w:rPr>
          <w:spacing w:val="-5"/>
        </w:rPr>
        <w:t>本基金合同可印制成册并对外公开散发，供投资者在基金管理人、基</w:t>
      </w:r>
      <w:r>
        <w:rPr>
          <w:spacing w:val="-10"/>
        </w:rPr>
        <w:t>金托管人、代销机构和注册登记人办公场所查阅；投资者也可按工本费购买本基</w:t>
      </w:r>
      <w:r>
        <w:rPr/>
        <w:t>金合同复制件或复印件，但所载事项应以本基金合同正本为准。</w:t>
      </w:r>
    </w:p>
    <w:p>
      <w:pPr>
        <w:spacing w:after="0" w:line="364" w:lineRule="auto"/>
        <w:jc w:val="both"/>
        <w:sectPr>
          <w:pgSz w:w="11910" w:h="16840"/>
          <w:pgMar w:header="874" w:footer="997" w:top="1380" w:bottom="1180" w:left="1580" w:right="1440"/>
        </w:sectPr>
      </w:pPr>
    </w:p>
    <w:p>
      <w:pPr>
        <w:pStyle w:val="BodyText"/>
        <w:spacing w:before="8"/>
        <w:ind w:left="0"/>
        <w:rPr>
          <w:sz w:val="8"/>
        </w:rPr>
      </w:pPr>
    </w:p>
    <w:p>
      <w:pPr>
        <w:pStyle w:val="Heading1"/>
      </w:pPr>
      <w:bookmarkStart w:name="_bookmark28" w:id="29"/>
      <w:bookmarkEnd w:id="29"/>
      <w:r>
        <w:rPr>
          <w:b w:val="0"/>
        </w:rPr>
      </w:r>
      <w:r>
        <w:rPr/>
        <w:t>二十九、其他事项</w:t>
      </w:r>
    </w:p>
    <w:p>
      <w:pPr>
        <w:pStyle w:val="BodyText"/>
        <w:spacing w:line="364" w:lineRule="auto" w:before="201"/>
        <w:ind w:right="236" w:firstLine="479"/>
      </w:pPr>
      <w:r>
        <w:rPr>
          <w:spacing w:val="-15"/>
        </w:rPr>
        <w:t>基金合同当事人应遵守《景顺长城基金管理有限公司开放式基金业务规则》。</w:t>
      </w:r>
      <w:r>
        <w:rPr>
          <w:spacing w:val="-6"/>
        </w:rPr>
        <w:t>该规则由基金管理人在符合法律、法规及本基金合同规定的前提下制订，并由其解释与修改。</w:t>
      </w:r>
    </w:p>
    <w:p>
      <w:pPr>
        <w:pStyle w:val="BodyText"/>
        <w:spacing w:before="0"/>
        <w:ind w:left="0"/>
      </w:pPr>
    </w:p>
    <w:p>
      <w:pPr>
        <w:pStyle w:val="BodyText"/>
        <w:spacing w:before="162"/>
        <w:ind w:left="700"/>
      </w:pPr>
      <w:r>
        <w:rPr/>
        <w:t>（以下无正文）</w:t>
      </w:r>
    </w:p>
    <w:p>
      <w:pPr>
        <w:spacing w:after="0"/>
        <w:sectPr>
          <w:pgSz w:w="11910" w:h="16840"/>
          <w:pgMar w:header="874" w:footer="997" w:top="1380" w:bottom="1180" w:left="1580" w:right="1440"/>
        </w:sectPr>
      </w:pPr>
    </w:p>
    <w:p>
      <w:pPr>
        <w:pStyle w:val="BodyText"/>
        <w:spacing w:line="104" w:lineRule="exact" w:before="0"/>
        <w:ind w:left="176"/>
        <w:rPr>
          <w:sz w:val="10"/>
        </w:rPr>
      </w:pPr>
      <w:r>
        <w:rPr>
          <w:position w:val="-1"/>
          <w:sz w:val="10"/>
        </w:rPr>
        <w:pict>
          <v:group style="width:418.3pt;height:5.2pt;mso-position-horizontal-relative:char;mso-position-vertical-relative:line" coordorigin="0,0" coordsize="8366,104">
            <v:line style="position:absolute" from="0,89" to="8365,89" stroked="true" strokeweight="1.44pt" strokecolor="#000000">
              <v:stroke dashstyle="solid"/>
            </v:line>
            <v:line style="position:absolute" from="0,7" to="8365,7" stroked="true" strokeweight=".72pt" strokecolor="#000000">
              <v:stroke dashstyle="solid"/>
            </v:line>
          </v:group>
        </w:pict>
      </w:r>
      <w:r>
        <w:rPr>
          <w:position w:val="-1"/>
          <w:sz w:val="10"/>
        </w:rPr>
      </w:r>
    </w:p>
    <w:p>
      <w:pPr>
        <w:pStyle w:val="BodyText"/>
        <w:spacing w:before="0"/>
        <w:ind w:left="0"/>
        <w:rPr>
          <w:sz w:val="7"/>
        </w:rPr>
      </w:pPr>
    </w:p>
    <w:p>
      <w:pPr>
        <w:pStyle w:val="BodyText"/>
        <w:spacing w:before="66"/>
        <w:ind w:left="1041"/>
      </w:pPr>
      <w:r>
        <w:rPr/>
        <w:t>合同当事人盖章及法定代表人签字、签订地、签订日</w:t>
      </w:r>
    </w:p>
    <w:p>
      <w:pPr>
        <w:pStyle w:val="BodyText"/>
        <w:spacing w:before="0"/>
        <w:ind w:left="0"/>
      </w:pPr>
    </w:p>
    <w:p>
      <w:pPr>
        <w:pStyle w:val="BodyText"/>
        <w:spacing w:before="1"/>
        <w:ind w:left="0"/>
        <w:rPr>
          <w:sz w:val="25"/>
        </w:rPr>
      </w:pPr>
    </w:p>
    <w:p>
      <w:pPr>
        <w:pStyle w:val="BodyText"/>
        <w:spacing w:before="0"/>
        <w:ind w:left="1041"/>
      </w:pPr>
      <w:r>
        <w:rPr/>
        <w:t>基金管理人：景顺长城基金管理有限公司（法人盖章）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4"/>
        <w:ind w:left="1041"/>
      </w:pPr>
      <w:r>
        <w:rPr/>
        <w:t>法定代表人或授权代表（签字</w:t>
      </w:r>
      <w:r>
        <w:rPr>
          <w:spacing w:val="-120"/>
        </w:rPr>
        <w:t>）</w:t>
      </w:r>
      <w:r>
        <w:rPr/>
        <w:t>：</w:t>
      </w:r>
    </w:p>
    <w:p>
      <w:pPr>
        <w:pStyle w:val="BodyText"/>
        <w:spacing w:before="0"/>
        <w:ind w:left="0"/>
      </w:pPr>
    </w:p>
    <w:p>
      <w:pPr>
        <w:pStyle w:val="BodyText"/>
        <w:spacing w:before="1"/>
        <w:ind w:left="0"/>
        <w:rPr>
          <w:sz w:val="25"/>
        </w:rPr>
      </w:pPr>
    </w:p>
    <w:p>
      <w:pPr>
        <w:pStyle w:val="BodyText"/>
        <w:spacing w:before="0"/>
        <w:ind w:left="1041"/>
        <w:rPr>
          <w:rFonts w:ascii="Times New Roman" w:eastAsia="Times New Roman"/>
        </w:rPr>
      </w:pPr>
      <w:r>
        <w:rPr/>
        <w:t>签订地</w:t>
      </w:r>
      <w:r>
        <w:rPr>
          <w:rFonts w:ascii="Times New Roman" w:eastAsia="Times New Roman"/>
        </w:rPr>
        <w:t>;</w:t>
      </w:r>
    </w:p>
    <w:p>
      <w:pPr>
        <w:pStyle w:val="BodyText"/>
        <w:spacing w:before="0"/>
        <w:ind w:left="0"/>
        <w:rPr>
          <w:rFonts w:ascii="Times New Roman"/>
          <w:sz w:val="26"/>
        </w:rPr>
      </w:pPr>
    </w:p>
    <w:p>
      <w:pPr>
        <w:pStyle w:val="BodyText"/>
        <w:spacing w:before="8"/>
        <w:ind w:left="0"/>
        <w:rPr>
          <w:rFonts w:ascii="Times New Roman"/>
          <w:sz w:val="28"/>
        </w:rPr>
      </w:pPr>
    </w:p>
    <w:p>
      <w:pPr>
        <w:pStyle w:val="BodyText"/>
        <w:tabs>
          <w:tab w:pos="2361" w:val="left" w:leader="none"/>
          <w:tab w:pos="2961" w:val="left" w:leader="none"/>
          <w:tab w:pos="3561" w:val="left" w:leader="none"/>
        </w:tabs>
        <w:spacing w:before="0"/>
        <w:ind w:left="1041"/>
      </w:pPr>
      <w:r>
        <w:rPr/>
        <w:t>签订日：</w:t>
        <w:tab/>
        <w:t>年</w:t>
        <w:tab/>
        <w:t>月</w:t>
        <w:tab/>
        <w:t>日</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01"/>
        <w:ind w:left="1041"/>
      </w:pPr>
      <w:r>
        <w:rPr/>
        <w:t>基金托管人：中国银行股份有限公司（法人盖章）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4"/>
        <w:ind w:left="1041"/>
      </w:pPr>
      <w:r>
        <w:rPr/>
        <w:t>法定代表人或授权代表（签字）</w:t>
      </w:r>
    </w:p>
    <w:p>
      <w:pPr>
        <w:pStyle w:val="BodyText"/>
        <w:spacing w:before="0"/>
        <w:ind w:left="0"/>
      </w:pPr>
    </w:p>
    <w:p>
      <w:pPr>
        <w:pStyle w:val="BodyText"/>
        <w:spacing w:before="1"/>
        <w:ind w:left="0"/>
        <w:rPr>
          <w:sz w:val="25"/>
        </w:rPr>
      </w:pPr>
    </w:p>
    <w:p>
      <w:pPr>
        <w:pStyle w:val="BodyText"/>
        <w:spacing w:before="1"/>
        <w:ind w:left="1041"/>
      </w:pPr>
      <w:r>
        <w:rPr/>
        <w:t>签订地：</w:t>
      </w:r>
    </w:p>
    <w:p>
      <w:pPr>
        <w:pStyle w:val="BodyText"/>
        <w:spacing w:before="0"/>
        <w:ind w:left="0"/>
      </w:pPr>
    </w:p>
    <w:p>
      <w:pPr>
        <w:pStyle w:val="BodyText"/>
        <w:spacing w:before="0"/>
        <w:ind w:left="0"/>
        <w:rPr>
          <w:sz w:val="25"/>
        </w:rPr>
      </w:pPr>
    </w:p>
    <w:p>
      <w:pPr>
        <w:pStyle w:val="BodyText"/>
        <w:tabs>
          <w:tab w:pos="2361" w:val="left" w:leader="none"/>
          <w:tab w:pos="2961" w:val="left" w:leader="none"/>
          <w:tab w:pos="3561" w:val="left" w:leader="none"/>
        </w:tabs>
        <w:spacing w:before="0"/>
        <w:ind w:left="1041"/>
      </w:pPr>
      <w:r>
        <w:rPr/>
        <w:t>签订日：</w:t>
        <w:tab/>
        <w:t>年</w:t>
        <w:tab/>
        <w:t>月</w:t>
        <w:tab/>
        <w:t>日</w:t>
      </w:r>
    </w:p>
    <w:sectPr>
      <w:headerReference w:type="default" r:id="rId8"/>
      <w:footerReference w:type="default" r:id="rId9"/>
      <w:pgSz w:w="11910" w:h="16840"/>
      <w:pgMar w:header="0" w:footer="0" w:top="1240" w:bottom="280" w:left="15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489990pt;margin-top:781.059937pt;width:6.5pt;height:12pt;mso-position-horizontal-relative:page;mso-position-vertical-relative:page;z-index:-253289472"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209991pt;margin-top:781.059937pt;width:13.15pt;height:12pt;mso-position-horizontal-relative:page;mso-position-vertical-relative:page;z-index:-2532884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292544" from="88.584pt,64.679985pt" to="506.854pt,64.679985pt" stroked="true" strokeweight=".72pt" strokecolor="#000000">
          <v:stroke dashstyle="solid"/>
          <w10:wrap type="none"/>
        </v:line>
      </w:pict>
    </w:r>
    <w:r>
      <w:rPr/>
      <w:pict>
        <v:line style="position:absolute;mso-position-horizontal-relative:page;mso-position-vertical-relative:page;z-index:-253291520" from="88.584pt,68.759979pt" to="506.854pt,68.759979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7.130005pt;margin-top:42.699963pt;width:208pt;height:12pt;mso-position-horizontal-relative:page;mso-position-vertical-relative:page;z-index:-253290496" type="#_x0000_t202" filled="false" stroked="false">
          <v:textbox inset="0,0,0,0">
            <w:txbxContent>
              <w:p>
                <w:pPr>
                  <w:spacing w:before="0"/>
                  <w:ind w:left="20" w:right="0" w:firstLine="0"/>
                  <w:jc w:val="left"/>
                  <w:rPr>
                    <w:sz w:val="18"/>
                  </w:rPr>
                </w:pPr>
                <w:r>
                  <w:rPr>
                    <w:sz w:val="18"/>
                  </w:rPr>
                  <w:t>景顺长城鼎益混合型证券投资基金（</w:t>
                </w:r>
                <w:r>
                  <w:rPr>
                    <w:rFonts w:ascii="Times New Roman" w:eastAsia="Times New Roman"/>
                    <w:sz w:val="18"/>
                  </w:rPr>
                  <w:t>LOF</w:t>
                </w: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38">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37">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36">
    <w:multiLevelType w:val="hybridMultilevel"/>
    <w:lvl w:ilvl="0">
      <w:start w:val="1"/>
      <w:numFmt w:val="decimal"/>
      <w:lvlText w:val="%1）"/>
      <w:lvlJc w:val="left"/>
      <w:pPr>
        <w:ind w:left="1061" w:hanging="361"/>
        <w:jc w:val="left"/>
      </w:pPr>
      <w:rPr>
        <w:rFonts w:hint="default"/>
        <w:w w:val="100"/>
        <w:lang w:val="zh-CN" w:eastAsia="zh-CN" w:bidi="zh-CN"/>
      </w:rPr>
    </w:lvl>
    <w:lvl w:ilvl="1">
      <w:start w:val="0"/>
      <w:numFmt w:val="bullet"/>
      <w:lvlText w:val="•"/>
      <w:lvlJc w:val="left"/>
      <w:pPr>
        <w:ind w:left="1842" w:hanging="361"/>
      </w:pPr>
      <w:rPr>
        <w:rFonts w:hint="default"/>
        <w:lang w:val="zh-CN" w:eastAsia="zh-CN" w:bidi="zh-CN"/>
      </w:rPr>
    </w:lvl>
    <w:lvl w:ilvl="2">
      <w:start w:val="0"/>
      <w:numFmt w:val="bullet"/>
      <w:lvlText w:val="•"/>
      <w:lvlJc w:val="left"/>
      <w:pPr>
        <w:ind w:left="2625" w:hanging="361"/>
      </w:pPr>
      <w:rPr>
        <w:rFonts w:hint="default"/>
        <w:lang w:val="zh-CN" w:eastAsia="zh-CN" w:bidi="zh-CN"/>
      </w:rPr>
    </w:lvl>
    <w:lvl w:ilvl="3">
      <w:start w:val="0"/>
      <w:numFmt w:val="bullet"/>
      <w:lvlText w:val="•"/>
      <w:lvlJc w:val="left"/>
      <w:pPr>
        <w:ind w:left="3407" w:hanging="361"/>
      </w:pPr>
      <w:rPr>
        <w:rFonts w:hint="default"/>
        <w:lang w:val="zh-CN" w:eastAsia="zh-CN" w:bidi="zh-CN"/>
      </w:rPr>
    </w:lvl>
    <w:lvl w:ilvl="4">
      <w:start w:val="0"/>
      <w:numFmt w:val="bullet"/>
      <w:lvlText w:val="•"/>
      <w:lvlJc w:val="left"/>
      <w:pPr>
        <w:ind w:left="4190" w:hanging="361"/>
      </w:pPr>
      <w:rPr>
        <w:rFonts w:hint="default"/>
        <w:lang w:val="zh-CN" w:eastAsia="zh-CN" w:bidi="zh-CN"/>
      </w:rPr>
    </w:lvl>
    <w:lvl w:ilvl="5">
      <w:start w:val="0"/>
      <w:numFmt w:val="bullet"/>
      <w:lvlText w:val="•"/>
      <w:lvlJc w:val="left"/>
      <w:pPr>
        <w:ind w:left="4973" w:hanging="361"/>
      </w:pPr>
      <w:rPr>
        <w:rFonts w:hint="default"/>
        <w:lang w:val="zh-CN" w:eastAsia="zh-CN" w:bidi="zh-CN"/>
      </w:rPr>
    </w:lvl>
    <w:lvl w:ilvl="6">
      <w:start w:val="0"/>
      <w:numFmt w:val="bullet"/>
      <w:lvlText w:val="•"/>
      <w:lvlJc w:val="left"/>
      <w:pPr>
        <w:ind w:left="5755" w:hanging="361"/>
      </w:pPr>
      <w:rPr>
        <w:rFonts w:hint="default"/>
        <w:lang w:val="zh-CN" w:eastAsia="zh-CN" w:bidi="zh-CN"/>
      </w:rPr>
    </w:lvl>
    <w:lvl w:ilvl="7">
      <w:start w:val="0"/>
      <w:numFmt w:val="bullet"/>
      <w:lvlText w:val="•"/>
      <w:lvlJc w:val="left"/>
      <w:pPr>
        <w:ind w:left="6538" w:hanging="361"/>
      </w:pPr>
      <w:rPr>
        <w:rFonts w:hint="default"/>
        <w:lang w:val="zh-CN" w:eastAsia="zh-CN" w:bidi="zh-CN"/>
      </w:rPr>
    </w:lvl>
    <w:lvl w:ilvl="8">
      <w:start w:val="0"/>
      <w:numFmt w:val="bullet"/>
      <w:lvlText w:val="•"/>
      <w:lvlJc w:val="left"/>
      <w:pPr>
        <w:ind w:left="7321" w:hanging="361"/>
      </w:pPr>
      <w:rPr>
        <w:rFonts w:hint="default"/>
        <w:lang w:val="zh-CN" w:eastAsia="zh-CN" w:bidi="zh-CN"/>
      </w:rPr>
    </w:lvl>
  </w:abstractNum>
  <w:abstractNum w:abstractNumId="35">
    <w:multiLevelType w:val="hybridMultilevel"/>
    <w:lvl w:ilvl="0">
      <w:start w:val="4"/>
      <w:numFmt w:val="decimal"/>
      <w:lvlText w:val="（%1）"/>
      <w:lvlJc w:val="left"/>
      <w:pPr>
        <w:ind w:left="220" w:hanging="608"/>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1086" w:hanging="608"/>
      </w:pPr>
      <w:rPr>
        <w:rFonts w:hint="default"/>
        <w:lang w:val="zh-CN" w:eastAsia="zh-CN" w:bidi="zh-CN"/>
      </w:rPr>
    </w:lvl>
    <w:lvl w:ilvl="2">
      <w:start w:val="0"/>
      <w:numFmt w:val="bullet"/>
      <w:lvlText w:val="•"/>
      <w:lvlJc w:val="left"/>
      <w:pPr>
        <w:ind w:left="1953" w:hanging="608"/>
      </w:pPr>
      <w:rPr>
        <w:rFonts w:hint="default"/>
        <w:lang w:val="zh-CN" w:eastAsia="zh-CN" w:bidi="zh-CN"/>
      </w:rPr>
    </w:lvl>
    <w:lvl w:ilvl="3">
      <w:start w:val="0"/>
      <w:numFmt w:val="bullet"/>
      <w:lvlText w:val="•"/>
      <w:lvlJc w:val="left"/>
      <w:pPr>
        <w:ind w:left="2819" w:hanging="608"/>
      </w:pPr>
      <w:rPr>
        <w:rFonts w:hint="default"/>
        <w:lang w:val="zh-CN" w:eastAsia="zh-CN" w:bidi="zh-CN"/>
      </w:rPr>
    </w:lvl>
    <w:lvl w:ilvl="4">
      <w:start w:val="0"/>
      <w:numFmt w:val="bullet"/>
      <w:lvlText w:val="•"/>
      <w:lvlJc w:val="left"/>
      <w:pPr>
        <w:ind w:left="3686" w:hanging="608"/>
      </w:pPr>
      <w:rPr>
        <w:rFonts w:hint="default"/>
        <w:lang w:val="zh-CN" w:eastAsia="zh-CN" w:bidi="zh-CN"/>
      </w:rPr>
    </w:lvl>
    <w:lvl w:ilvl="5">
      <w:start w:val="0"/>
      <w:numFmt w:val="bullet"/>
      <w:lvlText w:val="•"/>
      <w:lvlJc w:val="left"/>
      <w:pPr>
        <w:ind w:left="4553" w:hanging="608"/>
      </w:pPr>
      <w:rPr>
        <w:rFonts w:hint="default"/>
        <w:lang w:val="zh-CN" w:eastAsia="zh-CN" w:bidi="zh-CN"/>
      </w:rPr>
    </w:lvl>
    <w:lvl w:ilvl="6">
      <w:start w:val="0"/>
      <w:numFmt w:val="bullet"/>
      <w:lvlText w:val="•"/>
      <w:lvlJc w:val="left"/>
      <w:pPr>
        <w:ind w:left="5419" w:hanging="608"/>
      </w:pPr>
      <w:rPr>
        <w:rFonts w:hint="default"/>
        <w:lang w:val="zh-CN" w:eastAsia="zh-CN" w:bidi="zh-CN"/>
      </w:rPr>
    </w:lvl>
    <w:lvl w:ilvl="7">
      <w:start w:val="0"/>
      <w:numFmt w:val="bullet"/>
      <w:lvlText w:val="•"/>
      <w:lvlJc w:val="left"/>
      <w:pPr>
        <w:ind w:left="6286" w:hanging="608"/>
      </w:pPr>
      <w:rPr>
        <w:rFonts w:hint="default"/>
        <w:lang w:val="zh-CN" w:eastAsia="zh-CN" w:bidi="zh-CN"/>
      </w:rPr>
    </w:lvl>
    <w:lvl w:ilvl="8">
      <w:start w:val="0"/>
      <w:numFmt w:val="bullet"/>
      <w:lvlText w:val="•"/>
      <w:lvlJc w:val="left"/>
      <w:pPr>
        <w:ind w:left="7153" w:hanging="608"/>
      </w:pPr>
      <w:rPr>
        <w:rFonts w:hint="default"/>
        <w:lang w:val="zh-CN" w:eastAsia="zh-CN" w:bidi="zh-CN"/>
      </w:rPr>
    </w:lvl>
  </w:abstractNum>
  <w:abstractNum w:abstractNumId="34">
    <w:multiLevelType w:val="hybridMultilevel"/>
    <w:lvl w:ilvl="0">
      <w:start w:val="1"/>
      <w:numFmt w:val="decimal"/>
      <w:lvlText w:val="(%1)"/>
      <w:lvlJc w:val="left"/>
      <w:pPr>
        <w:ind w:left="220" w:hanging="36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86" w:hanging="361"/>
      </w:pPr>
      <w:rPr>
        <w:rFonts w:hint="default"/>
        <w:lang w:val="zh-CN" w:eastAsia="zh-CN" w:bidi="zh-CN"/>
      </w:rPr>
    </w:lvl>
    <w:lvl w:ilvl="2">
      <w:start w:val="0"/>
      <w:numFmt w:val="bullet"/>
      <w:lvlText w:val="•"/>
      <w:lvlJc w:val="left"/>
      <w:pPr>
        <w:ind w:left="1953" w:hanging="361"/>
      </w:pPr>
      <w:rPr>
        <w:rFonts w:hint="default"/>
        <w:lang w:val="zh-CN" w:eastAsia="zh-CN" w:bidi="zh-CN"/>
      </w:rPr>
    </w:lvl>
    <w:lvl w:ilvl="3">
      <w:start w:val="0"/>
      <w:numFmt w:val="bullet"/>
      <w:lvlText w:val="•"/>
      <w:lvlJc w:val="left"/>
      <w:pPr>
        <w:ind w:left="2819" w:hanging="361"/>
      </w:pPr>
      <w:rPr>
        <w:rFonts w:hint="default"/>
        <w:lang w:val="zh-CN" w:eastAsia="zh-CN" w:bidi="zh-CN"/>
      </w:rPr>
    </w:lvl>
    <w:lvl w:ilvl="4">
      <w:start w:val="0"/>
      <w:numFmt w:val="bullet"/>
      <w:lvlText w:val="•"/>
      <w:lvlJc w:val="left"/>
      <w:pPr>
        <w:ind w:left="3686" w:hanging="361"/>
      </w:pPr>
      <w:rPr>
        <w:rFonts w:hint="default"/>
        <w:lang w:val="zh-CN" w:eastAsia="zh-CN" w:bidi="zh-CN"/>
      </w:rPr>
    </w:lvl>
    <w:lvl w:ilvl="5">
      <w:start w:val="0"/>
      <w:numFmt w:val="bullet"/>
      <w:lvlText w:val="•"/>
      <w:lvlJc w:val="left"/>
      <w:pPr>
        <w:ind w:left="4553" w:hanging="361"/>
      </w:pPr>
      <w:rPr>
        <w:rFonts w:hint="default"/>
        <w:lang w:val="zh-CN" w:eastAsia="zh-CN" w:bidi="zh-CN"/>
      </w:rPr>
    </w:lvl>
    <w:lvl w:ilvl="6">
      <w:start w:val="0"/>
      <w:numFmt w:val="bullet"/>
      <w:lvlText w:val="•"/>
      <w:lvlJc w:val="left"/>
      <w:pPr>
        <w:ind w:left="5419" w:hanging="361"/>
      </w:pPr>
      <w:rPr>
        <w:rFonts w:hint="default"/>
        <w:lang w:val="zh-CN" w:eastAsia="zh-CN" w:bidi="zh-CN"/>
      </w:rPr>
    </w:lvl>
    <w:lvl w:ilvl="7">
      <w:start w:val="0"/>
      <w:numFmt w:val="bullet"/>
      <w:lvlText w:val="•"/>
      <w:lvlJc w:val="left"/>
      <w:pPr>
        <w:ind w:left="6286" w:hanging="361"/>
      </w:pPr>
      <w:rPr>
        <w:rFonts w:hint="default"/>
        <w:lang w:val="zh-CN" w:eastAsia="zh-CN" w:bidi="zh-CN"/>
      </w:rPr>
    </w:lvl>
    <w:lvl w:ilvl="8">
      <w:start w:val="0"/>
      <w:numFmt w:val="bullet"/>
      <w:lvlText w:val="•"/>
      <w:lvlJc w:val="left"/>
      <w:pPr>
        <w:ind w:left="7153" w:hanging="361"/>
      </w:pPr>
      <w:rPr>
        <w:rFonts w:hint="default"/>
        <w:lang w:val="zh-CN" w:eastAsia="zh-CN" w:bidi="zh-CN"/>
      </w:rPr>
    </w:lvl>
  </w:abstractNum>
  <w:abstractNum w:abstractNumId="33">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32">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31">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30">
    <w:multiLevelType w:val="hybridMultilevel"/>
    <w:lvl w:ilvl="0">
      <w:start w:val="1"/>
      <w:numFmt w:val="decimal"/>
      <w:lvlText w:val="（%1）"/>
      <w:lvlJc w:val="left"/>
      <w:pPr>
        <w:ind w:left="2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29">
    <w:multiLevelType w:val="hybridMultilevel"/>
    <w:lvl w:ilvl="0">
      <w:start w:val="9"/>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28">
    <w:multiLevelType w:val="hybridMultilevel"/>
    <w:lvl w:ilvl="0">
      <w:start w:val="7"/>
      <w:numFmt w:val="decimal"/>
      <w:lvlText w:val="(%1)"/>
      <w:lvlJc w:val="left"/>
      <w:pPr>
        <w:ind w:left="1106" w:hanging="406"/>
        <w:jc w:val="left"/>
      </w:pPr>
      <w:rPr>
        <w:rFonts w:hint="default" w:ascii="Times New Roman" w:hAnsi="Times New Roman" w:eastAsia="Times New Roman" w:cs="Times New Roman"/>
        <w:w w:val="99"/>
        <w:sz w:val="24"/>
        <w:szCs w:val="24"/>
        <w:lang w:val="zh-CN" w:eastAsia="zh-CN" w:bidi="zh-CN"/>
      </w:rPr>
    </w:lvl>
    <w:lvl w:ilvl="1">
      <w:start w:val="0"/>
      <w:numFmt w:val="bullet"/>
      <w:lvlText w:val="•"/>
      <w:lvlJc w:val="left"/>
      <w:pPr>
        <w:ind w:left="1878" w:hanging="406"/>
      </w:pPr>
      <w:rPr>
        <w:rFonts w:hint="default"/>
        <w:lang w:val="zh-CN" w:eastAsia="zh-CN" w:bidi="zh-CN"/>
      </w:rPr>
    </w:lvl>
    <w:lvl w:ilvl="2">
      <w:start w:val="0"/>
      <w:numFmt w:val="bullet"/>
      <w:lvlText w:val="•"/>
      <w:lvlJc w:val="left"/>
      <w:pPr>
        <w:ind w:left="2657" w:hanging="406"/>
      </w:pPr>
      <w:rPr>
        <w:rFonts w:hint="default"/>
        <w:lang w:val="zh-CN" w:eastAsia="zh-CN" w:bidi="zh-CN"/>
      </w:rPr>
    </w:lvl>
    <w:lvl w:ilvl="3">
      <w:start w:val="0"/>
      <w:numFmt w:val="bullet"/>
      <w:lvlText w:val="•"/>
      <w:lvlJc w:val="left"/>
      <w:pPr>
        <w:ind w:left="3435" w:hanging="406"/>
      </w:pPr>
      <w:rPr>
        <w:rFonts w:hint="default"/>
        <w:lang w:val="zh-CN" w:eastAsia="zh-CN" w:bidi="zh-CN"/>
      </w:rPr>
    </w:lvl>
    <w:lvl w:ilvl="4">
      <w:start w:val="0"/>
      <w:numFmt w:val="bullet"/>
      <w:lvlText w:val="•"/>
      <w:lvlJc w:val="left"/>
      <w:pPr>
        <w:ind w:left="4214" w:hanging="406"/>
      </w:pPr>
      <w:rPr>
        <w:rFonts w:hint="default"/>
        <w:lang w:val="zh-CN" w:eastAsia="zh-CN" w:bidi="zh-CN"/>
      </w:rPr>
    </w:lvl>
    <w:lvl w:ilvl="5">
      <w:start w:val="0"/>
      <w:numFmt w:val="bullet"/>
      <w:lvlText w:val="•"/>
      <w:lvlJc w:val="left"/>
      <w:pPr>
        <w:ind w:left="4993" w:hanging="406"/>
      </w:pPr>
      <w:rPr>
        <w:rFonts w:hint="default"/>
        <w:lang w:val="zh-CN" w:eastAsia="zh-CN" w:bidi="zh-CN"/>
      </w:rPr>
    </w:lvl>
    <w:lvl w:ilvl="6">
      <w:start w:val="0"/>
      <w:numFmt w:val="bullet"/>
      <w:lvlText w:val="•"/>
      <w:lvlJc w:val="left"/>
      <w:pPr>
        <w:ind w:left="5771" w:hanging="406"/>
      </w:pPr>
      <w:rPr>
        <w:rFonts w:hint="default"/>
        <w:lang w:val="zh-CN" w:eastAsia="zh-CN" w:bidi="zh-CN"/>
      </w:rPr>
    </w:lvl>
    <w:lvl w:ilvl="7">
      <w:start w:val="0"/>
      <w:numFmt w:val="bullet"/>
      <w:lvlText w:val="•"/>
      <w:lvlJc w:val="left"/>
      <w:pPr>
        <w:ind w:left="6550" w:hanging="406"/>
      </w:pPr>
      <w:rPr>
        <w:rFonts w:hint="default"/>
        <w:lang w:val="zh-CN" w:eastAsia="zh-CN" w:bidi="zh-CN"/>
      </w:rPr>
    </w:lvl>
    <w:lvl w:ilvl="8">
      <w:start w:val="0"/>
      <w:numFmt w:val="bullet"/>
      <w:lvlText w:val="•"/>
      <w:lvlJc w:val="left"/>
      <w:pPr>
        <w:ind w:left="7329" w:hanging="406"/>
      </w:pPr>
      <w:rPr>
        <w:rFonts w:hint="default"/>
        <w:lang w:val="zh-CN" w:eastAsia="zh-CN" w:bidi="zh-CN"/>
      </w:rPr>
    </w:lvl>
  </w:abstractNum>
  <w:abstractNum w:abstractNumId="27">
    <w:multiLevelType w:val="hybridMultilevel"/>
    <w:lvl w:ilvl="0">
      <w:start w:val="1"/>
      <w:numFmt w:val="decimal"/>
      <w:lvlText w:val="（%1）"/>
      <w:lvlJc w:val="left"/>
      <w:pPr>
        <w:ind w:left="1301" w:hanging="601"/>
        <w:jc w:val="left"/>
      </w:pPr>
      <w:rPr>
        <w:rFonts w:hint="default" w:ascii="宋体" w:hAnsi="宋体" w:eastAsia="宋体" w:cs="宋体"/>
        <w:spacing w:val="-87"/>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26">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25">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24">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23">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1"/>
      <w:numFmt w:val="lowerRoman"/>
      <w:lvlText w:val="（%2）"/>
      <w:lvlJc w:val="left"/>
      <w:pPr>
        <w:ind w:left="1248" w:hanging="549"/>
        <w:jc w:val="left"/>
      </w:pPr>
      <w:rPr>
        <w:rFonts w:hint="default" w:ascii="宋体" w:hAnsi="宋体" w:eastAsia="宋体" w:cs="宋体"/>
        <w:spacing w:val="-60"/>
        <w:w w:val="100"/>
        <w:sz w:val="22"/>
        <w:szCs w:val="22"/>
        <w:lang w:val="zh-CN" w:eastAsia="zh-CN" w:bidi="zh-CN"/>
      </w:rPr>
    </w:lvl>
    <w:lvl w:ilvl="2">
      <w:start w:val="0"/>
      <w:numFmt w:val="bullet"/>
      <w:lvlText w:val="•"/>
      <w:lvlJc w:val="left"/>
      <w:pPr>
        <w:ind w:left="2089" w:hanging="549"/>
      </w:pPr>
      <w:rPr>
        <w:rFonts w:hint="default"/>
        <w:lang w:val="zh-CN" w:eastAsia="zh-CN" w:bidi="zh-CN"/>
      </w:rPr>
    </w:lvl>
    <w:lvl w:ilvl="3">
      <w:start w:val="0"/>
      <w:numFmt w:val="bullet"/>
      <w:lvlText w:val="•"/>
      <w:lvlJc w:val="left"/>
      <w:pPr>
        <w:ind w:left="2939" w:hanging="549"/>
      </w:pPr>
      <w:rPr>
        <w:rFonts w:hint="default"/>
        <w:lang w:val="zh-CN" w:eastAsia="zh-CN" w:bidi="zh-CN"/>
      </w:rPr>
    </w:lvl>
    <w:lvl w:ilvl="4">
      <w:start w:val="0"/>
      <w:numFmt w:val="bullet"/>
      <w:lvlText w:val="•"/>
      <w:lvlJc w:val="left"/>
      <w:pPr>
        <w:ind w:left="3788" w:hanging="549"/>
      </w:pPr>
      <w:rPr>
        <w:rFonts w:hint="default"/>
        <w:lang w:val="zh-CN" w:eastAsia="zh-CN" w:bidi="zh-CN"/>
      </w:rPr>
    </w:lvl>
    <w:lvl w:ilvl="5">
      <w:start w:val="0"/>
      <w:numFmt w:val="bullet"/>
      <w:lvlText w:val="•"/>
      <w:lvlJc w:val="left"/>
      <w:pPr>
        <w:ind w:left="4638" w:hanging="549"/>
      </w:pPr>
      <w:rPr>
        <w:rFonts w:hint="default"/>
        <w:lang w:val="zh-CN" w:eastAsia="zh-CN" w:bidi="zh-CN"/>
      </w:rPr>
    </w:lvl>
    <w:lvl w:ilvl="6">
      <w:start w:val="0"/>
      <w:numFmt w:val="bullet"/>
      <w:lvlText w:val="•"/>
      <w:lvlJc w:val="left"/>
      <w:pPr>
        <w:ind w:left="5488" w:hanging="549"/>
      </w:pPr>
      <w:rPr>
        <w:rFonts w:hint="default"/>
        <w:lang w:val="zh-CN" w:eastAsia="zh-CN" w:bidi="zh-CN"/>
      </w:rPr>
    </w:lvl>
    <w:lvl w:ilvl="7">
      <w:start w:val="0"/>
      <w:numFmt w:val="bullet"/>
      <w:lvlText w:val="•"/>
      <w:lvlJc w:val="left"/>
      <w:pPr>
        <w:ind w:left="6337" w:hanging="549"/>
      </w:pPr>
      <w:rPr>
        <w:rFonts w:hint="default"/>
        <w:lang w:val="zh-CN" w:eastAsia="zh-CN" w:bidi="zh-CN"/>
      </w:rPr>
    </w:lvl>
    <w:lvl w:ilvl="8">
      <w:start w:val="0"/>
      <w:numFmt w:val="bullet"/>
      <w:lvlText w:val="•"/>
      <w:lvlJc w:val="left"/>
      <w:pPr>
        <w:ind w:left="7187" w:hanging="549"/>
      </w:pPr>
      <w:rPr>
        <w:rFonts w:hint="default"/>
        <w:lang w:val="zh-CN" w:eastAsia="zh-CN" w:bidi="zh-CN"/>
      </w:rPr>
    </w:lvl>
  </w:abstractNum>
  <w:abstractNum w:abstractNumId="22">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21">
    <w:multiLevelType w:val="hybridMultilevel"/>
    <w:lvl w:ilvl="0">
      <w:start w:val="1"/>
      <w:numFmt w:val="lowerRoman"/>
      <w:lvlText w:val="(%1)"/>
      <w:lvlJc w:val="left"/>
      <w:pPr>
        <w:ind w:left="220" w:hanging="228"/>
        <w:jc w:val="left"/>
      </w:pPr>
      <w:rPr>
        <w:rFonts w:hint="default" w:ascii="Times New Roman" w:hAnsi="Times New Roman" w:eastAsia="Times New Roman" w:cs="Times New Roman"/>
        <w:spacing w:val="-1"/>
        <w:w w:val="99"/>
        <w:sz w:val="22"/>
        <w:szCs w:val="22"/>
        <w:lang w:val="zh-CN" w:eastAsia="zh-CN" w:bidi="zh-CN"/>
      </w:rPr>
    </w:lvl>
    <w:lvl w:ilvl="1">
      <w:start w:val="0"/>
      <w:numFmt w:val="bullet"/>
      <w:lvlText w:val="•"/>
      <w:lvlJc w:val="left"/>
      <w:pPr>
        <w:ind w:left="1086" w:hanging="228"/>
      </w:pPr>
      <w:rPr>
        <w:rFonts w:hint="default"/>
        <w:lang w:val="zh-CN" w:eastAsia="zh-CN" w:bidi="zh-CN"/>
      </w:rPr>
    </w:lvl>
    <w:lvl w:ilvl="2">
      <w:start w:val="0"/>
      <w:numFmt w:val="bullet"/>
      <w:lvlText w:val="•"/>
      <w:lvlJc w:val="left"/>
      <w:pPr>
        <w:ind w:left="1953" w:hanging="228"/>
      </w:pPr>
      <w:rPr>
        <w:rFonts w:hint="default"/>
        <w:lang w:val="zh-CN" w:eastAsia="zh-CN" w:bidi="zh-CN"/>
      </w:rPr>
    </w:lvl>
    <w:lvl w:ilvl="3">
      <w:start w:val="0"/>
      <w:numFmt w:val="bullet"/>
      <w:lvlText w:val="•"/>
      <w:lvlJc w:val="left"/>
      <w:pPr>
        <w:ind w:left="2819" w:hanging="228"/>
      </w:pPr>
      <w:rPr>
        <w:rFonts w:hint="default"/>
        <w:lang w:val="zh-CN" w:eastAsia="zh-CN" w:bidi="zh-CN"/>
      </w:rPr>
    </w:lvl>
    <w:lvl w:ilvl="4">
      <w:start w:val="0"/>
      <w:numFmt w:val="bullet"/>
      <w:lvlText w:val="•"/>
      <w:lvlJc w:val="left"/>
      <w:pPr>
        <w:ind w:left="3686" w:hanging="228"/>
      </w:pPr>
      <w:rPr>
        <w:rFonts w:hint="default"/>
        <w:lang w:val="zh-CN" w:eastAsia="zh-CN" w:bidi="zh-CN"/>
      </w:rPr>
    </w:lvl>
    <w:lvl w:ilvl="5">
      <w:start w:val="0"/>
      <w:numFmt w:val="bullet"/>
      <w:lvlText w:val="•"/>
      <w:lvlJc w:val="left"/>
      <w:pPr>
        <w:ind w:left="4553" w:hanging="228"/>
      </w:pPr>
      <w:rPr>
        <w:rFonts w:hint="default"/>
        <w:lang w:val="zh-CN" w:eastAsia="zh-CN" w:bidi="zh-CN"/>
      </w:rPr>
    </w:lvl>
    <w:lvl w:ilvl="6">
      <w:start w:val="0"/>
      <w:numFmt w:val="bullet"/>
      <w:lvlText w:val="•"/>
      <w:lvlJc w:val="left"/>
      <w:pPr>
        <w:ind w:left="5419" w:hanging="228"/>
      </w:pPr>
      <w:rPr>
        <w:rFonts w:hint="default"/>
        <w:lang w:val="zh-CN" w:eastAsia="zh-CN" w:bidi="zh-CN"/>
      </w:rPr>
    </w:lvl>
    <w:lvl w:ilvl="7">
      <w:start w:val="0"/>
      <w:numFmt w:val="bullet"/>
      <w:lvlText w:val="•"/>
      <w:lvlJc w:val="left"/>
      <w:pPr>
        <w:ind w:left="6286" w:hanging="228"/>
      </w:pPr>
      <w:rPr>
        <w:rFonts w:hint="default"/>
        <w:lang w:val="zh-CN" w:eastAsia="zh-CN" w:bidi="zh-CN"/>
      </w:rPr>
    </w:lvl>
    <w:lvl w:ilvl="8">
      <w:start w:val="0"/>
      <w:numFmt w:val="bullet"/>
      <w:lvlText w:val="•"/>
      <w:lvlJc w:val="left"/>
      <w:pPr>
        <w:ind w:left="7153" w:hanging="228"/>
      </w:pPr>
      <w:rPr>
        <w:rFonts w:hint="default"/>
        <w:lang w:val="zh-CN" w:eastAsia="zh-CN" w:bidi="zh-CN"/>
      </w:rPr>
    </w:lvl>
  </w:abstractNum>
  <w:abstractNum w:abstractNumId="20">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9">
    <w:multiLevelType w:val="hybridMultilevel"/>
    <w:lvl w:ilvl="0">
      <w:start w:val="1"/>
      <w:numFmt w:val="decimal"/>
      <w:lvlText w:val="（%1）"/>
      <w:lvlJc w:val="left"/>
      <w:pPr>
        <w:ind w:left="22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18">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7">
    <w:multiLevelType w:val="hybridMultilevel"/>
    <w:lvl w:ilvl="0">
      <w:start w:val="1"/>
      <w:numFmt w:val="decimal"/>
      <w:lvlText w:val="（%1）"/>
      <w:lvlJc w:val="left"/>
      <w:pPr>
        <w:ind w:left="22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16">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5">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14">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3">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2">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11">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0">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9">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8">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7">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6">
    <w:multiLevelType w:val="hybridMultilevel"/>
    <w:lvl w:ilvl="0">
      <w:start w:val="3"/>
      <w:numFmt w:val="decimal"/>
      <w:lvlText w:val="(%1)"/>
      <w:lvlJc w:val="left"/>
      <w:pPr>
        <w:ind w:left="220" w:hanging="281"/>
        <w:jc w:val="left"/>
      </w:pPr>
      <w:rPr>
        <w:rFonts w:hint="default" w:ascii="Times New Roman" w:hAnsi="Times New Roman" w:eastAsia="Times New Roman" w:cs="Times New Roman"/>
        <w:w w:val="99"/>
        <w:sz w:val="22"/>
        <w:szCs w:val="22"/>
        <w:lang w:val="zh-CN" w:eastAsia="zh-CN" w:bidi="zh-CN"/>
      </w:rPr>
    </w:lvl>
    <w:lvl w:ilvl="1">
      <w:start w:val="0"/>
      <w:numFmt w:val="bullet"/>
      <w:lvlText w:val="•"/>
      <w:lvlJc w:val="left"/>
      <w:pPr>
        <w:ind w:left="1086" w:hanging="281"/>
      </w:pPr>
      <w:rPr>
        <w:rFonts w:hint="default"/>
        <w:lang w:val="zh-CN" w:eastAsia="zh-CN" w:bidi="zh-CN"/>
      </w:rPr>
    </w:lvl>
    <w:lvl w:ilvl="2">
      <w:start w:val="0"/>
      <w:numFmt w:val="bullet"/>
      <w:lvlText w:val="•"/>
      <w:lvlJc w:val="left"/>
      <w:pPr>
        <w:ind w:left="1953" w:hanging="281"/>
      </w:pPr>
      <w:rPr>
        <w:rFonts w:hint="default"/>
        <w:lang w:val="zh-CN" w:eastAsia="zh-CN" w:bidi="zh-CN"/>
      </w:rPr>
    </w:lvl>
    <w:lvl w:ilvl="3">
      <w:start w:val="0"/>
      <w:numFmt w:val="bullet"/>
      <w:lvlText w:val="•"/>
      <w:lvlJc w:val="left"/>
      <w:pPr>
        <w:ind w:left="2819" w:hanging="281"/>
      </w:pPr>
      <w:rPr>
        <w:rFonts w:hint="default"/>
        <w:lang w:val="zh-CN" w:eastAsia="zh-CN" w:bidi="zh-CN"/>
      </w:rPr>
    </w:lvl>
    <w:lvl w:ilvl="4">
      <w:start w:val="0"/>
      <w:numFmt w:val="bullet"/>
      <w:lvlText w:val="•"/>
      <w:lvlJc w:val="left"/>
      <w:pPr>
        <w:ind w:left="3686" w:hanging="281"/>
      </w:pPr>
      <w:rPr>
        <w:rFonts w:hint="default"/>
        <w:lang w:val="zh-CN" w:eastAsia="zh-CN" w:bidi="zh-CN"/>
      </w:rPr>
    </w:lvl>
    <w:lvl w:ilvl="5">
      <w:start w:val="0"/>
      <w:numFmt w:val="bullet"/>
      <w:lvlText w:val="•"/>
      <w:lvlJc w:val="left"/>
      <w:pPr>
        <w:ind w:left="4553" w:hanging="281"/>
      </w:pPr>
      <w:rPr>
        <w:rFonts w:hint="default"/>
        <w:lang w:val="zh-CN" w:eastAsia="zh-CN" w:bidi="zh-CN"/>
      </w:rPr>
    </w:lvl>
    <w:lvl w:ilvl="6">
      <w:start w:val="0"/>
      <w:numFmt w:val="bullet"/>
      <w:lvlText w:val="•"/>
      <w:lvlJc w:val="left"/>
      <w:pPr>
        <w:ind w:left="5419" w:hanging="281"/>
      </w:pPr>
      <w:rPr>
        <w:rFonts w:hint="default"/>
        <w:lang w:val="zh-CN" w:eastAsia="zh-CN" w:bidi="zh-CN"/>
      </w:rPr>
    </w:lvl>
    <w:lvl w:ilvl="7">
      <w:start w:val="0"/>
      <w:numFmt w:val="bullet"/>
      <w:lvlText w:val="•"/>
      <w:lvlJc w:val="left"/>
      <w:pPr>
        <w:ind w:left="6286" w:hanging="281"/>
      </w:pPr>
      <w:rPr>
        <w:rFonts w:hint="default"/>
        <w:lang w:val="zh-CN" w:eastAsia="zh-CN" w:bidi="zh-CN"/>
      </w:rPr>
    </w:lvl>
    <w:lvl w:ilvl="8">
      <w:start w:val="0"/>
      <w:numFmt w:val="bullet"/>
      <w:lvlText w:val="•"/>
      <w:lvlJc w:val="left"/>
      <w:pPr>
        <w:ind w:left="7153" w:hanging="281"/>
      </w:pPr>
      <w:rPr>
        <w:rFonts w:hint="default"/>
        <w:lang w:val="zh-CN" w:eastAsia="zh-CN" w:bidi="zh-CN"/>
      </w:rPr>
    </w:lvl>
  </w:abstractNum>
  <w:abstractNum w:abstractNumId="5">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4">
    <w:multiLevelType w:val="hybridMultilevel"/>
    <w:lvl w:ilvl="0">
      <w:start w:val="1"/>
      <w:numFmt w:val="decimal"/>
      <w:lvlText w:val="（%1）"/>
      <w:lvlJc w:val="left"/>
      <w:pPr>
        <w:ind w:left="2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86" w:hanging="601"/>
      </w:pPr>
      <w:rPr>
        <w:rFonts w:hint="default"/>
        <w:lang w:val="zh-CN" w:eastAsia="zh-CN" w:bidi="zh-CN"/>
      </w:rPr>
    </w:lvl>
    <w:lvl w:ilvl="2">
      <w:start w:val="0"/>
      <w:numFmt w:val="bullet"/>
      <w:lvlText w:val="•"/>
      <w:lvlJc w:val="left"/>
      <w:pPr>
        <w:ind w:left="1953" w:hanging="601"/>
      </w:pPr>
      <w:rPr>
        <w:rFonts w:hint="default"/>
        <w:lang w:val="zh-CN" w:eastAsia="zh-CN" w:bidi="zh-CN"/>
      </w:rPr>
    </w:lvl>
    <w:lvl w:ilvl="3">
      <w:start w:val="0"/>
      <w:numFmt w:val="bullet"/>
      <w:lvlText w:val="•"/>
      <w:lvlJc w:val="left"/>
      <w:pPr>
        <w:ind w:left="2819" w:hanging="601"/>
      </w:pPr>
      <w:rPr>
        <w:rFonts w:hint="default"/>
        <w:lang w:val="zh-CN" w:eastAsia="zh-CN" w:bidi="zh-CN"/>
      </w:rPr>
    </w:lvl>
    <w:lvl w:ilvl="4">
      <w:start w:val="0"/>
      <w:numFmt w:val="bullet"/>
      <w:lvlText w:val="•"/>
      <w:lvlJc w:val="left"/>
      <w:pPr>
        <w:ind w:left="3686" w:hanging="601"/>
      </w:pPr>
      <w:rPr>
        <w:rFonts w:hint="default"/>
        <w:lang w:val="zh-CN" w:eastAsia="zh-CN" w:bidi="zh-CN"/>
      </w:rPr>
    </w:lvl>
    <w:lvl w:ilvl="5">
      <w:start w:val="0"/>
      <w:numFmt w:val="bullet"/>
      <w:lvlText w:val="•"/>
      <w:lvlJc w:val="left"/>
      <w:pPr>
        <w:ind w:left="4553" w:hanging="601"/>
      </w:pPr>
      <w:rPr>
        <w:rFonts w:hint="default"/>
        <w:lang w:val="zh-CN" w:eastAsia="zh-CN" w:bidi="zh-CN"/>
      </w:rPr>
    </w:lvl>
    <w:lvl w:ilvl="6">
      <w:start w:val="0"/>
      <w:numFmt w:val="bullet"/>
      <w:lvlText w:val="•"/>
      <w:lvlJc w:val="left"/>
      <w:pPr>
        <w:ind w:left="5419" w:hanging="601"/>
      </w:pPr>
      <w:rPr>
        <w:rFonts w:hint="default"/>
        <w:lang w:val="zh-CN" w:eastAsia="zh-CN" w:bidi="zh-CN"/>
      </w:rPr>
    </w:lvl>
    <w:lvl w:ilvl="7">
      <w:start w:val="0"/>
      <w:numFmt w:val="bullet"/>
      <w:lvlText w:val="•"/>
      <w:lvlJc w:val="left"/>
      <w:pPr>
        <w:ind w:left="6286" w:hanging="601"/>
      </w:pPr>
      <w:rPr>
        <w:rFonts w:hint="default"/>
        <w:lang w:val="zh-CN" w:eastAsia="zh-CN" w:bidi="zh-CN"/>
      </w:rPr>
    </w:lvl>
    <w:lvl w:ilvl="8">
      <w:start w:val="0"/>
      <w:numFmt w:val="bullet"/>
      <w:lvlText w:val="•"/>
      <w:lvlJc w:val="left"/>
      <w:pPr>
        <w:ind w:left="7153" w:hanging="601"/>
      </w:pPr>
      <w:rPr>
        <w:rFonts w:hint="default"/>
        <w:lang w:val="zh-CN" w:eastAsia="zh-CN" w:bidi="zh-CN"/>
      </w:rPr>
    </w:lvl>
  </w:abstractNum>
  <w:abstractNum w:abstractNumId="3">
    <w:multiLevelType w:val="hybridMultilevel"/>
    <w:lvl w:ilvl="0">
      <w:start w:val="1"/>
      <w:numFmt w:val="decimal"/>
      <w:lvlText w:val="（%1）"/>
      <w:lvlJc w:val="left"/>
      <w:pPr>
        <w:ind w:left="1480"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2220" w:hanging="780"/>
      </w:pPr>
      <w:rPr>
        <w:rFonts w:hint="default"/>
        <w:lang w:val="zh-CN" w:eastAsia="zh-CN" w:bidi="zh-CN"/>
      </w:rPr>
    </w:lvl>
    <w:lvl w:ilvl="2">
      <w:start w:val="0"/>
      <w:numFmt w:val="bullet"/>
      <w:lvlText w:val="•"/>
      <w:lvlJc w:val="left"/>
      <w:pPr>
        <w:ind w:left="2961" w:hanging="780"/>
      </w:pPr>
      <w:rPr>
        <w:rFonts w:hint="default"/>
        <w:lang w:val="zh-CN" w:eastAsia="zh-CN" w:bidi="zh-CN"/>
      </w:rPr>
    </w:lvl>
    <w:lvl w:ilvl="3">
      <w:start w:val="0"/>
      <w:numFmt w:val="bullet"/>
      <w:lvlText w:val="•"/>
      <w:lvlJc w:val="left"/>
      <w:pPr>
        <w:ind w:left="3701" w:hanging="780"/>
      </w:pPr>
      <w:rPr>
        <w:rFonts w:hint="default"/>
        <w:lang w:val="zh-CN" w:eastAsia="zh-CN" w:bidi="zh-CN"/>
      </w:rPr>
    </w:lvl>
    <w:lvl w:ilvl="4">
      <w:start w:val="0"/>
      <w:numFmt w:val="bullet"/>
      <w:lvlText w:val="•"/>
      <w:lvlJc w:val="left"/>
      <w:pPr>
        <w:ind w:left="4442" w:hanging="780"/>
      </w:pPr>
      <w:rPr>
        <w:rFonts w:hint="default"/>
        <w:lang w:val="zh-CN" w:eastAsia="zh-CN" w:bidi="zh-CN"/>
      </w:rPr>
    </w:lvl>
    <w:lvl w:ilvl="5">
      <w:start w:val="0"/>
      <w:numFmt w:val="bullet"/>
      <w:lvlText w:val="•"/>
      <w:lvlJc w:val="left"/>
      <w:pPr>
        <w:ind w:left="5183" w:hanging="780"/>
      </w:pPr>
      <w:rPr>
        <w:rFonts w:hint="default"/>
        <w:lang w:val="zh-CN" w:eastAsia="zh-CN" w:bidi="zh-CN"/>
      </w:rPr>
    </w:lvl>
    <w:lvl w:ilvl="6">
      <w:start w:val="0"/>
      <w:numFmt w:val="bullet"/>
      <w:lvlText w:val="•"/>
      <w:lvlJc w:val="left"/>
      <w:pPr>
        <w:ind w:left="5923" w:hanging="780"/>
      </w:pPr>
      <w:rPr>
        <w:rFonts w:hint="default"/>
        <w:lang w:val="zh-CN" w:eastAsia="zh-CN" w:bidi="zh-CN"/>
      </w:rPr>
    </w:lvl>
    <w:lvl w:ilvl="7">
      <w:start w:val="0"/>
      <w:numFmt w:val="bullet"/>
      <w:lvlText w:val="•"/>
      <w:lvlJc w:val="left"/>
      <w:pPr>
        <w:ind w:left="6664" w:hanging="780"/>
      </w:pPr>
      <w:rPr>
        <w:rFonts w:hint="default"/>
        <w:lang w:val="zh-CN" w:eastAsia="zh-CN" w:bidi="zh-CN"/>
      </w:rPr>
    </w:lvl>
    <w:lvl w:ilvl="8">
      <w:start w:val="0"/>
      <w:numFmt w:val="bullet"/>
      <w:lvlText w:val="•"/>
      <w:lvlJc w:val="left"/>
      <w:pPr>
        <w:ind w:left="7405" w:hanging="780"/>
      </w:pPr>
      <w:rPr>
        <w:rFonts w:hint="default"/>
        <w:lang w:val="zh-CN" w:eastAsia="zh-CN" w:bidi="zh-CN"/>
      </w:rPr>
    </w:lvl>
  </w:abstractNum>
  <w:abstractNum w:abstractNumId="2">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1">
    <w:multiLevelType w:val="hybridMultilevel"/>
    <w:lvl w:ilvl="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abstractNum w:abstractNumId="0">
    <w:multiLevelType w:val="hybridMultilevel"/>
    <w:lvl w:ilvl="0">
      <w:start w:val="1"/>
      <w:numFmt w:val="decimal"/>
      <w:lvlText w:val="（%1）"/>
      <w:lvlJc w:val="left"/>
      <w:pPr>
        <w:ind w:left="13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058" w:hanging="601"/>
      </w:pPr>
      <w:rPr>
        <w:rFonts w:hint="default"/>
        <w:lang w:val="zh-CN" w:eastAsia="zh-CN" w:bidi="zh-CN"/>
      </w:rPr>
    </w:lvl>
    <w:lvl w:ilvl="2">
      <w:start w:val="0"/>
      <w:numFmt w:val="bullet"/>
      <w:lvlText w:val="•"/>
      <w:lvlJc w:val="left"/>
      <w:pPr>
        <w:ind w:left="2817" w:hanging="601"/>
      </w:pPr>
      <w:rPr>
        <w:rFonts w:hint="default"/>
        <w:lang w:val="zh-CN" w:eastAsia="zh-CN" w:bidi="zh-CN"/>
      </w:rPr>
    </w:lvl>
    <w:lvl w:ilvl="3">
      <w:start w:val="0"/>
      <w:numFmt w:val="bullet"/>
      <w:lvlText w:val="•"/>
      <w:lvlJc w:val="left"/>
      <w:pPr>
        <w:ind w:left="3575" w:hanging="601"/>
      </w:pPr>
      <w:rPr>
        <w:rFonts w:hint="default"/>
        <w:lang w:val="zh-CN" w:eastAsia="zh-CN" w:bidi="zh-CN"/>
      </w:rPr>
    </w:lvl>
    <w:lvl w:ilvl="4">
      <w:start w:val="0"/>
      <w:numFmt w:val="bullet"/>
      <w:lvlText w:val="•"/>
      <w:lvlJc w:val="left"/>
      <w:pPr>
        <w:ind w:left="4334" w:hanging="601"/>
      </w:pPr>
      <w:rPr>
        <w:rFonts w:hint="default"/>
        <w:lang w:val="zh-CN" w:eastAsia="zh-CN" w:bidi="zh-CN"/>
      </w:rPr>
    </w:lvl>
    <w:lvl w:ilvl="5">
      <w:start w:val="0"/>
      <w:numFmt w:val="bullet"/>
      <w:lvlText w:val="•"/>
      <w:lvlJc w:val="left"/>
      <w:pPr>
        <w:ind w:left="5093" w:hanging="601"/>
      </w:pPr>
      <w:rPr>
        <w:rFonts w:hint="default"/>
        <w:lang w:val="zh-CN" w:eastAsia="zh-CN" w:bidi="zh-CN"/>
      </w:rPr>
    </w:lvl>
    <w:lvl w:ilvl="6">
      <w:start w:val="0"/>
      <w:numFmt w:val="bullet"/>
      <w:lvlText w:val="•"/>
      <w:lvlJc w:val="left"/>
      <w:pPr>
        <w:ind w:left="5851" w:hanging="601"/>
      </w:pPr>
      <w:rPr>
        <w:rFonts w:hint="default"/>
        <w:lang w:val="zh-CN" w:eastAsia="zh-CN" w:bidi="zh-CN"/>
      </w:rPr>
    </w:lvl>
    <w:lvl w:ilvl="7">
      <w:start w:val="0"/>
      <w:numFmt w:val="bullet"/>
      <w:lvlText w:val="•"/>
      <w:lvlJc w:val="left"/>
      <w:pPr>
        <w:ind w:left="6610" w:hanging="601"/>
      </w:pPr>
      <w:rPr>
        <w:rFonts w:hint="default"/>
        <w:lang w:val="zh-CN" w:eastAsia="zh-CN" w:bidi="zh-CN"/>
      </w:rPr>
    </w:lvl>
    <w:lvl w:ilvl="8">
      <w:start w:val="0"/>
      <w:numFmt w:val="bullet"/>
      <w:lvlText w:val="•"/>
      <w:lvlJc w:val="left"/>
      <w:pPr>
        <w:ind w:left="7369" w:hanging="601"/>
      </w:pPr>
      <w:rPr>
        <w:rFonts w:hint="default"/>
        <w:lang w:val="zh-CN" w:eastAsia="zh-CN" w:bidi="zh-CN"/>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98"/>
      <w:ind w:left="22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220"/>
    </w:pPr>
    <w:rPr>
      <w:rFonts w:ascii="宋体" w:hAnsi="宋体" w:eastAsia="宋体" w:cs="宋体"/>
      <w:sz w:val="24"/>
      <w:szCs w:val="24"/>
      <w:lang w:val="zh-CN" w:eastAsia="zh-CN" w:bidi="zh-CN"/>
    </w:rPr>
  </w:style>
  <w:style w:styleId="Heading1" w:type="paragraph">
    <w:name w:val="Heading 1"/>
    <w:basedOn w:val="Normal"/>
    <w:uiPriority w:val="1"/>
    <w:qFormat/>
    <w:pPr>
      <w:spacing w:before="58"/>
      <w:ind w:right="139"/>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2"/>
      <w:ind w:right="138"/>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61"/>
      <w:ind w:left="220" w:firstLine="479"/>
    </w:pPr>
    <w:rPr>
      <w:rFonts w:ascii="宋体" w:hAnsi="宋体" w:eastAsia="宋体" w:cs="宋体"/>
      <w:lang w:val="zh-CN" w:eastAsia="zh-CN" w:bidi="zh-CN"/>
    </w:rPr>
  </w:style>
  <w:style w:styleId="TableParagraph" w:type="paragraph">
    <w:name w:val="Table Paragraph"/>
    <w:basedOn w:val="Normal"/>
    <w:uiPriority w:val="1"/>
    <w:qFormat/>
    <w:pPr>
      <w:spacing w:before="59"/>
      <w:ind w:left="1219" w:right="1020"/>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谢天翎</dc:creator>
  <dcterms:created xsi:type="dcterms:W3CDTF">2020-11-17T05:57:42Z</dcterms:created>
  <dcterms:modified xsi:type="dcterms:W3CDTF">2020-11-17T05:57:42Z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