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spacing w:line="184" w:lineRule="auto" w:before="163"/>
        <w:ind w:left="518" w:right="758" w:firstLine="0"/>
        <w:jc w:val="center"/>
        <w:rPr>
          <w:rFonts w:ascii="微软雅黑" w:eastAsia="微软雅黑" w:hint="eastAsia"/>
          <w:b/>
          <w:sz w:val="44"/>
        </w:rPr>
      </w:pPr>
      <w:r>
        <w:rPr>
          <w:rFonts w:ascii="微软雅黑" w:eastAsia="微软雅黑" w:hint="eastAsia"/>
          <w:b/>
          <w:sz w:val="44"/>
        </w:rPr>
        <w:t>易方达中债新综合债券指数发起式证券投资基金（</w:t>
      </w:r>
      <w:r>
        <w:rPr>
          <w:rFonts w:ascii="Times New Roman" w:eastAsia="Times New Roman"/>
          <w:b/>
          <w:sz w:val="44"/>
        </w:rPr>
        <w:t>LOF</w:t>
      </w:r>
      <w:r>
        <w:rPr>
          <w:rFonts w:ascii="微软雅黑" w:eastAsia="微软雅黑" w:hint="eastAsia"/>
          <w:b/>
          <w:sz w:val="44"/>
        </w:rPr>
        <w:t>）</w:t>
      </w:r>
    </w:p>
    <w:p>
      <w:pPr>
        <w:spacing w:line="676" w:lineRule="exact" w:before="0"/>
        <w:ind w:left="518" w:right="756" w:firstLine="0"/>
        <w:jc w:val="center"/>
        <w:rPr>
          <w:rFonts w:ascii="微软雅黑" w:eastAsia="微软雅黑" w:hint="eastAsia"/>
          <w:b/>
          <w:sz w:val="44"/>
        </w:rPr>
      </w:pPr>
      <w:r>
        <w:rPr>
          <w:rFonts w:ascii="微软雅黑" w:eastAsia="微软雅黑" w:hint="eastAsia"/>
          <w:b/>
          <w:sz w:val="44"/>
        </w:rPr>
        <w:t>基金合同</w:t>
      </w:r>
    </w:p>
    <w:p>
      <w:pPr>
        <w:pStyle w:val="BodyText"/>
        <w:spacing w:before="0"/>
        <w:ind w:left="0"/>
        <w:rPr>
          <w:rFonts w:ascii="微软雅黑"/>
          <w:b/>
          <w:sz w:val="44"/>
        </w:rPr>
      </w:pPr>
    </w:p>
    <w:p>
      <w:pPr>
        <w:pStyle w:val="BodyText"/>
        <w:spacing w:before="0"/>
        <w:ind w:left="0"/>
        <w:rPr>
          <w:rFonts w:ascii="微软雅黑"/>
          <w:b/>
          <w:sz w:val="44"/>
        </w:rPr>
      </w:pPr>
    </w:p>
    <w:p>
      <w:pPr>
        <w:pStyle w:val="BodyText"/>
        <w:spacing w:before="1"/>
        <w:ind w:left="0"/>
        <w:rPr>
          <w:rFonts w:ascii="微软雅黑"/>
          <w:b/>
          <w:sz w:val="60"/>
        </w:rPr>
      </w:pPr>
    </w:p>
    <w:p>
      <w:pPr>
        <w:spacing w:line="225" w:lineRule="auto" w:before="1"/>
        <w:ind w:left="1017" w:right="1258" w:firstLine="2"/>
        <w:jc w:val="center"/>
        <w:rPr>
          <w:rFonts w:ascii="微软雅黑" w:eastAsia="微软雅黑" w:hint="eastAsia"/>
          <w:b/>
          <w:sz w:val="36"/>
        </w:rPr>
      </w:pPr>
      <w:r>
        <w:rPr>
          <w:rFonts w:ascii="微软雅黑" w:eastAsia="微软雅黑" w:hint="eastAsia"/>
          <w:b/>
          <w:sz w:val="36"/>
        </w:rPr>
        <w:t>基金管理人：易方达基金管理有限公司 </w:t>
      </w:r>
      <w:r>
        <w:rPr>
          <w:rFonts w:ascii="微软雅黑" w:eastAsia="微软雅黑" w:hint="eastAsia"/>
          <w:b/>
          <w:spacing w:val="-1"/>
          <w:sz w:val="36"/>
        </w:rPr>
        <w:t>基金托管人：中国农业银行股份有限公司</w:t>
      </w:r>
    </w:p>
    <w:p>
      <w:pPr>
        <w:pStyle w:val="BodyText"/>
        <w:spacing w:before="5"/>
        <w:ind w:left="0"/>
        <w:rPr>
          <w:rFonts w:ascii="微软雅黑"/>
          <w:b/>
          <w:sz w:val="35"/>
        </w:rPr>
      </w:pPr>
    </w:p>
    <w:p>
      <w:pPr>
        <w:spacing w:before="1"/>
        <w:ind w:left="518" w:right="756" w:firstLine="0"/>
        <w:jc w:val="center"/>
        <w:rPr>
          <w:rFonts w:ascii="微软雅黑" w:eastAsia="微软雅黑" w:hint="eastAsia"/>
          <w:b/>
          <w:sz w:val="30"/>
        </w:rPr>
      </w:pPr>
      <w:r>
        <w:rPr>
          <w:rFonts w:ascii="微软雅黑" w:eastAsia="微软雅黑" w:hint="eastAsia"/>
          <w:b/>
          <w:sz w:val="30"/>
        </w:rPr>
        <w:t>二〇一九年十二月</w:t>
      </w:r>
    </w:p>
    <w:p>
      <w:pPr>
        <w:spacing w:after="0"/>
        <w:jc w:val="center"/>
        <w:rPr>
          <w:rFonts w:ascii="微软雅黑" w:eastAsia="微软雅黑" w:hint="eastAsia"/>
          <w:sz w:val="30"/>
        </w:rPr>
        <w:sectPr>
          <w:type w:val="continuous"/>
          <w:pgSz w:w="11910" w:h="16840"/>
          <w:pgMar w:top="1580" w:bottom="280" w:left="1680" w:right="1440"/>
        </w:sect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71" w:val="left" w:leader="none"/>
              <w:tab w:pos="8418" w:val="right" w:leader="dot"/>
            </w:tabs>
            <w:spacing w:before="233"/>
            <w:rPr>
              <w:rFonts w:ascii="Times New Roman" w:eastAsia="Times New Roman"/>
            </w:rPr>
          </w:pPr>
          <w:r>
            <w:fldChar w:fldCharType="begin"/>
          </w:r>
          <w:r>
            <w:instrText>TOC \o "1-1" \h \z \u </w:instrText>
          </w:r>
          <w:r>
            <w:fldChar w:fldCharType="separate"/>
          </w:r>
          <w:hyperlink w:history="true" w:anchor="_bookmark0">
            <w:r>
              <w:rPr/>
              <w:t>第一</w:t>
            </w:r>
            <w:r>
              <w:rPr>
                <w:spacing w:val="-3"/>
              </w:rPr>
              <w:t>部</w:t>
            </w:r>
            <w:r>
              <w:rPr/>
              <w:t>分</w:t>
              <w:tab/>
              <w:t>前言</w:t>
              <w:tab/>
            </w:r>
            <w:r>
              <w:rPr>
                <w:rFonts w:ascii="Times New Roman" w:eastAsia="Times New Roman"/>
              </w:rPr>
              <w:t>1</w:t>
            </w:r>
          </w:hyperlink>
        </w:p>
        <w:p>
          <w:pPr>
            <w:pStyle w:val="TOC1"/>
            <w:tabs>
              <w:tab w:pos="1171" w:val="left" w:leader="none"/>
              <w:tab w:pos="8418" w:val="right" w:leader="dot"/>
            </w:tabs>
            <w:spacing w:before="198"/>
            <w:rPr>
              <w:rFonts w:ascii="Times New Roman" w:eastAsia="Times New Roman"/>
            </w:rPr>
          </w:pPr>
          <w:hyperlink w:history="true" w:anchor="_bookmark1">
            <w:r>
              <w:rPr/>
              <w:t>第二</w:t>
            </w:r>
            <w:r>
              <w:rPr>
                <w:spacing w:val="-3"/>
              </w:rPr>
              <w:t>部</w:t>
            </w:r>
            <w:r>
              <w:rPr/>
              <w:t>分</w:t>
              <w:tab/>
              <w:t>释义</w:t>
              <w:tab/>
            </w:r>
            <w:r>
              <w:rPr>
                <w:rFonts w:ascii="Times New Roman" w:eastAsia="Times New Roman"/>
              </w:rPr>
              <w:t>3</w:t>
            </w:r>
          </w:hyperlink>
        </w:p>
        <w:p>
          <w:pPr>
            <w:pStyle w:val="TOC1"/>
            <w:tabs>
              <w:tab w:pos="1171" w:val="left" w:leader="none"/>
              <w:tab w:pos="8418" w:val="right" w:leader="dot"/>
            </w:tabs>
            <w:rPr>
              <w:rFonts w:ascii="Times New Roman" w:eastAsia="Times New Roman"/>
            </w:rPr>
          </w:pPr>
          <w:hyperlink w:history="true" w:anchor="_bookmark2">
            <w:r>
              <w:rPr/>
              <w:t>第三</w:t>
            </w:r>
            <w:r>
              <w:rPr>
                <w:spacing w:val="-3"/>
              </w:rPr>
              <w:t>部</w:t>
            </w:r>
            <w:r>
              <w:rPr/>
              <w:t>分</w:t>
              <w:tab/>
              <w:t>基</w:t>
            </w:r>
            <w:r>
              <w:rPr>
                <w:spacing w:val="-3"/>
              </w:rPr>
              <w:t>金</w:t>
            </w:r>
            <w:r>
              <w:rPr/>
              <w:t>的</w:t>
            </w:r>
            <w:r>
              <w:rPr>
                <w:spacing w:val="-3"/>
              </w:rPr>
              <w:t>基</w:t>
            </w:r>
            <w:r>
              <w:rPr/>
              <w:t>本</w:t>
            </w:r>
            <w:r>
              <w:rPr>
                <w:spacing w:val="-3"/>
              </w:rPr>
              <w:t>情</w:t>
            </w:r>
            <w:r>
              <w:rPr/>
              <w:t>况</w:t>
              <w:tab/>
            </w:r>
            <w:r>
              <w:rPr>
                <w:rFonts w:ascii="Times New Roman" w:eastAsia="Times New Roman"/>
              </w:rPr>
              <w:t>8</w:t>
            </w:r>
          </w:hyperlink>
        </w:p>
        <w:p>
          <w:pPr>
            <w:pStyle w:val="TOC1"/>
            <w:tabs>
              <w:tab w:pos="1171" w:val="left" w:leader="none"/>
              <w:tab w:pos="8418" w:val="right" w:leader="dot"/>
            </w:tabs>
            <w:rPr>
              <w:rFonts w:ascii="Times New Roman" w:eastAsia="Times New Roman"/>
            </w:rPr>
          </w:pPr>
          <w:hyperlink w:history="true" w:anchor="_bookmark3">
            <w:r>
              <w:rPr/>
              <w:t>第四</w:t>
            </w:r>
            <w:r>
              <w:rPr>
                <w:spacing w:val="-3"/>
              </w:rPr>
              <w:t>部</w:t>
            </w:r>
            <w:r>
              <w:rPr/>
              <w:t>分</w:t>
              <w:tab/>
              <w:t>基</w:t>
            </w:r>
            <w:r>
              <w:rPr>
                <w:spacing w:val="-3"/>
              </w:rPr>
              <w:t>金</w:t>
            </w:r>
            <w:r>
              <w:rPr/>
              <w:t>份</w:t>
            </w:r>
            <w:r>
              <w:rPr>
                <w:spacing w:val="-3"/>
              </w:rPr>
              <w:t>额</w:t>
            </w:r>
            <w:r>
              <w:rPr/>
              <w:t>的</w:t>
            </w:r>
            <w:r>
              <w:rPr>
                <w:spacing w:val="-3"/>
              </w:rPr>
              <w:t>发</w:t>
            </w:r>
            <w:r>
              <w:rPr/>
              <w:t>售</w:t>
              <w:tab/>
            </w:r>
            <w:r>
              <w:rPr>
                <w:rFonts w:ascii="Times New Roman" w:eastAsia="Times New Roman"/>
              </w:rPr>
              <w:t>10</w:t>
            </w:r>
          </w:hyperlink>
        </w:p>
        <w:p>
          <w:pPr>
            <w:pStyle w:val="TOC1"/>
            <w:tabs>
              <w:tab w:pos="1171" w:val="left" w:leader="none"/>
              <w:tab w:pos="8418" w:val="right" w:leader="dot"/>
            </w:tabs>
            <w:rPr>
              <w:rFonts w:ascii="Times New Roman" w:eastAsia="Times New Roman"/>
            </w:rPr>
          </w:pPr>
          <w:hyperlink w:history="true" w:anchor="_bookmark4">
            <w:r>
              <w:rPr/>
              <w:t>第五</w:t>
            </w:r>
            <w:r>
              <w:rPr>
                <w:spacing w:val="-3"/>
              </w:rPr>
              <w:t>部</w:t>
            </w:r>
            <w:r>
              <w:rPr/>
              <w:t>分</w:t>
              <w:tab/>
              <w:t>基</w:t>
            </w:r>
            <w:r>
              <w:rPr>
                <w:spacing w:val="-3"/>
              </w:rPr>
              <w:t>金</w:t>
            </w:r>
            <w:r>
              <w:rPr/>
              <w:t>备案</w:t>
              <w:tab/>
            </w:r>
            <w:r>
              <w:rPr>
                <w:rFonts w:ascii="Times New Roman" w:eastAsia="Times New Roman"/>
              </w:rPr>
              <w:t>12</w:t>
            </w:r>
          </w:hyperlink>
        </w:p>
        <w:p>
          <w:pPr>
            <w:pStyle w:val="TOC1"/>
            <w:tabs>
              <w:tab w:pos="8418" w:val="right" w:leader="dot"/>
            </w:tabs>
            <w:rPr>
              <w:rFonts w:ascii="Times New Roman" w:eastAsia="Times New Roman"/>
            </w:rPr>
          </w:pPr>
          <w:hyperlink w:history="true" w:anchor="_bookmark5">
            <w:r>
              <w:rPr/>
              <w:t>第六</w:t>
            </w:r>
            <w:r>
              <w:rPr>
                <w:spacing w:val="-3"/>
              </w:rPr>
              <w:t>部</w:t>
            </w:r>
            <w:r>
              <w:rPr/>
              <w:t>分</w:t>
            </w:r>
            <w:r>
              <w:rPr>
                <w:spacing w:val="-2"/>
              </w:rPr>
              <w:t> </w:t>
            </w:r>
            <w:r>
              <w:rPr/>
              <w:t>基</w:t>
            </w:r>
            <w:r>
              <w:rPr>
                <w:spacing w:val="-3"/>
              </w:rPr>
              <w:t>金</w:t>
            </w:r>
            <w:r>
              <w:rPr/>
              <w:t>份</w:t>
            </w:r>
            <w:r>
              <w:rPr>
                <w:spacing w:val="-3"/>
              </w:rPr>
              <w:t>额</w:t>
            </w:r>
            <w:r>
              <w:rPr/>
              <w:t>的</w:t>
            </w:r>
            <w:r>
              <w:rPr>
                <w:spacing w:val="-3"/>
              </w:rPr>
              <w:t>上市</w:t>
            </w:r>
            <w:r>
              <w:rPr/>
              <w:t>交易</w:t>
              <w:tab/>
            </w:r>
            <w:r>
              <w:rPr>
                <w:rFonts w:ascii="Times New Roman" w:eastAsia="Times New Roman"/>
              </w:rPr>
              <w:t>13</w:t>
            </w:r>
          </w:hyperlink>
        </w:p>
        <w:p>
          <w:pPr>
            <w:pStyle w:val="TOC1"/>
            <w:tabs>
              <w:tab w:pos="1171" w:val="left" w:leader="none"/>
              <w:tab w:pos="8418" w:val="right" w:leader="dot"/>
            </w:tabs>
            <w:rPr>
              <w:rFonts w:ascii="Times New Roman" w:eastAsia="Times New Roman"/>
            </w:rPr>
          </w:pPr>
          <w:hyperlink w:history="true" w:anchor="_bookmark6">
            <w:r>
              <w:rPr/>
              <w:t>第七</w:t>
            </w:r>
            <w:r>
              <w:rPr>
                <w:spacing w:val="-3"/>
              </w:rPr>
              <w:t>部</w:t>
            </w:r>
            <w:r>
              <w:rPr/>
              <w:t>分</w:t>
              <w:tab/>
              <w:t>基</w:t>
            </w:r>
            <w:r>
              <w:rPr>
                <w:spacing w:val="-3"/>
              </w:rPr>
              <w:t>金</w:t>
            </w:r>
            <w:r>
              <w:rPr/>
              <w:t>份</w:t>
            </w:r>
            <w:r>
              <w:rPr>
                <w:spacing w:val="-3"/>
              </w:rPr>
              <w:t>额</w:t>
            </w:r>
            <w:r>
              <w:rPr/>
              <w:t>的</w:t>
            </w:r>
            <w:r>
              <w:rPr>
                <w:spacing w:val="-3"/>
              </w:rPr>
              <w:t>申</w:t>
            </w:r>
            <w:r>
              <w:rPr/>
              <w:t>购与</w:t>
            </w:r>
            <w:r>
              <w:rPr>
                <w:spacing w:val="-3"/>
              </w:rPr>
              <w:t>赎</w:t>
            </w:r>
            <w:r>
              <w:rPr/>
              <w:t>回</w:t>
              <w:tab/>
            </w:r>
            <w:r>
              <w:rPr>
                <w:rFonts w:ascii="Times New Roman" w:eastAsia="Times New Roman"/>
              </w:rPr>
              <w:t>16</w:t>
            </w:r>
          </w:hyperlink>
        </w:p>
        <w:p>
          <w:pPr>
            <w:pStyle w:val="TOC1"/>
            <w:tabs>
              <w:tab w:pos="1171" w:val="left" w:leader="none"/>
              <w:tab w:pos="8418" w:val="right" w:leader="dot"/>
            </w:tabs>
            <w:spacing w:before="200"/>
            <w:rPr>
              <w:rFonts w:ascii="Times New Roman" w:eastAsia="Times New Roman"/>
            </w:rPr>
          </w:pPr>
          <w:hyperlink w:history="true" w:anchor="_bookmark7">
            <w:r>
              <w:rPr/>
              <w:t>第八</w:t>
            </w:r>
            <w:r>
              <w:rPr>
                <w:spacing w:val="-3"/>
              </w:rPr>
              <w:t>部</w:t>
            </w:r>
            <w:r>
              <w:rPr/>
              <w:t>分</w:t>
              <w:tab/>
              <w:t>基</w:t>
            </w:r>
            <w:r>
              <w:rPr>
                <w:spacing w:val="-3"/>
              </w:rPr>
              <w:t>金</w:t>
            </w:r>
            <w:r>
              <w:rPr/>
              <w:t>合</w:t>
            </w:r>
            <w:r>
              <w:rPr>
                <w:spacing w:val="-3"/>
              </w:rPr>
              <w:t>同</w:t>
            </w:r>
            <w:r>
              <w:rPr/>
              <w:t>当</w:t>
            </w:r>
            <w:r>
              <w:rPr>
                <w:spacing w:val="-3"/>
              </w:rPr>
              <w:t>事</w:t>
            </w:r>
            <w:r>
              <w:rPr/>
              <w:t>人及</w:t>
            </w:r>
            <w:r>
              <w:rPr>
                <w:spacing w:val="-3"/>
              </w:rPr>
              <w:t>权</w:t>
            </w:r>
            <w:r>
              <w:rPr/>
              <w:t>利</w:t>
            </w:r>
            <w:r>
              <w:rPr>
                <w:spacing w:val="-3"/>
              </w:rPr>
              <w:t>义</w:t>
            </w:r>
            <w:r>
              <w:rPr/>
              <w:t>务</w:t>
              <w:tab/>
            </w:r>
            <w:r>
              <w:rPr>
                <w:rFonts w:ascii="Times New Roman" w:eastAsia="Times New Roman"/>
              </w:rPr>
              <w:t>26</w:t>
            </w:r>
          </w:hyperlink>
        </w:p>
        <w:p>
          <w:pPr>
            <w:pStyle w:val="TOC1"/>
            <w:tabs>
              <w:tab w:pos="1171" w:val="left" w:leader="none"/>
              <w:tab w:pos="8418" w:val="right" w:leader="dot"/>
            </w:tabs>
            <w:rPr>
              <w:rFonts w:ascii="Times New Roman" w:eastAsia="Times New Roman"/>
            </w:rPr>
          </w:pPr>
          <w:hyperlink w:history="true" w:anchor="_bookmark8">
            <w:r>
              <w:rPr/>
              <w:t>第九</w:t>
            </w:r>
            <w:r>
              <w:rPr>
                <w:spacing w:val="-3"/>
              </w:rPr>
              <w:t>部</w:t>
            </w:r>
            <w:r>
              <w:rPr/>
              <w:t>分</w:t>
              <w:tab/>
              <w:t>基</w:t>
            </w:r>
            <w:r>
              <w:rPr>
                <w:spacing w:val="-3"/>
              </w:rPr>
              <w:t>金</w:t>
            </w:r>
            <w:r>
              <w:rPr/>
              <w:t>份</w:t>
            </w:r>
            <w:r>
              <w:rPr>
                <w:spacing w:val="-3"/>
              </w:rPr>
              <w:t>额</w:t>
            </w:r>
            <w:r>
              <w:rPr/>
              <w:t>持</w:t>
            </w:r>
            <w:r>
              <w:rPr>
                <w:spacing w:val="-3"/>
              </w:rPr>
              <w:t>有</w:t>
            </w:r>
            <w:r>
              <w:rPr/>
              <w:t>人大会</w:t>
              <w:tab/>
            </w:r>
            <w:r>
              <w:rPr>
                <w:rFonts w:ascii="Times New Roman" w:eastAsia="Times New Roman"/>
              </w:rPr>
              <w:t>33</w:t>
            </w:r>
          </w:hyperlink>
        </w:p>
        <w:p>
          <w:pPr>
            <w:pStyle w:val="TOC1"/>
            <w:tabs>
              <w:tab w:pos="1171" w:val="left" w:leader="none"/>
              <w:tab w:pos="8418" w:val="right" w:leader="dot"/>
            </w:tabs>
            <w:rPr>
              <w:rFonts w:ascii="Times New Roman" w:eastAsia="Times New Roman"/>
            </w:rPr>
          </w:pPr>
          <w:hyperlink w:history="true" w:anchor="_bookmark9">
            <w:r>
              <w:rPr/>
              <w:t>第十</w:t>
            </w:r>
            <w:r>
              <w:rPr>
                <w:spacing w:val="-3"/>
              </w:rPr>
              <w:t>部</w:t>
            </w:r>
            <w:r>
              <w:rPr/>
              <w:t>分</w:t>
              <w:tab/>
              <w:t>基</w:t>
            </w:r>
            <w:r>
              <w:rPr>
                <w:spacing w:val="-3"/>
              </w:rPr>
              <w:t>金</w:t>
            </w:r>
            <w:r>
              <w:rPr/>
              <w:t>管</w:t>
            </w:r>
            <w:r>
              <w:rPr>
                <w:spacing w:val="-3"/>
              </w:rPr>
              <w:t>理</w:t>
            </w:r>
            <w:r>
              <w:rPr/>
              <w:t>人、基金</w:t>
            </w:r>
            <w:r>
              <w:rPr>
                <w:spacing w:val="-3"/>
              </w:rPr>
              <w:t>托</w:t>
            </w:r>
            <w:r>
              <w:rPr/>
              <w:t>管</w:t>
            </w:r>
            <w:r>
              <w:rPr>
                <w:spacing w:val="-3"/>
              </w:rPr>
              <w:t>人</w:t>
            </w:r>
            <w:r>
              <w:rPr/>
              <w:t>的</w:t>
            </w:r>
            <w:r>
              <w:rPr>
                <w:spacing w:val="-3"/>
              </w:rPr>
              <w:t>更</w:t>
            </w:r>
            <w:r>
              <w:rPr/>
              <w:t>换</w:t>
            </w:r>
            <w:r>
              <w:rPr>
                <w:spacing w:val="-3"/>
              </w:rPr>
              <w:t>条</w:t>
            </w:r>
            <w:r>
              <w:rPr/>
              <w:t>件</w:t>
            </w:r>
            <w:r>
              <w:rPr>
                <w:spacing w:val="-3"/>
              </w:rPr>
              <w:t>和</w:t>
            </w:r>
            <w:r>
              <w:rPr/>
              <w:t>程序</w:t>
              <w:tab/>
            </w:r>
            <w:r>
              <w:rPr>
                <w:rFonts w:ascii="Times New Roman" w:eastAsia="Times New Roman"/>
              </w:rPr>
              <w:t>40</w:t>
            </w:r>
          </w:hyperlink>
        </w:p>
        <w:p>
          <w:pPr>
            <w:pStyle w:val="TOC1"/>
            <w:tabs>
              <w:tab w:pos="1382" w:val="left" w:leader="none"/>
              <w:tab w:pos="8418" w:val="right" w:leader="dot"/>
            </w:tabs>
            <w:rPr>
              <w:rFonts w:ascii="Times New Roman" w:eastAsia="Times New Roman"/>
            </w:rPr>
          </w:pPr>
          <w:hyperlink w:history="true" w:anchor="_bookmark10">
            <w:r>
              <w:rPr/>
              <w:t>第十</w:t>
            </w:r>
            <w:r>
              <w:rPr>
                <w:spacing w:val="-3"/>
              </w:rPr>
              <w:t>一</w:t>
            </w:r>
            <w:r>
              <w:rPr/>
              <w:t>部分</w:t>
              <w:tab/>
            </w:r>
            <w:r>
              <w:rPr>
                <w:spacing w:val="-3"/>
              </w:rPr>
              <w:t>基</w:t>
            </w:r>
            <w:r>
              <w:rPr/>
              <w:t>金</w:t>
            </w:r>
            <w:r>
              <w:rPr>
                <w:spacing w:val="-3"/>
              </w:rPr>
              <w:t>的</w:t>
            </w:r>
            <w:r>
              <w:rPr/>
              <w:t>托管</w:t>
              <w:tab/>
            </w:r>
            <w:r>
              <w:rPr>
                <w:rFonts w:ascii="Times New Roman" w:eastAsia="Times New Roman"/>
              </w:rPr>
              <w:t>43</w:t>
            </w:r>
          </w:hyperlink>
        </w:p>
        <w:p>
          <w:pPr>
            <w:pStyle w:val="TOC1"/>
            <w:tabs>
              <w:tab w:pos="1382" w:val="left" w:leader="none"/>
              <w:tab w:pos="8418" w:val="right" w:leader="dot"/>
            </w:tabs>
            <w:spacing w:before="198"/>
            <w:rPr>
              <w:rFonts w:ascii="Times New Roman" w:eastAsia="Times New Roman"/>
            </w:rPr>
          </w:pPr>
          <w:hyperlink w:history="true" w:anchor="_bookmark11">
            <w:r>
              <w:rPr/>
              <w:t>第十</w:t>
            </w:r>
            <w:r>
              <w:rPr>
                <w:spacing w:val="-3"/>
              </w:rPr>
              <w:t>二</w:t>
            </w:r>
            <w:r>
              <w:rPr/>
              <w:t>部分</w:t>
              <w:tab/>
            </w:r>
            <w:r>
              <w:rPr>
                <w:spacing w:val="-3"/>
              </w:rPr>
              <w:t>基</w:t>
            </w:r>
            <w:r>
              <w:rPr/>
              <w:t>金</w:t>
            </w:r>
            <w:r>
              <w:rPr>
                <w:spacing w:val="-3"/>
              </w:rPr>
              <w:t>份</w:t>
            </w:r>
            <w:r>
              <w:rPr/>
              <w:t>额</w:t>
            </w:r>
            <w:r>
              <w:rPr>
                <w:spacing w:val="-3"/>
              </w:rPr>
              <w:t>的</w:t>
            </w:r>
            <w:r>
              <w:rPr/>
              <w:t>登记</w:t>
            </w:r>
            <w:r>
              <w:rPr>
                <w:spacing w:val="-3"/>
              </w:rPr>
              <w:t>结</w:t>
            </w:r>
            <w:r>
              <w:rPr/>
              <w:t>算</w:t>
              <w:tab/>
            </w:r>
            <w:r>
              <w:rPr>
                <w:rFonts w:ascii="Times New Roman" w:eastAsia="Times New Roman"/>
              </w:rPr>
              <w:t>44</w:t>
            </w:r>
          </w:hyperlink>
        </w:p>
        <w:p>
          <w:pPr>
            <w:pStyle w:val="TOC1"/>
            <w:tabs>
              <w:tab w:pos="1382" w:val="left" w:leader="none"/>
              <w:tab w:pos="8418" w:val="right" w:leader="dot"/>
            </w:tabs>
            <w:rPr>
              <w:rFonts w:ascii="Times New Roman" w:eastAsia="Times New Roman"/>
            </w:rPr>
          </w:pPr>
          <w:hyperlink w:history="true" w:anchor="_bookmark12">
            <w:r>
              <w:rPr/>
              <w:t>第十</w:t>
            </w:r>
            <w:r>
              <w:rPr>
                <w:spacing w:val="-3"/>
              </w:rPr>
              <w:t>三</w:t>
            </w:r>
            <w:r>
              <w:rPr/>
              <w:t>部分</w:t>
              <w:tab/>
            </w:r>
            <w:r>
              <w:rPr>
                <w:spacing w:val="-3"/>
              </w:rPr>
              <w:t>基</w:t>
            </w:r>
            <w:r>
              <w:rPr/>
              <w:t>金</w:t>
            </w:r>
            <w:r>
              <w:rPr>
                <w:spacing w:val="-3"/>
              </w:rPr>
              <w:t>的</w:t>
            </w:r>
            <w:r>
              <w:rPr/>
              <w:t>投资</w:t>
              <w:tab/>
            </w:r>
            <w:r>
              <w:rPr>
                <w:rFonts w:ascii="Times New Roman" w:eastAsia="Times New Roman"/>
              </w:rPr>
              <w:t>46</w:t>
            </w:r>
          </w:hyperlink>
        </w:p>
        <w:p>
          <w:pPr>
            <w:pStyle w:val="TOC1"/>
            <w:tabs>
              <w:tab w:pos="1382" w:val="left" w:leader="none"/>
              <w:tab w:pos="8418" w:val="right" w:leader="dot"/>
            </w:tabs>
            <w:rPr>
              <w:rFonts w:ascii="Times New Roman" w:eastAsia="Times New Roman"/>
            </w:rPr>
          </w:pPr>
          <w:hyperlink w:history="true" w:anchor="_bookmark13">
            <w:r>
              <w:rPr/>
              <w:t>第十</w:t>
            </w:r>
            <w:r>
              <w:rPr>
                <w:spacing w:val="-3"/>
              </w:rPr>
              <w:t>四</w:t>
            </w:r>
            <w:r>
              <w:rPr/>
              <w:t>部分</w:t>
              <w:tab/>
            </w:r>
            <w:r>
              <w:rPr>
                <w:spacing w:val="-3"/>
              </w:rPr>
              <w:t>基</w:t>
            </w:r>
            <w:r>
              <w:rPr/>
              <w:t>金</w:t>
            </w:r>
            <w:r>
              <w:rPr>
                <w:spacing w:val="-3"/>
              </w:rPr>
              <w:t>的</w:t>
            </w:r>
            <w:r>
              <w:rPr/>
              <w:t>财产</w:t>
              <w:tab/>
            </w:r>
            <w:r>
              <w:rPr>
                <w:rFonts w:ascii="Times New Roman" w:eastAsia="Times New Roman"/>
              </w:rPr>
              <w:t>51</w:t>
            </w:r>
          </w:hyperlink>
        </w:p>
        <w:p>
          <w:pPr>
            <w:pStyle w:val="TOC1"/>
            <w:tabs>
              <w:tab w:pos="1382" w:val="left" w:leader="none"/>
              <w:tab w:pos="8418" w:val="right" w:leader="dot"/>
            </w:tabs>
            <w:rPr>
              <w:rFonts w:ascii="Times New Roman" w:eastAsia="Times New Roman"/>
            </w:rPr>
          </w:pPr>
          <w:hyperlink w:history="true" w:anchor="_bookmark14">
            <w:r>
              <w:rPr/>
              <w:t>第十</w:t>
            </w:r>
            <w:r>
              <w:rPr>
                <w:spacing w:val="-3"/>
              </w:rPr>
              <w:t>五</w:t>
            </w:r>
            <w:r>
              <w:rPr/>
              <w:t>部分</w:t>
              <w:tab/>
            </w:r>
            <w:r>
              <w:rPr>
                <w:spacing w:val="-3"/>
              </w:rPr>
              <w:t>基</w:t>
            </w:r>
            <w:r>
              <w:rPr/>
              <w:t>金</w:t>
            </w:r>
            <w:r>
              <w:rPr>
                <w:spacing w:val="-3"/>
              </w:rPr>
              <w:t>资</w:t>
            </w:r>
            <w:r>
              <w:rPr/>
              <w:t>产</w:t>
            </w:r>
            <w:r>
              <w:rPr>
                <w:spacing w:val="-3"/>
              </w:rPr>
              <w:t>估</w:t>
            </w:r>
            <w:r>
              <w:rPr/>
              <w:t>值</w:t>
              <w:tab/>
            </w:r>
            <w:r>
              <w:rPr>
                <w:rFonts w:ascii="Times New Roman" w:eastAsia="Times New Roman"/>
              </w:rPr>
              <w:t>52</w:t>
            </w:r>
          </w:hyperlink>
        </w:p>
        <w:p>
          <w:pPr>
            <w:pStyle w:val="TOC1"/>
            <w:tabs>
              <w:tab w:pos="1382" w:val="left" w:leader="none"/>
              <w:tab w:pos="8418" w:val="right" w:leader="dot"/>
            </w:tabs>
            <w:spacing w:before="200"/>
            <w:rPr>
              <w:rFonts w:ascii="Times New Roman" w:eastAsia="Times New Roman"/>
            </w:rPr>
          </w:pPr>
          <w:hyperlink w:history="true" w:anchor="_bookmark15">
            <w:r>
              <w:rPr/>
              <w:t>第十</w:t>
            </w:r>
            <w:r>
              <w:rPr>
                <w:spacing w:val="-3"/>
              </w:rPr>
              <w:t>六</w:t>
            </w:r>
            <w:r>
              <w:rPr/>
              <w:t>部分</w:t>
              <w:tab/>
            </w:r>
            <w:r>
              <w:rPr>
                <w:spacing w:val="-3"/>
              </w:rPr>
              <w:t>基</w:t>
            </w:r>
            <w:r>
              <w:rPr/>
              <w:t>金</w:t>
            </w:r>
            <w:r>
              <w:rPr>
                <w:spacing w:val="-3"/>
              </w:rPr>
              <w:t>费</w:t>
            </w:r>
            <w:r>
              <w:rPr/>
              <w:t>用</w:t>
            </w:r>
            <w:r>
              <w:rPr>
                <w:spacing w:val="-3"/>
              </w:rPr>
              <w:t>与</w:t>
            </w:r>
            <w:r>
              <w:rPr/>
              <w:t>税收</w:t>
              <w:tab/>
            </w:r>
            <w:r>
              <w:rPr>
                <w:rFonts w:ascii="Times New Roman" w:eastAsia="Times New Roman"/>
              </w:rPr>
              <w:t>57</w:t>
            </w:r>
          </w:hyperlink>
        </w:p>
        <w:p>
          <w:pPr>
            <w:pStyle w:val="TOC1"/>
            <w:tabs>
              <w:tab w:pos="1382" w:val="left" w:leader="none"/>
              <w:tab w:pos="8418" w:val="right" w:leader="dot"/>
            </w:tabs>
            <w:rPr>
              <w:rFonts w:ascii="Times New Roman" w:eastAsia="Times New Roman"/>
            </w:rPr>
          </w:pPr>
          <w:hyperlink w:history="true" w:anchor="_bookmark16">
            <w:r>
              <w:rPr/>
              <w:t>第十</w:t>
            </w:r>
            <w:r>
              <w:rPr>
                <w:spacing w:val="-3"/>
              </w:rPr>
              <w:t>七</w:t>
            </w:r>
            <w:r>
              <w:rPr/>
              <w:t>部分</w:t>
              <w:tab/>
            </w:r>
            <w:r>
              <w:rPr>
                <w:spacing w:val="-3"/>
              </w:rPr>
              <w:t>基</w:t>
            </w:r>
            <w:r>
              <w:rPr/>
              <w:t>金</w:t>
            </w:r>
            <w:r>
              <w:rPr>
                <w:spacing w:val="-3"/>
              </w:rPr>
              <w:t>的</w:t>
            </w:r>
            <w:r>
              <w:rPr/>
              <w:t>收</w:t>
            </w:r>
            <w:r>
              <w:rPr>
                <w:spacing w:val="-3"/>
              </w:rPr>
              <w:t>益</w:t>
            </w:r>
            <w:r>
              <w:rPr/>
              <w:t>与分配</w:t>
              <w:tab/>
            </w:r>
            <w:r>
              <w:rPr>
                <w:rFonts w:ascii="Times New Roman" w:eastAsia="Times New Roman"/>
              </w:rPr>
              <w:t>60</w:t>
            </w:r>
          </w:hyperlink>
        </w:p>
        <w:p>
          <w:pPr>
            <w:pStyle w:val="TOC1"/>
            <w:tabs>
              <w:tab w:pos="1382" w:val="left" w:leader="none"/>
              <w:tab w:pos="8418" w:val="right" w:leader="dot"/>
            </w:tabs>
            <w:spacing w:before="198"/>
            <w:rPr>
              <w:rFonts w:ascii="Times New Roman" w:eastAsia="Times New Roman"/>
            </w:rPr>
          </w:pPr>
          <w:hyperlink w:history="true" w:anchor="_bookmark17">
            <w:r>
              <w:rPr/>
              <w:t>第十</w:t>
            </w:r>
            <w:r>
              <w:rPr>
                <w:spacing w:val="-3"/>
              </w:rPr>
              <w:t>八</w:t>
            </w:r>
            <w:r>
              <w:rPr/>
              <w:t>部分</w:t>
              <w:tab/>
            </w:r>
            <w:r>
              <w:rPr>
                <w:spacing w:val="-3"/>
              </w:rPr>
              <w:t>基</w:t>
            </w:r>
            <w:r>
              <w:rPr/>
              <w:t>金</w:t>
            </w:r>
            <w:r>
              <w:rPr>
                <w:spacing w:val="-3"/>
              </w:rPr>
              <w:t>的</w:t>
            </w:r>
            <w:r>
              <w:rPr/>
              <w:t>会计与审计</w:t>
              <w:tab/>
            </w:r>
            <w:r>
              <w:rPr>
                <w:rFonts w:ascii="Times New Roman" w:eastAsia="Times New Roman"/>
              </w:rPr>
              <w:t>62</w:t>
            </w:r>
          </w:hyperlink>
        </w:p>
        <w:p>
          <w:pPr>
            <w:pStyle w:val="TOC1"/>
            <w:tabs>
              <w:tab w:pos="1382" w:val="left" w:leader="none"/>
              <w:tab w:pos="8418" w:val="right" w:leader="dot"/>
            </w:tabs>
            <w:rPr>
              <w:rFonts w:ascii="Times New Roman" w:eastAsia="Times New Roman"/>
            </w:rPr>
          </w:pPr>
          <w:hyperlink w:history="true" w:anchor="_bookmark18">
            <w:r>
              <w:rPr/>
              <w:t>第十</w:t>
            </w:r>
            <w:r>
              <w:rPr>
                <w:spacing w:val="-3"/>
              </w:rPr>
              <w:t>九</w:t>
            </w:r>
            <w:r>
              <w:rPr/>
              <w:t>部分</w:t>
              <w:tab/>
            </w:r>
            <w:r>
              <w:rPr>
                <w:spacing w:val="-3"/>
              </w:rPr>
              <w:t>基</w:t>
            </w:r>
            <w:r>
              <w:rPr/>
              <w:t>金</w:t>
            </w:r>
            <w:r>
              <w:rPr>
                <w:spacing w:val="-3"/>
              </w:rPr>
              <w:t>的</w:t>
            </w:r>
            <w:r>
              <w:rPr/>
              <w:t>信</w:t>
            </w:r>
            <w:r>
              <w:rPr>
                <w:spacing w:val="-3"/>
              </w:rPr>
              <w:t>息</w:t>
            </w:r>
            <w:r>
              <w:rPr/>
              <w:t>披露</w:t>
              <w:tab/>
            </w:r>
            <w:r>
              <w:rPr>
                <w:rFonts w:ascii="Times New Roman" w:eastAsia="Times New Roman"/>
              </w:rPr>
              <w:t>63</w:t>
            </w:r>
          </w:hyperlink>
        </w:p>
        <w:p>
          <w:pPr>
            <w:pStyle w:val="TOC1"/>
            <w:tabs>
              <w:tab w:pos="1382" w:val="left" w:leader="none"/>
              <w:tab w:pos="8418" w:val="right" w:leader="dot"/>
            </w:tabs>
            <w:rPr>
              <w:rFonts w:ascii="Times New Roman" w:eastAsia="Times New Roman"/>
            </w:rPr>
          </w:pPr>
          <w:hyperlink w:history="true" w:anchor="_bookmark19">
            <w:r>
              <w:rPr/>
              <w:t>第二</w:t>
            </w:r>
            <w:r>
              <w:rPr>
                <w:spacing w:val="-3"/>
              </w:rPr>
              <w:t>十</w:t>
            </w:r>
            <w:r>
              <w:rPr/>
              <w:t>部分</w:t>
              <w:tab/>
            </w:r>
            <w:r>
              <w:rPr>
                <w:spacing w:val="-3"/>
              </w:rPr>
              <w:t>基</w:t>
            </w:r>
            <w:r>
              <w:rPr/>
              <w:t>金</w:t>
            </w:r>
            <w:r>
              <w:rPr>
                <w:spacing w:val="-3"/>
              </w:rPr>
              <w:t>合</w:t>
            </w:r>
            <w:r>
              <w:rPr/>
              <w:t>同</w:t>
            </w:r>
            <w:r>
              <w:rPr>
                <w:spacing w:val="-3"/>
              </w:rPr>
              <w:t>的</w:t>
            </w:r>
            <w:r>
              <w:rPr/>
              <w:t>变更</w:t>
            </w:r>
            <w:r>
              <w:rPr>
                <w:spacing w:val="-3"/>
              </w:rPr>
              <w:t>、</w:t>
            </w:r>
            <w:r>
              <w:rPr/>
              <w:t>终</w:t>
            </w:r>
            <w:r>
              <w:rPr>
                <w:spacing w:val="-3"/>
              </w:rPr>
              <w:t>止</w:t>
            </w:r>
            <w:r>
              <w:rPr/>
              <w:t>与</w:t>
            </w:r>
            <w:r>
              <w:rPr>
                <w:spacing w:val="-3"/>
              </w:rPr>
              <w:t>基</w:t>
            </w:r>
            <w:r>
              <w:rPr/>
              <w:t>金</w:t>
            </w:r>
            <w:r>
              <w:rPr>
                <w:spacing w:val="-3"/>
              </w:rPr>
              <w:t>财</w:t>
            </w:r>
            <w:r>
              <w:rPr/>
              <w:t>产</w:t>
            </w:r>
            <w:r>
              <w:rPr>
                <w:spacing w:val="-3"/>
              </w:rPr>
              <w:t>的</w:t>
            </w:r>
            <w:r>
              <w:rPr/>
              <w:t>清算</w:t>
              <w:tab/>
            </w:r>
            <w:r>
              <w:rPr>
                <w:rFonts w:ascii="Times New Roman" w:eastAsia="Times New Roman"/>
              </w:rPr>
              <w:t>69</w:t>
            </w:r>
          </w:hyperlink>
        </w:p>
        <w:p>
          <w:pPr>
            <w:pStyle w:val="TOC1"/>
            <w:tabs>
              <w:tab w:pos="1591" w:val="left" w:leader="none"/>
              <w:tab w:pos="8418" w:val="right" w:leader="dot"/>
            </w:tabs>
            <w:rPr>
              <w:rFonts w:ascii="Times New Roman" w:eastAsia="Times New Roman"/>
            </w:rPr>
          </w:pPr>
          <w:hyperlink w:history="true" w:anchor="_bookmark20">
            <w:r>
              <w:rPr/>
              <w:t>第二</w:t>
            </w:r>
            <w:r>
              <w:rPr>
                <w:spacing w:val="-3"/>
              </w:rPr>
              <w:t>十</w:t>
            </w:r>
            <w:r>
              <w:rPr/>
              <w:t>一</w:t>
            </w:r>
            <w:r>
              <w:rPr>
                <w:spacing w:val="-3"/>
              </w:rPr>
              <w:t>部</w:t>
            </w:r>
            <w:r>
              <w:rPr/>
              <w:t>分</w:t>
              <w:tab/>
              <w:t>违</w:t>
            </w:r>
            <w:r>
              <w:rPr>
                <w:spacing w:val="-3"/>
              </w:rPr>
              <w:t>约</w:t>
            </w:r>
            <w:r>
              <w:rPr/>
              <w:t>责任</w:t>
              <w:tab/>
            </w:r>
            <w:r>
              <w:rPr>
                <w:rFonts w:ascii="Times New Roman" w:eastAsia="Times New Roman"/>
              </w:rPr>
              <w:t>71</w:t>
            </w:r>
          </w:hyperlink>
        </w:p>
        <w:p>
          <w:pPr>
            <w:pStyle w:val="TOC1"/>
            <w:tabs>
              <w:tab w:pos="1591" w:val="left" w:leader="none"/>
              <w:tab w:pos="8418" w:val="right" w:leader="dot"/>
            </w:tabs>
            <w:rPr>
              <w:rFonts w:ascii="Times New Roman" w:eastAsia="Times New Roman"/>
            </w:rPr>
          </w:pPr>
          <w:hyperlink w:history="true" w:anchor="_bookmark21">
            <w:r>
              <w:rPr/>
              <w:t>第二</w:t>
            </w:r>
            <w:r>
              <w:rPr>
                <w:spacing w:val="-3"/>
              </w:rPr>
              <w:t>十</w:t>
            </w:r>
            <w:r>
              <w:rPr/>
              <w:t>二</w:t>
            </w:r>
            <w:r>
              <w:rPr>
                <w:spacing w:val="-3"/>
              </w:rPr>
              <w:t>部</w:t>
            </w:r>
            <w:r>
              <w:rPr/>
              <w:t>分</w:t>
              <w:tab/>
              <w:t>争</w:t>
            </w:r>
            <w:r>
              <w:rPr>
                <w:spacing w:val="-3"/>
              </w:rPr>
              <w:t>议</w:t>
            </w:r>
            <w:r>
              <w:rPr/>
              <w:t>的</w:t>
            </w:r>
            <w:r>
              <w:rPr>
                <w:spacing w:val="-3"/>
              </w:rPr>
              <w:t>处</w:t>
            </w:r>
            <w:r>
              <w:rPr/>
              <w:t>理和</w:t>
            </w:r>
            <w:r>
              <w:rPr>
                <w:spacing w:val="-3"/>
              </w:rPr>
              <w:t>适</w:t>
            </w:r>
            <w:r>
              <w:rPr/>
              <w:t>用</w:t>
            </w:r>
            <w:r>
              <w:rPr>
                <w:spacing w:val="-3"/>
              </w:rPr>
              <w:t>的</w:t>
            </w:r>
            <w:r>
              <w:rPr/>
              <w:t>法律</w:t>
              <w:tab/>
            </w:r>
            <w:r>
              <w:rPr>
                <w:rFonts w:ascii="Times New Roman" w:eastAsia="Times New Roman"/>
              </w:rPr>
              <w:t>72</w:t>
            </w:r>
          </w:hyperlink>
        </w:p>
        <w:p>
          <w:pPr>
            <w:pStyle w:val="TOC1"/>
            <w:tabs>
              <w:tab w:pos="1591" w:val="left" w:leader="none"/>
              <w:tab w:pos="8418" w:val="right" w:leader="dot"/>
            </w:tabs>
            <w:rPr>
              <w:rFonts w:ascii="Times New Roman" w:eastAsia="Times New Roman"/>
            </w:rPr>
          </w:pPr>
          <w:hyperlink w:history="true" w:anchor="_bookmark22">
            <w:r>
              <w:rPr/>
              <w:t>第二</w:t>
            </w:r>
            <w:r>
              <w:rPr>
                <w:spacing w:val="-3"/>
              </w:rPr>
              <w:t>十</w:t>
            </w:r>
            <w:r>
              <w:rPr/>
              <w:t>三</w:t>
            </w:r>
            <w:r>
              <w:rPr>
                <w:spacing w:val="-3"/>
              </w:rPr>
              <w:t>部</w:t>
            </w:r>
            <w:r>
              <w:rPr/>
              <w:t>分</w:t>
              <w:tab/>
              <w:t>基</w:t>
            </w:r>
            <w:r>
              <w:rPr>
                <w:spacing w:val="-3"/>
              </w:rPr>
              <w:t>金</w:t>
            </w:r>
            <w:r>
              <w:rPr/>
              <w:t>合</w:t>
            </w:r>
            <w:r>
              <w:rPr>
                <w:spacing w:val="-3"/>
              </w:rPr>
              <w:t>同</w:t>
            </w:r>
            <w:r>
              <w:rPr/>
              <w:t>的效力</w:t>
              <w:tab/>
            </w:r>
            <w:r>
              <w:rPr>
                <w:rFonts w:ascii="Times New Roman" w:eastAsia="Times New Roman"/>
              </w:rPr>
              <w:t>73</w:t>
            </w:r>
          </w:hyperlink>
        </w:p>
        <w:p>
          <w:pPr>
            <w:pStyle w:val="TOC1"/>
            <w:tabs>
              <w:tab w:pos="1591" w:val="left" w:leader="none"/>
              <w:tab w:pos="8418" w:val="right" w:leader="dot"/>
            </w:tabs>
            <w:spacing w:before="200"/>
            <w:rPr>
              <w:rFonts w:ascii="Times New Roman" w:eastAsia="Times New Roman"/>
            </w:rPr>
          </w:pPr>
          <w:hyperlink w:history="true" w:anchor="_bookmark23">
            <w:r>
              <w:rPr/>
              <w:t>第二</w:t>
            </w:r>
            <w:r>
              <w:rPr>
                <w:spacing w:val="-3"/>
              </w:rPr>
              <w:t>十</w:t>
            </w:r>
            <w:r>
              <w:rPr/>
              <w:t>四</w:t>
            </w:r>
            <w:r>
              <w:rPr>
                <w:spacing w:val="-3"/>
              </w:rPr>
              <w:t>部</w:t>
            </w:r>
            <w:r>
              <w:rPr/>
              <w:t>分</w:t>
              <w:tab/>
              <w:t>其</w:t>
            </w:r>
            <w:r>
              <w:rPr>
                <w:spacing w:val="-3"/>
              </w:rPr>
              <w:t>他</w:t>
            </w:r>
            <w:r>
              <w:rPr/>
              <w:t>事项</w:t>
              <w:tab/>
            </w:r>
            <w:r>
              <w:rPr>
                <w:rFonts w:ascii="Times New Roman" w:eastAsia="Times New Roman"/>
              </w:rPr>
              <w:t>74</w:t>
            </w:r>
          </w:hyperlink>
        </w:p>
        <w:p>
          <w:pPr>
            <w:pStyle w:val="TOC1"/>
            <w:tabs>
              <w:tab w:pos="1591" w:val="left" w:leader="none"/>
              <w:tab w:pos="8418" w:val="right" w:leader="dot"/>
            </w:tabs>
            <w:rPr>
              <w:rFonts w:ascii="Times New Roman" w:eastAsia="Times New Roman"/>
            </w:rPr>
          </w:pPr>
          <w:hyperlink w:history="true" w:anchor="_bookmark24">
            <w:r>
              <w:rPr/>
              <w:t>第二</w:t>
            </w:r>
            <w:r>
              <w:rPr>
                <w:spacing w:val="-3"/>
              </w:rPr>
              <w:t>十</w:t>
            </w:r>
            <w:r>
              <w:rPr/>
              <w:t>五</w:t>
            </w:r>
            <w:r>
              <w:rPr>
                <w:spacing w:val="-3"/>
              </w:rPr>
              <w:t>部</w:t>
            </w:r>
            <w:r>
              <w:rPr/>
              <w:t>分</w:t>
              <w:tab/>
              <w:t>基</w:t>
            </w:r>
            <w:r>
              <w:rPr>
                <w:spacing w:val="-3"/>
              </w:rPr>
              <w:t>金</w:t>
            </w:r>
            <w:r>
              <w:rPr/>
              <w:t>合</w:t>
            </w:r>
            <w:r>
              <w:rPr>
                <w:spacing w:val="-3"/>
              </w:rPr>
              <w:t>同</w:t>
            </w:r>
            <w:r>
              <w:rPr/>
              <w:t>摘要</w:t>
              <w:tab/>
            </w:r>
            <w:r>
              <w:rPr>
                <w:rFonts w:ascii="Times New Roman" w:eastAsia="Times New Roman"/>
              </w:rPr>
              <w:t>75</w:t>
            </w:r>
          </w:hyperlink>
        </w:p>
        <w:p>
          <w:pPr/>
          <w:r>
            <w:fldChar w:fldCharType="end"/>
          </w:r>
        </w:p>
      </w:sdtContent>
    </w:sdt>
    <w:p>
      <w:pPr>
        <w:spacing w:after="0"/>
        <w:sectPr>
          <w:pgSz w:w="11910" w:h="16840"/>
          <w:pgMar w:top="1520" w:bottom="280" w:left="1680" w:right="1440"/>
        </w:sectPr>
      </w:pPr>
    </w:p>
    <w:p>
      <w:pPr>
        <w:pStyle w:val="Heading1"/>
        <w:tabs>
          <w:tab w:pos="1505" w:val="left" w:leader="none"/>
        </w:tabs>
        <w:ind w:right="235"/>
      </w:pPr>
      <w:bookmarkStart w:name="_bookmark0" w:id="1"/>
      <w:bookmarkEnd w:id="1"/>
      <w:r>
        <w:rPr>
          <w:b w:val="0"/>
        </w:rPr>
      </w:r>
      <w:r>
        <w:rPr/>
        <w:t>第一部分</w:t>
        <w:tab/>
        <w:t>前言</w:t>
      </w:r>
    </w:p>
    <w:p>
      <w:pPr>
        <w:pStyle w:val="BodyText"/>
        <w:spacing w:before="16"/>
        <w:ind w:left="0"/>
        <w:rPr>
          <w:rFonts w:ascii="微软雅黑"/>
          <w:b/>
          <w:sz w:val="23"/>
        </w:rPr>
      </w:pPr>
    </w:p>
    <w:p>
      <w:pPr>
        <w:pStyle w:val="BodyText"/>
        <w:spacing w:before="0"/>
        <w:ind w:left="600"/>
      </w:pPr>
      <w:r>
        <w:rPr/>
        <w:t>一、订立本基金合同的目的、依据和原则</w:t>
      </w:r>
    </w:p>
    <w:p>
      <w:pPr>
        <w:pStyle w:val="BodyText"/>
        <w:spacing w:line="364" w:lineRule="auto"/>
        <w:ind w:right="364"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351" w:firstLine="479"/>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、《证券投</w:t>
      </w:r>
      <w:r>
        <w:rPr>
          <w:spacing w:val="-31"/>
        </w:rPr>
        <w:t>资基金运作管理办法》</w:t>
      </w:r>
      <w:r>
        <w:rPr>
          <w:rFonts w:ascii="Times New Roman" w:hAnsi="Times New Roman" w:eastAsia="Times New Roman"/>
        </w:rPr>
        <w:t>(</w:t>
      </w:r>
      <w:r>
        <w:rPr/>
        <w:t>以下简称</w:t>
      </w:r>
      <w:r>
        <w:rPr>
          <w:rFonts w:ascii="Times New Roman" w:hAnsi="Times New Roman" w:eastAsia="Times New Roman"/>
          <w:spacing w:val="-88"/>
        </w:rPr>
        <w:t>“</w:t>
      </w:r>
      <w:r>
        <w:rPr>
          <w:spacing w:val="-15"/>
        </w:rPr>
        <w:t>《运作办法》</w:t>
      </w:r>
      <w:r>
        <w:rPr>
          <w:rFonts w:ascii="Times New Roman" w:hAnsi="Times New Roman" w:eastAsia="Times New Roman"/>
        </w:rPr>
        <w:t>”)</w:t>
      </w:r>
      <w:r>
        <w:rPr>
          <w:spacing w:val="-17"/>
        </w:rPr>
        <w:t>、《证券投资基金销售管理办法》 </w:t>
      </w:r>
      <w:r>
        <w:rPr>
          <w:rFonts w:ascii="Times New Roman" w:hAnsi="Times New Roman" w:eastAsia="Times New Roman"/>
          <w:spacing w:val="-17"/>
        </w:rPr>
        <w:t>(</w:t>
      </w:r>
      <w:r>
        <w:rPr>
          <w:spacing w:val="-17"/>
        </w:rPr>
        <w:t>以下简称</w:t>
      </w:r>
      <w:r>
        <w:rPr>
          <w:rFonts w:ascii="Times New Roman" w:hAnsi="Times New Roman" w:eastAsia="Times New Roman"/>
          <w:spacing w:val="-17"/>
        </w:rPr>
        <w:t>“</w:t>
      </w:r>
      <w:r>
        <w:rPr>
          <w:spacing w:val="-14"/>
        </w:rPr>
        <w:t>《销售办法》</w:t>
      </w:r>
      <w:r>
        <w:rPr>
          <w:rFonts w:ascii="Times New Roman" w:hAnsi="Times New Roman" w:eastAsia="Times New Roman"/>
        </w:rPr>
        <w:t>”)</w:t>
      </w:r>
      <w:r>
        <w:rPr>
          <w:spacing w:val="-12"/>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spacing w:val="13"/>
        </w:rPr>
        <w:t>”) </w:t>
      </w:r>
      <w:r>
        <w:rPr>
          <w:spacing w:val="-12"/>
        </w:rPr>
        <w:t>、《公开募集开放式证券投资基金流动性风险管理规</w:t>
      </w:r>
      <w:r>
        <w:rPr>
          <w:spacing w:val="-66"/>
        </w:rPr>
        <w:t>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364" w:firstLine="479"/>
      </w:pPr>
      <w:r>
        <w:rPr>
          <w:rFonts w:ascii="Times New Roman" w:eastAsia="Times New Roman"/>
        </w:rPr>
        <w:t>3</w:t>
      </w:r>
      <w:r>
        <w:rPr/>
        <w:t>、订立本基金合同的原则是平等自愿、诚实信用、充分保护投资人合法权益。</w:t>
      </w:r>
    </w:p>
    <w:p>
      <w:pPr>
        <w:pStyle w:val="BodyText"/>
        <w:spacing w:line="364" w:lineRule="auto" w:before="1"/>
        <w:ind w:right="35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w:t>
      </w:r>
      <w:r>
        <w:rPr>
          <w:spacing w:val="-5"/>
        </w:rPr>
        <w:t>基金合同有冲突，均以基金合同为准。基金合同当事人按照《基金法》、基金合</w:t>
      </w:r>
      <w:r>
        <w:rPr/>
        <w:t>同及其他有关规定享有权利、承担义务。</w:t>
      </w:r>
    </w:p>
    <w:p>
      <w:pPr>
        <w:pStyle w:val="BodyText"/>
        <w:spacing w:line="364" w:lineRule="auto" w:before="3"/>
        <w:ind w:right="35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356" w:firstLine="479"/>
        <w:jc w:val="both"/>
      </w:pPr>
      <w:r>
        <w:rPr>
          <w:spacing w:val="-6"/>
        </w:rPr>
        <w:t>三、易方达中债新综合债券指数发起式证券投资基金（</w:t>
      </w:r>
      <w:r>
        <w:rPr>
          <w:rFonts w:ascii="Times New Roman" w:hAnsi="Times New Roman" w:eastAsia="Times New Roman"/>
          <w:spacing w:val="-6"/>
        </w:rPr>
        <w:t>LOF</w:t>
      </w:r>
      <w:r>
        <w:rPr>
          <w:spacing w:val="-6"/>
        </w:rPr>
        <w:t>）</w:t>
      </w:r>
      <w:r>
        <w:rPr>
          <w:spacing w:val="-2"/>
        </w:rPr>
        <w:t>由基金管理人</w:t>
      </w:r>
      <w:r>
        <w:rPr>
          <w:spacing w:val="-23"/>
        </w:rPr>
        <w:t>依照《基金法》、基金合同及其他有关规定募集，并经中国证券监督管理委员会</w:t>
      </w:r>
      <w:r>
        <w:rPr>
          <w:rFonts w:ascii="Times New Roman" w:hAnsi="Times New Roman" w:eastAsia="Times New Roman"/>
        </w:rPr>
        <w:t>(</w:t>
      </w:r>
      <w:r>
        <w:rPr>
          <w:spacing w:val="-13"/>
        </w:rPr>
        <w:t>以</w:t>
      </w:r>
      <w:r>
        <w:rPr/>
        <w:t>下简称</w:t>
      </w:r>
      <w:r>
        <w:rPr>
          <w:rFonts w:ascii="Times New Roman" w:hAnsi="Times New Roman" w:eastAsia="Times New Roman"/>
        </w:rPr>
        <w:t>“</w:t>
      </w:r>
      <w:r>
        <w:rPr/>
        <w:t>中国证监会</w:t>
      </w:r>
      <w:r>
        <w:rPr>
          <w:rFonts w:ascii="Times New Roman" w:hAnsi="Times New Roman" w:eastAsia="Times New Roman"/>
        </w:rPr>
        <w:t>”)</w:t>
      </w:r>
      <w:r>
        <w:rPr/>
        <w:t>核准。</w:t>
      </w:r>
    </w:p>
    <w:p>
      <w:pPr>
        <w:pStyle w:val="BodyText"/>
        <w:spacing w:line="364" w:lineRule="auto" w:before="2"/>
        <w:ind w:right="357" w:firstLine="479"/>
      </w:pPr>
      <w:r>
        <w:rPr>
          <w:spacing w:val="-8"/>
        </w:rPr>
        <w:t>中国证监会对本基金募集的核准，并不表明其对本基金的价值和收益做出实</w:t>
      </w:r>
      <w:r>
        <w:rPr/>
        <w:t>质性判断或保证，也不表明投资于本基金没有风险。</w:t>
      </w:r>
    </w:p>
    <w:p>
      <w:pPr>
        <w:pStyle w:val="BodyText"/>
        <w:spacing w:line="364" w:lineRule="auto" w:before="2"/>
        <w:ind w:right="237" w:firstLine="479"/>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1"/>
        <w:ind w:right="357" w:firstLine="479"/>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footerReference w:type="default" r:id="rId5"/>
          <w:pgSz w:w="11910" w:h="16840"/>
          <w:pgMar w:footer="995" w:header="0" w:top="1500" w:bottom="1180" w:left="1680" w:right="1440"/>
          <w:pgNumType w:start="1"/>
        </w:sectPr>
      </w:pPr>
    </w:p>
    <w:p>
      <w:pPr>
        <w:pStyle w:val="BodyText"/>
        <w:spacing w:before="40"/>
      </w:pPr>
      <w:r>
        <w:rPr/>
        <w:t>金合同为准。</w:t>
      </w:r>
    </w:p>
    <w:p>
      <w:pPr>
        <w:pStyle w:val="BodyText"/>
        <w:spacing w:line="364" w:lineRule="auto"/>
        <w:ind w:right="351" w:firstLine="479"/>
        <w:jc w:val="both"/>
      </w:pPr>
      <w:r>
        <w:rPr>
          <w:spacing w:val="-9"/>
        </w:rPr>
        <w:t>基金合同应当适用《基金法》及相关法律法规之规定，若因法律法规的修改</w:t>
      </w:r>
      <w:r>
        <w:rPr/>
        <w:t>或新法律法规的颁布施行导致基金合同的内容与届时有效的法律法规的规定不一致，应当以届时有效的法律法规的规定为准。</w:t>
      </w:r>
    </w:p>
    <w:p>
      <w:pPr>
        <w:pStyle w:val="BodyText"/>
        <w:spacing w:line="364" w:lineRule="auto" w:before="2"/>
        <w:ind w:right="361" w:firstLine="479"/>
      </w:pPr>
      <w:r>
        <w:rPr>
          <w:spacing w:val="-9"/>
        </w:rPr>
        <w:t>五、本基金合同约定的基金产品资料概要编制、披露与更新要求，自《信息</w:t>
      </w:r>
      <w:r>
        <w:rPr/>
        <w:t>披露办法》实施之日起一年后开始执行。</w:t>
      </w:r>
    </w:p>
    <w:p>
      <w:pPr>
        <w:spacing w:after="0" w:line="364" w:lineRule="auto"/>
        <w:sectPr>
          <w:pgSz w:w="11910" w:h="16840"/>
          <w:pgMar w:header="0" w:footer="995" w:top="1460" w:bottom="1180" w:left="1680" w:right="1440"/>
        </w:sectPr>
      </w:pPr>
    </w:p>
    <w:p>
      <w:pPr>
        <w:pStyle w:val="Heading1"/>
        <w:tabs>
          <w:tab w:pos="1505" w:val="left" w:leader="none"/>
        </w:tabs>
        <w:ind w:right="235"/>
      </w:pPr>
      <w:bookmarkStart w:name="_bookmark1" w:id="2"/>
      <w:bookmarkEnd w:id="2"/>
      <w:r>
        <w:rPr>
          <w:b w:val="0"/>
        </w:rPr>
      </w:r>
      <w:r>
        <w:rPr/>
        <w:t>第二部分</w:t>
        <w:tab/>
        <w:t>释义</w:t>
      </w:r>
    </w:p>
    <w:p>
      <w:pPr>
        <w:pStyle w:val="BodyText"/>
        <w:spacing w:before="6"/>
        <w:ind w:left="0"/>
        <w:rPr>
          <w:rFonts w:ascii="微软雅黑"/>
          <w:b/>
          <w:sz w:val="32"/>
        </w:rPr>
      </w:pPr>
    </w:p>
    <w:p>
      <w:pPr>
        <w:pStyle w:val="BodyText"/>
        <w:spacing w:before="0"/>
        <w:ind w:left="600"/>
      </w:pPr>
      <w:r>
        <w:rPr/>
        <w:t>在本基金合同中，除非文意另有所指，下列词语或简称具有如下含义：</w:t>
      </w:r>
    </w:p>
    <w:p>
      <w:pPr>
        <w:pStyle w:val="BodyText"/>
        <w:ind w:left="600"/>
      </w:pPr>
      <w:r>
        <w:rPr>
          <w:rFonts w:ascii="Times New Roman" w:eastAsia="Times New Roman"/>
        </w:rPr>
        <w:t>1</w:t>
      </w:r>
      <w:r>
        <w:rPr>
          <w:spacing w:val="-19"/>
        </w:rPr>
        <w:t>、基金或本基金：指易方达中债新综合债券指数发起式证券投资基金</w:t>
      </w:r>
      <w:r>
        <w:rPr/>
        <w:t>（</w:t>
      </w:r>
      <w:r>
        <w:rPr>
          <w:rFonts w:ascii="Times New Roman" w:eastAsia="Times New Roman"/>
        </w:rPr>
        <w:t>LOF</w:t>
      </w:r>
      <w:r>
        <w:rPr/>
        <w:t>）</w:t>
      </w:r>
    </w:p>
    <w:p>
      <w:pPr>
        <w:pStyle w:val="BodyText"/>
        <w:spacing w:before="160"/>
        <w:ind w:left="600"/>
      </w:pPr>
      <w:r>
        <w:rPr>
          <w:rFonts w:ascii="Times New Roman" w:eastAsia="Times New Roman"/>
        </w:rPr>
        <w:t>2</w:t>
      </w:r>
      <w:r>
        <w:rPr/>
        <w:t>、基金管理人：指易方达基金管理有限公司</w:t>
      </w:r>
    </w:p>
    <w:p>
      <w:pPr>
        <w:pStyle w:val="BodyText"/>
        <w:ind w:left="600"/>
      </w:pPr>
      <w:r>
        <w:rPr>
          <w:rFonts w:ascii="Times New Roman" w:eastAsia="Times New Roman"/>
        </w:rPr>
        <w:t>3</w:t>
      </w:r>
      <w:r>
        <w:rPr/>
        <w:t>、基金托管人：指中国农业银行股份有限公司</w:t>
      </w:r>
    </w:p>
    <w:p>
      <w:pPr>
        <w:pStyle w:val="BodyText"/>
        <w:spacing w:line="364" w:lineRule="auto" w:before="160"/>
        <w:ind w:right="364" w:firstLine="479"/>
      </w:pPr>
      <w:r>
        <w:rPr>
          <w:rFonts w:ascii="Times New Roman" w:eastAsia="Times New Roman"/>
        </w:rPr>
        <w:t>4</w:t>
      </w:r>
      <w:r>
        <w:rPr/>
        <w:t>、基金合同或本基金合同：指《易方达中债新综合债券指数发起式证券投资基金（</w:t>
      </w:r>
      <w:r>
        <w:rPr>
          <w:rFonts w:ascii="Times New Roman" w:eastAsia="Times New Roman"/>
        </w:rPr>
        <w:t>LOF</w:t>
      </w:r>
      <w:r>
        <w:rPr/>
        <w:t>）基金合同》及对本基金合同的任何有效修订和补充</w:t>
      </w:r>
    </w:p>
    <w:p>
      <w:pPr>
        <w:pStyle w:val="BodyText"/>
        <w:spacing w:line="364" w:lineRule="auto" w:before="2"/>
        <w:ind w:right="356" w:firstLine="479"/>
        <w:jc w:val="both"/>
      </w:pPr>
      <w:r>
        <w:rPr>
          <w:rFonts w:ascii="Times New Roman" w:eastAsia="Times New Roman"/>
        </w:rPr>
        <w:t>5</w:t>
      </w:r>
      <w:r>
        <w:rPr/>
        <w:t>、托管协议：指基金管理人与基金托管人就本基金签订之《易方达中债新</w:t>
      </w:r>
      <w:r>
        <w:rPr>
          <w:spacing w:val="-2"/>
        </w:rPr>
        <w:t>综合债券指数发起式证券投资基金</w:t>
      </w:r>
      <w:r>
        <w:rPr>
          <w:spacing w:val="-6"/>
        </w:rPr>
        <w:t>（</w:t>
      </w:r>
      <w:r>
        <w:rPr>
          <w:rFonts w:ascii="Times New Roman" w:eastAsia="Times New Roman"/>
          <w:spacing w:val="-6"/>
        </w:rPr>
        <w:t>LOF</w:t>
      </w:r>
      <w:r>
        <w:rPr>
          <w:spacing w:val="-6"/>
        </w:rPr>
        <w:t>）托管协议》及对该托管协议的任何有</w:t>
      </w:r>
      <w:r>
        <w:rPr/>
        <w:t>效修订和补充</w:t>
      </w:r>
    </w:p>
    <w:p>
      <w:pPr>
        <w:pStyle w:val="BodyText"/>
        <w:spacing w:line="364" w:lineRule="auto" w:before="2"/>
        <w:ind w:right="356" w:firstLine="479"/>
      </w:pPr>
      <w:r>
        <w:rPr>
          <w:rFonts w:ascii="Times New Roman" w:eastAsia="Times New Roman"/>
        </w:rPr>
        <w:t>6</w:t>
      </w:r>
      <w:r>
        <w:rPr>
          <w:spacing w:val="-23"/>
        </w:rPr>
        <w:t>、招募说明书：指《易方达中债新综合债券指数发起式证券投资基金</w:t>
      </w:r>
      <w:r>
        <w:rPr>
          <w:spacing w:val="-4"/>
        </w:rPr>
        <w:t>（</w:t>
      </w:r>
      <w:r>
        <w:rPr>
          <w:rFonts w:ascii="Times New Roman" w:eastAsia="Times New Roman"/>
          <w:spacing w:val="-4"/>
        </w:rPr>
        <w:t>LOF</w:t>
      </w:r>
      <w:r>
        <w:rPr>
          <w:spacing w:val="-4"/>
        </w:rPr>
        <w:t>） </w:t>
      </w:r>
      <w:r>
        <w:rPr/>
        <w:t>招募说明书》及其更新</w:t>
      </w:r>
    </w:p>
    <w:p>
      <w:pPr>
        <w:pStyle w:val="BodyText"/>
        <w:spacing w:line="364" w:lineRule="auto" w:before="1"/>
        <w:ind w:right="364" w:firstLine="479"/>
      </w:pPr>
      <w:r>
        <w:rPr>
          <w:rFonts w:ascii="Times New Roman" w:eastAsia="Times New Roman"/>
        </w:rPr>
        <w:t>7</w:t>
      </w:r>
      <w:r>
        <w:rPr/>
        <w:t>、基金产品资料概要：指《易方达中债新综合债券指数发起式证券投资基金（</w:t>
      </w:r>
      <w:r>
        <w:rPr>
          <w:rFonts w:ascii="Times New Roman" w:eastAsia="Times New Roman"/>
        </w:rPr>
        <w:t>LOF</w:t>
      </w:r>
      <w:r>
        <w:rPr/>
        <w:t>）基金产品资料概要》及其更新</w:t>
      </w:r>
    </w:p>
    <w:p>
      <w:pPr>
        <w:pStyle w:val="BodyText"/>
        <w:spacing w:line="364" w:lineRule="auto" w:before="1"/>
        <w:ind w:right="363" w:firstLine="479"/>
      </w:pPr>
      <w:r>
        <w:rPr>
          <w:rFonts w:ascii="Times New Roman" w:eastAsia="Times New Roman"/>
        </w:rPr>
        <w:t>8</w:t>
      </w:r>
      <w:r>
        <w:rPr/>
        <w:t>、基金份额发售公告：指《易方达中债新综合债券指数发起式证券投资基金（</w:t>
      </w:r>
      <w:r>
        <w:rPr>
          <w:rFonts w:ascii="Times New Roman" w:eastAsia="Times New Roman"/>
        </w:rPr>
        <w:t>LOF</w:t>
      </w:r>
      <w:r>
        <w:rPr/>
        <w:t>）基金份额发售公告》</w:t>
      </w:r>
    </w:p>
    <w:p>
      <w:pPr>
        <w:pStyle w:val="BodyText"/>
        <w:spacing w:line="364" w:lineRule="auto" w:before="2"/>
        <w:ind w:right="358" w:firstLine="479"/>
        <w:jc w:val="right"/>
      </w:pPr>
      <w:r>
        <w:rPr>
          <w:rFonts w:ascii="Times New Roman" w:eastAsia="Times New Roman"/>
        </w:rPr>
        <w:t>9</w:t>
      </w:r>
      <w:r>
        <w:rPr>
          <w:spacing w:val="-15"/>
        </w:rPr>
        <w:t>、法律法规：指中国现行有效并公布实施的法律、行政法规、规范性文件、</w:t>
      </w:r>
      <w:r>
        <w:rPr>
          <w:spacing w:val="-9"/>
        </w:rPr>
        <w:t>司法解释、行政规章以及其他对基金合同当事人有约束力的决定、决议、通知等 </w:t>
      </w:r>
      <w:r>
        <w:rPr>
          <w:rFonts w:ascii="Times New Roman" w:eastAsia="Times New Roman"/>
        </w:rPr>
        <w:t>10</w:t>
      </w:r>
      <w:r>
        <w:rPr>
          <w:spacing w:val="-34"/>
        </w:rPr>
        <w:t>、《基金法》：指 </w:t>
      </w:r>
      <w:r>
        <w:rPr>
          <w:rFonts w:ascii="Times New Roman" w:eastAsia="Times New Roman"/>
        </w:rPr>
        <w:t>2003 </w:t>
      </w:r>
      <w:r>
        <w:rPr>
          <w:spacing w:val="-28"/>
        </w:rPr>
        <w:t>年 </w:t>
      </w:r>
      <w:r>
        <w:rPr>
          <w:rFonts w:ascii="Times New Roman" w:eastAsia="Times New Roman"/>
        </w:rPr>
        <w:t>10 </w:t>
      </w:r>
      <w:r>
        <w:rPr>
          <w:spacing w:val="-28"/>
        </w:rPr>
        <w:t>月 </w:t>
      </w:r>
      <w:r>
        <w:rPr>
          <w:rFonts w:ascii="Times New Roman" w:eastAsia="Times New Roman"/>
        </w:rPr>
        <w:t>28 </w:t>
      </w:r>
      <w:r>
        <w:rPr>
          <w:spacing w:val="-1"/>
        </w:rPr>
        <w:t>日经第十届全国人民代表大会常务委员</w:t>
      </w:r>
    </w:p>
    <w:p>
      <w:pPr>
        <w:pStyle w:val="BodyText"/>
        <w:spacing w:line="364" w:lineRule="auto" w:before="2"/>
        <w:ind w:right="358"/>
        <w:jc w:val="both"/>
      </w:pPr>
      <w:r>
        <w:rPr>
          <w:spacing w:val="-5"/>
        </w:rPr>
        <w:t>会第五次会议通过，自 </w:t>
      </w:r>
      <w:r>
        <w:rPr>
          <w:rFonts w:ascii="Times New Roman" w:eastAsia="Times New Roman"/>
        </w:rPr>
        <w:t>2004 </w:t>
      </w:r>
      <w:r>
        <w:rPr>
          <w:spacing w:val="-28"/>
        </w:rPr>
        <w:t>年 </w:t>
      </w:r>
      <w:r>
        <w:rPr>
          <w:rFonts w:ascii="Times New Roman" w:eastAsia="Times New Roman"/>
        </w:rPr>
        <w:t>6 </w:t>
      </w:r>
      <w:r>
        <w:rPr>
          <w:spacing w:val="-28"/>
        </w:rPr>
        <w:t>月 </w:t>
      </w:r>
      <w:r>
        <w:rPr>
          <w:rFonts w:ascii="Times New Roman" w:eastAsia="Times New Roman"/>
        </w:rPr>
        <w:t>1 </w:t>
      </w:r>
      <w:r>
        <w:rPr>
          <w:spacing w:val="-3"/>
        </w:rPr>
        <w:t>日起实施的《中华人民共和国证券投资基</w:t>
      </w:r>
      <w:r>
        <w:rPr/>
        <w:t>金法》及颁布机关对其不时做出的修订</w:t>
      </w:r>
    </w:p>
    <w:p>
      <w:pPr>
        <w:pStyle w:val="BodyText"/>
        <w:spacing w:line="364" w:lineRule="auto" w:before="1"/>
        <w:ind w:right="358" w:firstLine="479"/>
        <w:jc w:val="both"/>
      </w:pPr>
      <w:r>
        <w:rPr>
          <w:rFonts w:ascii="Times New Roman" w:eastAsia="Times New Roman"/>
          <w:spacing w:val="-5"/>
        </w:rPr>
        <w:t>11</w:t>
      </w:r>
      <w:r>
        <w:rPr>
          <w:spacing w:val="-28"/>
        </w:rPr>
        <w:t>、《销售办法》：指中国证监会 </w:t>
      </w:r>
      <w:r>
        <w:rPr>
          <w:rFonts w:ascii="Times New Roman" w:eastAsia="Times New Roman"/>
          <w:spacing w:val="-3"/>
        </w:rPr>
        <w:t>2011 </w:t>
      </w:r>
      <w:r>
        <w:rPr>
          <w:spacing w:val="-30"/>
        </w:rPr>
        <w:t>年 </w:t>
      </w:r>
      <w:r>
        <w:rPr>
          <w:rFonts w:ascii="Times New Roman" w:eastAsia="Times New Roman"/>
        </w:rPr>
        <w:t>6 </w:t>
      </w:r>
      <w:r>
        <w:rPr>
          <w:spacing w:val="-30"/>
        </w:rPr>
        <w:t>月 </w:t>
      </w:r>
      <w:r>
        <w:rPr>
          <w:rFonts w:ascii="Times New Roman" w:eastAsia="Times New Roman"/>
        </w:rPr>
        <w:t>9 </w:t>
      </w:r>
      <w:r>
        <w:rPr>
          <w:spacing w:val="-13"/>
        </w:rPr>
        <w:t>日颁布、同年 </w:t>
      </w:r>
      <w:r>
        <w:rPr>
          <w:rFonts w:ascii="Times New Roman" w:eastAsia="Times New Roman"/>
        </w:rPr>
        <w:t>10 </w:t>
      </w:r>
      <w:r>
        <w:rPr>
          <w:spacing w:val="-30"/>
        </w:rPr>
        <w:t>月 </w:t>
      </w:r>
      <w:r>
        <w:rPr>
          <w:rFonts w:ascii="Times New Roman" w:eastAsia="Times New Roman"/>
        </w:rPr>
        <w:t>1 </w:t>
      </w:r>
      <w:r>
        <w:rPr>
          <w:spacing w:val="-4"/>
        </w:rPr>
        <w:t>日实施</w:t>
      </w:r>
      <w:r>
        <w:rPr/>
        <w:t>的《证券投资基金销售管理办法》及颁布机关对其不时做出的修订</w:t>
      </w:r>
    </w:p>
    <w:p>
      <w:pPr>
        <w:pStyle w:val="BodyText"/>
        <w:spacing w:line="364" w:lineRule="auto" w:before="2"/>
        <w:ind w:right="353" w:firstLine="479"/>
        <w:jc w:val="both"/>
      </w:pPr>
      <w:r>
        <w:rPr>
          <w:rFonts w:ascii="Times New Roman" w:eastAsia="Times New Roman"/>
        </w:rPr>
        <w:t>12</w:t>
      </w:r>
      <w:r>
        <w:rPr>
          <w:spacing w:val="-20"/>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7"/>
        </w:rPr>
        <w:t>日颁布、同年 </w:t>
      </w:r>
      <w:r>
        <w:rPr>
          <w:rFonts w:ascii="Times New Roman" w:eastAsia="Times New Roman"/>
        </w:rPr>
        <w:t>9 </w:t>
      </w:r>
      <w:r>
        <w:rPr>
          <w:spacing w:val="-18"/>
        </w:rPr>
        <w:t>月 </w:t>
      </w:r>
      <w:r>
        <w:rPr>
          <w:rFonts w:ascii="Times New Roman" w:eastAsia="Times New Roman"/>
          <w:spacing w:val="-14"/>
        </w:rPr>
        <w:t>1 </w:t>
      </w:r>
      <w:r>
        <w:rPr>
          <w:spacing w:val="-10"/>
        </w:rPr>
        <w:t>日实施的《公开募集证券投资基金信息披露管理办法》及颁布机关对其不时做出</w:t>
      </w:r>
      <w:r>
        <w:rPr/>
        <w:t>的修订</w:t>
      </w:r>
    </w:p>
    <w:p>
      <w:pPr>
        <w:pStyle w:val="BodyText"/>
        <w:spacing w:line="364" w:lineRule="auto" w:before="2"/>
        <w:ind w:right="356" w:firstLine="479"/>
        <w:jc w:val="both"/>
      </w:pPr>
      <w:r>
        <w:rPr>
          <w:rFonts w:ascii="Times New Roman" w:eastAsia="Times New Roman"/>
        </w:rPr>
        <w:t>13</w:t>
      </w:r>
      <w:r>
        <w:rPr>
          <w:spacing w:val="-28"/>
        </w:rPr>
        <w:t>、《运作办法》：指中国证监会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29 </w:t>
      </w:r>
      <w:r>
        <w:rPr>
          <w:spacing w:val="-14"/>
        </w:rPr>
        <w:t>日颁布、同年 </w:t>
      </w:r>
      <w:r>
        <w:rPr>
          <w:rFonts w:ascii="Times New Roman" w:eastAsia="Times New Roman"/>
        </w:rPr>
        <w:t>7 </w:t>
      </w:r>
      <w:r>
        <w:rPr>
          <w:spacing w:val="-30"/>
        </w:rPr>
        <w:t>月 </w:t>
      </w:r>
      <w:r>
        <w:rPr>
          <w:rFonts w:ascii="Times New Roman" w:eastAsia="Times New Roman"/>
        </w:rPr>
        <w:t>1 </w:t>
      </w:r>
      <w:r>
        <w:rPr>
          <w:spacing w:val="-5"/>
        </w:rPr>
        <w:t>日实施</w:t>
      </w:r>
      <w:r>
        <w:rPr>
          <w:spacing w:val="-9"/>
        </w:rPr>
        <w:t>的《证券投资基金运作管理办法》及颁布机关对其不时做出的修订</w:t>
      </w:r>
      <w:r>
        <w:rPr/>
        <w:t>（</w:t>
      </w:r>
      <w:r>
        <w:rPr>
          <w:spacing w:val="-3"/>
        </w:rPr>
        <w:t>最新的修订</w:t>
      </w:r>
    </w:p>
    <w:p>
      <w:pPr>
        <w:spacing w:after="0" w:line="364" w:lineRule="auto"/>
        <w:jc w:val="both"/>
        <w:sectPr>
          <w:pgSz w:w="11910" w:h="16840"/>
          <w:pgMar w:header="0" w:footer="995" w:top="1500" w:bottom="1180" w:left="1680" w:right="1440"/>
        </w:sectPr>
      </w:pPr>
    </w:p>
    <w:p>
      <w:pPr>
        <w:pStyle w:val="BodyText"/>
        <w:spacing w:before="60"/>
        <w:jc w:val="both"/>
      </w:pPr>
      <w:r>
        <w:rPr/>
        <w:t>版本于 </w:t>
      </w:r>
      <w:r>
        <w:rPr>
          <w:rFonts w:ascii="Times New Roman" w:eastAsia="Times New Roman"/>
        </w:rPr>
        <w:t>2012 </w:t>
      </w:r>
      <w:r>
        <w:rPr/>
        <w:t>年 </w:t>
      </w:r>
      <w:r>
        <w:rPr>
          <w:rFonts w:ascii="Times New Roman" w:eastAsia="Times New Roman"/>
        </w:rPr>
        <w:t>6 </w:t>
      </w:r>
      <w:r>
        <w:rPr/>
        <w:t>月 </w:t>
      </w:r>
      <w:r>
        <w:rPr>
          <w:rFonts w:ascii="Times New Roman" w:eastAsia="Times New Roman"/>
        </w:rPr>
        <w:t>19 </w:t>
      </w:r>
      <w:r>
        <w:rPr/>
        <w:t>日公布）</w:t>
      </w:r>
    </w:p>
    <w:p>
      <w:pPr>
        <w:pStyle w:val="BodyText"/>
        <w:spacing w:line="364" w:lineRule="auto"/>
        <w:ind w:right="358" w:firstLine="479"/>
        <w:jc w:val="both"/>
      </w:pPr>
      <w:r>
        <w:rPr>
          <w:rFonts w:ascii="Times New Roman" w:eastAsia="Times New Roman"/>
        </w:rPr>
        <w:t>14</w:t>
      </w:r>
      <w:r>
        <w:rPr>
          <w:spacing w:val="-23"/>
        </w:rPr>
        <w:t>、《管理规定》：指中国证监会 </w:t>
      </w:r>
      <w:r>
        <w:rPr>
          <w:rFonts w:ascii="Times New Roman" w:eastAsia="Times New Roman"/>
        </w:rPr>
        <w:t>2017 </w:t>
      </w:r>
      <w:r>
        <w:rPr>
          <w:spacing w:val="-29"/>
        </w:rPr>
        <w:t>年 </w:t>
      </w:r>
      <w:r>
        <w:rPr>
          <w:rFonts w:ascii="Times New Roman" w:eastAsia="Times New Roman"/>
        </w:rPr>
        <w:t>8 </w:t>
      </w:r>
      <w:r>
        <w:rPr>
          <w:spacing w:val="-29"/>
        </w:rPr>
        <w:t>月 </w:t>
      </w:r>
      <w:r>
        <w:rPr>
          <w:rFonts w:ascii="Times New Roman" w:eastAsia="Times New Roman"/>
        </w:rPr>
        <w:t>31 </w:t>
      </w:r>
      <w:r>
        <w:rPr>
          <w:spacing w:val="-9"/>
        </w:rPr>
        <w:t>日颁布、同年 </w:t>
      </w:r>
      <w:r>
        <w:rPr>
          <w:rFonts w:ascii="Times New Roman" w:eastAsia="Times New Roman"/>
        </w:rPr>
        <w:t>10 </w:t>
      </w:r>
      <w:r>
        <w:rPr>
          <w:spacing w:val="-29"/>
        </w:rPr>
        <w:t>月 </w:t>
      </w:r>
      <w:r>
        <w:rPr>
          <w:rFonts w:ascii="Times New Roman" w:eastAsia="Times New Roman"/>
        </w:rPr>
        <w:t>1 </w:t>
      </w:r>
      <w:r>
        <w:rPr>
          <w:spacing w:val="-6"/>
        </w:rPr>
        <w:t>日实</w:t>
      </w:r>
      <w:r>
        <w:rPr>
          <w:spacing w:val="-10"/>
        </w:rPr>
        <w:t>施的《公开募集开放式证券投资基金流动性风险管理规定》及颁布机关对其不时</w:t>
      </w:r>
      <w:r>
        <w:rPr/>
        <w:t>做出的修订</w:t>
      </w:r>
    </w:p>
    <w:p>
      <w:pPr>
        <w:pStyle w:val="BodyText"/>
        <w:spacing w:line="364" w:lineRule="auto" w:before="2"/>
        <w:ind w:right="357" w:firstLine="479"/>
        <w:jc w:val="both"/>
      </w:pPr>
      <w:r>
        <w:rPr>
          <w:rFonts w:ascii="Times New Roman" w:eastAsia="Times New Roman"/>
        </w:rPr>
        <w:t>15</w:t>
      </w:r>
      <w:r>
        <w:rPr>
          <w:spacing w:val="-12"/>
        </w:rPr>
        <w:t>、发起式基金：指符合中国证监会发布的《关于增设发起式基金审核通道</w:t>
      </w:r>
      <w:r>
        <w:rPr>
          <w:spacing w:val="-9"/>
        </w:rPr>
        <w:t>有关问题的通知》规定，由基金管理人、基金管理人股东、基金管理人高级管理</w:t>
      </w:r>
      <w:r>
        <w:rPr/>
        <w:t>人员或基金经理承诺认购一定金额并持有一定期限的证券投资基金</w:t>
      </w:r>
    </w:p>
    <w:p>
      <w:pPr>
        <w:pStyle w:val="BodyText"/>
        <w:spacing w:before="2"/>
        <w:ind w:left="600"/>
      </w:pPr>
      <w:r>
        <w:rPr>
          <w:rFonts w:ascii="Times New Roman" w:eastAsia="Times New Roman"/>
        </w:rPr>
        <w:t>16</w:t>
      </w:r>
      <w:r>
        <w:rPr/>
        <w:t>、中国证监会：指中国证券监督管理委员会</w:t>
      </w:r>
    </w:p>
    <w:p>
      <w:pPr>
        <w:pStyle w:val="BodyText"/>
        <w:ind w:left="600"/>
      </w:pPr>
      <w:r>
        <w:rPr>
          <w:rFonts w:ascii="Times New Roman" w:eastAsia="Times New Roman"/>
        </w:rPr>
        <w:t>17</w:t>
      </w:r>
      <w:r>
        <w:rPr/>
        <w:t>、银行业监督管理机构：指中国人民银行和</w:t>
      </w:r>
      <w:r>
        <w:rPr>
          <w:rFonts w:ascii="Times New Roman" w:eastAsia="Times New Roman"/>
        </w:rPr>
        <w:t>/</w:t>
      </w:r>
      <w:r>
        <w:rPr/>
        <w:t>或中国银行业监督管理委员</w:t>
      </w:r>
    </w:p>
    <w:p>
      <w:pPr>
        <w:pStyle w:val="BodyText"/>
      </w:pPr>
      <w:r>
        <w:rPr/>
        <w:t>会</w:t>
      </w:r>
    </w:p>
    <w:p>
      <w:pPr>
        <w:pStyle w:val="BodyText"/>
        <w:spacing w:before="160"/>
        <w:ind w:left="600"/>
      </w:pPr>
      <w:r>
        <w:rPr>
          <w:rFonts w:ascii="Times New Roman" w:eastAsia="Times New Roman"/>
        </w:rPr>
        <w:t>18</w:t>
      </w:r>
      <w:r>
        <w:rPr>
          <w:spacing w:val="-11"/>
        </w:rPr>
        <w:t>、基金合同当事人：指受基金合同约束，根据基金合同享有权利并承担义</w:t>
      </w:r>
    </w:p>
    <w:p>
      <w:pPr>
        <w:pStyle w:val="BodyText"/>
      </w:pPr>
      <w:r>
        <w:rPr/>
        <w:t>务的法律主体，包括基金管理人、基金托管人和基金份额持有人</w:t>
      </w:r>
    </w:p>
    <w:p>
      <w:pPr>
        <w:pStyle w:val="BodyText"/>
        <w:spacing w:before="160"/>
        <w:ind w:left="600"/>
      </w:pPr>
      <w:r>
        <w:rPr>
          <w:rFonts w:ascii="Times New Roman" w:eastAsia="Times New Roman"/>
        </w:rPr>
        <w:t>19</w:t>
      </w:r>
      <w:r>
        <w:rPr/>
        <w:t>、个人投资者：指依据有关法律法规规定可投资于证券投资基金的自然人</w:t>
      </w:r>
    </w:p>
    <w:p>
      <w:pPr>
        <w:pStyle w:val="BodyText"/>
        <w:spacing w:line="364" w:lineRule="auto"/>
        <w:ind w:right="357" w:firstLine="479"/>
        <w:jc w:val="both"/>
      </w:pPr>
      <w:r>
        <w:rPr>
          <w:rFonts w:ascii="Times New Roman" w:eastAsia="Times New Roman"/>
        </w:rPr>
        <w:t>20</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1"/>
        <w:ind w:right="360" w:firstLine="479"/>
      </w:pPr>
      <w:r>
        <w:rPr>
          <w:rFonts w:ascii="Times New Roman" w:eastAsia="Times New Roman"/>
        </w:rPr>
        <w:t>21</w:t>
      </w:r>
      <w:r>
        <w:rPr>
          <w:spacing w:val="-12"/>
        </w:rPr>
        <w:t>、合格境外机构投资者：指符合现时有效的相关法律法规规定可以投资于</w:t>
      </w:r>
      <w:r>
        <w:rPr/>
        <w:t>中国境内证券市场的中国境外的机构投资者</w:t>
      </w:r>
    </w:p>
    <w:p>
      <w:pPr>
        <w:pStyle w:val="BodyText"/>
        <w:spacing w:line="364" w:lineRule="auto" w:before="2"/>
        <w:ind w:right="357" w:firstLine="479"/>
      </w:pPr>
      <w:r>
        <w:rPr>
          <w:rFonts w:ascii="Times New Roman" w:eastAsia="Times New Roman"/>
        </w:rPr>
        <w:t>22</w:t>
      </w:r>
      <w:r>
        <w:rPr>
          <w:spacing w:val="-12"/>
        </w:rPr>
        <w:t>、投资人：指个人投资者、机构投资者和合格境外机构投资者以及法律法</w:t>
      </w:r>
      <w:r>
        <w:rPr/>
        <w:t>规或中国证监会允许购买证券投资基金的其他投资人的合称</w:t>
      </w:r>
    </w:p>
    <w:p>
      <w:pPr>
        <w:pStyle w:val="BodyText"/>
        <w:spacing w:before="1"/>
        <w:ind w:left="600"/>
      </w:pPr>
      <w:r>
        <w:rPr>
          <w:rFonts w:ascii="Times New Roman" w:eastAsia="Times New Roman"/>
        </w:rPr>
        <w:t>23</w:t>
      </w:r>
      <w:r>
        <w:rPr>
          <w:spacing w:val="-10"/>
        </w:rPr>
        <w:t>、基金份额持有人：指依基金合同和招募说明书合法取得基金份额的投资</w:t>
      </w:r>
    </w:p>
    <w:p>
      <w:pPr>
        <w:pStyle w:val="BodyText"/>
      </w:pPr>
      <w:r>
        <w:rPr/>
        <w:t>人</w:t>
      </w:r>
    </w:p>
    <w:p>
      <w:pPr>
        <w:pStyle w:val="BodyText"/>
        <w:spacing w:before="160"/>
        <w:ind w:left="600"/>
      </w:pPr>
      <w:r>
        <w:rPr>
          <w:rFonts w:ascii="Times New Roman" w:eastAsia="Times New Roman"/>
        </w:rPr>
        <w:t>24</w:t>
      </w:r>
      <w:r>
        <w:rPr>
          <w:spacing w:val="-21"/>
        </w:rPr>
        <w:t>、基金销售业务：指基金管理人或销售机构宣传推介基金，发售基金份额，</w:t>
      </w:r>
    </w:p>
    <w:p>
      <w:pPr>
        <w:pStyle w:val="BodyText"/>
        <w:ind w:left="0" w:right="1703"/>
        <w:jc w:val="right"/>
      </w:pPr>
      <w:r>
        <w:rPr/>
        <w:t>办理基金份额的申购、赎回、转换、转托管及定期定额投资等业务</w:t>
      </w:r>
    </w:p>
    <w:p>
      <w:pPr>
        <w:pStyle w:val="BodyText"/>
        <w:spacing w:before="160"/>
        <w:ind w:left="0" w:right="1703"/>
        <w:jc w:val="right"/>
      </w:pPr>
      <w:r>
        <w:rPr>
          <w:rFonts w:ascii="Times New Roman" w:eastAsia="Times New Roman"/>
        </w:rPr>
        <w:t>25</w:t>
      </w:r>
      <w:r>
        <w:rPr/>
        <w:t>、销售机构：指易方达基金管理有限公司以及基金代销机构</w:t>
      </w:r>
    </w:p>
    <w:p>
      <w:pPr>
        <w:pStyle w:val="BodyText"/>
        <w:spacing w:line="364" w:lineRule="auto"/>
        <w:ind w:right="357" w:firstLine="479"/>
        <w:jc w:val="both"/>
      </w:pPr>
      <w:r>
        <w:rPr>
          <w:rFonts w:ascii="Times New Roman" w:eastAsia="Times New Roman"/>
        </w:rPr>
        <w:t>26</w:t>
      </w:r>
      <w:r>
        <w:rPr>
          <w:spacing w:val="-11"/>
        </w:rPr>
        <w:t>、基金代销机构：指符合《销售办法》和中国证监会规定的其他条件，取</w:t>
      </w:r>
      <w:r>
        <w:rPr>
          <w:spacing w:val="-15"/>
        </w:rPr>
        <w:t>得基金代销业务资格并接受基金管理人委托，代为办理本基金发售、申购、赎回</w:t>
      </w:r>
      <w:r>
        <w:rPr/>
        <w:t>和其他基金业务的机构，包括场内代销机构和场外代销机构</w:t>
      </w:r>
    </w:p>
    <w:p>
      <w:pPr>
        <w:pStyle w:val="BodyText"/>
        <w:spacing w:before="2"/>
        <w:ind w:left="600"/>
      </w:pPr>
      <w:r>
        <w:rPr>
          <w:rFonts w:ascii="Times New Roman" w:eastAsia="Times New Roman"/>
        </w:rPr>
        <w:t>27</w:t>
      </w:r>
      <w:r>
        <w:rPr/>
        <w:t>、登记结算业务：指基金登记、存管、过户、清算和结算业务，具体内容</w:t>
      </w:r>
    </w:p>
    <w:p>
      <w:pPr>
        <w:spacing w:after="0"/>
        <w:sectPr>
          <w:pgSz w:w="11910" w:h="16840"/>
          <w:pgMar w:header="0" w:footer="995" w:top="1440" w:bottom="1180" w:left="1680" w:right="1440"/>
        </w:sectPr>
      </w:pPr>
    </w:p>
    <w:p>
      <w:pPr>
        <w:pStyle w:val="BodyText"/>
        <w:spacing w:line="364" w:lineRule="auto" w:before="40"/>
        <w:ind w:right="357"/>
      </w:pPr>
      <w:r>
        <w:rPr>
          <w:spacing w:val="-6"/>
        </w:rPr>
        <w:t>包括投资人基金账户的建立和管理、基金份额登记、基金销售业务的确认、清算</w:t>
      </w:r>
      <w:r>
        <w:rPr/>
        <w:t>和结算、代理发放红利、建立并保管基金份额持有人名册和办理非交易过户等</w:t>
      </w:r>
    </w:p>
    <w:p>
      <w:pPr>
        <w:pStyle w:val="BodyText"/>
        <w:spacing w:line="364" w:lineRule="auto" w:before="2"/>
        <w:ind w:right="353" w:firstLine="479"/>
        <w:jc w:val="both"/>
      </w:pPr>
      <w:r>
        <w:rPr>
          <w:rFonts w:ascii="Times New Roman" w:eastAsia="Times New Roman"/>
        </w:rPr>
        <w:t>28</w:t>
      </w:r>
      <w:r>
        <w:rPr>
          <w:spacing w:val="-10"/>
        </w:rPr>
        <w:t>、登记结算机构：指办理基金登记结算业务的机构。登记结算机构为易方</w:t>
      </w:r>
      <w:r>
        <w:rPr/>
        <w:t>达基金管理有限公司或接受易方达基金管理有限公司委托代为办理登记结算业务的机构</w:t>
      </w:r>
    </w:p>
    <w:p>
      <w:pPr>
        <w:pStyle w:val="BodyText"/>
        <w:spacing w:line="364" w:lineRule="auto" w:before="2"/>
        <w:ind w:right="359" w:firstLine="479"/>
      </w:pPr>
      <w:r>
        <w:rPr>
          <w:rFonts w:ascii="Times New Roman" w:eastAsia="Times New Roman"/>
        </w:rPr>
        <w:t>29</w:t>
      </w:r>
      <w:r>
        <w:rPr>
          <w:spacing w:val="-10"/>
        </w:rPr>
        <w:t>、基金账户：指登记结算机构为投资人开立的、记录其持有的、基金管理</w:t>
      </w:r>
      <w:r>
        <w:rPr/>
        <w:t>人所管理的基金份额余额及其变动情况的账户</w:t>
      </w:r>
    </w:p>
    <w:p>
      <w:pPr>
        <w:pStyle w:val="BodyText"/>
        <w:spacing w:line="364" w:lineRule="auto" w:before="1"/>
        <w:ind w:right="356" w:firstLine="479"/>
        <w:jc w:val="both"/>
      </w:pPr>
      <w:r>
        <w:rPr>
          <w:rFonts w:ascii="Times New Roman" w:eastAsia="Times New Roman"/>
        </w:rPr>
        <w:t>30</w:t>
      </w:r>
      <w:r>
        <w:rPr>
          <w:spacing w:val="-12"/>
        </w:rPr>
        <w:t>、基金交易账户：指销售机构为投资人开立的、记录投资人通过该销售机构办理认购、申购、赎回、转换及转托管等业务而引起基金份额变动及结余情况</w:t>
      </w:r>
      <w:r>
        <w:rPr/>
        <w:t>的账户</w:t>
      </w:r>
    </w:p>
    <w:p>
      <w:pPr>
        <w:pStyle w:val="BodyText"/>
        <w:spacing w:line="364" w:lineRule="auto" w:before="3"/>
        <w:ind w:right="237" w:firstLine="479"/>
      </w:pPr>
      <w:r>
        <w:rPr>
          <w:rFonts w:ascii="Times New Roman" w:eastAsia="Times New Roman"/>
        </w:rPr>
        <w:t>31</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1"/>
        <w:ind w:right="357" w:firstLine="479"/>
      </w:pPr>
      <w:r>
        <w:rPr>
          <w:rFonts w:ascii="Times New Roman" w:eastAsia="Times New Roman"/>
        </w:rPr>
        <w:t>32</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1"/>
        <w:ind w:right="357" w:firstLine="479"/>
      </w:pPr>
      <w:r>
        <w:rPr>
          <w:rFonts w:ascii="Times New Roman" w:eastAsia="Times New Roman"/>
        </w:rPr>
        <w:t>33</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2"/>
        <w:ind w:left="600"/>
      </w:pPr>
      <w:r>
        <w:rPr>
          <w:rFonts w:ascii="Times New Roman" w:eastAsia="Times New Roman"/>
        </w:rPr>
        <w:t>34</w:t>
      </w:r>
      <w:r>
        <w:rPr/>
        <w:t>、存续期：指基金合同生效至终止之间的不定期期限</w:t>
      </w:r>
    </w:p>
    <w:p>
      <w:pPr>
        <w:pStyle w:val="BodyText"/>
        <w:ind w:left="600"/>
      </w:pPr>
      <w:r>
        <w:rPr>
          <w:rFonts w:ascii="Times New Roman" w:eastAsia="Times New Roman"/>
        </w:rPr>
        <w:t>35</w:t>
      </w:r>
      <w:r>
        <w:rPr/>
        <w:t>、工作日、交易日：指上海证券交易所、深圳证券交易所的正常交易日</w:t>
      </w:r>
    </w:p>
    <w:p>
      <w:pPr>
        <w:pStyle w:val="BodyText"/>
        <w:spacing w:line="364" w:lineRule="auto" w:before="160"/>
        <w:ind w:right="299" w:firstLine="479"/>
      </w:pPr>
      <w:r>
        <w:rPr>
          <w:rFonts w:ascii="Times New Roman" w:eastAsia="Times New Roman"/>
        </w:rPr>
        <w:t>36</w:t>
      </w:r>
      <w:r>
        <w:rPr/>
        <w:t>、</w:t>
      </w:r>
      <w:r>
        <w:rPr>
          <w:rFonts w:ascii="Times New Roman" w:eastAsia="Times New Roman"/>
        </w:rPr>
        <w:t>T </w:t>
      </w:r>
      <w:r>
        <w:rPr/>
        <w:t>日：指销售机构在规定时间受理投资人申购、赎回或其他业务申请的开放日</w:t>
      </w:r>
    </w:p>
    <w:p>
      <w:pPr>
        <w:pStyle w:val="BodyText"/>
        <w:spacing w:before="1"/>
        <w:ind w:left="600"/>
      </w:pPr>
      <w:r>
        <w:rPr>
          <w:rFonts w:ascii="Times New Roman" w:eastAsia="Times New Roman"/>
        </w:rPr>
        <w:t>37</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ind w:left="600"/>
      </w:pPr>
      <w:r>
        <w:rPr>
          <w:rFonts w:ascii="Times New Roman" w:eastAsia="Times New Roman"/>
        </w:rPr>
        <w:t>38</w:t>
      </w:r>
      <w:r>
        <w:rPr/>
        <w:t>、开放日：指为投资人办理基金份额申购、赎回或其他业务的工作日</w:t>
      </w:r>
    </w:p>
    <w:p>
      <w:pPr>
        <w:pStyle w:val="BodyText"/>
        <w:spacing w:before="160"/>
        <w:ind w:left="600"/>
      </w:pPr>
      <w:r>
        <w:rPr>
          <w:rFonts w:ascii="Times New Roman" w:eastAsia="Times New Roman"/>
        </w:rPr>
        <w:t>39</w:t>
      </w:r>
      <w:r>
        <w:rPr/>
        <w:t>、开放时间：指开放日基金接受申购、赎回或其他交易的时间段</w:t>
      </w:r>
    </w:p>
    <w:p>
      <w:pPr>
        <w:pStyle w:val="BodyText"/>
        <w:spacing w:line="364" w:lineRule="auto"/>
        <w:ind w:right="356" w:firstLine="479"/>
      </w:pPr>
      <w:r>
        <w:rPr>
          <w:rFonts w:ascii="Times New Roman" w:eastAsia="Times New Roman"/>
        </w:rPr>
        <w:t>40</w:t>
      </w:r>
      <w:r>
        <w:rPr>
          <w:spacing w:val="-20"/>
        </w:rPr>
        <w:t>、《业务规则》：指易方达基金管理有限公司、深圳证券交易所和中国证券</w:t>
      </w:r>
      <w:r>
        <w:rPr/>
        <w:t>登记结算有限责任公司的相关业务规则</w:t>
      </w:r>
    </w:p>
    <w:p>
      <w:pPr>
        <w:pStyle w:val="BodyText"/>
        <w:spacing w:line="364" w:lineRule="auto" w:before="2"/>
        <w:ind w:right="357" w:firstLine="479"/>
      </w:pPr>
      <w:r>
        <w:rPr>
          <w:rFonts w:ascii="Times New Roman" w:eastAsia="Times New Roman"/>
        </w:rPr>
        <w:t>41</w:t>
      </w:r>
      <w:r>
        <w:rPr>
          <w:spacing w:val="-12"/>
        </w:rPr>
        <w:t>、认购：指在基金募集期内，投资人根据基金合同和招募说明书的规定申</w:t>
      </w:r>
      <w:r>
        <w:rPr/>
        <w:t>请购买基金份额的行为</w:t>
      </w:r>
    </w:p>
    <w:p>
      <w:pPr>
        <w:pStyle w:val="BodyText"/>
        <w:spacing w:before="1"/>
        <w:ind w:left="600"/>
      </w:pPr>
      <w:r>
        <w:rPr>
          <w:rFonts w:ascii="Times New Roman" w:eastAsia="Times New Roman"/>
        </w:rPr>
        <w:t>42</w:t>
      </w:r>
      <w:r>
        <w:rPr/>
        <w:t>、申购：指基金合同生效后，投资人根据基金合同和招募说明书的规定申</w:t>
      </w:r>
    </w:p>
    <w:p>
      <w:pPr>
        <w:spacing w:after="0"/>
        <w:sectPr>
          <w:pgSz w:w="11910" w:h="16840"/>
          <w:pgMar w:header="0" w:footer="995" w:top="1460" w:bottom="1180" w:left="1680" w:right="1440"/>
        </w:sectPr>
      </w:pPr>
    </w:p>
    <w:p>
      <w:pPr>
        <w:pStyle w:val="BodyText"/>
        <w:spacing w:before="40"/>
      </w:pPr>
      <w:r>
        <w:rPr/>
        <w:t>请购买基金份额的行为</w:t>
      </w:r>
    </w:p>
    <w:p>
      <w:pPr>
        <w:pStyle w:val="BodyText"/>
        <w:spacing w:line="364" w:lineRule="auto"/>
        <w:ind w:right="356" w:firstLine="479"/>
      </w:pPr>
      <w:r>
        <w:rPr>
          <w:rFonts w:ascii="Times New Roman" w:eastAsia="Times New Roman"/>
        </w:rPr>
        <w:t>43</w:t>
      </w:r>
      <w:r>
        <w:rPr>
          <w:spacing w:val="-12"/>
        </w:rPr>
        <w:t>、赎回：指基金合同生效后，基金份额持有人按基金合同和招募说明书规</w:t>
      </w:r>
      <w:r>
        <w:rPr/>
        <w:t>定的条件要求将基金份额兑换为现金的行为</w:t>
      </w:r>
    </w:p>
    <w:p>
      <w:pPr>
        <w:pStyle w:val="BodyText"/>
        <w:spacing w:line="364" w:lineRule="auto" w:before="2"/>
        <w:ind w:right="358" w:firstLine="479"/>
      </w:pPr>
      <w:r>
        <w:rPr>
          <w:rFonts w:ascii="Times New Roman" w:eastAsia="Times New Roman"/>
        </w:rPr>
        <w:t>44</w:t>
      </w:r>
      <w:r>
        <w:rPr>
          <w:spacing w:val="-12"/>
        </w:rPr>
        <w:t>、上市交易：指基金合同生效后，投资者通过深圳证券交易所会员单位以</w:t>
      </w:r>
      <w:r>
        <w:rPr/>
        <w:t>集中竞价的方式买卖基金份额的行为</w:t>
      </w:r>
    </w:p>
    <w:p>
      <w:pPr>
        <w:pStyle w:val="BodyText"/>
        <w:spacing w:line="364" w:lineRule="auto" w:before="1"/>
        <w:ind w:right="244" w:firstLine="479"/>
      </w:pPr>
      <w:r>
        <w:rPr>
          <w:rFonts w:ascii="Times New Roman" w:eastAsia="Times New Roman"/>
        </w:rPr>
        <w:t>45</w:t>
      </w:r>
      <w:r>
        <w:rPr>
          <w:spacing w:val="-10"/>
        </w:rPr>
        <w:t>、场外：指通过深圳证券交易所外的销售机构办理基金份额认购、申购和</w:t>
      </w:r>
      <w:r>
        <w:rPr>
          <w:spacing w:val="-11"/>
        </w:rPr>
        <w:t>赎回的场所。通过该等场所办理基金份额的认购、申购、赎回也称为场外认购、</w:t>
      </w:r>
      <w:r>
        <w:rPr/>
        <w:t>场外申购、场外赎回</w:t>
      </w:r>
    </w:p>
    <w:p>
      <w:pPr>
        <w:pStyle w:val="BodyText"/>
        <w:spacing w:line="364" w:lineRule="auto" w:before="2"/>
        <w:ind w:right="357" w:firstLine="479"/>
        <w:jc w:val="both"/>
      </w:pPr>
      <w:r>
        <w:rPr>
          <w:rFonts w:ascii="Times New Roman" w:eastAsia="Times New Roman"/>
        </w:rPr>
        <w:t>46</w:t>
      </w:r>
      <w:r>
        <w:rPr>
          <w:spacing w:val="-12"/>
        </w:rPr>
        <w:t>、场内：指通过深圳证券交易所内具有相应业务资格的会员单位利用交易</w:t>
      </w:r>
      <w:r>
        <w:rPr>
          <w:spacing w:val="-7"/>
        </w:rPr>
        <w:t>所交易系统办理基金份额认购、申购、赎回和上市交易的场所。通过该等场所办</w:t>
      </w:r>
      <w:r>
        <w:rPr/>
        <w:t>理基金份额的认购、申购、赎回也称为场内认购、场内申购、场内赎回</w:t>
      </w:r>
    </w:p>
    <w:p>
      <w:pPr>
        <w:pStyle w:val="BodyText"/>
        <w:spacing w:line="364" w:lineRule="auto" w:before="2"/>
        <w:ind w:right="357" w:firstLine="479"/>
      </w:pPr>
      <w:r>
        <w:rPr>
          <w:rFonts w:ascii="Times New Roman" w:eastAsia="Times New Roman"/>
        </w:rPr>
        <w:t>47</w:t>
      </w:r>
      <w:r>
        <w:rPr>
          <w:spacing w:val="-11"/>
        </w:rPr>
        <w:t>、注册登记系统：指中国证券登记结算有限责任公司开放式基金注册登记</w:t>
      </w:r>
      <w:r>
        <w:rPr/>
        <w:t>系统</w:t>
      </w:r>
    </w:p>
    <w:p>
      <w:pPr>
        <w:pStyle w:val="BodyText"/>
        <w:spacing w:line="364" w:lineRule="auto" w:before="1"/>
        <w:ind w:right="361" w:firstLine="479"/>
      </w:pPr>
      <w:r>
        <w:rPr>
          <w:rFonts w:ascii="Times New Roman" w:eastAsia="Times New Roman"/>
        </w:rPr>
        <w:t>48</w:t>
      </w:r>
      <w:r>
        <w:rPr>
          <w:spacing w:val="-12"/>
        </w:rPr>
        <w:t>、证券登记结算系统：指中国证券登记结算有限责任公司深圳分公司证券</w:t>
      </w:r>
      <w:r>
        <w:rPr/>
        <w:t>登记结算系统</w:t>
      </w:r>
    </w:p>
    <w:p>
      <w:pPr>
        <w:pStyle w:val="BodyText"/>
        <w:spacing w:before="1"/>
        <w:ind w:left="600"/>
      </w:pPr>
      <w:r>
        <w:rPr>
          <w:rFonts w:ascii="Times New Roman" w:eastAsia="Times New Roman"/>
        </w:rPr>
        <w:t>49</w:t>
      </w:r>
      <w:r>
        <w:rPr/>
        <w:t>、场外份额：指登记在注册登记系统下的基金份额</w:t>
      </w:r>
    </w:p>
    <w:p>
      <w:pPr>
        <w:pStyle w:val="BodyText"/>
        <w:ind w:left="600"/>
      </w:pPr>
      <w:r>
        <w:rPr>
          <w:rFonts w:ascii="Times New Roman" w:eastAsia="Times New Roman"/>
        </w:rPr>
        <w:t>50</w:t>
      </w:r>
      <w:r>
        <w:rPr/>
        <w:t>、场内份额：指登记在证券登记结算系统下的基金份额</w:t>
      </w:r>
    </w:p>
    <w:p>
      <w:pPr>
        <w:pStyle w:val="BodyText"/>
        <w:spacing w:line="364" w:lineRule="auto"/>
        <w:ind w:right="356" w:firstLine="479"/>
        <w:jc w:val="both"/>
      </w:pPr>
      <w:r>
        <w:rPr>
          <w:rFonts w:ascii="Times New Roman" w:eastAsia="Times New Roman"/>
        </w:rPr>
        <w:t>51</w:t>
      </w:r>
      <w:r>
        <w:rPr>
          <w:spacing w:val="-11"/>
        </w:rPr>
        <w:t>、系统内转托管：指基金份额持有人将其持有的基金份额在注册登记系统</w:t>
      </w:r>
      <w:r>
        <w:rPr>
          <w:spacing w:val="-4"/>
        </w:rPr>
        <w:t>内不同销售机构</w:t>
      </w:r>
      <w:r>
        <w:rPr/>
        <w:t>（网点</w:t>
      </w:r>
      <w:r>
        <w:rPr>
          <w:spacing w:val="-24"/>
        </w:rPr>
        <w:t>）</w:t>
      </w:r>
      <w:r>
        <w:rPr>
          <w:spacing w:val="-2"/>
        </w:rPr>
        <w:t>之间或证券登记结算系统内不同会员单位</w:t>
      </w:r>
      <w:r>
        <w:rPr/>
        <w:t>（席位</w:t>
      </w:r>
      <w:r>
        <w:rPr>
          <w:spacing w:val="-24"/>
        </w:rPr>
        <w:t>）</w:t>
      </w:r>
      <w:r>
        <w:rPr>
          <w:spacing w:val="-7"/>
        </w:rPr>
        <w:t>之间</w:t>
      </w:r>
      <w:r>
        <w:rPr/>
        <w:t>进行转托管的行为</w:t>
      </w:r>
    </w:p>
    <w:p>
      <w:pPr>
        <w:pStyle w:val="BodyText"/>
        <w:spacing w:line="364" w:lineRule="auto" w:before="2"/>
        <w:ind w:right="357" w:firstLine="479"/>
      </w:pPr>
      <w:r>
        <w:rPr>
          <w:rFonts w:ascii="Times New Roman" w:eastAsia="Times New Roman"/>
        </w:rPr>
        <w:t>52</w:t>
      </w:r>
      <w:r>
        <w:rPr>
          <w:spacing w:val="-11"/>
        </w:rPr>
        <w:t>、跨系统转托管：指持有人将其持有的基金份额在注册登记系统和证券登</w:t>
      </w:r>
      <w:r>
        <w:rPr/>
        <w:t>记结算系统之间进行转托管的行为</w:t>
      </w:r>
    </w:p>
    <w:p>
      <w:pPr>
        <w:pStyle w:val="BodyText"/>
        <w:spacing w:line="364" w:lineRule="auto" w:before="1"/>
        <w:ind w:right="357" w:firstLine="479"/>
        <w:jc w:val="both"/>
      </w:pPr>
      <w:r>
        <w:rPr>
          <w:rFonts w:ascii="Times New Roman" w:eastAsia="Times New Roman"/>
        </w:rPr>
        <w:t>53</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2"/>
        <w:ind w:right="356" w:firstLine="479"/>
        <w:jc w:val="both"/>
      </w:pPr>
      <w:r>
        <w:rPr>
          <w:rFonts w:ascii="Times New Roman" w:eastAsia="Times New Roman"/>
        </w:rPr>
        <w:t>54</w:t>
      </w:r>
      <w:r>
        <w:rPr>
          <w:spacing w:val="-11"/>
        </w:rPr>
        <w:t>、定期定额投资计划：指投资人通过有关销售机构提出申请，约定每期申</w:t>
      </w:r>
      <w:r>
        <w:rPr>
          <w:spacing w:val="-12"/>
        </w:rPr>
        <w:t>购日、申购金额及扣款方式，由销售机构于每期约定申购日在投资人指定银行账</w:t>
      </w:r>
      <w:r>
        <w:rPr/>
        <w:t>户内自动完成扣款及基金申购申请的一种投资方式</w:t>
      </w:r>
    </w:p>
    <w:p>
      <w:pPr>
        <w:pStyle w:val="BodyText"/>
        <w:spacing w:before="2"/>
        <w:ind w:left="600"/>
      </w:pPr>
      <w:r>
        <w:rPr>
          <w:rFonts w:ascii="Times New Roman" w:eastAsia="Times New Roman"/>
        </w:rPr>
        <w:t>55</w:t>
      </w:r>
      <w:r>
        <w:rPr/>
        <w:t>、巨额赎回：指本基金单个开放日，基金净赎回申请</w:t>
      </w:r>
      <w:r>
        <w:rPr>
          <w:rFonts w:ascii="Times New Roman" w:eastAsia="Times New Roman"/>
        </w:rPr>
        <w:t>(</w:t>
      </w:r>
      <w:r>
        <w:rPr/>
        <w:t>赎回申请份额总数</w:t>
      </w:r>
    </w:p>
    <w:p>
      <w:pPr>
        <w:spacing w:after="0"/>
        <w:sectPr>
          <w:pgSz w:w="11910" w:h="16840"/>
          <w:pgMar w:header="0" w:footer="995" w:top="1460" w:bottom="1180" w:left="1680" w:right="1440"/>
        </w:sectPr>
      </w:pPr>
    </w:p>
    <w:p>
      <w:pPr>
        <w:pStyle w:val="BodyText"/>
        <w:spacing w:line="364" w:lineRule="auto" w:before="40"/>
        <w:ind w:right="355"/>
        <w:rPr>
          <w:rFonts w:ascii="Times New Roman" w:eastAsia="Times New Roman"/>
        </w:rPr>
      </w:pPr>
      <w:r>
        <w:rPr/>
        <w:t>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600"/>
      </w:pPr>
      <w:r>
        <w:rPr>
          <w:rFonts w:ascii="Times New Roman" w:eastAsia="Times New Roman"/>
        </w:rPr>
        <w:t>56</w:t>
      </w:r>
      <w:r>
        <w:rPr/>
        <w:t>、元：指人民币元</w:t>
      </w:r>
    </w:p>
    <w:p>
      <w:pPr>
        <w:pStyle w:val="BodyText"/>
        <w:spacing w:line="364" w:lineRule="auto"/>
        <w:ind w:right="357" w:firstLine="479"/>
        <w:jc w:val="right"/>
      </w:pPr>
      <w:r>
        <w:rPr>
          <w:rFonts w:ascii="Times New Roman" w:eastAsia="Times New Roman"/>
        </w:rPr>
        <w:t>57</w:t>
      </w:r>
      <w:r>
        <w:rPr>
          <w:spacing w:val="-11"/>
        </w:rPr>
        <w:t>、基金收益：指基金投资所得红利、股息、债券利息、买卖证券价差、银行存款利息、已实现的其他合法收入及因运用基金财产带来的成本和费用的节约 </w:t>
      </w:r>
      <w:r>
        <w:rPr>
          <w:rFonts w:ascii="Times New Roman" w:eastAsia="Times New Roman"/>
        </w:rPr>
        <w:t>58</w:t>
      </w:r>
      <w:r>
        <w:rPr>
          <w:spacing w:val="-10"/>
        </w:rPr>
        <w:t>、基金资产总值：指基金拥有的各类有价证券、银行存款本息、基金应收</w:t>
      </w:r>
    </w:p>
    <w:p>
      <w:pPr>
        <w:pStyle w:val="BodyText"/>
        <w:spacing w:before="1"/>
      </w:pPr>
      <w:r>
        <w:rPr/>
        <w:t>申购款及其他资产的价值总和</w:t>
      </w:r>
    </w:p>
    <w:p>
      <w:pPr>
        <w:pStyle w:val="BodyText"/>
        <w:ind w:left="600"/>
      </w:pPr>
      <w:r>
        <w:rPr>
          <w:rFonts w:ascii="Times New Roman" w:eastAsia="Times New Roman"/>
        </w:rPr>
        <w:t>59</w:t>
      </w:r>
      <w:r>
        <w:rPr/>
        <w:t>、基金资产净值：指基金资产总值减去基金负债后的价值</w:t>
      </w:r>
    </w:p>
    <w:p>
      <w:pPr>
        <w:pStyle w:val="BodyText"/>
        <w:spacing w:before="160"/>
        <w:ind w:left="600"/>
      </w:pPr>
      <w:r>
        <w:rPr>
          <w:rFonts w:ascii="Times New Roman" w:eastAsia="Times New Roman"/>
        </w:rPr>
        <w:t>60</w:t>
      </w:r>
      <w:r>
        <w:rPr/>
        <w:t>、基金份额净值：指计算日基金资产净值除以计算日基金份额总数</w:t>
      </w:r>
    </w:p>
    <w:p>
      <w:pPr>
        <w:pStyle w:val="BodyText"/>
        <w:spacing w:line="364" w:lineRule="auto" w:before="162"/>
        <w:ind w:right="357" w:firstLine="479"/>
      </w:pPr>
      <w:r>
        <w:rPr>
          <w:rFonts w:ascii="Times New Roman" w:eastAsia="Times New Roman"/>
        </w:rPr>
        <w:t>61</w:t>
      </w:r>
      <w:r>
        <w:rPr>
          <w:spacing w:val="-11"/>
        </w:rPr>
        <w:t>、基金资产估值：指计算评估基金资产和负债的价值，以确定基金资产净</w:t>
      </w:r>
      <w:r>
        <w:rPr/>
        <w:t>值和基金份额净值的过程</w:t>
      </w:r>
    </w:p>
    <w:p>
      <w:pPr>
        <w:pStyle w:val="BodyText"/>
        <w:spacing w:line="364" w:lineRule="auto" w:before="1"/>
        <w:ind w:right="357" w:firstLine="479"/>
        <w:jc w:val="both"/>
      </w:pPr>
      <w:r>
        <w:rPr>
          <w:rFonts w:ascii="Times New Roman" w:eastAsia="Times New Roman"/>
        </w:rPr>
        <w:t>62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361" w:firstLine="479"/>
      </w:pPr>
      <w:r>
        <w:rPr>
          <w:rFonts w:ascii="Times New Roman" w:eastAsia="Times New Roman"/>
        </w:rPr>
        <w:t>63</w:t>
      </w:r>
      <w:r>
        <w:rPr>
          <w:spacing w:val="-21"/>
        </w:rPr>
        <w:t>、中国：指中华人民共和国。就本基金合同而言，不包括香港特别行政区、</w:t>
      </w:r>
      <w:r>
        <w:rPr/>
        <w:t>澳门特别行政区和台湾地区</w:t>
      </w:r>
    </w:p>
    <w:p>
      <w:pPr>
        <w:pStyle w:val="BodyText"/>
        <w:spacing w:before="1"/>
        <w:ind w:left="600"/>
      </w:pPr>
      <w:r>
        <w:rPr>
          <w:rFonts w:ascii="Times New Roman" w:eastAsia="Times New Roman"/>
        </w:rPr>
        <w:t>64</w:t>
      </w:r>
      <w:r>
        <w:rPr/>
        <w:t>、不可抗力：指本合同当事人不能预见、不能避免且不能克服的客观事件</w:t>
      </w:r>
    </w:p>
    <w:p>
      <w:pPr>
        <w:pStyle w:val="BodyText"/>
        <w:spacing w:line="364" w:lineRule="auto"/>
        <w:ind w:right="356" w:firstLine="479"/>
        <w:jc w:val="both"/>
      </w:pPr>
      <w:r>
        <w:rPr>
          <w:rFonts w:ascii="Times New Roman" w:eastAsia="Times New Roman"/>
        </w:rPr>
        <w:t>65</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、资产支持证券、因发行人债务违约无法进行转让或交易的债券等。</w:t>
      </w:r>
    </w:p>
    <w:p>
      <w:pPr>
        <w:spacing w:after="0" w:line="364" w:lineRule="auto"/>
        <w:jc w:val="both"/>
        <w:sectPr>
          <w:pgSz w:w="11910" w:h="16840"/>
          <w:pgMar w:header="0" w:footer="995" w:top="1460" w:bottom="1180" w:left="1680" w:right="1440"/>
        </w:sectPr>
      </w:pPr>
    </w:p>
    <w:p>
      <w:pPr>
        <w:pStyle w:val="Heading1"/>
        <w:tabs>
          <w:tab w:pos="1504" w:val="left" w:leader="none"/>
        </w:tabs>
        <w:ind w:right="239"/>
      </w:pPr>
      <w:bookmarkStart w:name="_bookmark2" w:id="3"/>
      <w:bookmarkEnd w:id="3"/>
      <w:r>
        <w:rPr>
          <w:b w:val="0"/>
        </w:rPr>
      </w:r>
      <w:r>
        <w:rPr/>
        <w:t>第三部分</w:t>
        <w:tab/>
        <w:t>基金的基本情况</w:t>
      </w:r>
    </w:p>
    <w:p>
      <w:pPr>
        <w:pStyle w:val="BodyText"/>
        <w:spacing w:before="6"/>
        <w:ind w:left="0"/>
        <w:rPr>
          <w:rFonts w:ascii="微软雅黑"/>
          <w:b/>
          <w:sz w:val="32"/>
        </w:rPr>
      </w:pPr>
    </w:p>
    <w:p>
      <w:pPr>
        <w:pStyle w:val="BodyText"/>
        <w:spacing w:before="0"/>
        <w:ind w:left="600"/>
      </w:pPr>
      <w:r>
        <w:rPr/>
        <w:t>一、基金名称</w:t>
      </w:r>
    </w:p>
    <w:p>
      <w:pPr>
        <w:pStyle w:val="BodyText"/>
        <w:ind w:left="600"/>
      </w:pPr>
      <w:r>
        <w:rPr/>
        <w:t>易方达中债新综合债券指数发起式证券投资基金（</w:t>
      </w:r>
      <w:r>
        <w:rPr>
          <w:rFonts w:ascii="Times New Roman" w:eastAsia="Times New Roman"/>
        </w:rPr>
        <w:t>LOF</w:t>
      </w:r>
      <w:r>
        <w:rPr/>
        <w:t>）</w:t>
      </w:r>
    </w:p>
    <w:p>
      <w:pPr>
        <w:pStyle w:val="BodyText"/>
        <w:spacing w:before="0"/>
        <w:ind w:left="0"/>
        <w:rPr>
          <w:sz w:val="26"/>
        </w:rPr>
      </w:pPr>
    </w:p>
    <w:p>
      <w:pPr>
        <w:pStyle w:val="BodyText"/>
        <w:spacing w:before="0"/>
        <w:ind w:left="0"/>
        <w:rPr>
          <w:sz w:val="23"/>
        </w:rPr>
      </w:pPr>
    </w:p>
    <w:p>
      <w:pPr>
        <w:pStyle w:val="BodyText"/>
        <w:spacing w:line="364" w:lineRule="auto" w:before="1"/>
        <w:ind w:left="600" w:right="6504"/>
      </w:pPr>
      <w:r>
        <w:rPr/>
        <w:t>二、基金的类别债券型基金</w:t>
      </w:r>
    </w:p>
    <w:p>
      <w:pPr>
        <w:pStyle w:val="BodyText"/>
        <w:spacing w:before="0"/>
        <w:ind w:left="0"/>
      </w:pPr>
    </w:p>
    <w:p>
      <w:pPr>
        <w:pStyle w:val="BodyText"/>
        <w:spacing w:before="162"/>
        <w:ind w:left="600"/>
      </w:pPr>
      <w:r>
        <w:rPr/>
        <w:t>三、基金的运作方式</w:t>
      </w:r>
    </w:p>
    <w:p>
      <w:pPr>
        <w:pStyle w:val="BodyText"/>
        <w:spacing w:before="160"/>
        <w:ind w:left="600"/>
      </w:pPr>
      <w:r>
        <w:rPr/>
        <w:t>契约型、上市开放式（</w:t>
      </w:r>
      <w:r>
        <w:rPr>
          <w:rFonts w:ascii="Times New Roman" w:eastAsia="Times New Roman"/>
          <w:spacing w:val="-3"/>
        </w:rPr>
        <w:t>L</w:t>
      </w:r>
      <w:r>
        <w:rPr>
          <w:rFonts w:ascii="Times New Roman" w:eastAsia="Times New Roman"/>
          <w:spacing w:val="1"/>
          <w:w w:val="99"/>
        </w:rPr>
        <w:t>O</w:t>
      </w:r>
      <w:r>
        <w:rPr>
          <w:rFonts w:ascii="Times New Roman" w:eastAsia="Times New Roman"/>
          <w:spacing w:val="-2"/>
          <w:w w:val="99"/>
        </w:rPr>
        <w:t>F</w:t>
      </w:r>
      <w:r>
        <w:rPr>
          <w:spacing w:val="-120"/>
        </w:rPr>
        <w:t>）</w:t>
      </w:r>
      <w:r>
        <w:rPr/>
        <w:t>、发起式基金</w:t>
      </w:r>
    </w:p>
    <w:p>
      <w:pPr>
        <w:pStyle w:val="BodyText"/>
        <w:spacing w:before="0"/>
        <w:ind w:left="0"/>
        <w:rPr>
          <w:sz w:val="26"/>
        </w:rPr>
      </w:pPr>
    </w:p>
    <w:p>
      <w:pPr>
        <w:pStyle w:val="BodyText"/>
        <w:spacing w:before="1"/>
        <w:ind w:left="0"/>
        <w:rPr>
          <w:sz w:val="23"/>
        </w:rPr>
      </w:pPr>
    </w:p>
    <w:p>
      <w:pPr>
        <w:pStyle w:val="BodyText"/>
        <w:spacing w:line="364" w:lineRule="auto" w:before="0"/>
        <w:ind w:left="600" w:right="6504"/>
      </w:pPr>
      <w:r>
        <w:rPr>
          <w:spacing w:val="-3"/>
        </w:rPr>
        <w:t>四、上市交易所深圳证券交易所</w:t>
      </w:r>
    </w:p>
    <w:p>
      <w:pPr>
        <w:pStyle w:val="BodyText"/>
        <w:spacing w:before="0"/>
        <w:ind w:left="0"/>
      </w:pPr>
    </w:p>
    <w:p>
      <w:pPr>
        <w:pStyle w:val="BodyText"/>
        <w:spacing w:line="364" w:lineRule="auto" w:before="162"/>
        <w:ind w:left="600" w:right="6424"/>
      </w:pPr>
      <w:r>
        <w:rPr/>
        <w:t>五、标的指数 </w:t>
      </w:r>
      <w:r>
        <w:rPr>
          <w:spacing w:val="-1"/>
        </w:rPr>
        <w:t>中债</w:t>
      </w:r>
      <w:r>
        <w:rPr>
          <w:rFonts w:ascii="Times New Roman" w:eastAsia="Times New Roman"/>
        </w:rPr>
        <w:t>-</w:t>
      </w:r>
      <w:r>
        <w:rPr>
          <w:spacing w:val="-4"/>
        </w:rPr>
        <w:t>新综合指数</w:t>
      </w:r>
    </w:p>
    <w:p>
      <w:pPr>
        <w:pStyle w:val="BodyText"/>
        <w:spacing w:line="364" w:lineRule="auto" w:before="1"/>
        <w:ind w:right="244" w:firstLine="479"/>
      </w:pPr>
      <w:r>
        <w:rPr/>
        <w:t>如标的指数更名，经与基金托管人协商一致，基金管理人应调整基金名称、修改基金合同并公告，但无需召开基金份额持有人大会。</w:t>
      </w:r>
    </w:p>
    <w:p>
      <w:pPr>
        <w:pStyle w:val="BodyText"/>
        <w:spacing w:before="0"/>
        <w:ind w:left="0"/>
      </w:pPr>
    </w:p>
    <w:p>
      <w:pPr>
        <w:pStyle w:val="BodyText"/>
        <w:spacing w:before="162"/>
        <w:ind w:left="600"/>
      </w:pPr>
      <w:r>
        <w:rPr/>
        <w:t>六、基金的投资目标</w:t>
      </w:r>
    </w:p>
    <w:p>
      <w:pPr>
        <w:pStyle w:val="BodyText"/>
        <w:spacing w:line="364" w:lineRule="auto"/>
        <w:ind w:right="357" w:firstLine="479"/>
      </w:pPr>
      <w:r>
        <w:rPr>
          <w:spacing w:val="-10"/>
        </w:rPr>
        <w:t>本基金通过指数化投资，争取在扣除各项费用之前获得与标的指数相似的总</w:t>
      </w:r>
      <w:r>
        <w:rPr/>
        <w:t>回报，追求跟踪偏离度及跟踪误差的最小化。</w:t>
      </w:r>
    </w:p>
    <w:p>
      <w:pPr>
        <w:pStyle w:val="BodyText"/>
        <w:spacing w:before="0"/>
        <w:ind w:left="0"/>
      </w:pPr>
    </w:p>
    <w:p>
      <w:pPr>
        <w:pStyle w:val="BodyText"/>
        <w:ind w:left="600"/>
      </w:pPr>
      <w:r>
        <w:rPr/>
        <w:t>七、基金的最低募集份额总额和金额</w:t>
      </w:r>
    </w:p>
    <w:p>
      <w:pPr>
        <w:pStyle w:val="BodyText"/>
        <w:spacing w:line="364" w:lineRule="auto"/>
        <w:ind w:right="356" w:firstLine="479"/>
      </w:pPr>
      <w:r>
        <w:rPr>
          <w:spacing w:val="-5"/>
        </w:rPr>
        <w:t>本基金的最低募集份额总额为 </w:t>
      </w:r>
      <w:r>
        <w:rPr>
          <w:rFonts w:ascii="Times New Roman" w:eastAsia="Times New Roman"/>
        </w:rPr>
        <w:t>5000 </w:t>
      </w:r>
      <w:r>
        <w:rPr>
          <w:spacing w:val="-15"/>
        </w:rPr>
        <w:t>万份，基金募集金额不少于 </w:t>
      </w:r>
      <w:r>
        <w:rPr>
          <w:rFonts w:ascii="Times New Roman" w:eastAsia="Times New Roman"/>
        </w:rPr>
        <w:t>5000 </w:t>
      </w:r>
      <w:r>
        <w:rPr>
          <w:spacing w:val="-5"/>
        </w:rPr>
        <w:t>万元人</w:t>
      </w:r>
      <w:r>
        <w:rPr/>
        <w:t>民币。</w:t>
      </w:r>
    </w:p>
    <w:p>
      <w:pPr>
        <w:pStyle w:val="BodyText"/>
        <w:spacing w:before="0"/>
        <w:ind w:left="0"/>
      </w:pPr>
    </w:p>
    <w:p>
      <w:pPr>
        <w:pStyle w:val="BodyText"/>
        <w:spacing w:before="162"/>
        <w:ind w:left="600"/>
      </w:pPr>
      <w:r>
        <w:rPr/>
        <w:t>八、基金份额面值和认购费用</w:t>
      </w:r>
    </w:p>
    <w:p>
      <w:pPr>
        <w:pStyle w:val="BodyText"/>
        <w:ind w:left="600"/>
      </w:pPr>
      <w:r>
        <w:rPr/>
        <w:t>本基金基金份额初始面值为人民币 </w:t>
      </w:r>
      <w:r>
        <w:rPr>
          <w:rFonts w:ascii="Times New Roman" w:eastAsia="Times New Roman"/>
        </w:rPr>
        <w:t>1.00 </w:t>
      </w:r>
      <w:r>
        <w:rPr/>
        <w:t>元。</w:t>
      </w:r>
    </w:p>
    <w:p>
      <w:pPr>
        <w:spacing w:after="0"/>
        <w:sectPr>
          <w:pgSz w:w="11910" w:h="16840"/>
          <w:pgMar w:header="0" w:footer="995" w:top="1500" w:bottom="1180" w:left="1680" w:right="1440"/>
        </w:sectPr>
      </w:pPr>
    </w:p>
    <w:p>
      <w:pPr>
        <w:pStyle w:val="BodyText"/>
        <w:spacing w:before="60"/>
        <w:ind w:left="600"/>
      </w:pPr>
      <w:r>
        <w:rPr/>
        <w:t>本基金认购费率最高不超过</w:t>
      </w:r>
      <w:r>
        <w:rPr>
          <w:rFonts w:ascii="Times New Roman" w:eastAsia="Times New Roman"/>
        </w:rPr>
        <w:t>5%</w:t>
      </w:r>
      <w:r>
        <w:rPr/>
        <w:t>，具体费率按招募说明书的规定执行。</w:t>
      </w:r>
    </w:p>
    <w:p>
      <w:pPr>
        <w:pStyle w:val="BodyText"/>
        <w:spacing w:before="0"/>
        <w:ind w:left="0"/>
        <w:rPr>
          <w:sz w:val="26"/>
        </w:rPr>
      </w:pPr>
    </w:p>
    <w:p>
      <w:pPr>
        <w:pStyle w:val="BodyText"/>
        <w:spacing w:before="1"/>
        <w:ind w:left="0"/>
        <w:rPr>
          <w:sz w:val="23"/>
        </w:rPr>
      </w:pPr>
    </w:p>
    <w:p>
      <w:pPr>
        <w:pStyle w:val="BodyText"/>
        <w:spacing w:line="364" w:lineRule="auto" w:before="1"/>
        <w:ind w:left="600" w:right="6264"/>
      </w:pPr>
      <w:r>
        <w:rPr/>
        <w:t>九、基金存续期限不定期</w:t>
      </w:r>
    </w:p>
    <w:p>
      <w:pPr>
        <w:pStyle w:val="BodyText"/>
        <w:spacing w:before="0"/>
        <w:ind w:left="0"/>
      </w:pPr>
    </w:p>
    <w:p>
      <w:pPr>
        <w:pStyle w:val="BodyText"/>
        <w:ind w:left="600"/>
      </w:pPr>
      <w:r>
        <w:rPr/>
        <w:t>十、基金份额类别</w:t>
      </w:r>
    </w:p>
    <w:p>
      <w:pPr>
        <w:pStyle w:val="BodyText"/>
        <w:spacing w:line="364" w:lineRule="auto"/>
        <w:ind w:right="356" w:firstLine="479"/>
        <w:jc w:val="both"/>
      </w:pPr>
      <w:r>
        <w:rPr/>
        <w:t>本基金根据认购</w:t>
      </w:r>
      <w:r>
        <w:rPr>
          <w:rFonts w:ascii="Times New Roman" w:eastAsia="Times New Roman"/>
        </w:rPr>
        <w:t>/</w:t>
      </w:r>
      <w:r>
        <w:rPr/>
        <w:t>申购费用、赎回费用与销售服务费收取方式的不同，将基金份额分为不同的类别。在投资者认购</w:t>
      </w:r>
      <w:r>
        <w:rPr>
          <w:rFonts w:ascii="Times New Roman" w:eastAsia="Times New Roman"/>
        </w:rPr>
        <w:t>/</w:t>
      </w:r>
      <w:r>
        <w:rPr/>
        <w:t>申购时收取认购</w:t>
      </w:r>
      <w:r>
        <w:rPr>
          <w:rFonts w:ascii="Times New Roman" w:eastAsia="Times New Roman"/>
        </w:rPr>
        <w:t>/</w:t>
      </w:r>
      <w:r>
        <w:rPr>
          <w:spacing w:val="-2"/>
        </w:rPr>
        <w:t>申购费用，在赎回时根</w:t>
      </w:r>
      <w:r>
        <w:rPr>
          <w:spacing w:val="-1"/>
        </w:rPr>
        <w:t>据持有期限收取赎回费用的基金份额，称为 </w:t>
      </w:r>
      <w:r>
        <w:rPr>
          <w:rFonts w:ascii="Times New Roman" w:eastAsia="Times New Roman"/>
        </w:rPr>
        <w:t>A </w:t>
      </w:r>
      <w:r>
        <w:rPr>
          <w:spacing w:val="-2"/>
        </w:rPr>
        <w:t>类；从本类别基金资产中计提销</w:t>
      </w:r>
      <w:r>
        <w:rPr>
          <w:spacing w:val="-4"/>
        </w:rPr>
        <w:t>售服务费、不收取认购</w:t>
      </w:r>
      <w:r>
        <w:rPr>
          <w:rFonts w:ascii="Times New Roman" w:eastAsia="Times New Roman"/>
        </w:rPr>
        <w:t>/</w:t>
      </w:r>
      <w:r>
        <w:rPr>
          <w:spacing w:val="-3"/>
        </w:rPr>
        <w:t>申购费用及赎回费用</w:t>
      </w:r>
      <w:r>
        <w:rPr/>
        <w:t>（</w:t>
      </w:r>
      <w:r>
        <w:rPr>
          <w:spacing w:val="-7"/>
        </w:rPr>
        <w:t>但对持有期限少于 </w:t>
      </w:r>
      <w:r>
        <w:rPr>
          <w:rFonts w:ascii="Times New Roman" w:eastAsia="Times New Roman"/>
        </w:rPr>
        <w:t>30 </w:t>
      </w:r>
      <w:r>
        <w:rPr>
          <w:spacing w:val="-3"/>
        </w:rPr>
        <w:t>日的本类别</w:t>
      </w:r>
      <w:r>
        <w:rPr/>
        <w:t>基金份额收取赎回费除外</w:t>
      </w:r>
      <w:r>
        <w:rPr>
          <w:spacing w:val="-120"/>
        </w:rPr>
        <w:t>）</w:t>
      </w:r>
      <w:r>
        <w:rPr>
          <w:spacing w:val="-20"/>
        </w:rPr>
        <w:t>，称为 </w:t>
      </w:r>
      <w:r>
        <w:rPr>
          <w:rFonts w:ascii="Times New Roman" w:eastAsia="Times New Roman"/>
        </w:rPr>
        <w:t>C </w:t>
      </w:r>
      <w:r>
        <w:rPr>
          <w:spacing w:val="-14"/>
        </w:rPr>
        <w:t>类。本基金 </w:t>
      </w:r>
      <w:r>
        <w:rPr>
          <w:rFonts w:ascii="Times New Roman" w:eastAsia="Times New Roman"/>
          <w:w w:val="99"/>
        </w:rPr>
        <w:t>A</w:t>
      </w:r>
      <w:r>
        <w:rPr>
          <w:rFonts w:ascii="Times New Roman" w:eastAsia="Times New Roman"/>
        </w:rPr>
        <w:t> </w:t>
      </w:r>
      <w:r>
        <w:rPr>
          <w:spacing w:val="-9"/>
        </w:rPr>
        <w:t>类、</w:t>
      </w:r>
      <w:r>
        <w:rPr>
          <w:rFonts w:ascii="Times New Roman" w:eastAsia="Times New Roman"/>
        </w:rPr>
        <w:t>C </w:t>
      </w:r>
      <w:r>
        <w:rPr>
          <w:spacing w:val="-2"/>
        </w:rPr>
        <w:t>类基金份额分别设置代</w:t>
      </w:r>
      <w:r>
        <w:rPr>
          <w:spacing w:val="-3"/>
        </w:rPr>
        <w:t>码。由于基金费用的不同，本基金 </w:t>
      </w:r>
      <w:r>
        <w:rPr>
          <w:rFonts w:ascii="Times New Roman" w:eastAsia="Times New Roman"/>
        </w:rPr>
        <w:t>A </w:t>
      </w:r>
      <w:r>
        <w:rPr>
          <w:spacing w:val="-7"/>
        </w:rPr>
        <w:t>类基金份额和 </w:t>
      </w:r>
      <w:r>
        <w:rPr>
          <w:rFonts w:ascii="Times New Roman" w:eastAsia="Times New Roman"/>
        </w:rPr>
        <w:t>C </w:t>
      </w:r>
      <w:r>
        <w:rPr>
          <w:spacing w:val="-2"/>
        </w:rPr>
        <w:t>类基金份额将分别计算基</w:t>
      </w:r>
      <w:r>
        <w:rPr>
          <w:spacing w:val="-10"/>
        </w:rPr>
        <w:t>金份额净值。有关基金份额类别的具体设置、费率水平等由基金管理人确定，并</w:t>
      </w:r>
      <w:r>
        <w:rPr/>
        <w:t>在《招募说明书》中公告。</w:t>
      </w:r>
    </w:p>
    <w:p>
      <w:pPr>
        <w:spacing w:after="0" w:line="364" w:lineRule="auto"/>
        <w:jc w:val="both"/>
        <w:sectPr>
          <w:pgSz w:w="11910" w:h="16840"/>
          <w:pgMar w:header="0" w:footer="995" w:top="1440" w:bottom="1180" w:left="1680" w:right="1440"/>
        </w:sectPr>
      </w:pPr>
    </w:p>
    <w:p>
      <w:pPr>
        <w:pStyle w:val="Heading1"/>
        <w:tabs>
          <w:tab w:pos="1504" w:val="left" w:leader="none"/>
        </w:tabs>
        <w:ind w:right="239"/>
      </w:pPr>
      <w:bookmarkStart w:name="_bookmark3" w:id="4"/>
      <w:bookmarkEnd w:id="4"/>
      <w:r>
        <w:rPr>
          <w:b w:val="0"/>
        </w:rPr>
      </w:r>
      <w:r>
        <w:rPr/>
        <w:t>第四部分</w:t>
        <w:tab/>
        <w:t>基金份额的发售</w:t>
      </w:r>
    </w:p>
    <w:p>
      <w:pPr>
        <w:pStyle w:val="BodyText"/>
        <w:spacing w:before="6"/>
        <w:ind w:left="0"/>
        <w:rPr>
          <w:rFonts w:ascii="微软雅黑"/>
          <w:b/>
          <w:sz w:val="32"/>
        </w:rPr>
      </w:pPr>
    </w:p>
    <w:p>
      <w:pPr>
        <w:pStyle w:val="BodyText"/>
        <w:spacing w:before="0"/>
        <w:ind w:left="600"/>
      </w:pPr>
      <w:r>
        <w:rPr/>
        <w:t>一、基金份额的发售时间、发售方式、发售对象</w:t>
      </w:r>
    </w:p>
    <w:p>
      <w:pPr>
        <w:pStyle w:val="BodyText"/>
        <w:ind w:left="600"/>
      </w:pPr>
      <w:r>
        <w:rPr>
          <w:rFonts w:ascii="Times New Roman" w:eastAsia="Times New Roman"/>
        </w:rPr>
        <w:t>1</w:t>
      </w:r>
      <w:r>
        <w:rPr/>
        <w:t>、发售时间</w:t>
      </w:r>
    </w:p>
    <w:p>
      <w:pPr>
        <w:pStyle w:val="BodyText"/>
        <w:spacing w:line="364" w:lineRule="auto" w:before="160"/>
        <w:ind w:right="35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2"/>
        <w:ind w:left="600"/>
      </w:pPr>
      <w:r>
        <w:rPr>
          <w:rFonts w:ascii="Times New Roman" w:eastAsia="Times New Roman"/>
        </w:rPr>
        <w:t>2</w:t>
      </w:r>
      <w:r>
        <w:rPr/>
        <w:t>、发售方式</w:t>
      </w:r>
    </w:p>
    <w:p>
      <w:pPr>
        <w:pStyle w:val="BodyText"/>
        <w:spacing w:line="364" w:lineRule="auto" w:before="160"/>
        <w:ind w:right="356" w:firstLine="479"/>
        <w:jc w:val="both"/>
      </w:pPr>
      <w:r>
        <w:rPr>
          <w:spacing w:val="-5"/>
        </w:rPr>
        <w:t>本基金将通过场外和场内两种方式公开发售。</w:t>
      </w:r>
      <w:r>
        <w:rPr>
          <w:rFonts w:ascii="Times New Roman" w:eastAsia="Times New Roman"/>
        </w:rPr>
        <w:t>A </w:t>
      </w:r>
      <w:r>
        <w:rPr>
          <w:spacing w:val="-2"/>
        </w:rPr>
        <w:t>类基金份额通过场外和场内</w:t>
      </w:r>
      <w:r>
        <w:rPr/>
        <w:t>两种方式发售，</w:t>
      </w:r>
      <w:r>
        <w:rPr>
          <w:rFonts w:ascii="Times New Roman" w:eastAsia="Times New Roman"/>
        </w:rPr>
        <w:t>C </w:t>
      </w:r>
      <w:r>
        <w:rPr/>
        <w:t>类基金份额通过场外方式发售。</w:t>
      </w:r>
    </w:p>
    <w:p>
      <w:pPr>
        <w:pStyle w:val="BodyText"/>
        <w:spacing w:line="364" w:lineRule="auto" w:before="2"/>
        <w:ind w:right="350" w:firstLine="479"/>
        <w:jc w:val="both"/>
      </w:pPr>
      <w:r>
        <w:rPr>
          <w:spacing w:val="4"/>
        </w:rPr>
        <w:t>场内发售是指本基金募集期结束前获得基金销售业务资格的深圳证券交易</w:t>
      </w:r>
      <w:r>
        <w:rPr>
          <w:spacing w:val="-5"/>
        </w:rPr>
        <w:t>所会员单位通过场内代理发售基金份额的行为</w:t>
      </w:r>
      <w:r>
        <w:rPr/>
        <w:t>（具体名单见基金份额发售公告或相关业务公告</w:t>
      </w:r>
      <w:r>
        <w:rPr>
          <w:spacing w:val="-118"/>
        </w:rPr>
        <w:t>）</w:t>
      </w:r>
      <w:r>
        <w:rPr/>
        <w:t>。尚未取得基金销售业务资格，但属于深圳证券交易所会员的其</w:t>
      </w:r>
      <w:r>
        <w:rPr>
          <w:spacing w:val="-11"/>
        </w:rPr>
        <w:t>他机构，可在本基金上市后通过深圳证券交易所交易系统为投资者提供本基金的</w:t>
      </w:r>
      <w:r>
        <w:rPr>
          <w:spacing w:val="-14"/>
        </w:rPr>
        <w:t>上市交易服务。场外发售是指通过基金管理人的直销网点及基金代销机构的代销</w:t>
      </w:r>
      <w:r>
        <w:rPr>
          <w:spacing w:val="-31"/>
        </w:rPr>
        <w:t>网点</w:t>
      </w:r>
      <w:r>
        <w:rPr/>
        <w:t>（具体名单见基金份额发售公告或相关业务公告</w:t>
      </w:r>
      <w:r>
        <w:rPr>
          <w:spacing w:val="-48"/>
        </w:rPr>
        <w:t>）</w:t>
      </w:r>
      <w:r>
        <w:rPr/>
        <w:t>通过场外公开发售基金份额的行为。</w:t>
      </w:r>
    </w:p>
    <w:p>
      <w:pPr>
        <w:pStyle w:val="BodyText"/>
        <w:spacing w:line="364" w:lineRule="auto" w:before="5"/>
        <w:ind w:right="350" w:firstLine="479"/>
        <w:jc w:val="both"/>
      </w:pPr>
      <w:r>
        <w:rPr>
          <w:spacing w:val="4"/>
        </w:rPr>
        <w:t>通过场外认购的基金份额登记在注册登记系统基金份额持有人开放式基金</w:t>
      </w:r>
      <w:r>
        <w:rPr>
          <w:spacing w:val="-11"/>
        </w:rPr>
        <w:t>账户下；通过场内认购的基金份额登记在证券登记结算系统基金份额持有人证券账户下。</w:t>
      </w:r>
    </w:p>
    <w:p>
      <w:pPr>
        <w:pStyle w:val="BodyText"/>
        <w:spacing w:line="364" w:lineRule="auto" w:before="1"/>
        <w:ind w:right="242" w:firstLine="479"/>
      </w:pPr>
      <w:r>
        <w:rPr/>
        <w:t>销售机构对认购申请的受理并不代表该申请一定成功，而仅代表销售机构确实接收到认购申请。认购的确认以登记结算机构或基金管理人的确认结果为准。</w:t>
      </w:r>
    </w:p>
    <w:p>
      <w:pPr>
        <w:pStyle w:val="BodyText"/>
        <w:spacing w:before="2"/>
        <w:ind w:left="600"/>
      </w:pPr>
      <w:r>
        <w:rPr>
          <w:rFonts w:ascii="Times New Roman" w:eastAsia="Times New Roman"/>
        </w:rPr>
        <w:t>3</w:t>
      </w:r>
      <w:r>
        <w:rPr/>
        <w:t>、发售对象</w:t>
      </w:r>
    </w:p>
    <w:p>
      <w:pPr>
        <w:pStyle w:val="BodyText"/>
        <w:spacing w:line="364" w:lineRule="auto" w:before="160"/>
        <w:ind w:right="357" w:firstLine="479"/>
      </w:pPr>
      <w:r>
        <w:rPr>
          <w:spacing w:val="-11"/>
        </w:rPr>
        <w:t>个人投资者、机构投资者和合格境外机构投资者以及法律法规或中国证监会</w:t>
      </w:r>
      <w:r>
        <w:rPr/>
        <w:t>允许购买证券投资基金的其他投资人。</w:t>
      </w:r>
    </w:p>
    <w:p>
      <w:pPr>
        <w:pStyle w:val="BodyText"/>
        <w:spacing w:before="2"/>
        <w:ind w:left="600"/>
      </w:pPr>
      <w:r>
        <w:rPr/>
        <w:t>二、基金份额的认购</w:t>
      </w:r>
    </w:p>
    <w:p>
      <w:pPr>
        <w:pStyle w:val="BodyText"/>
        <w:spacing w:before="160"/>
        <w:ind w:left="600"/>
      </w:pPr>
      <w:r>
        <w:rPr>
          <w:rFonts w:ascii="Times New Roman" w:eastAsia="Times New Roman"/>
        </w:rPr>
        <w:t>1</w:t>
      </w:r>
      <w:r>
        <w:rPr/>
        <w:t>、认购费用</w:t>
      </w:r>
    </w:p>
    <w:p>
      <w:pPr>
        <w:pStyle w:val="BodyText"/>
        <w:spacing w:line="364" w:lineRule="auto"/>
        <w:ind w:right="356" w:firstLine="479"/>
      </w:pPr>
      <w:r>
        <w:rPr/>
        <w:t>本基金 </w:t>
      </w:r>
      <w:r>
        <w:rPr>
          <w:rFonts w:ascii="Times New Roman" w:eastAsia="Times New Roman"/>
        </w:rPr>
        <w:t>A </w:t>
      </w:r>
      <w:r>
        <w:rPr/>
        <w:t>类基金份额在认购时收取基金认购费用，</w:t>
      </w:r>
      <w:r>
        <w:rPr>
          <w:rFonts w:ascii="Times New Roman" w:eastAsia="Times New Roman"/>
        </w:rPr>
        <w:t>C </w:t>
      </w:r>
      <w:r>
        <w:rPr/>
        <w:t>类基金份额不收取认购费用。</w:t>
      </w:r>
    </w:p>
    <w:p>
      <w:pPr>
        <w:pStyle w:val="BodyText"/>
        <w:spacing w:before="1"/>
        <w:ind w:left="600"/>
      </w:pPr>
      <w:r>
        <w:rPr/>
        <w:t>本基金 </w:t>
      </w:r>
      <w:r>
        <w:rPr>
          <w:rFonts w:ascii="Times New Roman" w:eastAsia="Times New Roman"/>
        </w:rPr>
        <w:t>A </w:t>
      </w:r>
      <w:r>
        <w:rPr/>
        <w:t>类基金份额的认购费率由基金管理人决定，并在招募说明书中列</w:t>
      </w:r>
    </w:p>
    <w:p>
      <w:pPr>
        <w:spacing w:after="0"/>
        <w:sectPr>
          <w:pgSz w:w="11910" w:h="16840"/>
          <w:pgMar w:header="0" w:footer="995" w:top="1500" w:bottom="1180" w:left="1680" w:right="1440"/>
        </w:sectPr>
      </w:pPr>
    </w:p>
    <w:p>
      <w:pPr>
        <w:pStyle w:val="BodyText"/>
        <w:spacing w:before="60"/>
        <w:jc w:val="both"/>
      </w:pPr>
      <w:r>
        <w:rPr/>
        <w:t>示。基金认购费用不列入基金财产，</w:t>
      </w:r>
      <w:r>
        <w:rPr>
          <w:rFonts w:ascii="Times New Roman" w:eastAsia="Times New Roman"/>
        </w:rPr>
        <w:t>A </w:t>
      </w:r>
      <w:r>
        <w:rPr/>
        <w:t>类基金份额认购费率不得超过认购金额的</w:t>
      </w:r>
    </w:p>
    <w:p>
      <w:pPr>
        <w:pStyle w:val="BodyText"/>
      </w:pPr>
      <w:r>
        <w:rPr>
          <w:rFonts w:ascii="Times New Roman" w:eastAsia="Times New Roman"/>
        </w:rPr>
        <w:t>5%</w:t>
      </w:r>
      <w:r>
        <w:rPr/>
        <w:t>。</w:t>
      </w:r>
    </w:p>
    <w:p>
      <w:pPr>
        <w:pStyle w:val="BodyText"/>
        <w:ind w:left="600"/>
      </w:pPr>
      <w:r>
        <w:rPr>
          <w:rFonts w:ascii="Times New Roman" w:eastAsia="Times New Roman"/>
        </w:rPr>
        <w:t>2</w:t>
      </w:r>
      <w:r>
        <w:rPr/>
        <w:t>、募集期利息的处理方式</w:t>
      </w:r>
    </w:p>
    <w:p>
      <w:pPr>
        <w:pStyle w:val="BodyText"/>
        <w:spacing w:line="364" w:lineRule="auto" w:before="160"/>
        <w:ind w:right="350" w:firstLine="479"/>
      </w:pPr>
      <w:r>
        <w:rPr/>
        <w:t>有效认购款项在募集期间产生的利息将折算为基金份额归基金份额持有人所有，其中利息转份额以登记结算机构的记录为准。</w:t>
      </w:r>
    </w:p>
    <w:p>
      <w:pPr>
        <w:pStyle w:val="BodyText"/>
        <w:spacing w:before="2"/>
        <w:ind w:left="600"/>
      </w:pPr>
      <w:r>
        <w:rPr>
          <w:rFonts w:ascii="Times New Roman" w:eastAsia="Times New Roman"/>
        </w:rPr>
        <w:t>3</w:t>
      </w:r>
      <w:r>
        <w:rPr/>
        <w:t>、基金认购份额的计算</w:t>
      </w:r>
    </w:p>
    <w:p>
      <w:pPr>
        <w:pStyle w:val="BodyText"/>
        <w:spacing w:line="364" w:lineRule="auto" w:before="160"/>
        <w:ind w:right="244" w:firstLine="479"/>
      </w:pPr>
      <w:r>
        <w:rPr/>
        <w:t>场外认购采用“金额认购，份额确认”的方式；场内认购采用“份额认购， 份额确认”的方式。</w:t>
      </w:r>
    </w:p>
    <w:p>
      <w:pPr>
        <w:pStyle w:val="BodyText"/>
        <w:spacing w:line="364" w:lineRule="auto" w:before="1"/>
        <w:ind w:left="600" w:right="116"/>
      </w:pPr>
      <w:r>
        <w:rPr>
          <w:spacing w:val="-9"/>
        </w:rPr>
        <w:t>基金认购份额具体计算方法、认购份额余额的处理方式在招募说明书中列示。</w:t>
      </w:r>
      <w:r>
        <w:rPr/>
        <w:t>三、基金份额认购金额的限制</w:t>
      </w:r>
    </w:p>
    <w:p>
      <w:pPr>
        <w:pStyle w:val="BodyText"/>
        <w:spacing w:before="2"/>
        <w:ind w:left="600"/>
      </w:pPr>
      <w:r>
        <w:rPr>
          <w:rFonts w:ascii="Times New Roman" w:eastAsia="Times New Roman"/>
        </w:rPr>
        <w:t>1</w:t>
      </w:r>
      <w:r>
        <w:rPr/>
        <w:t>、投资人认购时，需按销售机构规定的方式全额缴款。</w:t>
      </w:r>
    </w:p>
    <w:p>
      <w:pPr>
        <w:pStyle w:val="BodyText"/>
        <w:spacing w:line="364" w:lineRule="auto"/>
        <w:ind w:right="364" w:firstLine="479"/>
      </w:pPr>
      <w:r>
        <w:rPr>
          <w:rFonts w:ascii="Times New Roman" w:eastAsia="Times New Roman"/>
        </w:rPr>
        <w:t>2</w:t>
      </w:r>
      <w:r>
        <w:rPr/>
        <w:t>、基金投资者在基金募集期内可以多次认购基金份额，认购费按每笔认购申请单独计算。认购一经受理不得撤销。</w:t>
      </w:r>
    </w:p>
    <w:p>
      <w:pPr>
        <w:pStyle w:val="BodyText"/>
        <w:spacing w:line="364" w:lineRule="auto" w:before="1"/>
        <w:ind w:right="364" w:firstLine="479"/>
      </w:pPr>
      <w:r>
        <w:rPr>
          <w:rFonts w:ascii="Times New Roman" w:eastAsia="Times New Roman"/>
        </w:rPr>
        <w:t>3</w:t>
      </w:r>
      <w:r>
        <w:rPr/>
        <w:t>、基金管理人可以对每个基金交易账户的单笔最低认购金额进行限制，具体限制请参看招募说明书。</w:t>
      </w:r>
    </w:p>
    <w:p>
      <w:pPr>
        <w:pStyle w:val="BodyText"/>
        <w:spacing w:line="364" w:lineRule="auto" w:before="1"/>
        <w:ind w:right="364" w:firstLine="479"/>
      </w:pPr>
      <w:r>
        <w:rPr>
          <w:rFonts w:ascii="Times New Roman" w:eastAsia="Times New Roman"/>
        </w:rPr>
        <w:t>4</w:t>
      </w:r>
      <w:r>
        <w:rPr/>
        <w:t>、基金管理人可以对募集期间的单个投资人的累计认购金额进行限制，具体限制和处理方法请参看招募说明书。</w:t>
      </w:r>
    </w:p>
    <w:p>
      <w:pPr>
        <w:pStyle w:val="BodyText"/>
        <w:spacing w:before="2"/>
        <w:ind w:left="600"/>
      </w:pPr>
      <w:r>
        <w:rPr/>
        <w:t>四、发起资金的认购</w:t>
      </w:r>
    </w:p>
    <w:p>
      <w:pPr>
        <w:pStyle w:val="BodyText"/>
        <w:spacing w:before="160"/>
        <w:ind w:left="600"/>
      </w:pPr>
      <w:r>
        <w:rPr/>
        <w:t>本基金发起资金认购的金额不少于 </w:t>
      </w:r>
      <w:r>
        <w:rPr>
          <w:rFonts w:ascii="Times New Roman" w:eastAsia="Times New Roman"/>
        </w:rPr>
        <w:t>1000 </w:t>
      </w:r>
      <w:r>
        <w:rPr/>
        <w:t>万元，且发起资金认购的基金份额</w:t>
      </w:r>
    </w:p>
    <w:p>
      <w:pPr>
        <w:pStyle w:val="BodyText"/>
        <w:jc w:val="both"/>
      </w:pPr>
      <w:r>
        <w:rPr/>
        <w:t>持有期限不少于 </w:t>
      </w:r>
      <w:r>
        <w:rPr>
          <w:rFonts w:ascii="Times New Roman" w:eastAsia="Times New Roman"/>
        </w:rPr>
        <w:t>3 </w:t>
      </w:r>
      <w:r>
        <w:rPr/>
        <w:t>年。</w:t>
      </w:r>
    </w:p>
    <w:p>
      <w:pPr>
        <w:pStyle w:val="BodyText"/>
        <w:spacing w:line="364" w:lineRule="auto" w:before="160"/>
        <w:ind w:right="359" w:firstLine="479"/>
        <w:jc w:val="both"/>
      </w:pPr>
      <w:r>
        <w:rPr>
          <w:spacing w:val="-6"/>
        </w:rPr>
        <w:t>其中发起资金指基金管理人的股东资金、基金管理人固有资金、基金管理人</w:t>
      </w:r>
      <w:r>
        <w:rPr>
          <w:spacing w:val="-5"/>
        </w:rPr>
        <w:t>高级管理人员或基金经理</w:t>
      </w:r>
      <w:r>
        <w:rPr/>
        <w:t>（</w:t>
      </w:r>
      <w:r>
        <w:rPr>
          <w:spacing w:val="-4"/>
        </w:rPr>
        <w:t>指基金管理人员工中依法具有基金经理资格者，包括</w:t>
      </w:r>
      <w:r>
        <w:rPr/>
        <w:t>但可能不限于本基金的基金经理，下同）等人员的资金。</w:t>
      </w:r>
    </w:p>
    <w:p>
      <w:pPr>
        <w:spacing w:after="0" w:line="364" w:lineRule="auto"/>
        <w:jc w:val="both"/>
        <w:sectPr>
          <w:pgSz w:w="11910" w:h="16840"/>
          <w:pgMar w:header="0" w:footer="995" w:top="1440" w:bottom="1180" w:left="1680" w:right="1440"/>
        </w:sectPr>
      </w:pPr>
    </w:p>
    <w:p>
      <w:pPr>
        <w:pStyle w:val="Heading1"/>
        <w:tabs>
          <w:tab w:pos="1504" w:val="left" w:leader="none"/>
        </w:tabs>
        <w:ind w:right="236"/>
      </w:pPr>
      <w:bookmarkStart w:name="_bookmark4" w:id="5"/>
      <w:bookmarkEnd w:id="5"/>
      <w:r>
        <w:rPr>
          <w:b w:val="0"/>
        </w:rPr>
      </w:r>
      <w:r>
        <w:rPr/>
        <w:t>第五部分</w:t>
        <w:tab/>
        <w:t>基金备案</w:t>
      </w:r>
    </w:p>
    <w:p>
      <w:pPr>
        <w:pStyle w:val="BodyText"/>
        <w:spacing w:before="128"/>
        <w:ind w:left="600"/>
      </w:pPr>
      <w:r>
        <w:rPr/>
        <w:t>一、基金备案的条件</w:t>
      </w:r>
    </w:p>
    <w:p>
      <w:pPr>
        <w:pStyle w:val="BodyText"/>
        <w:ind w:left="600"/>
        <w:rPr>
          <w:rFonts w:ascii="Times New Roman" w:eastAsia="Times New Roman"/>
        </w:rPr>
      </w:pPr>
      <w:r>
        <w:rPr>
          <w:spacing w:val="-3"/>
        </w:rPr>
        <w:t>本基金自基金份额发售之日起 </w:t>
      </w:r>
      <w:r>
        <w:rPr>
          <w:rFonts w:ascii="Times New Roman" w:eastAsia="Times New Roman"/>
        </w:rPr>
        <w:t>3</w:t>
      </w:r>
      <w:r>
        <w:rPr>
          <w:rFonts w:ascii="Times New Roman" w:eastAsia="Times New Roman"/>
          <w:spacing w:val="28"/>
        </w:rPr>
        <w:t> </w:t>
      </w:r>
      <w:r>
        <w:rPr>
          <w:spacing w:val="-2"/>
        </w:rPr>
        <w:t>个月内，在基金募集份额总额不少于 </w:t>
      </w:r>
      <w:r>
        <w:rPr>
          <w:rFonts w:ascii="Times New Roman" w:eastAsia="Times New Roman"/>
        </w:rPr>
        <w:t>5000</w:t>
      </w:r>
    </w:p>
    <w:p>
      <w:pPr>
        <w:pStyle w:val="BodyText"/>
        <w:spacing w:before="160"/>
        <w:jc w:val="both"/>
      </w:pPr>
      <w:r>
        <w:rPr>
          <w:spacing w:val="-5"/>
        </w:rPr>
        <w:t>万份，基金募集金额不少于 </w:t>
      </w:r>
      <w:r>
        <w:rPr>
          <w:rFonts w:ascii="Times New Roman" w:eastAsia="Times New Roman"/>
        </w:rPr>
        <w:t>5000</w:t>
      </w:r>
      <w:r>
        <w:rPr>
          <w:rFonts w:ascii="Times New Roman" w:eastAsia="Times New Roman"/>
          <w:spacing w:val="7"/>
        </w:rPr>
        <w:t> </w:t>
      </w:r>
      <w:r>
        <w:rPr>
          <w:spacing w:val="-5"/>
        </w:rPr>
        <w:t>万元人民币且基金认购人数不少于 </w:t>
      </w:r>
      <w:r>
        <w:rPr>
          <w:rFonts w:ascii="Times New Roman" w:eastAsia="Times New Roman"/>
        </w:rPr>
        <w:t>200</w:t>
      </w:r>
      <w:r>
        <w:rPr>
          <w:rFonts w:ascii="Times New Roman" w:eastAsia="Times New Roman"/>
          <w:spacing w:val="7"/>
        </w:rPr>
        <w:t> </w:t>
      </w:r>
      <w:r>
        <w:rPr/>
        <w:t>人的条</w:t>
      </w:r>
    </w:p>
    <w:p>
      <w:pPr>
        <w:pStyle w:val="BodyText"/>
        <w:spacing w:line="364" w:lineRule="auto"/>
        <w:ind w:right="356"/>
        <w:jc w:val="both"/>
      </w:pPr>
      <w:r>
        <w:rPr/>
        <w:t>件下，基金管理人依据法律法规及招募说明书可以决定停止基金发售，并在 </w:t>
      </w:r>
      <w:r>
        <w:rPr>
          <w:rFonts w:ascii="Times New Roman" w:eastAsia="Times New Roman"/>
          <w:spacing w:val="-6"/>
        </w:rPr>
        <w:t>10 </w:t>
      </w:r>
      <w:r>
        <w:rPr>
          <w:spacing w:val="-9"/>
        </w:rPr>
        <w:t>日内聘请法定验资机构验资，验资机构在验资报告中对发起资金的持有人及其持</w:t>
      </w:r>
      <w:r>
        <w:rPr>
          <w:spacing w:val="-2"/>
        </w:rPr>
        <w:t>有份额进行专门说明。基金管理人自收到验资报告之日起 </w:t>
      </w:r>
      <w:r>
        <w:rPr>
          <w:rFonts w:ascii="Times New Roman" w:eastAsia="Times New Roman"/>
        </w:rPr>
        <w:t>10 </w:t>
      </w:r>
      <w:r>
        <w:rPr>
          <w:spacing w:val="-2"/>
        </w:rPr>
        <w:t>日内，向中国证监</w:t>
      </w:r>
      <w:r>
        <w:rPr/>
        <w:t>会办理基金备案手续。</w:t>
      </w:r>
    </w:p>
    <w:p>
      <w:pPr>
        <w:pStyle w:val="BodyText"/>
        <w:spacing w:line="364" w:lineRule="auto" w:before="3"/>
        <w:ind w:right="117" w:firstLine="479"/>
      </w:pPr>
      <w:r>
        <w:rPr>
          <w:spacing w:val="-7"/>
        </w:rPr>
        <w:t>基金募集达到基金备案条件的，自基金管理人办理完毕基金备案手续并取得 </w:t>
      </w:r>
      <w:r>
        <w:rPr>
          <w:spacing w:val="-14"/>
        </w:rPr>
        <w:t>中国证监会书面确认之日起，《基金合同》生效；否则《基金合同》不生效。基 金管理人在收到中国证监会确认文件的次日对《基金合同》生效事宜予以公告。</w:t>
      </w:r>
      <w:r>
        <w:rPr>
          <w:spacing w:val="-18"/>
        </w:rPr>
        <w:t>基金管理人应将基金募集期间募集的资金存入专门账户，在基金募集行为结束前， </w:t>
      </w:r>
      <w:r>
        <w:rPr/>
        <w:t>任何人不得动用。</w:t>
      </w:r>
    </w:p>
    <w:p>
      <w:pPr>
        <w:pStyle w:val="BodyText"/>
        <w:spacing w:before="3"/>
        <w:ind w:left="600"/>
      </w:pPr>
      <w:r>
        <w:rPr/>
        <w:t>二、基金合同不能生效时募集资金的处理方式</w:t>
      </w:r>
    </w:p>
    <w:p>
      <w:pPr>
        <w:pStyle w:val="BodyText"/>
        <w:spacing w:before="160"/>
        <w:ind w:left="600"/>
      </w:pPr>
      <w:r>
        <w:rPr/>
        <w:t>如果募集期限届满，未满足募集生效条件，基金管理人应当承担下列责任：</w:t>
      </w:r>
    </w:p>
    <w:p>
      <w:pPr>
        <w:pStyle w:val="BodyText"/>
        <w:ind w:left="600"/>
      </w:pPr>
      <w:r>
        <w:rPr>
          <w:rFonts w:ascii="Times New Roman" w:eastAsia="Times New Roman"/>
        </w:rPr>
        <w:t>1</w:t>
      </w:r>
      <w:r>
        <w:rPr/>
        <w:t>、以其固有财产承担因募集行为而产生的债务和费用。</w:t>
      </w:r>
    </w:p>
    <w:p>
      <w:pPr>
        <w:pStyle w:val="BodyText"/>
        <w:spacing w:line="364" w:lineRule="auto"/>
        <w:ind w:right="35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before="1"/>
        <w:ind w:right="358" w:firstLine="479"/>
        <w:jc w:val="both"/>
      </w:pPr>
      <w:r>
        <w:rPr>
          <w:rFonts w:ascii="Times New Roman" w:eastAsia="Times New Roman"/>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pPr>
      <w:r>
        <w:rPr/>
        <w:t>三、基金存续期内的基金份额持有人数量和资产规模</w:t>
      </w:r>
    </w:p>
    <w:p>
      <w:pPr>
        <w:pStyle w:val="BodyText"/>
        <w:spacing w:before="160"/>
        <w:ind w:left="600"/>
        <w:jc w:val="both"/>
      </w:pPr>
      <w:r>
        <w:rPr/>
        <w:t>《基金合同》生效后，基金份额持有人数量不满 </w:t>
      </w:r>
      <w:r>
        <w:rPr>
          <w:rFonts w:ascii="Times New Roman" w:eastAsia="Times New Roman"/>
        </w:rPr>
        <w:t>200 </w:t>
      </w:r>
      <w:r>
        <w:rPr/>
        <w:t>人或者基金资产净值低</w:t>
      </w:r>
    </w:p>
    <w:p>
      <w:pPr>
        <w:pStyle w:val="BodyText"/>
        <w:spacing w:line="364" w:lineRule="auto"/>
        <w:ind w:right="356"/>
        <w:jc w:val="both"/>
      </w:pPr>
      <w:r>
        <w:rPr>
          <w:spacing w:val="-31"/>
        </w:rPr>
        <w:t>于 </w:t>
      </w:r>
      <w:r>
        <w:rPr>
          <w:rFonts w:ascii="Times New Roman" w:eastAsia="Times New Roman"/>
        </w:rPr>
        <w:t>5000 </w:t>
      </w:r>
      <w:r>
        <w:rPr>
          <w:spacing w:val="-12"/>
        </w:rPr>
        <w:t>万元的，基金管理人应当及时报告中国证监会；连续 </w:t>
      </w:r>
      <w:r>
        <w:rPr>
          <w:rFonts w:ascii="Times New Roman" w:eastAsia="Times New Roman"/>
        </w:rPr>
        <w:t>20 </w:t>
      </w:r>
      <w:r>
        <w:rPr>
          <w:spacing w:val="-2"/>
        </w:rPr>
        <w:t>个工作日出现前</w:t>
      </w:r>
      <w:r>
        <w:rPr>
          <w:spacing w:val="-11"/>
        </w:rPr>
        <w:t>述情形的，基金管理人应当向中国证监会说明原因并报送解决方案</w:t>
      </w:r>
      <w:r>
        <w:rPr>
          <w:spacing w:val="-36"/>
        </w:rPr>
        <w:t>。《基金合同》</w:t>
      </w:r>
      <w:r>
        <w:rPr>
          <w:spacing w:val="-7"/>
        </w:rPr>
        <w:t>生效三年后年度对日，若基金资产规模低于 </w:t>
      </w:r>
      <w:r>
        <w:rPr>
          <w:rFonts w:ascii="Times New Roman" w:eastAsia="Times New Roman"/>
        </w:rPr>
        <w:t>2 </w:t>
      </w:r>
      <w:r>
        <w:rPr>
          <w:spacing w:val="-9"/>
        </w:rPr>
        <w:t>亿元的，基金合同自动终止，同时</w:t>
      </w:r>
      <w:r>
        <w:rPr/>
        <w:t>不得通过召开持有人大会的方式延续。</w:t>
      </w:r>
    </w:p>
    <w:p>
      <w:pPr>
        <w:pStyle w:val="BodyText"/>
        <w:spacing w:before="3"/>
        <w:ind w:left="600"/>
      </w:pPr>
      <w:r>
        <w:rPr/>
        <w:t>法律法规另有规定时，从其规定。</w:t>
      </w:r>
    </w:p>
    <w:p>
      <w:pPr>
        <w:spacing w:after="0"/>
        <w:sectPr>
          <w:pgSz w:w="11910" w:h="16840"/>
          <w:pgMar w:header="0" w:footer="995" w:top="1500" w:bottom="1180" w:left="1680" w:right="1440"/>
        </w:sectPr>
      </w:pPr>
    </w:p>
    <w:p>
      <w:pPr>
        <w:pStyle w:val="Heading1"/>
        <w:ind w:left="518" w:right="757"/>
      </w:pPr>
      <w:bookmarkStart w:name="_bookmark5" w:id="6"/>
      <w:bookmarkEnd w:id="6"/>
      <w:r>
        <w:rPr>
          <w:b w:val="0"/>
        </w:rPr>
      </w:r>
      <w:r>
        <w:rPr/>
        <w:t>第六部分 基金份额的上市交易</w:t>
      </w:r>
    </w:p>
    <w:p>
      <w:pPr>
        <w:pStyle w:val="BodyText"/>
        <w:spacing w:before="128"/>
        <w:ind w:left="600"/>
      </w:pPr>
      <w:r>
        <w:rPr/>
        <w:t>一、基金的上市</w:t>
      </w:r>
    </w:p>
    <w:p>
      <w:pPr>
        <w:pStyle w:val="BodyText"/>
        <w:spacing w:line="364" w:lineRule="auto"/>
        <w:ind w:right="361" w:firstLine="479"/>
      </w:pPr>
      <w:r>
        <w:rPr>
          <w:spacing w:val="-9"/>
        </w:rPr>
        <w:t>如基金具备下列条件，基金管理人可依据《深圳证券交易所证券投资基金上</w:t>
      </w:r>
      <w:r>
        <w:rPr>
          <w:spacing w:val="-15"/>
        </w:rPr>
        <w:t>市规则》，向深圳证券交易所申请本基金 </w:t>
      </w:r>
      <w:r>
        <w:rPr>
          <w:rFonts w:ascii="Times New Roman" w:eastAsia="Times New Roman"/>
        </w:rPr>
        <w:t>A </w:t>
      </w:r>
      <w:r>
        <w:rPr/>
        <w:t>类基金份额的上市交易。</w:t>
      </w:r>
    </w:p>
    <w:p>
      <w:pPr>
        <w:pStyle w:val="BodyText"/>
        <w:spacing w:before="1"/>
        <w:ind w:left="600"/>
      </w:pPr>
      <w:r>
        <w:rPr>
          <w:rFonts w:ascii="Times New Roman" w:eastAsia="Times New Roman"/>
        </w:rPr>
        <w:t>1</w:t>
      </w:r>
      <w:r>
        <w:rPr/>
        <w:t>、经中国证监会核准发售且基金合同生效；</w:t>
      </w:r>
    </w:p>
    <w:p>
      <w:pPr>
        <w:pStyle w:val="BodyText"/>
        <w:spacing w:before="160"/>
        <w:ind w:left="600"/>
      </w:pPr>
      <w:r>
        <w:rPr>
          <w:rFonts w:ascii="Times New Roman" w:eastAsia="Times New Roman"/>
        </w:rPr>
        <w:t>2</w:t>
      </w:r>
      <w:r>
        <w:rPr/>
        <w:t>、基金合同期限五年以上；</w:t>
      </w:r>
    </w:p>
    <w:p>
      <w:pPr>
        <w:pStyle w:val="BodyText"/>
        <w:ind w:left="600"/>
      </w:pPr>
      <w:r>
        <w:rPr>
          <w:rFonts w:ascii="Times New Roman" w:eastAsia="Times New Roman"/>
        </w:rPr>
        <w:t>3</w:t>
      </w:r>
      <w:r>
        <w:rPr/>
        <w:t>、基金募集金额不少于二亿元人民币；</w:t>
      </w:r>
    </w:p>
    <w:p>
      <w:pPr>
        <w:pStyle w:val="BodyText"/>
        <w:spacing w:before="160"/>
        <w:ind w:left="600"/>
      </w:pPr>
      <w:r>
        <w:rPr>
          <w:rFonts w:ascii="Times New Roman" w:eastAsia="Times New Roman"/>
        </w:rPr>
        <w:t>4</w:t>
      </w:r>
      <w:r>
        <w:rPr/>
        <w:t>、基金份额持有人不少于 </w:t>
      </w:r>
      <w:r>
        <w:rPr>
          <w:rFonts w:ascii="Times New Roman" w:eastAsia="Times New Roman"/>
        </w:rPr>
        <w:t>1000 </w:t>
      </w:r>
      <w:r>
        <w:rPr/>
        <w:t>人；</w:t>
      </w:r>
    </w:p>
    <w:p>
      <w:pPr>
        <w:pStyle w:val="BodyText"/>
        <w:spacing w:line="364" w:lineRule="auto" w:before="162"/>
        <w:ind w:left="600" w:right="4225"/>
      </w:pPr>
      <w:r>
        <w:rPr>
          <w:rFonts w:ascii="Times New Roman" w:eastAsia="Times New Roman"/>
        </w:rPr>
        <w:t>5</w:t>
      </w:r>
      <w:r>
        <w:rPr/>
        <w:t>、深圳证券交易所要求的其他条件。二、上市交易的时间和地点</w:t>
      </w:r>
    </w:p>
    <w:p>
      <w:pPr>
        <w:pStyle w:val="BodyText"/>
        <w:spacing w:line="364" w:lineRule="auto" w:before="1"/>
        <w:ind w:right="359" w:firstLine="479"/>
        <w:jc w:val="both"/>
      </w:pPr>
      <w:r>
        <w:rPr>
          <w:spacing w:val="-8"/>
        </w:rPr>
        <w:t>在符合上市条件的前提下，基金管理人可依据《深圳证券交易所证券投资基</w:t>
      </w:r>
      <w:r>
        <w:rPr>
          <w:spacing w:val="-15"/>
        </w:rPr>
        <w:t>金上市规则》，向深圳证券交易所申请本基金 </w:t>
      </w:r>
      <w:r>
        <w:rPr>
          <w:rFonts w:ascii="Times New Roman" w:eastAsia="Times New Roman"/>
        </w:rPr>
        <w:t>A </w:t>
      </w:r>
      <w:r>
        <w:rPr/>
        <w:t>类基金份额上市交易。</w:t>
      </w:r>
    </w:p>
    <w:p>
      <w:pPr>
        <w:pStyle w:val="BodyText"/>
        <w:spacing w:line="364" w:lineRule="auto" w:before="1"/>
        <w:ind w:right="356" w:firstLine="479"/>
        <w:jc w:val="both"/>
      </w:pPr>
      <w:r>
        <w:rPr>
          <w:spacing w:val="-10"/>
        </w:rPr>
        <w:t>在确定上市交易的时间后，基金管理人应最迟在基金上市日前 </w:t>
      </w:r>
      <w:r>
        <w:rPr>
          <w:rFonts w:ascii="Times New Roman" w:eastAsia="Times New Roman"/>
        </w:rPr>
        <w:t>3 </w:t>
      </w:r>
      <w:r>
        <w:rPr>
          <w:spacing w:val="-4"/>
        </w:rPr>
        <w:t>个工作日发</w:t>
      </w:r>
      <w:r>
        <w:rPr/>
        <w:t>布基金上市交易公告书。</w:t>
      </w:r>
    </w:p>
    <w:p>
      <w:pPr>
        <w:pStyle w:val="BodyText"/>
        <w:spacing w:line="364" w:lineRule="auto" w:before="1"/>
        <w:ind w:right="242" w:firstLine="479"/>
        <w:jc w:val="both"/>
      </w:pPr>
      <w:r>
        <w:rPr/>
        <w:t>本基金 </w:t>
      </w:r>
      <w:r>
        <w:rPr>
          <w:rFonts w:ascii="Times New Roman" w:eastAsia="Times New Roman"/>
        </w:rPr>
        <w:t>A </w:t>
      </w:r>
      <w:r>
        <w:rPr/>
        <w:t>类基金份额上市后，登记在证券登记结算系统中的 </w:t>
      </w:r>
      <w:r>
        <w:rPr>
          <w:rFonts w:ascii="Times New Roman" w:eastAsia="Times New Roman"/>
        </w:rPr>
        <w:t>A </w:t>
      </w:r>
      <w:r>
        <w:rPr/>
        <w:t>类基金份额可直接在深圳证券交易所上市交易；登记在注册登记系统中的 </w:t>
      </w:r>
      <w:r>
        <w:rPr>
          <w:rFonts w:ascii="Times New Roman" w:eastAsia="Times New Roman"/>
        </w:rPr>
        <w:t>A </w:t>
      </w:r>
      <w:r>
        <w:rPr/>
        <w:t>类基金份额通过办理跨系统转托管业务将基金份额转至证券登记结算系统后，方可上市交易。</w:t>
      </w:r>
    </w:p>
    <w:p>
      <w:pPr>
        <w:pStyle w:val="BodyText"/>
        <w:spacing w:before="2"/>
        <w:ind w:left="600"/>
      </w:pPr>
      <w:r>
        <w:rPr/>
        <w:t>三、上市交易的规则</w:t>
      </w:r>
    </w:p>
    <w:p>
      <w:pPr>
        <w:pStyle w:val="BodyText"/>
        <w:spacing w:line="364" w:lineRule="auto"/>
        <w:ind w:right="357" w:firstLine="479"/>
        <w:jc w:val="both"/>
      </w:pPr>
      <w:r>
        <w:rPr>
          <w:spacing w:val="-4"/>
        </w:rPr>
        <w:t>本基金 </w:t>
      </w:r>
      <w:r>
        <w:rPr>
          <w:rFonts w:ascii="Times New Roman" w:eastAsia="Times New Roman"/>
        </w:rPr>
        <w:t>A </w:t>
      </w:r>
      <w:r>
        <w:rPr>
          <w:spacing w:val="-1"/>
        </w:rPr>
        <w:t>类基金份额在深圳证券交易所的上市交易需遵照《深圳证券交易</w:t>
      </w:r>
      <w:r>
        <w:rPr>
          <w:spacing w:val="-20"/>
        </w:rPr>
        <w:t>所交易规则》、《深圳证券交易所证券投资基金上市规则》等有关规定，包括但不</w:t>
      </w:r>
      <w:r>
        <w:rPr/>
        <w:t>限于：</w:t>
      </w:r>
    </w:p>
    <w:p>
      <w:pPr>
        <w:pStyle w:val="BodyText"/>
        <w:spacing w:before="2"/>
        <w:ind w:left="600"/>
        <w:jc w:val="both"/>
      </w:pPr>
      <w:r>
        <w:rPr>
          <w:rFonts w:ascii="Times New Roman" w:eastAsia="Times New Roman"/>
        </w:rPr>
        <w:t>1</w:t>
      </w:r>
      <w:r>
        <w:rPr/>
        <w:t>、本基金 </w:t>
      </w:r>
      <w:r>
        <w:rPr>
          <w:rFonts w:ascii="Times New Roman" w:eastAsia="Times New Roman"/>
        </w:rPr>
        <w:t>A </w:t>
      </w:r>
      <w:r>
        <w:rPr/>
        <w:t>类基金份额上市首日的开盘参考价为前一交易日基金份额净值；</w:t>
      </w:r>
    </w:p>
    <w:p>
      <w:pPr>
        <w:pStyle w:val="BodyText"/>
        <w:spacing w:line="364" w:lineRule="auto" w:before="160"/>
        <w:ind w:right="372" w:firstLine="479"/>
        <w:jc w:val="both"/>
      </w:pPr>
      <w:r>
        <w:rPr>
          <w:rFonts w:ascii="Times New Roman" w:eastAsia="Times New Roman"/>
        </w:rPr>
        <w:t>2</w:t>
      </w:r>
      <w:r>
        <w:rPr>
          <w:spacing w:val="-16"/>
        </w:rPr>
        <w:t>、本基金 </w:t>
      </w:r>
      <w:r>
        <w:rPr>
          <w:rFonts w:ascii="Times New Roman" w:eastAsia="Times New Roman"/>
        </w:rPr>
        <w:t>A </w:t>
      </w:r>
      <w:r>
        <w:rPr>
          <w:spacing w:val="-5"/>
        </w:rPr>
        <w:t>类基金份额实行价格涨跌幅限制，涨跌幅比例限制为 </w:t>
      </w:r>
      <w:r>
        <w:rPr>
          <w:rFonts w:ascii="Times New Roman" w:eastAsia="Times New Roman"/>
          <w:spacing w:val="-4"/>
        </w:rPr>
        <w:t>10%</w:t>
      </w:r>
      <w:r>
        <w:rPr>
          <w:spacing w:val="-17"/>
        </w:rPr>
        <w:t>，自</w:t>
      </w:r>
      <w:r>
        <w:rPr/>
        <w:t>上市首日起实行；</w:t>
      </w:r>
    </w:p>
    <w:p>
      <w:pPr>
        <w:pStyle w:val="BodyText"/>
        <w:spacing w:before="2"/>
        <w:ind w:left="600"/>
        <w:jc w:val="both"/>
      </w:pPr>
      <w:r>
        <w:rPr>
          <w:rFonts w:ascii="Times New Roman" w:eastAsia="Times New Roman"/>
        </w:rPr>
        <w:t>3</w:t>
      </w:r>
      <w:r>
        <w:rPr/>
        <w:t>、本基金 </w:t>
      </w:r>
      <w:r>
        <w:rPr>
          <w:rFonts w:ascii="Times New Roman" w:eastAsia="Times New Roman"/>
        </w:rPr>
        <w:t>A </w:t>
      </w:r>
      <w:r>
        <w:rPr/>
        <w:t>类基金份额买入申报数量为 </w:t>
      </w:r>
      <w:r>
        <w:rPr>
          <w:rFonts w:ascii="Times New Roman" w:eastAsia="Times New Roman"/>
        </w:rPr>
        <w:t>100 </w:t>
      </w:r>
      <w:r>
        <w:rPr/>
        <w:t>份或其整数倍；</w:t>
      </w:r>
    </w:p>
    <w:p>
      <w:pPr>
        <w:pStyle w:val="BodyText"/>
        <w:spacing w:before="160"/>
        <w:ind w:left="600"/>
      </w:pPr>
      <w:r>
        <w:rPr>
          <w:rFonts w:ascii="Times New Roman" w:eastAsia="Times New Roman"/>
        </w:rPr>
        <w:t>4</w:t>
      </w:r>
      <w:r>
        <w:rPr/>
        <w:t>、本基金 </w:t>
      </w:r>
      <w:r>
        <w:rPr>
          <w:rFonts w:ascii="Times New Roman" w:eastAsia="Times New Roman"/>
        </w:rPr>
        <w:t>A </w:t>
      </w:r>
      <w:r>
        <w:rPr/>
        <w:t>类基金份额申报价格最小变动单位为 </w:t>
      </w:r>
      <w:r>
        <w:rPr>
          <w:rFonts w:ascii="Times New Roman" w:eastAsia="Times New Roman"/>
        </w:rPr>
        <w:t>0.001 </w:t>
      </w:r>
      <w:r>
        <w:rPr/>
        <w:t>元人民币；</w:t>
      </w:r>
    </w:p>
    <w:p>
      <w:pPr>
        <w:pStyle w:val="BodyText"/>
        <w:spacing w:line="364" w:lineRule="auto"/>
        <w:ind w:left="600" w:right="2663"/>
      </w:pPr>
      <w:r>
        <w:rPr>
          <w:rFonts w:ascii="Times New Roman" w:eastAsia="Times New Roman"/>
        </w:rPr>
        <w:t>5</w:t>
      </w:r>
      <w:r>
        <w:rPr/>
        <w:t>、本基金 </w:t>
      </w:r>
      <w:r>
        <w:rPr>
          <w:rFonts w:ascii="Times New Roman" w:eastAsia="Times New Roman"/>
        </w:rPr>
        <w:t>A </w:t>
      </w:r>
      <w:r>
        <w:rPr/>
        <w:t>类基金份额适用大宗交易的有关规则。四、上市交易的费用</w:t>
      </w:r>
    </w:p>
    <w:p>
      <w:pPr>
        <w:pStyle w:val="BodyText"/>
        <w:spacing w:before="1"/>
        <w:ind w:left="600"/>
      </w:pPr>
      <w:r>
        <w:rPr/>
        <w:t>本基金 </w:t>
      </w:r>
      <w:r>
        <w:rPr>
          <w:rFonts w:ascii="Times New Roman" w:eastAsia="Times New Roman"/>
        </w:rPr>
        <w:t>A </w:t>
      </w:r>
      <w:r>
        <w:rPr/>
        <w:t>类基金份额上市交易的费用按照深圳证券交易所有关规定办理。</w:t>
      </w:r>
    </w:p>
    <w:p>
      <w:pPr>
        <w:spacing w:after="0"/>
        <w:sectPr>
          <w:pgSz w:w="11910" w:h="16840"/>
          <w:pgMar w:header="0" w:footer="995" w:top="1500" w:bottom="1180" w:left="1680" w:right="1440"/>
        </w:sectPr>
      </w:pPr>
    </w:p>
    <w:p>
      <w:pPr>
        <w:pStyle w:val="BodyText"/>
        <w:spacing w:before="40"/>
        <w:ind w:left="600"/>
      </w:pPr>
      <w:r>
        <w:rPr/>
        <w:t>五、上市交易的行情揭示</w:t>
      </w:r>
    </w:p>
    <w:p>
      <w:pPr>
        <w:pStyle w:val="BodyText"/>
        <w:spacing w:line="364" w:lineRule="auto"/>
        <w:ind w:right="357" w:firstLine="479"/>
      </w:pPr>
      <w:r>
        <w:rPr/>
        <w:t>本基金 </w:t>
      </w:r>
      <w:r>
        <w:rPr>
          <w:rFonts w:ascii="Times New Roman" w:eastAsia="Times New Roman"/>
        </w:rPr>
        <w:t>A </w:t>
      </w:r>
      <w:r>
        <w:rPr/>
        <w:t>类基金份额在深圳证券交易所挂牌交易，交易行情通过行情发布系统揭示。行情发布系统同时揭示基金前一交易日的基金份额净值。</w:t>
      </w:r>
    </w:p>
    <w:p>
      <w:pPr>
        <w:pStyle w:val="BodyText"/>
        <w:spacing w:before="2"/>
        <w:ind w:left="600"/>
      </w:pPr>
      <w:r>
        <w:rPr/>
        <w:t>六、上市交易的停复牌</w:t>
      </w:r>
    </w:p>
    <w:p>
      <w:pPr>
        <w:pStyle w:val="BodyText"/>
        <w:spacing w:line="364" w:lineRule="auto" w:before="160"/>
        <w:ind w:right="357" w:firstLine="479"/>
      </w:pPr>
      <w:r>
        <w:rPr/>
        <w:t>本基金 </w:t>
      </w:r>
      <w:r>
        <w:rPr>
          <w:rFonts w:ascii="Times New Roman" w:eastAsia="Times New Roman"/>
        </w:rPr>
        <w:t>A </w:t>
      </w:r>
      <w:r>
        <w:rPr/>
        <w:t>类基金份额的停复牌按照相关法律法规、中国证监会及深圳证券交易所的有关规定执行。</w:t>
      </w:r>
    </w:p>
    <w:p>
      <w:pPr>
        <w:pStyle w:val="BodyText"/>
        <w:spacing w:before="1"/>
        <w:ind w:left="600"/>
      </w:pPr>
      <w:r>
        <w:rPr/>
        <w:t>七、暂停上市的情形和处理方式</w:t>
      </w:r>
    </w:p>
    <w:p>
      <w:pPr>
        <w:pStyle w:val="BodyText"/>
        <w:ind w:left="600"/>
      </w:pPr>
      <w:r>
        <w:rPr/>
        <w:t>本基金 </w:t>
      </w:r>
      <w:r>
        <w:rPr>
          <w:rFonts w:ascii="Times New Roman" w:eastAsia="Times New Roman"/>
        </w:rPr>
        <w:t>A </w:t>
      </w:r>
      <w:r>
        <w:rPr/>
        <w:t>类基金份额上市后，发生下列情况之一时，应暂停上市交易：</w:t>
      </w:r>
    </w:p>
    <w:p>
      <w:pPr>
        <w:pStyle w:val="BodyText"/>
        <w:spacing w:before="160"/>
        <w:ind w:left="600"/>
      </w:pPr>
      <w:r>
        <w:rPr>
          <w:rFonts w:ascii="Times New Roman" w:hAnsi="Times New Roman" w:eastAsia="Times New Roman"/>
        </w:rPr>
        <w:t>1</w:t>
      </w:r>
      <w:r>
        <w:rPr/>
        <w:t>、不再具备本条“一、基金的上市”中规定的上市条件；</w:t>
      </w:r>
    </w:p>
    <w:p>
      <w:pPr>
        <w:pStyle w:val="BodyText"/>
        <w:ind w:left="600"/>
      </w:pPr>
      <w:r>
        <w:rPr>
          <w:rFonts w:ascii="Times New Roman" w:eastAsia="Times New Roman"/>
        </w:rPr>
        <w:t>2</w:t>
      </w:r>
      <w:r>
        <w:rPr/>
        <w:t>、违反国家有关法律、法规，中国证监会决定暂停其上市；</w:t>
      </w:r>
    </w:p>
    <w:p>
      <w:pPr>
        <w:pStyle w:val="BodyText"/>
        <w:ind w:left="600"/>
      </w:pPr>
      <w:r>
        <w:rPr>
          <w:rFonts w:ascii="Times New Roman" w:eastAsia="Times New Roman"/>
        </w:rPr>
        <w:t>3</w:t>
      </w:r>
      <w:r>
        <w:rPr/>
        <w:t>、严重违反《深圳证券交易所证券投资基金上市规则》；</w:t>
      </w:r>
    </w:p>
    <w:p>
      <w:pPr>
        <w:pStyle w:val="BodyText"/>
        <w:spacing w:before="160"/>
        <w:ind w:left="600"/>
      </w:pPr>
      <w:r>
        <w:rPr>
          <w:rFonts w:ascii="Times New Roman" w:eastAsia="Times New Roman"/>
        </w:rPr>
        <w:t>4</w:t>
      </w:r>
      <w:r>
        <w:rPr/>
        <w:t>、深圳证券交易所认为应当暂停上市的其他情形。</w:t>
      </w:r>
    </w:p>
    <w:p>
      <w:pPr>
        <w:pStyle w:val="BodyText"/>
        <w:spacing w:line="364" w:lineRule="auto"/>
        <w:ind w:right="361" w:firstLine="479"/>
      </w:pPr>
      <w:r>
        <w:rPr>
          <w:spacing w:val="-7"/>
        </w:rPr>
        <w:t>发生上述暂停上市情形时，基金管理人在接到深圳证券交易所通知后，应立</w:t>
      </w:r>
      <w:r>
        <w:rPr/>
        <w:t>即在指定媒介上刊登暂停上市公告。</w:t>
      </w:r>
    </w:p>
    <w:p>
      <w:pPr>
        <w:pStyle w:val="BodyText"/>
        <w:spacing w:before="1"/>
        <w:ind w:left="600"/>
      </w:pPr>
      <w:r>
        <w:rPr/>
        <w:t>八、恢复上市的公告</w:t>
      </w:r>
    </w:p>
    <w:p>
      <w:pPr>
        <w:pStyle w:val="BodyText"/>
        <w:spacing w:line="364" w:lineRule="auto"/>
        <w:ind w:right="244" w:firstLine="479"/>
      </w:pPr>
      <w:r>
        <w:rPr/>
        <w:t>暂停上市情形消除后，基金管理人可向深圳证券交易所提出恢复上市申请， 经深圳证券交易所核准后，可恢复本基金 </w:t>
      </w:r>
      <w:r>
        <w:rPr>
          <w:rFonts w:ascii="Times New Roman" w:eastAsia="Times New Roman"/>
        </w:rPr>
        <w:t>A </w:t>
      </w:r>
      <w:r>
        <w:rPr/>
        <w:t>类基金份额上市，并在中国证监会指定媒介上刊登恢复上市公告。</w:t>
      </w:r>
    </w:p>
    <w:p>
      <w:pPr>
        <w:pStyle w:val="BodyText"/>
        <w:spacing w:before="2"/>
        <w:ind w:left="600"/>
      </w:pPr>
      <w:r>
        <w:rPr/>
        <w:t>九、终止上市的情形和处理方式</w:t>
      </w:r>
    </w:p>
    <w:p>
      <w:pPr>
        <w:pStyle w:val="BodyText"/>
        <w:spacing w:before="160"/>
        <w:ind w:left="600"/>
      </w:pPr>
      <w:r>
        <w:rPr/>
        <w:t>发生下列情况之一时，本基金 </w:t>
      </w:r>
      <w:r>
        <w:rPr>
          <w:rFonts w:ascii="Times New Roman" w:eastAsia="Times New Roman"/>
        </w:rPr>
        <w:t>A </w:t>
      </w:r>
      <w:r>
        <w:rPr/>
        <w:t>类基金份额应终止上市交易：</w:t>
      </w:r>
    </w:p>
    <w:p>
      <w:pPr>
        <w:pStyle w:val="BodyText"/>
        <w:ind w:left="600"/>
      </w:pPr>
      <w:r>
        <w:rPr>
          <w:rFonts w:ascii="Times New Roman" w:eastAsia="Times New Roman"/>
        </w:rPr>
        <w:t>1</w:t>
      </w:r>
      <w:r>
        <w:rPr/>
        <w:t>、自暂停上市之日起半年内未能消除暂停上市原因的；</w:t>
      </w:r>
    </w:p>
    <w:p>
      <w:pPr>
        <w:pStyle w:val="BodyText"/>
        <w:spacing w:before="160"/>
        <w:ind w:left="600"/>
      </w:pPr>
      <w:r>
        <w:rPr>
          <w:rFonts w:ascii="Times New Roman" w:eastAsia="Times New Roman"/>
        </w:rPr>
        <w:t>2</w:t>
      </w:r>
      <w:r>
        <w:rPr/>
        <w:t>、基金份额持有人大会决定提前终止上市；</w:t>
      </w:r>
    </w:p>
    <w:p>
      <w:pPr>
        <w:pStyle w:val="BodyText"/>
        <w:ind w:left="600"/>
      </w:pPr>
      <w:r>
        <w:rPr>
          <w:rFonts w:ascii="Times New Roman" w:eastAsia="Times New Roman"/>
        </w:rPr>
        <w:t>3</w:t>
      </w:r>
      <w:r>
        <w:rPr/>
        <w:t>、基金合同约定的终止上市的其他情形；</w:t>
      </w:r>
    </w:p>
    <w:p>
      <w:pPr>
        <w:pStyle w:val="BodyText"/>
        <w:spacing w:before="160"/>
        <w:ind w:left="600"/>
      </w:pPr>
      <w:r>
        <w:rPr>
          <w:rFonts w:ascii="Times New Roman" w:eastAsia="Times New Roman"/>
        </w:rPr>
        <w:t>4</w:t>
      </w:r>
      <w:r>
        <w:rPr/>
        <w:t>、深圳证券交易所认为应当终止上市的其他情形。</w:t>
      </w:r>
    </w:p>
    <w:p>
      <w:pPr>
        <w:pStyle w:val="BodyText"/>
        <w:spacing w:line="364" w:lineRule="auto"/>
        <w:ind w:right="356" w:firstLine="479"/>
        <w:jc w:val="both"/>
      </w:pPr>
      <w:r>
        <w:rPr>
          <w:spacing w:val="-7"/>
        </w:rPr>
        <w:t>发生上述终止上市情形时，由证券交易所终止其上市交易，基金管理人报经</w:t>
      </w:r>
      <w:r>
        <w:rPr>
          <w:spacing w:val="-1"/>
        </w:rPr>
        <w:t>中国证监会备案后终止本基金 </w:t>
      </w:r>
      <w:r>
        <w:rPr>
          <w:rFonts w:ascii="Times New Roman" w:eastAsia="Times New Roman"/>
        </w:rPr>
        <w:t>A </w:t>
      </w:r>
      <w:r>
        <w:rPr>
          <w:spacing w:val="-1"/>
        </w:rPr>
        <w:t>类基金份额的上市，并在指定媒介上刊登终止</w:t>
      </w:r>
      <w:r>
        <w:rPr/>
        <w:t>上市公告。</w:t>
      </w:r>
    </w:p>
    <w:p>
      <w:pPr>
        <w:pStyle w:val="BodyText"/>
        <w:spacing w:before="2"/>
        <w:ind w:left="600"/>
      </w:pPr>
      <w:r>
        <w:rPr/>
        <w:t>十、上市交易规则的调整</w:t>
      </w:r>
    </w:p>
    <w:p>
      <w:pPr>
        <w:pStyle w:val="BodyText"/>
        <w:ind w:left="600"/>
      </w:pPr>
      <w:r>
        <w:rPr/>
        <w:t>相关法律法规、中国证监会及深圳证券交易所对基金上市交易的规则等规定</w:t>
      </w:r>
    </w:p>
    <w:p>
      <w:pPr>
        <w:spacing w:after="0"/>
        <w:sectPr>
          <w:pgSz w:w="11910" w:h="16840"/>
          <w:pgMar w:header="0" w:footer="995" w:top="1460" w:bottom="1180" w:left="1680" w:right="1440"/>
        </w:sectPr>
      </w:pPr>
    </w:p>
    <w:p>
      <w:pPr>
        <w:pStyle w:val="BodyText"/>
        <w:spacing w:line="364" w:lineRule="auto" w:before="40"/>
        <w:ind w:right="244"/>
      </w:pPr>
      <w:r>
        <w:rPr/>
        <w:t>内容进行调整且与基金合同内容存在冲突的，本基金的基金合同相应予以修改， 且此修改无须召开基金份额持有人大会。</w:t>
      </w:r>
    </w:p>
    <w:p>
      <w:pPr>
        <w:spacing w:after="0" w:line="364" w:lineRule="auto"/>
        <w:sectPr>
          <w:pgSz w:w="11910" w:h="16840"/>
          <w:pgMar w:header="0" w:footer="995" w:top="1460" w:bottom="1180" w:left="1680" w:right="1440"/>
        </w:sectPr>
      </w:pPr>
    </w:p>
    <w:p>
      <w:pPr>
        <w:pStyle w:val="Heading1"/>
        <w:tabs>
          <w:tab w:pos="1505" w:val="left" w:leader="none"/>
        </w:tabs>
        <w:ind w:right="240"/>
      </w:pPr>
      <w:bookmarkStart w:name="_bookmark6" w:id="7"/>
      <w:bookmarkEnd w:id="7"/>
      <w:r>
        <w:rPr>
          <w:b w:val="0"/>
        </w:rPr>
      </w:r>
      <w:r>
        <w:rPr>
          <w:spacing w:val="3"/>
        </w:rPr>
        <w:t>第</w:t>
      </w:r>
      <w:r>
        <w:rPr/>
        <w:t>七部分</w:t>
        <w:tab/>
        <w:t>基金份额的申购与赎回</w:t>
      </w:r>
    </w:p>
    <w:p>
      <w:pPr>
        <w:pStyle w:val="BodyText"/>
        <w:spacing w:line="364" w:lineRule="auto" w:before="128"/>
        <w:ind w:right="357" w:firstLine="479"/>
        <w:jc w:val="both"/>
      </w:pPr>
      <w:r>
        <w:rPr>
          <w:spacing w:val="-5"/>
        </w:rPr>
        <w:t>本基金基金份额的申购与赎回包括场外和场内两种方式。投资者可通过场外</w:t>
      </w:r>
      <w:r>
        <w:rPr>
          <w:spacing w:val="-4"/>
        </w:rPr>
        <w:t>和场内两种方式申购与赎回 </w:t>
      </w:r>
      <w:r>
        <w:rPr>
          <w:rFonts w:ascii="Times New Roman" w:eastAsia="Times New Roman"/>
        </w:rPr>
        <w:t>A </w:t>
      </w:r>
      <w:r>
        <w:rPr>
          <w:spacing w:val="-3"/>
        </w:rPr>
        <w:t>类基金份额；通过场外方式申购与赎回 </w:t>
      </w:r>
      <w:r>
        <w:rPr>
          <w:rFonts w:ascii="Times New Roman" w:eastAsia="Times New Roman"/>
        </w:rPr>
        <w:t>C </w:t>
      </w:r>
      <w:r>
        <w:rPr>
          <w:spacing w:val="-5"/>
        </w:rPr>
        <w:t>类基金</w:t>
      </w:r>
      <w:r>
        <w:rPr/>
        <w:t>份额。</w:t>
      </w:r>
    </w:p>
    <w:p>
      <w:pPr>
        <w:pStyle w:val="BodyText"/>
        <w:spacing w:before="2"/>
        <w:ind w:left="600"/>
      </w:pPr>
      <w:r>
        <w:rPr/>
        <w:t>一、申购和赎回场所</w:t>
      </w:r>
    </w:p>
    <w:p>
      <w:pPr>
        <w:pStyle w:val="BodyText"/>
        <w:spacing w:line="364" w:lineRule="auto"/>
        <w:ind w:right="350" w:firstLine="479"/>
        <w:jc w:val="both"/>
      </w:pPr>
      <w:r>
        <w:rPr>
          <w:spacing w:val="4"/>
        </w:rPr>
        <w:t>本基金场外申购和赎回场所为基金管理人的直销网点及基金场外代销机构</w:t>
      </w:r>
      <w:r>
        <w:rPr/>
        <w:t>的代销网点（具体名单见基金份额发售公告或相关业务公告</w:t>
      </w:r>
      <w:r>
        <w:rPr>
          <w:spacing w:val="-118"/>
        </w:rPr>
        <w:t>）</w:t>
      </w:r>
      <w:r>
        <w:rPr/>
        <w:t>，场内申购和赎回</w:t>
      </w:r>
      <w:r>
        <w:rPr>
          <w:spacing w:val="-4"/>
        </w:rPr>
        <w:t>场所为深圳证券交易所内具有相应业务资格的会员单位</w:t>
      </w:r>
      <w:r>
        <w:rPr/>
        <w:t>（具体名单见基金份额发售公告或相关业务公告</w:t>
      </w:r>
      <w:r>
        <w:rPr>
          <w:spacing w:val="-120"/>
        </w:rPr>
        <w:t>）</w:t>
      </w:r>
      <w:r>
        <w:rPr/>
        <w:t>。基金管理人可根据情况增加或变更销售机构，并在基</w:t>
      </w:r>
      <w:r>
        <w:rPr>
          <w:spacing w:val="-10"/>
        </w:rPr>
        <w:t>金管理人网站公示。基金投资者应当在销售机构办理基金销售业务的营业场所或按销售机构提供的其他方式办理基金份额的申购与赎回。</w:t>
      </w:r>
    </w:p>
    <w:p>
      <w:pPr>
        <w:pStyle w:val="BodyText"/>
        <w:spacing w:before="4"/>
        <w:ind w:left="600"/>
      </w:pPr>
      <w:r>
        <w:rPr/>
        <w:t>二、申购和赎回的开放日及时间</w:t>
      </w:r>
    </w:p>
    <w:p>
      <w:pPr>
        <w:pStyle w:val="BodyText"/>
        <w:spacing w:before="160"/>
        <w:ind w:left="600"/>
      </w:pPr>
      <w:r>
        <w:rPr>
          <w:rFonts w:ascii="Times New Roman" w:eastAsia="Times New Roman"/>
        </w:rPr>
        <w:t>1</w:t>
      </w:r>
      <w:r>
        <w:rPr/>
        <w:t>、开放日及开放时间</w:t>
      </w:r>
    </w:p>
    <w:p>
      <w:pPr>
        <w:pStyle w:val="BodyText"/>
        <w:spacing w:line="364" w:lineRule="auto"/>
        <w:ind w:right="357" w:firstLine="479"/>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359" w:firstLine="479"/>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00"/>
      </w:pPr>
      <w:r>
        <w:rPr>
          <w:rFonts w:ascii="Times New Roman" w:eastAsia="Times New Roman"/>
        </w:rPr>
        <w:t>2</w:t>
      </w:r>
      <w:r>
        <w:rPr/>
        <w:t>、申购、赎回开始日</w:t>
      </w:r>
    </w:p>
    <w:p>
      <w:pPr>
        <w:pStyle w:val="BodyText"/>
        <w:spacing w:line="364" w:lineRule="auto" w:before="160"/>
        <w:ind w:right="356" w:firstLine="479"/>
      </w:pPr>
      <w:r>
        <w:rPr>
          <w:spacing w:val="-4"/>
        </w:rPr>
        <w:t>基金管理人自基金合同生效日起不超过 </w:t>
      </w:r>
      <w:r>
        <w:rPr>
          <w:rFonts w:ascii="Times New Roman" w:eastAsia="Times New Roman"/>
        </w:rPr>
        <w:t>3 </w:t>
      </w:r>
      <w:r>
        <w:rPr>
          <w:spacing w:val="-11"/>
        </w:rPr>
        <w:t>个月开始办理申购，具体日期在申</w:t>
      </w:r>
      <w:r>
        <w:rPr/>
        <w:t>购开始公告中规定。</w:t>
      </w:r>
    </w:p>
    <w:p>
      <w:pPr>
        <w:pStyle w:val="BodyText"/>
        <w:spacing w:line="364" w:lineRule="auto" w:before="1"/>
        <w:ind w:right="356" w:firstLine="479"/>
      </w:pPr>
      <w:r>
        <w:rPr>
          <w:spacing w:val="-4"/>
        </w:rPr>
        <w:t>基金管理人自基金合同生效日起不超过 </w:t>
      </w:r>
      <w:r>
        <w:rPr>
          <w:rFonts w:ascii="Times New Roman" w:eastAsia="Times New Roman"/>
        </w:rPr>
        <w:t>3 </w:t>
      </w:r>
      <w:r>
        <w:rPr>
          <w:spacing w:val="-11"/>
        </w:rPr>
        <w:t>个月开始办理赎回，具体日期在赎</w:t>
      </w:r>
      <w:r>
        <w:rPr/>
        <w:t>回开始公告中规定。</w:t>
      </w:r>
    </w:p>
    <w:p>
      <w:pPr>
        <w:pStyle w:val="BodyText"/>
        <w:spacing w:before="2"/>
        <w:ind w:left="600"/>
      </w:pPr>
      <w:r>
        <w:rPr/>
        <w:t>在确定申购开始与赎回开始日后，基金管理人应在申购、赎回开放日前依照</w:t>
      </w:r>
    </w:p>
    <w:p>
      <w:pPr>
        <w:pStyle w:val="BodyText"/>
      </w:pPr>
      <w:r>
        <w:rPr/>
        <w:t>《信息披露办法》的有关规定在指定媒介上公告申购与赎回的开始日。</w:t>
      </w:r>
    </w:p>
    <w:p>
      <w:pPr>
        <w:pStyle w:val="BodyText"/>
        <w:spacing w:line="364" w:lineRule="auto" w:before="160"/>
        <w:ind w:right="350" w:firstLine="479"/>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w:t>
      </w:r>
      <w:r>
        <w:rPr>
          <w:spacing w:val="-13"/>
        </w:rPr>
        <w:t>转换申请且登记结算机构确认接受的，其基金份额申购、赎回价格为下一开放日</w:t>
      </w:r>
    </w:p>
    <w:p>
      <w:pPr>
        <w:spacing w:after="0" w:line="364" w:lineRule="auto"/>
        <w:jc w:val="both"/>
        <w:sectPr>
          <w:pgSz w:w="11910" w:h="16840"/>
          <w:pgMar w:header="0" w:footer="995" w:top="1500" w:bottom="1180" w:left="1680" w:right="1440"/>
        </w:sectPr>
      </w:pPr>
    </w:p>
    <w:p>
      <w:pPr>
        <w:pStyle w:val="BodyText"/>
        <w:spacing w:line="364" w:lineRule="auto" w:before="40"/>
        <w:ind w:left="600" w:right="5543" w:hanging="480"/>
      </w:pPr>
      <w:r>
        <w:rPr/>
        <w:t>基金份额申购、赎回的价格。三、申购与赎回的原则</w:t>
      </w:r>
    </w:p>
    <w:p>
      <w:pPr>
        <w:pStyle w:val="BodyText"/>
        <w:spacing w:line="364" w:lineRule="auto" w:before="2"/>
        <w:ind w:right="359" w:firstLine="479"/>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pStyle w:val="BodyText"/>
        <w:spacing w:before="1"/>
        <w:ind w:left="60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ind w:left="600"/>
      </w:pPr>
      <w:r>
        <w:rPr>
          <w:rFonts w:ascii="Times New Roman" w:eastAsia="Times New Roman"/>
        </w:rPr>
        <w:t>3</w:t>
      </w:r>
      <w:r>
        <w:rPr/>
        <w:t>、当日的申购与赎回申请可以在基金管理人规定的时间以内撤销；</w:t>
      </w:r>
    </w:p>
    <w:p>
      <w:pPr>
        <w:pStyle w:val="BodyText"/>
        <w:spacing w:line="364" w:lineRule="auto" w:before="160"/>
        <w:ind w:right="357" w:firstLine="479"/>
      </w:pPr>
      <w:r>
        <w:rPr>
          <w:rFonts w:ascii="Times New Roman" w:hAnsi="Times New Roman" w:eastAsia="Times New Roman"/>
        </w:rPr>
        <w:t>4</w:t>
      </w:r>
      <w:r>
        <w:rPr/>
        <w:t>、场外份额的赎回遵循</w:t>
      </w:r>
      <w:r>
        <w:rPr>
          <w:rFonts w:ascii="Times New Roman" w:hAnsi="Times New Roman" w:eastAsia="Times New Roman"/>
        </w:rPr>
        <w:t>“</w:t>
      </w:r>
      <w:r>
        <w:rPr/>
        <w:t>先进先出</w:t>
      </w:r>
      <w:r>
        <w:rPr>
          <w:rFonts w:ascii="Times New Roman" w:hAnsi="Times New Roman" w:eastAsia="Times New Roman"/>
        </w:rPr>
        <w:t>”</w:t>
      </w:r>
      <w:r>
        <w:rPr/>
        <w:t>原则，即按照投资人认购、申购的先后次序进行顺序赎回；</w:t>
      </w:r>
    </w:p>
    <w:p>
      <w:pPr>
        <w:pStyle w:val="BodyText"/>
        <w:spacing w:line="364" w:lineRule="auto" w:before="2"/>
        <w:ind w:right="236" w:firstLine="479"/>
      </w:pPr>
      <w:r>
        <w:rPr>
          <w:rFonts w:ascii="Times New Roman" w:eastAsia="Times New Roman"/>
        </w:rPr>
        <w:t>5</w:t>
      </w:r>
      <w:r>
        <w:rPr>
          <w:spacing w:val="-1"/>
        </w:rPr>
        <w:t>、投资人通过深圳证券交易所交易系统办理本基金 </w:t>
      </w:r>
      <w:r>
        <w:rPr>
          <w:rFonts w:ascii="Times New Roman" w:eastAsia="Times New Roman"/>
        </w:rPr>
        <w:t>A </w:t>
      </w:r>
      <w:r>
        <w:rPr>
          <w:spacing w:val="-2"/>
        </w:rPr>
        <w:t>类份额的场内申购、</w:t>
      </w:r>
      <w:r>
        <w:rPr>
          <w:spacing w:val="-11"/>
        </w:rPr>
        <w:t>赎回时，需遵守深圳证券交易所和中国证券登记结算有限责任公司的相关业务规</w:t>
      </w:r>
      <w:r>
        <w:rPr>
          <w:spacing w:val="-12"/>
        </w:rPr>
        <w:t>则。若相关法律法规、中国证监会、深圳证券交易所或中国证券登记结算有限责任公司对申购、赎回业务等规则有新的规定，按新规定执行。</w:t>
      </w:r>
    </w:p>
    <w:p>
      <w:pPr>
        <w:pStyle w:val="BodyText"/>
        <w:spacing w:line="364" w:lineRule="auto" w:before="3"/>
        <w:ind w:right="236" w:firstLine="479"/>
      </w:pPr>
      <w:r>
        <w:rPr/>
        <w:t>基金管理人可在法律法规允许的情况下，对上述原则进行调整。基金管理人必须在新规则开始实施前依照《信息披露办法》的有关规定在指定媒介上公告。</w:t>
      </w:r>
    </w:p>
    <w:p>
      <w:pPr>
        <w:pStyle w:val="BodyText"/>
        <w:spacing w:before="1"/>
        <w:ind w:left="600"/>
      </w:pPr>
      <w:r>
        <w:rPr/>
        <w:t>四、申购与赎回的程序</w:t>
      </w:r>
    </w:p>
    <w:p>
      <w:pPr>
        <w:pStyle w:val="BodyText"/>
        <w:spacing w:before="160"/>
        <w:ind w:left="600"/>
      </w:pPr>
      <w:r>
        <w:rPr>
          <w:rFonts w:ascii="Times New Roman" w:eastAsia="Times New Roman"/>
        </w:rPr>
        <w:t>1</w:t>
      </w:r>
      <w:r>
        <w:rPr/>
        <w:t>、申购和赎回的申请方式</w:t>
      </w:r>
    </w:p>
    <w:p>
      <w:pPr>
        <w:pStyle w:val="BodyText"/>
        <w:spacing w:line="364" w:lineRule="auto"/>
        <w:ind w:right="357" w:firstLine="479"/>
      </w:pPr>
      <w:r>
        <w:rPr>
          <w:spacing w:val="-7"/>
        </w:rPr>
        <w:t>投资人必须根据销售机构规定的程序，在开放日的具体业务办理时间内提出</w:t>
      </w:r>
      <w:r>
        <w:rPr/>
        <w:t>申购或赎回的申请。</w:t>
      </w:r>
    </w:p>
    <w:p>
      <w:pPr>
        <w:pStyle w:val="BodyText"/>
        <w:spacing w:line="364" w:lineRule="auto" w:before="1"/>
        <w:ind w:right="357" w:firstLine="479"/>
        <w:jc w:val="both"/>
      </w:pPr>
      <w:r>
        <w:rPr>
          <w:spacing w:val="-5"/>
        </w:rPr>
        <w:t>投资者在申购本基金时须按销售机构规定的方式备足申购资金，投资者在提</w:t>
      </w:r>
      <w:r>
        <w:rPr>
          <w:spacing w:val="-9"/>
        </w:rPr>
        <w:t>交赎回申请时，必须有足够的基金份额余额，否则所提交的申购、赎回的申请无</w:t>
      </w:r>
      <w:r>
        <w:rPr/>
        <w:t>效而不予成交。</w:t>
      </w:r>
    </w:p>
    <w:p>
      <w:pPr>
        <w:pStyle w:val="BodyText"/>
        <w:spacing w:before="2"/>
        <w:ind w:left="600"/>
      </w:pPr>
      <w:r>
        <w:rPr>
          <w:rFonts w:ascii="Times New Roman" w:eastAsia="Times New Roman"/>
        </w:rPr>
        <w:t>2</w:t>
      </w:r>
      <w:r>
        <w:rPr/>
        <w:t>、申购和赎回的款项支付</w:t>
      </w:r>
    </w:p>
    <w:p>
      <w:pPr>
        <w:pStyle w:val="BodyText"/>
        <w:spacing w:line="364" w:lineRule="auto"/>
        <w:ind w:right="357" w:firstLine="479"/>
      </w:pPr>
      <w:r>
        <w:rPr>
          <w:spacing w:val="-7"/>
        </w:rPr>
        <w:t>投资人申购基金份额时，必须全额交付申购款项，投资人交付款项，申购申</w:t>
      </w:r>
      <w:r>
        <w:rPr/>
        <w:t>请即为有效。</w:t>
      </w:r>
    </w:p>
    <w:p>
      <w:pPr>
        <w:pStyle w:val="BodyText"/>
        <w:spacing w:line="364" w:lineRule="auto" w:before="1"/>
        <w:ind w:right="356" w:firstLine="479"/>
      </w:pPr>
      <w:r>
        <w:rPr/>
        <w:t>投资人赎回申请成功后，基金管理人将在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t>内支付赎回款项。在发生巨额赎回时，款项的支付办法参照本基金合同有关条款处理。</w:t>
      </w:r>
    </w:p>
    <w:p>
      <w:pPr>
        <w:pStyle w:val="BodyText"/>
        <w:spacing w:before="2"/>
        <w:ind w:left="600"/>
      </w:pPr>
      <w:r>
        <w:rPr>
          <w:rFonts w:ascii="Times New Roman" w:eastAsia="Times New Roman"/>
        </w:rPr>
        <w:t>3</w:t>
      </w:r>
      <w:r>
        <w:rPr/>
        <w:t>、申购和赎回申请的确认</w:t>
      </w:r>
    </w:p>
    <w:p>
      <w:pPr>
        <w:pStyle w:val="BodyText"/>
        <w:spacing w:line="364" w:lineRule="auto" w:before="160"/>
        <w:ind w:right="275" w:firstLine="479"/>
      </w:pPr>
      <w:r>
        <w:rPr/>
        <w:t>基金管理人应以交易时间结束前受理有效申购和赎回申请的当天作为申购或赎回申请日</w:t>
      </w:r>
      <w:r>
        <w:rPr>
          <w:rFonts w:ascii="Times New Roman" w:eastAsia="Times New Roman"/>
        </w:rPr>
        <w:t>(T </w:t>
      </w:r>
      <w:r>
        <w:rPr/>
        <w:t>日</w:t>
      </w:r>
      <w:r>
        <w:rPr>
          <w:rFonts w:ascii="Times New Roman" w:eastAsia="Times New Roman"/>
        </w:rPr>
        <w:t>)</w:t>
      </w:r>
      <w:r>
        <w:rPr/>
        <w:t>，在正常情况下，本基金登记结算机构在 </w:t>
      </w:r>
      <w:r>
        <w:rPr>
          <w:rFonts w:ascii="Times New Roman" w:eastAsia="Times New Roman"/>
        </w:rPr>
        <w:t>T+1 </w:t>
      </w:r>
      <w:r>
        <w:rPr/>
        <w:t>日内对该交易</w:t>
      </w:r>
    </w:p>
    <w:p>
      <w:pPr>
        <w:spacing w:after="0" w:line="364" w:lineRule="auto"/>
        <w:sectPr>
          <w:pgSz w:w="11910" w:h="16840"/>
          <w:pgMar w:header="0" w:footer="995" w:top="1460" w:bottom="1180" w:left="1680" w:right="1440"/>
        </w:sectPr>
      </w:pPr>
    </w:p>
    <w:p>
      <w:pPr>
        <w:pStyle w:val="BodyText"/>
        <w:spacing w:line="364" w:lineRule="auto" w:before="60"/>
        <w:ind w:right="244"/>
      </w:pPr>
      <w:r>
        <w:rPr/>
        <w:t>的有效性进行确认。</w:t>
      </w:r>
      <w:r>
        <w:rPr>
          <w:rFonts w:ascii="Times New Roman" w:eastAsia="Times New Roman"/>
        </w:rPr>
        <w:t>T </w:t>
      </w:r>
      <w:r>
        <w:rPr/>
        <w:t>日提交的有效申请，投资人应在 </w:t>
      </w:r>
      <w:r>
        <w:rPr>
          <w:rFonts w:ascii="Times New Roman" w:eastAsia="Times New Roman"/>
        </w:rPr>
        <w:t>T+2 </w:t>
      </w:r>
      <w:r>
        <w:rPr/>
        <w:t>日后</w:t>
      </w:r>
      <w:r>
        <w:rPr>
          <w:rFonts w:ascii="Times New Roman" w:eastAsia="Times New Roman"/>
        </w:rPr>
        <w:t>(</w:t>
      </w:r>
      <w:r>
        <w:rPr/>
        <w:t>包括该日</w:t>
      </w:r>
      <w:r>
        <w:rPr>
          <w:rFonts w:ascii="Times New Roman" w:eastAsia="Times New Roman"/>
        </w:rPr>
        <w:t>)</w:t>
      </w:r>
      <w:r>
        <w:rPr/>
        <w:t>到销售网点柜台或以销售机构规定的其他方式查询申请的确认情况。若申购不成功， 则申购款项本金退还给投资人。</w:t>
      </w:r>
    </w:p>
    <w:p>
      <w:pPr>
        <w:pStyle w:val="BodyText"/>
        <w:spacing w:line="364" w:lineRule="auto" w:before="3"/>
        <w:ind w:right="357" w:firstLine="479"/>
        <w:jc w:val="both"/>
      </w:pPr>
      <w:r>
        <w:rPr>
          <w:spacing w:val="-9"/>
        </w:rPr>
        <w:t>销售机构对申购、赎回申请的受理并不代表该申请一定成功，而仅代表销售机构确实接收到申购、赎回申请。申购、赎回的确认以基金登记结算机构或基金</w:t>
      </w:r>
      <w:r>
        <w:rPr>
          <w:spacing w:val="-8"/>
        </w:rPr>
        <w:t>管理人的确认结果为准。对于申购申请及申购份额的确认情况，投资人应及时查</w:t>
      </w:r>
      <w:r>
        <w:rPr/>
        <w:t>询并妥善行使合法权利。</w:t>
      </w:r>
    </w:p>
    <w:p>
      <w:pPr>
        <w:pStyle w:val="BodyText"/>
        <w:spacing w:before="2"/>
        <w:ind w:left="600"/>
      </w:pPr>
      <w:r>
        <w:rPr/>
        <w:t>五、申购和赎回的数量限制</w:t>
      </w:r>
    </w:p>
    <w:p>
      <w:pPr>
        <w:pStyle w:val="BodyText"/>
        <w:spacing w:line="364" w:lineRule="auto"/>
        <w:ind w:right="362" w:firstLine="479"/>
      </w:pPr>
      <w:r>
        <w:rPr>
          <w:rFonts w:ascii="Times New Roman" w:eastAsia="Times New Roman"/>
        </w:rPr>
        <w:t>1</w:t>
      </w:r>
      <w:r>
        <w:rPr/>
        <w:t>、基金管理人可以规定投资人首次申购和每次申购的最低金额以及每次赎回的最低份额，具体规定请参见招募说明书或相关公告。</w:t>
      </w:r>
    </w:p>
    <w:p>
      <w:pPr>
        <w:pStyle w:val="BodyText"/>
        <w:spacing w:line="364" w:lineRule="auto" w:before="1"/>
        <w:ind w:right="364" w:firstLine="479"/>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360" w:firstLine="479"/>
      </w:pPr>
      <w:r>
        <w:rPr>
          <w:rFonts w:ascii="Times New Roman" w:eastAsia="Times New Roman"/>
        </w:rPr>
        <w:t>3</w:t>
      </w:r>
      <w:r>
        <w:rPr>
          <w:spacing w:val="-1"/>
        </w:rPr>
        <w:t>、基金管理人可以规定单个投资人累计持有的基金份额上限、单日或单笔</w:t>
      </w:r>
      <w:r>
        <w:rPr/>
        <w:t>申购金额上限，具体规定请参见招募说明书或相关公告。</w:t>
      </w:r>
    </w:p>
    <w:p>
      <w:pPr>
        <w:pStyle w:val="BodyText"/>
        <w:spacing w:line="364" w:lineRule="auto" w:before="1"/>
        <w:ind w:right="364" w:firstLine="479"/>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pStyle w:val="BodyText"/>
        <w:spacing w:line="364" w:lineRule="auto" w:before="1"/>
        <w:ind w:right="239" w:firstLine="479"/>
      </w:pPr>
      <w:r>
        <w:rPr>
          <w:rFonts w:ascii="Times New Roman" w:eastAsia="Times New Roman"/>
        </w:rPr>
        <w:t>5</w:t>
      </w:r>
      <w:r>
        <w:rPr/>
        <w:t>、当接受申购申请对存量基金份额持有人利益构成潜在重大不利影响时， </w:t>
      </w:r>
      <w:r>
        <w:rPr>
          <w:spacing w:val="-1"/>
        </w:rPr>
        <w:t>基金管理人应当采取设定单一投资者申购金额上限或基金单日净申购比例上限、</w:t>
      </w:r>
      <w:r>
        <w:rPr>
          <w:spacing w:val="-17"/>
        </w:rPr>
        <w:t>拒绝大额申购、暂停基金申购等措施，切实保护存量基金份额持有人的合法权益。</w:t>
      </w:r>
      <w:r>
        <w:rPr/>
        <w:t>具体请参见相关公告。</w:t>
      </w:r>
    </w:p>
    <w:p>
      <w:pPr>
        <w:pStyle w:val="BodyText"/>
        <w:spacing w:line="364" w:lineRule="auto" w:before="3"/>
        <w:ind w:right="354" w:firstLine="479"/>
        <w:jc w:val="both"/>
      </w:pPr>
      <w:r>
        <w:rPr>
          <w:rFonts w:ascii="Times New Roman" w:eastAsia="Times New Roman"/>
        </w:rPr>
        <w:t>6</w:t>
      </w:r>
      <w:r>
        <w:rPr/>
        <w:t>、基金管理人可在法律法规允许的情况下，调整上述规定申购金额和赎回</w:t>
      </w:r>
      <w:r>
        <w:rPr>
          <w:spacing w:val="-19"/>
        </w:rPr>
        <w:t>份额的数量限制，或者新增基金规模控制措施。基金管理人必须在调整前依照《信</w:t>
      </w:r>
      <w:r>
        <w:rPr/>
        <w:t>息披露办法》的有关规定在指定媒介上公告。</w:t>
      </w:r>
    </w:p>
    <w:p>
      <w:pPr>
        <w:pStyle w:val="BodyText"/>
        <w:spacing w:line="364" w:lineRule="auto" w:before="2"/>
        <w:ind w:right="361" w:firstLine="479"/>
      </w:pPr>
      <w:r>
        <w:rPr>
          <w:rFonts w:ascii="Times New Roman" w:eastAsia="Times New Roman"/>
        </w:rPr>
        <w:t>7</w:t>
      </w:r>
      <w:r>
        <w:rPr/>
        <w:t>、对于场内申购、赎回及持有场内份额的数量限制，深圳证券交易所和中国证券登记结算有限责任公司的相关业务规则有规定的，从其最新规定办理。</w:t>
      </w:r>
    </w:p>
    <w:p>
      <w:pPr>
        <w:pStyle w:val="BodyText"/>
        <w:spacing w:before="1"/>
        <w:ind w:left="600"/>
      </w:pPr>
      <w:r>
        <w:rPr/>
        <w:t>六、申购和赎回的价格、费用及其用途</w:t>
      </w:r>
    </w:p>
    <w:p>
      <w:pPr>
        <w:pStyle w:val="BodyText"/>
        <w:spacing w:line="364" w:lineRule="auto"/>
        <w:ind w:right="353" w:firstLine="479"/>
        <w:jc w:val="both"/>
      </w:pPr>
      <w:r>
        <w:rPr>
          <w:rFonts w:ascii="Times New Roman" w:eastAsia="Times New Roman"/>
        </w:rPr>
        <w:t>1</w:t>
      </w:r>
      <w:r>
        <w:rPr>
          <w:spacing w:val="-10"/>
        </w:rPr>
        <w:t>、本基金的基金份额分为 </w:t>
      </w:r>
      <w:r>
        <w:rPr>
          <w:rFonts w:ascii="Times New Roman" w:eastAsia="Times New Roman"/>
        </w:rPr>
        <w:t>A </w:t>
      </w:r>
      <w:r>
        <w:rPr>
          <w:spacing w:val="-9"/>
        </w:rPr>
        <w:t>类基金份额和 </w:t>
      </w:r>
      <w:r>
        <w:rPr>
          <w:rFonts w:ascii="Times New Roman" w:eastAsia="Times New Roman"/>
        </w:rPr>
        <w:t>C </w:t>
      </w:r>
      <w:r>
        <w:rPr>
          <w:spacing w:val="-4"/>
        </w:rPr>
        <w:t>类基金份额两类。其中：</w:t>
      </w:r>
      <w:r>
        <w:rPr>
          <w:rFonts w:ascii="Times New Roman" w:eastAsia="Times New Roman"/>
          <w:spacing w:val="-10"/>
        </w:rPr>
        <w:t>A </w:t>
      </w:r>
      <w:r>
        <w:rPr/>
        <w:t>类</w:t>
      </w:r>
      <w:r>
        <w:rPr>
          <w:spacing w:val="-6"/>
        </w:rPr>
        <w:t>基金份额收取申购、赎回费，并不再从本类别基金资产中计提销售服务费；</w:t>
      </w:r>
      <w:r>
        <w:rPr>
          <w:rFonts w:ascii="Times New Roman" w:eastAsia="Times New Roman"/>
          <w:spacing w:val="-12"/>
        </w:rPr>
        <w:t>C </w:t>
      </w:r>
      <w:r>
        <w:rPr>
          <w:spacing w:val="-16"/>
        </w:rPr>
        <w:t>类</w:t>
      </w:r>
      <w:r>
        <w:rPr>
          <w:spacing w:val="-3"/>
        </w:rPr>
        <w:t>基金份额从本类别基金资产中计提销售服务费、不收取申购费用，</w:t>
      </w:r>
      <w:r>
        <w:rPr>
          <w:rFonts w:ascii="Times New Roman" w:eastAsia="Times New Roman"/>
          <w:spacing w:val="-18"/>
        </w:rPr>
        <w:t>C </w:t>
      </w:r>
      <w:r>
        <w:rPr>
          <w:spacing w:val="-3"/>
        </w:rPr>
        <w:t>类基金份额</w:t>
      </w:r>
    </w:p>
    <w:p>
      <w:pPr>
        <w:spacing w:after="0" w:line="364" w:lineRule="auto"/>
        <w:jc w:val="both"/>
        <w:sectPr>
          <w:pgSz w:w="11910" w:h="16840"/>
          <w:pgMar w:header="0" w:footer="995" w:top="1440" w:bottom="1180" w:left="1680" w:right="1440"/>
        </w:sectPr>
      </w:pPr>
    </w:p>
    <w:p>
      <w:pPr>
        <w:pStyle w:val="BodyText"/>
        <w:spacing w:before="60"/>
        <w:jc w:val="both"/>
      </w:pPr>
      <w:r>
        <w:rPr/>
        <w:t>对持有期限少于 </w:t>
      </w:r>
      <w:r>
        <w:rPr>
          <w:rFonts w:ascii="Times New Roman" w:eastAsia="Times New Roman"/>
        </w:rPr>
        <w:t>30 </w:t>
      </w:r>
      <w:r>
        <w:rPr/>
        <w:t>日的本类别基金份额的赎回收取赎回费，对于持有期限不少</w:t>
      </w:r>
    </w:p>
    <w:p>
      <w:pPr>
        <w:pStyle w:val="BodyText"/>
        <w:jc w:val="both"/>
      </w:pPr>
      <w:r>
        <w:rPr/>
        <w:t>于 </w:t>
      </w:r>
      <w:r>
        <w:rPr>
          <w:rFonts w:ascii="Times New Roman" w:eastAsia="Times New Roman"/>
        </w:rPr>
        <w:t>30 </w:t>
      </w:r>
      <w:r>
        <w:rPr/>
        <w:t>日的本类别基金份额不收取赎回费。</w:t>
      </w:r>
    </w:p>
    <w:p>
      <w:pPr>
        <w:pStyle w:val="BodyText"/>
        <w:spacing w:line="364" w:lineRule="auto"/>
        <w:ind w:right="356" w:firstLine="479"/>
        <w:jc w:val="both"/>
      </w:pPr>
      <w:r>
        <w:rPr>
          <w:rFonts w:ascii="Times New Roman" w:eastAsia="Times New Roman"/>
        </w:rPr>
        <w:t>2</w:t>
      </w:r>
      <w:r>
        <w:rPr>
          <w:spacing w:val="-3"/>
        </w:rPr>
        <w:t>、本基金份额净值的计算，保留到小数点后 </w:t>
      </w:r>
      <w:r>
        <w:rPr>
          <w:rFonts w:ascii="Times New Roman" w:eastAsia="Times New Roman"/>
        </w:rPr>
        <w:t>4 </w:t>
      </w:r>
      <w:r>
        <w:rPr>
          <w:spacing w:val="-7"/>
        </w:rPr>
        <w:t>位，小数点后第 </w:t>
      </w:r>
      <w:r>
        <w:rPr>
          <w:rFonts w:ascii="Times New Roman" w:eastAsia="Times New Roman"/>
        </w:rPr>
        <w:t>5 </w:t>
      </w:r>
      <w:r>
        <w:rPr>
          <w:spacing w:val="-4"/>
        </w:rPr>
        <w:t>位四舍五</w:t>
      </w:r>
      <w:r>
        <w:rPr>
          <w:spacing w:val="-8"/>
        </w:rPr>
        <w:t>入，由此产生的收益或损失由基金财产承担。</w:t>
      </w:r>
      <w:r>
        <w:rPr>
          <w:rFonts w:ascii="Times New Roman" w:eastAsia="Times New Roman"/>
        </w:rPr>
        <w:t>T </w:t>
      </w:r>
      <w:r>
        <w:rPr>
          <w:spacing w:val="-1"/>
        </w:rPr>
        <w:t>日的基金份额净值在当天收市后</w:t>
      </w:r>
      <w:r>
        <w:rPr>
          <w:spacing w:val="-11"/>
        </w:rPr>
        <w:t>计算，并在 </w:t>
      </w:r>
      <w:r>
        <w:rPr>
          <w:rFonts w:ascii="Times New Roman" w:eastAsia="Times New Roman"/>
        </w:rPr>
        <w:t>T+1 </w:t>
      </w:r>
      <w:r>
        <w:rPr/>
        <w:t>日内公告。遇特殊情况，可以适当延迟计算或公告。</w:t>
      </w:r>
    </w:p>
    <w:p>
      <w:pPr>
        <w:pStyle w:val="BodyText"/>
        <w:spacing w:line="364" w:lineRule="auto" w:before="2"/>
        <w:ind w:right="357" w:firstLine="479"/>
        <w:jc w:val="both"/>
      </w:pPr>
      <w:r>
        <w:rPr>
          <w:rFonts w:ascii="Times New Roman" w:eastAsia="Times New Roman"/>
        </w:rPr>
        <w:t>3</w:t>
      </w:r>
      <w:r>
        <w:rPr/>
        <w:t>、申购份额的计算及余额的处理方式：本基金申购份额的计算详见招募说</w:t>
      </w:r>
      <w:r>
        <w:rPr>
          <w:spacing w:val="-10"/>
        </w:rPr>
        <w:t>明书。本基金的申购费率由基金管理人决定，并在招募说明书中列示。申购的有</w:t>
      </w:r>
      <w:r>
        <w:rPr>
          <w:spacing w:val="-5"/>
        </w:rPr>
        <w:t>效份额为有效净申购金额除以申请日的基金份额净值，有效份额单位为份。场外</w:t>
      </w:r>
      <w:r>
        <w:rPr>
          <w:spacing w:val="-10"/>
        </w:rPr>
        <w:t>申购涉及金额、份额的计算结果保留到小数点后两位，小数点后两位以后的部分</w:t>
      </w:r>
      <w:r>
        <w:rPr>
          <w:spacing w:val="-11"/>
        </w:rPr>
        <w:t>四舍五入，由此产生的误差计入基金财产。场内申购涉及金额的计算结果保留到</w:t>
      </w:r>
      <w:r>
        <w:rPr>
          <w:spacing w:val="-10"/>
        </w:rPr>
        <w:t>小数点后两位，小数点后两位以后的部分四舍五入，由此产生的误差计入基金财产；场内申购涉及份额的计算结果采用截位法保留到整数位，整数位后小数部分</w:t>
      </w:r>
      <w:r>
        <w:rPr/>
        <w:t>的份额对应的资金返还至投资者资金账户。</w:t>
      </w:r>
    </w:p>
    <w:p>
      <w:pPr>
        <w:pStyle w:val="BodyText"/>
        <w:spacing w:line="364" w:lineRule="auto" w:before="5"/>
        <w:ind w:right="356" w:firstLine="479"/>
        <w:jc w:val="both"/>
      </w:pPr>
      <w:r>
        <w:rPr>
          <w:rFonts w:ascii="Times New Roman" w:eastAsia="Times New Roman"/>
        </w:rPr>
        <w:t>4</w:t>
      </w:r>
      <w:r>
        <w:rPr/>
        <w:t>、赎回金额的计算及处理方式：本基金赎回金额的计算详见招募说明书， </w:t>
      </w:r>
      <w:r>
        <w:rPr>
          <w:spacing w:val="-9"/>
        </w:rPr>
        <w:t>赎回金额单位为元。本基金的赎回费率由基金管理人决定，并在招募说明书中列</w:t>
      </w:r>
      <w:r>
        <w:rPr>
          <w:spacing w:val="-12"/>
        </w:rPr>
        <w:t>示。赎回金额为按实际确认的有效赎回份额乘以申请日基金份额净值并扣除相应</w:t>
      </w:r>
      <w:r>
        <w:rPr>
          <w:spacing w:val="-10"/>
        </w:rPr>
        <w:t>的费用，赎回金额单位为元。赎回金额计算结果保留到小数点后两位，小数点后</w:t>
      </w:r>
      <w:r>
        <w:rPr/>
        <w:t>两位以后的部分四舍五入，由此产生的误差计入基金财产。</w:t>
      </w:r>
    </w:p>
    <w:p>
      <w:pPr>
        <w:pStyle w:val="BodyText"/>
        <w:spacing w:before="3"/>
        <w:ind w:left="600"/>
        <w:jc w:val="both"/>
      </w:pPr>
      <w:r>
        <w:rPr>
          <w:rFonts w:ascii="Times New Roman" w:eastAsia="Times New Roman"/>
        </w:rPr>
        <w:t>5</w:t>
      </w:r>
      <w:r>
        <w:rPr/>
        <w:t>、申购费用由申购本基金 </w:t>
      </w:r>
      <w:r>
        <w:rPr>
          <w:rFonts w:ascii="Times New Roman" w:eastAsia="Times New Roman"/>
        </w:rPr>
        <w:t>A </w:t>
      </w:r>
      <w:r>
        <w:rPr/>
        <w:t>类基金份额的投资人承担，不列入基金财产。</w:t>
      </w:r>
    </w:p>
    <w:p>
      <w:pPr>
        <w:pStyle w:val="BodyText"/>
        <w:spacing w:line="364" w:lineRule="auto"/>
        <w:ind w:right="355" w:firstLine="479"/>
        <w:jc w:val="both"/>
      </w:pPr>
      <w:r>
        <w:rPr>
          <w:rFonts w:ascii="Times New Roman" w:eastAsia="Times New Roman"/>
        </w:rPr>
        <w:t>6</w:t>
      </w:r>
      <w:r>
        <w:rPr/>
        <w:t>、赎回费用由赎回基金份额的基金份额持有人承担，在基金份额持有人赎回基金份额时收取。</w:t>
      </w:r>
      <w:r>
        <w:rPr>
          <w:rFonts w:ascii="Times New Roman" w:eastAsia="Times New Roman"/>
        </w:rPr>
        <w:t>A </w:t>
      </w:r>
      <w:r>
        <w:rPr/>
        <w:t>类基金份额所收取的赎回费，不低于赎回费总额的 </w:t>
      </w:r>
      <w:r>
        <w:rPr>
          <w:rFonts w:ascii="Times New Roman" w:eastAsia="Times New Roman"/>
          <w:spacing w:val="-5"/>
        </w:rPr>
        <w:t>25% </w:t>
      </w:r>
      <w:r>
        <w:rPr>
          <w:spacing w:val="-10"/>
        </w:rPr>
        <w:t>应归基金财产，其余用于支付登记结算费和其他必要的手续费。对于持有期限少</w:t>
      </w:r>
      <w:r>
        <w:rPr>
          <w:spacing w:val="-31"/>
        </w:rPr>
        <w:t>于 </w:t>
      </w:r>
      <w:r>
        <w:rPr>
          <w:rFonts w:ascii="Times New Roman" w:eastAsia="Times New Roman"/>
        </w:rPr>
        <w:t>30 </w:t>
      </w:r>
      <w:r>
        <w:rPr>
          <w:spacing w:val="-20"/>
        </w:rPr>
        <w:t>日的 </w:t>
      </w:r>
      <w:r>
        <w:rPr>
          <w:rFonts w:ascii="Times New Roman" w:eastAsia="Times New Roman"/>
        </w:rPr>
        <w:t>C </w:t>
      </w:r>
      <w:r>
        <w:rPr>
          <w:spacing w:val="-3"/>
        </w:rPr>
        <w:t>类基金份额所收取的赎回费，全额计入基金财产。基金管理人对持</w:t>
      </w:r>
      <w:r>
        <w:rPr>
          <w:spacing w:val="-1"/>
        </w:rPr>
        <w:t>续持有期少于 </w:t>
      </w:r>
      <w:r>
        <w:rPr>
          <w:rFonts w:ascii="Times New Roman" w:eastAsia="Times New Roman"/>
        </w:rPr>
        <w:t>7  </w:t>
      </w:r>
      <w:r>
        <w:rPr/>
        <w:t>日的投资者收取不低于 </w:t>
      </w:r>
      <w:r>
        <w:rPr>
          <w:rFonts w:ascii="Times New Roman" w:eastAsia="Times New Roman"/>
        </w:rPr>
        <w:t>1.5%</w:t>
      </w:r>
      <w:r>
        <w:rPr>
          <w:spacing w:val="-13"/>
        </w:rPr>
        <w:t>的赎回费，并将上述赎回费全额计</w:t>
      </w:r>
      <w:r>
        <w:rPr/>
        <w:t>入基金财产。</w:t>
      </w:r>
    </w:p>
    <w:p>
      <w:pPr>
        <w:pStyle w:val="BodyText"/>
        <w:spacing w:line="364" w:lineRule="auto" w:before="4"/>
        <w:ind w:right="353" w:firstLine="479"/>
        <w:jc w:val="both"/>
      </w:pPr>
      <w:r>
        <w:rPr>
          <w:rFonts w:ascii="Times New Roman" w:eastAsia="Times New Roman"/>
        </w:rPr>
        <w:t>7</w:t>
      </w:r>
      <w:r>
        <w:rPr>
          <w:spacing w:val="-11"/>
        </w:rPr>
        <w:t>、本基金 </w:t>
      </w:r>
      <w:r>
        <w:rPr>
          <w:rFonts w:ascii="Times New Roman" w:eastAsia="Times New Roman"/>
        </w:rPr>
        <w:t>A </w:t>
      </w:r>
      <w:r>
        <w:rPr>
          <w:spacing w:val="-3"/>
        </w:rPr>
        <w:t>类基金份额的申购费用最高不超过申购金额的 </w:t>
      </w:r>
      <w:r>
        <w:rPr>
          <w:rFonts w:ascii="Times New Roman" w:eastAsia="Times New Roman"/>
        </w:rPr>
        <w:t>5%</w:t>
      </w:r>
      <w:r>
        <w:rPr/>
        <w:t>，</w:t>
      </w:r>
      <w:r>
        <w:rPr>
          <w:rFonts w:ascii="Times New Roman" w:eastAsia="Times New Roman"/>
        </w:rPr>
        <w:t>A </w:t>
      </w:r>
      <w:r>
        <w:rPr/>
        <w:t>类</w:t>
      </w:r>
      <w:r>
        <w:rPr>
          <w:rFonts w:ascii="Times New Roman" w:eastAsia="Times New Roman"/>
        </w:rPr>
        <w:t>/C </w:t>
      </w:r>
      <w:r>
        <w:rPr>
          <w:spacing w:val="-11"/>
        </w:rPr>
        <w:t>类</w:t>
      </w:r>
      <w:r>
        <w:rPr>
          <w:spacing w:val="-3"/>
        </w:rPr>
        <w:t>基金份额赎回费用最高不超过赎回金额的 </w:t>
      </w:r>
      <w:r>
        <w:rPr>
          <w:rFonts w:ascii="Times New Roman" w:eastAsia="Times New Roman"/>
        </w:rPr>
        <w:t>5%</w:t>
      </w:r>
      <w:r>
        <w:rPr>
          <w:spacing w:val="-1"/>
        </w:rPr>
        <w:t>。本基金的申购费率、申购份额具</w:t>
      </w:r>
      <w:r>
        <w:rPr>
          <w:spacing w:val="-11"/>
        </w:rPr>
        <w:t>体的计算方法、赎回费率、赎回金额具体的计算方法和收费方式由基金管理人根</w:t>
      </w:r>
      <w:r>
        <w:rPr>
          <w:spacing w:val="-8"/>
        </w:rPr>
        <w:t>据基金合同的规定确定，并在招募说明书中列示。基金管理人可以在基金合同约</w:t>
      </w:r>
    </w:p>
    <w:p>
      <w:pPr>
        <w:spacing w:after="0" w:line="364" w:lineRule="auto"/>
        <w:jc w:val="both"/>
        <w:sectPr>
          <w:pgSz w:w="11910" w:h="16840"/>
          <w:pgMar w:header="0" w:footer="995" w:top="1440" w:bottom="1180" w:left="1680" w:right="1440"/>
        </w:sectPr>
      </w:pPr>
    </w:p>
    <w:p>
      <w:pPr>
        <w:pStyle w:val="BodyText"/>
        <w:spacing w:before="40"/>
      </w:pPr>
      <w:r>
        <w:rPr/>
        <w:t>定的范围内调整费率或收费方式，并最迟应于新的费率或收费方式实施日前依照</w:t>
      </w:r>
    </w:p>
    <w:p>
      <w:pPr>
        <w:pStyle w:val="BodyText"/>
      </w:pPr>
      <w:r>
        <w:rPr/>
        <w:t>《信息披露办法》的有关规定在指定媒介上公告。</w:t>
      </w:r>
    </w:p>
    <w:p>
      <w:pPr>
        <w:pStyle w:val="BodyText"/>
        <w:spacing w:line="364" w:lineRule="auto"/>
        <w:ind w:right="243" w:firstLine="479"/>
      </w:pPr>
      <w:r>
        <w:rPr>
          <w:rFonts w:ascii="Times New Roman" w:eastAsia="Times New Roman"/>
        </w:rPr>
        <w:t>8</w:t>
      </w:r>
      <w:r>
        <w:rPr/>
        <w:t>、基金管理人可以在不违反法律法规规定及基金合同约定的情形下根据市</w:t>
      </w:r>
      <w:r>
        <w:rPr>
          <w:spacing w:val="-1"/>
        </w:rPr>
        <w:t>场情况制定基金促销计划。针对基金投资者定期和不定期地开展基金促销活动。</w:t>
      </w:r>
      <w:r>
        <w:rPr>
          <w:spacing w:val="-7"/>
        </w:rPr>
        <w:t>在基金促销活动期间，按相关监管部门要求履行必要手续后，基金管理人可以适当调低基金申购费率和基金赎回费率。</w:t>
      </w:r>
    </w:p>
    <w:p>
      <w:pPr>
        <w:pStyle w:val="BodyText"/>
        <w:spacing w:before="2"/>
        <w:ind w:left="600"/>
      </w:pPr>
      <w:r>
        <w:rPr/>
        <w:t>七、申购和赎回的登记结算</w:t>
      </w:r>
    </w:p>
    <w:p>
      <w:pPr>
        <w:pStyle w:val="BodyText"/>
        <w:spacing w:line="364" w:lineRule="auto"/>
        <w:ind w:right="356" w:firstLine="479"/>
        <w:jc w:val="both"/>
      </w:pPr>
      <w:r>
        <w:rPr>
          <w:spacing w:val="-7"/>
        </w:rPr>
        <w:t>本基金申购和赎回的登记结算业务，按照深圳证券交易所及中国证券登记结</w:t>
      </w:r>
      <w:r>
        <w:rPr/>
        <w:t>算有限责任公司的有关规定办理。正常情况下，投资者 </w:t>
      </w:r>
      <w:r>
        <w:rPr>
          <w:rFonts w:ascii="Times New Roman" w:eastAsia="Times New Roman"/>
        </w:rPr>
        <w:t>T</w:t>
      </w:r>
      <w:r>
        <w:rPr>
          <w:rFonts w:ascii="Times New Roman" w:eastAsia="Times New Roman"/>
          <w:spacing w:val="59"/>
        </w:rPr>
        <w:t> </w:t>
      </w:r>
      <w:r>
        <w:rPr>
          <w:spacing w:val="-2"/>
        </w:rPr>
        <w:t>日申购基金成功后， </w:t>
      </w:r>
      <w:r>
        <w:rPr>
          <w:spacing w:val="-3"/>
        </w:rPr>
        <w:t>登记结算机构在 </w:t>
      </w:r>
      <w:r>
        <w:rPr>
          <w:rFonts w:ascii="Times New Roman" w:eastAsia="Times New Roman"/>
        </w:rPr>
        <w:t>T+1 </w:t>
      </w:r>
      <w:r>
        <w:rPr>
          <w:spacing w:val="-1"/>
        </w:rPr>
        <w:t>日为投资者增加权益并办理登记结算手续，投资人自 </w:t>
      </w:r>
      <w:r>
        <w:rPr>
          <w:rFonts w:ascii="Times New Roman" w:eastAsia="Times New Roman"/>
          <w:spacing w:val="-5"/>
        </w:rPr>
        <w:t>T+2 </w:t>
      </w:r>
      <w:r>
        <w:rPr/>
        <w:t>日起（含该日）有权赎回该部分基金份额。</w:t>
      </w:r>
    </w:p>
    <w:p>
      <w:pPr>
        <w:pStyle w:val="BodyText"/>
        <w:spacing w:before="3"/>
        <w:ind w:left="600"/>
        <w:jc w:val="both"/>
        <w:rPr>
          <w:rFonts w:ascii="Times New Roman" w:eastAsia="Times New Roman"/>
        </w:rPr>
      </w:pPr>
      <w:r>
        <w:rPr/>
        <w:t>基金份额持有人 </w:t>
      </w:r>
      <w:r>
        <w:rPr>
          <w:rFonts w:ascii="Times New Roman" w:eastAsia="Times New Roman"/>
        </w:rPr>
        <w:t>T </w:t>
      </w:r>
      <w:r>
        <w:rPr/>
        <w:t>日赎回基金成功后，正常情况下，登记结算机构在 </w:t>
      </w:r>
      <w:r>
        <w:rPr>
          <w:rFonts w:ascii="Times New Roman" w:eastAsia="Times New Roman"/>
        </w:rPr>
        <w:t>T+1</w:t>
      </w:r>
    </w:p>
    <w:p>
      <w:pPr>
        <w:pStyle w:val="BodyText"/>
        <w:spacing w:before="160"/>
      </w:pPr>
      <w:r>
        <w:rPr/>
        <w:t>日为其办理扣除权益的登记结算手续。</w:t>
      </w:r>
    </w:p>
    <w:p>
      <w:pPr>
        <w:pStyle w:val="BodyText"/>
        <w:spacing w:line="364" w:lineRule="auto"/>
        <w:ind w:right="357" w:firstLine="479"/>
      </w:pPr>
      <w:r>
        <w:rPr>
          <w:spacing w:val="-9"/>
        </w:rPr>
        <w:t>在法律法规允许的范围内，登记结算机构可以对上述登记结算办理时间进行</w:t>
      </w:r>
      <w:r>
        <w:rPr>
          <w:spacing w:val="-11"/>
        </w:rPr>
        <w:t>调整，但不得实质影响投资者的合法权益，基金管理人最迟于开始实施日前依照</w:t>
      </w:r>
    </w:p>
    <w:p>
      <w:pPr>
        <w:pStyle w:val="BodyText"/>
        <w:spacing w:line="364" w:lineRule="auto" w:before="1"/>
        <w:ind w:left="600" w:right="3383" w:hanging="480"/>
      </w:pPr>
      <w:r>
        <w:rPr/>
        <w:t>《信息披露办法》的有关规定在指定媒介上公告。八、拒绝或暂停申购的情形</w:t>
      </w:r>
    </w:p>
    <w:p>
      <w:pPr>
        <w:pStyle w:val="BodyText"/>
        <w:spacing w:before="2"/>
        <w:ind w:left="600"/>
      </w:pPr>
      <w:r>
        <w:rPr/>
        <w:t>发生下列情况时，基金管理人可拒绝或暂停接受投资人的申购申请：</w:t>
      </w:r>
    </w:p>
    <w:p>
      <w:pPr>
        <w:pStyle w:val="BodyText"/>
        <w:spacing w:before="160"/>
        <w:ind w:left="600"/>
      </w:pPr>
      <w:r>
        <w:rPr>
          <w:rFonts w:ascii="Times New Roman" w:eastAsia="Times New Roman"/>
        </w:rPr>
        <w:t>1</w:t>
      </w:r>
      <w:r>
        <w:rPr/>
        <w:t>、因不可抗力导致基金无法正常运作。</w:t>
      </w:r>
    </w:p>
    <w:p>
      <w:pPr>
        <w:pStyle w:val="BodyText"/>
        <w:ind w:left="600"/>
      </w:pPr>
      <w:r>
        <w:rPr>
          <w:rFonts w:ascii="Times New Roman" w:eastAsia="Times New Roman"/>
        </w:rPr>
        <w:t>2</w:t>
      </w:r>
      <w:r>
        <w:rPr/>
        <w:t>、发生基金合同规定的暂停基金资产估值情况。</w:t>
      </w:r>
    </w:p>
    <w:p>
      <w:pPr>
        <w:pStyle w:val="BodyText"/>
        <w:spacing w:line="364" w:lineRule="auto" w:before="160"/>
        <w:ind w:right="363" w:firstLine="479"/>
      </w:pPr>
      <w:r>
        <w:rPr>
          <w:rFonts w:ascii="Times New Roman" w:eastAsia="Times New Roman"/>
        </w:rPr>
        <w:t>3</w:t>
      </w:r>
      <w:r>
        <w:rPr/>
        <w:t>、证券交易所交易时间临时停市，导致基金管理人无法计算当日基金资产净值。</w:t>
      </w:r>
    </w:p>
    <w:p>
      <w:pPr>
        <w:pStyle w:val="BodyText"/>
        <w:spacing w:line="364" w:lineRule="auto" w:before="1"/>
        <w:ind w:right="364" w:firstLine="479"/>
      </w:pPr>
      <w:r>
        <w:rPr>
          <w:rFonts w:ascii="Times New Roman" w:eastAsia="Times New Roman"/>
        </w:rPr>
        <w:t>4</w:t>
      </w:r>
      <w:r>
        <w:rPr/>
        <w:t>、本基金资产组合中的重要部分发生暂停交易或其他重大事件，继续接受申购可能会影响或损害其他基金份额持有人利益时。</w:t>
      </w:r>
    </w:p>
    <w:p>
      <w:pPr>
        <w:pStyle w:val="BodyText"/>
        <w:spacing w:line="364" w:lineRule="auto" w:before="2"/>
        <w:ind w:right="364" w:firstLine="479"/>
      </w:pPr>
      <w:r>
        <w:rPr>
          <w:rFonts w:ascii="Times New Roman" w:eastAsia="Times New Roman"/>
        </w:rPr>
        <w:t>5</w:t>
      </w:r>
      <w:r>
        <w:rPr/>
        <w:t>、基金管理人认为接受某笔或某些申购申请可能会影响或损害现有基金份额持有人利益时。</w:t>
      </w:r>
    </w:p>
    <w:p>
      <w:pPr>
        <w:pStyle w:val="BodyText"/>
        <w:spacing w:line="364" w:lineRule="auto" w:before="1"/>
        <w:ind w:right="364" w:firstLine="479"/>
      </w:pPr>
      <w:r>
        <w:rPr>
          <w:rFonts w:ascii="Times New Roman" w:eastAsia="Times New Roman"/>
        </w:rPr>
        <w:t>6</w:t>
      </w:r>
      <w:r>
        <w:rPr/>
        <w:t>、基金管理人、基金托管人、基金销售机构或登记结算机构的异常情况导致基金销售系统、基金登记结算系统或基金会计系统无法正常运行。</w:t>
      </w:r>
    </w:p>
    <w:p>
      <w:pPr>
        <w:pStyle w:val="BodyText"/>
        <w:spacing w:before="1"/>
        <w:ind w:left="600"/>
      </w:pPr>
      <w:r>
        <w:rPr>
          <w:rFonts w:ascii="Times New Roman" w:eastAsia="Times New Roman"/>
        </w:rPr>
        <w:t>7</w:t>
      </w:r>
      <w:r>
        <w:rPr/>
        <w:t>、基金资产规模过大，使基金管理人无法找到合适的投资品种，或其他可</w:t>
      </w:r>
    </w:p>
    <w:p>
      <w:pPr>
        <w:spacing w:after="0"/>
        <w:sectPr>
          <w:pgSz w:w="11910" w:h="16840"/>
          <w:pgMar w:header="0" w:footer="995" w:top="1460" w:bottom="1180" w:left="1680" w:right="1440"/>
        </w:sectPr>
      </w:pPr>
    </w:p>
    <w:p>
      <w:pPr>
        <w:pStyle w:val="BodyText"/>
        <w:spacing w:before="40"/>
      </w:pPr>
      <w:r>
        <w:rPr/>
        <w:t>能对基金业绩产生负面影响，从而损害现有基金份额持有人利益的情形。</w:t>
      </w:r>
    </w:p>
    <w:p>
      <w:pPr>
        <w:pStyle w:val="BodyText"/>
        <w:spacing w:line="364" w:lineRule="auto"/>
        <w:ind w:right="361" w:firstLine="479"/>
        <w:jc w:val="both"/>
      </w:pPr>
      <w:r>
        <w:rPr>
          <w:rFonts w:ascii="Times New Roman" w:eastAsia="Times New Roman"/>
        </w:rPr>
        <w:t>8</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2"/>
        <w:ind w:right="356" w:firstLine="479"/>
        <w:jc w:val="both"/>
      </w:pPr>
      <w:r>
        <w:rPr>
          <w:rFonts w:ascii="Times New Roman" w:eastAsia="Times New Roman"/>
        </w:rPr>
        <w:t>9</w:t>
      </w:r>
      <w:r>
        <w:rPr/>
        <w:t>、当一笔新的申购申请被确认成功，使本基金总规模超过基金管理人规定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规定的当日申购金额或净申购比例上限时；或该投资人累计持有的份额超过单个</w:t>
      </w:r>
      <w:r>
        <w:rPr>
          <w:spacing w:val="-8"/>
        </w:rPr>
        <w:t>投资人累计持有的份额上限时；或该投资人当日申购金额超过单个投资人单日或</w:t>
      </w:r>
      <w:r>
        <w:rPr/>
        <w:t>单笔申购金额上限时。</w:t>
      </w:r>
    </w:p>
    <w:p>
      <w:pPr>
        <w:pStyle w:val="BodyText"/>
        <w:spacing w:line="364" w:lineRule="auto" w:before="3"/>
        <w:ind w:right="358" w:firstLine="479"/>
        <w:jc w:val="both"/>
      </w:pPr>
      <w:r>
        <w:rPr>
          <w:rFonts w:ascii="Times New Roman" w:eastAsia="Times New Roman"/>
        </w:rPr>
        <w:t>10</w:t>
      </w:r>
      <w:r>
        <w:rPr>
          <w:spacing w:val="-16"/>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pPr>
      <w:r>
        <w:rPr>
          <w:rFonts w:ascii="Times New Roman" w:eastAsia="Times New Roman"/>
        </w:rPr>
        <w:t>11</w:t>
      </w:r>
      <w:r>
        <w:rPr/>
        <w:t>、法律法规规定或中国证监会认定的其他情形。</w:t>
      </w:r>
    </w:p>
    <w:p>
      <w:pPr>
        <w:pStyle w:val="BodyText"/>
        <w:spacing w:line="364" w:lineRule="auto"/>
        <w:ind w:right="241" w:firstLine="479"/>
      </w:pPr>
      <w:r>
        <w:rPr>
          <w:spacing w:val="-10"/>
        </w:rPr>
        <w:t>发生上述第 </w:t>
      </w:r>
      <w:r>
        <w:rPr>
          <w:rFonts w:ascii="Times New Roman" w:eastAsia="Times New Roman"/>
        </w:rPr>
        <w:t>1 </w:t>
      </w:r>
      <w:r>
        <w:rPr>
          <w:spacing w:val="-29"/>
        </w:rPr>
        <w:t>至 </w:t>
      </w:r>
      <w:r>
        <w:rPr>
          <w:rFonts w:ascii="Times New Roman" w:eastAsia="Times New Roman"/>
        </w:rPr>
        <w:t>4 </w:t>
      </w:r>
      <w:r>
        <w:rPr>
          <w:spacing w:val="-15"/>
        </w:rPr>
        <w:t>项、第 </w:t>
      </w:r>
      <w:r>
        <w:rPr>
          <w:rFonts w:ascii="Times New Roman" w:eastAsia="Times New Roman"/>
        </w:rPr>
        <w:t>6 </w:t>
      </w:r>
      <w:r>
        <w:rPr>
          <w:spacing w:val="-29"/>
        </w:rPr>
        <w:t>至 </w:t>
      </w:r>
      <w:r>
        <w:rPr>
          <w:rFonts w:ascii="Times New Roman" w:eastAsia="Times New Roman"/>
        </w:rPr>
        <w:t>7 </w:t>
      </w:r>
      <w:r>
        <w:rPr>
          <w:spacing w:val="-15"/>
        </w:rPr>
        <w:t>项、第 </w:t>
      </w:r>
      <w:r>
        <w:rPr>
          <w:rFonts w:ascii="Times New Roman" w:eastAsia="Times New Roman"/>
        </w:rPr>
        <w:t>9 </w:t>
      </w:r>
      <w:r>
        <w:rPr>
          <w:spacing w:val="-29"/>
        </w:rPr>
        <w:t>至 </w:t>
      </w:r>
      <w:r>
        <w:rPr>
          <w:rFonts w:ascii="Times New Roman" w:eastAsia="Times New Roman"/>
          <w:spacing w:val="-4"/>
        </w:rPr>
        <w:t>11 </w:t>
      </w:r>
      <w:r>
        <w:rPr/>
        <w:t>项情形且基金管理人决定拒</w:t>
      </w:r>
      <w:r>
        <w:rPr>
          <w:spacing w:val="-10"/>
        </w:rPr>
        <w:t>绝或暂停申购申请时，基金管理人应当根据有关规定在指定媒介上刊登暂停申购</w:t>
      </w:r>
      <w:r>
        <w:rPr>
          <w:spacing w:val="-11"/>
        </w:rPr>
        <w:t>公告。如果投资人的申购申请被拒绝，被拒绝的申购款项本金将退还给投资人。</w:t>
      </w:r>
      <w:r>
        <w:rPr/>
        <w:t>在暂停申购的情况消除时，基金管理人应及时恢复申购业务的办理。</w:t>
      </w:r>
    </w:p>
    <w:p>
      <w:pPr>
        <w:pStyle w:val="BodyText"/>
        <w:spacing w:before="2"/>
        <w:ind w:left="600"/>
      </w:pPr>
      <w:r>
        <w:rPr/>
        <w:t>九、暂停赎回或延缓支付赎回款项的情形</w:t>
      </w:r>
    </w:p>
    <w:p>
      <w:pPr>
        <w:pStyle w:val="BodyText"/>
        <w:spacing w:line="364" w:lineRule="auto"/>
        <w:ind w:right="357" w:firstLine="479"/>
      </w:pPr>
      <w:r>
        <w:rPr>
          <w:spacing w:val="-11"/>
        </w:rPr>
        <w:t>发生下列情形时，基金管理人可暂停接受投资人的赎回申请或延缓支付赎回</w:t>
      </w:r>
      <w:r>
        <w:rPr/>
        <w:t>款项：</w:t>
      </w:r>
    </w:p>
    <w:p>
      <w:pPr>
        <w:pStyle w:val="BodyText"/>
        <w:spacing w:before="1"/>
        <w:ind w:left="600"/>
      </w:pPr>
      <w:r>
        <w:rPr>
          <w:rFonts w:ascii="Times New Roman" w:eastAsia="Times New Roman"/>
        </w:rPr>
        <w:t>1</w:t>
      </w:r>
      <w:r>
        <w:rPr/>
        <w:t>、因不可抗力导致基金管理人不能支付赎回款项。</w:t>
      </w:r>
    </w:p>
    <w:p>
      <w:pPr>
        <w:pStyle w:val="BodyText"/>
        <w:spacing w:line="364" w:lineRule="auto" w:before="160"/>
        <w:ind w:right="364" w:firstLine="479"/>
      </w:pPr>
      <w:r>
        <w:rPr>
          <w:rFonts w:ascii="Times New Roman" w:eastAsia="Times New Roman"/>
        </w:rPr>
        <w:t>2</w:t>
      </w:r>
      <w:r>
        <w:rPr/>
        <w:t>、发生基金合同规定的暂停基金资产估值情况时，基金管理人可暂停接受投资人的赎回申请或延缓支付赎回款项。</w:t>
      </w:r>
    </w:p>
    <w:p>
      <w:pPr>
        <w:pStyle w:val="BodyText"/>
        <w:spacing w:line="364" w:lineRule="auto" w:before="2"/>
        <w:ind w:right="363" w:firstLine="479"/>
      </w:pPr>
      <w:r>
        <w:rPr>
          <w:rFonts w:ascii="Times New Roman" w:eastAsia="Times New Roman"/>
        </w:rPr>
        <w:t>3</w:t>
      </w:r>
      <w:r>
        <w:rPr/>
        <w:t>、证券交易所交易时间临时停市，导致基金管理人无法计算当日基金资产净值。</w:t>
      </w:r>
    </w:p>
    <w:p>
      <w:pPr>
        <w:pStyle w:val="BodyText"/>
        <w:spacing w:before="1"/>
        <w:ind w:left="600"/>
      </w:pPr>
      <w:r>
        <w:rPr>
          <w:rFonts w:ascii="Times New Roman" w:eastAsia="Times New Roman"/>
        </w:rPr>
        <w:t>4</w:t>
      </w:r>
      <w:r>
        <w:rPr/>
        <w:t>、连续两个或两个以上开放日发生巨额赎回。</w:t>
      </w:r>
    </w:p>
    <w:p>
      <w:pPr>
        <w:pStyle w:val="BodyText"/>
        <w:spacing w:line="364" w:lineRule="auto"/>
        <w:ind w:right="238" w:firstLine="479"/>
        <w:jc w:val="both"/>
      </w:pPr>
      <w:r>
        <w:rPr>
          <w:rFonts w:ascii="Times New Roman" w:eastAsia="Times New Roman"/>
        </w:rPr>
        <w:t>5</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w:t>
      </w:r>
    </w:p>
    <w:p>
      <w:pPr>
        <w:pStyle w:val="BodyText"/>
        <w:spacing w:before="2"/>
        <w:ind w:left="600"/>
      </w:pPr>
      <w:r>
        <w:rPr>
          <w:rFonts w:ascii="Times New Roman" w:eastAsia="Times New Roman"/>
        </w:rPr>
        <w:t>6</w:t>
      </w:r>
      <w:r>
        <w:rPr/>
        <w:t>、法律法规规定或中国证监会认定的其他情形。</w:t>
      </w:r>
    </w:p>
    <w:p>
      <w:pPr>
        <w:spacing w:after="0"/>
        <w:sectPr>
          <w:pgSz w:w="11910" w:h="16840"/>
          <w:pgMar w:header="0" w:footer="995" w:top="1460" w:bottom="1180" w:left="1680" w:right="1440"/>
        </w:sectPr>
      </w:pPr>
    </w:p>
    <w:p>
      <w:pPr>
        <w:pStyle w:val="BodyText"/>
        <w:spacing w:line="364" w:lineRule="auto" w:before="40"/>
        <w:ind w:right="244" w:firstLine="479"/>
      </w:pPr>
      <w:r>
        <w:rPr>
          <w:spacing w:val="4"/>
        </w:rPr>
        <w:t>发生上述情形且基金管理人决定暂停接受基金份额持有人赎回申请或延缓</w:t>
      </w:r>
      <w:r>
        <w:rPr>
          <w:spacing w:val="-1"/>
        </w:rPr>
        <w:t>支付赎回款项时，基金管理人应在当日报中国证监会备案，已确认的赎回申请， </w:t>
      </w:r>
      <w:r>
        <w:rPr>
          <w:spacing w:val="-8"/>
        </w:rPr>
        <w:t>基金管理人应足额支付；如暂时不能足额支付，基金管理人按照发生的情况制定</w:t>
      </w:r>
      <w:r>
        <w:rPr>
          <w:spacing w:val="-13"/>
        </w:rPr>
        <w:t>相应的处理办法在后续开放日予以支付。若出现上述第 </w:t>
      </w:r>
      <w:r>
        <w:rPr>
          <w:rFonts w:ascii="Times New Roman" w:eastAsia="Times New Roman"/>
        </w:rPr>
        <w:t>4 </w:t>
      </w:r>
      <w:r>
        <w:rPr>
          <w:spacing w:val="-7"/>
        </w:rPr>
        <w:t>项所述情形，按基金合</w:t>
      </w:r>
      <w:r>
        <w:rPr>
          <w:spacing w:val="-13"/>
        </w:rPr>
        <w:t>同的相关条款处理。对于未能赎回部分，投资人在提交赎回申请时可以选择延期</w:t>
      </w:r>
      <w:r>
        <w:rPr>
          <w:spacing w:val="-14"/>
        </w:rPr>
        <w:t>赎回或取消赎回，如投资人在提交赎回申请时未作明确选择，投资人未能赎回部</w:t>
      </w:r>
      <w:r>
        <w:rPr>
          <w:spacing w:val="-16"/>
        </w:rPr>
        <w:t>分作自动延期赎回处理。在暂停赎回的情况消除时，基金管理人应及时恢复赎回业务的办理。</w:t>
      </w:r>
    </w:p>
    <w:p>
      <w:pPr>
        <w:pStyle w:val="BodyText"/>
        <w:spacing w:before="6"/>
        <w:ind w:left="600"/>
      </w:pPr>
      <w:r>
        <w:rPr/>
        <w:t>十、巨额赎回的情形及处理方式</w:t>
      </w:r>
    </w:p>
    <w:p>
      <w:pPr>
        <w:pStyle w:val="BodyText"/>
        <w:ind w:left="600"/>
      </w:pPr>
      <w:r>
        <w:rPr>
          <w:rFonts w:ascii="Times New Roman" w:eastAsia="Times New Roman"/>
        </w:rPr>
        <w:t>1</w:t>
      </w:r>
      <w:r>
        <w:rPr/>
        <w:t>、巨额赎回的认定</w:t>
      </w:r>
    </w:p>
    <w:p>
      <w:pPr>
        <w:pStyle w:val="BodyText"/>
        <w:spacing w:line="364" w:lineRule="auto" w:before="160"/>
        <w:ind w:right="236" w:firstLine="479"/>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2"/>
        <w:ind w:left="600"/>
      </w:pPr>
      <w:r>
        <w:rPr>
          <w:rFonts w:ascii="Times New Roman" w:eastAsia="Times New Roman"/>
        </w:rPr>
        <w:t>2</w:t>
      </w:r>
      <w:r>
        <w:rPr/>
        <w:t>、巨额赎回的处理方式</w:t>
      </w:r>
    </w:p>
    <w:p>
      <w:pPr>
        <w:pStyle w:val="BodyText"/>
        <w:spacing w:line="364" w:lineRule="auto"/>
        <w:ind w:right="357" w:firstLine="479"/>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2" w:val="left" w:leader="none"/>
        </w:tabs>
        <w:spacing w:line="364" w:lineRule="auto" w:before="1" w:after="0"/>
        <w:ind w:left="120" w:right="36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1"/>
        </w:numPr>
        <w:tabs>
          <w:tab w:pos="1202" w:val="left" w:leader="none"/>
        </w:tabs>
        <w:spacing w:line="364" w:lineRule="auto" w:before="1" w:after="0"/>
        <w:ind w:left="120" w:right="23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5"/>
          <w:sz w:val="24"/>
        </w:rPr>
        <w:t>将自动转入下一个开放日继续赎回，直到全部赎回为止；选择取消赎回的，当日</w:t>
      </w:r>
      <w:r>
        <w:rPr>
          <w:spacing w:val="-11"/>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直到全部赎回为止。如投资人在提交赎回申请时未作明确选择，投资人未能赎回部分作自动延期赎回处理。</w:t>
      </w:r>
    </w:p>
    <w:p>
      <w:pPr>
        <w:spacing w:after="0" w:line="364" w:lineRule="auto"/>
        <w:jc w:val="left"/>
        <w:rPr>
          <w:sz w:val="24"/>
        </w:rPr>
        <w:sectPr>
          <w:pgSz w:w="11910" w:h="16840"/>
          <w:pgMar w:header="0" w:footer="995" w:top="1460" w:bottom="1180" w:left="1680" w:right="1440"/>
        </w:sectPr>
      </w:pPr>
    </w:p>
    <w:p>
      <w:pPr>
        <w:pStyle w:val="BodyText"/>
        <w:spacing w:line="364" w:lineRule="auto" w:before="40"/>
        <w:ind w:right="350" w:firstLine="479"/>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申请实施延期办理，对该单个基金份额持有人剩余赎回申请与其他账户赎回申请按前述条款处理。</w:t>
      </w:r>
    </w:p>
    <w:p>
      <w:pPr>
        <w:pStyle w:val="ListParagraph"/>
        <w:numPr>
          <w:ilvl w:val="0"/>
          <w:numId w:val="1"/>
        </w:numPr>
        <w:tabs>
          <w:tab w:pos="1202" w:val="left" w:leader="none"/>
        </w:tabs>
        <w:spacing w:line="364" w:lineRule="auto" w:before="3" w:after="0"/>
        <w:ind w:left="120" w:right="356" w:firstLine="479"/>
        <w:jc w:val="both"/>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pacing w:val="-1"/>
          <w:sz w:val="24"/>
        </w:rPr>
        <w:t>发生巨额赎回，如基金管理人认为</w:t>
      </w:r>
      <w:r>
        <w:rPr>
          <w:spacing w:val="-11"/>
          <w:sz w:val="24"/>
        </w:rPr>
        <w:t>有必要，可暂停接受基金的赎回申请；已经确认的赎回申请可以延缓支付赎回款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pPr>
      <w:r>
        <w:rPr>
          <w:rFonts w:ascii="Times New Roman" w:eastAsia="Times New Roman"/>
        </w:rPr>
        <w:t>3</w:t>
      </w:r>
      <w:r>
        <w:rPr/>
        <w:t>、巨额赎回的公告</w:t>
      </w:r>
    </w:p>
    <w:p>
      <w:pPr>
        <w:pStyle w:val="BodyText"/>
        <w:spacing w:line="364" w:lineRule="auto"/>
        <w:ind w:right="358" w:firstLine="479"/>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1"/>
      </w:pPr>
      <w:r>
        <w:rPr/>
        <w:t>法，并在 </w:t>
      </w:r>
      <w:r>
        <w:rPr>
          <w:rFonts w:ascii="Times New Roman" w:eastAsia="Times New Roman"/>
        </w:rPr>
        <w:t>2 </w:t>
      </w:r>
      <w:r>
        <w:rPr/>
        <w:t>日内在指定媒介上刊登公告。</w:t>
      </w:r>
    </w:p>
    <w:p>
      <w:pPr>
        <w:pStyle w:val="BodyText"/>
        <w:spacing w:line="364" w:lineRule="auto"/>
        <w:ind w:right="363" w:firstLine="479"/>
      </w:pPr>
      <w:r>
        <w:rPr>
          <w:rFonts w:ascii="Times New Roman" w:eastAsia="Times New Roman"/>
        </w:rPr>
        <w:t>4</w:t>
      </w:r>
      <w:r>
        <w:rPr/>
        <w:t>、场内赎回按照深圳证券交易所和中国证券登记结算有限责任公司的相关业务规则办理。</w:t>
      </w:r>
    </w:p>
    <w:p>
      <w:pPr>
        <w:pStyle w:val="BodyText"/>
        <w:spacing w:before="1"/>
        <w:ind w:left="600"/>
      </w:pPr>
      <w:r>
        <w:rPr/>
        <w:t>十一、暂停申购或赎回的公告和重新开放申购或赎回的公告</w:t>
      </w:r>
    </w:p>
    <w:p>
      <w:pPr>
        <w:pStyle w:val="BodyText"/>
        <w:spacing w:line="364" w:lineRule="auto"/>
        <w:ind w:right="364" w:firstLine="479"/>
      </w:pPr>
      <w:r>
        <w:rPr>
          <w:rFonts w:ascii="Times New Roman" w:eastAsia="Times New Roman"/>
        </w:rPr>
        <w:t>1</w:t>
      </w:r>
      <w:r>
        <w:rPr/>
        <w:t>、发生上述暂停申购或赎回情况的，基金管理人当日应立即向中国证监会备案，并在规定期限内在指定媒介上刊登暂停办理申购或赎回业务的公告。</w:t>
      </w:r>
    </w:p>
    <w:p>
      <w:pPr>
        <w:pStyle w:val="BodyText"/>
        <w:spacing w:line="364" w:lineRule="auto" w:before="1"/>
        <w:ind w:right="357" w:firstLine="479"/>
        <w:jc w:val="both"/>
      </w:pPr>
      <w:r>
        <w:rPr>
          <w:rFonts w:ascii="Times New Roman" w:eastAsia="Times New Roman"/>
        </w:rPr>
        <w:t>2</w:t>
      </w:r>
      <w:r>
        <w:rPr/>
        <w:t>、基金管理人可以根据暂停申购或赎回的时间，依照《信息披露办法》的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w:t>
      </w:r>
    </w:p>
    <w:p>
      <w:pPr>
        <w:pStyle w:val="BodyText"/>
        <w:spacing w:before="3"/>
        <w:ind w:left="600"/>
      </w:pPr>
      <w:r>
        <w:rPr/>
        <w:t>十二、基金转换</w:t>
      </w:r>
    </w:p>
    <w:p>
      <w:pPr>
        <w:pStyle w:val="BodyText"/>
        <w:spacing w:line="364" w:lineRule="auto" w:before="160"/>
        <w:ind w:right="117" w:firstLine="479"/>
      </w:pPr>
      <w:r>
        <w:rPr>
          <w:spacing w:val="4"/>
        </w:rPr>
        <w:t>基金管理人可以根据相关法律法规以及本基金合同的规定决定开办本基金 </w:t>
      </w:r>
      <w:r>
        <w:rPr>
          <w:spacing w:val="-6"/>
        </w:rPr>
        <w:t>与基金管理人管理的其他基金之间的转换业务，基金转换可以收取一定的转换费， </w:t>
      </w:r>
      <w:r>
        <w:rPr/>
        <w:t>相关规则由基金管理人届时根据相关法律法规及本基金合同的规定制定并公告， 并提前告知基金托管人与相关机构。</w:t>
      </w:r>
    </w:p>
    <w:p>
      <w:pPr>
        <w:pStyle w:val="BodyText"/>
        <w:spacing w:before="3"/>
        <w:ind w:left="600"/>
      </w:pPr>
      <w:r>
        <w:rPr/>
        <w:t>十三、基金的非交易过户</w:t>
      </w:r>
    </w:p>
    <w:p>
      <w:pPr>
        <w:pStyle w:val="BodyText"/>
        <w:spacing w:line="364" w:lineRule="auto"/>
        <w:ind w:right="242" w:firstLine="479"/>
      </w:pPr>
      <w:r>
        <w:rPr>
          <w:spacing w:val="-5"/>
        </w:rPr>
        <w:t>基金的非交易过户是指不采用申购、赎回等基金交易方式，将一定数量的基</w:t>
      </w:r>
      <w:r>
        <w:rPr>
          <w:spacing w:val="-6"/>
        </w:rPr>
        <w:t>金份额按照一定规则从某一投资者基金账户转移到另一投资者基金账户的行为。</w:t>
      </w:r>
    </w:p>
    <w:p>
      <w:pPr>
        <w:pStyle w:val="BodyText"/>
        <w:spacing w:before="1"/>
        <w:ind w:left="600"/>
      </w:pPr>
      <w:r>
        <w:rPr>
          <w:spacing w:val="-8"/>
        </w:rPr>
        <w:t>基金登记结算机构受理继承、捐赠和司法强制执行等情形而产生的非交易过</w:t>
      </w:r>
    </w:p>
    <w:p>
      <w:pPr>
        <w:spacing w:after="0"/>
        <w:sectPr>
          <w:pgSz w:w="11910" w:h="16840"/>
          <w:pgMar w:header="0" w:footer="995" w:top="1460" w:bottom="1180" w:left="1680" w:right="1440"/>
        </w:sectPr>
      </w:pPr>
    </w:p>
    <w:p>
      <w:pPr>
        <w:pStyle w:val="BodyText"/>
        <w:spacing w:line="364" w:lineRule="auto" w:before="40"/>
        <w:ind w:right="360"/>
      </w:pPr>
      <w:r>
        <w:rPr>
          <w:spacing w:val="-7"/>
        </w:rPr>
        <w:t>户以及登记结算机构认可、符合法律法规的其它非交易过户。无论在上述何种情</w:t>
      </w:r>
      <w:r>
        <w:rPr/>
        <w:t>况下，接受划转的主体必须是依法可以持有本基金基金份额的投资人。</w:t>
      </w:r>
    </w:p>
    <w:p>
      <w:pPr>
        <w:pStyle w:val="BodyText"/>
        <w:spacing w:line="364" w:lineRule="auto" w:before="2"/>
        <w:ind w:right="244"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9"/>
        </w:rPr>
        <w:t>金登记结算机构要求提供的相关资料，对于符合条件的非交易过户申请按基金登记结算机构的规定办理，并按基金登记结算机构规定的标准收费。</w:t>
      </w:r>
    </w:p>
    <w:p>
      <w:pPr>
        <w:pStyle w:val="BodyText"/>
        <w:spacing w:before="4"/>
        <w:ind w:left="600"/>
      </w:pPr>
      <w:r>
        <w:rPr/>
        <w:t>十四、基金的转托管</w:t>
      </w:r>
    </w:p>
    <w:p>
      <w:pPr>
        <w:pStyle w:val="BodyText"/>
        <w:ind w:left="600"/>
      </w:pPr>
      <w:r>
        <w:rPr>
          <w:rFonts w:ascii="Times New Roman" w:eastAsia="Times New Roman"/>
        </w:rPr>
        <w:t>1</w:t>
      </w:r>
      <w:r>
        <w:rPr/>
        <w:t>、系统内转托管</w:t>
      </w:r>
    </w:p>
    <w:p>
      <w:pPr>
        <w:pStyle w:val="ListParagraph"/>
        <w:numPr>
          <w:ilvl w:val="0"/>
          <w:numId w:val="2"/>
        </w:numPr>
        <w:tabs>
          <w:tab w:pos="1202" w:val="left" w:leader="none"/>
        </w:tabs>
        <w:spacing w:line="364" w:lineRule="auto" w:before="160" w:after="0"/>
        <w:ind w:left="120" w:right="359" w:firstLine="479"/>
        <w:jc w:val="both"/>
        <w:rPr>
          <w:sz w:val="24"/>
        </w:rPr>
      </w:pPr>
      <w:r>
        <w:rPr>
          <w:sz w:val="24"/>
        </w:rPr>
        <w:t>系统内转托管是指基金份额持有人将其持有的基金份额在注册登记系</w:t>
      </w:r>
      <w:r>
        <w:rPr>
          <w:spacing w:val="-3"/>
          <w:sz w:val="24"/>
        </w:rPr>
        <w:t>统内不同销售机构</w:t>
      </w:r>
      <w:r>
        <w:rPr>
          <w:sz w:val="24"/>
        </w:rPr>
        <w:t>（网点</w:t>
      </w:r>
      <w:r>
        <w:rPr>
          <w:spacing w:val="-24"/>
          <w:sz w:val="24"/>
        </w:rPr>
        <w:t>）</w:t>
      </w:r>
      <w:r>
        <w:rPr>
          <w:spacing w:val="-2"/>
          <w:sz w:val="24"/>
        </w:rPr>
        <w:t>之间或证券登记结算系统内不同会员单位</w:t>
      </w:r>
      <w:r>
        <w:rPr>
          <w:sz w:val="24"/>
        </w:rPr>
        <w:t>（席位</w:t>
      </w:r>
      <w:r>
        <w:rPr>
          <w:spacing w:val="-24"/>
          <w:sz w:val="24"/>
        </w:rPr>
        <w:t>）</w:t>
      </w:r>
      <w:r>
        <w:rPr>
          <w:spacing w:val="-17"/>
          <w:sz w:val="24"/>
        </w:rPr>
        <w:t>之</w:t>
      </w:r>
      <w:r>
        <w:rPr>
          <w:sz w:val="24"/>
        </w:rPr>
        <w:t>间进行转托管的行为。</w:t>
      </w:r>
    </w:p>
    <w:p>
      <w:pPr>
        <w:pStyle w:val="ListParagraph"/>
        <w:numPr>
          <w:ilvl w:val="0"/>
          <w:numId w:val="2"/>
        </w:numPr>
        <w:tabs>
          <w:tab w:pos="1202" w:val="left" w:leader="none"/>
        </w:tabs>
        <w:spacing w:line="364" w:lineRule="auto" w:before="2" w:after="0"/>
        <w:ind w:left="120" w:right="356" w:firstLine="479"/>
        <w:jc w:val="both"/>
        <w:rPr>
          <w:sz w:val="24"/>
        </w:rPr>
      </w:pPr>
      <w:r>
        <w:rPr>
          <w:spacing w:val="-4"/>
          <w:sz w:val="24"/>
        </w:rPr>
        <w:t>份额登记在证券登记结算系统的本基金 </w:t>
      </w:r>
      <w:r>
        <w:rPr>
          <w:rFonts w:ascii="Times New Roman" w:eastAsia="Times New Roman"/>
          <w:sz w:val="24"/>
        </w:rPr>
        <w:t>A</w:t>
      </w:r>
      <w:r>
        <w:rPr>
          <w:rFonts w:ascii="Times New Roman" w:eastAsia="Times New Roman"/>
          <w:spacing w:val="-2"/>
          <w:sz w:val="24"/>
        </w:rPr>
        <w:t> </w:t>
      </w:r>
      <w:r>
        <w:rPr>
          <w:sz w:val="24"/>
        </w:rPr>
        <w:t>类基金份额持有人在变更</w:t>
      </w:r>
      <w:r>
        <w:rPr>
          <w:spacing w:val="-4"/>
          <w:sz w:val="24"/>
        </w:rPr>
        <w:t>办理上市交易的会员单位时，须办理已持有基金份额的系统内转托管。</w:t>
      </w:r>
    </w:p>
    <w:p>
      <w:pPr>
        <w:pStyle w:val="ListParagraph"/>
        <w:numPr>
          <w:ilvl w:val="0"/>
          <w:numId w:val="2"/>
        </w:numPr>
        <w:tabs>
          <w:tab w:pos="1202" w:val="left" w:leader="none"/>
        </w:tabs>
        <w:spacing w:line="240" w:lineRule="auto" w:before="1" w:after="0"/>
        <w:ind w:left="1201" w:right="0" w:hanging="602"/>
        <w:jc w:val="left"/>
        <w:rPr>
          <w:sz w:val="24"/>
        </w:rPr>
      </w:pPr>
      <w:r>
        <w:rPr>
          <w:sz w:val="24"/>
        </w:rPr>
        <w:t>处于募集期内的基金份额不能办理系统内转托管。</w:t>
      </w:r>
    </w:p>
    <w:p>
      <w:pPr>
        <w:pStyle w:val="BodyText"/>
        <w:ind w:left="600"/>
      </w:pPr>
      <w:r>
        <w:rPr/>
        <w:t>具体业务办理应遵守登记结算机构和销售机构的业务规则。</w:t>
      </w:r>
    </w:p>
    <w:p>
      <w:pPr>
        <w:pStyle w:val="BodyText"/>
        <w:ind w:left="600"/>
      </w:pPr>
      <w:r>
        <w:rPr>
          <w:rFonts w:ascii="Times New Roman" w:eastAsia="Times New Roman"/>
        </w:rPr>
        <w:t>2</w:t>
      </w:r>
      <w:r>
        <w:rPr/>
        <w:t>、跨系统转托管</w:t>
      </w:r>
    </w:p>
    <w:p>
      <w:pPr>
        <w:pStyle w:val="BodyText"/>
        <w:spacing w:line="364" w:lineRule="auto" w:before="160"/>
        <w:ind w:right="350" w:firstLine="479"/>
      </w:pPr>
      <w:r>
        <w:rPr/>
        <w:t>跨系统转托管是指持有人将其持有的基金份额在注册登记系统和证券登记结算系统之间进行转托管的行为。</w:t>
      </w:r>
    </w:p>
    <w:p>
      <w:pPr>
        <w:pStyle w:val="BodyText"/>
        <w:spacing w:line="364" w:lineRule="auto" w:before="1"/>
        <w:ind w:right="357" w:firstLine="479"/>
        <w:jc w:val="both"/>
      </w:pPr>
      <w:r>
        <w:rPr>
          <w:spacing w:val="-1"/>
        </w:rPr>
        <w:t>跨系统转托管仅适用于本基金 </w:t>
      </w:r>
      <w:r>
        <w:rPr>
          <w:rFonts w:ascii="Times New Roman" w:eastAsia="Times New Roman"/>
        </w:rPr>
        <w:t>A </w:t>
      </w:r>
      <w:r>
        <w:rPr>
          <w:spacing w:val="-1"/>
        </w:rPr>
        <w:t>类基金份额，其具体业务按照中国证券登</w:t>
      </w:r>
      <w:r>
        <w:rPr>
          <w:spacing w:val="-7"/>
        </w:rPr>
        <w:t>记结算有限责任公司的相关规定办理。处于募集期内的基金份额不能办理跨系统</w:t>
      </w:r>
      <w:r>
        <w:rPr/>
        <w:t>转托管。</w:t>
      </w:r>
    </w:p>
    <w:p>
      <w:pPr>
        <w:pStyle w:val="BodyText"/>
        <w:spacing w:line="364" w:lineRule="auto" w:before="2"/>
        <w:ind w:right="362" w:firstLine="479"/>
      </w:pPr>
      <w:r>
        <w:rPr>
          <w:rFonts w:ascii="Times New Roman" w:eastAsia="Times New Roman"/>
        </w:rPr>
        <w:t>3</w:t>
      </w:r>
      <w:r>
        <w:rPr/>
        <w:t>、基金销售机构或登记结算机构对办理转托管业务可以按照规定的标准收取转托管费。</w:t>
      </w:r>
    </w:p>
    <w:p>
      <w:pPr>
        <w:pStyle w:val="BodyText"/>
        <w:spacing w:before="2"/>
        <w:ind w:left="600"/>
      </w:pPr>
      <w:r>
        <w:rPr/>
        <w:t>十五、定期定额投资计划</w:t>
      </w:r>
    </w:p>
    <w:p>
      <w:pPr>
        <w:pStyle w:val="BodyText"/>
        <w:spacing w:line="364" w:lineRule="auto" w:before="160"/>
        <w:ind w:right="357" w:firstLine="479"/>
      </w:pPr>
      <w:r>
        <w:rPr>
          <w:spacing w:val="-6"/>
        </w:rPr>
        <w:t>基金管理人可以为投资人办理定期定额投资计划，具体规则由基金管理人另</w:t>
      </w:r>
      <w:r>
        <w:rPr/>
        <w:t>行规定。</w:t>
      </w:r>
    </w:p>
    <w:p>
      <w:pPr>
        <w:pStyle w:val="BodyText"/>
        <w:spacing w:before="2"/>
        <w:ind w:left="600"/>
      </w:pPr>
      <w:r>
        <w:rPr/>
        <w:t>十六、基金的冻结和解冻</w:t>
      </w:r>
    </w:p>
    <w:p>
      <w:pPr>
        <w:spacing w:after="0"/>
        <w:sectPr>
          <w:pgSz w:w="11910" w:h="16840"/>
          <w:pgMar w:header="0" w:footer="995" w:top="1460" w:bottom="1180" w:left="1680" w:right="1440"/>
        </w:sectPr>
      </w:pPr>
    </w:p>
    <w:p>
      <w:pPr>
        <w:pStyle w:val="BodyText"/>
        <w:spacing w:line="364" w:lineRule="auto" w:before="40"/>
        <w:ind w:right="243" w:firstLine="479"/>
      </w:pPr>
      <w:r>
        <w:rPr>
          <w:spacing w:val="-1"/>
        </w:rPr>
        <w:t>基金登记结算机构只受理国家有权机关依法要求的基金份额的冻结与解冻， </w:t>
      </w:r>
      <w:r>
        <w:rPr>
          <w:spacing w:val="-7"/>
        </w:rPr>
        <w:t>以及登记结算机构认可、符合法律法规的其他情况下的冻结与解冻。基金份额被</w:t>
      </w:r>
      <w:r>
        <w:rPr>
          <w:spacing w:val="-11"/>
        </w:rPr>
        <w:t>冻结的，被冻结部分产生的权益按照法律法规、监管规章以及国家有权机关的要求，以及登记结算机构业务规定来决定是否冻结。</w:t>
      </w:r>
    </w:p>
    <w:p>
      <w:pPr>
        <w:spacing w:after="0" w:line="364" w:lineRule="auto"/>
        <w:sectPr>
          <w:pgSz w:w="11910" w:h="16840"/>
          <w:pgMar w:header="0" w:footer="995" w:top="1460" w:bottom="1180" w:left="1680" w:right="1440"/>
        </w:sectPr>
      </w:pPr>
    </w:p>
    <w:p>
      <w:pPr>
        <w:pStyle w:val="Heading1"/>
        <w:tabs>
          <w:tab w:pos="1505" w:val="left" w:leader="none"/>
        </w:tabs>
        <w:ind w:right="238"/>
      </w:pPr>
      <w:bookmarkStart w:name="_bookmark7" w:id="8"/>
      <w:bookmarkEnd w:id="8"/>
      <w:r>
        <w:rPr>
          <w:b w:val="0"/>
        </w:rPr>
      </w:r>
      <w:r>
        <w:rPr/>
        <w:t>第八部分</w:t>
        <w:tab/>
        <w:t>基金合同当事人及权利义务</w:t>
      </w:r>
    </w:p>
    <w:p>
      <w:pPr>
        <w:pStyle w:val="BodyText"/>
        <w:spacing w:before="6"/>
        <w:ind w:left="0"/>
        <w:rPr>
          <w:rFonts w:ascii="微软雅黑"/>
          <w:b/>
          <w:sz w:val="32"/>
        </w:rPr>
      </w:pPr>
    </w:p>
    <w:p>
      <w:pPr>
        <w:pStyle w:val="BodyText"/>
        <w:spacing w:before="0"/>
        <w:ind w:left="600"/>
      </w:pPr>
      <w:r>
        <w:rPr/>
        <w:t>一、基金管理人</w:t>
      </w:r>
    </w:p>
    <w:p>
      <w:pPr>
        <w:pStyle w:val="BodyText"/>
        <w:ind w:left="600"/>
      </w:pPr>
      <w:r>
        <w:rPr/>
        <w:t>（一）基金管理人简况</w:t>
      </w:r>
    </w:p>
    <w:p>
      <w:pPr>
        <w:pStyle w:val="BodyText"/>
        <w:spacing w:before="160"/>
        <w:ind w:left="600"/>
      </w:pPr>
      <w:r>
        <w:rPr/>
        <w:t>名称：易方达基金管理有限公司</w:t>
      </w:r>
    </w:p>
    <w:p>
      <w:pPr>
        <w:pStyle w:val="BodyText"/>
        <w:spacing w:line="364" w:lineRule="auto"/>
        <w:ind w:left="600" w:right="783"/>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6"/>
        </w:rPr>
        <w:t>） </w:t>
      </w:r>
      <w:r>
        <w:rPr/>
        <w:t>法定代表人：刘晓艳</w:t>
      </w:r>
    </w:p>
    <w:p>
      <w:pPr>
        <w:pStyle w:val="BodyText"/>
        <w:spacing w:before="1"/>
        <w:ind w:left="60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ind w:left="600"/>
      </w:pPr>
      <w:r>
        <w:rPr/>
        <w:t>批准设立机关及批准设立文号：中国证监会，证监基金字［</w:t>
      </w:r>
      <w:r>
        <w:rPr>
          <w:rFonts w:ascii="Times New Roman" w:eastAsia="Times New Roman"/>
        </w:rPr>
        <w:t>2001</w:t>
      </w:r>
      <w:r>
        <w:rPr/>
        <w:t>］</w:t>
      </w:r>
      <w:r>
        <w:rPr>
          <w:rFonts w:ascii="Times New Roman" w:eastAsia="Times New Roman"/>
        </w:rPr>
        <w:t>4 </w:t>
      </w:r>
      <w:r>
        <w:rPr/>
        <w:t>号</w:t>
      </w:r>
    </w:p>
    <w:p>
      <w:pPr>
        <w:pStyle w:val="BodyText"/>
        <w:spacing w:line="364" w:lineRule="auto"/>
        <w:ind w:left="600" w:right="361"/>
      </w:pPr>
      <w:r>
        <w:rPr>
          <w:spacing w:val="-11"/>
        </w:rPr>
        <w:t>经营范围：基金募集、基金销售；资产管理；经中国证监会批准的其他业务</w:t>
      </w:r>
      <w:r>
        <w:rPr/>
        <w:t>组织形式：有限责任公司</w:t>
      </w:r>
    </w:p>
    <w:p>
      <w:pPr>
        <w:pStyle w:val="BodyText"/>
        <w:spacing w:line="364" w:lineRule="auto" w:before="1"/>
        <w:ind w:left="600" w:right="4824"/>
      </w:pPr>
      <w:r>
        <w:rPr/>
        <w:t>注册资本：壹亿贰仟万元人民币存续期限：持续经营</w:t>
      </w:r>
    </w:p>
    <w:p>
      <w:pPr>
        <w:pStyle w:val="BodyText"/>
        <w:spacing w:before="1"/>
        <w:ind w:left="600"/>
      </w:pPr>
      <w:r>
        <w:rPr/>
        <w:t>（二）基金管理人的权利与义务</w:t>
      </w:r>
    </w:p>
    <w:p>
      <w:pPr>
        <w:pStyle w:val="BodyText"/>
        <w:spacing w:line="364" w:lineRule="auto"/>
        <w:ind w:right="36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3"/>
        </w:numPr>
        <w:tabs>
          <w:tab w:pos="1202" w:val="left" w:leader="none"/>
        </w:tabs>
        <w:spacing w:line="240" w:lineRule="auto" w:before="1" w:after="0"/>
        <w:ind w:left="1201" w:right="0" w:hanging="602"/>
        <w:jc w:val="left"/>
        <w:rPr>
          <w:sz w:val="24"/>
        </w:rPr>
      </w:pPr>
      <w:r>
        <w:rPr>
          <w:sz w:val="24"/>
        </w:rPr>
        <w:t>依法募集基金；</w:t>
      </w:r>
    </w:p>
    <w:p>
      <w:pPr>
        <w:pStyle w:val="ListParagraph"/>
        <w:numPr>
          <w:ilvl w:val="0"/>
          <w:numId w:val="3"/>
        </w:numPr>
        <w:tabs>
          <w:tab w:pos="1202" w:val="left" w:leader="none"/>
        </w:tabs>
        <w:spacing w:line="364" w:lineRule="auto" w:before="161" w:after="0"/>
        <w:ind w:left="120" w:right="364" w:firstLine="479"/>
        <w:jc w:val="left"/>
        <w:rPr>
          <w:sz w:val="24"/>
        </w:rPr>
      </w:pPr>
      <w:r>
        <w:rPr>
          <w:spacing w:val="-1"/>
          <w:sz w:val="24"/>
        </w:rPr>
        <w:t>自《基金合同》生效日起，根据法律法规和《基金合同》独立运用并</w:t>
      </w:r>
      <w:r>
        <w:rPr>
          <w:sz w:val="24"/>
        </w:rPr>
        <w:t>管理基金财产；</w:t>
      </w:r>
    </w:p>
    <w:p>
      <w:pPr>
        <w:pStyle w:val="ListParagraph"/>
        <w:numPr>
          <w:ilvl w:val="0"/>
          <w:numId w:val="3"/>
        </w:numPr>
        <w:tabs>
          <w:tab w:pos="1202" w:val="left" w:leader="none"/>
        </w:tabs>
        <w:spacing w:line="364" w:lineRule="auto" w:before="1" w:after="0"/>
        <w:ind w:left="120" w:right="36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3"/>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3"/>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3"/>
        </w:numPr>
        <w:tabs>
          <w:tab w:pos="1202" w:val="left" w:leader="none"/>
        </w:tabs>
        <w:spacing w:line="364" w:lineRule="auto" w:before="160" w:after="0"/>
        <w:ind w:left="120" w:right="358" w:firstLine="479"/>
        <w:jc w:val="both"/>
        <w:rPr>
          <w:sz w:val="24"/>
        </w:rPr>
      </w:pPr>
      <w:r>
        <w:rPr>
          <w:sz w:val="24"/>
        </w:rPr>
        <w:t>依据《基金合同》及有关法律规定监督基金托管人，如认为基金托管</w:t>
      </w:r>
      <w:r>
        <w:rPr>
          <w:spacing w:val="-21"/>
          <w:sz w:val="24"/>
        </w:rPr>
        <w:t>人违反了《基金合同》及国家有关法律规定，应呈报中国证监会和其他监管部门， </w:t>
      </w:r>
      <w:r>
        <w:rPr>
          <w:sz w:val="24"/>
        </w:rPr>
        <w:t>并采取必要措施保护基金投资者的利益；</w:t>
      </w:r>
    </w:p>
    <w:p>
      <w:pPr>
        <w:pStyle w:val="ListParagraph"/>
        <w:numPr>
          <w:ilvl w:val="0"/>
          <w:numId w:val="3"/>
        </w:numPr>
        <w:tabs>
          <w:tab w:pos="1202" w:val="left" w:leader="none"/>
        </w:tabs>
        <w:spacing w:line="240" w:lineRule="auto" w:before="3" w:after="0"/>
        <w:ind w:left="1201" w:right="0" w:hanging="602"/>
        <w:jc w:val="left"/>
        <w:rPr>
          <w:sz w:val="24"/>
        </w:rPr>
      </w:pPr>
      <w:r>
        <w:rPr>
          <w:sz w:val="24"/>
        </w:rPr>
        <w:t>在基金托管人更换时，提名新的基金托管人；</w:t>
      </w:r>
    </w:p>
    <w:p>
      <w:pPr>
        <w:pStyle w:val="ListParagraph"/>
        <w:numPr>
          <w:ilvl w:val="0"/>
          <w:numId w:val="3"/>
        </w:numPr>
        <w:tabs>
          <w:tab w:pos="1202" w:val="left" w:leader="none"/>
        </w:tabs>
        <w:spacing w:line="364" w:lineRule="auto" w:before="160" w:after="0"/>
        <w:ind w:left="120" w:right="364" w:firstLine="479"/>
        <w:jc w:val="left"/>
        <w:rPr>
          <w:sz w:val="24"/>
        </w:rPr>
      </w:pPr>
      <w:r>
        <w:rPr>
          <w:spacing w:val="-1"/>
          <w:sz w:val="24"/>
        </w:rPr>
        <w:t>选择、更换基金销售机构，对基金销售机构的相关行为进行监督和处</w:t>
      </w:r>
      <w:r>
        <w:rPr>
          <w:sz w:val="24"/>
        </w:rPr>
        <w:t>理；</w:t>
      </w:r>
    </w:p>
    <w:p>
      <w:pPr>
        <w:spacing w:after="0" w:line="364" w:lineRule="auto"/>
        <w:jc w:val="left"/>
        <w:rPr>
          <w:sz w:val="24"/>
        </w:rPr>
        <w:sectPr>
          <w:pgSz w:w="11910" w:h="16840"/>
          <w:pgMar w:header="0" w:footer="995" w:top="1500" w:bottom="1180" w:left="1680" w:right="1440"/>
        </w:sectPr>
      </w:pPr>
    </w:p>
    <w:p>
      <w:pPr>
        <w:pStyle w:val="ListParagraph"/>
        <w:numPr>
          <w:ilvl w:val="0"/>
          <w:numId w:val="3"/>
        </w:numPr>
        <w:tabs>
          <w:tab w:pos="1202" w:val="left" w:leader="none"/>
        </w:tabs>
        <w:spacing w:line="364" w:lineRule="auto" w:before="60" w:after="0"/>
        <w:ind w:left="120" w:right="361" w:firstLine="479"/>
        <w:jc w:val="left"/>
        <w:rPr>
          <w:sz w:val="24"/>
        </w:rPr>
      </w:pPr>
      <w:r>
        <w:rPr>
          <w:spacing w:val="-1"/>
          <w:sz w:val="24"/>
        </w:rPr>
        <w:t>担任或委托其他符合条件的机构担任基金登记结算机构办理基金登记</w:t>
      </w:r>
      <w:r>
        <w:rPr>
          <w:sz w:val="24"/>
        </w:rPr>
        <w:t>结算业务并获得《基金合同》规定的费用；</w:t>
      </w:r>
    </w:p>
    <w:p>
      <w:pPr>
        <w:pStyle w:val="ListParagraph"/>
        <w:numPr>
          <w:ilvl w:val="0"/>
          <w:numId w:val="3"/>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3"/>
        </w:numPr>
        <w:tabs>
          <w:tab w:pos="1312" w:val="left" w:leader="none"/>
        </w:tabs>
        <w:spacing w:line="240" w:lineRule="auto" w:before="161" w:after="0"/>
        <w:ind w:left="1311" w:right="0" w:hanging="712"/>
        <w:jc w:val="left"/>
        <w:rPr>
          <w:sz w:val="24"/>
        </w:rPr>
      </w:pPr>
      <w:r>
        <w:rPr>
          <w:sz w:val="24"/>
        </w:rPr>
        <w:t>在《基金合同》约定的范围内，拒绝或暂停受理申购与赎回申请；</w:t>
      </w:r>
    </w:p>
    <w:p>
      <w:pPr>
        <w:pStyle w:val="ListParagraph"/>
        <w:numPr>
          <w:ilvl w:val="0"/>
          <w:numId w:val="3"/>
        </w:numPr>
        <w:tabs>
          <w:tab w:pos="1322" w:val="left" w:leader="none"/>
        </w:tabs>
        <w:spacing w:line="364" w:lineRule="auto" w:before="160" w:after="0"/>
        <w:ind w:left="120" w:right="36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3"/>
        </w:numPr>
        <w:tabs>
          <w:tab w:pos="1322" w:val="left" w:leader="none"/>
        </w:tabs>
        <w:spacing w:line="240" w:lineRule="auto" w:before="1" w:after="0"/>
        <w:ind w:left="1321" w:right="0" w:hanging="722"/>
        <w:jc w:val="left"/>
        <w:rPr>
          <w:sz w:val="24"/>
        </w:rPr>
      </w:pPr>
      <w:r>
        <w:rPr>
          <w:sz w:val="24"/>
        </w:rPr>
        <w:t>在法律法规允许的前提下，为基金的利益依法为基金进行融资融券；</w:t>
      </w:r>
    </w:p>
    <w:p>
      <w:pPr>
        <w:pStyle w:val="ListParagraph"/>
        <w:numPr>
          <w:ilvl w:val="0"/>
          <w:numId w:val="3"/>
        </w:numPr>
        <w:tabs>
          <w:tab w:pos="1322" w:val="left" w:leader="none"/>
        </w:tabs>
        <w:spacing w:line="364" w:lineRule="auto" w:before="161" w:after="0"/>
        <w:ind w:left="120" w:right="36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3"/>
        </w:numPr>
        <w:tabs>
          <w:tab w:pos="1322" w:val="left" w:leader="none"/>
        </w:tabs>
        <w:spacing w:line="364" w:lineRule="auto" w:before="2" w:after="0"/>
        <w:ind w:left="120" w:right="36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3"/>
        </w:numPr>
        <w:tabs>
          <w:tab w:pos="1322" w:val="left" w:leader="none"/>
        </w:tabs>
        <w:spacing w:line="364" w:lineRule="auto" w:before="1" w:after="0"/>
        <w:ind w:left="120" w:right="244"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3"/>
        </w:numPr>
        <w:tabs>
          <w:tab w:pos="1322" w:val="left" w:leader="none"/>
        </w:tabs>
        <w:spacing w:line="240" w:lineRule="auto" w:before="1" w:after="0"/>
        <w:ind w:left="1321" w:right="0" w:hanging="722"/>
        <w:jc w:val="left"/>
        <w:rPr>
          <w:sz w:val="24"/>
        </w:rPr>
      </w:pPr>
      <w:r>
        <w:rPr>
          <w:sz w:val="24"/>
        </w:rPr>
        <w:t>法律法规和《基金合同》规定的其他权利。</w:t>
      </w:r>
    </w:p>
    <w:p>
      <w:pPr>
        <w:pStyle w:val="BodyText"/>
        <w:spacing w:line="364" w:lineRule="auto"/>
        <w:ind w:right="36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4"/>
        </w:numPr>
        <w:tabs>
          <w:tab w:pos="1202" w:val="left" w:leader="none"/>
        </w:tabs>
        <w:spacing w:line="364" w:lineRule="auto" w:before="1" w:after="0"/>
        <w:ind w:left="120" w:right="364" w:firstLine="479"/>
        <w:jc w:val="left"/>
        <w:rPr>
          <w:sz w:val="24"/>
        </w:rPr>
      </w:pPr>
      <w:r>
        <w:rPr>
          <w:spacing w:val="-1"/>
          <w:sz w:val="24"/>
        </w:rPr>
        <w:t>依法募集基金，办理或者委托经中国证监会认定的其他机构代为办理</w:t>
      </w:r>
      <w:r>
        <w:rPr>
          <w:sz w:val="24"/>
        </w:rPr>
        <w:t>基金份额的发售、申购、赎回和登记结算事宜；</w:t>
      </w:r>
    </w:p>
    <w:p>
      <w:pPr>
        <w:pStyle w:val="ListParagraph"/>
        <w:numPr>
          <w:ilvl w:val="0"/>
          <w:numId w:val="4"/>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4"/>
        </w:numPr>
        <w:tabs>
          <w:tab w:pos="1202" w:val="left" w:leader="none"/>
        </w:tabs>
        <w:spacing w:line="364" w:lineRule="auto" w:before="161" w:after="0"/>
        <w:ind w:left="120" w:right="358" w:firstLine="479"/>
        <w:jc w:val="left"/>
        <w:rPr>
          <w:sz w:val="24"/>
        </w:rPr>
      </w:pPr>
      <w:r>
        <w:rPr>
          <w:spacing w:val="-4"/>
          <w:sz w:val="24"/>
        </w:rPr>
        <w:t>自《基金合同》生效日起</w:t>
      </w:r>
      <w:r>
        <w:rPr>
          <w:rFonts w:ascii="Times New Roman" w:eastAsia="Times New Roman"/>
          <w:sz w:val="24"/>
        </w:rPr>
        <w:t>,</w:t>
      </w:r>
      <w:r>
        <w:rPr>
          <w:spacing w:val="-3"/>
          <w:sz w:val="24"/>
        </w:rPr>
        <w:t>以诚实信用、谨慎勤勉的原则管理和运用基</w:t>
      </w:r>
      <w:r>
        <w:rPr>
          <w:sz w:val="24"/>
        </w:rPr>
        <w:t>金财产；</w:t>
      </w:r>
    </w:p>
    <w:p>
      <w:pPr>
        <w:pStyle w:val="ListParagraph"/>
        <w:numPr>
          <w:ilvl w:val="0"/>
          <w:numId w:val="4"/>
        </w:numPr>
        <w:tabs>
          <w:tab w:pos="1202" w:val="left" w:leader="none"/>
        </w:tabs>
        <w:spacing w:line="364" w:lineRule="auto" w:before="1" w:after="0"/>
        <w:ind w:left="120" w:right="36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4"/>
        </w:numPr>
        <w:tabs>
          <w:tab w:pos="1202" w:val="left" w:leader="none"/>
        </w:tabs>
        <w:spacing w:line="364" w:lineRule="auto" w:before="1" w:after="0"/>
        <w:ind w:left="120" w:right="355"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4"/>
        </w:numPr>
        <w:tabs>
          <w:tab w:pos="1202" w:val="left" w:leader="none"/>
        </w:tabs>
        <w:spacing w:line="364" w:lineRule="auto" w:before="3" w:after="0"/>
        <w:ind w:left="120" w:right="35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4"/>
        </w:numPr>
        <w:tabs>
          <w:tab w:pos="1202" w:val="left" w:leader="none"/>
        </w:tabs>
        <w:spacing w:line="240" w:lineRule="auto" w:before="1" w:after="0"/>
        <w:ind w:left="1201" w:right="0" w:hanging="602"/>
        <w:jc w:val="left"/>
        <w:rPr>
          <w:sz w:val="24"/>
        </w:rPr>
      </w:pPr>
      <w:r>
        <w:rPr>
          <w:sz w:val="24"/>
        </w:rPr>
        <w:t>依法接受基金托管人的监督；</w:t>
      </w:r>
    </w:p>
    <w:p>
      <w:pPr>
        <w:spacing w:after="0" w:line="240" w:lineRule="auto"/>
        <w:jc w:val="left"/>
        <w:rPr>
          <w:sz w:val="24"/>
        </w:rPr>
        <w:sectPr>
          <w:pgSz w:w="11910" w:h="16840"/>
          <w:pgMar w:header="0" w:footer="995" w:top="1440" w:bottom="1180" w:left="1680" w:right="1440"/>
        </w:sectPr>
      </w:pPr>
    </w:p>
    <w:p>
      <w:pPr>
        <w:pStyle w:val="ListParagraph"/>
        <w:numPr>
          <w:ilvl w:val="0"/>
          <w:numId w:val="4"/>
        </w:numPr>
        <w:tabs>
          <w:tab w:pos="1202" w:val="left" w:leader="none"/>
        </w:tabs>
        <w:spacing w:line="364" w:lineRule="auto" w:before="60" w:after="0"/>
        <w:ind w:left="120" w:right="356" w:firstLine="479"/>
        <w:jc w:val="both"/>
        <w:rPr>
          <w:sz w:val="24"/>
        </w:rPr>
      </w:pPr>
      <w:r>
        <w:rPr>
          <w:sz w:val="24"/>
        </w:rPr>
        <w:t>采取适当合理的措施使计算基金份额认购、申购、赎回和注销价格的</w:t>
      </w:r>
      <w:r>
        <w:rPr>
          <w:spacing w:val="-20"/>
          <w:sz w:val="24"/>
        </w:rPr>
        <w:t>方法符合《基金合同》等法律文件的规定，按有关规定计算并公告基金净值信息， </w:t>
      </w:r>
      <w:r>
        <w:rPr>
          <w:sz w:val="24"/>
        </w:rPr>
        <w:t>确定基金份额申购、赎回的价格；</w:t>
      </w:r>
    </w:p>
    <w:p>
      <w:pPr>
        <w:pStyle w:val="ListParagraph"/>
        <w:numPr>
          <w:ilvl w:val="0"/>
          <w:numId w:val="4"/>
        </w:numPr>
        <w:tabs>
          <w:tab w:pos="1202" w:val="left" w:leader="none"/>
        </w:tabs>
        <w:spacing w:line="240" w:lineRule="auto" w:before="3" w:after="0"/>
        <w:ind w:left="1201" w:right="0" w:hanging="602"/>
        <w:jc w:val="left"/>
        <w:rPr>
          <w:sz w:val="24"/>
        </w:rPr>
      </w:pPr>
      <w:r>
        <w:rPr>
          <w:sz w:val="24"/>
        </w:rPr>
        <w:t>进行基金会计核算并编制基金财务会计报告；</w:t>
      </w:r>
    </w:p>
    <w:p>
      <w:pPr>
        <w:pStyle w:val="ListParagraph"/>
        <w:numPr>
          <w:ilvl w:val="0"/>
          <w:numId w:val="4"/>
        </w:numPr>
        <w:tabs>
          <w:tab w:pos="1322" w:val="left" w:leader="none"/>
        </w:tabs>
        <w:spacing w:line="240" w:lineRule="auto" w:before="160" w:after="0"/>
        <w:ind w:left="1321" w:right="0" w:hanging="722"/>
        <w:jc w:val="left"/>
        <w:rPr>
          <w:sz w:val="24"/>
        </w:rPr>
      </w:pPr>
      <w:r>
        <w:rPr>
          <w:sz w:val="24"/>
        </w:rPr>
        <w:t>编制季度报告、中期报告和年度报告；</w:t>
      </w:r>
    </w:p>
    <w:p>
      <w:pPr>
        <w:pStyle w:val="ListParagraph"/>
        <w:numPr>
          <w:ilvl w:val="0"/>
          <w:numId w:val="4"/>
        </w:numPr>
        <w:tabs>
          <w:tab w:pos="1312" w:val="left" w:leader="none"/>
        </w:tabs>
        <w:spacing w:line="364" w:lineRule="auto" w:before="161" w:after="0"/>
        <w:ind w:left="120" w:right="356"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4"/>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357"/>
      </w:pPr>
      <w:r>
        <w:rPr>
          <w:spacing w:val="-10"/>
        </w:rPr>
        <w:t>《基金合同》及其他有关规定另有规定外，在基金信息公开披露前应予保密，不</w:t>
      </w:r>
      <w:r>
        <w:rPr/>
        <w:t>向他人泄露；</w:t>
      </w:r>
    </w:p>
    <w:p>
      <w:pPr>
        <w:pStyle w:val="ListParagraph"/>
        <w:numPr>
          <w:ilvl w:val="0"/>
          <w:numId w:val="4"/>
        </w:numPr>
        <w:tabs>
          <w:tab w:pos="1322" w:val="left" w:leader="none"/>
        </w:tabs>
        <w:spacing w:line="364" w:lineRule="auto" w:before="2" w:after="0"/>
        <w:ind w:left="120" w:right="35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4"/>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4"/>
        </w:numPr>
        <w:tabs>
          <w:tab w:pos="1322" w:val="left" w:leader="none"/>
        </w:tabs>
        <w:spacing w:line="364" w:lineRule="auto" w:before="161" w:after="0"/>
        <w:ind w:left="120" w:right="36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4"/>
        </w:numPr>
        <w:tabs>
          <w:tab w:pos="1322" w:val="left" w:leader="none"/>
        </w:tabs>
        <w:spacing w:line="364" w:lineRule="auto" w:before="1" w:after="0"/>
        <w:ind w:left="120" w:right="356"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4"/>
        </w:numPr>
        <w:tabs>
          <w:tab w:pos="1322" w:val="left" w:leader="none"/>
        </w:tabs>
        <w:spacing w:line="364" w:lineRule="auto" w:before="2" w:after="0"/>
        <w:ind w:left="120" w:right="35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4"/>
        </w:numPr>
        <w:tabs>
          <w:tab w:pos="1322" w:val="left" w:leader="none"/>
        </w:tabs>
        <w:spacing w:line="364" w:lineRule="auto" w:before="1" w:after="0"/>
        <w:ind w:left="120" w:right="242"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4"/>
        </w:numPr>
        <w:tabs>
          <w:tab w:pos="1322" w:val="left" w:leader="none"/>
        </w:tabs>
        <w:spacing w:line="364" w:lineRule="auto" w:before="2" w:after="0"/>
        <w:ind w:left="120" w:right="35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4"/>
        </w:numPr>
        <w:tabs>
          <w:tab w:pos="1322" w:val="left" w:leader="none"/>
        </w:tabs>
        <w:spacing w:line="364" w:lineRule="auto" w:before="1" w:after="0"/>
        <w:ind w:left="120" w:right="35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4"/>
        </w:numPr>
        <w:tabs>
          <w:tab w:pos="1322" w:val="left" w:leader="none"/>
        </w:tabs>
        <w:spacing w:line="364" w:lineRule="auto" w:before="2" w:after="0"/>
        <w:ind w:left="120" w:right="35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spacing w:after="0" w:line="364" w:lineRule="auto"/>
        <w:jc w:val="both"/>
        <w:rPr>
          <w:sz w:val="24"/>
        </w:rPr>
        <w:sectPr>
          <w:pgSz w:w="11910" w:h="16840"/>
          <w:pgMar w:header="0" w:footer="995" w:top="1440" w:bottom="1180" w:left="1680" w:right="1440"/>
        </w:sectPr>
      </w:pPr>
    </w:p>
    <w:p>
      <w:pPr>
        <w:pStyle w:val="ListParagraph"/>
        <w:numPr>
          <w:ilvl w:val="0"/>
          <w:numId w:val="4"/>
        </w:numPr>
        <w:tabs>
          <w:tab w:pos="1322" w:val="left" w:leader="none"/>
        </w:tabs>
        <w:spacing w:line="364" w:lineRule="auto" w:before="60" w:after="0"/>
        <w:ind w:left="120" w:right="36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4"/>
        </w:numPr>
        <w:tabs>
          <w:tab w:pos="1322" w:val="left" w:leader="none"/>
        </w:tabs>
        <w:spacing w:line="364" w:lineRule="auto" w:before="2" w:after="0"/>
        <w:ind w:left="120" w:right="36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4"/>
        </w:numPr>
        <w:tabs>
          <w:tab w:pos="1322" w:val="left" w:leader="none"/>
        </w:tabs>
        <w:spacing w:line="364" w:lineRule="auto" w:before="1" w:after="0"/>
        <w:ind w:left="120" w:right="35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4"/>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4"/>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4"/>
        </w:numPr>
        <w:tabs>
          <w:tab w:pos="1322" w:val="left" w:leader="none"/>
        </w:tabs>
        <w:spacing w:line="364" w:lineRule="auto" w:before="161" w:after="0"/>
        <w:ind w:left="600" w:right="745" w:firstLine="0"/>
        <w:jc w:val="left"/>
        <w:rPr>
          <w:sz w:val="24"/>
        </w:rPr>
      </w:pPr>
      <w:r>
        <w:rPr>
          <w:spacing w:val="-1"/>
          <w:sz w:val="24"/>
        </w:rPr>
        <w:t>法律法规及中国证监会规定的和《基金合同》约定的其他义务。</w:t>
      </w:r>
      <w:r>
        <w:rPr>
          <w:sz w:val="24"/>
        </w:rPr>
        <w:t>二、基金托管人</w:t>
      </w:r>
    </w:p>
    <w:p>
      <w:pPr>
        <w:pStyle w:val="BodyText"/>
        <w:spacing w:before="1"/>
        <w:ind w:left="600"/>
      </w:pPr>
      <w:r>
        <w:rPr/>
        <w:t>（一）基金托管人简况</w:t>
      </w:r>
    </w:p>
    <w:p>
      <w:pPr>
        <w:pStyle w:val="BodyText"/>
        <w:spacing w:before="160"/>
        <w:ind w:left="600"/>
      </w:pPr>
      <w:r>
        <w:rPr/>
        <w:t>名称：中国农业银行股份有限公司</w:t>
      </w:r>
    </w:p>
    <w:p>
      <w:pPr>
        <w:pStyle w:val="BodyText"/>
        <w:spacing w:line="364" w:lineRule="auto"/>
        <w:ind w:left="600" w:right="3916"/>
      </w:pPr>
      <w:r>
        <w:rPr/>
        <w:t>住所：北京市东城区建国门内大街 </w:t>
      </w:r>
      <w:r>
        <w:rPr>
          <w:rFonts w:ascii="Times New Roman" w:eastAsia="Times New Roman"/>
        </w:rPr>
        <w:t>69 </w:t>
      </w:r>
      <w:r>
        <w:rPr/>
        <w:t>号法定代表人：周慕冰</w:t>
      </w:r>
    </w:p>
    <w:p>
      <w:pPr>
        <w:pStyle w:val="BodyText"/>
        <w:spacing w:before="1"/>
        <w:ind w:left="600"/>
      </w:pPr>
      <w:r>
        <w:rPr/>
        <w:t>成立时间：</w:t>
      </w:r>
      <w:r>
        <w:rPr>
          <w:rFonts w:ascii="Times New Roman" w:eastAsia="Times New Roman"/>
        </w:rPr>
        <w:t>2009 </w:t>
      </w:r>
      <w:r>
        <w:rPr/>
        <w:t>年 </w:t>
      </w:r>
      <w:r>
        <w:rPr>
          <w:rFonts w:ascii="Times New Roman" w:eastAsia="Times New Roman"/>
        </w:rPr>
        <w:t>1 </w:t>
      </w:r>
      <w:r>
        <w:rPr/>
        <w:t>月 </w:t>
      </w:r>
      <w:r>
        <w:rPr>
          <w:rFonts w:ascii="Times New Roman" w:eastAsia="Times New Roman"/>
        </w:rPr>
        <w:t>15 </w:t>
      </w:r>
      <w:r>
        <w:rPr/>
        <w:t>日</w:t>
      </w:r>
    </w:p>
    <w:p>
      <w:pPr>
        <w:pStyle w:val="BodyText"/>
        <w:spacing w:line="364" w:lineRule="auto"/>
        <w:ind w:left="600" w:right="2003"/>
      </w:pPr>
      <w:r>
        <w:rPr/>
        <w:t>批准设立机关和批准设立文号：国务院国发（</w:t>
      </w:r>
      <w:r>
        <w:rPr>
          <w:rFonts w:ascii="Times New Roman" w:eastAsia="Times New Roman"/>
        </w:rPr>
        <w:t>1979</w:t>
      </w:r>
      <w:r>
        <w:rPr/>
        <w:t>）</w:t>
      </w:r>
      <w:r>
        <w:rPr>
          <w:rFonts w:ascii="Times New Roman" w:eastAsia="Times New Roman"/>
        </w:rPr>
        <w:t>056 </w:t>
      </w:r>
      <w:r>
        <w:rPr/>
        <w:t>号组织形式：股份有限公司</w:t>
      </w:r>
    </w:p>
    <w:p>
      <w:pPr>
        <w:pStyle w:val="BodyText"/>
        <w:spacing w:line="364" w:lineRule="auto" w:before="1"/>
        <w:ind w:left="600" w:right="4463"/>
      </w:pPr>
      <w:r>
        <w:rPr/>
        <w:t>注册资本：</w:t>
      </w:r>
      <w:r>
        <w:rPr>
          <w:rFonts w:ascii="Times New Roman" w:eastAsia="Times New Roman"/>
        </w:rPr>
        <w:t>34,998,303.4 </w:t>
      </w:r>
      <w:r>
        <w:rPr/>
        <w:t>万元人民币存续期间：持续经营</w:t>
      </w:r>
    </w:p>
    <w:p>
      <w:pPr>
        <w:pStyle w:val="BodyText"/>
        <w:spacing w:before="1"/>
        <w:ind w:left="600"/>
      </w:pPr>
      <w:r>
        <w:rPr/>
        <w:t>基金托管资格批文及文号：中国证监会，证监基字［</w:t>
      </w:r>
      <w:r>
        <w:rPr>
          <w:rFonts w:ascii="Times New Roman" w:eastAsia="Times New Roman"/>
        </w:rPr>
        <w:t>1998</w:t>
      </w:r>
      <w:r>
        <w:rPr/>
        <w:t>］</w:t>
      </w:r>
      <w:r>
        <w:rPr>
          <w:rFonts w:ascii="Times New Roman" w:eastAsia="Times New Roman"/>
        </w:rPr>
        <w:t>23 </w:t>
      </w:r>
      <w:r>
        <w:rPr/>
        <w:t>号</w:t>
      </w:r>
    </w:p>
    <w:p>
      <w:pPr>
        <w:pStyle w:val="BodyText"/>
        <w:ind w:left="600"/>
      </w:pPr>
      <w:r>
        <w:rPr/>
        <w:t>（二）基金托管人的权利与义务</w:t>
      </w:r>
    </w:p>
    <w:p>
      <w:pPr>
        <w:pStyle w:val="BodyText"/>
        <w:spacing w:line="364" w:lineRule="auto" w:before="160"/>
        <w:ind w:right="36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5"/>
        </w:numPr>
        <w:tabs>
          <w:tab w:pos="1202" w:val="left" w:leader="none"/>
        </w:tabs>
        <w:spacing w:line="364" w:lineRule="auto" w:before="2" w:after="0"/>
        <w:ind w:left="120" w:right="364" w:firstLine="479"/>
        <w:jc w:val="left"/>
        <w:rPr>
          <w:sz w:val="24"/>
        </w:rPr>
      </w:pPr>
      <w:r>
        <w:rPr>
          <w:spacing w:val="-1"/>
          <w:sz w:val="24"/>
        </w:rPr>
        <w:t>自《基金合同》生效日起，依法律法规和《基金合同》的规定安全保</w:t>
      </w:r>
      <w:r>
        <w:rPr>
          <w:sz w:val="24"/>
        </w:rPr>
        <w:t>管基金财产；</w:t>
      </w:r>
    </w:p>
    <w:p>
      <w:pPr>
        <w:pStyle w:val="ListParagraph"/>
        <w:numPr>
          <w:ilvl w:val="0"/>
          <w:numId w:val="5"/>
        </w:numPr>
        <w:tabs>
          <w:tab w:pos="1202" w:val="left" w:leader="none"/>
        </w:tabs>
        <w:spacing w:line="364" w:lineRule="auto" w:before="1" w:after="0"/>
        <w:ind w:left="120" w:right="36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5"/>
        </w:numPr>
        <w:tabs>
          <w:tab w:pos="1202" w:val="left" w:leader="none"/>
        </w:tabs>
        <w:spacing w:line="240" w:lineRule="auto" w:before="2" w:after="0"/>
        <w:ind w:left="1201" w:right="0" w:hanging="602"/>
        <w:jc w:val="left"/>
        <w:rPr>
          <w:sz w:val="24"/>
        </w:rPr>
      </w:pPr>
      <w:r>
        <w:rPr>
          <w:sz w:val="24"/>
        </w:rPr>
        <w:t>监督基金管理人对本基金的投资运作，如发现基金管理人有违反《基</w:t>
      </w:r>
    </w:p>
    <w:p>
      <w:pPr>
        <w:spacing w:after="0" w:line="240" w:lineRule="auto"/>
        <w:jc w:val="left"/>
        <w:rPr>
          <w:sz w:val="24"/>
        </w:rPr>
        <w:sectPr>
          <w:pgSz w:w="11910" w:h="16840"/>
          <w:pgMar w:header="0" w:footer="995" w:top="1440" w:bottom="1180" w:left="1680" w:right="1440"/>
        </w:sectPr>
      </w:pPr>
    </w:p>
    <w:p>
      <w:pPr>
        <w:pStyle w:val="BodyText"/>
        <w:spacing w:line="364" w:lineRule="auto" w:before="40"/>
        <w:ind w:right="357"/>
      </w:pPr>
      <w:r>
        <w:rPr>
          <w:spacing w:val="-11"/>
        </w:rPr>
        <w:t>金合同》及国家法律法规行为，对基金财产、其他当事人的利益造成重大损失的</w:t>
      </w:r>
      <w:r>
        <w:rPr/>
        <w:t>情形，应呈报中国证监会，并采取必要措施保护基金投资者的利益；</w:t>
      </w:r>
    </w:p>
    <w:p>
      <w:pPr>
        <w:pStyle w:val="ListParagraph"/>
        <w:numPr>
          <w:ilvl w:val="0"/>
          <w:numId w:val="5"/>
        </w:numPr>
        <w:tabs>
          <w:tab w:pos="1202" w:val="left" w:leader="none"/>
        </w:tabs>
        <w:spacing w:line="364" w:lineRule="auto" w:before="2" w:after="0"/>
        <w:ind w:left="120" w:right="36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5"/>
        </w:numPr>
        <w:tabs>
          <w:tab w:pos="1202" w:val="left" w:leader="none"/>
        </w:tabs>
        <w:spacing w:line="364" w:lineRule="auto" w:before="1" w:after="0"/>
        <w:ind w:left="120" w:right="237" w:firstLine="479"/>
        <w:jc w:val="left"/>
        <w:rPr>
          <w:sz w:val="24"/>
        </w:rPr>
      </w:pPr>
      <w:r>
        <w:rPr>
          <w:sz w:val="24"/>
        </w:rPr>
        <w:t>以基金的名义在中央国债登记结算有限公司开设银行间债券托管账户</w:t>
      </w:r>
      <w:r>
        <w:rPr>
          <w:spacing w:val="-4"/>
          <w:sz w:val="24"/>
        </w:rPr>
        <w:t>，负责基金投资债券的后台匹配及资金的清算；</w:t>
      </w:r>
    </w:p>
    <w:p>
      <w:pPr>
        <w:pStyle w:val="ListParagraph"/>
        <w:numPr>
          <w:ilvl w:val="0"/>
          <w:numId w:val="5"/>
        </w:numPr>
        <w:tabs>
          <w:tab w:pos="1202" w:val="left" w:leader="none"/>
        </w:tabs>
        <w:spacing w:line="240" w:lineRule="auto" w:before="2" w:after="0"/>
        <w:ind w:left="1201" w:right="0" w:hanging="602"/>
        <w:jc w:val="left"/>
        <w:rPr>
          <w:sz w:val="24"/>
        </w:rPr>
      </w:pPr>
      <w:r>
        <w:rPr>
          <w:sz w:val="24"/>
        </w:rPr>
        <w:t>提议召开或召集基金份额持有人大会；</w:t>
      </w:r>
    </w:p>
    <w:p>
      <w:pPr>
        <w:pStyle w:val="ListParagraph"/>
        <w:numPr>
          <w:ilvl w:val="0"/>
          <w:numId w:val="5"/>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5"/>
        </w:numPr>
        <w:tabs>
          <w:tab w:pos="1202" w:val="left" w:leader="none"/>
        </w:tabs>
        <w:spacing w:line="240" w:lineRule="auto" w:before="161" w:after="0"/>
        <w:ind w:left="1201" w:right="0" w:hanging="602"/>
        <w:jc w:val="left"/>
        <w:rPr>
          <w:sz w:val="24"/>
        </w:rPr>
      </w:pPr>
      <w:r>
        <w:rPr>
          <w:sz w:val="24"/>
        </w:rPr>
        <w:t>法律法规和《基金合同》规定的其他权利。</w:t>
      </w:r>
    </w:p>
    <w:p>
      <w:pPr>
        <w:pStyle w:val="BodyText"/>
        <w:spacing w:line="364" w:lineRule="auto"/>
        <w:ind w:right="36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6"/>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6"/>
        </w:numPr>
        <w:tabs>
          <w:tab w:pos="1202" w:val="left" w:leader="none"/>
        </w:tabs>
        <w:spacing w:line="364" w:lineRule="auto" w:before="160" w:after="0"/>
        <w:ind w:left="120" w:right="36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6"/>
        </w:numPr>
        <w:tabs>
          <w:tab w:pos="1202" w:val="left" w:leader="none"/>
        </w:tabs>
        <w:spacing w:line="364" w:lineRule="auto" w:before="2" w:after="0"/>
        <w:ind w:left="120" w:right="357" w:firstLine="479"/>
        <w:jc w:val="both"/>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r>
        <w:rPr>
          <w:spacing w:val="-19"/>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6"/>
        </w:numPr>
        <w:tabs>
          <w:tab w:pos="1202" w:val="left" w:leader="none"/>
        </w:tabs>
        <w:spacing w:line="364" w:lineRule="auto" w:before="2" w:after="0"/>
        <w:ind w:left="120" w:right="36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6"/>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6"/>
        </w:numPr>
        <w:tabs>
          <w:tab w:pos="1202" w:val="left" w:leader="none"/>
        </w:tabs>
        <w:spacing w:line="364" w:lineRule="auto" w:before="161" w:after="0"/>
        <w:ind w:left="120" w:right="362" w:firstLine="479"/>
        <w:jc w:val="left"/>
        <w:rPr>
          <w:sz w:val="24"/>
        </w:rPr>
      </w:pPr>
      <w:r>
        <w:rPr>
          <w:spacing w:val="-1"/>
          <w:sz w:val="24"/>
        </w:rPr>
        <w:t>按规定开设基金财产的资金账户和证券账户，按照《基金合同》的约</w:t>
      </w:r>
      <w:r>
        <w:rPr>
          <w:sz w:val="24"/>
        </w:rPr>
        <w:t>定，根据基金管理人的投资指令，及时办理清算、交割事宜；</w:t>
      </w:r>
    </w:p>
    <w:p>
      <w:pPr>
        <w:pStyle w:val="ListParagraph"/>
        <w:numPr>
          <w:ilvl w:val="0"/>
          <w:numId w:val="6"/>
        </w:numPr>
        <w:tabs>
          <w:tab w:pos="1202" w:val="left" w:leader="none"/>
        </w:tabs>
        <w:spacing w:line="364" w:lineRule="auto" w:before="1" w:after="0"/>
        <w:ind w:left="120" w:right="36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6"/>
        </w:numPr>
        <w:tabs>
          <w:tab w:pos="1202" w:val="left" w:leader="none"/>
        </w:tabs>
        <w:spacing w:line="364" w:lineRule="auto" w:before="2" w:after="0"/>
        <w:ind w:left="120" w:right="364"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6"/>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6"/>
        </w:numPr>
        <w:tabs>
          <w:tab w:pos="1322" w:val="left" w:leader="none"/>
        </w:tabs>
        <w:spacing w:line="240" w:lineRule="auto" w:before="161" w:after="0"/>
        <w:ind w:left="1321" w:right="0" w:hanging="722"/>
        <w:jc w:val="left"/>
        <w:rPr>
          <w:sz w:val="24"/>
        </w:rPr>
      </w:pPr>
      <w:r>
        <w:rPr>
          <w:spacing w:val="-6"/>
          <w:sz w:val="24"/>
        </w:rPr>
        <w:t>对基金财务会计报告、季度报告、中期报告和年度报告出具意见，说</w:t>
      </w:r>
    </w:p>
    <w:p>
      <w:pPr>
        <w:spacing w:after="0" w:line="240" w:lineRule="auto"/>
        <w:jc w:val="left"/>
        <w:rPr>
          <w:sz w:val="24"/>
        </w:rPr>
        <w:sectPr>
          <w:pgSz w:w="11910" w:h="16840"/>
          <w:pgMar w:header="0" w:footer="995" w:top="1460" w:bottom="1180" w:left="1680" w:right="1440"/>
        </w:sectPr>
      </w:pPr>
    </w:p>
    <w:p>
      <w:pPr>
        <w:pStyle w:val="BodyText"/>
        <w:spacing w:line="364" w:lineRule="auto" w:before="40"/>
        <w:ind w:right="357"/>
        <w:jc w:val="both"/>
      </w:pPr>
      <w:r>
        <w:rPr>
          <w:spacing w:val="-6"/>
        </w:rPr>
        <w:t>明基金管理人在各重要方面的运作是否严格按照《基金合同》的规定进行；如果</w:t>
      </w:r>
      <w:r>
        <w:rPr>
          <w:spacing w:val="-9"/>
        </w:rPr>
        <w:t>基金管理人有未执行《基金合同》规定的行为，还应当说明基金托管人是否采取</w:t>
      </w:r>
      <w:r>
        <w:rPr/>
        <w:t>了适当的措施；</w:t>
      </w:r>
    </w:p>
    <w:p>
      <w:pPr>
        <w:pStyle w:val="ListParagraph"/>
        <w:numPr>
          <w:ilvl w:val="0"/>
          <w:numId w:val="6"/>
        </w:numPr>
        <w:tabs>
          <w:tab w:pos="1312" w:val="left" w:leader="none"/>
        </w:tabs>
        <w:spacing w:line="364" w:lineRule="auto" w:before="3" w:after="0"/>
        <w:ind w:left="120" w:right="358" w:firstLine="479"/>
        <w:jc w:val="left"/>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6"/>
        </w:numPr>
        <w:tabs>
          <w:tab w:pos="1322" w:val="left" w:leader="none"/>
        </w:tabs>
        <w:spacing w:line="240" w:lineRule="auto" w:before="1" w:after="0"/>
        <w:ind w:left="1321" w:right="0" w:hanging="722"/>
        <w:jc w:val="left"/>
        <w:rPr>
          <w:sz w:val="24"/>
        </w:rPr>
      </w:pPr>
      <w:r>
        <w:rPr>
          <w:sz w:val="24"/>
        </w:rPr>
        <w:t>建立并保存基金份额持有人名册；</w:t>
      </w:r>
    </w:p>
    <w:p>
      <w:pPr>
        <w:pStyle w:val="ListParagraph"/>
        <w:numPr>
          <w:ilvl w:val="0"/>
          <w:numId w:val="6"/>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6"/>
        </w:numPr>
        <w:tabs>
          <w:tab w:pos="1322" w:val="left" w:leader="none"/>
        </w:tabs>
        <w:spacing w:line="364" w:lineRule="auto" w:before="161" w:after="0"/>
        <w:ind w:left="120" w:right="356"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6"/>
        </w:numPr>
        <w:tabs>
          <w:tab w:pos="1322" w:val="left" w:leader="none"/>
        </w:tabs>
        <w:spacing w:line="364" w:lineRule="auto" w:before="2" w:after="0"/>
        <w:ind w:left="120" w:right="361"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6"/>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6"/>
        </w:numPr>
        <w:tabs>
          <w:tab w:pos="1322" w:val="left" w:leader="none"/>
        </w:tabs>
        <w:spacing w:line="364" w:lineRule="auto" w:before="160" w:after="0"/>
        <w:ind w:left="120" w:right="35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6"/>
        </w:numPr>
        <w:tabs>
          <w:tab w:pos="1322" w:val="left" w:leader="none"/>
        </w:tabs>
        <w:spacing w:line="364" w:lineRule="auto" w:before="2" w:after="0"/>
        <w:ind w:left="120" w:right="35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6"/>
        </w:numPr>
        <w:tabs>
          <w:tab w:pos="1322" w:val="left" w:leader="none"/>
        </w:tabs>
        <w:spacing w:line="364" w:lineRule="auto" w:before="1" w:after="0"/>
        <w:ind w:left="120" w:right="36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6"/>
        </w:numPr>
        <w:tabs>
          <w:tab w:pos="1322" w:val="left" w:leader="none"/>
        </w:tabs>
        <w:spacing w:line="364" w:lineRule="auto" w:before="1" w:after="0"/>
        <w:ind w:left="120" w:right="358" w:firstLine="479"/>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6"/>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6"/>
        </w:numPr>
        <w:tabs>
          <w:tab w:pos="1322" w:val="left" w:leader="none"/>
        </w:tabs>
        <w:spacing w:line="364" w:lineRule="auto" w:before="161" w:after="0"/>
        <w:ind w:left="600" w:right="7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1"/>
        <w:ind w:right="237" w:firstLine="479"/>
      </w:pPr>
      <w:r>
        <w:rPr>
          <w:spacing w:val="-11"/>
        </w:rPr>
        <w:t>基金投资者持有本基金基金份额的行为即视为对《基金合同》的承认和接受， </w:t>
      </w:r>
      <w:r>
        <w:rPr>
          <w:spacing w:val="-20"/>
        </w:rPr>
        <w:t>基金投资者自依据《基金合同》取得的基金份额，即成为本基金份额持有人和《基</w:t>
      </w:r>
      <w:r>
        <w:rPr>
          <w:spacing w:val="-22"/>
        </w:rPr>
        <w:t>金合同》的当事人，直至其不再持有本基金的基金份额。基金份额持有人作为《基金合同》当事人并不以在《基金合同》上书面签章或签字为必要条件。</w:t>
      </w:r>
    </w:p>
    <w:p>
      <w:pPr>
        <w:pStyle w:val="BodyText"/>
        <w:spacing w:before="3"/>
        <w:ind w:left="600"/>
      </w:pPr>
      <w:r>
        <w:rPr/>
        <w:t>本基金每份同类基金份额具有同等的合法权益。</w:t>
      </w:r>
    </w:p>
    <w:p>
      <w:pPr>
        <w:spacing w:after="0"/>
        <w:sectPr>
          <w:pgSz w:w="11910" w:h="16840"/>
          <w:pgMar w:header="0" w:footer="995" w:top="1460" w:bottom="1180" w:left="1680" w:right="1440"/>
        </w:sectPr>
      </w:pPr>
    </w:p>
    <w:p>
      <w:pPr>
        <w:pStyle w:val="BodyText"/>
        <w:spacing w:line="364" w:lineRule="auto" w:before="60"/>
        <w:ind w:right="36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7"/>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7"/>
        </w:numPr>
        <w:tabs>
          <w:tab w:pos="1202" w:val="left" w:leader="none"/>
        </w:tabs>
        <w:spacing w:line="240" w:lineRule="auto" w:before="160" w:after="0"/>
        <w:ind w:left="1201" w:right="0" w:hanging="602"/>
        <w:jc w:val="left"/>
        <w:rPr>
          <w:sz w:val="24"/>
        </w:rPr>
      </w:pPr>
      <w:r>
        <w:rPr>
          <w:sz w:val="24"/>
        </w:rPr>
        <w:t>依法申请赎回其持有的基金份额；</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按照规定要求召开基金份额持有人大会；</w:t>
      </w:r>
    </w:p>
    <w:p>
      <w:pPr>
        <w:pStyle w:val="ListParagraph"/>
        <w:numPr>
          <w:ilvl w:val="0"/>
          <w:numId w:val="7"/>
        </w:numPr>
        <w:tabs>
          <w:tab w:pos="1202" w:val="left" w:leader="none"/>
        </w:tabs>
        <w:spacing w:line="364" w:lineRule="auto" w:before="160" w:after="0"/>
        <w:ind w:left="120" w:right="36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7"/>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7"/>
        </w:numPr>
        <w:tabs>
          <w:tab w:pos="1202" w:val="left" w:leader="none"/>
        </w:tabs>
        <w:spacing w:line="364" w:lineRule="auto" w:before="161" w:after="0"/>
        <w:ind w:left="120" w:right="36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7"/>
        </w:numPr>
        <w:tabs>
          <w:tab w:pos="1202" w:val="left" w:leader="none"/>
        </w:tabs>
        <w:spacing w:line="240" w:lineRule="auto" w:before="1" w:after="0"/>
        <w:ind w:left="1201" w:right="0" w:hanging="602"/>
        <w:jc w:val="left"/>
        <w:rPr>
          <w:sz w:val="24"/>
        </w:rPr>
      </w:pPr>
      <w:r>
        <w:rPr>
          <w:sz w:val="24"/>
        </w:rPr>
        <w:t>法律法规和《基金合同》规定的其他权利。</w:t>
      </w:r>
    </w:p>
    <w:p>
      <w:pPr>
        <w:pStyle w:val="BodyText"/>
        <w:spacing w:line="364" w:lineRule="auto"/>
        <w:ind w:right="36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8"/>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了解所投资基金产品，了解自身风险承受能力，自行承担投资风险；</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8"/>
        </w:numPr>
        <w:tabs>
          <w:tab w:pos="1202" w:val="left" w:leader="none"/>
        </w:tabs>
        <w:spacing w:line="364" w:lineRule="auto" w:before="161" w:after="0"/>
        <w:ind w:left="120" w:right="364" w:firstLine="479"/>
        <w:jc w:val="left"/>
        <w:rPr>
          <w:sz w:val="24"/>
        </w:rPr>
      </w:pPr>
      <w:r>
        <w:rPr>
          <w:spacing w:val="-1"/>
          <w:sz w:val="24"/>
        </w:rPr>
        <w:t>缴纳基金认购、申购、赎回款项及法律法规和《基金合同》所规定的</w:t>
      </w:r>
      <w:r>
        <w:rPr>
          <w:sz w:val="24"/>
        </w:rPr>
        <w:t>费用；</w:t>
      </w:r>
    </w:p>
    <w:p>
      <w:pPr>
        <w:pStyle w:val="ListParagraph"/>
        <w:numPr>
          <w:ilvl w:val="0"/>
          <w:numId w:val="8"/>
        </w:numPr>
        <w:tabs>
          <w:tab w:pos="1202" w:val="left" w:leader="none"/>
        </w:tabs>
        <w:spacing w:line="364" w:lineRule="auto" w:before="1" w:after="0"/>
        <w:ind w:left="120" w:right="36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8"/>
        </w:numPr>
        <w:tabs>
          <w:tab w:pos="1202" w:val="left" w:leader="none"/>
        </w:tabs>
        <w:spacing w:line="240" w:lineRule="auto" w:before="1" w:after="0"/>
        <w:ind w:left="1201" w:right="0" w:hanging="602"/>
        <w:jc w:val="left"/>
        <w:rPr>
          <w:sz w:val="24"/>
        </w:rPr>
      </w:pPr>
      <w:r>
        <w:rPr>
          <w:sz w:val="24"/>
        </w:rPr>
        <w:t>不从事任何有损基金及其他《基金合同》当事人合法权益的活动；</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执行生效的基金份额持有人大会的决定；</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返还在基金交易过程中因任何原因获得的不当得利；</w:t>
      </w:r>
    </w:p>
    <w:p>
      <w:pPr>
        <w:pStyle w:val="ListParagraph"/>
        <w:numPr>
          <w:ilvl w:val="0"/>
          <w:numId w:val="8"/>
        </w:numPr>
        <w:tabs>
          <w:tab w:pos="1202" w:val="left" w:leader="none"/>
        </w:tabs>
        <w:spacing w:line="364" w:lineRule="auto" w:before="161" w:after="0"/>
        <w:ind w:left="120" w:right="364" w:firstLine="479"/>
        <w:jc w:val="left"/>
        <w:rPr>
          <w:sz w:val="24"/>
        </w:rPr>
      </w:pPr>
      <w:r>
        <w:rPr>
          <w:spacing w:val="-1"/>
          <w:sz w:val="24"/>
        </w:rPr>
        <w:t>基金管理人股东、基金管理人、基金管理人高级管理人员或基金经理</w:t>
      </w:r>
      <w:r>
        <w:rPr>
          <w:spacing w:val="-3"/>
          <w:sz w:val="24"/>
        </w:rPr>
        <w:t>使用发起资金认购的基金份额持有期限不少于 </w:t>
      </w:r>
      <w:r>
        <w:rPr>
          <w:rFonts w:ascii="Times New Roman" w:eastAsia="Times New Roman"/>
          <w:sz w:val="24"/>
        </w:rPr>
        <w:t>3 </w:t>
      </w:r>
      <w:r>
        <w:rPr>
          <w:sz w:val="24"/>
        </w:rPr>
        <w:t>年；</w:t>
      </w:r>
    </w:p>
    <w:p>
      <w:pPr>
        <w:pStyle w:val="ListParagraph"/>
        <w:numPr>
          <w:ilvl w:val="0"/>
          <w:numId w:val="8"/>
        </w:numPr>
        <w:tabs>
          <w:tab w:pos="1322" w:val="left" w:leader="none"/>
        </w:tabs>
        <w:spacing w:line="240" w:lineRule="auto" w:before="1" w:after="0"/>
        <w:ind w:left="1321" w:right="0" w:hanging="72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5" w:top="1440" w:bottom="1180" w:left="1680" w:right="1440"/>
        </w:sectPr>
      </w:pPr>
    </w:p>
    <w:p>
      <w:pPr>
        <w:pStyle w:val="Heading1"/>
        <w:tabs>
          <w:tab w:pos="1504" w:val="left" w:leader="none"/>
        </w:tabs>
      </w:pPr>
      <w:bookmarkStart w:name="_bookmark8" w:id="9"/>
      <w:bookmarkEnd w:id="9"/>
      <w:r>
        <w:rPr>
          <w:b w:val="0"/>
        </w:rPr>
      </w:r>
      <w:r>
        <w:rPr/>
        <w:t>第九部分</w:t>
        <w:tab/>
        <w:t>基金份额持有人大会</w:t>
      </w:r>
    </w:p>
    <w:p>
      <w:pPr>
        <w:pStyle w:val="BodyText"/>
        <w:spacing w:before="6"/>
        <w:ind w:left="0"/>
        <w:rPr>
          <w:rFonts w:ascii="微软雅黑"/>
          <w:b/>
          <w:sz w:val="32"/>
        </w:rPr>
      </w:pPr>
    </w:p>
    <w:p>
      <w:pPr>
        <w:pStyle w:val="BodyText"/>
        <w:spacing w:line="364" w:lineRule="auto" w:before="0"/>
        <w:ind w:right="356"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t>一、召开事由</w:t>
      </w:r>
    </w:p>
    <w:p>
      <w:pPr>
        <w:pStyle w:val="BodyText"/>
        <w:ind w:left="600"/>
      </w:pPr>
      <w:r>
        <w:rPr>
          <w:rFonts w:ascii="Times New Roman" w:eastAsia="Times New Roman"/>
        </w:rPr>
        <w:t>1</w:t>
      </w:r>
      <w:r>
        <w:rPr/>
        <w:t>、当出现或需要决定下列事由之一的，应当召开基金份额持有人大会：</w:t>
      </w:r>
    </w:p>
    <w:p>
      <w:pPr>
        <w:pStyle w:val="ListParagraph"/>
        <w:numPr>
          <w:ilvl w:val="0"/>
          <w:numId w:val="9"/>
        </w:numPr>
        <w:tabs>
          <w:tab w:pos="1202" w:val="left" w:leader="none"/>
        </w:tabs>
        <w:spacing w:line="364" w:lineRule="auto" w:before="160" w:after="0"/>
        <w:ind w:left="120" w:right="358" w:firstLine="479"/>
        <w:jc w:val="left"/>
        <w:rPr>
          <w:sz w:val="24"/>
        </w:rPr>
      </w:pPr>
      <w:r>
        <w:rPr>
          <w:spacing w:val="-15"/>
          <w:sz w:val="24"/>
        </w:rPr>
        <w:t>终止《基金合同》</w:t>
      </w:r>
      <w:r>
        <w:rPr>
          <w:spacing w:val="-120"/>
          <w:sz w:val="24"/>
        </w:rPr>
        <w:t>（</w:t>
      </w:r>
      <w:r>
        <w:rPr>
          <w:spacing w:val="-1"/>
          <w:sz w:val="24"/>
        </w:rPr>
        <w:t>《基金合同》生效三年后的年度对日，基金资产净</w:t>
      </w:r>
      <w:r>
        <w:rPr>
          <w:spacing w:val="-16"/>
          <w:sz w:val="24"/>
        </w:rPr>
        <w:t>值低于 </w:t>
      </w:r>
      <w:r>
        <w:rPr>
          <w:rFonts w:ascii="Times New Roman" w:eastAsia="Times New Roman"/>
          <w:sz w:val="24"/>
        </w:rPr>
        <w:t>2 </w:t>
      </w:r>
      <w:r>
        <w:rPr>
          <w:spacing w:val="-12"/>
          <w:sz w:val="24"/>
        </w:rPr>
        <w:t>亿元，《基金合同》终止的除外</w:t>
      </w:r>
      <w:r>
        <w:rPr>
          <w:spacing w:val="-120"/>
          <w:sz w:val="24"/>
        </w:rPr>
        <w:t>）</w:t>
      </w:r>
      <w:r>
        <w:rPr>
          <w:sz w:val="24"/>
        </w:rPr>
        <w:t>；</w:t>
      </w:r>
    </w:p>
    <w:p>
      <w:pPr>
        <w:pStyle w:val="ListParagraph"/>
        <w:numPr>
          <w:ilvl w:val="0"/>
          <w:numId w:val="9"/>
        </w:numPr>
        <w:tabs>
          <w:tab w:pos="1202" w:val="left" w:leader="none"/>
        </w:tabs>
        <w:spacing w:line="240" w:lineRule="auto" w:before="2" w:after="0"/>
        <w:ind w:left="1201" w:right="0" w:hanging="602"/>
        <w:jc w:val="left"/>
        <w:rPr>
          <w:sz w:val="24"/>
        </w:rPr>
      </w:pPr>
      <w:r>
        <w:rPr>
          <w:sz w:val="24"/>
        </w:rPr>
        <w:t>更换基金管理人；</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更换基金托管人；</w:t>
      </w:r>
    </w:p>
    <w:p>
      <w:pPr>
        <w:pStyle w:val="ListParagraph"/>
        <w:numPr>
          <w:ilvl w:val="0"/>
          <w:numId w:val="9"/>
        </w:numPr>
        <w:tabs>
          <w:tab w:pos="1202" w:val="left" w:leader="none"/>
        </w:tabs>
        <w:spacing w:line="364" w:lineRule="auto" w:before="160" w:after="0"/>
        <w:ind w:left="120" w:right="361" w:firstLine="479"/>
        <w:jc w:val="left"/>
        <w:rPr>
          <w:sz w:val="24"/>
        </w:rPr>
      </w:pPr>
      <w:r>
        <w:rPr>
          <w:sz w:val="24"/>
        </w:rPr>
        <w:t>转换基金运作方式（</w:t>
      </w:r>
      <w:r>
        <w:rPr>
          <w:spacing w:val="-1"/>
          <w:sz w:val="24"/>
        </w:rPr>
        <w:t>法律法规、中国证监会另有规定或《基金合同》另有约定的除外</w:t>
      </w:r>
      <w:r>
        <w:rPr>
          <w:spacing w:val="-120"/>
          <w:sz w:val="24"/>
        </w:rPr>
        <w:t>）</w:t>
      </w:r>
      <w:r>
        <w:rPr>
          <w:sz w:val="24"/>
        </w:rPr>
        <w:t>；</w:t>
      </w:r>
    </w:p>
    <w:p>
      <w:pPr>
        <w:pStyle w:val="ListParagraph"/>
        <w:numPr>
          <w:ilvl w:val="0"/>
          <w:numId w:val="9"/>
        </w:numPr>
        <w:tabs>
          <w:tab w:pos="1202" w:val="left" w:leader="none"/>
        </w:tabs>
        <w:spacing w:line="240" w:lineRule="auto" w:before="1" w:after="0"/>
        <w:ind w:left="1201" w:right="0" w:hanging="602"/>
        <w:jc w:val="left"/>
        <w:rPr>
          <w:sz w:val="24"/>
        </w:rPr>
      </w:pPr>
      <w:r>
        <w:rPr>
          <w:sz w:val="24"/>
        </w:rPr>
        <w:t>提高基金管理人、基金托管人的报酬标准；</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变更基金类别；</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本基金与其他基金的合并；</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变更基金投资目标、范围或策略（法律法规、中国证监会另有规定或</w:t>
      </w:r>
    </w:p>
    <w:p>
      <w:pPr>
        <w:pStyle w:val="BodyText"/>
      </w:pPr>
      <w:r>
        <w:rPr/>
        <w:t>《基金合同》另有约定的除外</w:t>
      </w:r>
      <w:r>
        <w:rPr>
          <w:spacing w:val="-120"/>
        </w:rPr>
        <w:t>）</w:t>
      </w:r>
      <w:r>
        <w:rPr/>
        <w:t>；</w:t>
      </w:r>
    </w:p>
    <w:p>
      <w:pPr>
        <w:pStyle w:val="ListParagraph"/>
        <w:numPr>
          <w:ilvl w:val="0"/>
          <w:numId w:val="9"/>
        </w:numPr>
        <w:tabs>
          <w:tab w:pos="1202" w:val="left" w:leader="none"/>
        </w:tabs>
        <w:spacing w:line="240" w:lineRule="auto" w:before="160" w:after="0"/>
        <w:ind w:left="1201" w:right="0" w:hanging="602"/>
        <w:jc w:val="left"/>
        <w:rPr>
          <w:sz w:val="24"/>
        </w:rPr>
      </w:pPr>
      <w:r>
        <w:rPr>
          <w:sz w:val="24"/>
        </w:rPr>
        <w:t>变更基金份额持有人大会程序；</w:t>
      </w:r>
    </w:p>
    <w:p>
      <w:pPr>
        <w:pStyle w:val="ListParagraph"/>
        <w:numPr>
          <w:ilvl w:val="0"/>
          <w:numId w:val="9"/>
        </w:numPr>
        <w:tabs>
          <w:tab w:pos="1322" w:val="left" w:leader="none"/>
        </w:tabs>
        <w:spacing w:line="240" w:lineRule="auto" w:before="161" w:after="0"/>
        <w:ind w:left="1321" w:right="0" w:hanging="722"/>
        <w:jc w:val="left"/>
        <w:rPr>
          <w:sz w:val="24"/>
        </w:rPr>
      </w:pPr>
      <w:r>
        <w:rPr>
          <w:sz w:val="24"/>
        </w:rPr>
        <w:t>基金管理人或基金托管人要求召开基金份额持有人大会；</w:t>
      </w:r>
    </w:p>
    <w:p>
      <w:pPr>
        <w:pStyle w:val="ListParagraph"/>
        <w:numPr>
          <w:ilvl w:val="0"/>
          <w:numId w:val="9"/>
        </w:numPr>
        <w:tabs>
          <w:tab w:pos="1312" w:val="left" w:leader="none"/>
        </w:tabs>
        <w:spacing w:line="364" w:lineRule="auto" w:before="160" w:after="0"/>
        <w:ind w:left="120" w:right="35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9"/>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9"/>
        </w:numPr>
        <w:tabs>
          <w:tab w:pos="1322" w:val="left" w:leader="none"/>
        </w:tabs>
        <w:spacing w:line="364" w:lineRule="auto" w:before="161" w:after="0"/>
        <w:ind w:left="120" w:right="36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1"/>
        <w:ind w:right="361" w:firstLine="479"/>
      </w:pPr>
      <w:r>
        <w:rPr>
          <w:rFonts w:ascii="Times New Roman" w:eastAsia="Times New Roman"/>
        </w:rPr>
        <w:t>2</w:t>
      </w:r>
      <w:r>
        <w:rPr/>
        <w:t>、以下情况可由基金管理人和基金托管人协商后修改，不需召开基金份额持有人大会：</w:t>
      </w:r>
    </w:p>
    <w:p>
      <w:pPr>
        <w:pStyle w:val="ListParagraph"/>
        <w:numPr>
          <w:ilvl w:val="0"/>
          <w:numId w:val="10"/>
        </w:numPr>
        <w:tabs>
          <w:tab w:pos="1202" w:val="left" w:leader="none"/>
        </w:tabs>
        <w:spacing w:line="240" w:lineRule="auto" w:before="1" w:after="0"/>
        <w:ind w:left="1201" w:right="0" w:hanging="602"/>
        <w:jc w:val="left"/>
        <w:rPr>
          <w:sz w:val="24"/>
        </w:rPr>
      </w:pPr>
      <w:r>
        <w:rPr>
          <w:sz w:val="24"/>
        </w:rPr>
        <w:t>调低基金管理费、基金托管费；</w:t>
      </w:r>
    </w:p>
    <w:p>
      <w:pPr>
        <w:spacing w:after="0" w:line="240" w:lineRule="auto"/>
        <w:jc w:val="left"/>
        <w:rPr>
          <w:sz w:val="24"/>
        </w:rPr>
        <w:sectPr>
          <w:pgSz w:w="11910" w:h="16840"/>
          <w:pgMar w:header="0" w:footer="995" w:top="1500" w:bottom="1180" w:left="1680" w:right="1440"/>
        </w:sectPr>
      </w:pPr>
    </w:p>
    <w:p>
      <w:pPr>
        <w:pStyle w:val="ListParagraph"/>
        <w:numPr>
          <w:ilvl w:val="0"/>
          <w:numId w:val="10"/>
        </w:numPr>
        <w:tabs>
          <w:tab w:pos="1202" w:val="left" w:leader="none"/>
        </w:tabs>
        <w:spacing w:line="240" w:lineRule="auto" w:before="60" w:after="0"/>
        <w:ind w:left="1201" w:right="0" w:hanging="602"/>
        <w:jc w:val="left"/>
        <w:rPr>
          <w:sz w:val="24"/>
        </w:rPr>
      </w:pPr>
      <w:r>
        <w:rPr>
          <w:sz w:val="24"/>
        </w:rPr>
        <w:t>法律法规要求增加的基金费用的收取；</w:t>
      </w:r>
    </w:p>
    <w:p>
      <w:pPr>
        <w:pStyle w:val="ListParagraph"/>
        <w:numPr>
          <w:ilvl w:val="0"/>
          <w:numId w:val="10"/>
        </w:numPr>
        <w:tabs>
          <w:tab w:pos="1202" w:val="left" w:leader="none"/>
        </w:tabs>
        <w:spacing w:line="364" w:lineRule="auto" w:before="161" w:after="0"/>
        <w:ind w:left="120" w:right="364" w:firstLine="479"/>
        <w:jc w:val="left"/>
        <w:rPr>
          <w:sz w:val="24"/>
        </w:rPr>
      </w:pPr>
      <w:r>
        <w:rPr>
          <w:spacing w:val="-1"/>
          <w:sz w:val="24"/>
        </w:rPr>
        <w:t>在法律法规和《基金合同》规定的范围内调整本基金的申购费率、调</w:t>
      </w:r>
      <w:r>
        <w:rPr>
          <w:sz w:val="24"/>
        </w:rPr>
        <w:t>低赎回费率及销售服务费率或变更收费方式；</w:t>
      </w:r>
    </w:p>
    <w:p>
      <w:pPr>
        <w:pStyle w:val="ListParagraph"/>
        <w:numPr>
          <w:ilvl w:val="0"/>
          <w:numId w:val="10"/>
        </w:numPr>
        <w:tabs>
          <w:tab w:pos="1202" w:val="left" w:leader="none"/>
        </w:tabs>
        <w:spacing w:line="240" w:lineRule="auto" w:before="2" w:after="0"/>
        <w:ind w:left="1201" w:right="0" w:hanging="602"/>
        <w:jc w:val="left"/>
        <w:rPr>
          <w:sz w:val="24"/>
        </w:rPr>
      </w:pPr>
      <w:r>
        <w:rPr>
          <w:sz w:val="24"/>
        </w:rPr>
        <w:t>因相应的法律法规发生变动而应当对《基金合同》进行修改；</w:t>
      </w:r>
    </w:p>
    <w:p>
      <w:pPr>
        <w:pStyle w:val="ListParagraph"/>
        <w:numPr>
          <w:ilvl w:val="0"/>
          <w:numId w:val="10"/>
        </w:numPr>
        <w:tabs>
          <w:tab w:pos="1202" w:val="left" w:leader="none"/>
        </w:tabs>
        <w:spacing w:line="364" w:lineRule="auto" w:before="160" w:after="0"/>
        <w:ind w:left="120" w:right="36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10"/>
        </w:numPr>
        <w:tabs>
          <w:tab w:pos="1202" w:val="left" w:leader="none"/>
        </w:tabs>
        <w:spacing w:line="364" w:lineRule="auto" w:before="1" w:after="0"/>
        <w:ind w:left="120" w:right="357" w:firstLine="479"/>
        <w:jc w:val="left"/>
        <w:rPr>
          <w:sz w:val="24"/>
        </w:rPr>
      </w:pPr>
      <w:r>
        <w:rPr>
          <w:spacing w:val="-15"/>
          <w:sz w:val="24"/>
        </w:rPr>
        <w:t>依据《基金合同》，在不改变本基金投资目标的前提下变更为中债新</w:t>
      </w:r>
      <w:r>
        <w:rPr>
          <w:spacing w:val="-26"/>
          <w:sz w:val="24"/>
        </w:rPr>
        <w:t>综合 </w:t>
      </w:r>
      <w:r>
        <w:rPr>
          <w:rFonts w:ascii="Times New Roman" w:eastAsia="Times New Roman"/>
          <w:sz w:val="24"/>
        </w:rPr>
        <w:t>ETF</w:t>
      </w:r>
      <w:r>
        <w:rPr>
          <w:rFonts w:ascii="Times New Roman" w:eastAsia="Times New Roman"/>
          <w:spacing w:val="-2"/>
          <w:sz w:val="24"/>
        </w:rPr>
        <w:t> </w:t>
      </w:r>
      <w:r>
        <w:rPr>
          <w:sz w:val="24"/>
        </w:rPr>
        <w:t>的联接基金；</w:t>
      </w:r>
    </w:p>
    <w:p>
      <w:pPr>
        <w:pStyle w:val="ListParagraph"/>
        <w:numPr>
          <w:ilvl w:val="0"/>
          <w:numId w:val="10"/>
        </w:numPr>
        <w:tabs>
          <w:tab w:pos="1202" w:val="left" w:leader="none"/>
        </w:tabs>
        <w:spacing w:line="364" w:lineRule="auto" w:before="2" w:after="0"/>
        <w:ind w:left="120" w:right="356" w:firstLine="479"/>
        <w:jc w:val="left"/>
        <w:rPr>
          <w:sz w:val="24"/>
        </w:rPr>
      </w:pPr>
      <w:r>
        <w:rPr>
          <w:spacing w:val="-2"/>
          <w:sz w:val="24"/>
        </w:rPr>
        <w:t>《基金合同》生效三年后的年度对日，基金资产净值低于 </w:t>
      </w:r>
      <w:r>
        <w:rPr>
          <w:rFonts w:ascii="Times New Roman" w:eastAsia="Times New Roman"/>
          <w:sz w:val="24"/>
        </w:rPr>
        <w:t>2</w:t>
      </w:r>
      <w:r>
        <w:rPr>
          <w:rFonts w:ascii="Times New Roman" w:eastAsia="Times New Roman"/>
          <w:spacing w:val="13"/>
          <w:sz w:val="24"/>
        </w:rPr>
        <w:t> </w:t>
      </w:r>
      <w:r>
        <w:rPr>
          <w:spacing w:val="-30"/>
          <w:sz w:val="24"/>
        </w:rPr>
        <w:t>亿元，《</w:t>
      </w:r>
      <w:r>
        <w:rPr>
          <w:spacing w:val="-4"/>
          <w:sz w:val="24"/>
        </w:rPr>
        <w:t>基金合同》终止；</w:t>
      </w:r>
    </w:p>
    <w:p>
      <w:pPr>
        <w:pStyle w:val="ListParagraph"/>
        <w:numPr>
          <w:ilvl w:val="0"/>
          <w:numId w:val="10"/>
        </w:numPr>
        <w:tabs>
          <w:tab w:pos="1202" w:val="left" w:leader="none"/>
        </w:tabs>
        <w:spacing w:line="364" w:lineRule="auto" w:before="1" w:after="0"/>
        <w:ind w:left="120" w:right="364" w:firstLine="479"/>
        <w:jc w:val="left"/>
        <w:rPr>
          <w:sz w:val="24"/>
        </w:rPr>
      </w:pPr>
      <w:r>
        <w:rPr>
          <w:spacing w:val="-1"/>
          <w:sz w:val="24"/>
        </w:rPr>
        <w:t>按照法律法规和《基金合同》规定需召开基金份额持有人大会的以外</w:t>
      </w:r>
      <w:r>
        <w:rPr>
          <w:sz w:val="24"/>
        </w:rPr>
        <w:t>的其他情形。</w:t>
      </w:r>
    </w:p>
    <w:p>
      <w:pPr>
        <w:pStyle w:val="BodyText"/>
        <w:spacing w:before="2"/>
        <w:ind w:left="600"/>
      </w:pPr>
      <w:r>
        <w:rPr/>
        <w:t>二、会议召集人及召集方式</w:t>
      </w:r>
    </w:p>
    <w:p>
      <w:pPr>
        <w:pStyle w:val="BodyText"/>
        <w:spacing w:line="364" w:lineRule="auto" w:before="160"/>
        <w:ind w:right="364" w:firstLine="479"/>
      </w:pPr>
      <w:r>
        <w:rPr>
          <w:rFonts w:ascii="Times New Roman" w:eastAsia="Times New Roman"/>
        </w:rPr>
        <w:t>1</w:t>
      </w:r>
      <w:r>
        <w:rPr/>
        <w:t>、除法律法规规定或《基金合同》另有约定外，基金份额持有人大会由基金管理人召集；</w:t>
      </w:r>
    </w:p>
    <w:p>
      <w:pPr>
        <w:pStyle w:val="BodyText"/>
        <w:spacing w:before="1"/>
        <w:ind w:left="600"/>
      </w:pPr>
      <w:r>
        <w:rPr>
          <w:rFonts w:ascii="Times New Roman" w:eastAsia="Times New Roman"/>
        </w:rPr>
        <w:t>2</w:t>
      </w:r>
      <w:r>
        <w:rPr/>
        <w:t>、基金管理人未按规定召集或不能召集时，由基金托管人召集；</w:t>
      </w:r>
    </w:p>
    <w:p>
      <w:pPr>
        <w:pStyle w:val="BodyText"/>
        <w:spacing w:line="364" w:lineRule="auto"/>
        <w:ind w:right="356" w:firstLine="479"/>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3"/>
        <w:ind w:right="357"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p>
    <w:p>
      <w:pPr>
        <w:spacing w:after="0" w:line="364" w:lineRule="auto"/>
        <w:jc w:val="both"/>
        <w:sectPr>
          <w:pgSz w:w="11910" w:h="16840"/>
          <w:pgMar w:header="0" w:footer="995" w:top="1440" w:bottom="1180" w:left="1680" w:right="1440"/>
        </w:sectPr>
      </w:pPr>
    </w:p>
    <w:p>
      <w:pPr>
        <w:pStyle w:val="BodyText"/>
        <w:spacing w:before="60"/>
      </w:pPr>
      <w:r>
        <w:rPr/>
        <w:t>之日起 </w:t>
      </w:r>
      <w:r>
        <w:rPr>
          <w:rFonts w:ascii="Times New Roman" w:eastAsia="Times New Roman"/>
        </w:rPr>
        <w:t>60 </w:t>
      </w:r>
      <w:r>
        <w:rPr/>
        <w:t>日内召开。</w:t>
      </w:r>
    </w:p>
    <w:p>
      <w:pPr>
        <w:pStyle w:val="BodyText"/>
        <w:spacing w:line="364" w:lineRule="auto"/>
        <w:ind w:right="237" w:firstLine="479"/>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364" w:firstLine="479"/>
      </w:pPr>
      <w:r>
        <w:rPr>
          <w:rFonts w:ascii="Times New Roman" w:eastAsia="Times New Roman"/>
        </w:rPr>
        <w:t>6</w:t>
      </w:r>
      <w:r>
        <w:rPr/>
        <w:t>、基金份额持有人会议的召集人负责选择确定开会时间、地点、方式和权益登记日。</w:t>
      </w:r>
    </w:p>
    <w:p>
      <w:pPr>
        <w:pStyle w:val="BodyText"/>
        <w:spacing w:before="2"/>
        <w:ind w:left="600"/>
      </w:pPr>
      <w:r>
        <w:rPr/>
        <w:t>三、召开基金份额持有人大会的通知时间、通知内容、通知方式</w:t>
      </w:r>
    </w:p>
    <w:p>
      <w:pPr>
        <w:pStyle w:val="BodyText"/>
        <w:spacing w:line="364" w:lineRule="auto"/>
        <w:ind w:right="35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1"/>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会议拟审议的事项、议事程序和表决方式；</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w:t>
      </w:r>
    </w:p>
    <w:p>
      <w:pPr>
        <w:pStyle w:val="ListParagraph"/>
        <w:numPr>
          <w:ilvl w:val="0"/>
          <w:numId w:val="11"/>
        </w:numPr>
        <w:tabs>
          <w:tab w:pos="1202" w:val="left" w:leader="none"/>
        </w:tabs>
        <w:spacing w:line="364" w:lineRule="auto" w:before="160" w:after="0"/>
        <w:ind w:left="120" w:right="356" w:firstLine="479"/>
        <w:jc w:val="both"/>
        <w:rPr>
          <w:sz w:val="24"/>
        </w:rPr>
      </w:pPr>
      <w:r>
        <w:rPr>
          <w:spacing w:val="-3"/>
          <w:sz w:val="24"/>
        </w:rPr>
        <w:t>授权委托方式</w:t>
      </w:r>
      <w:r>
        <w:rPr>
          <w:sz w:val="24"/>
        </w:rPr>
        <w:t>（</w:t>
      </w:r>
      <w:r>
        <w:rPr>
          <w:spacing w:val="-6"/>
          <w:sz w:val="24"/>
        </w:rPr>
        <w:t>可包括纸质、网络、电话、短信等方式</w:t>
      </w:r>
      <w:r>
        <w:rPr>
          <w:spacing w:val="-120"/>
          <w:sz w:val="24"/>
        </w:rPr>
        <w:t>）</w:t>
      </w:r>
      <w:r>
        <w:rPr>
          <w:spacing w:val="-6"/>
          <w:sz w:val="24"/>
        </w:rPr>
        <w:t>、授权委托证</w:t>
      </w:r>
      <w:r>
        <w:rPr>
          <w:sz w:val="24"/>
        </w:rPr>
        <w:t>明的内容要求（包括但不限于代理人身份，代理权限和代理有效期限等</w:t>
      </w:r>
      <w:r>
        <w:rPr>
          <w:spacing w:val="-120"/>
          <w:sz w:val="24"/>
        </w:rPr>
        <w:t>）</w:t>
      </w:r>
      <w:r>
        <w:rPr>
          <w:sz w:val="24"/>
        </w:rPr>
        <w:t>、送达时间和地点；</w:t>
      </w:r>
    </w:p>
    <w:p>
      <w:pPr>
        <w:pStyle w:val="ListParagraph"/>
        <w:numPr>
          <w:ilvl w:val="0"/>
          <w:numId w:val="11"/>
        </w:numPr>
        <w:tabs>
          <w:tab w:pos="1202" w:val="left" w:leader="none"/>
        </w:tabs>
        <w:spacing w:line="240" w:lineRule="auto" w:before="3" w:after="0"/>
        <w:ind w:left="1201" w:right="0" w:hanging="602"/>
        <w:jc w:val="left"/>
        <w:rPr>
          <w:sz w:val="24"/>
        </w:rPr>
      </w:pPr>
      <w:r>
        <w:rPr>
          <w:sz w:val="24"/>
        </w:rPr>
        <w:t>会务常设联系人姓名及联系电话；</w:t>
      </w:r>
    </w:p>
    <w:p>
      <w:pPr>
        <w:pStyle w:val="ListParagraph"/>
        <w:numPr>
          <w:ilvl w:val="0"/>
          <w:numId w:val="11"/>
        </w:numPr>
        <w:tabs>
          <w:tab w:pos="1202" w:val="left" w:leader="none"/>
        </w:tabs>
        <w:spacing w:line="240" w:lineRule="auto" w:before="160" w:after="0"/>
        <w:ind w:left="1201" w:right="0" w:hanging="602"/>
        <w:jc w:val="left"/>
        <w:rPr>
          <w:sz w:val="24"/>
        </w:rPr>
      </w:pPr>
      <w:r>
        <w:rPr>
          <w:sz w:val="24"/>
        </w:rPr>
        <w:t>出席会议者必须准备的文件和必须履行的手续；</w:t>
      </w:r>
    </w:p>
    <w:p>
      <w:pPr>
        <w:pStyle w:val="ListParagraph"/>
        <w:numPr>
          <w:ilvl w:val="0"/>
          <w:numId w:val="11"/>
        </w:numPr>
        <w:tabs>
          <w:tab w:pos="1202" w:val="left" w:leader="none"/>
        </w:tabs>
        <w:spacing w:line="240" w:lineRule="auto" w:before="161" w:after="0"/>
        <w:ind w:left="1201" w:right="0" w:hanging="602"/>
        <w:jc w:val="left"/>
        <w:rPr>
          <w:sz w:val="24"/>
        </w:rPr>
      </w:pPr>
      <w:r>
        <w:rPr>
          <w:sz w:val="24"/>
        </w:rPr>
        <w:t>召集人需要通知的其他事项。</w:t>
      </w:r>
    </w:p>
    <w:p>
      <w:pPr>
        <w:pStyle w:val="BodyText"/>
        <w:spacing w:line="364" w:lineRule="auto" w:before="160"/>
        <w:ind w:right="35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358"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spacing w:after="0" w:line="364" w:lineRule="auto"/>
        <w:jc w:val="both"/>
        <w:sectPr>
          <w:pgSz w:w="11910" w:h="16840"/>
          <w:pgMar w:header="0" w:footer="995" w:top="1440" w:bottom="1180" w:left="1680" w:right="1440"/>
        </w:sectPr>
      </w:pPr>
    </w:p>
    <w:p>
      <w:pPr>
        <w:pStyle w:val="BodyText"/>
        <w:spacing w:before="40"/>
        <w:ind w:left="600"/>
      </w:pPr>
      <w:r>
        <w:rPr/>
        <w:t>四、基金份额持有人出席会议的方式</w:t>
      </w:r>
    </w:p>
    <w:p>
      <w:pPr>
        <w:pStyle w:val="BodyText"/>
        <w:spacing w:line="364" w:lineRule="auto"/>
        <w:ind w:right="356" w:firstLine="479"/>
      </w:pPr>
      <w:r>
        <w:rPr>
          <w:spacing w:val="-5"/>
        </w:rPr>
        <w:t>基金份额持有人大会可通过现场开会方式或通讯开会等方式召开，会议的召</w:t>
      </w:r>
      <w:r>
        <w:rPr/>
        <w:t>开方式由会议召集人确定。</w:t>
      </w:r>
    </w:p>
    <w:p>
      <w:pPr>
        <w:pStyle w:val="BodyText"/>
        <w:spacing w:line="364" w:lineRule="auto" w:before="2"/>
        <w:ind w:right="357"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2"/>
        </w:numPr>
        <w:tabs>
          <w:tab w:pos="1202" w:val="left" w:leader="none"/>
        </w:tabs>
        <w:spacing w:line="364" w:lineRule="auto" w:before="2" w:after="0"/>
        <w:ind w:left="120" w:right="35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12"/>
        </w:numPr>
        <w:tabs>
          <w:tab w:pos="1202" w:val="left" w:leader="none"/>
        </w:tabs>
        <w:spacing w:line="364" w:lineRule="auto" w:before="3" w:after="0"/>
        <w:ind w:left="120" w:right="361" w:firstLine="479"/>
        <w:jc w:val="both"/>
        <w:rPr>
          <w:sz w:val="24"/>
        </w:rPr>
      </w:pPr>
      <w:r>
        <w:rPr>
          <w:spacing w:val="-1"/>
          <w:sz w:val="24"/>
        </w:rPr>
        <w:t>经核对，汇总到会者出示的在权益登记日持有基金份额的凭证显示， </w:t>
      </w:r>
      <w:r>
        <w:rPr>
          <w:sz w:val="24"/>
        </w:rPr>
        <w:t>有效的基金份额不少于本基金在权益登记日基金总份额的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BodyText"/>
        <w:spacing w:line="364" w:lineRule="auto" w:before="1"/>
        <w:ind w:right="35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pPr>
      <w:r>
        <w:rPr/>
        <w:t>在同时符合以下条件时，通讯开会的方式视为有效：</w:t>
      </w:r>
    </w:p>
    <w:p>
      <w:pPr>
        <w:pStyle w:val="ListParagraph"/>
        <w:numPr>
          <w:ilvl w:val="0"/>
          <w:numId w:val="13"/>
        </w:numPr>
        <w:tabs>
          <w:tab w:pos="1202" w:val="left" w:leader="none"/>
        </w:tabs>
        <w:spacing w:line="364" w:lineRule="auto" w:before="161" w:after="0"/>
        <w:ind w:left="120" w:right="354" w:firstLine="479"/>
        <w:jc w:val="both"/>
        <w:rPr>
          <w:sz w:val="24"/>
        </w:rPr>
      </w:pPr>
      <w:r>
        <w:rPr>
          <w:spacing w:val="-4"/>
          <w:sz w:val="24"/>
        </w:rPr>
        <w:t>会议召集人按《基金合同》约定公布会议通知后，在 </w:t>
      </w:r>
      <w:r>
        <w:rPr>
          <w:rFonts w:ascii="Times New Roman" w:eastAsia="Times New Roman"/>
          <w:sz w:val="24"/>
        </w:rPr>
        <w:t>2</w:t>
      </w:r>
      <w:r>
        <w:rPr>
          <w:rFonts w:ascii="Times New Roman" w:eastAsia="Times New Roman"/>
          <w:spacing w:val="2"/>
          <w:sz w:val="24"/>
        </w:rPr>
        <w:t> </w:t>
      </w:r>
      <w:r>
        <w:rPr>
          <w:spacing w:val="-3"/>
          <w:sz w:val="24"/>
        </w:rPr>
        <w:t>个工作日内连</w:t>
      </w:r>
      <w:r>
        <w:rPr>
          <w:sz w:val="24"/>
        </w:rPr>
        <w:t>续公布相关提示性公告；</w:t>
      </w:r>
    </w:p>
    <w:p>
      <w:pPr>
        <w:pStyle w:val="ListParagraph"/>
        <w:numPr>
          <w:ilvl w:val="0"/>
          <w:numId w:val="13"/>
        </w:numPr>
        <w:tabs>
          <w:tab w:pos="1202" w:val="left" w:leader="none"/>
        </w:tabs>
        <w:spacing w:line="364" w:lineRule="auto" w:before="1" w:after="0"/>
        <w:ind w:left="120" w:right="35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3"/>
        </w:numPr>
        <w:tabs>
          <w:tab w:pos="1202" w:val="left" w:leader="none"/>
        </w:tabs>
        <w:spacing w:line="364" w:lineRule="auto" w:before="3" w:after="0"/>
        <w:ind w:left="120" w:right="364" w:firstLine="479"/>
        <w:jc w:val="both"/>
        <w:rPr>
          <w:sz w:val="24"/>
        </w:rPr>
      </w:pPr>
      <w:r>
        <w:rPr>
          <w:spacing w:val="-1"/>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13"/>
        </w:numPr>
        <w:tabs>
          <w:tab w:pos="1202" w:val="left" w:leader="none"/>
        </w:tabs>
        <w:spacing w:line="364" w:lineRule="auto" w:before="2" w:after="0"/>
        <w:ind w:left="120" w:right="354"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9"/>
          <w:sz w:val="24"/>
        </w:rPr>
        <w:t>人出具书面意见的代理人，同时提交的持有基金份额的凭证、受托出具书面意见</w:t>
      </w:r>
      <w:r>
        <w:rPr>
          <w:sz w:val="24"/>
        </w:rPr>
        <w:t>的代理人出具的委托人持有基金份额的凭证及委托人的代理投票授权委托证明符</w:t>
      </w:r>
    </w:p>
    <w:p>
      <w:pPr>
        <w:spacing w:after="0" w:line="364" w:lineRule="auto"/>
        <w:jc w:val="both"/>
        <w:rPr>
          <w:sz w:val="24"/>
        </w:rPr>
        <w:sectPr>
          <w:pgSz w:w="11910" w:h="16840"/>
          <w:pgMar w:header="0" w:footer="995" w:top="1460" w:bottom="1180" w:left="1680" w:right="1440"/>
        </w:sectPr>
      </w:pPr>
    </w:p>
    <w:p>
      <w:pPr>
        <w:pStyle w:val="BodyText"/>
        <w:spacing w:before="40"/>
      </w:pPr>
      <w:r>
        <w:rPr/>
        <w:t>合法律法规、《基金合同》和会议通知的规定，并与基金登记结算机构记录相符；</w:t>
      </w:r>
    </w:p>
    <w:p>
      <w:pPr>
        <w:pStyle w:val="ListParagraph"/>
        <w:numPr>
          <w:ilvl w:val="0"/>
          <w:numId w:val="13"/>
        </w:numPr>
        <w:tabs>
          <w:tab w:pos="1202" w:val="left" w:leader="none"/>
        </w:tabs>
        <w:spacing w:line="240" w:lineRule="auto" w:before="161" w:after="0"/>
        <w:ind w:left="1201" w:right="0" w:hanging="602"/>
        <w:jc w:val="left"/>
        <w:rPr>
          <w:sz w:val="24"/>
        </w:rPr>
      </w:pPr>
      <w:r>
        <w:rPr>
          <w:sz w:val="24"/>
        </w:rPr>
        <w:t>会议通知公布前报中国证监会备案。</w:t>
      </w:r>
    </w:p>
    <w:p>
      <w:pPr>
        <w:pStyle w:val="BodyText"/>
        <w:spacing w:line="364" w:lineRule="auto"/>
        <w:ind w:right="359" w:firstLine="479"/>
        <w:jc w:val="both"/>
      </w:pPr>
      <w:r>
        <w:rPr>
          <w:rFonts w:ascii="Times New Roman" w:eastAsia="Times New Roman"/>
        </w:rPr>
        <w:t>3</w:t>
      </w:r>
      <w:r>
        <w:rPr>
          <w:spacing w:val="-1"/>
        </w:rPr>
        <w:t>、在不与法律法规冲突的前提下，基金份额持有人大会可通过网络等方式</w:t>
      </w:r>
      <w:r>
        <w:rPr>
          <w:spacing w:val="-12"/>
        </w:rPr>
        <w:t>召开，且除纸面授权外，基金份额持有人之间的授权亦可根据召集人在大会通知</w:t>
      </w:r>
      <w:r>
        <w:rPr/>
        <w:t>中规定的方式，通过电话、网络等方式进行。</w:t>
      </w:r>
    </w:p>
    <w:p>
      <w:pPr>
        <w:pStyle w:val="BodyText"/>
        <w:spacing w:before="2"/>
        <w:ind w:left="600"/>
      </w:pPr>
      <w:r>
        <w:rPr/>
        <w:t>五、议事内容与程序</w:t>
      </w:r>
    </w:p>
    <w:p>
      <w:pPr>
        <w:pStyle w:val="BodyText"/>
        <w:spacing w:before="160"/>
        <w:ind w:left="600"/>
      </w:pPr>
      <w:r>
        <w:rPr>
          <w:rFonts w:ascii="Times New Roman" w:eastAsia="Times New Roman"/>
        </w:rPr>
        <w:t>1</w:t>
      </w:r>
      <w:r>
        <w:rPr/>
        <w:t>、议事内容及提案权</w:t>
      </w:r>
    </w:p>
    <w:p>
      <w:pPr>
        <w:pStyle w:val="BodyText"/>
        <w:spacing w:line="364" w:lineRule="auto"/>
        <w:ind w:right="35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357" w:firstLine="479"/>
        <w:jc w:val="both"/>
      </w:pPr>
      <w:r>
        <w:rPr>
          <w:spacing w:val="-5"/>
        </w:rPr>
        <w:t>基金份额持有人大会的召集人发出召集会议的通知后，对原有提案的修改应</w:t>
      </w:r>
      <w:r>
        <w:rPr>
          <w:spacing w:val="-4"/>
        </w:rPr>
        <w:t>当在基金份额持有人大会召开前 </w:t>
      </w:r>
      <w:r>
        <w:rPr>
          <w:rFonts w:ascii="Times New Roman" w:eastAsia="Times New Roman"/>
        </w:rPr>
        <w:t>30 </w:t>
      </w:r>
      <w:r>
        <w:rPr/>
        <w:t>日公告。</w:t>
      </w:r>
    </w:p>
    <w:p>
      <w:pPr>
        <w:pStyle w:val="BodyText"/>
        <w:spacing w:before="1"/>
        <w:ind w:left="600"/>
      </w:pPr>
      <w:r>
        <w:rPr/>
        <w:t>基金份额持有人大会不得对未事先公告的议事内容进行表决。</w:t>
      </w:r>
    </w:p>
    <w:p>
      <w:pPr>
        <w:pStyle w:val="BodyText"/>
        <w:spacing w:before="160"/>
        <w:ind w:left="600"/>
      </w:pPr>
      <w:r>
        <w:rPr>
          <w:rFonts w:ascii="Times New Roman" w:eastAsia="Times New Roman"/>
        </w:rPr>
        <w:t>2</w:t>
      </w:r>
      <w:r>
        <w:rPr/>
        <w:t>、议事程序</w:t>
      </w:r>
    </w:p>
    <w:p>
      <w:pPr>
        <w:pStyle w:val="ListParagraph"/>
        <w:numPr>
          <w:ilvl w:val="0"/>
          <w:numId w:val="14"/>
        </w:numPr>
        <w:tabs>
          <w:tab w:pos="1202" w:val="left" w:leader="none"/>
        </w:tabs>
        <w:spacing w:line="240" w:lineRule="auto" w:before="161" w:after="0"/>
        <w:ind w:left="1201" w:right="0" w:hanging="602"/>
        <w:jc w:val="left"/>
        <w:rPr>
          <w:sz w:val="24"/>
        </w:rPr>
      </w:pPr>
      <w:r>
        <w:rPr>
          <w:sz w:val="24"/>
        </w:rPr>
        <w:t>现场开会</w:t>
      </w:r>
    </w:p>
    <w:p>
      <w:pPr>
        <w:pStyle w:val="BodyText"/>
        <w:spacing w:line="364" w:lineRule="auto" w:before="160"/>
        <w:ind w:right="244"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pStyle w:val="BodyText"/>
        <w:spacing w:before="6"/>
        <w:ind w:left="600"/>
      </w:pPr>
      <w:r>
        <w:rPr/>
        <w:t>会议召集人应当制作出席会议人员的签名册。签名册载明参加会议人员姓名</w:t>
      </w:r>
    </w:p>
    <w:p>
      <w:pPr>
        <w:pStyle w:val="BodyText"/>
        <w:spacing w:line="364" w:lineRule="auto"/>
        <w:ind w:right="36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4"/>
        </w:numPr>
        <w:tabs>
          <w:tab w:pos="1202" w:val="left" w:leader="none"/>
        </w:tabs>
        <w:spacing w:line="240" w:lineRule="auto" w:before="1" w:after="0"/>
        <w:ind w:left="1201" w:right="0" w:hanging="602"/>
        <w:jc w:val="left"/>
        <w:rPr>
          <w:sz w:val="24"/>
        </w:rPr>
      </w:pPr>
      <w:r>
        <w:rPr>
          <w:sz w:val="24"/>
        </w:rPr>
        <w:t>通讯开会</w:t>
      </w:r>
    </w:p>
    <w:p>
      <w:pPr>
        <w:pStyle w:val="BodyText"/>
        <w:spacing w:before="160"/>
        <w:ind w:left="600"/>
      </w:pPr>
      <w:r>
        <w:rPr/>
        <w:t>在通讯开会的情况下，首先由召集人提前 </w:t>
      </w:r>
      <w:r>
        <w:rPr>
          <w:rFonts w:ascii="Times New Roman" w:eastAsia="Times New Roman"/>
        </w:rPr>
        <w:t>30 </w:t>
      </w:r>
      <w:r>
        <w:rPr/>
        <w:t>日公布提案，在所通知的表决</w:t>
      </w:r>
    </w:p>
    <w:p>
      <w:pPr>
        <w:spacing w:after="0"/>
        <w:sectPr>
          <w:pgSz w:w="11910" w:h="16840"/>
          <w:pgMar w:header="0" w:footer="995" w:top="1460" w:bottom="1180" w:left="1680" w:right="1440"/>
        </w:sectPr>
      </w:pPr>
    </w:p>
    <w:p>
      <w:pPr>
        <w:pStyle w:val="BodyText"/>
        <w:spacing w:line="364" w:lineRule="auto" w:before="60"/>
        <w:ind w:right="35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pPr>
      <w:r>
        <w:rPr/>
        <w:t>六、表决</w:t>
      </w:r>
    </w:p>
    <w:p>
      <w:pPr>
        <w:pStyle w:val="BodyText"/>
        <w:spacing w:line="364" w:lineRule="auto"/>
        <w:ind w:left="600" w:right="2665"/>
      </w:pPr>
      <w:r>
        <w:rPr/>
        <w:t>基金份额持有人所持每份基金份额有同等表决权。 </w:t>
      </w:r>
      <w:r>
        <w:rPr>
          <w:spacing w:val="-1"/>
        </w:rPr>
        <w:t>基金份额持有人大会决议分为一般决议和特别决议：</w:t>
      </w:r>
    </w:p>
    <w:p>
      <w:pPr>
        <w:pStyle w:val="BodyText"/>
        <w:spacing w:line="364" w:lineRule="auto" w:before="1"/>
        <w:ind w:right="359" w:firstLine="479"/>
        <w:jc w:val="both"/>
      </w:pPr>
      <w:r>
        <w:rPr>
          <w:rFonts w:ascii="Times New Roman" w:eastAsia="Times New Roman"/>
        </w:rPr>
        <w:t>1</w:t>
      </w:r>
      <w:r>
        <w:rPr>
          <w:spacing w:val="-1"/>
        </w:rPr>
        <w:t>、一般决议，一般决议须经参加大会的基金份额持有人或其代理人所持表</w:t>
      </w:r>
      <w:r>
        <w:rPr>
          <w:spacing w:val="-9"/>
        </w:rPr>
        <w:t>决权的 </w:t>
      </w:r>
      <w:r>
        <w:rPr>
          <w:rFonts w:ascii="Times New Roman" w:eastAsia="Times New Roman"/>
        </w:rPr>
        <w:t>50%</w:t>
      </w:r>
      <w:r>
        <w:rPr/>
        <w:t>以上（</w:t>
      </w:r>
      <w:r>
        <w:rPr>
          <w:spacing w:val="-17"/>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w:t>
      </w:r>
      <w:r>
        <w:rPr/>
        <w:t>议通过事项以外的其他事项均以一般决议的方式通过。</w:t>
      </w:r>
    </w:p>
    <w:p>
      <w:pPr>
        <w:pStyle w:val="BodyText"/>
        <w:spacing w:line="364" w:lineRule="auto" w:before="2"/>
        <w:ind w:right="359"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t>基金管理人或者基金托管人、终止《基金合同》以特别决议通过方为有效。</w:t>
      </w:r>
    </w:p>
    <w:p>
      <w:pPr>
        <w:pStyle w:val="BodyText"/>
        <w:spacing w:before="2"/>
        <w:ind w:left="600"/>
      </w:pPr>
      <w:r>
        <w:rPr/>
        <w:t>基金份额持有人大会采取记名方式进行投票表决。</w:t>
      </w:r>
    </w:p>
    <w:p>
      <w:pPr>
        <w:pStyle w:val="BodyText"/>
        <w:spacing w:line="364" w:lineRule="auto"/>
        <w:ind w:right="356" w:firstLine="479"/>
        <w:jc w:val="both"/>
      </w:pPr>
      <w:r>
        <w:rPr>
          <w:spacing w:val="-9"/>
        </w:rPr>
        <w:t>采取通讯方式进行表决时，除非在计票时监督员及公证机关均认为有充分的</w:t>
      </w:r>
      <w:r>
        <w:rPr>
          <w:spacing w:val="-11"/>
        </w:rPr>
        <w:t>相反证据证明，否则提交符合会议通知中规定的确认投资者身份文件的表决视为</w:t>
      </w:r>
      <w:r>
        <w:rPr>
          <w:spacing w:val="-9"/>
        </w:rPr>
        <w:t>有效出席的投资者，表面符合会议通知规定的书面表决意见视为有效表决，表决</w:t>
      </w:r>
      <w:r>
        <w:rPr>
          <w:spacing w:val="-6"/>
        </w:rPr>
        <w:t>意见模糊不清或相互矛盾的视为弃权表决，但应当计入出具书面意见的基金份额</w:t>
      </w:r>
      <w:r>
        <w:rPr>
          <w:spacing w:val="-7"/>
        </w:rPr>
        <w:t>持有人所代表的基金份额总数。在上述规则的前提下，具体规则以召集人发布的</w:t>
      </w:r>
      <w:r>
        <w:rPr/>
        <w:t>大会通知为准。</w:t>
      </w:r>
    </w:p>
    <w:p>
      <w:pPr>
        <w:pStyle w:val="BodyText"/>
        <w:spacing w:before="3"/>
        <w:ind w:left="600"/>
      </w:pPr>
      <w:r>
        <w:rPr/>
        <w:t>七、计票</w:t>
      </w:r>
    </w:p>
    <w:p>
      <w:pPr>
        <w:pStyle w:val="BodyText"/>
        <w:ind w:left="600"/>
      </w:pPr>
      <w:r>
        <w:rPr>
          <w:rFonts w:ascii="Times New Roman" w:eastAsia="Times New Roman"/>
        </w:rPr>
        <w:t>1</w:t>
      </w:r>
      <w:r>
        <w:rPr/>
        <w:t>、现场开会</w:t>
      </w:r>
    </w:p>
    <w:p>
      <w:pPr>
        <w:pStyle w:val="ListParagraph"/>
        <w:numPr>
          <w:ilvl w:val="0"/>
          <w:numId w:val="15"/>
        </w:numPr>
        <w:tabs>
          <w:tab w:pos="1202" w:val="left" w:leader="none"/>
        </w:tabs>
        <w:spacing w:line="364" w:lineRule="auto" w:before="160" w:after="0"/>
        <w:ind w:left="120" w:right="35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15"/>
        </w:numPr>
        <w:tabs>
          <w:tab w:pos="1202" w:val="left" w:leader="none"/>
        </w:tabs>
        <w:spacing w:line="364" w:lineRule="auto" w:before="5" w:after="0"/>
        <w:ind w:left="120" w:right="364" w:firstLine="479"/>
        <w:jc w:val="left"/>
        <w:rPr>
          <w:sz w:val="24"/>
        </w:rPr>
      </w:pPr>
      <w:r>
        <w:rPr>
          <w:spacing w:val="-1"/>
          <w:sz w:val="24"/>
        </w:rPr>
        <w:t>监票人应当在基金份额持有人表决后立即进行清点并由大会主持人当</w:t>
      </w:r>
      <w:r>
        <w:rPr>
          <w:sz w:val="24"/>
        </w:rPr>
        <w:t>场公布计票结果。</w:t>
      </w:r>
    </w:p>
    <w:p>
      <w:pPr>
        <w:spacing w:after="0" w:line="364" w:lineRule="auto"/>
        <w:jc w:val="left"/>
        <w:rPr>
          <w:sz w:val="24"/>
        </w:rPr>
        <w:sectPr>
          <w:pgSz w:w="11910" w:h="16840"/>
          <w:pgMar w:header="0" w:footer="995" w:top="1440" w:bottom="1180" w:left="1680" w:right="1440"/>
        </w:sectPr>
      </w:pPr>
    </w:p>
    <w:p>
      <w:pPr>
        <w:pStyle w:val="ListParagraph"/>
        <w:numPr>
          <w:ilvl w:val="0"/>
          <w:numId w:val="15"/>
        </w:numPr>
        <w:tabs>
          <w:tab w:pos="1202" w:val="left" w:leader="none"/>
        </w:tabs>
        <w:spacing w:line="364" w:lineRule="auto" w:before="60" w:after="0"/>
        <w:ind w:left="120" w:right="356"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5"/>
        </w:numPr>
        <w:tabs>
          <w:tab w:pos="1202" w:val="left" w:leader="none"/>
        </w:tabs>
        <w:spacing w:line="364" w:lineRule="auto" w:before="3" w:after="0"/>
        <w:ind w:left="120" w:right="356"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spacing w:before="2"/>
        <w:ind w:left="600"/>
      </w:pPr>
      <w:r>
        <w:rPr>
          <w:rFonts w:ascii="Times New Roman" w:eastAsia="Times New Roman"/>
        </w:rPr>
        <w:t>2</w:t>
      </w:r>
      <w:r>
        <w:rPr/>
        <w:t>、通讯开会</w:t>
      </w:r>
    </w:p>
    <w:p>
      <w:pPr>
        <w:pStyle w:val="BodyText"/>
        <w:spacing w:line="364" w:lineRule="auto" w:before="160"/>
        <w:ind w:right="35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pPr>
      <w:r>
        <w:rPr/>
        <w:t>八、生效与公告</w:t>
      </w:r>
    </w:p>
    <w:p>
      <w:pPr>
        <w:pStyle w:val="BodyText"/>
        <w:spacing w:line="364" w:lineRule="auto"/>
        <w:ind w:right="356" w:firstLine="479"/>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line="364" w:lineRule="auto" w:before="1"/>
        <w:ind w:right="350" w:firstLine="479"/>
      </w:pPr>
      <w:r>
        <w:rPr/>
        <w:t>基金份额持有人大会的决议自中国证监会依法核准或者出具无异议意见之日起生效。</w:t>
      </w:r>
    </w:p>
    <w:p>
      <w:pPr>
        <w:pStyle w:val="BodyText"/>
        <w:spacing w:line="364" w:lineRule="auto" w:before="1"/>
        <w:ind w:right="35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35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0" w:footer="995" w:top="1440" w:bottom="1180" w:left="1680" w:right="1440"/>
        </w:sectPr>
      </w:pPr>
    </w:p>
    <w:p>
      <w:pPr>
        <w:pStyle w:val="Heading1"/>
        <w:tabs>
          <w:tab w:pos="2163" w:val="left" w:leader="none"/>
        </w:tabs>
        <w:ind w:left="658" w:right="0"/>
        <w:jc w:val="left"/>
      </w:pPr>
      <w:bookmarkStart w:name="_bookmark9" w:id="10"/>
      <w:bookmarkEnd w:id="10"/>
      <w:r>
        <w:rPr>
          <w:b w:val="0"/>
        </w:rPr>
      </w:r>
      <w:r>
        <w:rPr/>
        <w:t>第十部分</w:t>
        <w:tab/>
        <w:t>基金管理人、基金托管人的更换条件和程序</w:t>
      </w:r>
    </w:p>
    <w:p>
      <w:pPr>
        <w:pStyle w:val="BodyText"/>
        <w:spacing w:before="16"/>
        <w:ind w:left="0"/>
        <w:rPr>
          <w:rFonts w:ascii="微软雅黑"/>
          <w:b/>
          <w:sz w:val="38"/>
        </w:rPr>
      </w:pPr>
    </w:p>
    <w:p>
      <w:pPr>
        <w:pStyle w:val="BodyText"/>
        <w:spacing w:before="0"/>
        <w:ind w:left="600"/>
      </w:pPr>
      <w:r>
        <w:rPr/>
        <w:t>一、基金管理人和基金托管人职责终止的情形</w:t>
      </w:r>
    </w:p>
    <w:p>
      <w:pPr>
        <w:pStyle w:val="BodyText"/>
        <w:spacing w:before="160"/>
        <w:ind w:left="600"/>
      </w:pPr>
      <w:r>
        <w:rPr/>
        <w:t>（一）基金管理人职责终止的情形</w:t>
      </w:r>
    </w:p>
    <w:p>
      <w:pPr>
        <w:pStyle w:val="BodyText"/>
        <w:ind w:left="600"/>
      </w:pPr>
      <w:r>
        <w:rPr/>
        <w:t>有下列情形之一的，基金管理人职责终止：</w:t>
      </w:r>
    </w:p>
    <w:p>
      <w:pPr>
        <w:pStyle w:val="BodyText"/>
        <w:spacing w:before="160"/>
        <w:ind w:left="600"/>
      </w:pPr>
      <w:r>
        <w:rPr>
          <w:rFonts w:ascii="Times New Roman" w:eastAsia="Times New Roman"/>
        </w:rPr>
        <w:t>1</w:t>
      </w:r>
      <w:r>
        <w:rPr/>
        <w:t>、被依法取消基金管理资格；</w:t>
      </w:r>
    </w:p>
    <w:p>
      <w:pPr>
        <w:pStyle w:val="BodyText"/>
        <w:ind w:left="600"/>
      </w:pPr>
      <w:r>
        <w:rPr>
          <w:rFonts w:ascii="Times New Roman" w:eastAsia="Times New Roman"/>
        </w:rPr>
        <w:t>2</w:t>
      </w:r>
      <w:r>
        <w:rPr/>
        <w:t>、被基金份额持有人大会解任；</w:t>
      </w:r>
    </w:p>
    <w:p>
      <w:pPr>
        <w:pStyle w:val="BodyText"/>
        <w:spacing w:before="160"/>
        <w:ind w:left="600"/>
      </w:pPr>
      <w:r>
        <w:rPr>
          <w:rFonts w:ascii="Times New Roman" w:eastAsia="Times New Roman"/>
        </w:rPr>
        <w:t>3</w:t>
      </w:r>
      <w:r>
        <w:rPr/>
        <w:t>、依法解散、被依法撤销或被依法宣告破产；</w:t>
      </w:r>
    </w:p>
    <w:p>
      <w:pPr>
        <w:pStyle w:val="BodyText"/>
        <w:ind w:left="600"/>
      </w:pPr>
      <w:r>
        <w:rPr>
          <w:rFonts w:ascii="Times New Roman" w:eastAsia="Times New Roman"/>
        </w:rPr>
        <w:t>4</w:t>
      </w:r>
      <w:r>
        <w:rPr/>
        <w:t>、法律法规和《基金合同》规定的其他情形。</w:t>
      </w:r>
    </w:p>
    <w:p>
      <w:pPr>
        <w:pStyle w:val="BodyText"/>
        <w:ind w:left="600"/>
      </w:pPr>
      <w:r>
        <w:rPr/>
        <w:t>（二）基金托管人职责终止的情形</w:t>
      </w:r>
    </w:p>
    <w:p>
      <w:pPr>
        <w:pStyle w:val="BodyText"/>
        <w:spacing w:before="160"/>
        <w:ind w:left="600"/>
      </w:pPr>
      <w:r>
        <w:rPr/>
        <w:t>有下列情形之一的，基金托管人职责终止：</w:t>
      </w:r>
    </w:p>
    <w:p>
      <w:pPr>
        <w:pStyle w:val="BodyText"/>
        <w:ind w:left="600"/>
      </w:pPr>
      <w:r>
        <w:rPr>
          <w:rFonts w:ascii="Times New Roman" w:eastAsia="Times New Roman"/>
        </w:rPr>
        <w:t>1</w:t>
      </w:r>
      <w:r>
        <w:rPr/>
        <w:t>、被依法取消基金托管资格；</w:t>
      </w:r>
    </w:p>
    <w:p>
      <w:pPr>
        <w:pStyle w:val="BodyText"/>
        <w:spacing w:before="160"/>
        <w:ind w:left="600"/>
      </w:pPr>
      <w:r>
        <w:rPr>
          <w:rFonts w:ascii="Times New Roman" w:eastAsia="Times New Roman"/>
        </w:rPr>
        <w:t>2</w:t>
      </w:r>
      <w:r>
        <w:rPr/>
        <w:t>、被基金份额持有人大会解任；</w:t>
      </w:r>
    </w:p>
    <w:p>
      <w:pPr>
        <w:pStyle w:val="BodyText"/>
        <w:ind w:left="600"/>
      </w:pPr>
      <w:r>
        <w:rPr>
          <w:rFonts w:ascii="Times New Roman" w:eastAsia="Times New Roman"/>
        </w:rPr>
        <w:t>3</w:t>
      </w:r>
      <w:r>
        <w:rPr/>
        <w:t>、依法解散、被依法撤销或被依法宣告破产；</w:t>
      </w:r>
    </w:p>
    <w:p>
      <w:pPr>
        <w:pStyle w:val="BodyText"/>
        <w:spacing w:line="364" w:lineRule="auto" w:before="160"/>
        <w:ind w:left="600" w:right="3265"/>
      </w:pPr>
      <w:r>
        <w:rPr>
          <w:rFonts w:ascii="Times New Roman" w:eastAsia="Times New Roman"/>
        </w:rPr>
        <w:t>4</w:t>
      </w:r>
      <w:r>
        <w:rPr/>
        <w:t>、法律法规和《基金合同》规定的其他情形。二、基金管理人和基金托管人的更换程序</w:t>
      </w:r>
    </w:p>
    <w:p>
      <w:pPr>
        <w:pStyle w:val="BodyText"/>
        <w:spacing w:before="2"/>
        <w:ind w:left="600"/>
      </w:pPr>
      <w:r>
        <w:rPr/>
        <w:t>（一）基金管理人的更换程序</w:t>
      </w:r>
    </w:p>
    <w:p>
      <w:pPr>
        <w:pStyle w:val="BodyText"/>
        <w:ind w:left="60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）基金份额的基金份额持有人提名；</w:t>
      </w:r>
    </w:p>
    <w:p>
      <w:pPr>
        <w:pStyle w:val="BodyText"/>
        <w:spacing w:line="364" w:lineRule="auto"/>
        <w:ind w:right="356"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1"/>
        <w:ind w:right="364" w:firstLine="479"/>
      </w:pPr>
      <w:r>
        <w:rPr>
          <w:rFonts w:ascii="Times New Roman" w:eastAsia="Times New Roman"/>
        </w:rPr>
        <w:t>3</w:t>
      </w:r>
      <w:r>
        <w:rPr/>
        <w:t>、临时基金管理人：新任基金管理人产生之前，由中国证监会指定临时基金管理人；</w:t>
      </w:r>
    </w:p>
    <w:p>
      <w:pPr>
        <w:pStyle w:val="BodyText"/>
        <w:spacing w:line="364" w:lineRule="auto" w:before="2"/>
        <w:ind w:right="364" w:firstLine="479"/>
      </w:pPr>
      <w:r>
        <w:rPr>
          <w:rFonts w:ascii="Times New Roman" w:eastAsia="Times New Roman"/>
        </w:rPr>
        <w:t>4</w:t>
      </w:r>
      <w:r>
        <w:rPr/>
        <w:t>、核准：基金份额持有人大会选任基金管理人的决议须经中国证监会核准生效后方可执行；</w:t>
      </w:r>
    </w:p>
    <w:p>
      <w:pPr>
        <w:pStyle w:val="BodyText"/>
        <w:spacing w:line="364" w:lineRule="auto" w:before="1"/>
        <w:ind w:right="303" w:firstLine="479"/>
      </w:pPr>
      <w:r>
        <w:rPr>
          <w:rFonts w:ascii="Times New Roman" w:eastAsia="Times New Roman"/>
        </w:rPr>
        <w:t>5</w:t>
      </w:r>
      <w:r>
        <w:rPr/>
        <w:t>、公告：基金管理人更换后，由基金托管人在中国证监会核准后 </w:t>
      </w:r>
      <w:r>
        <w:rPr>
          <w:rFonts w:ascii="Times New Roman" w:eastAsia="Times New Roman"/>
        </w:rPr>
        <w:t>2 </w:t>
      </w:r>
      <w:r>
        <w:rPr/>
        <w:t>日内在指定媒介公告；</w:t>
      </w:r>
    </w:p>
    <w:p>
      <w:pPr>
        <w:pStyle w:val="BodyText"/>
        <w:spacing w:before="1"/>
        <w:ind w:left="600"/>
      </w:pPr>
      <w:r>
        <w:rPr>
          <w:rFonts w:ascii="Times New Roman" w:eastAsia="Times New Roman"/>
        </w:rPr>
        <w:t>6</w:t>
      </w:r>
      <w:r>
        <w:rPr/>
        <w:t>、交接：基金管理人职责终止的，基金管理人应妥善保管基金管理业务资</w:t>
      </w:r>
    </w:p>
    <w:p>
      <w:pPr>
        <w:spacing w:after="0"/>
        <w:sectPr>
          <w:pgSz w:w="11910" w:h="16840"/>
          <w:pgMar w:header="0" w:footer="995" w:top="1500" w:bottom="1180" w:left="1680" w:right="1440"/>
        </w:sectPr>
      </w:pPr>
    </w:p>
    <w:p>
      <w:pPr>
        <w:pStyle w:val="BodyText"/>
        <w:spacing w:line="364" w:lineRule="auto" w:before="40"/>
        <w:ind w:right="357"/>
        <w:jc w:val="both"/>
      </w:pP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pStyle w:val="BodyText"/>
        <w:spacing w:line="364" w:lineRule="auto" w:before="3"/>
        <w:ind w:right="357" w:firstLine="479"/>
        <w:jc w:val="both"/>
      </w:pPr>
      <w:r>
        <w:rPr>
          <w:rFonts w:ascii="Times New Roman" w:eastAsia="Times New Roman"/>
        </w:rPr>
        <w:t>7</w:t>
      </w:r>
      <w:r>
        <w:rPr/>
        <w:t>、审计：基金管理人职责终止的，应当按照法律法规规定聘请会计师事务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line="364" w:lineRule="auto" w:before="2"/>
        <w:ind w:right="36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1"/>
        <w:ind w:left="600"/>
      </w:pPr>
      <w:r>
        <w:rPr/>
        <w:t>（二）基金托管人的更换程序</w:t>
      </w:r>
    </w:p>
    <w:p>
      <w:pPr>
        <w:pStyle w:val="BodyText"/>
        <w:ind w:left="60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）基金份额的基金份额持有人提名；</w:t>
      </w:r>
    </w:p>
    <w:p>
      <w:pPr>
        <w:pStyle w:val="BodyText"/>
        <w:spacing w:line="364" w:lineRule="auto"/>
        <w:ind w:right="356"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364" w:firstLine="479"/>
      </w:pPr>
      <w:r>
        <w:rPr>
          <w:rFonts w:ascii="Times New Roman" w:eastAsia="Times New Roman"/>
        </w:rPr>
        <w:t>3</w:t>
      </w:r>
      <w:r>
        <w:rPr/>
        <w:t>、临时基金托管人：新任基金托管人产生之前，由中国证监会指定临时基金托管人；</w:t>
      </w:r>
    </w:p>
    <w:p>
      <w:pPr>
        <w:pStyle w:val="BodyText"/>
        <w:spacing w:line="364" w:lineRule="auto" w:before="1"/>
        <w:ind w:right="364" w:firstLine="479"/>
      </w:pPr>
      <w:r>
        <w:rPr>
          <w:rFonts w:ascii="Times New Roman" w:eastAsia="Times New Roman"/>
        </w:rPr>
        <w:t>4</w:t>
      </w:r>
      <w:r>
        <w:rPr/>
        <w:t>、核准：基金份额持有人大会更换基金托管人的决议须经中国证监会核准生效后方可执行；</w:t>
      </w:r>
    </w:p>
    <w:p>
      <w:pPr>
        <w:pStyle w:val="BodyText"/>
        <w:spacing w:line="364" w:lineRule="auto" w:before="1"/>
        <w:ind w:right="303" w:firstLine="479"/>
      </w:pPr>
      <w:r>
        <w:rPr>
          <w:rFonts w:ascii="Times New Roman" w:eastAsia="Times New Roman"/>
        </w:rPr>
        <w:t>5</w:t>
      </w:r>
      <w:r>
        <w:rPr/>
        <w:t>、公告：基金托管人更换后，由基金管理人在中国证监会核准后 </w:t>
      </w:r>
      <w:r>
        <w:rPr>
          <w:rFonts w:ascii="Times New Roman" w:eastAsia="Times New Roman"/>
        </w:rPr>
        <w:t>2 </w:t>
      </w:r>
      <w:r>
        <w:rPr/>
        <w:t>日内在指定媒介公告；</w:t>
      </w:r>
    </w:p>
    <w:p>
      <w:pPr>
        <w:pStyle w:val="BodyText"/>
        <w:spacing w:line="364" w:lineRule="auto" w:before="2"/>
        <w:ind w:right="359" w:firstLine="479"/>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1"/>
        <w:ind w:right="356" w:firstLine="479"/>
        <w:jc w:val="both"/>
      </w:pPr>
      <w:r>
        <w:rPr>
          <w:rFonts w:ascii="Times New Roman" w:eastAsia="Times New Roman"/>
        </w:rPr>
        <w:t>7</w:t>
      </w:r>
      <w:r>
        <w:rPr/>
        <w:t>、审计：基金托管人职责终止的，应当按照法律法规规定聘请会计师事务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before="3"/>
        <w:ind w:left="600"/>
      </w:pPr>
      <w:r>
        <w:rPr/>
        <w:t>（三）基金管理人与基金托管人同时更换的条件和程序。</w:t>
      </w:r>
    </w:p>
    <w:p>
      <w:pPr>
        <w:pStyle w:val="BodyText"/>
        <w:spacing w:line="364" w:lineRule="auto" w:before="160"/>
        <w:ind w:right="314" w:firstLine="479"/>
      </w:pPr>
      <w:r>
        <w:rPr>
          <w:rFonts w:ascii="Times New Roman" w:eastAsia="Times New Roman"/>
        </w:rPr>
        <w:t>1</w:t>
      </w:r>
      <w:r>
        <w:rPr/>
        <w:t>、提名：如果基金管理人和基金托管人同时更换，由单独或合计持有基金总份额 </w:t>
      </w:r>
      <w:r>
        <w:rPr>
          <w:rFonts w:ascii="Times New Roman" w:eastAsia="Times New Roman"/>
        </w:rPr>
        <w:t>10%</w:t>
      </w:r>
      <w:r>
        <w:rPr/>
        <w:t>以上（含 </w:t>
      </w:r>
      <w:r>
        <w:rPr>
          <w:rFonts w:ascii="Times New Roman" w:eastAsia="Times New Roman"/>
        </w:rPr>
        <w:t>10%</w:t>
      </w:r>
      <w:r>
        <w:rPr/>
        <w:t>）的基金份额持有人提名新的基金管理人和基金托管</w:t>
      </w:r>
    </w:p>
    <w:p>
      <w:pPr>
        <w:spacing w:after="0" w:line="364" w:lineRule="auto"/>
        <w:sectPr>
          <w:pgSz w:w="11910" w:h="16840"/>
          <w:pgMar w:header="0" w:footer="995" w:top="1460" w:bottom="1180" w:left="1680" w:right="1440"/>
        </w:sectPr>
      </w:pPr>
    </w:p>
    <w:p>
      <w:pPr>
        <w:pStyle w:val="BodyText"/>
        <w:spacing w:before="40"/>
      </w:pPr>
      <w:r>
        <w:rPr/>
        <w:t>人；</w:t>
      </w:r>
    </w:p>
    <w:p>
      <w:pPr>
        <w:pStyle w:val="BodyText"/>
        <w:ind w:left="600"/>
      </w:pPr>
      <w:r>
        <w:rPr>
          <w:rFonts w:ascii="Times New Roman" w:eastAsia="Times New Roman"/>
        </w:rPr>
        <w:t>2</w:t>
      </w:r>
      <w:r>
        <w:rPr/>
        <w:t>、基金管理人和基金托管人的更换分别按上述程序进行；</w:t>
      </w:r>
    </w:p>
    <w:p>
      <w:pPr>
        <w:pStyle w:val="BodyText"/>
        <w:spacing w:line="364" w:lineRule="auto"/>
        <w:ind w:right="360" w:firstLine="479"/>
        <w:jc w:val="both"/>
      </w:pPr>
      <w:r>
        <w:rPr>
          <w:rFonts w:ascii="Times New Roman" w:eastAsia="Times New Roman"/>
        </w:rPr>
        <w:t>3</w:t>
      </w:r>
      <w:r>
        <w:rPr/>
        <w:t>、公告：新任基金管理人和新任基金托管人应在更换基金管理人和基金托管人的基金份额持有人大会决议获得中国证监会核准后 </w:t>
      </w:r>
      <w:r>
        <w:rPr>
          <w:rFonts w:ascii="Times New Roman" w:eastAsia="Times New Roman"/>
        </w:rPr>
        <w:t>2 </w:t>
      </w:r>
      <w:r>
        <w:rPr/>
        <w:t>日内在指定媒介上联合公告。</w:t>
      </w:r>
    </w:p>
    <w:p>
      <w:pPr>
        <w:spacing w:after="0" w:line="364" w:lineRule="auto"/>
        <w:jc w:val="both"/>
        <w:sectPr>
          <w:pgSz w:w="11910" w:h="16840"/>
          <w:pgMar w:header="0" w:footer="995" w:top="1460" w:bottom="1180" w:left="1680" w:right="1440"/>
        </w:sectPr>
      </w:pPr>
    </w:p>
    <w:p>
      <w:pPr>
        <w:pStyle w:val="Heading1"/>
        <w:tabs>
          <w:tab w:pos="1804" w:val="left" w:leader="none"/>
        </w:tabs>
        <w:ind w:right="239"/>
      </w:pPr>
      <w:bookmarkStart w:name="_bookmark10" w:id="11"/>
      <w:bookmarkEnd w:id="11"/>
      <w:r>
        <w:rPr>
          <w:b w:val="0"/>
        </w:rPr>
      </w:r>
      <w:r>
        <w:rPr/>
        <w:t>第十一部分</w:t>
        <w:tab/>
        <w:t>基金的托管</w:t>
      </w:r>
    </w:p>
    <w:p>
      <w:pPr>
        <w:pStyle w:val="BodyText"/>
        <w:spacing w:before="6"/>
        <w:ind w:left="0"/>
        <w:rPr>
          <w:rFonts w:ascii="微软雅黑"/>
          <w:b/>
          <w:sz w:val="32"/>
        </w:rPr>
      </w:pPr>
    </w:p>
    <w:p>
      <w:pPr>
        <w:pStyle w:val="BodyText"/>
        <w:spacing w:line="364" w:lineRule="auto" w:before="0"/>
        <w:ind w:right="357" w:firstLine="479"/>
      </w:pPr>
      <w:r>
        <w:rPr>
          <w:spacing w:val="-10"/>
        </w:rPr>
        <w:t>基金托管人和基金管理人按照《基金法》</w:t>
      </w:r>
      <w:r>
        <w:rPr>
          <w:spacing w:val="-16"/>
        </w:rPr>
        <w:t>、《基金合同》及其他有关规定订立</w:t>
      </w:r>
      <w:r>
        <w:rPr/>
        <w:t>托管协议。</w:t>
      </w:r>
    </w:p>
    <w:p>
      <w:pPr>
        <w:pStyle w:val="BodyText"/>
        <w:spacing w:line="364" w:lineRule="auto" w:before="2"/>
        <w:ind w:right="35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0" w:footer="995" w:top="1500" w:bottom="1180" w:left="1680" w:right="1440"/>
        </w:sectPr>
      </w:pPr>
    </w:p>
    <w:p>
      <w:pPr>
        <w:pStyle w:val="Heading1"/>
        <w:tabs>
          <w:tab w:pos="1805" w:val="left" w:leader="none"/>
        </w:tabs>
        <w:ind w:right="238"/>
      </w:pPr>
      <w:bookmarkStart w:name="_bookmark11" w:id="12"/>
      <w:bookmarkEnd w:id="12"/>
      <w:r>
        <w:rPr>
          <w:b w:val="0"/>
        </w:rPr>
      </w:r>
      <w:r>
        <w:rPr/>
        <w:t>第十二部分</w:t>
        <w:tab/>
        <w:t>基金份额的登</w:t>
      </w:r>
      <w:r>
        <w:rPr>
          <w:spacing w:val="4"/>
        </w:rPr>
        <w:t>记</w:t>
      </w:r>
      <w:r>
        <w:rPr/>
        <w:t>结算</w:t>
      </w:r>
    </w:p>
    <w:p>
      <w:pPr>
        <w:pStyle w:val="BodyText"/>
        <w:spacing w:before="6"/>
        <w:ind w:left="0"/>
        <w:rPr>
          <w:rFonts w:ascii="微软雅黑"/>
          <w:b/>
          <w:sz w:val="32"/>
        </w:rPr>
      </w:pPr>
    </w:p>
    <w:p>
      <w:pPr>
        <w:pStyle w:val="BodyText"/>
        <w:spacing w:before="0"/>
        <w:ind w:left="600"/>
      </w:pPr>
      <w:r>
        <w:rPr/>
        <w:t>一、基金的份额登记结算业务</w:t>
      </w:r>
    </w:p>
    <w:p>
      <w:pPr>
        <w:pStyle w:val="BodyText"/>
        <w:spacing w:line="364" w:lineRule="auto"/>
        <w:ind w:right="238" w:firstLine="479"/>
        <w:jc w:val="both"/>
      </w:pPr>
      <w:r>
        <w:rPr>
          <w:spacing w:val="-6"/>
        </w:rPr>
        <w:t>本基金的登记结算业务指本指基金登记、存管、过户、清算和结算业务，具</w:t>
      </w:r>
      <w:r>
        <w:rPr>
          <w:spacing w:val="-10"/>
        </w:rPr>
        <w:t>体内容包括投资人基金账户的建立和管理、基金份额登记、基金交易的确认、清</w:t>
      </w:r>
      <w:r>
        <w:rPr>
          <w:spacing w:val="-18"/>
        </w:rPr>
        <w:t>算和结算、代理发放红利、建立并保管基金份额持有人名册和办理非交易过户等。</w:t>
      </w:r>
    </w:p>
    <w:p>
      <w:pPr>
        <w:pStyle w:val="BodyText"/>
        <w:spacing w:before="2"/>
        <w:ind w:left="600"/>
      </w:pPr>
      <w:r>
        <w:rPr/>
        <w:t>二、基金登记结算业务办理机构</w:t>
      </w:r>
    </w:p>
    <w:p>
      <w:pPr>
        <w:pStyle w:val="BodyText"/>
        <w:spacing w:line="364" w:lineRule="auto" w:before="160"/>
        <w:ind w:right="349" w:firstLine="479"/>
        <w:jc w:val="both"/>
      </w:pPr>
      <w:r>
        <w:rPr>
          <w:spacing w:val="4"/>
        </w:rPr>
        <w:t>本基金的登记结算业务由基金管理人或基金管理人委托的其他符合条件的</w:t>
      </w:r>
      <w:r>
        <w:rPr>
          <w:spacing w:val="-9"/>
        </w:rPr>
        <w:t>机构办理。基金管理人委托其他机构办理本基金登记结算业务的，应与代理人签</w:t>
      </w:r>
      <w:r>
        <w:rPr>
          <w:spacing w:val="-13"/>
        </w:rPr>
        <w:t>订委托代理协议，以明确基金管理人和代理机构在投资者基金账户管理、基金份额登记、清算及基金交易确认、发放红利、建立并保管基金份额持有人名册等事宜中的权利和义务，保护基金份额持有人的合法权益。</w:t>
      </w:r>
    </w:p>
    <w:p>
      <w:pPr>
        <w:pStyle w:val="BodyText"/>
        <w:spacing w:before="4"/>
        <w:ind w:left="600"/>
      </w:pPr>
      <w:r>
        <w:rPr/>
        <w:t>三、基金登记结算机构的权利</w:t>
      </w:r>
    </w:p>
    <w:p>
      <w:pPr>
        <w:pStyle w:val="BodyText"/>
        <w:spacing w:before="160"/>
        <w:ind w:left="600"/>
      </w:pPr>
      <w:r>
        <w:rPr/>
        <w:t>基金登记结算机构享有以下权利：</w:t>
      </w:r>
    </w:p>
    <w:p>
      <w:pPr>
        <w:pStyle w:val="BodyText"/>
        <w:ind w:left="600"/>
      </w:pPr>
      <w:r>
        <w:rPr>
          <w:rFonts w:ascii="Times New Roman" w:eastAsia="Times New Roman"/>
        </w:rPr>
        <w:t>1</w:t>
      </w:r>
      <w:r>
        <w:rPr/>
        <w:t>、取得登记结算费；</w:t>
      </w:r>
    </w:p>
    <w:p>
      <w:pPr>
        <w:pStyle w:val="BodyText"/>
        <w:spacing w:before="160"/>
        <w:ind w:left="600"/>
      </w:pPr>
      <w:r>
        <w:rPr>
          <w:rFonts w:ascii="Times New Roman" w:eastAsia="Times New Roman"/>
        </w:rPr>
        <w:t>2</w:t>
      </w:r>
      <w:r>
        <w:rPr/>
        <w:t>、建立和管理投资者基金账户；</w:t>
      </w:r>
    </w:p>
    <w:p>
      <w:pPr>
        <w:pStyle w:val="BodyText"/>
        <w:ind w:left="600"/>
      </w:pPr>
      <w:r>
        <w:rPr>
          <w:rFonts w:ascii="Times New Roman" w:eastAsia="Times New Roman"/>
        </w:rPr>
        <w:t>3</w:t>
      </w:r>
      <w:r>
        <w:rPr/>
        <w:t>、保管基金份额持有人开户资料、交易资料、基金份额持有人名册等；</w:t>
      </w:r>
    </w:p>
    <w:p>
      <w:pPr>
        <w:pStyle w:val="BodyText"/>
        <w:spacing w:line="364" w:lineRule="auto"/>
        <w:ind w:right="362" w:firstLine="479"/>
      </w:pPr>
      <w:r>
        <w:rPr>
          <w:rFonts w:ascii="Times New Roman" w:eastAsia="Times New Roman"/>
        </w:rPr>
        <w:t>4</w:t>
      </w:r>
      <w:r>
        <w:rPr/>
        <w:t>、在法律法规允许的范围内，对登记结算业务的办理时间进行调整，并依照有关规定于开始实施前在指定媒介上公告；</w:t>
      </w:r>
    </w:p>
    <w:p>
      <w:pPr>
        <w:pStyle w:val="BodyText"/>
        <w:spacing w:line="364" w:lineRule="auto" w:before="1"/>
        <w:ind w:left="600" w:right="4945"/>
      </w:pPr>
      <w:r>
        <w:rPr>
          <w:rFonts w:ascii="Times New Roman" w:eastAsia="Times New Roman"/>
        </w:rPr>
        <w:t>5</w:t>
      </w:r>
      <w:r>
        <w:rPr/>
        <w:t>、法律法规规定的其他权利。四、基金登记结算机构的义务</w:t>
      </w:r>
    </w:p>
    <w:p>
      <w:pPr>
        <w:pStyle w:val="BodyText"/>
        <w:spacing w:before="1"/>
        <w:ind w:left="600"/>
      </w:pPr>
      <w:r>
        <w:rPr/>
        <w:t>基金登记结算机构承担以下义务：</w:t>
      </w:r>
    </w:p>
    <w:p>
      <w:pPr>
        <w:pStyle w:val="BodyText"/>
        <w:ind w:left="600"/>
      </w:pPr>
      <w:r>
        <w:rPr>
          <w:rFonts w:ascii="Times New Roman" w:eastAsia="Times New Roman"/>
        </w:rPr>
        <w:t>1</w:t>
      </w:r>
      <w:r>
        <w:rPr/>
        <w:t>、配备足够的专业人员办理本基金份额的登记结算业务；</w:t>
      </w:r>
    </w:p>
    <w:p>
      <w:pPr>
        <w:pStyle w:val="BodyText"/>
        <w:spacing w:line="364" w:lineRule="auto" w:before="160"/>
        <w:ind w:right="360" w:firstLine="479"/>
      </w:pPr>
      <w:r>
        <w:rPr>
          <w:rFonts w:ascii="Times New Roman" w:eastAsia="Times New Roman"/>
        </w:rPr>
        <w:t>2</w:t>
      </w:r>
      <w:r>
        <w:rPr/>
        <w:t>、严格按照法律法规和《基金合同》规定的条件办理本基金份额的登记结算业务；</w:t>
      </w:r>
    </w:p>
    <w:p>
      <w:pPr>
        <w:pStyle w:val="BodyText"/>
        <w:spacing w:line="364" w:lineRule="auto" w:before="2"/>
        <w:ind w:right="358" w:firstLine="479"/>
      </w:pPr>
      <w:r>
        <w:rPr>
          <w:rFonts w:ascii="Times New Roman" w:eastAsia="Times New Roman"/>
        </w:rPr>
        <w:t>3</w:t>
      </w:r>
      <w:r>
        <w:rPr>
          <w:spacing w:val="-12"/>
        </w:rPr>
        <w:t>、保存基金份额持有人名册及相关的认购、申购与赎回等业务记录 </w:t>
      </w:r>
      <w:r>
        <w:rPr>
          <w:rFonts w:ascii="Times New Roman" w:eastAsia="Times New Roman"/>
        </w:rPr>
        <w:t>15 </w:t>
      </w:r>
      <w:r>
        <w:rPr>
          <w:spacing w:val="-8"/>
        </w:rPr>
        <w:t>年以</w:t>
      </w:r>
      <w:r>
        <w:rPr/>
        <w:t>上；</w:t>
      </w:r>
    </w:p>
    <w:p>
      <w:pPr>
        <w:pStyle w:val="BodyText"/>
        <w:spacing w:line="364" w:lineRule="auto" w:before="1"/>
        <w:ind w:right="359" w:firstLine="479"/>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p>
    <w:p>
      <w:pPr>
        <w:spacing w:after="0" w:line="364" w:lineRule="auto"/>
        <w:sectPr>
          <w:pgSz w:w="11910" w:h="16840"/>
          <w:pgMar w:header="0" w:footer="995" w:top="1500" w:bottom="1180" w:left="1680" w:right="1440"/>
        </w:sectPr>
      </w:pPr>
    </w:p>
    <w:p>
      <w:pPr>
        <w:pStyle w:val="BodyText"/>
        <w:spacing w:before="40"/>
      </w:pPr>
      <w:r>
        <w:rPr/>
        <w:t>法规规定的其他情形除外；</w:t>
      </w:r>
    </w:p>
    <w:p>
      <w:pPr>
        <w:pStyle w:val="BodyText"/>
        <w:spacing w:line="364" w:lineRule="auto"/>
        <w:ind w:right="364" w:firstLine="479"/>
      </w:pPr>
      <w:r>
        <w:rPr>
          <w:rFonts w:ascii="Times New Roman" w:eastAsia="Times New Roman"/>
        </w:rPr>
        <w:t>5</w:t>
      </w:r>
      <w:r>
        <w:rPr/>
        <w:t>、按《基金合同》及招募说明书规定为投资者办理非交易过户业务、提供其他必要的服务；</w:t>
      </w:r>
    </w:p>
    <w:p>
      <w:pPr>
        <w:pStyle w:val="BodyText"/>
        <w:spacing w:before="2"/>
        <w:ind w:left="600"/>
      </w:pPr>
      <w:r>
        <w:rPr>
          <w:rFonts w:ascii="Times New Roman" w:eastAsia="Times New Roman"/>
        </w:rPr>
        <w:t>6</w:t>
      </w:r>
      <w:r>
        <w:rPr/>
        <w:t>、接受基金管理人的监督；</w:t>
      </w:r>
    </w:p>
    <w:p>
      <w:pPr>
        <w:pStyle w:val="BodyText"/>
        <w:spacing w:before="160"/>
        <w:ind w:left="600"/>
      </w:pPr>
      <w:r>
        <w:rPr>
          <w:rFonts w:ascii="Times New Roman" w:eastAsia="Times New Roman"/>
        </w:rPr>
        <w:t>7</w:t>
      </w:r>
      <w:r>
        <w:rPr/>
        <w:t>、法律法规规定的其他义务。</w:t>
      </w:r>
    </w:p>
    <w:p>
      <w:pPr>
        <w:spacing w:after="0"/>
        <w:sectPr>
          <w:pgSz w:w="11910" w:h="16840"/>
          <w:pgMar w:header="0" w:footer="995" w:top="1460" w:bottom="1180" w:left="1680" w:right="1440"/>
        </w:sectPr>
      </w:pPr>
    </w:p>
    <w:p>
      <w:pPr>
        <w:pStyle w:val="Heading1"/>
        <w:tabs>
          <w:tab w:pos="1804" w:val="left" w:leader="none"/>
        </w:tabs>
        <w:ind w:right="239"/>
      </w:pPr>
      <w:bookmarkStart w:name="_bookmark12" w:id="13"/>
      <w:bookmarkEnd w:id="13"/>
      <w:r>
        <w:rPr>
          <w:b w:val="0"/>
        </w:rPr>
      </w:r>
      <w:r>
        <w:rPr/>
        <w:t>第十三部分</w:t>
        <w:tab/>
        <w:t>基金的投资</w:t>
      </w:r>
    </w:p>
    <w:p>
      <w:pPr>
        <w:pStyle w:val="BodyText"/>
        <w:spacing w:before="6"/>
        <w:ind w:left="0"/>
        <w:rPr>
          <w:rFonts w:ascii="微软雅黑"/>
          <w:b/>
          <w:sz w:val="32"/>
        </w:rPr>
      </w:pPr>
    </w:p>
    <w:p>
      <w:pPr>
        <w:pStyle w:val="BodyText"/>
        <w:spacing w:before="0"/>
        <w:ind w:left="600"/>
      </w:pPr>
      <w:r>
        <w:rPr/>
        <w:t>一、投资目标</w:t>
      </w:r>
    </w:p>
    <w:p>
      <w:pPr>
        <w:pStyle w:val="BodyText"/>
        <w:spacing w:line="364" w:lineRule="auto"/>
        <w:ind w:right="357" w:firstLine="479"/>
      </w:pPr>
      <w:r>
        <w:rPr>
          <w:spacing w:val="-10"/>
        </w:rPr>
        <w:t>本基金通过指数化投资，争取在扣除各项费用之前获得与标的指数相似的总</w:t>
      </w:r>
      <w:r>
        <w:rPr/>
        <w:t>回报，追求跟踪偏离度及跟踪误差的最小化。</w:t>
      </w:r>
    </w:p>
    <w:p>
      <w:pPr>
        <w:pStyle w:val="BodyText"/>
        <w:spacing w:before="1"/>
        <w:ind w:left="600"/>
      </w:pPr>
      <w:r>
        <w:rPr/>
        <w:t>二、投资范围</w:t>
      </w:r>
    </w:p>
    <w:p>
      <w:pPr>
        <w:pStyle w:val="BodyText"/>
        <w:spacing w:line="364" w:lineRule="auto"/>
        <w:ind w:right="244" w:firstLine="419"/>
      </w:pPr>
      <w:r>
        <w:rPr>
          <w:spacing w:val="-3"/>
        </w:rPr>
        <w:t>本基金的投资范围为具有良好流动性的金融工具，包括国债、央行票据、地</w:t>
      </w:r>
      <w:r>
        <w:rPr>
          <w:spacing w:val="-4"/>
        </w:rPr>
        <w:t>方政府债、金融债、企业债、短期融资券、中期票据、公司债、资产支持证券、</w:t>
      </w:r>
      <w:r>
        <w:rPr>
          <w:spacing w:val="-10"/>
        </w:rPr>
        <w:t>债券逆回购、银行存款等固定收益类资产以及法律法规或中国证监会允许基金投资的其他金融工具，但须符合中国证监会相关规定。</w:t>
      </w:r>
    </w:p>
    <w:p>
      <w:pPr>
        <w:pStyle w:val="BodyText"/>
        <w:spacing w:line="364" w:lineRule="auto" w:before="3"/>
        <w:ind w:right="304" w:firstLine="419"/>
      </w:pPr>
      <w:r>
        <w:rPr/>
        <w:t>本基金不直接在二级市场买入股票、可转换债券、权证等资产，也不参与一级市场新股申购、新股增发、新可转换债券申购。</w:t>
      </w:r>
    </w:p>
    <w:p>
      <w:pPr>
        <w:pStyle w:val="BodyText"/>
        <w:spacing w:line="364" w:lineRule="auto" w:before="1"/>
        <w:ind w:right="304" w:firstLine="419"/>
      </w:pPr>
      <w:r>
        <w:rPr/>
        <w:t>如法律法规或监管机构以后允许基金投资其他品种，基金管理人履行适当程序后，可以将其纳入投资范围。</w:t>
      </w:r>
    </w:p>
    <w:p>
      <w:pPr>
        <w:pStyle w:val="BodyText"/>
        <w:spacing w:line="364" w:lineRule="auto" w:before="1"/>
        <w:ind w:right="356" w:firstLine="419"/>
        <w:jc w:val="both"/>
      </w:pPr>
      <w:r>
        <w:rPr>
          <w:spacing w:val="-8"/>
        </w:rPr>
        <w:t>本基金各类资产的投资比例范围为：中债</w:t>
      </w:r>
      <w:r>
        <w:rPr>
          <w:rFonts w:ascii="Times New Roman" w:eastAsia="Times New Roman"/>
        </w:rPr>
        <w:t>-</w:t>
      </w:r>
      <w:r>
        <w:rPr>
          <w:spacing w:val="-2"/>
        </w:rPr>
        <w:t>新综合指数成份券的投资比例不低</w:t>
      </w:r>
      <w:r>
        <w:rPr>
          <w:spacing w:val="-7"/>
        </w:rPr>
        <w:t>于基金资产净值的 </w:t>
      </w:r>
      <w:r>
        <w:rPr>
          <w:rFonts w:ascii="Times New Roman" w:eastAsia="Times New Roman"/>
        </w:rPr>
        <w:t>90</w:t>
      </w:r>
      <w:r>
        <w:rPr>
          <w:rFonts w:ascii="Times New Roman" w:eastAsia="Times New Roman"/>
          <w:spacing w:val="-1"/>
        </w:rPr>
        <w:t>%</w:t>
      </w:r>
      <w:r>
        <w:rPr>
          <w:spacing w:val="-13"/>
        </w:rPr>
        <w:t>，现金或者到期日在一年以内的政府债券不低于基金资产</w:t>
      </w:r>
      <w:r>
        <w:rPr>
          <w:spacing w:val="-16"/>
        </w:rPr>
        <w:t>净值的 </w:t>
      </w:r>
      <w:r>
        <w:rPr>
          <w:rFonts w:ascii="Times New Roman" w:eastAsia="Times New Roman"/>
        </w:rPr>
        <w:t>5%</w:t>
      </w:r>
      <w:r>
        <w:rPr/>
        <w:t>，现金不包括结算备付金、存出保证金、应收申购款等。</w:t>
      </w:r>
    </w:p>
    <w:p>
      <w:pPr>
        <w:pStyle w:val="BodyText"/>
        <w:spacing w:before="2"/>
        <w:ind w:left="319"/>
      </w:pPr>
      <w:r>
        <w:rPr/>
        <w:t>三、投资理念</w:t>
      </w:r>
    </w:p>
    <w:p>
      <w:pPr>
        <w:pStyle w:val="BodyText"/>
        <w:spacing w:line="364" w:lineRule="auto"/>
        <w:ind w:right="357" w:firstLine="419"/>
        <w:jc w:val="both"/>
      </w:pPr>
      <w:r>
        <w:rPr>
          <w:spacing w:val="-3"/>
        </w:rPr>
        <w:t>本基金采取分层抽样和动态最优化的方法进行被动式指数化投资，以实现对</w:t>
      </w:r>
      <w:r>
        <w:rPr/>
        <w:t>代表中国债券市场走势的中债</w:t>
      </w:r>
      <w:r>
        <w:rPr>
          <w:rFonts w:ascii="Times New Roman" w:eastAsia="Times New Roman"/>
        </w:rPr>
        <w:t>-</w:t>
      </w:r>
      <w:r>
        <w:rPr/>
        <w:t>新综合指数的跟踪，力求为投资者提供分享中国债券市场发展的投资工具。</w:t>
      </w:r>
    </w:p>
    <w:p>
      <w:pPr>
        <w:pStyle w:val="BodyText"/>
        <w:spacing w:before="2"/>
        <w:ind w:left="600"/>
      </w:pPr>
      <w:r>
        <w:rPr/>
        <w:t>四、投资策略</w:t>
      </w:r>
    </w:p>
    <w:p>
      <w:pPr>
        <w:pStyle w:val="BodyText"/>
        <w:spacing w:line="364" w:lineRule="auto" w:before="160"/>
        <w:ind w:right="117" w:firstLine="479"/>
      </w:pPr>
      <w:r>
        <w:rPr>
          <w:spacing w:val="-8"/>
        </w:rPr>
        <w:t>本基金为被动管理的指数基金，主要采用分层抽样复制和动态最优化的方法， </w:t>
      </w:r>
      <w:r>
        <w:rPr/>
        <w:t>构造与标的指数风险收益特征相似的资产组合，以实现对标的指数的有效跟踪。</w:t>
      </w:r>
    </w:p>
    <w:p>
      <w:pPr>
        <w:pStyle w:val="BodyText"/>
        <w:spacing w:line="364" w:lineRule="auto" w:before="2"/>
        <w:ind w:right="356" w:firstLine="479"/>
        <w:jc w:val="both"/>
      </w:pPr>
      <w:r>
        <w:rPr>
          <w:spacing w:val="-11"/>
        </w:rPr>
        <w:t>在正常市场情况下，本基金力争将净值增长率与业绩比较基准之间的日均跟</w:t>
      </w:r>
      <w:r>
        <w:rPr>
          <w:spacing w:val="-6"/>
        </w:rPr>
        <w:t>踪偏离度的绝对值控制在 </w:t>
      </w:r>
      <w:r>
        <w:rPr>
          <w:rFonts w:ascii="Times New Roman" w:eastAsia="Times New Roman"/>
        </w:rPr>
        <w:t>0.2%</w:t>
      </w:r>
      <w:r>
        <w:rPr>
          <w:spacing w:val="-10"/>
        </w:rPr>
        <w:t>以内，将年化跟踪误差控制在 </w:t>
      </w:r>
      <w:r>
        <w:rPr>
          <w:rFonts w:ascii="Times New Roman" w:eastAsia="Times New Roman"/>
        </w:rPr>
        <w:t>2%</w:t>
      </w:r>
      <w:r>
        <w:rPr>
          <w:spacing w:val="-9"/>
        </w:rPr>
        <w:t>以内。如因指数</w:t>
      </w:r>
      <w:r>
        <w:rPr>
          <w:spacing w:val="-5"/>
        </w:rPr>
        <w:t>编制规则调整或其他因素导致跟踪偏离度和跟踪误差超过上述范围，基金管理人</w:t>
      </w:r>
      <w:r>
        <w:rPr/>
        <w:t>应采取合理措施避免跟踪偏离度、跟踪误差进一步扩大。</w:t>
      </w:r>
    </w:p>
    <w:p>
      <w:pPr>
        <w:pStyle w:val="BodyText"/>
        <w:spacing w:before="2"/>
        <w:ind w:left="600"/>
      </w:pPr>
      <w:r>
        <w:rPr>
          <w:rFonts w:ascii="Times New Roman" w:eastAsia="Times New Roman"/>
        </w:rPr>
        <w:t>1</w:t>
      </w:r>
      <w:r>
        <w:rPr/>
        <w:t>、债券指数化投资策略</w:t>
      </w:r>
    </w:p>
    <w:p>
      <w:pPr>
        <w:spacing w:after="0"/>
        <w:sectPr>
          <w:pgSz w:w="11910" w:h="16840"/>
          <w:pgMar w:header="0" w:footer="995" w:top="1500" w:bottom="1180" w:left="1680" w:right="1440"/>
        </w:sectPr>
      </w:pPr>
    </w:p>
    <w:p>
      <w:pPr>
        <w:pStyle w:val="ListParagraph"/>
        <w:numPr>
          <w:ilvl w:val="0"/>
          <w:numId w:val="16"/>
        </w:numPr>
        <w:tabs>
          <w:tab w:pos="1202" w:val="left" w:leader="none"/>
        </w:tabs>
        <w:spacing w:line="240" w:lineRule="auto" w:before="60" w:after="0"/>
        <w:ind w:left="1201" w:right="0" w:hanging="602"/>
        <w:jc w:val="left"/>
        <w:rPr>
          <w:sz w:val="24"/>
        </w:rPr>
      </w:pPr>
      <w:r>
        <w:rPr>
          <w:sz w:val="24"/>
        </w:rPr>
        <w:t>债券投资组合的构建策略</w:t>
      </w:r>
    </w:p>
    <w:p>
      <w:pPr>
        <w:pStyle w:val="BodyText"/>
        <w:spacing w:line="364" w:lineRule="auto"/>
        <w:ind w:right="358" w:firstLine="479"/>
      </w:pPr>
      <w:r>
        <w:rPr>
          <w:spacing w:val="-6"/>
        </w:rPr>
        <w:t>构建投资组合的过程主要分为三步：划分债券层级、筛选目标组合成份券和</w:t>
      </w:r>
      <w:r>
        <w:rPr/>
        <w:t>逐步调整建仓。</w:t>
      </w:r>
    </w:p>
    <w:p>
      <w:pPr>
        <w:pStyle w:val="BodyText"/>
        <w:spacing w:before="2"/>
        <w:ind w:left="600"/>
      </w:pPr>
      <w:r>
        <w:rPr/>
        <w:t>①划分债券层级</w:t>
      </w:r>
    </w:p>
    <w:p>
      <w:pPr>
        <w:pStyle w:val="BodyText"/>
        <w:spacing w:line="364" w:lineRule="auto" w:before="160"/>
        <w:ind w:right="361" w:firstLine="479"/>
      </w:pPr>
      <w:r>
        <w:rPr>
          <w:spacing w:val="-2"/>
        </w:rPr>
        <w:t>本基金根据债券的不同特征</w:t>
      </w:r>
      <w:r>
        <w:rPr/>
        <w:t>（</w:t>
      </w:r>
      <w:r>
        <w:rPr>
          <w:spacing w:val="-6"/>
        </w:rPr>
        <w:t>例如债券种类、剩余期限、信用等级等</w:t>
      </w:r>
      <w:r>
        <w:rPr>
          <w:spacing w:val="-24"/>
        </w:rPr>
        <w:t>）</w:t>
      </w:r>
      <w:r>
        <w:rPr>
          <w:spacing w:val="-9"/>
        </w:rPr>
        <w:t>将标</w:t>
      </w:r>
      <w:r>
        <w:rPr/>
        <w:t>的指数成份券划分层级，按照分层抽样的原理，确定各层级成份券及其权重。</w:t>
      </w:r>
    </w:p>
    <w:p>
      <w:pPr>
        <w:pStyle w:val="BodyText"/>
        <w:spacing w:before="1"/>
        <w:ind w:left="600"/>
      </w:pPr>
      <w:r>
        <w:rPr/>
        <w:t>②筛选目标组合成份券</w:t>
      </w:r>
    </w:p>
    <w:p>
      <w:pPr>
        <w:pStyle w:val="BodyText"/>
        <w:spacing w:line="364" w:lineRule="auto"/>
        <w:ind w:right="357" w:firstLine="479"/>
        <w:jc w:val="both"/>
      </w:pPr>
      <w:r>
        <w:rPr>
          <w:spacing w:val="-11"/>
        </w:rPr>
        <w:t>分层完成后，本基金在各层级成份券内利用动态最优化或随机抽样等方法筛</w:t>
      </w:r>
      <w:r>
        <w:rPr>
          <w:spacing w:val="-2"/>
        </w:rPr>
        <w:t>选出与各层级总体风险收益特征</w:t>
      </w:r>
      <w:r>
        <w:rPr/>
        <w:t>（</w:t>
      </w:r>
      <w:r>
        <w:rPr>
          <w:spacing w:val="-5"/>
        </w:rPr>
        <w:t>例如久期、凸性等</w:t>
      </w:r>
      <w:r>
        <w:rPr>
          <w:spacing w:val="-24"/>
        </w:rPr>
        <w:t>）</w:t>
      </w:r>
      <w:r>
        <w:rPr>
          <w:spacing w:val="-3"/>
        </w:rPr>
        <w:t>相近的且流动性较好</w:t>
      </w:r>
      <w:r>
        <w:rPr/>
        <w:t>（</w:t>
      </w:r>
      <w:r>
        <w:rPr>
          <w:spacing w:val="-15"/>
        </w:rPr>
        <w:t>主</w:t>
      </w:r>
      <w:r>
        <w:rPr>
          <w:spacing w:val="-5"/>
        </w:rPr>
        <w:t>要考虑发行规模、日均成交金额、期间成交天数等指标</w:t>
      </w:r>
      <w:r>
        <w:rPr>
          <w:spacing w:val="-24"/>
        </w:rPr>
        <w:t>）</w:t>
      </w:r>
      <w:r>
        <w:rPr>
          <w:spacing w:val="-6"/>
        </w:rPr>
        <w:t>的个券组合，并使目标</w:t>
      </w:r>
      <w:r>
        <w:rPr/>
        <w:t>组合的投资比例与各层级的权重相似。</w:t>
      </w:r>
    </w:p>
    <w:p>
      <w:pPr>
        <w:pStyle w:val="BodyText"/>
        <w:spacing w:before="3"/>
        <w:ind w:left="600"/>
      </w:pPr>
      <w:r>
        <w:rPr/>
        <w:t>③逐步建仓</w:t>
      </w:r>
    </w:p>
    <w:p>
      <w:pPr>
        <w:pStyle w:val="BodyText"/>
        <w:spacing w:before="160"/>
        <w:ind w:left="600"/>
      </w:pPr>
      <w:r>
        <w:rPr/>
        <w:t>本基金将根据实际的市场流动性情况和市场投资机会逐步建仓。</w:t>
      </w:r>
    </w:p>
    <w:p>
      <w:pPr>
        <w:pStyle w:val="ListParagraph"/>
        <w:numPr>
          <w:ilvl w:val="0"/>
          <w:numId w:val="16"/>
        </w:numPr>
        <w:tabs>
          <w:tab w:pos="1202" w:val="left" w:leader="none"/>
        </w:tabs>
        <w:spacing w:line="240" w:lineRule="auto" w:before="161" w:after="0"/>
        <w:ind w:left="1201" w:right="0" w:hanging="602"/>
        <w:jc w:val="left"/>
        <w:rPr>
          <w:sz w:val="24"/>
        </w:rPr>
      </w:pPr>
      <w:r>
        <w:rPr>
          <w:sz w:val="24"/>
        </w:rPr>
        <w:t>债券投资组合的调整策略</w:t>
      </w:r>
    </w:p>
    <w:p>
      <w:pPr>
        <w:pStyle w:val="BodyText"/>
        <w:spacing w:before="160"/>
        <w:ind w:left="600"/>
      </w:pPr>
      <w:r>
        <w:rPr/>
        <w:t>①定期调整</w:t>
      </w:r>
    </w:p>
    <w:p>
      <w:pPr>
        <w:pStyle w:val="BodyText"/>
        <w:spacing w:line="364" w:lineRule="auto"/>
        <w:ind w:right="349" w:firstLine="479"/>
        <w:jc w:val="both"/>
      </w:pPr>
      <w:r>
        <w:rPr>
          <w:spacing w:val="4"/>
        </w:rPr>
        <w:t>基金管理人将每月评估投资组合整体以及各层级债券与标的指数的偏离情</w:t>
      </w:r>
      <w:r>
        <w:rPr>
          <w:spacing w:val="-9"/>
        </w:rPr>
        <w:t>况，定期对投资组合进行调整，以确保组合总体特征与标的指数相似，并缩小跟踪误差。</w:t>
      </w:r>
    </w:p>
    <w:p>
      <w:pPr>
        <w:pStyle w:val="BodyText"/>
        <w:spacing w:before="2"/>
        <w:ind w:left="600"/>
      </w:pPr>
      <w:r>
        <w:rPr/>
        <w:t>②不定期调整</w:t>
      </w:r>
    </w:p>
    <w:p>
      <w:pPr>
        <w:pStyle w:val="BodyText"/>
        <w:spacing w:line="364" w:lineRule="auto" w:before="160"/>
        <w:ind w:right="356" w:firstLine="479"/>
        <w:jc w:val="both"/>
      </w:pPr>
      <w:r>
        <w:rPr>
          <w:spacing w:val="-9"/>
        </w:rPr>
        <w:t>当发生较大的申购赎回、组合中债券派息、债券到期以及市场波动剧烈等情</w:t>
      </w:r>
      <w:r>
        <w:rPr>
          <w:spacing w:val="-10"/>
        </w:rPr>
        <w:t>况，导致投资组合与标的指数出现偏离，本基金将综合考虑市场流动性、交易成</w:t>
      </w:r>
      <w:r>
        <w:rPr/>
        <w:t>本、偏离程度等因素，对投资组合进行不定期的动态调整以缩小跟踪误差。</w:t>
      </w:r>
    </w:p>
    <w:p>
      <w:pPr>
        <w:pStyle w:val="BodyText"/>
        <w:spacing w:before="2"/>
        <w:ind w:left="600"/>
      </w:pPr>
      <w:r>
        <w:rPr>
          <w:rFonts w:ascii="Times New Roman" w:eastAsia="Times New Roman"/>
        </w:rPr>
        <w:t>2</w:t>
      </w:r>
      <w:r>
        <w:rPr/>
        <w:t>、其他投资策略</w:t>
      </w:r>
    </w:p>
    <w:p>
      <w:pPr>
        <w:pStyle w:val="BodyText"/>
        <w:spacing w:line="364" w:lineRule="auto"/>
        <w:ind w:right="242" w:firstLine="479"/>
      </w:pPr>
      <w:r>
        <w:rPr>
          <w:spacing w:val="-1"/>
        </w:rPr>
        <w:t>为了在一定程度上弥补基金费用，基金管理人还可以在控制风险的前提下， </w:t>
      </w:r>
      <w:r>
        <w:rPr>
          <w:spacing w:val="-8"/>
        </w:rPr>
        <w:t>使用其他投资策略。例如，基金管理人可以利用银行间市场与交易所市场，或债</w:t>
      </w:r>
      <w:r>
        <w:rPr>
          <w:spacing w:val="-11"/>
        </w:rPr>
        <w:t>券一、二级市场间的套利机会进行跨市场套利；还可以使用事件驱动策略，即通</w:t>
      </w:r>
      <w:r>
        <w:rPr>
          <w:spacing w:val="-15"/>
        </w:rPr>
        <w:t>过分析重大事件发生对投资标的定价的影响而进行套利；也可以使用公允价值策</w:t>
      </w:r>
      <w:r>
        <w:rPr>
          <w:spacing w:val="-14"/>
        </w:rPr>
        <w:t>略，即通过对债券市场价格与模型价格偏离度的研究，采取相应的增</w:t>
      </w:r>
      <w:r>
        <w:rPr>
          <w:rFonts w:ascii="Times New Roman" w:eastAsia="Times New Roman"/>
        </w:rPr>
        <w:t>/</w:t>
      </w:r>
      <w:r>
        <w:rPr/>
        <w:t>减仓操作； 或运用杠杆原理进行回购交易等。</w:t>
      </w:r>
    </w:p>
    <w:p>
      <w:pPr>
        <w:spacing w:after="0" w:line="364" w:lineRule="auto"/>
        <w:sectPr>
          <w:pgSz w:w="11910" w:h="16840"/>
          <w:pgMar w:header="0" w:footer="995" w:top="1440" w:bottom="1180" w:left="1680" w:right="1440"/>
        </w:sectPr>
      </w:pPr>
    </w:p>
    <w:p>
      <w:pPr>
        <w:pStyle w:val="BodyText"/>
        <w:spacing w:before="40"/>
        <w:ind w:left="600"/>
      </w:pPr>
      <w:r>
        <w:rPr/>
        <w:t>五、投资限制</w:t>
      </w:r>
    </w:p>
    <w:p>
      <w:pPr>
        <w:pStyle w:val="BodyText"/>
        <w:ind w:left="600"/>
      </w:pPr>
      <w:r>
        <w:rPr>
          <w:rFonts w:ascii="Times New Roman" w:eastAsia="Times New Roman"/>
        </w:rPr>
        <w:t>1</w:t>
      </w:r>
      <w:r>
        <w:rPr/>
        <w:t>、组合限制</w:t>
      </w:r>
    </w:p>
    <w:p>
      <w:pPr>
        <w:pStyle w:val="BodyText"/>
        <w:ind w:left="600"/>
      </w:pPr>
      <w:r>
        <w:rPr/>
        <w:t>基金的投资组合应遵循以下限制：</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中债</w:t>
      </w:r>
      <w:r>
        <w:rPr>
          <w:rFonts w:ascii="Times New Roman" w:eastAsia="Times New Roman"/>
          <w:sz w:val="24"/>
        </w:rPr>
        <w:t>-</w:t>
      </w:r>
      <w:r>
        <w:rPr>
          <w:spacing w:val="-3"/>
          <w:sz w:val="24"/>
        </w:rPr>
        <w:t>新综合指数成份券的投资比例不低于基金资产净值的 </w:t>
      </w:r>
      <w:r>
        <w:rPr>
          <w:rFonts w:ascii="Times New Roman" w:eastAsia="Times New Roman"/>
          <w:sz w:val="24"/>
        </w:rPr>
        <w:t>90%</w:t>
      </w:r>
      <w:r>
        <w:rPr>
          <w:sz w:val="24"/>
        </w:rPr>
        <w:t>；</w:t>
      </w:r>
    </w:p>
    <w:p>
      <w:pPr>
        <w:pStyle w:val="ListParagraph"/>
        <w:numPr>
          <w:ilvl w:val="0"/>
          <w:numId w:val="17"/>
        </w:numPr>
        <w:tabs>
          <w:tab w:pos="1202" w:val="left" w:leader="none"/>
        </w:tabs>
        <w:spacing w:line="364" w:lineRule="auto" w:before="161" w:after="0"/>
        <w:ind w:left="120" w:right="416" w:firstLine="479"/>
        <w:jc w:val="left"/>
        <w:rPr>
          <w:sz w:val="24"/>
        </w:rPr>
      </w:pPr>
      <w:r>
        <w:rPr>
          <w:spacing w:val="-3"/>
          <w:sz w:val="24"/>
        </w:rPr>
        <w:t>现金或者到期日在一年以内的政府债券不低于基金资产净值的 </w:t>
      </w:r>
      <w:r>
        <w:rPr>
          <w:rFonts w:ascii="Times New Roman" w:eastAsia="Times New Roman"/>
          <w:spacing w:val="-20"/>
          <w:sz w:val="24"/>
        </w:rPr>
        <w:t>5%</w:t>
      </w:r>
      <w:r>
        <w:rPr>
          <w:spacing w:val="-20"/>
          <w:sz w:val="24"/>
        </w:rPr>
        <w:t>， </w:t>
      </w:r>
      <w:r>
        <w:rPr>
          <w:spacing w:val="-9"/>
          <w:sz w:val="24"/>
        </w:rPr>
        <w:t>现金不包括结算备付金、存出保证金、应收申购款等；</w:t>
      </w:r>
    </w:p>
    <w:p>
      <w:pPr>
        <w:pStyle w:val="ListParagraph"/>
        <w:numPr>
          <w:ilvl w:val="0"/>
          <w:numId w:val="17"/>
        </w:numPr>
        <w:tabs>
          <w:tab w:pos="1202" w:val="left" w:leader="none"/>
        </w:tabs>
        <w:spacing w:line="364" w:lineRule="auto" w:before="1" w:after="0"/>
        <w:ind w:left="120" w:right="360" w:firstLine="479"/>
        <w:jc w:val="left"/>
        <w:rPr>
          <w:sz w:val="24"/>
        </w:rPr>
      </w:pPr>
      <w:r>
        <w:rPr>
          <w:spacing w:val="-1"/>
          <w:sz w:val="24"/>
        </w:rPr>
        <w:t>本基金管理人管理的全部基金持有一家公司发行的证券，不超过该证</w:t>
      </w:r>
      <w:r>
        <w:rPr>
          <w:spacing w:val="-21"/>
          <w:sz w:val="24"/>
        </w:rPr>
        <w:t>券的 </w:t>
      </w:r>
      <w:r>
        <w:rPr>
          <w:rFonts w:ascii="Times New Roman" w:eastAsia="Times New Roman"/>
          <w:sz w:val="24"/>
        </w:rPr>
        <w:t>10%</w:t>
      </w:r>
      <w:r>
        <w:rPr>
          <w:sz w:val="24"/>
        </w:rPr>
        <w:t>；</w:t>
      </w:r>
    </w:p>
    <w:p>
      <w:pPr>
        <w:pStyle w:val="ListParagraph"/>
        <w:numPr>
          <w:ilvl w:val="0"/>
          <w:numId w:val="17"/>
        </w:numPr>
        <w:tabs>
          <w:tab w:pos="1202" w:val="left" w:leader="none"/>
        </w:tabs>
        <w:spacing w:line="364" w:lineRule="auto" w:before="1" w:after="0"/>
        <w:ind w:left="120" w:right="364" w:firstLine="479"/>
        <w:jc w:val="left"/>
        <w:rPr>
          <w:sz w:val="24"/>
        </w:rPr>
      </w:pPr>
      <w:r>
        <w:rPr>
          <w:spacing w:val="-1"/>
          <w:sz w:val="24"/>
        </w:rPr>
        <w:t>中期票据属于固定收益类证券，基金投资中期票据应符合法律、法规</w:t>
      </w:r>
      <w:r>
        <w:rPr>
          <w:sz w:val="24"/>
        </w:rPr>
        <w:t>及《基金合同》中关于该基金投资固定收益类证券的相关比例及期限限制；</w:t>
      </w:r>
    </w:p>
    <w:p>
      <w:pPr>
        <w:pStyle w:val="ListParagraph"/>
        <w:numPr>
          <w:ilvl w:val="0"/>
          <w:numId w:val="17"/>
        </w:numPr>
        <w:tabs>
          <w:tab w:pos="1202" w:val="left" w:leader="none"/>
        </w:tabs>
        <w:spacing w:line="364" w:lineRule="auto" w:before="2" w:after="0"/>
        <w:ind w:left="120" w:right="364" w:firstLine="479"/>
        <w:jc w:val="left"/>
        <w:rPr>
          <w:sz w:val="24"/>
        </w:rPr>
      </w:pPr>
      <w:r>
        <w:rPr>
          <w:spacing w:val="-1"/>
          <w:sz w:val="24"/>
        </w:rPr>
        <w:t>基金管理人管理的全部公募基金投资于一家企业发行的单期中期票据</w:t>
      </w:r>
      <w:r>
        <w:rPr>
          <w:spacing w:val="-6"/>
          <w:sz w:val="24"/>
        </w:rPr>
        <w:t>合计不超过该期证券的 </w:t>
      </w:r>
      <w:r>
        <w:rPr>
          <w:rFonts w:ascii="Times New Roman" w:eastAsia="Times New Roman"/>
          <w:sz w:val="24"/>
        </w:rPr>
        <w:t>10%</w:t>
      </w:r>
      <w:r>
        <w:rPr>
          <w:sz w:val="24"/>
        </w:rPr>
        <w:t>；</w:t>
      </w:r>
    </w:p>
    <w:p>
      <w:pPr>
        <w:pStyle w:val="ListParagraph"/>
        <w:numPr>
          <w:ilvl w:val="0"/>
          <w:numId w:val="17"/>
        </w:numPr>
        <w:tabs>
          <w:tab w:pos="1202" w:val="left" w:leader="none"/>
        </w:tabs>
        <w:spacing w:line="364" w:lineRule="auto" w:before="1" w:after="0"/>
        <w:ind w:left="120" w:right="364" w:firstLine="479"/>
        <w:jc w:val="left"/>
        <w:rPr>
          <w:sz w:val="24"/>
        </w:rPr>
      </w:pPr>
      <w:r>
        <w:rPr>
          <w:spacing w:val="-1"/>
          <w:sz w:val="24"/>
        </w:rPr>
        <w:t>本基金进入全国银行间同业市场进行债券回购的资金余额不得超过基</w:t>
      </w:r>
      <w:r>
        <w:rPr>
          <w:spacing w:val="-9"/>
          <w:sz w:val="24"/>
        </w:rPr>
        <w:t>金资产净值的 </w:t>
      </w:r>
      <w:r>
        <w:rPr>
          <w:rFonts w:ascii="Times New Roman" w:eastAsia="Times New Roman"/>
          <w:sz w:val="24"/>
        </w:rPr>
        <w:t>40%</w:t>
      </w:r>
      <w:r>
        <w:rPr>
          <w:spacing w:val="-6"/>
          <w:sz w:val="24"/>
        </w:rPr>
        <w:t>；债券回购最长期限为 </w:t>
      </w:r>
      <w:r>
        <w:rPr>
          <w:rFonts w:ascii="Times New Roman" w:eastAsia="Times New Roman"/>
          <w:sz w:val="24"/>
        </w:rPr>
        <w:t>1 </w:t>
      </w:r>
      <w:r>
        <w:rPr>
          <w:sz w:val="24"/>
        </w:rPr>
        <w:t>年，债券回购到期后不得展期；</w:t>
      </w:r>
    </w:p>
    <w:p>
      <w:pPr>
        <w:pStyle w:val="ListParagraph"/>
        <w:numPr>
          <w:ilvl w:val="0"/>
          <w:numId w:val="17"/>
        </w:numPr>
        <w:tabs>
          <w:tab w:pos="1202" w:val="left" w:leader="none"/>
        </w:tabs>
        <w:spacing w:line="364" w:lineRule="auto" w:before="2" w:after="0"/>
        <w:ind w:left="120" w:right="358" w:firstLine="479"/>
        <w:jc w:val="both"/>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pacing w:val="-15"/>
          <w:sz w:val="24"/>
        </w:rPr>
        <w:t>10%</w:t>
      </w:r>
      <w:r>
        <w:rPr>
          <w:spacing w:val="-9"/>
          <w:sz w:val="24"/>
        </w:rPr>
        <w:t>；本基金持有的全部资产支持证券，其市值不得超过基金资</w:t>
      </w:r>
      <w:r>
        <w:rPr>
          <w:spacing w:val="-12"/>
          <w:sz w:val="24"/>
        </w:rPr>
        <w:t>产净值的 </w:t>
      </w:r>
      <w:r>
        <w:rPr>
          <w:rFonts w:ascii="Times New Roman" w:eastAsia="Times New Roman"/>
          <w:spacing w:val="-8"/>
          <w:sz w:val="24"/>
        </w:rPr>
        <w:t>20%</w:t>
      </w:r>
      <w:r>
        <w:rPr>
          <w:spacing w:val="-6"/>
          <w:sz w:val="24"/>
        </w:rPr>
        <w:t>；本基金持有的同一</w:t>
      </w:r>
      <w:r>
        <w:rPr>
          <w:sz w:val="24"/>
        </w:rPr>
        <w:t>（指同一信用级别</w:t>
      </w:r>
      <w:r>
        <w:rPr>
          <w:spacing w:val="-29"/>
          <w:sz w:val="24"/>
        </w:rPr>
        <w:t>）</w:t>
      </w:r>
      <w:r>
        <w:rPr>
          <w:spacing w:val="-5"/>
          <w:sz w:val="24"/>
        </w:rPr>
        <w:t>资产支持证券的比例，不得超过该资产支持证券规模的 </w:t>
      </w:r>
      <w:r>
        <w:rPr>
          <w:rFonts w:ascii="Times New Roman" w:eastAsia="Times New Roman"/>
          <w:sz w:val="24"/>
        </w:rPr>
        <w:t>10%</w:t>
      </w:r>
      <w:r>
        <w:rPr>
          <w:sz w:val="24"/>
        </w:rPr>
        <w:t>；</w:t>
      </w:r>
    </w:p>
    <w:p>
      <w:pPr>
        <w:pStyle w:val="ListParagraph"/>
        <w:numPr>
          <w:ilvl w:val="0"/>
          <w:numId w:val="17"/>
        </w:numPr>
        <w:tabs>
          <w:tab w:pos="1202" w:val="left" w:leader="none"/>
        </w:tabs>
        <w:spacing w:line="364" w:lineRule="auto" w:before="2" w:after="0"/>
        <w:ind w:left="120" w:right="364" w:firstLine="479"/>
        <w:jc w:val="both"/>
        <w:rPr>
          <w:sz w:val="24"/>
        </w:rPr>
      </w:pPr>
      <w:r>
        <w:rPr>
          <w:spacing w:val="-1"/>
          <w:sz w:val="24"/>
        </w:rPr>
        <w:t>本基金管理人管理的全部基金投资于同一原始权益人的各类资产支持</w:t>
      </w:r>
      <w:r>
        <w:rPr>
          <w:spacing w:val="-3"/>
          <w:sz w:val="24"/>
        </w:rPr>
        <w:t>证券，不得超过其各类资产支持证券合计规模的 </w:t>
      </w:r>
      <w:r>
        <w:rPr>
          <w:rFonts w:ascii="Times New Roman" w:eastAsia="Times New Roman"/>
          <w:sz w:val="24"/>
        </w:rPr>
        <w:t>10%</w:t>
      </w:r>
      <w:r>
        <w:rPr>
          <w:sz w:val="24"/>
        </w:rPr>
        <w:t>；</w:t>
      </w:r>
    </w:p>
    <w:p>
      <w:pPr>
        <w:pStyle w:val="ListParagraph"/>
        <w:numPr>
          <w:ilvl w:val="0"/>
          <w:numId w:val="17"/>
        </w:numPr>
        <w:tabs>
          <w:tab w:pos="1202" w:val="left" w:leader="none"/>
        </w:tabs>
        <w:spacing w:line="364" w:lineRule="auto" w:before="1" w:after="0"/>
        <w:ind w:left="120" w:right="236" w:firstLine="479"/>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14"/>
          <w:sz w:val="24"/>
        </w:rPr>
        <w:t> </w:t>
      </w:r>
      <w:r>
        <w:rPr>
          <w:sz w:val="24"/>
        </w:rPr>
        <w:t>以上</w:t>
      </w:r>
      <w:r>
        <w:rPr>
          <w:rFonts w:ascii="Times New Roman" w:eastAsia="Times New Roman"/>
          <w:sz w:val="24"/>
        </w:rPr>
        <w:t>(</w:t>
      </w:r>
      <w:r>
        <w:rPr>
          <w:spacing w:val="-23"/>
          <w:sz w:val="24"/>
        </w:rPr>
        <w:t>含 </w:t>
      </w:r>
      <w:r>
        <w:rPr>
          <w:rFonts w:ascii="Times New Roman" w:eastAsia="Times New Roman"/>
          <w:sz w:val="24"/>
        </w:rPr>
        <w:t>BBB)</w:t>
      </w:r>
      <w:r>
        <w:rPr>
          <w:spacing w:val="-2"/>
          <w:sz w:val="24"/>
        </w:rPr>
        <w:t>的资产支持证券， </w:t>
      </w:r>
      <w:r>
        <w:rPr>
          <w:spacing w:val="-6"/>
          <w:sz w:val="24"/>
        </w:rPr>
        <w:t>本基金持有资产支持证券期间，如果其信用等级下降、不再符合投资标准，应在</w:t>
      </w:r>
      <w:r>
        <w:rPr>
          <w:spacing w:val="-12"/>
          <w:sz w:val="24"/>
        </w:rPr>
        <w:t>评级报告发布之日起 </w:t>
      </w:r>
      <w:r>
        <w:rPr>
          <w:rFonts w:ascii="Times New Roman" w:eastAsia="Times New Roman"/>
          <w:sz w:val="24"/>
        </w:rPr>
        <w:t>3 </w:t>
      </w:r>
      <w:r>
        <w:rPr>
          <w:sz w:val="24"/>
        </w:rPr>
        <w:t>个月内予以全部卖出；</w:t>
      </w:r>
    </w:p>
    <w:p>
      <w:pPr>
        <w:pStyle w:val="ListParagraph"/>
        <w:numPr>
          <w:ilvl w:val="0"/>
          <w:numId w:val="17"/>
        </w:numPr>
        <w:tabs>
          <w:tab w:pos="1322" w:val="left" w:leader="none"/>
        </w:tabs>
        <w:spacing w:line="364" w:lineRule="auto" w:before="2" w:after="0"/>
        <w:ind w:left="120" w:right="356" w:firstLine="479"/>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2"/>
        <w:ind w:right="357" w:firstLine="479"/>
        <w:jc w:val="both"/>
      </w:pPr>
      <w:r>
        <w:rPr>
          <w:spacing w:val="-11"/>
        </w:rPr>
        <w:t>因证券市场波动、证券停牌、基金规模变动等基金管理人之外的因素致使基</w:t>
      </w:r>
      <w:r>
        <w:rPr>
          <w:spacing w:val="-8"/>
        </w:rPr>
        <w:t>金不符合前款所规定比例限制的，基金管理人不得主动新增流动性受限资产的投</w:t>
      </w:r>
      <w:r>
        <w:rPr/>
        <w:t>资。</w:t>
      </w:r>
    </w:p>
    <w:p>
      <w:pPr>
        <w:pStyle w:val="ListParagraph"/>
        <w:numPr>
          <w:ilvl w:val="0"/>
          <w:numId w:val="17"/>
        </w:numPr>
        <w:tabs>
          <w:tab w:pos="1312" w:val="left" w:leader="none"/>
        </w:tabs>
        <w:spacing w:line="240" w:lineRule="auto" w:before="2" w:after="0"/>
        <w:ind w:left="1311" w:right="0" w:hanging="712"/>
        <w:jc w:val="left"/>
        <w:rPr>
          <w:sz w:val="24"/>
        </w:rPr>
      </w:pPr>
      <w:r>
        <w:rPr>
          <w:sz w:val="24"/>
        </w:rPr>
        <w:t>本基金与私募类证券资管产品及中国证监会认定的其他主体为交易对</w:t>
      </w:r>
    </w:p>
    <w:p>
      <w:pPr>
        <w:spacing w:after="0" w:line="240" w:lineRule="auto"/>
        <w:jc w:val="left"/>
        <w:rPr>
          <w:sz w:val="24"/>
        </w:rPr>
        <w:sectPr>
          <w:pgSz w:w="11910" w:h="16840"/>
          <w:pgMar w:header="0" w:footer="995" w:top="1460" w:bottom="1180" w:left="1680" w:right="1440"/>
        </w:sectPr>
      </w:pPr>
    </w:p>
    <w:p>
      <w:pPr>
        <w:pStyle w:val="BodyText"/>
        <w:spacing w:line="364" w:lineRule="auto" w:before="40"/>
        <w:ind w:right="357"/>
      </w:pPr>
      <w:r>
        <w:rPr>
          <w:spacing w:val="-11"/>
        </w:rPr>
        <w:t>手开展逆回购交易的，可接受质押品的资质要求应当与基金合同约定的投资范围</w:t>
      </w:r>
      <w:r>
        <w:rPr/>
        <w:t>保持一致。</w:t>
      </w:r>
    </w:p>
    <w:p>
      <w:pPr>
        <w:pStyle w:val="ListParagraph"/>
        <w:numPr>
          <w:ilvl w:val="0"/>
          <w:numId w:val="17"/>
        </w:numPr>
        <w:tabs>
          <w:tab w:pos="1322" w:val="left" w:leader="none"/>
        </w:tabs>
        <w:spacing w:line="364" w:lineRule="auto" w:before="2" w:after="0"/>
        <w:ind w:left="120" w:right="361" w:firstLine="479"/>
        <w:jc w:val="left"/>
        <w:rPr>
          <w:sz w:val="24"/>
        </w:rPr>
      </w:pPr>
      <w:r>
        <w:rPr>
          <w:spacing w:val="-3"/>
          <w:sz w:val="24"/>
        </w:rPr>
        <w:t>本基金资产投资不得违反法律法规、监管部门及基金合同规定的其</w:t>
      </w:r>
      <w:r>
        <w:rPr>
          <w:spacing w:val="-5"/>
          <w:sz w:val="24"/>
        </w:rPr>
        <w:t>他比例限制。</w:t>
      </w:r>
    </w:p>
    <w:p>
      <w:pPr>
        <w:pStyle w:val="BodyText"/>
        <w:spacing w:line="364" w:lineRule="auto" w:before="1"/>
        <w:ind w:right="354" w:firstLine="479"/>
        <w:jc w:val="both"/>
      </w:pPr>
      <w:r>
        <w:rPr>
          <w:spacing w:val="-4"/>
        </w:rPr>
        <w:t>除上述</w:t>
      </w:r>
      <w:r>
        <w:rPr/>
        <w:t>（</w:t>
      </w:r>
      <w:r>
        <w:rPr>
          <w:rFonts w:ascii="Times New Roman" w:eastAsia="Times New Roman"/>
        </w:rPr>
        <w:t>2</w:t>
      </w:r>
      <w:r>
        <w:rPr>
          <w:spacing w:val="-120"/>
        </w:rPr>
        <w:t>）</w:t>
      </w:r>
      <w:r>
        <w:rPr>
          <w:spacing w:val="-130"/>
        </w:rPr>
        <w:t>、</w:t>
      </w:r>
      <w:r>
        <w:rPr/>
        <w:t>（</w:t>
      </w:r>
      <w:r>
        <w:rPr>
          <w:rFonts w:ascii="Times New Roman" w:eastAsia="Times New Roman"/>
        </w:rPr>
        <w:t>9</w:t>
      </w:r>
      <w:r>
        <w:rPr>
          <w:spacing w:val="-120"/>
        </w:rPr>
        <w:t>）</w:t>
      </w:r>
      <w:r>
        <w:rPr>
          <w:spacing w:val="-130"/>
        </w:rPr>
        <w:t>、</w:t>
      </w:r>
      <w:r>
        <w:rPr/>
        <w:t>（</w:t>
      </w:r>
      <w:r>
        <w:rPr>
          <w:rFonts w:ascii="Times New Roman" w:eastAsia="Times New Roman"/>
        </w:rPr>
        <w:t>1</w:t>
      </w:r>
      <w:r>
        <w:rPr>
          <w:rFonts w:ascii="Times New Roman" w:eastAsia="Times New Roman"/>
          <w:spacing w:val="-3"/>
        </w:rPr>
        <w:t>0</w:t>
      </w:r>
      <w:r>
        <w:rPr>
          <w:spacing w:val="-120"/>
        </w:rPr>
        <w:t>）</w:t>
      </w:r>
      <w:r>
        <w:rPr>
          <w:spacing w:val="-130"/>
        </w:rPr>
        <w:t>、</w:t>
      </w:r>
      <w:r>
        <w:rPr/>
        <w:t>（</w:t>
      </w:r>
      <w:r>
        <w:rPr>
          <w:rFonts w:ascii="Times New Roman" w:eastAsia="Times New Roman"/>
          <w:spacing w:val="-10"/>
        </w:rPr>
        <w:t>1</w:t>
      </w:r>
      <w:r>
        <w:rPr>
          <w:rFonts w:ascii="Times New Roman" w:eastAsia="Times New Roman"/>
        </w:rPr>
        <w:t>1</w:t>
      </w:r>
      <w:r>
        <w:rPr>
          <w:spacing w:val="-10"/>
        </w:rPr>
        <w:t>）</w:t>
      </w:r>
      <w:r>
        <w:rPr>
          <w:spacing w:val="-6"/>
        </w:rPr>
        <w:t>以外，因证券市场波动、上市公司合并、基</w:t>
      </w:r>
      <w:r>
        <w:rPr/>
        <w:t>金规模变动等基金管理人之外的因素致使基金投资比例不符合上述规定投资比</w:t>
      </w:r>
      <w:r>
        <w:rPr>
          <w:spacing w:val="-4"/>
        </w:rPr>
        <w:t>例的，基金管理人应当在 </w:t>
      </w:r>
      <w:r>
        <w:rPr>
          <w:rFonts w:ascii="Times New Roman" w:eastAsia="Times New Roman"/>
        </w:rPr>
        <w:t>10 </w:t>
      </w:r>
      <w:r>
        <w:rPr>
          <w:spacing w:val="-1"/>
        </w:rPr>
        <w:t>个交易日内进行调整，以达到上述标准。法律、法</w:t>
      </w:r>
      <w:r>
        <w:rPr>
          <w:spacing w:val="-10"/>
        </w:rPr>
        <w:t>规另有规定时，从其规定。如果法律法规对上述投资比例限制进行变更的，以变</w:t>
      </w:r>
      <w:r>
        <w:rPr>
          <w:spacing w:val="-8"/>
        </w:rPr>
        <w:t>更后的规定为准。如法律法规或监管部门取消上述限制，且适用于本基金，则本</w:t>
      </w:r>
      <w:r>
        <w:rPr/>
        <w:t>基金投资不再受相关限制，不需要经基金份额持有人大会审议。</w:t>
      </w:r>
    </w:p>
    <w:p>
      <w:pPr>
        <w:pStyle w:val="BodyText"/>
        <w:spacing w:line="364" w:lineRule="auto" w:before="5"/>
        <w:ind w:right="357" w:firstLine="479"/>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效之日起开始。</w:t>
      </w:r>
    </w:p>
    <w:p>
      <w:pPr>
        <w:pStyle w:val="BodyText"/>
        <w:spacing w:before="1"/>
        <w:ind w:left="600"/>
      </w:pPr>
      <w:r>
        <w:rPr>
          <w:rFonts w:ascii="Times New Roman" w:eastAsia="Times New Roman"/>
        </w:rPr>
        <w:t>2</w:t>
      </w:r>
      <w:r>
        <w:rPr/>
        <w:t>、禁止行为</w:t>
      </w:r>
    </w:p>
    <w:p>
      <w:pPr>
        <w:pStyle w:val="BodyText"/>
        <w:ind w:left="600"/>
      </w:pPr>
      <w:r>
        <w:rPr/>
        <w:t>为维护基金份额持有人的合法权益，基金财产不得用于下列投资或者活动：</w:t>
      </w:r>
    </w:p>
    <w:p>
      <w:pPr>
        <w:pStyle w:val="ListParagraph"/>
        <w:numPr>
          <w:ilvl w:val="0"/>
          <w:numId w:val="18"/>
        </w:numPr>
        <w:tabs>
          <w:tab w:pos="1202" w:val="left" w:leader="none"/>
        </w:tabs>
        <w:spacing w:line="240" w:lineRule="auto" w:before="160" w:after="0"/>
        <w:ind w:left="1201" w:right="0" w:hanging="602"/>
        <w:jc w:val="left"/>
        <w:rPr>
          <w:sz w:val="24"/>
        </w:rPr>
      </w:pPr>
      <w:r>
        <w:rPr>
          <w:sz w:val="24"/>
        </w:rPr>
        <w:t>承销证券；</w:t>
      </w:r>
    </w:p>
    <w:p>
      <w:pPr>
        <w:pStyle w:val="ListParagraph"/>
        <w:numPr>
          <w:ilvl w:val="0"/>
          <w:numId w:val="18"/>
        </w:numPr>
        <w:tabs>
          <w:tab w:pos="1202" w:val="left" w:leader="none"/>
        </w:tabs>
        <w:spacing w:line="240" w:lineRule="auto" w:before="161" w:after="0"/>
        <w:ind w:left="1201" w:right="0" w:hanging="602"/>
        <w:jc w:val="left"/>
        <w:rPr>
          <w:sz w:val="24"/>
        </w:rPr>
      </w:pPr>
      <w:r>
        <w:rPr>
          <w:sz w:val="24"/>
        </w:rPr>
        <w:t>向他人贷款或者提供担保；</w:t>
      </w:r>
    </w:p>
    <w:p>
      <w:pPr>
        <w:pStyle w:val="ListParagraph"/>
        <w:numPr>
          <w:ilvl w:val="0"/>
          <w:numId w:val="18"/>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18"/>
        </w:numPr>
        <w:tabs>
          <w:tab w:pos="1202" w:val="left" w:leader="none"/>
        </w:tabs>
        <w:spacing w:line="240" w:lineRule="auto" w:before="160" w:after="0"/>
        <w:ind w:left="1201" w:right="0" w:hanging="602"/>
        <w:jc w:val="left"/>
        <w:rPr>
          <w:sz w:val="24"/>
        </w:rPr>
      </w:pPr>
      <w:r>
        <w:rPr>
          <w:sz w:val="24"/>
        </w:rPr>
        <w:t>买卖其他基金份额，但是国务院另有规定的除外；</w:t>
      </w:r>
    </w:p>
    <w:p>
      <w:pPr>
        <w:pStyle w:val="ListParagraph"/>
        <w:numPr>
          <w:ilvl w:val="0"/>
          <w:numId w:val="18"/>
        </w:numPr>
        <w:tabs>
          <w:tab w:pos="1202" w:val="left" w:leader="none"/>
        </w:tabs>
        <w:spacing w:line="364" w:lineRule="auto" w:before="161" w:after="0"/>
        <w:ind w:left="120" w:right="364" w:firstLine="479"/>
        <w:jc w:val="left"/>
        <w:rPr>
          <w:sz w:val="24"/>
        </w:rPr>
      </w:pPr>
      <w:r>
        <w:rPr>
          <w:spacing w:val="-1"/>
          <w:sz w:val="24"/>
        </w:rPr>
        <w:t>向其基金管理人、基金托管人出资或者买卖其基金管理人、基金托管</w:t>
      </w:r>
      <w:r>
        <w:rPr>
          <w:sz w:val="24"/>
        </w:rPr>
        <w:t>人发行的股票或者债券；</w:t>
      </w:r>
    </w:p>
    <w:p>
      <w:pPr>
        <w:pStyle w:val="ListParagraph"/>
        <w:numPr>
          <w:ilvl w:val="0"/>
          <w:numId w:val="18"/>
        </w:numPr>
        <w:tabs>
          <w:tab w:pos="1202" w:val="left" w:leader="none"/>
        </w:tabs>
        <w:spacing w:line="364" w:lineRule="auto" w:before="1" w:after="0"/>
        <w:ind w:left="120" w:right="357" w:firstLine="479"/>
        <w:jc w:val="both"/>
        <w:rPr>
          <w:sz w:val="24"/>
        </w:rPr>
      </w:pPr>
      <w:r>
        <w:rPr>
          <w:sz w:val="24"/>
        </w:rPr>
        <w:t>买卖与其基金管理人、基金托管人有控股关系的股东或者与其基金管</w:t>
      </w:r>
      <w:r>
        <w:rPr>
          <w:spacing w:val="-12"/>
          <w:sz w:val="24"/>
        </w:rPr>
        <w:t>理人、基金托管人有其他重大利害关系的公司发行的证券或者承销期内承销的证</w:t>
      </w:r>
      <w:r>
        <w:rPr>
          <w:sz w:val="24"/>
        </w:rPr>
        <w:t>券；</w:t>
      </w:r>
    </w:p>
    <w:p>
      <w:pPr>
        <w:pStyle w:val="ListParagraph"/>
        <w:numPr>
          <w:ilvl w:val="0"/>
          <w:numId w:val="18"/>
        </w:numPr>
        <w:tabs>
          <w:tab w:pos="1202" w:val="left" w:leader="none"/>
        </w:tabs>
        <w:spacing w:line="240" w:lineRule="auto" w:before="2" w:after="0"/>
        <w:ind w:left="1201" w:right="0" w:hanging="602"/>
        <w:jc w:val="left"/>
        <w:rPr>
          <w:sz w:val="24"/>
        </w:rPr>
      </w:pPr>
      <w:r>
        <w:rPr>
          <w:sz w:val="24"/>
        </w:rPr>
        <w:t>从事内幕交易、操纵证券交易价格及其他不正当的证券交易活动；</w:t>
      </w:r>
    </w:p>
    <w:p>
      <w:pPr>
        <w:pStyle w:val="ListParagraph"/>
        <w:numPr>
          <w:ilvl w:val="0"/>
          <w:numId w:val="18"/>
        </w:numPr>
        <w:tabs>
          <w:tab w:pos="1202" w:val="left" w:leader="none"/>
        </w:tabs>
        <w:spacing w:line="364" w:lineRule="auto" w:before="161" w:after="0"/>
        <w:ind w:left="600" w:right="1102" w:firstLine="0"/>
        <w:jc w:val="left"/>
        <w:rPr>
          <w:sz w:val="24"/>
        </w:rPr>
      </w:pPr>
      <w:r>
        <w:rPr>
          <w:spacing w:val="-1"/>
          <w:sz w:val="24"/>
        </w:rPr>
        <w:t>依照法律法规有关规定，由中国证监会规定禁止的其他活动。</w:t>
      </w:r>
      <w:r>
        <w:rPr>
          <w:sz w:val="24"/>
        </w:rPr>
        <w:t>六、业绩比较基准</w:t>
      </w:r>
    </w:p>
    <w:p>
      <w:pPr>
        <w:pStyle w:val="BodyText"/>
        <w:spacing w:before="1"/>
        <w:ind w:left="600"/>
      </w:pPr>
      <w:r>
        <w:rPr/>
        <w:t>本基金的业绩比较基准为标的指数：中债</w:t>
      </w:r>
      <w:r>
        <w:rPr>
          <w:rFonts w:ascii="Times New Roman" w:eastAsia="Times New Roman"/>
        </w:rPr>
        <w:t>-</w:t>
      </w:r>
      <w:r>
        <w:rPr/>
        <w:t>新综合指数。</w:t>
      </w:r>
    </w:p>
    <w:p>
      <w:pPr>
        <w:pStyle w:val="BodyText"/>
        <w:spacing w:before="160"/>
        <w:ind w:left="600"/>
      </w:pPr>
      <w:r>
        <w:rPr/>
        <w:t>如果今后法律法规发生变化，或者标的指数停止编制，或者有更权威的、更</w:t>
      </w:r>
    </w:p>
    <w:p>
      <w:pPr>
        <w:spacing w:after="0"/>
        <w:sectPr>
          <w:pgSz w:w="11910" w:h="16840"/>
          <w:pgMar w:header="0" w:footer="995" w:top="1460" w:bottom="1180" w:left="1680" w:right="1440"/>
        </w:sectPr>
      </w:pPr>
    </w:p>
    <w:p>
      <w:pPr>
        <w:pStyle w:val="BodyText"/>
        <w:spacing w:line="364" w:lineRule="auto" w:before="40"/>
        <w:ind w:right="236"/>
      </w:pPr>
      <w:r>
        <w:rPr>
          <w:spacing w:val="-6"/>
        </w:rPr>
        <w:t>能为市场普遍接受的业绩比较基准推出，或者市场上出现更加适用于本基金的业</w:t>
      </w:r>
      <w:r>
        <w:rPr>
          <w:spacing w:val="-12"/>
        </w:rPr>
        <w:t>绩基准的指数时，基金管理人可以根据本基金的投资范围和投资策略，遵循维护</w:t>
      </w:r>
      <w:r>
        <w:rPr>
          <w:spacing w:val="-19"/>
        </w:rPr>
        <w:t>投资者合法权益的原则，履行必要手续后，调整基金的业绩比较基准并及时公告， </w:t>
      </w:r>
      <w:r>
        <w:rPr/>
        <w:t>而无须召开基金份额持有人大会。</w:t>
      </w:r>
    </w:p>
    <w:p>
      <w:pPr>
        <w:pStyle w:val="BodyText"/>
        <w:spacing w:before="3"/>
        <w:ind w:left="600"/>
      </w:pPr>
      <w:r>
        <w:rPr/>
        <w:t>七、风险收益特征</w:t>
      </w:r>
    </w:p>
    <w:p>
      <w:pPr>
        <w:pStyle w:val="BodyText"/>
        <w:spacing w:line="364" w:lineRule="auto"/>
        <w:ind w:right="241" w:firstLine="479"/>
      </w:pPr>
      <w:r>
        <w:rPr>
          <w:spacing w:val="-14"/>
        </w:rPr>
        <w:t>本基金为债券型指数基金，其预期风险和预期收益低于股票基金、混合基金， </w:t>
      </w:r>
      <w:r>
        <w:rPr/>
        <w:t>高于货币市场基金。</w:t>
      </w:r>
    </w:p>
    <w:p>
      <w:pPr>
        <w:pStyle w:val="BodyText"/>
        <w:spacing w:before="1"/>
        <w:ind w:left="600"/>
      </w:pPr>
      <w:r>
        <w:rPr/>
        <w:t>八、基金的融资融券</w:t>
      </w:r>
    </w:p>
    <w:p>
      <w:pPr>
        <w:pStyle w:val="BodyText"/>
        <w:ind w:left="600"/>
      </w:pPr>
      <w:r>
        <w:rPr/>
        <w:t>本基金可以根据届时有效的有关法律法规和政策的规定进行融资融券。</w:t>
      </w:r>
    </w:p>
    <w:p>
      <w:pPr>
        <w:pStyle w:val="BodyText"/>
        <w:spacing w:line="364" w:lineRule="auto"/>
        <w:ind w:right="361" w:firstLine="479"/>
      </w:pPr>
      <w:r>
        <w:rPr>
          <w:spacing w:val="-11"/>
        </w:rPr>
        <w:t>九、在不违反法律法规规定的情况下，本基金可与基金管理人管理的其他资</w:t>
      </w:r>
      <w:r>
        <w:rPr/>
        <w:t>产以公平的市场价格进行相互交易。</w:t>
      </w:r>
    </w:p>
    <w:p>
      <w:pPr>
        <w:pStyle w:val="BodyText"/>
        <w:spacing w:line="364" w:lineRule="auto" w:before="1"/>
        <w:ind w:right="356" w:firstLine="479"/>
        <w:jc w:val="both"/>
      </w:pPr>
      <w:r>
        <w:rPr>
          <w:spacing w:val="-12"/>
        </w:rPr>
        <w:t>十、未来，如果基金管理人推出中债新综合 </w:t>
      </w:r>
      <w:r>
        <w:rPr>
          <w:rFonts w:ascii="Times New Roman" w:eastAsia="Times New Roman"/>
          <w:spacing w:val="-10"/>
        </w:rPr>
        <w:t>ETF</w:t>
      </w:r>
      <w:r>
        <w:rPr>
          <w:spacing w:val="-4"/>
        </w:rPr>
        <w:t>，在不改变本基金投资目标</w:t>
      </w:r>
      <w:r>
        <w:rPr>
          <w:spacing w:val="-2"/>
        </w:rPr>
        <w:t>的前提下，本基金可变更为中债新综合 </w:t>
      </w:r>
      <w:r>
        <w:rPr>
          <w:rFonts w:ascii="Times New Roman" w:eastAsia="Times New Roman"/>
        </w:rPr>
        <w:t>ETF </w:t>
      </w:r>
      <w:r>
        <w:rPr>
          <w:spacing w:val="-1"/>
        </w:rPr>
        <w:t>的联接基金。该联接基金将其绝大</w:t>
      </w:r>
      <w:r>
        <w:rPr>
          <w:spacing w:val="-4"/>
        </w:rPr>
        <w:t>部分基金财产投资于跟踪同一标的指数的 </w:t>
      </w:r>
      <w:r>
        <w:rPr>
          <w:rFonts w:ascii="Times New Roman" w:eastAsia="Times New Roman"/>
          <w:spacing w:val="-13"/>
        </w:rPr>
        <w:t>ETF</w:t>
      </w:r>
      <w:r>
        <w:rPr>
          <w:spacing w:val="-9"/>
        </w:rPr>
        <w:t>，紧密跟踪标的指数表现，追求跟踪偏离度和跟踪误差最小化。该联接基金具体投资范围及比例等将依据届时有效</w:t>
      </w:r>
      <w:r>
        <w:rPr>
          <w:spacing w:val="-8"/>
        </w:rPr>
        <w:t>的法律法规或监管机构要求确定。以上变更需经基金管理人和基金托管人协商一</w:t>
      </w:r>
      <w:r>
        <w:rPr/>
        <w:t>致后修改基金合同，但不需召开基金份额持有人大会。</w:t>
      </w:r>
    </w:p>
    <w:p>
      <w:pPr>
        <w:spacing w:after="0" w:line="364" w:lineRule="auto"/>
        <w:jc w:val="both"/>
        <w:sectPr>
          <w:pgSz w:w="11910" w:h="16840"/>
          <w:pgMar w:header="0" w:footer="995" w:top="1460" w:bottom="1180" w:left="1680" w:right="1440"/>
        </w:sectPr>
      </w:pPr>
    </w:p>
    <w:p>
      <w:pPr>
        <w:pStyle w:val="Heading1"/>
        <w:tabs>
          <w:tab w:pos="1804" w:val="left" w:leader="none"/>
        </w:tabs>
        <w:ind w:right="239"/>
      </w:pPr>
      <w:bookmarkStart w:name="_bookmark13" w:id="14"/>
      <w:bookmarkEnd w:id="14"/>
      <w:r>
        <w:rPr>
          <w:b w:val="0"/>
        </w:rPr>
      </w:r>
      <w:r>
        <w:rPr/>
        <w:t>第十四部分</w:t>
        <w:tab/>
        <w:t>基金的财产</w:t>
      </w:r>
    </w:p>
    <w:p>
      <w:pPr>
        <w:pStyle w:val="BodyText"/>
        <w:spacing w:before="6"/>
        <w:ind w:left="0"/>
        <w:rPr>
          <w:rFonts w:ascii="微软雅黑"/>
          <w:b/>
          <w:sz w:val="32"/>
        </w:rPr>
      </w:pPr>
    </w:p>
    <w:p>
      <w:pPr>
        <w:pStyle w:val="BodyText"/>
        <w:spacing w:before="0"/>
        <w:ind w:left="600"/>
      </w:pPr>
      <w:r>
        <w:rPr/>
        <w:t>一、基金资产总值</w:t>
      </w:r>
    </w:p>
    <w:p>
      <w:pPr>
        <w:pStyle w:val="BodyText"/>
        <w:spacing w:line="364" w:lineRule="auto"/>
        <w:ind w:right="357" w:firstLine="479"/>
      </w:pPr>
      <w:r>
        <w:rPr>
          <w:spacing w:val="-6"/>
        </w:rPr>
        <w:t>基金资产总值是指购买的各类证券及票据价值、银行存款本息和基金应收的</w:t>
      </w:r>
      <w:r>
        <w:rPr/>
        <w:t>申购基金款以及其他投资所形成的价值总和。</w:t>
      </w:r>
    </w:p>
    <w:p>
      <w:pPr>
        <w:pStyle w:val="BodyText"/>
        <w:spacing w:before="1"/>
        <w:ind w:left="600"/>
      </w:pPr>
      <w:r>
        <w:rPr/>
        <w:t>二、基金资产净值</w:t>
      </w:r>
    </w:p>
    <w:p>
      <w:pPr>
        <w:pStyle w:val="BodyText"/>
        <w:spacing w:line="364" w:lineRule="auto"/>
        <w:ind w:left="600" w:right="2185"/>
      </w:pPr>
      <w:r>
        <w:rPr/>
        <w:t>基金资产净值是指基金资产总值减去基金负债后的价值。三、基金财产的账户</w:t>
      </w:r>
    </w:p>
    <w:p>
      <w:pPr>
        <w:pStyle w:val="BodyText"/>
        <w:spacing w:line="364" w:lineRule="auto" w:before="1"/>
        <w:ind w:right="358" w:firstLine="479"/>
        <w:jc w:val="both"/>
      </w:pPr>
      <w:r>
        <w:rPr>
          <w:spacing w:val="-7"/>
        </w:rPr>
        <w:t>基金托管人根据相关法律法规、规范性文件为本基金开立资金账户、证券账户以及投资所需的其他专用账户。开立的基金专用账户与基金管理人、基金托管</w:t>
      </w:r>
      <w:r>
        <w:rPr>
          <w:spacing w:val="-12"/>
        </w:rPr>
        <w:t>人、基金销售机构和基金登记结算机构自有的财产账户以及其他基金财产账户相</w:t>
      </w:r>
      <w:r>
        <w:rPr/>
        <w:t>独立。</w:t>
      </w:r>
    </w:p>
    <w:p>
      <w:pPr>
        <w:pStyle w:val="BodyText"/>
        <w:spacing w:before="3"/>
        <w:ind w:left="600"/>
      </w:pPr>
      <w:r>
        <w:rPr/>
        <w:t>四、基金财产的保管和处分</w:t>
      </w:r>
    </w:p>
    <w:p>
      <w:pPr>
        <w:pStyle w:val="BodyText"/>
        <w:spacing w:line="364" w:lineRule="auto" w:before="160"/>
        <w:ind w:right="117" w:firstLine="479"/>
      </w:pPr>
      <w:r>
        <w:rPr>
          <w:spacing w:val="-6"/>
        </w:rPr>
        <w:t>本基金财产独立于基金管理人、基金托管人和基金销售机构的财产，并由基 </w:t>
      </w:r>
      <w:r>
        <w:rPr>
          <w:spacing w:val="-12"/>
        </w:rPr>
        <w:t>金托管人保管。基金管理人、基金托管人、基金登记结算机构和基金销售机构以 </w:t>
      </w:r>
      <w:r>
        <w:rPr>
          <w:spacing w:val="-17"/>
        </w:rPr>
        <w:t>其自有的财产承担其自身的法律责任，其债权人不得对本基金财产行使请求冻结、</w:t>
      </w:r>
      <w:r>
        <w:rPr>
          <w:spacing w:val="-7"/>
        </w:rPr>
        <w:t>扣押或其他权利。除依法律法规和《基金合同》的规定处分外，基金财产不得被 处分。</w:t>
      </w:r>
    </w:p>
    <w:p>
      <w:pPr>
        <w:pStyle w:val="BodyText"/>
        <w:spacing w:line="364" w:lineRule="auto" w:before="4"/>
        <w:ind w:right="35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5" w:top="1500" w:bottom="1180" w:left="1680" w:right="1440"/>
        </w:sectPr>
      </w:pPr>
    </w:p>
    <w:p>
      <w:pPr>
        <w:pStyle w:val="Heading1"/>
        <w:tabs>
          <w:tab w:pos="1804" w:val="left" w:leader="none"/>
        </w:tabs>
        <w:ind w:right="239"/>
      </w:pPr>
      <w:bookmarkStart w:name="_bookmark14" w:id="15"/>
      <w:bookmarkEnd w:id="15"/>
      <w:r>
        <w:rPr>
          <w:b w:val="0"/>
        </w:rPr>
      </w:r>
      <w:r>
        <w:rPr/>
        <w:t>第十五部分</w:t>
        <w:tab/>
        <w:t>基金资产估值</w:t>
      </w:r>
    </w:p>
    <w:p>
      <w:pPr>
        <w:pStyle w:val="BodyText"/>
        <w:spacing w:before="6"/>
        <w:ind w:left="0"/>
        <w:rPr>
          <w:rFonts w:ascii="微软雅黑"/>
          <w:b/>
          <w:sz w:val="32"/>
        </w:rPr>
      </w:pPr>
    </w:p>
    <w:p>
      <w:pPr>
        <w:pStyle w:val="BodyText"/>
        <w:spacing w:before="0"/>
        <w:ind w:left="600"/>
      </w:pPr>
      <w:r>
        <w:rPr/>
        <w:t>一、估值日</w:t>
      </w:r>
    </w:p>
    <w:p>
      <w:pPr>
        <w:pStyle w:val="BodyText"/>
        <w:spacing w:line="364" w:lineRule="auto"/>
        <w:ind w:right="350" w:firstLine="479"/>
      </w:pPr>
      <w:r>
        <w:rPr/>
        <w:t>本基金的估值日为本基金相关的证券交易场所的交易日以及国家法律法规规定需要对外披露基金净值的非交易日。</w:t>
      </w:r>
    </w:p>
    <w:p>
      <w:pPr>
        <w:pStyle w:val="BodyText"/>
        <w:spacing w:before="1"/>
        <w:ind w:left="600"/>
      </w:pPr>
      <w:r>
        <w:rPr/>
        <w:t>二、估值对象</w:t>
      </w:r>
    </w:p>
    <w:p>
      <w:pPr>
        <w:pStyle w:val="BodyText"/>
        <w:spacing w:line="364" w:lineRule="auto"/>
        <w:ind w:right="358" w:firstLine="479"/>
      </w:pPr>
      <w:r>
        <w:rPr>
          <w:spacing w:val="-8"/>
        </w:rPr>
        <w:t>基金所拥有的债券、资产支持证券和银行存款本息、应收款项、其它投资等</w:t>
      </w:r>
      <w:r>
        <w:rPr/>
        <w:t>资产及负债。</w:t>
      </w:r>
    </w:p>
    <w:p>
      <w:pPr>
        <w:pStyle w:val="BodyText"/>
        <w:spacing w:before="1"/>
        <w:ind w:left="600"/>
      </w:pPr>
      <w:r>
        <w:rPr/>
        <w:t>三、估值方法</w:t>
      </w:r>
    </w:p>
    <w:p>
      <w:pPr>
        <w:pStyle w:val="BodyText"/>
        <w:ind w:left="600"/>
      </w:pPr>
      <w:r>
        <w:rPr>
          <w:rFonts w:ascii="Times New Roman" w:eastAsia="Times New Roman"/>
        </w:rPr>
        <w:t>1</w:t>
      </w:r>
      <w:r>
        <w:rPr/>
        <w:t>、证券交易所上市的有价证券的估值</w:t>
      </w:r>
    </w:p>
    <w:p>
      <w:pPr>
        <w:pStyle w:val="ListParagraph"/>
        <w:numPr>
          <w:ilvl w:val="0"/>
          <w:numId w:val="19"/>
        </w:numPr>
        <w:tabs>
          <w:tab w:pos="1202" w:val="left" w:leader="none"/>
        </w:tabs>
        <w:spacing w:line="364" w:lineRule="auto" w:before="160" w:after="0"/>
        <w:ind w:left="120" w:right="357" w:firstLine="479"/>
        <w:jc w:val="both"/>
        <w:rPr>
          <w:sz w:val="24"/>
        </w:rPr>
      </w:pPr>
      <w:r>
        <w:rPr>
          <w:sz w:val="24"/>
        </w:rPr>
        <w:t>交易所上市的有价证券，以其估值日在证券交易所挂牌的市价（收盘价</w:t>
      </w:r>
      <w:r>
        <w:rPr>
          <w:spacing w:val="-24"/>
          <w:sz w:val="24"/>
        </w:rPr>
        <w:t>）</w:t>
      </w:r>
      <w:r>
        <w:rPr>
          <w:spacing w:val="-9"/>
          <w:sz w:val="24"/>
        </w:rPr>
        <w:t>估值；估值日无交易的，且最近交易日后经济环境未发生重大变化，以最近</w:t>
      </w:r>
      <w:r>
        <w:rPr>
          <w:spacing w:val="-4"/>
          <w:sz w:val="24"/>
        </w:rPr>
        <w:t>交易日的市价</w:t>
      </w:r>
      <w:r>
        <w:rPr>
          <w:sz w:val="24"/>
        </w:rPr>
        <w:t>（收盘价</w:t>
      </w:r>
      <w:r>
        <w:rPr>
          <w:spacing w:val="-24"/>
          <w:sz w:val="24"/>
        </w:rPr>
        <w:t>）</w:t>
      </w:r>
      <w:r>
        <w:rPr>
          <w:spacing w:val="-7"/>
          <w:sz w:val="24"/>
        </w:rPr>
        <w:t>估值；如最近交易日后经济环境发生了重大变化的，可</w:t>
      </w:r>
      <w:r>
        <w:rPr>
          <w:spacing w:val="-6"/>
          <w:sz w:val="24"/>
        </w:rPr>
        <w:t>参考类似投资品种的现行市价及重大变化因素，调整最近交易市价，确定公允价</w:t>
      </w:r>
      <w:r>
        <w:rPr>
          <w:sz w:val="24"/>
        </w:rPr>
        <w:t>格；</w:t>
      </w:r>
    </w:p>
    <w:p>
      <w:pPr>
        <w:pStyle w:val="ListParagraph"/>
        <w:numPr>
          <w:ilvl w:val="0"/>
          <w:numId w:val="19"/>
        </w:numPr>
        <w:tabs>
          <w:tab w:pos="1202" w:val="left" w:leader="none"/>
        </w:tabs>
        <w:spacing w:line="364" w:lineRule="auto" w:before="3" w:after="0"/>
        <w:ind w:left="120" w:right="244" w:firstLine="479"/>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如最近交易日后经济环境发生了重大变化的，可参考类似投资品种的现行市价及重大变化因素，调整最近交易市价，确定公允价格；</w:t>
      </w:r>
    </w:p>
    <w:p>
      <w:pPr>
        <w:pStyle w:val="ListParagraph"/>
        <w:numPr>
          <w:ilvl w:val="0"/>
          <w:numId w:val="19"/>
        </w:numPr>
        <w:tabs>
          <w:tab w:pos="1202" w:val="left" w:leader="none"/>
        </w:tabs>
        <w:spacing w:line="364" w:lineRule="auto" w:before="3" w:after="0"/>
        <w:ind w:left="120" w:right="244" w:firstLine="479"/>
        <w:jc w:val="left"/>
        <w:rPr>
          <w:sz w:val="24"/>
        </w:rPr>
      </w:pPr>
      <w:r>
        <w:rPr>
          <w:sz w:val="24"/>
        </w:rPr>
        <w:t>交易所上市未实行净价交易的债券按估值日收盘价减去债券收盘价中</w:t>
      </w:r>
      <w:r>
        <w:rPr>
          <w:spacing w:val="-5"/>
          <w:sz w:val="24"/>
        </w:rPr>
        <w:t>所含的债券应收利息得到的净价进行估值；估值日没有交易的，且最近交易日后</w:t>
      </w:r>
      <w:r>
        <w:rPr>
          <w:spacing w:val="-12"/>
          <w:sz w:val="24"/>
        </w:rPr>
        <w:t>经济环境未发生重大变化，按最近交易日债券收盘价减去债券收盘价中所含的债</w:t>
      </w:r>
      <w:r>
        <w:rPr>
          <w:spacing w:val="-13"/>
          <w:sz w:val="24"/>
        </w:rPr>
        <w:t>券应收利息得到的净价进行估值。如最近交易日后经济环境发生了重大变化的， </w:t>
      </w:r>
      <w:r>
        <w:rPr>
          <w:spacing w:val="-5"/>
          <w:sz w:val="24"/>
        </w:rPr>
        <w:t>可参考类似投资品种的现行市价及重大变化因素，调整最近交易市价，确定公允价格；</w:t>
      </w:r>
    </w:p>
    <w:p>
      <w:pPr>
        <w:pStyle w:val="ListParagraph"/>
        <w:numPr>
          <w:ilvl w:val="0"/>
          <w:numId w:val="19"/>
        </w:numPr>
        <w:tabs>
          <w:tab w:pos="1202" w:val="left" w:leader="none"/>
        </w:tabs>
        <w:spacing w:line="364" w:lineRule="auto" w:before="4" w:after="0"/>
        <w:ind w:left="120" w:right="359" w:firstLine="479"/>
        <w:jc w:val="both"/>
        <w:rPr>
          <w:sz w:val="24"/>
        </w:rPr>
      </w:pPr>
      <w:r>
        <w:rPr>
          <w:spacing w:val="-7"/>
          <w:sz w:val="24"/>
        </w:rPr>
        <w:t>交易所上市不存在活跃市场的有价证券，采用估值技术确定公允价值</w:t>
      </w:r>
      <w:r>
        <w:rPr>
          <w:spacing w:val="-10"/>
          <w:sz w:val="24"/>
        </w:rPr>
        <w:t>。交易所上市的资产支持证券，采用估值技术确定公允价值，在估值技术难以可</w:t>
      </w:r>
      <w:r>
        <w:rPr>
          <w:spacing w:val="-4"/>
          <w:sz w:val="24"/>
        </w:rPr>
        <w:t>靠计量公允价值的情况下，按成本估值。</w:t>
      </w:r>
    </w:p>
    <w:p>
      <w:pPr>
        <w:pStyle w:val="BodyText"/>
        <w:spacing w:before="2"/>
        <w:ind w:left="600"/>
      </w:pPr>
      <w:r>
        <w:rPr>
          <w:rFonts w:ascii="Times New Roman" w:eastAsia="Times New Roman"/>
        </w:rPr>
        <w:t>2</w:t>
      </w:r>
      <w:r>
        <w:rPr/>
        <w:t>、首次公开发行未上市的债券，采用估值技术确定公允价值，在估值技术</w:t>
      </w:r>
    </w:p>
    <w:p>
      <w:pPr>
        <w:spacing w:after="0"/>
        <w:sectPr>
          <w:pgSz w:w="11910" w:h="16840"/>
          <w:pgMar w:header="0" w:footer="995" w:top="1500" w:bottom="1180" w:left="1680" w:right="1440"/>
        </w:sectPr>
      </w:pPr>
    </w:p>
    <w:p>
      <w:pPr>
        <w:pStyle w:val="BodyText"/>
        <w:spacing w:before="40"/>
      </w:pPr>
      <w:r>
        <w:rPr/>
        <w:t>难以可靠计量公允价值的情况下，按成本估值。</w:t>
      </w:r>
    </w:p>
    <w:p>
      <w:pPr>
        <w:pStyle w:val="BodyText"/>
        <w:spacing w:line="364" w:lineRule="auto"/>
        <w:ind w:right="364" w:firstLine="479"/>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before="2"/>
        <w:ind w:right="117" w:firstLine="479"/>
      </w:pPr>
      <w:r>
        <w:rPr>
          <w:rFonts w:ascii="Times New Roman" w:eastAsia="Times New Roman"/>
        </w:rPr>
        <w:t>4</w:t>
      </w:r>
      <w:r>
        <w:rPr/>
        <w:t>、如有确凿证据表明按上述方法进行估值不能客观反映其公允价值的，基 </w:t>
      </w:r>
      <w:r>
        <w:rPr>
          <w:spacing w:val="-6"/>
        </w:rPr>
        <w:t>金管理人可根据具体情况与基金托管人商定后，按最能反映公允价值的价格估值。</w:t>
      </w:r>
    </w:p>
    <w:p>
      <w:pPr>
        <w:pStyle w:val="BodyText"/>
        <w:spacing w:line="364" w:lineRule="auto" w:before="1"/>
        <w:ind w:right="364" w:firstLine="479"/>
      </w:pPr>
      <w:r>
        <w:rPr>
          <w:rFonts w:ascii="Times New Roman" w:eastAsia="Times New Roman"/>
        </w:rPr>
        <w:t>5</w:t>
      </w:r>
      <w:r>
        <w:rPr/>
        <w:t>、相关法律法规以及监管部门有强制规定的，从其规定。如有新增事项， 按国家最新规定估值。</w:t>
      </w:r>
    </w:p>
    <w:p>
      <w:pPr>
        <w:pStyle w:val="BodyText"/>
        <w:spacing w:line="364" w:lineRule="auto" w:before="1"/>
        <w:ind w:right="357"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357" w:firstLine="479"/>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00"/>
      </w:pPr>
      <w:r>
        <w:rPr/>
        <w:t>四、估值程序</w:t>
      </w:r>
    </w:p>
    <w:p>
      <w:pPr>
        <w:pStyle w:val="BodyText"/>
        <w:spacing w:line="364" w:lineRule="auto" w:before="160"/>
        <w:ind w:right="356" w:firstLine="479"/>
        <w:jc w:val="both"/>
      </w:pPr>
      <w:r>
        <w:rPr>
          <w:rFonts w:ascii="Times New Roman" w:eastAsia="Times New Roman"/>
        </w:rPr>
        <w:t>1</w:t>
      </w:r>
      <w:r>
        <w:rPr/>
        <w:t>、基金份额净值是按照每个工作日闭市后，基金资产净值除以当日基金份</w:t>
      </w:r>
      <w:r>
        <w:rPr>
          <w:spacing w:val="-2"/>
        </w:rPr>
        <w:t>额的余额数量计算，精确到 </w:t>
      </w:r>
      <w:r>
        <w:rPr>
          <w:rFonts w:ascii="Times New Roman" w:eastAsia="Times New Roman"/>
        </w:rPr>
        <w:t>0.0001</w:t>
      </w:r>
      <w:r>
        <w:rPr>
          <w:rFonts w:ascii="Times New Roman" w:eastAsia="Times New Roman"/>
          <w:spacing w:val="43"/>
        </w:rPr>
        <w:t> </w:t>
      </w:r>
      <w:r>
        <w:rPr>
          <w:spacing w:val="-1"/>
        </w:rPr>
        <w:t>元，小数点后第五位四舍五入。国家另有规</w:t>
      </w:r>
      <w:r>
        <w:rPr/>
        <w:t>定的，从其规定。</w:t>
      </w:r>
    </w:p>
    <w:p>
      <w:pPr>
        <w:pStyle w:val="BodyText"/>
        <w:spacing w:before="2"/>
        <w:ind w:left="600"/>
      </w:pPr>
      <w:r>
        <w:rPr/>
        <w:t>每个工作日计算基金资产净值及基金份额净值，并按规定公告。</w:t>
      </w:r>
    </w:p>
    <w:p>
      <w:pPr>
        <w:pStyle w:val="BodyText"/>
        <w:spacing w:line="364" w:lineRule="auto"/>
        <w:ind w:right="117" w:firstLine="479"/>
      </w:pPr>
      <w:r>
        <w:rPr>
          <w:rFonts w:ascii="Times New Roman" w:eastAsia="Times New Roman"/>
        </w:rPr>
        <w:t>2</w:t>
      </w:r>
      <w:r>
        <w:rPr/>
        <w:t>、基金管理人应每个工作日对基金资产估值。但基金管理人根据法律法规 </w:t>
      </w:r>
      <w:r>
        <w:rPr>
          <w:spacing w:val="-7"/>
        </w:rPr>
        <w:t>或本基金合同的规定暂停估值时除外。基金管理人每个工作日对基金资产估值后， </w:t>
      </w:r>
      <w:r>
        <w:rPr>
          <w:spacing w:val="-5"/>
        </w:rPr>
        <w:t>将基金份额净值结果发送基金托管人，经基金托管人复核无误后，由基金管理人 对外公布。</w:t>
      </w:r>
    </w:p>
    <w:p>
      <w:pPr>
        <w:pStyle w:val="BodyText"/>
        <w:spacing w:before="2"/>
        <w:ind w:left="600"/>
      </w:pPr>
      <w:r>
        <w:rPr/>
        <w:t>五、估值错误的处理</w:t>
      </w:r>
    </w:p>
    <w:p>
      <w:pPr>
        <w:pStyle w:val="BodyText"/>
        <w:spacing w:line="364" w:lineRule="auto"/>
        <w:ind w:right="356" w:firstLine="479"/>
        <w:jc w:val="both"/>
      </w:pPr>
      <w:r>
        <w:rPr>
          <w:spacing w:val="-7"/>
        </w:rPr>
        <w:t>基金管理人和基金托管人将采取必要、适当、合理的措施确保基金资产估值</w:t>
      </w:r>
      <w:r>
        <w:rPr>
          <w:spacing w:val="-6"/>
        </w:rPr>
        <w:t>的准确性、及时性。当基金份额净值小数点后 </w:t>
      </w:r>
      <w:r>
        <w:rPr>
          <w:rFonts w:ascii="Times New Roman" w:eastAsia="Times New Roman"/>
        </w:rPr>
        <w:t>4 </w:t>
      </w:r>
      <w:r>
        <w:rPr/>
        <w:t>位以内</w:t>
      </w:r>
      <w:r>
        <w:rPr>
          <w:rFonts w:ascii="Times New Roman" w:eastAsia="Times New Roman"/>
        </w:rPr>
        <w:t>(</w:t>
      </w:r>
      <w:r>
        <w:rPr>
          <w:spacing w:val="-20"/>
        </w:rPr>
        <w:t>含第 </w:t>
      </w:r>
      <w:r>
        <w:rPr>
          <w:rFonts w:ascii="Times New Roman" w:eastAsia="Times New Roman"/>
        </w:rPr>
        <w:t>4 </w:t>
      </w:r>
      <w:r>
        <w:rPr/>
        <w:t>位</w:t>
      </w:r>
      <w:r>
        <w:rPr>
          <w:rFonts w:ascii="Times New Roman" w:eastAsia="Times New Roman"/>
        </w:rPr>
        <w:t>)</w:t>
      </w:r>
      <w:r>
        <w:rPr>
          <w:spacing w:val="-3"/>
        </w:rPr>
        <w:t>发生估值错误</w:t>
      </w:r>
      <w:r>
        <w:rPr/>
        <w:t>时，视为基金份额净值错误。</w:t>
      </w:r>
    </w:p>
    <w:p>
      <w:pPr>
        <w:pStyle w:val="BodyText"/>
        <w:spacing w:before="2"/>
        <w:ind w:left="600"/>
      </w:pPr>
      <w:r>
        <w:rPr/>
        <w:t>本基金合同的当事人应按照以下约定处理：</w:t>
      </w:r>
    </w:p>
    <w:p>
      <w:pPr>
        <w:pStyle w:val="BodyText"/>
        <w:ind w:left="600"/>
      </w:pPr>
      <w:r>
        <w:rPr>
          <w:rFonts w:ascii="Times New Roman" w:eastAsia="Times New Roman"/>
        </w:rPr>
        <w:t>1</w:t>
      </w:r>
      <w:r>
        <w:rPr/>
        <w:t>、估值错误类型</w:t>
      </w:r>
    </w:p>
    <w:p>
      <w:pPr>
        <w:spacing w:after="0"/>
        <w:sectPr>
          <w:pgSz w:w="11910" w:h="16840"/>
          <w:pgMar w:header="0" w:footer="995" w:top="1460" w:bottom="1180" w:left="1680" w:right="1440"/>
        </w:sectPr>
      </w:pPr>
    </w:p>
    <w:p>
      <w:pPr>
        <w:pStyle w:val="BodyText"/>
        <w:spacing w:line="364" w:lineRule="auto" w:before="40"/>
        <w:ind w:right="240" w:firstLine="479"/>
      </w:pPr>
      <w:r>
        <w:rPr/>
        <w:t>本基金运作过程中，如果由于基金管理人或基金托管人、或登记结算机构、或销售机构、或投资人自身的过错造成估值错误，导致其他当事人遭受损失的， 过错的责任人应当对由于该估值错误遭受损失当事人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t>的直接损失按下述</w:t>
      </w:r>
      <w:r>
        <w:rPr>
          <w:rFonts w:ascii="Times New Roman" w:hAnsi="Times New Roman" w:eastAsia="Times New Roman"/>
        </w:rPr>
        <w:t>“</w:t>
      </w:r>
      <w:r>
        <w:rPr/>
        <w:t>估值错误处理原则</w:t>
      </w:r>
      <w:r>
        <w:rPr>
          <w:rFonts w:ascii="Times New Roman" w:hAnsi="Times New Roman" w:eastAsia="Times New Roman"/>
        </w:rPr>
        <w:t>”</w:t>
      </w:r>
      <w:r>
        <w:rPr/>
        <w:t>给予赔偿，承担赔偿责任。</w:t>
      </w:r>
    </w:p>
    <w:p>
      <w:pPr>
        <w:pStyle w:val="BodyText"/>
        <w:spacing w:line="364" w:lineRule="auto" w:before="3"/>
        <w:ind w:right="357" w:firstLine="479"/>
      </w:pPr>
      <w:r>
        <w:rPr>
          <w:spacing w:val="-6"/>
        </w:rPr>
        <w:t>上述估值错误的主要类型包括但不限于：资料申报差错、数据传输差错、数</w:t>
      </w:r>
      <w:r>
        <w:rPr/>
        <w:t>据计算差错、系统故障差错、下达指令差错等。</w:t>
      </w:r>
    </w:p>
    <w:p>
      <w:pPr>
        <w:pStyle w:val="BodyText"/>
        <w:spacing w:before="2"/>
        <w:ind w:left="600"/>
      </w:pPr>
      <w:r>
        <w:rPr>
          <w:rFonts w:ascii="Times New Roman" w:eastAsia="Times New Roman"/>
        </w:rPr>
        <w:t>2</w:t>
      </w:r>
      <w:r>
        <w:rPr/>
        <w:t>、估值错误处理原则</w:t>
      </w:r>
    </w:p>
    <w:p>
      <w:pPr>
        <w:pStyle w:val="ListParagraph"/>
        <w:numPr>
          <w:ilvl w:val="0"/>
          <w:numId w:val="20"/>
        </w:numPr>
        <w:tabs>
          <w:tab w:pos="1202" w:val="left" w:leader="none"/>
        </w:tabs>
        <w:spacing w:line="364" w:lineRule="auto" w:before="160" w:after="0"/>
        <w:ind w:left="120" w:right="23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20"/>
        </w:numPr>
        <w:tabs>
          <w:tab w:pos="1202" w:val="left" w:leader="none"/>
        </w:tabs>
        <w:spacing w:line="364" w:lineRule="auto" w:before="5" w:after="0"/>
        <w:ind w:left="120" w:right="361" w:firstLine="479"/>
        <w:jc w:val="left"/>
        <w:rPr>
          <w:sz w:val="24"/>
        </w:rPr>
      </w:pPr>
      <w:r>
        <w:rPr>
          <w:spacing w:val="-5"/>
          <w:sz w:val="24"/>
        </w:rPr>
        <w:t>估值错误的责任方对有关当事人的直接损失负责，不对间接损失负责，并且仅对估值错误的有关直接当事人负责，不对第三方负责。</w:t>
      </w:r>
    </w:p>
    <w:p>
      <w:pPr>
        <w:pStyle w:val="ListParagraph"/>
        <w:numPr>
          <w:ilvl w:val="0"/>
          <w:numId w:val="20"/>
        </w:numPr>
        <w:tabs>
          <w:tab w:pos="1202" w:val="left" w:leader="none"/>
        </w:tabs>
        <w:spacing w:line="364" w:lineRule="auto" w:before="1" w:after="0"/>
        <w:ind w:left="120" w:right="35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0"/>
        </w:numPr>
        <w:tabs>
          <w:tab w:pos="1202" w:val="left" w:leader="none"/>
        </w:tabs>
        <w:spacing w:line="240" w:lineRule="auto" w:before="5" w:after="0"/>
        <w:ind w:left="1201" w:right="0" w:hanging="602"/>
        <w:jc w:val="left"/>
        <w:rPr>
          <w:sz w:val="24"/>
        </w:rPr>
      </w:pPr>
      <w:r>
        <w:rPr>
          <w:sz w:val="24"/>
        </w:rPr>
        <w:t>估值错误调整采用尽量恢复至假设未发生估值错误的正确情形的方式。</w:t>
      </w:r>
    </w:p>
    <w:p>
      <w:pPr>
        <w:pStyle w:val="BodyText"/>
        <w:spacing w:before="160"/>
        <w:ind w:left="600"/>
      </w:pPr>
      <w:r>
        <w:rPr>
          <w:rFonts w:ascii="Times New Roman" w:eastAsia="Times New Roman"/>
        </w:rPr>
        <w:t>3</w:t>
      </w:r>
      <w:r>
        <w:rPr/>
        <w:t>、估值错误处理程序</w:t>
      </w:r>
    </w:p>
    <w:p>
      <w:pPr>
        <w:pStyle w:val="BodyText"/>
        <w:ind w:left="600"/>
      </w:pPr>
      <w:r>
        <w:rPr/>
        <w:t>估值错误被发现后，有关的当事人应当及时进行处理，处理的程序如下：</w:t>
      </w:r>
    </w:p>
    <w:p>
      <w:pPr>
        <w:pStyle w:val="ListParagraph"/>
        <w:numPr>
          <w:ilvl w:val="0"/>
          <w:numId w:val="21"/>
        </w:numPr>
        <w:tabs>
          <w:tab w:pos="1202" w:val="left" w:leader="none"/>
        </w:tabs>
        <w:spacing w:line="364" w:lineRule="auto" w:before="161" w:after="0"/>
        <w:ind w:left="120" w:right="364"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1"/>
        </w:numPr>
        <w:tabs>
          <w:tab w:pos="1202" w:val="left" w:leader="none"/>
        </w:tabs>
        <w:spacing w:line="240" w:lineRule="auto" w:before="1" w:after="0"/>
        <w:ind w:left="1201" w:right="0" w:hanging="602"/>
        <w:jc w:val="left"/>
        <w:rPr>
          <w:sz w:val="24"/>
        </w:rPr>
      </w:pPr>
      <w:r>
        <w:rPr>
          <w:sz w:val="24"/>
        </w:rPr>
        <w:t>根据估值错误处理原则或当事人协商的方法对因估值错误造成的损失</w:t>
      </w:r>
    </w:p>
    <w:p>
      <w:pPr>
        <w:spacing w:after="0" w:line="240" w:lineRule="auto"/>
        <w:jc w:val="left"/>
        <w:rPr>
          <w:sz w:val="24"/>
        </w:rPr>
        <w:sectPr>
          <w:pgSz w:w="11910" w:h="16840"/>
          <w:pgMar w:header="0" w:footer="995" w:top="1460" w:bottom="1180" w:left="1680" w:right="1440"/>
        </w:sectPr>
      </w:pPr>
    </w:p>
    <w:p>
      <w:pPr>
        <w:pStyle w:val="BodyText"/>
        <w:spacing w:before="40"/>
      </w:pPr>
      <w:r>
        <w:rPr/>
        <w:t>进行评估；</w:t>
      </w:r>
    </w:p>
    <w:p>
      <w:pPr>
        <w:pStyle w:val="ListParagraph"/>
        <w:numPr>
          <w:ilvl w:val="0"/>
          <w:numId w:val="21"/>
        </w:numPr>
        <w:tabs>
          <w:tab w:pos="1202" w:val="left" w:leader="none"/>
        </w:tabs>
        <w:spacing w:line="364" w:lineRule="auto" w:before="161" w:after="0"/>
        <w:ind w:left="120" w:right="36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1"/>
        </w:numPr>
        <w:tabs>
          <w:tab w:pos="1202" w:val="left" w:leader="none"/>
        </w:tabs>
        <w:spacing w:line="364" w:lineRule="auto" w:before="2" w:after="0"/>
        <w:ind w:left="120" w:right="361" w:firstLine="479"/>
        <w:jc w:val="left"/>
        <w:rPr>
          <w:sz w:val="24"/>
        </w:rPr>
      </w:pPr>
      <w:r>
        <w:rPr>
          <w:spacing w:val="-1"/>
          <w:sz w:val="24"/>
        </w:rPr>
        <w:t>根据估值错误处理的方法，需要修改基金登记结算机构交易数据的， </w:t>
      </w:r>
      <w:r>
        <w:rPr>
          <w:sz w:val="24"/>
        </w:rPr>
        <w:t>由基金登记结算机构进行更正，并就估值错误的更正向有关当事人进行确认。</w:t>
      </w:r>
    </w:p>
    <w:p>
      <w:pPr>
        <w:pStyle w:val="BodyText"/>
        <w:spacing w:before="1"/>
        <w:ind w:left="600"/>
      </w:pPr>
      <w:r>
        <w:rPr>
          <w:rFonts w:ascii="Times New Roman" w:eastAsia="Times New Roman"/>
        </w:rPr>
        <w:t>4</w:t>
      </w:r>
      <w:r>
        <w:rPr/>
        <w:t>、基金份额净值估值错误处理的方法如下：</w:t>
      </w:r>
    </w:p>
    <w:p>
      <w:pPr>
        <w:pStyle w:val="ListParagraph"/>
        <w:numPr>
          <w:ilvl w:val="0"/>
          <w:numId w:val="22"/>
        </w:numPr>
        <w:tabs>
          <w:tab w:pos="1202" w:val="left" w:leader="none"/>
        </w:tabs>
        <w:spacing w:line="364" w:lineRule="auto" w:before="160" w:after="0"/>
        <w:ind w:left="120" w:right="364" w:firstLine="479"/>
        <w:jc w:val="left"/>
        <w:rPr>
          <w:sz w:val="24"/>
        </w:rPr>
      </w:pPr>
      <w:r>
        <w:rPr>
          <w:spacing w:val="-1"/>
          <w:sz w:val="24"/>
        </w:rPr>
        <w:t>基金份额净值计算出现错误时，基金管理人应当立即予以纠正，通报</w:t>
      </w:r>
      <w:r>
        <w:rPr>
          <w:sz w:val="24"/>
        </w:rPr>
        <w:t>基金托管人，并采取合理的措施防止损失进一步扩大。</w:t>
      </w:r>
    </w:p>
    <w:p>
      <w:pPr>
        <w:pStyle w:val="ListParagraph"/>
        <w:numPr>
          <w:ilvl w:val="0"/>
          <w:numId w:val="22"/>
        </w:numPr>
        <w:tabs>
          <w:tab w:pos="1202" w:val="left" w:leader="none"/>
        </w:tabs>
        <w:spacing w:line="364" w:lineRule="auto" w:before="2" w:after="0"/>
        <w:ind w:left="120" w:right="356" w:firstLine="479"/>
        <w:jc w:val="both"/>
        <w:rPr>
          <w:sz w:val="24"/>
        </w:rPr>
      </w:pPr>
      <w:r>
        <w:rPr>
          <w:sz w:val="24"/>
        </w:rPr>
        <w:t>错误偏差达到基金份额净值的 </w:t>
      </w:r>
      <w:r>
        <w:rPr>
          <w:rFonts w:ascii="Times New Roman" w:eastAsia="Times New Roman"/>
          <w:sz w:val="24"/>
        </w:rPr>
        <w:t>0.25%</w:t>
      </w:r>
      <w:r>
        <w:rPr>
          <w:spacing w:val="-1"/>
          <w:sz w:val="24"/>
        </w:rPr>
        <w:t>时，基金管理人应当通报基金托</w:t>
      </w:r>
      <w:r>
        <w:rPr>
          <w:sz w:val="24"/>
        </w:rPr>
        <w:t>管人并报中国证监会备案；错误偏差达到基金份额净值的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2"/>
        </w:numPr>
        <w:tabs>
          <w:tab w:pos="1202" w:val="left" w:leader="none"/>
        </w:tabs>
        <w:spacing w:line="364" w:lineRule="auto" w:before="2" w:after="0"/>
        <w:ind w:left="600" w:right="1105" w:firstLine="0"/>
        <w:jc w:val="left"/>
        <w:rPr>
          <w:sz w:val="24"/>
        </w:rPr>
      </w:pPr>
      <w:r>
        <w:rPr>
          <w:spacing w:val="-1"/>
          <w:sz w:val="24"/>
        </w:rPr>
        <w:t>前述内容如法律法规或监管机关另有规定的，从其规定处理。</w:t>
      </w:r>
      <w:r>
        <w:rPr>
          <w:sz w:val="24"/>
        </w:rPr>
        <w:t>六、暂停估值的情形</w:t>
      </w:r>
    </w:p>
    <w:p>
      <w:pPr>
        <w:pStyle w:val="BodyText"/>
        <w:spacing w:before="1"/>
        <w:ind w:left="600"/>
      </w:pPr>
      <w:r>
        <w:rPr>
          <w:rFonts w:ascii="Times New Roman" w:eastAsia="Times New Roman"/>
        </w:rPr>
        <w:t>1</w:t>
      </w:r>
      <w:r>
        <w:rPr/>
        <w:t>、基金投资所涉及的证券交易市场遇法定节假日或因其他原因暂停营业时；</w:t>
      </w:r>
    </w:p>
    <w:p>
      <w:pPr>
        <w:pStyle w:val="BodyText"/>
        <w:ind w:left="600"/>
      </w:pPr>
      <w:r>
        <w:rPr>
          <w:rFonts w:ascii="Times New Roman" w:eastAsia="Times New Roman"/>
        </w:rPr>
        <w:t>2</w:t>
      </w:r>
      <w:r>
        <w:rPr/>
        <w:t>、因不可抗力致使基金管理人、基金托管人无法准确评估基金资产价值时；</w:t>
      </w:r>
    </w:p>
    <w:p>
      <w:pPr>
        <w:pStyle w:val="BodyText"/>
        <w:spacing w:line="364" w:lineRule="auto" w:before="160"/>
        <w:ind w:right="358" w:firstLine="479"/>
        <w:jc w:val="both"/>
      </w:pPr>
      <w:r>
        <w:rPr>
          <w:rFonts w:ascii="Times New Roman" w:eastAsia="Times New Roman"/>
        </w:rPr>
        <w:t>3</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505"/>
      </w:pPr>
      <w:r>
        <w:rPr>
          <w:rFonts w:ascii="Times New Roman" w:eastAsia="Times New Roman"/>
        </w:rPr>
        <w:t>4</w:t>
      </w:r>
      <w:r>
        <w:rPr/>
        <w:t>、中国证监会和基金合同认定的其它情形。七、基金净值的确认</w:t>
      </w:r>
    </w:p>
    <w:p>
      <w:pPr>
        <w:pStyle w:val="BodyText"/>
        <w:spacing w:line="364" w:lineRule="auto" w:before="1"/>
        <w:ind w:right="244" w:firstLine="479"/>
      </w:pPr>
      <w:r>
        <w:rPr>
          <w:spacing w:val="-1"/>
        </w:rPr>
        <w:t>用于基金信息披露的基金资产净值和基金份额净值由基金管理人负责计算， </w:t>
      </w:r>
      <w:r>
        <w:rPr>
          <w:spacing w:val="-8"/>
        </w:rPr>
        <w:t>基金托管人负责进行复核。基金管理人应于每个工作日交易结束后计算当日的基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BodyText"/>
        <w:spacing w:before="3"/>
        <w:ind w:left="600"/>
      </w:pPr>
      <w:r>
        <w:rPr/>
        <w:t>八、特殊情况的处理</w:t>
      </w:r>
    </w:p>
    <w:p>
      <w:pPr>
        <w:pStyle w:val="BodyText"/>
        <w:spacing w:line="364" w:lineRule="auto"/>
        <w:ind w:right="303" w:firstLine="479"/>
      </w:pPr>
      <w:r>
        <w:rPr>
          <w:rFonts w:ascii="Times New Roman" w:eastAsia="Times New Roman"/>
        </w:rPr>
        <w:t>1</w:t>
      </w:r>
      <w:r>
        <w:rPr/>
        <w:t>、基金管理人或基金托管人按估值方法的第 </w:t>
      </w:r>
      <w:r>
        <w:rPr>
          <w:rFonts w:ascii="Times New Roman" w:eastAsia="Times New Roman"/>
        </w:rPr>
        <w:t>4 </w:t>
      </w:r>
      <w:r>
        <w:rPr/>
        <w:t>项进行估值时，所造成的误差不作为基金资产估值错误处理。</w:t>
      </w:r>
    </w:p>
    <w:p>
      <w:pPr>
        <w:pStyle w:val="BodyText"/>
        <w:spacing w:line="364" w:lineRule="auto" w:before="1"/>
        <w:ind w:right="357" w:firstLine="479"/>
      </w:pPr>
      <w:r>
        <w:rPr>
          <w:rFonts w:ascii="Times New Roman" w:eastAsia="Times New Roman"/>
        </w:rPr>
        <w:t>2</w:t>
      </w:r>
      <w:r>
        <w:rPr>
          <w:spacing w:val="-16"/>
        </w:rPr>
        <w:t>、由于不可抗力原因，或由于证券交易所及登记结算机构发送的数据错误， </w:t>
      </w:r>
      <w:r>
        <w:rPr>
          <w:spacing w:val="-9"/>
        </w:rPr>
        <w:t>或国家会计政策变更、市场规则变更等，基金管理人和基金托管人虽然已经采取</w:t>
      </w:r>
    </w:p>
    <w:p>
      <w:pPr>
        <w:spacing w:after="0" w:line="364" w:lineRule="auto"/>
        <w:sectPr>
          <w:pgSz w:w="11910" w:h="16840"/>
          <w:pgMar w:header="0" w:footer="995" w:top="1460" w:bottom="1180" w:left="1680" w:right="1440"/>
        </w:sectPr>
      </w:pPr>
    </w:p>
    <w:p>
      <w:pPr>
        <w:pStyle w:val="BodyText"/>
        <w:spacing w:line="364" w:lineRule="auto" w:before="40"/>
        <w:ind w:right="357"/>
        <w:jc w:val="both"/>
      </w:pPr>
      <w:r>
        <w:rPr>
          <w:spacing w:val="-11"/>
        </w:rPr>
        <w:t>必要、适当、合理的措施进行检查，但未能发现错误的，由此造成的基金资产估</w:t>
      </w:r>
      <w:r>
        <w:rPr>
          <w:spacing w:val="-10"/>
        </w:rPr>
        <w:t>值错误，基金管理人和基金托管人免除赔偿责任。但基金管理人、基金托管人应</w:t>
      </w:r>
      <w:r>
        <w:rPr/>
        <w:t>当积极采取必要的措施消除由此造成的影响。</w:t>
      </w:r>
    </w:p>
    <w:p>
      <w:pPr>
        <w:spacing w:after="0" w:line="364" w:lineRule="auto"/>
        <w:jc w:val="both"/>
        <w:sectPr>
          <w:pgSz w:w="11910" w:h="16840"/>
          <w:pgMar w:header="0" w:footer="995" w:top="1460" w:bottom="1180" w:left="1680" w:right="1440"/>
        </w:sectPr>
      </w:pPr>
    </w:p>
    <w:p>
      <w:pPr>
        <w:pStyle w:val="Heading1"/>
        <w:tabs>
          <w:tab w:pos="1804" w:val="left" w:leader="none"/>
        </w:tabs>
      </w:pPr>
      <w:bookmarkStart w:name="_bookmark15" w:id="16"/>
      <w:bookmarkEnd w:id="16"/>
      <w:r>
        <w:rPr>
          <w:b w:val="0"/>
        </w:rPr>
      </w:r>
      <w:r>
        <w:rPr/>
        <w:t>第十六部分</w:t>
        <w:tab/>
        <w:t>基金费用与税收</w:t>
      </w:r>
    </w:p>
    <w:p>
      <w:pPr>
        <w:pStyle w:val="BodyText"/>
        <w:spacing w:before="6"/>
        <w:ind w:left="0"/>
        <w:rPr>
          <w:rFonts w:ascii="微软雅黑"/>
          <w:b/>
          <w:sz w:val="32"/>
        </w:rPr>
      </w:pPr>
    </w:p>
    <w:p>
      <w:pPr>
        <w:pStyle w:val="BodyText"/>
        <w:spacing w:before="0"/>
        <w:ind w:left="600"/>
      </w:pPr>
      <w:r>
        <w:rPr/>
        <w:t>一、基金费用的种类</w:t>
      </w:r>
    </w:p>
    <w:p>
      <w:pPr>
        <w:pStyle w:val="BodyText"/>
        <w:ind w:left="600"/>
      </w:pPr>
      <w:r>
        <w:rPr>
          <w:rFonts w:ascii="Times New Roman" w:eastAsia="Times New Roman"/>
        </w:rPr>
        <w:t>1</w:t>
      </w:r>
      <w:r>
        <w:rPr/>
        <w:t>、基金管理人的管理费；</w:t>
      </w:r>
    </w:p>
    <w:p>
      <w:pPr>
        <w:pStyle w:val="BodyText"/>
        <w:spacing w:before="160"/>
        <w:ind w:left="600"/>
      </w:pPr>
      <w:r>
        <w:rPr>
          <w:rFonts w:ascii="Times New Roman" w:eastAsia="Times New Roman"/>
        </w:rPr>
        <w:t>2</w:t>
      </w:r>
      <w:r>
        <w:rPr/>
        <w:t>、基金托管人的托管费；</w:t>
      </w:r>
    </w:p>
    <w:p>
      <w:pPr>
        <w:pStyle w:val="BodyText"/>
        <w:ind w:left="600"/>
      </w:pPr>
      <w:r>
        <w:rPr>
          <w:rFonts w:ascii="Times New Roman" w:eastAsia="Times New Roman"/>
        </w:rPr>
        <w:t>3</w:t>
      </w:r>
      <w:r>
        <w:rPr/>
        <w:t>、销售服务费；</w:t>
      </w:r>
    </w:p>
    <w:p>
      <w:pPr>
        <w:pStyle w:val="BodyText"/>
        <w:spacing w:before="160"/>
        <w:ind w:left="600"/>
      </w:pPr>
      <w:r>
        <w:rPr>
          <w:rFonts w:ascii="Times New Roman" w:eastAsia="Times New Roman"/>
        </w:rPr>
        <w:t>4</w:t>
      </w:r>
      <w:r>
        <w:rPr/>
        <w:t>、基金的指数许可使用费；</w:t>
      </w:r>
    </w:p>
    <w:p>
      <w:pPr>
        <w:pStyle w:val="BodyText"/>
        <w:ind w:left="600"/>
      </w:pPr>
      <w:r>
        <w:rPr>
          <w:rFonts w:ascii="Times New Roman" w:eastAsia="Times New Roman"/>
        </w:rPr>
        <w:t>5</w:t>
      </w:r>
      <w:r>
        <w:rPr/>
        <w:t>、《基金合同》生效后与基金相关的信息披露费用；</w:t>
      </w:r>
    </w:p>
    <w:p>
      <w:pPr>
        <w:pStyle w:val="BodyText"/>
        <w:ind w:left="600"/>
      </w:pPr>
      <w:r>
        <w:rPr>
          <w:rFonts w:ascii="Times New Roman" w:eastAsia="Times New Roman"/>
        </w:rPr>
        <w:t>6</w:t>
      </w:r>
      <w:r>
        <w:rPr/>
        <w:t>、《基金合同》生效后与基金相关的会计师费、律师费和诉讼费；</w:t>
      </w:r>
    </w:p>
    <w:p>
      <w:pPr>
        <w:pStyle w:val="BodyText"/>
        <w:ind w:left="600"/>
      </w:pPr>
      <w:r>
        <w:rPr>
          <w:rFonts w:ascii="Times New Roman" w:eastAsia="Times New Roman"/>
        </w:rPr>
        <w:t>7</w:t>
      </w:r>
      <w:r>
        <w:rPr/>
        <w:t>、基金份额持有人大会费用；</w:t>
      </w:r>
    </w:p>
    <w:p>
      <w:pPr>
        <w:pStyle w:val="BodyText"/>
        <w:spacing w:before="160"/>
        <w:ind w:left="600"/>
      </w:pPr>
      <w:r>
        <w:rPr>
          <w:rFonts w:ascii="Times New Roman" w:eastAsia="Times New Roman"/>
        </w:rPr>
        <w:t>8</w:t>
      </w:r>
      <w:r>
        <w:rPr/>
        <w:t>、基金的证券交易费用；</w:t>
      </w:r>
    </w:p>
    <w:p>
      <w:pPr>
        <w:pStyle w:val="BodyText"/>
        <w:ind w:left="600"/>
      </w:pPr>
      <w:r>
        <w:rPr>
          <w:rFonts w:ascii="Times New Roman" w:eastAsia="Times New Roman"/>
        </w:rPr>
        <w:t>9</w:t>
      </w:r>
      <w:r>
        <w:rPr/>
        <w:t>、基金的银行汇划费用；</w:t>
      </w:r>
    </w:p>
    <w:p>
      <w:pPr>
        <w:pStyle w:val="BodyText"/>
        <w:spacing w:before="160"/>
        <w:ind w:left="600"/>
      </w:pPr>
      <w:r>
        <w:rPr>
          <w:rFonts w:ascii="Times New Roman" w:eastAsia="Times New Roman"/>
        </w:rPr>
        <w:t>10</w:t>
      </w:r>
      <w:r>
        <w:rPr/>
        <w:t>、证券账户开户费用、银行账户维护费用；</w:t>
      </w:r>
    </w:p>
    <w:p>
      <w:pPr>
        <w:pStyle w:val="BodyText"/>
        <w:ind w:left="600"/>
      </w:pPr>
      <w:r>
        <w:rPr>
          <w:rFonts w:ascii="Times New Roman" w:eastAsia="Times New Roman"/>
        </w:rPr>
        <w:t>11</w:t>
      </w:r>
      <w:r>
        <w:rPr/>
        <w:t>、基金上市初费和上市月费；</w:t>
      </w:r>
    </w:p>
    <w:p>
      <w:pPr>
        <w:pStyle w:val="BodyText"/>
        <w:spacing w:line="364" w:lineRule="auto" w:before="160"/>
        <w:ind w:right="357" w:firstLine="479"/>
      </w:pPr>
      <w:r>
        <w:rPr>
          <w:rFonts w:ascii="Times New Roman" w:eastAsia="Times New Roman"/>
        </w:rPr>
        <w:t>12</w:t>
      </w:r>
      <w:r>
        <w:rPr>
          <w:spacing w:val="-11"/>
        </w:rPr>
        <w:t>、按照国家有关规定和《基金合同》约定，可以在基金财产中列支的其他</w:t>
      </w:r>
      <w:r>
        <w:rPr/>
        <w:t>费用。</w:t>
      </w:r>
    </w:p>
    <w:p>
      <w:pPr>
        <w:pStyle w:val="BodyText"/>
        <w:spacing w:before="2"/>
        <w:ind w:left="600"/>
      </w:pPr>
      <w:r>
        <w:rPr/>
        <w:t>二、基金费用计提方法、计提标准和支付方式</w:t>
      </w:r>
    </w:p>
    <w:p>
      <w:pPr>
        <w:pStyle w:val="BodyText"/>
        <w:spacing w:before="160"/>
        <w:ind w:left="600"/>
      </w:pPr>
      <w:r>
        <w:rPr>
          <w:rFonts w:ascii="Times New Roman" w:eastAsia="Times New Roman"/>
        </w:rPr>
        <w:t>1</w:t>
      </w:r>
      <w:r>
        <w:rPr/>
        <w:t>、基金管理人的管理费</w:t>
      </w:r>
    </w:p>
    <w:p>
      <w:pPr>
        <w:pStyle w:val="BodyText"/>
        <w:spacing w:line="364" w:lineRule="auto"/>
        <w:ind w:right="356" w:firstLine="479"/>
      </w:pPr>
      <w:r>
        <w:rPr>
          <w:spacing w:val="-4"/>
        </w:rPr>
        <w:t>本基金的管理费按前一日基金资产净值的 </w:t>
      </w:r>
      <w:r>
        <w:rPr>
          <w:rFonts w:ascii="Times New Roman" w:eastAsia="Times New Roman"/>
        </w:rPr>
        <w:t>0.30%</w:t>
      </w:r>
      <w:r>
        <w:rPr>
          <w:spacing w:val="-8"/>
        </w:rPr>
        <w:t>年费率计提。管理费的计算</w:t>
      </w:r>
      <w:r>
        <w:rPr/>
        <w:t>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E×0.30%÷</w:t>
      </w:r>
      <w:r>
        <w:rPr/>
        <w:t>当年天数</w:t>
      </w:r>
    </w:p>
    <w:p>
      <w:pPr>
        <w:pStyle w:val="BodyText"/>
        <w:spacing w:before="160"/>
        <w:ind w:left="600"/>
      </w:pPr>
      <w:r>
        <w:rPr>
          <w:rFonts w:ascii="Times New Roman" w:eastAsia="Times New Roman"/>
        </w:rPr>
        <w:t>H </w:t>
      </w:r>
      <w:r>
        <w:rPr/>
        <w:t>为每日应计提的基金管理费</w:t>
      </w:r>
    </w:p>
    <w:p>
      <w:pPr>
        <w:pStyle w:val="BodyText"/>
        <w:ind w:left="600"/>
        <w:jc w:val="both"/>
      </w:pPr>
      <w:r>
        <w:rPr>
          <w:rFonts w:ascii="Times New Roman" w:eastAsia="Times New Roman"/>
        </w:rPr>
        <w:t>E </w:t>
      </w:r>
      <w:r>
        <w:rPr/>
        <w:t>为前一日的基金资产净值</w:t>
      </w:r>
    </w:p>
    <w:p>
      <w:pPr>
        <w:pStyle w:val="BodyText"/>
        <w:spacing w:line="364" w:lineRule="auto" w:before="160"/>
        <w:ind w:right="351" w:firstLine="479"/>
        <w:jc w:val="both"/>
      </w:pPr>
      <w:r>
        <w:rPr>
          <w:spacing w:val="-8"/>
        </w:rPr>
        <w:t>基金管理费每日计算，逐日累计至每月月末，按月支付，由基金管理人向基</w:t>
      </w:r>
      <w:r>
        <w:rPr>
          <w:spacing w:val="-16"/>
        </w:rPr>
        <w:t>金托管人发送基金管理费划款指令，基金托管人复核后于次月前 </w:t>
      </w:r>
      <w:r>
        <w:rPr>
          <w:rFonts w:ascii="Times New Roman" w:eastAsia="Times New Roman"/>
        </w:rPr>
        <w:t>3 </w:t>
      </w:r>
      <w:r>
        <w:rPr>
          <w:spacing w:val="-2"/>
        </w:rPr>
        <w:t>个工作日内从</w:t>
      </w:r>
      <w:r>
        <w:rPr/>
        <w:t>基金财产中一次性支付给基金管理人。若遇法定节假日、公休假等</w:t>
      </w:r>
      <w:r>
        <w:rPr>
          <w:rFonts w:ascii="Times New Roman" w:eastAsia="Times New Roman"/>
          <w:spacing w:val="4"/>
        </w:rPr>
        <w:t>,</w:t>
      </w:r>
      <w:r>
        <w:rPr/>
        <w:t>支付日期顺延。</w:t>
      </w:r>
    </w:p>
    <w:p>
      <w:pPr>
        <w:pStyle w:val="BodyText"/>
        <w:spacing w:before="3"/>
        <w:ind w:left="600"/>
      </w:pPr>
      <w:r>
        <w:rPr>
          <w:rFonts w:ascii="Times New Roman" w:eastAsia="Times New Roman"/>
        </w:rPr>
        <w:t>2</w:t>
      </w:r>
      <w:r>
        <w:rPr/>
        <w:t>、基金托管人的托管费</w:t>
      </w:r>
    </w:p>
    <w:p>
      <w:pPr>
        <w:pStyle w:val="BodyText"/>
        <w:ind w:left="600"/>
        <w:jc w:val="both"/>
      </w:pPr>
      <w:r>
        <w:rPr/>
        <w:t>本基金的托管费按前一日基金资产净值的 </w:t>
      </w:r>
      <w:r>
        <w:rPr>
          <w:rFonts w:ascii="Times New Roman" w:eastAsia="Times New Roman"/>
        </w:rPr>
        <w:t>0.10%</w:t>
      </w:r>
      <w:r>
        <w:rPr/>
        <w:t>的年费率计提。托管费的计</w:t>
      </w:r>
    </w:p>
    <w:p>
      <w:pPr>
        <w:spacing w:after="0"/>
        <w:jc w:val="both"/>
        <w:sectPr>
          <w:pgSz w:w="11910" w:h="16840"/>
          <w:pgMar w:header="0" w:footer="995" w:top="1500" w:bottom="1180" w:left="1680" w:right="1440"/>
        </w:sectPr>
      </w:pPr>
    </w:p>
    <w:p>
      <w:pPr>
        <w:pStyle w:val="BodyText"/>
        <w:spacing w:before="40"/>
      </w:pPr>
      <w:r>
        <w:rPr/>
        <w:t>算方法如下：</w:t>
      </w:r>
    </w:p>
    <w:p>
      <w:pPr>
        <w:pStyle w:val="BodyText"/>
        <w:ind w:left="60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ind w:left="600"/>
        <w:jc w:val="both"/>
      </w:pPr>
      <w:r>
        <w:rPr>
          <w:rFonts w:ascii="Times New Roman" w:eastAsia="Times New Roman"/>
        </w:rPr>
        <w:t>H </w:t>
      </w:r>
      <w:r>
        <w:rPr/>
        <w:t>为每日应计提的基金托管费</w:t>
      </w:r>
    </w:p>
    <w:p>
      <w:pPr>
        <w:pStyle w:val="BodyText"/>
        <w:spacing w:before="160"/>
        <w:ind w:left="600"/>
        <w:jc w:val="both"/>
      </w:pPr>
      <w:r>
        <w:rPr>
          <w:rFonts w:ascii="Times New Roman" w:eastAsia="Times New Roman"/>
        </w:rPr>
        <w:t>E </w:t>
      </w:r>
      <w:r>
        <w:rPr/>
        <w:t>为前一日的基金资产净值</w:t>
      </w:r>
    </w:p>
    <w:p>
      <w:pPr>
        <w:pStyle w:val="BodyText"/>
        <w:spacing w:line="364" w:lineRule="auto"/>
        <w:ind w:right="356" w:firstLine="479"/>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基金财产中一次性支取。若遇法定节假日、公休日等，支付日期顺延。</w:t>
      </w:r>
    </w:p>
    <w:p>
      <w:pPr>
        <w:pStyle w:val="BodyText"/>
        <w:spacing w:before="2"/>
        <w:ind w:left="600"/>
      </w:pPr>
      <w:r>
        <w:rPr>
          <w:rFonts w:ascii="Times New Roman" w:eastAsia="Times New Roman"/>
        </w:rPr>
        <w:t>3</w:t>
      </w:r>
      <w:r>
        <w:rPr/>
        <w:t>、销售服务费</w:t>
      </w:r>
    </w:p>
    <w:p>
      <w:pPr>
        <w:pStyle w:val="BodyText"/>
        <w:spacing w:line="364" w:lineRule="auto" w:before="160"/>
        <w:ind w:right="356" w:firstLine="479"/>
      </w:pPr>
      <w:r>
        <w:rPr/>
        <w:t>本基金 </w:t>
      </w:r>
      <w:r>
        <w:rPr>
          <w:rFonts w:ascii="Times New Roman" w:eastAsia="Times New Roman"/>
        </w:rPr>
        <w:t>A </w:t>
      </w:r>
      <w:r>
        <w:rPr/>
        <w:t>类基金份额不收取销售服务费，</w:t>
      </w:r>
      <w:r>
        <w:rPr>
          <w:rFonts w:ascii="Times New Roman" w:eastAsia="Times New Roman"/>
        </w:rPr>
        <w:t>C </w:t>
      </w:r>
      <w:r>
        <w:rPr/>
        <w:t>类基金份额的销售服务费年费率为 </w:t>
      </w:r>
      <w:r>
        <w:rPr>
          <w:rFonts w:ascii="Times New Roman" w:eastAsia="Times New Roman"/>
        </w:rPr>
        <w:t>0.35%</w:t>
      </w:r>
      <w:r>
        <w:rPr/>
        <w:t>。</w:t>
      </w:r>
    </w:p>
    <w:p>
      <w:pPr>
        <w:pStyle w:val="BodyText"/>
        <w:spacing w:line="364" w:lineRule="auto" w:before="2"/>
        <w:ind w:right="356" w:firstLine="479"/>
      </w:pPr>
      <w:r>
        <w:rPr>
          <w:spacing w:val="-5"/>
        </w:rPr>
        <w:t>本基金销售服务费按前一日 </w:t>
      </w:r>
      <w:r>
        <w:rPr>
          <w:rFonts w:ascii="Times New Roman" w:eastAsia="Times New Roman"/>
        </w:rPr>
        <w:t>C </w:t>
      </w:r>
      <w:r>
        <w:rPr>
          <w:spacing w:val="-7"/>
        </w:rPr>
        <w:t>类基金资产净值的 </w:t>
      </w:r>
      <w:r>
        <w:rPr>
          <w:rFonts w:ascii="Times New Roman" w:eastAsia="Times New Roman"/>
        </w:rPr>
        <w:t>0.35%</w:t>
      </w:r>
      <w:r>
        <w:rPr>
          <w:spacing w:val="-14"/>
        </w:rPr>
        <w:t>的年费率计提。销售</w:t>
      </w:r>
      <w:r>
        <w:rPr/>
        <w:t>服务费的计算方法如下：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0.35%</w:t>
      </w:r>
      <w:r>
        <w:rPr/>
        <w:t>÷当年天数</w:t>
      </w:r>
    </w:p>
    <w:p>
      <w:pPr>
        <w:pStyle w:val="BodyText"/>
        <w:ind w:left="600"/>
      </w:pPr>
      <w:r>
        <w:rPr>
          <w:rFonts w:ascii="Times New Roman" w:eastAsia="Times New Roman"/>
        </w:rPr>
        <w:t>H</w:t>
      </w:r>
      <w:r>
        <w:rPr>
          <w:rFonts w:ascii="Times New Roman" w:eastAsia="Times New Roman"/>
          <w:spacing w:val="59"/>
        </w:rPr>
        <w:t> </w:t>
      </w:r>
      <w:r>
        <w:rPr>
          <w:spacing w:val="-30"/>
        </w:rPr>
        <w:t>为 </w:t>
      </w:r>
      <w:r>
        <w:rPr>
          <w:rFonts w:ascii="Times New Roman" w:eastAsia="Times New Roman"/>
        </w:rPr>
        <w:t>C </w:t>
      </w:r>
      <w:r>
        <w:rPr/>
        <w:t>类基金份额每日应计提的销售服务费</w:t>
      </w:r>
    </w:p>
    <w:p>
      <w:pPr>
        <w:pStyle w:val="BodyText"/>
        <w:spacing w:before="160"/>
        <w:ind w:left="600"/>
      </w:pPr>
      <w:r>
        <w:rPr>
          <w:rFonts w:ascii="Times New Roman" w:eastAsia="Times New Roman"/>
        </w:rPr>
        <w:t>E</w:t>
      </w:r>
      <w:r>
        <w:rPr>
          <w:rFonts w:ascii="Times New Roman" w:eastAsia="Times New Roman"/>
          <w:spacing w:val="59"/>
        </w:rPr>
        <w:t> </w:t>
      </w:r>
      <w:r>
        <w:rPr>
          <w:spacing w:val="-30"/>
        </w:rPr>
        <w:t>为 </w:t>
      </w:r>
      <w:r>
        <w:rPr>
          <w:rFonts w:ascii="Times New Roman" w:eastAsia="Times New Roman"/>
        </w:rPr>
        <w:t>C </w:t>
      </w:r>
      <w:r>
        <w:rPr/>
        <w:t>类基金份额前一日的基金资产净值</w:t>
      </w:r>
    </w:p>
    <w:p>
      <w:pPr>
        <w:pStyle w:val="BodyText"/>
        <w:spacing w:line="364" w:lineRule="auto"/>
        <w:ind w:right="239" w:firstLine="479"/>
      </w:pPr>
      <w:r>
        <w:rPr>
          <w:spacing w:val="-8"/>
        </w:rPr>
        <w:t>销售服务费每日计算，逐日累计至每月月末，按月支付，由基金管理人向基</w:t>
      </w:r>
      <w:r>
        <w:rPr>
          <w:spacing w:val="-16"/>
        </w:rPr>
        <w:t>金托管人发送销售服务费划款指令，基金托管人复核后于次月前 </w:t>
      </w:r>
      <w:r>
        <w:rPr>
          <w:rFonts w:ascii="Times New Roman" w:eastAsia="Times New Roman"/>
        </w:rPr>
        <w:t>3 </w:t>
      </w:r>
      <w:r>
        <w:rPr/>
        <w:t>个工作日内从</w:t>
      </w:r>
      <w:r>
        <w:rPr>
          <w:spacing w:val="-15"/>
        </w:rPr>
        <w:t>基金财产一次性支取，经基金管理人代付给各个基金销售机构。若遇法定节假日、</w:t>
      </w:r>
      <w:r>
        <w:rPr/>
        <w:t>公休假等，支付日期顺延。</w:t>
      </w:r>
    </w:p>
    <w:p>
      <w:pPr>
        <w:pStyle w:val="BodyText"/>
        <w:spacing w:line="364" w:lineRule="auto" w:before="2"/>
        <w:ind w:right="117" w:firstLine="479"/>
      </w:pPr>
      <w:r>
        <w:rPr>
          <w:spacing w:val="-7"/>
        </w:rPr>
        <w:t>销售服务费主要用于支付销售机构佣金、以及基金管理人的基金行销广告费、</w:t>
      </w:r>
      <w:r>
        <w:rPr/>
        <w:t>促销活动费、持有人服务费等。</w:t>
      </w:r>
    </w:p>
    <w:p>
      <w:pPr>
        <w:pStyle w:val="BodyText"/>
        <w:spacing w:before="2"/>
        <w:ind w:left="600"/>
      </w:pPr>
      <w:r>
        <w:rPr/>
        <w:t>基金募集期间的上述费用不从销售服务费中列支。</w:t>
      </w:r>
    </w:p>
    <w:p>
      <w:pPr>
        <w:pStyle w:val="BodyText"/>
        <w:spacing w:before="160"/>
        <w:ind w:left="600"/>
      </w:pPr>
      <w:r>
        <w:rPr>
          <w:rFonts w:ascii="Times New Roman" w:eastAsia="Times New Roman"/>
        </w:rPr>
        <w:t>4</w:t>
      </w:r>
      <w:r>
        <w:rPr/>
        <w:t>、指数许可使用费</w:t>
      </w:r>
    </w:p>
    <w:p>
      <w:pPr>
        <w:pStyle w:val="BodyText"/>
        <w:spacing w:line="364" w:lineRule="auto"/>
        <w:ind w:right="356" w:firstLine="479"/>
        <w:jc w:val="both"/>
      </w:pPr>
      <w:r>
        <w:rPr>
          <w:spacing w:val="-11"/>
        </w:rPr>
        <w:t>本基金作为指数基金，需根据与中央国债登记结算有限责任公司签署的指数</w:t>
      </w:r>
      <w:r>
        <w:rPr>
          <w:spacing w:val="-4"/>
        </w:rPr>
        <w:t>使用许可协议的约定向中央国债登记结算有限责任公司支付指数许可使用费。费</w:t>
      </w:r>
      <w:r>
        <w:rPr/>
        <w:t>用的计算方法及支付方式详见相关公告，并在更新的招募说明书中列示。</w:t>
      </w:r>
    </w:p>
    <w:p>
      <w:pPr>
        <w:pStyle w:val="BodyText"/>
        <w:spacing w:line="364" w:lineRule="auto" w:before="2"/>
        <w:ind w:right="348" w:firstLine="479"/>
        <w:jc w:val="both"/>
      </w:pPr>
      <w:r>
        <w:rPr>
          <w:spacing w:val="4"/>
        </w:rPr>
        <w:t>若中央国债登记结算有限责任公司与基金管理人对指数许可使用费的费率</w:t>
      </w:r>
      <w:r>
        <w:rPr>
          <w:spacing w:val="-6"/>
        </w:rPr>
        <w:t>及支付方式另有约定的，从其最新约定。此项变更无需召开持有人大会审议，但基金管理人应及时在指定媒介予以公告。</w:t>
      </w:r>
    </w:p>
    <w:p>
      <w:pPr>
        <w:spacing w:after="0" w:line="364" w:lineRule="auto"/>
        <w:jc w:val="both"/>
        <w:sectPr>
          <w:pgSz w:w="11910" w:h="16840"/>
          <w:pgMar w:header="0" w:footer="995" w:top="1460" w:bottom="1180" w:left="1680" w:right="1440"/>
        </w:sectPr>
      </w:pPr>
    </w:p>
    <w:p>
      <w:pPr>
        <w:pStyle w:val="BodyText"/>
        <w:spacing w:line="364" w:lineRule="auto" w:before="60"/>
        <w:ind w:right="360" w:firstLine="479"/>
      </w:pPr>
      <w:r>
        <w:rPr/>
        <w:t>上述</w:t>
      </w:r>
      <w:r>
        <w:rPr>
          <w:rFonts w:ascii="Times New Roman" w:hAnsi="Times New Roman" w:eastAsia="Times New Roman"/>
        </w:rPr>
        <w:t>“</w:t>
      </w:r>
      <w:r>
        <w:rPr>
          <w:spacing w:val="-11"/>
        </w:rPr>
        <w:t>一、基金费用的种类中第 </w:t>
      </w:r>
      <w:r>
        <w:rPr>
          <w:rFonts w:ascii="Times New Roman" w:hAnsi="Times New Roman" w:eastAsia="Times New Roman"/>
        </w:rPr>
        <w:t>5</w:t>
      </w:r>
      <w:r>
        <w:rPr/>
        <w:t>－</w:t>
      </w:r>
      <w:r>
        <w:rPr>
          <w:rFonts w:ascii="Times New Roman" w:hAnsi="Times New Roman" w:eastAsia="Times New Roman"/>
        </w:rPr>
        <w:t>12 </w:t>
      </w:r>
      <w:r>
        <w:rPr/>
        <w:t>项费用</w:t>
      </w:r>
      <w:r>
        <w:rPr>
          <w:rFonts w:ascii="Times New Roman" w:hAnsi="Times New Roman" w:eastAsia="Times New Roman"/>
          <w:spacing w:val="-18"/>
        </w:rPr>
        <w:t>”</w:t>
      </w:r>
      <w:r>
        <w:rPr>
          <w:spacing w:val="-5"/>
        </w:rPr>
        <w:t>，根据有关法规及相应协议规</w:t>
      </w:r>
      <w:r>
        <w:rPr/>
        <w:t>定，按费用实际支出金额列入当期费用，由基金托管人从基金财产中支付。</w:t>
      </w:r>
    </w:p>
    <w:p>
      <w:pPr>
        <w:pStyle w:val="BodyText"/>
        <w:spacing w:line="364" w:lineRule="auto" w:before="2"/>
        <w:ind w:left="600" w:right="5304"/>
      </w:pPr>
      <w:r>
        <w:rPr/>
        <w:t>三、不列入基金费用的项目下列费用不列入基金费用：</w:t>
      </w:r>
    </w:p>
    <w:p>
      <w:pPr>
        <w:pStyle w:val="BodyText"/>
        <w:spacing w:line="364" w:lineRule="auto" w:before="1"/>
        <w:ind w:right="36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00"/>
      </w:pPr>
      <w:r>
        <w:rPr>
          <w:rFonts w:ascii="Times New Roman" w:eastAsia="Times New Roman"/>
        </w:rPr>
        <w:t>2</w:t>
      </w:r>
      <w:r>
        <w:rPr/>
        <w:t>、基金管理人和基金托管人处理与基金运作无关的事项发生的费用；</w:t>
      </w:r>
    </w:p>
    <w:p>
      <w:pPr>
        <w:pStyle w:val="BodyText"/>
        <w:spacing w:before="160"/>
        <w:ind w:left="600"/>
      </w:pPr>
      <w:r>
        <w:rPr>
          <w:rFonts w:ascii="Times New Roman" w:eastAsia="Times New Roman"/>
        </w:rPr>
        <w:t>3</w:t>
      </w:r>
      <w:r>
        <w:rPr/>
        <w:t>、《基金合同》生效前的相关费用；</w:t>
      </w:r>
    </w:p>
    <w:p>
      <w:pPr>
        <w:pStyle w:val="BodyText"/>
        <w:spacing w:line="364" w:lineRule="auto"/>
        <w:ind w:right="364" w:firstLine="479"/>
      </w:pPr>
      <w:r>
        <w:rPr>
          <w:rFonts w:ascii="Times New Roman" w:eastAsia="Times New Roman"/>
        </w:rPr>
        <w:t>4</w:t>
      </w:r>
      <w:r>
        <w:rPr/>
        <w:t>、其他根据相关法律法规及中国证监会的有关规定不得列入基金费用的项目。</w:t>
      </w:r>
    </w:p>
    <w:p>
      <w:pPr>
        <w:pStyle w:val="BodyText"/>
        <w:spacing w:before="1"/>
        <w:ind w:left="600"/>
      </w:pPr>
      <w:r>
        <w:rPr/>
        <w:t>四、费用调整</w:t>
      </w:r>
    </w:p>
    <w:p>
      <w:pPr>
        <w:pStyle w:val="BodyText"/>
        <w:spacing w:line="364" w:lineRule="auto"/>
        <w:ind w:right="357" w:firstLine="479"/>
      </w:pPr>
      <w:r>
        <w:rPr>
          <w:spacing w:val="-7"/>
        </w:rPr>
        <w:t>基金管理人和基金托管人协商一致后，可根据基金发展情况调整基金管理费</w:t>
      </w:r>
      <w:r>
        <w:rPr/>
        <w:t>率、基金托管费率或基金销售服务费等相关费率。</w:t>
      </w:r>
    </w:p>
    <w:p>
      <w:pPr>
        <w:pStyle w:val="BodyText"/>
        <w:spacing w:line="364" w:lineRule="auto" w:before="1"/>
        <w:ind w:right="239" w:firstLine="479"/>
      </w:pPr>
      <w:r>
        <w:rPr>
          <w:spacing w:val="-8"/>
        </w:rPr>
        <w:t>调高基金管理费率、基金托管费率或基金销售服务费等费率，须召开基金份</w:t>
      </w:r>
      <w:r>
        <w:rPr>
          <w:spacing w:val="-19"/>
        </w:rPr>
        <w:t>额持有人大会审议；调低基金管理费率、基金托管费率或基金销售服务费等费率， </w:t>
      </w:r>
      <w:r>
        <w:rPr/>
        <w:t>无须召开基金份额持有人大会。</w:t>
      </w:r>
    </w:p>
    <w:p>
      <w:pPr>
        <w:pStyle w:val="BodyText"/>
        <w:spacing w:line="364" w:lineRule="auto" w:before="2"/>
        <w:ind w:left="600" w:right="2183"/>
      </w:pPr>
      <w:r>
        <w:rPr/>
        <w:t>基金管理人必须于新的费率实施日前在指定媒介上公告。五、基金税收</w:t>
      </w:r>
    </w:p>
    <w:p>
      <w:pPr>
        <w:pStyle w:val="BodyText"/>
        <w:spacing w:line="364" w:lineRule="auto" w:before="1"/>
        <w:ind w:right="361" w:firstLine="479"/>
      </w:pPr>
      <w:r>
        <w:rPr>
          <w:spacing w:val="-6"/>
        </w:rPr>
        <w:t>本基金运作过程中涉及的各纳税主体，其纳税义务按国家税收法律、法规执</w:t>
      </w:r>
      <w:r>
        <w:rPr/>
        <w:t>行。</w:t>
      </w:r>
    </w:p>
    <w:p>
      <w:pPr>
        <w:spacing w:after="0" w:line="364" w:lineRule="auto"/>
        <w:sectPr>
          <w:pgSz w:w="11910" w:h="16840"/>
          <w:pgMar w:header="0" w:footer="995" w:top="1440" w:bottom="1180" w:left="1680" w:right="1440"/>
        </w:sectPr>
      </w:pPr>
    </w:p>
    <w:p>
      <w:pPr>
        <w:pStyle w:val="Heading1"/>
        <w:tabs>
          <w:tab w:pos="1804" w:val="left" w:leader="none"/>
        </w:tabs>
      </w:pPr>
      <w:bookmarkStart w:name="_bookmark16" w:id="17"/>
      <w:bookmarkEnd w:id="17"/>
      <w:r>
        <w:rPr>
          <w:b w:val="0"/>
        </w:rPr>
      </w:r>
      <w:r>
        <w:rPr/>
        <w:t>第十七部分</w:t>
        <w:tab/>
        <w:t>基金的收益与分配</w:t>
      </w:r>
    </w:p>
    <w:p>
      <w:pPr>
        <w:pStyle w:val="BodyText"/>
        <w:spacing w:before="6"/>
        <w:ind w:left="0"/>
        <w:rPr>
          <w:rFonts w:ascii="微软雅黑"/>
          <w:b/>
          <w:sz w:val="32"/>
        </w:rPr>
      </w:pPr>
    </w:p>
    <w:p>
      <w:pPr>
        <w:pStyle w:val="BodyText"/>
        <w:spacing w:before="0"/>
        <w:ind w:left="600"/>
      </w:pPr>
      <w:r>
        <w:rPr/>
        <w:t>一、基金利润的构成</w:t>
      </w:r>
    </w:p>
    <w:p>
      <w:pPr>
        <w:pStyle w:val="BodyText"/>
        <w:spacing w:line="364" w:lineRule="auto"/>
        <w:ind w:right="242" w:firstLine="479"/>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spacing w:before="1"/>
        <w:ind w:left="600"/>
      </w:pPr>
      <w:r>
        <w:rPr/>
        <w:t>二、基金可供分配利润</w:t>
      </w:r>
    </w:p>
    <w:p>
      <w:pPr>
        <w:pStyle w:val="BodyText"/>
        <w:spacing w:line="364" w:lineRule="auto"/>
        <w:ind w:right="350" w:firstLine="479"/>
      </w:pPr>
      <w:r>
        <w:rPr/>
        <w:t>基金可供分配利润指截至收益分配基准日基金未分配利润与未分配利润中已实现收益的孰低数。</w:t>
      </w:r>
    </w:p>
    <w:p>
      <w:pPr>
        <w:pStyle w:val="BodyText"/>
        <w:spacing w:before="1"/>
        <w:ind w:left="600"/>
      </w:pPr>
      <w:r>
        <w:rPr/>
        <w:t>三、基金收益分配原则</w:t>
      </w:r>
    </w:p>
    <w:p>
      <w:pPr>
        <w:pStyle w:val="BodyText"/>
        <w:spacing w:line="364" w:lineRule="auto"/>
        <w:ind w:right="364" w:firstLine="479"/>
      </w:pPr>
      <w:r>
        <w:rPr>
          <w:rFonts w:ascii="Times New Roman" w:eastAsia="Times New Roman"/>
        </w:rPr>
        <w:t>1</w:t>
      </w:r>
      <w:r>
        <w:rPr/>
        <w:t>、本基金各基金份额类别在费用收取上不同，其对应的可分配收益将有所不同。本基金同一类别的每一基金份额享有同等分配权；</w:t>
      </w:r>
    </w:p>
    <w:p>
      <w:pPr>
        <w:pStyle w:val="BodyText"/>
        <w:spacing w:line="364" w:lineRule="auto" w:before="1"/>
        <w:ind w:right="356" w:firstLine="479"/>
        <w:jc w:val="both"/>
      </w:pPr>
      <w:r>
        <w:rPr>
          <w:rFonts w:ascii="Times New Roman" w:eastAsia="Times New Roman"/>
        </w:rPr>
        <w:t>2</w:t>
      </w:r>
      <w:r>
        <w:rPr>
          <w:spacing w:val="-7"/>
        </w:rPr>
        <w:t>、在符合有关基金分红条件的前提下，本基金每年收益分配次数最多为 </w:t>
      </w:r>
      <w:r>
        <w:rPr>
          <w:rFonts w:ascii="Times New Roman" w:eastAsia="Times New Roman"/>
          <w:spacing w:val="-8"/>
        </w:rPr>
        <w:t>12 </w:t>
      </w:r>
      <w:r>
        <w:rPr>
          <w:spacing w:val="-12"/>
        </w:rPr>
        <w:t>次，每份基金份额每次分配比例不得低于收益分配基准日每份基金份额可供分配</w:t>
      </w:r>
      <w:r>
        <w:rPr>
          <w:spacing w:val="-16"/>
        </w:rPr>
        <w:t>利润的 </w:t>
      </w:r>
      <w:r>
        <w:rPr>
          <w:rFonts w:ascii="Times New Roman" w:eastAsia="Times New Roman"/>
        </w:rPr>
        <w:t>90%</w:t>
      </w:r>
      <w:r>
        <w:rPr>
          <w:spacing w:val="-5"/>
        </w:rPr>
        <w:t>，若《基金合同》生效不满 </w:t>
      </w:r>
      <w:r>
        <w:rPr>
          <w:rFonts w:ascii="Times New Roman" w:eastAsia="Times New Roman"/>
        </w:rPr>
        <w:t>3 </w:t>
      </w:r>
      <w:r>
        <w:rPr/>
        <w:t>个月可不进行收益分配；</w:t>
      </w:r>
    </w:p>
    <w:p>
      <w:pPr>
        <w:pStyle w:val="BodyText"/>
        <w:spacing w:line="364" w:lineRule="auto" w:before="2"/>
        <w:ind w:right="357" w:firstLine="479"/>
        <w:jc w:val="both"/>
      </w:pPr>
      <w:r>
        <w:rPr>
          <w:rFonts w:ascii="Times New Roman" w:eastAsia="Times New Roman"/>
        </w:rPr>
        <w:t>3</w:t>
      </w:r>
      <w:r>
        <w:rPr/>
        <w:t>、本基金收益分配方式分两种：现金分红与红利再投资。登记在注册登记</w:t>
      </w:r>
      <w:r>
        <w:rPr>
          <w:spacing w:val="-6"/>
        </w:rPr>
        <w:t>系统基金份额持有人开放式基金账户下的基金份额，可选择现金红利或将现金红</w:t>
      </w:r>
      <w:r>
        <w:rPr>
          <w:spacing w:val="-7"/>
        </w:rPr>
        <w:t>利自动转为基金份额进行再投资；若投资者不选择，本基金默认的收益分配方式</w:t>
      </w:r>
      <w:r>
        <w:rPr>
          <w:spacing w:val="-11"/>
        </w:rPr>
        <w:t>是现金分红。登记在证券登记结算系统基金份额持有人深圳证券账户下的基金份额，只能选择现金分红的方式。具体权益分配程序等有关事项遵循深圳证券交易</w:t>
      </w:r>
      <w:r>
        <w:rPr/>
        <w:t>所及中国证券登记结算有限责任公司的相关规定；</w:t>
      </w:r>
    </w:p>
    <w:p>
      <w:pPr>
        <w:pStyle w:val="BodyText"/>
        <w:spacing w:line="364" w:lineRule="auto" w:before="4"/>
        <w:ind w:right="362" w:firstLine="479"/>
      </w:pPr>
      <w:r>
        <w:rPr>
          <w:rFonts w:ascii="Times New Roman" w:eastAsia="Times New Roman"/>
        </w:rPr>
        <w:t>4</w:t>
      </w:r>
      <w:r>
        <w:rPr/>
        <w:t>、基金收益分配后基金份额净值不能低于面值，即基金收益分配基准日的基金份额净值减去每单位基金份额收益分配金额后不能低于面值；</w:t>
      </w:r>
    </w:p>
    <w:p>
      <w:pPr>
        <w:pStyle w:val="BodyText"/>
        <w:spacing w:line="364" w:lineRule="auto" w:before="1"/>
        <w:ind w:left="600" w:right="3025"/>
      </w:pPr>
      <w:r>
        <w:rPr>
          <w:rFonts w:ascii="Times New Roman" w:eastAsia="Times New Roman"/>
        </w:rPr>
        <w:t>5</w:t>
      </w:r>
      <w:r>
        <w:rPr/>
        <w:t>、法律法规或监管机关另有规定的，从其规定。四、收益分配方案</w:t>
      </w:r>
    </w:p>
    <w:p>
      <w:pPr>
        <w:pStyle w:val="BodyText"/>
        <w:spacing w:line="364" w:lineRule="auto" w:before="2"/>
        <w:ind w:right="357" w:firstLine="479"/>
      </w:pPr>
      <w:r>
        <w:rPr>
          <w:spacing w:val="-5"/>
        </w:rPr>
        <w:t>基金收益分配方案中应载明截止收益分配基准日的可供分配利润、基金收益</w:t>
      </w:r>
      <w:r>
        <w:rPr/>
        <w:t>分配对象、分配时间、分配数额及比例、分配方式等内容。</w:t>
      </w:r>
    </w:p>
    <w:p>
      <w:pPr>
        <w:pStyle w:val="BodyText"/>
        <w:spacing w:before="1"/>
        <w:ind w:left="600"/>
      </w:pPr>
      <w:r>
        <w:rPr/>
        <w:t>五、收益分配方案的确定、公告与实施</w:t>
      </w:r>
    </w:p>
    <w:p>
      <w:pPr>
        <w:pStyle w:val="BodyText"/>
        <w:spacing w:line="364" w:lineRule="auto"/>
        <w:ind w:right="358" w:firstLine="479"/>
      </w:pPr>
      <w:r>
        <w:rPr>
          <w:spacing w:val="-7"/>
        </w:rPr>
        <w:t>本基金收益分配方案由基金管理人拟定，并由基金托管人复核，在 </w:t>
      </w:r>
      <w:r>
        <w:rPr>
          <w:rFonts w:ascii="Times New Roman" w:eastAsia="Times New Roman"/>
        </w:rPr>
        <w:t>2 </w:t>
      </w:r>
      <w:r>
        <w:rPr>
          <w:spacing w:val="-6"/>
        </w:rPr>
        <w:t>日内在</w:t>
      </w:r>
      <w:r>
        <w:rPr/>
        <w:t>指定媒介公告。</w:t>
      </w:r>
    </w:p>
    <w:p>
      <w:pPr>
        <w:spacing w:after="0" w:line="364" w:lineRule="auto"/>
        <w:sectPr>
          <w:pgSz w:w="11910" w:h="16840"/>
          <w:pgMar w:header="0" w:footer="995" w:top="1500" w:bottom="1180" w:left="1680" w:right="1440"/>
        </w:sectPr>
      </w:pPr>
    </w:p>
    <w:p>
      <w:pPr>
        <w:pStyle w:val="BodyText"/>
        <w:spacing w:line="364" w:lineRule="auto" w:before="40"/>
        <w:ind w:right="361" w:firstLine="479"/>
      </w:pPr>
      <w:r>
        <w:rPr>
          <w:spacing w:val="-3"/>
        </w:rPr>
        <w:t>基金红利发放日距离收益分配基准日</w:t>
      </w:r>
      <w:r>
        <w:rPr/>
        <w:t>（即可供分配利润计算截止日</w:t>
      </w:r>
      <w:r>
        <w:rPr>
          <w:spacing w:val="-48"/>
        </w:rPr>
        <w:t>）</w:t>
      </w:r>
      <w:r>
        <w:rPr>
          <w:spacing w:val="-7"/>
        </w:rPr>
        <w:t>的时间</w:t>
      </w:r>
      <w:r>
        <w:rPr>
          <w:spacing w:val="-13"/>
        </w:rPr>
        <w:t>不得超过 </w:t>
      </w:r>
      <w:r>
        <w:rPr>
          <w:rFonts w:ascii="Times New Roman" w:eastAsia="Times New Roman"/>
        </w:rPr>
        <w:t>15 </w:t>
      </w:r>
      <w:r>
        <w:rPr/>
        <w:t>个工作日。</w:t>
      </w:r>
    </w:p>
    <w:p>
      <w:pPr>
        <w:pStyle w:val="BodyText"/>
        <w:spacing w:before="2"/>
        <w:ind w:left="600"/>
      </w:pPr>
      <w:r>
        <w:rPr/>
        <w:t>六、基金收益分配中发生的费用</w:t>
      </w:r>
    </w:p>
    <w:p>
      <w:pPr>
        <w:pStyle w:val="BodyText"/>
        <w:spacing w:line="364" w:lineRule="auto"/>
        <w:ind w:right="355" w:firstLine="479"/>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记结算机构可将基金份额持有人的现金红利自动转为基金份额。红利再投资的计</w:t>
      </w:r>
      <w:r>
        <w:rPr/>
        <w:t>算方法等有关事项遵循深圳证券交易所及中国证券登记结算有限责任公司的相关规定。</w:t>
      </w:r>
    </w:p>
    <w:p>
      <w:pPr>
        <w:spacing w:after="0" w:line="364" w:lineRule="auto"/>
        <w:jc w:val="both"/>
        <w:sectPr>
          <w:pgSz w:w="11910" w:h="16840"/>
          <w:pgMar w:header="0" w:footer="995" w:top="1460" w:bottom="1180" w:left="1680" w:right="1440"/>
        </w:sectPr>
      </w:pPr>
    </w:p>
    <w:p>
      <w:pPr>
        <w:pStyle w:val="Heading1"/>
        <w:tabs>
          <w:tab w:pos="1804" w:val="left" w:leader="none"/>
        </w:tabs>
      </w:pPr>
      <w:bookmarkStart w:name="_bookmark17" w:id="18"/>
      <w:bookmarkEnd w:id="18"/>
      <w:r>
        <w:rPr>
          <w:b w:val="0"/>
        </w:rPr>
      </w:r>
      <w:r>
        <w:rPr/>
        <w:t>第十八部分</w:t>
        <w:tab/>
        <w:t>基金的会计与审计</w:t>
      </w:r>
    </w:p>
    <w:p>
      <w:pPr>
        <w:pStyle w:val="BodyText"/>
        <w:spacing w:before="6"/>
        <w:ind w:left="0"/>
        <w:rPr>
          <w:rFonts w:ascii="微软雅黑"/>
          <w:b/>
          <w:sz w:val="32"/>
        </w:rPr>
      </w:pPr>
    </w:p>
    <w:p>
      <w:pPr>
        <w:pStyle w:val="BodyText"/>
        <w:spacing w:before="0"/>
        <w:ind w:left="600"/>
      </w:pPr>
      <w:r>
        <w:rPr/>
        <w:t>一、基金会计政策</w:t>
      </w:r>
    </w:p>
    <w:p>
      <w:pPr>
        <w:pStyle w:val="BodyText"/>
        <w:ind w:left="600"/>
      </w:pPr>
      <w:r>
        <w:rPr>
          <w:rFonts w:ascii="Times New Roman" w:eastAsia="Times New Roman"/>
        </w:rPr>
        <w:t>1</w:t>
      </w:r>
      <w:r>
        <w:rPr/>
        <w:t>、基金管理人为本基金的基金会计责任方；</w:t>
      </w:r>
    </w:p>
    <w:p>
      <w:pPr>
        <w:pStyle w:val="BodyText"/>
        <w:spacing w:before="160"/>
        <w:ind w:left="60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358"/>
      </w:pPr>
      <w:r>
        <w:rPr>
          <w:spacing w:val="-10"/>
        </w:rPr>
        <w:t>会计年度按如下原则：如果《基金合同》生效少于 </w:t>
      </w:r>
      <w:r>
        <w:rPr>
          <w:rFonts w:ascii="Times New Roman" w:eastAsia="Times New Roman"/>
        </w:rPr>
        <w:t>2 </w:t>
      </w:r>
      <w:r>
        <w:rPr>
          <w:spacing w:val="-6"/>
        </w:rPr>
        <w:t>个月，可以并入下一个会计</w:t>
      </w:r>
      <w:r>
        <w:rPr/>
        <w:t>年度；</w:t>
      </w:r>
    </w:p>
    <w:p>
      <w:pPr>
        <w:pStyle w:val="BodyText"/>
        <w:spacing w:before="1"/>
        <w:ind w:left="600"/>
      </w:pPr>
      <w:r>
        <w:rPr>
          <w:rFonts w:ascii="Times New Roman" w:eastAsia="Times New Roman"/>
        </w:rPr>
        <w:t>3</w:t>
      </w:r>
      <w:r>
        <w:rPr/>
        <w:t>、基金核算以人民币为记账本位币，以人民币元为记账单位；</w:t>
      </w:r>
    </w:p>
    <w:p>
      <w:pPr>
        <w:pStyle w:val="BodyText"/>
        <w:ind w:left="600"/>
      </w:pPr>
      <w:r>
        <w:rPr>
          <w:rFonts w:ascii="Times New Roman" w:eastAsia="Times New Roman"/>
        </w:rPr>
        <w:t>4</w:t>
      </w:r>
      <w:r>
        <w:rPr/>
        <w:t>、会计制度执行国家有关会计制度；</w:t>
      </w:r>
    </w:p>
    <w:p>
      <w:pPr>
        <w:pStyle w:val="BodyText"/>
        <w:ind w:left="600"/>
      </w:pPr>
      <w:r>
        <w:rPr>
          <w:rFonts w:ascii="Times New Roman" w:eastAsia="Times New Roman"/>
        </w:rPr>
        <w:t>5</w:t>
      </w:r>
      <w:r>
        <w:rPr/>
        <w:t>、本基金独立建账、独立核算；</w:t>
      </w:r>
    </w:p>
    <w:p>
      <w:pPr>
        <w:pStyle w:val="BodyText"/>
        <w:spacing w:line="364" w:lineRule="auto" w:before="160"/>
        <w:ind w:right="36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364" w:firstLine="479"/>
      </w:pPr>
      <w:r>
        <w:rPr>
          <w:rFonts w:ascii="Times New Roman" w:eastAsia="Times New Roman"/>
        </w:rPr>
        <w:t>7</w:t>
      </w:r>
      <w:r>
        <w:rPr/>
        <w:t>、基金托管人每月与基金管理人就基金的会计核算、报表编制等进行核对并以书面方式确认。</w:t>
      </w:r>
    </w:p>
    <w:p>
      <w:pPr>
        <w:pStyle w:val="BodyText"/>
        <w:spacing w:before="2"/>
        <w:ind w:left="600"/>
      </w:pPr>
      <w:r>
        <w:rPr/>
        <w:t>二、基金的年度审计</w:t>
      </w:r>
    </w:p>
    <w:p>
      <w:pPr>
        <w:pStyle w:val="BodyText"/>
        <w:spacing w:line="364" w:lineRule="auto" w:before="160"/>
        <w:ind w:right="355"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pPr>
      <w:r>
        <w:rPr>
          <w:rFonts w:ascii="Times New Roman" w:eastAsia="Times New Roman"/>
        </w:rPr>
        <w:t>2</w:t>
      </w:r>
      <w:r>
        <w:rPr/>
        <w:t>、会计师事务所更换经办注册会计师，应事先征得基金管理人同意。</w:t>
      </w:r>
    </w:p>
    <w:p>
      <w:pPr>
        <w:pStyle w:val="BodyText"/>
        <w:spacing w:line="364" w:lineRule="auto"/>
        <w:ind w:right="364" w:firstLine="479"/>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5" w:top="1500" w:bottom="1180" w:left="1680" w:right="1440"/>
        </w:sectPr>
      </w:pPr>
    </w:p>
    <w:p>
      <w:pPr>
        <w:pStyle w:val="Heading1"/>
        <w:tabs>
          <w:tab w:pos="1804" w:val="left" w:leader="none"/>
        </w:tabs>
      </w:pPr>
      <w:bookmarkStart w:name="_bookmark18" w:id="19"/>
      <w:bookmarkEnd w:id="19"/>
      <w:r>
        <w:rPr>
          <w:b w:val="0"/>
        </w:rPr>
      </w:r>
      <w:r>
        <w:rPr/>
        <w:t>第十九部分</w:t>
        <w:tab/>
        <w:t>基金的信息披露</w:t>
      </w:r>
    </w:p>
    <w:p>
      <w:pPr>
        <w:pStyle w:val="BodyText"/>
        <w:spacing w:before="6"/>
        <w:ind w:left="0"/>
        <w:rPr>
          <w:rFonts w:ascii="微软雅黑"/>
          <w:b/>
          <w:sz w:val="32"/>
        </w:rPr>
      </w:pPr>
    </w:p>
    <w:p>
      <w:pPr>
        <w:pStyle w:val="BodyText"/>
        <w:spacing w:before="0"/>
        <w:ind w:left="600"/>
      </w:pPr>
      <w:r>
        <w:rPr>
          <w:spacing w:val="-24"/>
        </w:rPr>
        <w:t>一、本基金的信息披露应符合《基金法》、《运作办法》、《信息披露办法》、</w:t>
      </w:r>
    </w:p>
    <w:p>
      <w:pPr>
        <w:pStyle w:val="BodyText"/>
        <w:spacing w:line="364" w:lineRule="auto"/>
        <w:ind w:left="600" w:right="5303" w:hanging="480"/>
      </w:pPr>
      <w:r>
        <w:rPr/>
        <w:t>《基金合同》及其他有关规定。二、信息披露义务人</w:t>
      </w:r>
    </w:p>
    <w:p>
      <w:pPr>
        <w:pStyle w:val="BodyText"/>
        <w:spacing w:line="364" w:lineRule="auto" w:before="1"/>
        <w:ind w:right="359" w:firstLine="479"/>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3"/>
        <w:ind w:right="244"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1"/>
        <w:ind w:right="357" w:firstLine="479"/>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2"/>
        <w:ind w:left="600"/>
      </w:pPr>
      <w:r>
        <w:rPr/>
        <w:t>三、本基金信息披露义务人承诺公开披露的基金信息，不得有下列行为：</w:t>
      </w:r>
    </w:p>
    <w:p>
      <w:pPr>
        <w:pStyle w:val="BodyText"/>
        <w:ind w:left="600"/>
      </w:pPr>
      <w:r>
        <w:rPr>
          <w:rFonts w:ascii="Times New Roman" w:eastAsia="Times New Roman"/>
        </w:rPr>
        <w:t>1</w:t>
      </w:r>
      <w:r>
        <w:rPr/>
        <w:t>、虚假记载、误导性陈述或者重大遗漏；</w:t>
      </w:r>
    </w:p>
    <w:p>
      <w:pPr>
        <w:pStyle w:val="BodyText"/>
        <w:ind w:left="600"/>
      </w:pPr>
      <w:r>
        <w:rPr>
          <w:rFonts w:ascii="Times New Roman" w:eastAsia="Times New Roman"/>
        </w:rPr>
        <w:t>2</w:t>
      </w:r>
      <w:r>
        <w:rPr/>
        <w:t>、对证券投资业绩进行预测；</w:t>
      </w:r>
    </w:p>
    <w:p>
      <w:pPr>
        <w:pStyle w:val="BodyText"/>
        <w:spacing w:before="160"/>
        <w:ind w:left="600"/>
      </w:pPr>
      <w:r>
        <w:rPr>
          <w:rFonts w:ascii="Times New Roman" w:eastAsia="Times New Roman"/>
        </w:rPr>
        <w:t>3</w:t>
      </w:r>
      <w:r>
        <w:rPr/>
        <w:t>、违规承诺收益或者承担损失；</w:t>
      </w:r>
    </w:p>
    <w:p>
      <w:pPr>
        <w:pStyle w:val="BodyText"/>
        <w:ind w:left="600"/>
      </w:pPr>
      <w:r>
        <w:rPr>
          <w:rFonts w:ascii="Times New Roman" w:eastAsia="Times New Roman"/>
        </w:rPr>
        <w:t>4</w:t>
      </w:r>
      <w:r>
        <w:rPr/>
        <w:t>、诋毁其他基金管理人、基金托管人或者基金销售机构；</w:t>
      </w:r>
    </w:p>
    <w:p>
      <w:pPr>
        <w:pStyle w:val="BodyText"/>
        <w:spacing w:before="160"/>
        <w:ind w:left="600"/>
      </w:pPr>
      <w:r>
        <w:rPr>
          <w:rFonts w:ascii="Times New Roman" w:eastAsia="Times New Roman"/>
        </w:rPr>
        <w:t>5</w:t>
      </w:r>
      <w:r>
        <w:rPr/>
        <w:t>、登载任何自然人、法人和非法人组织的祝贺性、恭维性或推荐性的文字；</w:t>
      </w:r>
    </w:p>
    <w:p>
      <w:pPr>
        <w:pStyle w:val="BodyText"/>
        <w:ind w:left="600"/>
      </w:pPr>
      <w:r>
        <w:rPr>
          <w:rFonts w:ascii="Times New Roman" w:eastAsia="Times New Roman"/>
        </w:rPr>
        <w:t>6</w:t>
      </w:r>
      <w:r>
        <w:rPr/>
        <w:t>、中国证监会禁止的其他行为。</w:t>
      </w:r>
    </w:p>
    <w:p>
      <w:pPr>
        <w:pStyle w:val="BodyText"/>
        <w:spacing w:line="364" w:lineRule="auto" w:before="160"/>
        <w:ind w:right="357" w:firstLine="479"/>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361" w:firstLine="479"/>
      </w:pPr>
      <w:r>
        <w:rPr>
          <w:spacing w:val="-6"/>
        </w:rPr>
        <w:t>本基金公开披露的信息采用阿拉伯数字；除特别说明外，货币单位为人民币</w:t>
      </w:r>
      <w:r>
        <w:rPr/>
        <w:t>元。</w:t>
      </w:r>
    </w:p>
    <w:p>
      <w:pPr>
        <w:pStyle w:val="BodyText"/>
        <w:spacing w:line="364" w:lineRule="auto" w:before="2"/>
        <w:ind w:left="600" w:right="5304"/>
      </w:pPr>
      <w:r>
        <w:rPr/>
        <w:t>五、公开披露的基金信息 </w:t>
      </w:r>
      <w:r>
        <w:rPr>
          <w:spacing w:val="-2"/>
        </w:rPr>
        <w:t>公开披露的基金信息包括：</w:t>
      </w:r>
    </w:p>
    <w:p>
      <w:pPr>
        <w:pStyle w:val="BodyText"/>
        <w:spacing w:before="1"/>
        <w:ind w:left="600"/>
      </w:pPr>
      <w:r>
        <w:rPr/>
        <w:t>（一）基金招募说明书、《基金合同》、基金托管协议、基金产品资料概要</w:t>
      </w:r>
    </w:p>
    <w:p>
      <w:pPr>
        <w:spacing w:after="0"/>
        <w:sectPr>
          <w:pgSz w:w="11910" w:h="16840"/>
          <w:pgMar w:header="0" w:footer="995" w:top="1500" w:bottom="1180" w:left="1680" w:right="1440"/>
        </w:sectPr>
      </w:pPr>
    </w:p>
    <w:p>
      <w:pPr>
        <w:pStyle w:val="BodyText"/>
        <w:spacing w:line="364" w:lineRule="auto" w:before="60"/>
        <w:ind w:right="357" w:firstLine="479"/>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3"/>
        <w:ind w:right="239" w:firstLine="479"/>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36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1"/>
        <w:ind w:right="244"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36" w:firstLine="479"/>
      </w:pPr>
      <w:r>
        <w:rPr>
          <w:spacing w:val="-2"/>
        </w:rPr>
        <w:t>基金募集申请经中国证监会核准后，基金管理人在基金份额发售的 </w:t>
      </w:r>
      <w:r>
        <w:rPr>
          <w:rFonts w:ascii="Times New Roman" w:eastAsia="Times New Roman"/>
        </w:rPr>
        <w:t>3 </w:t>
      </w:r>
      <w:r>
        <w:rPr>
          <w:spacing w:val="-6"/>
        </w:rPr>
        <w:t>日前， </w:t>
      </w:r>
      <w:r>
        <w:rPr>
          <w:spacing w:val="-11"/>
        </w:rPr>
        <w:t>将基金招募说明书、《基金合同》摘要登载在指定报刊和网站上；基金管理人、</w:t>
      </w:r>
      <w:r>
        <w:rPr>
          <w:spacing w:val="-16"/>
        </w:rPr>
        <w:t>基金托管人应当将《基金合同》、基金托管协议登载在网站上。</w:t>
      </w:r>
    </w:p>
    <w:p>
      <w:pPr>
        <w:pStyle w:val="BodyText"/>
        <w:spacing w:before="2"/>
        <w:ind w:left="600"/>
      </w:pPr>
      <w:r>
        <w:rPr/>
        <w:t>（二）基金份额发售公告</w:t>
      </w:r>
    </w:p>
    <w:p>
      <w:pPr>
        <w:pStyle w:val="BodyText"/>
        <w:spacing w:line="364" w:lineRule="auto" w:before="160"/>
        <w:ind w:right="357" w:firstLine="479"/>
      </w:pPr>
      <w:r>
        <w:rPr>
          <w:spacing w:val="-5"/>
        </w:rPr>
        <w:t>基金管理人应当就基金份额发售的具体事宜编制基金份额发售公告，并在披</w:t>
      </w:r>
      <w:r>
        <w:rPr/>
        <w:t>露招募说明书的当日登载于指定媒介上。</w:t>
      </w:r>
    </w:p>
    <w:p>
      <w:pPr>
        <w:pStyle w:val="BodyText"/>
        <w:spacing w:before="2"/>
        <w:ind w:left="600"/>
      </w:pPr>
      <w:r>
        <w:rPr/>
        <w:t>（三</w:t>
      </w:r>
      <w:r>
        <w:rPr>
          <w:spacing w:val="-120"/>
        </w:rPr>
        <w:t>）</w:t>
      </w:r>
      <w:r>
        <w:rPr/>
        <w:t>《基金合同》生效公告</w:t>
      </w:r>
    </w:p>
    <w:p>
      <w:pPr>
        <w:pStyle w:val="BodyText"/>
        <w:spacing w:line="364" w:lineRule="auto" w:before="160"/>
        <w:ind w:right="356" w:firstLine="479"/>
      </w:pPr>
      <w:r>
        <w:rPr>
          <w:spacing w:val="-5"/>
        </w:rPr>
        <w:t>基金管理人应当在收到中国证监会确认文件的次日在指定媒介上登载《基金</w:t>
      </w:r>
      <w:r>
        <w:rPr/>
        <w:t>合同》生效公告。</w:t>
      </w:r>
    </w:p>
    <w:p>
      <w:pPr>
        <w:pStyle w:val="BodyText"/>
        <w:spacing w:line="364" w:lineRule="auto" w:before="2"/>
        <w:ind w:right="357" w:firstLine="479"/>
      </w:pPr>
      <w:r>
        <w:rPr>
          <w:spacing w:val="-5"/>
        </w:rPr>
        <w:t>基金管理人应在基金合同生效公告中分别披露基金管理人、基金管理人高级</w:t>
      </w:r>
      <w:r>
        <w:rPr/>
        <w:t>管理人员、基金经理等投资管理人员以及基金管理人股东持有基金的份额。</w:t>
      </w:r>
    </w:p>
    <w:p>
      <w:pPr>
        <w:pStyle w:val="BodyText"/>
        <w:spacing w:before="1"/>
        <w:ind w:left="600"/>
      </w:pPr>
      <w:r>
        <w:rPr/>
        <w:t>（四）基金份额上市交易公告书</w:t>
      </w:r>
    </w:p>
    <w:p>
      <w:pPr>
        <w:spacing w:after="0"/>
        <w:sectPr>
          <w:pgSz w:w="11910" w:h="16840"/>
          <w:pgMar w:header="0" w:footer="995" w:top="1440" w:bottom="1180" w:left="1680" w:right="1440"/>
        </w:sectPr>
      </w:pPr>
    </w:p>
    <w:p>
      <w:pPr>
        <w:pStyle w:val="BodyText"/>
        <w:spacing w:line="364" w:lineRule="auto" w:before="40"/>
        <w:ind w:right="357" w:firstLine="479"/>
        <w:jc w:val="both"/>
      </w:pPr>
      <w:r>
        <w:rPr>
          <w:spacing w:val="-7"/>
        </w:rPr>
        <w:t>基金份额获准在证券交易所上市交易的，基金管理人应当在基金份额上市交</w:t>
      </w:r>
      <w:r>
        <w:rPr>
          <w:spacing w:val="-9"/>
        </w:rPr>
        <w:t>易的三个工作日前，将基金份额上市交易公告书登载在指定网站上，并将上市交</w:t>
      </w:r>
      <w:r>
        <w:rPr/>
        <w:t>易公告书提示性公告登载在指定报刊上。</w:t>
      </w:r>
    </w:p>
    <w:p>
      <w:pPr>
        <w:pStyle w:val="BodyText"/>
        <w:spacing w:before="3"/>
        <w:ind w:left="600"/>
      </w:pPr>
      <w:r>
        <w:rPr/>
        <w:t>（五）基金净值信息</w:t>
      </w:r>
    </w:p>
    <w:p>
      <w:pPr>
        <w:pStyle w:val="BodyText"/>
        <w:spacing w:line="364" w:lineRule="auto" w:before="160"/>
        <w:ind w:right="357" w:firstLine="479"/>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before="1"/>
        <w:ind w:right="357" w:firstLine="479"/>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3"/>
        <w:ind w:right="357" w:firstLine="479"/>
      </w:pPr>
      <w:r>
        <w:rPr>
          <w:spacing w:val="-5"/>
        </w:rPr>
        <w:t>基金管理人应当在不晚于半年度和年度最后一日的次日，在指定网站披露半</w:t>
      </w:r>
      <w:r>
        <w:rPr/>
        <w:t>年度和年度最后一日的基金份额净值和基金份额累计净值。</w:t>
      </w:r>
    </w:p>
    <w:p>
      <w:pPr>
        <w:pStyle w:val="BodyText"/>
        <w:spacing w:before="1"/>
        <w:ind w:left="600"/>
      </w:pPr>
      <w:r>
        <w:rPr/>
        <w:t>（六）基金份额申购、赎回价格</w:t>
      </w:r>
    </w:p>
    <w:p>
      <w:pPr>
        <w:pStyle w:val="BodyText"/>
        <w:spacing w:line="364" w:lineRule="auto"/>
        <w:ind w:right="357" w:firstLine="479"/>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份额销售机构网站或营业网点查阅或者复制前述信息资料。</w:t>
      </w:r>
    </w:p>
    <w:p>
      <w:pPr>
        <w:pStyle w:val="BodyText"/>
        <w:spacing w:line="364" w:lineRule="auto" w:before="1"/>
        <w:ind w:left="600" w:right="361"/>
      </w:pPr>
      <w:r>
        <w:rPr/>
        <w:t>（七）基金定期报告，包括基金年度报告、基金中期报告和基金季度报告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35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361" w:firstLine="47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before="1"/>
        <w:ind w:right="236" w:firstLine="479"/>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before="1"/>
        <w:ind w:right="358" w:firstLine="479"/>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2"/>
        <w:ind w:right="356" w:firstLine="479"/>
        <w:jc w:val="both"/>
      </w:pPr>
      <w:r>
        <w:rPr>
          <w:spacing w:val="1"/>
        </w:rPr>
        <w:t>如报告期内出现单一投资者持有基金份额达到或超过基金总份额 </w:t>
      </w:r>
      <w:r>
        <w:rPr>
          <w:rFonts w:ascii="Times New Roman" w:hAnsi="Times New Roman" w:eastAsia="Times New Roman"/>
        </w:rPr>
        <w:t>20%</w:t>
      </w:r>
      <w:r>
        <w:rPr/>
        <w:t>的情</w:t>
      </w:r>
      <w:r>
        <w:rPr>
          <w:spacing w:val="-10"/>
        </w:rPr>
        <w:t>形，为保障其他投资者的权益，基金管理人至少应当在定期报告“影响投资者决</w:t>
      </w:r>
      <w:r>
        <w:rPr>
          <w:spacing w:val="-8"/>
        </w:rPr>
        <w:t>策的其他重要信息”项下披露该投资者的类别、报告期末持有份额及占比、报告</w:t>
      </w:r>
    </w:p>
    <w:p>
      <w:pPr>
        <w:spacing w:after="0" w:line="364" w:lineRule="auto"/>
        <w:jc w:val="both"/>
        <w:sectPr>
          <w:pgSz w:w="11910" w:h="16840"/>
          <w:pgMar w:header="0" w:footer="995" w:top="1460" w:bottom="1180" w:left="1680" w:right="1440"/>
        </w:sectPr>
      </w:pPr>
    </w:p>
    <w:p>
      <w:pPr>
        <w:pStyle w:val="BodyText"/>
        <w:spacing w:line="364" w:lineRule="auto" w:before="40"/>
        <w:ind w:left="600" w:right="242" w:hanging="480"/>
      </w:pPr>
      <w:r>
        <w:rPr/>
        <w:t>期内持有份额变化情况及本基金的特有风险，中国证监会认定的特殊情形除外。基金管理人应当在基金年度报告和中期报告中披露基金组合资产情况及其</w:t>
      </w:r>
    </w:p>
    <w:p>
      <w:pPr>
        <w:pStyle w:val="BodyText"/>
        <w:spacing w:before="2"/>
      </w:pPr>
      <w:r>
        <w:rPr/>
        <w:t>流动性风险分析等。</w:t>
      </w:r>
    </w:p>
    <w:p>
      <w:pPr>
        <w:pStyle w:val="BodyText"/>
        <w:ind w:left="600"/>
      </w:pPr>
      <w:r>
        <w:rPr/>
        <w:t>（八）临时报告</w:t>
      </w:r>
    </w:p>
    <w:p>
      <w:pPr>
        <w:pStyle w:val="BodyText"/>
        <w:spacing w:line="364" w:lineRule="auto" w:before="160"/>
        <w:ind w:right="183" w:firstLine="479"/>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before="1"/>
        <w:ind w:right="357" w:firstLine="479"/>
      </w:pPr>
      <w:r>
        <w:rPr>
          <w:spacing w:val="-11"/>
        </w:rPr>
        <w:t>前款所称重大事件，是指可能对基金份额持有人权益或者基金份额的价格产</w:t>
      </w:r>
      <w:r>
        <w:rPr/>
        <w:t>生重大影响的下列事件：</w:t>
      </w:r>
    </w:p>
    <w:p>
      <w:pPr>
        <w:pStyle w:val="BodyText"/>
        <w:spacing w:before="2"/>
        <w:ind w:left="600"/>
      </w:pPr>
      <w:r>
        <w:rPr>
          <w:rFonts w:ascii="Times New Roman" w:eastAsia="Times New Roman"/>
        </w:rPr>
        <w:t>1</w:t>
      </w:r>
      <w:r>
        <w:rPr/>
        <w:t>、基金份额持有人大会的召开及决定的事项；</w:t>
      </w:r>
    </w:p>
    <w:p>
      <w:pPr>
        <w:pStyle w:val="BodyText"/>
        <w:ind w:left="600"/>
      </w:pPr>
      <w:r>
        <w:rPr>
          <w:rFonts w:ascii="Times New Roman" w:eastAsia="Times New Roman"/>
        </w:rPr>
        <w:t>2</w:t>
      </w:r>
      <w:r>
        <w:rPr/>
        <w:t>、基金终止上市交易、基金合同终止、基金清算；</w:t>
      </w:r>
    </w:p>
    <w:p>
      <w:pPr>
        <w:pStyle w:val="BodyText"/>
        <w:spacing w:before="160"/>
        <w:ind w:left="600"/>
      </w:pPr>
      <w:r>
        <w:rPr>
          <w:rFonts w:ascii="Times New Roman" w:eastAsia="Times New Roman"/>
        </w:rPr>
        <w:t>3</w:t>
      </w:r>
      <w:r>
        <w:rPr/>
        <w:t>、转换基金运作方式、基金合并；</w:t>
      </w:r>
    </w:p>
    <w:p>
      <w:pPr>
        <w:pStyle w:val="BodyText"/>
        <w:spacing w:line="364" w:lineRule="auto"/>
        <w:ind w:right="364" w:firstLine="479"/>
      </w:pPr>
      <w:r>
        <w:rPr>
          <w:rFonts w:ascii="Times New Roman" w:eastAsia="Times New Roman"/>
        </w:rPr>
        <w:t>4</w:t>
      </w:r>
      <w:r>
        <w:rPr/>
        <w:t>、更换基金管理人、基金托管人、基金份额登记机构，基金改聘会计师事务所；</w:t>
      </w:r>
    </w:p>
    <w:p>
      <w:pPr>
        <w:pStyle w:val="BodyText"/>
        <w:spacing w:line="364" w:lineRule="auto" w:before="1"/>
        <w:ind w:right="242"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1"/>
        <w:ind w:left="600"/>
      </w:pPr>
      <w:r>
        <w:rPr>
          <w:rFonts w:ascii="Times New Roman" w:eastAsia="Times New Roman"/>
        </w:rPr>
        <w:t>6</w:t>
      </w:r>
      <w:r>
        <w:rPr/>
        <w:t>、基金管理人、基金托管人的法定名称、住所发生变更；</w:t>
      </w:r>
    </w:p>
    <w:p>
      <w:pPr>
        <w:pStyle w:val="BodyText"/>
        <w:spacing w:line="364" w:lineRule="auto" w:before="160"/>
        <w:ind w:right="364" w:firstLine="479"/>
      </w:pPr>
      <w:r>
        <w:rPr>
          <w:rFonts w:ascii="Times New Roman" w:eastAsia="Times New Roman"/>
        </w:rPr>
        <w:t>7</w:t>
      </w:r>
      <w:r>
        <w:rPr/>
        <w:t>、基金管理公司变更持有百分之五以上股权的股东、基金管理人的实际控制人变更；</w:t>
      </w:r>
    </w:p>
    <w:p>
      <w:pPr>
        <w:pStyle w:val="BodyText"/>
        <w:spacing w:before="2"/>
        <w:ind w:left="600"/>
      </w:pPr>
      <w:r>
        <w:rPr>
          <w:rFonts w:ascii="Times New Roman" w:eastAsia="Times New Roman"/>
        </w:rPr>
        <w:t>8</w:t>
      </w:r>
      <w:r>
        <w:rPr/>
        <w:t>、基金募集期延长或提前结束募集；</w:t>
      </w:r>
    </w:p>
    <w:p>
      <w:pPr>
        <w:pStyle w:val="BodyText"/>
        <w:spacing w:line="364" w:lineRule="auto"/>
        <w:ind w:right="364" w:firstLine="479"/>
      </w:pPr>
      <w:r>
        <w:rPr>
          <w:rFonts w:ascii="Times New Roman" w:eastAsia="Times New Roman"/>
        </w:rPr>
        <w:t>9</w:t>
      </w:r>
      <w:r>
        <w:rPr/>
        <w:t>、基金管理人的高级管理人员、基金经理和基金托管人专门基金托管部门负责人发生变动；</w:t>
      </w:r>
    </w:p>
    <w:p>
      <w:pPr>
        <w:pStyle w:val="BodyText"/>
        <w:spacing w:before="1"/>
        <w:ind w:left="60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0"/>
        <w:ind w:right="303"/>
      </w:pPr>
      <w:r>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pPr>
      <w:r>
        <w:rPr>
          <w:rFonts w:ascii="Times New Roman" w:eastAsia="Times New Roman"/>
        </w:rPr>
        <w:t>11</w:t>
      </w:r>
      <w:r>
        <w:rPr/>
        <w:t>、涉及基金财产、基金管理业务、基金托管业务的诉讼或仲裁；</w:t>
      </w:r>
    </w:p>
    <w:p>
      <w:pPr>
        <w:pStyle w:val="BodyText"/>
        <w:spacing w:line="364" w:lineRule="auto"/>
        <w:ind w:right="359" w:firstLine="47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before="1"/>
        <w:ind w:left="600"/>
      </w:pPr>
      <w:r>
        <w:rPr>
          <w:rFonts w:ascii="Times New Roman" w:eastAsia="Times New Roman"/>
        </w:rPr>
        <w:t>13</w:t>
      </w:r>
      <w:r>
        <w:rPr/>
        <w:t>、基金管理人运用基金财产买卖基金管理人、基金托管人及其控股股东、</w:t>
      </w:r>
    </w:p>
    <w:p>
      <w:pPr>
        <w:spacing w:after="0"/>
        <w:sectPr>
          <w:pgSz w:w="11910" w:h="16840"/>
          <w:pgMar w:header="0" w:footer="995" w:top="1460" w:bottom="1180" w:left="1680" w:right="1440"/>
        </w:sectPr>
      </w:pPr>
    </w:p>
    <w:p>
      <w:pPr>
        <w:pStyle w:val="BodyText"/>
        <w:spacing w:line="364" w:lineRule="auto" w:before="40"/>
        <w:ind w:right="355"/>
      </w:pPr>
      <w:r>
        <w:rPr/>
        <w:t>实际控制人或者与其有重大利害关系的公司发行的证券或者承销期内承销的证券，或者从事其他重大关联交易事项，中国证监会另有规定的情形除外；</w:t>
      </w:r>
    </w:p>
    <w:p>
      <w:pPr>
        <w:pStyle w:val="BodyText"/>
        <w:spacing w:before="2"/>
        <w:ind w:left="600"/>
      </w:pPr>
      <w:r>
        <w:rPr>
          <w:rFonts w:ascii="Times New Roman" w:eastAsia="Times New Roman"/>
        </w:rPr>
        <w:t>14</w:t>
      </w:r>
      <w:r>
        <w:rPr/>
        <w:t>、基金收益分配事项；</w:t>
      </w:r>
    </w:p>
    <w:p>
      <w:pPr>
        <w:pStyle w:val="BodyText"/>
        <w:spacing w:line="364" w:lineRule="auto"/>
        <w:ind w:right="361" w:firstLine="479"/>
      </w:pPr>
      <w:r>
        <w:rPr>
          <w:rFonts w:ascii="Times New Roman" w:eastAsia="Times New Roman"/>
        </w:rPr>
        <w:t>15</w:t>
      </w:r>
      <w:r>
        <w:rPr>
          <w:spacing w:val="-11"/>
        </w:rPr>
        <w:t>、管理费、托管费、销售服务费、申购费、赎回费等费用计提标准、计提</w:t>
      </w:r>
      <w:r>
        <w:rPr/>
        <w:t>方式和费率发生变更；</w:t>
      </w:r>
    </w:p>
    <w:p>
      <w:pPr>
        <w:pStyle w:val="BodyText"/>
        <w:spacing w:before="1"/>
        <w:ind w:left="600"/>
      </w:pPr>
      <w:r>
        <w:rPr>
          <w:rFonts w:ascii="Times New Roman" w:eastAsia="Times New Roman"/>
        </w:rPr>
        <w:t>16</w:t>
      </w:r>
      <w:r>
        <w:rPr/>
        <w:t>、基金份额净值计价错误达基金份额净值百分之零点五；</w:t>
      </w:r>
    </w:p>
    <w:p>
      <w:pPr>
        <w:pStyle w:val="BodyText"/>
        <w:spacing w:before="160"/>
        <w:ind w:left="600"/>
      </w:pPr>
      <w:r>
        <w:rPr>
          <w:rFonts w:ascii="Times New Roman" w:eastAsia="Times New Roman"/>
        </w:rPr>
        <w:t>17</w:t>
      </w:r>
      <w:r>
        <w:rPr/>
        <w:t>、本基金开始办理申购、赎回；</w:t>
      </w:r>
    </w:p>
    <w:p>
      <w:pPr>
        <w:pStyle w:val="BodyText"/>
        <w:ind w:left="600"/>
      </w:pPr>
      <w:r>
        <w:rPr>
          <w:rFonts w:ascii="Times New Roman" w:eastAsia="Times New Roman"/>
        </w:rPr>
        <w:t>18</w:t>
      </w:r>
      <w:r>
        <w:rPr/>
        <w:t>、本基金暂停接受申购、赎回申请或重新接受申购、赎回申请；</w:t>
      </w:r>
    </w:p>
    <w:p>
      <w:pPr>
        <w:pStyle w:val="BodyText"/>
        <w:spacing w:before="160"/>
        <w:ind w:left="600"/>
      </w:pPr>
      <w:r>
        <w:rPr>
          <w:rFonts w:ascii="Times New Roman" w:eastAsia="Times New Roman"/>
        </w:rPr>
        <w:t>19</w:t>
      </w:r>
      <w:r>
        <w:rPr/>
        <w:t>、基金变更标的指数；</w:t>
      </w:r>
    </w:p>
    <w:p>
      <w:pPr>
        <w:pStyle w:val="BodyText"/>
        <w:ind w:left="600"/>
      </w:pPr>
      <w:r>
        <w:rPr>
          <w:rFonts w:ascii="Times New Roman" w:eastAsia="Times New Roman"/>
        </w:rPr>
        <w:t>20</w:t>
      </w:r>
      <w:r>
        <w:rPr/>
        <w:t>、基金份额停牌、复牌、暂停上市、恢复上市或终止上市交易；</w:t>
      </w:r>
    </w:p>
    <w:p>
      <w:pPr>
        <w:pStyle w:val="BodyText"/>
        <w:ind w:left="600"/>
      </w:pPr>
      <w:r>
        <w:rPr>
          <w:rFonts w:ascii="Times New Roman" w:eastAsia="Times New Roman"/>
        </w:rPr>
        <w:t>21</w:t>
      </w:r>
      <w:r>
        <w:rPr/>
        <w:t>、调整基金份额类别的设置；</w:t>
      </w:r>
    </w:p>
    <w:p>
      <w:pPr>
        <w:pStyle w:val="BodyText"/>
        <w:spacing w:before="160"/>
        <w:ind w:left="600"/>
      </w:pPr>
      <w:r>
        <w:rPr>
          <w:rFonts w:ascii="Times New Roman" w:eastAsia="Times New Roman"/>
        </w:rPr>
        <w:t>22</w:t>
      </w:r>
      <w:r>
        <w:rPr/>
        <w:t>、基金推出新业务或服务；</w:t>
      </w:r>
    </w:p>
    <w:p>
      <w:pPr>
        <w:pStyle w:val="BodyText"/>
        <w:spacing w:line="364" w:lineRule="auto"/>
        <w:ind w:right="357" w:firstLine="479"/>
      </w:pPr>
      <w:r>
        <w:rPr>
          <w:rFonts w:ascii="Times New Roman" w:eastAsia="Times New Roman"/>
        </w:rPr>
        <w:t>23</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00"/>
      </w:pPr>
      <w:r>
        <w:rPr/>
        <w:t>（九）澄清公告</w:t>
      </w:r>
    </w:p>
    <w:p>
      <w:pPr>
        <w:pStyle w:val="BodyText"/>
        <w:spacing w:line="364" w:lineRule="auto"/>
        <w:ind w:right="356"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情况立即报告中国证监会、基金上市交易的证券交易所。</w:t>
      </w:r>
    </w:p>
    <w:p>
      <w:pPr>
        <w:pStyle w:val="BodyText"/>
        <w:spacing w:before="2"/>
        <w:ind w:left="600"/>
      </w:pPr>
      <w:r>
        <w:rPr/>
        <w:t>（十）清算报告</w:t>
      </w:r>
    </w:p>
    <w:p>
      <w:pPr>
        <w:pStyle w:val="BodyText"/>
        <w:spacing w:line="364" w:lineRule="auto"/>
        <w:ind w:right="244"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00"/>
      </w:pPr>
      <w:r>
        <w:rPr/>
        <w:t>（十一）基金份额持有人大会决议</w:t>
      </w:r>
    </w:p>
    <w:p>
      <w:pPr>
        <w:pStyle w:val="BodyText"/>
        <w:spacing w:line="364" w:lineRule="auto" w:before="160"/>
        <w:ind w:right="359" w:firstLine="479"/>
      </w:pPr>
      <w:r>
        <w:rPr>
          <w:spacing w:val="-7"/>
        </w:rPr>
        <w:t>基金份额持有人大会决定的事项，应当依法报中国证监会核准或者备案，并</w:t>
      </w:r>
      <w:r>
        <w:rPr/>
        <w:t>予以公告。</w:t>
      </w:r>
    </w:p>
    <w:p>
      <w:pPr>
        <w:pStyle w:val="BodyText"/>
        <w:spacing w:line="364" w:lineRule="auto" w:before="2"/>
        <w:ind w:left="600" w:right="4105"/>
      </w:pPr>
      <w:r>
        <w:rPr/>
        <w:t>（十二）中国证监会规定的其他信息。六、信息披露事务管理</w:t>
      </w:r>
    </w:p>
    <w:p>
      <w:pPr>
        <w:pStyle w:val="BodyText"/>
        <w:spacing w:before="1"/>
        <w:ind w:left="600"/>
      </w:pPr>
      <w:r>
        <w:rPr/>
        <w:t>基金管理人、基金托管人应当建立健全信息披露管理制度，指定专门部门及</w:t>
      </w:r>
    </w:p>
    <w:p>
      <w:pPr>
        <w:spacing w:after="0"/>
        <w:sectPr>
          <w:pgSz w:w="11910" w:h="16840"/>
          <w:pgMar w:header="0" w:footer="995" w:top="1460" w:bottom="1180" w:left="1680" w:right="1440"/>
        </w:sectPr>
      </w:pPr>
    </w:p>
    <w:p>
      <w:pPr>
        <w:pStyle w:val="BodyText"/>
        <w:spacing w:before="40"/>
      </w:pPr>
      <w:r>
        <w:rPr/>
        <w:t>高级管理人员负责管理信息披露事务。</w:t>
      </w:r>
    </w:p>
    <w:p>
      <w:pPr>
        <w:pStyle w:val="BodyText"/>
        <w:spacing w:line="364" w:lineRule="auto"/>
        <w:ind w:right="357" w:firstLine="479"/>
      </w:pPr>
      <w:r>
        <w:rPr>
          <w:spacing w:val="-7"/>
        </w:rPr>
        <w:t>基金信息披露义务人公开披露基金信息，应当符合中国证监会相关基金信息</w:t>
      </w:r>
      <w:r>
        <w:rPr/>
        <w:t>披露内容与格式准则等法规的规定。</w:t>
      </w:r>
    </w:p>
    <w:p>
      <w:pPr>
        <w:pStyle w:val="BodyText"/>
        <w:spacing w:line="364" w:lineRule="auto" w:before="2"/>
        <w:ind w:right="355" w:firstLine="479"/>
        <w:jc w:val="both"/>
      </w:pPr>
      <w:r>
        <w:rPr>
          <w:spacing w:val="-6"/>
        </w:rPr>
        <w:t>基金托管人应当按照相关法律法规、中国证监会的规定和《基金合同》的约</w:t>
      </w:r>
      <w:r>
        <w:rPr>
          <w:spacing w:val="-22"/>
        </w:rPr>
        <w:t>定，对基金管理人编制的基金资产净值、基金份额净值、基金份额申购赎回价格、</w:t>
      </w:r>
      <w:r>
        <w:rPr>
          <w:spacing w:val="-9"/>
        </w:rPr>
        <w:t>基金定期报告、更新的招募说明书、基金产品资料概要、基金清算报告等公开披</w:t>
      </w:r>
      <w:r>
        <w:rPr/>
        <w:t>露的相关基金信息进行复核、审查，并向基金管理人进行书面或电子确认。</w:t>
      </w:r>
    </w:p>
    <w:p>
      <w:pPr>
        <w:pStyle w:val="BodyText"/>
        <w:spacing w:line="364" w:lineRule="auto" w:before="2"/>
        <w:ind w:right="242"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359"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35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4"/>
        <w:ind w:left="600"/>
      </w:pPr>
      <w:r>
        <w:rPr/>
        <w:t>七、信息披露文件的存放与查阅</w:t>
      </w:r>
    </w:p>
    <w:p>
      <w:pPr>
        <w:pStyle w:val="BodyText"/>
        <w:spacing w:line="364" w:lineRule="auto" w:before="160"/>
        <w:ind w:right="357" w:firstLine="479"/>
        <w:jc w:val="both"/>
      </w:pPr>
      <w:r>
        <w:rPr>
          <w:spacing w:val="-8"/>
        </w:rPr>
        <w:t>依法必须披露的信息发布后，基金管理人、基金托管人应当按照相关法律法</w:t>
      </w:r>
      <w:r>
        <w:rPr>
          <w:spacing w:val="-6"/>
        </w:rPr>
        <w:t>规规定将信息置备于公司办公场所、基金上市交易的证券交易所，供社会公众查</w:t>
      </w:r>
      <w:r>
        <w:rPr/>
        <w:t>阅、复制。</w:t>
      </w:r>
    </w:p>
    <w:p>
      <w:pPr>
        <w:spacing w:after="0" w:line="364" w:lineRule="auto"/>
        <w:jc w:val="both"/>
        <w:sectPr>
          <w:pgSz w:w="11910" w:h="16840"/>
          <w:pgMar w:header="0" w:footer="995" w:top="1460" w:bottom="1180" w:left="1680" w:right="1440"/>
        </w:sectPr>
      </w:pPr>
    </w:p>
    <w:p>
      <w:pPr>
        <w:pStyle w:val="Heading1"/>
        <w:tabs>
          <w:tab w:pos="2463" w:val="left" w:leader="none"/>
        </w:tabs>
        <w:ind w:left="658" w:right="0"/>
        <w:jc w:val="left"/>
      </w:pPr>
      <w:bookmarkStart w:name="_bookmark19" w:id="20"/>
      <w:bookmarkEnd w:id="20"/>
      <w:r>
        <w:rPr>
          <w:b w:val="0"/>
        </w:rPr>
      </w:r>
      <w:r>
        <w:rPr/>
        <w:t>第二十部分</w:t>
        <w:tab/>
        <w:t>基金合同的变更、终止与基金财产的清算</w:t>
      </w:r>
    </w:p>
    <w:p>
      <w:pPr>
        <w:pStyle w:val="BodyText"/>
        <w:spacing w:before="6"/>
        <w:ind w:left="0"/>
        <w:rPr>
          <w:rFonts w:ascii="微软雅黑"/>
          <w:b/>
          <w:sz w:val="32"/>
        </w:rPr>
      </w:pPr>
    </w:p>
    <w:p>
      <w:pPr>
        <w:pStyle w:val="BodyText"/>
        <w:spacing w:before="0"/>
        <w:ind w:left="600"/>
      </w:pPr>
      <w:r>
        <w:rPr/>
        <w:t>一、《基金合同》的变更</w:t>
      </w:r>
    </w:p>
    <w:p>
      <w:pPr>
        <w:pStyle w:val="BodyText"/>
        <w:spacing w:line="364" w:lineRule="auto"/>
        <w:ind w:right="358" w:firstLine="479"/>
        <w:jc w:val="both"/>
      </w:pPr>
      <w:r>
        <w:rPr>
          <w:rFonts w:ascii="Times New Roman" w:eastAsia="Times New Roman"/>
        </w:rPr>
        <w:t>1</w:t>
      </w:r>
      <w:r>
        <w:rPr/>
        <w:t>、变更基金合同涉及法律法规规定或本基金合同约定应经基金份额持有人</w:t>
      </w:r>
      <w:r>
        <w:rPr>
          <w:spacing w:val="-8"/>
        </w:rPr>
        <w:t>大会决议通过的事项的，应召开基金份额持有人大会决议通过。对于法律法规规</w:t>
      </w:r>
      <w:r>
        <w:rPr>
          <w:spacing w:val="-5"/>
        </w:rPr>
        <w:t>定和基金合同约定可不经基金份额持有人大会决议通过的事项，由基金管理人和</w:t>
      </w:r>
      <w:r>
        <w:rPr/>
        <w:t>基金托管人同意后变更并公告，并报中国证监会备案。</w:t>
      </w:r>
    </w:p>
    <w:p>
      <w:pPr>
        <w:pStyle w:val="BodyText"/>
        <w:spacing w:line="364" w:lineRule="auto" w:before="2"/>
        <w:ind w:right="364" w:firstLine="479"/>
      </w:pPr>
      <w:r>
        <w:rPr>
          <w:rFonts w:ascii="Times New Roman" w:eastAsia="Times New Roman"/>
        </w:rPr>
        <w:t>2</w:t>
      </w:r>
      <w:r>
        <w:rPr>
          <w:spacing w:val="-1"/>
        </w:rPr>
        <w:t>、关于《基金合同》变更的基金份额持有人大会决议经中国证监会核准生</w:t>
      </w:r>
      <w:r>
        <w:rPr/>
        <w:t>效后方可执行，自决议生效后两日内在指定媒介公告。</w:t>
      </w:r>
    </w:p>
    <w:p>
      <w:pPr>
        <w:pStyle w:val="BodyText"/>
        <w:spacing w:before="2"/>
        <w:ind w:left="600"/>
      </w:pPr>
      <w:r>
        <w:rPr/>
        <w:t>二、《基金合同》的终止事由</w:t>
      </w:r>
    </w:p>
    <w:p>
      <w:pPr>
        <w:pStyle w:val="BodyText"/>
        <w:ind w:left="600"/>
      </w:pPr>
      <w:r>
        <w:rPr/>
        <w:t>有下列情形之一的，《基金合同》应当终止：</w:t>
      </w:r>
    </w:p>
    <w:p>
      <w:pPr>
        <w:pStyle w:val="BodyText"/>
        <w:spacing w:before="160"/>
        <w:ind w:left="600"/>
      </w:pPr>
      <w:r>
        <w:rPr>
          <w:rFonts w:ascii="Times New Roman" w:eastAsia="Times New Roman"/>
        </w:rPr>
        <w:t>1</w:t>
      </w:r>
      <w:r>
        <w:rPr/>
        <w:t>、基金份额持有人大会决定终止的；</w:t>
      </w:r>
    </w:p>
    <w:p>
      <w:pPr>
        <w:pStyle w:val="BodyText"/>
        <w:spacing w:line="364" w:lineRule="auto"/>
        <w:ind w:right="356" w:firstLine="479"/>
        <w:jc w:val="both"/>
      </w:pPr>
      <w:r>
        <w:rPr>
          <w:rFonts w:ascii="Times New Roman" w:eastAsia="Times New Roman"/>
        </w:rPr>
        <w:t>2</w:t>
      </w:r>
      <w:r>
        <w:rPr>
          <w:spacing w:val="-3"/>
        </w:rPr>
        <w:t>、基金管理人、基金托管人职责终止，在 </w:t>
      </w:r>
      <w:r>
        <w:rPr>
          <w:rFonts w:ascii="Times New Roman" w:eastAsia="Times New Roman"/>
        </w:rPr>
        <w:t>6 </w:t>
      </w:r>
      <w:r>
        <w:rPr>
          <w:spacing w:val="-2"/>
        </w:rPr>
        <w:t>个月内没有新基金管理人、新</w:t>
      </w:r>
      <w:r>
        <w:rPr/>
        <w:t>基金托管人承接的；</w:t>
      </w:r>
    </w:p>
    <w:p>
      <w:pPr>
        <w:pStyle w:val="BodyText"/>
        <w:spacing w:line="364" w:lineRule="auto" w:before="1"/>
        <w:ind w:right="356" w:firstLine="479"/>
        <w:jc w:val="both"/>
      </w:pPr>
      <w:r>
        <w:rPr>
          <w:rFonts w:ascii="Times New Roman" w:eastAsia="Times New Roman"/>
        </w:rPr>
        <w:t>3</w:t>
      </w:r>
      <w:r>
        <w:rPr>
          <w:spacing w:val="-14"/>
        </w:rPr>
        <w:t>、《基金合同》生效三年后的年度对日，基金资产净值低于 </w:t>
      </w:r>
      <w:r>
        <w:rPr>
          <w:rFonts w:ascii="Times New Roman" w:eastAsia="Times New Roman"/>
        </w:rPr>
        <w:t>2 </w:t>
      </w:r>
      <w:r>
        <w:rPr>
          <w:spacing w:val="-23"/>
        </w:rPr>
        <w:t>亿元的，《基</w:t>
      </w:r>
      <w:r>
        <w:rPr>
          <w:spacing w:val="-20"/>
        </w:rPr>
        <w:t>金合同》终止，且基金合同当事人不得通过召集、召开持有人大会的方式延续《基</w:t>
      </w:r>
      <w:r>
        <w:rPr/>
        <w:t>金合同》效力；</w:t>
      </w:r>
    </w:p>
    <w:p>
      <w:pPr>
        <w:pStyle w:val="BodyText"/>
        <w:spacing w:before="2"/>
        <w:ind w:left="600"/>
      </w:pPr>
      <w:r>
        <w:rPr>
          <w:rFonts w:ascii="Times New Roman" w:eastAsia="Times New Roman"/>
        </w:rPr>
        <w:t>4</w:t>
      </w:r>
      <w:r>
        <w:rPr/>
        <w:t>、《基金合同》约定的其他情形；</w:t>
      </w:r>
    </w:p>
    <w:p>
      <w:pPr>
        <w:pStyle w:val="BodyText"/>
        <w:spacing w:line="364" w:lineRule="auto"/>
        <w:ind w:left="600" w:right="3025"/>
      </w:pPr>
      <w:r>
        <w:rPr>
          <w:rFonts w:ascii="Times New Roman" w:eastAsia="Times New Roman"/>
        </w:rPr>
        <w:t>5</w:t>
      </w:r>
      <w:r>
        <w:rPr/>
        <w:t>、相关法律法规和中国证监会规定的其他情况。三、基金财产的清算</w:t>
      </w:r>
    </w:p>
    <w:p>
      <w:pPr>
        <w:pStyle w:val="BodyText"/>
        <w:spacing w:line="364" w:lineRule="auto" w:before="1"/>
        <w:ind w:right="35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35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361" w:firstLine="479"/>
      </w:pPr>
      <w:r>
        <w:rPr>
          <w:rFonts w:ascii="Times New Roman" w:eastAsia="Times New Roman"/>
        </w:rPr>
        <w:t>3</w:t>
      </w:r>
      <w:r>
        <w:rPr>
          <w:spacing w:val="-16"/>
        </w:rPr>
        <w:t>、基金财产清算小组职责：基金财产清算小组负责基金财产的保管、清理、</w:t>
      </w:r>
      <w:r>
        <w:rPr/>
        <w:t>估价、变现和分配。基金财产清算小组可以依法进行必要的民事活动。</w:t>
      </w:r>
    </w:p>
    <w:p>
      <w:pPr>
        <w:pStyle w:val="BodyText"/>
        <w:spacing w:before="1"/>
        <w:ind w:left="600"/>
      </w:pPr>
      <w:r>
        <w:rPr>
          <w:rFonts w:ascii="Times New Roman" w:eastAsia="Times New Roman"/>
        </w:rPr>
        <w:t>4</w:t>
      </w:r>
      <w:r>
        <w:rPr/>
        <w:t>、基金财产清算程序：</w:t>
      </w:r>
    </w:p>
    <w:p>
      <w:pPr>
        <w:spacing w:after="0"/>
        <w:sectPr>
          <w:pgSz w:w="11910" w:h="16840"/>
          <w:pgMar w:header="0" w:footer="995" w:top="1500" w:bottom="1180" w:left="1680" w:right="1440"/>
        </w:sectPr>
      </w:pPr>
    </w:p>
    <w:p>
      <w:pPr>
        <w:pStyle w:val="ListParagraph"/>
        <w:numPr>
          <w:ilvl w:val="0"/>
          <w:numId w:val="23"/>
        </w:numPr>
        <w:tabs>
          <w:tab w:pos="1202" w:val="left" w:leader="none"/>
        </w:tabs>
        <w:spacing w:line="240" w:lineRule="auto" w:before="60" w:after="0"/>
        <w:ind w:left="1201" w:right="0" w:hanging="602"/>
        <w:jc w:val="left"/>
        <w:rPr>
          <w:sz w:val="24"/>
        </w:rPr>
      </w:pPr>
      <w:r>
        <w:rPr>
          <w:sz w:val="24"/>
        </w:rPr>
        <w:t>《基金合同》终止情形出现时，由基金财产清算小组统一接管基金；</w:t>
      </w:r>
    </w:p>
    <w:p>
      <w:pPr>
        <w:pStyle w:val="ListParagraph"/>
        <w:numPr>
          <w:ilvl w:val="0"/>
          <w:numId w:val="23"/>
        </w:numPr>
        <w:tabs>
          <w:tab w:pos="1202" w:val="left" w:leader="none"/>
        </w:tabs>
        <w:spacing w:line="240" w:lineRule="auto" w:before="161" w:after="0"/>
        <w:ind w:left="1201" w:right="0" w:hanging="602"/>
        <w:jc w:val="left"/>
        <w:rPr>
          <w:sz w:val="24"/>
        </w:rPr>
      </w:pPr>
      <w:r>
        <w:rPr>
          <w:sz w:val="24"/>
        </w:rPr>
        <w:t>对基金财产和债权债务进行清理和确认；</w:t>
      </w:r>
    </w:p>
    <w:p>
      <w:pPr>
        <w:pStyle w:val="ListParagraph"/>
        <w:numPr>
          <w:ilvl w:val="0"/>
          <w:numId w:val="23"/>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23"/>
        </w:numPr>
        <w:tabs>
          <w:tab w:pos="1202" w:val="left" w:leader="none"/>
        </w:tabs>
        <w:spacing w:line="240" w:lineRule="auto" w:before="160" w:after="0"/>
        <w:ind w:left="1201" w:right="0" w:hanging="602"/>
        <w:jc w:val="left"/>
        <w:rPr>
          <w:sz w:val="24"/>
        </w:rPr>
      </w:pPr>
      <w:r>
        <w:rPr>
          <w:sz w:val="24"/>
        </w:rPr>
        <w:t>制作清算报告；</w:t>
      </w:r>
    </w:p>
    <w:p>
      <w:pPr>
        <w:pStyle w:val="ListParagraph"/>
        <w:numPr>
          <w:ilvl w:val="0"/>
          <w:numId w:val="23"/>
        </w:numPr>
        <w:tabs>
          <w:tab w:pos="1202" w:val="left" w:leader="none"/>
        </w:tabs>
        <w:spacing w:line="364" w:lineRule="auto" w:before="161" w:after="0"/>
        <w:ind w:left="120" w:right="36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3"/>
        </w:numPr>
        <w:tabs>
          <w:tab w:pos="1202" w:val="left" w:leader="none"/>
        </w:tabs>
        <w:spacing w:line="240" w:lineRule="auto" w:before="1" w:after="0"/>
        <w:ind w:left="1201" w:right="0" w:hanging="602"/>
        <w:jc w:val="left"/>
        <w:rPr>
          <w:sz w:val="24"/>
        </w:rPr>
      </w:pPr>
      <w:r>
        <w:rPr>
          <w:sz w:val="24"/>
        </w:rPr>
        <w:t>将清算报告报中国证监会备案并公告；</w:t>
      </w:r>
    </w:p>
    <w:p>
      <w:pPr>
        <w:pStyle w:val="ListParagraph"/>
        <w:numPr>
          <w:ilvl w:val="0"/>
          <w:numId w:val="23"/>
        </w:numPr>
        <w:tabs>
          <w:tab w:pos="1202" w:val="left" w:leader="none"/>
        </w:tabs>
        <w:spacing w:line="240" w:lineRule="auto" w:before="161" w:after="0"/>
        <w:ind w:left="1201" w:right="0" w:hanging="602"/>
        <w:jc w:val="left"/>
        <w:rPr>
          <w:sz w:val="24"/>
        </w:rPr>
      </w:pPr>
      <w:r>
        <w:rPr>
          <w:sz w:val="24"/>
        </w:rPr>
        <w:t>对基金财产进行分配。</w:t>
      </w:r>
    </w:p>
    <w:p>
      <w:pPr>
        <w:pStyle w:val="BodyText"/>
        <w:spacing w:line="364" w:lineRule="auto" w:before="160"/>
        <w:ind w:left="600" w:right="4396"/>
      </w:pPr>
      <w:r>
        <w:rPr>
          <w:rFonts w:ascii="Times New Roman" w:eastAsia="Times New Roman"/>
        </w:rPr>
        <w:t>5</w:t>
      </w:r>
      <w:r>
        <w:rPr/>
        <w:t>、基金财产清算的期限为 </w:t>
      </w:r>
      <w:r>
        <w:rPr>
          <w:rFonts w:ascii="Times New Roman" w:eastAsia="Times New Roman"/>
        </w:rPr>
        <w:t>9 </w:t>
      </w:r>
      <w:r>
        <w:rPr/>
        <w:t>个月。四、清算费用</w:t>
      </w:r>
    </w:p>
    <w:p>
      <w:pPr>
        <w:pStyle w:val="BodyText"/>
        <w:spacing w:line="364" w:lineRule="auto" w:before="2"/>
        <w:ind w:right="350" w:firstLine="479"/>
      </w:pPr>
      <w:r>
        <w:rPr/>
        <w:t>清算费用是指基金财产清算小组在进行基金清算过程中发生的所有合理费用，清算费用由基金财产清算小组优先从基金财产中支付。</w:t>
      </w:r>
    </w:p>
    <w:p>
      <w:pPr>
        <w:pStyle w:val="BodyText"/>
        <w:spacing w:before="1"/>
        <w:ind w:left="600"/>
      </w:pPr>
      <w:r>
        <w:rPr/>
        <w:t>五、基金财产清算剩余资产的分配</w:t>
      </w:r>
    </w:p>
    <w:p>
      <w:pPr>
        <w:pStyle w:val="BodyText"/>
        <w:spacing w:line="364" w:lineRule="auto"/>
        <w:ind w:right="35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1"/>
        <w:ind w:left="600"/>
      </w:pPr>
      <w:r>
        <w:rPr/>
        <w:t>六、基金财产清算的公告</w:t>
      </w:r>
    </w:p>
    <w:p>
      <w:pPr>
        <w:pStyle w:val="BodyText"/>
        <w:spacing w:line="364" w:lineRule="auto"/>
        <w:ind w:right="35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pPr>
      <w:r>
        <w:rPr/>
        <w:t>七、基金财产清算账册及文件的保存</w:t>
      </w:r>
    </w:p>
    <w:p>
      <w:pPr>
        <w:pStyle w:val="BodyText"/>
        <w:spacing w:before="160"/>
        <w:ind w:left="600"/>
      </w:pPr>
      <w:r>
        <w:rPr/>
        <w:t>基金财产清算账册及有关文件由基金托管人保存 </w:t>
      </w:r>
      <w:r>
        <w:rPr>
          <w:rFonts w:ascii="Times New Roman" w:eastAsia="Times New Roman"/>
        </w:rPr>
        <w:t>15 </w:t>
      </w:r>
      <w:r>
        <w:rPr/>
        <w:t>年以上。</w:t>
      </w:r>
    </w:p>
    <w:p>
      <w:pPr>
        <w:spacing w:after="0"/>
        <w:sectPr>
          <w:pgSz w:w="11910" w:h="16840"/>
          <w:pgMar w:header="0" w:footer="995" w:top="1440" w:bottom="1180" w:left="1680" w:right="1440"/>
        </w:sectPr>
      </w:pPr>
    </w:p>
    <w:p>
      <w:pPr>
        <w:pStyle w:val="Heading1"/>
        <w:tabs>
          <w:tab w:pos="2107" w:val="left" w:leader="none"/>
        </w:tabs>
        <w:ind w:right="238"/>
      </w:pPr>
      <w:bookmarkStart w:name="_bookmark20" w:id="21"/>
      <w:bookmarkEnd w:id="21"/>
      <w:r>
        <w:rPr>
          <w:b w:val="0"/>
        </w:rPr>
      </w:r>
      <w:r>
        <w:rPr/>
        <w:t>第二十一部分</w:t>
        <w:tab/>
        <w:t>违约责任</w:t>
      </w:r>
    </w:p>
    <w:p>
      <w:pPr>
        <w:pStyle w:val="BodyText"/>
        <w:spacing w:before="6"/>
        <w:ind w:left="0"/>
        <w:rPr>
          <w:rFonts w:ascii="微软雅黑"/>
          <w:b/>
          <w:sz w:val="32"/>
        </w:rPr>
      </w:pPr>
    </w:p>
    <w:p>
      <w:pPr>
        <w:pStyle w:val="BodyText"/>
        <w:spacing w:line="364" w:lineRule="auto" w:before="0"/>
        <w:ind w:right="357" w:firstLine="479"/>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损失。但是如发生下列情况，当事人可以免责：</w:t>
      </w:r>
    </w:p>
    <w:p>
      <w:pPr>
        <w:pStyle w:val="BodyText"/>
        <w:spacing w:before="3"/>
        <w:ind w:left="600"/>
      </w:pPr>
      <w:r>
        <w:rPr>
          <w:rFonts w:ascii="Times New Roman" w:eastAsia="Times New Roman"/>
        </w:rPr>
        <w:t>1</w:t>
      </w:r>
      <w:r>
        <w:rPr/>
        <w:t>、不可抗力；</w:t>
      </w:r>
    </w:p>
    <w:p>
      <w:pPr>
        <w:pStyle w:val="BodyText"/>
        <w:spacing w:line="364" w:lineRule="auto" w:before="162"/>
        <w:ind w:right="301" w:firstLine="479"/>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1"/>
        <w:ind w:right="364" w:firstLine="479"/>
      </w:pPr>
      <w:r>
        <w:rPr>
          <w:rFonts w:ascii="Times New Roman" w:eastAsia="Times New Roman"/>
        </w:rPr>
        <w:t>3</w:t>
      </w:r>
      <w:r>
        <w:rPr/>
        <w:t>、基金管理人由于按照基金合同规定的投资原则投资或不投资造成的直接损失或潜在损失等；</w:t>
      </w:r>
    </w:p>
    <w:p>
      <w:pPr>
        <w:pStyle w:val="BodyText"/>
        <w:spacing w:line="364" w:lineRule="auto" w:before="1"/>
        <w:ind w:right="35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357"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5" w:top="1500" w:bottom="1180" w:left="1680" w:right="1440"/>
        </w:sectPr>
      </w:pPr>
    </w:p>
    <w:p>
      <w:pPr>
        <w:pStyle w:val="Heading1"/>
        <w:tabs>
          <w:tab w:pos="2107" w:val="left" w:leader="none"/>
        </w:tabs>
        <w:ind w:right="238"/>
      </w:pPr>
      <w:bookmarkStart w:name="_bookmark21" w:id="22"/>
      <w:bookmarkEnd w:id="22"/>
      <w:r>
        <w:rPr>
          <w:b w:val="0"/>
        </w:rPr>
      </w:r>
      <w:r>
        <w:rPr/>
        <w:t>第二</w:t>
      </w:r>
      <w:r>
        <w:rPr>
          <w:spacing w:val="3"/>
        </w:rPr>
        <w:t>十</w:t>
      </w:r>
      <w:r>
        <w:rPr/>
        <w:t>二部分</w:t>
        <w:tab/>
        <w:t>争议的处理和适用的法律</w:t>
      </w:r>
    </w:p>
    <w:p>
      <w:pPr>
        <w:pStyle w:val="BodyText"/>
        <w:spacing w:before="6"/>
        <w:ind w:left="0"/>
        <w:rPr>
          <w:rFonts w:ascii="微软雅黑"/>
          <w:b/>
          <w:sz w:val="32"/>
        </w:rPr>
      </w:pPr>
    </w:p>
    <w:p>
      <w:pPr>
        <w:pStyle w:val="BodyText"/>
        <w:spacing w:line="364" w:lineRule="auto" w:before="0"/>
        <w:ind w:right="357" w:firstLine="479"/>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t>是终局的，对各方当事人均有约束力，仲裁费用由败诉方承担。</w:t>
      </w:r>
    </w:p>
    <w:p>
      <w:pPr>
        <w:pStyle w:val="BodyText"/>
        <w:spacing w:line="364" w:lineRule="auto" w:before="3"/>
        <w:ind w:right="359"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pPr>
      <w:r>
        <w:rPr/>
        <w:t>《基金合同》受中国法律管辖。</w:t>
      </w:r>
    </w:p>
    <w:p>
      <w:pPr>
        <w:spacing w:after="0"/>
        <w:sectPr>
          <w:pgSz w:w="11910" w:h="16840"/>
          <w:pgMar w:header="0" w:footer="995" w:top="1500" w:bottom="1180" w:left="1680" w:right="1440"/>
        </w:sectPr>
      </w:pPr>
    </w:p>
    <w:p>
      <w:pPr>
        <w:pStyle w:val="Heading1"/>
        <w:tabs>
          <w:tab w:pos="2107" w:val="left" w:leader="none"/>
        </w:tabs>
      </w:pPr>
      <w:bookmarkStart w:name="_bookmark22" w:id="23"/>
      <w:bookmarkEnd w:id="23"/>
      <w:r>
        <w:rPr>
          <w:b w:val="0"/>
        </w:rPr>
      </w:r>
      <w:r>
        <w:rPr/>
        <w:t>第二十三部分</w:t>
        <w:tab/>
        <w:t>基金合同的效力</w:t>
      </w:r>
    </w:p>
    <w:p>
      <w:pPr>
        <w:pStyle w:val="BodyText"/>
        <w:spacing w:before="6"/>
        <w:ind w:left="0"/>
        <w:rPr>
          <w:rFonts w:ascii="微软雅黑"/>
          <w:b/>
          <w:sz w:val="32"/>
        </w:rPr>
      </w:pPr>
    </w:p>
    <w:p>
      <w:pPr>
        <w:pStyle w:val="BodyText"/>
        <w:spacing w:line="364" w:lineRule="auto" w:before="0"/>
        <w:ind w:right="361" w:firstLine="479"/>
      </w:pPr>
      <w:r>
        <w:rPr>
          <w:spacing w:val="-11"/>
        </w:rPr>
        <w:t>《基金合同》是约定基金当事人之间、基金与基金当事人之间权利义务关系</w:t>
      </w:r>
      <w:r>
        <w:rPr/>
        <w:t>的法律文件。</w:t>
      </w:r>
    </w:p>
    <w:p>
      <w:pPr>
        <w:pStyle w:val="BodyText"/>
        <w:spacing w:line="364" w:lineRule="auto" w:before="2"/>
        <w:ind w:right="357" w:firstLine="479"/>
        <w:jc w:val="both"/>
      </w:pPr>
      <w:r>
        <w:rPr>
          <w:rFonts w:ascii="Times New Roman" w:eastAsia="Times New Roman"/>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before="1"/>
        <w:ind w:right="35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2"/>
        <w:ind w:right="357"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36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36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5" w:top="1500" w:bottom="1180" w:left="1680" w:right="1440"/>
        </w:sectPr>
      </w:pPr>
    </w:p>
    <w:p>
      <w:pPr>
        <w:pStyle w:val="Heading1"/>
        <w:tabs>
          <w:tab w:pos="2107" w:val="left" w:leader="none"/>
        </w:tabs>
        <w:ind w:right="238"/>
      </w:pPr>
      <w:bookmarkStart w:name="_bookmark23" w:id="24"/>
      <w:bookmarkEnd w:id="24"/>
      <w:r>
        <w:rPr>
          <w:b w:val="0"/>
        </w:rPr>
      </w:r>
      <w:r>
        <w:rPr/>
        <w:t>第二十四部分</w:t>
        <w:tab/>
        <w:t>其他事项</w:t>
      </w:r>
    </w:p>
    <w:p>
      <w:pPr>
        <w:pStyle w:val="BodyText"/>
        <w:spacing w:before="6"/>
        <w:ind w:left="0"/>
        <w:rPr>
          <w:rFonts w:ascii="微软雅黑"/>
          <w:b/>
          <w:sz w:val="32"/>
        </w:rPr>
      </w:pPr>
    </w:p>
    <w:p>
      <w:pPr>
        <w:pStyle w:val="BodyText"/>
        <w:spacing w:line="364" w:lineRule="auto" w:before="0"/>
        <w:ind w:right="357" w:firstLine="479"/>
      </w:pPr>
      <w:r>
        <w:rPr>
          <w:spacing w:val="-10"/>
        </w:rPr>
        <w:t>《基金合同》如有未尽事宜，由《基金合同》当事人各方按有关法律法规协</w:t>
      </w:r>
      <w:r>
        <w:rPr/>
        <w:t>商解决。</w:t>
      </w:r>
    </w:p>
    <w:p>
      <w:pPr>
        <w:spacing w:after="0" w:line="364" w:lineRule="auto"/>
        <w:sectPr>
          <w:pgSz w:w="11910" w:h="16840"/>
          <w:pgMar w:header="0" w:footer="995" w:top="1500" w:bottom="1180" w:left="1680" w:right="1440"/>
        </w:sectPr>
      </w:pPr>
    </w:p>
    <w:p>
      <w:pPr>
        <w:pStyle w:val="Heading1"/>
        <w:tabs>
          <w:tab w:pos="2107" w:val="left" w:leader="none"/>
        </w:tabs>
        <w:ind w:right="236"/>
      </w:pPr>
      <w:bookmarkStart w:name="_bookmark24" w:id="25"/>
      <w:bookmarkEnd w:id="25"/>
      <w:r>
        <w:rPr>
          <w:b w:val="0"/>
        </w:rPr>
      </w:r>
      <w:r>
        <w:rPr/>
        <w:t>第二十五部分</w:t>
        <w:tab/>
        <w:t>基金合同摘要</w:t>
      </w:r>
    </w:p>
    <w:p>
      <w:pPr>
        <w:pStyle w:val="BodyText"/>
        <w:spacing w:before="6"/>
        <w:ind w:left="0"/>
        <w:rPr>
          <w:rFonts w:ascii="微软雅黑"/>
          <w:b/>
          <w:sz w:val="32"/>
        </w:rPr>
      </w:pPr>
    </w:p>
    <w:p>
      <w:pPr>
        <w:pStyle w:val="BodyText"/>
        <w:spacing w:before="0"/>
        <w:ind w:left="600"/>
      </w:pPr>
      <w:r>
        <w:rPr/>
        <w:t>（一）基金管理人的权利、义务</w:t>
      </w:r>
    </w:p>
    <w:p>
      <w:pPr>
        <w:pStyle w:val="BodyText"/>
        <w:spacing w:line="364" w:lineRule="auto"/>
        <w:ind w:right="36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4"/>
        </w:numPr>
        <w:tabs>
          <w:tab w:pos="1202" w:val="left" w:leader="none"/>
        </w:tabs>
        <w:spacing w:line="240" w:lineRule="auto" w:before="1" w:after="0"/>
        <w:ind w:left="1201" w:right="0" w:hanging="602"/>
        <w:jc w:val="left"/>
        <w:rPr>
          <w:sz w:val="24"/>
        </w:rPr>
      </w:pPr>
      <w:r>
        <w:rPr>
          <w:sz w:val="24"/>
        </w:rPr>
        <w:t>依法募集基金；</w:t>
      </w:r>
    </w:p>
    <w:p>
      <w:pPr>
        <w:pStyle w:val="ListParagraph"/>
        <w:numPr>
          <w:ilvl w:val="0"/>
          <w:numId w:val="24"/>
        </w:numPr>
        <w:tabs>
          <w:tab w:pos="1202" w:val="left" w:leader="none"/>
        </w:tabs>
        <w:spacing w:line="364" w:lineRule="auto" w:before="161" w:after="0"/>
        <w:ind w:left="120" w:right="364" w:firstLine="479"/>
        <w:jc w:val="left"/>
        <w:rPr>
          <w:sz w:val="24"/>
        </w:rPr>
      </w:pPr>
      <w:r>
        <w:rPr>
          <w:spacing w:val="-1"/>
          <w:sz w:val="24"/>
        </w:rPr>
        <w:t>自《基金合同》生效日起，根据法律法规和《基金合同》独立运用并</w:t>
      </w:r>
      <w:r>
        <w:rPr>
          <w:sz w:val="24"/>
        </w:rPr>
        <w:t>管理基金财产；</w:t>
      </w:r>
    </w:p>
    <w:p>
      <w:pPr>
        <w:pStyle w:val="ListParagraph"/>
        <w:numPr>
          <w:ilvl w:val="0"/>
          <w:numId w:val="24"/>
        </w:numPr>
        <w:tabs>
          <w:tab w:pos="1202" w:val="left" w:leader="none"/>
        </w:tabs>
        <w:spacing w:line="364" w:lineRule="auto" w:before="1" w:after="0"/>
        <w:ind w:left="120" w:right="36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4"/>
        </w:numPr>
        <w:tabs>
          <w:tab w:pos="1202" w:val="left" w:leader="none"/>
        </w:tabs>
        <w:spacing w:line="240" w:lineRule="auto" w:before="2" w:after="0"/>
        <w:ind w:left="1201" w:right="0" w:hanging="602"/>
        <w:jc w:val="left"/>
        <w:rPr>
          <w:sz w:val="24"/>
        </w:rPr>
      </w:pPr>
      <w:r>
        <w:rPr>
          <w:sz w:val="24"/>
        </w:rPr>
        <w:t>销售基金份额；</w:t>
      </w:r>
    </w:p>
    <w:p>
      <w:pPr>
        <w:pStyle w:val="ListParagraph"/>
        <w:numPr>
          <w:ilvl w:val="0"/>
          <w:numId w:val="24"/>
        </w:numPr>
        <w:tabs>
          <w:tab w:pos="1202" w:val="left" w:leader="none"/>
        </w:tabs>
        <w:spacing w:line="240" w:lineRule="auto" w:before="160" w:after="0"/>
        <w:ind w:left="1201" w:right="0" w:hanging="602"/>
        <w:jc w:val="left"/>
        <w:rPr>
          <w:sz w:val="24"/>
        </w:rPr>
      </w:pPr>
      <w:r>
        <w:rPr>
          <w:sz w:val="24"/>
        </w:rPr>
        <w:t>召集基金份额持有人大会；</w:t>
      </w:r>
    </w:p>
    <w:p>
      <w:pPr>
        <w:pStyle w:val="ListParagraph"/>
        <w:numPr>
          <w:ilvl w:val="0"/>
          <w:numId w:val="24"/>
        </w:numPr>
        <w:tabs>
          <w:tab w:pos="1202" w:val="left" w:leader="none"/>
        </w:tabs>
        <w:spacing w:line="364" w:lineRule="auto" w:before="161" w:after="0"/>
        <w:ind w:left="120" w:right="357" w:firstLine="479"/>
        <w:jc w:val="both"/>
        <w:rPr>
          <w:sz w:val="24"/>
        </w:rPr>
      </w:pPr>
      <w:r>
        <w:rPr>
          <w:sz w:val="24"/>
        </w:rPr>
        <w:t>依据《基金合同》及有关法律规定监督基金托管人，如认为基金托管</w:t>
      </w:r>
      <w:r>
        <w:rPr>
          <w:spacing w:val="-21"/>
          <w:sz w:val="24"/>
        </w:rPr>
        <w:t>人违反了《基金合同》及国家有关法律规定，应呈报中国证监会和其他监管部门， </w:t>
      </w:r>
      <w:r>
        <w:rPr>
          <w:sz w:val="24"/>
        </w:rPr>
        <w:t>并采取必要措施保护基金投资者的利益；</w:t>
      </w:r>
    </w:p>
    <w:p>
      <w:pPr>
        <w:pStyle w:val="ListParagraph"/>
        <w:numPr>
          <w:ilvl w:val="0"/>
          <w:numId w:val="24"/>
        </w:numPr>
        <w:tabs>
          <w:tab w:pos="1202" w:val="left" w:leader="none"/>
        </w:tabs>
        <w:spacing w:line="240" w:lineRule="auto" w:before="1" w:after="0"/>
        <w:ind w:left="1201" w:right="0" w:hanging="602"/>
        <w:jc w:val="left"/>
        <w:rPr>
          <w:sz w:val="24"/>
        </w:rPr>
      </w:pPr>
      <w:r>
        <w:rPr>
          <w:sz w:val="24"/>
        </w:rPr>
        <w:t>在基金托管人更换时，提名新的基金托管人；</w:t>
      </w:r>
    </w:p>
    <w:p>
      <w:pPr>
        <w:pStyle w:val="ListParagraph"/>
        <w:numPr>
          <w:ilvl w:val="0"/>
          <w:numId w:val="24"/>
        </w:numPr>
        <w:tabs>
          <w:tab w:pos="1202" w:val="left" w:leader="none"/>
        </w:tabs>
        <w:spacing w:line="364" w:lineRule="auto" w:before="161" w:after="0"/>
        <w:ind w:left="120" w:right="364"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4"/>
        </w:numPr>
        <w:tabs>
          <w:tab w:pos="1202" w:val="left" w:leader="none"/>
        </w:tabs>
        <w:spacing w:line="364" w:lineRule="auto" w:before="2" w:after="0"/>
        <w:ind w:left="120" w:right="361" w:firstLine="479"/>
        <w:jc w:val="left"/>
        <w:rPr>
          <w:sz w:val="24"/>
        </w:rPr>
      </w:pPr>
      <w:r>
        <w:rPr>
          <w:spacing w:val="-1"/>
          <w:sz w:val="24"/>
        </w:rPr>
        <w:t>担任或委托其他符合条件的机构担任基金登记结算机构办理基金登记</w:t>
      </w:r>
      <w:r>
        <w:rPr>
          <w:sz w:val="24"/>
        </w:rPr>
        <w:t>结算业务并获得《基金合同》规定的费用；</w:t>
      </w:r>
    </w:p>
    <w:p>
      <w:pPr>
        <w:pStyle w:val="ListParagraph"/>
        <w:numPr>
          <w:ilvl w:val="0"/>
          <w:numId w:val="24"/>
        </w:numPr>
        <w:tabs>
          <w:tab w:pos="1322" w:val="left" w:leader="none"/>
        </w:tabs>
        <w:spacing w:line="240" w:lineRule="auto" w:before="1" w:after="0"/>
        <w:ind w:left="1321" w:right="0" w:hanging="722"/>
        <w:jc w:val="left"/>
        <w:rPr>
          <w:sz w:val="24"/>
        </w:rPr>
      </w:pPr>
      <w:r>
        <w:rPr>
          <w:sz w:val="24"/>
        </w:rPr>
        <w:t>依据《基金合同》及有关法律规定决定基金收益的分配方案；</w:t>
      </w:r>
    </w:p>
    <w:p>
      <w:pPr>
        <w:pStyle w:val="ListParagraph"/>
        <w:numPr>
          <w:ilvl w:val="0"/>
          <w:numId w:val="24"/>
        </w:numPr>
        <w:tabs>
          <w:tab w:pos="1312" w:val="left" w:leader="none"/>
        </w:tabs>
        <w:spacing w:line="240" w:lineRule="auto" w:before="160" w:after="0"/>
        <w:ind w:left="1311" w:right="0" w:hanging="712"/>
        <w:jc w:val="left"/>
        <w:rPr>
          <w:sz w:val="24"/>
        </w:rPr>
      </w:pPr>
      <w:r>
        <w:rPr>
          <w:sz w:val="24"/>
        </w:rPr>
        <w:t>在《基金合同》约定的范围内，拒绝或暂停受理申购与赎回申请；</w:t>
      </w:r>
    </w:p>
    <w:p>
      <w:pPr>
        <w:pStyle w:val="ListParagraph"/>
        <w:numPr>
          <w:ilvl w:val="0"/>
          <w:numId w:val="24"/>
        </w:numPr>
        <w:tabs>
          <w:tab w:pos="1322" w:val="left" w:leader="none"/>
        </w:tabs>
        <w:spacing w:line="364" w:lineRule="auto" w:before="161" w:after="0"/>
        <w:ind w:left="120" w:right="36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4"/>
        </w:numPr>
        <w:tabs>
          <w:tab w:pos="1322" w:val="left" w:leader="none"/>
        </w:tabs>
        <w:spacing w:line="240" w:lineRule="auto" w:before="2" w:after="0"/>
        <w:ind w:left="1321" w:right="0" w:hanging="722"/>
        <w:jc w:val="left"/>
        <w:rPr>
          <w:sz w:val="24"/>
        </w:rPr>
      </w:pPr>
      <w:r>
        <w:rPr>
          <w:sz w:val="24"/>
        </w:rPr>
        <w:t>在法律法规允许的前提下，为基金的利益依法为基金进行融资融券；</w:t>
      </w:r>
    </w:p>
    <w:p>
      <w:pPr>
        <w:pStyle w:val="ListParagraph"/>
        <w:numPr>
          <w:ilvl w:val="0"/>
          <w:numId w:val="24"/>
        </w:numPr>
        <w:tabs>
          <w:tab w:pos="1322" w:val="left" w:leader="none"/>
        </w:tabs>
        <w:spacing w:line="364" w:lineRule="auto" w:before="160" w:after="0"/>
        <w:ind w:left="120" w:right="36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4"/>
        </w:numPr>
        <w:tabs>
          <w:tab w:pos="1322" w:val="left" w:leader="none"/>
        </w:tabs>
        <w:spacing w:line="364" w:lineRule="auto" w:before="1" w:after="0"/>
        <w:ind w:left="120" w:right="361" w:firstLine="479"/>
        <w:jc w:val="left"/>
        <w:rPr>
          <w:sz w:val="24"/>
        </w:rPr>
      </w:pPr>
      <w:r>
        <w:rPr>
          <w:spacing w:val="-8"/>
          <w:sz w:val="24"/>
        </w:rPr>
        <w:t>选择、更换律师事务所、会计师事务所、证券经纪商或其他为基金</w:t>
      </w:r>
      <w:r>
        <w:rPr>
          <w:spacing w:val="-5"/>
          <w:sz w:val="24"/>
        </w:rPr>
        <w:t>提供服务的外部机构；</w:t>
      </w:r>
    </w:p>
    <w:p>
      <w:pPr>
        <w:spacing w:after="0" w:line="364" w:lineRule="auto"/>
        <w:jc w:val="left"/>
        <w:rPr>
          <w:sz w:val="24"/>
        </w:rPr>
        <w:sectPr>
          <w:pgSz w:w="11910" w:h="16840"/>
          <w:pgMar w:header="0" w:footer="995" w:top="1500" w:bottom="1180" w:left="1680" w:right="1440"/>
        </w:sectPr>
      </w:pPr>
    </w:p>
    <w:p>
      <w:pPr>
        <w:pStyle w:val="ListParagraph"/>
        <w:numPr>
          <w:ilvl w:val="0"/>
          <w:numId w:val="24"/>
        </w:numPr>
        <w:tabs>
          <w:tab w:pos="1322" w:val="left" w:leader="none"/>
        </w:tabs>
        <w:spacing w:line="364" w:lineRule="auto" w:before="60" w:after="0"/>
        <w:ind w:left="120" w:right="244"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4"/>
        </w:numPr>
        <w:tabs>
          <w:tab w:pos="1322" w:val="left" w:leader="none"/>
        </w:tabs>
        <w:spacing w:line="240" w:lineRule="auto" w:before="2" w:after="0"/>
        <w:ind w:left="1321" w:right="0" w:hanging="722"/>
        <w:jc w:val="left"/>
        <w:rPr>
          <w:sz w:val="24"/>
        </w:rPr>
      </w:pPr>
      <w:r>
        <w:rPr>
          <w:sz w:val="24"/>
        </w:rPr>
        <w:t>法律法规和《基金合同》规定的其他权利。</w:t>
      </w:r>
    </w:p>
    <w:p>
      <w:pPr>
        <w:pStyle w:val="BodyText"/>
        <w:spacing w:line="364" w:lineRule="auto"/>
        <w:ind w:right="36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25"/>
        </w:numPr>
        <w:tabs>
          <w:tab w:pos="1202" w:val="left" w:leader="none"/>
        </w:tabs>
        <w:spacing w:line="364" w:lineRule="auto" w:before="1" w:after="0"/>
        <w:ind w:left="120" w:right="364" w:firstLine="479"/>
        <w:jc w:val="left"/>
        <w:rPr>
          <w:sz w:val="24"/>
        </w:rPr>
      </w:pPr>
      <w:r>
        <w:rPr>
          <w:spacing w:val="-1"/>
          <w:sz w:val="24"/>
        </w:rPr>
        <w:t>依法募集基金，办理或者委托经中国证监会认定的其他机构代为办理</w:t>
      </w:r>
      <w:r>
        <w:rPr>
          <w:sz w:val="24"/>
        </w:rPr>
        <w:t>基金份额的发售、申购、赎回和登记结算事宜；</w:t>
      </w:r>
    </w:p>
    <w:p>
      <w:pPr>
        <w:pStyle w:val="ListParagraph"/>
        <w:numPr>
          <w:ilvl w:val="0"/>
          <w:numId w:val="25"/>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25"/>
        </w:numPr>
        <w:tabs>
          <w:tab w:pos="1202" w:val="left" w:leader="none"/>
        </w:tabs>
        <w:spacing w:line="364" w:lineRule="auto" w:before="161" w:after="0"/>
        <w:ind w:left="120" w:right="358" w:firstLine="479"/>
        <w:jc w:val="left"/>
        <w:rPr>
          <w:sz w:val="24"/>
        </w:rPr>
      </w:pPr>
      <w:r>
        <w:rPr>
          <w:spacing w:val="-4"/>
          <w:sz w:val="24"/>
        </w:rPr>
        <w:t>自《基金合同》生效日起</w:t>
      </w:r>
      <w:r>
        <w:rPr>
          <w:rFonts w:ascii="Times New Roman" w:eastAsia="Times New Roman"/>
          <w:sz w:val="24"/>
        </w:rPr>
        <w:t>,</w:t>
      </w:r>
      <w:r>
        <w:rPr>
          <w:spacing w:val="-3"/>
          <w:sz w:val="24"/>
        </w:rPr>
        <w:t>以诚实信用、谨慎勤勉的原则管理和运用基</w:t>
      </w:r>
      <w:r>
        <w:rPr>
          <w:sz w:val="24"/>
        </w:rPr>
        <w:t>金财产；</w:t>
      </w:r>
    </w:p>
    <w:p>
      <w:pPr>
        <w:pStyle w:val="ListParagraph"/>
        <w:numPr>
          <w:ilvl w:val="0"/>
          <w:numId w:val="25"/>
        </w:numPr>
        <w:tabs>
          <w:tab w:pos="1202" w:val="left" w:leader="none"/>
        </w:tabs>
        <w:spacing w:line="364" w:lineRule="auto" w:before="1" w:after="0"/>
        <w:ind w:left="120" w:right="36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25"/>
        </w:numPr>
        <w:tabs>
          <w:tab w:pos="1202" w:val="left" w:leader="none"/>
        </w:tabs>
        <w:spacing w:line="364" w:lineRule="auto" w:before="2" w:after="0"/>
        <w:ind w:left="120" w:right="356" w:firstLine="479"/>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25"/>
        </w:numPr>
        <w:tabs>
          <w:tab w:pos="1202" w:val="left" w:leader="none"/>
        </w:tabs>
        <w:spacing w:line="364" w:lineRule="auto" w:before="1" w:after="0"/>
        <w:ind w:left="120" w:right="356" w:firstLine="479"/>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25"/>
        </w:numPr>
        <w:tabs>
          <w:tab w:pos="1202" w:val="left" w:leader="none"/>
        </w:tabs>
        <w:spacing w:line="240" w:lineRule="auto" w:before="2" w:after="0"/>
        <w:ind w:left="1201" w:right="0" w:hanging="602"/>
        <w:jc w:val="left"/>
        <w:rPr>
          <w:sz w:val="24"/>
        </w:rPr>
      </w:pPr>
      <w:r>
        <w:rPr>
          <w:sz w:val="24"/>
        </w:rPr>
        <w:t>依法接受基金托管人的监督；</w:t>
      </w:r>
    </w:p>
    <w:p>
      <w:pPr>
        <w:pStyle w:val="ListParagraph"/>
        <w:numPr>
          <w:ilvl w:val="0"/>
          <w:numId w:val="25"/>
        </w:numPr>
        <w:tabs>
          <w:tab w:pos="1202" w:val="left" w:leader="none"/>
        </w:tabs>
        <w:spacing w:line="364" w:lineRule="auto" w:before="160" w:after="0"/>
        <w:ind w:left="120" w:right="356" w:firstLine="479"/>
        <w:jc w:val="both"/>
        <w:rPr>
          <w:sz w:val="24"/>
        </w:rPr>
      </w:pPr>
      <w:r>
        <w:rPr>
          <w:sz w:val="24"/>
        </w:rPr>
        <w:t>采取适当合理的措施使计算基金份额认购、申购、赎回和注销价格的</w:t>
      </w:r>
      <w:r>
        <w:rPr>
          <w:spacing w:val="-20"/>
          <w:sz w:val="24"/>
        </w:rPr>
        <w:t>方法符合《基金合同》等法律文件的规定，按有关规定计算并公告基金净值信息， </w:t>
      </w:r>
      <w:r>
        <w:rPr>
          <w:sz w:val="24"/>
        </w:rPr>
        <w:t>确定基金份额申购、赎回的价格；</w:t>
      </w:r>
    </w:p>
    <w:p>
      <w:pPr>
        <w:pStyle w:val="ListParagraph"/>
        <w:numPr>
          <w:ilvl w:val="0"/>
          <w:numId w:val="25"/>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25"/>
        </w:numPr>
        <w:tabs>
          <w:tab w:pos="1322" w:val="left" w:leader="none"/>
        </w:tabs>
        <w:spacing w:line="240" w:lineRule="auto" w:before="161" w:after="0"/>
        <w:ind w:left="1321" w:right="0" w:hanging="722"/>
        <w:jc w:val="left"/>
        <w:rPr>
          <w:sz w:val="24"/>
        </w:rPr>
      </w:pPr>
      <w:r>
        <w:rPr>
          <w:sz w:val="24"/>
        </w:rPr>
        <w:t>编制季度报告、中期报告和年度报告；</w:t>
      </w:r>
    </w:p>
    <w:p>
      <w:pPr>
        <w:pStyle w:val="ListParagraph"/>
        <w:numPr>
          <w:ilvl w:val="0"/>
          <w:numId w:val="25"/>
        </w:numPr>
        <w:tabs>
          <w:tab w:pos="1312" w:val="left" w:leader="none"/>
        </w:tabs>
        <w:spacing w:line="364" w:lineRule="auto" w:before="160" w:after="0"/>
        <w:ind w:left="120" w:right="357"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25"/>
        </w:numPr>
        <w:tabs>
          <w:tab w:pos="1322" w:val="left" w:leader="none"/>
        </w:tabs>
        <w:spacing w:line="240" w:lineRule="auto" w:before="2"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0"/>
        <w:ind w:right="357"/>
      </w:pPr>
      <w:r>
        <w:rPr>
          <w:spacing w:val="-10"/>
        </w:rPr>
        <w:t>《基金合同》及其他有关规定另有规定外，在基金信息公开披露前应予保密，不</w:t>
      </w:r>
      <w:r>
        <w:rPr/>
        <w:t>向他人泄露；</w:t>
      </w:r>
    </w:p>
    <w:p>
      <w:pPr>
        <w:pStyle w:val="ListParagraph"/>
        <w:numPr>
          <w:ilvl w:val="0"/>
          <w:numId w:val="25"/>
        </w:numPr>
        <w:tabs>
          <w:tab w:pos="1322" w:val="left" w:leader="none"/>
        </w:tabs>
        <w:spacing w:line="240" w:lineRule="auto" w:before="2" w:after="0"/>
        <w:ind w:left="1321" w:right="0" w:hanging="722"/>
        <w:jc w:val="left"/>
        <w:rPr>
          <w:sz w:val="24"/>
        </w:rPr>
      </w:pPr>
      <w:r>
        <w:rPr>
          <w:spacing w:val="-8"/>
          <w:sz w:val="24"/>
        </w:rPr>
        <w:t>按《基金合同》的约定确定基金收益分配方案，及时向基金份额持有</w:t>
      </w:r>
    </w:p>
    <w:p>
      <w:pPr>
        <w:spacing w:after="0" w:line="240" w:lineRule="auto"/>
        <w:jc w:val="left"/>
        <w:rPr>
          <w:sz w:val="24"/>
        </w:rPr>
        <w:sectPr>
          <w:pgSz w:w="11910" w:h="16840"/>
          <w:pgMar w:header="0" w:footer="995" w:top="1440" w:bottom="1180" w:left="1680" w:right="1440"/>
        </w:sectPr>
      </w:pPr>
    </w:p>
    <w:p>
      <w:pPr>
        <w:pStyle w:val="BodyText"/>
        <w:spacing w:before="40"/>
      </w:pPr>
      <w:r>
        <w:rPr/>
        <w:t>人分配基金收益；</w:t>
      </w:r>
    </w:p>
    <w:p>
      <w:pPr>
        <w:pStyle w:val="ListParagraph"/>
        <w:numPr>
          <w:ilvl w:val="0"/>
          <w:numId w:val="25"/>
        </w:numPr>
        <w:tabs>
          <w:tab w:pos="1322" w:val="left" w:leader="none"/>
        </w:tabs>
        <w:spacing w:line="240" w:lineRule="auto" w:before="161" w:after="0"/>
        <w:ind w:left="1321" w:right="0" w:hanging="722"/>
        <w:jc w:val="left"/>
        <w:rPr>
          <w:sz w:val="24"/>
        </w:rPr>
      </w:pPr>
      <w:r>
        <w:rPr>
          <w:sz w:val="24"/>
        </w:rPr>
        <w:t>按规定受理申购与赎回申请，及时、足额支付赎回款项；</w:t>
      </w:r>
    </w:p>
    <w:p>
      <w:pPr>
        <w:pStyle w:val="ListParagraph"/>
        <w:numPr>
          <w:ilvl w:val="0"/>
          <w:numId w:val="25"/>
        </w:numPr>
        <w:tabs>
          <w:tab w:pos="1322" w:val="left" w:leader="none"/>
        </w:tabs>
        <w:spacing w:line="364" w:lineRule="auto" w:before="161" w:after="0"/>
        <w:ind w:left="120" w:right="36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25"/>
        </w:numPr>
        <w:tabs>
          <w:tab w:pos="1322" w:val="left" w:leader="none"/>
        </w:tabs>
        <w:spacing w:line="364" w:lineRule="auto" w:before="1" w:after="0"/>
        <w:ind w:left="120" w:right="35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25"/>
        </w:numPr>
        <w:tabs>
          <w:tab w:pos="1322" w:val="left" w:leader="none"/>
        </w:tabs>
        <w:spacing w:line="364" w:lineRule="auto" w:before="1" w:after="0"/>
        <w:ind w:left="120" w:right="35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25"/>
        </w:numPr>
        <w:tabs>
          <w:tab w:pos="1322" w:val="left" w:leader="none"/>
        </w:tabs>
        <w:spacing w:line="364" w:lineRule="auto" w:before="3" w:after="0"/>
        <w:ind w:left="120" w:right="242"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25"/>
        </w:numPr>
        <w:tabs>
          <w:tab w:pos="1322" w:val="left" w:leader="none"/>
        </w:tabs>
        <w:spacing w:line="364" w:lineRule="auto" w:before="1" w:after="0"/>
        <w:ind w:left="120" w:right="35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25"/>
        </w:numPr>
        <w:tabs>
          <w:tab w:pos="1322" w:val="left" w:leader="none"/>
        </w:tabs>
        <w:spacing w:line="364" w:lineRule="auto" w:before="1" w:after="0"/>
        <w:ind w:left="120" w:right="35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25"/>
        </w:numPr>
        <w:tabs>
          <w:tab w:pos="1322" w:val="left" w:leader="none"/>
        </w:tabs>
        <w:spacing w:line="364" w:lineRule="auto" w:before="1" w:after="0"/>
        <w:ind w:left="120" w:right="35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25"/>
        </w:numPr>
        <w:tabs>
          <w:tab w:pos="1322" w:val="left" w:leader="none"/>
        </w:tabs>
        <w:spacing w:line="364" w:lineRule="auto" w:before="2" w:after="0"/>
        <w:ind w:left="120" w:right="36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25"/>
        </w:numPr>
        <w:tabs>
          <w:tab w:pos="1322" w:val="left" w:leader="none"/>
        </w:tabs>
        <w:spacing w:line="364" w:lineRule="auto" w:before="2" w:after="0"/>
        <w:ind w:left="120" w:right="36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25"/>
        </w:numPr>
        <w:tabs>
          <w:tab w:pos="1322" w:val="left" w:leader="none"/>
        </w:tabs>
        <w:spacing w:line="364" w:lineRule="auto" w:before="1" w:after="0"/>
        <w:ind w:left="120" w:right="35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25"/>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25"/>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25"/>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w:t>
      </w:r>
    </w:p>
    <w:p>
      <w:pPr>
        <w:pStyle w:val="BodyText"/>
        <w:ind w:left="600"/>
      </w:pPr>
      <w:r>
        <w:rPr/>
        <w:t>（二）基金托管人的权利、义务</w:t>
      </w:r>
    </w:p>
    <w:p>
      <w:pPr>
        <w:spacing w:after="0"/>
        <w:sectPr>
          <w:pgSz w:w="11910" w:h="16840"/>
          <w:pgMar w:header="0" w:footer="995" w:top="1460" w:bottom="1180" w:left="1680" w:right="1440"/>
        </w:sectPr>
      </w:pPr>
    </w:p>
    <w:p>
      <w:pPr>
        <w:pStyle w:val="BodyText"/>
        <w:spacing w:line="364" w:lineRule="auto" w:before="60"/>
        <w:ind w:right="36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26"/>
        </w:numPr>
        <w:tabs>
          <w:tab w:pos="1202" w:val="left" w:leader="none"/>
        </w:tabs>
        <w:spacing w:line="364" w:lineRule="auto" w:before="2" w:after="0"/>
        <w:ind w:left="120" w:right="364" w:firstLine="479"/>
        <w:jc w:val="left"/>
        <w:rPr>
          <w:sz w:val="24"/>
        </w:rPr>
      </w:pPr>
      <w:r>
        <w:rPr>
          <w:spacing w:val="-1"/>
          <w:sz w:val="24"/>
        </w:rPr>
        <w:t>自《基金合同》生效日起，依法律法规和《基金合同》的规定安全保</w:t>
      </w:r>
      <w:r>
        <w:rPr>
          <w:sz w:val="24"/>
        </w:rPr>
        <w:t>管基金财产；</w:t>
      </w:r>
    </w:p>
    <w:p>
      <w:pPr>
        <w:pStyle w:val="ListParagraph"/>
        <w:numPr>
          <w:ilvl w:val="0"/>
          <w:numId w:val="26"/>
        </w:numPr>
        <w:tabs>
          <w:tab w:pos="1202" w:val="left" w:leader="none"/>
        </w:tabs>
        <w:spacing w:line="364" w:lineRule="auto" w:before="1" w:after="0"/>
        <w:ind w:left="120" w:right="36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26"/>
        </w:numPr>
        <w:tabs>
          <w:tab w:pos="1202" w:val="left" w:leader="none"/>
        </w:tabs>
        <w:spacing w:line="364" w:lineRule="auto" w:before="2" w:after="0"/>
        <w:ind w:left="120" w:right="35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26"/>
        </w:numPr>
        <w:tabs>
          <w:tab w:pos="1202" w:val="left" w:leader="none"/>
        </w:tabs>
        <w:spacing w:line="364" w:lineRule="auto" w:before="2" w:after="0"/>
        <w:ind w:left="120" w:right="36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26"/>
        </w:numPr>
        <w:tabs>
          <w:tab w:pos="1202" w:val="left" w:leader="none"/>
        </w:tabs>
        <w:spacing w:line="364" w:lineRule="auto" w:before="1" w:after="0"/>
        <w:ind w:left="120" w:right="237" w:firstLine="479"/>
        <w:jc w:val="left"/>
        <w:rPr>
          <w:sz w:val="24"/>
        </w:rPr>
      </w:pPr>
      <w:r>
        <w:rPr>
          <w:sz w:val="24"/>
        </w:rPr>
        <w:t>以基金的名义在中央国债登记结算有限公司开设银行间债券托管账户</w:t>
      </w:r>
      <w:r>
        <w:rPr>
          <w:spacing w:val="-4"/>
          <w:sz w:val="24"/>
        </w:rPr>
        <w:t>，负责基金投资债券的后台匹配及资金的清算；</w:t>
      </w:r>
    </w:p>
    <w:p>
      <w:pPr>
        <w:pStyle w:val="ListParagraph"/>
        <w:numPr>
          <w:ilvl w:val="0"/>
          <w:numId w:val="26"/>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26"/>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26"/>
        </w:numPr>
        <w:tabs>
          <w:tab w:pos="1202" w:val="left" w:leader="none"/>
        </w:tabs>
        <w:spacing w:line="240" w:lineRule="auto" w:before="160" w:after="0"/>
        <w:ind w:left="1201" w:right="0" w:hanging="602"/>
        <w:jc w:val="left"/>
        <w:rPr>
          <w:sz w:val="24"/>
        </w:rPr>
      </w:pPr>
      <w:r>
        <w:rPr>
          <w:sz w:val="24"/>
        </w:rPr>
        <w:t>法律法规和《基金合同》规定的其他权利。</w:t>
      </w:r>
    </w:p>
    <w:p>
      <w:pPr>
        <w:pStyle w:val="BodyText"/>
        <w:spacing w:line="364" w:lineRule="auto"/>
        <w:ind w:right="36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27"/>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27"/>
        </w:numPr>
        <w:tabs>
          <w:tab w:pos="1202" w:val="left" w:leader="none"/>
        </w:tabs>
        <w:spacing w:line="364" w:lineRule="auto" w:before="161" w:after="0"/>
        <w:ind w:left="120" w:right="36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27"/>
        </w:numPr>
        <w:tabs>
          <w:tab w:pos="1202" w:val="left" w:leader="none"/>
        </w:tabs>
        <w:spacing w:line="364" w:lineRule="auto" w:before="1" w:after="0"/>
        <w:ind w:left="120" w:right="357" w:firstLine="479"/>
        <w:jc w:val="both"/>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w:t>
      </w:r>
      <w:r>
        <w:rPr>
          <w:spacing w:val="-19"/>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27"/>
        </w:numPr>
        <w:tabs>
          <w:tab w:pos="1202" w:val="left" w:leader="none"/>
        </w:tabs>
        <w:spacing w:line="364" w:lineRule="auto" w:before="3" w:after="0"/>
        <w:ind w:left="120" w:right="36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27"/>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按规定开设基金财产的资金账户和证券账户，按照《基金合同》的约</w:t>
      </w:r>
    </w:p>
    <w:p>
      <w:pPr>
        <w:spacing w:after="0" w:line="240" w:lineRule="auto"/>
        <w:jc w:val="left"/>
        <w:rPr>
          <w:sz w:val="24"/>
        </w:rPr>
        <w:sectPr>
          <w:pgSz w:w="11910" w:h="16840"/>
          <w:pgMar w:header="0" w:footer="995" w:top="1440" w:bottom="1180" w:left="1680" w:right="1440"/>
        </w:sectPr>
      </w:pPr>
    </w:p>
    <w:p>
      <w:pPr>
        <w:pStyle w:val="BodyText"/>
        <w:spacing w:before="40"/>
      </w:pPr>
      <w:r>
        <w:rPr/>
        <w:t>定，根据基金管理人的投资指令，及时办理清算、交割事宜；</w:t>
      </w:r>
    </w:p>
    <w:p>
      <w:pPr>
        <w:pStyle w:val="ListParagraph"/>
        <w:numPr>
          <w:ilvl w:val="0"/>
          <w:numId w:val="27"/>
        </w:numPr>
        <w:tabs>
          <w:tab w:pos="1202" w:val="left" w:leader="none"/>
        </w:tabs>
        <w:spacing w:line="364" w:lineRule="auto" w:before="161" w:after="0"/>
        <w:ind w:left="120" w:right="36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27"/>
        </w:numPr>
        <w:tabs>
          <w:tab w:pos="1202" w:val="left" w:leader="none"/>
        </w:tabs>
        <w:spacing w:line="364" w:lineRule="auto" w:before="2" w:after="0"/>
        <w:ind w:left="120" w:right="362"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27"/>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27"/>
        </w:numPr>
        <w:tabs>
          <w:tab w:pos="1322" w:val="left" w:leader="none"/>
        </w:tabs>
        <w:spacing w:line="364" w:lineRule="auto" w:before="160" w:after="0"/>
        <w:ind w:left="120" w:right="35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27"/>
        </w:numPr>
        <w:tabs>
          <w:tab w:pos="1312" w:val="left" w:leader="none"/>
        </w:tabs>
        <w:spacing w:line="364" w:lineRule="auto" w:before="3" w:after="0"/>
        <w:ind w:left="120" w:right="35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27"/>
        </w:numPr>
        <w:tabs>
          <w:tab w:pos="1322" w:val="left" w:leader="none"/>
        </w:tabs>
        <w:spacing w:line="240" w:lineRule="auto" w:before="2" w:after="0"/>
        <w:ind w:left="1321" w:right="0" w:hanging="722"/>
        <w:jc w:val="left"/>
        <w:rPr>
          <w:sz w:val="24"/>
        </w:rPr>
      </w:pPr>
      <w:r>
        <w:rPr>
          <w:sz w:val="24"/>
        </w:rPr>
        <w:t>建立并保存基金份额持有人名册；</w:t>
      </w:r>
    </w:p>
    <w:p>
      <w:pPr>
        <w:pStyle w:val="ListParagraph"/>
        <w:numPr>
          <w:ilvl w:val="0"/>
          <w:numId w:val="27"/>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27"/>
        </w:numPr>
        <w:tabs>
          <w:tab w:pos="1322" w:val="left" w:leader="none"/>
        </w:tabs>
        <w:spacing w:line="364" w:lineRule="auto" w:before="161" w:after="0"/>
        <w:ind w:left="120" w:right="358"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27"/>
        </w:numPr>
        <w:tabs>
          <w:tab w:pos="1322" w:val="left" w:leader="none"/>
        </w:tabs>
        <w:spacing w:line="364" w:lineRule="auto" w:before="1" w:after="0"/>
        <w:ind w:left="120" w:right="361"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27"/>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27"/>
        </w:numPr>
        <w:tabs>
          <w:tab w:pos="1322" w:val="left" w:leader="none"/>
        </w:tabs>
        <w:spacing w:line="364" w:lineRule="auto" w:before="161" w:after="0"/>
        <w:ind w:left="120" w:right="35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27"/>
        </w:numPr>
        <w:tabs>
          <w:tab w:pos="1322" w:val="left" w:leader="none"/>
        </w:tabs>
        <w:spacing w:line="364" w:lineRule="auto" w:before="1" w:after="0"/>
        <w:ind w:left="120" w:right="35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27"/>
        </w:numPr>
        <w:tabs>
          <w:tab w:pos="1322" w:val="left" w:leader="none"/>
        </w:tabs>
        <w:spacing w:line="364" w:lineRule="auto" w:before="1" w:after="0"/>
        <w:ind w:left="120" w:right="36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27"/>
        </w:numPr>
        <w:tabs>
          <w:tab w:pos="1322" w:val="left" w:leader="none"/>
        </w:tabs>
        <w:spacing w:line="364" w:lineRule="auto" w:before="2" w:after="0"/>
        <w:ind w:left="120" w:right="35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27"/>
        </w:numPr>
        <w:tabs>
          <w:tab w:pos="1322" w:val="left" w:leader="none"/>
        </w:tabs>
        <w:spacing w:line="240" w:lineRule="auto" w:before="2" w:after="0"/>
        <w:ind w:left="1321" w:right="0" w:hanging="722"/>
        <w:jc w:val="left"/>
        <w:rPr>
          <w:sz w:val="24"/>
        </w:rPr>
      </w:pPr>
      <w:r>
        <w:rPr>
          <w:sz w:val="24"/>
        </w:rPr>
        <w:t>执行生效的基金份额持有人大会的决定；</w:t>
      </w:r>
    </w:p>
    <w:p>
      <w:pPr>
        <w:spacing w:after="0" w:line="240" w:lineRule="auto"/>
        <w:jc w:val="left"/>
        <w:rPr>
          <w:sz w:val="24"/>
        </w:rPr>
        <w:sectPr>
          <w:pgSz w:w="11910" w:h="16840"/>
          <w:pgMar w:header="0" w:footer="995" w:top="1460" w:bottom="1180" w:left="1680" w:right="1440"/>
        </w:sectPr>
      </w:pPr>
    </w:p>
    <w:p>
      <w:pPr>
        <w:pStyle w:val="ListParagraph"/>
        <w:numPr>
          <w:ilvl w:val="0"/>
          <w:numId w:val="27"/>
        </w:numPr>
        <w:tabs>
          <w:tab w:pos="1322" w:val="left" w:leader="none"/>
        </w:tabs>
        <w:spacing w:line="240" w:lineRule="auto" w:before="60" w:after="0"/>
        <w:ind w:left="1321" w:right="0" w:hanging="722"/>
        <w:jc w:val="left"/>
        <w:rPr>
          <w:sz w:val="24"/>
        </w:rPr>
      </w:pPr>
      <w:r>
        <w:rPr>
          <w:sz w:val="24"/>
        </w:rPr>
        <w:t>法律法规及中国证监会规定的和《基金合同》约定的其他义务。</w:t>
      </w:r>
    </w:p>
    <w:p>
      <w:pPr>
        <w:pStyle w:val="BodyText"/>
        <w:ind w:left="600"/>
      </w:pPr>
      <w:r>
        <w:rPr/>
        <w:t>（三）基金份额持有人的权利、义务</w:t>
      </w:r>
    </w:p>
    <w:p>
      <w:pPr>
        <w:pStyle w:val="BodyText"/>
        <w:spacing w:line="364" w:lineRule="auto"/>
        <w:ind w:right="237" w:firstLine="479"/>
      </w:pPr>
      <w:r>
        <w:rPr>
          <w:spacing w:val="-11"/>
        </w:rPr>
        <w:t>基金投资者持有本基金基金份额的行为即视为对《基金合同》的承认和接受， </w:t>
      </w:r>
      <w:r>
        <w:rPr>
          <w:spacing w:val="-20"/>
        </w:rPr>
        <w:t>基金投资者自依据《基金合同》取得的基金份额，即成为本基金份额持有人和《基</w:t>
      </w:r>
      <w:r>
        <w:rPr>
          <w:spacing w:val="-22"/>
        </w:rPr>
        <w:t>金合同》的当事人，直至其不再持有本基金的基金份额。基金份额持有人作为《基金合同》当事人并不以在《基金合同》上书面签章或签字为必要条件。</w:t>
      </w:r>
    </w:p>
    <w:p>
      <w:pPr>
        <w:pStyle w:val="BodyText"/>
        <w:spacing w:before="2"/>
        <w:ind w:left="600"/>
      </w:pPr>
      <w:r>
        <w:rPr/>
        <w:t>本基金每份同类基金份额具有同等的合法权益。</w:t>
      </w:r>
    </w:p>
    <w:p>
      <w:pPr>
        <w:pStyle w:val="BodyText"/>
        <w:spacing w:line="364" w:lineRule="auto"/>
        <w:ind w:right="36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28"/>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参与分配清算后的剩余基金财产；</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依法申请赎回其持有的基金份额；</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按照规定要求召开基金份额持有人大会；</w:t>
      </w:r>
    </w:p>
    <w:p>
      <w:pPr>
        <w:pStyle w:val="ListParagraph"/>
        <w:numPr>
          <w:ilvl w:val="0"/>
          <w:numId w:val="28"/>
        </w:numPr>
        <w:tabs>
          <w:tab w:pos="1202" w:val="left" w:leader="none"/>
        </w:tabs>
        <w:spacing w:line="364" w:lineRule="auto" w:before="161" w:after="0"/>
        <w:ind w:left="120" w:right="36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8"/>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监督基金管理人的投资运作；</w:t>
      </w:r>
    </w:p>
    <w:p>
      <w:pPr>
        <w:pStyle w:val="ListParagraph"/>
        <w:numPr>
          <w:ilvl w:val="0"/>
          <w:numId w:val="28"/>
        </w:numPr>
        <w:tabs>
          <w:tab w:pos="1202" w:val="left" w:leader="none"/>
        </w:tabs>
        <w:spacing w:line="364" w:lineRule="auto" w:before="161" w:after="0"/>
        <w:ind w:left="120" w:right="36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28"/>
        </w:numPr>
        <w:tabs>
          <w:tab w:pos="1202" w:val="left" w:leader="none"/>
        </w:tabs>
        <w:spacing w:line="240" w:lineRule="auto" w:before="1" w:after="0"/>
        <w:ind w:left="1201" w:right="0" w:hanging="602"/>
        <w:jc w:val="left"/>
        <w:rPr>
          <w:sz w:val="24"/>
        </w:rPr>
      </w:pPr>
      <w:r>
        <w:rPr>
          <w:sz w:val="24"/>
        </w:rPr>
        <w:t>法律法规和《基金合同》规定的其他权利。</w:t>
      </w:r>
    </w:p>
    <w:p>
      <w:pPr>
        <w:pStyle w:val="BodyText"/>
        <w:spacing w:line="364" w:lineRule="auto"/>
        <w:ind w:right="36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29"/>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了解所投资基金产品，了解自身风险承受能力，自行承担投资风险；</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关注基金信息披露，及时行使权利和履行义务；</w:t>
      </w:r>
    </w:p>
    <w:p>
      <w:pPr>
        <w:pStyle w:val="ListParagraph"/>
        <w:numPr>
          <w:ilvl w:val="0"/>
          <w:numId w:val="29"/>
        </w:numPr>
        <w:tabs>
          <w:tab w:pos="1202" w:val="left" w:leader="none"/>
        </w:tabs>
        <w:spacing w:line="364" w:lineRule="auto" w:before="161" w:after="0"/>
        <w:ind w:left="120" w:right="364" w:firstLine="479"/>
        <w:jc w:val="left"/>
        <w:rPr>
          <w:sz w:val="24"/>
        </w:rPr>
      </w:pPr>
      <w:r>
        <w:rPr>
          <w:spacing w:val="-1"/>
          <w:sz w:val="24"/>
        </w:rPr>
        <w:t>缴纳基金认购、申购、赎回款项及法律法规和《基金合同》所规定的</w:t>
      </w:r>
      <w:r>
        <w:rPr>
          <w:sz w:val="24"/>
        </w:rPr>
        <w:t>费用；</w:t>
      </w:r>
    </w:p>
    <w:p>
      <w:pPr>
        <w:pStyle w:val="ListParagraph"/>
        <w:numPr>
          <w:ilvl w:val="0"/>
          <w:numId w:val="29"/>
        </w:numPr>
        <w:tabs>
          <w:tab w:pos="1202" w:val="left" w:leader="none"/>
        </w:tabs>
        <w:spacing w:line="364" w:lineRule="auto" w:before="1" w:after="0"/>
        <w:ind w:left="120" w:right="364" w:firstLine="479"/>
        <w:jc w:val="left"/>
        <w:rPr>
          <w:sz w:val="24"/>
        </w:rPr>
      </w:pPr>
      <w:r>
        <w:rPr>
          <w:spacing w:val="-1"/>
          <w:sz w:val="24"/>
        </w:rPr>
        <w:t>在其持有的基金份额范围内，承担基金亏损或者《基金合同》终止的</w:t>
      </w:r>
      <w:r>
        <w:rPr>
          <w:sz w:val="24"/>
        </w:rPr>
        <w:t>有限责任；</w:t>
      </w:r>
    </w:p>
    <w:p>
      <w:pPr>
        <w:spacing w:after="0" w:line="364" w:lineRule="auto"/>
        <w:jc w:val="left"/>
        <w:rPr>
          <w:sz w:val="24"/>
        </w:rPr>
        <w:sectPr>
          <w:pgSz w:w="11910" w:h="16840"/>
          <w:pgMar w:header="0" w:footer="995" w:top="1440" w:bottom="1180" w:left="1680" w:right="1440"/>
        </w:sectPr>
      </w:pPr>
    </w:p>
    <w:p>
      <w:pPr>
        <w:pStyle w:val="ListParagraph"/>
        <w:numPr>
          <w:ilvl w:val="0"/>
          <w:numId w:val="29"/>
        </w:numPr>
        <w:tabs>
          <w:tab w:pos="1202" w:val="left" w:leader="none"/>
        </w:tabs>
        <w:spacing w:line="240" w:lineRule="auto" w:before="60" w:after="0"/>
        <w:ind w:left="1201" w:right="0" w:hanging="602"/>
        <w:jc w:val="left"/>
        <w:rPr>
          <w:sz w:val="24"/>
        </w:rPr>
      </w:pPr>
      <w:r>
        <w:rPr>
          <w:sz w:val="24"/>
        </w:rPr>
        <w:t>不从事任何有损基金及其他《基金合同》当事人合法权益的活动；</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执行生效的基金份额持有人大会的决定；</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29"/>
        </w:numPr>
        <w:tabs>
          <w:tab w:pos="1202" w:val="left" w:leader="none"/>
        </w:tabs>
        <w:spacing w:line="364" w:lineRule="auto" w:before="160" w:after="0"/>
        <w:ind w:left="120" w:right="364" w:firstLine="479"/>
        <w:jc w:val="left"/>
        <w:rPr>
          <w:sz w:val="24"/>
        </w:rPr>
      </w:pPr>
      <w:r>
        <w:rPr>
          <w:spacing w:val="-1"/>
          <w:sz w:val="24"/>
        </w:rPr>
        <w:t>基金管理人股东、基金管理人、基金管理人高级管理人员或基金经理</w:t>
      </w:r>
      <w:r>
        <w:rPr>
          <w:spacing w:val="-3"/>
          <w:sz w:val="24"/>
        </w:rPr>
        <w:t>使用发起资金认购的基金份额持有期限不少于 </w:t>
      </w:r>
      <w:r>
        <w:rPr>
          <w:rFonts w:ascii="Times New Roman" w:eastAsia="Times New Roman"/>
          <w:sz w:val="24"/>
        </w:rPr>
        <w:t>3 </w:t>
      </w:r>
      <w:r>
        <w:rPr>
          <w:sz w:val="24"/>
        </w:rPr>
        <w:t>年；</w:t>
      </w:r>
    </w:p>
    <w:p>
      <w:pPr>
        <w:pStyle w:val="ListParagraph"/>
        <w:numPr>
          <w:ilvl w:val="0"/>
          <w:numId w:val="29"/>
        </w:numPr>
        <w:tabs>
          <w:tab w:pos="1322" w:val="left" w:leader="none"/>
        </w:tabs>
        <w:spacing w:line="240" w:lineRule="auto" w:before="2" w:after="0"/>
        <w:ind w:left="1321" w:right="0" w:hanging="722"/>
        <w:jc w:val="left"/>
        <w:rPr>
          <w:sz w:val="24"/>
        </w:rPr>
      </w:pPr>
      <w:r>
        <w:rPr>
          <w:sz w:val="24"/>
        </w:rPr>
        <w:t>法律法规及中国证监会规定的和《基金合同》约定的其他义务。</w:t>
      </w:r>
    </w:p>
    <w:p>
      <w:pPr>
        <w:pStyle w:val="BodyText"/>
        <w:spacing w:before="160"/>
        <w:ind w:left="600"/>
      </w:pPr>
      <w:r>
        <w:rPr/>
        <w:t>（四）基金份额持有人大会召集、议事及表决的程序和规则</w:t>
      </w:r>
    </w:p>
    <w:p>
      <w:pPr>
        <w:pStyle w:val="BodyText"/>
        <w:spacing w:line="364" w:lineRule="auto"/>
        <w:ind w:right="35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pPr>
      <w:r>
        <w:rPr>
          <w:rFonts w:ascii="Times New Roman" w:eastAsia="Times New Roman"/>
        </w:rPr>
        <w:t>1</w:t>
      </w:r>
      <w:r>
        <w:rPr/>
        <w:t>、召开事由</w:t>
      </w:r>
    </w:p>
    <w:p>
      <w:pPr>
        <w:pStyle w:val="ListParagraph"/>
        <w:numPr>
          <w:ilvl w:val="0"/>
          <w:numId w:val="30"/>
        </w:numPr>
        <w:tabs>
          <w:tab w:pos="1202" w:val="left" w:leader="none"/>
        </w:tabs>
        <w:spacing w:line="240" w:lineRule="auto" w:before="160" w:after="0"/>
        <w:ind w:left="1201" w:right="0" w:hanging="602"/>
        <w:jc w:val="left"/>
        <w:rPr>
          <w:sz w:val="24"/>
        </w:rPr>
      </w:pPr>
      <w:r>
        <w:rPr>
          <w:sz w:val="24"/>
        </w:rPr>
        <w:t>当出现或需要决定下列事由之一的，应当召开基金份额持有人大会：</w:t>
      </w:r>
    </w:p>
    <w:p>
      <w:pPr>
        <w:pStyle w:val="ListParagraph"/>
        <w:numPr>
          <w:ilvl w:val="0"/>
          <w:numId w:val="31"/>
        </w:numPr>
        <w:tabs>
          <w:tab w:pos="962" w:val="left" w:leader="none"/>
        </w:tabs>
        <w:spacing w:line="364" w:lineRule="auto" w:before="161" w:after="0"/>
        <w:ind w:left="120" w:right="359" w:firstLine="479"/>
        <w:jc w:val="left"/>
        <w:rPr>
          <w:sz w:val="24"/>
        </w:rPr>
      </w:pPr>
      <w:r>
        <w:rPr>
          <w:spacing w:val="-15"/>
          <w:sz w:val="24"/>
        </w:rPr>
        <w:t>终止《基金合同》</w:t>
      </w:r>
      <w:r>
        <w:rPr>
          <w:spacing w:val="-118"/>
          <w:sz w:val="24"/>
        </w:rPr>
        <w:t>（</w:t>
      </w:r>
      <w:r>
        <w:rPr>
          <w:spacing w:val="-1"/>
          <w:sz w:val="24"/>
        </w:rPr>
        <w:t>《基金合同》生效三年后的年度对日，基金资产净值</w:t>
      </w:r>
      <w:r>
        <w:rPr>
          <w:spacing w:val="-21"/>
          <w:sz w:val="24"/>
        </w:rPr>
        <w:t>低于 </w:t>
      </w:r>
      <w:r>
        <w:rPr>
          <w:rFonts w:ascii="Times New Roman" w:eastAsia="Times New Roman"/>
          <w:sz w:val="24"/>
        </w:rPr>
        <w:t>2 </w:t>
      </w:r>
      <w:r>
        <w:rPr>
          <w:spacing w:val="-12"/>
          <w:sz w:val="24"/>
        </w:rPr>
        <w:t>亿元，《基金合同》终止的除外</w:t>
      </w:r>
      <w:r>
        <w:rPr>
          <w:spacing w:val="-120"/>
          <w:sz w:val="24"/>
        </w:rPr>
        <w:t>）</w:t>
      </w:r>
      <w:r>
        <w:rPr>
          <w:sz w:val="24"/>
        </w:rPr>
        <w:t>；</w:t>
      </w:r>
    </w:p>
    <w:p>
      <w:pPr>
        <w:pStyle w:val="ListParagraph"/>
        <w:numPr>
          <w:ilvl w:val="0"/>
          <w:numId w:val="31"/>
        </w:numPr>
        <w:tabs>
          <w:tab w:pos="962" w:val="left" w:leader="none"/>
        </w:tabs>
        <w:spacing w:line="240" w:lineRule="auto" w:before="1" w:after="0"/>
        <w:ind w:left="961" w:right="0" w:hanging="362"/>
        <w:jc w:val="left"/>
        <w:rPr>
          <w:sz w:val="24"/>
        </w:rPr>
      </w:pPr>
      <w:r>
        <w:rPr>
          <w:sz w:val="24"/>
        </w:rPr>
        <w:t>更换基金管理人；</w:t>
      </w:r>
    </w:p>
    <w:p>
      <w:pPr>
        <w:pStyle w:val="ListParagraph"/>
        <w:numPr>
          <w:ilvl w:val="0"/>
          <w:numId w:val="31"/>
        </w:numPr>
        <w:tabs>
          <w:tab w:pos="962" w:val="left" w:leader="none"/>
        </w:tabs>
        <w:spacing w:line="240" w:lineRule="auto" w:before="161" w:after="0"/>
        <w:ind w:left="961" w:right="0" w:hanging="362"/>
        <w:jc w:val="left"/>
        <w:rPr>
          <w:sz w:val="24"/>
        </w:rPr>
      </w:pPr>
      <w:r>
        <w:rPr>
          <w:sz w:val="24"/>
        </w:rPr>
        <w:t>更换基金托管人；</w:t>
      </w:r>
    </w:p>
    <w:p>
      <w:pPr>
        <w:pStyle w:val="ListParagraph"/>
        <w:numPr>
          <w:ilvl w:val="0"/>
          <w:numId w:val="31"/>
        </w:numPr>
        <w:tabs>
          <w:tab w:pos="962" w:val="left" w:leader="none"/>
        </w:tabs>
        <w:spacing w:line="364" w:lineRule="auto" w:before="160" w:after="0"/>
        <w:ind w:left="120" w:right="363" w:firstLine="479"/>
        <w:jc w:val="left"/>
        <w:rPr>
          <w:sz w:val="24"/>
        </w:rPr>
      </w:pPr>
      <w:r>
        <w:rPr>
          <w:sz w:val="24"/>
        </w:rPr>
        <w:t>转换基金运作方式（</w:t>
      </w:r>
      <w:r>
        <w:rPr>
          <w:spacing w:val="-1"/>
          <w:sz w:val="24"/>
        </w:rPr>
        <w:t>法律法规、中国证监会另有规定或《基金合同》另</w:t>
      </w:r>
      <w:r>
        <w:rPr>
          <w:sz w:val="24"/>
        </w:rPr>
        <w:t>有约定的除外</w:t>
      </w:r>
      <w:r>
        <w:rPr>
          <w:spacing w:val="-121"/>
          <w:sz w:val="24"/>
        </w:rPr>
        <w:t>）</w:t>
      </w:r>
      <w:r>
        <w:rPr>
          <w:sz w:val="24"/>
        </w:rPr>
        <w:t>；</w:t>
      </w:r>
    </w:p>
    <w:p>
      <w:pPr>
        <w:pStyle w:val="ListParagraph"/>
        <w:numPr>
          <w:ilvl w:val="0"/>
          <w:numId w:val="31"/>
        </w:numPr>
        <w:tabs>
          <w:tab w:pos="962" w:val="left" w:leader="none"/>
        </w:tabs>
        <w:spacing w:line="240" w:lineRule="auto" w:before="2" w:after="0"/>
        <w:ind w:left="961" w:right="0" w:hanging="362"/>
        <w:jc w:val="left"/>
        <w:rPr>
          <w:sz w:val="24"/>
        </w:rPr>
      </w:pPr>
      <w:r>
        <w:rPr>
          <w:sz w:val="24"/>
        </w:rPr>
        <w:t>提高基金管理人、基金托管人的报酬标准；</w:t>
      </w:r>
    </w:p>
    <w:p>
      <w:pPr>
        <w:pStyle w:val="ListParagraph"/>
        <w:numPr>
          <w:ilvl w:val="0"/>
          <w:numId w:val="31"/>
        </w:numPr>
        <w:tabs>
          <w:tab w:pos="962" w:val="left" w:leader="none"/>
        </w:tabs>
        <w:spacing w:line="240" w:lineRule="auto" w:before="160" w:after="0"/>
        <w:ind w:left="961" w:right="0" w:hanging="362"/>
        <w:jc w:val="left"/>
        <w:rPr>
          <w:sz w:val="24"/>
        </w:rPr>
      </w:pPr>
      <w:r>
        <w:rPr>
          <w:sz w:val="24"/>
        </w:rPr>
        <w:t>变更基金类别；</w:t>
      </w:r>
    </w:p>
    <w:p>
      <w:pPr>
        <w:pStyle w:val="ListParagraph"/>
        <w:numPr>
          <w:ilvl w:val="0"/>
          <w:numId w:val="31"/>
        </w:numPr>
        <w:tabs>
          <w:tab w:pos="962" w:val="left" w:leader="none"/>
        </w:tabs>
        <w:spacing w:line="240" w:lineRule="auto" w:before="161" w:after="0"/>
        <w:ind w:left="961" w:right="0" w:hanging="362"/>
        <w:jc w:val="left"/>
        <w:rPr>
          <w:sz w:val="24"/>
        </w:rPr>
      </w:pPr>
      <w:r>
        <w:rPr>
          <w:sz w:val="24"/>
        </w:rPr>
        <w:t>本基金与其他基金的合并；</w:t>
      </w:r>
    </w:p>
    <w:p>
      <w:pPr>
        <w:pStyle w:val="ListParagraph"/>
        <w:numPr>
          <w:ilvl w:val="0"/>
          <w:numId w:val="31"/>
        </w:numPr>
        <w:tabs>
          <w:tab w:pos="962" w:val="left" w:leader="none"/>
        </w:tabs>
        <w:spacing w:line="364" w:lineRule="auto" w:before="160" w:after="0"/>
        <w:ind w:left="120" w:right="359" w:firstLine="479"/>
        <w:jc w:val="left"/>
        <w:rPr>
          <w:sz w:val="24"/>
        </w:rPr>
      </w:pPr>
      <w:r>
        <w:rPr>
          <w:spacing w:val="-8"/>
          <w:sz w:val="24"/>
        </w:rPr>
        <w:t>变更基金投资目标、范围或策略</w:t>
      </w:r>
      <w:r>
        <w:rPr>
          <w:sz w:val="24"/>
        </w:rPr>
        <w:t>（</w:t>
      </w:r>
      <w:r>
        <w:rPr>
          <w:spacing w:val="-10"/>
          <w:sz w:val="24"/>
        </w:rPr>
        <w:t>法律法规、中国证监会另有规定或《</w:t>
      </w:r>
      <w:r>
        <w:rPr>
          <w:spacing w:val="-4"/>
          <w:sz w:val="24"/>
        </w:rPr>
        <w:t>基金合同》另有约定的除外</w:t>
      </w:r>
      <w:r>
        <w:rPr>
          <w:spacing w:val="-120"/>
          <w:sz w:val="24"/>
        </w:rPr>
        <w:t>）</w:t>
      </w:r>
      <w:r>
        <w:rPr>
          <w:sz w:val="24"/>
        </w:rPr>
        <w:t>；</w:t>
      </w:r>
    </w:p>
    <w:p>
      <w:pPr>
        <w:pStyle w:val="ListParagraph"/>
        <w:numPr>
          <w:ilvl w:val="0"/>
          <w:numId w:val="31"/>
        </w:numPr>
        <w:tabs>
          <w:tab w:pos="962" w:val="left" w:leader="none"/>
        </w:tabs>
        <w:spacing w:line="240" w:lineRule="auto" w:before="1" w:after="0"/>
        <w:ind w:left="961" w:right="0" w:hanging="362"/>
        <w:jc w:val="left"/>
        <w:rPr>
          <w:sz w:val="24"/>
        </w:rPr>
      </w:pPr>
      <w:r>
        <w:rPr>
          <w:sz w:val="24"/>
        </w:rPr>
        <w:t>变更基金份额持有人大会程序；</w:t>
      </w:r>
    </w:p>
    <w:p>
      <w:pPr>
        <w:pStyle w:val="ListParagraph"/>
        <w:numPr>
          <w:ilvl w:val="0"/>
          <w:numId w:val="31"/>
        </w:numPr>
        <w:tabs>
          <w:tab w:pos="1082" w:val="left" w:leader="none"/>
        </w:tabs>
        <w:spacing w:line="240" w:lineRule="auto" w:before="161" w:after="0"/>
        <w:ind w:left="1081" w:right="0" w:hanging="482"/>
        <w:jc w:val="left"/>
        <w:rPr>
          <w:sz w:val="24"/>
        </w:rPr>
      </w:pPr>
      <w:r>
        <w:rPr>
          <w:sz w:val="24"/>
        </w:rPr>
        <w:t>基金管理人或基金托管人要求召开基金份额持有人大会；</w:t>
      </w:r>
    </w:p>
    <w:p>
      <w:pPr>
        <w:pStyle w:val="ListParagraph"/>
        <w:numPr>
          <w:ilvl w:val="0"/>
          <w:numId w:val="31"/>
        </w:numPr>
        <w:tabs>
          <w:tab w:pos="1072" w:val="left" w:leader="none"/>
        </w:tabs>
        <w:spacing w:line="364" w:lineRule="auto" w:before="161" w:after="0"/>
        <w:ind w:left="120" w:right="35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基金份额的基金份</w:t>
      </w:r>
      <w:r>
        <w:rPr>
          <w:spacing w:val="-8"/>
          <w:sz w:val="24"/>
        </w:rPr>
        <w:t>额持有人</w:t>
      </w:r>
      <w:r>
        <w:rPr>
          <w:sz w:val="24"/>
        </w:rPr>
        <w:t>（</w:t>
      </w:r>
      <w:r>
        <w:rPr>
          <w:spacing w:val="-2"/>
          <w:sz w:val="24"/>
        </w:rPr>
        <w:t>以基金管理人收到提议当日的基金份额计算，下同</w:t>
      </w:r>
      <w:r>
        <w:rPr>
          <w:spacing w:val="-32"/>
          <w:sz w:val="24"/>
        </w:rPr>
        <w:t>）</w:t>
      </w:r>
      <w:r>
        <w:rPr>
          <w:spacing w:val="-3"/>
          <w:sz w:val="24"/>
        </w:rPr>
        <w:t>就同一事项书面</w:t>
      </w:r>
      <w:r>
        <w:rPr>
          <w:sz w:val="24"/>
        </w:rPr>
        <w:t>要求召开基金份额持有人大会；</w:t>
      </w:r>
    </w:p>
    <w:p>
      <w:pPr>
        <w:pStyle w:val="ListParagraph"/>
        <w:numPr>
          <w:ilvl w:val="0"/>
          <w:numId w:val="31"/>
        </w:numPr>
        <w:tabs>
          <w:tab w:pos="1082" w:val="left" w:leader="none"/>
        </w:tabs>
        <w:spacing w:line="240" w:lineRule="auto" w:before="2" w:after="0"/>
        <w:ind w:left="1081" w:right="0" w:hanging="482"/>
        <w:jc w:val="left"/>
        <w:rPr>
          <w:sz w:val="24"/>
        </w:rPr>
      </w:pPr>
      <w:r>
        <w:rPr>
          <w:sz w:val="24"/>
        </w:rPr>
        <w:t>对基金当事人权利和义务产生重大影响的其他事项；</w:t>
      </w:r>
    </w:p>
    <w:p>
      <w:pPr>
        <w:spacing w:after="0" w:line="240" w:lineRule="auto"/>
        <w:jc w:val="left"/>
        <w:rPr>
          <w:sz w:val="24"/>
        </w:rPr>
        <w:sectPr>
          <w:pgSz w:w="11910" w:h="16840"/>
          <w:pgMar w:header="0" w:footer="995" w:top="1440" w:bottom="1180" w:left="1680" w:right="1440"/>
        </w:sectPr>
      </w:pPr>
    </w:p>
    <w:p>
      <w:pPr>
        <w:pStyle w:val="ListParagraph"/>
        <w:numPr>
          <w:ilvl w:val="0"/>
          <w:numId w:val="31"/>
        </w:numPr>
        <w:tabs>
          <w:tab w:pos="1082" w:val="left" w:leader="none"/>
        </w:tabs>
        <w:spacing w:line="364" w:lineRule="auto" w:before="60" w:after="0"/>
        <w:ind w:left="120" w:right="364" w:firstLine="479"/>
        <w:jc w:val="left"/>
        <w:rPr>
          <w:sz w:val="24"/>
        </w:rPr>
      </w:pPr>
      <w:r>
        <w:rPr>
          <w:spacing w:val="-13"/>
          <w:sz w:val="24"/>
        </w:rPr>
        <w:t>法律法规、《基金合同》或中国证监会规定的其他应当召开基金份额持</w:t>
      </w:r>
      <w:r>
        <w:rPr>
          <w:sz w:val="24"/>
        </w:rPr>
        <w:t>有人大会的事项。</w:t>
      </w:r>
    </w:p>
    <w:p>
      <w:pPr>
        <w:pStyle w:val="ListParagraph"/>
        <w:numPr>
          <w:ilvl w:val="0"/>
          <w:numId w:val="30"/>
        </w:numPr>
        <w:tabs>
          <w:tab w:pos="1202" w:val="left" w:leader="none"/>
        </w:tabs>
        <w:spacing w:line="364" w:lineRule="auto" w:before="2" w:after="0"/>
        <w:ind w:left="120" w:right="364" w:firstLine="479"/>
        <w:jc w:val="left"/>
        <w:rPr>
          <w:sz w:val="24"/>
        </w:rPr>
      </w:pPr>
      <w:r>
        <w:rPr>
          <w:spacing w:val="-1"/>
          <w:sz w:val="24"/>
        </w:rPr>
        <w:t>以下情况可由基金管理人和基金托管人协商后修改，不需召开基金份</w:t>
      </w:r>
      <w:r>
        <w:rPr>
          <w:sz w:val="24"/>
        </w:rPr>
        <w:t>额持有人大会：</w:t>
      </w:r>
    </w:p>
    <w:p>
      <w:pPr>
        <w:pStyle w:val="ListParagraph"/>
        <w:numPr>
          <w:ilvl w:val="0"/>
          <w:numId w:val="32"/>
        </w:numPr>
        <w:tabs>
          <w:tab w:pos="962" w:val="left" w:leader="none"/>
        </w:tabs>
        <w:spacing w:line="240" w:lineRule="auto" w:before="1" w:after="0"/>
        <w:ind w:left="961" w:right="0" w:hanging="362"/>
        <w:jc w:val="left"/>
        <w:rPr>
          <w:sz w:val="24"/>
        </w:rPr>
      </w:pPr>
      <w:r>
        <w:rPr>
          <w:sz w:val="24"/>
        </w:rPr>
        <w:t>调低基金管理费、基金托管费；</w:t>
      </w:r>
    </w:p>
    <w:p>
      <w:pPr>
        <w:pStyle w:val="ListParagraph"/>
        <w:numPr>
          <w:ilvl w:val="0"/>
          <w:numId w:val="32"/>
        </w:numPr>
        <w:tabs>
          <w:tab w:pos="962" w:val="left" w:leader="none"/>
        </w:tabs>
        <w:spacing w:line="240" w:lineRule="auto" w:before="161" w:after="0"/>
        <w:ind w:left="961" w:right="0" w:hanging="362"/>
        <w:jc w:val="left"/>
        <w:rPr>
          <w:sz w:val="24"/>
        </w:rPr>
      </w:pPr>
      <w:r>
        <w:rPr>
          <w:sz w:val="24"/>
        </w:rPr>
        <w:t>法律法规要求增加的基金费用的收取；</w:t>
      </w:r>
    </w:p>
    <w:p>
      <w:pPr>
        <w:pStyle w:val="ListParagraph"/>
        <w:numPr>
          <w:ilvl w:val="0"/>
          <w:numId w:val="32"/>
        </w:numPr>
        <w:tabs>
          <w:tab w:pos="962" w:val="left" w:leader="none"/>
        </w:tabs>
        <w:spacing w:line="364" w:lineRule="auto" w:before="160" w:after="0"/>
        <w:ind w:left="120" w:right="364" w:firstLine="479"/>
        <w:jc w:val="left"/>
        <w:rPr>
          <w:sz w:val="24"/>
        </w:rPr>
      </w:pPr>
      <w:r>
        <w:rPr>
          <w:spacing w:val="-1"/>
          <w:sz w:val="24"/>
        </w:rPr>
        <w:t>在法律法规和《基金合同》规定的范围内调整本基金的申购费率、调低</w:t>
      </w:r>
      <w:r>
        <w:rPr>
          <w:sz w:val="24"/>
        </w:rPr>
        <w:t>赎回费率及销售服务费率或变更收费方式；</w:t>
      </w:r>
    </w:p>
    <w:p>
      <w:pPr>
        <w:pStyle w:val="ListParagraph"/>
        <w:numPr>
          <w:ilvl w:val="0"/>
          <w:numId w:val="32"/>
        </w:numPr>
        <w:tabs>
          <w:tab w:pos="962" w:val="left" w:leader="none"/>
        </w:tabs>
        <w:spacing w:line="240" w:lineRule="auto" w:before="2" w:after="0"/>
        <w:ind w:left="961" w:right="0" w:hanging="362"/>
        <w:jc w:val="left"/>
        <w:rPr>
          <w:sz w:val="24"/>
        </w:rPr>
      </w:pPr>
      <w:r>
        <w:rPr>
          <w:sz w:val="24"/>
        </w:rPr>
        <w:t>因相应的法律法规发生变动而应当对《基金合同》进行修改；</w:t>
      </w:r>
    </w:p>
    <w:p>
      <w:pPr>
        <w:pStyle w:val="ListParagraph"/>
        <w:numPr>
          <w:ilvl w:val="0"/>
          <w:numId w:val="32"/>
        </w:numPr>
        <w:tabs>
          <w:tab w:pos="962" w:val="left" w:leader="none"/>
        </w:tabs>
        <w:spacing w:line="364" w:lineRule="auto" w:before="161" w:after="0"/>
        <w:ind w:left="120" w:right="364" w:firstLine="479"/>
        <w:jc w:val="left"/>
        <w:rPr>
          <w:sz w:val="24"/>
        </w:rPr>
      </w:pPr>
      <w:r>
        <w:rPr>
          <w:spacing w:val="-1"/>
          <w:sz w:val="24"/>
        </w:rPr>
        <w:t>对《基金合同》的修改对基金份额持有人利益无实质性不利影响或修改</w:t>
      </w:r>
      <w:r>
        <w:rPr>
          <w:sz w:val="24"/>
        </w:rPr>
        <w:t>不涉及《基金合同》当事人权利义务关系发生重大变化；</w:t>
      </w:r>
    </w:p>
    <w:p>
      <w:pPr>
        <w:pStyle w:val="ListParagraph"/>
        <w:numPr>
          <w:ilvl w:val="0"/>
          <w:numId w:val="32"/>
        </w:numPr>
        <w:tabs>
          <w:tab w:pos="962" w:val="left" w:leader="none"/>
        </w:tabs>
        <w:spacing w:line="364" w:lineRule="auto" w:before="1" w:after="0"/>
        <w:ind w:left="120" w:right="357" w:firstLine="479"/>
        <w:jc w:val="left"/>
        <w:rPr>
          <w:sz w:val="24"/>
        </w:rPr>
      </w:pPr>
      <w:r>
        <w:rPr>
          <w:spacing w:val="-15"/>
          <w:sz w:val="24"/>
        </w:rPr>
        <w:t>依据《基金合同》，在不改变本基金投资目标的前提下变更为中债新综</w:t>
      </w:r>
      <w:r>
        <w:rPr>
          <w:spacing w:val="-8"/>
          <w:sz w:val="24"/>
        </w:rPr>
        <w:t>合 </w:t>
      </w:r>
      <w:r>
        <w:rPr>
          <w:rFonts w:ascii="Times New Roman" w:eastAsia="Times New Roman"/>
          <w:sz w:val="24"/>
        </w:rPr>
        <w:t>ETF</w:t>
      </w:r>
      <w:r>
        <w:rPr>
          <w:rFonts w:ascii="Times New Roman" w:eastAsia="Times New Roman"/>
          <w:spacing w:val="-2"/>
          <w:sz w:val="24"/>
        </w:rPr>
        <w:t> </w:t>
      </w:r>
      <w:r>
        <w:rPr>
          <w:sz w:val="24"/>
        </w:rPr>
        <w:t>的联接基金；</w:t>
      </w:r>
    </w:p>
    <w:p>
      <w:pPr>
        <w:pStyle w:val="ListParagraph"/>
        <w:numPr>
          <w:ilvl w:val="0"/>
          <w:numId w:val="32"/>
        </w:numPr>
        <w:tabs>
          <w:tab w:pos="962" w:val="left" w:leader="none"/>
        </w:tabs>
        <w:spacing w:line="364" w:lineRule="auto" w:before="1" w:after="0"/>
        <w:ind w:left="120" w:right="356" w:firstLine="479"/>
        <w:jc w:val="left"/>
        <w:rPr>
          <w:sz w:val="24"/>
        </w:rPr>
      </w:pPr>
      <w:r>
        <w:rPr>
          <w:spacing w:val="-2"/>
          <w:sz w:val="24"/>
        </w:rPr>
        <w:t>《基金合同》生效三年后的年度对日，基金资产净值低于 </w:t>
      </w:r>
      <w:r>
        <w:rPr>
          <w:rFonts w:ascii="Times New Roman" w:eastAsia="Times New Roman"/>
          <w:sz w:val="24"/>
        </w:rPr>
        <w:t>2</w:t>
      </w:r>
      <w:r>
        <w:rPr>
          <w:rFonts w:ascii="Times New Roman" w:eastAsia="Times New Roman"/>
          <w:spacing w:val="12"/>
          <w:sz w:val="24"/>
        </w:rPr>
        <w:t> </w:t>
      </w:r>
      <w:r>
        <w:rPr>
          <w:spacing w:val="-24"/>
          <w:sz w:val="24"/>
        </w:rPr>
        <w:t>亿元，《基</w:t>
      </w:r>
      <w:r>
        <w:rPr>
          <w:spacing w:val="-4"/>
          <w:sz w:val="24"/>
        </w:rPr>
        <w:t>金合同》终止；</w:t>
      </w:r>
    </w:p>
    <w:p>
      <w:pPr>
        <w:pStyle w:val="ListParagraph"/>
        <w:numPr>
          <w:ilvl w:val="0"/>
          <w:numId w:val="32"/>
        </w:numPr>
        <w:tabs>
          <w:tab w:pos="962" w:val="left" w:leader="none"/>
        </w:tabs>
        <w:spacing w:line="364" w:lineRule="auto" w:before="1" w:after="0"/>
        <w:ind w:left="120" w:right="364" w:firstLine="479"/>
        <w:jc w:val="left"/>
        <w:rPr>
          <w:sz w:val="24"/>
        </w:rPr>
      </w:pPr>
      <w:r>
        <w:rPr>
          <w:spacing w:val="-1"/>
          <w:sz w:val="24"/>
        </w:rPr>
        <w:t>按照法律法规和《基金合同》规定需召开基金份额持有人大会的以外的</w:t>
      </w:r>
      <w:r>
        <w:rPr>
          <w:sz w:val="24"/>
        </w:rPr>
        <w:t>其他情形。</w:t>
      </w:r>
    </w:p>
    <w:p>
      <w:pPr>
        <w:pStyle w:val="BodyText"/>
        <w:spacing w:before="2"/>
        <w:ind w:left="600"/>
      </w:pPr>
      <w:r>
        <w:rPr>
          <w:rFonts w:ascii="Times New Roman" w:eastAsia="Times New Roman"/>
        </w:rPr>
        <w:t>2</w:t>
      </w:r>
      <w:r>
        <w:rPr/>
        <w:t>、会议召集人及召集方式</w:t>
      </w:r>
    </w:p>
    <w:p>
      <w:pPr>
        <w:pStyle w:val="ListParagraph"/>
        <w:numPr>
          <w:ilvl w:val="0"/>
          <w:numId w:val="33"/>
        </w:numPr>
        <w:tabs>
          <w:tab w:pos="1202" w:val="left" w:leader="none"/>
        </w:tabs>
        <w:spacing w:line="364" w:lineRule="auto" w:before="160" w:after="0"/>
        <w:ind w:left="120" w:right="364" w:firstLine="479"/>
        <w:jc w:val="left"/>
        <w:rPr>
          <w:sz w:val="24"/>
        </w:rPr>
      </w:pPr>
      <w:r>
        <w:rPr>
          <w:spacing w:val="-1"/>
          <w:sz w:val="24"/>
        </w:rPr>
        <w:t>除法律法规规定或《基金合同》另有约定外，基金份额持有人大会由</w:t>
      </w:r>
      <w:r>
        <w:rPr>
          <w:sz w:val="24"/>
        </w:rPr>
        <w:t>基金管理人召集；</w:t>
      </w:r>
    </w:p>
    <w:p>
      <w:pPr>
        <w:pStyle w:val="ListParagraph"/>
        <w:numPr>
          <w:ilvl w:val="0"/>
          <w:numId w:val="33"/>
        </w:numPr>
        <w:tabs>
          <w:tab w:pos="1202" w:val="left" w:leader="none"/>
        </w:tabs>
        <w:spacing w:line="240" w:lineRule="auto" w:before="1" w:after="0"/>
        <w:ind w:left="1201" w:right="0" w:hanging="602"/>
        <w:jc w:val="left"/>
        <w:rPr>
          <w:sz w:val="24"/>
        </w:rPr>
      </w:pPr>
      <w:r>
        <w:rPr>
          <w:sz w:val="24"/>
        </w:rPr>
        <w:t>基金管理人未按规定召集或不能召集时，由基金托管人召集；</w:t>
      </w:r>
    </w:p>
    <w:p>
      <w:pPr>
        <w:pStyle w:val="ListParagraph"/>
        <w:numPr>
          <w:ilvl w:val="0"/>
          <w:numId w:val="33"/>
        </w:numPr>
        <w:tabs>
          <w:tab w:pos="1202" w:val="left" w:leader="none"/>
        </w:tabs>
        <w:spacing w:line="364" w:lineRule="auto" w:before="161" w:after="0"/>
        <w:ind w:left="120" w:right="236" w:firstLine="479"/>
        <w:jc w:val="left"/>
        <w:rPr>
          <w:sz w:val="24"/>
        </w:rPr>
      </w:pPr>
      <w:r>
        <w:rPr>
          <w:sz w:val="24"/>
        </w:rPr>
        <w:t>基金托管人认为有必要召开基金份额持有人大会的，应当向基金管理</w:t>
      </w:r>
      <w:r>
        <w:rPr>
          <w:spacing w:val="-12"/>
          <w:sz w:val="24"/>
        </w:rPr>
        <w:t>人提出书面提议。基金管理人应当自收到书面提议之日起 </w:t>
      </w:r>
      <w:r>
        <w:rPr>
          <w:rFonts w:ascii="Times New Roman" w:eastAsia="Times New Roman"/>
          <w:sz w:val="24"/>
        </w:rPr>
        <w:t>10 </w:t>
      </w:r>
      <w:r>
        <w:rPr>
          <w:spacing w:val="-2"/>
          <w:sz w:val="24"/>
        </w:rPr>
        <w:t>日内决定是否召集， </w:t>
      </w:r>
      <w:r>
        <w:rPr>
          <w:sz w:val="24"/>
        </w:rPr>
        <w:t>并书面告知基金托管人。基金管理人决定召集的，应当自出具书面决定之日起</w:t>
      </w:r>
      <w:r>
        <w:rPr>
          <w:rFonts w:ascii="Times New Roman" w:eastAsia="Times New Roman"/>
          <w:sz w:val="24"/>
        </w:rPr>
        <w:t>60</w:t>
      </w:r>
      <w:r>
        <w:rPr>
          <w:rFonts w:ascii="Times New Roman" w:eastAsia="Times New Roman"/>
          <w:spacing w:val="7"/>
          <w:sz w:val="24"/>
        </w:rPr>
        <w:t> </w:t>
      </w:r>
      <w:r>
        <w:rPr>
          <w:sz w:val="24"/>
        </w:rPr>
        <w:t>日内召开；基金管理人决定不召集，基金托管人仍认为有必要召开的，应当由基金托管人自行召集。</w:t>
      </w:r>
    </w:p>
    <w:p>
      <w:pPr>
        <w:pStyle w:val="ListParagraph"/>
        <w:numPr>
          <w:ilvl w:val="0"/>
          <w:numId w:val="33"/>
        </w:numPr>
        <w:tabs>
          <w:tab w:pos="1202" w:val="left" w:leader="none"/>
        </w:tabs>
        <w:spacing w:line="364" w:lineRule="auto" w:before="4" w:after="0"/>
        <w:ind w:left="120" w:right="356" w:firstLine="479"/>
        <w:jc w:val="both"/>
        <w:rPr>
          <w:sz w:val="24"/>
        </w:rPr>
      </w:pPr>
      <w:r>
        <w:rPr>
          <w:spacing w:val="-9"/>
          <w:sz w:val="24"/>
        </w:rPr>
        <w:t>代表基金份额 </w:t>
      </w:r>
      <w:r>
        <w:rPr>
          <w:rFonts w:ascii="Times New Roman" w:eastAsia="Times New Roman"/>
          <w:sz w:val="24"/>
        </w:rPr>
        <w:t>10%</w:t>
      </w:r>
      <w:r>
        <w:rPr>
          <w:spacing w:val="-3"/>
          <w:sz w:val="24"/>
        </w:rPr>
        <w:t>以上</w:t>
      </w:r>
      <w:r>
        <w:rPr>
          <w:sz w:val="24"/>
        </w:rPr>
        <w:t>（</w:t>
      </w:r>
      <w:r>
        <w:rPr>
          <w:spacing w:val="-31"/>
          <w:sz w:val="24"/>
        </w:rPr>
        <w:t>含 </w:t>
      </w:r>
      <w:r>
        <w:rPr>
          <w:rFonts w:ascii="Times New Roman" w:eastAsia="Times New Roman"/>
          <w:sz w:val="24"/>
        </w:rPr>
        <w:t>10%</w:t>
      </w:r>
      <w:r>
        <w:rPr>
          <w:sz w:val="24"/>
        </w:rPr>
        <w:t>）</w:t>
      </w:r>
      <w:r>
        <w:rPr>
          <w:spacing w:val="-1"/>
          <w:sz w:val="24"/>
        </w:rPr>
        <w:t>的基金份额持有人就同一事项书面</w:t>
      </w:r>
      <w:r>
        <w:rPr>
          <w:spacing w:val="-7"/>
          <w:sz w:val="24"/>
        </w:rPr>
        <w:t>要求召开基金份额持有人大会，应当向基金管理人提出书面提议。基金管理人应</w:t>
      </w:r>
      <w:r>
        <w:rPr>
          <w:spacing w:val="-4"/>
          <w:sz w:val="24"/>
        </w:rPr>
        <w:t>当自收到书面提议之日起 </w:t>
      </w:r>
      <w:r>
        <w:rPr>
          <w:rFonts w:ascii="Times New Roman" w:eastAsia="Times New Roman"/>
          <w:sz w:val="24"/>
        </w:rPr>
        <w:t>10</w:t>
      </w:r>
      <w:r>
        <w:rPr>
          <w:rFonts w:ascii="Times New Roman" w:eastAsia="Times New Roman"/>
          <w:spacing w:val="13"/>
          <w:sz w:val="24"/>
        </w:rPr>
        <w:t> </w:t>
      </w:r>
      <w:r>
        <w:rPr>
          <w:spacing w:val="-1"/>
          <w:sz w:val="24"/>
        </w:rPr>
        <w:t>日内决定是否召集，并书面告知提出提议的基金份</w:t>
      </w:r>
    </w:p>
    <w:p>
      <w:pPr>
        <w:spacing w:after="0" w:line="364" w:lineRule="auto"/>
        <w:jc w:val="both"/>
        <w:rPr>
          <w:sz w:val="24"/>
        </w:rPr>
        <w:sectPr>
          <w:pgSz w:w="11910" w:h="16840"/>
          <w:pgMar w:header="0" w:footer="995" w:top="1440" w:bottom="1180" w:left="1680" w:right="1440"/>
        </w:sectPr>
      </w:pPr>
    </w:p>
    <w:p>
      <w:pPr>
        <w:pStyle w:val="BodyText"/>
        <w:spacing w:line="364" w:lineRule="auto" w:before="40"/>
        <w:ind w:right="356"/>
        <w:jc w:val="both"/>
      </w:pPr>
      <w:r>
        <w:rPr>
          <w:spacing w:val="-7"/>
        </w:rPr>
        <w:t>额持有人代表和基金托管人。基金管理人决定召集的，应当自出具书面决定之日</w:t>
      </w:r>
      <w:r>
        <w:rPr>
          <w:spacing w:val="-31"/>
        </w:rPr>
        <w:t>起 </w:t>
      </w:r>
      <w:r>
        <w:rPr>
          <w:rFonts w:ascii="Times New Roman" w:eastAsia="Times New Roman"/>
        </w:rPr>
        <w:t>60 </w:t>
      </w:r>
      <w:r>
        <w:rPr>
          <w:spacing w:val="-5"/>
        </w:rPr>
        <w:t>日内召开；基金管理人决定不召集，代表基金份额 </w:t>
      </w:r>
      <w:r>
        <w:rPr>
          <w:rFonts w:ascii="Times New Roman" w:eastAsia="Times New Roman"/>
        </w:rPr>
        <w:t>10%</w:t>
      </w:r>
      <w:r>
        <w:rPr>
          <w:spacing w:val="-2"/>
        </w:rPr>
        <w:t>以上</w:t>
      </w:r>
      <w:r>
        <w:rPr/>
        <w:t>（</w:t>
      </w:r>
      <w:r>
        <w:rPr>
          <w:spacing w:val="-31"/>
        </w:rPr>
        <w:t>含 </w:t>
      </w:r>
      <w:r>
        <w:rPr>
          <w:rFonts w:ascii="Times New Roman" w:eastAsia="Times New Roman"/>
        </w:rPr>
        <w:t>10%</w:t>
      </w:r>
      <w:r>
        <w:rPr/>
        <w:t>）</w:t>
      </w:r>
      <w:r>
        <w:rPr>
          <w:spacing w:val="-16"/>
        </w:rPr>
        <w:t>的</w:t>
      </w:r>
      <w:r>
        <w:rPr>
          <w:spacing w:val="-6"/>
        </w:rPr>
        <w:t>基金份额持有人仍认为有必要召开的，应当向基金托管人提出书面提议。基金托</w:t>
      </w:r>
      <w:r>
        <w:rPr>
          <w:spacing w:val="-4"/>
        </w:rPr>
        <w:t>管人应当自收到书面提议之日起 </w:t>
      </w:r>
      <w:r>
        <w:rPr>
          <w:rFonts w:ascii="Times New Roman" w:eastAsia="Times New Roman"/>
        </w:rPr>
        <w:t>10 </w:t>
      </w:r>
      <w:r>
        <w:rPr>
          <w:spacing w:val="-1"/>
        </w:rPr>
        <w:t>日内决定是否召集，并书面告知提出提议的</w:t>
      </w:r>
      <w:r>
        <w:rPr>
          <w:spacing w:val="-6"/>
        </w:rPr>
        <w:t>基金份额持有人代表和基金管理人；基金托管人决定召集的，应当自出具书面决</w:t>
      </w:r>
      <w:r>
        <w:rPr>
          <w:spacing w:val="-13"/>
        </w:rPr>
        <w:t>定之日起 </w:t>
      </w:r>
      <w:r>
        <w:rPr>
          <w:rFonts w:ascii="Times New Roman" w:eastAsia="Times New Roman"/>
        </w:rPr>
        <w:t>60 </w:t>
      </w:r>
      <w:r>
        <w:rPr/>
        <w:t>日内召开。</w:t>
      </w:r>
    </w:p>
    <w:p>
      <w:pPr>
        <w:pStyle w:val="ListParagraph"/>
        <w:numPr>
          <w:ilvl w:val="0"/>
          <w:numId w:val="33"/>
        </w:numPr>
        <w:tabs>
          <w:tab w:pos="1202" w:val="left" w:leader="none"/>
        </w:tabs>
        <w:spacing w:line="364" w:lineRule="auto" w:before="5" w:after="0"/>
        <w:ind w:left="120" w:right="356" w:firstLine="479"/>
        <w:jc w:val="both"/>
        <w:rPr>
          <w:sz w:val="24"/>
        </w:rPr>
      </w:pPr>
      <w:r>
        <w:rPr>
          <w:spacing w:val="-9"/>
          <w:sz w:val="24"/>
        </w:rPr>
        <w:t>代表基金份额 </w:t>
      </w:r>
      <w:r>
        <w:rPr>
          <w:rFonts w:ascii="Times New Roman" w:eastAsia="Times New Roman"/>
          <w:sz w:val="24"/>
        </w:rPr>
        <w:t>10%</w:t>
      </w:r>
      <w:r>
        <w:rPr>
          <w:spacing w:val="-3"/>
          <w:sz w:val="24"/>
        </w:rPr>
        <w:t>以上</w:t>
      </w:r>
      <w:r>
        <w:rPr>
          <w:sz w:val="24"/>
        </w:rPr>
        <w:t>（</w:t>
      </w:r>
      <w:r>
        <w:rPr>
          <w:spacing w:val="-31"/>
          <w:sz w:val="24"/>
        </w:rPr>
        <w:t>含 </w:t>
      </w:r>
      <w:r>
        <w:rPr>
          <w:rFonts w:ascii="Times New Roman" w:eastAsia="Times New Roman"/>
          <w:sz w:val="24"/>
        </w:rPr>
        <w:t>10%</w:t>
      </w:r>
      <w:r>
        <w:rPr>
          <w:sz w:val="24"/>
        </w:rPr>
        <w:t>）</w:t>
      </w:r>
      <w:r>
        <w:rPr>
          <w:spacing w:val="-1"/>
          <w:sz w:val="24"/>
        </w:rPr>
        <w:t>的基金份额持有人就同一事项要求</w:t>
      </w:r>
      <w:r>
        <w:rPr>
          <w:spacing w:val="-7"/>
          <w:sz w:val="24"/>
        </w:rPr>
        <w:t>召开基金份额持有人大会，而基金管理人、基金托管人都不召集的，单独或合计</w:t>
      </w:r>
      <w:r>
        <w:rPr>
          <w:spacing w:val="-2"/>
          <w:sz w:val="24"/>
        </w:rPr>
        <w:t>代表基金份额 </w:t>
      </w:r>
      <w:r>
        <w:rPr>
          <w:rFonts w:ascii="Times New Roman" w:eastAsia="Times New Roman"/>
          <w:sz w:val="24"/>
        </w:rPr>
        <w:t>10%</w:t>
      </w:r>
      <w:r>
        <w:rPr>
          <w:sz w:val="24"/>
        </w:rPr>
        <w:t>以上（</w:t>
      </w:r>
      <w:r>
        <w:rPr>
          <w:spacing w:val="-5"/>
          <w:sz w:val="24"/>
        </w:rPr>
        <w:t>含 </w:t>
      </w:r>
      <w:r>
        <w:rPr>
          <w:rFonts w:ascii="Times New Roman" w:eastAsia="Times New Roman"/>
          <w:sz w:val="24"/>
        </w:rPr>
        <w:t>10%</w:t>
      </w:r>
      <w:r>
        <w:rPr>
          <w:sz w:val="24"/>
        </w:rPr>
        <w:t>）</w:t>
      </w:r>
      <w:r>
        <w:rPr>
          <w:spacing w:val="-1"/>
          <w:sz w:val="24"/>
        </w:rPr>
        <w:t>的基金份额持有人有权自行召集，并至少提</w:t>
      </w:r>
      <w:r>
        <w:rPr>
          <w:spacing w:val="-24"/>
          <w:sz w:val="24"/>
        </w:rPr>
        <w:t>前 </w:t>
      </w:r>
      <w:r>
        <w:rPr>
          <w:rFonts w:ascii="Times New Roman" w:eastAsia="Times New Roman"/>
          <w:sz w:val="24"/>
        </w:rPr>
        <w:t>30</w:t>
      </w:r>
      <w:r>
        <w:rPr>
          <w:rFonts w:ascii="Times New Roman" w:eastAsia="Times New Roman"/>
          <w:spacing w:val="13"/>
          <w:sz w:val="24"/>
        </w:rPr>
        <w:t> </w:t>
      </w:r>
      <w:r>
        <w:rPr>
          <w:spacing w:val="-1"/>
          <w:sz w:val="24"/>
        </w:rPr>
        <w:t>日报中国证监会备案。基金份额持有人依法自行召集基金份额持有人大会</w:t>
      </w:r>
      <w:r>
        <w:rPr>
          <w:sz w:val="24"/>
        </w:rPr>
        <w:t>的，基金管理人、基金托管人应当配合，不得阻碍、干扰。</w:t>
      </w:r>
    </w:p>
    <w:p>
      <w:pPr>
        <w:pStyle w:val="ListParagraph"/>
        <w:numPr>
          <w:ilvl w:val="0"/>
          <w:numId w:val="33"/>
        </w:numPr>
        <w:tabs>
          <w:tab w:pos="1202" w:val="left" w:leader="none"/>
        </w:tabs>
        <w:spacing w:line="364" w:lineRule="auto" w:before="3" w:after="0"/>
        <w:ind w:left="120" w:right="364" w:firstLine="479"/>
        <w:jc w:val="left"/>
        <w:rPr>
          <w:sz w:val="24"/>
        </w:rPr>
      </w:pPr>
      <w:r>
        <w:rPr>
          <w:spacing w:val="-1"/>
          <w:sz w:val="24"/>
        </w:rPr>
        <w:t>基金份额持有人会议的召集人负责选择确定开会时间、地点、方式和</w:t>
      </w:r>
      <w:r>
        <w:rPr>
          <w:sz w:val="24"/>
        </w:rPr>
        <w:t>权益登记日。</w:t>
      </w:r>
    </w:p>
    <w:p>
      <w:pPr>
        <w:pStyle w:val="BodyText"/>
        <w:spacing w:before="1"/>
        <w:ind w:left="600"/>
      </w:pPr>
      <w:r>
        <w:rPr>
          <w:rFonts w:ascii="Times New Roman" w:eastAsia="Times New Roman"/>
        </w:rPr>
        <w:t>3</w:t>
      </w:r>
      <w:r>
        <w:rPr/>
        <w:t>、召开基金份额持有人大会的通知时间、通知内容、通知方式</w:t>
      </w:r>
    </w:p>
    <w:p>
      <w:pPr>
        <w:pStyle w:val="ListParagraph"/>
        <w:numPr>
          <w:ilvl w:val="0"/>
          <w:numId w:val="34"/>
        </w:numPr>
        <w:tabs>
          <w:tab w:pos="1202" w:val="left" w:leader="none"/>
        </w:tabs>
        <w:spacing w:line="364" w:lineRule="auto" w:before="161" w:after="0"/>
        <w:ind w:left="120" w:right="356" w:firstLine="479"/>
        <w:jc w:val="left"/>
        <w:rPr>
          <w:sz w:val="24"/>
        </w:rPr>
      </w:pPr>
      <w:r>
        <w:rPr>
          <w:spacing w:val="-6"/>
          <w:sz w:val="24"/>
        </w:rPr>
        <w:t>召开基金份额持有人大会，召集人应于会议召开前 </w:t>
      </w:r>
      <w:r>
        <w:rPr>
          <w:rFonts w:ascii="Times New Roman" w:eastAsia="Times New Roman"/>
          <w:sz w:val="24"/>
        </w:rPr>
        <w:t>30 </w:t>
      </w:r>
      <w:r>
        <w:rPr>
          <w:spacing w:val="-7"/>
          <w:sz w:val="24"/>
        </w:rPr>
        <w:t>日，在指定媒</w:t>
      </w:r>
      <w:r>
        <w:rPr>
          <w:spacing w:val="-4"/>
          <w:sz w:val="24"/>
        </w:rPr>
        <w:t>介公告。基金份额持有人大会通知应至少载明以下内容：</w:t>
      </w:r>
    </w:p>
    <w:p>
      <w:pPr>
        <w:pStyle w:val="ListParagraph"/>
        <w:numPr>
          <w:ilvl w:val="0"/>
          <w:numId w:val="35"/>
        </w:numPr>
        <w:tabs>
          <w:tab w:pos="962" w:val="left" w:leader="none"/>
        </w:tabs>
        <w:spacing w:line="240" w:lineRule="auto" w:before="1" w:after="0"/>
        <w:ind w:left="961" w:right="0" w:hanging="362"/>
        <w:jc w:val="left"/>
        <w:rPr>
          <w:sz w:val="24"/>
        </w:rPr>
      </w:pPr>
      <w:r>
        <w:rPr>
          <w:sz w:val="24"/>
        </w:rPr>
        <w:t>会议召开的时间、地点和会议形式；</w:t>
      </w:r>
    </w:p>
    <w:p>
      <w:pPr>
        <w:pStyle w:val="ListParagraph"/>
        <w:numPr>
          <w:ilvl w:val="0"/>
          <w:numId w:val="35"/>
        </w:numPr>
        <w:tabs>
          <w:tab w:pos="962" w:val="left" w:leader="none"/>
        </w:tabs>
        <w:spacing w:line="240" w:lineRule="auto" w:before="161" w:after="0"/>
        <w:ind w:left="961" w:right="0" w:hanging="362"/>
        <w:jc w:val="left"/>
        <w:rPr>
          <w:sz w:val="24"/>
        </w:rPr>
      </w:pPr>
      <w:r>
        <w:rPr>
          <w:sz w:val="24"/>
        </w:rPr>
        <w:t>会议拟审议的事项、议事程序和表决方式；</w:t>
      </w:r>
    </w:p>
    <w:p>
      <w:pPr>
        <w:pStyle w:val="ListParagraph"/>
        <w:numPr>
          <w:ilvl w:val="0"/>
          <w:numId w:val="35"/>
        </w:numPr>
        <w:tabs>
          <w:tab w:pos="962" w:val="left" w:leader="none"/>
        </w:tabs>
        <w:spacing w:line="240" w:lineRule="auto" w:before="160" w:after="0"/>
        <w:ind w:left="961" w:right="0" w:hanging="362"/>
        <w:jc w:val="left"/>
        <w:rPr>
          <w:sz w:val="24"/>
        </w:rPr>
      </w:pPr>
      <w:r>
        <w:rPr>
          <w:sz w:val="24"/>
        </w:rPr>
        <w:t>有权出席基金份额持有人大会的基金份额持有人的权益登记日；</w:t>
      </w:r>
    </w:p>
    <w:p>
      <w:pPr>
        <w:pStyle w:val="ListParagraph"/>
        <w:numPr>
          <w:ilvl w:val="0"/>
          <w:numId w:val="35"/>
        </w:numPr>
        <w:tabs>
          <w:tab w:pos="962" w:val="left" w:leader="none"/>
        </w:tabs>
        <w:spacing w:line="364" w:lineRule="auto" w:before="161" w:after="0"/>
        <w:ind w:left="120" w:right="356" w:firstLine="479"/>
        <w:jc w:val="both"/>
        <w:rPr>
          <w:sz w:val="24"/>
        </w:rPr>
      </w:pPr>
      <w:r>
        <w:rPr>
          <w:spacing w:val="-3"/>
          <w:sz w:val="24"/>
        </w:rPr>
        <w:t>授权委托方式</w:t>
      </w:r>
      <w:r>
        <w:rPr>
          <w:sz w:val="24"/>
        </w:rPr>
        <w:t>（</w:t>
      </w:r>
      <w:r>
        <w:rPr>
          <w:spacing w:val="-6"/>
          <w:sz w:val="24"/>
        </w:rPr>
        <w:t>可包括纸质、网络、电话、短信等方式</w:t>
      </w:r>
      <w:r>
        <w:rPr>
          <w:spacing w:val="-120"/>
          <w:sz w:val="24"/>
        </w:rPr>
        <w:t>）</w:t>
      </w:r>
      <w:r>
        <w:rPr>
          <w:spacing w:val="-6"/>
          <w:sz w:val="24"/>
        </w:rPr>
        <w:t>、授权委托证明</w:t>
      </w:r>
      <w:r>
        <w:rPr>
          <w:sz w:val="24"/>
        </w:rPr>
        <w:t>的内容要求（包括但不限于代理人身份，代理权限和代理有效期限等</w:t>
      </w:r>
      <w:r>
        <w:rPr>
          <w:spacing w:val="-120"/>
          <w:sz w:val="24"/>
        </w:rPr>
        <w:t>）</w:t>
      </w:r>
      <w:r>
        <w:rPr>
          <w:sz w:val="24"/>
        </w:rPr>
        <w:t>、送达时间和地点；</w:t>
      </w:r>
    </w:p>
    <w:p>
      <w:pPr>
        <w:pStyle w:val="ListParagraph"/>
        <w:numPr>
          <w:ilvl w:val="0"/>
          <w:numId w:val="35"/>
        </w:numPr>
        <w:tabs>
          <w:tab w:pos="962" w:val="left" w:leader="none"/>
        </w:tabs>
        <w:spacing w:line="240" w:lineRule="auto" w:before="2" w:after="0"/>
        <w:ind w:left="961" w:right="0" w:hanging="362"/>
        <w:jc w:val="left"/>
        <w:rPr>
          <w:sz w:val="24"/>
        </w:rPr>
      </w:pPr>
      <w:r>
        <w:rPr>
          <w:sz w:val="24"/>
        </w:rPr>
        <w:t>会务常设联系人姓名及联系电话；</w:t>
      </w:r>
    </w:p>
    <w:p>
      <w:pPr>
        <w:pStyle w:val="ListParagraph"/>
        <w:numPr>
          <w:ilvl w:val="0"/>
          <w:numId w:val="35"/>
        </w:numPr>
        <w:tabs>
          <w:tab w:pos="962" w:val="left" w:leader="none"/>
        </w:tabs>
        <w:spacing w:line="240" w:lineRule="auto" w:before="160" w:after="0"/>
        <w:ind w:left="961" w:right="0" w:hanging="362"/>
        <w:jc w:val="left"/>
        <w:rPr>
          <w:sz w:val="24"/>
        </w:rPr>
      </w:pPr>
      <w:r>
        <w:rPr>
          <w:sz w:val="24"/>
        </w:rPr>
        <w:t>出席会议者必须准备的文件和必须履行的手续；</w:t>
      </w:r>
    </w:p>
    <w:p>
      <w:pPr>
        <w:pStyle w:val="ListParagraph"/>
        <w:numPr>
          <w:ilvl w:val="0"/>
          <w:numId w:val="35"/>
        </w:numPr>
        <w:tabs>
          <w:tab w:pos="962" w:val="left" w:leader="none"/>
        </w:tabs>
        <w:spacing w:line="240" w:lineRule="auto" w:before="161" w:after="0"/>
        <w:ind w:left="961" w:right="0" w:hanging="362"/>
        <w:jc w:val="left"/>
        <w:rPr>
          <w:sz w:val="24"/>
        </w:rPr>
      </w:pPr>
      <w:r>
        <w:rPr>
          <w:sz w:val="24"/>
        </w:rPr>
        <w:t>召集人需要通知的其他事项。</w:t>
      </w:r>
    </w:p>
    <w:p>
      <w:pPr>
        <w:pStyle w:val="ListParagraph"/>
        <w:numPr>
          <w:ilvl w:val="0"/>
          <w:numId w:val="34"/>
        </w:numPr>
        <w:tabs>
          <w:tab w:pos="1202" w:val="left" w:leader="none"/>
        </w:tabs>
        <w:spacing w:line="364" w:lineRule="auto" w:before="161" w:after="0"/>
        <w:ind w:left="120" w:right="357" w:firstLine="479"/>
        <w:jc w:val="both"/>
        <w:rPr>
          <w:sz w:val="24"/>
        </w:rPr>
      </w:pPr>
      <w:r>
        <w:rPr>
          <w:sz w:val="24"/>
        </w:rPr>
        <w:t>采取通讯开会方式并进行表决的情况下，由会议召集人决定在会议通</w:t>
      </w:r>
      <w:r>
        <w:rPr>
          <w:spacing w:val="-5"/>
          <w:sz w:val="24"/>
        </w:rPr>
        <w:t>知中说明本次基金份额持有人大会所采取的具体通讯方式、委托的公证机关及其</w:t>
      </w:r>
      <w:r>
        <w:rPr>
          <w:sz w:val="24"/>
        </w:rPr>
        <w:t>联系方式和联系人、书面表决意见寄交的截止时间和收取方式。</w:t>
      </w:r>
    </w:p>
    <w:p>
      <w:pPr>
        <w:pStyle w:val="ListParagraph"/>
        <w:numPr>
          <w:ilvl w:val="0"/>
          <w:numId w:val="34"/>
        </w:numPr>
        <w:tabs>
          <w:tab w:pos="1202" w:val="left" w:leader="none"/>
        </w:tabs>
        <w:spacing w:line="240" w:lineRule="auto" w:before="2" w:after="0"/>
        <w:ind w:left="1201" w:right="0" w:hanging="602"/>
        <w:jc w:val="left"/>
        <w:rPr>
          <w:sz w:val="24"/>
        </w:rPr>
      </w:pPr>
      <w:r>
        <w:rPr>
          <w:sz w:val="24"/>
        </w:rPr>
        <w:t>如召集人为基金管理人，还应另行书面通知基金托管人到指定地点对</w:t>
      </w:r>
    </w:p>
    <w:p>
      <w:pPr>
        <w:spacing w:after="0" w:line="240" w:lineRule="auto"/>
        <w:jc w:val="left"/>
        <w:rPr>
          <w:sz w:val="24"/>
        </w:rPr>
        <w:sectPr>
          <w:pgSz w:w="11910" w:h="16840"/>
          <w:pgMar w:header="0" w:footer="995" w:top="1460" w:bottom="1180" w:left="1680" w:right="1440"/>
        </w:sectPr>
      </w:pPr>
    </w:p>
    <w:p>
      <w:pPr>
        <w:pStyle w:val="BodyText"/>
        <w:spacing w:line="364" w:lineRule="auto" w:before="40"/>
        <w:ind w:right="358"/>
        <w:jc w:val="both"/>
      </w:pPr>
      <w:r>
        <w:rPr>
          <w:spacing w:val="-7"/>
        </w:rPr>
        <w:t>表决意见的计票进行监督；如召集人为基金托管人，则应另行书面通知基金管理</w:t>
      </w:r>
      <w:r>
        <w:rPr>
          <w:spacing w:val="-6"/>
        </w:rPr>
        <w:t>人到指定地点对表决意见的计票进行监督；如召集人为基金份额持有人，则应另</w:t>
      </w:r>
      <w:r>
        <w:rPr>
          <w:spacing w:val="-4"/>
        </w:rPr>
        <w:t>行书面通知基金管理人和基金托管人到指定地点对表决意见的计票进行监督。基</w:t>
      </w:r>
      <w:r>
        <w:rPr>
          <w:spacing w:val="-5"/>
        </w:rPr>
        <w:t>金管理人或基金托管人拒不派代表对书面表决意见的计票进行监督的，不影响表</w:t>
      </w:r>
      <w:r>
        <w:rPr/>
        <w:t>决意见的计票效力。</w:t>
      </w:r>
    </w:p>
    <w:p>
      <w:pPr>
        <w:pStyle w:val="BodyText"/>
        <w:spacing w:before="4"/>
        <w:ind w:left="600"/>
      </w:pPr>
      <w:r>
        <w:rPr>
          <w:rFonts w:ascii="Times New Roman" w:eastAsia="Times New Roman"/>
        </w:rPr>
        <w:t>4</w:t>
      </w:r>
      <w:r>
        <w:rPr/>
        <w:t>、基金份额持有人出席会议的方式</w:t>
      </w:r>
    </w:p>
    <w:p>
      <w:pPr>
        <w:pStyle w:val="BodyText"/>
        <w:spacing w:line="364" w:lineRule="auto" w:before="160"/>
        <w:ind w:right="356" w:firstLine="479"/>
      </w:pPr>
      <w:r>
        <w:rPr>
          <w:spacing w:val="-5"/>
        </w:rPr>
        <w:t>基金份额持有人大会可通过现场开会方式或通讯开会等方式召开，会议的召</w:t>
      </w:r>
      <w:r>
        <w:rPr/>
        <w:t>开方式由会议召集人确定。</w:t>
      </w:r>
    </w:p>
    <w:p>
      <w:pPr>
        <w:pStyle w:val="ListParagraph"/>
        <w:numPr>
          <w:ilvl w:val="0"/>
          <w:numId w:val="36"/>
        </w:numPr>
        <w:tabs>
          <w:tab w:pos="1202" w:val="left" w:leader="none"/>
        </w:tabs>
        <w:spacing w:line="364" w:lineRule="auto" w:before="2" w:after="0"/>
        <w:ind w:left="120" w:right="357" w:firstLine="479"/>
        <w:jc w:val="both"/>
        <w:rPr>
          <w:sz w:val="24"/>
        </w:rPr>
      </w:pPr>
      <w:r>
        <w:rPr>
          <w:sz w:val="24"/>
        </w:rPr>
        <w:t>现场开会。由基金份额持有人本人出席或以代理投票授权委托证明委</w:t>
      </w:r>
      <w:r>
        <w:rPr>
          <w:spacing w:val="-11"/>
          <w:sz w:val="24"/>
        </w:rPr>
        <w:t>派代表出席，现场开会时基金管理人和基金托管人的授权代表应当列席基金份额</w:t>
      </w:r>
      <w:r>
        <w:rPr>
          <w:spacing w:val="-10"/>
          <w:sz w:val="24"/>
        </w:rPr>
        <w:t>持有人大会，基金管理人或托管人不派代表列席的，不影响表决效力。现场开会</w:t>
      </w:r>
      <w:r>
        <w:rPr>
          <w:sz w:val="24"/>
        </w:rPr>
        <w:t>同时符合以下条件时，可以进行基金份额持有人大会议程：</w:t>
      </w:r>
    </w:p>
    <w:p>
      <w:pPr>
        <w:pStyle w:val="ListParagraph"/>
        <w:numPr>
          <w:ilvl w:val="0"/>
          <w:numId w:val="37"/>
        </w:numPr>
        <w:tabs>
          <w:tab w:pos="962" w:val="left" w:leader="none"/>
        </w:tabs>
        <w:spacing w:line="364" w:lineRule="auto" w:before="3" w:after="0"/>
        <w:ind w:left="120" w:right="117" w:firstLine="479"/>
        <w:jc w:val="left"/>
        <w:rPr>
          <w:sz w:val="24"/>
        </w:rPr>
      </w:pPr>
      <w:r>
        <w:rPr>
          <w:sz w:val="24"/>
        </w:rPr>
        <w:t>亲自出席会议者持有基金份额的凭证、受托出席会议者出具的委托人持 有基金份额的凭证及委托人的代理投票授权委托证明符合法律法规</w:t>
      </w:r>
      <w:r>
        <w:rPr>
          <w:spacing w:val="-32"/>
          <w:sz w:val="24"/>
        </w:rPr>
        <w:t>、《基金合同》</w:t>
      </w:r>
      <w:r>
        <w:rPr>
          <w:spacing w:val="-20"/>
          <w:sz w:val="24"/>
        </w:rPr>
        <w:t>和会议通知的规定，并且持有基金份额的凭证与基金管理人持有的登记资料相符；</w:t>
      </w:r>
    </w:p>
    <w:p>
      <w:pPr>
        <w:pStyle w:val="ListParagraph"/>
        <w:numPr>
          <w:ilvl w:val="0"/>
          <w:numId w:val="37"/>
        </w:numPr>
        <w:tabs>
          <w:tab w:pos="962" w:val="left" w:leader="none"/>
        </w:tabs>
        <w:spacing w:line="364" w:lineRule="auto" w:before="1" w:after="0"/>
        <w:ind w:left="120" w:right="364" w:firstLine="479"/>
        <w:jc w:val="left"/>
        <w:rPr>
          <w:sz w:val="24"/>
        </w:rPr>
      </w:pPr>
      <w:r>
        <w:rPr>
          <w:spacing w:val="-1"/>
          <w:sz w:val="24"/>
        </w:rPr>
        <w:t>经核对，汇总到会者出示的在权益登记日持有基金份额的凭证显示，有</w:t>
      </w:r>
      <w:r>
        <w:rPr>
          <w:sz w:val="24"/>
        </w:rPr>
        <w:t>效的基金份额不少于本基金在权益登记日基金总份额的 </w:t>
      </w:r>
      <w:r>
        <w:rPr>
          <w:rFonts w:ascii="Times New Roman" w:eastAsia="Times New Roman"/>
          <w:sz w:val="24"/>
        </w:rPr>
        <w:t>50</w:t>
      </w:r>
      <w:r>
        <w:rPr>
          <w:rFonts w:ascii="Times New Roman" w:eastAsia="Times New Roman"/>
          <w:spacing w:val="-1"/>
          <w:sz w:val="24"/>
        </w:rPr>
        <w:t>%</w:t>
      </w:r>
      <w:r>
        <w:rPr>
          <w:sz w:val="24"/>
        </w:rPr>
        <w:t>（</w:t>
      </w:r>
      <w:r>
        <w:rPr>
          <w:spacing w:val="-30"/>
          <w:sz w:val="24"/>
        </w:rPr>
        <w:t>含 </w:t>
      </w:r>
      <w:r>
        <w:rPr>
          <w:rFonts w:ascii="Times New Roman" w:eastAsia="Times New Roman"/>
          <w:sz w:val="24"/>
        </w:rPr>
        <w:t>50</w:t>
      </w:r>
      <w:r>
        <w:rPr>
          <w:rFonts w:ascii="Times New Roman" w:eastAsia="Times New Roman"/>
          <w:spacing w:val="-1"/>
          <w:sz w:val="24"/>
        </w:rPr>
        <w:t>%</w:t>
      </w:r>
      <w:r>
        <w:rPr>
          <w:spacing w:val="-120"/>
          <w:sz w:val="24"/>
        </w:rPr>
        <w:t>）。</w:t>
      </w:r>
    </w:p>
    <w:p>
      <w:pPr>
        <w:pStyle w:val="ListParagraph"/>
        <w:numPr>
          <w:ilvl w:val="0"/>
          <w:numId w:val="36"/>
        </w:numPr>
        <w:tabs>
          <w:tab w:pos="1202" w:val="left" w:leader="none"/>
        </w:tabs>
        <w:spacing w:line="364" w:lineRule="auto" w:before="2" w:after="0"/>
        <w:ind w:left="120" w:right="357" w:firstLine="479"/>
        <w:jc w:val="both"/>
        <w:rPr>
          <w:sz w:val="24"/>
        </w:rPr>
      </w:pPr>
      <w:r>
        <w:rPr>
          <w:sz w:val="24"/>
        </w:rPr>
        <w:t>通讯开会。通讯开会系指基金份额持有人将其对表决事项的投票以书</w:t>
      </w:r>
      <w:r>
        <w:rPr>
          <w:spacing w:val="-6"/>
          <w:sz w:val="24"/>
        </w:rPr>
        <w:t>面形式在表决截至日以前送达至召集人指定的地址。通讯开会应以书面方式进行</w:t>
      </w:r>
      <w:r>
        <w:rPr>
          <w:sz w:val="24"/>
        </w:rPr>
        <w:t>表决。</w:t>
      </w:r>
    </w:p>
    <w:p>
      <w:pPr>
        <w:pStyle w:val="BodyText"/>
        <w:spacing w:before="2"/>
        <w:ind w:left="600"/>
      </w:pPr>
      <w:r>
        <w:rPr/>
        <w:t>在同时符合以下条件时，通讯开会的方式视为有效：</w:t>
      </w:r>
    </w:p>
    <w:p>
      <w:pPr>
        <w:pStyle w:val="ListParagraph"/>
        <w:numPr>
          <w:ilvl w:val="0"/>
          <w:numId w:val="38"/>
        </w:numPr>
        <w:tabs>
          <w:tab w:pos="962" w:val="left" w:leader="none"/>
        </w:tabs>
        <w:spacing w:line="364" w:lineRule="auto" w:before="160" w:after="0"/>
        <w:ind w:left="120" w:right="354" w:firstLine="479"/>
        <w:jc w:val="both"/>
        <w:rPr>
          <w:sz w:val="24"/>
        </w:rPr>
      </w:pPr>
      <w:r>
        <w:rPr>
          <w:spacing w:val="-4"/>
          <w:sz w:val="24"/>
        </w:rPr>
        <w:t>会议召集人按《基金合同》约定公布会议通知后，在 </w:t>
      </w:r>
      <w:r>
        <w:rPr>
          <w:rFonts w:ascii="Times New Roman" w:eastAsia="Times New Roman"/>
          <w:sz w:val="24"/>
        </w:rPr>
        <w:t>2</w:t>
      </w:r>
      <w:r>
        <w:rPr>
          <w:rFonts w:ascii="Times New Roman" w:eastAsia="Times New Roman"/>
          <w:spacing w:val="2"/>
          <w:sz w:val="24"/>
        </w:rPr>
        <w:t> </w:t>
      </w:r>
      <w:r>
        <w:rPr>
          <w:spacing w:val="-2"/>
          <w:sz w:val="24"/>
        </w:rPr>
        <w:t>个工作日内连续</w:t>
      </w:r>
      <w:r>
        <w:rPr>
          <w:sz w:val="24"/>
        </w:rPr>
        <w:t>公布相关提示性公告；</w:t>
      </w:r>
    </w:p>
    <w:p>
      <w:pPr>
        <w:pStyle w:val="ListParagraph"/>
        <w:numPr>
          <w:ilvl w:val="0"/>
          <w:numId w:val="38"/>
        </w:numPr>
        <w:tabs>
          <w:tab w:pos="962" w:val="left" w:leader="none"/>
        </w:tabs>
        <w:spacing w:line="364" w:lineRule="auto" w:before="1" w:after="0"/>
        <w:ind w:left="120" w:right="357" w:firstLine="479"/>
        <w:jc w:val="both"/>
        <w:rPr>
          <w:sz w:val="24"/>
        </w:rPr>
      </w:pPr>
      <w:r>
        <w:rPr>
          <w:sz w:val="24"/>
        </w:rPr>
        <w:t>召集人按基金合同约定通知基金托管人（如果基金托管人为召集人，则为基金管理人</w:t>
      </w:r>
      <w:r>
        <w:rPr>
          <w:spacing w:val="-48"/>
          <w:sz w:val="24"/>
        </w:rPr>
        <w:t>）</w:t>
      </w:r>
      <w:r>
        <w:rPr>
          <w:spacing w:val="-4"/>
          <w:sz w:val="24"/>
        </w:rPr>
        <w:t>到指定地点对书面表决意见的计票进行监督。会议召集人在基金</w:t>
      </w:r>
      <w:r>
        <w:rPr>
          <w:spacing w:val="-11"/>
          <w:sz w:val="24"/>
        </w:rPr>
        <w:t>托管人</w:t>
      </w:r>
      <w:r>
        <w:rPr>
          <w:sz w:val="24"/>
        </w:rPr>
        <w:t>（</w:t>
      </w:r>
      <w:r>
        <w:rPr>
          <w:spacing w:val="-3"/>
          <w:sz w:val="24"/>
        </w:rPr>
        <w:t>如果基金托管人为召集人，则为基金管理人</w:t>
      </w:r>
      <w:r>
        <w:rPr>
          <w:spacing w:val="-32"/>
          <w:sz w:val="24"/>
        </w:rPr>
        <w:t>）</w:t>
      </w:r>
      <w:r>
        <w:rPr>
          <w:spacing w:val="-2"/>
          <w:sz w:val="24"/>
        </w:rPr>
        <w:t>和公证机关的监督下按照</w:t>
      </w:r>
      <w:r>
        <w:rPr>
          <w:spacing w:val="-5"/>
          <w:sz w:val="24"/>
        </w:rPr>
        <w:t>会议通知规定的方式收取基金份额持有人的书面表决意见；基金托管人或基金管</w:t>
      </w:r>
      <w:r>
        <w:rPr>
          <w:sz w:val="24"/>
        </w:rPr>
        <w:t>理人经通知不参加收取书面表决意见的，不影响表决效力；</w:t>
      </w:r>
    </w:p>
    <w:p>
      <w:pPr>
        <w:pStyle w:val="ListParagraph"/>
        <w:numPr>
          <w:ilvl w:val="0"/>
          <w:numId w:val="38"/>
        </w:numPr>
        <w:tabs>
          <w:tab w:pos="1022" w:val="left" w:leader="none"/>
        </w:tabs>
        <w:spacing w:line="240" w:lineRule="auto" w:before="4" w:after="0"/>
        <w:ind w:left="1021" w:right="0" w:hanging="362"/>
        <w:jc w:val="left"/>
        <w:rPr>
          <w:sz w:val="24"/>
        </w:rPr>
      </w:pPr>
      <w:r>
        <w:rPr>
          <w:spacing w:val="-1"/>
          <w:sz w:val="24"/>
        </w:rPr>
        <w:t>本人直接出具书面意见或授权他人代表出具书面意见的，基金份额持有</w:t>
      </w:r>
    </w:p>
    <w:p>
      <w:pPr>
        <w:spacing w:after="0" w:line="240" w:lineRule="auto"/>
        <w:jc w:val="left"/>
        <w:rPr>
          <w:sz w:val="24"/>
        </w:rPr>
        <w:sectPr>
          <w:pgSz w:w="11910" w:h="16840"/>
          <w:pgMar w:header="0" w:footer="995" w:top="1460" w:bottom="1180" w:left="1680" w:right="1440"/>
        </w:sectPr>
      </w:pPr>
    </w:p>
    <w:p>
      <w:pPr>
        <w:pStyle w:val="BodyText"/>
        <w:spacing w:line="364" w:lineRule="auto" w:before="60"/>
        <w:ind w:left="600" w:right="364" w:hanging="480"/>
        <w:jc w:val="both"/>
      </w:pPr>
      <w:r>
        <w:rPr>
          <w:spacing w:val="-3"/>
        </w:rPr>
        <w:t>人所持有的基金份额不小于在权益登记日基金总份额的 </w:t>
      </w:r>
      <w:r>
        <w:rPr>
          <w:rFonts w:ascii="Times New Roman" w:eastAsia="Times New Roman"/>
        </w:rPr>
        <w:t>50</w:t>
      </w:r>
      <w:r>
        <w:rPr>
          <w:rFonts w:ascii="Times New Roman" w:eastAsia="Times New Roman"/>
          <w:spacing w:val="-1"/>
        </w:rPr>
        <w:t>%</w:t>
      </w:r>
      <w:r>
        <w:rPr/>
        <w:t>（</w:t>
      </w:r>
      <w:r>
        <w:rPr>
          <w:spacing w:val="-30"/>
        </w:rPr>
        <w:t>含 </w:t>
      </w:r>
      <w:r>
        <w:rPr>
          <w:rFonts w:ascii="Times New Roman" w:eastAsia="Times New Roman"/>
        </w:rPr>
        <w:t>50</w:t>
      </w:r>
      <w:r>
        <w:rPr>
          <w:rFonts w:ascii="Times New Roman" w:eastAsia="Times New Roman"/>
          <w:spacing w:val="2"/>
        </w:rPr>
        <w:t>%</w:t>
      </w:r>
      <w:r>
        <w:rPr>
          <w:spacing w:val="-120"/>
        </w:rPr>
        <w:t>）； </w:t>
      </w:r>
      <w:r>
        <w:rPr>
          <w:rFonts w:ascii="Times New Roman" w:eastAsia="Times New Roman"/>
        </w:rPr>
        <w:t>        4</w:t>
      </w:r>
      <w:r>
        <w:rPr/>
        <w:t>）</w:t>
      </w:r>
      <w:r>
        <w:rPr>
          <w:spacing w:val="4"/>
        </w:rPr>
        <w:t>上述第 </w:t>
      </w:r>
      <w:r>
        <w:rPr>
          <w:rFonts w:ascii="Times New Roman" w:eastAsia="Times New Roman"/>
        </w:rPr>
        <w:t>3</w:t>
      </w:r>
      <w:r>
        <w:rPr/>
        <w:t>）</w:t>
      </w:r>
      <w:r>
        <w:rPr>
          <w:spacing w:val="-1"/>
        </w:rPr>
        <w:t>项中直接出具书面意见的基金份额持有人或受托代表他人出</w:t>
      </w:r>
    </w:p>
    <w:p>
      <w:pPr>
        <w:pStyle w:val="BodyText"/>
        <w:spacing w:line="364" w:lineRule="auto" w:before="2"/>
        <w:ind w:right="355"/>
        <w:jc w:val="both"/>
      </w:pPr>
      <w:r>
        <w:rPr>
          <w:spacing w:val="-8"/>
        </w:rPr>
        <w:t>具书面意见的代理人，同时提交的持有基金份额的凭证、受托出具书面意见的代</w:t>
      </w:r>
      <w:r>
        <w:rPr/>
        <w:t>理人出具的委托人持有基金份额的凭证及委托人的代理投票授权委托证明符合</w:t>
      </w:r>
      <w:r>
        <w:rPr>
          <w:spacing w:val="-12"/>
        </w:rPr>
        <w:t>法律法规、《基金合同》和会议通知的规定，并与基金登记结算机构记录相符；</w:t>
      </w:r>
    </w:p>
    <w:p>
      <w:pPr>
        <w:pStyle w:val="BodyText"/>
        <w:spacing w:before="2"/>
        <w:ind w:left="600"/>
      </w:pPr>
      <w:r>
        <w:rPr>
          <w:rFonts w:ascii="Times New Roman" w:eastAsia="Times New Roman"/>
        </w:rPr>
        <w:t>5</w:t>
      </w:r>
      <w:r>
        <w:rPr/>
        <w:t>）会议通知公布前报中国证监会备案。</w:t>
      </w:r>
    </w:p>
    <w:p>
      <w:pPr>
        <w:pStyle w:val="ListParagraph"/>
        <w:numPr>
          <w:ilvl w:val="0"/>
          <w:numId w:val="36"/>
        </w:numPr>
        <w:tabs>
          <w:tab w:pos="1202" w:val="left" w:leader="none"/>
        </w:tabs>
        <w:spacing w:line="364" w:lineRule="auto" w:before="160" w:after="0"/>
        <w:ind w:left="120" w:right="359" w:firstLine="479"/>
        <w:jc w:val="both"/>
        <w:rPr>
          <w:sz w:val="24"/>
        </w:rPr>
      </w:pPr>
      <w:r>
        <w:rPr>
          <w:spacing w:val="-1"/>
          <w:sz w:val="24"/>
        </w:rPr>
        <w:t>在不与法律法规冲突的前提下，基金份额持有人大会可通过网络等方</w:t>
      </w:r>
      <w:r>
        <w:rPr>
          <w:spacing w:val="-12"/>
          <w:sz w:val="24"/>
        </w:rPr>
        <w:t>式召开，且除纸面授权外，基金份额持有人之间的授权亦可根据召集人在大会通</w:t>
      </w:r>
      <w:r>
        <w:rPr>
          <w:sz w:val="24"/>
        </w:rPr>
        <w:t>知中规定的方式，通过电话、网络等方式进行。</w:t>
      </w:r>
    </w:p>
    <w:p>
      <w:pPr>
        <w:pStyle w:val="BodyText"/>
        <w:spacing w:before="3"/>
        <w:ind w:left="600"/>
      </w:pPr>
      <w:r>
        <w:rPr>
          <w:rFonts w:ascii="Times New Roman" w:eastAsia="Times New Roman"/>
        </w:rPr>
        <w:t>5</w:t>
      </w:r>
      <w:r>
        <w:rPr/>
        <w:t>、议事内容与程序</w:t>
      </w:r>
    </w:p>
    <w:p>
      <w:pPr>
        <w:pStyle w:val="ListParagraph"/>
        <w:numPr>
          <w:ilvl w:val="0"/>
          <w:numId w:val="39"/>
        </w:numPr>
        <w:tabs>
          <w:tab w:pos="1202" w:val="left" w:leader="none"/>
        </w:tabs>
        <w:spacing w:line="240" w:lineRule="auto" w:before="160" w:after="0"/>
        <w:ind w:left="1201" w:right="0" w:hanging="602"/>
        <w:jc w:val="left"/>
        <w:rPr>
          <w:sz w:val="24"/>
        </w:rPr>
      </w:pPr>
      <w:r>
        <w:rPr>
          <w:sz w:val="24"/>
        </w:rPr>
        <w:t>议事内容及提案权</w:t>
      </w:r>
    </w:p>
    <w:p>
      <w:pPr>
        <w:pStyle w:val="BodyText"/>
        <w:spacing w:line="364" w:lineRule="auto"/>
        <w:ind w:right="35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357" w:firstLine="479"/>
        <w:jc w:val="both"/>
      </w:pPr>
      <w:r>
        <w:rPr>
          <w:spacing w:val="-5"/>
        </w:rPr>
        <w:t>基金份额持有人大会的召集人发出召集会议的通知后，对原有提案的修改应</w:t>
      </w:r>
      <w:r>
        <w:rPr>
          <w:spacing w:val="-4"/>
        </w:rPr>
        <w:t>当在基金份额持有人大会召开前 </w:t>
      </w:r>
      <w:r>
        <w:rPr>
          <w:rFonts w:ascii="Times New Roman" w:eastAsia="Times New Roman"/>
        </w:rPr>
        <w:t>30 </w:t>
      </w:r>
      <w:r>
        <w:rPr/>
        <w:t>日公告。</w:t>
      </w:r>
    </w:p>
    <w:p>
      <w:pPr>
        <w:pStyle w:val="BodyText"/>
        <w:spacing w:before="2"/>
        <w:ind w:left="600"/>
      </w:pPr>
      <w:r>
        <w:rPr/>
        <w:t>基金份额持有人大会不得对未事先公告的议事内容进行表决。</w:t>
      </w:r>
    </w:p>
    <w:p>
      <w:pPr>
        <w:pStyle w:val="ListParagraph"/>
        <w:numPr>
          <w:ilvl w:val="0"/>
          <w:numId w:val="39"/>
        </w:numPr>
        <w:tabs>
          <w:tab w:pos="1202" w:val="left" w:leader="none"/>
        </w:tabs>
        <w:spacing w:line="240" w:lineRule="auto" w:before="160" w:after="0"/>
        <w:ind w:left="1201" w:right="0" w:hanging="602"/>
        <w:jc w:val="left"/>
        <w:rPr>
          <w:sz w:val="24"/>
        </w:rPr>
      </w:pPr>
      <w:r>
        <w:rPr>
          <w:sz w:val="24"/>
        </w:rPr>
        <w:t>议事程序</w:t>
      </w:r>
    </w:p>
    <w:p>
      <w:pPr>
        <w:pStyle w:val="ListParagraph"/>
        <w:numPr>
          <w:ilvl w:val="0"/>
          <w:numId w:val="40"/>
        </w:numPr>
        <w:tabs>
          <w:tab w:pos="962" w:val="left" w:leader="none"/>
        </w:tabs>
        <w:spacing w:line="240" w:lineRule="auto" w:before="161" w:after="0"/>
        <w:ind w:left="961" w:right="0" w:hanging="362"/>
        <w:jc w:val="left"/>
        <w:rPr>
          <w:sz w:val="24"/>
        </w:rPr>
      </w:pPr>
      <w:r>
        <w:rPr>
          <w:sz w:val="24"/>
        </w:rPr>
        <w:t>现场开会</w:t>
      </w:r>
    </w:p>
    <w:p>
      <w:pPr>
        <w:pStyle w:val="BodyText"/>
        <w:spacing w:line="364" w:lineRule="auto" w:before="160"/>
        <w:ind w:right="244"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pStyle w:val="BodyText"/>
        <w:spacing w:before="6"/>
        <w:ind w:left="600"/>
      </w:pPr>
      <w:r>
        <w:rPr/>
        <w:t>会议召集人应当制作出席会议人员的签名册。签名册载明参加会议人员姓名</w:t>
      </w:r>
    </w:p>
    <w:p>
      <w:pPr>
        <w:spacing w:after="0"/>
        <w:sectPr>
          <w:pgSz w:w="11910" w:h="16840"/>
          <w:pgMar w:header="0" w:footer="995" w:top="1440" w:bottom="1180" w:left="1680" w:right="1440"/>
        </w:sectPr>
      </w:pPr>
    </w:p>
    <w:p>
      <w:pPr>
        <w:pStyle w:val="BodyText"/>
        <w:spacing w:line="364" w:lineRule="auto" w:before="40"/>
        <w:ind w:right="36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40"/>
        </w:numPr>
        <w:tabs>
          <w:tab w:pos="962" w:val="left" w:leader="none"/>
        </w:tabs>
        <w:spacing w:line="240" w:lineRule="auto" w:before="2" w:after="0"/>
        <w:ind w:left="961" w:right="0" w:hanging="362"/>
        <w:jc w:val="left"/>
        <w:rPr>
          <w:sz w:val="24"/>
        </w:rPr>
      </w:pPr>
      <w:r>
        <w:rPr>
          <w:sz w:val="24"/>
        </w:rPr>
        <w:t>通讯开会</w:t>
      </w:r>
    </w:p>
    <w:p>
      <w:pPr>
        <w:pStyle w:val="BodyText"/>
        <w:ind w:left="60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35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1"/>
        <w:ind w:left="600"/>
      </w:pPr>
      <w:r>
        <w:rPr>
          <w:rFonts w:ascii="Times New Roman" w:eastAsia="Times New Roman"/>
        </w:rPr>
        <w:t>6</w:t>
      </w:r>
      <w:r>
        <w:rPr/>
        <w:t>、表决</w:t>
      </w:r>
    </w:p>
    <w:p>
      <w:pPr>
        <w:pStyle w:val="BodyText"/>
        <w:spacing w:line="364" w:lineRule="auto"/>
        <w:ind w:left="600" w:right="2665"/>
      </w:pPr>
      <w:r>
        <w:rPr/>
        <w:t>基金份额持有人所持每份基金份额有同等表决权。 </w:t>
      </w:r>
      <w:r>
        <w:rPr>
          <w:spacing w:val="-1"/>
        </w:rPr>
        <w:t>基金份额持有人大会决议分为一般决议和特别决议：</w:t>
      </w:r>
    </w:p>
    <w:p>
      <w:pPr>
        <w:pStyle w:val="ListParagraph"/>
        <w:numPr>
          <w:ilvl w:val="0"/>
          <w:numId w:val="41"/>
        </w:numPr>
        <w:tabs>
          <w:tab w:pos="1202" w:val="left" w:leader="none"/>
        </w:tabs>
        <w:spacing w:line="364" w:lineRule="auto" w:before="2" w:after="0"/>
        <w:ind w:left="120" w:right="359" w:firstLine="479"/>
        <w:jc w:val="both"/>
        <w:rPr>
          <w:sz w:val="24"/>
        </w:rPr>
      </w:pPr>
      <w:r>
        <w:rPr>
          <w:spacing w:val="-1"/>
          <w:sz w:val="24"/>
        </w:rPr>
        <w:t>一般决议，一般决议须经参加大会的基金份额持有人或其代理人所持</w:t>
      </w:r>
      <w:r>
        <w:rPr>
          <w:spacing w:val="-7"/>
          <w:sz w:val="24"/>
        </w:rPr>
        <w:t>表决权的 </w:t>
      </w:r>
      <w:r>
        <w:rPr>
          <w:rFonts w:ascii="Times New Roman" w:eastAsia="Times New Roman"/>
          <w:sz w:val="24"/>
        </w:rPr>
        <w:t>50%</w:t>
      </w:r>
      <w:r>
        <w:rPr>
          <w:sz w:val="24"/>
        </w:rPr>
        <w:t>以上（</w:t>
      </w:r>
      <w:r>
        <w:rPr>
          <w:spacing w:val="-17"/>
          <w:sz w:val="24"/>
        </w:rPr>
        <w:t>含 </w:t>
      </w:r>
      <w:r>
        <w:rPr>
          <w:rFonts w:ascii="Times New Roman" w:eastAsia="Times New Roman"/>
          <w:sz w:val="24"/>
        </w:rPr>
        <w:t>50%</w:t>
      </w:r>
      <w:r>
        <w:rPr>
          <w:sz w:val="24"/>
        </w:rPr>
        <w:t>）</w:t>
      </w:r>
      <w:r>
        <w:rPr>
          <w:spacing w:val="-3"/>
          <w:sz w:val="24"/>
        </w:rPr>
        <w:t>通过方为有效；除下列第 </w:t>
      </w:r>
      <w:r>
        <w:rPr>
          <w:rFonts w:ascii="Times New Roman" w:eastAsia="Times New Roman"/>
          <w:sz w:val="24"/>
        </w:rPr>
        <w:t>2</w:t>
      </w:r>
      <w:r>
        <w:rPr>
          <w:rFonts w:ascii="Times New Roman" w:eastAsia="Times New Roman"/>
          <w:spacing w:val="26"/>
          <w:sz w:val="24"/>
        </w:rPr>
        <w:t> </w:t>
      </w:r>
      <w:r>
        <w:rPr>
          <w:spacing w:val="-2"/>
          <w:sz w:val="24"/>
        </w:rPr>
        <w:t>项所规定的须以特别</w:t>
      </w:r>
      <w:r>
        <w:rPr>
          <w:sz w:val="24"/>
        </w:rPr>
        <w:t>决议通过事项以外的其他事项均以一般决议的方式通过。</w:t>
      </w:r>
    </w:p>
    <w:p>
      <w:pPr>
        <w:pStyle w:val="ListParagraph"/>
        <w:numPr>
          <w:ilvl w:val="0"/>
          <w:numId w:val="41"/>
        </w:numPr>
        <w:tabs>
          <w:tab w:pos="1202" w:val="left" w:leader="none"/>
        </w:tabs>
        <w:spacing w:line="364" w:lineRule="auto" w:before="1" w:after="0"/>
        <w:ind w:left="120" w:right="359" w:firstLine="479"/>
        <w:jc w:val="both"/>
        <w:rPr>
          <w:sz w:val="24"/>
        </w:rPr>
      </w:pPr>
      <w:r>
        <w:rPr>
          <w:sz w:val="24"/>
        </w:rPr>
        <w:t>特别决议，特别决议应当经参加大会的基金份额持有人或其代理人所</w:t>
      </w:r>
      <w:r>
        <w:rPr>
          <w:spacing w:val="-3"/>
          <w:sz w:val="24"/>
        </w:rPr>
        <w:t>持表决权的三分之二以上</w:t>
      </w:r>
      <w:r>
        <w:rPr>
          <w:sz w:val="24"/>
        </w:rPr>
        <w:t>（含三分之二</w:t>
      </w:r>
      <w:r>
        <w:rPr>
          <w:spacing w:val="-24"/>
          <w:sz w:val="24"/>
        </w:rPr>
        <w:t>）</w:t>
      </w:r>
      <w:r>
        <w:rPr>
          <w:spacing w:val="-7"/>
          <w:sz w:val="24"/>
        </w:rPr>
        <w:t>通过方可做出。转换基金运作方式、更</w:t>
      </w:r>
      <w:r>
        <w:rPr>
          <w:sz w:val="24"/>
        </w:rPr>
        <w:t>换基金管理人或者基金托管人、终止《基金合同》以特别决议通过方为有效。</w:t>
      </w:r>
    </w:p>
    <w:p>
      <w:pPr>
        <w:pStyle w:val="BodyText"/>
        <w:spacing w:before="2"/>
        <w:ind w:left="600"/>
      </w:pPr>
      <w:r>
        <w:rPr/>
        <w:t>基金份额持有人大会采取记名方式进行投票表决。</w:t>
      </w:r>
    </w:p>
    <w:p>
      <w:pPr>
        <w:pStyle w:val="BodyText"/>
        <w:spacing w:line="364" w:lineRule="auto"/>
        <w:ind w:right="356" w:firstLine="479"/>
        <w:jc w:val="both"/>
      </w:pPr>
      <w:r>
        <w:rPr>
          <w:spacing w:val="-9"/>
        </w:rPr>
        <w:t>采取通讯方式进行表决时，除非在计票时监督员及公证机关均认为有充分的</w:t>
      </w:r>
      <w:r>
        <w:rPr>
          <w:spacing w:val="-11"/>
        </w:rPr>
        <w:t>相反证据证明，否则提交符合会议通知中规定的确认投资者身份文件的表决视为</w:t>
      </w:r>
      <w:r>
        <w:rPr>
          <w:spacing w:val="-9"/>
        </w:rPr>
        <w:t>有效出席的投资者，表面符合会议通知规定的书面表决意见视为有效表决，表决</w:t>
      </w:r>
      <w:r>
        <w:rPr>
          <w:spacing w:val="-6"/>
        </w:rPr>
        <w:t>意见模糊不清或相互矛盾的视为弃权表决，但应当计入出具书面意见的基金份额</w:t>
      </w:r>
      <w:r>
        <w:rPr>
          <w:spacing w:val="-7"/>
        </w:rPr>
        <w:t>持有人所代表的基金份额总数。在上述规则的前提下，具体规则以召集人发布的</w:t>
      </w:r>
      <w:r>
        <w:rPr/>
        <w:t>大会通知为准。</w:t>
      </w:r>
    </w:p>
    <w:p>
      <w:pPr>
        <w:pStyle w:val="BodyText"/>
        <w:spacing w:before="4"/>
        <w:ind w:left="600"/>
      </w:pPr>
      <w:r>
        <w:rPr>
          <w:rFonts w:ascii="Times New Roman" w:eastAsia="Times New Roman"/>
        </w:rPr>
        <w:t>7</w:t>
      </w:r>
      <w:r>
        <w:rPr/>
        <w:t>、计票</w:t>
      </w:r>
    </w:p>
    <w:p>
      <w:pPr>
        <w:pStyle w:val="ListParagraph"/>
        <w:numPr>
          <w:ilvl w:val="0"/>
          <w:numId w:val="42"/>
        </w:numPr>
        <w:tabs>
          <w:tab w:pos="1202" w:val="left" w:leader="none"/>
        </w:tabs>
        <w:spacing w:line="240" w:lineRule="auto" w:before="160" w:after="0"/>
        <w:ind w:left="1201" w:right="0" w:hanging="602"/>
        <w:jc w:val="left"/>
        <w:rPr>
          <w:sz w:val="24"/>
        </w:rPr>
      </w:pPr>
      <w:r>
        <w:rPr>
          <w:sz w:val="24"/>
        </w:rPr>
        <w:t>现场开会</w:t>
      </w:r>
    </w:p>
    <w:p>
      <w:pPr>
        <w:pStyle w:val="ListParagraph"/>
        <w:numPr>
          <w:ilvl w:val="0"/>
          <w:numId w:val="43"/>
        </w:numPr>
        <w:tabs>
          <w:tab w:pos="962" w:val="left" w:leader="none"/>
        </w:tabs>
        <w:spacing w:line="364" w:lineRule="auto" w:before="161" w:after="0"/>
        <w:ind w:left="120" w:right="355" w:firstLine="479"/>
        <w:jc w:val="both"/>
        <w:rPr>
          <w:sz w:val="24"/>
        </w:rPr>
      </w:pPr>
      <w:r>
        <w:rPr>
          <w:sz w:val="24"/>
        </w:rPr>
        <w:t>如大会由基金管理人或基金托管人召集，基金份额持有人大会的主持人应当在会议开始后宣布在出席会议的基金份额持有人和代理人中选举两名基金</w:t>
      </w:r>
      <w:r>
        <w:rPr>
          <w:spacing w:val="-5"/>
          <w:sz w:val="24"/>
        </w:rPr>
        <w:t>份额持有人代表与大会召集人授权的一名监督员共同担任监票人；如大会由基金份额持有人自行召集或大会虽然由基金管理人或基金托管人召集，但是基金管理</w:t>
      </w:r>
      <w:r>
        <w:rPr>
          <w:spacing w:val="-8"/>
          <w:sz w:val="24"/>
        </w:rPr>
        <w:t>人或基金托管人未出席大会的，基金份额持有人大会的主持人应当在会议开始后</w:t>
      </w:r>
    </w:p>
    <w:p>
      <w:pPr>
        <w:spacing w:after="0" w:line="364" w:lineRule="auto"/>
        <w:jc w:val="both"/>
        <w:rPr>
          <w:sz w:val="24"/>
        </w:rPr>
        <w:sectPr>
          <w:pgSz w:w="11910" w:h="16840"/>
          <w:pgMar w:header="0" w:footer="995" w:top="1460" w:bottom="1180" w:left="1680" w:right="1440"/>
        </w:sectPr>
      </w:pPr>
    </w:p>
    <w:p>
      <w:pPr>
        <w:pStyle w:val="BodyText"/>
        <w:spacing w:line="364" w:lineRule="auto" w:before="40"/>
        <w:ind w:right="244"/>
      </w:pPr>
      <w:r>
        <w:rPr/>
        <w:t>宣布在出席会议的基金份额持有人中选举三名基金份额持有人代表担任监票人。基金管理人或基金托管人不出席大会的，不影响计票的效力。</w:t>
      </w:r>
    </w:p>
    <w:p>
      <w:pPr>
        <w:pStyle w:val="ListParagraph"/>
        <w:numPr>
          <w:ilvl w:val="0"/>
          <w:numId w:val="43"/>
        </w:numPr>
        <w:tabs>
          <w:tab w:pos="962" w:val="left" w:leader="none"/>
        </w:tabs>
        <w:spacing w:line="364" w:lineRule="auto" w:before="2" w:after="0"/>
        <w:ind w:left="120" w:right="364" w:firstLine="479"/>
        <w:jc w:val="left"/>
        <w:rPr>
          <w:sz w:val="24"/>
        </w:rPr>
      </w:pPr>
      <w:r>
        <w:rPr>
          <w:spacing w:val="-1"/>
          <w:sz w:val="24"/>
        </w:rPr>
        <w:t>监票人应当在基金份额持有人表决后立即进行清点并由大会主持人当场</w:t>
      </w:r>
      <w:r>
        <w:rPr>
          <w:sz w:val="24"/>
        </w:rPr>
        <w:t>公布计票结果。</w:t>
      </w:r>
    </w:p>
    <w:p>
      <w:pPr>
        <w:pStyle w:val="ListParagraph"/>
        <w:numPr>
          <w:ilvl w:val="0"/>
          <w:numId w:val="43"/>
        </w:numPr>
        <w:tabs>
          <w:tab w:pos="962" w:val="left" w:leader="none"/>
        </w:tabs>
        <w:spacing w:line="364" w:lineRule="auto" w:before="1" w:after="0"/>
        <w:ind w:left="120" w:right="237" w:firstLine="479"/>
        <w:jc w:val="left"/>
        <w:rPr>
          <w:sz w:val="24"/>
        </w:rPr>
      </w:pPr>
      <w:r>
        <w:rPr>
          <w:sz w:val="24"/>
        </w:rPr>
        <w:t>如果会议主持人或基金份额持有人或代理人对于提交的表决结果有怀疑</w:t>
      </w:r>
      <w:r>
        <w:rPr>
          <w:spacing w:val="-8"/>
          <w:sz w:val="24"/>
        </w:rPr>
        <w:t>，可以在宣布表决结果后立即对所投票数要求进行重新清点。监票人应当进行重</w:t>
      </w:r>
      <w:r>
        <w:rPr>
          <w:spacing w:val="-12"/>
          <w:sz w:val="24"/>
        </w:rPr>
        <w:t>新清点，重新清点以一次为限。重新清点后，大会主持人应当当场公布重新清点结果。</w:t>
      </w:r>
    </w:p>
    <w:p>
      <w:pPr>
        <w:pStyle w:val="ListParagraph"/>
        <w:numPr>
          <w:ilvl w:val="0"/>
          <w:numId w:val="43"/>
        </w:numPr>
        <w:tabs>
          <w:tab w:pos="962" w:val="left" w:leader="none"/>
        </w:tabs>
        <w:spacing w:line="364" w:lineRule="auto" w:before="3" w:after="0"/>
        <w:ind w:left="120" w:right="358" w:firstLine="479"/>
        <w:jc w:val="left"/>
        <w:rPr>
          <w:sz w:val="24"/>
        </w:rPr>
      </w:pPr>
      <w:r>
        <w:rPr>
          <w:sz w:val="24"/>
        </w:rPr>
        <w:t>计票过程应由公证机关予以公证</w:t>
      </w:r>
      <w:r>
        <w:rPr>
          <w:rFonts w:ascii="Times New Roman" w:eastAsia="Times New Roman"/>
          <w:sz w:val="24"/>
        </w:rPr>
        <w:t>,</w:t>
      </w:r>
      <w:r>
        <w:rPr>
          <w:sz w:val="24"/>
        </w:rPr>
        <w:t>基金管理人或基金托管人拒不出席大</w:t>
      </w:r>
      <w:r>
        <w:rPr>
          <w:spacing w:val="-4"/>
          <w:sz w:val="24"/>
        </w:rPr>
        <w:t>会的，不影响计票的效力。</w:t>
      </w:r>
    </w:p>
    <w:p>
      <w:pPr>
        <w:pStyle w:val="ListParagraph"/>
        <w:numPr>
          <w:ilvl w:val="0"/>
          <w:numId w:val="42"/>
        </w:numPr>
        <w:tabs>
          <w:tab w:pos="1202" w:val="left" w:leader="none"/>
        </w:tabs>
        <w:spacing w:line="240" w:lineRule="auto" w:before="2" w:after="0"/>
        <w:ind w:left="1201" w:right="0" w:hanging="602"/>
        <w:jc w:val="left"/>
        <w:rPr>
          <w:sz w:val="24"/>
        </w:rPr>
      </w:pPr>
      <w:r>
        <w:rPr>
          <w:sz w:val="24"/>
        </w:rPr>
        <w:t>通讯开会</w:t>
      </w:r>
    </w:p>
    <w:p>
      <w:pPr>
        <w:pStyle w:val="BodyText"/>
        <w:spacing w:line="364" w:lineRule="auto" w:before="160"/>
        <w:ind w:right="35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pPr>
      <w:r>
        <w:rPr>
          <w:rFonts w:ascii="Times New Roman" w:eastAsia="Times New Roman"/>
        </w:rPr>
        <w:t>8</w:t>
      </w:r>
      <w:r>
        <w:rPr/>
        <w:t>、生效与公告</w:t>
      </w:r>
    </w:p>
    <w:p>
      <w:pPr>
        <w:pStyle w:val="BodyText"/>
        <w:spacing w:line="364" w:lineRule="auto"/>
        <w:ind w:right="356" w:firstLine="479"/>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line="364" w:lineRule="auto" w:before="1"/>
        <w:ind w:right="350" w:firstLine="479"/>
      </w:pPr>
      <w:r>
        <w:rPr/>
        <w:t>基金份额持有人大会的决议自中国证监会依法核准或者出具无异议意见之日起生效。</w:t>
      </w:r>
    </w:p>
    <w:p>
      <w:pPr>
        <w:pStyle w:val="BodyText"/>
        <w:spacing w:line="364" w:lineRule="auto" w:before="2"/>
        <w:ind w:right="35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1"/>
        <w:ind w:right="35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3"/>
        <w:ind w:left="600"/>
      </w:pPr>
      <w:r>
        <w:rPr/>
        <w:t>（五）基金收益分配原则、执行方式</w:t>
      </w:r>
    </w:p>
    <w:p>
      <w:pPr>
        <w:pStyle w:val="BodyText"/>
        <w:spacing w:before="160"/>
        <w:ind w:left="660"/>
      </w:pPr>
      <w:r>
        <w:rPr>
          <w:rFonts w:ascii="Times New Roman" w:eastAsia="Times New Roman"/>
        </w:rPr>
        <w:t>1</w:t>
      </w:r>
      <w:r>
        <w:rPr/>
        <w:t>、基金利润的构成</w:t>
      </w:r>
    </w:p>
    <w:p>
      <w:pPr>
        <w:pStyle w:val="BodyText"/>
        <w:ind w:left="660"/>
      </w:pPr>
      <w:r>
        <w:rPr/>
        <w:t>基金利润指基金利息收入、投资收益、公允价值变动收益和其他收入扣除</w:t>
      </w:r>
    </w:p>
    <w:p>
      <w:pPr>
        <w:spacing w:after="0"/>
        <w:sectPr>
          <w:pgSz w:w="11910" w:h="16840"/>
          <w:pgMar w:header="0" w:footer="995" w:top="1460" w:bottom="1180" w:left="1680" w:right="1440"/>
        </w:sectPr>
      </w:pPr>
    </w:p>
    <w:p>
      <w:pPr>
        <w:pStyle w:val="BodyText"/>
        <w:spacing w:before="40"/>
      </w:pPr>
      <w:r>
        <w:rPr/>
        <w:t>相关费用后的余额，基金已实现收益指基金利润减去公允价值变动收益后的余额。</w:t>
      </w:r>
    </w:p>
    <w:p>
      <w:pPr>
        <w:pStyle w:val="BodyText"/>
        <w:ind w:left="660"/>
      </w:pPr>
      <w:r>
        <w:rPr>
          <w:rFonts w:ascii="Times New Roman" w:eastAsia="Times New Roman"/>
        </w:rPr>
        <w:t>2</w:t>
      </w:r>
      <w:r>
        <w:rPr/>
        <w:t>、基金可供分配利润</w:t>
      </w:r>
    </w:p>
    <w:p>
      <w:pPr>
        <w:pStyle w:val="BodyText"/>
        <w:spacing w:line="364" w:lineRule="auto"/>
        <w:ind w:right="354" w:firstLine="539"/>
      </w:pPr>
      <w:r>
        <w:rPr/>
        <w:t>基金可供分配利润指截至收益分配基准日基金未分配利润与未分配利润中已实现收益的孰低数。</w:t>
      </w:r>
    </w:p>
    <w:p>
      <w:pPr>
        <w:pStyle w:val="BodyText"/>
        <w:spacing w:before="1"/>
        <w:ind w:left="660"/>
      </w:pPr>
      <w:r>
        <w:rPr>
          <w:rFonts w:ascii="Times New Roman" w:eastAsia="Times New Roman"/>
        </w:rPr>
        <w:t>3</w:t>
      </w:r>
      <w:r>
        <w:rPr/>
        <w:t>、基金收益分配原则</w:t>
      </w:r>
    </w:p>
    <w:p>
      <w:pPr>
        <w:pStyle w:val="ListParagraph"/>
        <w:numPr>
          <w:ilvl w:val="0"/>
          <w:numId w:val="44"/>
        </w:numPr>
        <w:tabs>
          <w:tab w:pos="1262" w:val="left" w:leader="none"/>
        </w:tabs>
        <w:spacing w:line="364" w:lineRule="auto" w:before="161" w:after="0"/>
        <w:ind w:left="120" w:right="357" w:firstLine="539"/>
        <w:jc w:val="left"/>
        <w:rPr>
          <w:sz w:val="24"/>
        </w:rPr>
      </w:pPr>
      <w:r>
        <w:rPr>
          <w:spacing w:val="-2"/>
          <w:sz w:val="24"/>
        </w:rPr>
        <w:t>本基金各基金份额类别在费用收取上不同，其对应的可分配收益将有</w:t>
      </w:r>
      <w:r>
        <w:rPr>
          <w:sz w:val="24"/>
        </w:rPr>
        <w:t>所不同。本基金同一类别的每一基金份额享有同等分配权；</w:t>
      </w:r>
    </w:p>
    <w:p>
      <w:pPr>
        <w:pStyle w:val="ListParagraph"/>
        <w:numPr>
          <w:ilvl w:val="0"/>
          <w:numId w:val="44"/>
        </w:numPr>
        <w:tabs>
          <w:tab w:pos="1262" w:val="left" w:leader="none"/>
        </w:tabs>
        <w:spacing w:line="364" w:lineRule="auto" w:before="1" w:after="0"/>
        <w:ind w:left="120" w:right="357" w:firstLine="539"/>
        <w:jc w:val="both"/>
        <w:rPr>
          <w:sz w:val="24"/>
        </w:rPr>
      </w:pPr>
      <w:r>
        <w:rPr>
          <w:spacing w:val="-3"/>
          <w:sz w:val="24"/>
        </w:rPr>
        <w:t>在符合有关基金分红条件的前提下，本基金每年收益分配次数最多为</w:t>
      </w:r>
      <w:r>
        <w:rPr>
          <w:rFonts w:ascii="Times New Roman" w:eastAsia="Times New Roman"/>
          <w:sz w:val="24"/>
        </w:rPr>
        <w:t>12</w:t>
      </w:r>
      <w:r>
        <w:rPr>
          <w:rFonts w:ascii="Times New Roman" w:eastAsia="Times New Roman"/>
          <w:spacing w:val="11"/>
          <w:sz w:val="24"/>
        </w:rPr>
        <w:t> </w:t>
      </w:r>
      <w:r>
        <w:rPr>
          <w:sz w:val="24"/>
        </w:rPr>
        <w:t>次，每份基金份额每次分配比例不得低于收益分配基准日每份基金份额可供</w:t>
      </w:r>
      <w:r>
        <w:rPr>
          <w:spacing w:val="-11"/>
          <w:sz w:val="24"/>
        </w:rPr>
        <w:t>分配利润的 </w:t>
      </w:r>
      <w:r>
        <w:rPr>
          <w:rFonts w:ascii="Times New Roman" w:eastAsia="Times New Roman"/>
          <w:sz w:val="24"/>
        </w:rPr>
        <w:t>90%</w:t>
      </w:r>
      <w:r>
        <w:rPr>
          <w:spacing w:val="-5"/>
          <w:sz w:val="24"/>
        </w:rPr>
        <w:t>，若《基金合同》生效不满 </w:t>
      </w:r>
      <w:r>
        <w:rPr>
          <w:rFonts w:ascii="Times New Roman" w:eastAsia="Times New Roman"/>
          <w:sz w:val="24"/>
        </w:rPr>
        <w:t>3 </w:t>
      </w:r>
      <w:r>
        <w:rPr>
          <w:sz w:val="24"/>
        </w:rPr>
        <w:t>个月可不进行收益分配；</w:t>
      </w:r>
    </w:p>
    <w:p>
      <w:pPr>
        <w:pStyle w:val="ListParagraph"/>
        <w:numPr>
          <w:ilvl w:val="0"/>
          <w:numId w:val="44"/>
        </w:numPr>
        <w:tabs>
          <w:tab w:pos="1262" w:val="left" w:leader="none"/>
        </w:tabs>
        <w:spacing w:line="364" w:lineRule="auto" w:before="2" w:after="0"/>
        <w:ind w:left="120" w:right="357" w:firstLine="539"/>
        <w:jc w:val="both"/>
        <w:rPr>
          <w:sz w:val="24"/>
        </w:rPr>
      </w:pPr>
      <w:r>
        <w:rPr>
          <w:spacing w:val="-3"/>
          <w:sz w:val="24"/>
        </w:rPr>
        <w:t>本基金收益分配方式分两种：现金分红与红利再投资。登记在注册登</w:t>
      </w:r>
      <w:r>
        <w:rPr>
          <w:spacing w:val="-5"/>
          <w:sz w:val="24"/>
        </w:rPr>
        <w:t>记系统基金份额持有人开放式基金账户下的基金份额，可选择现金红利或将现金</w:t>
      </w:r>
      <w:r>
        <w:rPr>
          <w:spacing w:val="-6"/>
          <w:sz w:val="24"/>
        </w:rPr>
        <w:t>红利自动转为基金份额进行再投资；若投资者不选择，本基金默认的收益分配方</w:t>
      </w:r>
      <w:r>
        <w:rPr>
          <w:spacing w:val="-11"/>
          <w:sz w:val="24"/>
        </w:rPr>
        <w:t>式是现金分红。登记在证券登记结算系统基金份额持有人深圳证券账户下的基金份额，只能选择现金分红的方式。具体权益分配程序等有关事项遵循深圳证券交</w:t>
      </w:r>
      <w:r>
        <w:rPr>
          <w:sz w:val="24"/>
        </w:rPr>
        <w:t>易所及中国证券登记结算有限责任公司的相关规定；</w:t>
      </w:r>
    </w:p>
    <w:p>
      <w:pPr>
        <w:pStyle w:val="ListParagraph"/>
        <w:numPr>
          <w:ilvl w:val="0"/>
          <w:numId w:val="44"/>
        </w:numPr>
        <w:tabs>
          <w:tab w:pos="1262" w:val="left" w:leader="none"/>
        </w:tabs>
        <w:spacing w:line="364" w:lineRule="auto" w:before="4" w:after="0"/>
        <w:ind w:left="120" w:right="356" w:firstLine="539"/>
        <w:jc w:val="left"/>
        <w:rPr>
          <w:sz w:val="24"/>
        </w:rPr>
      </w:pPr>
      <w:r>
        <w:rPr>
          <w:spacing w:val="-2"/>
          <w:sz w:val="24"/>
        </w:rPr>
        <w:t>基金收益分配后基金份额净值不能低于面值，即基金收益分配基准日</w:t>
      </w:r>
      <w:r>
        <w:rPr>
          <w:sz w:val="24"/>
        </w:rPr>
        <w:t>的基金份额净值减去每单位基金份额收益分配金额后不能低于面值；</w:t>
      </w:r>
    </w:p>
    <w:p>
      <w:pPr>
        <w:pStyle w:val="ListParagraph"/>
        <w:numPr>
          <w:ilvl w:val="0"/>
          <w:numId w:val="44"/>
        </w:numPr>
        <w:tabs>
          <w:tab w:pos="1262" w:val="left" w:leader="none"/>
        </w:tabs>
        <w:spacing w:line="240" w:lineRule="auto" w:before="1" w:after="0"/>
        <w:ind w:left="1261" w:right="0" w:hanging="602"/>
        <w:jc w:val="left"/>
        <w:rPr>
          <w:sz w:val="24"/>
        </w:rPr>
      </w:pPr>
      <w:r>
        <w:rPr>
          <w:sz w:val="24"/>
        </w:rPr>
        <w:t>法律法规或监管机关另有规定的，从其规定。</w:t>
      </w:r>
    </w:p>
    <w:p>
      <w:pPr>
        <w:pStyle w:val="BodyText"/>
        <w:ind w:left="660"/>
      </w:pPr>
      <w:r>
        <w:rPr>
          <w:rFonts w:ascii="Times New Roman" w:eastAsia="Times New Roman"/>
        </w:rPr>
        <w:t>4</w:t>
      </w:r>
      <w:r>
        <w:rPr/>
        <w:t>、收益分配方案</w:t>
      </w:r>
    </w:p>
    <w:p>
      <w:pPr>
        <w:pStyle w:val="BodyText"/>
        <w:spacing w:line="364" w:lineRule="auto" w:before="160"/>
        <w:ind w:right="354" w:firstLine="539"/>
      </w:pPr>
      <w:r>
        <w:rPr/>
        <w:t>基金收益分配方案中应载明截止收益分配基准日的可供分配利润、基金收益分配对象、分配时间、分配数额及比例、分配方式等内容。</w:t>
      </w:r>
    </w:p>
    <w:p>
      <w:pPr>
        <w:pStyle w:val="BodyText"/>
        <w:spacing w:before="2"/>
        <w:ind w:left="660"/>
      </w:pPr>
      <w:r>
        <w:rPr>
          <w:rFonts w:ascii="Times New Roman" w:eastAsia="Times New Roman"/>
        </w:rPr>
        <w:t>5</w:t>
      </w:r>
      <w:r>
        <w:rPr/>
        <w:t>、收益分配方案的确定、公告与实施</w:t>
      </w:r>
    </w:p>
    <w:p>
      <w:pPr>
        <w:pStyle w:val="BodyText"/>
        <w:spacing w:line="364" w:lineRule="auto" w:before="160"/>
        <w:ind w:right="356" w:firstLine="539"/>
      </w:pPr>
      <w:r>
        <w:rPr>
          <w:spacing w:val="-1"/>
        </w:rPr>
        <w:t>本基金收益分配方案由基金管理人拟定，并由基金托管人复核，在 </w:t>
      </w:r>
      <w:r>
        <w:rPr>
          <w:rFonts w:ascii="Times New Roman" w:eastAsia="Times New Roman"/>
        </w:rPr>
        <w:t>2 </w:t>
      </w:r>
      <w:r>
        <w:rPr>
          <w:spacing w:val="-8"/>
        </w:rPr>
        <w:t>日内</w:t>
      </w:r>
      <w:r>
        <w:rPr/>
        <w:t>在指定媒介公告。</w:t>
      </w:r>
    </w:p>
    <w:p>
      <w:pPr>
        <w:pStyle w:val="BodyText"/>
        <w:spacing w:line="364" w:lineRule="auto" w:before="2"/>
        <w:ind w:right="35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1"/>
        <w:ind w:left="660"/>
      </w:pPr>
      <w:r>
        <w:rPr>
          <w:rFonts w:ascii="Times New Roman" w:eastAsia="Times New Roman"/>
        </w:rPr>
        <w:t>6</w:t>
      </w:r>
      <w:r>
        <w:rPr/>
        <w:t>、基金收益分配中发生的费用</w:t>
      </w:r>
    </w:p>
    <w:p>
      <w:pPr>
        <w:pStyle w:val="BodyText"/>
        <w:ind w:left="600"/>
      </w:pPr>
      <w:r>
        <w:rPr/>
        <w:t>基金收益分配时所发生的银行转账或其他手续费用由投资者自行承担。当投</w:t>
      </w:r>
    </w:p>
    <w:p>
      <w:pPr>
        <w:spacing w:after="0"/>
        <w:sectPr>
          <w:pgSz w:w="11910" w:h="16840"/>
          <w:pgMar w:header="0" w:footer="995" w:top="1460" w:bottom="1180" w:left="1680" w:right="1440"/>
        </w:sectPr>
      </w:pPr>
    </w:p>
    <w:p>
      <w:pPr>
        <w:pStyle w:val="BodyText"/>
        <w:spacing w:line="364" w:lineRule="auto" w:before="40"/>
        <w:ind w:right="355"/>
        <w:jc w:val="both"/>
      </w:pPr>
      <w:r>
        <w:rPr>
          <w:spacing w:val="-7"/>
        </w:rPr>
        <w:t>资者的现金红利小于一定金额，不足于支付银行转账或其他手续费用时，基金登</w:t>
      </w:r>
      <w:r>
        <w:rPr>
          <w:spacing w:val="-5"/>
        </w:rPr>
        <w:t>记结算机构可将基金份额持有人的现金红利自动转为基金份额。红利再投资的计</w:t>
      </w:r>
      <w:r>
        <w:rPr/>
        <w:t>算方法等有关事项遵循深圳证券交易所及中国证券登记结算有限责任公司的相关规定。</w:t>
      </w:r>
    </w:p>
    <w:p>
      <w:pPr>
        <w:pStyle w:val="BodyText"/>
        <w:spacing w:before="3"/>
        <w:ind w:left="600"/>
      </w:pPr>
      <w:r>
        <w:rPr/>
        <w:t>（六）与基金财产管理、运用有关费用的提取、支付方式与比例</w:t>
      </w:r>
    </w:p>
    <w:p>
      <w:pPr>
        <w:pStyle w:val="BodyText"/>
        <w:ind w:left="600"/>
      </w:pPr>
      <w:r>
        <w:rPr>
          <w:rFonts w:ascii="Times New Roman" w:eastAsia="Times New Roman"/>
        </w:rPr>
        <w:t>1</w:t>
      </w:r>
      <w:r>
        <w:rPr/>
        <w:t>、基金费用的种类</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基金管理人的管理费；</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基金托管人的托管费；</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销售服务费；</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基金的指数许可使用费；</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《基金合同》生效后与基金相关的信息披露费用；</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《基金合同》生效后与基金相关的会计师费、律师费和诉讼费；</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基金份额持有人大会费用；</w:t>
      </w:r>
    </w:p>
    <w:p>
      <w:pPr>
        <w:pStyle w:val="ListParagraph"/>
        <w:numPr>
          <w:ilvl w:val="0"/>
          <w:numId w:val="45"/>
        </w:numPr>
        <w:tabs>
          <w:tab w:pos="1202" w:val="left" w:leader="none"/>
        </w:tabs>
        <w:spacing w:line="240" w:lineRule="auto" w:before="160" w:after="0"/>
        <w:ind w:left="1201" w:right="0" w:hanging="602"/>
        <w:jc w:val="left"/>
        <w:rPr>
          <w:sz w:val="24"/>
        </w:rPr>
      </w:pPr>
      <w:r>
        <w:rPr>
          <w:sz w:val="24"/>
        </w:rPr>
        <w:t>基金的证券交易费用；</w:t>
      </w:r>
    </w:p>
    <w:p>
      <w:pPr>
        <w:pStyle w:val="ListParagraph"/>
        <w:numPr>
          <w:ilvl w:val="0"/>
          <w:numId w:val="45"/>
        </w:numPr>
        <w:tabs>
          <w:tab w:pos="1202" w:val="left" w:leader="none"/>
        </w:tabs>
        <w:spacing w:line="240" w:lineRule="auto" w:before="161" w:after="0"/>
        <w:ind w:left="1201" w:right="0" w:hanging="602"/>
        <w:jc w:val="left"/>
        <w:rPr>
          <w:sz w:val="24"/>
        </w:rPr>
      </w:pPr>
      <w:r>
        <w:rPr>
          <w:sz w:val="24"/>
        </w:rPr>
        <w:t>基金的银行汇划费用；</w:t>
      </w:r>
    </w:p>
    <w:p>
      <w:pPr>
        <w:pStyle w:val="ListParagraph"/>
        <w:numPr>
          <w:ilvl w:val="0"/>
          <w:numId w:val="45"/>
        </w:numPr>
        <w:tabs>
          <w:tab w:pos="1322" w:val="left" w:leader="none"/>
        </w:tabs>
        <w:spacing w:line="240" w:lineRule="auto" w:before="160" w:after="0"/>
        <w:ind w:left="1321" w:right="0" w:hanging="722"/>
        <w:jc w:val="left"/>
        <w:rPr>
          <w:sz w:val="24"/>
        </w:rPr>
      </w:pPr>
      <w:r>
        <w:rPr>
          <w:sz w:val="24"/>
        </w:rPr>
        <w:t>证券账户开户费用、银行账户维护费用；</w:t>
      </w:r>
    </w:p>
    <w:p>
      <w:pPr>
        <w:pStyle w:val="ListParagraph"/>
        <w:numPr>
          <w:ilvl w:val="0"/>
          <w:numId w:val="45"/>
        </w:numPr>
        <w:tabs>
          <w:tab w:pos="1312" w:val="left" w:leader="none"/>
        </w:tabs>
        <w:spacing w:line="240" w:lineRule="auto" w:before="161" w:after="0"/>
        <w:ind w:left="1311" w:right="0" w:hanging="712"/>
        <w:jc w:val="left"/>
        <w:rPr>
          <w:sz w:val="24"/>
        </w:rPr>
      </w:pPr>
      <w:r>
        <w:rPr>
          <w:sz w:val="24"/>
        </w:rPr>
        <w:t>基金上市初费和上市月费；</w:t>
      </w:r>
    </w:p>
    <w:p>
      <w:pPr>
        <w:pStyle w:val="ListParagraph"/>
        <w:numPr>
          <w:ilvl w:val="0"/>
          <w:numId w:val="45"/>
        </w:numPr>
        <w:tabs>
          <w:tab w:pos="1322" w:val="left" w:leader="none"/>
        </w:tabs>
        <w:spacing w:line="364" w:lineRule="auto" w:before="161" w:after="0"/>
        <w:ind w:left="120" w:right="361" w:firstLine="479"/>
        <w:jc w:val="left"/>
        <w:rPr>
          <w:sz w:val="24"/>
        </w:rPr>
      </w:pPr>
      <w:r>
        <w:rPr>
          <w:spacing w:val="-7"/>
          <w:sz w:val="24"/>
        </w:rPr>
        <w:t>按照国家有关规定和《基金合同》约定，可以在基金财产中列支的</w:t>
      </w:r>
      <w:r>
        <w:rPr>
          <w:spacing w:val="-5"/>
          <w:sz w:val="24"/>
        </w:rPr>
        <w:t>其他费用。</w:t>
      </w:r>
    </w:p>
    <w:p>
      <w:pPr>
        <w:pStyle w:val="BodyText"/>
        <w:spacing w:before="1"/>
        <w:ind w:left="600"/>
      </w:pPr>
      <w:r>
        <w:rPr>
          <w:rFonts w:ascii="Times New Roman" w:eastAsia="Times New Roman"/>
        </w:rPr>
        <w:t>2</w:t>
      </w:r>
      <w:r>
        <w:rPr/>
        <w:t>、基金费用计提方法、计提标准和支付方式</w:t>
      </w:r>
    </w:p>
    <w:p>
      <w:pPr>
        <w:pStyle w:val="ListParagraph"/>
        <w:numPr>
          <w:ilvl w:val="0"/>
          <w:numId w:val="46"/>
        </w:numPr>
        <w:tabs>
          <w:tab w:pos="1202" w:val="left" w:leader="none"/>
        </w:tabs>
        <w:spacing w:line="240" w:lineRule="auto" w:before="160" w:after="0"/>
        <w:ind w:left="1201" w:right="0" w:hanging="602"/>
        <w:jc w:val="left"/>
        <w:rPr>
          <w:sz w:val="24"/>
        </w:rPr>
      </w:pPr>
      <w:r>
        <w:rPr>
          <w:sz w:val="24"/>
        </w:rPr>
        <w:t>基金管理人的管理费</w:t>
      </w:r>
    </w:p>
    <w:p>
      <w:pPr>
        <w:pStyle w:val="BodyText"/>
        <w:spacing w:line="364" w:lineRule="auto"/>
        <w:ind w:right="356" w:firstLine="479"/>
      </w:pPr>
      <w:r>
        <w:rPr>
          <w:spacing w:val="-4"/>
        </w:rPr>
        <w:t>本基金的管理费按前一日基金资产净值的 </w:t>
      </w:r>
      <w:r>
        <w:rPr>
          <w:rFonts w:ascii="Times New Roman" w:eastAsia="Times New Roman"/>
        </w:rPr>
        <w:t>0.30%</w:t>
      </w:r>
      <w:r>
        <w:rPr>
          <w:spacing w:val="-8"/>
        </w:rPr>
        <w:t>年费率计提。管理费的计算</w:t>
      </w:r>
      <w:r>
        <w:rPr/>
        <w:t>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E×0.30%÷</w:t>
      </w:r>
      <w:r>
        <w:rPr/>
        <w:t>当年天数</w:t>
      </w:r>
    </w:p>
    <w:p>
      <w:pPr>
        <w:pStyle w:val="BodyText"/>
        <w:ind w:left="600"/>
      </w:pPr>
      <w:r>
        <w:rPr>
          <w:rFonts w:ascii="Times New Roman" w:eastAsia="Times New Roman"/>
        </w:rPr>
        <w:t>H </w:t>
      </w:r>
      <w:r>
        <w:rPr/>
        <w:t>为每日应计提的基金管理费</w:t>
      </w:r>
    </w:p>
    <w:p>
      <w:pPr>
        <w:pStyle w:val="BodyText"/>
        <w:ind w:left="600"/>
        <w:jc w:val="both"/>
      </w:pPr>
      <w:r>
        <w:rPr>
          <w:rFonts w:ascii="Times New Roman" w:eastAsia="Times New Roman"/>
        </w:rPr>
        <w:t>E </w:t>
      </w:r>
      <w:r>
        <w:rPr/>
        <w:t>为前一日的基金资产净值</w:t>
      </w:r>
    </w:p>
    <w:p>
      <w:pPr>
        <w:pStyle w:val="BodyText"/>
        <w:spacing w:line="364" w:lineRule="auto" w:before="160"/>
        <w:ind w:right="351" w:firstLine="479"/>
        <w:jc w:val="both"/>
      </w:pPr>
      <w:r>
        <w:rPr>
          <w:spacing w:val="-8"/>
        </w:rPr>
        <w:t>基金管理费每日计算，逐日累计至每月月末，按月支付，由基金管理人向基</w:t>
      </w:r>
      <w:r>
        <w:rPr>
          <w:spacing w:val="-16"/>
        </w:rPr>
        <w:t>金托管人发送基金管理费划款指令，基金托管人复核后于次月前 </w:t>
      </w:r>
      <w:r>
        <w:rPr>
          <w:rFonts w:ascii="Times New Roman" w:eastAsia="Times New Roman"/>
        </w:rPr>
        <w:t>3 </w:t>
      </w:r>
      <w:r>
        <w:rPr>
          <w:spacing w:val="-2"/>
        </w:rPr>
        <w:t>个工作日内从</w:t>
      </w:r>
      <w:r>
        <w:rPr/>
        <w:t>基金财产中一次性支付给基金管理人。若遇法定节假日、公休假等</w:t>
      </w:r>
      <w:r>
        <w:rPr>
          <w:rFonts w:ascii="Times New Roman" w:eastAsia="Times New Roman"/>
          <w:spacing w:val="4"/>
        </w:rPr>
        <w:t>,</w:t>
      </w:r>
      <w:r>
        <w:rPr/>
        <w:t>支付日期顺</w:t>
      </w:r>
    </w:p>
    <w:p>
      <w:pPr>
        <w:spacing w:after="0" w:line="364" w:lineRule="auto"/>
        <w:jc w:val="both"/>
        <w:sectPr>
          <w:pgSz w:w="11910" w:h="16840"/>
          <w:pgMar w:header="0" w:footer="995" w:top="1460" w:bottom="1180" w:left="1680" w:right="1440"/>
        </w:sectPr>
      </w:pPr>
    </w:p>
    <w:p>
      <w:pPr>
        <w:pStyle w:val="BodyText"/>
        <w:spacing w:before="40"/>
      </w:pPr>
      <w:r>
        <w:rPr/>
        <w:t>延。</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基金托管人的托管费</w:t>
      </w:r>
    </w:p>
    <w:p>
      <w:pPr>
        <w:pStyle w:val="BodyText"/>
        <w:spacing w:line="364" w:lineRule="auto"/>
        <w:ind w:right="356" w:firstLine="479"/>
      </w:pPr>
      <w:r>
        <w:rPr>
          <w:spacing w:val="-4"/>
        </w:rPr>
        <w:t>本基金的托管费按前一日基金资产净值的 </w:t>
      </w:r>
      <w:r>
        <w:rPr>
          <w:rFonts w:ascii="Times New Roman" w:eastAsia="Times New Roman"/>
        </w:rPr>
        <w:t>0.10%</w:t>
      </w:r>
      <w:r>
        <w:rPr>
          <w:spacing w:val="-8"/>
        </w:rPr>
        <w:t>的年费率计提。托管费的计</w:t>
      </w:r>
      <w:r>
        <w:rPr/>
        <w:t>算方法如下：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E×0.10%÷</w:t>
      </w:r>
      <w:r>
        <w:rPr/>
        <w:t>当年天数</w:t>
      </w:r>
    </w:p>
    <w:p>
      <w:pPr>
        <w:pStyle w:val="BodyText"/>
        <w:ind w:left="600"/>
      </w:pPr>
      <w:r>
        <w:rPr>
          <w:rFonts w:ascii="Times New Roman" w:eastAsia="Times New Roman"/>
        </w:rPr>
        <w:t>H </w:t>
      </w:r>
      <w:r>
        <w:rPr/>
        <w:t>为每日应计提的基金托管费</w:t>
      </w:r>
    </w:p>
    <w:p>
      <w:pPr>
        <w:pStyle w:val="BodyText"/>
        <w:spacing w:before="160"/>
        <w:ind w:left="600"/>
        <w:jc w:val="both"/>
      </w:pPr>
      <w:r>
        <w:rPr>
          <w:rFonts w:ascii="Times New Roman" w:eastAsia="Times New Roman"/>
        </w:rPr>
        <w:t>E </w:t>
      </w:r>
      <w:r>
        <w:rPr/>
        <w:t>为前一日的基金资产净值</w:t>
      </w:r>
    </w:p>
    <w:p>
      <w:pPr>
        <w:pStyle w:val="BodyText"/>
        <w:spacing w:line="364" w:lineRule="auto"/>
        <w:ind w:right="356" w:firstLine="479"/>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基金财产中一次性支取。若遇法定节假日、公休日等，支付日期顺延。</w:t>
      </w:r>
    </w:p>
    <w:p>
      <w:pPr>
        <w:pStyle w:val="ListParagraph"/>
        <w:numPr>
          <w:ilvl w:val="0"/>
          <w:numId w:val="46"/>
        </w:numPr>
        <w:tabs>
          <w:tab w:pos="1202" w:val="left" w:leader="none"/>
        </w:tabs>
        <w:spacing w:line="240" w:lineRule="auto" w:before="2" w:after="0"/>
        <w:ind w:left="1201" w:right="0" w:hanging="602"/>
        <w:jc w:val="left"/>
        <w:rPr>
          <w:sz w:val="24"/>
        </w:rPr>
      </w:pPr>
      <w:r>
        <w:rPr>
          <w:sz w:val="24"/>
        </w:rPr>
        <w:t>销售服务费</w:t>
      </w:r>
    </w:p>
    <w:p>
      <w:pPr>
        <w:pStyle w:val="BodyText"/>
        <w:spacing w:line="364" w:lineRule="auto" w:before="160"/>
        <w:ind w:right="356" w:firstLine="479"/>
      </w:pPr>
      <w:r>
        <w:rPr/>
        <w:t>本基金 </w:t>
      </w:r>
      <w:r>
        <w:rPr>
          <w:rFonts w:ascii="Times New Roman" w:eastAsia="Times New Roman"/>
        </w:rPr>
        <w:t>A </w:t>
      </w:r>
      <w:r>
        <w:rPr/>
        <w:t>类基金份额不收取销售服务费，</w:t>
      </w:r>
      <w:r>
        <w:rPr>
          <w:rFonts w:ascii="Times New Roman" w:eastAsia="Times New Roman"/>
        </w:rPr>
        <w:t>C </w:t>
      </w:r>
      <w:r>
        <w:rPr/>
        <w:t>类基金份额的销售服务费年费率为 </w:t>
      </w:r>
      <w:r>
        <w:rPr>
          <w:rFonts w:ascii="Times New Roman" w:eastAsia="Times New Roman"/>
        </w:rPr>
        <w:t>0.35%</w:t>
      </w:r>
      <w:r>
        <w:rPr/>
        <w:t>。</w:t>
      </w:r>
    </w:p>
    <w:p>
      <w:pPr>
        <w:pStyle w:val="BodyText"/>
        <w:spacing w:line="364" w:lineRule="auto" w:before="2"/>
        <w:ind w:right="356" w:firstLine="479"/>
      </w:pPr>
      <w:r>
        <w:rPr>
          <w:spacing w:val="-5"/>
        </w:rPr>
        <w:t>本基金销售服务费按前一日 </w:t>
      </w:r>
      <w:r>
        <w:rPr>
          <w:rFonts w:ascii="Times New Roman" w:eastAsia="Times New Roman"/>
        </w:rPr>
        <w:t>C </w:t>
      </w:r>
      <w:r>
        <w:rPr>
          <w:spacing w:val="-7"/>
        </w:rPr>
        <w:t>类基金资产净值的 </w:t>
      </w:r>
      <w:r>
        <w:rPr>
          <w:rFonts w:ascii="Times New Roman" w:eastAsia="Times New Roman"/>
        </w:rPr>
        <w:t>0.35%</w:t>
      </w:r>
      <w:r>
        <w:rPr>
          <w:spacing w:val="-14"/>
        </w:rPr>
        <w:t>的年费率计提。销售</w:t>
      </w:r>
      <w:r>
        <w:rPr/>
        <w:t>服务费的计算方法如下：</w:t>
      </w:r>
    </w:p>
    <w:p>
      <w:pPr>
        <w:pStyle w:val="BodyText"/>
        <w:spacing w:before="1"/>
        <w:ind w:left="60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0.35%</w:t>
      </w:r>
      <w:r>
        <w:rPr/>
        <w:t>÷当年天数</w:t>
      </w:r>
    </w:p>
    <w:p>
      <w:pPr>
        <w:pStyle w:val="BodyText"/>
        <w:spacing w:before="160"/>
        <w:ind w:left="600"/>
        <w:jc w:val="both"/>
      </w:pPr>
      <w:r>
        <w:rPr>
          <w:rFonts w:ascii="Times New Roman" w:eastAsia="Times New Roman"/>
        </w:rPr>
        <w:t>H</w:t>
      </w:r>
      <w:r>
        <w:rPr>
          <w:rFonts w:ascii="Times New Roman" w:eastAsia="Times New Roman"/>
          <w:spacing w:val="59"/>
        </w:rPr>
        <w:t> </w:t>
      </w:r>
      <w:r>
        <w:rPr>
          <w:spacing w:val="-30"/>
        </w:rPr>
        <w:t>为 </w:t>
      </w:r>
      <w:r>
        <w:rPr>
          <w:rFonts w:ascii="Times New Roman" w:eastAsia="Times New Roman"/>
        </w:rPr>
        <w:t>C </w:t>
      </w:r>
      <w:r>
        <w:rPr/>
        <w:t>类基金份额每日应计提的销售服务费</w:t>
      </w:r>
    </w:p>
    <w:p>
      <w:pPr>
        <w:pStyle w:val="BodyText"/>
        <w:ind w:left="600"/>
      </w:pPr>
      <w:r>
        <w:rPr>
          <w:rFonts w:ascii="Times New Roman" w:eastAsia="Times New Roman"/>
        </w:rPr>
        <w:t>E</w:t>
      </w:r>
      <w:r>
        <w:rPr>
          <w:rFonts w:ascii="Times New Roman" w:eastAsia="Times New Roman"/>
          <w:spacing w:val="59"/>
        </w:rPr>
        <w:t> </w:t>
      </w:r>
      <w:r>
        <w:rPr>
          <w:spacing w:val="-30"/>
        </w:rPr>
        <w:t>为 </w:t>
      </w:r>
      <w:r>
        <w:rPr>
          <w:rFonts w:ascii="Times New Roman" w:eastAsia="Times New Roman"/>
        </w:rPr>
        <w:t>C </w:t>
      </w:r>
      <w:r>
        <w:rPr/>
        <w:t>类基金份额前一日的基金资产净值</w:t>
      </w:r>
    </w:p>
    <w:p>
      <w:pPr>
        <w:pStyle w:val="BodyText"/>
        <w:spacing w:line="364" w:lineRule="auto"/>
        <w:ind w:right="239" w:firstLine="479"/>
      </w:pPr>
      <w:r>
        <w:rPr>
          <w:spacing w:val="-8"/>
        </w:rPr>
        <w:t>销售服务费每日计算，逐日累计至每月月末，按月支付，由基金管理人向基</w:t>
      </w:r>
      <w:r>
        <w:rPr>
          <w:spacing w:val="-16"/>
        </w:rPr>
        <w:t>金托管人发送销售服务费划款指令，基金托管人复核后于次月前 </w:t>
      </w:r>
      <w:r>
        <w:rPr>
          <w:rFonts w:ascii="Times New Roman" w:eastAsia="Times New Roman"/>
        </w:rPr>
        <w:t>3 </w:t>
      </w:r>
      <w:r>
        <w:rPr/>
        <w:t>个工作日内从</w:t>
      </w:r>
      <w:r>
        <w:rPr>
          <w:spacing w:val="-15"/>
        </w:rPr>
        <w:t>基金财产一次性支取，经基金管理人代付给各个基金销售机构。若遇法定节假日、</w:t>
      </w:r>
      <w:r>
        <w:rPr/>
        <w:t>公休假等，支付日期顺延。</w:t>
      </w:r>
    </w:p>
    <w:p>
      <w:pPr>
        <w:pStyle w:val="BodyText"/>
        <w:spacing w:line="364" w:lineRule="auto" w:before="2"/>
        <w:ind w:right="117" w:firstLine="479"/>
      </w:pPr>
      <w:r>
        <w:rPr>
          <w:spacing w:val="-7"/>
        </w:rPr>
        <w:t>销售服务费主要用于支付销售机构佣金、以及基金管理人的基金行销广告费、</w:t>
      </w:r>
      <w:r>
        <w:rPr/>
        <w:t>促销活动费、持有人服务费等。</w:t>
      </w:r>
    </w:p>
    <w:p>
      <w:pPr>
        <w:pStyle w:val="BodyText"/>
        <w:spacing w:before="1"/>
        <w:ind w:left="600"/>
      </w:pPr>
      <w:r>
        <w:rPr/>
        <w:t>基金募集期间的上述费用不从销售服务费中列支。</w:t>
      </w:r>
    </w:p>
    <w:p>
      <w:pPr>
        <w:pStyle w:val="ListParagraph"/>
        <w:numPr>
          <w:ilvl w:val="0"/>
          <w:numId w:val="46"/>
        </w:numPr>
        <w:tabs>
          <w:tab w:pos="1202" w:val="left" w:leader="none"/>
        </w:tabs>
        <w:spacing w:line="240" w:lineRule="auto" w:before="161" w:after="0"/>
        <w:ind w:left="1201" w:right="0" w:hanging="602"/>
        <w:jc w:val="left"/>
        <w:rPr>
          <w:sz w:val="24"/>
        </w:rPr>
      </w:pPr>
      <w:r>
        <w:rPr>
          <w:sz w:val="24"/>
        </w:rPr>
        <w:t>指数许可使用费</w:t>
      </w:r>
    </w:p>
    <w:p>
      <w:pPr>
        <w:pStyle w:val="BodyText"/>
        <w:spacing w:line="364" w:lineRule="auto"/>
        <w:ind w:right="356" w:firstLine="479"/>
        <w:jc w:val="both"/>
      </w:pPr>
      <w:r>
        <w:rPr>
          <w:spacing w:val="-11"/>
        </w:rPr>
        <w:t>本基金作为指数基金，需根据与中央国债登记结算有限责任公司签署的指数</w:t>
      </w:r>
      <w:r>
        <w:rPr>
          <w:spacing w:val="-4"/>
        </w:rPr>
        <w:t>使用许可协议的约定向中央国债登记结算有限责任公司支付指数许可使用费。费</w:t>
      </w:r>
      <w:r>
        <w:rPr/>
        <w:t>用的计算方法及支付方式详见相关公告，并在更新的招募说明书中列示。</w:t>
      </w:r>
    </w:p>
    <w:p>
      <w:pPr>
        <w:spacing w:after="0" w:line="364" w:lineRule="auto"/>
        <w:jc w:val="both"/>
        <w:sectPr>
          <w:pgSz w:w="11910" w:h="16840"/>
          <w:pgMar w:header="0" w:footer="995" w:top="1460" w:bottom="1180" w:left="1680" w:right="1440"/>
        </w:sectPr>
      </w:pPr>
    </w:p>
    <w:p>
      <w:pPr>
        <w:pStyle w:val="BodyText"/>
        <w:spacing w:line="364" w:lineRule="auto" w:before="40"/>
        <w:ind w:right="348" w:firstLine="479"/>
        <w:jc w:val="both"/>
      </w:pPr>
      <w:r>
        <w:rPr>
          <w:spacing w:val="4"/>
        </w:rPr>
        <w:t>若中央国债登记结算有限责任公司与基金管理人对指数许可使用费的费率</w:t>
      </w:r>
      <w:r>
        <w:rPr>
          <w:spacing w:val="-6"/>
        </w:rPr>
        <w:t>及支付方式另有约定的，从其最新约定。此项变更无需召开持有人大会审议，但基金管理人应及时在指定媒介予以公告。</w:t>
      </w:r>
    </w:p>
    <w:p>
      <w:pPr>
        <w:pStyle w:val="BodyText"/>
        <w:spacing w:line="364" w:lineRule="auto" w:before="3"/>
        <w:ind w:right="239" w:firstLine="479"/>
      </w:pPr>
      <w:r>
        <w:rPr/>
        <w:t>上述</w:t>
      </w:r>
      <w:r>
        <w:rPr>
          <w:rFonts w:ascii="Times New Roman" w:hAnsi="Times New Roman" w:eastAsia="Times New Roman"/>
        </w:rPr>
        <w:t>“1</w:t>
      </w:r>
      <w:r>
        <w:rPr>
          <w:spacing w:val="-4"/>
        </w:rPr>
        <w:t>、基金费用的种类中第</w:t>
      </w:r>
      <w:r>
        <w:rPr>
          <w:spacing w:val="-5"/>
        </w:rPr>
        <w:t>（</w:t>
      </w:r>
      <w:r>
        <w:rPr>
          <w:rFonts w:ascii="Times New Roman" w:hAnsi="Times New Roman" w:eastAsia="Times New Roman"/>
          <w:spacing w:val="-5"/>
        </w:rPr>
        <w:t>5</w:t>
      </w:r>
      <w:r>
        <w:rPr>
          <w:spacing w:val="-5"/>
        </w:rPr>
        <w:t>）－（</w:t>
      </w:r>
      <w:r>
        <w:rPr>
          <w:rFonts w:ascii="Times New Roman" w:hAnsi="Times New Roman" w:eastAsia="Times New Roman"/>
          <w:spacing w:val="-5"/>
        </w:rPr>
        <w:t>12</w:t>
      </w:r>
      <w:r>
        <w:rPr>
          <w:spacing w:val="-5"/>
        </w:rPr>
        <w:t>）</w:t>
      </w:r>
      <w:r>
        <w:rPr/>
        <w:t>项费用</w:t>
      </w:r>
      <w:r>
        <w:rPr>
          <w:rFonts w:ascii="Times New Roman" w:hAnsi="Times New Roman" w:eastAsia="Times New Roman"/>
          <w:spacing w:val="-7"/>
        </w:rPr>
        <w:t>”</w:t>
      </w:r>
      <w:r>
        <w:rPr>
          <w:spacing w:val="-3"/>
        </w:rPr>
        <w:t>，根据有关法规及相应</w:t>
      </w:r>
      <w:r>
        <w:rPr>
          <w:spacing w:val="-17"/>
        </w:rPr>
        <w:t>协议规定，按费用实际支出金额列入当期费用，由基金托管人从基金财产中支付。</w:t>
      </w:r>
    </w:p>
    <w:p>
      <w:pPr>
        <w:pStyle w:val="BodyText"/>
        <w:spacing w:line="364" w:lineRule="auto" w:before="1"/>
        <w:ind w:left="600" w:right="5304"/>
      </w:pPr>
      <w:r>
        <w:rPr>
          <w:rFonts w:ascii="Times New Roman" w:eastAsia="Times New Roman"/>
        </w:rPr>
        <w:t>3</w:t>
      </w:r>
      <w:r>
        <w:rPr/>
        <w:t>、不列入基金费用的项目下列费用不列入基金费用：</w:t>
      </w:r>
    </w:p>
    <w:p>
      <w:pPr>
        <w:pStyle w:val="ListParagraph"/>
        <w:numPr>
          <w:ilvl w:val="0"/>
          <w:numId w:val="47"/>
        </w:numPr>
        <w:tabs>
          <w:tab w:pos="1202" w:val="left" w:leader="none"/>
        </w:tabs>
        <w:spacing w:line="364" w:lineRule="auto" w:before="1" w:after="0"/>
        <w:ind w:left="120" w:right="364" w:firstLine="479"/>
        <w:jc w:val="left"/>
        <w:rPr>
          <w:sz w:val="24"/>
        </w:rPr>
      </w:pPr>
      <w:r>
        <w:rPr>
          <w:spacing w:val="-1"/>
          <w:sz w:val="24"/>
        </w:rPr>
        <w:t>基金管理人和基金托管人因未履行或未完全履行义务导致的费用支出</w:t>
      </w:r>
      <w:r>
        <w:rPr>
          <w:sz w:val="24"/>
        </w:rPr>
        <w:t>或基金财产的损失；</w:t>
      </w:r>
    </w:p>
    <w:p>
      <w:pPr>
        <w:pStyle w:val="ListParagraph"/>
        <w:numPr>
          <w:ilvl w:val="0"/>
          <w:numId w:val="47"/>
        </w:numPr>
        <w:tabs>
          <w:tab w:pos="1202" w:val="left" w:leader="none"/>
        </w:tabs>
        <w:spacing w:line="240" w:lineRule="auto" w:before="2" w:after="0"/>
        <w:ind w:left="1201" w:right="0" w:hanging="602"/>
        <w:jc w:val="left"/>
        <w:rPr>
          <w:sz w:val="24"/>
        </w:rPr>
      </w:pPr>
      <w:r>
        <w:rPr>
          <w:sz w:val="24"/>
        </w:rPr>
        <w:t>基金管理人和基金托管人处理与基金运作无关的事项发生的费用；</w:t>
      </w:r>
    </w:p>
    <w:p>
      <w:pPr>
        <w:pStyle w:val="ListParagraph"/>
        <w:numPr>
          <w:ilvl w:val="0"/>
          <w:numId w:val="47"/>
        </w:numPr>
        <w:tabs>
          <w:tab w:pos="1202" w:val="left" w:leader="none"/>
        </w:tabs>
        <w:spacing w:line="240" w:lineRule="auto" w:before="160" w:after="0"/>
        <w:ind w:left="1201" w:right="0" w:hanging="602"/>
        <w:jc w:val="left"/>
        <w:rPr>
          <w:sz w:val="24"/>
        </w:rPr>
      </w:pPr>
      <w:r>
        <w:rPr>
          <w:sz w:val="24"/>
        </w:rPr>
        <w:t>《基金合同》生效前的相关费用；</w:t>
      </w:r>
    </w:p>
    <w:p>
      <w:pPr>
        <w:pStyle w:val="ListParagraph"/>
        <w:numPr>
          <w:ilvl w:val="0"/>
          <w:numId w:val="47"/>
        </w:numPr>
        <w:tabs>
          <w:tab w:pos="1202" w:val="left" w:leader="none"/>
        </w:tabs>
        <w:spacing w:line="364" w:lineRule="auto" w:before="161" w:after="0"/>
        <w:ind w:left="120" w:right="364" w:firstLine="479"/>
        <w:jc w:val="left"/>
        <w:rPr>
          <w:sz w:val="24"/>
        </w:rPr>
      </w:pPr>
      <w:r>
        <w:rPr>
          <w:spacing w:val="-1"/>
          <w:sz w:val="24"/>
        </w:rPr>
        <w:t>其他根据相关法律法规及中国证监会的有关规定不得列入基金费用的</w:t>
      </w:r>
      <w:r>
        <w:rPr>
          <w:sz w:val="24"/>
        </w:rPr>
        <w:t>项目。</w:t>
      </w:r>
    </w:p>
    <w:p>
      <w:pPr>
        <w:pStyle w:val="BodyText"/>
        <w:spacing w:before="1"/>
        <w:ind w:left="600"/>
      </w:pPr>
      <w:r>
        <w:rPr>
          <w:rFonts w:ascii="Times New Roman" w:eastAsia="Times New Roman"/>
        </w:rPr>
        <w:t>4</w:t>
      </w:r>
      <w:r>
        <w:rPr/>
        <w:t>、费用调整</w:t>
      </w:r>
    </w:p>
    <w:p>
      <w:pPr>
        <w:pStyle w:val="BodyText"/>
        <w:spacing w:line="364" w:lineRule="auto"/>
        <w:ind w:right="357" w:firstLine="479"/>
      </w:pPr>
      <w:r>
        <w:rPr>
          <w:spacing w:val="-7"/>
        </w:rPr>
        <w:t>基金管理人和基金托管人协商一致后，可根据基金发展情况调整基金管理费</w:t>
      </w:r>
      <w:r>
        <w:rPr/>
        <w:t>率、基金托管费率或基金销售服务费等相关费率。</w:t>
      </w:r>
    </w:p>
    <w:p>
      <w:pPr>
        <w:pStyle w:val="BodyText"/>
        <w:spacing w:line="364" w:lineRule="auto" w:before="1"/>
        <w:ind w:right="239" w:firstLine="479"/>
      </w:pPr>
      <w:r>
        <w:rPr>
          <w:spacing w:val="-8"/>
        </w:rPr>
        <w:t>调高基金管理费率、基金托管费率或基金销售服务费等费率，须召开基金份</w:t>
      </w:r>
      <w:r>
        <w:rPr>
          <w:spacing w:val="-19"/>
        </w:rPr>
        <w:t>额持有人大会审议；调低基金管理费率、基金托管费率或基金销售服务费等费率， </w:t>
      </w:r>
      <w:r>
        <w:rPr/>
        <w:t>无须召开基金份额持有人大会。</w:t>
      </w:r>
    </w:p>
    <w:p>
      <w:pPr>
        <w:pStyle w:val="BodyText"/>
        <w:spacing w:before="2"/>
        <w:ind w:left="600"/>
      </w:pPr>
      <w:r>
        <w:rPr/>
        <w:t>基金管理人必须于新的费率实施日前在指定媒介上公告。</w:t>
      </w:r>
    </w:p>
    <w:p>
      <w:pPr>
        <w:pStyle w:val="BodyText"/>
        <w:spacing w:before="160"/>
        <w:ind w:left="600"/>
      </w:pPr>
      <w:r>
        <w:rPr>
          <w:rFonts w:ascii="Times New Roman" w:eastAsia="Times New Roman"/>
        </w:rPr>
        <w:t>5</w:t>
      </w:r>
      <w:r>
        <w:rPr/>
        <w:t>、基金税收</w:t>
      </w:r>
    </w:p>
    <w:p>
      <w:pPr>
        <w:pStyle w:val="BodyText"/>
        <w:spacing w:line="364" w:lineRule="auto"/>
        <w:ind w:right="361" w:firstLine="479"/>
      </w:pPr>
      <w:r>
        <w:rPr>
          <w:spacing w:val="-6"/>
        </w:rPr>
        <w:t>本基金运作过程中涉及的各纳税主体，其纳税义务按国家税收法律、法规执</w:t>
      </w:r>
      <w:r>
        <w:rPr/>
        <w:t>行。</w:t>
      </w:r>
    </w:p>
    <w:p>
      <w:pPr>
        <w:pStyle w:val="BodyText"/>
        <w:spacing w:before="1"/>
        <w:ind w:left="600"/>
      </w:pPr>
      <w:r>
        <w:rPr/>
        <w:t>（七）基金财产的投资方向和投资限制</w:t>
      </w:r>
    </w:p>
    <w:p>
      <w:pPr>
        <w:pStyle w:val="BodyText"/>
        <w:ind w:left="600"/>
      </w:pPr>
      <w:r>
        <w:rPr>
          <w:rFonts w:ascii="Times New Roman" w:eastAsia="Times New Roman"/>
        </w:rPr>
        <w:t>1</w:t>
      </w:r>
      <w:r>
        <w:rPr/>
        <w:t>、投资目标</w:t>
      </w:r>
    </w:p>
    <w:p>
      <w:pPr>
        <w:pStyle w:val="BodyText"/>
        <w:spacing w:line="364" w:lineRule="auto"/>
        <w:ind w:right="357" w:firstLine="479"/>
      </w:pPr>
      <w:r>
        <w:rPr>
          <w:spacing w:val="-10"/>
        </w:rPr>
        <w:t>本基金通过指数化投资，争取在扣除各项费用之前获得与标的指数相似的总</w:t>
      </w:r>
      <w:r>
        <w:rPr/>
        <w:t>回报，追求跟踪偏离度及跟踪误差的最小化。</w:t>
      </w:r>
    </w:p>
    <w:p>
      <w:pPr>
        <w:pStyle w:val="BodyText"/>
        <w:spacing w:before="1"/>
        <w:ind w:left="600"/>
      </w:pPr>
      <w:r>
        <w:rPr>
          <w:rFonts w:ascii="Times New Roman" w:eastAsia="Times New Roman"/>
        </w:rPr>
        <w:t>2</w:t>
      </w:r>
      <w:r>
        <w:rPr/>
        <w:t>、投资范围</w:t>
      </w:r>
    </w:p>
    <w:p>
      <w:pPr>
        <w:pStyle w:val="BodyText"/>
        <w:spacing w:before="160"/>
        <w:ind w:left="600"/>
      </w:pPr>
      <w:r>
        <w:rPr/>
        <w:t>本基金的投资范围为具有良好流动性的金融工具，包括国债、央行票据、地</w:t>
      </w:r>
    </w:p>
    <w:p>
      <w:pPr>
        <w:spacing w:after="0"/>
        <w:sectPr>
          <w:pgSz w:w="11910" w:h="16840"/>
          <w:pgMar w:header="0" w:footer="995" w:top="1460" w:bottom="1180" w:left="1680" w:right="1440"/>
        </w:sectPr>
      </w:pPr>
    </w:p>
    <w:p>
      <w:pPr>
        <w:pStyle w:val="BodyText"/>
        <w:spacing w:line="364" w:lineRule="auto" w:before="40"/>
        <w:ind w:right="244"/>
      </w:pPr>
      <w:r>
        <w:rPr>
          <w:spacing w:val="-1"/>
        </w:rPr>
        <w:t>方政府债、金融债、企业债、短期融资券、中期票据、公司债、资产支持证券、</w:t>
      </w:r>
      <w:r>
        <w:rPr>
          <w:spacing w:val="-10"/>
        </w:rPr>
        <w:t>债券逆回购、银行存款等固定收益类资产以及法律法规或中国证监会允许基金投资的其他金融工具，但须符合中国证监会相关规定。</w:t>
      </w:r>
    </w:p>
    <w:p>
      <w:pPr>
        <w:pStyle w:val="BodyText"/>
        <w:spacing w:line="364" w:lineRule="auto" w:before="3"/>
        <w:ind w:right="357" w:firstLine="479"/>
      </w:pPr>
      <w:r>
        <w:rPr>
          <w:spacing w:val="-6"/>
        </w:rPr>
        <w:t>本基金不直接在二级市场买入股票、可转换债券、权证等资产，也不参与一</w:t>
      </w:r>
      <w:r>
        <w:rPr/>
        <w:t>级市场新股申购、新股增发、新可转换债券申购。</w:t>
      </w:r>
    </w:p>
    <w:p>
      <w:pPr>
        <w:pStyle w:val="BodyText"/>
        <w:spacing w:line="364" w:lineRule="auto" w:before="1"/>
        <w:ind w:right="357" w:firstLine="479"/>
      </w:pPr>
      <w:r>
        <w:rPr>
          <w:spacing w:val="-6"/>
        </w:rPr>
        <w:t>如法律法规或监管机构以后允许基金投资其他品种，基金管理人履行适当程</w:t>
      </w:r>
      <w:r>
        <w:rPr/>
        <w:t>序后，可以将其纳入投资范围。</w:t>
      </w:r>
    </w:p>
    <w:p>
      <w:pPr>
        <w:pStyle w:val="BodyText"/>
        <w:spacing w:line="364" w:lineRule="auto" w:before="1"/>
        <w:ind w:right="355" w:firstLine="479"/>
        <w:jc w:val="both"/>
      </w:pPr>
      <w:r>
        <w:rPr/>
        <w:t>本基金各类资产的投资比例范围为：中债</w:t>
      </w:r>
      <w:r>
        <w:rPr>
          <w:rFonts w:ascii="Times New Roman" w:eastAsia="Times New Roman"/>
        </w:rPr>
        <w:t>-</w:t>
      </w:r>
      <w:r>
        <w:rPr/>
        <w:t>新综合指数成份券的投资比例不</w:t>
      </w:r>
      <w:r>
        <w:rPr>
          <w:spacing w:val="-6"/>
        </w:rPr>
        <w:t>低于基金资产净值的 </w:t>
      </w:r>
      <w:r>
        <w:rPr>
          <w:rFonts w:ascii="Times New Roman" w:eastAsia="Times New Roman"/>
        </w:rPr>
        <w:t>90</w:t>
      </w:r>
      <w:r>
        <w:rPr>
          <w:rFonts w:ascii="Times New Roman" w:eastAsia="Times New Roman"/>
          <w:spacing w:val="-1"/>
        </w:rPr>
        <w:t>%</w:t>
      </w:r>
      <w:r>
        <w:rPr>
          <w:spacing w:val="-13"/>
        </w:rPr>
        <w:t>，现金或者到期日在一年以内的政府债券不低于基金资产净值的 </w:t>
      </w:r>
      <w:r>
        <w:rPr>
          <w:rFonts w:ascii="Times New Roman" w:eastAsia="Times New Roman"/>
        </w:rPr>
        <w:t>5%</w:t>
      </w:r>
      <w:r>
        <w:rPr/>
        <w:t>，现金不包括结算备付金、存出保证金、应收申购款等。</w:t>
      </w:r>
    </w:p>
    <w:p>
      <w:pPr>
        <w:pStyle w:val="BodyText"/>
        <w:spacing w:before="3"/>
        <w:ind w:left="600"/>
      </w:pPr>
      <w:r>
        <w:rPr>
          <w:rFonts w:ascii="Times New Roman" w:eastAsia="Times New Roman"/>
        </w:rPr>
        <w:t>3</w:t>
      </w:r>
      <w:r>
        <w:rPr/>
        <w:t>、投资限制</w:t>
      </w:r>
    </w:p>
    <w:p>
      <w:pPr>
        <w:pStyle w:val="ListParagraph"/>
        <w:numPr>
          <w:ilvl w:val="0"/>
          <w:numId w:val="48"/>
        </w:numPr>
        <w:tabs>
          <w:tab w:pos="1202" w:val="left" w:leader="none"/>
        </w:tabs>
        <w:spacing w:line="240" w:lineRule="auto" w:before="160" w:after="0"/>
        <w:ind w:left="1201" w:right="0" w:hanging="602"/>
        <w:jc w:val="left"/>
        <w:rPr>
          <w:sz w:val="24"/>
        </w:rPr>
      </w:pPr>
      <w:r>
        <w:rPr>
          <w:sz w:val="24"/>
        </w:rPr>
        <w:t>组合限制</w:t>
      </w:r>
    </w:p>
    <w:p>
      <w:pPr>
        <w:pStyle w:val="BodyText"/>
        <w:ind w:left="600"/>
      </w:pPr>
      <w:r>
        <w:rPr/>
        <w:t>基金的投资组合应遵循以下限制：</w:t>
      </w:r>
    </w:p>
    <w:p>
      <w:pPr>
        <w:pStyle w:val="ListParagraph"/>
        <w:numPr>
          <w:ilvl w:val="0"/>
          <w:numId w:val="49"/>
        </w:numPr>
        <w:tabs>
          <w:tab w:pos="962" w:val="left" w:leader="none"/>
        </w:tabs>
        <w:spacing w:line="240" w:lineRule="auto" w:before="160" w:after="0"/>
        <w:ind w:left="961" w:right="0" w:hanging="362"/>
        <w:jc w:val="left"/>
        <w:rPr>
          <w:sz w:val="24"/>
        </w:rPr>
      </w:pPr>
      <w:r>
        <w:rPr>
          <w:sz w:val="24"/>
        </w:rPr>
        <w:t>中债</w:t>
      </w:r>
      <w:r>
        <w:rPr>
          <w:rFonts w:ascii="Times New Roman" w:eastAsia="Times New Roman"/>
          <w:sz w:val="24"/>
        </w:rPr>
        <w:t>-</w:t>
      </w:r>
      <w:r>
        <w:rPr>
          <w:spacing w:val="-3"/>
          <w:sz w:val="24"/>
        </w:rPr>
        <w:t>新综合指数成份券的投资比例不低于基金资产净值的 </w:t>
      </w:r>
      <w:r>
        <w:rPr>
          <w:rFonts w:ascii="Times New Roman" w:eastAsia="Times New Roman"/>
          <w:sz w:val="24"/>
        </w:rPr>
        <w:t>90%</w:t>
      </w:r>
      <w:r>
        <w:rPr>
          <w:sz w:val="24"/>
        </w:rPr>
        <w:t>；</w:t>
      </w:r>
    </w:p>
    <w:p>
      <w:pPr>
        <w:pStyle w:val="ListParagraph"/>
        <w:numPr>
          <w:ilvl w:val="0"/>
          <w:numId w:val="49"/>
        </w:numPr>
        <w:tabs>
          <w:tab w:pos="962" w:val="left" w:leader="none"/>
        </w:tabs>
        <w:spacing w:line="364" w:lineRule="auto" w:before="161" w:after="0"/>
        <w:ind w:left="120" w:right="358" w:firstLine="479"/>
        <w:jc w:val="left"/>
        <w:rPr>
          <w:sz w:val="24"/>
        </w:rPr>
      </w:pPr>
      <w:r>
        <w:rPr>
          <w:spacing w:val="-3"/>
          <w:sz w:val="24"/>
        </w:rPr>
        <w:t>现金或者到期日在一年以内的政府债券不低于基金资产净值的 </w:t>
      </w:r>
      <w:r>
        <w:rPr>
          <w:rFonts w:ascii="Times New Roman" w:eastAsia="Times New Roman"/>
          <w:spacing w:val="-20"/>
          <w:sz w:val="24"/>
        </w:rPr>
        <w:t>5%</w:t>
      </w:r>
      <w:r>
        <w:rPr>
          <w:spacing w:val="-10"/>
          <w:sz w:val="24"/>
        </w:rPr>
        <w:t>，现</w:t>
      </w:r>
      <w:r>
        <w:rPr>
          <w:spacing w:val="-4"/>
          <w:sz w:val="24"/>
        </w:rPr>
        <w:t>金不包括结算备付金、存出保证金、应收申购款等；</w:t>
      </w:r>
    </w:p>
    <w:p>
      <w:pPr>
        <w:pStyle w:val="ListParagraph"/>
        <w:numPr>
          <w:ilvl w:val="0"/>
          <w:numId w:val="49"/>
        </w:numPr>
        <w:tabs>
          <w:tab w:pos="962" w:val="left" w:leader="none"/>
        </w:tabs>
        <w:spacing w:line="364" w:lineRule="auto" w:before="1" w:after="0"/>
        <w:ind w:left="120" w:right="364" w:firstLine="479"/>
        <w:jc w:val="left"/>
        <w:rPr>
          <w:sz w:val="24"/>
        </w:rPr>
      </w:pPr>
      <w:r>
        <w:rPr>
          <w:spacing w:val="-1"/>
          <w:sz w:val="24"/>
        </w:rPr>
        <w:t>本基金管理人管理的全部基金持有一家公司发行的证券，不超过该证券</w:t>
      </w:r>
      <w:r>
        <w:rPr>
          <w:spacing w:val="-31"/>
          <w:sz w:val="24"/>
        </w:rPr>
        <w:t>的 </w:t>
      </w:r>
      <w:r>
        <w:rPr>
          <w:rFonts w:ascii="Times New Roman" w:eastAsia="Times New Roman"/>
          <w:sz w:val="24"/>
        </w:rPr>
        <w:t>10%</w:t>
      </w:r>
      <w:r>
        <w:rPr>
          <w:sz w:val="24"/>
        </w:rPr>
        <w:t>；</w:t>
      </w:r>
    </w:p>
    <w:p>
      <w:pPr>
        <w:pStyle w:val="ListParagraph"/>
        <w:numPr>
          <w:ilvl w:val="0"/>
          <w:numId w:val="49"/>
        </w:numPr>
        <w:tabs>
          <w:tab w:pos="962" w:val="left" w:leader="none"/>
        </w:tabs>
        <w:spacing w:line="240" w:lineRule="auto" w:before="1" w:after="0"/>
        <w:ind w:left="961" w:right="0" w:hanging="362"/>
        <w:jc w:val="left"/>
        <w:rPr>
          <w:sz w:val="24"/>
        </w:rPr>
      </w:pPr>
      <w:r>
        <w:rPr>
          <w:sz w:val="24"/>
        </w:rPr>
        <w:t>中期票据属于固定收益类证券，基金投资中期票据应符合法律、法规及</w:t>
      </w:r>
    </w:p>
    <w:p>
      <w:pPr>
        <w:pStyle w:val="BodyText"/>
      </w:pPr>
      <w:r>
        <w:rPr/>
        <w:t>《基金合同》中关于该基金投资固定收益类证券的相关比例及期限限制；</w:t>
      </w:r>
    </w:p>
    <w:p>
      <w:pPr>
        <w:pStyle w:val="ListParagraph"/>
        <w:numPr>
          <w:ilvl w:val="0"/>
          <w:numId w:val="49"/>
        </w:numPr>
        <w:tabs>
          <w:tab w:pos="962" w:val="left" w:leader="none"/>
        </w:tabs>
        <w:spacing w:line="364" w:lineRule="auto" w:before="160" w:after="0"/>
        <w:ind w:left="120" w:right="364" w:firstLine="479"/>
        <w:jc w:val="both"/>
        <w:rPr>
          <w:sz w:val="24"/>
        </w:rPr>
      </w:pPr>
      <w:r>
        <w:rPr>
          <w:spacing w:val="-1"/>
          <w:sz w:val="24"/>
        </w:rPr>
        <w:t>基金管理人管理的全部公募基金投资于一家企业发行的单期中期票据合</w:t>
      </w:r>
      <w:r>
        <w:rPr>
          <w:spacing w:val="-7"/>
          <w:sz w:val="24"/>
        </w:rPr>
        <w:t>计不超过该期证券的 </w:t>
      </w:r>
      <w:r>
        <w:rPr>
          <w:rFonts w:ascii="Times New Roman" w:eastAsia="Times New Roman"/>
          <w:sz w:val="24"/>
        </w:rPr>
        <w:t>10%</w:t>
      </w:r>
      <w:r>
        <w:rPr>
          <w:sz w:val="24"/>
        </w:rPr>
        <w:t>；</w:t>
      </w:r>
    </w:p>
    <w:p>
      <w:pPr>
        <w:pStyle w:val="ListParagraph"/>
        <w:numPr>
          <w:ilvl w:val="0"/>
          <w:numId w:val="49"/>
        </w:numPr>
        <w:tabs>
          <w:tab w:pos="962" w:val="left" w:leader="none"/>
        </w:tabs>
        <w:spacing w:line="364" w:lineRule="auto" w:before="2" w:after="0"/>
        <w:ind w:left="120" w:right="364" w:firstLine="479"/>
        <w:jc w:val="both"/>
        <w:rPr>
          <w:sz w:val="24"/>
        </w:rPr>
      </w:pPr>
      <w:r>
        <w:rPr>
          <w:spacing w:val="-1"/>
          <w:sz w:val="24"/>
        </w:rPr>
        <w:t>本基金进入全国银行间同业市场进行债券回购的资金余额不得超过基金</w:t>
      </w:r>
      <w:r>
        <w:rPr>
          <w:spacing w:val="-11"/>
          <w:sz w:val="24"/>
        </w:rPr>
        <w:t>资产净值的 </w:t>
      </w:r>
      <w:r>
        <w:rPr>
          <w:rFonts w:ascii="Times New Roman" w:eastAsia="Times New Roman"/>
          <w:sz w:val="24"/>
        </w:rPr>
        <w:t>40%</w:t>
      </w:r>
      <w:r>
        <w:rPr>
          <w:spacing w:val="-6"/>
          <w:sz w:val="24"/>
        </w:rPr>
        <w:t>；债券回购最长期限为 </w:t>
      </w:r>
      <w:r>
        <w:rPr>
          <w:rFonts w:ascii="Times New Roman" w:eastAsia="Times New Roman"/>
          <w:sz w:val="24"/>
        </w:rPr>
        <w:t>1 </w:t>
      </w:r>
      <w:r>
        <w:rPr>
          <w:sz w:val="24"/>
        </w:rPr>
        <w:t>年，债券回购到期后不得展期；</w:t>
      </w:r>
    </w:p>
    <w:p>
      <w:pPr>
        <w:pStyle w:val="ListParagraph"/>
        <w:numPr>
          <w:ilvl w:val="0"/>
          <w:numId w:val="49"/>
        </w:numPr>
        <w:tabs>
          <w:tab w:pos="962" w:val="left" w:leader="none"/>
        </w:tabs>
        <w:spacing w:line="364" w:lineRule="auto" w:before="1" w:after="0"/>
        <w:ind w:left="120" w:right="357" w:firstLine="479"/>
        <w:jc w:val="both"/>
        <w:rPr>
          <w:sz w:val="24"/>
        </w:rPr>
      </w:pPr>
      <w:r>
        <w:rPr>
          <w:sz w:val="24"/>
        </w:rPr>
        <w:t>本基金投资于同一原始权益人的各类资产支持证券的比例，不得超过基</w:t>
      </w:r>
      <w:r>
        <w:rPr>
          <w:spacing w:val="-9"/>
          <w:sz w:val="24"/>
        </w:rPr>
        <w:t>金资产净值的 </w:t>
      </w:r>
      <w:r>
        <w:rPr>
          <w:rFonts w:ascii="Times New Roman" w:eastAsia="Times New Roman"/>
          <w:spacing w:val="-15"/>
          <w:sz w:val="24"/>
        </w:rPr>
        <w:t>10%</w:t>
      </w:r>
      <w:r>
        <w:rPr>
          <w:spacing w:val="-9"/>
          <w:sz w:val="24"/>
        </w:rPr>
        <w:t>；本基金持有的全部资产支持证券，其市值不得超过基金资产</w:t>
      </w:r>
      <w:r>
        <w:rPr>
          <w:spacing w:val="-15"/>
          <w:sz w:val="24"/>
        </w:rPr>
        <w:t>净值的 </w:t>
      </w:r>
      <w:r>
        <w:rPr>
          <w:rFonts w:ascii="Times New Roman" w:eastAsia="Times New Roman"/>
          <w:spacing w:val="-8"/>
          <w:sz w:val="24"/>
        </w:rPr>
        <w:t>20%</w:t>
      </w:r>
      <w:r>
        <w:rPr>
          <w:spacing w:val="-6"/>
          <w:sz w:val="24"/>
        </w:rPr>
        <w:t>；本基金持有的同一</w:t>
      </w:r>
      <w:r>
        <w:rPr>
          <w:sz w:val="24"/>
        </w:rPr>
        <w:t>（指同一信用级别</w:t>
      </w:r>
      <w:r>
        <w:rPr>
          <w:spacing w:val="-29"/>
          <w:sz w:val="24"/>
        </w:rPr>
        <w:t>）</w:t>
      </w:r>
      <w:r>
        <w:rPr>
          <w:spacing w:val="-4"/>
          <w:sz w:val="24"/>
        </w:rPr>
        <w:t>资产支持证券的比例，不得</w:t>
      </w:r>
      <w:r>
        <w:rPr>
          <w:spacing w:val="-5"/>
          <w:sz w:val="24"/>
        </w:rPr>
        <w:t>超过该资产支持证券规模的 </w:t>
      </w:r>
      <w:r>
        <w:rPr>
          <w:rFonts w:ascii="Times New Roman" w:eastAsia="Times New Roman"/>
          <w:sz w:val="24"/>
        </w:rPr>
        <w:t>10%</w:t>
      </w:r>
      <w:r>
        <w:rPr>
          <w:sz w:val="24"/>
        </w:rPr>
        <w:t>；</w:t>
      </w:r>
    </w:p>
    <w:p>
      <w:pPr>
        <w:pStyle w:val="ListParagraph"/>
        <w:numPr>
          <w:ilvl w:val="0"/>
          <w:numId w:val="49"/>
        </w:numPr>
        <w:tabs>
          <w:tab w:pos="962" w:val="left" w:leader="none"/>
        </w:tabs>
        <w:spacing w:line="240" w:lineRule="auto" w:before="3" w:after="0"/>
        <w:ind w:left="961" w:right="0" w:hanging="362"/>
        <w:jc w:val="left"/>
        <w:rPr>
          <w:sz w:val="24"/>
        </w:rPr>
      </w:pPr>
      <w:r>
        <w:rPr>
          <w:sz w:val="24"/>
        </w:rPr>
        <w:t>本基金管理人管理的全部基金投资于同一原始权益人的各类资产支持证</w:t>
      </w:r>
    </w:p>
    <w:p>
      <w:pPr>
        <w:spacing w:after="0" w:line="240" w:lineRule="auto"/>
        <w:jc w:val="left"/>
        <w:rPr>
          <w:sz w:val="24"/>
        </w:rPr>
        <w:sectPr>
          <w:pgSz w:w="11910" w:h="16840"/>
          <w:pgMar w:header="0" w:footer="995" w:top="1460" w:bottom="1180" w:left="1680" w:right="1440"/>
        </w:sectPr>
      </w:pPr>
    </w:p>
    <w:p>
      <w:pPr>
        <w:pStyle w:val="BodyText"/>
        <w:spacing w:before="60"/>
        <w:jc w:val="both"/>
      </w:pPr>
      <w:r>
        <w:rPr/>
        <w:t>券，不得超过其各类资产支持证券合计规模的 </w:t>
      </w:r>
      <w:r>
        <w:rPr>
          <w:rFonts w:ascii="Times New Roman" w:eastAsia="Times New Roman"/>
        </w:rPr>
        <w:t>10%</w:t>
      </w:r>
      <w:r>
        <w:rPr/>
        <w:t>；</w:t>
      </w:r>
    </w:p>
    <w:p>
      <w:pPr>
        <w:pStyle w:val="ListParagraph"/>
        <w:numPr>
          <w:ilvl w:val="0"/>
          <w:numId w:val="49"/>
        </w:numPr>
        <w:tabs>
          <w:tab w:pos="962" w:val="left" w:leader="none"/>
        </w:tabs>
        <w:spacing w:line="364" w:lineRule="auto" w:before="161" w:after="0"/>
        <w:ind w:left="120" w:right="354" w:firstLine="479"/>
        <w:jc w:val="both"/>
        <w:rPr>
          <w:sz w:val="24"/>
        </w:rPr>
      </w:pPr>
      <w:r>
        <w:rPr>
          <w:spacing w:val="-5"/>
          <w:sz w:val="24"/>
        </w:rPr>
        <w:t>本基金应投资于信用级别评级为 </w:t>
      </w:r>
      <w:r>
        <w:rPr>
          <w:rFonts w:ascii="Times New Roman" w:eastAsia="Times New Roman"/>
          <w:sz w:val="24"/>
        </w:rPr>
        <w:t>BBB</w:t>
      </w:r>
      <w:r>
        <w:rPr>
          <w:rFonts w:ascii="Times New Roman" w:eastAsia="Times New Roman"/>
          <w:spacing w:val="-2"/>
          <w:sz w:val="24"/>
        </w:rPr>
        <w:t> </w:t>
      </w:r>
      <w:r>
        <w:rPr>
          <w:sz w:val="24"/>
        </w:rPr>
        <w:t>以上</w:t>
      </w:r>
      <w:r>
        <w:rPr>
          <w:rFonts w:ascii="Times New Roman" w:eastAsia="Times New Roman"/>
          <w:sz w:val="24"/>
        </w:rPr>
        <w:t>(</w:t>
      </w:r>
      <w:r>
        <w:rPr>
          <w:spacing w:val="-30"/>
          <w:sz w:val="24"/>
        </w:rPr>
        <w:t>含 </w:t>
      </w:r>
      <w:r>
        <w:rPr>
          <w:rFonts w:ascii="Times New Roman" w:eastAsia="Times New Roman"/>
          <w:sz w:val="24"/>
        </w:rPr>
        <w:t>BBB)</w:t>
      </w:r>
      <w:r>
        <w:rPr>
          <w:spacing w:val="-5"/>
          <w:sz w:val="24"/>
        </w:rPr>
        <w:t>的资产支持证券， </w:t>
      </w:r>
      <w:r>
        <w:rPr>
          <w:spacing w:val="-9"/>
          <w:sz w:val="24"/>
        </w:rPr>
        <w:t>本基金持有资产支持证券期间，如果其信用等级下降、不再符合投资标准，应在评级报告发布之日起 </w:t>
      </w:r>
      <w:r>
        <w:rPr>
          <w:rFonts w:ascii="Times New Roman" w:eastAsia="Times New Roman"/>
          <w:sz w:val="24"/>
        </w:rPr>
        <w:t>3 </w:t>
      </w:r>
      <w:r>
        <w:rPr>
          <w:sz w:val="24"/>
        </w:rPr>
        <w:t>个月内予以全部卖出；</w:t>
      </w:r>
    </w:p>
    <w:p>
      <w:pPr>
        <w:pStyle w:val="ListParagraph"/>
        <w:numPr>
          <w:ilvl w:val="0"/>
          <w:numId w:val="49"/>
        </w:numPr>
        <w:tabs>
          <w:tab w:pos="1082" w:val="left" w:leader="none"/>
        </w:tabs>
        <w:spacing w:line="364" w:lineRule="auto" w:before="2" w:after="0"/>
        <w:ind w:left="120" w:right="357" w:firstLine="479"/>
        <w:jc w:val="both"/>
        <w:rPr>
          <w:sz w:val="24"/>
        </w:rPr>
      </w:pPr>
      <w:r>
        <w:rPr>
          <w:sz w:val="24"/>
        </w:rPr>
        <w:t>本基金主动投资于流动性受限资产的市值合计不得超过该基金资产净</w:t>
      </w:r>
      <w:r>
        <w:rPr>
          <w:spacing w:val="-26"/>
          <w:sz w:val="24"/>
        </w:rPr>
        <w:t>值的 </w:t>
      </w:r>
      <w:r>
        <w:rPr>
          <w:rFonts w:ascii="Times New Roman" w:eastAsia="Times New Roman"/>
          <w:sz w:val="24"/>
        </w:rPr>
        <w:t>15%</w:t>
      </w:r>
      <w:r>
        <w:rPr>
          <w:sz w:val="24"/>
        </w:rPr>
        <w:t>。</w:t>
      </w:r>
    </w:p>
    <w:p>
      <w:pPr>
        <w:pStyle w:val="BodyText"/>
        <w:spacing w:line="364" w:lineRule="auto" w:before="1"/>
        <w:ind w:right="357" w:firstLine="479"/>
        <w:jc w:val="both"/>
      </w:pPr>
      <w:r>
        <w:rPr>
          <w:spacing w:val="-11"/>
        </w:rPr>
        <w:t>因证券市场波动、证券停牌、基金规模变动等基金管理人之外的因素致使基</w:t>
      </w:r>
      <w:r>
        <w:rPr>
          <w:spacing w:val="-8"/>
        </w:rPr>
        <w:t>金不符合前款所规定比例限制的，基金管理人不得主动新增流动性受限资产的投</w:t>
      </w:r>
      <w:r>
        <w:rPr/>
        <w:t>资。</w:t>
      </w:r>
    </w:p>
    <w:p>
      <w:pPr>
        <w:pStyle w:val="ListParagraph"/>
        <w:numPr>
          <w:ilvl w:val="0"/>
          <w:numId w:val="49"/>
        </w:numPr>
        <w:tabs>
          <w:tab w:pos="1072" w:val="left" w:leader="none"/>
        </w:tabs>
        <w:spacing w:line="364" w:lineRule="auto" w:before="3" w:after="0"/>
        <w:ind w:left="120" w:right="357" w:firstLine="479"/>
        <w:jc w:val="both"/>
        <w:rPr>
          <w:sz w:val="24"/>
        </w:rPr>
      </w:pPr>
      <w:r>
        <w:rPr>
          <w:sz w:val="24"/>
        </w:rPr>
        <w:t>本基金与私募类证券资管产品及中国证监会认定的其他主体为交易对</w:t>
      </w:r>
      <w:r>
        <w:rPr>
          <w:spacing w:val="-11"/>
          <w:sz w:val="24"/>
        </w:rPr>
        <w:t>手开展逆回购交易的，可接受质押品的资质要求应当与基金合同约定的投资范围</w:t>
      </w:r>
      <w:r>
        <w:rPr>
          <w:spacing w:val="-4"/>
          <w:sz w:val="24"/>
        </w:rPr>
        <w:t>保持一致。</w:t>
      </w:r>
    </w:p>
    <w:p>
      <w:pPr>
        <w:pStyle w:val="ListParagraph"/>
        <w:numPr>
          <w:ilvl w:val="0"/>
          <w:numId w:val="49"/>
        </w:numPr>
        <w:tabs>
          <w:tab w:pos="1082" w:val="left" w:leader="none"/>
        </w:tabs>
        <w:spacing w:line="364" w:lineRule="auto" w:before="2" w:after="0"/>
        <w:ind w:left="120" w:right="361" w:firstLine="479"/>
        <w:jc w:val="left"/>
        <w:rPr>
          <w:sz w:val="24"/>
        </w:rPr>
      </w:pPr>
      <w:r>
        <w:rPr>
          <w:spacing w:val="-3"/>
          <w:sz w:val="24"/>
        </w:rPr>
        <w:t>本基金资产投资不得违反法律法规、监管部门及基金合同规定的其他</w:t>
      </w:r>
      <w:r>
        <w:rPr>
          <w:spacing w:val="-5"/>
          <w:sz w:val="24"/>
        </w:rPr>
        <w:t>比例限制。</w:t>
      </w:r>
    </w:p>
    <w:p>
      <w:pPr>
        <w:pStyle w:val="BodyText"/>
        <w:spacing w:line="364" w:lineRule="auto" w:before="1"/>
        <w:ind w:right="244" w:firstLine="479"/>
      </w:pPr>
      <w:r>
        <w:rPr>
          <w:spacing w:val="-15"/>
        </w:rPr>
        <w:t>除上述 </w:t>
      </w:r>
      <w:r>
        <w:rPr>
          <w:rFonts w:ascii="Times New Roman" w:eastAsia="Times New Roman"/>
        </w:rPr>
        <w:t>2</w:t>
      </w:r>
      <w:r>
        <w:rPr>
          <w:spacing w:val="-120"/>
        </w:rPr>
        <w:t>）</w:t>
      </w:r>
      <w:r>
        <w:rPr>
          <w:spacing w:val="-3"/>
        </w:rPr>
        <w:t>、</w:t>
      </w:r>
      <w:r>
        <w:rPr>
          <w:rFonts w:ascii="Times New Roman" w:eastAsia="Times New Roman"/>
        </w:rPr>
        <w:t>9</w:t>
      </w:r>
      <w:r>
        <w:rPr>
          <w:spacing w:val="-120"/>
        </w:rPr>
        <w:t>）</w:t>
      </w:r>
      <w:r>
        <w:rPr>
          <w:spacing w:val="-2"/>
        </w:rPr>
        <w:t>、</w:t>
      </w:r>
      <w:r>
        <w:rPr>
          <w:rFonts w:ascii="Times New Roman" w:eastAsia="Times New Roman"/>
        </w:rPr>
        <w:t>10</w:t>
      </w:r>
      <w:r>
        <w:rPr>
          <w:spacing w:val="-120"/>
        </w:rPr>
        <w:t>）</w:t>
      </w:r>
      <w:r>
        <w:rPr>
          <w:spacing w:val="-3"/>
        </w:rPr>
        <w:t>、</w:t>
      </w:r>
      <w:r>
        <w:rPr>
          <w:rFonts w:ascii="Times New Roman" w:eastAsia="Times New Roman"/>
          <w:spacing w:val="-12"/>
        </w:rPr>
        <w:t>1</w:t>
      </w:r>
      <w:r>
        <w:rPr>
          <w:rFonts w:ascii="Times New Roman" w:eastAsia="Times New Roman"/>
        </w:rPr>
        <w:t>1</w:t>
      </w:r>
      <w:r>
        <w:rPr>
          <w:spacing w:val="-3"/>
        </w:rPr>
        <w:t>）</w:t>
      </w:r>
      <w:r>
        <w:rPr>
          <w:spacing w:val="-4"/>
        </w:rPr>
        <w:t>以外，因证券市场波动、上市公司合并、基金规</w:t>
      </w:r>
      <w:r>
        <w:rPr>
          <w:spacing w:val="-5"/>
        </w:rPr>
        <w:t>模变动等基金管理人之外的因素致使基金投资比例不符合上述规定投资比例的， </w:t>
      </w:r>
      <w:r>
        <w:rPr>
          <w:spacing w:val="-6"/>
        </w:rPr>
        <w:t>基金管理人应当在 </w:t>
      </w:r>
      <w:r>
        <w:rPr>
          <w:rFonts w:ascii="Times New Roman" w:eastAsia="Times New Roman"/>
        </w:rPr>
        <w:t>10 </w:t>
      </w:r>
      <w:r>
        <w:rPr/>
        <w:t>个交易日内进行调整，以达到上述标准。法律、法规另有</w:t>
      </w:r>
      <w:r>
        <w:rPr>
          <w:spacing w:val="-10"/>
        </w:rPr>
        <w:t>规定时，从其规定。如果法律法规对上述投资比例限制进行变更的，以变更后的</w:t>
      </w:r>
      <w:r>
        <w:rPr>
          <w:spacing w:val="-12"/>
        </w:rPr>
        <w:t>规定为准。如法律法规或监管部门取消上述限制，且适用于本基金，则本基金投资不再受相关限制，不需要经基金份额持有人大会审议。</w:t>
      </w:r>
    </w:p>
    <w:p>
      <w:pPr>
        <w:pStyle w:val="BodyText"/>
        <w:spacing w:line="364" w:lineRule="auto" w:before="4"/>
        <w:ind w:right="357" w:firstLine="479"/>
        <w:jc w:val="both"/>
      </w:pPr>
      <w:r>
        <w:rPr/>
        <w:t>基金管理人应当自基金合同生效之日起 </w:t>
      </w:r>
      <w:r>
        <w:rPr>
          <w:rFonts w:ascii="Times New Roman" w:eastAsia="Times New Roman"/>
        </w:rPr>
        <w:t>6 </w:t>
      </w:r>
      <w:r>
        <w:rPr>
          <w:spacing w:val="-1"/>
        </w:rPr>
        <w:t>个月内使基金的投资组合比例符</w:t>
      </w:r>
      <w:r>
        <w:rPr>
          <w:spacing w:val="-10"/>
        </w:rPr>
        <w:t>合基金合同的有关约定。基金托管人对基金的投资的监督与检查自本基金合同生</w:t>
      </w:r>
      <w:r>
        <w:rPr/>
        <w:t>效之日起开始。</w:t>
      </w:r>
    </w:p>
    <w:p>
      <w:pPr>
        <w:pStyle w:val="ListParagraph"/>
        <w:numPr>
          <w:ilvl w:val="0"/>
          <w:numId w:val="48"/>
        </w:numPr>
        <w:tabs>
          <w:tab w:pos="1202" w:val="left" w:leader="none"/>
        </w:tabs>
        <w:spacing w:line="240" w:lineRule="auto" w:before="2" w:after="0"/>
        <w:ind w:left="1201" w:right="0" w:hanging="602"/>
        <w:jc w:val="left"/>
        <w:rPr>
          <w:sz w:val="24"/>
        </w:rPr>
      </w:pPr>
      <w:r>
        <w:rPr>
          <w:sz w:val="24"/>
        </w:rPr>
        <w:t>禁止行为</w:t>
      </w:r>
    </w:p>
    <w:p>
      <w:pPr>
        <w:pStyle w:val="BodyText"/>
        <w:spacing w:before="160"/>
        <w:ind w:left="600"/>
      </w:pPr>
      <w:r>
        <w:rPr/>
        <w:t>为维护基金份额持有人的合法权益，基金财产不得用于下列投资或者活动：</w:t>
      </w:r>
    </w:p>
    <w:p>
      <w:pPr>
        <w:pStyle w:val="ListParagraph"/>
        <w:numPr>
          <w:ilvl w:val="0"/>
          <w:numId w:val="50"/>
        </w:numPr>
        <w:tabs>
          <w:tab w:pos="962" w:val="left" w:leader="none"/>
        </w:tabs>
        <w:spacing w:line="240" w:lineRule="auto" w:before="161" w:after="0"/>
        <w:ind w:left="961" w:right="0" w:hanging="362"/>
        <w:jc w:val="left"/>
        <w:rPr>
          <w:sz w:val="24"/>
        </w:rPr>
      </w:pPr>
      <w:r>
        <w:rPr>
          <w:sz w:val="24"/>
        </w:rPr>
        <w:t>承销证券；</w:t>
      </w:r>
    </w:p>
    <w:p>
      <w:pPr>
        <w:pStyle w:val="ListParagraph"/>
        <w:numPr>
          <w:ilvl w:val="0"/>
          <w:numId w:val="50"/>
        </w:numPr>
        <w:tabs>
          <w:tab w:pos="962" w:val="left" w:leader="none"/>
        </w:tabs>
        <w:spacing w:line="240" w:lineRule="auto" w:before="161" w:after="0"/>
        <w:ind w:left="961" w:right="0" w:hanging="362"/>
        <w:jc w:val="left"/>
        <w:rPr>
          <w:sz w:val="24"/>
        </w:rPr>
      </w:pPr>
      <w:r>
        <w:rPr>
          <w:sz w:val="24"/>
        </w:rPr>
        <w:t>向他人贷款或者提供担保；</w:t>
      </w:r>
    </w:p>
    <w:p>
      <w:pPr>
        <w:pStyle w:val="ListParagraph"/>
        <w:numPr>
          <w:ilvl w:val="0"/>
          <w:numId w:val="50"/>
        </w:numPr>
        <w:tabs>
          <w:tab w:pos="962" w:val="left" w:leader="none"/>
        </w:tabs>
        <w:spacing w:line="240" w:lineRule="auto" w:before="160" w:after="0"/>
        <w:ind w:left="961" w:right="0" w:hanging="362"/>
        <w:jc w:val="left"/>
        <w:rPr>
          <w:sz w:val="24"/>
        </w:rPr>
      </w:pPr>
      <w:r>
        <w:rPr>
          <w:sz w:val="24"/>
        </w:rPr>
        <w:t>从事承担无限责任的投资；</w:t>
      </w:r>
    </w:p>
    <w:p>
      <w:pPr>
        <w:pStyle w:val="ListParagraph"/>
        <w:numPr>
          <w:ilvl w:val="0"/>
          <w:numId w:val="50"/>
        </w:numPr>
        <w:tabs>
          <w:tab w:pos="962" w:val="left" w:leader="none"/>
        </w:tabs>
        <w:spacing w:line="240" w:lineRule="auto" w:before="161" w:after="0"/>
        <w:ind w:left="961" w:right="0" w:hanging="362"/>
        <w:jc w:val="left"/>
        <w:rPr>
          <w:sz w:val="24"/>
        </w:rPr>
      </w:pPr>
      <w:r>
        <w:rPr>
          <w:sz w:val="24"/>
        </w:rPr>
        <w:t>买卖其他基金份额，但是国务院另有规定的除外；</w:t>
      </w:r>
    </w:p>
    <w:p>
      <w:pPr>
        <w:spacing w:after="0" w:line="240" w:lineRule="auto"/>
        <w:jc w:val="left"/>
        <w:rPr>
          <w:sz w:val="24"/>
        </w:rPr>
        <w:sectPr>
          <w:pgSz w:w="11910" w:h="16840"/>
          <w:pgMar w:header="0" w:footer="995" w:top="1440" w:bottom="1180" w:left="1680" w:right="1440"/>
        </w:sectPr>
      </w:pPr>
    </w:p>
    <w:p>
      <w:pPr>
        <w:pStyle w:val="ListParagraph"/>
        <w:numPr>
          <w:ilvl w:val="0"/>
          <w:numId w:val="50"/>
        </w:numPr>
        <w:tabs>
          <w:tab w:pos="962" w:val="left" w:leader="none"/>
        </w:tabs>
        <w:spacing w:line="364" w:lineRule="auto" w:before="60" w:after="0"/>
        <w:ind w:left="120" w:right="364" w:firstLine="479"/>
        <w:jc w:val="left"/>
        <w:rPr>
          <w:sz w:val="24"/>
        </w:rPr>
      </w:pPr>
      <w:r>
        <w:rPr>
          <w:spacing w:val="-1"/>
          <w:sz w:val="24"/>
        </w:rPr>
        <w:t>向其基金管理人、基金托管人出资或者买卖其基金管理人、基金托管人</w:t>
      </w:r>
      <w:r>
        <w:rPr>
          <w:sz w:val="24"/>
        </w:rPr>
        <w:t>发行的股票或者债券；</w:t>
      </w:r>
    </w:p>
    <w:p>
      <w:pPr>
        <w:pStyle w:val="ListParagraph"/>
        <w:numPr>
          <w:ilvl w:val="0"/>
          <w:numId w:val="50"/>
        </w:numPr>
        <w:tabs>
          <w:tab w:pos="962" w:val="left" w:leader="none"/>
        </w:tabs>
        <w:spacing w:line="364" w:lineRule="auto" w:before="2" w:after="0"/>
        <w:ind w:left="120" w:right="117" w:firstLine="479"/>
        <w:jc w:val="left"/>
        <w:rPr>
          <w:sz w:val="24"/>
        </w:rPr>
      </w:pPr>
      <w:r>
        <w:rPr>
          <w:sz w:val="24"/>
        </w:rPr>
        <w:t>买卖与其基金管理人、基金托管人有控股关系的股东或者与其基金管理 </w:t>
      </w:r>
      <w:r>
        <w:rPr>
          <w:spacing w:val="-12"/>
          <w:sz w:val="24"/>
        </w:rPr>
        <w:t>人、基金托管人有其他重大利害关系的公司发行的证券或者承销期内承销的证券；</w:t>
      </w:r>
    </w:p>
    <w:p>
      <w:pPr>
        <w:pStyle w:val="ListParagraph"/>
        <w:numPr>
          <w:ilvl w:val="0"/>
          <w:numId w:val="50"/>
        </w:numPr>
        <w:tabs>
          <w:tab w:pos="962" w:val="left" w:leader="none"/>
        </w:tabs>
        <w:spacing w:line="240" w:lineRule="auto" w:before="1" w:after="0"/>
        <w:ind w:left="961" w:right="0" w:hanging="362"/>
        <w:jc w:val="left"/>
        <w:rPr>
          <w:sz w:val="24"/>
        </w:rPr>
      </w:pPr>
      <w:r>
        <w:rPr>
          <w:sz w:val="24"/>
        </w:rPr>
        <w:t>从事内幕交易、操纵证券交易价格及其他不正当的证券交易活动；</w:t>
      </w:r>
    </w:p>
    <w:p>
      <w:pPr>
        <w:pStyle w:val="ListParagraph"/>
        <w:numPr>
          <w:ilvl w:val="0"/>
          <w:numId w:val="50"/>
        </w:numPr>
        <w:tabs>
          <w:tab w:pos="962" w:val="left" w:leader="none"/>
        </w:tabs>
        <w:spacing w:line="240" w:lineRule="auto" w:before="161" w:after="0"/>
        <w:ind w:left="961" w:right="0" w:hanging="362"/>
        <w:jc w:val="left"/>
        <w:rPr>
          <w:sz w:val="24"/>
        </w:rPr>
      </w:pPr>
      <w:r>
        <w:rPr>
          <w:sz w:val="24"/>
        </w:rPr>
        <w:t>依照法律法规有关规定，由中国证监会规定禁止的其他活动。</w:t>
      </w:r>
    </w:p>
    <w:p>
      <w:pPr>
        <w:pStyle w:val="BodyText"/>
        <w:spacing w:before="160"/>
        <w:ind w:left="600"/>
      </w:pPr>
      <w:r>
        <w:rPr/>
        <w:t>（八）基金资产净值的计算方法和公告方式</w:t>
      </w:r>
    </w:p>
    <w:p>
      <w:pPr>
        <w:pStyle w:val="BodyText"/>
        <w:ind w:left="600"/>
      </w:pPr>
      <w:r>
        <w:rPr>
          <w:rFonts w:ascii="Times New Roman" w:eastAsia="Times New Roman"/>
        </w:rPr>
        <w:t>1</w:t>
      </w:r>
      <w:r>
        <w:rPr/>
        <w:t>、估值日</w:t>
      </w:r>
    </w:p>
    <w:p>
      <w:pPr>
        <w:pStyle w:val="BodyText"/>
        <w:spacing w:line="364" w:lineRule="auto" w:before="160"/>
        <w:ind w:right="350" w:firstLine="479"/>
      </w:pPr>
      <w:r>
        <w:rPr/>
        <w:t>本基金的估值日为本基金相关的证券交易场所的交易日以及国家法律法规规定需要对外披露基金净值的非交易日。</w:t>
      </w:r>
    </w:p>
    <w:p>
      <w:pPr>
        <w:pStyle w:val="BodyText"/>
        <w:spacing w:before="2"/>
        <w:ind w:left="600"/>
      </w:pPr>
      <w:r>
        <w:rPr>
          <w:rFonts w:ascii="Times New Roman" w:eastAsia="Times New Roman"/>
        </w:rPr>
        <w:t>2</w:t>
      </w:r>
      <w:r>
        <w:rPr/>
        <w:t>、估值对象</w:t>
      </w:r>
    </w:p>
    <w:p>
      <w:pPr>
        <w:pStyle w:val="BodyText"/>
        <w:spacing w:line="364" w:lineRule="auto"/>
        <w:ind w:right="358" w:firstLine="479"/>
      </w:pPr>
      <w:r>
        <w:rPr>
          <w:spacing w:val="-8"/>
        </w:rPr>
        <w:t>基金所拥有的债券、资产支持证券和银行存款本息、应收款项、其它投资等</w:t>
      </w:r>
      <w:r>
        <w:rPr/>
        <w:t>资产及负债。</w:t>
      </w:r>
    </w:p>
    <w:p>
      <w:pPr>
        <w:pStyle w:val="BodyText"/>
        <w:spacing w:before="1"/>
        <w:ind w:left="600"/>
      </w:pPr>
      <w:r>
        <w:rPr>
          <w:rFonts w:ascii="Times New Roman" w:eastAsia="Times New Roman"/>
        </w:rPr>
        <w:t>3</w:t>
      </w:r>
      <w:r>
        <w:rPr/>
        <w:t>、估值程序</w:t>
      </w:r>
    </w:p>
    <w:p>
      <w:pPr>
        <w:pStyle w:val="ListParagraph"/>
        <w:numPr>
          <w:ilvl w:val="0"/>
          <w:numId w:val="51"/>
        </w:numPr>
        <w:tabs>
          <w:tab w:pos="1202" w:val="left" w:leader="none"/>
        </w:tabs>
        <w:spacing w:line="364" w:lineRule="auto" w:before="160" w:after="0"/>
        <w:ind w:left="120" w:right="356" w:firstLine="479"/>
        <w:jc w:val="both"/>
        <w:rPr>
          <w:sz w:val="24"/>
        </w:rPr>
      </w:pPr>
      <w:r>
        <w:rPr>
          <w:sz w:val="24"/>
        </w:rPr>
        <w:t>基金份额净值是按照每个工作日闭市后，基金资产净值除以当日基金</w:t>
      </w:r>
      <w:r>
        <w:rPr>
          <w:spacing w:val="-2"/>
          <w:sz w:val="24"/>
        </w:rPr>
        <w:t>份额的余额数量计算，精确到 </w:t>
      </w:r>
      <w:r>
        <w:rPr>
          <w:rFonts w:ascii="Times New Roman" w:eastAsia="Times New Roman"/>
          <w:sz w:val="24"/>
        </w:rPr>
        <w:t>0.0001</w:t>
      </w:r>
      <w:r>
        <w:rPr>
          <w:rFonts w:ascii="Times New Roman" w:eastAsia="Times New Roman"/>
          <w:spacing w:val="43"/>
          <w:sz w:val="24"/>
        </w:rPr>
        <w:t> </w:t>
      </w:r>
      <w:r>
        <w:rPr>
          <w:spacing w:val="-1"/>
          <w:sz w:val="24"/>
        </w:rPr>
        <w:t>元，小数点后第五位四舍五入。国家另有</w:t>
      </w:r>
      <w:r>
        <w:rPr>
          <w:sz w:val="24"/>
        </w:rPr>
        <w:t>规定的，从其规定。</w:t>
      </w:r>
    </w:p>
    <w:p>
      <w:pPr>
        <w:pStyle w:val="BodyText"/>
        <w:spacing w:before="3"/>
        <w:ind w:left="600"/>
      </w:pPr>
      <w:r>
        <w:rPr/>
        <w:t>每个工作日计算基金资产净值及基金份额净值，并按规定公告。</w:t>
      </w:r>
    </w:p>
    <w:p>
      <w:pPr>
        <w:pStyle w:val="ListParagraph"/>
        <w:numPr>
          <w:ilvl w:val="0"/>
          <w:numId w:val="51"/>
        </w:numPr>
        <w:tabs>
          <w:tab w:pos="1202" w:val="left" w:leader="none"/>
        </w:tabs>
        <w:spacing w:line="364" w:lineRule="auto" w:before="160" w:after="0"/>
        <w:ind w:left="120" w:right="358" w:firstLine="479"/>
        <w:jc w:val="both"/>
        <w:rPr>
          <w:sz w:val="24"/>
        </w:rPr>
      </w:pPr>
      <w:r>
        <w:rPr>
          <w:sz w:val="24"/>
        </w:rPr>
        <w:t>基金管理人应每个工作日对基金资产估值。但基金管理人根据法律法</w:t>
      </w:r>
      <w:r>
        <w:rPr>
          <w:spacing w:val="-7"/>
          <w:sz w:val="24"/>
        </w:rPr>
        <w:t>规或本基金合同的规定暂停估值时除外。基金管理人每个工作日对基金资产估值</w:t>
      </w:r>
      <w:r>
        <w:rPr>
          <w:spacing w:val="-10"/>
          <w:sz w:val="24"/>
        </w:rPr>
        <w:t>后，将基金份额净值结果发送基金托管人，经基金托管人复核无误后，由基金管</w:t>
      </w:r>
      <w:r>
        <w:rPr>
          <w:sz w:val="24"/>
        </w:rPr>
        <w:t>理人对外公布。</w:t>
      </w:r>
    </w:p>
    <w:p>
      <w:pPr>
        <w:pStyle w:val="BodyText"/>
        <w:spacing w:before="2"/>
        <w:ind w:left="600"/>
      </w:pPr>
      <w:r>
        <w:rPr>
          <w:rFonts w:ascii="Times New Roman" w:eastAsia="Times New Roman"/>
        </w:rPr>
        <w:t>4</w:t>
      </w:r>
      <w:r>
        <w:rPr/>
        <w:t>、基金净值信息的公告</w:t>
      </w:r>
    </w:p>
    <w:p>
      <w:pPr>
        <w:pStyle w:val="BodyText"/>
        <w:spacing w:line="364" w:lineRule="auto"/>
        <w:ind w:right="357" w:firstLine="479"/>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before="2"/>
        <w:ind w:right="357" w:firstLine="479"/>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before="1"/>
        <w:ind w:left="600"/>
      </w:pPr>
      <w:r>
        <w:rPr/>
        <w:t>基金管理人应当在不晚于半年度和年度最后一日的次日，在指定网站披露半</w:t>
      </w:r>
    </w:p>
    <w:p>
      <w:pPr>
        <w:spacing w:after="0"/>
        <w:sectPr>
          <w:pgSz w:w="11910" w:h="16840"/>
          <w:pgMar w:header="0" w:footer="995" w:top="1440" w:bottom="1180" w:left="1680" w:right="1440"/>
        </w:sectPr>
      </w:pPr>
    </w:p>
    <w:p>
      <w:pPr>
        <w:pStyle w:val="BodyText"/>
        <w:spacing w:before="40"/>
      </w:pPr>
      <w:r>
        <w:rPr/>
        <w:t>年度和年度最后一日的基金份额净值和基金份额累计净值。</w:t>
      </w:r>
    </w:p>
    <w:p>
      <w:pPr>
        <w:pStyle w:val="BodyText"/>
        <w:ind w:left="600"/>
      </w:pPr>
      <w:r>
        <w:rPr/>
        <w:t>（九）基金合同解除和终止的事由、程序以及基金财产清算方式</w:t>
      </w:r>
    </w:p>
    <w:p>
      <w:pPr>
        <w:pStyle w:val="BodyText"/>
        <w:ind w:left="600"/>
      </w:pPr>
      <w:r>
        <w:rPr>
          <w:rFonts w:ascii="Times New Roman" w:eastAsia="Times New Roman"/>
        </w:rPr>
        <w:t>1</w:t>
      </w:r>
      <w:r>
        <w:rPr/>
        <w:t>、《基金合同》的变更</w:t>
      </w:r>
    </w:p>
    <w:p>
      <w:pPr>
        <w:pStyle w:val="ListParagraph"/>
        <w:numPr>
          <w:ilvl w:val="0"/>
          <w:numId w:val="52"/>
        </w:numPr>
        <w:tabs>
          <w:tab w:pos="1202" w:val="left" w:leader="none"/>
        </w:tabs>
        <w:spacing w:line="364" w:lineRule="auto" w:before="160" w:after="0"/>
        <w:ind w:left="120" w:right="357" w:firstLine="479"/>
        <w:jc w:val="both"/>
        <w:rPr>
          <w:sz w:val="24"/>
        </w:rPr>
      </w:pPr>
      <w:r>
        <w:rPr>
          <w:sz w:val="24"/>
        </w:rPr>
        <w:t>变更基金合同涉及法律法规规定或本基金合同约定应经基金份额持有</w:t>
      </w:r>
      <w:r>
        <w:rPr>
          <w:spacing w:val="-7"/>
          <w:sz w:val="24"/>
        </w:rPr>
        <w:t>人大会决议通过的事项的，应召开基金份额持有人大会决议通过。对于法律法规</w:t>
      </w:r>
      <w:r>
        <w:rPr>
          <w:spacing w:val="-5"/>
          <w:sz w:val="24"/>
        </w:rPr>
        <w:t>规定和基金合同约定可不经基金份额持有人大会决议通过的事项，由基金管理人</w:t>
      </w:r>
      <w:r>
        <w:rPr>
          <w:sz w:val="24"/>
        </w:rPr>
        <w:t>和基金托管人同意后变更并公告，并报中国证监会备案。</w:t>
      </w:r>
    </w:p>
    <w:p>
      <w:pPr>
        <w:pStyle w:val="ListParagraph"/>
        <w:numPr>
          <w:ilvl w:val="0"/>
          <w:numId w:val="52"/>
        </w:numPr>
        <w:tabs>
          <w:tab w:pos="1202" w:val="left" w:leader="none"/>
        </w:tabs>
        <w:spacing w:line="364" w:lineRule="auto" w:before="3" w:after="0"/>
        <w:ind w:left="120" w:right="364" w:firstLine="479"/>
        <w:jc w:val="left"/>
        <w:rPr>
          <w:sz w:val="24"/>
        </w:rPr>
      </w:pPr>
      <w:r>
        <w:rPr>
          <w:spacing w:val="-1"/>
          <w:sz w:val="24"/>
        </w:rPr>
        <w:t>关于《基金合同》变更的基金份额持有人大会决议经中国证监会核准</w:t>
      </w:r>
      <w:r>
        <w:rPr>
          <w:sz w:val="24"/>
        </w:rPr>
        <w:t>生效后方可执行，自决议生效后两日内在指定媒介公告。</w:t>
      </w:r>
    </w:p>
    <w:p>
      <w:pPr>
        <w:pStyle w:val="BodyText"/>
        <w:spacing w:before="2"/>
        <w:ind w:left="600"/>
      </w:pPr>
      <w:r>
        <w:rPr>
          <w:rFonts w:ascii="Times New Roman" w:eastAsia="Times New Roman"/>
        </w:rPr>
        <w:t>2</w:t>
      </w:r>
      <w:r>
        <w:rPr/>
        <w:t>、《基金合同》的终止事由</w:t>
      </w:r>
    </w:p>
    <w:p>
      <w:pPr>
        <w:pStyle w:val="BodyText"/>
        <w:spacing w:before="160"/>
        <w:ind w:left="600"/>
      </w:pPr>
      <w:r>
        <w:rPr/>
        <w:t>有下列情形之一的，《基金合同》应当终止：</w:t>
      </w:r>
    </w:p>
    <w:p>
      <w:pPr>
        <w:pStyle w:val="ListParagraph"/>
        <w:numPr>
          <w:ilvl w:val="0"/>
          <w:numId w:val="53"/>
        </w:numPr>
        <w:tabs>
          <w:tab w:pos="1202" w:val="left" w:leader="none"/>
        </w:tabs>
        <w:spacing w:line="240" w:lineRule="auto" w:before="161" w:after="0"/>
        <w:ind w:left="1201" w:right="0" w:hanging="602"/>
        <w:jc w:val="left"/>
        <w:rPr>
          <w:sz w:val="24"/>
        </w:rPr>
      </w:pPr>
      <w:r>
        <w:rPr>
          <w:sz w:val="24"/>
        </w:rPr>
        <w:t>基金份额持有人大会决定终止的；</w:t>
      </w:r>
    </w:p>
    <w:p>
      <w:pPr>
        <w:pStyle w:val="ListParagraph"/>
        <w:numPr>
          <w:ilvl w:val="0"/>
          <w:numId w:val="53"/>
        </w:numPr>
        <w:tabs>
          <w:tab w:pos="1202" w:val="left" w:leader="none"/>
        </w:tabs>
        <w:spacing w:line="364" w:lineRule="auto" w:before="160" w:after="0"/>
        <w:ind w:left="120" w:right="356" w:firstLine="479"/>
        <w:jc w:val="both"/>
        <w:rPr>
          <w:sz w:val="24"/>
        </w:rPr>
      </w:pPr>
      <w:r>
        <w:rPr>
          <w:spacing w:val="-3"/>
          <w:sz w:val="24"/>
        </w:rPr>
        <w:t>基金管理人、基金托管人职责终止，在 </w:t>
      </w:r>
      <w:r>
        <w:rPr>
          <w:rFonts w:ascii="Times New Roman" w:eastAsia="Times New Roman"/>
          <w:sz w:val="24"/>
        </w:rPr>
        <w:t>6</w:t>
      </w:r>
      <w:r>
        <w:rPr>
          <w:rFonts w:ascii="Times New Roman" w:eastAsia="Times New Roman"/>
          <w:spacing w:val="13"/>
          <w:sz w:val="24"/>
        </w:rPr>
        <w:t> </w:t>
      </w:r>
      <w:r>
        <w:rPr>
          <w:spacing w:val="-2"/>
          <w:sz w:val="24"/>
        </w:rPr>
        <w:t>个月内没有新基金管理人、</w:t>
      </w:r>
      <w:r>
        <w:rPr>
          <w:sz w:val="24"/>
        </w:rPr>
        <w:t>新基金托管人承接的；</w:t>
      </w:r>
    </w:p>
    <w:p>
      <w:pPr>
        <w:pStyle w:val="ListParagraph"/>
        <w:numPr>
          <w:ilvl w:val="0"/>
          <w:numId w:val="53"/>
        </w:numPr>
        <w:tabs>
          <w:tab w:pos="1202" w:val="left" w:leader="none"/>
        </w:tabs>
        <w:spacing w:line="364" w:lineRule="auto" w:before="1" w:after="0"/>
        <w:ind w:left="120" w:right="356" w:firstLine="479"/>
        <w:jc w:val="both"/>
        <w:rPr>
          <w:sz w:val="24"/>
        </w:rPr>
      </w:pPr>
      <w:r>
        <w:rPr>
          <w:spacing w:val="-13"/>
          <w:sz w:val="24"/>
        </w:rPr>
        <w:t>《基金合同》生效三年后的年度对日，基金资产净值低于 </w:t>
      </w:r>
      <w:r>
        <w:rPr>
          <w:rFonts w:ascii="Times New Roman" w:eastAsia="Times New Roman"/>
          <w:sz w:val="24"/>
        </w:rPr>
        <w:t>2 </w:t>
      </w:r>
      <w:r>
        <w:rPr>
          <w:sz w:val="24"/>
        </w:rPr>
        <w:t>亿元的</w:t>
      </w:r>
      <w:r>
        <w:rPr>
          <w:spacing w:val="-87"/>
          <w:sz w:val="24"/>
        </w:rPr>
        <w:t>，《</w:t>
      </w:r>
      <w:r>
        <w:rPr>
          <w:spacing w:val="-20"/>
          <w:sz w:val="24"/>
        </w:rPr>
        <w:t>基金合同》终止，且基金合同当事人不得通过召集、召开持有人大会的方式延续《</w:t>
      </w:r>
      <w:r>
        <w:rPr>
          <w:spacing w:val="-4"/>
          <w:sz w:val="24"/>
        </w:rPr>
        <w:t>基金合同》效力；</w:t>
      </w:r>
    </w:p>
    <w:p>
      <w:pPr>
        <w:pStyle w:val="ListParagraph"/>
        <w:numPr>
          <w:ilvl w:val="0"/>
          <w:numId w:val="53"/>
        </w:numPr>
        <w:tabs>
          <w:tab w:pos="1202" w:val="left" w:leader="none"/>
        </w:tabs>
        <w:spacing w:line="240" w:lineRule="auto" w:before="3" w:after="0"/>
        <w:ind w:left="1201" w:right="0" w:hanging="602"/>
        <w:jc w:val="left"/>
        <w:rPr>
          <w:sz w:val="24"/>
        </w:rPr>
      </w:pPr>
      <w:r>
        <w:rPr>
          <w:sz w:val="24"/>
        </w:rPr>
        <w:t>《基金合同》约定的其他情形；</w:t>
      </w:r>
    </w:p>
    <w:p>
      <w:pPr>
        <w:pStyle w:val="ListParagraph"/>
        <w:numPr>
          <w:ilvl w:val="0"/>
          <w:numId w:val="53"/>
        </w:numPr>
        <w:tabs>
          <w:tab w:pos="1202" w:val="left" w:leader="none"/>
        </w:tabs>
        <w:spacing w:line="240" w:lineRule="auto" w:before="160" w:after="0"/>
        <w:ind w:left="1201" w:right="0" w:hanging="602"/>
        <w:jc w:val="left"/>
        <w:rPr>
          <w:sz w:val="24"/>
        </w:rPr>
      </w:pPr>
      <w:r>
        <w:rPr>
          <w:sz w:val="24"/>
        </w:rPr>
        <w:t>相关法律法规和中国证监会规定的其他情况。</w:t>
      </w:r>
    </w:p>
    <w:p>
      <w:pPr>
        <w:pStyle w:val="BodyText"/>
        <w:spacing w:before="160"/>
        <w:ind w:left="600"/>
      </w:pPr>
      <w:r>
        <w:rPr>
          <w:rFonts w:ascii="Times New Roman" w:eastAsia="Times New Roman"/>
        </w:rPr>
        <w:t>3</w:t>
      </w:r>
      <w:r>
        <w:rPr/>
        <w:t>、基金财产的清算</w:t>
      </w:r>
    </w:p>
    <w:p>
      <w:pPr>
        <w:pStyle w:val="ListParagraph"/>
        <w:numPr>
          <w:ilvl w:val="0"/>
          <w:numId w:val="54"/>
        </w:numPr>
        <w:tabs>
          <w:tab w:pos="1202" w:val="left" w:leader="none"/>
        </w:tabs>
        <w:spacing w:line="364" w:lineRule="auto" w:before="161" w:after="0"/>
        <w:ind w:left="120" w:right="357" w:firstLine="479"/>
        <w:jc w:val="both"/>
        <w:rPr>
          <w:sz w:val="24"/>
        </w:rPr>
      </w:pPr>
      <w:r>
        <w:rPr>
          <w:spacing w:val="-9"/>
          <w:sz w:val="24"/>
        </w:rPr>
        <w:t>基金财产清算小组：自出现《基金合同》终止事由之日起 </w:t>
      </w:r>
      <w:r>
        <w:rPr>
          <w:rFonts w:ascii="Times New Roman" w:eastAsia="Times New Roman"/>
          <w:sz w:val="24"/>
        </w:rPr>
        <w:t>30 </w:t>
      </w:r>
      <w:r>
        <w:rPr>
          <w:sz w:val="24"/>
        </w:rPr>
        <w:t>个工作</w:t>
      </w:r>
      <w:r>
        <w:rPr>
          <w:spacing w:val="-11"/>
          <w:sz w:val="24"/>
        </w:rPr>
        <w:t>日内成立清算小组，基金管理人组织基金财产清算小组并在中国证监会的监督下</w:t>
      </w:r>
      <w:r>
        <w:rPr>
          <w:spacing w:val="-4"/>
          <w:sz w:val="24"/>
        </w:rPr>
        <w:t>进行基金清算。</w:t>
      </w:r>
    </w:p>
    <w:p>
      <w:pPr>
        <w:pStyle w:val="ListParagraph"/>
        <w:numPr>
          <w:ilvl w:val="0"/>
          <w:numId w:val="54"/>
        </w:numPr>
        <w:tabs>
          <w:tab w:pos="1202" w:val="left" w:leader="none"/>
        </w:tabs>
        <w:spacing w:line="364" w:lineRule="auto" w:before="2" w:after="0"/>
        <w:ind w:left="120" w:right="359" w:firstLine="479"/>
        <w:jc w:val="both"/>
        <w:rPr>
          <w:sz w:val="24"/>
        </w:rPr>
      </w:pPr>
      <w:r>
        <w:rPr>
          <w:sz w:val="24"/>
        </w:rPr>
        <w:t>基金财产清算小组组成：基金财产清算小组成员由基金管理人、基金</w:t>
      </w:r>
      <w:r>
        <w:rPr>
          <w:spacing w:val="-10"/>
          <w:sz w:val="24"/>
        </w:rPr>
        <w:t>托管人、具有从事证券相关业务资格的注册会计师、律师以及中国证监会指定的</w:t>
      </w:r>
      <w:r>
        <w:rPr>
          <w:sz w:val="24"/>
        </w:rPr>
        <w:t>人员组成。基金财产清算小组可以聘用必要的工作人员。</w:t>
      </w:r>
    </w:p>
    <w:p>
      <w:pPr>
        <w:pStyle w:val="ListParagraph"/>
        <w:numPr>
          <w:ilvl w:val="0"/>
          <w:numId w:val="54"/>
        </w:numPr>
        <w:tabs>
          <w:tab w:pos="1202" w:val="left" w:leader="none"/>
        </w:tabs>
        <w:spacing w:line="364" w:lineRule="auto" w:before="2" w:after="0"/>
        <w:ind w:left="120" w:right="364" w:firstLine="479"/>
        <w:jc w:val="left"/>
        <w:rPr>
          <w:sz w:val="24"/>
        </w:rPr>
      </w:pPr>
      <w:r>
        <w:rPr>
          <w:spacing w:val="-1"/>
          <w:sz w:val="24"/>
        </w:rPr>
        <w:t>基金财产清算小组职责：基金财产清算小组负责基金财产的保管、清</w:t>
      </w:r>
      <w:r>
        <w:rPr>
          <w:sz w:val="24"/>
        </w:rPr>
        <w:t>理、估价、变现和分配。基金财产清算小组可以依法进行必要的民事活动。</w:t>
      </w:r>
    </w:p>
    <w:p>
      <w:pPr>
        <w:pStyle w:val="ListParagraph"/>
        <w:numPr>
          <w:ilvl w:val="0"/>
          <w:numId w:val="54"/>
        </w:numPr>
        <w:tabs>
          <w:tab w:pos="1202" w:val="left" w:leader="none"/>
        </w:tabs>
        <w:spacing w:line="240" w:lineRule="auto" w:before="1" w:after="0"/>
        <w:ind w:left="1201" w:right="0" w:hanging="602"/>
        <w:jc w:val="left"/>
        <w:rPr>
          <w:sz w:val="24"/>
        </w:rPr>
      </w:pPr>
      <w:r>
        <w:rPr>
          <w:sz w:val="24"/>
        </w:rPr>
        <w:t>基金财产清算程序：</w:t>
      </w:r>
    </w:p>
    <w:p>
      <w:pPr>
        <w:spacing w:after="0" w:line="240" w:lineRule="auto"/>
        <w:jc w:val="left"/>
        <w:rPr>
          <w:sz w:val="24"/>
        </w:rPr>
        <w:sectPr>
          <w:pgSz w:w="11910" w:h="16840"/>
          <w:pgMar w:header="0" w:footer="995" w:top="1460" w:bottom="1180" w:left="1680" w:right="1440"/>
        </w:sectPr>
      </w:pPr>
    </w:p>
    <w:p>
      <w:pPr>
        <w:pStyle w:val="ListParagraph"/>
        <w:numPr>
          <w:ilvl w:val="0"/>
          <w:numId w:val="55"/>
        </w:numPr>
        <w:tabs>
          <w:tab w:pos="962" w:val="left" w:leader="none"/>
        </w:tabs>
        <w:spacing w:line="240" w:lineRule="auto" w:before="60" w:after="0"/>
        <w:ind w:left="961" w:right="0" w:hanging="362"/>
        <w:jc w:val="left"/>
        <w:rPr>
          <w:sz w:val="24"/>
        </w:rPr>
      </w:pPr>
      <w:r>
        <w:rPr>
          <w:sz w:val="24"/>
        </w:rPr>
        <w:t>《基金合同》终止情形出现时，由基金财产清算小组统一接管基金；</w:t>
      </w:r>
    </w:p>
    <w:p>
      <w:pPr>
        <w:pStyle w:val="ListParagraph"/>
        <w:numPr>
          <w:ilvl w:val="0"/>
          <w:numId w:val="55"/>
        </w:numPr>
        <w:tabs>
          <w:tab w:pos="962" w:val="left" w:leader="none"/>
        </w:tabs>
        <w:spacing w:line="240" w:lineRule="auto" w:before="161" w:after="0"/>
        <w:ind w:left="961" w:right="0" w:hanging="362"/>
        <w:jc w:val="left"/>
        <w:rPr>
          <w:sz w:val="24"/>
        </w:rPr>
      </w:pPr>
      <w:r>
        <w:rPr>
          <w:sz w:val="24"/>
        </w:rPr>
        <w:t>对基金财产和债权债务进行清理和确认；</w:t>
      </w:r>
    </w:p>
    <w:p>
      <w:pPr>
        <w:pStyle w:val="ListParagraph"/>
        <w:numPr>
          <w:ilvl w:val="0"/>
          <w:numId w:val="55"/>
        </w:numPr>
        <w:tabs>
          <w:tab w:pos="962" w:val="left" w:leader="none"/>
        </w:tabs>
        <w:spacing w:line="240" w:lineRule="auto" w:before="161" w:after="0"/>
        <w:ind w:left="961" w:right="0" w:hanging="362"/>
        <w:jc w:val="left"/>
        <w:rPr>
          <w:sz w:val="24"/>
        </w:rPr>
      </w:pPr>
      <w:r>
        <w:rPr>
          <w:sz w:val="24"/>
        </w:rPr>
        <w:t>对基金财产进行估值和变现；</w:t>
      </w:r>
    </w:p>
    <w:p>
      <w:pPr>
        <w:pStyle w:val="ListParagraph"/>
        <w:numPr>
          <w:ilvl w:val="0"/>
          <w:numId w:val="55"/>
        </w:numPr>
        <w:tabs>
          <w:tab w:pos="962" w:val="left" w:leader="none"/>
        </w:tabs>
        <w:spacing w:line="240" w:lineRule="auto" w:before="160" w:after="0"/>
        <w:ind w:left="961" w:right="0" w:hanging="362"/>
        <w:jc w:val="left"/>
        <w:rPr>
          <w:sz w:val="24"/>
        </w:rPr>
      </w:pPr>
      <w:r>
        <w:rPr>
          <w:sz w:val="24"/>
        </w:rPr>
        <w:t>制作清算报告；</w:t>
      </w:r>
    </w:p>
    <w:p>
      <w:pPr>
        <w:pStyle w:val="ListParagraph"/>
        <w:numPr>
          <w:ilvl w:val="0"/>
          <w:numId w:val="55"/>
        </w:numPr>
        <w:tabs>
          <w:tab w:pos="962" w:val="left" w:leader="none"/>
        </w:tabs>
        <w:spacing w:line="364" w:lineRule="auto" w:before="161" w:after="0"/>
        <w:ind w:left="120" w:right="364" w:firstLine="479"/>
        <w:jc w:val="left"/>
        <w:rPr>
          <w:sz w:val="24"/>
        </w:rPr>
      </w:pPr>
      <w:r>
        <w:rPr>
          <w:spacing w:val="-1"/>
          <w:sz w:val="24"/>
        </w:rPr>
        <w:t>聘请会计师事务所对清算报告进行外部审计，聘请律师事务所对清算报</w:t>
      </w:r>
      <w:r>
        <w:rPr>
          <w:sz w:val="24"/>
        </w:rPr>
        <w:t>告出具法律意见书；</w:t>
      </w:r>
    </w:p>
    <w:p>
      <w:pPr>
        <w:pStyle w:val="ListParagraph"/>
        <w:numPr>
          <w:ilvl w:val="0"/>
          <w:numId w:val="55"/>
        </w:numPr>
        <w:tabs>
          <w:tab w:pos="962" w:val="left" w:leader="none"/>
        </w:tabs>
        <w:spacing w:line="240" w:lineRule="auto" w:before="1" w:after="0"/>
        <w:ind w:left="961" w:right="0" w:hanging="362"/>
        <w:jc w:val="left"/>
        <w:rPr>
          <w:sz w:val="24"/>
        </w:rPr>
      </w:pPr>
      <w:r>
        <w:rPr>
          <w:sz w:val="24"/>
        </w:rPr>
        <w:t>将清算报告报中国证监会备案并公告；</w:t>
      </w:r>
    </w:p>
    <w:p>
      <w:pPr>
        <w:pStyle w:val="ListParagraph"/>
        <w:numPr>
          <w:ilvl w:val="0"/>
          <w:numId w:val="55"/>
        </w:numPr>
        <w:tabs>
          <w:tab w:pos="962" w:val="left" w:leader="none"/>
        </w:tabs>
        <w:spacing w:line="240" w:lineRule="auto" w:before="161" w:after="0"/>
        <w:ind w:left="961" w:right="0" w:hanging="362"/>
        <w:jc w:val="left"/>
        <w:rPr>
          <w:sz w:val="24"/>
        </w:rPr>
      </w:pPr>
      <w:r>
        <w:rPr>
          <w:sz w:val="24"/>
        </w:rPr>
        <w:t>对基金财产进行分配。</w:t>
      </w:r>
    </w:p>
    <w:p>
      <w:pPr>
        <w:pStyle w:val="ListParagraph"/>
        <w:numPr>
          <w:ilvl w:val="0"/>
          <w:numId w:val="54"/>
        </w:numPr>
        <w:tabs>
          <w:tab w:pos="1202" w:val="left" w:leader="none"/>
        </w:tabs>
        <w:spacing w:line="240" w:lineRule="auto" w:before="160" w:after="0"/>
        <w:ind w:left="1201" w:right="0" w:hanging="602"/>
        <w:jc w:val="left"/>
        <w:rPr>
          <w:sz w:val="24"/>
        </w:rPr>
      </w:pPr>
      <w:r>
        <w:rPr>
          <w:spacing w:val="-6"/>
          <w:sz w:val="24"/>
        </w:rPr>
        <w:t>基金财产清算的期限为 </w:t>
      </w:r>
      <w:r>
        <w:rPr>
          <w:rFonts w:ascii="Times New Roman" w:eastAsia="Times New Roman"/>
          <w:sz w:val="24"/>
        </w:rPr>
        <w:t>9 </w:t>
      </w:r>
      <w:r>
        <w:rPr>
          <w:sz w:val="24"/>
        </w:rPr>
        <w:t>个月。</w:t>
      </w:r>
    </w:p>
    <w:p>
      <w:pPr>
        <w:pStyle w:val="BodyText"/>
        <w:ind w:left="600"/>
      </w:pPr>
      <w:r>
        <w:rPr>
          <w:rFonts w:ascii="Times New Roman" w:eastAsia="Times New Roman"/>
        </w:rPr>
        <w:t>4</w:t>
      </w:r>
      <w:r>
        <w:rPr/>
        <w:t>、清算费用</w:t>
      </w:r>
    </w:p>
    <w:p>
      <w:pPr>
        <w:pStyle w:val="BodyText"/>
        <w:spacing w:line="364" w:lineRule="auto"/>
        <w:ind w:right="350" w:firstLine="479"/>
      </w:pPr>
      <w:r>
        <w:rPr/>
        <w:t>清算费用是指基金财产清算小组在进行基金清算过程中发生的所有合理费用，清算费用由基金财产清算小组优先从基金财产中支付。</w:t>
      </w:r>
    </w:p>
    <w:p>
      <w:pPr>
        <w:pStyle w:val="BodyText"/>
        <w:spacing w:before="1"/>
        <w:ind w:left="600"/>
      </w:pPr>
      <w:r>
        <w:rPr>
          <w:rFonts w:ascii="Times New Roman" w:eastAsia="Times New Roman"/>
        </w:rPr>
        <w:t>5</w:t>
      </w:r>
      <w:r>
        <w:rPr/>
        <w:t>、基金财产清算剩余资产的分配</w:t>
      </w:r>
    </w:p>
    <w:p>
      <w:pPr>
        <w:pStyle w:val="BodyText"/>
        <w:spacing w:line="364" w:lineRule="auto" w:before="160"/>
        <w:ind w:right="35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pPr>
      <w:r>
        <w:rPr>
          <w:rFonts w:ascii="Times New Roman" w:eastAsia="Times New Roman"/>
        </w:rPr>
        <w:t>6</w:t>
      </w:r>
      <w:r>
        <w:rPr/>
        <w:t>、基金财产清算的公告</w:t>
      </w:r>
    </w:p>
    <w:p>
      <w:pPr>
        <w:pStyle w:val="BodyText"/>
        <w:spacing w:line="364" w:lineRule="auto"/>
        <w:ind w:right="35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3"/>
        <w:ind w:left="600"/>
      </w:pPr>
      <w:r>
        <w:rPr>
          <w:rFonts w:ascii="Times New Roman" w:eastAsia="Times New Roman"/>
        </w:rPr>
        <w:t>7</w:t>
      </w:r>
      <w:r>
        <w:rPr/>
        <w:t>、基金财产清算账册及文件的保存</w:t>
      </w:r>
    </w:p>
    <w:p>
      <w:pPr>
        <w:pStyle w:val="BodyText"/>
        <w:spacing w:before="160"/>
        <w:ind w:left="600"/>
      </w:pPr>
      <w:r>
        <w:rPr/>
        <w:t>基金财产清算账册及有关文件由基金托管人保存 </w:t>
      </w:r>
      <w:r>
        <w:rPr>
          <w:rFonts w:ascii="Times New Roman" w:eastAsia="Times New Roman"/>
        </w:rPr>
        <w:t>15 </w:t>
      </w:r>
      <w:r>
        <w:rPr/>
        <w:t>年以上。</w:t>
      </w:r>
    </w:p>
    <w:p>
      <w:pPr>
        <w:pStyle w:val="BodyText"/>
        <w:spacing w:before="160"/>
        <w:ind w:left="600"/>
      </w:pPr>
      <w:r>
        <w:rPr/>
        <w:t>（十）争议解决方式</w:t>
      </w:r>
    </w:p>
    <w:p>
      <w:pPr>
        <w:pStyle w:val="BodyText"/>
        <w:spacing w:line="364" w:lineRule="auto"/>
        <w:ind w:right="357" w:firstLine="479"/>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t>是终局的，对各方当事人均有约束力，仲裁费用由败诉方承担。</w:t>
      </w:r>
    </w:p>
    <w:p>
      <w:pPr>
        <w:spacing w:after="0" w:line="364" w:lineRule="auto"/>
        <w:jc w:val="both"/>
        <w:sectPr>
          <w:pgSz w:w="11910" w:h="16840"/>
          <w:pgMar w:header="0" w:footer="995" w:top="1440" w:bottom="1180" w:left="1680" w:right="1440"/>
        </w:sectPr>
      </w:pPr>
    </w:p>
    <w:p>
      <w:pPr>
        <w:pStyle w:val="BodyText"/>
        <w:spacing w:line="364" w:lineRule="auto" w:before="40"/>
        <w:ind w:right="359" w:firstLine="479"/>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pPr>
      <w:r>
        <w:rPr/>
        <w:t>《基金合同》受中国法律管辖。</w:t>
      </w:r>
    </w:p>
    <w:p>
      <w:pPr>
        <w:pStyle w:val="BodyText"/>
        <w:ind w:left="600"/>
      </w:pPr>
      <w:r>
        <w:rPr/>
        <w:t>（十一）基金合同存放地和投资者取得基金合同的方式</w:t>
      </w:r>
    </w:p>
    <w:p>
      <w:pPr>
        <w:pStyle w:val="BodyText"/>
        <w:spacing w:line="364" w:lineRule="auto" w:before="160"/>
        <w:ind w:right="361" w:firstLine="479"/>
      </w:pPr>
      <w:r>
        <w:rPr>
          <w:rFonts w:ascii="Times New Roman" w:eastAsia="Times New Roman"/>
        </w:rPr>
        <w:t>1</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1"/>
        <w:ind w:right="361" w:firstLine="479"/>
      </w:pPr>
      <w:r>
        <w:rPr>
          <w:rFonts w:ascii="Times New Roman" w:eastAsia="Times New Roman"/>
        </w:rPr>
        <w:t>2</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995" w:top="1460" w:bottom="1180" w:left="1680" w:right="1440"/>
        </w:sectPr>
      </w:pPr>
    </w:p>
    <w:p>
      <w:pPr>
        <w:pStyle w:val="BodyText"/>
        <w:spacing w:line="364" w:lineRule="auto" w:before="40"/>
        <w:ind w:right="356" w:firstLine="460"/>
      </w:pPr>
      <w:r>
        <w:rPr/>
        <w:t>（</w:t>
      </w:r>
      <w:r>
        <w:rPr>
          <w:spacing w:val="-14"/>
        </w:rPr>
        <w:t>本页无正文，为《易方达中债新综合债券指数发起式证券投资基金</w:t>
      </w:r>
      <w:r>
        <w:rPr>
          <w:spacing w:val="-4"/>
        </w:rPr>
        <w:t>（LOF） </w:t>
      </w:r>
      <w:r>
        <w:rPr>
          <w:spacing w:val="-14"/>
        </w:rPr>
        <w:t>基金合同》签署页。</w:t>
      </w:r>
      <w:r>
        <w:rPr/>
        <w:t>）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5"/>
        <w:ind w:left="0"/>
        <w:rPr>
          <w:sz w:val="17"/>
        </w:rPr>
      </w:pPr>
    </w:p>
    <w:p>
      <w:pPr>
        <w:pStyle w:val="BodyText"/>
        <w:spacing w:before="67"/>
        <w:ind w:left="821"/>
      </w:pPr>
      <w:r>
        <w:rPr/>
        <w:t>基金管理人：易方达基金管理有限公司（法人盖章） </w:t>
      </w:r>
    </w:p>
    <w:p>
      <w:pPr>
        <w:pStyle w:val="BodyText"/>
        <w:spacing w:before="160"/>
        <w:ind w:left="1001"/>
      </w:pPr>
      <w:r>
        <w:rPr/>
        <w:t> </w:t>
      </w:r>
    </w:p>
    <w:p>
      <w:pPr>
        <w:pStyle w:val="BodyText"/>
        <w:spacing w:before="0"/>
        <w:ind w:left="0"/>
      </w:pPr>
    </w:p>
    <w:p>
      <w:pPr>
        <w:pStyle w:val="BodyText"/>
        <w:spacing w:before="5"/>
        <w:ind w:left="0"/>
        <w:rPr>
          <w:sz w:val="34"/>
        </w:rPr>
      </w:pPr>
    </w:p>
    <w:p>
      <w:pPr>
        <w:pStyle w:val="BodyText"/>
        <w:spacing w:before="0"/>
        <w:ind w:left="840"/>
      </w:pPr>
      <w:r>
        <w:rPr/>
        <w:t>法定代表人或授权代表（签字</w:t>
      </w:r>
      <w:r>
        <w:rPr>
          <w:spacing w:val="-120"/>
        </w:rPr>
        <w:t>）</w:t>
      </w:r>
      <w:r>
        <w:rPr/>
        <w:t>：  </w:t>
      </w:r>
    </w:p>
    <w:p>
      <w:pPr>
        <w:pStyle w:val="BodyText"/>
        <w:spacing w:before="0"/>
        <w:ind w:left="0"/>
        <w:rPr>
          <w:sz w:val="20"/>
        </w:rPr>
      </w:pPr>
    </w:p>
    <w:p>
      <w:pPr>
        <w:pStyle w:val="BodyText"/>
        <w:spacing w:before="0"/>
        <w:ind w:left="0"/>
        <w:rPr>
          <w:sz w:val="20"/>
        </w:rPr>
      </w:pPr>
    </w:p>
    <w:p>
      <w:pPr>
        <w:pStyle w:val="BodyText"/>
        <w:spacing w:before="9"/>
        <w:ind w:left="0"/>
        <w:rPr>
          <w:sz w:val="22"/>
        </w:rPr>
      </w:pPr>
    </w:p>
    <w:p>
      <w:pPr>
        <w:pStyle w:val="BodyText"/>
        <w:spacing w:before="66"/>
        <w:ind w:left="838"/>
      </w:pPr>
      <w:r>
        <w:rPr/>
        <w:t>签订地：  </w:t>
      </w:r>
    </w:p>
    <w:p>
      <w:pPr>
        <w:pStyle w:val="BodyText"/>
        <w:spacing w:before="0"/>
        <w:ind w:left="0"/>
        <w:rPr>
          <w:sz w:val="20"/>
        </w:rPr>
      </w:pPr>
    </w:p>
    <w:p>
      <w:pPr>
        <w:pStyle w:val="BodyText"/>
        <w:spacing w:before="0"/>
        <w:ind w:left="0"/>
        <w:rPr>
          <w:sz w:val="20"/>
        </w:rPr>
      </w:pPr>
    </w:p>
    <w:p>
      <w:pPr>
        <w:pStyle w:val="BodyText"/>
        <w:spacing w:before="8"/>
        <w:ind w:left="0"/>
        <w:rPr>
          <w:sz w:val="22"/>
        </w:rPr>
      </w:pPr>
    </w:p>
    <w:p>
      <w:pPr>
        <w:pStyle w:val="BodyText"/>
        <w:spacing w:before="66"/>
        <w:ind w:left="838"/>
      </w:pPr>
      <w:r>
        <w:rPr/>
        <w:t>签 订 日 ： 年 月 日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5"/>
        <w:ind w:left="0"/>
        <w:rPr>
          <w:sz w:val="17"/>
        </w:rPr>
      </w:pPr>
    </w:p>
    <w:p>
      <w:pPr>
        <w:pStyle w:val="BodyText"/>
        <w:spacing w:before="0"/>
        <w:ind w:left="943"/>
      </w:pPr>
      <w:r>
        <w:rPr/>
        <w:t>基金托管人:中国农业银行股份有限公司（法人盖章） </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7"/>
        <w:ind w:left="0"/>
        <w:rPr>
          <w:sz w:val="28"/>
        </w:rPr>
      </w:pPr>
    </w:p>
    <w:p>
      <w:pPr>
        <w:pStyle w:val="BodyText"/>
        <w:spacing w:before="66"/>
        <w:ind w:left="1001"/>
      </w:pPr>
      <w:r>
        <w:rPr/>
        <w:t>法定代表人或授权代表（签字</w:t>
      </w:r>
      <w:r>
        <w:rPr>
          <w:spacing w:val="-120"/>
        </w:rPr>
        <w:t>）</w:t>
      </w:r>
      <w:r>
        <w:rPr/>
        <w:t>： </w:t>
      </w:r>
    </w:p>
    <w:p>
      <w:pPr>
        <w:pStyle w:val="BodyText"/>
        <w:spacing w:before="0"/>
        <w:ind w:left="0"/>
        <w:rPr>
          <w:sz w:val="20"/>
        </w:rPr>
      </w:pPr>
    </w:p>
    <w:p>
      <w:pPr>
        <w:pStyle w:val="BodyText"/>
        <w:spacing w:before="0"/>
        <w:ind w:left="0"/>
        <w:rPr>
          <w:sz w:val="20"/>
        </w:rPr>
      </w:pPr>
    </w:p>
    <w:p>
      <w:pPr>
        <w:pStyle w:val="BodyText"/>
        <w:spacing w:before="8"/>
        <w:ind w:left="0"/>
        <w:rPr>
          <w:sz w:val="22"/>
        </w:rPr>
      </w:pPr>
    </w:p>
    <w:p>
      <w:pPr>
        <w:pStyle w:val="BodyText"/>
        <w:spacing w:before="67"/>
        <w:ind w:left="1020"/>
      </w:pPr>
      <w:r>
        <w:rPr/>
        <w:t>签订地：  </w:t>
      </w:r>
    </w:p>
    <w:p>
      <w:pPr>
        <w:pStyle w:val="BodyText"/>
        <w:spacing w:before="0"/>
        <w:ind w:left="0"/>
        <w:rPr>
          <w:sz w:val="20"/>
        </w:rPr>
      </w:pPr>
    </w:p>
    <w:p>
      <w:pPr>
        <w:pStyle w:val="BodyText"/>
        <w:spacing w:before="0"/>
        <w:ind w:left="0"/>
        <w:rPr>
          <w:sz w:val="20"/>
        </w:rPr>
      </w:pPr>
    </w:p>
    <w:p>
      <w:pPr>
        <w:pStyle w:val="BodyText"/>
        <w:spacing w:before="8"/>
        <w:ind w:left="0"/>
        <w:rPr>
          <w:sz w:val="22"/>
        </w:rPr>
      </w:pPr>
    </w:p>
    <w:p>
      <w:pPr>
        <w:pStyle w:val="BodyText"/>
        <w:spacing w:before="66"/>
        <w:ind w:left="1020"/>
      </w:pPr>
      <w:r>
        <w:rPr/>
        <w:t>签 订 日 ： 年 月 日 </w:t>
      </w:r>
    </w:p>
    <w:sectPr>
      <w:footerReference w:type="default" r:id="rId6"/>
      <w:pgSz w:w="11910" w:h="16840"/>
      <w:pgMar w:footer="0" w:header="0" w:top="1460" w:bottom="280" w:left="16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1.209991pt;margin-top:781.155945pt;width:13.15pt;height:12pt;mso-position-horizontal-relative:page;mso-position-vertical-relative:page;z-index:-2535311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120"/>
        <w:w w:val="100"/>
        <w:sz w:val="22"/>
        <w:szCs w:val="22"/>
        <w:lang w:val="zh-CN" w:eastAsia="zh-CN" w:bidi="zh-CN"/>
      </w:rPr>
    </w:lvl>
    <w:lvl w:ilvl="1">
      <w:start w:val="0"/>
      <w:numFmt w:val="bullet"/>
      <w:lvlText w:val="•"/>
      <w:lvlJc w:val="left"/>
      <w:pPr>
        <w:ind w:left="1742" w:hanging="361"/>
      </w:pPr>
      <w:rPr>
        <w:rFonts w:hint="default"/>
        <w:lang w:val="zh-CN" w:eastAsia="zh-CN" w:bidi="zh-CN"/>
      </w:rPr>
    </w:lvl>
    <w:lvl w:ilvl="2">
      <w:start w:val="0"/>
      <w:numFmt w:val="bullet"/>
      <w:lvlText w:val="•"/>
      <w:lvlJc w:val="left"/>
      <w:pPr>
        <w:ind w:left="2525" w:hanging="361"/>
      </w:pPr>
      <w:rPr>
        <w:rFonts w:hint="default"/>
        <w:lang w:val="zh-CN" w:eastAsia="zh-CN" w:bidi="zh-CN"/>
      </w:rPr>
    </w:lvl>
    <w:lvl w:ilvl="3">
      <w:start w:val="0"/>
      <w:numFmt w:val="bullet"/>
      <w:lvlText w:val="•"/>
      <w:lvlJc w:val="left"/>
      <w:pPr>
        <w:ind w:left="3307" w:hanging="361"/>
      </w:pPr>
      <w:rPr>
        <w:rFonts w:hint="default"/>
        <w:lang w:val="zh-CN" w:eastAsia="zh-CN" w:bidi="zh-CN"/>
      </w:rPr>
    </w:lvl>
    <w:lvl w:ilvl="4">
      <w:start w:val="0"/>
      <w:numFmt w:val="bullet"/>
      <w:lvlText w:val="•"/>
      <w:lvlJc w:val="left"/>
      <w:pPr>
        <w:ind w:left="4090" w:hanging="361"/>
      </w:pPr>
      <w:rPr>
        <w:rFonts w:hint="default"/>
        <w:lang w:val="zh-CN" w:eastAsia="zh-CN" w:bidi="zh-CN"/>
      </w:rPr>
    </w:lvl>
    <w:lvl w:ilvl="5">
      <w:start w:val="0"/>
      <w:numFmt w:val="bullet"/>
      <w:lvlText w:val="•"/>
      <w:lvlJc w:val="left"/>
      <w:pPr>
        <w:ind w:left="4873" w:hanging="361"/>
      </w:pPr>
      <w:rPr>
        <w:rFonts w:hint="default"/>
        <w:lang w:val="zh-CN" w:eastAsia="zh-CN" w:bidi="zh-CN"/>
      </w:rPr>
    </w:lvl>
    <w:lvl w:ilvl="6">
      <w:start w:val="0"/>
      <w:numFmt w:val="bullet"/>
      <w:lvlText w:val="•"/>
      <w:lvlJc w:val="left"/>
      <w:pPr>
        <w:ind w:left="5655" w:hanging="361"/>
      </w:pPr>
      <w:rPr>
        <w:rFonts w:hint="default"/>
        <w:lang w:val="zh-CN" w:eastAsia="zh-CN" w:bidi="zh-CN"/>
      </w:rPr>
    </w:lvl>
    <w:lvl w:ilvl="7">
      <w:start w:val="0"/>
      <w:numFmt w:val="bullet"/>
      <w:lvlText w:val="•"/>
      <w:lvlJc w:val="left"/>
      <w:pPr>
        <w:ind w:left="6438" w:hanging="361"/>
      </w:pPr>
      <w:rPr>
        <w:rFonts w:hint="default"/>
        <w:lang w:val="zh-CN" w:eastAsia="zh-CN" w:bidi="zh-CN"/>
      </w:rPr>
    </w:lvl>
    <w:lvl w:ilvl="8">
      <w:start w:val="0"/>
      <w:numFmt w:val="bullet"/>
      <w:lvlText w:val="•"/>
      <w:lvlJc w:val="left"/>
      <w:pPr>
        <w:ind w:left="7221" w:hanging="361"/>
      </w:pPr>
      <w:rPr>
        <w:rFonts w:hint="default"/>
        <w:lang w:val="zh-CN" w:eastAsia="zh-CN" w:bidi="zh-CN"/>
      </w:rPr>
    </w:lvl>
  </w:abstractNum>
  <w:abstractNum w:abstractNumId="53">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5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5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5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49">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2" w:hanging="361"/>
      </w:pPr>
      <w:rPr>
        <w:rFonts w:hint="default"/>
        <w:lang w:val="zh-CN" w:eastAsia="zh-CN" w:bidi="zh-CN"/>
      </w:rPr>
    </w:lvl>
    <w:lvl w:ilvl="2">
      <w:start w:val="0"/>
      <w:numFmt w:val="bullet"/>
      <w:lvlText w:val="•"/>
      <w:lvlJc w:val="left"/>
      <w:pPr>
        <w:ind w:left="2525" w:hanging="361"/>
      </w:pPr>
      <w:rPr>
        <w:rFonts w:hint="default"/>
        <w:lang w:val="zh-CN" w:eastAsia="zh-CN" w:bidi="zh-CN"/>
      </w:rPr>
    </w:lvl>
    <w:lvl w:ilvl="3">
      <w:start w:val="0"/>
      <w:numFmt w:val="bullet"/>
      <w:lvlText w:val="•"/>
      <w:lvlJc w:val="left"/>
      <w:pPr>
        <w:ind w:left="3307" w:hanging="361"/>
      </w:pPr>
      <w:rPr>
        <w:rFonts w:hint="default"/>
        <w:lang w:val="zh-CN" w:eastAsia="zh-CN" w:bidi="zh-CN"/>
      </w:rPr>
    </w:lvl>
    <w:lvl w:ilvl="4">
      <w:start w:val="0"/>
      <w:numFmt w:val="bullet"/>
      <w:lvlText w:val="•"/>
      <w:lvlJc w:val="left"/>
      <w:pPr>
        <w:ind w:left="4090" w:hanging="361"/>
      </w:pPr>
      <w:rPr>
        <w:rFonts w:hint="default"/>
        <w:lang w:val="zh-CN" w:eastAsia="zh-CN" w:bidi="zh-CN"/>
      </w:rPr>
    </w:lvl>
    <w:lvl w:ilvl="5">
      <w:start w:val="0"/>
      <w:numFmt w:val="bullet"/>
      <w:lvlText w:val="•"/>
      <w:lvlJc w:val="left"/>
      <w:pPr>
        <w:ind w:left="4873" w:hanging="361"/>
      </w:pPr>
      <w:rPr>
        <w:rFonts w:hint="default"/>
        <w:lang w:val="zh-CN" w:eastAsia="zh-CN" w:bidi="zh-CN"/>
      </w:rPr>
    </w:lvl>
    <w:lvl w:ilvl="6">
      <w:start w:val="0"/>
      <w:numFmt w:val="bullet"/>
      <w:lvlText w:val="•"/>
      <w:lvlJc w:val="left"/>
      <w:pPr>
        <w:ind w:left="5655" w:hanging="361"/>
      </w:pPr>
      <w:rPr>
        <w:rFonts w:hint="default"/>
        <w:lang w:val="zh-CN" w:eastAsia="zh-CN" w:bidi="zh-CN"/>
      </w:rPr>
    </w:lvl>
    <w:lvl w:ilvl="7">
      <w:start w:val="0"/>
      <w:numFmt w:val="bullet"/>
      <w:lvlText w:val="•"/>
      <w:lvlJc w:val="left"/>
      <w:pPr>
        <w:ind w:left="6438" w:hanging="361"/>
      </w:pPr>
      <w:rPr>
        <w:rFonts w:hint="default"/>
        <w:lang w:val="zh-CN" w:eastAsia="zh-CN" w:bidi="zh-CN"/>
      </w:rPr>
    </w:lvl>
    <w:lvl w:ilvl="8">
      <w:start w:val="0"/>
      <w:numFmt w:val="bullet"/>
      <w:lvlText w:val="•"/>
      <w:lvlJc w:val="left"/>
      <w:pPr>
        <w:ind w:left="7221" w:hanging="361"/>
      </w:pPr>
      <w:rPr>
        <w:rFonts w:hint="default"/>
        <w:lang w:val="zh-CN" w:eastAsia="zh-CN" w:bidi="zh-CN"/>
      </w:rPr>
    </w:lvl>
  </w:abstractNum>
  <w:abstractNum w:abstractNumId="48">
    <w:multiLevelType w:val="hybridMultilevel"/>
    <w:lvl w:ilvl="0">
      <w:start w:val="1"/>
      <w:numFmt w:val="decimal"/>
      <w:lvlText w:val="%1）"/>
      <w:lvlJc w:val="left"/>
      <w:pPr>
        <w:ind w:left="961" w:hanging="361"/>
        <w:jc w:val="left"/>
      </w:pPr>
      <w:rPr>
        <w:rFonts w:hint="default" w:ascii="Times New Roman" w:hAnsi="Times New Roman" w:eastAsia="Times New Roman" w:cs="Times New Roman"/>
        <w:spacing w:val="-59"/>
        <w:w w:val="100"/>
        <w:sz w:val="22"/>
        <w:szCs w:val="22"/>
        <w:lang w:val="zh-CN" w:eastAsia="zh-CN" w:bidi="zh-CN"/>
      </w:rPr>
    </w:lvl>
    <w:lvl w:ilvl="1">
      <w:start w:val="0"/>
      <w:numFmt w:val="bullet"/>
      <w:lvlText w:val="•"/>
      <w:lvlJc w:val="left"/>
      <w:pPr>
        <w:ind w:left="1742" w:hanging="361"/>
      </w:pPr>
      <w:rPr>
        <w:rFonts w:hint="default"/>
        <w:lang w:val="zh-CN" w:eastAsia="zh-CN" w:bidi="zh-CN"/>
      </w:rPr>
    </w:lvl>
    <w:lvl w:ilvl="2">
      <w:start w:val="0"/>
      <w:numFmt w:val="bullet"/>
      <w:lvlText w:val="•"/>
      <w:lvlJc w:val="left"/>
      <w:pPr>
        <w:ind w:left="2525" w:hanging="361"/>
      </w:pPr>
      <w:rPr>
        <w:rFonts w:hint="default"/>
        <w:lang w:val="zh-CN" w:eastAsia="zh-CN" w:bidi="zh-CN"/>
      </w:rPr>
    </w:lvl>
    <w:lvl w:ilvl="3">
      <w:start w:val="0"/>
      <w:numFmt w:val="bullet"/>
      <w:lvlText w:val="•"/>
      <w:lvlJc w:val="left"/>
      <w:pPr>
        <w:ind w:left="3307" w:hanging="361"/>
      </w:pPr>
      <w:rPr>
        <w:rFonts w:hint="default"/>
        <w:lang w:val="zh-CN" w:eastAsia="zh-CN" w:bidi="zh-CN"/>
      </w:rPr>
    </w:lvl>
    <w:lvl w:ilvl="4">
      <w:start w:val="0"/>
      <w:numFmt w:val="bullet"/>
      <w:lvlText w:val="•"/>
      <w:lvlJc w:val="left"/>
      <w:pPr>
        <w:ind w:left="4090" w:hanging="361"/>
      </w:pPr>
      <w:rPr>
        <w:rFonts w:hint="default"/>
        <w:lang w:val="zh-CN" w:eastAsia="zh-CN" w:bidi="zh-CN"/>
      </w:rPr>
    </w:lvl>
    <w:lvl w:ilvl="5">
      <w:start w:val="0"/>
      <w:numFmt w:val="bullet"/>
      <w:lvlText w:val="•"/>
      <w:lvlJc w:val="left"/>
      <w:pPr>
        <w:ind w:left="4873" w:hanging="361"/>
      </w:pPr>
      <w:rPr>
        <w:rFonts w:hint="default"/>
        <w:lang w:val="zh-CN" w:eastAsia="zh-CN" w:bidi="zh-CN"/>
      </w:rPr>
    </w:lvl>
    <w:lvl w:ilvl="6">
      <w:start w:val="0"/>
      <w:numFmt w:val="bullet"/>
      <w:lvlText w:val="•"/>
      <w:lvlJc w:val="left"/>
      <w:pPr>
        <w:ind w:left="5655" w:hanging="361"/>
      </w:pPr>
      <w:rPr>
        <w:rFonts w:hint="default"/>
        <w:lang w:val="zh-CN" w:eastAsia="zh-CN" w:bidi="zh-CN"/>
      </w:rPr>
    </w:lvl>
    <w:lvl w:ilvl="7">
      <w:start w:val="0"/>
      <w:numFmt w:val="bullet"/>
      <w:lvlText w:val="•"/>
      <w:lvlJc w:val="left"/>
      <w:pPr>
        <w:ind w:left="6438" w:hanging="361"/>
      </w:pPr>
      <w:rPr>
        <w:rFonts w:hint="default"/>
        <w:lang w:val="zh-CN" w:eastAsia="zh-CN" w:bidi="zh-CN"/>
      </w:rPr>
    </w:lvl>
    <w:lvl w:ilvl="8">
      <w:start w:val="0"/>
      <w:numFmt w:val="bullet"/>
      <w:lvlText w:val="•"/>
      <w:lvlJc w:val="left"/>
      <w:pPr>
        <w:ind w:left="7221" w:hanging="361"/>
      </w:pPr>
      <w:rPr>
        <w:rFonts w:hint="default"/>
        <w:lang w:val="zh-CN" w:eastAsia="zh-CN" w:bidi="zh-CN"/>
      </w:rPr>
    </w:lvl>
  </w:abstractNum>
  <w:abstractNum w:abstractNumId="4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46">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4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4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43">
    <w:multiLevelType w:val="hybridMultilevel"/>
    <w:lvl w:ilvl="0">
      <w:start w:val="1"/>
      <w:numFmt w:val="decimal"/>
      <w:lvlText w:val="（%1）"/>
      <w:lvlJc w:val="left"/>
      <w:pPr>
        <w:ind w:left="120" w:hanging="601"/>
        <w:jc w:val="left"/>
      </w:pPr>
      <w:rPr>
        <w:rFonts w:hint="default" w:ascii="宋体" w:hAnsi="宋体" w:eastAsia="宋体" w:cs="宋体"/>
        <w:spacing w:val="-17"/>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42">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94"/>
        <w:w w:val="100"/>
        <w:sz w:val="22"/>
        <w:szCs w:val="22"/>
        <w:lang w:val="zh-CN" w:eastAsia="zh-CN" w:bidi="zh-CN"/>
      </w:rPr>
    </w:lvl>
    <w:lvl w:ilvl="1">
      <w:start w:val="0"/>
      <w:numFmt w:val="bullet"/>
      <w:lvlText w:val="•"/>
      <w:lvlJc w:val="left"/>
      <w:pPr>
        <w:ind w:left="986" w:hanging="361"/>
      </w:pPr>
      <w:rPr>
        <w:rFonts w:hint="default"/>
        <w:lang w:val="zh-CN" w:eastAsia="zh-CN" w:bidi="zh-CN"/>
      </w:rPr>
    </w:lvl>
    <w:lvl w:ilvl="2">
      <w:start w:val="0"/>
      <w:numFmt w:val="bullet"/>
      <w:lvlText w:val="•"/>
      <w:lvlJc w:val="left"/>
      <w:pPr>
        <w:ind w:left="1853" w:hanging="361"/>
      </w:pPr>
      <w:rPr>
        <w:rFonts w:hint="default"/>
        <w:lang w:val="zh-CN" w:eastAsia="zh-CN" w:bidi="zh-CN"/>
      </w:rPr>
    </w:lvl>
    <w:lvl w:ilvl="3">
      <w:start w:val="0"/>
      <w:numFmt w:val="bullet"/>
      <w:lvlText w:val="•"/>
      <w:lvlJc w:val="left"/>
      <w:pPr>
        <w:ind w:left="2719" w:hanging="361"/>
      </w:pPr>
      <w:rPr>
        <w:rFonts w:hint="default"/>
        <w:lang w:val="zh-CN" w:eastAsia="zh-CN" w:bidi="zh-CN"/>
      </w:rPr>
    </w:lvl>
    <w:lvl w:ilvl="4">
      <w:start w:val="0"/>
      <w:numFmt w:val="bullet"/>
      <w:lvlText w:val="•"/>
      <w:lvlJc w:val="left"/>
      <w:pPr>
        <w:ind w:left="3586" w:hanging="361"/>
      </w:pPr>
      <w:rPr>
        <w:rFonts w:hint="default"/>
        <w:lang w:val="zh-CN" w:eastAsia="zh-CN" w:bidi="zh-CN"/>
      </w:rPr>
    </w:lvl>
    <w:lvl w:ilvl="5">
      <w:start w:val="0"/>
      <w:numFmt w:val="bullet"/>
      <w:lvlText w:val="•"/>
      <w:lvlJc w:val="left"/>
      <w:pPr>
        <w:ind w:left="4453" w:hanging="361"/>
      </w:pPr>
      <w:rPr>
        <w:rFonts w:hint="default"/>
        <w:lang w:val="zh-CN" w:eastAsia="zh-CN" w:bidi="zh-CN"/>
      </w:rPr>
    </w:lvl>
    <w:lvl w:ilvl="6">
      <w:start w:val="0"/>
      <w:numFmt w:val="bullet"/>
      <w:lvlText w:val="•"/>
      <w:lvlJc w:val="left"/>
      <w:pPr>
        <w:ind w:left="5319" w:hanging="361"/>
      </w:pPr>
      <w:rPr>
        <w:rFonts w:hint="default"/>
        <w:lang w:val="zh-CN" w:eastAsia="zh-CN" w:bidi="zh-CN"/>
      </w:rPr>
    </w:lvl>
    <w:lvl w:ilvl="7">
      <w:start w:val="0"/>
      <w:numFmt w:val="bullet"/>
      <w:lvlText w:val="•"/>
      <w:lvlJc w:val="left"/>
      <w:pPr>
        <w:ind w:left="6186" w:hanging="361"/>
      </w:pPr>
      <w:rPr>
        <w:rFonts w:hint="default"/>
        <w:lang w:val="zh-CN" w:eastAsia="zh-CN" w:bidi="zh-CN"/>
      </w:rPr>
    </w:lvl>
    <w:lvl w:ilvl="8">
      <w:start w:val="0"/>
      <w:numFmt w:val="bullet"/>
      <w:lvlText w:val="•"/>
      <w:lvlJc w:val="left"/>
      <w:pPr>
        <w:ind w:left="7053" w:hanging="361"/>
      </w:pPr>
      <w:rPr>
        <w:rFonts w:hint="default"/>
        <w:lang w:val="zh-CN" w:eastAsia="zh-CN" w:bidi="zh-CN"/>
      </w:rPr>
    </w:lvl>
  </w:abstractNum>
  <w:abstractNum w:abstractNumId="4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4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39">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2" w:hanging="361"/>
      </w:pPr>
      <w:rPr>
        <w:rFonts w:hint="default"/>
        <w:lang w:val="zh-CN" w:eastAsia="zh-CN" w:bidi="zh-CN"/>
      </w:rPr>
    </w:lvl>
    <w:lvl w:ilvl="2">
      <w:start w:val="0"/>
      <w:numFmt w:val="bullet"/>
      <w:lvlText w:val="•"/>
      <w:lvlJc w:val="left"/>
      <w:pPr>
        <w:ind w:left="2525" w:hanging="361"/>
      </w:pPr>
      <w:rPr>
        <w:rFonts w:hint="default"/>
        <w:lang w:val="zh-CN" w:eastAsia="zh-CN" w:bidi="zh-CN"/>
      </w:rPr>
    </w:lvl>
    <w:lvl w:ilvl="3">
      <w:start w:val="0"/>
      <w:numFmt w:val="bullet"/>
      <w:lvlText w:val="•"/>
      <w:lvlJc w:val="left"/>
      <w:pPr>
        <w:ind w:left="3307" w:hanging="361"/>
      </w:pPr>
      <w:rPr>
        <w:rFonts w:hint="default"/>
        <w:lang w:val="zh-CN" w:eastAsia="zh-CN" w:bidi="zh-CN"/>
      </w:rPr>
    </w:lvl>
    <w:lvl w:ilvl="4">
      <w:start w:val="0"/>
      <w:numFmt w:val="bullet"/>
      <w:lvlText w:val="•"/>
      <w:lvlJc w:val="left"/>
      <w:pPr>
        <w:ind w:left="4090" w:hanging="361"/>
      </w:pPr>
      <w:rPr>
        <w:rFonts w:hint="default"/>
        <w:lang w:val="zh-CN" w:eastAsia="zh-CN" w:bidi="zh-CN"/>
      </w:rPr>
    </w:lvl>
    <w:lvl w:ilvl="5">
      <w:start w:val="0"/>
      <w:numFmt w:val="bullet"/>
      <w:lvlText w:val="•"/>
      <w:lvlJc w:val="left"/>
      <w:pPr>
        <w:ind w:left="4873" w:hanging="361"/>
      </w:pPr>
      <w:rPr>
        <w:rFonts w:hint="default"/>
        <w:lang w:val="zh-CN" w:eastAsia="zh-CN" w:bidi="zh-CN"/>
      </w:rPr>
    </w:lvl>
    <w:lvl w:ilvl="6">
      <w:start w:val="0"/>
      <w:numFmt w:val="bullet"/>
      <w:lvlText w:val="•"/>
      <w:lvlJc w:val="left"/>
      <w:pPr>
        <w:ind w:left="5655" w:hanging="361"/>
      </w:pPr>
      <w:rPr>
        <w:rFonts w:hint="default"/>
        <w:lang w:val="zh-CN" w:eastAsia="zh-CN" w:bidi="zh-CN"/>
      </w:rPr>
    </w:lvl>
    <w:lvl w:ilvl="7">
      <w:start w:val="0"/>
      <w:numFmt w:val="bullet"/>
      <w:lvlText w:val="•"/>
      <w:lvlJc w:val="left"/>
      <w:pPr>
        <w:ind w:left="6438" w:hanging="361"/>
      </w:pPr>
      <w:rPr>
        <w:rFonts w:hint="default"/>
        <w:lang w:val="zh-CN" w:eastAsia="zh-CN" w:bidi="zh-CN"/>
      </w:rPr>
    </w:lvl>
    <w:lvl w:ilvl="8">
      <w:start w:val="0"/>
      <w:numFmt w:val="bullet"/>
      <w:lvlText w:val="•"/>
      <w:lvlJc w:val="left"/>
      <w:pPr>
        <w:ind w:left="7221" w:hanging="361"/>
      </w:pPr>
      <w:rPr>
        <w:rFonts w:hint="default"/>
        <w:lang w:val="zh-CN" w:eastAsia="zh-CN" w:bidi="zh-CN"/>
      </w:rPr>
    </w:lvl>
  </w:abstractNum>
  <w:abstractNum w:abstractNumId="3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37">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0"/>
        <w:w w:val="100"/>
        <w:sz w:val="22"/>
        <w:szCs w:val="22"/>
        <w:lang w:val="zh-CN" w:eastAsia="zh-CN" w:bidi="zh-CN"/>
      </w:rPr>
    </w:lvl>
    <w:lvl w:ilvl="1">
      <w:start w:val="0"/>
      <w:numFmt w:val="bullet"/>
      <w:lvlText w:val="•"/>
      <w:lvlJc w:val="left"/>
      <w:pPr>
        <w:ind w:left="986" w:hanging="361"/>
      </w:pPr>
      <w:rPr>
        <w:rFonts w:hint="default"/>
        <w:lang w:val="zh-CN" w:eastAsia="zh-CN" w:bidi="zh-CN"/>
      </w:rPr>
    </w:lvl>
    <w:lvl w:ilvl="2">
      <w:start w:val="0"/>
      <w:numFmt w:val="bullet"/>
      <w:lvlText w:val="•"/>
      <w:lvlJc w:val="left"/>
      <w:pPr>
        <w:ind w:left="1853" w:hanging="361"/>
      </w:pPr>
      <w:rPr>
        <w:rFonts w:hint="default"/>
        <w:lang w:val="zh-CN" w:eastAsia="zh-CN" w:bidi="zh-CN"/>
      </w:rPr>
    </w:lvl>
    <w:lvl w:ilvl="3">
      <w:start w:val="0"/>
      <w:numFmt w:val="bullet"/>
      <w:lvlText w:val="•"/>
      <w:lvlJc w:val="left"/>
      <w:pPr>
        <w:ind w:left="2719" w:hanging="361"/>
      </w:pPr>
      <w:rPr>
        <w:rFonts w:hint="default"/>
        <w:lang w:val="zh-CN" w:eastAsia="zh-CN" w:bidi="zh-CN"/>
      </w:rPr>
    </w:lvl>
    <w:lvl w:ilvl="4">
      <w:start w:val="0"/>
      <w:numFmt w:val="bullet"/>
      <w:lvlText w:val="•"/>
      <w:lvlJc w:val="left"/>
      <w:pPr>
        <w:ind w:left="3586" w:hanging="361"/>
      </w:pPr>
      <w:rPr>
        <w:rFonts w:hint="default"/>
        <w:lang w:val="zh-CN" w:eastAsia="zh-CN" w:bidi="zh-CN"/>
      </w:rPr>
    </w:lvl>
    <w:lvl w:ilvl="5">
      <w:start w:val="0"/>
      <w:numFmt w:val="bullet"/>
      <w:lvlText w:val="•"/>
      <w:lvlJc w:val="left"/>
      <w:pPr>
        <w:ind w:left="4453" w:hanging="361"/>
      </w:pPr>
      <w:rPr>
        <w:rFonts w:hint="default"/>
        <w:lang w:val="zh-CN" w:eastAsia="zh-CN" w:bidi="zh-CN"/>
      </w:rPr>
    </w:lvl>
    <w:lvl w:ilvl="6">
      <w:start w:val="0"/>
      <w:numFmt w:val="bullet"/>
      <w:lvlText w:val="•"/>
      <w:lvlJc w:val="left"/>
      <w:pPr>
        <w:ind w:left="5319" w:hanging="361"/>
      </w:pPr>
      <w:rPr>
        <w:rFonts w:hint="default"/>
        <w:lang w:val="zh-CN" w:eastAsia="zh-CN" w:bidi="zh-CN"/>
      </w:rPr>
    </w:lvl>
    <w:lvl w:ilvl="7">
      <w:start w:val="0"/>
      <w:numFmt w:val="bullet"/>
      <w:lvlText w:val="•"/>
      <w:lvlJc w:val="left"/>
      <w:pPr>
        <w:ind w:left="6186" w:hanging="361"/>
      </w:pPr>
      <w:rPr>
        <w:rFonts w:hint="default"/>
        <w:lang w:val="zh-CN" w:eastAsia="zh-CN" w:bidi="zh-CN"/>
      </w:rPr>
    </w:lvl>
    <w:lvl w:ilvl="8">
      <w:start w:val="0"/>
      <w:numFmt w:val="bullet"/>
      <w:lvlText w:val="•"/>
      <w:lvlJc w:val="left"/>
      <w:pPr>
        <w:ind w:left="7053" w:hanging="361"/>
      </w:pPr>
      <w:rPr>
        <w:rFonts w:hint="default"/>
        <w:lang w:val="zh-CN" w:eastAsia="zh-CN" w:bidi="zh-CN"/>
      </w:rPr>
    </w:lvl>
  </w:abstractNum>
  <w:abstractNum w:abstractNumId="36">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214"/>
        <w:w w:val="100"/>
        <w:sz w:val="22"/>
        <w:szCs w:val="22"/>
        <w:lang w:val="zh-CN" w:eastAsia="zh-CN" w:bidi="zh-CN"/>
      </w:rPr>
    </w:lvl>
    <w:lvl w:ilvl="1">
      <w:start w:val="0"/>
      <w:numFmt w:val="bullet"/>
      <w:lvlText w:val="•"/>
      <w:lvlJc w:val="left"/>
      <w:pPr>
        <w:ind w:left="986" w:hanging="361"/>
      </w:pPr>
      <w:rPr>
        <w:rFonts w:hint="default"/>
        <w:lang w:val="zh-CN" w:eastAsia="zh-CN" w:bidi="zh-CN"/>
      </w:rPr>
    </w:lvl>
    <w:lvl w:ilvl="2">
      <w:start w:val="0"/>
      <w:numFmt w:val="bullet"/>
      <w:lvlText w:val="•"/>
      <w:lvlJc w:val="left"/>
      <w:pPr>
        <w:ind w:left="1853" w:hanging="361"/>
      </w:pPr>
      <w:rPr>
        <w:rFonts w:hint="default"/>
        <w:lang w:val="zh-CN" w:eastAsia="zh-CN" w:bidi="zh-CN"/>
      </w:rPr>
    </w:lvl>
    <w:lvl w:ilvl="3">
      <w:start w:val="0"/>
      <w:numFmt w:val="bullet"/>
      <w:lvlText w:val="•"/>
      <w:lvlJc w:val="left"/>
      <w:pPr>
        <w:ind w:left="2719" w:hanging="361"/>
      </w:pPr>
      <w:rPr>
        <w:rFonts w:hint="default"/>
        <w:lang w:val="zh-CN" w:eastAsia="zh-CN" w:bidi="zh-CN"/>
      </w:rPr>
    </w:lvl>
    <w:lvl w:ilvl="4">
      <w:start w:val="0"/>
      <w:numFmt w:val="bullet"/>
      <w:lvlText w:val="•"/>
      <w:lvlJc w:val="left"/>
      <w:pPr>
        <w:ind w:left="3586" w:hanging="361"/>
      </w:pPr>
      <w:rPr>
        <w:rFonts w:hint="default"/>
        <w:lang w:val="zh-CN" w:eastAsia="zh-CN" w:bidi="zh-CN"/>
      </w:rPr>
    </w:lvl>
    <w:lvl w:ilvl="5">
      <w:start w:val="0"/>
      <w:numFmt w:val="bullet"/>
      <w:lvlText w:val="•"/>
      <w:lvlJc w:val="left"/>
      <w:pPr>
        <w:ind w:left="4453" w:hanging="361"/>
      </w:pPr>
      <w:rPr>
        <w:rFonts w:hint="default"/>
        <w:lang w:val="zh-CN" w:eastAsia="zh-CN" w:bidi="zh-CN"/>
      </w:rPr>
    </w:lvl>
    <w:lvl w:ilvl="6">
      <w:start w:val="0"/>
      <w:numFmt w:val="bullet"/>
      <w:lvlText w:val="•"/>
      <w:lvlJc w:val="left"/>
      <w:pPr>
        <w:ind w:left="5319" w:hanging="361"/>
      </w:pPr>
      <w:rPr>
        <w:rFonts w:hint="default"/>
        <w:lang w:val="zh-CN" w:eastAsia="zh-CN" w:bidi="zh-CN"/>
      </w:rPr>
    </w:lvl>
    <w:lvl w:ilvl="7">
      <w:start w:val="0"/>
      <w:numFmt w:val="bullet"/>
      <w:lvlText w:val="•"/>
      <w:lvlJc w:val="left"/>
      <w:pPr>
        <w:ind w:left="6186" w:hanging="361"/>
      </w:pPr>
      <w:rPr>
        <w:rFonts w:hint="default"/>
        <w:lang w:val="zh-CN" w:eastAsia="zh-CN" w:bidi="zh-CN"/>
      </w:rPr>
    </w:lvl>
    <w:lvl w:ilvl="8">
      <w:start w:val="0"/>
      <w:numFmt w:val="bullet"/>
      <w:lvlText w:val="•"/>
      <w:lvlJc w:val="left"/>
      <w:pPr>
        <w:ind w:left="7053" w:hanging="361"/>
      </w:pPr>
      <w:rPr>
        <w:rFonts w:hint="default"/>
        <w:lang w:val="zh-CN" w:eastAsia="zh-CN" w:bidi="zh-CN"/>
      </w:rPr>
    </w:lvl>
  </w:abstractNum>
  <w:abstractNum w:abstractNumId="3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34">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2" w:hanging="361"/>
      </w:pPr>
      <w:rPr>
        <w:rFonts w:hint="default"/>
        <w:lang w:val="zh-CN" w:eastAsia="zh-CN" w:bidi="zh-CN"/>
      </w:rPr>
    </w:lvl>
    <w:lvl w:ilvl="2">
      <w:start w:val="0"/>
      <w:numFmt w:val="bullet"/>
      <w:lvlText w:val="•"/>
      <w:lvlJc w:val="left"/>
      <w:pPr>
        <w:ind w:left="2525" w:hanging="361"/>
      </w:pPr>
      <w:rPr>
        <w:rFonts w:hint="default"/>
        <w:lang w:val="zh-CN" w:eastAsia="zh-CN" w:bidi="zh-CN"/>
      </w:rPr>
    </w:lvl>
    <w:lvl w:ilvl="3">
      <w:start w:val="0"/>
      <w:numFmt w:val="bullet"/>
      <w:lvlText w:val="•"/>
      <w:lvlJc w:val="left"/>
      <w:pPr>
        <w:ind w:left="3307" w:hanging="361"/>
      </w:pPr>
      <w:rPr>
        <w:rFonts w:hint="default"/>
        <w:lang w:val="zh-CN" w:eastAsia="zh-CN" w:bidi="zh-CN"/>
      </w:rPr>
    </w:lvl>
    <w:lvl w:ilvl="4">
      <w:start w:val="0"/>
      <w:numFmt w:val="bullet"/>
      <w:lvlText w:val="•"/>
      <w:lvlJc w:val="left"/>
      <w:pPr>
        <w:ind w:left="4090" w:hanging="361"/>
      </w:pPr>
      <w:rPr>
        <w:rFonts w:hint="default"/>
        <w:lang w:val="zh-CN" w:eastAsia="zh-CN" w:bidi="zh-CN"/>
      </w:rPr>
    </w:lvl>
    <w:lvl w:ilvl="5">
      <w:start w:val="0"/>
      <w:numFmt w:val="bullet"/>
      <w:lvlText w:val="•"/>
      <w:lvlJc w:val="left"/>
      <w:pPr>
        <w:ind w:left="4873" w:hanging="361"/>
      </w:pPr>
      <w:rPr>
        <w:rFonts w:hint="default"/>
        <w:lang w:val="zh-CN" w:eastAsia="zh-CN" w:bidi="zh-CN"/>
      </w:rPr>
    </w:lvl>
    <w:lvl w:ilvl="6">
      <w:start w:val="0"/>
      <w:numFmt w:val="bullet"/>
      <w:lvlText w:val="•"/>
      <w:lvlJc w:val="left"/>
      <w:pPr>
        <w:ind w:left="5655" w:hanging="361"/>
      </w:pPr>
      <w:rPr>
        <w:rFonts w:hint="default"/>
        <w:lang w:val="zh-CN" w:eastAsia="zh-CN" w:bidi="zh-CN"/>
      </w:rPr>
    </w:lvl>
    <w:lvl w:ilvl="7">
      <w:start w:val="0"/>
      <w:numFmt w:val="bullet"/>
      <w:lvlText w:val="•"/>
      <w:lvlJc w:val="left"/>
      <w:pPr>
        <w:ind w:left="6438" w:hanging="361"/>
      </w:pPr>
      <w:rPr>
        <w:rFonts w:hint="default"/>
        <w:lang w:val="zh-CN" w:eastAsia="zh-CN" w:bidi="zh-CN"/>
      </w:rPr>
    </w:lvl>
    <w:lvl w:ilvl="8">
      <w:start w:val="0"/>
      <w:numFmt w:val="bullet"/>
      <w:lvlText w:val="•"/>
      <w:lvlJc w:val="left"/>
      <w:pPr>
        <w:ind w:left="7221" w:hanging="361"/>
      </w:pPr>
      <w:rPr>
        <w:rFonts w:hint="default"/>
        <w:lang w:val="zh-CN" w:eastAsia="zh-CN" w:bidi="zh-CN"/>
      </w:rPr>
    </w:lvl>
  </w:abstractNum>
  <w:abstractNum w:abstractNumId="33">
    <w:multiLevelType w:val="hybridMultilevel"/>
    <w:lvl w:ilvl="0">
      <w:start w:val="1"/>
      <w:numFmt w:val="decimal"/>
      <w:lvlText w:val="（%1）"/>
      <w:lvlJc w:val="left"/>
      <w:pPr>
        <w:ind w:left="120"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3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31">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42" w:hanging="361"/>
      </w:pPr>
      <w:rPr>
        <w:rFonts w:hint="default"/>
        <w:lang w:val="zh-CN" w:eastAsia="zh-CN" w:bidi="zh-CN"/>
      </w:rPr>
    </w:lvl>
    <w:lvl w:ilvl="2">
      <w:start w:val="0"/>
      <w:numFmt w:val="bullet"/>
      <w:lvlText w:val="•"/>
      <w:lvlJc w:val="left"/>
      <w:pPr>
        <w:ind w:left="2525" w:hanging="361"/>
      </w:pPr>
      <w:rPr>
        <w:rFonts w:hint="default"/>
        <w:lang w:val="zh-CN" w:eastAsia="zh-CN" w:bidi="zh-CN"/>
      </w:rPr>
    </w:lvl>
    <w:lvl w:ilvl="3">
      <w:start w:val="0"/>
      <w:numFmt w:val="bullet"/>
      <w:lvlText w:val="•"/>
      <w:lvlJc w:val="left"/>
      <w:pPr>
        <w:ind w:left="3307" w:hanging="361"/>
      </w:pPr>
      <w:rPr>
        <w:rFonts w:hint="default"/>
        <w:lang w:val="zh-CN" w:eastAsia="zh-CN" w:bidi="zh-CN"/>
      </w:rPr>
    </w:lvl>
    <w:lvl w:ilvl="4">
      <w:start w:val="0"/>
      <w:numFmt w:val="bullet"/>
      <w:lvlText w:val="•"/>
      <w:lvlJc w:val="left"/>
      <w:pPr>
        <w:ind w:left="4090" w:hanging="361"/>
      </w:pPr>
      <w:rPr>
        <w:rFonts w:hint="default"/>
        <w:lang w:val="zh-CN" w:eastAsia="zh-CN" w:bidi="zh-CN"/>
      </w:rPr>
    </w:lvl>
    <w:lvl w:ilvl="5">
      <w:start w:val="0"/>
      <w:numFmt w:val="bullet"/>
      <w:lvlText w:val="•"/>
      <w:lvlJc w:val="left"/>
      <w:pPr>
        <w:ind w:left="4873" w:hanging="361"/>
      </w:pPr>
      <w:rPr>
        <w:rFonts w:hint="default"/>
        <w:lang w:val="zh-CN" w:eastAsia="zh-CN" w:bidi="zh-CN"/>
      </w:rPr>
    </w:lvl>
    <w:lvl w:ilvl="6">
      <w:start w:val="0"/>
      <w:numFmt w:val="bullet"/>
      <w:lvlText w:val="•"/>
      <w:lvlJc w:val="left"/>
      <w:pPr>
        <w:ind w:left="5655" w:hanging="361"/>
      </w:pPr>
      <w:rPr>
        <w:rFonts w:hint="default"/>
        <w:lang w:val="zh-CN" w:eastAsia="zh-CN" w:bidi="zh-CN"/>
      </w:rPr>
    </w:lvl>
    <w:lvl w:ilvl="7">
      <w:start w:val="0"/>
      <w:numFmt w:val="bullet"/>
      <w:lvlText w:val="•"/>
      <w:lvlJc w:val="left"/>
      <w:pPr>
        <w:ind w:left="6438" w:hanging="361"/>
      </w:pPr>
      <w:rPr>
        <w:rFonts w:hint="default"/>
        <w:lang w:val="zh-CN" w:eastAsia="zh-CN" w:bidi="zh-CN"/>
      </w:rPr>
    </w:lvl>
    <w:lvl w:ilvl="8">
      <w:start w:val="0"/>
      <w:numFmt w:val="bullet"/>
      <w:lvlText w:val="•"/>
      <w:lvlJc w:val="left"/>
      <w:pPr>
        <w:ind w:left="7221" w:hanging="361"/>
      </w:pPr>
      <w:rPr>
        <w:rFonts w:hint="default"/>
        <w:lang w:val="zh-CN" w:eastAsia="zh-CN" w:bidi="zh-CN"/>
      </w:rPr>
    </w:lvl>
  </w:abstractNum>
  <w:abstractNum w:abstractNumId="30">
    <w:multiLevelType w:val="hybridMultilevel"/>
    <w:lvl w:ilvl="0">
      <w:start w:val="1"/>
      <w:numFmt w:val="decimal"/>
      <w:lvlText w:val="%1）"/>
      <w:lvlJc w:val="left"/>
      <w:pPr>
        <w:ind w:left="120" w:hanging="361"/>
        <w:jc w:val="left"/>
      </w:pPr>
      <w:rPr>
        <w:rFonts w:hint="default" w:ascii="Times New Roman" w:hAnsi="Times New Roman" w:eastAsia="Times New Roman" w:cs="Times New Roman"/>
        <w:spacing w:val="-120"/>
        <w:w w:val="100"/>
        <w:sz w:val="22"/>
        <w:szCs w:val="22"/>
        <w:lang w:val="zh-CN" w:eastAsia="zh-CN" w:bidi="zh-CN"/>
      </w:rPr>
    </w:lvl>
    <w:lvl w:ilvl="1">
      <w:start w:val="0"/>
      <w:numFmt w:val="bullet"/>
      <w:lvlText w:val="•"/>
      <w:lvlJc w:val="left"/>
      <w:pPr>
        <w:ind w:left="986" w:hanging="361"/>
      </w:pPr>
      <w:rPr>
        <w:rFonts w:hint="default"/>
        <w:lang w:val="zh-CN" w:eastAsia="zh-CN" w:bidi="zh-CN"/>
      </w:rPr>
    </w:lvl>
    <w:lvl w:ilvl="2">
      <w:start w:val="0"/>
      <w:numFmt w:val="bullet"/>
      <w:lvlText w:val="•"/>
      <w:lvlJc w:val="left"/>
      <w:pPr>
        <w:ind w:left="1853" w:hanging="361"/>
      </w:pPr>
      <w:rPr>
        <w:rFonts w:hint="default"/>
        <w:lang w:val="zh-CN" w:eastAsia="zh-CN" w:bidi="zh-CN"/>
      </w:rPr>
    </w:lvl>
    <w:lvl w:ilvl="3">
      <w:start w:val="0"/>
      <w:numFmt w:val="bullet"/>
      <w:lvlText w:val="•"/>
      <w:lvlJc w:val="left"/>
      <w:pPr>
        <w:ind w:left="2719" w:hanging="361"/>
      </w:pPr>
      <w:rPr>
        <w:rFonts w:hint="default"/>
        <w:lang w:val="zh-CN" w:eastAsia="zh-CN" w:bidi="zh-CN"/>
      </w:rPr>
    </w:lvl>
    <w:lvl w:ilvl="4">
      <w:start w:val="0"/>
      <w:numFmt w:val="bullet"/>
      <w:lvlText w:val="•"/>
      <w:lvlJc w:val="left"/>
      <w:pPr>
        <w:ind w:left="3586" w:hanging="361"/>
      </w:pPr>
      <w:rPr>
        <w:rFonts w:hint="default"/>
        <w:lang w:val="zh-CN" w:eastAsia="zh-CN" w:bidi="zh-CN"/>
      </w:rPr>
    </w:lvl>
    <w:lvl w:ilvl="5">
      <w:start w:val="0"/>
      <w:numFmt w:val="bullet"/>
      <w:lvlText w:val="•"/>
      <w:lvlJc w:val="left"/>
      <w:pPr>
        <w:ind w:left="4453" w:hanging="361"/>
      </w:pPr>
      <w:rPr>
        <w:rFonts w:hint="default"/>
        <w:lang w:val="zh-CN" w:eastAsia="zh-CN" w:bidi="zh-CN"/>
      </w:rPr>
    </w:lvl>
    <w:lvl w:ilvl="6">
      <w:start w:val="0"/>
      <w:numFmt w:val="bullet"/>
      <w:lvlText w:val="•"/>
      <w:lvlJc w:val="left"/>
      <w:pPr>
        <w:ind w:left="5319" w:hanging="361"/>
      </w:pPr>
      <w:rPr>
        <w:rFonts w:hint="default"/>
        <w:lang w:val="zh-CN" w:eastAsia="zh-CN" w:bidi="zh-CN"/>
      </w:rPr>
    </w:lvl>
    <w:lvl w:ilvl="7">
      <w:start w:val="0"/>
      <w:numFmt w:val="bullet"/>
      <w:lvlText w:val="•"/>
      <w:lvlJc w:val="left"/>
      <w:pPr>
        <w:ind w:left="6186" w:hanging="361"/>
      </w:pPr>
      <w:rPr>
        <w:rFonts w:hint="default"/>
        <w:lang w:val="zh-CN" w:eastAsia="zh-CN" w:bidi="zh-CN"/>
      </w:rPr>
    </w:lvl>
    <w:lvl w:ilvl="8">
      <w:start w:val="0"/>
      <w:numFmt w:val="bullet"/>
      <w:lvlText w:val="•"/>
      <w:lvlJc w:val="left"/>
      <w:pPr>
        <w:ind w:left="7053" w:hanging="36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25">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2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2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2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2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1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1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1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spacing w:val="-59"/>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1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1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12">
    <w:multiLevelType w:val="hybridMultilevel"/>
    <w:lvl w:ilvl="0">
      <w:start w:val="1"/>
      <w:numFmt w:val="decimal"/>
      <w:lvlText w:val="（%1）"/>
      <w:lvlJc w:val="left"/>
      <w:pPr>
        <w:ind w:left="120" w:hanging="601"/>
        <w:jc w:val="left"/>
      </w:pPr>
      <w:rPr>
        <w:rFonts w:hint="default" w:ascii="宋体" w:hAnsi="宋体" w:eastAsia="宋体" w:cs="宋体"/>
        <w:spacing w:val="-10"/>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1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1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4">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8" w:hanging="601"/>
      </w:pPr>
      <w:rPr>
        <w:rFonts w:hint="default"/>
        <w:lang w:val="zh-CN" w:eastAsia="zh-CN" w:bidi="zh-CN"/>
      </w:rPr>
    </w:lvl>
    <w:lvl w:ilvl="2">
      <w:start w:val="0"/>
      <w:numFmt w:val="bullet"/>
      <w:lvlText w:val="•"/>
      <w:lvlJc w:val="left"/>
      <w:pPr>
        <w:ind w:left="2717" w:hanging="601"/>
      </w:pPr>
      <w:rPr>
        <w:rFonts w:hint="default"/>
        <w:lang w:val="zh-CN" w:eastAsia="zh-CN" w:bidi="zh-CN"/>
      </w:rPr>
    </w:lvl>
    <w:lvl w:ilvl="3">
      <w:start w:val="0"/>
      <w:numFmt w:val="bullet"/>
      <w:lvlText w:val="•"/>
      <w:lvlJc w:val="left"/>
      <w:pPr>
        <w:ind w:left="3475" w:hanging="601"/>
      </w:pPr>
      <w:rPr>
        <w:rFonts w:hint="default"/>
        <w:lang w:val="zh-CN" w:eastAsia="zh-CN" w:bidi="zh-CN"/>
      </w:rPr>
    </w:lvl>
    <w:lvl w:ilvl="4">
      <w:start w:val="0"/>
      <w:numFmt w:val="bullet"/>
      <w:lvlText w:val="•"/>
      <w:lvlJc w:val="left"/>
      <w:pPr>
        <w:ind w:left="4234" w:hanging="601"/>
      </w:pPr>
      <w:rPr>
        <w:rFonts w:hint="default"/>
        <w:lang w:val="zh-CN" w:eastAsia="zh-CN" w:bidi="zh-CN"/>
      </w:rPr>
    </w:lvl>
    <w:lvl w:ilvl="5">
      <w:start w:val="0"/>
      <w:numFmt w:val="bullet"/>
      <w:lvlText w:val="•"/>
      <w:lvlJc w:val="left"/>
      <w:pPr>
        <w:ind w:left="4993" w:hanging="601"/>
      </w:pPr>
      <w:rPr>
        <w:rFonts w:hint="default"/>
        <w:lang w:val="zh-CN" w:eastAsia="zh-CN" w:bidi="zh-CN"/>
      </w:rPr>
    </w:lvl>
    <w:lvl w:ilvl="6">
      <w:start w:val="0"/>
      <w:numFmt w:val="bullet"/>
      <w:lvlText w:val="•"/>
      <w:lvlJc w:val="left"/>
      <w:pPr>
        <w:ind w:left="5751" w:hanging="601"/>
      </w:pPr>
      <w:rPr>
        <w:rFonts w:hint="default"/>
        <w:lang w:val="zh-CN" w:eastAsia="zh-CN" w:bidi="zh-CN"/>
      </w:rPr>
    </w:lvl>
    <w:lvl w:ilvl="7">
      <w:start w:val="0"/>
      <w:numFmt w:val="bullet"/>
      <w:lvlText w:val="•"/>
      <w:lvlJc w:val="left"/>
      <w:pPr>
        <w:ind w:left="6510" w:hanging="601"/>
      </w:pPr>
      <w:rPr>
        <w:rFonts w:hint="default"/>
        <w:lang w:val="zh-CN" w:eastAsia="zh-CN" w:bidi="zh-CN"/>
      </w:rPr>
    </w:lvl>
    <w:lvl w:ilvl="8">
      <w:start w:val="0"/>
      <w:numFmt w:val="bullet"/>
      <w:lvlText w:val="•"/>
      <w:lvlJc w:val="left"/>
      <w:pPr>
        <w:ind w:left="7269" w:hanging="601"/>
      </w:pPr>
      <w:rPr>
        <w:rFonts w:hint="default"/>
        <w:lang w:val="zh-CN" w:eastAsia="zh-CN" w:bidi="zh-CN"/>
      </w:rPr>
    </w:lvl>
  </w:abstractNum>
  <w:abstractNum w:abstractNumId="1">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abstractNum w:abstractNumId="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86" w:hanging="601"/>
      </w:pPr>
      <w:rPr>
        <w:rFonts w:hint="default"/>
        <w:lang w:val="zh-CN" w:eastAsia="zh-CN" w:bidi="zh-CN"/>
      </w:rPr>
    </w:lvl>
    <w:lvl w:ilvl="2">
      <w:start w:val="0"/>
      <w:numFmt w:val="bullet"/>
      <w:lvlText w:val="•"/>
      <w:lvlJc w:val="left"/>
      <w:pPr>
        <w:ind w:left="1853" w:hanging="601"/>
      </w:pPr>
      <w:rPr>
        <w:rFonts w:hint="default"/>
        <w:lang w:val="zh-CN" w:eastAsia="zh-CN" w:bidi="zh-CN"/>
      </w:rPr>
    </w:lvl>
    <w:lvl w:ilvl="3">
      <w:start w:val="0"/>
      <w:numFmt w:val="bullet"/>
      <w:lvlText w:val="•"/>
      <w:lvlJc w:val="left"/>
      <w:pPr>
        <w:ind w:left="2719" w:hanging="601"/>
      </w:pPr>
      <w:rPr>
        <w:rFonts w:hint="default"/>
        <w:lang w:val="zh-CN" w:eastAsia="zh-CN" w:bidi="zh-CN"/>
      </w:rPr>
    </w:lvl>
    <w:lvl w:ilvl="4">
      <w:start w:val="0"/>
      <w:numFmt w:val="bullet"/>
      <w:lvlText w:val="•"/>
      <w:lvlJc w:val="left"/>
      <w:pPr>
        <w:ind w:left="3586" w:hanging="601"/>
      </w:pPr>
      <w:rPr>
        <w:rFonts w:hint="default"/>
        <w:lang w:val="zh-CN" w:eastAsia="zh-CN" w:bidi="zh-CN"/>
      </w:rPr>
    </w:lvl>
    <w:lvl w:ilvl="5">
      <w:start w:val="0"/>
      <w:numFmt w:val="bullet"/>
      <w:lvlText w:val="•"/>
      <w:lvlJc w:val="left"/>
      <w:pPr>
        <w:ind w:left="4453" w:hanging="601"/>
      </w:pPr>
      <w:rPr>
        <w:rFonts w:hint="default"/>
        <w:lang w:val="zh-CN" w:eastAsia="zh-CN" w:bidi="zh-CN"/>
      </w:rPr>
    </w:lvl>
    <w:lvl w:ilvl="6">
      <w:start w:val="0"/>
      <w:numFmt w:val="bullet"/>
      <w:lvlText w:val="•"/>
      <w:lvlJc w:val="left"/>
      <w:pPr>
        <w:ind w:left="5319" w:hanging="601"/>
      </w:pPr>
      <w:rPr>
        <w:rFonts w:hint="default"/>
        <w:lang w:val="zh-CN" w:eastAsia="zh-CN" w:bidi="zh-CN"/>
      </w:rPr>
    </w:lvl>
    <w:lvl w:ilvl="7">
      <w:start w:val="0"/>
      <w:numFmt w:val="bullet"/>
      <w:lvlText w:val="•"/>
      <w:lvlJc w:val="left"/>
      <w:pPr>
        <w:ind w:left="6186" w:hanging="601"/>
      </w:pPr>
      <w:rPr>
        <w:rFonts w:hint="default"/>
        <w:lang w:val="zh-CN" w:eastAsia="zh-CN" w:bidi="zh-CN"/>
      </w:rPr>
    </w:lvl>
    <w:lvl w:ilvl="8">
      <w:start w:val="0"/>
      <w:numFmt w:val="bullet"/>
      <w:lvlText w:val="•"/>
      <w:lvlJc w:val="left"/>
      <w:pPr>
        <w:ind w:left="7053" w:hanging="601"/>
      </w:pPr>
      <w:rPr>
        <w:rFonts w:hint="default"/>
        <w:lang w:val="zh-CN" w:eastAsia="zh-CN" w:bidi="zh-CN"/>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20"/>
    </w:pPr>
    <w:rPr>
      <w:rFonts w:ascii="宋体" w:hAnsi="宋体" w:eastAsia="宋体" w:cs="宋体"/>
      <w:sz w:val="21"/>
      <w:szCs w:val="21"/>
      <w:lang w:val="zh-CN" w:eastAsia="zh-CN" w:bidi="zh-CN"/>
    </w:rPr>
  </w:style>
  <w:style w:styleId="BodyText" w:type="paragraph">
    <w:name w:val="Body Text"/>
    <w:basedOn w:val="Normal"/>
    <w:uiPriority w:val="1"/>
    <w:qFormat/>
    <w:pPr>
      <w:spacing w:before="161"/>
      <w:ind w:left="120"/>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237"/>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34"/>
      <w:ind w:right="238"/>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61"/>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2020-11-18T06:16:01Z</dcterms:created>
  <dcterms:modified xsi:type="dcterms:W3CDTF">2020-11-18T06:16:01Z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