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7"/>
        <w:ind w:left="0"/>
        <w:rPr>
          <w:rFonts w:ascii="Times New Roman"/>
        </w:rPr>
      </w:pPr>
    </w:p>
    <w:p>
      <w:pPr>
        <w:spacing w:line="757" w:lineRule="exact" w:before="0"/>
        <w:ind w:left="0" w:right="340" w:firstLine="0"/>
        <w:jc w:val="center"/>
        <w:rPr>
          <w:rFonts w:ascii="Microsoft JhengHei" w:eastAsia="Microsoft JhengHei" w:hint="eastAsia"/>
          <w:b/>
          <w:sz w:val="48"/>
        </w:rPr>
      </w:pPr>
      <w:r>
        <w:rPr>
          <w:rFonts w:ascii="Microsoft JhengHei" w:eastAsia="Microsoft JhengHei" w:hint="eastAsia"/>
          <w:b/>
          <w:sz w:val="48"/>
        </w:rPr>
        <w:t>易方达科讯混合型证券投资基金</w:t>
      </w:r>
    </w:p>
    <w:p>
      <w:pPr>
        <w:spacing w:before="429"/>
        <w:ind w:left="0" w:right="339" w:firstLine="0"/>
        <w:jc w:val="center"/>
        <w:rPr>
          <w:rFonts w:ascii="Microsoft JhengHei" w:eastAsia="Microsoft JhengHei" w:hint="eastAsia"/>
          <w:b/>
          <w:sz w:val="48"/>
        </w:rPr>
      </w:pPr>
      <w:r>
        <w:rPr>
          <w:rFonts w:ascii="Microsoft JhengHei" w:eastAsia="Microsoft JhengHei" w:hint="eastAsia"/>
          <w:b/>
          <w:sz w:val="48"/>
        </w:rPr>
        <w:t>基金合同</w:t>
      </w: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0"/>
        <w:ind w:left="0"/>
        <w:rPr>
          <w:rFonts w:ascii="Microsoft JhengHei"/>
          <w:b/>
          <w:sz w:val="48"/>
        </w:rPr>
      </w:pPr>
    </w:p>
    <w:p>
      <w:pPr>
        <w:pStyle w:val="BodyText"/>
        <w:spacing w:before="12"/>
        <w:ind w:left="0"/>
        <w:rPr>
          <w:rFonts w:ascii="Microsoft JhengHei"/>
          <w:b/>
          <w:sz w:val="29"/>
        </w:rPr>
      </w:pPr>
    </w:p>
    <w:p>
      <w:pPr>
        <w:spacing w:line="237" w:lineRule="auto" w:before="1"/>
        <w:ind w:left="1290" w:right="1450" w:firstLine="0"/>
        <w:jc w:val="center"/>
        <w:rPr>
          <w:rFonts w:ascii="Microsoft JhengHei" w:eastAsia="Microsoft JhengHei" w:hint="eastAsia"/>
          <w:b/>
          <w:sz w:val="36"/>
        </w:rPr>
      </w:pPr>
      <w:r>
        <w:rPr>
          <w:rFonts w:ascii="Microsoft JhengHei" w:eastAsia="Microsoft JhengHei" w:hint="eastAsia"/>
          <w:b/>
          <w:spacing w:val="-1"/>
          <w:sz w:val="36"/>
        </w:rPr>
        <w:t>基金管理人：易方达基金管理有限公司</w:t>
      </w:r>
      <w:r>
        <w:rPr>
          <w:rFonts w:ascii="Microsoft JhengHei" w:eastAsia="Microsoft JhengHei" w:hint="eastAsia"/>
          <w:b/>
          <w:sz w:val="36"/>
        </w:rPr>
        <w:t>基金托管人：交通银行股份有限公司 二〇二〇年十月</w:t>
      </w:r>
    </w:p>
    <w:p>
      <w:pPr>
        <w:spacing w:after="0" w:line="237" w:lineRule="auto"/>
        <w:jc w:val="center"/>
        <w:rPr>
          <w:rFonts w:ascii="Microsoft JhengHei" w:eastAsia="Microsoft JhengHei" w:hint="eastAsia"/>
          <w:sz w:val="36"/>
        </w:rPr>
        <w:sectPr>
          <w:type w:val="continuous"/>
          <w:pgSz w:w="11910" w:h="16840"/>
          <w:pgMar w:top="1580" w:bottom="280" w:left="1680" w:right="1340"/>
        </w:sectPr>
      </w:pPr>
    </w:p>
    <w:p>
      <w:pPr>
        <w:pStyle w:val="BodyText"/>
        <w:spacing w:before="2"/>
        <w:ind w:left="0"/>
        <w:rPr>
          <w:rFonts w:ascii="Microsoft JhengHei"/>
          <w:b/>
          <w:sz w:val="8"/>
        </w:rPr>
      </w:pPr>
    </w:p>
    <w:p>
      <w:pPr>
        <w:tabs>
          <w:tab w:pos="881" w:val="left" w:leader="none"/>
        </w:tabs>
        <w:spacing w:line="702" w:lineRule="exact" w:before="0"/>
        <w:ind w:left="0" w:right="339" w:firstLine="0"/>
        <w:jc w:val="center"/>
        <w:rPr>
          <w:rFonts w:ascii="Microsoft JhengHei" w:eastAsia="Microsoft JhengHei" w:hint="eastAsia"/>
          <w:b/>
          <w:sz w:val="44"/>
        </w:rPr>
      </w:pPr>
      <w:r>
        <w:rPr>
          <w:rFonts w:ascii="Microsoft JhengHei" w:eastAsia="Microsoft JhengHei" w:hint="eastAsia"/>
          <w:b/>
          <w:sz w:val="44"/>
        </w:rPr>
        <w:t>目</w:t>
        <w:tab/>
        <w:t>录</w:t>
      </w:r>
    </w:p>
    <w:sdt>
      <w:sdtPr>
        <w:docPartObj>
          <w:docPartGallery w:val="Table of Contents"/>
          <w:docPartUnique/>
        </w:docPartObj>
      </w:sdtPr>
      <w:sdtEndPr/>
      <w:sdtContent>
        <w:p>
          <w:pPr>
            <w:pStyle w:val="TOC1"/>
            <w:tabs>
              <w:tab w:pos="959" w:val="left" w:leader="none"/>
              <w:tab w:pos="8415" w:val="right" w:leader="dot"/>
            </w:tabs>
            <w:spacing w:before="46"/>
            <w:rPr>
              <w:rFonts w:ascii="Times New Roman" w:eastAsia="Times New Roman"/>
            </w:rPr>
          </w:pPr>
          <w:hyperlink w:history="true" w:anchor="_bookmark0">
            <w:r>
              <w:rPr/>
              <w:t>一、</w:t>
              <w:tab/>
              <w:t>前言</w:t>
              <w:tab/>
            </w:r>
            <w:r>
              <w:rPr>
                <w:rFonts w:ascii="Times New Roman" w:eastAsia="Times New Roman"/>
              </w:rPr>
              <w:t>2</w:t>
            </w:r>
          </w:hyperlink>
        </w:p>
        <w:p>
          <w:pPr>
            <w:pStyle w:val="TOC1"/>
            <w:tabs>
              <w:tab w:pos="959" w:val="left" w:leader="none"/>
              <w:tab w:pos="8415" w:val="right" w:leader="dot"/>
            </w:tabs>
            <w:rPr>
              <w:rFonts w:ascii="Times New Roman" w:eastAsia="Times New Roman"/>
            </w:rPr>
          </w:pPr>
          <w:hyperlink w:history="true" w:anchor="_bookmark1">
            <w:r>
              <w:rPr/>
              <w:t>二、</w:t>
              <w:tab/>
              <w:t>释义</w:t>
              <w:tab/>
            </w:r>
            <w:r>
              <w:rPr>
                <w:rFonts w:ascii="Times New Roman" w:eastAsia="Times New Roman"/>
              </w:rPr>
              <w:t>4</w:t>
            </w:r>
          </w:hyperlink>
        </w:p>
        <w:p>
          <w:pPr>
            <w:pStyle w:val="TOC1"/>
            <w:tabs>
              <w:tab w:pos="959" w:val="left" w:leader="none"/>
              <w:tab w:pos="8415" w:val="right" w:leader="dot"/>
            </w:tabs>
            <w:rPr>
              <w:rFonts w:ascii="Times New Roman" w:eastAsia="Times New Roman"/>
            </w:rPr>
          </w:pPr>
          <w:hyperlink w:history="true" w:anchor="_bookmark2">
            <w:r>
              <w:rPr/>
              <w:t>三、</w:t>
              <w:tab/>
              <w:t>基金的基本情况</w:t>
              <w:tab/>
            </w:r>
            <w:r>
              <w:rPr>
                <w:rFonts w:ascii="Times New Roman" w:eastAsia="Times New Roman"/>
              </w:rPr>
              <w:t>10</w:t>
            </w:r>
          </w:hyperlink>
        </w:p>
        <w:p>
          <w:pPr>
            <w:pStyle w:val="TOC1"/>
            <w:tabs>
              <w:tab w:pos="959" w:val="left" w:leader="none"/>
              <w:tab w:pos="8415" w:val="right" w:leader="dot"/>
            </w:tabs>
            <w:rPr>
              <w:rFonts w:ascii="Times New Roman" w:eastAsia="Times New Roman"/>
            </w:rPr>
          </w:pPr>
          <w:hyperlink w:history="true" w:anchor="_bookmark3">
            <w:r>
              <w:rPr/>
              <w:t>四、</w:t>
              <w:tab/>
              <w:t>基金的历史沿革</w:t>
              <w:tab/>
            </w:r>
            <w:r>
              <w:rPr>
                <w:rFonts w:ascii="Times New Roman" w:eastAsia="Times New Roman"/>
              </w:rPr>
              <w:t>11</w:t>
            </w:r>
          </w:hyperlink>
        </w:p>
        <w:p>
          <w:pPr>
            <w:pStyle w:val="TOC1"/>
            <w:tabs>
              <w:tab w:pos="959" w:val="left" w:leader="none"/>
              <w:tab w:pos="8415" w:val="right" w:leader="dot"/>
            </w:tabs>
            <w:spacing w:before="65"/>
            <w:rPr>
              <w:rFonts w:ascii="Times New Roman" w:eastAsia="Times New Roman"/>
            </w:rPr>
          </w:pPr>
          <w:hyperlink w:history="true" w:anchor="_bookmark4">
            <w:r>
              <w:rPr/>
              <w:t>五、</w:t>
              <w:tab/>
              <w:t>基金的存续</w:t>
              <w:tab/>
            </w:r>
            <w:r>
              <w:rPr>
                <w:rFonts w:ascii="Times New Roman" w:eastAsia="Times New Roman"/>
              </w:rPr>
              <w:t>12</w:t>
            </w:r>
          </w:hyperlink>
        </w:p>
        <w:p>
          <w:pPr>
            <w:pStyle w:val="TOC1"/>
            <w:tabs>
              <w:tab w:pos="959" w:val="left" w:leader="none"/>
              <w:tab w:pos="8415" w:val="right" w:leader="dot"/>
            </w:tabs>
            <w:rPr>
              <w:rFonts w:ascii="Times New Roman" w:eastAsia="Times New Roman"/>
            </w:rPr>
          </w:pPr>
          <w:hyperlink w:history="true" w:anchor="_bookmark5">
            <w:r>
              <w:rPr/>
              <w:t>六、</w:t>
              <w:tab/>
              <w:t>基金份额的申购、赎回与转换</w:t>
              <w:tab/>
            </w:r>
            <w:r>
              <w:rPr>
                <w:rFonts w:ascii="Times New Roman" w:eastAsia="Times New Roman"/>
              </w:rPr>
              <w:t>13</w:t>
            </w:r>
          </w:hyperlink>
        </w:p>
        <w:p>
          <w:pPr>
            <w:pStyle w:val="TOC1"/>
            <w:tabs>
              <w:tab w:pos="959" w:val="left" w:leader="none"/>
              <w:tab w:pos="8415" w:val="right" w:leader="dot"/>
            </w:tabs>
            <w:rPr>
              <w:rFonts w:ascii="Times New Roman" w:eastAsia="Times New Roman"/>
            </w:rPr>
          </w:pPr>
          <w:hyperlink w:history="true" w:anchor="_bookmark6">
            <w:r>
              <w:rPr/>
              <w:t>七、</w:t>
              <w:tab/>
              <w:t>基金的非交易过户与转托管</w:t>
              <w:tab/>
            </w:r>
            <w:r>
              <w:rPr>
                <w:rFonts w:ascii="Times New Roman" w:eastAsia="Times New Roman"/>
              </w:rPr>
              <w:t>21</w:t>
            </w:r>
          </w:hyperlink>
        </w:p>
        <w:p>
          <w:pPr>
            <w:pStyle w:val="TOC1"/>
            <w:tabs>
              <w:tab w:pos="959" w:val="left" w:leader="none"/>
              <w:tab w:pos="8415" w:val="right" w:leader="dot"/>
            </w:tabs>
            <w:rPr>
              <w:rFonts w:ascii="Times New Roman" w:eastAsia="Times New Roman"/>
            </w:rPr>
          </w:pPr>
          <w:hyperlink w:history="true" w:anchor="_bookmark7">
            <w:r>
              <w:rPr/>
              <w:t>八、</w:t>
              <w:tab/>
              <w:t>基金份额的冻结、解冻及质押</w:t>
              <w:tab/>
            </w:r>
            <w:r>
              <w:rPr>
                <w:rFonts w:ascii="Times New Roman" w:eastAsia="Times New Roman"/>
              </w:rPr>
              <w:t>22</w:t>
            </w:r>
          </w:hyperlink>
        </w:p>
        <w:p>
          <w:pPr>
            <w:pStyle w:val="TOC1"/>
            <w:tabs>
              <w:tab w:pos="959" w:val="left" w:leader="none"/>
              <w:tab w:pos="8415" w:val="right" w:leader="dot"/>
            </w:tabs>
            <w:spacing w:before="65"/>
            <w:rPr>
              <w:rFonts w:ascii="Times New Roman" w:eastAsia="Times New Roman"/>
            </w:rPr>
          </w:pPr>
          <w:hyperlink w:history="true" w:anchor="_bookmark8">
            <w:r>
              <w:rPr/>
              <w:t>九、</w:t>
              <w:tab/>
              <w:t>基金合同当事人</w:t>
            </w:r>
          </w:hyperlink>
          <w:hyperlink w:history="true" w:anchor="_bookmark8">
            <w:r>
              <w:rPr/>
              <w:t>及其权利义务</w:t>
              <w:tab/>
            </w:r>
            <w:r>
              <w:rPr>
                <w:rFonts w:ascii="Times New Roman" w:eastAsia="Times New Roman"/>
              </w:rPr>
              <w:t>23</w:t>
            </w:r>
          </w:hyperlink>
        </w:p>
        <w:p>
          <w:pPr>
            <w:pStyle w:val="TOC1"/>
            <w:tabs>
              <w:tab w:pos="959" w:val="left" w:leader="none"/>
              <w:tab w:pos="8415" w:val="right" w:leader="dot"/>
            </w:tabs>
            <w:rPr>
              <w:rFonts w:ascii="Times New Roman" w:eastAsia="Times New Roman"/>
            </w:rPr>
          </w:pPr>
          <w:hyperlink w:history="true" w:anchor="_bookmark9">
            <w:r>
              <w:rPr/>
              <w:t>十、</w:t>
              <w:tab/>
              <w:t>基金份额持有人大会</w:t>
              <w:tab/>
            </w:r>
            <w:r>
              <w:rPr>
                <w:rFonts w:ascii="Times New Roman" w:eastAsia="Times New Roman"/>
              </w:rPr>
              <w:t>31</w:t>
            </w:r>
          </w:hyperlink>
        </w:p>
        <w:p>
          <w:pPr>
            <w:pStyle w:val="TOC1"/>
            <w:tabs>
              <w:tab w:pos="959" w:val="left" w:leader="none"/>
              <w:tab w:pos="8415" w:val="right" w:leader="dot"/>
            </w:tabs>
            <w:rPr>
              <w:rFonts w:ascii="Times New Roman" w:eastAsia="Times New Roman"/>
            </w:rPr>
          </w:pPr>
          <w:hyperlink w:history="true" w:anchor="_bookmark10">
            <w:r>
              <w:rPr/>
              <w:t>十一、</w:t>
              <w:tab/>
              <w:t>基金管理人、基金托管人的更换条件和程序</w:t>
              <w:tab/>
            </w:r>
            <w:r>
              <w:rPr>
                <w:rFonts w:ascii="Times New Roman" w:eastAsia="Times New Roman"/>
              </w:rPr>
              <w:t>39</w:t>
            </w:r>
          </w:hyperlink>
        </w:p>
        <w:p>
          <w:pPr>
            <w:pStyle w:val="TOC1"/>
            <w:tabs>
              <w:tab w:pos="959" w:val="left" w:leader="none"/>
              <w:tab w:pos="8415" w:val="right" w:leader="dot"/>
            </w:tabs>
            <w:rPr>
              <w:rFonts w:ascii="Times New Roman" w:eastAsia="Times New Roman"/>
            </w:rPr>
          </w:pPr>
          <w:hyperlink w:history="true" w:anchor="_bookmark11">
            <w:r>
              <w:rPr/>
              <w:t>十二、</w:t>
              <w:tab/>
              <w:t>基金托管</w:t>
              <w:tab/>
            </w:r>
            <w:r>
              <w:rPr>
                <w:rFonts w:ascii="Times New Roman" w:eastAsia="Times New Roman"/>
              </w:rPr>
              <w:t>42</w:t>
            </w:r>
          </w:hyperlink>
        </w:p>
        <w:p>
          <w:pPr>
            <w:pStyle w:val="TOC1"/>
            <w:tabs>
              <w:tab w:pos="959" w:val="left" w:leader="none"/>
              <w:tab w:pos="8415" w:val="right" w:leader="dot"/>
            </w:tabs>
            <w:rPr>
              <w:rFonts w:ascii="Times New Roman" w:eastAsia="Times New Roman"/>
            </w:rPr>
          </w:pPr>
          <w:hyperlink w:history="true" w:anchor="_bookmark12">
            <w:r>
              <w:rPr/>
              <w:t>十三、</w:t>
              <w:tab/>
              <w:t>基金的销售</w:t>
              <w:tab/>
            </w:r>
            <w:r>
              <w:rPr>
                <w:rFonts w:ascii="Times New Roman" w:eastAsia="Times New Roman"/>
              </w:rPr>
              <w:t>43</w:t>
            </w:r>
          </w:hyperlink>
        </w:p>
        <w:p>
          <w:pPr>
            <w:pStyle w:val="TOC1"/>
            <w:tabs>
              <w:tab w:pos="959" w:val="left" w:leader="none"/>
              <w:tab w:pos="8415" w:val="right" w:leader="dot"/>
            </w:tabs>
            <w:spacing w:before="65"/>
            <w:rPr>
              <w:rFonts w:ascii="Times New Roman" w:eastAsia="Times New Roman"/>
            </w:rPr>
          </w:pPr>
          <w:hyperlink w:history="true" w:anchor="_bookmark13">
            <w:r>
              <w:rPr/>
              <w:t>十四、</w:t>
              <w:tab/>
              <w:t>基金份额的注册登记</w:t>
              <w:tab/>
            </w:r>
            <w:r>
              <w:rPr>
                <w:rFonts w:ascii="Times New Roman" w:eastAsia="Times New Roman"/>
              </w:rPr>
              <w:t>44</w:t>
            </w:r>
          </w:hyperlink>
        </w:p>
        <w:p>
          <w:pPr>
            <w:pStyle w:val="TOC1"/>
            <w:tabs>
              <w:tab w:pos="959" w:val="left" w:leader="none"/>
              <w:tab w:pos="8415" w:val="right" w:leader="dot"/>
            </w:tabs>
            <w:rPr>
              <w:rFonts w:ascii="Times New Roman" w:eastAsia="Times New Roman"/>
            </w:rPr>
          </w:pPr>
          <w:hyperlink w:history="true" w:anchor="_bookmark14">
            <w:r>
              <w:rPr/>
              <w:t>十五、</w:t>
              <w:tab/>
              <w:t>基金的投资</w:t>
              <w:tab/>
            </w:r>
            <w:r>
              <w:rPr>
                <w:rFonts w:ascii="Times New Roman" w:eastAsia="Times New Roman"/>
              </w:rPr>
              <w:t>45</w:t>
            </w:r>
          </w:hyperlink>
        </w:p>
        <w:p>
          <w:pPr>
            <w:pStyle w:val="TOC1"/>
            <w:tabs>
              <w:tab w:pos="959" w:val="left" w:leader="none"/>
              <w:tab w:pos="8415" w:val="right" w:leader="dot"/>
            </w:tabs>
            <w:rPr>
              <w:rFonts w:ascii="Times New Roman" w:eastAsia="Times New Roman"/>
            </w:rPr>
          </w:pPr>
          <w:hyperlink w:history="true" w:anchor="_bookmark15">
            <w:r>
              <w:rPr/>
              <w:t>十六、</w:t>
              <w:tab/>
              <w:t>基金的融资融券</w:t>
              <w:tab/>
            </w:r>
            <w:r>
              <w:rPr>
                <w:rFonts w:ascii="Times New Roman" w:eastAsia="Times New Roman"/>
              </w:rPr>
              <w:t>52</w:t>
            </w:r>
          </w:hyperlink>
        </w:p>
        <w:p>
          <w:pPr>
            <w:pStyle w:val="TOC1"/>
            <w:tabs>
              <w:tab w:pos="959" w:val="left" w:leader="none"/>
              <w:tab w:pos="8415" w:val="right" w:leader="dot"/>
            </w:tabs>
            <w:rPr>
              <w:rFonts w:ascii="Times New Roman" w:eastAsia="Times New Roman"/>
            </w:rPr>
          </w:pPr>
          <w:hyperlink w:history="true" w:anchor="_bookmark16">
            <w:r>
              <w:rPr/>
              <w:t>十七、</w:t>
              <w:tab/>
              <w:t>基金的财产</w:t>
              <w:tab/>
            </w:r>
            <w:r>
              <w:rPr>
                <w:rFonts w:ascii="Times New Roman" w:eastAsia="Times New Roman"/>
              </w:rPr>
              <w:t>53</w:t>
            </w:r>
          </w:hyperlink>
        </w:p>
        <w:p>
          <w:pPr>
            <w:pStyle w:val="TOC1"/>
            <w:tabs>
              <w:tab w:pos="959" w:val="left" w:leader="none"/>
              <w:tab w:pos="8415" w:val="right" w:leader="dot"/>
            </w:tabs>
            <w:spacing w:before="65"/>
            <w:rPr>
              <w:rFonts w:ascii="Times New Roman" w:eastAsia="Times New Roman"/>
            </w:rPr>
          </w:pPr>
          <w:hyperlink w:history="true" w:anchor="_bookmark17">
            <w:r>
              <w:rPr/>
              <w:t>十八、</w:t>
              <w:tab/>
              <w:t>基金资产估值</w:t>
              <w:tab/>
            </w:r>
            <w:r>
              <w:rPr>
                <w:rFonts w:ascii="Times New Roman" w:eastAsia="Times New Roman"/>
              </w:rPr>
              <w:t>55</w:t>
            </w:r>
          </w:hyperlink>
        </w:p>
        <w:p>
          <w:pPr>
            <w:pStyle w:val="TOC1"/>
            <w:tabs>
              <w:tab w:pos="959" w:val="left" w:leader="none"/>
              <w:tab w:pos="8415" w:val="right" w:leader="dot"/>
            </w:tabs>
            <w:rPr>
              <w:rFonts w:ascii="Times New Roman" w:eastAsia="Times New Roman"/>
            </w:rPr>
          </w:pPr>
          <w:hyperlink w:history="true" w:anchor="_bookmark18">
            <w:r>
              <w:rPr/>
              <w:t>十九、</w:t>
              <w:tab/>
              <w:t>基金费用与税收</w:t>
              <w:tab/>
            </w:r>
            <w:r>
              <w:rPr>
                <w:rFonts w:ascii="Times New Roman" w:eastAsia="Times New Roman"/>
              </w:rPr>
              <w:t>61</w:t>
            </w:r>
          </w:hyperlink>
        </w:p>
        <w:p>
          <w:pPr>
            <w:pStyle w:val="TOC1"/>
            <w:tabs>
              <w:tab w:pos="959" w:val="left" w:leader="none"/>
              <w:tab w:pos="8415" w:val="right" w:leader="dot"/>
            </w:tabs>
            <w:rPr>
              <w:rFonts w:ascii="Times New Roman" w:eastAsia="Times New Roman"/>
            </w:rPr>
          </w:pPr>
          <w:hyperlink w:history="true" w:anchor="_bookmark19">
            <w:r>
              <w:rPr/>
              <w:t>二十、</w:t>
              <w:tab/>
              <w:t>基金收益与分配</w:t>
              <w:tab/>
            </w:r>
            <w:r>
              <w:rPr>
                <w:rFonts w:ascii="Times New Roman" w:eastAsia="Times New Roman"/>
              </w:rPr>
              <w:t>63</w:t>
            </w:r>
          </w:hyperlink>
        </w:p>
        <w:p>
          <w:pPr>
            <w:pStyle w:val="TOC1"/>
            <w:tabs>
              <w:tab w:pos="8415" w:val="right" w:leader="dot"/>
            </w:tabs>
            <w:rPr>
              <w:rFonts w:ascii="Times New Roman" w:eastAsia="Times New Roman"/>
            </w:rPr>
          </w:pPr>
          <w:hyperlink w:history="true" w:anchor="_bookmark20">
            <w:r>
              <w:rPr/>
              <w:t>二十一、</w:t>
            </w:r>
            <w:r>
              <w:rPr>
                <w:spacing w:val="-13"/>
              </w:rPr>
              <w:t> </w:t>
            </w:r>
            <w:r>
              <w:rPr/>
              <w:t>基金的会计与审计</w:t>
              <w:tab/>
            </w:r>
            <w:r>
              <w:rPr>
                <w:rFonts w:ascii="Times New Roman" w:eastAsia="Times New Roman"/>
              </w:rPr>
              <w:t>65</w:t>
            </w:r>
          </w:hyperlink>
        </w:p>
        <w:p>
          <w:pPr>
            <w:pStyle w:val="TOC1"/>
            <w:tabs>
              <w:tab w:pos="8415" w:val="right" w:leader="dot"/>
            </w:tabs>
            <w:rPr>
              <w:rFonts w:ascii="Times New Roman" w:eastAsia="Times New Roman"/>
            </w:rPr>
          </w:pPr>
          <w:hyperlink w:history="true" w:anchor="_bookmark21">
            <w:r>
              <w:rPr/>
              <w:t>二十二、</w:t>
            </w:r>
            <w:r>
              <w:rPr>
                <w:spacing w:val="-13"/>
              </w:rPr>
              <w:t> </w:t>
            </w:r>
            <w:r>
              <w:rPr/>
              <w:t>基金的信息披露</w:t>
              <w:tab/>
            </w:r>
            <w:r>
              <w:rPr>
                <w:rFonts w:ascii="Times New Roman" w:eastAsia="Times New Roman"/>
              </w:rPr>
              <w:t>66</w:t>
            </w:r>
          </w:hyperlink>
        </w:p>
        <w:p>
          <w:pPr>
            <w:pStyle w:val="TOC1"/>
            <w:tabs>
              <w:tab w:pos="8415" w:val="right" w:leader="dot"/>
            </w:tabs>
            <w:spacing w:before="65"/>
            <w:rPr>
              <w:rFonts w:ascii="Times New Roman" w:eastAsia="Times New Roman"/>
            </w:rPr>
          </w:pPr>
          <w:hyperlink w:history="true" w:anchor="_bookmark22">
            <w:r>
              <w:rPr/>
              <w:t>二十三、</w:t>
            </w:r>
            <w:r>
              <w:rPr>
                <w:spacing w:val="-13"/>
              </w:rPr>
              <w:t> </w:t>
            </w:r>
            <w:r>
              <w:rPr/>
              <w:t>基金合同的变更、终止与基金财产的清算</w:t>
              <w:tab/>
            </w:r>
            <w:r>
              <w:rPr>
                <w:rFonts w:ascii="Times New Roman" w:eastAsia="Times New Roman"/>
              </w:rPr>
              <w:t>72</w:t>
            </w:r>
          </w:hyperlink>
        </w:p>
        <w:p>
          <w:pPr>
            <w:pStyle w:val="TOC1"/>
            <w:tabs>
              <w:tab w:pos="8415" w:val="right" w:leader="dot"/>
            </w:tabs>
            <w:rPr>
              <w:rFonts w:ascii="Times New Roman" w:eastAsia="Times New Roman"/>
            </w:rPr>
          </w:pPr>
          <w:hyperlink w:history="true" w:anchor="_bookmark23">
            <w:r>
              <w:rPr/>
              <w:t>二十四、</w:t>
            </w:r>
            <w:r>
              <w:rPr>
                <w:spacing w:val="-13"/>
              </w:rPr>
              <w:t> </w:t>
            </w:r>
            <w:r>
              <w:rPr/>
              <w:t>业务规则</w:t>
              <w:tab/>
            </w:r>
            <w:r>
              <w:rPr>
                <w:rFonts w:ascii="Times New Roman" w:eastAsia="Times New Roman"/>
              </w:rPr>
              <w:t>74</w:t>
            </w:r>
          </w:hyperlink>
        </w:p>
        <w:p>
          <w:pPr>
            <w:pStyle w:val="TOC1"/>
            <w:tabs>
              <w:tab w:pos="8415" w:val="right" w:leader="dot"/>
            </w:tabs>
            <w:rPr>
              <w:rFonts w:ascii="Times New Roman" w:eastAsia="Times New Roman"/>
            </w:rPr>
          </w:pPr>
          <w:hyperlink w:history="true" w:anchor="_bookmark24">
            <w:r>
              <w:rPr/>
              <w:t>二十五、</w:t>
            </w:r>
            <w:r>
              <w:rPr>
                <w:spacing w:val="-13"/>
              </w:rPr>
              <w:t> </w:t>
            </w:r>
            <w:r>
              <w:rPr/>
              <w:t>违约责任</w:t>
              <w:tab/>
            </w:r>
            <w:r>
              <w:rPr>
                <w:rFonts w:ascii="Times New Roman" w:eastAsia="Times New Roman"/>
              </w:rPr>
              <w:t>75</w:t>
            </w:r>
          </w:hyperlink>
        </w:p>
        <w:p>
          <w:pPr>
            <w:pStyle w:val="TOC1"/>
            <w:tabs>
              <w:tab w:pos="8415" w:val="right" w:leader="dot"/>
            </w:tabs>
            <w:rPr>
              <w:rFonts w:ascii="Times New Roman" w:eastAsia="Times New Roman"/>
            </w:rPr>
          </w:pPr>
          <w:hyperlink w:history="true" w:anchor="_bookmark25">
            <w:r>
              <w:rPr/>
              <w:t>二十六、</w:t>
            </w:r>
            <w:r>
              <w:rPr>
                <w:spacing w:val="-13"/>
              </w:rPr>
              <w:t> </w:t>
            </w:r>
            <w:r>
              <w:rPr/>
              <w:t>争议的处理</w:t>
              <w:tab/>
            </w:r>
            <w:r>
              <w:rPr>
                <w:rFonts w:ascii="Times New Roman" w:eastAsia="Times New Roman"/>
              </w:rPr>
              <w:t>76</w:t>
            </w:r>
          </w:hyperlink>
        </w:p>
        <w:p>
          <w:pPr>
            <w:pStyle w:val="TOC1"/>
            <w:tabs>
              <w:tab w:pos="8415" w:val="right" w:leader="dot"/>
            </w:tabs>
            <w:spacing w:before="65"/>
            <w:rPr>
              <w:rFonts w:ascii="Times New Roman" w:eastAsia="Times New Roman"/>
            </w:rPr>
          </w:pPr>
          <w:hyperlink w:history="true" w:anchor="_bookmark26">
            <w:r>
              <w:rPr/>
              <w:t>二十七、</w:t>
            </w:r>
            <w:r>
              <w:rPr>
                <w:spacing w:val="-13"/>
              </w:rPr>
              <w:t> </w:t>
            </w:r>
            <w:r>
              <w:rPr/>
              <w:t>基金合同的效力</w:t>
              <w:tab/>
            </w:r>
            <w:r>
              <w:rPr>
                <w:rFonts w:ascii="Times New Roman" w:eastAsia="Times New Roman"/>
              </w:rPr>
              <w:t>77</w:t>
            </w:r>
          </w:hyperlink>
        </w:p>
        <w:p>
          <w:pPr>
            <w:pStyle w:val="TOC1"/>
            <w:tabs>
              <w:tab w:pos="8415" w:val="right" w:leader="dot"/>
            </w:tabs>
            <w:rPr>
              <w:rFonts w:ascii="Times New Roman" w:eastAsia="Times New Roman"/>
            </w:rPr>
          </w:pPr>
          <w:hyperlink w:history="true" w:anchor="_bookmark27">
            <w:r>
              <w:rPr/>
              <w:t>二十八、基金合同摘要</w:t>
              <w:tab/>
            </w:r>
            <w:r>
              <w:rPr>
                <w:rFonts w:ascii="Times New Roman" w:eastAsia="Times New Roman"/>
              </w:rPr>
              <w:t>78</w:t>
            </w:r>
          </w:hyperlink>
        </w:p>
      </w:sdtContent>
    </w:sdt>
    <w:p>
      <w:pPr>
        <w:spacing w:after="0"/>
        <w:rPr>
          <w:rFonts w:ascii="Times New Roman" w:eastAsia="Times New Roman"/>
        </w:rPr>
        <w:sectPr>
          <w:footerReference w:type="default" r:id="rId5"/>
          <w:pgSz w:w="11910" w:h="16840"/>
          <w:pgMar w:footer="990" w:header="0" w:top="1580" w:bottom="1180" w:left="1680" w:right="1340"/>
          <w:pgNumType w:start="1"/>
        </w:sectPr>
      </w:pPr>
    </w:p>
    <w:p>
      <w:pPr>
        <w:pStyle w:val="Heading1"/>
        <w:tabs>
          <w:tab w:pos="1123" w:val="left" w:leader="none"/>
        </w:tabs>
        <w:spacing w:before="1"/>
        <w:ind w:left="403"/>
      </w:pPr>
      <w:bookmarkStart w:name="_bookmark0" w:id="1"/>
      <w:bookmarkEnd w:id="1"/>
      <w:r>
        <w:rPr>
          <w:b w:val="0"/>
        </w:rPr>
      </w:r>
      <w:r>
        <w:rPr>
          <w:position w:val="-2"/>
        </w:rPr>
        <w:t>一、</w:t>
        <w:tab/>
      </w:r>
      <w:r>
        <w:rPr/>
        <w:t>前言</w:t>
      </w:r>
    </w:p>
    <w:p>
      <w:pPr>
        <w:pStyle w:val="BodyText"/>
        <w:spacing w:line="364" w:lineRule="auto" w:before="231"/>
        <w:ind w:right="458"/>
      </w:pPr>
      <w:r>
        <w:rPr/>
        <w:t>（一）</w:t>
      </w:r>
      <w:r>
        <w:rPr>
          <w:spacing w:val="-6"/>
        </w:rPr>
        <w:t>订立《易方达科讯混合型证券投资基金基金合同》</w:t>
      </w:r>
      <w:r>
        <w:rPr/>
        <w:t>（以下简称“本基金合</w:t>
      </w:r>
      <w:r>
        <w:rPr>
          <w:spacing w:val="-60"/>
        </w:rPr>
        <w:t>同”</w:t>
      </w:r>
      <w:r>
        <w:rPr/>
        <w:t>）的目的、依据和原则。</w:t>
      </w:r>
    </w:p>
    <w:p>
      <w:pPr>
        <w:pStyle w:val="BodyText"/>
        <w:spacing w:before="158"/>
      </w:pPr>
      <w:r>
        <w:rPr/>
        <w:t>（1) 订立本基金合同的目的</w:t>
      </w:r>
    </w:p>
    <w:p>
      <w:pPr>
        <w:pStyle w:val="BodyText"/>
        <w:spacing w:line="364" w:lineRule="auto" w:before="160"/>
        <w:ind w:right="458" w:firstLine="480"/>
        <w:jc w:val="both"/>
      </w:pPr>
      <w:r>
        <w:rPr>
          <w:spacing w:val="-5"/>
        </w:rPr>
        <w:t>订立本基金合同的目的是明确本基金合同当事人的权利义务、规范易方达科</w:t>
      </w:r>
      <w:r>
        <w:rPr>
          <w:spacing w:val="-3"/>
        </w:rPr>
        <w:t>讯混合型证券投资基金</w:t>
      </w:r>
      <w:r>
        <w:rPr/>
        <w:t>（</w:t>
      </w:r>
      <w:r>
        <w:rPr>
          <w:spacing w:val="-6"/>
        </w:rPr>
        <w:t>以下简称“本基金”</w:t>
      </w:r>
      <w:r>
        <w:rPr>
          <w:spacing w:val="-12"/>
        </w:rPr>
        <w:t>）</w:t>
      </w:r>
      <w:r>
        <w:rPr>
          <w:spacing w:val="-6"/>
        </w:rPr>
        <w:t>的运作，保护基金合同当事人的</w:t>
      </w:r>
      <w:r>
        <w:rPr/>
        <w:t>合法权益。</w:t>
      </w:r>
    </w:p>
    <w:p>
      <w:pPr>
        <w:pStyle w:val="ListParagraph"/>
        <w:numPr>
          <w:ilvl w:val="0"/>
          <w:numId w:val="1"/>
        </w:numPr>
        <w:tabs>
          <w:tab w:pos="721" w:val="left" w:leader="none"/>
        </w:tabs>
        <w:spacing w:line="240" w:lineRule="auto" w:before="2" w:after="0"/>
        <w:ind w:left="721" w:right="0" w:hanging="601"/>
        <w:jc w:val="left"/>
        <w:rPr>
          <w:sz w:val="24"/>
        </w:rPr>
      </w:pPr>
      <w:r>
        <w:rPr>
          <w:sz w:val="24"/>
        </w:rPr>
        <w:t>订立本基金合同的依据</w:t>
      </w:r>
    </w:p>
    <w:p>
      <w:pPr>
        <w:pStyle w:val="BodyText"/>
        <w:spacing w:line="364" w:lineRule="auto" w:before="160"/>
        <w:ind w:right="457" w:firstLine="480"/>
        <w:jc w:val="both"/>
      </w:pPr>
      <w:r>
        <w:rPr>
          <w:spacing w:val="-7"/>
        </w:rPr>
        <w:t>订立本基金合同的依据是《中华人民共和国合同法》、《中华人民共和国证</w:t>
      </w:r>
      <w:r>
        <w:rPr>
          <w:spacing w:val="-10"/>
        </w:rPr>
        <w:t>券投资基金法》(以下简称“《基金法》”)、《公开募集证券投资基金运作管理</w:t>
      </w:r>
      <w:r>
        <w:rPr>
          <w:spacing w:val="-17"/>
        </w:rPr>
        <w:t>办法》(以下简称“《运作办法》”) 、《公开募集开放式证券投资基金流动性风</w:t>
      </w:r>
      <w:r>
        <w:rPr>
          <w:spacing w:val="-20"/>
        </w:rPr>
        <w:t>险管理规定》</w:t>
      </w:r>
      <w:r>
        <w:rPr>
          <w:spacing w:val="1"/>
        </w:rPr>
        <w:t>（以下简称</w:t>
      </w:r>
      <w:r>
        <w:rPr>
          <w:rFonts w:ascii="Times New Roman" w:hAnsi="Times New Roman" w:eastAsia="Times New Roman"/>
          <w:spacing w:val="1"/>
        </w:rPr>
        <w:t>“</w:t>
      </w:r>
      <w:r>
        <w:rPr>
          <w:spacing w:val="1"/>
        </w:rPr>
        <w:t>《管理规定》</w:t>
      </w:r>
      <w:r>
        <w:rPr>
          <w:rFonts w:ascii="Times New Roman" w:hAnsi="Times New Roman" w:eastAsia="Times New Roman"/>
          <w:spacing w:val="1"/>
        </w:rPr>
        <w:t>”</w:t>
      </w:r>
      <w:r>
        <w:rPr>
          <w:spacing w:val="-119"/>
        </w:rPr>
        <w:t>）</w:t>
      </w:r>
      <w:r>
        <w:rPr/>
        <w:t>、《证券投资基金销售管理办法》(以</w:t>
      </w:r>
      <w:r>
        <w:rPr>
          <w:spacing w:val="-11"/>
        </w:rPr>
        <w:t>下简称“《销售办法》”)、《公开募集证券投资基金信息披露管理办法》(以下</w:t>
      </w:r>
      <w:r>
        <w:rPr>
          <w:spacing w:val="-16"/>
        </w:rPr>
        <w:t>简称“《信息披露办法》”)、证券投资基金信息披露内容与格式准则第 </w:t>
      </w:r>
      <w:r>
        <w:rPr/>
        <w:t>6</w:t>
      </w:r>
      <w:r>
        <w:rPr>
          <w:spacing w:val="-33"/>
        </w:rPr>
        <w:t> 号《基</w:t>
      </w:r>
      <w:r>
        <w:rPr/>
        <w:t>金合同的内容与格式》及其他有关规定。</w:t>
      </w:r>
    </w:p>
    <w:p>
      <w:pPr>
        <w:pStyle w:val="ListParagraph"/>
        <w:numPr>
          <w:ilvl w:val="0"/>
          <w:numId w:val="1"/>
        </w:numPr>
        <w:tabs>
          <w:tab w:pos="721" w:val="left" w:leader="none"/>
        </w:tabs>
        <w:spacing w:line="240" w:lineRule="auto" w:before="5" w:after="0"/>
        <w:ind w:left="721" w:right="0" w:hanging="601"/>
        <w:jc w:val="left"/>
        <w:rPr>
          <w:sz w:val="24"/>
        </w:rPr>
      </w:pPr>
      <w:r>
        <w:rPr>
          <w:sz w:val="24"/>
        </w:rPr>
        <w:t>订立本基金合同的原则</w:t>
      </w:r>
    </w:p>
    <w:p>
      <w:pPr>
        <w:pStyle w:val="BodyText"/>
        <w:spacing w:line="364" w:lineRule="auto" w:before="160"/>
        <w:ind w:right="458" w:firstLine="480"/>
      </w:pPr>
      <w:r>
        <w:rPr>
          <w:spacing w:val="-7"/>
        </w:rPr>
        <w:t>订立本基金合同的原则是平等自愿、诚实信用、充分保护基金份额持有人的</w:t>
      </w:r>
      <w:r>
        <w:rPr/>
        <w:t>合法权益。</w:t>
      </w:r>
    </w:p>
    <w:p>
      <w:pPr>
        <w:pStyle w:val="BodyText"/>
        <w:spacing w:line="364" w:lineRule="auto" w:before="157"/>
        <w:ind w:right="458"/>
        <w:jc w:val="both"/>
      </w:pPr>
      <w:r>
        <w:rPr/>
        <w:t>（二）</w:t>
      </w:r>
      <w:r>
        <w:rPr>
          <w:spacing w:val="-8"/>
        </w:rPr>
        <w:t>本基金由基金管理人依照《基金法》、本基金合同和其他有关规定募集， </w:t>
      </w:r>
      <w:r>
        <w:rPr>
          <w:spacing w:val="-14"/>
        </w:rPr>
        <w:t>并经中国证监会核准。中国证监会对本基金募集的核准，并不表明其对本基金的</w:t>
      </w:r>
      <w:r>
        <w:rPr/>
        <w:t>价值和收益作出实质性判断或保证，也不表明投资于本基金没有风险。</w:t>
      </w:r>
    </w:p>
    <w:p>
      <w:pPr>
        <w:pStyle w:val="BodyText"/>
        <w:spacing w:line="364" w:lineRule="auto" w:before="158"/>
        <w:ind w:right="338" w:firstLine="480"/>
      </w:pPr>
      <w:r>
        <w:rPr>
          <w:spacing w:val="-16"/>
        </w:rPr>
        <w:t>基金管理人依照恪尽职守、诚实信用、谨慎勤勉的原则管理和运用基金财产， </w:t>
      </w:r>
      <w:r>
        <w:rPr>
          <w:spacing w:val="-6"/>
        </w:rPr>
        <w:t>但由于证券投资具有一定的风险，因此不保证投资于本基金一定盈利，也不保证基金份额持有人的最低收益。</w:t>
      </w:r>
    </w:p>
    <w:p>
      <w:pPr>
        <w:pStyle w:val="BodyText"/>
        <w:spacing w:line="364" w:lineRule="auto" w:before="158"/>
        <w:ind w:right="458"/>
        <w:jc w:val="both"/>
      </w:pPr>
      <w:r>
        <w:rPr/>
        <w:t>（三</w:t>
      </w:r>
      <w:r>
        <w:rPr>
          <w:spacing w:val="-48"/>
        </w:rPr>
        <w:t>）</w:t>
      </w:r>
      <w:r>
        <w:rPr>
          <w:spacing w:val="-3"/>
        </w:rPr>
        <w:t>本基金合同是约定本基金合同当事人之间基本权利义务的法律文件，其他</w:t>
      </w:r>
      <w:r>
        <w:rPr>
          <w:spacing w:val="-4"/>
        </w:rPr>
        <w:t>与本基金相关的涉及本基金合同当事人之间权利义务关系的任何文件或表述，如</w:t>
      </w:r>
      <w:r>
        <w:rPr>
          <w:spacing w:val="-7"/>
        </w:rPr>
        <w:t>与本基金合同不一致或有冲突，均以本基金合同为准。本基金合同的当事人包括</w:t>
      </w:r>
    </w:p>
    <w:p>
      <w:pPr>
        <w:spacing w:after="0" w:line="364" w:lineRule="auto"/>
        <w:jc w:val="both"/>
        <w:sectPr>
          <w:pgSz w:w="11910" w:h="16840"/>
          <w:pgMar w:header="0" w:footer="990" w:top="1580" w:bottom="1180" w:left="1680" w:right="1340"/>
        </w:sectPr>
      </w:pPr>
    </w:p>
    <w:p>
      <w:pPr>
        <w:pStyle w:val="BodyText"/>
        <w:spacing w:line="364" w:lineRule="auto" w:before="44"/>
        <w:ind w:right="458"/>
        <w:jc w:val="both"/>
      </w:pPr>
      <w:r>
        <w:rPr>
          <w:spacing w:val="-11"/>
        </w:rPr>
        <w:t>基金管理人、基金托管人和基金份额持有人。基金投资人自依本基金合同取得本</w:t>
      </w:r>
      <w:r>
        <w:rPr>
          <w:spacing w:val="-10"/>
        </w:rPr>
        <w:t>基金基金份额，即成为基金份额持有人和本基金合同的当事人，其持有基金份额</w:t>
      </w:r>
      <w:r>
        <w:rPr>
          <w:spacing w:val="-6"/>
        </w:rPr>
        <w:t>的行为本身即表明其对本基金合同的承认和接受。基金份额持有人作为本基金合</w:t>
      </w:r>
      <w:r>
        <w:rPr>
          <w:spacing w:val="-5"/>
        </w:rPr>
        <w:t>同当事人并不以在本基金合同上书面签章为必要条件。本基金合同的当事人应按</w:t>
      </w:r>
      <w:r>
        <w:rPr>
          <w:spacing w:val="-12"/>
        </w:rPr>
        <w:t>照《基金法》、本基金合同及其他有关规定享有权利、承担义务。</w:t>
      </w:r>
    </w:p>
    <w:p>
      <w:pPr>
        <w:pStyle w:val="BodyText"/>
        <w:spacing w:line="364" w:lineRule="auto" w:before="159"/>
        <w:ind w:right="458"/>
        <w:jc w:val="both"/>
      </w:pPr>
      <w:r>
        <w:rPr/>
        <w:t>（四</w:t>
      </w:r>
      <w:r>
        <w:rPr>
          <w:spacing w:val="-48"/>
        </w:rPr>
        <w:t>）</w:t>
      </w:r>
      <w:r>
        <w:rPr>
          <w:spacing w:val="-5"/>
        </w:rPr>
        <w:t>本基金的投资范围包括存托凭证，除与其他仅投资于沪深市场股票的基金</w:t>
      </w:r>
      <w:r>
        <w:rPr>
          <w:spacing w:val="-8"/>
        </w:rPr>
        <w:t>所面临的共同风险外，本基金还将面临投资存托凭证的特殊风险，详见本基金招</w:t>
      </w:r>
      <w:r>
        <w:rPr/>
        <w:t>募说明书。</w:t>
      </w:r>
    </w:p>
    <w:p>
      <w:pPr>
        <w:spacing w:after="0" w:line="364" w:lineRule="auto"/>
        <w:jc w:val="both"/>
        <w:sectPr>
          <w:pgSz w:w="11910" w:h="16840"/>
          <w:pgMar w:header="0" w:footer="990" w:top="1460" w:bottom="1180" w:left="1680" w:right="1340"/>
        </w:sectPr>
      </w:pPr>
    </w:p>
    <w:p>
      <w:pPr>
        <w:pStyle w:val="Heading1"/>
        <w:tabs>
          <w:tab w:pos="1123" w:val="left" w:leader="none"/>
        </w:tabs>
        <w:spacing w:before="1"/>
        <w:ind w:left="403"/>
      </w:pPr>
      <w:bookmarkStart w:name="_bookmark1" w:id="2"/>
      <w:bookmarkEnd w:id="2"/>
      <w:r>
        <w:rPr>
          <w:b w:val="0"/>
        </w:rPr>
      </w:r>
      <w:r>
        <w:rPr>
          <w:position w:val="-2"/>
        </w:rPr>
        <w:t>二、</w:t>
        <w:tab/>
      </w:r>
      <w:r>
        <w:rPr/>
        <w:t>释义</w:t>
      </w:r>
    </w:p>
    <w:p>
      <w:pPr>
        <w:pStyle w:val="BodyText"/>
        <w:spacing w:before="231"/>
        <w:ind w:left="600"/>
      </w:pPr>
      <w:r>
        <w:rPr/>
        <w:t>本基金合同中，除非文意另有所指，下列词语或简称具有如下含义：</w:t>
      </w:r>
    </w:p>
    <w:p>
      <w:pPr>
        <w:tabs>
          <w:tab w:pos="2927" w:val="left" w:leader="none"/>
        </w:tabs>
        <w:spacing w:before="82"/>
        <w:ind w:left="228" w:right="0" w:firstLine="0"/>
        <w:jc w:val="left"/>
        <w:rPr>
          <w:sz w:val="24"/>
        </w:rPr>
      </w:pPr>
      <w:r>
        <w:rPr>
          <w:rFonts w:ascii="Microsoft JhengHei" w:eastAsia="Microsoft JhengHei" w:hint="eastAsia"/>
          <w:b/>
          <w:sz w:val="24"/>
        </w:rPr>
        <w:t>基金或本基金：</w:t>
        <w:tab/>
      </w:r>
      <w:r>
        <w:rPr>
          <w:sz w:val="24"/>
        </w:rPr>
        <w:t>指易方达科讯混合型证券投资基金</w:t>
      </w:r>
      <w:r>
        <w:rPr>
          <w:spacing w:val="-23"/>
          <w:sz w:val="24"/>
        </w:rPr>
        <w:t>，</w:t>
      </w:r>
      <w:r>
        <w:rPr>
          <w:sz w:val="24"/>
        </w:rPr>
        <w:t>本基金由科讯证</w:t>
      </w:r>
    </w:p>
    <w:p>
      <w:pPr>
        <w:pStyle w:val="BodyText"/>
        <w:spacing w:before="106"/>
        <w:ind w:left="2928"/>
      </w:pPr>
      <w:r>
        <w:rPr/>
        <w:t>券投资基金转型而成；</w:t>
      </w:r>
    </w:p>
    <w:p>
      <w:pPr>
        <w:pStyle w:val="BodyText"/>
        <w:spacing w:before="11"/>
        <w:ind w:left="0"/>
        <w:rPr>
          <w:sz w:val="32"/>
        </w:rPr>
      </w:pPr>
    </w:p>
    <w:p>
      <w:pPr>
        <w:spacing w:before="0"/>
        <w:ind w:left="228" w:right="0" w:firstLine="0"/>
        <w:jc w:val="left"/>
        <w:rPr>
          <w:sz w:val="24"/>
        </w:rPr>
      </w:pPr>
      <w:r>
        <w:rPr>
          <w:rFonts w:ascii="Microsoft JhengHei" w:eastAsia="Microsoft JhengHei" w:hint="eastAsia"/>
          <w:b/>
          <w:sz w:val="24"/>
        </w:rPr>
        <w:t>基金合同或本基金合同： </w:t>
      </w:r>
      <w:r>
        <w:rPr>
          <w:sz w:val="24"/>
        </w:rPr>
        <w:t>指《易方达科讯混合型证券投资基金基金合同》及对</w:t>
      </w:r>
    </w:p>
    <w:p>
      <w:pPr>
        <w:pStyle w:val="BodyText"/>
        <w:spacing w:line="364" w:lineRule="auto" w:before="106"/>
        <w:ind w:left="2928" w:right="437"/>
      </w:pPr>
      <w:r>
        <w:rPr/>
        <w:t>本基金合同的任何有效修订和补充，本《基金合同》由《科讯证券投资基金基金合同》修订而成；</w:t>
      </w:r>
    </w:p>
    <w:p>
      <w:pPr>
        <w:pStyle w:val="BodyText"/>
        <w:spacing w:before="8"/>
        <w:ind w:left="0"/>
        <w:rPr>
          <w:sz w:val="19"/>
        </w:rPr>
      </w:pPr>
    </w:p>
    <w:p>
      <w:pPr>
        <w:tabs>
          <w:tab w:pos="2927" w:val="left" w:leader="none"/>
        </w:tabs>
        <w:spacing w:before="0"/>
        <w:ind w:left="228" w:right="0" w:firstLine="0"/>
        <w:jc w:val="left"/>
        <w:rPr>
          <w:sz w:val="24"/>
        </w:rPr>
      </w:pPr>
      <w:r>
        <w:rPr>
          <w:rFonts w:ascii="Microsoft JhengHei" w:eastAsia="Microsoft JhengHei" w:hint="eastAsia"/>
          <w:b/>
          <w:sz w:val="24"/>
        </w:rPr>
        <w:t>招募说明书：</w:t>
        <w:tab/>
      </w:r>
      <w:r>
        <w:rPr>
          <w:sz w:val="24"/>
        </w:rPr>
        <w:t>指《易方达科讯混合型证券投资基金招募说明书》；</w:t>
      </w:r>
    </w:p>
    <w:p>
      <w:pPr>
        <w:tabs>
          <w:tab w:pos="2927" w:val="left" w:leader="none"/>
        </w:tabs>
        <w:spacing w:before="27"/>
        <w:ind w:left="228" w:right="0" w:firstLine="0"/>
        <w:jc w:val="left"/>
        <w:rPr>
          <w:sz w:val="24"/>
        </w:rPr>
      </w:pPr>
      <w:r>
        <w:rPr>
          <w:rFonts w:ascii="Microsoft JhengHei" w:eastAsia="Microsoft JhengHei" w:hint="eastAsia"/>
          <w:b/>
          <w:sz w:val="24"/>
        </w:rPr>
        <w:t>更新的招募说明书：</w:t>
        <w:tab/>
      </w:r>
      <w:r>
        <w:rPr>
          <w:spacing w:val="10"/>
          <w:sz w:val="24"/>
        </w:rPr>
        <w:t>指易方达科讯混合型证券投资基金更新的招募说</w:t>
      </w:r>
      <w:r>
        <w:rPr>
          <w:sz w:val="24"/>
        </w:rPr>
        <w:t>明</w:t>
      </w:r>
    </w:p>
    <w:p>
      <w:pPr>
        <w:pStyle w:val="BodyText"/>
        <w:spacing w:line="364" w:lineRule="auto" w:before="106"/>
        <w:ind w:left="2928" w:right="410"/>
      </w:pPr>
      <w:r>
        <w:rPr/>
        <w:t>书，即根据相关法律、法规及其他有关规定对招募说明书进行的更新；</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基金产品资料概要</w:t>
        <w:tab/>
      </w:r>
      <w:r>
        <w:rPr>
          <w:spacing w:val="-23"/>
          <w:sz w:val="24"/>
        </w:rPr>
        <w:t>指</w:t>
      </w:r>
      <w:r>
        <w:rPr>
          <w:sz w:val="24"/>
        </w:rPr>
        <w:t>《易方达科讯混合型证券投资基金基金产品资料概</w:t>
      </w:r>
    </w:p>
    <w:p>
      <w:pPr>
        <w:pStyle w:val="BodyText"/>
        <w:spacing w:before="106"/>
        <w:ind w:left="2928"/>
      </w:pPr>
      <w:r>
        <w:rPr/>
        <w:t>要》及其更新</w:t>
      </w:r>
    </w:p>
    <w:p>
      <w:pPr>
        <w:pStyle w:val="BodyText"/>
        <w:tabs>
          <w:tab w:pos="2927" w:val="left" w:leader="none"/>
        </w:tabs>
        <w:spacing w:line="468" w:lineRule="exact" w:before="26"/>
        <w:ind w:left="2928" w:right="458" w:hanging="2700"/>
        <w:jc w:val="both"/>
      </w:pPr>
      <w:r>
        <w:rPr>
          <w:rFonts w:ascii="Microsoft JhengHei" w:eastAsia="Microsoft JhengHei" w:hint="eastAsia"/>
          <w:b/>
        </w:rPr>
        <w:t>托管协议</w:t>
        <w:tab/>
      </w:r>
      <w:r>
        <w:rPr/>
        <w:t>指基金管理人与基金托管人就本基金签订</w:t>
      </w:r>
      <w:r>
        <w:rPr>
          <w:spacing w:val="-23"/>
        </w:rPr>
        <w:t>之</w:t>
      </w:r>
      <w:r>
        <w:rPr/>
        <w:t>《易方</w:t>
      </w:r>
      <w:r>
        <w:rPr>
          <w:spacing w:val="-16"/>
        </w:rPr>
        <w:t>达</w:t>
      </w:r>
      <w:r>
        <w:rPr/>
        <w:t>科讯混合型证券投资基金托管协议</w:t>
      </w:r>
      <w:r>
        <w:rPr>
          <w:spacing w:val="-23"/>
        </w:rPr>
        <w:t>》</w:t>
      </w:r>
      <w:r>
        <w:rPr/>
        <w:t>及对该托管协</w:t>
      </w:r>
      <w:r>
        <w:rPr>
          <w:spacing w:val="-17"/>
        </w:rPr>
        <w:t>议</w:t>
      </w:r>
      <w:r>
        <w:rPr/>
        <w:t>的任何有效修订和补充</w:t>
      </w:r>
      <w:r>
        <w:rPr>
          <w:spacing w:val="-12"/>
        </w:rPr>
        <w:t>，</w:t>
      </w:r>
      <w:r>
        <w:rPr/>
        <w:t>本托管协议</w:t>
      </w:r>
      <w:r>
        <w:rPr>
          <w:spacing w:val="-12"/>
        </w:rPr>
        <w:t>由</w:t>
      </w:r>
      <w:r>
        <w:rPr/>
        <w:t>《科讯证券</w:t>
      </w:r>
      <w:r>
        <w:rPr>
          <w:spacing w:val="-16"/>
        </w:rPr>
        <w:t>投</w:t>
      </w:r>
      <w:r>
        <w:rPr/>
        <w:t>资基金托管协议》修订而成；</w:t>
      </w:r>
    </w:p>
    <w:p>
      <w:pPr>
        <w:pStyle w:val="BodyText"/>
        <w:tabs>
          <w:tab w:pos="2927" w:val="left" w:leader="none"/>
        </w:tabs>
        <w:spacing w:line="297" w:lineRule="auto" w:before="55"/>
        <w:ind w:left="2928" w:right="458" w:hanging="2700"/>
        <w:jc w:val="both"/>
      </w:pPr>
      <w:r>
        <w:rPr>
          <w:rFonts w:ascii="Microsoft JhengHei" w:eastAsia="Microsoft JhengHei" w:hint="eastAsia"/>
          <w:b/>
        </w:rPr>
        <w:t>业务规则</w:t>
        <w:tab/>
      </w:r>
      <w:r>
        <w:rPr>
          <w:spacing w:val="22"/>
        </w:rPr>
        <w:t>指</w:t>
      </w:r>
      <w:r>
        <w:rPr>
          <w:spacing w:val="23"/>
        </w:rPr>
        <w:t>《</w:t>
      </w:r>
      <w:r>
        <w:rPr>
          <w:spacing w:val="22"/>
        </w:rPr>
        <w:t>易</w:t>
      </w:r>
      <w:r>
        <w:rPr>
          <w:spacing w:val="23"/>
        </w:rPr>
        <w:t>方</w:t>
      </w:r>
      <w:r>
        <w:rPr>
          <w:spacing w:val="22"/>
        </w:rPr>
        <w:t>达基</w:t>
      </w:r>
      <w:r>
        <w:rPr>
          <w:spacing w:val="23"/>
        </w:rPr>
        <w:t>金</w:t>
      </w:r>
      <w:r>
        <w:rPr>
          <w:spacing w:val="22"/>
        </w:rPr>
        <w:t>管</w:t>
      </w:r>
      <w:r>
        <w:rPr>
          <w:spacing w:val="23"/>
        </w:rPr>
        <w:t>理</w:t>
      </w:r>
      <w:r>
        <w:rPr>
          <w:spacing w:val="22"/>
        </w:rPr>
        <w:t>有</w:t>
      </w:r>
      <w:r>
        <w:rPr>
          <w:spacing w:val="23"/>
        </w:rPr>
        <w:t>限</w:t>
      </w:r>
      <w:r>
        <w:rPr>
          <w:spacing w:val="22"/>
        </w:rPr>
        <w:t>公司</w:t>
      </w:r>
      <w:r>
        <w:rPr>
          <w:spacing w:val="23"/>
        </w:rPr>
        <w:t>开</w:t>
      </w:r>
      <w:r>
        <w:rPr>
          <w:spacing w:val="22"/>
        </w:rPr>
        <w:t>放</w:t>
      </w:r>
      <w:r>
        <w:rPr>
          <w:spacing w:val="23"/>
        </w:rPr>
        <w:t>式</w:t>
      </w:r>
      <w:r>
        <w:rPr>
          <w:spacing w:val="22"/>
        </w:rPr>
        <w:t>基</w:t>
      </w:r>
      <w:r>
        <w:rPr>
          <w:spacing w:val="23"/>
        </w:rPr>
        <w:t>金</w:t>
      </w:r>
      <w:r>
        <w:rPr>
          <w:spacing w:val="22"/>
        </w:rPr>
        <w:t>业务</w:t>
      </w:r>
      <w:r>
        <w:rPr/>
        <w:t>规则》；</w:t>
      </w:r>
    </w:p>
    <w:p>
      <w:pPr>
        <w:tabs>
          <w:tab w:pos="2927" w:val="left" w:leader="none"/>
        </w:tabs>
        <w:spacing w:before="8"/>
        <w:ind w:left="228" w:right="0" w:firstLine="0"/>
        <w:jc w:val="both"/>
        <w:rPr>
          <w:sz w:val="24"/>
        </w:rPr>
      </w:pPr>
      <w:r>
        <w:rPr>
          <w:rFonts w:ascii="Microsoft JhengHei" w:eastAsia="Microsoft JhengHei" w:hint="eastAsia"/>
          <w:b/>
          <w:sz w:val="24"/>
        </w:rPr>
        <w:t>发售公告：</w:t>
        <w:tab/>
      </w:r>
      <w:r>
        <w:rPr>
          <w:spacing w:val="-23"/>
          <w:sz w:val="24"/>
        </w:rPr>
        <w:t>指</w:t>
      </w:r>
      <w:r>
        <w:rPr>
          <w:sz w:val="24"/>
        </w:rPr>
        <w:t>《易方达科讯股票型证券投资基金集中申购期基金</w:t>
      </w:r>
    </w:p>
    <w:p>
      <w:pPr>
        <w:pStyle w:val="BodyText"/>
        <w:spacing w:before="105"/>
        <w:ind w:left="2928"/>
      </w:pPr>
      <w:r>
        <w:rPr/>
        <w:t>份额发售公告》；</w:t>
      </w:r>
    </w:p>
    <w:p>
      <w:pPr>
        <w:tabs>
          <w:tab w:pos="2927" w:val="left" w:leader="none"/>
        </w:tabs>
        <w:spacing w:before="82"/>
        <w:ind w:left="228" w:right="0" w:firstLine="0"/>
        <w:jc w:val="left"/>
        <w:rPr>
          <w:sz w:val="24"/>
        </w:rPr>
      </w:pPr>
      <w:r>
        <w:rPr>
          <w:rFonts w:ascii="Microsoft JhengHei" w:eastAsia="Microsoft JhengHei" w:hint="eastAsia"/>
          <w:b/>
          <w:sz w:val="24"/>
        </w:rPr>
        <w:t>中国证监会：</w:t>
        <w:tab/>
      </w:r>
      <w:r>
        <w:rPr>
          <w:sz w:val="24"/>
        </w:rPr>
        <w:t>指中国证券监督管理委员会；</w:t>
      </w:r>
    </w:p>
    <w:p>
      <w:pPr>
        <w:spacing w:after="0"/>
        <w:jc w:val="left"/>
        <w:rPr>
          <w:sz w:val="24"/>
        </w:rPr>
        <w:sectPr>
          <w:pgSz w:w="11910" w:h="16840"/>
          <w:pgMar w:header="0" w:footer="990" w:top="1580" w:bottom="1180" w:left="1680" w:right="1340"/>
        </w:sectPr>
      </w:pPr>
    </w:p>
    <w:p>
      <w:pPr>
        <w:spacing w:line="254" w:lineRule="auto" w:before="26"/>
        <w:ind w:left="228" w:right="38" w:firstLine="0"/>
        <w:jc w:val="left"/>
        <w:rPr>
          <w:rFonts w:ascii="Microsoft JhengHei" w:eastAsia="Microsoft JhengHei" w:hint="eastAsia"/>
          <w:b/>
          <w:sz w:val="24"/>
        </w:rPr>
      </w:pPr>
      <w:r>
        <w:rPr>
          <w:rFonts w:ascii="Microsoft JhengHei" w:eastAsia="Microsoft JhengHei" w:hint="eastAsia"/>
          <w:b/>
          <w:sz w:val="24"/>
        </w:rPr>
        <w:t>中国银监会： 中国</w:t>
      </w:r>
    </w:p>
    <w:p>
      <w:pPr>
        <w:pStyle w:val="BodyText"/>
        <w:spacing w:before="106"/>
        <w:ind w:left="228"/>
      </w:pPr>
      <w:r>
        <w:rPr/>
        <w:br w:type="column"/>
      </w:r>
      <w:r>
        <w:rPr/>
        <w:t>指中国银行业监督管理委员会；</w:t>
      </w:r>
    </w:p>
    <w:p>
      <w:pPr>
        <w:pStyle w:val="BodyText"/>
        <w:spacing w:line="364" w:lineRule="auto" w:before="160"/>
        <w:ind w:left="228" w:right="410"/>
      </w:pPr>
      <w:r>
        <w:rPr/>
        <w:t>指中华人民共和国（仅为本基金合同目的不包括香港特别行政区、澳门特别行政区和台湾地区）</w:t>
      </w:r>
    </w:p>
    <w:p>
      <w:pPr>
        <w:spacing w:after="0" w:line="364" w:lineRule="auto"/>
        <w:sectPr>
          <w:type w:val="continuous"/>
          <w:pgSz w:w="11910" w:h="16840"/>
          <w:pgMar w:top="1580" w:bottom="280" w:left="1680" w:right="1340"/>
          <w:cols w:num="2" w:equalWidth="0">
            <w:col w:w="1713" w:space="987"/>
            <w:col w:w="6190"/>
          </w:cols>
        </w:sectPr>
      </w:pPr>
    </w:p>
    <w:p>
      <w:pPr>
        <w:pStyle w:val="BodyText"/>
        <w:tabs>
          <w:tab w:pos="2699" w:val="left" w:leader="none"/>
        </w:tabs>
        <w:spacing w:line="364" w:lineRule="exact" w:before="0"/>
        <w:ind w:left="0" w:right="458"/>
        <w:jc w:val="right"/>
      </w:pPr>
      <w:r>
        <w:rPr>
          <w:rFonts w:ascii="Microsoft JhengHei" w:eastAsia="Microsoft JhengHei" w:hint="eastAsia"/>
          <w:b/>
        </w:rPr>
        <w:t>《基金法》：</w:t>
        <w:tab/>
      </w:r>
      <w:r>
        <w:rPr/>
        <w:t>指</w:t>
      </w:r>
      <w:r>
        <w:rPr>
          <w:spacing w:val="-55"/>
        </w:rPr>
        <w:t> </w:t>
      </w:r>
      <w:r>
        <w:rPr>
          <w:rFonts w:ascii="Times New Roman" w:eastAsia="Times New Roman"/>
        </w:rPr>
        <w:t>2012</w:t>
      </w:r>
      <w:r>
        <w:rPr>
          <w:rFonts w:ascii="Times New Roman" w:eastAsia="Times New Roman"/>
          <w:spacing w:val="5"/>
        </w:rPr>
        <w:t> </w:t>
      </w:r>
      <w:r>
        <w:rPr/>
        <w:t>年</w:t>
      </w:r>
      <w:r>
        <w:rPr>
          <w:spacing w:val="-55"/>
        </w:rPr>
        <w:t> </w:t>
      </w:r>
      <w:r>
        <w:rPr>
          <w:rFonts w:ascii="Times New Roman" w:eastAsia="Times New Roman"/>
        </w:rPr>
        <w:t>12</w:t>
      </w:r>
      <w:r>
        <w:rPr>
          <w:rFonts w:ascii="Times New Roman" w:eastAsia="Times New Roman"/>
          <w:spacing w:val="5"/>
        </w:rPr>
        <w:t> </w:t>
      </w:r>
      <w:r>
        <w:rPr/>
        <w:t>月</w:t>
      </w:r>
      <w:r>
        <w:rPr>
          <w:spacing w:val="-55"/>
        </w:rPr>
        <w:t> </w:t>
      </w:r>
      <w:r>
        <w:rPr>
          <w:rFonts w:ascii="Times New Roman" w:eastAsia="Times New Roman"/>
        </w:rPr>
        <w:t>28</w:t>
      </w:r>
      <w:r>
        <w:rPr>
          <w:rFonts w:ascii="Times New Roman" w:eastAsia="Times New Roman"/>
          <w:spacing w:val="5"/>
        </w:rPr>
        <w:t> </w:t>
      </w:r>
      <w:r>
        <w:rPr>
          <w:spacing w:val="5"/>
        </w:rPr>
        <w:t>日经第十一届全国人民代表大</w:t>
      </w:r>
      <w:r>
        <w:rPr/>
        <w:t>会</w:t>
      </w:r>
    </w:p>
    <w:p>
      <w:pPr>
        <w:pStyle w:val="BodyText"/>
        <w:spacing w:before="106"/>
        <w:ind w:left="0" w:right="458"/>
        <w:jc w:val="right"/>
      </w:pPr>
      <w:r>
        <w:rPr>
          <w:spacing w:val="-1"/>
        </w:rPr>
        <w:t>常务委员会第三十次会议通过，自 </w:t>
      </w:r>
      <w:r>
        <w:rPr>
          <w:rFonts w:ascii="Times New Roman" w:eastAsia="Times New Roman"/>
        </w:rPr>
        <w:t>2013</w:t>
      </w:r>
      <w:r>
        <w:rPr>
          <w:rFonts w:ascii="Times New Roman" w:eastAsia="Times New Roman"/>
          <w:spacing w:val="5"/>
        </w:rPr>
        <w:t> </w:t>
      </w:r>
      <w:r>
        <w:rPr>
          <w:spacing w:val="-28"/>
        </w:rPr>
        <w:t>年 </w:t>
      </w:r>
      <w:r>
        <w:rPr/>
        <w:t>6</w:t>
      </w:r>
      <w:r>
        <w:rPr>
          <w:spacing w:val="-37"/>
        </w:rPr>
        <w:t> 月 </w:t>
      </w:r>
      <w:r>
        <w:rPr/>
        <w:t>1</w:t>
      </w:r>
      <w:r>
        <w:rPr>
          <w:spacing w:val="-28"/>
        </w:rPr>
        <w:t> 日</w:t>
      </w:r>
    </w:p>
    <w:p>
      <w:pPr>
        <w:spacing w:after="0"/>
        <w:jc w:val="right"/>
        <w:sectPr>
          <w:type w:val="continuous"/>
          <w:pgSz w:w="11910" w:h="16840"/>
          <w:pgMar w:top="1580" w:bottom="280" w:left="1680" w:right="1340"/>
        </w:sectPr>
      </w:pPr>
    </w:p>
    <w:p>
      <w:pPr>
        <w:pStyle w:val="BodyText"/>
        <w:spacing w:before="0"/>
        <w:ind w:left="0"/>
      </w:pPr>
    </w:p>
    <w:p>
      <w:pPr>
        <w:pStyle w:val="BodyText"/>
        <w:spacing w:before="0"/>
        <w:ind w:left="0"/>
      </w:pPr>
    </w:p>
    <w:p>
      <w:pPr>
        <w:pStyle w:val="BodyText"/>
        <w:spacing w:before="4"/>
        <w:ind w:left="0"/>
        <w:rPr>
          <w:sz w:val="22"/>
        </w:rPr>
      </w:pPr>
    </w:p>
    <w:p>
      <w:pPr>
        <w:spacing w:before="0"/>
        <w:ind w:left="228" w:right="0" w:firstLine="0"/>
        <w:jc w:val="left"/>
        <w:rPr>
          <w:rFonts w:ascii="Microsoft JhengHei" w:eastAsia="Microsoft JhengHei" w:hint="eastAsia"/>
          <w:b/>
          <w:sz w:val="24"/>
        </w:rPr>
      </w:pPr>
      <w:r>
        <w:rPr>
          <w:rFonts w:ascii="Microsoft JhengHei" w:eastAsia="Microsoft JhengHei" w:hint="eastAsia"/>
          <w:b/>
          <w:sz w:val="24"/>
        </w:rPr>
        <w:t>《运作办法》：</w:t>
      </w:r>
    </w:p>
    <w:p>
      <w:pPr>
        <w:pStyle w:val="BodyText"/>
        <w:spacing w:before="0"/>
        <w:ind w:left="0"/>
        <w:rPr>
          <w:rFonts w:ascii="Microsoft JhengHei"/>
          <w:b/>
        </w:rPr>
      </w:pPr>
    </w:p>
    <w:p>
      <w:pPr>
        <w:pStyle w:val="BodyText"/>
        <w:spacing w:before="6"/>
        <w:ind w:left="0"/>
        <w:rPr>
          <w:rFonts w:ascii="Microsoft JhengHei"/>
          <w:b/>
          <w:sz w:val="28"/>
        </w:rPr>
      </w:pPr>
    </w:p>
    <w:p>
      <w:pPr>
        <w:spacing w:before="0"/>
        <w:ind w:left="228" w:right="0" w:firstLine="0"/>
        <w:jc w:val="left"/>
        <w:rPr>
          <w:rFonts w:ascii="Microsoft JhengHei" w:eastAsia="Microsoft JhengHei" w:hint="eastAsia"/>
          <w:b/>
          <w:sz w:val="24"/>
        </w:rPr>
      </w:pPr>
      <w:r>
        <w:rPr>
          <w:rFonts w:ascii="Microsoft JhengHei" w:eastAsia="Microsoft JhengHei" w:hint="eastAsia"/>
          <w:b/>
          <w:sz w:val="24"/>
        </w:rPr>
        <w:t>《管理规定》：</w:t>
      </w:r>
    </w:p>
    <w:p>
      <w:pPr>
        <w:pStyle w:val="BodyText"/>
        <w:spacing w:line="364" w:lineRule="auto" w:before="44"/>
        <w:ind w:left="228" w:right="410"/>
      </w:pPr>
      <w:r>
        <w:rPr/>
        <w:br w:type="column"/>
      </w:r>
      <w:r>
        <w:rPr/>
        <w:t>起实施的《中华人民共和国证券投资基金法》及立法机关对其不时作出的修订；</w:t>
      </w:r>
    </w:p>
    <w:p>
      <w:pPr>
        <w:pStyle w:val="BodyText"/>
        <w:spacing w:line="364" w:lineRule="auto"/>
        <w:ind w:left="228" w:right="458"/>
        <w:jc w:val="both"/>
      </w:pPr>
      <w:r>
        <w:rPr>
          <w:spacing w:val="-6"/>
        </w:rPr>
        <w:t>指中国证监会 </w:t>
      </w:r>
      <w:r>
        <w:rPr>
          <w:rFonts w:ascii="Times New Roman" w:eastAsia="Times New Roman"/>
        </w:rPr>
        <w:t>2014 </w:t>
      </w:r>
      <w:r>
        <w:rPr>
          <w:spacing w:val="-28"/>
        </w:rPr>
        <w:t>年 </w:t>
      </w:r>
      <w:r>
        <w:rPr>
          <w:rFonts w:ascii="Times New Roman" w:eastAsia="Times New Roman"/>
        </w:rPr>
        <w:t>7 </w:t>
      </w:r>
      <w:r>
        <w:rPr>
          <w:spacing w:val="-28"/>
        </w:rPr>
        <w:t>月 </w:t>
      </w:r>
      <w:r>
        <w:rPr>
          <w:rFonts w:ascii="Times New Roman" w:eastAsia="Times New Roman"/>
        </w:rPr>
        <w:t>7 </w:t>
      </w:r>
      <w:r>
        <w:rPr>
          <w:spacing w:val="-6"/>
        </w:rPr>
        <w:t>日颁布、同年 </w:t>
      </w:r>
      <w:r>
        <w:rPr>
          <w:rFonts w:ascii="Times New Roman" w:eastAsia="Times New Roman"/>
        </w:rPr>
        <w:t>8 </w:t>
      </w:r>
      <w:r>
        <w:rPr>
          <w:spacing w:val="-28"/>
        </w:rPr>
        <w:t>月 </w:t>
      </w:r>
      <w:r>
        <w:rPr>
          <w:rFonts w:ascii="Times New Roman" w:eastAsia="Times New Roman"/>
        </w:rPr>
        <w:t>8 </w:t>
      </w:r>
      <w:r>
        <w:rPr/>
        <w:t>日</w:t>
      </w:r>
      <w:r>
        <w:rPr>
          <w:spacing w:val="-5"/>
        </w:rPr>
        <w:t>起实施的《公开募集证券投资基金运作管理办法》及</w:t>
      </w:r>
      <w:r>
        <w:rPr/>
        <w:t>对其不时作出的修订；</w:t>
      </w:r>
    </w:p>
    <w:p>
      <w:pPr>
        <w:pStyle w:val="BodyText"/>
        <w:spacing w:line="364" w:lineRule="auto" w:before="2"/>
        <w:ind w:left="228" w:right="458"/>
        <w:jc w:val="both"/>
      </w:pPr>
      <w:r>
        <w:rPr>
          <w:spacing w:val="-5"/>
        </w:rPr>
        <w:t>指中国证监会 </w:t>
      </w:r>
      <w:r>
        <w:rPr>
          <w:rFonts w:ascii="Times New Roman" w:eastAsia="Times New Roman"/>
        </w:rPr>
        <w:t>2017 </w:t>
      </w:r>
      <w:r>
        <w:rPr>
          <w:spacing w:val="-28"/>
        </w:rPr>
        <w:t>年 </w:t>
      </w:r>
      <w:r>
        <w:rPr>
          <w:rFonts w:ascii="Times New Roman" w:eastAsia="Times New Roman"/>
        </w:rPr>
        <w:t>8 </w:t>
      </w:r>
      <w:r>
        <w:rPr>
          <w:spacing w:val="-28"/>
        </w:rPr>
        <w:t>月 </w:t>
      </w:r>
      <w:r>
        <w:rPr>
          <w:rFonts w:ascii="Times New Roman" w:eastAsia="Times New Roman"/>
        </w:rPr>
        <w:t>31 </w:t>
      </w:r>
      <w:r>
        <w:rPr>
          <w:spacing w:val="-5"/>
        </w:rPr>
        <w:t>日颁布、同年 </w:t>
      </w:r>
      <w:r>
        <w:rPr>
          <w:rFonts w:ascii="Times New Roman" w:eastAsia="Times New Roman"/>
        </w:rPr>
        <w:t>10 </w:t>
      </w:r>
      <w:r>
        <w:rPr>
          <w:spacing w:val="-28"/>
        </w:rPr>
        <w:t>月 </w:t>
      </w:r>
      <w:r>
        <w:rPr>
          <w:rFonts w:ascii="Times New Roman" w:eastAsia="Times New Roman"/>
        </w:rPr>
        <w:t>1 </w:t>
      </w:r>
      <w:r>
        <w:rPr>
          <w:spacing w:val="-6"/>
        </w:rPr>
        <w:t>日实施的《公开募集开放式证券投资基金流动性风险</w:t>
      </w:r>
      <w:r>
        <w:rPr/>
        <w:t>管理规定》及颁布机关对其不时做出的修订</w:t>
      </w:r>
    </w:p>
    <w:p>
      <w:pPr>
        <w:spacing w:after="0" w:line="364" w:lineRule="auto"/>
        <w:jc w:val="both"/>
        <w:sectPr>
          <w:pgSz w:w="11910" w:h="16840"/>
          <w:pgMar w:header="0" w:footer="990" w:top="1460" w:bottom="1180" w:left="1680" w:right="1340"/>
          <w:cols w:num="2" w:equalWidth="0">
            <w:col w:w="1954" w:space="746"/>
            <w:col w:w="6190"/>
          </w:cols>
        </w:sectPr>
      </w:pPr>
    </w:p>
    <w:p>
      <w:pPr>
        <w:pStyle w:val="BodyText"/>
        <w:tabs>
          <w:tab w:pos="2927" w:val="left" w:leader="none"/>
        </w:tabs>
        <w:spacing w:line="364" w:lineRule="exact" w:before="0"/>
        <w:ind w:left="228"/>
      </w:pPr>
      <w:r>
        <w:rPr>
          <w:rFonts w:ascii="Microsoft JhengHei" w:eastAsia="Microsoft JhengHei" w:hint="eastAsia"/>
          <w:b/>
        </w:rPr>
        <w:t>《销售办法》：</w:t>
        <w:tab/>
      </w:r>
      <w:r>
        <w:rPr/>
        <w:t>指中国证监会</w:t>
      </w:r>
      <w:r>
        <w:rPr>
          <w:spacing w:val="-60"/>
        </w:rPr>
        <w:t> </w:t>
      </w:r>
      <w:r>
        <w:rPr>
          <w:rFonts w:ascii="Times New Roman" w:eastAsia="Times New Roman"/>
        </w:rPr>
        <w:t>2013 </w:t>
      </w:r>
      <w:r>
        <w:rPr/>
        <w:t>年</w:t>
      </w:r>
      <w:r>
        <w:rPr>
          <w:spacing w:val="-60"/>
        </w:rPr>
        <w:t> </w:t>
      </w:r>
      <w:r>
        <w:rPr>
          <w:rFonts w:ascii="Times New Roman" w:eastAsia="Times New Roman"/>
        </w:rPr>
        <w:t>3 </w:t>
      </w:r>
      <w:r>
        <w:rPr/>
        <w:t>月</w:t>
      </w:r>
      <w:r>
        <w:rPr>
          <w:spacing w:val="-60"/>
        </w:rPr>
        <w:t> </w:t>
      </w:r>
      <w:r>
        <w:rPr>
          <w:rFonts w:ascii="Times New Roman" w:eastAsia="Times New Roman"/>
        </w:rPr>
        <w:t>15 </w:t>
      </w:r>
      <w:r>
        <w:rPr/>
        <w:t>日颁布</w:t>
      </w:r>
      <w:r>
        <w:rPr>
          <w:spacing w:val="-23"/>
        </w:rPr>
        <w:t>、</w:t>
      </w:r>
      <w:r>
        <w:rPr/>
        <w:t>同年</w:t>
      </w:r>
      <w:r>
        <w:rPr>
          <w:spacing w:val="-60"/>
        </w:rPr>
        <w:t> </w:t>
      </w:r>
      <w:r>
        <w:rPr>
          <w:rFonts w:ascii="Times New Roman" w:eastAsia="Times New Roman"/>
        </w:rPr>
        <w:t>6 </w:t>
      </w:r>
      <w:r>
        <w:rPr/>
        <w:t>月</w:t>
      </w:r>
      <w:r>
        <w:rPr>
          <w:spacing w:val="-60"/>
        </w:rPr>
        <w:t> </w:t>
      </w:r>
      <w:r>
        <w:rPr>
          <w:rFonts w:ascii="Times New Roman" w:eastAsia="Times New Roman"/>
        </w:rPr>
        <w:t>1 </w:t>
      </w:r>
      <w:r>
        <w:rPr/>
        <w:t>日</w:t>
      </w:r>
    </w:p>
    <w:p>
      <w:pPr>
        <w:pStyle w:val="BodyText"/>
        <w:spacing w:line="364" w:lineRule="auto" w:before="106"/>
        <w:ind w:left="2928" w:right="410"/>
      </w:pPr>
      <w:r>
        <w:rPr/>
        <w:t>起实施的《证券投资基金销售管理办法》及对其不时作出的修订；</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《信息披露办法》：</w:t>
        <w:tab/>
      </w:r>
      <w:r>
        <w:rPr>
          <w:sz w:val="24"/>
        </w:rPr>
        <w:t>指中国证监会</w:t>
      </w:r>
      <w:r>
        <w:rPr>
          <w:spacing w:val="-60"/>
          <w:sz w:val="24"/>
        </w:rPr>
        <w:t> </w:t>
      </w:r>
      <w:r>
        <w:rPr>
          <w:sz w:val="24"/>
        </w:rPr>
        <w:t>2019</w:t>
      </w:r>
      <w:r>
        <w:rPr>
          <w:spacing w:val="-60"/>
          <w:sz w:val="24"/>
        </w:rPr>
        <w:t> </w:t>
      </w:r>
      <w:r>
        <w:rPr>
          <w:sz w:val="24"/>
        </w:rPr>
        <w:t>年</w:t>
      </w:r>
      <w:r>
        <w:rPr>
          <w:spacing w:val="-60"/>
          <w:sz w:val="24"/>
        </w:rPr>
        <w:t> </w:t>
      </w:r>
      <w:r>
        <w:rPr>
          <w:sz w:val="24"/>
        </w:rPr>
        <w:t>7</w:t>
      </w:r>
      <w:r>
        <w:rPr>
          <w:spacing w:val="-60"/>
          <w:sz w:val="24"/>
        </w:rPr>
        <w:t> </w:t>
      </w:r>
      <w:r>
        <w:rPr>
          <w:sz w:val="24"/>
        </w:rPr>
        <w:t>月</w:t>
      </w:r>
      <w:r>
        <w:rPr>
          <w:spacing w:val="-60"/>
          <w:sz w:val="24"/>
        </w:rPr>
        <w:t> </w:t>
      </w:r>
      <w:r>
        <w:rPr>
          <w:sz w:val="24"/>
        </w:rPr>
        <w:t>26</w:t>
      </w:r>
      <w:r>
        <w:rPr>
          <w:spacing w:val="-60"/>
          <w:sz w:val="24"/>
        </w:rPr>
        <w:t> </w:t>
      </w:r>
      <w:r>
        <w:rPr>
          <w:sz w:val="24"/>
        </w:rPr>
        <w:t>日颁布</w:t>
      </w:r>
      <w:r>
        <w:rPr>
          <w:spacing w:val="-23"/>
          <w:sz w:val="24"/>
        </w:rPr>
        <w:t>、</w:t>
      </w:r>
      <w:r>
        <w:rPr>
          <w:sz w:val="24"/>
        </w:rPr>
        <w:t>同年</w:t>
      </w:r>
      <w:r>
        <w:rPr>
          <w:spacing w:val="-60"/>
          <w:sz w:val="24"/>
        </w:rPr>
        <w:t> </w:t>
      </w:r>
      <w:r>
        <w:rPr>
          <w:sz w:val="24"/>
        </w:rPr>
        <w:t>9</w:t>
      </w:r>
      <w:r>
        <w:rPr>
          <w:spacing w:val="-60"/>
          <w:sz w:val="24"/>
        </w:rPr>
        <w:t> </w:t>
      </w:r>
      <w:r>
        <w:rPr>
          <w:sz w:val="24"/>
        </w:rPr>
        <w:t>月</w:t>
      </w:r>
      <w:r>
        <w:rPr>
          <w:spacing w:val="-60"/>
          <w:sz w:val="24"/>
        </w:rPr>
        <w:t> </w:t>
      </w:r>
      <w:r>
        <w:rPr>
          <w:sz w:val="24"/>
        </w:rPr>
        <w:t>1</w:t>
      </w:r>
      <w:r>
        <w:rPr>
          <w:spacing w:val="-60"/>
          <w:sz w:val="24"/>
        </w:rPr>
        <w:t> </w:t>
      </w:r>
      <w:r>
        <w:rPr>
          <w:sz w:val="24"/>
        </w:rPr>
        <w:t>日</w:t>
      </w:r>
    </w:p>
    <w:p>
      <w:pPr>
        <w:pStyle w:val="BodyText"/>
        <w:spacing w:line="364" w:lineRule="auto" w:before="105"/>
        <w:ind w:left="2928" w:right="317"/>
      </w:pPr>
      <w:r>
        <w:rPr>
          <w:spacing w:val="-13"/>
        </w:rPr>
        <w:t>起实施的《公开募集证券投资基金信息披露管理办法》</w:t>
      </w:r>
      <w:r>
        <w:rPr/>
        <w:t>及对其不时作出的修订；</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元：</w:t>
        <w:tab/>
      </w:r>
      <w:r>
        <w:rPr>
          <w:sz w:val="24"/>
        </w:rPr>
        <w:t>指人民币元；</w:t>
      </w:r>
    </w:p>
    <w:p>
      <w:pPr>
        <w:tabs>
          <w:tab w:pos="2927" w:val="left" w:leader="none"/>
        </w:tabs>
        <w:spacing w:before="27"/>
        <w:ind w:left="228" w:right="0" w:firstLine="0"/>
        <w:jc w:val="left"/>
        <w:rPr>
          <w:sz w:val="24"/>
        </w:rPr>
      </w:pPr>
      <w:r>
        <w:rPr>
          <w:rFonts w:ascii="Microsoft JhengHei" w:eastAsia="Microsoft JhengHei" w:hint="eastAsia"/>
          <w:b/>
          <w:sz w:val="24"/>
        </w:rPr>
        <w:t>基金合同当事人：</w:t>
        <w:tab/>
      </w:r>
      <w:r>
        <w:rPr>
          <w:sz w:val="24"/>
        </w:rPr>
        <w:t>指受本基金合同约束</w:t>
      </w:r>
      <w:r>
        <w:rPr>
          <w:spacing w:val="-23"/>
          <w:sz w:val="24"/>
        </w:rPr>
        <w:t>，</w:t>
      </w:r>
      <w:r>
        <w:rPr>
          <w:sz w:val="24"/>
        </w:rPr>
        <w:t>根据本基金合同享有权利并承</w:t>
      </w:r>
    </w:p>
    <w:p>
      <w:pPr>
        <w:pStyle w:val="BodyText"/>
        <w:spacing w:line="364" w:lineRule="auto" w:before="106"/>
        <w:ind w:left="2928" w:right="410"/>
      </w:pPr>
      <w:r>
        <w:rPr/>
        <w:t>担义务的法律主体，包括基金管理人、基金托管人和基金份额持有人；</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基金管理人：</w:t>
        <w:tab/>
      </w:r>
      <w:r>
        <w:rPr>
          <w:sz w:val="24"/>
        </w:rPr>
        <w:t>指易方达基金管理有限公司；</w:t>
      </w:r>
    </w:p>
    <w:p>
      <w:pPr>
        <w:tabs>
          <w:tab w:pos="2927" w:val="left" w:leader="none"/>
        </w:tabs>
        <w:spacing w:before="27"/>
        <w:ind w:left="228" w:right="0" w:firstLine="0"/>
        <w:jc w:val="left"/>
        <w:rPr>
          <w:sz w:val="24"/>
        </w:rPr>
      </w:pPr>
      <w:r>
        <w:rPr>
          <w:rFonts w:ascii="Microsoft JhengHei" w:eastAsia="Microsoft JhengHei" w:hint="eastAsia"/>
          <w:b/>
          <w:sz w:val="24"/>
        </w:rPr>
        <w:t>基金托管人：</w:t>
        <w:tab/>
      </w:r>
      <w:r>
        <w:rPr>
          <w:sz w:val="24"/>
        </w:rPr>
        <w:t>指交通银行股份有限公司；</w:t>
      </w:r>
    </w:p>
    <w:p>
      <w:pPr>
        <w:tabs>
          <w:tab w:pos="2927" w:val="left" w:leader="none"/>
        </w:tabs>
        <w:spacing w:before="26"/>
        <w:ind w:left="228" w:right="0" w:firstLine="0"/>
        <w:jc w:val="left"/>
        <w:rPr>
          <w:sz w:val="24"/>
        </w:rPr>
      </w:pPr>
      <w:r>
        <w:rPr>
          <w:rFonts w:ascii="Microsoft JhengHei" w:eastAsia="Microsoft JhengHei" w:hint="eastAsia"/>
          <w:b/>
          <w:sz w:val="24"/>
        </w:rPr>
        <w:t>基金份额持有人：</w:t>
        <w:tab/>
      </w:r>
      <w:r>
        <w:rPr>
          <w:spacing w:val="10"/>
          <w:sz w:val="24"/>
        </w:rPr>
        <w:t>指依照法律法规或基金合同合法取得基金份额的</w:t>
      </w:r>
      <w:r>
        <w:rPr>
          <w:sz w:val="24"/>
        </w:rPr>
        <w:t>投</w:t>
      </w:r>
    </w:p>
    <w:p>
      <w:pPr>
        <w:pStyle w:val="BodyText"/>
        <w:spacing w:before="106"/>
        <w:ind w:left="2928"/>
      </w:pPr>
      <w:r>
        <w:rPr/>
        <w:t>资人；</w:t>
      </w:r>
    </w:p>
    <w:p>
      <w:pPr>
        <w:tabs>
          <w:tab w:pos="2927" w:val="left" w:leader="none"/>
        </w:tabs>
        <w:spacing w:before="82"/>
        <w:ind w:left="228" w:right="0" w:firstLine="0"/>
        <w:jc w:val="both"/>
        <w:rPr>
          <w:sz w:val="24"/>
        </w:rPr>
      </w:pPr>
      <w:r>
        <w:rPr>
          <w:rFonts w:ascii="Microsoft JhengHei" w:eastAsia="Microsoft JhengHei" w:hint="eastAsia"/>
          <w:b/>
          <w:sz w:val="24"/>
        </w:rPr>
        <w:t>注册登记业务：</w:t>
        <w:tab/>
      </w:r>
      <w:r>
        <w:rPr>
          <w:sz w:val="24"/>
        </w:rPr>
        <w:t>指本基金登记</w:t>
      </w:r>
      <w:r>
        <w:rPr>
          <w:spacing w:val="-6"/>
          <w:sz w:val="24"/>
        </w:rPr>
        <w:t>、</w:t>
      </w:r>
      <w:r>
        <w:rPr>
          <w:sz w:val="24"/>
        </w:rPr>
        <w:t>存管</w:t>
      </w:r>
      <w:r>
        <w:rPr>
          <w:spacing w:val="-6"/>
          <w:sz w:val="24"/>
        </w:rPr>
        <w:t>、</w:t>
      </w:r>
      <w:r>
        <w:rPr>
          <w:sz w:val="24"/>
        </w:rPr>
        <w:t>过户</w:t>
      </w:r>
      <w:r>
        <w:rPr>
          <w:spacing w:val="-6"/>
          <w:sz w:val="24"/>
        </w:rPr>
        <w:t>、</w:t>
      </w:r>
      <w:r>
        <w:rPr>
          <w:sz w:val="24"/>
        </w:rPr>
        <w:t>清算和交收业务</w:t>
      </w:r>
      <w:r>
        <w:rPr>
          <w:spacing w:val="-6"/>
          <w:sz w:val="24"/>
        </w:rPr>
        <w:t>。</w:t>
      </w:r>
      <w:r>
        <w:rPr>
          <w:sz w:val="24"/>
        </w:rPr>
        <w:t>具体</w:t>
      </w:r>
    </w:p>
    <w:p>
      <w:pPr>
        <w:pStyle w:val="BodyText"/>
        <w:spacing w:line="364" w:lineRule="auto" w:before="105"/>
        <w:ind w:left="2928" w:right="437"/>
        <w:jc w:val="both"/>
      </w:pPr>
      <w:r>
        <w:rPr/>
        <w:t>内容包括投资人基金账户管理、基金份额注册登记、清算和结算、基金销售业务确认、代理发放红利、建立并保管基金份额持有人名册等；</w:t>
      </w:r>
    </w:p>
    <w:p>
      <w:pPr>
        <w:tabs>
          <w:tab w:pos="2927" w:val="left" w:leader="none"/>
        </w:tabs>
        <w:spacing w:line="364" w:lineRule="exact" w:before="0"/>
        <w:ind w:left="228" w:right="0" w:firstLine="0"/>
        <w:jc w:val="left"/>
        <w:rPr>
          <w:sz w:val="24"/>
        </w:rPr>
      </w:pPr>
      <w:r>
        <w:rPr>
          <w:rFonts w:ascii="Microsoft JhengHei" w:eastAsia="Microsoft JhengHei" w:hint="eastAsia"/>
          <w:b/>
          <w:sz w:val="24"/>
        </w:rPr>
        <w:t>注册登记人：</w:t>
        <w:tab/>
      </w:r>
      <w:r>
        <w:rPr>
          <w:sz w:val="24"/>
        </w:rPr>
        <w:t>指办理基金注册登记业务的机构</w:t>
      </w:r>
      <w:r>
        <w:rPr>
          <w:spacing w:val="-23"/>
          <w:sz w:val="24"/>
        </w:rPr>
        <w:t>，</w:t>
      </w:r>
      <w:r>
        <w:rPr>
          <w:sz w:val="24"/>
        </w:rPr>
        <w:t>本基金的注册登记</w:t>
      </w:r>
    </w:p>
    <w:p>
      <w:pPr>
        <w:pStyle w:val="BodyText"/>
        <w:spacing w:line="364" w:lineRule="auto" w:before="106"/>
        <w:ind w:left="2928" w:right="458"/>
      </w:pPr>
      <w:r>
        <w:rPr/>
        <w:t>人为易方达基金管理有限公司或易方达基金管理有限公司委托代为办理基金注册登记业务的机构；</w:t>
      </w:r>
    </w:p>
    <w:p>
      <w:pPr>
        <w:spacing w:after="0" w:line="364" w:lineRule="auto"/>
        <w:sectPr>
          <w:type w:val="continuous"/>
          <w:pgSz w:w="11910" w:h="16840"/>
          <w:pgMar w:top="1580" w:bottom="280" w:left="1680" w:right="1340"/>
        </w:sectPr>
      </w:pPr>
    </w:p>
    <w:p>
      <w:pPr>
        <w:pStyle w:val="BodyText"/>
        <w:tabs>
          <w:tab w:pos="2927" w:val="left" w:leader="none"/>
        </w:tabs>
        <w:spacing w:line="406" w:lineRule="exact" w:before="0"/>
        <w:ind w:left="228"/>
      </w:pPr>
      <w:r>
        <w:rPr>
          <w:rFonts w:ascii="Microsoft JhengHei" w:eastAsia="Microsoft JhengHei" w:hint="eastAsia"/>
          <w:b/>
        </w:rPr>
        <w:t>投资人：</w:t>
        <w:tab/>
      </w:r>
      <w:r>
        <w:rPr/>
        <w:t>指个人投资者</w:t>
      </w:r>
      <w:r>
        <w:rPr>
          <w:spacing w:val="-12"/>
        </w:rPr>
        <w:t>、</w:t>
      </w:r>
      <w:r>
        <w:rPr/>
        <w:t>机构投资者</w:t>
      </w:r>
      <w:r>
        <w:rPr>
          <w:spacing w:val="-12"/>
        </w:rPr>
        <w:t>、</w:t>
      </w:r>
      <w:r>
        <w:rPr/>
        <w:t>合格境外机构投资者和</w:t>
      </w:r>
    </w:p>
    <w:p>
      <w:pPr>
        <w:pStyle w:val="BodyText"/>
        <w:spacing w:line="364" w:lineRule="auto" w:before="106"/>
        <w:ind w:left="2928" w:right="458"/>
      </w:pPr>
      <w:r>
        <w:rPr/>
        <w:t>法律法规或中国证监会允许购买证券投资基金的其他投资者；</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个人投资者：</w:t>
        <w:tab/>
      </w:r>
      <w:r>
        <w:rPr>
          <w:spacing w:val="10"/>
          <w:sz w:val="24"/>
        </w:rPr>
        <w:t>指依据中国有关法律法规及其他有关规定可以投</w:t>
      </w:r>
      <w:r>
        <w:rPr>
          <w:sz w:val="24"/>
        </w:rPr>
        <w:t>资</w:t>
      </w:r>
    </w:p>
    <w:p>
      <w:pPr>
        <w:pStyle w:val="BodyText"/>
        <w:spacing w:before="105"/>
        <w:ind w:left="0" w:right="149"/>
        <w:jc w:val="center"/>
      </w:pPr>
      <w:r>
        <w:rPr/>
        <w:t>于证券投资基金的自然人；</w:t>
      </w:r>
    </w:p>
    <w:p>
      <w:pPr>
        <w:tabs>
          <w:tab w:pos="2699" w:val="left" w:leader="none"/>
        </w:tabs>
        <w:spacing w:before="82"/>
        <w:ind w:left="0" w:right="230" w:firstLine="0"/>
        <w:jc w:val="center"/>
        <w:rPr>
          <w:sz w:val="24"/>
        </w:rPr>
      </w:pPr>
      <w:r>
        <w:rPr>
          <w:rFonts w:ascii="Microsoft JhengHei" w:eastAsia="Microsoft JhengHei" w:hint="eastAsia"/>
          <w:b/>
          <w:sz w:val="24"/>
        </w:rPr>
        <w:t>机构投资者：</w:t>
        <w:tab/>
      </w:r>
      <w:r>
        <w:rPr>
          <w:spacing w:val="10"/>
          <w:sz w:val="24"/>
        </w:rPr>
        <w:t>指在中国境内合法注册登记或经有权政府部门批</w:t>
      </w:r>
      <w:r>
        <w:rPr>
          <w:sz w:val="24"/>
        </w:rPr>
        <w:t>准</w:t>
      </w:r>
    </w:p>
    <w:p>
      <w:pPr>
        <w:pStyle w:val="BodyText"/>
        <w:spacing w:line="364" w:lineRule="auto" w:before="106"/>
        <w:ind w:left="2928" w:right="458"/>
      </w:pPr>
      <w:r>
        <w:rPr/>
        <w:t>设立和有效存续并依法可以投资证券投资基金的企业法人、事业法人、社会团体或其它组织；</w:t>
      </w:r>
    </w:p>
    <w:p>
      <w:pPr>
        <w:tabs>
          <w:tab w:pos="2927" w:val="left" w:leader="none"/>
        </w:tabs>
        <w:spacing w:line="363" w:lineRule="exact" w:before="0"/>
        <w:ind w:left="228" w:right="0" w:firstLine="0"/>
        <w:jc w:val="left"/>
        <w:rPr>
          <w:sz w:val="24"/>
        </w:rPr>
      </w:pPr>
      <w:r>
        <w:rPr>
          <w:rFonts w:ascii="Microsoft JhengHei" w:eastAsia="Microsoft JhengHei" w:hint="eastAsia"/>
          <w:b/>
          <w:sz w:val="24"/>
        </w:rPr>
        <w:t>合格境外机构投资者：</w:t>
        <w:tab/>
      </w:r>
      <w:r>
        <w:rPr>
          <w:sz w:val="24"/>
        </w:rPr>
        <w:t>指符</w:t>
      </w:r>
      <w:r>
        <w:rPr>
          <w:spacing w:val="-120"/>
          <w:sz w:val="24"/>
        </w:rPr>
        <w:t>合</w:t>
      </w:r>
      <w:r>
        <w:rPr>
          <w:sz w:val="24"/>
        </w:rPr>
        <w:t>《合格境外机构投资者境内证券投资管理办法》</w:t>
      </w:r>
    </w:p>
    <w:p>
      <w:pPr>
        <w:pStyle w:val="BodyText"/>
        <w:spacing w:line="364" w:lineRule="auto" w:before="106"/>
        <w:ind w:left="2928" w:right="458"/>
        <w:jc w:val="both"/>
      </w:pPr>
      <w:r>
        <w:rPr>
          <w:spacing w:val="-4"/>
        </w:rPr>
        <w:t>及相关法律法规规定，经中国证监会批准可以投资于</w:t>
      </w:r>
      <w:r>
        <w:rPr>
          <w:spacing w:val="-5"/>
        </w:rPr>
        <w:t>中国证券市场，并取得国家外汇管理局额度批准的中</w:t>
      </w:r>
      <w:r>
        <w:rPr/>
        <w:t>国境外的机构投资者；</w:t>
      </w:r>
    </w:p>
    <w:p>
      <w:pPr>
        <w:spacing w:line="364" w:lineRule="exact" w:before="0"/>
        <w:ind w:left="228" w:right="0" w:firstLine="0"/>
        <w:jc w:val="both"/>
        <w:rPr>
          <w:sz w:val="24"/>
        </w:rPr>
      </w:pPr>
      <w:r>
        <w:rPr>
          <w:rFonts w:ascii="Microsoft JhengHei" w:eastAsia="Microsoft JhengHei" w:hint="eastAsia"/>
          <w:b/>
          <w:sz w:val="24"/>
        </w:rPr>
        <w:t>基金份额持有人大会： </w:t>
      </w:r>
      <w:r>
        <w:rPr>
          <w:sz w:val="24"/>
        </w:rPr>
        <w:t>指按照本基金合同之规定召集、召开并由基金份额持</w:t>
      </w:r>
    </w:p>
    <w:p>
      <w:pPr>
        <w:pStyle w:val="BodyText"/>
        <w:spacing w:before="105"/>
        <w:ind w:left="2928"/>
      </w:pPr>
      <w:r>
        <w:rPr/>
        <w:t>有人进行表决的会议；</w:t>
      </w:r>
    </w:p>
    <w:p>
      <w:pPr>
        <w:pStyle w:val="BodyText"/>
        <w:tabs>
          <w:tab w:pos="2927" w:val="left" w:leader="none"/>
        </w:tabs>
        <w:spacing w:line="297" w:lineRule="auto" w:before="82"/>
        <w:ind w:left="2928" w:right="458" w:hanging="2700"/>
      </w:pPr>
      <w:r>
        <w:rPr>
          <w:rFonts w:ascii="Microsoft JhengHei" w:eastAsia="Microsoft JhengHei" w:hint="eastAsia"/>
          <w:b/>
        </w:rPr>
        <w:t>集中申购期：</w:t>
        <w:tab/>
      </w:r>
      <w:r>
        <w:rPr/>
        <w:t>指本基金合同生效后仅开放申购</w:t>
      </w:r>
      <w:r>
        <w:rPr>
          <w:spacing w:val="-23"/>
        </w:rPr>
        <w:t>、</w:t>
      </w:r>
      <w:r>
        <w:rPr/>
        <w:t>不开放赎回的一</w:t>
      </w:r>
      <w:r>
        <w:rPr>
          <w:spacing w:val="-16"/>
        </w:rPr>
        <w:t>段</w:t>
      </w:r>
      <w:r>
        <w:rPr/>
        <w:t>时间，最长不超过一个月；</w:t>
      </w:r>
    </w:p>
    <w:p>
      <w:pPr>
        <w:tabs>
          <w:tab w:pos="2927" w:val="left" w:leader="none"/>
        </w:tabs>
        <w:spacing w:before="7"/>
        <w:ind w:left="228" w:right="0" w:firstLine="0"/>
        <w:jc w:val="left"/>
        <w:rPr>
          <w:sz w:val="24"/>
        </w:rPr>
      </w:pPr>
      <w:r>
        <w:rPr>
          <w:rFonts w:ascii="Microsoft JhengHei" w:eastAsia="Microsoft JhengHei" w:hint="eastAsia"/>
          <w:b/>
          <w:w w:val="105"/>
          <w:sz w:val="24"/>
        </w:rPr>
        <w:t>基金转型</w:t>
      </w:r>
      <w:r>
        <w:rPr>
          <w:rFonts w:ascii="Microsoft JhengHei" w:eastAsia="Microsoft JhengHei" w:hint="eastAsia"/>
          <w:b/>
          <w:w w:val="175"/>
          <w:sz w:val="24"/>
        </w:rPr>
        <w:t>:</w:t>
        <w:tab/>
      </w:r>
      <w:r>
        <w:rPr>
          <w:spacing w:val="10"/>
          <w:w w:val="105"/>
          <w:sz w:val="24"/>
        </w:rPr>
        <w:t>指对包括科讯证券投资基金由封闭式基金转为开</w:t>
      </w:r>
      <w:r>
        <w:rPr>
          <w:w w:val="105"/>
          <w:sz w:val="24"/>
        </w:rPr>
        <w:t>放</w:t>
      </w:r>
    </w:p>
    <w:p>
      <w:pPr>
        <w:pStyle w:val="BodyText"/>
        <w:spacing w:line="364" w:lineRule="auto" w:before="106"/>
        <w:ind w:left="2928" w:right="458"/>
        <w:jc w:val="both"/>
      </w:pPr>
      <w:r>
        <w:rPr>
          <w:spacing w:val="-5"/>
        </w:rPr>
        <w:t>式基金、调整基金存续期限、更换注册登记人、更名</w:t>
      </w:r>
      <w:r>
        <w:rPr>
          <w:spacing w:val="-3"/>
        </w:rPr>
        <w:t>为“易方达科讯股票型证券投资基金”、修改基金投</w:t>
      </w:r>
      <w:r>
        <w:rPr>
          <w:spacing w:val="-5"/>
        </w:rPr>
        <w:t>资目标、投资策略、收益分配政策、持有人大会等条</w:t>
      </w:r>
      <w:r>
        <w:rPr/>
        <w:t>款的一系列事项的统称</w:t>
      </w:r>
    </w:p>
    <w:p>
      <w:pPr>
        <w:tabs>
          <w:tab w:pos="2927" w:val="left" w:leader="none"/>
        </w:tabs>
        <w:spacing w:line="365" w:lineRule="exact" w:before="0"/>
        <w:ind w:left="228" w:right="0" w:firstLine="0"/>
        <w:jc w:val="both"/>
        <w:rPr>
          <w:sz w:val="24"/>
        </w:rPr>
      </w:pPr>
      <w:r>
        <w:rPr>
          <w:rFonts w:ascii="Microsoft JhengHei" w:eastAsia="Microsoft JhengHei" w:hint="eastAsia"/>
          <w:b/>
          <w:sz w:val="24"/>
        </w:rPr>
        <w:t>基金合同生效日：</w:t>
        <w:tab/>
      </w:r>
      <w:r>
        <w:rPr>
          <w:sz w:val="24"/>
        </w:rPr>
        <w:t>指本基金根</w:t>
      </w:r>
      <w:r>
        <w:rPr>
          <w:spacing w:val="-8"/>
          <w:sz w:val="24"/>
        </w:rPr>
        <w:t>据</w:t>
      </w:r>
      <w:r>
        <w:rPr>
          <w:sz w:val="24"/>
        </w:rPr>
        <w:t>《运作办法</w:t>
      </w:r>
      <w:r>
        <w:rPr>
          <w:spacing w:val="-8"/>
          <w:sz w:val="24"/>
        </w:rPr>
        <w:t>》</w:t>
      </w:r>
      <w:r>
        <w:rPr>
          <w:sz w:val="24"/>
        </w:rPr>
        <w:t>变更为混合基金前</w:t>
      </w:r>
      <w:r>
        <w:rPr>
          <w:spacing w:val="-8"/>
          <w:sz w:val="24"/>
        </w:rPr>
        <w:t>的</w:t>
      </w:r>
      <w:r>
        <w:rPr>
          <w:sz w:val="24"/>
        </w:rPr>
        <w:t>《易</w:t>
      </w:r>
    </w:p>
    <w:p>
      <w:pPr>
        <w:pStyle w:val="BodyText"/>
        <w:spacing w:line="364" w:lineRule="auto" w:before="106"/>
        <w:ind w:left="2928" w:right="317"/>
      </w:pPr>
      <w:r>
        <w:rPr>
          <w:spacing w:val="-8"/>
        </w:rPr>
        <w:t>方达科讯股票型证券投资基金基金合同》生效起始日， </w:t>
      </w:r>
      <w:r>
        <w:rPr>
          <w:spacing w:val="9"/>
        </w:rPr>
        <w:t>本基金合同自科讯证券投资基金终止上市之日起生</w:t>
      </w:r>
      <w:r>
        <w:rPr>
          <w:spacing w:val="-4"/>
        </w:rPr>
        <w:t>效，原《科讯证券投资基金基金合同》自同一日起失效；</w:t>
      </w:r>
    </w:p>
    <w:p>
      <w:pPr>
        <w:pStyle w:val="BodyText"/>
        <w:tabs>
          <w:tab w:pos="2927" w:val="left" w:leader="none"/>
        </w:tabs>
        <w:spacing w:line="365" w:lineRule="exact" w:before="0"/>
        <w:ind w:left="228"/>
      </w:pPr>
      <w:r>
        <w:rPr>
          <w:rFonts w:ascii="Microsoft JhengHei" w:eastAsia="Microsoft JhengHei" w:hint="eastAsia"/>
          <w:b/>
        </w:rPr>
        <w:t>存续期：</w:t>
        <w:tab/>
      </w:r>
      <w:r>
        <w:rPr/>
        <w:t>指本基金合同生效后合法存续的不定期期限；</w:t>
      </w:r>
    </w:p>
    <w:p>
      <w:pPr>
        <w:pStyle w:val="BodyText"/>
        <w:tabs>
          <w:tab w:pos="2927" w:val="left" w:leader="none"/>
        </w:tabs>
        <w:spacing w:before="27"/>
        <w:ind w:left="228"/>
      </w:pPr>
      <w:r>
        <w:rPr>
          <w:rFonts w:ascii="Microsoft JhengHei" w:eastAsia="Microsoft JhengHei" w:hint="eastAsia"/>
          <w:b/>
        </w:rPr>
        <w:t>工作日：</w:t>
        <w:tab/>
      </w:r>
      <w:r>
        <w:rPr/>
        <w:t>指上海证券交易所和深圳证券交易所的正常交易日；</w:t>
      </w:r>
    </w:p>
    <w:p>
      <w:pPr>
        <w:tabs>
          <w:tab w:pos="2927" w:val="left" w:leader="none"/>
        </w:tabs>
        <w:spacing w:before="26"/>
        <w:ind w:left="228" w:right="0" w:firstLine="0"/>
        <w:jc w:val="left"/>
        <w:rPr>
          <w:sz w:val="24"/>
        </w:rPr>
      </w:pPr>
      <w:r>
        <w:rPr>
          <w:rFonts w:ascii="Microsoft JhengHei" w:eastAsia="Microsoft JhengHei" w:hint="eastAsia"/>
          <w:b/>
          <w:sz w:val="24"/>
        </w:rPr>
        <w:t>日：</w:t>
        <w:tab/>
      </w:r>
      <w:r>
        <w:rPr>
          <w:sz w:val="24"/>
        </w:rPr>
        <w:t>指公历日</w:t>
      </w:r>
    </w:p>
    <w:p>
      <w:pPr>
        <w:spacing w:after="0"/>
        <w:jc w:val="left"/>
        <w:rPr>
          <w:sz w:val="24"/>
        </w:rPr>
        <w:sectPr>
          <w:pgSz w:w="11910" w:h="16840"/>
          <w:pgMar w:header="0" w:footer="990" w:top="1460" w:bottom="1180" w:left="1680" w:right="1340"/>
        </w:sectPr>
      </w:pPr>
    </w:p>
    <w:p>
      <w:pPr>
        <w:tabs>
          <w:tab w:pos="2927" w:val="left" w:leader="none"/>
        </w:tabs>
        <w:spacing w:line="406" w:lineRule="exact" w:before="0"/>
        <w:ind w:left="228" w:right="0" w:firstLine="0"/>
        <w:jc w:val="left"/>
        <w:rPr>
          <w:sz w:val="24"/>
        </w:rPr>
      </w:pPr>
      <w:r>
        <w:rPr>
          <w:rFonts w:ascii="Microsoft JhengHei" w:eastAsia="Microsoft JhengHei" w:hint="eastAsia"/>
          <w:b/>
          <w:sz w:val="24"/>
        </w:rPr>
        <w:t>月：</w:t>
        <w:tab/>
      </w:r>
      <w:r>
        <w:rPr>
          <w:sz w:val="24"/>
        </w:rPr>
        <w:t>指公历月</w:t>
      </w:r>
    </w:p>
    <w:p>
      <w:pPr>
        <w:pStyle w:val="BodyText"/>
        <w:tabs>
          <w:tab w:pos="2927" w:val="left" w:leader="none"/>
        </w:tabs>
        <w:spacing w:line="297" w:lineRule="auto" w:before="26"/>
        <w:ind w:left="2928" w:right="458" w:hanging="2700"/>
      </w:pPr>
      <w:r>
        <w:rPr>
          <w:rFonts w:ascii="Microsoft JhengHei" w:eastAsia="Microsoft JhengHei" w:hint="eastAsia"/>
          <w:b/>
        </w:rPr>
        <w:t>申购：</w:t>
        <w:tab/>
      </w:r>
      <w:r>
        <w:rPr/>
        <w:t>指在基金合同生效后的存续期间</w:t>
      </w:r>
      <w:r>
        <w:rPr>
          <w:spacing w:val="-23"/>
        </w:rPr>
        <w:t>，</w:t>
      </w:r>
      <w:r>
        <w:rPr/>
        <w:t>投资人申请购买</w:t>
      </w:r>
      <w:r>
        <w:rPr>
          <w:spacing w:val="-16"/>
        </w:rPr>
        <w:t>本</w:t>
      </w:r>
      <w:r>
        <w:rPr/>
        <w:t>基金基金份额的行为；</w:t>
      </w:r>
    </w:p>
    <w:p>
      <w:pPr>
        <w:pStyle w:val="BodyText"/>
        <w:tabs>
          <w:tab w:pos="2927" w:val="left" w:leader="none"/>
        </w:tabs>
        <w:spacing w:line="297" w:lineRule="auto" w:before="8"/>
        <w:ind w:left="2928" w:right="458" w:hanging="2700"/>
      </w:pPr>
      <w:r>
        <w:rPr>
          <w:rFonts w:ascii="Microsoft JhengHei" w:eastAsia="Microsoft JhengHei" w:hint="eastAsia"/>
          <w:b/>
        </w:rPr>
        <w:t>赎回：</w:t>
        <w:tab/>
      </w:r>
      <w:r>
        <w:rPr/>
        <w:t>指基金合同生效后的存续期间</w:t>
      </w:r>
      <w:r>
        <w:rPr>
          <w:spacing w:val="-23"/>
        </w:rPr>
        <w:t>，</w:t>
      </w:r>
      <w:r>
        <w:rPr/>
        <w:t>基金份额持有人按</w:t>
      </w:r>
      <w:r>
        <w:rPr>
          <w:spacing w:val="-16"/>
        </w:rPr>
        <w:t>本</w:t>
      </w:r>
      <w:r>
        <w:rPr/>
        <w:t>基金合同规定的条件</w:t>
      </w:r>
      <w:r>
        <w:rPr>
          <w:spacing w:val="-23"/>
        </w:rPr>
        <w:t>，</w:t>
      </w:r>
      <w:r>
        <w:rPr/>
        <w:t>要求基金购回本基金基金份</w:t>
      </w:r>
      <w:r>
        <w:rPr>
          <w:spacing w:val="-17"/>
        </w:rPr>
        <w:t>额</w:t>
      </w:r>
    </w:p>
    <w:p>
      <w:pPr>
        <w:pStyle w:val="BodyText"/>
        <w:spacing w:before="86"/>
        <w:ind w:left="2928"/>
      </w:pPr>
      <w:r>
        <w:rPr/>
        <w:t>的行为；</w:t>
      </w:r>
    </w:p>
    <w:p>
      <w:pPr>
        <w:tabs>
          <w:tab w:pos="2927" w:val="left" w:leader="none"/>
        </w:tabs>
        <w:spacing w:before="82"/>
        <w:ind w:left="228" w:right="0" w:firstLine="0"/>
        <w:jc w:val="left"/>
        <w:rPr>
          <w:sz w:val="24"/>
        </w:rPr>
      </w:pPr>
      <w:r>
        <w:rPr>
          <w:rFonts w:ascii="Microsoft JhengHei" w:eastAsia="Microsoft JhengHei" w:hint="eastAsia"/>
          <w:b/>
          <w:sz w:val="24"/>
        </w:rPr>
        <w:t>巨额赎回：</w:t>
        <w:tab/>
      </w:r>
      <w:r>
        <w:rPr>
          <w:sz w:val="24"/>
        </w:rPr>
        <w:t>指在本基金单个开放日内</w:t>
      </w:r>
      <w:r>
        <w:rPr>
          <w:spacing w:val="-12"/>
          <w:sz w:val="24"/>
        </w:rPr>
        <w:t>，</w:t>
      </w:r>
      <w:r>
        <w:rPr>
          <w:sz w:val="24"/>
        </w:rPr>
        <w:t>基金净赎回申请份</w:t>
      </w:r>
      <w:r>
        <w:rPr>
          <w:spacing w:val="-12"/>
          <w:sz w:val="24"/>
        </w:rPr>
        <w:t>额</w:t>
      </w:r>
      <w:r>
        <w:rPr>
          <w:sz w:val="24"/>
        </w:rPr>
        <w:t>（基</w:t>
      </w:r>
    </w:p>
    <w:p>
      <w:pPr>
        <w:pStyle w:val="BodyText"/>
        <w:spacing w:line="364" w:lineRule="auto" w:before="106"/>
        <w:ind w:left="2928" w:right="458"/>
        <w:jc w:val="both"/>
      </w:pPr>
      <w:r>
        <w:rPr/>
        <w:t>金赎回申请总份额扣除申购申请总份额之余额</w:t>
      </w:r>
      <w:r>
        <w:rPr>
          <w:spacing w:val="-23"/>
        </w:rPr>
        <w:t>）</w:t>
      </w:r>
      <w:r>
        <w:rPr>
          <w:spacing w:val="-9"/>
        </w:rPr>
        <w:t>与净</w:t>
      </w:r>
      <w:r>
        <w:rPr>
          <w:spacing w:val="-4"/>
        </w:rPr>
        <w:t>转出申请份额</w:t>
      </w:r>
      <w:r>
        <w:rPr/>
        <w:t>（</w:t>
      </w:r>
      <w:r>
        <w:rPr>
          <w:spacing w:val="-2"/>
        </w:rPr>
        <w:t>基金转出申请总份额扣除转入申请总</w:t>
      </w:r>
      <w:r>
        <w:rPr/>
        <w:t>份额之余额）</w:t>
      </w:r>
      <w:r>
        <w:rPr>
          <w:spacing w:val="-3"/>
        </w:rPr>
        <w:t>之和超过上一开放日本基金总份额 </w:t>
      </w:r>
      <w:r>
        <w:rPr/>
        <w:t>10% 的情形；</w:t>
      </w:r>
    </w:p>
    <w:p>
      <w:pPr>
        <w:tabs>
          <w:tab w:pos="2927" w:val="left" w:leader="none"/>
        </w:tabs>
        <w:spacing w:line="365" w:lineRule="exact" w:before="0"/>
        <w:ind w:left="228" w:right="0" w:firstLine="0"/>
        <w:jc w:val="both"/>
        <w:rPr>
          <w:sz w:val="24"/>
        </w:rPr>
      </w:pPr>
      <w:r>
        <w:rPr>
          <w:rFonts w:ascii="Microsoft JhengHei" w:eastAsia="Microsoft JhengHei" w:hint="eastAsia"/>
          <w:b/>
          <w:sz w:val="24"/>
        </w:rPr>
        <w:t>基金转换：</w:t>
        <w:tab/>
      </w:r>
      <w:r>
        <w:rPr>
          <w:spacing w:val="10"/>
          <w:sz w:val="24"/>
        </w:rPr>
        <w:t>指基金份额持有人按照本基金合同和基金管理人</w:t>
      </w:r>
      <w:r>
        <w:rPr>
          <w:sz w:val="24"/>
        </w:rPr>
        <w:t>届</w:t>
      </w:r>
    </w:p>
    <w:p>
      <w:pPr>
        <w:pStyle w:val="BodyText"/>
        <w:spacing w:line="364" w:lineRule="auto" w:before="106"/>
        <w:ind w:left="2928" w:right="458"/>
        <w:jc w:val="both"/>
      </w:pPr>
      <w:r>
        <w:rPr>
          <w:spacing w:val="9"/>
        </w:rPr>
        <w:t>时有效的业务规则进行的本基金份额与基金管理人</w:t>
      </w:r>
      <w:r>
        <w:rPr>
          <w:spacing w:val="-6"/>
        </w:rPr>
        <w:t>管理的、由同一注册登记人办理注册登记的其他基金</w:t>
      </w:r>
      <w:r>
        <w:rPr/>
        <w:t>份额间的转换行为；</w:t>
      </w:r>
    </w:p>
    <w:p>
      <w:pPr>
        <w:pStyle w:val="BodyText"/>
        <w:tabs>
          <w:tab w:pos="2927" w:val="left" w:leader="none"/>
        </w:tabs>
        <w:spacing w:line="364" w:lineRule="exact" w:before="0"/>
        <w:ind w:left="228"/>
        <w:jc w:val="both"/>
      </w:pPr>
      <w:r>
        <w:rPr>
          <w:rFonts w:ascii="Microsoft JhengHei" w:eastAsia="Microsoft JhengHei" w:hint="eastAsia"/>
          <w:b/>
        </w:rPr>
        <w:t>转托管：</w:t>
        <w:tab/>
      </w:r>
      <w:r>
        <w:rPr>
          <w:spacing w:val="10"/>
        </w:rPr>
        <w:t>指基金份额持有人将其基金账户内的同一基金的</w:t>
      </w:r>
      <w:r>
        <w:rPr/>
        <w:t>基</w:t>
      </w:r>
    </w:p>
    <w:p>
      <w:pPr>
        <w:pStyle w:val="BodyText"/>
        <w:spacing w:before="105"/>
        <w:ind w:left="0" w:right="437"/>
        <w:jc w:val="right"/>
      </w:pPr>
      <w:r>
        <w:rPr/>
        <w:t>金份额从一个销售机构托管到另一销售机构的行为；</w:t>
      </w:r>
    </w:p>
    <w:p>
      <w:pPr>
        <w:tabs>
          <w:tab w:pos="2699" w:val="left" w:leader="none"/>
        </w:tabs>
        <w:spacing w:before="82"/>
        <w:ind w:left="0" w:right="458" w:firstLine="0"/>
        <w:jc w:val="right"/>
        <w:rPr>
          <w:sz w:val="24"/>
        </w:rPr>
      </w:pPr>
      <w:r>
        <w:rPr>
          <w:rFonts w:ascii="Microsoft JhengHei" w:eastAsia="Microsoft JhengHei" w:hint="eastAsia"/>
          <w:b/>
          <w:sz w:val="24"/>
        </w:rPr>
        <w:t>投资指令：</w:t>
        <w:tab/>
      </w:r>
      <w:r>
        <w:rPr>
          <w:sz w:val="24"/>
        </w:rPr>
        <w:t>指基金管理人在运用基金财产进行投资时</w:t>
      </w:r>
      <w:r>
        <w:rPr>
          <w:spacing w:val="-23"/>
          <w:sz w:val="24"/>
        </w:rPr>
        <w:t>，</w:t>
      </w:r>
      <w:r>
        <w:rPr>
          <w:sz w:val="24"/>
        </w:rPr>
        <w:t>向基金托</w:t>
      </w:r>
    </w:p>
    <w:p>
      <w:pPr>
        <w:pStyle w:val="BodyText"/>
        <w:spacing w:before="106"/>
        <w:ind w:left="2928"/>
      </w:pPr>
      <w:r>
        <w:rPr/>
        <w:t>管人发出的资金划拨及实物券调拨等指令；</w:t>
      </w:r>
    </w:p>
    <w:p>
      <w:pPr>
        <w:tabs>
          <w:tab w:pos="2927" w:val="left" w:leader="none"/>
        </w:tabs>
        <w:spacing w:before="81"/>
        <w:ind w:left="228" w:right="0" w:firstLine="0"/>
        <w:jc w:val="left"/>
        <w:rPr>
          <w:sz w:val="24"/>
        </w:rPr>
      </w:pPr>
      <w:r>
        <w:rPr>
          <w:rFonts w:ascii="Microsoft JhengHei" w:eastAsia="Microsoft JhengHei" w:hint="eastAsia"/>
          <w:b/>
          <w:sz w:val="24"/>
        </w:rPr>
        <w:t>代销机构：</w:t>
        <w:tab/>
      </w:r>
      <w:r>
        <w:rPr>
          <w:sz w:val="24"/>
        </w:rPr>
        <w:t>指接受基金管理人委托代为办理本基金申购</w:t>
      </w:r>
      <w:r>
        <w:rPr>
          <w:spacing w:val="-23"/>
          <w:sz w:val="24"/>
        </w:rPr>
        <w:t>、</w:t>
      </w:r>
      <w:r>
        <w:rPr>
          <w:sz w:val="24"/>
        </w:rPr>
        <w:t>赎回和</w:t>
      </w:r>
    </w:p>
    <w:p>
      <w:pPr>
        <w:pStyle w:val="BodyText"/>
        <w:spacing w:before="106"/>
        <w:ind w:left="2928"/>
      </w:pPr>
      <w:r>
        <w:rPr/>
        <w:t>其他基金业务的具有基金代销业务资格的机构；</w:t>
      </w:r>
    </w:p>
    <w:p>
      <w:pPr>
        <w:tabs>
          <w:tab w:pos="2927" w:val="left" w:leader="none"/>
        </w:tabs>
        <w:spacing w:before="81"/>
        <w:ind w:left="228" w:right="0" w:firstLine="0"/>
        <w:jc w:val="left"/>
        <w:rPr>
          <w:sz w:val="24"/>
        </w:rPr>
      </w:pPr>
      <w:r>
        <w:rPr>
          <w:rFonts w:ascii="Microsoft JhengHei" w:eastAsia="Microsoft JhengHei" w:hint="eastAsia"/>
          <w:b/>
          <w:sz w:val="24"/>
        </w:rPr>
        <w:t>销售机构：</w:t>
        <w:tab/>
      </w:r>
      <w:r>
        <w:rPr>
          <w:sz w:val="24"/>
        </w:rPr>
        <w:t>指基金管理人及本基金代销机构；</w:t>
      </w:r>
    </w:p>
    <w:p>
      <w:pPr>
        <w:tabs>
          <w:tab w:pos="2927" w:val="left" w:leader="none"/>
        </w:tabs>
        <w:spacing w:before="27"/>
        <w:ind w:left="228" w:right="0" w:firstLine="0"/>
        <w:jc w:val="left"/>
        <w:rPr>
          <w:sz w:val="24"/>
        </w:rPr>
      </w:pPr>
      <w:r>
        <w:rPr>
          <w:rFonts w:ascii="Microsoft JhengHei" w:eastAsia="Microsoft JhengHei" w:hint="eastAsia"/>
          <w:b/>
          <w:sz w:val="24"/>
        </w:rPr>
        <w:t>基金销售网点：</w:t>
        <w:tab/>
      </w:r>
      <w:r>
        <w:rPr>
          <w:spacing w:val="10"/>
          <w:sz w:val="24"/>
        </w:rPr>
        <w:t>指基金管理人的直销中心及基金代销机构的代销</w:t>
      </w:r>
      <w:r>
        <w:rPr>
          <w:sz w:val="24"/>
        </w:rPr>
        <w:t>网</w:t>
      </w:r>
    </w:p>
    <w:p>
      <w:pPr>
        <w:pStyle w:val="BodyText"/>
        <w:spacing w:before="106"/>
        <w:ind w:left="2928"/>
      </w:pPr>
      <w:r>
        <w:rPr/>
        <w:t>点；</w:t>
      </w:r>
    </w:p>
    <w:p>
      <w:pPr>
        <w:tabs>
          <w:tab w:pos="2699" w:val="left" w:leader="none"/>
        </w:tabs>
        <w:spacing w:before="81"/>
        <w:ind w:left="0" w:right="458" w:firstLine="0"/>
        <w:jc w:val="right"/>
        <w:rPr>
          <w:sz w:val="24"/>
        </w:rPr>
      </w:pPr>
      <w:r>
        <w:rPr>
          <w:rFonts w:ascii="Microsoft JhengHei" w:eastAsia="Microsoft JhengHei" w:hint="eastAsia"/>
          <w:b/>
          <w:sz w:val="24"/>
        </w:rPr>
        <w:t>指定媒介：</w:t>
        <w:tab/>
      </w:r>
      <w:r>
        <w:rPr>
          <w:spacing w:val="10"/>
          <w:sz w:val="24"/>
        </w:rPr>
        <w:t>指中国证监会指定的用以进行信息披露的全国性</w:t>
      </w:r>
      <w:r>
        <w:rPr>
          <w:sz w:val="24"/>
        </w:rPr>
        <w:t>报</w:t>
      </w:r>
    </w:p>
    <w:p>
      <w:pPr>
        <w:pStyle w:val="BodyText"/>
        <w:spacing w:line="364" w:lineRule="auto" w:before="106"/>
        <w:ind w:left="2928" w:right="437"/>
        <w:jc w:val="right"/>
      </w:pPr>
      <w:r>
        <w:rPr>
          <w:spacing w:val="-2"/>
        </w:rPr>
        <w:t>刊及指定互联网网站</w:t>
      </w:r>
      <w:r>
        <w:rPr/>
        <w:t>（</w:t>
      </w:r>
      <w:r>
        <w:rPr>
          <w:spacing w:val="-2"/>
        </w:rPr>
        <w:t>包括基金管理人网站、基金托管人网站、中国证监会基金电子披露网站）</w:t>
      </w:r>
      <w:r>
        <w:rPr>
          <w:spacing w:val="-7"/>
        </w:rPr>
        <w:t>等媒介；</w:t>
      </w:r>
    </w:p>
    <w:p>
      <w:pPr>
        <w:tabs>
          <w:tab w:pos="2699" w:val="left" w:leader="none"/>
        </w:tabs>
        <w:spacing w:line="363" w:lineRule="exact" w:before="0"/>
        <w:ind w:left="0" w:right="458" w:firstLine="0"/>
        <w:jc w:val="right"/>
        <w:rPr>
          <w:sz w:val="24"/>
        </w:rPr>
      </w:pPr>
      <w:r>
        <w:rPr>
          <w:rFonts w:ascii="Microsoft JhengHei" w:eastAsia="Microsoft JhengHei" w:hint="eastAsia"/>
          <w:b/>
          <w:sz w:val="24"/>
        </w:rPr>
        <w:t>基金账户：</w:t>
        <w:tab/>
      </w:r>
      <w:r>
        <w:rPr>
          <w:spacing w:val="10"/>
          <w:sz w:val="24"/>
        </w:rPr>
        <w:t>指注册登记人为基金投资人开立的记录其持有的</w:t>
      </w:r>
      <w:r>
        <w:rPr>
          <w:sz w:val="24"/>
        </w:rPr>
        <w:t>由</w:t>
      </w:r>
    </w:p>
    <w:p>
      <w:pPr>
        <w:pStyle w:val="BodyText"/>
        <w:spacing w:before="106"/>
        <w:ind w:left="0" w:right="458"/>
        <w:jc w:val="right"/>
      </w:pPr>
      <w:r>
        <w:rPr>
          <w:spacing w:val="9"/>
        </w:rPr>
        <w:t>该注册登记人办理注册登记的开放式基金份额余额</w:t>
      </w:r>
    </w:p>
    <w:p>
      <w:pPr>
        <w:spacing w:after="0"/>
        <w:jc w:val="right"/>
        <w:sectPr>
          <w:pgSz w:w="11910" w:h="16840"/>
          <w:pgMar w:header="0" w:footer="990" w:top="1460" w:bottom="1180" w:left="1680" w:right="1340"/>
        </w:sectPr>
      </w:pPr>
    </w:p>
    <w:p>
      <w:pPr>
        <w:pStyle w:val="BodyText"/>
        <w:spacing w:before="44"/>
        <w:ind w:left="2928"/>
      </w:pPr>
      <w:r>
        <w:rPr/>
        <w:t>及其变动情况的账户；</w:t>
      </w:r>
    </w:p>
    <w:p>
      <w:pPr>
        <w:tabs>
          <w:tab w:pos="2927" w:val="left" w:leader="none"/>
        </w:tabs>
        <w:spacing w:before="81"/>
        <w:ind w:left="228" w:right="0" w:firstLine="0"/>
        <w:jc w:val="left"/>
        <w:rPr>
          <w:sz w:val="24"/>
        </w:rPr>
      </w:pPr>
      <w:r>
        <w:rPr>
          <w:rFonts w:ascii="Microsoft JhengHei" w:eastAsia="Microsoft JhengHei" w:hint="eastAsia"/>
          <w:b/>
          <w:sz w:val="24"/>
        </w:rPr>
        <w:t>交易账户：</w:t>
        <w:tab/>
      </w:r>
      <w:r>
        <w:rPr>
          <w:spacing w:val="10"/>
          <w:sz w:val="24"/>
        </w:rPr>
        <w:t>指销售机构为基金投资人开立的记录其持有的由</w:t>
      </w:r>
      <w:r>
        <w:rPr>
          <w:sz w:val="24"/>
        </w:rPr>
        <w:t>该</w:t>
      </w:r>
    </w:p>
    <w:p>
      <w:pPr>
        <w:pStyle w:val="BodyText"/>
        <w:spacing w:line="364" w:lineRule="auto" w:before="106"/>
        <w:ind w:left="2928" w:right="410"/>
      </w:pPr>
      <w:r>
        <w:rPr/>
        <w:t>销售机构办理认购、申购、赎回、转换及转托管等业务的基金份额余额及其变动情况的账户；</w:t>
      </w:r>
    </w:p>
    <w:p>
      <w:pPr>
        <w:pStyle w:val="BodyText"/>
        <w:tabs>
          <w:tab w:pos="2927" w:val="left" w:leader="none"/>
        </w:tabs>
        <w:spacing w:line="363" w:lineRule="exact" w:before="0"/>
        <w:ind w:left="228"/>
      </w:pPr>
      <w:r>
        <w:rPr>
          <w:rFonts w:ascii="Microsoft JhengHei" w:eastAsia="Microsoft JhengHei" w:hint="eastAsia"/>
          <w:b/>
        </w:rPr>
        <w:t>开放日：</w:t>
        <w:tab/>
      </w:r>
      <w:r>
        <w:rPr/>
        <w:t>指为投资者办理基金份额申购</w:t>
      </w:r>
      <w:r>
        <w:rPr>
          <w:spacing w:val="-23"/>
        </w:rPr>
        <w:t>、</w:t>
      </w:r>
      <w:r>
        <w:rPr/>
        <w:t>赎回或其他业务的日</w:t>
      </w:r>
    </w:p>
    <w:p>
      <w:pPr>
        <w:pStyle w:val="BodyText"/>
        <w:spacing w:before="106"/>
        <w:ind w:left="2928"/>
      </w:pPr>
      <w:r>
        <w:rPr/>
        <w:t>期；</w:t>
      </w:r>
    </w:p>
    <w:p>
      <w:pPr>
        <w:pStyle w:val="BodyText"/>
        <w:tabs>
          <w:tab w:pos="2927" w:val="left" w:leader="none"/>
        </w:tabs>
        <w:spacing w:line="297" w:lineRule="auto" w:before="81"/>
        <w:ind w:left="2928" w:right="458" w:hanging="2700"/>
      </w:pPr>
      <w:r>
        <w:rPr>
          <w:rFonts w:ascii="Microsoft JhengHei" w:eastAsia="Microsoft JhengHei" w:hint="eastAsia"/>
          <w:b/>
        </w:rPr>
        <w:t>T</w:t>
      </w:r>
      <w:r>
        <w:rPr>
          <w:rFonts w:ascii="Microsoft JhengHei" w:eastAsia="Microsoft JhengHei" w:hint="eastAsia"/>
          <w:b/>
          <w:spacing w:val="52"/>
        </w:rPr>
        <w:t> </w:t>
      </w:r>
      <w:r>
        <w:rPr>
          <w:rFonts w:ascii="Microsoft JhengHei" w:eastAsia="Microsoft JhengHei" w:hint="eastAsia"/>
          <w:b/>
        </w:rPr>
        <w:t>日：</w:t>
        <w:tab/>
      </w:r>
      <w:r>
        <w:rPr/>
        <w:t>指销售机构在规定时间内受理投资人申购</w:t>
      </w:r>
      <w:r>
        <w:rPr>
          <w:spacing w:val="-23"/>
        </w:rPr>
        <w:t>、</w:t>
      </w:r>
      <w:r>
        <w:rPr/>
        <w:t>赎回或</w:t>
      </w:r>
      <w:r>
        <w:rPr>
          <w:spacing w:val="-16"/>
        </w:rPr>
        <w:t>其</w:t>
      </w:r>
      <w:r>
        <w:rPr/>
        <w:t>他业务申请的日期；</w:t>
      </w:r>
    </w:p>
    <w:p>
      <w:pPr>
        <w:tabs>
          <w:tab w:pos="2927" w:val="left" w:leader="none"/>
        </w:tabs>
        <w:spacing w:before="8"/>
        <w:ind w:left="228" w:right="0" w:firstLine="0"/>
        <w:jc w:val="left"/>
        <w:rPr>
          <w:sz w:val="24"/>
        </w:rPr>
      </w:pPr>
      <w:r>
        <w:rPr>
          <w:rFonts w:ascii="Microsoft JhengHei" w:eastAsia="Microsoft JhengHei" w:hint="eastAsia"/>
          <w:b/>
          <w:sz w:val="24"/>
        </w:rPr>
        <w:t>T＋n</w:t>
      </w:r>
      <w:r>
        <w:rPr>
          <w:rFonts w:ascii="Microsoft JhengHei" w:eastAsia="Microsoft JhengHei" w:hint="eastAsia"/>
          <w:b/>
          <w:spacing w:val="-12"/>
          <w:sz w:val="24"/>
        </w:rPr>
        <w:t> </w:t>
      </w:r>
      <w:r>
        <w:rPr>
          <w:rFonts w:ascii="Microsoft JhengHei" w:eastAsia="Microsoft JhengHei" w:hint="eastAsia"/>
          <w:b/>
          <w:sz w:val="24"/>
        </w:rPr>
        <w:t>日：</w:t>
        <w:tab/>
      </w:r>
      <w:r>
        <w:rPr>
          <w:sz w:val="24"/>
        </w:rPr>
        <w:t>指</w:t>
      </w:r>
      <w:r>
        <w:rPr>
          <w:spacing w:val="-60"/>
          <w:sz w:val="24"/>
        </w:rPr>
        <w:t> </w:t>
      </w:r>
      <w:r>
        <w:rPr>
          <w:sz w:val="24"/>
        </w:rPr>
        <w:t>T</w:t>
      </w:r>
      <w:r>
        <w:rPr>
          <w:spacing w:val="-60"/>
          <w:sz w:val="24"/>
        </w:rPr>
        <w:t> </w:t>
      </w:r>
      <w:r>
        <w:rPr>
          <w:sz w:val="24"/>
        </w:rPr>
        <w:t>日起（不包括</w:t>
      </w:r>
      <w:r>
        <w:rPr>
          <w:spacing w:val="-60"/>
          <w:sz w:val="24"/>
        </w:rPr>
        <w:t> </w:t>
      </w:r>
      <w:r>
        <w:rPr>
          <w:sz w:val="24"/>
        </w:rPr>
        <w:t>T</w:t>
      </w:r>
      <w:r>
        <w:rPr>
          <w:spacing w:val="-60"/>
          <w:sz w:val="24"/>
        </w:rPr>
        <w:t> </w:t>
      </w:r>
      <w:r>
        <w:rPr>
          <w:sz w:val="24"/>
        </w:rPr>
        <w:t>日）的第</w:t>
      </w:r>
      <w:r>
        <w:rPr>
          <w:spacing w:val="-60"/>
          <w:sz w:val="24"/>
        </w:rPr>
        <w:t> </w:t>
      </w:r>
      <w:r>
        <w:rPr>
          <w:sz w:val="24"/>
        </w:rPr>
        <w:t>n</w:t>
      </w:r>
      <w:r>
        <w:rPr>
          <w:spacing w:val="-60"/>
          <w:sz w:val="24"/>
        </w:rPr>
        <w:t> </w:t>
      </w:r>
      <w:r>
        <w:rPr>
          <w:sz w:val="24"/>
        </w:rPr>
        <w:t>个工作日；</w:t>
      </w:r>
    </w:p>
    <w:p>
      <w:pPr>
        <w:tabs>
          <w:tab w:pos="2927" w:val="left" w:leader="none"/>
        </w:tabs>
        <w:spacing w:before="26"/>
        <w:ind w:left="228" w:right="0" w:firstLine="0"/>
        <w:jc w:val="left"/>
        <w:rPr>
          <w:sz w:val="24"/>
        </w:rPr>
      </w:pPr>
      <w:r>
        <w:rPr>
          <w:rFonts w:ascii="Microsoft JhengHei" w:eastAsia="Microsoft JhengHei" w:hint="eastAsia"/>
          <w:b/>
          <w:sz w:val="24"/>
        </w:rPr>
        <w:t>基金收益：</w:t>
        <w:tab/>
      </w:r>
      <w:r>
        <w:rPr>
          <w:sz w:val="24"/>
        </w:rPr>
        <w:t>指基金投资所得红利</w:t>
      </w:r>
      <w:r>
        <w:rPr>
          <w:spacing w:val="-8"/>
          <w:sz w:val="24"/>
        </w:rPr>
        <w:t>、</w:t>
      </w:r>
      <w:r>
        <w:rPr>
          <w:sz w:val="24"/>
        </w:rPr>
        <w:t>股息</w:t>
      </w:r>
      <w:r>
        <w:rPr>
          <w:spacing w:val="-8"/>
          <w:sz w:val="24"/>
        </w:rPr>
        <w:t>、</w:t>
      </w:r>
      <w:r>
        <w:rPr>
          <w:sz w:val="24"/>
        </w:rPr>
        <w:t>债券利息</w:t>
      </w:r>
      <w:r>
        <w:rPr>
          <w:spacing w:val="-8"/>
          <w:sz w:val="24"/>
        </w:rPr>
        <w:t>、</w:t>
      </w:r>
      <w:r>
        <w:rPr>
          <w:sz w:val="24"/>
        </w:rPr>
        <w:t>买卖证券价</w:t>
      </w:r>
    </w:p>
    <w:p>
      <w:pPr>
        <w:pStyle w:val="BodyText"/>
        <w:spacing w:before="106"/>
        <w:ind w:left="2928"/>
      </w:pPr>
      <w:r>
        <w:rPr/>
        <w:t>差、银行存款利息及其他合法收入；</w:t>
      </w:r>
    </w:p>
    <w:p>
      <w:pPr>
        <w:tabs>
          <w:tab w:pos="2927" w:val="left" w:leader="none"/>
        </w:tabs>
        <w:spacing w:before="81"/>
        <w:ind w:left="228" w:right="0" w:firstLine="0"/>
        <w:jc w:val="both"/>
        <w:rPr>
          <w:sz w:val="24"/>
        </w:rPr>
      </w:pPr>
      <w:r>
        <w:rPr>
          <w:rFonts w:ascii="Microsoft JhengHei" w:eastAsia="Microsoft JhengHei" w:hint="eastAsia"/>
          <w:b/>
          <w:sz w:val="24"/>
        </w:rPr>
        <w:t>基金资产总值：</w:t>
        <w:tab/>
      </w:r>
      <w:r>
        <w:rPr>
          <w:spacing w:val="10"/>
          <w:sz w:val="24"/>
        </w:rPr>
        <w:t>基金资产总值是指本基金拥有的各类证券及票据</w:t>
      </w:r>
      <w:r>
        <w:rPr>
          <w:sz w:val="24"/>
        </w:rPr>
        <w:t>价</w:t>
      </w:r>
    </w:p>
    <w:p>
      <w:pPr>
        <w:pStyle w:val="BodyText"/>
        <w:spacing w:line="364" w:lineRule="auto" w:before="106"/>
        <w:ind w:left="2928" w:right="458"/>
        <w:jc w:val="both"/>
      </w:pPr>
      <w:r>
        <w:rPr>
          <w:spacing w:val="-6"/>
        </w:rPr>
        <w:t>值、银行存款本息、债券的应计利息、基金应收的申购基金款、缴存的保证金以及其他投资所形成的价值</w:t>
      </w:r>
      <w:r>
        <w:rPr/>
        <w:t>总和；</w:t>
      </w:r>
    </w:p>
    <w:p>
      <w:pPr>
        <w:tabs>
          <w:tab w:pos="2927" w:val="left" w:leader="none"/>
        </w:tabs>
        <w:spacing w:line="364" w:lineRule="exact" w:before="0"/>
        <w:ind w:left="228" w:right="0" w:firstLine="0"/>
        <w:jc w:val="both"/>
        <w:rPr>
          <w:sz w:val="24"/>
        </w:rPr>
      </w:pPr>
      <w:r>
        <w:rPr>
          <w:rFonts w:ascii="Microsoft JhengHei" w:eastAsia="Microsoft JhengHei" w:hint="eastAsia"/>
          <w:b/>
          <w:sz w:val="24"/>
        </w:rPr>
        <w:t>基金资产净值：</w:t>
        <w:tab/>
      </w:r>
      <w:r>
        <w:rPr>
          <w:sz w:val="24"/>
        </w:rPr>
        <w:t>指基金资产总值减去基金负债后的价值；</w:t>
      </w:r>
    </w:p>
    <w:p>
      <w:pPr>
        <w:tabs>
          <w:tab w:pos="2927" w:val="left" w:leader="none"/>
        </w:tabs>
        <w:spacing w:before="27"/>
        <w:ind w:left="228" w:right="0" w:firstLine="0"/>
        <w:jc w:val="both"/>
        <w:rPr>
          <w:sz w:val="24"/>
        </w:rPr>
      </w:pPr>
      <w:r>
        <w:rPr>
          <w:rFonts w:ascii="Microsoft JhengHei" w:eastAsia="Microsoft JhengHei" w:hint="eastAsia"/>
          <w:b/>
          <w:sz w:val="24"/>
        </w:rPr>
        <w:t>基金份额净值：</w:t>
        <w:tab/>
      </w:r>
      <w:r>
        <w:rPr>
          <w:spacing w:val="10"/>
          <w:sz w:val="24"/>
        </w:rPr>
        <w:t>指计算日基金资产净值除以计算日基金份额余额</w:t>
      </w:r>
      <w:r>
        <w:rPr>
          <w:sz w:val="24"/>
        </w:rPr>
        <w:t>总</w:t>
      </w:r>
    </w:p>
    <w:p>
      <w:pPr>
        <w:pStyle w:val="BodyText"/>
        <w:spacing w:before="106"/>
        <w:ind w:left="2928"/>
      </w:pPr>
      <w:r>
        <w:rPr/>
        <w:t>数后得出的基金份额的资产净值；</w:t>
      </w:r>
    </w:p>
    <w:p>
      <w:pPr>
        <w:tabs>
          <w:tab w:pos="2927" w:val="left" w:leader="none"/>
        </w:tabs>
        <w:spacing w:before="81"/>
        <w:ind w:left="228" w:right="0" w:firstLine="0"/>
        <w:jc w:val="left"/>
        <w:rPr>
          <w:sz w:val="24"/>
        </w:rPr>
      </w:pPr>
      <w:r>
        <w:rPr>
          <w:rFonts w:ascii="Microsoft JhengHei" w:eastAsia="Microsoft JhengHei" w:hint="eastAsia"/>
          <w:b/>
          <w:sz w:val="24"/>
        </w:rPr>
        <w:t>基金资产估值：</w:t>
        <w:tab/>
      </w:r>
      <w:r>
        <w:rPr>
          <w:sz w:val="24"/>
        </w:rPr>
        <w:t>指计算评估基金资产和负债的价值</w:t>
      </w:r>
      <w:r>
        <w:rPr>
          <w:spacing w:val="-23"/>
          <w:sz w:val="24"/>
        </w:rPr>
        <w:t>，</w:t>
      </w:r>
      <w:r>
        <w:rPr>
          <w:sz w:val="24"/>
        </w:rPr>
        <w:t>以确定基金资产</w:t>
      </w:r>
    </w:p>
    <w:p>
      <w:pPr>
        <w:pStyle w:val="BodyText"/>
        <w:spacing w:before="106"/>
        <w:ind w:left="2928"/>
      </w:pPr>
      <w:r>
        <w:rPr/>
        <w:t>净值和基金份额净值的过程；</w:t>
      </w:r>
    </w:p>
    <w:p>
      <w:pPr>
        <w:tabs>
          <w:tab w:pos="2927" w:val="left" w:leader="none"/>
        </w:tabs>
        <w:spacing w:before="81"/>
        <w:ind w:left="228" w:right="0" w:firstLine="0"/>
        <w:jc w:val="left"/>
        <w:rPr>
          <w:sz w:val="24"/>
        </w:rPr>
      </w:pPr>
      <w:r>
        <w:rPr>
          <w:rFonts w:ascii="Microsoft JhengHei" w:eastAsia="Microsoft JhengHei" w:hint="eastAsia"/>
          <w:b/>
          <w:sz w:val="24"/>
        </w:rPr>
        <w:t>法律法规：</w:t>
        <w:tab/>
      </w:r>
      <w:r>
        <w:rPr>
          <w:sz w:val="24"/>
        </w:rPr>
        <w:t>指中华人民共和国现行有效的法律</w:t>
      </w:r>
      <w:r>
        <w:rPr>
          <w:spacing w:val="-12"/>
          <w:sz w:val="24"/>
        </w:rPr>
        <w:t>、</w:t>
      </w:r>
      <w:r>
        <w:rPr>
          <w:sz w:val="24"/>
        </w:rPr>
        <w:t>行政法规</w:t>
      </w:r>
      <w:r>
        <w:rPr>
          <w:spacing w:val="-12"/>
          <w:sz w:val="24"/>
        </w:rPr>
        <w:t>、</w:t>
      </w:r>
      <w:r>
        <w:rPr>
          <w:sz w:val="24"/>
        </w:rPr>
        <w:t>司法</w:t>
      </w:r>
    </w:p>
    <w:p>
      <w:pPr>
        <w:pStyle w:val="BodyText"/>
        <w:spacing w:line="364" w:lineRule="auto" w:before="106"/>
        <w:ind w:left="2928" w:right="410"/>
      </w:pPr>
      <w:r>
        <w:rPr/>
        <w:t>解释、地方法规、地方规章、部门规章及其他规范性文件以及对于该等法律法规的不时修改和补充；</w:t>
      </w:r>
    </w:p>
    <w:p>
      <w:pPr>
        <w:spacing w:after="0" w:line="364" w:lineRule="auto"/>
        <w:sectPr>
          <w:pgSz w:w="11910" w:h="16840"/>
          <w:pgMar w:header="0" w:footer="990" w:top="1460" w:bottom="1180" w:left="1680" w:right="1340"/>
        </w:sectPr>
      </w:pPr>
    </w:p>
    <w:p>
      <w:pPr>
        <w:spacing w:line="364" w:lineRule="exact" w:before="0"/>
        <w:ind w:left="228" w:right="0" w:firstLine="0"/>
        <w:jc w:val="left"/>
        <w:rPr>
          <w:rFonts w:ascii="Microsoft JhengHei" w:eastAsia="Microsoft JhengHei" w:hint="eastAsia"/>
          <w:b/>
          <w:sz w:val="24"/>
        </w:rPr>
      </w:pPr>
      <w:r>
        <w:rPr>
          <w:rFonts w:ascii="Microsoft JhengHei" w:eastAsia="Microsoft JhengHei" w:hint="eastAsia"/>
          <w:b/>
          <w:sz w:val="24"/>
        </w:rPr>
        <w:t>不可抗力：</w:t>
      </w:r>
    </w:p>
    <w:p>
      <w:pPr>
        <w:pStyle w:val="BodyText"/>
        <w:spacing w:before="0"/>
        <w:ind w:left="0"/>
        <w:rPr>
          <w:rFonts w:ascii="Microsoft JhengHei"/>
          <w:b/>
        </w:rPr>
      </w:pPr>
    </w:p>
    <w:p>
      <w:pPr>
        <w:pStyle w:val="BodyText"/>
        <w:spacing w:before="0"/>
        <w:ind w:left="0"/>
        <w:rPr>
          <w:rFonts w:ascii="Microsoft JhengHei"/>
          <w:b/>
        </w:rPr>
      </w:pPr>
    </w:p>
    <w:p>
      <w:pPr>
        <w:pStyle w:val="BodyText"/>
        <w:spacing w:before="0"/>
        <w:ind w:left="0"/>
        <w:rPr>
          <w:rFonts w:ascii="Microsoft JhengHei"/>
          <w:b/>
        </w:rPr>
      </w:pPr>
    </w:p>
    <w:p>
      <w:pPr>
        <w:pStyle w:val="BodyText"/>
        <w:spacing w:before="4"/>
        <w:ind w:left="0"/>
        <w:rPr>
          <w:rFonts w:ascii="Microsoft JhengHei"/>
          <w:b/>
          <w:sz w:val="31"/>
        </w:rPr>
      </w:pPr>
    </w:p>
    <w:p>
      <w:pPr>
        <w:spacing w:before="0"/>
        <w:ind w:left="228" w:right="0" w:firstLine="0"/>
        <w:jc w:val="left"/>
        <w:rPr>
          <w:rFonts w:ascii="Microsoft JhengHei" w:eastAsia="Microsoft JhengHei" w:hint="eastAsia"/>
          <w:b/>
          <w:sz w:val="24"/>
        </w:rPr>
      </w:pPr>
      <w:r>
        <w:rPr>
          <w:rFonts w:ascii="Microsoft JhengHei" w:eastAsia="Microsoft JhengHei" w:hint="eastAsia"/>
          <w:b/>
          <w:sz w:val="24"/>
        </w:rPr>
        <w:t>流动性受限资产：</w:t>
      </w:r>
    </w:p>
    <w:p>
      <w:pPr>
        <w:pStyle w:val="BodyText"/>
        <w:spacing w:line="364" w:lineRule="auto"/>
        <w:ind w:left="228" w:right="338"/>
      </w:pPr>
      <w:r>
        <w:rPr/>
        <w:br w:type="column"/>
      </w:r>
      <w:r>
        <w:rPr>
          <w:spacing w:val="-14"/>
        </w:rPr>
        <w:t>指不能预见、不能克服、不能避免的任何事件和因素， </w:t>
      </w:r>
      <w:r>
        <w:rPr>
          <w:spacing w:val="-3"/>
        </w:rPr>
        <w:t>包括但不限于洪水、地震及其他自然灾害、战争、骚</w:t>
      </w:r>
      <w:r>
        <w:rPr>
          <w:spacing w:val="-14"/>
        </w:rPr>
        <w:t>乱、火灾、政府征用、没收、恐怖袭击、传染病传播、</w:t>
      </w:r>
      <w:r>
        <w:rPr>
          <w:spacing w:val="-3"/>
        </w:rPr>
        <w:t>法律法规变化、突发停电或其他突发事件、证券交易场所非正常暂停或停止交易等；</w:t>
      </w:r>
    </w:p>
    <w:p>
      <w:pPr>
        <w:pStyle w:val="BodyText"/>
        <w:spacing w:before="3"/>
        <w:ind w:left="228"/>
      </w:pPr>
      <w:r>
        <w:rPr/>
        <w:t>指由于法律法规、监管、合同或操作障碍等原因无法</w:t>
      </w:r>
    </w:p>
    <w:p>
      <w:pPr>
        <w:spacing w:after="0"/>
        <w:sectPr>
          <w:type w:val="continuous"/>
          <w:pgSz w:w="11910" w:h="16840"/>
          <w:pgMar w:top="1580" w:bottom="280" w:left="1680" w:right="1340"/>
          <w:cols w:num="2" w:equalWidth="0">
            <w:col w:w="2195" w:space="505"/>
            <w:col w:w="6190"/>
          </w:cols>
        </w:sectPr>
      </w:pPr>
    </w:p>
    <w:p>
      <w:pPr>
        <w:pStyle w:val="BodyText"/>
        <w:spacing w:before="44"/>
        <w:ind w:left="2928"/>
      </w:pPr>
      <w:r>
        <w:rPr/>
        <w:t>以合理价格予以变现的资产，包括但不限于到期日在</w:t>
      </w:r>
    </w:p>
    <w:p>
      <w:pPr>
        <w:pStyle w:val="BodyText"/>
        <w:spacing w:line="364" w:lineRule="auto" w:before="160"/>
        <w:ind w:left="2928" w:right="458"/>
        <w:jc w:val="both"/>
      </w:pPr>
      <w:r>
        <w:rPr>
          <w:rFonts w:ascii="Times New Roman" w:eastAsia="Times New Roman"/>
        </w:rPr>
        <w:t>10 </w:t>
      </w:r>
      <w:r>
        <w:rPr>
          <w:spacing w:val="4"/>
        </w:rPr>
        <w:t>个交易日以上的逆回购与银行定期存款（</w:t>
      </w:r>
      <w:r>
        <w:rPr>
          <w:spacing w:val="2"/>
        </w:rPr>
        <w:t>含协议</w:t>
      </w:r>
      <w:r>
        <w:rPr>
          <w:spacing w:val="4"/>
        </w:rPr>
        <w:t>约定有条件提前支取的银行存款</w:t>
      </w:r>
      <w:r>
        <w:rPr>
          <w:spacing w:val="-116"/>
        </w:rPr>
        <w:t>）</w:t>
      </w:r>
      <w:r>
        <w:rPr>
          <w:spacing w:val="3"/>
        </w:rPr>
        <w:t>、停牌股票、流通</w:t>
      </w:r>
      <w:r>
        <w:rPr>
          <w:spacing w:val="-2"/>
        </w:rPr>
        <w:t>受限的新股及非公开发行股票、资产支持证券、因发</w:t>
      </w:r>
      <w:r>
        <w:rPr/>
        <w:t>行人债务违约无法进行转让或交易的债券等</w:t>
      </w:r>
    </w:p>
    <w:p>
      <w:pPr>
        <w:spacing w:after="0" w:line="364" w:lineRule="auto"/>
        <w:jc w:val="both"/>
        <w:sectPr>
          <w:pgSz w:w="11910" w:h="16840"/>
          <w:pgMar w:header="0" w:footer="990" w:top="1460" w:bottom="1180" w:left="1680" w:right="1340"/>
        </w:sectPr>
      </w:pPr>
    </w:p>
    <w:p>
      <w:pPr>
        <w:pStyle w:val="Heading1"/>
        <w:tabs>
          <w:tab w:pos="1123" w:val="left" w:leader="none"/>
        </w:tabs>
        <w:spacing w:before="1"/>
        <w:ind w:left="403"/>
      </w:pPr>
      <w:bookmarkStart w:name="_bookmark2" w:id="3"/>
      <w:bookmarkEnd w:id="3"/>
      <w:r>
        <w:rPr>
          <w:b w:val="0"/>
        </w:rPr>
      </w:r>
      <w:r>
        <w:rPr>
          <w:position w:val="-2"/>
        </w:rPr>
        <w:t>三、</w:t>
        <w:tab/>
      </w:r>
      <w:r>
        <w:rPr/>
        <w:t>基金的基本情况</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（一）基金名称</w:t>
      </w:r>
    </w:p>
    <w:p>
      <w:pPr>
        <w:pStyle w:val="BodyText"/>
        <w:spacing w:before="5"/>
        <w:ind w:left="0"/>
        <w:rPr>
          <w:rFonts w:ascii="Microsoft JhengHei"/>
          <w:b/>
          <w:sz w:val="14"/>
        </w:rPr>
      </w:pPr>
    </w:p>
    <w:p>
      <w:pPr>
        <w:pStyle w:val="BodyText"/>
        <w:spacing w:before="0"/>
        <w:ind w:left="600"/>
      </w:pPr>
      <w:r>
        <w:rPr/>
        <w:t>易方达科讯混合型证券投资基金。</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（二）基金的类别</w:t>
      </w:r>
    </w:p>
    <w:p>
      <w:pPr>
        <w:pStyle w:val="BodyText"/>
        <w:spacing w:before="5"/>
        <w:ind w:left="0"/>
        <w:rPr>
          <w:rFonts w:ascii="Microsoft JhengHei"/>
          <w:b/>
          <w:sz w:val="14"/>
        </w:rPr>
      </w:pPr>
    </w:p>
    <w:p>
      <w:pPr>
        <w:pStyle w:val="BodyText"/>
        <w:spacing w:before="0"/>
        <w:ind w:left="600"/>
      </w:pPr>
      <w:r>
        <w:rPr/>
        <w:t>混合基金。</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（三）基金的运作方式</w:t>
      </w:r>
    </w:p>
    <w:p>
      <w:pPr>
        <w:pStyle w:val="BodyText"/>
        <w:spacing w:before="5"/>
        <w:ind w:left="0"/>
        <w:rPr>
          <w:rFonts w:ascii="Microsoft JhengHei"/>
          <w:b/>
          <w:sz w:val="14"/>
        </w:rPr>
      </w:pPr>
    </w:p>
    <w:p>
      <w:pPr>
        <w:pStyle w:val="BodyText"/>
        <w:spacing w:before="0"/>
        <w:ind w:left="600"/>
      </w:pPr>
      <w:r>
        <w:rPr/>
        <w:t>契约型、开放式。</w:t>
      </w:r>
    </w:p>
    <w:p>
      <w:pPr>
        <w:pStyle w:val="BodyText"/>
        <w:spacing w:before="6"/>
        <w:ind w:left="0"/>
        <w:rPr>
          <w:sz w:val="18"/>
        </w:rPr>
      </w:pPr>
    </w:p>
    <w:p>
      <w:pPr>
        <w:spacing w:before="1"/>
        <w:ind w:left="120" w:right="0" w:firstLine="0"/>
        <w:jc w:val="left"/>
        <w:rPr>
          <w:rFonts w:ascii="Microsoft JhengHei" w:eastAsia="Microsoft JhengHei" w:hint="eastAsia"/>
          <w:b/>
          <w:sz w:val="24"/>
        </w:rPr>
      </w:pPr>
      <w:r>
        <w:rPr>
          <w:rFonts w:ascii="Microsoft JhengHei" w:eastAsia="Microsoft JhengHei" w:hint="eastAsia"/>
          <w:b/>
          <w:sz w:val="24"/>
        </w:rPr>
        <w:t>（四）基金投资目标</w:t>
      </w:r>
    </w:p>
    <w:p>
      <w:pPr>
        <w:pStyle w:val="BodyText"/>
        <w:spacing w:before="4"/>
        <w:ind w:left="0"/>
        <w:rPr>
          <w:rFonts w:ascii="Microsoft JhengHei"/>
          <w:b/>
          <w:sz w:val="14"/>
        </w:rPr>
      </w:pPr>
    </w:p>
    <w:p>
      <w:pPr>
        <w:pStyle w:val="BodyText"/>
        <w:spacing w:before="0"/>
        <w:ind w:left="540"/>
      </w:pPr>
      <w:r>
        <w:rPr/>
        <w:t>根据市场环境变化，综合运用多种投资策略，追求基金资产的长期稳健增值。</w:t>
      </w:r>
    </w:p>
    <w:p>
      <w:pPr>
        <w:pStyle w:val="BodyText"/>
        <w:spacing w:before="7"/>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（五）基金份额初始面值</w:t>
      </w:r>
    </w:p>
    <w:p>
      <w:pPr>
        <w:pStyle w:val="BodyText"/>
        <w:spacing w:before="4"/>
        <w:ind w:left="0"/>
        <w:rPr>
          <w:rFonts w:ascii="Microsoft JhengHei"/>
          <w:b/>
          <w:sz w:val="14"/>
        </w:rPr>
      </w:pPr>
    </w:p>
    <w:p>
      <w:pPr>
        <w:pStyle w:val="BodyText"/>
        <w:spacing w:line="364" w:lineRule="auto" w:before="0"/>
        <w:ind w:right="458" w:firstLine="480"/>
      </w:pPr>
      <w:r>
        <w:rPr>
          <w:spacing w:val="-5"/>
        </w:rPr>
        <w:t>本基金份额初始面值为人民币 </w:t>
      </w:r>
      <w:r>
        <w:rPr/>
        <w:t>1.00</w:t>
      </w:r>
      <w:r>
        <w:rPr>
          <w:spacing w:val="-8"/>
        </w:rPr>
        <w:t> 元，如基金实施分拆，基金面值会相应改变。</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（六）基金存续期限</w:t>
      </w:r>
    </w:p>
    <w:p>
      <w:pPr>
        <w:pStyle w:val="BodyText"/>
        <w:spacing w:before="4"/>
        <w:ind w:left="0"/>
        <w:rPr>
          <w:rFonts w:ascii="Microsoft JhengHei"/>
          <w:b/>
          <w:sz w:val="14"/>
        </w:rPr>
      </w:pPr>
    </w:p>
    <w:p>
      <w:pPr>
        <w:pStyle w:val="BodyText"/>
        <w:ind w:left="600"/>
      </w:pPr>
      <w:r>
        <w:rPr/>
        <w:t>不定期。</w:t>
      </w:r>
    </w:p>
    <w:p>
      <w:pPr>
        <w:spacing w:after="0"/>
        <w:sectPr>
          <w:pgSz w:w="11910" w:h="16840"/>
          <w:pgMar w:header="0" w:footer="990" w:top="1580" w:bottom="1180" w:left="1680" w:right="1340"/>
        </w:sectPr>
      </w:pPr>
    </w:p>
    <w:p>
      <w:pPr>
        <w:pStyle w:val="Heading1"/>
        <w:tabs>
          <w:tab w:pos="1123" w:val="left" w:leader="none"/>
        </w:tabs>
        <w:spacing w:before="1"/>
        <w:ind w:left="403"/>
      </w:pPr>
      <w:bookmarkStart w:name="_bookmark3" w:id="4"/>
      <w:bookmarkEnd w:id="4"/>
      <w:r>
        <w:rPr>
          <w:b w:val="0"/>
        </w:rPr>
      </w:r>
      <w:r>
        <w:rPr>
          <w:position w:val="-2"/>
        </w:rPr>
        <w:t>四、</w:t>
        <w:tab/>
      </w:r>
      <w:r>
        <w:rPr/>
        <w:t>基金的历史沿革</w:t>
      </w:r>
    </w:p>
    <w:p>
      <w:pPr>
        <w:pStyle w:val="BodyText"/>
        <w:spacing w:before="231"/>
        <w:ind w:left="600"/>
      </w:pPr>
      <w:r>
        <w:rPr/>
        <w:t>本基金由科讯证券投资基金（以下简称“科讯基金”）转型而来。</w:t>
      </w:r>
    </w:p>
    <w:p>
      <w:pPr>
        <w:pStyle w:val="BodyText"/>
        <w:spacing w:line="364" w:lineRule="auto" w:before="161"/>
        <w:ind w:right="458" w:firstLine="480"/>
        <w:jc w:val="both"/>
      </w:pPr>
      <w:r>
        <w:rPr>
          <w:spacing w:val="-7"/>
        </w:rPr>
        <w:t>科讯证券投资基金是按照《证券投资基金管理暂行办法》、原有投资基金清</w:t>
      </w:r>
      <w:r>
        <w:rPr>
          <w:spacing w:val="-8"/>
        </w:rPr>
        <w:t>理规范的有关要求和《关于广东省原有投资基金清理规范补充方案的批复》</w:t>
      </w:r>
      <w:r>
        <w:rPr/>
        <w:t>（</w:t>
      </w:r>
      <w:r>
        <w:rPr>
          <w:spacing w:val="-16"/>
        </w:rPr>
        <w:t>证</w:t>
      </w:r>
      <w:r>
        <w:rPr/>
        <w:t>监基金字[2000]19</w:t>
      </w:r>
      <w:r>
        <w:rPr>
          <w:spacing w:val="-30"/>
        </w:rPr>
        <w:t> 号</w:t>
      </w:r>
      <w:r>
        <w:rPr>
          <w:spacing w:val="-18"/>
        </w:rPr>
        <w:t>）</w:t>
      </w:r>
      <w:r>
        <w:rPr>
          <w:spacing w:val="-9"/>
        </w:rPr>
        <w:t>，并经广发基金一期、广信基金 </w:t>
      </w:r>
      <w:r>
        <w:rPr/>
        <w:t>2000</w:t>
      </w:r>
      <w:r>
        <w:rPr>
          <w:spacing w:val="-9"/>
        </w:rPr>
        <w:t> 年临时持有人大会</w:t>
      </w:r>
      <w:r>
        <w:rPr>
          <w:spacing w:val="-7"/>
        </w:rPr>
        <w:t>通过，由原广发投资基金一期</w:t>
      </w:r>
      <w:r>
        <w:rPr/>
        <w:t>（</w:t>
      </w:r>
      <w:r>
        <w:rPr>
          <w:spacing w:val="-6"/>
        </w:rPr>
        <w:t>简称“广发基金一期”</w:t>
      </w:r>
      <w:r>
        <w:rPr>
          <w:spacing w:val="-12"/>
        </w:rPr>
        <w:t>）</w:t>
      </w:r>
      <w:r>
        <w:rPr>
          <w:spacing w:val="-2"/>
        </w:rPr>
        <w:t>和广信基金清理规范合</w:t>
      </w:r>
      <w:r>
        <w:rPr>
          <w:spacing w:val="-5"/>
        </w:rPr>
        <w:t>并而成的契约型封闭式投资基金，基金存续期为 </w:t>
      </w:r>
      <w:r>
        <w:rPr/>
        <w:t>10</w:t>
      </w:r>
      <w:r>
        <w:rPr>
          <w:spacing w:val="-39"/>
        </w:rPr>
        <w:t> 年</w:t>
      </w:r>
      <w:r>
        <w:rPr/>
        <w:t>（</w:t>
      </w:r>
      <w:r>
        <w:rPr>
          <w:spacing w:val="-30"/>
        </w:rPr>
        <w:t>自 </w:t>
      </w:r>
      <w:r>
        <w:rPr/>
        <w:t>1993</w:t>
      </w:r>
      <w:r>
        <w:rPr>
          <w:spacing w:val="-40"/>
        </w:rPr>
        <w:t> 年 </w:t>
      </w:r>
      <w:r>
        <w:rPr/>
        <w:t>1</w:t>
      </w:r>
      <w:r>
        <w:rPr>
          <w:spacing w:val="-40"/>
        </w:rPr>
        <w:t> 月 </w:t>
      </w:r>
      <w:r>
        <w:rPr/>
        <w:t>12</w:t>
      </w:r>
      <w:r>
        <w:rPr>
          <w:spacing w:val="-20"/>
        </w:rPr>
        <w:t> 日至2003</w:t>
      </w:r>
      <w:r>
        <w:rPr>
          <w:spacing w:val="-40"/>
        </w:rPr>
        <w:t> 年 </w:t>
      </w:r>
      <w:r>
        <w:rPr/>
        <w:t>1</w:t>
      </w:r>
      <w:r>
        <w:rPr>
          <w:spacing w:val="-40"/>
        </w:rPr>
        <w:t> 月 </w:t>
      </w:r>
      <w:r>
        <w:rPr/>
        <w:t>11</w:t>
      </w:r>
      <w:r>
        <w:rPr>
          <w:spacing w:val="-30"/>
        </w:rPr>
        <w:t> 日</w:t>
      </w:r>
      <w:r>
        <w:rPr/>
        <w:t>）</w:t>
      </w:r>
      <w:r>
        <w:rPr>
          <w:spacing w:val="-11"/>
        </w:rPr>
        <w:t>。当时基金总份额为 </w:t>
      </w:r>
      <w:r>
        <w:rPr/>
        <w:t>207,250,331</w:t>
      </w:r>
      <w:r>
        <w:rPr>
          <w:spacing w:val="-10"/>
        </w:rPr>
        <w:t> 份基金单位。基金发起人</w:t>
      </w:r>
      <w:r>
        <w:rPr>
          <w:spacing w:val="-6"/>
        </w:rPr>
        <w:t>为广发证券有限责任公司和易方达基金管理有限公司；基金管理人为易方达基金</w:t>
      </w:r>
      <w:r>
        <w:rPr/>
        <w:t>管理有限公司；基金托管人为交通银行。</w:t>
      </w:r>
    </w:p>
    <w:p>
      <w:pPr>
        <w:pStyle w:val="BodyText"/>
        <w:spacing w:line="364" w:lineRule="auto" w:before="5"/>
        <w:ind w:right="458" w:firstLine="480"/>
        <w:jc w:val="both"/>
      </w:pPr>
      <w:r>
        <w:rPr/>
        <w:t>2001</w:t>
      </w:r>
      <w:r>
        <w:rPr>
          <w:spacing w:val="-29"/>
        </w:rPr>
        <w:t> 年 </w:t>
      </w:r>
      <w:r>
        <w:rPr/>
        <w:t>6</w:t>
      </w:r>
      <w:r>
        <w:rPr>
          <w:spacing w:val="-7"/>
        </w:rPr>
        <w:t> 月，根据中国证监会《关于同意科汇、科讯、科翔证券投资基金上市、扩募和续期的批复》（证监基金字[2001]11</w:t>
      </w:r>
      <w:r>
        <w:rPr>
          <w:spacing w:val="-10"/>
        </w:rPr>
        <w:t> 号</w:t>
      </w:r>
      <w:r>
        <w:rPr/>
        <w:t>）的批复，经上海证券交</w:t>
      </w:r>
      <w:r>
        <w:rPr>
          <w:spacing w:val="1"/>
        </w:rPr>
        <w:t>易所</w:t>
      </w:r>
      <w:r>
        <w:rPr>
          <w:spacing w:val="3"/>
        </w:rPr>
        <w:t>（上证上字 </w:t>
      </w:r>
      <w:r>
        <w:rPr/>
        <w:t>[2001]</w:t>
      </w:r>
      <w:r>
        <w:rPr>
          <w:spacing w:val="2"/>
        </w:rPr>
        <w:t>  </w:t>
      </w:r>
      <w:r>
        <w:rPr/>
        <w:t>88</w:t>
      </w:r>
      <w:r>
        <w:rPr>
          <w:spacing w:val="-18"/>
        </w:rPr>
        <w:t> 号文</w:t>
      </w:r>
      <w:r>
        <w:rPr>
          <w:spacing w:val="3"/>
        </w:rPr>
        <w:t>）</w:t>
      </w:r>
      <w:r>
        <w:rPr/>
        <w:t>批准，科讯基金在上海证券交易所挂牌交易。</w:t>
      </w:r>
    </w:p>
    <w:p>
      <w:pPr>
        <w:pStyle w:val="BodyText"/>
        <w:spacing w:before="2"/>
        <w:ind w:left="0" w:right="458"/>
        <w:jc w:val="right"/>
      </w:pPr>
      <w:r>
        <w:rPr/>
        <w:t>2001 年 7 月，科讯基金由原来的 207,250,331 份基金单位扩募至 8 亿份基</w:t>
      </w:r>
    </w:p>
    <w:p>
      <w:pPr>
        <w:pStyle w:val="BodyText"/>
        <w:spacing w:before="161"/>
        <w:ind w:left="0" w:right="518"/>
        <w:jc w:val="right"/>
      </w:pPr>
      <w:r>
        <w:rPr>
          <w:spacing w:val="-5"/>
        </w:rPr>
        <w:t>金单位，基金存续期延长 </w:t>
      </w:r>
      <w:r>
        <w:rPr/>
        <w:t>5</w:t>
      </w:r>
      <w:r>
        <w:rPr>
          <w:spacing w:val="-30"/>
        </w:rPr>
        <w:t> 年</w:t>
      </w:r>
      <w:r>
        <w:rPr/>
        <w:t>（</w:t>
      </w:r>
      <w:r>
        <w:rPr>
          <w:spacing w:val="-30"/>
        </w:rPr>
        <w:t>至 </w:t>
      </w:r>
      <w:r>
        <w:rPr/>
        <w:t>2008</w:t>
      </w:r>
      <w:r>
        <w:rPr>
          <w:spacing w:val="-40"/>
        </w:rPr>
        <w:t> 年 </w:t>
      </w:r>
      <w:r>
        <w:rPr/>
        <w:t>1</w:t>
      </w:r>
      <w:r>
        <w:rPr>
          <w:spacing w:val="-40"/>
        </w:rPr>
        <w:t> 月 </w:t>
      </w:r>
      <w:r>
        <w:rPr/>
        <w:t>11</w:t>
      </w:r>
      <w:r>
        <w:rPr>
          <w:spacing w:val="-30"/>
        </w:rPr>
        <w:t> 日</w:t>
      </w:r>
      <w:r>
        <w:rPr/>
        <w:t>），</w:t>
      </w:r>
      <w:r>
        <w:rPr>
          <w:spacing w:val="-8"/>
        </w:rPr>
        <w:t>扩募配售份额于 </w:t>
      </w:r>
      <w:r>
        <w:rPr/>
        <w:t>2001</w:t>
      </w:r>
    </w:p>
    <w:p>
      <w:pPr>
        <w:pStyle w:val="BodyText"/>
        <w:spacing w:before="160"/>
      </w:pPr>
      <w:r>
        <w:rPr/>
        <w:t>年 8 月在上海证券交易所上市交易。</w:t>
      </w:r>
    </w:p>
    <w:p>
      <w:pPr>
        <w:pStyle w:val="BodyText"/>
        <w:spacing w:line="364" w:lineRule="auto" w:before="161"/>
        <w:ind w:right="218" w:firstLine="480"/>
      </w:pPr>
      <w:r>
        <w:rPr/>
        <w:t>2007</w:t>
      </w:r>
      <w:r>
        <w:rPr>
          <w:spacing w:val="-40"/>
        </w:rPr>
        <w:t> 年 </w:t>
      </w:r>
      <w:r>
        <w:rPr/>
        <w:t>11</w:t>
      </w:r>
      <w:r>
        <w:rPr>
          <w:spacing w:val="-40"/>
        </w:rPr>
        <w:t> 月 </w:t>
      </w:r>
      <w:r>
        <w:rPr/>
        <w:t>9</w:t>
      </w:r>
      <w:r>
        <w:rPr>
          <w:spacing w:val="-10"/>
        </w:rPr>
        <w:t> 日，科讯基金基金份额持有人大会以现场方式召开，大会通过</w:t>
      </w:r>
      <w:r>
        <w:rPr>
          <w:spacing w:val="-14"/>
        </w:rPr>
        <w:t>了科讯基金转型议案，内容包括科讯基金由封闭式基金转为开放式基金、调整 存</w:t>
      </w:r>
      <w:r>
        <w:rPr>
          <w:spacing w:val="-13"/>
        </w:rPr>
        <w:t>续期限、终止上市、调整投资目标、投资范围、投资策略、收益分配政策以及 修</w:t>
      </w:r>
      <w:r>
        <w:rPr>
          <w:spacing w:val="-17"/>
        </w:rPr>
        <w:t>订基金合同等。依据中国证监会 </w:t>
      </w:r>
      <w:r>
        <w:rPr/>
        <w:t>2007</w:t>
      </w:r>
      <w:r>
        <w:rPr>
          <w:spacing w:val="-20"/>
        </w:rPr>
        <w:t> 年 </w:t>
      </w:r>
      <w:r>
        <w:rPr/>
        <w:t>12</w:t>
      </w:r>
      <w:r>
        <w:rPr>
          <w:spacing w:val="-40"/>
        </w:rPr>
        <w:t> 月 </w:t>
      </w:r>
      <w:r>
        <w:rPr/>
        <w:t>6</w:t>
      </w:r>
      <w:r>
        <w:rPr>
          <w:spacing w:val="-9"/>
        </w:rPr>
        <w:t> 日证监基金字</w:t>
      </w:r>
      <w:r>
        <w:rPr/>
        <w:t>[2007]330</w:t>
      </w:r>
      <w:r>
        <w:rPr>
          <w:spacing w:val="-15"/>
        </w:rPr>
        <w:t> 号文核</w:t>
      </w:r>
      <w:r>
        <w:rPr>
          <w:spacing w:val="-10"/>
        </w:rPr>
        <w:t>准，基金份额持有人大会决议生效。依据基金份额持有人大会决议，基金管理 人</w:t>
      </w:r>
      <w:r>
        <w:rPr>
          <w:spacing w:val="-14"/>
        </w:rPr>
        <w:t>向上海证券交易所申请基金终止上市，自基金终止上市之日起，原《科讯证券 投资基金基金合同》失效，《易方达科讯股票型证券投资基金基金合同》生效， </w:t>
      </w:r>
      <w:r>
        <w:rPr>
          <w:spacing w:val="-16"/>
        </w:rPr>
        <w:t>基金正式转型为开放式基金，存续期限调整为无限期，基金投资目标、范围和策 略等内容进行相应调整，同时基金更名为“易方达科讯股票型证券投资基金”。</w:t>
      </w:r>
    </w:p>
    <w:p>
      <w:pPr>
        <w:pStyle w:val="BodyText"/>
        <w:spacing w:line="364" w:lineRule="auto" w:before="5"/>
        <w:ind w:right="458" w:firstLine="480"/>
      </w:pPr>
      <w:r>
        <w:rPr/>
        <w:t>2015</w:t>
      </w:r>
      <w:r>
        <w:rPr>
          <w:spacing w:val="-40"/>
        </w:rPr>
        <w:t> 年 </w:t>
      </w:r>
      <w:r>
        <w:rPr/>
        <w:t>7</w:t>
      </w:r>
      <w:r>
        <w:rPr>
          <w:spacing w:val="-40"/>
        </w:rPr>
        <w:t> 月 </w:t>
      </w:r>
      <w:r>
        <w:rPr/>
        <w:t>25</w:t>
      </w:r>
      <w:r>
        <w:rPr>
          <w:spacing w:val="-21"/>
        </w:rPr>
        <w:t> 日，根据《运作办法》的规定，本基金变更基金类别并由“易</w:t>
      </w:r>
      <w:r>
        <w:rPr/>
        <w:t>方达科讯股票型证券投资基金”更名为“易方达科讯混合型证券投资基金”。</w:t>
      </w:r>
    </w:p>
    <w:p>
      <w:pPr>
        <w:spacing w:after="0" w:line="364" w:lineRule="auto"/>
        <w:sectPr>
          <w:pgSz w:w="11910" w:h="16840"/>
          <w:pgMar w:header="0" w:footer="990" w:top="1580" w:bottom="1180" w:left="1680" w:right="1340"/>
        </w:sectPr>
      </w:pPr>
    </w:p>
    <w:p>
      <w:pPr>
        <w:pStyle w:val="Heading1"/>
        <w:tabs>
          <w:tab w:pos="1123" w:val="left" w:leader="none"/>
        </w:tabs>
        <w:spacing w:before="1"/>
        <w:ind w:left="403"/>
      </w:pPr>
      <w:bookmarkStart w:name="_bookmark4" w:id="5"/>
      <w:bookmarkEnd w:id="5"/>
      <w:r>
        <w:rPr>
          <w:b w:val="0"/>
        </w:rPr>
      </w:r>
      <w:r>
        <w:rPr>
          <w:position w:val="-2"/>
        </w:rPr>
        <w:t>五、</w:t>
        <w:tab/>
      </w:r>
      <w:r>
        <w:rPr/>
        <w:t>基金的存续</w:t>
      </w:r>
    </w:p>
    <w:p>
      <w:pPr>
        <w:pStyle w:val="BodyText"/>
        <w:spacing w:before="231"/>
        <w:ind w:left="600"/>
      </w:pPr>
      <w:r>
        <w:rPr/>
        <w:t>（一）基金份额的变更登记</w:t>
      </w:r>
    </w:p>
    <w:p>
      <w:pPr>
        <w:pStyle w:val="BodyText"/>
        <w:spacing w:line="364" w:lineRule="auto" w:before="161"/>
        <w:ind w:right="458" w:firstLine="480"/>
        <w:jc w:val="both"/>
      </w:pPr>
      <w:r>
        <w:rPr>
          <w:spacing w:val="-5"/>
        </w:rPr>
        <w:t>自科讯基金终止上市之日起 </w:t>
      </w:r>
      <w:r>
        <w:rPr/>
        <w:t>2</w:t>
      </w:r>
      <w:r>
        <w:rPr>
          <w:spacing w:val="-15"/>
        </w:rPr>
        <w:t> 日内，基金管理人将向中国证券登记结算有限</w:t>
      </w:r>
      <w:r>
        <w:rPr>
          <w:spacing w:val="-7"/>
        </w:rPr>
        <w:t>责任公司申请办理基金份额的变更登记。基金管理人向中国证券登记结算有限责</w:t>
      </w:r>
      <w:r>
        <w:rPr>
          <w:spacing w:val="-4"/>
        </w:rPr>
        <w:t>任公司上海分公司取得终止上市权益登记日的基金份额持有人名册之后，将投资</w:t>
      </w:r>
      <w:r>
        <w:rPr>
          <w:spacing w:val="-5"/>
        </w:rPr>
        <w:t>者权益数据转登记到易方达基金管理有限公司的注册登记系统，进行投资者持有</w:t>
      </w:r>
      <w:r>
        <w:rPr/>
        <w:t>基金份额的初始登记，并进行基金份额更名以及必要的信息变更。</w:t>
      </w:r>
    </w:p>
    <w:p>
      <w:pPr>
        <w:pStyle w:val="BodyText"/>
        <w:spacing w:before="3"/>
        <w:ind w:left="600"/>
      </w:pPr>
      <w:r>
        <w:rPr/>
        <w:t>（二）基金存续期内的基金份额持有人数量和资产规模</w:t>
      </w:r>
    </w:p>
    <w:p>
      <w:pPr>
        <w:pStyle w:val="BodyText"/>
        <w:spacing w:line="364" w:lineRule="auto" w:before="160"/>
        <w:ind w:right="458" w:firstLine="480"/>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00"/>
      </w:pPr>
      <w:r>
        <w:rPr/>
        <w:t>法律法规另有规定时，从其规定。</w:t>
      </w:r>
    </w:p>
    <w:p>
      <w:pPr>
        <w:spacing w:after="0"/>
        <w:sectPr>
          <w:pgSz w:w="11910" w:h="16840"/>
          <w:pgMar w:header="0" w:footer="990" w:top="1580" w:bottom="1180" w:left="1680" w:right="1340"/>
        </w:sectPr>
      </w:pPr>
    </w:p>
    <w:p>
      <w:pPr>
        <w:pStyle w:val="Heading1"/>
        <w:tabs>
          <w:tab w:pos="1123" w:val="left" w:leader="none"/>
        </w:tabs>
        <w:spacing w:before="1"/>
        <w:ind w:left="403"/>
      </w:pPr>
      <w:bookmarkStart w:name="_bookmark5" w:id="6"/>
      <w:bookmarkEnd w:id="6"/>
      <w:r>
        <w:rPr>
          <w:b w:val="0"/>
        </w:rPr>
      </w:r>
      <w:r>
        <w:rPr>
          <w:position w:val="-2"/>
        </w:rPr>
        <w:t>六、</w:t>
        <w:tab/>
      </w:r>
      <w:r>
        <w:rPr/>
        <w:t>基金份额的申购、赎回与转换</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（一）申购与赎回办理的场所</w:t>
      </w:r>
    </w:p>
    <w:p>
      <w:pPr>
        <w:pStyle w:val="BodyText"/>
        <w:spacing w:before="5"/>
        <w:ind w:left="0"/>
        <w:rPr>
          <w:rFonts w:ascii="Microsoft JhengHei"/>
          <w:b/>
          <w:sz w:val="14"/>
        </w:rPr>
      </w:pPr>
    </w:p>
    <w:p>
      <w:pPr>
        <w:pStyle w:val="BodyText"/>
        <w:spacing w:before="0"/>
        <w:ind w:left="600"/>
      </w:pPr>
      <w:r>
        <w:rPr/>
        <w:t>本基金的销售机构包括基金管理人和基金管理人委托的代销机构。</w:t>
      </w:r>
    </w:p>
    <w:p>
      <w:pPr>
        <w:pStyle w:val="BodyText"/>
        <w:spacing w:line="364" w:lineRule="auto" w:before="160"/>
        <w:ind w:right="458" w:firstLine="480"/>
        <w:jc w:val="both"/>
      </w:pPr>
      <w:r>
        <w:rPr>
          <w:spacing w:val="3"/>
        </w:rPr>
        <w:t>投资人可以在销售机构办理基金销售业务的营业场所或按销售机构提供的</w:t>
      </w:r>
      <w:r>
        <w:rPr>
          <w:spacing w:val="-4"/>
        </w:rPr>
        <w:t>其他方式办理基金的申购与赎回。基金管理人可根据情况增减基金代销机构，并</w:t>
      </w:r>
      <w:r>
        <w:rPr/>
        <w:t>在基金管理人网站公示。</w:t>
      </w:r>
    </w:p>
    <w:p>
      <w:pPr>
        <w:pStyle w:val="BodyText"/>
        <w:spacing w:line="364" w:lineRule="auto" w:before="2"/>
        <w:ind w:right="458" w:firstLine="480"/>
      </w:pPr>
      <w:r>
        <w:rPr>
          <w:spacing w:val="-6"/>
        </w:rPr>
        <w:t>若基金管理人或其指定的代销机构开通电话、传真或网上交易等形式，投资</w:t>
      </w:r>
      <w:r>
        <w:rPr/>
        <w:t>人可以通过上述方式进行基金的申购和赎回，具体办法详见销售机构公告。</w:t>
      </w:r>
    </w:p>
    <w:p>
      <w:pPr>
        <w:spacing w:line="363" w:lineRule="exact" w:before="0"/>
        <w:ind w:left="600" w:right="0" w:firstLine="0"/>
        <w:jc w:val="left"/>
        <w:rPr>
          <w:rFonts w:ascii="Microsoft JhengHei" w:eastAsia="Microsoft JhengHei" w:hint="eastAsia"/>
          <w:b/>
          <w:sz w:val="24"/>
        </w:rPr>
      </w:pPr>
      <w:r>
        <w:rPr>
          <w:rFonts w:ascii="Microsoft JhengHei" w:eastAsia="Microsoft JhengHei" w:hint="eastAsia"/>
          <w:b/>
          <w:sz w:val="24"/>
        </w:rPr>
        <w:t>（二）申购与赎回办理的开放日及时间</w:t>
      </w:r>
    </w:p>
    <w:p>
      <w:pPr>
        <w:pStyle w:val="ListParagraph"/>
        <w:numPr>
          <w:ilvl w:val="1"/>
          <w:numId w:val="1"/>
        </w:numPr>
        <w:tabs>
          <w:tab w:pos="1201" w:val="left" w:leader="none"/>
        </w:tabs>
        <w:spacing w:line="240" w:lineRule="auto" w:before="106" w:after="0"/>
        <w:ind w:left="1201" w:right="0" w:hanging="601"/>
        <w:jc w:val="left"/>
        <w:rPr>
          <w:sz w:val="24"/>
        </w:rPr>
      </w:pPr>
      <w:r>
        <w:rPr>
          <w:sz w:val="24"/>
        </w:rPr>
        <w:t>开放日及业务办理时间</w:t>
      </w:r>
    </w:p>
    <w:p>
      <w:pPr>
        <w:pStyle w:val="BodyText"/>
        <w:spacing w:line="364" w:lineRule="auto" w:before="160"/>
        <w:ind w:right="458" w:firstLine="480"/>
        <w:jc w:val="both"/>
      </w:pPr>
      <w:r>
        <w:rPr>
          <w:spacing w:val="-6"/>
        </w:rPr>
        <w:t>本基金的开放日是指为投资人办理基金申购、赎回等业务的上海、深圳证券</w:t>
      </w:r>
      <w:r>
        <w:rPr>
          <w:spacing w:val="-11"/>
        </w:rPr>
        <w:t>交易所交易日。但基金管理人根据法律法规、中国证监会的要求或本基金合同的</w:t>
      </w:r>
      <w:r>
        <w:rPr>
          <w:spacing w:val="-10"/>
        </w:rPr>
        <w:t>规定公告暂停申购、赎回时除外。开放日的具体业务办理时间在招募说明书中载</w:t>
      </w:r>
      <w:r>
        <w:rPr/>
        <w:t>明或另行公告。</w:t>
      </w:r>
    </w:p>
    <w:p>
      <w:pPr>
        <w:pStyle w:val="BodyText"/>
        <w:spacing w:line="364" w:lineRule="auto" w:before="3"/>
        <w:ind w:right="458" w:firstLine="480"/>
      </w:pPr>
      <w:r>
        <w:rPr>
          <w:spacing w:val="-6"/>
        </w:rPr>
        <w:t>若出现新的证券交易市场或其他特殊情况，基金管理人将视情况对前述开放</w:t>
      </w:r>
      <w:r>
        <w:rPr/>
        <w:t>日及具体业务办理时间进行相应的调整并提前公告。</w:t>
      </w:r>
    </w:p>
    <w:p>
      <w:pPr>
        <w:pStyle w:val="ListParagraph"/>
        <w:numPr>
          <w:ilvl w:val="1"/>
          <w:numId w:val="1"/>
        </w:numPr>
        <w:tabs>
          <w:tab w:pos="1201" w:val="left" w:leader="none"/>
        </w:tabs>
        <w:spacing w:line="240" w:lineRule="auto" w:before="1" w:after="0"/>
        <w:ind w:left="1201" w:right="0" w:hanging="601"/>
        <w:jc w:val="left"/>
        <w:rPr>
          <w:sz w:val="24"/>
        </w:rPr>
      </w:pPr>
      <w:r>
        <w:rPr>
          <w:sz w:val="24"/>
        </w:rPr>
        <w:t>申购与赎回的开始时间</w:t>
      </w:r>
    </w:p>
    <w:p>
      <w:pPr>
        <w:pStyle w:val="BodyText"/>
        <w:spacing w:line="364" w:lineRule="auto" w:before="161"/>
        <w:ind w:right="338" w:firstLine="480"/>
      </w:pPr>
      <w:r>
        <w:rPr>
          <w:spacing w:val="-4"/>
        </w:rPr>
        <w:t>本基金合同生效并办理基金份额变更登记后进入集中申购期。在集中申购期</w:t>
      </w:r>
      <w:r>
        <w:rPr>
          <w:spacing w:val="-17"/>
        </w:rPr>
        <w:t>内只开放申购，不开放赎回。集中申购期结束后，本基金可暂停办理申购和赎回， </w:t>
      </w:r>
      <w:r>
        <w:rPr>
          <w:spacing w:val="-8"/>
        </w:rPr>
        <w:t>暂停期间不超过 </w:t>
      </w:r>
      <w:r>
        <w:rPr/>
        <w:t>1</w:t>
      </w:r>
      <w:r>
        <w:rPr>
          <w:spacing w:val="-13"/>
        </w:rPr>
        <w:t> 个月。暂停结束后，本基金将开放申购、赎回。基金管理人应</w:t>
      </w:r>
      <w:r>
        <w:rPr>
          <w:spacing w:val="-16"/>
        </w:rPr>
        <w:t>在开始办理申购、赎回的具体日期前 </w:t>
      </w:r>
      <w:r>
        <w:rPr/>
        <w:t>3</w:t>
      </w:r>
      <w:r>
        <w:rPr>
          <w:spacing w:val="-8"/>
        </w:rPr>
        <w:t> 日在指定媒介公告。</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（三）申购与赎回的原则</w:t>
      </w:r>
    </w:p>
    <w:p>
      <w:pPr>
        <w:pStyle w:val="BodyText"/>
        <w:spacing w:before="4"/>
        <w:ind w:left="0"/>
        <w:rPr>
          <w:rFonts w:ascii="Microsoft JhengHei"/>
          <w:b/>
          <w:sz w:val="14"/>
        </w:rPr>
      </w:pPr>
    </w:p>
    <w:p>
      <w:pPr>
        <w:pStyle w:val="ListParagraph"/>
        <w:numPr>
          <w:ilvl w:val="0"/>
          <w:numId w:val="2"/>
        </w:numPr>
        <w:tabs>
          <w:tab w:pos="1203" w:val="left" w:leader="none"/>
        </w:tabs>
        <w:spacing w:line="364" w:lineRule="auto" w:before="0" w:after="0"/>
        <w:ind w:left="120" w:right="458" w:firstLine="480"/>
        <w:jc w:val="left"/>
        <w:rPr>
          <w:sz w:val="24"/>
        </w:rPr>
      </w:pPr>
      <w:r>
        <w:rPr>
          <w:sz w:val="24"/>
        </w:rPr>
        <w:t>“未知价”原则，即基金的申购与赎回价格以受理申请当日收市后计算的基金份额净值为基准进行计算；</w:t>
      </w:r>
    </w:p>
    <w:p>
      <w:pPr>
        <w:pStyle w:val="ListParagraph"/>
        <w:numPr>
          <w:ilvl w:val="0"/>
          <w:numId w:val="2"/>
        </w:numPr>
        <w:tabs>
          <w:tab w:pos="1203" w:val="left" w:leader="none"/>
        </w:tabs>
        <w:spacing w:line="364" w:lineRule="auto" w:before="1" w:after="0"/>
        <w:ind w:left="120" w:right="458" w:firstLine="480"/>
        <w:jc w:val="left"/>
        <w:rPr>
          <w:sz w:val="24"/>
        </w:rPr>
      </w:pPr>
      <w:r>
        <w:rPr>
          <w:sz w:val="24"/>
        </w:rPr>
        <w:t>“金额申购、份额赎回”的原则，即申购以金额申请，赎回以份额申请；</w:t>
      </w:r>
    </w:p>
    <w:p>
      <w:pPr>
        <w:pStyle w:val="ListParagraph"/>
        <w:numPr>
          <w:ilvl w:val="0"/>
          <w:numId w:val="2"/>
        </w:numPr>
        <w:tabs>
          <w:tab w:pos="1203" w:val="left" w:leader="none"/>
        </w:tabs>
        <w:spacing w:line="364" w:lineRule="auto" w:before="2" w:after="0"/>
        <w:ind w:left="120" w:right="458" w:firstLine="480"/>
        <w:jc w:val="left"/>
        <w:rPr>
          <w:sz w:val="24"/>
        </w:rPr>
      </w:pPr>
      <w:r>
        <w:rPr>
          <w:sz w:val="24"/>
        </w:rPr>
        <w:t>当日的申购与赎回申请可以在交易时间结束前撤销，在交易时间结束后不得撤销；</w:t>
      </w:r>
    </w:p>
    <w:p>
      <w:pPr>
        <w:spacing w:after="0" w:line="364" w:lineRule="auto"/>
        <w:jc w:val="left"/>
        <w:rPr>
          <w:sz w:val="24"/>
        </w:rPr>
        <w:sectPr>
          <w:pgSz w:w="11910" w:h="16840"/>
          <w:pgMar w:header="0" w:footer="990" w:top="1580" w:bottom="1180" w:left="1680" w:right="1340"/>
        </w:sectPr>
      </w:pPr>
    </w:p>
    <w:p>
      <w:pPr>
        <w:pStyle w:val="ListParagraph"/>
        <w:numPr>
          <w:ilvl w:val="0"/>
          <w:numId w:val="2"/>
        </w:numPr>
        <w:tabs>
          <w:tab w:pos="1204" w:val="left" w:leader="none"/>
        </w:tabs>
        <w:spacing w:line="364" w:lineRule="auto" w:before="44" w:after="0"/>
        <w:ind w:left="120" w:right="458" w:firstLine="480"/>
        <w:jc w:val="left"/>
        <w:rPr>
          <w:sz w:val="24"/>
        </w:rPr>
      </w:pPr>
      <w:r>
        <w:rPr>
          <w:sz w:val="24"/>
        </w:rPr>
        <w:t>基金管理人根据基金运作的实际情况可依法更改上述原则，但最迟应</w:t>
      </w:r>
      <w:r>
        <w:rPr>
          <w:spacing w:val="-8"/>
          <w:sz w:val="24"/>
        </w:rPr>
        <w:t>在新的原则实施 </w:t>
      </w:r>
      <w:r>
        <w:rPr>
          <w:sz w:val="24"/>
        </w:rPr>
        <w:t>2</w:t>
      </w:r>
      <w:r>
        <w:rPr>
          <w:spacing w:val="-8"/>
          <w:sz w:val="24"/>
        </w:rPr>
        <w:t> 日前在指定媒介予以公告。</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（四）申购与赎回的程序</w:t>
      </w:r>
    </w:p>
    <w:p>
      <w:pPr>
        <w:pStyle w:val="BodyText"/>
        <w:spacing w:before="4"/>
        <w:ind w:left="0"/>
        <w:rPr>
          <w:rFonts w:ascii="Microsoft JhengHei"/>
          <w:b/>
          <w:sz w:val="14"/>
        </w:rPr>
      </w:pPr>
    </w:p>
    <w:p>
      <w:pPr>
        <w:pStyle w:val="ListParagraph"/>
        <w:numPr>
          <w:ilvl w:val="0"/>
          <w:numId w:val="3"/>
        </w:numPr>
        <w:tabs>
          <w:tab w:pos="1201" w:val="left" w:leader="none"/>
        </w:tabs>
        <w:spacing w:line="240" w:lineRule="auto" w:before="0" w:after="0"/>
        <w:ind w:left="1201" w:right="0" w:hanging="601"/>
        <w:jc w:val="left"/>
        <w:rPr>
          <w:sz w:val="24"/>
        </w:rPr>
      </w:pPr>
      <w:r>
        <w:rPr>
          <w:sz w:val="24"/>
        </w:rPr>
        <w:t>申购与赎回申请的提出</w:t>
      </w:r>
    </w:p>
    <w:p>
      <w:pPr>
        <w:pStyle w:val="BodyText"/>
        <w:spacing w:line="364" w:lineRule="auto" w:before="161"/>
        <w:ind w:right="458" w:firstLine="480"/>
      </w:pPr>
      <w:r>
        <w:rPr>
          <w:spacing w:val="-7"/>
        </w:rPr>
        <w:t>基金投资人须按销售机构规定的程序，在开放日的业务办理时间提出申购或</w:t>
      </w:r>
      <w:r>
        <w:rPr/>
        <w:t>赎回的申请。</w:t>
      </w:r>
    </w:p>
    <w:p>
      <w:pPr>
        <w:pStyle w:val="BodyText"/>
        <w:spacing w:line="364" w:lineRule="auto"/>
        <w:ind w:right="338" w:firstLine="480"/>
      </w:pPr>
      <w:r>
        <w:rPr>
          <w:spacing w:val="-4"/>
        </w:rPr>
        <w:t>投资人在提交申购申请时须按销售机构规定的方式备足申购资金，投资人在</w:t>
      </w:r>
      <w:r>
        <w:rPr>
          <w:spacing w:val="-15"/>
        </w:rPr>
        <w:t>提交赎回申请时须持有足够的基金份额余额，否则所提交的申购、赎回申请无效。</w:t>
      </w:r>
    </w:p>
    <w:p>
      <w:pPr>
        <w:pStyle w:val="ListParagraph"/>
        <w:numPr>
          <w:ilvl w:val="0"/>
          <w:numId w:val="3"/>
        </w:numPr>
        <w:tabs>
          <w:tab w:pos="1201" w:val="left" w:leader="none"/>
        </w:tabs>
        <w:spacing w:line="240" w:lineRule="auto" w:before="1" w:after="0"/>
        <w:ind w:left="1201" w:right="0" w:hanging="601"/>
        <w:jc w:val="left"/>
        <w:rPr>
          <w:sz w:val="24"/>
        </w:rPr>
      </w:pPr>
      <w:r>
        <w:rPr>
          <w:sz w:val="24"/>
        </w:rPr>
        <w:t>申购与赎回申请的确认</w:t>
      </w:r>
    </w:p>
    <w:p>
      <w:pPr>
        <w:pStyle w:val="BodyText"/>
        <w:spacing w:line="364" w:lineRule="auto" w:before="161"/>
        <w:ind w:right="458" w:firstLine="480"/>
        <w:jc w:val="both"/>
      </w:pPr>
      <w:r>
        <w:rPr>
          <w:spacing w:val="3"/>
        </w:rPr>
        <w:t>以销售机构交易时间结束前收到申购和赎回申请的当日作为申购或赎回申请日(T</w:t>
      </w:r>
      <w:r>
        <w:rPr>
          <w:spacing w:val="-10"/>
        </w:rPr>
        <w:t> 日)，除非招募说明书另有规定，正常情况下, 本基金注册登记人在 </w:t>
      </w:r>
      <w:r>
        <w:rPr/>
        <w:t>T+1 </w:t>
      </w:r>
      <w:r>
        <w:rPr>
          <w:spacing w:val="-2"/>
        </w:rPr>
        <w:t>日内对该交易的有效性进行确认。</w:t>
      </w:r>
      <w:r>
        <w:rPr/>
        <w:t>T</w:t>
      </w:r>
      <w:r>
        <w:rPr>
          <w:spacing w:val="-13"/>
        </w:rPr>
        <w:t> 日提交的有效申请，投资人可自 </w:t>
      </w:r>
      <w:r>
        <w:rPr/>
        <w:t>T+2</w:t>
      </w:r>
      <w:r>
        <w:rPr>
          <w:spacing w:val="-19"/>
        </w:rPr>
        <w:t> 日起到</w:t>
      </w:r>
      <w:r>
        <w:rPr/>
        <w:t>销售网点柜台或以销售机构规定的其他方式查询申请的确认情况。</w:t>
      </w:r>
    </w:p>
    <w:p>
      <w:pPr>
        <w:pStyle w:val="ListParagraph"/>
        <w:numPr>
          <w:ilvl w:val="0"/>
          <w:numId w:val="3"/>
        </w:numPr>
        <w:tabs>
          <w:tab w:pos="1201" w:val="left" w:leader="none"/>
        </w:tabs>
        <w:spacing w:line="240" w:lineRule="auto" w:before="2" w:after="0"/>
        <w:ind w:left="1201" w:right="0" w:hanging="601"/>
        <w:jc w:val="left"/>
        <w:rPr>
          <w:sz w:val="24"/>
        </w:rPr>
      </w:pPr>
      <w:r>
        <w:rPr>
          <w:sz w:val="24"/>
        </w:rPr>
        <w:t>申购与赎回申请的款项支付</w:t>
      </w:r>
    </w:p>
    <w:p>
      <w:pPr>
        <w:pStyle w:val="BodyText"/>
        <w:spacing w:line="364" w:lineRule="auto" w:before="161"/>
        <w:ind w:right="458" w:firstLine="480"/>
        <w:jc w:val="both"/>
      </w:pPr>
      <w:r>
        <w:rPr>
          <w:spacing w:val="-12"/>
        </w:rPr>
        <w:t>申购时，采用全额缴款方式，若申购资金在规定时间内未全额到账则申购无</w:t>
      </w:r>
      <w:r>
        <w:rPr>
          <w:spacing w:val="-11"/>
        </w:rPr>
        <w:t>效。若申购无效，基金管理人或基金管理人指定的代销机构将投资人已缴付的申</w:t>
      </w:r>
      <w:r>
        <w:rPr/>
        <w:t>购款项本金退还给投资人。</w:t>
      </w:r>
    </w:p>
    <w:p>
      <w:pPr>
        <w:pStyle w:val="BodyText"/>
        <w:spacing w:line="364" w:lineRule="auto"/>
        <w:ind w:right="458" w:firstLine="480"/>
        <w:jc w:val="both"/>
      </w:pPr>
      <w:r>
        <w:rPr>
          <w:spacing w:val="-11"/>
        </w:rPr>
        <w:t>赎回时，当投资人赎回申请成功后，基金管理人将指示基金托管人按有关规</w:t>
      </w:r>
      <w:r>
        <w:rPr>
          <w:spacing w:val="-20"/>
        </w:rPr>
        <w:t>定在 </w:t>
      </w:r>
      <w:r>
        <w:rPr/>
        <w:t>T＋7</w:t>
      </w:r>
      <w:r>
        <w:rPr>
          <w:spacing w:val="-8"/>
        </w:rPr>
        <w:t> 日(包括该日)内支付赎回款项。在发生巨额赎回时，款项的支付办法按照本基金合同有关条款处理。</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（五）申购与赎回的数额限制</w:t>
      </w:r>
    </w:p>
    <w:p>
      <w:pPr>
        <w:pStyle w:val="BodyText"/>
        <w:spacing w:before="4"/>
        <w:ind w:left="0"/>
        <w:rPr>
          <w:rFonts w:ascii="Microsoft JhengHei"/>
          <w:b/>
          <w:sz w:val="14"/>
        </w:rPr>
      </w:pPr>
    </w:p>
    <w:p>
      <w:pPr>
        <w:pStyle w:val="ListParagraph"/>
        <w:numPr>
          <w:ilvl w:val="0"/>
          <w:numId w:val="4"/>
        </w:numPr>
        <w:tabs>
          <w:tab w:pos="1203" w:val="left" w:leader="none"/>
        </w:tabs>
        <w:spacing w:line="364" w:lineRule="auto" w:before="0" w:after="0"/>
        <w:ind w:left="120" w:right="458" w:firstLine="480"/>
        <w:jc w:val="left"/>
        <w:rPr>
          <w:sz w:val="24"/>
        </w:rPr>
      </w:pPr>
      <w:r>
        <w:rPr>
          <w:sz w:val="24"/>
        </w:rPr>
        <w:t>投资人在各销售机构首次申购和单次申购的最低金额以及单次赎回的最低份额，详见本基金招募说明书或相关公告的规定。</w:t>
      </w:r>
    </w:p>
    <w:p>
      <w:pPr>
        <w:pStyle w:val="ListParagraph"/>
        <w:numPr>
          <w:ilvl w:val="0"/>
          <w:numId w:val="4"/>
        </w:numPr>
        <w:tabs>
          <w:tab w:pos="1203" w:val="left" w:leader="none"/>
        </w:tabs>
        <w:spacing w:line="364" w:lineRule="auto" w:before="2" w:after="0"/>
        <w:ind w:left="120" w:right="458" w:firstLine="480"/>
        <w:jc w:val="left"/>
        <w:rPr>
          <w:sz w:val="24"/>
        </w:rPr>
      </w:pPr>
      <w:r>
        <w:rPr>
          <w:sz w:val="24"/>
        </w:rPr>
        <w:t>基金管理人可以规定基金份额持有人每个交易账户的最低基金份额余额，具体规定请参见招募说明书或相关公告。</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基金管理人可以规定单个基金份额持有人累计持有的基金份额上限、单日或单笔申购金额上限，具体规定请参见招募说明书或相关公告。</w:t>
      </w:r>
    </w:p>
    <w:p>
      <w:pPr>
        <w:pStyle w:val="ListParagraph"/>
        <w:numPr>
          <w:ilvl w:val="0"/>
          <w:numId w:val="4"/>
        </w:numPr>
        <w:tabs>
          <w:tab w:pos="1203" w:val="left" w:leader="none"/>
        </w:tabs>
        <w:spacing w:line="240" w:lineRule="auto" w:before="1" w:after="0"/>
        <w:ind w:left="1202" w:right="0" w:hanging="603"/>
        <w:jc w:val="left"/>
        <w:rPr>
          <w:sz w:val="24"/>
        </w:rPr>
      </w:pPr>
      <w:r>
        <w:rPr>
          <w:sz w:val="24"/>
        </w:rPr>
        <w:t>基金管理人有权规定本基金的总规模限额，以及单日申购金额上限和</w:t>
      </w:r>
    </w:p>
    <w:p>
      <w:pPr>
        <w:spacing w:after="0" w:line="240" w:lineRule="auto"/>
        <w:jc w:val="left"/>
        <w:rPr>
          <w:sz w:val="24"/>
        </w:rPr>
        <w:sectPr>
          <w:pgSz w:w="11910" w:h="16840"/>
          <w:pgMar w:header="0" w:footer="990" w:top="1460" w:bottom="1180" w:left="1680" w:right="1340"/>
        </w:sectPr>
      </w:pPr>
    </w:p>
    <w:p>
      <w:pPr>
        <w:pStyle w:val="BodyText"/>
        <w:spacing w:before="44"/>
      </w:pPr>
      <w:r>
        <w:rPr/>
        <w:t>净申购比例上限，具体规定请参见招募说明书或相关公告。</w:t>
      </w:r>
    </w:p>
    <w:p>
      <w:pPr>
        <w:pStyle w:val="ListParagraph"/>
        <w:numPr>
          <w:ilvl w:val="0"/>
          <w:numId w:val="4"/>
        </w:numPr>
        <w:tabs>
          <w:tab w:pos="1203" w:val="left" w:leader="none"/>
        </w:tabs>
        <w:spacing w:line="364" w:lineRule="auto" w:before="160" w:after="0"/>
        <w:ind w:left="120" w:right="218" w:firstLine="480"/>
        <w:jc w:val="left"/>
        <w:rPr>
          <w:sz w:val="24"/>
        </w:rPr>
      </w:pPr>
      <w:r>
        <w:rPr>
          <w:sz w:val="24"/>
        </w:rPr>
        <w:t>当接受申购申请对存量基金份额持有人利益构成潜在重大不利影响时， </w:t>
      </w:r>
      <w:r>
        <w:rPr>
          <w:spacing w:val="3"/>
          <w:sz w:val="24"/>
        </w:rPr>
        <w:t>基金管理人应当采取设定单一投资者申购金额上限或基金单日净申购比例上限、</w:t>
      </w:r>
      <w:r>
        <w:rPr>
          <w:spacing w:val="-16"/>
          <w:sz w:val="24"/>
        </w:rPr>
        <w:t>拒绝大额申购、暂停基金申购等措施，切实保护存量基金份额持有人的合法权益。具体请参见相关公告。</w:t>
      </w:r>
    </w:p>
    <w:p>
      <w:pPr>
        <w:pStyle w:val="ListParagraph"/>
        <w:numPr>
          <w:ilvl w:val="0"/>
          <w:numId w:val="4"/>
        </w:numPr>
        <w:tabs>
          <w:tab w:pos="1203" w:val="left" w:leader="none"/>
        </w:tabs>
        <w:spacing w:line="364" w:lineRule="auto" w:before="3" w:after="0"/>
        <w:ind w:left="120" w:right="458" w:firstLine="480"/>
        <w:jc w:val="both"/>
        <w:rPr>
          <w:sz w:val="24"/>
        </w:rPr>
      </w:pPr>
      <w:r>
        <w:rPr>
          <w:sz w:val="24"/>
        </w:rPr>
        <w:t>基金管理人可根据市场情况，调整申购金额、赎回份额及最低持有份</w:t>
      </w:r>
      <w:r>
        <w:rPr>
          <w:spacing w:val="-12"/>
          <w:sz w:val="24"/>
        </w:rPr>
        <w:t>额的数量限制，或者新增基金规模控制措施，基金管理人必须在调整的 </w:t>
      </w:r>
      <w:r>
        <w:rPr>
          <w:sz w:val="24"/>
        </w:rPr>
        <w:t>2</w:t>
      </w:r>
      <w:r>
        <w:rPr>
          <w:spacing w:val="-19"/>
          <w:sz w:val="24"/>
        </w:rPr>
        <w:t> 日前在</w:t>
      </w:r>
      <w:r>
        <w:rPr>
          <w:sz w:val="24"/>
        </w:rPr>
        <w:t>指定媒介上刊登公告。</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（六）申购与赎回费用及其用途</w:t>
      </w:r>
    </w:p>
    <w:p>
      <w:pPr>
        <w:pStyle w:val="BodyText"/>
        <w:spacing w:before="5"/>
        <w:ind w:left="0"/>
        <w:rPr>
          <w:rFonts w:ascii="Microsoft JhengHei"/>
          <w:b/>
          <w:sz w:val="14"/>
        </w:rPr>
      </w:pPr>
    </w:p>
    <w:p>
      <w:pPr>
        <w:pStyle w:val="ListParagraph"/>
        <w:numPr>
          <w:ilvl w:val="0"/>
          <w:numId w:val="5"/>
        </w:numPr>
        <w:tabs>
          <w:tab w:pos="1203" w:val="left" w:leader="none"/>
        </w:tabs>
        <w:spacing w:line="364" w:lineRule="auto" w:before="0" w:after="0"/>
        <w:ind w:left="120" w:right="458" w:firstLine="480"/>
        <w:jc w:val="both"/>
        <w:rPr>
          <w:sz w:val="24"/>
        </w:rPr>
      </w:pPr>
      <w:r>
        <w:rPr>
          <w:sz w:val="24"/>
        </w:rPr>
        <w:t>投资人申购本基金需缴纳申购费，本基金的申购费率最高不超过申购金额（含申购费）</w:t>
      </w:r>
      <w:r>
        <w:rPr>
          <w:spacing w:val="-30"/>
          <w:sz w:val="24"/>
        </w:rPr>
        <w:t>的 </w:t>
      </w:r>
      <w:r>
        <w:rPr>
          <w:sz w:val="24"/>
        </w:rPr>
        <w:t>5%。本基金实际执行的申购费率在招募说明书中载明。</w:t>
      </w:r>
    </w:p>
    <w:p>
      <w:pPr>
        <w:pStyle w:val="ListParagraph"/>
        <w:numPr>
          <w:ilvl w:val="0"/>
          <w:numId w:val="5"/>
        </w:numPr>
        <w:tabs>
          <w:tab w:pos="1203" w:val="left" w:leader="none"/>
        </w:tabs>
        <w:spacing w:line="364" w:lineRule="auto" w:before="1" w:after="0"/>
        <w:ind w:left="120" w:right="458" w:firstLine="480"/>
        <w:jc w:val="both"/>
        <w:rPr>
          <w:sz w:val="24"/>
        </w:rPr>
      </w:pPr>
      <w:r>
        <w:rPr>
          <w:sz w:val="24"/>
        </w:rPr>
        <w:t>投资人赎回本基金份额需缴纳赎回费用，本基金的赎回费率最高不超过赎回总额（含赎回费用）</w:t>
      </w:r>
      <w:r>
        <w:rPr>
          <w:spacing w:val="-7"/>
          <w:sz w:val="24"/>
        </w:rPr>
        <w:t>的 </w:t>
      </w:r>
      <w:r>
        <w:rPr>
          <w:sz w:val="24"/>
        </w:rPr>
        <w:t>5%。本基金实际执行的赎回费率在招募说明书中载明。</w:t>
      </w:r>
    </w:p>
    <w:p>
      <w:pPr>
        <w:pStyle w:val="ListParagraph"/>
        <w:numPr>
          <w:ilvl w:val="0"/>
          <w:numId w:val="5"/>
        </w:numPr>
        <w:tabs>
          <w:tab w:pos="1203" w:val="left" w:leader="none"/>
        </w:tabs>
        <w:spacing w:line="364" w:lineRule="auto" w:before="2" w:after="0"/>
        <w:ind w:left="120" w:right="458" w:firstLine="480"/>
        <w:jc w:val="both"/>
        <w:rPr>
          <w:sz w:val="24"/>
        </w:rPr>
      </w:pPr>
      <w:r>
        <w:rPr>
          <w:sz w:val="24"/>
        </w:rPr>
        <w:t>基金管理人可以在法律法规和本基金合同规定范围内调整申购费率和</w:t>
      </w:r>
      <w:r>
        <w:rPr>
          <w:spacing w:val="-13"/>
          <w:sz w:val="24"/>
        </w:rPr>
        <w:t>赎回费率。费率如发生变更，基金管理人应在调整实施 </w:t>
      </w:r>
      <w:r>
        <w:rPr>
          <w:sz w:val="24"/>
        </w:rPr>
        <w:t>2</w:t>
      </w:r>
      <w:r>
        <w:rPr>
          <w:spacing w:val="-9"/>
          <w:sz w:val="24"/>
        </w:rPr>
        <w:t> 日前在指定媒介上刊登</w:t>
      </w:r>
      <w:r>
        <w:rPr>
          <w:sz w:val="24"/>
        </w:rPr>
        <w:t>公告。</w:t>
      </w:r>
    </w:p>
    <w:p>
      <w:pPr>
        <w:pStyle w:val="ListParagraph"/>
        <w:numPr>
          <w:ilvl w:val="0"/>
          <w:numId w:val="5"/>
        </w:numPr>
        <w:tabs>
          <w:tab w:pos="1203" w:val="left" w:leader="none"/>
        </w:tabs>
        <w:spacing w:line="364" w:lineRule="auto" w:before="2" w:after="0"/>
        <w:ind w:left="120" w:right="458" w:firstLine="480"/>
        <w:jc w:val="both"/>
        <w:rPr>
          <w:sz w:val="24"/>
        </w:rPr>
      </w:pPr>
      <w:r>
        <w:rPr>
          <w:sz w:val="24"/>
        </w:rPr>
        <w:t>基金管理人可以在不违背法律法规规定及基金合同约定的情形下根据</w:t>
      </w:r>
      <w:r>
        <w:rPr>
          <w:spacing w:val="-7"/>
          <w:sz w:val="24"/>
        </w:rPr>
        <w:t>市场情况制定基金促销计划，在基金促销活动期间，基金管理人可以对促销活动</w:t>
      </w:r>
      <w:r>
        <w:rPr>
          <w:sz w:val="24"/>
        </w:rPr>
        <w:t>范围内的基金投资人调低基金申购费率和基金赎回费率。</w:t>
      </w:r>
    </w:p>
    <w:p>
      <w:pPr>
        <w:pStyle w:val="ListParagraph"/>
        <w:numPr>
          <w:ilvl w:val="0"/>
          <w:numId w:val="5"/>
        </w:numPr>
        <w:tabs>
          <w:tab w:pos="1203" w:val="left" w:leader="none"/>
        </w:tabs>
        <w:spacing w:line="364" w:lineRule="auto" w:before="1" w:after="0"/>
        <w:ind w:left="120" w:right="458" w:firstLine="480"/>
        <w:jc w:val="left"/>
        <w:rPr>
          <w:sz w:val="24"/>
        </w:rPr>
      </w:pPr>
      <w:r>
        <w:rPr>
          <w:sz w:val="24"/>
        </w:rPr>
        <w:t>对特定交易方式（如网上交易、电话交易等），基金管理人可以调低基金申购费率和基金赎回费率。</w:t>
      </w:r>
    </w:p>
    <w:p>
      <w:pPr>
        <w:pStyle w:val="ListParagraph"/>
        <w:numPr>
          <w:ilvl w:val="0"/>
          <w:numId w:val="5"/>
        </w:numPr>
        <w:tabs>
          <w:tab w:pos="1203" w:val="left" w:leader="none"/>
        </w:tabs>
        <w:spacing w:line="364" w:lineRule="auto" w:before="2" w:after="0"/>
        <w:ind w:left="120" w:right="458" w:firstLine="480"/>
        <w:jc w:val="left"/>
        <w:rPr>
          <w:sz w:val="24"/>
        </w:rPr>
      </w:pPr>
      <w:r>
        <w:rPr>
          <w:sz w:val="24"/>
        </w:rPr>
        <w:t>申购费用由申购基金份额的基金投资人承担，不列入基金财产，用于本基金的市场推广、销售、注册登记等各项费用。</w:t>
      </w:r>
    </w:p>
    <w:p>
      <w:pPr>
        <w:pStyle w:val="ListParagraph"/>
        <w:numPr>
          <w:ilvl w:val="0"/>
          <w:numId w:val="5"/>
        </w:numPr>
        <w:tabs>
          <w:tab w:pos="1203" w:val="left" w:leader="none"/>
        </w:tabs>
        <w:spacing w:line="364" w:lineRule="auto" w:before="1" w:after="0"/>
        <w:ind w:left="120" w:right="218" w:firstLine="480"/>
        <w:jc w:val="left"/>
        <w:rPr>
          <w:sz w:val="24"/>
        </w:rPr>
      </w:pPr>
      <w:r>
        <w:rPr>
          <w:sz w:val="24"/>
        </w:rPr>
        <w:t>赎回费用由赎回基金份额的基金份额持有人承担，其中应将不低于所 </w:t>
      </w:r>
      <w:r>
        <w:rPr>
          <w:spacing w:val="-7"/>
          <w:sz w:val="24"/>
        </w:rPr>
        <w:t>收取的赎回费的 </w:t>
      </w:r>
      <w:r>
        <w:rPr>
          <w:sz w:val="24"/>
        </w:rPr>
        <w:t>25%</w:t>
      </w:r>
      <w:r>
        <w:rPr>
          <w:spacing w:val="-6"/>
          <w:sz w:val="24"/>
        </w:rPr>
        <w:t>归基金财产，其余部分用于支付注册登记费和其他必要的手续费。基金管理人对持续持有期少于 </w:t>
      </w:r>
      <w:r>
        <w:rPr>
          <w:rFonts w:ascii="Times New Roman" w:eastAsia="Times New Roman"/>
          <w:sz w:val="24"/>
        </w:rPr>
        <w:t>7</w:t>
      </w:r>
      <w:r>
        <w:rPr>
          <w:rFonts w:ascii="Times New Roman" w:eastAsia="Times New Roman"/>
          <w:spacing w:val="4"/>
          <w:sz w:val="24"/>
        </w:rPr>
        <w:t> </w:t>
      </w:r>
      <w:r>
        <w:rPr>
          <w:spacing w:val="2"/>
          <w:sz w:val="24"/>
        </w:rPr>
        <w:t>日的投资者收取不低于 </w:t>
      </w:r>
      <w:r>
        <w:rPr>
          <w:rFonts w:ascii="Times New Roman" w:eastAsia="Times New Roman"/>
          <w:sz w:val="24"/>
        </w:rPr>
        <w:t>1.5%</w:t>
      </w:r>
      <w:r>
        <w:rPr>
          <w:spacing w:val="2"/>
          <w:sz w:val="24"/>
        </w:rPr>
        <w:t>的赎回费， 并将上述赎回费全额计入基金财产。</w:t>
      </w:r>
    </w:p>
    <w:p>
      <w:pPr>
        <w:spacing w:after="0" w:line="364" w:lineRule="auto"/>
        <w:jc w:val="left"/>
        <w:rPr>
          <w:sz w:val="24"/>
        </w:rPr>
        <w:sectPr>
          <w:pgSz w:w="11910" w:h="16840"/>
          <w:pgMar w:header="0" w:footer="990" w:top="1460" w:bottom="1180" w:left="1680" w:right="1340"/>
        </w:sectPr>
      </w:pPr>
    </w:p>
    <w:p>
      <w:pPr>
        <w:spacing w:line="406" w:lineRule="exact" w:before="0"/>
        <w:ind w:left="120" w:right="0" w:firstLine="0"/>
        <w:jc w:val="left"/>
        <w:rPr>
          <w:rFonts w:ascii="Microsoft JhengHei" w:eastAsia="Microsoft JhengHei" w:hint="eastAsia"/>
          <w:b/>
          <w:sz w:val="24"/>
        </w:rPr>
      </w:pPr>
      <w:r>
        <w:rPr>
          <w:rFonts w:ascii="Microsoft JhengHei" w:eastAsia="Microsoft JhengHei" w:hint="eastAsia"/>
          <w:b/>
          <w:sz w:val="24"/>
        </w:rPr>
        <w:t>（七）申购份额与赎回金额的计算</w:t>
      </w:r>
    </w:p>
    <w:p>
      <w:pPr>
        <w:pStyle w:val="BodyText"/>
        <w:spacing w:before="4"/>
        <w:ind w:left="0"/>
        <w:rPr>
          <w:rFonts w:ascii="Microsoft JhengHei"/>
          <w:b/>
          <w:sz w:val="14"/>
        </w:rPr>
      </w:pPr>
    </w:p>
    <w:p>
      <w:pPr>
        <w:pStyle w:val="ListParagraph"/>
        <w:numPr>
          <w:ilvl w:val="0"/>
          <w:numId w:val="6"/>
        </w:numPr>
        <w:tabs>
          <w:tab w:pos="1201" w:val="left" w:leader="none"/>
        </w:tabs>
        <w:spacing w:line="240" w:lineRule="auto" w:before="0" w:after="0"/>
        <w:ind w:left="1201" w:right="0" w:hanging="601"/>
        <w:jc w:val="left"/>
        <w:rPr>
          <w:sz w:val="24"/>
        </w:rPr>
      </w:pPr>
      <w:r>
        <w:rPr>
          <w:sz w:val="24"/>
        </w:rPr>
        <w:t>申购份额的计算</w:t>
      </w:r>
    </w:p>
    <w:p>
      <w:pPr>
        <w:pStyle w:val="BodyText"/>
        <w:spacing w:line="364" w:lineRule="auto" w:before="161"/>
        <w:ind w:right="458" w:firstLine="480"/>
        <w:jc w:val="both"/>
      </w:pPr>
      <w:r>
        <w:rPr>
          <w:spacing w:val="-6"/>
        </w:rPr>
        <w:t>申购份额以申请当日基金份额净值为基准计算，计算结果以四舍五入的方式</w:t>
      </w:r>
      <w:r>
        <w:rPr>
          <w:spacing w:val="-8"/>
        </w:rPr>
        <w:t>保留到小数点后 </w:t>
      </w:r>
      <w:r>
        <w:rPr/>
        <w:t>2</w:t>
      </w:r>
      <w:r>
        <w:rPr>
          <w:spacing w:val="-14"/>
        </w:rPr>
        <w:t> 位。由此误差产生的损失由基金财产承担，产生的收益归基金</w:t>
      </w:r>
      <w:r>
        <w:rPr/>
        <w:t>财产所有。</w:t>
      </w:r>
    </w:p>
    <w:p>
      <w:pPr>
        <w:pStyle w:val="BodyText"/>
        <w:spacing w:line="364" w:lineRule="auto"/>
        <w:ind w:left="600" w:right="4017"/>
      </w:pPr>
      <w:r>
        <w:rPr/>
        <w:t>净申购金额＝申购金额</w:t>
      </w:r>
      <w:r>
        <w:rPr>
          <w:rFonts w:ascii="Times New Roman" w:eastAsia="Times New Roman"/>
        </w:rPr>
        <w:t>/</w:t>
      </w:r>
      <w:r>
        <w:rPr/>
        <w:t>（</w:t>
      </w:r>
      <w:r>
        <w:rPr>
          <w:rFonts w:ascii="Times New Roman" w:eastAsia="Times New Roman"/>
        </w:rPr>
        <w:t>1</w:t>
      </w:r>
      <w:r>
        <w:rPr/>
        <w:t>＋申购费率） 申购费用＝申购金额－净申购金额</w:t>
      </w:r>
    </w:p>
    <w:p>
      <w:pPr>
        <w:pStyle w:val="BodyText"/>
        <w:spacing w:before="2"/>
        <w:ind w:left="600"/>
      </w:pPr>
      <w:r>
        <w:rPr/>
        <w:t>申购份额＝净申购金额</w:t>
      </w:r>
      <w:r>
        <w:rPr>
          <w:rFonts w:ascii="Times New Roman" w:eastAsia="Times New Roman"/>
        </w:rPr>
        <w:t>/</w:t>
      </w:r>
      <w:r>
        <w:rPr/>
        <w:t>申购当日基金份额净值</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赎回金额的计算</w:t>
      </w:r>
    </w:p>
    <w:p>
      <w:pPr>
        <w:pStyle w:val="BodyText"/>
        <w:spacing w:line="364" w:lineRule="auto" w:before="161"/>
        <w:ind w:left="1230" w:right="2765" w:hanging="630"/>
      </w:pPr>
      <w:r>
        <w:rPr/>
        <w:t>本基金的赎回金额为赎回总额扣减赎回费用。其中， 赎回总额＝赎回份数×T 日基金份额净值</w:t>
      </w:r>
    </w:p>
    <w:p>
      <w:pPr>
        <w:pStyle w:val="BodyText"/>
        <w:spacing w:line="364" w:lineRule="auto"/>
        <w:ind w:left="1230" w:right="4295"/>
      </w:pPr>
      <w:r>
        <w:rPr/>
        <w:t>赎回费用＝赎回总额×赎回费率赎回金额＝赎回总额－赎回费用</w:t>
      </w:r>
    </w:p>
    <w:p>
      <w:pPr>
        <w:pStyle w:val="BodyText"/>
        <w:spacing w:line="364" w:lineRule="auto"/>
        <w:ind w:right="458" w:firstLine="480"/>
      </w:pPr>
      <w:r>
        <w:rPr>
          <w:spacing w:val="-6"/>
        </w:rPr>
        <w:t>赎回金额的计算结果均按四舍五入方法，保留到小数点后两位。由此误差产</w:t>
      </w:r>
      <w:r>
        <w:rPr/>
        <w:t>生的损失由基金财产承担，产生的收益归基金财产所有。</w:t>
      </w:r>
    </w:p>
    <w:p>
      <w:pPr>
        <w:pStyle w:val="BodyText"/>
        <w:spacing w:line="364" w:lineRule="auto"/>
        <w:ind w:right="218" w:firstLine="480"/>
      </w:pPr>
      <w:r>
        <w:rPr/>
        <w:t>（3）T 日的基金份额净值在当日收市后计算，并在次日公告。遇特殊情况， 可以适当延迟计算或公告，并报中国证监会备案。</w:t>
      </w:r>
    </w:p>
    <w:p>
      <w:pPr>
        <w:pStyle w:val="BodyText"/>
        <w:spacing w:line="364" w:lineRule="auto"/>
        <w:ind w:right="458" w:firstLine="480"/>
      </w:pPr>
      <w:r>
        <w:rPr/>
        <w:t>T</w:t>
      </w:r>
      <w:r>
        <w:rPr>
          <w:spacing w:val="-10"/>
        </w:rPr>
        <w:t> 日的基金份额净值精确到 </w:t>
      </w:r>
      <w:r>
        <w:rPr/>
        <w:t>0.0001</w:t>
      </w:r>
      <w:r>
        <w:rPr>
          <w:spacing w:val="-6"/>
        </w:rPr>
        <w:t> 元，小数点后第五位四舍五入，由此误差产生的损失由基金财产承担，产生的收益归基金财产所有。</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（八）申购与赎回的注册登记</w:t>
      </w:r>
    </w:p>
    <w:p>
      <w:pPr>
        <w:pStyle w:val="BodyText"/>
        <w:spacing w:before="5"/>
        <w:ind w:left="0"/>
        <w:rPr>
          <w:rFonts w:ascii="Microsoft JhengHei"/>
          <w:b/>
          <w:sz w:val="14"/>
        </w:rPr>
      </w:pPr>
    </w:p>
    <w:p>
      <w:pPr>
        <w:pStyle w:val="ListParagraph"/>
        <w:numPr>
          <w:ilvl w:val="0"/>
          <w:numId w:val="7"/>
        </w:numPr>
        <w:tabs>
          <w:tab w:pos="1203" w:val="left" w:leader="none"/>
        </w:tabs>
        <w:spacing w:line="364" w:lineRule="auto" w:before="0" w:after="0"/>
        <w:ind w:left="120" w:right="458" w:firstLine="480"/>
        <w:jc w:val="both"/>
        <w:rPr>
          <w:sz w:val="24"/>
        </w:rPr>
      </w:pPr>
      <w:r>
        <w:rPr>
          <w:spacing w:val="-3"/>
          <w:sz w:val="24"/>
        </w:rPr>
        <w:t>投资人申购基金成功后，正常情况下,基金注册登记人在 </w:t>
      </w:r>
      <w:r>
        <w:rPr>
          <w:sz w:val="24"/>
        </w:rPr>
        <w:t>T＋1</w:t>
      </w:r>
      <w:r>
        <w:rPr>
          <w:spacing w:val="-15"/>
          <w:sz w:val="24"/>
        </w:rPr>
        <w:t> 日为投</w:t>
      </w:r>
      <w:r>
        <w:rPr>
          <w:spacing w:val="-18"/>
          <w:sz w:val="24"/>
        </w:rPr>
        <w:t>资人增加权益并办理注册登记手续，投资人自 </w:t>
      </w:r>
      <w:r>
        <w:rPr>
          <w:sz w:val="24"/>
        </w:rPr>
        <w:t>T＋2</w:t>
      </w:r>
      <w:r>
        <w:rPr>
          <w:spacing w:val="-8"/>
          <w:sz w:val="24"/>
        </w:rPr>
        <w:t> 日起有权赎回该部分基金份额。</w:t>
      </w:r>
    </w:p>
    <w:p>
      <w:pPr>
        <w:pStyle w:val="ListParagraph"/>
        <w:numPr>
          <w:ilvl w:val="0"/>
          <w:numId w:val="7"/>
        </w:numPr>
        <w:tabs>
          <w:tab w:pos="1203" w:val="left" w:leader="none"/>
        </w:tabs>
        <w:spacing w:line="364" w:lineRule="auto" w:before="2" w:after="0"/>
        <w:ind w:left="120" w:right="458" w:firstLine="480"/>
        <w:jc w:val="both"/>
        <w:rPr>
          <w:sz w:val="24"/>
        </w:rPr>
      </w:pPr>
      <w:r>
        <w:rPr>
          <w:spacing w:val="-3"/>
          <w:sz w:val="24"/>
        </w:rPr>
        <w:t>投资人赎回基金成功后，正常情况下,基金注册登记人在 </w:t>
      </w:r>
      <w:r>
        <w:rPr>
          <w:sz w:val="24"/>
        </w:rPr>
        <w:t>T＋1</w:t>
      </w:r>
      <w:r>
        <w:rPr>
          <w:spacing w:val="-15"/>
          <w:sz w:val="24"/>
        </w:rPr>
        <w:t> 日为投资人扣除权益并办理相应的注册登记手续。</w:t>
      </w:r>
    </w:p>
    <w:p>
      <w:pPr>
        <w:pStyle w:val="ListParagraph"/>
        <w:numPr>
          <w:ilvl w:val="0"/>
          <w:numId w:val="7"/>
        </w:numPr>
        <w:tabs>
          <w:tab w:pos="1203" w:val="left" w:leader="none"/>
        </w:tabs>
        <w:spacing w:line="364" w:lineRule="auto" w:before="1" w:after="0"/>
        <w:ind w:left="120" w:right="458" w:firstLine="480"/>
        <w:jc w:val="both"/>
        <w:rPr>
          <w:sz w:val="24"/>
        </w:rPr>
      </w:pPr>
      <w:r>
        <w:rPr>
          <w:sz w:val="24"/>
        </w:rPr>
        <w:t>基金管理人可在法律法规允许的范围内，对上述注册登记办理时间进</w:t>
      </w:r>
      <w:r>
        <w:rPr>
          <w:spacing w:val="-5"/>
          <w:sz w:val="24"/>
        </w:rPr>
        <w:t>行调整，并最迟于开始实施 </w:t>
      </w:r>
      <w:r>
        <w:rPr>
          <w:sz w:val="24"/>
        </w:rPr>
        <w:t>2</w:t>
      </w:r>
      <w:r>
        <w:rPr>
          <w:spacing w:val="-8"/>
          <w:sz w:val="24"/>
        </w:rPr>
        <w:t> 日前在指定媒介予以公告。</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（九）巨额赎回的认定及处理方式</w:t>
      </w:r>
    </w:p>
    <w:p>
      <w:pPr>
        <w:spacing w:after="0"/>
        <w:jc w:val="left"/>
        <w:rPr>
          <w:rFonts w:ascii="Microsoft JhengHei" w:eastAsia="Microsoft JhengHei" w:hint="eastAsia"/>
          <w:sz w:val="24"/>
        </w:rPr>
        <w:sectPr>
          <w:pgSz w:w="11910" w:h="16840"/>
          <w:pgMar w:header="0" w:footer="990" w:top="1460" w:bottom="1180" w:left="1680" w:right="1340"/>
        </w:sectPr>
      </w:pPr>
    </w:p>
    <w:p>
      <w:pPr>
        <w:pStyle w:val="ListParagraph"/>
        <w:numPr>
          <w:ilvl w:val="0"/>
          <w:numId w:val="8"/>
        </w:numPr>
        <w:tabs>
          <w:tab w:pos="1201" w:val="left" w:leader="none"/>
        </w:tabs>
        <w:spacing w:line="240" w:lineRule="auto" w:before="44" w:after="0"/>
        <w:ind w:left="1201" w:right="0" w:hanging="601"/>
        <w:jc w:val="left"/>
        <w:rPr>
          <w:sz w:val="24"/>
        </w:rPr>
      </w:pPr>
      <w:r>
        <w:rPr>
          <w:sz w:val="24"/>
        </w:rPr>
        <w:t>巨额赎回的认定</w:t>
      </w:r>
    </w:p>
    <w:p>
      <w:pPr>
        <w:pStyle w:val="BodyText"/>
        <w:spacing w:line="364" w:lineRule="auto" w:before="160"/>
        <w:ind w:right="458" w:firstLine="480"/>
        <w:jc w:val="both"/>
      </w:pPr>
      <w:r>
        <w:rPr>
          <w:spacing w:val="-6"/>
        </w:rPr>
        <w:t>巨额赎回是指在单个开放日内，本基金中基金净赎回申请份额</w:t>
      </w:r>
      <w:r>
        <w:rPr/>
        <w:t>（</w:t>
      </w:r>
      <w:r>
        <w:rPr>
          <w:spacing w:val="-4"/>
        </w:rPr>
        <w:t>基金赎回申</w:t>
      </w:r>
      <w:r>
        <w:rPr/>
        <w:t>请总份额扣除申购申请总份额之余额</w:t>
      </w:r>
      <w:r>
        <w:rPr>
          <w:spacing w:val="-48"/>
        </w:rPr>
        <w:t>）</w:t>
      </w:r>
      <w:r>
        <w:rPr>
          <w:spacing w:val="-4"/>
        </w:rPr>
        <w:t>与基金转换净转出申请份额</w:t>
      </w:r>
      <w:r>
        <w:rPr/>
        <w:t>（</w:t>
      </w:r>
      <w:r>
        <w:rPr>
          <w:spacing w:val="-4"/>
        </w:rPr>
        <w:t>基金转出申</w:t>
      </w:r>
      <w:r>
        <w:rPr/>
        <w:t>请总份额扣除转入申请总份额之余额</w:t>
      </w:r>
      <w:r>
        <w:rPr>
          <w:spacing w:val="-35"/>
        </w:rPr>
        <w:t>）</w:t>
      </w:r>
      <w:r>
        <w:rPr>
          <w:spacing w:val="-4"/>
        </w:rPr>
        <w:t>之和超过上一开放日基金总份额 </w:t>
      </w:r>
      <w:r>
        <w:rPr/>
        <w:t>10%</w:t>
      </w:r>
      <w:r>
        <w:rPr>
          <w:spacing w:val="-9"/>
        </w:rPr>
        <w:t>的情</w:t>
      </w:r>
      <w:r>
        <w:rPr/>
        <w:t>形。</w:t>
      </w:r>
    </w:p>
    <w:p>
      <w:pPr>
        <w:pStyle w:val="ListParagraph"/>
        <w:numPr>
          <w:ilvl w:val="0"/>
          <w:numId w:val="8"/>
        </w:numPr>
        <w:tabs>
          <w:tab w:pos="1201" w:val="left" w:leader="none"/>
        </w:tabs>
        <w:spacing w:line="240" w:lineRule="auto" w:before="3" w:after="0"/>
        <w:ind w:left="1201" w:right="0" w:hanging="601"/>
        <w:jc w:val="left"/>
        <w:rPr>
          <w:sz w:val="24"/>
        </w:rPr>
      </w:pPr>
      <w:r>
        <w:rPr>
          <w:sz w:val="24"/>
        </w:rPr>
        <w:t>巨额赎回的处理方式</w:t>
      </w:r>
    </w:p>
    <w:p>
      <w:pPr>
        <w:pStyle w:val="BodyText"/>
        <w:spacing w:line="364" w:lineRule="auto" w:before="160"/>
        <w:ind w:right="458" w:firstLine="480"/>
      </w:pPr>
      <w:r>
        <w:rPr>
          <w:spacing w:val="-11"/>
        </w:rPr>
        <w:t>出现巨额赎回时，基金管理人可以根据本基金当时的资产组合状况决定接受</w:t>
      </w:r>
      <w:r>
        <w:rPr/>
        <w:t>全额赎回或部分延期赎回。</w:t>
      </w:r>
    </w:p>
    <w:p>
      <w:pPr>
        <w:pStyle w:val="ListParagraph"/>
        <w:numPr>
          <w:ilvl w:val="0"/>
          <w:numId w:val="9"/>
        </w:numPr>
        <w:tabs>
          <w:tab w:pos="962" w:val="left" w:leader="none"/>
        </w:tabs>
        <w:spacing w:line="364" w:lineRule="auto" w:before="1" w:after="0"/>
        <w:ind w:left="120" w:right="458" w:firstLine="480"/>
        <w:jc w:val="left"/>
        <w:rPr>
          <w:sz w:val="24"/>
        </w:rPr>
      </w:pPr>
      <w:r>
        <w:rPr>
          <w:sz w:val="24"/>
        </w:rPr>
        <w:t>接受全额赎回：当基金管理人认为有能力兑付投资人的全部赎回申请和基金间转换时，按正常赎回程序执行。</w:t>
      </w:r>
    </w:p>
    <w:p>
      <w:pPr>
        <w:pStyle w:val="ListParagraph"/>
        <w:numPr>
          <w:ilvl w:val="0"/>
          <w:numId w:val="9"/>
        </w:numPr>
        <w:tabs>
          <w:tab w:pos="962" w:val="left" w:leader="none"/>
        </w:tabs>
        <w:spacing w:line="364" w:lineRule="auto" w:before="2" w:after="0"/>
        <w:ind w:left="120" w:right="218" w:firstLine="480"/>
        <w:jc w:val="left"/>
        <w:rPr>
          <w:sz w:val="24"/>
        </w:rPr>
      </w:pPr>
      <w:r>
        <w:rPr>
          <w:sz w:val="24"/>
        </w:rPr>
        <w:t>部分延期赎回：当基金管理人认为支付投资人的赎回申请有困难或认为 </w:t>
      </w:r>
      <w:r>
        <w:rPr>
          <w:spacing w:val="-4"/>
          <w:sz w:val="24"/>
        </w:rPr>
        <w:t>支付投资人的赎回申请可能会对基金的资产净值造成较大波动时，基金管理人在 </w:t>
      </w:r>
      <w:r>
        <w:rPr>
          <w:spacing w:val="-7"/>
          <w:sz w:val="24"/>
        </w:rPr>
        <w:t>当日接受赎回比例不低于上一日基金总份额的 </w:t>
      </w:r>
      <w:r>
        <w:rPr>
          <w:sz w:val="24"/>
        </w:rPr>
        <w:t>10%</w:t>
      </w:r>
      <w:r>
        <w:rPr>
          <w:spacing w:val="-6"/>
          <w:sz w:val="24"/>
        </w:rPr>
        <w:t>的前提下，对其余赎回申请延期</w:t>
      </w:r>
      <w:r>
        <w:rPr>
          <w:spacing w:val="-11"/>
          <w:sz w:val="24"/>
        </w:rPr>
        <w:t>予以办理。对于单个基金份额持有人的赎回申请，应当按照其申请赎回份额占 当日申请赎回总份额的比例，确定该单个基金份额持有人当日办理的赎回份额； </w:t>
      </w:r>
      <w:r>
        <w:rPr>
          <w:spacing w:val="-15"/>
          <w:sz w:val="24"/>
        </w:rPr>
        <w:t>投资者未能赎回部分，除投资者在提交赎回申请时选择将当日未获办理部分予以 </w:t>
      </w:r>
      <w:r>
        <w:rPr>
          <w:spacing w:val="-12"/>
          <w:sz w:val="24"/>
        </w:rPr>
        <w:t>撤销外，延迟至下一个开放日办理，赎回价格为下一个开放日的价格。依照上述 </w:t>
      </w:r>
      <w:r>
        <w:rPr>
          <w:spacing w:val="-16"/>
          <w:sz w:val="24"/>
        </w:rPr>
        <w:t>规定转入下一个开放日的赎回不享有赎回优先权，并以此类推，直到全部赎回为 止。部分顺延赎回不受单笔赎回最低份额的限制。</w:t>
      </w:r>
    </w:p>
    <w:p>
      <w:pPr>
        <w:pStyle w:val="BodyText"/>
        <w:spacing w:line="364" w:lineRule="auto" w:before="5"/>
        <w:ind w:right="458" w:firstLine="480"/>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BodyText"/>
        <w:spacing w:line="364" w:lineRule="auto" w:before="2"/>
        <w:ind w:right="458" w:firstLine="480"/>
        <w:jc w:val="both"/>
      </w:pPr>
      <w:r>
        <w:rPr>
          <w:spacing w:val="-8"/>
        </w:rPr>
        <w:t>当发生巨额赎回并延期办理时，基金管理人应当通过邮寄、传真等方式在 </w:t>
      </w:r>
      <w:r>
        <w:rPr/>
        <w:t>3 </w:t>
      </w:r>
      <w:r>
        <w:rPr>
          <w:spacing w:val="-8"/>
        </w:rPr>
        <w:t>个交易日内通知基金份额持有人，说明有关处理方法，并在 </w:t>
      </w:r>
      <w:r>
        <w:rPr/>
        <w:t>2</w:t>
      </w:r>
      <w:r>
        <w:rPr>
          <w:spacing w:val="-9"/>
        </w:rPr>
        <w:t> 日内编制临时报告</w:t>
      </w:r>
      <w:r>
        <w:rPr/>
        <w:t>书予以公告。</w:t>
      </w:r>
    </w:p>
    <w:p>
      <w:pPr>
        <w:pStyle w:val="ListParagraph"/>
        <w:numPr>
          <w:ilvl w:val="0"/>
          <w:numId w:val="8"/>
        </w:numPr>
        <w:tabs>
          <w:tab w:pos="1203" w:val="left" w:leader="none"/>
        </w:tabs>
        <w:spacing w:line="364" w:lineRule="auto" w:before="2" w:after="0"/>
        <w:ind w:left="120" w:right="458" w:firstLine="480"/>
        <w:jc w:val="both"/>
        <w:rPr>
          <w:sz w:val="24"/>
        </w:rPr>
      </w:pPr>
      <w:r>
        <w:rPr>
          <w:spacing w:val="-4"/>
          <w:sz w:val="24"/>
        </w:rPr>
        <w:t>暂停接受和延缓支付：本基金连续 </w:t>
      </w:r>
      <w:r>
        <w:rPr>
          <w:sz w:val="24"/>
        </w:rPr>
        <w:t>2</w:t>
      </w:r>
      <w:r>
        <w:rPr>
          <w:spacing w:val="-8"/>
          <w:sz w:val="24"/>
        </w:rPr>
        <w:t> 个开放日以上发生巨额赎回，如</w:t>
      </w:r>
      <w:r>
        <w:rPr>
          <w:spacing w:val="-13"/>
          <w:sz w:val="24"/>
        </w:rPr>
        <w:t>基金管理人认为有必要，可暂停接受赎回申请；已经接受的赎回申请可以延缓支</w:t>
      </w:r>
      <w:r>
        <w:rPr>
          <w:spacing w:val="-4"/>
          <w:sz w:val="24"/>
        </w:rPr>
        <w:t>付赎回款项，但延缓期限不得超过 </w:t>
      </w:r>
      <w:r>
        <w:rPr>
          <w:sz w:val="24"/>
        </w:rPr>
        <w:t>20</w:t>
      </w:r>
      <w:r>
        <w:rPr>
          <w:spacing w:val="-8"/>
          <w:sz w:val="24"/>
        </w:rPr>
        <w:t> 个工作日。连续发生巨额赎回并暂停接受</w:t>
      </w:r>
    </w:p>
    <w:p>
      <w:pPr>
        <w:spacing w:after="0" w:line="364" w:lineRule="auto"/>
        <w:jc w:val="both"/>
        <w:rPr>
          <w:sz w:val="24"/>
        </w:rPr>
        <w:sectPr>
          <w:pgSz w:w="11910" w:h="16840"/>
          <w:pgMar w:header="0" w:footer="990" w:top="1460" w:bottom="1180" w:left="1680" w:right="1340"/>
        </w:sectPr>
      </w:pPr>
    </w:p>
    <w:p>
      <w:pPr>
        <w:pStyle w:val="BodyText"/>
        <w:spacing w:line="364" w:lineRule="auto" w:before="44"/>
        <w:ind w:right="458"/>
        <w:jc w:val="both"/>
      </w:pPr>
      <w:r>
        <w:rPr>
          <w:spacing w:val="-10"/>
        </w:rPr>
        <w:t>赎回申请时，基金管理人应当在 </w:t>
      </w:r>
      <w:r>
        <w:rPr/>
        <w:t>2</w:t>
      </w:r>
      <w:r>
        <w:rPr>
          <w:spacing w:val="-14"/>
        </w:rPr>
        <w:t> 日内编制临时报告书，予以公告，并在公开披</w:t>
      </w:r>
      <w:r>
        <w:rPr>
          <w:spacing w:val="3"/>
        </w:rPr>
        <w:t>露日分别报中国证监会和基金管理人主要办公场所所在地中国证监会派出机构备案。</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（十）拒绝或暂停申购、暂停赎回的情形及处理</w:t>
      </w:r>
    </w:p>
    <w:p>
      <w:pPr>
        <w:pStyle w:val="BodyText"/>
        <w:spacing w:before="5"/>
        <w:ind w:left="0"/>
        <w:rPr>
          <w:rFonts w:ascii="Microsoft JhengHei"/>
          <w:b/>
          <w:sz w:val="14"/>
        </w:rPr>
      </w:pPr>
    </w:p>
    <w:p>
      <w:pPr>
        <w:pStyle w:val="ListParagraph"/>
        <w:numPr>
          <w:ilvl w:val="0"/>
          <w:numId w:val="10"/>
        </w:numPr>
        <w:tabs>
          <w:tab w:pos="1201" w:val="left" w:leader="none"/>
        </w:tabs>
        <w:spacing w:line="240" w:lineRule="auto" w:before="0" w:after="0"/>
        <w:ind w:left="1201" w:right="0" w:hanging="601"/>
        <w:jc w:val="left"/>
        <w:rPr>
          <w:sz w:val="24"/>
        </w:rPr>
      </w:pPr>
      <w:r>
        <w:rPr>
          <w:sz w:val="24"/>
        </w:rPr>
        <w:t>在如下情况下，基金管理人可以拒绝或暂停接受投资人的申购申请：</w:t>
      </w:r>
    </w:p>
    <w:p>
      <w:pPr>
        <w:pStyle w:val="ListParagraph"/>
        <w:numPr>
          <w:ilvl w:val="1"/>
          <w:numId w:val="10"/>
        </w:numPr>
        <w:tabs>
          <w:tab w:pos="1589" w:val="left" w:leader="none"/>
        </w:tabs>
        <w:spacing w:line="240" w:lineRule="auto" w:before="160" w:after="0"/>
        <w:ind w:left="1589" w:right="0" w:hanging="361"/>
        <w:jc w:val="left"/>
        <w:rPr>
          <w:sz w:val="24"/>
        </w:rPr>
      </w:pPr>
      <w:r>
        <w:rPr>
          <w:sz w:val="24"/>
        </w:rPr>
        <w:t>因不可抗力导致基金管理人无法接受投资人的申购申请；</w:t>
      </w:r>
    </w:p>
    <w:p>
      <w:pPr>
        <w:pStyle w:val="ListParagraph"/>
        <w:numPr>
          <w:ilvl w:val="1"/>
          <w:numId w:val="10"/>
        </w:numPr>
        <w:tabs>
          <w:tab w:pos="1597" w:val="left" w:leader="none"/>
        </w:tabs>
        <w:spacing w:line="364" w:lineRule="auto" w:before="161" w:after="0"/>
        <w:ind w:left="1556" w:right="458" w:hanging="329"/>
        <w:jc w:val="left"/>
        <w:rPr>
          <w:sz w:val="24"/>
        </w:rPr>
      </w:pPr>
      <w:r>
        <w:rPr>
          <w:spacing w:val="2"/>
          <w:sz w:val="24"/>
        </w:rPr>
        <w:t>证券交易场所在交易时间内非正常停市，导致基金管理人无法计</w:t>
      </w:r>
      <w:r>
        <w:rPr>
          <w:sz w:val="24"/>
        </w:rPr>
        <w:t>算当日基金资产净值；</w:t>
      </w:r>
    </w:p>
    <w:p>
      <w:pPr>
        <w:pStyle w:val="ListParagraph"/>
        <w:numPr>
          <w:ilvl w:val="1"/>
          <w:numId w:val="10"/>
        </w:numPr>
        <w:tabs>
          <w:tab w:pos="1589" w:val="left" w:leader="none"/>
        </w:tabs>
        <w:spacing w:line="240" w:lineRule="auto" w:before="1" w:after="0"/>
        <w:ind w:left="1589" w:right="0" w:hanging="361"/>
        <w:jc w:val="left"/>
        <w:rPr>
          <w:sz w:val="24"/>
        </w:rPr>
      </w:pPr>
      <w:r>
        <w:rPr>
          <w:sz w:val="24"/>
        </w:rPr>
        <w:t>发生本基金合同规定的暂停基金资产估值情况；</w:t>
      </w:r>
    </w:p>
    <w:p>
      <w:pPr>
        <w:pStyle w:val="ListParagraph"/>
        <w:numPr>
          <w:ilvl w:val="1"/>
          <w:numId w:val="10"/>
        </w:numPr>
        <w:tabs>
          <w:tab w:pos="1597" w:val="left" w:leader="none"/>
        </w:tabs>
        <w:spacing w:line="364" w:lineRule="auto" w:before="161" w:after="0"/>
        <w:ind w:left="1556" w:right="457" w:hanging="329"/>
        <w:jc w:val="both"/>
        <w:rPr>
          <w:sz w:val="24"/>
        </w:rPr>
      </w:pPr>
      <w:r>
        <w:rPr>
          <w:spacing w:val="2"/>
          <w:sz w:val="24"/>
        </w:rPr>
        <w:t>基金财产规模过大，使基金管理人无法找到合适的投资品种，或</w:t>
      </w:r>
      <w:r>
        <w:rPr>
          <w:spacing w:val="-7"/>
          <w:sz w:val="24"/>
        </w:rPr>
        <w:t>其他可能对基金业绩产生负面影响，从而损害现有基金份额持有人</w:t>
      </w:r>
      <w:r>
        <w:rPr>
          <w:sz w:val="24"/>
        </w:rPr>
        <w:t>的利益的情形；</w:t>
      </w:r>
    </w:p>
    <w:p>
      <w:pPr>
        <w:pStyle w:val="ListParagraph"/>
        <w:numPr>
          <w:ilvl w:val="1"/>
          <w:numId w:val="10"/>
        </w:numPr>
        <w:tabs>
          <w:tab w:pos="1597" w:val="left" w:leader="none"/>
        </w:tabs>
        <w:spacing w:line="364" w:lineRule="auto" w:before="1" w:after="0"/>
        <w:ind w:left="1556" w:right="458" w:hanging="329"/>
        <w:jc w:val="left"/>
        <w:rPr>
          <w:sz w:val="24"/>
        </w:rPr>
      </w:pPr>
      <w:r>
        <w:rPr>
          <w:spacing w:val="2"/>
          <w:sz w:val="24"/>
        </w:rPr>
        <w:t>基金管理人有正当理由认为接受某笔或某些申购申请可能会影响</w:t>
      </w:r>
      <w:r>
        <w:rPr>
          <w:sz w:val="24"/>
        </w:rPr>
        <w:t>或损害其他基金份额持有人利益时；</w:t>
      </w:r>
    </w:p>
    <w:p>
      <w:pPr>
        <w:pStyle w:val="ListParagraph"/>
        <w:numPr>
          <w:ilvl w:val="1"/>
          <w:numId w:val="10"/>
        </w:numPr>
        <w:tabs>
          <w:tab w:pos="1597" w:val="left" w:leader="none"/>
        </w:tabs>
        <w:spacing w:line="364" w:lineRule="auto" w:before="2" w:after="0"/>
        <w:ind w:left="1556" w:right="458" w:hanging="329"/>
        <w:jc w:val="both"/>
        <w:rPr>
          <w:sz w:val="24"/>
        </w:rPr>
      </w:pPr>
      <w:r>
        <w:rPr>
          <w:spacing w:val="2"/>
          <w:sz w:val="24"/>
        </w:rPr>
        <w:t>基金管理人接受某笔或者某些申购申请有可能导致单一投资者持</w:t>
      </w:r>
      <w:r>
        <w:rPr>
          <w:spacing w:val="-1"/>
          <w:sz w:val="24"/>
        </w:rPr>
        <w:t>有基金份额的比例达到或者超过 </w:t>
      </w:r>
      <w:r>
        <w:rPr>
          <w:rFonts w:ascii="Times New Roman" w:eastAsia="Times New Roman"/>
          <w:sz w:val="24"/>
        </w:rPr>
        <w:t>50%</w:t>
      </w:r>
      <w:r>
        <w:rPr>
          <w:spacing w:val="-6"/>
          <w:sz w:val="24"/>
        </w:rPr>
        <w:t>，或者变相规避 </w:t>
      </w:r>
      <w:r>
        <w:rPr>
          <w:rFonts w:ascii="Times New Roman" w:eastAsia="Times New Roman"/>
          <w:sz w:val="24"/>
        </w:rPr>
        <w:t>50%</w:t>
      </w:r>
      <w:r>
        <w:rPr>
          <w:spacing w:val="2"/>
          <w:sz w:val="24"/>
        </w:rPr>
        <w:t>集中度的情形时；</w:t>
      </w:r>
    </w:p>
    <w:p>
      <w:pPr>
        <w:pStyle w:val="ListParagraph"/>
        <w:numPr>
          <w:ilvl w:val="1"/>
          <w:numId w:val="10"/>
        </w:numPr>
        <w:tabs>
          <w:tab w:pos="1597" w:val="left" w:leader="none"/>
        </w:tabs>
        <w:spacing w:line="364" w:lineRule="auto" w:before="1" w:after="0"/>
        <w:ind w:left="1556" w:right="218" w:hanging="329"/>
        <w:jc w:val="left"/>
        <w:rPr>
          <w:sz w:val="24"/>
        </w:rPr>
      </w:pPr>
      <w:r>
        <w:rPr>
          <w:spacing w:val="2"/>
          <w:sz w:val="24"/>
        </w:rPr>
        <w:t>当一笔新的申购申请被确认成功，使本基金总规模超过基金管理 </w:t>
      </w:r>
      <w:r>
        <w:rPr>
          <w:spacing w:val="-6"/>
          <w:sz w:val="24"/>
        </w:rPr>
        <w:t>人规定的本基金总规模上限时；或使本基金单日申购金额或净申购 </w:t>
      </w:r>
      <w:r>
        <w:rPr>
          <w:spacing w:val="-10"/>
          <w:sz w:val="24"/>
        </w:rPr>
        <w:t>比例超过基金管理人规定的当日申购金额或净申购比例上限时；或 </w:t>
      </w:r>
      <w:r>
        <w:rPr>
          <w:spacing w:val="4"/>
          <w:sz w:val="24"/>
        </w:rPr>
        <w:t>该投资人累计持有的份额超过单个投资人累计持有的份额上限时； 或该投资人当日申购金额超过单个投资人单日或单笔申购金额上 限时。</w:t>
      </w:r>
    </w:p>
    <w:p>
      <w:pPr>
        <w:pStyle w:val="ListParagraph"/>
        <w:numPr>
          <w:ilvl w:val="1"/>
          <w:numId w:val="10"/>
        </w:numPr>
        <w:tabs>
          <w:tab w:pos="1589" w:val="left" w:leader="none"/>
        </w:tabs>
        <w:spacing w:line="364" w:lineRule="auto" w:before="4" w:after="0"/>
        <w:ind w:left="1556" w:right="457" w:hanging="329"/>
        <w:jc w:val="both"/>
        <w:rPr>
          <w:sz w:val="24"/>
        </w:rPr>
      </w:pPr>
      <w:r>
        <w:rPr>
          <w:spacing w:val="-5"/>
          <w:sz w:val="24"/>
        </w:rPr>
        <w:t>当前一估值日基金资产净值 </w:t>
      </w:r>
      <w:r>
        <w:rPr>
          <w:sz w:val="24"/>
        </w:rPr>
        <w:t>50%以上的资产出现无可参考的活跃</w:t>
      </w:r>
      <w:r>
        <w:rPr>
          <w:spacing w:val="-8"/>
          <w:sz w:val="24"/>
        </w:rPr>
        <w:t>市场价格且采用估值技术仍导致公允价值存在重大不确定性时，经</w:t>
      </w:r>
      <w:r>
        <w:rPr>
          <w:spacing w:val="-12"/>
          <w:sz w:val="24"/>
        </w:rPr>
        <w:t>与基金托管人协商确认后，基金管理人应当采取暂停接受基金申购</w:t>
      </w:r>
      <w:r>
        <w:rPr>
          <w:spacing w:val="-4"/>
          <w:sz w:val="24"/>
        </w:rPr>
        <w:t>申请的措施。</w:t>
      </w:r>
    </w:p>
    <w:p>
      <w:pPr>
        <w:pStyle w:val="ListParagraph"/>
        <w:numPr>
          <w:ilvl w:val="1"/>
          <w:numId w:val="10"/>
        </w:numPr>
        <w:tabs>
          <w:tab w:pos="1589" w:val="left" w:leader="none"/>
        </w:tabs>
        <w:spacing w:line="240" w:lineRule="auto" w:before="2" w:after="0"/>
        <w:ind w:left="1589" w:right="0" w:hanging="361"/>
        <w:jc w:val="left"/>
        <w:rPr>
          <w:sz w:val="24"/>
        </w:rPr>
      </w:pPr>
      <w:r>
        <w:rPr>
          <w:sz w:val="24"/>
        </w:rPr>
        <w:t>法律法规规定或中国证监会认定的其他情形。</w:t>
      </w:r>
    </w:p>
    <w:p>
      <w:pPr>
        <w:pStyle w:val="BodyText"/>
        <w:spacing w:before="161"/>
        <w:ind w:left="600"/>
      </w:pPr>
      <w:r>
        <w:rPr/>
        <w:t>发生上述 1）、2）、3）、4）、7）、8）项情形时，基金管理人应根据有</w:t>
      </w:r>
    </w:p>
    <w:p>
      <w:pPr>
        <w:spacing w:after="0"/>
        <w:sectPr>
          <w:pgSz w:w="11910" w:h="16840"/>
          <w:pgMar w:header="0" w:footer="990" w:top="1460" w:bottom="1180" w:left="1680" w:right="1340"/>
        </w:sectPr>
      </w:pPr>
    </w:p>
    <w:p>
      <w:pPr>
        <w:pStyle w:val="BodyText"/>
        <w:spacing w:before="44"/>
      </w:pPr>
      <w:r>
        <w:rPr/>
        <w:t>关规定在指定媒介上刊登暂停申购公告。</w:t>
      </w:r>
    </w:p>
    <w:p>
      <w:pPr>
        <w:pStyle w:val="BodyText"/>
        <w:spacing w:line="364" w:lineRule="auto" w:before="160"/>
        <w:ind w:left="600" w:right="1085"/>
      </w:pPr>
      <w:r>
        <w:rPr/>
        <w:t>如果投资人的申购申请被拒绝，被拒绝的申购款项将退还给投资人。在暂停申购的情况消除时，基金管理人应及时恢复申购业务的办理。</w:t>
      </w:r>
    </w:p>
    <w:p>
      <w:pPr>
        <w:pStyle w:val="ListParagraph"/>
        <w:numPr>
          <w:ilvl w:val="0"/>
          <w:numId w:val="10"/>
        </w:numPr>
        <w:tabs>
          <w:tab w:pos="1201" w:val="left" w:leader="none"/>
        </w:tabs>
        <w:spacing w:line="240" w:lineRule="auto" w:before="2" w:after="0"/>
        <w:ind w:left="1201" w:right="0" w:hanging="601"/>
        <w:jc w:val="left"/>
        <w:rPr>
          <w:sz w:val="24"/>
        </w:rPr>
      </w:pPr>
      <w:r>
        <w:rPr>
          <w:sz w:val="24"/>
        </w:rPr>
        <w:t>在如下情况下，基金管理人可以暂停接受投资人的赎回申请：</w:t>
      </w:r>
    </w:p>
    <w:p>
      <w:pPr>
        <w:pStyle w:val="ListParagraph"/>
        <w:numPr>
          <w:ilvl w:val="0"/>
          <w:numId w:val="11"/>
        </w:numPr>
        <w:tabs>
          <w:tab w:pos="1589" w:val="left" w:leader="none"/>
        </w:tabs>
        <w:spacing w:line="240" w:lineRule="auto" w:before="160" w:after="0"/>
        <w:ind w:left="1589" w:right="0" w:hanging="361"/>
        <w:jc w:val="left"/>
        <w:rPr>
          <w:sz w:val="24"/>
        </w:rPr>
      </w:pPr>
      <w:r>
        <w:rPr>
          <w:sz w:val="24"/>
        </w:rPr>
        <w:t>因不可抗力导致基金管理人不能支付赎回款项；</w:t>
      </w:r>
    </w:p>
    <w:p>
      <w:pPr>
        <w:pStyle w:val="ListParagraph"/>
        <w:numPr>
          <w:ilvl w:val="0"/>
          <w:numId w:val="11"/>
        </w:numPr>
        <w:tabs>
          <w:tab w:pos="1597" w:val="left" w:leader="none"/>
        </w:tabs>
        <w:spacing w:line="364" w:lineRule="auto" w:before="161" w:after="0"/>
        <w:ind w:left="1556" w:right="458" w:hanging="329"/>
        <w:jc w:val="left"/>
        <w:rPr>
          <w:sz w:val="24"/>
        </w:rPr>
      </w:pPr>
      <w:r>
        <w:rPr>
          <w:spacing w:val="2"/>
          <w:sz w:val="24"/>
        </w:rPr>
        <w:t>证券交易场所在交易时间内非正常停市，导致基金管理人无法计</w:t>
      </w:r>
      <w:r>
        <w:rPr>
          <w:sz w:val="24"/>
        </w:rPr>
        <w:t>算当日基金资产净值；</w:t>
      </w:r>
    </w:p>
    <w:p>
      <w:pPr>
        <w:pStyle w:val="ListParagraph"/>
        <w:numPr>
          <w:ilvl w:val="0"/>
          <w:numId w:val="11"/>
        </w:numPr>
        <w:tabs>
          <w:tab w:pos="1597" w:val="left" w:leader="none"/>
        </w:tabs>
        <w:spacing w:line="364" w:lineRule="auto" w:before="1" w:after="0"/>
        <w:ind w:left="1556" w:right="458" w:hanging="329"/>
        <w:jc w:val="left"/>
        <w:rPr>
          <w:sz w:val="24"/>
        </w:rPr>
      </w:pPr>
      <w:r>
        <w:rPr>
          <w:spacing w:val="2"/>
          <w:sz w:val="24"/>
        </w:rPr>
        <w:t>发生巨额赎回，根据本基金合同规定，可以暂停接受赎回申请的</w:t>
      </w:r>
      <w:r>
        <w:rPr>
          <w:sz w:val="24"/>
        </w:rPr>
        <w:t>情况；</w:t>
      </w:r>
    </w:p>
    <w:p>
      <w:pPr>
        <w:pStyle w:val="ListParagraph"/>
        <w:numPr>
          <w:ilvl w:val="0"/>
          <w:numId w:val="11"/>
        </w:numPr>
        <w:tabs>
          <w:tab w:pos="1589" w:val="left" w:leader="none"/>
        </w:tabs>
        <w:spacing w:line="240" w:lineRule="auto" w:before="1" w:after="0"/>
        <w:ind w:left="1589" w:right="0" w:hanging="361"/>
        <w:jc w:val="left"/>
        <w:rPr>
          <w:sz w:val="24"/>
        </w:rPr>
      </w:pPr>
      <w:r>
        <w:rPr>
          <w:sz w:val="24"/>
        </w:rPr>
        <w:t>发生本基金合同规定的暂停基金资产估值情况；</w:t>
      </w:r>
    </w:p>
    <w:p>
      <w:pPr>
        <w:pStyle w:val="ListParagraph"/>
        <w:numPr>
          <w:ilvl w:val="0"/>
          <w:numId w:val="11"/>
        </w:numPr>
        <w:tabs>
          <w:tab w:pos="1595" w:val="left" w:leader="none"/>
        </w:tabs>
        <w:spacing w:line="364" w:lineRule="auto" w:before="160" w:after="0"/>
        <w:ind w:left="1556" w:right="457" w:hanging="329"/>
        <w:jc w:val="both"/>
        <w:rPr>
          <w:sz w:val="24"/>
        </w:rPr>
      </w:pPr>
      <w:r>
        <w:rPr>
          <w:spacing w:val="-3"/>
          <w:sz w:val="24"/>
        </w:rPr>
        <w:t>当前一估值日基金资产净值 </w:t>
      </w:r>
      <w:r>
        <w:rPr>
          <w:rFonts w:ascii="Times New Roman" w:eastAsia="Times New Roman"/>
          <w:sz w:val="24"/>
        </w:rPr>
        <w:t>50%</w:t>
      </w:r>
      <w:r>
        <w:rPr>
          <w:spacing w:val="2"/>
          <w:sz w:val="24"/>
        </w:rPr>
        <w:t>以上的资产出现无可参考的活跃</w:t>
      </w:r>
      <w:r>
        <w:rPr>
          <w:spacing w:val="-3"/>
          <w:sz w:val="24"/>
        </w:rPr>
        <w:t>市场价格且采用估值技术仍导致公允价值存在重大不确定性时，经</w:t>
      </w:r>
      <w:r>
        <w:rPr>
          <w:spacing w:val="-9"/>
          <w:sz w:val="24"/>
        </w:rPr>
        <w:t>与基金托管人协商确认后，基金管理人应当采取延缓支付赎回款项</w:t>
      </w:r>
      <w:r>
        <w:rPr>
          <w:sz w:val="24"/>
        </w:rPr>
        <w:t>或暂停接受基金赎回申请的措施。</w:t>
      </w:r>
    </w:p>
    <w:p>
      <w:pPr>
        <w:pStyle w:val="ListParagraph"/>
        <w:numPr>
          <w:ilvl w:val="0"/>
          <w:numId w:val="11"/>
        </w:numPr>
        <w:tabs>
          <w:tab w:pos="1589" w:val="left" w:leader="none"/>
        </w:tabs>
        <w:spacing w:line="240" w:lineRule="auto" w:before="3" w:after="0"/>
        <w:ind w:left="1589" w:right="0" w:hanging="361"/>
        <w:jc w:val="left"/>
        <w:rPr>
          <w:sz w:val="24"/>
        </w:rPr>
      </w:pPr>
      <w:r>
        <w:rPr>
          <w:sz w:val="24"/>
        </w:rPr>
        <w:t>法律法规规定或中国证监会认定的其他情形。</w:t>
      </w:r>
    </w:p>
    <w:p>
      <w:pPr>
        <w:pStyle w:val="BodyText"/>
        <w:spacing w:line="364" w:lineRule="auto" w:before="160"/>
        <w:ind w:left="600" w:right="245"/>
      </w:pPr>
      <w:r>
        <w:rPr>
          <w:spacing w:val="-12"/>
        </w:rPr>
        <w:t>发生上述情形时，基金管理人应当在当日立即向中国证监会备案并予以公告。</w:t>
      </w:r>
      <w:r>
        <w:rPr>
          <w:spacing w:val="-6"/>
        </w:rPr>
        <w:t>已经确认的赎回申请，基金管理人应当足额支付；如暂时不能足额支付，应</w:t>
      </w:r>
    </w:p>
    <w:p>
      <w:pPr>
        <w:pStyle w:val="BodyText"/>
        <w:spacing w:line="364" w:lineRule="auto" w:before="2"/>
        <w:ind w:right="458"/>
      </w:pPr>
      <w:r>
        <w:rPr/>
        <w:t>当按单个赎回申请人已被接受的赎回申请量占已接受的赎回申请总量的比例分配给赎回申请人，其余部分在后续开放日予以支付。</w:t>
      </w:r>
    </w:p>
    <w:p>
      <w:pPr>
        <w:pStyle w:val="BodyText"/>
        <w:ind w:left="600"/>
      </w:pPr>
      <w:r>
        <w:rPr/>
        <w:t>在暂停赎回的情况消除时，基金管理人应及时恢复赎回业务的办理。</w:t>
      </w:r>
    </w:p>
    <w:p>
      <w:pPr>
        <w:pStyle w:val="ListParagraph"/>
        <w:numPr>
          <w:ilvl w:val="0"/>
          <w:numId w:val="10"/>
        </w:numPr>
        <w:tabs>
          <w:tab w:pos="1203" w:val="left" w:leader="none"/>
        </w:tabs>
        <w:spacing w:line="364" w:lineRule="auto" w:before="160" w:after="0"/>
        <w:ind w:left="120" w:right="458" w:firstLine="480"/>
        <w:jc w:val="left"/>
        <w:rPr>
          <w:sz w:val="24"/>
        </w:rPr>
      </w:pPr>
      <w:r>
        <w:rPr>
          <w:sz w:val="24"/>
        </w:rPr>
        <w:t>暂停期间结束，基金重新开放申购或赎回时，基金管理人应按规定公告并报中国证监会备案。</w:t>
      </w:r>
    </w:p>
    <w:p>
      <w:pPr>
        <w:pStyle w:val="ListParagraph"/>
        <w:numPr>
          <w:ilvl w:val="0"/>
          <w:numId w:val="12"/>
        </w:numPr>
        <w:tabs>
          <w:tab w:pos="1597" w:val="left" w:leader="none"/>
        </w:tabs>
        <w:spacing w:line="364" w:lineRule="auto" w:before="1" w:after="0"/>
        <w:ind w:left="1556" w:right="457" w:hanging="329"/>
        <w:jc w:val="both"/>
        <w:rPr>
          <w:sz w:val="24"/>
        </w:rPr>
      </w:pPr>
      <w:r>
        <w:rPr>
          <w:spacing w:val="-4"/>
          <w:sz w:val="24"/>
        </w:rPr>
        <w:t>如果发生暂停的时间为 </w:t>
      </w:r>
      <w:r>
        <w:rPr>
          <w:sz w:val="24"/>
        </w:rPr>
        <w:t>1</w:t>
      </w:r>
      <w:r>
        <w:rPr>
          <w:spacing w:val="-5"/>
          <w:sz w:val="24"/>
        </w:rPr>
        <w:t> 日，基金管理人应于重新开放申购或赎回日在指定媒介上刊登基金重新开放申购或赎回的公告，并公告最</w:t>
      </w:r>
      <w:r>
        <w:rPr>
          <w:sz w:val="24"/>
        </w:rPr>
        <w:t>近一个开放日的基金份额净值；</w:t>
      </w:r>
    </w:p>
    <w:p>
      <w:pPr>
        <w:pStyle w:val="ListParagraph"/>
        <w:numPr>
          <w:ilvl w:val="0"/>
          <w:numId w:val="12"/>
        </w:numPr>
        <w:tabs>
          <w:tab w:pos="1597" w:val="left" w:leader="none"/>
        </w:tabs>
        <w:spacing w:line="240" w:lineRule="auto" w:before="2" w:after="0"/>
        <w:ind w:left="1596" w:right="0" w:hanging="369"/>
        <w:jc w:val="both"/>
        <w:rPr>
          <w:sz w:val="24"/>
        </w:rPr>
      </w:pPr>
      <w:r>
        <w:rPr>
          <w:spacing w:val="-3"/>
          <w:sz w:val="24"/>
        </w:rPr>
        <w:t>如果发生暂停的时间超过 </w:t>
      </w:r>
      <w:r>
        <w:rPr>
          <w:sz w:val="24"/>
        </w:rPr>
        <w:t>1</w:t>
      </w:r>
      <w:r>
        <w:rPr>
          <w:spacing w:val="-17"/>
          <w:sz w:val="24"/>
        </w:rPr>
        <w:t> 日但少于 </w:t>
      </w:r>
      <w:r>
        <w:rPr>
          <w:sz w:val="24"/>
        </w:rPr>
        <w:t>2</w:t>
      </w:r>
      <w:r>
        <w:rPr>
          <w:spacing w:val="-4"/>
          <w:sz w:val="24"/>
        </w:rPr>
        <w:t> 周，基金管理人应于重新</w:t>
      </w:r>
    </w:p>
    <w:p>
      <w:pPr>
        <w:pStyle w:val="BodyText"/>
        <w:spacing w:line="364" w:lineRule="auto" w:before="161"/>
        <w:ind w:left="1556" w:right="457"/>
        <w:jc w:val="both"/>
      </w:pPr>
      <w:r>
        <w:rPr>
          <w:spacing w:val="-2"/>
        </w:rPr>
        <w:t>开放申购或赎回日的前 </w:t>
      </w:r>
      <w:r>
        <w:rPr/>
        <w:t>1</w:t>
      </w:r>
      <w:r>
        <w:rPr>
          <w:spacing w:val="-3"/>
        </w:rPr>
        <w:t> 个工作日在指定媒介上刊登基金重新开</w:t>
      </w:r>
      <w:r>
        <w:rPr>
          <w:spacing w:val="-12"/>
        </w:rPr>
        <w:t>放申购或赎回的公告，并于重新开放申购或赎回日公告最近一个开</w:t>
      </w:r>
      <w:r>
        <w:rPr/>
        <w:t>放日的基金份额净值；</w:t>
      </w:r>
    </w:p>
    <w:p>
      <w:pPr>
        <w:spacing w:after="0" w:line="364" w:lineRule="auto"/>
        <w:jc w:val="both"/>
        <w:sectPr>
          <w:pgSz w:w="11910" w:h="16840"/>
          <w:pgMar w:header="0" w:footer="990" w:top="1460" w:bottom="1180" w:left="1680" w:right="1340"/>
        </w:sectPr>
      </w:pPr>
    </w:p>
    <w:p>
      <w:pPr>
        <w:pStyle w:val="ListParagraph"/>
        <w:numPr>
          <w:ilvl w:val="0"/>
          <w:numId w:val="12"/>
        </w:numPr>
        <w:tabs>
          <w:tab w:pos="1600" w:val="left" w:leader="none"/>
        </w:tabs>
        <w:spacing w:line="240" w:lineRule="auto" w:before="44" w:after="0"/>
        <w:ind w:left="1599" w:right="0" w:hanging="372"/>
        <w:jc w:val="left"/>
        <w:rPr>
          <w:sz w:val="24"/>
        </w:rPr>
      </w:pPr>
      <w:r>
        <w:rPr>
          <w:spacing w:val="-3"/>
          <w:sz w:val="24"/>
        </w:rPr>
        <w:t>如果发生暂停的时间超过 </w:t>
      </w:r>
      <w:r>
        <w:rPr>
          <w:sz w:val="24"/>
        </w:rPr>
        <w:t>2</w:t>
      </w:r>
      <w:r>
        <w:rPr>
          <w:spacing w:val="-5"/>
          <w:sz w:val="24"/>
        </w:rPr>
        <w:t> 周，基金管理人应在暂停期间每两周</w:t>
      </w:r>
    </w:p>
    <w:p>
      <w:pPr>
        <w:pStyle w:val="BodyText"/>
        <w:spacing w:line="364" w:lineRule="auto" w:before="160"/>
        <w:ind w:left="1556" w:right="98"/>
      </w:pPr>
      <w:r>
        <w:rPr/>
        <w:t>至少重复刊登暂停公告一次。暂停结束基金重新开放申购或赎回时， 基金管理人应最迟提前 2 日在指定媒介上刊登基金重新开放申购</w:t>
      </w:r>
    </w:p>
    <w:p>
      <w:pPr>
        <w:pStyle w:val="BodyText"/>
        <w:spacing w:line="364" w:lineRule="auto" w:before="2"/>
        <w:ind w:left="1556" w:right="457"/>
      </w:pPr>
      <w:r>
        <w:rPr>
          <w:spacing w:val="-11"/>
        </w:rPr>
        <w:t>或赎回的公告，并在重新开放申购或赎回日公告最近一个开放日的</w:t>
      </w:r>
      <w:r>
        <w:rPr/>
        <w:t>基金份额净值。</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（十一）基金转换</w:t>
      </w:r>
    </w:p>
    <w:p>
      <w:pPr>
        <w:pStyle w:val="BodyText"/>
        <w:spacing w:before="4"/>
        <w:ind w:left="0"/>
        <w:rPr>
          <w:rFonts w:ascii="Microsoft JhengHei"/>
          <w:b/>
          <w:sz w:val="14"/>
        </w:rPr>
      </w:pPr>
    </w:p>
    <w:p>
      <w:pPr>
        <w:pStyle w:val="BodyText"/>
        <w:spacing w:line="364" w:lineRule="auto" w:before="0"/>
        <w:ind w:right="458" w:firstLine="480"/>
        <w:jc w:val="both"/>
      </w:pPr>
      <w:r>
        <w:rPr>
          <w:spacing w:val="3"/>
        </w:rPr>
        <w:t>基金转换是指基金份额持有人在本基金存续期间按照基金管理人的规定申</w:t>
      </w:r>
      <w:r>
        <w:rPr>
          <w:spacing w:val="-2"/>
        </w:rPr>
        <w:t>请将其持有的本基金基金份额全部或部分转换为基金管理人管理的、由同一注册</w:t>
      </w:r>
      <w:r>
        <w:rPr>
          <w:spacing w:val="-6"/>
        </w:rPr>
        <w:t>登记人办理注册登记的其它开放式基金份额的行为。基金管理人在本基金合同生效后的适当时候将为投资人办理基金间的转换业务，具体业务办理时间、业务规</w:t>
      </w:r>
      <w:r>
        <w:rPr>
          <w:spacing w:val="-8"/>
        </w:rPr>
        <w:t>则及转换费率在基金转换公告中列明。基金管理人最迟应于转换业务开始前 </w:t>
      </w:r>
      <w:r>
        <w:rPr/>
        <w:t>2</w:t>
      </w:r>
      <w:r>
        <w:rPr>
          <w:spacing w:val="-39"/>
        </w:rPr>
        <w:t> 日</w:t>
      </w:r>
      <w:r>
        <w:rPr/>
        <w:t>在指定媒介上刊登公告。</w:t>
      </w:r>
    </w:p>
    <w:p>
      <w:pPr>
        <w:spacing w:line="366" w:lineRule="exact" w:before="0"/>
        <w:ind w:left="120" w:right="0" w:firstLine="0"/>
        <w:jc w:val="left"/>
        <w:rPr>
          <w:rFonts w:ascii="Microsoft JhengHei" w:eastAsia="Microsoft JhengHei" w:hint="eastAsia"/>
          <w:b/>
          <w:sz w:val="24"/>
        </w:rPr>
      </w:pPr>
      <w:r>
        <w:rPr>
          <w:rFonts w:ascii="Microsoft JhengHei" w:eastAsia="Microsoft JhengHei" w:hint="eastAsia"/>
          <w:b/>
          <w:sz w:val="24"/>
        </w:rPr>
        <w:t>（十二）定期定额投资计划</w:t>
      </w:r>
    </w:p>
    <w:p>
      <w:pPr>
        <w:pStyle w:val="BodyText"/>
        <w:spacing w:line="364" w:lineRule="auto" w:before="106"/>
        <w:ind w:right="218" w:firstLine="420"/>
      </w:pPr>
      <w:r>
        <w:rPr/>
        <w:t>在各项条件成熟的情况下，本基金可为投资人提供定期定额投资计划服务， 具体实施方法以招募说明书或基金管理人届时公布的业务规则或公告为准。</w:t>
      </w:r>
    </w:p>
    <w:p>
      <w:pPr>
        <w:spacing w:after="0" w:line="364" w:lineRule="auto"/>
        <w:sectPr>
          <w:pgSz w:w="11910" w:h="16840"/>
          <w:pgMar w:header="0" w:footer="990" w:top="1460" w:bottom="1180" w:left="1680" w:right="1340"/>
        </w:sectPr>
      </w:pPr>
    </w:p>
    <w:p>
      <w:pPr>
        <w:pStyle w:val="Heading1"/>
        <w:tabs>
          <w:tab w:pos="1123" w:val="left" w:leader="none"/>
        </w:tabs>
        <w:spacing w:before="1"/>
        <w:ind w:left="403"/>
      </w:pPr>
      <w:bookmarkStart w:name="_bookmark6" w:id="7"/>
      <w:bookmarkEnd w:id="7"/>
      <w:r>
        <w:rPr>
          <w:b w:val="0"/>
        </w:rPr>
      </w:r>
      <w:r>
        <w:rPr>
          <w:position w:val="-2"/>
        </w:rPr>
        <w:t>七、</w:t>
        <w:tab/>
      </w:r>
      <w:r>
        <w:rPr/>
        <w:t>基金的非交易过户与转托管</w:t>
      </w:r>
    </w:p>
    <w:p>
      <w:pPr>
        <w:pStyle w:val="BodyText"/>
        <w:spacing w:line="364" w:lineRule="auto" w:before="231"/>
        <w:ind w:right="458"/>
        <w:jc w:val="both"/>
      </w:pPr>
      <w:r>
        <w:rPr/>
        <w:t>（一</w:t>
      </w:r>
      <w:r>
        <w:rPr>
          <w:spacing w:val="-32"/>
        </w:rPr>
        <w:t>）</w:t>
      </w:r>
      <w:r>
        <w:rPr>
          <w:spacing w:val="-6"/>
        </w:rPr>
        <w:t>非交易过户是指不采用申购、赎回等基金交易方式，将一定数量的基金份</w:t>
      </w:r>
      <w:r>
        <w:rPr>
          <w:spacing w:val="-4"/>
        </w:rPr>
        <w:t>额按照一定规则从某一投资人基金账户转移到另一投资人基金账户的行为，包括</w:t>
      </w:r>
      <w:r>
        <w:rPr>
          <w:spacing w:val="-11"/>
        </w:rPr>
        <w:t>继承、捐赠、强制执行，及基金注册登记人认可的其它行为。无论在上述何种情</w:t>
      </w:r>
      <w:r>
        <w:rPr/>
        <w:t>况下，接受划转的主体必须是依法可以持有本基金基金份额的投资人。其中：</w:t>
      </w:r>
    </w:p>
    <w:p>
      <w:pPr>
        <w:pStyle w:val="ListParagraph"/>
        <w:numPr>
          <w:ilvl w:val="0"/>
          <w:numId w:val="13"/>
        </w:numPr>
        <w:tabs>
          <w:tab w:pos="1203" w:val="left" w:leader="none"/>
        </w:tabs>
        <w:spacing w:line="364" w:lineRule="auto" w:before="159" w:after="0"/>
        <w:ind w:left="120" w:right="458" w:firstLine="480"/>
        <w:jc w:val="left"/>
        <w:rPr>
          <w:sz w:val="24"/>
        </w:rPr>
      </w:pPr>
      <w:r>
        <w:rPr>
          <w:sz w:val="24"/>
        </w:rPr>
        <w:t>“继承”是指基金份额持有人死亡，其持有的基金份额由其合法的继承人继承。</w:t>
      </w:r>
    </w:p>
    <w:p>
      <w:pPr>
        <w:pStyle w:val="ListParagraph"/>
        <w:numPr>
          <w:ilvl w:val="0"/>
          <w:numId w:val="13"/>
        </w:numPr>
        <w:tabs>
          <w:tab w:pos="1203" w:val="left" w:leader="none"/>
        </w:tabs>
        <w:spacing w:line="364" w:lineRule="auto" w:before="1" w:after="0"/>
        <w:ind w:left="120" w:right="458" w:firstLine="480"/>
        <w:jc w:val="left"/>
        <w:rPr>
          <w:sz w:val="24"/>
        </w:rPr>
      </w:pPr>
      <w:r>
        <w:rPr>
          <w:sz w:val="24"/>
        </w:rPr>
        <w:t>“捐赠”仅指基金份额持有人将其合法持有的基金份额捐赠给福利性质的基金会或其他具有社会公益性质的社会团体。</w:t>
      </w:r>
    </w:p>
    <w:p>
      <w:pPr>
        <w:pStyle w:val="ListParagraph"/>
        <w:numPr>
          <w:ilvl w:val="0"/>
          <w:numId w:val="13"/>
        </w:numPr>
        <w:tabs>
          <w:tab w:pos="1203" w:val="left" w:leader="none"/>
        </w:tabs>
        <w:spacing w:line="364" w:lineRule="auto" w:before="1" w:after="0"/>
        <w:ind w:left="120" w:right="458" w:firstLine="480"/>
        <w:jc w:val="left"/>
        <w:rPr>
          <w:sz w:val="24"/>
        </w:rPr>
      </w:pPr>
      <w:r>
        <w:rPr>
          <w:sz w:val="24"/>
        </w:rPr>
        <w:t>“强制执行”是指国家有权机关依据生效的法律文书将基金份额持有人持有的基金份额强制执行划转给其他自然人、法人、社会团体或其他组织。</w:t>
      </w:r>
    </w:p>
    <w:p>
      <w:pPr>
        <w:pStyle w:val="BodyText"/>
        <w:ind w:left="600"/>
      </w:pPr>
      <w:r>
        <w:rPr/>
        <w:t>基金注册登记人可以办理的非交易过户情形，以其公告的业务规则为准。</w:t>
      </w:r>
    </w:p>
    <w:p>
      <w:pPr>
        <w:pStyle w:val="BodyText"/>
        <w:spacing w:before="9"/>
        <w:ind w:left="0"/>
      </w:pPr>
    </w:p>
    <w:p>
      <w:pPr>
        <w:pStyle w:val="BodyText"/>
        <w:spacing w:line="364" w:lineRule="auto" w:before="0"/>
        <w:ind w:right="458"/>
      </w:pPr>
      <w:r>
        <w:rPr/>
        <w:t>（二</w:t>
      </w:r>
      <w:r>
        <w:rPr>
          <w:spacing w:val="-48"/>
        </w:rPr>
        <w:t>）</w:t>
      </w:r>
      <w:r>
        <w:rPr>
          <w:spacing w:val="-3"/>
        </w:rPr>
        <w:t>办理非交易过户业务必须提供基金注册登记人要求提供的相关资料，直接</w:t>
      </w:r>
      <w:r>
        <w:rPr/>
        <w:t>向基金注册登记人或其指定的机构申请办理。</w:t>
      </w:r>
    </w:p>
    <w:p>
      <w:pPr>
        <w:pStyle w:val="BodyText"/>
        <w:spacing w:line="364" w:lineRule="auto" w:before="158"/>
        <w:ind w:right="338"/>
      </w:pPr>
      <w:r>
        <w:rPr/>
        <w:t>（三</w:t>
      </w:r>
      <w:r>
        <w:rPr>
          <w:spacing w:val="-72"/>
        </w:rPr>
        <w:t>）</w:t>
      </w:r>
      <w:r>
        <w:rPr>
          <w:spacing w:val="-3"/>
        </w:rPr>
        <w:t>基金份额持有人在变更办理基金申购与赎回等业务的销售机构</w:t>
      </w:r>
      <w:r>
        <w:rPr/>
        <w:t>（网点</w:t>
      </w:r>
      <w:r>
        <w:rPr>
          <w:spacing w:val="-72"/>
        </w:rPr>
        <w:t>）</w:t>
      </w:r>
      <w:r>
        <w:rPr>
          <w:spacing w:val="-8"/>
        </w:rPr>
        <w:t>时， </w:t>
      </w:r>
      <w:r>
        <w:rPr>
          <w:spacing w:val="-4"/>
        </w:rPr>
        <w:t>可根据各销售机构的实际情况办理已持有基金份额的转托管。基金销售机构可以按照其业务规则规定的标准收取转托管费。</w:t>
      </w:r>
    </w:p>
    <w:p>
      <w:pPr>
        <w:spacing w:after="0" w:line="364" w:lineRule="auto"/>
        <w:sectPr>
          <w:pgSz w:w="11910" w:h="16840"/>
          <w:pgMar w:header="0" w:footer="990" w:top="1580" w:bottom="1180" w:left="1680" w:right="1340"/>
        </w:sectPr>
      </w:pPr>
    </w:p>
    <w:p>
      <w:pPr>
        <w:pStyle w:val="Heading1"/>
        <w:tabs>
          <w:tab w:pos="1123" w:val="left" w:leader="none"/>
        </w:tabs>
        <w:spacing w:line="213" w:lineRule="auto"/>
        <w:ind w:left="403"/>
      </w:pPr>
      <w:bookmarkStart w:name="_bookmark7" w:id="8"/>
      <w:bookmarkEnd w:id="8"/>
      <w:r>
        <w:rPr>
          <w:b w:val="0"/>
        </w:rPr>
      </w:r>
      <w:r>
        <w:rPr>
          <w:position w:val="-2"/>
        </w:rPr>
        <w:t>八、</w:t>
        <w:tab/>
      </w:r>
      <w:r>
        <w:rPr/>
        <w:t>基金份额的冻结、解冻及质押</w:t>
      </w:r>
    </w:p>
    <w:p>
      <w:pPr>
        <w:pStyle w:val="BodyText"/>
        <w:spacing w:before="6"/>
        <w:ind w:left="0"/>
        <w:rPr>
          <w:rFonts w:ascii="Microsoft JhengHei"/>
          <w:b/>
          <w:sz w:val="13"/>
        </w:rPr>
      </w:pPr>
    </w:p>
    <w:p>
      <w:pPr>
        <w:pStyle w:val="BodyText"/>
        <w:spacing w:line="364" w:lineRule="auto" w:before="0"/>
        <w:ind w:right="218"/>
      </w:pPr>
      <w:r>
        <w:rPr>
          <w:spacing w:val="4"/>
        </w:rPr>
        <w:t>（一）</w:t>
      </w:r>
      <w:r>
        <w:rPr>
          <w:spacing w:val="3"/>
        </w:rPr>
        <w:t>基金注册登记人只受理国家有权机关依法要求的基金份额的冻结与解冻。</w:t>
      </w:r>
      <w:r>
        <w:rPr>
          <w:spacing w:val="-3"/>
        </w:rPr>
        <w:t>基金份额被冻结的，被冻结部分产生的权益</w:t>
      </w:r>
      <w:r>
        <w:rPr/>
        <w:t>（包括现金分红和红利再投资</w:t>
      </w:r>
      <w:r>
        <w:rPr>
          <w:spacing w:val="-32"/>
        </w:rPr>
        <w:t>）</w:t>
      </w:r>
      <w:r>
        <w:rPr/>
        <w:t>一并 冻结。</w:t>
      </w:r>
    </w:p>
    <w:p>
      <w:pPr>
        <w:pStyle w:val="BodyText"/>
        <w:spacing w:line="364" w:lineRule="auto" w:before="158"/>
        <w:ind w:right="458"/>
      </w:pPr>
      <w:r>
        <w:rPr/>
        <w:t>（二</w:t>
      </w:r>
      <w:r>
        <w:rPr>
          <w:spacing w:val="-48"/>
        </w:rPr>
        <w:t>）</w:t>
      </w:r>
      <w:r>
        <w:rPr>
          <w:spacing w:val="-4"/>
        </w:rPr>
        <w:t>在不违反届时有效的法律法规的条件下，本基金将可以办理基金份额的质</w:t>
      </w:r>
      <w:r>
        <w:rPr/>
        <w:t>押业务或其他业务。</w:t>
      </w:r>
    </w:p>
    <w:p>
      <w:pPr>
        <w:spacing w:after="0" w:line="364" w:lineRule="auto"/>
        <w:sectPr>
          <w:pgSz w:w="11910" w:h="16840"/>
          <w:pgMar w:header="0" w:footer="990" w:top="1460" w:bottom="1180" w:left="1680" w:right="1340"/>
        </w:sectPr>
      </w:pPr>
    </w:p>
    <w:p>
      <w:pPr>
        <w:pStyle w:val="Heading1"/>
        <w:tabs>
          <w:tab w:pos="1123" w:val="left" w:leader="none"/>
        </w:tabs>
        <w:spacing w:line="213" w:lineRule="auto"/>
        <w:ind w:left="403"/>
      </w:pPr>
      <w:bookmarkStart w:name="_bookmark8" w:id="9"/>
      <w:bookmarkEnd w:id="9"/>
      <w:r>
        <w:rPr>
          <w:b w:val="0"/>
        </w:rPr>
      </w:r>
      <w:r>
        <w:rPr>
          <w:position w:val="-2"/>
        </w:rPr>
        <w:t>九、</w:t>
        <w:tab/>
      </w:r>
      <w:r>
        <w:rPr/>
        <w:t>基金合同当事人及其权利义务</w:t>
      </w:r>
    </w:p>
    <w:p>
      <w:pPr>
        <w:spacing w:before="166"/>
        <w:ind w:left="120" w:right="0" w:firstLine="0"/>
        <w:jc w:val="left"/>
        <w:rPr>
          <w:rFonts w:ascii="Microsoft JhengHei" w:eastAsia="Microsoft JhengHei" w:hint="eastAsia"/>
          <w:b/>
          <w:sz w:val="24"/>
        </w:rPr>
      </w:pPr>
      <w:r>
        <w:rPr>
          <w:rFonts w:ascii="Microsoft JhengHei" w:eastAsia="Microsoft JhengHei" w:hint="eastAsia"/>
          <w:b/>
          <w:sz w:val="24"/>
        </w:rPr>
        <w:t>（一）基金管理人</w:t>
      </w:r>
    </w:p>
    <w:p>
      <w:pPr>
        <w:pStyle w:val="BodyText"/>
        <w:spacing w:before="4"/>
        <w:ind w:left="0"/>
        <w:rPr>
          <w:rFonts w:ascii="Microsoft JhengHei"/>
          <w:b/>
          <w:sz w:val="14"/>
        </w:rPr>
      </w:pPr>
    </w:p>
    <w:p>
      <w:pPr>
        <w:pStyle w:val="ListParagraph"/>
        <w:numPr>
          <w:ilvl w:val="0"/>
          <w:numId w:val="14"/>
        </w:numPr>
        <w:tabs>
          <w:tab w:pos="1201" w:val="left" w:leader="none"/>
        </w:tabs>
        <w:spacing w:line="240" w:lineRule="auto" w:before="0" w:after="0"/>
        <w:ind w:left="1201" w:right="0" w:hanging="601"/>
        <w:jc w:val="left"/>
        <w:rPr>
          <w:sz w:val="24"/>
        </w:rPr>
      </w:pPr>
      <w:r>
        <w:rPr>
          <w:sz w:val="24"/>
        </w:rPr>
        <w:t>基金管理人基本情况</w:t>
      </w:r>
    </w:p>
    <w:p>
      <w:pPr>
        <w:pStyle w:val="BodyText"/>
        <w:spacing w:before="161"/>
        <w:ind w:left="750"/>
      </w:pPr>
      <w:r>
        <w:rPr/>
        <w:t>名称：易方达基金管理有限公司</w:t>
      </w:r>
    </w:p>
    <w:p>
      <w:pPr>
        <w:pStyle w:val="BodyText"/>
        <w:spacing w:line="364" w:lineRule="auto" w:before="160"/>
        <w:ind w:left="750" w:right="733"/>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7"/>
        </w:rPr>
        <w:t>） </w:t>
      </w:r>
      <w:r>
        <w:rPr/>
        <w:t>法定代表人：刘晓艳</w:t>
      </w:r>
    </w:p>
    <w:p>
      <w:pPr>
        <w:pStyle w:val="BodyText"/>
        <w:ind w:left="750"/>
      </w:pPr>
      <w:r>
        <w:rPr/>
        <w:t>成立日期： 2001 年 4 月 17 日</w:t>
      </w:r>
    </w:p>
    <w:p>
      <w:pPr>
        <w:pStyle w:val="BodyText"/>
        <w:spacing w:before="161"/>
        <w:ind w:left="750"/>
      </w:pPr>
      <w:r>
        <w:rPr/>
        <w:t>批准设立机关：中国证券监督管理委员会</w:t>
      </w:r>
    </w:p>
    <w:p>
      <w:pPr>
        <w:pStyle w:val="BodyText"/>
        <w:spacing w:before="160"/>
        <w:ind w:left="750"/>
      </w:pPr>
      <w:r>
        <w:rPr/>
        <w:t>批准设立文号：中国证监会证监基金字[2001]4</w:t>
      </w:r>
    </w:p>
    <w:p>
      <w:pPr>
        <w:pStyle w:val="BodyText"/>
        <w:spacing w:line="364" w:lineRule="auto" w:before="161"/>
        <w:ind w:left="750" w:right="694"/>
      </w:pPr>
      <w:r>
        <w:rPr/>
        <w:t>经营范围：公开募集证券投资基金管理、基金销售、特定客户资产管理组织形式：有限责任公司</w:t>
      </w:r>
    </w:p>
    <w:p>
      <w:pPr>
        <w:pStyle w:val="BodyText"/>
        <w:spacing w:line="364" w:lineRule="auto"/>
        <w:ind w:left="750" w:right="4774"/>
      </w:pPr>
      <w:r>
        <w:rPr/>
        <w:t>注册资本：壹亿贰千万元人民币存续期限：持续经营</w:t>
      </w:r>
    </w:p>
    <w:p>
      <w:pPr>
        <w:pStyle w:val="ListParagraph"/>
        <w:numPr>
          <w:ilvl w:val="0"/>
          <w:numId w:val="14"/>
        </w:numPr>
        <w:tabs>
          <w:tab w:pos="1201" w:val="left" w:leader="none"/>
        </w:tabs>
        <w:spacing w:line="240" w:lineRule="auto" w:before="1" w:after="0"/>
        <w:ind w:left="1201" w:right="0" w:hanging="601"/>
        <w:jc w:val="left"/>
        <w:rPr>
          <w:sz w:val="24"/>
        </w:rPr>
      </w:pPr>
      <w:r>
        <w:rPr>
          <w:sz w:val="24"/>
        </w:rPr>
        <w:t>基金管理人的权利</w:t>
      </w:r>
    </w:p>
    <w:p>
      <w:pPr>
        <w:pStyle w:val="ListParagraph"/>
        <w:numPr>
          <w:ilvl w:val="1"/>
          <w:numId w:val="14"/>
        </w:numPr>
        <w:tabs>
          <w:tab w:pos="1589" w:val="left" w:leader="none"/>
        </w:tabs>
        <w:spacing w:line="240" w:lineRule="auto" w:before="161" w:after="0"/>
        <w:ind w:left="1589" w:right="0" w:hanging="361"/>
        <w:jc w:val="left"/>
        <w:rPr>
          <w:sz w:val="24"/>
        </w:rPr>
      </w:pPr>
      <w:r>
        <w:rPr>
          <w:sz w:val="24"/>
        </w:rPr>
        <w:t>依法募集基金；</w:t>
      </w:r>
    </w:p>
    <w:p>
      <w:pPr>
        <w:pStyle w:val="ListParagraph"/>
        <w:numPr>
          <w:ilvl w:val="1"/>
          <w:numId w:val="14"/>
        </w:numPr>
        <w:tabs>
          <w:tab w:pos="1597" w:val="left" w:leader="none"/>
        </w:tabs>
        <w:spacing w:line="364" w:lineRule="auto" w:before="160" w:after="0"/>
        <w:ind w:left="1556" w:right="458" w:hanging="329"/>
        <w:jc w:val="left"/>
        <w:rPr>
          <w:sz w:val="24"/>
        </w:rPr>
      </w:pPr>
      <w:r>
        <w:rPr>
          <w:spacing w:val="2"/>
          <w:sz w:val="24"/>
        </w:rPr>
        <w:t>自基金合同生效之日起，基金管理人依照法律法规和基金合同独</w:t>
      </w:r>
      <w:r>
        <w:rPr>
          <w:sz w:val="24"/>
        </w:rPr>
        <w:t>立管理基金财产；</w:t>
      </w:r>
    </w:p>
    <w:p>
      <w:pPr>
        <w:pStyle w:val="ListParagraph"/>
        <w:numPr>
          <w:ilvl w:val="1"/>
          <w:numId w:val="14"/>
        </w:numPr>
        <w:tabs>
          <w:tab w:pos="1597" w:val="left" w:leader="none"/>
        </w:tabs>
        <w:spacing w:line="364" w:lineRule="auto" w:before="2" w:after="0"/>
        <w:ind w:left="1556" w:right="457" w:hanging="329"/>
        <w:jc w:val="both"/>
        <w:rPr>
          <w:sz w:val="24"/>
        </w:rPr>
      </w:pPr>
      <w:r>
        <w:rPr>
          <w:spacing w:val="2"/>
          <w:sz w:val="24"/>
        </w:rPr>
        <w:t>根据法律法规和基金合同的规定，制订、修改并公布有关基金申</w:t>
      </w:r>
      <w:r>
        <w:rPr>
          <w:spacing w:val="-11"/>
          <w:sz w:val="24"/>
        </w:rPr>
        <w:t>购、赎回、转托管、基金转换、非交易过户、冻结、收益分配等方</w:t>
      </w:r>
      <w:r>
        <w:rPr>
          <w:sz w:val="24"/>
        </w:rPr>
        <w:t>面的业务规则；</w:t>
      </w:r>
    </w:p>
    <w:p>
      <w:pPr>
        <w:pStyle w:val="ListParagraph"/>
        <w:numPr>
          <w:ilvl w:val="1"/>
          <w:numId w:val="14"/>
        </w:numPr>
        <w:tabs>
          <w:tab w:pos="1589" w:val="left" w:leader="none"/>
        </w:tabs>
        <w:spacing w:line="240" w:lineRule="auto" w:before="1" w:after="0"/>
        <w:ind w:left="1589" w:right="0" w:hanging="361"/>
        <w:jc w:val="left"/>
        <w:rPr>
          <w:sz w:val="24"/>
        </w:rPr>
      </w:pPr>
      <w:r>
        <w:rPr>
          <w:sz w:val="24"/>
        </w:rPr>
        <w:t>根据法律法规和基金合同的规定获得基金管理费；</w:t>
      </w:r>
    </w:p>
    <w:p>
      <w:pPr>
        <w:pStyle w:val="ListParagraph"/>
        <w:numPr>
          <w:ilvl w:val="1"/>
          <w:numId w:val="14"/>
        </w:numPr>
        <w:tabs>
          <w:tab w:pos="1597" w:val="left" w:leader="none"/>
        </w:tabs>
        <w:spacing w:line="364" w:lineRule="auto" w:before="161" w:after="0"/>
        <w:ind w:left="1556" w:right="458" w:hanging="329"/>
        <w:jc w:val="left"/>
        <w:rPr>
          <w:sz w:val="24"/>
        </w:rPr>
      </w:pPr>
      <w:r>
        <w:rPr>
          <w:spacing w:val="2"/>
          <w:sz w:val="24"/>
        </w:rPr>
        <w:t>在符合有关法律法规和基金合同的前提下，决定本基金除调高托</w:t>
      </w:r>
      <w:r>
        <w:rPr>
          <w:sz w:val="24"/>
        </w:rPr>
        <w:t>管费率和管理费率之外的相关费率结构和收费方式；</w:t>
      </w:r>
    </w:p>
    <w:p>
      <w:pPr>
        <w:pStyle w:val="ListParagraph"/>
        <w:numPr>
          <w:ilvl w:val="1"/>
          <w:numId w:val="14"/>
        </w:numPr>
        <w:tabs>
          <w:tab w:pos="1597" w:val="left" w:leader="none"/>
        </w:tabs>
        <w:spacing w:line="364" w:lineRule="auto" w:before="1" w:after="0"/>
        <w:ind w:left="1556" w:right="458" w:hanging="329"/>
        <w:jc w:val="left"/>
        <w:rPr>
          <w:sz w:val="24"/>
        </w:rPr>
      </w:pPr>
      <w:r>
        <w:rPr>
          <w:spacing w:val="2"/>
          <w:sz w:val="24"/>
        </w:rPr>
        <w:t>根据法律法规和基金合同之规定销售基金份额，收取申购费、基</w:t>
      </w:r>
      <w:r>
        <w:rPr>
          <w:sz w:val="24"/>
        </w:rPr>
        <w:t>金赎回手续费及其它法律法规规定的费用；</w:t>
      </w:r>
    </w:p>
    <w:p>
      <w:pPr>
        <w:pStyle w:val="ListParagraph"/>
        <w:numPr>
          <w:ilvl w:val="1"/>
          <w:numId w:val="14"/>
        </w:numPr>
        <w:tabs>
          <w:tab w:pos="1597" w:val="left" w:leader="none"/>
        </w:tabs>
        <w:spacing w:line="364" w:lineRule="auto" w:before="1" w:after="0"/>
        <w:ind w:left="1556" w:right="457" w:hanging="329"/>
        <w:jc w:val="both"/>
        <w:rPr>
          <w:sz w:val="24"/>
        </w:rPr>
      </w:pPr>
      <w:r>
        <w:rPr>
          <w:spacing w:val="2"/>
          <w:sz w:val="24"/>
        </w:rPr>
        <w:t>依据法律法规和基金合同的规定监督基金托管人，如认为基金托</w:t>
      </w:r>
      <w:r>
        <w:rPr>
          <w:spacing w:val="-6"/>
          <w:sz w:val="24"/>
        </w:rPr>
        <w:t>管人违反了法律法规或基金合同规定对基金财产、其它基金合同当</w:t>
      </w:r>
      <w:r>
        <w:rPr>
          <w:spacing w:val="-7"/>
          <w:sz w:val="24"/>
        </w:rPr>
        <w:t>事人的利益造成重大损失的，应及时呈报中国证监会，以及采取其</w:t>
      </w:r>
      <w:r>
        <w:rPr>
          <w:sz w:val="24"/>
        </w:rPr>
        <w:t>它必要措施以保护本基金及相关基金合同当事人的利益；</w:t>
      </w:r>
    </w:p>
    <w:p>
      <w:pPr>
        <w:spacing w:after="0" w:line="364" w:lineRule="auto"/>
        <w:jc w:val="both"/>
        <w:rPr>
          <w:sz w:val="24"/>
        </w:rPr>
        <w:sectPr>
          <w:pgSz w:w="11910" w:h="16840"/>
          <w:pgMar w:header="0" w:footer="990" w:top="1460" w:bottom="1180" w:left="1680" w:right="1340"/>
        </w:sectPr>
      </w:pPr>
    </w:p>
    <w:p>
      <w:pPr>
        <w:pStyle w:val="ListParagraph"/>
        <w:numPr>
          <w:ilvl w:val="1"/>
          <w:numId w:val="14"/>
        </w:numPr>
        <w:tabs>
          <w:tab w:pos="1707" w:val="left" w:leader="none"/>
        </w:tabs>
        <w:spacing w:line="364" w:lineRule="auto" w:before="44" w:after="0"/>
        <w:ind w:left="1556" w:right="457" w:hanging="329"/>
        <w:jc w:val="both"/>
        <w:rPr>
          <w:sz w:val="24"/>
        </w:rPr>
      </w:pPr>
      <w:r>
        <w:rPr>
          <w:spacing w:val="-1"/>
          <w:sz w:val="24"/>
        </w:rPr>
        <w:t>根据基金合同的规定选择适当的基金代销机构并有权依照代销协</w:t>
      </w:r>
      <w:r>
        <w:rPr>
          <w:sz w:val="24"/>
        </w:rPr>
        <w:t>议对基金代销机构行为进行必要的监督和检查；</w:t>
      </w:r>
    </w:p>
    <w:p>
      <w:pPr>
        <w:pStyle w:val="ListParagraph"/>
        <w:numPr>
          <w:ilvl w:val="1"/>
          <w:numId w:val="14"/>
        </w:numPr>
        <w:tabs>
          <w:tab w:pos="1708" w:val="left" w:leader="none"/>
        </w:tabs>
        <w:spacing w:line="364" w:lineRule="auto" w:before="1" w:after="0"/>
        <w:ind w:left="1556" w:right="457" w:hanging="329"/>
        <w:jc w:val="both"/>
        <w:rPr>
          <w:sz w:val="24"/>
        </w:rPr>
      </w:pPr>
      <w:r>
        <w:rPr>
          <w:spacing w:val="-1"/>
          <w:sz w:val="24"/>
        </w:rPr>
        <w:t>自行担任基金注册登记人或选择、更换基金注册登记代理机构， </w:t>
      </w:r>
      <w:r>
        <w:rPr>
          <w:spacing w:val="-10"/>
          <w:sz w:val="24"/>
        </w:rPr>
        <w:t>办理基金注册登记业务，并按照基金合同规定对基金注册登记代理</w:t>
      </w:r>
      <w:r>
        <w:rPr>
          <w:sz w:val="24"/>
        </w:rPr>
        <w:t>机构进行必要的监督和检查；</w:t>
      </w:r>
    </w:p>
    <w:p>
      <w:pPr>
        <w:pStyle w:val="ListParagraph"/>
        <w:numPr>
          <w:ilvl w:val="1"/>
          <w:numId w:val="14"/>
        </w:numPr>
        <w:tabs>
          <w:tab w:pos="1828" w:val="left" w:leader="none"/>
        </w:tabs>
        <w:spacing w:line="240" w:lineRule="auto" w:before="2" w:after="0"/>
        <w:ind w:left="1828" w:right="0" w:hanging="600"/>
        <w:jc w:val="both"/>
        <w:rPr>
          <w:sz w:val="24"/>
        </w:rPr>
      </w:pPr>
      <w:r>
        <w:rPr>
          <w:sz w:val="24"/>
        </w:rPr>
        <w:t>在基金合同约定的范围内，拒绝或暂停受理申购和赎回的申请；</w:t>
      </w:r>
    </w:p>
    <w:p>
      <w:pPr>
        <w:pStyle w:val="ListParagraph"/>
        <w:numPr>
          <w:ilvl w:val="1"/>
          <w:numId w:val="14"/>
        </w:numPr>
        <w:tabs>
          <w:tab w:pos="1709" w:val="left" w:leader="none"/>
        </w:tabs>
        <w:spacing w:line="364" w:lineRule="auto" w:before="160" w:after="0"/>
        <w:ind w:left="1556" w:right="457" w:hanging="329"/>
        <w:jc w:val="left"/>
        <w:rPr>
          <w:sz w:val="24"/>
        </w:rPr>
      </w:pPr>
      <w:r>
        <w:rPr>
          <w:spacing w:val="-1"/>
          <w:sz w:val="24"/>
        </w:rPr>
        <w:t>在法律法规允许的前提下，为基金份额持有人的利益依法为基金</w:t>
      </w:r>
      <w:r>
        <w:rPr>
          <w:sz w:val="24"/>
        </w:rPr>
        <w:t>进行融资融券；</w:t>
      </w:r>
    </w:p>
    <w:p>
      <w:pPr>
        <w:pStyle w:val="ListParagraph"/>
        <w:numPr>
          <w:ilvl w:val="1"/>
          <w:numId w:val="14"/>
        </w:numPr>
        <w:tabs>
          <w:tab w:pos="1709" w:val="left" w:leader="none"/>
        </w:tabs>
        <w:spacing w:line="240" w:lineRule="auto" w:before="2" w:after="0"/>
        <w:ind w:left="1709" w:right="0" w:hanging="481"/>
        <w:jc w:val="left"/>
        <w:rPr>
          <w:sz w:val="24"/>
        </w:rPr>
      </w:pPr>
      <w:r>
        <w:rPr>
          <w:sz w:val="24"/>
        </w:rPr>
        <w:t>依据法律法规和基金合同的规定，制订基金收益的分配方案；</w:t>
      </w:r>
    </w:p>
    <w:p>
      <w:pPr>
        <w:pStyle w:val="ListParagraph"/>
        <w:numPr>
          <w:ilvl w:val="1"/>
          <w:numId w:val="14"/>
        </w:numPr>
        <w:tabs>
          <w:tab w:pos="1709" w:val="left" w:leader="none"/>
        </w:tabs>
        <w:spacing w:line="364" w:lineRule="auto" w:before="160" w:after="0"/>
        <w:ind w:left="1556" w:right="457" w:hanging="329"/>
        <w:jc w:val="left"/>
        <w:rPr>
          <w:sz w:val="24"/>
        </w:rPr>
      </w:pPr>
      <w:r>
        <w:rPr>
          <w:spacing w:val="-1"/>
          <w:sz w:val="24"/>
        </w:rPr>
        <w:t>按照法律法规，代表基金对被投资企业行使股东权利，代表基金</w:t>
      </w:r>
      <w:r>
        <w:rPr>
          <w:sz w:val="24"/>
        </w:rPr>
        <w:t>行使因投资于其它证券所产生的权利；</w:t>
      </w:r>
    </w:p>
    <w:p>
      <w:pPr>
        <w:pStyle w:val="ListParagraph"/>
        <w:numPr>
          <w:ilvl w:val="1"/>
          <w:numId w:val="14"/>
        </w:numPr>
        <w:tabs>
          <w:tab w:pos="1709" w:val="left" w:leader="none"/>
        </w:tabs>
        <w:spacing w:line="240" w:lineRule="auto" w:before="1" w:after="0"/>
        <w:ind w:left="1709" w:right="0" w:hanging="481"/>
        <w:jc w:val="left"/>
        <w:rPr>
          <w:sz w:val="24"/>
        </w:rPr>
      </w:pPr>
      <w:r>
        <w:rPr>
          <w:sz w:val="24"/>
        </w:rPr>
        <w:t>在基金托管人职责终止时，提名新的基金托管人；</w:t>
      </w:r>
    </w:p>
    <w:p>
      <w:pPr>
        <w:pStyle w:val="ListParagraph"/>
        <w:numPr>
          <w:ilvl w:val="1"/>
          <w:numId w:val="14"/>
        </w:numPr>
        <w:tabs>
          <w:tab w:pos="1709" w:val="left" w:leader="none"/>
        </w:tabs>
        <w:spacing w:line="240" w:lineRule="auto" w:before="161" w:after="0"/>
        <w:ind w:left="1709" w:right="0" w:hanging="481"/>
        <w:jc w:val="left"/>
        <w:rPr>
          <w:sz w:val="24"/>
        </w:rPr>
      </w:pPr>
      <w:r>
        <w:rPr>
          <w:sz w:val="24"/>
        </w:rPr>
        <w:t>依据法律法规和基金合同的规定，召集基金份额持有人大会；</w:t>
      </w:r>
    </w:p>
    <w:p>
      <w:pPr>
        <w:pStyle w:val="ListParagraph"/>
        <w:numPr>
          <w:ilvl w:val="1"/>
          <w:numId w:val="14"/>
        </w:numPr>
        <w:tabs>
          <w:tab w:pos="1709" w:val="left" w:leader="none"/>
        </w:tabs>
        <w:spacing w:line="364" w:lineRule="auto" w:before="160" w:after="0"/>
        <w:ind w:left="1556" w:right="457" w:hanging="329"/>
        <w:jc w:val="left"/>
        <w:rPr>
          <w:sz w:val="24"/>
        </w:rPr>
      </w:pPr>
      <w:r>
        <w:rPr>
          <w:spacing w:val="-1"/>
          <w:sz w:val="24"/>
        </w:rPr>
        <w:t>以基金管理人名义，代表基金份额持有人利益行使诉讼权利或者</w:t>
      </w:r>
      <w:r>
        <w:rPr>
          <w:sz w:val="24"/>
        </w:rPr>
        <w:t>实施其他法律行为；</w:t>
      </w:r>
    </w:p>
    <w:p>
      <w:pPr>
        <w:pStyle w:val="ListParagraph"/>
        <w:numPr>
          <w:ilvl w:val="1"/>
          <w:numId w:val="14"/>
        </w:numPr>
        <w:tabs>
          <w:tab w:pos="1709" w:val="left" w:leader="none"/>
        </w:tabs>
        <w:spacing w:line="364" w:lineRule="auto" w:before="1" w:after="0"/>
        <w:ind w:left="1556" w:right="457" w:hanging="329"/>
        <w:jc w:val="left"/>
        <w:rPr>
          <w:sz w:val="24"/>
        </w:rPr>
      </w:pPr>
      <w:r>
        <w:rPr>
          <w:spacing w:val="-1"/>
          <w:sz w:val="24"/>
        </w:rPr>
        <w:t>选择、更换律师、审计师、证券经纪商或其他为基金提供服务的</w:t>
      </w:r>
      <w:r>
        <w:rPr>
          <w:sz w:val="24"/>
        </w:rPr>
        <w:t>外部机构并确定有关费率；</w:t>
      </w:r>
    </w:p>
    <w:p>
      <w:pPr>
        <w:pStyle w:val="ListParagraph"/>
        <w:numPr>
          <w:ilvl w:val="1"/>
          <w:numId w:val="14"/>
        </w:numPr>
        <w:tabs>
          <w:tab w:pos="1709" w:val="left" w:leader="none"/>
        </w:tabs>
        <w:spacing w:line="364" w:lineRule="auto" w:before="2" w:after="0"/>
        <w:ind w:left="1556" w:right="457" w:hanging="329"/>
        <w:jc w:val="left"/>
        <w:rPr>
          <w:sz w:val="24"/>
        </w:rPr>
      </w:pPr>
      <w:r>
        <w:rPr>
          <w:spacing w:val="-1"/>
          <w:sz w:val="24"/>
        </w:rPr>
        <w:t>法律法规、中国证监会、基金合同以及依据基金合同制订的其它</w:t>
      </w:r>
      <w:r>
        <w:rPr>
          <w:sz w:val="24"/>
        </w:rPr>
        <w:t>法律文件所规定的其它权利。</w:t>
      </w:r>
    </w:p>
    <w:p>
      <w:pPr>
        <w:pStyle w:val="ListParagraph"/>
        <w:numPr>
          <w:ilvl w:val="0"/>
          <w:numId w:val="14"/>
        </w:numPr>
        <w:tabs>
          <w:tab w:pos="1201" w:val="left" w:leader="none"/>
        </w:tabs>
        <w:spacing w:line="240" w:lineRule="auto" w:before="1" w:after="0"/>
        <w:ind w:left="1201" w:right="0" w:hanging="601"/>
        <w:jc w:val="left"/>
        <w:rPr>
          <w:sz w:val="24"/>
        </w:rPr>
      </w:pPr>
      <w:r>
        <w:rPr>
          <w:sz w:val="24"/>
        </w:rPr>
        <w:t>基金管理人的义务</w:t>
      </w:r>
    </w:p>
    <w:p>
      <w:pPr>
        <w:pStyle w:val="ListParagraph"/>
        <w:numPr>
          <w:ilvl w:val="0"/>
          <w:numId w:val="15"/>
        </w:numPr>
        <w:tabs>
          <w:tab w:pos="1597" w:val="left" w:leader="none"/>
        </w:tabs>
        <w:spacing w:line="364" w:lineRule="auto" w:before="160" w:after="0"/>
        <w:ind w:left="1556" w:right="458" w:hanging="329"/>
        <w:jc w:val="left"/>
        <w:rPr>
          <w:sz w:val="24"/>
        </w:rPr>
      </w:pPr>
      <w:r>
        <w:rPr>
          <w:spacing w:val="2"/>
          <w:sz w:val="24"/>
        </w:rPr>
        <w:t>依法募集基金，办理或者委托经中国证监会认定的其他机构代为</w:t>
      </w:r>
      <w:r>
        <w:rPr>
          <w:sz w:val="24"/>
        </w:rPr>
        <w:t>办理基金份额的申购、赎回和登记事宜；</w:t>
      </w:r>
    </w:p>
    <w:p>
      <w:pPr>
        <w:pStyle w:val="ListParagraph"/>
        <w:numPr>
          <w:ilvl w:val="0"/>
          <w:numId w:val="15"/>
        </w:numPr>
        <w:tabs>
          <w:tab w:pos="1589" w:val="left" w:leader="none"/>
        </w:tabs>
        <w:spacing w:line="240" w:lineRule="auto" w:before="2" w:after="0"/>
        <w:ind w:left="1589" w:right="0" w:hanging="361"/>
        <w:jc w:val="left"/>
        <w:rPr>
          <w:sz w:val="24"/>
        </w:rPr>
      </w:pPr>
      <w:r>
        <w:rPr>
          <w:sz w:val="24"/>
        </w:rPr>
        <w:t>办理基金转型手续；</w:t>
      </w:r>
    </w:p>
    <w:p>
      <w:pPr>
        <w:pStyle w:val="ListParagraph"/>
        <w:numPr>
          <w:ilvl w:val="0"/>
          <w:numId w:val="15"/>
        </w:numPr>
        <w:tabs>
          <w:tab w:pos="1597" w:val="left" w:leader="none"/>
        </w:tabs>
        <w:spacing w:line="364" w:lineRule="auto" w:before="160" w:after="0"/>
        <w:ind w:left="1556" w:right="458" w:hanging="329"/>
        <w:jc w:val="left"/>
        <w:rPr>
          <w:sz w:val="24"/>
        </w:rPr>
      </w:pPr>
      <w:r>
        <w:rPr>
          <w:spacing w:val="2"/>
          <w:sz w:val="24"/>
        </w:rPr>
        <w:t>自基金合同生效之日起，以诚实信用、勤勉尽责的原则管理和运</w:t>
      </w:r>
      <w:r>
        <w:rPr>
          <w:sz w:val="24"/>
        </w:rPr>
        <w:t>用基金财产；</w:t>
      </w:r>
    </w:p>
    <w:p>
      <w:pPr>
        <w:pStyle w:val="ListParagraph"/>
        <w:numPr>
          <w:ilvl w:val="0"/>
          <w:numId w:val="15"/>
        </w:numPr>
        <w:tabs>
          <w:tab w:pos="1597" w:val="left" w:leader="none"/>
        </w:tabs>
        <w:spacing w:line="364" w:lineRule="auto" w:before="1" w:after="0"/>
        <w:ind w:left="1556" w:right="458" w:hanging="329"/>
        <w:jc w:val="left"/>
        <w:rPr>
          <w:sz w:val="24"/>
        </w:rPr>
      </w:pPr>
      <w:r>
        <w:rPr>
          <w:spacing w:val="2"/>
          <w:sz w:val="24"/>
        </w:rPr>
        <w:t>配备足够的具有专业资格的人员进行基金投资分析、决策，以专</w:t>
      </w:r>
      <w:r>
        <w:rPr>
          <w:sz w:val="24"/>
        </w:rPr>
        <w:t>业化的经营方式管理和运作基金财产；</w:t>
      </w:r>
    </w:p>
    <w:p>
      <w:pPr>
        <w:pStyle w:val="ListParagraph"/>
        <w:numPr>
          <w:ilvl w:val="0"/>
          <w:numId w:val="15"/>
        </w:numPr>
        <w:tabs>
          <w:tab w:pos="1708" w:val="left" w:leader="none"/>
        </w:tabs>
        <w:spacing w:line="240" w:lineRule="auto" w:before="1" w:after="0"/>
        <w:ind w:left="1708" w:right="0" w:hanging="480"/>
        <w:jc w:val="left"/>
        <w:rPr>
          <w:sz w:val="24"/>
        </w:rPr>
      </w:pPr>
      <w:r>
        <w:rPr>
          <w:sz w:val="24"/>
        </w:rPr>
        <w:t>配备足够的专业人员办理基金份额的申购和赎回业务；</w:t>
      </w:r>
    </w:p>
    <w:p>
      <w:pPr>
        <w:pStyle w:val="ListParagraph"/>
        <w:numPr>
          <w:ilvl w:val="0"/>
          <w:numId w:val="15"/>
        </w:numPr>
        <w:tabs>
          <w:tab w:pos="1707" w:val="left" w:leader="none"/>
        </w:tabs>
        <w:spacing w:line="240" w:lineRule="auto" w:before="161" w:after="0"/>
        <w:ind w:left="1706" w:right="0" w:hanging="479"/>
        <w:jc w:val="left"/>
        <w:rPr>
          <w:sz w:val="24"/>
        </w:rPr>
      </w:pPr>
      <w:r>
        <w:rPr>
          <w:sz w:val="24"/>
        </w:rPr>
        <w:t>配备足够的专业人员和相应的技术设施进行基金的注册登记或委</w:t>
      </w:r>
    </w:p>
    <w:p>
      <w:pPr>
        <w:spacing w:after="0" w:line="240" w:lineRule="auto"/>
        <w:jc w:val="left"/>
        <w:rPr>
          <w:sz w:val="24"/>
        </w:rPr>
        <w:sectPr>
          <w:pgSz w:w="11910" w:h="16840"/>
          <w:pgMar w:header="0" w:footer="990" w:top="1460" w:bottom="1180" w:left="1680" w:right="1340"/>
        </w:sectPr>
      </w:pPr>
    </w:p>
    <w:p>
      <w:pPr>
        <w:pStyle w:val="BodyText"/>
        <w:spacing w:before="44"/>
        <w:ind w:left="1556"/>
      </w:pPr>
      <w:r>
        <w:rPr/>
        <w:t>托其他机构代理该项业务；</w:t>
      </w:r>
    </w:p>
    <w:p>
      <w:pPr>
        <w:pStyle w:val="ListParagraph"/>
        <w:numPr>
          <w:ilvl w:val="0"/>
          <w:numId w:val="15"/>
        </w:numPr>
        <w:tabs>
          <w:tab w:pos="1708" w:val="left" w:leader="none"/>
        </w:tabs>
        <w:spacing w:line="364" w:lineRule="auto" w:before="160" w:after="0"/>
        <w:ind w:left="1556" w:right="457" w:hanging="329"/>
        <w:jc w:val="both"/>
        <w:rPr>
          <w:sz w:val="24"/>
        </w:rPr>
      </w:pPr>
      <w:r>
        <w:rPr>
          <w:spacing w:val="-1"/>
          <w:sz w:val="24"/>
        </w:rPr>
        <w:t>建立健全内部风险控制、监察与稽核、财务管理及人事管理等制</w:t>
      </w:r>
      <w:r>
        <w:rPr>
          <w:spacing w:val="-10"/>
          <w:sz w:val="24"/>
        </w:rPr>
        <w:t>度，保证所管理的基金财产和基金管理人的资产相互独立，对所管</w:t>
      </w:r>
      <w:r>
        <w:rPr>
          <w:sz w:val="24"/>
        </w:rPr>
        <w:t>理的不同基金分别管理、分别记账，进行证券投资；</w:t>
      </w:r>
    </w:p>
    <w:p>
      <w:pPr>
        <w:pStyle w:val="ListParagraph"/>
        <w:numPr>
          <w:ilvl w:val="0"/>
          <w:numId w:val="15"/>
        </w:numPr>
        <w:tabs>
          <w:tab w:pos="1597" w:val="left" w:leader="none"/>
        </w:tabs>
        <w:spacing w:line="364" w:lineRule="auto" w:before="2" w:after="0"/>
        <w:ind w:left="1556" w:right="457" w:hanging="329"/>
        <w:jc w:val="both"/>
        <w:rPr>
          <w:sz w:val="24"/>
        </w:rPr>
      </w:pPr>
      <w:r>
        <w:rPr>
          <w:spacing w:val="2"/>
          <w:sz w:val="24"/>
        </w:rPr>
        <w:t>除依据《基金法》、基金合同及其他有关规定外，不得以基金财</w:t>
      </w:r>
      <w:r>
        <w:rPr>
          <w:spacing w:val="-7"/>
          <w:sz w:val="24"/>
        </w:rPr>
        <w:t>产为自己及任何第三人谋取非法利益，不得委托第三人运作基金财</w:t>
      </w:r>
      <w:r>
        <w:rPr>
          <w:sz w:val="24"/>
        </w:rPr>
        <w:t>产；</w:t>
      </w:r>
    </w:p>
    <w:p>
      <w:pPr>
        <w:pStyle w:val="ListParagraph"/>
        <w:numPr>
          <w:ilvl w:val="0"/>
          <w:numId w:val="15"/>
        </w:numPr>
        <w:tabs>
          <w:tab w:pos="1589" w:val="left" w:leader="none"/>
        </w:tabs>
        <w:spacing w:line="240" w:lineRule="auto" w:before="2" w:after="0"/>
        <w:ind w:left="1589" w:right="0" w:hanging="361"/>
        <w:jc w:val="left"/>
        <w:rPr>
          <w:sz w:val="24"/>
        </w:rPr>
      </w:pPr>
      <w:r>
        <w:rPr>
          <w:sz w:val="24"/>
        </w:rPr>
        <w:t>接受基金托管人依法进行的监督；</w:t>
      </w:r>
    </w:p>
    <w:p>
      <w:pPr>
        <w:pStyle w:val="ListParagraph"/>
        <w:numPr>
          <w:ilvl w:val="0"/>
          <w:numId w:val="15"/>
        </w:numPr>
        <w:tabs>
          <w:tab w:pos="1709" w:val="left" w:leader="none"/>
        </w:tabs>
        <w:spacing w:line="364" w:lineRule="auto" w:before="160" w:after="0"/>
        <w:ind w:left="1556" w:right="457" w:hanging="329"/>
        <w:jc w:val="both"/>
        <w:rPr>
          <w:sz w:val="24"/>
        </w:rPr>
      </w:pPr>
      <w:r>
        <w:rPr>
          <w:spacing w:val="-1"/>
          <w:sz w:val="24"/>
        </w:rPr>
        <w:t>采取适当合理的措施使计算基金份额申购、赎回价格的方法符合</w:t>
      </w:r>
      <w:r>
        <w:rPr>
          <w:spacing w:val="-8"/>
          <w:sz w:val="24"/>
        </w:rPr>
        <w:t>基金合同等法律文件的规定，按照有关规定计算并公告基金净值信</w:t>
      </w:r>
      <w:r>
        <w:rPr>
          <w:sz w:val="24"/>
        </w:rPr>
        <w:t>息，确定基金份额申购、赎回的价格；</w:t>
      </w:r>
    </w:p>
    <w:p>
      <w:pPr>
        <w:pStyle w:val="ListParagraph"/>
        <w:numPr>
          <w:ilvl w:val="0"/>
          <w:numId w:val="15"/>
        </w:numPr>
        <w:tabs>
          <w:tab w:pos="1709" w:val="left" w:leader="none"/>
        </w:tabs>
        <w:spacing w:line="364" w:lineRule="auto" w:before="2" w:after="0"/>
        <w:ind w:left="1556" w:right="457" w:hanging="329"/>
        <w:jc w:val="left"/>
        <w:rPr>
          <w:sz w:val="24"/>
        </w:rPr>
      </w:pPr>
      <w:r>
        <w:rPr>
          <w:spacing w:val="-1"/>
          <w:sz w:val="24"/>
        </w:rPr>
        <w:t>严格按照《基金法》、基金合同及其他有关规定，履行信息披露</w:t>
      </w:r>
      <w:r>
        <w:rPr>
          <w:sz w:val="24"/>
        </w:rPr>
        <w:t>及报告义务；</w:t>
      </w:r>
    </w:p>
    <w:p>
      <w:pPr>
        <w:pStyle w:val="ListParagraph"/>
        <w:numPr>
          <w:ilvl w:val="0"/>
          <w:numId w:val="15"/>
        </w:numPr>
        <w:tabs>
          <w:tab w:pos="1709" w:val="left" w:leader="none"/>
        </w:tabs>
        <w:spacing w:line="364" w:lineRule="auto" w:before="1" w:after="0"/>
        <w:ind w:left="1556" w:right="457" w:hanging="329"/>
        <w:jc w:val="both"/>
        <w:rPr>
          <w:sz w:val="24"/>
        </w:rPr>
      </w:pPr>
      <w:r>
        <w:rPr>
          <w:spacing w:val="-1"/>
          <w:sz w:val="24"/>
        </w:rPr>
        <w:t>保守基金商业秘密，不泄露基金投资计划、投资意向等。除《基</w:t>
      </w:r>
      <w:r>
        <w:rPr>
          <w:spacing w:val="-11"/>
          <w:sz w:val="24"/>
        </w:rPr>
        <w:t>金法》、基金合同及其他有关规定另有规定外，在基金信息公开披</w:t>
      </w:r>
      <w:r>
        <w:rPr>
          <w:sz w:val="24"/>
        </w:rPr>
        <w:t>露前，应予以保密，不得向他人泄露；</w:t>
      </w:r>
    </w:p>
    <w:p>
      <w:pPr>
        <w:pStyle w:val="ListParagraph"/>
        <w:numPr>
          <w:ilvl w:val="0"/>
          <w:numId w:val="15"/>
        </w:numPr>
        <w:tabs>
          <w:tab w:pos="1709" w:val="left" w:leader="none"/>
        </w:tabs>
        <w:spacing w:line="364" w:lineRule="auto" w:before="2" w:after="0"/>
        <w:ind w:left="1556" w:right="457" w:hanging="329"/>
        <w:jc w:val="left"/>
        <w:rPr>
          <w:sz w:val="24"/>
        </w:rPr>
      </w:pPr>
      <w:r>
        <w:rPr>
          <w:spacing w:val="-1"/>
          <w:sz w:val="24"/>
        </w:rPr>
        <w:t>按基金合同确定基金收益分配方案，及时向基金份额持有人分配</w:t>
      </w:r>
      <w:r>
        <w:rPr>
          <w:sz w:val="24"/>
        </w:rPr>
        <w:t>基金收益；</w:t>
      </w:r>
    </w:p>
    <w:p>
      <w:pPr>
        <w:pStyle w:val="ListParagraph"/>
        <w:numPr>
          <w:ilvl w:val="0"/>
          <w:numId w:val="15"/>
        </w:numPr>
        <w:tabs>
          <w:tab w:pos="1709" w:val="left" w:leader="none"/>
        </w:tabs>
        <w:spacing w:line="364" w:lineRule="auto" w:before="1" w:after="0"/>
        <w:ind w:left="1556" w:right="337" w:hanging="329"/>
        <w:jc w:val="left"/>
        <w:rPr>
          <w:sz w:val="24"/>
        </w:rPr>
      </w:pPr>
      <w:r>
        <w:rPr>
          <w:spacing w:val="-3"/>
          <w:sz w:val="24"/>
        </w:rPr>
        <w:t>按照法律法规和本基金合同的规定受理申购和赎回等申请，及时</w:t>
      </w:r>
      <w:r>
        <w:rPr>
          <w:spacing w:val="-4"/>
          <w:sz w:val="24"/>
        </w:rPr>
        <w:t>、足额支付赎回和分红款项；</w:t>
      </w:r>
    </w:p>
    <w:p>
      <w:pPr>
        <w:pStyle w:val="ListParagraph"/>
        <w:numPr>
          <w:ilvl w:val="0"/>
          <w:numId w:val="15"/>
        </w:numPr>
        <w:tabs>
          <w:tab w:pos="1709" w:val="left" w:leader="none"/>
        </w:tabs>
        <w:spacing w:line="240" w:lineRule="auto" w:before="2" w:after="0"/>
        <w:ind w:left="1709" w:right="0" w:hanging="481"/>
        <w:jc w:val="left"/>
        <w:rPr>
          <w:sz w:val="24"/>
        </w:rPr>
      </w:pPr>
      <w:r>
        <w:rPr>
          <w:sz w:val="24"/>
        </w:rPr>
        <w:t>不谋求对上市公司的控股和直接管理；</w:t>
      </w:r>
    </w:p>
    <w:p>
      <w:pPr>
        <w:pStyle w:val="ListParagraph"/>
        <w:numPr>
          <w:ilvl w:val="0"/>
          <w:numId w:val="15"/>
        </w:numPr>
        <w:tabs>
          <w:tab w:pos="1709" w:val="left" w:leader="none"/>
        </w:tabs>
        <w:spacing w:line="364" w:lineRule="auto" w:before="160" w:after="0"/>
        <w:ind w:left="1556" w:right="457" w:hanging="329"/>
        <w:jc w:val="both"/>
        <w:rPr>
          <w:sz w:val="24"/>
        </w:rPr>
      </w:pPr>
      <w:r>
        <w:rPr>
          <w:spacing w:val="-1"/>
          <w:sz w:val="24"/>
        </w:rPr>
        <w:t>依据《基金法》、基金合同及其他有关规定召集基金份额持有人</w:t>
      </w:r>
      <w:r>
        <w:rPr>
          <w:spacing w:val="-12"/>
          <w:sz w:val="24"/>
        </w:rPr>
        <w:t>大会，或配合基金托管人、基金份额持有人依法召集基金份额持有</w:t>
      </w:r>
      <w:r>
        <w:rPr>
          <w:sz w:val="24"/>
        </w:rPr>
        <w:t>人大会；</w:t>
      </w:r>
    </w:p>
    <w:p>
      <w:pPr>
        <w:pStyle w:val="ListParagraph"/>
        <w:numPr>
          <w:ilvl w:val="0"/>
          <w:numId w:val="15"/>
        </w:numPr>
        <w:tabs>
          <w:tab w:pos="1709" w:val="left" w:leader="none"/>
        </w:tabs>
        <w:spacing w:line="364" w:lineRule="auto" w:before="2" w:after="0"/>
        <w:ind w:left="1556" w:right="457" w:hanging="329"/>
        <w:jc w:val="left"/>
        <w:rPr>
          <w:sz w:val="24"/>
        </w:rPr>
      </w:pPr>
      <w:r>
        <w:rPr>
          <w:spacing w:val="-1"/>
          <w:sz w:val="24"/>
        </w:rPr>
        <w:t>按规定保存基金财产管理业务活动的记录、账册、报表和其他相</w:t>
      </w:r>
      <w:r>
        <w:rPr>
          <w:sz w:val="24"/>
        </w:rPr>
        <w:t>关资料；</w:t>
      </w:r>
    </w:p>
    <w:p>
      <w:pPr>
        <w:pStyle w:val="ListParagraph"/>
        <w:numPr>
          <w:ilvl w:val="0"/>
          <w:numId w:val="15"/>
        </w:numPr>
        <w:tabs>
          <w:tab w:pos="1709" w:val="left" w:leader="none"/>
        </w:tabs>
        <w:spacing w:line="240" w:lineRule="auto" w:before="1" w:after="0"/>
        <w:ind w:left="1709" w:right="0" w:hanging="481"/>
        <w:jc w:val="left"/>
        <w:rPr>
          <w:sz w:val="24"/>
        </w:rPr>
      </w:pPr>
      <w:r>
        <w:rPr>
          <w:sz w:val="24"/>
        </w:rPr>
        <w:t>进行基金会计核算并编制基金的财务会计报告；</w:t>
      </w:r>
    </w:p>
    <w:p>
      <w:pPr>
        <w:pStyle w:val="ListParagraph"/>
        <w:numPr>
          <w:ilvl w:val="0"/>
          <w:numId w:val="15"/>
        </w:numPr>
        <w:tabs>
          <w:tab w:pos="1709" w:val="left" w:leader="none"/>
        </w:tabs>
        <w:spacing w:line="240" w:lineRule="auto" w:before="161" w:after="0"/>
        <w:ind w:left="1709" w:right="0" w:hanging="481"/>
        <w:jc w:val="left"/>
        <w:rPr>
          <w:sz w:val="24"/>
        </w:rPr>
      </w:pPr>
      <w:r>
        <w:rPr>
          <w:sz w:val="24"/>
        </w:rPr>
        <w:t>编制季度报告、中期报告和年度报告；</w:t>
      </w:r>
    </w:p>
    <w:p>
      <w:pPr>
        <w:pStyle w:val="ListParagraph"/>
        <w:numPr>
          <w:ilvl w:val="0"/>
          <w:numId w:val="15"/>
        </w:numPr>
        <w:tabs>
          <w:tab w:pos="1709" w:val="left" w:leader="none"/>
        </w:tabs>
        <w:spacing w:line="240" w:lineRule="auto" w:before="160" w:after="0"/>
        <w:ind w:left="1709" w:right="0" w:hanging="481"/>
        <w:jc w:val="left"/>
        <w:rPr>
          <w:sz w:val="24"/>
        </w:rPr>
      </w:pPr>
      <w:r>
        <w:rPr>
          <w:sz w:val="24"/>
        </w:rPr>
        <w:t>确保需要向基金份额持有人提供的各项文件或资料，能在规定时</w:t>
      </w:r>
    </w:p>
    <w:p>
      <w:pPr>
        <w:spacing w:after="0" w:line="240" w:lineRule="auto"/>
        <w:jc w:val="left"/>
        <w:rPr>
          <w:sz w:val="24"/>
        </w:rPr>
        <w:sectPr>
          <w:pgSz w:w="11910" w:h="16840"/>
          <w:pgMar w:header="0" w:footer="990" w:top="1460" w:bottom="1180" w:left="1680" w:right="1340"/>
        </w:sectPr>
      </w:pPr>
    </w:p>
    <w:p>
      <w:pPr>
        <w:pStyle w:val="BodyText"/>
        <w:spacing w:line="364" w:lineRule="auto" w:before="44"/>
        <w:ind w:left="1556" w:right="457"/>
      </w:pPr>
      <w:r>
        <w:rPr>
          <w:spacing w:val="-11"/>
        </w:rPr>
        <w:t>间内发出；保证投资人能够按照基金合同约定的时间和方式，随时</w:t>
      </w:r>
      <w:r>
        <w:rPr/>
        <w:t>查阅到与基金有关的公开资料，并得到有关资料的复印件；</w:t>
      </w:r>
    </w:p>
    <w:p>
      <w:pPr>
        <w:pStyle w:val="ListParagraph"/>
        <w:numPr>
          <w:ilvl w:val="0"/>
          <w:numId w:val="15"/>
        </w:numPr>
        <w:tabs>
          <w:tab w:pos="1709" w:val="left" w:leader="none"/>
        </w:tabs>
        <w:spacing w:line="364" w:lineRule="auto" w:before="1" w:after="0"/>
        <w:ind w:left="1556" w:right="337" w:hanging="329"/>
        <w:jc w:val="left"/>
        <w:rPr>
          <w:sz w:val="24"/>
        </w:rPr>
      </w:pPr>
      <w:r>
        <w:rPr>
          <w:spacing w:val="-6"/>
          <w:sz w:val="24"/>
        </w:rPr>
        <w:t>组织并参加基金财产清算组，参与基金财产的保管、清理、估价</w:t>
      </w:r>
      <w:r>
        <w:rPr>
          <w:spacing w:val="-4"/>
          <w:sz w:val="24"/>
        </w:rPr>
        <w:t>、变现和分配；</w:t>
      </w:r>
    </w:p>
    <w:p>
      <w:pPr>
        <w:pStyle w:val="ListParagraph"/>
        <w:numPr>
          <w:ilvl w:val="0"/>
          <w:numId w:val="15"/>
        </w:numPr>
        <w:tabs>
          <w:tab w:pos="1709" w:val="left" w:leader="none"/>
        </w:tabs>
        <w:spacing w:line="364" w:lineRule="auto" w:before="1" w:after="0"/>
        <w:ind w:left="1556" w:right="457" w:hanging="329"/>
        <w:jc w:val="left"/>
        <w:rPr>
          <w:sz w:val="24"/>
        </w:rPr>
      </w:pPr>
      <w:r>
        <w:rPr>
          <w:spacing w:val="-1"/>
          <w:sz w:val="24"/>
        </w:rPr>
        <w:t>面临解散、依法被撤销、破产或者由接管人接管其资产时，及时</w:t>
      </w:r>
      <w:r>
        <w:rPr>
          <w:sz w:val="24"/>
        </w:rPr>
        <w:t>报告中国证监会并通知基金托管人；</w:t>
      </w:r>
    </w:p>
    <w:p>
      <w:pPr>
        <w:pStyle w:val="ListParagraph"/>
        <w:numPr>
          <w:ilvl w:val="0"/>
          <w:numId w:val="15"/>
        </w:numPr>
        <w:tabs>
          <w:tab w:pos="1709" w:val="left" w:leader="none"/>
        </w:tabs>
        <w:spacing w:line="364" w:lineRule="auto" w:before="1" w:after="0"/>
        <w:ind w:left="1556" w:right="457" w:hanging="329"/>
        <w:jc w:val="left"/>
        <w:rPr>
          <w:sz w:val="24"/>
        </w:rPr>
      </w:pPr>
      <w:r>
        <w:rPr>
          <w:spacing w:val="-1"/>
          <w:sz w:val="24"/>
        </w:rPr>
        <w:t>因违反基金合同导致基金财产的损失或损害基金份额持有人的合</w:t>
      </w:r>
      <w:r>
        <w:rPr>
          <w:sz w:val="24"/>
        </w:rPr>
        <w:t>法权益，应承担赔偿责任，其赔偿责任不因其退任而免除；</w:t>
      </w:r>
    </w:p>
    <w:p>
      <w:pPr>
        <w:pStyle w:val="ListParagraph"/>
        <w:numPr>
          <w:ilvl w:val="0"/>
          <w:numId w:val="15"/>
        </w:numPr>
        <w:tabs>
          <w:tab w:pos="1709" w:val="left" w:leader="none"/>
        </w:tabs>
        <w:spacing w:line="364" w:lineRule="auto" w:before="2" w:after="0"/>
        <w:ind w:left="1556" w:right="457" w:hanging="329"/>
        <w:jc w:val="left"/>
        <w:rPr>
          <w:sz w:val="24"/>
        </w:rPr>
      </w:pPr>
      <w:r>
        <w:rPr>
          <w:spacing w:val="-1"/>
          <w:sz w:val="24"/>
        </w:rPr>
        <w:t>基金托管人违反基金合同造成基金财产损失时，应为基金份额持</w:t>
      </w:r>
      <w:r>
        <w:rPr>
          <w:sz w:val="24"/>
        </w:rPr>
        <w:t>有人利益向基金托管人追偿；</w:t>
      </w:r>
    </w:p>
    <w:p>
      <w:pPr>
        <w:pStyle w:val="ListParagraph"/>
        <w:numPr>
          <w:ilvl w:val="0"/>
          <w:numId w:val="15"/>
        </w:numPr>
        <w:tabs>
          <w:tab w:pos="1709" w:val="left" w:leader="none"/>
        </w:tabs>
        <w:spacing w:line="240" w:lineRule="auto" w:before="1" w:after="0"/>
        <w:ind w:left="1709" w:right="0" w:hanging="481"/>
        <w:jc w:val="left"/>
        <w:rPr>
          <w:sz w:val="24"/>
        </w:rPr>
      </w:pPr>
      <w:r>
        <w:rPr>
          <w:sz w:val="24"/>
        </w:rPr>
        <w:t>不从事任何有损基金财产及本基金其他当事人利益的活动；</w:t>
      </w:r>
    </w:p>
    <w:p>
      <w:pPr>
        <w:pStyle w:val="ListParagraph"/>
        <w:numPr>
          <w:ilvl w:val="0"/>
          <w:numId w:val="15"/>
        </w:numPr>
        <w:tabs>
          <w:tab w:pos="1709" w:val="left" w:leader="none"/>
        </w:tabs>
        <w:spacing w:line="364" w:lineRule="auto" w:before="160" w:after="0"/>
        <w:ind w:left="1556" w:right="457" w:hanging="329"/>
        <w:jc w:val="left"/>
        <w:rPr>
          <w:sz w:val="24"/>
        </w:rPr>
      </w:pPr>
      <w:r>
        <w:rPr>
          <w:spacing w:val="-1"/>
          <w:sz w:val="24"/>
        </w:rPr>
        <w:t>公平对待所管理的不同基金，防止在不同基金间进行有损本基金</w:t>
      </w:r>
      <w:r>
        <w:rPr>
          <w:sz w:val="24"/>
        </w:rPr>
        <w:t>份额持有人的利益及资源分配；</w:t>
      </w:r>
    </w:p>
    <w:p>
      <w:pPr>
        <w:pStyle w:val="ListParagraph"/>
        <w:numPr>
          <w:ilvl w:val="0"/>
          <w:numId w:val="15"/>
        </w:numPr>
        <w:tabs>
          <w:tab w:pos="1709" w:val="left" w:leader="none"/>
        </w:tabs>
        <w:spacing w:line="364" w:lineRule="auto" w:before="2" w:after="0"/>
        <w:ind w:left="1556" w:right="457" w:hanging="329"/>
        <w:jc w:val="left"/>
        <w:rPr>
          <w:sz w:val="24"/>
        </w:rPr>
      </w:pPr>
      <w:r>
        <w:rPr>
          <w:spacing w:val="-1"/>
          <w:sz w:val="24"/>
        </w:rPr>
        <w:t>以基金管理人的名义，代表基金份额持有人利益行使诉讼权利或</w:t>
      </w:r>
      <w:r>
        <w:rPr>
          <w:sz w:val="24"/>
        </w:rPr>
        <w:t>实施其他法律行为；</w:t>
      </w:r>
    </w:p>
    <w:p>
      <w:pPr>
        <w:pStyle w:val="ListParagraph"/>
        <w:numPr>
          <w:ilvl w:val="0"/>
          <w:numId w:val="15"/>
        </w:numPr>
        <w:tabs>
          <w:tab w:pos="1709" w:val="left" w:leader="none"/>
        </w:tabs>
        <w:spacing w:line="240" w:lineRule="auto" w:before="1" w:after="0"/>
        <w:ind w:left="1709" w:right="0" w:hanging="481"/>
        <w:jc w:val="left"/>
        <w:rPr>
          <w:sz w:val="24"/>
        </w:rPr>
      </w:pPr>
      <w:r>
        <w:rPr>
          <w:sz w:val="24"/>
        </w:rPr>
        <w:t>法律法规、中国证监会及基金合同规定的其他义务。</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（二）基金托管人</w:t>
      </w:r>
    </w:p>
    <w:p>
      <w:pPr>
        <w:pStyle w:val="BodyText"/>
        <w:spacing w:before="5"/>
        <w:ind w:left="0"/>
        <w:rPr>
          <w:rFonts w:ascii="Microsoft JhengHei"/>
          <w:b/>
          <w:sz w:val="14"/>
        </w:rPr>
      </w:pPr>
    </w:p>
    <w:p>
      <w:pPr>
        <w:pStyle w:val="ListParagraph"/>
        <w:numPr>
          <w:ilvl w:val="0"/>
          <w:numId w:val="16"/>
        </w:numPr>
        <w:tabs>
          <w:tab w:pos="1201" w:val="left" w:leader="none"/>
        </w:tabs>
        <w:spacing w:line="240" w:lineRule="auto" w:before="0" w:after="0"/>
        <w:ind w:left="1201" w:right="0" w:hanging="601"/>
        <w:jc w:val="left"/>
        <w:rPr>
          <w:sz w:val="24"/>
        </w:rPr>
      </w:pPr>
      <w:r>
        <w:rPr>
          <w:sz w:val="24"/>
        </w:rPr>
        <w:t>基金托管人基本情况</w:t>
      </w:r>
    </w:p>
    <w:p>
      <w:pPr>
        <w:pStyle w:val="BodyText"/>
        <w:spacing w:before="160"/>
        <w:ind w:left="600"/>
      </w:pPr>
      <w:r>
        <w:rPr/>
        <w:t>名称：交通银行股份有限公司</w:t>
      </w:r>
    </w:p>
    <w:p>
      <w:pPr>
        <w:pStyle w:val="BodyText"/>
        <w:spacing w:line="364" w:lineRule="auto" w:before="161"/>
        <w:ind w:left="600" w:right="2765"/>
      </w:pPr>
      <w:r>
        <w:rPr/>
        <w:t>住所：中国（上海）</w:t>
      </w:r>
      <w:r>
        <w:rPr>
          <w:spacing w:val="-5"/>
        </w:rPr>
        <w:t>自由贸易试验区银城中路 </w:t>
      </w:r>
      <w:r>
        <w:rPr/>
        <w:t>188</w:t>
      </w:r>
      <w:r>
        <w:rPr>
          <w:spacing w:val="-40"/>
        </w:rPr>
        <w:t> 号</w:t>
      </w:r>
      <w:r>
        <w:rPr/>
        <w:t>法定代表人：任德奇</w:t>
      </w:r>
    </w:p>
    <w:p>
      <w:pPr>
        <w:pStyle w:val="BodyText"/>
        <w:ind w:left="600"/>
      </w:pPr>
      <w:r>
        <w:rPr/>
        <w:t>成立日期：1987 年 3 月 30 日</w:t>
      </w:r>
    </w:p>
    <w:p>
      <w:pPr>
        <w:pStyle w:val="BodyText"/>
        <w:spacing w:line="364" w:lineRule="auto" w:before="161"/>
        <w:ind w:left="600" w:right="2157"/>
      </w:pPr>
      <w:r>
        <w:rPr/>
        <w:t>基金托管业务批准文号：中国证监会证监基字[1998]25 号组织形式：股份有限公司</w:t>
      </w:r>
    </w:p>
    <w:p>
      <w:pPr>
        <w:pStyle w:val="BodyText"/>
        <w:spacing w:line="364" w:lineRule="auto"/>
        <w:ind w:left="600" w:right="5037"/>
      </w:pPr>
      <w:r>
        <w:rPr/>
        <w:t>注册资本：742.63 亿元人民币存续期间：持续经营</w:t>
      </w:r>
    </w:p>
    <w:p>
      <w:pPr>
        <w:pStyle w:val="BodyText"/>
        <w:spacing w:line="364" w:lineRule="auto"/>
        <w:ind w:right="218" w:firstLine="480"/>
      </w:pPr>
      <w:r>
        <w:rPr>
          <w:spacing w:val="-11"/>
        </w:rPr>
        <w:t>经营范围：吸收公众存款；发放短期、中期和长期贷款；办理结算；办理票 </w:t>
      </w:r>
      <w:r>
        <w:rPr>
          <w:spacing w:val="3"/>
        </w:rPr>
        <w:t>据贴现；发行金融债券；代理发行、代理兑付、承销政府债券；买卖政府债券； </w:t>
      </w:r>
      <w:r>
        <w:rPr>
          <w:spacing w:val="-8"/>
        </w:rPr>
        <w:t>从事同业拆借；提供信用证服务及担保；代理收付款项及代理保险业务；提供保</w:t>
      </w:r>
    </w:p>
    <w:p>
      <w:pPr>
        <w:spacing w:after="0" w:line="364" w:lineRule="auto"/>
        <w:sectPr>
          <w:pgSz w:w="11910" w:h="16840"/>
          <w:pgMar w:header="0" w:footer="990" w:top="1460" w:bottom="1180" w:left="1680" w:right="1340"/>
        </w:sectPr>
      </w:pPr>
    </w:p>
    <w:p>
      <w:pPr>
        <w:pStyle w:val="BodyText"/>
        <w:spacing w:line="364" w:lineRule="auto" w:before="44"/>
        <w:ind w:right="98"/>
      </w:pPr>
      <w:r>
        <w:rPr>
          <w:spacing w:val="-10"/>
        </w:rPr>
        <w:t>管箱服务；外汇存款；外汇贷款；外汇汇款；外币兑换；国际结算；结汇、售汇； </w:t>
      </w:r>
      <w:r>
        <w:rPr>
          <w:spacing w:val="-12"/>
        </w:rPr>
        <w:t>同业外汇拆借；外汇票据的承兑和贴现；外汇借款；外汇担保；发行和代理发行  </w:t>
      </w:r>
      <w:r>
        <w:rPr>
          <w:spacing w:val="-15"/>
        </w:rPr>
        <w:t>股票以外的外币有价证券；买卖和代理买卖股票以外的外币有价证券；自营和代  </w:t>
      </w:r>
      <w:r>
        <w:rPr>
          <w:spacing w:val="-14"/>
        </w:rPr>
        <w:t>客外汇买卖；代理国外信用卡的发行和付款；资信调查、咨询、见证业务；证券  投资基金托管业务。</w:t>
      </w:r>
    </w:p>
    <w:p>
      <w:pPr>
        <w:pStyle w:val="ListParagraph"/>
        <w:numPr>
          <w:ilvl w:val="0"/>
          <w:numId w:val="16"/>
        </w:numPr>
        <w:tabs>
          <w:tab w:pos="1201" w:val="left" w:leader="none"/>
        </w:tabs>
        <w:spacing w:line="240" w:lineRule="auto" w:before="3" w:after="0"/>
        <w:ind w:left="1201" w:right="0" w:hanging="601"/>
        <w:jc w:val="left"/>
        <w:rPr>
          <w:sz w:val="24"/>
        </w:rPr>
      </w:pPr>
      <w:r>
        <w:rPr>
          <w:sz w:val="24"/>
        </w:rPr>
        <w:t>基金托管人的权利</w:t>
      </w:r>
    </w:p>
    <w:p>
      <w:pPr>
        <w:pStyle w:val="ListParagraph"/>
        <w:numPr>
          <w:ilvl w:val="1"/>
          <w:numId w:val="16"/>
        </w:numPr>
        <w:tabs>
          <w:tab w:pos="1589" w:val="left" w:leader="none"/>
        </w:tabs>
        <w:spacing w:line="240" w:lineRule="auto" w:before="160" w:after="0"/>
        <w:ind w:left="1589" w:right="0" w:hanging="361"/>
        <w:jc w:val="left"/>
        <w:rPr>
          <w:sz w:val="24"/>
        </w:rPr>
      </w:pPr>
      <w:r>
        <w:rPr>
          <w:sz w:val="24"/>
        </w:rPr>
        <w:t>依据法律法规和基金合同的规定保管基金财产；</w:t>
      </w:r>
    </w:p>
    <w:p>
      <w:pPr>
        <w:pStyle w:val="ListParagraph"/>
        <w:numPr>
          <w:ilvl w:val="1"/>
          <w:numId w:val="16"/>
        </w:numPr>
        <w:tabs>
          <w:tab w:pos="1589" w:val="left" w:leader="none"/>
        </w:tabs>
        <w:spacing w:line="240" w:lineRule="auto" w:before="161" w:after="0"/>
        <w:ind w:left="1589" w:right="0" w:hanging="361"/>
        <w:jc w:val="left"/>
        <w:rPr>
          <w:sz w:val="24"/>
        </w:rPr>
      </w:pPr>
      <w:r>
        <w:rPr>
          <w:sz w:val="24"/>
        </w:rPr>
        <w:t>依照基金合同的约定获得基金托管费；</w:t>
      </w:r>
    </w:p>
    <w:p>
      <w:pPr>
        <w:pStyle w:val="ListParagraph"/>
        <w:numPr>
          <w:ilvl w:val="1"/>
          <w:numId w:val="16"/>
        </w:numPr>
        <w:tabs>
          <w:tab w:pos="1597" w:val="left" w:leader="none"/>
        </w:tabs>
        <w:spacing w:line="364" w:lineRule="auto" w:before="160" w:after="0"/>
        <w:ind w:left="1556" w:right="457" w:hanging="329"/>
        <w:jc w:val="both"/>
        <w:rPr>
          <w:sz w:val="24"/>
        </w:rPr>
      </w:pPr>
      <w:r>
        <w:rPr>
          <w:spacing w:val="2"/>
          <w:sz w:val="24"/>
        </w:rPr>
        <w:t>监督基金管理人对本基金的投资运作，如托管人发现基金管理人</w:t>
      </w:r>
      <w:r>
        <w:rPr>
          <w:spacing w:val="-5"/>
          <w:sz w:val="24"/>
        </w:rPr>
        <w:t>的投资指令违反基金合同或有关法律法规的规定的，不予执行并向</w:t>
      </w:r>
      <w:r>
        <w:rPr>
          <w:sz w:val="24"/>
        </w:rPr>
        <w:t>中国证监会报告；</w:t>
      </w:r>
    </w:p>
    <w:p>
      <w:pPr>
        <w:pStyle w:val="ListParagraph"/>
        <w:numPr>
          <w:ilvl w:val="1"/>
          <w:numId w:val="16"/>
        </w:numPr>
        <w:tabs>
          <w:tab w:pos="1589" w:val="left" w:leader="none"/>
        </w:tabs>
        <w:spacing w:line="240" w:lineRule="auto" w:before="2" w:after="0"/>
        <w:ind w:left="1589" w:right="0" w:hanging="361"/>
        <w:jc w:val="left"/>
        <w:rPr>
          <w:sz w:val="24"/>
        </w:rPr>
      </w:pPr>
      <w:r>
        <w:rPr>
          <w:sz w:val="24"/>
        </w:rPr>
        <w:t>在基金管理人职责终止时，提名新的基金管理人；</w:t>
      </w:r>
    </w:p>
    <w:p>
      <w:pPr>
        <w:pStyle w:val="ListParagraph"/>
        <w:numPr>
          <w:ilvl w:val="1"/>
          <w:numId w:val="16"/>
        </w:numPr>
        <w:tabs>
          <w:tab w:pos="1589" w:val="left" w:leader="none"/>
        </w:tabs>
        <w:spacing w:line="240" w:lineRule="auto" w:before="161" w:after="0"/>
        <w:ind w:left="1589" w:right="0" w:hanging="361"/>
        <w:jc w:val="left"/>
        <w:rPr>
          <w:sz w:val="24"/>
        </w:rPr>
      </w:pPr>
      <w:r>
        <w:rPr>
          <w:sz w:val="24"/>
        </w:rPr>
        <w:t>依据法律法规和基金合同的规定召集基金份额持有人大会；</w:t>
      </w:r>
    </w:p>
    <w:p>
      <w:pPr>
        <w:pStyle w:val="ListParagraph"/>
        <w:numPr>
          <w:ilvl w:val="1"/>
          <w:numId w:val="16"/>
        </w:numPr>
        <w:tabs>
          <w:tab w:pos="1597" w:val="left" w:leader="none"/>
        </w:tabs>
        <w:spacing w:line="364" w:lineRule="auto" w:before="160" w:after="0"/>
        <w:ind w:left="1556" w:right="457" w:hanging="329"/>
        <w:jc w:val="both"/>
        <w:rPr>
          <w:sz w:val="24"/>
        </w:rPr>
      </w:pPr>
      <w:r>
        <w:rPr>
          <w:spacing w:val="2"/>
          <w:sz w:val="24"/>
        </w:rPr>
        <w:t>依据法律法规和基金合同的规定监督基金管理人，如认为基金管</w:t>
      </w:r>
      <w:r>
        <w:rPr>
          <w:spacing w:val="-6"/>
          <w:sz w:val="24"/>
        </w:rPr>
        <w:t>理人违反了法律法规或基金合同规定对基金财产、其它基金合同当</w:t>
      </w:r>
      <w:r>
        <w:rPr>
          <w:spacing w:val="-7"/>
          <w:sz w:val="24"/>
        </w:rPr>
        <w:t>事人的利益造成重大损失的，应及时呈报中国证监会，以及采取其</w:t>
      </w:r>
      <w:r>
        <w:rPr>
          <w:sz w:val="24"/>
        </w:rPr>
        <w:t>它必要措施以保护本基金及相关基金合同当事人的利益；</w:t>
      </w:r>
    </w:p>
    <w:p>
      <w:pPr>
        <w:pStyle w:val="ListParagraph"/>
        <w:numPr>
          <w:ilvl w:val="1"/>
          <w:numId w:val="16"/>
        </w:numPr>
        <w:tabs>
          <w:tab w:pos="1589" w:val="left" w:leader="none"/>
        </w:tabs>
        <w:spacing w:line="240" w:lineRule="auto" w:before="3" w:after="0"/>
        <w:ind w:left="1589" w:right="0" w:hanging="361"/>
        <w:jc w:val="left"/>
        <w:rPr>
          <w:sz w:val="24"/>
        </w:rPr>
      </w:pPr>
      <w:r>
        <w:rPr>
          <w:sz w:val="24"/>
        </w:rPr>
        <w:t>法律法规、基金合同及中国证监会规定的其它权利。</w:t>
      </w:r>
    </w:p>
    <w:p>
      <w:pPr>
        <w:pStyle w:val="ListParagraph"/>
        <w:numPr>
          <w:ilvl w:val="0"/>
          <w:numId w:val="16"/>
        </w:numPr>
        <w:tabs>
          <w:tab w:pos="1201" w:val="left" w:leader="none"/>
        </w:tabs>
        <w:spacing w:line="240" w:lineRule="auto" w:before="160" w:after="0"/>
        <w:ind w:left="1201" w:right="0" w:hanging="601"/>
        <w:jc w:val="left"/>
        <w:rPr>
          <w:sz w:val="24"/>
        </w:rPr>
      </w:pPr>
      <w:r>
        <w:rPr>
          <w:sz w:val="24"/>
        </w:rPr>
        <w:t>基金托管人的义务</w:t>
      </w:r>
    </w:p>
    <w:p>
      <w:pPr>
        <w:pStyle w:val="ListParagraph"/>
        <w:numPr>
          <w:ilvl w:val="0"/>
          <w:numId w:val="17"/>
        </w:numPr>
        <w:tabs>
          <w:tab w:pos="1589" w:val="left" w:leader="none"/>
        </w:tabs>
        <w:spacing w:line="240" w:lineRule="auto" w:before="161" w:after="0"/>
        <w:ind w:left="1589" w:right="0" w:hanging="361"/>
        <w:jc w:val="left"/>
        <w:rPr>
          <w:sz w:val="24"/>
        </w:rPr>
      </w:pPr>
      <w:r>
        <w:rPr>
          <w:sz w:val="24"/>
        </w:rPr>
        <w:t>以诚实信用、勤勉尽责的原则安全保管基金财产；</w:t>
      </w:r>
    </w:p>
    <w:p>
      <w:pPr>
        <w:pStyle w:val="ListParagraph"/>
        <w:numPr>
          <w:ilvl w:val="0"/>
          <w:numId w:val="17"/>
        </w:numPr>
        <w:tabs>
          <w:tab w:pos="1597" w:val="left" w:leader="none"/>
        </w:tabs>
        <w:spacing w:line="364" w:lineRule="auto" w:before="160" w:after="0"/>
        <w:ind w:left="1556" w:right="337" w:hanging="329"/>
        <w:jc w:val="left"/>
        <w:rPr>
          <w:sz w:val="24"/>
        </w:rPr>
      </w:pPr>
      <w:r>
        <w:rPr>
          <w:spacing w:val="2"/>
          <w:sz w:val="24"/>
        </w:rPr>
        <w:t>设立专门的基金托管部门，具有符合要求的营业场所，配备足够</w:t>
      </w:r>
      <w:r>
        <w:rPr>
          <w:spacing w:val="-15"/>
          <w:sz w:val="24"/>
        </w:rPr>
        <w:t>的、合格的熟悉基金托管业务的专职人员，负责基金财产托管事宜；</w:t>
      </w:r>
    </w:p>
    <w:p>
      <w:pPr>
        <w:pStyle w:val="ListParagraph"/>
        <w:numPr>
          <w:ilvl w:val="0"/>
          <w:numId w:val="17"/>
        </w:numPr>
        <w:tabs>
          <w:tab w:pos="1597" w:val="left" w:leader="none"/>
        </w:tabs>
        <w:spacing w:line="364" w:lineRule="auto" w:before="1" w:after="0"/>
        <w:ind w:left="1556" w:right="457" w:hanging="329"/>
        <w:jc w:val="both"/>
        <w:rPr>
          <w:sz w:val="24"/>
        </w:rPr>
      </w:pPr>
      <w:r>
        <w:rPr>
          <w:spacing w:val="2"/>
          <w:sz w:val="24"/>
        </w:rPr>
        <w:t>建立健全内部控制、监察与稽核、财务管理及人事管理等制度， </w:t>
      </w:r>
      <w:r>
        <w:rPr>
          <w:spacing w:val="-11"/>
          <w:sz w:val="24"/>
        </w:rPr>
        <w:t>确保基金财产的安全，保证其托管的基金财产与基金托管人自有资</w:t>
      </w:r>
      <w:r>
        <w:rPr>
          <w:spacing w:val="-8"/>
          <w:sz w:val="24"/>
        </w:rPr>
        <w:t>产以及不同的基金财产相互独立；对所托管的不同的基金分别设置</w:t>
      </w:r>
      <w:r>
        <w:rPr>
          <w:spacing w:val="-12"/>
          <w:sz w:val="24"/>
        </w:rPr>
        <w:t>账户，独立核算，分账管理，保证不同基金之间在名册登记、账户</w:t>
      </w:r>
      <w:r>
        <w:rPr>
          <w:sz w:val="24"/>
        </w:rPr>
        <w:t>设置、资金划拨、账册记录等方面相互独立；</w:t>
      </w:r>
    </w:p>
    <w:p>
      <w:pPr>
        <w:pStyle w:val="ListParagraph"/>
        <w:numPr>
          <w:ilvl w:val="0"/>
          <w:numId w:val="17"/>
        </w:numPr>
        <w:tabs>
          <w:tab w:pos="1708" w:val="left" w:leader="none"/>
        </w:tabs>
        <w:spacing w:line="364" w:lineRule="auto" w:before="3" w:after="0"/>
        <w:ind w:left="1556" w:right="367" w:hanging="329"/>
        <w:jc w:val="both"/>
        <w:rPr>
          <w:sz w:val="24"/>
        </w:rPr>
      </w:pPr>
      <w:r>
        <w:rPr>
          <w:sz w:val="24"/>
        </w:rPr>
        <w:t>除依据《基金法》、本基金合同及其他有关规定外，不以基金财</w:t>
      </w:r>
      <w:r>
        <w:rPr>
          <w:spacing w:val="-1"/>
          <w:sz w:val="24"/>
        </w:rPr>
        <w:t>产为自己及任何第三人谋取利益，不得委托第三人托管基金财产；</w:t>
      </w:r>
    </w:p>
    <w:p>
      <w:pPr>
        <w:spacing w:after="0" w:line="364" w:lineRule="auto"/>
        <w:jc w:val="both"/>
        <w:rPr>
          <w:sz w:val="24"/>
        </w:rPr>
        <w:sectPr>
          <w:pgSz w:w="11910" w:h="16840"/>
          <w:pgMar w:header="0" w:footer="990" w:top="1460" w:bottom="1180" w:left="1680" w:right="1340"/>
        </w:sectPr>
      </w:pPr>
    </w:p>
    <w:p>
      <w:pPr>
        <w:pStyle w:val="ListParagraph"/>
        <w:numPr>
          <w:ilvl w:val="0"/>
          <w:numId w:val="17"/>
        </w:numPr>
        <w:tabs>
          <w:tab w:pos="1707" w:val="left" w:leader="none"/>
        </w:tabs>
        <w:spacing w:line="364" w:lineRule="auto" w:before="44" w:after="0"/>
        <w:ind w:left="1556" w:right="457" w:hanging="329"/>
        <w:jc w:val="left"/>
        <w:rPr>
          <w:sz w:val="24"/>
        </w:rPr>
      </w:pPr>
      <w:r>
        <w:rPr>
          <w:spacing w:val="-1"/>
          <w:sz w:val="24"/>
        </w:rPr>
        <w:t>按规定保管由基金管理人代表基金签订的与基金有关的重大合同</w:t>
      </w:r>
      <w:r>
        <w:rPr>
          <w:sz w:val="24"/>
        </w:rPr>
        <w:t>及有关凭证；</w:t>
      </w:r>
    </w:p>
    <w:p>
      <w:pPr>
        <w:pStyle w:val="ListParagraph"/>
        <w:numPr>
          <w:ilvl w:val="0"/>
          <w:numId w:val="17"/>
        </w:numPr>
        <w:tabs>
          <w:tab w:pos="1708" w:val="left" w:leader="none"/>
        </w:tabs>
        <w:spacing w:line="240" w:lineRule="auto" w:before="1" w:after="0"/>
        <w:ind w:left="1708" w:right="0" w:hanging="480"/>
        <w:jc w:val="left"/>
        <w:rPr>
          <w:sz w:val="24"/>
        </w:rPr>
      </w:pPr>
      <w:r>
        <w:rPr>
          <w:sz w:val="24"/>
        </w:rPr>
        <w:t>按规定开设基金财产的资金账户和证券账户；</w:t>
      </w:r>
    </w:p>
    <w:p>
      <w:pPr>
        <w:pStyle w:val="ListParagraph"/>
        <w:numPr>
          <w:ilvl w:val="0"/>
          <w:numId w:val="17"/>
        </w:numPr>
        <w:tabs>
          <w:tab w:pos="1708" w:val="left" w:leader="none"/>
        </w:tabs>
        <w:spacing w:line="364" w:lineRule="auto" w:before="161" w:after="0"/>
        <w:ind w:left="1556" w:right="457" w:hanging="329"/>
        <w:jc w:val="left"/>
        <w:rPr>
          <w:sz w:val="24"/>
        </w:rPr>
      </w:pPr>
      <w:r>
        <w:rPr>
          <w:spacing w:val="-1"/>
          <w:sz w:val="24"/>
        </w:rPr>
        <w:t>按照基金合同的约定，根据基金管理人的投资指令，及时办理清</w:t>
      </w:r>
      <w:r>
        <w:rPr>
          <w:sz w:val="24"/>
        </w:rPr>
        <w:t>算、交割事宜；</w:t>
      </w:r>
    </w:p>
    <w:p>
      <w:pPr>
        <w:pStyle w:val="ListParagraph"/>
        <w:numPr>
          <w:ilvl w:val="0"/>
          <w:numId w:val="17"/>
        </w:numPr>
        <w:tabs>
          <w:tab w:pos="1708" w:val="left" w:leader="none"/>
        </w:tabs>
        <w:spacing w:line="364" w:lineRule="auto" w:before="1" w:after="0"/>
        <w:ind w:left="1556" w:right="367" w:hanging="329"/>
        <w:jc w:val="left"/>
        <w:rPr>
          <w:sz w:val="24"/>
        </w:rPr>
      </w:pPr>
      <w:r>
        <w:rPr>
          <w:sz w:val="24"/>
        </w:rPr>
        <w:t>保守基金商业秘密。除《基金法》、基金合同及其他有关规定另</w:t>
      </w:r>
      <w:r>
        <w:rPr>
          <w:spacing w:val="-1"/>
          <w:sz w:val="24"/>
        </w:rPr>
        <w:t>有规定外，在基金信息公开披露前应予以保密，不得向他人泄露；</w:t>
      </w:r>
    </w:p>
    <w:p>
      <w:pPr>
        <w:pStyle w:val="ListParagraph"/>
        <w:numPr>
          <w:ilvl w:val="0"/>
          <w:numId w:val="17"/>
        </w:numPr>
        <w:tabs>
          <w:tab w:pos="1708" w:val="left" w:leader="none"/>
        </w:tabs>
        <w:spacing w:line="364" w:lineRule="auto" w:before="1" w:after="0"/>
        <w:ind w:left="1556" w:right="457" w:hanging="329"/>
        <w:jc w:val="left"/>
        <w:rPr>
          <w:sz w:val="24"/>
        </w:rPr>
      </w:pPr>
      <w:r>
        <w:rPr>
          <w:spacing w:val="-1"/>
          <w:sz w:val="24"/>
        </w:rPr>
        <w:t>复核、审查基金管理人计算的基金资产净值、基金份额净值及基</w:t>
      </w:r>
      <w:r>
        <w:rPr>
          <w:sz w:val="24"/>
        </w:rPr>
        <w:t>金份额申购、赎回价格；</w:t>
      </w:r>
    </w:p>
    <w:p>
      <w:pPr>
        <w:pStyle w:val="ListParagraph"/>
        <w:numPr>
          <w:ilvl w:val="0"/>
          <w:numId w:val="17"/>
        </w:numPr>
        <w:tabs>
          <w:tab w:pos="1709" w:val="left" w:leader="none"/>
        </w:tabs>
        <w:spacing w:line="240" w:lineRule="auto" w:before="1" w:after="0"/>
        <w:ind w:left="1709" w:right="0" w:hanging="481"/>
        <w:jc w:val="left"/>
        <w:rPr>
          <w:sz w:val="24"/>
        </w:rPr>
      </w:pPr>
      <w:r>
        <w:rPr>
          <w:sz w:val="24"/>
        </w:rPr>
        <w:t>办理与基金托管业务活动有关的信息披露事项；</w:t>
      </w:r>
    </w:p>
    <w:p>
      <w:pPr>
        <w:pStyle w:val="ListParagraph"/>
        <w:numPr>
          <w:ilvl w:val="0"/>
          <w:numId w:val="17"/>
        </w:numPr>
        <w:tabs>
          <w:tab w:pos="1709" w:val="left" w:leader="none"/>
        </w:tabs>
        <w:spacing w:line="364" w:lineRule="auto" w:before="161" w:after="0"/>
        <w:ind w:left="1556" w:right="337" w:hanging="329"/>
        <w:jc w:val="left"/>
        <w:rPr>
          <w:sz w:val="24"/>
        </w:rPr>
      </w:pPr>
      <w:r>
        <w:rPr>
          <w:spacing w:val="-8"/>
          <w:sz w:val="24"/>
        </w:rPr>
        <w:t>对基金财务会计报告、季度报告、中期报告和年度报告出具意见</w:t>
      </w:r>
      <w:r>
        <w:rPr>
          <w:sz w:val="24"/>
        </w:rPr>
        <w:t>，说明基金管理人在各重要方面的运作是否严格按照基金合同的</w:t>
      </w:r>
      <w:r>
        <w:rPr>
          <w:spacing w:val="-10"/>
          <w:sz w:val="24"/>
        </w:rPr>
        <w:t>规定进行；如果基金管理人有未执行基金合同规定的行为，还应说明基金托管人是否采取了适当的措施；</w:t>
      </w:r>
    </w:p>
    <w:p>
      <w:pPr>
        <w:pStyle w:val="ListParagraph"/>
        <w:numPr>
          <w:ilvl w:val="0"/>
          <w:numId w:val="17"/>
        </w:numPr>
        <w:tabs>
          <w:tab w:pos="1709" w:val="left" w:leader="none"/>
        </w:tabs>
        <w:spacing w:line="364" w:lineRule="auto" w:before="2" w:after="0"/>
        <w:ind w:left="1556" w:right="457" w:hanging="329"/>
        <w:jc w:val="left"/>
        <w:rPr>
          <w:sz w:val="24"/>
        </w:rPr>
      </w:pPr>
      <w:r>
        <w:rPr>
          <w:spacing w:val="-1"/>
          <w:sz w:val="24"/>
        </w:rPr>
        <w:t>按规定保存有关基金托管业务活动的记录、账册、报表和其他相</w:t>
      </w:r>
      <w:r>
        <w:rPr>
          <w:sz w:val="24"/>
        </w:rPr>
        <w:t>关资料；</w:t>
      </w:r>
    </w:p>
    <w:p>
      <w:pPr>
        <w:pStyle w:val="ListParagraph"/>
        <w:numPr>
          <w:ilvl w:val="0"/>
          <w:numId w:val="17"/>
        </w:numPr>
        <w:tabs>
          <w:tab w:pos="1709" w:val="left" w:leader="none"/>
        </w:tabs>
        <w:spacing w:line="240" w:lineRule="auto" w:before="1" w:after="0"/>
        <w:ind w:left="1709" w:right="0" w:hanging="481"/>
        <w:jc w:val="left"/>
        <w:rPr>
          <w:sz w:val="24"/>
        </w:rPr>
      </w:pPr>
      <w:r>
        <w:rPr>
          <w:sz w:val="24"/>
        </w:rPr>
        <w:t>根据有关法律法规，建立并保存基金份额持有人名册；</w:t>
      </w:r>
    </w:p>
    <w:p>
      <w:pPr>
        <w:pStyle w:val="ListParagraph"/>
        <w:numPr>
          <w:ilvl w:val="0"/>
          <w:numId w:val="17"/>
        </w:numPr>
        <w:tabs>
          <w:tab w:pos="1709" w:val="left" w:leader="none"/>
        </w:tabs>
        <w:spacing w:line="240" w:lineRule="auto" w:before="161" w:after="0"/>
        <w:ind w:left="1709" w:right="0" w:hanging="481"/>
        <w:jc w:val="left"/>
        <w:rPr>
          <w:sz w:val="24"/>
        </w:rPr>
      </w:pPr>
      <w:r>
        <w:rPr>
          <w:sz w:val="24"/>
        </w:rPr>
        <w:t>按规定制作相关账册并与基金管理人核对；</w:t>
      </w:r>
    </w:p>
    <w:p>
      <w:pPr>
        <w:pStyle w:val="ListParagraph"/>
        <w:numPr>
          <w:ilvl w:val="0"/>
          <w:numId w:val="17"/>
        </w:numPr>
        <w:tabs>
          <w:tab w:pos="1709" w:val="left" w:leader="none"/>
        </w:tabs>
        <w:spacing w:line="364" w:lineRule="auto" w:before="160" w:after="0"/>
        <w:ind w:left="1556" w:right="457" w:hanging="329"/>
        <w:jc w:val="left"/>
        <w:rPr>
          <w:sz w:val="24"/>
        </w:rPr>
      </w:pPr>
      <w:r>
        <w:rPr>
          <w:spacing w:val="-1"/>
          <w:sz w:val="24"/>
        </w:rPr>
        <w:t>依据基金管理人的指令或有关规定向基金份额持有人支付基金收</w:t>
      </w:r>
      <w:r>
        <w:rPr>
          <w:sz w:val="24"/>
        </w:rPr>
        <w:t>益和赎回、基金转换转出款项；</w:t>
      </w:r>
    </w:p>
    <w:p>
      <w:pPr>
        <w:pStyle w:val="ListParagraph"/>
        <w:numPr>
          <w:ilvl w:val="0"/>
          <w:numId w:val="17"/>
        </w:numPr>
        <w:tabs>
          <w:tab w:pos="1709" w:val="left" w:leader="none"/>
        </w:tabs>
        <w:spacing w:line="364" w:lineRule="auto" w:before="1" w:after="0"/>
        <w:ind w:left="1556" w:right="457" w:hanging="329"/>
        <w:jc w:val="left"/>
        <w:rPr>
          <w:sz w:val="24"/>
        </w:rPr>
      </w:pPr>
      <w:r>
        <w:rPr>
          <w:spacing w:val="-1"/>
          <w:sz w:val="24"/>
        </w:rPr>
        <w:t>按照规定召集基金份额持有人大会或配合基金份额持有人依法自</w:t>
      </w:r>
      <w:r>
        <w:rPr>
          <w:sz w:val="24"/>
        </w:rPr>
        <w:t>行召集基金份额持有人大会；</w:t>
      </w:r>
    </w:p>
    <w:p>
      <w:pPr>
        <w:pStyle w:val="ListParagraph"/>
        <w:numPr>
          <w:ilvl w:val="0"/>
          <w:numId w:val="17"/>
        </w:numPr>
        <w:tabs>
          <w:tab w:pos="1709" w:val="left" w:leader="none"/>
        </w:tabs>
        <w:spacing w:line="240" w:lineRule="auto" w:before="2" w:after="0"/>
        <w:ind w:left="1709" w:right="0" w:hanging="481"/>
        <w:jc w:val="left"/>
        <w:rPr>
          <w:sz w:val="24"/>
        </w:rPr>
      </w:pPr>
      <w:r>
        <w:rPr>
          <w:sz w:val="24"/>
        </w:rPr>
        <w:t>按照规定监督基金管理人的投资运作；</w:t>
      </w:r>
    </w:p>
    <w:p>
      <w:pPr>
        <w:pStyle w:val="ListParagraph"/>
        <w:numPr>
          <w:ilvl w:val="0"/>
          <w:numId w:val="17"/>
        </w:numPr>
        <w:tabs>
          <w:tab w:pos="1709" w:val="left" w:leader="none"/>
        </w:tabs>
        <w:spacing w:line="364" w:lineRule="auto" w:before="160" w:after="0"/>
        <w:ind w:left="1556" w:right="457" w:hanging="329"/>
        <w:jc w:val="left"/>
        <w:rPr>
          <w:sz w:val="24"/>
        </w:rPr>
      </w:pPr>
      <w:r>
        <w:rPr>
          <w:spacing w:val="-1"/>
          <w:sz w:val="24"/>
        </w:rPr>
        <w:t>参加基金财产清算组，参与基金财产的保管、清理、估价、变现</w:t>
      </w:r>
      <w:r>
        <w:rPr>
          <w:sz w:val="24"/>
        </w:rPr>
        <w:t>和分配；</w:t>
      </w:r>
    </w:p>
    <w:p>
      <w:pPr>
        <w:pStyle w:val="ListParagraph"/>
        <w:numPr>
          <w:ilvl w:val="0"/>
          <w:numId w:val="17"/>
        </w:numPr>
        <w:tabs>
          <w:tab w:pos="1709" w:val="left" w:leader="none"/>
        </w:tabs>
        <w:spacing w:line="364" w:lineRule="auto" w:before="1" w:after="0"/>
        <w:ind w:left="1556" w:right="457" w:hanging="329"/>
        <w:jc w:val="left"/>
        <w:rPr>
          <w:sz w:val="24"/>
        </w:rPr>
      </w:pPr>
      <w:r>
        <w:rPr>
          <w:spacing w:val="-1"/>
          <w:sz w:val="24"/>
        </w:rPr>
        <w:t>面临解散、依法被撤销、破产或者由接管人接管其资产时，及时</w:t>
      </w:r>
      <w:r>
        <w:rPr>
          <w:sz w:val="24"/>
        </w:rPr>
        <w:t>报告中国证监会和中国银监会，并通知基金管理人；</w:t>
      </w:r>
    </w:p>
    <w:p>
      <w:pPr>
        <w:pStyle w:val="ListParagraph"/>
        <w:numPr>
          <w:ilvl w:val="0"/>
          <w:numId w:val="17"/>
        </w:numPr>
        <w:tabs>
          <w:tab w:pos="1709" w:val="left" w:leader="none"/>
        </w:tabs>
        <w:spacing w:line="364" w:lineRule="auto" w:before="2" w:after="0"/>
        <w:ind w:left="1556" w:right="457" w:hanging="329"/>
        <w:jc w:val="left"/>
        <w:rPr>
          <w:sz w:val="24"/>
        </w:rPr>
      </w:pPr>
      <w:r>
        <w:rPr>
          <w:spacing w:val="-1"/>
          <w:sz w:val="24"/>
        </w:rPr>
        <w:t>基金管理人因违反基金合同造成基金财产损失时，基金托管人应</w:t>
      </w:r>
      <w:r>
        <w:rPr>
          <w:sz w:val="24"/>
        </w:rPr>
        <w:t>为基金向基金管理人追偿；</w:t>
      </w:r>
    </w:p>
    <w:p>
      <w:pPr>
        <w:spacing w:after="0" w:line="364" w:lineRule="auto"/>
        <w:jc w:val="left"/>
        <w:rPr>
          <w:sz w:val="24"/>
        </w:rPr>
        <w:sectPr>
          <w:pgSz w:w="11910" w:h="16840"/>
          <w:pgMar w:header="0" w:footer="990" w:top="1460" w:bottom="1180" w:left="1680" w:right="1340"/>
        </w:sectPr>
      </w:pPr>
    </w:p>
    <w:p>
      <w:pPr>
        <w:pStyle w:val="ListParagraph"/>
        <w:numPr>
          <w:ilvl w:val="0"/>
          <w:numId w:val="17"/>
        </w:numPr>
        <w:tabs>
          <w:tab w:pos="1709" w:val="left" w:leader="none"/>
        </w:tabs>
        <w:spacing w:line="364" w:lineRule="auto" w:before="44" w:after="0"/>
        <w:ind w:left="1556" w:right="457" w:hanging="329"/>
        <w:jc w:val="left"/>
        <w:rPr>
          <w:sz w:val="24"/>
        </w:rPr>
      </w:pPr>
      <w:r>
        <w:rPr>
          <w:spacing w:val="-1"/>
          <w:sz w:val="24"/>
        </w:rPr>
        <w:t>因违反基金合同导致基金财产的损失，应承担赔偿责任，其责任</w:t>
      </w:r>
      <w:r>
        <w:rPr>
          <w:sz w:val="24"/>
        </w:rPr>
        <w:t>不因其退任而免除；</w:t>
      </w:r>
    </w:p>
    <w:p>
      <w:pPr>
        <w:pStyle w:val="ListParagraph"/>
        <w:numPr>
          <w:ilvl w:val="0"/>
          <w:numId w:val="17"/>
        </w:numPr>
        <w:tabs>
          <w:tab w:pos="1709" w:val="left" w:leader="none"/>
        </w:tabs>
        <w:spacing w:line="240" w:lineRule="auto" w:before="1" w:after="0"/>
        <w:ind w:left="1709" w:right="0" w:hanging="481"/>
        <w:jc w:val="left"/>
        <w:rPr>
          <w:sz w:val="24"/>
        </w:rPr>
      </w:pPr>
      <w:r>
        <w:rPr>
          <w:sz w:val="24"/>
        </w:rPr>
        <w:t>不从事任何有损基金及基金合同其他当事人利益的活动；</w:t>
      </w:r>
    </w:p>
    <w:p>
      <w:pPr>
        <w:pStyle w:val="ListParagraph"/>
        <w:numPr>
          <w:ilvl w:val="0"/>
          <w:numId w:val="17"/>
        </w:numPr>
        <w:tabs>
          <w:tab w:pos="1709" w:val="left" w:leader="none"/>
        </w:tabs>
        <w:spacing w:line="240" w:lineRule="auto" w:before="161" w:after="0"/>
        <w:ind w:left="1709" w:right="0" w:hanging="481"/>
        <w:jc w:val="left"/>
        <w:rPr>
          <w:sz w:val="24"/>
        </w:rPr>
      </w:pPr>
      <w:r>
        <w:rPr>
          <w:sz w:val="24"/>
        </w:rPr>
        <w:t>法律法规、中国证监会及本基金合同所规定的其他义务。</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（三）基金份额持有人</w:t>
      </w:r>
    </w:p>
    <w:p>
      <w:pPr>
        <w:pStyle w:val="BodyText"/>
        <w:spacing w:before="4"/>
        <w:ind w:left="0"/>
        <w:rPr>
          <w:rFonts w:ascii="Microsoft JhengHei"/>
          <w:b/>
          <w:sz w:val="14"/>
        </w:rPr>
      </w:pPr>
    </w:p>
    <w:p>
      <w:pPr>
        <w:pStyle w:val="ListParagraph"/>
        <w:numPr>
          <w:ilvl w:val="0"/>
          <w:numId w:val="18"/>
        </w:numPr>
        <w:tabs>
          <w:tab w:pos="1203" w:val="left" w:leader="none"/>
        </w:tabs>
        <w:spacing w:line="364" w:lineRule="auto" w:before="1" w:after="0"/>
        <w:ind w:left="120" w:right="458" w:firstLine="480"/>
        <w:jc w:val="both"/>
        <w:rPr>
          <w:sz w:val="24"/>
        </w:rPr>
      </w:pPr>
      <w:r>
        <w:rPr>
          <w:sz w:val="24"/>
        </w:rPr>
        <w:t>基金投资人购买或通过其他合法方式持有本基金基金份额的行为即视</w:t>
      </w:r>
      <w:r>
        <w:rPr>
          <w:spacing w:val="-7"/>
          <w:sz w:val="24"/>
        </w:rPr>
        <w:t>为对基金合同的承认和接受，基金投资人自依据基金合同、招募说明书取得本基</w:t>
      </w:r>
      <w:r>
        <w:rPr>
          <w:spacing w:val="-10"/>
          <w:sz w:val="24"/>
        </w:rPr>
        <w:t>金的基金份额，即成为基金份额持有人和基金合同当事人，直至其不再持有本基</w:t>
      </w:r>
      <w:r>
        <w:rPr>
          <w:spacing w:val="-11"/>
          <w:sz w:val="24"/>
        </w:rPr>
        <w:t>金的基金份额。基金份额持有人作为当事人并不以在基金合同上书面签章为必要</w:t>
      </w:r>
      <w:r>
        <w:rPr>
          <w:sz w:val="24"/>
        </w:rPr>
        <w:t>条件。每份基金份额具有同等的合法权益。</w:t>
      </w:r>
    </w:p>
    <w:p>
      <w:pPr>
        <w:pStyle w:val="ListParagraph"/>
        <w:numPr>
          <w:ilvl w:val="0"/>
          <w:numId w:val="18"/>
        </w:numPr>
        <w:tabs>
          <w:tab w:pos="1201" w:val="left" w:leader="none"/>
        </w:tabs>
        <w:spacing w:line="240" w:lineRule="auto" w:before="3" w:after="0"/>
        <w:ind w:left="1201" w:right="0" w:hanging="601"/>
        <w:jc w:val="left"/>
        <w:rPr>
          <w:sz w:val="24"/>
        </w:rPr>
      </w:pPr>
      <w:r>
        <w:rPr>
          <w:sz w:val="24"/>
        </w:rPr>
        <w:t>基金份额持有人的权利</w:t>
      </w:r>
    </w:p>
    <w:p>
      <w:pPr>
        <w:pStyle w:val="ListParagraph"/>
        <w:numPr>
          <w:ilvl w:val="1"/>
          <w:numId w:val="18"/>
        </w:numPr>
        <w:tabs>
          <w:tab w:pos="1589" w:val="left" w:leader="none"/>
        </w:tabs>
        <w:spacing w:line="240" w:lineRule="auto" w:before="160" w:after="0"/>
        <w:ind w:left="1589" w:right="0" w:hanging="361"/>
        <w:jc w:val="left"/>
        <w:rPr>
          <w:sz w:val="24"/>
        </w:rPr>
      </w:pPr>
      <w:r>
        <w:rPr>
          <w:sz w:val="24"/>
        </w:rPr>
        <w:t>分享基金财产收益；</w:t>
      </w:r>
    </w:p>
    <w:p>
      <w:pPr>
        <w:pStyle w:val="ListParagraph"/>
        <w:numPr>
          <w:ilvl w:val="1"/>
          <w:numId w:val="18"/>
        </w:numPr>
        <w:tabs>
          <w:tab w:pos="1589" w:val="left" w:leader="none"/>
        </w:tabs>
        <w:spacing w:line="240" w:lineRule="auto" w:before="161" w:after="0"/>
        <w:ind w:left="1589" w:right="0" w:hanging="361"/>
        <w:jc w:val="left"/>
        <w:rPr>
          <w:sz w:val="24"/>
        </w:rPr>
      </w:pPr>
      <w:r>
        <w:rPr>
          <w:sz w:val="24"/>
        </w:rPr>
        <w:t>参与分配清算后的剩余基金财产；</w:t>
      </w:r>
    </w:p>
    <w:p>
      <w:pPr>
        <w:pStyle w:val="ListParagraph"/>
        <w:numPr>
          <w:ilvl w:val="1"/>
          <w:numId w:val="18"/>
        </w:numPr>
        <w:tabs>
          <w:tab w:pos="1589" w:val="left" w:leader="none"/>
        </w:tabs>
        <w:spacing w:line="240" w:lineRule="auto" w:before="160" w:after="0"/>
        <w:ind w:left="1589" w:right="0" w:hanging="361"/>
        <w:jc w:val="left"/>
        <w:rPr>
          <w:sz w:val="24"/>
        </w:rPr>
      </w:pPr>
      <w:r>
        <w:rPr>
          <w:sz w:val="24"/>
        </w:rPr>
        <w:t>依法申请赎回其持有的基金份额；</w:t>
      </w:r>
    </w:p>
    <w:p>
      <w:pPr>
        <w:pStyle w:val="ListParagraph"/>
        <w:numPr>
          <w:ilvl w:val="1"/>
          <w:numId w:val="18"/>
        </w:numPr>
        <w:tabs>
          <w:tab w:pos="1589" w:val="left" w:leader="none"/>
        </w:tabs>
        <w:spacing w:line="240" w:lineRule="auto" w:before="161" w:after="0"/>
        <w:ind w:left="1589" w:right="0" w:hanging="361"/>
        <w:jc w:val="left"/>
        <w:rPr>
          <w:sz w:val="24"/>
        </w:rPr>
      </w:pPr>
      <w:r>
        <w:rPr>
          <w:sz w:val="24"/>
        </w:rPr>
        <w:t>按照规定要求召开基金份额持有人大会；</w:t>
      </w:r>
    </w:p>
    <w:p>
      <w:pPr>
        <w:pStyle w:val="ListParagraph"/>
        <w:numPr>
          <w:ilvl w:val="1"/>
          <w:numId w:val="18"/>
        </w:numPr>
        <w:tabs>
          <w:tab w:pos="1597" w:val="left" w:leader="none"/>
        </w:tabs>
        <w:spacing w:line="364" w:lineRule="auto" w:before="160" w:after="0"/>
        <w:ind w:left="1556" w:right="458" w:hanging="329"/>
        <w:jc w:val="left"/>
        <w:rPr>
          <w:sz w:val="24"/>
        </w:rPr>
      </w:pPr>
      <w:r>
        <w:rPr>
          <w:spacing w:val="2"/>
          <w:sz w:val="24"/>
        </w:rPr>
        <w:t>出席或者委派代表出席基金份额持有人大会，对基金份额持有人</w:t>
      </w:r>
      <w:r>
        <w:rPr>
          <w:sz w:val="24"/>
        </w:rPr>
        <w:t>大会审议事项行使表决权；</w:t>
      </w:r>
    </w:p>
    <w:p>
      <w:pPr>
        <w:pStyle w:val="ListParagraph"/>
        <w:numPr>
          <w:ilvl w:val="1"/>
          <w:numId w:val="18"/>
        </w:numPr>
        <w:tabs>
          <w:tab w:pos="1589" w:val="left" w:leader="none"/>
        </w:tabs>
        <w:spacing w:line="240" w:lineRule="auto" w:before="1" w:after="0"/>
        <w:ind w:left="1589" w:right="0" w:hanging="361"/>
        <w:jc w:val="left"/>
        <w:rPr>
          <w:sz w:val="24"/>
        </w:rPr>
      </w:pPr>
      <w:r>
        <w:rPr>
          <w:sz w:val="24"/>
        </w:rPr>
        <w:t>查阅或者复制公开披露的基金信息资料；</w:t>
      </w:r>
    </w:p>
    <w:p>
      <w:pPr>
        <w:pStyle w:val="ListParagraph"/>
        <w:numPr>
          <w:ilvl w:val="1"/>
          <w:numId w:val="18"/>
        </w:numPr>
        <w:tabs>
          <w:tab w:pos="1589" w:val="left" w:leader="none"/>
        </w:tabs>
        <w:spacing w:line="240" w:lineRule="auto" w:before="161" w:after="0"/>
        <w:ind w:left="1589" w:right="0" w:hanging="361"/>
        <w:jc w:val="left"/>
        <w:rPr>
          <w:sz w:val="24"/>
        </w:rPr>
      </w:pPr>
      <w:r>
        <w:rPr>
          <w:sz w:val="24"/>
        </w:rPr>
        <w:t>监督基金管理人的投资运作；</w:t>
      </w:r>
    </w:p>
    <w:p>
      <w:pPr>
        <w:pStyle w:val="ListParagraph"/>
        <w:numPr>
          <w:ilvl w:val="1"/>
          <w:numId w:val="18"/>
        </w:numPr>
        <w:tabs>
          <w:tab w:pos="1597" w:val="left" w:leader="none"/>
        </w:tabs>
        <w:spacing w:line="364" w:lineRule="auto" w:before="160" w:after="0"/>
        <w:ind w:left="1556" w:right="458" w:hanging="329"/>
        <w:jc w:val="left"/>
        <w:rPr>
          <w:sz w:val="24"/>
        </w:rPr>
      </w:pPr>
      <w:r>
        <w:rPr>
          <w:spacing w:val="2"/>
          <w:sz w:val="24"/>
        </w:rPr>
        <w:t>对基金管理人、基金托管人、注册登记人、基金份额发售机构损</w:t>
      </w:r>
      <w:r>
        <w:rPr>
          <w:sz w:val="24"/>
        </w:rPr>
        <w:t>害其合法权益的行为依法提起诉讼；</w:t>
      </w:r>
    </w:p>
    <w:p>
      <w:pPr>
        <w:pStyle w:val="ListParagraph"/>
        <w:numPr>
          <w:ilvl w:val="1"/>
          <w:numId w:val="18"/>
        </w:numPr>
        <w:tabs>
          <w:tab w:pos="1589" w:val="left" w:leader="none"/>
        </w:tabs>
        <w:spacing w:line="240" w:lineRule="auto" w:before="2" w:after="0"/>
        <w:ind w:left="1589" w:right="0" w:hanging="361"/>
        <w:jc w:val="left"/>
        <w:rPr>
          <w:sz w:val="24"/>
        </w:rPr>
      </w:pPr>
      <w:r>
        <w:rPr>
          <w:sz w:val="24"/>
        </w:rPr>
        <w:t>法律法规、基金合同规定的其它权利。</w:t>
      </w:r>
    </w:p>
    <w:p>
      <w:pPr>
        <w:pStyle w:val="ListParagraph"/>
        <w:numPr>
          <w:ilvl w:val="0"/>
          <w:numId w:val="18"/>
        </w:numPr>
        <w:tabs>
          <w:tab w:pos="1201" w:val="left" w:leader="none"/>
        </w:tabs>
        <w:spacing w:line="240" w:lineRule="auto" w:before="160" w:after="0"/>
        <w:ind w:left="1201" w:right="0" w:hanging="601"/>
        <w:jc w:val="left"/>
        <w:rPr>
          <w:sz w:val="24"/>
        </w:rPr>
      </w:pPr>
      <w:r>
        <w:rPr>
          <w:sz w:val="24"/>
        </w:rPr>
        <w:t>基金份额持有人的义务</w:t>
      </w:r>
    </w:p>
    <w:p>
      <w:pPr>
        <w:pStyle w:val="ListParagraph"/>
        <w:numPr>
          <w:ilvl w:val="0"/>
          <w:numId w:val="19"/>
        </w:numPr>
        <w:tabs>
          <w:tab w:pos="1589" w:val="left" w:leader="none"/>
        </w:tabs>
        <w:spacing w:line="240" w:lineRule="auto" w:before="161" w:after="0"/>
        <w:ind w:left="1589" w:right="0" w:hanging="361"/>
        <w:jc w:val="left"/>
        <w:rPr>
          <w:sz w:val="24"/>
        </w:rPr>
      </w:pPr>
      <w:r>
        <w:rPr>
          <w:sz w:val="24"/>
        </w:rPr>
        <w:t>遵守基金合同；</w:t>
      </w:r>
    </w:p>
    <w:p>
      <w:pPr>
        <w:pStyle w:val="ListParagraph"/>
        <w:numPr>
          <w:ilvl w:val="0"/>
          <w:numId w:val="19"/>
        </w:numPr>
        <w:tabs>
          <w:tab w:pos="1589" w:val="left" w:leader="none"/>
        </w:tabs>
        <w:spacing w:line="240" w:lineRule="auto" w:before="160" w:after="0"/>
        <w:ind w:left="1589" w:right="0" w:hanging="361"/>
        <w:jc w:val="left"/>
        <w:rPr>
          <w:sz w:val="24"/>
        </w:rPr>
      </w:pPr>
      <w:r>
        <w:rPr>
          <w:sz w:val="24"/>
        </w:rPr>
        <w:t>缴纳基金申购款项及法律法规和基金合同所规定的其他费用；</w:t>
      </w:r>
    </w:p>
    <w:p>
      <w:pPr>
        <w:pStyle w:val="ListParagraph"/>
        <w:numPr>
          <w:ilvl w:val="0"/>
          <w:numId w:val="19"/>
        </w:numPr>
        <w:tabs>
          <w:tab w:pos="1597" w:val="left" w:leader="none"/>
        </w:tabs>
        <w:spacing w:line="364" w:lineRule="auto" w:before="161" w:after="0"/>
        <w:ind w:left="1556" w:right="458" w:hanging="329"/>
        <w:jc w:val="left"/>
        <w:rPr>
          <w:sz w:val="24"/>
        </w:rPr>
      </w:pPr>
      <w:r>
        <w:rPr>
          <w:spacing w:val="2"/>
          <w:sz w:val="24"/>
        </w:rPr>
        <w:t>在持有的基金份额范围内，承担基金亏损或者基金合同终止的有</w:t>
      </w:r>
      <w:r>
        <w:rPr>
          <w:sz w:val="24"/>
        </w:rPr>
        <w:t>限责任；</w:t>
      </w:r>
    </w:p>
    <w:p>
      <w:pPr>
        <w:pStyle w:val="ListParagraph"/>
        <w:numPr>
          <w:ilvl w:val="0"/>
          <w:numId w:val="19"/>
        </w:numPr>
        <w:tabs>
          <w:tab w:pos="1589" w:val="left" w:leader="none"/>
        </w:tabs>
        <w:spacing w:line="240" w:lineRule="auto" w:before="1" w:after="0"/>
        <w:ind w:left="1589" w:right="0" w:hanging="361"/>
        <w:jc w:val="left"/>
        <w:rPr>
          <w:sz w:val="24"/>
        </w:rPr>
      </w:pPr>
      <w:r>
        <w:rPr>
          <w:sz w:val="24"/>
        </w:rPr>
        <w:t>不从事任何有损基金及其他基金合同当事人合法利益的活动；</w:t>
      </w:r>
    </w:p>
    <w:p>
      <w:pPr>
        <w:pStyle w:val="ListParagraph"/>
        <w:numPr>
          <w:ilvl w:val="0"/>
          <w:numId w:val="19"/>
        </w:numPr>
        <w:tabs>
          <w:tab w:pos="1589" w:val="left" w:leader="none"/>
        </w:tabs>
        <w:spacing w:line="240" w:lineRule="auto" w:before="160" w:after="0"/>
        <w:ind w:left="1589" w:right="0" w:hanging="361"/>
        <w:jc w:val="left"/>
        <w:rPr>
          <w:sz w:val="24"/>
        </w:rPr>
      </w:pPr>
      <w:r>
        <w:rPr>
          <w:sz w:val="24"/>
        </w:rPr>
        <w:t>执行生效的基金份额持有人大会决议；</w:t>
      </w:r>
    </w:p>
    <w:p>
      <w:pPr>
        <w:spacing w:after="0" w:line="240" w:lineRule="auto"/>
        <w:jc w:val="left"/>
        <w:rPr>
          <w:sz w:val="24"/>
        </w:rPr>
        <w:sectPr>
          <w:pgSz w:w="11910" w:h="16840"/>
          <w:pgMar w:header="0" w:footer="990" w:top="1460" w:bottom="1180" w:left="1680" w:right="1340"/>
        </w:sectPr>
      </w:pPr>
    </w:p>
    <w:p>
      <w:pPr>
        <w:pStyle w:val="ListParagraph"/>
        <w:numPr>
          <w:ilvl w:val="0"/>
          <w:numId w:val="19"/>
        </w:numPr>
        <w:tabs>
          <w:tab w:pos="1600" w:val="left" w:leader="none"/>
        </w:tabs>
        <w:spacing w:line="364" w:lineRule="auto" w:before="44" w:after="0"/>
        <w:ind w:left="1556" w:right="458" w:hanging="329"/>
        <w:jc w:val="left"/>
        <w:rPr>
          <w:sz w:val="24"/>
        </w:rPr>
      </w:pPr>
      <w:r>
        <w:rPr>
          <w:spacing w:val="2"/>
          <w:sz w:val="24"/>
        </w:rPr>
        <w:t>返还在基金交易过程中因任何原因，自基金管理人、基金托管人及代理机构处获得的不当得利；</w:t>
      </w:r>
    </w:p>
    <w:p>
      <w:pPr>
        <w:pStyle w:val="ListParagraph"/>
        <w:numPr>
          <w:ilvl w:val="0"/>
          <w:numId w:val="19"/>
        </w:numPr>
        <w:tabs>
          <w:tab w:pos="1589" w:val="left" w:leader="none"/>
        </w:tabs>
        <w:spacing w:line="240" w:lineRule="auto" w:before="1" w:after="0"/>
        <w:ind w:left="1589" w:right="0" w:hanging="361"/>
        <w:jc w:val="left"/>
        <w:rPr>
          <w:sz w:val="24"/>
        </w:rPr>
      </w:pPr>
      <w:r>
        <w:rPr>
          <w:sz w:val="24"/>
        </w:rPr>
        <w:t>法律法规及基金合同规定的其他义务。</w:t>
      </w:r>
    </w:p>
    <w:p>
      <w:pPr>
        <w:spacing w:after="0" w:line="240" w:lineRule="auto"/>
        <w:jc w:val="left"/>
        <w:rPr>
          <w:sz w:val="24"/>
        </w:rPr>
        <w:sectPr>
          <w:pgSz w:w="11910" w:h="16840"/>
          <w:pgMar w:header="0" w:footer="990" w:top="1460" w:bottom="1180" w:left="1680" w:right="1340"/>
        </w:sectPr>
      </w:pPr>
    </w:p>
    <w:p>
      <w:pPr>
        <w:pStyle w:val="Heading1"/>
        <w:tabs>
          <w:tab w:pos="1123" w:val="left" w:leader="none"/>
        </w:tabs>
        <w:spacing w:before="1"/>
        <w:ind w:left="403"/>
      </w:pPr>
      <w:bookmarkStart w:name="_bookmark9" w:id="10"/>
      <w:bookmarkEnd w:id="10"/>
      <w:r>
        <w:rPr>
          <w:b w:val="0"/>
        </w:rPr>
      </w:r>
      <w:r>
        <w:rPr>
          <w:position w:val="-2"/>
        </w:rPr>
        <w:t>十、</w:t>
        <w:tab/>
      </w:r>
      <w:r>
        <w:rPr/>
        <w:t>基金份额持有人大会</w:t>
      </w:r>
    </w:p>
    <w:p>
      <w:pPr>
        <w:spacing w:line="297" w:lineRule="auto" w:before="152"/>
        <w:ind w:left="120" w:right="458" w:firstLine="0"/>
        <w:jc w:val="left"/>
        <w:rPr>
          <w:sz w:val="24"/>
        </w:rPr>
      </w:pPr>
      <w:r>
        <w:rPr>
          <w:rFonts w:ascii="Microsoft JhengHei" w:eastAsia="Microsoft JhengHei" w:hint="eastAsia"/>
          <w:b/>
          <w:sz w:val="24"/>
        </w:rPr>
        <w:t>（一）本基金的基金份额持有人大会，由本基金的基金份额持有人组成。</w:t>
      </w:r>
      <w:r>
        <w:rPr>
          <w:sz w:val="24"/>
        </w:rPr>
        <w:t>基金份额持有人持有的每一基金份额拥有平等的投票权。</w:t>
      </w:r>
    </w:p>
    <w:p>
      <w:pPr>
        <w:spacing w:before="164"/>
        <w:ind w:left="120" w:right="0" w:firstLine="0"/>
        <w:jc w:val="left"/>
        <w:rPr>
          <w:rFonts w:ascii="Microsoft JhengHei" w:eastAsia="Microsoft JhengHei" w:hint="eastAsia"/>
          <w:b/>
          <w:sz w:val="24"/>
        </w:rPr>
      </w:pPr>
      <w:r>
        <w:rPr>
          <w:rFonts w:ascii="Microsoft JhengHei" w:eastAsia="Microsoft JhengHei" w:hint="eastAsia"/>
          <w:b/>
          <w:sz w:val="24"/>
        </w:rPr>
        <w:t>（二）有以下事由情形之一时，应召开基金份额持有人大会：</w:t>
      </w:r>
    </w:p>
    <w:p>
      <w:pPr>
        <w:pStyle w:val="BodyText"/>
        <w:spacing w:before="4"/>
        <w:ind w:left="0"/>
        <w:rPr>
          <w:rFonts w:ascii="Microsoft JhengHei"/>
          <w:b/>
          <w:sz w:val="14"/>
        </w:rPr>
      </w:pPr>
    </w:p>
    <w:p>
      <w:pPr>
        <w:pStyle w:val="ListParagraph"/>
        <w:numPr>
          <w:ilvl w:val="0"/>
          <w:numId w:val="20"/>
        </w:numPr>
        <w:tabs>
          <w:tab w:pos="1201" w:val="left" w:leader="none"/>
        </w:tabs>
        <w:spacing w:line="240" w:lineRule="auto" w:before="0" w:after="0"/>
        <w:ind w:left="1201" w:right="0" w:hanging="601"/>
        <w:jc w:val="left"/>
        <w:rPr>
          <w:sz w:val="24"/>
        </w:rPr>
      </w:pPr>
      <w:r>
        <w:rPr>
          <w:sz w:val="24"/>
        </w:rPr>
        <w:t>终止基金合同；</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转换基金运作方式；</w:t>
      </w:r>
    </w:p>
    <w:p>
      <w:pPr>
        <w:pStyle w:val="ListParagraph"/>
        <w:numPr>
          <w:ilvl w:val="0"/>
          <w:numId w:val="20"/>
        </w:numPr>
        <w:tabs>
          <w:tab w:pos="1201" w:val="left" w:leader="none"/>
        </w:tabs>
        <w:spacing w:line="240" w:lineRule="auto" w:before="160" w:after="0"/>
        <w:ind w:left="1201" w:right="0" w:hanging="601"/>
        <w:jc w:val="left"/>
        <w:rPr>
          <w:sz w:val="24"/>
        </w:rPr>
      </w:pPr>
      <w:r>
        <w:rPr>
          <w:sz w:val="24"/>
        </w:rPr>
        <w:t>更换基金托管人；</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更换基金管理人；</w:t>
      </w:r>
    </w:p>
    <w:p>
      <w:pPr>
        <w:pStyle w:val="ListParagraph"/>
        <w:numPr>
          <w:ilvl w:val="0"/>
          <w:numId w:val="20"/>
        </w:numPr>
        <w:tabs>
          <w:tab w:pos="1203" w:val="left" w:leader="none"/>
        </w:tabs>
        <w:spacing w:line="364" w:lineRule="auto" w:before="160" w:after="0"/>
        <w:ind w:left="120" w:right="458" w:firstLine="480"/>
        <w:jc w:val="left"/>
        <w:rPr>
          <w:sz w:val="24"/>
        </w:rPr>
      </w:pPr>
      <w:r>
        <w:rPr>
          <w:sz w:val="24"/>
        </w:rPr>
        <w:t>提高基金管理人、基金托管人的报酬标准，但根据法律法规的要求提高该等报酬标准的除外；</w:t>
      </w:r>
    </w:p>
    <w:p>
      <w:pPr>
        <w:pStyle w:val="ListParagraph"/>
        <w:numPr>
          <w:ilvl w:val="0"/>
          <w:numId w:val="20"/>
        </w:numPr>
        <w:tabs>
          <w:tab w:pos="1201" w:val="left" w:leader="none"/>
        </w:tabs>
        <w:spacing w:line="240" w:lineRule="auto" w:before="1" w:after="0"/>
        <w:ind w:left="1201" w:right="0" w:hanging="601"/>
        <w:jc w:val="left"/>
        <w:rPr>
          <w:sz w:val="24"/>
        </w:rPr>
      </w:pPr>
      <w:r>
        <w:rPr>
          <w:sz w:val="24"/>
        </w:rPr>
        <w:t>本基金与其它基金的合并；</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变更基金类别；</w:t>
      </w:r>
    </w:p>
    <w:p>
      <w:pPr>
        <w:pStyle w:val="ListParagraph"/>
        <w:numPr>
          <w:ilvl w:val="0"/>
          <w:numId w:val="20"/>
        </w:numPr>
        <w:tabs>
          <w:tab w:pos="1201" w:val="left" w:leader="none"/>
        </w:tabs>
        <w:spacing w:line="240" w:lineRule="auto" w:before="160" w:after="0"/>
        <w:ind w:left="1201" w:right="0" w:hanging="601"/>
        <w:jc w:val="left"/>
        <w:rPr>
          <w:sz w:val="24"/>
        </w:rPr>
      </w:pPr>
      <w:r>
        <w:rPr>
          <w:sz w:val="24"/>
        </w:rPr>
        <w:t>变更基金投资目标、范围或策略；</w:t>
      </w:r>
    </w:p>
    <w:p>
      <w:pPr>
        <w:pStyle w:val="ListParagraph"/>
        <w:numPr>
          <w:ilvl w:val="0"/>
          <w:numId w:val="20"/>
        </w:numPr>
        <w:tabs>
          <w:tab w:pos="1201" w:val="left" w:leader="none"/>
        </w:tabs>
        <w:spacing w:line="240" w:lineRule="auto" w:before="161" w:after="0"/>
        <w:ind w:left="1201" w:right="0" w:hanging="601"/>
        <w:jc w:val="left"/>
        <w:rPr>
          <w:sz w:val="24"/>
        </w:rPr>
      </w:pPr>
      <w:r>
        <w:rPr>
          <w:sz w:val="24"/>
        </w:rPr>
        <w:t>变更基金份额持有人大会程序；</w:t>
      </w:r>
    </w:p>
    <w:p>
      <w:pPr>
        <w:pStyle w:val="ListParagraph"/>
        <w:numPr>
          <w:ilvl w:val="0"/>
          <w:numId w:val="20"/>
        </w:numPr>
        <w:tabs>
          <w:tab w:pos="1321" w:val="left" w:leader="none"/>
        </w:tabs>
        <w:spacing w:line="240" w:lineRule="auto" w:before="160" w:after="0"/>
        <w:ind w:left="1321" w:right="0" w:hanging="721"/>
        <w:jc w:val="left"/>
        <w:rPr>
          <w:sz w:val="24"/>
        </w:rPr>
      </w:pPr>
      <w:r>
        <w:rPr>
          <w:sz w:val="24"/>
        </w:rPr>
        <w:t>对基金合同当事人权利、义务产生重大影响的其他事项；</w:t>
      </w:r>
    </w:p>
    <w:p>
      <w:pPr>
        <w:pStyle w:val="ListParagraph"/>
        <w:numPr>
          <w:ilvl w:val="0"/>
          <w:numId w:val="20"/>
        </w:numPr>
        <w:tabs>
          <w:tab w:pos="1321" w:val="left" w:leader="none"/>
        </w:tabs>
        <w:spacing w:line="364" w:lineRule="auto" w:before="161" w:after="0"/>
        <w:ind w:left="120" w:right="458" w:firstLine="480"/>
        <w:jc w:val="left"/>
        <w:rPr>
          <w:sz w:val="24"/>
        </w:rPr>
      </w:pPr>
      <w:r>
        <w:rPr>
          <w:spacing w:val="-7"/>
          <w:sz w:val="24"/>
        </w:rPr>
        <w:t>法律法规、基金合同或中国证监会规定的其它应当召开基金份额持</w:t>
      </w:r>
      <w:r>
        <w:rPr>
          <w:spacing w:val="-4"/>
          <w:sz w:val="24"/>
        </w:rPr>
        <w:t>有人大会的事项。</w:t>
      </w:r>
    </w:p>
    <w:p>
      <w:pPr>
        <w:spacing w:line="363" w:lineRule="exact" w:before="0"/>
        <w:ind w:left="600" w:right="0" w:firstLine="0"/>
        <w:jc w:val="left"/>
        <w:rPr>
          <w:rFonts w:ascii="Microsoft JhengHei" w:eastAsia="Microsoft JhengHei" w:hint="eastAsia"/>
          <w:b/>
          <w:sz w:val="24"/>
        </w:rPr>
      </w:pPr>
      <w:r>
        <w:rPr>
          <w:rFonts w:ascii="Microsoft JhengHei" w:eastAsia="Microsoft JhengHei" w:hint="eastAsia"/>
          <w:b/>
          <w:sz w:val="24"/>
        </w:rPr>
        <w:t>（三）以下情况不需召开基金份额持有人大会：</w:t>
      </w:r>
    </w:p>
    <w:p>
      <w:pPr>
        <w:pStyle w:val="ListParagraph"/>
        <w:numPr>
          <w:ilvl w:val="0"/>
          <w:numId w:val="21"/>
        </w:numPr>
        <w:tabs>
          <w:tab w:pos="1201" w:val="left" w:leader="none"/>
        </w:tabs>
        <w:spacing w:line="240" w:lineRule="auto" w:before="106" w:after="0"/>
        <w:ind w:left="1201" w:right="0" w:hanging="601"/>
        <w:jc w:val="left"/>
        <w:rPr>
          <w:sz w:val="24"/>
        </w:rPr>
      </w:pPr>
      <w:r>
        <w:rPr>
          <w:sz w:val="24"/>
        </w:rPr>
        <w:t>调低基金管理费、基金托管费；</w:t>
      </w:r>
    </w:p>
    <w:p>
      <w:pPr>
        <w:pStyle w:val="ListParagraph"/>
        <w:numPr>
          <w:ilvl w:val="0"/>
          <w:numId w:val="21"/>
        </w:numPr>
        <w:tabs>
          <w:tab w:pos="1320" w:val="left" w:leader="none"/>
        </w:tabs>
        <w:spacing w:line="364" w:lineRule="auto" w:before="160" w:after="0"/>
        <w:ind w:left="120" w:right="458" w:firstLine="480"/>
        <w:jc w:val="left"/>
        <w:rPr>
          <w:sz w:val="24"/>
        </w:rPr>
      </w:pPr>
      <w:r>
        <w:rPr>
          <w:spacing w:val="-5"/>
          <w:sz w:val="24"/>
        </w:rPr>
        <w:t>在法律法规和基金合同规定的范围内变更本基金的申购费率、赎回费</w:t>
      </w:r>
      <w:r>
        <w:rPr>
          <w:sz w:val="24"/>
        </w:rPr>
        <w:t>率或收费方式；</w:t>
      </w:r>
    </w:p>
    <w:p>
      <w:pPr>
        <w:pStyle w:val="ListParagraph"/>
        <w:numPr>
          <w:ilvl w:val="0"/>
          <w:numId w:val="21"/>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21"/>
        </w:numPr>
        <w:tabs>
          <w:tab w:pos="1201" w:val="left" w:leader="none"/>
        </w:tabs>
        <w:spacing w:line="240" w:lineRule="auto" w:before="161" w:after="0"/>
        <w:ind w:left="1201" w:right="0" w:hanging="601"/>
        <w:jc w:val="left"/>
        <w:rPr>
          <w:sz w:val="24"/>
        </w:rPr>
      </w:pPr>
      <w:r>
        <w:rPr>
          <w:sz w:val="24"/>
        </w:rPr>
        <w:t>对基金合同的修改不涉及基金合同当事人权利义务关系发生变化；</w:t>
      </w:r>
    </w:p>
    <w:p>
      <w:pPr>
        <w:pStyle w:val="ListParagraph"/>
        <w:numPr>
          <w:ilvl w:val="0"/>
          <w:numId w:val="21"/>
        </w:numPr>
        <w:tabs>
          <w:tab w:pos="1201" w:val="left" w:leader="none"/>
        </w:tabs>
        <w:spacing w:line="240" w:lineRule="auto" w:before="160" w:after="0"/>
        <w:ind w:left="1201" w:right="0" w:hanging="601"/>
        <w:jc w:val="left"/>
        <w:rPr>
          <w:sz w:val="24"/>
        </w:rPr>
      </w:pPr>
      <w:r>
        <w:rPr>
          <w:sz w:val="24"/>
        </w:rPr>
        <w:t>对基金合同的修改对基金份额持有人利益无实质性不利影响；</w:t>
      </w:r>
    </w:p>
    <w:p>
      <w:pPr>
        <w:pStyle w:val="ListParagraph"/>
        <w:numPr>
          <w:ilvl w:val="0"/>
          <w:numId w:val="21"/>
        </w:numPr>
        <w:tabs>
          <w:tab w:pos="1203" w:val="left" w:leader="none"/>
        </w:tabs>
        <w:spacing w:line="364" w:lineRule="auto" w:before="161" w:after="0"/>
        <w:ind w:left="120" w:right="458" w:firstLine="480"/>
        <w:jc w:val="left"/>
        <w:rPr>
          <w:sz w:val="24"/>
        </w:rPr>
      </w:pPr>
      <w:r>
        <w:rPr>
          <w:sz w:val="24"/>
        </w:rPr>
        <w:t>除按照法律法规和基金合同规定应当召开基金份额持有人大会以外的其它情形。</w:t>
      </w:r>
    </w:p>
    <w:p>
      <w:pPr>
        <w:spacing w:before="78"/>
        <w:ind w:left="120" w:right="0" w:firstLine="0"/>
        <w:jc w:val="left"/>
        <w:rPr>
          <w:rFonts w:ascii="Microsoft JhengHei" w:eastAsia="Microsoft JhengHei" w:hint="eastAsia"/>
          <w:b/>
          <w:sz w:val="24"/>
        </w:rPr>
      </w:pPr>
      <w:r>
        <w:rPr>
          <w:rFonts w:ascii="Microsoft JhengHei" w:eastAsia="Microsoft JhengHei" w:hint="eastAsia"/>
          <w:b/>
          <w:w w:val="120"/>
          <w:sz w:val="24"/>
        </w:rPr>
        <w:t>(</w:t>
      </w:r>
      <w:r>
        <w:rPr>
          <w:rFonts w:ascii="Microsoft JhengHei" w:eastAsia="Microsoft JhengHei" w:hint="eastAsia"/>
          <w:b/>
          <w:w w:val="105"/>
          <w:sz w:val="24"/>
        </w:rPr>
        <w:t>四</w:t>
      </w:r>
      <w:r>
        <w:rPr>
          <w:rFonts w:ascii="Microsoft JhengHei" w:eastAsia="Microsoft JhengHei" w:hint="eastAsia"/>
          <w:b/>
          <w:w w:val="120"/>
          <w:sz w:val="24"/>
        </w:rPr>
        <w:t>) </w:t>
      </w:r>
      <w:r>
        <w:rPr>
          <w:rFonts w:ascii="Microsoft JhengHei" w:eastAsia="Microsoft JhengHei" w:hint="eastAsia"/>
          <w:b/>
          <w:w w:val="105"/>
          <w:sz w:val="24"/>
        </w:rPr>
        <w:t>召集人和召集方式</w:t>
      </w:r>
    </w:p>
    <w:p>
      <w:pPr>
        <w:spacing w:after="0"/>
        <w:jc w:val="left"/>
        <w:rPr>
          <w:rFonts w:ascii="Microsoft JhengHei" w:eastAsia="Microsoft JhengHei" w:hint="eastAsia"/>
          <w:sz w:val="24"/>
        </w:rPr>
        <w:sectPr>
          <w:pgSz w:w="11910" w:h="16840"/>
          <w:pgMar w:header="0" w:footer="990" w:top="1580" w:bottom="1180" w:left="1680" w:right="1340"/>
        </w:sectPr>
      </w:pPr>
    </w:p>
    <w:p>
      <w:pPr>
        <w:pStyle w:val="ListParagraph"/>
        <w:numPr>
          <w:ilvl w:val="0"/>
          <w:numId w:val="22"/>
        </w:numPr>
        <w:tabs>
          <w:tab w:pos="1204" w:val="left" w:leader="none"/>
        </w:tabs>
        <w:spacing w:line="364" w:lineRule="auto" w:before="44" w:after="0"/>
        <w:ind w:left="120" w:right="458" w:firstLine="480"/>
        <w:jc w:val="left"/>
        <w:rPr>
          <w:sz w:val="24"/>
        </w:rPr>
      </w:pPr>
      <w:r>
        <w:rPr>
          <w:sz w:val="24"/>
        </w:rPr>
        <w:t>除法律法规或本基金合同另有约定外，基金份额持有人大会由基金管理人召集。基金管理人未按规定召集或者不能召集时，由基金托管人召集。</w:t>
      </w:r>
    </w:p>
    <w:p>
      <w:pPr>
        <w:pStyle w:val="ListParagraph"/>
        <w:numPr>
          <w:ilvl w:val="0"/>
          <w:numId w:val="22"/>
        </w:numPr>
        <w:tabs>
          <w:tab w:pos="1203" w:val="left" w:leader="none"/>
        </w:tabs>
        <w:spacing w:line="364" w:lineRule="auto" w:before="1" w:after="0"/>
        <w:ind w:left="120" w:right="218" w:firstLine="480"/>
        <w:jc w:val="left"/>
        <w:rPr>
          <w:sz w:val="24"/>
        </w:rPr>
      </w:pPr>
      <w:r>
        <w:rPr>
          <w:sz w:val="24"/>
        </w:rPr>
        <w:t>基金托管人认为有必要召开基金份额持有人大会的，应当向基金管理 </w:t>
      </w:r>
      <w:r>
        <w:rPr>
          <w:spacing w:val="-3"/>
          <w:sz w:val="24"/>
        </w:rPr>
        <w:t>人提出书面提议。基金管理人应当自收到书面提议之日起 </w:t>
      </w:r>
      <w:r>
        <w:rPr>
          <w:sz w:val="24"/>
        </w:rPr>
        <w:t>10</w:t>
      </w:r>
      <w:r>
        <w:rPr>
          <w:spacing w:val="-8"/>
          <w:sz w:val="24"/>
        </w:rPr>
        <w:t> 日内决定是否召集，</w:t>
      </w:r>
    </w:p>
    <w:p>
      <w:pPr>
        <w:pStyle w:val="BodyText"/>
        <w:spacing w:line="364" w:lineRule="auto"/>
        <w:ind w:right="458"/>
        <w:jc w:val="both"/>
      </w:pPr>
      <w:r>
        <w:rPr>
          <w:spacing w:val="-14"/>
        </w:rPr>
        <w:t>并书面告知基金托管人。基金管理人决定召集的，应当自出具书面决定之日起 </w:t>
      </w:r>
      <w:r>
        <w:rPr>
          <w:spacing w:val="-8"/>
        </w:rPr>
        <w:t>60 </w:t>
      </w:r>
      <w:r>
        <w:rPr>
          <w:spacing w:val="-12"/>
        </w:rPr>
        <w:t>日内召开；基金管理人决定不召集，基金托管人仍认为有必要召开的，应当自行</w:t>
      </w:r>
      <w:r>
        <w:rPr>
          <w:spacing w:val="-10"/>
        </w:rPr>
        <w:t>召集，并自出具书面决定之日起六十日内召开并告知基金管理人，基金管理人应</w:t>
      </w:r>
      <w:r>
        <w:rPr/>
        <w:t>当配合。</w:t>
      </w:r>
    </w:p>
    <w:p>
      <w:pPr>
        <w:pStyle w:val="ListParagraph"/>
        <w:numPr>
          <w:ilvl w:val="0"/>
          <w:numId w:val="22"/>
        </w:numPr>
        <w:tabs>
          <w:tab w:pos="1209" w:val="left" w:leader="none"/>
        </w:tabs>
        <w:spacing w:line="364" w:lineRule="auto" w:before="3" w:after="0"/>
        <w:ind w:left="120" w:right="458" w:firstLine="480"/>
        <w:jc w:val="both"/>
        <w:rPr>
          <w:sz w:val="24"/>
        </w:rPr>
      </w:pPr>
      <w:r>
        <w:rPr>
          <w:spacing w:val="-3"/>
          <w:sz w:val="24"/>
        </w:rPr>
        <w:t>代表基金份额 </w:t>
      </w:r>
      <w:r>
        <w:rPr>
          <w:sz w:val="24"/>
        </w:rPr>
        <w:t>10%以上（“以上”含本数，以基金管理人收到提议当</w:t>
      </w:r>
      <w:r>
        <w:rPr>
          <w:spacing w:val="-6"/>
          <w:sz w:val="24"/>
        </w:rPr>
        <w:t>日的基金份额计算，下同</w:t>
      </w:r>
      <w:r>
        <w:rPr>
          <w:spacing w:val="-48"/>
          <w:sz w:val="24"/>
        </w:rPr>
        <w:t>）</w:t>
      </w:r>
      <w:r>
        <w:rPr>
          <w:spacing w:val="-1"/>
          <w:sz w:val="24"/>
        </w:rPr>
        <w:t>的基金份额持有人认为有必要召开基金份额持有人大</w:t>
      </w:r>
      <w:r>
        <w:rPr>
          <w:spacing w:val="-11"/>
          <w:sz w:val="24"/>
        </w:rPr>
        <w:t>会的，应当向基金管理人提出书面提议。基金管理人应当自收到书面提议之日起</w:t>
      </w:r>
      <w:r>
        <w:rPr>
          <w:sz w:val="24"/>
        </w:rPr>
        <w:t>10</w:t>
      </w:r>
      <w:r>
        <w:rPr>
          <w:spacing w:val="-4"/>
          <w:sz w:val="24"/>
        </w:rPr>
        <w:t> 日内决定是否召集，并书面告知提出提议的基金份额持有人代表和基金托管</w:t>
      </w:r>
    </w:p>
    <w:p>
      <w:pPr>
        <w:pStyle w:val="BodyText"/>
        <w:spacing w:line="364" w:lineRule="auto" w:before="2"/>
        <w:ind w:right="335"/>
      </w:pPr>
      <w:r>
        <w:rPr>
          <w:spacing w:val="-3"/>
        </w:rPr>
        <w:t>人。基金管理人决定召集的，应当自出具书面决定之日起 </w:t>
      </w:r>
      <w:r>
        <w:rPr/>
        <w:t>60</w:t>
      </w:r>
      <w:r>
        <w:rPr>
          <w:spacing w:val="-8"/>
        </w:rPr>
        <w:t> 日内召开；基金管</w:t>
      </w:r>
      <w:r>
        <w:rPr>
          <w:spacing w:val="-12"/>
        </w:rPr>
        <w:t>理人决定不召集，代表基金份额</w:t>
      </w:r>
      <w:r>
        <w:rPr/>
        <w:t>10%</w:t>
      </w:r>
      <w:r>
        <w:rPr>
          <w:spacing w:val="-1"/>
        </w:rPr>
        <w:t>以上的基金份额持有人仍认为有必要召开的， </w:t>
      </w:r>
      <w:r>
        <w:rPr>
          <w:spacing w:val="-2"/>
        </w:rPr>
        <w:t>应当向基金托管人提出书面提议。基金托管人应当自收到书面提议之日起 </w:t>
      </w:r>
      <w:r>
        <w:rPr/>
        <w:t>10</w:t>
      </w:r>
      <w:r>
        <w:rPr>
          <w:spacing w:val="-30"/>
        </w:rPr>
        <w:t> 日</w:t>
      </w:r>
      <w:r>
        <w:rPr>
          <w:spacing w:val="-32"/>
        </w:rPr>
        <w:t>内决定是否召集，并书面告知提出提议的基金份额持有人代表和基金管理人；基</w:t>
      </w:r>
      <w:r>
        <w:rPr>
          <w:spacing w:val="-34"/>
        </w:rPr>
        <w:t>金托管人决定召集的，应当自出具书面决定之日起 </w:t>
      </w:r>
      <w:r>
        <w:rPr/>
        <w:t>60</w:t>
      </w:r>
      <w:r>
        <w:rPr>
          <w:spacing w:val="-10"/>
        </w:rPr>
        <w:t> 日内召开。</w:t>
      </w:r>
    </w:p>
    <w:p>
      <w:pPr>
        <w:pStyle w:val="ListParagraph"/>
        <w:numPr>
          <w:ilvl w:val="0"/>
          <w:numId w:val="22"/>
        </w:numPr>
        <w:tabs>
          <w:tab w:pos="1209" w:val="left" w:leader="none"/>
        </w:tabs>
        <w:spacing w:line="364" w:lineRule="auto" w:before="3" w:after="0"/>
        <w:ind w:left="120" w:right="458" w:firstLine="480"/>
        <w:jc w:val="both"/>
        <w:rPr>
          <w:sz w:val="24"/>
        </w:rPr>
      </w:pPr>
      <w:r>
        <w:rPr>
          <w:spacing w:val="-3"/>
          <w:sz w:val="24"/>
        </w:rPr>
        <w:t>代表基金份额 </w:t>
      </w:r>
      <w:r>
        <w:rPr>
          <w:sz w:val="24"/>
        </w:rPr>
        <w:t>10%以上的基金份额持有人就同一事项要求召开基金份</w:t>
      </w:r>
      <w:r>
        <w:rPr>
          <w:spacing w:val="-6"/>
          <w:sz w:val="24"/>
        </w:rPr>
        <w:t>额持有人大会，而基金管理人、基金托管人都不召集的，代表基金份额 </w:t>
      </w:r>
      <w:r>
        <w:rPr>
          <w:sz w:val="24"/>
        </w:rPr>
        <w:t>10%</w:t>
      </w:r>
      <w:r>
        <w:rPr>
          <w:spacing w:val="-8"/>
          <w:sz w:val="24"/>
        </w:rPr>
        <w:t>以上</w:t>
      </w:r>
      <w:r>
        <w:rPr>
          <w:spacing w:val="-2"/>
          <w:sz w:val="24"/>
        </w:rPr>
        <w:t>的基金份额持有人有权自行召集基金份额持有人大会，但应当至少提前 </w:t>
      </w:r>
      <w:r>
        <w:rPr>
          <w:sz w:val="24"/>
        </w:rPr>
        <w:t>30</w:t>
      </w:r>
      <w:r>
        <w:rPr>
          <w:spacing w:val="-20"/>
          <w:sz w:val="24"/>
        </w:rPr>
        <w:t> 日向中国证监会备案。</w:t>
      </w:r>
    </w:p>
    <w:p>
      <w:pPr>
        <w:pStyle w:val="ListParagraph"/>
        <w:numPr>
          <w:ilvl w:val="0"/>
          <w:numId w:val="22"/>
        </w:numPr>
        <w:tabs>
          <w:tab w:pos="1203" w:val="left" w:leader="none"/>
        </w:tabs>
        <w:spacing w:line="364" w:lineRule="auto" w:before="2" w:after="0"/>
        <w:ind w:left="120" w:right="458" w:firstLine="480"/>
        <w:jc w:val="left"/>
        <w:rPr>
          <w:sz w:val="24"/>
        </w:rPr>
      </w:pPr>
      <w:r>
        <w:rPr>
          <w:sz w:val="24"/>
        </w:rPr>
        <w:t>基金份额持有人依法自行召集基金份额持有人大会的，基金管理人、基金托管人应当配合，不得阻碍、干扰。</w:t>
      </w:r>
    </w:p>
    <w:p>
      <w:pPr>
        <w:pStyle w:val="ListParagraph"/>
        <w:numPr>
          <w:ilvl w:val="0"/>
          <w:numId w:val="22"/>
        </w:numPr>
        <w:tabs>
          <w:tab w:pos="1203" w:val="left" w:leader="none"/>
        </w:tabs>
        <w:spacing w:line="364" w:lineRule="auto" w:before="2" w:after="0"/>
        <w:ind w:left="120" w:right="458" w:firstLine="480"/>
        <w:jc w:val="left"/>
        <w:rPr>
          <w:sz w:val="24"/>
        </w:rPr>
      </w:pPr>
      <w:r>
        <w:rPr>
          <w:sz w:val="24"/>
        </w:rPr>
        <w:t>基金份额持有人会议的召集人负责选择确定开会时间、地点、方式和权益登记日。</w:t>
      </w:r>
    </w:p>
    <w:p>
      <w:pPr>
        <w:spacing w:before="78"/>
        <w:ind w:left="120" w:right="0" w:firstLine="0"/>
        <w:jc w:val="left"/>
        <w:rPr>
          <w:rFonts w:ascii="Microsoft JhengHei" w:eastAsia="Microsoft JhengHei" w:hint="eastAsia"/>
          <w:b/>
          <w:sz w:val="24"/>
        </w:rPr>
      </w:pPr>
      <w:r>
        <w:rPr>
          <w:rFonts w:ascii="Microsoft JhengHei" w:eastAsia="Microsoft JhengHei" w:hint="eastAsia"/>
          <w:b/>
          <w:w w:val="120"/>
          <w:sz w:val="24"/>
        </w:rPr>
        <w:t>(</w:t>
      </w:r>
      <w:r>
        <w:rPr>
          <w:rFonts w:ascii="Microsoft JhengHei" w:eastAsia="Microsoft JhengHei" w:hint="eastAsia"/>
          <w:b/>
          <w:sz w:val="24"/>
        </w:rPr>
        <w:t>五</w:t>
      </w:r>
      <w:r>
        <w:rPr>
          <w:rFonts w:ascii="Microsoft JhengHei" w:eastAsia="Microsoft JhengHei" w:hint="eastAsia"/>
          <w:b/>
          <w:w w:val="120"/>
          <w:sz w:val="24"/>
        </w:rPr>
        <w:t>) </w:t>
      </w:r>
      <w:r>
        <w:rPr>
          <w:rFonts w:ascii="Microsoft JhengHei" w:eastAsia="Microsoft JhengHei" w:hint="eastAsia"/>
          <w:b/>
          <w:sz w:val="24"/>
        </w:rPr>
        <w:t>召开基金份额持有人大会的通知时间、通知内容、通知方式</w:t>
      </w:r>
    </w:p>
    <w:p>
      <w:pPr>
        <w:pStyle w:val="BodyText"/>
        <w:spacing w:before="4"/>
        <w:ind w:left="0"/>
        <w:rPr>
          <w:rFonts w:ascii="Microsoft JhengHei"/>
          <w:b/>
          <w:sz w:val="14"/>
        </w:rPr>
      </w:pPr>
    </w:p>
    <w:p>
      <w:pPr>
        <w:pStyle w:val="ListParagraph"/>
        <w:numPr>
          <w:ilvl w:val="0"/>
          <w:numId w:val="23"/>
        </w:numPr>
        <w:tabs>
          <w:tab w:pos="1203" w:val="left" w:leader="none"/>
        </w:tabs>
        <w:spacing w:line="364" w:lineRule="auto" w:before="0" w:after="0"/>
        <w:ind w:left="120" w:right="458" w:firstLine="480"/>
        <w:jc w:val="left"/>
        <w:rPr>
          <w:sz w:val="24"/>
        </w:rPr>
      </w:pPr>
      <w:r>
        <w:rPr>
          <w:sz w:val="24"/>
        </w:rPr>
        <w:t>召开基金份额持有人大会，召集人应当至少提前三十日通过指定媒介公告会议通知。基金份额持有人大会通知须至少载明以下内容：</w:t>
      </w:r>
    </w:p>
    <w:p>
      <w:pPr>
        <w:pStyle w:val="ListParagraph"/>
        <w:numPr>
          <w:ilvl w:val="1"/>
          <w:numId w:val="23"/>
        </w:numPr>
        <w:tabs>
          <w:tab w:pos="1589" w:val="left" w:leader="none"/>
        </w:tabs>
        <w:spacing w:line="240" w:lineRule="auto" w:before="1" w:after="0"/>
        <w:ind w:left="1589" w:right="0" w:hanging="361"/>
        <w:jc w:val="left"/>
        <w:rPr>
          <w:sz w:val="24"/>
        </w:rPr>
      </w:pPr>
      <w:r>
        <w:rPr>
          <w:sz w:val="24"/>
        </w:rPr>
        <w:t>会议召开的时间、地点和方式；</w:t>
      </w:r>
    </w:p>
    <w:p>
      <w:pPr>
        <w:spacing w:after="0" w:line="240" w:lineRule="auto"/>
        <w:jc w:val="left"/>
        <w:rPr>
          <w:sz w:val="24"/>
        </w:rPr>
        <w:sectPr>
          <w:pgSz w:w="11910" w:h="16840"/>
          <w:pgMar w:header="0" w:footer="990" w:top="1460" w:bottom="1180" w:left="1680" w:right="1340"/>
        </w:sectPr>
      </w:pPr>
    </w:p>
    <w:p>
      <w:pPr>
        <w:pStyle w:val="ListParagraph"/>
        <w:numPr>
          <w:ilvl w:val="1"/>
          <w:numId w:val="23"/>
        </w:numPr>
        <w:tabs>
          <w:tab w:pos="1589" w:val="left" w:leader="none"/>
        </w:tabs>
        <w:spacing w:line="240" w:lineRule="auto" w:before="44" w:after="0"/>
        <w:ind w:left="1589" w:right="0" w:hanging="361"/>
        <w:jc w:val="left"/>
        <w:rPr>
          <w:sz w:val="24"/>
        </w:rPr>
      </w:pPr>
      <w:r>
        <w:rPr>
          <w:sz w:val="24"/>
        </w:rPr>
        <w:t>会议拟审议的主要事项；</w:t>
      </w:r>
    </w:p>
    <w:p>
      <w:pPr>
        <w:pStyle w:val="ListParagraph"/>
        <w:numPr>
          <w:ilvl w:val="1"/>
          <w:numId w:val="23"/>
        </w:numPr>
        <w:tabs>
          <w:tab w:pos="1589" w:val="left" w:leader="none"/>
        </w:tabs>
        <w:spacing w:line="240" w:lineRule="auto" w:before="160" w:after="0"/>
        <w:ind w:left="1589" w:right="0" w:hanging="361"/>
        <w:jc w:val="left"/>
        <w:rPr>
          <w:sz w:val="24"/>
        </w:rPr>
      </w:pPr>
      <w:r>
        <w:rPr>
          <w:sz w:val="24"/>
        </w:rPr>
        <w:t>会议形式；</w:t>
      </w:r>
    </w:p>
    <w:p>
      <w:pPr>
        <w:pStyle w:val="ListParagraph"/>
        <w:numPr>
          <w:ilvl w:val="1"/>
          <w:numId w:val="23"/>
        </w:numPr>
        <w:tabs>
          <w:tab w:pos="1589" w:val="left" w:leader="none"/>
        </w:tabs>
        <w:spacing w:line="240" w:lineRule="auto" w:before="161" w:after="0"/>
        <w:ind w:left="1589" w:right="0" w:hanging="361"/>
        <w:jc w:val="left"/>
        <w:rPr>
          <w:sz w:val="24"/>
        </w:rPr>
      </w:pPr>
      <w:r>
        <w:rPr>
          <w:sz w:val="24"/>
        </w:rPr>
        <w:t>议事程序；</w:t>
      </w:r>
    </w:p>
    <w:p>
      <w:pPr>
        <w:pStyle w:val="ListParagraph"/>
        <w:numPr>
          <w:ilvl w:val="1"/>
          <w:numId w:val="23"/>
        </w:numPr>
        <w:tabs>
          <w:tab w:pos="1589" w:val="left" w:leader="none"/>
        </w:tabs>
        <w:spacing w:line="240" w:lineRule="auto" w:before="160" w:after="0"/>
        <w:ind w:left="1589" w:right="0" w:hanging="361"/>
        <w:jc w:val="left"/>
        <w:rPr>
          <w:sz w:val="24"/>
        </w:rPr>
      </w:pPr>
      <w:r>
        <w:rPr>
          <w:sz w:val="24"/>
        </w:rPr>
        <w:t>有权出席基金份额持有人大会的权益登记日；</w:t>
      </w:r>
    </w:p>
    <w:p>
      <w:pPr>
        <w:pStyle w:val="ListParagraph"/>
        <w:numPr>
          <w:ilvl w:val="1"/>
          <w:numId w:val="23"/>
        </w:numPr>
        <w:tabs>
          <w:tab w:pos="1589" w:val="left" w:leader="none"/>
        </w:tabs>
        <w:spacing w:line="364" w:lineRule="auto" w:before="161" w:after="0"/>
        <w:ind w:left="1556" w:right="457" w:hanging="329"/>
        <w:jc w:val="left"/>
        <w:rPr>
          <w:sz w:val="24"/>
        </w:rPr>
      </w:pPr>
      <w:r>
        <w:rPr>
          <w:spacing w:val="-1"/>
          <w:sz w:val="24"/>
        </w:rPr>
        <w:t>授权委托书的内容要求(包括但不限于代理人身份、代理权限和代</w:t>
      </w:r>
      <w:r>
        <w:rPr>
          <w:sz w:val="24"/>
        </w:rPr>
        <w:t>理有效期限等)、送达时间和地点；</w:t>
      </w:r>
    </w:p>
    <w:p>
      <w:pPr>
        <w:pStyle w:val="ListParagraph"/>
        <w:numPr>
          <w:ilvl w:val="1"/>
          <w:numId w:val="23"/>
        </w:numPr>
        <w:tabs>
          <w:tab w:pos="1589" w:val="left" w:leader="none"/>
        </w:tabs>
        <w:spacing w:line="240" w:lineRule="auto" w:before="1" w:after="0"/>
        <w:ind w:left="1589" w:right="0" w:hanging="361"/>
        <w:jc w:val="left"/>
        <w:rPr>
          <w:sz w:val="24"/>
        </w:rPr>
      </w:pPr>
      <w:r>
        <w:rPr>
          <w:sz w:val="24"/>
        </w:rPr>
        <w:t>表决方式；</w:t>
      </w:r>
    </w:p>
    <w:p>
      <w:pPr>
        <w:pStyle w:val="ListParagraph"/>
        <w:numPr>
          <w:ilvl w:val="1"/>
          <w:numId w:val="23"/>
        </w:numPr>
        <w:tabs>
          <w:tab w:pos="1589" w:val="left" w:leader="none"/>
        </w:tabs>
        <w:spacing w:line="240" w:lineRule="auto" w:before="161" w:after="0"/>
        <w:ind w:left="1589" w:right="0" w:hanging="361"/>
        <w:jc w:val="left"/>
        <w:rPr>
          <w:sz w:val="24"/>
        </w:rPr>
      </w:pPr>
      <w:r>
        <w:rPr>
          <w:sz w:val="24"/>
        </w:rPr>
        <w:t>会务常设联系人姓名、电话；</w:t>
      </w:r>
    </w:p>
    <w:p>
      <w:pPr>
        <w:pStyle w:val="ListParagraph"/>
        <w:numPr>
          <w:ilvl w:val="1"/>
          <w:numId w:val="23"/>
        </w:numPr>
        <w:tabs>
          <w:tab w:pos="1589" w:val="left" w:leader="none"/>
        </w:tabs>
        <w:spacing w:line="240" w:lineRule="auto" w:before="160" w:after="0"/>
        <w:ind w:left="1589" w:right="0" w:hanging="361"/>
        <w:jc w:val="left"/>
        <w:rPr>
          <w:sz w:val="24"/>
        </w:rPr>
      </w:pPr>
      <w:r>
        <w:rPr>
          <w:sz w:val="24"/>
        </w:rPr>
        <w:t>出席会议者必须准备的文件和必须履行的手续；</w:t>
      </w:r>
    </w:p>
    <w:p>
      <w:pPr>
        <w:pStyle w:val="ListParagraph"/>
        <w:numPr>
          <w:ilvl w:val="1"/>
          <w:numId w:val="23"/>
        </w:numPr>
        <w:tabs>
          <w:tab w:pos="1709" w:val="left" w:leader="none"/>
        </w:tabs>
        <w:spacing w:line="240" w:lineRule="auto" w:before="161" w:after="0"/>
        <w:ind w:left="1709" w:right="0" w:hanging="481"/>
        <w:jc w:val="left"/>
        <w:rPr>
          <w:sz w:val="24"/>
        </w:rPr>
      </w:pPr>
      <w:r>
        <w:rPr>
          <w:sz w:val="24"/>
        </w:rPr>
        <w:t>召集人需要通知的其他事项。</w:t>
      </w:r>
    </w:p>
    <w:p>
      <w:pPr>
        <w:pStyle w:val="ListParagraph"/>
        <w:numPr>
          <w:ilvl w:val="0"/>
          <w:numId w:val="23"/>
        </w:numPr>
        <w:tabs>
          <w:tab w:pos="1203" w:val="left" w:leader="none"/>
        </w:tabs>
        <w:spacing w:line="364" w:lineRule="auto" w:before="160" w:after="0"/>
        <w:ind w:left="120" w:right="458" w:firstLine="480"/>
        <w:jc w:val="both"/>
        <w:rPr>
          <w:sz w:val="24"/>
        </w:rPr>
      </w:pPr>
      <w:r>
        <w:rPr>
          <w:sz w:val="24"/>
        </w:rPr>
        <w:t>采用通讯方式开会并进行表决的情况下，由召集人决定通讯方式和书</w:t>
      </w:r>
      <w:r>
        <w:rPr>
          <w:spacing w:val="-11"/>
          <w:sz w:val="24"/>
        </w:rPr>
        <w:t>面表决方式，并在会议通知中说明本次基金份额持有人大会所采取的具体通讯方式、委托的公证机关及其联系方式和联系人、书面表达意见的寄交和收取方式及</w:t>
      </w:r>
      <w:r>
        <w:rPr>
          <w:sz w:val="24"/>
        </w:rPr>
        <w:t>截止时间。</w:t>
      </w:r>
    </w:p>
    <w:p>
      <w:pPr>
        <w:pStyle w:val="ListParagraph"/>
        <w:numPr>
          <w:ilvl w:val="0"/>
          <w:numId w:val="23"/>
        </w:numPr>
        <w:tabs>
          <w:tab w:pos="1203" w:val="left" w:leader="none"/>
        </w:tabs>
        <w:spacing w:line="364" w:lineRule="auto" w:before="2" w:after="0"/>
        <w:ind w:left="120" w:right="245" w:firstLine="480"/>
        <w:jc w:val="left"/>
        <w:rPr>
          <w:sz w:val="24"/>
        </w:rPr>
      </w:pPr>
      <w:r>
        <w:rPr>
          <w:sz w:val="24"/>
        </w:rPr>
        <w:t>如召集人为基金管理人，还应另行书面通知基金托管人到指定地点对 </w:t>
      </w:r>
      <w:r>
        <w:rPr>
          <w:spacing w:val="-8"/>
          <w:sz w:val="24"/>
        </w:rPr>
        <w:t>书面表决意见的计票进行监督；如召集人为基金托管人，则应另行书面通知基金</w:t>
      </w:r>
      <w:r>
        <w:rPr>
          <w:spacing w:val="-15"/>
          <w:sz w:val="24"/>
        </w:rPr>
        <w:t>管理人到指定地点对书面表决意见的计票进行监督；如召集人为基金份额持有人， </w:t>
      </w:r>
      <w:r>
        <w:rPr>
          <w:spacing w:val="3"/>
          <w:sz w:val="24"/>
        </w:rPr>
        <w:t>则应另行书面通知基金管理人和基金托管人到指定地点对书面表决意见的计票进行监督。</w:t>
      </w:r>
    </w:p>
    <w:p>
      <w:pPr>
        <w:spacing w:before="80"/>
        <w:ind w:left="120" w:right="0" w:firstLine="0"/>
        <w:jc w:val="left"/>
        <w:rPr>
          <w:rFonts w:ascii="Microsoft JhengHei" w:eastAsia="Microsoft JhengHei" w:hint="eastAsia"/>
          <w:b/>
          <w:sz w:val="24"/>
        </w:rPr>
      </w:pPr>
      <w:r>
        <w:rPr>
          <w:rFonts w:ascii="Microsoft JhengHei" w:eastAsia="Microsoft JhengHei" w:hint="eastAsia"/>
          <w:b/>
          <w:w w:val="120"/>
          <w:sz w:val="24"/>
        </w:rPr>
        <w:t>(</w:t>
      </w:r>
      <w:r>
        <w:rPr>
          <w:rFonts w:ascii="Microsoft JhengHei" w:eastAsia="Microsoft JhengHei" w:hint="eastAsia"/>
          <w:b/>
          <w:w w:val="105"/>
          <w:sz w:val="24"/>
        </w:rPr>
        <w:t>六</w:t>
      </w:r>
      <w:r>
        <w:rPr>
          <w:rFonts w:ascii="Microsoft JhengHei" w:eastAsia="Microsoft JhengHei" w:hint="eastAsia"/>
          <w:b/>
          <w:w w:val="120"/>
          <w:sz w:val="24"/>
        </w:rPr>
        <w:t>) </w:t>
      </w:r>
      <w:r>
        <w:rPr>
          <w:rFonts w:ascii="Microsoft JhengHei" w:eastAsia="Microsoft JhengHei" w:hint="eastAsia"/>
          <w:b/>
          <w:w w:val="105"/>
          <w:sz w:val="24"/>
        </w:rPr>
        <w:t>基金份额持有人出席会议的方式</w:t>
      </w:r>
    </w:p>
    <w:p>
      <w:pPr>
        <w:pStyle w:val="BodyText"/>
        <w:spacing w:before="4"/>
        <w:ind w:left="0"/>
        <w:rPr>
          <w:rFonts w:ascii="Microsoft JhengHei"/>
          <w:b/>
          <w:sz w:val="14"/>
        </w:rPr>
      </w:pPr>
    </w:p>
    <w:p>
      <w:pPr>
        <w:pStyle w:val="ListParagraph"/>
        <w:numPr>
          <w:ilvl w:val="0"/>
          <w:numId w:val="24"/>
        </w:numPr>
        <w:tabs>
          <w:tab w:pos="1201" w:val="left" w:leader="none"/>
        </w:tabs>
        <w:spacing w:line="240" w:lineRule="auto" w:before="1" w:after="0"/>
        <w:ind w:left="1201" w:right="0" w:hanging="601"/>
        <w:jc w:val="left"/>
        <w:rPr>
          <w:sz w:val="24"/>
        </w:rPr>
      </w:pPr>
      <w:r>
        <w:rPr>
          <w:sz w:val="24"/>
        </w:rPr>
        <w:t>会议方式</w:t>
      </w:r>
    </w:p>
    <w:p>
      <w:pPr>
        <w:pStyle w:val="BodyText"/>
        <w:spacing w:line="364" w:lineRule="auto" w:before="160"/>
        <w:ind w:right="458" w:firstLine="480"/>
      </w:pPr>
      <w:r>
        <w:rPr>
          <w:spacing w:val="-5"/>
        </w:rPr>
        <w:t>基金份额持有人大会的召开方式包括现场开会和通讯方式开会。会议的召开</w:t>
      </w:r>
      <w:r>
        <w:rPr/>
        <w:t>方式由召集人确定。</w:t>
      </w:r>
    </w:p>
    <w:p>
      <w:pPr>
        <w:pStyle w:val="BodyText"/>
        <w:spacing w:line="364" w:lineRule="auto"/>
        <w:ind w:right="218" w:firstLine="480"/>
      </w:pPr>
      <w:r>
        <w:rPr/>
        <w:t>现场开会由基金份额持有人本人出席或通过授权委托书委派其代理人出席， 现场开会时基金管理人和基金托管人的授权代表应当出席。</w:t>
      </w:r>
    </w:p>
    <w:p>
      <w:pPr>
        <w:pStyle w:val="BodyText"/>
        <w:spacing w:before="2"/>
        <w:ind w:left="600"/>
      </w:pPr>
      <w:r>
        <w:rPr/>
        <w:t>通讯方式开会指按照本基金合同的相关规定以通讯的书面方式进行表决。</w:t>
      </w:r>
    </w:p>
    <w:p>
      <w:pPr>
        <w:pStyle w:val="ListParagraph"/>
        <w:numPr>
          <w:ilvl w:val="0"/>
          <w:numId w:val="24"/>
        </w:numPr>
        <w:tabs>
          <w:tab w:pos="1201" w:val="left" w:leader="none"/>
        </w:tabs>
        <w:spacing w:line="240" w:lineRule="auto" w:before="160" w:after="0"/>
        <w:ind w:left="1201" w:right="0" w:hanging="601"/>
        <w:jc w:val="left"/>
        <w:rPr>
          <w:sz w:val="24"/>
        </w:rPr>
      </w:pPr>
      <w:r>
        <w:rPr>
          <w:sz w:val="24"/>
        </w:rPr>
        <w:t>召开基金份额持有人大会的条件</w:t>
      </w:r>
    </w:p>
    <w:p>
      <w:pPr>
        <w:pStyle w:val="BodyText"/>
        <w:spacing w:before="161"/>
        <w:ind w:left="1228"/>
      </w:pPr>
      <w:r>
        <w:rPr/>
        <w:t>1）现场开会方式</w:t>
      </w:r>
    </w:p>
    <w:p>
      <w:pPr>
        <w:pStyle w:val="BodyText"/>
        <w:spacing w:before="160"/>
        <w:ind w:left="600"/>
      </w:pPr>
      <w:r>
        <w:rPr/>
        <w:t>在同时符合以下条件时，现场会议方可举行：</w:t>
      </w:r>
    </w:p>
    <w:p>
      <w:pPr>
        <w:spacing w:after="0"/>
        <w:sectPr>
          <w:pgSz w:w="11910" w:h="16840"/>
          <w:pgMar w:header="0" w:footer="990" w:top="1460" w:bottom="1180" w:left="1680" w:right="1340"/>
        </w:sectPr>
      </w:pPr>
    </w:p>
    <w:p>
      <w:pPr>
        <w:pStyle w:val="BodyText"/>
        <w:spacing w:line="364" w:lineRule="auto" w:before="44"/>
        <w:ind w:right="458" w:firstLine="480"/>
        <w:jc w:val="both"/>
      </w:pPr>
      <w:r>
        <w:rPr/>
        <w:t>① 对到会者在权益登记日持有基金份额的统计显示，有效的基金份额应占权益登记日基金总份额的 50%以上（ “以上”含本数，下同）；</w:t>
      </w:r>
    </w:p>
    <w:p>
      <w:pPr>
        <w:pStyle w:val="BodyText"/>
        <w:spacing w:line="364" w:lineRule="auto"/>
        <w:ind w:right="458" w:firstLine="480"/>
        <w:jc w:val="both"/>
      </w:pPr>
      <w:r>
        <w:rPr/>
        <w:t>② 到会的基金份额持有人身份证明及持有基金份额的凭证、代理人身份证</w:t>
      </w:r>
      <w:r>
        <w:rPr>
          <w:spacing w:val="-10"/>
        </w:rPr>
        <w:t>明、委托人持有基金份额的凭证及授权委托代理手续完备，到会者出具的相关文</w:t>
      </w:r>
      <w:r>
        <w:rPr>
          <w:spacing w:val="-6"/>
        </w:rPr>
        <w:t>件符合有关法律法规和基金合同及会议通知的规定，并且持有基金份额的凭证与</w:t>
      </w:r>
      <w:r>
        <w:rPr/>
        <w:t>基金管理人持有的登记资料相符。</w:t>
      </w:r>
    </w:p>
    <w:p>
      <w:pPr>
        <w:pStyle w:val="BodyText"/>
        <w:spacing w:line="364" w:lineRule="auto" w:before="2"/>
        <w:ind w:right="458" w:firstLine="480"/>
      </w:pPr>
      <w:r>
        <w:rPr>
          <w:spacing w:val="-9"/>
        </w:rPr>
        <w:t>未能满足上述条件的情况下，则召集人可另行确定并公告重新开会的时间和</w:t>
      </w:r>
      <w:r>
        <w:rPr/>
        <w:t>地点，但确定有权出席会议的基金份额持有人资格的权益登记日不变。</w:t>
      </w:r>
    </w:p>
    <w:p>
      <w:pPr>
        <w:pStyle w:val="BodyText"/>
        <w:spacing w:before="2"/>
        <w:ind w:left="840"/>
      </w:pPr>
      <w:r>
        <w:rPr/>
        <w:t>2）通讯开会方式</w:t>
      </w:r>
    </w:p>
    <w:p>
      <w:pPr>
        <w:pStyle w:val="BodyText"/>
        <w:spacing w:before="160"/>
        <w:ind w:left="600"/>
      </w:pPr>
      <w:r>
        <w:rPr/>
        <w:t>在同时符合以下条件时，通讯会议方可举行：</w:t>
      </w:r>
    </w:p>
    <w:p>
      <w:pPr>
        <w:pStyle w:val="BodyText"/>
        <w:spacing w:line="364" w:lineRule="auto" w:before="161"/>
        <w:ind w:right="458" w:firstLine="480"/>
        <w:jc w:val="both"/>
      </w:pPr>
      <w:r>
        <w:rPr>
          <w:spacing w:val="-3"/>
        </w:rPr>
        <w:t>① 召集人按本基金合同规定公布会议通知后，在 </w:t>
      </w:r>
      <w:r>
        <w:rPr/>
        <w:t>2</w:t>
      </w:r>
      <w:r>
        <w:rPr>
          <w:spacing w:val="-8"/>
        </w:rPr>
        <w:t> 个工作日内连续公布相关提示性公告；</w:t>
      </w:r>
    </w:p>
    <w:p>
      <w:pPr>
        <w:pStyle w:val="BodyText"/>
        <w:spacing w:line="364" w:lineRule="auto"/>
        <w:ind w:right="458" w:firstLine="480"/>
        <w:jc w:val="both"/>
      </w:pPr>
      <w:r>
        <w:rPr/>
        <w:t>② 召集人在基金托管人和公证机关的监督下按照会议通知规定的方式收取和统计基金份额持有人的书面表决意见；</w:t>
      </w:r>
    </w:p>
    <w:p>
      <w:pPr>
        <w:pStyle w:val="BodyText"/>
        <w:spacing w:line="364" w:lineRule="auto"/>
        <w:ind w:right="458" w:firstLine="480"/>
        <w:jc w:val="both"/>
      </w:pPr>
      <w:r>
        <w:rPr/>
        <w:t>③ 本人直接出具书面意见或授权他人代表出具书面意见的基金份额持有人所代表的基金份额应占权益登记日基金总份额的 50%以上；</w:t>
      </w:r>
    </w:p>
    <w:p>
      <w:pPr>
        <w:pStyle w:val="BodyText"/>
        <w:spacing w:line="364" w:lineRule="auto"/>
        <w:ind w:right="458" w:firstLine="480"/>
        <w:jc w:val="both"/>
      </w:pPr>
      <w:r>
        <w:rPr/>
        <w:t>④ 直接出具书面意见的基金份额持有人或受托代表他人出具书面意见的其</w:t>
      </w:r>
      <w:r>
        <w:rPr>
          <w:spacing w:val="-10"/>
        </w:rPr>
        <w:t>他代表，同时提交的持有基金份额的凭证符合法律法规、基金合同和会议通知的</w:t>
      </w:r>
      <w:r>
        <w:rPr/>
        <w:t>规定，并与注册登记人记录相符。</w:t>
      </w:r>
    </w:p>
    <w:p>
      <w:pPr>
        <w:pStyle w:val="BodyText"/>
        <w:spacing w:line="364" w:lineRule="auto" w:before="2"/>
        <w:ind w:right="245" w:firstLine="480"/>
      </w:pPr>
      <w:r>
        <w:rPr>
          <w:spacing w:val="-10"/>
        </w:rPr>
        <w:t>如果开会条件达不到上述条件，则召集人可另行确定并公告重新表决的时间， </w:t>
      </w:r>
      <w:r>
        <w:rPr/>
        <w:t>但确定有权出席会议的基金份额持有人资格的权益登记日不变。</w:t>
      </w:r>
    </w:p>
    <w:p>
      <w:pPr>
        <w:pStyle w:val="BodyText"/>
        <w:spacing w:line="364" w:lineRule="auto"/>
        <w:ind w:right="458" w:firstLine="480"/>
        <w:jc w:val="both"/>
      </w:pPr>
      <w:r>
        <w:rPr>
          <w:spacing w:val="-7"/>
        </w:rPr>
        <w:t>采取通讯方式进行表决时，除非在计票时有充分的相反证据证明，否则表面</w:t>
      </w:r>
      <w:r>
        <w:rPr>
          <w:spacing w:val="-5"/>
        </w:rPr>
        <w:t>符合法律法规和会议通知规定的书面表决意见即视为有效的表决，表决意见模糊</w:t>
      </w:r>
      <w:r>
        <w:rPr>
          <w:spacing w:val="-8"/>
        </w:rPr>
        <w:t>不清或相互矛盾的视为弃权表决，但应当计入出具书面意见的基金份额持有人所</w:t>
      </w:r>
      <w:r>
        <w:rPr/>
        <w:t>代表的基金份额总数。</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（七）议事内容与程序</w:t>
      </w:r>
    </w:p>
    <w:p>
      <w:pPr>
        <w:pStyle w:val="BodyText"/>
        <w:spacing w:before="5"/>
        <w:ind w:left="0"/>
        <w:rPr>
          <w:rFonts w:ascii="Microsoft JhengHei"/>
          <w:b/>
          <w:sz w:val="14"/>
        </w:rPr>
      </w:pPr>
    </w:p>
    <w:p>
      <w:pPr>
        <w:pStyle w:val="ListParagraph"/>
        <w:numPr>
          <w:ilvl w:val="0"/>
          <w:numId w:val="25"/>
        </w:numPr>
        <w:tabs>
          <w:tab w:pos="1201" w:val="left" w:leader="none"/>
        </w:tabs>
        <w:spacing w:line="240" w:lineRule="auto" w:before="0" w:after="0"/>
        <w:ind w:left="1201" w:right="0" w:hanging="601"/>
        <w:jc w:val="left"/>
        <w:rPr>
          <w:sz w:val="24"/>
        </w:rPr>
      </w:pPr>
      <w:r>
        <w:rPr>
          <w:sz w:val="24"/>
        </w:rPr>
        <w:t>议事内容及提案权</w:t>
      </w:r>
    </w:p>
    <w:p>
      <w:pPr>
        <w:pStyle w:val="ListParagraph"/>
        <w:numPr>
          <w:ilvl w:val="1"/>
          <w:numId w:val="25"/>
        </w:numPr>
        <w:tabs>
          <w:tab w:pos="1597" w:val="left" w:leader="none"/>
        </w:tabs>
        <w:spacing w:line="364" w:lineRule="auto" w:before="160" w:after="0"/>
        <w:ind w:left="1556" w:right="458" w:hanging="329"/>
        <w:jc w:val="left"/>
        <w:rPr>
          <w:sz w:val="24"/>
        </w:rPr>
      </w:pPr>
      <w:r>
        <w:rPr>
          <w:spacing w:val="2"/>
          <w:sz w:val="24"/>
        </w:rPr>
        <w:t>议事内容为本基金合同规定的召开基金份额持有人大会事由所涉</w:t>
      </w:r>
      <w:r>
        <w:rPr>
          <w:spacing w:val="4"/>
          <w:sz w:val="24"/>
        </w:rPr>
        <w:t>及的内容以及召集人认为需提交基金份额持有人大会讨论的其他</w:t>
      </w:r>
    </w:p>
    <w:p>
      <w:pPr>
        <w:spacing w:after="0" w:line="364" w:lineRule="auto"/>
        <w:jc w:val="left"/>
        <w:rPr>
          <w:sz w:val="24"/>
        </w:rPr>
        <w:sectPr>
          <w:pgSz w:w="11910" w:h="16840"/>
          <w:pgMar w:header="0" w:footer="990" w:top="1460" w:bottom="1180" w:left="1680" w:right="1340"/>
        </w:sectPr>
      </w:pPr>
    </w:p>
    <w:p>
      <w:pPr>
        <w:pStyle w:val="BodyText"/>
        <w:spacing w:before="44"/>
        <w:ind w:left="1556"/>
      </w:pPr>
      <w:r>
        <w:rPr/>
        <w:t>事项。</w:t>
      </w:r>
    </w:p>
    <w:p>
      <w:pPr>
        <w:pStyle w:val="ListParagraph"/>
        <w:numPr>
          <w:ilvl w:val="1"/>
          <w:numId w:val="25"/>
        </w:numPr>
        <w:tabs>
          <w:tab w:pos="1597" w:val="left" w:leader="none"/>
        </w:tabs>
        <w:spacing w:line="364" w:lineRule="auto" w:before="160" w:after="0"/>
        <w:ind w:left="1556" w:right="218" w:hanging="329"/>
        <w:jc w:val="left"/>
        <w:rPr>
          <w:sz w:val="24"/>
        </w:rPr>
      </w:pPr>
      <w:r>
        <w:rPr>
          <w:spacing w:val="2"/>
          <w:sz w:val="24"/>
        </w:rPr>
        <w:t>基金管理人、基金托管人、单独或合并持有权益登记日本基金总 </w:t>
      </w:r>
      <w:r>
        <w:rPr>
          <w:spacing w:val="-9"/>
          <w:sz w:val="24"/>
        </w:rPr>
        <w:t>份额 </w:t>
      </w:r>
      <w:r>
        <w:rPr>
          <w:spacing w:val="2"/>
          <w:sz w:val="24"/>
        </w:rPr>
        <w:t>10</w:t>
      </w:r>
      <w:r>
        <w:rPr>
          <w:spacing w:val="4"/>
          <w:sz w:val="24"/>
        </w:rPr>
        <w:t>%以上的基金份额持有人可以在大会召集人发出会议通知前</w:t>
      </w:r>
      <w:r>
        <w:rPr>
          <w:spacing w:val="2"/>
          <w:sz w:val="24"/>
        </w:rPr>
        <w:t>就召开事由向大会召集人提交需由基金份额持有人大会审议表 决</w:t>
      </w:r>
      <w:r>
        <w:rPr>
          <w:sz w:val="24"/>
        </w:rPr>
        <w:t>的提案；也可以在会议通知发出后向大会召集人提交临时提案。临</w:t>
      </w:r>
      <w:r>
        <w:rPr>
          <w:spacing w:val="-3"/>
          <w:sz w:val="24"/>
        </w:rPr>
        <w:t>时提案应当最迟在大会召开日前 </w:t>
      </w:r>
      <w:r>
        <w:rPr>
          <w:sz w:val="24"/>
        </w:rPr>
        <w:t>30</w:t>
      </w:r>
      <w:r>
        <w:rPr>
          <w:spacing w:val="-7"/>
          <w:sz w:val="24"/>
        </w:rPr>
        <w:t> 天提交召集人。召集人对于临时</w:t>
      </w:r>
      <w:r>
        <w:rPr>
          <w:spacing w:val="-11"/>
          <w:sz w:val="24"/>
        </w:rPr>
        <w:t>提案应当最迟在大会召开日前 </w:t>
      </w:r>
      <w:r>
        <w:rPr>
          <w:sz w:val="24"/>
        </w:rPr>
        <w:t>30</w:t>
      </w:r>
      <w:r>
        <w:rPr>
          <w:spacing w:val="-12"/>
          <w:sz w:val="24"/>
        </w:rPr>
        <w:t> 天公布。</w:t>
      </w:r>
    </w:p>
    <w:p>
      <w:pPr>
        <w:pStyle w:val="ListParagraph"/>
        <w:numPr>
          <w:ilvl w:val="1"/>
          <w:numId w:val="25"/>
        </w:numPr>
        <w:tabs>
          <w:tab w:pos="1596" w:val="left" w:leader="none"/>
        </w:tabs>
        <w:spacing w:line="364" w:lineRule="auto" w:before="4" w:after="0"/>
        <w:ind w:left="1556" w:right="458" w:hanging="329"/>
        <w:jc w:val="left"/>
        <w:rPr>
          <w:sz w:val="24"/>
        </w:rPr>
      </w:pPr>
      <w:r>
        <w:rPr>
          <w:spacing w:val="2"/>
          <w:sz w:val="24"/>
        </w:rPr>
        <w:t>对于基金份额持有人提交的提案(包括临时提案)，大会召集人应当按照以下原则对提案进行审核：</w:t>
      </w:r>
    </w:p>
    <w:p>
      <w:pPr>
        <w:pStyle w:val="BodyText"/>
        <w:spacing w:line="364" w:lineRule="auto"/>
        <w:ind w:left="1170" w:right="458" w:firstLine="480"/>
        <w:jc w:val="both"/>
      </w:pPr>
      <w:r>
        <w:rPr/>
        <w:t>①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before="3"/>
        <w:ind w:left="1170" w:right="458" w:firstLine="480"/>
        <w:jc w:val="both"/>
      </w:pPr>
      <w:r>
        <w:rPr/>
        <w:t>②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pStyle w:val="ListParagraph"/>
        <w:numPr>
          <w:ilvl w:val="1"/>
          <w:numId w:val="25"/>
        </w:numPr>
        <w:tabs>
          <w:tab w:pos="1589" w:val="left" w:leader="none"/>
        </w:tabs>
        <w:spacing w:line="364" w:lineRule="auto" w:before="3" w:after="0"/>
        <w:ind w:left="1556" w:right="457" w:hanging="329"/>
        <w:jc w:val="both"/>
        <w:rPr>
          <w:sz w:val="24"/>
        </w:rPr>
      </w:pPr>
      <w:r>
        <w:rPr>
          <w:spacing w:val="-4"/>
          <w:sz w:val="24"/>
        </w:rPr>
        <w:t>单独或合并持有权利登记日基金总份额 </w:t>
      </w:r>
      <w:r>
        <w:rPr>
          <w:sz w:val="24"/>
        </w:rPr>
        <w:t>10%以上（</w:t>
      </w:r>
      <w:r>
        <w:rPr>
          <w:spacing w:val="-31"/>
          <w:sz w:val="24"/>
        </w:rPr>
        <w:t>含 </w:t>
      </w:r>
      <w:r>
        <w:rPr>
          <w:sz w:val="24"/>
        </w:rPr>
        <w:t>10%）</w:t>
      </w:r>
      <w:r>
        <w:rPr>
          <w:spacing w:val="-5"/>
          <w:sz w:val="24"/>
        </w:rPr>
        <w:t>的基金份额持有人提交基金份额持有人大会审议表决的提案、基金管理人或基金托管人提交基金份额持有人大会审议表决的提案，未获基金</w:t>
      </w:r>
      <w:r>
        <w:rPr>
          <w:spacing w:val="-9"/>
          <w:sz w:val="24"/>
        </w:rPr>
        <w:t>份额持有人大会审议通过，就同一提案再次提请基金份额持有人大</w:t>
      </w:r>
      <w:r>
        <w:rPr>
          <w:spacing w:val="-5"/>
          <w:sz w:val="24"/>
        </w:rPr>
        <w:t>会审议，其时间间隔不少于 </w:t>
      </w:r>
      <w:r>
        <w:rPr>
          <w:sz w:val="24"/>
        </w:rPr>
        <w:t>6</w:t>
      </w:r>
      <w:r>
        <w:rPr>
          <w:spacing w:val="-8"/>
          <w:sz w:val="24"/>
        </w:rPr>
        <w:t> 个月。法律法规另有规定除外。</w:t>
      </w:r>
    </w:p>
    <w:p>
      <w:pPr>
        <w:pStyle w:val="ListParagraph"/>
        <w:numPr>
          <w:ilvl w:val="1"/>
          <w:numId w:val="25"/>
        </w:numPr>
        <w:tabs>
          <w:tab w:pos="1597" w:val="left" w:leader="none"/>
        </w:tabs>
        <w:spacing w:line="364" w:lineRule="auto" w:before="3" w:after="0"/>
        <w:ind w:left="1556" w:right="458" w:hanging="329"/>
        <w:jc w:val="both"/>
        <w:rPr>
          <w:sz w:val="24"/>
        </w:rPr>
      </w:pPr>
      <w:r>
        <w:rPr>
          <w:spacing w:val="2"/>
          <w:sz w:val="24"/>
        </w:rPr>
        <w:t>基金份额持有人大会的召集人发出召集会议的通知后，对原有提</w:t>
      </w:r>
      <w:r>
        <w:rPr>
          <w:spacing w:val="-3"/>
          <w:sz w:val="24"/>
        </w:rPr>
        <w:t>案的修改应当在基金份额持有人大会召开日前 </w:t>
      </w:r>
      <w:r>
        <w:rPr>
          <w:rFonts w:ascii="Arial" w:eastAsia="Arial"/>
          <w:sz w:val="24"/>
        </w:rPr>
        <w:t>10</w:t>
      </w:r>
      <w:r>
        <w:rPr>
          <w:rFonts w:ascii="Arial" w:eastAsia="Arial"/>
          <w:spacing w:val="-7"/>
          <w:sz w:val="24"/>
        </w:rPr>
        <w:t> </w:t>
      </w:r>
      <w:r>
        <w:rPr>
          <w:spacing w:val="-2"/>
          <w:sz w:val="24"/>
        </w:rPr>
        <w:t>日公告，否则会</w:t>
      </w:r>
      <w:r>
        <w:rPr>
          <w:spacing w:val="-4"/>
          <w:sz w:val="24"/>
        </w:rPr>
        <w:t>议的召开日期应当顺延并保证至少有 </w:t>
      </w:r>
      <w:r>
        <w:rPr>
          <w:rFonts w:ascii="Arial" w:eastAsia="Arial"/>
          <w:sz w:val="24"/>
        </w:rPr>
        <w:t>10</w:t>
      </w:r>
      <w:r>
        <w:rPr>
          <w:rFonts w:ascii="Arial" w:eastAsia="Arial"/>
          <w:spacing w:val="-7"/>
          <w:sz w:val="24"/>
        </w:rPr>
        <w:t> </w:t>
      </w:r>
      <w:r>
        <w:rPr>
          <w:sz w:val="24"/>
        </w:rPr>
        <w:t>日的间隔期。</w:t>
      </w:r>
    </w:p>
    <w:p>
      <w:pPr>
        <w:pStyle w:val="ListParagraph"/>
        <w:numPr>
          <w:ilvl w:val="0"/>
          <w:numId w:val="25"/>
        </w:numPr>
        <w:tabs>
          <w:tab w:pos="1201" w:val="left" w:leader="none"/>
        </w:tabs>
        <w:spacing w:line="240" w:lineRule="auto" w:before="2" w:after="0"/>
        <w:ind w:left="1201" w:right="0" w:hanging="601"/>
        <w:jc w:val="left"/>
        <w:rPr>
          <w:sz w:val="24"/>
        </w:rPr>
      </w:pPr>
      <w:r>
        <w:rPr>
          <w:sz w:val="24"/>
        </w:rPr>
        <w:t>议事程序</w:t>
      </w:r>
    </w:p>
    <w:p>
      <w:pPr>
        <w:pStyle w:val="ListParagraph"/>
        <w:numPr>
          <w:ilvl w:val="0"/>
          <w:numId w:val="26"/>
        </w:numPr>
        <w:tabs>
          <w:tab w:pos="1589" w:val="left" w:leader="none"/>
        </w:tabs>
        <w:spacing w:line="240" w:lineRule="auto" w:before="160" w:after="0"/>
        <w:ind w:left="1589" w:right="0" w:hanging="361"/>
        <w:jc w:val="left"/>
        <w:rPr>
          <w:sz w:val="24"/>
        </w:rPr>
      </w:pPr>
      <w:r>
        <w:rPr>
          <w:sz w:val="24"/>
        </w:rPr>
        <w:t>现场开会</w:t>
      </w:r>
    </w:p>
    <w:p>
      <w:pPr>
        <w:spacing w:after="0" w:line="240" w:lineRule="auto"/>
        <w:jc w:val="left"/>
        <w:rPr>
          <w:sz w:val="24"/>
        </w:rPr>
        <w:sectPr>
          <w:pgSz w:w="11910" w:h="16840"/>
          <w:pgMar w:header="0" w:footer="990" w:top="1460" w:bottom="1180" w:left="1680" w:right="1340"/>
        </w:sectPr>
      </w:pPr>
    </w:p>
    <w:p>
      <w:pPr>
        <w:pStyle w:val="BodyText"/>
        <w:spacing w:line="364" w:lineRule="auto" w:before="44"/>
        <w:ind w:right="458" w:firstLine="480"/>
        <w:jc w:val="both"/>
      </w:pPr>
      <w:r>
        <w:rPr>
          <w:spacing w:val="-11"/>
        </w:rPr>
        <w:t>在现场开会的方式下，首先由大会主持人按照规定程序宣布会议议事程序及</w:t>
      </w:r>
      <w:r>
        <w:rPr>
          <w:spacing w:val="-10"/>
        </w:rPr>
        <w:t>注意事项，确定和公布监票人，然后由大会主持人宣读提案，经讨论后在公证机</w:t>
      </w:r>
      <w:r>
        <w:rPr/>
        <w:t>关监督下进行表决，经合法执业的律师见证后形成大会决议。</w:t>
      </w:r>
    </w:p>
    <w:p>
      <w:pPr>
        <w:pStyle w:val="BodyText"/>
        <w:spacing w:line="364" w:lineRule="auto" w:before="2"/>
        <w:ind w:right="338" w:firstLine="480"/>
      </w:pPr>
      <w:r>
        <w:rPr>
          <w:spacing w:val="-7"/>
        </w:rPr>
        <w:t>大会由基金管理人授权代表主持。在基金管理人授权代表未能主持大会的情</w:t>
      </w:r>
      <w:r>
        <w:rPr>
          <w:spacing w:val="-13"/>
        </w:rPr>
        <w:t>况下，由基金托管人授权代表主持；如果基金管理人和基金托管人授权代表均未能主持大会，则由出席大会的基金份额持有人和代理人以所代表的基金份额 </w:t>
      </w:r>
      <w:r>
        <w:rPr/>
        <w:t>50% 以上多数选举产生一名代表作为该次基金份额持有人大会的主持人。</w:t>
      </w:r>
    </w:p>
    <w:p>
      <w:pPr>
        <w:pStyle w:val="BodyText"/>
        <w:spacing w:line="364" w:lineRule="auto" w:before="2"/>
        <w:ind w:right="458" w:firstLine="480"/>
        <w:jc w:val="both"/>
      </w:pPr>
      <w:r>
        <w:rPr/>
        <w:t>召集人应当制作出席会议人员的签名册。签名册载明参加会议人员姓名(或单位名称)、身份证号码、住所地址、持有或代表有表决权的基金份额、委托人姓名(或单位名称)等事项。</w:t>
      </w:r>
    </w:p>
    <w:p>
      <w:pPr>
        <w:pStyle w:val="ListParagraph"/>
        <w:numPr>
          <w:ilvl w:val="0"/>
          <w:numId w:val="26"/>
        </w:numPr>
        <w:tabs>
          <w:tab w:pos="1589" w:val="left" w:leader="none"/>
        </w:tabs>
        <w:spacing w:line="240" w:lineRule="auto" w:before="2" w:after="0"/>
        <w:ind w:left="1589" w:right="0" w:hanging="361"/>
        <w:jc w:val="left"/>
        <w:rPr>
          <w:sz w:val="24"/>
        </w:rPr>
      </w:pPr>
      <w:r>
        <w:rPr>
          <w:sz w:val="24"/>
        </w:rPr>
        <w:t>通讯方式开会</w:t>
      </w:r>
    </w:p>
    <w:p>
      <w:pPr>
        <w:pStyle w:val="BodyText"/>
        <w:spacing w:line="364" w:lineRule="auto" w:before="160"/>
        <w:ind w:right="365" w:firstLine="480"/>
      </w:pPr>
      <w:r>
        <w:rPr>
          <w:spacing w:val="-3"/>
        </w:rPr>
        <w:t>在通讯表决开会的方式下，首先由召集人提前 </w:t>
      </w:r>
      <w:r>
        <w:rPr/>
        <w:t>30</w:t>
      </w:r>
      <w:r>
        <w:rPr>
          <w:spacing w:val="-8"/>
        </w:rPr>
        <w:t> 日公布提案，在所通知的</w:t>
      </w:r>
      <w:r>
        <w:rPr>
          <w:spacing w:val="-15"/>
        </w:rPr>
        <w:t>表决截止日期第 </w:t>
      </w:r>
      <w:r>
        <w:rPr/>
        <w:t>2</w:t>
      </w:r>
      <w:r>
        <w:rPr>
          <w:spacing w:val="-9"/>
        </w:rPr>
        <w:t> 日在公证机构监督下由召集人统计全部有效表决并形成决议。</w:t>
      </w:r>
    </w:p>
    <w:p>
      <w:pPr>
        <w:pStyle w:val="ListParagraph"/>
        <w:numPr>
          <w:ilvl w:val="0"/>
          <w:numId w:val="25"/>
        </w:numPr>
        <w:tabs>
          <w:tab w:pos="1201" w:val="left" w:leader="none"/>
        </w:tabs>
        <w:spacing w:line="240" w:lineRule="auto" w:before="2" w:after="0"/>
        <w:ind w:left="1201" w:right="0" w:hanging="601"/>
        <w:jc w:val="left"/>
        <w:rPr>
          <w:sz w:val="24"/>
        </w:rPr>
      </w:pPr>
      <w:r>
        <w:rPr>
          <w:sz w:val="24"/>
        </w:rPr>
        <w:t>基金份额持有人大会不得对未事先公告的议事内容进行表决。</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（八）决议形成的条件、表决方式、程序</w:t>
      </w:r>
    </w:p>
    <w:p>
      <w:pPr>
        <w:pStyle w:val="BodyText"/>
        <w:spacing w:before="4"/>
        <w:ind w:left="0"/>
        <w:rPr>
          <w:rFonts w:ascii="Microsoft JhengHei"/>
          <w:b/>
          <w:sz w:val="14"/>
        </w:rPr>
      </w:pPr>
    </w:p>
    <w:p>
      <w:pPr>
        <w:pStyle w:val="ListParagraph"/>
        <w:numPr>
          <w:ilvl w:val="0"/>
          <w:numId w:val="27"/>
        </w:numPr>
        <w:tabs>
          <w:tab w:pos="1201" w:val="left" w:leader="none"/>
        </w:tabs>
        <w:spacing w:line="240" w:lineRule="auto" w:before="1" w:after="0"/>
        <w:ind w:left="1201" w:right="0" w:hanging="601"/>
        <w:jc w:val="left"/>
        <w:rPr>
          <w:sz w:val="24"/>
        </w:rPr>
      </w:pPr>
      <w:r>
        <w:rPr>
          <w:sz w:val="24"/>
        </w:rPr>
        <w:t>基金份额持有人所持每一基金份额享有平等的表决权。</w:t>
      </w:r>
    </w:p>
    <w:p>
      <w:pPr>
        <w:pStyle w:val="ListParagraph"/>
        <w:numPr>
          <w:ilvl w:val="0"/>
          <w:numId w:val="27"/>
        </w:numPr>
        <w:tabs>
          <w:tab w:pos="1201" w:val="left" w:leader="none"/>
        </w:tabs>
        <w:spacing w:line="240" w:lineRule="auto" w:before="160" w:after="0"/>
        <w:ind w:left="1201" w:right="0" w:hanging="601"/>
        <w:jc w:val="left"/>
        <w:rPr>
          <w:sz w:val="24"/>
        </w:rPr>
      </w:pPr>
      <w:r>
        <w:rPr>
          <w:sz w:val="24"/>
        </w:rPr>
        <w:t>基金份额持有人大会决议分为一般决议和特别决议：</w:t>
      </w:r>
    </w:p>
    <w:p>
      <w:pPr>
        <w:pStyle w:val="ListParagraph"/>
        <w:numPr>
          <w:ilvl w:val="1"/>
          <w:numId w:val="27"/>
        </w:numPr>
        <w:tabs>
          <w:tab w:pos="1589" w:val="left" w:leader="none"/>
        </w:tabs>
        <w:spacing w:line="240" w:lineRule="auto" w:before="161" w:after="0"/>
        <w:ind w:left="1589" w:right="0" w:hanging="361"/>
        <w:jc w:val="left"/>
        <w:rPr>
          <w:sz w:val="24"/>
        </w:rPr>
      </w:pPr>
      <w:r>
        <w:rPr>
          <w:sz w:val="24"/>
        </w:rPr>
        <w:t>一般决议</w:t>
      </w:r>
    </w:p>
    <w:p>
      <w:pPr>
        <w:pStyle w:val="BodyText"/>
        <w:spacing w:line="364" w:lineRule="auto" w:before="160"/>
        <w:ind w:right="458" w:firstLine="480"/>
        <w:jc w:val="both"/>
      </w:pPr>
      <w:r>
        <w:rPr>
          <w:spacing w:val="3"/>
        </w:rPr>
        <w:t>一般决议须经出席会议的基金份额持有人及其代理人所持表决权的 </w:t>
      </w:r>
      <w:r>
        <w:rPr/>
        <w:t>50%以</w:t>
      </w:r>
      <w:r>
        <w:rPr>
          <w:spacing w:val="-8"/>
        </w:rPr>
        <w:t>上通过方为有效，除下列第 </w:t>
      </w:r>
      <w:r>
        <w:rPr>
          <w:spacing w:val="-9"/>
        </w:rPr>
        <w:t>2）</w:t>
      </w:r>
      <w:r>
        <w:rPr>
          <w:spacing w:val="-1"/>
        </w:rPr>
        <w:t>项规定的须以特别决议通过事项以外的其他事项</w:t>
      </w:r>
      <w:r>
        <w:rPr/>
        <w:t>均以一般决议的方式通过；</w:t>
      </w:r>
    </w:p>
    <w:p>
      <w:pPr>
        <w:pStyle w:val="ListParagraph"/>
        <w:numPr>
          <w:ilvl w:val="1"/>
          <w:numId w:val="27"/>
        </w:numPr>
        <w:tabs>
          <w:tab w:pos="1589" w:val="left" w:leader="none"/>
        </w:tabs>
        <w:spacing w:line="240" w:lineRule="auto" w:before="2" w:after="0"/>
        <w:ind w:left="1589" w:right="0" w:hanging="361"/>
        <w:jc w:val="left"/>
        <w:rPr>
          <w:sz w:val="24"/>
        </w:rPr>
      </w:pPr>
      <w:r>
        <w:rPr>
          <w:sz w:val="24"/>
        </w:rPr>
        <w:t>特别决议</w:t>
      </w:r>
    </w:p>
    <w:p>
      <w:pPr>
        <w:pStyle w:val="BodyText"/>
        <w:spacing w:line="364" w:lineRule="auto" w:before="160"/>
        <w:ind w:right="218" w:firstLine="480"/>
      </w:pPr>
      <w:r>
        <w:rPr>
          <w:spacing w:val="3"/>
        </w:rPr>
        <w:t>特别决议须经出席会议的基金份额持有人及其代理人所持表决权的三分之 二以上通过方为有效；更换基金管理人、更换基金托管人、转换基金运作方式、终止基金合同、本基金与其他基金合并必须以特别决议方式通过。</w:t>
      </w:r>
    </w:p>
    <w:p>
      <w:pPr>
        <w:pStyle w:val="ListParagraph"/>
        <w:numPr>
          <w:ilvl w:val="0"/>
          <w:numId w:val="27"/>
        </w:numPr>
        <w:tabs>
          <w:tab w:pos="1203" w:val="left" w:leader="none"/>
        </w:tabs>
        <w:spacing w:line="364" w:lineRule="auto" w:before="2" w:after="0"/>
        <w:ind w:left="120" w:right="458" w:firstLine="480"/>
        <w:jc w:val="left"/>
        <w:rPr>
          <w:sz w:val="24"/>
        </w:rPr>
      </w:pPr>
      <w:r>
        <w:rPr>
          <w:sz w:val="24"/>
        </w:rPr>
        <w:t>基金份额持有人大会决定的事项，应当依法报中国证监会备案，并予以公告。</w:t>
      </w:r>
    </w:p>
    <w:p>
      <w:pPr>
        <w:pStyle w:val="ListParagraph"/>
        <w:numPr>
          <w:ilvl w:val="0"/>
          <w:numId w:val="27"/>
        </w:numPr>
        <w:tabs>
          <w:tab w:pos="1201" w:val="left" w:leader="none"/>
        </w:tabs>
        <w:spacing w:line="240" w:lineRule="auto" w:before="1" w:after="0"/>
        <w:ind w:left="1201" w:right="0" w:hanging="601"/>
        <w:jc w:val="left"/>
        <w:rPr>
          <w:sz w:val="24"/>
        </w:rPr>
      </w:pPr>
      <w:r>
        <w:rPr>
          <w:sz w:val="24"/>
        </w:rPr>
        <w:t>基金份额持有人大会采取记名方式进行投票表决。</w:t>
      </w:r>
    </w:p>
    <w:p>
      <w:pPr>
        <w:pStyle w:val="ListParagraph"/>
        <w:numPr>
          <w:ilvl w:val="0"/>
          <w:numId w:val="27"/>
        </w:numPr>
        <w:tabs>
          <w:tab w:pos="1203" w:val="left" w:leader="none"/>
        </w:tabs>
        <w:spacing w:line="240" w:lineRule="auto" w:before="161" w:after="0"/>
        <w:ind w:left="1202" w:right="0" w:hanging="603"/>
        <w:jc w:val="left"/>
        <w:rPr>
          <w:sz w:val="24"/>
        </w:rPr>
      </w:pPr>
      <w:r>
        <w:rPr>
          <w:sz w:val="24"/>
        </w:rPr>
        <w:t>基金份额持有人大会的各项提案或同一项提案内并列的各项议题应当</w:t>
      </w:r>
    </w:p>
    <w:p>
      <w:pPr>
        <w:spacing w:after="0" w:line="240" w:lineRule="auto"/>
        <w:jc w:val="left"/>
        <w:rPr>
          <w:sz w:val="24"/>
        </w:rPr>
        <w:sectPr>
          <w:pgSz w:w="11910" w:h="16840"/>
          <w:pgMar w:header="0" w:footer="990" w:top="1460" w:bottom="1180" w:left="1680" w:right="1340"/>
        </w:sectPr>
      </w:pPr>
    </w:p>
    <w:p>
      <w:pPr>
        <w:pStyle w:val="BodyText"/>
        <w:spacing w:before="44"/>
      </w:pPr>
      <w:r>
        <w:rPr/>
        <w:t>分开审议、逐项表决。</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（九）计票</w:t>
      </w:r>
    </w:p>
    <w:p>
      <w:pPr>
        <w:pStyle w:val="BodyText"/>
        <w:spacing w:before="5"/>
        <w:ind w:left="0"/>
        <w:rPr>
          <w:rFonts w:ascii="Microsoft JhengHei"/>
          <w:b/>
          <w:sz w:val="14"/>
        </w:rPr>
      </w:pPr>
    </w:p>
    <w:p>
      <w:pPr>
        <w:pStyle w:val="ListParagraph"/>
        <w:numPr>
          <w:ilvl w:val="0"/>
          <w:numId w:val="28"/>
        </w:numPr>
        <w:tabs>
          <w:tab w:pos="1201" w:val="left" w:leader="none"/>
        </w:tabs>
        <w:spacing w:line="240" w:lineRule="auto" w:before="0" w:after="0"/>
        <w:ind w:left="1201" w:right="0" w:hanging="601"/>
        <w:jc w:val="left"/>
        <w:rPr>
          <w:sz w:val="24"/>
        </w:rPr>
      </w:pPr>
      <w:r>
        <w:rPr>
          <w:sz w:val="24"/>
        </w:rPr>
        <w:t>现场开会</w:t>
      </w:r>
    </w:p>
    <w:p>
      <w:pPr>
        <w:pStyle w:val="ListParagraph"/>
        <w:numPr>
          <w:ilvl w:val="1"/>
          <w:numId w:val="28"/>
        </w:numPr>
        <w:tabs>
          <w:tab w:pos="1597" w:val="left" w:leader="none"/>
        </w:tabs>
        <w:spacing w:line="364" w:lineRule="auto" w:before="160" w:after="0"/>
        <w:ind w:left="1556" w:right="457" w:hanging="329"/>
        <w:jc w:val="both"/>
        <w:rPr>
          <w:sz w:val="24"/>
        </w:rPr>
      </w:pPr>
      <w:r>
        <w:rPr>
          <w:spacing w:val="2"/>
          <w:sz w:val="24"/>
        </w:rPr>
        <w:t>如基金份额持有人大会由基金管理人或基金托管人召集，则基金</w:t>
      </w:r>
      <w:r>
        <w:rPr>
          <w:spacing w:val="4"/>
          <w:sz w:val="24"/>
        </w:rPr>
        <w:t>份额持有人大会的主持人应当在会议开始后宣布在出席会议的基金份额持有人和代理人中推举两名基金份额持有人代表与大会召</w:t>
      </w:r>
      <w:r>
        <w:rPr>
          <w:spacing w:val="-3"/>
          <w:sz w:val="24"/>
        </w:rPr>
        <w:t>集人授权的一名监督员共同担任监票人；如大会由基金份额持有人</w:t>
      </w:r>
      <w:r>
        <w:rPr>
          <w:spacing w:val="-11"/>
          <w:sz w:val="24"/>
        </w:rPr>
        <w:t>自行召集，基金份额持有人大会的主持人应当在会议开始后宣布在</w:t>
      </w:r>
      <w:r>
        <w:rPr>
          <w:spacing w:val="1"/>
          <w:sz w:val="24"/>
        </w:rPr>
        <w:t>出席会议的基金份额持有人和代理人中推举 </w:t>
      </w:r>
      <w:r>
        <w:rPr>
          <w:sz w:val="24"/>
        </w:rPr>
        <w:t>3</w:t>
      </w:r>
      <w:r>
        <w:rPr>
          <w:spacing w:val="-3"/>
          <w:sz w:val="24"/>
        </w:rPr>
        <w:t> 名基金份额持有人担任监票人。</w:t>
      </w:r>
    </w:p>
    <w:p>
      <w:pPr>
        <w:pStyle w:val="ListParagraph"/>
        <w:numPr>
          <w:ilvl w:val="1"/>
          <w:numId w:val="28"/>
        </w:numPr>
        <w:tabs>
          <w:tab w:pos="1597" w:val="left" w:leader="none"/>
        </w:tabs>
        <w:spacing w:line="364" w:lineRule="auto" w:before="5" w:after="0"/>
        <w:ind w:left="1556" w:right="458" w:hanging="329"/>
        <w:jc w:val="left"/>
        <w:rPr>
          <w:sz w:val="24"/>
        </w:rPr>
      </w:pPr>
      <w:r>
        <w:rPr>
          <w:spacing w:val="2"/>
          <w:sz w:val="24"/>
        </w:rPr>
        <w:t>监票人应当在基金份额持有人表决后立即进行清点，由大会主持</w:t>
      </w:r>
      <w:r>
        <w:rPr>
          <w:sz w:val="24"/>
        </w:rPr>
        <w:t>人当场公布计票结果。</w:t>
      </w:r>
    </w:p>
    <w:p>
      <w:pPr>
        <w:pStyle w:val="ListParagraph"/>
        <w:numPr>
          <w:ilvl w:val="1"/>
          <w:numId w:val="28"/>
        </w:numPr>
        <w:tabs>
          <w:tab w:pos="1597" w:val="left" w:leader="none"/>
        </w:tabs>
        <w:spacing w:line="364" w:lineRule="auto" w:before="1" w:after="0"/>
        <w:ind w:left="1556" w:right="457" w:hanging="329"/>
        <w:jc w:val="both"/>
        <w:rPr>
          <w:sz w:val="24"/>
        </w:rPr>
      </w:pPr>
      <w:r>
        <w:rPr>
          <w:spacing w:val="2"/>
          <w:sz w:val="24"/>
        </w:rPr>
        <w:t>如会议主持人对于提交的表决结果有怀疑，可以对投票数进行重</w:t>
      </w:r>
      <w:r>
        <w:rPr>
          <w:spacing w:val="-12"/>
          <w:sz w:val="24"/>
        </w:rPr>
        <w:t>新清点；如会议主持人未进行重新清点，而出席会议的基金份额持</w:t>
      </w:r>
      <w:r>
        <w:rPr>
          <w:spacing w:val="-5"/>
          <w:sz w:val="24"/>
        </w:rPr>
        <w:t>有人或代理人对会议主持人宣布的表决结果有异议，其有权在宣布</w:t>
      </w:r>
      <w:r>
        <w:rPr>
          <w:spacing w:val="-8"/>
          <w:sz w:val="24"/>
        </w:rPr>
        <w:t>表决结果后立即要求重新清点，会议主持人应当立即重新清点并公</w:t>
      </w:r>
      <w:r>
        <w:rPr>
          <w:sz w:val="24"/>
        </w:rPr>
        <w:t>布重新清点结果。重新清点仅限一次。</w:t>
      </w:r>
    </w:p>
    <w:p>
      <w:pPr>
        <w:pStyle w:val="ListParagraph"/>
        <w:numPr>
          <w:ilvl w:val="1"/>
          <w:numId w:val="28"/>
        </w:numPr>
        <w:tabs>
          <w:tab w:pos="1597" w:val="left" w:leader="none"/>
        </w:tabs>
        <w:spacing w:line="364" w:lineRule="auto" w:before="3" w:after="0"/>
        <w:ind w:left="1556" w:right="367" w:hanging="329"/>
        <w:jc w:val="left"/>
        <w:rPr>
          <w:sz w:val="24"/>
        </w:rPr>
      </w:pPr>
      <w:r>
        <w:rPr>
          <w:spacing w:val="2"/>
          <w:sz w:val="24"/>
        </w:rPr>
        <w:t>计票过程应由公证机关予以公证，基金管理人或基金托管人拒不</w:t>
      </w:r>
      <w:r>
        <w:rPr>
          <w:spacing w:val="1"/>
          <w:sz w:val="24"/>
        </w:rPr>
        <w:t>参加基金份额持有人大会或拒不配合计票的，不影响计票的效力。</w:t>
      </w:r>
    </w:p>
    <w:p>
      <w:pPr>
        <w:pStyle w:val="ListParagraph"/>
        <w:numPr>
          <w:ilvl w:val="0"/>
          <w:numId w:val="28"/>
        </w:numPr>
        <w:tabs>
          <w:tab w:pos="1201" w:val="left" w:leader="none"/>
        </w:tabs>
        <w:spacing w:line="240" w:lineRule="auto" w:before="1" w:after="0"/>
        <w:ind w:left="1201" w:right="0" w:hanging="601"/>
        <w:jc w:val="left"/>
        <w:rPr>
          <w:sz w:val="24"/>
        </w:rPr>
      </w:pPr>
      <w:r>
        <w:rPr>
          <w:sz w:val="24"/>
        </w:rPr>
        <w:t>通讯方式开会</w:t>
      </w:r>
    </w:p>
    <w:p>
      <w:pPr>
        <w:pStyle w:val="BodyText"/>
        <w:spacing w:line="364" w:lineRule="auto" w:before="161"/>
        <w:ind w:right="458" w:firstLine="480"/>
        <w:jc w:val="both"/>
      </w:pPr>
      <w:r>
        <w:rPr>
          <w:spacing w:val="-7"/>
        </w:rPr>
        <w:t>在通讯方式开会的情况下，计票方式为：由大会召集人授权的两名监督员在</w:t>
      </w:r>
      <w:r>
        <w:rPr>
          <w:spacing w:val="-6"/>
        </w:rPr>
        <w:t>基金托管人授权代表(如果基金托管人为召集人，则为基金管理人授权代表)的监</w:t>
      </w:r>
      <w:r>
        <w:rPr>
          <w:spacing w:val="-10"/>
        </w:rPr>
        <w:t>督下进行计票，由公证机关对其计票过程予以公证。基金管理人或基金托管人拒</w:t>
      </w:r>
      <w:r>
        <w:rPr/>
        <w:t>派代表对书面表决意见的计票进行监督的，不影响计票和表决结果。</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（十）基金份额持有人大会决议的生效与公告</w:t>
      </w:r>
    </w:p>
    <w:p>
      <w:pPr>
        <w:pStyle w:val="BodyText"/>
        <w:spacing w:before="4"/>
        <w:ind w:left="0"/>
        <w:rPr>
          <w:rFonts w:ascii="Microsoft JhengHei"/>
          <w:b/>
          <w:sz w:val="14"/>
        </w:rPr>
      </w:pPr>
    </w:p>
    <w:p>
      <w:pPr>
        <w:pStyle w:val="ListParagraph"/>
        <w:numPr>
          <w:ilvl w:val="0"/>
          <w:numId w:val="29"/>
        </w:numPr>
        <w:tabs>
          <w:tab w:pos="1203" w:val="left" w:leader="none"/>
        </w:tabs>
        <w:spacing w:line="364" w:lineRule="auto" w:before="0" w:after="0"/>
        <w:ind w:left="120" w:right="458" w:firstLine="480"/>
        <w:jc w:val="both"/>
        <w:rPr>
          <w:sz w:val="24"/>
        </w:rPr>
      </w:pPr>
      <w:r>
        <w:rPr>
          <w:sz w:val="24"/>
        </w:rPr>
        <w:t>基金份额持有人大会通过的一般决议和特别决议，召集人应当自通过</w:t>
      </w:r>
      <w:r>
        <w:rPr>
          <w:spacing w:val="-15"/>
          <w:sz w:val="24"/>
        </w:rPr>
        <w:t>之日起 </w:t>
      </w:r>
      <w:r>
        <w:rPr>
          <w:sz w:val="24"/>
        </w:rPr>
        <w:t>5</w:t>
      </w:r>
      <w:r>
        <w:rPr>
          <w:spacing w:val="-15"/>
          <w:sz w:val="24"/>
        </w:rPr>
        <w:t> 日内报中国证监会备案。基金份额持有人大会决定的事项自表决通过之</w:t>
      </w:r>
      <w:r>
        <w:rPr>
          <w:sz w:val="24"/>
        </w:rPr>
        <w:t>日起生效。</w:t>
      </w:r>
    </w:p>
    <w:p>
      <w:pPr>
        <w:spacing w:after="0" w:line="364" w:lineRule="auto"/>
        <w:jc w:val="both"/>
        <w:rPr>
          <w:sz w:val="24"/>
        </w:rPr>
        <w:sectPr>
          <w:pgSz w:w="11910" w:h="16840"/>
          <w:pgMar w:header="0" w:footer="990" w:top="1460" w:bottom="1180" w:left="1680" w:right="1340"/>
        </w:sectPr>
      </w:pPr>
    </w:p>
    <w:p>
      <w:pPr>
        <w:pStyle w:val="ListParagraph"/>
        <w:numPr>
          <w:ilvl w:val="0"/>
          <w:numId w:val="29"/>
        </w:numPr>
        <w:tabs>
          <w:tab w:pos="1204" w:val="left" w:leader="none"/>
        </w:tabs>
        <w:spacing w:line="364" w:lineRule="auto" w:before="44" w:after="0"/>
        <w:ind w:left="120" w:right="218" w:firstLine="480"/>
        <w:jc w:val="left"/>
        <w:rPr>
          <w:sz w:val="24"/>
        </w:rPr>
      </w:pPr>
      <w:r>
        <w:rPr>
          <w:sz w:val="24"/>
        </w:rPr>
        <w:t>生效的基金份额持有人大会决议对全体基金份额持有人、基金管理人、</w:t>
      </w:r>
      <w:r>
        <w:rPr>
          <w:spacing w:val="-8"/>
          <w:sz w:val="24"/>
        </w:rPr>
        <w:t>基金托管人均有约束力。基金管理人、基金托管人和基金份额持有人应当执行生 效的基金份额持有人大会的决定。</w:t>
      </w:r>
    </w:p>
    <w:p>
      <w:pPr>
        <w:pStyle w:val="ListParagraph"/>
        <w:numPr>
          <w:ilvl w:val="0"/>
          <w:numId w:val="29"/>
        </w:numPr>
        <w:tabs>
          <w:tab w:pos="1203" w:val="left" w:leader="none"/>
        </w:tabs>
        <w:spacing w:line="364" w:lineRule="auto" w:before="2" w:after="0"/>
        <w:ind w:left="120" w:right="458" w:firstLine="480"/>
        <w:jc w:val="left"/>
        <w:rPr>
          <w:sz w:val="24"/>
        </w:rPr>
      </w:pPr>
      <w:r>
        <w:rPr>
          <w:spacing w:val="-4"/>
          <w:sz w:val="24"/>
        </w:rPr>
        <w:t>基金份额持有人大会决议应自生效之日起 </w:t>
      </w:r>
      <w:r>
        <w:rPr>
          <w:sz w:val="24"/>
        </w:rPr>
        <w:t>2</w:t>
      </w:r>
      <w:r>
        <w:rPr>
          <w:spacing w:val="-8"/>
          <w:sz w:val="24"/>
        </w:rPr>
        <w:t> 日内由相关信息披露义务人在指定媒介公告。</w:t>
      </w:r>
    </w:p>
    <w:p>
      <w:pPr>
        <w:spacing w:after="0" w:line="364" w:lineRule="auto"/>
        <w:jc w:val="left"/>
        <w:rPr>
          <w:sz w:val="24"/>
        </w:rPr>
        <w:sectPr>
          <w:pgSz w:w="11910" w:h="16840"/>
          <w:pgMar w:header="0" w:footer="990" w:top="1460" w:bottom="1180" w:left="1680" w:right="1340"/>
        </w:sectPr>
      </w:pPr>
    </w:p>
    <w:p>
      <w:pPr>
        <w:pStyle w:val="Heading1"/>
        <w:tabs>
          <w:tab w:pos="1379" w:val="left" w:leader="none"/>
        </w:tabs>
        <w:spacing w:before="1"/>
        <w:ind w:left="403"/>
      </w:pPr>
      <w:bookmarkStart w:name="_bookmark10" w:id="11"/>
      <w:bookmarkEnd w:id="11"/>
      <w:r>
        <w:rPr>
          <w:b w:val="0"/>
        </w:rPr>
      </w:r>
      <w:r>
        <w:rPr>
          <w:position w:val="-2"/>
        </w:rPr>
        <w:t>十一、</w:t>
        <w:tab/>
      </w:r>
      <w:r>
        <w:rPr/>
        <w:t>基金管理人、基金托管人的更换条件和程序</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（一）基金管理人和基金托管人的更换条件</w:t>
      </w:r>
    </w:p>
    <w:p>
      <w:pPr>
        <w:pStyle w:val="BodyText"/>
        <w:spacing w:before="5"/>
        <w:ind w:left="0"/>
        <w:rPr>
          <w:rFonts w:ascii="Microsoft JhengHei"/>
          <w:b/>
          <w:sz w:val="14"/>
        </w:rPr>
      </w:pPr>
    </w:p>
    <w:p>
      <w:pPr>
        <w:pStyle w:val="ListParagraph"/>
        <w:numPr>
          <w:ilvl w:val="0"/>
          <w:numId w:val="30"/>
        </w:numPr>
        <w:tabs>
          <w:tab w:pos="1201" w:val="left" w:leader="none"/>
        </w:tabs>
        <w:spacing w:line="240" w:lineRule="auto" w:before="0" w:after="0"/>
        <w:ind w:left="1201" w:right="0" w:hanging="601"/>
        <w:jc w:val="left"/>
        <w:rPr>
          <w:sz w:val="24"/>
        </w:rPr>
      </w:pPr>
      <w:r>
        <w:rPr>
          <w:sz w:val="24"/>
        </w:rPr>
        <w:t>有下列情形之一的，基金管理人职责终止：</w:t>
      </w:r>
    </w:p>
    <w:p>
      <w:pPr>
        <w:pStyle w:val="ListParagraph"/>
        <w:numPr>
          <w:ilvl w:val="1"/>
          <w:numId w:val="30"/>
        </w:numPr>
        <w:tabs>
          <w:tab w:pos="1589" w:val="left" w:leader="none"/>
        </w:tabs>
        <w:spacing w:line="240" w:lineRule="auto" w:before="160" w:after="0"/>
        <w:ind w:left="1589" w:right="0" w:hanging="361"/>
        <w:jc w:val="left"/>
        <w:rPr>
          <w:sz w:val="24"/>
        </w:rPr>
      </w:pPr>
      <w:r>
        <w:rPr>
          <w:sz w:val="24"/>
        </w:rPr>
        <w:t>被依法取消基金管理资格；</w:t>
      </w:r>
    </w:p>
    <w:p>
      <w:pPr>
        <w:pStyle w:val="ListParagraph"/>
        <w:numPr>
          <w:ilvl w:val="1"/>
          <w:numId w:val="30"/>
        </w:numPr>
        <w:tabs>
          <w:tab w:pos="1589" w:val="left" w:leader="none"/>
        </w:tabs>
        <w:spacing w:line="240" w:lineRule="auto" w:before="161" w:after="0"/>
        <w:ind w:left="1589" w:right="0" w:hanging="361"/>
        <w:jc w:val="left"/>
        <w:rPr>
          <w:sz w:val="24"/>
        </w:rPr>
      </w:pPr>
      <w:r>
        <w:rPr>
          <w:sz w:val="24"/>
        </w:rPr>
        <w:t>依法解散、依法被撤销或被依法宣告破产；</w:t>
      </w:r>
    </w:p>
    <w:p>
      <w:pPr>
        <w:pStyle w:val="ListParagraph"/>
        <w:numPr>
          <w:ilvl w:val="1"/>
          <w:numId w:val="30"/>
        </w:numPr>
        <w:tabs>
          <w:tab w:pos="1589" w:val="left" w:leader="none"/>
        </w:tabs>
        <w:spacing w:line="240" w:lineRule="auto" w:before="160" w:after="0"/>
        <w:ind w:left="1589" w:right="0" w:hanging="361"/>
        <w:jc w:val="left"/>
        <w:rPr>
          <w:sz w:val="24"/>
        </w:rPr>
      </w:pPr>
      <w:r>
        <w:rPr>
          <w:sz w:val="24"/>
        </w:rPr>
        <w:t>被基金份额持有人大会解任；</w:t>
      </w:r>
    </w:p>
    <w:p>
      <w:pPr>
        <w:pStyle w:val="ListParagraph"/>
        <w:numPr>
          <w:ilvl w:val="1"/>
          <w:numId w:val="30"/>
        </w:numPr>
        <w:tabs>
          <w:tab w:pos="1589" w:val="left" w:leader="none"/>
        </w:tabs>
        <w:spacing w:line="240" w:lineRule="auto" w:before="161" w:after="0"/>
        <w:ind w:left="1589" w:right="0" w:hanging="361"/>
        <w:jc w:val="left"/>
        <w:rPr>
          <w:sz w:val="24"/>
        </w:rPr>
      </w:pPr>
      <w:r>
        <w:rPr>
          <w:sz w:val="24"/>
        </w:rPr>
        <w:t>法律法规和基金合同规定的其他情形。</w:t>
      </w:r>
    </w:p>
    <w:p>
      <w:pPr>
        <w:pStyle w:val="ListParagraph"/>
        <w:numPr>
          <w:ilvl w:val="0"/>
          <w:numId w:val="30"/>
        </w:numPr>
        <w:tabs>
          <w:tab w:pos="1201" w:val="left" w:leader="none"/>
        </w:tabs>
        <w:spacing w:line="240" w:lineRule="auto" w:before="160" w:after="0"/>
        <w:ind w:left="1201" w:right="0" w:hanging="601"/>
        <w:jc w:val="left"/>
        <w:rPr>
          <w:sz w:val="24"/>
        </w:rPr>
      </w:pPr>
      <w:r>
        <w:rPr>
          <w:sz w:val="24"/>
        </w:rPr>
        <w:t>有下列情形之一的，基金托管人职责终止：</w:t>
      </w:r>
    </w:p>
    <w:p>
      <w:pPr>
        <w:pStyle w:val="ListParagraph"/>
        <w:numPr>
          <w:ilvl w:val="0"/>
          <w:numId w:val="31"/>
        </w:numPr>
        <w:tabs>
          <w:tab w:pos="1589" w:val="left" w:leader="none"/>
        </w:tabs>
        <w:spacing w:line="240" w:lineRule="auto" w:before="161" w:after="0"/>
        <w:ind w:left="1589" w:right="0" w:hanging="361"/>
        <w:jc w:val="left"/>
        <w:rPr>
          <w:sz w:val="24"/>
        </w:rPr>
      </w:pPr>
      <w:r>
        <w:rPr>
          <w:sz w:val="24"/>
        </w:rPr>
        <w:t>被依法取消基金托管资格；</w:t>
      </w:r>
    </w:p>
    <w:p>
      <w:pPr>
        <w:pStyle w:val="ListParagraph"/>
        <w:numPr>
          <w:ilvl w:val="0"/>
          <w:numId w:val="31"/>
        </w:numPr>
        <w:tabs>
          <w:tab w:pos="1589" w:val="left" w:leader="none"/>
        </w:tabs>
        <w:spacing w:line="240" w:lineRule="auto" w:before="160" w:after="0"/>
        <w:ind w:left="1589" w:right="0" w:hanging="361"/>
        <w:jc w:val="left"/>
        <w:rPr>
          <w:sz w:val="24"/>
        </w:rPr>
      </w:pPr>
      <w:r>
        <w:rPr>
          <w:sz w:val="24"/>
        </w:rPr>
        <w:t>依法解散、依法被撤销或被依法宣告破产；</w:t>
      </w:r>
    </w:p>
    <w:p>
      <w:pPr>
        <w:pStyle w:val="ListParagraph"/>
        <w:numPr>
          <w:ilvl w:val="0"/>
          <w:numId w:val="31"/>
        </w:numPr>
        <w:tabs>
          <w:tab w:pos="1589" w:val="left" w:leader="none"/>
        </w:tabs>
        <w:spacing w:line="240" w:lineRule="auto" w:before="161" w:after="0"/>
        <w:ind w:left="1589" w:right="0" w:hanging="361"/>
        <w:jc w:val="left"/>
        <w:rPr>
          <w:sz w:val="24"/>
        </w:rPr>
      </w:pPr>
      <w:r>
        <w:rPr>
          <w:sz w:val="24"/>
        </w:rPr>
        <w:t>被基金份额持有人大会解任；</w:t>
      </w:r>
    </w:p>
    <w:p>
      <w:pPr>
        <w:pStyle w:val="ListParagraph"/>
        <w:numPr>
          <w:ilvl w:val="0"/>
          <w:numId w:val="31"/>
        </w:numPr>
        <w:tabs>
          <w:tab w:pos="1589" w:val="left" w:leader="none"/>
        </w:tabs>
        <w:spacing w:line="240" w:lineRule="auto" w:before="160" w:after="0"/>
        <w:ind w:left="1589" w:right="0" w:hanging="361"/>
        <w:jc w:val="left"/>
        <w:rPr>
          <w:sz w:val="24"/>
        </w:rPr>
      </w:pPr>
      <w:r>
        <w:rPr>
          <w:sz w:val="24"/>
        </w:rPr>
        <w:t>法律法规和基金合同规定的其他情形。</w:t>
      </w:r>
    </w:p>
    <w:p>
      <w:pPr>
        <w:spacing w:before="82"/>
        <w:ind w:left="120" w:right="0" w:firstLine="0"/>
        <w:jc w:val="left"/>
        <w:rPr>
          <w:rFonts w:ascii="Microsoft JhengHei" w:eastAsia="Microsoft JhengHei" w:hint="eastAsia"/>
          <w:b/>
          <w:sz w:val="24"/>
        </w:rPr>
      </w:pPr>
      <w:r>
        <w:rPr>
          <w:rFonts w:ascii="Microsoft JhengHei" w:eastAsia="Microsoft JhengHei" w:hint="eastAsia"/>
          <w:b/>
          <w:sz w:val="24"/>
        </w:rPr>
        <w:t>（二）基金管理人和基金托管人的更换程序</w:t>
      </w:r>
    </w:p>
    <w:p>
      <w:pPr>
        <w:pStyle w:val="ListParagraph"/>
        <w:numPr>
          <w:ilvl w:val="0"/>
          <w:numId w:val="32"/>
        </w:numPr>
        <w:tabs>
          <w:tab w:pos="1201" w:val="left" w:leader="none"/>
        </w:tabs>
        <w:spacing w:line="240" w:lineRule="auto" w:before="105" w:after="0"/>
        <w:ind w:left="1201" w:right="0" w:hanging="601"/>
        <w:jc w:val="left"/>
        <w:rPr>
          <w:sz w:val="24"/>
        </w:rPr>
      </w:pPr>
      <w:r>
        <w:rPr>
          <w:sz w:val="24"/>
        </w:rPr>
        <w:t>基金管理人的更换程序</w:t>
      </w:r>
    </w:p>
    <w:p>
      <w:pPr>
        <w:pStyle w:val="ListParagraph"/>
        <w:numPr>
          <w:ilvl w:val="1"/>
          <w:numId w:val="32"/>
        </w:numPr>
        <w:tabs>
          <w:tab w:pos="1589" w:val="left" w:leader="none"/>
        </w:tabs>
        <w:spacing w:line="364" w:lineRule="auto" w:before="161" w:after="0"/>
        <w:ind w:left="1556" w:right="457" w:hanging="329"/>
        <w:jc w:val="left"/>
        <w:rPr>
          <w:sz w:val="24"/>
        </w:rPr>
      </w:pPr>
      <w:r>
        <w:rPr>
          <w:spacing w:val="-11"/>
          <w:sz w:val="24"/>
        </w:rPr>
        <w:t>提名：新任基金管理人由基金托管人或代表 </w:t>
      </w:r>
      <w:r>
        <w:rPr>
          <w:sz w:val="24"/>
        </w:rPr>
        <w:t>10%</w:t>
      </w:r>
      <w:r>
        <w:rPr>
          <w:spacing w:val="-2"/>
          <w:sz w:val="24"/>
        </w:rPr>
        <w:t>以上基金份额的基</w:t>
      </w:r>
      <w:r>
        <w:rPr>
          <w:sz w:val="24"/>
        </w:rPr>
        <w:t>金份额持有人提名。</w:t>
      </w:r>
    </w:p>
    <w:p>
      <w:pPr>
        <w:pStyle w:val="ListParagraph"/>
        <w:numPr>
          <w:ilvl w:val="1"/>
          <w:numId w:val="32"/>
        </w:numPr>
        <w:tabs>
          <w:tab w:pos="1597" w:val="left" w:leader="none"/>
        </w:tabs>
        <w:spacing w:line="364" w:lineRule="auto" w:before="1" w:after="0"/>
        <w:ind w:left="1556" w:right="458" w:hanging="329"/>
        <w:jc w:val="left"/>
        <w:rPr>
          <w:sz w:val="24"/>
        </w:rPr>
      </w:pPr>
      <w:r>
        <w:rPr>
          <w:spacing w:val="2"/>
          <w:sz w:val="24"/>
        </w:rPr>
        <w:t>决议：基金管理人职责终止的，应当依照本基金合同的规定在六</w:t>
      </w:r>
      <w:r>
        <w:rPr>
          <w:sz w:val="24"/>
        </w:rPr>
        <w:t>个月内召开基金份额持有人大会，对更换基金管理人形成决议。</w:t>
      </w:r>
    </w:p>
    <w:p>
      <w:pPr>
        <w:pStyle w:val="ListParagraph"/>
        <w:numPr>
          <w:ilvl w:val="1"/>
          <w:numId w:val="32"/>
        </w:numPr>
        <w:tabs>
          <w:tab w:pos="1597" w:val="left" w:leader="none"/>
        </w:tabs>
        <w:spacing w:line="364" w:lineRule="auto" w:before="1" w:after="0"/>
        <w:ind w:left="1556" w:right="458" w:hanging="329"/>
        <w:jc w:val="left"/>
        <w:rPr>
          <w:sz w:val="24"/>
        </w:rPr>
      </w:pPr>
      <w:r>
        <w:rPr>
          <w:spacing w:val="2"/>
          <w:sz w:val="24"/>
        </w:rPr>
        <w:t>临时基金管理人：新任基金管理人产生之前，由中国证监会指定</w:t>
      </w:r>
      <w:r>
        <w:rPr>
          <w:sz w:val="24"/>
        </w:rPr>
        <w:t>临时基金管理人；</w:t>
      </w:r>
    </w:p>
    <w:p>
      <w:pPr>
        <w:pStyle w:val="ListParagraph"/>
        <w:numPr>
          <w:ilvl w:val="1"/>
          <w:numId w:val="32"/>
        </w:numPr>
        <w:tabs>
          <w:tab w:pos="1596" w:val="left" w:leader="none"/>
        </w:tabs>
        <w:spacing w:line="364" w:lineRule="auto" w:before="1" w:after="0"/>
        <w:ind w:left="1556" w:right="218" w:hanging="329"/>
        <w:jc w:val="left"/>
        <w:rPr>
          <w:sz w:val="24"/>
        </w:rPr>
      </w:pPr>
      <w:r>
        <w:rPr>
          <w:spacing w:val="-1"/>
          <w:sz w:val="24"/>
        </w:rPr>
        <w:t>备案并公告：上述基金份额持有人大会决议自通过之日起 </w:t>
      </w:r>
      <w:r>
        <w:rPr>
          <w:sz w:val="24"/>
        </w:rPr>
        <w:t>5</w:t>
      </w:r>
      <w:r>
        <w:rPr>
          <w:spacing w:val="-13"/>
          <w:sz w:val="24"/>
        </w:rPr>
        <w:t> 日内， </w:t>
      </w:r>
      <w:r>
        <w:rPr>
          <w:spacing w:val="-17"/>
          <w:sz w:val="24"/>
        </w:rPr>
        <w:t>由大会召集人报中国证监会备案。基金托管人在基金管理人更换后  2</w:t>
      </w:r>
      <w:r>
        <w:rPr>
          <w:spacing w:val="-8"/>
          <w:sz w:val="24"/>
        </w:rPr>
        <w:t> 日内在指定媒介上公告。</w:t>
      </w:r>
    </w:p>
    <w:p>
      <w:pPr>
        <w:pStyle w:val="ListParagraph"/>
        <w:numPr>
          <w:ilvl w:val="1"/>
          <w:numId w:val="32"/>
        </w:numPr>
        <w:tabs>
          <w:tab w:pos="1596" w:val="left" w:leader="none"/>
        </w:tabs>
        <w:spacing w:line="364" w:lineRule="auto" w:before="2" w:after="0"/>
        <w:ind w:left="1556" w:right="218" w:hanging="329"/>
        <w:jc w:val="left"/>
        <w:rPr>
          <w:sz w:val="24"/>
        </w:rPr>
      </w:pPr>
      <w:r>
        <w:rPr>
          <w:spacing w:val="2"/>
          <w:sz w:val="24"/>
        </w:rPr>
        <w:t>交接：基金管理人职责终止的，应当妥善保管基金管理业务资料， </w:t>
      </w:r>
      <w:r>
        <w:rPr>
          <w:spacing w:val="-4"/>
          <w:sz w:val="24"/>
        </w:rPr>
        <w:t>及时办理基金管理业务的移交手续，新基金管理人或者临时基金管 </w:t>
      </w:r>
      <w:r>
        <w:rPr>
          <w:spacing w:val="-11"/>
          <w:sz w:val="24"/>
        </w:rPr>
        <w:t>理人应当及时接收。新任基金管理人应与基金托管人核对基金资产 总值和净值。</w:t>
      </w:r>
    </w:p>
    <w:p>
      <w:pPr>
        <w:pStyle w:val="ListParagraph"/>
        <w:numPr>
          <w:ilvl w:val="1"/>
          <w:numId w:val="32"/>
        </w:numPr>
        <w:tabs>
          <w:tab w:pos="1597" w:val="left" w:leader="none"/>
        </w:tabs>
        <w:spacing w:line="240" w:lineRule="auto" w:before="3" w:after="0"/>
        <w:ind w:left="1596" w:right="0" w:hanging="369"/>
        <w:jc w:val="left"/>
        <w:rPr>
          <w:sz w:val="24"/>
        </w:rPr>
      </w:pPr>
      <w:r>
        <w:rPr>
          <w:spacing w:val="2"/>
          <w:sz w:val="24"/>
        </w:rPr>
        <w:t>审计并公告：基金管理人职责终止的，应当按照规定聘请会计师</w:t>
      </w:r>
    </w:p>
    <w:p>
      <w:pPr>
        <w:spacing w:after="0" w:line="240" w:lineRule="auto"/>
        <w:jc w:val="left"/>
        <w:rPr>
          <w:sz w:val="24"/>
        </w:rPr>
        <w:sectPr>
          <w:pgSz w:w="11910" w:h="16840"/>
          <w:pgMar w:header="0" w:footer="990" w:top="1580" w:bottom="1180" w:left="1680" w:right="1340"/>
        </w:sectPr>
      </w:pPr>
    </w:p>
    <w:p>
      <w:pPr>
        <w:pStyle w:val="BodyText"/>
        <w:spacing w:line="364" w:lineRule="auto" w:before="44"/>
        <w:ind w:left="1556" w:right="457"/>
      </w:pPr>
      <w:r>
        <w:rPr>
          <w:spacing w:val="-7"/>
        </w:rPr>
        <w:t>事务所对基金财产进行审计，并将审计结果予以公告，同时报中国</w:t>
      </w:r>
      <w:r>
        <w:rPr/>
        <w:t>证监会备案。</w:t>
      </w:r>
    </w:p>
    <w:p>
      <w:pPr>
        <w:pStyle w:val="ListParagraph"/>
        <w:numPr>
          <w:ilvl w:val="1"/>
          <w:numId w:val="32"/>
        </w:numPr>
        <w:tabs>
          <w:tab w:pos="1597" w:val="left" w:leader="none"/>
        </w:tabs>
        <w:spacing w:line="364" w:lineRule="auto" w:before="1" w:after="0"/>
        <w:ind w:left="1556" w:right="458" w:hanging="329"/>
        <w:jc w:val="left"/>
        <w:rPr>
          <w:sz w:val="24"/>
        </w:rPr>
      </w:pPr>
      <w:r>
        <w:rPr>
          <w:spacing w:val="2"/>
          <w:sz w:val="24"/>
        </w:rPr>
        <w:t>基金名称变更：基金管理人更换后，本基金应替换或删除基金名</w:t>
      </w:r>
      <w:r>
        <w:rPr>
          <w:sz w:val="24"/>
        </w:rPr>
        <w:t>称中与原基金管理人有关的名称或商号字样。</w:t>
      </w:r>
    </w:p>
    <w:p>
      <w:pPr>
        <w:pStyle w:val="ListParagraph"/>
        <w:numPr>
          <w:ilvl w:val="0"/>
          <w:numId w:val="32"/>
        </w:numPr>
        <w:tabs>
          <w:tab w:pos="1201" w:val="left" w:leader="none"/>
        </w:tabs>
        <w:spacing w:line="240" w:lineRule="auto" w:before="1" w:after="0"/>
        <w:ind w:left="1201" w:right="0" w:hanging="601"/>
        <w:jc w:val="left"/>
        <w:rPr>
          <w:sz w:val="24"/>
        </w:rPr>
      </w:pPr>
      <w:r>
        <w:rPr>
          <w:sz w:val="24"/>
        </w:rPr>
        <w:t>基金托管人的更换程序</w:t>
      </w:r>
    </w:p>
    <w:p>
      <w:pPr>
        <w:pStyle w:val="ListParagraph"/>
        <w:numPr>
          <w:ilvl w:val="0"/>
          <w:numId w:val="33"/>
        </w:numPr>
        <w:tabs>
          <w:tab w:pos="1589" w:val="left" w:leader="none"/>
        </w:tabs>
        <w:spacing w:line="364" w:lineRule="auto" w:before="161" w:after="0"/>
        <w:ind w:left="1556" w:right="457" w:hanging="329"/>
        <w:jc w:val="left"/>
        <w:rPr>
          <w:sz w:val="24"/>
        </w:rPr>
      </w:pPr>
      <w:r>
        <w:rPr>
          <w:spacing w:val="-11"/>
          <w:sz w:val="24"/>
        </w:rPr>
        <w:t>提名：新任基金托管人由基金管理人或代表 </w:t>
      </w:r>
      <w:r>
        <w:rPr>
          <w:sz w:val="24"/>
        </w:rPr>
        <w:t>10%</w:t>
      </w:r>
      <w:r>
        <w:rPr>
          <w:spacing w:val="-2"/>
          <w:sz w:val="24"/>
        </w:rPr>
        <w:t>以上基金份额的基</w:t>
      </w:r>
      <w:r>
        <w:rPr>
          <w:sz w:val="24"/>
        </w:rPr>
        <w:t>金份额持有人提名。</w:t>
      </w:r>
    </w:p>
    <w:p>
      <w:pPr>
        <w:pStyle w:val="ListParagraph"/>
        <w:numPr>
          <w:ilvl w:val="0"/>
          <w:numId w:val="33"/>
        </w:numPr>
        <w:tabs>
          <w:tab w:pos="1597" w:val="left" w:leader="none"/>
        </w:tabs>
        <w:spacing w:line="364" w:lineRule="auto" w:before="1" w:after="0"/>
        <w:ind w:left="1556" w:right="458" w:hanging="329"/>
        <w:jc w:val="left"/>
        <w:rPr>
          <w:sz w:val="24"/>
        </w:rPr>
      </w:pPr>
      <w:r>
        <w:rPr>
          <w:spacing w:val="2"/>
          <w:sz w:val="24"/>
        </w:rPr>
        <w:t>决议：基金托管人职责终止的，应当依照本基金合同的规定在六</w:t>
      </w:r>
      <w:r>
        <w:rPr>
          <w:sz w:val="24"/>
        </w:rPr>
        <w:t>个月内召开基金份额持有人大会，对更换基金托管人形成决议。</w:t>
      </w:r>
    </w:p>
    <w:p>
      <w:pPr>
        <w:pStyle w:val="ListParagraph"/>
        <w:numPr>
          <w:ilvl w:val="0"/>
          <w:numId w:val="33"/>
        </w:numPr>
        <w:tabs>
          <w:tab w:pos="1597" w:val="left" w:leader="none"/>
        </w:tabs>
        <w:spacing w:line="364" w:lineRule="auto" w:before="1" w:after="0"/>
        <w:ind w:left="1556" w:right="458" w:hanging="329"/>
        <w:jc w:val="left"/>
        <w:rPr>
          <w:sz w:val="24"/>
        </w:rPr>
      </w:pPr>
      <w:r>
        <w:rPr>
          <w:spacing w:val="2"/>
          <w:sz w:val="24"/>
        </w:rPr>
        <w:t>临时基金托管人：新任基金托管人产生之前，由中国证监会指定</w:t>
      </w:r>
      <w:r>
        <w:rPr>
          <w:sz w:val="24"/>
        </w:rPr>
        <w:t>临时基金托管人。</w:t>
      </w:r>
    </w:p>
    <w:p>
      <w:pPr>
        <w:pStyle w:val="ListParagraph"/>
        <w:numPr>
          <w:ilvl w:val="0"/>
          <w:numId w:val="33"/>
        </w:numPr>
        <w:tabs>
          <w:tab w:pos="1597" w:val="left" w:leader="none"/>
        </w:tabs>
        <w:spacing w:line="364" w:lineRule="auto" w:before="1" w:after="0"/>
        <w:ind w:left="1556" w:right="457" w:hanging="329"/>
        <w:jc w:val="both"/>
        <w:rPr>
          <w:sz w:val="24"/>
        </w:rPr>
      </w:pPr>
      <w:r>
        <w:rPr>
          <w:spacing w:val="2"/>
          <w:sz w:val="24"/>
        </w:rPr>
        <w:t>备案并公告：上述更换基金托管人的基金份额持有人大会决议自</w:t>
      </w:r>
      <w:r>
        <w:rPr>
          <w:spacing w:val="-10"/>
          <w:sz w:val="24"/>
        </w:rPr>
        <w:t>通过之日起 </w:t>
      </w:r>
      <w:r>
        <w:rPr>
          <w:sz w:val="24"/>
        </w:rPr>
        <w:t>5</w:t>
      </w:r>
      <w:r>
        <w:rPr>
          <w:spacing w:val="-14"/>
          <w:sz w:val="24"/>
        </w:rPr>
        <w:t> 日内，由大会召集人报中国证监会备案。基金管理人</w:t>
      </w:r>
      <w:r>
        <w:rPr>
          <w:spacing w:val="-6"/>
          <w:sz w:val="24"/>
        </w:rPr>
        <w:t>在基金托管人更换后 </w:t>
      </w:r>
      <w:r>
        <w:rPr>
          <w:sz w:val="24"/>
        </w:rPr>
        <w:t>2</w:t>
      </w:r>
      <w:r>
        <w:rPr>
          <w:spacing w:val="-8"/>
          <w:sz w:val="24"/>
        </w:rPr>
        <w:t> 日内在指定媒介上公告。</w:t>
      </w:r>
    </w:p>
    <w:p>
      <w:pPr>
        <w:pStyle w:val="ListParagraph"/>
        <w:numPr>
          <w:ilvl w:val="0"/>
          <w:numId w:val="33"/>
        </w:numPr>
        <w:tabs>
          <w:tab w:pos="1597" w:val="left" w:leader="none"/>
        </w:tabs>
        <w:spacing w:line="364" w:lineRule="auto" w:before="2" w:after="0"/>
        <w:ind w:left="1556" w:right="457" w:hanging="329"/>
        <w:jc w:val="both"/>
        <w:rPr>
          <w:sz w:val="24"/>
        </w:rPr>
      </w:pPr>
      <w:r>
        <w:rPr>
          <w:spacing w:val="2"/>
          <w:sz w:val="24"/>
        </w:rPr>
        <w:t>交接：基金托管人职责终止的，应当妥善保管基金财产和基金托</w:t>
      </w:r>
      <w:r>
        <w:rPr>
          <w:spacing w:val="-10"/>
          <w:sz w:val="24"/>
        </w:rPr>
        <w:t>管业务资料，及时办理基金财产和基金托管业务的移交手续，新基</w:t>
      </w:r>
      <w:r>
        <w:rPr>
          <w:spacing w:val="-6"/>
          <w:sz w:val="24"/>
        </w:rPr>
        <w:t>金托管人或者临时基金托管人应当及时接收。新任基金托管人与基</w:t>
      </w:r>
      <w:r>
        <w:rPr>
          <w:sz w:val="24"/>
        </w:rPr>
        <w:t>金管理人核对基金资产总值和净值。</w:t>
      </w:r>
    </w:p>
    <w:p>
      <w:pPr>
        <w:pStyle w:val="ListParagraph"/>
        <w:numPr>
          <w:ilvl w:val="0"/>
          <w:numId w:val="33"/>
        </w:numPr>
        <w:tabs>
          <w:tab w:pos="1597" w:val="left" w:leader="none"/>
        </w:tabs>
        <w:spacing w:line="364" w:lineRule="auto" w:before="3" w:after="0"/>
        <w:ind w:left="1556" w:right="457" w:hanging="329"/>
        <w:jc w:val="both"/>
        <w:rPr>
          <w:sz w:val="24"/>
        </w:rPr>
      </w:pPr>
      <w:r>
        <w:rPr>
          <w:spacing w:val="2"/>
          <w:sz w:val="24"/>
        </w:rPr>
        <w:t>审计并公告：基金托管人职责终止的，应当按照规定聘请会计师</w:t>
      </w:r>
      <w:r>
        <w:rPr>
          <w:spacing w:val="-7"/>
          <w:sz w:val="24"/>
        </w:rPr>
        <w:t>事务所对基金财产进行审计，并将审计结果予以公告，同时报中国</w:t>
      </w:r>
      <w:r>
        <w:rPr>
          <w:sz w:val="24"/>
        </w:rPr>
        <w:t>证监会备案。</w:t>
      </w:r>
    </w:p>
    <w:p>
      <w:pPr>
        <w:pStyle w:val="ListParagraph"/>
        <w:numPr>
          <w:ilvl w:val="0"/>
          <w:numId w:val="32"/>
        </w:numPr>
        <w:tabs>
          <w:tab w:pos="1201" w:val="left" w:leader="none"/>
        </w:tabs>
        <w:spacing w:line="240" w:lineRule="auto" w:before="1" w:after="0"/>
        <w:ind w:left="1201" w:right="0" w:hanging="601"/>
        <w:jc w:val="left"/>
        <w:rPr>
          <w:sz w:val="24"/>
        </w:rPr>
      </w:pPr>
      <w:r>
        <w:rPr>
          <w:sz w:val="24"/>
        </w:rPr>
        <w:t>基金管理人与基金托管人同时更换</w:t>
      </w:r>
    </w:p>
    <w:p>
      <w:pPr>
        <w:pStyle w:val="ListParagraph"/>
        <w:numPr>
          <w:ilvl w:val="0"/>
          <w:numId w:val="34"/>
        </w:numPr>
        <w:tabs>
          <w:tab w:pos="1589" w:val="left" w:leader="none"/>
        </w:tabs>
        <w:spacing w:line="364" w:lineRule="auto" w:before="161" w:after="0"/>
        <w:ind w:left="1556" w:right="457" w:hanging="329"/>
        <w:jc w:val="left"/>
        <w:rPr>
          <w:sz w:val="24"/>
        </w:rPr>
      </w:pPr>
      <w:r>
        <w:rPr>
          <w:spacing w:val="-11"/>
          <w:sz w:val="24"/>
        </w:rPr>
        <w:t>提名：如果基金管理人和基金托管人同时更换，由 </w:t>
      </w:r>
      <w:r>
        <w:rPr>
          <w:sz w:val="24"/>
        </w:rPr>
        <w:t>10%</w:t>
      </w:r>
      <w:r>
        <w:rPr>
          <w:spacing w:val="-4"/>
          <w:sz w:val="24"/>
        </w:rPr>
        <w:t>以上基金总</w:t>
      </w:r>
      <w:r>
        <w:rPr>
          <w:sz w:val="24"/>
        </w:rPr>
        <w:t>份额的基金份额持有人提名新的基金管理人和基金托管人。</w:t>
      </w:r>
    </w:p>
    <w:p>
      <w:pPr>
        <w:pStyle w:val="ListParagraph"/>
        <w:numPr>
          <w:ilvl w:val="0"/>
          <w:numId w:val="34"/>
        </w:numPr>
        <w:tabs>
          <w:tab w:pos="1597" w:val="left" w:leader="none"/>
        </w:tabs>
        <w:spacing w:line="364" w:lineRule="auto" w:before="1" w:after="0"/>
        <w:ind w:left="1556" w:right="458" w:hanging="329"/>
        <w:jc w:val="left"/>
        <w:rPr>
          <w:sz w:val="24"/>
        </w:rPr>
      </w:pPr>
      <w:r>
        <w:rPr>
          <w:spacing w:val="2"/>
          <w:sz w:val="24"/>
        </w:rPr>
        <w:t>决议：基金份额持有人大会应在六个月内对同时更换基金管理人</w:t>
      </w:r>
      <w:r>
        <w:rPr>
          <w:sz w:val="24"/>
        </w:rPr>
        <w:t>和基金托管人形成决议。</w:t>
      </w:r>
    </w:p>
    <w:p>
      <w:pPr>
        <w:pStyle w:val="ListParagraph"/>
        <w:numPr>
          <w:ilvl w:val="0"/>
          <w:numId w:val="34"/>
        </w:numPr>
        <w:tabs>
          <w:tab w:pos="1597" w:val="left" w:leader="none"/>
        </w:tabs>
        <w:spacing w:line="364" w:lineRule="auto" w:before="1" w:after="0"/>
        <w:ind w:left="1556" w:right="457" w:hanging="329"/>
        <w:jc w:val="both"/>
        <w:rPr>
          <w:sz w:val="24"/>
        </w:rPr>
      </w:pPr>
      <w:r>
        <w:rPr>
          <w:spacing w:val="2"/>
          <w:sz w:val="24"/>
        </w:rPr>
        <w:t>临时基金管理人和临时基金托管人：新任基金管理人和新任基金</w:t>
      </w:r>
      <w:r>
        <w:rPr>
          <w:spacing w:val="-11"/>
          <w:sz w:val="24"/>
        </w:rPr>
        <w:t>托管人产生之前，由中国证监会指定临时基金管理人和临时基金托</w:t>
      </w:r>
      <w:r>
        <w:rPr>
          <w:sz w:val="24"/>
        </w:rPr>
        <w:t>管人。</w:t>
      </w:r>
    </w:p>
    <w:p>
      <w:pPr>
        <w:spacing w:after="0" w:line="364" w:lineRule="auto"/>
        <w:jc w:val="both"/>
        <w:rPr>
          <w:sz w:val="24"/>
        </w:rPr>
        <w:sectPr>
          <w:pgSz w:w="11910" w:h="16840"/>
          <w:pgMar w:header="0" w:footer="990" w:top="1460" w:bottom="1180" w:left="1680" w:right="1340"/>
        </w:sectPr>
      </w:pPr>
    </w:p>
    <w:p>
      <w:pPr>
        <w:pStyle w:val="ListParagraph"/>
        <w:numPr>
          <w:ilvl w:val="0"/>
          <w:numId w:val="34"/>
        </w:numPr>
        <w:tabs>
          <w:tab w:pos="1600" w:val="left" w:leader="none"/>
        </w:tabs>
        <w:spacing w:line="364" w:lineRule="auto" w:before="44" w:after="0"/>
        <w:ind w:left="1556" w:right="218" w:hanging="329"/>
        <w:jc w:val="left"/>
        <w:rPr>
          <w:sz w:val="24"/>
        </w:rPr>
      </w:pPr>
      <w:r>
        <w:rPr>
          <w:spacing w:val="-1"/>
          <w:sz w:val="24"/>
        </w:rPr>
        <w:t>备案并公告：上述基金份额持有人大会决议自通过之日起 </w:t>
      </w:r>
      <w:r>
        <w:rPr>
          <w:sz w:val="24"/>
        </w:rPr>
        <w:t>5</w:t>
      </w:r>
      <w:r>
        <w:rPr>
          <w:spacing w:val="-12"/>
          <w:sz w:val="24"/>
        </w:rPr>
        <w:t> 日内， </w:t>
      </w:r>
      <w:r>
        <w:rPr>
          <w:spacing w:val="-16"/>
          <w:sz w:val="24"/>
        </w:rPr>
        <w:t>由大会召集人报中国证监会备案。新任基金管理人和新任基金托管 </w:t>
      </w:r>
      <w:r>
        <w:rPr>
          <w:spacing w:val="-24"/>
          <w:sz w:val="24"/>
        </w:rPr>
        <w:t>人在更换后 </w:t>
      </w:r>
      <w:r>
        <w:rPr>
          <w:sz w:val="24"/>
        </w:rPr>
        <w:t>2</w:t>
      </w:r>
      <w:r>
        <w:rPr>
          <w:spacing w:val="-8"/>
          <w:sz w:val="24"/>
        </w:rPr>
        <w:t> 日内在指定媒介上联合公告。</w:t>
      </w:r>
    </w:p>
    <w:p>
      <w:pPr>
        <w:pStyle w:val="ListParagraph"/>
        <w:numPr>
          <w:ilvl w:val="0"/>
          <w:numId w:val="34"/>
        </w:numPr>
        <w:tabs>
          <w:tab w:pos="1596" w:val="left" w:leader="none"/>
        </w:tabs>
        <w:spacing w:line="364" w:lineRule="auto" w:before="2" w:after="0"/>
        <w:ind w:left="1556" w:right="218" w:hanging="329"/>
        <w:jc w:val="left"/>
        <w:rPr>
          <w:sz w:val="24"/>
        </w:rPr>
      </w:pPr>
      <w:r>
        <w:rPr>
          <w:spacing w:val="2"/>
          <w:sz w:val="24"/>
        </w:rPr>
        <w:t>交接：基金管理人职责终止的，应当妥善保管基金管理业务资料， </w:t>
      </w:r>
      <w:r>
        <w:rPr>
          <w:spacing w:val="-4"/>
          <w:sz w:val="24"/>
        </w:rPr>
        <w:t>及时办理基金管理业务的移交手续，新基金管理人或者临时基金管 </w:t>
      </w:r>
      <w:r>
        <w:rPr>
          <w:spacing w:val="-11"/>
          <w:sz w:val="24"/>
        </w:rPr>
        <w:t>理人应当及时接收。基金托管人职责终止的，应当妥善保管基金财 </w:t>
      </w:r>
      <w:r>
        <w:rPr>
          <w:spacing w:val="-15"/>
          <w:sz w:val="24"/>
        </w:rPr>
        <w:t>产和基金托管业务资料，及时办理基金财产和基金托管业务的移交 </w:t>
      </w:r>
      <w:r>
        <w:rPr>
          <w:spacing w:val="-11"/>
          <w:sz w:val="24"/>
        </w:rPr>
        <w:t>手续，新基金托管人或者临时基金托管人应当及时接收。新任基金 管理人与新任基金托管人核对基金资产总值和净值。</w:t>
      </w:r>
    </w:p>
    <w:p>
      <w:pPr>
        <w:pStyle w:val="ListParagraph"/>
        <w:numPr>
          <w:ilvl w:val="0"/>
          <w:numId w:val="34"/>
        </w:numPr>
        <w:tabs>
          <w:tab w:pos="1597" w:val="left" w:leader="none"/>
        </w:tabs>
        <w:spacing w:line="364" w:lineRule="auto" w:before="3" w:after="0"/>
        <w:ind w:left="1556" w:right="247" w:hanging="329"/>
        <w:jc w:val="left"/>
        <w:rPr>
          <w:sz w:val="24"/>
        </w:rPr>
      </w:pPr>
      <w:r>
        <w:rPr>
          <w:spacing w:val="2"/>
          <w:sz w:val="24"/>
        </w:rPr>
        <w:t>审计并公告：基金管理人和基金托管人职责终止的，应当按照规</w:t>
      </w:r>
      <w:r>
        <w:rPr>
          <w:spacing w:val="-6"/>
          <w:sz w:val="24"/>
        </w:rPr>
        <w:t>定聘请会计师事务所对基金财产进行审计，并将审计结果予以公告， </w:t>
      </w:r>
      <w:r>
        <w:rPr>
          <w:sz w:val="24"/>
        </w:rPr>
        <w:t>同时报中国证监会备案。</w:t>
      </w:r>
    </w:p>
    <w:p>
      <w:pPr>
        <w:pStyle w:val="ListParagraph"/>
        <w:numPr>
          <w:ilvl w:val="0"/>
          <w:numId w:val="34"/>
        </w:numPr>
        <w:tabs>
          <w:tab w:pos="1597" w:val="left" w:leader="none"/>
        </w:tabs>
        <w:spacing w:line="364" w:lineRule="auto" w:before="2" w:after="0"/>
        <w:ind w:left="1556" w:right="458" w:hanging="329"/>
        <w:jc w:val="left"/>
        <w:rPr>
          <w:sz w:val="24"/>
        </w:rPr>
      </w:pPr>
      <w:r>
        <w:rPr>
          <w:spacing w:val="2"/>
          <w:sz w:val="24"/>
        </w:rPr>
        <w:t>基金名称变更：基金管理人更换后，本基金应替换或删除基金名</w:t>
      </w:r>
      <w:r>
        <w:rPr>
          <w:sz w:val="24"/>
        </w:rPr>
        <w:t>称中与原基金管理人有关的名称或商号字样。</w:t>
      </w:r>
    </w:p>
    <w:p>
      <w:pPr>
        <w:spacing w:after="0" w:line="364" w:lineRule="auto"/>
        <w:jc w:val="left"/>
        <w:rPr>
          <w:sz w:val="24"/>
        </w:rPr>
        <w:sectPr>
          <w:pgSz w:w="11910" w:h="16840"/>
          <w:pgMar w:header="0" w:footer="990" w:top="1460" w:bottom="1180" w:left="1680" w:right="1340"/>
        </w:sectPr>
      </w:pPr>
    </w:p>
    <w:p>
      <w:pPr>
        <w:pStyle w:val="Heading1"/>
        <w:tabs>
          <w:tab w:pos="1379" w:val="left" w:leader="none"/>
        </w:tabs>
        <w:spacing w:before="1"/>
        <w:ind w:left="403"/>
      </w:pPr>
      <w:bookmarkStart w:name="_bookmark11" w:id="12"/>
      <w:bookmarkEnd w:id="12"/>
      <w:r>
        <w:rPr>
          <w:b w:val="0"/>
        </w:rPr>
      </w:r>
      <w:r>
        <w:rPr>
          <w:position w:val="-2"/>
        </w:rPr>
        <w:t>十二、</w:t>
        <w:tab/>
      </w:r>
      <w:r>
        <w:rPr/>
        <w:t>基金托管</w:t>
      </w:r>
    </w:p>
    <w:p>
      <w:pPr>
        <w:pStyle w:val="BodyText"/>
        <w:spacing w:line="364" w:lineRule="auto" w:before="231"/>
        <w:ind w:right="458" w:firstLine="480"/>
        <w:jc w:val="both"/>
      </w:pPr>
      <w:r>
        <w:rPr>
          <w:spacing w:val="-6"/>
        </w:rPr>
        <w:t>本基金财产由基金托管人依法保管。基金管理人应与基金托管人按照《基金</w:t>
      </w:r>
      <w:r>
        <w:rPr>
          <w:spacing w:val="-11"/>
        </w:rPr>
        <w:t>法》、本基金合同及其他有关规定订立《易方达科讯混合型证券投资基金托管协议》，以明确基金管理人与基金托管人之间在基金财产的保管、基金财产的管理</w:t>
      </w:r>
      <w:r>
        <w:rPr>
          <w:spacing w:val="-6"/>
        </w:rPr>
        <w:t>和运作及相互监督等相关事宜中的权利、义务及职责，确保基金财产的安全，保</w:t>
      </w:r>
      <w:r>
        <w:rPr/>
        <w:t>护基金份额持有人的合法权益。</w:t>
      </w:r>
    </w:p>
    <w:p>
      <w:pPr>
        <w:spacing w:after="0" w:line="364" w:lineRule="auto"/>
        <w:jc w:val="both"/>
        <w:sectPr>
          <w:pgSz w:w="11910" w:h="16840"/>
          <w:pgMar w:header="0" w:footer="990" w:top="1580" w:bottom="1180" w:left="1680" w:right="1340"/>
        </w:sectPr>
      </w:pPr>
    </w:p>
    <w:p>
      <w:pPr>
        <w:pStyle w:val="Heading1"/>
        <w:tabs>
          <w:tab w:pos="1379" w:val="left" w:leader="none"/>
        </w:tabs>
        <w:spacing w:before="1"/>
        <w:ind w:left="403"/>
      </w:pPr>
      <w:bookmarkStart w:name="_bookmark12" w:id="13"/>
      <w:bookmarkEnd w:id="13"/>
      <w:r>
        <w:rPr>
          <w:b w:val="0"/>
        </w:rPr>
      </w:r>
      <w:r>
        <w:rPr>
          <w:position w:val="-2"/>
        </w:rPr>
        <w:t>十三、</w:t>
        <w:tab/>
      </w:r>
      <w:r>
        <w:rPr/>
        <w:t>基金的销售</w:t>
      </w:r>
    </w:p>
    <w:p>
      <w:pPr>
        <w:pStyle w:val="BodyText"/>
        <w:spacing w:line="364" w:lineRule="auto" w:before="231"/>
        <w:ind w:right="458"/>
      </w:pPr>
      <w:r>
        <w:rPr/>
        <w:t>（一</w:t>
      </w:r>
      <w:r>
        <w:rPr>
          <w:spacing w:val="-32"/>
        </w:rPr>
        <w:t>）</w:t>
      </w:r>
      <w:r>
        <w:rPr>
          <w:spacing w:val="-4"/>
        </w:rPr>
        <w:t>本基金的销售业务指接受投资人申请为其办理的本基金的申购、赎回、转</w:t>
      </w:r>
      <w:r>
        <w:rPr/>
        <w:t>换、非交易过户、转托管、定期定额投资和客户服务等业务。</w:t>
      </w:r>
    </w:p>
    <w:p>
      <w:pPr>
        <w:pStyle w:val="BodyText"/>
        <w:spacing w:line="364" w:lineRule="auto" w:before="158"/>
        <w:ind w:right="458"/>
        <w:jc w:val="both"/>
      </w:pPr>
      <w:r>
        <w:rPr/>
        <w:t>（二</w:t>
      </w:r>
      <w:r>
        <w:rPr>
          <w:spacing w:val="-95"/>
        </w:rPr>
        <w:t>）</w:t>
      </w:r>
      <w:r>
        <w:rPr>
          <w:spacing w:val="-1"/>
        </w:rPr>
        <w:t>本基金的销售业务由基金管理人及基金管理人委托的其他符合条件的机构</w:t>
      </w:r>
      <w:r>
        <w:rPr>
          <w:spacing w:val="-10"/>
        </w:rPr>
        <w:t>办理。基金管理人委托其他机构办理本基金申购、赎回业务的，应与代理机构签</w:t>
      </w:r>
      <w:r>
        <w:rPr>
          <w:spacing w:val="-9"/>
        </w:rPr>
        <w:t>订委托代理协议，以明确基金管理人和代销机构之间在基金份额申购、赎回等事</w:t>
      </w:r>
      <w:r>
        <w:rPr>
          <w:spacing w:val="-10"/>
        </w:rPr>
        <w:t>宜中的权利和义务，确保基金财产的安全，保护基金投资人和基金份额持有人的</w:t>
      </w:r>
      <w:r>
        <w:rPr/>
        <w:t>合法权益。</w:t>
      </w:r>
    </w:p>
    <w:p>
      <w:pPr>
        <w:spacing w:after="0" w:line="364" w:lineRule="auto"/>
        <w:jc w:val="both"/>
        <w:sectPr>
          <w:pgSz w:w="11910" w:h="16840"/>
          <w:pgMar w:header="0" w:footer="990" w:top="1580" w:bottom="1180" w:left="1680" w:right="1340"/>
        </w:sectPr>
      </w:pPr>
    </w:p>
    <w:p>
      <w:pPr>
        <w:pStyle w:val="Heading1"/>
        <w:tabs>
          <w:tab w:pos="1379" w:val="left" w:leader="none"/>
        </w:tabs>
        <w:spacing w:line="213" w:lineRule="auto"/>
        <w:ind w:left="403"/>
      </w:pPr>
      <w:bookmarkStart w:name="_bookmark13" w:id="14"/>
      <w:bookmarkEnd w:id="14"/>
      <w:r>
        <w:rPr>
          <w:b w:val="0"/>
        </w:rPr>
      </w:r>
      <w:r>
        <w:rPr>
          <w:position w:val="-2"/>
        </w:rPr>
        <w:t>十四、</w:t>
        <w:tab/>
      </w:r>
      <w:r>
        <w:rPr/>
        <w:t>基金份额的注册登记</w:t>
      </w:r>
    </w:p>
    <w:p>
      <w:pPr>
        <w:pStyle w:val="BodyText"/>
        <w:spacing w:line="468" w:lineRule="exact" w:before="111"/>
        <w:ind w:right="458"/>
        <w:jc w:val="both"/>
      </w:pPr>
      <w:r>
        <w:rPr>
          <w:rFonts w:ascii="Microsoft JhengHei" w:eastAsia="Microsoft JhengHei" w:hint="eastAsia"/>
          <w:b/>
        </w:rPr>
        <w:t>（一</w:t>
      </w:r>
      <w:r>
        <w:rPr>
          <w:rFonts w:ascii="Microsoft JhengHei" w:eastAsia="Microsoft JhengHei" w:hint="eastAsia"/>
          <w:b/>
          <w:spacing w:val="-24"/>
        </w:rPr>
        <w:t>）</w:t>
      </w:r>
      <w:r>
        <w:rPr>
          <w:spacing w:val="-5"/>
        </w:rPr>
        <w:t>本基金基金份额的注册登记业务指本基金登记、存管、过户、清算和交收</w:t>
      </w:r>
      <w:r>
        <w:rPr>
          <w:spacing w:val="-9"/>
        </w:rPr>
        <w:t>业务，具体内容包括投资人基金账户管理、基金份额注册登记、清算和结算、基</w:t>
      </w:r>
      <w:r>
        <w:rPr/>
        <w:t>金销售业务确认、代理发放红利、建立并保管基金份额持有人名册等。</w:t>
      </w:r>
    </w:p>
    <w:p>
      <w:pPr>
        <w:pStyle w:val="BodyText"/>
        <w:spacing w:line="468" w:lineRule="exact" w:before="156"/>
        <w:ind w:right="458"/>
        <w:jc w:val="both"/>
      </w:pPr>
      <w:r>
        <w:rPr>
          <w:rFonts w:ascii="Microsoft JhengHei" w:eastAsia="Microsoft JhengHei" w:hint="eastAsia"/>
          <w:b/>
        </w:rPr>
        <w:t>（二</w:t>
      </w:r>
      <w:r>
        <w:rPr>
          <w:rFonts w:ascii="Microsoft JhengHei" w:eastAsia="Microsoft JhengHei" w:hint="eastAsia"/>
          <w:b/>
          <w:spacing w:val="-96"/>
        </w:rPr>
        <w:t>）</w:t>
      </w:r>
      <w:r>
        <w:rPr>
          <w:spacing w:val="-1"/>
        </w:rPr>
        <w:t>本基金的注册登记业务由基金管理人或基金管理人委托的其他符合条件的</w:t>
      </w:r>
      <w:r>
        <w:rPr>
          <w:spacing w:val="-10"/>
        </w:rPr>
        <w:t>机构办理。基金管理人委托其他机构办理本基金注册登记业务的，应与代理机构</w:t>
      </w:r>
      <w:r>
        <w:rPr>
          <w:spacing w:val="-9"/>
        </w:rPr>
        <w:t>签订委托代理协议，以明确基金管理人和代理机构在投资人基金账户管理、基金份额注册登记、清算和结算及基金销售业务确认、代理发放红利、建立并保管基</w:t>
      </w:r>
      <w:r>
        <w:rPr>
          <w:spacing w:val="-6"/>
        </w:rPr>
        <w:t>金份额持有人名册等事宜中的权利和义务，保护基金投资人和基金份额持有人的</w:t>
      </w:r>
      <w:r>
        <w:rPr/>
        <w:t>合法权益。</w:t>
      </w:r>
    </w:p>
    <w:p>
      <w:pPr>
        <w:spacing w:before="211"/>
        <w:ind w:left="120" w:right="0" w:firstLine="0"/>
        <w:jc w:val="left"/>
        <w:rPr>
          <w:rFonts w:ascii="Microsoft JhengHei" w:eastAsia="Microsoft JhengHei" w:hint="eastAsia"/>
          <w:b/>
          <w:sz w:val="24"/>
        </w:rPr>
      </w:pPr>
      <w:r>
        <w:rPr>
          <w:rFonts w:ascii="Microsoft JhengHei" w:eastAsia="Microsoft JhengHei" w:hint="eastAsia"/>
          <w:b/>
          <w:sz w:val="24"/>
        </w:rPr>
        <w:t>（三）注册登记人履行如下职责</w:t>
      </w:r>
    </w:p>
    <w:p>
      <w:pPr>
        <w:pStyle w:val="BodyText"/>
        <w:spacing w:before="4"/>
        <w:ind w:left="0"/>
        <w:rPr>
          <w:rFonts w:ascii="Microsoft JhengHei"/>
          <w:b/>
          <w:sz w:val="14"/>
        </w:rPr>
      </w:pPr>
    </w:p>
    <w:p>
      <w:pPr>
        <w:pStyle w:val="ListParagraph"/>
        <w:numPr>
          <w:ilvl w:val="0"/>
          <w:numId w:val="35"/>
        </w:numPr>
        <w:tabs>
          <w:tab w:pos="1201" w:val="left" w:leader="none"/>
        </w:tabs>
        <w:spacing w:line="240" w:lineRule="auto" w:before="0" w:after="0"/>
        <w:ind w:left="1201" w:right="0" w:hanging="601"/>
        <w:jc w:val="left"/>
        <w:rPr>
          <w:sz w:val="24"/>
        </w:rPr>
      </w:pPr>
      <w:r>
        <w:rPr>
          <w:sz w:val="24"/>
        </w:rPr>
        <w:t>保管基金份额持有人开户资料、交易资料、基金份额持有人名册等；</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配备足够的专业人员办理本基金的注册登记业务；</w:t>
      </w:r>
    </w:p>
    <w:p>
      <w:pPr>
        <w:pStyle w:val="ListParagraph"/>
        <w:numPr>
          <w:ilvl w:val="0"/>
          <w:numId w:val="35"/>
        </w:numPr>
        <w:tabs>
          <w:tab w:pos="1203" w:val="left" w:leader="none"/>
        </w:tabs>
        <w:spacing w:line="364" w:lineRule="auto" w:before="160" w:after="0"/>
        <w:ind w:left="120" w:right="458" w:firstLine="480"/>
        <w:jc w:val="left"/>
        <w:rPr>
          <w:sz w:val="24"/>
        </w:rPr>
      </w:pPr>
      <w:r>
        <w:rPr>
          <w:sz w:val="24"/>
        </w:rPr>
        <w:t>严格按照法律法规和本基金合同规定的条件办理本基金的注册登记业务；</w:t>
      </w:r>
    </w:p>
    <w:p>
      <w:pPr>
        <w:pStyle w:val="ListParagraph"/>
        <w:numPr>
          <w:ilvl w:val="0"/>
          <w:numId w:val="35"/>
        </w:numPr>
        <w:tabs>
          <w:tab w:pos="1201" w:val="left" w:leader="none"/>
        </w:tabs>
        <w:spacing w:line="240" w:lineRule="auto" w:before="1" w:after="0"/>
        <w:ind w:left="1201" w:right="0" w:hanging="601"/>
        <w:jc w:val="left"/>
        <w:rPr>
          <w:sz w:val="24"/>
        </w:rPr>
      </w:pPr>
      <w:r>
        <w:rPr>
          <w:sz w:val="24"/>
        </w:rPr>
        <w:t>接受基金管理人、基金托管人的监督；</w:t>
      </w:r>
    </w:p>
    <w:p>
      <w:pPr>
        <w:pStyle w:val="ListParagraph"/>
        <w:numPr>
          <w:ilvl w:val="0"/>
          <w:numId w:val="35"/>
        </w:numPr>
        <w:tabs>
          <w:tab w:pos="1201" w:val="left" w:leader="none"/>
        </w:tabs>
        <w:spacing w:line="240" w:lineRule="auto" w:before="161" w:after="0"/>
        <w:ind w:left="1201" w:right="0" w:hanging="601"/>
        <w:jc w:val="left"/>
        <w:rPr>
          <w:sz w:val="24"/>
        </w:rPr>
      </w:pPr>
      <w:r>
        <w:rPr>
          <w:spacing w:val="-3"/>
          <w:sz w:val="24"/>
        </w:rPr>
        <w:t>保持基金份额持有人名册及相关的申购与赎回等业务记录 </w:t>
      </w:r>
      <w:r>
        <w:rPr>
          <w:sz w:val="24"/>
        </w:rPr>
        <w:t>15</w:t>
      </w:r>
      <w:r>
        <w:rPr>
          <w:spacing w:val="-12"/>
          <w:sz w:val="24"/>
        </w:rPr>
        <w:t> 年以上；</w:t>
      </w:r>
    </w:p>
    <w:p>
      <w:pPr>
        <w:pStyle w:val="ListParagraph"/>
        <w:numPr>
          <w:ilvl w:val="0"/>
          <w:numId w:val="35"/>
        </w:numPr>
        <w:tabs>
          <w:tab w:pos="1203" w:val="left" w:leader="none"/>
        </w:tabs>
        <w:spacing w:line="364" w:lineRule="auto" w:before="160" w:after="0"/>
        <w:ind w:left="120" w:right="338" w:firstLine="480"/>
        <w:jc w:val="left"/>
        <w:rPr>
          <w:sz w:val="24"/>
        </w:rPr>
      </w:pPr>
      <w:r>
        <w:rPr>
          <w:sz w:val="24"/>
        </w:rPr>
        <w:t>对基金份额持有人的基金账户信息负有保密义务，因违反该保密义务</w:t>
      </w:r>
      <w:r>
        <w:rPr>
          <w:spacing w:val="-12"/>
          <w:sz w:val="24"/>
        </w:rPr>
        <w:t>对投资人或基金带来的损失，须承担相应的赔偿责任，但司法强制检查情形除外；</w:t>
      </w:r>
    </w:p>
    <w:p>
      <w:pPr>
        <w:pStyle w:val="ListParagraph"/>
        <w:numPr>
          <w:ilvl w:val="0"/>
          <w:numId w:val="35"/>
        </w:numPr>
        <w:tabs>
          <w:tab w:pos="1203" w:val="left" w:leader="none"/>
        </w:tabs>
        <w:spacing w:line="364" w:lineRule="auto" w:before="2" w:after="0"/>
        <w:ind w:left="120" w:right="458" w:firstLine="480"/>
        <w:jc w:val="left"/>
        <w:rPr>
          <w:sz w:val="24"/>
        </w:rPr>
      </w:pPr>
      <w:r>
        <w:rPr>
          <w:sz w:val="24"/>
        </w:rPr>
        <w:t>按本基金合同及招募说明书、定期更新的招募说明书的规定，为投资人办理非交易过户业务、提供其他必要的服务；</w:t>
      </w:r>
    </w:p>
    <w:p>
      <w:pPr>
        <w:pStyle w:val="ListParagraph"/>
        <w:numPr>
          <w:ilvl w:val="0"/>
          <w:numId w:val="35"/>
        </w:numPr>
        <w:tabs>
          <w:tab w:pos="1201" w:val="left" w:leader="none"/>
        </w:tabs>
        <w:spacing w:line="240" w:lineRule="auto" w:before="1" w:after="0"/>
        <w:ind w:left="1201" w:right="0" w:hanging="601"/>
        <w:jc w:val="left"/>
        <w:rPr>
          <w:sz w:val="24"/>
        </w:rPr>
      </w:pPr>
      <w:r>
        <w:rPr>
          <w:sz w:val="24"/>
        </w:rPr>
        <w:t>法律法规规定的其他职责。</w:t>
      </w:r>
    </w:p>
    <w:p>
      <w:pPr>
        <w:pStyle w:val="BodyText"/>
        <w:spacing w:before="6"/>
        <w:ind w:left="0"/>
        <w:rPr>
          <w:sz w:val="18"/>
        </w:rPr>
      </w:pPr>
    </w:p>
    <w:p>
      <w:pPr>
        <w:spacing w:before="1"/>
        <w:ind w:left="120" w:right="0" w:firstLine="0"/>
        <w:jc w:val="left"/>
        <w:rPr>
          <w:rFonts w:ascii="Microsoft JhengHei" w:eastAsia="Microsoft JhengHei" w:hint="eastAsia"/>
          <w:b/>
          <w:sz w:val="24"/>
        </w:rPr>
      </w:pPr>
      <w:r>
        <w:rPr>
          <w:rFonts w:ascii="Microsoft JhengHei" w:eastAsia="Microsoft JhengHei" w:hint="eastAsia"/>
          <w:b/>
          <w:sz w:val="24"/>
        </w:rPr>
        <w:t>（四）注册登记人履行上述职责后，有权取得注册登记费。</w:t>
      </w:r>
    </w:p>
    <w:p>
      <w:pPr>
        <w:spacing w:after="0"/>
        <w:jc w:val="left"/>
        <w:rPr>
          <w:rFonts w:ascii="Microsoft JhengHei" w:eastAsia="Microsoft JhengHei" w:hint="eastAsia"/>
          <w:sz w:val="24"/>
        </w:rPr>
        <w:sectPr>
          <w:pgSz w:w="11910" w:h="16840"/>
          <w:pgMar w:header="0" w:footer="990" w:top="1460" w:bottom="1180" w:left="1680" w:right="1340"/>
        </w:sectPr>
      </w:pPr>
    </w:p>
    <w:p>
      <w:pPr>
        <w:pStyle w:val="Heading1"/>
        <w:tabs>
          <w:tab w:pos="1379" w:val="left" w:leader="none"/>
        </w:tabs>
        <w:spacing w:line="213" w:lineRule="auto"/>
        <w:ind w:left="403"/>
      </w:pPr>
      <w:bookmarkStart w:name="_bookmark14" w:id="15"/>
      <w:bookmarkEnd w:id="15"/>
      <w:r>
        <w:rPr>
          <w:b w:val="0"/>
        </w:rPr>
      </w:r>
      <w:r>
        <w:rPr>
          <w:position w:val="-2"/>
        </w:rPr>
        <w:t>十五、</w:t>
        <w:tab/>
      </w:r>
      <w:r>
        <w:rPr/>
        <w:t>基金的投资</w:t>
      </w:r>
    </w:p>
    <w:p>
      <w:pPr>
        <w:spacing w:before="166"/>
        <w:ind w:left="120" w:right="0" w:firstLine="0"/>
        <w:jc w:val="left"/>
        <w:rPr>
          <w:rFonts w:ascii="Microsoft JhengHei" w:eastAsia="Microsoft JhengHei" w:hint="eastAsia"/>
          <w:b/>
          <w:sz w:val="24"/>
        </w:rPr>
      </w:pPr>
      <w:r>
        <w:rPr>
          <w:rFonts w:ascii="Microsoft JhengHei" w:eastAsia="Microsoft JhengHei" w:hint="eastAsia"/>
          <w:b/>
          <w:sz w:val="24"/>
        </w:rPr>
        <w:t>（一）投资目标</w:t>
      </w:r>
    </w:p>
    <w:p>
      <w:pPr>
        <w:pStyle w:val="BodyText"/>
        <w:spacing w:before="11"/>
        <w:ind w:left="0"/>
        <w:rPr>
          <w:rFonts w:ascii="Microsoft JhengHei"/>
          <w:b/>
          <w:sz w:val="10"/>
        </w:rPr>
      </w:pPr>
    </w:p>
    <w:p>
      <w:pPr>
        <w:pStyle w:val="BodyText"/>
        <w:spacing w:before="67"/>
        <w:ind w:left="660"/>
      </w:pPr>
      <w:r>
        <w:rPr/>
        <w:t>根据市场环境变化，综合运用多种投资策略，追求基金资产的长期稳健增</w:t>
      </w:r>
    </w:p>
    <w:p>
      <w:pPr>
        <w:pStyle w:val="BodyText"/>
        <w:spacing w:before="160"/>
      </w:pPr>
      <w:r>
        <w:rPr/>
        <w:t>值。</w:t>
      </w:r>
    </w:p>
    <w:p>
      <w:pPr>
        <w:pStyle w:val="BodyText"/>
        <w:spacing w:before="7"/>
        <w:ind w:left="0"/>
        <w:rPr>
          <w:sz w:val="19"/>
        </w:rPr>
      </w:pPr>
    </w:p>
    <w:p>
      <w:pPr>
        <w:spacing w:line="429" w:lineRule="exact" w:before="0"/>
        <w:ind w:left="120" w:right="0" w:firstLine="0"/>
        <w:jc w:val="left"/>
        <w:rPr>
          <w:rFonts w:ascii="Microsoft JhengHei" w:eastAsia="Microsoft JhengHei" w:hint="eastAsia"/>
          <w:b/>
          <w:sz w:val="24"/>
        </w:rPr>
      </w:pPr>
      <w:r>
        <w:rPr>
          <w:rFonts w:ascii="Microsoft JhengHei" w:eastAsia="Microsoft JhengHei" w:hint="eastAsia"/>
          <w:b/>
          <w:sz w:val="24"/>
        </w:rPr>
        <w:t>（二）投资范围</w:t>
      </w:r>
    </w:p>
    <w:p>
      <w:pPr>
        <w:pStyle w:val="BodyText"/>
        <w:spacing w:before="4"/>
        <w:ind w:left="0"/>
        <w:rPr>
          <w:rFonts w:ascii="Microsoft JhengHei"/>
          <w:b/>
          <w:sz w:val="14"/>
        </w:rPr>
      </w:pPr>
    </w:p>
    <w:p>
      <w:pPr>
        <w:pStyle w:val="BodyText"/>
        <w:spacing w:line="364" w:lineRule="auto" w:before="0"/>
        <w:ind w:right="458" w:firstLine="540"/>
        <w:jc w:val="both"/>
      </w:pPr>
      <w:r>
        <w:rPr/>
        <w:t>本基金的投资范围为具有良好流动性的金融工具，包括国内依法发行、上市的股票（含存托凭证</w:t>
      </w:r>
      <w:r>
        <w:rPr>
          <w:spacing w:val="-120"/>
        </w:rPr>
        <w:t>）</w:t>
      </w:r>
      <w:r>
        <w:rPr/>
        <w:t>、债券、权证、资产支持证券、货币市场工具及法律法</w:t>
      </w:r>
      <w:r>
        <w:rPr>
          <w:spacing w:val="-6"/>
        </w:rPr>
        <w:t>规或中国证监会允许基金投资的其他金融工具。如法律法规或监管机构以后允许</w:t>
      </w:r>
      <w:r>
        <w:rPr/>
        <w:t>基金投资其它品种，基金管理人在履行适当程序后，可以将其纳入投资范围。</w:t>
      </w:r>
    </w:p>
    <w:p>
      <w:pPr>
        <w:pStyle w:val="BodyText"/>
        <w:spacing w:line="364" w:lineRule="auto" w:before="3"/>
        <w:ind w:right="218" w:firstLine="540"/>
      </w:pPr>
      <w:r>
        <w:rPr>
          <w:spacing w:val="-1"/>
        </w:rPr>
        <w:t>本基金各类资产的投资比例为：股票资产占基金资产的 </w:t>
      </w:r>
      <w:r>
        <w:rPr>
          <w:rFonts w:ascii="Times New Roman" w:hAnsi="Times New Roman" w:eastAsia="Times New Roman"/>
        </w:rPr>
        <w:t>60%</w:t>
      </w:r>
      <w:r>
        <w:rPr/>
        <w:t>—</w:t>
      </w:r>
      <w:r>
        <w:rPr>
          <w:rFonts w:ascii="Times New Roman" w:hAnsi="Times New Roman" w:eastAsia="Times New Roman"/>
        </w:rPr>
        <w:t>95%</w:t>
      </w:r>
      <w:r>
        <w:rPr/>
        <w:t>；债券、</w:t>
      </w:r>
      <w:r>
        <w:rPr>
          <w:spacing w:val="-11"/>
        </w:rPr>
        <w:t>资产支持证券、权证、货币市场工具以及中国证监会允许基金投资的其他证券品 </w:t>
      </w:r>
      <w:r>
        <w:rPr>
          <w:spacing w:val="-16"/>
        </w:rPr>
        <w:t>种占基金资产的 </w:t>
      </w:r>
      <w:r>
        <w:rPr>
          <w:rFonts w:ascii="Times New Roman" w:hAnsi="Times New Roman" w:eastAsia="Times New Roman"/>
          <w:spacing w:val="-3"/>
        </w:rPr>
        <w:t>5%-40%</w:t>
      </w:r>
      <w:r>
        <w:rPr>
          <w:spacing w:val="-5"/>
        </w:rPr>
        <w:t>，其中，基金持有全部权证的市值不得超过基金资产净值</w:t>
      </w:r>
      <w:r>
        <w:rPr>
          <w:spacing w:val="-27"/>
        </w:rPr>
        <w:t>的 </w:t>
      </w:r>
      <w:r>
        <w:rPr>
          <w:rFonts w:ascii="Times New Roman" w:hAnsi="Times New Roman" w:eastAsia="Times New Roman"/>
        </w:rPr>
        <w:t>3%</w:t>
      </w:r>
      <w:r>
        <w:rPr/>
        <w:t>，基金保留的现金以及投资于到期日在一年以内的政府债券的比例合计不低</w:t>
      </w:r>
      <w:r>
        <w:rPr>
          <w:spacing w:val="-6"/>
        </w:rPr>
        <w:t>于基金资产净值的 </w:t>
      </w:r>
      <w:r>
        <w:rPr>
          <w:rFonts w:ascii="Times New Roman" w:hAnsi="Times New Roman" w:eastAsia="Times New Roman"/>
        </w:rPr>
        <w:t>5%</w:t>
      </w:r>
      <w:r>
        <w:rPr/>
        <w:t>，现金不包括结算备付金、存出保证金、应收申购款等。</w:t>
      </w:r>
    </w:p>
    <w:p>
      <w:pPr>
        <w:spacing w:before="80"/>
        <w:ind w:left="120" w:right="0" w:firstLine="0"/>
        <w:jc w:val="left"/>
        <w:rPr>
          <w:rFonts w:ascii="Microsoft JhengHei" w:eastAsia="Microsoft JhengHei" w:hint="eastAsia"/>
          <w:b/>
          <w:sz w:val="24"/>
        </w:rPr>
      </w:pPr>
      <w:r>
        <w:rPr>
          <w:rFonts w:ascii="Microsoft JhengHei" w:eastAsia="Microsoft JhengHei" w:hint="eastAsia"/>
          <w:b/>
          <w:sz w:val="24"/>
        </w:rPr>
        <w:t>（三）投资理念</w:t>
      </w:r>
    </w:p>
    <w:p>
      <w:pPr>
        <w:pStyle w:val="BodyText"/>
        <w:spacing w:before="4"/>
        <w:ind w:left="0"/>
        <w:rPr>
          <w:rFonts w:ascii="Microsoft JhengHei"/>
          <w:b/>
          <w:sz w:val="14"/>
        </w:rPr>
      </w:pPr>
    </w:p>
    <w:p>
      <w:pPr>
        <w:pStyle w:val="BodyText"/>
        <w:spacing w:line="364" w:lineRule="auto" w:before="0"/>
        <w:ind w:right="458" w:firstLine="540"/>
      </w:pPr>
      <w:r>
        <w:rPr/>
        <w:t>市场环境复杂，综合运用多种投资策略，有助于把握多种投资机会，并有利于分散风险，给投资者更稳健的回报。</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（四）投资策略</w:t>
      </w:r>
    </w:p>
    <w:p>
      <w:pPr>
        <w:tabs>
          <w:tab w:pos="839" w:val="left" w:leader="none"/>
        </w:tabs>
        <w:spacing w:before="183"/>
        <w:ind w:left="120" w:right="0" w:firstLine="0"/>
        <w:jc w:val="left"/>
        <w:rPr>
          <w:rFonts w:ascii="Microsoft JhengHei" w:eastAsia="Microsoft JhengHei" w:hint="eastAsia"/>
          <w:b/>
          <w:sz w:val="24"/>
        </w:rPr>
      </w:pPr>
      <w:r>
        <w:rPr>
          <w:rFonts w:ascii="Times New Roman" w:eastAsia="Times New Roman"/>
          <w:b/>
          <w:sz w:val="24"/>
        </w:rPr>
        <w:t>1</w:t>
      </w:r>
      <w:r>
        <w:rPr>
          <w:rFonts w:ascii="Microsoft JhengHei" w:eastAsia="Microsoft JhengHei" w:hint="eastAsia"/>
          <w:b/>
          <w:sz w:val="24"/>
        </w:rPr>
        <w:t>、</w:t>
        <w:tab/>
        <w:t>资产配置策略</w:t>
      </w:r>
    </w:p>
    <w:p>
      <w:pPr>
        <w:pStyle w:val="BodyText"/>
        <w:spacing w:line="364" w:lineRule="auto" w:before="106"/>
        <w:ind w:right="458" w:firstLine="540"/>
        <w:jc w:val="both"/>
      </w:pPr>
      <w:r>
        <w:rPr/>
        <w:t>本基金为混合基金，基金各类资产的投资比例为：股票资产占基金资产的</w:t>
      </w:r>
      <w:r>
        <w:rPr>
          <w:rFonts w:ascii="Times New Roman" w:hAnsi="Times New Roman" w:eastAsia="Times New Roman"/>
        </w:rPr>
        <w:t>60%</w:t>
      </w:r>
      <w:r>
        <w:rPr/>
        <w:t>—</w:t>
      </w:r>
      <w:r>
        <w:rPr>
          <w:rFonts w:ascii="Times New Roman" w:hAnsi="Times New Roman" w:eastAsia="Times New Roman"/>
        </w:rPr>
        <w:t>95%</w:t>
      </w:r>
      <w:r>
        <w:rPr>
          <w:spacing w:val="-1"/>
        </w:rPr>
        <w:t>；债券、资产支持证券、权证、货币市场工具以及中国证监会允许基</w:t>
      </w:r>
      <w:r>
        <w:rPr>
          <w:spacing w:val="-4"/>
        </w:rPr>
        <w:t>金投资的其他证券品种占基金资产的 </w:t>
      </w:r>
      <w:r>
        <w:rPr>
          <w:rFonts w:ascii="Times New Roman" w:hAnsi="Times New Roman" w:eastAsia="Times New Roman"/>
          <w:spacing w:val="-3"/>
        </w:rPr>
        <w:t>5%-40%</w:t>
      </w:r>
      <w:r>
        <w:rPr>
          <w:spacing w:val="-6"/>
        </w:rPr>
        <w:t>，其中，基金持有全部权证的市值</w:t>
      </w:r>
      <w:r>
        <w:rPr>
          <w:spacing w:val="-5"/>
        </w:rPr>
        <w:t>不得超过基金资产净值的 </w:t>
      </w:r>
      <w:r>
        <w:rPr>
          <w:rFonts w:ascii="Times New Roman" w:hAnsi="Times New Roman" w:eastAsia="Times New Roman"/>
        </w:rPr>
        <w:t>3%</w:t>
      </w:r>
      <w:r>
        <w:rPr>
          <w:spacing w:val="-1"/>
        </w:rPr>
        <w:t>，基金保留的现金以及投资于到期日在一年以内的</w:t>
      </w:r>
      <w:r>
        <w:rPr>
          <w:spacing w:val="-3"/>
        </w:rPr>
        <w:t>政府债券的比例合计不低于基金资产净值的 </w:t>
      </w:r>
      <w:r>
        <w:rPr>
          <w:rFonts w:ascii="Times New Roman" w:hAnsi="Times New Roman" w:eastAsia="Times New Roman"/>
        </w:rPr>
        <w:t>5%</w:t>
      </w:r>
      <w:r>
        <w:rPr/>
        <w:t>。</w:t>
      </w:r>
    </w:p>
    <w:p>
      <w:pPr>
        <w:pStyle w:val="BodyText"/>
        <w:spacing w:line="364" w:lineRule="auto" w:before="3"/>
        <w:ind w:right="458" w:firstLine="540"/>
      </w:pPr>
      <w:r>
        <w:rPr/>
        <w:t>在以上战略性资产配置的基础上，本基金基于定量与定性相结合的宏观及</w:t>
      </w:r>
      <w:r>
        <w:rPr>
          <w:spacing w:val="-10"/>
        </w:rPr>
        <w:t>市场分析，进行战术性资产配置，确定组合中股票、债券、货币市场工具及其他</w:t>
      </w:r>
    </w:p>
    <w:p>
      <w:pPr>
        <w:spacing w:after="0" w:line="364" w:lineRule="auto"/>
        <w:sectPr>
          <w:pgSz w:w="11910" w:h="16840"/>
          <w:pgMar w:header="0" w:footer="990" w:top="1460" w:bottom="1180" w:left="1680" w:right="1340"/>
        </w:sectPr>
      </w:pPr>
    </w:p>
    <w:p>
      <w:pPr>
        <w:pStyle w:val="BodyText"/>
        <w:spacing w:before="44"/>
      </w:pPr>
      <w:r>
        <w:rPr/>
        <w:t>金融工具的比例，追求更高收益，回避市场风险。</w:t>
      </w:r>
    </w:p>
    <w:p>
      <w:pPr>
        <w:pStyle w:val="BodyText"/>
        <w:spacing w:line="364" w:lineRule="auto" w:before="160"/>
        <w:ind w:right="218" w:firstLine="540"/>
      </w:pPr>
      <w:r>
        <w:rPr/>
        <w:t>在资产配置中，本基金主要考虑（</w:t>
      </w:r>
      <w:r>
        <w:rPr>
          <w:rFonts w:ascii="Times New Roman" w:eastAsia="Times New Roman"/>
        </w:rPr>
        <w:t>1</w:t>
      </w:r>
      <w:r>
        <w:rPr/>
        <w:t>）宏观经济因素，包括 </w:t>
      </w:r>
      <w:r>
        <w:rPr>
          <w:rFonts w:ascii="Times New Roman" w:eastAsia="Times New Roman"/>
        </w:rPr>
        <w:t>GDP </w:t>
      </w:r>
      <w:r>
        <w:rPr/>
        <w:t>增长率及其构成、</w:t>
      </w:r>
      <w:r>
        <w:rPr>
          <w:rFonts w:ascii="Times New Roman" w:eastAsia="Times New Roman"/>
        </w:rPr>
        <w:t>CPI</w:t>
      </w:r>
      <w:r>
        <w:rPr/>
        <w:t>、市场利率水平变化、货币政策等，以判断经济周期对市场的影响；</w:t>
      </w:r>
    </w:p>
    <w:p>
      <w:pPr>
        <w:pStyle w:val="ListParagraph"/>
        <w:numPr>
          <w:ilvl w:val="0"/>
          <w:numId w:val="36"/>
        </w:numPr>
        <w:tabs>
          <w:tab w:pos="733" w:val="left" w:leader="none"/>
        </w:tabs>
        <w:spacing w:line="364" w:lineRule="auto" w:before="2" w:after="0"/>
        <w:ind w:left="120" w:right="218" w:firstLine="0"/>
        <w:jc w:val="left"/>
        <w:rPr>
          <w:sz w:val="24"/>
        </w:rPr>
      </w:pPr>
      <w:r>
        <w:rPr>
          <w:spacing w:val="3"/>
          <w:sz w:val="24"/>
        </w:rPr>
        <w:t>微观经济因素，包括各行业主要企业的盈利变化情况及其盈利预期；</w:t>
      </w:r>
      <w:r>
        <w:rPr>
          <w:sz w:val="24"/>
        </w:rPr>
        <w:t>（</w:t>
      </w:r>
      <w:r>
        <w:rPr>
          <w:rFonts w:ascii="Times New Roman" w:eastAsia="Times New Roman"/>
          <w:sz w:val="24"/>
        </w:rPr>
        <w:t>3</w:t>
      </w:r>
      <w:r>
        <w:rPr>
          <w:sz w:val="24"/>
        </w:rPr>
        <w:t>） </w:t>
      </w:r>
      <w:r>
        <w:rPr>
          <w:spacing w:val="-9"/>
          <w:sz w:val="24"/>
        </w:rPr>
        <w:t>市场因素，包括股票及债券市场的涨跌、市场整体估值水平、大类资产的预期收 益率水平及其历史比较、市场资金供求关系及其变化；（</w:t>
      </w:r>
      <w:r>
        <w:rPr>
          <w:rFonts w:ascii="Times New Roman" w:eastAsia="Times New Roman"/>
          <w:spacing w:val="-9"/>
          <w:sz w:val="24"/>
        </w:rPr>
        <w:t>4</w:t>
      </w:r>
      <w:r>
        <w:rPr>
          <w:spacing w:val="-9"/>
          <w:sz w:val="24"/>
        </w:rPr>
        <w:t>）政策因素，与证券 市场密切相关的各种政策出台对市场的影响等。</w:t>
      </w:r>
    </w:p>
    <w:p>
      <w:pPr>
        <w:tabs>
          <w:tab w:pos="839" w:val="left" w:leader="none"/>
        </w:tabs>
        <w:spacing w:line="365" w:lineRule="exact" w:before="0"/>
        <w:ind w:left="120" w:right="0" w:firstLine="0"/>
        <w:jc w:val="left"/>
        <w:rPr>
          <w:rFonts w:ascii="Microsoft JhengHei" w:eastAsia="Microsoft JhengHei" w:hint="eastAsia"/>
          <w:b/>
          <w:sz w:val="24"/>
        </w:rPr>
      </w:pPr>
      <w:r>
        <w:rPr>
          <w:rFonts w:ascii="Times New Roman" w:eastAsia="Times New Roman"/>
          <w:b/>
          <w:sz w:val="24"/>
        </w:rPr>
        <w:t>2</w:t>
      </w:r>
      <w:r>
        <w:rPr>
          <w:rFonts w:ascii="Microsoft JhengHei" w:eastAsia="Microsoft JhengHei" w:hint="eastAsia"/>
          <w:b/>
          <w:sz w:val="24"/>
        </w:rPr>
        <w:t>、</w:t>
        <w:tab/>
        <w:t>股票投资策略</w:t>
      </w:r>
    </w:p>
    <w:p>
      <w:pPr>
        <w:pStyle w:val="BodyText"/>
        <w:spacing w:line="364" w:lineRule="auto" w:before="105"/>
        <w:ind w:right="338" w:firstLine="420"/>
      </w:pPr>
      <w:r>
        <w:rPr>
          <w:spacing w:val="-3"/>
        </w:rPr>
        <w:t>本基金将综合应用多种投资策略，广泛地分析、研究、比较市场中的各种投</w:t>
      </w:r>
      <w:r>
        <w:rPr>
          <w:spacing w:val="-10"/>
        </w:rPr>
        <w:t>资机会，选择收益相对较高、风险可控的投资品种进行投资，以提高本基金相对</w:t>
      </w:r>
      <w:r>
        <w:rPr>
          <w:spacing w:val="-14"/>
        </w:rPr>
        <w:t>比较基准的超额收益。一般情况下，本基金以优势企业策略和成长策略为主，辅以行业周期策略、绝对价值策略、突发事件</w:t>
      </w:r>
      <w:r>
        <w:rPr>
          <w:rFonts w:ascii="Times New Roman" w:eastAsia="Times New Roman"/>
          <w:spacing w:val="-14"/>
        </w:rPr>
        <w:t>/</w:t>
      </w:r>
      <w:r>
        <w:rPr>
          <w:spacing w:val="-14"/>
        </w:rPr>
        <w:t>收购兼并策略以及新兴技术策略。</w:t>
      </w:r>
      <w:r>
        <w:rPr>
          <w:spacing w:val="-20"/>
        </w:rPr>
        <w:t>在特定的市场情况下，后四种策略中一种或多种的资金容量较大、不确定性较小、</w:t>
      </w:r>
      <w:r>
        <w:rPr/>
        <w:t>收益预期较高时，也可成为主策略。</w:t>
      </w:r>
    </w:p>
    <w:p>
      <w:pPr>
        <w:pStyle w:val="ListParagraph"/>
        <w:numPr>
          <w:ilvl w:val="1"/>
          <w:numId w:val="36"/>
        </w:numPr>
        <w:tabs>
          <w:tab w:pos="1260" w:val="left" w:leader="none"/>
        </w:tabs>
        <w:spacing w:line="240" w:lineRule="auto" w:before="4" w:after="0"/>
        <w:ind w:left="1260" w:right="0" w:hanging="720"/>
        <w:jc w:val="left"/>
        <w:rPr>
          <w:sz w:val="24"/>
        </w:rPr>
      </w:pPr>
      <w:r>
        <w:rPr>
          <w:sz w:val="24"/>
        </w:rPr>
        <w:t>优势企业策略</w:t>
      </w:r>
    </w:p>
    <w:p>
      <w:pPr>
        <w:pStyle w:val="BodyText"/>
        <w:spacing w:line="364" w:lineRule="auto" w:before="161"/>
        <w:ind w:left="840" w:right="415" w:firstLine="420"/>
      </w:pPr>
      <w:r>
        <w:rPr/>
        <w:t>在本策略下，本基金选择具有较强核心竞争力的企业进行投资并长期持有。企业的核心竞争力主要体现在：</w:t>
      </w:r>
    </w:p>
    <w:p>
      <w:pPr>
        <w:pStyle w:val="ListParagraph"/>
        <w:numPr>
          <w:ilvl w:val="2"/>
          <w:numId w:val="36"/>
        </w:numPr>
        <w:tabs>
          <w:tab w:pos="1679" w:val="left" w:leader="none"/>
          <w:tab w:pos="1680" w:val="left" w:leader="none"/>
        </w:tabs>
        <w:spacing w:line="240" w:lineRule="auto" w:before="1" w:after="0"/>
        <w:ind w:left="1680" w:right="0" w:hanging="420"/>
        <w:jc w:val="left"/>
        <w:rPr>
          <w:sz w:val="24"/>
        </w:rPr>
      </w:pPr>
      <w:r>
        <w:rPr>
          <w:sz w:val="24"/>
        </w:rPr>
        <w:t>企业拥有知名品牌，客户忠诚度高；</w:t>
      </w:r>
    </w:p>
    <w:p>
      <w:pPr>
        <w:pStyle w:val="ListParagraph"/>
        <w:numPr>
          <w:ilvl w:val="2"/>
          <w:numId w:val="36"/>
        </w:numPr>
        <w:tabs>
          <w:tab w:pos="1679" w:val="left" w:leader="none"/>
          <w:tab w:pos="1680" w:val="left" w:leader="none"/>
        </w:tabs>
        <w:spacing w:line="240" w:lineRule="auto" w:before="160" w:after="0"/>
        <w:ind w:left="1680" w:right="0" w:hanging="420"/>
        <w:jc w:val="left"/>
        <w:rPr>
          <w:sz w:val="24"/>
        </w:rPr>
      </w:pPr>
      <w:r>
        <w:rPr>
          <w:sz w:val="24"/>
        </w:rPr>
        <w:t>企业的技术领先、创新能力较强；</w:t>
      </w:r>
    </w:p>
    <w:p>
      <w:pPr>
        <w:pStyle w:val="ListParagraph"/>
        <w:numPr>
          <w:ilvl w:val="2"/>
          <w:numId w:val="36"/>
        </w:numPr>
        <w:tabs>
          <w:tab w:pos="1680" w:val="left" w:leader="none"/>
        </w:tabs>
        <w:spacing w:line="240" w:lineRule="auto" w:before="161" w:after="0"/>
        <w:ind w:left="1680" w:right="0" w:hanging="420"/>
        <w:jc w:val="both"/>
        <w:rPr>
          <w:sz w:val="24"/>
        </w:rPr>
      </w:pPr>
      <w:r>
        <w:rPr>
          <w:sz w:val="24"/>
        </w:rPr>
        <w:t>企业的经营成本低于主要的竞争对手；</w:t>
      </w:r>
    </w:p>
    <w:p>
      <w:pPr>
        <w:pStyle w:val="ListParagraph"/>
        <w:numPr>
          <w:ilvl w:val="2"/>
          <w:numId w:val="36"/>
        </w:numPr>
        <w:tabs>
          <w:tab w:pos="1680" w:val="left" w:leader="none"/>
        </w:tabs>
        <w:spacing w:line="364" w:lineRule="auto" w:before="160" w:after="0"/>
        <w:ind w:left="1680" w:right="458" w:hanging="420"/>
        <w:jc w:val="both"/>
        <w:rPr>
          <w:sz w:val="24"/>
        </w:rPr>
      </w:pPr>
      <w:r>
        <w:rPr>
          <w:sz w:val="24"/>
        </w:rPr>
        <w:t>企业由于对稀缺或不可替代资源的占有、拥有特许经营牌照、在规模经济明显的行业中经营规模位居前列、已拥有较广泛的销售网络等原因，在行业中占据垄断地位；</w:t>
      </w:r>
    </w:p>
    <w:p>
      <w:pPr>
        <w:pStyle w:val="ListParagraph"/>
        <w:numPr>
          <w:ilvl w:val="2"/>
          <w:numId w:val="36"/>
        </w:numPr>
        <w:tabs>
          <w:tab w:pos="1680" w:val="left" w:leader="none"/>
        </w:tabs>
        <w:spacing w:line="364" w:lineRule="auto" w:before="2" w:after="0"/>
        <w:ind w:left="1680" w:right="458" w:hanging="420"/>
        <w:jc w:val="both"/>
        <w:rPr>
          <w:sz w:val="24"/>
        </w:rPr>
      </w:pPr>
      <w:r>
        <w:rPr>
          <w:sz w:val="24"/>
        </w:rPr>
        <w:t>企业拥有一只管理能力较强的管理团队，专业、尽职，能正确制定企业发展战略，并创造较好的企业绩效。</w:t>
      </w:r>
    </w:p>
    <w:p>
      <w:pPr>
        <w:pStyle w:val="BodyText"/>
        <w:spacing w:line="364" w:lineRule="auto"/>
        <w:ind w:left="840" w:right="458" w:firstLine="420"/>
        <w:jc w:val="both"/>
      </w:pPr>
      <w:r>
        <w:rPr>
          <w:spacing w:val="-5"/>
        </w:rPr>
        <w:t>优势企业的主要财务特征是：企业营业利润率、净资产收益率在行业</w:t>
      </w:r>
      <w:r>
        <w:rPr>
          <w:spacing w:val="-7"/>
        </w:rPr>
        <w:t>内位居前列，并将在未来继续保持这一趋势；即使在行业低谷期，优势企</w:t>
      </w:r>
      <w:r>
        <w:rPr/>
        <w:t>业的盈利波动也小于行业内大多数企业。</w:t>
      </w:r>
    </w:p>
    <w:p>
      <w:pPr>
        <w:pStyle w:val="BodyText"/>
        <w:spacing w:before="2"/>
        <w:ind w:left="1260"/>
      </w:pPr>
      <w:r>
        <w:rPr/>
        <w:t>本基金将以合理价格或股价低估时，买入优势企业，并长期持有，与</w:t>
      </w:r>
    </w:p>
    <w:p>
      <w:pPr>
        <w:spacing w:after="0"/>
        <w:sectPr>
          <w:pgSz w:w="11910" w:h="16840"/>
          <w:pgMar w:header="0" w:footer="990" w:top="1460" w:bottom="1180" w:left="1680" w:right="1340"/>
        </w:sectPr>
      </w:pPr>
    </w:p>
    <w:p>
      <w:pPr>
        <w:pStyle w:val="BodyText"/>
        <w:spacing w:before="44"/>
        <w:ind w:left="840"/>
      </w:pPr>
      <w:r>
        <w:rPr/>
        <w:t>企业共同成长。当企业的核心竞争力发生实质不利变化时，出售股票。</w:t>
      </w:r>
    </w:p>
    <w:p>
      <w:pPr>
        <w:pStyle w:val="ListParagraph"/>
        <w:numPr>
          <w:ilvl w:val="1"/>
          <w:numId w:val="36"/>
        </w:numPr>
        <w:tabs>
          <w:tab w:pos="1260" w:val="left" w:leader="none"/>
        </w:tabs>
        <w:spacing w:line="240" w:lineRule="auto" w:before="160" w:after="0"/>
        <w:ind w:left="1260" w:right="0" w:hanging="720"/>
        <w:jc w:val="left"/>
        <w:rPr>
          <w:sz w:val="24"/>
        </w:rPr>
      </w:pPr>
      <w:r>
        <w:rPr>
          <w:sz w:val="24"/>
        </w:rPr>
        <w:t>成长企业策略</w:t>
      </w:r>
    </w:p>
    <w:p>
      <w:pPr>
        <w:pStyle w:val="BodyText"/>
        <w:spacing w:line="364" w:lineRule="auto" w:before="161"/>
        <w:ind w:left="840" w:right="218" w:firstLine="420"/>
      </w:pPr>
      <w:r>
        <w:rPr>
          <w:spacing w:val="-2"/>
        </w:rPr>
        <w:t>本基金采取自下而上的方式，重点发掘具有以下特征的企业：企业产 </w:t>
      </w:r>
      <w:r>
        <w:rPr>
          <w:spacing w:val="-9"/>
        </w:rPr>
        <w:t>品与服务具有较大的市场空间；生产性企业的生产能力持续扩张或闲置产 </w:t>
      </w:r>
      <w:r>
        <w:rPr>
          <w:spacing w:val="3"/>
        </w:rPr>
        <w:t>能不断得到利用，服务类企业营业网点、业务范围等服务能力持续增加， 营业收入不断增长。本基金将对上市公司的产量、在建产能</w:t>
      </w:r>
      <w:r>
        <w:rPr>
          <w:rFonts w:ascii="Times New Roman" w:eastAsia="Times New Roman"/>
          <w:spacing w:val="3"/>
        </w:rPr>
        <w:t>/</w:t>
      </w:r>
      <w:r>
        <w:rPr>
          <w:spacing w:val="3"/>
        </w:rPr>
        <w:t>现有产能、 </w:t>
      </w:r>
      <w:r>
        <w:rPr>
          <w:spacing w:val="-7"/>
        </w:rPr>
        <w:t>营业网点数量、营业额的数据进行统计，根据行业特征，选取适当的反映 </w:t>
      </w:r>
      <w:r>
        <w:rPr>
          <w:spacing w:val="-13"/>
        </w:rPr>
        <w:t>生产能力的指标进行分析，选取在未来一到两年收入与盈利成长速度高于 行业平均水平，而且股价未明显高估的公司进行投资。</w:t>
      </w:r>
    </w:p>
    <w:p>
      <w:pPr>
        <w:pStyle w:val="ListParagraph"/>
        <w:numPr>
          <w:ilvl w:val="1"/>
          <w:numId w:val="36"/>
        </w:numPr>
        <w:tabs>
          <w:tab w:pos="1260" w:val="left" w:leader="none"/>
        </w:tabs>
        <w:spacing w:line="240" w:lineRule="auto" w:before="4" w:after="0"/>
        <w:ind w:left="1260" w:right="0" w:hanging="720"/>
        <w:jc w:val="left"/>
        <w:rPr>
          <w:sz w:val="24"/>
        </w:rPr>
      </w:pPr>
      <w:r>
        <w:rPr>
          <w:sz w:val="24"/>
        </w:rPr>
        <w:t>行业周期策略</w:t>
      </w:r>
    </w:p>
    <w:p>
      <w:pPr>
        <w:pStyle w:val="BodyText"/>
        <w:spacing w:line="364" w:lineRule="auto" w:before="161"/>
        <w:ind w:left="840" w:right="245" w:firstLine="420"/>
      </w:pPr>
      <w:r>
        <w:rPr>
          <w:spacing w:val="-5"/>
        </w:rPr>
        <w:t>在本策略下，本基金重点把握两个阶段的投资机会。一个是在行业低</w:t>
      </w:r>
      <w:r>
        <w:rPr>
          <w:spacing w:val="-10"/>
        </w:rPr>
        <w:t>谷期，行业景气持续低迷，产品价格、产销量和企业效益下滑，已开始有</w:t>
      </w:r>
      <w:r>
        <w:rPr>
          <w:spacing w:val="-13"/>
        </w:rPr>
        <w:t>企业退出该行业。本基金预期行业情况难以继续大幅恶化，而股价已充分</w:t>
      </w:r>
      <w:r>
        <w:rPr>
          <w:spacing w:val="-17"/>
        </w:rPr>
        <w:t>或过度反映了基本面的不利影响，一旦行业景气回升，企业净利润将会大</w:t>
      </w:r>
      <w:r>
        <w:rPr>
          <w:spacing w:val="-13"/>
        </w:rPr>
        <w:t>幅增加。另一投资机会是在行业景气上升周期，行业景气好转已确立，企</w:t>
      </w:r>
      <w:r>
        <w:rPr>
          <w:spacing w:val="-18"/>
        </w:rPr>
        <w:t>业效益、产品价格、产销量出现普遍上升，本基金预期行业景气将会持续。</w:t>
      </w:r>
      <w:r>
        <w:rPr>
          <w:spacing w:val="-16"/>
        </w:rPr>
        <w:t>在本策略下，本基金将重点投资于企业效益对行业景气敏感度较高的公司。</w:t>
      </w:r>
    </w:p>
    <w:p>
      <w:pPr>
        <w:pStyle w:val="ListParagraph"/>
        <w:numPr>
          <w:ilvl w:val="1"/>
          <w:numId w:val="36"/>
        </w:numPr>
        <w:tabs>
          <w:tab w:pos="1260" w:val="left" w:leader="none"/>
        </w:tabs>
        <w:spacing w:line="240" w:lineRule="auto" w:before="4" w:after="0"/>
        <w:ind w:left="1260" w:right="0" w:hanging="720"/>
        <w:jc w:val="left"/>
        <w:rPr>
          <w:sz w:val="24"/>
        </w:rPr>
      </w:pPr>
      <w:r>
        <w:rPr>
          <w:sz w:val="24"/>
        </w:rPr>
        <w:t>绝对价值策略</w:t>
      </w:r>
    </w:p>
    <w:p>
      <w:pPr>
        <w:pStyle w:val="BodyText"/>
        <w:spacing w:line="364" w:lineRule="auto" w:before="160"/>
        <w:ind w:left="840" w:right="338" w:firstLine="420"/>
      </w:pPr>
      <w:r>
        <w:rPr>
          <w:spacing w:val="-3"/>
        </w:rPr>
        <w:t>绝对价值策略指的是，根据行业和企业特点，寻找对企业的绝对价值</w:t>
      </w:r>
      <w:r>
        <w:rPr>
          <w:spacing w:val="-17"/>
        </w:rPr>
        <w:t>进行评估的合理估值方法，包括账面价值法、重置成本法和分拆出售法等。</w:t>
      </w:r>
      <w:r>
        <w:rPr>
          <w:spacing w:val="-6"/>
        </w:rPr>
        <w:t>当企业的绝对价值高于企业总市值，而且企业价值重估的诱发性因素有可能出现时，本基金将对此类公司进行投资。</w:t>
      </w:r>
    </w:p>
    <w:p>
      <w:pPr>
        <w:pStyle w:val="ListParagraph"/>
        <w:numPr>
          <w:ilvl w:val="1"/>
          <w:numId w:val="36"/>
        </w:numPr>
        <w:tabs>
          <w:tab w:pos="1260" w:val="left" w:leader="none"/>
        </w:tabs>
        <w:spacing w:line="240" w:lineRule="auto" w:before="3" w:after="0"/>
        <w:ind w:left="1260" w:right="0" w:hanging="720"/>
        <w:jc w:val="left"/>
        <w:rPr>
          <w:sz w:val="24"/>
        </w:rPr>
      </w:pPr>
      <w:r>
        <w:rPr>
          <w:sz w:val="24"/>
        </w:rPr>
        <w:t>突发事件</w:t>
      </w:r>
      <w:r>
        <w:rPr>
          <w:rFonts w:ascii="Times New Roman" w:eastAsia="Times New Roman"/>
          <w:sz w:val="24"/>
        </w:rPr>
        <w:t>/</w:t>
      </w:r>
      <w:r>
        <w:rPr>
          <w:sz w:val="24"/>
        </w:rPr>
        <w:t>收购兼并策略</w:t>
      </w:r>
    </w:p>
    <w:p>
      <w:pPr>
        <w:pStyle w:val="BodyText"/>
        <w:spacing w:line="364" w:lineRule="auto" w:before="160"/>
        <w:ind w:left="840" w:right="457" w:firstLine="420"/>
        <w:jc w:val="both"/>
      </w:pPr>
      <w:r>
        <w:rPr>
          <w:spacing w:val="-7"/>
        </w:rPr>
        <w:t>在此策略下，本基金将关注突发事件以及收购兼并信息对公司股价的</w:t>
      </w:r>
      <w:r>
        <w:rPr>
          <w:spacing w:val="-10"/>
        </w:rPr>
        <w:t>影响。如果突发事件对企业盈利能力产生短暂的不利影响，但市场过度反</w:t>
      </w:r>
      <w:r>
        <w:rPr>
          <w:spacing w:val="-9"/>
        </w:rPr>
        <w:t>应造成股价大幅下跌，已低于其合理估值时，本基金可对此类公司进行投</w:t>
      </w:r>
      <w:r>
        <w:rPr>
          <w:spacing w:val="-12"/>
        </w:rPr>
        <w:t>资。此外，在公司公告收购兼并信息后，本基金将分析收购兼并事件对企</w:t>
      </w:r>
      <w:r>
        <w:rPr>
          <w:spacing w:val="-9"/>
        </w:rPr>
        <w:t>业盈利能力造成的实质影响。当股票价格未充分反映收购兼并给企业带来</w:t>
      </w:r>
      <w:r>
        <w:rPr/>
        <w:t>的正面效应时，本基金将对此类公司进行投资。</w:t>
      </w:r>
    </w:p>
    <w:p>
      <w:pPr>
        <w:spacing w:after="0" w:line="364" w:lineRule="auto"/>
        <w:jc w:val="both"/>
        <w:sectPr>
          <w:pgSz w:w="11910" w:h="16840"/>
          <w:pgMar w:header="0" w:footer="990" w:top="1460" w:bottom="1180" w:left="1680" w:right="1340"/>
        </w:sectPr>
      </w:pPr>
    </w:p>
    <w:p>
      <w:pPr>
        <w:pStyle w:val="ListParagraph"/>
        <w:numPr>
          <w:ilvl w:val="1"/>
          <w:numId w:val="36"/>
        </w:numPr>
        <w:tabs>
          <w:tab w:pos="1260" w:val="left" w:leader="none"/>
        </w:tabs>
        <w:spacing w:line="240" w:lineRule="auto" w:before="44" w:after="0"/>
        <w:ind w:left="1260" w:right="0" w:hanging="720"/>
        <w:jc w:val="left"/>
        <w:rPr>
          <w:sz w:val="24"/>
        </w:rPr>
      </w:pPr>
      <w:r>
        <w:rPr>
          <w:sz w:val="24"/>
        </w:rPr>
        <w:t>新兴技术策略</w:t>
      </w:r>
    </w:p>
    <w:p>
      <w:pPr>
        <w:pStyle w:val="BodyText"/>
        <w:spacing w:line="364" w:lineRule="auto" w:before="160"/>
        <w:ind w:left="840" w:right="338" w:firstLine="420"/>
      </w:pPr>
      <w:r>
        <w:rPr>
          <w:spacing w:val="-5"/>
        </w:rPr>
        <w:t>在此策略下，本基金将重点关注有可能出现重大技术突破的领域，如</w:t>
      </w:r>
      <w:r>
        <w:rPr>
          <w:spacing w:val="-17"/>
        </w:rPr>
        <w:t>生物、医药、电子通讯、环保、新材料等。这些领域的新技术开发难度大、</w:t>
      </w:r>
      <w:r>
        <w:rPr>
          <w:spacing w:val="-10"/>
        </w:rPr>
        <w:t>进入壁垒高，一旦转化为生产力，将会带来巨大的市场需求和企业效益的</w:t>
      </w:r>
      <w:r>
        <w:rPr>
          <w:spacing w:val="-12"/>
        </w:rPr>
        <w:t>高速增长。本基金将密切跟踪这些领域中技术水平处于前列的公司，了解</w:t>
      </w:r>
      <w:r>
        <w:rPr>
          <w:spacing w:val="-16"/>
        </w:rPr>
        <w:t>其技术开发进度以及采用新技术产能的建设进度，在技术突破即将实现而股价未充分反映之前，进行投资。</w:t>
      </w:r>
    </w:p>
    <w:p>
      <w:pPr>
        <w:pStyle w:val="BodyText"/>
        <w:spacing w:line="364" w:lineRule="auto" w:before="4"/>
        <w:ind w:right="404" w:firstLine="420"/>
      </w:pPr>
      <w:r>
        <w:rPr/>
        <w:t>本基金将综合运用以上策略进行股票选择，根据对各种策略的收益与风险的判断、投资品种资金容量的分析，进行组合的构造与调整。</w:t>
      </w:r>
    </w:p>
    <w:p>
      <w:pPr>
        <w:spacing w:line="363" w:lineRule="exact" w:before="0"/>
        <w:ind w:left="540" w:right="0" w:firstLine="0"/>
        <w:jc w:val="left"/>
        <w:rPr>
          <w:rFonts w:ascii="Microsoft JhengHei" w:eastAsia="Microsoft JhengHei" w:hint="eastAsia"/>
          <w:b/>
          <w:sz w:val="24"/>
        </w:rPr>
      </w:pPr>
      <w:r>
        <w:rPr>
          <w:rFonts w:ascii="Times New Roman" w:eastAsia="Times New Roman"/>
          <w:b/>
          <w:sz w:val="24"/>
        </w:rPr>
        <w:t>3</w:t>
      </w:r>
      <w:r>
        <w:rPr>
          <w:rFonts w:ascii="Microsoft JhengHei" w:eastAsia="Microsoft JhengHei" w:hint="eastAsia"/>
          <w:b/>
          <w:sz w:val="24"/>
        </w:rPr>
        <w:t>、债券投资策略</w:t>
      </w:r>
    </w:p>
    <w:p>
      <w:pPr>
        <w:pStyle w:val="BodyText"/>
        <w:spacing w:line="364" w:lineRule="auto" w:before="106"/>
        <w:ind w:right="458" w:firstLine="540"/>
        <w:jc w:val="both"/>
      </w:pPr>
      <w:r>
        <w:rPr/>
        <w:t>在债券投资方面，本基金将主要通过类属配置与券种选择两个层次进行投</w:t>
      </w:r>
      <w:r>
        <w:rPr>
          <w:spacing w:val="-10"/>
        </w:rPr>
        <w:t>资管理。在类属配置层次，结合对宏观经济、市场利率、供求变化等因素的综合分析，根据交易所市场与银行间市场类属资产的风险收益特征，定期对投资组合</w:t>
      </w:r>
      <w:r>
        <w:rPr/>
        <w:t>类属资产进行优化配置和调整，确定类属资产的最优权重。</w:t>
      </w:r>
    </w:p>
    <w:p>
      <w:pPr>
        <w:pStyle w:val="BodyText"/>
        <w:spacing w:line="364" w:lineRule="auto" w:before="2"/>
        <w:ind w:right="458" w:firstLine="540"/>
        <w:jc w:val="both"/>
      </w:pPr>
      <w:r>
        <w:rPr/>
        <w:t>在券种选择上，本基金以长期利率趋势分析为基础，结合经济变化趋势、</w:t>
      </w:r>
      <w:r>
        <w:rPr>
          <w:spacing w:val="-6"/>
        </w:rPr>
        <w:t>货币政策及不同债券品种的收益率水平、流动性和信用风险等因素，合理运用投</w:t>
      </w:r>
      <w:r>
        <w:rPr/>
        <w:t>资管理策略，实施积极主动的债券投资管理。</w:t>
      </w:r>
    </w:p>
    <w:p>
      <w:pPr>
        <w:pStyle w:val="BodyText"/>
        <w:spacing w:line="364" w:lineRule="auto" w:before="2"/>
        <w:ind w:right="338" w:firstLine="540"/>
      </w:pPr>
      <w:r>
        <w:rPr/>
        <w:t>在可转债方面，本基金将投资具有较高成长性或正股价格被低估公司发行</w:t>
      </w:r>
      <w:r>
        <w:rPr>
          <w:spacing w:val="-16"/>
        </w:rPr>
        <w:t>的可转债；投资折价交易或底价溢价率较低的可转债，在接近强制赎回点时卖出； </w:t>
      </w:r>
      <w:r>
        <w:rPr>
          <w:spacing w:val="-7"/>
        </w:rPr>
        <w:t>及时把握可转债与股票的套利机会；根据中签率预测和模型定价结果，积极参与</w:t>
      </w:r>
      <w:r>
        <w:rPr>
          <w:spacing w:val="-12"/>
        </w:rPr>
        <w:t>可转债新券申购等。基金管理人将动态监控可转债发行主体的信用状况，及时抛售主体信用状况有恶化迹象的可转换债券。</w:t>
      </w:r>
    </w:p>
    <w:p>
      <w:pPr>
        <w:pStyle w:val="BodyText"/>
        <w:spacing w:line="364" w:lineRule="auto" w:before="3"/>
        <w:ind w:right="458" w:firstLine="420"/>
        <w:jc w:val="both"/>
      </w:pPr>
      <w:r>
        <w:rPr>
          <w:spacing w:val="-3"/>
        </w:rPr>
        <w:t>随着国内债券市场的深入发展和结构性变迁，更多债券新品种和交易形式将</w:t>
      </w:r>
      <w:r>
        <w:rPr>
          <w:spacing w:val="-15"/>
        </w:rPr>
        <w:t>增加债券投资盈利模式，本基金会密切跟踪市场动态变化，选择合适的介入机会, </w:t>
      </w:r>
      <w:r>
        <w:rPr/>
        <w:t>谋求高于市场平均水平的投资回报。</w:t>
      </w:r>
    </w:p>
    <w:p>
      <w:pPr>
        <w:spacing w:line="364" w:lineRule="exact" w:before="0"/>
        <w:ind w:left="540" w:right="0" w:firstLine="0"/>
        <w:jc w:val="left"/>
        <w:rPr>
          <w:rFonts w:ascii="Microsoft JhengHei" w:eastAsia="Microsoft JhengHei" w:hint="eastAsia"/>
          <w:b/>
          <w:sz w:val="24"/>
        </w:rPr>
      </w:pPr>
      <w:r>
        <w:rPr>
          <w:rFonts w:ascii="Microsoft JhengHei" w:eastAsia="Microsoft JhengHei" w:hint="eastAsia"/>
          <w:b/>
          <w:sz w:val="24"/>
        </w:rPr>
        <w:t>4、存托凭证投资策略</w:t>
      </w:r>
    </w:p>
    <w:p>
      <w:pPr>
        <w:pStyle w:val="BodyText"/>
        <w:spacing w:line="364" w:lineRule="auto" w:before="106"/>
        <w:ind w:right="458" w:firstLine="420"/>
        <w:jc w:val="both"/>
      </w:pPr>
      <w:r>
        <w:rPr>
          <w:spacing w:val="-5"/>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spacing w:after="0" w:line="364" w:lineRule="auto"/>
        <w:jc w:val="both"/>
        <w:sectPr>
          <w:pgSz w:w="11910" w:h="16840"/>
          <w:pgMar w:header="0" w:footer="990" w:top="1460" w:bottom="1180" w:left="1680" w:right="1340"/>
        </w:sectPr>
      </w:pPr>
    </w:p>
    <w:p>
      <w:pPr>
        <w:spacing w:line="406" w:lineRule="exact" w:before="0"/>
        <w:ind w:left="540" w:right="0" w:firstLine="0"/>
        <w:jc w:val="left"/>
        <w:rPr>
          <w:rFonts w:ascii="Microsoft JhengHei" w:eastAsia="Microsoft JhengHei" w:hint="eastAsia"/>
          <w:b/>
          <w:sz w:val="24"/>
        </w:rPr>
      </w:pPr>
      <w:r>
        <w:rPr>
          <w:rFonts w:ascii="Times New Roman" w:eastAsia="Times New Roman"/>
          <w:b/>
          <w:sz w:val="24"/>
        </w:rPr>
        <w:t>5</w:t>
      </w:r>
      <w:r>
        <w:rPr>
          <w:rFonts w:ascii="Microsoft JhengHei" w:eastAsia="Microsoft JhengHei" w:hint="eastAsia"/>
          <w:b/>
          <w:sz w:val="24"/>
        </w:rPr>
        <w:t>、权证投资策略</w:t>
      </w:r>
    </w:p>
    <w:p>
      <w:pPr>
        <w:pStyle w:val="BodyText"/>
        <w:spacing w:line="364" w:lineRule="auto" w:before="106"/>
        <w:ind w:right="404" w:firstLine="420"/>
      </w:pPr>
      <w:r>
        <w:rPr/>
        <w:t>权证为本基金辅助性投资工具，投资原则为有利于基金资产增值、控制下跌风险、实现保值和锁定收益。</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（五）业绩比较基准</w:t>
      </w:r>
    </w:p>
    <w:p>
      <w:pPr>
        <w:pStyle w:val="BodyText"/>
        <w:spacing w:before="4"/>
        <w:ind w:left="0"/>
        <w:rPr>
          <w:rFonts w:ascii="Microsoft JhengHei"/>
          <w:b/>
          <w:sz w:val="14"/>
        </w:rPr>
      </w:pPr>
    </w:p>
    <w:p>
      <w:pPr>
        <w:pStyle w:val="BodyText"/>
        <w:spacing w:before="0"/>
        <w:ind w:left="540"/>
        <w:jc w:val="both"/>
        <w:rPr>
          <w:rFonts w:ascii="Times New Roman" w:eastAsia="Times New Roman"/>
        </w:rPr>
      </w:pPr>
      <w:r>
        <w:rPr/>
        <w:t>沪深 </w:t>
      </w:r>
      <w:r>
        <w:rPr>
          <w:rFonts w:ascii="Times New Roman" w:eastAsia="Times New Roman"/>
        </w:rPr>
        <w:t>300 </w:t>
      </w:r>
      <w:r>
        <w:rPr/>
        <w:t>指数收益率 </w:t>
      </w:r>
      <w:r>
        <w:rPr>
          <w:rFonts w:ascii="Times New Roman" w:eastAsia="Times New Roman"/>
        </w:rPr>
        <w:t>X80%+</w:t>
      </w:r>
      <w:r>
        <w:rPr/>
        <w:t>中债总指数收益率 </w:t>
      </w:r>
      <w:r>
        <w:rPr>
          <w:rFonts w:ascii="Times New Roman" w:eastAsia="Times New Roman"/>
        </w:rPr>
        <w:t>X20%</w:t>
      </w:r>
    </w:p>
    <w:p>
      <w:pPr>
        <w:pStyle w:val="BodyText"/>
        <w:spacing w:line="364" w:lineRule="auto" w:before="161"/>
        <w:ind w:right="458" w:firstLine="420"/>
        <w:jc w:val="both"/>
      </w:pPr>
      <w:r>
        <w:rPr>
          <w:spacing w:val="-3"/>
        </w:rPr>
        <w:t>如果指数编制单位停止计算编制该指数或更改指数名称、或有更权威的、更</w:t>
      </w:r>
      <w:r>
        <w:rPr>
          <w:spacing w:val="-7"/>
        </w:rPr>
        <w:t>能为市场普遍接受的业绩比较基准推出，基金管理人有权对此基准进行调整并及</w:t>
      </w:r>
      <w:r>
        <w:rPr/>
        <w:t>时公告。</w:t>
      </w:r>
    </w:p>
    <w:p>
      <w:pPr>
        <w:pStyle w:val="BodyText"/>
        <w:spacing w:line="364" w:lineRule="auto"/>
        <w:ind w:right="458" w:firstLine="420"/>
        <w:jc w:val="both"/>
      </w:pPr>
      <w:r>
        <w:rPr>
          <w:spacing w:val="-4"/>
        </w:rPr>
        <w:t>本基金为混合基金，在考虑了基金股票组合的投资标的、构建流程以及市场</w:t>
      </w:r>
      <w:r>
        <w:rPr>
          <w:spacing w:val="-6"/>
        </w:rPr>
        <w:t>上各个股票指数的编制方法和历史情况后，我们选定沪深 </w:t>
      </w:r>
      <w:r>
        <w:rPr>
          <w:rFonts w:ascii="Times New Roman" w:eastAsia="Times New Roman"/>
        </w:rPr>
        <w:t>300 </w:t>
      </w:r>
      <w:r>
        <w:rPr>
          <w:spacing w:val="-9"/>
        </w:rPr>
        <w:t>指数、中债总指数</w:t>
      </w:r>
      <w:r>
        <w:rPr/>
        <w:t>作为本基金的业绩比较基准。</w:t>
      </w:r>
    </w:p>
    <w:p>
      <w:pPr>
        <w:pStyle w:val="BodyText"/>
        <w:spacing w:line="364" w:lineRule="auto" w:before="2"/>
        <w:ind w:right="458" w:firstLine="420"/>
        <w:jc w:val="both"/>
      </w:pPr>
      <w:r>
        <w:rPr>
          <w:spacing w:val="-5"/>
        </w:rPr>
        <w:t>本基金的股票投资比例为 </w:t>
      </w:r>
      <w:r>
        <w:rPr>
          <w:rFonts w:ascii="Times New Roman" w:eastAsia="Times New Roman"/>
          <w:spacing w:val="-12"/>
        </w:rPr>
        <w:t>60%-95%</w:t>
      </w:r>
      <w:r>
        <w:rPr>
          <w:spacing w:val="-4"/>
        </w:rPr>
        <w:t>，业绩比较基准中的资产配置比例可以反</w:t>
      </w:r>
      <w:r>
        <w:rPr/>
        <w:t>映本基金的风险收益特征。</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（六）风险收益特征</w:t>
      </w:r>
    </w:p>
    <w:p>
      <w:pPr>
        <w:pStyle w:val="BodyText"/>
        <w:spacing w:before="4"/>
        <w:ind w:left="0"/>
        <w:rPr>
          <w:rFonts w:ascii="Microsoft JhengHei"/>
          <w:b/>
          <w:sz w:val="14"/>
        </w:rPr>
      </w:pPr>
    </w:p>
    <w:p>
      <w:pPr>
        <w:pStyle w:val="BodyText"/>
        <w:spacing w:line="364" w:lineRule="auto"/>
        <w:ind w:right="218" w:firstLine="420"/>
      </w:pPr>
      <w:r>
        <w:rPr/>
        <w:t>本基金是混合基金，理论上其风险收益水平高于债券基金和货币市场基金， 低于股票基金。</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（七）投资禁止行为与限制</w:t>
      </w:r>
    </w:p>
    <w:p>
      <w:pPr>
        <w:pStyle w:val="BodyText"/>
        <w:spacing w:before="4"/>
        <w:ind w:left="0"/>
        <w:rPr>
          <w:rFonts w:ascii="Microsoft JhengHei"/>
          <w:b/>
          <w:sz w:val="14"/>
        </w:rPr>
      </w:pPr>
    </w:p>
    <w:p>
      <w:pPr>
        <w:pStyle w:val="ListParagraph"/>
        <w:numPr>
          <w:ilvl w:val="0"/>
          <w:numId w:val="37"/>
        </w:numPr>
        <w:tabs>
          <w:tab w:pos="1201" w:val="left" w:leader="none"/>
        </w:tabs>
        <w:spacing w:line="240" w:lineRule="auto" w:before="0" w:after="0"/>
        <w:ind w:left="1201" w:right="0" w:hanging="601"/>
        <w:jc w:val="left"/>
        <w:rPr>
          <w:sz w:val="24"/>
        </w:rPr>
      </w:pPr>
      <w:r>
        <w:rPr>
          <w:sz w:val="24"/>
        </w:rPr>
        <w:t>禁止用本基金财产从事以下行为</w:t>
      </w:r>
    </w:p>
    <w:p>
      <w:pPr>
        <w:pStyle w:val="ListParagraph"/>
        <w:numPr>
          <w:ilvl w:val="1"/>
          <w:numId w:val="37"/>
        </w:numPr>
        <w:tabs>
          <w:tab w:pos="1589" w:val="left" w:leader="none"/>
        </w:tabs>
        <w:spacing w:line="240" w:lineRule="auto" w:before="160" w:after="0"/>
        <w:ind w:left="1589" w:right="0" w:hanging="361"/>
        <w:jc w:val="left"/>
        <w:rPr>
          <w:sz w:val="24"/>
        </w:rPr>
      </w:pPr>
      <w:r>
        <w:rPr>
          <w:sz w:val="24"/>
        </w:rPr>
        <w:t>承销证券；</w:t>
      </w:r>
    </w:p>
    <w:p>
      <w:pPr>
        <w:pStyle w:val="ListParagraph"/>
        <w:numPr>
          <w:ilvl w:val="1"/>
          <w:numId w:val="37"/>
        </w:numPr>
        <w:tabs>
          <w:tab w:pos="1589" w:val="left" w:leader="none"/>
        </w:tabs>
        <w:spacing w:line="240" w:lineRule="auto" w:before="161" w:after="0"/>
        <w:ind w:left="1589" w:right="0" w:hanging="361"/>
        <w:jc w:val="left"/>
        <w:rPr>
          <w:sz w:val="24"/>
        </w:rPr>
      </w:pPr>
      <w:r>
        <w:rPr>
          <w:sz w:val="24"/>
        </w:rPr>
        <w:t>违反规定向他人贷款或者提供担保；</w:t>
      </w:r>
    </w:p>
    <w:p>
      <w:pPr>
        <w:pStyle w:val="ListParagraph"/>
        <w:numPr>
          <w:ilvl w:val="1"/>
          <w:numId w:val="37"/>
        </w:numPr>
        <w:tabs>
          <w:tab w:pos="1589" w:val="left" w:leader="none"/>
        </w:tabs>
        <w:spacing w:line="240" w:lineRule="auto" w:before="160" w:after="0"/>
        <w:ind w:left="1589" w:right="0" w:hanging="361"/>
        <w:jc w:val="left"/>
        <w:rPr>
          <w:sz w:val="24"/>
        </w:rPr>
      </w:pPr>
      <w:r>
        <w:rPr>
          <w:sz w:val="24"/>
        </w:rPr>
        <w:t>从事承担无限责任的投资；</w:t>
      </w:r>
    </w:p>
    <w:p>
      <w:pPr>
        <w:pStyle w:val="ListParagraph"/>
        <w:numPr>
          <w:ilvl w:val="1"/>
          <w:numId w:val="37"/>
        </w:numPr>
        <w:tabs>
          <w:tab w:pos="1589" w:val="left" w:leader="none"/>
        </w:tabs>
        <w:spacing w:line="240" w:lineRule="auto" w:before="161" w:after="0"/>
        <w:ind w:left="1589" w:right="0" w:hanging="361"/>
        <w:jc w:val="left"/>
        <w:rPr>
          <w:sz w:val="24"/>
        </w:rPr>
      </w:pPr>
      <w:r>
        <w:rPr>
          <w:sz w:val="24"/>
        </w:rPr>
        <w:t>买卖其他基金份额，但是中国证监会另有规定的除外；</w:t>
      </w:r>
    </w:p>
    <w:p>
      <w:pPr>
        <w:pStyle w:val="ListParagraph"/>
        <w:numPr>
          <w:ilvl w:val="1"/>
          <w:numId w:val="37"/>
        </w:numPr>
        <w:tabs>
          <w:tab w:pos="1589" w:val="left" w:leader="none"/>
        </w:tabs>
        <w:spacing w:line="240" w:lineRule="auto" w:before="160" w:after="0"/>
        <w:ind w:left="1589" w:right="0" w:hanging="361"/>
        <w:jc w:val="left"/>
        <w:rPr>
          <w:sz w:val="24"/>
        </w:rPr>
      </w:pPr>
      <w:r>
        <w:rPr>
          <w:sz w:val="24"/>
        </w:rPr>
        <w:t>向本基金的基金管理人、基金托管人出资；</w:t>
      </w:r>
    </w:p>
    <w:p>
      <w:pPr>
        <w:pStyle w:val="ListParagraph"/>
        <w:numPr>
          <w:ilvl w:val="1"/>
          <w:numId w:val="37"/>
        </w:numPr>
        <w:tabs>
          <w:tab w:pos="1589" w:val="left" w:leader="none"/>
        </w:tabs>
        <w:spacing w:line="240" w:lineRule="auto" w:before="161" w:after="0"/>
        <w:ind w:left="1589" w:right="0" w:hanging="361"/>
        <w:jc w:val="left"/>
        <w:rPr>
          <w:sz w:val="24"/>
        </w:rPr>
      </w:pPr>
      <w:r>
        <w:rPr>
          <w:sz w:val="24"/>
        </w:rPr>
        <w:t>从事内幕交易、操纵证券交易价格及其他不正当的证券交易活动；</w:t>
      </w:r>
    </w:p>
    <w:p>
      <w:pPr>
        <w:pStyle w:val="ListParagraph"/>
        <w:numPr>
          <w:ilvl w:val="1"/>
          <w:numId w:val="37"/>
        </w:numPr>
        <w:tabs>
          <w:tab w:pos="1589" w:val="left" w:leader="none"/>
        </w:tabs>
        <w:spacing w:line="240" w:lineRule="auto" w:before="160" w:after="0"/>
        <w:ind w:left="1589" w:right="0" w:hanging="361"/>
        <w:jc w:val="left"/>
        <w:rPr>
          <w:sz w:val="24"/>
        </w:rPr>
      </w:pPr>
      <w:r>
        <w:rPr>
          <w:sz w:val="24"/>
        </w:rPr>
        <w:t>法律、行政法规和中国证监会规定禁止的其他活动。</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基金投资组合比例限制</w:t>
      </w:r>
    </w:p>
    <w:p>
      <w:pPr>
        <w:pStyle w:val="ListParagraph"/>
        <w:numPr>
          <w:ilvl w:val="0"/>
          <w:numId w:val="38"/>
        </w:numPr>
        <w:tabs>
          <w:tab w:pos="1593" w:val="left" w:leader="none"/>
        </w:tabs>
        <w:spacing w:line="240" w:lineRule="auto" w:before="160" w:after="0"/>
        <w:ind w:left="1592" w:right="0" w:hanging="365"/>
        <w:jc w:val="left"/>
        <w:rPr>
          <w:sz w:val="24"/>
        </w:rPr>
      </w:pPr>
      <w:r>
        <w:rPr>
          <w:sz w:val="24"/>
        </w:rPr>
        <w:t>本基金持有一家上市公司的股票，其市值不超过基金资产净值的</w:t>
      </w:r>
    </w:p>
    <w:p>
      <w:pPr>
        <w:spacing w:after="0" w:line="240" w:lineRule="auto"/>
        <w:jc w:val="left"/>
        <w:rPr>
          <w:sz w:val="24"/>
        </w:rPr>
        <w:sectPr>
          <w:pgSz w:w="11910" w:h="16840"/>
          <w:pgMar w:header="0" w:footer="990" w:top="1460" w:bottom="1180" w:left="1680" w:right="1340"/>
        </w:sectPr>
      </w:pPr>
    </w:p>
    <w:p>
      <w:pPr>
        <w:pStyle w:val="BodyText"/>
        <w:spacing w:before="44"/>
        <w:ind w:left="1556"/>
      </w:pPr>
      <w:r>
        <w:rPr/>
        <w:t>10%；</w:t>
      </w:r>
    </w:p>
    <w:p>
      <w:pPr>
        <w:pStyle w:val="ListParagraph"/>
        <w:numPr>
          <w:ilvl w:val="0"/>
          <w:numId w:val="38"/>
        </w:numPr>
        <w:tabs>
          <w:tab w:pos="1597" w:val="left" w:leader="none"/>
        </w:tabs>
        <w:spacing w:line="364" w:lineRule="auto" w:before="160" w:after="0"/>
        <w:ind w:left="1556" w:right="458" w:hanging="329"/>
        <w:jc w:val="left"/>
        <w:rPr>
          <w:sz w:val="24"/>
        </w:rPr>
      </w:pPr>
      <w:r>
        <w:rPr>
          <w:spacing w:val="2"/>
          <w:sz w:val="24"/>
        </w:rPr>
        <w:t>本基金与基金管理人管理的其他基金持有一家公司发行的证券总</w:t>
      </w:r>
      <w:r>
        <w:rPr>
          <w:spacing w:val="-6"/>
          <w:sz w:val="24"/>
        </w:rPr>
        <w:t>和，不超过该证券的 </w:t>
      </w:r>
      <w:r>
        <w:rPr>
          <w:sz w:val="24"/>
        </w:rPr>
        <w:t>10%；</w:t>
      </w:r>
    </w:p>
    <w:p>
      <w:pPr>
        <w:pStyle w:val="ListParagraph"/>
        <w:numPr>
          <w:ilvl w:val="0"/>
          <w:numId w:val="38"/>
        </w:numPr>
        <w:tabs>
          <w:tab w:pos="1599" w:val="left" w:leader="none"/>
        </w:tabs>
        <w:spacing w:line="364" w:lineRule="auto" w:before="2" w:after="0"/>
        <w:ind w:left="1556" w:right="218" w:hanging="329"/>
        <w:jc w:val="left"/>
        <w:rPr>
          <w:sz w:val="24"/>
        </w:rPr>
      </w:pPr>
      <w:r>
        <w:rPr>
          <w:spacing w:val="-1"/>
          <w:sz w:val="24"/>
        </w:rPr>
        <w:t>股票资产占基金资产的 </w:t>
      </w:r>
      <w:r>
        <w:rPr>
          <w:rFonts w:ascii="Times New Roman" w:hAnsi="Times New Roman" w:eastAsia="Times New Roman"/>
          <w:sz w:val="24"/>
        </w:rPr>
        <w:t>60%</w:t>
      </w:r>
      <w:r>
        <w:rPr>
          <w:sz w:val="24"/>
        </w:rPr>
        <w:t>—</w:t>
      </w:r>
      <w:r>
        <w:rPr>
          <w:rFonts w:ascii="Times New Roman" w:hAnsi="Times New Roman" w:eastAsia="Times New Roman"/>
          <w:sz w:val="24"/>
        </w:rPr>
        <w:t>95%</w:t>
      </w:r>
      <w:r>
        <w:rPr>
          <w:spacing w:val="2"/>
          <w:sz w:val="24"/>
        </w:rPr>
        <w:t>；债券、资产支持证券、权证、</w:t>
      </w:r>
      <w:r>
        <w:rPr>
          <w:spacing w:val="4"/>
          <w:sz w:val="24"/>
        </w:rPr>
        <w:t>货币市场工具以及中国证监会允许基金投资的其他证券品种占基 </w:t>
      </w:r>
      <w:r>
        <w:rPr>
          <w:spacing w:val="-9"/>
          <w:sz w:val="24"/>
        </w:rPr>
        <w:t>金资产的 </w:t>
      </w:r>
      <w:r>
        <w:rPr>
          <w:rFonts w:ascii="Times New Roman" w:hAnsi="Times New Roman" w:eastAsia="Times New Roman"/>
          <w:sz w:val="24"/>
        </w:rPr>
        <w:t>5%-40%</w:t>
      </w:r>
      <w:r>
        <w:rPr>
          <w:sz w:val="24"/>
        </w:rPr>
        <w:t>；</w:t>
      </w:r>
    </w:p>
    <w:p>
      <w:pPr>
        <w:pStyle w:val="ListParagraph"/>
        <w:numPr>
          <w:ilvl w:val="0"/>
          <w:numId w:val="38"/>
        </w:numPr>
        <w:tabs>
          <w:tab w:pos="1597" w:val="left" w:leader="none"/>
        </w:tabs>
        <w:spacing w:line="364" w:lineRule="auto" w:before="1" w:after="0"/>
        <w:ind w:left="1556" w:right="457" w:hanging="329"/>
        <w:jc w:val="both"/>
        <w:rPr>
          <w:sz w:val="24"/>
        </w:rPr>
      </w:pPr>
      <w:r>
        <w:rPr>
          <w:spacing w:val="2"/>
          <w:sz w:val="24"/>
        </w:rPr>
        <w:t>本基金财产参与股票发行申购，所申报的金额不超过本基金总资</w:t>
      </w:r>
      <w:r>
        <w:rPr>
          <w:spacing w:val="-12"/>
          <w:sz w:val="24"/>
        </w:rPr>
        <w:t>产，本基金所申报的股票数量不超过拟发行股票公司本次发行股票</w:t>
      </w:r>
      <w:r>
        <w:rPr>
          <w:sz w:val="24"/>
        </w:rPr>
        <w:t>的总量；</w:t>
      </w:r>
    </w:p>
    <w:p>
      <w:pPr>
        <w:pStyle w:val="ListParagraph"/>
        <w:numPr>
          <w:ilvl w:val="0"/>
          <w:numId w:val="38"/>
        </w:numPr>
        <w:tabs>
          <w:tab w:pos="1597" w:val="left" w:leader="none"/>
        </w:tabs>
        <w:spacing w:line="364" w:lineRule="auto" w:before="2" w:after="0"/>
        <w:ind w:left="1556" w:right="458" w:hanging="329"/>
        <w:jc w:val="both"/>
        <w:rPr>
          <w:sz w:val="24"/>
        </w:rPr>
      </w:pPr>
      <w:r>
        <w:rPr>
          <w:spacing w:val="-1"/>
          <w:sz w:val="24"/>
        </w:rPr>
        <w:t>在全国银行间同业市场中的债券回购最长期限为 </w:t>
      </w:r>
      <w:r>
        <w:rPr>
          <w:sz w:val="24"/>
        </w:rPr>
        <w:t>1</w:t>
      </w:r>
      <w:r>
        <w:rPr>
          <w:spacing w:val="-7"/>
          <w:sz w:val="24"/>
        </w:rPr>
        <w:t> 年，债券回购</w:t>
      </w:r>
      <w:r>
        <w:rPr>
          <w:sz w:val="24"/>
        </w:rPr>
        <w:t>到期后不展期；</w:t>
      </w:r>
    </w:p>
    <w:p>
      <w:pPr>
        <w:pStyle w:val="ListParagraph"/>
        <w:numPr>
          <w:ilvl w:val="0"/>
          <w:numId w:val="38"/>
        </w:numPr>
        <w:tabs>
          <w:tab w:pos="1597" w:val="left" w:leader="none"/>
        </w:tabs>
        <w:spacing w:line="364" w:lineRule="auto" w:before="1" w:after="0"/>
        <w:ind w:left="1556" w:right="458" w:hanging="329"/>
        <w:jc w:val="both"/>
        <w:rPr>
          <w:sz w:val="24"/>
        </w:rPr>
      </w:pPr>
      <w:r>
        <w:rPr>
          <w:spacing w:val="2"/>
          <w:sz w:val="24"/>
        </w:rPr>
        <w:t>在银行间市场进行债券回购融入的资金余额不超过基金资产净值</w:t>
      </w:r>
      <w:r>
        <w:rPr>
          <w:spacing w:val="-30"/>
          <w:sz w:val="24"/>
        </w:rPr>
        <w:t>的 </w:t>
      </w:r>
      <w:r>
        <w:rPr>
          <w:sz w:val="24"/>
        </w:rPr>
        <w:t>40%；</w:t>
      </w:r>
    </w:p>
    <w:p>
      <w:pPr>
        <w:pStyle w:val="ListParagraph"/>
        <w:numPr>
          <w:ilvl w:val="0"/>
          <w:numId w:val="38"/>
        </w:numPr>
        <w:tabs>
          <w:tab w:pos="1597" w:val="left" w:leader="none"/>
        </w:tabs>
        <w:spacing w:line="364" w:lineRule="auto" w:before="2" w:after="0"/>
        <w:ind w:left="1556" w:right="458" w:hanging="329"/>
        <w:jc w:val="both"/>
        <w:rPr>
          <w:sz w:val="24"/>
        </w:rPr>
      </w:pPr>
      <w:r>
        <w:rPr>
          <w:spacing w:val="2"/>
          <w:sz w:val="24"/>
        </w:rPr>
        <w:t>基金的投资组合中保留的现金或者到期日在一年以内的政府债券</w:t>
      </w:r>
      <w:r>
        <w:rPr>
          <w:spacing w:val="-2"/>
          <w:sz w:val="24"/>
        </w:rPr>
        <w:t>的比例合计不低于基金资产净值的 </w:t>
      </w:r>
      <w:r>
        <w:rPr>
          <w:sz w:val="24"/>
        </w:rPr>
        <w:t>5%，现金不包括结算备付金、存出保证金、应收申购款等；</w:t>
      </w:r>
    </w:p>
    <w:p>
      <w:pPr>
        <w:pStyle w:val="ListParagraph"/>
        <w:numPr>
          <w:ilvl w:val="0"/>
          <w:numId w:val="38"/>
        </w:numPr>
        <w:tabs>
          <w:tab w:pos="1597" w:val="left" w:leader="none"/>
        </w:tabs>
        <w:spacing w:line="364" w:lineRule="auto" w:before="1" w:after="0"/>
        <w:ind w:left="1228" w:right="427" w:firstLine="0"/>
        <w:jc w:val="right"/>
        <w:rPr>
          <w:sz w:val="24"/>
        </w:rPr>
      </w:pPr>
      <w:r>
        <w:rPr>
          <w:spacing w:val="2"/>
          <w:sz w:val="24"/>
        </w:rPr>
        <w:t>权证投资比例遵照《关于股权分置改革中证券投资基金投资权证有关问题的通知》（证监基金字[2005]138</w:t>
      </w:r>
      <w:r>
        <w:rPr>
          <w:spacing w:val="-30"/>
          <w:sz w:val="24"/>
        </w:rPr>
        <w:t> 号</w:t>
      </w:r>
      <w:r>
        <w:rPr>
          <w:sz w:val="24"/>
        </w:rPr>
        <w:t>）及相关规定执行； </w:t>
      </w:r>
      <w:r>
        <w:rPr>
          <w:spacing w:val="4"/>
          <w:sz w:val="24"/>
        </w:rPr>
        <w:t>9）</w:t>
      </w:r>
      <w:r>
        <w:rPr>
          <w:spacing w:val="2"/>
          <w:sz w:val="24"/>
        </w:rPr>
        <w:t>资产支持证券投资比例遵照《关于证券投资基金投资资产支持证</w:t>
      </w:r>
    </w:p>
    <w:p>
      <w:pPr>
        <w:pStyle w:val="BodyText"/>
        <w:spacing w:before="2"/>
        <w:ind w:left="0" w:right="337"/>
        <w:jc w:val="right"/>
      </w:pPr>
      <w:r>
        <w:rPr/>
        <w:t>券有关事项的通知》（证监基金字[2006]93 号）及相关规定执行；</w:t>
      </w:r>
    </w:p>
    <w:p>
      <w:pPr>
        <w:pStyle w:val="BodyText"/>
        <w:spacing w:line="364" w:lineRule="auto" w:before="161"/>
        <w:ind w:left="1556" w:right="457" w:hanging="329"/>
        <w:jc w:val="both"/>
      </w:pPr>
      <w:r>
        <w:rPr/>
        <w:t>10)</w:t>
      </w:r>
      <w:r>
        <w:rPr>
          <w:spacing w:val="-2"/>
        </w:rPr>
        <w:t> 流通受限证券投资遵照《关于基金投资非公开发行股票等流通受限证券有关问题的通知》</w:t>
      </w:r>
      <w:r>
        <w:rPr/>
        <w:t>（证监基金字[2006]141</w:t>
      </w:r>
      <w:r>
        <w:rPr>
          <w:spacing w:val="-30"/>
        </w:rPr>
        <w:t> 号</w:t>
      </w:r>
      <w:r>
        <w:rPr>
          <w:spacing w:val="-16"/>
        </w:rPr>
        <w:t>）</w:t>
      </w:r>
      <w:r>
        <w:rPr>
          <w:spacing w:val="-3"/>
        </w:rPr>
        <w:t>及相关规定</w:t>
      </w:r>
      <w:r>
        <w:rPr/>
        <w:t>执行；</w:t>
      </w:r>
    </w:p>
    <w:p>
      <w:pPr>
        <w:pStyle w:val="ListParagraph"/>
        <w:numPr>
          <w:ilvl w:val="0"/>
          <w:numId w:val="39"/>
        </w:numPr>
        <w:tabs>
          <w:tab w:pos="1709" w:val="left" w:leader="none"/>
        </w:tabs>
        <w:spacing w:line="364" w:lineRule="auto" w:before="1" w:after="0"/>
        <w:ind w:left="1556" w:right="457" w:hanging="329"/>
        <w:jc w:val="both"/>
        <w:rPr>
          <w:sz w:val="24"/>
        </w:rPr>
      </w:pPr>
      <w:r>
        <w:rPr>
          <w:spacing w:val="-1"/>
          <w:sz w:val="24"/>
        </w:rPr>
        <w:t>本基金管理人管理的全部开放式基金持有一家上市公司发行的可</w:t>
      </w:r>
      <w:r>
        <w:rPr>
          <w:spacing w:val="-3"/>
          <w:sz w:val="24"/>
        </w:rPr>
        <w:t>流通股票，不得超过该上市公司可流通股票的 </w:t>
      </w:r>
      <w:r>
        <w:rPr>
          <w:spacing w:val="-8"/>
          <w:sz w:val="24"/>
        </w:rPr>
        <w:t>15%</w:t>
      </w:r>
      <w:r>
        <w:rPr>
          <w:spacing w:val="-5"/>
          <w:sz w:val="24"/>
        </w:rPr>
        <w:t>；本基金管理人管理的全部投资组合持有一家上市公司发行的可流通股票，不得超过该上市公司可流通股票的 </w:t>
      </w:r>
      <w:r>
        <w:rPr>
          <w:sz w:val="24"/>
        </w:rPr>
        <w:t>30%。</w:t>
      </w:r>
    </w:p>
    <w:p>
      <w:pPr>
        <w:pStyle w:val="ListParagraph"/>
        <w:numPr>
          <w:ilvl w:val="0"/>
          <w:numId w:val="39"/>
        </w:numPr>
        <w:tabs>
          <w:tab w:pos="1709" w:val="left" w:leader="none"/>
        </w:tabs>
        <w:spacing w:line="364" w:lineRule="auto" w:before="3" w:after="0"/>
        <w:ind w:left="1556" w:right="457" w:hanging="329"/>
        <w:jc w:val="both"/>
        <w:rPr>
          <w:sz w:val="24"/>
        </w:rPr>
      </w:pPr>
      <w:r>
        <w:rPr>
          <w:spacing w:val="-1"/>
          <w:sz w:val="24"/>
        </w:rPr>
        <w:t>本基金主动投资于流动性受限资产的市值合计不得超过该基金资</w:t>
      </w:r>
      <w:r>
        <w:rPr>
          <w:spacing w:val="-12"/>
          <w:sz w:val="24"/>
        </w:rPr>
        <w:t>产净值的 </w:t>
      </w:r>
      <w:r>
        <w:rPr>
          <w:sz w:val="24"/>
        </w:rPr>
        <w:t>15%。</w:t>
      </w:r>
    </w:p>
    <w:p>
      <w:pPr>
        <w:spacing w:after="0" w:line="364" w:lineRule="auto"/>
        <w:jc w:val="both"/>
        <w:rPr>
          <w:sz w:val="24"/>
        </w:rPr>
        <w:sectPr>
          <w:pgSz w:w="11910" w:h="16840"/>
          <w:pgMar w:header="0" w:footer="990" w:top="1460" w:bottom="1180" w:left="1680" w:right="1340"/>
        </w:sectPr>
      </w:pPr>
    </w:p>
    <w:p>
      <w:pPr>
        <w:pStyle w:val="BodyText"/>
        <w:spacing w:line="364" w:lineRule="auto" w:before="44"/>
        <w:ind w:left="1228" w:right="457"/>
        <w:jc w:val="both"/>
      </w:pPr>
      <w:r>
        <w:rPr/>
        <w:t>因证券市场波动、上市公司股票停牌、基金规模变动等基金管理人之外的因素致使基金不符合前款所规定比例限制的，基金管理人不得主动新增流动性受限资产的投资。</w:t>
      </w:r>
    </w:p>
    <w:p>
      <w:pPr>
        <w:pStyle w:val="ListParagraph"/>
        <w:numPr>
          <w:ilvl w:val="0"/>
          <w:numId w:val="39"/>
        </w:numPr>
        <w:tabs>
          <w:tab w:pos="1709" w:val="left" w:leader="none"/>
        </w:tabs>
        <w:spacing w:line="364" w:lineRule="auto" w:before="2" w:after="0"/>
        <w:ind w:left="1556" w:right="457" w:hanging="329"/>
        <w:jc w:val="both"/>
        <w:rPr>
          <w:sz w:val="24"/>
        </w:rPr>
      </w:pPr>
      <w:r>
        <w:rPr>
          <w:spacing w:val="-1"/>
          <w:sz w:val="24"/>
        </w:rPr>
        <w:t>本基金与私募类证券资管产品及中国证监会认定的其他主体为交</w:t>
      </w:r>
      <w:r>
        <w:rPr>
          <w:spacing w:val="-9"/>
          <w:sz w:val="24"/>
        </w:rPr>
        <w:t>易对手开展逆回购交易的，可接受质押品的资质要求应当与基金合</w:t>
      </w:r>
      <w:r>
        <w:rPr>
          <w:sz w:val="24"/>
        </w:rPr>
        <w:t>同约定的投资范围保持一致。</w:t>
      </w:r>
    </w:p>
    <w:p>
      <w:pPr>
        <w:pStyle w:val="ListParagraph"/>
        <w:numPr>
          <w:ilvl w:val="0"/>
          <w:numId w:val="39"/>
        </w:numPr>
        <w:tabs>
          <w:tab w:pos="1725" w:val="left" w:leader="none"/>
        </w:tabs>
        <w:spacing w:line="364" w:lineRule="auto" w:before="1" w:after="0"/>
        <w:ind w:left="1556" w:right="218" w:hanging="329"/>
        <w:jc w:val="left"/>
        <w:rPr>
          <w:sz w:val="24"/>
        </w:rPr>
      </w:pPr>
      <w:r>
        <w:rPr>
          <w:spacing w:val="7"/>
          <w:sz w:val="24"/>
        </w:rPr>
        <w:t>本基金投资存托凭证的比例限制依照境内上市交易的股票执行， </w:t>
      </w:r>
      <w:r>
        <w:rPr>
          <w:sz w:val="24"/>
        </w:rPr>
        <w:t>与境内上市交易的股票合并计算；</w:t>
      </w:r>
    </w:p>
    <w:p>
      <w:pPr>
        <w:pStyle w:val="ListParagraph"/>
        <w:numPr>
          <w:ilvl w:val="0"/>
          <w:numId w:val="39"/>
        </w:numPr>
        <w:tabs>
          <w:tab w:pos="1709" w:val="left" w:leader="none"/>
        </w:tabs>
        <w:spacing w:line="240" w:lineRule="auto" w:before="2" w:after="0"/>
        <w:ind w:left="1709" w:right="0" w:hanging="481"/>
        <w:jc w:val="left"/>
        <w:rPr>
          <w:sz w:val="24"/>
        </w:rPr>
      </w:pPr>
      <w:r>
        <w:rPr>
          <w:sz w:val="24"/>
        </w:rPr>
        <w:t>法律法规、基金合同及中国证监会规定的其他比例限制。</w:t>
      </w:r>
    </w:p>
    <w:p>
      <w:pPr>
        <w:pStyle w:val="ListParagraph"/>
        <w:numPr>
          <w:ilvl w:val="0"/>
          <w:numId w:val="37"/>
        </w:numPr>
        <w:tabs>
          <w:tab w:pos="1203" w:val="left" w:leader="none"/>
        </w:tabs>
        <w:spacing w:line="364" w:lineRule="auto" w:before="160" w:after="0"/>
        <w:ind w:left="120" w:right="458" w:firstLine="480"/>
        <w:jc w:val="left"/>
        <w:rPr>
          <w:sz w:val="24"/>
        </w:rPr>
      </w:pPr>
      <w:r>
        <w:rPr>
          <w:sz w:val="24"/>
        </w:rPr>
        <w:t>法律法规或监管部门修改或取消上述限制规定时，本基金不受上述投资组合限制并相应修改限制规定。</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（八）投资组合比例调整</w:t>
      </w:r>
    </w:p>
    <w:p>
      <w:pPr>
        <w:pStyle w:val="BodyText"/>
        <w:spacing w:before="4"/>
        <w:ind w:left="0"/>
        <w:rPr>
          <w:rFonts w:ascii="Microsoft JhengHei"/>
          <w:b/>
          <w:sz w:val="14"/>
        </w:rPr>
      </w:pPr>
    </w:p>
    <w:p>
      <w:pPr>
        <w:pStyle w:val="BodyText"/>
        <w:spacing w:line="364" w:lineRule="auto"/>
        <w:ind w:right="458" w:firstLine="480"/>
        <w:jc w:val="both"/>
      </w:pPr>
      <w:r>
        <w:rPr>
          <w:spacing w:val="-4"/>
        </w:rPr>
        <w:t>除上述基金投资组合比例限制中的 </w:t>
      </w:r>
      <w:r>
        <w:rPr>
          <w:rFonts w:ascii="Times New Roman" w:eastAsia="Times New Roman"/>
        </w:rPr>
        <w:t>4</w:t>
      </w:r>
      <w:r>
        <w:rPr>
          <w:spacing w:val="-120"/>
        </w:rPr>
        <w:t>）</w:t>
      </w:r>
      <w:r>
        <w:rPr>
          <w:spacing w:val="-7"/>
        </w:rPr>
        <w:t>、</w:t>
      </w:r>
      <w:r>
        <w:rPr>
          <w:rFonts w:ascii="Times New Roman" w:eastAsia="Times New Roman"/>
        </w:rPr>
        <w:t>7</w:t>
      </w:r>
      <w:r>
        <w:rPr>
          <w:spacing w:val="-120"/>
        </w:rPr>
        <w:t>）</w:t>
      </w:r>
      <w:r>
        <w:rPr>
          <w:spacing w:val="-7"/>
        </w:rPr>
        <w:t>、</w:t>
      </w:r>
      <w:r>
        <w:rPr>
          <w:rFonts w:ascii="Times New Roman" w:eastAsia="Times New Roman"/>
        </w:rPr>
        <w:t>12</w:t>
      </w:r>
      <w:r>
        <w:rPr>
          <w:spacing w:val="-120"/>
        </w:rPr>
        <w:t>）</w:t>
      </w:r>
      <w:r>
        <w:rPr>
          <w:spacing w:val="-7"/>
        </w:rPr>
        <w:t>、</w:t>
      </w:r>
      <w:r>
        <w:rPr>
          <w:rFonts w:ascii="Times New Roman" w:eastAsia="Times New Roman"/>
        </w:rPr>
        <w:t>13</w:t>
      </w:r>
      <w:r>
        <w:rPr>
          <w:spacing w:val="-7"/>
        </w:rPr>
        <w:t>）</w:t>
      </w:r>
      <w:r>
        <w:rPr>
          <w:spacing w:val="-5"/>
        </w:rPr>
        <w:t>以外，因证券市场波</w:t>
      </w:r>
      <w:r>
        <w:rPr>
          <w:spacing w:val="-11"/>
        </w:rPr>
        <w:t>动、上市公司合并、基金规模变动等基金管理人之外的因素致使基金投资不符合</w:t>
      </w:r>
      <w:r>
        <w:rPr>
          <w:spacing w:val="-3"/>
        </w:rPr>
        <w:t>基金合同约定的投资比例规定的，基金管理人应当在 </w:t>
      </w:r>
      <w:r>
        <w:rPr/>
        <w:t>10</w:t>
      </w:r>
      <w:r>
        <w:rPr>
          <w:spacing w:val="-8"/>
        </w:rPr>
        <w:t> 个交易日内进行调整。法律法规另有规定的从其规定。</w:t>
      </w:r>
    </w:p>
    <w:p>
      <w:pPr>
        <w:spacing w:after="0" w:line="364" w:lineRule="auto"/>
        <w:jc w:val="both"/>
        <w:sectPr>
          <w:pgSz w:w="11910" w:h="16840"/>
          <w:pgMar w:header="0" w:footer="990" w:top="1460" w:bottom="1180" w:left="1680" w:right="1340"/>
        </w:sectPr>
      </w:pPr>
    </w:p>
    <w:p>
      <w:pPr>
        <w:pStyle w:val="Heading1"/>
        <w:tabs>
          <w:tab w:pos="1379" w:val="left" w:leader="none"/>
        </w:tabs>
        <w:spacing w:before="1"/>
        <w:ind w:left="403"/>
      </w:pPr>
      <w:bookmarkStart w:name="_bookmark15" w:id="16"/>
      <w:bookmarkEnd w:id="16"/>
      <w:r>
        <w:rPr>
          <w:b w:val="0"/>
        </w:rPr>
      </w:r>
      <w:r>
        <w:rPr>
          <w:position w:val="-2"/>
        </w:rPr>
        <w:t>十六、</w:t>
        <w:tab/>
      </w:r>
      <w:r>
        <w:rPr/>
        <w:t>基金的融资融券</w:t>
      </w:r>
    </w:p>
    <w:p>
      <w:pPr>
        <w:pStyle w:val="BodyText"/>
        <w:spacing w:before="231"/>
        <w:ind w:left="600"/>
      </w:pPr>
      <w:r>
        <w:rPr/>
        <w:t>本基金可以根据届时有效的有关法律法规进行融资融券。</w:t>
      </w:r>
    </w:p>
    <w:p>
      <w:pPr>
        <w:spacing w:after="0"/>
        <w:sectPr>
          <w:pgSz w:w="11910" w:h="16840"/>
          <w:pgMar w:header="0" w:footer="990" w:top="1580" w:bottom="1180" w:left="1680" w:right="1340"/>
        </w:sectPr>
      </w:pPr>
    </w:p>
    <w:p>
      <w:pPr>
        <w:pStyle w:val="Heading1"/>
        <w:tabs>
          <w:tab w:pos="1379" w:val="left" w:leader="none"/>
        </w:tabs>
        <w:spacing w:before="1"/>
        <w:ind w:left="403"/>
      </w:pPr>
      <w:bookmarkStart w:name="_bookmark16" w:id="17"/>
      <w:bookmarkEnd w:id="17"/>
      <w:r>
        <w:rPr>
          <w:b w:val="0"/>
        </w:rPr>
      </w:r>
      <w:r>
        <w:rPr>
          <w:position w:val="-2"/>
        </w:rPr>
        <w:t>十七、</w:t>
        <w:tab/>
      </w:r>
      <w:r>
        <w:rPr/>
        <w:t>基金的财产</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（一）基金资产总值</w:t>
      </w:r>
    </w:p>
    <w:p>
      <w:pPr>
        <w:pStyle w:val="BodyText"/>
        <w:spacing w:before="5"/>
        <w:ind w:left="0"/>
        <w:rPr>
          <w:rFonts w:ascii="Microsoft JhengHei"/>
          <w:b/>
          <w:sz w:val="14"/>
        </w:rPr>
      </w:pPr>
    </w:p>
    <w:p>
      <w:pPr>
        <w:pStyle w:val="BodyText"/>
        <w:spacing w:line="364" w:lineRule="auto" w:before="0"/>
        <w:ind w:right="458" w:firstLine="480"/>
        <w:jc w:val="both"/>
      </w:pPr>
      <w:r>
        <w:rPr>
          <w:spacing w:val="-5"/>
        </w:rPr>
        <w:t>基金资产总值是指本基金拥有的各类证券及票据价值、银行存款本息、债券</w:t>
      </w:r>
      <w:r>
        <w:rPr>
          <w:spacing w:val="-11"/>
        </w:rPr>
        <w:t>的应计利息、基金应收的申购基金款、缴存的保证金以及其他投资所形成的价值</w:t>
      </w:r>
      <w:r>
        <w:rPr/>
        <w:t>总和。</w:t>
      </w:r>
    </w:p>
    <w:p>
      <w:pPr>
        <w:pStyle w:val="BodyText"/>
        <w:spacing w:before="2"/>
        <w:ind w:left="600"/>
      </w:pPr>
      <w:r>
        <w:rPr/>
        <w:t>其构成主要有：</w:t>
      </w:r>
    </w:p>
    <w:p>
      <w:pPr>
        <w:pStyle w:val="BodyText"/>
        <w:spacing w:before="160"/>
        <w:ind w:left="600"/>
      </w:pPr>
      <w:r>
        <w:rPr/>
        <w:t>1、银行存款及其应计利息；</w:t>
      </w:r>
    </w:p>
    <w:p>
      <w:pPr>
        <w:pStyle w:val="BodyText"/>
        <w:spacing w:before="161"/>
        <w:ind w:left="600"/>
      </w:pPr>
      <w:r>
        <w:rPr/>
        <w:t>2、清算备付金及其应计利息；</w:t>
      </w:r>
    </w:p>
    <w:p>
      <w:pPr>
        <w:pStyle w:val="BodyText"/>
        <w:spacing w:before="160"/>
        <w:ind w:left="600"/>
      </w:pPr>
      <w:r>
        <w:rPr/>
        <w:t>3、根据有关规定缴存的保证金；</w:t>
      </w:r>
    </w:p>
    <w:p>
      <w:pPr>
        <w:pStyle w:val="BodyText"/>
        <w:spacing w:before="161"/>
        <w:ind w:left="600"/>
      </w:pPr>
      <w:r>
        <w:rPr/>
        <w:t>4、应收证券交易清算款；</w:t>
      </w:r>
    </w:p>
    <w:p>
      <w:pPr>
        <w:pStyle w:val="BodyText"/>
        <w:spacing w:before="160"/>
        <w:ind w:left="600"/>
      </w:pPr>
      <w:r>
        <w:rPr/>
        <w:t>5、应收申购基金款；</w:t>
      </w:r>
    </w:p>
    <w:p>
      <w:pPr>
        <w:pStyle w:val="BodyText"/>
        <w:spacing w:before="161"/>
        <w:ind w:left="600"/>
      </w:pPr>
      <w:r>
        <w:rPr/>
        <w:t>6、股票投资及其估值调整；</w:t>
      </w:r>
    </w:p>
    <w:p>
      <w:pPr>
        <w:pStyle w:val="BodyText"/>
        <w:spacing w:before="160"/>
        <w:ind w:left="600"/>
      </w:pPr>
      <w:r>
        <w:rPr/>
        <w:t>7、债券投资及其估值调整和应计利息；</w:t>
      </w:r>
    </w:p>
    <w:p>
      <w:pPr>
        <w:pStyle w:val="BodyText"/>
        <w:spacing w:before="161"/>
        <w:ind w:left="600"/>
      </w:pPr>
      <w:r>
        <w:rPr/>
        <w:t>8、其他投资及其估值调整；</w:t>
      </w:r>
    </w:p>
    <w:p>
      <w:pPr>
        <w:pStyle w:val="BodyText"/>
        <w:spacing w:before="160"/>
        <w:ind w:left="600"/>
      </w:pPr>
      <w:r>
        <w:rPr/>
        <w:t>9、其他资产等。</w:t>
      </w:r>
    </w:p>
    <w:p>
      <w:pPr>
        <w:pStyle w:val="BodyText"/>
        <w:spacing w:before="6"/>
        <w:ind w:left="0"/>
        <w:rPr>
          <w:sz w:val="18"/>
        </w:rPr>
      </w:pPr>
    </w:p>
    <w:p>
      <w:pPr>
        <w:spacing w:before="1"/>
        <w:ind w:left="120" w:right="0" w:firstLine="0"/>
        <w:jc w:val="left"/>
        <w:rPr>
          <w:rFonts w:ascii="Microsoft JhengHei" w:eastAsia="Microsoft JhengHei" w:hint="eastAsia"/>
          <w:b/>
          <w:sz w:val="24"/>
        </w:rPr>
      </w:pPr>
      <w:r>
        <w:rPr>
          <w:rFonts w:ascii="Microsoft JhengHei" w:eastAsia="Microsoft JhengHei" w:hint="eastAsia"/>
          <w:b/>
          <w:sz w:val="24"/>
        </w:rPr>
        <w:t>（二）基金资产净值</w:t>
      </w:r>
    </w:p>
    <w:p>
      <w:pPr>
        <w:pStyle w:val="BodyText"/>
        <w:spacing w:before="4"/>
        <w:ind w:left="0"/>
        <w:rPr>
          <w:rFonts w:ascii="Microsoft JhengHei"/>
          <w:b/>
          <w:sz w:val="14"/>
        </w:rPr>
      </w:pPr>
    </w:p>
    <w:p>
      <w:pPr>
        <w:pStyle w:val="BodyText"/>
        <w:spacing w:before="0"/>
        <w:ind w:left="600"/>
      </w:pPr>
      <w:r>
        <w:rPr/>
        <w:t>本基金基金资产净值是指基金资产总值减去负债后的价值。</w:t>
      </w:r>
    </w:p>
    <w:p>
      <w:pPr>
        <w:pStyle w:val="BodyText"/>
        <w:spacing w:before="7"/>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（三）基金财产的账户</w:t>
      </w:r>
    </w:p>
    <w:p>
      <w:pPr>
        <w:pStyle w:val="BodyText"/>
        <w:spacing w:before="4"/>
        <w:ind w:left="0"/>
        <w:rPr>
          <w:rFonts w:ascii="Microsoft JhengHei"/>
          <w:b/>
          <w:sz w:val="14"/>
        </w:rPr>
      </w:pPr>
    </w:p>
    <w:p>
      <w:pPr>
        <w:pStyle w:val="BodyText"/>
        <w:spacing w:line="364" w:lineRule="auto" w:before="0"/>
        <w:ind w:right="218" w:firstLine="480"/>
      </w:pPr>
      <w:r>
        <w:rPr>
          <w:spacing w:val="3"/>
        </w:rPr>
        <w:t>基金托管人以本基金的名义在其营业机构开立本基金的银行存款托管账户； 以基金托管人的名义在中国证券登记结算有限责任公司开立基金结算备付金账 </w:t>
      </w:r>
      <w:r>
        <w:rPr>
          <w:spacing w:val="-1"/>
        </w:rPr>
        <w:t>户，以本基金的名义在基金托管人托管系统中开立二级结算备付金账户；以基金 </w:t>
      </w:r>
      <w:r>
        <w:rPr>
          <w:spacing w:val="-4"/>
        </w:rPr>
        <w:t>托管人和本基金联名的方式在中国证券登记结算有限责任公司开立证券账户，以 </w:t>
      </w:r>
      <w:r>
        <w:rPr>
          <w:spacing w:val="-8"/>
        </w:rPr>
        <w:t>本基金的名义开立银行间债券托管账户并报中国人民银行备案。开立的上述基金 </w:t>
      </w:r>
      <w:r>
        <w:rPr>
          <w:spacing w:val="-14"/>
        </w:rPr>
        <w:t>财产账户与基金管理人、基金托管人、基金代销机构和基金注册登记人自有的财 产账户以及其他基金财产账户相独立。</w:t>
      </w:r>
    </w:p>
    <w:p>
      <w:pPr>
        <w:pStyle w:val="BodyText"/>
        <w:spacing w:before="4"/>
        <w:ind w:left="600"/>
      </w:pPr>
      <w:r>
        <w:rPr/>
        <w:t>如国家相关法律法规调整，基金管理人和基金托管人有权依据新规定执行。</w:t>
      </w:r>
    </w:p>
    <w:p>
      <w:pPr>
        <w:pStyle w:val="BodyText"/>
        <w:spacing w:before="7"/>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（四）基金财产的保管及处分</w:t>
      </w:r>
    </w:p>
    <w:p>
      <w:pPr>
        <w:spacing w:after="0"/>
        <w:jc w:val="left"/>
        <w:rPr>
          <w:rFonts w:ascii="Microsoft JhengHei" w:eastAsia="Microsoft JhengHei" w:hint="eastAsia"/>
          <w:sz w:val="24"/>
        </w:rPr>
        <w:sectPr>
          <w:pgSz w:w="11910" w:h="16840"/>
          <w:pgMar w:header="0" w:footer="990" w:top="1580" w:bottom="1180" w:left="1680" w:right="1340"/>
        </w:sectPr>
      </w:pPr>
    </w:p>
    <w:p>
      <w:pPr>
        <w:pStyle w:val="ListParagraph"/>
        <w:numPr>
          <w:ilvl w:val="0"/>
          <w:numId w:val="40"/>
        </w:numPr>
        <w:tabs>
          <w:tab w:pos="1204" w:val="left" w:leader="none"/>
        </w:tabs>
        <w:spacing w:line="364" w:lineRule="auto" w:before="44" w:after="0"/>
        <w:ind w:left="120" w:right="458" w:firstLine="480"/>
        <w:jc w:val="left"/>
        <w:rPr>
          <w:sz w:val="24"/>
        </w:rPr>
      </w:pPr>
      <w:r>
        <w:rPr>
          <w:sz w:val="24"/>
        </w:rPr>
        <w:t>本基金财产独立于基金管理人及基金托管人的固有财产，并由基金托管人保管。</w:t>
      </w:r>
    </w:p>
    <w:p>
      <w:pPr>
        <w:pStyle w:val="ListParagraph"/>
        <w:numPr>
          <w:ilvl w:val="0"/>
          <w:numId w:val="40"/>
        </w:numPr>
        <w:tabs>
          <w:tab w:pos="1203" w:val="left" w:leader="none"/>
        </w:tabs>
        <w:spacing w:line="364" w:lineRule="auto" w:before="1" w:after="0"/>
        <w:ind w:left="120" w:right="458" w:firstLine="480"/>
        <w:jc w:val="left"/>
        <w:rPr>
          <w:sz w:val="24"/>
        </w:rPr>
      </w:pPr>
      <w:r>
        <w:rPr>
          <w:sz w:val="24"/>
        </w:rPr>
        <w:t>基金管理人、基金托管人因基金财产的管理、运用或者其他情形而取得的财产和收益，归基金财产。</w:t>
      </w:r>
    </w:p>
    <w:p>
      <w:pPr>
        <w:pStyle w:val="ListParagraph"/>
        <w:numPr>
          <w:ilvl w:val="0"/>
          <w:numId w:val="40"/>
        </w:numPr>
        <w:tabs>
          <w:tab w:pos="1203" w:val="left" w:leader="none"/>
        </w:tabs>
        <w:spacing w:line="364" w:lineRule="auto" w:before="1" w:after="0"/>
        <w:ind w:left="120" w:right="458" w:firstLine="480"/>
        <w:jc w:val="left"/>
        <w:rPr>
          <w:sz w:val="24"/>
        </w:rPr>
      </w:pPr>
      <w:r>
        <w:rPr>
          <w:sz w:val="24"/>
        </w:rPr>
        <w:t>基金管理人、基金托管人因依法解散、被依法撤销或者被依法宣告破产等原因进行清算的，基金财产不属于其清算范围。</w:t>
      </w:r>
    </w:p>
    <w:p>
      <w:pPr>
        <w:pStyle w:val="ListParagraph"/>
        <w:numPr>
          <w:ilvl w:val="0"/>
          <w:numId w:val="40"/>
        </w:numPr>
        <w:tabs>
          <w:tab w:pos="1203" w:val="left" w:leader="none"/>
        </w:tabs>
        <w:spacing w:line="364" w:lineRule="auto" w:before="1" w:after="0"/>
        <w:ind w:left="120" w:right="218" w:firstLine="480"/>
        <w:jc w:val="left"/>
        <w:rPr>
          <w:sz w:val="24"/>
        </w:rPr>
      </w:pPr>
      <w:r>
        <w:rPr>
          <w:sz w:val="24"/>
        </w:rPr>
        <w:t>基金财产的债权不得与基金管理人、基金托管人固有财产的债务相抵 </w:t>
      </w:r>
      <w:r>
        <w:rPr>
          <w:spacing w:val="3"/>
          <w:sz w:val="24"/>
        </w:rPr>
        <w:t>销；不同基金财产的债权债务，不得相互抵销。非因基金财产本身承担的债务， 不得对基金财产强制执行。</w:t>
      </w:r>
    </w:p>
    <w:p>
      <w:pPr>
        <w:spacing w:after="0" w:line="364" w:lineRule="auto"/>
        <w:jc w:val="left"/>
        <w:rPr>
          <w:sz w:val="24"/>
        </w:rPr>
        <w:sectPr>
          <w:pgSz w:w="11910" w:h="16840"/>
          <w:pgMar w:header="0" w:footer="990" w:top="1460" w:bottom="1180" w:left="1680" w:right="1340"/>
        </w:sectPr>
      </w:pPr>
    </w:p>
    <w:p>
      <w:pPr>
        <w:pStyle w:val="Heading1"/>
        <w:tabs>
          <w:tab w:pos="1379" w:val="left" w:leader="none"/>
        </w:tabs>
        <w:spacing w:before="1"/>
        <w:ind w:left="403"/>
      </w:pPr>
      <w:bookmarkStart w:name="_bookmark17" w:id="18"/>
      <w:bookmarkEnd w:id="18"/>
      <w:r>
        <w:rPr>
          <w:b w:val="0"/>
        </w:rPr>
      </w:r>
      <w:r>
        <w:rPr>
          <w:position w:val="-2"/>
        </w:rPr>
        <w:t>十八、</w:t>
        <w:tab/>
      </w:r>
      <w:r>
        <w:rPr/>
        <w:t>基金资产估值</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（一）估值目的</w:t>
      </w:r>
    </w:p>
    <w:p>
      <w:pPr>
        <w:pStyle w:val="BodyText"/>
        <w:spacing w:before="5"/>
        <w:ind w:left="0"/>
        <w:rPr>
          <w:rFonts w:ascii="Microsoft JhengHei"/>
          <w:b/>
          <w:sz w:val="14"/>
        </w:rPr>
      </w:pPr>
    </w:p>
    <w:p>
      <w:pPr>
        <w:pStyle w:val="BodyText"/>
        <w:spacing w:line="364" w:lineRule="auto" w:before="0"/>
        <w:ind w:right="458" w:firstLine="480"/>
        <w:jc w:val="both"/>
      </w:pPr>
      <w:r>
        <w:rPr>
          <w:spacing w:val="-9"/>
        </w:rPr>
        <w:t>基金估值的目的是为了准确、真实地反映基金相关金融资产和金融负债的公</w:t>
      </w:r>
      <w:r>
        <w:rPr>
          <w:spacing w:val="-11"/>
        </w:rPr>
        <w:t>允价值。开放式基金份额申购、赎回价格应按基金估值后确定的基金份额净值计</w:t>
      </w:r>
      <w:r>
        <w:rPr/>
        <w:t>算。</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（二）估值日</w:t>
      </w:r>
    </w:p>
    <w:p>
      <w:pPr>
        <w:pStyle w:val="BodyText"/>
        <w:spacing w:before="5"/>
        <w:ind w:left="0"/>
        <w:rPr>
          <w:rFonts w:ascii="Microsoft JhengHei"/>
          <w:b/>
          <w:sz w:val="14"/>
        </w:rPr>
      </w:pPr>
    </w:p>
    <w:p>
      <w:pPr>
        <w:pStyle w:val="BodyText"/>
        <w:spacing w:line="364" w:lineRule="auto" w:before="0"/>
        <w:ind w:right="458" w:firstLine="480"/>
      </w:pPr>
      <w:r>
        <w:rPr/>
        <w:t>本基金的估值日为上海和深圳证券交易所的交易日以及国家法律法规规定需要对外披露基金净值的非营业日。</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（三）估值对象</w:t>
      </w:r>
    </w:p>
    <w:p>
      <w:pPr>
        <w:pStyle w:val="BodyText"/>
        <w:spacing w:before="4"/>
        <w:ind w:left="0"/>
        <w:rPr>
          <w:rFonts w:ascii="Microsoft JhengHei"/>
          <w:b/>
          <w:sz w:val="14"/>
        </w:rPr>
      </w:pPr>
    </w:p>
    <w:p>
      <w:pPr>
        <w:pStyle w:val="BodyText"/>
        <w:spacing w:before="0"/>
        <w:ind w:left="600"/>
      </w:pPr>
      <w:r>
        <w:rPr/>
        <w:t>基金所持有的金融资产和金融负债。</w:t>
      </w:r>
    </w:p>
    <w:p>
      <w:pPr>
        <w:pStyle w:val="BodyText"/>
        <w:spacing w:before="7"/>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（四）估值方法</w:t>
      </w:r>
    </w:p>
    <w:p>
      <w:pPr>
        <w:pStyle w:val="BodyText"/>
        <w:spacing w:before="4"/>
        <w:ind w:left="0"/>
        <w:rPr>
          <w:rFonts w:ascii="Microsoft JhengHei"/>
          <w:b/>
          <w:sz w:val="14"/>
        </w:rPr>
      </w:pPr>
    </w:p>
    <w:p>
      <w:pPr>
        <w:pStyle w:val="BodyText"/>
        <w:spacing w:before="0"/>
      </w:pPr>
      <w:r>
        <w:rPr/>
        <w:t>1、股票估值方法</w:t>
      </w:r>
    </w:p>
    <w:p>
      <w:pPr>
        <w:pStyle w:val="BodyText"/>
        <w:spacing w:before="9"/>
        <w:ind w:left="0"/>
      </w:pPr>
    </w:p>
    <w:p>
      <w:pPr>
        <w:pStyle w:val="ListParagraph"/>
        <w:numPr>
          <w:ilvl w:val="0"/>
          <w:numId w:val="41"/>
        </w:numPr>
        <w:tabs>
          <w:tab w:pos="721" w:val="left" w:leader="none"/>
        </w:tabs>
        <w:spacing w:line="240" w:lineRule="auto" w:before="0" w:after="0"/>
        <w:ind w:left="721" w:right="0" w:hanging="601"/>
        <w:jc w:val="left"/>
        <w:rPr>
          <w:sz w:val="24"/>
        </w:rPr>
      </w:pPr>
      <w:r>
        <w:rPr>
          <w:sz w:val="24"/>
        </w:rPr>
        <w:t>上市流通股票的估值</w:t>
      </w:r>
    </w:p>
    <w:p>
      <w:pPr>
        <w:pStyle w:val="BodyText"/>
        <w:spacing w:before="9"/>
        <w:ind w:left="0"/>
      </w:pPr>
    </w:p>
    <w:p>
      <w:pPr>
        <w:pStyle w:val="BodyText"/>
        <w:spacing w:line="364" w:lineRule="auto" w:before="0"/>
        <w:ind w:right="218" w:firstLine="540"/>
      </w:pPr>
      <w:r>
        <w:rPr/>
        <w:t>上市流通股票按估值日其所在证券交易所的收盘价估值；估值日无交易的， 以最近交易日的收盘价估值。</w:t>
      </w:r>
    </w:p>
    <w:p>
      <w:pPr>
        <w:pStyle w:val="ListParagraph"/>
        <w:numPr>
          <w:ilvl w:val="0"/>
          <w:numId w:val="41"/>
        </w:numPr>
        <w:tabs>
          <w:tab w:pos="721" w:val="left" w:leader="none"/>
        </w:tabs>
        <w:spacing w:line="240" w:lineRule="auto" w:before="157" w:after="0"/>
        <w:ind w:left="721" w:right="0" w:hanging="601"/>
        <w:jc w:val="left"/>
        <w:rPr>
          <w:sz w:val="24"/>
        </w:rPr>
      </w:pPr>
      <w:r>
        <w:rPr>
          <w:sz w:val="24"/>
        </w:rPr>
        <w:t>未上市股票的估值</w:t>
      </w:r>
    </w:p>
    <w:p>
      <w:pPr>
        <w:pStyle w:val="BodyText"/>
        <w:spacing w:before="9"/>
        <w:ind w:left="0"/>
      </w:pPr>
    </w:p>
    <w:p>
      <w:pPr>
        <w:pStyle w:val="BodyText"/>
        <w:spacing w:line="364" w:lineRule="auto" w:before="0"/>
        <w:ind w:right="458" w:firstLine="540"/>
        <w:jc w:val="both"/>
      </w:pPr>
      <w:r>
        <w:rPr/>
        <w:t>送股、转增股、配股和公开增发新股等发行未上市的股票，按估值日在交</w:t>
      </w:r>
      <w:r>
        <w:rPr>
          <w:spacing w:val="-8"/>
        </w:rPr>
        <w:t>易所挂牌的同一股票的收盘价估值；估值日无交易的，以最近交易日的收盘价估</w:t>
      </w:r>
      <w:r>
        <w:rPr/>
        <w:t>值。</w:t>
      </w:r>
    </w:p>
    <w:p>
      <w:pPr>
        <w:pStyle w:val="BodyText"/>
        <w:spacing w:line="364" w:lineRule="auto" w:before="158"/>
        <w:ind w:right="458" w:firstLine="540"/>
      </w:pPr>
      <w:r>
        <w:rPr/>
        <w:t>首次发行未上市的股票，采用估值技术确定公允价值，在估值技术难以可靠计量的情况下，按成本估值。</w:t>
      </w:r>
    </w:p>
    <w:p>
      <w:pPr>
        <w:pStyle w:val="ListParagraph"/>
        <w:numPr>
          <w:ilvl w:val="0"/>
          <w:numId w:val="41"/>
        </w:numPr>
        <w:tabs>
          <w:tab w:pos="721" w:val="left" w:leader="none"/>
        </w:tabs>
        <w:spacing w:line="240" w:lineRule="auto" w:before="157" w:after="0"/>
        <w:ind w:left="721" w:right="0" w:hanging="601"/>
        <w:jc w:val="left"/>
        <w:rPr>
          <w:sz w:val="24"/>
        </w:rPr>
      </w:pPr>
      <w:r>
        <w:rPr>
          <w:sz w:val="24"/>
        </w:rPr>
        <w:t>有明确锁定期股票的估值</w:t>
      </w:r>
    </w:p>
    <w:p>
      <w:pPr>
        <w:pStyle w:val="BodyText"/>
        <w:spacing w:before="9"/>
        <w:ind w:left="0"/>
      </w:pPr>
    </w:p>
    <w:p>
      <w:pPr>
        <w:pStyle w:val="BodyText"/>
        <w:spacing w:line="364" w:lineRule="auto" w:before="0"/>
        <w:ind w:right="218" w:firstLine="540"/>
      </w:pPr>
      <w:r>
        <w:rPr/>
        <w:t>首次公开发行有明确锁定期的股票，同一股票在交易所上市后，按交易所 </w:t>
      </w:r>
      <w:r>
        <w:rPr>
          <w:spacing w:val="3"/>
        </w:rPr>
        <w:t>上市的同一股票的收盘价估值，估值日无交易的，以最近交易日的收盘价估值；</w:t>
      </w:r>
    </w:p>
    <w:p>
      <w:pPr>
        <w:spacing w:after="0" w:line="364" w:lineRule="auto"/>
        <w:sectPr>
          <w:pgSz w:w="11910" w:h="16840"/>
          <w:pgMar w:header="0" w:footer="990" w:top="1580" w:bottom="1180" w:left="1680" w:right="1340"/>
        </w:sectPr>
      </w:pPr>
    </w:p>
    <w:p>
      <w:pPr>
        <w:pStyle w:val="BodyText"/>
        <w:spacing w:line="364" w:lineRule="auto" w:before="44"/>
        <w:ind w:right="458"/>
      </w:pPr>
      <w:r>
        <w:rPr>
          <w:spacing w:val="-6"/>
        </w:rPr>
        <w:t>非公开发行有明确锁定期的流通受限股票，按监管机构或行业协会的有关规定确</w:t>
      </w:r>
      <w:r>
        <w:rPr/>
        <w:t>定公允价值。</w:t>
      </w:r>
    </w:p>
    <w:p>
      <w:pPr>
        <w:pStyle w:val="BodyText"/>
        <w:spacing w:before="157"/>
      </w:pPr>
      <w:r>
        <w:rPr/>
        <w:t>2、固定收益证券估值办法</w:t>
      </w:r>
    </w:p>
    <w:p>
      <w:pPr>
        <w:pStyle w:val="BodyText"/>
        <w:spacing w:before="9"/>
        <w:ind w:left="0"/>
      </w:pPr>
    </w:p>
    <w:p>
      <w:pPr>
        <w:pStyle w:val="ListParagraph"/>
        <w:numPr>
          <w:ilvl w:val="0"/>
          <w:numId w:val="42"/>
        </w:numPr>
        <w:tabs>
          <w:tab w:pos="723" w:val="left" w:leader="none"/>
        </w:tabs>
        <w:spacing w:line="364" w:lineRule="auto" w:before="0" w:after="0"/>
        <w:ind w:left="120" w:right="458" w:firstLine="0"/>
        <w:jc w:val="left"/>
        <w:rPr>
          <w:sz w:val="24"/>
        </w:rPr>
      </w:pPr>
      <w:r>
        <w:rPr>
          <w:sz w:val="24"/>
        </w:rPr>
        <w:t>证券交易所市场实行净价交易的债券按估值日收盘价估值，估值日没有交易的，按最近交易日的收盘价估值。</w:t>
      </w:r>
    </w:p>
    <w:p>
      <w:pPr>
        <w:pStyle w:val="ListParagraph"/>
        <w:numPr>
          <w:ilvl w:val="0"/>
          <w:numId w:val="42"/>
        </w:numPr>
        <w:tabs>
          <w:tab w:pos="723" w:val="left" w:leader="none"/>
        </w:tabs>
        <w:spacing w:line="364" w:lineRule="auto" w:before="157" w:after="0"/>
        <w:ind w:left="120" w:right="458" w:firstLine="0"/>
        <w:jc w:val="both"/>
        <w:rPr>
          <w:sz w:val="24"/>
        </w:rPr>
      </w:pPr>
      <w:r>
        <w:rPr>
          <w:sz w:val="24"/>
        </w:rPr>
        <w:t>证券交易所市场未实行净价交易的债券按估值日收盘价减去债券收盘价中</w:t>
      </w:r>
      <w:r>
        <w:rPr>
          <w:spacing w:val="-6"/>
          <w:sz w:val="24"/>
        </w:rPr>
        <w:t>所含的债券应收利息得到的净价进行估值，估值日没有交易的，按最近交易日债</w:t>
      </w:r>
      <w:r>
        <w:rPr>
          <w:sz w:val="24"/>
        </w:rPr>
        <w:t>券收盘价计算得到的净价估值。</w:t>
      </w:r>
    </w:p>
    <w:p>
      <w:pPr>
        <w:pStyle w:val="ListParagraph"/>
        <w:numPr>
          <w:ilvl w:val="0"/>
          <w:numId w:val="42"/>
        </w:numPr>
        <w:tabs>
          <w:tab w:pos="723" w:val="left" w:leader="none"/>
        </w:tabs>
        <w:spacing w:line="364" w:lineRule="auto" w:before="158" w:after="0"/>
        <w:ind w:left="120" w:right="458" w:firstLine="0"/>
        <w:jc w:val="left"/>
        <w:rPr>
          <w:sz w:val="24"/>
        </w:rPr>
      </w:pPr>
      <w:r>
        <w:rPr>
          <w:sz w:val="24"/>
        </w:rPr>
        <w:t>未上市债券采用估值技术确定公允价值，在估值技术难以可靠计量的情况下，按成本估值。</w:t>
      </w:r>
    </w:p>
    <w:p>
      <w:pPr>
        <w:pStyle w:val="ListParagraph"/>
        <w:numPr>
          <w:ilvl w:val="0"/>
          <w:numId w:val="42"/>
        </w:numPr>
        <w:tabs>
          <w:tab w:pos="723" w:val="left" w:leader="none"/>
        </w:tabs>
        <w:spacing w:line="364" w:lineRule="auto" w:before="157" w:after="0"/>
        <w:ind w:left="120" w:right="458" w:firstLine="0"/>
        <w:jc w:val="left"/>
        <w:rPr>
          <w:sz w:val="24"/>
        </w:rPr>
      </w:pPr>
      <w:r>
        <w:rPr>
          <w:sz w:val="24"/>
        </w:rPr>
        <w:t>在银行间债券市场交易的债券、资产支持证券等固定收益品种，采用估值技术确定公允价值。</w:t>
      </w:r>
    </w:p>
    <w:p>
      <w:pPr>
        <w:pStyle w:val="ListParagraph"/>
        <w:numPr>
          <w:ilvl w:val="0"/>
          <w:numId w:val="42"/>
        </w:numPr>
        <w:tabs>
          <w:tab w:pos="723" w:val="left" w:leader="none"/>
        </w:tabs>
        <w:spacing w:line="364" w:lineRule="auto" w:before="157" w:after="0"/>
        <w:ind w:left="120" w:right="218" w:firstLine="0"/>
        <w:jc w:val="left"/>
        <w:rPr>
          <w:sz w:val="24"/>
        </w:rPr>
      </w:pPr>
      <w:r>
        <w:rPr>
          <w:sz w:val="24"/>
        </w:rPr>
        <w:t>交易所以大宗交易方式转让的资产支持证券，采用估值技术确定公允价值， 在估值技术难以可靠计量公允价值的情况下，按成本进行后续计量。</w:t>
      </w:r>
    </w:p>
    <w:p>
      <w:pPr>
        <w:pStyle w:val="ListParagraph"/>
        <w:numPr>
          <w:ilvl w:val="0"/>
          <w:numId w:val="42"/>
        </w:numPr>
        <w:tabs>
          <w:tab w:pos="721" w:val="left" w:leader="none"/>
        </w:tabs>
        <w:spacing w:line="240" w:lineRule="auto" w:before="158" w:after="0"/>
        <w:ind w:left="721" w:right="0" w:hanging="601"/>
        <w:jc w:val="left"/>
        <w:rPr>
          <w:sz w:val="24"/>
        </w:rPr>
      </w:pPr>
      <w:r>
        <w:rPr>
          <w:spacing w:val="-3"/>
          <w:sz w:val="24"/>
        </w:rPr>
        <w:t>同一债券同时在两个或两个以上市场交易的，按债券所处的市场分别估值。</w:t>
      </w:r>
    </w:p>
    <w:p>
      <w:pPr>
        <w:pStyle w:val="BodyText"/>
        <w:spacing w:before="8"/>
        <w:ind w:left="0"/>
      </w:pPr>
    </w:p>
    <w:p>
      <w:pPr>
        <w:pStyle w:val="BodyText"/>
      </w:pPr>
      <w:r>
        <w:rPr/>
        <w:t>3、权证估值：</w:t>
      </w:r>
    </w:p>
    <w:p>
      <w:pPr>
        <w:pStyle w:val="BodyText"/>
        <w:spacing w:before="8"/>
        <w:ind w:left="0"/>
      </w:pPr>
    </w:p>
    <w:p>
      <w:pPr>
        <w:pStyle w:val="ListParagraph"/>
        <w:numPr>
          <w:ilvl w:val="0"/>
          <w:numId w:val="43"/>
        </w:numPr>
        <w:tabs>
          <w:tab w:pos="959" w:val="left" w:leader="none"/>
          <w:tab w:pos="960" w:val="left" w:leader="none"/>
        </w:tabs>
        <w:spacing w:line="240" w:lineRule="auto" w:before="1" w:after="0"/>
        <w:ind w:left="960" w:right="0" w:hanging="840"/>
        <w:jc w:val="left"/>
        <w:rPr>
          <w:sz w:val="24"/>
        </w:rPr>
      </w:pPr>
      <w:r>
        <w:rPr>
          <w:sz w:val="24"/>
        </w:rPr>
        <w:t>配股权证的估值：</w:t>
      </w:r>
    </w:p>
    <w:p>
      <w:pPr>
        <w:pStyle w:val="BodyText"/>
        <w:spacing w:before="8"/>
        <w:ind w:left="0"/>
      </w:pPr>
    </w:p>
    <w:p>
      <w:pPr>
        <w:pStyle w:val="BodyText"/>
        <w:ind w:left="600"/>
      </w:pPr>
      <w:r>
        <w:rPr/>
        <w:t>因持有股票而享有的配股权，采用估值技术进行估值。</w:t>
      </w:r>
    </w:p>
    <w:p>
      <w:pPr>
        <w:pStyle w:val="BodyText"/>
        <w:spacing w:before="8"/>
        <w:ind w:left="0"/>
      </w:pPr>
    </w:p>
    <w:p>
      <w:pPr>
        <w:pStyle w:val="ListParagraph"/>
        <w:numPr>
          <w:ilvl w:val="0"/>
          <w:numId w:val="43"/>
        </w:numPr>
        <w:tabs>
          <w:tab w:pos="959" w:val="left" w:leader="none"/>
          <w:tab w:pos="960" w:val="left" w:leader="none"/>
        </w:tabs>
        <w:spacing w:line="240" w:lineRule="auto" w:before="1" w:after="0"/>
        <w:ind w:left="960" w:right="0" w:hanging="840"/>
        <w:jc w:val="left"/>
        <w:rPr>
          <w:sz w:val="24"/>
        </w:rPr>
      </w:pPr>
      <w:r>
        <w:rPr>
          <w:sz w:val="24"/>
        </w:rPr>
        <w:t>认沽/认购权证的估值：</w:t>
      </w:r>
    </w:p>
    <w:p>
      <w:pPr>
        <w:pStyle w:val="BodyText"/>
        <w:spacing w:before="8"/>
        <w:ind w:left="0"/>
      </w:pPr>
    </w:p>
    <w:p>
      <w:pPr>
        <w:pStyle w:val="BodyText"/>
        <w:spacing w:line="364" w:lineRule="auto"/>
        <w:ind w:right="218" w:firstLine="540"/>
      </w:pPr>
      <w:r>
        <w:rPr>
          <w:spacing w:val="-3"/>
        </w:rPr>
        <w:t>从持有确认日起到卖出日或行权日止，上市交易的认沽</w:t>
      </w:r>
      <w:r>
        <w:rPr/>
        <w:t>/认购权证按估值日 </w:t>
      </w:r>
      <w:r>
        <w:rPr>
          <w:spacing w:val="-4"/>
        </w:rPr>
        <w:t>的收盘价估值，估值日没有交易的，按最近交易日的收盘价估值；未上市交易的 认沽/认购权证采用估值技术确定公允价值，在估值技术难以可靠计量的情况下， 按成本估值；停止交易、但未行权的权证，采用估值技术确定公允价值。</w:t>
      </w:r>
    </w:p>
    <w:p>
      <w:pPr>
        <w:pStyle w:val="BodyText"/>
        <w:spacing w:before="158"/>
      </w:pPr>
      <w:r>
        <w:rPr/>
        <w:t>4、其他资产按国家有关规定进行估值。</w:t>
      </w:r>
    </w:p>
    <w:p>
      <w:pPr>
        <w:pStyle w:val="BodyText"/>
        <w:spacing w:before="161"/>
      </w:pPr>
      <w:r>
        <w:rPr/>
        <w:t>5、本基金投资存托凭证的估值核算，依照境内上市交易的股票执行。</w:t>
      </w:r>
    </w:p>
    <w:p>
      <w:pPr>
        <w:spacing w:after="0"/>
        <w:sectPr>
          <w:pgSz w:w="11910" w:h="16840"/>
          <w:pgMar w:header="0" w:footer="990" w:top="1460" w:bottom="1180" w:left="1680" w:right="1340"/>
        </w:sectPr>
      </w:pPr>
    </w:p>
    <w:p>
      <w:pPr>
        <w:pStyle w:val="BodyText"/>
        <w:spacing w:line="364" w:lineRule="auto" w:before="44"/>
        <w:ind w:right="218"/>
      </w:pPr>
      <w:r>
        <w:rPr/>
        <w:t>6</w:t>
      </w:r>
      <w:r>
        <w:rPr>
          <w:spacing w:val="-4"/>
        </w:rPr>
        <w:t>、在任何情况下，基金管理人采用上述 </w:t>
      </w:r>
      <w:r>
        <w:rPr/>
        <w:t>1-4</w:t>
      </w:r>
      <w:r>
        <w:rPr>
          <w:spacing w:val="-8"/>
        </w:rPr>
        <w:t> 项规定的方法对基金财产进行估值， </w:t>
      </w:r>
      <w:r>
        <w:rPr>
          <w:spacing w:val="-13"/>
        </w:rPr>
        <w:t>均应被认为采用了适当的估值方法。但是，如果基金管理人有充足的理由认为按 </w:t>
      </w:r>
      <w:r>
        <w:rPr>
          <w:spacing w:val="-17"/>
        </w:rPr>
        <w:t>上述方法对基金财产进行估值不能客观反映其公允价值的，基金管理人可在综合 </w:t>
      </w:r>
      <w:r>
        <w:rPr>
          <w:spacing w:val="-16"/>
        </w:rPr>
        <w:t>考虑市场成交价、市场报价、流动性、收益率曲线等多种因素的基础上与基金托 管人商定后，按最能反映公允价值的价格估值。</w:t>
      </w:r>
    </w:p>
    <w:p>
      <w:pPr>
        <w:pStyle w:val="BodyText"/>
        <w:spacing w:before="3"/>
      </w:pPr>
      <w:r>
        <w:rPr/>
        <w:t>7、国家有最新规定的，按其规定进行估值。</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（五）估值程序</w:t>
      </w:r>
    </w:p>
    <w:p>
      <w:pPr>
        <w:pStyle w:val="BodyText"/>
        <w:spacing w:before="5"/>
        <w:ind w:left="0"/>
        <w:rPr>
          <w:rFonts w:ascii="Microsoft JhengHei"/>
          <w:b/>
          <w:sz w:val="14"/>
        </w:rPr>
      </w:pPr>
    </w:p>
    <w:p>
      <w:pPr>
        <w:pStyle w:val="BodyText"/>
        <w:spacing w:line="364" w:lineRule="auto" w:before="0"/>
        <w:ind w:right="458" w:firstLine="480"/>
        <w:jc w:val="both"/>
      </w:pPr>
      <w:r>
        <w:rPr>
          <w:spacing w:val="-6"/>
        </w:rPr>
        <w:t>基金日常估值由基金管理人同基金托管人一同进行。基金份额净值由基金管</w:t>
      </w:r>
      <w:r>
        <w:rPr>
          <w:spacing w:val="-9"/>
        </w:rPr>
        <w:t>理人完成估值后，将估值结果以书面形式报给基金托管人，基金托管人按基金合</w:t>
      </w:r>
      <w:r>
        <w:rPr>
          <w:spacing w:val="-10"/>
        </w:rPr>
        <w:t>同规定的估值方法、时间、程序进行复核，基金托管人复核无误后签章返回给基</w:t>
      </w:r>
      <w:r>
        <w:rPr/>
        <w:t>金管理人。月末、年中和年末估值复核与基金会计账目的核对同时进行。</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（六）暂停估值的情形</w:t>
      </w:r>
    </w:p>
    <w:p>
      <w:pPr>
        <w:pStyle w:val="BodyText"/>
        <w:spacing w:before="4"/>
        <w:ind w:left="0"/>
        <w:rPr>
          <w:rFonts w:ascii="Microsoft JhengHei"/>
          <w:b/>
          <w:sz w:val="14"/>
        </w:rPr>
      </w:pPr>
    </w:p>
    <w:p>
      <w:pPr>
        <w:pStyle w:val="ListParagraph"/>
        <w:numPr>
          <w:ilvl w:val="1"/>
          <w:numId w:val="43"/>
        </w:numPr>
        <w:tabs>
          <w:tab w:pos="1201" w:val="left" w:leader="none"/>
        </w:tabs>
        <w:spacing w:line="240" w:lineRule="auto" w:before="1" w:after="0"/>
        <w:ind w:left="1201" w:right="0" w:hanging="601"/>
        <w:jc w:val="left"/>
        <w:rPr>
          <w:sz w:val="24"/>
        </w:rPr>
      </w:pPr>
      <w:r>
        <w:rPr>
          <w:spacing w:val="-2"/>
          <w:sz w:val="24"/>
        </w:rPr>
        <w:t>基金投资所涉及的证券交易所遇法定节假日或因其他原因暂停营业时；</w:t>
      </w:r>
    </w:p>
    <w:p>
      <w:pPr>
        <w:pStyle w:val="ListParagraph"/>
        <w:numPr>
          <w:ilvl w:val="1"/>
          <w:numId w:val="43"/>
        </w:numPr>
        <w:tabs>
          <w:tab w:pos="1203" w:val="left" w:leader="none"/>
        </w:tabs>
        <w:spacing w:line="364" w:lineRule="auto" w:before="160" w:after="0"/>
        <w:ind w:left="120" w:right="458" w:firstLine="480"/>
        <w:jc w:val="left"/>
        <w:rPr>
          <w:sz w:val="24"/>
        </w:rPr>
      </w:pPr>
      <w:r>
        <w:rPr>
          <w:sz w:val="24"/>
        </w:rPr>
        <w:t>因不可抗力或其他情形致使基金管理人、托管人无法准确评估基金资产价值时；</w:t>
      </w:r>
    </w:p>
    <w:p>
      <w:pPr>
        <w:pStyle w:val="ListParagraph"/>
        <w:numPr>
          <w:ilvl w:val="1"/>
          <w:numId w:val="43"/>
        </w:numPr>
        <w:tabs>
          <w:tab w:pos="1201" w:val="left" w:leader="none"/>
        </w:tabs>
        <w:spacing w:line="364" w:lineRule="auto" w:before="1" w:after="0"/>
        <w:ind w:left="120" w:right="458" w:firstLine="480"/>
        <w:jc w:val="both"/>
        <w:rPr>
          <w:sz w:val="24"/>
        </w:rPr>
      </w:pPr>
      <w:r>
        <w:rPr>
          <w:sz w:val="24"/>
        </w:rPr>
        <w:t>当前一估值日基金资产净值 </w:t>
      </w:r>
      <w:r>
        <w:rPr>
          <w:rFonts w:ascii="Times New Roman" w:eastAsia="Times New Roman"/>
          <w:sz w:val="24"/>
        </w:rPr>
        <w:t>50%</w:t>
      </w:r>
      <w:r>
        <w:rPr>
          <w:sz w:val="24"/>
        </w:rPr>
        <w:t>以上的资产出现无可参考的活跃市</w:t>
      </w:r>
      <w:r>
        <w:rPr>
          <w:spacing w:val="-9"/>
          <w:sz w:val="24"/>
        </w:rPr>
        <w:t>场价格且采用估值技术仍导致公允价值存在重大不确定性时，经与基金托管人协</w:t>
      </w:r>
      <w:r>
        <w:rPr>
          <w:spacing w:val="-4"/>
          <w:sz w:val="24"/>
        </w:rPr>
        <w:t>商一致的；</w:t>
      </w:r>
    </w:p>
    <w:p>
      <w:pPr>
        <w:pStyle w:val="ListParagraph"/>
        <w:numPr>
          <w:ilvl w:val="1"/>
          <w:numId w:val="43"/>
        </w:numPr>
        <w:tabs>
          <w:tab w:pos="1201" w:val="left" w:leader="none"/>
        </w:tabs>
        <w:spacing w:line="240" w:lineRule="auto" w:before="2" w:after="0"/>
        <w:ind w:left="1201" w:right="0" w:hanging="601"/>
        <w:jc w:val="left"/>
        <w:rPr>
          <w:sz w:val="24"/>
        </w:rPr>
      </w:pPr>
      <w:r>
        <w:rPr>
          <w:sz w:val="24"/>
        </w:rPr>
        <w:t>法律法规规定、中国证监会和基金合同认定的其他情形。</w:t>
      </w:r>
    </w:p>
    <w:p>
      <w:pPr>
        <w:pStyle w:val="BodyText"/>
        <w:spacing w:before="0"/>
        <w:ind w:left="0"/>
        <w:rPr>
          <w:sz w:val="26"/>
        </w:rPr>
      </w:pPr>
    </w:p>
    <w:p>
      <w:pPr>
        <w:pStyle w:val="BodyText"/>
        <w:spacing w:before="0"/>
        <w:ind w:left="0"/>
        <w:rPr>
          <w:sz w:val="29"/>
        </w:rPr>
      </w:pPr>
    </w:p>
    <w:p>
      <w:pPr>
        <w:spacing w:before="1"/>
        <w:ind w:left="120" w:right="0" w:firstLine="0"/>
        <w:jc w:val="left"/>
        <w:rPr>
          <w:rFonts w:ascii="Microsoft JhengHei" w:eastAsia="Microsoft JhengHei" w:hint="eastAsia"/>
          <w:b/>
          <w:sz w:val="24"/>
        </w:rPr>
      </w:pPr>
      <w:r>
        <w:rPr>
          <w:rFonts w:ascii="Microsoft JhengHei" w:eastAsia="Microsoft JhengHei" w:hint="eastAsia"/>
          <w:b/>
          <w:sz w:val="24"/>
        </w:rPr>
        <w:t>（七）基金份额净值的计算</w:t>
      </w:r>
    </w:p>
    <w:p>
      <w:pPr>
        <w:pStyle w:val="BodyText"/>
        <w:spacing w:before="4"/>
        <w:ind w:left="0"/>
        <w:rPr>
          <w:rFonts w:ascii="Microsoft JhengHei"/>
          <w:b/>
          <w:sz w:val="14"/>
        </w:rPr>
      </w:pPr>
    </w:p>
    <w:p>
      <w:pPr>
        <w:pStyle w:val="BodyText"/>
        <w:spacing w:line="364" w:lineRule="auto" w:before="0"/>
        <w:ind w:right="458" w:firstLine="480"/>
        <w:jc w:val="both"/>
      </w:pPr>
      <w:r>
        <w:rPr>
          <w:spacing w:val="-5"/>
        </w:rPr>
        <w:t>用于基金信息披露的基金份额净值由基金管理人负责计算，基金托管人进行</w:t>
      </w:r>
      <w:r>
        <w:rPr>
          <w:spacing w:val="-12"/>
        </w:rPr>
        <w:t>复核。基金管理人应于每个工作日交易结束后计算当日的基金份额净值并发送给</w:t>
      </w:r>
      <w:r>
        <w:rPr>
          <w:spacing w:val="-10"/>
        </w:rPr>
        <w:t>基金托管人。基金托管人对净值计算结果复核确认后发送给基金管理人，由基金</w:t>
      </w:r>
      <w:r>
        <w:rPr/>
        <w:t>管理人对基金份额净值予以公布。</w:t>
      </w:r>
    </w:p>
    <w:p>
      <w:pPr>
        <w:pStyle w:val="BodyText"/>
        <w:spacing w:line="364" w:lineRule="auto" w:before="2"/>
        <w:ind w:right="458" w:firstLine="480"/>
        <w:jc w:val="both"/>
      </w:pPr>
      <w:r>
        <w:rPr>
          <w:spacing w:val="-7"/>
        </w:rPr>
        <w:t>基金份额净值的计算，精确到 </w:t>
      </w:r>
      <w:r>
        <w:rPr/>
        <w:t>0.0001</w:t>
      </w:r>
      <w:r>
        <w:rPr>
          <w:spacing w:val="-5"/>
        </w:rPr>
        <w:t> 元，小数点第五位四舍五入。国家另</w:t>
      </w:r>
      <w:r>
        <w:rPr/>
        <w:t>有规定的，从其规定。</w:t>
      </w:r>
    </w:p>
    <w:p>
      <w:pPr>
        <w:spacing w:after="0" w:line="364" w:lineRule="auto"/>
        <w:jc w:val="both"/>
        <w:sectPr>
          <w:pgSz w:w="11910" w:h="16840"/>
          <w:pgMar w:header="0" w:footer="990" w:top="1460" w:bottom="1180" w:left="1680" w:right="1340"/>
        </w:sectPr>
      </w:pPr>
    </w:p>
    <w:p>
      <w:pPr>
        <w:spacing w:line="406" w:lineRule="exact" w:before="0"/>
        <w:ind w:left="120" w:right="0" w:firstLine="0"/>
        <w:jc w:val="left"/>
        <w:rPr>
          <w:rFonts w:ascii="Microsoft JhengHei" w:eastAsia="Microsoft JhengHei" w:hint="eastAsia"/>
          <w:b/>
          <w:sz w:val="24"/>
        </w:rPr>
      </w:pPr>
      <w:r>
        <w:rPr>
          <w:rFonts w:ascii="Microsoft JhengHei" w:eastAsia="Microsoft JhengHei" w:hint="eastAsia"/>
          <w:b/>
          <w:sz w:val="24"/>
        </w:rPr>
        <w:t>（八）估值错误的处理</w:t>
      </w:r>
    </w:p>
    <w:p>
      <w:pPr>
        <w:pStyle w:val="BodyText"/>
        <w:spacing w:before="4"/>
        <w:ind w:left="0"/>
        <w:rPr>
          <w:rFonts w:ascii="Microsoft JhengHei"/>
          <w:b/>
          <w:sz w:val="14"/>
        </w:rPr>
      </w:pPr>
    </w:p>
    <w:p>
      <w:pPr>
        <w:pStyle w:val="ListParagraph"/>
        <w:numPr>
          <w:ilvl w:val="0"/>
          <w:numId w:val="44"/>
        </w:numPr>
        <w:tabs>
          <w:tab w:pos="1203" w:val="left" w:leader="none"/>
        </w:tabs>
        <w:spacing w:line="364" w:lineRule="auto" w:before="0" w:after="0"/>
        <w:ind w:left="120" w:right="218" w:firstLine="480"/>
        <w:jc w:val="left"/>
        <w:rPr>
          <w:sz w:val="24"/>
        </w:rPr>
      </w:pPr>
      <w:r>
        <w:rPr>
          <w:sz w:val="24"/>
        </w:rPr>
        <w:t>当基金财产的估值导致基金份额净值小数点后四位内（含第四位）发 </w:t>
      </w:r>
      <w:r>
        <w:rPr>
          <w:spacing w:val="3"/>
          <w:sz w:val="24"/>
        </w:rPr>
        <w:t>生差错时，视为基金份额净值估值错误。基金管理人和基金托管人将采取必要、</w:t>
      </w:r>
      <w:r>
        <w:rPr>
          <w:spacing w:val="-2"/>
          <w:sz w:val="24"/>
        </w:rPr>
        <w:t>适当合理的措施确保基金资产估值的准确性、及时性。当估值或基金份额净值计 </w:t>
      </w:r>
      <w:r>
        <w:rPr>
          <w:spacing w:val="-9"/>
          <w:sz w:val="24"/>
        </w:rPr>
        <w:t>价出现错误实际发生时，基金管理人应当立即予以纠正，并采取合理的措施防止 </w:t>
      </w:r>
      <w:r>
        <w:rPr>
          <w:spacing w:val="-12"/>
          <w:sz w:val="24"/>
        </w:rPr>
        <w:t>损失进一步扩大；计价错误达到或超过基金资产净值的 </w:t>
      </w:r>
      <w:r>
        <w:rPr>
          <w:sz w:val="24"/>
        </w:rPr>
        <w:t>0.25%时，基金管理人应通</w:t>
      </w:r>
      <w:r>
        <w:rPr>
          <w:spacing w:val="1"/>
          <w:sz w:val="24"/>
        </w:rPr>
        <w:t>报基金托管人，并报告中国证监会；计价错误达到基金份额净值的 </w:t>
      </w:r>
      <w:r>
        <w:rPr>
          <w:sz w:val="24"/>
        </w:rPr>
        <w:t>0.5%时， 基</w:t>
      </w:r>
      <w:r>
        <w:rPr>
          <w:spacing w:val="-6"/>
          <w:sz w:val="24"/>
        </w:rPr>
        <w:t>金管理人应通报基金托管人，按本基金合同的规定进行公告，并报中国证监会 备案。</w:t>
      </w:r>
    </w:p>
    <w:p>
      <w:pPr>
        <w:pStyle w:val="ListParagraph"/>
        <w:numPr>
          <w:ilvl w:val="0"/>
          <w:numId w:val="44"/>
        </w:numPr>
        <w:tabs>
          <w:tab w:pos="1201" w:val="left" w:leader="none"/>
        </w:tabs>
        <w:spacing w:line="240" w:lineRule="auto" w:before="5" w:after="0"/>
        <w:ind w:left="1201" w:right="0" w:hanging="601"/>
        <w:jc w:val="left"/>
        <w:rPr>
          <w:sz w:val="24"/>
        </w:rPr>
      </w:pPr>
      <w:r>
        <w:rPr>
          <w:sz w:val="24"/>
        </w:rPr>
        <w:t>差错类型</w:t>
      </w:r>
    </w:p>
    <w:p>
      <w:pPr>
        <w:pStyle w:val="BodyText"/>
        <w:spacing w:line="364" w:lineRule="auto" w:before="160"/>
        <w:ind w:right="338" w:firstLine="480"/>
        <w:jc w:val="both"/>
      </w:pPr>
      <w:r>
        <w:rPr>
          <w:spacing w:val="-7"/>
        </w:rPr>
        <w:t>本基金运作过程中，如果由于基金管理人、基金托管人、注册登记人、代销</w:t>
      </w:r>
      <w:r>
        <w:rPr>
          <w:spacing w:val="-12"/>
        </w:rPr>
        <w:t>机构或投资人自身的原因造成差错，导致其他当事人遭受损失的，责任人应当对</w:t>
      </w:r>
      <w:r>
        <w:rPr>
          <w:spacing w:val="-16"/>
        </w:rPr>
        <w:t>由于该差错遭受损失的当事人</w:t>
      </w:r>
      <w:r>
        <w:rPr/>
        <w:t>（“</w:t>
      </w:r>
      <w:r>
        <w:rPr>
          <w:spacing w:val="-7"/>
        </w:rPr>
        <w:t>受损方”</w:t>
      </w:r>
      <w:r>
        <w:rPr>
          <w:spacing w:val="-27"/>
        </w:rPr>
        <w:t>）</w:t>
      </w:r>
      <w:r>
        <w:rPr>
          <w:spacing w:val="-13"/>
        </w:rPr>
        <w:t>按下述“差错处理原则”给予赔偿。</w:t>
      </w:r>
    </w:p>
    <w:p>
      <w:pPr>
        <w:pStyle w:val="BodyText"/>
        <w:spacing w:line="364" w:lineRule="auto" w:before="2"/>
        <w:ind w:right="458" w:firstLine="480"/>
        <w:jc w:val="both"/>
      </w:pPr>
      <w:r>
        <w:rPr>
          <w:spacing w:val="-8"/>
        </w:rPr>
        <w:t>上述差错的主要类型包括但不限于：资料申报差错、数据传输差错、数据计</w:t>
      </w:r>
      <w:r>
        <w:rPr>
          <w:spacing w:val="-7"/>
        </w:rPr>
        <w:t>算差错、系统故障差错、下达指令差错等；对于因技术原因引起的差错，若系同</w:t>
      </w:r>
      <w:r>
        <w:rPr/>
        <w:t>行业现有技术水平无法预见、无法避免、无法抗拒，则属不可抗力。</w:t>
      </w:r>
    </w:p>
    <w:p>
      <w:pPr>
        <w:pStyle w:val="BodyText"/>
        <w:spacing w:line="364" w:lineRule="auto" w:before="2"/>
        <w:ind w:right="458" w:firstLine="480"/>
        <w:jc w:val="both"/>
      </w:pPr>
      <w:r>
        <w:rPr>
          <w:spacing w:val="3"/>
        </w:rPr>
        <w:t>由于不可抗力原因造成投资人的交易资料灭失或被错误处理或造成其他差</w:t>
      </w:r>
      <w:r>
        <w:rPr>
          <w:spacing w:val="-10"/>
        </w:rPr>
        <w:t>错，因不可抗力原因出现差错的当事人不对其他当事人承担赔偿责任，但因该差</w:t>
      </w:r>
      <w:r>
        <w:rPr/>
        <w:t>错取得不当得利的当事人仍应负有返还不当得利的义务。</w:t>
      </w:r>
    </w:p>
    <w:p>
      <w:pPr>
        <w:pStyle w:val="ListParagraph"/>
        <w:numPr>
          <w:ilvl w:val="0"/>
          <w:numId w:val="44"/>
        </w:numPr>
        <w:tabs>
          <w:tab w:pos="1201" w:val="left" w:leader="none"/>
        </w:tabs>
        <w:spacing w:line="240" w:lineRule="auto" w:before="2" w:after="0"/>
        <w:ind w:left="1201" w:right="0" w:hanging="601"/>
        <w:jc w:val="left"/>
        <w:rPr>
          <w:sz w:val="24"/>
        </w:rPr>
      </w:pPr>
      <w:r>
        <w:rPr>
          <w:sz w:val="24"/>
        </w:rPr>
        <w:t>差错处理原则</w:t>
      </w:r>
    </w:p>
    <w:p>
      <w:pPr>
        <w:pStyle w:val="BodyText"/>
        <w:spacing w:line="364" w:lineRule="auto" w:before="160"/>
        <w:ind w:right="245" w:firstLine="480"/>
      </w:pPr>
      <w:r>
        <w:rPr>
          <w:spacing w:val="3"/>
        </w:rPr>
        <w:t>因基金估值错误给投资人造成损失的应由基金管理人和基金托管人依照法 </w:t>
      </w:r>
      <w:r>
        <w:rPr>
          <w:spacing w:val="-4"/>
        </w:rPr>
        <w:t>律法规的规定予以承担。基金管理人或基金托管人对不应由其承担的责任，有权</w:t>
      </w:r>
      <w:r>
        <w:rPr>
          <w:spacing w:val="-14"/>
        </w:rPr>
        <w:t>向责任人追偿。本基金合同的当事人应将按照以下约定的原则处理基金估值差错。</w:t>
      </w:r>
    </w:p>
    <w:p>
      <w:pPr>
        <w:pStyle w:val="ListParagraph"/>
        <w:numPr>
          <w:ilvl w:val="1"/>
          <w:numId w:val="44"/>
        </w:numPr>
        <w:tabs>
          <w:tab w:pos="1597" w:val="left" w:leader="none"/>
        </w:tabs>
        <w:spacing w:line="364" w:lineRule="auto" w:before="2" w:after="0"/>
        <w:ind w:left="1556" w:right="337" w:hanging="329"/>
        <w:jc w:val="left"/>
        <w:rPr>
          <w:sz w:val="24"/>
        </w:rPr>
      </w:pPr>
      <w:r>
        <w:rPr>
          <w:spacing w:val="2"/>
          <w:sz w:val="24"/>
        </w:rPr>
        <w:t>差错已发生，但尚未给当事人造成损失时，差错责任方应及时协</w:t>
      </w:r>
      <w:r>
        <w:rPr>
          <w:spacing w:val="-15"/>
          <w:sz w:val="24"/>
        </w:rPr>
        <w:t>调各方，及时进行更正，因更正差错发生的费用由差错责任方承担； </w:t>
      </w:r>
      <w:r>
        <w:rPr>
          <w:spacing w:val="-5"/>
          <w:sz w:val="24"/>
        </w:rPr>
        <w:t>由于差错责任方未及时更正已产生的差错，给当事人造成损失的由</w:t>
      </w:r>
      <w:r>
        <w:rPr>
          <w:spacing w:val="-12"/>
          <w:sz w:val="24"/>
        </w:rPr>
        <w:t>差错责任方承担；若差错责任方已经积极协调，并且有协助义务的</w:t>
      </w:r>
      <w:r>
        <w:rPr>
          <w:spacing w:val="-17"/>
          <w:sz w:val="24"/>
        </w:rPr>
        <w:t>当事人有足够的时间进行更正而未更正，由此造成或扩大的损失有</w:t>
      </w:r>
      <w:r>
        <w:rPr>
          <w:spacing w:val="-20"/>
          <w:sz w:val="24"/>
        </w:rPr>
        <w:t>差错责任方和未更正方依法分别各自承担相应的赔偿责任。差错责</w:t>
      </w:r>
    </w:p>
    <w:p>
      <w:pPr>
        <w:spacing w:after="0" w:line="364" w:lineRule="auto"/>
        <w:jc w:val="left"/>
        <w:rPr>
          <w:sz w:val="24"/>
        </w:rPr>
        <w:sectPr>
          <w:pgSz w:w="11910" w:h="16840"/>
          <w:pgMar w:header="0" w:footer="990" w:top="1460" w:bottom="1180" w:left="1680" w:right="1340"/>
        </w:sectPr>
      </w:pPr>
    </w:p>
    <w:p>
      <w:pPr>
        <w:pStyle w:val="BodyText"/>
        <w:spacing w:before="44"/>
        <w:ind w:left="1556"/>
      </w:pPr>
      <w:r>
        <w:rPr/>
        <w:t>任方应对更正的情况向有关当事人进行确认，确保差错已得到更正；</w:t>
      </w:r>
    </w:p>
    <w:p>
      <w:pPr>
        <w:pStyle w:val="ListParagraph"/>
        <w:numPr>
          <w:ilvl w:val="1"/>
          <w:numId w:val="44"/>
        </w:numPr>
        <w:tabs>
          <w:tab w:pos="1597" w:val="left" w:leader="none"/>
        </w:tabs>
        <w:spacing w:line="364" w:lineRule="auto" w:before="160" w:after="0"/>
        <w:ind w:left="1556" w:right="337" w:hanging="329"/>
        <w:jc w:val="left"/>
        <w:rPr>
          <w:sz w:val="24"/>
        </w:rPr>
      </w:pPr>
      <w:r>
        <w:rPr>
          <w:spacing w:val="2"/>
          <w:sz w:val="24"/>
        </w:rPr>
        <w:t>差错的责任方对可能导致有关当事人的直接损失负责，不对间接</w:t>
      </w:r>
      <w:r>
        <w:rPr>
          <w:spacing w:val="-15"/>
          <w:sz w:val="24"/>
        </w:rPr>
        <w:t>损失负责，并且仅对差错的有关直接当事人负责，不对第三方负责；</w:t>
      </w:r>
    </w:p>
    <w:p>
      <w:pPr>
        <w:pStyle w:val="ListParagraph"/>
        <w:numPr>
          <w:ilvl w:val="1"/>
          <w:numId w:val="44"/>
        </w:numPr>
        <w:tabs>
          <w:tab w:pos="1597" w:val="left" w:leader="none"/>
        </w:tabs>
        <w:spacing w:line="364" w:lineRule="auto" w:before="2" w:after="0"/>
        <w:ind w:left="1556" w:right="457" w:hanging="329"/>
        <w:jc w:val="both"/>
        <w:rPr>
          <w:sz w:val="24"/>
        </w:rPr>
      </w:pPr>
      <w:r>
        <w:rPr>
          <w:spacing w:val="2"/>
          <w:sz w:val="24"/>
        </w:rPr>
        <w:t>因差错而获得不当得利的当事人负有及时返还不当得利的义务。</w:t>
      </w:r>
      <w:r>
        <w:rPr>
          <w:spacing w:val="-8"/>
          <w:sz w:val="24"/>
        </w:rPr>
        <w:t>但差错责任方仍应对差错负责，如果由于获得不当得利的当事人不</w:t>
      </w:r>
      <w:r>
        <w:rPr>
          <w:spacing w:val="-5"/>
          <w:sz w:val="24"/>
        </w:rPr>
        <w:t>返还或不全部返还不当得利造成其他当事人的利益损失，则差错责</w:t>
      </w:r>
      <w:r>
        <w:rPr>
          <w:spacing w:val="-9"/>
          <w:sz w:val="24"/>
        </w:rPr>
        <w:t>任方应赔偿受损方的损失，并在其支付的赔偿金额的范围内对获得</w:t>
      </w:r>
      <w:r>
        <w:rPr>
          <w:spacing w:val="-6"/>
          <w:sz w:val="24"/>
        </w:rPr>
        <w:t>不当得利的当事人享有要求交付不当得利的权利；如果获得不当得利的当事人已经将此部分不当得利返还给受损方，则受损方应当将</w:t>
      </w:r>
      <w:r>
        <w:rPr>
          <w:spacing w:val="4"/>
          <w:sz w:val="24"/>
        </w:rPr>
        <w:t>其已经获得的赔偿额加上已经获得的不当得利返还的总和超过其实际损失的差额部分支付给差错责任方；</w:t>
      </w:r>
    </w:p>
    <w:p>
      <w:pPr>
        <w:pStyle w:val="ListParagraph"/>
        <w:numPr>
          <w:ilvl w:val="1"/>
          <w:numId w:val="44"/>
        </w:numPr>
        <w:tabs>
          <w:tab w:pos="1589" w:val="left" w:leader="none"/>
        </w:tabs>
        <w:spacing w:line="240" w:lineRule="auto" w:before="4" w:after="0"/>
        <w:ind w:left="1589" w:right="0" w:hanging="361"/>
        <w:jc w:val="left"/>
        <w:rPr>
          <w:sz w:val="24"/>
        </w:rPr>
      </w:pPr>
      <w:r>
        <w:rPr>
          <w:sz w:val="24"/>
        </w:rPr>
        <w:t>差错调整采用尽量恢复至假设未发生差错的正确情形的方式；</w:t>
      </w:r>
    </w:p>
    <w:p>
      <w:pPr>
        <w:pStyle w:val="ListParagraph"/>
        <w:numPr>
          <w:ilvl w:val="1"/>
          <w:numId w:val="44"/>
        </w:numPr>
        <w:tabs>
          <w:tab w:pos="1597" w:val="left" w:leader="none"/>
        </w:tabs>
        <w:spacing w:line="364" w:lineRule="auto" w:before="161" w:after="0"/>
        <w:ind w:left="1556" w:right="457" w:hanging="329"/>
        <w:jc w:val="both"/>
        <w:rPr>
          <w:sz w:val="24"/>
        </w:rPr>
      </w:pPr>
      <w:r>
        <w:rPr>
          <w:spacing w:val="2"/>
          <w:sz w:val="24"/>
        </w:rPr>
        <w:t>如果因基金管理人原因造成基金财产损失时，基金托管人应为基</w:t>
      </w:r>
      <w:r>
        <w:rPr>
          <w:spacing w:val="-8"/>
          <w:sz w:val="24"/>
        </w:rPr>
        <w:t>金的利益向基金管理人追偿，如果因基金托管人原因造成基金财产</w:t>
      </w:r>
      <w:r>
        <w:rPr>
          <w:spacing w:val="-10"/>
          <w:sz w:val="24"/>
        </w:rPr>
        <w:t>损失时，基金管理人应为基金的利益向基金托管人追偿。除基金管</w:t>
      </w:r>
      <w:r>
        <w:rPr>
          <w:spacing w:val="-6"/>
          <w:sz w:val="24"/>
        </w:rPr>
        <w:t>理人和托管人之外的第三方造成基金财产的损失，由基金管理人负</w:t>
      </w:r>
      <w:r>
        <w:rPr>
          <w:sz w:val="24"/>
        </w:rPr>
        <w:t>责向差错方追偿；</w:t>
      </w:r>
    </w:p>
    <w:p>
      <w:pPr>
        <w:pStyle w:val="ListParagraph"/>
        <w:numPr>
          <w:ilvl w:val="1"/>
          <w:numId w:val="44"/>
        </w:numPr>
        <w:tabs>
          <w:tab w:pos="1597" w:val="left" w:leader="none"/>
        </w:tabs>
        <w:spacing w:line="364" w:lineRule="auto" w:before="3" w:after="0"/>
        <w:ind w:left="1556" w:right="457" w:hanging="329"/>
        <w:jc w:val="both"/>
        <w:rPr>
          <w:sz w:val="24"/>
        </w:rPr>
      </w:pPr>
      <w:r>
        <w:rPr>
          <w:spacing w:val="2"/>
          <w:sz w:val="24"/>
        </w:rPr>
        <w:t>如果出现差错的当事人未按规定对受损方进行赔偿，并且依据法</w:t>
      </w:r>
      <w:r>
        <w:rPr>
          <w:spacing w:val="-12"/>
          <w:sz w:val="24"/>
        </w:rPr>
        <w:t>律、行政法规、本基金合同或其他规定，基金管理人或基金托管人</w:t>
      </w:r>
      <w:r>
        <w:rPr>
          <w:spacing w:val="-8"/>
          <w:sz w:val="24"/>
        </w:rPr>
        <w:t>自行或依据法院判决、仲裁裁决对受损方承担了赔偿责任，则基金</w:t>
      </w:r>
      <w:r>
        <w:rPr>
          <w:spacing w:val="-5"/>
          <w:sz w:val="24"/>
        </w:rPr>
        <w:t>管理人或基金托管人有权向出现差错的当事人进行追索，并有权要</w:t>
      </w:r>
      <w:r>
        <w:rPr>
          <w:sz w:val="24"/>
        </w:rPr>
        <w:t>求其赔偿或补偿由此发生的费用和遭受的损失；</w:t>
      </w:r>
    </w:p>
    <w:p>
      <w:pPr>
        <w:pStyle w:val="ListParagraph"/>
        <w:numPr>
          <w:ilvl w:val="1"/>
          <w:numId w:val="44"/>
        </w:numPr>
        <w:tabs>
          <w:tab w:pos="1589" w:val="left" w:leader="none"/>
        </w:tabs>
        <w:spacing w:line="240" w:lineRule="auto" w:before="3" w:after="0"/>
        <w:ind w:left="1589" w:right="0" w:hanging="361"/>
        <w:jc w:val="left"/>
        <w:rPr>
          <w:sz w:val="24"/>
        </w:rPr>
      </w:pPr>
      <w:r>
        <w:rPr>
          <w:sz w:val="24"/>
        </w:rPr>
        <w:t>按法律法规规定的其他原则处理差错。</w:t>
      </w:r>
    </w:p>
    <w:p>
      <w:pPr>
        <w:pStyle w:val="ListParagraph"/>
        <w:numPr>
          <w:ilvl w:val="0"/>
          <w:numId w:val="44"/>
        </w:numPr>
        <w:tabs>
          <w:tab w:pos="1201" w:val="left" w:leader="none"/>
        </w:tabs>
        <w:spacing w:line="240" w:lineRule="auto" w:before="160" w:after="0"/>
        <w:ind w:left="1201" w:right="0" w:hanging="601"/>
        <w:jc w:val="left"/>
        <w:rPr>
          <w:sz w:val="24"/>
        </w:rPr>
      </w:pPr>
      <w:r>
        <w:rPr>
          <w:sz w:val="24"/>
        </w:rPr>
        <w:t>差错处理程序</w:t>
      </w:r>
    </w:p>
    <w:p>
      <w:pPr>
        <w:pStyle w:val="BodyText"/>
        <w:spacing w:before="161"/>
        <w:ind w:left="600"/>
      </w:pPr>
      <w:r>
        <w:rPr/>
        <w:t>差错被发现后，有关的当事人应当及时进行处理，处理的程序如下：</w:t>
      </w:r>
    </w:p>
    <w:p>
      <w:pPr>
        <w:pStyle w:val="ListParagraph"/>
        <w:numPr>
          <w:ilvl w:val="0"/>
          <w:numId w:val="45"/>
        </w:numPr>
        <w:tabs>
          <w:tab w:pos="1597" w:val="left" w:leader="none"/>
        </w:tabs>
        <w:spacing w:line="364" w:lineRule="auto" w:before="160" w:after="0"/>
        <w:ind w:left="1556" w:right="458" w:hanging="329"/>
        <w:jc w:val="left"/>
        <w:rPr>
          <w:sz w:val="24"/>
        </w:rPr>
      </w:pPr>
      <w:r>
        <w:rPr>
          <w:spacing w:val="2"/>
          <w:sz w:val="24"/>
        </w:rPr>
        <w:t>查明差错发生的原因，列明所有当事人，根据差错发生的原因确</w:t>
      </w:r>
      <w:r>
        <w:rPr>
          <w:sz w:val="24"/>
        </w:rPr>
        <w:t>定差错责任方；</w:t>
      </w:r>
    </w:p>
    <w:p>
      <w:pPr>
        <w:pStyle w:val="ListParagraph"/>
        <w:numPr>
          <w:ilvl w:val="0"/>
          <w:numId w:val="45"/>
        </w:numPr>
        <w:tabs>
          <w:tab w:pos="1597" w:val="left" w:leader="none"/>
        </w:tabs>
        <w:spacing w:line="364" w:lineRule="auto" w:before="2" w:after="0"/>
        <w:ind w:left="1556" w:right="458" w:hanging="329"/>
        <w:jc w:val="left"/>
        <w:rPr>
          <w:sz w:val="24"/>
        </w:rPr>
      </w:pPr>
      <w:r>
        <w:rPr>
          <w:spacing w:val="2"/>
          <w:sz w:val="24"/>
        </w:rPr>
        <w:t>根据差错处理原则或当事人协商的方法对因差错造成的损失进行</w:t>
      </w:r>
      <w:r>
        <w:rPr>
          <w:sz w:val="24"/>
        </w:rPr>
        <w:t>评估；</w:t>
      </w:r>
    </w:p>
    <w:p>
      <w:pPr>
        <w:spacing w:after="0" w:line="364" w:lineRule="auto"/>
        <w:jc w:val="left"/>
        <w:rPr>
          <w:sz w:val="24"/>
        </w:rPr>
        <w:sectPr>
          <w:pgSz w:w="11910" w:h="16840"/>
          <w:pgMar w:header="0" w:footer="990" w:top="1460" w:bottom="1180" w:left="1680" w:right="1340"/>
        </w:sectPr>
      </w:pPr>
    </w:p>
    <w:p>
      <w:pPr>
        <w:pStyle w:val="ListParagraph"/>
        <w:numPr>
          <w:ilvl w:val="0"/>
          <w:numId w:val="45"/>
        </w:numPr>
        <w:tabs>
          <w:tab w:pos="1600" w:val="left" w:leader="none"/>
        </w:tabs>
        <w:spacing w:line="364" w:lineRule="auto" w:before="44" w:after="0"/>
        <w:ind w:left="1556" w:right="458" w:hanging="329"/>
        <w:jc w:val="left"/>
        <w:rPr>
          <w:sz w:val="24"/>
        </w:rPr>
      </w:pPr>
      <w:r>
        <w:rPr>
          <w:spacing w:val="2"/>
          <w:sz w:val="24"/>
        </w:rPr>
        <w:t>根据差错处理原则或当事人协商的方法由差错的责任方进行更正和赔偿损失；</w:t>
      </w:r>
    </w:p>
    <w:p>
      <w:pPr>
        <w:pStyle w:val="ListParagraph"/>
        <w:numPr>
          <w:ilvl w:val="0"/>
          <w:numId w:val="45"/>
        </w:numPr>
        <w:tabs>
          <w:tab w:pos="1597" w:val="left" w:leader="none"/>
        </w:tabs>
        <w:spacing w:line="364" w:lineRule="auto" w:before="1" w:after="0"/>
        <w:ind w:left="1556" w:right="457" w:hanging="329"/>
        <w:jc w:val="both"/>
        <w:rPr>
          <w:sz w:val="24"/>
        </w:rPr>
      </w:pPr>
      <w:r>
        <w:rPr>
          <w:spacing w:val="2"/>
          <w:sz w:val="24"/>
        </w:rPr>
        <w:t>根据差错处理的方法，需要修改基金注册登记人的交易数据的， </w:t>
      </w:r>
      <w:r>
        <w:rPr>
          <w:spacing w:val="-8"/>
          <w:sz w:val="24"/>
        </w:rPr>
        <w:t>由基金注册登记人进行更正，并就差错的更正向有关当事人进行确</w:t>
      </w:r>
      <w:r>
        <w:rPr>
          <w:sz w:val="24"/>
        </w:rPr>
        <w:t>认；</w:t>
      </w:r>
    </w:p>
    <w:p>
      <w:pPr>
        <w:pStyle w:val="ListParagraph"/>
        <w:numPr>
          <w:ilvl w:val="0"/>
          <w:numId w:val="45"/>
        </w:numPr>
        <w:tabs>
          <w:tab w:pos="1593" w:val="left" w:leader="none"/>
        </w:tabs>
        <w:spacing w:line="364" w:lineRule="auto" w:before="2" w:after="0"/>
        <w:ind w:left="1556" w:right="458" w:hanging="329"/>
        <w:jc w:val="both"/>
        <w:rPr>
          <w:sz w:val="24"/>
        </w:rPr>
      </w:pPr>
      <w:r>
        <w:rPr>
          <w:spacing w:val="-2"/>
          <w:sz w:val="24"/>
        </w:rPr>
        <w:t>基金管理人及基金托管人计价错误达到基金份额净值 </w:t>
      </w:r>
      <w:r>
        <w:rPr>
          <w:sz w:val="24"/>
        </w:rPr>
        <w:t>0.5%时，基金管理人应当公告，并报中国证监会备案。</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（九）特殊情形的处理</w:t>
      </w:r>
    </w:p>
    <w:p>
      <w:pPr>
        <w:pStyle w:val="BodyText"/>
        <w:spacing w:before="4"/>
        <w:ind w:left="0"/>
        <w:rPr>
          <w:rFonts w:ascii="Microsoft JhengHei"/>
          <w:b/>
          <w:sz w:val="14"/>
        </w:rPr>
      </w:pPr>
    </w:p>
    <w:p>
      <w:pPr>
        <w:pStyle w:val="ListParagraph"/>
        <w:numPr>
          <w:ilvl w:val="0"/>
          <w:numId w:val="46"/>
        </w:numPr>
        <w:tabs>
          <w:tab w:pos="1203" w:val="left" w:leader="none"/>
        </w:tabs>
        <w:spacing w:line="364" w:lineRule="auto" w:before="0" w:after="0"/>
        <w:ind w:left="120" w:right="458" w:firstLine="480"/>
        <w:jc w:val="left"/>
        <w:rPr>
          <w:sz w:val="24"/>
        </w:rPr>
      </w:pPr>
      <w:r>
        <w:rPr>
          <w:sz w:val="24"/>
        </w:rPr>
        <w:t>基金管理人按本条第（四）</w:t>
      </w:r>
      <w:r>
        <w:rPr>
          <w:spacing w:val="-20"/>
          <w:sz w:val="24"/>
        </w:rPr>
        <w:t>项第 </w:t>
      </w:r>
      <w:r>
        <w:rPr>
          <w:sz w:val="24"/>
        </w:rPr>
        <w:t>6</w:t>
      </w:r>
      <w:r>
        <w:rPr>
          <w:spacing w:val="-8"/>
          <w:sz w:val="24"/>
        </w:rPr>
        <w:t> 条款进行估值时，所造成的误差不作为基金份额净值错误处理。</w:t>
      </w:r>
    </w:p>
    <w:p>
      <w:pPr>
        <w:pStyle w:val="ListParagraph"/>
        <w:numPr>
          <w:ilvl w:val="0"/>
          <w:numId w:val="46"/>
        </w:numPr>
        <w:tabs>
          <w:tab w:pos="1203" w:val="left" w:leader="none"/>
        </w:tabs>
        <w:spacing w:line="364" w:lineRule="auto" w:before="1" w:after="0"/>
        <w:ind w:left="120" w:right="218" w:firstLine="480"/>
        <w:jc w:val="left"/>
        <w:rPr>
          <w:sz w:val="24"/>
        </w:rPr>
      </w:pPr>
      <w:r>
        <w:rPr>
          <w:sz w:val="24"/>
        </w:rPr>
        <w:t>由于不可抗力原因，或由于证券交易所及登记结算公司发送的数据错 </w:t>
      </w:r>
      <w:r>
        <w:rPr>
          <w:spacing w:val="3"/>
          <w:sz w:val="24"/>
        </w:rPr>
        <w:t>误，基金管理人和基金托管人虽然已经采取必要、适当、合理的措施进行检查， </w:t>
      </w:r>
      <w:r>
        <w:rPr>
          <w:spacing w:val="-5"/>
          <w:sz w:val="24"/>
        </w:rPr>
        <w:t>但未能发现错误的，由此造成的基金资产估值错误，基金管理人和基金托管人可 </w:t>
      </w:r>
      <w:r>
        <w:rPr>
          <w:spacing w:val="-12"/>
          <w:sz w:val="24"/>
        </w:rPr>
        <w:t>以免除赔偿责任。但基金管理人、基金托管人应当积极采取必要的措施消除由此 造成的影响。</w:t>
      </w:r>
    </w:p>
    <w:p>
      <w:pPr>
        <w:spacing w:after="0" w:line="364" w:lineRule="auto"/>
        <w:jc w:val="left"/>
        <w:rPr>
          <w:sz w:val="24"/>
        </w:rPr>
        <w:sectPr>
          <w:pgSz w:w="11910" w:h="16840"/>
          <w:pgMar w:header="0" w:footer="990" w:top="1460" w:bottom="1180" w:left="1680" w:right="1340"/>
        </w:sectPr>
      </w:pPr>
    </w:p>
    <w:p>
      <w:pPr>
        <w:pStyle w:val="Heading1"/>
        <w:tabs>
          <w:tab w:pos="1379" w:val="left" w:leader="none"/>
        </w:tabs>
        <w:spacing w:before="1"/>
        <w:ind w:left="403"/>
      </w:pPr>
      <w:bookmarkStart w:name="_bookmark18" w:id="19"/>
      <w:bookmarkEnd w:id="19"/>
      <w:r>
        <w:rPr>
          <w:b w:val="0"/>
        </w:rPr>
      </w:r>
      <w:r>
        <w:rPr>
          <w:position w:val="-2"/>
        </w:rPr>
        <w:t>十九、</w:t>
        <w:tab/>
      </w:r>
      <w:r>
        <w:rPr/>
        <w:t>基金费用与税收</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（一）基金费用的种类</w:t>
      </w:r>
    </w:p>
    <w:p>
      <w:pPr>
        <w:pStyle w:val="BodyText"/>
        <w:spacing w:before="5"/>
        <w:ind w:left="0"/>
        <w:rPr>
          <w:rFonts w:ascii="Microsoft JhengHei"/>
          <w:b/>
          <w:sz w:val="14"/>
        </w:rPr>
      </w:pPr>
    </w:p>
    <w:p>
      <w:pPr>
        <w:pStyle w:val="ListParagraph"/>
        <w:numPr>
          <w:ilvl w:val="0"/>
          <w:numId w:val="47"/>
        </w:numPr>
        <w:tabs>
          <w:tab w:pos="1201" w:val="left" w:leader="none"/>
        </w:tabs>
        <w:spacing w:line="240" w:lineRule="auto" w:before="0" w:after="0"/>
        <w:ind w:left="1201" w:right="0" w:hanging="601"/>
        <w:jc w:val="left"/>
        <w:rPr>
          <w:sz w:val="24"/>
        </w:rPr>
      </w:pPr>
      <w:r>
        <w:rPr>
          <w:sz w:val="24"/>
        </w:rPr>
        <w:t>基金管理人的管理费；</w:t>
      </w:r>
    </w:p>
    <w:p>
      <w:pPr>
        <w:pStyle w:val="ListParagraph"/>
        <w:numPr>
          <w:ilvl w:val="0"/>
          <w:numId w:val="47"/>
        </w:numPr>
        <w:tabs>
          <w:tab w:pos="1201" w:val="left" w:leader="none"/>
        </w:tabs>
        <w:spacing w:line="240" w:lineRule="auto" w:before="160" w:after="0"/>
        <w:ind w:left="1201" w:right="0" w:hanging="601"/>
        <w:jc w:val="left"/>
        <w:rPr>
          <w:sz w:val="24"/>
        </w:rPr>
      </w:pPr>
      <w:r>
        <w:rPr>
          <w:sz w:val="24"/>
        </w:rPr>
        <w:t>基金托管人的托管费；</w:t>
      </w:r>
    </w:p>
    <w:p>
      <w:pPr>
        <w:pStyle w:val="ListParagraph"/>
        <w:numPr>
          <w:ilvl w:val="0"/>
          <w:numId w:val="47"/>
        </w:numPr>
        <w:tabs>
          <w:tab w:pos="1201" w:val="left" w:leader="none"/>
        </w:tabs>
        <w:spacing w:line="240" w:lineRule="auto" w:before="161" w:after="0"/>
        <w:ind w:left="1201" w:right="0" w:hanging="601"/>
        <w:jc w:val="left"/>
        <w:rPr>
          <w:sz w:val="24"/>
        </w:rPr>
      </w:pPr>
      <w:r>
        <w:rPr>
          <w:sz w:val="24"/>
        </w:rPr>
        <w:t>基金的证券交易费用；</w:t>
      </w:r>
    </w:p>
    <w:p>
      <w:pPr>
        <w:pStyle w:val="ListParagraph"/>
        <w:numPr>
          <w:ilvl w:val="0"/>
          <w:numId w:val="47"/>
        </w:numPr>
        <w:tabs>
          <w:tab w:pos="1201" w:val="left" w:leader="none"/>
        </w:tabs>
        <w:spacing w:line="240" w:lineRule="auto" w:before="160" w:after="0"/>
        <w:ind w:left="1201" w:right="0" w:hanging="601"/>
        <w:jc w:val="left"/>
        <w:rPr>
          <w:sz w:val="24"/>
        </w:rPr>
      </w:pPr>
      <w:r>
        <w:rPr>
          <w:sz w:val="24"/>
        </w:rPr>
        <w:t>信息披露费用；</w:t>
      </w:r>
    </w:p>
    <w:p>
      <w:pPr>
        <w:pStyle w:val="ListParagraph"/>
        <w:numPr>
          <w:ilvl w:val="0"/>
          <w:numId w:val="47"/>
        </w:numPr>
        <w:tabs>
          <w:tab w:pos="1201" w:val="left" w:leader="none"/>
        </w:tabs>
        <w:spacing w:line="240" w:lineRule="auto" w:before="161" w:after="0"/>
        <w:ind w:left="1201" w:right="0" w:hanging="601"/>
        <w:jc w:val="left"/>
        <w:rPr>
          <w:sz w:val="24"/>
        </w:rPr>
      </w:pPr>
      <w:r>
        <w:rPr>
          <w:sz w:val="24"/>
        </w:rPr>
        <w:t>基金份额持有人大会费用；</w:t>
      </w:r>
    </w:p>
    <w:p>
      <w:pPr>
        <w:pStyle w:val="ListParagraph"/>
        <w:numPr>
          <w:ilvl w:val="0"/>
          <w:numId w:val="47"/>
        </w:numPr>
        <w:tabs>
          <w:tab w:pos="1201" w:val="left" w:leader="none"/>
        </w:tabs>
        <w:spacing w:line="240" w:lineRule="auto" w:before="160" w:after="0"/>
        <w:ind w:left="1201" w:right="0" w:hanging="601"/>
        <w:jc w:val="left"/>
        <w:rPr>
          <w:sz w:val="24"/>
        </w:rPr>
      </w:pPr>
      <w:r>
        <w:rPr>
          <w:sz w:val="24"/>
        </w:rPr>
        <w:t>会计师费和律师费；</w:t>
      </w:r>
    </w:p>
    <w:p>
      <w:pPr>
        <w:pStyle w:val="ListParagraph"/>
        <w:numPr>
          <w:ilvl w:val="0"/>
          <w:numId w:val="47"/>
        </w:numPr>
        <w:tabs>
          <w:tab w:pos="1203" w:val="left" w:leader="none"/>
        </w:tabs>
        <w:spacing w:line="364" w:lineRule="auto" w:before="161" w:after="0"/>
        <w:ind w:left="120" w:right="458" w:firstLine="480"/>
        <w:jc w:val="left"/>
        <w:rPr>
          <w:sz w:val="24"/>
        </w:rPr>
      </w:pPr>
      <w:r>
        <w:rPr>
          <w:sz w:val="24"/>
        </w:rPr>
        <w:t>在中国证监会有明确规定的情况下，基金管理人按照有关规定收取的基金持续销售和服务基金份额持有人的销售服务费；</w:t>
      </w:r>
    </w:p>
    <w:p>
      <w:pPr>
        <w:pStyle w:val="ListParagraph"/>
        <w:numPr>
          <w:ilvl w:val="0"/>
          <w:numId w:val="47"/>
        </w:numPr>
        <w:tabs>
          <w:tab w:pos="1201" w:val="left" w:leader="none"/>
        </w:tabs>
        <w:spacing w:line="240" w:lineRule="auto" w:before="1" w:after="0"/>
        <w:ind w:left="1201" w:right="0" w:hanging="601"/>
        <w:jc w:val="left"/>
        <w:rPr>
          <w:sz w:val="24"/>
        </w:rPr>
      </w:pPr>
      <w:r>
        <w:rPr>
          <w:sz w:val="24"/>
        </w:rPr>
        <w:t>基金银行汇划费用；</w:t>
      </w:r>
    </w:p>
    <w:p>
      <w:pPr>
        <w:pStyle w:val="ListParagraph"/>
        <w:numPr>
          <w:ilvl w:val="0"/>
          <w:numId w:val="47"/>
        </w:numPr>
        <w:tabs>
          <w:tab w:pos="1201" w:val="left" w:leader="none"/>
        </w:tabs>
        <w:spacing w:line="364" w:lineRule="auto" w:before="160" w:after="0"/>
        <w:ind w:left="600" w:right="1685" w:firstLine="0"/>
        <w:jc w:val="left"/>
        <w:rPr>
          <w:sz w:val="24"/>
        </w:rPr>
      </w:pPr>
      <w:r>
        <w:rPr>
          <w:spacing w:val="-1"/>
          <w:sz w:val="24"/>
        </w:rPr>
        <w:t>按照国家有关规定和基金合同约定可以列入的其他费用。</w:t>
      </w:r>
      <w:r>
        <w:rPr>
          <w:sz w:val="24"/>
        </w:rPr>
        <w:t>上述费用从基金财产中支付。</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（二）基金费用计提方法、计提标准和支付方式</w:t>
      </w:r>
    </w:p>
    <w:p>
      <w:pPr>
        <w:pStyle w:val="BodyText"/>
        <w:spacing w:before="5"/>
        <w:ind w:left="0"/>
        <w:rPr>
          <w:rFonts w:ascii="Microsoft JhengHei"/>
          <w:b/>
          <w:sz w:val="14"/>
        </w:rPr>
      </w:pPr>
    </w:p>
    <w:p>
      <w:pPr>
        <w:pStyle w:val="ListParagraph"/>
        <w:numPr>
          <w:ilvl w:val="0"/>
          <w:numId w:val="48"/>
        </w:numPr>
        <w:tabs>
          <w:tab w:pos="1201" w:val="left" w:leader="none"/>
        </w:tabs>
        <w:spacing w:line="240" w:lineRule="auto" w:before="0" w:after="0"/>
        <w:ind w:left="1201" w:right="0" w:hanging="601"/>
        <w:jc w:val="left"/>
        <w:rPr>
          <w:sz w:val="24"/>
        </w:rPr>
      </w:pPr>
      <w:r>
        <w:rPr>
          <w:sz w:val="24"/>
        </w:rPr>
        <w:t>基金管理人的管理费</w:t>
      </w:r>
    </w:p>
    <w:p>
      <w:pPr>
        <w:pStyle w:val="BodyText"/>
        <w:spacing w:before="160"/>
        <w:ind w:left="600"/>
      </w:pPr>
      <w:r>
        <w:rPr/>
        <w:t>本基金的管理费率为年费率 1.5%。</w:t>
      </w:r>
    </w:p>
    <w:p>
      <w:pPr>
        <w:pStyle w:val="BodyText"/>
        <w:spacing w:line="364" w:lineRule="auto" w:before="161"/>
        <w:ind w:right="458" w:firstLine="480"/>
      </w:pPr>
      <w:r>
        <w:rPr>
          <w:spacing w:val="-10"/>
        </w:rPr>
        <w:t>在通常情况下，基金管理费按前一日基金资产净值的年费率计提。计算方法</w:t>
      </w:r>
      <w:r>
        <w:rPr/>
        <w:t>如下：</w:t>
      </w:r>
    </w:p>
    <w:p>
      <w:pPr>
        <w:pStyle w:val="BodyText"/>
        <w:spacing w:line="364" w:lineRule="auto"/>
        <w:ind w:left="1230" w:right="4415"/>
      </w:pPr>
      <w:r>
        <w:rPr/>
        <w:t>H ＝E×年管理费率÷当年天数H 为每日应计提的基金管理费E 为前一日基金资产净值</w:t>
      </w:r>
    </w:p>
    <w:p>
      <w:pPr>
        <w:pStyle w:val="BodyText"/>
        <w:spacing w:line="364" w:lineRule="auto" w:before="2"/>
        <w:ind w:right="458" w:firstLine="480"/>
        <w:jc w:val="both"/>
      </w:pPr>
      <w:r>
        <w:rPr>
          <w:spacing w:val="-8"/>
        </w:rPr>
        <w:t>基金管理费每日计提，逐日累计至每个月月末，按月支付。由基金管理人向</w:t>
      </w:r>
      <w:r>
        <w:rPr>
          <w:spacing w:val="-2"/>
        </w:rPr>
        <w:t>基金托管人发送基金管理费划付指令，基金托管人复核后于次月首日起 </w:t>
      </w:r>
      <w:r>
        <w:rPr/>
        <w:t>15</w:t>
      </w:r>
      <w:r>
        <w:rPr>
          <w:spacing w:val="-20"/>
        </w:rPr>
        <w:t> 个工作日内从基金财产中一次性支付给基金管理人。</w:t>
      </w:r>
    </w:p>
    <w:p>
      <w:pPr>
        <w:pStyle w:val="ListParagraph"/>
        <w:numPr>
          <w:ilvl w:val="0"/>
          <w:numId w:val="48"/>
        </w:numPr>
        <w:tabs>
          <w:tab w:pos="1201" w:val="left" w:leader="none"/>
        </w:tabs>
        <w:spacing w:line="240" w:lineRule="auto" w:before="2" w:after="0"/>
        <w:ind w:left="1201" w:right="0" w:hanging="601"/>
        <w:jc w:val="left"/>
        <w:rPr>
          <w:sz w:val="24"/>
        </w:rPr>
      </w:pPr>
      <w:r>
        <w:rPr>
          <w:sz w:val="24"/>
        </w:rPr>
        <w:t>基金托管人的基金托管费</w:t>
      </w:r>
    </w:p>
    <w:p>
      <w:pPr>
        <w:pStyle w:val="BodyText"/>
        <w:spacing w:before="160"/>
        <w:ind w:left="600"/>
      </w:pPr>
      <w:r>
        <w:rPr/>
        <w:t>本基金的托管费率为年费率 0.25%。</w:t>
      </w:r>
    </w:p>
    <w:p>
      <w:pPr>
        <w:pStyle w:val="BodyText"/>
        <w:spacing w:line="364" w:lineRule="auto" w:before="161"/>
        <w:ind w:right="458" w:firstLine="480"/>
      </w:pPr>
      <w:r>
        <w:rPr>
          <w:spacing w:val="-10"/>
        </w:rPr>
        <w:t>在通常情况下，基金托管费按前一日基金资产净值的年费率计提。计算方法</w:t>
      </w:r>
      <w:r>
        <w:rPr/>
        <w:t>如下：</w:t>
      </w:r>
    </w:p>
    <w:p>
      <w:pPr>
        <w:spacing w:after="0" w:line="364" w:lineRule="auto"/>
        <w:sectPr>
          <w:pgSz w:w="11910" w:h="16840"/>
          <w:pgMar w:header="0" w:footer="990" w:top="1580" w:bottom="1180" w:left="1680" w:right="1340"/>
        </w:sectPr>
      </w:pPr>
    </w:p>
    <w:p>
      <w:pPr>
        <w:pStyle w:val="BodyText"/>
        <w:spacing w:line="364" w:lineRule="auto" w:before="44"/>
        <w:ind w:left="1230" w:right="4415"/>
      </w:pPr>
      <w:r>
        <w:rPr/>
        <w:t>H ＝E×年托管费率÷当年天数H 为每日应计提的基金托管费E 为前一日的基金资产净值</w:t>
      </w:r>
    </w:p>
    <w:p>
      <w:pPr>
        <w:pStyle w:val="BodyText"/>
        <w:spacing w:line="364" w:lineRule="auto" w:before="2"/>
        <w:ind w:right="458" w:firstLine="480"/>
        <w:jc w:val="both"/>
      </w:pPr>
      <w:r>
        <w:rPr>
          <w:spacing w:val="-8"/>
        </w:rPr>
        <w:t>基金托管费每日计提，逐日累计至每个月月末，按月支付。由基金管理人向</w:t>
      </w:r>
      <w:r>
        <w:rPr>
          <w:spacing w:val="-2"/>
        </w:rPr>
        <w:t>基金托管人发送基金托管费划付指令，基金托管人复核后于次月首日起 </w:t>
      </w:r>
      <w:r>
        <w:rPr/>
        <w:t>15</w:t>
      </w:r>
      <w:r>
        <w:rPr>
          <w:spacing w:val="-20"/>
        </w:rPr>
        <w:t> 个工作日内从基金资产中一次性支付给基金托管人。</w:t>
      </w:r>
    </w:p>
    <w:p>
      <w:pPr>
        <w:pStyle w:val="ListParagraph"/>
        <w:numPr>
          <w:ilvl w:val="0"/>
          <w:numId w:val="48"/>
        </w:numPr>
        <w:tabs>
          <w:tab w:pos="1201" w:val="left" w:leader="none"/>
        </w:tabs>
        <w:spacing w:line="364" w:lineRule="auto" w:before="1" w:after="0"/>
        <w:ind w:left="120" w:right="458" w:firstLine="480"/>
        <w:jc w:val="both"/>
        <w:rPr>
          <w:sz w:val="24"/>
        </w:rPr>
      </w:pPr>
      <w:r>
        <w:rPr>
          <w:spacing w:val="-6"/>
          <w:sz w:val="24"/>
        </w:rPr>
        <w:t>本条第</w:t>
      </w:r>
      <w:r>
        <w:rPr>
          <w:sz w:val="24"/>
        </w:rPr>
        <w:t>（一</w:t>
      </w:r>
      <w:r>
        <w:rPr>
          <w:spacing w:val="-16"/>
          <w:sz w:val="24"/>
        </w:rPr>
        <w:t>）</w:t>
      </w:r>
      <w:r>
        <w:rPr>
          <w:spacing w:val="-8"/>
          <w:sz w:val="24"/>
        </w:rPr>
        <w:t>款第</w:t>
      </w:r>
      <w:r>
        <w:rPr>
          <w:sz w:val="24"/>
        </w:rPr>
        <w:t>（3）</w:t>
      </w:r>
      <w:r>
        <w:rPr>
          <w:spacing w:val="-6"/>
          <w:sz w:val="24"/>
        </w:rPr>
        <w:t> 至第（9）</w:t>
      </w:r>
      <w:r>
        <w:rPr>
          <w:spacing w:val="-2"/>
          <w:sz w:val="24"/>
        </w:rPr>
        <w:t>项费用由基金管理人和基金托管人</w:t>
      </w:r>
      <w:r>
        <w:rPr>
          <w:sz w:val="24"/>
        </w:rPr>
        <w:t>根据有关法规及相应协议的规定，列入或摊入当期基金费用。</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（三）不列入基金费用的项目</w:t>
      </w:r>
    </w:p>
    <w:p>
      <w:pPr>
        <w:pStyle w:val="BodyText"/>
        <w:spacing w:before="5"/>
        <w:ind w:left="0"/>
        <w:rPr>
          <w:rFonts w:ascii="Microsoft JhengHei"/>
          <w:b/>
          <w:sz w:val="14"/>
        </w:rPr>
      </w:pPr>
    </w:p>
    <w:p>
      <w:pPr>
        <w:pStyle w:val="BodyText"/>
        <w:spacing w:line="364" w:lineRule="auto" w:before="0"/>
        <w:ind w:right="365" w:firstLine="480"/>
      </w:pPr>
      <w:r>
        <w:rPr/>
        <w:t>基金管理人和基金托管人因未履行或未完全履行义务导致的费用支出或基金财产的损失，以及处理与基金运作无关的事项发生的费用等不列入基金费用。</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（四）基金管理费和基金托管费的调整</w:t>
      </w:r>
    </w:p>
    <w:p>
      <w:pPr>
        <w:pStyle w:val="BodyText"/>
        <w:spacing w:before="4"/>
        <w:ind w:left="0"/>
        <w:rPr>
          <w:rFonts w:ascii="Microsoft JhengHei"/>
          <w:b/>
          <w:sz w:val="14"/>
        </w:rPr>
      </w:pPr>
    </w:p>
    <w:p>
      <w:pPr>
        <w:pStyle w:val="BodyText"/>
        <w:spacing w:line="364" w:lineRule="auto" w:before="0"/>
        <w:ind w:right="458" w:firstLine="480"/>
        <w:jc w:val="both"/>
      </w:pPr>
      <w:r>
        <w:rPr>
          <w:spacing w:val="-5"/>
        </w:rPr>
        <w:t>基金管理人和基金托管人可协商酌情调低基金管理费和基金托管费，无须召</w:t>
      </w:r>
      <w:r>
        <w:rPr>
          <w:spacing w:val="-11"/>
        </w:rPr>
        <w:t>开基金份额持有人大会。基金管理人必须最迟于新的费率实施日前 </w:t>
      </w:r>
      <w:r>
        <w:rPr/>
        <w:t>2</w:t>
      </w:r>
      <w:r>
        <w:rPr>
          <w:spacing w:val="-13"/>
        </w:rPr>
        <w:t> 日在指定媒</w:t>
      </w:r>
      <w:r>
        <w:rPr/>
        <w:t>介上刊登公告。</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（五）其他费用</w:t>
      </w:r>
    </w:p>
    <w:p>
      <w:pPr>
        <w:pStyle w:val="BodyText"/>
        <w:spacing w:before="4"/>
        <w:ind w:left="0"/>
        <w:rPr>
          <w:rFonts w:ascii="Microsoft JhengHei"/>
          <w:b/>
          <w:sz w:val="14"/>
        </w:rPr>
      </w:pPr>
    </w:p>
    <w:p>
      <w:pPr>
        <w:pStyle w:val="BodyText"/>
        <w:spacing w:line="364" w:lineRule="auto" w:before="0"/>
        <w:ind w:right="458" w:firstLine="480"/>
      </w:pPr>
      <w:r>
        <w:rPr>
          <w:spacing w:val="-7"/>
        </w:rPr>
        <w:t>按照国家有关规定和基金合同约定，基金管理人可以在基金财产中列支其他</w:t>
      </w:r>
      <w:r>
        <w:rPr/>
        <w:t>的费用，并按照相关的法律法规的规定进行公告或备案。</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（六）税收</w:t>
      </w:r>
    </w:p>
    <w:p>
      <w:pPr>
        <w:pStyle w:val="BodyText"/>
        <w:spacing w:before="5"/>
        <w:ind w:left="0"/>
        <w:rPr>
          <w:rFonts w:ascii="Microsoft JhengHei"/>
          <w:b/>
          <w:sz w:val="14"/>
        </w:rPr>
      </w:pPr>
    </w:p>
    <w:p>
      <w:pPr>
        <w:pStyle w:val="BodyText"/>
        <w:spacing w:line="364" w:lineRule="auto" w:before="0"/>
        <w:ind w:right="458" w:firstLine="480"/>
      </w:pPr>
      <w:r>
        <w:rPr>
          <w:spacing w:val="-7"/>
        </w:rPr>
        <w:t>本基金运作过程中涉及的各纳税主体，依照国家法律法规的规定履行纳税义</w:t>
      </w:r>
      <w:r>
        <w:rPr/>
        <w:t>务。</w:t>
      </w:r>
    </w:p>
    <w:p>
      <w:pPr>
        <w:spacing w:after="0" w:line="364" w:lineRule="auto"/>
        <w:sectPr>
          <w:pgSz w:w="11910" w:h="16840"/>
          <w:pgMar w:header="0" w:footer="990" w:top="1460" w:bottom="1180" w:left="1680" w:right="1340"/>
        </w:sectPr>
      </w:pPr>
    </w:p>
    <w:p>
      <w:pPr>
        <w:pStyle w:val="Heading1"/>
        <w:tabs>
          <w:tab w:pos="1379" w:val="left" w:leader="none"/>
        </w:tabs>
        <w:spacing w:before="1"/>
        <w:ind w:left="403"/>
      </w:pPr>
      <w:bookmarkStart w:name="_bookmark19" w:id="20"/>
      <w:bookmarkEnd w:id="20"/>
      <w:r>
        <w:rPr>
          <w:b w:val="0"/>
        </w:rPr>
      </w:r>
      <w:r>
        <w:rPr>
          <w:position w:val="-2"/>
        </w:rPr>
        <w:t>二十、</w:t>
        <w:tab/>
      </w:r>
      <w:r>
        <w:rPr/>
        <w:t>基金收益与分配</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（一）收益的构成</w:t>
      </w:r>
    </w:p>
    <w:p>
      <w:pPr>
        <w:pStyle w:val="BodyText"/>
        <w:spacing w:before="5"/>
        <w:ind w:left="0"/>
        <w:rPr>
          <w:rFonts w:ascii="Microsoft JhengHei"/>
          <w:b/>
          <w:sz w:val="14"/>
        </w:rPr>
      </w:pPr>
    </w:p>
    <w:p>
      <w:pPr>
        <w:pStyle w:val="ListParagraph"/>
        <w:numPr>
          <w:ilvl w:val="0"/>
          <w:numId w:val="49"/>
        </w:numPr>
        <w:tabs>
          <w:tab w:pos="1203" w:val="left" w:leader="none"/>
        </w:tabs>
        <w:spacing w:line="364" w:lineRule="auto" w:before="0" w:after="0"/>
        <w:ind w:left="120" w:right="218" w:firstLine="480"/>
        <w:jc w:val="left"/>
        <w:rPr>
          <w:sz w:val="24"/>
        </w:rPr>
      </w:pPr>
      <w:r>
        <w:rPr>
          <w:sz w:val="24"/>
        </w:rPr>
        <w:t>基金收益包括：基金投资所得红利、股息、债券利息、买卖证券差价、银行存款利息以及其他收入。</w:t>
      </w:r>
    </w:p>
    <w:p>
      <w:pPr>
        <w:pStyle w:val="ListParagraph"/>
        <w:numPr>
          <w:ilvl w:val="0"/>
          <w:numId w:val="49"/>
        </w:numPr>
        <w:tabs>
          <w:tab w:pos="1201" w:val="left" w:leader="none"/>
        </w:tabs>
        <w:spacing w:line="240" w:lineRule="auto" w:before="1" w:after="0"/>
        <w:ind w:left="1201" w:right="0" w:hanging="601"/>
        <w:jc w:val="left"/>
        <w:rPr>
          <w:sz w:val="24"/>
        </w:rPr>
      </w:pPr>
      <w:r>
        <w:rPr>
          <w:sz w:val="24"/>
        </w:rPr>
        <w:t>因运用基金财产带来的成本或费用的节约应计入收益。</w:t>
      </w:r>
    </w:p>
    <w:p>
      <w:pPr>
        <w:pStyle w:val="ListParagraph"/>
        <w:numPr>
          <w:ilvl w:val="0"/>
          <w:numId w:val="49"/>
        </w:numPr>
        <w:tabs>
          <w:tab w:pos="1203" w:val="left" w:leader="none"/>
        </w:tabs>
        <w:spacing w:line="364" w:lineRule="auto" w:before="160" w:after="0"/>
        <w:ind w:left="120" w:right="458" w:firstLine="480"/>
        <w:jc w:val="left"/>
        <w:rPr>
          <w:sz w:val="24"/>
        </w:rPr>
      </w:pPr>
      <w:r>
        <w:rPr>
          <w:sz w:val="24"/>
        </w:rPr>
        <w:t>基金净收益为基金收益扣除按照有关规定可以在基金收益中扣除的费用等项目后的余额。</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（二）收益分配原则</w:t>
      </w:r>
    </w:p>
    <w:p>
      <w:pPr>
        <w:pStyle w:val="BodyText"/>
        <w:spacing w:before="5"/>
        <w:ind w:left="0"/>
        <w:rPr>
          <w:rFonts w:ascii="Microsoft JhengHei"/>
          <w:b/>
          <w:sz w:val="14"/>
        </w:rPr>
      </w:pPr>
    </w:p>
    <w:p>
      <w:pPr>
        <w:pStyle w:val="ListParagraph"/>
        <w:numPr>
          <w:ilvl w:val="0"/>
          <w:numId w:val="50"/>
        </w:numPr>
        <w:tabs>
          <w:tab w:pos="1203" w:val="left" w:leader="none"/>
        </w:tabs>
        <w:spacing w:line="364" w:lineRule="auto" w:before="0" w:after="0"/>
        <w:ind w:left="120" w:right="458" w:firstLine="480"/>
        <w:jc w:val="both"/>
        <w:rPr>
          <w:sz w:val="24"/>
        </w:rPr>
      </w:pPr>
      <w:r>
        <w:rPr>
          <w:sz w:val="24"/>
        </w:rPr>
        <w:t>基金收益分配采用现金方式或红利再投资方式（指现金红利按红利发放日前一工作日的基金份额净值自动转为基金份额进行再投资</w:t>
      </w:r>
      <w:r>
        <w:rPr>
          <w:spacing w:val="-48"/>
          <w:sz w:val="24"/>
        </w:rPr>
        <w:t>）</w:t>
      </w:r>
      <w:r>
        <w:rPr>
          <w:spacing w:val="-11"/>
          <w:sz w:val="24"/>
        </w:rPr>
        <w:t>，基金份额持有</w:t>
      </w:r>
      <w:r>
        <w:rPr>
          <w:spacing w:val="-7"/>
          <w:sz w:val="24"/>
        </w:rPr>
        <w:t>人可选择现金方式或红利再投资方式；基金份额持有人事先未做出选择的，默认</w:t>
      </w:r>
      <w:r>
        <w:rPr>
          <w:sz w:val="24"/>
        </w:rPr>
        <w:t>的分红方式为现金红利；</w:t>
      </w:r>
    </w:p>
    <w:p>
      <w:pPr>
        <w:pStyle w:val="ListParagraph"/>
        <w:numPr>
          <w:ilvl w:val="0"/>
          <w:numId w:val="50"/>
        </w:numPr>
        <w:tabs>
          <w:tab w:pos="1201" w:val="left" w:leader="none"/>
        </w:tabs>
        <w:spacing w:line="240" w:lineRule="auto" w:before="2" w:after="0"/>
        <w:ind w:left="1201" w:right="0" w:hanging="601"/>
        <w:jc w:val="left"/>
        <w:rPr>
          <w:sz w:val="24"/>
        </w:rPr>
      </w:pPr>
      <w:r>
        <w:rPr>
          <w:sz w:val="24"/>
        </w:rPr>
        <w:t>每一基金份额享有同等分配权；</w:t>
      </w:r>
    </w:p>
    <w:p>
      <w:pPr>
        <w:pStyle w:val="ListParagraph"/>
        <w:numPr>
          <w:ilvl w:val="0"/>
          <w:numId w:val="50"/>
        </w:numPr>
        <w:tabs>
          <w:tab w:pos="1201" w:val="left" w:leader="none"/>
        </w:tabs>
        <w:spacing w:line="240" w:lineRule="auto" w:before="161" w:after="0"/>
        <w:ind w:left="1201" w:right="0" w:hanging="601"/>
        <w:jc w:val="left"/>
        <w:rPr>
          <w:sz w:val="24"/>
        </w:rPr>
      </w:pPr>
      <w:r>
        <w:rPr>
          <w:sz w:val="24"/>
        </w:rPr>
        <w:t>基金当期收益先弥补上期亏损后，方可进行当期收益分配；</w:t>
      </w:r>
    </w:p>
    <w:p>
      <w:pPr>
        <w:pStyle w:val="ListParagraph"/>
        <w:numPr>
          <w:ilvl w:val="0"/>
          <w:numId w:val="50"/>
        </w:numPr>
        <w:tabs>
          <w:tab w:pos="1201" w:val="left" w:leader="none"/>
        </w:tabs>
        <w:spacing w:line="240" w:lineRule="auto" w:before="160" w:after="0"/>
        <w:ind w:left="1201" w:right="0" w:hanging="601"/>
        <w:jc w:val="left"/>
        <w:rPr>
          <w:sz w:val="24"/>
        </w:rPr>
      </w:pPr>
      <w:r>
        <w:rPr>
          <w:sz w:val="24"/>
        </w:rPr>
        <w:t>如果基金当期出现亏损，则不进行收益分配；</w:t>
      </w:r>
    </w:p>
    <w:p>
      <w:pPr>
        <w:pStyle w:val="ListParagraph"/>
        <w:numPr>
          <w:ilvl w:val="0"/>
          <w:numId w:val="50"/>
        </w:numPr>
        <w:tabs>
          <w:tab w:pos="1201" w:val="left" w:leader="none"/>
        </w:tabs>
        <w:spacing w:line="240" w:lineRule="auto" w:before="161" w:after="0"/>
        <w:ind w:left="1201" w:right="0" w:hanging="601"/>
        <w:jc w:val="left"/>
        <w:rPr>
          <w:sz w:val="24"/>
        </w:rPr>
      </w:pPr>
      <w:r>
        <w:rPr>
          <w:sz w:val="24"/>
        </w:rPr>
        <w:t>基金收益分配后每份基金份额的净值不能低于面值；</w:t>
      </w:r>
    </w:p>
    <w:p>
      <w:pPr>
        <w:pStyle w:val="ListParagraph"/>
        <w:numPr>
          <w:ilvl w:val="0"/>
          <w:numId w:val="50"/>
        </w:numPr>
        <w:tabs>
          <w:tab w:pos="1203" w:val="left" w:leader="none"/>
        </w:tabs>
        <w:spacing w:line="364" w:lineRule="auto" w:before="160" w:after="0"/>
        <w:ind w:left="120" w:right="458" w:firstLine="480"/>
        <w:jc w:val="both"/>
        <w:rPr>
          <w:sz w:val="24"/>
        </w:rPr>
      </w:pPr>
      <w:r>
        <w:rPr>
          <w:sz w:val="24"/>
        </w:rPr>
        <w:t>在符合有关基金分红条件的前提下，本基金每年收益分配次数最多为</w:t>
      </w:r>
      <w:r>
        <w:rPr>
          <w:spacing w:val="-6"/>
          <w:sz w:val="24"/>
        </w:rPr>
        <w:t>十二次，全年分配比例不得低于年度可供分配收益的 </w:t>
      </w:r>
      <w:r>
        <w:rPr>
          <w:spacing w:val="-3"/>
          <w:sz w:val="24"/>
        </w:rPr>
        <w:t>10%</w:t>
      </w:r>
      <w:r>
        <w:rPr>
          <w:spacing w:val="-6"/>
          <w:sz w:val="24"/>
        </w:rPr>
        <w:t>，若《基金合同》生效</w:t>
      </w:r>
      <w:r>
        <w:rPr>
          <w:spacing w:val="-20"/>
          <w:sz w:val="24"/>
        </w:rPr>
        <w:t>不满 </w:t>
      </w:r>
      <w:r>
        <w:rPr>
          <w:sz w:val="24"/>
        </w:rPr>
        <w:t>3</w:t>
      </w:r>
      <w:r>
        <w:rPr>
          <w:spacing w:val="-8"/>
          <w:sz w:val="24"/>
        </w:rPr>
        <w:t> 个月可不进行收益分配；</w:t>
      </w:r>
    </w:p>
    <w:p>
      <w:pPr>
        <w:pStyle w:val="ListParagraph"/>
        <w:numPr>
          <w:ilvl w:val="0"/>
          <w:numId w:val="50"/>
        </w:numPr>
        <w:tabs>
          <w:tab w:pos="1203" w:val="left" w:leader="none"/>
        </w:tabs>
        <w:spacing w:line="364" w:lineRule="auto" w:before="2" w:after="0"/>
        <w:ind w:left="120" w:right="458" w:firstLine="480"/>
        <w:jc w:val="both"/>
        <w:rPr>
          <w:sz w:val="24"/>
        </w:rPr>
      </w:pPr>
      <w:r>
        <w:rPr>
          <w:sz w:val="24"/>
        </w:rPr>
        <w:t>原基金科讯终止上市后, 基金注册登记人由中国证券登记结算有限责任公司更换为易方达基金管理有限公司,基金份额持有人需要对原持有的基金份额进行确认和重新登记,方可通过其办理确权业务的相关销售机构办理赎回等业</w:t>
      </w:r>
      <w:r>
        <w:rPr>
          <w:spacing w:val="-12"/>
          <w:sz w:val="24"/>
        </w:rPr>
        <w:t>务。在投资者办理确权登记之前,如本基金进行收益分配,则未办理确权手续的基</w:t>
      </w:r>
      <w:r>
        <w:rPr>
          <w:sz w:val="24"/>
        </w:rPr>
        <w:t>金份额产生相应的基金权益将以红利再投资方式进行处理,分红后基金份额继续托管在易方达基金管理有限公司登记注册中心,直至投资者办理确权登记。</w:t>
      </w:r>
    </w:p>
    <w:p>
      <w:pPr>
        <w:pStyle w:val="ListParagraph"/>
        <w:numPr>
          <w:ilvl w:val="0"/>
          <w:numId w:val="50"/>
        </w:numPr>
        <w:tabs>
          <w:tab w:pos="1201" w:val="left" w:leader="none"/>
        </w:tabs>
        <w:spacing w:line="240" w:lineRule="auto" w:before="4" w:after="0"/>
        <w:ind w:left="1201" w:right="0" w:hanging="601"/>
        <w:jc w:val="left"/>
        <w:rPr>
          <w:sz w:val="24"/>
        </w:rPr>
      </w:pPr>
      <w:r>
        <w:rPr>
          <w:sz w:val="24"/>
        </w:rPr>
        <w:t>法律、法规或监管机构另有规定的，从其规定。</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（三）收益分配方案</w:t>
      </w:r>
    </w:p>
    <w:p>
      <w:pPr>
        <w:spacing w:after="0"/>
        <w:jc w:val="left"/>
        <w:rPr>
          <w:rFonts w:ascii="Microsoft JhengHei" w:eastAsia="Microsoft JhengHei" w:hint="eastAsia"/>
          <w:sz w:val="24"/>
        </w:rPr>
        <w:sectPr>
          <w:pgSz w:w="11910" w:h="16840"/>
          <w:pgMar w:header="0" w:footer="990" w:top="1580" w:bottom="1180" w:left="1680" w:right="1340"/>
        </w:sectPr>
      </w:pPr>
    </w:p>
    <w:p>
      <w:pPr>
        <w:pStyle w:val="BodyText"/>
        <w:spacing w:line="364" w:lineRule="auto" w:before="44"/>
        <w:ind w:right="458" w:firstLine="480"/>
      </w:pPr>
      <w:r>
        <w:rPr>
          <w:spacing w:val="-6"/>
        </w:rPr>
        <w:t>基金收益分配方案中载明基金收益分配对象、分配时间、分配数额、分配方</w:t>
      </w:r>
      <w:r>
        <w:rPr/>
        <w:t>式等内容。</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（四）收益分配方案的确定与公告</w:t>
      </w:r>
    </w:p>
    <w:p>
      <w:pPr>
        <w:pStyle w:val="BodyText"/>
        <w:spacing w:before="4"/>
        <w:ind w:left="0"/>
        <w:rPr>
          <w:rFonts w:ascii="Microsoft JhengHei"/>
          <w:b/>
          <w:sz w:val="14"/>
        </w:rPr>
      </w:pPr>
    </w:p>
    <w:p>
      <w:pPr>
        <w:pStyle w:val="BodyText"/>
        <w:spacing w:line="364" w:lineRule="auto" w:before="0"/>
        <w:ind w:right="458" w:firstLine="480"/>
      </w:pPr>
      <w:r>
        <w:rPr>
          <w:spacing w:val="-6"/>
        </w:rPr>
        <w:t>基金收益分配方案由基金管理人拟定，并由基金托管人核实后确定，基金管</w:t>
      </w:r>
      <w:r>
        <w:rPr>
          <w:spacing w:val="-12"/>
        </w:rPr>
        <w:t>理人应在 </w:t>
      </w:r>
      <w:r>
        <w:rPr/>
        <w:t>2</w:t>
      </w:r>
      <w:r>
        <w:rPr>
          <w:spacing w:val="-10"/>
        </w:rPr>
        <w:t> 日内公告。</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（五）收益分配中发生的费用</w:t>
      </w:r>
    </w:p>
    <w:p>
      <w:pPr>
        <w:pStyle w:val="BodyText"/>
        <w:spacing w:before="4"/>
        <w:ind w:left="0"/>
        <w:rPr>
          <w:rFonts w:ascii="Microsoft JhengHei"/>
          <w:b/>
          <w:sz w:val="14"/>
        </w:rPr>
      </w:pPr>
    </w:p>
    <w:p>
      <w:pPr>
        <w:pStyle w:val="ListParagraph"/>
        <w:numPr>
          <w:ilvl w:val="0"/>
          <w:numId w:val="51"/>
        </w:numPr>
        <w:tabs>
          <w:tab w:pos="1203" w:val="left" w:leader="none"/>
        </w:tabs>
        <w:spacing w:line="364" w:lineRule="auto" w:before="1" w:after="0"/>
        <w:ind w:left="120" w:right="218" w:firstLine="480"/>
        <w:jc w:val="left"/>
        <w:rPr>
          <w:sz w:val="24"/>
        </w:rPr>
      </w:pPr>
      <w:r>
        <w:rPr>
          <w:sz w:val="24"/>
        </w:rPr>
        <w:t>收益分配采用红利再投资方式免收再投资的费用；采用现金分红方式， </w:t>
      </w:r>
      <w:r>
        <w:rPr>
          <w:spacing w:val="-3"/>
          <w:sz w:val="24"/>
        </w:rPr>
        <w:t>则可从分红现金中提取一定的数额或者比例用于支付注册登记业务手续费，如收 取该项费用，具体提取标准和方法在招募说明书或其他公告中列示。</w:t>
      </w:r>
    </w:p>
    <w:p>
      <w:pPr>
        <w:pStyle w:val="ListParagraph"/>
        <w:numPr>
          <w:ilvl w:val="0"/>
          <w:numId w:val="51"/>
        </w:numPr>
        <w:tabs>
          <w:tab w:pos="1201" w:val="left" w:leader="none"/>
        </w:tabs>
        <w:spacing w:line="240" w:lineRule="auto" w:before="1" w:after="0"/>
        <w:ind w:left="1201" w:right="0" w:hanging="601"/>
        <w:jc w:val="left"/>
        <w:rPr>
          <w:sz w:val="24"/>
        </w:rPr>
      </w:pPr>
      <w:r>
        <w:rPr>
          <w:sz w:val="24"/>
        </w:rPr>
        <w:t>收益分配时发生的银行转账等手续费用由基金份额持有人自行承担。</w:t>
      </w:r>
    </w:p>
    <w:p>
      <w:pPr>
        <w:pStyle w:val="ListParagraph"/>
        <w:numPr>
          <w:ilvl w:val="0"/>
          <w:numId w:val="51"/>
        </w:numPr>
        <w:tabs>
          <w:tab w:pos="1203" w:val="left" w:leader="none"/>
        </w:tabs>
        <w:spacing w:line="364" w:lineRule="auto" w:before="161" w:after="0"/>
        <w:ind w:left="120" w:right="458" w:firstLine="480"/>
        <w:jc w:val="both"/>
        <w:rPr>
          <w:sz w:val="24"/>
        </w:rPr>
      </w:pPr>
      <w:r>
        <w:rPr>
          <w:sz w:val="24"/>
        </w:rPr>
        <w:t>当投资者的现金红利小于一定金额，不足于支付银行转账或其他手续</w:t>
      </w:r>
      <w:r>
        <w:rPr>
          <w:spacing w:val="-12"/>
          <w:sz w:val="24"/>
        </w:rPr>
        <w:t>费用时，基金注册登记机构可将基金份额持有人的现金红利按红利发放日前一工</w:t>
      </w:r>
      <w:r>
        <w:rPr>
          <w:spacing w:val="-6"/>
          <w:sz w:val="24"/>
        </w:rPr>
        <w:t>作日的基金份额净值自动转为基金份额。红利再投资的计算方法，依照《业务规</w:t>
      </w:r>
      <w:r>
        <w:rPr>
          <w:sz w:val="24"/>
        </w:rPr>
        <w:t>则》执行。</w:t>
      </w:r>
    </w:p>
    <w:p>
      <w:pPr>
        <w:spacing w:after="0" w:line="364" w:lineRule="auto"/>
        <w:jc w:val="both"/>
        <w:rPr>
          <w:sz w:val="24"/>
        </w:rPr>
        <w:sectPr>
          <w:pgSz w:w="11910" w:h="16840"/>
          <w:pgMar w:header="0" w:footer="990" w:top="1460" w:bottom="1180" w:left="1680" w:right="1340"/>
        </w:sectPr>
      </w:pPr>
    </w:p>
    <w:p>
      <w:pPr>
        <w:pStyle w:val="Heading1"/>
        <w:spacing w:before="1"/>
        <w:ind w:left="403"/>
      </w:pPr>
      <w:bookmarkStart w:name="_bookmark20" w:id="21"/>
      <w:bookmarkEnd w:id="21"/>
      <w:r>
        <w:rPr>
          <w:b w:val="0"/>
        </w:rPr>
      </w:r>
      <w:r>
        <w:rPr>
          <w:position w:val="-2"/>
        </w:rPr>
        <w:t>二十一、</w:t>
      </w:r>
      <w:r>
        <w:rPr/>
        <w:t>基金的会计与审计</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（一）基金会计政策</w:t>
      </w:r>
    </w:p>
    <w:p>
      <w:pPr>
        <w:pStyle w:val="BodyText"/>
        <w:spacing w:before="5"/>
        <w:ind w:left="0"/>
        <w:rPr>
          <w:rFonts w:ascii="Microsoft JhengHei"/>
          <w:b/>
          <w:sz w:val="14"/>
        </w:rPr>
      </w:pPr>
    </w:p>
    <w:p>
      <w:pPr>
        <w:pStyle w:val="ListParagraph"/>
        <w:numPr>
          <w:ilvl w:val="0"/>
          <w:numId w:val="52"/>
        </w:numPr>
        <w:tabs>
          <w:tab w:pos="1201" w:val="left" w:leader="none"/>
        </w:tabs>
        <w:spacing w:line="240" w:lineRule="auto" w:before="0" w:after="0"/>
        <w:ind w:left="1201" w:right="0" w:hanging="601"/>
        <w:jc w:val="left"/>
        <w:rPr>
          <w:sz w:val="24"/>
        </w:rPr>
      </w:pPr>
      <w:r>
        <w:rPr>
          <w:spacing w:val="-5"/>
          <w:sz w:val="24"/>
        </w:rPr>
        <w:t>基金的会计年度为公历每年 </w:t>
      </w:r>
      <w:r>
        <w:rPr>
          <w:sz w:val="24"/>
        </w:rPr>
        <w:t>1</w:t>
      </w:r>
      <w:r>
        <w:rPr>
          <w:spacing w:val="-20"/>
          <w:sz w:val="24"/>
        </w:rPr>
        <w:t> 月 </w:t>
      </w:r>
      <w:r>
        <w:rPr>
          <w:sz w:val="24"/>
        </w:rPr>
        <w:t>1</w:t>
      </w:r>
      <w:r>
        <w:rPr>
          <w:spacing w:val="-15"/>
          <w:sz w:val="24"/>
        </w:rPr>
        <w:t> 日至 </w:t>
      </w:r>
      <w:r>
        <w:rPr>
          <w:sz w:val="24"/>
        </w:rPr>
        <w:t>12</w:t>
      </w:r>
      <w:r>
        <w:rPr>
          <w:spacing w:val="-20"/>
          <w:sz w:val="24"/>
        </w:rPr>
        <w:t> 月 </w:t>
      </w:r>
      <w:r>
        <w:rPr>
          <w:sz w:val="24"/>
        </w:rPr>
        <w:t>31 日。</w:t>
      </w:r>
    </w:p>
    <w:p>
      <w:pPr>
        <w:pStyle w:val="ListParagraph"/>
        <w:numPr>
          <w:ilvl w:val="0"/>
          <w:numId w:val="52"/>
        </w:numPr>
        <w:tabs>
          <w:tab w:pos="1201" w:val="left" w:leader="none"/>
        </w:tabs>
        <w:spacing w:line="240" w:lineRule="auto" w:before="160" w:after="0"/>
        <w:ind w:left="1201" w:right="0" w:hanging="601"/>
        <w:jc w:val="left"/>
        <w:rPr>
          <w:sz w:val="24"/>
        </w:rPr>
      </w:pPr>
      <w:r>
        <w:rPr>
          <w:sz w:val="24"/>
        </w:rPr>
        <w:t>基金核算以人民币为记账本位币，以人民币元为记账单位。</w:t>
      </w:r>
    </w:p>
    <w:p>
      <w:pPr>
        <w:pStyle w:val="ListParagraph"/>
        <w:numPr>
          <w:ilvl w:val="0"/>
          <w:numId w:val="52"/>
        </w:numPr>
        <w:tabs>
          <w:tab w:pos="1201" w:val="left" w:leader="none"/>
        </w:tabs>
        <w:spacing w:line="240" w:lineRule="auto" w:before="161" w:after="0"/>
        <w:ind w:left="1201" w:right="0" w:hanging="601"/>
        <w:jc w:val="left"/>
        <w:rPr>
          <w:sz w:val="24"/>
        </w:rPr>
      </w:pPr>
      <w:r>
        <w:rPr>
          <w:sz w:val="24"/>
        </w:rPr>
        <w:t>会计制度按国家有关的会计制度执行。</w:t>
      </w:r>
    </w:p>
    <w:p>
      <w:pPr>
        <w:pStyle w:val="ListParagraph"/>
        <w:numPr>
          <w:ilvl w:val="0"/>
          <w:numId w:val="52"/>
        </w:numPr>
        <w:tabs>
          <w:tab w:pos="1201" w:val="left" w:leader="none"/>
        </w:tabs>
        <w:spacing w:line="240" w:lineRule="auto" w:before="160" w:after="0"/>
        <w:ind w:left="1201" w:right="0" w:hanging="601"/>
        <w:jc w:val="left"/>
        <w:rPr>
          <w:sz w:val="24"/>
        </w:rPr>
      </w:pPr>
      <w:r>
        <w:rPr>
          <w:sz w:val="24"/>
        </w:rPr>
        <w:t>本基金独立建账、独立核算。</w:t>
      </w:r>
    </w:p>
    <w:p>
      <w:pPr>
        <w:pStyle w:val="ListParagraph"/>
        <w:numPr>
          <w:ilvl w:val="0"/>
          <w:numId w:val="52"/>
        </w:numPr>
        <w:tabs>
          <w:tab w:pos="1201" w:val="left" w:leader="none"/>
        </w:tabs>
        <w:spacing w:line="240" w:lineRule="auto" w:before="161" w:after="0"/>
        <w:ind w:left="1201" w:right="0" w:hanging="601"/>
        <w:jc w:val="left"/>
        <w:rPr>
          <w:sz w:val="24"/>
        </w:rPr>
      </w:pPr>
      <w:r>
        <w:rPr>
          <w:sz w:val="24"/>
        </w:rPr>
        <w:t>本基金会计责任人为基金管理人。</w:t>
      </w:r>
    </w:p>
    <w:p>
      <w:pPr>
        <w:pStyle w:val="ListParagraph"/>
        <w:numPr>
          <w:ilvl w:val="0"/>
          <w:numId w:val="52"/>
        </w:numPr>
        <w:tabs>
          <w:tab w:pos="1203" w:val="left" w:leader="none"/>
        </w:tabs>
        <w:spacing w:line="364" w:lineRule="auto" w:before="160" w:after="0"/>
        <w:ind w:left="120" w:right="458" w:firstLine="480"/>
        <w:jc w:val="both"/>
        <w:rPr>
          <w:sz w:val="24"/>
        </w:rPr>
      </w:pPr>
      <w:r>
        <w:rPr>
          <w:sz w:val="24"/>
        </w:rPr>
        <w:t>基金管理人及托管人应各自保留完整的会计账目、凭证并进行日常的</w:t>
      </w:r>
      <w:r>
        <w:rPr>
          <w:spacing w:val="-11"/>
          <w:sz w:val="24"/>
        </w:rPr>
        <w:t>会计核算，按照有关规定编制基金会计报表，基金托管人定期与基金管理人就基</w:t>
      </w:r>
      <w:r>
        <w:rPr>
          <w:sz w:val="24"/>
        </w:rPr>
        <w:t>金的会计核算、报表编制等进行核对并以书面方式确认。</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（二）基金年度审计</w:t>
      </w:r>
    </w:p>
    <w:p>
      <w:pPr>
        <w:pStyle w:val="BodyText"/>
        <w:spacing w:before="4"/>
        <w:ind w:left="0"/>
        <w:rPr>
          <w:rFonts w:ascii="Microsoft JhengHei"/>
          <w:b/>
          <w:sz w:val="14"/>
        </w:rPr>
      </w:pPr>
    </w:p>
    <w:p>
      <w:pPr>
        <w:pStyle w:val="ListParagraph"/>
        <w:numPr>
          <w:ilvl w:val="0"/>
          <w:numId w:val="53"/>
        </w:numPr>
        <w:tabs>
          <w:tab w:pos="1203" w:val="left" w:leader="none"/>
        </w:tabs>
        <w:spacing w:line="364" w:lineRule="auto" w:before="0" w:after="0"/>
        <w:ind w:left="120" w:right="218" w:firstLine="480"/>
        <w:jc w:val="left"/>
        <w:rPr>
          <w:sz w:val="24"/>
        </w:rPr>
      </w:pPr>
      <w:r>
        <w:rPr>
          <w:sz w:val="24"/>
        </w:rPr>
        <w:t>基金管理人聘请与基金管理人、基金托管人相独立的、具有从事证券、</w:t>
      </w:r>
      <w:r>
        <w:rPr>
          <w:spacing w:val="3"/>
          <w:sz w:val="24"/>
        </w:rPr>
        <w:t>期货相关业务资格的会计师事务所及其注册会计师对基金年度财务报表及其他 规定事项进行审计；</w:t>
      </w:r>
    </w:p>
    <w:p>
      <w:pPr>
        <w:pStyle w:val="ListParagraph"/>
        <w:numPr>
          <w:ilvl w:val="0"/>
          <w:numId w:val="53"/>
        </w:numPr>
        <w:tabs>
          <w:tab w:pos="1203" w:val="left" w:leader="none"/>
        </w:tabs>
        <w:spacing w:line="364" w:lineRule="auto" w:before="2" w:after="0"/>
        <w:ind w:left="120" w:right="458" w:firstLine="480"/>
        <w:jc w:val="left"/>
        <w:rPr>
          <w:sz w:val="24"/>
        </w:rPr>
      </w:pPr>
      <w:r>
        <w:rPr>
          <w:sz w:val="24"/>
        </w:rPr>
        <w:t>会计师事务所更换经办注册会计师，应事先征得基金管理人和基金托管人同意；</w:t>
      </w:r>
    </w:p>
    <w:p>
      <w:pPr>
        <w:pStyle w:val="ListParagraph"/>
        <w:numPr>
          <w:ilvl w:val="0"/>
          <w:numId w:val="53"/>
        </w:numPr>
        <w:tabs>
          <w:tab w:pos="1203" w:val="left" w:leader="none"/>
        </w:tabs>
        <w:spacing w:line="364" w:lineRule="auto" w:before="1" w:after="0"/>
        <w:ind w:left="120" w:right="458" w:firstLine="480"/>
        <w:jc w:val="both"/>
        <w:rPr>
          <w:sz w:val="24"/>
        </w:rPr>
      </w:pPr>
      <w:r>
        <w:rPr>
          <w:sz w:val="24"/>
        </w:rPr>
        <w:t>基金管理人（或基金托管人）认为有充足理由更换会计师事务所，须</w:t>
      </w:r>
      <w:r>
        <w:rPr>
          <w:spacing w:val="-6"/>
          <w:sz w:val="24"/>
        </w:rPr>
        <w:t>经基金托管人</w:t>
      </w:r>
      <w:r>
        <w:rPr>
          <w:sz w:val="24"/>
        </w:rPr>
        <w:t>（或基金管理人</w:t>
      </w:r>
      <w:r>
        <w:rPr>
          <w:spacing w:val="-32"/>
          <w:sz w:val="24"/>
        </w:rPr>
        <w:t>）</w:t>
      </w:r>
      <w:r>
        <w:rPr>
          <w:spacing w:val="-6"/>
          <w:sz w:val="24"/>
        </w:rPr>
        <w:t>同意可以更换。基金管理人应在更换会计师事务</w:t>
      </w:r>
      <w:r>
        <w:rPr>
          <w:spacing w:val="-15"/>
          <w:sz w:val="24"/>
        </w:rPr>
        <w:t>所后在 </w:t>
      </w:r>
      <w:r>
        <w:rPr>
          <w:sz w:val="24"/>
        </w:rPr>
        <w:t>2</w:t>
      </w:r>
      <w:r>
        <w:rPr>
          <w:spacing w:val="-10"/>
          <w:sz w:val="24"/>
        </w:rPr>
        <w:t> 日内公告。</w:t>
      </w:r>
    </w:p>
    <w:p>
      <w:pPr>
        <w:spacing w:after="0" w:line="364" w:lineRule="auto"/>
        <w:jc w:val="both"/>
        <w:rPr>
          <w:sz w:val="24"/>
        </w:rPr>
        <w:sectPr>
          <w:pgSz w:w="11910" w:h="16840"/>
          <w:pgMar w:header="0" w:footer="990" w:top="1580" w:bottom="1180" w:left="1680" w:right="1340"/>
        </w:sectPr>
      </w:pPr>
    </w:p>
    <w:p>
      <w:pPr>
        <w:pStyle w:val="Heading1"/>
        <w:spacing w:before="1"/>
        <w:ind w:left="403"/>
      </w:pPr>
      <w:bookmarkStart w:name="_bookmark21" w:id="22"/>
      <w:bookmarkEnd w:id="22"/>
      <w:r>
        <w:rPr>
          <w:b w:val="0"/>
        </w:rPr>
      </w:r>
      <w:r>
        <w:rPr>
          <w:position w:val="-2"/>
        </w:rPr>
        <w:t>二十二、</w:t>
      </w:r>
      <w:r>
        <w:rPr/>
        <w:t>基金的信息披露</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（一）披露原则</w:t>
      </w:r>
    </w:p>
    <w:p>
      <w:pPr>
        <w:pStyle w:val="BodyText"/>
        <w:spacing w:before="5"/>
        <w:ind w:left="0"/>
        <w:rPr>
          <w:rFonts w:ascii="Microsoft JhengHei"/>
          <w:b/>
          <w:sz w:val="14"/>
        </w:rPr>
      </w:pPr>
    </w:p>
    <w:p>
      <w:pPr>
        <w:pStyle w:val="BodyText"/>
        <w:spacing w:line="364" w:lineRule="auto" w:before="0"/>
        <w:ind w:right="458" w:firstLine="480"/>
      </w:pPr>
      <w:r>
        <w:rPr>
          <w:spacing w:val="-7"/>
        </w:rPr>
        <w:t>基金的信息披露应符合《基金法》、《运作办法》、《信息披露办法》、基</w:t>
      </w:r>
      <w:r>
        <w:rPr/>
        <w:t>金合同及其他有关规定。</w:t>
      </w:r>
    </w:p>
    <w:p>
      <w:pPr>
        <w:pStyle w:val="BodyText"/>
        <w:spacing w:line="364" w:lineRule="auto"/>
        <w:ind w:right="458" w:firstLine="480"/>
        <w:jc w:val="both"/>
      </w:pPr>
      <w:r>
        <w:rPr>
          <w:spacing w:val="-6"/>
        </w:rPr>
        <w:t>基金信息披露义务人应当在中国证监会规定时间内，将应予披露的基金信息</w:t>
      </w:r>
      <w:r>
        <w:rPr>
          <w:spacing w:val="-11"/>
        </w:rPr>
        <w:t>通过指定媒介披露，并保证投资人能够按照基金合同约定的时间和方式查阅或者</w:t>
      </w:r>
      <w:r>
        <w:rPr/>
        <w:t>复制公开披露的信息资料。</w:t>
      </w:r>
    </w:p>
    <w:p>
      <w:pPr>
        <w:pStyle w:val="BodyText"/>
        <w:spacing w:before="2"/>
        <w:ind w:left="600"/>
      </w:pPr>
      <w:r>
        <w:rPr/>
        <w:t>本基金信息披露义务人承诺公开披露的基金信息，不得有下列行为：</w:t>
      </w:r>
    </w:p>
    <w:p>
      <w:pPr>
        <w:pStyle w:val="ListParagraph"/>
        <w:numPr>
          <w:ilvl w:val="0"/>
          <w:numId w:val="54"/>
        </w:numPr>
        <w:tabs>
          <w:tab w:pos="1201" w:val="left" w:leader="none"/>
        </w:tabs>
        <w:spacing w:line="240" w:lineRule="auto" w:before="160" w:after="0"/>
        <w:ind w:left="1201" w:right="0" w:hanging="601"/>
        <w:jc w:val="left"/>
        <w:rPr>
          <w:sz w:val="24"/>
        </w:rPr>
      </w:pPr>
      <w:r>
        <w:rPr>
          <w:sz w:val="24"/>
        </w:rPr>
        <w:t>虚假记载、误导性陈述或者重大遗漏；</w:t>
      </w:r>
    </w:p>
    <w:p>
      <w:pPr>
        <w:pStyle w:val="ListParagraph"/>
        <w:numPr>
          <w:ilvl w:val="0"/>
          <w:numId w:val="54"/>
        </w:numPr>
        <w:tabs>
          <w:tab w:pos="1201" w:val="left" w:leader="none"/>
        </w:tabs>
        <w:spacing w:line="240" w:lineRule="auto" w:before="161" w:after="0"/>
        <w:ind w:left="1201" w:right="0" w:hanging="601"/>
        <w:jc w:val="left"/>
        <w:rPr>
          <w:sz w:val="24"/>
        </w:rPr>
      </w:pPr>
      <w:r>
        <w:rPr>
          <w:sz w:val="24"/>
        </w:rPr>
        <w:t>对证券投资业绩进行预测；</w:t>
      </w:r>
    </w:p>
    <w:p>
      <w:pPr>
        <w:pStyle w:val="ListParagraph"/>
        <w:numPr>
          <w:ilvl w:val="0"/>
          <w:numId w:val="54"/>
        </w:numPr>
        <w:tabs>
          <w:tab w:pos="1201" w:val="left" w:leader="none"/>
        </w:tabs>
        <w:spacing w:line="240" w:lineRule="auto" w:before="160" w:after="0"/>
        <w:ind w:left="1201" w:right="0" w:hanging="601"/>
        <w:jc w:val="left"/>
        <w:rPr>
          <w:sz w:val="24"/>
        </w:rPr>
      </w:pPr>
      <w:r>
        <w:rPr>
          <w:sz w:val="24"/>
        </w:rPr>
        <w:t>违规承诺收益或者承担损失；</w:t>
      </w:r>
    </w:p>
    <w:p>
      <w:pPr>
        <w:pStyle w:val="ListParagraph"/>
        <w:numPr>
          <w:ilvl w:val="0"/>
          <w:numId w:val="54"/>
        </w:numPr>
        <w:tabs>
          <w:tab w:pos="1201" w:val="left" w:leader="none"/>
        </w:tabs>
        <w:spacing w:line="240" w:lineRule="auto" w:before="161" w:after="0"/>
        <w:ind w:left="1201" w:right="0" w:hanging="601"/>
        <w:jc w:val="left"/>
        <w:rPr>
          <w:sz w:val="24"/>
        </w:rPr>
      </w:pPr>
      <w:r>
        <w:rPr>
          <w:sz w:val="24"/>
        </w:rPr>
        <w:t>诋毁其他基金管理人、基金托管人或者基金份额发售机构；</w:t>
      </w:r>
    </w:p>
    <w:p>
      <w:pPr>
        <w:pStyle w:val="ListParagraph"/>
        <w:numPr>
          <w:ilvl w:val="0"/>
          <w:numId w:val="54"/>
        </w:numPr>
        <w:tabs>
          <w:tab w:pos="1203" w:val="left" w:leader="none"/>
        </w:tabs>
        <w:spacing w:line="364" w:lineRule="auto" w:before="160" w:after="0"/>
        <w:ind w:left="120" w:right="458" w:firstLine="480"/>
        <w:jc w:val="left"/>
        <w:rPr>
          <w:sz w:val="24"/>
        </w:rPr>
      </w:pPr>
      <w:r>
        <w:rPr>
          <w:sz w:val="24"/>
        </w:rPr>
        <w:t>登载任何自然人、法人和非法人组织的祝贺性、恭维性或推荐性的文字；</w:t>
      </w:r>
    </w:p>
    <w:p>
      <w:pPr>
        <w:pStyle w:val="ListParagraph"/>
        <w:numPr>
          <w:ilvl w:val="0"/>
          <w:numId w:val="54"/>
        </w:numPr>
        <w:tabs>
          <w:tab w:pos="1201" w:val="left" w:leader="none"/>
        </w:tabs>
        <w:spacing w:line="240" w:lineRule="auto" w:before="1" w:after="0"/>
        <w:ind w:left="1201" w:right="0" w:hanging="601"/>
        <w:jc w:val="left"/>
        <w:rPr>
          <w:sz w:val="24"/>
        </w:rPr>
      </w:pPr>
      <w:r>
        <w:rPr>
          <w:sz w:val="24"/>
        </w:rPr>
        <w:t>中国证监会禁止的其他行为。</w:t>
      </w:r>
    </w:p>
    <w:p>
      <w:pPr>
        <w:pStyle w:val="BodyText"/>
        <w:spacing w:line="364" w:lineRule="auto" w:before="161"/>
        <w:ind w:right="458" w:firstLine="480"/>
        <w:jc w:val="both"/>
      </w:pPr>
      <w:r>
        <w:rPr>
          <w:spacing w:val="-6"/>
        </w:rPr>
        <w:t>本基金公开披露的信息应采用中文文本。如同时采用外文文本的，基金信息披露义务人应保证不同文本的内容一致。不同文本之间发生歧义的，以中文文本</w:t>
      </w:r>
      <w:r>
        <w:rPr/>
        <w:t>为准。</w:t>
      </w:r>
    </w:p>
    <w:p>
      <w:pPr>
        <w:pStyle w:val="BodyText"/>
        <w:spacing w:line="364" w:lineRule="auto" w:before="2"/>
        <w:ind w:right="458" w:firstLine="480"/>
      </w:pPr>
      <w:r>
        <w:rPr>
          <w:spacing w:val="-7"/>
        </w:rPr>
        <w:t>本基金公开披露的信息采用阿拉伯数字；除特别说明外，货币单位为人民币</w:t>
      </w:r>
      <w:r>
        <w:rPr/>
        <w:t>元。</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（二）基金相关信息披露</w:t>
      </w:r>
    </w:p>
    <w:p>
      <w:pPr>
        <w:pStyle w:val="BodyText"/>
        <w:spacing w:before="4"/>
        <w:ind w:left="0"/>
        <w:rPr>
          <w:rFonts w:ascii="Microsoft JhengHei"/>
          <w:b/>
          <w:sz w:val="14"/>
        </w:rPr>
      </w:pPr>
    </w:p>
    <w:p>
      <w:pPr>
        <w:pStyle w:val="BodyText"/>
        <w:spacing w:line="364" w:lineRule="auto" w:before="0"/>
        <w:ind w:right="457" w:firstLine="540"/>
        <w:jc w:val="both"/>
      </w:pPr>
      <w:r>
        <w:rPr/>
        <w:t>本基金合同、托管协议、招募说明书经中国证监会核准后，基金管理人在基金集中申购期开始3日前，将基金招募说明书、《基金合同》摘要登载在指定</w:t>
      </w:r>
      <w:r>
        <w:rPr>
          <w:spacing w:val="-11"/>
        </w:rPr>
        <w:t>媒介上；基金管理人、基金托管人应当将《基金合同》、基金托管协议登载在指</w:t>
      </w:r>
      <w:r>
        <w:rPr/>
        <w:t>定媒介上。</w:t>
      </w:r>
    </w:p>
    <w:p>
      <w:pPr>
        <w:pStyle w:val="BodyText"/>
        <w:spacing w:line="364" w:lineRule="auto" w:before="159"/>
        <w:ind w:right="218" w:firstLine="540"/>
      </w:pPr>
      <w:r>
        <w:rPr/>
        <w:t>1、基金招募说明书应当最大限度地披露影响基金投资者决策的全部事项， 说明基金申购和赎回安排、基金投资、基金产品特性、风险揭示、信息披露及基</w:t>
      </w:r>
    </w:p>
    <w:p>
      <w:pPr>
        <w:spacing w:after="0" w:line="364" w:lineRule="auto"/>
        <w:sectPr>
          <w:pgSz w:w="11910" w:h="16840"/>
          <w:pgMar w:header="0" w:footer="990" w:top="1580" w:bottom="1180" w:left="1680" w:right="1340"/>
        </w:sectPr>
      </w:pPr>
    </w:p>
    <w:p>
      <w:pPr>
        <w:pStyle w:val="BodyText"/>
        <w:spacing w:line="364" w:lineRule="auto" w:before="44"/>
        <w:ind w:right="458"/>
        <w:jc w:val="both"/>
      </w:pPr>
      <w:r>
        <w:rPr>
          <w:spacing w:val="-8"/>
        </w:rPr>
        <w:t>金份额持有人服务等内容。基金合同生效后，基金招募说明书的信息发生重大变</w:t>
      </w:r>
      <w:r>
        <w:rPr>
          <w:spacing w:val="-11"/>
        </w:rPr>
        <w:t>更的，基金管理人应当在三个工作日内，更新基金招募说明书并登载在指定网站</w:t>
      </w:r>
      <w:r>
        <w:rPr>
          <w:spacing w:val="-12"/>
        </w:rPr>
        <w:t>上；基金招募说明书其他信息发生变更的，基金管理人至少每年更新一次。基金</w:t>
      </w:r>
      <w:r>
        <w:rPr/>
        <w:t>终止运作的，基金管理人不再更新基金招募说明书。</w:t>
      </w:r>
    </w:p>
    <w:p>
      <w:pPr>
        <w:pStyle w:val="BodyText"/>
        <w:spacing w:line="364" w:lineRule="auto" w:before="158"/>
        <w:ind w:right="458" w:firstLine="540"/>
        <w:jc w:val="both"/>
      </w:pPr>
      <w:r>
        <w:rPr/>
        <w:t>2</w:t>
      </w:r>
      <w:r>
        <w:rPr>
          <w:spacing w:val="-6"/>
        </w:rPr>
        <w:t>、基金合同是界定基金合同当事人的各项权利、义务关系，明确基金份额</w:t>
      </w:r>
      <w:r>
        <w:rPr>
          <w:spacing w:val="-7"/>
        </w:rPr>
        <w:t>持有人大会召开的规则及具体程序，说明基金产品的特性等涉及基金投资者重大</w:t>
      </w:r>
      <w:r>
        <w:rPr/>
        <w:t>利益的事项的法律文件。</w:t>
      </w:r>
    </w:p>
    <w:p>
      <w:pPr>
        <w:pStyle w:val="BodyText"/>
        <w:spacing w:line="364" w:lineRule="auto" w:before="158"/>
        <w:ind w:right="422" w:firstLine="540"/>
      </w:pPr>
      <w:r>
        <w:rPr/>
        <w:t>3、基金托管协议是界定基金托管人和基金管理人在基金财产保管及基金运作监督等活动中的权利、义务关系的法律文件。</w:t>
      </w:r>
    </w:p>
    <w:p>
      <w:pPr>
        <w:pStyle w:val="BodyText"/>
        <w:spacing w:before="157"/>
        <w:ind w:left="660"/>
      </w:pPr>
      <w:r>
        <w:rPr/>
        <w:t>4、基金集中申购公告</w:t>
      </w:r>
    </w:p>
    <w:p>
      <w:pPr>
        <w:pStyle w:val="BodyText"/>
        <w:spacing w:line="364" w:lineRule="auto" w:before="161"/>
        <w:ind w:right="458" w:firstLine="480"/>
      </w:pPr>
      <w:r>
        <w:rPr>
          <w:spacing w:val="-5"/>
        </w:rPr>
        <w:t>基金管理人应当就基金集中申购的具体事宜编制基金集中申购公告，并在披</w:t>
      </w:r>
      <w:r>
        <w:rPr/>
        <w:t>露招募说明书的当日登载于指定媒介上。</w:t>
      </w:r>
    </w:p>
    <w:p>
      <w:pPr>
        <w:pStyle w:val="BodyText"/>
        <w:spacing w:line="364" w:lineRule="auto" w:before="157"/>
        <w:ind w:right="218" w:firstLine="540"/>
      </w:pPr>
      <w:r>
        <w:rPr/>
        <w:t>5</w:t>
      </w:r>
      <w:r>
        <w:rPr>
          <w:spacing w:val="-6"/>
        </w:rPr>
        <w:t>、基金产品资料概要是基金招募说明书的摘要文件，用于向投资者提供简 </w:t>
      </w:r>
      <w:r>
        <w:rPr>
          <w:spacing w:val="-13"/>
        </w:rPr>
        <w:t>明的基金概要信息。《基金合同》生效后，基金产品资料概要的信息发生重大变 </w:t>
      </w:r>
      <w:r>
        <w:rPr>
          <w:spacing w:val="-11"/>
        </w:rPr>
        <w:t>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spacing w:before="80"/>
        <w:ind w:left="120" w:right="0" w:firstLine="0"/>
        <w:jc w:val="left"/>
        <w:rPr>
          <w:rFonts w:ascii="Microsoft JhengHei" w:eastAsia="Microsoft JhengHei" w:hint="eastAsia"/>
          <w:b/>
          <w:sz w:val="24"/>
        </w:rPr>
      </w:pPr>
      <w:r>
        <w:rPr>
          <w:rFonts w:ascii="Microsoft JhengHei" w:eastAsia="Microsoft JhengHei" w:hint="eastAsia"/>
          <w:b/>
          <w:sz w:val="24"/>
        </w:rPr>
        <w:t>（三）基金定期报告，包括基金年度报告、基金中期报告和基金季度报告</w:t>
      </w:r>
    </w:p>
    <w:p>
      <w:pPr>
        <w:pStyle w:val="BodyText"/>
        <w:spacing w:before="5"/>
        <w:ind w:left="0"/>
        <w:rPr>
          <w:rFonts w:ascii="Microsoft JhengHei"/>
          <w:b/>
          <w:sz w:val="14"/>
        </w:rPr>
      </w:pPr>
    </w:p>
    <w:p>
      <w:pPr>
        <w:pStyle w:val="BodyText"/>
        <w:spacing w:line="364" w:lineRule="auto" w:before="0"/>
        <w:ind w:right="458" w:firstLine="480"/>
        <w:jc w:val="both"/>
      </w:pPr>
      <w:r>
        <w:rPr>
          <w:spacing w:val="-6"/>
        </w:rPr>
        <w:t>基金管理人应当在每年结束之日起三个月内，编制完成基金年度报告，将年</w:t>
      </w: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firstLine="480"/>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218" w:firstLine="480"/>
      </w:pPr>
      <w:r>
        <w:rPr/>
        <w:t>基金管理人应当在季度结束之日起15个工作日内，编制完成基金季度报告， 将季度报告登载在指定网站上，并将季度报告提示性公告登载在指定报刊上。</w:t>
      </w:r>
    </w:p>
    <w:p>
      <w:pPr>
        <w:spacing w:after="0" w:line="364" w:lineRule="auto"/>
        <w:sectPr>
          <w:pgSz w:w="11910" w:h="16840"/>
          <w:pgMar w:header="0" w:footer="990" w:top="1460" w:bottom="1180" w:left="1680" w:right="1340"/>
        </w:sectPr>
      </w:pPr>
    </w:p>
    <w:p>
      <w:pPr>
        <w:pStyle w:val="BodyText"/>
        <w:spacing w:line="364" w:lineRule="auto" w:before="44"/>
        <w:ind w:right="458" w:firstLine="480"/>
      </w:pPr>
      <w:r>
        <w:rPr/>
        <w:t>《基金合同》生效不足2个月的，基金管理人可以不编制当期季度报告、中期报告或者年度报告。</w:t>
      </w:r>
    </w:p>
    <w:p>
      <w:pPr>
        <w:pStyle w:val="BodyText"/>
        <w:spacing w:line="364" w:lineRule="auto"/>
        <w:ind w:right="218" w:firstLine="480"/>
      </w:pPr>
      <w:r>
        <w:rPr/>
        <w:t>如报告期内出现单一投资者持有基金份额达到或超过基金总份额20%的情形， </w:t>
      </w:r>
      <w:r>
        <w:rPr>
          <w:spacing w:val="-6"/>
        </w:rPr>
        <w:t>为保障其他投资者的权益，基金管理人至少应当在定期报告“影响投资者决策的 </w:t>
      </w:r>
      <w:r>
        <w:rPr>
          <w:spacing w:val="-11"/>
        </w:rPr>
        <w:t>其他重要信息”项下披露该投资者的类别、报告期末持有份额及占比、报告期内 持有份额变化情况及本基金的特有风险，中国证监会认定的特殊情形除外。</w:t>
      </w:r>
    </w:p>
    <w:p>
      <w:pPr>
        <w:pStyle w:val="BodyText"/>
        <w:spacing w:line="364" w:lineRule="auto" w:before="2"/>
        <w:ind w:right="458" w:firstLine="480"/>
      </w:pPr>
      <w:r>
        <w:rPr>
          <w:spacing w:val="3"/>
        </w:rPr>
        <w:t>基金管理人应当在基金年度报告和中期报告中披露基金组合资产情况及其流动性风险分析等。</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（四）基金净值信息</w:t>
      </w:r>
    </w:p>
    <w:p>
      <w:pPr>
        <w:pStyle w:val="BodyText"/>
        <w:spacing w:before="5"/>
        <w:ind w:left="0"/>
        <w:rPr>
          <w:rFonts w:ascii="Microsoft JhengHei"/>
          <w:b/>
          <w:sz w:val="14"/>
        </w:rPr>
      </w:pPr>
    </w:p>
    <w:p>
      <w:pPr>
        <w:pStyle w:val="BodyText"/>
        <w:spacing w:line="364" w:lineRule="auto" w:before="0"/>
        <w:ind w:right="458" w:firstLine="480"/>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458" w:firstLine="480"/>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firstLine="480"/>
      </w:pPr>
      <w:r>
        <w:rPr>
          <w:spacing w:val="-5"/>
        </w:rPr>
        <w:t>基金管理人应当在不晚于半年度和年度最后一日的次日，在指定网站披露半</w:t>
      </w:r>
      <w:r>
        <w:rPr/>
        <w:t>年度和年度最后一日的基金份额净值和基金份额累计净值。</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（五）临时报告</w:t>
      </w:r>
    </w:p>
    <w:p>
      <w:pPr>
        <w:pStyle w:val="BodyText"/>
        <w:spacing w:before="4"/>
        <w:ind w:left="0"/>
        <w:rPr>
          <w:rFonts w:ascii="Microsoft JhengHei"/>
          <w:b/>
          <w:sz w:val="14"/>
        </w:rPr>
      </w:pPr>
    </w:p>
    <w:p>
      <w:pPr>
        <w:pStyle w:val="BodyText"/>
        <w:spacing w:line="364" w:lineRule="auto" w:before="0"/>
        <w:ind w:right="458" w:firstLine="480"/>
      </w:pPr>
      <w:r>
        <w:rPr/>
        <w:t>本基金发生重大事件，有关信息披露义务人应当在2日内编制临时报告书， 并登载在指定报刊和指定网站上。</w:t>
      </w:r>
    </w:p>
    <w:p>
      <w:pPr>
        <w:pStyle w:val="BodyText"/>
        <w:spacing w:line="364" w:lineRule="auto"/>
        <w:ind w:right="458" w:firstLine="480"/>
      </w:pPr>
      <w:r>
        <w:rPr>
          <w:spacing w:val="-11"/>
        </w:rPr>
        <w:t>前款所称重大事件，是指可能对基金份额持有人权益或者基金份额的价格产</w:t>
      </w:r>
      <w:r>
        <w:rPr/>
        <w:t>生重大影响的下列事件：</w:t>
      </w:r>
    </w:p>
    <w:p>
      <w:pPr>
        <w:pStyle w:val="BodyText"/>
        <w:spacing w:before="2"/>
        <w:ind w:left="600"/>
      </w:pPr>
      <w:r>
        <w:rPr/>
        <w:t>1、基金份额持有人大会的召开及决定的事项；</w:t>
      </w:r>
    </w:p>
    <w:p>
      <w:pPr>
        <w:pStyle w:val="BodyText"/>
        <w:spacing w:before="160"/>
        <w:ind w:left="600"/>
      </w:pPr>
      <w:r>
        <w:rPr/>
        <w:t>2、基金合同终止、基金清算；</w:t>
      </w:r>
    </w:p>
    <w:p>
      <w:pPr>
        <w:pStyle w:val="BodyText"/>
        <w:spacing w:before="161"/>
        <w:ind w:left="600"/>
      </w:pPr>
      <w:r>
        <w:rPr/>
        <w:t>3、转换基金运作方式、基金合并；</w:t>
      </w:r>
    </w:p>
    <w:p>
      <w:pPr>
        <w:pStyle w:val="BodyText"/>
        <w:spacing w:line="364" w:lineRule="auto" w:before="160"/>
        <w:ind w:right="458" w:firstLine="480"/>
      </w:pPr>
      <w:r>
        <w:rPr/>
        <w:t>4、更换基金管理人、基金托管人、基金份额登记机构，基金改聘会计师事务所；</w:t>
      </w:r>
    </w:p>
    <w:p>
      <w:pPr>
        <w:pStyle w:val="BodyText"/>
        <w:spacing w:line="364" w:lineRule="auto"/>
        <w:ind w:right="365" w:firstLine="480"/>
      </w:pPr>
      <w:r>
        <w:rPr/>
        <w:t>5、基金管理人委托基金服务机构代为办理基金的份额登记、核算、估值等事项，基金托管人委托基金服务机构代为办理基金的核算、估值、复核等事项；</w:t>
      </w:r>
    </w:p>
    <w:p>
      <w:pPr>
        <w:spacing w:after="0" w:line="364" w:lineRule="auto"/>
        <w:sectPr>
          <w:pgSz w:w="11910" w:h="16840"/>
          <w:pgMar w:header="0" w:footer="990" w:top="1460" w:bottom="1180" w:left="1680" w:right="1340"/>
        </w:sectPr>
      </w:pPr>
    </w:p>
    <w:p>
      <w:pPr>
        <w:pStyle w:val="BodyText"/>
        <w:spacing w:before="44"/>
        <w:ind w:left="600"/>
      </w:pPr>
      <w:r>
        <w:rPr/>
        <w:t>6、基金管理人、基金托管人的法定名称、住所发生变更；</w:t>
      </w:r>
    </w:p>
    <w:p>
      <w:pPr>
        <w:pStyle w:val="BodyText"/>
        <w:spacing w:line="364" w:lineRule="auto" w:before="160"/>
        <w:ind w:right="458" w:firstLine="480"/>
      </w:pPr>
      <w:r>
        <w:rPr/>
        <w:t>7、基金管理公司变更持有百分之五以上股权的股东、基金管理人的实际控制人变更；</w:t>
      </w:r>
    </w:p>
    <w:p>
      <w:pPr>
        <w:pStyle w:val="BodyText"/>
        <w:spacing w:line="364" w:lineRule="auto" w:before="2"/>
        <w:ind w:right="458" w:firstLine="480"/>
      </w:pPr>
      <w:r>
        <w:rPr/>
        <w:t>8、基金管理人的高级管理人员、基金经理和基金托管人专门基金托管部门负责人发生变动；</w:t>
      </w:r>
    </w:p>
    <w:p>
      <w:pPr>
        <w:pStyle w:val="BodyText"/>
        <w:spacing w:line="364" w:lineRule="auto"/>
        <w:ind w:right="458" w:firstLine="480"/>
        <w:jc w:val="both"/>
      </w:pPr>
      <w:r>
        <w:rPr/>
        <w:t>9、基金管理人的董事在最近12个月内变更超过百分之五十，基金管理人、基金托管人专门基金托管部门的主要业务人员在最近12个月内变动超过百分之三十；</w:t>
      </w:r>
    </w:p>
    <w:p>
      <w:pPr>
        <w:pStyle w:val="BodyText"/>
        <w:spacing w:before="2"/>
        <w:ind w:left="600"/>
      </w:pPr>
      <w:r>
        <w:rPr/>
        <w:t>10、涉及基金财产、基金管理业务、基金托管业务的诉讼或仲裁；</w:t>
      </w:r>
    </w:p>
    <w:p>
      <w:pPr>
        <w:pStyle w:val="BodyText"/>
        <w:spacing w:line="364" w:lineRule="auto" w:before="160"/>
        <w:ind w:right="458" w:firstLine="480"/>
        <w:jc w:val="both"/>
      </w:pPr>
      <w:r>
        <w:rPr/>
        <w:t>11</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218" w:firstLine="480"/>
      </w:pPr>
      <w:r>
        <w:rPr/>
        <w:t>12</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pPr>
      <w:r>
        <w:rPr/>
        <w:t>13、基金收益分配事项；</w:t>
      </w:r>
    </w:p>
    <w:p>
      <w:pPr>
        <w:pStyle w:val="BodyText"/>
        <w:spacing w:line="364" w:lineRule="auto" w:before="160"/>
        <w:ind w:right="458" w:firstLine="480"/>
      </w:pPr>
      <w:r>
        <w:rPr/>
        <w:t>14</w:t>
      </w:r>
      <w:r>
        <w:rPr>
          <w:spacing w:val="-12"/>
        </w:rPr>
        <w:t>、管理费、托管费、申购费、赎回费等费用计提标准、计提方式和费率发</w:t>
      </w:r>
      <w:r>
        <w:rPr/>
        <w:t>生变更；</w:t>
      </w:r>
    </w:p>
    <w:p>
      <w:pPr>
        <w:pStyle w:val="BodyText"/>
        <w:ind w:left="600"/>
      </w:pPr>
      <w:r>
        <w:rPr/>
        <w:t>15、基金份额净值计价错误达基金份额净值百分之零点五；</w:t>
      </w:r>
    </w:p>
    <w:p>
      <w:pPr>
        <w:pStyle w:val="BodyText"/>
        <w:spacing w:before="161"/>
        <w:ind w:left="600"/>
      </w:pPr>
      <w:r>
        <w:rPr/>
        <w:t>16、本基金开始办理申购、赎回；</w:t>
      </w:r>
    </w:p>
    <w:p>
      <w:pPr>
        <w:pStyle w:val="BodyText"/>
        <w:spacing w:before="160"/>
        <w:ind w:left="600"/>
      </w:pPr>
      <w:r>
        <w:rPr/>
        <w:t>17、本基金暂停接受申购、赎回申请或重新接受申购、赎回申请；</w:t>
      </w:r>
    </w:p>
    <w:p>
      <w:pPr>
        <w:pStyle w:val="BodyText"/>
        <w:spacing w:before="161"/>
        <w:ind w:left="600"/>
      </w:pPr>
      <w:r>
        <w:rPr/>
        <w:t>18、调整基金份额类别的设置；</w:t>
      </w:r>
    </w:p>
    <w:p>
      <w:pPr>
        <w:pStyle w:val="BodyText"/>
        <w:spacing w:before="160"/>
        <w:ind w:left="600"/>
      </w:pPr>
      <w:r>
        <w:rPr/>
        <w:t>19、基金推出新业务或服务；</w:t>
      </w:r>
    </w:p>
    <w:p>
      <w:pPr>
        <w:pStyle w:val="BodyText"/>
        <w:spacing w:line="364" w:lineRule="auto" w:before="161"/>
        <w:ind w:right="458" w:firstLine="480"/>
      </w:pPr>
      <w:r>
        <w:rPr/>
        <w:t>20</w:t>
      </w:r>
      <w:r>
        <w:rPr>
          <w:spacing w:val="-12"/>
        </w:rPr>
        <w:t>、基金信息披露义务人认为可能对基金份额持有人权益或者基金份额的价</w:t>
      </w:r>
      <w:r>
        <w:rPr/>
        <w:t>格产生重大影响的其他事项或中国证监会规定的其他事项。</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（六）澄清公告</w:t>
      </w:r>
    </w:p>
    <w:p>
      <w:pPr>
        <w:pStyle w:val="BodyText"/>
        <w:spacing w:before="4"/>
        <w:ind w:left="0"/>
        <w:rPr>
          <w:rFonts w:ascii="Microsoft JhengHei"/>
          <w:b/>
          <w:sz w:val="14"/>
        </w:rPr>
      </w:pPr>
    </w:p>
    <w:p>
      <w:pPr>
        <w:pStyle w:val="BodyText"/>
        <w:spacing w:line="364" w:lineRule="auto" w:before="0"/>
        <w:ind w:right="458" w:firstLine="480"/>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p>
    <w:p>
      <w:pPr>
        <w:spacing w:after="0" w:line="364" w:lineRule="auto"/>
        <w:jc w:val="both"/>
        <w:sectPr>
          <w:pgSz w:w="11910" w:h="16840"/>
          <w:pgMar w:header="0" w:footer="990" w:top="1460" w:bottom="1180" w:left="1680" w:right="1340"/>
        </w:sectPr>
      </w:pPr>
    </w:p>
    <w:p>
      <w:pPr>
        <w:pStyle w:val="BodyText"/>
        <w:spacing w:before="44"/>
      </w:pPr>
      <w:r>
        <w:rPr/>
        <w:t>情况立即报告中国证监会。</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（七）清算报告</w:t>
      </w:r>
    </w:p>
    <w:p>
      <w:pPr>
        <w:pStyle w:val="BodyText"/>
        <w:spacing w:before="5"/>
        <w:ind w:left="0"/>
        <w:rPr>
          <w:rFonts w:ascii="Microsoft JhengHei"/>
          <w:b/>
          <w:sz w:val="14"/>
        </w:rPr>
      </w:pPr>
    </w:p>
    <w:p>
      <w:pPr>
        <w:pStyle w:val="BodyText"/>
        <w:spacing w:line="364" w:lineRule="auto" w:before="0"/>
        <w:ind w:right="218" w:firstLine="480"/>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spacing w:before="79"/>
        <w:ind w:left="120" w:right="0" w:firstLine="0"/>
        <w:jc w:val="left"/>
        <w:rPr>
          <w:rFonts w:ascii="Microsoft JhengHei" w:eastAsia="Microsoft JhengHei" w:hint="eastAsia"/>
          <w:b/>
          <w:sz w:val="24"/>
        </w:rPr>
      </w:pPr>
      <w:r>
        <w:rPr>
          <w:rFonts w:ascii="Microsoft JhengHei" w:eastAsia="Microsoft JhengHei" w:hint="eastAsia"/>
          <w:b/>
          <w:sz w:val="24"/>
        </w:rPr>
        <w:t>（八）中国证监会规定的其他信息</w:t>
      </w:r>
    </w:p>
    <w:p>
      <w:pPr>
        <w:spacing w:before="182"/>
        <w:ind w:left="120" w:right="0" w:firstLine="0"/>
        <w:jc w:val="left"/>
        <w:rPr>
          <w:rFonts w:ascii="Microsoft JhengHei" w:eastAsia="Microsoft JhengHei" w:hint="eastAsia"/>
          <w:b/>
          <w:sz w:val="24"/>
        </w:rPr>
      </w:pPr>
      <w:r>
        <w:rPr>
          <w:rFonts w:ascii="Microsoft JhengHei" w:eastAsia="Microsoft JhengHei" w:hint="eastAsia"/>
          <w:b/>
          <w:sz w:val="24"/>
        </w:rPr>
        <w:t>（九）信息披露事务管理</w:t>
      </w:r>
    </w:p>
    <w:p>
      <w:pPr>
        <w:pStyle w:val="BodyText"/>
        <w:spacing w:before="4"/>
        <w:ind w:left="0"/>
        <w:rPr>
          <w:rFonts w:ascii="Microsoft JhengHei"/>
          <w:b/>
          <w:sz w:val="14"/>
        </w:rPr>
      </w:pPr>
    </w:p>
    <w:p>
      <w:pPr>
        <w:pStyle w:val="BodyText"/>
        <w:spacing w:line="364" w:lineRule="auto"/>
        <w:ind w:right="458" w:firstLine="480"/>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firstLine="480"/>
      </w:pPr>
      <w:r>
        <w:rPr>
          <w:spacing w:val="-7"/>
        </w:rPr>
        <w:t>基金信息披露义务人公开披露基金信息，应当符合中国证监会相关基金信息</w:t>
      </w:r>
      <w:r>
        <w:rPr/>
        <w:t>披露内容与格式准则等法规的规定。</w:t>
      </w:r>
    </w:p>
    <w:p>
      <w:pPr>
        <w:pStyle w:val="BodyText"/>
        <w:spacing w:line="364" w:lineRule="auto"/>
        <w:ind w:right="338" w:firstLine="480"/>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基金定期报告、更新的招募说明书、基金产品资料概要、基金清算报告等公开披露的相关基金信息进行复核、审查，并向基金管理人进行书面或电子确认。</w:t>
      </w:r>
    </w:p>
    <w:p>
      <w:pPr>
        <w:pStyle w:val="BodyText"/>
        <w:spacing w:line="364" w:lineRule="auto" w:before="2"/>
        <w:ind w:right="218" w:firstLine="480"/>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firstLine="480"/>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firstLine="480"/>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spacing w:before="80"/>
        <w:ind w:left="120" w:right="0" w:firstLine="0"/>
        <w:jc w:val="left"/>
        <w:rPr>
          <w:rFonts w:ascii="Microsoft JhengHei" w:eastAsia="Microsoft JhengHei" w:hint="eastAsia"/>
          <w:b/>
          <w:sz w:val="24"/>
        </w:rPr>
      </w:pPr>
      <w:r>
        <w:rPr>
          <w:rFonts w:ascii="Microsoft JhengHei" w:eastAsia="Microsoft JhengHei" w:hint="eastAsia"/>
          <w:b/>
          <w:sz w:val="24"/>
        </w:rPr>
        <w:t>（十）信息披露文件的存放与查阅</w:t>
      </w:r>
    </w:p>
    <w:p>
      <w:pPr>
        <w:spacing w:after="0"/>
        <w:jc w:val="left"/>
        <w:rPr>
          <w:rFonts w:ascii="Microsoft JhengHei" w:eastAsia="Microsoft JhengHei" w:hint="eastAsia"/>
          <w:sz w:val="24"/>
        </w:rPr>
        <w:sectPr>
          <w:pgSz w:w="11910" w:h="16840"/>
          <w:pgMar w:header="0" w:footer="990" w:top="1460" w:bottom="1180" w:left="1680" w:right="1340"/>
        </w:sectPr>
      </w:pPr>
    </w:p>
    <w:p>
      <w:pPr>
        <w:pStyle w:val="BodyText"/>
        <w:spacing w:line="364" w:lineRule="auto" w:before="44"/>
        <w:ind w:right="458" w:firstLine="480"/>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0" w:footer="990" w:top="1460" w:bottom="1180" w:left="1680" w:right="1340"/>
        </w:sectPr>
      </w:pPr>
    </w:p>
    <w:p>
      <w:pPr>
        <w:pStyle w:val="Heading1"/>
        <w:spacing w:before="1"/>
        <w:ind w:left="403"/>
      </w:pPr>
      <w:bookmarkStart w:name="_bookmark22" w:id="23"/>
      <w:bookmarkEnd w:id="23"/>
      <w:r>
        <w:rPr>
          <w:b w:val="0"/>
        </w:rPr>
      </w:r>
      <w:r>
        <w:rPr>
          <w:position w:val="-2"/>
        </w:rPr>
        <w:t>二十三、</w:t>
      </w:r>
      <w:r>
        <w:rPr/>
        <w:t>基金合同的变更、终止与基金财产的清算</w:t>
      </w:r>
    </w:p>
    <w:p>
      <w:pPr>
        <w:spacing w:before="152"/>
        <w:ind w:left="120" w:right="0" w:firstLine="0"/>
        <w:jc w:val="left"/>
        <w:rPr>
          <w:rFonts w:ascii="Microsoft JhengHei" w:eastAsia="Microsoft JhengHei" w:hint="eastAsia"/>
          <w:b/>
          <w:sz w:val="24"/>
        </w:rPr>
      </w:pPr>
      <w:r>
        <w:rPr>
          <w:rFonts w:ascii="Microsoft JhengHei" w:eastAsia="Microsoft JhengHei" w:hint="eastAsia"/>
          <w:b/>
          <w:sz w:val="24"/>
        </w:rPr>
        <w:t>（一）基金合同的变更</w:t>
      </w:r>
    </w:p>
    <w:p>
      <w:pPr>
        <w:pStyle w:val="BodyText"/>
        <w:spacing w:before="5"/>
        <w:ind w:left="0"/>
        <w:rPr>
          <w:rFonts w:ascii="Microsoft JhengHei"/>
          <w:b/>
          <w:sz w:val="14"/>
        </w:rPr>
      </w:pPr>
    </w:p>
    <w:p>
      <w:pPr>
        <w:pStyle w:val="ListParagraph"/>
        <w:numPr>
          <w:ilvl w:val="0"/>
          <w:numId w:val="55"/>
        </w:numPr>
        <w:tabs>
          <w:tab w:pos="1203" w:val="left" w:leader="none"/>
        </w:tabs>
        <w:spacing w:line="364" w:lineRule="auto" w:before="0" w:after="0"/>
        <w:ind w:left="120" w:right="245" w:firstLine="480"/>
        <w:jc w:val="left"/>
        <w:rPr>
          <w:sz w:val="24"/>
        </w:rPr>
      </w:pPr>
      <w:r>
        <w:rPr>
          <w:sz w:val="24"/>
        </w:rPr>
        <w:t>基金合同变更涉及本基金合同第十节第（二）项规定的对基金合同当 </w:t>
      </w:r>
      <w:r>
        <w:rPr>
          <w:spacing w:val="-9"/>
          <w:sz w:val="24"/>
        </w:rPr>
        <w:t>事人权利、义务产生重大影响的，应经基金份额持有人大会决议同意。变更基金</w:t>
      </w:r>
      <w:r>
        <w:rPr>
          <w:spacing w:val="-15"/>
          <w:sz w:val="24"/>
        </w:rPr>
        <w:t>合同的基金份额持有人大会决议应报中国证监会备案，并自表决通过之日起生效。</w:t>
      </w:r>
    </w:p>
    <w:p>
      <w:pPr>
        <w:pStyle w:val="ListParagraph"/>
        <w:numPr>
          <w:ilvl w:val="0"/>
          <w:numId w:val="55"/>
        </w:numPr>
        <w:tabs>
          <w:tab w:pos="1201" w:val="left" w:leader="none"/>
        </w:tabs>
        <w:spacing w:line="364" w:lineRule="auto" w:before="2" w:after="0"/>
        <w:ind w:left="120" w:right="458" w:firstLine="480"/>
        <w:jc w:val="both"/>
        <w:rPr>
          <w:sz w:val="24"/>
        </w:rPr>
      </w:pPr>
      <w:r>
        <w:rPr>
          <w:spacing w:val="-6"/>
          <w:sz w:val="24"/>
        </w:rPr>
        <w:t>除上述第</w:t>
      </w:r>
      <w:r>
        <w:rPr>
          <w:spacing w:val="-8"/>
          <w:sz w:val="24"/>
        </w:rPr>
        <w:t>（1）</w:t>
      </w:r>
      <w:r>
        <w:rPr>
          <w:spacing w:val="-3"/>
          <w:sz w:val="24"/>
        </w:rPr>
        <w:t>项规定的情形外，经基金管理人和基金托管人同意可</w:t>
      </w:r>
      <w:r>
        <w:rPr>
          <w:spacing w:val="-14"/>
          <w:sz w:val="24"/>
        </w:rPr>
        <w:t>对基金合同的内容进行变更，该等变更应当在 </w:t>
      </w:r>
      <w:r>
        <w:rPr>
          <w:sz w:val="24"/>
        </w:rPr>
        <w:t>2</w:t>
      </w:r>
      <w:r>
        <w:rPr>
          <w:spacing w:val="-8"/>
          <w:sz w:val="24"/>
        </w:rPr>
        <w:t> 日内由基金管理人进行公告并报</w:t>
      </w:r>
      <w:r>
        <w:rPr>
          <w:spacing w:val="-4"/>
          <w:sz w:val="24"/>
        </w:rPr>
        <w:t>中国证监会备案。</w:t>
      </w:r>
    </w:p>
    <w:p>
      <w:pPr>
        <w:spacing w:before="78"/>
        <w:ind w:left="120" w:right="0" w:firstLine="0"/>
        <w:jc w:val="left"/>
        <w:rPr>
          <w:rFonts w:ascii="Microsoft JhengHei" w:eastAsia="Microsoft JhengHei" w:hint="eastAsia"/>
          <w:b/>
          <w:sz w:val="24"/>
        </w:rPr>
      </w:pPr>
      <w:r>
        <w:rPr>
          <w:rFonts w:ascii="Microsoft JhengHei" w:eastAsia="Microsoft JhengHei" w:hint="eastAsia"/>
          <w:b/>
          <w:sz w:val="24"/>
        </w:rPr>
        <w:t>（二）基金合同的终止</w:t>
      </w:r>
    </w:p>
    <w:p>
      <w:pPr>
        <w:pStyle w:val="BodyText"/>
        <w:spacing w:before="4"/>
        <w:ind w:left="0"/>
        <w:rPr>
          <w:rFonts w:ascii="Microsoft JhengHei"/>
          <w:b/>
          <w:sz w:val="14"/>
        </w:rPr>
      </w:pPr>
    </w:p>
    <w:p>
      <w:pPr>
        <w:pStyle w:val="BodyText"/>
        <w:ind w:left="600"/>
      </w:pPr>
      <w:r>
        <w:rPr/>
        <w:t>有下列情形之一的，本基金合同终止：</w:t>
      </w:r>
    </w:p>
    <w:p>
      <w:pPr>
        <w:pStyle w:val="ListParagraph"/>
        <w:numPr>
          <w:ilvl w:val="0"/>
          <w:numId w:val="56"/>
        </w:numPr>
        <w:tabs>
          <w:tab w:pos="1201" w:val="left" w:leader="none"/>
        </w:tabs>
        <w:spacing w:line="240" w:lineRule="auto" w:before="160" w:after="0"/>
        <w:ind w:left="1201" w:right="0" w:hanging="601"/>
        <w:jc w:val="left"/>
        <w:rPr>
          <w:sz w:val="24"/>
        </w:rPr>
      </w:pPr>
      <w:r>
        <w:rPr>
          <w:sz w:val="24"/>
        </w:rPr>
        <w:t>基金份额持有人大会决定终止；</w:t>
      </w:r>
    </w:p>
    <w:p>
      <w:pPr>
        <w:pStyle w:val="ListParagraph"/>
        <w:numPr>
          <w:ilvl w:val="0"/>
          <w:numId w:val="56"/>
        </w:numPr>
        <w:tabs>
          <w:tab w:pos="1203" w:val="left" w:leader="none"/>
        </w:tabs>
        <w:spacing w:line="364" w:lineRule="auto" w:before="161" w:after="0"/>
        <w:ind w:left="120" w:right="458" w:firstLine="480"/>
        <w:jc w:val="left"/>
        <w:rPr>
          <w:sz w:val="24"/>
        </w:rPr>
      </w:pPr>
      <w:r>
        <w:rPr>
          <w:sz w:val="24"/>
        </w:rPr>
        <w:t>基金管理人、基金托管人职责终止，在六个月内没有新基金管理人、基金托管人承接的；</w:t>
      </w:r>
    </w:p>
    <w:p>
      <w:pPr>
        <w:pStyle w:val="ListParagraph"/>
        <w:numPr>
          <w:ilvl w:val="0"/>
          <w:numId w:val="56"/>
        </w:numPr>
        <w:tabs>
          <w:tab w:pos="1201" w:val="left" w:leader="none"/>
        </w:tabs>
        <w:spacing w:line="240" w:lineRule="auto" w:before="1" w:after="0"/>
        <w:ind w:left="1201" w:right="0" w:hanging="601"/>
        <w:jc w:val="left"/>
        <w:rPr>
          <w:sz w:val="24"/>
        </w:rPr>
      </w:pPr>
      <w:r>
        <w:rPr>
          <w:sz w:val="24"/>
        </w:rPr>
        <w:t>法律法规和基金合同规定的其他情形。</w:t>
      </w:r>
    </w:p>
    <w:p>
      <w:pPr>
        <w:pStyle w:val="BodyText"/>
        <w:spacing w:before="6"/>
        <w:ind w:left="0"/>
        <w:rPr>
          <w:sz w:val="18"/>
        </w:rPr>
      </w:pPr>
    </w:p>
    <w:p>
      <w:pPr>
        <w:spacing w:before="0"/>
        <w:ind w:left="120" w:right="0" w:firstLine="0"/>
        <w:jc w:val="left"/>
        <w:rPr>
          <w:rFonts w:ascii="Microsoft JhengHei" w:eastAsia="Microsoft JhengHei" w:hint="eastAsia"/>
          <w:b/>
          <w:sz w:val="24"/>
        </w:rPr>
      </w:pPr>
      <w:r>
        <w:rPr>
          <w:rFonts w:ascii="Microsoft JhengHei" w:eastAsia="Microsoft JhengHei" w:hint="eastAsia"/>
          <w:b/>
          <w:sz w:val="24"/>
        </w:rPr>
        <w:t>（三）基金财产的清算</w:t>
      </w:r>
    </w:p>
    <w:p>
      <w:pPr>
        <w:pStyle w:val="BodyText"/>
        <w:spacing w:before="5"/>
        <w:ind w:left="0"/>
        <w:rPr>
          <w:rFonts w:ascii="Microsoft JhengHei"/>
          <w:b/>
          <w:sz w:val="14"/>
        </w:rPr>
      </w:pPr>
    </w:p>
    <w:p>
      <w:pPr>
        <w:pStyle w:val="ListParagraph"/>
        <w:numPr>
          <w:ilvl w:val="0"/>
          <w:numId w:val="57"/>
        </w:numPr>
        <w:tabs>
          <w:tab w:pos="1203" w:val="left" w:leader="none"/>
        </w:tabs>
        <w:spacing w:line="364" w:lineRule="auto" w:before="0" w:after="0"/>
        <w:ind w:left="120" w:right="458" w:firstLine="480"/>
        <w:jc w:val="left"/>
        <w:rPr>
          <w:sz w:val="24"/>
        </w:rPr>
      </w:pPr>
      <w:r>
        <w:rPr>
          <w:sz w:val="24"/>
        </w:rPr>
        <w:t>基金合同终止，应当按法律法规和本基金合同的有关规定对基金财产进行清算。</w:t>
      </w:r>
    </w:p>
    <w:p>
      <w:pPr>
        <w:pStyle w:val="ListParagraph"/>
        <w:numPr>
          <w:ilvl w:val="0"/>
          <w:numId w:val="57"/>
        </w:numPr>
        <w:tabs>
          <w:tab w:pos="1201" w:val="left" w:leader="none"/>
        </w:tabs>
        <w:spacing w:line="240" w:lineRule="auto" w:before="1" w:after="0"/>
        <w:ind w:left="1201" w:right="0" w:hanging="601"/>
        <w:jc w:val="left"/>
        <w:rPr>
          <w:sz w:val="24"/>
        </w:rPr>
      </w:pPr>
      <w:r>
        <w:rPr>
          <w:sz w:val="24"/>
        </w:rPr>
        <w:t>基金财产清算组</w:t>
      </w:r>
    </w:p>
    <w:p>
      <w:pPr>
        <w:pStyle w:val="ListParagraph"/>
        <w:numPr>
          <w:ilvl w:val="1"/>
          <w:numId w:val="57"/>
        </w:numPr>
        <w:tabs>
          <w:tab w:pos="1589" w:val="left" w:leader="none"/>
        </w:tabs>
        <w:spacing w:line="364" w:lineRule="auto" w:before="161" w:after="0"/>
        <w:ind w:left="1556" w:right="457" w:hanging="329"/>
        <w:jc w:val="both"/>
        <w:rPr>
          <w:sz w:val="24"/>
        </w:rPr>
      </w:pPr>
      <w:r>
        <w:rPr>
          <w:spacing w:val="-4"/>
          <w:sz w:val="24"/>
        </w:rPr>
        <w:t>自基金合同终止情形出现之日起 </w:t>
      </w:r>
      <w:r>
        <w:rPr>
          <w:sz w:val="24"/>
        </w:rPr>
        <w:t>30</w:t>
      </w:r>
      <w:r>
        <w:rPr>
          <w:spacing w:val="-9"/>
          <w:sz w:val="24"/>
        </w:rPr>
        <w:t> 个工作日内由基金管理人组织</w:t>
      </w:r>
      <w:r>
        <w:rPr>
          <w:spacing w:val="-8"/>
          <w:sz w:val="24"/>
        </w:rPr>
        <w:t>成立基金财产清算组，在基金财产清算组接管基金财产之前，基金</w:t>
      </w:r>
      <w:r>
        <w:rPr>
          <w:spacing w:val="4"/>
          <w:sz w:val="24"/>
        </w:rPr>
        <w:t>管理人和基金托管人应按照基金合同和托管协议的规定继续履行保护基金财产安全的职责。</w:t>
      </w:r>
    </w:p>
    <w:p>
      <w:pPr>
        <w:pStyle w:val="ListParagraph"/>
        <w:numPr>
          <w:ilvl w:val="1"/>
          <w:numId w:val="57"/>
        </w:numPr>
        <w:tabs>
          <w:tab w:pos="1597" w:val="left" w:leader="none"/>
        </w:tabs>
        <w:spacing w:line="364" w:lineRule="auto" w:before="2" w:after="0"/>
        <w:ind w:left="1556" w:right="457" w:hanging="329"/>
        <w:jc w:val="both"/>
        <w:rPr>
          <w:sz w:val="24"/>
        </w:rPr>
      </w:pPr>
      <w:r>
        <w:rPr>
          <w:spacing w:val="2"/>
          <w:sz w:val="24"/>
        </w:rPr>
        <w:t>基金财产清算组成员由基金管理人、基金托管人、基金注册登记</w:t>
      </w:r>
      <w:r>
        <w:rPr>
          <w:spacing w:val="-10"/>
          <w:sz w:val="24"/>
        </w:rPr>
        <w:t>人、具有从事证券相关业务资格的注册会计师、律师以及中国证监</w:t>
      </w:r>
      <w:r>
        <w:rPr>
          <w:sz w:val="24"/>
        </w:rPr>
        <w:t>会指定的人员组成。基金财产清算组可以聘用必要的工作人员。</w:t>
      </w:r>
    </w:p>
    <w:p>
      <w:pPr>
        <w:pStyle w:val="ListParagraph"/>
        <w:numPr>
          <w:ilvl w:val="1"/>
          <w:numId w:val="57"/>
        </w:numPr>
        <w:tabs>
          <w:tab w:pos="1596" w:val="left" w:leader="none"/>
        </w:tabs>
        <w:spacing w:line="364" w:lineRule="auto" w:before="2" w:after="0"/>
        <w:ind w:left="1556" w:right="218" w:hanging="329"/>
        <w:jc w:val="left"/>
        <w:rPr>
          <w:sz w:val="24"/>
        </w:rPr>
      </w:pPr>
      <w:r>
        <w:rPr>
          <w:spacing w:val="2"/>
          <w:sz w:val="24"/>
        </w:rPr>
        <w:t>基金财产清算组负责基金财产的保管、清理、估价、变现和分配。基金财产清算组可以依法进行必要的民事活动。</w:t>
      </w:r>
    </w:p>
    <w:p>
      <w:pPr>
        <w:spacing w:after="0" w:line="364" w:lineRule="auto"/>
        <w:jc w:val="left"/>
        <w:rPr>
          <w:sz w:val="24"/>
        </w:rPr>
        <w:sectPr>
          <w:pgSz w:w="11910" w:h="16840"/>
          <w:pgMar w:header="0" w:footer="990" w:top="1580" w:bottom="1180" w:left="1680" w:right="1340"/>
        </w:sectPr>
      </w:pPr>
    </w:p>
    <w:p>
      <w:pPr>
        <w:pStyle w:val="ListParagraph"/>
        <w:numPr>
          <w:ilvl w:val="0"/>
          <w:numId w:val="57"/>
        </w:numPr>
        <w:tabs>
          <w:tab w:pos="1201" w:val="left" w:leader="none"/>
        </w:tabs>
        <w:spacing w:line="240" w:lineRule="auto" w:before="44" w:after="0"/>
        <w:ind w:left="1201" w:right="0" w:hanging="601"/>
        <w:jc w:val="left"/>
        <w:rPr>
          <w:sz w:val="24"/>
        </w:rPr>
      </w:pPr>
      <w:r>
        <w:rPr>
          <w:sz w:val="24"/>
        </w:rPr>
        <w:t>清算程序</w:t>
      </w:r>
    </w:p>
    <w:p>
      <w:pPr>
        <w:pStyle w:val="ListParagraph"/>
        <w:numPr>
          <w:ilvl w:val="0"/>
          <w:numId w:val="58"/>
        </w:numPr>
        <w:tabs>
          <w:tab w:pos="1708" w:val="left" w:leader="none"/>
        </w:tabs>
        <w:spacing w:line="240" w:lineRule="auto" w:before="160" w:after="0"/>
        <w:ind w:left="1708" w:right="0" w:hanging="480"/>
        <w:jc w:val="left"/>
        <w:rPr>
          <w:sz w:val="24"/>
        </w:rPr>
      </w:pPr>
      <w:r>
        <w:rPr>
          <w:spacing w:val="-8"/>
          <w:sz w:val="24"/>
        </w:rPr>
        <w:t>基金合同终止情形出现后，由基金财产清算组统一接管基金财产；</w:t>
      </w:r>
    </w:p>
    <w:p>
      <w:pPr>
        <w:pStyle w:val="ListParagraph"/>
        <w:numPr>
          <w:ilvl w:val="0"/>
          <w:numId w:val="58"/>
        </w:numPr>
        <w:tabs>
          <w:tab w:pos="1708" w:val="left" w:leader="none"/>
        </w:tabs>
        <w:spacing w:line="240" w:lineRule="auto" w:before="161" w:after="0"/>
        <w:ind w:left="1708" w:right="0" w:hanging="480"/>
        <w:jc w:val="left"/>
        <w:rPr>
          <w:sz w:val="24"/>
        </w:rPr>
      </w:pPr>
      <w:r>
        <w:rPr>
          <w:sz w:val="24"/>
        </w:rPr>
        <w:t>基金财产清算组根据基金财产的情况确定清算期限；</w:t>
      </w:r>
    </w:p>
    <w:p>
      <w:pPr>
        <w:pStyle w:val="ListParagraph"/>
        <w:numPr>
          <w:ilvl w:val="0"/>
          <w:numId w:val="58"/>
        </w:numPr>
        <w:tabs>
          <w:tab w:pos="1708" w:val="left" w:leader="none"/>
        </w:tabs>
        <w:spacing w:line="240" w:lineRule="auto" w:before="160" w:after="0"/>
        <w:ind w:left="1708" w:right="0" w:hanging="480"/>
        <w:jc w:val="left"/>
        <w:rPr>
          <w:sz w:val="24"/>
        </w:rPr>
      </w:pPr>
      <w:r>
        <w:rPr>
          <w:sz w:val="24"/>
        </w:rPr>
        <w:t>基金财产清算组对基金财产进行清理和确认；</w:t>
      </w:r>
    </w:p>
    <w:p>
      <w:pPr>
        <w:pStyle w:val="ListParagraph"/>
        <w:numPr>
          <w:ilvl w:val="0"/>
          <w:numId w:val="58"/>
        </w:numPr>
        <w:tabs>
          <w:tab w:pos="1708" w:val="left" w:leader="none"/>
        </w:tabs>
        <w:spacing w:line="240" w:lineRule="auto" w:before="161" w:after="0"/>
        <w:ind w:left="1708" w:right="0" w:hanging="480"/>
        <w:jc w:val="left"/>
        <w:rPr>
          <w:sz w:val="24"/>
        </w:rPr>
      </w:pPr>
      <w:r>
        <w:rPr>
          <w:sz w:val="24"/>
        </w:rPr>
        <w:t>对基金财产进行评估和变现；</w:t>
      </w:r>
    </w:p>
    <w:p>
      <w:pPr>
        <w:pStyle w:val="ListParagraph"/>
        <w:numPr>
          <w:ilvl w:val="0"/>
          <w:numId w:val="58"/>
        </w:numPr>
        <w:tabs>
          <w:tab w:pos="1708" w:val="left" w:leader="none"/>
        </w:tabs>
        <w:spacing w:line="240" w:lineRule="auto" w:before="160" w:after="0"/>
        <w:ind w:left="1708" w:right="0" w:hanging="480"/>
        <w:jc w:val="left"/>
        <w:rPr>
          <w:sz w:val="24"/>
        </w:rPr>
      </w:pPr>
      <w:r>
        <w:rPr>
          <w:sz w:val="24"/>
        </w:rPr>
        <w:t>基金财产清算组作出清算报告；</w:t>
      </w:r>
    </w:p>
    <w:p>
      <w:pPr>
        <w:pStyle w:val="ListParagraph"/>
        <w:numPr>
          <w:ilvl w:val="0"/>
          <w:numId w:val="58"/>
        </w:numPr>
        <w:tabs>
          <w:tab w:pos="1708" w:val="left" w:leader="none"/>
        </w:tabs>
        <w:spacing w:line="240" w:lineRule="auto" w:before="161" w:after="0"/>
        <w:ind w:left="1708" w:right="0" w:hanging="480"/>
        <w:jc w:val="left"/>
        <w:rPr>
          <w:sz w:val="24"/>
        </w:rPr>
      </w:pPr>
      <w:r>
        <w:rPr>
          <w:sz w:val="24"/>
        </w:rPr>
        <w:t>会计师事务所对清算报告进行审计；</w:t>
      </w:r>
    </w:p>
    <w:p>
      <w:pPr>
        <w:pStyle w:val="ListParagraph"/>
        <w:numPr>
          <w:ilvl w:val="0"/>
          <w:numId w:val="58"/>
        </w:numPr>
        <w:tabs>
          <w:tab w:pos="1708" w:val="left" w:leader="none"/>
        </w:tabs>
        <w:spacing w:line="240" w:lineRule="auto" w:before="160" w:after="0"/>
        <w:ind w:left="1708" w:right="0" w:hanging="480"/>
        <w:jc w:val="left"/>
        <w:rPr>
          <w:sz w:val="24"/>
        </w:rPr>
      </w:pPr>
      <w:r>
        <w:rPr>
          <w:sz w:val="24"/>
        </w:rPr>
        <w:t>律师事务所对清算报告出具法律意见书；</w:t>
      </w:r>
    </w:p>
    <w:p>
      <w:pPr>
        <w:pStyle w:val="ListParagraph"/>
        <w:numPr>
          <w:ilvl w:val="0"/>
          <w:numId w:val="58"/>
        </w:numPr>
        <w:tabs>
          <w:tab w:pos="1708" w:val="left" w:leader="none"/>
        </w:tabs>
        <w:spacing w:line="240" w:lineRule="auto" w:before="161" w:after="0"/>
        <w:ind w:left="1708" w:right="0" w:hanging="480"/>
        <w:jc w:val="left"/>
        <w:rPr>
          <w:sz w:val="24"/>
        </w:rPr>
      </w:pPr>
      <w:r>
        <w:rPr>
          <w:sz w:val="24"/>
        </w:rPr>
        <w:t>将基金财产清算结果报告中国证监会；</w:t>
      </w:r>
    </w:p>
    <w:p>
      <w:pPr>
        <w:pStyle w:val="ListParagraph"/>
        <w:numPr>
          <w:ilvl w:val="0"/>
          <w:numId w:val="58"/>
        </w:numPr>
        <w:tabs>
          <w:tab w:pos="1708" w:val="left" w:leader="none"/>
        </w:tabs>
        <w:spacing w:line="240" w:lineRule="auto" w:before="160" w:after="0"/>
        <w:ind w:left="1708" w:right="0" w:hanging="480"/>
        <w:jc w:val="left"/>
        <w:rPr>
          <w:sz w:val="24"/>
        </w:rPr>
      </w:pPr>
      <w:r>
        <w:rPr>
          <w:sz w:val="24"/>
        </w:rPr>
        <w:t>公布基金财产清算公告；</w:t>
      </w:r>
    </w:p>
    <w:p>
      <w:pPr>
        <w:pStyle w:val="ListParagraph"/>
        <w:numPr>
          <w:ilvl w:val="0"/>
          <w:numId w:val="58"/>
        </w:numPr>
        <w:tabs>
          <w:tab w:pos="1709" w:val="left" w:leader="none"/>
        </w:tabs>
        <w:spacing w:line="240" w:lineRule="auto" w:before="161" w:after="0"/>
        <w:ind w:left="1709" w:right="0" w:hanging="481"/>
        <w:jc w:val="left"/>
        <w:rPr>
          <w:sz w:val="24"/>
        </w:rPr>
      </w:pPr>
      <w:r>
        <w:rPr>
          <w:sz w:val="24"/>
        </w:rPr>
        <w:t>对基金剩余财产进行分配。</w:t>
      </w:r>
    </w:p>
    <w:p>
      <w:pPr>
        <w:pStyle w:val="ListParagraph"/>
        <w:numPr>
          <w:ilvl w:val="0"/>
          <w:numId w:val="57"/>
        </w:numPr>
        <w:tabs>
          <w:tab w:pos="1201" w:val="left" w:leader="none"/>
        </w:tabs>
        <w:spacing w:line="240" w:lineRule="auto" w:before="160" w:after="0"/>
        <w:ind w:left="1201" w:right="0" w:hanging="601"/>
        <w:jc w:val="left"/>
        <w:rPr>
          <w:sz w:val="24"/>
        </w:rPr>
      </w:pPr>
      <w:r>
        <w:rPr>
          <w:sz w:val="24"/>
        </w:rPr>
        <w:t>清算费用</w:t>
      </w:r>
    </w:p>
    <w:p>
      <w:pPr>
        <w:pStyle w:val="BodyText"/>
        <w:spacing w:line="364" w:lineRule="auto" w:before="161"/>
        <w:ind w:right="458" w:firstLine="480"/>
      </w:pPr>
      <w:r>
        <w:rPr/>
        <w:t>清算费用是指基金财产清算组在进行基金财产清算过程中发生的所有合理费用，清算费用由基金财产清算组优先从基金财产中支付。</w:t>
      </w:r>
    </w:p>
    <w:p>
      <w:pPr>
        <w:pStyle w:val="ListParagraph"/>
        <w:numPr>
          <w:ilvl w:val="0"/>
          <w:numId w:val="57"/>
        </w:numPr>
        <w:tabs>
          <w:tab w:pos="1201" w:val="left" w:leader="none"/>
        </w:tabs>
        <w:spacing w:line="240" w:lineRule="auto" w:before="1" w:after="0"/>
        <w:ind w:left="1201" w:right="0" w:hanging="601"/>
        <w:jc w:val="left"/>
        <w:rPr>
          <w:sz w:val="24"/>
        </w:rPr>
      </w:pPr>
      <w:r>
        <w:rPr>
          <w:sz w:val="24"/>
        </w:rPr>
        <w:t>基金剩余财产的分配</w:t>
      </w:r>
    </w:p>
    <w:p>
      <w:pPr>
        <w:pStyle w:val="BodyText"/>
        <w:spacing w:before="161"/>
        <w:ind w:left="600"/>
      </w:pPr>
      <w:r>
        <w:rPr/>
        <w:t>基金财产按如下顺序进行清偿：</w:t>
      </w:r>
    </w:p>
    <w:p>
      <w:pPr>
        <w:pStyle w:val="ListParagraph"/>
        <w:numPr>
          <w:ilvl w:val="0"/>
          <w:numId w:val="59"/>
        </w:numPr>
        <w:tabs>
          <w:tab w:pos="1589" w:val="left" w:leader="none"/>
        </w:tabs>
        <w:spacing w:line="240" w:lineRule="auto" w:before="160" w:after="0"/>
        <w:ind w:left="1589" w:right="0" w:hanging="361"/>
        <w:jc w:val="left"/>
        <w:rPr>
          <w:sz w:val="24"/>
        </w:rPr>
      </w:pPr>
      <w:r>
        <w:rPr>
          <w:sz w:val="24"/>
        </w:rPr>
        <w:t>支付基金财产清算费用；</w:t>
      </w:r>
    </w:p>
    <w:p>
      <w:pPr>
        <w:pStyle w:val="ListParagraph"/>
        <w:numPr>
          <w:ilvl w:val="0"/>
          <w:numId w:val="59"/>
        </w:numPr>
        <w:tabs>
          <w:tab w:pos="1589" w:val="left" w:leader="none"/>
        </w:tabs>
        <w:spacing w:line="240" w:lineRule="auto" w:before="161" w:after="0"/>
        <w:ind w:left="1589" w:right="0" w:hanging="361"/>
        <w:jc w:val="left"/>
        <w:rPr>
          <w:sz w:val="24"/>
        </w:rPr>
      </w:pPr>
      <w:r>
        <w:rPr>
          <w:sz w:val="24"/>
        </w:rPr>
        <w:t>缴纳基金所欠税款；</w:t>
      </w:r>
    </w:p>
    <w:p>
      <w:pPr>
        <w:pStyle w:val="ListParagraph"/>
        <w:numPr>
          <w:ilvl w:val="0"/>
          <w:numId w:val="59"/>
        </w:numPr>
        <w:tabs>
          <w:tab w:pos="1589" w:val="left" w:leader="none"/>
        </w:tabs>
        <w:spacing w:line="240" w:lineRule="auto" w:before="160" w:after="0"/>
        <w:ind w:left="1589" w:right="0" w:hanging="361"/>
        <w:jc w:val="left"/>
        <w:rPr>
          <w:sz w:val="24"/>
        </w:rPr>
      </w:pPr>
      <w:r>
        <w:rPr>
          <w:sz w:val="24"/>
        </w:rPr>
        <w:t>清偿基金债务；</w:t>
      </w:r>
    </w:p>
    <w:p>
      <w:pPr>
        <w:pStyle w:val="ListParagraph"/>
        <w:numPr>
          <w:ilvl w:val="0"/>
          <w:numId w:val="59"/>
        </w:numPr>
        <w:tabs>
          <w:tab w:pos="1597" w:val="left" w:leader="none"/>
        </w:tabs>
        <w:spacing w:line="364" w:lineRule="auto" w:before="161" w:after="0"/>
        <w:ind w:left="1556" w:right="458" w:hanging="329"/>
        <w:jc w:val="left"/>
        <w:rPr>
          <w:sz w:val="24"/>
        </w:rPr>
      </w:pPr>
      <w:r>
        <w:rPr>
          <w:spacing w:val="2"/>
          <w:sz w:val="24"/>
        </w:rPr>
        <w:t>清算后如有余额，按基金份额持有人持有的基金份额比例进行分</w:t>
      </w:r>
      <w:r>
        <w:rPr>
          <w:sz w:val="24"/>
        </w:rPr>
        <w:t>配。</w:t>
      </w:r>
    </w:p>
    <w:p>
      <w:pPr>
        <w:pStyle w:val="ListParagraph"/>
        <w:numPr>
          <w:ilvl w:val="0"/>
          <w:numId w:val="57"/>
        </w:numPr>
        <w:tabs>
          <w:tab w:pos="1201" w:val="left" w:leader="none"/>
        </w:tabs>
        <w:spacing w:line="240" w:lineRule="auto" w:before="1" w:after="0"/>
        <w:ind w:left="1201" w:right="0" w:hanging="601"/>
        <w:jc w:val="left"/>
        <w:rPr>
          <w:sz w:val="24"/>
        </w:rPr>
      </w:pPr>
      <w:r>
        <w:rPr>
          <w:sz w:val="24"/>
        </w:rPr>
        <w:t>基金财产清算的公告</w:t>
      </w:r>
    </w:p>
    <w:p>
      <w:pPr>
        <w:pStyle w:val="BodyText"/>
        <w:spacing w:line="364" w:lineRule="auto" w:before="160"/>
        <w:ind w:right="365" w:firstLine="480"/>
      </w:pPr>
      <w:r>
        <w:rPr/>
        <w:t>清算过程中的有关重大事项须及时公告；基金财产清算组做出的清算报告经会计师事务所审计，律师事务所出具法律意见书后，报中国证监会备案并公告。</w:t>
      </w:r>
    </w:p>
    <w:p>
      <w:pPr>
        <w:pStyle w:val="ListParagraph"/>
        <w:numPr>
          <w:ilvl w:val="0"/>
          <w:numId w:val="57"/>
        </w:numPr>
        <w:tabs>
          <w:tab w:pos="1201" w:val="left" w:leader="none"/>
        </w:tabs>
        <w:spacing w:line="240" w:lineRule="auto" w:before="1" w:after="0"/>
        <w:ind w:left="1201" w:right="0" w:hanging="601"/>
        <w:jc w:val="left"/>
        <w:rPr>
          <w:sz w:val="24"/>
        </w:rPr>
      </w:pPr>
      <w:r>
        <w:rPr>
          <w:spacing w:val="-6"/>
          <w:sz w:val="24"/>
        </w:rPr>
        <w:t>基金财产清算期限为 </w:t>
      </w:r>
      <w:r>
        <w:rPr>
          <w:sz w:val="24"/>
        </w:rPr>
        <w:t>6</w:t>
      </w:r>
      <w:r>
        <w:rPr>
          <w:spacing w:val="-15"/>
          <w:sz w:val="24"/>
        </w:rPr>
        <w:t> 个月。</w:t>
      </w:r>
    </w:p>
    <w:p>
      <w:pPr>
        <w:pStyle w:val="ListParagraph"/>
        <w:numPr>
          <w:ilvl w:val="0"/>
          <w:numId w:val="57"/>
        </w:numPr>
        <w:tabs>
          <w:tab w:pos="1201" w:val="left" w:leader="none"/>
        </w:tabs>
        <w:spacing w:line="240" w:lineRule="auto" w:before="161" w:after="0"/>
        <w:ind w:left="1201" w:right="0" w:hanging="601"/>
        <w:jc w:val="left"/>
        <w:rPr>
          <w:sz w:val="24"/>
        </w:rPr>
      </w:pPr>
      <w:r>
        <w:rPr>
          <w:spacing w:val="-3"/>
          <w:sz w:val="24"/>
        </w:rPr>
        <w:t>基金财产清算账册及文件由基金托管人保存 </w:t>
      </w:r>
      <w:r>
        <w:rPr>
          <w:sz w:val="24"/>
        </w:rPr>
        <w:t>15</w:t>
      </w:r>
      <w:r>
        <w:rPr>
          <w:spacing w:val="-12"/>
          <w:sz w:val="24"/>
        </w:rPr>
        <w:t> 年以上。</w:t>
      </w:r>
    </w:p>
    <w:p>
      <w:pPr>
        <w:spacing w:after="0" w:line="240" w:lineRule="auto"/>
        <w:jc w:val="left"/>
        <w:rPr>
          <w:sz w:val="24"/>
        </w:rPr>
        <w:sectPr>
          <w:pgSz w:w="11910" w:h="16840"/>
          <w:pgMar w:header="0" w:footer="990" w:top="1460" w:bottom="1180" w:left="1680" w:right="1340"/>
        </w:sectPr>
      </w:pPr>
    </w:p>
    <w:p>
      <w:pPr>
        <w:pStyle w:val="Heading1"/>
        <w:spacing w:before="1"/>
        <w:ind w:left="403"/>
      </w:pPr>
      <w:bookmarkStart w:name="_bookmark23" w:id="24"/>
      <w:bookmarkEnd w:id="24"/>
      <w:r>
        <w:rPr>
          <w:b w:val="0"/>
        </w:rPr>
      </w:r>
      <w:r>
        <w:rPr>
          <w:position w:val="-2"/>
        </w:rPr>
        <w:t>二十四、</w:t>
      </w:r>
      <w:r>
        <w:rPr/>
        <w:t>业务规则</w:t>
      </w:r>
    </w:p>
    <w:p>
      <w:pPr>
        <w:pStyle w:val="BodyText"/>
        <w:spacing w:before="231"/>
        <w:ind w:left="600"/>
      </w:pPr>
      <w:r>
        <w:rPr/>
        <w:t>本基金合同当事人应遵守《易方达基金管理有限公司开放式基金业务规则》</w:t>
      </w:r>
    </w:p>
    <w:p>
      <w:pPr>
        <w:pStyle w:val="BodyText"/>
        <w:spacing w:line="364" w:lineRule="auto" w:before="161"/>
        <w:ind w:right="458"/>
      </w:pPr>
      <w:r>
        <w:rPr/>
        <w:t>（</w:t>
      </w:r>
      <w:r>
        <w:rPr>
          <w:spacing w:val="-8"/>
        </w:rPr>
        <w:t>简称“业务规则</w:t>
      </w:r>
      <w:r>
        <w:rPr/>
        <w:t>”）</w:t>
      </w:r>
      <w:r>
        <w:rPr>
          <w:spacing w:val="-8"/>
        </w:rPr>
        <w:t>。业务规则由基金管理人在符合法律法规及基金合同规定</w:t>
      </w:r>
      <w:r>
        <w:rPr/>
        <w:t>的前提下制定、修改和解释。</w:t>
      </w:r>
    </w:p>
    <w:p>
      <w:pPr>
        <w:spacing w:after="0" w:line="364" w:lineRule="auto"/>
        <w:sectPr>
          <w:pgSz w:w="11910" w:h="16840"/>
          <w:pgMar w:header="0" w:footer="990" w:top="1580" w:bottom="1180" w:left="1680" w:right="1340"/>
        </w:sectPr>
      </w:pPr>
    </w:p>
    <w:p>
      <w:pPr>
        <w:pStyle w:val="Heading1"/>
        <w:spacing w:before="1"/>
        <w:ind w:left="403"/>
      </w:pPr>
      <w:bookmarkStart w:name="_bookmark24" w:id="25"/>
      <w:bookmarkEnd w:id="25"/>
      <w:r>
        <w:rPr>
          <w:b w:val="0"/>
        </w:rPr>
      </w:r>
      <w:r>
        <w:rPr>
          <w:position w:val="-2"/>
        </w:rPr>
        <w:t>二十五、</w:t>
      </w:r>
      <w:r>
        <w:rPr/>
        <w:t>违约责任</w:t>
      </w:r>
    </w:p>
    <w:p>
      <w:pPr>
        <w:pStyle w:val="BodyText"/>
        <w:spacing w:line="364" w:lineRule="auto" w:before="231"/>
        <w:ind w:right="245"/>
      </w:pPr>
      <w:r>
        <w:rPr/>
        <w:t>（一</w:t>
      </w:r>
      <w:r>
        <w:rPr>
          <w:spacing w:val="-19"/>
        </w:rPr>
        <w:t>）</w:t>
      </w:r>
      <w:r>
        <w:rPr>
          <w:spacing w:val="-7"/>
        </w:rPr>
        <w:t>基金管理人、基金托管人在履行各自职责的过程中，违反《基金法》等法</w:t>
      </w:r>
      <w:r>
        <w:rPr>
          <w:spacing w:val="-16"/>
        </w:rPr>
        <w:t>律法规的规定或者基金合同的约定，给基金财产或者基金份额持有人造成损害的， </w:t>
      </w:r>
      <w:r>
        <w:rPr>
          <w:spacing w:val="-6"/>
        </w:rPr>
        <w:t>应当分别对各自的行为依法承担赔偿责任；因共同行为给基金财产或者基金份额持有人造成损害的，应当承担连带赔偿责任。</w:t>
      </w:r>
    </w:p>
    <w:p>
      <w:pPr>
        <w:pStyle w:val="BodyText"/>
        <w:spacing w:line="364" w:lineRule="auto" w:before="159"/>
        <w:ind w:right="218"/>
      </w:pPr>
      <w:r>
        <w:rPr/>
        <w:t>（二）由于基金合同当事人违反基金合同，给其他基金合同当事人造成损失的， 应当承担赔偿责任。当发生下列情况时，当事人可以免责：</w:t>
      </w:r>
    </w:p>
    <w:p>
      <w:pPr>
        <w:pStyle w:val="ListParagraph"/>
        <w:numPr>
          <w:ilvl w:val="0"/>
          <w:numId w:val="60"/>
        </w:numPr>
        <w:tabs>
          <w:tab w:pos="1203" w:val="left" w:leader="none"/>
        </w:tabs>
        <w:spacing w:line="364" w:lineRule="auto" w:before="157" w:after="0"/>
        <w:ind w:left="120" w:right="458" w:firstLine="480"/>
        <w:jc w:val="left"/>
        <w:rPr>
          <w:sz w:val="24"/>
        </w:rPr>
      </w:pPr>
      <w:r>
        <w:rPr>
          <w:sz w:val="24"/>
        </w:rPr>
        <w:t>基金管理人及基金托管人按照当时有效的法律法规、市场交易规则作为或不作为而造成的损失等；</w:t>
      </w:r>
    </w:p>
    <w:p>
      <w:pPr>
        <w:pStyle w:val="ListParagraph"/>
        <w:numPr>
          <w:ilvl w:val="0"/>
          <w:numId w:val="60"/>
        </w:numPr>
        <w:tabs>
          <w:tab w:pos="1203" w:val="left" w:leader="none"/>
        </w:tabs>
        <w:spacing w:line="364" w:lineRule="auto" w:before="1" w:after="0"/>
        <w:ind w:left="120" w:right="458" w:firstLine="480"/>
        <w:jc w:val="left"/>
        <w:rPr>
          <w:sz w:val="24"/>
        </w:rPr>
      </w:pPr>
      <w:r>
        <w:rPr>
          <w:sz w:val="24"/>
        </w:rPr>
        <w:t>在没有故意或过失的情况下，基金管理人由于按照本基金合同规定的投资原则进行的投资所造成的损失等；</w:t>
      </w:r>
    </w:p>
    <w:p>
      <w:pPr>
        <w:pStyle w:val="ListParagraph"/>
        <w:numPr>
          <w:ilvl w:val="0"/>
          <w:numId w:val="60"/>
        </w:numPr>
        <w:tabs>
          <w:tab w:pos="1201" w:val="left" w:leader="none"/>
        </w:tabs>
        <w:spacing w:line="240" w:lineRule="auto" w:before="1" w:after="0"/>
        <w:ind w:left="1201" w:right="0" w:hanging="601"/>
        <w:jc w:val="left"/>
        <w:rPr>
          <w:sz w:val="24"/>
        </w:rPr>
      </w:pPr>
      <w:r>
        <w:rPr>
          <w:sz w:val="24"/>
        </w:rPr>
        <w:t>不可抗力。</w:t>
      </w:r>
    </w:p>
    <w:p>
      <w:pPr>
        <w:pStyle w:val="BodyText"/>
        <w:spacing w:before="9"/>
        <w:ind w:left="0"/>
      </w:pPr>
    </w:p>
    <w:p>
      <w:pPr>
        <w:pStyle w:val="BodyText"/>
        <w:spacing w:line="364" w:lineRule="auto" w:before="0"/>
        <w:ind w:right="458"/>
      </w:pPr>
      <w:r>
        <w:rPr/>
        <w:t>（三</w:t>
      </w:r>
      <w:r>
        <w:rPr>
          <w:spacing w:val="-48"/>
        </w:rPr>
        <w:t>）</w:t>
      </w:r>
      <w:r>
        <w:rPr>
          <w:spacing w:val="-4"/>
        </w:rPr>
        <w:t>在发生一方或者多方当事人违约的情况下，基金合同能够履行的应当继续</w:t>
      </w:r>
      <w:r>
        <w:rPr/>
        <w:t>履行。</w:t>
      </w:r>
    </w:p>
    <w:p>
      <w:pPr>
        <w:pStyle w:val="BodyText"/>
        <w:spacing w:line="364" w:lineRule="auto" w:before="158"/>
        <w:ind w:right="458"/>
        <w:jc w:val="both"/>
      </w:pPr>
      <w:r>
        <w:rPr/>
        <w:t>（四</w:t>
      </w:r>
      <w:r>
        <w:rPr>
          <w:spacing w:val="-48"/>
        </w:rPr>
        <w:t>）</w:t>
      </w:r>
      <w:r>
        <w:rPr>
          <w:spacing w:val="-5"/>
        </w:rPr>
        <w:t>本基金合同当事人一方违约后，其他当事方应当采取适当措施防止损失的</w:t>
      </w:r>
      <w:r>
        <w:rPr>
          <w:spacing w:val="-12"/>
        </w:rPr>
        <w:t>扩大；没有采取适当措施致使损失扩大的，不得就扩大的损失要求赔偿。守约方</w:t>
      </w:r>
      <w:r>
        <w:rPr/>
        <w:t>因防止损失扩大而支出的合理费用由违约方承担。</w:t>
      </w:r>
    </w:p>
    <w:p>
      <w:pPr>
        <w:spacing w:after="0" w:line="364" w:lineRule="auto"/>
        <w:jc w:val="both"/>
        <w:sectPr>
          <w:pgSz w:w="11910" w:h="16840"/>
          <w:pgMar w:header="0" w:footer="990" w:top="1580" w:bottom="1180" w:left="1680" w:right="1340"/>
        </w:sectPr>
      </w:pPr>
    </w:p>
    <w:p>
      <w:pPr>
        <w:pStyle w:val="Heading1"/>
        <w:spacing w:line="213" w:lineRule="auto"/>
        <w:ind w:left="403"/>
      </w:pPr>
      <w:bookmarkStart w:name="_bookmark25" w:id="26"/>
      <w:bookmarkEnd w:id="26"/>
      <w:r>
        <w:rPr>
          <w:b w:val="0"/>
        </w:rPr>
      </w:r>
      <w:r>
        <w:rPr>
          <w:position w:val="-2"/>
        </w:rPr>
        <w:t>二十六、</w:t>
      </w:r>
      <w:r>
        <w:rPr/>
        <w:t>争议的处理</w:t>
      </w:r>
    </w:p>
    <w:p>
      <w:pPr>
        <w:pStyle w:val="BodyText"/>
        <w:spacing w:before="6"/>
        <w:ind w:left="0"/>
        <w:rPr>
          <w:rFonts w:ascii="Microsoft JhengHei"/>
          <w:b/>
          <w:sz w:val="13"/>
        </w:rPr>
      </w:pPr>
    </w:p>
    <w:p>
      <w:pPr>
        <w:pStyle w:val="BodyText"/>
        <w:spacing w:before="0"/>
      </w:pPr>
      <w:r>
        <w:rPr/>
        <w:t>（一）本基金合同适用中华人民共和国法律并从其解释。</w:t>
      </w:r>
    </w:p>
    <w:p>
      <w:pPr>
        <w:pStyle w:val="BodyText"/>
        <w:spacing w:before="9"/>
        <w:ind w:left="0"/>
      </w:pPr>
    </w:p>
    <w:p>
      <w:pPr>
        <w:pStyle w:val="BodyText"/>
        <w:spacing w:line="364" w:lineRule="auto" w:before="0"/>
        <w:ind w:right="245"/>
      </w:pPr>
      <w:r>
        <w:rPr/>
        <w:t>（二</w:t>
      </w:r>
      <w:r>
        <w:rPr>
          <w:spacing w:val="-95"/>
        </w:rPr>
        <w:t>）</w:t>
      </w:r>
      <w:r>
        <w:rPr/>
        <w:t>本基金合同的当事人之间因本基金合同产生的或与本基金合同有关的争议</w:t>
      </w:r>
      <w:r>
        <w:rPr>
          <w:spacing w:val="-7"/>
        </w:rPr>
        <w:t>可首先通过友好协商或调解解决。自一方书面要求协商解决争议之日起六十日内</w:t>
      </w:r>
      <w:r>
        <w:rPr>
          <w:spacing w:val="-13"/>
        </w:rPr>
        <w:t>如果争议未能以协商或调解方式解决，则任何一方有权将争议提交设在上海的中</w:t>
      </w:r>
      <w:r>
        <w:rPr>
          <w:spacing w:val="-19"/>
        </w:rPr>
        <w:t>国国际经济贸易仲裁委员会上海分会，根据提交仲裁时有效的仲裁规则进行仲裁。</w:t>
      </w:r>
      <w:r>
        <w:rPr/>
        <w:t>仲裁裁决是终局的，对仲裁各方当事人均具有约束力。</w:t>
      </w:r>
    </w:p>
    <w:p>
      <w:pPr>
        <w:pStyle w:val="BodyText"/>
        <w:spacing w:line="364" w:lineRule="auto" w:before="159"/>
        <w:ind w:right="458"/>
      </w:pPr>
      <w:r>
        <w:rPr/>
        <w:t>（三</w:t>
      </w:r>
      <w:r>
        <w:rPr>
          <w:spacing w:val="-48"/>
        </w:rPr>
        <w:t>）</w:t>
      </w:r>
      <w:r>
        <w:rPr>
          <w:spacing w:val="-6"/>
        </w:rPr>
        <w:t>除争议所涉内容之外，本基金合同的其他部分应当由本基金合同当事人继</w:t>
      </w:r>
      <w:r>
        <w:rPr/>
        <w:t>续履行。</w:t>
      </w:r>
    </w:p>
    <w:p>
      <w:pPr>
        <w:spacing w:after="0" w:line="364" w:lineRule="auto"/>
        <w:sectPr>
          <w:pgSz w:w="11910" w:h="16840"/>
          <w:pgMar w:header="0" w:footer="990" w:top="1460" w:bottom="1180" w:left="1680" w:right="1340"/>
        </w:sectPr>
      </w:pPr>
    </w:p>
    <w:p>
      <w:pPr>
        <w:pStyle w:val="Heading1"/>
        <w:spacing w:line="213" w:lineRule="auto"/>
        <w:ind w:left="403"/>
      </w:pPr>
      <w:bookmarkStart w:name="_bookmark26" w:id="27"/>
      <w:bookmarkEnd w:id="27"/>
      <w:r>
        <w:rPr>
          <w:b w:val="0"/>
        </w:rPr>
      </w:r>
      <w:r>
        <w:rPr>
          <w:position w:val="-2"/>
        </w:rPr>
        <w:t>二十七、</w:t>
      </w:r>
      <w:r>
        <w:rPr/>
        <w:t>基金合同的效力</w:t>
      </w:r>
    </w:p>
    <w:p>
      <w:pPr>
        <w:pStyle w:val="BodyText"/>
        <w:spacing w:before="6"/>
        <w:ind w:left="0"/>
        <w:rPr>
          <w:rFonts w:ascii="Microsoft JhengHei"/>
          <w:b/>
          <w:sz w:val="13"/>
        </w:rPr>
      </w:pPr>
    </w:p>
    <w:p>
      <w:pPr>
        <w:pStyle w:val="BodyText"/>
        <w:spacing w:line="364" w:lineRule="auto" w:before="0"/>
        <w:ind w:right="458"/>
        <w:jc w:val="both"/>
      </w:pPr>
      <w:r>
        <w:rPr/>
        <w:t>（一</w:t>
      </w:r>
      <w:r>
        <w:rPr>
          <w:spacing w:val="-32"/>
        </w:rPr>
        <w:t>）</w:t>
      </w:r>
      <w:r>
        <w:rPr>
          <w:spacing w:val="-5"/>
        </w:rPr>
        <w:t>本基金合同是基金合同当事人之间的法律文件。本基金合同由《科讯证券</w:t>
      </w:r>
      <w:r>
        <w:rPr>
          <w:spacing w:val="-10"/>
        </w:rPr>
        <w:t>投资基金基金合同》修订而成。本基金合同经基金管理人和基金托管人盖章以及</w:t>
      </w:r>
      <w:r>
        <w:rPr>
          <w:spacing w:val="-6"/>
        </w:rPr>
        <w:t>双方法定代表人或其授权代表签字，报中国证监会核准后，自科讯基金终止上市</w:t>
      </w:r>
      <w:r>
        <w:rPr/>
        <w:t>之日起生效，原《科讯证券投资基金基金合同》自同一日起失效。</w:t>
      </w:r>
    </w:p>
    <w:p>
      <w:pPr>
        <w:pStyle w:val="BodyText"/>
        <w:spacing w:line="364" w:lineRule="auto" w:before="158"/>
        <w:ind w:right="458"/>
      </w:pPr>
      <w:r>
        <w:rPr/>
        <w:t>（二</w:t>
      </w:r>
      <w:r>
        <w:rPr>
          <w:spacing w:val="-48"/>
        </w:rPr>
        <w:t>）</w:t>
      </w:r>
      <w:r>
        <w:rPr>
          <w:spacing w:val="-4"/>
        </w:rPr>
        <w:t>本基金合同自生效之日起对包括基金管理人、基金托管人和基金份额持有</w:t>
      </w:r>
      <w:r>
        <w:rPr/>
        <w:t>人在内的基金合同各方当事人具有同等的法律约束力。</w:t>
      </w:r>
    </w:p>
    <w:p>
      <w:pPr>
        <w:pStyle w:val="BodyText"/>
        <w:spacing w:line="364" w:lineRule="auto" w:before="158"/>
        <w:ind w:right="458"/>
      </w:pPr>
      <w:r>
        <w:rPr/>
        <w:t>（三</w:t>
      </w:r>
      <w:r>
        <w:rPr>
          <w:spacing w:val="-95"/>
        </w:rPr>
        <w:t>）</w:t>
      </w:r>
      <w:r>
        <w:rPr>
          <w:spacing w:val="-1"/>
        </w:rPr>
        <w:t>本基金合同的有效期自其生效之日起至本基金财产清算结果报中国证监会</w:t>
      </w:r>
      <w:r>
        <w:rPr/>
        <w:t>备案并公告之日止。</w:t>
      </w:r>
    </w:p>
    <w:p>
      <w:pPr>
        <w:pStyle w:val="BodyText"/>
        <w:spacing w:line="364" w:lineRule="auto" w:before="157"/>
        <w:ind w:right="338"/>
      </w:pPr>
      <w:r>
        <w:rPr/>
        <w:t>（四</w:t>
      </w:r>
      <w:r>
        <w:rPr>
          <w:spacing w:val="-72"/>
        </w:rPr>
        <w:t>）</w:t>
      </w:r>
      <w:r>
        <w:rPr>
          <w:spacing w:val="-11"/>
        </w:rPr>
        <w:t>本基金合同正本一式六份，除上报有关监管机构一式二份外，基金管理人、</w:t>
      </w:r>
      <w:r>
        <w:rPr/>
        <w:t>基金托管人各持有二份，每份具有同等的法律效力。</w:t>
      </w:r>
    </w:p>
    <w:p>
      <w:pPr>
        <w:pStyle w:val="BodyText"/>
        <w:spacing w:line="364" w:lineRule="auto" w:before="157"/>
        <w:ind w:right="458"/>
      </w:pPr>
      <w:r>
        <w:rPr/>
        <w:t>（五</w:t>
      </w:r>
      <w:r>
        <w:rPr>
          <w:spacing w:val="-32"/>
        </w:rPr>
        <w:t>）</w:t>
      </w:r>
      <w:r>
        <w:rPr>
          <w:spacing w:val="-7"/>
        </w:rPr>
        <w:t>基金合同可印制成册，存放在基金管理人和基金托管人住所，供投资人查</w:t>
      </w:r>
      <w:r>
        <w:rPr/>
        <w:t>阅，基金合同条款及内容应以基金合同正本为准。</w:t>
      </w:r>
    </w:p>
    <w:p>
      <w:pPr>
        <w:spacing w:after="0" w:line="364" w:lineRule="auto"/>
        <w:sectPr>
          <w:pgSz w:w="11910" w:h="16840"/>
          <w:pgMar w:header="0" w:footer="990" w:top="1460" w:bottom="1180" w:left="1680" w:right="1340"/>
        </w:sectPr>
      </w:pPr>
    </w:p>
    <w:p>
      <w:pPr>
        <w:pStyle w:val="Heading1"/>
        <w:spacing w:line="406" w:lineRule="exact"/>
      </w:pPr>
      <w:bookmarkStart w:name="_bookmark27" w:id="28"/>
      <w:bookmarkEnd w:id="28"/>
      <w:r>
        <w:rPr>
          <w:b w:val="0"/>
        </w:rPr>
      </w:r>
      <w:r>
        <w:rPr/>
        <w:t>二十八、基金合同摘要</w:t>
      </w:r>
    </w:p>
    <w:p>
      <w:pPr>
        <w:pStyle w:val="BodyText"/>
        <w:spacing w:before="14"/>
        <w:ind w:left="0"/>
        <w:rPr>
          <w:rFonts w:ascii="Microsoft JhengHei"/>
          <w:b/>
          <w:sz w:val="18"/>
        </w:rPr>
      </w:pPr>
    </w:p>
    <w:p>
      <w:pPr>
        <w:pStyle w:val="BodyText"/>
      </w:pPr>
      <w:r>
        <w:rPr/>
        <w:t>（一）前言</w:t>
      </w:r>
    </w:p>
    <w:p>
      <w:pPr>
        <w:pStyle w:val="BodyText"/>
        <w:spacing w:before="3"/>
        <w:ind w:left="0"/>
        <w:rPr>
          <w:sz w:val="31"/>
        </w:rPr>
      </w:pPr>
    </w:p>
    <w:p>
      <w:pPr>
        <w:pStyle w:val="BodyText"/>
        <w:spacing w:line="364" w:lineRule="auto" w:before="0"/>
        <w:ind w:right="457" w:firstLine="480"/>
      </w:pPr>
      <w:r>
        <w:rPr/>
        <w:t>1</w:t>
      </w:r>
      <w:r>
        <w:rPr>
          <w:spacing w:val="-14"/>
        </w:rPr>
        <w:t>、订立《易方达科讯混合型证券投资基金基金合同》</w:t>
      </w:r>
      <w:r>
        <w:rPr/>
        <w:t>（</w:t>
      </w:r>
      <w:r>
        <w:rPr>
          <w:spacing w:val="-7"/>
        </w:rPr>
        <w:t>以下简称“本基金合</w:t>
      </w:r>
      <w:r>
        <w:rPr>
          <w:spacing w:val="-60"/>
        </w:rPr>
        <w:t>同”</w:t>
      </w:r>
      <w:r>
        <w:rPr/>
        <w:t>）的目的、依据和原则。</w:t>
      </w:r>
    </w:p>
    <w:p>
      <w:pPr>
        <w:pStyle w:val="BodyText"/>
        <w:ind w:left="600"/>
      </w:pPr>
      <w:r>
        <w:rPr/>
        <w:t>（1) 订立本基金合同的目的</w:t>
      </w:r>
    </w:p>
    <w:p>
      <w:pPr>
        <w:pStyle w:val="BodyText"/>
        <w:spacing w:line="364" w:lineRule="auto" w:before="161"/>
        <w:ind w:right="458" w:firstLine="480"/>
        <w:jc w:val="both"/>
      </w:pPr>
      <w:r>
        <w:rPr>
          <w:spacing w:val="-5"/>
        </w:rPr>
        <w:t>订立本基金合同的目的是明确本基金合同当事人的权利义务、规范易方达科</w:t>
      </w:r>
      <w:r>
        <w:rPr/>
        <w:t>讯混合型证券投资基金（</w:t>
      </w:r>
      <w:r>
        <w:rPr>
          <w:spacing w:val="-14"/>
        </w:rPr>
        <w:t>以下简称“本基金”</w:t>
      </w:r>
      <w:r>
        <w:rPr/>
        <w:t>）的运作，保护基金合同当事人的合法权益。</w:t>
      </w:r>
    </w:p>
    <w:p>
      <w:pPr>
        <w:pStyle w:val="ListParagraph"/>
        <w:numPr>
          <w:ilvl w:val="0"/>
          <w:numId w:val="61"/>
        </w:numPr>
        <w:tabs>
          <w:tab w:pos="1201" w:val="left" w:leader="none"/>
        </w:tabs>
        <w:spacing w:line="240" w:lineRule="auto" w:before="1" w:after="0"/>
        <w:ind w:left="1201" w:right="0" w:hanging="601"/>
        <w:jc w:val="left"/>
        <w:rPr>
          <w:sz w:val="24"/>
        </w:rPr>
      </w:pPr>
      <w:r>
        <w:rPr>
          <w:sz w:val="24"/>
        </w:rPr>
        <w:t>订立本基金合同的依据</w:t>
      </w:r>
    </w:p>
    <w:p>
      <w:pPr>
        <w:pStyle w:val="BodyText"/>
        <w:spacing w:line="364" w:lineRule="auto" w:before="161"/>
        <w:ind w:right="458" w:firstLine="480"/>
        <w:jc w:val="both"/>
      </w:pPr>
      <w:r>
        <w:rPr>
          <w:spacing w:val="-19"/>
        </w:rPr>
        <w:t>订立本基金合同的依据是《中华人民共和国合同法》、《中华人民共和国证券</w:t>
      </w:r>
      <w:r>
        <w:rPr>
          <w:spacing w:val="-6"/>
        </w:rPr>
        <w:t>投资基金法》(以下简称“《基金法》”)、《公开募集证券投资基金运作管理办</w:t>
      </w:r>
      <w:r>
        <w:rPr>
          <w:spacing w:val="-5"/>
        </w:rPr>
        <w:t>法》(以下简称“《运作办法》”)、《证券投资基金销售管理办法》(以下简称</w:t>
      </w:r>
      <w:r>
        <w:rPr>
          <w:spacing w:val="-13"/>
        </w:rPr>
        <w:t>“《销售办法》”)、《证券投资基金信息披露管理办法》(以下简称“《信息披</w:t>
      </w:r>
      <w:r>
        <w:rPr>
          <w:spacing w:val="-15"/>
        </w:rPr>
        <w:t>露办法》”)、证券投资基金信息披露内容与格式准则第 </w:t>
      </w:r>
      <w:r>
        <w:rPr/>
        <w:t>6</w:t>
      </w:r>
      <w:r>
        <w:rPr>
          <w:spacing w:val="-8"/>
        </w:rPr>
        <w:t> 号《基金合同的内容与格式》及其他有关规定。</w:t>
      </w:r>
    </w:p>
    <w:p>
      <w:pPr>
        <w:pStyle w:val="ListParagraph"/>
        <w:numPr>
          <w:ilvl w:val="0"/>
          <w:numId w:val="61"/>
        </w:numPr>
        <w:tabs>
          <w:tab w:pos="1201" w:val="left" w:leader="none"/>
        </w:tabs>
        <w:spacing w:line="240" w:lineRule="auto" w:before="4" w:after="0"/>
        <w:ind w:left="1201" w:right="0" w:hanging="601"/>
        <w:jc w:val="left"/>
        <w:rPr>
          <w:sz w:val="24"/>
        </w:rPr>
      </w:pPr>
      <w:r>
        <w:rPr>
          <w:sz w:val="24"/>
        </w:rPr>
        <w:t>订立本基金合同的原则</w:t>
      </w:r>
    </w:p>
    <w:p>
      <w:pPr>
        <w:pStyle w:val="BodyText"/>
        <w:spacing w:line="364" w:lineRule="auto" w:before="160"/>
        <w:ind w:right="458" w:firstLine="480"/>
      </w:pPr>
      <w:r>
        <w:rPr>
          <w:spacing w:val="-7"/>
        </w:rPr>
        <w:t>订立本基金合同的原则是平等自愿、诚实信用、充分保护基金份额持有人的</w:t>
      </w:r>
      <w:r>
        <w:rPr/>
        <w:t>合法权益。</w:t>
      </w:r>
    </w:p>
    <w:p>
      <w:pPr>
        <w:pStyle w:val="BodyText"/>
        <w:spacing w:line="364" w:lineRule="auto"/>
        <w:ind w:right="218" w:firstLine="480"/>
      </w:pPr>
      <w:r>
        <w:rPr>
          <w:spacing w:val="4"/>
        </w:rPr>
        <w:t>2</w:t>
      </w:r>
      <w:r>
        <w:rPr>
          <w:spacing w:val="-4"/>
        </w:rPr>
        <w:t>、本基金由基金管理人依照《基金法》、本基金合同和其他有关规定募集， </w:t>
      </w:r>
      <w:r>
        <w:rPr>
          <w:spacing w:val="-11"/>
        </w:rPr>
        <w:t>并经中国证监会核准。中国证监会对本基金募集的核准，并不表明其对本基金的 价值和收益作出实质性判断或保证，也不表明投资于本基金没有风险。</w:t>
      </w:r>
    </w:p>
    <w:p>
      <w:pPr>
        <w:pStyle w:val="BodyText"/>
        <w:spacing w:line="364" w:lineRule="auto" w:before="2"/>
        <w:ind w:right="338" w:firstLine="480"/>
      </w:pPr>
      <w:r>
        <w:rPr>
          <w:spacing w:val="-16"/>
        </w:rPr>
        <w:t>基金管理人依照恪尽职守、诚实信用、谨慎勤勉的原则管理和运用基金财产， </w:t>
      </w:r>
      <w:r>
        <w:rPr>
          <w:spacing w:val="-6"/>
        </w:rPr>
        <w:t>但由于证券投资具有一定的风险，因此不保证投资于本基金一定盈利，也不保证基金份额持有人的最低收益。</w:t>
      </w:r>
    </w:p>
    <w:p>
      <w:pPr>
        <w:pStyle w:val="BodyText"/>
        <w:spacing w:line="364" w:lineRule="auto" w:before="2"/>
        <w:ind w:right="218" w:firstLine="480"/>
      </w:pPr>
      <w:r>
        <w:rPr/>
        <w:t>3、本基金合同是约定本基金合同当事人之间基本权利义务的法律文件，其 </w:t>
      </w:r>
      <w:r>
        <w:rPr>
          <w:spacing w:val="3"/>
        </w:rPr>
        <w:t>他与本基金相关的涉及本基金合同当事人之间权利义务关系的任何文件或表述， </w:t>
      </w:r>
      <w:r>
        <w:rPr>
          <w:spacing w:val="-3"/>
        </w:rPr>
        <w:t>如与本基金合同不一致或有冲突，均以本基金合同为准。本基金合同的当事人包 </w:t>
      </w:r>
      <w:r>
        <w:rPr>
          <w:spacing w:val="-10"/>
        </w:rPr>
        <w:t>括基金管理人、基金托管人和基金份额持有人。基金投资人自依本基金合同取得</w:t>
      </w:r>
    </w:p>
    <w:p>
      <w:pPr>
        <w:spacing w:after="0" w:line="364" w:lineRule="auto"/>
        <w:sectPr>
          <w:pgSz w:w="11910" w:h="16840"/>
          <w:pgMar w:header="0" w:footer="990" w:top="1460" w:bottom="1180" w:left="1680" w:right="1340"/>
        </w:sectPr>
      </w:pPr>
    </w:p>
    <w:p>
      <w:pPr>
        <w:pStyle w:val="BodyText"/>
        <w:spacing w:line="364" w:lineRule="auto" w:before="44"/>
        <w:ind w:right="458"/>
        <w:jc w:val="both"/>
      </w:pPr>
      <w:r>
        <w:rPr>
          <w:spacing w:val="-9"/>
        </w:rPr>
        <w:t>本基金基金份额，即成为基金份额持有人和本基金合同的当事人，其持有基金份</w:t>
      </w:r>
      <w:r>
        <w:rPr>
          <w:spacing w:val="-6"/>
        </w:rPr>
        <w:t>额的行为本身即表明其对本基金合同的承认和接受。基金份额持有人作为本基金</w:t>
      </w:r>
      <w:r>
        <w:rPr>
          <w:spacing w:val="-5"/>
        </w:rPr>
        <w:t>合同当事人并不以在本基金合同上书面签章为必要条件。本基金合同的当事人应</w:t>
      </w:r>
      <w:r>
        <w:rPr>
          <w:spacing w:val="-12"/>
        </w:rPr>
        <w:t>按照《基金法》、本基金合同及其他有关规定享有权利、承担义务。</w:t>
      </w:r>
    </w:p>
    <w:p>
      <w:pPr>
        <w:pStyle w:val="BodyText"/>
        <w:spacing w:before="11"/>
        <w:ind w:left="0"/>
        <w:rPr>
          <w:sz w:val="18"/>
        </w:rPr>
      </w:pPr>
    </w:p>
    <w:p>
      <w:pPr>
        <w:pStyle w:val="BodyText"/>
      </w:pPr>
      <w:r>
        <w:rPr/>
        <w:t>（二）基金管理人的权利与义务</w:t>
      </w:r>
    </w:p>
    <w:p>
      <w:pPr>
        <w:pStyle w:val="BodyText"/>
        <w:spacing w:before="3"/>
        <w:ind w:left="0"/>
        <w:rPr>
          <w:sz w:val="31"/>
        </w:rPr>
      </w:pPr>
    </w:p>
    <w:p>
      <w:pPr>
        <w:pStyle w:val="BodyText"/>
        <w:spacing w:before="0"/>
        <w:ind w:left="600"/>
      </w:pPr>
      <w:r>
        <w:rPr/>
        <w:t>1、基金管理人的权利</w:t>
      </w:r>
    </w:p>
    <w:p>
      <w:pPr>
        <w:pStyle w:val="ListParagraph"/>
        <w:numPr>
          <w:ilvl w:val="0"/>
          <w:numId w:val="62"/>
        </w:numPr>
        <w:tabs>
          <w:tab w:pos="960" w:val="left" w:leader="none"/>
        </w:tabs>
        <w:spacing w:line="240" w:lineRule="auto" w:before="160" w:after="0"/>
        <w:ind w:left="960" w:right="0" w:hanging="420"/>
        <w:jc w:val="left"/>
        <w:rPr>
          <w:sz w:val="24"/>
        </w:rPr>
      </w:pPr>
      <w:r>
        <w:rPr>
          <w:sz w:val="24"/>
        </w:rPr>
        <w:t>依法募集基金；</w:t>
      </w:r>
    </w:p>
    <w:p>
      <w:pPr>
        <w:pStyle w:val="ListParagraph"/>
        <w:numPr>
          <w:ilvl w:val="0"/>
          <w:numId w:val="62"/>
        </w:numPr>
        <w:tabs>
          <w:tab w:pos="960" w:val="left" w:leader="none"/>
        </w:tabs>
        <w:spacing w:line="364" w:lineRule="auto" w:before="161" w:after="0"/>
        <w:ind w:left="960" w:right="458" w:hanging="420"/>
        <w:jc w:val="left"/>
        <w:rPr>
          <w:sz w:val="24"/>
        </w:rPr>
      </w:pPr>
      <w:r>
        <w:rPr>
          <w:sz w:val="24"/>
        </w:rPr>
        <w:t>自基金合同生效之日起，基金管理人依照法律法规和基金合同独立管理基金财产；</w:t>
      </w:r>
    </w:p>
    <w:p>
      <w:pPr>
        <w:pStyle w:val="ListParagraph"/>
        <w:numPr>
          <w:ilvl w:val="0"/>
          <w:numId w:val="62"/>
        </w:numPr>
        <w:tabs>
          <w:tab w:pos="960" w:val="left" w:leader="none"/>
        </w:tabs>
        <w:spacing w:line="364" w:lineRule="auto" w:before="1" w:after="0"/>
        <w:ind w:left="120" w:right="458" w:firstLine="420"/>
        <w:jc w:val="left"/>
        <w:rPr>
          <w:sz w:val="24"/>
        </w:rPr>
      </w:pPr>
      <w:r>
        <w:rPr>
          <w:sz w:val="24"/>
        </w:rPr>
        <w:t>根据法律法规和基金合同的规定，制订、修改并公布有关基金申购、赎回、转托管、基金转换、非交易过户、冻结、收益分配等方面的业务规则；</w:t>
      </w:r>
    </w:p>
    <w:p>
      <w:pPr>
        <w:pStyle w:val="ListParagraph"/>
        <w:numPr>
          <w:ilvl w:val="0"/>
          <w:numId w:val="62"/>
        </w:numPr>
        <w:tabs>
          <w:tab w:pos="960" w:val="left" w:leader="none"/>
        </w:tabs>
        <w:spacing w:line="240" w:lineRule="auto" w:before="1" w:after="0"/>
        <w:ind w:left="960" w:right="0" w:hanging="420"/>
        <w:jc w:val="left"/>
        <w:rPr>
          <w:sz w:val="24"/>
        </w:rPr>
      </w:pPr>
      <w:r>
        <w:rPr>
          <w:sz w:val="24"/>
        </w:rPr>
        <w:t>根据法律法规和基金合同的规定获得基金管理费；</w:t>
      </w:r>
    </w:p>
    <w:p>
      <w:pPr>
        <w:pStyle w:val="ListParagraph"/>
        <w:numPr>
          <w:ilvl w:val="0"/>
          <w:numId w:val="62"/>
        </w:numPr>
        <w:tabs>
          <w:tab w:pos="960" w:val="left" w:leader="none"/>
        </w:tabs>
        <w:spacing w:line="364" w:lineRule="auto" w:before="161" w:after="0"/>
        <w:ind w:left="120" w:right="458" w:firstLine="420"/>
        <w:jc w:val="left"/>
        <w:rPr>
          <w:sz w:val="24"/>
        </w:rPr>
      </w:pPr>
      <w:r>
        <w:rPr>
          <w:sz w:val="24"/>
        </w:rPr>
        <w:t>在符合有关法律法规和基金合同的前提下，决定本基金除调高托管费率和管理费率之外的相关费率结构和收费方式；</w:t>
      </w:r>
    </w:p>
    <w:p>
      <w:pPr>
        <w:pStyle w:val="ListParagraph"/>
        <w:numPr>
          <w:ilvl w:val="0"/>
          <w:numId w:val="62"/>
        </w:numPr>
        <w:tabs>
          <w:tab w:pos="960" w:val="left" w:leader="none"/>
        </w:tabs>
        <w:spacing w:line="364" w:lineRule="auto" w:before="1" w:after="0"/>
        <w:ind w:left="120" w:right="458" w:firstLine="420"/>
        <w:jc w:val="left"/>
        <w:rPr>
          <w:sz w:val="24"/>
        </w:rPr>
      </w:pPr>
      <w:r>
        <w:rPr>
          <w:sz w:val="24"/>
        </w:rPr>
        <w:t>根据法律法规和基金合同之规定销售基金份额，收取申购费、基金赎回手续费及其它法律法规规定的费用；</w:t>
      </w:r>
    </w:p>
    <w:p>
      <w:pPr>
        <w:pStyle w:val="ListParagraph"/>
        <w:numPr>
          <w:ilvl w:val="0"/>
          <w:numId w:val="62"/>
        </w:numPr>
        <w:tabs>
          <w:tab w:pos="960" w:val="left" w:leader="none"/>
        </w:tabs>
        <w:spacing w:line="364" w:lineRule="auto" w:before="1" w:after="0"/>
        <w:ind w:left="120" w:right="458" w:firstLine="420"/>
        <w:jc w:val="both"/>
        <w:rPr>
          <w:sz w:val="24"/>
        </w:rPr>
      </w:pPr>
      <w:r>
        <w:rPr>
          <w:sz w:val="24"/>
        </w:rPr>
        <w:t>依据法律法规和基金合同的规定监督基金托管人，如认为基金托管人违</w:t>
      </w:r>
      <w:r>
        <w:rPr>
          <w:spacing w:val="-6"/>
          <w:sz w:val="24"/>
        </w:rPr>
        <w:t>反了法律法规或基金合同规定对基金财产、其它基金合同当事人的利益造成重大</w:t>
      </w:r>
      <w:r>
        <w:rPr>
          <w:spacing w:val="-11"/>
          <w:sz w:val="24"/>
        </w:rPr>
        <w:t>损失的，应及时呈报中国证监会，以及采取其它必要措施以保护本基金及相关基</w:t>
      </w:r>
      <w:r>
        <w:rPr>
          <w:sz w:val="24"/>
        </w:rPr>
        <w:t>金合同当事人的利益；</w:t>
      </w:r>
    </w:p>
    <w:p>
      <w:pPr>
        <w:pStyle w:val="ListParagraph"/>
        <w:numPr>
          <w:ilvl w:val="0"/>
          <w:numId w:val="62"/>
        </w:numPr>
        <w:tabs>
          <w:tab w:pos="960" w:val="left" w:leader="none"/>
        </w:tabs>
        <w:spacing w:line="364" w:lineRule="auto" w:before="3" w:after="0"/>
        <w:ind w:left="120" w:right="458" w:firstLine="420"/>
        <w:jc w:val="left"/>
        <w:rPr>
          <w:sz w:val="24"/>
        </w:rPr>
      </w:pPr>
      <w:r>
        <w:rPr>
          <w:sz w:val="24"/>
        </w:rPr>
        <w:t>根据基金合同的规定选择适当的基金代销机构并有权依照代销协议对基金代销机构行为进行必要的监督和检查；</w:t>
      </w:r>
    </w:p>
    <w:p>
      <w:pPr>
        <w:pStyle w:val="ListParagraph"/>
        <w:numPr>
          <w:ilvl w:val="0"/>
          <w:numId w:val="62"/>
        </w:numPr>
        <w:tabs>
          <w:tab w:pos="960" w:val="left" w:leader="none"/>
        </w:tabs>
        <w:spacing w:line="364" w:lineRule="auto" w:before="1" w:after="0"/>
        <w:ind w:left="120" w:right="458" w:firstLine="420"/>
        <w:jc w:val="both"/>
        <w:rPr>
          <w:sz w:val="24"/>
        </w:rPr>
      </w:pPr>
      <w:r>
        <w:rPr>
          <w:sz w:val="24"/>
        </w:rPr>
        <w:t>自行担任基金注册登记人或选择、更换基金注册登记代理机构，办理基</w:t>
      </w:r>
      <w:r>
        <w:rPr>
          <w:spacing w:val="-11"/>
          <w:sz w:val="24"/>
        </w:rPr>
        <w:t>金注册登记业务，并按照基金合同规定对基金注册登记代理机构进行必要的监督</w:t>
      </w:r>
      <w:r>
        <w:rPr>
          <w:sz w:val="24"/>
        </w:rPr>
        <w:t>和检查；</w:t>
      </w:r>
    </w:p>
    <w:p>
      <w:pPr>
        <w:pStyle w:val="ListParagraph"/>
        <w:numPr>
          <w:ilvl w:val="0"/>
          <w:numId w:val="62"/>
        </w:numPr>
        <w:tabs>
          <w:tab w:pos="1113" w:val="left" w:leader="none"/>
        </w:tabs>
        <w:spacing w:line="240" w:lineRule="auto" w:before="2" w:after="0"/>
        <w:ind w:left="1112" w:right="0" w:hanging="573"/>
        <w:jc w:val="both"/>
        <w:rPr>
          <w:sz w:val="24"/>
        </w:rPr>
      </w:pPr>
      <w:r>
        <w:rPr>
          <w:sz w:val="24"/>
        </w:rPr>
        <w:t>在基金合同约定的范围内，拒绝或暂停受理申购和赎回的申请；</w:t>
      </w:r>
    </w:p>
    <w:p>
      <w:pPr>
        <w:pStyle w:val="ListParagraph"/>
        <w:numPr>
          <w:ilvl w:val="0"/>
          <w:numId w:val="62"/>
        </w:numPr>
        <w:tabs>
          <w:tab w:pos="1113" w:val="left" w:leader="none"/>
        </w:tabs>
        <w:spacing w:line="364" w:lineRule="auto" w:before="160" w:after="0"/>
        <w:ind w:left="120" w:right="458" w:firstLine="420"/>
        <w:jc w:val="both"/>
        <w:rPr>
          <w:sz w:val="24"/>
        </w:rPr>
      </w:pPr>
      <w:r>
        <w:rPr>
          <w:spacing w:val="2"/>
          <w:sz w:val="24"/>
        </w:rPr>
        <w:t>在法律法规允许的前提下，为基金份额持有人的利益依法为基金进行融资融券；</w:t>
      </w:r>
    </w:p>
    <w:p>
      <w:pPr>
        <w:spacing w:after="0" w:line="364" w:lineRule="auto"/>
        <w:jc w:val="both"/>
        <w:rPr>
          <w:sz w:val="24"/>
        </w:rPr>
        <w:sectPr>
          <w:pgSz w:w="11910" w:h="16840"/>
          <w:pgMar w:header="0" w:footer="990" w:top="1460" w:bottom="1180" w:left="1680" w:right="1340"/>
        </w:sectPr>
      </w:pPr>
    </w:p>
    <w:p>
      <w:pPr>
        <w:pStyle w:val="ListParagraph"/>
        <w:numPr>
          <w:ilvl w:val="0"/>
          <w:numId w:val="62"/>
        </w:numPr>
        <w:tabs>
          <w:tab w:pos="1113" w:val="left" w:leader="none"/>
        </w:tabs>
        <w:spacing w:line="240" w:lineRule="auto" w:before="44" w:after="0"/>
        <w:ind w:left="1112" w:right="0" w:hanging="573"/>
        <w:jc w:val="left"/>
        <w:rPr>
          <w:sz w:val="24"/>
        </w:rPr>
      </w:pPr>
      <w:r>
        <w:rPr>
          <w:sz w:val="24"/>
        </w:rPr>
        <w:t>依据法律法规和基金合同的规定，制订基金收益的分配方案；</w:t>
      </w:r>
    </w:p>
    <w:p>
      <w:pPr>
        <w:pStyle w:val="ListParagraph"/>
        <w:numPr>
          <w:ilvl w:val="0"/>
          <w:numId w:val="62"/>
        </w:numPr>
        <w:tabs>
          <w:tab w:pos="1113" w:val="left" w:leader="none"/>
        </w:tabs>
        <w:spacing w:line="364" w:lineRule="auto" w:before="160" w:after="0"/>
        <w:ind w:left="120" w:right="458" w:firstLine="420"/>
        <w:jc w:val="left"/>
        <w:rPr>
          <w:sz w:val="24"/>
        </w:rPr>
      </w:pPr>
      <w:r>
        <w:rPr>
          <w:spacing w:val="2"/>
          <w:sz w:val="24"/>
        </w:rPr>
        <w:t>按照法律法规，代表基金对被投资企业行使股东权利，代表基金行使因投资于其它证券所产生的权利；</w:t>
      </w:r>
    </w:p>
    <w:p>
      <w:pPr>
        <w:pStyle w:val="ListParagraph"/>
        <w:numPr>
          <w:ilvl w:val="0"/>
          <w:numId w:val="62"/>
        </w:numPr>
        <w:tabs>
          <w:tab w:pos="1113" w:val="left" w:leader="none"/>
        </w:tabs>
        <w:spacing w:line="240" w:lineRule="auto" w:before="2" w:after="0"/>
        <w:ind w:left="1112" w:right="0" w:hanging="573"/>
        <w:jc w:val="left"/>
        <w:rPr>
          <w:sz w:val="24"/>
        </w:rPr>
      </w:pPr>
      <w:r>
        <w:rPr>
          <w:sz w:val="24"/>
        </w:rPr>
        <w:t>在基金托管人职责终止时，提名新的基金托管人；</w:t>
      </w:r>
    </w:p>
    <w:p>
      <w:pPr>
        <w:pStyle w:val="ListParagraph"/>
        <w:numPr>
          <w:ilvl w:val="0"/>
          <w:numId w:val="62"/>
        </w:numPr>
        <w:tabs>
          <w:tab w:pos="1113" w:val="left" w:leader="none"/>
        </w:tabs>
        <w:spacing w:line="240" w:lineRule="auto" w:before="160" w:after="0"/>
        <w:ind w:left="1112" w:right="0" w:hanging="573"/>
        <w:jc w:val="left"/>
        <w:rPr>
          <w:sz w:val="24"/>
        </w:rPr>
      </w:pPr>
      <w:r>
        <w:rPr>
          <w:sz w:val="24"/>
        </w:rPr>
        <w:t>依据法律法规和基金合同的规定，召集基金份额持有人大会；</w:t>
      </w:r>
    </w:p>
    <w:p>
      <w:pPr>
        <w:pStyle w:val="ListParagraph"/>
        <w:numPr>
          <w:ilvl w:val="0"/>
          <w:numId w:val="62"/>
        </w:numPr>
        <w:tabs>
          <w:tab w:pos="1113" w:val="left" w:leader="none"/>
        </w:tabs>
        <w:spacing w:line="364" w:lineRule="auto" w:before="161" w:after="0"/>
        <w:ind w:left="120" w:right="458" w:firstLine="420"/>
        <w:jc w:val="left"/>
        <w:rPr>
          <w:sz w:val="24"/>
        </w:rPr>
      </w:pPr>
      <w:r>
        <w:rPr>
          <w:spacing w:val="2"/>
          <w:sz w:val="24"/>
        </w:rPr>
        <w:t>以基金管理人名义，代表基金份额持有人利益行使诉讼权利或者实施其他法律行为；</w:t>
      </w:r>
    </w:p>
    <w:p>
      <w:pPr>
        <w:pStyle w:val="ListParagraph"/>
        <w:numPr>
          <w:ilvl w:val="0"/>
          <w:numId w:val="62"/>
        </w:numPr>
        <w:tabs>
          <w:tab w:pos="1113" w:val="left" w:leader="none"/>
        </w:tabs>
        <w:spacing w:line="364" w:lineRule="auto" w:before="1" w:after="0"/>
        <w:ind w:left="120" w:right="458" w:firstLine="420"/>
        <w:jc w:val="left"/>
        <w:rPr>
          <w:sz w:val="24"/>
        </w:rPr>
      </w:pPr>
      <w:r>
        <w:rPr>
          <w:spacing w:val="2"/>
          <w:sz w:val="24"/>
        </w:rPr>
        <w:t>选择、更换律师、审计师、证券经纪商或其他为基金提供服务的外部机构并确定有关费率；</w:t>
      </w:r>
    </w:p>
    <w:p>
      <w:pPr>
        <w:pStyle w:val="ListParagraph"/>
        <w:numPr>
          <w:ilvl w:val="0"/>
          <w:numId w:val="62"/>
        </w:numPr>
        <w:tabs>
          <w:tab w:pos="1113" w:val="left" w:leader="none"/>
        </w:tabs>
        <w:spacing w:line="364" w:lineRule="auto" w:before="1" w:after="0"/>
        <w:ind w:left="120" w:right="458" w:firstLine="420"/>
        <w:jc w:val="left"/>
        <w:rPr>
          <w:sz w:val="24"/>
        </w:rPr>
      </w:pPr>
      <w:r>
        <w:rPr>
          <w:spacing w:val="2"/>
          <w:sz w:val="24"/>
        </w:rPr>
        <w:t>法律法规、中国证监会、基金合同以及依据基金合同制订的其它法律文件所规定的其它权利。</w:t>
      </w:r>
    </w:p>
    <w:p>
      <w:pPr>
        <w:pStyle w:val="BodyText"/>
        <w:ind w:left="600"/>
      </w:pPr>
      <w:r>
        <w:rPr/>
        <w:t>2、基金管理人的义务：</w:t>
      </w:r>
    </w:p>
    <w:p>
      <w:pPr>
        <w:pStyle w:val="ListParagraph"/>
        <w:numPr>
          <w:ilvl w:val="0"/>
          <w:numId w:val="63"/>
        </w:numPr>
        <w:tabs>
          <w:tab w:pos="960" w:val="left" w:leader="none"/>
        </w:tabs>
        <w:spacing w:line="364" w:lineRule="auto" w:before="161" w:after="0"/>
        <w:ind w:left="120" w:right="458" w:firstLine="420"/>
        <w:jc w:val="left"/>
        <w:rPr>
          <w:sz w:val="24"/>
        </w:rPr>
      </w:pPr>
      <w:r>
        <w:rPr>
          <w:sz w:val="24"/>
        </w:rPr>
        <w:t>依法募集基金，办理或者委托经中国证监会认定的其他机构代为办理基金份额的申购、赎回和登记事宜；</w:t>
      </w:r>
    </w:p>
    <w:p>
      <w:pPr>
        <w:pStyle w:val="ListParagraph"/>
        <w:numPr>
          <w:ilvl w:val="0"/>
          <w:numId w:val="63"/>
        </w:numPr>
        <w:tabs>
          <w:tab w:pos="960" w:val="left" w:leader="none"/>
        </w:tabs>
        <w:spacing w:line="240" w:lineRule="auto" w:before="1" w:after="0"/>
        <w:ind w:left="960" w:right="0" w:hanging="420"/>
        <w:jc w:val="left"/>
        <w:rPr>
          <w:sz w:val="24"/>
        </w:rPr>
      </w:pPr>
      <w:r>
        <w:rPr>
          <w:sz w:val="24"/>
        </w:rPr>
        <w:t>办理基金转型手续；</w:t>
      </w:r>
    </w:p>
    <w:p>
      <w:pPr>
        <w:pStyle w:val="ListParagraph"/>
        <w:numPr>
          <w:ilvl w:val="0"/>
          <w:numId w:val="63"/>
        </w:numPr>
        <w:tabs>
          <w:tab w:pos="960" w:val="left" w:leader="none"/>
        </w:tabs>
        <w:spacing w:line="364" w:lineRule="auto" w:before="160" w:after="0"/>
        <w:ind w:left="120" w:right="458" w:firstLine="420"/>
        <w:jc w:val="left"/>
        <w:rPr>
          <w:sz w:val="24"/>
        </w:rPr>
      </w:pPr>
      <w:r>
        <w:rPr>
          <w:sz w:val="24"/>
        </w:rPr>
        <w:t>自基金合同生效之日起，以诚实信用、勤勉尽责的原则管理和运用基金财产；</w:t>
      </w:r>
    </w:p>
    <w:p>
      <w:pPr>
        <w:pStyle w:val="ListParagraph"/>
        <w:numPr>
          <w:ilvl w:val="0"/>
          <w:numId w:val="63"/>
        </w:numPr>
        <w:tabs>
          <w:tab w:pos="960" w:val="left" w:leader="none"/>
        </w:tabs>
        <w:spacing w:line="364" w:lineRule="auto" w:before="2" w:after="0"/>
        <w:ind w:left="120" w:right="458" w:firstLine="420"/>
        <w:jc w:val="left"/>
        <w:rPr>
          <w:sz w:val="24"/>
        </w:rPr>
      </w:pPr>
      <w:r>
        <w:rPr>
          <w:sz w:val="24"/>
        </w:rPr>
        <w:t>配备足够的具有专业资格的人员进行基金投资分析、决策，以专业化的经营方式管理和运作基金财产；</w:t>
      </w:r>
    </w:p>
    <w:p>
      <w:pPr>
        <w:pStyle w:val="ListParagraph"/>
        <w:numPr>
          <w:ilvl w:val="0"/>
          <w:numId w:val="63"/>
        </w:numPr>
        <w:tabs>
          <w:tab w:pos="960" w:val="left" w:leader="none"/>
        </w:tabs>
        <w:spacing w:line="240" w:lineRule="auto" w:before="1" w:after="0"/>
        <w:ind w:left="960" w:right="0" w:hanging="420"/>
        <w:jc w:val="left"/>
        <w:rPr>
          <w:sz w:val="24"/>
        </w:rPr>
      </w:pPr>
      <w:r>
        <w:rPr>
          <w:sz w:val="24"/>
        </w:rPr>
        <w:t>配备足够的专业人员办理基金份额的申购和赎回业务；</w:t>
      </w:r>
    </w:p>
    <w:p>
      <w:pPr>
        <w:pStyle w:val="ListParagraph"/>
        <w:numPr>
          <w:ilvl w:val="0"/>
          <w:numId w:val="63"/>
        </w:numPr>
        <w:tabs>
          <w:tab w:pos="960" w:val="left" w:leader="none"/>
        </w:tabs>
        <w:spacing w:line="364" w:lineRule="auto" w:before="160" w:after="0"/>
        <w:ind w:left="120" w:right="458" w:firstLine="420"/>
        <w:jc w:val="left"/>
        <w:rPr>
          <w:sz w:val="24"/>
        </w:rPr>
      </w:pPr>
      <w:r>
        <w:rPr>
          <w:sz w:val="24"/>
        </w:rPr>
        <w:t>配备足够的专业人员和相应的技术设施进行基金的注册登记或委托其他机构代理该项业务；</w:t>
      </w:r>
    </w:p>
    <w:p>
      <w:pPr>
        <w:pStyle w:val="ListParagraph"/>
        <w:numPr>
          <w:ilvl w:val="0"/>
          <w:numId w:val="63"/>
        </w:numPr>
        <w:tabs>
          <w:tab w:pos="960" w:val="left" w:leader="none"/>
        </w:tabs>
        <w:spacing w:line="364" w:lineRule="auto" w:before="1" w:after="0"/>
        <w:ind w:left="120" w:right="458" w:firstLine="420"/>
        <w:jc w:val="both"/>
        <w:rPr>
          <w:sz w:val="24"/>
        </w:rPr>
      </w:pPr>
      <w:r>
        <w:rPr>
          <w:sz w:val="24"/>
        </w:rPr>
        <w:t>建立健全内部风险控制、监察与稽核、财务管理及人事管理等制度，保</w:t>
      </w:r>
      <w:r>
        <w:rPr>
          <w:spacing w:val="-6"/>
          <w:sz w:val="24"/>
        </w:rPr>
        <w:t>证所管理的基金财产和基金管理人的资产相互独立，对所管理的不同基金分别管</w:t>
      </w:r>
      <w:r>
        <w:rPr>
          <w:sz w:val="24"/>
        </w:rPr>
        <w:t>理、分别记账，进行证券投资；</w:t>
      </w:r>
    </w:p>
    <w:p>
      <w:pPr>
        <w:pStyle w:val="ListParagraph"/>
        <w:numPr>
          <w:ilvl w:val="0"/>
          <w:numId w:val="63"/>
        </w:numPr>
        <w:tabs>
          <w:tab w:pos="960" w:val="left" w:leader="none"/>
        </w:tabs>
        <w:spacing w:line="364" w:lineRule="auto" w:before="2" w:after="0"/>
        <w:ind w:left="120" w:right="458" w:firstLine="420"/>
        <w:jc w:val="left"/>
        <w:rPr>
          <w:sz w:val="24"/>
        </w:rPr>
      </w:pPr>
      <w:r>
        <w:rPr>
          <w:spacing w:val="-16"/>
          <w:sz w:val="24"/>
        </w:rPr>
        <w:t>除依据《基金法》、基金合同及其他有关规定外，不得以基金财产为自己</w:t>
      </w:r>
      <w:r>
        <w:rPr>
          <w:sz w:val="24"/>
        </w:rPr>
        <w:t>及任何第三人谋取非法利益，不得委托第三人运作基金财产；</w:t>
      </w:r>
    </w:p>
    <w:p>
      <w:pPr>
        <w:pStyle w:val="ListParagraph"/>
        <w:numPr>
          <w:ilvl w:val="0"/>
          <w:numId w:val="63"/>
        </w:numPr>
        <w:tabs>
          <w:tab w:pos="960" w:val="left" w:leader="none"/>
        </w:tabs>
        <w:spacing w:line="240" w:lineRule="auto" w:before="1" w:after="0"/>
        <w:ind w:left="960" w:right="0" w:hanging="420"/>
        <w:jc w:val="left"/>
        <w:rPr>
          <w:sz w:val="24"/>
        </w:rPr>
      </w:pPr>
      <w:r>
        <w:rPr>
          <w:sz w:val="24"/>
        </w:rPr>
        <w:t>接受基金托管人依法进行的监督；</w:t>
      </w:r>
    </w:p>
    <w:p>
      <w:pPr>
        <w:pStyle w:val="ListParagraph"/>
        <w:numPr>
          <w:ilvl w:val="0"/>
          <w:numId w:val="63"/>
        </w:numPr>
        <w:tabs>
          <w:tab w:pos="1379" w:val="left" w:leader="none"/>
          <w:tab w:pos="1380" w:val="left" w:leader="none"/>
        </w:tabs>
        <w:spacing w:line="240" w:lineRule="auto" w:before="161" w:after="0"/>
        <w:ind w:left="1380" w:right="0" w:hanging="840"/>
        <w:jc w:val="left"/>
        <w:rPr>
          <w:sz w:val="24"/>
        </w:rPr>
      </w:pPr>
      <w:r>
        <w:rPr>
          <w:sz w:val="24"/>
        </w:rPr>
        <w:t>采取适当合理的措施使计算基金份额申购、赎回价格的方法符合基</w:t>
      </w:r>
    </w:p>
    <w:p>
      <w:pPr>
        <w:spacing w:after="0" w:line="240" w:lineRule="auto"/>
        <w:jc w:val="left"/>
        <w:rPr>
          <w:sz w:val="24"/>
        </w:rPr>
        <w:sectPr>
          <w:pgSz w:w="11910" w:h="16840"/>
          <w:pgMar w:header="0" w:footer="990" w:top="1460" w:bottom="1180" w:left="1680" w:right="1340"/>
        </w:sectPr>
      </w:pPr>
    </w:p>
    <w:p>
      <w:pPr>
        <w:pStyle w:val="BodyText"/>
        <w:spacing w:line="364" w:lineRule="auto" w:before="44"/>
        <w:ind w:left="960" w:right="458"/>
      </w:pPr>
      <w:r>
        <w:rPr/>
        <w:t>金合同等法律文件的规定，按照有关规定计算并公告基金净值信息，确定基金份额申购、赎回的价格；</w:t>
      </w:r>
    </w:p>
    <w:p>
      <w:pPr>
        <w:pStyle w:val="ListParagraph"/>
        <w:numPr>
          <w:ilvl w:val="0"/>
          <w:numId w:val="63"/>
        </w:numPr>
        <w:tabs>
          <w:tab w:pos="1113" w:val="left" w:leader="none"/>
        </w:tabs>
        <w:spacing w:line="364" w:lineRule="auto" w:before="1" w:after="0"/>
        <w:ind w:left="120" w:right="458" w:firstLine="420"/>
        <w:jc w:val="left"/>
        <w:rPr>
          <w:sz w:val="24"/>
        </w:rPr>
      </w:pPr>
      <w:r>
        <w:rPr>
          <w:spacing w:val="-13"/>
          <w:sz w:val="24"/>
        </w:rPr>
        <w:t>严格按照《基金法》、基金合同及其他有关规定，履行信息披露及报告</w:t>
      </w:r>
      <w:r>
        <w:rPr>
          <w:sz w:val="24"/>
        </w:rPr>
        <w:t>义务；</w:t>
      </w:r>
    </w:p>
    <w:p>
      <w:pPr>
        <w:pStyle w:val="ListParagraph"/>
        <w:numPr>
          <w:ilvl w:val="0"/>
          <w:numId w:val="63"/>
        </w:numPr>
        <w:tabs>
          <w:tab w:pos="1113" w:val="left" w:leader="none"/>
        </w:tabs>
        <w:spacing w:line="364" w:lineRule="auto" w:before="1" w:after="0"/>
        <w:ind w:left="120" w:right="98" w:firstLine="420"/>
        <w:jc w:val="left"/>
        <w:rPr>
          <w:sz w:val="24"/>
        </w:rPr>
      </w:pPr>
      <w:r>
        <w:rPr>
          <w:spacing w:val="-5"/>
          <w:sz w:val="24"/>
        </w:rPr>
        <w:t>保守基金商业秘密，不泄露基金投资计划、投资意向等。除《基金法》、</w:t>
      </w:r>
      <w:r>
        <w:rPr>
          <w:spacing w:val="-9"/>
          <w:sz w:val="24"/>
        </w:rPr>
        <w:t>基金合同及其他有关规定另有规定外，在基金信息公开披露前，应予以保密，不</w:t>
      </w:r>
    </w:p>
    <w:p>
      <w:pPr>
        <w:pStyle w:val="BodyText"/>
      </w:pPr>
      <w:r>
        <w:rPr/>
        <w:t>得向他人泄露；</w:t>
      </w:r>
    </w:p>
    <w:p>
      <w:pPr>
        <w:pStyle w:val="ListParagraph"/>
        <w:numPr>
          <w:ilvl w:val="0"/>
          <w:numId w:val="63"/>
        </w:numPr>
        <w:tabs>
          <w:tab w:pos="1113" w:val="left" w:leader="none"/>
        </w:tabs>
        <w:spacing w:line="364" w:lineRule="auto" w:before="161" w:after="0"/>
        <w:ind w:left="120" w:right="458" w:firstLine="420"/>
        <w:jc w:val="left"/>
        <w:rPr>
          <w:sz w:val="24"/>
        </w:rPr>
      </w:pPr>
      <w:r>
        <w:rPr>
          <w:spacing w:val="2"/>
          <w:sz w:val="24"/>
        </w:rPr>
        <w:t>按基金合同确定基金收益分配方案，及时向基金份额持有人分配基金收益；</w:t>
      </w:r>
    </w:p>
    <w:p>
      <w:pPr>
        <w:pStyle w:val="ListParagraph"/>
        <w:numPr>
          <w:ilvl w:val="0"/>
          <w:numId w:val="63"/>
        </w:numPr>
        <w:tabs>
          <w:tab w:pos="1113" w:val="left" w:leader="none"/>
        </w:tabs>
        <w:spacing w:line="364" w:lineRule="auto" w:before="1" w:after="0"/>
        <w:ind w:left="120" w:right="458" w:firstLine="420"/>
        <w:jc w:val="left"/>
        <w:rPr>
          <w:sz w:val="24"/>
        </w:rPr>
      </w:pPr>
      <w:r>
        <w:rPr>
          <w:spacing w:val="2"/>
          <w:sz w:val="24"/>
        </w:rPr>
        <w:t>按照法律法规和本基金合同的规定受理申购和赎回等申请，及时、足额支付赎回和分红款项；</w:t>
      </w:r>
    </w:p>
    <w:p>
      <w:pPr>
        <w:pStyle w:val="ListParagraph"/>
        <w:numPr>
          <w:ilvl w:val="0"/>
          <w:numId w:val="63"/>
        </w:numPr>
        <w:tabs>
          <w:tab w:pos="1113" w:val="left" w:leader="none"/>
        </w:tabs>
        <w:spacing w:line="240" w:lineRule="auto" w:before="1" w:after="0"/>
        <w:ind w:left="1112" w:right="0" w:hanging="573"/>
        <w:jc w:val="left"/>
        <w:rPr>
          <w:sz w:val="24"/>
        </w:rPr>
      </w:pPr>
      <w:r>
        <w:rPr>
          <w:sz w:val="24"/>
        </w:rPr>
        <w:t>不谋求对上市公司的控股和直接管理；</w:t>
      </w:r>
    </w:p>
    <w:p>
      <w:pPr>
        <w:pStyle w:val="ListParagraph"/>
        <w:numPr>
          <w:ilvl w:val="0"/>
          <w:numId w:val="63"/>
        </w:numPr>
        <w:tabs>
          <w:tab w:pos="1113" w:val="left" w:leader="none"/>
        </w:tabs>
        <w:spacing w:line="364" w:lineRule="auto" w:before="161" w:after="0"/>
        <w:ind w:left="120" w:right="218" w:firstLine="420"/>
        <w:jc w:val="left"/>
        <w:rPr>
          <w:sz w:val="24"/>
        </w:rPr>
      </w:pPr>
      <w:r>
        <w:rPr>
          <w:spacing w:val="-5"/>
          <w:sz w:val="24"/>
        </w:rPr>
        <w:t>依据《基金法》、基金合同及其他有关规定召集基金份额持有人大会， 或配合基金托管人、基金份额持有人依法召集基金份额持有人大会；</w:t>
      </w:r>
    </w:p>
    <w:p>
      <w:pPr>
        <w:pStyle w:val="ListParagraph"/>
        <w:numPr>
          <w:ilvl w:val="0"/>
          <w:numId w:val="63"/>
        </w:numPr>
        <w:tabs>
          <w:tab w:pos="1113" w:val="left" w:leader="none"/>
        </w:tabs>
        <w:spacing w:line="364" w:lineRule="auto" w:before="1" w:after="0"/>
        <w:ind w:left="120" w:right="458" w:firstLine="420"/>
        <w:jc w:val="left"/>
        <w:rPr>
          <w:sz w:val="24"/>
        </w:rPr>
      </w:pPr>
      <w:r>
        <w:rPr>
          <w:spacing w:val="2"/>
          <w:sz w:val="24"/>
        </w:rPr>
        <w:t>按规定保存基金财产管理业务活动的记录、账册、报表和其他相关资料；</w:t>
      </w:r>
    </w:p>
    <w:p>
      <w:pPr>
        <w:pStyle w:val="ListParagraph"/>
        <w:numPr>
          <w:ilvl w:val="0"/>
          <w:numId w:val="63"/>
        </w:numPr>
        <w:tabs>
          <w:tab w:pos="1113" w:val="left" w:leader="none"/>
        </w:tabs>
        <w:spacing w:line="240" w:lineRule="auto" w:before="1" w:after="0"/>
        <w:ind w:left="1112" w:right="0" w:hanging="573"/>
        <w:jc w:val="left"/>
        <w:rPr>
          <w:sz w:val="24"/>
        </w:rPr>
      </w:pPr>
      <w:r>
        <w:rPr>
          <w:sz w:val="24"/>
        </w:rPr>
        <w:t>进行基金会计核算并编制基金的财务会计报告；</w:t>
      </w:r>
    </w:p>
    <w:p>
      <w:pPr>
        <w:pStyle w:val="ListParagraph"/>
        <w:numPr>
          <w:ilvl w:val="0"/>
          <w:numId w:val="63"/>
        </w:numPr>
        <w:tabs>
          <w:tab w:pos="1113" w:val="left" w:leader="none"/>
        </w:tabs>
        <w:spacing w:line="240" w:lineRule="auto" w:before="161" w:after="0"/>
        <w:ind w:left="1112" w:right="0" w:hanging="573"/>
        <w:jc w:val="both"/>
        <w:rPr>
          <w:sz w:val="24"/>
        </w:rPr>
      </w:pPr>
      <w:r>
        <w:rPr>
          <w:sz w:val="24"/>
        </w:rPr>
        <w:t>编制季度报告、中期报告和年度报告；</w:t>
      </w:r>
    </w:p>
    <w:p>
      <w:pPr>
        <w:pStyle w:val="ListParagraph"/>
        <w:numPr>
          <w:ilvl w:val="0"/>
          <w:numId w:val="63"/>
        </w:numPr>
        <w:tabs>
          <w:tab w:pos="1113" w:val="left" w:leader="none"/>
        </w:tabs>
        <w:spacing w:line="364" w:lineRule="auto" w:before="160" w:after="0"/>
        <w:ind w:left="120" w:right="458" w:firstLine="420"/>
        <w:jc w:val="both"/>
        <w:rPr>
          <w:sz w:val="24"/>
        </w:rPr>
      </w:pPr>
      <w:r>
        <w:rPr>
          <w:spacing w:val="2"/>
          <w:sz w:val="24"/>
        </w:rPr>
        <w:t>确保需要向基金份额持有人提供的各项文件或资料，能在规定时间内</w:t>
      </w:r>
      <w:r>
        <w:rPr>
          <w:spacing w:val="-12"/>
          <w:sz w:val="24"/>
        </w:rPr>
        <w:t>发出；保证投资人能够按照基金合同约定的时间和方式，随时查阅到与基金有关</w:t>
      </w:r>
      <w:r>
        <w:rPr>
          <w:sz w:val="24"/>
        </w:rPr>
        <w:t>的公开资料，并得到有关资料的复印件；</w:t>
      </w:r>
    </w:p>
    <w:p>
      <w:pPr>
        <w:pStyle w:val="ListParagraph"/>
        <w:numPr>
          <w:ilvl w:val="0"/>
          <w:numId w:val="63"/>
        </w:numPr>
        <w:tabs>
          <w:tab w:pos="1113" w:val="left" w:leader="none"/>
        </w:tabs>
        <w:spacing w:line="364" w:lineRule="auto" w:before="2" w:after="0"/>
        <w:ind w:left="120" w:right="458" w:firstLine="420"/>
        <w:jc w:val="both"/>
        <w:rPr>
          <w:sz w:val="24"/>
        </w:rPr>
      </w:pPr>
      <w:r>
        <w:rPr>
          <w:spacing w:val="2"/>
          <w:sz w:val="24"/>
        </w:rPr>
        <w:t>组织并参加基金财产清算组，参与基金财产的保管、清理、估价、变现和分配；</w:t>
      </w:r>
    </w:p>
    <w:p>
      <w:pPr>
        <w:pStyle w:val="ListParagraph"/>
        <w:numPr>
          <w:ilvl w:val="0"/>
          <w:numId w:val="63"/>
        </w:numPr>
        <w:tabs>
          <w:tab w:pos="1113" w:val="left" w:leader="none"/>
        </w:tabs>
        <w:spacing w:line="364" w:lineRule="auto" w:before="1" w:after="0"/>
        <w:ind w:left="120" w:right="458" w:firstLine="420"/>
        <w:jc w:val="both"/>
        <w:rPr>
          <w:sz w:val="24"/>
        </w:rPr>
      </w:pPr>
      <w:r>
        <w:rPr>
          <w:spacing w:val="2"/>
          <w:sz w:val="24"/>
        </w:rPr>
        <w:t>面临解散、依法被撤销、破产或者由接管人接管其资产时，及时报告中国证监会并通知基金托管人；</w:t>
      </w:r>
    </w:p>
    <w:p>
      <w:pPr>
        <w:pStyle w:val="ListParagraph"/>
        <w:numPr>
          <w:ilvl w:val="0"/>
          <w:numId w:val="63"/>
        </w:numPr>
        <w:tabs>
          <w:tab w:pos="1113" w:val="left" w:leader="none"/>
        </w:tabs>
        <w:spacing w:line="364" w:lineRule="auto" w:before="1" w:after="0"/>
        <w:ind w:left="120" w:right="458" w:firstLine="420"/>
        <w:jc w:val="both"/>
        <w:rPr>
          <w:sz w:val="24"/>
        </w:rPr>
      </w:pPr>
      <w:r>
        <w:rPr>
          <w:spacing w:val="2"/>
          <w:sz w:val="24"/>
        </w:rPr>
        <w:t>因违反基金合同导致基金财产的损失或损害基金份额持有人的合法权益，应承担赔偿责任，其赔偿责任不因其退任而免除；</w:t>
      </w:r>
    </w:p>
    <w:p>
      <w:pPr>
        <w:pStyle w:val="ListParagraph"/>
        <w:numPr>
          <w:ilvl w:val="0"/>
          <w:numId w:val="63"/>
        </w:numPr>
        <w:tabs>
          <w:tab w:pos="1113" w:val="left" w:leader="none"/>
        </w:tabs>
        <w:spacing w:line="364" w:lineRule="auto" w:before="2" w:after="0"/>
        <w:ind w:left="120" w:right="458" w:firstLine="420"/>
        <w:jc w:val="both"/>
        <w:rPr>
          <w:sz w:val="24"/>
        </w:rPr>
      </w:pPr>
      <w:r>
        <w:rPr>
          <w:spacing w:val="2"/>
          <w:sz w:val="24"/>
        </w:rPr>
        <w:t>基金托管人违反基金合同造成基金财产损失时，应为基金份额持有人利益向基金托管人追偿；</w:t>
      </w:r>
    </w:p>
    <w:p>
      <w:pPr>
        <w:spacing w:after="0" w:line="364" w:lineRule="auto"/>
        <w:jc w:val="both"/>
        <w:rPr>
          <w:sz w:val="24"/>
        </w:rPr>
        <w:sectPr>
          <w:pgSz w:w="11910" w:h="16840"/>
          <w:pgMar w:header="0" w:footer="990" w:top="1460" w:bottom="1180" w:left="1680" w:right="1340"/>
        </w:sectPr>
      </w:pPr>
    </w:p>
    <w:p>
      <w:pPr>
        <w:pStyle w:val="ListParagraph"/>
        <w:numPr>
          <w:ilvl w:val="0"/>
          <w:numId w:val="63"/>
        </w:numPr>
        <w:tabs>
          <w:tab w:pos="1113" w:val="left" w:leader="none"/>
        </w:tabs>
        <w:spacing w:line="240" w:lineRule="auto" w:before="44" w:after="0"/>
        <w:ind w:left="1112" w:right="0" w:hanging="573"/>
        <w:jc w:val="left"/>
        <w:rPr>
          <w:sz w:val="24"/>
        </w:rPr>
      </w:pPr>
      <w:r>
        <w:rPr>
          <w:sz w:val="24"/>
        </w:rPr>
        <w:t>不从事任何有损基金财产及本基金其他当事人利益的活动；</w:t>
      </w:r>
    </w:p>
    <w:p>
      <w:pPr>
        <w:pStyle w:val="ListParagraph"/>
        <w:numPr>
          <w:ilvl w:val="0"/>
          <w:numId w:val="63"/>
        </w:numPr>
        <w:tabs>
          <w:tab w:pos="1113" w:val="left" w:leader="none"/>
        </w:tabs>
        <w:spacing w:line="364" w:lineRule="auto" w:before="160" w:after="0"/>
        <w:ind w:left="120" w:right="458" w:firstLine="420"/>
        <w:jc w:val="left"/>
        <w:rPr>
          <w:sz w:val="24"/>
        </w:rPr>
      </w:pPr>
      <w:r>
        <w:rPr>
          <w:spacing w:val="2"/>
          <w:sz w:val="24"/>
        </w:rPr>
        <w:t>公平对待所管理的不同基金，防止在不同基金间进行有损本基金份额持有人的利益及资源分配；</w:t>
      </w:r>
    </w:p>
    <w:p>
      <w:pPr>
        <w:pStyle w:val="ListParagraph"/>
        <w:numPr>
          <w:ilvl w:val="0"/>
          <w:numId w:val="63"/>
        </w:numPr>
        <w:tabs>
          <w:tab w:pos="1113" w:val="left" w:leader="none"/>
        </w:tabs>
        <w:spacing w:line="364" w:lineRule="auto" w:before="2" w:after="0"/>
        <w:ind w:left="120" w:right="458" w:firstLine="420"/>
        <w:jc w:val="left"/>
        <w:rPr>
          <w:sz w:val="24"/>
        </w:rPr>
      </w:pPr>
      <w:r>
        <w:rPr>
          <w:spacing w:val="2"/>
          <w:sz w:val="24"/>
        </w:rPr>
        <w:t>以基金管理人的名义，代表基金份额持有人利益行使诉讼权利或实施其他法律行为；</w:t>
      </w:r>
    </w:p>
    <w:p>
      <w:pPr>
        <w:pStyle w:val="ListParagraph"/>
        <w:numPr>
          <w:ilvl w:val="0"/>
          <w:numId w:val="63"/>
        </w:numPr>
        <w:tabs>
          <w:tab w:pos="1113" w:val="left" w:leader="none"/>
        </w:tabs>
        <w:spacing w:line="240" w:lineRule="auto" w:before="1" w:after="0"/>
        <w:ind w:left="1112" w:right="0" w:hanging="513"/>
        <w:jc w:val="left"/>
        <w:rPr>
          <w:sz w:val="24"/>
        </w:rPr>
      </w:pPr>
      <w:r>
        <w:rPr>
          <w:sz w:val="24"/>
        </w:rPr>
        <w:t>法律法规、中国证监会及基金合同规定的其他义务。</w:t>
      </w:r>
    </w:p>
    <w:p>
      <w:pPr>
        <w:pStyle w:val="BodyText"/>
        <w:ind w:left="0"/>
        <w:rPr>
          <w:sz w:val="25"/>
        </w:rPr>
      </w:pPr>
    </w:p>
    <w:p>
      <w:pPr>
        <w:pStyle w:val="BodyText"/>
      </w:pPr>
      <w:r>
        <w:rPr/>
        <w:t>（三）基金托管人的权利与义务</w:t>
      </w:r>
    </w:p>
    <w:p>
      <w:pPr>
        <w:pStyle w:val="BodyText"/>
        <w:spacing w:before="0"/>
        <w:ind w:left="0"/>
      </w:pPr>
    </w:p>
    <w:p>
      <w:pPr>
        <w:pStyle w:val="BodyText"/>
        <w:spacing w:before="210"/>
        <w:ind w:left="600"/>
      </w:pPr>
      <w:r>
        <w:rPr/>
        <w:t>1、基金托管人的权利</w:t>
      </w:r>
    </w:p>
    <w:p>
      <w:pPr>
        <w:pStyle w:val="ListParagraph"/>
        <w:numPr>
          <w:ilvl w:val="0"/>
          <w:numId w:val="64"/>
        </w:numPr>
        <w:tabs>
          <w:tab w:pos="960" w:val="left" w:leader="none"/>
        </w:tabs>
        <w:spacing w:line="240" w:lineRule="auto" w:before="160" w:after="0"/>
        <w:ind w:left="960" w:right="0" w:hanging="420"/>
        <w:jc w:val="left"/>
        <w:rPr>
          <w:sz w:val="24"/>
        </w:rPr>
      </w:pPr>
      <w:r>
        <w:rPr>
          <w:sz w:val="24"/>
        </w:rPr>
        <w:t>依据法律法规和基金合同的规定保管基金财产；</w:t>
      </w:r>
    </w:p>
    <w:p>
      <w:pPr>
        <w:pStyle w:val="ListParagraph"/>
        <w:numPr>
          <w:ilvl w:val="0"/>
          <w:numId w:val="64"/>
        </w:numPr>
        <w:tabs>
          <w:tab w:pos="960" w:val="left" w:leader="none"/>
        </w:tabs>
        <w:spacing w:line="240" w:lineRule="auto" w:before="161" w:after="0"/>
        <w:ind w:left="960" w:right="0" w:hanging="420"/>
        <w:jc w:val="left"/>
        <w:rPr>
          <w:sz w:val="24"/>
        </w:rPr>
      </w:pPr>
      <w:r>
        <w:rPr>
          <w:sz w:val="24"/>
        </w:rPr>
        <w:t>依照基金合同的约定获得基金托管费；</w:t>
      </w:r>
    </w:p>
    <w:p>
      <w:pPr>
        <w:pStyle w:val="ListParagraph"/>
        <w:numPr>
          <w:ilvl w:val="0"/>
          <w:numId w:val="64"/>
        </w:numPr>
        <w:tabs>
          <w:tab w:pos="960" w:val="left" w:leader="none"/>
        </w:tabs>
        <w:spacing w:line="364" w:lineRule="auto" w:before="160" w:after="0"/>
        <w:ind w:left="120" w:right="458" w:firstLine="420"/>
        <w:jc w:val="left"/>
        <w:rPr>
          <w:sz w:val="24"/>
        </w:rPr>
      </w:pPr>
      <w:r>
        <w:rPr>
          <w:sz w:val="24"/>
        </w:rPr>
        <w:t>监督基金管理人对本基金的投资运作，如托管人发现基金管理人的投资指令违反基金合同或有关法律法规的规定的，不予执行并向中国证监会报告；</w:t>
      </w:r>
    </w:p>
    <w:p>
      <w:pPr>
        <w:pStyle w:val="ListParagraph"/>
        <w:numPr>
          <w:ilvl w:val="0"/>
          <w:numId w:val="64"/>
        </w:numPr>
        <w:tabs>
          <w:tab w:pos="960" w:val="left" w:leader="none"/>
        </w:tabs>
        <w:spacing w:line="240" w:lineRule="auto" w:before="1" w:after="0"/>
        <w:ind w:left="960" w:right="0" w:hanging="420"/>
        <w:jc w:val="left"/>
        <w:rPr>
          <w:sz w:val="24"/>
        </w:rPr>
      </w:pPr>
      <w:r>
        <w:rPr>
          <w:sz w:val="24"/>
        </w:rPr>
        <w:t>在基金管理人职责终止时，提名新的基金管理人；</w:t>
      </w:r>
    </w:p>
    <w:p>
      <w:pPr>
        <w:pStyle w:val="ListParagraph"/>
        <w:numPr>
          <w:ilvl w:val="0"/>
          <w:numId w:val="64"/>
        </w:numPr>
        <w:tabs>
          <w:tab w:pos="960" w:val="left" w:leader="none"/>
        </w:tabs>
        <w:spacing w:line="240" w:lineRule="auto" w:before="161" w:after="0"/>
        <w:ind w:left="960" w:right="0" w:hanging="420"/>
        <w:jc w:val="left"/>
        <w:rPr>
          <w:sz w:val="24"/>
        </w:rPr>
      </w:pPr>
      <w:r>
        <w:rPr>
          <w:sz w:val="24"/>
        </w:rPr>
        <w:t>依据法律法规和基金合同的规定召集基金份额持有人大会；</w:t>
      </w:r>
    </w:p>
    <w:p>
      <w:pPr>
        <w:pStyle w:val="ListParagraph"/>
        <w:numPr>
          <w:ilvl w:val="0"/>
          <w:numId w:val="64"/>
        </w:numPr>
        <w:tabs>
          <w:tab w:pos="960" w:val="left" w:leader="none"/>
        </w:tabs>
        <w:spacing w:line="364" w:lineRule="auto" w:before="160" w:after="0"/>
        <w:ind w:left="120" w:right="458" w:firstLine="420"/>
        <w:jc w:val="both"/>
        <w:rPr>
          <w:sz w:val="24"/>
        </w:rPr>
      </w:pPr>
      <w:r>
        <w:rPr>
          <w:sz w:val="24"/>
        </w:rPr>
        <w:t>依据法律法规和基金合同的规定监督基金管理人，如认为基金管理人违</w:t>
      </w:r>
      <w:r>
        <w:rPr>
          <w:spacing w:val="-6"/>
          <w:sz w:val="24"/>
        </w:rPr>
        <w:t>反了法律法规或基金合同规定对基金财产、其它基金合同当事人的利益造成重大</w:t>
      </w:r>
      <w:r>
        <w:rPr>
          <w:spacing w:val="-11"/>
          <w:sz w:val="24"/>
        </w:rPr>
        <w:t>损失的，应及时呈报中国证监会，以及采取其它必要措施以保护本基金及相关基</w:t>
      </w:r>
      <w:r>
        <w:rPr>
          <w:sz w:val="24"/>
        </w:rPr>
        <w:t>金合同当事人的利益；</w:t>
      </w:r>
    </w:p>
    <w:p>
      <w:pPr>
        <w:pStyle w:val="ListParagraph"/>
        <w:numPr>
          <w:ilvl w:val="0"/>
          <w:numId w:val="64"/>
        </w:numPr>
        <w:tabs>
          <w:tab w:pos="960" w:val="left" w:leader="none"/>
        </w:tabs>
        <w:spacing w:line="364" w:lineRule="auto" w:before="3" w:after="0"/>
        <w:ind w:left="600" w:right="2405" w:hanging="60"/>
        <w:jc w:val="left"/>
        <w:rPr>
          <w:sz w:val="24"/>
        </w:rPr>
      </w:pPr>
      <w:r>
        <w:rPr>
          <w:spacing w:val="-1"/>
          <w:sz w:val="24"/>
        </w:rPr>
        <w:t>法律法规、基金合同及中国证监会规定的其它权利。</w:t>
      </w:r>
      <w:r>
        <w:rPr>
          <w:sz w:val="24"/>
        </w:rPr>
        <w:t>2、基金托管人的义务</w:t>
      </w:r>
    </w:p>
    <w:p>
      <w:pPr>
        <w:pStyle w:val="ListParagraph"/>
        <w:numPr>
          <w:ilvl w:val="0"/>
          <w:numId w:val="65"/>
        </w:numPr>
        <w:tabs>
          <w:tab w:pos="960" w:val="left" w:leader="none"/>
        </w:tabs>
        <w:spacing w:line="240" w:lineRule="auto" w:before="1" w:after="0"/>
        <w:ind w:left="960" w:right="0" w:hanging="420"/>
        <w:jc w:val="left"/>
        <w:rPr>
          <w:sz w:val="24"/>
        </w:rPr>
      </w:pPr>
      <w:r>
        <w:rPr>
          <w:sz w:val="24"/>
        </w:rPr>
        <w:t>以诚实信用、勤勉尽责的原则安全保管基金财产；</w:t>
      </w:r>
    </w:p>
    <w:p>
      <w:pPr>
        <w:pStyle w:val="ListParagraph"/>
        <w:numPr>
          <w:ilvl w:val="0"/>
          <w:numId w:val="65"/>
        </w:numPr>
        <w:tabs>
          <w:tab w:pos="960" w:val="left" w:leader="none"/>
        </w:tabs>
        <w:spacing w:line="364" w:lineRule="auto" w:before="161" w:after="0"/>
        <w:ind w:left="120" w:right="458" w:firstLine="42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65"/>
        </w:numPr>
        <w:tabs>
          <w:tab w:pos="960" w:val="left" w:leader="none"/>
        </w:tabs>
        <w:spacing w:line="364" w:lineRule="auto" w:before="1" w:after="0"/>
        <w:ind w:left="120" w:right="458" w:firstLine="420"/>
        <w:jc w:val="both"/>
        <w:rPr>
          <w:sz w:val="24"/>
        </w:rPr>
      </w:pPr>
      <w:r>
        <w:rPr>
          <w:sz w:val="24"/>
        </w:rPr>
        <w:t>建立健全内部控制、监察与稽核、财务管理及人事管理等制度，确保基</w:t>
      </w:r>
      <w:r>
        <w:rPr>
          <w:spacing w:val="-11"/>
          <w:sz w:val="24"/>
        </w:rPr>
        <w:t>金财产的安全，保证其托管的基金财产与基金托管人自有资产以及不同的基金财</w:t>
      </w:r>
      <w:r>
        <w:rPr>
          <w:spacing w:val="-12"/>
          <w:sz w:val="24"/>
        </w:rPr>
        <w:t>产相互独立；对所托管的不同的基金分别设置账户，独立核算，分账管理，保证</w:t>
      </w:r>
      <w:r>
        <w:rPr>
          <w:sz w:val="24"/>
        </w:rPr>
        <w:t>不同基金之间在名册登记、账户设置、资金划拨、账册记录等方面相互独立；</w:t>
      </w:r>
    </w:p>
    <w:p>
      <w:pPr>
        <w:pStyle w:val="ListParagraph"/>
        <w:numPr>
          <w:ilvl w:val="0"/>
          <w:numId w:val="65"/>
        </w:numPr>
        <w:tabs>
          <w:tab w:pos="960" w:val="left" w:leader="none"/>
        </w:tabs>
        <w:spacing w:line="240" w:lineRule="auto" w:before="2" w:after="0"/>
        <w:ind w:left="960" w:right="0" w:hanging="420"/>
        <w:jc w:val="left"/>
        <w:rPr>
          <w:sz w:val="24"/>
        </w:rPr>
      </w:pPr>
      <w:r>
        <w:rPr>
          <w:spacing w:val="-16"/>
          <w:sz w:val="24"/>
        </w:rPr>
        <w:t>除依据《基金法》、本基金合同及其他有关规定外，不以基金财产为自己</w:t>
      </w:r>
    </w:p>
    <w:p>
      <w:pPr>
        <w:spacing w:after="0" w:line="240" w:lineRule="auto"/>
        <w:jc w:val="left"/>
        <w:rPr>
          <w:sz w:val="24"/>
        </w:rPr>
        <w:sectPr>
          <w:pgSz w:w="11910" w:h="16840"/>
          <w:pgMar w:header="0" w:footer="990" w:top="1460" w:bottom="1180" w:left="1680" w:right="1340"/>
        </w:sectPr>
      </w:pPr>
    </w:p>
    <w:p>
      <w:pPr>
        <w:pStyle w:val="BodyText"/>
        <w:spacing w:before="44"/>
      </w:pPr>
      <w:r>
        <w:rPr/>
        <w:t>及任何第三人谋取利益，不得委托第三人托管基金财产；</w:t>
      </w:r>
    </w:p>
    <w:p>
      <w:pPr>
        <w:pStyle w:val="ListParagraph"/>
        <w:numPr>
          <w:ilvl w:val="0"/>
          <w:numId w:val="65"/>
        </w:numPr>
        <w:tabs>
          <w:tab w:pos="960" w:val="left" w:leader="none"/>
        </w:tabs>
        <w:spacing w:line="364" w:lineRule="auto" w:before="160" w:after="0"/>
        <w:ind w:left="120" w:right="458" w:firstLine="420"/>
        <w:jc w:val="left"/>
        <w:rPr>
          <w:sz w:val="24"/>
        </w:rPr>
      </w:pPr>
      <w:r>
        <w:rPr>
          <w:sz w:val="24"/>
        </w:rPr>
        <w:t>按规定保管由基金管理人代表基金签订的与基金有关的重大合同及有关凭证；</w:t>
      </w:r>
    </w:p>
    <w:p>
      <w:pPr>
        <w:pStyle w:val="ListParagraph"/>
        <w:numPr>
          <w:ilvl w:val="0"/>
          <w:numId w:val="65"/>
        </w:numPr>
        <w:tabs>
          <w:tab w:pos="960" w:val="left" w:leader="none"/>
        </w:tabs>
        <w:spacing w:line="240" w:lineRule="auto" w:before="2" w:after="0"/>
        <w:ind w:left="960" w:right="0" w:hanging="420"/>
        <w:jc w:val="left"/>
        <w:rPr>
          <w:sz w:val="24"/>
        </w:rPr>
      </w:pPr>
      <w:r>
        <w:rPr>
          <w:sz w:val="24"/>
        </w:rPr>
        <w:t>按规定开设基金财产的资金账户和证券账户；</w:t>
      </w:r>
    </w:p>
    <w:p>
      <w:pPr>
        <w:pStyle w:val="ListParagraph"/>
        <w:numPr>
          <w:ilvl w:val="0"/>
          <w:numId w:val="65"/>
        </w:numPr>
        <w:tabs>
          <w:tab w:pos="960" w:val="left" w:leader="none"/>
        </w:tabs>
        <w:spacing w:line="364" w:lineRule="auto" w:before="160" w:after="0"/>
        <w:ind w:left="120" w:right="458" w:firstLine="420"/>
        <w:jc w:val="left"/>
        <w:rPr>
          <w:sz w:val="24"/>
        </w:rPr>
      </w:pPr>
      <w:r>
        <w:rPr>
          <w:sz w:val="24"/>
        </w:rPr>
        <w:t>按照基金合同的约定，根据基金管理人的投资指令，及时办理清算、交割事宜；</w:t>
      </w:r>
    </w:p>
    <w:p>
      <w:pPr>
        <w:pStyle w:val="ListParagraph"/>
        <w:numPr>
          <w:ilvl w:val="0"/>
          <w:numId w:val="65"/>
        </w:numPr>
        <w:tabs>
          <w:tab w:pos="960" w:val="left" w:leader="none"/>
        </w:tabs>
        <w:spacing w:line="364" w:lineRule="auto" w:before="1" w:after="0"/>
        <w:ind w:left="120" w:right="338" w:firstLine="420"/>
        <w:jc w:val="left"/>
        <w:rPr>
          <w:sz w:val="24"/>
        </w:rPr>
      </w:pPr>
      <w:r>
        <w:rPr>
          <w:spacing w:val="-20"/>
          <w:sz w:val="24"/>
        </w:rPr>
        <w:t>保守基金商业秘密。除《基金法》、基金合同及其他有关规定另有规定外， </w:t>
      </w:r>
      <w:r>
        <w:rPr>
          <w:sz w:val="24"/>
        </w:rPr>
        <w:t>在基金信息公开披露前应予以保密，不得向他人泄露；</w:t>
      </w:r>
    </w:p>
    <w:p>
      <w:pPr>
        <w:pStyle w:val="ListParagraph"/>
        <w:numPr>
          <w:ilvl w:val="0"/>
          <w:numId w:val="65"/>
        </w:numPr>
        <w:tabs>
          <w:tab w:pos="960" w:val="left" w:leader="none"/>
        </w:tabs>
        <w:spacing w:line="364" w:lineRule="auto" w:before="1" w:after="0"/>
        <w:ind w:left="120" w:right="458" w:firstLine="420"/>
        <w:jc w:val="left"/>
        <w:rPr>
          <w:sz w:val="24"/>
        </w:rPr>
      </w:pPr>
      <w:r>
        <w:rPr>
          <w:sz w:val="24"/>
        </w:rPr>
        <w:t>复核、审查基金管理人计算的基金资产净值、基金份额净值及基金份额申购、赎回价格；</w:t>
      </w:r>
    </w:p>
    <w:p>
      <w:pPr>
        <w:pStyle w:val="ListParagraph"/>
        <w:numPr>
          <w:ilvl w:val="0"/>
          <w:numId w:val="65"/>
        </w:numPr>
        <w:tabs>
          <w:tab w:pos="1113" w:val="left" w:leader="none"/>
        </w:tabs>
        <w:spacing w:line="240" w:lineRule="auto" w:before="2" w:after="0"/>
        <w:ind w:left="1112" w:right="0" w:hanging="573"/>
        <w:jc w:val="left"/>
        <w:rPr>
          <w:sz w:val="24"/>
        </w:rPr>
      </w:pPr>
      <w:r>
        <w:rPr>
          <w:sz w:val="24"/>
        </w:rPr>
        <w:t>办理与基金托管业务活动有关的信息披露事项；</w:t>
      </w:r>
    </w:p>
    <w:p>
      <w:pPr>
        <w:pStyle w:val="ListParagraph"/>
        <w:numPr>
          <w:ilvl w:val="0"/>
          <w:numId w:val="65"/>
        </w:numPr>
        <w:tabs>
          <w:tab w:pos="1379" w:val="left" w:leader="none"/>
          <w:tab w:pos="1380" w:val="left" w:leader="none"/>
        </w:tabs>
        <w:spacing w:line="364" w:lineRule="auto" w:before="160" w:after="0"/>
        <w:ind w:left="960" w:right="218" w:hanging="420"/>
        <w:jc w:val="left"/>
        <w:rPr>
          <w:sz w:val="24"/>
        </w:rPr>
      </w:pPr>
      <w:r>
        <w:rPr>
          <w:sz w:val="24"/>
        </w:rPr>
        <w:t>对基金财务会计报告、季度报告、中期报告和年度报告出具意见， 说明基金管理人在各重要方面的运作是否严格按照基金合同的规定进行； 如果基金管理人有未执行基金合同规定的行为，还应说明基金托管人是 否采取了适当的措施；</w:t>
      </w:r>
    </w:p>
    <w:p>
      <w:pPr>
        <w:pStyle w:val="ListParagraph"/>
        <w:numPr>
          <w:ilvl w:val="0"/>
          <w:numId w:val="65"/>
        </w:numPr>
        <w:tabs>
          <w:tab w:pos="1113" w:val="left" w:leader="none"/>
        </w:tabs>
        <w:spacing w:line="364" w:lineRule="auto" w:before="3" w:after="0"/>
        <w:ind w:left="120" w:right="458" w:firstLine="420"/>
        <w:jc w:val="left"/>
        <w:rPr>
          <w:sz w:val="24"/>
        </w:rPr>
      </w:pPr>
      <w:r>
        <w:rPr>
          <w:spacing w:val="2"/>
          <w:sz w:val="24"/>
        </w:rPr>
        <w:t>按规定保存有关基金托管业务活动的记录、账册、报表和其他相关资料；</w:t>
      </w:r>
    </w:p>
    <w:p>
      <w:pPr>
        <w:pStyle w:val="ListParagraph"/>
        <w:numPr>
          <w:ilvl w:val="0"/>
          <w:numId w:val="65"/>
        </w:numPr>
        <w:tabs>
          <w:tab w:pos="1113" w:val="left" w:leader="none"/>
        </w:tabs>
        <w:spacing w:line="240" w:lineRule="auto" w:before="1" w:after="0"/>
        <w:ind w:left="1112" w:right="0" w:hanging="573"/>
        <w:jc w:val="left"/>
        <w:rPr>
          <w:sz w:val="24"/>
        </w:rPr>
      </w:pPr>
      <w:r>
        <w:rPr>
          <w:spacing w:val="-1"/>
          <w:sz w:val="24"/>
        </w:rPr>
        <w:t>根据有关法律法规，建立并保存基金份额持有人名册；</w:t>
      </w:r>
    </w:p>
    <w:p>
      <w:pPr>
        <w:pStyle w:val="ListParagraph"/>
        <w:numPr>
          <w:ilvl w:val="0"/>
          <w:numId w:val="65"/>
        </w:numPr>
        <w:tabs>
          <w:tab w:pos="1113" w:val="left" w:leader="none"/>
        </w:tabs>
        <w:spacing w:line="240" w:lineRule="auto" w:before="160" w:after="0"/>
        <w:ind w:left="1112" w:right="0" w:hanging="573"/>
        <w:jc w:val="left"/>
        <w:rPr>
          <w:sz w:val="24"/>
        </w:rPr>
      </w:pPr>
      <w:r>
        <w:rPr>
          <w:sz w:val="24"/>
        </w:rPr>
        <w:t>按规定制作相关账册并与基金管理人核对；</w:t>
      </w:r>
    </w:p>
    <w:p>
      <w:pPr>
        <w:pStyle w:val="ListParagraph"/>
        <w:numPr>
          <w:ilvl w:val="0"/>
          <w:numId w:val="65"/>
        </w:numPr>
        <w:tabs>
          <w:tab w:pos="1113" w:val="left" w:leader="none"/>
        </w:tabs>
        <w:spacing w:line="364" w:lineRule="auto" w:before="161" w:after="0"/>
        <w:ind w:left="120" w:right="458" w:firstLine="420"/>
        <w:jc w:val="left"/>
        <w:rPr>
          <w:sz w:val="24"/>
        </w:rPr>
      </w:pPr>
      <w:r>
        <w:rPr>
          <w:spacing w:val="2"/>
          <w:sz w:val="24"/>
        </w:rPr>
        <w:t>依据基金管理人的指令或有关规定向基金份额持有人支付基金收益和赎回、基金转换转出款项；</w:t>
      </w:r>
    </w:p>
    <w:p>
      <w:pPr>
        <w:pStyle w:val="ListParagraph"/>
        <w:numPr>
          <w:ilvl w:val="0"/>
          <w:numId w:val="65"/>
        </w:numPr>
        <w:tabs>
          <w:tab w:pos="1113" w:val="left" w:leader="none"/>
        </w:tabs>
        <w:spacing w:line="364" w:lineRule="auto" w:before="1" w:after="0"/>
        <w:ind w:left="120" w:right="458" w:firstLine="420"/>
        <w:jc w:val="left"/>
        <w:rPr>
          <w:sz w:val="24"/>
        </w:rPr>
      </w:pPr>
      <w:r>
        <w:rPr>
          <w:spacing w:val="2"/>
          <w:sz w:val="24"/>
        </w:rPr>
        <w:t>按照规定召集基金份额持有人大会或配合基金份额持有人依法自行召集基金份额持有人大会；</w:t>
      </w:r>
    </w:p>
    <w:p>
      <w:pPr>
        <w:pStyle w:val="ListParagraph"/>
        <w:numPr>
          <w:ilvl w:val="0"/>
          <w:numId w:val="65"/>
        </w:numPr>
        <w:tabs>
          <w:tab w:pos="1113" w:val="left" w:leader="none"/>
        </w:tabs>
        <w:spacing w:line="240" w:lineRule="auto" w:before="1" w:after="0"/>
        <w:ind w:left="1112" w:right="0" w:hanging="573"/>
        <w:jc w:val="left"/>
        <w:rPr>
          <w:sz w:val="24"/>
        </w:rPr>
      </w:pPr>
      <w:r>
        <w:rPr>
          <w:sz w:val="24"/>
        </w:rPr>
        <w:t>按照规定监督基金管理人的投资运作；</w:t>
      </w:r>
    </w:p>
    <w:p>
      <w:pPr>
        <w:pStyle w:val="ListParagraph"/>
        <w:numPr>
          <w:ilvl w:val="0"/>
          <w:numId w:val="65"/>
        </w:numPr>
        <w:tabs>
          <w:tab w:pos="1113" w:val="left" w:leader="none"/>
        </w:tabs>
        <w:spacing w:line="364" w:lineRule="auto" w:before="161" w:after="0"/>
        <w:ind w:left="120" w:right="458" w:firstLine="420"/>
        <w:jc w:val="left"/>
        <w:rPr>
          <w:sz w:val="24"/>
        </w:rPr>
      </w:pPr>
      <w:r>
        <w:rPr>
          <w:spacing w:val="2"/>
          <w:sz w:val="24"/>
        </w:rPr>
        <w:t>参加基金财产清算组，参与基金财产的保管、清理、估价、变现和分配；</w:t>
      </w:r>
    </w:p>
    <w:p>
      <w:pPr>
        <w:pStyle w:val="ListParagraph"/>
        <w:numPr>
          <w:ilvl w:val="0"/>
          <w:numId w:val="65"/>
        </w:numPr>
        <w:tabs>
          <w:tab w:pos="1113" w:val="left" w:leader="none"/>
        </w:tabs>
        <w:spacing w:line="364" w:lineRule="auto" w:before="1" w:after="0"/>
        <w:ind w:left="120" w:right="458" w:firstLine="420"/>
        <w:jc w:val="left"/>
        <w:rPr>
          <w:sz w:val="24"/>
        </w:rPr>
      </w:pPr>
      <w:r>
        <w:rPr>
          <w:spacing w:val="2"/>
          <w:sz w:val="24"/>
        </w:rPr>
        <w:t>面临解散、依法被撤销、破产或者由接管人接管其资产时，及时报告中国证监会和中国银监会，并通知基金管理人；</w:t>
      </w:r>
    </w:p>
    <w:p>
      <w:pPr>
        <w:pStyle w:val="ListParagraph"/>
        <w:numPr>
          <w:ilvl w:val="0"/>
          <w:numId w:val="65"/>
        </w:numPr>
        <w:tabs>
          <w:tab w:pos="1113" w:val="left" w:leader="none"/>
        </w:tabs>
        <w:spacing w:line="240" w:lineRule="auto" w:before="1" w:after="0"/>
        <w:ind w:left="1112" w:right="0" w:hanging="573"/>
        <w:jc w:val="left"/>
        <w:rPr>
          <w:sz w:val="24"/>
        </w:rPr>
      </w:pPr>
      <w:r>
        <w:rPr>
          <w:spacing w:val="2"/>
          <w:sz w:val="24"/>
        </w:rPr>
        <w:t>基金管理人因违反基金合同造成基金财产损失时，基金托管人应为基</w:t>
      </w:r>
    </w:p>
    <w:p>
      <w:pPr>
        <w:spacing w:after="0" w:line="240" w:lineRule="auto"/>
        <w:jc w:val="left"/>
        <w:rPr>
          <w:sz w:val="24"/>
        </w:rPr>
        <w:sectPr>
          <w:pgSz w:w="11910" w:h="16840"/>
          <w:pgMar w:header="0" w:footer="990" w:top="1460" w:bottom="1180" w:left="1680" w:right="1340"/>
        </w:sectPr>
      </w:pPr>
    </w:p>
    <w:p>
      <w:pPr>
        <w:pStyle w:val="BodyText"/>
        <w:spacing w:before="44"/>
      </w:pPr>
      <w:r>
        <w:rPr/>
        <w:t>金向基金管理人追偿；</w:t>
      </w:r>
    </w:p>
    <w:p>
      <w:pPr>
        <w:pStyle w:val="ListParagraph"/>
        <w:numPr>
          <w:ilvl w:val="0"/>
          <w:numId w:val="65"/>
        </w:numPr>
        <w:tabs>
          <w:tab w:pos="1113" w:val="left" w:leader="none"/>
        </w:tabs>
        <w:spacing w:line="364" w:lineRule="auto" w:before="160" w:after="0"/>
        <w:ind w:left="120" w:right="458" w:firstLine="420"/>
        <w:jc w:val="left"/>
        <w:rPr>
          <w:sz w:val="24"/>
        </w:rPr>
      </w:pPr>
      <w:r>
        <w:rPr>
          <w:spacing w:val="2"/>
          <w:sz w:val="24"/>
        </w:rPr>
        <w:t>因违反基金合同导致基金财产的损失，应承担赔偿责任，其责任不因其退任而免除；</w:t>
      </w:r>
    </w:p>
    <w:p>
      <w:pPr>
        <w:pStyle w:val="ListParagraph"/>
        <w:numPr>
          <w:ilvl w:val="0"/>
          <w:numId w:val="65"/>
        </w:numPr>
        <w:tabs>
          <w:tab w:pos="1113" w:val="left" w:leader="none"/>
        </w:tabs>
        <w:spacing w:line="240" w:lineRule="auto" w:before="2" w:after="0"/>
        <w:ind w:left="1112" w:right="0" w:hanging="573"/>
        <w:jc w:val="left"/>
        <w:rPr>
          <w:sz w:val="24"/>
        </w:rPr>
      </w:pPr>
      <w:r>
        <w:rPr>
          <w:spacing w:val="-1"/>
          <w:sz w:val="24"/>
        </w:rPr>
        <w:t>不从事任何有损基金及基金合同其他当事人利益的活动；</w:t>
      </w:r>
    </w:p>
    <w:p>
      <w:pPr>
        <w:pStyle w:val="ListParagraph"/>
        <w:numPr>
          <w:ilvl w:val="0"/>
          <w:numId w:val="65"/>
        </w:numPr>
        <w:tabs>
          <w:tab w:pos="1113" w:val="left" w:leader="none"/>
        </w:tabs>
        <w:spacing w:line="240" w:lineRule="auto" w:before="160" w:after="0"/>
        <w:ind w:left="1112" w:right="0" w:hanging="573"/>
        <w:jc w:val="left"/>
        <w:rPr>
          <w:sz w:val="24"/>
        </w:rPr>
      </w:pPr>
      <w:r>
        <w:rPr>
          <w:spacing w:val="-1"/>
          <w:sz w:val="24"/>
        </w:rPr>
        <w:t>法律法规、中国证监会及本基金合同所规定的其他义务。</w:t>
      </w:r>
    </w:p>
    <w:p>
      <w:pPr>
        <w:pStyle w:val="BodyText"/>
        <w:spacing w:before="2"/>
        <w:ind w:left="0"/>
        <w:rPr>
          <w:sz w:val="25"/>
        </w:rPr>
      </w:pPr>
    </w:p>
    <w:p>
      <w:pPr>
        <w:pStyle w:val="BodyText"/>
        <w:spacing w:before="0"/>
      </w:pPr>
      <w:r>
        <w:rPr/>
        <w:t>（四）基金份额持有人的权利与义务</w:t>
      </w:r>
    </w:p>
    <w:p>
      <w:pPr>
        <w:pStyle w:val="BodyText"/>
        <w:spacing w:before="0"/>
        <w:ind w:left="0"/>
      </w:pPr>
    </w:p>
    <w:p>
      <w:pPr>
        <w:pStyle w:val="BodyText"/>
        <w:spacing w:line="364" w:lineRule="auto" w:before="210"/>
        <w:ind w:right="245" w:firstLine="480"/>
      </w:pPr>
      <w:r>
        <w:rPr>
          <w:spacing w:val="3"/>
        </w:rPr>
        <w:t>基金投资人购买或通过其他合法方式持有本基金基金份额的行为即视为对 </w:t>
      </w:r>
      <w:r>
        <w:rPr>
          <w:spacing w:val="-4"/>
        </w:rPr>
        <w:t>基金合同的承认和接受，基金投资人自依据基金合同、招募说明书取得本基金的</w:t>
      </w:r>
      <w:r>
        <w:rPr>
          <w:spacing w:val="-10"/>
        </w:rPr>
        <w:t>基金份额，即成为基金份额持有人和基金合同当事人，直至其不再持有本基金的</w:t>
      </w:r>
      <w:r>
        <w:rPr>
          <w:spacing w:val="-15"/>
        </w:rPr>
        <w:t>基金份额。基金份额持有人作为当事人并不以在基金合同上书面签章为必要条件。</w:t>
      </w:r>
      <w:r>
        <w:rPr/>
        <w:t>每份基金份额具有同等的合法权益。</w:t>
      </w:r>
    </w:p>
    <w:p>
      <w:pPr>
        <w:pStyle w:val="BodyText"/>
        <w:spacing w:before="3"/>
        <w:ind w:left="600"/>
      </w:pPr>
      <w:r>
        <w:rPr/>
        <w:t>1、基金份额持有人的权利</w:t>
      </w:r>
    </w:p>
    <w:p>
      <w:pPr>
        <w:pStyle w:val="ListParagraph"/>
        <w:numPr>
          <w:ilvl w:val="0"/>
          <w:numId w:val="66"/>
        </w:numPr>
        <w:tabs>
          <w:tab w:pos="960" w:val="left" w:leader="none"/>
        </w:tabs>
        <w:spacing w:line="240" w:lineRule="auto" w:before="161" w:after="0"/>
        <w:ind w:left="960" w:right="0" w:hanging="420"/>
        <w:jc w:val="left"/>
        <w:rPr>
          <w:sz w:val="24"/>
        </w:rPr>
      </w:pPr>
      <w:r>
        <w:rPr>
          <w:sz w:val="24"/>
        </w:rPr>
        <w:t>分享基金财产收益；</w:t>
      </w:r>
    </w:p>
    <w:p>
      <w:pPr>
        <w:pStyle w:val="ListParagraph"/>
        <w:numPr>
          <w:ilvl w:val="0"/>
          <w:numId w:val="66"/>
        </w:numPr>
        <w:tabs>
          <w:tab w:pos="960" w:val="left" w:leader="none"/>
        </w:tabs>
        <w:spacing w:line="240" w:lineRule="auto" w:before="160" w:after="0"/>
        <w:ind w:left="960" w:right="0" w:hanging="420"/>
        <w:jc w:val="left"/>
        <w:rPr>
          <w:sz w:val="24"/>
        </w:rPr>
      </w:pPr>
      <w:r>
        <w:rPr>
          <w:sz w:val="24"/>
        </w:rPr>
        <w:t>参与分配清算后的剩余基金财产；</w:t>
      </w:r>
    </w:p>
    <w:p>
      <w:pPr>
        <w:pStyle w:val="ListParagraph"/>
        <w:numPr>
          <w:ilvl w:val="0"/>
          <w:numId w:val="66"/>
        </w:numPr>
        <w:tabs>
          <w:tab w:pos="960" w:val="left" w:leader="none"/>
        </w:tabs>
        <w:spacing w:line="240" w:lineRule="auto" w:before="161" w:after="0"/>
        <w:ind w:left="960" w:right="0" w:hanging="420"/>
        <w:jc w:val="left"/>
        <w:rPr>
          <w:sz w:val="24"/>
        </w:rPr>
      </w:pPr>
      <w:r>
        <w:rPr>
          <w:sz w:val="24"/>
        </w:rPr>
        <w:t>依法申请赎回其持有的基金份额；</w:t>
      </w:r>
    </w:p>
    <w:p>
      <w:pPr>
        <w:pStyle w:val="ListParagraph"/>
        <w:numPr>
          <w:ilvl w:val="0"/>
          <w:numId w:val="66"/>
        </w:numPr>
        <w:tabs>
          <w:tab w:pos="960" w:val="left" w:leader="none"/>
        </w:tabs>
        <w:spacing w:line="240" w:lineRule="auto" w:before="160" w:after="0"/>
        <w:ind w:left="960" w:right="0" w:hanging="420"/>
        <w:jc w:val="left"/>
        <w:rPr>
          <w:sz w:val="24"/>
        </w:rPr>
      </w:pPr>
      <w:r>
        <w:rPr>
          <w:sz w:val="24"/>
        </w:rPr>
        <w:t>按照规定要求召开基金份额持有人大会；</w:t>
      </w:r>
    </w:p>
    <w:p>
      <w:pPr>
        <w:pStyle w:val="ListParagraph"/>
        <w:numPr>
          <w:ilvl w:val="0"/>
          <w:numId w:val="66"/>
        </w:numPr>
        <w:tabs>
          <w:tab w:pos="960" w:val="left" w:leader="none"/>
        </w:tabs>
        <w:spacing w:line="364" w:lineRule="auto" w:before="161" w:after="0"/>
        <w:ind w:left="120" w:right="458" w:firstLine="420"/>
        <w:jc w:val="left"/>
        <w:rPr>
          <w:sz w:val="24"/>
        </w:rPr>
      </w:pPr>
      <w:r>
        <w:rPr>
          <w:sz w:val="24"/>
        </w:rPr>
        <w:t>出席或者委派代表出席基金份额持有人大会，对基金份额持有人大会审议事项行使表决权；</w:t>
      </w:r>
    </w:p>
    <w:p>
      <w:pPr>
        <w:pStyle w:val="ListParagraph"/>
        <w:numPr>
          <w:ilvl w:val="0"/>
          <w:numId w:val="66"/>
        </w:numPr>
        <w:tabs>
          <w:tab w:pos="960" w:val="left" w:leader="none"/>
        </w:tabs>
        <w:spacing w:line="240" w:lineRule="auto" w:before="1" w:after="0"/>
        <w:ind w:left="960" w:right="0" w:hanging="420"/>
        <w:jc w:val="left"/>
        <w:rPr>
          <w:sz w:val="24"/>
        </w:rPr>
      </w:pPr>
      <w:r>
        <w:rPr>
          <w:sz w:val="24"/>
        </w:rPr>
        <w:t>查阅或者复制公开披露的基金信息资料；</w:t>
      </w:r>
    </w:p>
    <w:p>
      <w:pPr>
        <w:pStyle w:val="ListParagraph"/>
        <w:numPr>
          <w:ilvl w:val="0"/>
          <w:numId w:val="66"/>
        </w:numPr>
        <w:tabs>
          <w:tab w:pos="960" w:val="left" w:leader="none"/>
        </w:tabs>
        <w:spacing w:line="240" w:lineRule="auto" w:before="160" w:after="0"/>
        <w:ind w:left="960" w:right="0" w:hanging="420"/>
        <w:jc w:val="left"/>
        <w:rPr>
          <w:sz w:val="24"/>
        </w:rPr>
      </w:pPr>
      <w:r>
        <w:rPr>
          <w:sz w:val="24"/>
        </w:rPr>
        <w:t>监督基金管理人的投资运作；</w:t>
      </w:r>
    </w:p>
    <w:p>
      <w:pPr>
        <w:pStyle w:val="ListParagraph"/>
        <w:numPr>
          <w:ilvl w:val="0"/>
          <w:numId w:val="66"/>
        </w:numPr>
        <w:tabs>
          <w:tab w:pos="960" w:val="left" w:leader="none"/>
        </w:tabs>
        <w:spacing w:line="364" w:lineRule="auto" w:before="161" w:after="0"/>
        <w:ind w:left="120" w:right="458" w:firstLine="420"/>
        <w:jc w:val="left"/>
        <w:rPr>
          <w:sz w:val="24"/>
        </w:rPr>
      </w:pPr>
      <w:r>
        <w:rPr>
          <w:sz w:val="24"/>
        </w:rPr>
        <w:t>对基金管理人、基金托管人、注册登记人、基金份额发售机构损害其合法权益的行为依法提起诉讼；</w:t>
      </w:r>
    </w:p>
    <w:p>
      <w:pPr>
        <w:pStyle w:val="ListParagraph"/>
        <w:numPr>
          <w:ilvl w:val="0"/>
          <w:numId w:val="66"/>
        </w:numPr>
        <w:tabs>
          <w:tab w:pos="960" w:val="left" w:leader="none"/>
        </w:tabs>
        <w:spacing w:line="364" w:lineRule="auto" w:before="1" w:after="0"/>
        <w:ind w:left="600" w:right="3845" w:hanging="60"/>
        <w:jc w:val="left"/>
        <w:rPr>
          <w:sz w:val="24"/>
        </w:rPr>
      </w:pPr>
      <w:r>
        <w:rPr>
          <w:spacing w:val="-2"/>
          <w:sz w:val="24"/>
        </w:rPr>
        <w:t>法律法规、基金合同规定的其它权利。</w:t>
      </w:r>
      <w:r>
        <w:rPr>
          <w:sz w:val="24"/>
        </w:rPr>
        <w:t>2、基金份额持有人的义务</w:t>
      </w:r>
    </w:p>
    <w:p>
      <w:pPr>
        <w:pStyle w:val="ListParagraph"/>
        <w:numPr>
          <w:ilvl w:val="0"/>
          <w:numId w:val="67"/>
        </w:numPr>
        <w:tabs>
          <w:tab w:pos="960" w:val="left" w:leader="none"/>
        </w:tabs>
        <w:spacing w:line="240" w:lineRule="auto" w:before="1" w:after="0"/>
        <w:ind w:left="960" w:right="0" w:hanging="420"/>
        <w:jc w:val="left"/>
        <w:rPr>
          <w:sz w:val="24"/>
        </w:rPr>
      </w:pPr>
      <w:r>
        <w:rPr>
          <w:sz w:val="24"/>
        </w:rPr>
        <w:t>遵守基金合同；</w:t>
      </w:r>
    </w:p>
    <w:p>
      <w:pPr>
        <w:pStyle w:val="ListParagraph"/>
        <w:numPr>
          <w:ilvl w:val="0"/>
          <w:numId w:val="67"/>
        </w:numPr>
        <w:tabs>
          <w:tab w:pos="960" w:val="left" w:leader="none"/>
        </w:tabs>
        <w:spacing w:line="240" w:lineRule="auto" w:before="161" w:after="0"/>
        <w:ind w:left="960" w:right="0" w:hanging="420"/>
        <w:jc w:val="left"/>
        <w:rPr>
          <w:sz w:val="24"/>
        </w:rPr>
      </w:pPr>
      <w:r>
        <w:rPr>
          <w:sz w:val="24"/>
        </w:rPr>
        <w:t>缴纳基金申购款项及法律法规和基金合同所规定的其他费用；</w:t>
      </w:r>
    </w:p>
    <w:p>
      <w:pPr>
        <w:pStyle w:val="ListParagraph"/>
        <w:numPr>
          <w:ilvl w:val="0"/>
          <w:numId w:val="67"/>
        </w:numPr>
        <w:tabs>
          <w:tab w:pos="960" w:val="left" w:leader="none"/>
        </w:tabs>
        <w:spacing w:line="240" w:lineRule="auto" w:before="160" w:after="0"/>
        <w:ind w:left="960" w:right="0" w:hanging="420"/>
        <w:jc w:val="left"/>
        <w:rPr>
          <w:sz w:val="24"/>
        </w:rPr>
      </w:pPr>
      <w:r>
        <w:rPr>
          <w:spacing w:val="-5"/>
          <w:sz w:val="24"/>
        </w:rPr>
        <w:t>在持有的基金份额范围内，承担基金亏损或者基金合同终止的有限责任；</w:t>
      </w:r>
    </w:p>
    <w:p>
      <w:pPr>
        <w:pStyle w:val="ListParagraph"/>
        <w:numPr>
          <w:ilvl w:val="0"/>
          <w:numId w:val="67"/>
        </w:numPr>
        <w:tabs>
          <w:tab w:pos="960" w:val="left" w:leader="none"/>
        </w:tabs>
        <w:spacing w:line="240" w:lineRule="auto" w:before="161" w:after="0"/>
        <w:ind w:left="960" w:right="0" w:hanging="420"/>
        <w:jc w:val="left"/>
        <w:rPr>
          <w:sz w:val="24"/>
        </w:rPr>
      </w:pPr>
      <w:r>
        <w:rPr>
          <w:sz w:val="24"/>
        </w:rPr>
        <w:t>不从事任何有损基金及其他基金合同当事人合法利益的活动；</w:t>
      </w:r>
    </w:p>
    <w:p>
      <w:pPr>
        <w:spacing w:after="0" w:line="240" w:lineRule="auto"/>
        <w:jc w:val="left"/>
        <w:rPr>
          <w:sz w:val="24"/>
        </w:rPr>
        <w:sectPr>
          <w:pgSz w:w="11910" w:h="16840"/>
          <w:pgMar w:header="0" w:footer="990" w:top="1460" w:bottom="1180" w:left="1680" w:right="1340"/>
        </w:sectPr>
      </w:pPr>
    </w:p>
    <w:p>
      <w:pPr>
        <w:pStyle w:val="ListParagraph"/>
        <w:numPr>
          <w:ilvl w:val="0"/>
          <w:numId w:val="67"/>
        </w:numPr>
        <w:tabs>
          <w:tab w:pos="960" w:val="left" w:leader="none"/>
        </w:tabs>
        <w:spacing w:line="240" w:lineRule="auto" w:before="44" w:after="0"/>
        <w:ind w:left="960" w:right="0" w:hanging="420"/>
        <w:jc w:val="left"/>
        <w:rPr>
          <w:sz w:val="24"/>
        </w:rPr>
      </w:pPr>
      <w:r>
        <w:rPr>
          <w:sz w:val="24"/>
        </w:rPr>
        <w:t>执行生效的基金份额持有人大会决议；</w:t>
      </w:r>
    </w:p>
    <w:p>
      <w:pPr>
        <w:pStyle w:val="ListParagraph"/>
        <w:numPr>
          <w:ilvl w:val="0"/>
          <w:numId w:val="67"/>
        </w:numPr>
        <w:tabs>
          <w:tab w:pos="960" w:val="left" w:leader="none"/>
        </w:tabs>
        <w:spacing w:line="364" w:lineRule="auto" w:before="160" w:after="0"/>
        <w:ind w:left="960" w:right="458" w:hanging="420"/>
        <w:jc w:val="left"/>
        <w:rPr>
          <w:sz w:val="24"/>
        </w:rPr>
      </w:pPr>
      <w:r>
        <w:rPr>
          <w:sz w:val="24"/>
        </w:rPr>
        <w:t>返还在基金交易过程中因任何原因，自基金管理人、基金托管人及代理机构处获得的不当得利；</w:t>
      </w:r>
    </w:p>
    <w:p>
      <w:pPr>
        <w:pStyle w:val="ListParagraph"/>
        <w:numPr>
          <w:ilvl w:val="0"/>
          <w:numId w:val="67"/>
        </w:numPr>
        <w:tabs>
          <w:tab w:pos="960" w:val="left" w:leader="none"/>
        </w:tabs>
        <w:spacing w:line="240" w:lineRule="auto" w:before="2" w:after="0"/>
        <w:ind w:left="960" w:right="0" w:hanging="420"/>
        <w:jc w:val="left"/>
        <w:rPr>
          <w:sz w:val="24"/>
        </w:rPr>
      </w:pPr>
      <w:r>
        <w:rPr>
          <w:sz w:val="24"/>
        </w:rPr>
        <w:t>法律法规及基金合同规定的其他义务。</w:t>
      </w:r>
    </w:p>
    <w:p>
      <w:pPr>
        <w:pStyle w:val="BodyText"/>
        <w:ind w:left="0"/>
        <w:rPr>
          <w:sz w:val="25"/>
        </w:rPr>
      </w:pPr>
    </w:p>
    <w:p>
      <w:pPr>
        <w:pStyle w:val="BodyText"/>
        <w:spacing w:before="0"/>
      </w:pPr>
      <w:r>
        <w:rPr/>
        <w:t>（五）基金份额持有人大会</w:t>
      </w:r>
    </w:p>
    <w:p>
      <w:pPr>
        <w:pStyle w:val="BodyText"/>
        <w:spacing w:before="4"/>
        <w:ind w:left="0"/>
        <w:rPr>
          <w:sz w:val="34"/>
        </w:rPr>
      </w:pPr>
    </w:p>
    <w:p>
      <w:pPr>
        <w:pStyle w:val="BodyText"/>
        <w:spacing w:line="364" w:lineRule="auto" w:before="0"/>
        <w:ind w:right="458" w:firstLine="420"/>
      </w:pPr>
      <w:r>
        <w:rPr/>
        <w:t>1、本基金的基金份额持有人大会，由本基金的基金份额持有人组成。基金份额持有人持有的每一基金份额拥有平等的投票权。</w:t>
      </w:r>
    </w:p>
    <w:p>
      <w:pPr>
        <w:pStyle w:val="BodyText"/>
        <w:spacing w:before="10"/>
        <w:ind w:left="0"/>
        <w:rPr>
          <w:sz w:val="21"/>
        </w:rPr>
      </w:pPr>
    </w:p>
    <w:p>
      <w:pPr>
        <w:pStyle w:val="BodyText"/>
        <w:spacing w:before="0"/>
        <w:ind w:left="540"/>
      </w:pPr>
      <w:r>
        <w:rPr/>
        <w:t>2、有以下事由情形之一时，应召开基金份额持有人大会：</w:t>
      </w:r>
    </w:p>
    <w:p>
      <w:pPr>
        <w:pStyle w:val="BodyText"/>
        <w:spacing w:before="0"/>
        <w:ind w:left="0"/>
      </w:pPr>
    </w:p>
    <w:p>
      <w:pPr>
        <w:pStyle w:val="ListParagraph"/>
        <w:numPr>
          <w:ilvl w:val="0"/>
          <w:numId w:val="68"/>
        </w:numPr>
        <w:tabs>
          <w:tab w:pos="1141" w:val="left" w:leader="none"/>
        </w:tabs>
        <w:spacing w:line="240" w:lineRule="auto" w:before="210" w:after="0"/>
        <w:ind w:left="1141" w:right="0" w:hanging="601"/>
        <w:jc w:val="left"/>
        <w:rPr>
          <w:sz w:val="24"/>
        </w:rPr>
      </w:pPr>
      <w:r>
        <w:rPr>
          <w:sz w:val="24"/>
        </w:rPr>
        <w:t>终止基金合同；</w:t>
      </w:r>
    </w:p>
    <w:p>
      <w:pPr>
        <w:pStyle w:val="ListParagraph"/>
        <w:numPr>
          <w:ilvl w:val="0"/>
          <w:numId w:val="68"/>
        </w:numPr>
        <w:tabs>
          <w:tab w:pos="1141" w:val="left" w:leader="none"/>
        </w:tabs>
        <w:spacing w:line="240" w:lineRule="auto" w:before="161" w:after="0"/>
        <w:ind w:left="1141" w:right="0" w:hanging="601"/>
        <w:jc w:val="left"/>
        <w:rPr>
          <w:sz w:val="24"/>
        </w:rPr>
      </w:pPr>
      <w:r>
        <w:rPr>
          <w:sz w:val="24"/>
        </w:rPr>
        <w:t>转换基金运作方式；</w:t>
      </w:r>
    </w:p>
    <w:p>
      <w:pPr>
        <w:pStyle w:val="ListParagraph"/>
        <w:numPr>
          <w:ilvl w:val="0"/>
          <w:numId w:val="68"/>
        </w:numPr>
        <w:tabs>
          <w:tab w:pos="1141" w:val="left" w:leader="none"/>
        </w:tabs>
        <w:spacing w:line="240" w:lineRule="auto" w:before="160" w:after="0"/>
        <w:ind w:left="1141" w:right="0" w:hanging="601"/>
        <w:jc w:val="left"/>
        <w:rPr>
          <w:sz w:val="24"/>
        </w:rPr>
      </w:pPr>
      <w:r>
        <w:rPr>
          <w:sz w:val="24"/>
        </w:rPr>
        <w:t>更换基金托管人；</w:t>
      </w:r>
    </w:p>
    <w:p>
      <w:pPr>
        <w:pStyle w:val="ListParagraph"/>
        <w:numPr>
          <w:ilvl w:val="0"/>
          <w:numId w:val="68"/>
        </w:numPr>
        <w:tabs>
          <w:tab w:pos="1141" w:val="left" w:leader="none"/>
        </w:tabs>
        <w:spacing w:line="240" w:lineRule="auto" w:before="161" w:after="0"/>
        <w:ind w:left="1141" w:right="0" w:hanging="601"/>
        <w:jc w:val="left"/>
        <w:rPr>
          <w:sz w:val="24"/>
        </w:rPr>
      </w:pPr>
      <w:r>
        <w:rPr>
          <w:sz w:val="24"/>
        </w:rPr>
        <w:t>更换基金管理人；</w:t>
      </w:r>
    </w:p>
    <w:p>
      <w:pPr>
        <w:pStyle w:val="ListParagraph"/>
        <w:numPr>
          <w:ilvl w:val="0"/>
          <w:numId w:val="68"/>
        </w:numPr>
        <w:tabs>
          <w:tab w:pos="1149" w:val="left" w:leader="none"/>
        </w:tabs>
        <w:spacing w:line="364" w:lineRule="auto" w:before="160" w:after="0"/>
        <w:ind w:left="120" w:right="458" w:firstLine="420"/>
        <w:jc w:val="left"/>
        <w:rPr>
          <w:sz w:val="24"/>
        </w:rPr>
      </w:pPr>
      <w:r>
        <w:rPr>
          <w:sz w:val="24"/>
        </w:rPr>
        <w:t>提高基金管理人、基金托管人的报酬标准，但根据法律法规的要求提高该等报酬标准的除外；</w:t>
      </w:r>
    </w:p>
    <w:p>
      <w:pPr>
        <w:pStyle w:val="ListParagraph"/>
        <w:numPr>
          <w:ilvl w:val="0"/>
          <w:numId w:val="68"/>
        </w:numPr>
        <w:tabs>
          <w:tab w:pos="1141" w:val="left" w:leader="none"/>
        </w:tabs>
        <w:spacing w:line="240" w:lineRule="auto" w:before="1" w:after="0"/>
        <w:ind w:left="1141" w:right="0" w:hanging="601"/>
        <w:jc w:val="left"/>
        <w:rPr>
          <w:sz w:val="24"/>
        </w:rPr>
      </w:pPr>
      <w:r>
        <w:rPr>
          <w:sz w:val="24"/>
        </w:rPr>
        <w:t>本基金与其它基金的合并；</w:t>
      </w:r>
    </w:p>
    <w:p>
      <w:pPr>
        <w:pStyle w:val="ListParagraph"/>
        <w:numPr>
          <w:ilvl w:val="0"/>
          <w:numId w:val="68"/>
        </w:numPr>
        <w:tabs>
          <w:tab w:pos="1141" w:val="left" w:leader="none"/>
        </w:tabs>
        <w:spacing w:line="240" w:lineRule="auto" w:before="161" w:after="0"/>
        <w:ind w:left="1141" w:right="0" w:hanging="601"/>
        <w:jc w:val="left"/>
        <w:rPr>
          <w:sz w:val="24"/>
        </w:rPr>
      </w:pPr>
      <w:r>
        <w:rPr>
          <w:sz w:val="24"/>
        </w:rPr>
        <w:t>变更基金类别；</w:t>
      </w:r>
    </w:p>
    <w:p>
      <w:pPr>
        <w:pStyle w:val="ListParagraph"/>
        <w:numPr>
          <w:ilvl w:val="0"/>
          <w:numId w:val="68"/>
        </w:numPr>
        <w:tabs>
          <w:tab w:pos="1141" w:val="left" w:leader="none"/>
        </w:tabs>
        <w:spacing w:line="240" w:lineRule="auto" w:before="160" w:after="0"/>
        <w:ind w:left="1141" w:right="0" w:hanging="601"/>
        <w:jc w:val="left"/>
        <w:rPr>
          <w:sz w:val="24"/>
        </w:rPr>
      </w:pPr>
      <w:r>
        <w:rPr>
          <w:sz w:val="24"/>
        </w:rPr>
        <w:t>变更基金投资目标、范围或策略；</w:t>
      </w:r>
    </w:p>
    <w:p>
      <w:pPr>
        <w:pStyle w:val="ListParagraph"/>
        <w:numPr>
          <w:ilvl w:val="0"/>
          <w:numId w:val="68"/>
        </w:numPr>
        <w:tabs>
          <w:tab w:pos="1141" w:val="left" w:leader="none"/>
        </w:tabs>
        <w:spacing w:line="240" w:lineRule="auto" w:before="161" w:after="0"/>
        <w:ind w:left="1141" w:right="0" w:hanging="601"/>
        <w:jc w:val="left"/>
        <w:rPr>
          <w:sz w:val="24"/>
        </w:rPr>
      </w:pPr>
      <w:r>
        <w:rPr>
          <w:sz w:val="24"/>
        </w:rPr>
        <w:t>变更基金份额持有人大会程序；</w:t>
      </w:r>
    </w:p>
    <w:p>
      <w:pPr>
        <w:pStyle w:val="ListParagraph"/>
        <w:numPr>
          <w:ilvl w:val="0"/>
          <w:numId w:val="68"/>
        </w:numPr>
        <w:tabs>
          <w:tab w:pos="1261" w:val="left" w:leader="none"/>
        </w:tabs>
        <w:spacing w:line="240" w:lineRule="auto" w:before="160" w:after="0"/>
        <w:ind w:left="1261" w:right="0" w:hanging="721"/>
        <w:jc w:val="left"/>
        <w:rPr>
          <w:sz w:val="24"/>
        </w:rPr>
      </w:pPr>
      <w:r>
        <w:rPr>
          <w:sz w:val="24"/>
        </w:rPr>
        <w:t>对基金合同当事人权利、义务产生重大影响的其他事项；</w:t>
      </w:r>
    </w:p>
    <w:p>
      <w:pPr>
        <w:pStyle w:val="ListParagraph"/>
        <w:numPr>
          <w:ilvl w:val="0"/>
          <w:numId w:val="68"/>
        </w:numPr>
        <w:tabs>
          <w:tab w:pos="1261" w:val="left" w:leader="none"/>
        </w:tabs>
        <w:spacing w:line="364" w:lineRule="auto" w:before="161" w:after="0"/>
        <w:ind w:left="120" w:right="458" w:firstLine="420"/>
        <w:jc w:val="left"/>
        <w:rPr>
          <w:sz w:val="24"/>
        </w:rPr>
      </w:pPr>
      <w:r>
        <w:rPr>
          <w:spacing w:val="-5"/>
          <w:sz w:val="24"/>
        </w:rPr>
        <w:t>法律法规、基金合同或中国证监会规定的其它应当召开基金份额持有</w:t>
      </w:r>
      <w:r>
        <w:rPr>
          <w:sz w:val="24"/>
        </w:rPr>
        <w:t>人大会的事项。</w:t>
      </w:r>
    </w:p>
    <w:p>
      <w:pPr>
        <w:pStyle w:val="BodyText"/>
        <w:spacing w:before="203"/>
        <w:ind w:left="540"/>
      </w:pPr>
      <w:r>
        <w:rPr/>
        <w:t>3、以下情况不需召开基金份额持有人大会：</w:t>
      </w:r>
    </w:p>
    <w:p>
      <w:pPr>
        <w:pStyle w:val="BodyText"/>
        <w:spacing w:before="0"/>
        <w:ind w:left="0"/>
      </w:pPr>
    </w:p>
    <w:p>
      <w:pPr>
        <w:pStyle w:val="ListParagraph"/>
        <w:numPr>
          <w:ilvl w:val="0"/>
          <w:numId w:val="69"/>
        </w:numPr>
        <w:tabs>
          <w:tab w:pos="1201" w:val="left" w:leader="none"/>
        </w:tabs>
        <w:spacing w:line="240" w:lineRule="auto" w:before="210" w:after="0"/>
        <w:ind w:left="1201" w:right="0" w:hanging="601"/>
        <w:jc w:val="left"/>
        <w:rPr>
          <w:sz w:val="24"/>
        </w:rPr>
      </w:pPr>
      <w:r>
        <w:rPr>
          <w:sz w:val="24"/>
        </w:rPr>
        <w:t>调低基金管理费、基金托管费；</w:t>
      </w:r>
    </w:p>
    <w:p>
      <w:pPr>
        <w:pStyle w:val="ListParagraph"/>
        <w:numPr>
          <w:ilvl w:val="0"/>
          <w:numId w:val="69"/>
        </w:numPr>
        <w:tabs>
          <w:tab w:pos="1203" w:val="left" w:leader="none"/>
        </w:tabs>
        <w:spacing w:line="364" w:lineRule="auto" w:before="160" w:after="0"/>
        <w:ind w:left="120" w:right="458" w:firstLine="480"/>
        <w:jc w:val="left"/>
        <w:rPr>
          <w:sz w:val="24"/>
        </w:rPr>
      </w:pPr>
      <w:r>
        <w:rPr>
          <w:sz w:val="24"/>
        </w:rPr>
        <w:t>在法律法规和基金合同规定的范围内变更本基金的申购费率、赎回费率或收费方式；</w:t>
      </w:r>
    </w:p>
    <w:p>
      <w:pPr>
        <w:pStyle w:val="ListParagraph"/>
        <w:numPr>
          <w:ilvl w:val="0"/>
          <w:numId w:val="69"/>
        </w:numPr>
        <w:tabs>
          <w:tab w:pos="1201" w:val="left" w:leader="none"/>
        </w:tabs>
        <w:spacing w:line="240" w:lineRule="auto" w:before="2" w:after="0"/>
        <w:ind w:left="1201" w:right="0" w:hanging="601"/>
        <w:jc w:val="left"/>
        <w:rPr>
          <w:sz w:val="24"/>
        </w:rPr>
      </w:pPr>
      <w:r>
        <w:rPr>
          <w:sz w:val="24"/>
        </w:rPr>
        <w:t>因相应的法律法规发生变动而应当对基金合同进行修改；</w:t>
      </w:r>
    </w:p>
    <w:p>
      <w:pPr>
        <w:spacing w:after="0" w:line="240" w:lineRule="auto"/>
        <w:jc w:val="left"/>
        <w:rPr>
          <w:sz w:val="24"/>
        </w:rPr>
        <w:sectPr>
          <w:pgSz w:w="11910" w:h="16840"/>
          <w:pgMar w:header="0" w:footer="990" w:top="1460" w:bottom="1180" w:left="1680" w:right="1340"/>
        </w:sectPr>
      </w:pPr>
    </w:p>
    <w:p>
      <w:pPr>
        <w:pStyle w:val="ListParagraph"/>
        <w:numPr>
          <w:ilvl w:val="0"/>
          <w:numId w:val="69"/>
        </w:numPr>
        <w:tabs>
          <w:tab w:pos="1201" w:val="left" w:leader="none"/>
        </w:tabs>
        <w:spacing w:line="240" w:lineRule="auto" w:before="44" w:after="0"/>
        <w:ind w:left="1201" w:right="0" w:hanging="601"/>
        <w:jc w:val="left"/>
        <w:rPr>
          <w:sz w:val="24"/>
        </w:rPr>
      </w:pPr>
      <w:r>
        <w:rPr>
          <w:sz w:val="24"/>
        </w:rPr>
        <w:t>对基金合同的修改不涉及基金合同当事人权利义务关系发生变化；</w:t>
      </w:r>
    </w:p>
    <w:p>
      <w:pPr>
        <w:pStyle w:val="ListParagraph"/>
        <w:numPr>
          <w:ilvl w:val="0"/>
          <w:numId w:val="69"/>
        </w:numPr>
        <w:tabs>
          <w:tab w:pos="1201" w:val="left" w:leader="none"/>
        </w:tabs>
        <w:spacing w:line="240" w:lineRule="auto" w:before="160" w:after="0"/>
        <w:ind w:left="1201" w:right="0" w:hanging="601"/>
        <w:jc w:val="left"/>
        <w:rPr>
          <w:sz w:val="24"/>
        </w:rPr>
      </w:pPr>
      <w:r>
        <w:rPr>
          <w:sz w:val="24"/>
        </w:rPr>
        <w:t>对基金合同的修改对基金份额持有人利益无实质性不利影响；</w:t>
      </w:r>
    </w:p>
    <w:p>
      <w:pPr>
        <w:pStyle w:val="ListParagraph"/>
        <w:numPr>
          <w:ilvl w:val="0"/>
          <w:numId w:val="69"/>
        </w:numPr>
        <w:tabs>
          <w:tab w:pos="1203" w:val="left" w:leader="none"/>
        </w:tabs>
        <w:spacing w:line="364" w:lineRule="auto" w:before="161" w:after="0"/>
        <w:ind w:left="120" w:right="458" w:firstLine="480"/>
        <w:jc w:val="left"/>
        <w:rPr>
          <w:sz w:val="24"/>
        </w:rPr>
      </w:pPr>
      <w:r>
        <w:rPr>
          <w:sz w:val="24"/>
        </w:rPr>
        <w:t>除按照法律法规和基金合同规定应当召开基金份额持有人大会以外的其它情形。</w:t>
      </w:r>
    </w:p>
    <w:p>
      <w:pPr>
        <w:pStyle w:val="BodyText"/>
        <w:spacing w:before="203"/>
        <w:ind w:left="540"/>
      </w:pPr>
      <w:r>
        <w:rPr/>
        <w:t>4、召集人和召集方式</w:t>
      </w:r>
    </w:p>
    <w:p>
      <w:pPr>
        <w:pStyle w:val="BodyText"/>
        <w:spacing w:before="0"/>
        <w:ind w:left="0"/>
      </w:pPr>
    </w:p>
    <w:p>
      <w:pPr>
        <w:pStyle w:val="ListParagraph"/>
        <w:numPr>
          <w:ilvl w:val="0"/>
          <w:numId w:val="70"/>
        </w:numPr>
        <w:tabs>
          <w:tab w:pos="1203" w:val="left" w:leader="none"/>
        </w:tabs>
        <w:spacing w:line="364" w:lineRule="auto" w:before="210" w:after="0"/>
        <w:ind w:left="120" w:right="458" w:firstLine="480"/>
        <w:jc w:val="left"/>
        <w:rPr>
          <w:sz w:val="24"/>
        </w:rPr>
      </w:pPr>
      <w:r>
        <w:rPr>
          <w:sz w:val="24"/>
        </w:rPr>
        <w:t>除法律法规或本基金合同另有约定外，基金份额持有人大会由基金管理人召集。基金管理人未按规定召集或者不能召集时，由基金托管人召集。</w:t>
      </w:r>
    </w:p>
    <w:p>
      <w:pPr>
        <w:pStyle w:val="ListParagraph"/>
        <w:numPr>
          <w:ilvl w:val="0"/>
          <w:numId w:val="70"/>
        </w:numPr>
        <w:tabs>
          <w:tab w:pos="1203" w:val="left" w:leader="none"/>
        </w:tabs>
        <w:spacing w:line="364" w:lineRule="auto" w:before="1" w:after="0"/>
        <w:ind w:left="120" w:right="218" w:firstLine="480"/>
        <w:jc w:val="left"/>
        <w:rPr>
          <w:sz w:val="24"/>
        </w:rPr>
      </w:pPr>
      <w:r>
        <w:rPr>
          <w:sz w:val="24"/>
        </w:rPr>
        <w:t>基金托管人认为有必要召开基金份额持有人大会的，应当向基金管理 </w:t>
      </w:r>
      <w:r>
        <w:rPr>
          <w:spacing w:val="-3"/>
          <w:sz w:val="24"/>
        </w:rPr>
        <w:t>人提出书面提议。基金管理人应当自收到书面提议之日起 </w:t>
      </w:r>
      <w:r>
        <w:rPr>
          <w:sz w:val="24"/>
        </w:rPr>
        <w:t>10</w:t>
      </w:r>
      <w:r>
        <w:rPr>
          <w:spacing w:val="-8"/>
          <w:sz w:val="24"/>
        </w:rPr>
        <w:t> 日内决定是否召集，</w:t>
      </w:r>
    </w:p>
    <w:p>
      <w:pPr>
        <w:pStyle w:val="BodyText"/>
        <w:spacing w:line="364" w:lineRule="auto"/>
        <w:ind w:right="458"/>
        <w:jc w:val="both"/>
      </w:pPr>
      <w:r>
        <w:rPr>
          <w:spacing w:val="-14"/>
        </w:rPr>
        <w:t>并书面告知基金托管人。基金管理人决定召集的，应当自出具书面决定之日起 </w:t>
      </w:r>
      <w:r>
        <w:rPr>
          <w:spacing w:val="-8"/>
        </w:rPr>
        <w:t>60 </w:t>
      </w:r>
      <w:r>
        <w:rPr>
          <w:spacing w:val="-12"/>
        </w:rPr>
        <w:t>日内召开；基金管理人决定不召集，基金托管人仍认为有必要召开的，应当自行</w:t>
      </w:r>
      <w:r>
        <w:rPr>
          <w:spacing w:val="-10"/>
        </w:rPr>
        <w:t>召集，并自出具书面决定之日起六十日内召开并告知基金管理人，基金管理人应</w:t>
      </w:r>
      <w:r>
        <w:rPr/>
        <w:t>当配合。</w:t>
      </w:r>
    </w:p>
    <w:p>
      <w:pPr>
        <w:pStyle w:val="ListParagraph"/>
        <w:numPr>
          <w:ilvl w:val="0"/>
          <w:numId w:val="70"/>
        </w:numPr>
        <w:tabs>
          <w:tab w:pos="1209" w:val="left" w:leader="none"/>
        </w:tabs>
        <w:spacing w:line="364" w:lineRule="auto" w:before="3" w:after="0"/>
        <w:ind w:left="120" w:right="458" w:firstLine="480"/>
        <w:jc w:val="both"/>
        <w:rPr>
          <w:sz w:val="24"/>
        </w:rPr>
      </w:pPr>
      <w:r>
        <w:rPr>
          <w:spacing w:val="-3"/>
          <w:sz w:val="24"/>
        </w:rPr>
        <w:t>代表基金份额 </w:t>
      </w:r>
      <w:r>
        <w:rPr>
          <w:sz w:val="24"/>
        </w:rPr>
        <w:t>10%以上（“以上”含本数，以基金管理人收到提议当</w:t>
      </w:r>
      <w:r>
        <w:rPr>
          <w:spacing w:val="-6"/>
          <w:sz w:val="24"/>
        </w:rPr>
        <w:t>日的基金份额计算，下同</w:t>
      </w:r>
      <w:r>
        <w:rPr>
          <w:spacing w:val="-48"/>
          <w:sz w:val="24"/>
        </w:rPr>
        <w:t>）</w:t>
      </w:r>
      <w:r>
        <w:rPr>
          <w:spacing w:val="-1"/>
          <w:sz w:val="24"/>
        </w:rPr>
        <w:t>的基金份额持有人认为有必要召开基金份额持有人大</w:t>
      </w:r>
      <w:r>
        <w:rPr>
          <w:spacing w:val="-11"/>
          <w:sz w:val="24"/>
        </w:rPr>
        <w:t>会的，应当向基金管理人提出书面提议。基金管理人应当自收到书面提议之日起</w:t>
      </w:r>
      <w:r>
        <w:rPr>
          <w:sz w:val="24"/>
        </w:rPr>
        <w:t>10</w:t>
      </w:r>
      <w:r>
        <w:rPr>
          <w:spacing w:val="-4"/>
          <w:sz w:val="24"/>
        </w:rPr>
        <w:t> 日内决定是否召集，并书面告知提出提议的基金份额持有人代表和基金托管</w:t>
      </w:r>
    </w:p>
    <w:p>
      <w:pPr>
        <w:pStyle w:val="BodyText"/>
        <w:spacing w:line="364" w:lineRule="auto" w:before="2"/>
        <w:ind w:right="335"/>
      </w:pPr>
      <w:r>
        <w:rPr>
          <w:spacing w:val="-3"/>
        </w:rPr>
        <w:t>人。基金管理人决定召集的，应当自出具书面决定之日起 </w:t>
      </w:r>
      <w:r>
        <w:rPr/>
        <w:t>60</w:t>
      </w:r>
      <w:r>
        <w:rPr>
          <w:spacing w:val="-8"/>
        </w:rPr>
        <w:t> 日内召开；基金管</w:t>
      </w:r>
      <w:r>
        <w:rPr>
          <w:spacing w:val="-12"/>
        </w:rPr>
        <w:t>理人决定不召集，代表基金份额</w:t>
      </w:r>
      <w:r>
        <w:rPr/>
        <w:t>10%</w:t>
      </w:r>
      <w:r>
        <w:rPr>
          <w:spacing w:val="-1"/>
        </w:rPr>
        <w:t>以上的基金份额持有人仍认为有必要召开的， </w:t>
      </w:r>
      <w:r>
        <w:rPr>
          <w:spacing w:val="-2"/>
        </w:rPr>
        <w:t>应当向基金托管人提出书面提议。基金托管人应当自收到书面提议之日起 </w:t>
      </w:r>
      <w:r>
        <w:rPr/>
        <w:t>10</w:t>
      </w:r>
      <w:r>
        <w:rPr>
          <w:spacing w:val="-30"/>
        </w:rPr>
        <w:t> 日</w:t>
      </w:r>
      <w:r>
        <w:rPr>
          <w:spacing w:val="-32"/>
        </w:rPr>
        <w:t>内决定是否召集，并书面告知提出提议的基金份额持有人代表和基金管理人；基</w:t>
      </w:r>
      <w:r>
        <w:rPr>
          <w:spacing w:val="-34"/>
        </w:rPr>
        <w:t>金托管人决定召集的，应当自出具书面决定之日起 </w:t>
      </w:r>
      <w:r>
        <w:rPr/>
        <w:t>60</w:t>
      </w:r>
      <w:r>
        <w:rPr>
          <w:spacing w:val="-10"/>
        </w:rPr>
        <w:t> 日内召开。</w:t>
      </w:r>
    </w:p>
    <w:p>
      <w:pPr>
        <w:pStyle w:val="ListParagraph"/>
        <w:numPr>
          <w:ilvl w:val="0"/>
          <w:numId w:val="70"/>
        </w:numPr>
        <w:tabs>
          <w:tab w:pos="1209" w:val="left" w:leader="none"/>
        </w:tabs>
        <w:spacing w:line="364" w:lineRule="auto" w:before="3" w:after="0"/>
        <w:ind w:left="120" w:right="458" w:firstLine="480"/>
        <w:jc w:val="both"/>
        <w:rPr>
          <w:sz w:val="24"/>
        </w:rPr>
      </w:pPr>
      <w:r>
        <w:rPr>
          <w:spacing w:val="-3"/>
          <w:sz w:val="24"/>
        </w:rPr>
        <w:t>代表基金份额 </w:t>
      </w:r>
      <w:r>
        <w:rPr>
          <w:sz w:val="24"/>
        </w:rPr>
        <w:t>10%以上的基金份额持有人就同一事项要求召开基金份</w:t>
      </w:r>
      <w:r>
        <w:rPr>
          <w:spacing w:val="-6"/>
          <w:sz w:val="24"/>
        </w:rPr>
        <w:t>额持有人大会，而基金管理人、基金托管人都不召集的，代表基金份额 </w:t>
      </w:r>
      <w:r>
        <w:rPr>
          <w:sz w:val="24"/>
        </w:rPr>
        <w:t>10%</w:t>
      </w:r>
      <w:r>
        <w:rPr>
          <w:spacing w:val="-8"/>
          <w:sz w:val="24"/>
        </w:rPr>
        <w:t>以上</w:t>
      </w:r>
      <w:r>
        <w:rPr>
          <w:spacing w:val="-2"/>
          <w:sz w:val="24"/>
        </w:rPr>
        <w:t>的基金份额持有人有权自行召集基金份额持有人大会，但应当至少提前 </w:t>
      </w:r>
      <w:r>
        <w:rPr>
          <w:sz w:val="24"/>
        </w:rPr>
        <w:t>30</w:t>
      </w:r>
      <w:r>
        <w:rPr>
          <w:spacing w:val="-20"/>
          <w:sz w:val="24"/>
        </w:rPr>
        <w:t> 日向中国证监会备案。</w:t>
      </w:r>
    </w:p>
    <w:p>
      <w:pPr>
        <w:pStyle w:val="ListParagraph"/>
        <w:numPr>
          <w:ilvl w:val="0"/>
          <w:numId w:val="70"/>
        </w:numPr>
        <w:tabs>
          <w:tab w:pos="1203" w:val="left" w:leader="none"/>
        </w:tabs>
        <w:spacing w:line="364" w:lineRule="auto" w:before="2" w:after="0"/>
        <w:ind w:left="120" w:right="458" w:firstLine="480"/>
        <w:jc w:val="left"/>
        <w:rPr>
          <w:sz w:val="24"/>
        </w:rPr>
      </w:pPr>
      <w:r>
        <w:rPr>
          <w:sz w:val="24"/>
        </w:rPr>
        <w:t>基金份额持有人依法自行召集基金份额持有人大会的，基金管理人、基金托管人应当配合，不得阻碍、干扰。</w:t>
      </w:r>
    </w:p>
    <w:p>
      <w:pPr>
        <w:spacing w:after="0" w:line="364" w:lineRule="auto"/>
        <w:jc w:val="left"/>
        <w:rPr>
          <w:sz w:val="24"/>
        </w:rPr>
        <w:sectPr>
          <w:pgSz w:w="11910" w:h="16840"/>
          <w:pgMar w:header="0" w:footer="990" w:top="1460" w:bottom="1180" w:left="1680" w:right="1340"/>
        </w:sectPr>
      </w:pPr>
    </w:p>
    <w:p>
      <w:pPr>
        <w:pStyle w:val="ListParagraph"/>
        <w:numPr>
          <w:ilvl w:val="0"/>
          <w:numId w:val="70"/>
        </w:numPr>
        <w:tabs>
          <w:tab w:pos="1204" w:val="left" w:leader="none"/>
        </w:tabs>
        <w:spacing w:line="364" w:lineRule="auto" w:before="44" w:after="0"/>
        <w:ind w:left="120" w:right="458" w:firstLine="480"/>
        <w:jc w:val="left"/>
        <w:rPr>
          <w:sz w:val="24"/>
        </w:rPr>
      </w:pPr>
      <w:r>
        <w:rPr>
          <w:sz w:val="24"/>
        </w:rPr>
        <w:t>基金份额持有人会议的召集人负责选择确定开会时间、地点、方式和权益登记日。</w:t>
      </w:r>
    </w:p>
    <w:p>
      <w:pPr>
        <w:pStyle w:val="BodyText"/>
        <w:spacing w:before="203"/>
        <w:ind w:left="540"/>
      </w:pPr>
      <w:r>
        <w:rPr/>
        <w:t>5、召开基金份额持有人大会的通知时间、通知内容、通知方式</w:t>
      </w:r>
    </w:p>
    <w:p>
      <w:pPr>
        <w:pStyle w:val="BodyText"/>
        <w:spacing w:before="0"/>
        <w:ind w:left="0"/>
      </w:pPr>
    </w:p>
    <w:p>
      <w:pPr>
        <w:pStyle w:val="ListParagraph"/>
        <w:numPr>
          <w:ilvl w:val="0"/>
          <w:numId w:val="71"/>
        </w:numPr>
        <w:tabs>
          <w:tab w:pos="1203" w:val="left" w:leader="none"/>
        </w:tabs>
        <w:spacing w:line="364" w:lineRule="auto" w:before="210" w:after="0"/>
        <w:ind w:left="120" w:right="458" w:firstLine="480"/>
        <w:jc w:val="left"/>
        <w:rPr>
          <w:sz w:val="24"/>
        </w:rPr>
      </w:pPr>
      <w:r>
        <w:rPr>
          <w:sz w:val="24"/>
        </w:rPr>
        <w:t>召开基金份额持有人大会，召集人应当至少提前三十日通过指定媒介公告会议通知。基金份额持有人大会通知须至少载明以下内容：</w:t>
      </w:r>
    </w:p>
    <w:p>
      <w:pPr>
        <w:pStyle w:val="ListParagraph"/>
        <w:numPr>
          <w:ilvl w:val="1"/>
          <w:numId w:val="71"/>
        </w:numPr>
        <w:tabs>
          <w:tab w:pos="1321" w:val="left" w:leader="none"/>
        </w:tabs>
        <w:spacing w:line="240" w:lineRule="auto" w:before="101" w:after="0"/>
        <w:ind w:left="1321" w:right="0" w:hanging="361"/>
        <w:jc w:val="left"/>
        <w:rPr>
          <w:sz w:val="24"/>
        </w:rPr>
      </w:pPr>
      <w:r>
        <w:rPr>
          <w:sz w:val="24"/>
        </w:rPr>
        <w:t>会议召开的时间、地点和方式；</w:t>
      </w:r>
    </w:p>
    <w:p>
      <w:pPr>
        <w:pStyle w:val="BodyText"/>
        <w:spacing w:before="4"/>
        <w:ind w:left="0"/>
        <w:rPr>
          <w:sz w:val="20"/>
        </w:rPr>
      </w:pPr>
    </w:p>
    <w:p>
      <w:pPr>
        <w:pStyle w:val="ListParagraph"/>
        <w:numPr>
          <w:ilvl w:val="1"/>
          <w:numId w:val="71"/>
        </w:numPr>
        <w:tabs>
          <w:tab w:pos="1321" w:val="left" w:leader="none"/>
        </w:tabs>
        <w:spacing w:line="240" w:lineRule="auto" w:before="0" w:after="0"/>
        <w:ind w:left="1321" w:right="0" w:hanging="361"/>
        <w:jc w:val="left"/>
        <w:rPr>
          <w:sz w:val="24"/>
        </w:rPr>
      </w:pPr>
      <w:r>
        <w:rPr>
          <w:sz w:val="24"/>
        </w:rPr>
        <w:t>会议拟审议的主要事项；</w:t>
      </w:r>
    </w:p>
    <w:p>
      <w:pPr>
        <w:pStyle w:val="BodyText"/>
        <w:spacing w:before="4"/>
        <w:ind w:left="0"/>
        <w:rPr>
          <w:sz w:val="20"/>
        </w:rPr>
      </w:pPr>
    </w:p>
    <w:p>
      <w:pPr>
        <w:pStyle w:val="ListParagraph"/>
        <w:numPr>
          <w:ilvl w:val="1"/>
          <w:numId w:val="71"/>
        </w:numPr>
        <w:tabs>
          <w:tab w:pos="1321" w:val="left" w:leader="none"/>
        </w:tabs>
        <w:spacing w:line="240" w:lineRule="auto" w:before="1" w:after="0"/>
        <w:ind w:left="1321" w:right="0" w:hanging="361"/>
        <w:jc w:val="left"/>
        <w:rPr>
          <w:sz w:val="24"/>
        </w:rPr>
      </w:pPr>
      <w:r>
        <w:rPr>
          <w:sz w:val="24"/>
        </w:rPr>
        <w:t>会议形式；</w:t>
      </w:r>
    </w:p>
    <w:p>
      <w:pPr>
        <w:pStyle w:val="BodyText"/>
        <w:spacing w:before="4"/>
        <w:ind w:left="0"/>
        <w:rPr>
          <w:sz w:val="20"/>
        </w:rPr>
      </w:pPr>
    </w:p>
    <w:p>
      <w:pPr>
        <w:pStyle w:val="ListParagraph"/>
        <w:numPr>
          <w:ilvl w:val="1"/>
          <w:numId w:val="71"/>
        </w:numPr>
        <w:tabs>
          <w:tab w:pos="1321" w:val="left" w:leader="none"/>
        </w:tabs>
        <w:spacing w:line="240" w:lineRule="auto" w:before="0" w:after="0"/>
        <w:ind w:left="1321" w:right="0" w:hanging="361"/>
        <w:jc w:val="left"/>
        <w:rPr>
          <w:sz w:val="24"/>
        </w:rPr>
      </w:pPr>
      <w:r>
        <w:rPr>
          <w:sz w:val="24"/>
        </w:rPr>
        <w:t>议事程序；</w:t>
      </w:r>
    </w:p>
    <w:p>
      <w:pPr>
        <w:pStyle w:val="BodyText"/>
        <w:spacing w:before="4"/>
        <w:ind w:left="0"/>
        <w:rPr>
          <w:sz w:val="20"/>
        </w:rPr>
      </w:pPr>
    </w:p>
    <w:p>
      <w:pPr>
        <w:pStyle w:val="ListParagraph"/>
        <w:numPr>
          <w:ilvl w:val="1"/>
          <w:numId w:val="71"/>
        </w:numPr>
        <w:tabs>
          <w:tab w:pos="1321" w:val="left" w:leader="none"/>
        </w:tabs>
        <w:spacing w:line="240" w:lineRule="auto" w:before="0" w:after="0"/>
        <w:ind w:left="1321" w:right="0" w:hanging="361"/>
        <w:jc w:val="left"/>
        <w:rPr>
          <w:sz w:val="24"/>
        </w:rPr>
      </w:pPr>
      <w:r>
        <w:rPr>
          <w:sz w:val="24"/>
        </w:rPr>
        <w:t>有权出席基金份额持有人大会的权益登记日；</w:t>
      </w:r>
    </w:p>
    <w:p>
      <w:pPr>
        <w:pStyle w:val="BodyText"/>
        <w:spacing w:before="4"/>
        <w:ind w:left="0"/>
        <w:rPr>
          <w:sz w:val="20"/>
        </w:rPr>
      </w:pPr>
    </w:p>
    <w:p>
      <w:pPr>
        <w:pStyle w:val="ListParagraph"/>
        <w:numPr>
          <w:ilvl w:val="1"/>
          <w:numId w:val="71"/>
        </w:numPr>
        <w:tabs>
          <w:tab w:pos="1322" w:val="left" w:leader="none"/>
        </w:tabs>
        <w:spacing w:line="364" w:lineRule="auto" w:before="0" w:after="0"/>
        <w:ind w:left="960" w:right="458" w:firstLine="0"/>
        <w:jc w:val="left"/>
        <w:rPr>
          <w:sz w:val="24"/>
        </w:rPr>
      </w:pPr>
      <w:r>
        <w:rPr>
          <w:sz w:val="24"/>
        </w:rPr>
        <w:t>授权委托书的内容要求(包括但不限于代理人身份、代理权限和代理有效期限等)、送达时间和地点；</w:t>
      </w:r>
    </w:p>
    <w:p>
      <w:pPr>
        <w:pStyle w:val="ListParagraph"/>
        <w:numPr>
          <w:ilvl w:val="1"/>
          <w:numId w:val="71"/>
        </w:numPr>
        <w:tabs>
          <w:tab w:pos="1321" w:val="left" w:leader="none"/>
        </w:tabs>
        <w:spacing w:line="240" w:lineRule="auto" w:before="102" w:after="0"/>
        <w:ind w:left="1321" w:right="0" w:hanging="361"/>
        <w:jc w:val="left"/>
        <w:rPr>
          <w:sz w:val="24"/>
        </w:rPr>
      </w:pPr>
      <w:r>
        <w:rPr>
          <w:sz w:val="24"/>
        </w:rPr>
        <w:t>表决方式；</w:t>
      </w:r>
    </w:p>
    <w:p>
      <w:pPr>
        <w:pStyle w:val="BodyText"/>
        <w:spacing w:before="4"/>
        <w:ind w:left="0"/>
        <w:rPr>
          <w:sz w:val="20"/>
        </w:rPr>
      </w:pPr>
    </w:p>
    <w:p>
      <w:pPr>
        <w:pStyle w:val="ListParagraph"/>
        <w:numPr>
          <w:ilvl w:val="1"/>
          <w:numId w:val="71"/>
        </w:numPr>
        <w:tabs>
          <w:tab w:pos="1321" w:val="left" w:leader="none"/>
        </w:tabs>
        <w:spacing w:line="240" w:lineRule="auto" w:before="0" w:after="0"/>
        <w:ind w:left="1321" w:right="0" w:hanging="361"/>
        <w:jc w:val="left"/>
        <w:rPr>
          <w:sz w:val="24"/>
        </w:rPr>
      </w:pPr>
      <w:r>
        <w:rPr>
          <w:sz w:val="24"/>
        </w:rPr>
        <w:t>会务常设联系人姓名、电话；</w:t>
      </w:r>
    </w:p>
    <w:p>
      <w:pPr>
        <w:pStyle w:val="BodyText"/>
        <w:spacing w:before="4"/>
        <w:ind w:left="0"/>
        <w:rPr>
          <w:sz w:val="20"/>
        </w:rPr>
      </w:pPr>
    </w:p>
    <w:p>
      <w:pPr>
        <w:pStyle w:val="ListParagraph"/>
        <w:numPr>
          <w:ilvl w:val="1"/>
          <w:numId w:val="71"/>
        </w:numPr>
        <w:tabs>
          <w:tab w:pos="1321" w:val="left" w:leader="none"/>
        </w:tabs>
        <w:spacing w:line="240" w:lineRule="auto" w:before="0" w:after="0"/>
        <w:ind w:left="1321" w:right="0" w:hanging="361"/>
        <w:jc w:val="left"/>
        <w:rPr>
          <w:sz w:val="24"/>
        </w:rPr>
      </w:pPr>
      <w:r>
        <w:rPr>
          <w:sz w:val="24"/>
        </w:rPr>
        <w:t>出席会议者必须准备的文件和必须履行的手续；</w:t>
      </w:r>
    </w:p>
    <w:p>
      <w:pPr>
        <w:pStyle w:val="BodyText"/>
        <w:spacing w:before="4"/>
        <w:ind w:left="0"/>
        <w:rPr>
          <w:sz w:val="20"/>
        </w:rPr>
      </w:pPr>
    </w:p>
    <w:p>
      <w:pPr>
        <w:pStyle w:val="ListParagraph"/>
        <w:numPr>
          <w:ilvl w:val="1"/>
          <w:numId w:val="71"/>
        </w:numPr>
        <w:tabs>
          <w:tab w:pos="1441" w:val="left" w:leader="none"/>
        </w:tabs>
        <w:spacing w:line="240" w:lineRule="auto" w:before="0" w:after="0"/>
        <w:ind w:left="1441" w:right="0" w:hanging="481"/>
        <w:jc w:val="left"/>
        <w:rPr>
          <w:sz w:val="24"/>
        </w:rPr>
      </w:pPr>
      <w:r>
        <w:rPr>
          <w:sz w:val="24"/>
        </w:rPr>
        <w:t>召集人需要通知的其他事项。</w:t>
      </w:r>
    </w:p>
    <w:p>
      <w:pPr>
        <w:pStyle w:val="BodyText"/>
        <w:spacing w:before="4"/>
        <w:ind w:left="0"/>
        <w:rPr>
          <w:sz w:val="20"/>
        </w:rPr>
      </w:pPr>
    </w:p>
    <w:p>
      <w:pPr>
        <w:pStyle w:val="ListParagraph"/>
        <w:numPr>
          <w:ilvl w:val="0"/>
          <w:numId w:val="71"/>
        </w:numPr>
        <w:tabs>
          <w:tab w:pos="1203" w:val="left" w:leader="none"/>
        </w:tabs>
        <w:spacing w:line="364" w:lineRule="auto" w:before="1" w:after="0"/>
        <w:ind w:left="120" w:right="458" w:firstLine="480"/>
        <w:jc w:val="both"/>
        <w:rPr>
          <w:sz w:val="24"/>
        </w:rPr>
      </w:pPr>
      <w:r>
        <w:rPr>
          <w:sz w:val="24"/>
        </w:rPr>
        <w:t>采用通讯方式开会并进行表决的情况下，由召集人决定通讯方式和书</w:t>
      </w:r>
      <w:r>
        <w:rPr>
          <w:spacing w:val="-11"/>
          <w:sz w:val="24"/>
        </w:rPr>
        <w:t>面表决方式，并在会议通知中说明本次基金份额持有人大会所采取的具体通讯方式、委托的公证机关及其联系方式和联系人、书面表达意见的寄交和收取方式及</w:t>
      </w:r>
      <w:r>
        <w:rPr>
          <w:sz w:val="24"/>
        </w:rPr>
        <w:t>截止时间。</w:t>
      </w:r>
    </w:p>
    <w:p>
      <w:pPr>
        <w:pStyle w:val="ListParagraph"/>
        <w:numPr>
          <w:ilvl w:val="0"/>
          <w:numId w:val="71"/>
        </w:numPr>
        <w:tabs>
          <w:tab w:pos="1203" w:val="left" w:leader="none"/>
        </w:tabs>
        <w:spacing w:line="364" w:lineRule="auto" w:before="2" w:after="0"/>
        <w:ind w:left="120" w:right="245" w:firstLine="480"/>
        <w:jc w:val="left"/>
        <w:rPr>
          <w:sz w:val="24"/>
        </w:rPr>
      </w:pPr>
      <w:r>
        <w:rPr>
          <w:sz w:val="24"/>
        </w:rPr>
        <w:t>如召集人为基金管理人，还应另行书面通知基金托管人到指定地点对 </w:t>
      </w:r>
      <w:r>
        <w:rPr>
          <w:spacing w:val="-8"/>
          <w:sz w:val="24"/>
        </w:rPr>
        <w:t>书面表决意见的计票进行监督；如召集人为基金托管人，则应另行书面通知基金</w:t>
      </w:r>
      <w:r>
        <w:rPr>
          <w:spacing w:val="-15"/>
          <w:sz w:val="24"/>
        </w:rPr>
        <w:t>管理人到指定地点对书面表决意见的计票进行监督；如召集人为基金份额持有人， </w:t>
      </w:r>
      <w:r>
        <w:rPr>
          <w:spacing w:val="3"/>
          <w:sz w:val="24"/>
        </w:rPr>
        <w:t>则应另行书面通知基金管理人和基金托管人到指定地点对书面表决意见的计票进行监督。</w:t>
      </w:r>
    </w:p>
    <w:p>
      <w:pPr>
        <w:pStyle w:val="BodyText"/>
        <w:spacing w:before="205"/>
        <w:ind w:left="540"/>
      </w:pPr>
      <w:r>
        <w:rPr/>
        <w:t>6、基金份额持有人出席会议的方式</w:t>
      </w:r>
    </w:p>
    <w:p>
      <w:pPr>
        <w:spacing w:after="0"/>
        <w:sectPr>
          <w:pgSz w:w="11910" w:h="16840"/>
          <w:pgMar w:header="0" w:footer="990" w:top="1460" w:bottom="1180" w:left="1680" w:right="1340"/>
        </w:sectPr>
      </w:pPr>
    </w:p>
    <w:p>
      <w:pPr>
        <w:pStyle w:val="ListParagraph"/>
        <w:numPr>
          <w:ilvl w:val="0"/>
          <w:numId w:val="72"/>
        </w:numPr>
        <w:tabs>
          <w:tab w:pos="1201" w:val="left" w:leader="none"/>
        </w:tabs>
        <w:spacing w:line="240" w:lineRule="auto" w:before="44" w:after="0"/>
        <w:ind w:left="1201" w:right="0" w:hanging="601"/>
        <w:jc w:val="left"/>
        <w:rPr>
          <w:sz w:val="24"/>
        </w:rPr>
      </w:pPr>
      <w:r>
        <w:rPr>
          <w:sz w:val="24"/>
        </w:rPr>
        <w:t>会议方式</w:t>
      </w:r>
    </w:p>
    <w:p>
      <w:pPr>
        <w:pStyle w:val="BodyText"/>
        <w:spacing w:line="364" w:lineRule="auto" w:before="160"/>
        <w:ind w:right="458" w:firstLine="480"/>
      </w:pPr>
      <w:r>
        <w:rPr>
          <w:spacing w:val="-5"/>
        </w:rPr>
        <w:t>基金份额持有人大会的召开方式包括现场开会和通讯方式开会。会议的召开</w:t>
      </w:r>
      <w:r>
        <w:rPr/>
        <w:t>方式由召集人确定。</w:t>
      </w:r>
    </w:p>
    <w:p>
      <w:pPr>
        <w:pStyle w:val="BodyText"/>
        <w:spacing w:line="364" w:lineRule="auto" w:before="2"/>
        <w:ind w:right="218" w:firstLine="480"/>
      </w:pPr>
      <w:r>
        <w:rPr/>
        <w:t>现场开会由基金份额持有人本人出席或通过授权委托书委派其代理人出席， 现场开会时基金管理人和基金托管人的授权代表应当出席。</w:t>
      </w:r>
    </w:p>
    <w:p>
      <w:pPr>
        <w:pStyle w:val="BodyText"/>
        <w:ind w:left="600"/>
      </w:pPr>
      <w:r>
        <w:rPr/>
        <w:t>通讯方式开会指按照本基金合同的相关规定以通讯的书面方式进行表决。</w:t>
      </w:r>
    </w:p>
    <w:p>
      <w:pPr>
        <w:pStyle w:val="ListParagraph"/>
        <w:numPr>
          <w:ilvl w:val="0"/>
          <w:numId w:val="72"/>
        </w:numPr>
        <w:tabs>
          <w:tab w:pos="1201" w:val="left" w:leader="none"/>
        </w:tabs>
        <w:spacing w:line="240" w:lineRule="auto" w:before="160" w:after="0"/>
        <w:ind w:left="1201" w:right="0" w:hanging="601"/>
        <w:jc w:val="left"/>
        <w:rPr>
          <w:sz w:val="24"/>
        </w:rPr>
      </w:pPr>
      <w:r>
        <w:rPr>
          <w:sz w:val="24"/>
        </w:rPr>
        <w:t>召开基金份额持有人大会的条件</w:t>
      </w:r>
    </w:p>
    <w:p>
      <w:pPr>
        <w:pStyle w:val="BodyText"/>
        <w:spacing w:before="4"/>
        <w:ind w:left="0"/>
        <w:rPr>
          <w:sz w:val="20"/>
        </w:rPr>
      </w:pPr>
    </w:p>
    <w:p>
      <w:pPr>
        <w:pStyle w:val="ListParagraph"/>
        <w:numPr>
          <w:ilvl w:val="1"/>
          <w:numId w:val="72"/>
        </w:numPr>
        <w:tabs>
          <w:tab w:pos="1321" w:val="left" w:leader="none"/>
        </w:tabs>
        <w:spacing w:line="240" w:lineRule="auto" w:before="0" w:after="0"/>
        <w:ind w:left="1321" w:right="0" w:hanging="361"/>
        <w:jc w:val="left"/>
        <w:rPr>
          <w:sz w:val="24"/>
        </w:rPr>
      </w:pPr>
      <w:r>
        <w:rPr>
          <w:sz w:val="24"/>
        </w:rPr>
        <w:t>现场开会方式</w:t>
      </w:r>
    </w:p>
    <w:p>
      <w:pPr>
        <w:pStyle w:val="BodyText"/>
        <w:spacing w:before="5"/>
        <w:ind w:left="0"/>
        <w:rPr>
          <w:sz w:val="20"/>
        </w:rPr>
      </w:pPr>
    </w:p>
    <w:p>
      <w:pPr>
        <w:pStyle w:val="BodyText"/>
        <w:spacing w:before="0"/>
        <w:ind w:left="960"/>
      </w:pPr>
      <w:r>
        <w:rPr/>
        <w:t>在同时符合以下条件时，现场会议方可举行：</w:t>
      </w:r>
    </w:p>
    <w:p>
      <w:pPr>
        <w:pStyle w:val="BodyText"/>
        <w:spacing w:before="4"/>
        <w:ind w:left="0"/>
        <w:rPr>
          <w:sz w:val="20"/>
        </w:rPr>
      </w:pPr>
    </w:p>
    <w:p>
      <w:pPr>
        <w:pStyle w:val="BodyText"/>
        <w:spacing w:line="364" w:lineRule="auto" w:before="0"/>
        <w:ind w:left="960" w:right="458" w:firstLine="480"/>
        <w:jc w:val="both"/>
      </w:pPr>
      <w:r>
        <w:rPr>
          <w:spacing w:val="-5"/>
        </w:rPr>
        <w:t>① 对到会者在权益登记日持有基金份额的统计显示，有效的基金份</w:t>
      </w:r>
      <w:r>
        <w:rPr>
          <w:spacing w:val="-4"/>
        </w:rPr>
        <w:t>额应占权益登记日基金总份额的 </w:t>
      </w:r>
      <w:r>
        <w:rPr/>
        <w:t>50%以上（“以上”含本数，下同</w:t>
      </w:r>
      <w:r>
        <w:rPr>
          <w:spacing w:val="-120"/>
        </w:rPr>
        <w:t>）</w:t>
      </w:r>
      <w:r>
        <w:rPr/>
        <w:t>；</w:t>
      </w:r>
    </w:p>
    <w:p>
      <w:pPr>
        <w:pStyle w:val="BodyText"/>
        <w:spacing w:line="364" w:lineRule="auto" w:before="101"/>
        <w:ind w:left="960" w:right="458" w:firstLine="480"/>
        <w:jc w:val="both"/>
      </w:pPr>
      <w:r>
        <w:rPr>
          <w:spacing w:val="-5"/>
        </w:rPr>
        <w:t>② 到会的基金份额持有人身份证明及持有基金份额的凭证、代理人</w:t>
      </w:r>
      <w:r>
        <w:rPr/>
        <w:t>身份证明、委托人持有基金份额的凭证及授权委托代理手续完备，到会者出具的相关文件符合有关法律法规和基金合同及会议通知的规定，并且持有基金份额的凭证与基金管理人持有的登记资料相符。</w:t>
      </w:r>
    </w:p>
    <w:p>
      <w:pPr>
        <w:pStyle w:val="BodyText"/>
        <w:spacing w:line="364" w:lineRule="auto" w:before="103"/>
        <w:ind w:left="960" w:right="458"/>
        <w:jc w:val="both"/>
      </w:pPr>
      <w:r>
        <w:rPr/>
        <w:t>未能满足上述条件的情况下，则召集人可另行确定并公告重新开会的时间和地点，但确定有权出席会议的基金份额持有人资格的权益登记日不变。</w:t>
      </w:r>
    </w:p>
    <w:p>
      <w:pPr>
        <w:pStyle w:val="ListParagraph"/>
        <w:numPr>
          <w:ilvl w:val="1"/>
          <w:numId w:val="72"/>
        </w:numPr>
        <w:tabs>
          <w:tab w:pos="1321" w:val="left" w:leader="none"/>
        </w:tabs>
        <w:spacing w:line="240" w:lineRule="auto" w:before="101" w:after="0"/>
        <w:ind w:left="1321" w:right="0" w:hanging="361"/>
        <w:jc w:val="left"/>
        <w:rPr>
          <w:sz w:val="24"/>
        </w:rPr>
      </w:pPr>
      <w:r>
        <w:rPr>
          <w:sz w:val="24"/>
        </w:rPr>
        <w:t>通讯开会方式</w:t>
      </w:r>
    </w:p>
    <w:p>
      <w:pPr>
        <w:pStyle w:val="BodyText"/>
        <w:spacing w:before="4"/>
        <w:ind w:left="0"/>
        <w:rPr>
          <w:sz w:val="20"/>
        </w:rPr>
      </w:pPr>
    </w:p>
    <w:p>
      <w:pPr>
        <w:pStyle w:val="BodyText"/>
        <w:ind w:left="960"/>
      </w:pPr>
      <w:r>
        <w:rPr/>
        <w:t>在同时符合以下条件时，通讯会议方可举行：</w:t>
      </w:r>
    </w:p>
    <w:p>
      <w:pPr>
        <w:pStyle w:val="BodyText"/>
        <w:spacing w:before="4"/>
        <w:ind w:left="0"/>
        <w:rPr>
          <w:sz w:val="20"/>
        </w:rPr>
      </w:pPr>
    </w:p>
    <w:p>
      <w:pPr>
        <w:pStyle w:val="BodyText"/>
        <w:spacing w:line="364" w:lineRule="auto" w:before="0"/>
        <w:ind w:left="960" w:right="458" w:firstLine="480"/>
      </w:pPr>
      <w:r>
        <w:rPr>
          <w:spacing w:val="-8"/>
        </w:rPr>
        <w:t>① 召集人按本基金合同规定公布会议通知后，在 </w:t>
      </w:r>
      <w:r>
        <w:rPr/>
        <w:t>2</w:t>
      </w:r>
      <w:r>
        <w:rPr>
          <w:spacing w:val="-10"/>
        </w:rPr>
        <w:t> 日内连续公布相</w:t>
      </w:r>
      <w:r>
        <w:rPr/>
        <w:t>关提示性公告；</w:t>
      </w:r>
    </w:p>
    <w:p>
      <w:pPr>
        <w:pStyle w:val="BodyText"/>
        <w:spacing w:line="364" w:lineRule="auto" w:before="101"/>
        <w:ind w:left="960" w:right="458" w:firstLine="480"/>
      </w:pPr>
      <w:r>
        <w:rPr/>
        <w:t>② 召集人在基金托管人和公证机关的监督下按照会议通知规定的方式收取和统计基金份额持有人的书面表决意见；</w:t>
      </w:r>
    </w:p>
    <w:p>
      <w:pPr>
        <w:pStyle w:val="BodyText"/>
        <w:spacing w:line="364" w:lineRule="auto" w:before="101"/>
        <w:ind w:left="960" w:right="458" w:firstLine="480"/>
      </w:pPr>
      <w:r>
        <w:rPr/>
        <w:t>③ 本人直接出具书面意见或授权他人代表出具书面意见的基金份额持有人所代表的基金份额应占权益登记日基金总份额的 50%以上；</w:t>
      </w:r>
    </w:p>
    <w:p>
      <w:pPr>
        <w:pStyle w:val="BodyText"/>
        <w:spacing w:before="101"/>
        <w:ind w:left="1440"/>
      </w:pPr>
      <w:r>
        <w:rPr/>
        <w:t>④ 直接出具书面意见的基金份额持有人或受托代表他人出具书面</w:t>
      </w:r>
    </w:p>
    <w:p>
      <w:pPr>
        <w:spacing w:after="0"/>
        <w:sectPr>
          <w:pgSz w:w="11910" w:h="16840"/>
          <w:pgMar w:header="0" w:footer="990" w:top="1460" w:bottom="1180" w:left="1680" w:right="1340"/>
        </w:sectPr>
      </w:pPr>
    </w:p>
    <w:p>
      <w:pPr>
        <w:pStyle w:val="BodyText"/>
        <w:spacing w:line="364" w:lineRule="auto" w:before="44"/>
        <w:ind w:left="960" w:right="458"/>
      </w:pPr>
      <w:r>
        <w:rPr/>
        <w:t>意见的其他代表，同时提交的持有基金份额的凭证符合法律法规、基金合同和会议通知的规定，并与注册登记人记录相符。</w:t>
      </w:r>
    </w:p>
    <w:p>
      <w:pPr>
        <w:pStyle w:val="BodyText"/>
        <w:spacing w:line="364" w:lineRule="auto" w:before="101"/>
        <w:ind w:left="960" w:right="458"/>
      </w:pPr>
      <w:r>
        <w:rPr/>
        <w:t>如果开会条件达不到上述条件，则召集人可另行确定并公告重新表决的时间，但确定有权出席会议的基金份额持有人资格的权益登记日不变。</w:t>
      </w:r>
    </w:p>
    <w:p>
      <w:pPr>
        <w:pStyle w:val="BodyText"/>
        <w:spacing w:line="364" w:lineRule="auto" w:before="101"/>
        <w:ind w:left="960" w:right="458"/>
        <w:jc w:val="both"/>
      </w:pPr>
      <w:r>
        <w:rPr/>
        <w:t>采取通讯方式进行表决时，除非在计票时有充分的相反证据证明，否则表面符合法律法规和会议通知规定的书面表决意见即视为有效的表决， 表决意见模糊不清或相互矛盾的视为弃权表决，但应当计入出具书面意见的基金份额持有人所代表的基金份额总数。</w:t>
      </w:r>
    </w:p>
    <w:p>
      <w:pPr>
        <w:pStyle w:val="BodyText"/>
        <w:spacing w:before="204"/>
        <w:ind w:left="540"/>
      </w:pPr>
      <w:r>
        <w:rPr/>
        <w:t>7、议事内容与程序</w:t>
      </w:r>
    </w:p>
    <w:p>
      <w:pPr>
        <w:pStyle w:val="BodyText"/>
        <w:spacing w:before="0"/>
        <w:ind w:left="0"/>
      </w:pPr>
    </w:p>
    <w:p>
      <w:pPr>
        <w:pStyle w:val="ListParagraph"/>
        <w:numPr>
          <w:ilvl w:val="0"/>
          <w:numId w:val="73"/>
        </w:numPr>
        <w:tabs>
          <w:tab w:pos="1201" w:val="left" w:leader="none"/>
        </w:tabs>
        <w:spacing w:line="240" w:lineRule="auto" w:before="210" w:after="0"/>
        <w:ind w:left="1201" w:right="0" w:hanging="601"/>
        <w:jc w:val="left"/>
        <w:rPr>
          <w:sz w:val="24"/>
        </w:rPr>
      </w:pPr>
      <w:r>
        <w:rPr>
          <w:sz w:val="24"/>
        </w:rPr>
        <w:t>议事内容及提案权</w:t>
      </w:r>
    </w:p>
    <w:p>
      <w:pPr>
        <w:pStyle w:val="BodyText"/>
        <w:spacing w:before="5"/>
        <w:ind w:left="0"/>
        <w:rPr>
          <w:sz w:val="20"/>
        </w:rPr>
      </w:pPr>
    </w:p>
    <w:p>
      <w:pPr>
        <w:pStyle w:val="ListParagraph"/>
        <w:numPr>
          <w:ilvl w:val="1"/>
          <w:numId w:val="73"/>
        </w:numPr>
        <w:tabs>
          <w:tab w:pos="1321" w:val="left" w:leader="none"/>
        </w:tabs>
        <w:spacing w:line="364" w:lineRule="auto" w:before="0" w:after="0"/>
        <w:ind w:left="960" w:right="458" w:firstLine="0"/>
        <w:jc w:val="left"/>
        <w:rPr>
          <w:sz w:val="24"/>
        </w:rPr>
      </w:pPr>
      <w:r>
        <w:rPr>
          <w:sz w:val="24"/>
        </w:rPr>
        <w:t>议事内容为本基金合同规定的召开基金份额持有人大会事由所涉及</w:t>
      </w:r>
      <w:r>
        <w:rPr>
          <w:spacing w:val="-4"/>
          <w:sz w:val="24"/>
        </w:rPr>
        <w:t>的内容以及召集人认为需提交基金份额持有人大会讨论的其他事项。</w:t>
      </w:r>
    </w:p>
    <w:p>
      <w:pPr>
        <w:pStyle w:val="ListParagraph"/>
        <w:numPr>
          <w:ilvl w:val="1"/>
          <w:numId w:val="73"/>
        </w:numPr>
        <w:tabs>
          <w:tab w:pos="1321" w:val="left" w:leader="none"/>
        </w:tabs>
        <w:spacing w:line="240" w:lineRule="auto" w:before="101" w:after="0"/>
        <w:ind w:left="1321" w:right="0" w:hanging="361"/>
        <w:jc w:val="left"/>
        <w:rPr>
          <w:sz w:val="24"/>
        </w:rPr>
      </w:pPr>
      <w:r>
        <w:rPr>
          <w:spacing w:val="-9"/>
          <w:sz w:val="24"/>
        </w:rPr>
        <w:t>基金管理人、基金托管人、单独或合并持有权益登记日本基金总份额</w:t>
      </w:r>
    </w:p>
    <w:p>
      <w:pPr>
        <w:pStyle w:val="BodyText"/>
        <w:spacing w:line="364" w:lineRule="auto" w:before="160"/>
        <w:ind w:left="960" w:right="458"/>
        <w:jc w:val="both"/>
      </w:pPr>
      <w:r>
        <w:rPr/>
        <w:t>10</w:t>
      </w:r>
      <w:r>
        <w:rPr>
          <w:spacing w:val="2"/>
        </w:rPr>
        <w:t>%以上的基金份额持有人可以在大会召集人发出会议通知前就召开事</w:t>
      </w:r>
      <w:r>
        <w:rPr/>
        <w:t>由向大会召集人提交需由基金份额持有人大会审议表决的提案；也可以在会议通知发出后向大会召集人提交临时提案。临时提案应当最迟在大</w:t>
      </w:r>
      <w:r>
        <w:rPr>
          <w:spacing w:val="-10"/>
        </w:rPr>
        <w:t>会召开日前 </w:t>
      </w:r>
      <w:r>
        <w:rPr/>
        <w:t>30</w:t>
      </w:r>
      <w:r>
        <w:rPr>
          <w:spacing w:val="-14"/>
        </w:rPr>
        <w:t> 天提交召集人。召集人对于临时提案应当最迟在大会召开</w:t>
      </w:r>
      <w:r>
        <w:rPr>
          <w:spacing w:val="-20"/>
        </w:rPr>
        <w:t>日前 </w:t>
      </w:r>
      <w:r>
        <w:rPr/>
        <w:t>30</w:t>
      </w:r>
      <w:r>
        <w:rPr>
          <w:spacing w:val="-12"/>
        </w:rPr>
        <w:t> 天公布。</w:t>
      </w:r>
    </w:p>
    <w:p>
      <w:pPr>
        <w:pStyle w:val="ListParagraph"/>
        <w:numPr>
          <w:ilvl w:val="1"/>
          <w:numId w:val="73"/>
        </w:numPr>
        <w:tabs>
          <w:tab w:pos="1321" w:val="left" w:leader="none"/>
        </w:tabs>
        <w:spacing w:line="364" w:lineRule="auto" w:before="103" w:after="0"/>
        <w:ind w:left="960" w:right="458" w:firstLine="0"/>
        <w:jc w:val="left"/>
        <w:rPr>
          <w:sz w:val="24"/>
        </w:rPr>
      </w:pPr>
      <w:r>
        <w:rPr>
          <w:spacing w:val="-3"/>
          <w:sz w:val="24"/>
        </w:rPr>
        <w:t>对于基金份额持有人提交的提案(包括临时提案)，大会召集人应当</w:t>
      </w:r>
      <w:r>
        <w:rPr>
          <w:spacing w:val="-4"/>
          <w:sz w:val="24"/>
        </w:rPr>
        <w:t>按照以下原则对提案进行审核：</w:t>
      </w:r>
    </w:p>
    <w:p>
      <w:pPr>
        <w:pStyle w:val="BodyText"/>
        <w:spacing w:line="364" w:lineRule="auto" w:before="102"/>
        <w:ind w:left="960" w:right="458" w:firstLine="480"/>
        <w:jc w:val="both"/>
      </w:pPr>
      <w:r>
        <w:rPr/>
        <w:t>①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pStyle w:val="BodyText"/>
        <w:spacing w:line="364" w:lineRule="auto" w:before="103"/>
        <w:ind w:left="960" w:right="218" w:firstLine="480"/>
      </w:pPr>
      <w:r>
        <w:rPr/>
        <w:t>②程序性。大会召集人可以对基金份额持有人的提案涉及的程序性 问题作出决定。如将其提案进行分拆或合并表决，需征得原提案人同意；</w:t>
      </w:r>
    </w:p>
    <w:p>
      <w:pPr>
        <w:spacing w:after="0" w:line="364" w:lineRule="auto"/>
        <w:sectPr>
          <w:pgSz w:w="11910" w:h="16840"/>
          <w:pgMar w:header="0" w:footer="990" w:top="1460" w:bottom="1180" w:left="1680" w:right="1340"/>
        </w:sectPr>
      </w:pPr>
    </w:p>
    <w:p>
      <w:pPr>
        <w:pStyle w:val="BodyText"/>
        <w:spacing w:line="364" w:lineRule="auto" w:before="44"/>
        <w:ind w:left="960" w:right="458"/>
      </w:pPr>
      <w:r>
        <w:rPr/>
        <w:t>原提案人不同意变更的，大会主持人可以就程序性问题提请基金份额持有人大会作出决定，并按照基金份额持有人大会决定的程序进行审议。</w:t>
      </w:r>
    </w:p>
    <w:p>
      <w:pPr>
        <w:pStyle w:val="ListParagraph"/>
        <w:numPr>
          <w:ilvl w:val="1"/>
          <w:numId w:val="73"/>
        </w:numPr>
        <w:tabs>
          <w:tab w:pos="1321" w:val="left" w:leader="none"/>
        </w:tabs>
        <w:spacing w:line="364" w:lineRule="auto" w:before="101" w:after="0"/>
        <w:ind w:left="960" w:right="458" w:firstLine="0"/>
        <w:jc w:val="both"/>
        <w:rPr>
          <w:sz w:val="24"/>
        </w:rPr>
      </w:pPr>
      <w:r>
        <w:rPr>
          <w:spacing w:val="-4"/>
          <w:sz w:val="24"/>
        </w:rPr>
        <w:t>单独或合并持有权利登记日基金总份额 </w:t>
      </w:r>
      <w:r>
        <w:rPr>
          <w:sz w:val="24"/>
        </w:rPr>
        <w:t>10%</w:t>
      </w:r>
      <w:r>
        <w:rPr>
          <w:spacing w:val="-16"/>
          <w:sz w:val="24"/>
        </w:rPr>
        <w:t>以上</w:t>
      </w:r>
      <w:r>
        <w:rPr>
          <w:sz w:val="24"/>
        </w:rPr>
        <w:t>（</w:t>
      </w:r>
      <w:r>
        <w:rPr>
          <w:spacing w:val="-30"/>
          <w:sz w:val="24"/>
        </w:rPr>
        <w:t>含 </w:t>
      </w:r>
      <w:r>
        <w:rPr>
          <w:spacing w:val="-8"/>
          <w:sz w:val="24"/>
        </w:rPr>
        <w:t>10％）</w:t>
      </w:r>
      <w:r>
        <w:rPr>
          <w:sz w:val="24"/>
        </w:rPr>
        <w:t>的基金</w:t>
      </w:r>
      <w:r>
        <w:rPr>
          <w:spacing w:val="-4"/>
          <w:sz w:val="24"/>
        </w:rPr>
        <w:t>份额持有人提交基金份额持有人大会审议表决的提案、基金管理人或基金托管人提交基金份额持有人大会审议表决的提案，未获基金份额持有人大会审议通过，就同一提案再次提请基金份额持有人大会审议，其时</w:t>
      </w:r>
      <w:r>
        <w:rPr>
          <w:spacing w:val="-12"/>
          <w:sz w:val="24"/>
        </w:rPr>
        <w:t>间间隔不少于 </w:t>
      </w:r>
      <w:r>
        <w:rPr>
          <w:sz w:val="24"/>
        </w:rPr>
        <w:t>6</w:t>
      </w:r>
      <w:r>
        <w:rPr>
          <w:spacing w:val="-8"/>
          <w:sz w:val="24"/>
        </w:rPr>
        <w:t> 个月。法律法规另有规定除外。</w:t>
      </w:r>
    </w:p>
    <w:p>
      <w:pPr>
        <w:pStyle w:val="ListParagraph"/>
        <w:numPr>
          <w:ilvl w:val="1"/>
          <w:numId w:val="73"/>
        </w:numPr>
        <w:tabs>
          <w:tab w:pos="1321" w:val="left" w:leader="none"/>
        </w:tabs>
        <w:spacing w:line="364" w:lineRule="auto" w:before="103" w:after="0"/>
        <w:ind w:left="960" w:right="458" w:firstLine="0"/>
        <w:jc w:val="both"/>
        <w:rPr>
          <w:sz w:val="24"/>
        </w:rPr>
      </w:pPr>
      <w:r>
        <w:rPr>
          <w:spacing w:val="-2"/>
          <w:sz w:val="24"/>
        </w:rPr>
        <w:t>基金份额持有人大会的召集人发出召集会议的通知后，对原有提案</w:t>
      </w:r>
      <w:r>
        <w:rPr>
          <w:spacing w:val="-7"/>
          <w:sz w:val="24"/>
        </w:rPr>
        <w:t>的修改应当在基金份额持有人大会召开日前 </w:t>
      </w:r>
      <w:r>
        <w:rPr>
          <w:sz w:val="24"/>
        </w:rPr>
        <w:t>10</w:t>
      </w:r>
      <w:r>
        <w:rPr>
          <w:spacing w:val="-16"/>
          <w:sz w:val="24"/>
        </w:rPr>
        <w:t> 日公告，否则会议的召开</w:t>
      </w:r>
      <w:r>
        <w:rPr>
          <w:spacing w:val="-9"/>
          <w:sz w:val="24"/>
        </w:rPr>
        <w:t>日期应当顺延并保证至少有 </w:t>
      </w:r>
      <w:r>
        <w:rPr>
          <w:sz w:val="24"/>
        </w:rPr>
        <w:t>10</w:t>
      </w:r>
      <w:r>
        <w:rPr>
          <w:spacing w:val="-9"/>
          <w:sz w:val="24"/>
        </w:rPr>
        <w:t> 日的间隔期。</w:t>
      </w:r>
    </w:p>
    <w:p>
      <w:pPr>
        <w:pStyle w:val="ListParagraph"/>
        <w:numPr>
          <w:ilvl w:val="0"/>
          <w:numId w:val="73"/>
        </w:numPr>
        <w:tabs>
          <w:tab w:pos="1201" w:val="left" w:leader="none"/>
        </w:tabs>
        <w:spacing w:line="240" w:lineRule="auto" w:before="102" w:after="0"/>
        <w:ind w:left="1201" w:right="0" w:hanging="601"/>
        <w:jc w:val="left"/>
        <w:rPr>
          <w:sz w:val="24"/>
        </w:rPr>
      </w:pPr>
      <w:r>
        <w:rPr>
          <w:sz w:val="24"/>
        </w:rPr>
        <w:t>议事程序</w:t>
      </w:r>
    </w:p>
    <w:p>
      <w:pPr>
        <w:pStyle w:val="BodyText"/>
        <w:spacing w:before="4"/>
        <w:ind w:left="0"/>
        <w:rPr>
          <w:sz w:val="20"/>
        </w:rPr>
      </w:pPr>
    </w:p>
    <w:p>
      <w:pPr>
        <w:pStyle w:val="ListParagraph"/>
        <w:numPr>
          <w:ilvl w:val="0"/>
          <w:numId w:val="74"/>
        </w:numPr>
        <w:tabs>
          <w:tab w:pos="1321" w:val="left" w:leader="none"/>
        </w:tabs>
        <w:spacing w:line="240" w:lineRule="auto" w:before="0" w:after="0"/>
        <w:ind w:left="1321" w:right="0" w:hanging="361"/>
        <w:jc w:val="left"/>
        <w:rPr>
          <w:sz w:val="24"/>
        </w:rPr>
      </w:pPr>
      <w:r>
        <w:rPr>
          <w:sz w:val="24"/>
        </w:rPr>
        <w:t>现场开会</w:t>
      </w:r>
    </w:p>
    <w:p>
      <w:pPr>
        <w:pStyle w:val="BodyText"/>
        <w:spacing w:before="4"/>
        <w:ind w:left="0"/>
        <w:rPr>
          <w:sz w:val="20"/>
        </w:rPr>
      </w:pPr>
    </w:p>
    <w:p>
      <w:pPr>
        <w:pStyle w:val="BodyText"/>
        <w:spacing w:line="364" w:lineRule="auto" w:before="0"/>
        <w:ind w:left="960" w:right="458"/>
        <w:jc w:val="both"/>
      </w:pPr>
      <w:r>
        <w:rPr/>
        <w:t>在现场开会的方式下，首先由大会主持人按照规定程序宣布会议议事程序及注意事项，确定和公布监票人，然后由大会主持人宣读提案，经讨论后在公证机关监督下进行表决，经合法执业的律师见证后形成大会决议。</w:t>
      </w:r>
    </w:p>
    <w:p>
      <w:pPr>
        <w:pStyle w:val="BodyText"/>
        <w:spacing w:line="364" w:lineRule="auto" w:before="103"/>
        <w:ind w:left="960" w:right="458"/>
        <w:jc w:val="both"/>
      </w:pPr>
      <w:r>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 50%以上多数选举产生一名代表作为该次基金份额持有人大会的主持人。</w:t>
      </w:r>
    </w:p>
    <w:p>
      <w:pPr>
        <w:pStyle w:val="BodyText"/>
        <w:spacing w:line="364" w:lineRule="auto" w:before="103"/>
        <w:ind w:left="960" w:right="458"/>
        <w:jc w:val="both"/>
      </w:pPr>
      <w:r>
        <w:rPr/>
        <w:t>召集人应当制作出席会议人员的签名册。签名册载明参加会议人员姓名(或单位名称)、身份证号码、住所地址、持有或代表有表决权的基金份额、委托人姓名(或单位名称)等事项。</w:t>
      </w:r>
    </w:p>
    <w:p>
      <w:pPr>
        <w:pStyle w:val="ListParagraph"/>
        <w:numPr>
          <w:ilvl w:val="0"/>
          <w:numId w:val="74"/>
        </w:numPr>
        <w:tabs>
          <w:tab w:pos="1321" w:val="left" w:leader="none"/>
        </w:tabs>
        <w:spacing w:line="240" w:lineRule="auto" w:before="102" w:after="0"/>
        <w:ind w:left="1321" w:right="0" w:hanging="361"/>
        <w:jc w:val="left"/>
        <w:rPr>
          <w:sz w:val="24"/>
        </w:rPr>
      </w:pPr>
      <w:r>
        <w:rPr>
          <w:sz w:val="24"/>
        </w:rPr>
        <w:t>通讯方式开会</w:t>
      </w:r>
    </w:p>
    <w:p>
      <w:pPr>
        <w:pStyle w:val="BodyText"/>
        <w:spacing w:before="4"/>
        <w:ind w:left="0"/>
        <w:rPr>
          <w:sz w:val="20"/>
        </w:rPr>
      </w:pPr>
    </w:p>
    <w:p>
      <w:pPr>
        <w:pStyle w:val="BodyText"/>
        <w:spacing w:line="364" w:lineRule="auto" w:before="0"/>
        <w:ind w:left="960" w:right="458"/>
        <w:jc w:val="both"/>
      </w:pPr>
      <w:r>
        <w:rPr>
          <w:spacing w:val="-7"/>
        </w:rPr>
        <w:t>在通讯表决开会的方式下，首先由召集人提前 </w:t>
      </w:r>
      <w:r>
        <w:rPr/>
        <w:t>30</w:t>
      </w:r>
      <w:r>
        <w:rPr>
          <w:spacing w:val="-13"/>
        </w:rPr>
        <w:t> 日公布提案，在所通知</w:t>
      </w:r>
      <w:r>
        <w:rPr>
          <w:spacing w:val="-7"/>
        </w:rPr>
        <w:t>的表决截止日期第 </w:t>
      </w:r>
      <w:r>
        <w:rPr/>
        <w:t>2</w:t>
      </w:r>
      <w:r>
        <w:rPr>
          <w:spacing w:val="-8"/>
        </w:rPr>
        <w:t> 日在公证机构监督下由召集人统计全部有效表决并形成决议。</w:t>
      </w:r>
    </w:p>
    <w:p>
      <w:pPr>
        <w:spacing w:after="0" w:line="364" w:lineRule="auto"/>
        <w:jc w:val="both"/>
        <w:sectPr>
          <w:pgSz w:w="11910" w:h="16840"/>
          <w:pgMar w:header="0" w:footer="990" w:top="1460" w:bottom="1180" w:left="1680" w:right="1340"/>
        </w:sectPr>
      </w:pPr>
    </w:p>
    <w:p>
      <w:pPr>
        <w:pStyle w:val="ListParagraph"/>
        <w:numPr>
          <w:ilvl w:val="0"/>
          <w:numId w:val="73"/>
        </w:numPr>
        <w:tabs>
          <w:tab w:pos="1201" w:val="left" w:leader="none"/>
        </w:tabs>
        <w:spacing w:line="240" w:lineRule="auto" w:before="44" w:after="0"/>
        <w:ind w:left="1201" w:right="0" w:hanging="601"/>
        <w:jc w:val="left"/>
        <w:rPr>
          <w:sz w:val="24"/>
        </w:rPr>
      </w:pPr>
      <w:r>
        <w:rPr>
          <w:sz w:val="24"/>
        </w:rPr>
        <w:t>基金份额持有人大会不得对未事先公告的议事内容进行表决。</w:t>
      </w:r>
    </w:p>
    <w:p>
      <w:pPr>
        <w:pStyle w:val="BodyText"/>
        <w:spacing w:before="3"/>
        <w:ind w:left="0"/>
        <w:rPr>
          <w:sz w:val="28"/>
        </w:rPr>
      </w:pPr>
    </w:p>
    <w:p>
      <w:pPr>
        <w:pStyle w:val="BodyText"/>
        <w:spacing w:before="0"/>
        <w:ind w:left="540"/>
      </w:pPr>
      <w:r>
        <w:rPr/>
        <w:t>8、决议形成的条件、表决方式、程序</w:t>
      </w:r>
    </w:p>
    <w:p>
      <w:pPr>
        <w:pStyle w:val="BodyText"/>
        <w:spacing w:before="0"/>
        <w:ind w:left="0"/>
      </w:pPr>
    </w:p>
    <w:p>
      <w:pPr>
        <w:pStyle w:val="ListParagraph"/>
        <w:numPr>
          <w:ilvl w:val="0"/>
          <w:numId w:val="75"/>
        </w:numPr>
        <w:tabs>
          <w:tab w:pos="1201" w:val="left" w:leader="none"/>
        </w:tabs>
        <w:spacing w:line="240" w:lineRule="auto" w:before="210" w:after="0"/>
        <w:ind w:left="1201" w:right="0" w:hanging="601"/>
        <w:jc w:val="left"/>
        <w:rPr>
          <w:sz w:val="24"/>
        </w:rPr>
      </w:pPr>
      <w:r>
        <w:rPr>
          <w:sz w:val="24"/>
        </w:rPr>
        <w:t>基金份额持有人所持每一基金份额享有平等的表决权。</w:t>
      </w:r>
    </w:p>
    <w:p>
      <w:pPr>
        <w:pStyle w:val="ListParagraph"/>
        <w:numPr>
          <w:ilvl w:val="0"/>
          <w:numId w:val="75"/>
        </w:numPr>
        <w:tabs>
          <w:tab w:pos="1201" w:val="left" w:leader="none"/>
        </w:tabs>
        <w:spacing w:line="240" w:lineRule="auto" w:before="161" w:after="0"/>
        <w:ind w:left="1201" w:right="0" w:hanging="601"/>
        <w:jc w:val="left"/>
        <w:rPr>
          <w:sz w:val="24"/>
        </w:rPr>
      </w:pPr>
      <w:r>
        <w:rPr>
          <w:sz w:val="24"/>
        </w:rPr>
        <w:t>基金份额持有人大会决议分为一般决议和特别决议：</w:t>
      </w:r>
    </w:p>
    <w:p>
      <w:pPr>
        <w:pStyle w:val="BodyText"/>
        <w:spacing w:before="4"/>
        <w:ind w:left="0"/>
        <w:rPr>
          <w:sz w:val="20"/>
        </w:rPr>
      </w:pPr>
    </w:p>
    <w:p>
      <w:pPr>
        <w:pStyle w:val="ListParagraph"/>
        <w:numPr>
          <w:ilvl w:val="1"/>
          <w:numId w:val="75"/>
        </w:numPr>
        <w:tabs>
          <w:tab w:pos="1321" w:val="left" w:leader="none"/>
        </w:tabs>
        <w:spacing w:line="240" w:lineRule="auto" w:before="0" w:after="0"/>
        <w:ind w:left="1321" w:right="0" w:hanging="361"/>
        <w:jc w:val="left"/>
        <w:rPr>
          <w:sz w:val="24"/>
        </w:rPr>
      </w:pPr>
      <w:r>
        <w:rPr>
          <w:sz w:val="24"/>
        </w:rPr>
        <w:t>一般决议</w:t>
      </w:r>
    </w:p>
    <w:p>
      <w:pPr>
        <w:pStyle w:val="BodyText"/>
        <w:spacing w:before="4"/>
        <w:ind w:left="0"/>
        <w:rPr>
          <w:sz w:val="20"/>
        </w:rPr>
      </w:pPr>
    </w:p>
    <w:p>
      <w:pPr>
        <w:pStyle w:val="BodyText"/>
        <w:spacing w:line="364" w:lineRule="auto" w:before="0"/>
        <w:ind w:left="960" w:right="458"/>
        <w:jc w:val="both"/>
      </w:pPr>
      <w:r>
        <w:rPr/>
        <w:t>一般决议须经出席会议的基金份额持有人及其代理人所持表决权的 50% 以上通过方为有效，除下列第 2）项规定的须以特别决议通过事项以外的其他事项均以一般决议的方式通过；</w:t>
      </w:r>
    </w:p>
    <w:p>
      <w:pPr>
        <w:pStyle w:val="ListParagraph"/>
        <w:numPr>
          <w:ilvl w:val="1"/>
          <w:numId w:val="75"/>
        </w:numPr>
        <w:tabs>
          <w:tab w:pos="1321" w:val="left" w:leader="none"/>
        </w:tabs>
        <w:spacing w:line="240" w:lineRule="auto" w:before="102" w:after="0"/>
        <w:ind w:left="1321" w:right="0" w:hanging="361"/>
        <w:jc w:val="left"/>
        <w:rPr>
          <w:sz w:val="24"/>
        </w:rPr>
      </w:pPr>
      <w:r>
        <w:rPr>
          <w:sz w:val="24"/>
        </w:rPr>
        <w:t>特别决议</w:t>
      </w:r>
    </w:p>
    <w:p>
      <w:pPr>
        <w:pStyle w:val="BodyText"/>
        <w:spacing w:before="4"/>
        <w:ind w:left="0"/>
        <w:rPr>
          <w:sz w:val="20"/>
        </w:rPr>
      </w:pPr>
    </w:p>
    <w:p>
      <w:pPr>
        <w:pStyle w:val="BodyText"/>
        <w:spacing w:line="364" w:lineRule="auto" w:before="0"/>
        <w:ind w:left="960" w:right="458"/>
        <w:jc w:val="both"/>
      </w:pPr>
      <w:r>
        <w:rPr/>
        <w:t>特别决议须经出席会议的基金份额持有人及其代理人所持表决权的三分之二以上通过方为有效；更换基金管理人、更换基金托管人、转换基金运作方式、终止基金合同、本基金与其他基金合并必须以特别决议方式通过。</w:t>
      </w:r>
    </w:p>
    <w:p>
      <w:pPr>
        <w:pStyle w:val="ListParagraph"/>
        <w:numPr>
          <w:ilvl w:val="0"/>
          <w:numId w:val="75"/>
        </w:numPr>
        <w:tabs>
          <w:tab w:pos="1203" w:val="left" w:leader="none"/>
        </w:tabs>
        <w:spacing w:line="364" w:lineRule="auto" w:before="103" w:after="0"/>
        <w:ind w:left="120" w:right="458" w:firstLine="480"/>
        <w:jc w:val="left"/>
        <w:rPr>
          <w:sz w:val="24"/>
        </w:rPr>
      </w:pPr>
      <w:r>
        <w:rPr>
          <w:sz w:val="24"/>
        </w:rPr>
        <w:t>基金份额持有人大会决定的事项，应当依法报中国证监会备案，并予以公告。</w:t>
      </w:r>
    </w:p>
    <w:p>
      <w:pPr>
        <w:pStyle w:val="ListParagraph"/>
        <w:numPr>
          <w:ilvl w:val="0"/>
          <w:numId w:val="75"/>
        </w:numPr>
        <w:tabs>
          <w:tab w:pos="1201" w:val="left" w:leader="none"/>
        </w:tabs>
        <w:spacing w:line="240" w:lineRule="auto" w:before="1" w:after="0"/>
        <w:ind w:left="1201" w:right="0" w:hanging="601"/>
        <w:jc w:val="left"/>
        <w:rPr>
          <w:sz w:val="24"/>
        </w:rPr>
      </w:pPr>
      <w:r>
        <w:rPr>
          <w:sz w:val="24"/>
        </w:rPr>
        <w:t>基金份额持有人大会采取记名方式进行投票表决。</w:t>
      </w:r>
    </w:p>
    <w:p>
      <w:pPr>
        <w:pStyle w:val="ListParagraph"/>
        <w:numPr>
          <w:ilvl w:val="0"/>
          <w:numId w:val="75"/>
        </w:numPr>
        <w:tabs>
          <w:tab w:pos="1203" w:val="left" w:leader="none"/>
        </w:tabs>
        <w:spacing w:line="364" w:lineRule="auto" w:before="161" w:after="0"/>
        <w:ind w:left="120" w:right="458" w:firstLine="480"/>
        <w:jc w:val="left"/>
        <w:rPr>
          <w:sz w:val="24"/>
        </w:rPr>
      </w:pPr>
      <w:r>
        <w:rPr>
          <w:sz w:val="24"/>
        </w:rPr>
        <w:t>基金份额持有人大会的各项提案或同一项提案内并列的各项议题应当分开审议、逐项表决。</w:t>
      </w:r>
    </w:p>
    <w:p>
      <w:pPr>
        <w:pStyle w:val="BodyText"/>
        <w:spacing w:before="202"/>
        <w:ind w:left="540"/>
      </w:pPr>
      <w:r>
        <w:rPr/>
        <w:t>9、计票</w:t>
      </w:r>
    </w:p>
    <w:p>
      <w:pPr>
        <w:pStyle w:val="BodyText"/>
        <w:spacing w:before="0"/>
        <w:ind w:left="0"/>
      </w:pPr>
    </w:p>
    <w:p>
      <w:pPr>
        <w:pStyle w:val="ListParagraph"/>
        <w:numPr>
          <w:ilvl w:val="0"/>
          <w:numId w:val="76"/>
        </w:numPr>
        <w:tabs>
          <w:tab w:pos="1201" w:val="left" w:leader="none"/>
        </w:tabs>
        <w:spacing w:line="240" w:lineRule="auto" w:before="211" w:after="0"/>
        <w:ind w:left="1201" w:right="0" w:hanging="601"/>
        <w:jc w:val="left"/>
        <w:rPr>
          <w:sz w:val="24"/>
        </w:rPr>
      </w:pPr>
      <w:r>
        <w:rPr>
          <w:sz w:val="24"/>
        </w:rPr>
        <w:t>现场开会</w:t>
      </w:r>
    </w:p>
    <w:p>
      <w:pPr>
        <w:pStyle w:val="BodyText"/>
        <w:spacing w:before="4"/>
        <w:ind w:left="0"/>
        <w:rPr>
          <w:sz w:val="20"/>
        </w:rPr>
      </w:pPr>
    </w:p>
    <w:p>
      <w:pPr>
        <w:pStyle w:val="ListParagraph"/>
        <w:numPr>
          <w:ilvl w:val="1"/>
          <w:numId w:val="76"/>
        </w:numPr>
        <w:tabs>
          <w:tab w:pos="1321" w:val="left" w:leader="none"/>
        </w:tabs>
        <w:spacing w:line="364" w:lineRule="auto" w:before="0" w:after="0"/>
        <w:ind w:left="960" w:right="458" w:firstLine="0"/>
        <w:jc w:val="both"/>
        <w:rPr>
          <w:sz w:val="24"/>
        </w:rPr>
      </w:pPr>
      <w:r>
        <w:rPr>
          <w:spacing w:val="-2"/>
          <w:sz w:val="24"/>
        </w:rPr>
        <w:t>如基金份额持有人大会由基金管理人或基金托管人召集，则基金份</w:t>
      </w:r>
      <w:r>
        <w:rPr>
          <w:spacing w:val="-4"/>
          <w:sz w:val="24"/>
        </w:rPr>
        <w:t>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w:t>
      </w:r>
      <w:r>
        <w:rPr>
          <w:spacing w:val="-11"/>
          <w:sz w:val="24"/>
        </w:rPr>
        <w:t>人和代理人中推举 </w:t>
      </w:r>
      <w:r>
        <w:rPr>
          <w:sz w:val="24"/>
        </w:rPr>
        <w:t>3</w:t>
      </w:r>
      <w:r>
        <w:rPr>
          <w:spacing w:val="-8"/>
          <w:sz w:val="24"/>
        </w:rPr>
        <w:t> 名基金份额持有人担任监票人。</w:t>
      </w:r>
    </w:p>
    <w:p>
      <w:pPr>
        <w:spacing w:after="0" w:line="364" w:lineRule="auto"/>
        <w:jc w:val="both"/>
        <w:rPr>
          <w:sz w:val="24"/>
        </w:rPr>
        <w:sectPr>
          <w:pgSz w:w="11910" w:h="16840"/>
          <w:pgMar w:header="0" w:footer="990" w:top="1460" w:bottom="1180" w:left="1680" w:right="1340"/>
        </w:sectPr>
      </w:pPr>
    </w:p>
    <w:p>
      <w:pPr>
        <w:pStyle w:val="ListParagraph"/>
        <w:numPr>
          <w:ilvl w:val="1"/>
          <w:numId w:val="76"/>
        </w:numPr>
        <w:tabs>
          <w:tab w:pos="1321" w:val="left" w:leader="none"/>
        </w:tabs>
        <w:spacing w:line="364" w:lineRule="auto" w:before="44" w:after="0"/>
        <w:ind w:left="960" w:right="458" w:firstLine="0"/>
        <w:jc w:val="left"/>
        <w:rPr>
          <w:sz w:val="24"/>
        </w:rPr>
      </w:pPr>
      <w:r>
        <w:rPr>
          <w:spacing w:val="-3"/>
          <w:sz w:val="24"/>
        </w:rPr>
        <w:t>监票人应当在基金份额持有人表决后立即进行清点，由大会主持人</w:t>
      </w:r>
      <w:r>
        <w:rPr>
          <w:spacing w:val="-4"/>
          <w:sz w:val="24"/>
        </w:rPr>
        <w:t>当场公布计票结果。</w:t>
      </w:r>
    </w:p>
    <w:p>
      <w:pPr>
        <w:pStyle w:val="ListParagraph"/>
        <w:numPr>
          <w:ilvl w:val="1"/>
          <w:numId w:val="76"/>
        </w:numPr>
        <w:tabs>
          <w:tab w:pos="1321" w:val="left" w:leader="none"/>
        </w:tabs>
        <w:spacing w:line="364" w:lineRule="auto" w:before="101" w:after="0"/>
        <w:ind w:left="960" w:right="458" w:firstLine="0"/>
        <w:jc w:val="both"/>
        <w:rPr>
          <w:sz w:val="24"/>
        </w:rPr>
      </w:pPr>
      <w:r>
        <w:rPr>
          <w:spacing w:val="-3"/>
          <w:sz w:val="24"/>
        </w:rPr>
        <w:t>如会议主持人对于提交的表决结果有怀疑，可以对投票数进行重新</w:t>
      </w:r>
      <w:r>
        <w:rPr>
          <w:spacing w:val="-4"/>
          <w:sz w:val="24"/>
        </w:rPr>
        <w:t>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pStyle w:val="ListParagraph"/>
        <w:numPr>
          <w:ilvl w:val="1"/>
          <w:numId w:val="76"/>
        </w:numPr>
        <w:tabs>
          <w:tab w:pos="1321" w:val="left" w:leader="none"/>
        </w:tabs>
        <w:spacing w:line="364" w:lineRule="auto" w:before="103" w:after="0"/>
        <w:ind w:left="960" w:right="458" w:firstLine="0"/>
        <w:jc w:val="left"/>
        <w:rPr>
          <w:sz w:val="24"/>
        </w:rPr>
      </w:pPr>
      <w:r>
        <w:rPr>
          <w:spacing w:val="-4"/>
          <w:sz w:val="24"/>
        </w:rPr>
        <w:t>计票过程应由公证机关予以公证，基金管理人或基金托管人拒不参加基金份额持有人大会或拒不配合计票的，不影响计票的效力。</w:t>
      </w:r>
    </w:p>
    <w:p>
      <w:pPr>
        <w:pStyle w:val="ListParagraph"/>
        <w:numPr>
          <w:ilvl w:val="0"/>
          <w:numId w:val="76"/>
        </w:numPr>
        <w:tabs>
          <w:tab w:pos="1201" w:val="left" w:leader="none"/>
        </w:tabs>
        <w:spacing w:line="240" w:lineRule="auto" w:before="101" w:after="0"/>
        <w:ind w:left="1201" w:right="0" w:hanging="601"/>
        <w:jc w:val="left"/>
        <w:rPr>
          <w:sz w:val="24"/>
        </w:rPr>
      </w:pPr>
      <w:r>
        <w:rPr>
          <w:sz w:val="24"/>
        </w:rPr>
        <w:t>通讯方式开会</w:t>
      </w:r>
    </w:p>
    <w:p>
      <w:pPr>
        <w:pStyle w:val="BodyText"/>
        <w:spacing w:line="364" w:lineRule="auto" w:before="161"/>
        <w:ind w:right="458" w:firstLine="480"/>
        <w:jc w:val="both"/>
      </w:pPr>
      <w:r>
        <w:rPr>
          <w:spacing w:val="-7"/>
        </w:rPr>
        <w:t>在通讯方式开会的情况下，计票方式为：由大会召集人授权的两名监督员在</w:t>
      </w:r>
      <w:r>
        <w:rPr>
          <w:spacing w:val="-6"/>
        </w:rPr>
        <w:t>基金托管人授权代表(如果基金托管人为召集人，则为基金管理人授权代表)的监</w:t>
      </w:r>
      <w:r>
        <w:rPr>
          <w:spacing w:val="-10"/>
        </w:rPr>
        <w:t>督下进行计票，由公证机关对其计票过程予以公证。基金管理人或基金托管人拒</w:t>
      </w:r>
      <w:r>
        <w:rPr/>
        <w:t>派代表对书面表决意见的计票进行监督的，不影响计票和表决结果。</w:t>
      </w:r>
    </w:p>
    <w:p>
      <w:pPr>
        <w:pStyle w:val="BodyText"/>
        <w:spacing w:before="204"/>
        <w:ind w:left="540"/>
      </w:pPr>
      <w:r>
        <w:rPr/>
        <w:t>10、基金份额持有人大会决议的生效与公告</w:t>
      </w:r>
    </w:p>
    <w:p>
      <w:pPr>
        <w:pStyle w:val="BodyText"/>
        <w:spacing w:before="0"/>
        <w:ind w:left="0"/>
      </w:pPr>
    </w:p>
    <w:p>
      <w:pPr>
        <w:pStyle w:val="ListParagraph"/>
        <w:numPr>
          <w:ilvl w:val="0"/>
          <w:numId w:val="77"/>
        </w:numPr>
        <w:tabs>
          <w:tab w:pos="1203" w:val="left" w:leader="none"/>
        </w:tabs>
        <w:spacing w:line="364" w:lineRule="auto" w:before="210" w:after="0"/>
        <w:ind w:left="120" w:right="458" w:firstLine="480"/>
        <w:jc w:val="both"/>
        <w:rPr>
          <w:sz w:val="24"/>
        </w:rPr>
      </w:pPr>
      <w:r>
        <w:rPr>
          <w:sz w:val="24"/>
        </w:rPr>
        <w:t>基金份额持有人大会通过的一般决议和特别决议，召集人应当自通过</w:t>
      </w:r>
      <w:r>
        <w:rPr>
          <w:spacing w:val="-15"/>
          <w:sz w:val="24"/>
        </w:rPr>
        <w:t>之日起 </w:t>
      </w:r>
      <w:r>
        <w:rPr>
          <w:sz w:val="24"/>
        </w:rPr>
        <w:t>5</w:t>
      </w:r>
      <w:r>
        <w:rPr>
          <w:spacing w:val="-15"/>
          <w:sz w:val="24"/>
        </w:rPr>
        <w:t> 日内报中国证监会备案。基金份额持有人大会决定的事项自表决通过之</w:t>
      </w:r>
      <w:r>
        <w:rPr>
          <w:sz w:val="24"/>
        </w:rPr>
        <w:t>日起生效。</w:t>
      </w:r>
    </w:p>
    <w:p>
      <w:pPr>
        <w:pStyle w:val="ListParagraph"/>
        <w:numPr>
          <w:ilvl w:val="0"/>
          <w:numId w:val="77"/>
        </w:numPr>
        <w:tabs>
          <w:tab w:pos="1203" w:val="left" w:leader="none"/>
        </w:tabs>
        <w:spacing w:line="364" w:lineRule="auto" w:before="2" w:after="0"/>
        <w:ind w:left="120" w:right="218" w:firstLine="480"/>
        <w:jc w:val="left"/>
        <w:rPr>
          <w:sz w:val="24"/>
        </w:rPr>
      </w:pPr>
      <w:r>
        <w:rPr>
          <w:sz w:val="24"/>
        </w:rPr>
        <w:t>生效的基金份额持有人大会决议对全体基金份额持有人、基金管理人、</w:t>
      </w:r>
      <w:r>
        <w:rPr>
          <w:spacing w:val="-8"/>
          <w:sz w:val="24"/>
        </w:rPr>
        <w:t>基金托管人均有约束力。基金管理人、基金托管人和基金份额持有人应当执行生 效的基金份额持有人大会的决定。</w:t>
      </w:r>
    </w:p>
    <w:p>
      <w:pPr>
        <w:pStyle w:val="ListParagraph"/>
        <w:numPr>
          <w:ilvl w:val="0"/>
          <w:numId w:val="77"/>
        </w:numPr>
        <w:tabs>
          <w:tab w:pos="1203" w:val="left" w:leader="none"/>
        </w:tabs>
        <w:spacing w:line="364" w:lineRule="auto" w:before="2" w:after="0"/>
        <w:ind w:left="120" w:right="458" w:firstLine="480"/>
        <w:jc w:val="left"/>
        <w:rPr>
          <w:sz w:val="24"/>
        </w:rPr>
      </w:pPr>
      <w:r>
        <w:rPr>
          <w:spacing w:val="-4"/>
          <w:sz w:val="24"/>
        </w:rPr>
        <w:t>基金份额持有人大会决议应自生效之日起 </w:t>
      </w:r>
      <w:r>
        <w:rPr>
          <w:sz w:val="24"/>
        </w:rPr>
        <w:t>2</w:t>
      </w:r>
      <w:r>
        <w:rPr>
          <w:spacing w:val="-8"/>
          <w:sz w:val="24"/>
        </w:rPr>
        <w:t> 日内由相关信息披露义务人在指定媒介公告。</w:t>
      </w:r>
    </w:p>
    <w:p>
      <w:pPr>
        <w:pStyle w:val="BodyText"/>
      </w:pPr>
      <w:r>
        <w:rPr/>
        <w:t>（六）基金收益分配原则、执行方式</w:t>
      </w:r>
    </w:p>
    <w:p>
      <w:pPr>
        <w:pStyle w:val="BodyText"/>
        <w:spacing w:before="9"/>
        <w:ind w:left="0"/>
      </w:pPr>
    </w:p>
    <w:p>
      <w:pPr>
        <w:pStyle w:val="ListParagraph"/>
        <w:numPr>
          <w:ilvl w:val="0"/>
          <w:numId w:val="78"/>
        </w:numPr>
        <w:tabs>
          <w:tab w:pos="952" w:val="left" w:leader="none"/>
        </w:tabs>
        <w:spacing w:line="240" w:lineRule="auto" w:before="0" w:after="0"/>
        <w:ind w:left="951" w:right="0" w:hanging="362"/>
        <w:jc w:val="left"/>
        <w:rPr>
          <w:sz w:val="24"/>
        </w:rPr>
      </w:pPr>
      <w:r>
        <w:rPr>
          <w:sz w:val="24"/>
        </w:rPr>
        <w:t>收益的构成</w:t>
      </w:r>
    </w:p>
    <w:p>
      <w:pPr>
        <w:pStyle w:val="BodyText"/>
        <w:spacing w:before="9"/>
        <w:ind w:left="0"/>
      </w:pPr>
    </w:p>
    <w:p>
      <w:pPr>
        <w:pStyle w:val="ListParagraph"/>
        <w:numPr>
          <w:ilvl w:val="0"/>
          <w:numId w:val="79"/>
        </w:numPr>
        <w:tabs>
          <w:tab w:pos="1203" w:val="left" w:leader="none"/>
        </w:tabs>
        <w:spacing w:line="364" w:lineRule="auto" w:before="0" w:after="0"/>
        <w:ind w:left="120" w:right="218" w:firstLine="480"/>
        <w:jc w:val="left"/>
        <w:rPr>
          <w:sz w:val="24"/>
        </w:rPr>
      </w:pPr>
      <w:r>
        <w:rPr>
          <w:sz w:val="24"/>
        </w:rPr>
        <w:t>基金收益包括：基金投资所得红利、股息、债券利息、买卖证券差价、银行存款利息以及其他收入。</w:t>
      </w:r>
    </w:p>
    <w:p>
      <w:pPr>
        <w:spacing w:after="0" w:line="364" w:lineRule="auto"/>
        <w:jc w:val="left"/>
        <w:rPr>
          <w:sz w:val="24"/>
        </w:rPr>
        <w:sectPr>
          <w:pgSz w:w="11910" w:h="16840"/>
          <w:pgMar w:header="0" w:footer="990" w:top="1460" w:bottom="1180" w:left="1680" w:right="1340"/>
        </w:sectPr>
      </w:pPr>
    </w:p>
    <w:p>
      <w:pPr>
        <w:pStyle w:val="ListParagraph"/>
        <w:numPr>
          <w:ilvl w:val="0"/>
          <w:numId w:val="79"/>
        </w:numPr>
        <w:tabs>
          <w:tab w:pos="1201" w:val="left" w:leader="none"/>
        </w:tabs>
        <w:spacing w:line="240" w:lineRule="auto" w:before="44" w:after="0"/>
        <w:ind w:left="1201" w:right="0" w:hanging="601"/>
        <w:jc w:val="left"/>
        <w:rPr>
          <w:sz w:val="24"/>
        </w:rPr>
      </w:pPr>
      <w:r>
        <w:rPr>
          <w:sz w:val="24"/>
        </w:rPr>
        <w:t>因运用基金财产带来的成本或费用的节约应计入收益。</w:t>
      </w:r>
    </w:p>
    <w:p>
      <w:pPr>
        <w:pStyle w:val="ListParagraph"/>
        <w:numPr>
          <w:ilvl w:val="0"/>
          <w:numId w:val="79"/>
        </w:numPr>
        <w:tabs>
          <w:tab w:pos="1203" w:val="left" w:leader="none"/>
        </w:tabs>
        <w:spacing w:line="364" w:lineRule="auto" w:before="160" w:after="0"/>
        <w:ind w:left="120" w:right="458" w:firstLine="480"/>
        <w:jc w:val="left"/>
        <w:rPr>
          <w:sz w:val="24"/>
        </w:rPr>
      </w:pPr>
      <w:r>
        <w:rPr>
          <w:sz w:val="24"/>
        </w:rPr>
        <w:t>基金净收益为基金收益扣除按照有关规定可以在基金收益中扣除的费用等项目后的余额。</w:t>
      </w:r>
    </w:p>
    <w:p>
      <w:pPr>
        <w:pStyle w:val="ListParagraph"/>
        <w:numPr>
          <w:ilvl w:val="0"/>
          <w:numId w:val="78"/>
        </w:numPr>
        <w:tabs>
          <w:tab w:pos="961" w:val="left" w:leader="none"/>
        </w:tabs>
        <w:spacing w:line="240" w:lineRule="auto" w:before="158" w:after="0"/>
        <w:ind w:left="961" w:right="0" w:hanging="361"/>
        <w:jc w:val="left"/>
        <w:rPr>
          <w:sz w:val="24"/>
        </w:rPr>
      </w:pPr>
      <w:r>
        <w:rPr>
          <w:sz w:val="24"/>
        </w:rPr>
        <w:t>收益分配原则</w:t>
      </w:r>
    </w:p>
    <w:p>
      <w:pPr>
        <w:pStyle w:val="BodyText"/>
        <w:spacing w:before="8"/>
        <w:ind w:left="0"/>
      </w:pPr>
    </w:p>
    <w:p>
      <w:pPr>
        <w:pStyle w:val="ListParagraph"/>
        <w:numPr>
          <w:ilvl w:val="0"/>
          <w:numId w:val="80"/>
        </w:numPr>
        <w:tabs>
          <w:tab w:pos="1203" w:val="left" w:leader="none"/>
        </w:tabs>
        <w:spacing w:line="364" w:lineRule="auto" w:before="1" w:after="0"/>
        <w:ind w:left="120" w:right="458" w:firstLine="480"/>
        <w:jc w:val="both"/>
        <w:rPr>
          <w:sz w:val="24"/>
        </w:rPr>
      </w:pPr>
      <w:r>
        <w:rPr>
          <w:sz w:val="24"/>
        </w:rPr>
        <w:t>基金收益分配采用现金方式或红利再投资方式（指现金红利按红利发放日前一工作日的基金份额净值自动转为基金份额进行再投资</w:t>
      </w:r>
      <w:r>
        <w:rPr>
          <w:spacing w:val="-48"/>
          <w:sz w:val="24"/>
        </w:rPr>
        <w:t>）</w:t>
      </w:r>
      <w:r>
        <w:rPr>
          <w:spacing w:val="-11"/>
          <w:sz w:val="24"/>
        </w:rPr>
        <w:t>，基金份额持有</w:t>
      </w:r>
      <w:r>
        <w:rPr>
          <w:spacing w:val="-7"/>
          <w:sz w:val="24"/>
        </w:rPr>
        <w:t>人可选择现金方式或红利再投资方式；基金份额持有人事先未做出选择的，默认</w:t>
      </w:r>
      <w:r>
        <w:rPr>
          <w:sz w:val="24"/>
        </w:rPr>
        <w:t>的分红方式为现金红利；</w:t>
      </w:r>
    </w:p>
    <w:p>
      <w:pPr>
        <w:pStyle w:val="ListParagraph"/>
        <w:numPr>
          <w:ilvl w:val="0"/>
          <w:numId w:val="80"/>
        </w:numPr>
        <w:tabs>
          <w:tab w:pos="1201" w:val="left" w:leader="none"/>
        </w:tabs>
        <w:spacing w:line="240" w:lineRule="auto" w:before="2" w:after="0"/>
        <w:ind w:left="1201" w:right="0" w:hanging="601"/>
        <w:jc w:val="left"/>
        <w:rPr>
          <w:sz w:val="24"/>
        </w:rPr>
      </w:pPr>
      <w:r>
        <w:rPr>
          <w:sz w:val="24"/>
        </w:rPr>
        <w:t>每一基金份额享有同等分配权；</w:t>
      </w:r>
    </w:p>
    <w:p>
      <w:pPr>
        <w:pStyle w:val="ListParagraph"/>
        <w:numPr>
          <w:ilvl w:val="0"/>
          <w:numId w:val="80"/>
        </w:numPr>
        <w:tabs>
          <w:tab w:pos="1201" w:val="left" w:leader="none"/>
        </w:tabs>
        <w:spacing w:line="240" w:lineRule="auto" w:before="160" w:after="0"/>
        <w:ind w:left="1201" w:right="0" w:hanging="601"/>
        <w:jc w:val="left"/>
        <w:rPr>
          <w:sz w:val="24"/>
        </w:rPr>
      </w:pPr>
      <w:r>
        <w:rPr>
          <w:sz w:val="24"/>
        </w:rPr>
        <w:t>基金当期收益先弥补上期亏损后，方可进行当期收益分配；</w:t>
      </w:r>
    </w:p>
    <w:p>
      <w:pPr>
        <w:pStyle w:val="ListParagraph"/>
        <w:numPr>
          <w:ilvl w:val="0"/>
          <w:numId w:val="80"/>
        </w:numPr>
        <w:tabs>
          <w:tab w:pos="1201" w:val="left" w:leader="none"/>
        </w:tabs>
        <w:spacing w:line="240" w:lineRule="auto" w:before="161" w:after="0"/>
        <w:ind w:left="1201" w:right="0" w:hanging="601"/>
        <w:jc w:val="left"/>
        <w:rPr>
          <w:sz w:val="24"/>
        </w:rPr>
      </w:pPr>
      <w:r>
        <w:rPr>
          <w:sz w:val="24"/>
        </w:rPr>
        <w:t>如果基金当期出现亏损，则不进行收益分配；</w:t>
      </w:r>
    </w:p>
    <w:p>
      <w:pPr>
        <w:pStyle w:val="ListParagraph"/>
        <w:numPr>
          <w:ilvl w:val="0"/>
          <w:numId w:val="80"/>
        </w:numPr>
        <w:tabs>
          <w:tab w:pos="1201" w:val="left" w:leader="none"/>
        </w:tabs>
        <w:spacing w:line="240" w:lineRule="auto" w:before="160" w:after="0"/>
        <w:ind w:left="1201" w:right="0" w:hanging="601"/>
        <w:jc w:val="left"/>
        <w:rPr>
          <w:sz w:val="24"/>
        </w:rPr>
      </w:pPr>
      <w:r>
        <w:rPr>
          <w:sz w:val="24"/>
        </w:rPr>
        <w:t>基金收益分配后每份基金份额的净值不能低于面值；</w:t>
      </w:r>
    </w:p>
    <w:p>
      <w:pPr>
        <w:pStyle w:val="ListParagraph"/>
        <w:numPr>
          <w:ilvl w:val="0"/>
          <w:numId w:val="80"/>
        </w:numPr>
        <w:tabs>
          <w:tab w:pos="1203" w:val="left" w:leader="none"/>
        </w:tabs>
        <w:spacing w:line="364" w:lineRule="auto" w:before="161" w:after="0"/>
        <w:ind w:left="120" w:right="458" w:firstLine="480"/>
        <w:jc w:val="both"/>
        <w:rPr>
          <w:sz w:val="24"/>
        </w:rPr>
      </w:pPr>
      <w:r>
        <w:rPr>
          <w:sz w:val="24"/>
        </w:rPr>
        <w:t>在符合有关基金分红条件的前提下，本基金每年收益分配次数最多为</w:t>
      </w:r>
      <w:r>
        <w:rPr>
          <w:spacing w:val="-6"/>
          <w:sz w:val="24"/>
        </w:rPr>
        <w:t>十二次，全年分配比例不得低于年度可供分配收益的 </w:t>
      </w:r>
      <w:r>
        <w:rPr>
          <w:spacing w:val="-3"/>
          <w:sz w:val="24"/>
        </w:rPr>
        <w:t>10%</w:t>
      </w:r>
      <w:r>
        <w:rPr>
          <w:spacing w:val="-6"/>
          <w:sz w:val="24"/>
        </w:rPr>
        <w:t>，若《基金合同》生效</w:t>
      </w:r>
      <w:r>
        <w:rPr>
          <w:spacing w:val="-20"/>
          <w:sz w:val="24"/>
        </w:rPr>
        <w:t>不满 </w:t>
      </w:r>
      <w:r>
        <w:rPr>
          <w:sz w:val="24"/>
        </w:rPr>
        <w:t>3</w:t>
      </w:r>
      <w:r>
        <w:rPr>
          <w:spacing w:val="-8"/>
          <w:sz w:val="24"/>
        </w:rPr>
        <w:t> 个月可不进行收益分配；</w:t>
      </w:r>
    </w:p>
    <w:p>
      <w:pPr>
        <w:pStyle w:val="ListParagraph"/>
        <w:numPr>
          <w:ilvl w:val="0"/>
          <w:numId w:val="80"/>
        </w:numPr>
        <w:tabs>
          <w:tab w:pos="1203" w:val="left" w:leader="none"/>
        </w:tabs>
        <w:spacing w:line="364" w:lineRule="auto" w:before="2" w:after="0"/>
        <w:ind w:left="120" w:right="458" w:firstLine="480"/>
        <w:jc w:val="both"/>
        <w:rPr>
          <w:sz w:val="24"/>
        </w:rPr>
      </w:pPr>
      <w:r>
        <w:rPr>
          <w:sz w:val="24"/>
        </w:rPr>
        <w:t>原基金科讯终止上市后, 基金注册登记人由中国证券登记结算有限责任公司更换为易方达基金管理有限公司,基金份额持有人需要对原持有的基金份额进行确认和重新登记,方可通过其办理确权业务的相关销售机构办理赎回等业</w:t>
      </w:r>
      <w:r>
        <w:rPr>
          <w:spacing w:val="-12"/>
          <w:sz w:val="24"/>
        </w:rPr>
        <w:t>务。在投资者办理确权登记之前,如本基金进行收益分配,则未办理确权手续的基</w:t>
      </w:r>
      <w:r>
        <w:rPr>
          <w:sz w:val="24"/>
        </w:rPr>
        <w:t>金份额产生相应的基金权益将以红利再投资方式进行处理,分红后基金份额继续托管在易方达基金管理有限公司登记注册中心,直至投资者办理确权登记。</w:t>
      </w:r>
    </w:p>
    <w:p>
      <w:pPr>
        <w:pStyle w:val="ListParagraph"/>
        <w:numPr>
          <w:ilvl w:val="0"/>
          <w:numId w:val="80"/>
        </w:numPr>
        <w:tabs>
          <w:tab w:pos="1201" w:val="left" w:leader="none"/>
        </w:tabs>
        <w:spacing w:line="240" w:lineRule="auto" w:before="3" w:after="0"/>
        <w:ind w:left="1201" w:right="0" w:hanging="601"/>
        <w:jc w:val="left"/>
        <w:rPr>
          <w:sz w:val="24"/>
        </w:rPr>
      </w:pPr>
      <w:r>
        <w:rPr>
          <w:sz w:val="24"/>
        </w:rPr>
        <w:t>法律、法规或监管机构另有规定的，从其规定。</w:t>
      </w:r>
    </w:p>
    <w:p>
      <w:pPr>
        <w:pStyle w:val="BodyText"/>
        <w:spacing w:before="9"/>
        <w:ind w:left="0"/>
      </w:pPr>
    </w:p>
    <w:p>
      <w:pPr>
        <w:pStyle w:val="ListParagraph"/>
        <w:numPr>
          <w:ilvl w:val="0"/>
          <w:numId w:val="78"/>
        </w:numPr>
        <w:tabs>
          <w:tab w:pos="945" w:val="left" w:leader="none"/>
        </w:tabs>
        <w:spacing w:line="240" w:lineRule="auto" w:before="0" w:after="0"/>
        <w:ind w:left="944" w:right="0" w:hanging="362"/>
        <w:jc w:val="left"/>
        <w:rPr>
          <w:sz w:val="24"/>
        </w:rPr>
      </w:pPr>
      <w:r>
        <w:rPr>
          <w:sz w:val="24"/>
        </w:rPr>
        <w:t>收益分配方案</w:t>
      </w:r>
    </w:p>
    <w:p>
      <w:pPr>
        <w:pStyle w:val="BodyText"/>
        <w:spacing w:before="9"/>
        <w:ind w:left="0"/>
      </w:pPr>
    </w:p>
    <w:p>
      <w:pPr>
        <w:pStyle w:val="BodyText"/>
        <w:spacing w:line="364" w:lineRule="auto" w:before="0"/>
        <w:ind w:right="458" w:firstLine="480"/>
      </w:pPr>
      <w:r>
        <w:rPr>
          <w:spacing w:val="-6"/>
        </w:rPr>
        <w:t>基金收益分配方案中载明基金收益分配对象、分配时间、分配数额、分配方</w:t>
      </w:r>
      <w:r>
        <w:rPr/>
        <w:t>式等内容。</w:t>
      </w:r>
    </w:p>
    <w:p>
      <w:pPr>
        <w:pStyle w:val="ListParagraph"/>
        <w:numPr>
          <w:ilvl w:val="0"/>
          <w:numId w:val="78"/>
        </w:numPr>
        <w:tabs>
          <w:tab w:pos="954" w:val="left" w:leader="none"/>
        </w:tabs>
        <w:spacing w:line="240" w:lineRule="auto" w:before="158" w:after="0"/>
        <w:ind w:left="953" w:right="0" w:hanging="362"/>
        <w:jc w:val="left"/>
        <w:rPr>
          <w:sz w:val="24"/>
        </w:rPr>
      </w:pPr>
      <w:r>
        <w:rPr>
          <w:sz w:val="24"/>
        </w:rPr>
        <w:t>收益分配方案的确定与公告</w:t>
      </w:r>
    </w:p>
    <w:p>
      <w:pPr>
        <w:pStyle w:val="BodyText"/>
        <w:spacing w:before="8"/>
        <w:ind w:left="0"/>
      </w:pPr>
    </w:p>
    <w:p>
      <w:pPr>
        <w:pStyle w:val="BodyText"/>
        <w:ind w:left="600"/>
      </w:pPr>
      <w:r>
        <w:rPr/>
        <w:t>基金收益分配方案由基金管理人拟定，并由基金托管人核实后确定，基金管</w:t>
      </w:r>
    </w:p>
    <w:p>
      <w:pPr>
        <w:spacing w:after="0"/>
        <w:sectPr>
          <w:pgSz w:w="11910" w:h="16840"/>
          <w:pgMar w:header="0" w:footer="990" w:top="1460" w:bottom="1180" w:left="1680" w:right="1340"/>
        </w:sectPr>
      </w:pPr>
    </w:p>
    <w:p>
      <w:pPr>
        <w:pStyle w:val="BodyText"/>
        <w:spacing w:line="487" w:lineRule="auto" w:before="44"/>
        <w:ind w:left="592" w:right="5531" w:hanging="473"/>
      </w:pPr>
      <w:r>
        <w:rPr/>
        <w:t>理人应在  2  日内公告。5．收益分配中发生的费用</w:t>
      </w:r>
    </w:p>
    <w:p>
      <w:pPr>
        <w:pStyle w:val="ListParagraph"/>
        <w:numPr>
          <w:ilvl w:val="0"/>
          <w:numId w:val="81"/>
        </w:numPr>
        <w:tabs>
          <w:tab w:pos="1203" w:val="left" w:leader="none"/>
        </w:tabs>
        <w:spacing w:line="364" w:lineRule="auto" w:before="0" w:after="0"/>
        <w:ind w:left="120" w:right="218" w:firstLine="480"/>
        <w:jc w:val="left"/>
        <w:rPr>
          <w:sz w:val="24"/>
        </w:rPr>
      </w:pPr>
      <w:r>
        <w:rPr>
          <w:sz w:val="24"/>
        </w:rPr>
        <w:t>收益分配采用红利再投资方式免收再投资的费用；采用现金分红方式， </w:t>
      </w:r>
      <w:r>
        <w:rPr>
          <w:spacing w:val="-3"/>
          <w:sz w:val="24"/>
        </w:rPr>
        <w:t>则可从分红现金中提取一定的数额或者比例用于支付注册登记业务手续费，如收 取该项费用，具体提取标准和方法在招募说明书或其他公告中列示。</w:t>
      </w:r>
    </w:p>
    <w:p>
      <w:pPr>
        <w:pStyle w:val="ListParagraph"/>
        <w:numPr>
          <w:ilvl w:val="0"/>
          <w:numId w:val="81"/>
        </w:numPr>
        <w:tabs>
          <w:tab w:pos="1201" w:val="left" w:leader="none"/>
        </w:tabs>
        <w:spacing w:line="240" w:lineRule="auto" w:before="1" w:after="0"/>
        <w:ind w:left="1201" w:right="0" w:hanging="601"/>
        <w:jc w:val="left"/>
        <w:rPr>
          <w:sz w:val="24"/>
        </w:rPr>
      </w:pPr>
      <w:r>
        <w:rPr>
          <w:sz w:val="24"/>
        </w:rPr>
        <w:t>收益分配时发生的银行转账等手续费用由基金份额持有人自行承担。</w:t>
      </w:r>
    </w:p>
    <w:p>
      <w:pPr>
        <w:pStyle w:val="ListParagraph"/>
        <w:numPr>
          <w:ilvl w:val="0"/>
          <w:numId w:val="81"/>
        </w:numPr>
        <w:tabs>
          <w:tab w:pos="1203" w:val="left" w:leader="none"/>
        </w:tabs>
        <w:spacing w:line="364" w:lineRule="auto" w:before="161" w:after="0"/>
        <w:ind w:left="120" w:right="458" w:firstLine="480"/>
        <w:jc w:val="both"/>
        <w:rPr>
          <w:sz w:val="24"/>
        </w:rPr>
      </w:pPr>
      <w:r>
        <w:rPr>
          <w:sz w:val="24"/>
        </w:rPr>
        <w:t>当投资者的现金红利小于一定金额，不足于支付银行转账或其他手续</w:t>
      </w:r>
      <w:r>
        <w:rPr>
          <w:spacing w:val="-12"/>
          <w:sz w:val="24"/>
        </w:rPr>
        <w:t>费用时，基金注册登记机构可将基金份额持有人的现金红利按红利发放日前一工</w:t>
      </w:r>
      <w:r>
        <w:rPr>
          <w:spacing w:val="-6"/>
          <w:sz w:val="24"/>
        </w:rPr>
        <w:t>作日的基金份额净值自动转为基金份额。红利再投资的计算方法，依照《业务规</w:t>
      </w:r>
      <w:r>
        <w:rPr>
          <w:sz w:val="24"/>
        </w:rPr>
        <w:t>则》执行。</w:t>
      </w:r>
    </w:p>
    <w:p>
      <w:pPr>
        <w:pStyle w:val="BodyText"/>
        <w:spacing w:before="0"/>
        <w:ind w:left="0"/>
      </w:pPr>
    </w:p>
    <w:p>
      <w:pPr>
        <w:pStyle w:val="BodyText"/>
        <w:spacing w:before="163"/>
      </w:pPr>
      <w:r>
        <w:rPr/>
        <w:t>（七）与基金财产管理、运用有关费用的提取、支付方式与比例</w:t>
      </w:r>
    </w:p>
    <w:p>
      <w:pPr>
        <w:pStyle w:val="BodyText"/>
        <w:spacing w:before="8"/>
        <w:ind w:left="0"/>
      </w:pPr>
    </w:p>
    <w:p>
      <w:pPr>
        <w:pStyle w:val="ListParagraph"/>
        <w:numPr>
          <w:ilvl w:val="0"/>
          <w:numId w:val="82"/>
        </w:numPr>
        <w:tabs>
          <w:tab w:pos="952" w:val="left" w:leader="none"/>
        </w:tabs>
        <w:spacing w:line="240" w:lineRule="auto" w:before="1" w:after="0"/>
        <w:ind w:left="951" w:right="0" w:hanging="362"/>
        <w:jc w:val="left"/>
        <w:rPr>
          <w:sz w:val="24"/>
        </w:rPr>
      </w:pPr>
      <w:r>
        <w:rPr>
          <w:sz w:val="24"/>
        </w:rPr>
        <w:t>基金费用的种类</w:t>
      </w:r>
    </w:p>
    <w:p>
      <w:pPr>
        <w:pStyle w:val="BodyText"/>
        <w:spacing w:before="8"/>
        <w:ind w:left="0"/>
      </w:pPr>
    </w:p>
    <w:p>
      <w:pPr>
        <w:pStyle w:val="ListParagraph"/>
        <w:numPr>
          <w:ilvl w:val="0"/>
          <w:numId w:val="83"/>
        </w:numPr>
        <w:tabs>
          <w:tab w:pos="1201" w:val="left" w:leader="none"/>
        </w:tabs>
        <w:spacing w:line="240" w:lineRule="auto" w:before="1" w:after="0"/>
        <w:ind w:left="1201" w:right="0" w:hanging="601"/>
        <w:jc w:val="left"/>
        <w:rPr>
          <w:sz w:val="24"/>
        </w:rPr>
      </w:pPr>
      <w:r>
        <w:rPr>
          <w:sz w:val="24"/>
        </w:rPr>
        <w:t>基金管理人的管理费；</w:t>
      </w:r>
    </w:p>
    <w:p>
      <w:pPr>
        <w:pStyle w:val="ListParagraph"/>
        <w:numPr>
          <w:ilvl w:val="0"/>
          <w:numId w:val="83"/>
        </w:numPr>
        <w:tabs>
          <w:tab w:pos="1201" w:val="left" w:leader="none"/>
        </w:tabs>
        <w:spacing w:line="240" w:lineRule="auto" w:before="160" w:after="0"/>
        <w:ind w:left="1201" w:right="0" w:hanging="601"/>
        <w:jc w:val="left"/>
        <w:rPr>
          <w:sz w:val="24"/>
        </w:rPr>
      </w:pPr>
      <w:r>
        <w:rPr>
          <w:sz w:val="24"/>
        </w:rPr>
        <w:t>基金托管人的托管费；</w:t>
      </w:r>
    </w:p>
    <w:p>
      <w:pPr>
        <w:pStyle w:val="ListParagraph"/>
        <w:numPr>
          <w:ilvl w:val="0"/>
          <w:numId w:val="83"/>
        </w:numPr>
        <w:tabs>
          <w:tab w:pos="1201" w:val="left" w:leader="none"/>
        </w:tabs>
        <w:spacing w:line="240" w:lineRule="auto" w:before="161" w:after="0"/>
        <w:ind w:left="1201" w:right="0" w:hanging="601"/>
        <w:jc w:val="left"/>
        <w:rPr>
          <w:sz w:val="24"/>
        </w:rPr>
      </w:pPr>
      <w:r>
        <w:rPr>
          <w:sz w:val="24"/>
        </w:rPr>
        <w:t>基金的证券交易费用；</w:t>
      </w:r>
    </w:p>
    <w:p>
      <w:pPr>
        <w:pStyle w:val="ListParagraph"/>
        <w:numPr>
          <w:ilvl w:val="0"/>
          <w:numId w:val="83"/>
        </w:numPr>
        <w:tabs>
          <w:tab w:pos="1201" w:val="left" w:leader="none"/>
        </w:tabs>
        <w:spacing w:line="240" w:lineRule="auto" w:before="160" w:after="0"/>
        <w:ind w:left="1201" w:right="0" w:hanging="601"/>
        <w:jc w:val="left"/>
        <w:rPr>
          <w:sz w:val="24"/>
        </w:rPr>
      </w:pPr>
      <w:r>
        <w:rPr>
          <w:sz w:val="24"/>
        </w:rPr>
        <w:t>信息披露费用；</w:t>
      </w:r>
    </w:p>
    <w:p>
      <w:pPr>
        <w:pStyle w:val="ListParagraph"/>
        <w:numPr>
          <w:ilvl w:val="0"/>
          <w:numId w:val="83"/>
        </w:numPr>
        <w:tabs>
          <w:tab w:pos="1201" w:val="left" w:leader="none"/>
        </w:tabs>
        <w:spacing w:line="240" w:lineRule="auto" w:before="161" w:after="0"/>
        <w:ind w:left="1201" w:right="0" w:hanging="601"/>
        <w:jc w:val="left"/>
        <w:rPr>
          <w:sz w:val="24"/>
        </w:rPr>
      </w:pPr>
      <w:r>
        <w:rPr>
          <w:sz w:val="24"/>
        </w:rPr>
        <w:t>基金份额持有人大会费用；</w:t>
      </w:r>
    </w:p>
    <w:p>
      <w:pPr>
        <w:pStyle w:val="ListParagraph"/>
        <w:numPr>
          <w:ilvl w:val="0"/>
          <w:numId w:val="83"/>
        </w:numPr>
        <w:tabs>
          <w:tab w:pos="1201" w:val="left" w:leader="none"/>
        </w:tabs>
        <w:spacing w:line="240" w:lineRule="auto" w:before="160" w:after="0"/>
        <w:ind w:left="1201" w:right="0" w:hanging="601"/>
        <w:jc w:val="left"/>
        <w:rPr>
          <w:sz w:val="24"/>
        </w:rPr>
      </w:pPr>
      <w:r>
        <w:rPr>
          <w:sz w:val="24"/>
        </w:rPr>
        <w:t>会计师费和律师费；</w:t>
      </w:r>
    </w:p>
    <w:p>
      <w:pPr>
        <w:pStyle w:val="ListParagraph"/>
        <w:numPr>
          <w:ilvl w:val="0"/>
          <w:numId w:val="83"/>
        </w:numPr>
        <w:tabs>
          <w:tab w:pos="1203" w:val="left" w:leader="none"/>
        </w:tabs>
        <w:spacing w:line="364" w:lineRule="auto" w:before="161" w:after="0"/>
        <w:ind w:left="120" w:right="458" w:firstLine="480"/>
        <w:jc w:val="left"/>
        <w:rPr>
          <w:sz w:val="24"/>
        </w:rPr>
      </w:pPr>
      <w:r>
        <w:rPr>
          <w:sz w:val="24"/>
        </w:rPr>
        <w:t>在中国证监会有明确规定的情况下，基金管理人按照有关规定收取的基金持续销售和服务基金份额持有人的销售服务费；</w:t>
      </w:r>
    </w:p>
    <w:p>
      <w:pPr>
        <w:pStyle w:val="ListParagraph"/>
        <w:numPr>
          <w:ilvl w:val="0"/>
          <w:numId w:val="83"/>
        </w:numPr>
        <w:tabs>
          <w:tab w:pos="1201" w:val="left" w:leader="none"/>
        </w:tabs>
        <w:spacing w:line="240" w:lineRule="auto" w:before="1" w:after="0"/>
        <w:ind w:left="1201" w:right="0" w:hanging="601"/>
        <w:jc w:val="left"/>
        <w:rPr>
          <w:sz w:val="24"/>
        </w:rPr>
      </w:pPr>
      <w:r>
        <w:rPr>
          <w:sz w:val="24"/>
        </w:rPr>
        <w:t>基金银行汇划费用；</w:t>
      </w:r>
    </w:p>
    <w:p>
      <w:pPr>
        <w:pStyle w:val="ListParagraph"/>
        <w:numPr>
          <w:ilvl w:val="0"/>
          <w:numId w:val="83"/>
        </w:numPr>
        <w:tabs>
          <w:tab w:pos="1201" w:val="left" w:leader="none"/>
        </w:tabs>
        <w:spacing w:line="364" w:lineRule="auto" w:before="160" w:after="0"/>
        <w:ind w:left="600" w:right="1685" w:firstLine="0"/>
        <w:jc w:val="left"/>
        <w:rPr>
          <w:sz w:val="24"/>
        </w:rPr>
      </w:pPr>
      <w:r>
        <w:rPr>
          <w:spacing w:val="-1"/>
          <w:sz w:val="24"/>
        </w:rPr>
        <w:t>按照国家有关规定和基金合同约定可以列入的其他费用。</w:t>
      </w:r>
      <w:r>
        <w:rPr>
          <w:sz w:val="24"/>
        </w:rPr>
        <w:t>上述费用从基金财产中支付。</w:t>
      </w:r>
    </w:p>
    <w:p>
      <w:pPr>
        <w:pStyle w:val="ListParagraph"/>
        <w:numPr>
          <w:ilvl w:val="0"/>
          <w:numId w:val="82"/>
        </w:numPr>
        <w:tabs>
          <w:tab w:pos="954" w:val="left" w:leader="none"/>
        </w:tabs>
        <w:spacing w:line="240" w:lineRule="auto" w:before="157" w:after="0"/>
        <w:ind w:left="953" w:right="0" w:hanging="362"/>
        <w:jc w:val="left"/>
        <w:rPr>
          <w:sz w:val="24"/>
        </w:rPr>
      </w:pPr>
      <w:r>
        <w:rPr>
          <w:sz w:val="24"/>
        </w:rPr>
        <w:t>基金费用计提方法、计提标准和支付方式</w:t>
      </w:r>
    </w:p>
    <w:p>
      <w:pPr>
        <w:pStyle w:val="BodyText"/>
        <w:spacing w:before="9"/>
        <w:ind w:left="0"/>
      </w:pPr>
    </w:p>
    <w:p>
      <w:pPr>
        <w:pStyle w:val="ListParagraph"/>
        <w:numPr>
          <w:ilvl w:val="0"/>
          <w:numId w:val="84"/>
        </w:numPr>
        <w:tabs>
          <w:tab w:pos="1201" w:val="left" w:leader="none"/>
        </w:tabs>
        <w:spacing w:line="240" w:lineRule="auto" w:before="0" w:after="0"/>
        <w:ind w:left="1201" w:right="0" w:hanging="601"/>
        <w:jc w:val="left"/>
        <w:rPr>
          <w:sz w:val="24"/>
        </w:rPr>
      </w:pPr>
      <w:r>
        <w:rPr>
          <w:sz w:val="24"/>
        </w:rPr>
        <w:t>基金管理人的管理费</w:t>
      </w:r>
    </w:p>
    <w:p>
      <w:pPr>
        <w:pStyle w:val="BodyText"/>
        <w:spacing w:before="161"/>
        <w:ind w:left="600"/>
      </w:pPr>
      <w:r>
        <w:rPr/>
        <w:t>本基金的管理费率为年费率 1.5%。</w:t>
      </w:r>
    </w:p>
    <w:p>
      <w:pPr>
        <w:spacing w:after="0"/>
        <w:sectPr>
          <w:pgSz w:w="11910" w:h="16840"/>
          <w:pgMar w:header="0" w:footer="990" w:top="1460" w:bottom="1180" w:left="1680" w:right="1340"/>
        </w:sectPr>
      </w:pPr>
    </w:p>
    <w:p>
      <w:pPr>
        <w:pStyle w:val="BodyText"/>
        <w:spacing w:line="364" w:lineRule="auto" w:before="44"/>
        <w:ind w:right="458" w:firstLine="480"/>
      </w:pPr>
      <w:r>
        <w:rPr>
          <w:spacing w:val="-10"/>
        </w:rPr>
        <w:t>在通常情况下，基金管理费按前一日基金资产净值的年费率计提。计算方法</w:t>
      </w:r>
      <w:r>
        <w:rPr/>
        <w:t>如下：</w:t>
      </w:r>
    </w:p>
    <w:p>
      <w:pPr>
        <w:pStyle w:val="BodyText"/>
        <w:spacing w:line="364" w:lineRule="auto"/>
        <w:ind w:left="1230" w:right="4415"/>
      </w:pPr>
      <w:r>
        <w:rPr/>
        <w:t>H ＝E×年管理费率÷当年天数H 为每日应计提的基金管理费E 为前一日基金资产净值</w:t>
      </w:r>
    </w:p>
    <w:p>
      <w:pPr>
        <w:pStyle w:val="BodyText"/>
        <w:spacing w:line="364" w:lineRule="auto" w:before="2"/>
        <w:ind w:right="458" w:firstLine="480"/>
        <w:jc w:val="both"/>
      </w:pPr>
      <w:r>
        <w:rPr>
          <w:spacing w:val="-8"/>
        </w:rPr>
        <w:t>基金管理费每日计提，逐日累计至每个月月末，按月支付。由基金管理人向</w:t>
      </w:r>
      <w:r>
        <w:rPr>
          <w:spacing w:val="-2"/>
        </w:rPr>
        <w:t>基金托管人发送基金管理费划付指令，基金托管人复核后于次月首日起 </w:t>
      </w:r>
      <w:r>
        <w:rPr/>
        <w:t>15</w:t>
      </w:r>
      <w:r>
        <w:rPr>
          <w:spacing w:val="-20"/>
        </w:rPr>
        <w:t> 个工作日内从基金财产中一次性支付给基金管理人。</w:t>
      </w:r>
    </w:p>
    <w:p>
      <w:pPr>
        <w:pStyle w:val="ListParagraph"/>
        <w:numPr>
          <w:ilvl w:val="0"/>
          <w:numId w:val="84"/>
        </w:numPr>
        <w:tabs>
          <w:tab w:pos="1201" w:val="left" w:leader="none"/>
        </w:tabs>
        <w:spacing w:line="240" w:lineRule="auto" w:before="2" w:after="0"/>
        <w:ind w:left="1201" w:right="0" w:hanging="601"/>
        <w:jc w:val="left"/>
        <w:rPr>
          <w:sz w:val="24"/>
        </w:rPr>
      </w:pPr>
      <w:r>
        <w:rPr>
          <w:sz w:val="24"/>
        </w:rPr>
        <w:t>基金托管人的基金托管费</w:t>
      </w:r>
    </w:p>
    <w:p>
      <w:pPr>
        <w:pStyle w:val="BodyText"/>
        <w:spacing w:before="160"/>
        <w:ind w:left="600"/>
      </w:pPr>
      <w:r>
        <w:rPr/>
        <w:t>本基金的托管费率为年费率 0.25%。</w:t>
      </w:r>
    </w:p>
    <w:p>
      <w:pPr>
        <w:pStyle w:val="BodyText"/>
        <w:spacing w:line="364" w:lineRule="auto" w:before="161"/>
        <w:ind w:right="458" w:firstLine="480"/>
      </w:pPr>
      <w:r>
        <w:rPr>
          <w:spacing w:val="-10"/>
        </w:rPr>
        <w:t>在通常情况下，基金托管费按前一日基金资产净值的年费率计提。计算方法</w:t>
      </w:r>
      <w:r>
        <w:rPr/>
        <w:t>如下：</w:t>
      </w:r>
    </w:p>
    <w:p>
      <w:pPr>
        <w:pStyle w:val="BodyText"/>
        <w:spacing w:line="364" w:lineRule="auto"/>
        <w:ind w:left="1230" w:right="4415"/>
      </w:pPr>
      <w:r>
        <w:rPr/>
        <w:t>H ＝E×年托管费率÷当年天数H 为每日应计提的基金托管费E 为前一日的基金资产净值</w:t>
      </w:r>
    </w:p>
    <w:p>
      <w:pPr>
        <w:pStyle w:val="BodyText"/>
        <w:spacing w:line="364" w:lineRule="auto" w:before="2"/>
        <w:ind w:right="458" w:firstLine="480"/>
        <w:jc w:val="both"/>
      </w:pPr>
      <w:r>
        <w:rPr>
          <w:spacing w:val="-8"/>
        </w:rPr>
        <w:t>基金托管费每日计提，逐日累计至每个月月末，按月支付。由基金管理人向</w:t>
      </w:r>
      <w:r>
        <w:rPr>
          <w:spacing w:val="-2"/>
        </w:rPr>
        <w:t>基金托管人发送基金托管费划付指令，基金托管人复核后于次月首日起 </w:t>
      </w:r>
      <w:r>
        <w:rPr/>
        <w:t>15</w:t>
      </w:r>
      <w:r>
        <w:rPr>
          <w:spacing w:val="-20"/>
        </w:rPr>
        <w:t> 个工作日内从基金资产中一次性支付给基金托管人。</w:t>
      </w:r>
    </w:p>
    <w:p>
      <w:pPr>
        <w:pStyle w:val="ListParagraph"/>
        <w:numPr>
          <w:ilvl w:val="0"/>
          <w:numId w:val="84"/>
        </w:numPr>
        <w:tabs>
          <w:tab w:pos="1201" w:val="left" w:leader="none"/>
        </w:tabs>
        <w:spacing w:line="364" w:lineRule="auto" w:before="1" w:after="0"/>
        <w:ind w:left="120" w:right="458" w:firstLine="480"/>
        <w:jc w:val="both"/>
        <w:rPr>
          <w:sz w:val="24"/>
        </w:rPr>
      </w:pPr>
      <w:r>
        <w:rPr>
          <w:spacing w:val="-6"/>
          <w:sz w:val="24"/>
        </w:rPr>
        <w:t>本条第</w:t>
      </w:r>
      <w:r>
        <w:rPr>
          <w:sz w:val="24"/>
        </w:rPr>
        <w:t>（一</w:t>
      </w:r>
      <w:r>
        <w:rPr>
          <w:spacing w:val="-16"/>
          <w:sz w:val="24"/>
        </w:rPr>
        <w:t>）</w:t>
      </w:r>
      <w:r>
        <w:rPr>
          <w:spacing w:val="-8"/>
          <w:sz w:val="24"/>
        </w:rPr>
        <w:t>款第</w:t>
      </w:r>
      <w:r>
        <w:rPr>
          <w:sz w:val="24"/>
        </w:rPr>
        <w:t>（3）</w:t>
      </w:r>
      <w:r>
        <w:rPr>
          <w:spacing w:val="-6"/>
          <w:sz w:val="24"/>
        </w:rPr>
        <w:t> 至第（9）</w:t>
      </w:r>
      <w:r>
        <w:rPr>
          <w:spacing w:val="-2"/>
          <w:sz w:val="24"/>
        </w:rPr>
        <w:t>项费用由基金管理人和基金托管人</w:t>
      </w:r>
      <w:r>
        <w:rPr>
          <w:sz w:val="24"/>
        </w:rPr>
        <w:t>根据有关法规及相应协议的规定，列入或摊入当期基金费用。</w:t>
      </w:r>
    </w:p>
    <w:p>
      <w:pPr>
        <w:pStyle w:val="ListParagraph"/>
        <w:numPr>
          <w:ilvl w:val="0"/>
          <w:numId w:val="82"/>
        </w:numPr>
        <w:tabs>
          <w:tab w:pos="961" w:val="left" w:leader="none"/>
        </w:tabs>
        <w:spacing w:line="240" w:lineRule="auto" w:before="158" w:after="0"/>
        <w:ind w:left="961" w:right="0" w:hanging="361"/>
        <w:jc w:val="left"/>
        <w:rPr>
          <w:sz w:val="24"/>
        </w:rPr>
      </w:pPr>
      <w:r>
        <w:rPr>
          <w:sz w:val="24"/>
        </w:rPr>
        <w:t>不列入基金费用的项目</w:t>
      </w:r>
    </w:p>
    <w:p>
      <w:pPr>
        <w:pStyle w:val="BodyText"/>
        <w:spacing w:before="8"/>
        <w:ind w:left="0"/>
      </w:pPr>
    </w:p>
    <w:p>
      <w:pPr>
        <w:pStyle w:val="BodyText"/>
        <w:spacing w:line="364" w:lineRule="auto"/>
        <w:ind w:right="365" w:firstLine="480"/>
      </w:pPr>
      <w:r>
        <w:rPr/>
        <w:t>基金管理人和基金托管人因未履行或未完全履行义务导致的费用支出或基金财产的损失，以及处理与基金运作无关的事项发生的费用等不列入基金费用。</w:t>
      </w:r>
    </w:p>
    <w:p>
      <w:pPr>
        <w:pStyle w:val="ListParagraph"/>
        <w:numPr>
          <w:ilvl w:val="0"/>
          <w:numId w:val="82"/>
        </w:numPr>
        <w:tabs>
          <w:tab w:pos="961" w:val="left" w:leader="none"/>
        </w:tabs>
        <w:spacing w:line="240" w:lineRule="auto" w:before="157" w:after="0"/>
        <w:ind w:left="961" w:right="0" w:hanging="361"/>
        <w:jc w:val="left"/>
        <w:rPr>
          <w:sz w:val="24"/>
        </w:rPr>
      </w:pPr>
      <w:r>
        <w:rPr>
          <w:sz w:val="24"/>
        </w:rPr>
        <w:t>基金管理费和基金托管费的调整</w:t>
      </w:r>
    </w:p>
    <w:p>
      <w:pPr>
        <w:pStyle w:val="BodyText"/>
        <w:spacing w:before="9"/>
        <w:ind w:left="0"/>
      </w:pPr>
    </w:p>
    <w:p>
      <w:pPr>
        <w:pStyle w:val="BodyText"/>
        <w:spacing w:line="364" w:lineRule="auto" w:before="0"/>
        <w:ind w:right="458" w:firstLine="480"/>
        <w:jc w:val="both"/>
      </w:pPr>
      <w:r>
        <w:rPr>
          <w:spacing w:val="-5"/>
        </w:rPr>
        <w:t>基金管理人和基金托管人可协商酌情调低基金管理费和基金托管费，无须召</w:t>
      </w:r>
      <w:r>
        <w:rPr>
          <w:spacing w:val="-11"/>
        </w:rPr>
        <w:t>开基金份额持有人大会。基金管理人必须最迟于新的费率实施日前 </w:t>
      </w:r>
      <w:r>
        <w:rPr/>
        <w:t>2</w:t>
      </w:r>
      <w:r>
        <w:rPr>
          <w:spacing w:val="-13"/>
        </w:rPr>
        <w:t> 日在指定媒</w:t>
      </w:r>
      <w:r>
        <w:rPr/>
        <w:t>介上刊登公告。</w:t>
      </w:r>
    </w:p>
    <w:p>
      <w:pPr>
        <w:pStyle w:val="ListParagraph"/>
        <w:numPr>
          <w:ilvl w:val="0"/>
          <w:numId w:val="82"/>
        </w:numPr>
        <w:tabs>
          <w:tab w:pos="952" w:val="left" w:leader="none"/>
        </w:tabs>
        <w:spacing w:line="240" w:lineRule="auto" w:before="158" w:after="0"/>
        <w:ind w:left="951" w:right="0" w:hanging="362"/>
        <w:jc w:val="left"/>
        <w:rPr>
          <w:sz w:val="24"/>
        </w:rPr>
      </w:pPr>
      <w:r>
        <w:rPr>
          <w:sz w:val="24"/>
        </w:rPr>
        <w:t>其他费用</w:t>
      </w:r>
    </w:p>
    <w:p>
      <w:pPr>
        <w:spacing w:after="0" w:line="240" w:lineRule="auto"/>
        <w:jc w:val="left"/>
        <w:rPr>
          <w:sz w:val="24"/>
        </w:rPr>
        <w:sectPr>
          <w:pgSz w:w="11910" w:h="16840"/>
          <w:pgMar w:header="0" w:footer="990" w:top="1460" w:bottom="1180" w:left="1680" w:right="1340"/>
        </w:sectPr>
      </w:pPr>
    </w:p>
    <w:p>
      <w:pPr>
        <w:pStyle w:val="BodyText"/>
        <w:spacing w:line="364" w:lineRule="auto" w:before="44"/>
        <w:ind w:right="458" w:firstLine="480"/>
      </w:pPr>
      <w:r>
        <w:rPr>
          <w:spacing w:val="-7"/>
        </w:rPr>
        <w:t>按照国家有关规定和基金合同约定，基金管理人可以在基金财产中列支其他</w:t>
      </w:r>
      <w:r>
        <w:rPr/>
        <w:t>的费用，并按照相关的法律法规的规定进行公告或备案。</w:t>
      </w:r>
    </w:p>
    <w:p>
      <w:pPr>
        <w:pStyle w:val="ListParagraph"/>
        <w:numPr>
          <w:ilvl w:val="0"/>
          <w:numId w:val="82"/>
        </w:numPr>
        <w:tabs>
          <w:tab w:pos="952" w:val="left" w:leader="none"/>
        </w:tabs>
        <w:spacing w:line="240" w:lineRule="auto" w:before="157" w:after="0"/>
        <w:ind w:left="951" w:right="0" w:hanging="362"/>
        <w:jc w:val="left"/>
        <w:rPr>
          <w:sz w:val="24"/>
        </w:rPr>
      </w:pPr>
      <w:r>
        <w:rPr>
          <w:sz w:val="24"/>
        </w:rPr>
        <w:t>税收</w:t>
      </w:r>
    </w:p>
    <w:p>
      <w:pPr>
        <w:pStyle w:val="BodyText"/>
        <w:spacing w:before="9"/>
        <w:ind w:left="0"/>
      </w:pPr>
    </w:p>
    <w:p>
      <w:pPr>
        <w:pStyle w:val="BodyText"/>
        <w:spacing w:line="364" w:lineRule="auto" w:before="0"/>
        <w:ind w:right="458" w:firstLine="480"/>
      </w:pPr>
      <w:r>
        <w:rPr>
          <w:spacing w:val="-7"/>
        </w:rPr>
        <w:t>本基金运作过程中涉及的各纳税主体，依照国家法律法规的规定履行纳税义</w:t>
      </w:r>
      <w:r>
        <w:rPr/>
        <w:t>务。</w:t>
      </w:r>
    </w:p>
    <w:p>
      <w:pPr>
        <w:pStyle w:val="BodyText"/>
        <w:spacing w:before="0"/>
        <w:ind w:left="0"/>
      </w:pPr>
    </w:p>
    <w:p>
      <w:pPr>
        <w:pStyle w:val="BodyText"/>
        <w:spacing w:before="162"/>
      </w:pPr>
      <w:r>
        <w:rPr/>
        <w:t>（八）基金财产的投资方向和投资限制</w:t>
      </w:r>
    </w:p>
    <w:p>
      <w:pPr>
        <w:pStyle w:val="BodyText"/>
        <w:spacing w:before="9"/>
        <w:ind w:left="0"/>
      </w:pPr>
    </w:p>
    <w:p>
      <w:pPr>
        <w:pStyle w:val="ListParagraph"/>
        <w:numPr>
          <w:ilvl w:val="0"/>
          <w:numId w:val="85"/>
        </w:numPr>
        <w:tabs>
          <w:tab w:pos="961" w:val="left" w:leader="none"/>
        </w:tabs>
        <w:spacing w:line="240" w:lineRule="auto" w:before="0" w:after="0"/>
        <w:ind w:left="961" w:right="0" w:hanging="361"/>
        <w:jc w:val="left"/>
        <w:rPr>
          <w:sz w:val="24"/>
        </w:rPr>
      </w:pPr>
      <w:r>
        <w:rPr>
          <w:sz w:val="24"/>
        </w:rPr>
        <w:t>投资目标</w:t>
      </w:r>
    </w:p>
    <w:p>
      <w:pPr>
        <w:pStyle w:val="BodyText"/>
        <w:spacing w:before="6"/>
        <w:ind w:left="0"/>
        <w:rPr>
          <w:sz w:val="19"/>
        </w:rPr>
      </w:pPr>
    </w:p>
    <w:p>
      <w:pPr>
        <w:pStyle w:val="BodyText"/>
        <w:spacing w:before="67"/>
        <w:ind w:left="660"/>
      </w:pPr>
      <w:r>
        <w:rPr/>
        <w:t>根据市场环境变化，综合运用多种投资策略，追求基金资产的长期稳健增</w:t>
      </w:r>
    </w:p>
    <w:p>
      <w:pPr>
        <w:pStyle w:val="BodyText"/>
        <w:spacing w:before="160"/>
      </w:pPr>
      <w:r>
        <w:rPr/>
        <w:t>值。</w:t>
      </w:r>
    </w:p>
    <w:p>
      <w:pPr>
        <w:pStyle w:val="BodyText"/>
        <w:spacing w:before="7"/>
        <w:ind w:left="0"/>
        <w:rPr>
          <w:sz w:val="19"/>
        </w:rPr>
      </w:pPr>
    </w:p>
    <w:p>
      <w:pPr>
        <w:pStyle w:val="ListParagraph"/>
        <w:numPr>
          <w:ilvl w:val="0"/>
          <w:numId w:val="85"/>
        </w:numPr>
        <w:tabs>
          <w:tab w:pos="952" w:val="left" w:leader="none"/>
        </w:tabs>
        <w:spacing w:line="240" w:lineRule="auto" w:before="66" w:after="0"/>
        <w:ind w:left="951" w:right="0" w:hanging="362"/>
        <w:jc w:val="left"/>
        <w:rPr>
          <w:sz w:val="24"/>
        </w:rPr>
      </w:pPr>
      <w:r>
        <w:rPr>
          <w:sz w:val="24"/>
        </w:rPr>
        <w:t>投资范围</w:t>
      </w:r>
    </w:p>
    <w:p>
      <w:pPr>
        <w:pStyle w:val="BodyText"/>
        <w:spacing w:before="9"/>
        <w:ind w:left="0"/>
      </w:pPr>
    </w:p>
    <w:p>
      <w:pPr>
        <w:pStyle w:val="BodyText"/>
        <w:spacing w:line="364" w:lineRule="auto" w:before="0"/>
        <w:ind w:right="458" w:firstLine="480"/>
        <w:jc w:val="both"/>
      </w:pPr>
      <w:r>
        <w:rPr>
          <w:spacing w:val="-6"/>
        </w:rPr>
        <w:t>本基金的投资范围为具有良好流动性的金融工具，包括国内依法发行、上市</w:t>
      </w:r>
      <w:r>
        <w:rPr/>
        <w:t>的股票（含存托凭证</w:t>
      </w:r>
      <w:r>
        <w:rPr>
          <w:spacing w:val="-120"/>
        </w:rPr>
        <w:t>）</w:t>
      </w:r>
      <w:r>
        <w:rPr/>
        <w:t>、债券、权证、资产支持证券、货币市场工具及法律法规</w:t>
      </w:r>
      <w:r>
        <w:rPr>
          <w:spacing w:val="-6"/>
        </w:rPr>
        <w:t>或中国证监会允许基金投资的其他金融工具。如法律法规或监管机构以后允许基</w:t>
      </w:r>
      <w:r>
        <w:rPr/>
        <w:t>金投资其它品种，基金管理人在履行适当程序后，可以将其纳入投资范围。</w:t>
      </w:r>
    </w:p>
    <w:p>
      <w:pPr>
        <w:pStyle w:val="BodyText"/>
        <w:spacing w:line="364" w:lineRule="auto" w:before="3"/>
        <w:ind w:right="458" w:firstLine="480"/>
        <w:jc w:val="both"/>
      </w:pPr>
      <w:r>
        <w:rPr>
          <w:spacing w:val="-2"/>
        </w:rPr>
        <w:t>本基金各类资产的投资比例为：股票资产占基金资产的 </w:t>
      </w:r>
      <w:r>
        <w:rPr/>
        <w:t>60%—95%；债券、</w:t>
      </w:r>
      <w:r>
        <w:rPr>
          <w:spacing w:val="-12"/>
        </w:rPr>
        <w:t>资产支持证券、权证、货币市场工具以及中国证监会允许基金投资的其他证券品</w:t>
      </w:r>
      <w:r>
        <w:rPr>
          <w:spacing w:val="-3"/>
        </w:rPr>
        <w:t>种占基金资产的 </w:t>
      </w:r>
      <w:r>
        <w:rPr/>
        <w:t>5%-40%，其中，基金持有全部权证的市值不得超过基金资产净</w:t>
      </w:r>
      <w:r>
        <w:rPr>
          <w:spacing w:val="-5"/>
        </w:rPr>
        <w:t>值的 </w:t>
      </w:r>
      <w:r>
        <w:rPr/>
        <w:t>3%，基金保留的现金以及投资于到期日在一年以内的政府债券的比例合计</w:t>
      </w:r>
      <w:r>
        <w:rPr>
          <w:spacing w:val="-2"/>
        </w:rPr>
        <w:t>不低于基金资产净值的 </w:t>
      </w:r>
      <w:r>
        <w:rPr/>
        <w:t>5%，现金不包括结算备付金、存出保证金、应收申购款等。</w:t>
      </w:r>
    </w:p>
    <w:p>
      <w:pPr>
        <w:pStyle w:val="ListParagraph"/>
        <w:numPr>
          <w:ilvl w:val="0"/>
          <w:numId w:val="85"/>
        </w:numPr>
        <w:tabs>
          <w:tab w:pos="961" w:val="left" w:leader="none"/>
        </w:tabs>
        <w:spacing w:line="240" w:lineRule="auto" w:before="159" w:after="0"/>
        <w:ind w:left="961" w:right="0" w:hanging="361"/>
        <w:jc w:val="left"/>
        <w:rPr>
          <w:sz w:val="24"/>
        </w:rPr>
      </w:pPr>
      <w:r>
        <w:rPr>
          <w:sz w:val="24"/>
        </w:rPr>
        <w:t>投资理念</w:t>
      </w:r>
    </w:p>
    <w:p>
      <w:pPr>
        <w:pStyle w:val="BodyText"/>
        <w:spacing w:before="9"/>
        <w:ind w:left="0"/>
      </w:pPr>
    </w:p>
    <w:p>
      <w:pPr>
        <w:pStyle w:val="BodyText"/>
        <w:spacing w:line="364" w:lineRule="auto" w:before="0"/>
        <w:ind w:right="458" w:firstLine="480"/>
      </w:pPr>
      <w:r>
        <w:rPr>
          <w:spacing w:val="-9"/>
        </w:rPr>
        <w:t>市场环境复杂，综合运用多种投资策略，有助于把握多种投资机会，并有利</w:t>
      </w:r>
      <w:r>
        <w:rPr/>
        <w:t>于分散风险，给投资者更稳健的回报。</w:t>
      </w:r>
    </w:p>
    <w:p>
      <w:pPr>
        <w:pStyle w:val="ListParagraph"/>
        <w:numPr>
          <w:ilvl w:val="0"/>
          <w:numId w:val="85"/>
        </w:numPr>
        <w:tabs>
          <w:tab w:pos="961" w:val="left" w:leader="none"/>
        </w:tabs>
        <w:spacing w:line="240" w:lineRule="auto" w:before="158" w:after="0"/>
        <w:ind w:left="961" w:right="0" w:hanging="361"/>
        <w:jc w:val="left"/>
        <w:rPr>
          <w:sz w:val="24"/>
        </w:rPr>
      </w:pPr>
      <w:r>
        <w:rPr>
          <w:sz w:val="24"/>
        </w:rPr>
        <w:t>投资策略</w:t>
      </w:r>
    </w:p>
    <w:p>
      <w:pPr>
        <w:pStyle w:val="BodyText"/>
        <w:spacing w:before="8"/>
        <w:ind w:left="0"/>
      </w:pPr>
    </w:p>
    <w:p>
      <w:pPr>
        <w:pStyle w:val="ListParagraph"/>
        <w:numPr>
          <w:ilvl w:val="0"/>
          <w:numId w:val="86"/>
        </w:numPr>
        <w:tabs>
          <w:tab w:pos="1192" w:val="left" w:leader="none"/>
        </w:tabs>
        <w:spacing w:line="240" w:lineRule="auto" w:before="1" w:after="0"/>
        <w:ind w:left="1191" w:right="0" w:hanging="602"/>
        <w:jc w:val="left"/>
        <w:rPr>
          <w:sz w:val="24"/>
        </w:rPr>
      </w:pPr>
      <w:r>
        <w:rPr>
          <w:sz w:val="24"/>
        </w:rPr>
        <w:t>资产配置策略</w:t>
      </w:r>
    </w:p>
    <w:p>
      <w:pPr>
        <w:spacing w:after="0" w:line="240" w:lineRule="auto"/>
        <w:jc w:val="left"/>
        <w:rPr>
          <w:sz w:val="24"/>
        </w:rPr>
        <w:sectPr>
          <w:pgSz w:w="11910" w:h="16840"/>
          <w:pgMar w:header="0" w:footer="990" w:top="1460" w:bottom="1180" w:left="1680" w:right="1340"/>
        </w:sectPr>
      </w:pPr>
    </w:p>
    <w:p>
      <w:pPr>
        <w:pStyle w:val="BodyText"/>
        <w:spacing w:line="364" w:lineRule="auto" w:before="44"/>
        <w:ind w:right="458" w:firstLine="480"/>
        <w:jc w:val="both"/>
      </w:pPr>
      <w:r>
        <w:rPr/>
        <w:t>本基金为混合基金，基金各类资产的投资比例为：股票资产占基金资产的</w:t>
      </w:r>
      <w:r>
        <w:rPr>
          <w:spacing w:val="-8"/>
        </w:rPr>
        <w:t>60%—95%；债券、资产支持证券、权证、货币市场工具以及中国证监会允许基金</w:t>
      </w:r>
      <w:r>
        <w:rPr>
          <w:spacing w:val="-1"/>
        </w:rPr>
        <w:t>投资的其他证券品种占基金资产的 </w:t>
      </w:r>
      <w:r>
        <w:rPr/>
        <w:t>5%-40%，其中，基金持有全部权证的市值不</w:t>
      </w:r>
      <w:r>
        <w:rPr>
          <w:spacing w:val="-2"/>
        </w:rPr>
        <w:t>得超过基金资产净值的 </w:t>
      </w:r>
      <w:r>
        <w:rPr/>
        <w:t>3%，基金保留的现金以及投资于到期日在一年以内的政</w:t>
      </w:r>
      <w:r>
        <w:rPr>
          <w:spacing w:val="-4"/>
        </w:rPr>
        <w:t>府债券的比例合计不低于基金资产净值的 </w:t>
      </w:r>
      <w:r>
        <w:rPr/>
        <w:t>5%。</w:t>
      </w:r>
    </w:p>
    <w:p>
      <w:pPr>
        <w:pStyle w:val="BodyText"/>
        <w:spacing w:line="364" w:lineRule="auto" w:before="3"/>
        <w:ind w:right="458" w:firstLine="480"/>
        <w:jc w:val="both"/>
      </w:pPr>
      <w:r>
        <w:rPr>
          <w:spacing w:val="-8"/>
        </w:rPr>
        <w:t>在以上战略性资产配置的基础上，本基金基于定量与定性相结合的宏观及市</w:t>
      </w:r>
      <w:r>
        <w:rPr>
          <w:spacing w:val="-10"/>
        </w:rPr>
        <w:t>场分析，进行战术性资产配置，确定组合中股票、债券、货币市场工具及其他金</w:t>
      </w:r>
      <w:r>
        <w:rPr/>
        <w:t>融工具的比例，追求更高收益，回避市场风险。</w:t>
      </w:r>
    </w:p>
    <w:p>
      <w:pPr>
        <w:pStyle w:val="BodyText"/>
        <w:spacing w:line="364" w:lineRule="auto" w:before="2"/>
        <w:ind w:right="218" w:firstLine="480"/>
      </w:pPr>
      <w:r>
        <w:rPr>
          <w:spacing w:val="-6"/>
        </w:rPr>
        <w:t>在资产配置中，本基金主要考虑 1）</w:t>
      </w:r>
      <w:r>
        <w:rPr>
          <w:spacing w:val="-8"/>
        </w:rPr>
        <w:t>宏观经济因素，包括 </w:t>
      </w:r>
      <w:r>
        <w:rPr/>
        <w:t>GDP</w:t>
      </w:r>
      <w:r>
        <w:rPr>
          <w:spacing w:val="-9"/>
        </w:rPr>
        <w:t> 增长率及其构 </w:t>
      </w:r>
      <w:r>
        <w:rPr>
          <w:spacing w:val="4"/>
        </w:rPr>
        <w:t>成、</w:t>
      </w:r>
      <w:r>
        <w:rPr/>
        <w:t>CPI</w:t>
      </w:r>
      <w:r>
        <w:rPr>
          <w:spacing w:val="3"/>
        </w:rPr>
        <w:t>、市场利率水平变化、货币政策等，以判断经济周期对市场的影响；</w:t>
      </w:r>
      <w:r>
        <w:rPr/>
        <w:t>2） 微观经济因素，包括各行业主要企业的盈利变化情况及其盈利预期；3）市场因 </w:t>
      </w:r>
      <w:r>
        <w:rPr>
          <w:spacing w:val="-9"/>
        </w:rPr>
        <w:t>素，包括股票及债券市场的涨跌、市场整体估值水平、大类资产的预期收益率水 平及其历史比较、市场资金供求关系及其变化；4）政策因素，与证券市场密切 相关的各种政策出台对市场的影响等。</w:t>
      </w:r>
    </w:p>
    <w:p>
      <w:pPr>
        <w:pStyle w:val="ListParagraph"/>
        <w:numPr>
          <w:ilvl w:val="0"/>
          <w:numId w:val="86"/>
        </w:numPr>
        <w:tabs>
          <w:tab w:pos="1201" w:val="left" w:leader="none"/>
        </w:tabs>
        <w:spacing w:line="240" w:lineRule="auto" w:before="3" w:after="0"/>
        <w:ind w:left="1201" w:right="0" w:hanging="601"/>
        <w:jc w:val="left"/>
        <w:rPr>
          <w:sz w:val="24"/>
        </w:rPr>
      </w:pPr>
      <w:r>
        <w:rPr>
          <w:sz w:val="24"/>
        </w:rPr>
        <w:t>股票投资策略</w:t>
      </w:r>
    </w:p>
    <w:p>
      <w:pPr>
        <w:pStyle w:val="BodyText"/>
        <w:spacing w:line="364" w:lineRule="auto" w:before="161"/>
        <w:ind w:right="338" w:firstLine="420"/>
      </w:pPr>
      <w:r>
        <w:rPr>
          <w:spacing w:val="-3"/>
        </w:rPr>
        <w:t>本基金将综合应用多种投资策略，广泛地分析、研究、比较市场中的各种投</w:t>
      </w:r>
      <w:r>
        <w:rPr>
          <w:spacing w:val="-10"/>
        </w:rPr>
        <w:t>资机会，选择收益相对较高、风险可控的投资品种进行投资，以提高本基金相对</w:t>
      </w:r>
      <w:r>
        <w:rPr>
          <w:spacing w:val="-14"/>
        </w:rPr>
        <w:t>比较基准的超额收益。一般情况下，本基金以优势企业策略和成长策略为主，辅以行业周期策略、绝对价值策略、突发事件/收购兼并策略以及新兴技术策略。</w:t>
      </w:r>
      <w:r>
        <w:rPr>
          <w:spacing w:val="-20"/>
        </w:rPr>
        <w:t>在特定的市场情况下，后四种策略中一种或多种的资金容量较大、不确定性较小、</w:t>
      </w:r>
      <w:r>
        <w:rPr/>
        <w:t>收益预期较高时，也可成为主策略。</w:t>
      </w:r>
    </w:p>
    <w:p>
      <w:pPr>
        <w:pStyle w:val="ListParagraph"/>
        <w:numPr>
          <w:ilvl w:val="0"/>
          <w:numId w:val="87"/>
        </w:numPr>
        <w:tabs>
          <w:tab w:pos="961" w:val="left" w:leader="none"/>
        </w:tabs>
        <w:spacing w:line="240" w:lineRule="auto" w:before="3" w:after="0"/>
        <w:ind w:left="961" w:right="0" w:hanging="361"/>
        <w:jc w:val="left"/>
        <w:rPr>
          <w:sz w:val="24"/>
        </w:rPr>
      </w:pPr>
      <w:r>
        <w:rPr>
          <w:sz w:val="24"/>
        </w:rPr>
        <w:t>优势企业策略</w:t>
      </w:r>
    </w:p>
    <w:p>
      <w:pPr>
        <w:pStyle w:val="BodyText"/>
        <w:spacing w:line="364" w:lineRule="auto" w:before="161"/>
        <w:ind w:left="840" w:right="415" w:firstLine="420"/>
      </w:pPr>
      <w:r>
        <w:rPr/>
        <w:t>在本策略下，本基金选择具有较强核心竞争力的企业进行投资并长期持有。企业的核心竞争力主要体现在：</w:t>
      </w:r>
    </w:p>
    <w:p>
      <w:pPr>
        <w:pStyle w:val="ListParagraph"/>
        <w:numPr>
          <w:ilvl w:val="1"/>
          <w:numId w:val="87"/>
        </w:numPr>
        <w:tabs>
          <w:tab w:pos="1679" w:val="left" w:leader="none"/>
          <w:tab w:pos="1680" w:val="left" w:leader="none"/>
        </w:tabs>
        <w:spacing w:line="240" w:lineRule="auto" w:before="1" w:after="0"/>
        <w:ind w:left="1680" w:right="0" w:hanging="420"/>
        <w:jc w:val="left"/>
        <w:rPr>
          <w:sz w:val="24"/>
        </w:rPr>
      </w:pPr>
      <w:r>
        <w:rPr>
          <w:sz w:val="24"/>
        </w:rPr>
        <w:t>企业拥有知名品牌，客户忠诚度高；</w:t>
      </w:r>
    </w:p>
    <w:p>
      <w:pPr>
        <w:pStyle w:val="ListParagraph"/>
        <w:numPr>
          <w:ilvl w:val="1"/>
          <w:numId w:val="87"/>
        </w:numPr>
        <w:tabs>
          <w:tab w:pos="1679" w:val="left" w:leader="none"/>
          <w:tab w:pos="1680" w:val="left" w:leader="none"/>
        </w:tabs>
        <w:spacing w:line="240" w:lineRule="auto" w:before="161" w:after="0"/>
        <w:ind w:left="1680" w:right="0" w:hanging="420"/>
        <w:jc w:val="left"/>
        <w:rPr>
          <w:sz w:val="24"/>
        </w:rPr>
      </w:pPr>
      <w:r>
        <w:rPr>
          <w:sz w:val="24"/>
        </w:rPr>
        <w:t>企业的技术领先、创新能力较强；</w:t>
      </w:r>
    </w:p>
    <w:p>
      <w:pPr>
        <w:pStyle w:val="ListParagraph"/>
        <w:numPr>
          <w:ilvl w:val="1"/>
          <w:numId w:val="87"/>
        </w:numPr>
        <w:tabs>
          <w:tab w:pos="1679" w:val="left" w:leader="none"/>
          <w:tab w:pos="1680" w:val="left" w:leader="none"/>
        </w:tabs>
        <w:spacing w:line="240" w:lineRule="auto" w:before="160" w:after="0"/>
        <w:ind w:left="1680" w:right="0" w:hanging="420"/>
        <w:jc w:val="left"/>
        <w:rPr>
          <w:sz w:val="24"/>
        </w:rPr>
      </w:pPr>
      <w:r>
        <w:rPr>
          <w:sz w:val="24"/>
        </w:rPr>
        <w:t>企业的经营成本低于主要的竞争对手；</w:t>
      </w:r>
    </w:p>
    <w:p>
      <w:pPr>
        <w:pStyle w:val="ListParagraph"/>
        <w:numPr>
          <w:ilvl w:val="1"/>
          <w:numId w:val="87"/>
        </w:numPr>
        <w:tabs>
          <w:tab w:pos="1679" w:val="left" w:leader="none"/>
          <w:tab w:pos="1680" w:val="left" w:leader="none"/>
        </w:tabs>
        <w:spacing w:line="364" w:lineRule="auto" w:before="161" w:after="0"/>
        <w:ind w:left="1680" w:right="458" w:hanging="420"/>
        <w:jc w:val="left"/>
        <w:rPr>
          <w:sz w:val="24"/>
        </w:rPr>
      </w:pPr>
      <w:r>
        <w:rPr>
          <w:sz w:val="24"/>
        </w:rPr>
        <w:t>企业由于对稀缺或不可替代资源的占有、拥有特许经营牌照、在规模经济明显的行业中经营规模位居前列、已拥有较广泛的销售</w:t>
      </w:r>
    </w:p>
    <w:p>
      <w:pPr>
        <w:spacing w:after="0" w:line="364" w:lineRule="auto"/>
        <w:jc w:val="left"/>
        <w:rPr>
          <w:sz w:val="24"/>
        </w:rPr>
        <w:sectPr>
          <w:pgSz w:w="11910" w:h="16840"/>
          <w:pgMar w:header="0" w:footer="990" w:top="1460" w:bottom="1180" w:left="1680" w:right="1340"/>
        </w:sectPr>
      </w:pPr>
    </w:p>
    <w:p>
      <w:pPr>
        <w:pStyle w:val="BodyText"/>
        <w:spacing w:before="44"/>
        <w:ind w:left="1680"/>
      </w:pPr>
      <w:r>
        <w:rPr/>
        <w:t>网络等原因，在行业中占据垄断地位；</w:t>
      </w:r>
    </w:p>
    <w:p>
      <w:pPr>
        <w:pStyle w:val="ListParagraph"/>
        <w:numPr>
          <w:ilvl w:val="1"/>
          <w:numId w:val="87"/>
        </w:numPr>
        <w:tabs>
          <w:tab w:pos="1679" w:val="left" w:leader="none"/>
          <w:tab w:pos="1680" w:val="left" w:leader="none"/>
        </w:tabs>
        <w:spacing w:line="364" w:lineRule="auto" w:before="160" w:after="0"/>
        <w:ind w:left="1680" w:right="458" w:hanging="420"/>
        <w:jc w:val="left"/>
        <w:rPr>
          <w:sz w:val="24"/>
        </w:rPr>
      </w:pPr>
      <w:r>
        <w:rPr>
          <w:sz w:val="24"/>
        </w:rPr>
        <w:t>企业拥有一只管理能力较强的管理团队，专业、尽职，能正确制定企业发展战略，并创造较好的企业绩效。</w:t>
      </w:r>
    </w:p>
    <w:p>
      <w:pPr>
        <w:pStyle w:val="BodyText"/>
        <w:spacing w:line="364" w:lineRule="auto" w:before="2"/>
        <w:ind w:left="840" w:right="458" w:firstLine="420"/>
        <w:jc w:val="both"/>
      </w:pPr>
      <w:r>
        <w:rPr>
          <w:spacing w:val="-5"/>
        </w:rPr>
        <w:t>优势企业的主要财务特征是：企业营业利润率、净资产收益率在行业</w:t>
      </w:r>
      <w:r>
        <w:rPr>
          <w:spacing w:val="-7"/>
        </w:rPr>
        <w:t>内位居前列，并将在未来继续保持这一趋势；即使在行业低谷期，优势企</w:t>
      </w:r>
      <w:r>
        <w:rPr/>
        <w:t>业的盈利波动也小于行业内大多数企业。</w:t>
      </w:r>
    </w:p>
    <w:p>
      <w:pPr>
        <w:pStyle w:val="BodyText"/>
        <w:spacing w:line="364" w:lineRule="auto"/>
        <w:ind w:left="840" w:right="404" w:firstLine="420"/>
      </w:pPr>
      <w:r>
        <w:rPr/>
        <w:t>本基金将以合理价格或股价低估时，买入优势企业，并长期持有，与企业共同成长。当企业的核心竞争力发生实质不利变化时，出售股票。</w:t>
      </w:r>
    </w:p>
    <w:p>
      <w:pPr>
        <w:pStyle w:val="ListParagraph"/>
        <w:numPr>
          <w:ilvl w:val="0"/>
          <w:numId w:val="87"/>
        </w:numPr>
        <w:tabs>
          <w:tab w:pos="961" w:val="left" w:leader="none"/>
        </w:tabs>
        <w:spacing w:line="240" w:lineRule="auto" w:before="2" w:after="0"/>
        <w:ind w:left="961" w:right="0" w:hanging="361"/>
        <w:jc w:val="left"/>
        <w:rPr>
          <w:sz w:val="24"/>
        </w:rPr>
      </w:pPr>
      <w:r>
        <w:rPr>
          <w:sz w:val="24"/>
        </w:rPr>
        <w:t>成长企业策略</w:t>
      </w:r>
    </w:p>
    <w:p>
      <w:pPr>
        <w:pStyle w:val="BodyText"/>
        <w:spacing w:line="364" w:lineRule="auto" w:before="160"/>
        <w:ind w:left="840" w:right="218" w:firstLine="420"/>
      </w:pPr>
      <w:r>
        <w:rPr>
          <w:spacing w:val="-2"/>
        </w:rPr>
        <w:t>本基金采取自下而上的方式，重点发掘具有以下特征的企业：企业产 </w:t>
      </w:r>
      <w:r>
        <w:rPr>
          <w:spacing w:val="-9"/>
        </w:rPr>
        <w:t>品与服务具有较大的市场空间；生产性企业的生产能力持续扩张或闲置产 </w:t>
      </w:r>
      <w:r>
        <w:rPr>
          <w:spacing w:val="3"/>
        </w:rPr>
        <w:t>能不断得到利用，服务类企业营业网点、业务范围等服务能力持续增加， 营业收入不断增长。本基金将对上市公司的产量、在建产能/现有产能、 </w:t>
      </w:r>
      <w:r>
        <w:rPr>
          <w:spacing w:val="-7"/>
        </w:rPr>
        <w:t>营业网点数量、营业额的数据进行统计，根据行业特征，选取适当的反映 </w:t>
      </w:r>
      <w:r>
        <w:rPr>
          <w:spacing w:val="-13"/>
        </w:rPr>
        <w:t>生产能力的指标进行分析，选取在未来一到两年收入与盈利成长速度高于 行业平均水平，而且股价未明显高估的公司进行投资。</w:t>
      </w:r>
    </w:p>
    <w:p>
      <w:pPr>
        <w:pStyle w:val="ListParagraph"/>
        <w:numPr>
          <w:ilvl w:val="0"/>
          <w:numId w:val="87"/>
        </w:numPr>
        <w:tabs>
          <w:tab w:pos="961" w:val="left" w:leader="none"/>
        </w:tabs>
        <w:spacing w:line="240" w:lineRule="auto" w:before="4" w:after="0"/>
        <w:ind w:left="961" w:right="0" w:hanging="361"/>
        <w:jc w:val="left"/>
        <w:rPr>
          <w:sz w:val="24"/>
        </w:rPr>
      </w:pPr>
      <w:r>
        <w:rPr>
          <w:sz w:val="24"/>
        </w:rPr>
        <w:t>行业周期策略</w:t>
      </w:r>
    </w:p>
    <w:p>
      <w:pPr>
        <w:pStyle w:val="BodyText"/>
        <w:spacing w:line="364" w:lineRule="auto" w:before="161"/>
        <w:ind w:left="840" w:right="245" w:firstLine="420"/>
      </w:pPr>
      <w:r>
        <w:rPr>
          <w:spacing w:val="-5"/>
        </w:rPr>
        <w:t>在本策略下，本基金重点把握两个阶段的投资机会。一个是在行业低</w:t>
      </w:r>
      <w:r>
        <w:rPr>
          <w:spacing w:val="-10"/>
        </w:rPr>
        <w:t>谷期，行业景气持续低迷，产品价格、产销量和企业效益下滑，已开始有</w:t>
      </w:r>
      <w:r>
        <w:rPr>
          <w:spacing w:val="-13"/>
        </w:rPr>
        <w:t>企业退出该行业。本基金预期行业情况难以继续大幅恶化，而股价已充分</w:t>
      </w:r>
      <w:r>
        <w:rPr>
          <w:spacing w:val="-17"/>
        </w:rPr>
        <w:t>或过度反映了基本面的不利影响，一旦行业景气回升，企业净利润将会大</w:t>
      </w:r>
      <w:r>
        <w:rPr>
          <w:spacing w:val="-13"/>
        </w:rPr>
        <w:t>幅增加。另一投资机会是在行业景气上升周期，行业景气好转已确立，企</w:t>
      </w:r>
      <w:r>
        <w:rPr>
          <w:spacing w:val="-18"/>
        </w:rPr>
        <w:t>业效益、产品价格、产销量出现普遍上升，本基金预期行业景气将会持续。</w:t>
      </w:r>
      <w:r>
        <w:rPr>
          <w:spacing w:val="-16"/>
        </w:rPr>
        <w:t>在本策略下，本基金将重点投资于企业效益对行业景气敏感度较高的公司。</w:t>
      </w:r>
    </w:p>
    <w:p>
      <w:pPr>
        <w:pStyle w:val="ListParagraph"/>
        <w:numPr>
          <w:ilvl w:val="0"/>
          <w:numId w:val="87"/>
        </w:numPr>
        <w:tabs>
          <w:tab w:pos="961" w:val="left" w:leader="none"/>
        </w:tabs>
        <w:spacing w:line="240" w:lineRule="auto" w:before="4" w:after="0"/>
        <w:ind w:left="961" w:right="0" w:hanging="361"/>
        <w:jc w:val="left"/>
        <w:rPr>
          <w:sz w:val="24"/>
        </w:rPr>
      </w:pPr>
      <w:r>
        <w:rPr>
          <w:sz w:val="24"/>
        </w:rPr>
        <w:t>绝对价值策略</w:t>
      </w:r>
    </w:p>
    <w:p>
      <w:pPr>
        <w:pStyle w:val="BodyText"/>
        <w:spacing w:line="364" w:lineRule="auto" w:before="160"/>
        <w:ind w:left="840" w:right="338" w:firstLine="420"/>
      </w:pPr>
      <w:r>
        <w:rPr>
          <w:spacing w:val="-3"/>
        </w:rPr>
        <w:t>绝对价值策略指的是，根据行业和企业特点，寻找对企业的绝对价值</w:t>
      </w:r>
      <w:r>
        <w:rPr>
          <w:spacing w:val="-17"/>
        </w:rPr>
        <w:t>进行评估的合理估值方法，包括账面价值法、重置成本法和分拆出售法等。</w:t>
      </w:r>
      <w:r>
        <w:rPr>
          <w:spacing w:val="-6"/>
        </w:rPr>
        <w:t>当企业的绝对价值高于企业总市值，而且企业价值重估的诱发性因素有可能出现时，本基金将对此类公司进行投资。</w:t>
      </w:r>
    </w:p>
    <w:p>
      <w:pPr>
        <w:spacing w:after="0" w:line="364" w:lineRule="auto"/>
        <w:sectPr>
          <w:pgSz w:w="11910" w:h="16840"/>
          <w:pgMar w:header="0" w:footer="990" w:top="1460" w:bottom="1180" w:left="1680" w:right="1340"/>
        </w:sectPr>
      </w:pPr>
    </w:p>
    <w:p>
      <w:pPr>
        <w:pStyle w:val="ListParagraph"/>
        <w:numPr>
          <w:ilvl w:val="0"/>
          <w:numId w:val="87"/>
        </w:numPr>
        <w:tabs>
          <w:tab w:pos="961" w:val="left" w:leader="none"/>
        </w:tabs>
        <w:spacing w:line="240" w:lineRule="auto" w:before="44" w:after="0"/>
        <w:ind w:left="961" w:right="0" w:hanging="361"/>
        <w:jc w:val="left"/>
        <w:rPr>
          <w:sz w:val="24"/>
        </w:rPr>
      </w:pPr>
      <w:r>
        <w:rPr>
          <w:sz w:val="24"/>
        </w:rPr>
        <w:t>突发事件/收购兼并策略</w:t>
      </w:r>
    </w:p>
    <w:p>
      <w:pPr>
        <w:pStyle w:val="BodyText"/>
        <w:spacing w:line="364" w:lineRule="auto" w:before="160"/>
        <w:ind w:left="840" w:right="457" w:firstLine="420"/>
        <w:jc w:val="both"/>
      </w:pPr>
      <w:r>
        <w:rPr>
          <w:spacing w:val="-7"/>
        </w:rPr>
        <w:t>在此策略下，本基金将关注突发事件以及收购兼并信息对公司股价的</w:t>
      </w:r>
      <w:r>
        <w:rPr>
          <w:spacing w:val="-10"/>
        </w:rPr>
        <w:t>影响。如果突发事件对企业盈利能力产生短暂的不利影响，但市场过度反</w:t>
      </w:r>
      <w:r>
        <w:rPr>
          <w:spacing w:val="-9"/>
        </w:rPr>
        <w:t>应造成股价大幅下跌，已低于其合理估值时，本基金可对此类公司进行投</w:t>
      </w:r>
      <w:r>
        <w:rPr>
          <w:spacing w:val="-12"/>
        </w:rPr>
        <w:t>资。此外，在公司公告收购兼并信息后，本基金将分析收购兼并事件对企</w:t>
      </w:r>
      <w:r>
        <w:rPr>
          <w:spacing w:val="-9"/>
        </w:rPr>
        <w:t>业盈利能力造成的实质影响。当股票价格未充分反映收购兼并给企业带来</w:t>
      </w:r>
      <w:r>
        <w:rPr/>
        <w:t>的正面效应时，本基金将对此类公司进行投资。</w:t>
      </w:r>
    </w:p>
    <w:p>
      <w:pPr>
        <w:pStyle w:val="ListParagraph"/>
        <w:numPr>
          <w:ilvl w:val="0"/>
          <w:numId w:val="87"/>
        </w:numPr>
        <w:tabs>
          <w:tab w:pos="961" w:val="left" w:leader="none"/>
        </w:tabs>
        <w:spacing w:line="240" w:lineRule="auto" w:before="4" w:after="0"/>
        <w:ind w:left="961" w:right="0" w:hanging="361"/>
        <w:jc w:val="left"/>
        <w:rPr>
          <w:sz w:val="24"/>
        </w:rPr>
      </w:pPr>
      <w:r>
        <w:rPr>
          <w:sz w:val="24"/>
        </w:rPr>
        <w:t>新兴技术策略</w:t>
      </w:r>
    </w:p>
    <w:p>
      <w:pPr>
        <w:pStyle w:val="BodyText"/>
        <w:spacing w:line="364" w:lineRule="auto" w:before="160"/>
        <w:ind w:left="840" w:right="338" w:firstLine="420"/>
      </w:pPr>
      <w:r>
        <w:rPr>
          <w:spacing w:val="-5"/>
        </w:rPr>
        <w:t>在此策略下，本基金将重点关注有可能出现重大技术突破的领域，如</w:t>
      </w:r>
      <w:r>
        <w:rPr>
          <w:spacing w:val="-17"/>
        </w:rPr>
        <w:t>生物、医药、电子通讯、环保、新材料等。这些领域的新技术开发难度大、</w:t>
      </w:r>
      <w:r>
        <w:rPr>
          <w:spacing w:val="-10"/>
        </w:rPr>
        <w:t>进入壁垒高，一旦转化为生产力，将会带来巨大的市场需求和企业效益的</w:t>
      </w:r>
      <w:r>
        <w:rPr>
          <w:spacing w:val="-12"/>
        </w:rPr>
        <w:t>高速增长。本基金将密切跟踪这些领域中技术水平处于前列的公司，了解</w:t>
      </w:r>
      <w:r>
        <w:rPr>
          <w:spacing w:val="-16"/>
        </w:rPr>
        <w:t>其技术开发进度以及采用新技术产能的建设进度，在技术突破即将实现而股价未充分反映之前，进行投资。</w:t>
      </w:r>
    </w:p>
    <w:p>
      <w:pPr>
        <w:pStyle w:val="BodyText"/>
        <w:spacing w:line="364" w:lineRule="auto" w:before="4"/>
        <w:ind w:right="404" w:firstLine="420"/>
      </w:pPr>
      <w:r>
        <w:rPr/>
        <w:t>本基金将综合运用以上策略进行股票选择，根据对各种策略的收益与风险的判断、投资品种资金容量的分析，进行组合的构造与调整。</w:t>
      </w:r>
    </w:p>
    <w:p>
      <w:pPr>
        <w:pStyle w:val="ListParagraph"/>
        <w:numPr>
          <w:ilvl w:val="0"/>
          <w:numId w:val="86"/>
        </w:numPr>
        <w:tabs>
          <w:tab w:pos="1141" w:val="left" w:leader="none"/>
        </w:tabs>
        <w:spacing w:line="240" w:lineRule="auto" w:before="1" w:after="0"/>
        <w:ind w:left="1141" w:right="0" w:hanging="601"/>
        <w:jc w:val="left"/>
        <w:rPr>
          <w:sz w:val="24"/>
        </w:rPr>
      </w:pPr>
      <w:r>
        <w:rPr>
          <w:sz w:val="24"/>
        </w:rPr>
        <w:t>债券投资策略</w:t>
      </w:r>
    </w:p>
    <w:p>
      <w:pPr>
        <w:pStyle w:val="BodyText"/>
        <w:spacing w:line="364" w:lineRule="auto" w:before="161"/>
        <w:ind w:right="458" w:firstLine="420"/>
        <w:jc w:val="both"/>
      </w:pPr>
      <w:r>
        <w:rPr>
          <w:spacing w:val="-6"/>
        </w:rPr>
        <w:t>在债券投资方面，本基金将主要通过类属配置与券种选择两个层次进行投资</w:t>
      </w:r>
      <w:r>
        <w:rPr>
          <w:spacing w:val="-10"/>
        </w:rPr>
        <w:t>管理。在类属配置层次，结合对宏观经济、市场利率、供求变化等因素的综合分析，根据交易所市场与银行间市场类属资产的风险收益特征，定期对投资组合类</w:t>
      </w:r>
      <w:r>
        <w:rPr/>
        <w:t>属资产进行优化配置和调整，确定类属资产的最优权重。</w:t>
      </w:r>
    </w:p>
    <w:p>
      <w:pPr>
        <w:pStyle w:val="BodyText"/>
        <w:spacing w:line="364" w:lineRule="auto" w:before="2"/>
        <w:ind w:right="458" w:firstLine="420"/>
        <w:jc w:val="both"/>
      </w:pPr>
      <w:r>
        <w:rPr>
          <w:spacing w:val="-5"/>
        </w:rPr>
        <w:t>在券种选择上，本基金以长期利率趋势分析为基础，结合经济变化趋势、货</w:t>
      </w:r>
      <w:r>
        <w:rPr>
          <w:spacing w:val="-6"/>
        </w:rPr>
        <w:t>币政策及不同债券品种的收益率水平、流动性和信用风险等因素，合理运用投资</w:t>
      </w:r>
      <w:r>
        <w:rPr/>
        <w:t>管理策略，实施积极主动的债券投资管理。</w:t>
      </w:r>
    </w:p>
    <w:p>
      <w:pPr>
        <w:pStyle w:val="BodyText"/>
        <w:spacing w:line="364" w:lineRule="auto" w:before="2"/>
        <w:ind w:right="218" w:firstLine="420"/>
      </w:pPr>
      <w:r>
        <w:rPr>
          <w:spacing w:val="-5"/>
        </w:rPr>
        <w:t>在可转债方面，本基金将投资具有较高成长性或正股价格被低估公司发行的 </w:t>
      </w:r>
      <w:r>
        <w:rPr>
          <w:spacing w:val="3"/>
        </w:rPr>
        <w:t>可转债；投资折价交易或底价溢价率较低的可转债，在接近强制赎回点时卖出； </w:t>
      </w:r>
      <w:r>
        <w:rPr>
          <w:spacing w:val="-4"/>
        </w:rPr>
        <w:t>及时把握可转债与股票的套利机会；根据中签率预测和模型定价结果，积极参与 </w:t>
      </w:r>
      <w:r>
        <w:rPr>
          <w:spacing w:val="-11"/>
        </w:rPr>
        <w:t>可转债新券申购等。基金管理人将动态监控可转债发行主体的信用状况，及时抛 售主体信用状况有恶化迹象的可转换债券。</w:t>
      </w:r>
    </w:p>
    <w:p>
      <w:pPr>
        <w:spacing w:after="0" w:line="364" w:lineRule="auto"/>
        <w:sectPr>
          <w:pgSz w:w="11910" w:h="16840"/>
          <w:pgMar w:header="0" w:footer="990" w:top="1460" w:bottom="1180" w:left="1680" w:right="1340"/>
        </w:sectPr>
      </w:pPr>
    </w:p>
    <w:p>
      <w:pPr>
        <w:pStyle w:val="BodyText"/>
        <w:spacing w:line="364" w:lineRule="auto" w:before="44"/>
        <w:ind w:right="458" w:firstLine="420"/>
        <w:jc w:val="both"/>
      </w:pPr>
      <w:r>
        <w:rPr>
          <w:spacing w:val="-3"/>
        </w:rPr>
        <w:t>随着国内债券市场的深入发展和结构性变迁，更多债券新品种和交易形式将</w:t>
      </w:r>
      <w:r>
        <w:rPr>
          <w:spacing w:val="-15"/>
        </w:rPr>
        <w:t>增加债券投资盈利模式，本基金会密切跟踪市场动态变化，选择合适的介入机会, </w:t>
      </w:r>
      <w:r>
        <w:rPr/>
        <w:t>谋求高于市场平均水平的投资回报。</w:t>
      </w:r>
    </w:p>
    <w:p>
      <w:pPr>
        <w:pStyle w:val="ListParagraph"/>
        <w:numPr>
          <w:ilvl w:val="0"/>
          <w:numId w:val="86"/>
        </w:numPr>
        <w:tabs>
          <w:tab w:pos="1141" w:val="left" w:leader="none"/>
        </w:tabs>
        <w:spacing w:line="240" w:lineRule="auto" w:before="2" w:after="0"/>
        <w:ind w:left="1141" w:right="0" w:hanging="601"/>
        <w:jc w:val="left"/>
        <w:rPr>
          <w:sz w:val="24"/>
        </w:rPr>
      </w:pPr>
      <w:r>
        <w:rPr>
          <w:sz w:val="24"/>
        </w:rPr>
        <w:t>存托凭证投资策略</w:t>
      </w:r>
    </w:p>
    <w:p>
      <w:pPr>
        <w:pStyle w:val="BodyText"/>
        <w:spacing w:line="364" w:lineRule="auto" w:before="160"/>
        <w:ind w:right="458" w:firstLine="420"/>
        <w:jc w:val="both"/>
      </w:pPr>
      <w:r>
        <w:rPr>
          <w:spacing w:val="-5"/>
        </w:rPr>
        <w:t>本基金可投资存托凭证，本基金将结合对宏观经济状况、行业景气度、公司</w:t>
      </w:r>
      <w:r>
        <w:rPr>
          <w:spacing w:val="-11"/>
        </w:rPr>
        <w:t>竞争优势、公司治理结构、估值水平等因素的分析判断，选择投资价值高的存托</w:t>
      </w:r>
      <w:r>
        <w:rPr/>
        <w:t>凭证进行投资。</w:t>
      </w:r>
    </w:p>
    <w:p>
      <w:pPr>
        <w:pStyle w:val="ListParagraph"/>
        <w:numPr>
          <w:ilvl w:val="0"/>
          <w:numId w:val="86"/>
        </w:numPr>
        <w:tabs>
          <w:tab w:pos="1141" w:val="left" w:leader="none"/>
        </w:tabs>
        <w:spacing w:line="240" w:lineRule="auto" w:before="2" w:after="0"/>
        <w:ind w:left="1141" w:right="0" w:hanging="601"/>
        <w:jc w:val="left"/>
        <w:rPr>
          <w:sz w:val="24"/>
        </w:rPr>
      </w:pPr>
      <w:r>
        <w:rPr>
          <w:sz w:val="24"/>
        </w:rPr>
        <w:t>权证投资策略</w:t>
      </w:r>
    </w:p>
    <w:p>
      <w:pPr>
        <w:pStyle w:val="BodyText"/>
        <w:spacing w:line="364" w:lineRule="auto" w:before="160"/>
        <w:ind w:right="404" w:firstLine="420"/>
      </w:pPr>
      <w:r>
        <w:rPr/>
        <w:t>权证为本基金辅助性投资工具，投资原则为有利于基金资产增值、控制下跌风险、实现保值和锁定收益。</w:t>
      </w:r>
    </w:p>
    <w:p>
      <w:pPr>
        <w:pStyle w:val="ListParagraph"/>
        <w:numPr>
          <w:ilvl w:val="0"/>
          <w:numId w:val="85"/>
        </w:numPr>
        <w:tabs>
          <w:tab w:pos="961" w:val="left" w:leader="none"/>
        </w:tabs>
        <w:spacing w:line="240" w:lineRule="auto" w:before="158" w:after="0"/>
        <w:ind w:left="961" w:right="0" w:hanging="361"/>
        <w:jc w:val="left"/>
        <w:rPr>
          <w:sz w:val="24"/>
        </w:rPr>
      </w:pPr>
      <w:r>
        <w:rPr>
          <w:sz w:val="24"/>
        </w:rPr>
        <w:t>业绩比较基准</w:t>
      </w:r>
    </w:p>
    <w:p>
      <w:pPr>
        <w:pStyle w:val="BodyText"/>
        <w:spacing w:before="8"/>
        <w:ind w:left="0"/>
      </w:pPr>
    </w:p>
    <w:p>
      <w:pPr>
        <w:pStyle w:val="BodyText"/>
        <w:ind w:left="540"/>
        <w:jc w:val="both"/>
      </w:pPr>
      <w:r>
        <w:rPr/>
        <w:t>沪深 300 指数收益率 X80%+中债总指数收益率 X20%</w:t>
      </w:r>
    </w:p>
    <w:p>
      <w:pPr>
        <w:pStyle w:val="BodyText"/>
        <w:spacing w:line="364" w:lineRule="auto" w:before="160"/>
        <w:ind w:right="458" w:firstLine="420"/>
        <w:jc w:val="both"/>
      </w:pPr>
      <w:r>
        <w:rPr>
          <w:spacing w:val="-3"/>
        </w:rPr>
        <w:t>如果指数编制单位停止计算编制该指数或更改指数名称、或有更权威的、更</w:t>
      </w:r>
      <w:r>
        <w:rPr>
          <w:spacing w:val="-7"/>
        </w:rPr>
        <w:t>能为市场普遍接受的业绩比较基准推出，基金管理人有权对此基准进行调整并及</w:t>
      </w:r>
      <w:r>
        <w:rPr/>
        <w:t>时公告。</w:t>
      </w:r>
    </w:p>
    <w:p>
      <w:pPr>
        <w:pStyle w:val="BodyText"/>
        <w:spacing w:line="364" w:lineRule="auto" w:before="2"/>
        <w:ind w:right="458" w:firstLine="420"/>
        <w:jc w:val="both"/>
      </w:pPr>
      <w:r>
        <w:rPr>
          <w:spacing w:val="-4"/>
        </w:rPr>
        <w:t>本基金为混合基金，在考虑了基金股票组合的投资标的、构建流程以及市场</w:t>
      </w:r>
      <w:r>
        <w:rPr>
          <w:spacing w:val="-6"/>
        </w:rPr>
        <w:t>上各个股票指数的编制方法和历史情况后，我们选定沪深 </w:t>
      </w:r>
      <w:r>
        <w:rPr/>
        <w:t>300</w:t>
      </w:r>
      <w:r>
        <w:rPr>
          <w:spacing w:val="-16"/>
        </w:rPr>
        <w:t> 指数、中债总指数</w:t>
      </w:r>
      <w:r>
        <w:rPr/>
        <w:t>作为本基金的业绩比较基准。</w:t>
      </w:r>
    </w:p>
    <w:p>
      <w:pPr>
        <w:pStyle w:val="BodyText"/>
        <w:spacing w:line="364" w:lineRule="auto" w:before="2"/>
        <w:ind w:right="458" w:firstLine="420"/>
        <w:jc w:val="both"/>
      </w:pPr>
      <w:r>
        <w:rPr>
          <w:spacing w:val="-5"/>
        </w:rPr>
        <w:t>本基金的股票投资比例为 </w:t>
      </w:r>
      <w:r>
        <w:rPr/>
        <w:t>60%-95%，业绩比较基准中的资产配置比例可以反映本基金的风险收益特征。</w:t>
      </w:r>
    </w:p>
    <w:p>
      <w:pPr>
        <w:pStyle w:val="ListParagraph"/>
        <w:numPr>
          <w:ilvl w:val="0"/>
          <w:numId w:val="85"/>
        </w:numPr>
        <w:tabs>
          <w:tab w:pos="961" w:val="left" w:leader="none"/>
        </w:tabs>
        <w:spacing w:line="240" w:lineRule="auto" w:before="157" w:after="0"/>
        <w:ind w:left="961" w:right="0" w:hanging="361"/>
        <w:jc w:val="left"/>
        <w:rPr>
          <w:sz w:val="24"/>
        </w:rPr>
      </w:pPr>
      <w:r>
        <w:rPr>
          <w:sz w:val="24"/>
        </w:rPr>
        <w:t>风险收益特征</w:t>
      </w:r>
    </w:p>
    <w:p>
      <w:pPr>
        <w:pStyle w:val="BodyText"/>
        <w:spacing w:before="9"/>
        <w:ind w:left="0"/>
      </w:pPr>
    </w:p>
    <w:p>
      <w:pPr>
        <w:pStyle w:val="BodyText"/>
        <w:spacing w:line="364" w:lineRule="auto" w:before="0"/>
        <w:ind w:right="218" w:firstLine="420"/>
      </w:pPr>
      <w:r>
        <w:rPr/>
        <w:t>本基金是混合基金，理论上其风险收益水平高于债券基金和货币市场基金， 低于股票基金。</w:t>
      </w:r>
    </w:p>
    <w:p>
      <w:pPr>
        <w:pStyle w:val="ListParagraph"/>
        <w:numPr>
          <w:ilvl w:val="0"/>
          <w:numId w:val="85"/>
        </w:numPr>
        <w:tabs>
          <w:tab w:pos="901" w:val="left" w:leader="none"/>
        </w:tabs>
        <w:spacing w:line="240" w:lineRule="auto" w:before="1" w:after="0"/>
        <w:ind w:left="901" w:right="0" w:hanging="361"/>
        <w:jc w:val="left"/>
        <w:rPr>
          <w:sz w:val="24"/>
        </w:rPr>
      </w:pPr>
      <w:r>
        <w:rPr>
          <w:sz w:val="24"/>
        </w:rPr>
        <w:t>投资禁止行为与限制</w:t>
      </w:r>
    </w:p>
    <w:p>
      <w:pPr>
        <w:pStyle w:val="ListParagraph"/>
        <w:numPr>
          <w:ilvl w:val="0"/>
          <w:numId w:val="88"/>
        </w:numPr>
        <w:tabs>
          <w:tab w:pos="1201" w:val="left" w:leader="none"/>
        </w:tabs>
        <w:spacing w:line="240" w:lineRule="auto" w:before="161" w:after="0"/>
        <w:ind w:left="1201" w:right="0" w:hanging="601"/>
        <w:jc w:val="left"/>
        <w:rPr>
          <w:sz w:val="24"/>
        </w:rPr>
      </w:pPr>
      <w:r>
        <w:rPr>
          <w:sz w:val="24"/>
        </w:rPr>
        <w:t>禁止用本基金财产从事以下行为</w:t>
      </w:r>
    </w:p>
    <w:p>
      <w:pPr>
        <w:pStyle w:val="ListParagraph"/>
        <w:numPr>
          <w:ilvl w:val="1"/>
          <w:numId w:val="88"/>
        </w:numPr>
        <w:tabs>
          <w:tab w:pos="1589" w:val="left" w:leader="none"/>
        </w:tabs>
        <w:spacing w:line="240" w:lineRule="auto" w:before="160" w:after="0"/>
        <w:ind w:left="1589" w:right="0" w:hanging="361"/>
        <w:jc w:val="left"/>
        <w:rPr>
          <w:sz w:val="24"/>
        </w:rPr>
      </w:pPr>
      <w:r>
        <w:rPr>
          <w:sz w:val="24"/>
        </w:rPr>
        <w:t>承销证券；</w:t>
      </w:r>
    </w:p>
    <w:p>
      <w:pPr>
        <w:pStyle w:val="ListParagraph"/>
        <w:numPr>
          <w:ilvl w:val="1"/>
          <w:numId w:val="88"/>
        </w:numPr>
        <w:tabs>
          <w:tab w:pos="1589" w:val="left" w:leader="none"/>
        </w:tabs>
        <w:spacing w:line="240" w:lineRule="auto" w:before="161" w:after="0"/>
        <w:ind w:left="1589" w:right="0" w:hanging="361"/>
        <w:jc w:val="left"/>
        <w:rPr>
          <w:sz w:val="24"/>
        </w:rPr>
      </w:pPr>
      <w:r>
        <w:rPr>
          <w:sz w:val="24"/>
        </w:rPr>
        <w:t>违反规定向他人贷款或者提供担保；</w:t>
      </w:r>
    </w:p>
    <w:p>
      <w:pPr>
        <w:pStyle w:val="ListParagraph"/>
        <w:numPr>
          <w:ilvl w:val="1"/>
          <w:numId w:val="88"/>
        </w:numPr>
        <w:tabs>
          <w:tab w:pos="1589" w:val="left" w:leader="none"/>
        </w:tabs>
        <w:spacing w:line="240" w:lineRule="auto" w:before="160" w:after="0"/>
        <w:ind w:left="1589" w:right="0" w:hanging="361"/>
        <w:jc w:val="left"/>
        <w:rPr>
          <w:sz w:val="24"/>
        </w:rPr>
      </w:pPr>
      <w:r>
        <w:rPr>
          <w:sz w:val="24"/>
        </w:rPr>
        <w:t>从事承担无限责任的投资；</w:t>
      </w:r>
    </w:p>
    <w:p>
      <w:pPr>
        <w:spacing w:after="0" w:line="240" w:lineRule="auto"/>
        <w:jc w:val="left"/>
        <w:rPr>
          <w:sz w:val="24"/>
        </w:rPr>
        <w:sectPr>
          <w:pgSz w:w="11910" w:h="16840"/>
          <w:pgMar w:header="0" w:footer="990" w:top="1460" w:bottom="1180" w:left="1680" w:right="1340"/>
        </w:sectPr>
      </w:pPr>
    </w:p>
    <w:p>
      <w:pPr>
        <w:pStyle w:val="ListParagraph"/>
        <w:numPr>
          <w:ilvl w:val="1"/>
          <w:numId w:val="88"/>
        </w:numPr>
        <w:tabs>
          <w:tab w:pos="1589" w:val="left" w:leader="none"/>
        </w:tabs>
        <w:spacing w:line="240" w:lineRule="auto" w:before="44" w:after="0"/>
        <w:ind w:left="1589" w:right="0" w:hanging="361"/>
        <w:jc w:val="left"/>
        <w:rPr>
          <w:sz w:val="24"/>
        </w:rPr>
      </w:pPr>
      <w:r>
        <w:rPr>
          <w:sz w:val="24"/>
        </w:rPr>
        <w:t>买卖其他基金份额，但是中国证监会另有规定的除外；</w:t>
      </w:r>
    </w:p>
    <w:p>
      <w:pPr>
        <w:pStyle w:val="ListParagraph"/>
        <w:numPr>
          <w:ilvl w:val="1"/>
          <w:numId w:val="88"/>
        </w:numPr>
        <w:tabs>
          <w:tab w:pos="1589" w:val="left" w:leader="none"/>
        </w:tabs>
        <w:spacing w:line="240" w:lineRule="auto" w:before="160" w:after="0"/>
        <w:ind w:left="1589" w:right="0" w:hanging="361"/>
        <w:jc w:val="left"/>
        <w:rPr>
          <w:sz w:val="24"/>
        </w:rPr>
      </w:pPr>
      <w:r>
        <w:rPr>
          <w:sz w:val="24"/>
        </w:rPr>
        <w:t>向本基金的基金管理人、基金托管人出资；</w:t>
      </w:r>
    </w:p>
    <w:p>
      <w:pPr>
        <w:pStyle w:val="ListParagraph"/>
        <w:numPr>
          <w:ilvl w:val="1"/>
          <w:numId w:val="88"/>
        </w:numPr>
        <w:tabs>
          <w:tab w:pos="1589" w:val="left" w:leader="none"/>
        </w:tabs>
        <w:spacing w:line="240" w:lineRule="auto" w:before="161" w:after="0"/>
        <w:ind w:left="1589" w:right="0" w:hanging="361"/>
        <w:jc w:val="left"/>
        <w:rPr>
          <w:sz w:val="24"/>
        </w:rPr>
      </w:pPr>
      <w:r>
        <w:rPr>
          <w:sz w:val="24"/>
        </w:rPr>
        <w:t>从事内幕交易、操纵证券交易价格及其他不正当的证券交易活动；</w:t>
      </w:r>
    </w:p>
    <w:p>
      <w:pPr>
        <w:pStyle w:val="ListParagraph"/>
        <w:numPr>
          <w:ilvl w:val="1"/>
          <w:numId w:val="88"/>
        </w:numPr>
        <w:tabs>
          <w:tab w:pos="1589" w:val="left" w:leader="none"/>
        </w:tabs>
        <w:spacing w:line="240" w:lineRule="auto" w:before="160" w:after="0"/>
        <w:ind w:left="1589" w:right="0" w:hanging="361"/>
        <w:jc w:val="left"/>
        <w:rPr>
          <w:sz w:val="24"/>
        </w:rPr>
      </w:pPr>
      <w:r>
        <w:rPr>
          <w:sz w:val="24"/>
        </w:rPr>
        <w:t>法律、行政法规和中国证监会规定禁止的其他活动。</w:t>
      </w:r>
    </w:p>
    <w:p>
      <w:pPr>
        <w:pStyle w:val="ListParagraph"/>
        <w:numPr>
          <w:ilvl w:val="0"/>
          <w:numId w:val="88"/>
        </w:numPr>
        <w:tabs>
          <w:tab w:pos="1201" w:val="left" w:leader="none"/>
        </w:tabs>
        <w:spacing w:line="240" w:lineRule="auto" w:before="161" w:after="0"/>
        <w:ind w:left="1201" w:right="0" w:hanging="601"/>
        <w:jc w:val="left"/>
        <w:rPr>
          <w:sz w:val="24"/>
        </w:rPr>
      </w:pPr>
      <w:r>
        <w:rPr>
          <w:sz w:val="24"/>
        </w:rPr>
        <w:t>基金投资组合比例限制</w:t>
      </w:r>
    </w:p>
    <w:p>
      <w:pPr>
        <w:pStyle w:val="ListParagraph"/>
        <w:numPr>
          <w:ilvl w:val="0"/>
          <w:numId w:val="89"/>
        </w:numPr>
        <w:tabs>
          <w:tab w:pos="1593" w:val="left" w:leader="none"/>
        </w:tabs>
        <w:spacing w:line="240" w:lineRule="auto" w:before="160" w:after="0"/>
        <w:ind w:left="1592" w:right="0" w:hanging="365"/>
        <w:jc w:val="left"/>
        <w:rPr>
          <w:sz w:val="24"/>
        </w:rPr>
      </w:pPr>
      <w:r>
        <w:rPr>
          <w:sz w:val="24"/>
        </w:rPr>
        <w:t>本基金持有一家上市公司的股票，其市值不超过基金资产净值的</w:t>
      </w:r>
    </w:p>
    <w:p>
      <w:pPr>
        <w:pStyle w:val="BodyText"/>
        <w:spacing w:before="161"/>
        <w:ind w:left="1556"/>
      </w:pPr>
      <w:r>
        <w:rPr/>
        <w:t>10%；</w:t>
      </w:r>
    </w:p>
    <w:p>
      <w:pPr>
        <w:pStyle w:val="ListParagraph"/>
        <w:numPr>
          <w:ilvl w:val="0"/>
          <w:numId w:val="89"/>
        </w:numPr>
        <w:tabs>
          <w:tab w:pos="1597" w:val="left" w:leader="none"/>
        </w:tabs>
        <w:spacing w:line="364" w:lineRule="auto" w:before="160" w:after="0"/>
        <w:ind w:left="1556" w:right="458" w:hanging="329"/>
        <w:jc w:val="both"/>
        <w:rPr>
          <w:sz w:val="24"/>
        </w:rPr>
      </w:pPr>
      <w:r>
        <w:rPr>
          <w:spacing w:val="2"/>
          <w:sz w:val="24"/>
        </w:rPr>
        <w:t>本基金与基金管理人管理的其他基金持有一家公司发行的证券总</w:t>
      </w:r>
      <w:r>
        <w:rPr>
          <w:spacing w:val="-6"/>
          <w:sz w:val="24"/>
        </w:rPr>
        <w:t>和，不超过该证券的 </w:t>
      </w:r>
      <w:r>
        <w:rPr>
          <w:sz w:val="24"/>
        </w:rPr>
        <w:t>10%；</w:t>
      </w:r>
    </w:p>
    <w:p>
      <w:pPr>
        <w:pStyle w:val="ListParagraph"/>
        <w:numPr>
          <w:ilvl w:val="0"/>
          <w:numId w:val="89"/>
        </w:numPr>
        <w:tabs>
          <w:tab w:pos="1593" w:val="left" w:leader="none"/>
        </w:tabs>
        <w:spacing w:line="364" w:lineRule="auto" w:before="2" w:after="0"/>
        <w:ind w:left="1556" w:right="458" w:hanging="329"/>
        <w:jc w:val="both"/>
        <w:rPr>
          <w:sz w:val="24"/>
        </w:rPr>
      </w:pPr>
      <w:r>
        <w:rPr>
          <w:spacing w:val="-3"/>
          <w:sz w:val="24"/>
        </w:rPr>
        <w:t>股票资产占基金资产的 </w:t>
      </w:r>
      <w:r>
        <w:rPr>
          <w:sz w:val="24"/>
        </w:rPr>
        <w:t>60%—95</w:t>
      </w:r>
      <w:r>
        <w:rPr>
          <w:spacing w:val="-1"/>
          <w:sz w:val="24"/>
        </w:rPr>
        <w:t>%；债券、资产支持证券、权证、</w:t>
      </w:r>
      <w:r>
        <w:rPr>
          <w:spacing w:val="4"/>
          <w:sz w:val="24"/>
        </w:rPr>
        <w:t>货币市场工具以及中国证监会允许基金投资的其他证券品种占基</w:t>
      </w:r>
      <w:r>
        <w:rPr>
          <w:spacing w:val="-9"/>
          <w:sz w:val="24"/>
        </w:rPr>
        <w:t>金资产的 </w:t>
      </w:r>
      <w:r>
        <w:rPr>
          <w:sz w:val="24"/>
        </w:rPr>
        <w:t>5%-40%；</w:t>
      </w:r>
    </w:p>
    <w:p>
      <w:pPr>
        <w:pStyle w:val="ListParagraph"/>
        <w:numPr>
          <w:ilvl w:val="0"/>
          <w:numId w:val="89"/>
        </w:numPr>
        <w:tabs>
          <w:tab w:pos="1597" w:val="left" w:leader="none"/>
        </w:tabs>
        <w:spacing w:line="364" w:lineRule="auto" w:before="1" w:after="0"/>
        <w:ind w:left="1556" w:right="457" w:hanging="329"/>
        <w:jc w:val="both"/>
        <w:rPr>
          <w:sz w:val="24"/>
        </w:rPr>
      </w:pPr>
      <w:r>
        <w:rPr>
          <w:spacing w:val="2"/>
          <w:sz w:val="24"/>
        </w:rPr>
        <w:t>本基金财产参与股票发行申购，所申报的金额不超过本基金总资</w:t>
      </w:r>
      <w:r>
        <w:rPr>
          <w:spacing w:val="-12"/>
          <w:sz w:val="24"/>
        </w:rPr>
        <w:t>产，本基金所申报的股票数量不超过拟发行股票公司本次发行股票</w:t>
      </w:r>
      <w:r>
        <w:rPr>
          <w:sz w:val="24"/>
        </w:rPr>
        <w:t>的总量；</w:t>
      </w:r>
    </w:p>
    <w:p>
      <w:pPr>
        <w:pStyle w:val="ListParagraph"/>
        <w:numPr>
          <w:ilvl w:val="0"/>
          <w:numId w:val="89"/>
        </w:numPr>
        <w:tabs>
          <w:tab w:pos="1597" w:val="left" w:leader="none"/>
        </w:tabs>
        <w:spacing w:line="364" w:lineRule="auto" w:before="2" w:after="0"/>
        <w:ind w:left="1556" w:right="458" w:hanging="329"/>
        <w:jc w:val="both"/>
        <w:rPr>
          <w:sz w:val="24"/>
        </w:rPr>
      </w:pPr>
      <w:r>
        <w:rPr>
          <w:spacing w:val="-1"/>
          <w:sz w:val="24"/>
        </w:rPr>
        <w:t>在全国银行间同业市场中的债券回购最长期限为 </w:t>
      </w:r>
      <w:r>
        <w:rPr>
          <w:sz w:val="24"/>
        </w:rPr>
        <w:t>1</w:t>
      </w:r>
      <w:r>
        <w:rPr>
          <w:spacing w:val="-7"/>
          <w:sz w:val="24"/>
        </w:rPr>
        <w:t> 年，债券回购</w:t>
      </w:r>
      <w:r>
        <w:rPr>
          <w:sz w:val="24"/>
        </w:rPr>
        <w:t>到期后不展期；</w:t>
      </w:r>
    </w:p>
    <w:p>
      <w:pPr>
        <w:pStyle w:val="ListParagraph"/>
        <w:numPr>
          <w:ilvl w:val="0"/>
          <w:numId w:val="89"/>
        </w:numPr>
        <w:tabs>
          <w:tab w:pos="1597" w:val="left" w:leader="none"/>
        </w:tabs>
        <w:spacing w:line="364" w:lineRule="auto" w:before="1" w:after="0"/>
        <w:ind w:left="1556" w:right="458" w:hanging="329"/>
        <w:jc w:val="both"/>
        <w:rPr>
          <w:sz w:val="24"/>
        </w:rPr>
      </w:pPr>
      <w:r>
        <w:rPr>
          <w:spacing w:val="2"/>
          <w:sz w:val="24"/>
        </w:rPr>
        <w:t>在银行间市场进行债券回购融入的资金余额不超过基金资产净值</w:t>
      </w:r>
      <w:r>
        <w:rPr>
          <w:spacing w:val="-30"/>
          <w:sz w:val="24"/>
        </w:rPr>
        <w:t>的 </w:t>
      </w:r>
      <w:r>
        <w:rPr>
          <w:sz w:val="24"/>
        </w:rPr>
        <w:t>40%；</w:t>
      </w:r>
    </w:p>
    <w:p>
      <w:pPr>
        <w:pStyle w:val="ListParagraph"/>
        <w:numPr>
          <w:ilvl w:val="0"/>
          <w:numId w:val="89"/>
        </w:numPr>
        <w:tabs>
          <w:tab w:pos="1597" w:val="left" w:leader="none"/>
        </w:tabs>
        <w:spacing w:line="364" w:lineRule="auto" w:before="2" w:after="0"/>
        <w:ind w:left="1556" w:right="458" w:hanging="329"/>
        <w:jc w:val="both"/>
        <w:rPr>
          <w:sz w:val="24"/>
        </w:rPr>
      </w:pPr>
      <w:r>
        <w:rPr>
          <w:spacing w:val="2"/>
          <w:sz w:val="24"/>
        </w:rPr>
        <w:t>基金的投资组合中保留的现金或者到期日在一年以内的政府债券</w:t>
      </w:r>
      <w:r>
        <w:rPr>
          <w:spacing w:val="-2"/>
          <w:sz w:val="24"/>
        </w:rPr>
        <w:t>的比例合计不低于基金资产净值的 </w:t>
      </w:r>
      <w:r>
        <w:rPr>
          <w:sz w:val="24"/>
        </w:rPr>
        <w:t>5%，现金不包括结算备付金、存出保证金、应收申购款等；</w:t>
      </w:r>
    </w:p>
    <w:p>
      <w:pPr>
        <w:pStyle w:val="ListParagraph"/>
        <w:numPr>
          <w:ilvl w:val="0"/>
          <w:numId w:val="89"/>
        </w:numPr>
        <w:tabs>
          <w:tab w:pos="1597" w:val="left" w:leader="none"/>
        </w:tabs>
        <w:spacing w:line="364" w:lineRule="auto" w:before="1" w:after="0"/>
        <w:ind w:left="1228" w:right="427" w:firstLine="0"/>
        <w:jc w:val="right"/>
        <w:rPr>
          <w:sz w:val="24"/>
        </w:rPr>
      </w:pPr>
      <w:r>
        <w:rPr>
          <w:spacing w:val="2"/>
          <w:sz w:val="24"/>
        </w:rPr>
        <w:t>权证投资比例遵照《关于股权分置改革中证券投资基金投资权证有关问题的通知》（证监基金字[2005]138</w:t>
      </w:r>
      <w:r>
        <w:rPr>
          <w:spacing w:val="-30"/>
          <w:sz w:val="24"/>
        </w:rPr>
        <w:t> 号</w:t>
      </w:r>
      <w:r>
        <w:rPr>
          <w:sz w:val="24"/>
        </w:rPr>
        <w:t>）及相关规定执行； </w:t>
      </w:r>
      <w:r>
        <w:rPr>
          <w:spacing w:val="4"/>
          <w:sz w:val="24"/>
        </w:rPr>
        <w:t>9）</w:t>
      </w:r>
      <w:r>
        <w:rPr>
          <w:spacing w:val="2"/>
          <w:sz w:val="24"/>
        </w:rPr>
        <w:t>资产支持证券投资比例遵照《关于证券投资基金投资资产支持证</w:t>
      </w:r>
    </w:p>
    <w:p>
      <w:pPr>
        <w:pStyle w:val="BodyText"/>
        <w:spacing w:before="2"/>
        <w:ind w:left="0" w:right="337"/>
        <w:jc w:val="right"/>
      </w:pPr>
      <w:r>
        <w:rPr/>
        <w:t>券有关事项的通知》（证监基金字[2006]93 号）及相关规定执行；</w:t>
      </w:r>
    </w:p>
    <w:p>
      <w:pPr>
        <w:pStyle w:val="BodyText"/>
        <w:spacing w:line="364" w:lineRule="auto" w:before="161"/>
        <w:ind w:left="1556" w:right="457" w:hanging="329"/>
        <w:jc w:val="both"/>
      </w:pPr>
      <w:r>
        <w:rPr/>
        <w:t>10)</w:t>
      </w:r>
      <w:r>
        <w:rPr>
          <w:spacing w:val="-2"/>
        </w:rPr>
        <w:t> 流通受限证券投资遵照《关于基金投资非公开发行股票等流通受限证券有关问题的通知》</w:t>
      </w:r>
      <w:r>
        <w:rPr/>
        <w:t>（证监基金字[2006]141</w:t>
      </w:r>
      <w:r>
        <w:rPr>
          <w:spacing w:val="-30"/>
        </w:rPr>
        <w:t> 号</w:t>
      </w:r>
      <w:r>
        <w:rPr>
          <w:spacing w:val="-16"/>
        </w:rPr>
        <w:t>）</w:t>
      </w:r>
      <w:r>
        <w:rPr>
          <w:spacing w:val="-3"/>
        </w:rPr>
        <w:t>及相关规定</w:t>
      </w:r>
      <w:r>
        <w:rPr/>
        <w:t>执行；</w:t>
      </w:r>
    </w:p>
    <w:p>
      <w:pPr>
        <w:spacing w:after="0" w:line="364" w:lineRule="auto"/>
        <w:jc w:val="both"/>
        <w:sectPr>
          <w:pgSz w:w="11910" w:h="16840"/>
          <w:pgMar w:header="0" w:footer="990" w:top="1460" w:bottom="1180" w:left="1680" w:right="1340"/>
        </w:sectPr>
      </w:pPr>
    </w:p>
    <w:p>
      <w:pPr>
        <w:pStyle w:val="ListParagraph"/>
        <w:numPr>
          <w:ilvl w:val="0"/>
          <w:numId w:val="90"/>
        </w:numPr>
        <w:tabs>
          <w:tab w:pos="1709" w:val="left" w:leader="none"/>
        </w:tabs>
        <w:spacing w:line="364" w:lineRule="auto" w:before="44" w:after="0"/>
        <w:ind w:left="1556" w:right="457" w:hanging="329"/>
        <w:jc w:val="both"/>
        <w:rPr>
          <w:sz w:val="24"/>
        </w:rPr>
      </w:pPr>
      <w:r>
        <w:rPr>
          <w:spacing w:val="-1"/>
          <w:sz w:val="24"/>
        </w:rPr>
        <w:t>本基金管理人管理的全部开放式基金持有一家上市公司发行的可</w:t>
      </w:r>
      <w:r>
        <w:rPr>
          <w:spacing w:val="-3"/>
          <w:sz w:val="24"/>
        </w:rPr>
        <w:t>流通股票，不得超过该上市公司可流通股票的 </w:t>
      </w:r>
      <w:r>
        <w:rPr>
          <w:spacing w:val="-8"/>
          <w:sz w:val="24"/>
        </w:rPr>
        <w:t>15%</w:t>
      </w:r>
      <w:r>
        <w:rPr>
          <w:spacing w:val="-5"/>
          <w:sz w:val="24"/>
        </w:rPr>
        <w:t>；本基金管理人管理的全部投资组合持有一家上市公司发行的可流通股票，不得超过该上市公司可流通股票的 </w:t>
      </w:r>
      <w:r>
        <w:rPr>
          <w:sz w:val="24"/>
        </w:rPr>
        <w:t>30%。</w:t>
      </w:r>
    </w:p>
    <w:p>
      <w:pPr>
        <w:pStyle w:val="ListParagraph"/>
        <w:numPr>
          <w:ilvl w:val="0"/>
          <w:numId w:val="90"/>
        </w:numPr>
        <w:tabs>
          <w:tab w:pos="1709" w:val="left" w:leader="none"/>
        </w:tabs>
        <w:spacing w:line="364" w:lineRule="auto" w:before="2" w:after="0"/>
        <w:ind w:left="1556" w:right="457" w:hanging="329"/>
        <w:jc w:val="both"/>
        <w:rPr>
          <w:sz w:val="24"/>
        </w:rPr>
      </w:pPr>
      <w:r>
        <w:rPr>
          <w:spacing w:val="-1"/>
          <w:sz w:val="24"/>
        </w:rPr>
        <w:t>本基金主动投资于流动性受限资产的市值合计不得超过该基金资</w:t>
      </w:r>
      <w:r>
        <w:rPr>
          <w:spacing w:val="-12"/>
          <w:sz w:val="24"/>
        </w:rPr>
        <w:t>产净值的 </w:t>
      </w:r>
      <w:r>
        <w:rPr>
          <w:sz w:val="24"/>
        </w:rPr>
        <w:t>15%。</w:t>
      </w:r>
    </w:p>
    <w:p>
      <w:pPr>
        <w:pStyle w:val="BodyText"/>
        <w:spacing w:line="364" w:lineRule="auto"/>
        <w:ind w:left="1438" w:right="457" w:firstLine="120"/>
        <w:jc w:val="both"/>
      </w:pPr>
      <w:r>
        <w:rPr>
          <w:spacing w:val="-10"/>
        </w:rPr>
        <w:t>因证券市场波动、上市公司股票停牌、基金规模变动等基金管理人</w:t>
      </w:r>
      <w:r>
        <w:rPr/>
        <w:t>之外的因素致使基金不符合前款所规定比例限制的，基金管理人不得主动新增流动性受限资产的投资。</w:t>
      </w:r>
    </w:p>
    <w:p>
      <w:pPr>
        <w:pStyle w:val="ListParagraph"/>
        <w:numPr>
          <w:ilvl w:val="0"/>
          <w:numId w:val="90"/>
        </w:numPr>
        <w:tabs>
          <w:tab w:pos="1709" w:val="left" w:leader="none"/>
        </w:tabs>
        <w:spacing w:line="364" w:lineRule="auto" w:before="2" w:after="0"/>
        <w:ind w:left="1556" w:right="457" w:hanging="329"/>
        <w:jc w:val="both"/>
        <w:rPr>
          <w:sz w:val="24"/>
        </w:rPr>
      </w:pPr>
      <w:r>
        <w:rPr>
          <w:spacing w:val="-1"/>
          <w:sz w:val="24"/>
        </w:rPr>
        <w:t>本基金与私募类证券资管产品及中国证监会认定的其他主体为交</w:t>
      </w:r>
      <w:r>
        <w:rPr>
          <w:spacing w:val="-9"/>
          <w:sz w:val="24"/>
        </w:rPr>
        <w:t>易对手开展逆回购交易的，可接受质押品的资质要求应当与基金合</w:t>
      </w:r>
      <w:r>
        <w:rPr>
          <w:sz w:val="24"/>
        </w:rPr>
        <w:t>同约定的投资范围保持一致。</w:t>
      </w:r>
    </w:p>
    <w:p>
      <w:pPr>
        <w:pStyle w:val="ListParagraph"/>
        <w:numPr>
          <w:ilvl w:val="0"/>
          <w:numId w:val="90"/>
        </w:numPr>
        <w:tabs>
          <w:tab w:pos="1725" w:val="left" w:leader="none"/>
        </w:tabs>
        <w:spacing w:line="364" w:lineRule="auto" w:before="2" w:after="0"/>
        <w:ind w:left="1556" w:right="218" w:hanging="329"/>
        <w:jc w:val="left"/>
        <w:rPr>
          <w:sz w:val="24"/>
        </w:rPr>
      </w:pPr>
      <w:r>
        <w:rPr>
          <w:spacing w:val="7"/>
          <w:sz w:val="24"/>
        </w:rPr>
        <w:t>本基金投资存托凭证的比例限制依照境内上市交易的股票执行， </w:t>
      </w:r>
      <w:r>
        <w:rPr>
          <w:sz w:val="24"/>
        </w:rPr>
        <w:t>与境内上市交易的股票合并计算。</w:t>
      </w:r>
    </w:p>
    <w:p>
      <w:pPr>
        <w:pStyle w:val="ListParagraph"/>
        <w:numPr>
          <w:ilvl w:val="0"/>
          <w:numId w:val="90"/>
        </w:numPr>
        <w:tabs>
          <w:tab w:pos="1709" w:val="left" w:leader="none"/>
        </w:tabs>
        <w:spacing w:line="240" w:lineRule="auto" w:before="1" w:after="0"/>
        <w:ind w:left="1709" w:right="0" w:hanging="481"/>
        <w:jc w:val="left"/>
        <w:rPr>
          <w:sz w:val="24"/>
        </w:rPr>
      </w:pPr>
      <w:r>
        <w:rPr>
          <w:sz w:val="24"/>
        </w:rPr>
        <w:t>法律法规、基金合同及中国证监会规定的其他比例限制。</w:t>
      </w:r>
    </w:p>
    <w:p>
      <w:pPr>
        <w:pStyle w:val="ListParagraph"/>
        <w:numPr>
          <w:ilvl w:val="0"/>
          <w:numId w:val="88"/>
        </w:numPr>
        <w:tabs>
          <w:tab w:pos="1203" w:val="left" w:leader="none"/>
        </w:tabs>
        <w:spacing w:line="364" w:lineRule="auto" w:before="161" w:after="0"/>
        <w:ind w:left="120" w:right="458" w:firstLine="480"/>
        <w:jc w:val="left"/>
        <w:rPr>
          <w:sz w:val="24"/>
        </w:rPr>
      </w:pPr>
      <w:r>
        <w:rPr>
          <w:sz w:val="24"/>
        </w:rPr>
        <w:t>法律法规或监管部门修改或取消上述限制规定时，本基金不受上述投资组合限制并相应修改限制规定。</w:t>
      </w:r>
    </w:p>
    <w:p>
      <w:pPr>
        <w:pStyle w:val="ListParagraph"/>
        <w:numPr>
          <w:ilvl w:val="0"/>
          <w:numId w:val="85"/>
        </w:numPr>
        <w:tabs>
          <w:tab w:pos="961" w:val="left" w:leader="none"/>
        </w:tabs>
        <w:spacing w:line="240" w:lineRule="auto" w:before="157" w:after="0"/>
        <w:ind w:left="961" w:right="0" w:hanging="361"/>
        <w:jc w:val="left"/>
        <w:rPr>
          <w:sz w:val="24"/>
        </w:rPr>
      </w:pPr>
      <w:r>
        <w:rPr>
          <w:sz w:val="24"/>
        </w:rPr>
        <w:t>投资组合比例调整</w:t>
      </w:r>
    </w:p>
    <w:p>
      <w:pPr>
        <w:pStyle w:val="BodyText"/>
        <w:spacing w:before="9"/>
        <w:ind w:left="0"/>
      </w:pPr>
    </w:p>
    <w:p>
      <w:pPr>
        <w:pStyle w:val="BodyText"/>
        <w:spacing w:line="364" w:lineRule="auto" w:before="0"/>
        <w:ind w:right="458" w:firstLine="480"/>
        <w:jc w:val="both"/>
      </w:pPr>
      <w:r>
        <w:rPr>
          <w:spacing w:val="-4"/>
        </w:rPr>
        <w:t>除上述基金投资组合比例限制中的 </w:t>
      </w:r>
      <w:r>
        <w:rPr>
          <w:rFonts w:ascii="Times New Roman" w:eastAsia="Times New Roman"/>
        </w:rPr>
        <w:t>4</w:t>
      </w:r>
      <w:r>
        <w:rPr>
          <w:spacing w:val="-120"/>
        </w:rPr>
        <w:t>）</w:t>
      </w:r>
      <w:r>
        <w:rPr>
          <w:spacing w:val="-7"/>
        </w:rPr>
        <w:t>、</w:t>
      </w:r>
      <w:r>
        <w:rPr>
          <w:rFonts w:ascii="Times New Roman" w:eastAsia="Times New Roman"/>
        </w:rPr>
        <w:t>7</w:t>
      </w:r>
      <w:r>
        <w:rPr>
          <w:spacing w:val="-120"/>
        </w:rPr>
        <w:t>）</w:t>
      </w:r>
      <w:r>
        <w:rPr>
          <w:spacing w:val="-7"/>
        </w:rPr>
        <w:t>、</w:t>
      </w:r>
      <w:r>
        <w:rPr>
          <w:rFonts w:ascii="Times New Roman" w:eastAsia="Times New Roman"/>
        </w:rPr>
        <w:t>12</w:t>
      </w:r>
      <w:r>
        <w:rPr>
          <w:spacing w:val="-120"/>
        </w:rPr>
        <w:t>）</w:t>
      </w:r>
      <w:r>
        <w:rPr>
          <w:spacing w:val="-7"/>
        </w:rPr>
        <w:t>、</w:t>
      </w:r>
      <w:r>
        <w:rPr>
          <w:rFonts w:ascii="Times New Roman" w:eastAsia="Times New Roman"/>
        </w:rPr>
        <w:t>13</w:t>
      </w:r>
      <w:r>
        <w:rPr>
          <w:spacing w:val="-7"/>
        </w:rPr>
        <w:t>）</w:t>
      </w:r>
      <w:r>
        <w:rPr>
          <w:spacing w:val="-5"/>
        </w:rPr>
        <w:t>以外，因证券市场波</w:t>
      </w:r>
      <w:r>
        <w:rPr>
          <w:spacing w:val="-11"/>
        </w:rPr>
        <w:t>动、上市公司合并、基金规模变动等基金管理人之外的因素致使基金投资不符合</w:t>
      </w:r>
      <w:r>
        <w:rPr>
          <w:spacing w:val="-3"/>
        </w:rPr>
        <w:t>基金合同约定的投资比例规定的，基金管理人应当在 </w:t>
      </w:r>
      <w:r>
        <w:rPr/>
        <w:t>10</w:t>
      </w:r>
      <w:r>
        <w:rPr>
          <w:spacing w:val="-8"/>
        </w:rPr>
        <w:t> 个交易日内进行调整。法律法规另有规定的从其规定。</w:t>
      </w:r>
    </w:p>
    <w:p>
      <w:pPr>
        <w:pStyle w:val="BodyText"/>
        <w:spacing w:before="2"/>
      </w:pPr>
      <w:r>
        <w:rPr/>
        <w:t>（九）基金资产净值的计算方法和公告方式</w:t>
      </w:r>
    </w:p>
    <w:p>
      <w:pPr>
        <w:pStyle w:val="BodyText"/>
        <w:spacing w:before="9"/>
        <w:ind w:left="0"/>
      </w:pPr>
    </w:p>
    <w:p>
      <w:pPr>
        <w:pStyle w:val="ListParagraph"/>
        <w:numPr>
          <w:ilvl w:val="0"/>
          <w:numId w:val="91"/>
        </w:numPr>
        <w:tabs>
          <w:tab w:pos="947" w:val="left" w:leader="none"/>
        </w:tabs>
        <w:spacing w:line="240" w:lineRule="auto" w:before="0" w:after="0"/>
        <w:ind w:left="946" w:right="0" w:hanging="362"/>
        <w:jc w:val="left"/>
        <w:rPr>
          <w:sz w:val="24"/>
        </w:rPr>
      </w:pPr>
      <w:r>
        <w:rPr>
          <w:sz w:val="24"/>
        </w:rPr>
        <w:t>基金资产总值</w:t>
      </w:r>
    </w:p>
    <w:p>
      <w:pPr>
        <w:pStyle w:val="BodyText"/>
        <w:spacing w:before="9"/>
        <w:ind w:left="0"/>
      </w:pPr>
    </w:p>
    <w:p>
      <w:pPr>
        <w:pStyle w:val="BodyText"/>
        <w:spacing w:line="364" w:lineRule="auto" w:before="0"/>
        <w:ind w:right="458" w:firstLine="480"/>
        <w:jc w:val="both"/>
      </w:pPr>
      <w:r>
        <w:rPr>
          <w:spacing w:val="-5"/>
        </w:rPr>
        <w:t>基金资产总值是指本基金拥有的各类证券及票据价值、银行存款本息、债券</w:t>
      </w:r>
      <w:r>
        <w:rPr>
          <w:spacing w:val="-11"/>
        </w:rPr>
        <w:t>的应计利息、基金应收的申购基金款、缴存的保证金以及其他投资所形成的价值</w:t>
      </w:r>
      <w:r>
        <w:rPr/>
        <w:t>总和。</w:t>
      </w:r>
    </w:p>
    <w:p>
      <w:pPr>
        <w:pStyle w:val="BodyText"/>
        <w:spacing w:before="2"/>
        <w:ind w:left="600"/>
      </w:pPr>
      <w:r>
        <w:rPr/>
        <w:t>其构成主要有：</w:t>
      </w:r>
    </w:p>
    <w:p>
      <w:pPr>
        <w:spacing w:after="0"/>
        <w:sectPr>
          <w:pgSz w:w="11910" w:h="16840"/>
          <w:pgMar w:header="0" w:footer="990" w:top="1460" w:bottom="1180" w:left="1680" w:right="1340"/>
        </w:sectPr>
      </w:pPr>
    </w:p>
    <w:p>
      <w:pPr>
        <w:pStyle w:val="ListParagraph"/>
        <w:numPr>
          <w:ilvl w:val="0"/>
          <w:numId w:val="92"/>
        </w:numPr>
        <w:tabs>
          <w:tab w:pos="1201" w:val="left" w:leader="none"/>
        </w:tabs>
        <w:spacing w:line="240" w:lineRule="auto" w:before="44" w:after="0"/>
        <w:ind w:left="1201" w:right="0" w:hanging="601"/>
        <w:jc w:val="left"/>
        <w:rPr>
          <w:sz w:val="24"/>
        </w:rPr>
      </w:pPr>
      <w:r>
        <w:rPr>
          <w:sz w:val="24"/>
        </w:rPr>
        <w:t>银行存款及其应计利息；</w:t>
      </w:r>
    </w:p>
    <w:p>
      <w:pPr>
        <w:pStyle w:val="ListParagraph"/>
        <w:numPr>
          <w:ilvl w:val="0"/>
          <w:numId w:val="92"/>
        </w:numPr>
        <w:tabs>
          <w:tab w:pos="1201" w:val="left" w:leader="none"/>
        </w:tabs>
        <w:spacing w:line="240" w:lineRule="auto" w:before="160" w:after="0"/>
        <w:ind w:left="1201" w:right="0" w:hanging="601"/>
        <w:jc w:val="left"/>
        <w:rPr>
          <w:sz w:val="24"/>
        </w:rPr>
      </w:pPr>
      <w:r>
        <w:rPr>
          <w:sz w:val="24"/>
        </w:rPr>
        <w:t>清算备付金及其应计利息；</w:t>
      </w:r>
    </w:p>
    <w:p>
      <w:pPr>
        <w:pStyle w:val="ListParagraph"/>
        <w:numPr>
          <w:ilvl w:val="0"/>
          <w:numId w:val="92"/>
        </w:numPr>
        <w:tabs>
          <w:tab w:pos="1201" w:val="left" w:leader="none"/>
        </w:tabs>
        <w:spacing w:line="240" w:lineRule="auto" w:before="161" w:after="0"/>
        <w:ind w:left="1201" w:right="0" w:hanging="601"/>
        <w:jc w:val="left"/>
        <w:rPr>
          <w:sz w:val="24"/>
        </w:rPr>
      </w:pPr>
      <w:r>
        <w:rPr>
          <w:sz w:val="24"/>
        </w:rPr>
        <w:t>根据有关规定缴存的保证金；</w:t>
      </w:r>
    </w:p>
    <w:p>
      <w:pPr>
        <w:pStyle w:val="ListParagraph"/>
        <w:numPr>
          <w:ilvl w:val="0"/>
          <w:numId w:val="92"/>
        </w:numPr>
        <w:tabs>
          <w:tab w:pos="1201" w:val="left" w:leader="none"/>
        </w:tabs>
        <w:spacing w:line="240" w:lineRule="auto" w:before="160" w:after="0"/>
        <w:ind w:left="1201" w:right="0" w:hanging="601"/>
        <w:jc w:val="left"/>
        <w:rPr>
          <w:sz w:val="24"/>
        </w:rPr>
      </w:pPr>
      <w:r>
        <w:rPr>
          <w:sz w:val="24"/>
        </w:rPr>
        <w:t>应收证券交易清算款；</w:t>
      </w:r>
    </w:p>
    <w:p>
      <w:pPr>
        <w:pStyle w:val="ListParagraph"/>
        <w:numPr>
          <w:ilvl w:val="0"/>
          <w:numId w:val="92"/>
        </w:numPr>
        <w:tabs>
          <w:tab w:pos="1201" w:val="left" w:leader="none"/>
        </w:tabs>
        <w:spacing w:line="240" w:lineRule="auto" w:before="161" w:after="0"/>
        <w:ind w:left="1201" w:right="0" w:hanging="601"/>
        <w:jc w:val="left"/>
        <w:rPr>
          <w:sz w:val="24"/>
        </w:rPr>
      </w:pPr>
      <w:r>
        <w:rPr>
          <w:sz w:val="24"/>
        </w:rPr>
        <w:t>应收申购基金款；</w:t>
      </w:r>
    </w:p>
    <w:p>
      <w:pPr>
        <w:pStyle w:val="ListParagraph"/>
        <w:numPr>
          <w:ilvl w:val="0"/>
          <w:numId w:val="92"/>
        </w:numPr>
        <w:tabs>
          <w:tab w:pos="1201" w:val="left" w:leader="none"/>
        </w:tabs>
        <w:spacing w:line="240" w:lineRule="auto" w:before="160" w:after="0"/>
        <w:ind w:left="1201" w:right="0" w:hanging="601"/>
        <w:jc w:val="left"/>
        <w:rPr>
          <w:sz w:val="24"/>
        </w:rPr>
      </w:pPr>
      <w:r>
        <w:rPr>
          <w:sz w:val="24"/>
        </w:rPr>
        <w:t>股票投资及其估值调整；</w:t>
      </w:r>
    </w:p>
    <w:p>
      <w:pPr>
        <w:pStyle w:val="ListParagraph"/>
        <w:numPr>
          <w:ilvl w:val="0"/>
          <w:numId w:val="92"/>
        </w:numPr>
        <w:tabs>
          <w:tab w:pos="1201" w:val="left" w:leader="none"/>
        </w:tabs>
        <w:spacing w:line="240" w:lineRule="auto" w:before="161" w:after="0"/>
        <w:ind w:left="1201" w:right="0" w:hanging="601"/>
        <w:jc w:val="left"/>
        <w:rPr>
          <w:sz w:val="24"/>
        </w:rPr>
      </w:pPr>
      <w:r>
        <w:rPr>
          <w:sz w:val="24"/>
        </w:rPr>
        <w:t>债券投资及其估值调整和应计利息；</w:t>
      </w:r>
    </w:p>
    <w:p>
      <w:pPr>
        <w:pStyle w:val="ListParagraph"/>
        <w:numPr>
          <w:ilvl w:val="0"/>
          <w:numId w:val="92"/>
        </w:numPr>
        <w:tabs>
          <w:tab w:pos="1201" w:val="left" w:leader="none"/>
        </w:tabs>
        <w:spacing w:line="240" w:lineRule="auto" w:before="160" w:after="0"/>
        <w:ind w:left="1201" w:right="0" w:hanging="601"/>
        <w:jc w:val="left"/>
        <w:rPr>
          <w:sz w:val="24"/>
        </w:rPr>
      </w:pPr>
      <w:r>
        <w:rPr>
          <w:sz w:val="24"/>
        </w:rPr>
        <w:t>其他投资及其估值调整；</w:t>
      </w:r>
    </w:p>
    <w:p>
      <w:pPr>
        <w:pStyle w:val="ListParagraph"/>
        <w:numPr>
          <w:ilvl w:val="0"/>
          <w:numId w:val="92"/>
        </w:numPr>
        <w:tabs>
          <w:tab w:pos="1201" w:val="left" w:leader="none"/>
        </w:tabs>
        <w:spacing w:line="240" w:lineRule="auto" w:before="161" w:after="0"/>
        <w:ind w:left="1201" w:right="0" w:hanging="601"/>
        <w:jc w:val="left"/>
        <w:rPr>
          <w:sz w:val="24"/>
        </w:rPr>
      </w:pPr>
      <w:r>
        <w:rPr>
          <w:sz w:val="24"/>
        </w:rPr>
        <w:t>其他资产等。</w:t>
      </w:r>
    </w:p>
    <w:p>
      <w:pPr>
        <w:pStyle w:val="BodyText"/>
        <w:spacing w:before="9"/>
        <w:ind w:left="0"/>
      </w:pPr>
    </w:p>
    <w:p>
      <w:pPr>
        <w:pStyle w:val="ListParagraph"/>
        <w:numPr>
          <w:ilvl w:val="0"/>
          <w:numId w:val="91"/>
        </w:numPr>
        <w:tabs>
          <w:tab w:pos="952" w:val="left" w:leader="none"/>
        </w:tabs>
        <w:spacing w:line="240" w:lineRule="auto" w:before="0" w:after="0"/>
        <w:ind w:left="951" w:right="0" w:hanging="362"/>
        <w:jc w:val="left"/>
        <w:rPr>
          <w:sz w:val="24"/>
        </w:rPr>
      </w:pPr>
      <w:r>
        <w:rPr>
          <w:sz w:val="24"/>
        </w:rPr>
        <w:t>基金资产净值</w:t>
      </w:r>
    </w:p>
    <w:p>
      <w:pPr>
        <w:pStyle w:val="BodyText"/>
        <w:spacing w:before="9"/>
        <w:ind w:left="0"/>
      </w:pPr>
    </w:p>
    <w:p>
      <w:pPr>
        <w:pStyle w:val="BodyText"/>
        <w:spacing w:before="0"/>
        <w:ind w:left="600"/>
      </w:pPr>
      <w:r>
        <w:rPr/>
        <w:t>本基金基金资产净值是指基金资产总值减去负债后的价值。</w:t>
      </w:r>
    </w:p>
    <w:p>
      <w:pPr>
        <w:pStyle w:val="BodyText"/>
        <w:spacing w:before="9"/>
        <w:ind w:left="0"/>
      </w:pPr>
    </w:p>
    <w:p>
      <w:pPr>
        <w:pStyle w:val="ListParagraph"/>
        <w:numPr>
          <w:ilvl w:val="0"/>
          <w:numId w:val="91"/>
        </w:numPr>
        <w:tabs>
          <w:tab w:pos="952" w:val="left" w:leader="none"/>
        </w:tabs>
        <w:spacing w:line="240" w:lineRule="auto" w:before="0" w:after="0"/>
        <w:ind w:left="951" w:right="0" w:hanging="362"/>
        <w:jc w:val="left"/>
        <w:rPr>
          <w:sz w:val="24"/>
        </w:rPr>
      </w:pPr>
      <w:r>
        <w:rPr>
          <w:sz w:val="24"/>
        </w:rPr>
        <w:t>基金财产的账户</w:t>
      </w:r>
    </w:p>
    <w:p>
      <w:pPr>
        <w:pStyle w:val="BodyText"/>
        <w:spacing w:before="9"/>
        <w:ind w:left="0"/>
      </w:pPr>
    </w:p>
    <w:p>
      <w:pPr>
        <w:pStyle w:val="BodyText"/>
        <w:spacing w:line="364" w:lineRule="auto" w:before="0"/>
        <w:ind w:right="218" w:firstLine="480"/>
      </w:pPr>
      <w:r>
        <w:rPr>
          <w:spacing w:val="3"/>
        </w:rPr>
        <w:t>基金托管人以本基金的名义在其营业机构开立本基金的银行存款托管账户； 以基金托管人的名义在中国证券登记结算有限责任公司开立基金结算备付金账 </w:t>
      </w:r>
      <w:r>
        <w:rPr>
          <w:spacing w:val="-1"/>
        </w:rPr>
        <w:t>户，以本基金的名义在基金托管人托管系统中开立二级结算备付金账户；以基金 </w:t>
      </w:r>
      <w:r>
        <w:rPr>
          <w:spacing w:val="-4"/>
        </w:rPr>
        <w:t>托管人和本基金联名的方式在中国证券登记结算有限责任公司开立证券账户，以 </w:t>
      </w:r>
      <w:r>
        <w:rPr>
          <w:spacing w:val="-8"/>
        </w:rPr>
        <w:t>本基金的名义开立银行间债券托管账户并报中国人民银行备案。开立的上述基金 </w:t>
      </w:r>
      <w:r>
        <w:rPr>
          <w:spacing w:val="-14"/>
        </w:rPr>
        <w:t>财产账户与基金管理人、基金托管人、基金代销机构和基金注册登记人自有的财 产账户以及其他基金财产账户相独立。</w:t>
      </w:r>
    </w:p>
    <w:p>
      <w:pPr>
        <w:pStyle w:val="BodyText"/>
        <w:spacing w:before="4"/>
        <w:ind w:left="600"/>
      </w:pPr>
      <w:r>
        <w:rPr/>
        <w:t>如国家相关法律法规调整，基金管理人和基金托管人有权依据新规定执行。</w:t>
      </w:r>
    </w:p>
    <w:p>
      <w:pPr>
        <w:pStyle w:val="BodyText"/>
        <w:spacing w:before="9"/>
        <w:ind w:left="0"/>
      </w:pPr>
    </w:p>
    <w:p>
      <w:pPr>
        <w:pStyle w:val="ListParagraph"/>
        <w:numPr>
          <w:ilvl w:val="0"/>
          <w:numId w:val="91"/>
        </w:numPr>
        <w:tabs>
          <w:tab w:pos="952" w:val="left" w:leader="none"/>
        </w:tabs>
        <w:spacing w:line="240" w:lineRule="auto" w:before="0" w:after="0"/>
        <w:ind w:left="951" w:right="0" w:hanging="362"/>
        <w:jc w:val="left"/>
        <w:rPr>
          <w:sz w:val="24"/>
        </w:rPr>
      </w:pPr>
      <w:r>
        <w:rPr>
          <w:sz w:val="24"/>
        </w:rPr>
        <w:t>基金财产的保管及处分</w:t>
      </w:r>
    </w:p>
    <w:p>
      <w:pPr>
        <w:pStyle w:val="BodyText"/>
        <w:spacing w:before="9"/>
        <w:ind w:left="0"/>
      </w:pPr>
    </w:p>
    <w:p>
      <w:pPr>
        <w:pStyle w:val="ListParagraph"/>
        <w:numPr>
          <w:ilvl w:val="0"/>
          <w:numId w:val="93"/>
        </w:numPr>
        <w:tabs>
          <w:tab w:pos="1203" w:val="left" w:leader="none"/>
        </w:tabs>
        <w:spacing w:line="364" w:lineRule="auto" w:before="0" w:after="0"/>
        <w:ind w:left="120" w:right="458" w:firstLine="480"/>
        <w:jc w:val="left"/>
        <w:rPr>
          <w:sz w:val="24"/>
        </w:rPr>
      </w:pPr>
      <w:r>
        <w:rPr>
          <w:sz w:val="24"/>
        </w:rPr>
        <w:t>本基金财产独立于基金管理人及基金托管人的固有财产，并由基金托管人保管。</w:t>
      </w:r>
    </w:p>
    <w:p>
      <w:pPr>
        <w:pStyle w:val="ListParagraph"/>
        <w:numPr>
          <w:ilvl w:val="0"/>
          <w:numId w:val="93"/>
        </w:numPr>
        <w:tabs>
          <w:tab w:pos="1203" w:val="left" w:leader="none"/>
        </w:tabs>
        <w:spacing w:line="364" w:lineRule="auto" w:before="1" w:after="0"/>
        <w:ind w:left="120" w:right="458" w:firstLine="480"/>
        <w:jc w:val="left"/>
        <w:rPr>
          <w:sz w:val="24"/>
        </w:rPr>
      </w:pPr>
      <w:r>
        <w:rPr>
          <w:sz w:val="24"/>
        </w:rPr>
        <w:t>基金管理人、基金托管人因基金财产的管理、运用或者其他情形而取得的财产和收益，归基金财产。</w:t>
      </w:r>
    </w:p>
    <w:p>
      <w:pPr>
        <w:pStyle w:val="ListParagraph"/>
        <w:numPr>
          <w:ilvl w:val="0"/>
          <w:numId w:val="93"/>
        </w:numPr>
        <w:tabs>
          <w:tab w:pos="1203" w:val="left" w:leader="none"/>
        </w:tabs>
        <w:spacing w:line="364" w:lineRule="auto" w:before="1" w:after="0"/>
        <w:ind w:left="120" w:right="458" w:firstLine="480"/>
        <w:jc w:val="left"/>
        <w:rPr>
          <w:sz w:val="24"/>
        </w:rPr>
      </w:pPr>
      <w:r>
        <w:rPr>
          <w:sz w:val="24"/>
        </w:rPr>
        <w:t>基金管理人、基金托管人因依法解散、被依法撤销或者被依法宣告破产等原因进行清算的，基金财产不属于其清算范围。</w:t>
      </w:r>
    </w:p>
    <w:p>
      <w:pPr>
        <w:spacing w:after="0" w:line="364" w:lineRule="auto"/>
        <w:jc w:val="left"/>
        <w:rPr>
          <w:sz w:val="24"/>
        </w:rPr>
        <w:sectPr>
          <w:pgSz w:w="11910" w:h="16840"/>
          <w:pgMar w:header="0" w:footer="990" w:top="1460" w:bottom="1180" w:left="1680" w:right="1340"/>
        </w:sectPr>
      </w:pPr>
    </w:p>
    <w:p>
      <w:pPr>
        <w:pStyle w:val="ListParagraph"/>
        <w:numPr>
          <w:ilvl w:val="0"/>
          <w:numId w:val="93"/>
        </w:numPr>
        <w:tabs>
          <w:tab w:pos="1204" w:val="left" w:leader="none"/>
        </w:tabs>
        <w:spacing w:line="364" w:lineRule="auto" w:before="44" w:after="0"/>
        <w:ind w:left="120" w:right="218" w:firstLine="480"/>
        <w:jc w:val="left"/>
        <w:rPr>
          <w:sz w:val="24"/>
        </w:rPr>
      </w:pPr>
      <w:r>
        <w:rPr>
          <w:sz w:val="24"/>
        </w:rPr>
        <w:t>基金财产的债权不得与基金管理人、基金托管人固有财产的债务相抵 </w:t>
      </w:r>
      <w:r>
        <w:rPr>
          <w:spacing w:val="3"/>
          <w:sz w:val="24"/>
        </w:rPr>
        <w:t>销；不同基金财产的债权债务，不得相互抵销。非因基金财产本身承担的债务， 不得对基金财产强制执行。</w:t>
      </w:r>
    </w:p>
    <w:p>
      <w:pPr>
        <w:pStyle w:val="BodyText"/>
        <w:spacing w:before="6"/>
        <w:ind w:left="0"/>
      </w:pPr>
    </w:p>
    <w:p>
      <w:pPr>
        <w:pStyle w:val="BodyText"/>
        <w:spacing w:before="0"/>
      </w:pPr>
      <w:r>
        <w:rPr/>
        <w:t>（十）基金合同的变更、终止与基金财产的清算</w:t>
      </w:r>
    </w:p>
    <w:p>
      <w:pPr>
        <w:pStyle w:val="BodyText"/>
        <w:spacing w:before="9"/>
        <w:ind w:left="0"/>
      </w:pPr>
    </w:p>
    <w:p>
      <w:pPr>
        <w:pStyle w:val="BodyText"/>
        <w:spacing w:before="0"/>
        <w:ind w:left="540"/>
      </w:pPr>
      <w:r>
        <w:rPr/>
        <w:t>1、《基金合同》的变更</w:t>
      </w:r>
    </w:p>
    <w:p>
      <w:pPr>
        <w:pStyle w:val="BodyText"/>
        <w:spacing w:before="9"/>
        <w:ind w:left="0"/>
      </w:pPr>
    </w:p>
    <w:p>
      <w:pPr>
        <w:pStyle w:val="ListParagraph"/>
        <w:numPr>
          <w:ilvl w:val="0"/>
          <w:numId w:val="94"/>
        </w:numPr>
        <w:tabs>
          <w:tab w:pos="1203" w:val="left" w:leader="none"/>
        </w:tabs>
        <w:spacing w:line="364" w:lineRule="auto" w:before="0" w:after="0"/>
        <w:ind w:left="120" w:right="245" w:firstLine="480"/>
        <w:jc w:val="left"/>
        <w:rPr>
          <w:sz w:val="24"/>
        </w:rPr>
      </w:pPr>
      <w:r>
        <w:rPr>
          <w:sz w:val="24"/>
        </w:rPr>
        <w:t>基金合同变更涉及本基金合同第十节第（二）项规定的对基金合同当 </w:t>
      </w:r>
      <w:r>
        <w:rPr>
          <w:spacing w:val="-9"/>
          <w:sz w:val="24"/>
        </w:rPr>
        <w:t>事人权利、义务产生重大影响的，应经基金份额持有人大会决议同意。变更基金</w:t>
      </w:r>
      <w:r>
        <w:rPr>
          <w:spacing w:val="-15"/>
          <w:sz w:val="24"/>
        </w:rPr>
        <w:t>合同的基金份额持有人大会决议应报中国证监会备案，并自表决通过之日起生效。</w:t>
      </w:r>
    </w:p>
    <w:p>
      <w:pPr>
        <w:pStyle w:val="ListParagraph"/>
        <w:numPr>
          <w:ilvl w:val="0"/>
          <w:numId w:val="94"/>
        </w:numPr>
        <w:tabs>
          <w:tab w:pos="1201" w:val="left" w:leader="none"/>
        </w:tabs>
        <w:spacing w:line="364" w:lineRule="auto" w:before="2" w:after="0"/>
        <w:ind w:left="120" w:right="458" w:firstLine="480"/>
        <w:jc w:val="both"/>
        <w:rPr>
          <w:sz w:val="24"/>
        </w:rPr>
      </w:pPr>
      <w:r>
        <w:rPr>
          <w:spacing w:val="-6"/>
          <w:sz w:val="24"/>
        </w:rPr>
        <w:t>除上述第</w:t>
      </w:r>
      <w:r>
        <w:rPr>
          <w:spacing w:val="-8"/>
          <w:sz w:val="24"/>
        </w:rPr>
        <w:t>（1）</w:t>
      </w:r>
      <w:r>
        <w:rPr>
          <w:spacing w:val="-3"/>
          <w:sz w:val="24"/>
        </w:rPr>
        <w:t>项规定的情形外，经基金管理人和基金托管人同意可</w:t>
      </w:r>
      <w:r>
        <w:rPr>
          <w:spacing w:val="-14"/>
          <w:sz w:val="24"/>
        </w:rPr>
        <w:t>对基金合同的内容进行变更，该等变更应当在 </w:t>
      </w:r>
      <w:r>
        <w:rPr>
          <w:sz w:val="24"/>
        </w:rPr>
        <w:t>2</w:t>
      </w:r>
      <w:r>
        <w:rPr>
          <w:spacing w:val="-8"/>
          <w:sz w:val="24"/>
        </w:rPr>
        <w:t> 日内由基金管理人进行公告并报</w:t>
      </w:r>
      <w:r>
        <w:rPr>
          <w:spacing w:val="-4"/>
          <w:sz w:val="24"/>
        </w:rPr>
        <w:t>中国证监会备案。</w:t>
      </w:r>
    </w:p>
    <w:p>
      <w:pPr>
        <w:pStyle w:val="BodyText"/>
        <w:spacing w:before="158"/>
        <w:ind w:left="540"/>
      </w:pPr>
      <w:r>
        <w:rPr/>
        <w:t>2、《基金合同》的终止</w:t>
      </w:r>
    </w:p>
    <w:p>
      <w:pPr>
        <w:pStyle w:val="BodyText"/>
        <w:spacing w:before="9"/>
        <w:ind w:left="0"/>
      </w:pPr>
    </w:p>
    <w:p>
      <w:pPr>
        <w:pStyle w:val="BodyText"/>
        <w:spacing w:before="0"/>
        <w:ind w:left="600"/>
      </w:pPr>
      <w:r>
        <w:rPr/>
        <w:t>有下列情形之一的，本基金合同终止：</w:t>
      </w:r>
    </w:p>
    <w:p>
      <w:pPr>
        <w:pStyle w:val="ListParagraph"/>
        <w:numPr>
          <w:ilvl w:val="0"/>
          <w:numId w:val="95"/>
        </w:numPr>
        <w:tabs>
          <w:tab w:pos="1201" w:val="left" w:leader="none"/>
        </w:tabs>
        <w:spacing w:line="240" w:lineRule="auto" w:before="160" w:after="0"/>
        <w:ind w:left="1201" w:right="0" w:hanging="601"/>
        <w:jc w:val="left"/>
        <w:rPr>
          <w:sz w:val="24"/>
        </w:rPr>
      </w:pPr>
      <w:r>
        <w:rPr>
          <w:sz w:val="24"/>
        </w:rPr>
        <w:t>基金份额持有人大会决定终止；</w:t>
      </w:r>
    </w:p>
    <w:p>
      <w:pPr>
        <w:pStyle w:val="ListParagraph"/>
        <w:numPr>
          <w:ilvl w:val="0"/>
          <w:numId w:val="95"/>
        </w:numPr>
        <w:tabs>
          <w:tab w:pos="1203" w:val="left" w:leader="none"/>
        </w:tabs>
        <w:spacing w:line="364" w:lineRule="auto" w:before="161" w:after="0"/>
        <w:ind w:left="120" w:right="458" w:firstLine="480"/>
        <w:jc w:val="left"/>
        <w:rPr>
          <w:sz w:val="24"/>
        </w:rPr>
      </w:pPr>
      <w:r>
        <w:rPr>
          <w:sz w:val="24"/>
        </w:rPr>
        <w:t>基金管理人、基金托管人职责终止，在六个月内没有新基金管理人、基金托管人承接的；</w:t>
      </w:r>
    </w:p>
    <w:p>
      <w:pPr>
        <w:pStyle w:val="ListParagraph"/>
        <w:numPr>
          <w:ilvl w:val="0"/>
          <w:numId w:val="95"/>
        </w:numPr>
        <w:tabs>
          <w:tab w:pos="1201" w:val="left" w:leader="none"/>
        </w:tabs>
        <w:spacing w:line="240" w:lineRule="auto" w:before="1" w:after="0"/>
        <w:ind w:left="1201" w:right="0" w:hanging="601"/>
        <w:jc w:val="left"/>
        <w:rPr>
          <w:sz w:val="24"/>
        </w:rPr>
      </w:pPr>
      <w:r>
        <w:rPr>
          <w:sz w:val="24"/>
        </w:rPr>
        <w:t>法律法规和基金合同规定的其他情形。</w:t>
      </w:r>
    </w:p>
    <w:p>
      <w:pPr>
        <w:pStyle w:val="BodyText"/>
        <w:spacing w:before="160"/>
        <w:ind w:left="600"/>
      </w:pPr>
      <w:r>
        <w:rPr/>
        <w:t>3、基金财产的清算</w:t>
      </w:r>
    </w:p>
    <w:p>
      <w:pPr>
        <w:pStyle w:val="ListParagraph"/>
        <w:numPr>
          <w:ilvl w:val="0"/>
          <w:numId w:val="96"/>
        </w:numPr>
        <w:tabs>
          <w:tab w:pos="1203" w:val="left" w:leader="none"/>
        </w:tabs>
        <w:spacing w:line="364" w:lineRule="auto" w:before="161" w:after="0"/>
        <w:ind w:left="120" w:right="458" w:firstLine="480"/>
        <w:jc w:val="left"/>
        <w:rPr>
          <w:sz w:val="24"/>
        </w:rPr>
      </w:pPr>
      <w:r>
        <w:rPr>
          <w:sz w:val="24"/>
        </w:rPr>
        <w:t>基金合同终止，应当按法律法规和本基金合同的有关规定对基金财产进行清算。</w:t>
      </w:r>
    </w:p>
    <w:p>
      <w:pPr>
        <w:pStyle w:val="ListParagraph"/>
        <w:numPr>
          <w:ilvl w:val="0"/>
          <w:numId w:val="96"/>
        </w:numPr>
        <w:tabs>
          <w:tab w:pos="1201" w:val="left" w:leader="none"/>
        </w:tabs>
        <w:spacing w:line="240" w:lineRule="auto" w:before="1" w:after="0"/>
        <w:ind w:left="1201" w:right="0" w:hanging="601"/>
        <w:jc w:val="left"/>
        <w:rPr>
          <w:sz w:val="24"/>
        </w:rPr>
      </w:pPr>
      <w:r>
        <w:rPr>
          <w:sz w:val="24"/>
        </w:rPr>
        <w:t>基金财产清算组</w:t>
      </w:r>
    </w:p>
    <w:p>
      <w:pPr>
        <w:pStyle w:val="BodyText"/>
        <w:spacing w:before="4"/>
        <w:ind w:left="0"/>
        <w:rPr>
          <w:sz w:val="20"/>
        </w:rPr>
      </w:pPr>
    </w:p>
    <w:p>
      <w:pPr>
        <w:pStyle w:val="ListParagraph"/>
        <w:numPr>
          <w:ilvl w:val="1"/>
          <w:numId w:val="96"/>
        </w:numPr>
        <w:tabs>
          <w:tab w:pos="1322" w:val="left" w:leader="none"/>
        </w:tabs>
        <w:spacing w:line="364" w:lineRule="auto" w:before="0" w:after="0"/>
        <w:ind w:left="960" w:right="458" w:firstLine="0"/>
        <w:jc w:val="both"/>
        <w:rPr>
          <w:sz w:val="24"/>
        </w:rPr>
      </w:pPr>
      <w:r>
        <w:rPr>
          <w:spacing w:val="-4"/>
          <w:sz w:val="24"/>
        </w:rPr>
        <w:t>自基金合同终止情形出现之日起 </w:t>
      </w:r>
      <w:r>
        <w:rPr>
          <w:sz w:val="24"/>
        </w:rPr>
        <w:t>30</w:t>
      </w:r>
      <w:r>
        <w:rPr>
          <w:spacing w:val="-8"/>
          <w:sz w:val="24"/>
        </w:rPr>
        <w:t> 个工作日内由基金管理人组织成立基金财产清算组，在基金财产清算组接管基金财产之前，基金管理人和基金托管人应按照基金合同和托管协议的规定继续履行保护基金财产安全的职责。</w:t>
      </w:r>
    </w:p>
    <w:p>
      <w:pPr>
        <w:pStyle w:val="ListParagraph"/>
        <w:numPr>
          <w:ilvl w:val="1"/>
          <w:numId w:val="96"/>
        </w:numPr>
        <w:tabs>
          <w:tab w:pos="1330" w:val="left" w:leader="none"/>
        </w:tabs>
        <w:spacing w:line="364" w:lineRule="auto" w:before="103" w:after="0"/>
        <w:ind w:left="960" w:right="218" w:firstLine="0"/>
        <w:jc w:val="left"/>
        <w:rPr>
          <w:sz w:val="24"/>
        </w:rPr>
      </w:pPr>
      <w:r>
        <w:rPr>
          <w:spacing w:val="3"/>
          <w:sz w:val="24"/>
        </w:rPr>
        <w:t>基金财产清算组成员由基金管理人、基金托管人、基金注册登记人、具有从事证券相关业务资格的注册会计师、律师以及中国证监会指定的</w:t>
      </w:r>
    </w:p>
    <w:p>
      <w:pPr>
        <w:spacing w:after="0" w:line="364" w:lineRule="auto"/>
        <w:jc w:val="left"/>
        <w:rPr>
          <w:sz w:val="24"/>
        </w:rPr>
        <w:sectPr>
          <w:pgSz w:w="11910" w:h="16840"/>
          <w:pgMar w:header="0" w:footer="990" w:top="1460" w:bottom="1180" w:left="1680" w:right="1340"/>
        </w:sectPr>
      </w:pPr>
    </w:p>
    <w:p>
      <w:pPr>
        <w:pStyle w:val="BodyText"/>
        <w:spacing w:before="44"/>
        <w:ind w:left="960"/>
      </w:pPr>
      <w:r>
        <w:rPr/>
        <w:t>人员组成。基金财产清算组可以聘用必要的工作人员。</w:t>
      </w:r>
    </w:p>
    <w:p>
      <w:pPr>
        <w:pStyle w:val="BodyText"/>
        <w:spacing w:before="4"/>
        <w:ind w:left="0"/>
        <w:rPr>
          <w:sz w:val="20"/>
        </w:rPr>
      </w:pPr>
    </w:p>
    <w:p>
      <w:pPr>
        <w:pStyle w:val="ListParagraph"/>
        <w:numPr>
          <w:ilvl w:val="1"/>
          <w:numId w:val="96"/>
        </w:numPr>
        <w:tabs>
          <w:tab w:pos="1321" w:val="left" w:leader="none"/>
        </w:tabs>
        <w:spacing w:line="364" w:lineRule="auto" w:before="0" w:after="0"/>
        <w:ind w:left="960" w:right="458" w:firstLine="0"/>
        <w:jc w:val="left"/>
        <w:rPr>
          <w:sz w:val="24"/>
        </w:rPr>
      </w:pPr>
      <w:r>
        <w:rPr>
          <w:spacing w:val="-6"/>
          <w:sz w:val="24"/>
        </w:rPr>
        <w:t>基金财产清算组负责基金财产的保管、清理、估价、变现和分配。基</w:t>
      </w:r>
      <w:r>
        <w:rPr>
          <w:sz w:val="24"/>
        </w:rPr>
        <w:t>金财产清算组可以依法进行必要的民事活动。</w:t>
      </w:r>
    </w:p>
    <w:p>
      <w:pPr>
        <w:pStyle w:val="ListParagraph"/>
        <w:numPr>
          <w:ilvl w:val="0"/>
          <w:numId w:val="96"/>
        </w:numPr>
        <w:tabs>
          <w:tab w:pos="1201" w:val="left" w:leader="none"/>
        </w:tabs>
        <w:spacing w:line="240" w:lineRule="auto" w:before="101" w:after="0"/>
        <w:ind w:left="1201" w:right="0" w:hanging="601"/>
        <w:jc w:val="left"/>
        <w:rPr>
          <w:sz w:val="24"/>
        </w:rPr>
      </w:pPr>
      <w:r>
        <w:rPr>
          <w:sz w:val="24"/>
        </w:rPr>
        <w:t>清算程序</w:t>
      </w:r>
    </w:p>
    <w:p>
      <w:pPr>
        <w:pStyle w:val="BodyText"/>
        <w:spacing w:before="4"/>
        <w:ind w:left="0"/>
        <w:rPr>
          <w:sz w:val="20"/>
        </w:rPr>
      </w:pPr>
    </w:p>
    <w:p>
      <w:pPr>
        <w:pStyle w:val="ListParagraph"/>
        <w:numPr>
          <w:ilvl w:val="0"/>
          <w:numId w:val="97"/>
        </w:numPr>
        <w:tabs>
          <w:tab w:pos="1440" w:val="left" w:leader="none"/>
        </w:tabs>
        <w:spacing w:line="240" w:lineRule="auto" w:before="1" w:after="0"/>
        <w:ind w:left="1440" w:right="0" w:hanging="480"/>
        <w:jc w:val="left"/>
        <w:rPr>
          <w:sz w:val="24"/>
        </w:rPr>
      </w:pPr>
      <w:r>
        <w:rPr>
          <w:sz w:val="24"/>
        </w:rPr>
        <w:t>基金合同终止情形出现后，由基金财产清算组统一接管基金财产；</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基金财产清算组根据基金财产的情况确定清算期限；</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基金财产清算组对基金财产进行清理和确认；</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对基金财产进行评估和变现；</w:t>
      </w:r>
    </w:p>
    <w:p>
      <w:pPr>
        <w:pStyle w:val="BodyText"/>
        <w:spacing w:before="4"/>
        <w:ind w:left="0"/>
        <w:rPr>
          <w:sz w:val="20"/>
        </w:rPr>
      </w:pPr>
    </w:p>
    <w:p>
      <w:pPr>
        <w:pStyle w:val="ListParagraph"/>
        <w:numPr>
          <w:ilvl w:val="0"/>
          <w:numId w:val="97"/>
        </w:numPr>
        <w:tabs>
          <w:tab w:pos="1440" w:val="left" w:leader="none"/>
        </w:tabs>
        <w:spacing w:line="240" w:lineRule="auto" w:before="1" w:after="0"/>
        <w:ind w:left="1440" w:right="0" w:hanging="480"/>
        <w:jc w:val="left"/>
        <w:rPr>
          <w:sz w:val="24"/>
        </w:rPr>
      </w:pPr>
      <w:r>
        <w:rPr>
          <w:sz w:val="24"/>
        </w:rPr>
        <w:t>基金财产清算组作出清算报告；</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会计师事务所对清算报告进行审计；</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律师事务所对清算报告出具法律意见书；</w:t>
      </w:r>
    </w:p>
    <w:p>
      <w:pPr>
        <w:pStyle w:val="BodyText"/>
        <w:spacing w:before="4"/>
        <w:ind w:left="0"/>
        <w:rPr>
          <w:sz w:val="20"/>
        </w:rPr>
      </w:pPr>
    </w:p>
    <w:p>
      <w:pPr>
        <w:pStyle w:val="ListParagraph"/>
        <w:numPr>
          <w:ilvl w:val="0"/>
          <w:numId w:val="97"/>
        </w:numPr>
        <w:tabs>
          <w:tab w:pos="1440" w:val="left" w:leader="none"/>
        </w:tabs>
        <w:spacing w:line="240" w:lineRule="auto" w:before="0" w:after="0"/>
        <w:ind w:left="1440" w:right="0" w:hanging="480"/>
        <w:jc w:val="left"/>
        <w:rPr>
          <w:sz w:val="24"/>
        </w:rPr>
      </w:pPr>
      <w:r>
        <w:rPr>
          <w:sz w:val="24"/>
        </w:rPr>
        <w:t>将基金财产清算结果报告中国证监会；</w:t>
      </w:r>
    </w:p>
    <w:p>
      <w:pPr>
        <w:pStyle w:val="BodyText"/>
        <w:spacing w:before="4"/>
        <w:ind w:left="0"/>
        <w:rPr>
          <w:sz w:val="20"/>
        </w:rPr>
      </w:pPr>
    </w:p>
    <w:p>
      <w:pPr>
        <w:pStyle w:val="ListParagraph"/>
        <w:numPr>
          <w:ilvl w:val="0"/>
          <w:numId w:val="97"/>
        </w:numPr>
        <w:tabs>
          <w:tab w:pos="1440" w:val="left" w:leader="none"/>
        </w:tabs>
        <w:spacing w:line="240" w:lineRule="auto" w:before="1" w:after="0"/>
        <w:ind w:left="1440" w:right="0" w:hanging="480"/>
        <w:jc w:val="left"/>
        <w:rPr>
          <w:sz w:val="24"/>
        </w:rPr>
      </w:pPr>
      <w:r>
        <w:rPr>
          <w:sz w:val="24"/>
        </w:rPr>
        <w:t>公布基金财产清算公告；</w:t>
      </w:r>
    </w:p>
    <w:p>
      <w:pPr>
        <w:pStyle w:val="BodyText"/>
        <w:spacing w:before="4"/>
        <w:ind w:left="0"/>
        <w:rPr>
          <w:sz w:val="20"/>
        </w:rPr>
      </w:pPr>
    </w:p>
    <w:p>
      <w:pPr>
        <w:pStyle w:val="ListParagraph"/>
        <w:numPr>
          <w:ilvl w:val="0"/>
          <w:numId w:val="97"/>
        </w:numPr>
        <w:tabs>
          <w:tab w:pos="1441" w:val="left" w:leader="none"/>
        </w:tabs>
        <w:spacing w:line="240" w:lineRule="auto" w:before="0" w:after="0"/>
        <w:ind w:left="1441" w:right="0" w:hanging="481"/>
        <w:jc w:val="left"/>
        <w:rPr>
          <w:sz w:val="24"/>
        </w:rPr>
      </w:pPr>
      <w:r>
        <w:rPr>
          <w:sz w:val="24"/>
        </w:rPr>
        <w:t>对基金剩余财产进行分配。</w:t>
      </w:r>
    </w:p>
    <w:p>
      <w:pPr>
        <w:pStyle w:val="BodyText"/>
        <w:spacing w:before="4"/>
        <w:ind w:left="0"/>
        <w:rPr>
          <w:sz w:val="20"/>
        </w:rPr>
      </w:pPr>
    </w:p>
    <w:p>
      <w:pPr>
        <w:pStyle w:val="ListParagraph"/>
        <w:numPr>
          <w:ilvl w:val="0"/>
          <w:numId w:val="96"/>
        </w:numPr>
        <w:tabs>
          <w:tab w:pos="1201" w:val="left" w:leader="none"/>
        </w:tabs>
        <w:spacing w:line="240" w:lineRule="auto" w:before="0" w:after="0"/>
        <w:ind w:left="1201" w:right="0" w:hanging="601"/>
        <w:jc w:val="left"/>
        <w:rPr>
          <w:sz w:val="24"/>
        </w:rPr>
      </w:pPr>
      <w:r>
        <w:rPr>
          <w:sz w:val="24"/>
        </w:rPr>
        <w:t>清算费用</w:t>
      </w:r>
    </w:p>
    <w:p>
      <w:pPr>
        <w:pStyle w:val="BodyText"/>
        <w:spacing w:line="364" w:lineRule="auto" w:before="161"/>
        <w:ind w:right="458" w:firstLine="480"/>
      </w:pPr>
      <w:r>
        <w:rPr/>
        <w:t>清算费用是指基金财产清算组在进行基金财产清算过程中发生的所有合理费用，清算费用由基金财产清算组优先从基金财产中支付。</w:t>
      </w:r>
    </w:p>
    <w:p>
      <w:pPr>
        <w:pStyle w:val="ListParagraph"/>
        <w:numPr>
          <w:ilvl w:val="0"/>
          <w:numId w:val="96"/>
        </w:numPr>
        <w:tabs>
          <w:tab w:pos="1201" w:val="left" w:leader="none"/>
        </w:tabs>
        <w:spacing w:line="240" w:lineRule="auto" w:before="1" w:after="0"/>
        <w:ind w:left="1201" w:right="0" w:hanging="601"/>
        <w:jc w:val="left"/>
        <w:rPr>
          <w:sz w:val="24"/>
        </w:rPr>
      </w:pPr>
      <w:r>
        <w:rPr>
          <w:sz w:val="24"/>
        </w:rPr>
        <w:t>基金剩余财产的分配</w:t>
      </w:r>
    </w:p>
    <w:p>
      <w:pPr>
        <w:pStyle w:val="BodyText"/>
        <w:spacing w:before="160"/>
        <w:ind w:left="600"/>
      </w:pPr>
      <w:r>
        <w:rPr/>
        <w:t>基金财产按如下顺序进行清偿：</w:t>
      </w:r>
    </w:p>
    <w:p>
      <w:pPr>
        <w:pStyle w:val="BodyText"/>
        <w:spacing w:before="4"/>
        <w:ind w:left="0"/>
        <w:rPr>
          <w:sz w:val="20"/>
        </w:rPr>
      </w:pPr>
    </w:p>
    <w:p>
      <w:pPr>
        <w:pStyle w:val="ListParagraph"/>
        <w:numPr>
          <w:ilvl w:val="0"/>
          <w:numId w:val="98"/>
        </w:numPr>
        <w:tabs>
          <w:tab w:pos="1321" w:val="left" w:leader="none"/>
        </w:tabs>
        <w:spacing w:line="240" w:lineRule="auto" w:before="0" w:after="0"/>
        <w:ind w:left="1321" w:right="0" w:hanging="361"/>
        <w:jc w:val="left"/>
        <w:rPr>
          <w:sz w:val="24"/>
        </w:rPr>
      </w:pPr>
      <w:r>
        <w:rPr>
          <w:sz w:val="24"/>
        </w:rPr>
        <w:t>支付基金财产清算费用；</w:t>
      </w:r>
    </w:p>
    <w:p>
      <w:pPr>
        <w:pStyle w:val="BodyText"/>
        <w:spacing w:before="5"/>
        <w:ind w:left="0"/>
        <w:rPr>
          <w:sz w:val="20"/>
        </w:rPr>
      </w:pPr>
    </w:p>
    <w:p>
      <w:pPr>
        <w:pStyle w:val="ListParagraph"/>
        <w:numPr>
          <w:ilvl w:val="0"/>
          <w:numId w:val="98"/>
        </w:numPr>
        <w:tabs>
          <w:tab w:pos="1321" w:val="left" w:leader="none"/>
        </w:tabs>
        <w:spacing w:line="240" w:lineRule="auto" w:before="0" w:after="0"/>
        <w:ind w:left="1321" w:right="0" w:hanging="361"/>
        <w:jc w:val="left"/>
        <w:rPr>
          <w:sz w:val="24"/>
        </w:rPr>
      </w:pPr>
      <w:r>
        <w:rPr>
          <w:sz w:val="24"/>
        </w:rPr>
        <w:t>缴纳基金所欠税款；</w:t>
      </w:r>
    </w:p>
    <w:p>
      <w:pPr>
        <w:pStyle w:val="BodyText"/>
        <w:spacing w:before="4"/>
        <w:ind w:left="0"/>
        <w:rPr>
          <w:sz w:val="20"/>
        </w:rPr>
      </w:pPr>
    </w:p>
    <w:p>
      <w:pPr>
        <w:pStyle w:val="ListParagraph"/>
        <w:numPr>
          <w:ilvl w:val="0"/>
          <w:numId w:val="98"/>
        </w:numPr>
        <w:tabs>
          <w:tab w:pos="1321" w:val="left" w:leader="none"/>
        </w:tabs>
        <w:spacing w:line="240" w:lineRule="auto" w:before="0" w:after="0"/>
        <w:ind w:left="1321" w:right="0" w:hanging="361"/>
        <w:jc w:val="left"/>
        <w:rPr>
          <w:sz w:val="24"/>
        </w:rPr>
      </w:pPr>
      <w:r>
        <w:rPr>
          <w:sz w:val="24"/>
        </w:rPr>
        <w:t>清偿基金债务；</w:t>
      </w:r>
    </w:p>
    <w:p>
      <w:pPr>
        <w:pStyle w:val="BodyText"/>
        <w:spacing w:before="4"/>
        <w:ind w:left="0"/>
        <w:rPr>
          <w:sz w:val="20"/>
        </w:rPr>
      </w:pPr>
    </w:p>
    <w:p>
      <w:pPr>
        <w:pStyle w:val="ListParagraph"/>
        <w:numPr>
          <w:ilvl w:val="0"/>
          <w:numId w:val="98"/>
        </w:numPr>
        <w:tabs>
          <w:tab w:pos="1321" w:val="left" w:leader="none"/>
        </w:tabs>
        <w:spacing w:line="240" w:lineRule="auto" w:before="0" w:after="0"/>
        <w:ind w:left="1321" w:right="0" w:hanging="361"/>
        <w:jc w:val="left"/>
        <w:rPr>
          <w:sz w:val="24"/>
        </w:rPr>
      </w:pPr>
      <w:r>
        <w:rPr>
          <w:sz w:val="24"/>
        </w:rPr>
        <w:t>清算后如有余额，按基金份额持有人持有的基金份额比例进行分配。</w:t>
      </w:r>
    </w:p>
    <w:p>
      <w:pPr>
        <w:pStyle w:val="BodyText"/>
        <w:spacing w:before="4"/>
        <w:ind w:left="0"/>
        <w:rPr>
          <w:sz w:val="20"/>
        </w:rPr>
      </w:pPr>
    </w:p>
    <w:p>
      <w:pPr>
        <w:pStyle w:val="ListParagraph"/>
        <w:numPr>
          <w:ilvl w:val="0"/>
          <w:numId w:val="96"/>
        </w:numPr>
        <w:tabs>
          <w:tab w:pos="1201" w:val="left" w:leader="none"/>
        </w:tabs>
        <w:spacing w:line="240" w:lineRule="auto" w:before="0" w:after="0"/>
        <w:ind w:left="1201" w:right="0" w:hanging="601"/>
        <w:jc w:val="left"/>
        <w:rPr>
          <w:sz w:val="24"/>
        </w:rPr>
      </w:pPr>
      <w:r>
        <w:rPr>
          <w:sz w:val="24"/>
        </w:rPr>
        <w:t>基金财产清算的公告</w:t>
      </w:r>
    </w:p>
    <w:p>
      <w:pPr>
        <w:pStyle w:val="BodyText"/>
        <w:spacing w:line="364" w:lineRule="auto" w:before="161"/>
        <w:ind w:right="365" w:firstLine="480"/>
      </w:pPr>
      <w:r>
        <w:rPr/>
        <w:t>清算过程中的有关重大事项须及时公告；基金财产清算组做出的清算报告经会计师事务所审计，律师事务所出具法律意见书后，报中国证监会备案并公告。</w:t>
      </w:r>
    </w:p>
    <w:p>
      <w:pPr>
        <w:spacing w:after="0" w:line="364" w:lineRule="auto"/>
        <w:sectPr>
          <w:pgSz w:w="11910" w:h="16840"/>
          <w:pgMar w:header="0" w:footer="990" w:top="1460" w:bottom="1180" w:left="1680" w:right="1340"/>
        </w:sectPr>
      </w:pPr>
    </w:p>
    <w:p>
      <w:pPr>
        <w:pStyle w:val="ListParagraph"/>
        <w:numPr>
          <w:ilvl w:val="0"/>
          <w:numId w:val="96"/>
        </w:numPr>
        <w:tabs>
          <w:tab w:pos="1201" w:val="left" w:leader="none"/>
        </w:tabs>
        <w:spacing w:line="240" w:lineRule="auto" w:before="44" w:after="0"/>
        <w:ind w:left="1201" w:right="0" w:hanging="601"/>
        <w:jc w:val="left"/>
        <w:rPr>
          <w:sz w:val="24"/>
        </w:rPr>
      </w:pPr>
      <w:r>
        <w:rPr>
          <w:spacing w:val="-6"/>
          <w:sz w:val="24"/>
        </w:rPr>
        <w:t>基金财产清算期限为 </w:t>
      </w:r>
      <w:r>
        <w:rPr>
          <w:sz w:val="24"/>
        </w:rPr>
        <w:t>6</w:t>
      </w:r>
      <w:r>
        <w:rPr>
          <w:spacing w:val="-15"/>
          <w:sz w:val="24"/>
        </w:rPr>
        <w:t> 个月。</w:t>
      </w:r>
    </w:p>
    <w:p>
      <w:pPr>
        <w:pStyle w:val="ListParagraph"/>
        <w:numPr>
          <w:ilvl w:val="0"/>
          <w:numId w:val="96"/>
        </w:numPr>
        <w:tabs>
          <w:tab w:pos="1201" w:val="left" w:leader="none"/>
        </w:tabs>
        <w:spacing w:line="240" w:lineRule="auto" w:before="160" w:after="0"/>
        <w:ind w:left="1201" w:right="0" w:hanging="601"/>
        <w:jc w:val="left"/>
        <w:rPr>
          <w:sz w:val="24"/>
        </w:rPr>
      </w:pPr>
      <w:r>
        <w:rPr>
          <w:spacing w:val="-3"/>
          <w:sz w:val="24"/>
        </w:rPr>
        <w:t>基金财产清算账册及文件由基金托管人保存 </w:t>
      </w:r>
      <w:r>
        <w:rPr>
          <w:sz w:val="24"/>
        </w:rPr>
        <w:t>15</w:t>
      </w:r>
      <w:r>
        <w:rPr>
          <w:spacing w:val="-12"/>
          <w:sz w:val="24"/>
        </w:rPr>
        <w:t> 年以上。</w:t>
      </w:r>
    </w:p>
    <w:p>
      <w:pPr>
        <w:pStyle w:val="BodyText"/>
        <w:spacing w:before="3"/>
        <w:ind w:left="0"/>
        <w:rPr>
          <w:sz w:val="31"/>
        </w:rPr>
      </w:pPr>
    </w:p>
    <w:p>
      <w:pPr>
        <w:pStyle w:val="BodyText"/>
      </w:pPr>
      <w:r>
        <w:rPr/>
        <w:t>（十一）争议的处理和适用的法律</w:t>
      </w:r>
    </w:p>
    <w:p>
      <w:pPr>
        <w:pStyle w:val="BodyText"/>
        <w:spacing w:before="3"/>
        <w:ind w:left="0"/>
        <w:rPr>
          <w:sz w:val="31"/>
        </w:rPr>
      </w:pPr>
    </w:p>
    <w:p>
      <w:pPr>
        <w:pStyle w:val="BodyText"/>
        <w:spacing w:before="0"/>
        <w:ind w:left="600"/>
      </w:pPr>
      <w:r>
        <w:rPr/>
        <w:t>1、本基金合同适用中华人民共和国法律并从其解释。</w:t>
      </w:r>
    </w:p>
    <w:p>
      <w:pPr>
        <w:pStyle w:val="BodyText"/>
        <w:spacing w:line="364" w:lineRule="auto" w:before="160"/>
        <w:ind w:right="458" w:firstLine="480"/>
        <w:jc w:val="both"/>
      </w:pPr>
      <w:r>
        <w:rPr/>
        <w:t>2、本基金合同的当事人之间因本基金合同产生的或与本基金合同有关的争</w:t>
      </w:r>
      <w:r>
        <w:rPr>
          <w:spacing w:val="-7"/>
        </w:rPr>
        <w:t>议可首先通过友好协商或调解解决。自一方书面要求协商解决争议之日起六十日内如果争议未能以协商或调解方式解决，则任何一方有权将争议提交设在上海的中国国际经济贸易仲裁委员会上海分会，根据提交仲裁时有效的仲裁规则进行仲</w:t>
      </w:r>
      <w:r>
        <w:rPr/>
        <w:t>裁。仲裁裁决是终局的，对仲裁各方当事人均具有约束力。</w:t>
      </w:r>
    </w:p>
    <w:p>
      <w:pPr>
        <w:pStyle w:val="BodyText"/>
        <w:spacing w:line="364" w:lineRule="auto" w:before="3"/>
        <w:ind w:right="458" w:firstLine="480"/>
      </w:pPr>
      <w:r>
        <w:rPr/>
        <w:t>3、除争议所涉内容之外，本基金合同的其他部分应当由本基金合同当事人继续履行。</w:t>
      </w:r>
    </w:p>
    <w:p>
      <w:pPr>
        <w:pStyle w:val="BodyText"/>
        <w:spacing w:before="11"/>
        <w:ind w:left="0"/>
        <w:rPr>
          <w:sz w:val="18"/>
        </w:rPr>
      </w:pPr>
    </w:p>
    <w:p>
      <w:pPr>
        <w:pStyle w:val="BodyText"/>
        <w:spacing w:before="0"/>
      </w:pPr>
      <w:r>
        <w:rPr/>
        <w:t>（十二）基金合同的存放及查阅方式</w:t>
      </w:r>
    </w:p>
    <w:p>
      <w:pPr>
        <w:pStyle w:val="BodyText"/>
        <w:spacing w:before="3"/>
        <w:ind w:left="0"/>
        <w:rPr>
          <w:sz w:val="31"/>
        </w:rPr>
      </w:pPr>
    </w:p>
    <w:p>
      <w:pPr>
        <w:pStyle w:val="BodyText"/>
        <w:spacing w:line="364" w:lineRule="auto" w:before="0"/>
        <w:ind w:right="338" w:firstLine="480"/>
      </w:pPr>
      <w:r>
        <w:rPr>
          <w:spacing w:val="-15"/>
        </w:rPr>
        <w:t>基金合同可印制成册，存放在基金管理人和基金托管人住所，供投资人查阅， </w:t>
      </w:r>
      <w:r>
        <w:rPr/>
        <w:t>基金合同条款及内容应以基金合同正本为准。</w:t>
      </w:r>
    </w:p>
    <w:p>
      <w:pPr>
        <w:spacing w:after="0" w:line="364" w:lineRule="auto"/>
        <w:sectPr>
          <w:pgSz w:w="11910" w:h="16840"/>
          <w:pgMar w:header="0" w:footer="990" w:top="1460" w:bottom="1180" w:left="1680" w:right="1340"/>
        </w:sectPr>
      </w:pPr>
    </w:p>
    <w:p>
      <w:pPr>
        <w:pStyle w:val="BodyText"/>
        <w:spacing w:before="5"/>
        <w:ind w:left="0"/>
        <w:rPr>
          <w:sz w:val="25"/>
        </w:rPr>
      </w:pPr>
    </w:p>
    <w:p>
      <w:pPr>
        <w:pStyle w:val="BodyText"/>
        <w:spacing w:before="67"/>
      </w:pPr>
      <w:r>
        <w:rPr/>
        <w:t>（本页为签署页，无正文）</w:t>
      </w:r>
    </w:p>
    <w:p>
      <w:pPr>
        <w:pStyle w:val="BodyText"/>
        <w:spacing w:before="0"/>
        <w:ind w:left="0"/>
      </w:pPr>
    </w:p>
    <w:p>
      <w:pPr>
        <w:pStyle w:val="BodyText"/>
        <w:spacing w:before="0"/>
        <w:ind w:left="0"/>
      </w:pPr>
    </w:p>
    <w:p>
      <w:pPr>
        <w:pStyle w:val="BodyText"/>
        <w:spacing w:before="0"/>
        <w:ind w:left="0"/>
      </w:pPr>
    </w:p>
    <w:p>
      <w:pPr>
        <w:pStyle w:val="BodyText"/>
        <w:spacing w:before="174"/>
      </w:pPr>
      <w:r>
        <w:rPr/>
        <w:t>基金管理人：易方达基金管理有限公司（盖章）</w:t>
      </w:r>
    </w:p>
    <w:p>
      <w:pPr>
        <w:pStyle w:val="BodyText"/>
        <w:spacing w:before="0"/>
        <w:ind w:left="0"/>
      </w:pPr>
    </w:p>
    <w:p>
      <w:pPr>
        <w:pStyle w:val="BodyText"/>
        <w:spacing w:before="0"/>
        <w:ind w:left="0"/>
      </w:pPr>
    </w:p>
    <w:p>
      <w:pPr>
        <w:pStyle w:val="BodyText"/>
        <w:spacing w:before="0"/>
        <w:ind w:left="0"/>
      </w:pPr>
    </w:p>
    <w:p>
      <w:pPr>
        <w:pStyle w:val="BodyText"/>
        <w:spacing w:before="174"/>
      </w:pPr>
      <w:r>
        <w:rPr/>
        <w:t>法定代表人或授权代表（签字）：</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ind w:left="0"/>
        <w:rPr>
          <w:sz w:val="27"/>
        </w:rPr>
      </w:pPr>
    </w:p>
    <w:p>
      <w:pPr>
        <w:pStyle w:val="BodyText"/>
      </w:pPr>
      <w:r>
        <w:rPr/>
        <w:t>签订地：</w:t>
      </w:r>
    </w:p>
    <w:p>
      <w:pPr>
        <w:pStyle w:val="BodyText"/>
        <w:spacing w:before="0"/>
        <w:ind w:left="0"/>
      </w:pPr>
    </w:p>
    <w:p>
      <w:pPr>
        <w:pStyle w:val="BodyText"/>
        <w:spacing w:before="0"/>
        <w:ind w:left="0"/>
        <w:rPr>
          <w:sz w:val="25"/>
        </w:rPr>
      </w:pPr>
    </w:p>
    <w:p>
      <w:pPr>
        <w:pStyle w:val="BodyText"/>
        <w:tabs>
          <w:tab w:pos="1559" w:val="left" w:leader="none"/>
          <w:tab w:pos="2159" w:val="left" w:leader="none"/>
          <w:tab w:pos="2879" w:val="left" w:leader="none"/>
        </w:tabs>
        <w:spacing w:before="0"/>
      </w:pPr>
      <w:r>
        <w:rPr/>
        <w:t>签订日：</w:t>
        <w:tab/>
        <w:t>年</w:t>
        <w:tab/>
        <w:t>月</w:t>
        <w:tab/>
        <w:t>日</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88"/>
      </w:pPr>
      <w:r>
        <w:rPr/>
        <w:t>基金托管人：交通银行股份有限公司（盖章）</w:t>
      </w:r>
    </w:p>
    <w:p>
      <w:pPr>
        <w:pStyle w:val="BodyText"/>
        <w:spacing w:before="0"/>
        <w:ind w:left="0"/>
      </w:pPr>
    </w:p>
    <w:p>
      <w:pPr>
        <w:pStyle w:val="BodyText"/>
        <w:spacing w:before="0"/>
        <w:ind w:left="0"/>
      </w:pPr>
    </w:p>
    <w:p>
      <w:pPr>
        <w:pStyle w:val="BodyText"/>
        <w:spacing w:before="0"/>
        <w:ind w:left="0"/>
      </w:pPr>
    </w:p>
    <w:p>
      <w:pPr>
        <w:pStyle w:val="BodyText"/>
        <w:spacing w:before="174"/>
      </w:pPr>
      <w:r>
        <w:rPr/>
        <w:t>法定代表人或授权代表（签字）：</w:t>
      </w:r>
    </w:p>
    <w:p>
      <w:pPr>
        <w:pStyle w:val="BodyText"/>
        <w:spacing w:before="0"/>
        <w:ind w:left="0"/>
      </w:pPr>
    </w:p>
    <w:p>
      <w:pPr>
        <w:pStyle w:val="BodyText"/>
        <w:spacing w:before="0"/>
        <w:ind w:left="0"/>
      </w:pPr>
    </w:p>
    <w:p>
      <w:pPr>
        <w:pStyle w:val="BodyText"/>
        <w:spacing w:before="0"/>
        <w:ind w:left="0"/>
      </w:pPr>
    </w:p>
    <w:p>
      <w:pPr>
        <w:pStyle w:val="BodyText"/>
        <w:spacing w:before="174"/>
      </w:pPr>
      <w:r>
        <w:rPr/>
        <w:t>签订地：</w:t>
      </w:r>
    </w:p>
    <w:p>
      <w:pPr>
        <w:pStyle w:val="BodyText"/>
        <w:spacing w:before="0"/>
        <w:ind w:left="0"/>
      </w:pPr>
    </w:p>
    <w:p>
      <w:pPr>
        <w:pStyle w:val="BodyText"/>
        <w:spacing w:before="0"/>
        <w:ind w:left="0"/>
        <w:rPr>
          <w:sz w:val="25"/>
        </w:rPr>
      </w:pPr>
    </w:p>
    <w:p>
      <w:pPr>
        <w:pStyle w:val="BodyText"/>
        <w:tabs>
          <w:tab w:pos="1679" w:val="left" w:leader="none"/>
          <w:tab w:pos="2279" w:val="left" w:leader="none"/>
          <w:tab w:pos="2879" w:val="left" w:leader="none"/>
        </w:tabs>
        <w:spacing w:before="0"/>
      </w:pPr>
      <w:r>
        <w:rPr/>
        <w:t>签订日：</w:t>
        <w:tab/>
        <w:t>年</w:t>
        <w:tab/>
        <w:t>月</w:t>
        <w:tab/>
        <w:t>日</w:t>
      </w:r>
    </w:p>
    <w:sectPr>
      <w:footerReference w:type="default" r:id="rId6"/>
      <w:pgSz w:w="11910" w:h="16840"/>
      <w:pgMar w:footer="0" w:header="0" w:top="1580" w:bottom="2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88.899994pt;margin-top:781.382935pt;width:17.5pt;height:12pt;mso-position-horizontal-relative:page;mso-position-vertical-relative:page;z-index:-253867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
    <w:multiLevelType w:val="hybridMultilevel"/>
    <w:lvl w:ilvl="0">
      <w:start w:val="1"/>
      <w:numFmt w:val="decimal"/>
      <w:lvlText w:val="%1）"/>
      <w:lvlJc w:val="left"/>
      <w:pPr>
        <w:ind w:left="132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076" w:hanging="361"/>
      </w:pPr>
      <w:rPr>
        <w:rFonts w:hint="default"/>
        <w:lang w:val="zh-CN" w:eastAsia="zh-CN" w:bidi="zh-CN"/>
      </w:rPr>
    </w:lvl>
    <w:lvl w:ilvl="2">
      <w:start w:val="0"/>
      <w:numFmt w:val="bullet"/>
      <w:lvlText w:val="•"/>
      <w:lvlJc w:val="left"/>
      <w:pPr>
        <w:ind w:left="2833" w:hanging="361"/>
      </w:pPr>
      <w:rPr>
        <w:rFonts w:hint="default"/>
        <w:lang w:val="zh-CN" w:eastAsia="zh-CN" w:bidi="zh-CN"/>
      </w:rPr>
    </w:lvl>
    <w:lvl w:ilvl="3">
      <w:start w:val="0"/>
      <w:numFmt w:val="bullet"/>
      <w:lvlText w:val="•"/>
      <w:lvlJc w:val="left"/>
      <w:pPr>
        <w:ind w:left="3589" w:hanging="361"/>
      </w:pPr>
      <w:rPr>
        <w:rFonts w:hint="default"/>
        <w:lang w:val="zh-CN" w:eastAsia="zh-CN" w:bidi="zh-CN"/>
      </w:rPr>
    </w:lvl>
    <w:lvl w:ilvl="4">
      <w:start w:val="0"/>
      <w:numFmt w:val="bullet"/>
      <w:lvlText w:val="•"/>
      <w:lvlJc w:val="left"/>
      <w:pPr>
        <w:ind w:left="4346" w:hanging="361"/>
      </w:pPr>
      <w:rPr>
        <w:rFonts w:hint="default"/>
        <w:lang w:val="zh-CN" w:eastAsia="zh-CN" w:bidi="zh-CN"/>
      </w:rPr>
    </w:lvl>
    <w:lvl w:ilvl="5">
      <w:start w:val="0"/>
      <w:numFmt w:val="bullet"/>
      <w:lvlText w:val="•"/>
      <w:lvlJc w:val="left"/>
      <w:pPr>
        <w:ind w:left="5103" w:hanging="361"/>
      </w:pPr>
      <w:rPr>
        <w:rFonts w:hint="default"/>
        <w:lang w:val="zh-CN" w:eastAsia="zh-CN" w:bidi="zh-CN"/>
      </w:rPr>
    </w:lvl>
    <w:lvl w:ilvl="6">
      <w:start w:val="0"/>
      <w:numFmt w:val="bullet"/>
      <w:lvlText w:val="•"/>
      <w:lvlJc w:val="left"/>
      <w:pPr>
        <w:ind w:left="5859" w:hanging="361"/>
      </w:pPr>
      <w:rPr>
        <w:rFonts w:hint="default"/>
        <w:lang w:val="zh-CN" w:eastAsia="zh-CN" w:bidi="zh-CN"/>
      </w:rPr>
    </w:lvl>
    <w:lvl w:ilvl="7">
      <w:start w:val="0"/>
      <w:numFmt w:val="bullet"/>
      <w:lvlText w:val="•"/>
      <w:lvlJc w:val="left"/>
      <w:pPr>
        <w:ind w:left="6616" w:hanging="361"/>
      </w:pPr>
      <w:rPr>
        <w:rFonts w:hint="default"/>
        <w:lang w:val="zh-CN" w:eastAsia="zh-CN" w:bidi="zh-CN"/>
      </w:rPr>
    </w:lvl>
    <w:lvl w:ilvl="8">
      <w:start w:val="0"/>
      <w:numFmt w:val="bullet"/>
      <w:lvlText w:val="•"/>
      <w:lvlJc w:val="left"/>
      <w:pPr>
        <w:ind w:left="7372" w:hanging="361"/>
      </w:pPr>
      <w:rPr>
        <w:rFonts w:hint="default"/>
        <w:lang w:val="zh-CN" w:eastAsia="zh-CN" w:bidi="zh-CN"/>
      </w:rPr>
    </w:lvl>
  </w:abstractNum>
  <w:abstractNum w:abstractNumId="96">
    <w:multiLevelType w:val="hybridMultilevel"/>
    <w:lvl w:ilvl="0">
      <w:start w:val="1"/>
      <w:numFmt w:val="decimal"/>
      <w:lvlText w:val="%1）"/>
      <w:lvlJc w:val="left"/>
      <w:pPr>
        <w:ind w:left="1440" w:hanging="480"/>
        <w:jc w:val="left"/>
      </w:pPr>
      <w:rPr>
        <w:rFonts w:hint="default" w:ascii="宋体" w:hAnsi="宋体" w:eastAsia="宋体" w:cs="宋体"/>
        <w:w w:val="100"/>
        <w:sz w:val="24"/>
        <w:szCs w:val="24"/>
        <w:lang w:val="zh-CN" w:eastAsia="zh-CN" w:bidi="zh-CN"/>
      </w:rPr>
    </w:lvl>
    <w:lvl w:ilvl="1">
      <w:start w:val="0"/>
      <w:numFmt w:val="bullet"/>
      <w:lvlText w:val="•"/>
      <w:lvlJc w:val="left"/>
      <w:pPr>
        <w:ind w:left="2184" w:hanging="480"/>
      </w:pPr>
      <w:rPr>
        <w:rFonts w:hint="default"/>
        <w:lang w:val="zh-CN" w:eastAsia="zh-CN" w:bidi="zh-CN"/>
      </w:rPr>
    </w:lvl>
    <w:lvl w:ilvl="2">
      <w:start w:val="0"/>
      <w:numFmt w:val="bullet"/>
      <w:lvlText w:val="•"/>
      <w:lvlJc w:val="left"/>
      <w:pPr>
        <w:ind w:left="2929" w:hanging="480"/>
      </w:pPr>
      <w:rPr>
        <w:rFonts w:hint="default"/>
        <w:lang w:val="zh-CN" w:eastAsia="zh-CN" w:bidi="zh-CN"/>
      </w:rPr>
    </w:lvl>
    <w:lvl w:ilvl="3">
      <w:start w:val="0"/>
      <w:numFmt w:val="bullet"/>
      <w:lvlText w:val="•"/>
      <w:lvlJc w:val="left"/>
      <w:pPr>
        <w:ind w:left="3673" w:hanging="480"/>
      </w:pPr>
      <w:rPr>
        <w:rFonts w:hint="default"/>
        <w:lang w:val="zh-CN" w:eastAsia="zh-CN" w:bidi="zh-CN"/>
      </w:rPr>
    </w:lvl>
    <w:lvl w:ilvl="4">
      <w:start w:val="0"/>
      <w:numFmt w:val="bullet"/>
      <w:lvlText w:val="•"/>
      <w:lvlJc w:val="left"/>
      <w:pPr>
        <w:ind w:left="4418" w:hanging="480"/>
      </w:pPr>
      <w:rPr>
        <w:rFonts w:hint="default"/>
        <w:lang w:val="zh-CN" w:eastAsia="zh-CN" w:bidi="zh-CN"/>
      </w:rPr>
    </w:lvl>
    <w:lvl w:ilvl="5">
      <w:start w:val="0"/>
      <w:numFmt w:val="bullet"/>
      <w:lvlText w:val="•"/>
      <w:lvlJc w:val="left"/>
      <w:pPr>
        <w:ind w:left="5163" w:hanging="480"/>
      </w:pPr>
      <w:rPr>
        <w:rFonts w:hint="default"/>
        <w:lang w:val="zh-CN" w:eastAsia="zh-CN" w:bidi="zh-CN"/>
      </w:rPr>
    </w:lvl>
    <w:lvl w:ilvl="6">
      <w:start w:val="0"/>
      <w:numFmt w:val="bullet"/>
      <w:lvlText w:val="•"/>
      <w:lvlJc w:val="left"/>
      <w:pPr>
        <w:ind w:left="5907" w:hanging="480"/>
      </w:pPr>
      <w:rPr>
        <w:rFonts w:hint="default"/>
        <w:lang w:val="zh-CN" w:eastAsia="zh-CN" w:bidi="zh-CN"/>
      </w:rPr>
    </w:lvl>
    <w:lvl w:ilvl="7">
      <w:start w:val="0"/>
      <w:numFmt w:val="bullet"/>
      <w:lvlText w:val="•"/>
      <w:lvlJc w:val="left"/>
      <w:pPr>
        <w:ind w:left="6652" w:hanging="480"/>
      </w:pPr>
      <w:rPr>
        <w:rFonts w:hint="default"/>
        <w:lang w:val="zh-CN" w:eastAsia="zh-CN" w:bidi="zh-CN"/>
      </w:rPr>
    </w:lvl>
    <w:lvl w:ilvl="8">
      <w:start w:val="0"/>
      <w:numFmt w:val="bullet"/>
      <w:lvlText w:val="•"/>
      <w:lvlJc w:val="left"/>
      <w:pPr>
        <w:ind w:left="7396" w:hanging="480"/>
      </w:pPr>
      <w:rPr>
        <w:rFonts w:hint="default"/>
        <w:lang w:val="zh-CN" w:eastAsia="zh-CN" w:bidi="zh-CN"/>
      </w:rPr>
    </w:lvl>
  </w:abstractNum>
  <w:abstractNum w:abstractNumId="95">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1"/>
      <w:numFmt w:val="decimal"/>
      <w:lvlText w:val="%2）"/>
      <w:lvlJc w:val="left"/>
      <w:pPr>
        <w:ind w:left="960" w:hanging="362"/>
        <w:jc w:val="left"/>
      </w:pPr>
      <w:rPr>
        <w:rFonts w:hint="default" w:ascii="宋体" w:hAnsi="宋体" w:eastAsia="宋体" w:cs="宋体"/>
        <w:spacing w:val="-60"/>
        <w:w w:val="100"/>
        <w:sz w:val="22"/>
        <w:szCs w:val="22"/>
        <w:lang w:val="zh-CN" w:eastAsia="zh-CN" w:bidi="zh-CN"/>
      </w:rPr>
    </w:lvl>
    <w:lvl w:ilvl="2">
      <w:start w:val="0"/>
      <w:numFmt w:val="bullet"/>
      <w:lvlText w:val="•"/>
      <w:lvlJc w:val="left"/>
      <w:pPr>
        <w:ind w:left="1840" w:hanging="362"/>
      </w:pPr>
      <w:rPr>
        <w:rFonts w:hint="default"/>
        <w:lang w:val="zh-CN" w:eastAsia="zh-CN" w:bidi="zh-CN"/>
      </w:rPr>
    </w:lvl>
    <w:lvl w:ilvl="3">
      <w:start w:val="0"/>
      <w:numFmt w:val="bullet"/>
      <w:lvlText w:val="•"/>
      <w:lvlJc w:val="left"/>
      <w:pPr>
        <w:ind w:left="2721" w:hanging="362"/>
      </w:pPr>
      <w:rPr>
        <w:rFonts w:hint="default"/>
        <w:lang w:val="zh-CN" w:eastAsia="zh-CN" w:bidi="zh-CN"/>
      </w:rPr>
    </w:lvl>
    <w:lvl w:ilvl="4">
      <w:start w:val="0"/>
      <w:numFmt w:val="bullet"/>
      <w:lvlText w:val="•"/>
      <w:lvlJc w:val="left"/>
      <w:pPr>
        <w:ind w:left="3602" w:hanging="362"/>
      </w:pPr>
      <w:rPr>
        <w:rFonts w:hint="default"/>
        <w:lang w:val="zh-CN" w:eastAsia="zh-CN" w:bidi="zh-CN"/>
      </w:rPr>
    </w:lvl>
    <w:lvl w:ilvl="5">
      <w:start w:val="0"/>
      <w:numFmt w:val="bullet"/>
      <w:lvlText w:val="•"/>
      <w:lvlJc w:val="left"/>
      <w:pPr>
        <w:ind w:left="4482" w:hanging="362"/>
      </w:pPr>
      <w:rPr>
        <w:rFonts w:hint="default"/>
        <w:lang w:val="zh-CN" w:eastAsia="zh-CN" w:bidi="zh-CN"/>
      </w:rPr>
    </w:lvl>
    <w:lvl w:ilvl="6">
      <w:start w:val="0"/>
      <w:numFmt w:val="bullet"/>
      <w:lvlText w:val="•"/>
      <w:lvlJc w:val="left"/>
      <w:pPr>
        <w:ind w:left="5363" w:hanging="362"/>
      </w:pPr>
      <w:rPr>
        <w:rFonts w:hint="default"/>
        <w:lang w:val="zh-CN" w:eastAsia="zh-CN" w:bidi="zh-CN"/>
      </w:rPr>
    </w:lvl>
    <w:lvl w:ilvl="7">
      <w:start w:val="0"/>
      <w:numFmt w:val="bullet"/>
      <w:lvlText w:val="•"/>
      <w:lvlJc w:val="left"/>
      <w:pPr>
        <w:ind w:left="6244" w:hanging="362"/>
      </w:pPr>
      <w:rPr>
        <w:rFonts w:hint="default"/>
        <w:lang w:val="zh-CN" w:eastAsia="zh-CN" w:bidi="zh-CN"/>
      </w:rPr>
    </w:lvl>
    <w:lvl w:ilvl="8">
      <w:start w:val="0"/>
      <w:numFmt w:val="bullet"/>
      <w:lvlText w:val="•"/>
      <w:lvlJc w:val="left"/>
      <w:pPr>
        <w:ind w:left="7124" w:hanging="362"/>
      </w:pPr>
      <w:rPr>
        <w:rFonts w:hint="default"/>
        <w:lang w:val="zh-CN" w:eastAsia="zh-CN" w:bidi="zh-CN"/>
      </w:rPr>
    </w:lvl>
  </w:abstractNum>
  <w:abstractNum w:abstractNumId="9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93">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90">
    <w:multiLevelType w:val="hybridMultilevel"/>
    <w:lvl w:ilvl="0">
      <w:start w:val="1"/>
      <w:numFmt w:val="decimal"/>
      <w:lvlText w:val="%1."/>
      <w:lvlJc w:val="left"/>
      <w:pPr>
        <w:ind w:left="946"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34" w:hanging="361"/>
      </w:pPr>
      <w:rPr>
        <w:rFonts w:hint="default"/>
        <w:lang w:val="zh-CN" w:eastAsia="zh-CN" w:bidi="zh-CN"/>
      </w:rPr>
    </w:lvl>
    <w:lvl w:ilvl="2">
      <w:start w:val="0"/>
      <w:numFmt w:val="bullet"/>
      <w:lvlText w:val="•"/>
      <w:lvlJc w:val="left"/>
      <w:pPr>
        <w:ind w:left="2529" w:hanging="361"/>
      </w:pPr>
      <w:rPr>
        <w:rFonts w:hint="default"/>
        <w:lang w:val="zh-CN" w:eastAsia="zh-CN" w:bidi="zh-CN"/>
      </w:rPr>
    </w:lvl>
    <w:lvl w:ilvl="3">
      <w:start w:val="0"/>
      <w:numFmt w:val="bullet"/>
      <w:lvlText w:val="•"/>
      <w:lvlJc w:val="left"/>
      <w:pPr>
        <w:ind w:left="3323" w:hanging="361"/>
      </w:pPr>
      <w:rPr>
        <w:rFonts w:hint="default"/>
        <w:lang w:val="zh-CN" w:eastAsia="zh-CN" w:bidi="zh-CN"/>
      </w:rPr>
    </w:lvl>
    <w:lvl w:ilvl="4">
      <w:start w:val="0"/>
      <w:numFmt w:val="bullet"/>
      <w:lvlText w:val="•"/>
      <w:lvlJc w:val="left"/>
      <w:pPr>
        <w:ind w:left="4118" w:hanging="361"/>
      </w:pPr>
      <w:rPr>
        <w:rFonts w:hint="default"/>
        <w:lang w:val="zh-CN" w:eastAsia="zh-CN" w:bidi="zh-CN"/>
      </w:rPr>
    </w:lvl>
    <w:lvl w:ilvl="5">
      <w:start w:val="0"/>
      <w:numFmt w:val="bullet"/>
      <w:lvlText w:val="•"/>
      <w:lvlJc w:val="left"/>
      <w:pPr>
        <w:ind w:left="4913" w:hanging="361"/>
      </w:pPr>
      <w:rPr>
        <w:rFonts w:hint="default"/>
        <w:lang w:val="zh-CN" w:eastAsia="zh-CN" w:bidi="zh-CN"/>
      </w:rPr>
    </w:lvl>
    <w:lvl w:ilvl="6">
      <w:start w:val="0"/>
      <w:numFmt w:val="bullet"/>
      <w:lvlText w:val="•"/>
      <w:lvlJc w:val="left"/>
      <w:pPr>
        <w:ind w:left="5707" w:hanging="361"/>
      </w:pPr>
      <w:rPr>
        <w:rFonts w:hint="default"/>
        <w:lang w:val="zh-CN" w:eastAsia="zh-CN" w:bidi="zh-CN"/>
      </w:rPr>
    </w:lvl>
    <w:lvl w:ilvl="7">
      <w:start w:val="0"/>
      <w:numFmt w:val="bullet"/>
      <w:lvlText w:val="•"/>
      <w:lvlJc w:val="left"/>
      <w:pPr>
        <w:ind w:left="6502" w:hanging="361"/>
      </w:pPr>
      <w:rPr>
        <w:rFonts w:hint="default"/>
        <w:lang w:val="zh-CN" w:eastAsia="zh-CN" w:bidi="zh-CN"/>
      </w:rPr>
    </w:lvl>
    <w:lvl w:ilvl="8">
      <w:start w:val="0"/>
      <w:numFmt w:val="bullet"/>
      <w:lvlText w:val="•"/>
      <w:lvlJc w:val="left"/>
      <w:pPr>
        <w:ind w:left="7296" w:hanging="361"/>
      </w:pPr>
      <w:rPr>
        <w:rFonts w:hint="default"/>
        <w:lang w:val="zh-CN" w:eastAsia="zh-CN" w:bidi="zh-CN"/>
      </w:rPr>
    </w:lvl>
  </w:abstractNum>
  <w:abstractNum w:abstractNumId="89">
    <w:multiLevelType w:val="hybridMultilevel"/>
    <w:lvl w:ilvl="0">
      <w:start w:val="11"/>
      <w:numFmt w:val="decimal"/>
      <w:lvlText w:val="%1）"/>
      <w:lvlJc w:val="left"/>
      <w:pPr>
        <w:ind w:left="1556" w:hanging="481"/>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2292" w:hanging="481"/>
      </w:pPr>
      <w:rPr>
        <w:rFonts w:hint="default"/>
        <w:lang w:val="zh-CN" w:eastAsia="zh-CN" w:bidi="zh-CN"/>
      </w:rPr>
    </w:lvl>
    <w:lvl w:ilvl="2">
      <w:start w:val="0"/>
      <w:numFmt w:val="bullet"/>
      <w:lvlText w:val="•"/>
      <w:lvlJc w:val="left"/>
      <w:pPr>
        <w:ind w:left="3025" w:hanging="481"/>
      </w:pPr>
      <w:rPr>
        <w:rFonts w:hint="default"/>
        <w:lang w:val="zh-CN" w:eastAsia="zh-CN" w:bidi="zh-CN"/>
      </w:rPr>
    </w:lvl>
    <w:lvl w:ilvl="3">
      <w:start w:val="0"/>
      <w:numFmt w:val="bullet"/>
      <w:lvlText w:val="•"/>
      <w:lvlJc w:val="left"/>
      <w:pPr>
        <w:ind w:left="3757" w:hanging="481"/>
      </w:pPr>
      <w:rPr>
        <w:rFonts w:hint="default"/>
        <w:lang w:val="zh-CN" w:eastAsia="zh-CN" w:bidi="zh-CN"/>
      </w:rPr>
    </w:lvl>
    <w:lvl w:ilvl="4">
      <w:start w:val="0"/>
      <w:numFmt w:val="bullet"/>
      <w:lvlText w:val="•"/>
      <w:lvlJc w:val="left"/>
      <w:pPr>
        <w:ind w:left="4490" w:hanging="481"/>
      </w:pPr>
      <w:rPr>
        <w:rFonts w:hint="default"/>
        <w:lang w:val="zh-CN" w:eastAsia="zh-CN" w:bidi="zh-CN"/>
      </w:rPr>
    </w:lvl>
    <w:lvl w:ilvl="5">
      <w:start w:val="0"/>
      <w:numFmt w:val="bullet"/>
      <w:lvlText w:val="•"/>
      <w:lvlJc w:val="left"/>
      <w:pPr>
        <w:ind w:left="5223" w:hanging="481"/>
      </w:pPr>
      <w:rPr>
        <w:rFonts w:hint="default"/>
        <w:lang w:val="zh-CN" w:eastAsia="zh-CN" w:bidi="zh-CN"/>
      </w:rPr>
    </w:lvl>
    <w:lvl w:ilvl="6">
      <w:start w:val="0"/>
      <w:numFmt w:val="bullet"/>
      <w:lvlText w:val="•"/>
      <w:lvlJc w:val="left"/>
      <w:pPr>
        <w:ind w:left="5955" w:hanging="481"/>
      </w:pPr>
      <w:rPr>
        <w:rFonts w:hint="default"/>
        <w:lang w:val="zh-CN" w:eastAsia="zh-CN" w:bidi="zh-CN"/>
      </w:rPr>
    </w:lvl>
    <w:lvl w:ilvl="7">
      <w:start w:val="0"/>
      <w:numFmt w:val="bullet"/>
      <w:lvlText w:val="•"/>
      <w:lvlJc w:val="left"/>
      <w:pPr>
        <w:ind w:left="6688" w:hanging="481"/>
      </w:pPr>
      <w:rPr>
        <w:rFonts w:hint="default"/>
        <w:lang w:val="zh-CN" w:eastAsia="zh-CN" w:bidi="zh-CN"/>
      </w:rPr>
    </w:lvl>
    <w:lvl w:ilvl="8">
      <w:start w:val="0"/>
      <w:numFmt w:val="bullet"/>
      <w:lvlText w:val="•"/>
      <w:lvlJc w:val="left"/>
      <w:pPr>
        <w:ind w:left="7420" w:hanging="481"/>
      </w:pPr>
      <w:rPr>
        <w:rFonts w:hint="default"/>
        <w:lang w:val="zh-CN" w:eastAsia="zh-CN" w:bidi="zh-CN"/>
      </w:rPr>
    </w:lvl>
  </w:abstractNum>
  <w:abstractNum w:abstractNumId="88">
    <w:multiLevelType w:val="hybridMultilevel"/>
    <w:lvl w:ilvl="0">
      <w:start w:val="1"/>
      <w:numFmt w:val="decimal"/>
      <w:lvlText w:val="%1）"/>
      <w:lvlJc w:val="left"/>
      <w:pPr>
        <w:ind w:left="1592" w:hanging="365"/>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328" w:hanging="365"/>
      </w:pPr>
      <w:rPr>
        <w:rFonts w:hint="default"/>
        <w:lang w:val="zh-CN" w:eastAsia="zh-CN" w:bidi="zh-CN"/>
      </w:rPr>
    </w:lvl>
    <w:lvl w:ilvl="2">
      <w:start w:val="0"/>
      <w:numFmt w:val="bullet"/>
      <w:lvlText w:val="•"/>
      <w:lvlJc w:val="left"/>
      <w:pPr>
        <w:ind w:left="3057" w:hanging="365"/>
      </w:pPr>
      <w:rPr>
        <w:rFonts w:hint="default"/>
        <w:lang w:val="zh-CN" w:eastAsia="zh-CN" w:bidi="zh-CN"/>
      </w:rPr>
    </w:lvl>
    <w:lvl w:ilvl="3">
      <w:start w:val="0"/>
      <w:numFmt w:val="bullet"/>
      <w:lvlText w:val="•"/>
      <w:lvlJc w:val="left"/>
      <w:pPr>
        <w:ind w:left="3785" w:hanging="365"/>
      </w:pPr>
      <w:rPr>
        <w:rFonts w:hint="default"/>
        <w:lang w:val="zh-CN" w:eastAsia="zh-CN" w:bidi="zh-CN"/>
      </w:rPr>
    </w:lvl>
    <w:lvl w:ilvl="4">
      <w:start w:val="0"/>
      <w:numFmt w:val="bullet"/>
      <w:lvlText w:val="•"/>
      <w:lvlJc w:val="left"/>
      <w:pPr>
        <w:ind w:left="4514" w:hanging="365"/>
      </w:pPr>
      <w:rPr>
        <w:rFonts w:hint="default"/>
        <w:lang w:val="zh-CN" w:eastAsia="zh-CN" w:bidi="zh-CN"/>
      </w:rPr>
    </w:lvl>
    <w:lvl w:ilvl="5">
      <w:start w:val="0"/>
      <w:numFmt w:val="bullet"/>
      <w:lvlText w:val="•"/>
      <w:lvlJc w:val="left"/>
      <w:pPr>
        <w:ind w:left="5243" w:hanging="365"/>
      </w:pPr>
      <w:rPr>
        <w:rFonts w:hint="default"/>
        <w:lang w:val="zh-CN" w:eastAsia="zh-CN" w:bidi="zh-CN"/>
      </w:rPr>
    </w:lvl>
    <w:lvl w:ilvl="6">
      <w:start w:val="0"/>
      <w:numFmt w:val="bullet"/>
      <w:lvlText w:val="•"/>
      <w:lvlJc w:val="left"/>
      <w:pPr>
        <w:ind w:left="5971" w:hanging="365"/>
      </w:pPr>
      <w:rPr>
        <w:rFonts w:hint="default"/>
        <w:lang w:val="zh-CN" w:eastAsia="zh-CN" w:bidi="zh-CN"/>
      </w:rPr>
    </w:lvl>
    <w:lvl w:ilvl="7">
      <w:start w:val="0"/>
      <w:numFmt w:val="bullet"/>
      <w:lvlText w:val="•"/>
      <w:lvlJc w:val="left"/>
      <w:pPr>
        <w:ind w:left="6700" w:hanging="365"/>
      </w:pPr>
      <w:rPr>
        <w:rFonts w:hint="default"/>
        <w:lang w:val="zh-CN" w:eastAsia="zh-CN" w:bidi="zh-CN"/>
      </w:rPr>
    </w:lvl>
    <w:lvl w:ilvl="8">
      <w:start w:val="0"/>
      <w:numFmt w:val="bullet"/>
      <w:lvlText w:val="•"/>
      <w:lvlJc w:val="left"/>
      <w:pPr>
        <w:ind w:left="7428" w:hanging="365"/>
      </w:pPr>
      <w:rPr>
        <w:rFonts w:hint="default"/>
        <w:lang w:val="zh-CN" w:eastAsia="zh-CN" w:bidi="zh-CN"/>
      </w:rPr>
    </w:lvl>
  </w:abstractNum>
  <w:abstractNum w:abstractNumId="8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86">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680" w:hanging="420"/>
      </w:pPr>
      <w:rPr>
        <w:rFonts w:hint="default" w:ascii="Wingdings" w:hAnsi="Wingdings" w:eastAsia="Wingdings" w:cs="Wingdings"/>
        <w:w w:val="100"/>
        <w:sz w:val="16"/>
        <w:szCs w:val="16"/>
        <w:lang w:val="zh-CN" w:eastAsia="zh-CN" w:bidi="zh-CN"/>
      </w:rPr>
    </w:lvl>
    <w:lvl w:ilvl="2">
      <w:start w:val="0"/>
      <w:numFmt w:val="bullet"/>
      <w:lvlText w:val="•"/>
      <w:lvlJc w:val="left"/>
      <w:pPr>
        <w:ind w:left="2480" w:hanging="420"/>
      </w:pPr>
      <w:rPr>
        <w:rFonts w:hint="default"/>
        <w:lang w:val="zh-CN" w:eastAsia="zh-CN" w:bidi="zh-CN"/>
      </w:rPr>
    </w:lvl>
    <w:lvl w:ilvl="3">
      <w:start w:val="0"/>
      <w:numFmt w:val="bullet"/>
      <w:lvlText w:val="•"/>
      <w:lvlJc w:val="left"/>
      <w:pPr>
        <w:ind w:left="3281" w:hanging="420"/>
      </w:pPr>
      <w:rPr>
        <w:rFonts w:hint="default"/>
        <w:lang w:val="zh-CN" w:eastAsia="zh-CN" w:bidi="zh-CN"/>
      </w:rPr>
    </w:lvl>
    <w:lvl w:ilvl="4">
      <w:start w:val="0"/>
      <w:numFmt w:val="bullet"/>
      <w:lvlText w:val="•"/>
      <w:lvlJc w:val="left"/>
      <w:pPr>
        <w:ind w:left="4082"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683" w:hanging="420"/>
      </w:pPr>
      <w:rPr>
        <w:rFonts w:hint="default"/>
        <w:lang w:val="zh-CN" w:eastAsia="zh-CN" w:bidi="zh-CN"/>
      </w:rPr>
    </w:lvl>
    <w:lvl w:ilvl="7">
      <w:start w:val="0"/>
      <w:numFmt w:val="bullet"/>
      <w:lvlText w:val="•"/>
      <w:lvlJc w:val="left"/>
      <w:pPr>
        <w:ind w:left="6484" w:hanging="420"/>
      </w:pPr>
      <w:rPr>
        <w:rFonts w:hint="default"/>
        <w:lang w:val="zh-CN" w:eastAsia="zh-CN" w:bidi="zh-CN"/>
      </w:rPr>
    </w:lvl>
    <w:lvl w:ilvl="8">
      <w:start w:val="0"/>
      <w:numFmt w:val="bullet"/>
      <w:lvlText w:val="•"/>
      <w:lvlJc w:val="left"/>
      <w:pPr>
        <w:ind w:left="7284" w:hanging="420"/>
      </w:pPr>
      <w:rPr>
        <w:rFonts w:hint="default"/>
        <w:lang w:val="zh-CN" w:eastAsia="zh-CN" w:bidi="zh-CN"/>
      </w:rPr>
    </w:lvl>
  </w:abstractNum>
  <w:abstractNum w:abstractNumId="85">
    <w:multiLevelType w:val="hybridMultilevel"/>
    <w:lvl w:ilvl="0">
      <w:start w:val="1"/>
      <w:numFmt w:val="decimal"/>
      <w:lvlText w:val="（%1）"/>
      <w:lvlJc w:val="left"/>
      <w:pPr>
        <w:ind w:left="119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4">
    <w:multiLevelType w:val="hybridMultilevel"/>
    <w:lvl w:ilvl="0">
      <w:start w:val="1"/>
      <w:numFmt w:val="decimal"/>
      <w:lvlText w:val="%1."/>
      <w:lvlJc w:val="left"/>
      <w:pPr>
        <w:ind w:left="96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8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1">
    <w:multiLevelType w:val="hybridMultilevel"/>
    <w:lvl w:ilvl="0">
      <w:start w:val="1"/>
      <w:numFmt w:val="decimal"/>
      <w:lvlText w:val="%1."/>
      <w:lvlJc w:val="left"/>
      <w:pPr>
        <w:ind w:left="95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80">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9">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7">
    <w:multiLevelType w:val="hybridMultilevel"/>
    <w:lvl w:ilvl="0">
      <w:start w:val="1"/>
      <w:numFmt w:val="decimal"/>
      <w:lvlText w:val="%1."/>
      <w:lvlJc w:val="left"/>
      <w:pPr>
        <w:ind w:left="95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76">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7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960" w:hanging="361"/>
        <w:jc w:val="left"/>
      </w:pPr>
      <w:rPr>
        <w:rFonts w:hint="default" w:ascii="宋体" w:hAnsi="宋体" w:eastAsia="宋体" w:cs="宋体"/>
        <w:spacing w:val="-48"/>
        <w:w w:val="100"/>
        <w:sz w:val="22"/>
        <w:szCs w:val="22"/>
        <w:lang w:val="zh-CN" w:eastAsia="zh-CN" w:bidi="zh-CN"/>
      </w:rPr>
    </w:lvl>
    <w:lvl w:ilvl="2">
      <w:start w:val="0"/>
      <w:numFmt w:val="bullet"/>
      <w:lvlText w:val="•"/>
      <w:lvlJc w:val="left"/>
      <w:pPr>
        <w:ind w:left="2054" w:hanging="361"/>
      </w:pPr>
      <w:rPr>
        <w:rFonts w:hint="default"/>
        <w:lang w:val="zh-CN" w:eastAsia="zh-CN" w:bidi="zh-CN"/>
      </w:rPr>
    </w:lvl>
    <w:lvl w:ilvl="3">
      <w:start w:val="0"/>
      <w:numFmt w:val="bullet"/>
      <w:lvlText w:val="•"/>
      <w:lvlJc w:val="left"/>
      <w:pPr>
        <w:ind w:left="2908" w:hanging="361"/>
      </w:pPr>
      <w:rPr>
        <w:rFonts w:hint="default"/>
        <w:lang w:val="zh-CN" w:eastAsia="zh-CN" w:bidi="zh-CN"/>
      </w:rPr>
    </w:lvl>
    <w:lvl w:ilvl="4">
      <w:start w:val="0"/>
      <w:numFmt w:val="bullet"/>
      <w:lvlText w:val="•"/>
      <w:lvlJc w:val="left"/>
      <w:pPr>
        <w:ind w:left="3762" w:hanging="361"/>
      </w:pPr>
      <w:rPr>
        <w:rFonts w:hint="default"/>
        <w:lang w:val="zh-CN" w:eastAsia="zh-CN" w:bidi="zh-CN"/>
      </w:rPr>
    </w:lvl>
    <w:lvl w:ilvl="5">
      <w:start w:val="0"/>
      <w:numFmt w:val="bullet"/>
      <w:lvlText w:val="•"/>
      <w:lvlJc w:val="left"/>
      <w:pPr>
        <w:ind w:left="4616" w:hanging="361"/>
      </w:pPr>
      <w:rPr>
        <w:rFonts w:hint="default"/>
        <w:lang w:val="zh-CN" w:eastAsia="zh-CN" w:bidi="zh-CN"/>
      </w:rPr>
    </w:lvl>
    <w:lvl w:ilvl="6">
      <w:start w:val="0"/>
      <w:numFmt w:val="bullet"/>
      <w:lvlText w:val="•"/>
      <w:lvlJc w:val="left"/>
      <w:pPr>
        <w:ind w:left="5470" w:hanging="361"/>
      </w:pPr>
      <w:rPr>
        <w:rFonts w:hint="default"/>
        <w:lang w:val="zh-CN" w:eastAsia="zh-CN" w:bidi="zh-CN"/>
      </w:rPr>
    </w:lvl>
    <w:lvl w:ilvl="7">
      <w:start w:val="0"/>
      <w:numFmt w:val="bullet"/>
      <w:lvlText w:val="•"/>
      <w:lvlJc w:val="left"/>
      <w:pPr>
        <w:ind w:left="6324" w:hanging="361"/>
      </w:pPr>
      <w:rPr>
        <w:rFonts w:hint="default"/>
        <w:lang w:val="zh-CN" w:eastAsia="zh-CN" w:bidi="zh-CN"/>
      </w:rPr>
    </w:lvl>
    <w:lvl w:ilvl="8">
      <w:start w:val="0"/>
      <w:numFmt w:val="bullet"/>
      <w:lvlText w:val="•"/>
      <w:lvlJc w:val="left"/>
      <w:pPr>
        <w:ind w:left="7178" w:hanging="361"/>
      </w:pPr>
      <w:rPr>
        <w:rFonts w:hint="default"/>
        <w:lang w:val="zh-CN" w:eastAsia="zh-CN" w:bidi="zh-CN"/>
      </w:rPr>
    </w:lvl>
  </w:abstractNum>
  <w:abstractNum w:abstractNumId="7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321"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160" w:hanging="361"/>
      </w:pPr>
      <w:rPr>
        <w:rFonts w:hint="default"/>
        <w:lang w:val="zh-CN" w:eastAsia="zh-CN" w:bidi="zh-CN"/>
      </w:rPr>
    </w:lvl>
    <w:lvl w:ilvl="3">
      <w:start w:val="0"/>
      <w:numFmt w:val="bullet"/>
      <w:lvlText w:val="•"/>
      <w:lvlJc w:val="left"/>
      <w:pPr>
        <w:ind w:left="3001" w:hanging="361"/>
      </w:pPr>
      <w:rPr>
        <w:rFonts w:hint="default"/>
        <w:lang w:val="zh-CN" w:eastAsia="zh-CN" w:bidi="zh-CN"/>
      </w:rPr>
    </w:lvl>
    <w:lvl w:ilvl="4">
      <w:start w:val="0"/>
      <w:numFmt w:val="bullet"/>
      <w:lvlText w:val="•"/>
      <w:lvlJc w:val="left"/>
      <w:pPr>
        <w:ind w:left="3842" w:hanging="361"/>
      </w:pPr>
      <w:rPr>
        <w:rFonts w:hint="default"/>
        <w:lang w:val="zh-CN" w:eastAsia="zh-CN" w:bidi="zh-CN"/>
      </w:rPr>
    </w:lvl>
    <w:lvl w:ilvl="5">
      <w:start w:val="0"/>
      <w:numFmt w:val="bullet"/>
      <w:lvlText w:val="•"/>
      <w:lvlJc w:val="left"/>
      <w:pPr>
        <w:ind w:left="4682" w:hanging="361"/>
      </w:pPr>
      <w:rPr>
        <w:rFonts w:hint="default"/>
        <w:lang w:val="zh-CN" w:eastAsia="zh-CN" w:bidi="zh-CN"/>
      </w:rPr>
    </w:lvl>
    <w:lvl w:ilvl="6">
      <w:start w:val="0"/>
      <w:numFmt w:val="bullet"/>
      <w:lvlText w:val="•"/>
      <w:lvlJc w:val="left"/>
      <w:pPr>
        <w:ind w:left="5523" w:hanging="361"/>
      </w:pPr>
      <w:rPr>
        <w:rFonts w:hint="default"/>
        <w:lang w:val="zh-CN" w:eastAsia="zh-CN" w:bidi="zh-CN"/>
      </w:rPr>
    </w:lvl>
    <w:lvl w:ilvl="7">
      <w:start w:val="0"/>
      <w:numFmt w:val="bullet"/>
      <w:lvlText w:val="•"/>
      <w:lvlJc w:val="left"/>
      <w:pPr>
        <w:ind w:left="636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73">
    <w:multiLevelType w:val="hybridMultilevel"/>
    <w:lvl w:ilvl="0">
      <w:start w:val="1"/>
      <w:numFmt w:val="decimal"/>
      <w:lvlText w:val="%1）"/>
      <w:lvlJc w:val="left"/>
      <w:pPr>
        <w:ind w:left="1321"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076" w:hanging="361"/>
      </w:pPr>
      <w:rPr>
        <w:rFonts w:hint="default"/>
        <w:lang w:val="zh-CN" w:eastAsia="zh-CN" w:bidi="zh-CN"/>
      </w:rPr>
    </w:lvl>
    <w:lvl w:ilvl="2">
      <w:start w:val="0"/>
      <w:numFmt w:val="bullet"/>
      <w:lvlText w:val="•"/>
      <w:lvlJc w:val="left"/>
      <w:pPr>
        <w:ind w:left="2833" w:hanging="361"/>
      </w:pPr>
      <w:rPr>
        <w:rFonts w:hint="default"/>
        <w:lang w:val="zh-CN" w:eastAsia="zh-CN" w:bidi="zh-CN"/>
      </w:rPr>
    </w:lvl>
    <w:lvl w:ilvl="3">
      <w:start w:val="0"/>
      <w:numFmt w:val="bullet"/>
      <w:lvlText w:val="•"/>
      <w:lvlJc w:val="left"/>
      <w:pPr>
        <w:ind w:left="3589" w:hanging="361"/>
      </w:pPr>
      <w:rPr>
        <w:rFonts w:hint="default"/>
        <w:lang w:val="zh-CN" w:eastAsia="zh-CN" w:bidi="zh-CN"/>
      </w:rPr>
    </w:lvl>
    <w:lvl w:ilvl="4">
      <w:start w:val="0"/>
      <w:numFmt w:val="bullet"/>
      <w:lvlText w:val="•"/>
      <w:lvlJc w:val="left"/>
      <w:pPr>
        <w:ind w:left="4346" w:hanging="361"/>
      </w:pPr>
      <w:rPr>
        <w:rFonts w:hint="default"/>
        <w:lang w:val="zh-CN" w:eastAsia="zh-CN" w:bidi="zh-CN"/>
      </w:rPr>
    </w:lvl>
    <w:lvl w:ilvl="5">
      <w:start w:val="0"/>
      <w:numFmt w:val="bullet"/>
      <w:lvlText w:val="•"/>
      <w:lvlJc w:val="left"/>
      <w:pPr>
        <w:ind w:left="5103" w:hanging="361"/>
      </w:pPr>
      <w:rPr>
        <w:rFonts w:hint="default"/>
        <w:lang w:val="zh-CN" w:eastAsia="zh-CN" w:bidi="zh-CN"/>
      </w:rPr>
    </w:lvl>
    <w:lvl w:ilvl="6">
      <w:start w:val="0"/>
      <w:numFmt w:val="bullet"/>
      <w:lvlText w:val="•"/>
      <w:lvlJc w:val="left"/>
      <w:pPr>
        <w:ind w:left="5859" w:hanging="361"/>
      </w:pPr>
      <w:rPr>
        <w:rFonts w:hint="default"/>
        <w:lang w:val="zh-CN" w:eastAsia="zh-CN" w:bidi="zh-CN"/>
      </w:rPr>
    </w:lvl>
    <w:lvl w:ilvl="7">
      <w:start w:val="0"/>
      <w:numFmt w:val="bullet"/>
      <w:lvlText w:val="•"/>
      <w:lvlJc w:val="left"/>
      <w:pPr>
        <w:ind w:left="6616" w:hanging="361"/>
      </w:pPr>
      <w:rPr>
        <w:rFonts w:hint="default"/>
        <w:lang w:val="zh-CN" w:eastAsia="zh-CN" w:bidi="zh-CN"/>
      </w:rPr>
    </w:lvl>
    <w:lvl w:ilvl="8">
      <w:start w:val="0"/>
      <w:numFmt w:val="bullet"/>
      <w:lvlText w:val="•"/>
      <w:lvlJc w:val="left"/>
      <w:pPr>
        <w:ind w:left="7372" w:hanging="361"/>
      </w:pPr>
      <w:rPr>
        <w:rFonts w:hint="default"/>
        <w:lang w:val="zh-CN" w:eastAsia="zh-CN" w:bidi="zh-CN"/>
      </w:rPr>
    </w:lvl>
  </w:abstractNum>
  <w:abstractNum w:abstractNumId="7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960" w:hanging="361"/>
        <w:jc w:val="left"/>
      </w:pPr>
      <w:rPr>
        <w:rFonts w:hint="default" w:ascii="宋体" w:hAnsi="宋体" w:eastAsia="宋体" w:cs="宋体"/>
        <w:spacing w:val="-95"/>
        <w:w w:val="100"/>
        <w:sz w:val="22"/>
        <w:szCs w:val="22"/>
        <w:lang w:val="zh-CN" w:eastAsia="zh-CN" w:bidi="zh-CN"/>
      </w:rPr>
    </w:lvl>
    <w:lvl w:ilvl="2">
      <w:start w:val="0"/>
      <w:numFmt w:val="bullet"/>
      <w:lvlText w:val="•"/>
      <w:lvlJc w:val="left"/>
      <w:pPr>
        <w:ind w:left="2054" w:hanging="361"/>
      </w:pPr>
      <w:rPr>
        <w:rFonts w:hint="default"/>
        <w:lang w:val="zh-CN" w:eastAsia="zh-CN" w:bidi="zh-CN"/>
      </w:rPr>
    </w:lvl>
    <w:lvl w:ilvl="3">
      <w:start w:val="0"/>
      <w:numFmt w:val="bullet"/>
      <w:lvlText w:val="•"/>
      <w:lvlJc w:val="left"/>
      <w:pPr>
        <w:ind w:left="2908" w:hanging="361"/>
      </w:pPr>
      <w:rPr>
        <w:rFonts w:hint="default"/>
        <w:lang w:val="zh-CN" w:eastAsia="zh-CN" w:bidi="zh-CN"/>
      </w:rPr>
    </w:lvl>
    <w:lvl w:ilvl="4">
      <w:start w:val="0"/>
      <w:numFmt w:val="bullet"/>
      <w:lvlText w:val="•"/>
      <w:lvlJc w:val="left"/>
      <w:pPr>
        <w:ind w:left="3762" w:hanging="361"/>
      </w:pPr>
      <w:rPr>
        <w:rFonts w:hint="default"/>
        <w:lang w:val="zh-CN" w:eastAsia="zh-CN" w:bidi="zh-CN"/>
      </w:rPr>
    </w:lvl>
    <w:lvl w:ilvl="5">
      <w:start w:val="0"/>
      <w:numFmt w:val="bullet"/>
      <w:lvlText w:val="•"/>
      <w:lvlJc w:val="left"/>
      <w:pPr>
        <w:ind w:left="4616" w:hanging="361"/>
      </w:pPr>
      <w:rPr>
        <w:rFonts w:hint="default"/>
        <w:lang w:val="zh-CN" w:eastAsia="zh-CN" w:bidi="zh-CN"/>
      </w:rPr>
    </w:lvl>
    <w:lvl w:ilvl="6">
      <w:start w:val="0"/>
      <w:numFmt w:val="bullet"/>
      <w:lvlText w:val="•"/>
      <w:lvlJc w:val="left"/>
      <w:pPr>
        <w:ind w:left="5470" w:hanging="361"/>
      </w:pPr>
      <w:rPr>
        <w:rFonts w:hint="default"/>
        <w:lang w:val="zh-CN" w:eastAsia="zh-CN" w:bidi="zh-CN"/>
      </w:rPr>
    </w:lvl>
    <w:lvl w:ilvl="7">
      <w:start w:val="0"/>
      <w:numFmt w:val="bullet"/>
      <w:lvlText w:val="•"/>
      <w:lvlJc w:val="left"/>
      <w:pPr>
        <w:ind w:left="6324" w:hanging="361"/>
      </w:pPr>
      <w:rPr>
        <w:rFonts w:hint="default"/>
        <w:lang w:val="zh-CN" w:eastAsia="zh-CN" w:bidi="zh-CN"/>
      </w:rPr>
    </w:lvl>
    <w:lvl w:ilvl="8">
      <w:start w:val="0"/>
      <w:numFmt w:val="bullet"/>
      <w:lvlText w:val="•"/>
      <w:lvlJc w:val="left"/>
      <w:pPr>
        <w:ind w:left="7178" w:hanging="361"/>
      </w:pPr>
      <w:rPr>
        <w:rFonts w:hint="default"/>
        <w:lang w:val="zh-CN" w:eastAsia="zh-CN" w:bidi="zh-CN"/>
      </w:rPr>
    </w:lvl>
  </w:abstractNum>
  <w:abstractNum w:abstractNumId="7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321"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160" w:hanging="361"/>
      </w:pPr>
      <w:rPr>
        <w:rFonts w:hint="default"/>
        <w:lang w:val="zh-CN" w:eastAsia="zh-CN" w:bidi="zh-CN"/>
      </w:rPr>
    </w:lvl>
    <w:lvl w:ilvl="3">
      <w:start w:val="0"/>
      <w:numFmt w:val="bullet"/>
      <w:lvlText w:val="•"/>
      <w:lvlJc w:val="left"/>
      <w:pPr>
        <w:ind w:left="3001" w:hanging="361"/>
      </w:pPr>
      <w:rPr>
        <w:rFonts w:hint="default"/>
        <w:lang w:val="zh-CN" w:eastAsia="zh-CN" w:bidi="zh-CN"/>
      </w:rPr>
    </w:lvl>
    <w:lvl w:ilvl="4">
      <w:start w:val="0"/>
      <w:numFmt w:val="bullet"/>
      <w:lvlText w:val="•"/>
      <w:lvlJc w:val="left"/>
      <w:pPr>
        <w:ind w:left="3842" w:hanging="361"/>
      </w:pPr>
      <w:rPr>
        <w:rFonts w:hint="default"/>
        <w:lang w:val="zh-CN" w:eastAsia="zh-CN" w:bidi="zh-CN"/>
      </w:rPr>
    </w:lvl>
    <w:lvl w:ilvl="5">
      <w:start w:val="0"/>
      <w:numFmt w:val="bullet"/>
      <w:lvlText w:val="•"/>
      <w:lvlJc w:val="left"/>
      <w:pPr>
        <w:ind w:left="4682" w:hanging="361"/>
      </w:pPr>
      <w:rPr>
        <w:rFonts w:hint="default"/>
        <w:lang w:val="zh-CN" w:eastAsia="zh-CN" w:bidi="zh-CN"/>
      </w:rPr>
    </w:lvl>
    <w:lvl w:ilvl="6">
      <w:start w:val="0"/>
      <w:numFmt w:val="bullet"/>
      <w:lvlText w:val="•"/>
      <w:lvlJc w:val="left"/>
      <w:pPr>
        <w:ind w:left="5523" w:hanging="361"/>
      </w:pPr>
      <w:rPr>
        <w:rFonts w:hint="default"/>
        <w:lang w:val="zh-CN" w:eastAsia="zh-CN" w:bidi="zh-CN"/>
      </w:rPr>
    </w:lvl>
    <w:lvl w:ilvl="7">
      <w:start w:val="0"/>
      <w:numFmt w:val="bullet"/>
      <w:lvlText w:val="•"/>
      <w:lvlJc w:val="left"/>
      <w:pPr>
        <w:ind w:left="636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7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1"/>
      <w:numFmt w:val="decimal"/>
      <w:lvlText w:val="%2）"/>
      <w:lvlJc w:val="left"/>
      <w:pPr>
        <w:ind w:left="1321"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160" w:hanging="361"/>
      </w:pPr>
      <w:rPr>
        <w:rFonts w:hint="default"/>
        <w:lang w:val="zh-CN" w:eastAsia="zh-CN" w:bidi="zh-CN"/>
      </w:rPr>
    </w:lvl>
    <w:lvl w:ilvl="3">
      <w:start w:val="0"/>
      <w:numFmt w:val="bullet"/>
      <w:lvlText w:val="•"/>
      <w:lvlJc w:val="left"/>
      <w:pPr>
        <w:ind w:left="3001" w:hanging="361"/>
      </w:pPr>
      <w:rPr>
        <w:rFonts w:hint="default"/>
        <w:lang w:val="zh-CN" w:eastAsia="zh-CN" w:bidi="zh-CN"/>
      </w:rPr>
    </w:lvl>
    <w:lvl w:ilvl="4">
      <w:start w:val="0"/>
      <w:numFmt w:val="bullet"/>
      <w:lvlText w:val="•"/>
      <w:lvlJc w:val="left"/>
      <w:pPr>
        <w:ind w:left="3842" w:hanging="361"/>
      </w:pPr>
      <w:rPr>
        <w:rFonts w:hint="default"/>
        <w:lang w:val="zh-CN" w:eastAsia="zh-CN" w:bidi="zh-CN"/>
      </w:rPr>
    </w:lvl>
    <w:lvl w:ilvl="5">
      <w:start w:val="0"/>
      <w:numFmt w:val="bullet"/>
      <w:lvlText w:val="•"/>
      <w:lvlJc w:val="left"/>
      <w:pPr>
        <w:ind w:left="4682" w:hanging="361"/>
      </w:pPr>
      <w:rPr>
        <w:rFonts w:hint="default"/>
        <w:lang w:val="zh-CN" w:eastAsia="zh-CN" w:bidi="zh-CN"/>
      </w:rPr>
    </w:lvl>
    <w:lvl w:ilvl="6">
      <w:start w:val="0"/>
      <w:numFmt w:val="bullet"/>
      <w:lvlText w:val="•"/>
      <w:lvlJc w:val="left"/>
      <w:pPr>
        <w:ind w:left="5523" w:hanging="361"/>
      </w:pPr>
      <w:rPr>
        <w:rFonts w:hint="default"/>
        <w:lang w:val="zh-CN" w:eastAsia="zh-CN" w:bidi="zh-CN"/>
      </w:rPr>
    </w:lvl>
    <w:lvl w:ilvl="7">
      <w:start w:val="0"/>
      <w:numFmt w:val="bullet"/>
      <w:lvlText w:val="•"/>
      <w:lvlJc w:val="left"/>
      <w:pPr>
        <w:ind w:left="6364" w:hanging="361"/>
      </w:pPr>
      <w:rPr>
        <w:rFonts w:hint="default"/>
        <w:lang w:val="zh-CN" w:eastAsia="zh-CN" w:bidi="zh-CN"/>
      </w:rPr>
    </w:lvl>
    <w:lvl w:ilvl="8">
      <w:start w:val="0"/>
      <w:numFmt w:val="bullet"/>
      <w:lvlText w:val="•"/>
      <w:lvlJc w:val="left"/>
      <w:pPr>
        <w:ind w:left="7204" w:hanging="361"/>
      </w:pPr>
      <w:rPr>
        <w:rFonts w:hint="default"/>
        <w:lang w:val="zh-CN" w:eastAsia="zh-CN" w:bidi="zh-CN"/>
      </w:rPr>
    </w:lvl>
  </w:abstractNum>
  <w:abstractNum w:abstractNumId="69">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6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7">
    <w:multiLevelType w:val="hybridMultilevel"/>
    <w:lvl w:ilvl="0">
      <w:start w:val="1"/>
      <w:numFmt w:val="decimal"/>
      <w:lvlText w:val="（%1）"/>
      <w:lvlJc w:val="left"/>
      <w:pPr>
        <w:ind w:left="114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14" w:hanging="601"/>
      </w:pPr>
      <w:rPr>
        <w:rFonts w:hint="default"/>
        <w:lang w:val="zh-CN" w:eastAsia="zh-CN" w:bidi="zh-CN"/>
      </w:rPr>
    </w:lvl>
    <w:lvl w:ilvl="2">
      <w:start w:val="0"/>
      <w:numFmt w:val="bullet"/>
      <w:lvlText w:val="•"/>
      <w:lvlJc w:val="left"/>
      <w:pPr>
        <w:ind w:left="2689" w:hanging="601"/>
      </w:pPr>
      <w:rPr>
        <w:rFonts w:hint="default"/>
        <w:lang w:val="zh-CN" w:eastAsia="zh-CN" w:bidi="zh-CN"/>
      </w:rPr>
    </w:lvl>
    <w:lvl w:ilvl="3">
      <w:start w:val="0"/>
      <w:numFmt w:val="bullet"/>
      <w:lvlText w:val="•"/>
      <w:lvlJc w:val="left"/>
      <w:pPr>
        <w:ind w:left="3463" w:hanging="601"/>
      </w:pPr>
      <w:rPr>
        <w:rFonts w:hint="default"/>
        <w:lang w:val="zh-CN" w:eastAsia="zh-CN" w:bidi="zh-CN"/>
      </w:rPr>
    </w:lvl>
    <w:lvl w:ilvl="4">
      <w:start w:val="0"/>
      <w:numFmt w:val="bullet"/>
      <w:lvlText w:val="•"/>
      <w:lvlJc w:val="left"/>
      <w:pPr>
        <w:ind w:left="4238" w:hanging="601"/>
      </w:pPr>
      <w:rPr>
        <w:rFonts w:hint="default"/>
        <w:lang w:val="zh-CN" w:eastAsia="zh-CN" w:bidi="zh-CN"/>
      </w:rPr>
    </w:lvl>
    <w:lvl w:ilvl="5">
      <w:start w:val="0"/>
      <w:numFmt w:val="bullet"/>
      <w:lvlText w:val="•"/>
      <w:lvlJc w:val="left"/>
      <w:pPr>
        <w:ind w:left="5013" w:hanging="601"/>
      </w:pPr>
      <w:rPr>
        <w:rFonts w:hint="default"/>
        <w:lang w:val="zh-CN" w:eastAsia="zh-CN" w:bidi="zh-CN"/>
      </w:rPr>
    </w:lvl>
    <w:lvl w:ilvl="6">
      <w:start w:val="0"/>
      <w:numFmt w:val="bullet"/>
      <w:lvlText w:val="•"/>
      <w:lvlJc w:val="left"/>
      <w:pPr>
        <w:ind w:left="5787" w:hanging="601"/>
      </w:pPr>
      <w:rPr>
        <w:rFonts w:hint="default"/>
        <w:lang w:val="zh-CN" w:eastAsia="zh-CN" w:bidi="zh-CN"/>
      </w:rPr>
    </w:lvl>
    <w:lvl w:ilvl="7">
      <w:start w:val="0"/>
      <w:numFmt w:val="bullet"/>
      <w:lvlText w:val="•"/>
      <w:lvlJc w:val="left"/>
      <w:pPr>
        <w:ind w:left="6562" w:hanging="601"/>
      </w:pPr>
      <w:rPr>
        <w:rFonts w:hint="default"/>
        <w:lang w:val="zh-CN" w:eastAsia="zh-CN" w:bidi="zh-CN"/>
      </w:rPr>
    </w:lvl>
    <w:lvl w:ilvl="8">
      <w:start w:val="0"/>
      <w:numFmt w:val="bullet"/>
      <w:lvlText w:val="•"/>
      <w:lvlJc w:val="left"/>
      <w:pPr>
        <w:ind w:left="7336" w:hanging="601"/>
      </w:pPr>
      <w:rPr>
        <w:rFonts w:hint="default"/>
        <w:lang w:val="zh-CN" w:eastAsia="zh-CN" w:bidi="zh-CN"/>
      </w:rPr>
    </w:lvl>
  </w:abstractNum>
  <w:abstractNum w:abstractNumId="66">
    <w:multiLevelType w:val="hybridMultilevel"/>
    <w:lvl w:ilvl="0">
      <w:start w:val="1"/>
      <w:numFmt w:val="decimal"/>
      <w:lvlText w:val="(%1)"/>
      <w:lvlJc w:val="left"/>
      <w:pPr>
        <w:ind w:left="96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545" w:hanging="420"/>
      </w:pPr>
      <w:rPr>
        <w:rFonts w:hint="default"/>
        <w:lang w:val="zh-CN" w:eastAsia="zh-CN" w:bidi="zh-CN"/>
      </w:rPr>
    </w:lvl>
    <w:lvl w:ilvl="3">
      <w:start w:val="0"/>
      <w:numFmt w:val="bullet"/>
      <w:lvlText w:val="•"/>
      <w:lvlJc w:val="left"/>
      <w:pPr>
        <w:ind w:left="3337" w:hanging="420"/>
      </w:pPr>
      <w:rPr>
        <w:rFonts w:hint="default"/>
        <w:lang w:val="zh-CN" w:eastAsia="zh-CN" w:bidi="zh-CN"/>
      </w:rPr>
    </w:lvl>
    <w:lvl w:ilvl="4">
      <w:start w:val="0"/>
      <w:numFmt w:val="bullet"/>
      <w:lvlText w:val="•"/>
      <w:lvlJc w:val="left"/>
      <w:pPr>
        <w:ind w:left="4130" w:hanging="420"/>
      </w:pPr>
      <w:rPr>
        <w:rFonts w:hint="default"/>
        <w:lang w:val="zh-CN" w:eastAsia="zh-CN" w:bidi="zh-CN"/>
      </w:rPr>
    </w:lvl>
    <w:lvl w:ilvl="5">
      <w:start w:val="0"/>
      <w:numFmt w:val="bullet"/>
      <w:lvlText w:val="•"/>
      <w:lvlJc w:val="left"/>
      <w:pPr>
        <w:ind w:left="4923" w:hanging="420"/>
      </w:pPr>
      <w:rPr>
        <w:rFonts w:hint="default"/>
        <w:lang w:val="zh-CN" w:eastAsia="zh-CN" w:bidi="zh-CN"/>
      </w:rPr>
    </w:lvl>
    <w:lvl w:ilvl="6">
      <w:start w:val="0"/>
      <w:numFmt w:val="bullet"/>
      <w:lvlText w:val="•"/>
      <w:lvlJc w:val="left"/>
      <w:pPr>
        <w:ind w:left="571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00" w:hanging="420"/>
      </w:pPr>
      <w:rPr>
        <w:rFonts w:hint="default"/>
        <w:lang w:val="zh-CN" w:eastAsia="zh-CN" w:bidi="zh-CN"/>
      </w:rPr>
    </w:lvl>
  </w:abstractNum>
  <w:abstractNum w:abstractNumId="65">
    <w:multiLevelType w:val="hybridMultilevel"/>
    <w:lvl w:ilvl="0">
      <w:start w:val="1"/>
      <w:numFmt w:val="decimal"/>
      <w:lvlText w:val="(%1)"/>
      <w:lvlJc w:val="left"/>
      <w:pPr>
        <w:ind w:left="96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545" w:hanging="420"/>
      </w:pPr>
      <w:rPr>
        <w:rFonts w:hint="default"/>
        <w:lang w:val="zh-CN" w:eastAsia="zh-CN" w:bidi="zh-CN"/>
      </w:rPr>
    </w:lvl>
    <w:lvl w:ilvl="3">
      <w:start w:val="0"/>
      <w:numFmt w:val="bullet"/>
      <w:lvlText w:val="•"/>
      <w:lvlJc w:val="left"/>
      <w:pPr>
        <w:ind w:left="3337" w:hanging="420"/>
      </w:pPr>
      <w:rPr>
        <w:rFonts w:hint="default"/>
        <w:lang w:val="zh-CN" w:eastAsia="zh-CN" w:bidi="zh-CN"/>
      </w:rPr>
    </w:lvl>
    <w:lvl w:ilvl="4">
      <w:start w:val="0"/>
      <w:numFmt w:val="bullet"/>
      <w:lvlText w:val="•"/>
      <w:lvlJc w:val="left"/>
      <w:pPr>
        <w:ind w:left="4130" w:hanging="420"/>
      </w:pPr>
      <w:rPr>
        <w:rFonts w:hint="default"/>
        <w:lang w:val="zh-CN" w:eastAsia="zh-CN" w:bidi="zh-CN"/>
      </w:rPr>
    </w:lvl>
    <w:lvl w:ilvl="5">
      <w:start w:val="0"/>
      <w:numFmt w:val="bullet"/>
      <w:lvlText w:val="•"/>
      <w:lvlJc w:val="left"/>
      <w:pPr>
        <w:ind w:left="4923" w:hanging="420"/>
      </w:pPr>
      <w:rPr>
        <w:rFonts w:hint="default"/>
        <w:lang w:val="zh-CN" w:eastAsia="zh-CN" w:bidi="zh-CN"/>
      </w:rPr>
    </w:lvl>
    <w:lvl w:ilvl="6">
      <w:start w:val="0"/>
      <w:numFmt w:val="bullet"/>
      <w:lvlText w:val="•"/>
      <w:lvlJc w:val="left"/>
      <w:pPr>
        <w:ind w:left="571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00" w:hanging="420"/>
      </w:pPr>
      <w:rPr>
        <w:rFonts w:hint="default"/>
        <w:lang w:val="zh-CN" w:eastAsia="zh-CN" w:bidi="zh-CN"/>
      </w:rPr>
    </w:lvl>
  </w:abstractNum>
  <w:abstractNum w:abstractNumId="64">
    <w:multiLevelType w:val="hybridMultilevel"/>
    <w:lvl w:ilvl="0">
      <w:start w:val="1"/>
      <w:numFmt w:val="decimal"/>
      <w:lvlText w:val="(%1)"/>
      <w:lvlJc w:val="left"/>
      <w:pPr>
        <w:ind w:left="96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545" w:hanging="420"/>
      </w:pPr>
      <w:rPr>
        <w:rFonts w:hint="default"/>
        <w:lang w:val="zh-CN" w:eastAsia="zh-CN" w:bidi="zh-CN"/>
      </w:rPr>
    </w:lvl>
    <w:lvl w:ilvl="3">
      <w:start w:val="0"/>
      <w:numFmt w:val="bullet"/>
      <w:lvlText w:val="•"/>
      <w:lvlJc w:val="left"/>
      <w:pPr>
        <w:ind w:left="3337" w:hanging="420"/>
      </w:pPr>
      <w:rPr>
        <w:rFonts w:hint="default"/>
        <w:lang w:val="zh-CN" w:eastAsia="zh-CN" w:bidi="zh-CN"/>
      </w:rPr>
    </w:lvl>
    <w:lvl w:ilvl="4">
      <w:start w:val="0"/>
      <w:numFmt w:val="bullet"/>
      <w:lvlText w:val="•"/>
      <w:lvlJc w:val="left"/>
      <w:pPr>
        <w:ind w:left="4130" w:hanging="420"/>
      </w:pPr>
      <w:rPr>
        <w:rFonts w:hint="default"/>
        <w:lang w:val="zh-CN" w:eastAsia="zh-CN" w:bidi="zh-CN"/>
      </w:rPr>
    </w:lvl>
    <w:lvl w:ilvl="5">
      <w:start w:val="0"/>
      <w:numFmt w:val="bullet"/>
      <w:lvlText w:val="•"/>
      <w:lvlJc w:val="left"/>
      <w:pPr>
        <w:ind w:left="4923" w:hanging="420"/>
      </w:pPr>
      <w:rPr>
        <w:rFonts w:hint="default"/>
        <w:lang w:val="zh-CN" w:eastAsia="zh-CN" w:bidi="zh-CN"/>
      </w:rPr>
    </w:lvl>
    <w:lvl w:ilvl="6">
      <w:start w:val="0"/>
      <w:numFmt w:val="bullet"/>
      <w:lvlText w:val="•"/>
      <w:lvlJc w:val="left"/>
      <w:pPr>
        <w:ind w:left="571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00" w:hanging="420"/>
      </w:pPr>
      <w:rPr>
        <w:rFonts w:hint="default"/>
        <w:lang w:val="zh-CN" w:eastAsia="zh-CN" w:bidi="zh-CN"/>
      </w:rPr>
    </w:lvl>
  </w:abstractNum>
  <w:abstractNum w:abstractNumId="63">
    <w:multiLevelType w:val="hybridMultilevel"/>
    <w:lvl w:ilvl="0">
      <w:start w:val="1"/>
      <w:numFmt w:val="decimal"/>
      <w:lvlText w:val="(%1)"/>
      <w:lvlJc w:val="left"/>
      <w:pPr>
        <w:ind w:left="96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545" w:hanging="420"/>
      </w:pPr>
      <w:rPr>
        <w:rFonts w:hint="default"/>
        <w:lang w:val="zh-CN" w:eastAsia="zh-CN" w:bidi="zh-CN"/>
      </w:rPr>
    </w:lvl>
    <w:lvl w:ilvl="3">
      <w:start w:val="0"/>
      <w:numFmt w:val="bullet"/>
      <w:lvlText w:val="•"/>
      <w:lvlJc w:val="left"/>
      <w:pPr>
        <w:ind w:left="3337" w:hanging="420"/>
      </w:pPr>
      <w:rPr>
        <w:rFonts w:hint="default"/>
        <w:lang w:val="zh-CN" w:eastAsia="zh-CN" w:bidi="zh-CN"/>
      </w:rPr>
    </w:lvl>
    <w:lvl w:ilvl="4">
      <w:start w:val="0"/>
      <w:numFmt w:val="bullet"/>
      <w:lvlText w:val="•"/>
      <w:lvlJc w:val="left"/>
      <w:pPr>
        <w:ind w:left="4130" w:hanging="420"/>
      </w:pPr>
      <w:rPr>
        <w:rFonts w:hint="default"/>
        <w:lang w:val="zh-CN" w:eastAsia="zh-CN" w:bidi="zh-CN"/>
      </w:rPr>
    </w:lvl>
    <w:lvl w:ilvl="5">
      <w:start w:val="0"/>
      <w:numFmt w:val="bullet"/>
      <w:lvlText w:val="•"/>
      <w:lvlJc w:val="left"/>
      <w:pPr>
        <w:ind w:left="4923" w:hanging="420"/>
      </w:pPr>
      <w:rPr>
        <w:rFonts w:hint="default"/>
        <w:lang w:val="zh-CN" w:eastAsia="zh-CN" w:bidi="zh-CN"/>
      </w:rPr>
    </w:lvl>
    <w:lvl w:ilvl="6">
      <w:start w:val="0"/>
      <w:numFmt w:val="bullet"/>
      <w:lvlText w:val="•"/>
      <w:lvlJc w:val="left"/>
      <w:pPr>
        <w:ind w:left="571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00" w:hanging="420"/>
      </w:pPr>
      <w:rPr>
        <w:rFonts w:hint="default"/>
        <w:lang w:val="zh-CN" w:eastAsia="zh-CN" w:bidi="zh-CN"/>
      </w:rPr>
    </w:lvl>
  </w:abstractNum>
  <w:abstractNum w:abstractNumId="62">
    <w:multiLevelType w:val="hybridMultilevel"/>
    <w:lvl w:ilvl="0">
      <w:start w:val="1"/>
      <w:numFmt w:val="decimal"/>
      <w:lvlText w:val="(%1)"/>
      <w:lvlJc w:val="left"/>
      <w:pPr>
        <w:ind w:left="12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996" w:hanging="420"/>
      </w:pPr>
      <w:rPr>
        <w:rFonts w:hint="default"/>
        <w:lang w:val="zh-CN" w:eastAsia="zh-CN" w:bidi="zh-CN"/>
      </w:rPr>
    </w:lvl>
    <w:lvl w:ilvl="2">
      <w:start w:val="0"/>
      <w:numFmt w:val="bullet"/>
      <w:lvlText w:val="•"/>
      <w:lvlJc w:val="left"/>
      <w:pPr>
        <w:ind w:left="1873" w:hanging="420"/>
      </w:pPr>
      <w:rPr>
        <w:rFonts w:hint="default"/>
        <w:lang w:val="zh-CN" w:eastAsia="zh-CN" w:bidi="zh-CN"/>
      </w:rPr>
    </w:lvl>
    <w:lvl w:ilvl="3">
      <w:start w:val="0"/>
      <w:numFmt w:val="bullet"/>
      <w:lvlText w:val="•"/>
      <w:lvlJc w:val="left"/>
      <w:pPr>
        <w:ind w:left="2749" w:hanging="420"/>
      </w:pPr>
      <w:rPr>
        <w:rFonts w:hint="default"/>
        <w:lang w:val="zh-CN" w:eastAsia="zh-CN" w:bidi="zh-CN"/>
      </w:rPr>
    </w:lvl>
    <w:lvl w:ilvl="4">
      <w:start w:val="0"/>
      <w:numFmt w:val="bullet"/>
      <w:lvlText w:val="•"/>
      <w:lvlJc w:val="left"/>
      <w:pPr>
        <w:ind w:left="3626" w:hanging="420"/>
      </w:pPr>
      <w:rPr>
        <w:rFonts w:hint="default"/>
        <w:lang w:val="zh-CN" w:eastAsia="zh-CN" w:bidi="zh-CN"/>
      </w:rPr>
    </w:lvl>
    <w:lvl w:ilvl="5">
      <w:start w:val="0"/>
      <w:numFmt w:val="bullet"/>
      <w:lvlText w:val="•"/>
      <w:lvlJc w:val="left"/>
      <w:pPr>
        <w:ind w:left="4503" w:hanging="420"/>
      </w:pPr>
      <w:rPr>
        <w:rFonts w:hint="default"/>
        <w:lang w:val="zh-CN" w:eastAsia="zh-CN" w:bidi="zh-CN"/>
      </w:rPr>
    </w:lvl>
    <w:lvl w:ilvl="6">
      <w:start w:val="0"/>
      <w:numFmt w:val="bullet"/>
      <w:lvlText w:val="•"/>
      <w:lvlJc w:val="left"/>
      <w:pPr>
        <w:ind w:left="5379" w:hanging="420"/>
      </w:pPr>
      <w:rPr>
        <w:rFonts w:hint="default"/>
        <w:lang w:val="zh-CN" w:eastAsia="zh-CN" w:bidi="zh-CN"/>
      </w:rPr>
    </w:lvl>
    <w:lvl w:ilvl="7">
      <w:start w:val="0"/>
      <w:numFmt w:val="bullet"/>
      <w:lvlText w:val="•"/>
      <w:lvlJc w:val="left"/>
      <w:pPr>
        <w:ind w:left="6256" w:hanging="420"/>
      </w:pPr>
      <w:rPr>
        <w:rFonts w:hint="default"/>
        <w:lang w:val="zh-CN" w:eastAsia="zh-CN" w:bidi="zh-CN"/>
      </w:rPr>
    </w:lvl>
    <w:lvl w:ilvl="8">
      <w:start w:val="0"/>
      <w:numFmt w:val="bullet"/>
      <w:lvlText w:val="•"/>
      <w:lvlJc w:val="left"/>
      <w:pPr>
        <w:ind w:left="7132" w:hanging="420"/>
      </w:pPr>
      <w:rPr>
        <w:rFonts w:hint="default"/>
        <w:lang w:val="zh-CN" w:eastAsia="zh-CN" w:bidi="zh-CN"/>
      </w:rPr>
    </w:lvl>
  </w:abstractNum>
  <w:abstractNum w:abstractNumId="61">
    <w:multiLevelType w:val="hybridMultilevel"/>
    <w:lvl w:ilvl="0">
      <w:start w:val="1"/>
      <w:numFmt w:val="decimal"/>
      <w:lvlText w:val="(%1)"/>
      <w:lvlJc w:val="left"/>
      <w:pPr>
        <w:ind w:left="960"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545" w:hanging="420"/>
      </w:pPr>
      <w:rPr>
        <w:rFonts w:hint="default"/>
        <w:lang w:val="zh-CN" w:eastAsia="zh-CN" w:bidi="zh-CN"/>
      </w:rPr>
    </w:lvl>
    <w:lvl w:ilvl="3">
      <w:start w:val="0"/>
      <w:numFmt w:val="bullet"/>
      <w:lvlText w:val="•"/>
      <w:lvlJc w:val="left"/>
      <w:pPr>
        <w:ind w:left="3337" w:hanging="420"/>
      </w:pPr>
      <w:rPr>
        <w:rFonts w:hint="default"/>
        <w:lang w:val="zh-CN" w:eastAsia="zh-CN" w:bidi="zh-CN"/>
      </w:rPr>
    </w:lvl>
    <w:lvl w:ilvl="4">
      <w:start w:val="0"/>
      <w:numFmt w:val="bullet"/>
      <w:lvlText w:val="•"/>
      <w:lvlJc w:val="left"/>
      <w:pPr>
        <w:ind w:left="4130" w:hanging="420"/>
      </w:pPr>
      <w:rPr>
        <w:rFonts w:hint="default"/>
        <w:lang w:val="zh-CN" w:eastAsia="zh-CN" w:bidi="zh-CN"/>
      </w:rPr>
    </w:lvl>
    <w:lvl w:ilvl="5">
      <w:start w:val="0"/>
      <w:numFmt w:val="bullet"/>
      <w:lvlText w:val="•"/>
      <w:lvlJc w:val="left"/>
      <w:pPr>
        <w:ind w:left="4923" w:hanging="420"/>
      </w:pPr>
      <w:rPr>
        <w:rFonts w:hint="default"/>
        <w:lang w:val="zh-CN" w:eastAsia="zh-CN" w:bidi="zh-CN"/>
      </w:rPr>
    </w:lvl>
    <w:lvl w:ilvl="6">
      <w:start w:val="0"/>
      <w:numFmt w:val="bullet"/>
      <w:lvlText w:val="•"/>
      <w:lvlJc w:val="left"/>
      <w:pPr>
        <w:ind w:left="5715" w:hanging="420"/>
      </w:pPr>
      <w:rPr>
        <w:rFonts w:hint="default"/>
        <w:lang w:val="zh-CN" w:eastAsia="zh-CN" w:bidi="zh-CN"/>
      </w:rPr>
    </w:lvl>
    <w:lvl w:ilvl="7">
      <w:start w:val="0"/>
      <w:numFmt w:val="bullet"/>
      <w:lvlText w:val="•"/>
      <w:lvlJc w:val="left"/>
      <w:pPr>
        <w:ind w:left="6508" w:hanging="420"/>
      </w:pPr>
      <w:rPr>
        <w:rFonts w:hint="default"/>
        <w:lang w:val="zh-CN" w:eastAsia="zh-CN" w:bidi="zh-CN"/>
      </w:rPr>
    </w:lvl>
    <w:lvl w:ilvl="8">
      <w:start w:val="0"/>
      <w:numFmt w:val="bullet"/>
      <w:lvlText w:val="•"/>
      <w:lvlJc w:val="left"/>
      <w:pPr>
        <w:ind w:left="7300" w:hanging="420"/>
      </w:pPr>
      <w:rPr>
        <w:rFonts w:hint="default"/>
        <w:lang w:val="zh-CN" w:eastAsia="zh-CN" w:bidi="zh-CN"/>
      </w:rPr>
    </w:lvl>
  </w:abstractNum>
  <w:abstractNum w:abstractNumId="60">
    <w:multiLevelType w:val="hybridMultilevel"/>
    <w:lvl w:ilvl="0">
      <w:start w:val="2"/>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9">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58">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57">
    <w:multiLevelType w:val="hybridMultilevel"/>
    <w:lvl w:ilvl="0">
      <w:start w:val="1"/>
      <w:numFmt w:val="decimal"/>
      <w:lvlText w:val="%1）"/>
      <w:lvlJc w:val="left"/>
      <w:pPr>
        <w:ind w:left="1708" w:hanging="480"/>
        <w:jc w:val="left"/>
      </w:pPr>
      <w:rPr>
        <w:rFonts w:hint="default" w:ascii="宋体" w:hAnsi="宋体" w:eastAsia="宋体" w:cs="宋体"/>
        <w:spacing w:val="-62"/>
        <w:w w:val="100"/>
        <w:sz w:val="24"/>
        <w:szCs w:val="24"/>
        <w:lang w:val="zh-CN" w:eastAsia="zh-CN" w:bidi="zh-CN"/>
      </w:rPr>
    </w:lvl>
    <w:lvl w:ilvl="1">
      <w:start w:val="0"/>
      <w:numFmt w:val="bullet"/>
      <w:lvlText w:val="•"/>
      <w:lvlJc w:val="left"/>
      <w:pPr>
        <w:ind w:left="2418" w:hanging="480"/>
      </w:pPr>
      <w:rPr>
        <w:rFonts w:hint="default"/>
        <w:lang w:val="zh-CN" w:eastAsia="zh-CN" w:bidi="zh-CN"/>
      </w:rPr>
    </w:lvl>
    <w:lvl w:ilvl="2">
      <w:start w:val="0"/>
      <w:numFmt w:val="bullet"/>
      <w:lvlText w:val="•"/>
      <w:lvlJc w:val="left"/>
      <w:pPr>
        <w:ind w:left="3137" w:hanging="480"/>
      </w:pPr>
      <w:rPr>
        <w:rFonts w:hint="default"/>
        <w:lang w:val="zh-CN" w:eastAsia="zh-CN" w:bidi="zh-CN"/>
      </w:rPr>
    </w:lvl>
    <w:lvl w:ilvl="3">
      <w:start w:val="0"/>
      <w:numFmt w:val="bullet"/>
      <w:lvlText w:val="•"/>
      <w:lvlJc w:val="left"/>
      <w:pPr>
        <w:ind w:left="3855" w:hanging="480"/>
      </w:pPr>
      <w:rPr>
        <w:rFonts w:hint="default"/>
        <w:lang w:val="zh-CN" w:eastAsia="zh-CN" w:bidi="zh-CN"/>
      </w:rPr>
    </w:lvl>
    <w:lvl w:ilvl="4">
      <w:start w:val="0"/>
      <w:numFmt w:val="bullet"/>
      <w:lvlText w:val="•"/>
      <w:lvlJc w:val="left"/>
      <w:pPr>
        <w:ind w:left="4574" w:hanging="480"/>
      </w:pPr>
      <w:rPr>
        <w:rFonts w:hint="default"/>
        <w:lang w:val="zh-CN" w:eastAsia="zh-CN" w:bidi="zh-CN"/>
      </w:rPr>
    </w:lvl>
    <w:lvl w:ilvl="5">
      <w:start w:val="0"/>
      <w:numFmt w:val="bullet"/>
      <w:lvlText w:val="•"/>
      <w:lvlJc w:val="left"/>
      <w:pPr>
        <w:ind w:left="5293" w:hanging="480"/>
      </w:pPr>
      <w:rPr>
        <w:rFonts w:hint="default"/>
        <w:lang w:val="zh-CN" w:eastAsia="zh-CN" w:bidi="zh-CN"/>
      </w:rPr>
    </w:lvl>
    <w:lvl w:ilvl="6">
      <w:start w:val="0"/>
      <w:numFmt w:val="bullet"/>
      <w:lvlText w:val="•"/>
      <w:lvlJc w:val="left"/>
      <w:pPr>
        <w:ind w:left="6011" w:hanging="480"/>
      </w:pPr>
      <w:rPr>
        <w:rFonts w:hint="default"/>
        <w:lang w:val="zh-CN" w:eastAsia="zh-CN" w:bidi="zh-CN"/>
      </w:rPr>
    </w:lvl>
    <w:lvl w:ilvl="7">
      <w:start w:val="0"/>
      <w:numFmt w:val="bullet"/>
      <w:lvlText w:val="•"/>
      <w:lvlJc w:val="left"/>
      <w:pPr>
        <w:ind w:left="6730" w:hanging="480"/>
      </w:pPr>
      <w:rPr>
        <w:rFonts w:hint="default"/>
        <w:lang w:val="zh-CN" w:eastAsia="zh-CN" w:bidi="zh-CN"/>
      </w:rPr>
    </w:lvl>
    <w:lvl w:ilvl="8">
      <w:start w:val="0"/>
      <w:numFmt w:val="bullet"/>
      <w:lvlText w:val="•"/>
      <w:lvlJc w:val="left"/>
      <w:pPr>
        <w:ind w:left="7448" w:hanging="480"/>
      </w:pPr>
      <w:rPr>
        <w:rFonts w:hint="default"/>
        <w:lang w:val="zh-CN" w:eastAsia="zh-CN" w:bidi="zh-CN"/>
      </w:rPr>
    </w:lvl>
  </w:abstractNum>
  <w:abstractNum w:abstractNumId="56">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1"/>
      <w:numFmt w:val="decimal"/>
      <w:lvlText w:val="%2）"/>
      <w:lvlJc w:val="left"/>
      <w:pPr>
        <w:ind w:left="1556" w:hanging="361"/>
        <w:jc w:val="left"/>
      </w:pPr>
      <w:rPr>
        <w:rFonts w:hint="default" w:ascii="宋体" w:hAnsi="宋体" w:eastAsia="宋体" w:cs="宋体"/>
        <w:spacing w:val="-2"/>
        <w:w w:val="100"/>
        <w:sz w:val="22"/>
        <w:szCs w:val="22"/>
        <w:lang w:val="zh-CN" w:eastAsia="zh-CN" w:bidi="zh-CN"/>
      </w:rPr>
    </w:lvl>
    <w:lvl w:ilvl="2">
      <w:start w:val="0"/>
      <w:numFmt w:val="bullet"/>
      <w:lvlText w:val="•"/>
      <w:lvlJc w:val="left"/>
      <w:pPr>
        <w:ind w:left="2374" w:hanging="361"/>
      </w:pPr>
      <w:rPr>
        <w:rFonts w:hint="default"/>
        <w:lang w:val="zh-CN" w:eastAsia="zh-CN" w:bidi="zh-CN"/>
      </w:rPr>
    </w:lvl>
    <w:lvl w:ilvl="3">
      <w:start w:val="0"/>
      <w:numFmt w:val="bullet"/>
      <w:lvlText w:val="•"/>
      <w:lvlJc w:val="left"/>
      <w:pPr>
        <w:ind w:left="3188"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816" w:hanging="361"/>
      </w:pPr>
      <w:rPr>
        <w:rFonts w:hint="default"/>
        <w:lang w:val="zh-CN" w:eastAsia="zh-CN" w:bidi="zh-CN"/>
      </w:rPr>
    </w:lvl>
    <w:lvl w:ilvl="6">
      <w:start w:val="0"/>
      <w:numFmt w:val="bullet"/>
      <w:lvlText w:val="•"/>
      <w:lvlJc w:val="left"/>
      <w:pPr>
        <w:ind w:left="5630" w:hanging="361"/>
      </w:pPr>
      <w:rPr>
        <w:rFonts w:hint="default"/>
        <w:lang w:val="zh-CN" w:eastAsia="zh-CN" w:bidi="zh-CN"/>
      </w:rPr>
    </w:lvl>
    <w:lvl w:ilvl="7">
      <w:start w:val="0"/>
      <w:numFmt w:val="bullet"/>
      <w:lvlText w:val="•"/>
      <w:lvlJc w:val="left"/>
      <w:pPr>
        <w:ind w:left="6444" w:hanging="361"/>
      </w:pPr>
      <w:rPr>
        <w:rFonts w:hint="default"/>
        <w:lang w:val="zh-CN" w:eastAsia="zh-CN" w:bidi="zh-CN"/>
      </w:rPr>
    </w:lvl>
    <w:lvl w:ilvl="8">
      <w:start w:val="0"/>
      <w:numFmt w:val="bullet"/>
      <w:lvlText w:val="•"/>
      <w:lvlJc w:val="left"/>
      <w:pPr>
        <w:ind w:left="7258" w:hanging="361"/>
      </w:pPr>
      <w:rPr>
        <w:rFonts w:hint="default"/>
        <w:lang w:val="zh-CN" w:eastAsia="zh-CN" w:bidi="zh-CN"/>
      </w:rPr>
    </w:lvl>
  </w:abstractNum>
  <w:abstractNum w:abstractNumId="5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4">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5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51">
    <w:multiLevelType w:val="hybridMultilevel"/>
    <w:lvl w:ilvl="0">
      <w:start w:val="1"/>
      <w:numFmt w:val="decimal"/>
      <w:lvlText w:val="（%1）"/>
      <w:lvlJc w:val="left"/>
      <w:pPr>
        <w:ind w:left="1201"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0">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9">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8">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5">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4">
    <w:multiLevelType w:val="hybridMultilevel"/>
    <w:lvl w:ilvl="0">
      <w:start w:val="1"/>
      <w:numFmt w:val="decimal"/>
      <w:lvlText w:val="%1）"/>
      <w:lvlJc w:val="left"/>
      <w:pPr>
        <w:ind w:left="1556" w:hanging="369"/>
        <w:jc w:val="left"/>
      </w:pPr>
      <w:rPr>
        <w:rFonts w:hint="default" w:ascii="宋体" w:hAnsi="宋体" w:eastAsia="宋体" w:cs="宋体"/>
        <w:spacing w:val="4"/>
        <w:w w:val="100"/>
        <w:sz w:val="22"/>
        <w:szCs w:val="22"/>
        <w:lang w:val="zh-CN" w:eastAsia="zh-CN" w:bidi="zh-CN"/>
      </w:rPr>
    </w:lvl>
    <w:lvl w:ilvl="1">
      <w:start w:val="0"/>
      <w:numFmt w:val="bullet"/>
      <w:lvlText w:val="•"/>
      <w:lvlJc w:val="left"/>
      <w:pPr>
        <w:ind w:left="2292" w:hanging="369"/>
      </w:pPr>
      <w:rPr>
        <w:rFonts w:hint="default"/>
        <w:lang w:val="zh-CN" w:eastAsia="zh-CN" w:bidi="zh-CN"/>
      </w:rPr>
    </w:lvl>
    <w:lvl w:ilvl="2">
      <w:start w:val="0"/>
      <w:numFmt w:val="bullet"/>
      <w:lvlText w:val="•"/>
      <w:lvlJc w:val="left"/>
      <w:pPr>
        <w:ind w:left="3025" w:hanging="369"/>
      </w:pPr>
      <w:rPr>
        <w:rFonts w:hint="default"/>
        <w:lang w:val="zh-CN" w:eastAsia="zh-CN" w:bidi="zh-CN"/>
      </w:rPr>
    </w:lvl>
    <w:lvl w:ilvl="3">
      <w:start w:val="0"/>
      <w:numFmt w:val="bullet"/>
      <w:lvlText w:val="•"/>
      <w:lvlJc w:val="left"/>
      <w:pPr>
        <w:ind w:left="3757" w:hanging="369"/>
      </w:pPr>
      <w:rPr>
        <w:rFonts w:hint="default"/>
        <w:lang w:val="zh-CN" w:eastAsia="zh-CN" w:bidi="zh-CN"/>
      </w:rPr>
    </w:lvl>
    <w:lvl w:ilvl="4">
      <w:start w:val="0"/>
      <w:numFmt w:val="bullet"/>
      <w:lvlText w:val="•"/>
      <w:lvlJc w:val="left"/>
      <w:pPr>
        <w:ind w:left="4490" w:hanging="369"/>
      </w:pPr>
      <w:rPr>
        <w:rFonts w:hint="default"/>
        <w:lang w:val="zh-CN" w:eastAsia="zh-CN" w:bidi="zh-CN"/>
      </w:rPr>
    </w:lvl>
    <w:lvl w:ilvl="5">
      <w:start w:val="0"/>
      <w:numFmt w:val="bullet"/>
      <w:lvlText w:val="•"/>
      <w:lvlJc w:val="left"/>
      <w:pPr>
        <w:ind w:left="5223" w:hanging="369"/>
      </w:pPr>
      <w:rPr>
        <w:rFonts w:hint="default"/>
        <w:lang w:val="zh-CN" w:eastAsia="zh-CN" w:bidi="zh-CN"/>
      </w:rPr>
    </w:lvl>
    <w:lvl w:ilvl="6">
      <w:start w:val="0"/>
      <w:numFmt w:val="bullet"/>
      <w:lvlText w:val="•"/>
      <w:lvlJc w:val="left"/>
      <w:pPr>
        <w:ind w:left="5955" w:hanging="369"/>
      </w:pPr>
      <w:rPr>
        <w:rFonts w:hint="default"/>
        <w:lang w:val="zh-CN" w:eastAsia="zh-CN" w:bidi="zh-CN"/>
      </w:rPr>
    </w:lvl>
    <w:lvl w:ilvl="7">
      <w:start w:val="0"/>
      <w:numFmt w:val="bullet"/>
      <w:lvlText w:val="•"/>
      <w:lvlJc w:val="left"/>
      <w:pPr>
        <w:ind w:left="6688" w:hanging="369"/>
      </w:pPr>
      <w:rPr>
        <w:rFonts w:hint="default"/>
        <w:lang w:val="zh-CN" w:eastAsia="zh-CN" w:bidi="zh-CN"/>
      </w:rPr>
    </w:lvl>
    <w:lvl w:ilvl="8">
      <w:start w:val="0"/>
      <w:numFmt w:val="bullet"/>
      <w:lvlText w:val="•"/>
      <w:lvlJc w:val="left"/>
      <w:pPr>
        <w:ind w:left="7420" w:hanging="369"/>
      </w:pPr>
      <w:rPr>
        <w:rFonts w:hint="default"/>
        <w:lang w:val="zh-CN" w:eastAsia="zh-CN" w:bidi="zh-CN"/>
      </w:rPr>
    </w:lvl>
  </w:abstractNum>
  <w:abstractNum w:abstractNumId="43">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1"/>
      <w:numFmt w:val="decimal"/>
      <w:lvlText w:val="%2）"/>
      <w:lvlJc w:val="left"/>
      <w:pPr>
        <w:ind w:left="1556" w:hanging="369"/>
        <w:jc w:val="left"/>
      </w:pPr>
      <w:rPr>
        <w:rFonts w:hint="default" w:ascii="宋体" w:hAnsi="宋体" w:eastAsia="宋体" w:cs="宋体"/>
        <w:spacing w:val="4"/>
        <w:w w:val="100"/>
        <w:sz w:val="22"/>
        <w:szCs w:val="22"/>
        <w:lang w:val="zh-CN" w:eastAsia="zh-CN" w:bidi="zh-CN"/>
      </w:rPr>
    </w:lvl>
    <w:lvl w:ilvl="2">
      <w:start w:val="0"/>
      <w:numFmt w:val="bullet"/>
      <w:lvlText w:val="•"/>
      <w:lvlJc w:val="left"/>
      <w:pPr>
        <w:ind w:left="2374" w:hanging="369"/>
      </w:pPr>
      <w:rPr>
        <w:rFonts w:hint="default"/>
        <w:lang w:val="zh-CN" w:eastAsia="zh-CN" w:bidi="zh-CN"/>
      </w:rPr>
    </w:lvl>
    <w:lvl w:ilvl="3">
      <w:start w:val="0"/>
      <w:numFmt w:val="bullet"/>
      <w:lvlText w:val="•"/>
      <w:lvlJc w:val="left"/>
      <w:pPr>
        <w:ind w:left="3188" w:hanging="369"/>
      </w:pPr>
      <w:rPr>
        <w:rFonts w:hint="default"/>
        <w:lang w:val="zh-CN" w:eastAsia="zh-CN" w:bidi="zh-CN"/>
      </w:rPr>
    </w:lvl>
    <w:lvl w:ilvl="4">
      <w:start w:val="0"/>
      <w:numFmt w:val="bullet"/>
      <w:lvlText w:val="•"/>
      <w:lvlJc w:val="left"/>
      <w:pPr>
        <w:ind w:left="4002" w:hanging="369"/>
      </w:pPr>
      <w:rPr>
        <w:rFonts w:hint="default"/>
        <w:lang w:val="zh-CN" w:eastAsia="zh-CN" w:bidi="zh-CN"/>
      </w:rPr>
    </w:lvl>
    <w:lvl w:ilvl="5">
      <w:start w:val="0"/>
      <w:numFmt w:val="bullet"/>
      <w:lvlText w:val="•"/>
      <w:lvlJc w:val="left"/>
      <w:pPr>
        <w:ind w:left="4816" w:hanging="369"/>
      </w:pPr>
      <w:rPr>
        <w:rFonts w:hint="default"/>
        <w:lang w:val="zh-CN" w:eastAsia="zh-CN" w:bidi="zh-CN"/>
      </w:rPr>
    </w:lvl>
    <w:lvl w:ilvl="6">
      <w:start w:val="0"/>
      <w:numFmt w:val="bullet"/>
      <w:lvlText w:val="•"/>
      <w:lvlJc w:val="left"/>
      <w:pPr>
        <w:ind w:left="5630" w:hanging="369"/>
      </w:pPr>
      <w:rPr>
        <w:rFonts w:hint="default"/>
        <w:lang w:val="zh-CN" w:eastAsia="zh-CN" w:bidi="zh-CN"/>
      </w:rPr>
    </w:lvl>
    <w:lvl w:ilvl="7">
      <w:start w:val="0"/>
      <w:numFmt w:val="bullet"/>
      <w:lvlText w:val="•"/>
      <w:lvlJc w:val="left"/>
      <w:pPr>
        <w:ind w:left="6444" w:hanging="369"/>
      </w:pPr>
      <w:rPr>
        <w:rFonts w:hint="default"/>
        <w:lang w:val="zh-CN" w:eastAsia="zh-CN" w:bidi="zh-CN"/>
      </w:rPr>
    </w:lvl>
    <w:lvl w:ilvl="8">
      <w:start w:val="0"/>
      <w:numFmt w:val="bullet"/>
      <w:lvlText w:val="•"/>
      <w:lvlJc w:val="left"/>
      <w:pPr>
        <w:ind w:left="7258" w:hanging="369"/>
      </w:pPr>
      <w:rPr>
        <w:rFonts w:hint="default"/>
        <w:lang w:val="zh-CN" w:eastAsia="zh-CN" w:bidi="zh-CN"/>
      </w:rPr>
    </w:lvl>
  </w:abstractNum>
  <w:abstractNum w:abstractNumId="42">
    <w:multiLevelType w:val="hybridMultilevel"/>
    <w:lvl w:ilvl="0">
      <w:start w:val="1"/>
      <w:numFmt w:val="decimal"/>
      <w:lvlText w:val="（%1）"/>
      <w:lvlJc w:val="left"/>
      <w:pPr>
        <w:ind w:left="960" w:hanging="840"/>
        <w:jc w:val="left"/>
      </w:pPr>
      <w:rPr>
        <w:rFonts w:hint="default" w:ascii="宋体" w:hAnsi="宋体" w:eastAsia="宋体" w:cs="宋体"/>
        <w:w w:val="100"/>
        <w:sz w:val="24"/>
        <w:szCs w:val="24"/>
        <w:lang w:val="zh-CN" w:eastAsia="zh-CN" w:bidi="zh-CN"/>
      </w:rPr>
    </w:lvl>
    <w:lvl w:ilvl="1">
      <w:start w:val="1"/>
      <w:numFmt w:val="decimal"/>
      <w:lvlText w:val="（%2）"/>
      <w:lvlJc w:val="left"/>
      <w:pPr>
        <w:ind w:left="1201" w:hanging="601"/>
        <w:jc w:val="left"/>
      </w:pPr>
      <w:rPr>
        <w:rFonts w:hint="default" w:ascii="宋体" w:hAnsi="宋体" w:eastAsia="宋体" w:cs="宋体"/>
        <w:spacing w:val="-35"/>
        <w:w w:val="100"/>
        <w:sz w:val="22"/>
        <w:szCs w:val="22"/>
        <w:lang w:val="zh-CN" w:eastAsia="zh-CN" w:bidi="zh-CN"/>
      </w:rPr>
    </w:lvl>
    <w:lvl w:ilvl="2">
      <w:start w:val="0"/>
      <w:numFmt w:val="bullet"/>
      <w:lvlText w:val="•"/>
      <w:lvlJc w:val="left"/>
      <w:pPr>
        <w:ind w:left="2054" w:hanging="601"/>
      </w:pPr>
      <w:rPr>
        <w:rFonts w:hint="default"/>
        <w:lang w:val="zh-CN" w:eastAsia="zh-CN" w:bidi="zh-CN"/>
      </w:rPr>
    </w:lvl>
    <w:lvl w:ilvl="3">
      <w:start w:val="0"/>
      <w:numFmt w:val="bullet"/>
      <w:lvlText w:val="•"/>
      <w:lvlJc w:val="left"/>
      <w:pPr>
        <w:ind w:left="2908" w:hanging="601"/>
      </w:pPr>
      <w:rPr>
        <w:rFonts w:hint="default"/>
        <w:lang w:val="zh-CN" w:eastAsia="zh-CN" w:bidi="zh-CN"/>
      </w:rPr>
    </w:lvl>
    <w:lvl w:ilvl="4">
      <w:start w:val="0"/>
      <w:numFmt w:val="bullet"/>
      <w:lvlText w:val="•"/>
      <w:lvlJc w:val="left"/>
      <w:pPr>
        <w:ind w:left="3762" w:hanging="601"/>
      </w:pPr>
      <w:rPr>
        <w:rFonts w:hint="default"/>
        <w:lang w:val="zh-CN" w:eastAsia="zh-CN" w:bidi="zh-CN"/>
      </w:rPr>
    </w:lvl>
    <w:lvl w:ilvl="5">
      <w:start w:val="0"/>
      <w:numFmt w:val="bullet"/>
      <w:lvlText w:val="•"/>
      <w:lvlJc w:val="left"/>
      <w:pPr>
        <w:ind w:left="4616" w:hanging="601"/>
      </w:pPr>
      <w:rPr>
        <w:rFonts w:hint="default"/>
        <w:lang w:val="zh-CN" w:eastAsia="zh-CN" w:bidi="zh-CN"/>
      </w:rPr>
    </w:lvl>
    <w:lvl w:ilvl="6">
      <w:start w:val="0"/>
      <w:numFmt w:val="bullet"/>
      <w:lvlText w:val="•"/>
      <w:lvlJc w:val="left"/>
      <w:pPr>
        <w:ind w:left="5470" w:hanging="601"/>
      </w:pPr>
      <w:rPr>
        <w:rFonts w:hint="default"/>
        <w:lang w:val="zh-CN" w:eastAsia="zh-CN" w:bidi="zh-CN"/>
      </w:rPr>
    </w:lvl>
    <w:lvl w:ilvl="7">
      <w:start w:val="0"/>
      <w:numFmt w:val="bullet"/>
      <w:lvlText w:val="•"/>
      <w:lvlJc w:val="left"/>
      <w:pPr>
        <w:ind w:left="6324" w:hanging="601"/>
      </w:pPr>
      <w:rPr>
        <w:rFonts w:hint="default"/>
        <w:lang w:val="zh-CN" w:eastAsia="zh-CN" w:bidi="zh-CN"/>
      </w:rPr>
    </w:lvl>
    <w:lvl w:ilvl="8">
      <w:start w:val="0"/>
      <w:numFmt w:val="bullet"/>
      <w:lvlText w:val="•"/>
      <w:lvlJc w:val="left"/>
      <w:pPr>
        <w:ind w:left="7178" w:hanging="601"/>
      </w:pPr>
      <w:rPr>
        <w:rFonts w:hint="default"/>
        <w:lang w:val="zh-CN" w:eastAsia="zh-CN" w:bidi="zh-CN"/>
      </w:rPr>
    </w:lvl>
  </w:abstractNum>
  <w:abstractNum w:abstractNumId="4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0">
    <w:multiLevelType w:val="hybridMultilevel"/>
    <w:lvl w:ilvl="0">
      <w:start w:val="1"/>
      <w:numFmt w:val="decimal"/>
      <w:lvlText w:val="（%1）"/>
      <w:lvlJc w:val="left"/>
      <w:pPr>
        <w:ind w:left="72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536" w:hanging="601"/>
      </w:pPr>
      <w:rPr>
        <w:rFonts w:hint="default"/>
        <w:lang w:val="zh-CN" w:eastAsia="zh-CN" w:bidi="zh-CN"/>
      </w:rPr>
    </w:lvl>
    <w:lvl w:ilvl="2">
      <w:start w:val="0"/>
      <w:numFmt w:val="bullet"/>
      <w:lvlText w:val="•"/>
      <w:lvlJc w:val="left"/>
      <w:pPr>
        <w:ind w:left="2353" w:hanging="601"/>
      </w:pPr>
      <w:rPr>
        <w:rFonts w:hint="default"/>
        <w:lang w:val="zh-CN" w:eastAsia="zh-CN" w:bidi="zh-CN"/>
      </w:rPr>
    </w:lvl>
    <w:lvl w:ilvl="3">
      <w:start w:val="0"/>
      <w:numFmt w:val="bullet"/>
      <w:lvlText w:val="•"/>
      <w:lvlJc w:val="left"/>
      <w:pPr>
        <w:ind w:left="3169" w:hanging="601"/>
      </w:pPr>
      <w:rPr>
        <w:rFonts w:hint="default"/>
        <w:lang w:val="zh-CN" w:eastAsia="zh-CN" w:bidi="zh-CN"/>
      </w:rPr>
    </w:lvl>
    <w:lvl w:ilvl="4">
      <w:start w:val="0"/>
      <w:numFmt w:val="bullet"/>
      <w:lvlText w:val="•"/>
      <w:lvlJc w:val="left"/>
      <w:pPr>
        <w:ind w:left="3986" w:hanging="601"/>
      </w:pPr>
      <w:rPr>
        <w:rFonts w:hint="default"/>
        <w:lang w:val="zh-CN" w:eastAsia="zh-CN" w:bidi="zh-CN"/>
      </w:rPr>
    </w:lvl>
    <w:lvl w:ilvl="5">
      <w:start w:val="0"/>
      <w:numFmt w:val="bullet"/>
      <w:lvlText w:val="•"/>
      <w:lvlJc w:val="left"/>
      <w:pPr>
        <w:ind w:left="4803" w:hanging="601"/>
      </w:pPr>
      <w:rPr>
        <w:rFonts w:hint="default"/>
        <w:lang w:val="zh-CN" w:eastAsia="zh-CN" w:bidi="zh-CN"/>
      </w:rPr>
    </w:lvl>
    <w:lvl w:ilvl="6">
      <w:start w:val="0"/>
      <w:numFmt w:val="bullet"/>
      <w:lvlText w:val="•"/>
      <w:lvlJc w:val="left"/>
      <w:pPr>
        <w:ind w:left="5619" w:hanging="601"/>
      </w:pPr>
      <w:rPr>
        <w:rFonts w:hint="default"/>
        <w:lang w:val="zh-CN" w:eastAsia="zh-CN" w:bidi="zh-CN"/>
      </w:rPr>
    </w:lvl>
    <w:lvl w:ilvl="7">
      <w:start w:val="0"/>
      <w:numFmt w:val="bullet"/>
      <w:lvlText w:val="•"/>
      <w:lvlJc w:val="left"/>
      <w:pPr>
        <w:ind w:left="6436" w:hanging="601"/>
      </w:pPr>
      <w:rPr>
        <w:rFonts w:hint="default"/>
        <w:lang w:val="zh-CN" w:eastAsia="zh-CN" w:bidi="zh-CN"/>
      </w:rPr>
    </w:lvl>
    <w:lvl w:ilvl="8">
      <w:start w:val="0"/>
      <w:numFmt w:val="bullet"/>
      <w:lvlText w:val="•"/>
      <w:lvlJc w:val="left"/>
      <w:pPr>
        <w:ind w:left="7252" w:hanging="601"/>
      </w:pPr>
      <w:rPr>
        <w:rFonts w:hint="default"/>
        <w:lang w:val="zh-CN" w:eastAsia="zh-CN" w:bidi="zh-CN"/>
      </w:rPr>
    </w:lvl>
  </w:abstractNum>
  <w:abstractNum w:abstractNumId="39">
    <w:multiLevelType w:val="hybridMultilevel"/>
    <w:lvl w:ilvl="0">
      <w:start w:val="1"/>
      <w:numFmt w:val="decimal"/>
      <w:lvlText w:val="（%1）"/>
      <w:lvlJc w:val="left"/>
      <w:pPr>
        <w:ind w:left="120"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4"/>
      </w:pPr>
      <w:rPr>
        <w:rFonts w:hint="default"/>
        <w:lang w:val="zh-CN" w:eastAsia="zh-CN" w:bidi="zh-CN"/>
      </w:rPr>
    </w:lvl>
    <w:lvl w:ilvl="2">
      <w:start w:val="0"/>
      <w:numFmt w:val="bullet"/>
      <w:lvlText w:val="•"/>
      <w:lvlJc w:val="left"/>
      <w:pPr>
        <w:ind w:left="1873" w:hanging="604"/>
      </w:pPr>
      <w:rPr>
        <w:rFonts w:hint="default"/>
        <w:lang w:val="zh-CN" w:eastAsia="zh-CN" w:bidi="zh-CN"/>
      </w:rPr>
    </w:lvl>
    <w:lvl w:ilvl="3">
      <w:start w:val="0"/>
      <w:numFmt w:val="bullet"/>
      <w:lvlText w:val="•"/>
      <w:lvlJc w:val="left"/>
      <w:pPr>
        <w:ind w:left="2749" w:hanging="604"/>
      </w:pPr>
      <w:rPr>
        <w:rFonts w:hint="default"/>
        <w:lang w:val="zh-CN" w:eastAsia="zh-CN" w:bidi="zh-CN"/>
      </w:rPr>
    </w:lvl>
    <w:lvl w:ilvl="4">
      <w:start w:val="0"/>
      <w:numFmt w:val="bullet"/>
      <w:lvlText w:val="•"/>
      <w:lvlJc w:val="left"/>
      <w:pPr>
        <w:ind w:left="3626" w:hanging="604"/>
      </w:pPr>
      <w:rPr>
        <w:rFonts w:hint="default"/>
        <w:lang w:val="zh-CN" w:eastAsia="zh-CN" w:bidi="zh-CN"/>
      </w:rPr>
    </w:lvl>
    <w:lvl w:ilvl="5">
      <w:start w:val="0"/>
      <w:numFmt w:val="bullet"/>
      <w:lvlText w:val="•"/>
      <w:lvlJc w:val="left"/>
      <w:pPr>
        <w:ind w:left="4503" w:hanging="604"/>
      </w:pPr>
      <w:rPr>
        <w:rFonts w:hint="default"/>
        <w:lang w:val="zh-CN" w:eastAsia="zh-CN" w:bidi="zh-CN"/>
      </w:rPr>
    </w:lvl>
    <w:lvl w:ilvl="6">
      <w:start w:val="0"/>
      <w:numFmt w:val="bullet"/>
      <w:lvlText w:val="•"/>
      <w:lvlJc w:val="left"/>
      <w:pPr>
        <w:ind w:left="5379" w:hanging="604"/>
      </w:pPr>
      <w:rPr>
        <w:rFonts w:hint="default"/>
        <w:lang w:val="zh-CN" w:eastAsia="zh-CN" w:bidi="zh-CN"/>
      </w:rPr>
    </w:lvl>
    <w:lvl w:ilvl="7">
      <w:start w:val="0"/>
      <w:numFmt w:val="bullet"/>
      <w:lvlText w:val="•"/>
      <w:lvlJc w:val="left"/>
      <w:pPr>
        <w:ind w:left="6256" w:hanging="604"/>
      </w:pPr>
      <w:rPr>
        <w:rFonts w:hint="default"/>
        <w:lang w:val="zh-CN" w:eastAsia="zh-CN" w:bidi="zh-CN"/>
      </w:rPr>
    </w:lvl>
    <w:lvl w:ilvl="8">
      <w:start w:val="0"/>
      <w:numFmt w:val="bullet"/>
      <w:lvlText w:val="•"/>
      <w:lvlJc w:val="left"/>
      <w:pPr>
        <w:ind w:left="7132" w:hanging="604"/>
      </w:pPr>
      <w:rPr>
        <w:rFonts w:hint="default"/>
        <w:lang w:val="zh-CN" w:eastAsia="zh-CN" w:bidi="zh-CN"/>
      </w:rPr>
    </w:lvl>
  </w:abstractNum>
  <w:abstractNum w:abstractNumId="38">
    <w:multiLevelType w:val="hybridMultilevel"/>
    <w:lvl w:ilvl="0">
      <w:start w:val="11"/>
      <w:numFmt w:val="decimal"/>
      <w:lvlText w:val="%1）"/>
      <w:lvlJc w:val="left"/>
      <w:pPr>
        <w:ind w:left="1556" w:hanging="481"/>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2292" w:hanging="481"/>
      </w:pPr>
      <w:rPr>
        <w:rFonts w:hint="default"/>
        <w:lang w:val="zh-CN" w:eastAsia="zh-CN" w:bidi="zh-CN"/>
      </w:rPr>
    </w:lvl>
    <w:lvl w:ilvl="2">
      <w:start w:val="0"/>
      <w:numFmt w:val="bullet"/>
      <w:lvlText w:val="•"/>
      <w:lvlJc w:val="left"/>
      <w:pPr>
        <w:ind w:left="3025" w:hanging="481"/>
      </w:pPr>
      <w:rPr>
        <w:rFonts w:hint="default"/>
        <w:lang w:val="zh-CN" w:eastAsia="zh-CN" w:bidi="zh-CN"/>
      </w:rPr>
    </w:lvl>
    <w:lvl w:ilvl="3">
      <w:start w:val="0"/>
      <w:numFmt w:val="bullet"/>
      <w:lvlText w:val="•"/>
      <w:lvlJc w:val="left"/>
      <w:pPr>
        <w:ind w:left="3757" w:hanging="481"/>
      </w:pPr>
      <w:rPr>
        <w:rFonts w:hint="default"/>
        <w:lang w:val="zh-CN" w:eastAsia="zh-CN" w:bidi="zh-CN"/>
      </w:rPr>
    </w:lvl>
    <w:lvl w:ilvl="4">
      <w:start w:val="0"/>
      <w:numFmt w:val="bullet"/>
      <w:lvlText w:val="•"/>
      <w:lvlJc w:val="left"/>
      <w:pPr>
        <w:ind w:left="4490" w:hanging="481"/>
      </w:pPr>
      <w:rPr>
        <w:rFonts w:hint="default"/>
        <w:lang w:val="zh-CN" w:eastAsia="zh-CN" w:bidi="zh-CN"/>
      </w:rPr>
    </w:lvl>
    <w:lvl w:ilvl="5">
      <w:start w:val="0"/>
      <w:numFmt w:val="bullet"/>
      <w:lvlText w:val="•"/>
      <w:lvlJc w:val="left"/>
      <w:pPr>
        <w:ind w:left="5223" w:hanging="481"/>
      </w:pPr>
      <w:rPr>
        <w:rFonts w:hint="default"/>
        <w:lang w:val="zh-CN" w:eastAsia="zh-CN" w:bidi="zh-CN"/>
      </w:rPr>
    </w:lvl>
    <w:lvl w:ilvl="6">
      <w:start w:val="0"/>
      <w:numFmt w:val="bullet"/>
      <w:lvlText w:val="•"/>
      <w:lvlJc w:val="left"/>
      <w:pPr>
        <w:ind w:left="5955" w:hanging="481"/>
      </w:pPr>
      <w:rPr>
        <w:rFonts w:hint="default"/>
        <w:lang w:val="zh-CN" w:eastAsia="zh-CN" w:bidi="zh-CN"/>
      </w:rPr>
    </w:lvl>
    <w:lvl w:ilvl="7">
      <w:start w:val="0"/>
      <w:numFmt w:val="bullet"/>
      <w:lvlText w:val="•"/>
      <w:lvlJc w:val="left"/>
      <w:pPr>
        <w:ind w:left="6688" w:hanging="481"/>
      </w:pPr>
      <w:rPr>
        <w:rFonts w:hint="default"/>
        <w:lang w:val="zh-CN" w:eastAsia="zh-CN" w:bidi="zh-CN"/>
      </w:rPr>
    </w:lvl>
    <w:lvl w:ilvl="8">
      <w:start w:val="0"/>
      <w:numFmt w:val="bullet"/>
      <w:lvlText w:val="•"/>
      <w:lvlJc w:val="left"/>
      <w:pPr>
        <w:ind w:left="7420" w:hanging="481"/>
      </w:pPr>
      <w:rPr>
        <w:rFonts w:hint="default"/>
        <w:lang w:val="zh-CN" w:eastAsia="zh-CN" w:bidi="zh-CN"/>
      </w:rPr>
    </w:lvl>
  </w:abstractNum>
  <w:abstractNum w:abstractNumId="37">
    <w:multiLevelType w:val="hybridMultilevel"/>
    <w:lvl w:ilvl="0">
      <w:start w:val="1"/>
      <w:numFmt w:val="decimal"/>
      <w:lvlText w:val="%1）"/>
      <w:lvlJc w:val="left"/>
      <w:pPr>
        <w:ind w:left="1592" w:hanging="365"/>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328" w:hanging="365"/>
      </w:pPr>
      <w:rPr>
        <w:rFonts w:hint="default"/>
        <w:lang w:val="zh-CN" w:eastAsia="zh-CN" w:bidi="zh-CN"/>
      </w:rPr>
    </w:lvl>
    <w:lvl w:ilvl="2">
      <w:start w:val="0"/>
      <w:numFmt w:val="bullet"/>
      <w:lvlText w:val="•"/>
      <w:lvlJc w:val="left"/>
      <w:pPr>
        <w:ind w:left="3057" w:hanging="365"/>
      </w:pPr>
      <w:rPr>
        <w:rFonts w:hint="default"/>
        <w:lang w:val="zh-CN" w:eastAsia="zh-CN" w:bidi="zh-CN"/>
      </w:rPr>
    </w:lvl>
    <w:lvl w:ilvl="3">
      <w:start w:val="0"/>
      <w:numFmt w:val="bullet"/>
      <w:lvlText w:val="•"/>
      <w:lvlJc w:val="left"/>
      <w:pPr>
        <w:ind w:left="3785" w:hanging="365"/>
      </w:pPr>
      <w:rPr>
        <w:rFonts w:hint="default"/>
        <w:lang w:val="zh-CN" w:eastAsia="zh-CN" w:bidi="zh-CN"/>
      </w:rPr>
    </w:lvl>
    <w:lvl w:ilvl="4">
      <w:start w:val="0"/>
      <w:numFmt w:val="bullet"/>
      <w:lvlText w:val="•"/>
      <w:lvlJc w:val="left"/>
      <w:pPr>
        <w:ind w:left="4514" w:hanging="365"/>
      </w:pPr>
      <w:rPr>
        <w:rFonts w:hint="default"/>
        <w:lang w:val="zh-CN" w:eastAsia="zh-CN" w:bidi="zh-CN"/>
      </w:rPr>
    </w:lvl>
    <w:lvl w:ilvl="5">
      <w:start w:val="0"/>
      <w:numFmt w:val="bullet"/>
      <w:lvlText w:val="•"/>
      <w:lvlJc w:val="left"/>
      <w:pPr>
        <w:ind w:left="5243" w:hanging="365"/>
      </w:pPr>
      <w:rPr>
        <w:rFonts w:hint="default"/>
        <w:lang w:val="zh-CN" w:eastAsia="zh-CN" w:bidi="zh-CN"/>
      </w:rPr>
    </w:lvl>
    <w:lvl w:ilvl="6">
      <w:start w:val="0"/>
      <w:numFmt w:val="bullet"/>
      <w:lvlText w:val="•"/>
      <w:lvlJc w:val="left"/>
      <w:pPr>
        <w:ind w:left="5971" w:hanging="365"/>
      </w:pPr>
      <w:rPr>
        <w:rFonts w:hint="default"/>
        <w:lang w:val="zh-CN" w:eastAsia="zh-CN" w:bidi="zh-CN"/>
      </w:rPr>
    </w:lvl>
    <w:lvl w:ilvl="7">
      <w:start w:val="0"/>
      <w:numFmt w:val="bullet"/>
      <w:lvlText w:val="•"/>
      <w:lvlJc w:val="left"/>
      <w:pPr>
        <w:ind w:left="6700" w:hanging="365"/>
      </w:pPr>
      <w:rPr>
        <w:rFonts w:hint="default"/>
        <w:lang w:val="zh-CN" w:eastAsia="zh-CN" w:bidi="zh-CN"/>
      </w:rPr>
    </w:lvl>
    <w:lvl w:ilvl="8">
      <w:start w:val="0"/>
      <w:numFmt w:val="bullet"/>
      <w:lvlText w:val="•"/>
      <w:lvlJc w:val="left"/>
      <w:pPr>
        <w:ind w:left="7428" w:hanging="365"/>
      </w:pPr>
      <w:rPr>
        <w:rFonts w:hint="default"/>
        <w:lang w:val="zh-CN" w:eastAsia="zh-CN" w:bidi="zh-CN"/>
      </w:rPr>
    </w:lvl>
  </w:abstractNum>
  <w:abstractNum w:abstractNumId="3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35">
    <w:multiLevelType w:val="hybridMultilevel"/>
    <w:lvl w:ilvl="0">
      <w:start w:val="2"/>
      <w:numFmt w:val="decimal"/>
      <w:lvlText w:val="（%1）"/>
      <w:lvlJc w:val="left"/>
      <w:pPr>
        <w:ind w:left="120" w:hanging="613"/>
        <w:jc w:val="left"/>
      </w:pPr>
      <w:rPr>
        <w:rFonts w:hint="default" w:ascii="宋体" w:hAnsi="宋体" w:eastAsia="宋体" w:cs="宋体"/>
        <w:spacing w:val="4"/>
        <w:w w:val="100"/>
        <w:sz w:val="22"/>
        <w:szCs w:val="22"/>
        <w:lang w:val="zh-CN" w:eastAsia="zh-CN" w:bidi="zh-CN"/>
      </w:rPr>
    </w:lvl>
    <w:lvl w:ilvl="1">
      <w:start w:val="1"/>
      <w:numFmt w:val="decimal"/>
      <w:lvlText w:val="（%2）"/>
      <w:lvlJc w:val="left"/>
      <w:pPr>
        <w:ind w:left="1260" w:hanging="720"/>
        <w:jc w:val="left"/>
      </w:pPr>
      <w:rPr>
        <w:rFonts w:hint="default" w:ascii="宋体" w:hAnsi="宋体" w:eastAsia="宋体" w:cs="宋体"/>
        <w:w w:val="100"/>
        <w:sz w:val="24"/>
        <w:szCs w:val="24"/>
        <w:lang w:val="zh-CN" w:eastAsia="zh-CN" w:bidi="zh-CN"/>
      </w:rPr>
    </w:lvl>
    <w:lvl w:ilvl="2">
      <w:start w:val="0"/>
      <w:numFmt w:val="bullet"/>
      <w:lvlText w:val=""/>
      <w:lvlJc w:val="left"/>
      <w:pPr>
        <w:ind w:left="1680" w:hanging="420"/>
      </w:pPr>
      <w:rPr>
        <w:rFonts w:hint="default" w:ascii="Wingdings" w:hAnsi="Wingdings" w:eastAsia="Wingdings" w:cs="Wingdings"/>
        <w:w w:val="100"/>
        <w:sz w:val="16"/>
        <w:szCs w:val="16"/>
        <w:lang w:val="zh-CN" w:eastAsia="zh-CN" w:bidi="zh-CN"/>
      </w:rPr>
    </w:lvl>
    <w:lvl w:ilvl="3">
      <w:start w:val="0"/>
      <w:numFmt w:val="bullet"/>
      <w:lvlText w:val="•"/>
      <w:lvlJc w:val="left"/>
      <w:pPr>
        <w:ind w:left="2580" w:hanging="420"/>
      </w:pPr>
      <w:rPr>
        <w:rFonts w:hint="default"/>
        <w:lang w:val="zh-CN" w:eastAsia="zh-CN" w:bidi="zh-CN"/>
      </w:rPr>
    </w:lvl>
    <w:lvl w:ilvl="4">
      <w:start w:val="0"/>
      <w:numFmt w:val="bullet"/>
      <w:lvlText w:val="•"/>
      <w:lvlJc w:val="left"/>
      <w:pPr>
        <w:ind w:left="3481" w:hanging="420"/>
      </w:pPr>
      <w:rPr>
        <w:rFonts w:hint="default"/>
        <w:lang w:val="zh-CN" w:eastAsia="zh-CN" w:bidi="zh-CN"/>
      </w:rPr>
    </w:lvl>
    <w:lvl w:ilvl="5">
      <w:start w:val="0"/>
      <w:numFmt w:val="bullet"/>
      <w:lvlText w:val="•"/>
      <w:lvlJc w:val="left"/>
      <w:pPr>
        <w:ind w:left="4382" w:hanging="420"/>
      </w:pPr>
      <w:rPr>
        <w:rFonts w:hint="default"/>
        <w:lang w:val="zh-CN" w:eastAsia="zh-CN" w:bidi="zh-CN"/>
      </w:rPr>
    </w:lvl>
    <w:lvl w:ilvl="6">
      <w:start w:val="0"/>
      <w:numFmt w:val="bullet"/>
      <w:lvlText w:val="•"/>
      <w:lvlJc w:val="left"/>
      <w:pPr>
        <w:ind w:left="5283" w:hanging="420"/>
      </w:pPr>
      <w:rPr>
        <w:rFonts w:hint="default"/>
        <w:lang w:val="zh-CN" w:eastAsia="zh-CN" w:bidi="zh-CN"/>
      </w:rPr>
    </w:lvl>
    <w:lvl w:ilvl="7">
      <w:start w:val="0"/>
      <w:numFmt w:val="bullet"/>
      <w:lvlText w:val="•"/>
      <w:lvlJc w:val="left"/>
      <w:pPr>
        <w:ind w:left="6183" w:hanging="420"/>
      </w:pPr>
      <w:rPr>
        <w:rFonts w:hint="default"/>
        <w:lang w:val="zh-CN" w:eastAsia="zh-CN" w:bidi="zh-CN"/>
      </w:rPr>
    </w:lvl>
    <w:lvl w:ilvl="8">
      <w:start w:val="0"/>
      <w:numFmt w:val="bullet"/>
      <w:lvlText w:val="•"/>
      <w:lvlJc w:val="left"/>
      <w:pPr>
        <w:ind w:left="7084" w:hanging="420"/>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3">
    <w:multiLevelType w:val="hybridMultilevel"/>
    <w:lvl w:ilvl="0">
      <w:start w:val="1"/>
      <w:numFmt w:val="decimal"/>
      <w:lvlText w:val="%1）"/>
      <w:lvlJc w:val="left"/>
      <w:pPr>
        <w:ind w:left="1556" w:hanging="36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292" w:hanging="361"/>
      </w:pPr>
      <w:rPr>
        <w:rFonts w:hint="default"/>
        <w:lang w:val="zh-CN" w:eastAsia="zh-CN" w:bidi="zh-CN"/>
      </w:rPr>
    </w:lvl>
    <w:lvl w:ilvl="2">
      <w:start w:val="0"/>
      <w:numFmt w:val="bullet"/>
      <w:lvlText w:val="•"/>
      <w:lvlJc w:val="left"/>
      <w:pPr>
        <w:ind w:left="3025" w:hanging="361"/>
      </w:pPr>
      <w:rPr>
        <w:rFonts w:hint="default"/>
        <w:lang w:val="zh-CN" w:eastAsia="zh-CN" w:bidi="zh-CN"/>
      </w:rPr>
    </w:lvl>
    <w:lvl w:ilvl="3">
      <w:start w:val="0"/>
      <w:numFmt w:val="bullet"/>
      <w:lvlText w:val="•"/>
      <w:lvlJc w:val="left"/>
      <w:pPr>
        <w:ind w:left="3757" w:hanging="361"/>
      </w:pPr>
      <w:rPr>
        <w:rFonts w:hint="default"/>
        <w:lang w:val="zh-CN" w:eastAsia="zh-CN" w:bidi="zh-CN"/>
      </w:rPr>
    </w:lvl>
    <w:lvl w:ilvl="4">
      <w:start w:val="0"/>
      <w:numFmt w:val="bullet"/>
      <w:lvlText w:val="•"/>
      <w:lvlJc w:val="left"/>
      <w:pPr>
        <w:ind w:left="4490" w:hanging="361"/>
      </w:pPr>
      <w:rPr>
        <w:rFonts w:hint="default"/>
        <w:lang w:val="zh-CN" w:eastAsia="zh-CN" w:bidi="zh-CN"/>
      </w:rPr>
    </w:lvl>
    <w:lvl w:ilvl="5">
      <w:start w:val="0"/>
      <w:numFmt w:val="bullet"/>
      <w:lvlText w:val="•"/>
      <w:lvlJc w:val="left"/>
      <w:pPr>
        <w:ind w:left="5223" w:hanging="361"/>
      </w:pPr>
      <w:rPr>
        <w:rFonts w:hint="default"/>
        <w:lang w:val="zh-CN" w:eastAsia="zh-CN" w:bidi="zh-CN"/>
      </w:rPr>
    </w:lvl>
    <w:lvl w:ilvl="6">
      <w:start w:val="0"/>
      <w:numFmt w:val="bullet"/>
      <w:lvlText w:val="•"/>
      <w:lvlJc w:val="left"/>
      <w:pPr>
        <w:ind w:left="5955" w:hanging="361"/>
      </w:pPr>
      <w:rPr>
        <w:rFonts w:hint="default"/>
        <w:lang w:val="zh-CN" w:eastAsia="zh-CN" w:bidi="zh-CN"/>
      </w:rPr>
    </w:lvl>
    <w:lvl w:ilvl="7">
      <w:start w:val="0"/>
      <w:numFmt w:val="bullet"/>
      <w:lvlText w:val="•"/>
      <w:lvlJc w:val="left"/>
      <w:pPr>
        <w:ind w:left="6688" w:hanging="361"/>
      </w:pPr>
      <w:rPr>
        <w:rFonts w:hint="default"/>
        <w:lang w:val="zh-CN" w:eastAsia="zh-CN" w:bidi="zh-CN"/>
      </w:rPr>
    </w:lvl>
    <w:lvl w:ilvl="8">
      <w:start w:val="0"/>
      <w:numFmt w:val="bullet"/>
      <w:lvlText w:val="•"/>
      <w:lvlJc w:val="left"/>
      <w:pPr>
        <w:ind w:left="7420" w:hanging="361"/>
      </w:pPr>
      <w:rPr>
        <w:rFonts w:hint="default"/>
        <w:lang w:val="zh-CN" w:eastAsia="zh-CN" w:bidi="zh-CN"/>
      </w:rPr>
    </w:lvl>
  </w:abstractNum>
  <w:abstractNum w:abstractNumId="32">
    <w:multiLevelType w:val="hybridMultilevel"/>
    <w:lvl w:ilvl="0">
      <w:start w:val="1"/>
      <w:numFmt w:val="decimal"/>
      <w:lvlText w:val="%1）"/>
      <w:lvlJc w:val="left"/>
      <w:pPr>
        <w:ind w:left="1556" w:hanging="36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292" w:hanging="361"/>
      </w:pPr>
      <w:rPr>
        <w:rFonts w:hint="default"/>
        <w:lang w:val="zh-CN" w:eastAsia="zh-CN" w:bidi="zh-CN"/>
      </w:rPr>
    </w:lvl>
    <w:lvl w:ilvl="2">
      <w:start w:val="0"/>
      <w:numFmt w:val="bullet"/>
      <w:lvlText w:val="•"/>
      <w:lvlJc w:val="left"/>
      <w:pPr>
        <w:ind w:left="3025" w:hanging="361"/>
      </w:pPr>
      <w:rPr>
        <w:rFonts w:hint="default"/>
        <w:lang w:val="zh-CN" w:eastAsia="zh-CN" w:bidi="zh-CN"/>
      </w:rPr>
    </w:lvl>
    <w:lvl w:ilvl="3">
      <w:start w:val="0"/>
      <w:numFmt w:val="bullet"/>
      <w:lvlText w:val="•"/>
      <w:lvlJc w:val="left"/>
      <w:pPr>
        <w:ind w:left="3757" w:hanging="361"/>
      </w:pPr>
      <w:rPr>
        <w:rFonts w:hint="default"/>
        <w:lang w:val="zh-CN" w:eastAsia="zh-CN" w:bidi="zh-CN"/>
      </w:rPr>
    </w:lvl>
    <w:lvl w:ilvl="4">
      <w:start w:val="0"/>
      <w:numFmt w:val="bullet"/>
      <w:lvlText w:val="•"/>
      <w:lvlJc w:val="left"/>
      <w:pPr>
        <w:ind w:left="4490" w:hanging="361"/>
      </w:pPr>
      <w:rPr>
        <w:rFonts w:hint="default"/>
        <w:lang w:val="zh-CN" w:eastAsia="zh-CN" w:bidi="zh-CN"/>
      </w:rPr>
    </w:lvl>
    <w:lvl w:ilvl="5">
      <w:start w:val="0"/>
      <w:numFmt w:val="bullet"/>
      <w:lvlText w:val="•"/>
      <w:lvlJc w:val="left"/>
      <w:pPr>
        <w:ind w:left="5223" w:hanging="361"/>
      </w:pPr>
      <w:rPr>
        <w:rFonts w:hint="default"/>
        <w:lang w:val="zh-CN" w:eastAsia="zh-CN" w:bidi="zh-CN"/>
      </w:rPr>
    </w:lvl>
    <w:lvl w:ilvl="6">
      <w:start w:val="0"/>
      <w:numFmt w:val="bullet"/>
      <w:lvlText w:val="•"/>
      <w:lvlJc w:val="left"/>
      <w:pPr>
        <w:ind w:left="5955" w:hanging="361"/>
      </w:pPr>
      <w:rPr>
        <w:rFonts w:hint="default"/>
        <w:lang w:val="zh-CN" w:eastAsia="zh-CN" w:bidi="zh-CN"/>
      </w:rPr>
    </w:lvl>
    <w:lvl w:ilvl="7">
      <w:start w:val="0"/>
      <w:numFmt w:val="bullet"/>
      <w:lvlText w:val="•"/>
      <w:lvlJc w:val="left"/>
      <w:pPr>
        <w:ind w:left="6688" w:hanging="361"/>
      </w:pPr>
      <w:rPr>
        <w:rFonts w:hint="default"/>
        <w:lang w:val="zh-CN" w:eastAsia="zh-CN" w:bidi="zh-CN"/>
      </w:rPr>
    </w:lvl>
    <w:lvl w:ilvl="8">
      <w:start w:val="0"/>
      <w:numFmt w:val="bullet"/>
      <w:lvlText w:val="•"/>
      <w:lvlJc w:val="left"/>
      <w:pPr>
        <w:ind w:left="7420" w:hanging="361"/>
      </w:pPr>
      <w:rPr>
        <w:rFonts w:hint="default"/>
        <w:lang w:val="zh-CN" w:eastAsia="zh-CN" w:bidi="zh-CN"/>
      </w:rPr>
    </w:lvl>
  </w:abstractNum>
  <w:abstractNum w:abstractNumId="3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56" w:hanging="361"/>
        <w:jc w:val="left"/>
      </w:pPr>
      <w:rPr>
        <w:rFonts w:hint="default" w:ascii="宋体" w:hAnsi="宋体" w:eastAsia="宋体" w:cs="宋体"/>
        <w:spacing w:val="-60"/>
        <w:w w:val="100"/>
        <w:sz w:val="22"/>
        <w:szCs w:val="22"/>
        <w:lang w:val="zh-CN" w:eastAsia="zh-CN" w:bidi="zh-CN"/>
      </w:rPr>
    </w:lvl>
    <w:lvl w:ilvl="2">
      <w:start w:val="0"/>
      <w:numFmt w:val="bullet"/>
      <w:lvlText w:val="•"/>
      <w:lvlJc w:val="left"/>
      <w:pPr>
        <w:ind w:left="2374" w:hanging="361"/>
      </w:pPr>
      <w:rPr>
        <w:rFonts w:hint="default"/>
        <w:lang w:val="zh-CN" w:eastAsia="zh-CN" w:bidi="zh-CN"/>
      </w:rPr>
    </w:lvl>
    <w:lvl w:ilvl="3">
      <w:start w:val="0"/>
      <w:numFmt w:val="bullet"/>
      <w:lvlText w:val="•"/>
      <w:lvlJc w:val="left"/>
      <w:pPr>
        <w:ind w:left="3188" w:hanging="361"/>
      </w:pPr>
      <w:rPr>
        <w:rFonts w:hint="default"/>
        <w:lang w:val="zh-CN" w:eastAsia="zh-CN" w:bidi="zh-CN"/>
      </w:rPr>
    </w:lvl>
    <w:lvl w:ilvl="4">
      <w:start w:val="0"/>
      <w:numFmt w:val="bullet"/>
      <w:lvlText w:val="•"/>
      <w:lvlJc w:val="left"/>
      <w:pPr>
        <w:ind w:left="4002" w:hanging="361"/>
      </w:pPr>
      <w:rPr>
        <w:rFonts w:hint="default"/>
        <w:lang w:val="zh-CN" w:eastAsia="zh-CN" w:bidi="zh-CN"/>
      </w:rPr>
    </w:lvl>
    <w:lvl w:ilvl="5">
      <w:start w:val="0"/>
      <w:numFmt w:val="bullet"/>
      <w:lvlText w:val="•"/>
      <w:lvlJc w:val="left"/>
      <w:pPr>
        <w:ind w:left="4816" w:hanging="361"/>
      </w:pPr>
      <w:rPr>
        <w:rFonts w:hint="default"/>
        <w:lang w:val="zh-CN" w:eastAsia="zh-CN" w:bidi="zh-CN"/>
      </w:rPr>
    </w:lvl>
    <w:lvl w:ilvl="6">
      <w:start w:val="0"/>
      <w:numFmt w:val="bullet"/>
      <w:lvlText w:val="•"/>
      <w:lvlJc w:val="left"/>
      <w:pPr>
        <w:ind w:left="5630" w:hanging="361"/>
      </w:pPr>
      <w:rPr>
        <w:rFonts w:hint="default"/>
        <w:lang w:val="zh-CN" w:eastAsia="zh-CN" w:bidi="zh-CN"/>
      </w:rPr>
    </w:lvl>
    <w:lvl w:ilvl="7">
      <w:start w:val="0"/>
      <w:numFmt w:val="bullet"/>
      <w:lvlText w:val="•"/>
      <w:lvlJc w:val="left"/>
      <w:pPr>
        <w:ind w:left="6444" w:hanging="361"/>
      </w:pPr>
      <w:rPr>
        <w:rFonts w:hint="default"/>
        <w:lang w:val="zh-CN" w:eastAsia="zh-CN" w:bidi="zh-CN"/>
      </w:rPr>
    </w:lvl>
    <w:lvl w:ilvl="8">
      <w:start w:val="0"/>
      <w:numFmt w:val="bullet"/>
      <w:lvlText w:val="•"/>
      <w:lvlJc w:val="left"/>
      <w:pPr>
        <w:ind w:left="7258" w:hanging="361"/>
      </w:pPr>
      <w:rPr>
        <w:rFonts w:hint="default"/>
        <w:lang w:val="zh-CN" w:eastAsia="zh-CN" w:bidi="zh-CN"/>
      </w:rPr>
    </w:lvl>
  </w:abstractNum>
  <w:abstractNum w:abstractNumId="30">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28">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56" w:hanging="369"/>
        <w:jc w:val="left"/>
      </w:pPr>
      <w:rPr>
        <w:rFonts w:hint="default" w:ascii="宋体" w:hAnsi="宋体" w:eastAsia="宋体" w:cs="宋体"/>
        <w:spacing w:val="4"/>
        <w:w w:val="100"/>
        <w:sz w:val="22"/>
        <w:szCs w:val="22"/>
        <w:lang w:val="zh-CN" w:eastAsia="zh-CN" w:bidi="zh-CN"/>
      </w:rPr>
    </w:lvl>
    <w:lvl w:ilvl="2">
      <w:start w:val="0"/>
      <w:numFmt w:val="bullet"/>
      <w:lvlText w:val="•"/>
      <w:lvlJc w:val="left"/>
      <w:pPr>
        <w:ind w:left="2374" w:hanging="369"/>
      </w:pPr>
      <w:rPr>
        <w:rFonts w:hint="default"/>
        <w:lang w:val="zh-CN" w:eastAsia="zh-CN" w:bidi="zh-CN"/>
      </w:rPr>
    </w:lvl>
    <w:lvl w:ilvl="3">
      <w:start w:val="0"/>
      <w:numFmt w:val="bullet"/>
      <w:lvlText w:val="•"/>
      <w:lvlJc w:val="left"/>
      <w:pPr>
        <w:ind w:left="3188" w:hanging="369"/>
      </w:pPr>
      <w:rPr>
        <w:rFonts w:hint="default"/>
        <w:lang w:val="zh-CN" w:eastAsia="zh-CN" w:bidi="zh-CN"/>
      </w:rPr>
    </w:lvl>
    <w:lvl w:ilvl="4">
      <w:start w:val="0"/>
      <w:numFmt w:val="bullet"/>
      <w:lvlText w:val="•"/>
      <w:lvlJc w:val="left"/>
      <w:pPr>
        <w:ind w:left="4002" w:hanging="369"/>
      </w:pPr>
      <w:rPr>
        <w:rFonts w:hint="default"/>
        <w:lang w:val="zh-CN" w:eastAsia="zh-CN" w:bidi="zh-CN"/>
      </w:rPr>
    </w:lvl>
    <w:lvl w:ilvl="5">
      <w:start w:val="0"/>
      <w:numFmt w:val="bullet"/>
      <w:lvlText w:val="•"/>
      <w:lvlJc w:val="left"/>
      <w:pPr>
        <w:ind w:left="4816" w:hanging="369"/>
      </w:pPr>
      <w:rPr>
        <w:rFonts w:hint="default"/>
        <w:lang w:val="zh-CN" w:eastAsia="zh-CN" w:bidi="zh-CN"/>
      </w:rPr>
    </w:lvl>
    <w:lvl w:ilvl="6">
      <w:start w:val="0"/>
      <w:numFmt w:val="bullet"/>
      <w:lvlText w:val="•"/>
      <w:lvlJc w:val="left"/>
      <w:pPr>
        <w:ind w:left="5630" w:hanging="369"/>
      </w:pPr>
      <w:rPr>
        <w:rFonts w:hint="default"/>
        <w:lang w:val="zh-CN" w:eastAsia="zh-CN" w:bidi="zh-CN"/>
      </w:rPr>
    </w:lvl>
    <w:lvl w:ilvl="7">
      <w:start w:val="0"/>
      <w:numFmt w:val="bullet"/>
      <w:lvlText w:val="•"/>
      <w:lvlJc w:val="left"/>
      <w:pPr>
        <w:ind w:left="6444" w:hanging="369"/>
      </w:pPr>
      <w:rPr>
        <w:rFonts w:hint="default"/>
        <w:lang w:val="zh-CN" w:eastAsia="zh-CN" w:bidi="zh-CN"/>
      </w:rPr>
    </w:lvl>
    <w:lvl w:ilvl="8">
      <w:start w:val="0"/>
      <w:numFmt w:val="bullet"/>
      <w:lvlText w:val="•"/>
      <w:lvlJc w:val="left"/>
      <w:pPr>
        <w:ind w:left="7258" w:hanging="369"/>
      </w:pPr>
      <w:rPr>
        <w:rFonts w:hint="default"/>
        <w:lang w:val="zh-CN" w:eastAsia="zh-CN" w:bidi="zh-CN"/>
      </w:rPr>
    </w:lvl>
  </w:abstractNum>
  <w:abstractNum w:abstractNumId="2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25">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2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56" w:hanging="369"/>
        <w:jc w:val="left"/>
      </w:pPr>
      <w:rPr>
        <w:rFonts w:hint="default" w:ascii="宋体" w:hAnsi="宋体" w:eastAsia="宋体" w:cs="宋体"/>
        <w:spacing w:val="4"/>
        <w:w w:val="100"/>
        <w:sz w:val="22"/>
        <w:szCs w:val="22"/>
        <w:lang w:val="zh-CN" w:eastAsia="zh-CN" w:bidi="zh-CN"/>
      </w:rPr>
    </w:lvl>
    <w:lvl w:ilvl="2">
      <w:start w:val="0"/>
      <w:numFmt w:val="bullet"/>
      <w:lvlText w:val="•"/>
      <w:lvlJc w:val="left"/>
      <w:pPr>
        <w:ind w:left="2374" w:hanging="369"/>
      </w:pPr>
      <w:rPr>
        <w:rFonts w:hint="default"/>
        <w:lang w:val="zh-CN" w:eastAsia="zh-CN" w:bidi="zh-CN"/>
      </w:rPr>
    </w:lvl>
    <w:lvl w:ilvl="3">
      <w:start w:val="0"/>
      <w:numFmt w:val="bullet"/>
      <w:lvlText w:val="•"/>
      <w:lvlJc w:val="left"/>
      <w:pPr>
        <w:ind w:left="3188" w:hanging="369"/>
      </w:pPr>
      <w:rPr>
        <w:rFonts w:hint="default"/>
        <w:lang w:val="zh-CN" w:eastAsia="zh-CN" w:bidi="zh-CN"/>
      </w:rPr>
    </w:lvl>
    <w:lvl w:ilvl="4">
      <w:start w:val="0"/>
      <w:numFmt w:val="bullet"/>
      <w:lvlText w:val="•"/>
      <w:lvlJc w:val="left"/>
      <w:pPr>
        <w:ind w:left="4002" w:hanging="369"/>
      </w:pPr>
      <w:rPr>
        <w:rFonts w:hint="default"/>
        <w:lang w:val="zh-CN" w:eastAsia="zh-CN" w:bidi="zh-CN"/>
      </w:rPr>
    </w:lvl>
    <w:lvl w:ilvl="5">
      <w:start w:val="0"/>
      <w:numFmt w:val="bullet"/>
      <w:lvlText w:val="•"/>
      <w:lvlJc w:val="left"/>
      <w:pPr>
        <w:ind w:left="4816" w:hanging="369"/>
      </w:pPr>
      <w:rPr>
        <w:rFonts w:hint="default"/>
        <w:lang w:val="zh-CN" w:eastAsia="zh-CN" w:bidi="zh-CN"/>
      </w:rPr>
    </w:lvl>
    <w:lvl w:ilvl="6">
      <w:start w:val="0"/>
      <w:numFmt w:val="bullet"/>
      <w:lvlText w:val="•"/>
      <w:lvlJc w:val="left"/>
      <w:pPr>
        <w:ind w:left="5630" w:hanging="369"/>
      </w:pPr>
      <w:rPr>
        <w:rFonts w:hint="default"/>
        <w:lang w:val="zh-CN" w:eastAsia="zh-CN" w:bidi="zh-CN"/>
      </w:rPr>
    </w:lvl>
    <w:lvl w:ilvl="7">
      <w:start w:val="0"/>
      <w:numFmt w:val="bullet"/>
      <w:lvlText w:val="•"/>
      <w:lvlJc w:val="left"/>
      <w:pPr>
        <w:ind w:left="6444" w:hanging="369"/>
      </w:pPr>
      <w:rPr>
        <w:rFonts w:hint="default"/>
        <w:lang w:val="zh-CN" w:eastAsia="zh-CN" w:bidi="zh-CN"/>
      </w:rPr>
    </w:lvl>
    <w:lvl w:ilvl="8">
      <w:start w:val="0"/>
      <w:numFmt w:val="bullet"/>
      <w:lvlText w:val="•"/>
      <w:lvlJc w:val="left"/>
      <w:pPr>
        <w:ind w:left="7258" w:hanging="369"/>
      </w:pPr>
      <w:rPr>
        <w:rFonts w:hint="default"/>
        <w:lang w:val="zh-CN" w:eastAsia="zh-CN" w:bidi="zh-CN"/>
      </w:rPr>
    </w:lvl>
  </w:abstractNum>
  <w:abstractNum w:abstractNumId="2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580" w:hanging="601"/>
      </w:pPr>
      <w:rPr>
        <w:rFonts w:hint="default"/>
        <w:lang w:val="zh-CN" w:eastAsia="zh-CN" w:bidi="zh-CN"/>
      </w:rPr>
    </w:lvl>
    <w:lvl w:ilvl="2">
      <w:start w:val="0"/>
      <w:numFmt w:val="bullet"/>
      <w:lvlText w:val="•"/>
      <w:lvlJc w:val="left"/>
      <w:pPr>
        <w:ind w:left="2391" w:hanging="601"/>
      </w:pPr>
      <w:rPr>
        <w:rFonts w:hint="default"/>
        <w:lang w:val="zh-CN" w:eastAsia="zh-CN" w:bidi="zh-CN"/>
      </w:rPr>
    </w:lvl>
    <w:lvl w:ilvl="3">
      <w:start w:val="0"/>
      <w:numFmt w:val="bullet"/>
      <w:lvlText w:val="•"/>
      <w:lvlJc w:val="left"/>
      <w:pPr>
        <w:ind w:left="3203" w:hanging="601"/>
      </w:pPr>
      <w:rPr>
        <w:rFonts w:hint="default"/>
        <w:lang w:val="zh-CN" w:eastAsia="zh-CN" w:bidi="zh-CN"/>
      </w:rPr>
    </w:lvl>
    <w:lvl w:ilvl="4">
      <w:start w:val="0"/>
      <w:numFmt w:val="bullet"/>
      <w:lvlText w:val="•"/>
      <w:lvlJc w:val="left"/>
      <w:pPr>
        <w:ind w:left="4015" w:hanging="601"/>
      </w:pPr>
      <w:rPr>
        <w:rFonts w:hint="default"/>
        <w:lang w:val="zh-CN" w:eastAsia="zh-CN" w:bidi="zh-CN"/>
      </w:rPr>
    </w:lvl>
    <w:lvl w:ilvl="5">
      <w:start w:val="0"/>
      <w:numFmt w:val="bullet"/>
      <w:lvlText w:val="•"/>
      <w:lvlJc w:val="left"/>
      <w:pPr>
        <w:ind w:left="4827" w:hanging="601"/>
      </w:pPr>
      <w:rPr>
        <w:rFonts w:hint="default"/>
        <w:lang w:val="zh-CN" w:eastAsia="zh-CN" w:bidi="zh-CN"/>
      </w:rPr>
    </w:lvl>
    <w:lvl w:ilvl="6">
      <w:start w:val="0"/>
      <w:numFmt w:val="bullet"/>
      <w:lvlText w:val="•"/>
      <w:lvlJc w:val="left"/>
      <w:pPr>
        <w:ind w:left="5638" w:hanging="601"/>
      </w:pPr>
      <w:rPr>
        <w:rFonts w:hint="default"/>
        <w:lang w:val="zh-CN" w:eastAsia="zh-CN" w:bidi="zh-CN"/>
      </w:rPr>
    </w:lvl>
    <w:lvl w:ilvl="7">
      <w:start w:val="0"/>
      <w:numFmt w:val="bullet"/>
      <w:lvlText w:val="•"/>
      <w:lvlJc w:val="left"/>
      <w:pPr>
        <w:ind w:left="6450" w:hanging="601"/>
      </w:pPr>
      <w:rPr>
        <w:rFonts w:hint="default"/>
        <w:lang w:val="zh-CN" w:eastAsia="zh-CN" w:bidi="zh-CN"/>
      </w:rPr>
    </w:lvl>
    <w:lvl w:ilvl="8">
      <w:start w:val="0"/>
      <w:numFmt w:val="bullet"/>
      <w:lvlText w:val="•"/>
      <w:lvlJc w:val="left"/>
      <w:pPr>
        <w:ind w:left="7262" w:hanging="601"/>
      </w:pPr>
      <w:rPr>
        <w:rFonts w:hint="default"/>
        <w:lang w:val="zh-CN" w:eastAsia="zh-CN" w:bidi="zh-CN"/>
      </w:rPr>
    </w:lvl>
  </w:abstractNum>
  <w:abstractNum w:abstractNumId="2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21">
    <w:multiLevelType w:val="hybridMultilevel"/>
    <w:lvl w:ilvl="0">
      <w:start w:val="1"/>
      <w:numFmt w:val="decimal"/>
      <w:lvlText w:val="（%1）"/>
      <w:lvlJc w:val="left"/>
      <w:pPr>
        <w:ind w:left="120"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4"/>
      </w:pPr>
      <w:rPr>
        <w:rFonts w:hint="default"/>
        <w:lang w:val="zh-CN" w:eastAsia="zh-CN" w:bidi="zh-CN"/>
      </w:rPr>
    </w:lvl>
    <w:lvl w:ilvl="2">
      <w:start w:val="0"/>
      <w:numFmt w:val="bullet"/>
      <w:lvlText w:val="•"/>
      <w:lvlJc w:val="left"/>
      <w:pPr>
        <w:ind w:left="1873" w:hanging="604"/>
      </w:pPr>
      <w:rPr>
        <w:rFonts w:hint="default"/>
        <w:lang w:val="zh-CN" w:eastAsia="zh-CN" w:bidi="zh-CN"/>
      </w:rPr>
    </w:lvl>
    <w:lvl w:ilvl="3">
      <w:start w:val="0"/>
      <w:numFmt w:val="bullet"/>
      <w:lvlText w:val="•"/>
      <w:lvlJc w:val="left"/>
      <w:pPr>
        <w:ind w:left="2749" w:hanging="604"/>
      </w:pPr>
      <w:rPr>
        <w:rFonts w:hint="default"/>
        <w:lang w:val="zh-CN" w:eastAsia="zh-CN" w:bidi="zh-CN"/>
      </w:rPr>
    </w:lvl>
    <w:lvl w:ilvl="4">
      <w:start w:val="0"/>
      <w:numFmt w:val="bullet"/>
      <w:lvlText w:val="•"/>
      <w:lvlJc w:val="left"/>
      <w:pPr>
        <w:ind w:left="3626" w:hanging="604"/>
      </w:pPr>
      <w:rPr>
        <w:rFonts w:hint="default"/>
        <w:lang w:val="zh-CN" w:eastAsia="zh-CN" w:bidi="zh-CN"/>
      </w:rPr>
    </w:lvl>
    <w:lvl w:ilvl="5">
      <w:start w:val="0"/>
      <w:numFmt w:val="bullet"/>
      <w:lvlText w:val="•"/>
      <w:lvlJc w:val="left"/>
      <w:pPr>
        <w:ind w:left="4503" w:hanging="604"/>
      </w:pPr>
      <w:rPr>
        <w:rFonts w:hint="default"/>
        <w:lang w:val="zh-CN" w:eastAsia="zh-CN" w:bidi="zh-CN"/>
      </w:rPr>
    </w:lvl>
    <w:lvl w:ilvl="6">
      <w:start w:val="0"/>
      <w:numFmt w:val="bullet"/>
      <w:lvlText w:val="•"/>
      <w:lvlJc w:val="left"/>
      <w:pPr>
        <w:ind w:left="5379" w:hanging="604"/>
      </w:pPr>
      <w:rPr>
        <w:rFonts w:hint="default"/>
        <w:lang w:val="zh-CN" w:eastAsia="zh-CN" w:bidi="zh-CN"/>
      </w:rPr>
    </w:lvl>
    <w:lvl w:ilvl="7">
      <w:start w:val="0"/>
      <w:numFmt w:val="bullet"/>
      <w:lvlText w:val="•"/>
      <w:lvlJc w:val="left"/>
      <w:pPr>
        <w:ind w:left="6256" w:hanging="604"/>
      </w:pPr>
      <w:rPr>
        <w:rFonts w:hint="default"/>
        <w:lang w:val="zh-CN" w:eastAsia="zh-CN" w:bidi="zh-CN"/>
      </w:rPr>
    </w:lvl>
    <w:lvl w:ilvl="8">
      <w:start w:val="0"/>
      <w:numFmt w:val="bullet"/>
      <w:lvlText w:val="•"/>
      <w:lvlJc w:val="left"/>
      <w:pPr>
        <w:ind w:left="7132" w:hanging="604"/>
      </w:pPr>
      <w:rPr>
        <w:rFonts w:hint="default"/>
        <w:lang w:val="zh-CN" w:eastAsia="zh-CN" w:bidi="zh-CN"/>
      </w:rPr>
    </w:lvl>
  </w:abstractNum>
  <w:abstractNum w:abstractNumId="2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8">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17">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16">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1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14">
    <w:multiLevelType w:val="hybridMultilevel"/>
    <w:lvl w:ilvl="0">
      <w:start w:val="1"/>
      <w:numFmt w:val="decimal"/>
      <w:lvlText w:val="%1）"/>
      <w:lvlJc w:val="left"/>
      <w:pPr>
        <w:ind w:left="1556" w:hanging="369"/>
        <w:jc w:val="left"/>
      </w:pPr>
      <w:rPr>
        <w:rFonts w:hint="default" w:ascii="宋体" w:hAnsi="宋体" w:eastAsia="宋体" w:cs="宋体"/>
        <w:spacing w:val="4"/>
        <w:w w:val="100"/>
        <w:sz w:val="22"/>
        <w:szCs w:val="22"/>
        <w:lang w:val="zh-CN" w:eastAsia="zh-CN" w:bidi="zh-CN"/>
      </w:rPr>
    </w:lvl>
    <w:lvl w:ilvl="1">
      <w:start w:val="0"/>
      <w:numFmt w:val="bullet"/>
      <w:lvlText w:val="•"/>
      <w:lvlJc w:val="left"/>
      <w:pPr>
        <w:ind w:left="2292" w:hanging="369"/>
      </w:pPr>
      <w:rPr>
        <w:rFonts w:hint="default"/>
        <w:lang w:val="zh-CN" w:eastAsia="zh-CN" w:bidi="zh-CN"/>
      </w:rPr>
    </w:lvl>
    <w:lvl w:ilvl="2">
      <w:start w:val="0"/>
      <w:numFmt w:val="bullet"/>
      <w:lvlText w:val="•"/>
      <w:lvlJc w:val="left"/>
      <w:pPr>
        <w:ind w:left="3025" w:hanging="369"/>
      </w:pPr>
      <w:rPr>
        <w:rFonts w:hint="default"/>
        <w:lang w:val="zh-CN" w:eastAsia="zh-CN" w:bidi="zh-CN"/>
      </w:rPr>
    </w:lvl>
    <w:lvl w:ilvl="3">
      <w:start w:val="0"/>
      <w:numFmt w:val="bullet"/>
      <w:lvlText w:val="•"/>
      <w:lvlJc w:val="left"/>
      <w:pPr>
        <w:ind w:left="3757" w:hanging="369"/>
      </w:pPr>
      <w:rPr>
        <w:rFonts w:hint="default"/>
        <w:lang w:val="zh-CN" w:eastAsia="zh-CN" w:bidi="zh-CN"/>
      </w:rPr>
    </w:lvl>
    <w:lvl w:ilvl="4">
      <w:start w:val="0"/>
      <w:numFmt w:val="bullet"/>
      <w:lvlText w:val="•"/>
      <w:lvlJc w:val="left"/>
      <w:pPr>
        <w:ind w:left="4490" w:hanging="369"/>
      </w:pPr>
      <w:rPr>
        <w:rFonts w:hint="default"/>
        <w:lang w:val="zh-CN" w:eastAsia="zh-CN" w:bidi="zh-CN"/>
      </w:rPr>
    </w:lvl>
    <w:lvl w:ilvl="5">
      <w:start w:val="0"/>
      <w:numFmt w:val="bullet"/>
      <w:lvlText w:val="•"/>
      <w:lvlJc w:val="left"/>
      <w:pPr>
        <w:ind w:left="5223" w:hanging="369"/>
      </w:pPr>
      <w:rPr>
        <w:rFonts w:hint="default"/>
        <w:lang w:val="zh-CN" w:eastAsia="zh-CN" w:bidi="zh-CN"/>
      </w:rPr>
    </w:lvl>
    <w:lvl w:ilvl="6">
      <w:start w:val="0"/>
      <w:numFmt w:val="bullet"/>
      <w:lvlText w:val="•"/>
      <w:lvlJc w:val="left"/>
      <w:pPr>
        <w:ind w:left="5955" w:hanging="369"/>
      </w:pPr>
      <w:rPr>
        <w:rFonts w:hint="default"/>
        <w:lang w:val="zh-CN" w:eastAsia="zh-CN" w:bidi="zh-CN"/>
      </w:rPr>
    </w:lvl>
    <w:lvl w:ilvl="7">
      <w:start w:val="0"/>
      <w:numFmt w:val="bullet"/>
      <w:lvlText w:val="•"/>
      <w:lvlJc w:val="left"/>
      <w:pPr>
        <w:ind w:left="6688" w:hanging="369"/>
      </w:pPr>
      <w:rPr>
        <w:rFonts w:hint="default"/>
        <w:lang w:val="zh-CN" w:eastAsia="zh-CN" w:bidi="zh-CN"/>
      </w:rPr>
    </w:lvl>
    <w:lvl w:ilvl="8">
      <w:start w:val="0"/>
      <w:numFmt w:val="bullet"/>
      <w:lvlText w:val="•"/>
      <w:lvlJc w:val="left"/>
      <w:pPr>
        <w:ind w:left="7420" w:hanging="369"/>
      </w:pPr>
      <w:rPr>
        <w:rFonts w:hint="default"/>
        <w:lang w:val="zh-CN" w:eastAsia="zh-CN" w:bidi="zh-CN"/>
      </w:rPr>
    </w:lvl>
  </w:abstractNum>
  <w:abstractNum w:abstractNumId="1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1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1">
    <w:multiLevelType w:val="hybridMultilevel"/>
    <w:lvl w:ilvl="0">
      <w:start w:val="1"/>
      <w:numFmt w:val="decimal"/>
      <w:lvlText w:val="%1）"/>
      <w:lvlJc w:val="left"/>
      <w:pPr>
        <w:ind w:left="1556" w:hanging="369"/>
        <w:jc w:val="left"/>
      </w:pPr>
      <w:rPr>
        <w:rFonts w:hint="default" w:ascii="宋体" w:hAnsi="宋体" w:eastAsia="宋体" w:cs="宋体"/>
        <w:spacing w:val="4"/>
        <w:w w:val="100"/>
        <w:sz w:val="22"/>
        <w:szCs w:val="22"/>
        <w:lang w:val="zh-CN" w:eastAsia="zh-CN" w:bidi="zh-CN"/>
      </w:rPr>
    </w:lvl>
    <w:lvl w:ilvl="1">
      <w:start w:val="0"/>
      <w:numFmt w:val="bullet"/>
      <w:lvlText w:val="•"/>
      <w:lvlJc w:val="left"/>
      <w:pPr>
        <w:ind w:left="2292" w:hanging="369"/>
      </w:pPr>
      <w:rPr>
        <w:rFonts w:hint="default"/>
        <w:lang w:val="zh-CN" w:eastAsia="zh-CN" w:bidi="zh-CN"/>
      </w:rPr>
    </w:lvl>
    <w:lvl w:ilvl="2">
      <w:start w:val="0"/>
      <w:numFmt w:val="bullet"/>
      <w:lvlText w:val="•"/>
      <w:lvlJc w:val="left"/>
      <w:pPr>
        <w:ind w:left="3025" w:hanging="369"/>
      </w:pPr>
      <w:rPr>
        <w:rFonts w:hint="default"/>
        <w:lang w:val="zh-CN" w:eastAsia="zh-CN" w:bidi="zh-CN"/>
      </w:rPr>
    </w:lvl>
    <w:lvl w:ilvl="3">
      <w:start w:val="0"/>
      <w:numFmt w:val="bullet"/>
      <w:lvlText w:val="•"/>
      <w:lvlJc w:val="left"/>
      <w:pPr>
        <w:ind w:left="3757" w:hanging="369"/>
      </w:pPr>
      <w:rPr>
        <w:rFonts w:hint="default"/>
        <w:lang w:val="zh-CN" w:eastAsia="zh-CN" w:bidi="zh-CN"/>
      </w:rPr>
    </w:lvl>
    <w:lvl w:ilvl="4">
      <w:start w:val="0"/>
      <w:numFmt w:val="bullet"/>
      <w:lvlText w:val="•"/>
      <w:lvlJc w:val="left"/>
      <w:pPr>
        <w:ind w:left="4490" w:hanging="369"/>
      </w:pPr>
      <w:rPr>
        <w:rFonts w:hint="default"/>
        <w:lang w:val="zh-CN" w:eastAsia="zh-CN" w:bidi="zh-CN"/>
      </w:rPr>
    </w:lvl>
    <w:lvl w:ilvl="5">
      <w:start w:val="0"/>
      <w:numFmt w:val="bullet"/>
      <w:lvlText w:val="•"/>
      <w:lvlJc w:val="left"/>
      <w:pPr>
        <w:ind w:left="5223" w:hanging="369"/>
      </w:pPr>
      <w:rPr>
        <w:rFonts w:hint="default"/>
        <w:lang w:val="zh-CN" w:eastAsia="zh-CN" w:bidi="zh-CN"/>
      </w:rPr>
    </w:lvl>
    <w:lvl w:ilvl="6">
      <w:start w:val="0"/>
      <w:numFmt w:val="bullet"/>
      <w:lvlText w:val="•"/>
      <w:lvlJc w:val="left"/>
      <w:pPr>
        <w:ind w:left="5955" w:hanging="369"/>
      </w:pPr>
      <w:rPr>
        <w:rFonts w:hint="default"/>
        <w:lang w:val="zh-CN" w:eastAsia="zh-CN" w:bidi="zh-CN"/>
      </w:rPr>
    </w:lvl>
    <w:lvl w:ilvl="7">
      <w:start w:val="0"/>
      <w:numFmt w:val="bullet"/>
      <w:lvlText w:val="•"/>
      <w:lvlJc w:val="left"/>
      <w:pPr>
        <w:ind w:left="6688" w:hanging="369"/>
      </w:pPr>
      <w:rPr>
        <w:rFonts w:hint="default"/>
        <w:lang w:val="zh-CN" w:eastAsia="zh-CN" w:bidi="zh-CN"/>
      </w:rPr>
    </w:lvl>
    <w:lvl w:ilvl="8">
      <w:start w:val="0"/>
      <w:numFmt w:val="bullet"/>
      <w:lvlText w:val="•"/>
      <w:lvlJc w:val="left"/>
      <w:pPr>
        <w:ind w:left="7420" w:hanging="369"/>
      </w:pPr>
      <w:rPr>
        <w:rFonts w:hint="default"/>
        <w:lang w:val="zh-CN" w:eastAsia="zh-CN" w:bidi="zh-CN"/>
      </w:rPr>
    </w:lvl>
  </w:abstractNum>
  <w:abstractNum w:abstractNumId="10">
    <w:multiLevelType w:val="hybridMultilevel"/>
    <w:lvl w:ilvl="0">
      <w:start w:val="1"/>
      <w:numFmt w:val="decimal"/>
      <w:lvlText w:val="%1）"/>
      <w:lvlJc w:val="left"/>
      <w:pPr>
        <w:ind w:left="158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361"/>
      </w:pPr>
      <w:rPr>
        <w:rFonts w:hint="default"/>
        <w:lang w:val="zh-CN" w:eastAsia="zh-CN" w:bidi="zh-CN"/>
      </w:rPr>
    </w:lvl>
    <w:lvl w:ilvl="2">
      <w:start w:val="0"/>
      <w:numFmt w:val="bullet"/>
      <w:lvlText w:val="•"/>
      <w:lvlJc w:val="left"/>
      <w:pPr>
        <w:ind w:left="3041" w:hanging="361"/>
      </w:pPr>
      <w:rPr>
        <w:rFonts w:hint="default"/>
        <w:lang w:val="zh-CN" w:eastAsia="zh-CN" w:bidi="zh-CN"/>
      </w:rPr>
    </w:lvl>
    <w:lvl w:ilvl="3">
      <w:start w:val="0"/>
      <w:numFmt w:val="bullet"/>
      <w:lvlText w:val="•"/>
      <w:lvlJc w:val="left"/>
      <w:pPr>
        <w:ind w:left="3771" w:hanging="361"/>
      </w:pPr>
      <w:rPr>
        <w:rFonts w:hint="default"/>
        <w:lang w:val="zh-CN" w:eastAsia="zh-CN" w:bidi="zh-CN"/>
      </w:rPr>
    </w:lvl>
    <w:lvl w:ilvl="4">
      <w:start w:val="0"/>
      <w:numFmt w:val="bullet"/>
      <w:lvlText w:val="•"/>
      <w:lvlJc w:val="left"/>
      <w:pPr>
        <w:ind w:left="4502" w:hanging="361"/>
      </w:pPr>
      <w:rPr>
        <w:rFonts w:hint="default"/>
        <w:lang w:val="zh-CN" w:eastAsia="zh-CN" w:bidi="zh-CN"/>
      </w:rPr>
    </w:lvl>
    <w:lvl w:ilvl="5">
      <w:start w:val="0"/>
      <w:numFmt w:val="bullet"/>
      <w:lvlText w:val="•"/>
      <w:lvlJc w:val="left"/>
      <w:pPr>
        <w:ind w:left="5233" w:hanging="361"/>
      </w:pPr>
      <w:rPr>
        <w:rFonts w:hint="default"/>
        <w:lang w:val="zh-CN" w:eastAsia="zh-CN" w:bidi="zh-CN"/>
      </w:rPr>
    </w:lvl>
    <w:lvl w:ilvl="6">
      <w:start w:val="0"/>
      <w:numFmt w:val="bullet"/>
      <w:lvlText w:val="•"/>
      <w:lvlJc w:val="left"/>
      <w:pPr>
        <w:ind w:left="5963" w:hanging="361"/>
      </w:pPr>
      <w:rPr>
        <w:rFonts w:hint="default"/>
        <w:lang w:val="zh-CN" w:eastAsia="zh-CN" w:bidi="zh-CN"/>
      </w:rPr>
    </w:lvl>
    <w:lvl w:ilvl="7">
      <w:start w:val="0"/>
      <w:numFmt w:val="bullet"/>
      <w:lvlText w:val="•"/>
      <w:lvlJc w:val="left"/>
      <w:pPr>
        <w:ind w:left="6694" w:hanging="361"/>
      </w:pPr>
      <w:rPr>
        <w:rFonts w:hint="default"/>
        <w:lang w:val="zh-CN" w:eastAsia="zh-CN" w:bidi="zh-CN"/>
      </w:rPr>
    </w:lvl>
    <w:lvl w:ilvl="8">
      <w:start w:val="0"/>
      <w:numFmt w:val="bullet"/>
      <w:lvlText w:val="•"/>
      <w:lvlJc w:val="left"/>
      <w:pPr>
        <w:ind w:left="7424" w:hanging="361"/>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589" w:hanging="361"/>
        <w:jc w:val="left"/>
      </w:pPr>
      <w:rPr>
        <w:rFonts w:hint="default" w:ascii="宋体" w:hAnsi="宋体" w:eastAsia="宋体" w:cs="宋体"/>
        <w:w w:val="100"/>
        <w:sz w:val="22"/>
        <w:szCs w:val="22"/>
        <w:lang w:val="zh-CN" w:eastAsia="zh-CN" w:bidi="zh-CN"/>
      </w:rPr>
    </w:lvl>
    <w:lvl w:ilvl="2">
      <w:start w:val="0"/>
      <w:numFmt w:val="bullet"/>
      <w:lvlText w:val="•"/>
      <w:lvlJc w:val="left"/>
      <w:pPr>
        <w:ind w:left="2391" w:hanging="361"/>
      </w:pPr>
      <w:rPr>
        <w:rFonts w:hint="default"/>
        <w:lang w:val="zh-CN" w:eastAsia="zh-CN" w:bidi="zh-CN"/>
      </w:rPr>
    </w:lvl>
    <w:lvl w:ilvl="3">
      <w:start w:val="0"/>
      <w:numFmt w:val="bullet"/>
      <w:lvlText w:val="•"/>
      <w:lvlJc w:val="left"/>
      <w:pPr>
        <w:ind w:left="3203" w:hanging="361"/>
      </w:pPr>
      <w:rPr>
        <w:rFonts w:hint="default"/>
        <w:lang w:val="zh-CN" w:eastAsia="zh-CN" w:bidi="zh-CN"/>
      </w:rPr>
    </w:lvl>
    <w:lvl w:ilvl="4">
      <w:start w:val="0"/>
      <w:numFmt w:val="bullet"/>
      <w:lvlText w:val="•"/>
      <w:lvlJc w:val="left"/>
      <w:pPr>
        <w:ind w:left="4015" w:hanging="361"/>
      </w:pPr>
      <w:rPr>
        <w:rFonts w:hint="default"/>
        <w:lang w:val="zh-CN" w:eastAsia="zh-CN" w:bidi="zh-CN"/>
      </w:rPr>
    </w:lvl>
    <w:lvl w:ilvl="5">
      <w:start w:val="0"/>
      <w:numFmt w:val="bullet"/>
      <w:lvlText w:val="•"/>
      <w:lvlJc w:val="left"/>
      <w:pPr>
        <w:ind w:left="4827" w:hanging="361"/>
      </w:pPr>
      <w:rPr>
        <w:rFonts w:hint="default"/>
        <w:lang w:val="zh-CN" w:eastAsia="zh-CN" w:bidi="zh-CN"/>
      </w:rPr>
    </w:lvl>
    <w:lvl w:ilvl="6">
      <w:start w:val="0"/>
      <w:numFmt w:val="bullet"/>
      <w:lvlText w:val="•"/>
      <w:lvlJc w:val="left"/>
      <w:pPr>
        <w:ind w:left="5638" w:hanging="361"/>
      </w:pPr>
      <w:rPr>
        <w:rFonts w:hint="default"/>
        <w:lang w:val="zh-CN" w:eastAsia="zh-CN" w:bidi="zh-CN"/>
      </w:rPr>
    </w:lvl>
    <w:lvl w:ilvl="7">
      <w:start w:val="0"/>
      <w:numFmt w:val="bullet"/>
      <w:lvlText w:val="•"/>
      <w:lvlJc w:val="left"/>
      <w:pPr>
        <w:ind w:left="6450" w:hanging="361"/>
      </w:pPr>
      <w:rPr>
        <w:rFonts w:hint="default"/>
        <w:lang w:val="zh-CN" w:eastAsia="zh-CN" w:bidi="zh-CN"/>
      </w:rPr>
    </w:lvl>
    <w:lvl w:ilvl="8">
      <w:start w:val="0"/>
      <w:numFmt w:val="bullet"/>
      <w:lvlText w:val="•"/>
      <w:lvlJc w:val="left"/>
      <w:pPr>
        <w:ind w:left="7262" w:hanging="361"/>
      </w:pPr>
      <w:rPr>
        <w:rFonts w:hint="default"/>
        <w:lang w:val="zh-CN" w:eastAsia="zh-CN" w:bidi="zh-CN"/>
      </w:rPr>
    </w:lvl>
  </w:abstractNum>
  <w:abstractNum w:abstractNumId="8">
    <w:multiLevelType w:val="hybridMultilevel"/>
    <w:lvl w:ilvl="0">
      <w:start w:val="1"/>
      <w:numFmt w:val="decimal"/>
      <w:lvlText w:val="%1）"/>
      <w:lvlJc w:val="left"/>
      <w:pPr>
        <w:ind w:left="120" w:hanging="362"/>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362"/>
      </w:pPr>
      <w:rPr>
        <w:rFonts w:hint="default"/>
        <w:lang w:val="zh-CN" w:eastAsia="zh-CN" w:bidi="zh-CN"/>
      </w:rPr>
    </w:lvl>
    <w:lvl w:ilvl="2">
      <w:start w:val="0"/>
      <w:numFmt w:val="bullet"/>
      <w:lvlText w:val="•"/>
      <w:lvlJc w:val="left"/>
      <w:pPr>
        <w:ind w:left="1873" w:hanging="362"/>
      </w:pPr>
      <w:rPr>
        <w:rFonts w:hint="default"/>
        <w:lang w:val="zh-CN" w:eastAsia="zh-CN" w:bidi="zh-CN"/>
      </w:rPr>
    </w:lvl>
    <w:lvl w:ilvl="3">
      <w:start w:val="0"/>
      <w:numFmt w:val="bullet"/>
      <w:lvlText w:val="•"/>
      <w:lvlJc w:val="left"/>
      <w:pPr>
        <w:ind w:left="2749" w:hanging="362"/>
      </w:pPr>
      <w:rPr>
        <w:rFonts w:hint="default"/>
        <w:lang w:val="zh-CN" w:eastAsia="zh-CN" w:bidi="zh-CN"/>
      </w:rPr>
    </w:lvl>
    <w:lvl w:ilvl="4">
      <w:start w:val="0"/>
      <w:numFmt w:val="bullet"/>
      <w:lvlText w:val="•"/>
      <w:lvlJc w:val="left"/>
      <w:pPr>
        <w:ind w:left="3626" w:hanging="362"/>
      </w:pPr>
      <w:rPr>
        <w:rFonts w:hint="default"/>
        <w:lang w:val="zh-CN" w:eastAsia="zh-CN" w:bidi="zh-CN"/>
      </w:rPr>
    </w:lvl>
    <w:lvl w:ilvl="5">
      <w:start w:val="0"/>
      <w:numFmt w:val="bullet"/>
      <w:lvlText w:val="•"/>
      <w:lvlJc w:val="left"/>
      <w:pPr>
        <w:ind w:left="4503" w:hanging="362"/>
      </w:pPr>
      <w:rPr>
        <w:rFonts w:hint="default"/>
        <w:lang w:val="zh-CN" w:eastAsia="zh-CN" w:bidi="zh-CN"/>
      </w:rPr>
    </w:lvl>
    <w:lvl w:ilvl="6">
      <w:start w:val="0"/>
      <w:numFmt w:val="bullet"/>
      <w:lvlText w:val="•"/>
      <w:lvlJc w:val="left"/>
      <w:pPr>
        <w:ind w:left="5379" w:hanging="362"/>
      </w:pPr>
      <w:rPr>
        <w:rFonts w:hint="default"/>
        <w:lang w:val="zh-CN" w:eastAsia="zh-CN" w:bidi="zh-CN"/>
      </w:rPr>
    </w:lvl>
    <w:lvl w:ilvl="7">
      <w:start w:val="0"/>
      <w:numFmt w:val="bullet"/>
      <w:lvlText w:val="•"/>
      <w:lvlJc w:val="left"/>
      <w:pPr>
        <w:ind w:left="6256" w:hanging="362"/>
      </w:pPr>
      <w:rPr>
        <w:rFonts w:hint="default"/>
        <w:lang w:val="zh-CN" w:eastAsia="zh-CN" w:bidi="zh-CN"/>
      </w:rPr>
    </w:lvl>
    <w:lvl w:ilvl="8">
      <w:start w:val="0"/>
      <w:numFmt w:val="bullet"/>
      <w:lvlText w:val="•"/>
      <w:lvlJc w:val="left"/>
      <w:pPr>
        <w:ind w:left="7132" w:hanging="362"/>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0">
    <w:multiLevelType w:val="hybridMultilevel"/>
    <w:lvl w:ilvl="0">
      <w:start w:val="2"/>
      <w:numFmt w:val="decimal"/>
      <w:lvlText w:val="（%1）"/>
      <w:lvlJc w:val="left"/>
      <w:pPr>
        <w:ind w:left="721"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1201"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920" w:hanging="601"/>
      </w:pPr>
      <w:rPr>
        <w:rFonts w:hint="default"/>
        <w:lang w:val="zh-CN" w:eastAsia="zh-CN" w:bidi="zh-CN"/>
      </w:rPr>
    </w:lvl>
    <w:lvl w:ilvl="3">
      <w:start w:val="0"/>
      <w:numFmt w:val="bullet"/>
      <w:lvlText w:val="•"/>
      <w:lvlJc w:val="left"/>
      <w:pPr>
        <w:ind w:left="3665" w:hanging="601"/>
      </w:pPr>
      <w:rPr>
        <w:rFonts w:hint="default"/>
        <w:lang w:val="zh-CN" w:eastAsia="zh-CN" w:bidi="zh-CN"/>
      </w:rPr>
    </w:lvl>
    <w:lvl w:ilvl="4">
      <w:start w:val="0"/>
      <w:numFmt w:val="bullet"/>
      <w:lvlText w:val="•"/>
      <w:lvlJc w:val="left"/>
      <w:pPr>
        <w:ind w:left="4411" w:hanging="601"/>
      </w:pPr>
      <w:rPr>
        <w:rFonts w:hint="default"/>
        <w:lang w:val="zh-CN" w:eastAsia="zh-CN" w:bidi="zh-CN"/>
      </w:rPr>
    </w:lvl>
    <w:lvl w:ilvl="5">
      <w:start w:val="0"/>
      <w:numFmt w:val="bullet"/>
      <w:lvlText w:val="•"/>
      <w:lvlJc w:val="left"/>
      <w:pPr>
        <w:ind w:left="5157" w:hanging="601"/>
      </w:pPr>
      <w:rPr>
        <w:rFonts w:hint="default"/>
        <w:lang w:val="zh-CN" w:eastAsia="zh-CN" w:bidi="zh-CN"/>
      </w:rPr>
    </w:lvl>
    <w:lvl w:ilvl="6">
      <w:start w:val="0"/>
      <w:numFmt w:val="bullet"/>
      <w:lvlText w:val="•"/>
      <w:lvlJc w:val="left"/>
      <w:pPr>
        <w:ind w:left="5903" w:hanging="601"/>
      </w:pPr>
      <w:rPr>
        <w:rFonts w:hint="default"/>
        <w:lang w:val="zh-CN" w:eastAsia="zh-CN" w:bidi="zh-CN"/>
      </w:rPr>
    </w:lvl>
    <w:lvl w:ilvl="7">
      <w:start w:val="0"/>
      <w:numFmt w:val="bullet"/>
      <w:lvlText w:val="•"/>
      <w:lvlJc w:val="left"/>
      <w:pPr>
        <w:ind w:left="6648" w:hanging="601"/>
      </w:pPr>
      <w:rPr>
        <w:rFonts w:hint="default"/>
        <w:lang w:val="zh-CN" w:eastAsia="zh-CN" w:bidi="zh-CN"/>
      </w:rPr>
    </w:lvl>
    <w:lvl w:ilvl="8">
      <w:start w:val="0"/>
      <w:numFmt w:val="bullet"/>
      <w:lvlText w:val="•"/>
      <w:lvlJc w:val="left"/>
      <w:pPr>
        <w:ind w:left="7394" w:hanging="601"/>
      </w:pPr>
      <w:rPr>
        <w:rFonts w:hint="default"/>
        <w:lang w:val="zh-CN" w:eastAsia="zh-CN" w:bidi="zh-CN"/>
      </w:rPr>
    </w:lvl>
  </w:abstract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64"/>
      <w:ind w:left="120"/>
    </w:pPr>
    <w:rPr>
      <w:rFonts w:ascii="Microsoft JhengHei" w:hAnsi="Microsoft JhengHei" w:eastAsia="Microsoft JhengHei" w:cs="Microsoft JhengHei"/>
      <w:b/>
      <w:bCs/>
      <w:sz w:val="20"/>
      <w:szCs w:val="20"/>
      <w:lang w:val="zh-CN" w:eastAsia="zh-CN" w:bidi="zh-CN"/>
    </w:rPr>
  </w:style>
  <w:style w:styleId="BodyText" w:type="paragraph">
    <w:name w:val="Body Text"/>
    <w:basedOn w:val="Normal"/>
    <w:uiPriority w:val="1"/>
    <w:qFormat/>
    <w:pPr>
      <w:spacing w:before="1"/>
      <w:ind w:left="120"/>
    </w:pPr>
    <w:rPr>
      <w:rFonts w:ascii="宋体" w:hAnsi="宋体" w:eastAsia="宋体" w:cs="宋体"/>
      <w:sz w:val="24"/>
      <w:szCs w:val="24"/>
      <w:lang w:val="zh-CN" w:eastAsia="zh-CN" w:bidi="zh-CN"/>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4"/>
      <w:szCs w:val="24"/>
      <w:lang w:val="zh-CN" w:eastAsia="zh-CN" w:bidi="zh-CN"/>
    </w:rPr>
  </w:style>
  <w:style w:styleId="ListParagraph" w:type="paragraph">
    <w:name w:val="List Paragraph"/>
    <w:basedOn w:val="Normal"/>
    <w:uiPriority w:val="1"/>
    <w:qFormat/>
    <w:pPr>
      <w:spacing w:before="1"/>
      <w:ind w:left="120" w:hanging="601"/>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2020-11-18T06:15:46Z</dcterms:created>
  <dcterms:modified xsi:type="dcterms:W3CDTF">2020-11-18T06:15:46Z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Aspose Ltd.</vt:lpwstr>
  </property>
  <property fmtid="{D5CDD505-2E9C-101B-9397-08002B2CF9AE}" pid="4" name="LastSaved">
    <vt:filetime>2020-11-18T00:00:00Z</vt:filetime>
  </property>
</Properties>
</file>