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1F5DEC" w:rsidRDefault="00AE3F5B" w:rsidP="0044723E">
      <w:pPr>
        <w:jc w:val="center"/>
        <w:rPr>
          <w:rFonts w:ascii="宋体" w:hAnsi="宋体"/>
          <w:b/>
          <w:bCs/>
          <w:sz w:val="48"/>
          <w:szCs w:val="30"/>
        </w:rPr>
      </w:pPr>
      <w:r w:rsidRPr="0044723E">
        <w:rPr>
          <w:rFonts w:ascii="宋体" w:hAnsi="宋体"/>
          <w:b/>
          <w:bCs/>
          <w:sz w:val="48"/>
          <w:szCs w:val="30"/>
        </w:rPr>
        <w:t xml:space="preserve"> </w:t>
      </w:r>
      <w:r w:rsidR="008934B0">
        <w:rPr>
          <w:rFonts w:ascii="宋体" w:hAnsi="宋体" w:hint="eastAsia"/>
          <w:b/>
          <w:bCs/>
          <w:sz w:val="48"/>
          <w:szCs w:val="30"/>
        </w:rPr>
        <w:t>南方原油证券投资基金</w:t>
      </w:r>
    </w:p>
    <w:p w:rsidR="0044723E" w:rsidRPr="0044723E" w:rsidRDefault="008934B0" w:rsidP="0044723E">
      <w:pPr>
        <w:jc w:val="center"/>
        <w:rPr>
          <w:rFonts w:ascii="宋体" w:hAnsi="宋体"/>
          <w:b/>
          <w:bCs/>
          <w:sz w:val="48"/>
          <w:szCs w:val="30"/>
        </w:rPr>
      </w:pPr>
      <w:r>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934B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934B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934B0">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934B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934B0">
      <w:pPr>
        <w:pStyle w:val="-1"/>
        <w:ind w:left="281" w:hanging="281"/>
      </w:pPr>
      <w:r>
        <w:br w:type="page"/>
      </w:r>
      <w:r w:rsidR="008934B0">
        <w:rPr>
          <w:rFonts w:hint="eastAsia"/>
        </w:rPr>
        <w:lastRenderedPageBreak/>
        <w:t>重要提示</w:t>
      </w:r>
    </w:p>
    <w:p w:rsidR="008934B0" w:rsidRDefault="008934B0" w:rsidP="008934B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934B0" w:rsidRDefault="008934B0" w:rsidP="008934B0">
      <w:pPr>
        <w:pStyle w:val="-"/>
        <w:ind w:firstLine="420"/>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8934B0" w:rsidRDefault="008934B0" w:rsidP="008934B0">
      <w:pPr>
        <w:pStyle w:val="-"/>
        <w:ind w:firstLine="420"/>
      </w:pPr>
      <w:r>
        <w:rPr>
          <w:rFonts w:hint="eastAsia"/>
        </w:rPr>
        <w:t>基金管理人承诺以诚实信用、勤勉尽责的原则管理和运用基金资产，但不保证基金一定盈利。</w:t>
      </w:r>
    </w:p>
    <w:p w:rsidR="008934B0" w:rsidRDefault="008934B0" w:rsidP="008934B0">
      <w:pPr>
        <w:pStyle w:val="-"/>
        <w:ind w:firstLine="420"/>
      </w:pPr>
      <w:r>
        <w:rPr>
          <w:rFonts w:hint="eastAsia"/>
        </w:rPr>
        <w:t>基金的过往业绩并不代表其未来表现。投资有风险，投资者在作出投资决策前应仔细阅读本基金的招募说明书。</w:t>
      </w:r>
    </w:p>
    <w:p w:rsidR="008934B0" w:rsidRDefault="008934B0" w:rsidP="008934B0">
      <w:pPr>
        <w:pStyle w:val="-"/>
        <w:ind w:firstLine="420"/>
      </w:pPr>
      <w:r>
        <w:rPr>
          <w:rFonts w:hint="eastAsia"/>
        </w:rPr>
        <w:t>本报告中财务资料未经审计。</w:t>
      </w:r>
    </w:p>
    <w:p w:rsidR="008934B0" w:rsidRDefault="008934B0" w:rsidP="008934B0">
      <w:pPr>
        <w:pStyle w:val="-"/>
        <w:ind w:firstLine="420"/>
      </w:pPr>
      <w:r>
        <w:rPr>
          <w:rFonts w:hint="eastAsia"/>
        </w:rPr>
        <w:t>本报告期自2020年7月1日起至9月30日止。</w:t>
      </w:r>
    </w:p>
    <w:p w:rsidR="008934B0" w:rsidRDefault="008934B0" w:rsidP="008934B0">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660"/>
        <w:gridCol w:w="3021"/>
        <w:gridCol w:w="2841"/>
      </w:tblGrid>
      <w:tr w:rsidR="008934B0" w:rsidTr="001F5DEC">
        <w:tc>
          <w:tcPr>
            <w:tcW w:w="2660" w:type="dxa"/>
          </w:tcPr>
          <w:p w:rsidR="008934B0" w:rsidRDefault="008934B0" w:rsidP="008934B0">
            <w:pPr>
              <w:jc w:val="left"/>
            </w:pPr>
            <w:r>
              <w:rPr>
                <w:rFonts w:hint="eastAsia"/>
              </w:rPr>
              <w:t>基金简称</w:t>
            </w:r>
          </w:p>
        </w:tc>
        <w:tc>
          <w:tcPr>
            <w:tcW w:w="5862" w:type="dxa"/>
            <w:gridSpan w:val="2"/>
          </w:tcPr>
          <w:p w:rsidR="008934B0" w:rsidRDefault="008934B0" w:rsidP="008934B0">
            <w:pPr>
              <w:jc w:val="left"/>
            </w:pPr>
            <w:r>
              <w:rPr>
                <w:rFonts w:hint="eastAsia"/>
              </w:rPr>
              <w:t>南方原油</w:t>
            </w:r>
            <w:r>
              <w:rPr>
                <w:rFonts w:hint="eastAsia"/>
              </w:rPr>
              <w:t>(LOF-QDII)</w:t>
            </w:r>
          </w:p>
        </w:tc>
      </w:tr>
      <w:tr w:rsidR="008934B0" w:rsidTr="001F5DEC">
        <w:tc>
          <w:tcPr>
            <w:tcW w:w="2660" w:type="dxa"/>
          </w:tcPr>
          <w:p w:rsidR="008934B0" w:rsidRDefault="008934B0" w:rsidP="008934B0">
            <w:pPr>
              <w:jc w:val="left"/>
            </w:pPr>
            <w:r>
              <w:rPr>
                <w:rFonts w:hint="eastAsia"/>
              </w:rPr>
              <w:t>场内简称</w:t>
            </w:r>
          </w:p>
        </w:tc>
        <w:tc>
          <w:tcPr>
            <w:tcW w:w="5862" w:type="dxa"/>
            <w:gridSpan w:val="2"/>
          </w:tcPr>
          <w:p w:rsidR="008934B0" w:rsidRDefault="008934B0" w:rsidP="008934B0">
            <w:pPr>
              <w:jc w:val="left"/>
            </w:pPr>
            <w:r>
              <w:rPr>
                <w:rFonts w:hint="eastAsia"/>
              </w:rPr>
              <w:t>南方原油（南方原油</w:t>
            </w:r>
            <w:r>
              <w:rPr>
                <w:rFonts w:hint="eastAsia"/>
              </w:rPr>
              <w:t>LOF</w:t>
            </w:r>
            <w:r>
              <w:rPr>
                <w:rFonts w:hint="eastAsia"/>
              </w:rPr>
              <w:t>）</w:t>
            </w:r>
          </w:p>
        </w:tc>
      </w:tr>
      <w:tr w:rsidR="008934B0" w:rsidTr="001F5DEC">
        <w:tc>
          <w:tcPr>
            <w:tcW w:w="2660" w:type="dxa"/>
          </w:tcPr>
          <w:p w:rsidR="008934B0" w:rsidRDefault="008934B0" w:rsidP="008934B0">
            <w:pPr>
              <w:jc w:val="left"/>
            </w:pPr>
            <w:r>
              <w:rPr>
                <w:rFonts w:hint="eastAsia"/>
              </w:rPr>
              <w:t>基金主代码</w:t>
            </w:r>
          </w:p>
        </w:tc>
        <w:tc>
          <w:tcPr>
            <w:tcW w:w="5862" w:type="dxa"/>
            <w:gridSpan w:val="2"/>
          </w:tcPr>
          <w:p w:rsidR="008934B0" w:rsidRDefault="008934B0" w:rsidP="008934B0">
            <w:pPr>
              <w:jc w:val="left"/>
            </w:pPr>
            <w:r>
              <w:t>501018</w:t>
            </w:r>
          </w:p>
        </w:tc>
      </w:tr>
      <w:tr w:rsidR="008934B0" w:rsidTr="001F5DEC">
        <w:tc>
          <w:tcPr>
            <w:tcW w:w="2660" w:type="dxa"/>
          </w:tcPr>
          <w:p w:rsidR="008934B0" w:rsidRDefault="008934B0" w:rsidP="008934B0">
            <w:pPr>
              <w:jc w:val="left"/>
            </w:pPr>
            <w:r>
              <w:rPr>
                <w:rFonts w:hint="eastAsia"/>
              </w:rPr>
              <w:t>交易代码</w:t>
            </w:r>
          </w:p>
        </w:tc>
        <w:tc>
          <w:tcPr>
            <w:tcW w:w="5862" w:type="dxa"/>
            <w:gridSpan w:val="2"/>
          </w:tcPr>
          <w:p w:rsidR="008934B0" w:rsidRDefault="008934B0" w:rsidP="008934B0">
            <w:pPr>
              <w:jc w:val="left"/>
            </w:pPr>
            <w:r>
              <w:t>501018</w:t>
            </w:r>
          </w:p>
        </w:tc>
      </w:tr>
      <w:tr w:rsidR="008934B0" w:rsidTr="001F5DEC">
        <w:tc>
          <w:tcPr>
            <w:tcW w:w="2660" w:type="dxa"/>
          </w:tcPr>
          <w:p w:rsidR="008934B0" w:rsidRDefault="008934B0" w:rsidP="008934B0">
            <w:pPr>
              <w:jc w:val="left"/>
            </w:pPr>
            <w:r>
              <w:rPr>
                <w:rFonts w:hint="eastAsia"/>
              </w:rPr>
              <w:t>基金运作方式</w:t>
            </w:r>
          </w:p>
        </w:tc>
        <w:tc>
          <w:tcPr>
            <w:tcW w:w="5862" w:type="dxa"/>
            <w:gridSpan w:val="2"/>
          </w:tcPr>
          <w:p w:rsidR="008934B0" w:rsidRDefault="008934B0" w:rsidP="008934B0">
            <w:pPr>
              <w:jc w:val="left"/>
            </w:pPr>
            <w:r>
              <w:rPr>
                <w:rFonts w:hint="eastAsia"/>
              </w:rPr>
              <w:t>上市契约型开放式（</w:t>
            </w:r>
            <w:r>
              <w:rPr>
                <w:rFonts w:hint="eastAsia"/>
              </w:rPr>
              <w:t>LOF</w:t>
            </w:r>
            <w:r>
              <w:rPr>
                <w:rFonts w:hint="eastAsia"/>
              </w:rPr>
              <w:t>）</w:t>
            </w:r>
          </w:p>
        </w:tc>
      </w:tr>
      <w:tr w:rsidR="008934B0" w:rsidTr="001F5DEC">
        <w:tc>
          <w:tcPr>
            <w:tcW w:w="2660" w:type="dxa"/>
          </w:tcPr>
          <w:p w:rsidR="008934B0" w:rsidRDefault="008934B0" w:rsidP="008934B0">
            <w:pPr>
              <w:jc w:val="left"/>
            </w:pPr>
            <w:r>
              <w:rPr>
                <w:rFonts w:hint="eastAsia"/>
              </w:rPr>
              <w:t>基金合同生效日</w:t>
            </w:r>
          </w:p>
        </w:tc>
        <w:tc>
          <w:tcPr>
            <w:tcW w:w="5862" w:type="dxa"/>
            <w:gridSpan w:val="2"/>
          </w:tcPr>
          <w:p w:rsidR="008934B0" w:rsidRDefault="008934B0" w:rsidP="008934B0">
            <w:pPr>
              <w:jc w:val="left"/>
            </w:pPr>
            <w:r>
              <w:rPr>
                <w:rFonts w:hint="eastAsia"/>
              </w:rPr>
              <w:t>2016</w:t>
            </w:r>
            <w:r>
              <w:rPr>
                <w:rFonts w:hint="eastAsia"/>
              </w:rPr>
              <w:t>年</w:t>
            </w:r>
            <w:r>
              <w:rPr>
                <w:rFonts w:hint="eastAsia"/>
              </w:rPr>
              <w:t>6</w:t>
            </w:r>
            <w:r>
              <w:rPr>
                <w:rFonts w:hint="eastAsia"/>
              </w:rPr>
              <w:t>月</w:t>
            </w:r>
            <w:r>
              <w:rPr>
                <w:rFonts w:hint="eastAsia"/>
              </w:rPr>
              <w:t>15</w:t>
            </w:r>
            <w:r>
              <w:rPr>
                <w:rFonts w:hint="eastAsia"/>
              </w:rPr>
              <w:t>日</w:t>
            </w:r>
          </w:p>
        </w:tc>
      </w:tr>
      <w:tr w:rsidR="008934B0" w:rsidTr="001F5DEC">
        <w:tc>
          <w:tcPr>
            <w:tcW w:w="2660" w:type="dxa"/>
          </w:tcPr>
          <w:p w:rsidR="008934B0" w:rsidRDefault="008934B0" w:rsidP="008934B0">
            <w:pPr>
              <w:jc w:val="left"/>
            </w:pPr>
            <w:r>
              <w:rPr>
                <w:rFonts w:hint="eastAsia"/>
              </w:rPr>
              <w:t>报告期末基金份额总额</w:t>
            </w:r>
          </w:p>
        </w:tc>
        <w:tc>
          <w:tcPr>
            <w:tcW w:w="5862" w:type="dxa"/>
            <w:gridSpan w:val="2"/>
          </w:tcPr>
          <w:p w:rsidR="008934B0" w:rsidRDefault="008934B0" w:rsidP="008934B0">
            <w:pPr>
              <w:jc w:val="left"/>
            </w:pPr>
            <w:r>
              <w:rPr>
                <w:rFonts w:hint="eastAsia"/>
              </w:rPr>
              <w:t>3,712,091,137.42</w:t>
            </w:r>
            <w:r>
              <w:rPr>
                <w:rFonts w:hint="eastAsia"/>
              </w:rPr>
              <w:t>份</w:t>
            </w:r>
          </w:p>
        </w:tc>
      </w:tr>
      <w:tr w:rsidR="008934B0" w:rsidTr="001F5DEC">
        <w:tc>
          <w:tcPr>
            <w:tcW w:w="2660" w:type="dxa"/>
          </w:tcPr>
          <w:p w:rsidR="008934B0" w:rsidRDefault="008934B0" w:rsidP="008934B0">
            <w:pPr>
              <w:jc w:val="left"/>
            </w:pPr>
            <w:r>
              <w:rPr>
                <w:rFonts w:hint="eastAsia"/>
              </w:rPr>
              <w:t>投资目标</w:t>
            </w:r>
          </w:p>
        </w:tc>
        <w:tc>
          <w:tcPr>
            <w:tcW w:w="5862" w:type="dxa"/>
            <w:gridSpan w:val="2"/>
          </w:tcPr>
          <w:p w:rsidR="008934B0" w:rsidRDefault="008934B0" w:rsidP="008934B0">
            <w:pPr>
              <w:jc w:val="left"/>
            </w:pPr>
            <w:r>
              <w:rPr>
                <w:rFonts w:hint="eastAsia"/>
              </w:rPr>
              <w:t>在有效分散风险的基础上，力争获得与业绩比较基准相似的回报。</w:t>
            </w:r>
          </w:p>
        </w:tc>
      </w:tr>
      <w:tr w:rsidR="008934B0" w:rsidTr="001F5DEC">
        <w:tc>
          <w:tcPr>
            <w:tcW w:w="2660" w:type="dxa"/>
          </w:tcPr>
          <w:p w:rsidR="008934B0" w:rsidRDefault="008934B0" w:rsidP="008934B0">
            <w:pPr>
              <w:jc w:val="left"/>
            </w:pPr>
            <w:r>
              <w:rPr>
                <w:rFonts w:hint="eastAsia"/>
              </w:rPr>
              <w:t>投资策略</w:t>
            </w:r>
          </w:p>
        </w:tc>
        <w:tc>
          <w:tcPr>
            <w:tcW w:w="5862" w:type="dxa"/>
            <w:gridSpan w:val="2"/>
          </w:tcPr>
          <w:p w:rsidR="008934B0" w:rsidRDefault="008934B0" w:rsidP="008934B0">
            <w:pPr>
              <w:jc w:val="left"/>
            </w:pPr>
            <w:r>
              <w:rPr>
                <w:rFonts w:hint="eastAsia"/>
              </w:rPr>
              <w:t>本基金将根据宏观及商品分析进行资产配置，并通过全球范围内精选基金构建组合，以达到预期的风险收益水平。</w:t>
            </w:r>
            <w:r>
              <w:rPr>
                <w:rFonts w:hint="eastAsia"/>
              </w:rPr>
              <w:t xml:space="preserve"> </w:t>
            </w:r>
            <w:r>
              <w:rPr>
                <w:rFonts w:hint="eastAsia"/>
              </w:rPr>
              <w:t>资产配置策略：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r>
              <w:rPr>
                <w:rFonts w:hint="eastAsia"/>
              </w:rPr>
              <w:t xml:space="preserve"> </w:t>
            </w:r>
            <w:r>
              <w:rPr>
                <w:rFonts w:hint="eastAsia"/>
              </w:rPr>
              <w:t>在符合有关法律法规规定并且有效控制风险的前提下，本基金还将进行证券借贷交易、回购交易等投资，以增加收益，保障投资人的利益。</w:t>
            </w:r>
          </w:p>
        </w:tc>
      </w:tr>
      <w:tr w:rsidR="008934B0" w:rsidTr="001F5DEC">
        <w:tc>
          <w:tcPr>
            <w:tcW w:w="2660" w:type="dxa"/>
          </w:tcPr>
          <w:p w:rsidR="008934B0" w:rsidRDefault="008934B0" w:rsidP="008934B0">
            <w:pPr>
              <w:jc w:val="left"/>
            </w:pPr>
            <w:r>
              <w:rPr>
                <w:rFonts w:hint="eastAsia"/>
              </w:rPr>
              <w:t>业绩比较基准</w:t>
            </w:r>
          </w:p>
        </w:tc>
        <w:tc>
          <w:tcPr>
            <w:tcW w:w="5862" w:type="dxa"/>
            <w:gridSpan w:val="2"/>
          </w:tcPr>
          <w:p w:rsidR="008934B0" w:rsidRDefault="008934B0" w:rsidP="008934B0">
            <w:pPr>
              <w:jc w:val="left"/>
            </w:pPr>
            <w:r>
              <w:rPr>
                <w:rFonts w:hint="eastAsia"/>
              </w:rPr>
              <w:t>60%WTI</w:t>
            </w:r>
            <w:r>
              <w:rPr>
                <w:rFonts w:hint="eastAsia"/>
              </w:rPr>
              <w:t>原油价格收益率</w:t>
            </w:r>
            <w:r>
              <w:rPr>
                <w:rFonts w:hint="eastAsia"/>
              </w:rPr>
              <w:t>+40%BRENT</w:t>
            </w:r>
            <w:r>
              <w:rPr>
                <w:rFonts w:hint="eastAsia"/>
              </w:rPr>
              <w:t>原油价格收益率。</w:t>
            </w:r>
          </w:p>
        </w:tc>
      </w:tr>
      <w:tr w:rsidR="008934B0" w:rsidTr="001F5DEC">
        <w:tc>
          <w:tcPr>
            <w:tcW w:w="2660" w:type="dxa"/>
          </w:tcPr>
          <w:p w:rsidR="008934B0" w:rsidRDefault="008934B0" w:rsidP="008934B0">
            <w:pPr>
              <w:jc w:val="left"/>
            </w:pPr>
            <w:r>
              <w:rPr>
                <w:rFonts w:hint="eastAsia"/>
              </w:rPr>
              <w:t>风险收益特征</w:t>
            </w:r>
          </w:p>
        </w:tc>
        <w:tc>
          <w:tcPr>
            <w:tcW w:w="5862" w:type="dxa"/>
            <w:gridSpan w:val="2"/>
          </w:tcPr>
          <w:p w:rsidR="008934B0" w:rsidRDefault="008934B0" w:rsidP="008934B0">
            <w:pPr>
              <w:jc w:val="left"/>
            </w:pPr>
            <w:r>
              <w:rPr>
                <w:rFonts w:hint="eastAsia"/>
              </w:rPr>
              <w:t>本基金为基金中基金，主要投资于全球范围内的原油基金（包括</w:t>
            </w:r>
            <w:r>
              <w:rPr>
                <w:rFonts w:hint="eastAsia"/>
              </w:rPr>
              <w:t>ETF</w:t>
            </w:r>
            <w:r>
              <w:rPr>
                <w:rFonts w:hint="eastAsia"/>
              </w:rPr>
              <w:t>）及公司股票，在证券投资基金中属于较高预期风险和</w:t>
            </w:r>
            <w:r>
              <w:rPr>
                <w:rFonts w:hint="eastAsia"/>
              </w:rPr>
              <w:lastRenderedPageBreak/>
              <w:t>预期收益的基金品种。本基金主要投资于境外市场，需承担汇率风险以及境外市场的风险。</w:t>
            </w:r>
          </w:p>
          <w:p w:rsidR="008934B0" w:rsidRDefault="008934B0" w:rsidP="008934B0">
            <w:pPr>
              <w:jc w:val="left"/>
            </w:pPr>
            <w:r>
              <w:rPr>
                <w:rFonts w:hint="eastAsia"/>
              </w:rPr>
              <w:t>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8934B0" w:rsidTr="001F5DEC">
        <w:tc>
          <w:tcPr>
            <w:tcW w:w="2660" w:type="dxa"/>
          </w:tcPr>
          <w:p w:rsidR="008934B0" w:rsidRDefault="008934B0" w:rsidP="008934B0">
            <w:pPr>
              <w:jc w:val="left"/>
            </w:pPr>
            <w:r>
              <w:rPr>
                <w:rFonts w:hint="eastAsia"/>
              </w:rPr>
              <w:lastRenderedPageBreak/>
              <w:t>基金管理人</w:t>
            </w:r>
          </w:p>
        </w:tc>
        <w:tc>
          <w:tcPr>
            <w:tcW w:w="5862" w:type="dxa"/>
            <w:gridSpan w:val="2"/>
          </w:tcPr>
          <w:p w:rsidR="008934B0" w:rsidRDefault="008934B0" w:rsidP="008934B0">
            <w:pPr>
              <w:jc w:val="left"/>
            </w:pPr>
            <w:r>
              <w:rPr>
                <w:rFonts w:hint="eastAsia"/>
              </w:rPr>
              <w:t>南方基金管理股份有限公司</w:t>
            </w:r>
          </w:p>
        </w:tc>
      </w:tr>
      <w:tr w:rsidR="008934B0" w:rsidTr="001F5DEC">
        <w:tc>
          <w:tcPr>
            <w:tcW w:w="2660" w:type="dxa"/>
          </w:tcPr>
          <w:p w:rsidR="008934B0" w:rsidRDefault="008934B0" w:rsidP="008934B0">
            <w:pPr>
              <w:jc w:val="left"/>
            </w:pPr>
            <w:r>
              <w:rPr>
                <w:rFonts w:hint="eastAsia"/>
              </w:rPr>
              <w:t>基金托管人</w:t>
            </w:r>
          </w:p>
        </w:tc>
        <w:tc>
          <w:tcPr>
            <w:tcW w:w="5862" w:type="dxa"/>
            <w:gridSpan w:val="2"/>
          </w:tcPr>
          <w:p w:rsidR="008934B0" w:rsidRDefault="008934B0" w:rsidP="008934B0">
            <w:pPr>
              <w:jc w:val="left"/>
            </w:pPr>
            <w:r>
              <w:rPr>
                <w:rFonts w:hint="eastAsia"/>
              </w:rPr>
              <w:t>中国工商银行股份有限公司</w:t>
            </w:r>
          </w:p>
        </w:tc>
      </w:tr>
      <w:tr w:rsidR="008934B0" w:rsidTr="001F5DEC">
        <w:tc>
          <w:tcPr>
            <w:tcW w:w="2660" w:type="dxa"/>
          </w:tcPr>
          <w:p w:rsidR="008934B0" w:rsidRDefault="008934B0" w:rsidP="008934B0">
            <w:pPr>
              <w:jc w:val="left"/>
            </w:pPr>
            <w:r>
              <w:rPr>
                <w:rFonts w:hint="eastAsia"/>
              </w:rPr>
              <w:t>下属分级基金的基金简称</w:t>
            </w:r>
          </w:p>
        </w:tc>
        <w:tc>
          <w:tcPr>
            <w:tcW w:w="3021" w:type="dxa"/>
          </w:tcPr>
          <w:p w:rsidR="008934B0" w:rsidRDefault="008934B0" w:rsidP="008934B0">
            <w:pPr>
              <w:jc w:val="left"/>
            </w:pPr>
            <w:r>
              <w:rPr>
                <w:rFonts w:hint="eastAsia"/>
              </w:rPr>
              <w:t>南方原油</w:t>
            </w:r>
          </w:p>
        </w:tc>
        <w:tc>
          <w:tcPr>
            <w:tcW w:w="2841" w:type="dxa"/>
          </w:tcPr>
          <w:p w:rsidR="008934B0" w:rsidRDefault="008934B0" w:rsidP="008934B0">
            <w:pPr>
              <w:jc w:val="left"/>
            </w:pPr>
            <w:r>
              <w:rPr>
                <w:rFonts w:hint="eastAsia"/>
              </w:rPr>
              <w:t>南方原油</w:t>
            </w:r>
            <w:r>
              <w:rPr>
                <w:rFonts w:hint="eastAsia"/>
              </w:rPr>
              <w:t>C</w:t>
            </w:r>
          </w:p>
        </w:tc>
      </w:tr>
      <w:tr w:rsidR="008934B0" w:rsidTr="001F5DEC">
        <w:tc>
          <w:tcPr>
            <w:tcW w:w="2660" w:type="dxa"/>
          </w:tcPr>
          <w:p w:rsidR="008934B0" w:rsidRDefault="008934B0" w:rsidP="008934B0">
            <w:pPr>
              <w:jc w:val="left"/>
            </w:pPr>
            <w:r>
              <w:rPr>
                <w:rFonts w:hint="eastAsia"/>
              </w:rPr>
              <w:t>下属分级基金的场内简称</w:t>
            </w:r>
          </w:p>
        </w:tc>
        <w:tc>
          <w:tcPr>
            <w:tcW w:w="3021" w:type="dxa"/>
          </w:tcPr>
          <w:p w:rsidR="008934B0" w:rsidRDefault="008934B0" w:rsidP="008934B0">
            <w:pPr>
              <w:jc w:val="left"/>
            </w:pPr>
            <w:r>
              <w:rPr>
                <w:rFonts w:hint="eastAsia"/>
              </w:rPr>
              <w:t>南方原油（南方原油</w:t>
            </w:r>
            <w:r>
              <w:rPr>
                <w:rFonts w:hint="eastAsia"/>
              </w:rPr>
              <w:t>LOF</w:t>
            </w:r>
            <w:r>
              <w:rPr>
                <w:rFonts w:hint="eastAsia"/>
              </w:rPr>
              <w:t>）</w:t>
            </w:r>
          </w:p>
        </w:tc>
        <w:tc>
          <w:tcPr>
            <w:tcW w:w="2841" w:type="dxa"/>
          </w:tcPr>
          <w:p w:rsidR="008934B0" w:rsidRDefault="008934B0" w:rsidP="009B7C73">
            <w:pPr>
              <w:jc w:val="left"/>
            </w:pPr>
            <w:r>
              <w:t>-</w:t>
            </w:r>
          </w:p>
        </w:tc>
      </w:tr>
      <w:tr w:rsidR="008934B0" w:rsidTr="001F5DEC">
        <w:tc>
          <w:tcPr>
            <w:tcW w:w="2660" w:type="dxa"/>
          </w:tcPr>
          <w:p w:rsidR="008934B0" w:rsidRDefault="008934B0" w:rsidP="008934B0">
            <w:pPr>
              <w:jc w:val="left"/>
            </w:pPr>
            <w:r>
              <w:rPr>
                <w:rFonts w:hint="eastAsia"/>
              </w:rPr>
              <w:t>下属分级基金的交易代码</w:t>
            </w:r>
          </w:p>
        </w:tc>
        <w:tc>
          <w:tcPr>
            <w:tcW w:w="3021" w:type="dxa"/>
          </w:tcPr>
          <w:p w:rsidR="008934B0" w:rsidRDefault="008934B0" w:rsidP="008934B0">
            <w:pPr>
              <w:jc w:val="left"/>
            </w:pPr>
            <w:r>
              <w:t>501018</w:t>
            </w:r>
          </w:p>
        </w:tc>
        <w:tc>
          <w:tcPr>
            <w:tcW w:w="2841" w:type="dxa"/>
          </w:tcPr>
          <w:p w:rsidR="008934B0" w:rsidRDefault="008934B0" w:rsidP="008934B0">
            <w:pPr>
              <w:jc w:val="left"/>
            </w:pPr>
            <w:r>
              <w:t>006476</w:t>
            </w:r>
          </w:p>
        </w:tc>
      </w:tr>
      <w:tr w:rsidR="008934B0" w:rsidTr="001F5DEC">
        <w:tc>
          <w:tcPr>
            <w:tcW w:w="2660" w:type="dxa"/>
          </w:tcPr>
          <w:p w:rsidR="008934B0" w:rsidRDefault="008934B0" w:rsidP="008934B0">
            <w:pPr>
              <w:jc w:val="left"/>
            </w:pPr>
            <w:r>
              <w:rPr>
                <w:rFonts w:hint="eastAsia"/>
              </w:rPr>
              <w:t>报告期末下属分级基金的份额总额</w:t>
            </w:r>
          </w:p>
        </w:tc>
        <w:tc>
          <w:tcPr>
            <w:tcW w:w="3021" w:type="dxa"/>
          </w:tcPr>
          <w:p w:rsidR="008934B0" w:rsidRDefault="008934B0" w:rsidP="008934B0">
            <w:pPr>
              <w:jc w:val="left"/>
            </w:pPr>
            <w:r>
              <w:rPr>
                <w:rFonts w:hint="eastAsia"/>
              </w:rPr>
              <w:t>2,950,811,348.33</w:t>
            </w:r>
            <w:r>
              <w:rPr>
                <w:rFonts w:hint="eastAsia"/>
              </w:rPr>
              <w:t>份</w:t>
            </w:r>
          </w:p>
        </w:tc>
        <w:tc>
          <w:tcPr>
            <w:tcW w:w="2841" w:type="dxa"/>
          </w:tcPr>
          <w:p w:rsidR="008934B0" w:rsidRDefault="008934B0" w:rsidP="008934B0">
            <w:pPr>
              <w:jc w:val="left"/>
            </w:pPr>
            <w:r>
              <w:rPr>
                <w:rFonts w:hint="eastAsia"/>
              </w:rPr>
              <w:t>761,279,789.09</w:t>
            </w:r>
            <w:r>
              <w:rPr>
                <w:rFonts w:hint="eastAsia"/>
              </w:rPr>
              <w:t>份</w:t>
            </w:r>
          </w:p>
        </w:tc>
      </w:tr>
      <w:tr w:rsidR="008934B0" w:rsidTr="001F5DEC">
        <w:tc>
          <w:tcPr>
            <w:tcW w:w="2660" w:type="dxa"/>
            <w:vMerge w:val="restart"/>
          </w:tcPr>
          <w:p w:rsidR="008934B0" w:rsidRDefault="008934B0" w:rsidP="008934B0">
            <w:pPr>
              <w:jc w:val="left"/>
            </w:pPr>
            <w:r>
              <w:rPr>
                <w:rFonts w:hint="eastAsia"/>
              </w:rPr>
              <w:t>境外资产托管人</w:t>
            </w:r>
          </w:p>
        </w:tc>
        <w:tc>
          <w:tcPr>
            <w:tcW w:w="5862" w:type="dxa"/>
            <w:gridSpan w:val="2"/>
          </w:tcPr>
          <w:p w:rsidR="008934B0" w:rsidRDefault="008934B0" w:rsidP="008934B0">
            <w:pPr>
              <w:jc w:val="left"/>
            </w:pPr>
            <w:r>
              <w:rPr>
                <w:rFonts w:hint="eastAsia"/>
              </w:rPr>
              <w:t>英文名称：</w:t>
            </w:r>
            <w:r>
              <w:rPr>
                <w:rFonts w:hint="eastAsia"/>
              </w:rPr>
              <w:t>The Northern Trust Company</w:t>
            </w:r>
          </w:p>
        </w:tc>
      </w:tr>
      <w:tr w:rsidR="008934B0" w:rsidTr="001F5DEC">
        <w:tc>
          <w:tcPr>
            <w:tcW w:w="2660" w:type="dxa"/>
            <w:vMerge/>
          </w:tcPr>
          <w:p w:rsidR="008934B0" w:rsidRDefault="008934B0" w:rsidP="008934B0">
            <w:pPr>
              <w:jc w:val="left"/>
            </w:pPr>
          </w:p>
        </w:tc>
        <w:tc>
          <w:tcPr>
            <w:tcW w:w="5862" w:type="dxa"/>
            <w:gridSpan w:val="2"/>
          </w:tcPr>
          <w:p w:rsidR="008934B0" w:rsidRDefault="008934B0" w:rsidP="008934B0">
            <w:pPr>
              <w:jc w:val="left"/>
            </w:pPr>
            <w:r>
              <w:rPr>
                <w:rFonts w:hint="eastAsia"/>
              </w:rPr>
              <w:t>中文名称：美国北美信托银行有限公司</w:t>
            </w:r>
          </w:p>
        </w:tc>
      </w:tr>
    </w:tbl>
    <w:p w:rsidR="008934B0" w:rsidRDefault="008934B0" w:rsidP="008934B0">
      <w:pPr>
        <w:pStyle w:val="-8"/>
      </w:pPr>
      <w:r>
        <w:rPr>
          <w:rFonts w:hint="eastAsia"/>
        </w:rPr>
        <w:t>注：1、本基金在交易所行情系统净值揭示等其他信息披露场合下，可简称为“南方原油”或“南方原油LOF”。</w:t>
      </w:r>
    </w:p>
    <w:p w:rsidR="008934B0" w:rsidRDefault="008934B0" w:rsidP="008934B0">
      <w:pPr>
        <w:pStyle w:val="-"/>
        <w:ind w:firstLine="420"/>
      </w:pPr>
      <w:r>
        <w:rPr>
          <w:rFonts w:hint="eastAsia"/>
        </w:rPr>
        <w:t>2、本基金从2018年10月8日起新增C类份额，C类份额自2018年10月9日起存续。</w:t>
      </w:r>
    </w:p>
    <w:p w:rsidR="008934B0" w:rsidRDefault="008934B0" w:rsidP="008934B0">
      <w:pPr>
        <w:pStyle w:val="-1"/>
        <w:ind w:left="281" w:hanging="281"/>
      </w:pPr>
      <w:r>
        <w:rPr>
          <w:rFonts w:hint="eastAsia"/>
        </w:rPr>
        <w:t>主要财务指标和基金净值表现</w:t>
      </w:r>
    </w:p>
    <w:p w:rsidR="008934B0" w:rsidRDefault="008934B0" w:rsidP="008934B0">
      <w:pPr>
        <w:pStyle w:val="-2"/>
        <w:spacing w:before="312"/>
      </w:pPr>
      <w:r>
        <w:rPr>
          <w:rFonts w:hint="eastAsia"/>
        </w:rPr>
        <w:t>主要财务指标</w:t>
      </w:r>
    </w:p>
    <w:p w:rsidR="008934B0" w:rsidRDefault="008934B0" w:rsidP="008934B0">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8934B0" w:rsidTr="00A6539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8934B0" w:rsidRDefault="008934B0" w:rsidP="008934B0">
            <w:pPr>
              <w:jc w:val="center"/>
            </w:pPr>
            <w:r>
              <w:rPr>
                <w:rFonts w:hint="eastAsia"/>
              </w:rPr>
              <w:t>主要财务指标</w:t>
            </w:r>
          </w:p>
        </w:tc>
        <w:tc>
          <w:tcPr>
            <w:tcW w:w="5682" w:type="dxa"/>
            <w:gridSpan w:val="2"/>
            <w:tcBorders>
              <w:bottom w:val="single" w:sz="4" w:space="0" w:color="auto"/>
            </w:tcBorders>
          </w:tcPr>
          <w:p w:rsidR="008934B0" w:rsidRDefault="008934B0" w:rsidP="008934B0">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934B0" w:rsidTr="008934B0">
        <w:tc>
          <w:tcPr>
            <w:tcW w:w="2840" w:type="dxa"/>
            <w:vMerge/>
          </w:tcPr>
          <w:p w:rsidR="008934B0" w:rsidRDefault="008934B0" w:rsidP="008934B0">
            <w:pPr>
              <w:jc w:val="left"/>
            </w:pPr>
          </w:p>
        </w:tc>
        <w:tc>
          <w:tcPr>
            <w:tcW w:w="2841" w:type="dxa"/>
            <w:shd w:val="clear" w:color="auto" w:fill="BFBFBF"/>
          </w:tcPr>
          <w:p w:rsidR="008934B0" w:rsidRDefault="008934B0" w:rsidP="008934B0">
            <w:pPr>
              <w:jc w:val="center"/>
            </w:pPr>
            <w:r>
              <w:rPr>
                <w:rFonts w:hint="eastAsia"/>
              </w:rPr>
              <w:t>南方原油</w:t>
            </w:r>
          </w:p>
        </w:tc>
        <w:tc>
          <w:tcPr>
            <w:tcW w:w="2841" w:type="dxa"/>
            <w:shd w:val="clear" w:color="auto" w:fill="BFBFBF"/>
          </w:tcPr>
          <w:p w:rsidR="008934B0" w:rsidRDefault="008934B0" w:rsidP="008934B0">
            <w:pPr>
              <w:jc w:val="center"/>
            </w:pPr>
            <w:r>
              <w:rPr>
                <w:rFonts w:hint="eastAsia"/>
              </w:rPr>
              <w:t>南方原油</w:t>
            </w:r>
            <w:r>
              <w:rPr>
                <w:rFonts w:hint="eastAsia"/>
              </w:rPr>
              <w:t>C</w:t>
            </w:r>
          </w:p>
        </w:tc>
      </w:tr>
      <w:tr w:rsidR="008934B0" w:rsidTr="008934B0">
        <w:tc>
          <w:tcPr>
            <w:tcW w:w="2840" w:type="dxa"/>
          </w:tcPr>
          <w:p w:rsidR="008934B0" w:rsidRDefault="008934B0" w:rsidP="008934B0">
            <w:pPr>
              <w:jc w:val="left"/>
            </w:pPr>
            <w:r>
              <w:rPr>
                <w:rFonts w:hint="eastAsia"/>
              </w:rPr>
              <w:t>1.</w:t>
            </w:r>
            <w:r>
              <w:rPr>
                <w:rFonts w:hint="eastAsia"/>
              </w:rPr>
              <w:t>本期已实现收益</w:t>
            </w:r>
          </w:p>
        </w:tc>
        <w:tc>
          <w:tcPr>
            <w:tcW w:w="2841" w:type="dxa"/>
          </w:tcPr>
          <w:p w:rsidR="008934B0" w:rsidRDefault="008934B0" w:rsidP="008934B0">
            <w:pPr>
              <w:jc w:val="right"/>
            </w:pPr>
            <w:r>
              <w:t>-143,484,391.01</w:t>
            </w:r>
          </w:p>
        </w:tc>
        <w:tc>
          <w:tcPr>
            <w:tcW w:w="2841" w:type="dxa"/>
          </w:tcPr>
          <w:p w:rsidR="008934B0" w:rsidRDefault="008934B0" w:rsidP="008934B0">
            <w:pPr>
              <w:jc w:val="right"/>
            </w:pPr>
            <w:r>
              <w:t>-40,241,946.34</w:t>
            </w:r>
          </w:p>
        </w:tc>
      </w:tr>
      <w:tr w:rsidR="008934B0" w:rsidTr="008934B0">
        <w:tc>
          <w:tcPr>
            <w:tcW w:w="2840" w:type="dxa"/>
          </w:tcPr>
          <w:p w:rsidR="008934B0" w:rsidRDefault="008934B0" w:rsidP="008934B0">
            <w:pPr>
              <w:jc w:val="left"/>
            </w:pPr>
            <w:r>
              <w:rPr>
                <w:rFonts w:hint="eastAsia"/>
              </w:rPr>
              <w:t>2.</w:t>
            </w:r>
            <w:r>
              <w:rPr>
                <w:rFonts w:hint="eastAsia"/>
              </w:rPr>
              <w:t>本期利润</w:t>
            </w:r>
          </w:p>
        </w:tc>
        <w:tc>
          <w:tcPr>
            <w:tcW w:w="2841" w:type="dxa"/>
          </w:tcPr>
          <w:p w:rsidR="008934B0" w:rsidRDefault="008934B0" w:rsidP="008934B0">
            <w:pPr>
              <w:jc w:val="right"/>
            </w:pPr>
            <w:r>
              <w:t>-69,589,555.11</w:t>
            </w:r>
          </w:p>
        </w:tc>
        <w:tc>
          <w:tcPr>
            <w:tcW w:w="2841" w:type="dxa"/>
          </w:tcPr>
          <w:p w:rsidR="008934B0" w:rsidRDefault="008934B0" w:rsidP="008934B0">
            <w:pPr>
              <w:jc w:val="right"/>
            </w:pPr>
            <w:r>
              <w:t>-16,431,668.53</w:t>
            </w:r>
          </w:p>
        </w:tc>
      </w:tr>
      <w:tr w:rsidR="008934B0" w:rsidTr="008934B0">
        <w:tc>
          <w:tcPr>
            <w:tcW w:w="2840" w:type="dxa"/>
          </w:tcPr>
          <w:p w:rsidR="008934B0" w:rsidRDefault="008934B0" w:rsidP="008934B0">
            <w:pPr>
              <w:jc w:val="left"/>
            </w:pPr>
            <w:r>
              <w:rPr>
                <w:rFonts w:hint="eastAsia"/>
              </w:rPr>
              <w:t>3.</w:t>
            </w:r>
            <w:r>
              <w:rPr>
                <w:rFonts w:hint="eastAsia"/>
              </w:rPr>
              <w:t>加权平均基金份额本期利润</w:t>
            </w:r>
          </w:p>
        </w:tc>
        <w:tc>
          <w:tcPr>
            <w:tcW w:w="2841" w:type="dxa"/>
          </w:tcPr>
          <w:p w:rsidR="008934B0" w:rsidRDefault="008934B0" w:rsidP="008934B0">
            <w:pPr>
              <w:jc w:val="right"/>
            </w:pPr>
            <w:r>
              <w:t>-0.0232</w:t>
            </w:r>
          </w:p>
        </w:tc>
        <w:tc>
          <w:tcPr>
            <w:tcW w:w="2841" w:type="dxa"/>
          </w:tcPr>
          <w:p w:rsidR="008934B0" w:rsidRDefault="008934B0" w:rsidP="008934B0">
            <w:pPr>
              <w:jc w:val="right"/>
            </w:pPr>
            <w:r>
              <w:t>-0.0198</w:t>
            </w:r>
          </w:p>
        </w:tc>
      </w:tr>
      <w:tr w:rsidR="008934B0" w:rsidTr="008934B0">
        <w:tc>
          <w:tcPr>
            <w:tcW w:w="2840" w:type="dxa"/>
          </w:tcPr>
          <w:p w:rsidR="008934B0" w:rsidRDefault="008934B0" w:rsidP="008934B0">
            <w:pPr>
              <w:jc w:val="left"/>
            </w:pPr>
            <w:r>
              <w:rPr>
                <w:rFonts w:hint="eastAsia"/>
              </w:rPr>
              <w:t>4.</w:t>
            </w:r>
            <w:r>
              <w:rPr>
                <w:rFonts w:hint="eastAsia"/>
              </w:rPr>
              <w:t>期末基金资产净值</w:t>
            </w:r>
          </w:p>
        </w:tc>
        <w:tc>
          <w:tcPr>
            <w:tcW w:w="2841" w:type="dxa"/>
          </w:tcPr>
          <w:p w:rsidR="008934B0" w:rsidRDefault="008934B0" w:rsidP="008934B0">
            <w:pPr>
              <w:jc w:val="right"/>
            </w:pPr>
            <w:r>
              <w:t>1,534,190,504.89</w:t>
            </w:r>
          </w:p>
        </w:tc>
        <w:tc>
          <w:tcPr>
            <w:tcW w:w="2841" w:type="dxa"/>
          </w:tcPr>
          <w:p w:rsidR="008934B0" w:rsidRDefault="008934B0" w:rsidP="008934B0">
            <w:pPr>
              <w:jc w:val="right"/>
            </w:pPr>
            <w:r>
              <w:t>395,251,535.56</w:t>
            </w:r>
          </w:p>
        </w:tc>
      </w:tr>
      <w:tr w:rsidR="008934B0" w:rsidTr="008934B0">
        <w:tc>
          <w:tcPr>
            <w:tcW w:w="2840" w:type="dxa"/>
          </w:tcPr>
          <w:p w:rsidR="008934B0" w:rsidRDefault="008934B0" w:rsidP="008934B0">
            <w:pPr>
              <w:jc w:val="left"/>
            </w:pPr>
            <w:r>
              <w:rPr>
                <w:rFonts w:hint="eastAsia"/>
              </w:rPr>
              <w:t>5.</w:t>
            </w:r>
            <w:r>
              <w:rPr>
                <w:rFonts w:hint="eastAsia"/>
              </w:rPr>
              <w:t>期末基金份额净值</w:t>
            </w:r>
          </w:p>
        </w:tc>
        <w:tc>
          <w:tcPr>
            <w:tcW w:w="2841" w:type="dxa"/>
          </w:tcPr>
          <w:p w:rsidR="008934B0" w:rsidRDefault="008934B0" w:rsidP="008934B0">
            <w:pPr>
              <w:jc w:val="right"/>
            </w:pPr>
            <w:r>
              <w:t>0.5199</w:t>
            </w:r>
          </w:p>
        </w:tc>
        <w:tc>
          <w:tcPr>
            <w:tcW w:w="2841" w:type="dxa"/>
          </w:tcPr>
          <w:p w:rsidR="008934B0" w:rsidRDefault="008934B0" w:rsidP="008934B0">
            <w:pPr>
              <w:jc w:val="right"/>
            </w:pPr>
            <w:r>
              <w:t>0.5192</w:t>
            </w:r>
          </w:p>
        </w:tc>
      </w:tr>
    </w:tbl>
    <w:p w:rsidR="008934B0" w:rsidRDefault="008934B0" w:rsidP="008934B0">
      <w:pPr>
        <w:pStyle w:val="-8"/>
      </w:pPr>
      <w:r>
        <w:rPr>
          <w:rFonts w:hint="eastAsia"/>
        </w:rPr>
        <w:t>注：1、上述基金业绩指标不包括持有人认购或交易基金的各项费用，计入费用后实际收益水平要低于所列数字；</w:t>
      </w:r>
    </w:p>
    <w:p w:rsidR="008934B0" w:rsidRDefault="008934B0" w:rsidP="008934B0">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8934B0" w:rsidRDefault="008934B0" w:rsidP="008934B0">
      <w:pPr>
        <w:pStyle w:val="-2"/>
        <w:spacing w:before="312"/>
      </w:pPr>
      <w:r>
        <w:rPr>
          <w:rFonts w:hint="eastAsia"/>
        </w:rPr>
        <w:lastRenderedPageBreak/>
        <w:t>基金净值表现</w:t>
      </w:r>
    </w:p>
    <w:p w:rsidR="008934B0" w:rsidRDefault="008934B0" w:rsidP="008934B0">
      <w:pPr>
        <w:pStyle w:val="-3"/>
        <w:spacing w:before="156" w:after="156"/>
      </w:pPr>
      <w:r>
        <w:rPr>
          <w:rFonts w:hint="eastAsia"/>
        </w:rPr>
        <w:t>本报告期基金份额净值增长率及其与同期业绩比较基准收益率的比较</w:t>
      </w:r>
    </w:p>
    <w:p w:rsidR="008934B0" w:rsidRDefault="008934B0" w:rsidP="008934B0">
      <w:pPr>
        <w:pStyle w:val="-"/>
        <w:ind w:firstLine="420"/>
      </w:pPr>
      <w:r>
        <w:rPr>
          <w:rFonts w:hint="eastAsia"/>
        </w:rPr>
        <w:t>南方原油</w:t>
      </w:r>
    </w:p>
    <w:tbl>
      <w:tblPr>
        <w:tblStyle w:val="-0"/>
        <w:tblW w:w="8503" w:type="dxa"/>
        <w:tblLayout w:type="fixed"/>
        <w:tblLook w:val="04A0" w:firstRow="1" w:lastRow="0" w:firstColumn="1" w:lastColumn="0" w:noHBand="0" w:noVBand="1"/>
      </w:tblPr>
      <w:tblGrid>
        <w:gridCol w:w="1429"/>
        <w:gridCol w:w="1315"/>
        <w:gridCol w:w="1315"/>
        <w:gridCol w:w="1285"/>
        <w:gridCol w:w="1276"/>
        <w:gridCol w:w="976"/>
        <w:gridCol w:w="907"/>
      </w:tblGrid>
      <w:tr w:rsidR="008934B0" w:rsidTr="00C97212">
        <w:trPr>
          <w:cnfStyle w:val="100000000000" w:firstRow="1" w:lastRow="0" w:firstColumn="0" w:lastColumn="0" w:oddVBand="0" w:evenVBand="0" w:oddHBand="0" w:evenHBand="0" w:firstRowFirstColumn="0" w:firstRowLastColumn="0" w:lastRowFirstColumn="0" w:lastRowLastColumn="0"/>
        </w:trPr>
        <w:tc>
          <w:tcPr>
            <w:tcW w:w="1429" w:type="dxa"/>
          </w:tcPr>
          <w:p w:rsidR="008934B0" w:rsidRDefault="008934B0" w:rsidP="008934B0">
            <w:pPr>
              <w:pStyle w:val="-"/>
              <w:ind w:firstLineChars="0" w:firstLine="0"/>
              <w:jc w:val="center"/>
            </w:pPr>
            <w:r>
              <w:rPr>
                <w:rFonts w:hint="eastAsia"/>
              </w:rPr>
              <w:t>阶段</w:t>
            </w:r>
          </w:p>
        </w:tc>
        <w:tc>
          <w:tcPr>
            <w:tcW w:w="1315" w:type="dxa"/>
          </w:tcPr>
          <w:p w:rsidR="008934B0" w:rsidRDefault="008934B0" w:rsidP="008934B0">
            <w:pPr>
              <w:pStyle w:val="-"/>
              <w:ind w:firstLineChars="0" w:firstLine="0"/>
              <w:jc w:val="center"/>
            </w:pPr>
            <w:r>
              <w:rPr>
                <w:rFonts w:hint="eastAsia"/>
              </w:rPr>
              <w:t>份额净值增长率①</w:t>
            </w:r>
          </w:p>
        </w:tc>
        <w:tc>
          <w:tcPr>
            <w:tcW w:w="1315" w:type="dxa"/>
          </w:tcPr>
          <w:p w:rsidR="008934B0" w:rsidRDefault="008934B0" w:rsidP="008934B0">
            <w:pPr>
              <w:pStyle w:val="-"/>
              <w:ind w:firstLineChars="0" w:firstLine="0"/>
              <w:jc w:val="center"/>
            </w:pPr>
            <w:r>
              <w:rPr>
                <w:rFonts w:hint="eastAsia"/>
              </w:rPr>
              <w:t>份额净值增长率标准差②</w:t>
            </w:r>
          </w:p>
        </w:tc>
        <w:tc>
          <w:tcPr>
            <w:tcW w:w="1285" w:type="dxa"/>
          </w:tcPr>
          <w:p w:rsidR="008934B0" w:rsidRDefault="008934B0" w:rsidP="008934B0">
            <w:pPr>
              <w:pStyle w:val="-"/>
              <w:ind w:firstLineChars="0" w:firstLine="0"/>
              <w:jc w:val="center"/>
            </w:pPr>
            <w:r>
              <w:rPr>
                <w:rFonts w:hint="eastAsia"/>
              </w:rPr>
              <w:t>业绩比较基准收益率③</w:t>
            </w:r>
          </w:p>
        </w:tc>
        <w:tc>
          <w:tcPr>
            <w:tcW w:w="1276" w:type="dxa"/>
          </w:tcPr>
          <w:p w:rsidR="008934B0" w:rsidRDefault="008934B0" w:rsidP="008934B0">
            <w:pPr>
              <w:pStyle w:val="-"/>
              <w:ind w:firstLineChars="0" w:firstLine="0"/>
              <w:jc w:val="center"/>
            </w:pPr>
            <w:r>
              <w:rPr>
                <w:rFonts w:hint="eastAsia"/>
              </w:rPr>
              <w:t>业绩比较基准收益率标准差④</w:t>
            </w:r>
          </w:p>
        </w:tc>
        <w:tc>
          <w:tcPr>
            <w:tcW w:w="976" w:type="dxa"/>
          </w:tcPr>
          <w:p w:rsidR="008934B0" w:rsidRDefault="008934B0" w:rsidP="008934B0">
            <w:pPr>
              <w:pStyle w:val="-"/>
              <w:ind w:firstLineChars="0" w:firstLine="0"/>
              <w:jc w:val="center"/>
            </w:pPr>
            <w:r>
              <w:rPr>
                <w:rFonts w:hint="eastAsia"/>
              </w:rPr>
              <w:t>①</w:t>
            </w:r>
            <w:r>
              <w:t>-③</w:t>
            </w:r>
          </w:p>
        </w:tc>
        <w:tc>
          <w:tcPr>
            <w:tcW w:w="907" w:type="dxa"/>
          </w:tcPr>
          <w:p w:rsidR="008934B0" w:rsidRDefault="008934B0" w:rsidP="008934B0">
            <w:pPr>
              <w:pStyle w:val="-"/>
              <w:ind w:firstLineChars="0" w:firstLine="0"/>
              <w:jc w:val="center"/>
            </w:pPr>
            <w:r>
              <w:rPr>
                <w:rFonts w:hint="eastAsia"/>
              </w:rPr>
              <w:t>②</w:t>
            </w:r>
            <w:r>
              <w:t>-④</w:t>
            </w:r>
          </w:p>
        </w:tc>
      </w:tr>
      <w:tr w:rsidR="008934B0" w:rsidTr="00C97212">
        <w:tc>
          <w:tcPr>
            <w:tcW w:w="1429" w:type="dxa"/>
          </w:tcPr>
          <w:p w:rsidR="008934B0" w:rsidRDefault="008934B0" w:rsidP="008934B0">
            <w:pPr>
              <w:pStyle w:val="-"/>
              <w:ind w:firstLineChars="0" w:firstLine="0"/>
              <w:jc w:val="left"/>
            </w:pPr>
            <w:r>
              <w:rPr>
                <w:rFonts w:hint="eastAsia"/>
              </w:rPr>
              <w:t>过去三个月</w:t>
            </w:r>
          </w:p>
        </w:tc>
        <w:tc>
          <w:tcPr>
            <w:tcW w:w="1315" w:type="dxa"/>
          </w:tcPr>
          <w:p w:rsidR="008934B0" w:rsidRDefault="008934B0" w:rsidP="008934B0">
            <w:pPr>
              <w:pStyle w:val="-"/>
              <w:ind w:firstLineChars="0" w:firstLine="0"/>
              <w:jc w:val="right"/>
            </w:pPr>
            <w:r>
              <w:t>-4.43%</w:t>
            </w:r>
          </w:p>
        </w:tc>
        <w:tc>
          <w:tcPr>
            <w:tcW w:w="1315" w:type="dxa"/>
          </w:tcPr>
          <w:p w:rsidR="008934B0" w:rsidRDefault="008934B0" w:rsidP="008934B0">
            <w:pPr>
              <w:pStyle w:val="-"/>
              <w:ind w:firstLineChars="0" w:firstLine="0"/>
              <w:jc w:val="right"/>
            </w:pPr>
            <w:r>
              <w:t>1.30%</w:t>
            </w:r>
          </w:p>
        </w:tc>
        <w:tc>
          <w:tcPr>
            <w:tcW w:w="1285" w:type="dxa"/>
          </w:tcPr>
          <w:p w:rsidR="008934B0" w:rsidRDefault="008934B0" w:rsidP="008934B0">
            <w:pPr>
              <w:pStyle w:val="-"/>
              <w:ind w:firstLineChars="0" w:firstLine="0"/>
              <w:jc w:val="right"/>
            </w:pPr>
            <w:r>
              <w:t>-2.58%</w:t>
            </w:r>
          </w:p>
        </w:tc>
        <w:tc>
          <w:tcPr>
            <w:tcW w:w="1276" w:type="dxa"/>
          </w:tcPr>
          <w:p w:rsidR="008934B0" w:rsidRDefault="008934B0" w:rsidP="008934B0">
            <w:pPr>
              <w:pStyle w:val="-"/>
              <w:ind w:firstLineChars="0" w:firstLine="0"/>
              <w:jc w:val="right"/>
            </w:pPr>
            <w:r>
              <w:t>1.82%</w:t>
            </w:r>
          </w:p>
        </w:tc>
        <w:tc>
          <w:tcPr>
            <w:tcW w:w="976" w:type="dxa"/>
          </w:tcPr>
          <w:p w:rsidR="008934B0" w:rsidRDefault="008934B0" w:rsidP="008934B0">
            <w:pPr>
              <w:pStyle w:val="-"/>
              <w:ind w:firstLineChars="0" w:firstLine="0"/>
              <w:jc w:val="right"/>
            </w:pPr>
            <w:r>
              <w:t>-1.85%</w:t>
            </w:r>
          </w:p>
        </w:tc>
        <w:tc>
          <w:tcPr>
            <w:tcW w:w="907" w:type="dxa"/>
          </w:tcPr>
          <w:p w:rsidR="008934B0" w:rsidRDefault="008934B0" w:rsidP="008934B0">
            <w:pPr>
              <w:pStyle w:val="-"/>
              <w:ind w:firstLineChars="0" w:firstLine="0"/>
              <w:jc w:val="right"/>
            </w:pPr>
            <w:r>
              <w:t>-0.52%</w:t>
            </w:r>
          </w:p>
        </w:tc>
      </w:tr>
      <w:tr w:rsidR="008934B0" w:rsidTr="00C97212">
        <w:tc>
          <w:tcPr>
            <w:tcW w:w="1429" w:type="dxa"/>
          </w:tcPr>
          <w:p w:rsidR="008934B0" w:rsidRDefault="008934B0" w:rsidP="008934B0">
            <w:pPr>
              <w:pStyle w:val="-"/>
              <w:ind w:firstLineChars="0" w:firstLine="0"/>
              <w:jc w:val="left"/>
            </w:pPr>
            <w:r>
              <w:rPr>
                <w:rFonts w:hint="eastAsia"/>
              </w:rPr>
              <w:t>过去六个月</w:t>
            </w:r>
          </w:p>
        </w:tc>
        <w:tc>
          <w:tcPr>
            <w:tcW w:w="1315" w:type="dxa"/>
          </w:tcPr>
          <w:p w:rsidR="008934B0" w:rsidRDefault="008934B0" w:rsidP="008934B0">
            <w:pPr>
              <w:pStyle w:val="-"/>
              <w:ind w:firstLineChars="0" w:firstLine="0"/>
              <w:jc w:val="right"/>
            </w:pPr>
            <w:r>
              <w:t>-0.80%</w:t>
            </w:r>
          </w:p>
        </w:tc>
        <w:tc>
          <w:tcPr>
            <w:tcW w:w="1315" w:type="dxa"/>
          </w:tcPr>
          <w:p w:rsidR="008934B0" w:rsidRDefault="008934B0" w:rsidP="008934B0">
            <w:pPr>
              <w:pStyle w:val="-"/>
              <w:ind w:firstLineChars="0" w:firstLine="0"/>
              <w:jc w:val="right"/>
            </w:pPr>
            <w:r>
              <w:t>3.40%</w:t>
            </w:r>
          </w:p>
        </w:tc>
        <w:tc>
          <w:tcPr>
            <w:tcW w:w="1285" w:type="dxa"/>
          </w:tcPr>
          <w:p w:rsidR="008934B0" w:rsidRDefault="008934B0" w:rsidP="008934B0">
            <w:pPr>
              <w:pStyle w:val="-"/>
              <w:ind w:firstLineChars="0" w:firstLine="0"/>
              <w:jc w:val="right"/>
            </w:pPr>
            <w:r>
              <w:t>88.90%</w:t>
            </w:r>
          </w:p>
        </w:tc>
        <w:tc>
          <w:tcPr>
            <w:tcW w:w="1276" w:type="dxa"/>
          </w:tcPr>
          <w:p w:rsidR="008934B0" w:rsidRDefault="008934B0" w:rsidP="008934B0">
            <w:pPr>
              <w:pStyle w:val="-"/>
              <w:ind w:firstLineChars="0" w:firstLine="0"/>
              <w:jc w:val="right"/>
            </w:pPr>
            <w:r>
              <w:t>6.33%</w:t>
            </w:r>
          </w:p>
        </w:tc>
        <w:tc>
          <w:tcPr>
            <w:tcW w:w="976" w:type="dxa"/>
          </w:tcPr>
          <w:p w:rsidR="008934B0" w:rsidRDefault="008934B0" w:rsidP="008934B0">
            <w:pPr>
              <w:pStyle w:val="-"/>
              <w:ind w:firstLineChars="0" w:firstLine="0"/>
              <w:jc w:val="right"/>
            </w:pPr>
            <w:r>
              <w:t>-89.70%</w:t>
            </w:r>
          </w:p>
        </w:tc>
        <w:tc>
          <w:tcPr>
            <w:tcW w:w="907" w:type="dxa"/>
          </w:tcPr>
          <w:p w:rsidR="008934B0" w:rsidRDefault="008934B0" w:rsidP="008934B0">
            <w:pPr>
              <w:pStyle w:val="-"/>
              <w:ind w:firstLineChars="0" w:firstLine="0"/>
              <w:jc w:val="right"/>
            </w:pPr>
            <w:r>
              <w:t>-2.93%</w:t>
            </w:r>
          </w:p>
        </w:tc>
      </w:tr>
      <w:tr w:rsidR="008934B0" w:rsidTr="00C97212">
        <w:tc>
          <w:tcPr>
            <w:tcW w:w="1429" w:type="dxa"/>
          </w:tcPr>
          <w:p w:rsidR="008934B0" w:rsidRDefault="008934B0" w:rsidP="008934B0">
            <w:pPr>
              <w:pStyle w:val="-"/>
              <w:ind w:firstLineChars="0" w:firstLine="0"/>
              <w:jc w:val="left"/>
            </w:pPr>
            <w:r>
              <w:rPr>
                <w:rFonts w:hint="eastAsia"/>
              </w:rPr>
              <w:t>过去一年</w:t>
            </w:r>
          </w:p>
        </w:tc>
        <w:tc>
          <w:tcPr>
            <w:tcW w:w="1315" w:type="dxa"/>
          </w:tcPr>
          <w:p w:rsidR="008934B0" w:rsidRDefault="008934B0" w:rsidP="008934B0">
            <w:pPr>
              <w:pStyle w:val="-"/>
              <w:ind w:firstLineChars="0" w:firstLine="0"/>
              <w:jc w:val="right"/>
            </w:pPr>
            <w:r>
              <w:t>-51.39%</w:t>
            </w:r>
          </w:p>
        </w:tc>
        <w:tc>
          <w:tcPr>
            <w:tcW w:w="1315" w:type="dxa"/>
          </w:tcPr>
          <w:p w:rsidR="008934B0" w:rsidRDefault="008934B0" w:rsidP="008934B0">
            <w:pPr>
              <w:pStyle w:val="-"/>
              <w:ind w:firstLineChars="0" w:firstLine="0"/>
              <w:jc w:val="right"/>
            </w:pPr>
            <w:r>
              <w:t>3.12%</w:t>
            </w:r>
          </w:p>
        </w:tc>
        <w:tc>
          <w:tcPr>
            <w:tcW w:w="1285" w:type="dxa"/>
          </w:tcPr>
          <w:p w:rsidR="008934B0" w:rsidRDefault="008934B0" w:rsidP="008934B0">
            <w:pPr>
              <w:pStyle w:val="-"/>
              <w:ind w:firstLineChars="0" w:firstLine="0"/>
              <w:jc w:val="right"/>
            </w:pPr>
            <w:r>
              <w:t>-28.33%</w:t>
            </w:r>
          </w:p>
        </w:tc>
        <w:tc>
          <w:tcPr>
            <w:tcW w:w="1276" w:type="dxa"/>
          </w:tcPr>
          <w:p w:rsidR="008934B0" w:rsidRDefault="008934B0" w:rsidP="008934B0">
            <w:pPr>
              <w:pStyle w:val="-"/>
              <w:ind w:firstLineChars="0" w:firstLine="0"/>
              <w:jc w:val="right"/>
            </w:pPr>
            <w:r>
              <w:t>5.52%</w:t>
            </w:r>
          </w:p>
        </w:tc>
        <w:tc>
          <w:tcPr>
            <w:tcW w:w="976" w:type="dxa"/>
          </w:tcPr>
          <w:p w:rsidR="008934B0" w:rsidRDefault="008934B0" w:rsidP="008934B0">
            <w:pPr>
              <w:pStyle w:val="-"/>
              <w:ind w:firstLineChars="0" w:firstLine="0"/>
              <w:jc w:val="right"/>
            </w:pPr>
            <w:r>
              <w:t>-23.06%</w:t>
            </w:r>
          </w:p>
        </w:tc>
        <w:tc>
          <w:tcPr>
            <w:tcW w:w="907" w:type="dxa"/>
          </w:tcPr>
          <w:p w:rsidR="008934B0" w:rsidRDefault="008934B0" w:rsidP="008934B0">
            <w:pPr>
              <w:pStyle w:val="-"/>
              <w:ind w:firstLineChars="0" w:firstLine="0"/>
              <w:jc w:val="right"/>
            </w:pPr>
            <w:r>
              <w:t>-2.40%</w:t>
            </w:r>
          </w:p>
        </w:tc>
      </w:tr>
      <w:tr w:rsidR="008934B0" w:rsidTr="00C97212">
        <w:tc>
          <w:tcPr>
            <w:tcW w:w="1429" w:type="dxa"/>
          </w:tcPr>
          <w:p w:rsidR="008934B0" w:rsidRDefault="008934B0" w:rsidP="008934B0">
            <w:pPr>
              <w:pStyle w:val="-"/>
              <w:ind w:firstLineChars="0" w:firstLine="0"/>
              <w:jc w:val="left"/>
            </w:pPr>
            <w:r>
              <w:rPr>
                <w:rFonts w:hint="eastAsia"/>
              </w:rPr>
              <w:t>过去三年</w:t>
            </w:r>
          </w:p>
        </w:tc>
        <w:tc>
          <w:tcPr>
            <w:tcW w:w="1315" w:type="dxa"/>
          </w:tcPr>
          <w:p w:rsidR="008934B0" w:rsidRDefault="008934B0" w:rsidP="008934B0">
            <w:pPr>
              <w:pStyle w:val="-"/>
              <w:ind w:firstLineChars="0" w:firstLine="0"/>
              <w:jc w:val="right"/>
            </w:pPr>
            <w:r>
              <w:t>-43.80%</w:t>
            </w:r>
          </w:p>
        </w:tc>
        <w:tc>
          <w:tcPr>
            <w:tcW w:w="1315" w:type="dxa"/>
          </w:tcPr>
          <w:p w:rsidR="008934B0" w:rsidRDefault="008934B0" w:rsidP="008934B0">
            <w:pPr>
              <w:pStyle w:val="-"/>
              <w:ind w:firstLineChars="0" w:firstLine="0"/>
              <w:jc w:val="right"/>
            </w:pPr>
            <w:r>
              <w:t>2.21%</w:t>
            </w:r>
          </w:p>
        </w:tc>
        <w:tc>
          <w:tcPr>
            <w:tcW w:w="1285" w:type="dxa"/>
          </w:tcPr>
          <w:p w:rsidR="008934B0" w:rsidRDefault="008934B0" w:rsidP="008934B0">
            <w:pPr>
              <w:pStyle w:val="-"/>
              <w:ind w:firstLineChars="0" w:firstLine="0"/>
              <w:jc w:val="right"/>
            </w:pPr>
            <w:r>
              <w:t>-18.53%</w:t>
            </w:r>
          </w:p>
        </w:tc>
        <w:tc>
          <w:tcPr>
            <w:tcW w:w="1276" w:type="dxa"/>
          </w:tcPr>
          <w:p w:rsidR="008934B0" w:rsidRDefault="008934B0" w:rsidP="008934B0">
            <w:pPr>
              <w:pStyle w:val="-"/>
              <w:ind w:firstLineChars="0" w:firstLine="0"/>
              <w:jc w:val="right"/>
            </w:pPr>
            <w:r>
              <w:t>3.55%</w:t>
            </w:r>
          </w:p>
        </w:tc>
        <w:tc>
          <w:tcPr>
            <w:tcW w:w="976" w:type="dxa"/>
          </w:tcPr>
          <w:p w:rsidR="008934B0" w:rsidRDefault="008934B0" w:rsidP="008934B0">
            <w:pPr>
              <w:pStyle w:val="-"/>
              <w:ind w:firstLineChars="0" w:firstLine="0"/>
              <w:jc w:val="right"/>
            </w:pPr>
            <w:r>
              <w:t>-25.27%</w:t>
            </w:r>
          </w:p>
        </w:tc>
        <w:tc>
          <w:tcPr>
            <w:tcW w:w="907" w:type="dxa"/>
          </w:tcPr>
          <w:p w:rsidR="008934B0" w:rsidRDefault="008934B0" w:rsidP="008934B0">
            <w:pPr>
              <w:pStyle w:val="-"/>
              <w:ind w:firstLineChars="0" w:firstLine="0"/>
              <w:jc w:val="right"/>
            </w:pPr>
            <w:r>
              <w:t>-1.34%</w:t>
            </w:r>
          </w:p>
        </w:tc>
      </w:tr>
      <w:tr w:rsidR="008934B0" w:rsidTr="00C97212">
        <w:tc>
          <w:tcPr>
            <w:tcW w:w="1429" w:type="dxa"/>
          </w:tcPr>
          <w:p w:rsidR="008934B0" w:rsidRDefault="008934B0" w:rsidP="008934B0">
            <w:pPr>
              <w:pStyle w:val="-"/>
              <w:ind w:firstLineChars="0" w:firstLine="0"/>
              <w:jc w:val="left"/>
            </w:pPr>
            <w:r>
              <w:rPr>
                <w:rFonts w:hint="eastAsia"/>
              </w:rPr>
              <w:t>自基金合同生效起至今</w:t>
            </w:r>
          </w:p>
        </w:tc>
        <w:tc>
          <w:tcPr>
            <w:tcW w:w="1315" w:type="dxa"/>
          </w:tcPr>
          <w:p w:rsidR="008934B0" w:rsidRDefault="008934B0" w:rsidP="008934B0">
            <w:pPr>
              <w:pStyle w:val="-"/>
              <w:ind w:firstLineChars="0" w:firstLine="0"/>
              <w:jc w:val="right"/>
            </w:pPr>
            <w:r>
              <w:t>-48.01%</w:t>
            </w:r>
          </w:p>
        </w:tc>
        <w:tc>
          <w:tcPr>
            <w:tcW w:w="1315" w:type="dxa"/>
          </w:tcPr>
          <w:p w:rsidR="008934B0" w:rsidRDefault="008934B0" w:rsidP="008934B0">
            <w:pPr>
              <w:pStyle w:val="-"/>
              <w:ind w:firstLineChars="0" w:firstLine="0"/>
              <w:jc w:val="right"/>
            </w:pPr>
            <w:r>
              <w:t>2.02%</w:t>
            </w:r>
          </w:p>
        </w:tc>
        <w:tc>
          <w:tcPr>
            <w:tcW w:w="1285" w:type="dxa"/>
          </w:tcPr>
          <w:p w:rsidR="008934B0" w:rsidRDefault="008934B0" w:rsidP="008934B0">
            <w:pPr>
              <w:pStyle w:val="-"/>
              <w:ind w:firstLineChars="0" w:firstLine="0"/>
              <w:jc w:val="right"/>
            </w:pPr>
            <w:r>
              <w:t>-10.21%</w:t>
            </w:r>
          </w:p>
        </w:tc>
        <w:tc>
          <w:tcPr>
            <w:tcW w:w="1276" w:type="dxa"/>
          </w:tcPr>
          <w:p w:rsidR="008934B0" w:rsidRDefault="008934B0" w:rsidP="008934B0">
            <w:pPr>
              <w:pStyle w:val="-"/>
              <w:ind w:firstLineChars="0" w:firstLine="0"/>
              <w:jc w:val="right"/>
            </w:pPr>
            <w:r>
              <w:t>3.18%</w:t>
            </w:r>
          </w:p>
        </w:tc>
        <w:tc>
          <w:tcPr>
            <w:tcW w:w="976" w:type="dxa"/>
          </w:tcPr>
          <w:p w:rsidR="008934B0" w:rsidRDefault="008934B0" w:rsidP="008934B0">
            <w:pPr>
              <w:pStyle w:val="-"/>
              <w:ind w:firstLineChars="0" w:firstLine="0"/>
              <w:jc w:val="right"/>
            </w:pPr>
            <w:r>
              <w:t>-37.80%</w:t>
            </w:r>
          </w:p>
        </w:tc>
        <w:tc>
          <w:tcPr>
            <w:tcW w:w="907" w:type="dxa"/>
          </w:tcPr>
          <w:p w:rsidR="008934B0" w:rsidRDefault="008934B0" w:rsidP="008934B0">
            <w:pPr>
              <w:pStyle w:val="-"/>
              <w:ind w:firstLineChars="0" w:firstLine="0"/>
              <w:jc w:val="right"/>
            </w:pPr>
            <w:r>
              <w:t>-1.16%</w:t>
            </w:r>
          </w:p>
        </w:tc>
      </w:tr>
    </w:tbl>
    <w:p w:rsidR="008934B0" w:rsidRDefault="008934B0" w:rsidP="008934B0">
      <w:pPr>
        <w:pStyle w:val="-"/>
        <w:ind w:firstLine="420"/>
      </w:pPr>
      <w:r>
        <w:rPr>
          <w:rFonts w:hint="eastAsia"/>
        </w:rPr>
        <w:t>南方原油</w:t>
      </w:r>
      <w:r>
        <w:t>C</w:t>
      </w:r>
    </w:p>
    <w:tbl>
      <w:tblPr>
        <w:tblStyle w:val="-0"/>
        <w:tblW w:w="8503" w:type="dxa"/>
        <w:tblLayout w:type="fixed"/>
        <w:tblLook w:val="04A0" w:firstRow="1" w:lastRow="0" w:firstColumn="1" w:lastColumn="0" w:noHBand="0" w:noVBand="1"/>
      </w:tblPr>
      <w:tblGrid>
        <w:gridCol w:w="1429"/>
        <w:gridCol w:w="1315"/>
        <w:gridCol w:w="1315"/>
        <w:gridCol w:w="1285"/>
        <w:gridCol w:w="1276"/>
        <w:gridCol w:w="976"/>
        <w:gridCol w:w="907"/>
      </w:tblGrid>
      <w:tr w:rsidR="008934B0" w:rsidTr="00C97212">
        <w:trPr>
          <w:cnfStyle w:val="100000000000" w:firstRow="1" w:lastRow="0" w:firstColumn="0" w:lastColumn="0" w:oddVBand="0" w:evenVBand="0" w:oddHBand="0" w:evenHBand="0" w:firstRowFirstColumn="0" w:firstRowLastColumn="0" w:lastRowFirstColumn="0" w:lastRowLastColumn="0"/>
        </w:trPr>
        <w:tc>
          <w:tcPr>
            <w:tcW w:w="1429" w:type="dxa"/>
          </w:tcPr>
          <w:p w:rsidR="008934B0" w:rsidRDefault="008934B0" w:rsidP="008934B0">
            <w:pPr>
              <w:pStyle w:val="-"/>
              <w:ind w:firstLineChars="0" w:firstLine="0"/>
              <w:jc w:val="center"/>
            </w:pPr>
            <w:r>
              <w:rPr>
                <w:rFonts w:hint="eastAsia"/>
              </w:rPr>
              <w:t>阶段</w:t>
            </w:r>
          </w:p>
        </w:tc>
        <w:tc>
          <w:tcPr>
            <w:tcW w:w="1315" w:type="dxa"/>
          </w:tcPr>
          <w:p w:rsidR="008934B0" w:rsidRDefault="008934B0" w:rsidP="008934B0">
            <w:pPr>
              <w:pStyle w:val="-"/>
              <w:ind w:firstLineChars="0" w:firstLine="0"/>
              <w:jc w:val="center"/>
            </w:pPr>
            <w:r>
              <w:rPr>
                <w:rFonts w:hint="eastAsia"/>
              </w:rPr>
              <w:t>份额净值增长率①</w:t>
            </w:r>
          </w:p>
        </w:tc>
        <w:tc>
          <w:tcPr>
            <w:tcW w:w="1315" w:type="dxa"/>
          </w:tcPr>
          <w:p w:rsidR="008934B0" w:rsidRDefault="008934B0" w:rsidP="008934B0">
            <w:pPr>
              <w:pStyle w:val="-"/>
              <w:ind w:firstLineChars="0" w:firstLine="0"/>
              <w:jc w:val="center"/>
            </w:pPr>
            <w:r>
              <w:rPr>
                <w:rFonts w:hint="eastAsia"/>
              </w:rPr>
              <w:t>份额净值增长率标准差②</w:t>
            </w:r>
          </w:p>
        </w:tc>
        <w:tc>
          <w:tcPr>
            <w:tcW w:w="1285" w:type="dxa"/>
          </w:tcPr>
          <w:p w:rsidR="008934B0" w:rsidRDefault="008934B0" w:rsidP="008934B0">
            <w:pPr>
              <w:pStyle w:val="-"/>
              <w:ind w:firstLineChars="0" w:firstLine="0"/>
              <w:jc w:val="center"/>
            </w:pPr>
            <w:r>
              <w:rPr>
                <w:rFonts w:hint="eastAsia"/>
              </w:rPr>
              <w:t>业绩比较基准收益率③</w:t>
            </w:r>
          </w:p>
        </w:tc>
        <w:tc>
          <w:tcPr>
            <w:tcW w:w="1276" w:type="dxa"/>
          </w:tcPr>
          <w:p w:rsidR="008934B0" w:rsidRDefault="008934B0" w:rsidP="008934B0">
            <w:pPr>
              <w:pStyle w:val="-"/>
              <w:ind w:firstLineChars="0" w:firstLine="0"/>
              <w:jc w:val="center"/>
            </w:pPr>
            <w:r>
              <w:rPr>
                <w:rFonts w:hint="eastAsia"/>
              </w:rPr>
              <w:t>业绩比较基准收益率标准差④</w:t>
            </w:r>
          </w:p>
        </w:tc>
        <w:tc>
          <w:tcPr>
            <w:tcW w:w="976" w:type="dxa"/>
          </w:tcPr>
          <w:p w:rsidR="008934B0" w:rsidRDefault="008934B0" w:rsidP="008934B0">
            <w:pPr>
              <w:pStyle w:val="-"/>
              <w:ind w:firstLineChars="0" w:firstLine="0"/>
              <w:jc w:val="center"/>
            </w:pPr>
            <w:r>
              <w:rPr>
                <w:rFonts w:hint="eastAsia"/>
              </w:rPr>
              <w:t>①</w:t>
            </w:r>
            <w:r>
              <w:t>-③</w:t>
            </w:r>
          </w:p>
        </w:tc>
        <w:tc>
          <w:tcPr>
            <w:tcW w:w="907" w:type="dxa"/>
          </w:tcPr>
          <w:p w:rsidR="008934B0" w:rsidRDefault="008934B0" w:rsidP="008934B0">
            <w:pPr>
              <w:pStyle w:val="-"/>
              <w:ind w:firstLineChars="0" w:firstLine="0"/>
              <w:jc w:val="center"/>
            </w:pPr>
            <w:r>
              <w:rPr>
                <w:rFonts w:hint="eastAsia"/>
              </w:rPr>
              <w:t>②</w:t>
            </w:r>
            <w:r>
              <w:t>-④</w:t>
            </w:r>
          </w:p>
        </w:tc>
      </w:tr>
      <w:tr w:rsidR="008934B0" w:rsidTr="00C97212">
        <w:tc>
          <w:tcPr>
            <w:tcW w:w="1429" w:type="dxa"/>
          </w:tcPr>
          <w:p w:rsidR="008934B0" w:rsidRDefault="008934B0" w:rsidP="008934B0">
            <w:pPr>
              <w:pStyle w:val="-"/>
              <w:ind w:firstLineChars="0" w:firstLine="0"/>
              <w:jc w:val="left"/>
            </w:pPr>
            <w:r>
              <w:rPr>
                <w:rFonts w:hint="eastAsia"/>
              </w:rPr>
              <w:t>过去三个月</w:t>
            </w:r>
          </w:p>
        </w:tc>
        <w:tc>
          <w:tcPr>
            <w:tcW w:w="1315" w:type="dxa"/>
          </w:tcPr>
          <w:p w:rsidR="008934B0" w:rsidRDefault="008934B0" w:rsidP="008934B0">
            <w:pPr>
              <w:pStyle w:val="-"/>
              <w:ind w:firstLineChars="0" w:firstLine="0"/>
              <w:jc w:val="right"/>
            </w:pPr>
            <w:r>
              <w:t>-4.52%</w:t>
            </w:r>
          </w:p>
        </w:tc>
        <w:tc>
          <w:tcPr>
            <w:tcW w:w="1315" w:type="dxa"/>
          </w:tcPr>
          <w:p w:rsidR="008934B0" w:rsidRDefault="008934B0" w:rsidP="008934B0">
            <w:pPr>
              <w:pStyle w:val="-"/>
              <w:ind w:firstLineChars="0" w:firstLine="0"/>
              <w:jc w:val="right"/>
            </w:pPr>
            <w:r>
              <w:t>1.30%</w:t>
            </w:r>
          </w:p>
        </w:tc>
        <w:tc>
          <w:tcPr>
            <w:tcW w:w="1285" w:type="dxa"/>
          </w:tcPr>
          <w:p w:rsidR="008934B0" w:rsidRDefault="008934B0" w:rsidP="008934B0">
            <w:pPr>
              <w:pStyle w:val="-"/>
              <w:ind w:firstLineChars="0" w:firstLine="0"/>
              <w:jc w:val="right"/>
            </w:pPr>
            <w:r>
              <w:t>-2.58%</w:t>
            </w:r>
          </w:p>
        </w:tc>
        <w:tc>
          <w:tcPr>
            <w:tcW w:w="1276" w:type="dxa"/>
          </w:tcPr>
          <w:p w:rsidR="008934B0" w:rsidRDefault="008934B0" w:rsidP="008934B0">
            <w:pPr>
              <w:pStyle w:val="-"/>
              <w:ind w:firstLineChars="0" w:firstLine="0"/>
              <w:jc w:val="right"/>
            </w:pPr>
            <w:r>
              <w:t>1.82%</w:t>
            </w:r>
          </w:p>
        </w:tc>
        <w:tc>
          <w:tcPr>
            <w:tcW w:w="976" w:type="dxa"/>
          </w:tcPr>
          <w:p w:rsidR="008934B0" w:rsidRDefault="008934B0" w:rsidP="008934B0">
            <w:pPr>
              <w:pStyle w:val="-"/>
              <w:ind w:firstLineChars="0" w:firstLine="0"/>
              <w:jc w:val="right"/>
            </w:pPr>
            <w:r>
              <w:t>-1.94%</w:t>
            </w:r>
          </w:p>
        </w:tc>
        <w:tc>
          <w:tcPr>
            <w:tcW w:w="907" w:type="dxa"/>
          </w:tcPr>
          <w:p w:rsidR="008934B0" w:rsidRDefault="008934B0" w:rsidP="008934B0">
            <w:pPr>
              <w:pStyle w:val="-"/>
              <w:ind w:firstLineChars="0" w:firstLine="0"/>
              <w:jc w:val="right"/>
            </w:pPr>
            <w:r>
              <w:t>-0.52%</w:t>
            </w:r>
          </w:p>
        </w:tc>
      </w:tr>
      <w:tr w:rsidR="008934B0" w:rsidTr="00C97212">
        <w:tc>
          <w:tcPr>
            <w:tcW w:w="1429" w:type="dxa"/>
          </w:tcPr>
          <w:p w:rsidR="008934B0" w:rsidRDefault="008934B0" w:rsidP="008934B0">
            <w:pPr>
              <w:pStyle w:val="-"/>
              <w:ind w:firstLineChars="0" w:firstLine="0"/>
              <w:jc w:val="left"/>
            </w:pPr>
            <w:r>
              <w:rPr>
                <w:rFonts w:hint="eastAsia"/>
              </w:rPr>
              <w:t>过去六个月</w:t>
            </w:r>
          </w:p>
        </w:tc>
        <w:tc>
          <w:tcPr>
            <w:tcW w:w="1315" w:type="dxa"/>
          </w:tcPr>
          <w:p w:rsidR="008934B0" w:rsidRDefault="008934B0" w:rsidP="008934B0">
            <w:pPr>
              <w:pStyle w:val="-"/>
              <w:ind w:firstLineChars="0" w:firstLine="0"/>
              <w:jc w:val="right"/>
            </w:pPr>
            <w:r>
              <w:t>-0.99%</w:t>
            </w:r>
          </w:p>
        </w:tc>
        <w:tc>
          <w:tcPr>
            <w:tcW w:w="1315" w:type="dxa"/>
          </w:tcPr>
          <w:p w:rsidR="008934B0" w:rsidRDefault="008934B0" w:rsidP="008934B0">
            <w:pPr>
              <w:pStyle w:val="-"/>
              <w:ind w:firstLineChars="0" w:firstLine="0"/>
              <w:jc w:val="right"/>
            </w:pPr>
            <w:r>
              <w:t>3.39%</w:t>
            </w:r>
          </w:p>
        </w:tc>
        <w:tc>
          <w:tcPr>
            <w:tcW w:w="1285" w:type="dxa"/>
          </w:tcPr>
          <w:p w:rsidR="008934B0" w:rsidRDefault="008934B0" w:rsidP="008934B0">
            <w:pPr>
              <w:pStyle w:val="-"/>
              <w:ind w:firstLineChars="0" w:firstLine="0"/>
              <w:jc w:val="right"/>
            </w:pPr>
            <w:r>
              <w:t>88.90%</w:t>
            </w:r>
          </w:p>
        </w:tc>
        <w:tc>
          <w:tcPr>
            <w:tcW w:w="1276" w:type="dxa"/>
          </w:tcPr>
          <w:p w:rsidR="008934B0" w:rsidRDefault="008934B0" w:rsidP="008934B0">
            <w:pPr>
              <w:pStyle w:val="-"/>
              <w:ind w:firstLineChars="0" w:firstLine="0"/>
              <w:jc w:val="right"/>
            </w:pPr>
            <w:r>
              <w:t>6.33%</w:t>
            </w:r>
          </w:p>
        </w:tc>
        <w:tc>
          <w:tcPr>
            <w:tcW w:w="976" w:type="dxa"/>
          </w:tcPr>
          <w:p w:rsidR="008934B0" w:rsidRDefault="008934B0" w:rsidP="008934B0">
            <w:pPr>
              <w:pStyle w:val="-"/>
              <w:ind w:firstLineChars="0" w:firstLine="0"/>
              <w:jc w:val="right"/>
            </w:pPr>
            <w:r>
              <w:t>-89.89%</w:t>
            </w:r>
          </w:p>
        </w:tc>
        <w:tc>
          <w:tcPr>
            <w:tcW w:w="907" w:type="dxa"/>
          </w:tcPr>
          <w:p w:rsidR="008934B0" w:rsidRDefault="008934B0" w:rsidP="008934B0">
            <w:pPr>
              <w:pStyle w:val="-"/>
              <w:ind w:firstLineChars="0" w:firstLine="0"/>
              <w:jc w:val="right"/>
            </w:pPr>
            <w:r>
              <w:t>-2.94%</w:t>
            </w:r>
          </w:p>
        </w:tc>
      </w:tr>
      <w:tr w:rsidR="008934B0" w:rsidTr="00C97212">
        <w:tc>
          <w:tcPr>
            <w:tcW w:w="1429" w:type="dxa"/>
          </w:tcPr>
          <w:p w:rsidR="008934B0" w:rsidRDefault="008934B0" w:rsidP="008934B0">
            <w:pPr>
              <w:pStyle w:val="-"/>
              <w:ind w:firstLineChars="0" w:firstLine="0"/>
              <w:jc w:val="left"/>
            </w:pPr>
            <w:r>
              <w:rPr>
                <w:rFonts w:hint="eastAsia"/>
              </w:rPr>
              <w:t>过去一年</w:t>
            </w:r>
          </w:p>
        </w:tc>
        <w:tc>
          <w:tcPr>
            <w:tcW w:w="1315" w:type="dxa"/>
          </w:tcPr>
          <w:p w:rsidR="008934B0" w:rsidRDefault="008934B0" w:rsidP="008934B0">
            <w:pPr>
              <w:pStyle w:val="-"/>
              <w:ind w:firstLineChars="0" w:firstLine="0"/>
              <w:jc w:val="right"/>
            </w:pPr>
            <w:r>
              <w:t>-51.26%</w:t>
            </w:r>
          </w:p>
        </w:tc>
        <w:tc>
          <w:tcPr>
            <w:tcW w:w="1315" w:type="dxa"/>
          </w:tcPr>
          <w:p w:rsidR="008934B0" w:rsidRDefault="008934B0" w:rsidP="008934B0">
            <w:pPr>
              <w:pStyle w:val="-"/>
              <w:ind w:firstLineChars="0" w:firstLine="0"/>
              <w:jc w:val="right"/>
            </w:pPr>
            <w:r>
              <w:t>3.11%</w:t>
            </w:r>
          </w:p>
        </w:tc>
        <w:tc>
          <w:tcPr>
            <w:tcW w:w="1285" w:type="dxa"/>
          </w:tcPr>
          <w:p w:rsidR="008934B0" w:rsidRDefault="008934B0" w:rsidP="008934B0">
            <w:pPr>
              <w:pStyle w:val="-"/>
              <w:ind w:firstLineChars="0" w:firstLine="0"/>
              <w:jc w:val="right"/>
            </w:pPr>
            <w:r>
              <w:t>-28.33%</w:t>
            </w:r>
          </w:p>
        </w:tc>
        <w:tc>
          <w:tcPr>
            <w:tcW w:w="1276" w:type="dxa"/>
          </w:tcPr>
          <w:p w:rsidR="008934B0" w:rsidRDefault="008934B0" w:rsidP="008934B0">
            <w:pPr>
              <w:pStyle w:val="-"/>
              <w:ind w:firstLineChars="0" w:firstLine="0"/>
              <w:jc w:val="right"/>
            </w:pPr>
            <w:r>
              <w:t>5.52%</w:t>
            </w:r>
          </w:p>
        </w:tc>
        <w:tc>
          <w:tcPr>
            <w:tcW w:w="976" w:type="dxa"/>
          </w:tcPr>
          <w:p w:rsidR="008934B0" w:rsidRDefault="008934B0" w:rsidP="008934B0">
            <w:pPr>
              <w:pStyle w:val="-"/>
              <w:ind w:firstLineChars="0" w:firstLine="0"/>
              <w:jc w:val="right"/>
            </w:pPr>
            <w:r>
              <w:t>-22.93%</w:t>
            </w:r>
          </w:p>
        </w:tc>
        <w:tc>
          <w:tcPr>
            <w:tcW w:w="907" w:type="dxa"/>
          </w:tcPr>
          <w:p w:rsidR="008934B0" w:rsidRDefault="008934B0" w:rsidP="008934B0">
            <w:pPr>
              <w:pStyle w:val="-"/>
              <w:ind w:firstLineChars="0" w:firstLine="0"/>
              <w:jc w:val="right"/>
            </w:pPr>
            <w:r>
              <w:t>-2.41%</w:t>
            </w:r>
          </w:p>
        </w:tc>
      </w:tr>
      <w:tr w:rsidR="008934B0" w:rsidTr="00C97212">
        <w:tc>
          <w:tcPr>
            <w:tcW w:w="1429" w:type="dxa"/>
          </w:tcPr>
          <w:p w:rsidR="008934B0" w:rsidRDefault="008934B0" w:rsidP="008934B0">
            <w:pPr>
              <w:pStyle w:val="-"/>
              <w:ind w:firstLineChars="0" w:firstLine="0"/>
              <w:jc w:val="left"/>
            </w:pPr>
            <w:r>
              <w:rPr>
                <w:rFonts w:hint="eastAsia"/>
              </w:rPr>
              <w:t>自基金合同生效起至今</w:t>
            </w:r>
          </w:p>
        </w:tc>
        <w:tc>
          <w:tcPr>
            <w:tcW w:w="1315" w:type="dxa"/>
          </w:tcPr>
          <w:p w:rsidR="008934B0" w:rsidRDefault="008934B0" w:rsidP="008934B0">
            <w:pPr>
              <w:pStyle w:val="-"/>
              <w:ind w:firstLineChars="0" w:firstLine="0"/>
              <w:jc w:val="right"/>
            </w:pPr>
            <w:r>
              <w:t>-63.06%</w:t>
            </w:r>
          </w:p>
        </w:tc>
        <w:tc>
          <w:tcPr>
            <w:tcW w:w="1315" w:type="dxa"/>
          </w:tcPr>
          <w:p w:rsidR="008934B0" w:rsidRDefault="008934B0" w:rsidP="008934B0">
            <w:pPr>
              <w:pStyle w:val="-"/>
              <w:ind w:firstLineChars="0" w:firstLine="0"/>
              <w:jc w:val="right"/>
            </w:pPr>
            <w:r>
              <w:t>2.58%</w:t>
            </w:r>
          </w:p>
        </w:tc>
        <w:tc>
          <w:tcPr>
            <w:tcW w:w="1285" w:type="dxa"/>
          </w:tcPr>
          <w:p w:rsidR="008934B0" w:rsidRDefault="008934B0" w:rsidP="008934B0">
            <w:pPr>
              <w:pStyle w:val="-"/>
              <w:ind w:firstLineChars="0" w:firstLine="0"/>
              <w:jc w:val="right"/>
            </w:pPr>
            <w:r>
              <w:t>-47.10%</w:t>
            </w:r>
          </w:p>
        </w:tc>
        <w:tc>
          <w:tcPr>
            <w:tcW w:w="1276" w:type="dxa"/>
          </w:tcPr>
          <w:p w:rsidR="008934B0" w:rsidRDefault="008934B0" w:rsidP="008934B0">
            <w:pPr>
              <w:pStyle w:val="-"/>
              <w:ind w:firstLineChars="0" w:firstLine="0"/>
              <w:jc w:val="right"/>
            </w:pPr>
            <w:r>
              <w:t>4.24%</w:t>
            </w:r>
          </w:p>
        </w:tc>
        <w:tc>
          <w:tcPr>
            <w:tcW w:w="976" w:type="dxa"/>
          </w:tcPr>
          <w:p w:rsidR="008934B0" w:rsidRDefault="008934B0" w:rsidP="008934B0">
            <w:pPr>
              <w:pStyle w:val="-"/>
              <w:ind w:firstLineChars="0" w:firstLine="0"/>
              <w:jc w:val="right"/>
            </w:pPr>
            <w:r>
              <w:t>-15.96%</w:t>
            </w:r>
          </w:p>
        </w:tc>
        <w:tc>
          <w:tcPr>
            <w:tcW w:w="907" w:type="dxa"/>
          </w:tcPr>
          <w:p w:rsidR="008934B0" w:rsidRDefault="008934B0" w:rsidP="008934B0">
            <w:pPr>
              <w:pStyle w:val="-"/>
              <w:ind w:firstLineChars="0" w:firstLine="0"/>
              <w:jc w:val="right"/>
            </w:pPr>
            <w:r>
              <w:t>-1.66%</w:t>
            </w:r>
          </w:p>
        </w:tc>
      </w:tr>
    </w:tbl>
    <w:p w:rsidR="008934B0" w:rsidRDefault="008934B0" w:rsidP="008934B0">
      <w:pPr>
        <w:pStyle w:val="-3"/>
        <w:spacing w:before="156" w:after="156"/>
      </w:pPr>
      <w:r>
        <w:rPr>
          <w:rFonts w:hint="eastAsia"/>
        </w:rPr>
        <w:t>自基金合同生效以来基金累计净值增长率变动及其与同期业绩比较基准收益率变动的比较</w:t>
      </w:r>
    </w:p>
    <w:p w:rsidR="008934B0" w:rsidRDefault="008934B0" w:rsidP="008934B0">
      <w:r>
        <w:rPr>
          <w:rFonts w:hint="eastAsia"/>
          <w:noProof/>
        </w:rPr>
        <w:lastRenderedPageBreak/>
        <w:drawing>
          <wp:inline distT="0" distB="0" distL="0" distR="0">
            <wp:extent cx="5274310" cy="435229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52290"/>
                    </a:xfrm>
                    <a:prstGeom prst="rect">
                      <a:avLst/>
                    </a:prstGeom>
                  </pic:spPr>
                </pic:pic>
              </a:graphicData>
            </a:graphic>
          </wp:inline>
        </w:drawing>
      </w:r>
    </w:p>
    <w:p w:rsidR="008934B0" w:rsidRDefault="008934B0" w:rsidP="008934B0">
      <w:r>
        <w:rPr>
          <w:rFonts w:hint="eastAsia"/>
          <w:noProof/>
        </w:rPr>
        <w:drawing>
          <wp:inline distT="0" distB="0" distL="0" distR="0">
            <wp:extent cx="5274310" cy="4322445"/>
            <wp:effectExtent l="0" t="0" r="2540" b="190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22445"/>
                    </a:xfrm>
                    <a:prstGeom prst="rect">
                      <a:avLst/>
                    </a:prstGeom>
                  </pic:spPr>
                </pic:pic>
              </a:graphicData>
            </a:graphic>
          </wp:inline>
        </w:drawing>
      </w:r>
    </w:p>
    <w:p w:rsidR="008934B0" w:rsidRDefault="008934B0" w:rsidP="008934B0">
      <w:pPr>
        <w:pStyle w:val="-8"/>
      </w:pPr>
      <w:r>
        <w:rPr>
          <w:rFonts w:hint="eastAsia"/>
        </w:rPr>
        <w:lastRenderedPageBreak/>
        <w:t>注：1、本基金从2018年10月8日起新增C类份额，C类份额自2018年10月9日起存续。</w:t>
      </w:r>
    </w:p>
    <w:p w:rsidR="008934B0" w:rsidRDefault="008934B0" w:rsidP="008934B0">
      <w:pPr>
        <w:pStyle w:val="-1"/>
        <w:ind w:left="281" w:hanging="281"/>
      </w:pPr>
      <w:r>
        <w:rPr>
          <w:rFonts w:hint="eastAsia"/>
        </w:rPr>
        <w:t>管理人报告</w:t>
      </w:r>
    </w:p>
    <w:p w:rsidR="008934B0" w:rsidRDefault="008934B0" w:rsidP="008934B0">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934B0" w:rsidTr="00E2172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934B0" w:rsidRDefault="008934B0" w:rsidP="008934B0">
            <w:pPr>
              <w:jc w:val="center"/>
            </w:pPr>
            <w:r>
              <w:rPr>
                <w:rFonts w:hint="eastAsia"/>
              </w:rPr>
              <w:t>姓名</w:t>
            </w:r>
          </w:p>
        </w:tc>
        <w:tc>
          <w:tcPr>
            <w:tcW w:w="851" w:type="dxa"/>
            <w:vMerge w:val="restart"/>
          </w:tcPr>
          <w:p w:rsidR="008934B0" w:rsidRDefault="008934B0" w:rsidP="008934B0">
            <w:pPr>
              <w:jc w:val="center"/>
            </w:pPr>
            <w:r>
              <w:rPr>
                <w:rFonts w:hint="eastAsia"/>
              </w:rPr>
              <w:t>职务</w:t>
            </w:r>
          </w:p>
        </w:tc>
        <w:tc>
          <w:tcPr>
            <w:tcW w:w="2234" w:type="dxa"/>
            <w:gridSpan w:val="2"/>
            <w:tcBorders>
              <w:bottom w:val="single" w:sz="4" w:space="0" w:color="auto"/>
            </w:tcBorders>
          </w:tcPr>
          <w:p w:rsidR="008934B0" w:rsidRDefault="008934B0" w:rsidP="008934B0">
            <w:pPr>
              <w:jc w:val="center"/>
            </w:pPr>
            <w:r>
              <w:rPr>
                <w:rFonts w:hint="eastAsia"/>
              </w:rPr>
              <w:t>任本基金的基金经理期限</w:t>
            </w:r>
          </w:p>
        </w:tc>
        <w:tc>
          <w:tcPr>
            <w:tcW w:w="703" w:type="dxa"/>
            <w:vMerge w:val="restart"/>
          </w:tcPr>
          <w:p w:rsidR="008934B0" w:rsidRDefault="008934B0" w:rsidP="008934B0">
            <w:pPr>
              <w:jc w:val="center"/>
            </w:pPr>
            <w:r>
              <w:rPr>
                <w:rFonts w:hint="eastAsia"/>
              </w:rPr>
              <w:t>证券从业年限</w:t>
            </w:r>
          </w:p>
        </w:tc>
        <w:tc>
          <w:tcPr>
            <w:tcW w:w="3856" w:type="dxa"/>
            <w:vMerge w:val="restart"/>
          </w:tcPr>
          <w:p w:rsidR="008934B0" w:rsidRDefault="008934B0" w:rsidP="008934B0">
            <w:pPr>
              <w:jc w:val="center"/>
            </w:pPr>
            <w:r>
              <w:rPr>
                <w:rFonts w:hint="eastAsia"/>
              </w:rPr>
              <w:t>说明</w:t>
            </w:r>
          </w:p>
        </w:tc>
      </w:tr>
      <w:tr w:rsidR="008934B0" w:rsidTr="008934B0">
        <w:tc>
          <w:tcPr>
            <w:tcW w:w="862" w:type="dxa"/>
            <w:vMerge/>
          </w:tcPr>
          <w:p w:rsidR="008934B0" w:rsidRDefault="008934B0" w:rsidP="008934B0">
            <w:pPr>
              <w:jc w:val="left"/>
            </w:pPr>
          </w:p>
        </w:tc>
        <w:tc>
          <w:tcPr>
            <w:tcW w:w="851" w:type="dxa"/>
            <w:vMerge/>
          </w:tcPr>
          <w:p w:rsidR="008934B0" w:rsidRDefault="008934B0" w:rsidP="008934B0">
            <w:pPr>
              <w:jc w:val="left"/>
            </w:pPr>
          </w:p>
        </w:tc>
        <w:tc>
          <w:tcPr>
            <w:tcW w:w="1117" w:type="dxa"/>
            <w:shd w:val="clear" w:color="auto" w:fill="BFBFBF"/>
          </w:tcPr>
          <w:p w:rsidR="008934B0" w:rsidRDefault="008934B0" w:rsidP="008934B0">
            <w:pPr>
              <w:jc w:val="center"/>
            </w:pPr>
            <w:r>
              <w:rPr>
                <w:rFonts w:hint="eastAsia"/>
              </w:rPr>
              <w:t>任职日期</w:t>
            </w:r>
          </w:p>
        </w:tc>
        <w:tc>
          <w:tcPr>
            <w:tcW w:w="1117" w:type="dxa"/>
            <w:shd w:val="clear" w:color="auto" w:fill="BFBFBF"/>
          </w:tcPr>
          <w:p w:rsidR="008934B0" w:rsidRDefault="008934B0" w:rsidP="008934B0">
            <w:pPr>
              <w:jc w:val="center"/>
            </w:pPr>
            <w:r>
              <w:rPr>
                <w:rFonts w:hint="eastAsia"/>
              </w:rPr>
              <w:t>离任日期</w:t>
            </w:r>
          </w:p>
        </w:tc>
        <w:tc>
          <w:tcPr>
            <w:tcW w:w="703" w:type="dxa"/>
            <w:vMerge/>
          </w:tcPr>
          <w:p w:rsidR="008934B0" w:rsidRDefault="008934B0" w:rsidP="008934B0">
            <w:pPr>
              <w:jc w:val="left"/>
            </w:pPr>
          </w:p>
        </w:tc>
        <w:tc>
          <w:tcPr>
            <w:tcW w:w="3856" w:type="dxa"/>
            <w:vMerge/>
          </w:tcPr>
          <w:p w:rsidR="008934B0" w:rsidRDefault="008934B0" w:rsidP="008934B0">
            <w:pPr>
              <w:jc w:val="left"/>
            </w:pPr>
          </w:p>
        </w:tc>
      </w:tr>
      <w:tr w:rsidR="008934B0" w:rsidTr="008934B0">
        <w:tc>
          <w:tcPr>
            <w:tcW w:w="862" w:type="dxa"/>
          </w:tcPr>
          <w:p w:rsidR="008934B0" w:rsidRDefault="008934B0" w:rsidP="008934B0">
            <w:pPr>
              <w:jc w:val="left"/>
            </w:pPr>
            <w:r>
              <w:rPr>
                <w:rFonts w:hint="eastAsia"/>
              </w:rPr>
              <w:t>黄亮</w:t>
            </w:r>
          </w:p>
        </w:tc>
        <w:tc>
          <w:tcPr>
            <w:tcW w:w="851" w:type="dxa"/>
          </w:tcPr>
          <w:p w:rsidR="008934B0" w:rsidRDefault="008934B0" w:rsidP="008934B0">
            <w:pPr>
              <w:jc w:val="left"/>
            </w:pPr>
            <w:r>
              <w:rPr>
                <w:rFonts w:hint="eastAsia"/>
              </w:rPr>
              <w:t>本基金基金经理</w:t>
            </w:r>
          </w:p>
        </w:tc>
        <w:tc>
          <w:tcPr>
            <w:tcW w:w="1117" w:type="dxa"/>
          </w:tcPr>
          <w:p w:rsidR="008934B0" w:rsidRDefault="008934B0" w:rsidP="008934B0">
            <w:pPr>
              <w:jc w:val="left"/>
            </w:pPr>
            <w:r>
              <w:rPr>
                <w:rFonts w:hint="eastAsia"/>
              </w:rPr>
              <w:t>2016</w:t>
            </w:r>
            <w:r>
              <w:rPr>
                <w:rFonts w:hint="eastAsia"/>
              </w:rPr>
              <w:t>年</w:t>
            </w:r>
            <w:r>
              <w:rPr>
                <w:rFonts w:hint="eastAsia"/>
              </w:rPr>
              <w:t>6</w:t>
            </w:r>
            <w:r>
              <w:rPr>
                <w:rFonts w:hint="eastAsia"/>
              </w:rPr>
              <w:t>月</w:t>
            </w:r>
            <w:r>
              <w:rPr>
                <w:rFonts w:hint="eastAsia"/>
              </w:rPr>
              <w:t>15</w:t>
            </w:r>
            <w:r>
              <w:rPr>
                <w:rFonts w:hint="eastAsia"/>
              </w:rPr>
              <w:t>日</w:t>
            </w:r>
          </w:p>
        </w:tc>
        <w:tc>
          <w:tcPr>
            <w:tcW w:w="1117" w:type="dxa"/>
          </w:tcPr>
          <w:p w:rsidR="008934B0" w:rsidRDefault="008934B0" w:rsidP="008934B0">
            <w:pPr>
              <w:jc w:val="right"/>
            </w:pPr>
            <w:r>
              <w:t>-</w:t>
            </w:r>
          </w:p>
        </w:tc>
        <w:tc>
          <w:tcPr>
            <w:tcW w:w="703" w:type="dxa"/>
          </w:tcPr>
          <w:p w:rsidR="008934B0" w:rsidRDefault="008934B0" w:rsidP="008934B0">
            <w:pPr>
              <w:jc w:val="left"/>
            </w:pPr>
            <w:r>
              <w:rPr>
                <w:rFonts w:hint="eastAsia"/>
              </w:rPr>
              <w:t>19</w:t>
            </w:r>
            <w:r>
              <w:rPr>
                <w:rFonts w:hint="eastAsia"/>
              </w:rPr>
              <w:t>年</w:t>
            </w:r>
          </w:p>
        </w:tc>
        <w:tc>
          <w:tcPr>
            <w:tcW w:w="3856" w:type="dxa"/>
          </w:tcPr>
          <w:p w:rsidR="008934B0" w:rsidRDefault="008934B0" w:rsidP="008934B0">
            <w:pPr>
              <w:jc w:val="left"/>
            </w:pPr>
            <w:r>
              <w:rPr>
                <w:rFonts w:hint="eastAsia"/>
              </w:rPr>
              <w:t>北京大学工商管理硕士，具有基金从业资格。曾任职于招商证券股份有限公司、天华投资有限责任公司，</w:t>
            </w:r>
            <w:r>
              <w:rPr>
                <w:rFonts w:hint="eastAsia"/>
              </w:rPr>
              <w:t>2005</w:t>
            </w:r>
            <w:r>
              <w:rPr>
                <w:rFonts w:hint="eastAsia"/>
              </w:rPr>
              <w:t>年加入南方基金国际业务部，现任国际业务部总经理、国际投资决策委员会委员；</w:t>
            </w:r>
            <w:r>
              <w:rPr>
                <w:rFonts w:hint="eastAsia"/>
              </w:rPr>
              <w:t>2011</w:t>
            </w:r>
            <w:r>
              <w:rPr>
                <w:rFonts w:hint="eastAsia"/>
              </w:rPr>
              <w:t>年</w:t>
            </w:r>
            <w:r>
              <w:rPr>
                <w:rFonts w:hint="eastAsia"/>
              </w:rPr>
              <w:t>9</w:t>
            </w:r>
            <w:r>
              <w:rPr>
                <w:rFonts w:hint="eastAsia"/>
              </w:rPr>
              <w:t>月</w:t>
            </w:r>
            <w:r>
              <w:rPr>
                <w:rFonts w:hint="eastAsia"/>
              </w:rPr>
              <w:t>26</w:t>
            </w:r>
            <w:r>
              <w:rPr>
                <w:rFonts w:hint="eastAsia"/>
              </w:rPr>
              <w:t>日至</w:t>
            </w:r>
            <w:r>
              <w:rPr>
                <w:rFonts w:hint="eastAsia"/>
              </w:rPr>
              <w:t>2015</w:t>
            </w:r>
            <w:r>
              <w:rPr>
                <w:rFonts w:hint="eastAsia"/>
              </w:rPr>
              <w:t>年</w:t>
            </w:r>
            <w:r>
              <w:rPr>
                <w:rFonts w:hint="eastAsia"/>
              </w:rPr>
              <w:t>5</w:t>
            </w:r>
            <w:r>
              <w:rPr>
                <w:rFonts w:hint="eastAsia"/>
              </w:rPr>
              <w:t>月</w:t>
            </w:r>
            <w:r>
              <w:rPr>
                <w:rFonts w:hint="eastAsia"/>
              </w:rPr>
              <w:t>13</w:t>
            </w:r>
            <w:r>
              <w:rPr>
                <w:rFonts w:hint="eastAsia"/>
              </w:rPr>
              <w:t>日，任南方中国中小盘基金经理；</w:t>
            </w:r>
            <w:r>
              <w:rPr>
                <w:rFonts w:hint="eastAsia"/>
              </w:rPr>
              <w:t>2015</w:t>
            </w:r>
            <w:r>
              <w:rPr>
                <w:rFonts w:hint="eastAsia"/>
              </w:rPr>
              <w:t>年</w:t>
            </w:r>
            <w:r>
              <w:rPr>
                <w:rFonts w:hint="eastAsia"/>
              </w:rPr>
              <w:t>5</w:t>
            </w:r>
            <w:r>
              <w:rPr>
                <w:rFonts w:hint="eastAsia"/>
              </w:rPr>
              <w:t>月</w:t>
            </w:r>
            <w:r>
              <w:rPr>
                <w:rFonts w:hint="eastAsia"/>
              </w:rPr>
              <w:t>13</w:t>
            </w:r>
            <w:r>
              <w:rPr>
                <w:rFonts w:hint="eastAsia"/>
              </w:rPr>
              <w:t>日至</w:t>
            </w:r>
            <w:r>
              <w:rPr>
                <w:rFonts w:hint="eastAsia"/>
              </w:rPr>
              <w:t>2017</w:t>
            </w:r>
            <w:r>
              <w:rPr>
                <w:rFonts w:hint="eastAsia"/>
              </w:rPr>
              <w:t>年</w:t>
            </w:r>
            <w:r>
              <w:rPr>
                <w:rFonts w:hint="eastAsia"/>
              </w:rPr>
              <w:t>11</w:t>
            </w:r>
            <w:r>
              <w:rPr>
                <w:rFonts w:hint="eastAsia"/>
              </w:rPr>
              <w:t>月</w:t>
            </w:r>
            <w:r>
              <w:rPr>
                <w:rFonts w:hint="eastAsia"/>
              </w:rPr>
              <w:t>9</w:t>
            </w:r>
            <w:r>
              <w:rPr>
                <w:rFonts w:hint="eastAsia"/>
              </w:rPr>
              <w:t>日，任南方香港优选基金经理；</w:t>
            </w:r>
            <w:r>
              <w:rPr>
                <w:rFonts w:hint="eastAsia"/>
              </w:rPr>
              <w:t>2017</w:t>
            </w:r>
            <w:r>
              <w:rPr>
                <w:rFonts w:hint="eastAsia"/>
              </w:rPr>
              <w:t>年</w:t>
            </w:r>
            <w:r>
              <w:rPr>
                <w:rFonts w:hint="eastAsia"/>
              </w:rPr>
              <w:t>4</w:t>
            </w:r>
            <w:r>
              <w:rPr>
                <w:rFonts w:hint="eastAsia"/>
              </w:rPr>
              <w:t>月</w:t>
            </w:r>
            <w:r>
              <w:rPr>
                <w:rFonts w:hint="eastAsia"/>
              </w:rPr>
              <w:t>26</w:t>
            </w:r>
            <w:r>
              <w:rPr>
                <w:rFonts w:hint="eastAsia"/>
              </w:rPr>
              <w:t>日至</w:t>
            </w:r>
            <w:r>
              <w:rPr>
                <w:rFonts w:hint="eastAsia"/>
              </w:rPr>
              <w:t>2019</w:t>
            </w:r>
            <w:r>
              <w:rPr>
                <w:rFonts w:hint="eastAsia"/>
              </w:rPr>
              <w:t>年</w:t>
            </w:r>
            <w:r>
              <w:rPr>
                <w:rFonts w:hint="eastAsia"/>
              </w:rPr>
              <w:t>4</w:t>
            </w:r>
            <w:r>
              <w:rPr>
                <w:rFonts w:hint="eastAsia"/>
              </w:rPr>
              <w:t>月</w:t>
            </w:r>
            <w:r>
              <w:rPr>
                <w:rFonts w:hint="eastAsia"/>
              </w:rPr>
              <w:t>22</w:t>
            </w:r>
            <w:r>
              <w:rPr>
                <w:rFonts w:hint="eastAsia"/>
              </w:rPr>
              <w:t>日，任国企精明基金经理；</w:t>
            </w:r>
            <w:r>
              <w:rPr>
                <w:rFonts w:hint="eastAsia"/>
              </w:rPr>
              <w:t>2010</w:t>
            </w:r>
            <w:r>
              <w:rPr>
                <w:rFonts w:hint="eastAsia"/>
              </w:rPr>
              <w:t>年</w:t>
            </w:r>
            <w:r>
              <w:rPr>
                <w:rFonts w:hint="eastAsia"/>
              </w:rPr>
              <w:t>12</w:t>
            </w:r>
            <w:r>
              <w:rPr>
                <w:rFonts w:hint="eastAsia"/>
              </w:rPr>
              <w:t>月</w:t>
            </w:r>
            <w:r>
              <w:rPr>
                <w:rFonts w:hint="eastAsia"/>
              </w:rPr>
              <w:t>9</w:t>
            </w:r>
            <w:r>
              <w:rPr>
                <w:rFonts w:hint="eastAsia"/>
              </w:rPr>
              <w:t>日至</w:t>
            </w:r>
            <w:r>
              <w:rPr>
                <w:rFonts w:hint="eastAsia"/>
              </w:rPr>
              <w:t>2020</w:t>
            </w:r>
            <w:r>
              <w:rPr>
                <w:rFonts w:hint="eastAsia"/>
              </w:rPr>
              <w:t>年</w:t>
            </w:r>
            <w:r>
              <w:rPr>
                <w:rFonts w:hint="eastAsia"/>
              </w:rPr>
              <w:t>9</w:t>
            </w:r>
            <w:r>
              <w:rPr>
                <w:rFonts w:hint="eastAsia"/>
              </w:rPr>
              <w:t>月</w:t>
            </w:r>
            <w:r>
              <w:rPr>
                <w:rFonts w:hint="eastAsia"/>
              </w:rPr>
              <w:t>18</w:t>
            </w:r>
            <w:r>
              <w:rPr>
                <w:rFonts w:hint="eastAsia"/>
              </w:rPr>
              <w:t>日，任南方金砖基金经理；</w:t>
            </w:r>
            <w:r>
              <w:rPr>
                <w:rFonts w:hint="eastAsia"/>
              </w:rPr>
              <w:t>2009</w:t>
            </w:r>
            <w:r>
              <w:rPr>
                <w:rFonts w:hint="eastAsia"/>
              </w:rPr>
              <w:t>年</w:t>
            </w:r>
            <w:r>
              <w:rPr>
                <w:rFonts w:hint="eastAsia"/>
              </w:rPr>
              <w:t>6</w:t>
            </w:r>
            <w:r>
              <w:rPr>
                <w:rFonts w:hint="eastAsia"/>
              </w:rPr>
              <w:t>月</w:t>
            </w:r>
            <w:r>
              <w:rPr>
                <w:rFonts w:hint="eastAsia"/>
              </w:rPr>
              <w:t>25</w:t>
            </w:r>
            <w:r>
              <w:rPr>
                <w:rFonts w:hint="eastAsia"/>
              </w:rPr>
              <w:t>日至今，任南方全球基金经理；</w:t>
            </w:r>
            <w:r>
              <w:rPr>
                <w:rFonts w:hint="eastAsia"/>
              </w:rPr>
              <w:t>2016</w:t>
            </w:r>
            <w:r>
              <w:rPr>
                <w:rFonts w:hint="eastAsia"/>
              </w:rPr>
              <w:t>年</w:t>
            </w:r>
            <w:r>
              <w:rPr>
                <w:rFonts w:hint="eastAsia"/>
              </w:rPr>
              <w:t>6</w:t>
            </w:r>
            <w:r>
              <w:rPr>
                <w:rFonts w:hint="eastAsia"/>
              </w:rPr>
              <w:t>月</w:t>
            </w:r>
            <w:r>
              <w:rPr>
                <w:rFonts w:hint="eastAsia"/>
              </w:rPr>
              <w:t>15</w:t>
            </w:r>
            <w:r>
              <w:rPr>
                <w:rFonts w:hint="eastAsia"/>
              </w:rPr>
              <w:t>日至今，任南方原油基金经理；</w:t>
            </w:r>
            <w:r>
              <w:rPr>
                <w:rFonts w:hint="eastAsia"/>
              </w:rPr>
              <w:t>2017</w:t>
            </w:r>
            <w:r>
              <w:rPr>
                <w:rFonts w:hint="eastAsia"/>
              </w:rPr>
              <w:t>年</w:t>
            </w:r>
            <w:r>
              <w:rPr>
                <w:rFonts w:hint="eastAsia"/>
              </w:rPr>
              <w:t>10</w:t>
            </w:r>
            <w:r>
              <w:rPr>
                <w:rFonts w:hint="eastAsia"/>
              </w:rPr>
              <w:t>月</w:t>
            </w:r>
            <w:r>
              <w:rPr>
                <w:rFonts w:hint="eastAsia"/>
              </w:rPr>
              <w:t>26</w:t>
            </w:r>
            <w:r>
              <w:rPr>
                <w:rFonts w:hint="eastAsia"/>
              </w:rPr>
              <w:t>日至今，任美国</w:t>
            </w:r>
            <w:r>
              <w:rPr>
                <w:rFonts w:hint="eastAsia"/>
              </w:rPr>
              <w:t>REIT</w:t>
            </w:r>
            <w:r>
              <w:rPr>
                <w:rFonts w:hint="eastAsia"/>
              </w:rPr>
              <w:t>基金经理；</w:t>
            </w:r>
            <w:r>
              <w:rPr>
                <w:rFonts w:hint="eastAsia"/>
              </w:rPr>
              <w:t>2019</w:t>
            </w:r>
            <w:r>
              <w:rPr>
                <w:rFonts w:hint="eastAsia"/>
              </w:rPr>
              <w:t>年</w:t>
            </w:r>
            <w:r>
              <w:rPr>
                <w:rFonts w:hint="eastAsia"/>
              </w:rPr>
              <w:t>4</w:t>
            </w:r>
            <w:r>
              <w:rPr>
                <w:rFonts w:hint="eastAsia"/>
              </w:rPr>
              <w:t>月</w:t>
            </w:r>
            <w:r>
              <w:rPr>
                <w:rFonts w:hint="eastAsia"/>
              </w:rPr>
              <w:t>3</w:t>
            </w:r>
            <w:r>
              <w:rPr>
                <w:rFonts w:hint="eastAsia"/>
              </w:rPr>
              <w:t>日至今，任南方香港成长基金经理。</w:t>
            </w:r>
          </w:p>
        </w:tc>
      </w:tr>
    </w:tbl>
    <w:p w:rsidR="008934B0" w:rsidRDefault="008934B0" w:rsidP="008934B0">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8934B0" w:rsidRDefault="008934B0" w:rsidP="008934B0">
      <w:pPr>
        <w:pStyle w:val="-"/>
        <w:ind w:firstLine="420"/>
      </w:pPr>
      <w:r>
        <w:rPr>
          <w:rFonts w:hint="eastAsia"/>
        </w:rPr>
        <w:t>2、证券从业年限计算标准遵从行业协会《证券业从业人员资格管理办法》中关于证券从业人员范围的相关规定。</w:t>
      </w:r>
    </w:p>
    <w:p w:rsidR="008934B0" w:rsidRDefault="008934B0" w:rsidP="008934B0">
      <w:pPr>
        <w:pStyle w:val="-3"/>
        <w:spacing w:before="156" w:after="156"/>
      </w:pPr>
      <w:r>
        <w:rPr>
          <w:rFonts w:hint="eastAsia"/>
        </w:rPr>
        <w:t>期末兼任私募资产管理计划投资经理的基金经理同时管理的产品情况</w:t>
      </w:r>
    </w:p>
    <w:p w:rsidR="00CD3F44" w:rsidRPr="00CD3F44" w:rsidRDefault="00CD3F44" w:rsidP="00CD3F44">
      <w:pPr>
        <w:pStyle w:val="-3"/>
        <w:numPr>
          <w:ilvl w:val="0"/>
          <w:numId w:val="0"/>
        </w:numPr>
        <w:spacing w:before="156" w:after="156"/>
        <w:ind w:firstLineChars="200" w:firstLine="420"/>
        <w:rPr>
          <w:rFonts w:ascii="宋体" w:hAnsi="宋体"/>
          <w:b w:val="0"/>
          <w:kern w:val="0"/>
          <w:sz w:val="21"/>
          <w:szCs w:val="21"/>
        </w:rPr>
      </w:pPr>
      <w:r w:rsidRPr="00CD3F44">
        <w:rPr>
          <w:rFonts w:ascii="宋体" w:hAnsi="宋体" w:hint="eastAsia"/>
          <w:b w:val="0"/>
          <w:kern w:val="0"/>
          <w:sz w:val="21"/>
          <w:szCs w:val="21"/>
        </w:rPr>
        <w:t>本期末本基金基金经理无兼任私募资产管理计划投资经理的情况。</w:t>
      </w:r>
    </w:p>
    <w:p w:rsidR="008934B0" w:rsidRDefault="008934B0" w:rsidP="008934B0">
      <w:pPr>
        <w:pStyle w:val="-2"/>
        <w:spacing w:before="312"/>
      </w:pPr>
      <w:r>
        <w:rPr>
          <w:rFonts w:hint="eastAsia"/>
        </w:rPr>
        <w:t>境外投资顾问为本基金提供投资建议的主要成员简介</w:t>
      </w:r>
    </w:p>
    <w:p w:rsidR="008934B0" w:rsidRDefault="008934B0" w:rsidP="008934B0">
      <w:pPr>
        <w:pStyle w:val="-"/>
        <w:ind w:firstLine="420"/>
      </w:pPr>
      <w:r>
        <w:rPr>
          <w:rFonts w:hint="eastAsia"/>
        </w:rPr>
        <w:t>本基金无境外投资顾问。</w:t>
      </w:r>
    </w:p>
    <w:p w:rsidR="008934B0" w:rsidRDefault="008934B0" w:rsidP="008934B0">
      <w:pPr>
        <w:pStyle w:val="-2"/>
        <w:spacing w:before="312"/>
      </w:pPr>
      <w:r>
        <w:rPr>
          <w:rFonts w:hint="eastAsia"/>
        </w:rPr>
        <w:t>报告期内本基金运作遵规守信情况的说明</w:t>
      </w:r>
    </w:p>
    <w:p w:rsidR="008934B0" w:rsidRDefault="008934B0" w:rsidP="008934B0">
      <w:pPr>
        <w:pStyle w:val="-"/>
        <w:ind w:firstLine="420"/>
      </w:pPr>
      <w:r>
        <w:rPr>
          <w:rFonts w:hint="eastAsia"/>
        </w:rPr>
        <w:lastRenderedPageBreak/>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934B0" w:rsidRDefault="008934B0" w:rsidP="008934B0">
      <w:pPr>
        <w:pStyle w:val="-2"/>
        <w:spacing w:before="312"/>
      </w:pPr>
      <w:r>
        <w:rPr>
          <w:rFonts w:hint="eastAsia"/>
        </w:rPr>
        <w:t>公平交易专项说明</w:t>
      </w:r>
    </w:p>
    <w:p w:rsidR="008934B0" w:rsidRDefault="008934B0" w:rsidP="008934B0">
      <w:pPr>
        <w:pStyle w:val="-3"/>
        <w:spacing w:before="156" w:after="156"/>
      </w:pPr>
      <w:r>
        <w:rPr>
          <w:rFonts w:hint="eastAsia"/>
        </w:rPr>
        <w:t>公平交易制度的执行情况</w:t>
      </w:r>
    </w:p>
    <w:p w:rsidR="008934B0" w:rsidRDefault="008934B0" w:rsidP="008934B0">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934B0" w:rsidRDefault="008934B0" w:rsidP="008934B0">
      <w:pPr>
        <w:pStyle w:val="-3"/>
        <w:spacing w:before="156" w:after="156"/>
      </w:pPr>
      <w:r>
        <w:rPr>
          <w:rFonts w:hint="eastAsia"/>
        </w:rPr>
        <w:t>异常交易行为的专项说明</w:t>
      </w:r>
    </w:p>
    <w:p w:rsidR="008934B0" w:rsidRDefault="008934B0" w:rsidP="008934B0">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934B0" w:rsidRDefault="008934B0" w:rsidP="008934B0">
      <w:pPr>
        <w:pStyle w:val="-2"/>
        <w:spacing w:before="312"/>
      </w:pPr>
      <w:r>
        <w:rPr>
          <w:rFonts w:hint="eastAsia"/>
        </w:rPr>
        <w:t>报告期内基金的投资策略和业绩表现说明</w:t>
      </w:r>
    </w:p>
    <w:p w:rsidR="008934B0" w:rsidRDefault="008934B0" w:rsidP="008934B0">
      <w:pPr>
        <w:pStyle w:val="-3"/>
        <w:spacing w:before="156" w:after="156"/>
      </w:pPr>
      <w:r>
        <w:rPr>
          <w:rFonts w:hint="eastAsia"/>
        </w:rPr>
        <w:t>报告期内基金投资策略和运作分析</w:t>
      </w:r>
    </w:p>
    <w:p w:rsidR="008934B0" w:rsidRDefault="008934B0" w:rsidP="008934B0">
      <w:pPr>
        <w:pStyle w:val="-"/>
        <w:ind w:firstLine="420"/>
      </w:pPr>
      <w:r>
        <w:rPr>
          <w:rFonts w:hint="eastAsia"/>
        </w:rPr>
        <w:t>2020年初全球受到新冠疫情全面冲击，对全球经济造成整体重大影响。本次疫情对原本就处于后周期的经济造成了重大打击，美国国家经济研究局（NBER）已正式宣布美国经济进入衰退，国际货币基金组织等机构也预计全球将陷入经济衰退。三季度以来，全球商业活动逐步开放，但经济复苏速度仍然较慢，经济活动水平恢复到疫情前水平仍需一定时间。</w:t>
      </w:r>
    </w:p>
    <w:p w:rsidR="008934B0" w:rsidRDefault="008934B0" w:rsidP="008934B0">
      <w:pPr>
        <w:pStyle w:val="-"/>
        <w:ind w:firstLine="420"/>
      </w:pPr>
      <w:r>
        <w:rPr>
          <w:rFonts w:hint="eastAsia"/>
        </w:rPr>
        <w:t>较为积极的方面是，目前各国政府和资本市场展现出较强的历史经验学习能力，政策跟进和资本市场反应均较以往周期更为迅速。主要国家的政府及央行通过大规模临时性财政政策及央行扩表等方式缓解了资本市场出现的流动性枯竭的局面。政府对经济的支持政策主要体现在三个方向：1）直升机撒钱缓解大规模失业带来的民生压力，避免贫富差距大幅扩大 2）政府通过信用扩张纾解企业的违约风险，避免企业资金链断裂导致的信贷危机蔓延 3）财政政策发力，通过政府端需求来弥补居民端需求和企业端需求的下滑。</w:t>
      </w:r>
    </w:p>
    <w:p w:rsidR="008934B0" w:rsidRDefault="008934B0" w:rsidP="008934B0">
      <w:pPr>
        <w:pStyle w:val="-"/>
        <w:ind w:firstLine="420"/>
      </w:pPr>
      <w:r>
        <w:rPr>
          <w:rFonts w:hint="eastAsia"/>
        </w:rPr>
        <w:t>目前市场的资本价格主要由资金面支撑，随着疫情缓和，经济逐渐复苏，基本面应会对市场逐渐起到稳定作用。</w:t>
      </w:r>
    </w:p>
    <w:p w:rsidR="008934B0" w:rsidRDefault="008934B0" w:rsidP="008934B0">
      <w:pPr>
        <w:pStyle w:val="-"/>
        <w:ind w:firstLine="420"/>
      </w:pPr>
      <w:r>
        <w:rPr>
          <w:rFonts w:hint="eastAsia"/>
        </w:rPr>
        <w:t>上半年在疫情叠加原油价格战的背景下，原油价格大幅下跌；此后随着OPEC+减产协定的实施，原油价格出现明显反弹。三季度中，美元计价的WTI原油价格和BRENT原油价格</w:t>
      </w:r>
      <w:r>
        <w:rPr>
          <w:rFonts w:hint="eastAsia"/>
        </w:rPr>
        <w:lastRenderedPageBreak/>
        <w:t>在7、8月份分别小幅平缓上升至每桶43美元、45美元的水平，在9月初经历了一波调整后维持区间震荡，在三季度末价格分别为每桶40.22美元和40.95美元。</w:t>
      </w:r>
    </w:p>
    <w:p w:rsidR="008934B0" w:rsidRDefault="008934B0" w:rsidP="008934B0">
      <w:pPr>
        <w:pStyle w:val="-"/>
        <w:ind w:firstLine="420"/>
      </w:pPr>
      <w:r>
        <w:rPr>
          <w:rFonts w:hint="eastAsia"/>
        </w:rPr>
        <w:t>展望后市，短期经济复苏缓慢，国际政治局势不确定性较高，原油需求和价格预计将继续震荡。明年在美国大选、英国脱欧等不确定性消除后，全球复工复产进度更有可能加速，对原油需求应会起到提振作用，原油价格可能出现一定上行动力。但另一方面，随着油价回升，OPEC+减产动力下降，释放更多原油供给，抑制油价过快上行。预计明年油价上行速度可能落后于经济活动的恢复速度。</w:t>
      </w:r>
    </w:p>
    <w:p w:rsidR="00B03501" w:rsidRDefault="008934B0" w:rsidP="00B03501">
      <w:pPr>
        <w:pStyle w:val="-"/>
        <w:ind w:firstLine="420"/>
      </w:pPr>
      <w:r>
        <w:rPr>
          <w:rFonts w:hint="eastAsia"/>
        </w:rPr>
        <w:t>未来，本基金投资团队将密切关注市场变化趋势，谨慎勤勉、恪尽职守，</w:t>
      </w:r>
      <w:r w:rsidR="00B03501">
        <w:rPr>
          <w:rFonts w:hint="eastAsia"/>
        </w:rPr>
        <w:t>力争实现对原油价格的跟踪。</w:t>
      </w:r>
    </w:p>
    <w:p w:rsidR="008934B0" w:rsidRDefault="008934B0" w:rsidP="008934B0">
      <w:pPr>
        <w:pStyle w:val="-3"/>
        <w:spacing w:before="156" w:after="156"/>
      </w:pPr>
      <w:bookmarkStart w:id="2" w:name="_GoBack"/>
      <w:bookmarkEnd w:id="2"/>
      <w:r>
        <w:rPr>
          <w:rFonts w:hint="eastAsia"/>
        </w:rPr>
        <w:t>报告期内基金的业绩表现</w:t>
      </w:r>
    </w:p>
    <w:p w:rsidR="008934B0" w:rsidRDefault="008934B0" w:rsidP="008934B0">
      <w:pPr>
        <w:pStyle w:val="-"/>
        <w:ind w:firstLine="420"/>
      </w:pPr>
      <w:r>
        <w:rPr>
          <w:rFonts w:hint="eastAsia"/>
        </w:rPr>
        <w:t>截至报告期末，本基金A份额净值为0.5199元，报告期内，份额净值增长率为-4.43%，同期业绩基准增长率为-2.58%；本基金C份额净值为0.5192元，报告期内，份额净值增长率为-4.52%，同期业绩基准增长率为-2.58%。</w:t>
      </w:r>
    </w:p>
    <w:p w:rsidR="008934B0" w:rsidRDefault="008934B0" w:rsidP="008934B0">
      <w:pPr>
        <w:pStyle w:val="-2"/>
        <w:spacing w:before="312"/>
      </w:pPr>
      <w:r>
        <w:rPr>
          <w:rFonts w:hint="eastAsia"/>
        </w:rPr>
        <w:t>报告期内基金持有人数或基金资产净值预警说明</w:t>
      </w:r>
    </w:p>
    <w:p w:rsidR="008934B0" w:rsidRDefault="008934B0" w:rsidP="008934B0">
      <w:pPr>
        <w:pStyle w:val="-"/>
        <w:ind w:firstLine="420"/>
      </w:pPr>
      <w:r>
        <w:rPr>
          <w:rFonts w:hint="eastAsia"/>
        </w:rPr>
        <w:t>报告期内，本基金未出现连续二十个交易日基金份额持有人数量不满二百人或者基金资产净值低于五千万元的情形。</w:t>
      </w:r>
    </w:p>
    <w:p w:rsidR="008934B0" w:rsidRDefault="008934B0" w:rsidP="008934B0">
      <w:pPr>
        <w:pStyle w:val="-1"/>
        <w:ind w:left="281" w:hanging="281"/>
      </w:pPr>
      <w:r>
        <w:rPr>
          <w:rFonts w:hint="eastAsia"/>
        </w:rPr>
        <w:t>投资组合报告</w:t>
      </w:r>
    </w:p>
    <w:p w:rsidR="008934B0" w:rsidRDefault="008934B0" w:rsidP="008934B0">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817"/>
        <w:gridCol w:w="3443"/>
        <w:gridCol w:w="2131"/>
        <w:gridCol w:w="2131"/>
      </w:tblGrid>
      <w:tr w:rsidR="008934B0" w:rsidTr="001F5DEC">
        <w:trPr>
          <w:cnfStyle w:val="100000000000" w:firstRow="1" w:lastRow="0" w:firstColumn="0" w:lastColumn="0" w:oddVBand="0" w:evenVBand="0" w:oddHBand="0" w:evenHBand="0" w:firstRowFirstColumn="0" w:firstRowLastColumn="0" w:lastRowFirstColumn="0" w:lastRowLastColumn="0"/>
        </w:trPr>
        <w:tc>
          <w:tcPr>
            <w:tcW w:w="817" w:type="dxa"/>
          </w:tcPr>
          <w:p w:rsidR="008934B0" w:rsidRDefault="008934B0" w:rsidP="008934B0">
            <w:pPr>
              <w:jc w:val="center"/>
            </w:pPr>
            <w:r>
              <w:rPr>
                <w:rFonts w:hint="eastAsia"/>
              </w:rPr>
              <w:t>序号</w:t>
            </w:r>
          </w:p>
        </w:tc>
        <w:tc>
          <w:tcPr>
            <w:tcW w:w="3443" w:type="dxa"/>
          </w:tcPr>
          <w:p w:rsidR="008934B0" w:rsidRDefault="008934B0" w:rsidP="008934B0">
            <w:pPr>
              <w:jc w:val="center"/>
            </w:pPr>
            <w:r>
              <w:rPr>
                <w:rFonts w:hint="eastAsia"/>
              </w:rPr>
              <w:t>项目</w:t>
            </w:r>
          </w:p>
        </w:tc>
        <w:tc>
          <w:tcPr>
            <w:tcW w:w="2131" w:type="dxa"/>
          </w:tcPr>
          <w:p w:rsidR="008934B0" w:rsidRDefault="008934B0" w:rsidP="008934B0">
            <w:pPr>
              <w:jc w:val="center"/>
            </w:pPr>
            <w:r>
              <w:rPr>
                <w:rFonts w:hint="eastAsia"/>
              </w:rPr>
              <w:t>金额（人民币元）</w:t>
            </w:r>
          </w:p>
        </w:tc>
        <w:tc>
          <w:tcPr>
            <w:tcW w:w="2131" w:type="dxa"/>
          </w:tcPr>
          <w:p w:rsidR="008934B0" w:rsidRDefault="008934B0" w:rsidP="008934B0">
            <w:pPr>
              <w:jc w:val="center"/>
            </w:pPr>
            <w:r>
              <w:rPr>
                <w:rFonts w:hint="eastAsia"/>
              </w:rPr>
              <w:t>占基金总资产的比例（</w:t>
            </w:r>
            <w:r>
              <w:rPr>
                <w:rFonts w:hint="eastAsia"/>
              </w:rPr>
              <w:t>%</w:t>
            </w:r>
            <w:r>
              <w:rPr>
                <w:rFonts w:hint="eastAsia"/>
              </w:rPr>
              <w:t>）</w:t>
            </w:r>
          </w:p>
        </w:tc>
      </w:tr>
      <w:tr w:rsidR="008934B0" w:rsidTr="001F5DEC">
        <w:tc>
          <w:tcPr>
            <w:tcW w:w="817" w:type="dxa"/>
          </w:tcPr>
          <w:p w:rsidR="008934B0" w:rsidRDefault="008934B0" w:rsidP="008934B0">
            <w:pPr>
              <w:jc w:val="center"/>
            </w:pPr>
            <w:r>
              <w:t>1</w:t>
            </w:r>
          </w:p>
        </w:tc>
        <w:tc>
          <w:tcPr>
            <w:tcW w:w="3443" w:type="dxa"/>
          </w:tcPr>
          <w:p w:rsidR="008934B0" w:rsidRDefault="008934B0" w:rsidP="008934B0">
            <w:pPr>
              <w:jc w:val="left"/>
            </w:pPr>
            <w:r>
              <w:rPr>
                <w:rFonts w:hint="eastAsia"/>
              </w:rPr>
              <w:t>权益投资</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其中：普通股</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 xml:space="preserve">      </w:t>
            </w:r>
            <w:r>
              <w:rPr>
                <w:rFonts w:hint="eastAsia"/>
              </w:rPr>
              <w:t>存托凭证</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r>
              <w:t>2</w:t>
            </w:r>
          </w:p>
        </w:tc>
        <w:tc>
          <w:tcPr>
            <w:tcW w:w="3443" w:type="dxa"/>
          </w:tcPr>
          <w:p w:rsidR="008934B0" w:rsidRDefault="008934B0" w:rsidP="008934B0">
            <w:pPr>
              <w:jc w:val="left"/>
            </w:pPr>
            <w:r>
              <w:rPr>
                <w:rFonts w:hint="eastAsia"/>
              </w:rPr>
              <w:t>基金投资</w:t>
            </w:r>
          </w:p>
        </w:tc>
        <w:tc>
          <w:tcPr>
            <w:tcW w:w="2131" w:type="dxa"/>
          </w:tcPr>
          <w:p w:rsidR="008934B0" w:rsidRDefault="008934B0" w:rsidP="008934B0">
            <w:pPr>
              <w:jc w:val="right"/>
            </w:pPr>
            <w:r>
              <w:t>1,812,981,978.95</w:t>
            </w:r>
          </w:p>
        </w:tc>
        <w:tc>
          <w:tcPr>
            <w:tcW w:w="2131" w:type="dxa"/>
          </w:tcPr>
          <w:p w:rsidR="008934B0" w:rsidRDefault="008934B0" w:rsidP="008934B0">
            <w:pPr>
              <w:jc w:val="right"/>
            </w:pPr>
            <w:r>
              <w:t>91.78</w:t>
            </w:r>
          </w:p>
        </w:tc>
      </w:tr>
      <w:tr w:rsidR="008934B0" w:rsidTr="001F5DEC">
        <w:tc>
          <w:tcPr>
            <w:tcW w:w="817" w:type="dxa"/>
          </w:tcPr>
          <w:p w:rsidR="008934B0" w:rsidRDefault="008934B0" w:rsidP="008934B0">
            <w:pPr>
              <w:jc w:val="center"/>
            </w:pPr>
            <w:r>
              <w:t>3</w:t>
            </w:r>
          </w:p>
        </w:tc>
        <w:tc>
          <w:tcPr>
            <w:tcW w:w="3443" w:type="dxa"/>
          </w:tcPr>
          <w:p w:rsidR="008934B0" w:rsidRDefault="008934B0" w:rsidP="008934B0">
            <w:pPr>
              <w:jc w:val="left"/>
            </w:pPr>
            <w:r>
              <w:rPr>
                <w:rFonts w:hint="eastAsia"/>
              </w:rPr>
              <w:t>固定收益投资</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其中：债券</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 xml:space="preserve">      </w:t>
            </w:r>
            <w:r>
              <w:rPr>
                <w:rFonts w:hint="eastAsia"/>
              </w:rPr>
              <w:t>资产支持证券</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r>
              <w:t>4</w:t>
            </w:r>
          </w:p>
        </w:tc>
        <w:tc>
          <w:tcPr>
            <w:tcW w:w="3443" w:type="dxa"/>
          </w:tcPr>
          <w:p w:rsidR="008934B0" w:rsidRDefault="008934B0" w:rsidP="008934B0">
            <w:pPr>
              <w:jc w:val="left"/>
            </w:pPr>
            <w:r>
              <w:rPr>
                <w:rFonts w:hint="eastAsia"/>
              </w:rPr>
              <w:t>金融衍生品投资</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其中：远期</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 xml:space="preserve">      </w:t>
            </w:r>
            <w:r>
              <w:rPr>
                <w:rFonts w:hint="eastAsia"/>
              </w:rPr>
              <w:t>期货</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 xml:space="preserve">      </w:t>
            </w:r>
            <w:r>
              <w:rPr>
                <w:rFonts w:hint="eastAsia"/>
              </w:rPr>
              <w:t>期权</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 xml:space="preserve">      </w:t>
            </w:r>
            <w:r>
              <w:rPr>
                <w:rFonts w:hint="eastAsia"/>
              </w:rPr>
              <w:t>权证</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r>
              <w:t>5</w:t>
            </w:r>
          </w:p>
        </w:tc>
        <w:tc>
          <w:tcPr>
            <w:tcW w:w="3443" w:type="dxa"/>
          </w:tcPr>
          <w:p w:rsidR="008934B0" w:rsidRDefault="008934B0" w:rsidP="008934B0">
            <w:pPr>
              <w:jc w:val="left"/>
            </w:pPr>
            <w:r>
              <w:rPr>
                <w:rFonts w:hint="eastAsia"/>
              </w:rPr>
              <w:t>买入返售金融资产</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p>
        </w:tc>
        <w:tc>
          <w:tcPr>
            <w:tcW w:w="3443" w:type="dxa"/>
          </w:tcPr>
          <w:p w:rsidR="008934B0" w:rsidRDefault="008934B0" w:rsidP="008934B0">
            <w:pPr>
              <w:jc w:val="left"/>
            </w:pPr>
            <w:r>
              <w:rPr>
                <w:rFonts w:hint="eastAsia"/>
              </w:rPr>
              <w:t>其中：买断式回购的买入返售金融资产</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r>
              <w:t>6</w:t>
            </w:r>
          </w:p>
        </w:tc>
        <w:tc>
          <w:tcPr>
            <w:tcW w:w="3443" w:type="dxa"/>
          </w:tcPr>
          <w:p w:rsidR="008934B0" w:rsidRDefault="008934B0" w:rsidP="008934B0">
            <w:pPr>
              <w:jc w:val="left"/>
            </w:pPr>
            <w:r>
              <w:rPr>
                <w:rFonts w:hint="eastAsia"/>
              </w:rPr>
              <w:t>货币市场工具</w:t>
            </w:r>
          </w:p>
        </w:tc>
        <w:tc>
          <w:tcPr>
            <w:tcW w:w="2131" w:type="dxa"/>
          </w:tcPr>
          <w:p w:rsidR="008934B0" w:rsidRDefault="008934B0" w:rsidP="008934B0">
            <w:pPr>
              <w:jc w:val="right"/>
            </w:pPr>
            <w:r>
              <w:t>-</w:t>
            </w:r>
          </w:p>
        </w:tc>
        <w:tc>
          <w:tcPr>
            <w:tcW w:w="2131" w:type="dxa"/>
          </w:tcPr>
          <w:p w:rsidR="008934B0" w:rsidRDefault="008934B0" w:rsidP="008934B0">
            <w:pPr>
              <w:jc w:val="right"/>
            </w:pPr>
            <w:r>
              <w:t>-</w:t>
            </w:r>
          </w:p>
        </w:tc>
      </w:tr>
      <w:tr w:rsidR="008934B0" w:rsidTr="001F5DEC">
        <w:tc>
          <w:tcPr>
            <w:tcW w:w="817" w:type="dxa"/>
          </w:tcPr>
          <w:p w:rsidR="008934B0" w:rsidRDefault="008934B0" w:rsidP="008934B0">
            <w:pPr>
              <w:jc w:val="center"/>
            </w:pPr>
            <w:r>
              <w:t>7</w:t>
            </w:r>
          </w:p>
        </w:tc>
        <w:tc>
          <w:tcPr>
            <w:tcW w:w="3443" w:type="dxa"/>
          </w:tcPr>
          <w:p w:rsidR="008934B0" w:rsidRDefault="008934B0" w:rsidP="008934B0">
            <w:pPr>
              <w:jc w:val="left"/>
            </w:pPr>
            <w:r>
              <w:rPr>
                <w:rFonts w:hint="eastAsia"/>
              </w:rPr>
              <w:t>银行存款和结算备付金合计</w:t>
            </w:r>
          </w:p>
        </w:tc>
        <w:tc>
          <w:tcPr>
            <w:tcW w:w="2131" w:type="dxa"/>
          </w:tcPr>
          <w:p w:rsidR="008934B0" w:rsidRDefault="008934B0" w:rsidP="008934B0">
            <w:pPr>
              <w:jc w:val="right"/>
            </w:pPr>
            <w:r>
              <w:t>162,381,846.50</w:t>
            </w:r>
          </w:p>
        </w:tc>
        <w:tc>
          <w:tcPr>
            <w:tcW w:w="2131" w:type="dxa"/>
          </w:tcPr>
          <w:p w:rsidR="008934B0" w:rsidRDefault="008934B0" w:rsidP="008934B0">
            <w:pPr>
              <w:jc w:val="right"/>
            </w:pPr>
            <w:r>
              <w:t>8.22</w:t>
            </w:r>
          </w:p>
        </w:tc>
      </w:tr>
      <w:tr w:rsidR="008934B0" w:rsidTr="001F5DEC">
        <w:tc>
          <w:tcPr>
            <w:tcW w:w="817" w:type="dxa"/>
          </w:tcPr>
          <w:p w:rsidR="008934B0" w:rsidRDefault="008934B0" w:rsidP="008934B0">
            <w:pPr>
              <w:jc w:val="center"/>
            </w:pPr>
            <w:r>
              <w:t>8</w:t>
            </w:r>
          </w:p>
        </w:tc>
        <w:tc>
          <w:tcPr>
            <w:tcW w:w="3443" w:type="dxa"/>
          </w:tcPr>
          <w:p w:rsidR="008934B0" w:rsidRDefault="008934B0" w:rsidP="008934B0">
            <w:pPr>
              <w:jc w:val="left"/>
            </w:pPr>
            <w:r>
              <w:rPr>
                <w:rFonts w:hint="eastAsia"/>
              </w:rPr>
              <w:t>其他资产</w:t>
            </w:r>
          </w:p>
        </w:tc>
        <w:tc>
          <w:tcPr>
            <w:tcW w:w="2131" w:type="dxa"/>
          </w:tcPr>
          <w:p w:rsidR="008934B0" w:rsidRDefault="008934B0" w:rsidP="008934B0">
            <w:pPr>
              <w:jc w:val="right"/>
            </w:pPr>
            <w:r>
              <w:t>9,646.88</w:t>
            </w:r>
          </w:p>
        </w:tc>
        <w:tc>
          <w:tcPr>
            <w:tcW w:w="2131" w:type="dxa"/>
          </w:tcPr>
          <w:p w:rsidR="008934B0" w:rsidRDefault="008934B0" w:rsidP="008934B0">
            <w:pPr>
              <w:jc w:val="right"/>
            </w:pPr>
            <w:r>
              <w:t>0.00</w:t>
            </w:r>
          </w:p>
        </w:tc>
      </w:tr>
      <w:tr w:rsidR="008934B0" w:rsidTr="001F5DEC">
        <w:tc>
          <w:tcPr>
            <w:tcW w:w="817" w:type="dxa"/>
          </w:tcPr>
          <w:p w:rsidR="008934B0" w:rsidRDefault="008934B0" w:rsidP="008934B0">
            <w:pPr>
              <w:jc w:val="center"/>
            </w:pPr>
            <w:r>
              <w:t>9</w:t>
            </w:r>
          </w:p>
        </w:tc>
        <w:tc>
          <w:tcPr>
            <w:tcW w:w="3443" w:type="dxa"/>
          </w:tcPr>
          <w:p w:rsidR="008934B0" w:rsidRDefault="008934B0" w:rsidP="008934B0">
            <w:pPr>
              <w:jc w:val="left"/>
            </w:pPr>
            <w:r>
              <w:rPr>
                <w:rFonts w:hint="eastAsia"/>
              </w:rPr>
              <w:t>合计</w:t>
            </w:r>
          </w:p>
        </w:tc>
        <w:tc>
          <w:tcPr>
            <w:tcW w:w="2131" w:type="dxa"/>
          </w:tcPr>
          <w:p w:rsidR="008934B0" w:rsidRDefault="008934B0" w:rsidP="008934B0">
            <w:pPr>
              <w:jc w:val="right"/>
            </w:pPr>
            <w:r>
              <w:t>1,975,373,472.33</w:t>
            </w:r>
          </w:p>
        </w:tc>
        <w:tc>
          <w:tcPr>
            <w:tcW w:w="2131" w:type="dxa"/>
          </w:tcPr>
          <w:p w:rsidR="008934B0" w:rsidRDefault="008934B0" w:rsidP="008934B0">
            <w:pPr>
              <w:jc w:val="right"/>
            </w:pPr>
            <w:r>
              <w:t>100.00</w:t>
            </w:r>
          </w:p>
        </w:tc>
      </w:tr>
    </w:tbl>
    <w:p w:rsidR="008934B0" w:rsidRDefault="008934B0" w:rsidP="008934B0">
      <w:pPr>
        <w:pStyle w:val="-2"/>
        <w:spacing w:before="312"/>
      </w:pPr>
      <w:r>
        <w:rPr>
          <w:rFonts w:hint="eastAsia"/>
        </w:rPr>
        <w:t>报告期末在各个国家（地区）证券市场的股票及存托凭证投资分布</w:t>
      </w:r>
    </w:p>
    <w:p w:rsidR="008934B0" w:rsidRDefault="008934B0" w:rsidP="008934B0">
      <w:pPr>
        <w:pStyle w:val="-"/>
        <w:ind w:firstLine="420"/>
      </w:pPr>
      <w:r>
        <w:rPr>
          <w:rFonts w:hint="eastAsia"/>
        </w:rPr>
        <w:t>本基金本报告期末未持有股票或存托凭证。</w:t>
      </w:r>
    </w:p>
    <w:p w:rsidR="008934B0" w:rsidRDefault="008934B0" w:rsidP="008934B0">
      <w:pPr>
        <w:pStyle w:val="-2"/>
        <w:spacing w:before="312"/>
      </w:pPr>
      <w:r>
        <w:rPr>
          <w:rFonts w:hint="eastAsia"/>
        </w:rPr>
        <w:t>报告期末按行业分类的股票及存托凭证投资组合</w:t>
      </w:r>
    </w:p>
    <w:p w:rsidR="008934B0" w:rsidRDefault="008934B0" w:rsidP="008934B0">
      <w:pPr>
        <w:pStyle w:val="-"/>
        <w:ind w:firstLine="420"/>
      </w:pPr>
      <w:r>
        <w:rPr>
          <w:rFonts w:hint="eastAsia"/>
        </w:rPr>
        <w:t>本基金本报告期末未持有股票或存托凭证。</w:t>
      </w:r>
    </w:p>
    <w:p w:rsidR="008934B0" w:rsidRDefault="008934B0" w:rsidP="008934B0">
      <w:pPr>
        <w:pStyle w:val="-2"/>
        <w:spacing w:before="312"/>
      </w:pPr>
      <w:r>
        <w:rPr>
          <w:rFonts w:hint="eastAsia"/>
        </w:rPr>
        <w:t>报告期末按公允价值占基金资产净值比例大小排序的前十名股票及存托凭证投资明细</w:t>
      </w:r>
    </w:p>
    <w:p w:rsidR="008934B0" w:rsidRDefault="008934B0" w:rsidP="008934B0">
      <w:pPr>
        <w:pStyle w:val="-"/>
        <w:ind w:firstLine="420"/>
      </w:pPr>
      <w:r>
        <w:rPr>
          <w:rFonts w:hint="eastAsia"/>
        </w:rPr>
        <w:t>本基金本报告期末未持有股票或存托凭证。</w:t>
      </w:r>
    </w:p>
    <w:p w:rsidR="008934B0" w:rsidRDefault="008934B0" w:rsidP="008934B0">
      <w:pPr>
        <w:pStyle w:val="-2"/>
        <w:spacing w:before="312"/>
      </w:pPr>
      <w:r>
        <w:rPr>
          <w:rFonts w:hint="eastAsia"/>
        </w:rPr>
        <w:t>报告期末按债券信用等级分类的债券投资组合</w:t>
      </w:r>
    </w:p>
    <w:p w:rsidR="008934B0" w:rsidRDefault="008934B0" w:rsidP="008934B0">
      <w:pPr>
        <w:pStyle w:val="-"/>
        <w:ind w:firstLine="420"/>
      </w:pPr>
      <w:r>
        <w:rPr>
          <w:rFonts w:hint="eastAsia"/>
        </w:rPr>
        <w:t>本基金本报告期末未持有债券。</w:t>
      </w:r>
    </w:p>
    <w:p w:rsidR="008934B0" w:rsidRDefault="008934B0" w:rsidP="008934B0">
      <w:pPr>
        <w:pStyle w:val="-2"/>
        <w:spacing w:before="312"/>
      </w:pPr>
      <w:r>
        <w:rPr>
          <w:rFonts w:hint="eastAsia"/>
        </w:rPr>
        <w:t>报告期末按公允价值占基金资产净值比例大小排名的前五名债券投资明细</w:t>
      </w:r>
    </w:p>
    <w:p w:rsidR="008934B0" w:rsidRDefault="008934B0" w:rsidP="008934B0">
      <w:pPr>
        <w:pStyle w:val="-"/>
        <w:ind w:firstLine="420"/>
      </w:pPr>
      <w:r>
        <w:rPr>
          <w:rFonts w:hint="eastAsia"/>
        </w:rPr>
        <w:t>本基金本报告期末未持有债券。</w:t>
      </w:r>
    </w:p>
    <w:p w:rsidR="008934B0" w:rsidRDefault="008934B0" w:rsidP="008934B0">
      <w:pPr>
        <w:pStyle w:val="-2"/>
        <w:spacing w:before="312"/>
      </w:pPr>
      <w:r>
        <w:rPr>
          <w:rFonts w:hint="eastAsia"/>
        </w:rPr>
        <w:t>报告期末按公允价值占基金资产净值比例大小排名的前十名资产支持证券投资明细</w:t>
      </w:r>
    </w:p>
    <w:p w:rsidR="008934B0" w:rsidRDefault="008934B0" w:rsidP="008934B0">
      <w:pPr>
        <w:pStyle w:val="-"/>
        <w:ind w:firstLine="420"/>
      </w:pPr>
      <w:r>
        <w:rPr>
          <w:rFonts w:hint="eastAsia"/>
        </w:rPr>
        <w:t>本基金本报告期末未持有资产支持证券。</w:t>
      </w:r>
    </w:p>
    <w:p w:rsidR="008934B0" w:rsidRDefault="008934B0" w:rsidP="008934B0">
      <w:pPr>
        <w:pStyle w:val="-2"/>
        <w:spacing w:before="312"/>
      </w:pPr>
      <w:r>
        <w:rPr>
          <w:rFonts w:hint="eastAsia"/>
        </w:rPr>
        <w:t>报告期末按公允价值占基金资产净值比例大小排名的前五名金融衍生品投资明细</w:t>
      </w:r>
    </w:p>
    <w:p w:rsidR="008934B0" w:rsidRDefault="008934B0" w:rsidP="008934B0">
      <w:pPr>
        <w:pStyle w:val="-"/>
        <w:ind w:firstLine="420"/>
      </w:pPr>
      <w:r>
        <w:rPr>
          <w:rFonts w:hint="eastAsia"/>
        </w:rPr>
        <w:t>本基金本报告期末未持有金融衍生品。</w:t>
      </w:r>
    </w:p>
    <w:p w:rsidR="008934B0" w:rsidRDefault="008934B0" w:rsidP="008934B0">
      <w:pPr>
        <w:pStyle w:val="-2"/>
        <w:spacing w:before="312"/>
      </w:pPr>
      <w:r>
        <w:rPr>
          <w:rFonts w:hint="eastAsia"/>
        </w:rPr>
        <w:t>报告期末按公允价值占基金资产净值比例大小排序的前十名基金投资明细</w:t>
      </w:r>
    </w:p>
    <w:p w:rsidR="008934B0" w:rsidRDefault="008934B0" w:rsidP="008934B0">
      <w:pPr>
        <w:jc w:val="right"/>
      </w:pPr>
      <w:r>
        <w:rPr>
          <w:rFonts w:hint="eastAsia"/>
        </w:rPr>
        <w:t>金额单位：人民币元</w:t>
      </w:r>
    </w:p>
    <w:tbl>
      <w:tblPr>
        <w:tblStyle w:val="-0"/>
        <w:tblW w:w="0" w:type="auto"/>
        <w:tblLayout w:type="fixed"/>
        <w:tblLook w:val="04A0" w:firstRow="1" w:lastRow="0" w:firstColumn="1" w:lastColumn="0" w:noHBand="0" w:noVBand="1"/>
      </w:tblPr>
      <w:tblGrid>
        <w:gridCol w:w="534"/>
        <w:gridCol w:w="1900"/>
        <w:gridCol w:w="793"/>
        <w:gridCol w:w="992"/>
        <w:gridCol w:w="1985"/>
        <w:gridCol w:w="1559"/>
        <w:gridCol w:w="759"/>
      </w:tblGrid>
      <w:tr w:rsidR="008934B0" w:rsidTr="001F5DEC">
        <w:trPr>
          <w:cnfStyle w:val="100000000000" w:firstRow="1" w:lastRow="0" w:firstColumn="0" w:lastColumn="0" w:oddVBand="0" w:evenVBand="0" w:oddHBand="0" w:evenHBand="0" w:firstRowFirstColumn="0" w:firstRowLastColumn="0" w:lastRowFirstColumn="0" w:lastRowLastColumn="0"/>
        </w:trPr>
        <w:tc>
          <w:tcPr>
            <w:tcW w:w="534" w:type="dxa"/>
          </w:tcPr>
          <w:p w:rsidR="008934B0" w:rsidRDefault="008934B0" w:rsidP="008934B0">
            <w:pPr>
              <w:jc w:val="center"/>
            </w:pPr>
            <w:r>
              <w:rPr>
                <w:rFonts w:hint="eastAsia"/>
              </w:rPr>
              <w:t>序号</w:t>
            </w:r>
          </w:p>
        </w:tc>
        <w:tc>
          <w:tcPr>
            <w:tcW w:w="1900" w:type="dxa"/>
          </w:tcPr>
          <w:p w:rsidR="008934B0" w:rsidRDefault="008934B0" w:rsidP="008934B0">
            <w:pPr>
              <w:jc w:val="center"/>
            </w:pPr>
            <w:r>
              <w:rPr>
                <w:rFonts w:hint="eastAsia"/>
              </w:rPr>
              <w:t>基金名称</w:t>
            </w:r>
          </w:p>
        </w:tc>
        <w:tc>
          <w:tcPr>
            <w:tcW w:w="793" w:type="dxa"/>
          </w:tcPr>
          <w:p w:rsidR="008934B0" w:rsidRDefault="008934B0" w:rsidP="008934B0">
            <w:pPr>
              <w:jc w:val="center"/>
            </w:pPr>
            <w:r>
              <w:rPr>
                <w:rFonts w:hint="eastAsia"/>
              </w:rPr>
              <w:t>基金类型</w:t>
            </w:r>
          </w:p>
        </w:tc>
        <w:tc>
          <w:tcPr>
            <w:tcW w:w="992" w:type="dxa"/>
          </w:tcPr>
          <w:p w:rsidR="008934B0" w:rsidRDefault="008934B0" w:rsidP="008934B0">
            <w:pPr>
              <w:jc w:val="center"/>
            </w:pPr>
            <w:r>
              <w:rPr>
                <w:rFonts w:hint="eastAsia"/>
              </w:rPr>
              <w:t>运作方式</w:t>
            </w:r>
          </w:p>
        </w:tc>
        <w:tc>
          <w:tcPr>
            <w:tcW w:w="1985" w:type="dxa"/>
          </w:tcPr>
          <w:p w:rsidR="008934B0" w:rsidRDefault="008934B0" w:rsidP="008934B0">
            <w:pPr>
              <w:jc w:val="center"/>
            </w:pPr>
            <w:r>
              <w:rPr>
                <w:rFonts w:hint="eastAsia"/>
              </w:rPr>
              <w:t>管理人</w:t>
            </w:r>
          </w:p>
        </w:tc>
        <w:tc>
          <w:tcPr>
            <w:tcW w:w="1559" w:type="dxa"/>
          </w:tcPr>
          <w:p w:rsidR="008934B0" w:rsidRDefault="008934B0" w:rsidP="008934B0">
            <w:pPr>
              <w:jc w:val="center"/>
            </w:pPr>
            <w:r>
              <w:rPr>
                <w:rFonts w:hint="eastAsia"/>
              </w:rPr>
              <w:t>公允价值（人民币元）</w:t>
            </w:r>
          </w:p>
        </w:tc>
        <w:tc>
          <w:tcPr>
            <w:tcW w:w="759" w:type="dxa"/>
          </w:tcPr>
          <w:p w:rsidR="008934B0" w:rsidRDefault="008934B0" w:rsidP="008934B0">
            <w:pPr>
              <w:jc w:val="center"/>
            </w:pPr>
            <w:r>
              <w:rPr>
                <w:rFonts w:hint="eastAsia"/>
              </w:rPr>
              <w:t>占基金资</w:t>
            </w:r>
            <w:r>
              <w:rPr>
                <w:rFonts w:hint="eastAsia"/>
              </w:rPr>
              <w:lastRenderedPageBreak/>
              <w:t>产净值比例（</w:t>
            </w:r>
            <w:r>
              <w:rPr>
                <w:rFonts w:hint="eastAsia"/>
              </w:rPr>
              <w:t>%</w:t>
            </w:r>
            <w:r>
              <w:rPr>
                <w:rFonts w:hint="eastAsia"/>
              </w:rPr>
              <w:t>）</w:t>
            </w:r>
          </w:p>
        </w:tc>
      </w:tr>
      <w:tr w:rsidR="008934B0" w:rsidTr="001F5DEC">
        <w:tc>
          <w:tcPr>
            <w:tcW w:w="534" w:type="dxa"/>
          </w:tcPr>
          <w:p w:rsidR="008934B0" w:rsidRDefault="008934B0" w:rsidP="008934B0">
            <w:pPr>
              <w:jc w:val="center"/>
            </w:pPr>
            <w:r>
              <w:lastRenderedPageBreak/>
              <w:t>1</w:t>
            </w:r>
          </w:p>
        </w:tc>
        <w:tc>
          <w:tcPr>
            <w:tcW w:w="1900" w:type="dxa"/>
          </w:tcPr>
          <w:p w:rsidR="008934B0" w:rsidRDefault="008934B0" w:rsidP="008934B0">
            <w:pPr>
              <w:jc w:val="left"/>
            </w:pPr>
            <w:r>
              <w:t>WisdomTree Brent Crude Oil</w:t>
            </w:r>
          </w:p>
        </w:tc>
        <w:tc>
          <w:tcPr>
            <w:tcW w:w="793" w:type="dxa"/>
          </w:tcPr>
          <w:p w:rsidR="008934B0" w:rsidRDefault="00DD4A7F"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WisdomTree Multi Asset Management Ltd</w:t>
            </w:r>
          </w:p>
        </w:tc>
        <w:tc>
          <w:tcPr>
            <w:tcW w:w="1559" w:type="dxa"/>
          </w:tcPr>
          <w:p w:rsidR="008934B0" w:rsidRDefault="008934B0" w:rsidP="008934B0">
            <w:pPr>
              <w:jc w:val="right"/>
            </w:pPr>
            <w:r>
              <w:t>355,078,614.00</w:t>
            </w:r>
          </w:p>
        </w:tc>
        <w:tc>
          <w:tcPr>
            <w:tcW w:w="759" w:type="dxa"/>
          </w:tcPr>
          <w:p w:rsidR="008934B0" w:rsidRDefault="008934B0" w:rsidP="008934B0">
            <w:pPr>
              <w:jc w:val="right"/>
            </w:pPr>
            <w:r>
              <w:t>18.40</w:t>
            </w:r>
          </w:p>
        </w:tc>
      </w:tr>
      <w:tr w:rsidR="008934B0" w:rsidTr="001F5DEC">
        <w:tc>
          <w:tcPr>
            <w:tcW w:w="534" w:type="dxa"/>
          </w:tcPr>
          <w:p w:rsidR="008934B0" w:rsidRDefault="008934B0" w:rsidP="008934B0">
            <w:pPr>
              <w:jc w:val="center"/>
            </w:pPr>
            <w:r>
              <w:t>2</w:t>
            </w:r>
          </w:p>
        </w:tc>
        <w:tc>
          <w:tcPr>
            <w:tcW w:w="1900" w:type="dxa"/>
          </w:tcPr>
          <w:p w:rsidR="008934B0" w:rsidRDefault="008934B0" w:rsidP="008934B0">
            <w:pPr>
              <w:jc w:val="left"/>
            </w:pPr>
            <w:r>
              <w:t>United States Brent Oil Fund LP</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United States Commodity Funds LLC</w:t>
            </w:r>
          </w:p>
        </w:tc>
        <w:tc>
          <w:tcPr>
            <w:tcW w:w="1559" w:type="dxa"/>
          </w:tcPr>
          <w:p w:rsidR="008934B0" w:rsidRDefault="008934B0" w:rsidP="008934B0">
            <w:pPr>
              <w:jc w:val="right"/>
            </w:pPr>
            <w:r>
              <w:t>318,250,955.22</w:t>
            </w:r>
          </w:p>
        </w:tc>
        <w:tc>
          <w:tcPr>
            <w:tcW w:w="759" w:type="dxa"/>
          </w:tcPr>
          <w:p w:rsidR="008934B0" w:rsidRDefault="008934B0" w:rsidP="008934B0">
            <w:pPr>
              <w:jc w:val="right"/>
            </w:pPr>
            <w:r>
              <w:t>16.49</w:t>
            </w:r>
          </w:p>
        </w:tc>
      </w:tr>
      <w:tr w:rsidR="008934B0" w:rsidTr="001F5DEC">
        <w:tc>
          <w:tcPr>
            <w:tcW w:w="534" w:type="dxa"/>
          </w:tcPr>
          <w:p w:rsidR="008934B0" w:rsidRDefault="008934B0" w:rsidP="008934B0">
            <w:pPr>
              <w:jc w:val="center"/>
            </w:pPr>
            <w:r>
              <w:t>3</w:t>
            </w:r>
          </w:p>
        </w:tc>
        <w:tc>
          <w:tcPr>
            <w:tcW w:w="1900" w:type="dxa"/>
          </w:tcPr>
          <w:p w:rsidR="008934B0" w:rsidRDefault="008934B0" w:rsidP="008934B0">
            <w:pPr>
              <w:jc w:val="left"/>
            </w:pPr>
            <w:r>
              <w:t>WisdomTree WTI Crude Oil</w:t>
            </w:r>
          </w:p>
        </w:tc>
        <w:tc>
          <w:tcPr>
            <w:tcW w:w="793" w:type="dxa"/>
          </w:tcPr>
          <w:p w:rsidR="008934B0" w:rsidRDefault="00DD4A7F"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WisdomTree Multi Asset Management Ltd</w:t>
            </w:r>
          </w:p>
        </w:tc>
        <w:tc>
          <w:tcPr>
            <w:tcW w:w="1559" w:type="dxa"/>
          </w:tcPr>
          <w:p w:rsidR="008934B0" w:rsidRDefault="008934B0" w:rsidP="008934B0">
            <w:pPr>
              <w:jc w:val="right"/>
            </w:pPr>
            <w:r>
              <w:t>284,372,362.57</w:t>
            </w:r>
          </w:p>
        </w:tc>
        <w:tc>
          <w:tcPr>
            <w:tcW w:w="759" w:type="dxa"/>
          </w:tcPr>
          <w:p w:rsidR="008934B0" w:rsidRDefault="008934B0" w:rsidP="008934B0">
            <w:pPr>
              <w:jc w:val="right"/>
            </w:pPr>
            <w:r>
              <w:t>14.74</w:t>
            </w:r>
          </w:p>
        </w:tc>
      </w:tr>
      <w:tr w:rsidR="008934B0" w:rsidTr="001F5DEC">
        <w:tc>
          <w:tcPr>
            <w:tcW w:w="534" w:type="dxa"/>
          </w:tcPr>
          <w:p w:rsidR="008934B0" w:rsidRDefault="008934B0" w:rsidP="008934B0">
            <w:pPr>
              <w:jc w:val="center"/>
            </w:pPr>
            <w:r>
              <w:t>4</w:t>
            </w:r>
          </w:p>
        </w:tc>
        <w:tc>
          <w:tcPr>
            <w:tcW w:w="1900" w:type="dxa"/>
          </w:tcPr>
          <w:p w:rsidR="008934B0" w:rsidRDefault="008934B0" w:rsidP="008934B0">
            <w:pPr>
              <w:jc w:val="left"/>
            </w:pPr>
            <w:r>
              <w:t>Invesco DB Oil Fund</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Invesco Capital Management LLC</w:t>
            </w:r>
          </w:p>
        </w:tc>
        <w:tc>
          <w:tcPr>
            <w:tcW w:w="1559" w:type="dxa"/>
          </w:tcPr>
          <w:p w:rsidR="008934B0" w:rsidRDefault="008934B0" w:rsidP="008934B0">
            <w:pPr>
              <w:jc w:val="right"/>
            </w:pPr>
            <w:r>
              <w:t>195,858,476.00</w:t>
            </w:r>
          </w:p>
        </w:tc>
        <w:tc>
          <w:tcPr>
            <w:tcW w:w="759" w:type="dxa"/>
          </w:tcPr>
          <w:p w:rsidR="008934B0" w:rsidRDefault="008934B0" w:rsidP="008934B0">
            <w:pPr>
              <w:jc w:val="right"/>
            </w:pPr>
            <w:r>
              <w:t>10.15</w:t>
            </w:r>
          </w:p>
        </w:tc>
      </w:tr>
      <w:tr w:rsidR="008934B0" w:rsidTr="001F5DEC">
        <w:tc>
          <w:tcPr>
            <w:tcW w:w="534" w:type="dxa"/>
          </w:tcPr>
          <w:p w:rsidR="008934B0" w:rsidRDefault="008934B0" w:rsidP="008934B0">
            <w:pPr>
              <w:jc w:val="center"/>
            </w:pPr>
            <w:r>
              <w:t>5</w:t>
            </w:r>
          </w:p>
        </w:tc>
        <w:tc>
          <w:tcPr>
            <w:tcW w:w="1900" w:type="dxa"/>
          </w:tcPr>
          <w:p w:rsidR="008934B0" w:rsidRDefault="008934B0" w:rsidP="008934B0">
            <w:pPr>
              <w:jc w:val="left"/>
            </w:pPr>
            <w:r>
              <w:t>United States Oil Fund LP</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United States Commodity Funds LLC</w:t>
            </w:r>
          </w:p>
        </w:tc>
        <w:tc>
          <w:tcPr>
            <w:tcW w:w="1559" w:type="dxa"/>
          </w:tcPr>
          <w:p w:rsidR="008934B0" w:rsidRDefault="008934B0" w:rsidP="008934B0">
            <w:pPr>
              <w:jc w:val="right"/>
            </w:pPr>
            <w:r>
              <w:t>172,390,135.91</w:t>
            </w:r>
          </w:p>
        </w:tc>
        <w:tc>
          <w:tcPr>
            <w:tcW w:w="759" w:type="dxa"/>
          </w:tcPr>
          <w:p w:rsidR="008934B0" w:rsidRDefault="008934B0" w:rsidP="008934B0">
            <w:pPr>
              <w:jc w:val="right"/>
            </w:pPr>
            <w:r>
              <w:t>8.93</w:t>
            </w:r>
          </w:p>
        </w:tc>
      </w:tr>
      <w:tr w:rsidR="008934B0" w:rsidTr="001F5DEC">
        <w:tc>
          <w:tcPr>
            <w:tcW w:w="534" w:type="dxa"/>
          </w:tcPr>
          <w:p w:rsidR="008934B0" w:rsidRDefault="008934B0" w:rsidP="008934B0">
            <w:pPr>
              <w:jc w:val="center"/>
            </w:pPr>
            <w:r>
              <w:t>6</w:t>
            </w:r>
          </w:p>
        </w:tc>
        <w:tc>
          <w:tcPr>
            <w:tcW w:w="1900" w:type="dxa"/>
          </w:tcPr>
          <w:p w:rsidR="008934B0" w:rsidRDefault="008934B0" w:rsidP="008934B0">
            <w:pPr>
              <w:jc w:val="left"/>
            </w:pPr>
            <w:r>
              <w:t>United States 12 Month Oil Fund LP</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United States Commodity Funds LLC</w:t>
            </w:r>
          </w:p>
        </w:tc>
        <w:tc>
          <w:tcPr>
            <w:tcW w:w="1559" w:type="dxa"/>
          </w:tcPr>
          <w:p w:rsidR="008934B0" w:rsidRDefault="008934B0" w:rsidP="008934B0">
            <w:pPr>
              <w:jc w:val="right"/>
            </w:pPr>
            <w:r>
              <w:t>158,862,607.75</w:t>
            </w:r>
          </w:p>
        </w:tc>
        <w:tc>
          <w:tcPr>
            <w:tcW w:w="759" w:type="dxa"/>
          </w:tcPr>
          <w:p w:rsidR="008934B0" w:rsidRDefault="008934B0" w:rsidP="008934B0">
            <w:pPr>
              <w:jc w:val="right"/>
            </w:pPr>
            <w:r>
              <w:t>8.23</w:t>
            </w:r>
          </w:p>
        </w:tc>
      </w:tr>
      <w:tr w:rsidR="008934B0" w:rsidTr="001F5DEC">
        <w:tc>
          <w:tcPr>
            <w:tcW w:w="534" w:type="dxa"/>
          </w:tcPr>
          <w:p w:rsidR="008934B0" w:rsidRDefault="008934B0" w:rsidP="008934B0">
            <w:pPr>
              <w:jc w:val="center"/>
            </w:pPr>
            <w:r>
              <w:t>7</w:t>
            </w:r>
          </w:p>
        </w:tc>
        <w:tc>
          <w:tcPr>
            <w:tcW w:w="1900" w:type="dxa"/>
          </w:tcPr>
          <w:p w:rsidR="008934B0" w:rsidRDefault="008934B0" w:rsidP="008934B0">
            <w:pPr>
              <w:jc w:val="left"/>
            </w:pPr>
            <w:r>
              <w:t>Simplex WTI ETF</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Simplex Asset Management Co Ltd/Japan</w:t>
            </w:r>
          </w:p>
        </w:tc>
        <w:tc>
          <w:tcPr>
            <w:tcW w:w="1559" w:type="dxa"/>
          </w:tcPr>
          <w:p w:rsidR="008934B0" w:rsidRDefault="008934B0" w:rsidP="008934B0">
            <w:pPr>
              <w:jc w:val="right"/>
            </w:pPr>
            <w:r>
              <w:t>131,113,015.00</w:t>
            </w:r>
          </w:p>
        </w:tc>
        <w:tc>
          <w:tcPr>
            <w:tcW w:w="759" w:type="dxa"/>
          </w:tcPr>
          <w:p w:rsidR="008934B0" w:rsidRDefault="008934B0" w:rsidP="008934B0">
            <w:pPr>
              <w:jc w:val="right"/>
            </w:pPr>
            <w:r>
              <w:t>6.80</w:t>
            </w:r>
          </w:p>
        </w:tc>
      </w:tr>
      <w:tr w:rsidR="008934B0" w:rsidTr="001F5DEC">
        <w:tc>
          <w:tcPr>
            <w:tcW w:w="534" w:type="dxa"/>
          </w:tcPr>
          <w:p w:rsidR="008934B0" w:rsidRDefault="008934B0" w:rsidP="008934B0">
            <w:pPr>
              <w:jc w:val="center"/>
            </w:pPr>
            <w:r>
              <w:t>8</w:t>
            </w:r>
          </w:p>
        </w:tc>
        <w:tc>
          <w:tcPr>
            <w:tcW w:w="1900" w:type="dxa"/>
          </w:tcPr>
          <w:p w:rsidR="008934B0" w:rsidRDefault="008934B0" w:rsidP="008934B0">
            <w:pPr>
              <w:jc w:val="left"/>
            </w:pPr>
            <w:r>
              <w:t>NEXT FUNDS NOMURA Crude Oil Long Index Linked Exchange Traded</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Nomura Asset Management Co Ltd</w:t>
            </w:r>
          </w:p>
        </w:tc>
        <w:tc>
          <w:tcPr>
            <w:tcW w:w="1559" w:type="dxa"/>
          </w:tcPr>
          <w:p w:rsidR="008934B0" w:rsidRDefault="008934B0" w:rsidP="008934B0">
            <w:pPr>
              <w:jc w:val="right"/>
            </w:pPr>
            <w:r>
              <w:t>130,146,580.00</w:t>
            </w:r>
          </w:p>
        </w:tc>
        <w:tc>
          <w:tcPr>
            <w:tcW w:w="759" w:type="dxa"/>
          </w:tcPr>
          <w:p w:rsidR="008934B0" w:rsidRDefault="008934B0" w:rsidP="008934B0">
            <w:pPr>
              <w:jc w:val="right"/>
            </w:pPr>
            <w:r>
              <w:t>6.75</w:t>
            </w:r>
          </w:p>
        </w:tc>
      </w:tr>
      <w:tr w:rsidR="008934B0" w:rsidTr="001F5DEC">
        <w:tc>
          <w:tcPr>
            <w:tcW w:w="534" w:type="dxa"/>
          </w:tcPr>
          <w:p w:rsidR="008934B0" w:rsidRDefault="008934B0" w:rsidP="008934B0">
            <w:pPr>
              <w:jc w:val="center"/>
            </w:pPr>
            <w:r>
              <w:t>9</w:t>
            </w:r>
          </w:p>
        </w:tc>
        <w:tc>
          <w:tcPr>
            <w:tcW w:w="1900" w:type="dxa"/>
          </w:tcPr>
          <w:p w:rsidR="008934B0" w:rsidRDefault="008934B0" w:rsidP="008934B0">
            <w:pPr>
              <w:jc w:val="left"/>
            </w:pPr>
            <w:r>
              <w:t>UBS ETF CH-CMCI Oil SF USD A-dis</w:t>
            </w:r>
          </w:p>
        </w:tc>
        <w:tc>
          <w:tcPr>
            <w:tcW w:w="793" w:type="dxa"/>
          </w:tcPr>
          <w:p w:rsidR="008934B0" w:rsidRDefault="008934B0" w:rsidP="008934B0">
            <w:pPr>
              <w:jc w:val="left"/>
            </w:pPr>
            <w:r>
              <w:t>ETF</w:t>
            </w:r>
          </w:p>
        </w:tc>
        <w:tc>
          <w:tcPr>
            <w:tcW w:w="992" w:type="dxa"/>
          </w:tcPr>
          <w:p w:rsidR="008934B0" w:rsidRDefault="008934B0" w:rsidP="008934B0">
            <w:pPr>
              <w:jc w:val="left"/>
            </w:pPr>
            <w:r>
              <w:rPr>
                <w:rFonts w:hint="eastAsia"/>
              </w:rPr>
              <w:t>交易型开放式</w:t>
            </w:r>
          </w:p>
        </w:tc>
        <w:tc>
          <w:tcPr>
            <w:tcW w:w="1985" w:type="dxa"/>
          </w:tcPr>
          <w:p w:rsidR="008934B0" w:rsidRDefault="008934B0" w:rsidP="008934B0">
            <w:pPr>
              <w:jc w:val="left"/>
            </w:pPr>
            <w:r>
              <w:t>UBS Fund Management Switzerland AG</w:t>
            </w:r>
          </w:p>
        </w:tc>
        <w:tc>
          <w:tcPr>
            <w:tcW w:w="1559" w:type="dxa"/>
          </w:tcPr>
          <w:p w:rsidR="008934B0" w:rsidRDefault="008934B0" w:rsidP="008934B0">
            <w:pPr>
              <w:jc w:val="right"/>
            </w:pPr>
            <w:r>
              <w:t>66,909,232.50</w:t>
            </w:r>
          </w:p>
        </w:tc>
        <w:tc>
          <w:tcPr>
            <w:tcW w:w="759" w:type="dxa"/>
          </w:tcPr>
          <w:p w:rsidR="008934B0" w:rsidRDefault="008934B0" w:rsidP="008934B0">
            <w:pPr>
              <w:jc w:val="right"/>
            </w:pPr>
            <w:r>
              <w:t>3.47</w:t>
            </w:r>
          </w:p>
        </w:tc>
      </w:tr>
    </w:tbl>
    <w:p w:rsidR="008934B0" w:rsidRDefault="008934B0" w:rsidP="008934B0">
      <w:pPr>
        <w:pStyle w:val="-2"/>
        <w:spacing w:before="312"/>
      </w:pPr>
      <w:r>
        <w:rPr>
          <w:rFonts w:hint="eastAsia"/>
        </w:rPr>
        <w:t>投资组合报告附注</w:t>
      </w:r>
    </w:p>
    <w:p w:rsidR="008934B0" w:rsidRDefault="008934B0" w:rsidP="008934B0">
      <w:pPr>
        <w:pStyle w:val="-3"/>
        <w:spacing w:before="156" w:after="156"/>
      </w:pPr>
      <w:r>
        <w:t xml:space="preserve"> </w:t>
      </w:r>
    </w:p>
    <w:p w:rsidR="008934B0" w:rsidRDefault="008934B0" w:rsidP="008934B0">
      <w:pPr>
        <w:pStyle w:val="-"/>
        <w:ind w:firstLine="420"/>
      </w:pPr>
      <w:r>
        <w:rPr>
          <w:rFonts w:hint="eastAsia"/>
        </w:rPr>
        <w:t>报告期内基金投资的前十名证券的发行主体未有被监管部门立案调查，不存在报告编制日前一年内受到公开谴责、处罚的情形。</w:t>
      </w:r>
    </w:p>
    <w:p w:rsidR="008934B0" w:rsidRDefault="008934B0" w:rsidP="008934B0">
      <w:pPr>
        <w:pStyle w:val="-3"/>
        <w:spacing w:before="156" w:after="156"/>
      </w:pPr>
      <w:r>
        <w:t xml:space="preserve"> </w:t>
      </w:r>
    </w:p>
    <w:p w:rsidR="008934B0" w:rsidRDefault="008934B0" w:rsidP="008934B0">
      <w:pPr>
        <w:pStyle w:val="-"/>
        <w:ind w:firstLine="420"/>
      </w:pPr>
      <w:r>
        <w:rPr>
          <w:rFonts w:hint="eastAsia"/>
        </w:rPr>
        <w:t>本基金本报告期末未持有股票。</w:t>
      </w:r>
    </w:p>
    <w:p w:rsidR="008934B0" w:rsidRDefault="008934B0" w:rsidP="008934B0">
      <w:pPr>
        <w:pStyle w:val="-3"/>
        <w:spacing w:before="156" w:after="156"/>
      </w:pPr>
      <w:r>
        <w:rPr>
          <w:rFonts w:hint="eastAsia"/>
        </w:rPr>
        <w:t>其他资产构成</w:t>
      </w:r>
    </w:p>
    <w:p w:rsidR="008934B0" w:rsidRDefault="008934B0" w:rsidP="008934B0">
      <w:pPr>
        <w:jc w:val="right"/>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8934B0" w:rsidTr="008934B0">
        <w:trPr>
          <w:cnfStyle w:val="100000000000" w:firstRow="1" w:lastRow="0" w:firstColumn="0" w:lastColumn="0" w:oddVBand="0" w:evenVBand="0" w:oddHBand="0" w:evenHBand="0" w:firstRowFirstColumn="0" w:firstRowLastColumn="0" w:lastRowFirstColumn="0" w:lastRowLastColumn="0"/>
        </w:trPr>
        <w:tc>
          <w:tcPr>
            <w:tcW w:w="743" w:type="dxa"/>
          </w:tcPr>
          <w:p w:rsidR="008934B0" w:rsidRDefault="008934B0" w:rsidP="008934B0">
            <w:pPr>
              <w:jc w:val="center"/>
            </w:pPr>
            <w:r>
              <w:rPr>
                <w:rFonts w:hint="eastAsia"/>
              </w:rPr>
              <w:t>序号</w:t>
            </w:r>
          </w:p>
        </w:tc>
        <w:tc>
          <w:tcPr>
            <w:tcW w:w="2977" w:type="dxa"/>
          </w:tcPr>
          <w:p w:rsidR="008934B0" w:rsidRDefault="008934B0" w:rsidP="008934B0">
            <w:pPr>
              <w:jc w:val="center"/>
            </w:pPr>
            <w:r>
              <w:rPr>
                <w:rFonts w:hint="eastAsia"/>
              </w:rPr>
              <w:t>名称</w:t>
            </w:r>
          </w:p>
        </w:tc>
        <w:tc>
          <w:tcPr>
            <w:tcW w:w="4785" w:type="dxa"/>
          </w:tcPr>
          <w:p w:rsidR="008934B0" w:rsidRDefault="008934B0" w:rsidP="008934B0">
            <w:pPr>
              <w:jc w:val="center"/>
            </w:pPr>
            <w:r>
              <w:rPr>
                <w:rFonts w:hint="eastAsia"/>
              </w:rPr>
              <w:t>金额（元）</w:t>
            </w:r>
          </w:p>
        </w:tc>
      </w:tr>
      <w:tr w:rsidR="008934B0" w:rsidTr="008934B0">
        <w:tc>
          <w:tcPr>
            <w:tcW w:w="743" w:type="dxa"/>
          </w:tcPr>
          <w:p w:rsidR="008934B0" w:rsidRDefault="008934B0" w:rsidP="008934B0">
            <w:pPr>
              <w:jc w:val="center"/>
            </w:pPr>
            <w:r>
              <w:t>1</w:t>
            </w:r>
          </w:p>
        </w:tc>
        <w:tc>
          <w:tcPr>
            <w:tcW w:w="2977" w:type="dxa"/>
          </w:tcPr>
          <w:p w:rsidR="008934B0" w:rsidRDefault="008934B0" w:rsidP="008934B0">
            <w:pPr>
              <w:jc w:val="left"/>
            </w:pPr>
            <w:r>
              <w:rPr>
                <w:rFonts w:hint="eastAsia"/>
              </w:rPr>
              <w:t>存出保证金</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2</w:t>
            </w:r>
          </w:p>
        </w:tc>
        <w:tc>
          <w:tcPr>
            <w:tcW w:w="2977" w:type="dxa"/>
          </w:tcPr>
          <w:p w:rsidR="008934B0" w:rsidRDefault="008934B0" w:rsidP="008934B0">
            <w:pPr>
              <w:jc w:val="left"/>
            </w:pPr>
            <w:r>
              <w:rPr>
                <w:rFonts w:hint="eastAsia"/>
              </w:rPr>
              <w:t>应收证券清算款</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3</w:t>
            </w:r>
          </w:p>
        </w:tc>
        <w:tc>
          <w:tcPr>
            <w:tcW w:w="2977" w:type="dxa"/>
          </w:tcPr>
          <w:p w:rsidR="008934B0" w:rsidRDefault="008934B0" w:rsidP="008934B0">
            <w:pPr>
              <w:jc w:val="left"/>
            </w:pPr>
            <w:r>
              <w:rPr>
                <w:rFonts w:hint="eastAsia"/>
              </w:rPr>
              <w:t>应收股利</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4</w:t>
            </w:r>
          </w:p>
        </w:tc>
        <w:tc>
          <w:tcPr>
            <w:tcW w:w="2977" w:type="dxa"/>
          </w:tcPr>
          <w:p w:rsidR="008934B0" w:rsidRDefault="008934B0" w:rsidP="008934B0">
            <w:pPr>
              <w:jc w:val="left"/>
            </w:pPr>
            <w:r>
              <w:rPr>
                <w:rFonts w:hint="eastAsia"/>
              </w:rPr>
              <w:t>应收利息</w:t>
            </w:r>
          </w:p>
        </w:tc>
        <w:tc>
          <w:tcPr>
            <w:tcW w:w="4785" w:type="dxa"/>
          </w:tcPr>
          <w:p w:rsidR="008934B0" w:rsidRDefault="008934B0" w:rsidP="008934B0">
            <w:pPr>
              <w:jc w:val="right"/>
            </w:pPr>
            <w:r>
              <w:t>9,646.88</w:t>
            </w:r>
          </w:p>
        </w:tc>
      </w:tr>
      <w:tr w:rsidR="008934B0" w:rsidTr="008934B0">
        <w:tc>
          <w:tcPr>
            <w:tcW w:w="743" w:type="dxa"/>
          </w:tcPr>
          <w:p w:rsidR="008934B0" w:rsidRDefault="008934B0" w:rsidP="008934B0">
            <w:pPr>
              <w:jc w:val="center"/>
            </w:pPr>
            <w:r>
              <w:t>5</w:t>
            </w:r>
          </w:p>
        </w:tc>
        <w:tc>
          <w:tcPr>
            <w:tcW w:w="2977" w:type="dxa"/>
          </w:tcPr>
          <w:p w:rsidR="008934B0" w:rsidRDefault="008934B0" w:rsidP="008934B0">
            <w:pPr>
              <w:jc w:val="left"/>
            </w:pPr>
            <w:r>
              <w:rPr>
                <w:rFonts w:hint="eastAsia"/>
              </w:rPr>
              <w:t>应收申购款</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6</w:t>
            </w:r>
          </w:p>
        </w:tc>
        <w:tc>
          <w:tcPr>
            <w:tcW w:w="2977" w:type="dxa"/>
          </w:tcPr>
          <w:p w:rsidR="008934B0" w:rsidRDefault="008934B0" w:rsidP="008934B0">
            <w:pPr>
              <w:jc w:val="left"/>
            </w:pPr>
            <w:r>
              <w:rPr>
                <w:rFonts w:hint="eastAsia"/>
              </w:rPr>
              <w:t>其他应收款</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7</w:t>
            </w:r>
          </w:p>
        </w:tc>
        <w:tc>
          <w:tcPr>
            <w:tcW w:w="2977" w:type="dxa"/>
          </w:tcPr>
          <w:p w:rsidR="008934B0" w:rsidRDefault="008934B0" w:rsidP="008934B0">
            <w:pPr>
              <w:jc w:val="left"/>
            </w:pPr>
            <w:r>
              <w:rPr>
                <w:rFonts w:hint="eastAsia"/>
              </w:rPr>
              <w:t>待摊费用</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8</w:t>
            </w:r>
          </w:p>
        </w:tc>
        <w:tc>
          <w:tcPr>
            <w:tcW w:w="2977" w:type="dxa"/>
          </w:tcPr>
          <w:p w:rsidR="008934B0" w:rsidRDefault="008934B0" w:rsidP="008934B0">
            <w:pPr>
              <w:jc w:val="left"/>
            </w:pPr>
            <w:r>
              <w:rPr>
                <w:rFonts w:hint="eastAsia"/>
              </w:rPr>
              <w:t>其他</w:t>
            </w:r>
          </w:p>
        </w:tc>
        <w:tc>
          <w:tcPr>
            <w:tcW w:w="4785" w:type="dxa"/>
          </w:tcPr>
          <w:p w:rsidR="008934B0" w:rsidRDefault="008934B0" w:rsidP="008934B0">
            <w:pPr>
              <w:jc w:val="right"/>
            </w:pPr>
            <w:r>
              <w:t>-</w:t>
            </w:r>
          </w:p>
        </w:tc>
      </w:tr>
      <w:tr w:rsidR="008934B0" w:rsidTr="008934B0">
        <w:tc>
          <w:tcPr>
            <w:tcW w:w="743" w:type="dxa"/>
          </w:tcPr>
          <w:p w:rsidR="008934B0" w:rsidRDefault="008934B0" w:rsidP="008934B0">
            <w:pPr>
              <w:jc w:val="center"/>
            </w:pPr>
            <w:r>
              <w:t>9</w:t>
            </w:r>
          </w:p>
        </w:tc>
        <w:tc>
          <w:tcPr>
            <w:tcW w:w="2977" w:type="dxa"/>
          </w:tcPr>
          <w:p w:rsidR="008934B0" w:rsidRDefault="008934B0" w:rsidP="008934B0">
            <w:pPr>
              <w:jc w:val="left"/>
            </w:pPr>
            <w:r>
              <w:rPr>
                <w:rFonts w:hint="eastAsia"/>
              </w:rPr>
              <w:t>合计</w:t>
            </w:r>
          </w:p>
        </w:tc>
        <w:tc>
          <w:tcPr>
            <w:tcW w:w="4785" w:type="dxa"/>
          </w:tcPr>
          <w:p w:rsidR="008934B0" w:rsidRDefault="008934B0" w:rsidP="008934B0">
            <w:pPr>
              <w:jc w:val="right"/>
            </w:pPr>
            <w:r>
              <w:t>9,646.88</w:t>
            </w:r>
          </w:p>
        </w:tc>
      </w:tr>
    </w:tbl>
    <w:p w:rsidR="008934B0" w:rsidRDefault="008934B0" w:rsidP="008934B0">
      <w:pPr>
        <w:pStyle w:val="-3"/>
        <w:spacing w:before="156" w:after="156"/>
      </w:pPr>
      <w:r>
        <w:rPr>
          <w:rFonts w:hint="eastAsia"/>
        </w:rPr>
        <w:t>报告期末持有的处于转股期的可转换债券明细</w:t>
      </w:r>
    </w:p>
    <w:p w:rsidR="008934B0" w:rsidRDefault="008934B0" w:rsidP="008934B0">
      <w:pPr>
        <w:pStyle w:val="-"/>
        <w:ind w:firstLine="420"/>
      </w:pPr>
      <w:r>
        <w:rPr>
          <w:rFonts w:hint="eastAsia"/>
        </w:rPr>
        <w:t>本基金本报告期末未持有处于转股期的可转换债券。</w:t>
      </w:r>
    </w:p>
    <w:p w:rsidR="008934B0" w:rsidRDefault="008934B0" w:rsidP="008934B0">
      <w:pPr>
        <w:pStyle w:val="-3"/>
        <w:spacing w:before="156" w:after="156"/>
      </w:pPr>
      <w:r>
        <w:rPr>
          <w:rFonts w:hint="eastAsia"/>
        </w:rPr>
        <w:t>报告期末前十名股票中存在流通受限情况的说明</w:t>
      </w:r>
    </w:p>
    <w:p w:rsidR="008934B0" w:rsidRDefault="008934B0" w:rsidP="008934B0">
      <w:pPr>
        <w:pStyle w:val="-"/>
        <w:ind w:firstLine="420"/>
      </w:pPr>
      <w:r>
        <w:rPr>
          <w:rFonts w:hint="eastAsia"/>
        </w:rPr>
        <w:t>本基金本报告期末未持有股票。</w:t>
      </w:r>
    </w:p>
    <w:p w:rsidR="008934B0" w:rsidRDefault="008934B0" w:rsidP="008934B0">
      <w:pPr>
        <w:pStyle w:val="-1"/>
        <w:ind w:left="281" w:hanging="281"/>
      </w:pPr>
      <w:r>
        <w:rPr>
          <w:rFonts w:hint="eastAsia"/>
        </w:rPr>
        <w:t>开放式基金份额变动</w:t>
      </w:r>
    </w:p>
    <w:p w:rsidR="008934B0" w:rsidRDefault="008934B0" w:rsidP="008934B0">
      <w:pPr>
        <w:jc w:val="right"/>
      </w:pPr>
      <w:r>
        <w:rPr>
          <w:rFonts w:hint="eastAsia"/>
        </w:rPr>
        <w:t>单位：份</w:t>
      </w:r>
    </w:p>
    <w:tbl>
      <w:tblPr>
        <w:tblStyle w:val="-0"/>
        <w:tblW w:w="8505" w:type="dxa"/>
        <w:tblLayout w:type="fixed"/>
        <w:tblLook w:val="04A0" w:firstRow="1" w:lastRow="0" w:firstColumn="1" w:lastColumn="0" w:noHBand="0" w:noVBand="1"/>
      </w:tblPr>
      <w:tblGrid>
        <w:gridCol w:w="3644"/>
        <w:gridCol w:w="2410"/>
        <w:gridCol w:w="2451"/>
      </w:tblGrid>
      <w:tr w:rsidR="008934B0" w:rsidTr="001F5DEC">
        <w:trPr>
          <w:cnfStyle w:val="100000000000" w:firstRow="1" w:lastRow="0" w:firstColumn="0" w:lastColumn="0" w:oddVBand="0" w:evenVBand="0" w:oddHBand="0" w:evenHBand="0" w:firstRowFirstColumn="0" w:firstRowLastColumn="0" w:lastRowFirstColumn="0" w:lastRowLastColumn="0"/>
        </w:trPr>
        <w:tc>
          <w:tcPr>
            <w:tcW w:w="3644" w:type="dxa"/>
          </w:tcPr>
          <w:p w:rsidR="008934B0" w:rsidRDefault="008934B0" w:rsidP="008934B0">
            <w:pPr>
              <w:jc w:val="center"/>
            </w:pPr>
            <w:r>
              <w:rPr>
                <w:rFonts w:hint="eastAsia"/>
              </w:rPr>
              <w:t>项目</w:t>
            </w:r>
          </w:p>
        </w:tc>
        <w:tc>
          <w:tcPr>
            <w:tcW w:w="2410" w:type="dxa"/>
          </w:tcPr>
          <w:p w:rsidR="008934B0" w:rsidRDefault="008934B0" w:rsidP="008934B0">
            <w:pPr>
              <w:jc w:val="center"/>
            </w:pPr>
            <w:r>
              <w:rPr>
                <w:rFonts w:hint="eastAsia"/>
              </w:rPr>
              <w:t>南方原油</w:t>
            </w:r>
          </w:p>
        </w:tc>
        <w:tc>
          <w:tcPr>
            <w:tcW w:w="2451" w:type="dxa"/>
          </w:tcPr>
          <w:p w:rsidR="008934B0" w:rsidRDefault="008934B0" w:rsidP="008934B0">
            <w:pPr>
              <w:jc w:val="center"/>
            </w:pPr>
            <w:r>
              <w:rPr>
                <w:rFonts w:hint="eastAsia"/>
              </w:rPr>
              <w:t>南方原油</w:t>
            </w:r>
            <w:r>
              <w:rPr>
                <w:rFonts w:hint="eastAsia"/>
              </w:rPr>
              <w:t>C</w:t>
            </w:r>
          </w:p>
        </w:tc>
      </w:tr>
      <w:tr w:rsidR="008934B0" w:rsidTr="001F5DEC">
        <w:tc>
          <w:tcPr>
            <w:tcW w:w="3644" w:type="dxa"/>
          </w:tcPr>
          <w:p w:rsidR="008934B0" w:rsidRDefault="008934B0" w:rsidP="008934B0">
            <w:pPr>
              <w:jc w:val="left"/>
            </w:pPr>
            <w:r>
              <w:rPr>
                <w:rFonts w:hint="eastAsia"/>
              </w:rPr>
              <w:t>报告期期初基金份额总额</w:t>
            </w:r>
          </w:p>
        </w:tc>
        <w:tc>
          <w:tcPr>
            <w:tcW w:w="2410" w:type="dxa"/>
          </w:tcPr>
          <w:p w:rsidR="008934B0" w:rsidRDefault="008934B0" w:rsidP="008934B0">
            <w:pPr>
              <w:jc w:val="right"/>
            </w:pPr>
            <w:r>
              <w:t>3,091,674,396.84</w:t>
            </w:r>
          </w:p>
        </w:tc>
        <w:tc>
          <w:tcPr>
            <w:tcW w:w="2451" w:type="dxa"/>
          </w:tcPr>
          <w:p w:rsidR="008934B0" w:rsidRDefault="008934B0" w:rsidP="008934B0">
            <w:pPr>
              <w:jc w:val="right"/>
            </w:pPr>
            <w:r>
              <w:t>963,649,078.73</w:t>
            </w:r>
          </w:p>
        </w:tc>
      </w:tr>
      <w:tr w:rsidR="008934B0" w:rsidTr="001F5DEC">
        <w:tc>
          <w:tcPr>
            <w:tcW w:w="3644" w:type="dxa"/>
          </w:tcPr>
          <w:p w:rsidR="008934B0" w:rsidRDefault="008934B0" w:rsidP="008934B0">
            <w:pPr>
              <w:jc w:val="left"/>
            </w:pPr>
            <w:r>
              <w:rPr>
                <w:rFonts w:hint="eastAsia"/>
              </w:rPr>
              <w:t>报告期期间基金总申购份额</w:t>
            </w:r>
          </w:p>
        </w:tc>
        <w:tc>
          <w:tcPr>
            <w:tcW w:w="2410" w:type="dxa"/>
          </w:tcPr>
          <w:p w:rsidR="008934B0" w:rsidRDefault="008934B0" w:rsidP="008934B0">
            <w:pPr>
              <w:jc w:val="right"/>
            </w:pPr>
            <w:r>
              <w:t>-</w:t>
            </w:r>
          </w:p>
        </w:tc>
        <w:tc>
          <w:tcPr>
            <w:tcW w:w="2451" w:type="dxa"/>
          </w:tcPr>
          <w:p w:rsidR="008934B0" w:rsidRDefault="008934B0" w:rsidP="008934B0">
            <w:pPr>
              <w:jc w:val="right"/>
            </w:pPr>
            <w:r>
              <w:t>-</w:t>
            </w:r>
          </w:p>
        </w:tc>
      </w:tr>
      <w:tr w:rsidR="008934B0" w:rsidTr="001F5DEC">
        <w:tc>
          <w:tcPr>
            <w:tcW w:w="3644" w:type="dxa"/>
          </w:tcPr>
          <w:p w:rsidR="008934B0" w:rsidRDefault="008934B0" w:rsidP="008934B0">
            <w:pPr>
              <w:jc w:val="left"/>
            </w:pPr>
            <w:r>
              <w:rPr>
                <w:rFonts w:hint="eastAsia"/>
              </w:rPr>
              <w:t>减：报告期期间基金总赎回份额</w:t>
            </w:r>
          </w:p>
        </w:tc>
        <w:tc>
          <w:tcPr>
            <w:tcW w:w="2410" w:type="dxa"/>
          </w:tcPr>
          <w:p w:rsidR="008934B0" w:rsidRDefault="008934B0" w:rsidP="008934B0">
            <w:pPr>
              <w:jc w:val="right"/>
            </w:pPr>
            <w:r>
              <w:t>140,863,048.51</w:t>
            </w:r>
          </w:p>
        </w:tc>
        <w:tc>
          <w:tcPr>
            <w:tcW w:w="2451" w:type="dxa"/>
          </w:tcPr>
          <w:p w:rsidR="008934B0" w:rsidRDefault="008934B0" w:rsidP="008934B0">
            <w:pPr>
              <w:jc w:val="right"/>
            </w:pPr>
            <w:r>
              <w:t>202,369,289.64</w:t>
            </w:r>
          </w:p>
        </w:tc>
      </w:tr>
      <w:tr w:rsidR="008934B0" w:rsidTr="001F5DEC">
        <w:tc>
          <w:tcPr>
            <w:tcW w:w="3644" w:type="dxa"/>
          </w:tcPr>
          <w:p w:rsidR="008934B0" w:rsidRDefault="008934B0" w:rsidP="008934B0">
            <w:pPr>
              <w:jc w:val="left"/>
            </w:pPr>
            <w:r>
              <w:rPr>
                <w:rFonts w:hint="eastAsia"/>
              </w:rPr>
              <w:t>报告期期间基金拆分变动份额（份额减少以</w:t>
            </w:r>
            <w:r>
              <w:rPr>
                <w:rFonts w:hint="eastAsia"/>
              </w:rPr>
              <w:t>"-"</w:t>
            </w:r>
            <w:r>
              <w:rPr>
                <w:rFonts w:hint="eastAsia"/>
              </w:rPr>
              <w:t>填列）</w:t>
            </w:r>
          </w:p>
        </w:tc>
        <w:tc>
          <w:tcPr>
            <w:tcW w:w="2410" w:type="dxa"/>
          </w:tcPr>
          <w:p w:rsidR="008934B0" w:rsidRDefault="008934B0" w:rsidP="008934B0">
            <w:pPr>
              <w:jc w:val="right"/>
            </w:pPr>
            <w:r>
              <w:t>-</w:t>
            </w:r>
          </w:p>
        </w:tc>
        <w:tc>
          <w:tcPr>
            <w:tcW w:w="2451" w:type="dxa"/>
          </w:tcPr>
          <w:p w:rsidR="008934B0" w:rsidRDefault="008934B0" w:rsidP="008934B0">
            <w:pPr>
              <w:jc w:val="right"/>
            </w:pPr>
            <w:r>
              <w:t>-</w:t>
            </w:r>
          </w:p>
        </w:tc>
      </w:tr>
      <w:tr w:rsidR="008934B0" w:rsidTr="001F5DEC">
        <w:tc>
          <w:tcPr>
            <w:tcW w:w="3644" w:type="dxa"/>
          </w:tcPr>
          <w:p w:rsidR="008934B0" w:rsidRDefault="008934B0" w:rsidP="008934B0">
            <w:pPr>
              <w:jc w:val="left"/>
            </w:pPr>
            <w:r>
              <w:rPr>
                <w:rFonts w:hint="eastAsia"/>
              </w:rPr>
              <w:t>报告期期末基金份额总额</w:t>
            </w:r>
          </w:p>
        </w:tc>
        <w:tc>
          <w:tcPr>
            <w:tcW w:w="2410" w:type="dxa"/>
          </w:tcPr>
          <w:p w:rsidR="008934B0" w:rsidRDefault="008934B0" w:rsidP="008934B0">
            <w:pPr>
              <w:jc w:val="right"/>
            </w:pPr>
            <w:r>
              <w:t>2,950,811,348.33</w:t>
            </w:r>
          </w:p>
        </w:tc>
        <w:tc>
          <w:tcPr>
            <w:tcW w:w="2451" w:type="dxa"/>
          </w:tcPr>
          <w:p w:rsidR="008934B0" w:rsidRDefault="008934B0" w:rsidP="008934B0">
            <w:pPr>
              <w:jc w:val="right"/>
            </w:pPr>
            <w:r>
              <w:t>761,279,789.09</w:t>
            </w:r>
          </w:p>
        </w:tc>
      </w:tr>
    </w:tbl>
    <w:p w:rsidR="008934B0" w:rsidRDefault="008934B0" w:rsidP="008934B0">
      <w:pPr>
        <w:pStyle w:val="-1"/>
        <w:ind w:left="281" w:hanging="281"/>
      </w:pPr>
      <w:r>
        <w:rPr>
          <w:rFonts w:hint="eastAsia"/>
        </w:rPr>
        <w:t>基金管理人运用固有资金投资本基金情况</w:t>
      </w:r>
    </w:p>
    <w:p w:rsidR="008934B0" w:rsidRDefault="008934B0" w:rsidP="008934B0">
      <w:pPr>
        <w:pStyle w:val="-2"/>
        <w:spacing w:before="312"/>
      </w:pPr>
      <w:r>
        <w:rPr>
          <w:rFonts w:hint="eastAsia"/>
        </w:rPr>
        <w:t>基金管理人持有本基金份额变动情况</w:t>
      </w:r>
    </w:p>
    <w:p w:rsidR="008934B0" w:rsidRDefault="008934B0" w:rsidP="008934B0">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8934B0" w:rsidTr="008934B0">
        <w:trPr>
          <w:cnfStyle w:val="100000000000" w:firstRow="1" w:lastRow="0" w:firstColumn="0" w:lastColumn="0" w:oddVBand="0" w:evenVBand="0" w:oddHBand="0" w:evenHBand="0" w:firstRowFirstColumn="0" w:firstRowLastColumn="0" w:lastRowFirstColumn="0" w:lastRowLastColumn="0"/>
        </w:trPr>
        <w:tc>
          <w:tcPr>
            <w:tcW w:w="5352" w:type="dxa"/>
          </w:tcPr>
          <w:p w:rsidR="008934B0" w:rsidRDefault="008934B0" w:rsidP="008934B0">
            <w:pPr>
              <w:jc w:val="center"/>
            </w:pPr>
            <w:r>
              <w:rPr>
                <w:rFonts w:hint="eastAsia"/>
              </w:rPr>
              <w:t>项目</w:t>
            </w:r>
          </w:p>
        </w:tc>
        <w:tc>
          <w:tcPr>
            <w:tcW w:w="3153" w:type="dxa"/>
          </w:tcPr>
          <w:p w:rsidR="008934B0" w:rsidRDefault="008934B0" w:rsidP="008934B0">
            <w:pPr>
              <w:jc w:val="center"/>
            </w:pPr>
            <w:r>
              <w:rPr>
                <w:rFonts w:hint="eastAsia"/>
              </w:rPr>
              <w:t>份额</w:t>
            </w:r>
          </w:p>
        </w:tc>
      </w:tr>
      <w:tr w:rsidR="008934B0" w:rsidTr="008934B0">
        <w:tc>
          <w:tcPr>
            <w:tcW w:w="5352" w:type="dxa"/>
          </w:tcPr>
          <w:p w:rsidR="008934B0" w:rsidRDefault="008934B0" w:rsidP="008934B0">
            <w:pPr>
              <w:jc w:val="left"/>
            </w:pPr>
            <w:r>
              <w:rPr>
                <w:rFonts w:hint="eastAsia"/>
              </w:rPr>
              <w:t>报告期期初管理人持有的本基金份额</w:t>
            </w:r>
          </w:p>
        </w:tc>
        <w:tc>
          <w:tcPr>
            <w:tcW w:w="3153" w:type="dxa"/>
          </w:tcPr>
          <w:p w:rsidR="008934B0" w:rsidRDefault="008934B0" w:rsidP="008934B0">
            <w:pPr>
              <w:jc w:val="right"/>
            </w:pPr>
            <w:r>
              <w:t>10,225,000.00</w:t>
            </w:r>
          </w:p>
        </w:tc>
      </w:tr>
      <w:tr w:rsidR="008934B0" w:rsidTr="008934B0">
        <w:tc>
          <w:tcPr>
            <w:tcW w:w="5352" w:type="dxa"/>
          </w:tcPr>
          <w:p w:rsidR="008934B0" w:rsidRDefault="008934B0" w:rsidP="008934B0">
            <w:pPr>
              <w:jc w:val="left"/>
            </w:pPr>
            <w:r>
              <w:rPr>
                <w:rFonts w:hint="eastAsia"/>
              </w:rPr>
              <w:t>报告期期间买入</w:t>
            </w:r>
            <w:r>
              <w:rPr>
                <w:rFonts w:hint="eastAsia"/>
              </w:rPr>
              <w:t>/</w:t>
            </w:r>
            <w:r>
              <w:rPr>
                <w:rFonts w:hint="eastAsia"/>
              </w:rPr>
              <w:t>申购总份额</w:t>
            </w:r>
          </w:p>
        </w:tc>
        <w:tc>
          <w:tcPr>
            <w:tcW w:w="3153" w:type="dxa"/>
          </w:tcPr>
          <w:p w:rsidR="008934B0" w:rsidRDefault="008934B0" w:rsidP="008934B0">
            <w:pPr>
              <w:jc w:val="right"/>
            </w:pPr>
            <w:r>
              <w:t>-</w:t>
            </w:r>
          </w:p>
        </w:tc>
      </w:tr>
      <w:tr w:rsidR="008934B0" w:rsidTr="008934B0">
        <w:tc>
          <w:tcPr>
            <w:tcW w:w="5352" w:type="dxa"/>
          </w:tcPr>
          <w:p w:rsidR="008934B0" w:rsidRDefault="008934B0" w:rsidP="008934B0">
            <w:pPr>
              <w:jc w:val="left"/>
            </w:pPr>
            <w:r>
              <w:rPr>
                <w:rFonts w:hint="eastAsia"/>
              </w:rPr>
              <w:t>报告期期间卖出</w:t>
            </w:r>
            <w:r>
              <w:rPr>
                <w:rFonts w:hint="eastAsia"/>
              </w:rPr>
              <w:t>/</w:t>
            </w:r>
            <w:r>
              <w:rPr>
                <w:rFonts w:hint="eastAsia"/>
              </w:rPr>
              <w:t>赎回总份额</w:t>
            </w:r>
          </w:p>
        </w:tc>
        <w:tc>
          <w:tcPr>
            <w:tcW w:w="3153" w:type="dxa"/>
          </w:tcPr>
          <w:p w:rsidR="008934B0" w:rsidRDefault="008934B0" w:rsidP="008934B0">
            <w:pPr>
              <w:jc w:val="right"/>
            </w:pPr>
            <w:r>
              <w:t>10,225,000.00</w:t>
            </w:r>
          </w:p>
        </w:tc>
      </w:tr>
      <w:tr w:rsidR="008934B0" w:rsidTr="008934B0">
        <w:tc>
          <w:tcPr>
            <w:tcW w:w="5352" w:type="dxa"/>
          </w:tcPr>
          <w:p w:rsidR="008934B0" w:rsidRDefault="008934B0" w:rsidP="008934B0">
            <w:pPr>
              <w:jc w:val="left"/>
            </w:pPr>
            <w:r>
              <w:rPr>
                <w:rFonts w:hint="eastAsia"/>
              </w:rPr>
              <w:t>报告期期末管理人持有的本基金份额</w:t>
            </w:r>
          </w:p>
        </w:tc>
        <w:tc>
          <w:tcPr>
            <w:tcW w:w="3153" w:type="dxa"/>
          </w:tcPr>
          <w:p w:rsidR="008934B0" w:rsidRDefault="008934B0" w:rsidP="008934B0">
            <w:pPr>
              <w:jc w:val="right"/>
            </w:pPr>
            <w:r>
              <w:t>-</w:t>
            </w:r>
          </w:p>
        </w:tc>
      </w:tr>
      <w:tr w:rsidR="008934B0" w:rsidTr="008934B0">
        <w:tc>
          <w:tcPr>
            <w:tcW w:w="5352" w:type="dxa"/>
          </w:tcPr>
          <w:p w:rsidR="008934B0" w:rsidRDefault="008934B0" w:rsidP="008934B0">
            <w:pPr>
              <w:jc w:val="left"/>
            </w:pPr>
            <w:r>
              <w:rPr>
                <w:rFonts w:hint="eastAsia"/>
              </w:rPr>
              <w:t>报告期期末持有的本基金份额占基金总份额比例（</w:t>
            </w:r>
            <w:r>
              <w:rPr>
                <w:rFonts w:hint="eastAsia"/>
              </w:rPr>
              <w:t>%</w:t>
            </w:r>
            <w:r>
              <w:rPr>
                <w:rFonts w:hint="eastAsia"/>
              </w:rPr>
              <w:t>）</w:t>
            </w:r>
          </w:p>
        </w:tc>
        <w:tc>
          <w:tcPr>
            <w:tcW w:w="3153" w:type="dxa"/>
          </w:tcPr>
          <w:p w:rsidR="008934B0" w:rsidRDefault="008934B0" w:rsidP="008934B0">
            <w:pPr>
              <w:jc w:val="right"/>
            </w:pPr>
            <w:r>
              <w:t>-</w:t>
            </w:r>
          </w:p>
        </w:tc>
      </w:tr>
    </w:tbl>
    <w:p w:rsidR="008934B0" w:rsidRDefault="008934B0" w:rsidP="008934B0">
      <w:pPr>
        <w:pStyle w:val="-2"/>
        <w:spacing w:before="312"/>
      </w:pPr>
      <w:r>
        <w:rPr>
          <w:rFonts w:hint="eastAsia"/>
        </w:rPr>
        <w:lastRenderedPageBreak/>
        <w:t>基金管理人运用固有资金投资本基金交易明细</w:t>
      </w:r>
    </w:p>
    <w:tbl>
      <w:tblPr>
        <w:tblStyle w:val="-0"/>
        <w:tblW w:w="0" w:type="auto"/>
        <w:tblLayout w:type="fixed"/>
        <w:tblLook w:val="04A0" w:firstRow="1" w:lastRow="0" w:firstColumn="1" w:lastColumn="0" w:noHBand="0" w:noVBand="1"/>
      </w:tblPr>
      <w:tblGrid>
        <w:gridCol w:w="817"/>
        <w:gridCol w:w="1134"/>
        <w:gridCol w:w="1843"/>
        <w:gridCol w:w="1701"/>
        <w:gridCol w:w="1701"/>
        <w:gridCol w:w="1326"/>
      </w:tblGrid>
      <w:tr w:rsidR="008934B0" w:rsidTr="001F5DEC">
        <w:trPr>
          <w:cnfStyle w:val="100000000000" w:firstRow="1" w:lastRow="0" w:firstColumn="0" w:lastColumn="0" w:oddVBand="0" w:evenVBand="0" w:oddHBand="0" w:evenHBand="0" w:firstRowFirstColumn="0" w:firstRowLastColumn="0" w:lastRowFirstColumn="0" w:lastRowLastColumn="0"/>
        </w:trPr>
        <w:tc>
          <w:tcPr>
            <w:tcW w:w="817" w:type="dxa"/>
          </w:tcPr>
          <w:p w:rsidR="008934B0" w:rsidRDefault="008934B0" w:rsidP="008934B0">
            <w:pPr>
              <w:jc w:val="center"/>
            </w:pPr>
            <w:r>
              <w:rPr>
                <w:rFonts w:hint="eastAsia"/>
              </w:rPr>
              <w:t>序号</w:t>
            </w:r>
          </w:p>
        </w:tc>
        <w:tc>
          <w:tcPr>
            <w:tcW w:w="1134" w:type="dxa"/>
          </w:tcPr>
          <w:p w:rsidR="008934B0" w:rsidRDefault="008934B0" w:rsidP="008934B0">
            <w:pPr>
              <w:jc w:val="center"/>
            </w:pPr>
            <w:r>
              <w:rPr>
                <w:rFonts w:hint="eastAsia"/>
              </w:rPr>
              <w:t>交易方式</w:t>
            </w:r>
          </w:p>
        </w:tc>
        <w:tc>
          <w:tcPr>
            <w:tcW w:w="1843" w:type="dxa"/>
          </w:tcPr>
          <w:p w:rsidR="008934B0" w:rsidRDefault="008934B0" w:rsidP="008934B0">
            <w:pPr>
              <w:jc w:val="center"/>
            </w:pPr>
            <w:r>
              <w:rPr>
                <w:rFonts w:hint="eastAsia"/>
              </w:rPr>
              <w:t>交易日期</w:t>
            </w:r>
          </w:p>
        </w:tc>
        <w:tc>
          <w:tcPr>
            <w:tcW w:w="1701" w:type="dxa"/>
          </w:tcPr>
          <w:p w:rsidR="008934B0" w:rsidRDefault="008934B0" w:rsidP="008934B0">
            <w:pPr>
              <w:jc w:val="center"/>
            </w:pPr>
            <w:r>
              <w:rPr>
                <w:rFonts w:hint="eastAsia"/>
              </w:rPr>
              <w:t>交易份额（份）</w:t>
            </w:r>
          </w:p>
        </w:tc>
        <w:tc>
          <w:tcPr>
            <w:tcW w:w="1701" w:type="dxa"/>
          </w:tcPr>
          <w:p w:rsidR="008934B0" w:rsidRDefault="008934B0" w:rsidP="008934B0">
            <w:pPr>
              <w:jc w:val="center"/>
            </w:pPr>
            <w:r>
              <w:rPr>
                <w:rFonts w:hint="eastAsia"/>
              </w:rPr>
              <w:t>交易金额（元）</w:t>
            </w:r>
          </w:p>
        </w:tc>
        <w:tc>
          <w:tcPr>
            <w:tcW w:w="1326" w:type="dxa"/>
          </w:tcPr>
          <w:p w:rsidR="008934B0" w:rsidRDefault="008934B0" w:rsidP="008934B0">
            <w:pPr>
              <w:jc w:val="center"/>
            </w:pPr>
            <w:r>
              <w:rPr>
                <w:rFonts w:hint="eastAsia"/>
              </w:rPr>
              <w:t>适用费率</w:t>
            </w:r>
          </w:p>
        </w:tc>
      </w:tr>
      <w:tr w:rsidR="008934B0" w:rsidTr="001F5DEC">
        <w:tc>
          <w:tcPr>
            <w:tcW w:w="817" w:type="dxa"/>
          </w:tcPr>
          <w:p w:rsidR="008934B0" w:rsidRDefault="008934B0" w:rsidP="008934B0">
            <w:pPr>
              <w:jc w:val="center"/>
            </w:pPr>
            <w:r>
              <w:t>1</w:t>
            </w:r>
          </w:p>
        </w:tc>
        <w:tc>
          <w:tcPr>
            <w:tcW w:w="1134" w:type="dxa"/>
          </w:tcPr>
          <w:p w:rsidR="008934B0" w:rsidRDefault="008934B0" w:rsidP="008934B0">
            <w:pPr>
              <w:jc w:val="left"/>
            </w:pPr>
            <w:r>
              <w:rPr>
                <w:rFonts w:hint="eastAsia"/>
              </w:rPr>
              <w:t>买卖</w:t>
            </w:r>
          </w:p>
        </w:tc>
        <w:tc>
          <w:tcPr>
            <w:tcW w:w="1843" w:type="dxa"/>
          </w:tcPr>
          <w:p w:rsidR="008934B0" w:rsidRDefault="008934B0" w:rsidP="008934B0">
            <w:pPr>
              <w:jc w:val="left"/>
            </w:pPr>
            <w:r>
              <w:rPr>
                <w:rFonts w:hint="eastAsia"/>
              </w:rPr>
              <w:t>2020</w:t>
            </w:r>
            <w:r>
              <w:rPr>
                <w:rFonts w:hint="eastAsia"/>
              </w:rPr>
              <w:t>年</w:t>
            </w:r>
            <w:r>
              <w:rPr>
                <w:rFonts w:hint="eastAsia"/>
              </w:rPr>
              <w:t>9</w:t>
            </w:r>
            <w:r>
              <w:rPr>
                <w:rFonts w:hint="eastAsia"/>
              </w:rPr>
              <w:t>月</w:t>
            </w:r>
            <w:r>
              <w:rPr>
                <w:rFonts w:hint="eastAsia"/>
              </w:rPr>
              <w:t>7</w:t>
            </w:r>
            <w:r>
              <w:rPr>
                <w:rFonts w:hint="eastAsia"/>
              </w:rPr>
              <w:t>日</w:t>
            </w:r>
          </w:p>
        </w:tc>
        <w:tc>
          <w:tcPr>
            <w:tcW w:w="1701" w:type="dxa"/>
          </w:tcPr>
          <w:p w:rsidR="008934B0" w:rsidRDefault="008934B0" w:rsidP="008934B0">
            <w:pPr>
              <w:jc w:val="right"/>
            </w:pPr>
            <w:r>
              <w:t>5,000,000.00</w:t>
            </w:r>
          </w:p>
        </w:tc>
        <w:tc>
          <w:tcPr>
            <w:tcW w:w="1701" w:type="dxa"/>
          </w:tcPr>
          <w:p w:rsidR="008934B0" w:rsidRDefault="008934B0" w:rsidP="008934B0">
            <w:pPr>
              <w:jc w:val="right"/>
            </w:pPr>
            <w:r>
              <w:t>2,920,351.36</w:t>
            </w:r>
          </w:p>
        </w:tc>
        <w:tc>
          <w:tcPr>
            <w:tcW w:w="1326" w:type="dxa"/>
          </w:tcPr>
          <w:p w:rsidR="008934B0" w:rsidRDefault="008934B0" w:rsidP="008934B0">
            <w:pPr>
              <w:jc w:val="right"/>
            </w:pPr>
            <w:r>
              <w:t>0.00%</w:t>
            </w:r>
          </w:p>
        </w:tc>
      </w:tr>
      <w:tr w:rsidR="008934B0" w:rsidTr="001F5DEC">
        <w:tc>
          <w:tcPr>
            <w:tcW w:w="817" w:type="dxa"/>
          </w:tcPr>
          <w:p w:rsidR="008934B0" w:rsidRDefault="008934B0" w:rsidP="008934B0">
            <w:pPr>
              <w:jc w:val="center"/>
            </w:pPr>
            <w:r>
              <w:t>2</w:t>
            </w:r>
          </w:p>
        </w:tc>
        <w:tc>
          <w:tcPr>
            <w:tcW w:w="1134" w:type="dxa"/>
          </w:tcPr>
          <w:p w:rsidR="008934B0" w:rsidRDefault="008934B0" w:rsidP="008934B0">
            <w:pPr>
              <w:jc w:val="left"/>
            </w:pPr>
            <w:r>
              <w:rPr>
                <w:rFonts w:hint="eastAsia"/>
              </w:rPr>
              <w:t>买卖</w:t>
            </w:r>
          </w:p>
        </w:tc>
        <w:tc>
          <w:tcPr>
            <w:tcW w:w="1843" w:type="dxa"/>
          </w:tcPr>
          <w:p w:rsidR="008934B0" w:rsidRDefault="008934B0" w:rsidP="008934B0">
            <w:pPr>
              <w:jc w:val="left"/>
            </w:pPr>
            <w:r>
              <w:rPr>
                <w:rFonts w:hint="eastAsia"/>
              </w:rPr>
              <w:t>2020</w:t>
            </w:r>
            <w:r>
              <w:rPr>
                <w:rFonts w:hint="eastAsia"/>
              </w:rPr>
              <w:t>年</w:t>
            </w:r>
            <w:r>
              <w:rPr>
                <w:rFonts w:hint="eastAsia"/>
              </w:rPr>
              <w:t>9</w:t>
            </w:r>
            <w:r>
              <w:rPr>
                <w:rFonts w:hint="eastAsia"/>
              </w:rPr>
              <w:t>月</w:t>
            </w:r>
            <w:r>
              <w:rPr>
                <w:rFonts w:hint="eastAsia"/>
              </w:rPr>
              <w:t>9</w:t>
            </w:r>
            <w:r>
              <w:rPr>
                <w:rFonts w:hint="eastAsia"/>
              </w:rPr>
              <w:t>日</w:t>
            </w:r>
          </w:p>
        </w:tc>
        <w:tc>
          <w:tcPr>
            <w:tcW w:w="1701" w:type="dxa"/>
          </w:tcPr>
          <w:p w:rsidR="008934B0" w:rsidRDefault="008934B0" w:rsidP="008934B0">
            <w:pPr>
              <w:jc w:val="right"/>
            </w:pPr>
            <w:r>
              <w:t>5,225,000.00</w:t>
            </w:r>
          </w:p>
        </w:tc>
        <w:tc>
          <w:tcPr>
            <w:tcW w:w="1701" w:type="dxa"/>
          </w:tcPr>
          <w:p w:rsidR="008934B0" w:rsidRDefault="008934B0" w:rsidP="008934B0">
            <w:pPr>
              <w:jc w:val="right"/>
            </w:pPr>
            <w:r>
              <w:t>3,017,800.00</w:t>
            </w:r>
          </w:p>
        </w:tc>
        <w:tc>
          <w:tcPr>
            <w:tcW w:w="1326" w:type="dxa"/>
          </w:tcPr>
          <w:p w:rsidR="008934B0" w:rsidRDefault="008934B0" w:rsidP="008934B0">
            <w:pPr>
              <w:jc w:val="right"/>
            </w:pPr>
            <w:r>
              <w:t>0.00%</w:t>
            </w:r>
          </w:p>
        </w:tc>
      </w:tr>
      <w:tr w:rsidR="008934B0" w:rsidTr="001F5DEC">
        <w:tc>
          <w:tcPr>
            <w:tcW w:w="817" w:type="dxa"/>
          </w:tcPr>
          <w:p w:rsidR="008934B0" w:rsidRDefault="008934B0" w:rsidP="008934B0">
            <w:pPr>
              <w:jc w:val="center"/>
            </w:pPr>
            <w:r>
              <w:rPr>
                <w:rFonts w:hint="eastAsia"/>
              </w:rPr>
              <w:t>合计</w:t>
            </w:r>
          </w:p>
        </w:tc>
        <w:tc>
          <w:tcPr>
            <w:tcW w:w="1134" w:type="dxa"/>
          </w:tcPr>
          <w:p w:rsidR="008934B0" w:rsidRDefault="008934B0" w:rsidP="008934B0">
            <w:pPr>
              <w:jc w:val="right"/>
            </w:pPr>
            <w:r>
              <w:t>-</w:t>
            </w:r>
          </w:p>
        </w:tc>
        <w:tc>
          <w:tcPr>
            <w:tcW w:w="1843" w:type="dxa"/>
          </w:tcPr>
          <w:p w:rsidR="008934B0" w:rsidRDefault="008934B0" w:rsidP="008934B0">
            <w:pPr>
              <w:jc w:val="right"/>
            </w:pPr>
            <w:r>
              <w:t>-</w:t>
            </w:r>
          </w:p>
        </w:tc>
        <w:tc>
          <w:tcPr>
            <w:tcW w:w="1701" w:type="dxa"/>
          </w:tcPr>
          <w:p w:rsidR="008934B0" w:rsidRDefault="008934B0" w:rsidP="008934B0">
            <w:pPr>
              <w:jc w:val="right"/>
            </w:pPr>
            <w:r>
              <w:t>10,225,000.00</w:t>
            </w:r>
          </w:p>
        </w:tc>
        <w:tc>
          <w:tcPr>
            <w:tcW w:w="1701" w:type="dxa"/>
          </w:tcPr>
          <w:p w:rsidR="008934B0" w:rsidRDefault="008934B0" w:rsidP="008934B0">
            <w:pPr>
              <w:jc w:val="right"/>
            </w:pPr>
            <w:r>
              <w:t>5,938,151.36</w:t>
            </w:r>
          </w:p>
        </w:tc>
        <w:tc>
          <w:tcPr>
            <w:tcW w:w="1326" w:type="dxa"/>
          </w:tcPr>
          <w:p w:rsidR="008934B0" w:rsidRDefault="008934B0" w:rsidP="008934B0">
            <w:pPr>
              <w:jc w:val="right"/>
            </w:pPr>
            <w:r>
              <w:t>-</w:t>
            </w:r>
          </w:p>
        </w:tc>
      </w:tr>
    </w:tbl>
    <w:p w:rsidR="008934B0" w:rsidRDefault="008934B0" w:rsidP="008934B0">
      <w:pPr>
        <w:pStyle w:val="-1"/>
        <w:ind w:left="281" w:hanging="281"/>
      </w:pPr>
      <w:r>
        <w:rPr>
          <w:rFonts w:hint="eastAsia"/>
        </w:rPr>
        <w:t>影响投资者决策的其他重要信息</w:t>
      </w:r>
    </w:p>
    <w:p w:rsidR="008934B0" w:rsidRDefault="008934B0" w:rsidP="008934B0">
      <w:pPr>
        <w:pStyle w:val="-2"/>
        <w:spacing w:before="312"/>
      </w:pPr>
      <w:r>
        <w:rPr>
          <w:rFonts w:hint="eastAsia"/>
        </w:rPr>
        <w:t>报告期内单一投资者持有基金份额比例达到或超过20%的情况</w:t>
      </w:r>
    </w:p>
    <w:p w:rsidR="008934B0" w:rsidRDefault="008934B0" w:rsidP="008934B0">
      <w:pPr>
        <w:pStyle w:val="-"/>
        <w:ind w:firstLine="420"/>
      </w:pPr>
      <w:r>
        <w:rPr>
          <w:rFonts w:hint="eastAsia"/>
        </w:rPr>
        <w:t>报告期内单一投资者持有基金份额比例不存在达到或超过20%的情况。</w:t>
      </w:r>
    </w:p>
    <w:p w:rsidR="008934B0" w:rsidRDefault="008934B0" w:rsidP="008934B0">
      <w:pPr>
        <w:pStyle w:val="-2"/>
        <w:spacing w:before="312"/>
      </w:pPr>
      <w:r>
        <w:rPr>
          <w:rFonts w:hint="eastAsia"/>
        </w:rPr>
        <w:t>影响投资者决策的其他重要信息</w:t>
      </w:r>
    </w:p>
    <w:p w:rsidR="008934B0" w:rsidRDefault="008934B0" w:rsidP="008934B0">
      <w:pPr>
        <w:pStyle w:val="-"/>
        <w:ind w:firstLine="420"/>
      </w:pPr>
      <w:r>
        <w:rPr>
          <w:rFonts w:hint="eastAsia"/>
        </w:rPr>
        <w:t>无。</w:t>
      </w:r>
    </w:p>
    <w:p w:rsidR="008934B0" w:rsidRDefault="008934B0" w:rsidP="008934B0">
      <w:pPr>
        <w:pStyle w:val="-1"/>
        <w:ind w:left="281" w:hanging="281"/>
      </w:pPr>
      <w:r>
        <w:rPr>
          <w:rFonts w:hint="eastAsia"/>
        </w:rPr>
        <w:t>备查文件目录</w:t>
      </w:r>
    </w:p>
    <w:p w:rsidR="008934B0" w:rsidRDefault="008934B0" w:rsidP="008934B0">
      <w:pPr>
        <w:pStyle w:val="-2"/>
        <w:spacing w:before="312"/>
      </w:pPr>
      <w:r>
        <w:rPr>
          <w:rFonts w:hint="eastAsia"/>
        </w:rPr>
        <w:t>备查文件目录</w:t>
      </w:r>
    </w:p>
    <w:p w:rsidR="008934B0" w:rsidRDefault="008934B0" w:rsidP="008934B0">
      <w:pPr>
        <w:pStyle w:val="-"/>
        <w:ind w:firstLine="420"/>
      </w:pPr>
      <w:r>
        <w:rPr>
          <w:rFonts w:hint="eastAsia"/>
        </w:rPr>
        <w:t>1、《南方原油证券投资基金基金合同》；</w:t>
      </w:r>
    </w:p>
    <w:p w:rsidR="008934B0" w:rsidRDefault="008934B0" w:rsidP="008934B0">
      <w:pPr>
        <w:pStyle w:val="-"/>
        <w:ind w:firstLine="420"/>
      </w:pPr>
      <w:r>
        <w:rPr>
          <w:rFonts w:hint="eastAsia"/>
        </w:rPr>
        <w:t>2、《南方原油证券投资基金托管协议》；</w:t>
      </w:r>
    </w:p>
    <w:p w:rsidR="008934B0" w:rsidRDefault="008934B0" w:rsidP="008934B0">
      <w:pPr>
        <w:pStyle w:val="-"/>
        <w:ind w:firstLine="420"/>
      </w:pPr>
      <w:r>
        <w:rPr>
          <w:rFonts w:hint="eastAsia"/>
        </w:rPr>
        <w:t>3、南方原油证券投资基金2020年3季度报告原文。</w:t>
      </w:r>
    </w:p>
    <w:p w:rsidR="008934B0" w:rsidRDefault="008934B0" w:rsidP="008934B0">
      <w:pPr>
        <w:pStyle w:val="-2"/>
        <w:spacing w:before="312"/>
      </w:pPr>
      <w:r>
        <w:rPr>
          <w:rFonts w:hint="eastAsia"/>
        </w:rPr>
        <w:t>存放地点</w:t>
      </w:r>
    </w:p>
    <w:p w:rsidR="008934B0" w:rsidRDefault="008934B0" w:rsidP="008934B0">
      <w:pPr>
        <w:pStyle w:val="-"/>
        <w:ind w:firstLine="420"/>
      </w:pPr>
      <w:r>
        <w:rPr>
          <w:rFonts w:hint="eastAsia"/>
        </w:rPr>
        <w:t>深圳市福田区莲花街道益田路5999号基金大厦32-42楼。</w:t>
      </w:r>
    </w:p>
    <w:p w:rsidR="008934B0" w:rsidRDefault="008934B0" w:rsidP="008934B0">
      <w:pPr>
        <w:pStyle w:val="-2"/>
        <w:spacing w:before="312"/>
      </w:pPr>
      <w:r>
        <w:rPr>
          <w:rFonts w:hint="eastAsia"/>
        </w:rPr>
        <w:t>查阅方式</w:t>
      </w:r>
    </w:p>
    <w:p w:rsidR="008934B0" w:rsidRDefault="008934B0" w:rsidP="008934B0">
      <w:pPr>
        <w:pStyle w:val="-"/>
        <w:ind w:firstLine="420"/>
      </w:pPr>
      <w:r>
        <w:rPr>
          <w:rFonts w:hint="eastAsia"/>
        </w:rPr>
        <w:t>网站：http://www.nffund.com</w:t>
      </w:r>
    </w:p>
    <w:p w:rsidR="008934B0" w:rsidRDefault="008934B0" w:rsidP="008934B0">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B0" w:rsidRDefault="008934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03501" w:rsidRPr="00B03501">
      <w:rPr>
        <w:rFonts w:ascii="宋体" w:hAnsi="宋体"/>
        <w:bCs/>
        <w:noProof/>
        <w:lang w:val="zh-CN"/>
      </w:rPr>
      <w:t>7</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03501">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03501">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B0" w:rsidRDefault="008934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B0" w:rsidRDefault="008934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8934B0" w:rsidP="00AE3F5B">
    <w:pPr>
      <w:pStyle w:val="a7"/>
      <w:pBdr>
        <w:bottom w:val="single" w:sz="4" w:space="1" w:color="auto"/>
      </w:pBdr>
      <w:jc w:val="right"/>
    </w:pPr>
    <w:r>
      <w:rPr>
        <w:rFonts w:hint="eastAsia"/>
      </w:rPr>
      <w:t>南方原油证券投资基金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1F5DEC"/>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934B0"/>
    <w:rsid w:val="008B3EBC"/>
    <w:rsid w:val="008C2BFC"/>
    <w:rsid w:val="00904545"/>
    <w:rsid w:val="009112E0"/>
    <w:rsid w:val="009161C4"/>
    <w:rsid w:val="00922090"/>
    <w:rsid w:val="00967A2F"/>
    <w:rsid w:val="00981362"/>
    <w:rsid w:val="00986A5F"/>
    <w:rsid w:val="009A0DF7"/>
    <w:rsid w:val="009A4AD8"/>
    <w:rsid w:val="009B7C73"/>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3501"/>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212"/>
    <w:rsid w:val="00C975C3"/>
    <w:rsid w:val="00CA298C"/>
    <w:rsid w:val="00CA7768"/>
    <w:rsid w:val="00CA79F6"/>
    <w:rsid w:val="00CD3F44"/>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4A7F"/>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93EEED"/>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 w:type="paragraph" w:styleId="af">
    <w:name w:val="Balloon Text"/>
    <w:basedOn w:val="a"/>
    <w:link w:val="af0"/>
    <w:semiHidden/>
    <w:unhideWhenUsed/>
    <w:rsid w:val="009B7C73"/>
    <w:rPr>
      <w:sz w:val="18"/>
      <w:szCs w:val="18"/>
    </w:rPr>
  </w:style>
  <w:style w:type="character" w:customStyle="1" w:styleId="af0">
    <w:name w:val="批注框文本 字符"/>
    <w:basedOn w:val="a0"/>
    <w:link w:val="af"/>
    <w:semiHidden/>
    <w:rsid w:val="009B7C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79F0-180E-4669-AD6C-C22387EA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1128</Words>
  <Characters>6435</Characters>
  <Application>Microsoft Office Word</Application>
  <DocSecurity>0</DocSecurity>
  <Lines>53</Lines>
  <Paragraphs>15</Paragraphs>
  <ScaleCrop>false</ScaleCrop>
  <Company>MC SYSTEM</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 </cp:lastModifiedBy>
  <cp:revision>8</cp:revision>
  <cp:lastPrinted>2020-10-23T03:45:00Z</cp:lastPrinted>
  <dcterms:created xsi:type="dcterms:W3CDTF">2020-10-23T02:08:00Z</dcterms:created>
  <dcterms:modified xsi:type="dcterms:W3CDTF">2020-10-26T09:53:00Z</dcterms:modified>
</cp:coreProperties>
</file>