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bookmarkStart w:id="0" w:name="_GoBack"/>
      <w:bookmarkEnd w:id="0"/>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790D62">
        <w:rPr>
          <w:rFonts w:ascii="宋体" w:hAnsi="宋体" w:hint="eastAsia"/>
          <w:b/>
          <w:bCs/>
          <w:sz w:val="48"/>
          <w:szCs w:val="30"/>
        </w:rPr>
        <w:t>南方香港成长灵活配置混合型证券投资基金</w:t>
      </w:r>
      <w:r w:rsidR="00790D62">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1" w:name="OLE_LINK1"/>
      <w:bookmarkStart w:id="2" w:name="OLE_LINK2"/>
    </w:p>
    <w:p w:rsidR="00D17C56" w:rsidRDefault="00D17C56" w:rsidP="00D17C56">
      <w:pPr>
        <w:jc w:val="center"/>
        <w:rPr>
          <w:rFonts w:ascii="宋体" w:hAnsi="宋体"/>
          <w:b/>
          <w:bCs/>
          <w:sz w:val="28"/>
          <w:szCs w:val="30"/>
        </w:rPr>
      </w:pPr>
    </w:p>
    <w:bookmarkEnd w:id="1"/>
    <w:bookmarkEnd w:id="2"/>
    <w:p w:rsidR="00D17C56" w:rsidRDefault="00790D62"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790D62">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790D62">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790D62">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790D62">
      <w:pPr>
        <w:pStyle w:val="-1"/>
        <w:ind w:left="281" w:hanging="281"/>
      </w:pPr>
      <w:r>
        <w:br w:type="page"/>
      </w:r>
      <w:r w:rsidR="00790D62">
        <w:rPr>
          <w:rFonts w:hint="eastAsia"/>
        </w:rPr>
        <w:lastRenderedPageBreak/>
        <w:t>重要提示</w:t>
      </w:r>
    </w:p>
    <w:p w:rsidR="00790D62" w:rsidRDefault="00790D62" w:rsidP="00790D62">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790D62" w:rsidRDefault="00790D62" w:rsidP="00790D62">
      <w:pPr>
        <w:pStyle w:val="-"/>
        <w:ind w:firstLine="420"/>
      </w:pPr>
      <w:r>
        <w:rPr>
          <w:rFonts w:hint="eastAsia"/>
        </w:rPr>
        <w:t>基金托管人中国银行股份有限公司根据本基金合同规定，于2020年10月27日复核了本报告中的财务指标、净值表现和投资组合报告等内容，保证复核内容不存在虚假记载、误导性陈述或者重大遗漏。</w:t>
      </w:r>
    </w:p>
    <w:p w:rsidR="00790D62" w:rsidRDefault="00790D62" w:rsidP="00790D62">
      <w:pPr>
        <w:pStyle w:val="-"/>
        <w:ind w:firstLine="420"/>
      </w:pPr>
      <w:r>
        <w:rPr>
          <w:rFonts w:hint="eastAsia"/>
        </w:rPr>
        <w:t>基金管理人承诺以诚实信用、勤勉尽责的原则管理和运用基金资产，但不保证基金一定盈利。</w:t>
      </w:r>
    </w:p>
    <w:p w:rsidR="00790D62" w:rsidRDefault="00790D62" w:rsidP="00790D62">
      <w:pPr>
        <w:pStyle w:val="-"/>
        <w:ind w:firstLine="420"/>
      </w:pPr>
      <w:r>
        <w:rPr>
          <w:rFonts w:hint="eastAsia"/>
        </w:rPr>
        <w:t>基金的过往业绩并不代表其未来表现。投资有风险，投资者在作出投资决策前应仔细阅读本基金的招募说明书。</w:t>
      </w:r>
    </w:p>
    <w:p w:rsidR="00790D62" w:rsidRDefault="00790D62" w:rsidP="00790D62">
      <w:pPr>
        <w:pStyle w:val="-"/>
        <w:ind w:firstLine="420"/>
      </w:pPr>
      <w:r>
        <w:rPr>
          <w:rFonts w:hint="eastAsia"/>
        </w:rPr>
        <w:t>本报告中财务资料未经审计。</w:t>
      </w:r>
    </w:p>
    <w:p w:rsidR="00790D62" w:rsidRDefault="00790D62" w:rsidP="00790D62">
      <w:pPr>
        <w:pStyle w:val="-"/>
        <w:ind w:firstLine="420"/>
      </w:pPr>
      <w:r>
        <w:rPr>
          <w:rFonts w:hint="eastAsia"/>
        </w:rPr>
        <w:t>本报告期自2020年7月1日起至9月30日止。</w:t>
      </w:r>
    </w:p>
    <w:p w:rsidR="00790D62" w:rsidRDefault="00790D62" w:rsidP="00790D62">
      <w:pPr>
        <w:pStyle w:val="-1"/>
        <w:ind w:left="281" w:hanging="281"/>
      </w:pPr>
      <w:r>
        <w:rPr>
          <w:rFonts w:hint="eastAsia"/>
        </w:rPr>
        <w:t>基金产品概况</w:t>
      </w:r>
    </w:p>
    <w:tbl>
      <w:tblPr>
        <w:tblStyle w:val="-noheader"/>
        <w:tblW w:w="0" w:type="auto"/>
        <w:tblLayout w:type="fixed"/>
        <w:tblLook w:val="04A0" w:firstRow="1" w:lastRow="0" w:firstColumn="1" w:lastColumn="0" w:noHBand="0" w:noVBand="1"/>
      </w:tblPr>
      <w:tblGrid>
        <w:gridCol w:w="4261"/>
        <w:gridCol w:w="4261"/>
      </w:tblGrid>
      <w:tr w:rsidR="00790D62" w:rsidTr="00790D62">
        <w:tc>
          <w:tcPr>
            <w:tcW w:w="4261" w:type="dxa"/>
          </w:tcPr>
          <w:p w:rsidR="00790D62" w:rsidRDefault="00790D62" w:rsidP="00790D62">
            <w:pPr>
              <w:jc w:val="left"/>
            </w:pPr>
            <w:r>
              <w:rPr>
                <w:rFonts w:hint="eastAsia"/>
              </w:rPr>
              <w:t>基金简称</w:t>
            </w:r>
          </w:p>
        </w:tc>
        <w:tc>
          <w:tcPr>
            <w:tcW w:w="4261" w:type="dxa"/>
          </w:tcPr>
          <w:p w:rsidR="00790D62" w:rsidRDefault="00790D62" w:rsidP="00790D62">
            <w:pPr>
              <w:jc w:val="left"/>
            </w:pPr>
            <w:r>
              <w:rPr>
                <w:rFonts w:hint="eastAsia"/>
              </w:rPr>
              <w:t>南方香港成长灵活配置混合</w:t>
            </w:r>
          </w:p>
        </w:tc>
      </w:tr>
      <w:tr w:rsidR="00790D62" w:rsidTr="00790D62">
        <w:tc>
          <w:tcPr>
            <w:tcW w:w="4261" w:type="dxa"/>
          </w:tcPr>
          <w:p w:rsidR="00790D62" w:rsidRDefault="00790D62" w:rsidP="00790D62">
            <w:pPr>
              <w:jc w:val="left"/>
            </w:pPr>
            <w:r>
              <w:rPr>
                <w:rFonts w:hint="eastAsia"/>
              </w:rPr>
              <w:t>基金主代码</w:t>
            </w:r>
          </w:p>
        </w:tc>
        <w:tc>
          <w:tcPr>
            <w:tcW w:w="4261" w:type="dxa"/>
          </w:tcPr>
          <w:p w:rsidR="00790D62" w:rsidRDefault="00790D62" w:rsidP="00790D62">
            <w:pPr>
              <w:jc w:val="left"/>
            </w:pPr>
            <w:r>
              <w:t>001691</w:t>
            </w:r>
          </w:p>
        </w:tc>
      </w:tr>
      <w:tr w:rsidR="00790D62" w:rsidTr="00790D62">
        <w:tc>
          <w:tcPr>
            <w:tcW w:w="4261" w:type="dxa"/>
          </w:tcPr>
          <w:p w:rsidR="00790D62" w:rsidRDefault="00790D62" w:rsidP="00790D62">
            <w:pPr>
              <w:jc w:val="left"/>
            </w:pPr>
            <w:r>
              <w:rPr>
                <w:rFonts w:hint="eastAsia"/>
              </w:rPr>
              <w:t>基金运作方式</w:t>
            </w:r>
          </w:p>
        </w:tc>
        <w:tc>
          <w:tcPr>
            <w:tcW w:w="4261" w:type="dxa"/>
          </w:tcPr>
          <w:p w:rsidR="00790D62" w:rsidRDefault="00790D62" w:rsidP="00790D62">
            <w:pPr>
              <w:jc w:val="left"/>
            </w:pPr>
            <w:r>
              <w:rPr>
                <w:rFonts w:hint="eastAsia"/>
              </w:rPr>
              <w:t>契约型开放式</w:t>
            </w:r>
          </w:p>
        </w:tc>
      </w:tr>
      <w:tr w:rsidR="00790D62" w:rsidTr="00790D62">
        <w:tc>
          <w:tcPr>
            <w:tcW w:w="4261" w:type="dxa"/>
          </w:tcPr>
          <w:p w:rsidR="00790D62" w:rsidRDefault="00790D62" w:rsidP="00790D62">
            <w:pPr>
              <w:jc w:val="left"/>
            </w:pPr>
            <w:r>
              <w:rPr>
                <w:rFonts w:hint="eastAsia"/>
              </w:rPr>
              <w:t>基金合同生效日</w:t>
            </w:r>
          </w:p>
        </w:tc>
        <w:tc>
          <w:tcPr>
            <w:tcW w:w="4261" w:type="dxa"/>
          </w:tcPr>
          <w:p w:rsidR="00790D62" w:rsidRDefault="00790D62" w:rsidP="00790D62">
            <w:pPr>
              <w:jc w:val="left"/>
            </w:pPr>
            <w:r>
              <w:rPr>
                <w:rFonts w:hint="eastAsia"/>
              </w:rPr>
              <w:t>2015</w:t>
            </w:r>
            <w:r>
              <w:rPr>
                <w:rFonts w:hint="eastAsia"/>
              </w:rPr>
              <w:t>年</w:t>
            </w:r>
            <w:r>
              <w:rPr>
                <w:rFonts w:hint="eastAsia"/>
              </w:rPr>
              <w:t>9</w:t>
            </w:r>
            <w:r>
              <w:rPr>
                <w:rFonts w:hint="eastAsia"/>
              </w:rPr>
              <w:t>月</w:t>
            </w:r>
            <w:r>
              <w:rPr>
                <w:rFonts w:hint="eastAsia"/>
              </w:rPr>
              <w:t>30</w:t>
            </w:r>
            <w:r>
              <w:rPr>
                <w:rFonts w:hint="eastAsia"/>
              </w:rPr>
              <w:t>日</w:t>
            </w:r>
          </w:p>
        </w:tc>
      </w:tr>
      <w:tr w:rsidR="00790D62" w:rsidTr="00790D62">
        <w:tc>
          <w:tcPr>
            <w:tcW w:w="4261" w:type="dxa"/>
          </w:tcPr>
          <w:p w:rsidR="00790D62" w:rsidRDefault="00790D62" w:rsidP="00790D62">
            <w:pPr>
              <w:jc w:val="left"/>
            </w:pPr>
            <w:r>
              <w:rPr>
                <w:rFonts w:hint="eastAsia"/>
              </w:rPr>
              <w:t>报告期末基金份额总额</w:t>
            </w:r>
          </w:p>
        </w:tc>
        <w:tc>
          <w:tcPr>
            <w:tcW w:w="4261" w:type="dxa"/>
          </w:tcPr>
          <w:p w:rsidR="00790D62" w:rsidRDefault="00790D62" w:rsidP="00790D62">
            <w:pPr>
              <w:jc w:val="left"/>
            </w:pPr>
            <w:r>
              <w:rPr>
                <w:rFonts w:hint="eastAsia"/>
              </w:rPr>
              <w:t>281,068,109.40</w:t>
            </w:r>
            <w:r>
              <w:rPr>
                <w:rFonts w:hint="eastAsia"/>
              </w:rPr>
              <w:t>份</w:t>
            </w:r>
          </w:p>
        </w:tc>
      </w:tr>
      <w:tr w:rsidR="00790D62" w:rsidTr="00790D62">
        <w:tc>
          <w:tcPr>
            <w:tcW w:w="4261" w:type="dxa"/>
          </w:tcPr>
          <w:p w:rsidR="00790D62" w:rsidRDefault="00790D62" w:rsidP="00790D62">
            <w:pPr>
              <w:jc w:val="left"/>
            </w:pPr>
            <w:r>
              <w:rPr>
                <w:rFonts w:hint="eastAsia"/>
              </w:rPr>
              <w:t>投资目标</w:t>
            </w:r>
          </w:p>
        </w:tc>
        <w:tc>
          <w:tcPr>
            <w:tcW w:w="4261" w:type="dxa"/>
          </w:tcPr>
          <w:p w:rsidR="00790D62" w:rsidRDefault="00790D62" w:rsidP="00790D62">
            <w:pPr>
              <w:jc w:val="left"/>
            </w:pPr>
            <w:r>
              <w:rPr>
                <w:rFonts w:hint="eastAsia"/>
              </w:rPr>
              <w:t>在适度控制风险并保持良好流动性的前提下，力争实现基金资产的长期稳健增值。</w:t>
            </w:r>
          </w:p>
        </w:tc>
      </w:tr>
      <w:tr w:rsidR="00790D62" w:rsidTr="00790D62">
        <w:tc>
          <w:tcPr>
            <w:tcW w:w="4261" w:type="dxa"/>
          </w:tcPr>
          <w:p w:rsidR="00790D62" w:rsidRDefault="00790D62" w:rsidP="00790D62">
            <w:pPr>
              <w:jc w:val="left"/>
            </w:pPr>
            <w:r>
              <w:rPr>
                <w:rFonts w:hint="eastAsia"/>
              </w:rPr>
              <w:t>投资策略</w:t>
            </w:r>
          </w:p>
        </w:tc>
        <w:tc>
          <w:tcPr>
            <w:tcW w:w="4261" w:type="dxa"/>
          </w:tcPr>
          <w:p w:rsidR="00790D62" w:rsidRDefault="00790D62" w:rsidP="00790D62">
            <w:pPr>
              <w:jc w:val="left"/>
            </w:pPr>
            <w:r>
              <w:rPr>
                <w:rFonts w:hint="eastAsia"/>
              </w:rPr>
              <w:t>本基金主要采用稳健的资产配置和积极的股票投资策略。在资产配置中，通过定量与定性相结合的方法分析对宏观经济中结构性、政策性、周期性以及突发性事件进行研判，挖掘未来经济的发展趋势及背后的驱动因素，预测可能对资本市场产生的重大影响，确定投资组合的投资范围和比例。在股票投资中，采用“自上而下”的行业配置策略和“自下而上”的个股选择策略，精选出具有持续竞争优势，且估值有吸引力的股票，精心科学构建股票投资组合，并辅以严格的投资组合风险控制，以获取超额收益。</w:t>
            </w:r>
          </w:p>
        </w:tc>
      </w:tr>
      <w:tr w:rsidR="00790D62" w:rsidTr="00790D62">
        <w:tc>
          <w:tcPr>
            <w:tcW w:w="4261" w:type="dxa"/>
          </w:tcPr>
          <w:p w:rsidR="00790D62" w:rsidRDefault="00790D62" w:rsidP="00790D62">
            <w:pPr>
              <w:jc w:val="left"/>
            </w:pPr>
            <w:r>
              <w:rPr>
                <w:rFonts w:hint="eastAsia"/>
              </w:rPr>
              <w:t>业绩比较基准</w:t>
            </w:r>
          </w:p>
        </w:tc>
        <w:tc>
          <w:tcPr>
            <w:tcW w:w="4261" w:type="dxa"/>
          </w:tcPr>
          <w:p w:rsidR="00790D62" w:rsidRDefault="00790D62" w:rsidP="00790D62">
            <w:pPr>
              <w:jc w:val="left"/>
            </w:pPr>
            <w:r>
              <w:rPr>
                <w:rFonts w:hint="eastAsia"/>
              </w:rPr>
              <w:t>经人民币汇率调整的恒生指数收益率×</w:t>
            </w:r>
            <w:r>
              <w:rPr>
                <w:rFonts w:hint="eastAsia"/>
              </w:rPr>
              <w:t>95%</w:t>
            </w:r>
            <w:r>
              <w:rPr>
                <w:rFonts w:hint="eastAsia"/>
              </w:rPr>
              <w:t>＋人民币同期活期存款利率×</w:t>
            </w:r>
            <w:r>
              <w:rPr>
                <w:rFonts w:hint="eastAsia"/>
              </w:rPr>
              <w:t>5%</w:t>
            </w:r>
          </w:p>
        </w:tc>
      </w:tr>
      <w:tr w:rsidR="00790D62" w:rsidTr="00790D62">
        <w:tc>
          <w:tcPr>
            <w:tcW w:w="4261" w:type="dxa"/>
          </w:tcPr>
          <w:p w:rsidR="00790D62" w:rsidRDefault="00790D62" w:rsidP="00790D62">
            <w:pPr>
              <w:jc w:val="left"/>
            </w:pPr>
            <w:r>
              <w:rPr>
                <w:rFonts w:hint="eastAsia"/>
              </w:rPr>
              <w:t>风险收益特征</w:t>
            </w:r>
          </w:p>
        </w:tc>
        <w:tc>
          <w:tcPr>
            <w:tcW w:w="4261" w:type="dxa"/>
          </w:tcPr>
          <w:p w:rsidR="00790D62" w:rsidRDefault="00790D62" w:rsidP="00790D62">
            <w:pPr>
              <w:jc w:val="left"/>
            </w:pPr>
            <w:r>
              <w:rPr>
                <w:rFonts w:hint="eastAsia"/>
              </w:rPr>
              <w:t>本基金为混合型基金，其长期平均风险和预</w:t>
            </w:r>
            <w:r>
              <w:rPr>
                <w:rFonts w:hint="eastAsia"/>
              </w:rPr>
              <w:lastRenderedPageBreak/>
              <w:t>期收益水平低于股票型基金，高于债券型基金、货币市场基金。</w:t>
            </w:r>
          </w:p>
        </w:tc>
      </w:tr>
      <w:tr w:rsidR="00790D62" w:rsidTr="00790D62">
        <w:tc>
          <w:tcPr>
            <w:tcW w:w="4261" w:type="dxa"/>
          </w:tcPr>
          <w:p w:rsidR="00790D62" w:rsidRDefault="00790D62" w:rsidP="00790D62">
            <w:pPr>
              <w:jc w:val="left"/>
            </w:pPr>
            <w:r>
              <w:rPr>
                <w:rFonts w:hint="eastAsia"/>
              </w:rPr>
              <w:lastRenderedPageBreak/>
              <w:t>基金管理人</w:t>
            </w:r>
          </w:p>
        </w:tc>
        <w:tc>
          <w:tcPr>
            <w:tcW w:w="4261" w:type="dxa"/>
          </w:tcPr>
          <w:p w:rsidR="00790D62" w:rsidRDefault="00790D62" w:rsidP="00790D62">
            <w:pPr>
              <w:jc w:val="left"/>
            </w:pPr>
            <w:r>
              <w:rPr>
                <w:rFonts w:hint="eastAsia"/>
              </w:rPr>
              <w:t>南方基金管理股份有限公司</w:t>
            </w:r>
          </w:p>
        </w:tc>
      </w:tr>
      <w:tr w:rsidR="00790D62" w:rsidTr="00790D62">
        <w:tc>
          <w:tcPr>
            <w:tcW w:w="4261" w:type="dxa"/>
          </w:tcPr>
          <w:p w:rsidR="00790D62" w:rsidRDefault="00790D62" w:rsidP="00790D62">
            <w:pPr>
              <w:jc w:val="left"/>
            </w:pPr>
            <w:r>
              <w:rPr>
                <w:rFonts w:hint="eastAsia"/>
              </w:rPr>
              <w:t>基金托管人</w:t>
            </w:r>
          </w:p>
        </w:tc>
        <w:tc>
          <w:tcPr>
            <w:tcW w:w="4261" w:type="dxa"/>
          </w:tcPr>
          <w:p w:rsidR="00790D62" w:rsidRDefault="00790D62" w:rsidP="00790D62">
            <w:pPr>
              <w:jc w:val="left"/>
            </w:pPr>
            <w:r>
              <w:rPr>
                <w:rFonts w:hint="eastAsia"/>
              </w:rPr>
              <w:t>中国银行股份有限公司</w:t>
            </w:r>
          </w:p>
        </w:tc>
      </w:tr>
      <w:tr w:rsidR="00790D62" w:rsidTr="00790D62">
        <w:tc>
          <w:tcPr>
            <w:tcW w:w="4261" w:type="dxa"/>
            <w:vMerge w:val="restart"/>
          </w:tcPr>
          <w:p w:rsidR="00790D62" w:rsidRDefault="00790D62" w:rsidP="00790D62">
            <w:pPr>
              <w:jc w:val="left"/>
            </w:pPr>
            <w:r>
              <w:rPr>
                <w:rFonts w:hint="eastAsia"/>
              </w:rPr>
              <w:t>境外资产托管人</w:t>
            </w:r>
          </w:p>
        </w:tc>
        <w:tc>
          <w:tcPr>
            <w:tcW w:w="4261" w:type="dxa"/>
          </w:tcPr>
          <w:p w:rsidR="00790D62" w:rsidRDefault="00790D62" w:rsidP="00790D62">
            <w:pPr>
              <w:jc w:val="left"/>
            </w:pPr>
            <w:r>
              <w:rPr>
                <w:rFonts w:hint="eastAsia"/>
              </w:rPr>
              <w:t>英文名称：</w:t>
            </w:r>
            <w:r>
              <w:rPr>
                <w:rFonts w:hint="eastAsia"/>
              </w:rPr>
              <w:t>BANK OF CHINA (HONG KONG) LIMITED</w:t>
            </w:r>
          </w:p>
        </w:tc>
      </w:tr>
      <w:tr w:rsidR="00790D62" w:rsidTr="00790D62">
        <w:tc>
          <w:tcPr>
            <w:tcW w:w="4261" w:type="dxa"/>
            <w:vMerge/>
          </w:tcPr>
          <w:p w:rsidR="00790D62" w:rsidRDefault="00790D62" w:rsidP="00790D62">
            <w:pPr>
              <w:jc w:val="left"/>
            </w:pPr>
          </w:p>
        </w:tc>
        <w:tc>
          <w:tcPr>
            <w:tcW w:w="4261" w:type="dxa"/>
          </w:tcPr>
          <w:p w:rsidR="00790D62" w:rsidRDefault="00790D62" w:rsidP="00790D62">
            <w:pPr>
              <w:jc w:val="left"/>
            </w:pPr>
            <w:r>
              <w:rPr>
                <w:rFonts w:hint="eastAsia"/>
              </w:rPr>
              <w:t>中文名称：中国银行（香港）有限公司</w:t>
            </w:r>
          </w:p>
        </w:tc>
      </w:tr>
    </w:tbl>
    <w:p w:rsidR="00790D62" w:rsidRDefault="00790D62" w:rsidP="00790D62">
      <w:pPr>
        <w:pStyle w:val="-8"/>
      </w:pPr>
      <w:r>
        <w:rPr>
          <w:rFonts w:hint="eastAsia"/>
        </w:rPr>
        <w:t>注：本基金在交易所行情系统净值揭示等其他信息披露场合下，可简称为“南方香港成长”。</w:t>
      </w:r>
    </w:p>
    <w:p w:rsidR="00790D62" w:rsidRDefault="00790D62" w:rsidP="00790D62">
      <w:pPr>
        <w:pStyle w:val="-1"/>
        <w:ind w:left="281" w:hanging="281"/>
      </w:pPr>
      <w:r>
        <w:rPr>
          <w:rFonts w:hint="eastAsia"/>
        </w:rPr>
        <w:t>主要财务指标和基金净值表现</w:t>
      </w:r>
    </w:p>
    <w:p w:rsidR="00790D62" w:rsidRDefault="00790D62" w:rsidP="00790D62">
      <w:pPr>
        <w:pStyle w:val="-2"/>
        <w:spacing w:before="312"/>
      </w:pPr>
      <w:r>
        <w:rPr>
          <w:rFonts w:hint="eastAsia"/>
        </w:rPr>
        <w:t>主要财务指标</w:t>
      </w:r>
    </w:p>
    <w:p w:rsidR="00790D62" w:rsidRDefault="00790D62" w:rsidP="00790D62">
      <w:pPr>
        <w:jc w:val="right"/>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790D62" w:rsidTr="00790D62">
        <w:trPr>
          <w:cnfStyle w:val="100000000000" w:firstRow="1" w:lastRow="0" w:firstColumn="0" w:lastColumn="0" w:oddVBand="0" w:evenVBand="0" w:oddHBand="0" w:evenHBand="0" w:firstRowFirstColumn="0" w:firstRowLastColumn="0" w:lastRowFirstColumn="0" w:lastRowLastColumn="0"/>
        </w:trPr>
        <w:tc>
          <w:tcPr>
            <w:tcW w:w="3345" w:type="dxa"/>
          </w:tcPr>
          <w:p w:rsidR="00790D62" w:rsidRDefault="00790D62" w:rsidP="00790D62">
            <w:pPr>
              <w:jc w:val="center"/>
            </w:pPr>
            <w:r>
              <w:rPr>
                <w:rFonts w:hint="eastAsia"/>
              </w:rPr>
              <w:t>主要财务指标</w:t>
            </w:r>
          </w:p>
        </w:tc>
        <w:tc>
          <w:tcPr>
            <w:tcW w:w="5160" w:type="dxa"/>
          </w:tcPr>
          <w:p w:rsidR="00790D62" w:rsidRDefault="00790D62" w:rsidP="00790D62">
            <w:pPr>
              <w:jc w:val="cente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790D62" w:rsidTr="00790D62">
        <w:tc>
          <w:tcPr>
            <w:tcW w:w="3345" w:type="dxa"/>
          </w:tcPr>
          <w:p w:rsidR="00790D62" w:rsidRDefault="00790D62" w:rsidP="00790D62">
            <w:pPr>
              <w:jc w:val="left"/>
            </w:pPr>
            <w:r>
              <w:rPr>
                <w:rFonts w:hint="eastAsia"/>
              </w:rPr>
              <w:t>1.</w:t>
            </w:r>
            <w:r>
              <w:rPr>
                <w:rFonts w:hint="eastAsia"/>
              </w:rPr>
              <w:t>本期已实现收益</w:t>
            </w:r>
          </w:p>
        </w:tc>
        <w:tc>
          <w:tcPr>
            <w:tcW w:w="5160" w:type="dxa"/>
          </w:tcPr>
          <w:p w:rsidR="00790D62" w:rsidRDefault="00790D62" w:rsidP="00790D62">
            <w:pPr>
              <w:jc w:val="right"/>
            </w:pPr>
            <w:r>
              <w:t>40,170,699.14</w:t>
            </w:r>
          </w:p>
        </w:tc>
      </w:tr>
      <w:tr w:rsidR="00790D62" w:rsidTr="00790D62">
        <w:tc>
          <w:tcPr>
            <w:tcW w:w="3345" w:type="dxa"/>
          </w:tcPr>
          <w:p w:rsidR="00790D62" w:rsidRDefault="00790D62" w:rsidP="00790D62">
            <w:pPr>
              <w:jc w:val="left"/>
            </w:pPr>
            <w:r>
              <w:rPr>
                <w:rFonts w:hint="eastAsia"/>
              </w:rPr>
              <w:t>2.</w:t>
            </w:r>
            <w:r>
              <w:rPr>
                <w:rFonts w:hint="eastAsia"/>
              </w:rPr>
              <w:t>本期利润</w:t>
            </w:r>
          </w:p>
        </w:tc>
        <w:tc>
          <w:tcPr>
            <w:tcW w:w="5160" w:type="dxa"/>
          </w:tcPr>
          <w:p w:rsidR="00790D62" w:rsidRDefault="00790D62" w:rsidP="00790D62">
            <w:pPr>
              <w:jc w:val="right"/>
            </w:pPr>
            <w:r>
              <w:t>58,688,914.71</w:t>
            </w:r>
          </w:p>
        </w:tc>
      </w:tr>
      <w:tr w:rsidR="00790D62" w:rsidTr="00790D62">
        <w:tc>
          <w:tcPr>
            <w:tcW w:w="3345" w:type="dxa"/>
          </w:tcPr>
          <w:p w:rsidR="00790D62" w:rsidRDefault="00790D62" w:rsidP="00790D62">
            <w:pPr>
              <w:jc w:val="left"/>
            </w:pPr>
            <w:r>
              <w:rPr>
                <w:rFonts w:hint="eastAsia"/>
              </w:rPr>
              <w:t>3.</w:t>
            </w:r>
            <w:r>
              <w:rPr>
                <w:rFonts w:hint="eastAsia"/>
              </w:rPr>
              <w:t>加权平均基金份额本期利润</w:t>
            </w:r>
          </w:p>
        </w:tc>
        <w:tc>
          <w:tcPr>
            <w:tcW w:w="5160" w:type="dxa"/>
          </w:tcPr>
          <w:p w:rsidR="00790D62" w:rsidRDefault="00790D62" w:rsidP="00790D62">
            <w:pPr>
              <w:jc w:val="right"/>
            </w:pPr>
            <w:r>
              <w:t>0.2487</w:t>
            </w:r>
          </w:p>
        </w:tc>
      </w:tr>
      <w:tr w:rsidR="00790D62" w:rsidTr="00790D62">
        <w:tc>
          <w:tcPr>
            <w:tcW w:w="3345" w:type="dxa"/>
          </w:tcPr>
          <w:p w:rsidR="00790D62" w:rsidRDefault="00790D62" w:rsidP="00790D62">
            <w:pPr>
              <w:jc w:val="left"/>
            </w:pPr>
            <w:r>
              <w:rPr>
                <w:rFonts w:hint="eastAsia"/>
              </w:rPr>
              <w:t>4.</w:t>
            </w:r>
            <w:r>
              <w:rPr>
                <w:rFonts w:hint="eastAsia"/>
              </w:rPr>
              <w:t>期末基金资产净值</w:t>
            </w:r>
          </w:p>
        </w:tc>
        <w:tc>
          <w:tcPr>
            <w:tcW w:w="5160" w:type="dxa"/>
          </w:tcPr>
          <w:p w:rsidR="00790D62" w:rsidRDefault="00790D62" w:rsidP="00790D62">
            <w:pPr>
              <w:jc w:val="right"/>
            </w:pPr>
            <w:r>
              <w:t>534,986,799.04</w:t>
            </w:r>
          </w:p>
        </w:tc>
      </w:tr>
      <w:tr w:rsidR="00790D62" w:rsidTr="00790D62">
        <w:tc>
          <w:tcPr>
            <w:tcW w:w="3345" w:type="dxa"/>
          </w:tcPr>
          <w:p w:rsidR="00790D62" w:rsidRDefault="00790D62" w:rsidP="00790D62">
            <w:pPr>
              <w:jc w:val="left"/>
            </w:pPr>
            <w:r>
              <w:rPr>
                <w:rFonts w:hint="eastAsia"/>
              </w:rPr>
              <w:t>5.</w:t>
            </w:r>
            <w:r>
              <w:rPr>
                <w:rFonts w:hint="eastAsia"/>
              </w:rPr>
              <w:t>期末基金份额净值</w:t>
            </w:r>
          </w:p>
        </w:tc>
        <w:tc>
          <w:tcPr>
            <w:tcW w:w="5160" w:type="dxa"/>
          </w:tcPr>
          <w:p w:rsidR="00790D62" w:rsidRDefault="00790D62" w:rsidP="00790D62">
            <w:pPr>
              <w:jc w:val="right"/>
            </w:pPr>
            <w:r>
              <w:t>1.903</w:t>
            </w:r>
          </w:p>
        </w:tc>
      </w:tr>
    </w:tbl>
    <w:p w:rsidR="00790D62" w:rsidRDefault="00790D62" w:rsidP="00790D62">
      <w:pPr>
        <w:pStyle w:val="-8"/>
      </w:pPr>
      <w:r>
        <w:rPr>
          <w:rFonts w:hint="eastAsia"/>
        </w:rPr>
        <w:t>注：1、上述基金业绩指标不包括持有人认购或交易基金的各项费用，计入费用后实际收益水平要低于所列数字；</w:t>
      </w:r>
    </w:p>
    <w:p w:rsidR="00790D62" w:rsidRDefault="00790D62" w:rsidP="00790D62">
      <w:pPr>
        <w:pStyle w:val="-"/>
        <w:ind w:firstLine="420"/>
      </w:pPr>
      <w:r>
        <w:rPr>
          <w:rFonts w:hint="eastAsia"/>
        </w:rPr>
        <w:t>2、本期已实现收益指基金本期利息收入、投资收益、其他收入(不含公允价值变动收益)扣除相关费用后的余额，本期利润为本期已实现收益加上本期公允价值变动收益。</w:t>
      </w:r>
    </w:p>
    <w:p w:rsidR="00790D62" w:rsidRDefault="00790D62" w:rsidP="00790D62">
      <w:pPr>
        <w:pStyle w:val="-2"/>
        <w:spacing w:before="312"/>
      </w:pPr>
      <w:r>
        <w:rPr>
          <w:rFonts w:hint="eastAsia"/>
        </w:rPr>
        <w:t>基金净值表现</w:t>
      </w:r>
    </w:p>
    <w:p w:rsidR="00790D62" w:rsidRDefault="00790D62" w:rsidP="00790D62">
      <w:pPr>
        <w:pStyle w:val="-3"/>
        <w:spacing w:before="156" w:after="156"/>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790D62" w:rsidTr="00790D62">
        <w:trPr>
          <w:cnfStyle w:val="100000000000" w:firstRow="1" w:lastRow="0" w:firstColumn="0" w:lastColumn="0" w:oddVBand="0" w:evenVBand="0" w:oddHBand="0" w:evenHBand="0" w:firstRowFirstColumn="0" w:firstRowLastColumn="0" w:lastRowFirstColumn="0" w:lastRowLastColumn="0"/>
        </w:trPr>
        <w:tc>
          <w:tcPr>
            <w:tcW w:w="1429" w:type="dxa"/>
          </w:tcPr>
          <w:p w:rsidR="00790D62" w:rsidRDefault="00790D62" w:rsidP="00790D62">
            <w:pPr>
              <w:jc w:val="center"/>
            </w:pPr>
            <w:r>
              <w:rPr>
                <w:rFonts w:hint="eastAsia"/>
              </w:rPr>
              <w:t>阶段</w:t>
            </w:r>
          </w:p>
        </w:tc>
        <w:tc>
          <w:tcPr>
            <w:tcW w:w="1315" w:type="dxa"/>
          </w:tcPr>
          <w:p w:rsidR="00790D62" w:rsidRDefault="00790D62" w:rsidP="00790D62">
            <w:pPr>
              <w:jc w:val="center"/>
            </w:pPr>
            <w:r>
              <w:rPr>
                <w:rFonts w:hint="eastAsia"/>
              </w:rPr>
              <w:t>份额净值增长率①</w:t>
            </w:r>
          </w:p>
        </w:tc>
        <w:tc>
          <w:tcPr>
            <w:tcW w:w="1315" w:type="dxa"/>
          </w:tcPr>
          <w:p w:rsidR="00790D62" w:rsidRDefault="00790D62" w:rsidP="00790D62">
            <w:pPr>
              <w:jc w:val="center"/>
            </w:pPr>
            <w:r>
              <w:rPr>
                <w:rFonts w:hint="eastAsia"/>
              </w:rPr>
              <w:t>份额净值增长率标准差②</w:t>
            </w:r>
          </w:p>
        </w:tc>
        <w:tc>
          <w:tcPr>
            <w:tcW w:w="1315" w:type="dxa"/>
          </w:tcPr>
          <w:p w:rsidR="00790D62" w:rsidRDefault="00790D62" w:rsidP="00790D62">
            <w:pPr>
              <w:jc w:val="center"/>
            </w:pPr>
            <w:r>
              <w:rPr>
                <w:rFonts w:hint="eastAsia"/>
              </w:rPr>
              <w:t>业绩比较基准收益率③</w:t>
            </w:r>
          </w:p>
        </w:tc>
        <w:tc>
          <w:tcPr>
            <w:tcW w:w="1315" w:type="dxa"/>
          </w:tcPr>
          <w:p w:rsidR="00790D62" w:rsidRDefault="00790D62" w:rsidP="00790D62">
            <w:pPr>
              <w:jc w:val="center"/>
            </w:pPr>
            <w:r>
              <w:rPr>
                <w:rFonts w:hint="eastAsia"/>
              </w:rPr>
              <w:t>业绩比较基准收益率标准差④</w:t>
            </w:r>
          </w:p>
        </w:tc>
        <w:tc>
          <w:tcPr>
            <w:tcW w:w="907" w:type="dxa"/>
          </w:tcPr>
          <w:p w:rsidR="00790D62" w:rsidRDefault="00790D62" w:rsidP="00790D62">
            <w:pPr>
              <w:jc w:val="center"/>
            </w:pPr>
            <w:r>
              <w:rPr>
                <w:rFonts w:hint="eastAsia"/>
              </w:rPr>
              <w:t>①</w:t>
            </w:r>
            <w:r>
              <w:rPr>
                <w:rFonts w:hint="eastAsia"/>
              </w:rPr>
              <w:t>-</w:t>
            </w:r>
            <w:r>
              <w:rPr>
                <w:rFonts w:hint="eastAsia"/>
              </w:rPr>
              <w:t>③</w:t>
            </w:r>
          </w:p>
        </w:tc>
        <w:tc>
          <w:tcPr>
            <w:tcW w:w="907" w:type="dxa"/>
          </w:tcPr>
          <w:p w:rsidR="00790D62" w:rsidRDefault="00790D62" w:rsidP="00790D62">
            <w:pPr>
              <w:jc w:val="center"/>
            </w:pPr>
            <w:r>
              <w:rPr>
                <w:rFonts w:hint="eastAsia"/>
              </w:rPr>
              <w:t>②</w:t>
            </w:r>
            <w:r>
              <w:rPr>
                <w:rFonts w:hint="eastAsia"/>
              </w:rPr>
              <w:t>-</w:t>
            </w:r>
            <w:r>
              <w:rPr>
                <w:rFonts w:hint="eastAsia"/>
              </w:rPr>
              <w:t>④</w:t>
            </w:r>
          </w:p>
        </w:tc>
      </w:tr>
      <w:tr w:rsidR="00790D62" w:rsidTr="00790D62">
        <w:tc>
          <w:tcPr>
            <w:tcW w:w="1429" w:type="dxa"/>
          </w:tcPr>
          <w:p w:rsidR="00790D62" w:rsidRDefault="00790D62" w:rsidP="00790D62">
            <w:pPr>
              <w:jc w:val="left"/>
            </w:pPr>
            <w:r>
              <w:rPr>
                <w:rFonts w:hint="eastAsia"/>
              </w:rPr>
              <w:t>过去三个月</w:t>
            </w:r>
          </w:p>
        </w:tc>
        <w:tc>
          <w:tcPr>
            <w:tcW w:w="1315" w:type="dxa"/>
          </w:tcPr>
          <w:p w:rsidR="00790D62" w:rsidRDefault="00790D62" w:rsidP="00790D62">
            <w:pPr>
              <w:jc w:val="right"/>
            </w:pPr>
            <w:r>
              <w:t>17.61%</w:t>
            </w:r>
          </w:p>
        </w:tc>
        <w:tc>
          <w:tcPr>
            <w:tcW w:w="1315" w:type="dxa"/>
          </w:tcPr>
          <w:p w:rsidR="00790D62" w:rsidRDefault="00790D62" w:rsidP="00790D62">
            <w:pPr>
              <w:jc w:val="right"/>
            </w:pPr>
            <w:r>
              <w:t>1.52%</w:t>
            </w:r>
          </w:p>
        </w:tc>
        <w:tc>
          <w:tcPr>
            <w:tcW w:w="1315" w:type="dxa"/>
          </w:tcPr>
          <w:p w:rsidR="00790D62" w:rsidRDefault="00790D62" w:rsidP="00790D62">
            <w:pPr>
              <w:jc w:val="right"/>
            </w:pPr>
            <w:r>
              <w:t>-7.22%</w:t>
            </w:r>
          </w:p>
        </w:tc>
        <w:tc>
          <w:tcPr>
            <w:tcW w:w="1315" w:type="dxa"/>
          </w:tcPr>
          <w:p w:rsidR="00790D62" w:rsidRDefault="00790D62" w:rsidP="00790D62">
            <w:pPr>
              <w:jc w:val="right"/>
            </w:pPr>
            <w:r>
              <w:t>1.17%</w:t>
            </w:r>
          </w:p>
        </w:tc>
        <w:tc>
          <w:tcPr>
            <w:tcW w:w="907" w:type="dxa"/>
          </w:tcPr>
          <w:p w:rsidR="00790D62" w:rsidRDefault="00790D62" w:rsidP="00790D62">
            <w:pPr>
              <w:jc w:val="right"/>
            </w:pPr>
            <w:r>
              <w:t>24.83%</w:t>
            </w:r>
          </w:p>
        </w:tc>
        <w:tc>
          <w:tcPr>
            <w:tcW w:w="907" w:type="dxa"/>
          </w:tcPr>
          <w:p w:rsidR="00790D62" w:rsidRDefault="00790D62" w:rsidP="00790D62">
            <w:pPr>
              <w:jc w:val="right"/>
            </w:pPr>
            <w:r>
              <w:t>0.35%</w:t>
            </w:r>
          </w:p>
        </w:tc>
      </w:tr>
      <w:tr w:rsidR="00790D62" w:rsidTr="00790D62">
        <w:tc>
          <w:tcPr>
            <w:tcW w:w="1429" w:type="dxa"/>
          </w:tcPr>
          <w:p w:rsidR="00790D62" w:rsidRDefault="00790D62" w:rsidP="00790D62">
            <w:pPr>
              <w:jc w:val="left"/>
            </w:pPr>
            <w:r>
              <w:rPr>
                <w:rFonts w:hint="eastAsia"/>
              </w:rPr>
              <w:t>过去六个月</w:t>
            </w:r>
          </w:p>
        </w:tc>
        <w:tc>
          <w:tcPr>
            <w:tcW w:w="1315" w:type="dxa"/>
          </w:tcPr>
          <w:p w:rsidR="00790D62" w:rsidRDefault="00790D62" w:rsidP="00790D62">
            <w:pPr>
              <w:jc w:val="right"/>
            </w:pPr>
            <w:r>
              <w:t>60.32%</w:t>
            </w:r>
          </w:p>
        </w:tc>
        <w:tc>
          <w:tcPr>
            <w:tcW w:w="1315" w:type="dxa"/>
          </w:tcPr>
          <w:p w:rsidR="00790D62" w:rsidRDefault="00790D62" w:rsidP="00790D62">
            <w:pPr>
              <w:jc w:val="right"/>
            </w:pPr>
            <w:r>
              <w:t>1.49%</w:t>
            </w:r>
          </w:p>
        </w:tc>
        <w:tc>
          <w:tcPr>
            <w:tcW w:w="1315" w:type="dxa"/>
          </w:tcPr>
          <w:p w:rsidR="00790D62" w:rsidRDefault="00790D62" w:rsidP="00790D62">
            <w:pPr>
              <w:jc w:val="right"/>
            </w:pPr>
            <w:r>
              <w:t>-4.14%</w:t>
            </w:r>
          </w:p>
        </w:tc>
        <w:tc>
          <w:tcPr>
            <w:tcW w:w="1315" w:type="dxa"/>
          </w:tcPr>
          <w:p w:rsidR="00790D62" w:rsidRDefault="00790D62" w:rsidP="00790D62">
            <w:pPr>
              <w:jc w:val="right"/>
            </w:pPr>
            <w:r>
              <w:t>1.30%</w:t>
            </w:r>
          </w:p>
        </w:tc>
        <w:tc>
          <w:tcPr>
            <w:tcW w:w="907" w:type="dxa"/>
          </w:tcPr>
          <w:p w:rsidR="00790D62" w:rsidRDefault="00790D62" w:rsidP="00790D62">
            <w:pPr>
              <w:jc w:val="right"/>
            </w:pPr>
            <w:r>
              <w:t>64.46%</w:t>
            </w:r>
          </w:p>
        </w:tc>
        <w:tc>
          <w:tcPr>
            <w:tcW w:w="907" w:type="dxa"/>
          </w:tcPr>
          <w:p w:rsidR="00790D62" w:rsidRDefault="00790D62" w:rsidP="00790D62">
            <w:pPr>
              <w:jc w:val="right"/>
            </w:pPr>
            <w:r>
              <w:t>0.19%</w:t>
            </w:r>
          </w:p>
        </w:tc>
      </w:tr>
      <w:tr w:rsidR="00790D62" w:rsidTr="00790D62">
        <w:tc>
          <w:tcPr>
            <w:tcW w:w="1429" w:type="dxa"/>
          </w:tcPr>
          <w:p w:rsidR="00790D62" w:rsidRDefault="00790D62" w:rsidP="00790D62">
            <w:pPr>
              <w:jc w:val="left"/>
            </w:pPr>
            <w:r>
              <w:rPr>
                <w:rFonts w:hint="eastAsia"/>
              </w:rPr>
              <w:t>过去一年</w:t>
            </w:r>
          </w:p>
        </w:tc>
        <w:tc>
          <w:tcPr>
            <w:tcW w:w="1315" w:type="dxa"/>
          </w:tcPr>
          <w:p w:rsidR="00790D62" w:rsidRDefault="00790D62" w:rsidP="00790D62">
            <w:pPr>
              <w:jc w:val="right"/>
            </w:pPr>
            <w:r>
              <w:t>85.12%</w:t>
            </w:r>
          </w:p>
        </w:tc>
        <w:tc>
          <w:tcPr>
            <w:tcW w:w="1315" w:type="dxa"/>
          </w:tcPr>
          <w:p w:rsidR="00790D62" w:rsidRDefault="00790D62" w:rsidP="00790D62">
            <w:pPr>
              <w:jc w:val="right"/>
            </w:pPr>
            <w:r>
              <w:t>1.57%</w:t>
            </w:r>
          </w:p>
        </w:tc>
        <w:tc>
          <w:tcPr>
            <w:tcW w:w="1315" w:type="dxa"/>
          </w:tcPr>
          <w:p w:rsidR="00790D62" w:rsidRDefault="00790D62" w:rsidP="00790D62">
            <w:pPr>
              <w:jc w:val="right"/>
            </w:pPr>
            <w:r>
              <w:t>-11.70%</w:t>
            </w:r>
          </w:p>
        </w:tc>
        <w:tc>
          <w:tcPr>
            <w:tcW w:w="1315" w:type="dxa"/>
          </w:tcPr>
          <w:p w:rsidR="00790D62" w:rsidRDefault="00790D62" w:rsidP="00790D62">
            <w:pPr>
              <w:jc w:val="right"/>
            </w:pPr>
            <w:r>
              <w:t>1.43%</w:t>
            </w:r>
          </w:p>
        </w:tc>
        <w:tc>
          <w:tcPr>
            <w:tcW w:w="907" w:type="dxa"/>
          </w:tcPr>
          <w:p w:rsidR="00790D62" w:rsidRDefault="00790D62" w:rsidP="00790D62">
            <w:pPr>
              <w:jc w:val="right"/>
            </w:pPr>
            <w:r>
              <w:t>96.82%</w:t>
            </w:r>
          </w:p>
        </w:tc>
        <w:tc>
          <w:tcPr>
            <w:tcW w:w="907" w:type="dxa"/>
          </w:tcPr>
          <w:p w:rsidR="00790D62" w:rsidRDefault="00790D62" w:rsidP="00790D62">
            <w:pPr>
              <w:jc w:val="right"/>
            </w:pPr>
            <w:r>
              <w:t>0.14%</w:t>
            </w:r>
          </w:p>
        </w:tc>
      </w:tr>
      <w:tr w:rsidR="00790D62" w:rsidTr="00790D62">
        <w:tc>
          <w:tcPr>
            <w:tcW w:w="1429" w:type="dxa"/>
          </w:tcPr>
          <w:p w:rsidR="00790D62" w:rsidRDefault="00790D62" w:rsidP="00790D62">
            <w:pPr>
              <w:jc w:val="left"/>
            </w:pPr>
            <w:r>
              <w:rPr>
                <w:rFonts w:hint="eastAsia"/>
              </w:rPr>
              <w:t>过去三年</w:t>
            </w:r>
          </w:p>
        </w:tc>
        <w:tc>
          <w:tcPr>
            <w:tcW w:w="1315" w:type="dxa"/>
          </w:tcPr>
          <w:p w:rsidR="00790D62" w:rsidRDefault="00790D62" w:rsidP="00790D62">
            <w:pPr>
              <w:jc w:val="right"/>
            </w:pPr>
            <w:r>
              <w:t>85.30%</w:t>
            </w:r>
          </w:p>
        </w:tc>
        <w:tc>
          <w:tcPr>
            <w:tcW w:w="1315" w:type="dxa"/>
          </w:tcPr>
          <w:p w:rsidR="00790D62" w:rsidRDefault="00790D62" w:rsidP="00790D62">
            <w:pPr>
              <w:jc w:val="right"/>
            </w:pPr>
            <w:r>
              <w:t>1.51%</w:t>
            </w:r>
          </w:p>
        </w:tc>
        <w:tc>
          <w:tcPr>
            <w:tcW w:w="1315" w:type="dxa"/>
          </w:tcPr>
          <w:p w:rsidR="00790D62" w:rsidRDefault="00790D62" w:rsidP="00790D62">
            <w:pPr>
              <w:jc w:val="right"/>
            </w:pPr>
            <w:r>
              <w:t>-11.09%</w:t>
            </w:r>
          </w:p>
        </w:tc>
        <w:tc>
          <w:tcPr>
            <w:tcW w:w="1315" w:type="dxa"/>
          </w:tcPr>
          <w:p w:rsidR="00790D62" w:rsidRDefault="00790D62" w:rsidP="00790D62">
            <w:pPr>
              <w:jc w:val="right"/>
            </w:pPr>
            <w:r>
              <w:t>1.20%</w:t>
            </w:r>
          </w:p>
        </w:tc>
        <w:tc>
          <w:tcPr>
            <w:tcW w:w="907" w:type="dxa"/>
          </w:tcPr>
          <w:p w:rsidR="00790D62" w:rsidRDefault="00790D62" w:rsidP="00790D62">
            <w:pPr>
              <w:jc w:val="right"/>
            </w:pPr>
            <w:r>
              <w:t>96.39%</w:t>
            </w:r>
          </w:p>
        </w:tc>
        <w:tc>
          <w:tcPr>
            <w:tcW w:w="907" w:type="dxa"/>
          </w:tcPr>
          <w:p w:rsidR="00790D62" w:rsidRDefault="00790D62" w:rsidP="00790D62">
            <w:pPr>
              <w:jc w:val="right"/>
            </w:pPr>
            <w:r>
              <w:t>0.31%</w:t>
            </w:r>
          </w:p>
        </w:tc>
      </w:tr>
      <w:tr w:rsidR="00790D62" w:rsidTr="00790D62">
        <w:tc>
          <w:tcPr>
            <w:tcW w:w="1429" w:type="dxa"/>
          </w:tcPr>
          <w:p w:rsidR="00790D62" w:rsidRDefault="00790D62" w:rsidP="00790D62">
            <w:pPr>
              <w:jc w:val="left"/>
            </w:pPr>
            <w:r>
              <w:rPr>
                <w:rFonts w:hint="eastAsia"/>
              </w:rPr>
              <w:t>过去五年</w:t>
            </w:r>
          </w:p>
        </w:tc>
        <w:tc>
          <w:tcPr>
            <w:tcW w:w="1315" w:type="dxa"/>
          </w:tcPr>
          <w:p w:rsidR="00790D62" w:rsidRDefault="00790D62" w:rsidP="00790D62">
            <w:pPr>
              <w:jc w:val="right"/>
            </w:pPr>
            <w:r>
              <w:t>90.30%</w:t>
            </w:r>
          </w:p>
        </w:tc>
        <w:tc>
          <w:tcPr>
            <w:tcW w:w="1315" w:type="dxa"/>
          </w:tcPr>
          <w:p w:rsidR="00790D62" w:rsidRDefault="00790D62" w:rsidP="00790D62">
            <w:pPr>
              <w:jc w:val="right"/>
            </w:pPr>
            <w:r>
              <w:t>1.74%</w:t>
            </w:r>
          </w:p>
        </w:tc>
        <w:tc>
          <w:tcPr>
            <w:tcW w:w="1315" w:type="dxa"/>
          </w:tcPr>
          <w:p w:rsidR="00790D62" w:rsidRDefault="00790D62" w:rsidP="00790D62">
            <w:pPr>
              <w:jc w:val="right"/>
            </w:pPr>
            <w:r>
              <w:t>19.94%</w:t>
            </w:r>
          </w:p>
        </w:tc>
        <w:tc>
          <w:tcPr>
            <w:tcW w:w="1315" w:type="dxa"/>
          </w:tcPr>
          <w:p w:rsidR="00790D62" w:rsidRDefault="00790D62" w:rsidP="00790D62">
            <w:pPr>
              <w:jc w:val="right"/>
            </w:pPr>
            <w:r>
              <w:t>1.12%</w:t>
            </w:r>
          </w:p>
        </w:tc>
        <w:tc>
          <w:tcPr>
            <w:tcW w:w="907" w:type="dxa"/>
          </w:tcPr>
          <w:p w:rsidR="00790D62" w:rsidRDefault="00790D62" w:rsidP="00790D62">
            <w:pPr>
              <w:jc w:val="right"/>
            </w:pPr>
            <w:r>
              <w:t>70.36%</w:t>
            </w:r>
          </w:p>
        </w:tc>
        <w:tc>
          <w:tcPr>
            <w:tcW w:w="907" w:type="dxa"/>
          </w:tcPr>
          <w:p w:rsidR="00790D62" w:rsidRDefault="00790D62" w:rsidP="00790D62">
            <w:pPr>
              <w:jc w:val="right"/>
            </w:pPr>
            <w:r>
              <w:t>0.62%</w:t>
            </w:r>
          </w:p>
        </w:tc>
      </w:tr>
      <w:tr w:rsidR="00790D62" w:rsidTr="00790D62">
        <w:tc>
          <w:tcPr>
            <w:tcW w:w="1429" w:type="dxa"/>
          </w:tcPr>
          <w:p w:rsidR="00790D62" w:rsidRDefault="00790D62" w:rsidP="00790D62">
            <w:pPr>
              <w:jc w:val="left"/>
            </w:pPr>
            <w:r>
              <w:rPr>
                <w:rFonts w:hint="eastAsia"/>
              </w:rPr>
              <w:t>自基金合同生效起至今</w:t>
            </w:r>
          </w:p>
        </w:tc>
        <w:tc>
          <w:tcPr>
            <w:tcW w:w="1315" w:type="dxa"/>
          </w:tcPr>
          <w:p w:rsidR="00790D62" w:rsidRDefault="00790D62" w:rsidP="00790D62">
            <w:pPr>
              <w:jc w:val="right"/>
            </w:pPr>
            <w:r>
              <w:t>90.30%</w:t>
            </w:r>
          </w:p>
        </w:tc>
        <w:tc>
          <w:tcPr>
            <w:tcW w:w="1315" w:type="dxa"/>
          </w:tcPr>
          <w:p w:rsidR="00790D62" w:rsidRDefault="00790D62" w:rsidP="00790D62">
            <w:pPr>
              <w:jc w:val="right"/>
            </w:pPr>
            <w:r>
              <w:t>1.74%</w:t>
            </w:r>
          </w:p>
        </w:tc>
        <w:tc>
          <w:tcPr>
            <w:tcW w:w="1315" w:type="dxa"/>
          </w:tcPr>
          <w:p w:rsidR="00790D62" w:rsidRDefault="00790D62" w:rsidP="00790D62">
            <w:pPr>
              <w:jc w:val="right"/>
            </w:pPr>
            <w:r>
              <w:t>19.94%</w:t>
            </w:r>
          </w:p>
        </w:tc>
        <w:tc>
          <w:tcPr>
            <w:tcW w:w="1315" w:type="dxa"/>
          </w:tcPr>
          <w:p w:rsidR="00790D62" w:rsidRDefault="00790D62" w:rsidP="00790D62">
            <w:pPr>
              <w:jc w:val="right"/>
            </w:pPr>
            <w:r>
              <w:t>1.12%</w:t>
            </w:r>
          </w:p>
        </w:tc>
        <w:tc>
          <w:tcPr>
            <w:tcW w:w="907" w:type="dxa"/>
          </w:tcPr>
          <w:p w:rsidR="00790D62" w:rsidRDefault="00790D62" w:rsidP="00790D62">
            <w:pPr>
              <w:jc w:val="right"/>
            </w:pPr>
            <w:r>
              <w:t>70.36%</w:t>
            </w:r>
          </w:p>
        </w:tc>
        <w:tc>
          <w:tcPr>
            <w:tcW w:w="907" w:type="dxa"/>
          </w:tcPr>
          <w:p w:rsidR="00790D62" w:rsidRDefault="00790D62" w:rsidP="00790D62">
            <w:pPr>
              <w:jc w:val="right"/>
            </w:pPr>
            <w:r>
              <w:t>0.62%</w:t>
            </w:r>
          </w:p>
        </w:tc>
      </w:tr>
    </w:tbl>
    <w:p w:rsidR="00790D62" w:rsidRDefault="00790D62" w:rsidP="00790D62">
      <w:pPr>
        <w:pStyle w:val="-3"/>
        <w:spacing w:before="156" w:after="156"/>
      </w:pPr>
      <w:r>
        <w:rPr>
          <w:rFonts w:hint="eastAsia"/>
        </w:rPr>
        <w:t>自基金合同生效以来基金累计净值增长率变动及其与同期业绩比较基准收</w:t>
      </w:r>
      <w:r>
        <w:rPr>
          <w:rFonts w:hint="eastAsia"/>
        </w:rPr>
        <w:lastRenderedPageBreak/>
        <w:t>益率变动的比较</w:t>
      </w:r>
    </w:p>
    <w:p w:rsidR="00790D62" w:rsidRDefault="00790D62" w:rsidP="00790D62">
      <w:r>
        <w:rPr>
          <w:rFonts w:hint="eastAsia"/>
          <w:noProof/>
        </w:rPr>
        <w:drawing>
          <wp:inline distT="0" distB="0" distL="0" distR="0">
            <wp:extent cx="5274310" cy="3766185"/>
            <wp:effectExtent l="0" t="0" r="2540" b="571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766185"/>
                    </a:xfrm>
                    <a:prstGeom prst="rect">
                      <a:avLst/>
                    </a:prstGeom>
                  </pic:spPr>
                </pic:pic>
              </a:graphicData>
            </a:graphic>
          </wp:inline>
        </w:drawing>
      </w:r>
    </w:p>
    <w:p w:rsidR="00790D62" w:rsidRDefault="00790D62" w:rsidP="00790D62">
      <w:pPr>
        <w:pStyle w:val="-1"/>
        <w:ind w:left="281" w:hanging="281"/>
      </w:pPr>
      <w:r>
        <w:rPr>
          <w:rFonts w:hint="eastAsia"/>
        </w:rPr>
        <w:t>管理人报告</w:t>
      </w:r>
    </w:p>
    <w:p w:rsidR="00790D62" w:rsidRDefault="00790D62" w:rsidP="00790D62">
      <w:pPr>
        <w:pStyle w:val="-2"/>
        <w:spacing w:before="312"/>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790D62" w:rsidTr="0094331C">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790D62" w:rsidRDefault="00790D62" w:rsidP="00790D62">
            <w:pPr>
              <w:jc w:val="center"/>
            </w:pPr>
            <w:r>
              <w:rPr>
                <w:rFonts w:hint="eastAsia"/>
              </w:rPr>
              <w:t>姓名</w:t>
            </w:r>
          </w:p>
        </w:tc>
        <w:tc>
          <w:tcPr>
            <w:tcW w:w="851" w:type="dxa"/>
            <w:vMerge w:val="restart"/>
          </w:tcPr>
          <w:p w:rsidR="00790D62" w:rsidRDefault="00790D62" w:rsidP="00790D62">
            <w:pPr>
              <w:jc w:val="center"/>
            </w:pPr>
            <w:r>
              <w:rPr>
                <w:rFonts w:hint="eastAsia"/>
              </w:rPr>
              <w:t>职务</w:t>
            </w:r>
          </w:p>
        </w:tc>
        <w:tc>
          <w:tcPr>
            <w:tcW w:w="2234" w:type="dxa"/>
            <w:gridSpan w:val="2"/>
            <w:tcBorders>
              <w:bottom w:val="single" w:sz="4" w:space="0" w:color="auto"/>
            </w:tcBorders>
          </w:tcPr>
          <w:p w:rsidR="00790D62" w:rsidRDefault="00790D62" w:rsidP="00790D62">
            <w:pPr>
              <w:jc w:val="center"/>
            </w:pPr>
            <w:r>
              <w:rPr>
                <w:rFonts w:hint="eastAsia"/>
              </w:rPr>
              <w:t>任本基金的基金经理期限</w:t>
            </w:r>
          </w:p>
        </w:tc>
        <w:tc>
          <w:tcPr>
            <w:tcW w:w="703" w:type="dxa"/>
            <w:vMerge w:val="restart"/>
          </w:tcPr>
          <w:p w:rsidR="00790D62" w:rsidRDefault="00790D62" w:rsidP="00790D62">
            <w:pPr>
              <w:jc w:val="center"/>
            </w:pPr>
            <w:r>
              <w:rPr>
                <w:rFonts w:hint="eastAsia"/>
              </w:rPr>
              <w:t>证券从业年限</w:t>
            </w:r>
          </w:p>
        </w:tc>
        <w:tc>
          <w:tcPr>
            <w:tcW w:w="3856" w:type="dxa"/>
            <w:vMerge w:val="restart"/>
          </w:tcPr>
          <w:p w:rsidR="00790D62" w:rsidRDefault="00790D62" w:rsidP="00790D62">
            <w:pPr>
              <w:jc w:val="center"/>
            </w:pPr>
            <w:r>
              <w:rPr>
                <w:rFonts w:hint="eastAsia"/>
              </w:rPr>
              <w:t>说明</w:t>
            </w:r>
          </w:p>
        </w:tc>
      </w:tr>
      <w:tr w:rsidR="00790D62" w:rsidTr="00790D62">
        <w:tc>
          <w:tcPr>
            <w:tcW w:w="862" w:type="dxa"/>
            <w:vMerge/>
          </w:tcPr>
          <w:p w:rsidR="00790D62" w:rsidRDefault="00790D62" w:rsidP="00790D62">
            <w:pPr>
              <w:jc w:val="left"/>
            </w:pPr>
          </w:p>
        </w:tc>
        <w:tc>
          <w:tcPr>
            <w:tcW w:w="851" w:type="dxa"/>
            <w:vMerge/>
          </w:tcPr>
          <w:p w:rsidR="00790D62" w:rsidRDefault="00790D62" w:rsidP="00790D62">
            <w:pPr>
              <w:jc w:val="left"/>
            </w:pPr>
          </w:p>
        </w:tc>
        <w:tc>
          <w:tcPr>
            <w:tcW w:w="1117" w:type="dxa"/>
            <w:shd w:val="clear" w:color="auto" w:fill="BFBFBF"/>
          </w:tcPr>
          <w:p w:rsidR="00790D62" w:rsidRDefault="00790D62" w:rsidP="00790D62">
            <w:pPr>
              <w:jc w:val="center"/>
            </w:pPr>
            <w:r>
              <w:rPr>
                <w:rFonts w:hint="eastAsia"/>
              </w:rPr>
              <w:t>任职日期</w:t>
            </w:r>
          </w:p>
        </w:tc>
        <w:tc>
          <w:tcPr>
            <w:tcW w:w="1117" w:type="dxa"/>
            <w:shd w:val="clear" w:color="auto" w:fill="BFBFBF"/>
          </w:tcPr>
          <w:p w:rsidR="00790D62" w:rsidRDefault="00790D62" w:rsidP="00790D62">
            <w:pPr>
              <w:jc w:val="center"/>
            </w:pPr>
            <w:r>
              <w:rPr>
                <w:rFonts w:hint="eastAsia"/>
              </w:rPr>
              <w:t>离任日期</w:t>
            </w:r>
          </w:p>
        </w:tc>
        <w:tc>
          <w:tcPr>
            <w:tcW w:w="703" w:type="dxa"/>
            <w:vMerge/>
          </w:tcPr>
          <w:p w:rsidR="00790D62" w:rsidRDefault="00790D62" w:rsidP="00790D62">
            <w:pPr>
              <w:jc w:val="left"/>
            </w:pPr>
          </w:p>
        </w:tc>
        <w:tc>
          <w:tcPr>
            <w:tcW w:w="3856" w:type="dxa"/>
            <w:vMerge/>
          </w:tcPr>
          <w:p w:rsidR="00790D62" w:rsidRDefault="00790D62" w:rsidP="00790D62">
            <w:pPr>
              <w:jc w:val="left"/>
            </w:pPr>
          </w:p>
        </w:tc>
      </w:tr>
      <w:tr w:rsidR="00790D62" w:rsidTr="00790D62">
        <w:tc>
          <w:tcPr>
            <w:tcW w:w="862" w:type="dxa"/>
          </w:tcPr>
          <w:p w:rsidR="00790D62" w:rsidRDefault="00790D62" w:rsidP="00790D62">
            <w:pPr>
              <w:jc w:val="left"/>
            </w:pPr>
            <w:r>
              <w:rPr>
                <w:rFonts w:hint="eastAsia"/>
              </w:rPr>
              <w:t>黄亮</w:t>
            </w:r>
          </w:p>
        </w:tc>
        <w:tc>
          <w:tcPr>
            <w:tcW w:w="851" w:type="dxa"/>
          </w:tcPr>
          <w:p w:rsidR="00790D62" w:rsidRDefault="00790D62" w:rsidP="00790D62">
            <w:pPr>
              <w:jc w:val="left"/>
            </w:pPr>
            <w:r>
              <w:rPr>
                <w:rFonts w:hint="eastAsia"/>
              </w:rPr>
              <w:t>本基金基金经理</w:t>
            </w:r>
          </w:p>
        </w:tc>
        <w:tc>
          <w:tcPr>
            <w:tcW w:w="1117" w:type="dxa"/>
          </w:tcPr>
          <w:p w:rsidR="00790D62" w:rsidRDefault="00790D62" w:rsidP="00790D62">
            <w:pPr>
              <w:jc w:val="left"/>
            </w:pPr>
            <w:r>
              <w:rPr>
                <w:rFonts w:hint="eastAsia"/>
              </w:rPr>
              <w:t>2019</w:t>
            </w:r>
            <w:r>
              <w:rPr>
                <w:rFonts w:hint="eastAsia"/>
              </w:rPr>
              <w:t>年</w:t>
            </w:r>
            <w:r>
              <w:rPr>
                <w:rFonts w:hint="eastAsia"/>
              </w:rPr>
              <w:t>4</w:t>
            </w:r>
            <w:r>
              <w:rPr>
                <w:rFonts w:hint="eastAsia"/>
              </w:rPr>
              <w:t>月</w:t>
            </w:r>
            <w:r>
              <w:rPr>
                <w:rFonts w:hint="eastAsia"/>
              </w:rPr>
              <w:t>3</w:t>
            </w:r>
            <w:r>
              <w:rPr>
                <w:rFonts w:hint="eastAsia"/>
              </w:rPr>
              <w:t>日</w:t>
            </w:r>
          </w:p>
        </w:tc>
        <w:tc>
          <w:tcPr>
            <w:tcW w:w="1117" w:type="dxa"/>
          </w:tcPr>
          <w:p w:rsidR="00790D62" w:rsidRDefault="00790D62" w:rsidP="00790D62">
            <w:pPr>
              <w:jc w:val="right"/>
            </w:pPr>
            <w:r>
              <w:t>-</w:t>
            </w:r>
          </w:p>
        </w:tc>
        <w:tc>
          <w:tcPr>
            <w:tcW w:w="703" w:type="dxa"/>
          </w:tcPr>
          <w:p w:rsidR="00790D62" w:rsidRDefault="00790D62" w:rsidP="00790D62">
            <w:pPr>
              <w:jc w:val="left"/>
            </w:pPr>
            <w:r>
              <w:rPr>
                <w:rFonts w:hint="eastAsia"/>
              </w:rPr>
              <w:t>19</w:t>
            </w:r>
            <w:r>
              <w:rPr>
                <w:rFonts w:hint="eastAsia"/>
              </w:rPr>
              <w:t>年</w:t>
            </w:r>
          </w:p>
        </w:tc>
        <w:tc>
          <w:tcPr>
            <w:tcW w:w="3856" w:type="dxa"/>
          </w:tcPr>
          <w:p w:rsidR="00790D62" w:rsidRDefault="00790D62" w:rsidP="00790D62">
            <w:pPr>
              <w:jc w:val="left"/>
            </w:pPr>
            <w:r>
              <w:rPr>
                <w:rFonts w:hint="eastAsia"/>
              </w:rPr>
              <w:t>北京大学工商管理硕士，具有基金从业资格。曾任职于招商证券股份有限公司、天华投资有限责任公司，</w:t>
            </w:r>
            <w:r>
              <w:rPr>
                <w:rFonts w:hint="eastAsia"/>
              </w:rPr>
              <w:t>2005</w:t>
            </w:r>
            <w:r>
              <w:rPr>
                <w:rFonts w:hint="eastAsia"/>
              </w:rPr>
              <w:t>年加入南方基金国际业务部，现任国际业务部总经理、国际投资决策委员会委员；</w:t>
            </w:r>
            <w:r>
              <w:rPr>
                <w:rFonts w:hint="eastAsia"/>
              </w:rPr>
              <w:t>2011</w:t>
            </w:r>
            <w:r>
              <w:rPr>
                <w:rFonts w:hint="eastAsia"/>
              </w:rPr>
              <w:t>年</w:t>
            </w:r>
            <w:r>
              <w:rPr>
                <w:rFonts w:hint="eastAsia"/>
              </w:rPr>
              <w:t>9</w:t>
            </w:r>
            <w:r>
              <w:rPr>
                <w:rFonts w:hint="eastAsia"/>
              </w:rPr>
              <w:t>月</w:t>
            </w:r>
            <w:r>
              <w:rPr>
                <w:rFonts w:hint="eastAsia"/>
              </w:rPr>
              <w:t>26</w:t>
            </w:r>
            <w:r>
              <w:rPr>
                <w:rFonts w:hint="eastAsia"/>
              </w:rPr>
              <w:t>日至</w:t>
            </w:r>
            <w:r>
              <w:rPr>
                <w:rFonts w:hint="eastAsia"/>
              </w:rPr>
              <w:t>2015</w:t>
            </w:r>
            <w:r>
              <w:rPr>
                <w:rFonts w:hint="eastAsia"/>
              </w:rPr>
              <w:t>年</w:t>
            </w:r>
            <w:r>
              <w:rPr>
                <w:rFonts w:hint="eastAsia"/>
              </w:rPr>
              <w:t>5</w:t>
            </w:r>
            <w:r>
              <w:rPr>
                <w:rFonts w:hint="eastAsia"/>
              </w:rPr>
              <w:t>月</w:t>
            </w:r>
            <w:r>
              <w:rPr>
                <w:rFonts w:hint="eastAsia"/>
              </w:rPr>
              <w:t>13</w:t>
            </w:r>
            <w:r>
              <w:rPr>
                <w:rFonts w:hint="eastAsia"/>
              </w:rPr>
              <w:t>日，任南方中国中小盘基金经理；</w:t>
            </w:r>
            <w:r>
              <w:rPr>
                <w:rFonts w:hint="eastAsia"/>
              </w:rPr>
              <w:t>2015</w:t>
            </w:r>
            <w:r>
              <w:rPr>
                <w:rFonts w:hint="eastAsia"/>
              </w:rPr>
              <w:t>年</w:t>
            </w:r>
            <w:r>
              <w:rPr>
                <w:rFonts w:hint="eastAsia"/>
              </w:rPr>
              <w:t>5</w:t>
            </w:r>
            <w:r>
              <w:rPr>
                <w:rFonts w:hint="eastAsia"/>
              </w:rPr>
              <w:t>月</w:t>
            </w:r>
            <w:r>
              <w:rPr>
                <w:rFonts w:hint="eastAsia"/>
              </w:rPr>
              <w:t>13</w:t>
            </w:r>
            <w:r>
              <w:rPr>
                <w:rFonts w:hint="eastAsia"/>
              </w:rPr>
              <w:t>日至</w:t>
            </w:r>
            <w:r>
              <w:rPr>
                <w:rFonts w:hint="eastAsia"/>
              </w:rPr>
              <w:t>2017</w:t>
            </w:r>
            <w:r>
              <w:rPr>
                <w:rFonts w:hint="eastAsia"/>
              </w:rPr>
              <w:t>年</w:t>
            </w:r>
            <w:r>
              <w:rPr>
                <w:rFonts w:hint="eastAsia"/>
              </w:rPr>
              <w:t>11</w:t>
            </w:r>
            <w:r>
              <w:rPr>
                <w:rFonts w:hint="eastAsia"/>
              </w:rPr>
              <w:t>月</w:t>
            </w:r>
            <w:r>
              <w:rPr>
                <w:rFonts w:hint="eastAsia"/>
              </w:rPr>
              <w:t>9</w:t>
            </w:r>
            <w:r>
              <w:rPr>
                <w:rFonts w:hint="eastAsia"/>
              </w:rPr>
              <w:t>日，任南方香港优选基金经理；</w:t>
            </w:r>
            <w:r>
              <w:rPr>
                <w:rFonts w:hint="eastAsia"/>
              </w:rPr>
              <w:t>2017</w:t>
            </w:r>
            <w:r>
              <w:rPr>
                <w:rFonts w:hint="eastAsia"/>
              </w:rPr>
              <w:t>年</w:t>
            </w:r>
            <w:r>
              <w:rPr>
                <w:rFonts w:hint="eastAsia"/>
              </w:rPr>
              <w:t>4</w:t>
            </w:r>
            <w:r>
              <w:rPr>
                <w:rFonts w:hint="eastAsia"/>
              </w:rPr>
              <w:t>月</w:t>
            </w:r>
            <w:r>
              <w:rPr>
                <w:rFonts w:hint="eastAsia"/>
              </w:rPr>
              <w:t>26</w:t>
            </w:r>
            <w:r>
              <w:rPr>
                <w:rFonts w:hint="eastAsia"/>
              </w:rPr>
              <w:t>日至</w:t>
            </w:r>
            <w:r>
              <w:rPr>
                <w:rFonts w:hint="eastAsia"/>
              </w:rPr>
              <w:t>2019</w:t>
            </w:r>
            <w:r>
              <w:rPr>
                <w:rFonts w:hint="eastAsia"/>
              </w:rPr>
              <w:t>年</w:t>
            </w:r>
            <w:r>
              <w:rPr>
                <w:rFonts w:hint="eastAsia"/>
              </w:rPr>
              <w:t>4</w:t>
            </w:r>
            <w:r>
              <w:rPr>
                <w:rFonts w:hint="eastAsia"/>
              </w:rPr>
              <w:t>月</w:t>
            </w:r>
            <w:r>
              <w:rPr>
                <w:rFonts w:hint="eastAsia"/>
              </w:rPr>
              <w:t>22</w:t>
            </w:r>
            <w:r>
              <w:rPr>
                <w:rFonts w:hint="eastAsia"/>
              </w:rPr>
              <w:t>日，任国企精明基金经理；</w:t>
            </w:r>
            <w:r>
              <w:rPr>
                <w:rFonts w:hint="eastAsia"/>
              </w:rPr>
              <w:t>2010</w:t>
            </w:r>
            <w:r>
              <w:rPr>
                <w:rFonts w:hint="eastAsia"/>
              </w:rPr>
              <w:t>年</w:t>
            </w:r>
            <w:r>
              <w:rPr>
                <w:rFonts w:hint="eastAsia"/>
              </w:rPr>
              <w:t>12</w:t>
            </w:r>
            <w:r>
              <w:rPr>
                <w:rFonts w:hint="eastAsia"/>
              </w:rPr>
              <w:t>月</w:t>
            </w:r>
            <w:r>
              <w:rPr>
                <w:rFonts w:hint="eastAsia"/>
              </w:rPr>
              <w:t>9</w:t>
            </w:r>
            <w:r>
              <w:rPr>
                <w:rFonts w:hint="eastAsia"/>
              </w:rPr>
              <w:t>日至</w:t>
            </w:r>
            <w:r>
              <w:rPr>
                <w:rFonts w:hint="eastAsia"/>
              </w:rPr>
              <w:t>2020</w:t>
            </w:r>
            <w:r>
              <w:rPr>
                <w:rFonts w:hint="eastAsia"/>
              </w:rPr>
              <w:t>年</w:t>
            </w:r>
            <w:r>
              <w:rPr>
                <w:rFonts w:hint="eastAsia"/>
              </w:rPr>
              <w:t>9</w:t>
            </w:r>
            <w:r>
              <w:rPr>
                <w:rFonts w:hint="eastAsia"/>
              </w:rPr>
              <w:t>月</w:t>
            </w:r>
            <w:r>
              <w:rPr>
                <w:rFonts w:hint="eastAsia"/>
              </w:rPr>
              <w:t>18</w:t>
            </w:r>
            <w:r>
              <w:rPr>
                <w:rFonts w:hint="eastAsia"/>
              </w:rPr>
              <w:t>日，任南方金砖基金经理；</w:t>
            </w:r>
            <w:r>
              <w:rPr>
                <w:rFonts w:hint="eastAsia"/>
              </w:rPr>
              <w:t>2009</w:t>
            </w:r>
            <w:r>
              <w:rPr>
                <w:rFonts w:hint="eastAsia"/>
              </w:rPr>
              <w:t>年</w:t>
            </w:r>
            <w:r>
              <w:rPr>
                <w:rFonts w:hint="eastAsia"/>
              </w:rPr>
              <w:t>6</w:t>
            </w:r>
            <w:r>
              <w:rPr>
                <w:rFonts w:hint="eastAsia"/>
              </w:rPr>
              <w:t>月</w:t>
            </w:r>
            <w:r>
              <w:rPr>
                <w:rFonts w:hint="eastAsia"/>
              </w:rPr>
              <w:t>25</w:t>
            </w:r>
            <w:r>
              <w:rPr>
                <w:rFonts w:hint="eastAsia"/>
              </w:rPr>
              <w:t>日至今，任南方全球基金经理；</w:t>
            </w:r>
            <w:r>
              <w:rPr>
                <w:rFonts w:hint="eastAsia"/>
              </w:rPr>
              <w:t>2016</w:t>
            </w:r>
            <w:r>
              <w:rPr>
                <w:rFonts w:hint="eastAsia"/>
              </w:rPr>
              <w:t>年</w:t>
            </w:r>
            <w:r>
              <w:rPr>
                <w:rFonts w:hint="eastAsia"/>
              </w:rPr>
              <w:t>6</w:t>
            </w:r>
            <w:r>
              <w:rPr>
                <w:rFonts w:hint="eastAsia"/>
              </w:rPr>
              <w:t>月</w:t>
            </w:r>
            <w:r>
              <w:rPr>
                <w:rFonts w:hint="eastAsia"/>
              </w:rPr>
              <w:t>15</w:t>
            </w:r>
            <w:r>
              <w:rPr>
                <w:rFonts w:hint="eastAsia"/>
              </w:rPr>
              <w:t>日至今，任南方原油基金经理；</w:t>
            </w:r>
            <w:r>
              <w:rPr>
                <w:rFonts w:hint="eastAsia"/>
              </w:rPr>
              <w:t>2017</w:t>
            </w:r>
            <w:r>
              <w:rPr>
                <w:rFonts w:hint="eastAsia"/>
              </w:rPr>
              <w:t>年</w:t>
            </w:r>
            <w:r>
              <w:rPr>
                <w:rFonts w:hint="eastAsia"/>
              </w:rPr>
              <w:lastRenderedPageBreak/>
              <w:t>10</w:t>
            </w:r>
            <w:r>
              <w:rPr>
                <w:rFonts w:hint="eastAsia"/>
              </w:rPr>
              <w:t>月</w:t>
            </w:r>
            <w:r>
              <w:rPr>
                <w:rFonts w:hint="eastAsia"/>
              </w:rPr>
              <w:t>26</w:t>
            </w:r>
            <w:r>
              <w:rPr>
                <w:rFonts w:hint="eastAsia"/>
              </w:rPr>
              <w:t>日至今，任美国</w:t>
            </w:r>
            <w:r>
              <w:rPr>
                <w:rFonts w:hint="eastAsia"/>
              </w:rPr>
              <w:t>REIT</w:t>
            </w:r>
            <w:r>
              <w:rPr>
                <w:rFonts w:hint="eastAsia"/>
              </w:rPr>
              <w:t>基金经理；</w:t>
            </w:r>
            <w:r>
              <w:rPr>
                <w:rFonts w:hint="eastAsia"/>
              </w:rPr>
              <w:t>2019</w:t>
            </w:r>
            <w:r>
              <w:rPr>
                <w:rFonts w:hint="eastAsia"/>
              </w:rPr>
              <w:t>年</w:t>
            </w:r>
            <w:r>
              <w:rPr>
                <w:rFonts w:hint="eastAsia"/>
              </w:rPr>
              <w:t>4</w:t>
            </w:r>
            <w:r>
              <w:rPr>
                <w:rFonts w:hint="eastAsia"/>
              </w:rPr>
              <w:t>月</w:t>
            </w:r>
            <w:r>
              <w:rPr>
                <w:rFonts w:hint="eastAsia"/>
              </w:rPr>
              <w:t>3</w:t>
            </w:r>
            <w:r>
              <w:rPr>
                <w:rFonts w:hint="eastAsia"/>
              </w:rPr>
              <w:t>日至今，任南方香港成长基金经理。</w:t>
            </w:r>
          </w:p>
        </w:tc>
      </w:tr>
      <w:tr w:rsidR="00790D62" w:rsidTr="00790D62">
        <w:tc>
          <w:tcPr>
            <w:tcW w:w="862" w:type="dxa"/>
          </w:tcPr>
          <w:p w:rsidR="00790D62" w:rsidRDefault="00790D62" w:rsidP="00790D62">
            <w:pPr>
              <w:jc w:val="left"/>
            </w:pPr>
            <w:r>
              <w:rPr>
                <w:rFonts w:hint="eastAsia"/>
              </w:rPr>
              <w:lastRenderedPageBreak/>
              <w:t>王士聪</w:t>
            </w:r>
          </w:p>
        </w:tc>
        <w:tc>
          <w:tcPr>
            <w:tcW w:w="851" w:type="dxa"/>
          </w:tcPr>
          <w:p w:rsidR="00790D62" w:rsidRDefault="00790D62" w:rsidP="00790D62">
            <w:pPr>
              <w:jc w:val="left"/>
            </w:pPr>
            <w:r>
              <w:rPr>
                <w:rFonts w:hint="eastAsia"/>
              </w:rPr>
              <w:t>本基金基金经理</w:t>
            </w:r>
          </w:p>
        </w:tc>
        <w:tc>
          <w:tcPr>
            <w:tcW w:w="1117" w:type="dxa"/>
          </w:tcPr>
          <w:p w:rsidR="00790D62" w:rsidRDefault="00790D62" w:rsidP="00790D62">
            <w:pPr>
              <w:jc w:val="left"/>
            </w:pPr>
            <w:r>
              <w:rPr>
                <w:rFonts w:hint="eastAsia"/>
              </w:rPr>
              <w:t>2020</w:t>
            </w:r>
            <w:r>
              <w:rPr>
                <w:rFonts w:hint="eastAsia"/>
              </w:rPr>
              <w:t>年</w:t>
            </w:r>
            <w:r>
              <w:rPr>
                <w:rFonts w:hint="eastAsia"/>
              </w:rPr>
              <w:t>5</w:t>
            </w:r>
            <w:r>
              <w:rPr>
                <w:rFonts w:hint="eastAsia"/>
              </w:rPr>
              <w:t>月</w:t>
            </w:r>
            <w:r>
              <w:rPr>
                <w:rFonts w:hint="eastAsia"/>
              </w:rPr>
              <w:t>15</w:t>
            </w:r>
            <w:r>
              <w:rPr>
                <w:rFonts w:hint="eastAsia"/>
              </w:rPr>
              <w:t>日</w:t>
            </w:r>
          </w:p>
        </w:tc>
        <w:tc>
          <w:tcPr>
            <w:tcW w:w="1117" w:type="dxa"/>
          </w:tcPr>
          <w:p w:rsidR="00790D62" w:rsidRDefault="00790D62" w:rsidP="00790D62">
            <w:pPr>
              <w:jc w:val="right"/>
            </w:pPr>
            <w:r>
              <w:t>-</w:t>
            </w:r>
          </w:p>
        </w:tc>
        <w:tc>
          <w:tcPr>
            <w:tcW w:w="703" w:type="dxa"/>
          </w:tcPr>
          <w:p w:rsidR="00790D62" w:rsidRDefault="00790D62" w:rsidP="00790D62">
            <w:pPr>
              <w:jc w:val="left"/>
            </w:pPr>
            <w:r>
              <w:rPr>
                <w:rFonts w:hint="eastAsia"/>
              </w:rPr>
              <w:t>4</w:t>
            </w:r>
            <w:r>
              <w:rPr>
                <w:rFonts w:hint="eastAsia"/>
              </w:rPr>
              <w:t>年</w:t>
            </w:r>
          </w:p>
        </w:tc>
        <w:tc>
          <w:tcPr>
            <w:tcW w:w="3856" w:type="dxa"/>
          </w:tcPr>
          <w:p w:rsidR="00790D62" w:rsidRDefault="00790D62" w:rsidP="00790D62">
            <w:pPr>
              <w:jc w:val="left"/>
            </w:pPr>
            <w:r>
              <w:rPr>
                <w:rFonts w:hint="eastAsia"/>
              </w:rPr>
              <w:t>美国布兰迪斯大学国际经济与金融学硕士，注册金融分析师（</w:t>
            </w:r>
            <w:r>
              <w:rPr>
                <w:rFonts w:hint="eastAsia"/>
              </w:rPr>
              <w:t>CFA</w:t>
            </w:r>
            <w:r>
              <w:rPr>
                <w:rFonts w:hint="eastAsia"/>
              </w:rPr>
              <w:t>），具有基金从业资格。</w:t>
            </w:r>
            <w:r>
              <w:rPr>
                <w:rFonts w:hint="eastAsia"/>
              </w:rPr>
              <w:t>2016</w:t>
            </w:r>
            <w:r>
              <w:rPr>
                <w:rFonts w:hint="eastAsia"/>
              </w:rPr>
              <w:t>年</w:t>
            </w:r>
            <w:r>
              <w:rPr>
                <w:rFonts w:hint="eastAsia"/>
              </w:rPr>
              <w:t>7</w:t>
            </w:r>
            <w:r>
              <w:rPr>
                <w:rFonts w:hint="eastAsia"/>
              </w:rPr>
              <w:t>月加入南方基金，任国际业务部研究员。</w:t>
            </w:r>
            <w:r>
              <w:rPr>
                <w:rFonts w:hint="eastAsia"/>
              </w:rPr>
              <w:t>2018</w:t>
            </w:r>
            <w:r>
              <w:rPr>
                <w:rFonts w:hint="eastAsia"/>
              </w:rPr>
              <w:t>年</w:t>
            </w:r>
            <w:r>
              <w:rPr>
                <w:rFonts w:hint="eastAsia"/>
              </w:rPr>
              <w:t>11</w:t>
            </w:r>
            <w:r>
              <w:rPr>
                <w:rFonts w:hint="eastAsia"/>
              </w:rPr>
              <w:t>月</w:t>
            </w:r>
            <w:r>
              <w:rPr>
                <w:rFonts w:hint="eastAsia"/>
              </w:rPr>
              <w:t>30</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日，任南方全球基金经理助理；</w:t>
            </w:r>
            <w:r>
              <w:rPr>
                <w:rFonts w:hint="eastAsia"/>
              </w:rPr>
              <w:t>2019</w:t>
            </w:r>
            <w:r>
              <w:rPr>
                <w:rFonts w:hint="eastAsia"/>
              </w:rPr>
              <w:t>年</w:t>
            </w:r>
            <w:r>
              <w:rPr>
                <w:rFonts w:hint="eastAsia"/>
              </w:rPr>
              <w:t>4</w:t>
            </w:r>
            <w:r>
              <w:rPr>
                <w:rFonts w:hint="eastAsia"/>
              </w:rPr>
              <w:t>月</w:t>
            </w:r>
            <w:r>
              <w:rPr>
                <w:rFonts w:hint="eastAsia"/>
              </w:rPr>
              <w:t>10</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日，任南方香港成长基金经理助理；</w:t>
            </w:r>
            <w:r>
              <w:rPr>
                <w:rFonts w:hint="eastAsia"/>
              </w:rPr>
              <w:t>2020</w:t>
            </w:r>
            <w:r>
              <w:rPr>
                <w:rFonts w:hint="eastAsia"/>
              </w:rPr>
              <w:t>年</w:t>
            </w:r>
            <w:r>
              <w:rPr>
                <w:rFonts w:hint="eastAsia"/>
              </w:rPr>
              <w:t>5</w:t>
            </w:r>
            <w:r>
              <w:rPr>
                <w:rFonts w:hint="eastAsia"/>
              </w:rPr>
              <w:t>月</w:t>
            </w:r>
            <w:r>
              <w:rPr>
                <w:rFonts w:hint="eastAsia"/>
              </w:rPr>
              <w:t>15</w:t>
            </w:r>
            <w:r>
              <w:rPr>
                <w:rFonts w:hint="eastAsia"/>
              </w:rPr>
              <w:t>日至今，任南方香港成长基金经理。</w:t>
            </w:r>
          </w:p>
        </w:tc>
      </w:tr>
    </w:tbl>
    <w:p w:rsidR="00790D62" w:rsidRDefault="00790D62" w:rsidP="00790D62">
      <w:pPr>
        <w:pStyle w:val="-8"/>
      </w:pPr>
      <w:r>
        <w:rPr>
          <w:rFonts w:hint="eastAsia"/>
        </w:rPr>
        <w:t>注：1、本基金首任基金经理的任职日期为本基金合同生效日，后任基金经理的任职日期以及历任基金经理的离任日期为公司相关会议作出决定的公告（生效）日期；</w:t>
      </w:r>
    </w:p>
    <w:p w:rsidR="00790D62" w:rsidRDefault="00790D62" w:rsidP="00790D62">
      <w:pPr>
        <w:pStyle w:val="-"/>
        <w:ind w:firstLine="420"/>
      </w:pPr>
      <w:r>
        <w:rPr>
          <w:rFonts w:hint="eastAsia"/>
        </w:rPr>
        <w:t>2、证券从业年限计算标准遵从行业协会《证券业从业人员资格管理办法》中关于证券从业人员范围的相关规定。</w:t>
      </w:r>
    </w:p>
    <w:p w:rsidR="00790D62" w:rsidRDefault="00790D62" w:rsidP="00790D62">
      <w:pPr>
        <w:pStyle w:val="-3"/>
        <w:spacing w:before="156" w:after="156"/>
      </w:pPr>
      <w:r>
        <w:rPr>
          <w:rFonts w:hint="eastAsia"/>
        </w:rPr>
        <w:t>期末兼任私募资产管理计划投资经理的基金经理同时管理的产品情况</w:t>
      </w:r>
    </w:p>
    <w:p w:rsidR="00790D62" w:rsidRDefault="00790D62" w:rsidP="00790D62">
      <w:pPr>
        <w:pStyle w:val="-"/>
        <w:ind w:firstLine="420"/>
      </w:pPr>
      <w:r>
        <w:rPr>
          <w:rFonts w:hint="eastAsia"/>
        </w:rPr>
        <w:t>本期末本基金基金经理无兼任私募资产管理计划投资经理的情况。</w:t>
      </w:r>
    </w:p>
    <w:p w:rsidR="00790D62" w:rsidRDefault="00790D62" w:rsidP="00790D62">
      <w:pPr>
        <w:pStyle w:val="-2"/>
        <w:spacing w:before="312"/>
      </w:pPr>
      <w:r>
        <w:rPr>
          <w:rFonts w:hint="eastAsia"/>
        </w:rPr>
        <w:t>境外投资顾问为本基金提供投资建议的主要成员简介</w:t>
      </w:r>
    </w:p>
    <w:p w:rsidR="00790D62" w:rsidRDefault="00790D62" w:rsidP="00790D62">
      <w:pPr>
        <w:pStyle w:val="-"/>
        <w:ind w:firstLine="420"/>
      </w:pPr>
      <w:r>
        <w:rPr>
          <w:rFonts w:hint="eastAsia"/>
        </w:rPr>
        <w:t>本基金无境外投资顾问。</w:t>
      </w:r>
    </w:p>
    <w:p w:rsidR="00790D62" w:rsidRDefault="00790D62" w:rsidP="00790D62">
      <w:pPr>
        <w:pStyle w:val="-2"/>
        <w:spacing w:before="312"/>
      </w:pPr>
      <w:r>
        <w:rPr>
          <w:rFonts w:hint="eastAsia"/>
        </w:rPr>
        <w:t>报告期内本基金运作遵规守信情况的说明</w:t>
      </w:r>
    </w:p>
    <w:p w:rsidR="00790D62" w:rsidRDefault="00790D62" w:rsidP="00790D62">
      <w:pPr>
        <w:pStyle w:val="-"/>
        <w:ind w:firstLine="420"/>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790D62" w:rsidRDefault="00790D62" w:rsidP="00790D62">
      <w:pPr>
        <w:pStyle w:val="-2"/>
        <w:spacing w:before="312"/>
      </w:pPr>
      <w:r>
        <w:rPr>
          <w:rFonts w:hint="eastAsia"/>
        </w:rPr>
        <w:t>公平交易专项说明</w:t>
      </w:r>
    </w:p>
    <w:p w:rsidR="00790D62" w:rsidRDefault="00790D62" w:rsidP="00790D62">
      <w:pPr>
        <w:pStyle w:val="-3"/>
        <w:spacing w:before="156" w:after="156"/>
      </w:pPr>
      <w:r>
        <w:rPr>
          <w:rFonts w:hint="eastAsia"/>
        </w:rPr>
        <w:t>公平交易制度的执行情况</w:t>
      </w:r>
    </w:p>
    <w:p w:rsidR="00790D62" w:rsidRDefault="00790D62" w:rsidP="00790D62">
      <w:pPr>
        <w:pStyle w:val="-"/>
        <w:ind w:firstLine="420"/>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790D62" w:rsidRDefault="00790D62" w:rsidP="00790D62">
      <w:pPr>
        <w:pStyle w:val="-3"/>
        <w:spacing w:before="156" w:after="156"/>
      </w:pPr>
      <w:r>
        <w:rPr>
          <w:rFonts w:hint="eastAsia"/>
        </w:rPr>
        <w:t>异常交易行为的专项说明</w:t>
      </w:r>
    </w:p>
    <w:p w:rsidR="00790D62" w:rsidRDefault="00790D62" w:rsidP="00790D62">
      <w:pPr>
        <w:pStyle w:val="-"/>
        <w:ind w:firstLine="420"/>
      </w:pPr>
      <w:r>
        <w:rPr>
          <w:rFonts w:hint="eastAsia"/>
        </w:rPr>
        <w:lastRenderedPageBreak/>
        <w:t>本基金于本报告期内不存在异常交易行为。本报告期内基金管理人管理的所有投资组合参与的交易所公开竞价，未出现同日反向交易成交较少的单边交易量超过该证券当日成交量的5%的情况。</w:t>
      </w:r>
    </w:p>
    <w:p w:rsidR="00790D62" w:rsidRDefault="00790D62" w:rsidP="00790D62">
      <w:pPr>
        <w:pStyle w:val="-2"/>
        <w:spacing w:before="312"/>
      </w:pPr>
      <w:r>
        <w:rPr>
          <w:rFonts w:hint="eastAsia"/>
        </w:rPr>
        <w:t>报告期内基金的投资策略和业绩表现说明</w:t>
      </w:r>
    </w:p>
    <w:p w:rsidR="00790D62" w:rsidRDefault="00790D62" w:rsidP="00790D62">
      <w:pPr>
        <w:pStyle w:val="-3"/>
        <w:spacing w:before="156" w:after="156"/>
      </w:pPr>
      <w:r>
        <w:rPr>
          <w:rFonts w:hint="eastAsia"/>
        </w:rPr>
        <w:t>报告期内基金投资策略和运作分析</w:t>
      </w:r>
    </w:p>
    <w:p w:rsidR="00790D62" w:rsidRDefault="00790D62" w:rsidP="00790D62">
      <w:pPr>
        <w:pStyle w:val="-"/>
        <w:ind w:firstLine="420"/>
      </w:pPr>
      <w:r>
        <w:rPr>
          <w:rFonts w:hint="eastAsia"/>
        </w:rPr>
        <w:t>2020年第三季度尽管新冠疫情对于经济活动仍存在一定拖累，但全球经济基本面延续复苏态势。根据Bloomberg的统计，2020年7月至2020年9月发达市场Markit制造业月度PMI分别为49.8、51.2和52.2，逐月取得改善，其中美国Markit制造业月度PMI分别为50.9、53.1和53.2；新兴市场Markit制造业月度PMI分别为51.4、52.5和52.8，均回到荣枯线以上。从风格上来看，成长类个股继续跑赢价值类个股。按美元计价全收益口径计算，2020年第三季度MSCI全球价值指数上涨4.1%，MSCI全球成长指数上涨11.7%；年初至今MSCI全球价值指数下跌14.0%，MSCI全球成长指数上涨19.2%。</w:t>
      </w:r>
    </w:p>
    <w:p w:rsidR="00790D62" w:rsidRDefault="00790D62" w:rsidP="00790D62">
      <w:pPr>
        <w:pStyle w:val="-"/>
        <w:ind w:firstLine="420"/>
      </w:pPr>
      <w:r>
        <w:rPr>
          <w:rFonts w:hint="eastAsia"/>
        </w:rPr>
        <w:t>报告期间，MSCI全球指数按美元计价上涨7.52%，MSCI新兴市场指数按美元计价上涨8.73%，恒生指数按港币计价下跌3.96%，黄金价格按美元计价上涨5.89%，十年期美国国债、十年期日本国债及十年期德国国债收益率分别上涨3个基点、下降1个基点和下降7个基点。新兴市场方面,巴西圣保罗证交所指数按本币计价下跌0.48%,印度Nifty指数按本币计价上涨9.18%，俄罗斯MOEX指数按本币计价上涨5.93%。美元指数继续回落,由97.39下跌至93.89。</w:t>
      </w:r>
    </w:p>
    <w:p w:rsidR="00790D62" w:rsidRDefault="00790D62" w:rsidP="00790D62">
      <w:pPr>
        <w:pStyle w:val="-"/>
        <w:ind w:firstLine="420"/>
      </w:pPr>
      <w:r>
        <w:rPr>
          <w:rFonts w:hint="eastAsia"/>
        </w:rPr>
        <w:t>港股市场方面，2020年第三季度恒生指数下跌的3.96%，恒生国企指数下跌3.70%。从市值角度来看，恒生大型股指数上涨2.41%，恒生中型股指数上涨10.28%，恒生小型股指数上涨4.37%，均好于恒生指数。根据Wind统计，2020年三季度港股通南下资金累计净买入1531亿元人民币，较二季度的657亿人民币显著回升，但低于一季度的2217亿元人民币，年初至今累计流入已经超过4000亿元人民币，南下资金的流入对于港股形成了重要的底部支撑。恒生AH股溢价指数于报告期内大幅抬升，由128.57点升至147.46点。恒生行业方面，原材料、资讯科技、消费品制造及服务业板块分别跑赢恒生指数20.82%、20.59%和19.73%，而综合、能源和金融板块分别落后恒生指数6.52%、3.68%和 2.68%。</w:t>
      </w:r>
    </w:p>
    <w:p w:rsidR="00790D62" w:rsidRDefault="00790D62" w:rsidP="00790D62">
      <w:pPr>
        <w:pStyle w:val="-"/>
        <w:ind w:firstLine="420"/>
      </w:pPr>
      <w:r>
        <w:rPr>
          <w:rFonts w:hint="eastAsia"/>
        </w:rPr>
        <w:t>展望2020年第四季度，我们维持谨慎乐观的判断。在年初，我们预计中国国内经济出现企稳迹象，财政、货币和房地产政策转向更为宽松的方向，减税、降费、结构性改革、对外开放等积极的财政政策不断落地，预期第一季度国内会推出更多逆周期的货币政策，进一步推行结构性改革，完成全面建成小康社会的历史目标。在“新冠”疫情爆发后，我们明显观察到实体线下经济，特别是高库存、高周转、高经营杠杆行业的中小企业，在本次疫情中受到冲击较大，就业市场有一定压力，中低收入居民消费倾向下滑、储蓄意愿上升，大陆及港澳地区疫情时有反复，因此，我们对中短期的经济前景相对比较谨慎，认为</w:t>
      </w:r>
      <w:r>
        <w:rPr>
          <w:rFonts w:hint="eastAsia"/>
        </w:rPr>
        <w:lastRenderedPageBreak/>
        <w:t>企业盈利恢复周期需要拉长到明年才能完全恢复。但是，我们也注意到国家及时调整了宏观政策，积极的财政政策更加积极，货币政策更加强调逆周期调节，中小企业税费进一步减免，稳就业保民生措施不断落地。自二季度以来，在中美市场，我们都越来越明显的感受到基本面与股价背离，这主要是全球经济体习惯性的使用货币政策解决经济、社会问题，尤其是美国受迫于大选压力积极的推行量化宽松的货币政策，因此，虽然我们觉得短期内货币现象将进一步推升核心资产的股价，但我们对于中长期全球市场的金融风险保持关注和警惕，关注货币政策的拐点以及企业自身的内生增长情况。</w:t>
      </w:r>
    </w:p>
    <w:p w:rsidR="00790D62" w:rsidRDefault="00790D62" w:rsidP="00790D62">
      <w:pPr>
        <w:pStyle w:val="-"/>
        <w:ind w:firstLine="420"/>
      </w:pPr>
      <w:r>
        <w:rPr>
          <w:rFonts w:hint="eastAsia"/>
        </w:rPr>
        <w:t>我们认为，香港市场的性价比仍有具有吸引力。第一，香港国安法于6月30日正式颁布并且得到有力实施，香港地区局势出现长期根本性的积极变化，后续关注在国安法框架下推出长期改革措施的节奏，尤其是教育、税法、土地等关键问题上。第二，中概股回归的趋势已经趋于明朗，如果二次上市股票在未来被允许纳入港股通范畴，这将是大陆投资者首次有机会投资到中国真正的移动互联网行业。第三，近期众多优质公司登陆香港市场进行首次上市，这些标的中部分公司具备长期的增长前景，也为香港市场注入新的活力。</w:t>
      </w:r>
    </w:p>
    <w:p w:rsidR="00790D62" w:rsidRDefault="00790D62" w:rsidP="00790D62">
      <w:pPr>
        <w:pStyle w:val="-"/>
        <w:ind w:firstLine="420"/>
      </w:pPr>
      <w:r>
        <w:rPr>
          <w:rFonts w:hint="eastAsia"/>
        </w:rPr>
        <w:t>报告期内，基金围绕三个核心逻辑运作：</w:t>
      </w:r>
    </w:p>
    <w:p w:rsidR="00790D62" w:rsidRDefault="00790D62" w:rsidP="00790D62">
      <w:pPr>
        <w:pStyle w:val="-"/>
        <w:ind w:firstLine="420"/>
      </w:pPr>
      <w:r>
        <w:rPr>
          <w:rFonts w:hint="eastAsia"/>
        </w:rPr>
        <w:t>第一，基金的长期配置战略为新经济领域，包括互联网科技、医药、消费等行业，基金认为这些行业在较长的时间维度下可以跑赢整体市场指数，这背后是国家层面的比较优势逐渐从低端制造业转向消费、医疗及科技行业，房地产步入后周期拐点带来的收入分配方式的改变，贫富差距扩大及社会阶级急剧固化时期的中产阶级焦虑，马太效应带来的消费品牌集中度提升，四十年高等教育积累带来的尖端领域工程师红利时代到来，底层技术进步带来的“科技平权”效应、以及商业模式不断创新带来的资本利用效率提升，基金不会因为短期市场热点而变更长期行业配置方向。当前时间点上，流动性泛滥带来核心资产估值提升、市场积极发掘优质标的，基金主要聚焦：1）估值合理的优质公司。2）仍受疫情影响较大、估值受到抑制、但资产负债表健康的子行业龙头。3）新股的深度研究。中短期内，基金相对低配高估值的热门板块，超配存在预期差、估值合理、基本面扎实的优质个股。细分行业方面，目前相对看好医疗服务、CRO、高等教育、K12教育培训、豪华车经销商、电商、内容及传媒行业、to B软件及互联网、优质的国产新兴品牌及零售商等未来3-5年具备长期成长属性且被低估的子行业。</w:t>
      </w:r>
    </w:p>
    <w:p w:rsidR="00790D62" w:rsidRDefault="00790D62" w:rsidP="00790D62">
      <w:pPr>
        <w:pStyle w:val="-"/>
        <w:ind w:firstLine="420"/>
      </w:pPr>
      <w:r>
        <w:rPr>
          <w:rFonts w:hint="eastAsia"/>
        </w:rPr>
        <w:t>第二，基金努力实践自下而上、研究驱动的选股方法，利用内部团队投研一体化的体系优势，实现对各细分行业重点股票和新IPO股票的全面覆盖，通过深度研究筛选持仓个股，研究方法包括但不限于公司及终端调研、管理层访谈、专家访谈、量化模型追踪、多维数据监控、专题深度报告 ，利用深度研究更好的理解行业和公司的商业模式，并利用领先市场的数据库资源检验逻辑假设，以此为基础获取超额收益。本基金坚持将价值投资理念运用于新经济投资领域，坚决不会追逐短期市场概念及参与市场投机。</w:t>
      </w:r>
    </w:p>
    <w:p w:rsidR="00790D62" w:rsidRDefault="00790D62" w:rsidP="00790D62">
      <w:pPr>
        <w:pStyle w:val="-"/>
        <w:ind w:firstLine="420"/>
      </w:pPr>
      <w:r>
        <w:rPr>
          <w:rFonts w:hint="eastAsia"/>
        </w:rPr>
        <w:lastRenderedPageBreak/>
        <w:t>第三，基金坚持长期投资理念，着眼大机会。新经济公司的商业模式通常具备马太效应、规模效应和网络效应，较长的时间维度下，其商业模式才能被市场充分认知，优势才能得到体现，基金在选择新经济公司时，注重3-5年时间维度下的业绩表现及投资回报率，在公司基本面坚实向好、估值具有吸引力的情况下，愿意承受时间成本与市场波动。本基金热衷于投资那些短期基本面扰动因素多、市场处于观望期、但长期逻辑通顺的优质公司，用市场上最稀缺的耐心和时间换取长期确定性的超额收益。投资人的期限有多长，投资的期限就有多长，我们欢迎具备同样投资理念、追求基本面研究的长期投资人以2-3年为投资维度投资于本基金。最后，基金十分重视风险防控，投资收益是人性在时间维度的复利效应，坚持谦虚谨慎、勤勉尽责的研究态度，坚持逻辑和数据支撑的研究方法是本基金在选股中最大的安全边际。</w:t>
      </w:r>
    </w:p>
    <w:p w:rsidR="00790D62" w:rsidRDefault="00790D62" w:rsidP="00790D62">
      <w:pPr>
        <w:pStyle w:val="-"/>
        <w:ind w:firstLine="420"/>
      </w:pPr>
      <w:r>
        <w:rPr>
          <w:rFonts w:hint="eastAsia"/>
        </w:rPr>
        <w:t>本基金投资团队通过分散投资、精选长期优质个股的投资策略，控制基金的回撤水平，力争稳定战胜业绩比较基准，为投资者创造持续稳健的投资回报。</w:t>
      </w:r>
    </w:p>
    <w:p w:rsidR="00790D62" w:rsidRDefault="00790D62" w:rsidP="00790D62">
      <w:pPr>
        <w:pStyle w:val="-3"/>
        <w:spacing w:before="156" w:after="156"/>
      </w:pPr>
      <w:r>
        <w:rPr>
          <w:rFonts w:hint="eastAsia"/>
        </w:rPr>
        <w:t>报告期内基金的业绩表现</w:t>
      </w:r>
    </w:p>
    <w:p w:rsidR="00790D62" w:rsidRDefault="00790D62" w:rsidP="00790D62">
      <w:pPr>
        <w:pStyle w:val="-"/>
        <w:ind w:firstLine="420"/>
      </w:pPr>
      <w:r>
        <w:rPr>
          <w:rFonts w:hint="eastAsia"/>
        </w:rPr>
        <w:t>截至报告期末，本基金份额净值为1.903元，报告期内，份额净值增长率为17.61%，同期业绩基准增长率为-7.22%。</w:t>
      </w:r>
    </w:p>
    <w:p w:rsidR="00790D62" w:rsidRDefault="00790D62" w:rsidP="00790D62">
      <w:pPr>
        <w:pStyle w:val="-2"/>
        <w:spacing w:before="312"/>
      </w:pPr>
      <w:r>
        <w:rPr>
          <w:rFonts w:hint="eastAsia"/>
        </w:rPr>
        <w:t>报告期内基金持有人数或基金资产净值预警说明</w:t>
      </w:r>
    </w:p>
    <w:p w:rsidR="00790D62" w:rsidRDefault="00790D62" w:rsidP="00790D62">
      <w:pPr>
        <w:pStyle w:val="-"/>
        <w:ind w:firstLine="420"/>
      </w:pPr>
      <w:r>
        <w:rPr>
          <w:rFonts w:hint="eastAsia"/>
        </w:rPr>
        <w:t>报告期内，本基金未出现连续二十个交易日基金份额持有人数量不满二百人或者基金资产净值低于五千万元的情形。</w:t>
      </w:r>
    </w:p>
    <w:p w:rsidR="00790D62" w:rsidRDefault="00790D62" w:rsidP="00790D62">
      <w:pPr>
        <w:pStyle w:val="-1"/>
        <w:ind w:left="281" w:hanging="281"/>
      </w:pPr>
      <w:r>
        <w:rPr>
          <w:rFonts w:hint="eastAsia"/>
        </w:rPr>
        <w:t>投资组合报告</w:t>
      </w:r>
    </w:p>
    <w:p w:rsidR="00790D62" w:rsidRDefault="00790D62" w:rsidP="00790D62">
      <w:pPr>
        <w:pStyle w:val="-2"/>
        <w:spacing w:before="312"/>
      </w:pPr>
      <w:r>
        <w:rPr>
          <w:rFonts w:hint="eastAsia"/>
        </w:rPr>
        <w:t>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790D62" w:rsidTr="00790D62">
        <w:trPr>
          <w:cnfStyle w:val="100000000000" w:firstRow="1" w:lastRow="0" w:firstColumn="0" w:lastColumn="0" w:oddVBand="0" w:evenVBand="0" w:oddHBand="0" w:evenHBand="0" w:firstRowFirstColumn="0" w:firstRowLastColumn="0" w:lastRowFirstColumn="0" w:lastRowLastColumn="0"/>
        </w:trPr>
        <w:tc>
          <w:tcPr>
            <w:tcW w:w="2130" w:type="dxa"/>
          </w:tcPr>
          <w:p w:rsidR="00790D62" w:rsidRDefault="00790D62" w:rsidP="00790D62">
            <w:pPr>
              <w:jc w:val="center"/>
            </w:pPr>
            <w:r>
              <w:rPr>
                <w:rFonts w:hint="eastAsia"/>
              </w:rPr>
              <w:t>序号</w:t>
            </w:r>
          </w:p>
        </w:tc>
        <w:tc>
          <w:tcPr>
            <w:tcW w:w="2130" w:type="dxa"/>
          </w:tcPr>
          <w:p w:rsidR="00790D62" w:rsidRDefault="00790D62" w:rsidP="00790D62">
            <w:pPr>
              <w:jc w:val="center"/>
            </w:pPr>
            <w:r>
              <w:rPr>
                <w:rFonts w:hint="eastAsia"/>
              </w:rPr>
              <w:t>项目</w:t>
            </w:r>
          </w:p>
        </w:tc>
        <w:tc>
          <w:tcPr>
            <w:tcW w:w="2131" w:type="dxa"/>
          </w:tcPr>
          <w:p w:rsidR="00790D62" w:rsidRDefault="00790D62" w:rsidP="00790D62">
            <w:pPr>
              <w:jc w:val="center"/>
            </w:pPr>
            <w:r>
              <w:rPr>
                <w:rFonts w:hint="eastAsia"/>
              </w:rPr>
              <w:t>金额（人民币元）</w:t>
            </w:r>
          </w:p>
        </w:tc>
        <w:tc>
          <w:tcPr>
            <w:tcW w:w="2131" w:type="dxa"/>
          </w:tcPr>
          <w:p w:rsidR="00790D62" w:rsidRDefault="00790D62" w:rsidP="00790D62">
            <w:pPr>
              <w:jc w:val="center"/>
            </w:pPr>
            <w:r>
              <w:rPr>
                <w:rFonts w:hint="eastAsia"/>
              </w:rPr>
              <w:t>占基金总资产的比例（</w:t>
            </w:r>
            <w:r>
              <w:rPr>
                <w:rFonts w:hint="eastAsia"/>
              </w:rPr>
              <w:t>%</w:t>
            </w:r>
            <w:r>
              <w:rPr>
                <w:rFonts w:hint="eastAsia"/>
              </w:rPr>
              <w:t>）</w:t>
            </w:r>
          </w:p>
        </w:tc>
      </w:tr>
      <w:tr w:rsidR="00790D62" w:rsidTr="00790D62">
        <w:tc>
          <w:tcPr>
            <w:tcW w:w="2130" w:type="dxa"/>
          </w:tcPr>
          <w:p w:rsidR="00790D62" w:rsidRDefault="00790D62" w:rsidP="00790D62">
            <w:pPr>
              <w:jc w:val="center"/>
            </w:pPr>
            <w:r>
              <w:t>1</w:t>
            </w:r>
          </w:p>
        </w:tc>
        <w:tc>
          <w:tcPr>
            <w:tcW w:w="2130" w:type="dxa"/>
          </w:tcPr>
          <w:p w:rsidR="00790D62" w:rsidRDefault="00790D62" w:rsidP="00790D62">
            <w:pPr>
              <w:jc w:val="left"/>
            </w:pPr>
            <w:r>
              <w:rPr>
                <w:rFonts w:hint="eastAsia"/>
              </w:rPr>
              <w:t>权益投资</w:t>
            </w:r>
          </w:p>
        </w:tc>
        <w:tc>
          <w:tcPr>
            <w:tcW w:w="2131" w:type="dxa"/>
          </w:tcPr>
          <w:p w:rsidR="00790D62" w:rsidRDefault="00790D62" w:rsidP="00790D62">
            <w:pPr>
              <w:jc w:val="right"/>
            </w:pPr>
            <w:r>
              <w:t>479,825,695.52</w:t>
            </w:r>
          </w:p>
        </w:tc>
        <w:tc>
          <w:tcPr>
            <w:tcW w:w="2131" w:type="dxa"/>
          </w:tcPr>
          <w:p w:rsidR="00790D62" w:rsidRDefault="00790D62" w:rsidP="00790D62">
            <w:pPr>
              <w:jc w:val="right"/>
            </w:pPr>
            <w:r>
              <w:t>86.31</w:t>
            </w:r>
          </w:p>
        </w:tc>
      </w:tr>
      <w:tr w:rsidR="00790D62" w:rsidTr="00790D62">
        <w:tc>
          <w:tcPr>
            <w:tcW w:w="2130" w:type="dxa"/>
          </w:tcPr>
          <w:p w:rsidR="00790D62" w:rsidRDefault="00790D62" w:rsidP="00790D62">
            <w:pPr>
              <w:jc w:val="center"/>
            </w:pPr>
          </w:p>
        </w:tc>
        <w:tc>
          <w:tcPr>
            <w:tcW w:w="2130" w:type="dxa"/>
          </w:tcPr>
          <w:p w:rsidR="00790D62" w:rsidRDefault="00790D62" w:rsidP="00790D62">
            <w:pPr>
              <w:jc w:val="left"/>
            </w:pPr>
            <w:r>
              <w:rPr>
                <w:rFonts w:hint="eastAsia"/>
              </w:rPr>
              <w:t>其中：普通股</w:t>
            </w:r>
          </w:p>
        </w:tc>
        <w:tc>
          <w:tcPr>
            <w:tcW w:w="2131" w:type="dxa"/>
          </w:tcPr>
          <w:p w:rsidR="00790D62" w:rsidRDefault="00790D62" w:rsidP="00790D62">
            <w:pPr>
              <w:jc w:val="right"/>
            </w:pPr>
            <w:r>
              <w:t>437,352,290.86</w:t>
            </w:r>
          </w:p>
        </w:tc>
        <w:tc>
          <w:tcPr>
            <w:tcW w:w="2131" w:type="dxa"/>
          </w:tcPr>
          <w:p w:rsidR="00790D62" w:rsidRDefault="00790D62" w:rsidP="00790D62">
            <w:pPr>
              <w:jc w:val="right"/>
            </w:pPr>
            <w:r>
              <w:t>78.67</w:t>
            </w:r>
          </w:p>
        </w:tc>
      </w:tr>
      <w:tr w:rsidR="00790D62" w:rsidTr="00790D62">
        <w:tc>
          <w:tcPr>
            <w:tcW w:w="2130" w:type="dxa"/>
          </w:tcPr>
          <w:p w:rsidR="00790D62" w:rsidRDefault="00790D62" w:rsidP="00790D62">
            <w:pPr>
              <w:jc w:val="center"/>
            </w:pPr>
          </w:p>
        </w:tc>
        <w:tc>
          <w:tcPr>
            <w:tcW w:w="2130" w:type="dxa"/>
          </w:tcPr>
          <w:p w:rsidR="00790D62" w:rsidRDefault="00790D62" w:rsidP="00790D62">
            <w:pPr>
              <w:jc w:val="left"/>
            </w:pPr>
            <w:r>
              <w:rPr>
                <w:rFonts w:hint="eastAsia"/>
              </w:rPr>
              <w:t xml:space="preserve">      </w:t>
            </w:r>
            <w:r>
              <w:rPr>
                <w:rFonts w:hint="eastAsia"/>
              </w:rPr>
              <w:t>存托凭证</w:t>
            </w:r>
          </w:p>
        </w:tc>
        <w:tc>
          <w:tcPr>
            <w:tcW w:w="2131" w:type="dxa"/>
          </w:tcPr>
          <w:p w:rsidR="00790D62" w:rsidRDefault="00790D62" w:rsidP="00790D62">
            <w:pPr>
              <w:jc w:val="right"/>
            </w:pPr>
            <w:r>
              <w:t>42,473,404.66</w:t>
            </w:r>
          </w:p>
        </w:tc>
        <w:tc>
          <w:tcPr>
            <w:tcW w:w="2131" w:type="dxa"/>
          </w:tcPr>
          <w:p w:rsidR="00790D62" w:rsidRDefault="00790D62" w:rsidP="00790D62">
            <w:pPr>
              <w:jc w:val="right"/>
            </w:pPr>
            <w:r>
              <w:t>7.64</w:t>
            </w:r>
          </w:p>
        </w:tc>
      </w:tr>
      <w:tr w:rsidR="00790D62" w:rsidTr="00790D62">
        <w:tc>
          <w:tcPr>
            <w:tcW w:w="2130" w:type="dxa"/>
          </w:tcPr>
          <w:p w:rsidR="00790D62" w:rsidRDefault="00790D62" w:rsidP="00790D62">
            <w:pPr>
              <w:jc w:val="center"/>
            </w:pPr>
            <w:r>
              <w:t>2</w:t>
            </w:r>
          </w:p>
        </w:tc>
        <w:tc>
          <w:tcPr>
            <w:tcW w:w="2130" w:type="dxa"/>
          </w:tcPr>
          <w:p w:rsidR="00790D62" w:rsidRDefault="00790D62" w:rsidP="00790D62">
            <w:pPr>
              <w:jc w:val="left"/>
            </w:pPr>
            <w:r>
              <w:rPr>
                <w:rFonts w:hint="eastAsia"/>
              </w:rPr>
              <w:t>基金投资</w:t>
            </w:r>
          </w:p>
        </w:tc>
        <w:tc>
          <w:tcPr>
            <w:tcW w:w="2131" w:type="dxa"/>
          </w:tcPr>
          <w:p w:rsidR="00790D62" w:rsidRDefault="00790D62" w:rsidP="00790D62">
            <w:pPr>
              <w:jc w:val="right"/>
            </w:pPr>
            <w:r>
              <w:t>-</w:t>
            </w:r>
          </w:p>
        </w:tc>
        <w:tc>
          <w:tcPr>
            <w:tcW w:w="2131" w:type="dxa"/>
          </w:tcPr>
          <w:p w:rsidR="00790D62" w:rsidRDefault="00790D62" w:rsidP="00790D62">
            <w:pPr>
              <w:jc w:val="right"/>
            </w:pPr>
            <w:r>
              <w:t>-</w:t>
            </w:r>
          </w:p>
        </w:tc>
      </w:tr>
      <w:tr w:rsidR="00790D62" w:rsidTr="00790D62">
        <w:tc>
          <w:tcPr>
            <w:tcW w:w="2130" w:type="dxa"/>
          </w:tcPr>
          <w:p w:rsidR="00790D62" w:rsidRDefault="00790D62" w:rsidP="00790D62">
            <w:pPr>
              <w:jc w:val="center"/>
            </w:pPr>
            <w:r>
              <w:t>3</w:t>
            </w:r>
          </w:p>
        </w:tc>
        <w:tc>
          <w:tcPr>
            <w:tcW w:w="2130" w:type="dxa"/>
          </w:tcPr>
          <w:p w:rsidR="00790D62" w:rsidRDefault="00790D62" w:rsidP="00790D62">
            <w:pPr>
              <w:jc w:val="left"/>
            </w:pPr>
            <w:r>
              <w:rPr>
                <w:rFonts w:hint="eastAsia"/>
              </w:rPr>
              <w:t>固定收益投资</w:t>
            </w:r>
          </w:p>
        </w:tc>
        <w:tc>
          <w:tcPr>
            <w:tcW w:w="2131" w:type="dxa"/>
          </w:tcPr>
          <w:p w:rsidR="00790D62" w:rsidRDefault="00790D62" w:rsidP="00790D62">
            <w:pPr>
              <w:jc w:val="right"/>
            </w:pPr>
            <w:r>
              <w:t>-</w:t>
            </w:r>
          </w:p>
        </w:tc>
        <w:tc>
          <w:tcPr>
            <w:tcW w:w="2131" w:type="dxa"/>
          </w:tcPr>
          <w:p w:rsidR="00790D62" w:rsidRDefault="00790D62" w:rsidP="00790D62">
            <w:pPr>
              <w:jc w:val="right"/>
            </w:pPr>
            <w:r>
              <w:t>-</w:t>
            </w:r>
          </w:p>
        </w:tc>
      </w:tr>
      <w:tr w:rsidR="00790D62" w:rsidTr="00790D62">
        <w:tc>
          <w:tcPr>
            <w:tcW w:w="2130" w:type="dxa"/>
          </w:tcPr>
          <w:p w:rsidR="00790D62" w:rsidRDefault="00790D62" w:rsidP="00790D62">
            <w:pPr>
              <w:jc w:val="center"/>
            </w:pPr>
          </w:p>
        </w:tc>
        <w:tc>
          <w:tcPr>
            <w:tcW w:w="2130" w:type="dxa"/>
          </w:tcPr>
          <w:p w:rsidR="00790D62" w:rsidRDefault="00790D62" w:rsidP="00790D62">
            <w:pPr>
              <w:jc w:val="left"/>
            </w:pPr>
            <w:r>
              <w:rPr>
                <w:rFonts w:hint="eastAsia"/>
              </w:rPr>
              <w:t>其中：债券</w:t>
            </w:r>
          </w:p>
        </w:tc>
        <w:tc>
          <w:tcPr>
            <w:tcW w:w="2131" w:type="dxa"/>
          </w:tcPr>
          <w:p w:rsidR="00790D62" w:rsidRDefault="00790D62" w:rsidP="00790D62">
            <w:pPr>
              <w:jc w:val="right"/>
            </w:pPr>
            <w:r>
              <w:t>-</w:t>
            </w:r>
          </w:p>
        </w:tc>
        <w:tc>
          <w:tcPr>
            <w:tcW w:w="2131" w:type="dxa"/>
          </w:tcPr>
          <w:p w:rsidR="00790D62" w:rsidRDefault="00790D62" w:rsidP="00790D62">
            <w:pPr>
              <w:jc w:val="right"/>
            </w:pPr>
            <w:r>
              <w:t>-</w:t>
            </w:r>
          </w:p>
        </w:tc>
      </w:tr>
      <w:tr w:rsidR="00790D62" w:rsidTr="00790D62">
        <w:tc>
          <w:tcPr>
            <w:tcW w:w="2130" w:type="dxa"/>
          </w:tcPr>
          <w:p w:rsidR="00790D62" w:rsidRDefault="00790D62" w:rsidP="00790D62">
            <w:pPr>
              <w:jc w:val="center"/>
            </w:pPr>
          </w:p>
        </w:tc>
        <w:tc>
          <w:tcPr>
            <w:tcW w:w="2130" w:type="dxa"/>
          </w:tcPr>
          <w:p w:rsidR="00790D62" w:rsidRDefault="00790D62" w:rsidP="00790D62">
            <w:pPr>
              <w:jc w:val="left"/>
            </w:pPr>
            <w:r>
              <w:rPr>
                <w:rFonts w:hint="eastAsia"/>
              </w:rPr>
              <w:t xml:space="preserve">      </w:t>
            </w:r>
            <w:r>
              <w:rPr>
                <w:rFonts w:hint="eastAsia"/>
              </w:rPr>
              <w:t>资产支持证券</w:t>
            </w:r>
          </w:p>
        </w:tc>
        <w:tc>
          <w:tcPr>
            <w:tcW w:w="2131" w:type="dxa"/>
          </w:tcPr>
          <w:p w:rsidR="00790D62" w:rsidRDefault="00790D62" w:rsidP="00790D62">
            <w:pPr>
              <w:jc w:val="right"/>
            </w:pPr>
            <w:r>
              <w:t>-</w:t>
            </w:r>
          </w:p>
        </w:tc>
        <w:tc>
          <w:tcPr>
            <w:tcW w:w="2131" w:type="dxa"/>
          </w:tcPr>
          <w:p w:rsidR="00790D62" w:rsidRDefault="00790D62" w:rsidP="00790D62">
            <w:pPr>
              <w:jc w:val="right"/>
            </w:pPr>
            <w:r>
              <w:t>-</w:t>
            </w:r>
          </w:p>
        </w:tc>
      </w:tr>
      <w:tr w:rsidR="00790D62" w:rsidTr="00790D62">
        <w:tc>
          <w:tcPr>
            <w:tcW w:w="2130" w:type="dxa"/>
          </w:tcPr>
          <w:p w:rsidR="00790D62" w:rsidRDefault="00790D62" w:rsidP="00790D62">
            <w:pPr>
              <w:jc w:val="center"/>
            </w:pPr>
            <w:r>
              <w:t>4</w:t>
            </w:r>
          </w:p>
        </w:tc>
        <w:tc>
          <w:tcPr>
            <w:tcW w:w="2130" w:type="dxa"/>
          </w:tcPr>
          <w:p w:rsidR="00790D62" w:rsidRDefault="00790D62" w:rsidP="00790D62">
            <w:pPr>
              <w:jc w:val="left"/>
            </w:pPr>
            <w:r>
              <w:rPr>
                <w:rFonts w:hint="eastAsia"/>
              </w:rPr>
              <w:t>金融衍生品投资</w:t>
            </w:r>
          </w:p>
        </w:tc>
        <w:tc>
          <w:tcPr>
            <w:tcW w:w="2131" w:type="dxa"/>
          </w:tcPr>
          <w:p w:rsidR="00790D62" w:rsidRDefault="00790D62" w:rsidP="00790D62">
            <w:pPr>
              <w:jc w:val="right"/>
            </w:pPr>
            <w:r>
              <w:t>-</w:t>
            </w:r>
          </w:p>
        </w:tc>
        <w:tc>
          <w:tcPr>
            <w:tcW w:w="2131" w:type="dxa"/>
          </w:tcPr>
          <w:p w:rsidR="00790D62" w:rsidRDefault="00790D62" w:rsidP="00790D62">
            <w:pPr>
              <w:jc w:val="right"/>
            </w:pPr>
            <w:r>
              <w:t>-</w:t>
            </w:r>
          </w:p>
        </w:tc>
      </w:tr>
      <w:tr w:rsidR="00790D62" w:rsidTr="00790D62">
        <w:tc>
          <w:tcPr>
            <w:tcW w:w="2130" w:type="dxa"/>
          </w:tcPr>
          <w:p w:rsidR="00790D62" w:rsidRDefault="00790D62" w:rsidP="00790D62">
            <w:pPr>
              <w:jc w:val="center"/>
            </w:pPr>
          </w:p>
        </w:tc>
        <w:tc>
          <w:tcPr>
            <w:tcW w:w="2130" w:type="dxa"/>
          </w:tcPr>
          <w:p w:rsidR="00790D62" w:rsidRDefault="00790D62" w:rsidP="00790D62">
            <w:pPr>
              <w:jc w:val="left"/>
            </w:pPr>
            <w:r>
              <w:rPr>
                <w:rFonts w:hint="eastAsia"/>
              </w:rPr>
              <w:t>其中：远期</w:t>
            </w:r>
          </w:p>
        </w:tc>
        <w:tc>
          <w:tcPr>
            <w:tcW w:w="2131" w:type="dxa"/>
          </w:tcPr>
          <w:p w:rsidR="00790D62" w:rsidRDefault="00790D62" w:rsidP="00790D62">
            <w:pPr>
              <w:jc w:val="right"/>
            </w:pPr>
            <w:r>
              <w:t>-</w:t>
            </w:r>
          </w:p>
        </w:tc>
        <w:tc>
          <w:tcPr>
            <w:tcW w:w="2131" w:type="dxa"/>
          </w:tcPr>
          <w:p w:rsidR="00790D62" w:rsidRDefault="00790D62" w:rsidP="00790D62">
            <w:pPr>
              <w:jc w:val="right"/>
            </w:pPr>
            <w:r>
              <w:t>-</w:t>
            </w:r>
          </w:p>
        </w:tc>
      </w:tr>
      <w:tr w:rsidR="00790D62" w:rsidTr="00790D62">
        <w:tc>
          <w:tcPr>
            <w:tcW w:w="2130" w:type="dxa"/>
          </w:tcPr>
          <w:p w:rsidR="00790D62" w:rsidRDefault="00790D62" w:rsidP="00790D62">
            <w:pPr>
              <w:jc w:val="center"/>
            </w:pPr>
          </w:p>
        </w:tc>
        <w:tc>
          <w:tcPr>
            <w:tcW w:w="2130" w:type="dxa"/>
          </w:tcPr>
          <w:p w:rsidR="00790D62" w:rsidRDefault="00790D62" w:rsidP="00790D62">
            <w:pPr>
              <w:jc w:val="left"/>
            </w:pPr>
            <w:r>
              <w:rPr>
                <w:rFonts w:hint="eastAsia"/>
              </w:rPr>
              <w:t xml:space="preserve">      </w:t>
            </w:r>
            <w:r>
              <w:rPr>
                <w:rFonts w:hint="eastAsia"/>
              </w:rPr>
              <w:t>期货</w:t>
            </w:r>
          </w:p>
        </w:tc>
        <w:tc>
          <w:tcPr>
            <w:tcW w:w="2131" w:type="dxa"/>
          </w:tcPr>
          <w:p w:rsidR="00790D62" w:rsidRDefault="00790D62" w:rsidP="00790D62">
            <w:pPr>
              <w:jc w:val="right"/>
            </w:pPr>
            <w:r>
              <w:t>-</w:t>
            </w:r>
          </w:p>
        </w:tc>
        <w:tc>
          <w:tcPr>
            <w:tcW w:w="2131" w:type="dxa"/>
          </w:tcPr>
          <w:p w:rsidR="00790D62" w:rsidRDefault="00790D62" w:rsidP="00790D62">
            <w:pPr>
              <w:jc w:val="right"/>
            </w:pPr>
            <w:r>
              <w:t>-</w:t>
            </w:r>
          </w:p>
        </w:tc>
      </w:tr>
      <w:tr w:rsidR="00790D62" w:rsidTr="00790D62">
        <w:tc>
          <w:tcPr>
            <w:tcW w:w="2130" w:type="dxa"/>
          </w:tcPr>
          <w:p w:rsidR="00790D62" w:rsidRDefault="00790D62" w:rsidP="00790D62">
            <w:pPr>
              <w:jc w:val="center"/>
            </w:pPr>
          </w:p>
        </w:tc>
        <w:tc>
          <w:tcPr>
            <w:tcW w:w="2130" w:type="dxa"/>
          </w:tcPr>
          <w:p w:rsidR="00790D62" w:rsidRDefault="00790D62" w:rsidP="00790D62">
            <w:pPr>
              <w:jc w:val="left"/>
            </w:pPr>
            <w:r>
              <w:rPr>
                <w:rFonts w:hint="eastAsia"/>
              </w:rPr>
              <w:t xml:space="preserve">      </w:t>
            </w:r>
            <w:r>
              <w:rPr>
                <w:rFonts w:hint="eastAsia"/>
              </w:rPr>
              <w:t>期权</w:t>
            </w:r>
          </w:p>
        </w:tc>
        <w:tc>
          <w:tcPr>
            <w:tcW w:w="2131" w:type="dxa"/>
          </w:tcPr>
          <w:p w:rsidR="00790D62" w:rsidRDefault="00790D62" w:rsidP="00790D62">
            <w:pPr>
              <w:jc w:val="right"/>
            </w:pPr>
            <w:r>
              <w:t>-</w:t>
            </w:r>
          </w:p>
        </w:tc>
        <w:tc>
          <w:tcPr>
            <w:tcW w:w="2131" w:type="dxa"/>
          </w:tcPr>
          <w:p w:rsidR="00790D62" w:rsidRDefault="00790D62" w:rsidP="00790D62">
            <w:pPr>
              <w:jc w:val="right"/>
            </w:pPr>
            <w:r>
              <w:t>-</w:t>
            </w:r>
          </w:p>
        </w:tc>
      </w:tr>
      <w:tr w:rsidR="00790D62" w:rsidTr="00790D62">
        <w:tc>
          <w:tcPr>
            <w:tcW w:w="2130" w:type="dxa"/>
          </w:tcPr>
          <w:p w:rsidR="00790D62" w:rsidRDefault="00790D62" w:rsidP="00790D62">
            <w:pPr>
              <w:jc w:val="center"/>
            </w:pPr>
          </w:p>
        </w:tc>
        <w:tc>
          <w:tcPr>
            <w:tcW w:w="2130" w:type="dxa"/>
          </w:tcPr>
          <w:p w:rsidR="00790D62" w:rsidRDefault="00790D62" w:rsidP="00790D62">
            <w:pPr>
              <w:jc w:val="left"/>
            </w:pPr>
            <w:r>
              <w:rPr>
                <w:rFonts w:hint="eastAsia"/>
              </w:rPr>
              <w:t xml:space="preserve">      </w:t>
            </w:r>
            <w:r>
              <w:rPr>
                <w:rFonts w:hint="eastAsia"/>
              </w:rPr>
              <w:t>权证</w:t>
            </w:r>
          </w:p>
        </w:tc>
        <w:tc>
          <w:tcPr>
            <w:tcW w:w="2131" w:type="dxa"/>
          </w:tcPr>
          <w:p w:rsidR="00790D62" w:rsidRDefault="00790D62" w:rsidP="00790D62">
            <w:pPr>
              <w:jc w:val="right"/>
            </w:pPr>
            <w:r>
              <w:t>-</w:t>
            </w:r>
          </w:p>
        </w:tc>
        <w:tc>
          <w:tcPr>
            <w:tcW w:w="2131" w:type="dxa"/>
          </w:tcPr>
          <w:p w:rsidR="00790D62" w:rsidRDefault="00790D62" w:rsidP="00790D62">
            <w:pPr>
              <w:jc w:val="right"/>
            </w:pPr>
            <w:r>
              <w:t>-</w:t>
            </w:r>
          </w:p>
        </w:tc>
      </w:tr>
      <w:tr w:rsidR="00790D62" w:rsidTr="00790D62">
        <w:tc>
          <w:tcPr>
            <w:tcW w:w="2130" w:type="dxa"/>
          </w:tcPr>
          <w:p w:rsidR="00790D62" w:rsidRDefault="00790D62" w:rsidP="00790D62">
            <w:pPr>
              <w:jc w:val="center"/>
            </w:pPr>
            <w:r>
              <w:t>5</w:t>
            </w:r>
          </w:p>
        </w:tc>
        <w:tc>
          <w:tcPr>
            <w:tcW w:w="2130" w:type="dxa"/>
          </w:tcPr>
          <w:p w:rsidR="00790D62" w:rsidRDefault="00790D62" w:rsidP="00790D62">
            <w:pPr>
              <w:jc w:val="left"/>
            </w:pPr>
            <w:r>
              <w:rPr>
                <w:rFonts w:hint="eastAsia"/>
              </w:rPr>
              <w:t>买入返售金融资产</w:t>
            </w:r>
          </w:p>
        </w:tc>
        <w:tc>
          <w:tcPr>
            <w:tcW w:w="2131" w:type="dxa"/>
          </w:tcPr>
          <w:p w:rsidR="00790D62" w:rsidRDefault="00790D62" w:rsidP="00790D62">
            <w:pPr>
              <w:jc w:val="right"/>
            </w:pPr>
            <w:r>
              <w:t>-</w:t>
            </w:r>
          </w:p>
        </w:tc>
        <w:tc>
          <w:tcPr>
            <w:tcW w:w="2131" w:type="dxa"/>
          </w:tcPr>
          <w:p w:rsidR="00790D62" w:rsidRDefault="00790D62" w:rsidP="00790D62">
            <w:pPr>
              <w:jc w:val="right"/>
            </w:pPr>
            <w:r>
              <w:t>-</w:t>
            </w:r>
          </w:p>
        </w:tc>
      </w:tr>
      <w:tr w:rsidR="00790D62" w:rsidTr="00790D62">
        <w:tc>
          <w:tcPr>
            <w:tcW w:w="2130" w:type="dxa"/>
          </w:tcPr>
          <w:p w:rsidR="00790D62" w:rsidRDefault="00790D62" w:rsidP="00790D62">
            <w:pPr>
              <w:jc w:val="center"/>
            </w:pPr>
          </w:p>
        </w:tc>
        <w:tc>
          <w:tcPr>
            <w:tcW w:w="2130" w:type="dxa"/>
          </w:tcPr>
          <w:p w:rsidR="00790D62" w:rsidRDefault="00790D62" w:rsidP="00790D62">
            <w:pPr>
              <w:jc w:val="left"/>
            </w:pPr>
            <w:r>
              <w:rPr>
                <w:rFonts w:hint="eastAsia"/>
              </w:rPr>
              <w:t>其中：买断式回购的买入返售金融资产</w:t>
            </w:r>
          </w:p>
        </w:tc>
        <w:tc>
          <w:tcPr>
            <w:tcW w:w="2131" w:type="dxa"/>
          </w:tcPr>
          <w:p w:rsidR="00790D62" w:rsidRDefault="00790D62" w:rsidP="00790D62">
            <w:pPr>
              <w:jc w:val="right"/>
            </w:pPr>
            <w:r>
              <w:t>-</w:t>
            </w:r>
          </w:p>
        </w:tc>
        <w:tc>
          <w:tcPr>
            <w:tcW w:w="2131" w:type="dxa"/>
          </w:tcPr>
          <w:p w:rsidR="00790D62" w:rsidRDefault="00790D62" w:rsidP="00790D62">
            <w:pPr>
              <w:jc w:val="right"/>
            </w:pPr>
            <w:r>
              <w:t>-</w:t>
            </w:r>
          </w:p>
        </w:tc>
      </w:tr>
      <w:tr w:rsidR="00790D62" w:rsidTr="00790D62">
        <w:tc>
          <w:tcPr>
            <w:tcW w:w="2130" w:type="dxa"/>
          </w:tcPr>
          <w:p w:rsidR="00790D62" w:rsidRDefault="00790D62" w:rsidP="00790D62">
            <w:pPr>
              <w:jc w:val="center"/>
            </w:pPr>
            <w:r>
              <w:t>6</w:t>
            </w:r>
          </w:p>
        </w:tc>
        <w:tc>
          <w:tcPr>
            <w:tcW w:w="2130" w:type="dxa"/>
          </w:tcPr>
          <w:p w:rsidR="00790D62" w:rsidRDefault="00790D62" w:rsidP="00790D62">
            <w:pPr>
              <w:jc w:val="left"/>
            </w:pPr>
            <w:r>
              <w:rPr>
                <w:rFonts w:hint="eastAsia"/>
              </w:rPr>
              <w:t>货币市场工具</w:t>
            </w:r>
          </w:p>
        </w:tc>
        <w:tc>
          <w:tcPr>
            <w:tcW w:w="2131" w:type="dxa"/>
          </w:tcPr>
          <w:p w:rsidR="00790D62" w:rsidRDefault="00790D62" w:rsidP="00790D62">
            <w:pPr>
              <w:jc w:val="right"/>
            </w:pPr>
            <w:r>
              <w:t>-</w:t>
            </w:r>
          </w:p>
        </w:tc>
        <w:tc>
          <w:tcPr>
            <w:tcW w:w="2131" w:type="dxa"/>
          </w:tcPr>
          <w:p w:rsidR="00790D62" w:rsidRDefault="00790D62" w:rsidP="00790D62">
            <w:pPr>
              <w:jc w:val="right"/>
            </w:pPr>
            <w:r>
              <w:t>-</w:t>
            </w:r>
          </w:p>
        </w:tc>
      </w:tr>
      <w:tr w:rsidR="00790D62" w:rsidTr="00790D62">
        <w:tc>
          <w:tcPr>
            <w:tcW w:w="2130" w:type="dxa"/>
          </w:tcPr>
          <w:p w:rsidR="00790D62" w:rsidRDefault="00790D62" w:rsidP="00790D62">
            <w:pPr>
              <w:jc w:val="center"/>
            </w:pPr>
            <w:r>
              <w:t>7</w:t>
            </w:r>
          </w:p>
        </w:tc>
        <w:tc>
          <w:tcPr>
            <w:tcW w:w="2130" w:type="dxa"/>
          </w:tcPr>
          <w:p w:rsidR="00790D62" w:rsidRDefault="00790D62" w:rsidP="00790D62">
            <w:pPr>
              <w:jc w:val="left"/>
            </w:pPr>
            <w:r>
              <w:rPr>
                <w:rFonts w:hint="eastAsia"/>
              </w:rPr>
              <w:t>银行存款和结算备付金合计</w:t>
            </w:r>
          </w:p>
        </w:tc>
        <w:tc>
          <w:tcPr>
            <w:tcW w:w="2131" w:type="dxa"/>
          </w:tcPr>
          <w:p w:rsidR="00790D62" w:rsidRDefault="00790D62" w:rsidP="00790D62">
            <w:pPr>
              <w:jc w:val="right"/>
            </w:pPr>
            <w:r>
              <w:t>71,210,175.74</w:t>
            </w:r>
          </w:p>
        </w:tc>
        <w:tc>
          <w:tcPr>
            <w:tcW w:w="2131" w:type="dxa"/>
          </w:tcPr>
          <w:p w:rsidR="00790D62" w:rsidRDefault="00790D62" w:rsidP="00790D62">
            <w:pPr>
              <w:jc w:val="right"/>
            </w:pPr>
            <w:r>
              <w:t>12.81</w:t>
            </w:r>
          </w:p>
        </w:tc>
      </w:tr>
      <w:tr w:rsidR="00790D62" w:rsidTr="00790D62">
        <w:tc>
          <w:tcPr>
            <w:tcW w:w="2130" w:type="dxa"/>
          </w:tcPr>
          <w:p w:rsidR="00790D62" w:rsidRDefault="00790D62" w:rsidP="00790D62">
            <w:pPr>
              <w:jc w:val="center"/>
            </w:pPr>
            <w:r>
              <w:t>8</w:t>
            </w:r>
          </w:p>
        </w:tc>
        <w:tc>
          <w:tcPr>
            <w:tcW w:w="2130" w:type="dxa"/>
          </w:tcPr>
          <w:p w:rsidR="00790D62" w:rsidRDefault="00790D62" w:rsidP="00790D62">
            <w:pPr>
              <w:jc w:val="left"/>
            </w:pPr>
            <w:r>
              <w:rPr>
                <w:rFonts w:hint="eastAsia"/>
              </w:rPr>
              <w:t>其他资产</w:t>
            </w:r>
          </w:p>
        </w:tc>
        <w:tc>
          <w:tcPr>
            <w:tcW w:w="2131" w:type="dxa"/>
          </w:tcPr>
          <w:p w:rsidR="00790D62" w:rsidRDefault="00790D62" w:rsidP="00790D62">
            <w:pPr>
              <w:jc w:val="right"/>
            </w:pPr>
            <w:r>
              <w:t>4,877,018.28</w:t>
            </w:r>
          </w:p>
        </w:tc>
        <w:tc>
          <w:tcPr>
            <w:tcW w:w="2131" w:type="dxa"/>
          </w:tcPr>
          <w:p w:rsidR="00790D62" w:rsidRDefault="00790D62" w:rsidP="00790D62">
            <w:pPr>
              <w:jc w:val="right"/>
            </w:pPr>
            <w:r>
              <w:t>0.88</w:t>
            </w:r>
          </w:p>
        </w:tc>
      </w:tr>
      <w:tr w:rsidR="00790D62" w:rsidTr="00790D62">
        <w:tc>
          <w:tcPr>
            <w:tcW w:w="2130" w:type="dxa"/>
          </w:tcPr>
          <w:p w:rsidR="00790D62" w:rsidRDefault="00790D62" w:rsidP="00790D62">
            <w:pPr>
              <w:jc w:val="center"/>
            </w:pPr>
            <w:r>
              <w:t>9</w:t>
            </w:r>
          </w:p>
        </w:tc>
        <w:tc>
          <w:tcPr>
            <w:tcW w:w="2130" w:type="dxa"/>
          </w:tcPr>
          <w:p w:rsidR="00790D62" w:rsidRDefault="00790D62" w:rsidP="00790D62">
            <w:pPr>
              <w:jc w:val="left"/>
            </w:pPr>
            <w:r>
              <w:rPr>
                <w:rFonts w:hint="eastAsia"/>
              </w:rPr>
              <w:t>合计</w:t>
            </w:r>
          </w:p>
        </w:tc>
        <w:tc>
          <w:tcPr>
            <w:tcW w:w="2131" w:type="dxa"/>
          </w:tcPr>
          <w:p w:rsidR="00790D62" w:rsidRDefault="00790D62" w:rsidP="00790D62">
            <w:pPr>
              <w:jc w:val="right"/>
            </w:pPr>
            <w:r>
              <w:t>555,912,889.54</w:t>
            </w:r>
          </w:p>
        </w:tc>
        <w:tc>
          <w:tcPr>
            <w:tcW w:w="2131" w:type="dxa"/>
          </w:tcPr>
          <w:p w:rsidR="00790D62" w:rsidRDefault="00790D62" w:rsidP="00790D62">
            <w:pPr>
              <w:jc w:val="right"/>
            </w:pPr>
            <w:r>
              <w:t>100.00</w:t>
            </w:r>
          </w:p>
        </w:tc>
      </w:tr>
    </w:tbl>
    <w:p w:rsidR="00790D62" w:rsidRDefault="00790D62" w:rsidP="00790D62">
      <w:pPr>
        <w:pStyle w:val="-8"/>
      </w:pPr>
      <w:r>
        <w:rPr>
          <w:rFonts w:hint="eastAsia"/>
        </w:rPr>
        <w:t>注：本基金本报告期末通过沪港通交易机制投资的港股市值为人民币60,469,024.54元，占基金资产净值比例11.30%;通过深港通交易机制投资的港股市值为人民币101,736,981.04元，占基金资产净值比例19.02%。</w:t>
      </w:r>
    </w:p>
    <w:p w:rsidR="00790D62" w:rsidRDefault="00790D62" w:rsidP="00790D62">
      <w:pPr>
        <w:pStyle w:val="-2"/>
        <w:spacing w:before="312"/>
      </w:pPr>
      <w:r>
        <w:rPr>
          <w:rFonts w:hint="eastAsia"/>
        </w:rPr>
        <w:t>报告期末在各个国家（地区）证券市场的股票及存托凭证投资分布</w:t>
      </w:r>
    </w:p>
    <w:tbl>
      <w:tblPr>
        <w:tblStyle w:val="-0"/>
        <w:tblW w:w="0" w:type="auto"/>
        <w:tblLayout w:type="fixed"/>
        <w:tblLook w:val="04A0" w:firstRow="1" w:lastRow="0" w:firstColumn="1" w:lastColumn="0" w:noHBand="0" w:noVBand="1"/>
      </w:tblPr>
      <w:tblGrid>
        <w:gridCol w:w="2840"/>
        <w:gridCol w:w="2841"/>
        <w:gridCol w:w="2841"/>
      </w:tblGrid>
      <w:tr w:rsidR="00790D62" w:rsidTr="00790D62">
        <w:trPr>
          <w:cnfStyle w:val="100000000000" w:firstRow="1" w:lastRow="0" w:firstColumn="0" w:lastColumn="0" w:oddVBand="0" w:evenVBand="0" w:oddHBand="0" w:evenHBand="0" w:firstRowFirstColumn="0" w:firstRowLastColumn="0" w:lastRowFirstColumn="0" w:lastRowLastColumn="0"/>
        </w:trPr>
        <w:tc>
          <w:tcPr>
            <w:tcW w:w="2840" w:type="dxa"/>
          </w:tcPr>
          <w:p w:rsidR="00790D62" w:rsidRDefault="00790D62" w:rsidP="00790D62">
            <w:pPr>
              <w:jc w:val="center"/>
            </w:pPr>
            <w:r>
              <w:rPr>
                <w:rFonts w:hint="eastAsia"/>
              </w:rPr>
              <w:t>国家（地区）</w:t>
            </w:r>
          </w:p>
        </w:tc>
        <w:tc>
          <w:tcPr>
            <w:tcW w:w="2841" w:type="dxa"/>
          </w:tcPr>
          <w:p w:rsidR="00790D62" w:rsidRDefault="00790D62" w:rsidP="00790D62">
            <w:pPr>
              <w:jc w:val="center"/>
            </w:pPr>
            <w:r>
              <w:rPr>
                <w:rFonts w:hint="eastAsia"/>
              </w:rPr>
              <w:t>公允价值（人民币元）</w:t>
            </w:r>
          </w:p>
        </w:tc>
        <w:tc>
          <w:tcPr>
            <w:tcW w:w="2841" w:type="dxa"/>
          </w:tcPr>
          <w:p w:rsidR="00790D62" w:rsidRDefault="00790D62" w:rsidP="00790D62">
            <w:pPr>
              <w:jc w:val="center"/>
            </w:pPr>
            <w:r>
              <w:rPr>
                <w:rFonts w:hint="eastAsia"/>
              </w:rPr>
              <w:t>占基金资产净值比例（％）</w:t>
            </w:r>
          </w:p>
        </w:tc>
      </w:tr>
      <w:tr w:rsidR="00790D62" w:rsidTr="00790D62">
        <w:tc>
          <w:tcPr>
            <w:tcW w:w="2840" w:type="dxa"/>
          </w:tcPr>
          <w:p w:rsidR="00790D62" w:rsidRDefault="00790D62" w:rsidP="00790D62">
            <w:pPr>
              <w:jc w:val="left"/>
            </w:pPr>
            <w:r>
              <w:rPr>
                <w:rFonts w:hint="eastAsia"/>
              </w:rPr>
              <w:t>美国</w:t>
            </w:r>
          </w:p>
        </w:tc>
        <w:tc>
          <w:tcPr>
            <w:tcW w:w="2841" w:type="dxa"/>
          </w:tcPr>
          <w:p w:rsidR="00790D62" w:rsidRDefault="00790D62" w:rsidP="00790D62">
            <w:pPr>
              <w:jc w:val="right"/>
            </w:pPr>
            <w:r>
              <w:t>42,473,404.66</w:t>
            </w:r>
          </w:p>
        </w:tc>
        <w:tc>
          <w:tcPr>
            <w:tcW w:w="2841" w:type="dxa"/>
          </w:tcPr>
          <w:p w:rsidR="00790D62" w:rsidRDefault="00790D62" w:rsidP="00790D62">
            <w:pPr>
              <w:jc w:val="right"/>
            </w:pPr>
            <w:r>
              <w:t>7.94</w:t>
            </w:r>
          </w:p>
        </w:tc>
      </w:tr>
      <w:tr w:rsidR="00790D62" w:rsidTr="00790D62">
        <w:tc>
          <w:tcPr>
            <w:tcW w:w="2840" w:type="dxa"/>
          </w:tcPr>
          <w:p w:rsidR="00790D62" w:rsidRDefault="00790D62" w:rsidP="00790D62">
            <w:pPr>
              <w:jc w:val="left"/>
            </w:pPr>
            <w:r>
              <w:rPr>
                <w:rFonts w:hint="eastAsia"/>
              </w:rPr>
              <w:t>中国香港</w:t>
            </w:r>
          </w:p>
        </w:tc>
        <w:tc>
          <w:tcPr>
            <w:tcW w:w="2841" w:type="dxa"/>
          </w:tcPr>
          <w:p w:rsidR="00790D62" w:rsidRDefault="00790D62" w:rsidP="00790D62">
            <w:pPr>
              <w:jc w:val="right"/>
            </w:pPr>
            <w:r>
              <w:t>437,352,290.86</w:t>
            </w:r>
          </w:p>
        </w:tc>
        <w:tc>
          <w:tcPr>
            <w:tcW w:w="2841" w:type="dxa"/>
          </w:tcPr>
          <w:p w:rsidR="00790D62" w:rsidRDefault="00790D62" w:rsidP="00790D62">
            <w:pPr>
              <w:jc w:val="right"/>
            </w:pPr>
            <w:r>
              <w:t>81.75</w:t>
            </w:r>
          </w:p>
        </w:tc>
      </w:tr>
      <w:tr w:rsidR="00790D62" w:rsidTr="00790D62">
        <w:tc>
          <w:tcPr>
            <w:tcW w:w="2840" w:type="dxa"/>
          </w:tcPr>
          <w:p w:rsidR="00790D62" w:rsidRDefault="00790D62" w:rsidP="00790D62">
            <w:pPr>
              <w:jc w:val="left"/>
            </w:pPr>
            <w:r>
              <w:rPr>
                <w:rFonts w:hint="eastAsia"/>
              </w:rPr>
              <w:t>合计</w:t>
            </w:r>
          </w:p>
        </w:tc>
        <w:tc>
          <w:tcPr>
            <w:tcW w:w="2841" w:type="dxa"/>
          </w:tcPr>
          <w:p w:rsidR="00790D62" w:rsidRDefault="00790D62" w:rsidP="00790D62">
            <w:pPr>
              <w:jc w:val="right"/>
            </w:pPr>
            <w:r>
              <w:t>479,825,695.52</w:t>
            </w:r>
          </w:p>
        </w:tc>
        <w:tc>
          <w:tcPr>
            <w:tcW w:w="2841" w:type="dxa"/>
          </w:tcPr>
          <w:p w:rsidR="00790D62" w:rsidRDefault="00790D62" w:rsidP="00790D62">
            <w:pPr>
              <w:jc w:val="right"/>
            </w:pPr>
            <w:r>
              <w:t>89.69</w:t>
            </w:r>
          </w:p>
        </w:tc>
      </w:tr>
    </w:tbl>
    <w:p w:rsidR="00790D62" w:rsidRDefault="00790D62" w:rsidP="00790D62">
      <w:pPr>
        <w:pStyle w:val="-2"/>
        <w:spacing w:before="312"/>
      </w:pPr>
      <w:r>
        <w:rPr>
          <w:rFonts w:hint="eastAsia"/>
        </w:rPr>
        <w:t>报告期末按行业分类的股票及存托凭证投资组合</w:t>
      </w:r>
    </w:p>
    <w:tbl>
      <w:tblPr>
        <w:tblStyle w:val="-0"/>
        <w:tblW w:w="0" w:type="auto"/>
        <w:tblLayout w:type="fixed"/>
        <w:tblLook w:val="04A0" w:firstRow="1" w:lastRow="0" w:firstColumn="1" w:lastColumn="0" w:noHBand="0" w:noVBand="1"/>
      </w:tblPr>
      <w:tblGrid>
        <w:gridCol w:w="2840"/>
        <w:gridCol w:w="2841"/>
        <w:gridCol w:w="2841"/>
      </w:tblGrid>
      <w:tr w:rsidR="00790D62" w:rsidTr="00790D62">
        <w:trPr>
          <w:cnfStyle w:val="100000000000" w:firstRow="1" w:lastRow="0" w:firstColumn="0" w:lastColumn="0" w:oddVBand="0" w:evenVBand="0" w:oddHBand="0" w:evenHBand="0" w:firstRowFirstColumn="0" w:firstRowLastColumn="0" w:lastRowFirstColumn="0" w:lastRowLastColumn="0"/>
        </w:trPr>
        <w:tc>
          <w:tcPr>
            <w:tcW w:w="2840" w:type="dxa"/>
          </w:tcPr>
          <w:p w:rsidR="00790D62" w:rsidRDefault="00790D62" w:rsidP="00790D62">
            <w:pPr>
              <w:jc w:val="center"/>
            </w:pPr>
            <w:r>
              <w:rPr>
                <w:rFonts w:hint="eastAsia"/>
              </w:rPr>
              <w:t>行业类别</w:t>
            </w:r>
          </w:p>
        </w:tc>
        <w:tc>
          <w:tcPr>
            <w:tcW w:w="2841" w:type="dxa"/>
          </w:tcPr>
          <w:p w:rsidR="00790D62" w:rsidRDefault="00790D62" w:rsidP="00790D62">
            <w:pPr>
              <w:jc w:val="center"/>
            </w:pPr>
            <w:r>
              <w:rPr>
                <w:rFonts w:hint="eastAsia"/>
              </w:rPr>
              <w:t>公允价值（人民币元）</w:t>
            </w:r>
          </w:p>
        </w:tc>
        <w:tc>
          <w:tcPr>
            <w:tcW w:w="2841" w:type="dxa"/>
          </w:tcPr>
          <w:p w:rsidR="00790D62" w:rsidRDefault="00790D62" w:rsidP="00790D62">
            <w:pPr>
              <w:jc w:val="center"/>
            </w:pPr>
            <w:r>
              <w:rPr>
                <w:rFonts w:hint="eastAsia"/>
              </w:rPr>
              <w:t>占基金资产净值比例（％）</w:t>
            </w:r>
          </w:p>
        </w:tc>
      </w:tr>
      <w:tr w:rsidR="00790D62" w:rsidTr="00790D62">
        <w:tc>
          <w:tcPr>
            <w:tcW w:w="2840" w:type="dxa"/>
          </w:tcPr>
          <w:p w:rsidR="00790D62" w:rsidRDefault="00790D62" w:rsidP="00790D62">
            <w:pPr>
              <w:jc w:val="left"/>
            </w:pPr>
            <w:r>
              <w:rPr>
                <w:rFonts w:hint="eastAsia"/>
              </w:rPr>
              <w:t>能源</w:t>
            </w:r>
          </w:p>
        </w:tc>
        <w:tc>
          <w:tcPr>
            <w:tcW w:w="2841" w:type="dxa"/>
          </w:tcPr>
          <w:p w:rsidR="00790D62" w:rsidRDefault="00790D62" w:rsidP="00790D62">
            <w:pPr>
              <w:jc w:val="right"/>
            </w:pPr>
            <w:r>
              <w:t>-</w:t>
            </w:r>
          </w:p>
        </w:tc>
        <w:tc>
          <w:tcPr>
            <w:tcW w:w="2841" w:type="dxa"/>
          </w:tcPr>
          <w:p w:rsidR="00790D62" w:rsidRDefault="00790D62" w:rsidP="00790D62">
            <w:pPr>
              <w:jc w:val="right"/>
            </w:pPr>
            <w:r>
              <w:t>-</w:t>
            </w:r>
          </w:p>
        </w:tc>
      </w:tr>
      <w:tr w:rsidR="00790D62" w:rsidTr="00790D62">
        <w:tc>
          <w:tcPr>
            <w:tcW w:w="2840" w:type="dxa"/>
          </w:tcPr>
          <w:p w:rsidR="00790D62" w:rsidRDefault="00790D62" w:rsidP="00790D62">
            <w:pPr>
              <w:jc w:val="left"/>
            </w:pPr>
            <w:r>
              <w:rPr>
                <w:rFonts w:hint="eastAsia"/>
              </w:rPr>
              <w:t>材料</w:t>
            </w:r>
          </w:p>
        </w:tc>
        <w:tc>
          <w:tcPr>
            <w:tcW w:w="2841" w:type="dxa"/>
          </w:tcPr>
          <w:p w:rsidR="00790D62" w:rsidRDefault="00790D62" w:rsidP="00790D62">
            <w:pPr>
              <w:jc w:val="right"/>
            </w:pPr>
            <w:r>
              <w:t>-</w:t>
            </w:r>
          </w:p>
        </w:tc>
        <w:tc>
          <w:tcPr>
            <w:tcW w:w="2841" w:type="dxa"/>
          </w:tcPr>
          <w:p w:rsidR="00790D62" w:rsidRDefault="00790D62" w:rsidP="00790D62">
            <w:pPr>
              <w:jc w:val="right"/>
            </w:pPr>
            <w:r>
              <w:t>-</w:t>
            </w:r>
          </w:p>
        </w:tc>
      </w:tr>
      <w:tr w:rsidR="00790D62" w:rsidTr="00790D62">
        <w:tc>
          <w:tcPr>
            <w:tcW w:w="2840" w:type="dxa"/>
          </w:tcPr>
          <w:p w:rsidR="00790D62" w:rsidRDefault="00790D62" w:rsidP="00790D62">
            <w:pPr>
              <w:jc w:val="left"/>
            </w:pPr>
            <w:r>
              <w:rPr>
                <w:rFonts w:hint="eastAsia"/>
              </w:rPr>
              <w:t>工业</w:t>
            </w:r>
          </w:p>
        </w:tc>
        <w:tc>
          <w:tcPr>
            <w:tcW w:w="2841" w:type="dxa"/>
          </w:tcPr>
          <w:p w:rsidR="00790D62" w:rsidRDefault="00790D62" w:rsidP="00790D62">
            <w:pPr>
              <w:jc w:val="right"/>
            </w:pPr>
            <w:r>
              <w:t>-</w:t>
            </w:r>
          </w:p>
        </w:tc>
        <w:tc>
          <w:tcPr>
            <w:tcW w:w="2841" w:type="dxa"/>
          </w:tcPr>
          <w:p w:rsidR="00790D62" w:rsidRDefault="00790D62" w:rsidP="00790D62">
            <w:pPr>
              <w:jc w:val="right"/>
            </w:pPr>
            <w:r>
              <w:t>-</w:t>
            </w:r>
          </w:p>
        </w:tc>
      </w:tr>
      <w:tr w:rsidR="00790D62" w:rsidTr="00790D62">
        <w:tc>
          <w:tcPr>
            <w:tcW w:w="2840" w:type="dxa"/>
          </w:tcPr>
          <w:p w:rsidR="00790D62" w:rsidRDefault="00790D62" w:rsidP="00790D62">
            <w:pPr>
              <w:jc w:val="left"/>
            </w:pPr>
            <w:r>
              <w:rPr>
                <w:rFonts w:hint="eastAsia"/>
              </w:rPr>
              <w:t>非必需消费品</w:t>
            </w:r>
          </w:p>
        </w:tc>
        <w:tc>
          <w:tcPr>
            <w:tcW w:w="2841" w:type="dxa"/>
          </w:tcPr>
          <w:p w:rsidR="00790D62" w:rsidRDefault="00790D62" w:rsidP="00790D62">
            <w:pPr>
              <w:jc w:val="right"/>
            </w:pPr>
            <w:r>
              <w:t>254,857,919.25</w:t>
            </w:r>
          </w:p>
        </w:tc>
        <w:tc>
          <w:tcPr>
            <w:tcW w:w="2841" w:type="dxa"/>
          </w:tcPr>
          <w:p w:rsidR="00790D62" w:rsidRDefault="00790D62" w:rsidP="00790D62">
            <w:pPr>
              <w:jc w:val="right"/>
            </w:pPr>
            <w:r>
              <w:t>47.64</w:t>
            </w:r>
          </w:p>
        </w:tc>
      </w:tr>
      <w:tr w:rsidR="00790D62" w:rsidTr="00790D62">
        <w:tc>
          <w:tcPr>
            <w:tcW w:w="2840" w:type="dxa"/>
          </w:tcPr>
          <w:p w:rsidR="00790D62" w:rsidRDefault="00790D62" w:rsidP="00790D62">
            <w:pPr>
              <w:jc w:val="left"/>
            </w:pPr>
            <w:r>
              <w:rPr>
                <w:rFonts w:hint="eastAsia"/>
              </w:rPr>
              <w:t>必需消费品</w:t>
            </w:r>
          </w:p>
        </w:tc>
        <w:tc>
          <w:tcPr>
            <w:tcW w:w="2841" w:type="dxa"/>
          </w:tcPr>
          <w:p w:rsidR="00790D62" w:rsidRDefault="00790D62" w:rsidP="00790D62">
            <w:pPr>
              <w:jc w:val="right"/>
            </w:pPr>
            <w:r>
              <w:t>48,536,802.17</w:t>
            </w:r>
          </w:p>
        </w:tc>
        <w:tc>
          <w:tcPr>
            <w:tcW w:w="2841" w:type="dxa"/>
          </w:tcPr>
          <w:p w:rsidR="00790D62" w:rsidRDefault="00790D62" w:rsidP="00790D62">
            <w:pPr>
              <w:jc w:val="right"/>
            </w:pPr>
            <w:r>
              <w:t>9.07</w:t>
            </w:r>
          </w:p>
        </w:tc>
      </w:tr>
      <w:tr w:rsidR="00790D62" w:rsidTr="00790D62">
        <w:tc>
          <w:tcPr>
            <w:tcW w:w="2840" w:type="dxa"/>
          </w:tcPr>
          <w:p w:rsidR="00790D62" w:rsidRDefault="00790D62" w:rsidP="00790D62">
            <w:pPr>
              <w:jc w:val="left"/>
            </w:pPr>
            <w:r>
              <w:rPr>
                <w:rFonts w:hint="eastAsia"/>
              </w:rPr>
              <w:t>医疗保健</w:t>
            </w:r>
          </w:p>
        </w:tc>
        <w:tc>
          <w:tcPr>
            <w:tcW w:w="2841" w:type="dxa"/>
          </w:tcPr>
          <w:p w:rsidR="00790D62" w:rsidRDefault="00790D62" w:rsidP="00790D62">
            <w:pPr>
              <w:jc w:val="right"/>
            </w:pPr>
            <w:r>
              <w:t>93,592,216.76</w:t>
            </w:r>
          </w:p>
        </w:tc>
        <w:tc>
          <w:tcPr>
            <w:tcW w:w="2841" w:type="dxa"/>
          </w:tcPr>
          <w:p w:rsidR="00790D62" w:rsidRDefault="00790D62" w:rsidP="00790D62">
            <w:pPr>
              <w:jc w:val="right"/>
            </w:pPr>
            <w:r>
              <w:t>17.49</w:t>
            </w:r>
          </w:p>
        </w:tc>
      </w:tr>
      <w:tr w:rsidR="00790D62" w:rsidTr="00790D62">
        <w:tc>
          <w:tcPr>
            <w:tcW w:w="2840" w:type="dxa"/>
          </w:tcPr>
          <w:p w:rsidR="00790D62" w:rsidRDefault="00790D62" w:rsidP="00790D62">
            <w:pPr>
              <w:jc w:val="left"/>
            </w:pPr>
            <w:r>
              <w:rPr>
                <w:rFonts w:hint="eastAsia"/>
              </w:rPr>
              <w:t>金融</w:t>
            </w:r>
          </w:p>
        </w:tc>
        <w:tc>
          <w:tcPr>
            <w:tcW w:w="2841" w:type="dxa"/>
          </w:tcPr>
          <w:p w:rsidR="00790D62" w:rsidRDefault="00790D62" w:rsidP="00790D62">
            <w:pPr>
              <w:jc w:val="right"/>
            </w:pPr>
            <w:r>
              <w:t>7,156,185.84</w:t>
            </w:r>
          </w:p>
        </w:tc>
        <w:tc>
          <w:tcPr>
            <w:tcW w:w="2841" w:type="dxa"/>
          </w:tcPr>
          <w:p w:rsidR="00790D62" w:rsidRDefault="00790D62" w:rsidP="00790D62">
            <w:pPr>
              <w:jc w:val="right"/>
            </w:pPr>
            <w:r>
              <w:t>1.34</w:t>
            </w:r>
          </w:p>
        </w:tc>
      </w:tr>
      <w:tr w:rsidR="00790D62" w:rsidTr="00790D62">
        <w:tc>
          <w:tcPr>
            <w:tcW w:w="2840" w:type="dxa"/>
          </w:tcPr>
          <w:p w:rsidR="00790D62" w:rsidRDefault="00790D62" w:rsidP="00790D62">
            <w:pPr>
              <w:jc w:val="left"/>
            </w:pPr>
            <w:r>
              <w:rPr>
                <w:rFonts w:hint="eastAsia"/>
              </w:rPr>
              <w:t>科技</w:t>
            </w:r>
          </w:p>
        </w:tc>
        <w:tc>
          <w:tcPr>
            <w:tcW w:w="2841" w:type="dxa"/>
          </w:tcPr>
          <w:p w:rsidR="00790D62" w:rsidRDefault="00790D62" w:rsidP="00790D62">
            <w:pPr>
              <w:jc w:val="right"/>
            </w:pPr>
            <w:r>
              <w:t>36,745,434.24</w:t>
            </w:r>
          </w:p>
        </w:tc>
        <w:tc>
          <w:tcPr>
            <w:tcW w:w="2841" w:type="dxa"/>
          </w:tcPr>
          <w:p w:rsidR="00790D62" w:rsidRDefault="00790D62" w:rsidP="00790D62">
            <w:pPr>
              <w:jc w:val="right"/>
            </w:pPr>
            <w:r>
              <w:t>6.87</w:t>
            </w:r>
          </w:p>
        </w:tc>
      </w:tr>
      <w:tr w:rsidR="00790D62" w:rsidTr="00790D62">
        <w:tc>
          <w:tcPr>
            <w:tcW w:w="2840" w:type="dxa"/>
          </w:tcPr>
          <w:p w:rsidR="00790D62" w:rsidRDefault="00790D62" w:rsidP="00790D62">
            <w:pPr>
              <w:jc w:val="left"/>
            </w:pPr>
            <w:r>
              <w:rPr>
                <w:rFonts w:hint="eastAsia"/>
              </w:rPr>
              <w:t>通讯</w:t>
            </w:r>
          </w:p>
        </w:tc>
        <w:tc>
          <w:tcPr>
            <w:tcW w:w="2841" w:type="dxa"/>
          </w:tcPr>
          <w:p w:rsidR="00790D62" w:rsidRDefault="00790D62" w:rsidP="00790D62">
            <w:pPr>
              <w:jc w:val="right"/>
            </w:pPr>
            <w:r>
              <w:t>36,355,092.35</w:t>
            </w:r>
          </w:p>
        </w:tc>
        <w:tc>
          <w:tcPr>
            <w:tcW w:w="2841" w:type="dxa"/>
          </w:tcPr>
          <w:p w:rsidR="00790D62" w:rsidRDefault="00790D62" w:rsidP="00790D62">
            <w:pPr>
              <w:jc w:val="right"/>
            </w:pPr>
            <w:r>
              <w:t>6.80</w:t>
            </w:r>
          </w:p>
        </w:tc>
      </w:tr>
      <w:tr w:rsidR="00790D62" w:rsidTr="00790D62">
        <w:tc>
          <w:tcPr>
            <w:tcW w:w="2840" w:type="dxa"/>
          </w:tcPr>
          <w:p w:rsidR="00790D62" w:rsidRDefault="00790D62" w:rsidP="00790D62">
            <w:pPr>
              <w:jc w:val="left"/>
            </w:pPr>
            <w:r>
              <w:rPr>
                <w:rFonts w:hint="eastAsia"/>
              </w:rPr>
              <w:t>公用事业</w:t>
            </w:r>
          </w:p>
        </w:tc>
        <w:tc>
          <w:tcPr>
            <w:tcW w:w="2841" w:type="dxa"/>
          </w:tcPr>
          <w:p w:rsidR="00790D62" w:rsidRDefault="00790D62" w:rsidP="00790D62">
            <w:pPr>
              <w:jc w:val="right"/>
            </w:pPr>
            <w:r>
              <w:t>-</w:t>
            </w:r>
          </w:p>
        </w:tc>
        <w:tc>
          <w:tcPr>
            <w:tcW w:w="2841" w:type="dxa"/>
          </w:tcPr>
          <w:p w:rsidR="00790D62" w:rsidRDefault="00790D62" w:rsidP="00790D62">
            <w:pPr>
              <w:jc w:val="right"/>
            </w:pPr>
            <w:r>
              <w:t>-</w:t>
            </w:r>
          </w:p>
        </w:tc>
      </w:tr>
      <w:tr w:rsidR="00790D62" w:rsidTr="00790D62">
        <w:tc>
          <w:tcPr>
            <w:tcW w:w="2840" w:type="dxa"/>
          </w:tcPr>
          <w:p w:rsidR="00790D62" w:rsidRDefault="00790D62" w:rsidP="00790D62">
            <w:pPr>
              <w:jc w:val="left"/>
            </w:pPr>
            <w:r>
              <w:rPr>
                <w:rFonts w:hint="eastAsia"/>
              </w:rPr>
              <w:t>房地产</w:t>
            </w:r>
          </w:p>
        </w:tc>
        <w:tc>
          <w:tcPr>
            <w:tcW w:w="2841" w:type="dxa"/>
          </w:tcPr>
          <w:p w:rsidR="00790D62" w:rsidRDefault="00790D62" w:rsidP="00790D62">
            <w:pPr>
              <w:jc w:val="right"/>
            </w:pPr>
            <w:r>
              <w:t>2,582,044.91</w:t>
            </w:r>
          </w:p>
        </w:tc>
        <w:tc>
          <w:tcPr>
            <w:tcW w:w="2841" w:type="dxa"/>
          </w:tcPr>
          <w:p w:rsidR="00790D62" w:rsidRDefault="00790D62" w:rsidP="00790D62">
            <w:pPr>
              <w:jc w:val="right"/>
            </w:pPr>
            <w:r>
              <w:t>0.48</w:t>
            </w:r>
          </w:p>
        </w:tc>
      </w:tr>
      <w:tr w:rsidR="00790D62" w:rsidTr="00790D62">
        <w:tc>
          <w:tcPr>
            <w:tcW w:w="2840" w:type="dxa"/>
          </w:tcPr>
          <w:p w:rsidR="00790D62" w:rsidRDefault="00790D62" w:rsidP="00790D62">
            <w:pPr>
              <w:jc w:val="left"/>
            </w:pPr>
            <w:r>
              <w:rPr>
                <w:rFonts w:hint="eastAsia"/>
              </w:rPr>
              <w:t>政府</w:t>
            </w:r>
          </w:p>
        </w:tc>
        <w:tc>
          <w:tcPr>
            <w:tcW w:w="2841" w:type="dxa"/>
          </w:tcPr>
          <w:p w:rsidR="00790D62" w:rsidRDefault="00790D62" w:rsidP="00790D62">
            <w:pPr>
              <w:jc w:val="right"/>
            </w:pPr>
            <w:r>
              <w:t>-</w:t>
            </w:r>
          </w:p>
        </w:tc>
        <w:tc>
          <w:tcPr>
            <w:tcW w:w="2841" w:type="dxa"/>
          </w:tcPr>
          <w:p w:rsidR="00790D62" w:rsidRDefault="00790D62" w:rsidP="00790D62">
            <w:pPr>
              <w:jc w:val="right"/>
            </w:pPr>
            <w:r>
              <w:t>-</w:t>
            </w:r>
          </w:p>
        </w:tc>
      </w:tr>
      <w:tr w:rsidR="00790D62" w:rsidTr="00790D62">
        <w:tc>
          <w:tcPr>
            <w:tcW w:w="2840" w:type="dxa"/>
          </w:tcPr>
          <w:p w:rsidR="00790D62" w:rsidRDefault="00790D62" w:rsidP="00790D62">
            <w:pPr>
              <w:jc w:val="left"/>
            </w:pPr>
            <w:r>
              <w:rPr>
                <w:rFonts w:hint="eastAsia"/>
              </w:rPr>
              <w:t>合计</w:t>
            </w:r>
          </w:p>
        </w:tc>
        <w:tc>
          <w:tcPr>
            <w:tcW w:w="2841" w:type="dxa"/>
          </w:tcPr>
          <w:p w:rsidR="00790D62" w:rsidRDefault="00790D62" w:rsidP="00790D62">
            <w:pPr>
              <w:jc w:val="right"/>
            </w:pPr>
            <w:r>
              <w:t>479,825,695.52</w:t>
            </w:r>
          </w:p>
        </w:tc>
        <w:tc>
          <w:tcPr>
            <w:tcW w:w="2841" w:type="dxa"/>
          </w:tcPr>
          <w:p w:rsidR="00790D62" w:rsidRDefault="00790D62" w:rsidP="00790D62">
            <w:pPr>
              <w:jc w:val="right"/>
            </w:pPr>
            <w:r>
              <w:t>89.69</w:t>
            </w:r>
          </w:p>
        </w:tc>
      </w:tr>
    </w:tbl>
    <w:p w:rsidR="00790D62" w:rsidRDefault="00790D62" w:rsidP="00790D62">
      <w:pPr>
        <w:pStyle w:val="-"/>
        <w:ind w:firstLine="420"/>
      </w:pPr>
      <w:r>
        <w:rPr>
          <w:rFonts w:hint="eastAsia"/>
        </w:rPr>
        <w:t>本基金对以上行业分类采用彭博行业分类标准。</w:t>
      </w:r>
    </w:p>
    <w:p w:rsidR="00790D62" w:rsidRDefault="00790D62" w:rsidP="00790D62">
      <w:pPr>
        <w:pStyle w:val="-2"/>
        <w:spacing w:before="312"/>
      </w:pPr>
      <w:r>
        <w:rPr>
          <w:rFonts w:hint="eastAsia"/>
        </w:rPr>
        <w:t>报告期末按公允价值占基金资产净值比例大小排序的前十名股票及存托凭证投资明细</w:t>
      </w:r>
    </w:p>
    <w:tbl>
      <w:tblPr>
        <w:tblStyle w:val="-0"/>
        <w:tblW w:w="0" w:type="auto"/>
        <w:tblLayout w:type="fixed"/>
        <w:tblLook w:val="04A0" w:firstRow="1" w:lastRow="0" w:firstColumn="1" w:lastColumn="0" w:noHBand="0" w:noVBand="1"/>
      </w:tblPr>
      <w:tblGrid>
        <w:gridCol w:w="534"/>
        <w:gridCol w:w="1275"/>
        <w:gridCol w:w="1031"/>
        <w:gridCol w:w="670"/>
        <w:gridCol w:w="851"/>
        <w:gridCol w:w="709"/>
        <w:gridCol w:w="1134"/>
        <w:gridCol w:w="1559"/>
        <w:gridCol w:w="759"/>
      </w:tblGrid>
      <w:tr w:rsidR="00790D62" w:rsidTr="00F760A5">
        <w:trPr>
          <w:cnfStyle w:val="100000000000" w:firstRow="1" w:lastRow="0" w:firstColumn="0" w:lastColumn="0" w:oddVBand="0" w:evenVBand="0" w:oddHBand="0" w:evenHBand="0" w:firstRowFirstColumn="0" w:firstRowLastColumn="0" w:lastRowFirstColumn="0" w:lastRowLastColumn="0"/>
        </w:trPr>
        <w:tc>
          <w:tcPr>
            <w:tcW w:w="534" w:type="dxa"/>
          </w:tcPr>
          <w:p w:rsidR="00790D62" w:rsidRDefault="00790D62" w:rsidP="00790D62">
            <w:pPr>
              <w:jc w:val="center"/>
            </w:pPr>
            <w:r>
              <w:rPr>
                <w:rFonts w:hint="eastAsia"/>
              </w:rPr>
              <w:lastRenderedPageBreak/>
              <w:t>序号</w:t>
            </w:r>
          </w:p>
        </w:tc>
        <w:tc>
          <w:tcPr>
            <w:tcW w:w="1275" w:type="dxa"/>
          </w:tcPr>
          <w:p w:rsidR="00790D62" w:rsidRDefault="00790D62" w:rsidP="00790D62">
            <w:pPr>
              <w:jc w:val="center"/>
            </w:pPr>
            <w:r>
              <w:rPr>
                <w:rFonts w:hint="eastAsia"/>
              </w:rPr>
              <w:t>公司名称（英文）</w:t>
            </w:r>
          </w:p>
        </w:tc>
        <w:tc>
          <w:tcPr>
            <w:tcW w:w="1031" w:type="dxa"/>
          </w:tcPr>
          <w:p w:rsidR="00790D62" w:rsidRDefault="00790D62" w:rsidP="00790D62">
            <w:pPr>
              <w:jc w:val="center"/>
            </w:pPr>
            <w:r>
              <w:rPr>
                <w:rFonts w:hint="eastAsia"/>
              </w:rPr>
              <w:t>公司名称（中文）</w:t>
            </w:r>
          </w:p>
        </w:tc>
        <w:tc>
          <w:tcPr>
            <w:tcW w:w="670" w:type="dxa"/>
          </w:tcPr>
          <w:p w:rsidR="00790D62" w:rsidRDefault="00790D62" w:rsidP="00790D62">
            <w:pPr>
              <w:jc w:val="center"/>
            </w:pPr>
            <w:r>
              <w:rPr>
                <w:rFonts w:hint="eastAsia"/>
              </w:rPr>
              <w:t>证券代码</w:t>
            </w:r>
          </w:p>
        </w:tc>
        <w:tc>
          <w:tcPr>
            <w:tcW w:w="851" w:type="dxa"/>
          </w:tcPr>
          <w:p w:rsidR="00790D62" w:rsidRDefault="00790D62" w:rsidP="00790D62">
            <w:pPr>
              <w:jc w:val="center"/>
            </w:pPr>
            <w:r>
              <w:rPr>
                <w:rFonts w:hint="eastAsia"/>
              </w:rPr>
              <w:t>所在证券市场</w:t>
            </w:r>
          </w:p>
        </w:tc>
        <w:tc>
          <w:tcPr>
            <w:tcW w:w="709" w:type="dxa"/>
          </w:tcPr>
          <w:p w:rsidR="00790D62" w:rsidRDefault="00790D62" w:rsidP="00790D62">
            <w:pPr>
              <w:jc w:val="center"/>
            </w:pPr>
            <w:r>
              <w:rPr>
                <w:rFonts w:hint="eastAsia"/>
              </w:rPr>
              <w:t>所属国家（地区）</w:t>
            </w:r>
          </w:p>
        </w:tc>
        <w:tc>
          <w:tcPr>
            <w:tcW w:w="1134" w:type="dxa"/>
          </w:tcPr>
          <w:p w:rsidR="00790D62" w:rsidRDefault="00790D62" w:rsidP="00790D62">
            <w:pPr>
              <w:jc w:val="center"/>
            </w:pPr>
            <w:r>
              <w:rPr>
                <w:rFonts w:hint="eastAsia"/>
              </w:rPr>
              <w:t>数量（股）</w:t>
            </w:r>
          </w:p>
        </w:tc>
        <w:tc>
          <w:tcPr>
            <w:tcW w:w="1559" w:type="dxa"/>
          </w:tcPr>
          <w:p w:rsidR="00790D62" w:rsidRDefault="00790D62" w:rsidP="00790D62">
            <w:pPr>
              <w:jc w:val="center"/>
            </w:pPr>
            <w:r>
              <w:rPr>
                <w:rFonts w:hint="eastAsia"/>
              </w:rPr>
              <w:t>公允价值（人民币元）</w:t>
            </w:r>
          </w:p>
        </w:tc>
        <w:tc>
          <w:tcPr>
            <w:tcW w:w="759" w:type="dxa"/>
          </w:tcPr>
          <w:p w:rsidR="00790D62" w:rsidRDefault="00790D62" w:rsidP="00790D62">
            <w:pPr>
              <w:jc w:val="center"/>
            </w:pPr>
            <w:r>
              <w:rPr>
                <w:rFonts w:hint="eastAsia"/>
              </w:rPr>
              <w:t>占基金资产净值比例（％）</w:t>
            </w:r>
          </w:p>
        </w:tc>
      </w:tr>
      <w:tr w:rsidR="00790D62" w:rsidTr="00F760A5">
        <w:tc>
          <w:tcPr>
            <w:tcW w:w="534" w:type="dxa"/>
          </w:tcPr>
          <w:p w:rsidR="00790D62" w:rsidRDefault="00790D62" w:rsidP="00790D62">
            <w:pPr>
              <w:jc w:val="center"/>
            </w:pPr>
            <w:r>
              <w:t>1</w:t>
            </w:r>
          </w:p>
        </w:tc>
        <w:tc>
          <w:tcPr>
            <w:tcW w:w="1275" w:type="dxa"/>
          </w:tcPr>
          <w:p w:rsidR="00790D62" w:rsidRDefault="00790D62" w:rsidP="00790D62">
            <w:pPr>
              <w:jc w:val="left"/>
            </w:pPr>
            <w:r>
              <w:t>Ming Yuan Cloud Group Holdings Limited</w:t>
            </w:r>
          </w:p>
        </w:tc>
        <w:tc>
          <w:tcPr>
            <w:tcW w:w="1031" w:type="dxa"/>
          </w:tcPr>
          <w:p w:rsidR="00790D62" w:rsidRDefault="00790D62" w:rsidP="00790D62">
            <w:pPr>
              <w:jc w:val="left"/>
            </w:pPr>
            <w:r>
              <w:rPr>
                <w:rFonts w:hint="eastAsia"/>
              </w:rPr>
              <w:t>明源云集团控股有限公司</w:t>
            </w:r>
          </w:p>
        </w:tc>
        <w:tc>
          <w:tcPr>
            <w:tcW w:w="670" w:type="dxa"/>
          </w:tcPr>
          <w:p w:rsidR="00790D62" w:rsidRDefault="00790D62" w:rsidP="00790D62">
            <w:pPr>
              <w:jc w:val="left"/>
            </w:pPr>
            <w:r>
              <w:t>0909 HK</w:t>
            </w:r>
          </w:p>
        </w:tc>
        <w:tc>
          <w:tcPr>
            <w:tcW w:w="851" w:type="dxa"/>
          </w:tcPr>
          <w:p w:rsidR="00790D62" w:rsidRDefault="00790D62" w:rsidP="00790D62">
            <w:pPr>
              <w:jc w:val="left"/>
            </w:pPr>
            <w:r>
              <w:rPr>
                <w:rFonts w:hint="eastAsia"/>
              </w:rPr>
              <w:t>中国香港联合交易所</w:t>
            </w:r>
          </w:p>
        </w:tc>
        <w:tc>
          <w:tcPr>
            <w:tcW w:w="709" w:type="dxa"/>
          </w:tcPr>
          <w:p w:rsidR="00790D62" w:rsidRDefault="00790D62" w:rsidP="00790D62">
            <w:pPr>
              <w:jc w:val="left"/>
            </w:pPr>
            <w:r>
              <w:rPr>
                <w:rFonts w:hint="eastAsia"/>
              </w:rPr>
              <w:t>中国香港</w:t>
            </w:r>
          </w:p>
        </w:tc>
        <w:tc>
          <w:tcPr>
            <w:tcW w:w="1134" w:type="dxa"/>
          </w:tcPr>
          <w:p w:rsidR="00790D62" w:rsidRDefault="00790D62" w:rsidP="00790D62">
            <w:pPr>
              <w:jc w:val="right"/>
            </w:pPr>
            <w:r>
              <w:t>1,023,000</w:t>
            </w:r>
          </w:p>
        </w:tc>
        <w:tc>
          <w:tcPr>
            <w:tcW w:w="1559" w:type="dxa"/>
          </w:tcPr>
          <w:p w:rsidR="00790D62" w:rsidRDefault="00790D62" w:rsidP="00790D62">
            <w:pPr>
              <w:jc w:val="right"/>
            </w:pPr>
            <w:r>
              <w:t>26,068,986.24</w:t>
            </w:r>
          </w:p>
        </w:tc>
        <w:tc>
          <w:tcPr>
            <w:tcW w:w="759" w:type="dxa"/>
          </w:tcPr>
          <w:p w:rsidR="00790D62" w:rsidRDefault="00790D62" w:rsidP="00790D62">
            <w:pPr>
              <w:jc w:val="right"/>
            </w:pPr>
            <w:r>
              <w:t>4.87</w:t>
            </w:r>
          </w:p>
        </w:tc>
      </w:tr>
      <w:tr w:rsidR="00790D62" w:rsidTr="00F760A5">
        <w:tc>
          <w:tcPr>
            <w:tcW w:w="534" w:type="dxa"/>
          </w:tcPr>
          <w:p w:rsidR="00790D62" w:rsidRDefault="00790D62" w:rsidP="00790D62">
            <w:pPr>
              <w:jc w:val="center"/>
            </w:pPr>
            <w:r>
              <w:t>2</w:t>
            </w:r>
          </w:p>
        </w:tc>
        <w:tc>
          <w:tcPr>
            <w:tcW w:w="1275" w:type="dxa"/>
          </w:tcPr>
          <w:p w:rsidR="00790D62" w:rsidRDefault="00790D62" w:rsidP="00790D62">
            <w:pPr>
              <w:jc w:val="left"/>
            </w:pPr>
            <w:r>
              <w:t>Hygeia Healthcare Holdings Co., Limited</w:t>
            </w:r>
          </w:p>
        </w:tc>
        <w:tc>
          <w:tcPr>
            <w:tcW w:w="1031" w:type="dxa"/>
          </w:tcPr>
          <w:p w:rsidR="00790D62" w:rsidRDefault="00790D62" w:rsidP="00790D62">
            <w:pPr>
              <w:jc w:val="left"/>
            </w:pPr>
            <w:r>
              <w:rPr>
                <w:rFonts w:hint="eastAsia"/>
              </w:rPr>
              <w:t>海吉亚医疗控股有限公司</w:t>
            </w:r>
          </w:p>
        </w:tc>
        <w:tc>
          <w:tcPr>
            <w:tcW w:w="670" w:type="dxa"/>
          </w:tcPr>
          <w:p w:rsidR="00790D62" w:rsidRDefault="00790D62" w:rsidP="00790D62">
            <w:pPr>
              <w:jc w:val="left"/>
            </w:pPr>
            <w:r>
              <w:t>6078 HK</w:t>
            </w:r>
          </w:p>
        </w:tc>
        <w:tc>
          <w:tcPr>
            <w:tcW w:w="851" w:type="dxa"/>
          </w:tcPr>
          <w:p w:rsidR="00790D62" w:rsidRDefault="00790D62" w:rsidP="00790D62">
            <w:pPr>
              <w:jc w:val="left"/>
            </w:pPr>
            <w:r>
              <w:rPr>
                <w:rFonts w:hint="eastAsia"/>
              </w:rPr>
              <w:t>中国香港联合交易所</w:t>
            </w:r>
          </w:p>
        </w:tc>
        <w:tc>
          <w:tcPr>
            <w:tcW w:w="709" w:type="dxa"/>
          </w:tcPr>
          <w:p w:rsidR="00790D62" w:rsidRDefault="00790D62" w:rsidP="00790D62">
            <w:pPr>
              <w:jc w:val="left"/>
            </w:pPr>
            <w:r>
              <w:rPr>
                <w:rFonts w:hint="eastAsia"/>
              </w:rPr>
              <w:t>中国香港</w:t>
            </w:r>
          </w:p>
        </w:tc>
        <w:tc>
          <w:tcPr>
            <w:tcW w:w="1134" w:type="dxa"/>
          </w:tcPr>
          <w:p w:rsidR="00790D62" w:rsidRDefault="00790D62" w:rsidP="00790D62">
            <w:pPr>
              <w:jc w:val="right"/>
            </w:pPr>
            <w:r>
              <w:t>628,400</w:t>
            </w:r>
          </w:p>
        </w:tc>
        <w:tc>
          <w:tcPr>
            <w:tcW w:w="1559" w:type="dxa"/>
          </w:tcPr>
          <w:p w:rsidR="00790D62" w:rsidRDefault="00790D62" w:rsidP="00790D62">
            <w:pPr>
              <w:jc w:val="right"/>
            </w:pPr>
            <w:r>
              <w:t>25,649,116.25</w:t>
            </w:r>
          </w:p>
        </w:tc>
        <w:tc>
          <w:tcPr>
            <w:tcW w:w="759" w:type="dxa"/>
          </w:tcPr>
          <w:p w:rsidR="00790D62" w:rsidRDefault="00790D62" w:rsidP="00790D62">
            <w:pPr>
              <w:jc w:val="right"/>
            </w:pPr>
            <w:r>
              <w:t>4.79</w:t>
            </w:r>
          </w:p>
        </w:tc>
      </w:tr>
      <w:tr w:rsidR="00790D62" w:rsidTr="00F760A5">
        <w:tc>
          <w:tcPr>
            <w:tcW w:w="534" w:type="dxa"/>
          </w:tcPr>
          <w:p w:rsidR="00790D62" w:rsidRDefault="00790D62" w:rsidP="00790D62">
            <w:pPr>
              <w:jc w:val="center"/>
            </w:pPr>
            <w:r>
              <w:t>3</w:t>
            </w:r>
          </w:p>
        </w:tc>
        <w:tc>
          <w:tcPr>
            <w:tcW w:w="1275" w:type="dxa"/>
          </w:tcPr>
          <w:p w:rsidR="00790D62" w:rsidRDefault="00790D62" w:rsidP="00790D62">
            <w:pPr>
              <w:jc w:val="left"/>
            </w:pPr>
            <w:r>
              <w:t>New Oriental Education &amp; Technology Group Inc</w:t>
            </w:r>
          </w:p>
        </w:tc>
        <w:tc>
          <w:tcPr>
            <w:tcW w:w="1031" w:type="dxa"/>
          </w:tcPr>
          <w:p w:rsidR="00790D62" w:rsidRDefault="00790D62" w:rsidP="00790D62">
            <w:pPr>
              <w:jc w:val="left"/>
            </w:pPr>
            <w:r>
              <w:rPr>
                <w:rFonts w:hint="eastAsia"/>
              </w:rPr>
              <w:t>新东方教育科技集团</w:t>
            </w:r>
          </w:p>
        </w:tc>
        <w:tc>
          <w:tcPr>
            <w:tcW w:w="670" w:type="dxa"/>
          </w:tcPr>
          <w:p w:rsidR="00790D62" w:rsidRDefault="00790D62" w:rsidP="00790D62">
            <w:pPr>
              <w:jc w:val="left"/>
            </w:pPr>
            <w:r>
              <w:t>EDU UN</w:t>
            </w:r>
          </w:p>
        </w:tc>
        <w:tc>
          <w:tcPr>
            <w:tcW w:w="851" w:type="dxa"/>
          </w:tcPr>
          <w:p w:rsidR="00790D62" w:rsidRDefault="00790D62" w:rsidP="00790D62">
            <w:pPr>
              <w:jc w:val="left"/>
            </w:pPr>
            <w:r>
              <w:rPr>
                <w:rFonts w:hint="eastAsia"/>
              </w:rPr>
              <w:t>美国证券交易所</w:t>
            </w:r>
          </w:p>
        </w:tc>
        <w:tc>
          <w:tcPr>
            <w:tcW w:w="709" w:type="dxa"/>
          </w:tcPr>
          <w:p w:rsidR="00790D62" w:rsidRDefault="00790D62" w:rsidP="00790D62">
            <w:pPr>
              <w:jc w:val="left"/>
            </w:pPr>
            <w:r>
              <w:rPr>
                <w:rFonts w:hint="eastAsia"/>
              </w:rPr>
              <w:t>美国</w:t>
            </w:r>
          </w:p>
        </w:tc>
        <w:tc>
          <w:tcPr>
            <w:tcW w:w="1134" w:type="dxa"/>
          </w:tcPr>
          <w:p w:rsidR="00790D62" w:rsidRDefault="00790D62" w:rsidP="00790D62">
            <w:pPr>
              <w:jc w:val="right"/>
            </w:pPr>
            <w:r>
              <w:t>20,578</w:t>
            </w:r>
          </w:p>
        </w:tc>
        <w:tc>
          <w:tcPr>
            <w:tcW w:w="1559" w:type="dxa"/>
          </w:tcPr>
          <w:p w:rsidR="00790D62" w:rsidRDefault="00790D62" w:rsidP="00790D62">
            <w:pPr>
              <w:jc w:val="right"/>
            </w:pPr>
            <w:r>
              <w:t>20,950,666.55</w:t>
            </w:r>
          </w:p>
        </w:tc>
        <w:tc>
          <w:tcPr>
            <w:tcW w:w="759" w:type="dxa"/>
          </w:tcPr>
          <w:p w:rsidR="00790D62" w:rsidRDefault="00790D62" w:rsidP="00790D62">
            <w:pPr>
              <w:jc w:val="right"/>
            </w:pPr>
            <w:r>
              <w:t>3.92</w:t>
            </w:r>
          </w:p>
        </w:tc>
      </w:tr>
      <w:tr w:rsidR="00790D62" w:rsidTr="00F760A5">
        <w:tc>
          <w:tcPr>
            <w:tcW w:w="534" w:type="dxa"/>
          </w:tcPr>
          <w:p w:rsidR="00790D62" w:rsidRDefault="00790D62" w:rsidP="00790D62">
            <w:pPr>
              <w:jc w:val="center"/>
            </w:pPr>
            <w:r>
              <w:t>4</w:t>
            </w:r>
          </w:p>
        </w:tc>
        <w:tc>
          <w:tcPr>
            <w:tcW w:w="1275" w:type="dxa"/>
          </w:tcPr>
          <w:p w:rsidR="00790D62" w:rsidRDefault="00790D62" w:rsidP="00790D62">
            <w:pPr>
              <w:jc w:val="left"/>
            </w:pPr>
            <w:r>
              <w:t>Yadea Group Holdings Ltd.</w:t>
            </w:r>
          </w:p>
        </w:tc>
        <w:tc>
          <w:tcPr>
            <w:tcW w:w="1031" w:type="dxa"/>
          </w:tcPr>
          <w:p w:rsidR="00790D62" w:rsidRDefault="00790D62" w:rsidP="00790D62">
            <w:pPr>
              <w:jc w:val="left"/>
            </w:pPr>
            <w:r>
              <w:rPr>
                <w:rFonts w:hint="eastAsia"/>
              </w:rPr>
              <w:t>雅迪集团控股有限公司</w:t>
            </w:r>
          </w:p>
        </w:tc>
        <w:tc>
          <w:tcPr>
            <w:tcW w:w="670" w:type="dxa"/>
          </w:tcPr>
          <w:p w:rsidR="00790D62" w:rsidRDefault="00790D62" w:rsidP="00790D62">
            <w:pPr>
              <w:jc w:val="left"/>
            </w:pPr>
            <w:r>
              <w:t>1585 HK</w:t>
            </w:r>
          </w:p>
        </w:tc>
        <w:tc>
          <w:tcPr>
            <w:tcW w:w="851" w:type="dxa"/>
          </w:tcPr>
          <w:p w:rsidR="00790D62" w:rsidRDefault="00790D62" w:rsidP="00790D62">
            <w:pPr>
              <w:jc w:val="left"/>
            </w:pPr>
            <w:r>
              <w:rPr>
                <w:rFonts w:hint="eastAsia"/>
              </w:rPr>
              <w:t>中国香港联合交易所</w:t>
            </w:r>
          </w:p>
        </w:tc>
        <w:tc>
          <w:tcPr>
            <w:tcW w:w="709" w:type="dxa"/>
          </w:tcPr>
          <w:p w:rsidR="00790D62" w:rsidRDefault="00790D62" w:rsidP="00790D62">
            <w:pPr>
              <w:jc w:val="left"/>
            </w:pPr>
            <w:r>
              <w:rPr>
                <w:rFonts w:hint="eastAsia"/>
              </w:rPr>
              <w:t>中国香港</w:t>
            </w:r>
          </w:p>
        </w:tc>
        <w:tc>
          <w:tcPr>
            <w:tcW w:w="1134" w:type="dxa"/>
          </w:tcPr>
          <w:p w:rsidR="00790D62" w:rsidRDefault="00790D62" w:rsidP="00790D62">
            <w:pPr>
              <w:jc w:val="right"/>
            </w:pPr>
            <w:r>
              <w:t>1,936,000</w:t>
            </w:r>
          </w:p>
        </w:tc>
        <w:tc>
          <w:tcPr>
            <w:tcW w:w="1559" w:type="dxa"/>
          </w:tcPr>
          <w:p w:rsidR="00790D62" w:rsidRDefault="00790D62" w:rsidP="00790D62">
            <w:pPr>
              <w:jc w:val="right"/>
            </w:pPr>
            <w:r>
              <w:t>19,359,677.85</w:t>
            </w:r>
          </w:p>
        </w:tc>
        <w:tc>
          <w:tcPr>
            <w:tcW w:w="759" w:type="dxa"/>
          </w:tcPr>
          <w:p w:rsidR="00790D62" w:rsidRDefault="00790D62" w:rsidP="00790D62">
            <w:pPr>
              <w:jc w:val="right"/>
            </w:pPr>
            <w:r>
              <w:t>3.62</w:t>
            </w:r>
          </w:p>
        </w:tc>
      </w:tr>
      <w:tr w:rsidR="00790D62" w:rsidTr="00F760A5">
        <w:tc>
          <w:tcPr>
            <w:tcW w:w="534" w:type="dxa"/>
          </w:tcPr>
          <w:p w:rsidR="00790D62" w:rsidRDefault="00790D62" w:rsidP="00790D62">
            <w:pPr>
              <w:jc w:val="center"/>
            </w:pPr>
            <w:r>
              <w:t>5</w:t>
            </w:r>
          </w:p>
        </w:tc>
        <w:tc>
          <w:tcPr>
            <w:tcW w:w="1275" w:type="dxa"/>
          </w:tcPr>
          <w:p w:rsidR="00790D62" w:rsidRDefault="00790D62" w:rsidP="00790D62">
            <w:pPr>
              <w:jc w:val="left"/>
            </w:pPr>
            <w:r>
              <w:t>China Yongda Automobiles Services Holdings Limited</w:t>
            </w:r>
          </w:p>
        </w:tc>
        <w:tc>
          <w:tcPr>
            <w:tcW w:w="1031" w:type="dxa"/>
          </w:tcPr>
          <w:p w:rsidR="00790D62" w:rsidRDefault="00790D62" w:rsidP="00790D62">
            <w:pPr>
              <w:jc w:val="left"/>
            </w:pPr>
            <w:r>
              <w:rPr>
                <w:rFonts w:hint="eastAsia"/>
              </w:rPr>
              <w:t>中国永达汽车服务控股有限公司</w:t>
            </w:r>
          </w:p>
        </w:tc>
        <w:tc>
          <w:tcPr>
            <w:tcW w:w="670" w:type="dxa"/>
          </w:tcPr>
          <w:p w:rsidR="00790D62" w:rsidRDefault="00790D62" w:rsidP="00790D62">
            <w:pPr>
              <w:jc w:val="left"/>
            </w:pPr>
            <w:r>
              <w:t>3669 HK</w:t>
            </w:r>
          </w:p>
        </w:tc>
        <w:tc>
          <w:tcPr>
            <w:tcW w:w="851" w:type="dxa"/>
          </w:tcPr>
          <w:p w:rsidR="00790D62" w:rsidRDefault="00790D62" w:rsidP="00790D62">
            <w:pPr>
              <w:jc w:val="left"/>
            </w:pPr>
            <w:r>
              <w:rPr>
                <w:rFonts w:hint="eastAsia"/>
              </w:rPr>
              <w:t>中国香港联合交易所</w:t>
            </w:r>
          </w:p>
        </w:tc>
        <w:tc>
          <w:tcPr>
            <w:tcW w:w="709" w:type="dxa"/>
          </w:tcPr>
          <w:p w:rsidR="00790D62" w:rsidRDefault="00790D62" w:rsidP="00790D62">
            <w:pPr>
              <w:jc w:val="left"/>
            </w:pPr>
            <w:r>
              <w:rPr>
                <w:rFonts w:hint="eastAsia"/>
              </w:rPr>
              <w:t>中国香港</w:t>
            </w:r>
          </w:p>
        </w:tc>
        <w:tc>
          <w:tcPr>
            <w:tcW w:w="1134" w:type="dxa"/>
          </w:tcPr>
          <w:p w:rsidR="00790D62" w:rsidRDefault="00790D62" w:rsidP="00790D62">
            <w:pPr>
              <w:jc w:val="right"/>
            </w:pPr>
            <w:r>
              <w:t>2,131,500</w:t>
            </w:r>
          </w:p>
        </w:tc>
        <w:tc>
          <w:tcPr>
            <w:tcW w:w="1559" w:type="dxa"/>
          </w:tcPr>
          <w:p w:rsidR="00790D62" w:rsidRDefault="00790D62" w:rsidP="00790D62">
            <w:pPr>
              <w:jc w:val="right"/>
            </w:pPr>
            <w:r>
              <w:t>17,175,333.70</w:t>
            </w:r>
          </w:p>
        </w:tc>
        <w:tc>
          <w:tcPr>
            <w:tcW w:w="759" w:type="dxa"/>
          </w:tcPr>
          <w:p w:rsidR="00790D62" w:rsidRDefault="00790D62" w:rsidP="00790D62">
            <w:pPr>
              <w:jc w:val="right"/>
            </w:pPr>
            <w:r>
              <w:t>3.21</w:t>
            </w:r>
          </w:p>
        </w:tc>
      </w:tr>
      <w:tr w:rsidR="00790D62" w:rsidTr="00F760A5">
        <w:tc>
          <w:tcPr>
            <w:tcW w:w="534" w:type="dxa"/>
          </w:tcPr>
          <w:p w:rsidR="00790D62" w:rsidRDefault="00790D62" w:rsidP="00790D62">
            <w:pPr>
              <w:jc w:val="center"/>
            </w:pPr>
            <w:r>
              <w:t>6</w:t>
            </w:r>
          </w:p>
        </w:tc>
        <w:tc>
          <w:tcPr>
            <w:tcW w:w="1275" w:type="dxa"/>
          </w:tcPr>
          <w:p w:rsidR="00790D62" w:rsidRDefault="00790D62" w:rsidP="00790D62">
            <w:pPr>
              <w:jc w:val="left"/>
            </w:pPr>
            <w:r>
              <w:t>Xiabuxiabu Catering Management (China) Holdings Co., Ltd.</w:t>
            </w:r>
          </w:p>
        </w:tc>
        <w:tc>
          <w:tcPr>
            <w:tcW w:w="1031" w:type="dxa"/>
          </w:tcPr>
          <w:p w:rsidR="00790D62" w:rsidRDefault="00790D62" w:rsidP="00790D62">
            <w:pPr>
              <w:jc w:val="left"/>
            </w:pPr>
            <w:r>
              <w:rPr>
                <w:rFonts w:hint="eastAsia"/>
              </w:rPr>
              <w:t>呷哺呷哺餐饮管理</w:t>
            </w:r>
            <w:r>
              <w:rPr>
                <w:rFonts w:hint="eastAsia"/>
              </w:rPr>
              <w:t>(</w:t>
            </w:r>
            <w:r>
              <w:rPr>
                <w:rFonts w:hint="eastAsia"/>
              </w:rPr>
              <w:t>中国</w:t>
            </w:r>
            <w:r>
              <w:rPr>
                <w:rFonts w:hint="eastAsia"/>
              </w:rPr>
              <w:t>)</w:t>
            </w:r>
            <w:r>
              <w:rPr>
                <w:rFonts w:hint="eastAsia"/>
              </w:rPr>
              <w:t>控股有限公司</w:t>
            </w:r>
          </w:p>
        </w:tc>
        <w:tc>
          <w:tcPr>
            <w:tcW w:w="670" w:type="dxa"/>
          </w:tcPr>
          <w:p w:rsidR="00790D62" w:rsidRDefault="00790D62" w:rsidP="00790D62">
            <w:pPr>
              <w:jc w:val="left"/>
            </w:pPr>
            <w:r>
              <w:t>0520 HK</w:t>
            </w:r>
          </w:p>
        </w:tc>
        <w:tc>
          <w:tcPr>
            <w:tcW w:w="851" w:type="dxa"/>
          </w:tcPr>
          <w:p w:rsidR="00790D62" w:rsidRDefault="00790D62" w:rsidP="00790D62">
            <w:pPr>
              <w:jc w:val="left"/>
            </w:pPr>
            <w:r>
              <w:rPr>
                <w:rFonts w:hint="eastAsia"/>
              </w:rPr>
              <w:t>中国香港联合交易所</w:t>
            </w:r>
          </w:p>
        </w:tc>
        <w:tc>
          <w:tcPr>
            <w:tcW w:w="709" w:type="dxa"/>
          </w:tcPr>
          <w:p w:rsidR="00790D62" w:rsidRDefault="00790D62" w:rsidP="00790D62">
            <w:pPr>
              <w:jc w:val="left"/>
            </w:pPr>
            <w:r>
              <w:rPr>
                <w:rFonts w:hint="eastAsia"/>
              </w:rPr>
              <w:t>中国香港</w:t>
            </w:r>
          </w:p>
        </w:tc>
        <w:tc>
          <w:tcPr>
            <w:tcW w:w="1134" w:type="dxa"/>
          </w:tcPr>
          <w:p w:rsidR="00790D62" w:rsidRDefault="00790D62" w:rsidP="00790D62">
            <w:pPr>
              <w:jc w:val="right"/>
            </w:pPr>
            <w:r>
              <w:t>1,920,000</w:t>
            </w:r>
          </w:p>
        </w:tc>
        <w:tc>
          <w:tcPr>
            <w:tcW w:w="1559" w:type="dxa"/>
          </w:tcPr>
          <w:p w:rsidR="00790D62" w:rsidRDefault="00790D62" w:rsidP="00790D62">
            <w:pPr>
              <w:jc w:val="right"/>
            </w:pPr>
            <w:r>
              <w:t>16,061,595.64</w:t>
            </w:r>
          </w:p>
        </w:tc>
        <w:tc>
          <w:tcPr>
            <w:tcW w:w="759" w:type="dxa"/>
          </w:tcPr>
          <w:p w:rsidR="00790D62" w:rsidRDefault="00790D62" w:rsidP="00790D62">
            <w:pPr>
              <w:jc w:val="right"/>
            </w:pPr>
            <w:r>
              <w:t>3.00</w:t>
            </w:r>
          </w:p>
        </w:tc>
      </w:tr>
      <w:tr w:rsidR="00790D62" w:rsidTr="00F760A5">
        <w:tc>
          <w:tcPr>
            <w:tcW w:w="534" w:type="dxa"/>
          </w:tcPr>
          <w:p w:rsidR="00790D62" w:rsidRDefault="00790D62" w:rsidP="00790D62">
            <w:pPr>
              <w:jc w:val="center"/>
            </w:pPr>
            <w:r>
              <w:t>7</w:t>
            </w:r>
          </w:p>
        </w:tc>
        <w:tc>
          <w:tcPr>
            <w:tcW w:w="1275" w:type="dxa"/>
          </w:tcPr>
          <w:p w:rsidR="00790D62" w:rsidRDefault="00790D62" w:rsidP="00790D62">
            <w:pPr>
              <w:jc w:val="left"/>
            </w:pPr>
            <w:r>
              <w:t>Neusoft Education Technology Co. Limited</w:t>
            </w:r>
          </w:p>
        </w:tc>
        <w:tc>
          <w:tcPr>
            <w:tcW w:w="1031" w:type="dxa"/>
          </w:tcPr>
          <w:p w:rsidR="00790D62" w:rsidRDefault="00790D62" w:rsidP="00790D62">
            <w:pPr>
              <w:jc w:val="left"/>
            </w:pPr>
            <w:r>
              <w:rPr>
                <w:rFonts w:hint="eastAsia"/>
              </w:rPr>
              <w:t>东软教育科技有限公司</w:t>
            </w:r>
          </w:p>
        </w:tc>
        <w:tc>
          <w:tcPr>
            <w:tcW w:w="670" w:type="dxa"/>
          </w:tcPr>
          <w:p w:rsidR="00790D62" w:rsidRDefault="00790D62" w:rsidP="00790D62">
            <w:pPr>
              <w:jc w:val="left"/>
            </w:pPr>
            <w:r>
              <w:t>9616 HK</w:t>
            </w:r>
          </w:p>
        </w:tc>
        <w:tc>
          <w:tcPr>
            <w:tcW w:w="851" w:type="dxa"/>
          </w:tcPr>
          <w:p w:rsidR="00790D62" w:rsidRDefault="00790D62" w:rsidP="00790D62">
            <w:pPr>
              <w:jc w:val="left"/>
            </w:pPr>
            <w:r>
              <w:rPr>
                <w:rFonts w:hint="eastAsia"/>
              </w:rPr>
              <w:t>中国香港联合交易所</w:t>
            </w:r>
          </w:p>
        </w:tc>
        <w:tc>
          <w:tcPr>
            <w:tcW w:w="709" w:type="dxa"/>
          </w:tcPr>
          <w:p w:rsidR="00790D62" w:rsidRDefault="00790D62" w:rsidP="00790D62">
            <w:pPr>
              <w:jc w:val="left"/>
            </w:pPr>
            <w:r>
              <w:rPr>
                <w:rFonts w:hint="eastAsia"/>
              </w:rPr>
              <w:t>中国香港</w:t>
            </w:r>
          </w:p>
        </w:tc>
        <w:tc>
          <w:tcPr>
            <w:tcW w:w="1134" w:type="dxa"/>
          </w:tcPr>
          <w:p w:rsidR="00790D62" w:rsidRDefault="00790D62" w:rsidP="00790D62">
            <w:pPr>
              <w:jc w:val="right"/>
            </w:pPr>
            <w:r>
              <w:t>2,967,200</w:t>
            </w:r>
          </w:p>
        </w:tc>
        <w:tc>
          <w:tcPr>
            <w:tcW w:w="1559" w:type="dxa"/>
          </w:tcPr>
          <w:p w:rsidR="00790D62" w:rsidRDefault="00790D62" w:rsidP="00790D62">
            <w:pPr>
              <w:jc w:val="right"/>
            </w:pPr>
            <w:r>
              <w:t>15,826,541.56</w:t>
            </w:r>
          </w:p>
        </w:tc>
        <w:tc>
          <w:tcPr>
            <w:tcW w:w="759" w:type="dxa"/>
          </w:tcPr>
          <w:p w:rsidR="00790D62" w:rsidRDefault="00790D62" w:rsidP="00790D62">
            <w:pPr>
              <w:jc w:val="right"/>
            </w:pPr>
            <w:r>
              <w:t>2.96</w:t>
            </w:r>
          </w:p>
        </w:tc>
      </w:tr>
      <w:tr w:rsidR="00790D62" w:rsidTr="00F760A5">
        <w:tc>
          <w:tcPr>
            <w:tcW w:w="534" w:type="dxa"/>
          </w:tcPr>
          <w:p w:rsidR="00790D62" w:rsidRDefault="00790D62" w:rsidP="00790D62">
            <w:pPr>
              <w:jc w:val="center"/>
            </w:pPr>
            <w:r>
              <w:t>8</w:t>
            </w:r>
          </w:p>
        </w:tc>
        <w:tc>
          <w:tcPr>
            <w:tcW w:w="1275" w:type="dxa"/>
          </w:tcPr>
          <w:p w:rsidR="00790D62" w:rsidRDefault="00790D62" w:rsidP="00790D62">
            <w:pPr>
              <w:jc w:val="left"/>
            </w:pPr>
            <w:r>
              <w:t>Galaxy Entertainme</w:t>
            </w:r>
            <w:r>
              <w:lastRenderedPageBreak/>
              <w:t>nt Group Limited</w:t>
            </w:r>
          </w:p>
        </w:tc>
        <w:tc>
          <w:tcPr>
            <w:tcW w:w="1031" w:type="dxa"/>
          </w:tcPr>
          <w:p w:rsidR="00790D62" w:rsidRDefault="00790D62" w:rsidP="00790D62">
            <w:pPr>
              <w:jc w:val="left"/>
            </w:pPr>
            <w:r>
              <w:rPr>
                <w:rFonts w:hint="eastAsia"/>
              </w:rPr>
              <w:lastRenderedPageBreak/>
              <w:t>银河娱乐集团</w:t>
            </w:r>
            <w:r>
              <w:rPr>
                <w:rFonts w:hint="eastAsia"/>
              </w:rPr>
              <w:lastRenderedPageBreak/>
              <w:t>有限公司</w:t>
            </w:r>
          </w:p>
        </w:tc>
        <w:tc>
          <w:tcPr>
            <w:tcW w:w="670" w:type="dxa"/>
          </w:tcPr>
          <w:p w:rsidR="00790D62" w:rsidRDefault="00790D62" w:rsidP="00790D62">
            <w:pPr>
              <w:jc w:val="left"/>
            </w:pPr>
            <w:r>
              <w:lastRenderedPageBreak/>
              <w:t>0027 HK</w:t>
            </w:r>
          </w:p>
        </w:tc>
        <w:tc>
          <w:tcPr>
            <w:tcW w:w="851" w:type="dxa"/>
          </w:tcPr>
          <w:p w:rsidR="00790D62" w:rsidRDefault="00790D62" w:rsidP="00790D62">
            <w:pPr>
              <w:jc w:val="left"/>
            </w:pPr>
            <w:r>
              <w:rPr>
                <w:rFonts w:hint="eastAsia"/>
              </w:rPr>
              <w:t>中国香港联合</w:t>
            </w:r>
            <w:r>
              <w:rPr>
                <w:rFonts w:hint="eastAsia"/>
              </w:rPr>
              <w:lastRenderedPageBreak/>
              <w:t>交易所</w:t>
            </w:r>
          </w:p>
        </w:tc>
        <w:tc>
          <w:tcPr>
            <w:tcW w:w="709" w:type="dxa"/>
          </w:tcPr>
          <w:p w:rsidR="00790D62" w:rsidRDefault="00790D62" w:rsidP="00790D62">
            <w:pPr>
              <w:jc w:val="left"/>
            </w:pPr>
            <w:r>
              <w:rPr>
                <w:rFonts w:hint="eastAsia"/>
              </w:rPr>
              <w:lastRenderedPageBreak/>
              <w:t>中国香港</w:t>
            </w:r>
          </w:p>
        </w:tc>
        <w:tc>
          <w:tcPr>
            <w:tcW w:w="1134" w:type="dxa"/>
          </w:tcPr>
          <w:p w:rsidR="00790D62" w:rsidRDefault="00790D62" w:rsidP="00790D62">
            <w:pPr>
              <w:jc w:val="right"/>
            </w:pPr>
            <w:r>
              <w:t>332,000</w:t>
            </w:r>
          </w:p>
        </w:tc>
        <w:tc>
          <w:tcPr>
            <w:tcW w:w="1559" w:type="dxa"/>
          </w:tcPr>
          <w:p w:rsidR="00790D62" w:rsidRDefault="00790D62" w:rsidP="00790D62">
            <w:pPr>
              <w:jc w:val="right"/>
            </w:pPr>
            <w:r>
              <w:t>15,155,635.33</w:t>
            </w:r>
          </w:p>
        </w:tc>
        <w:tc>
          <w:tcPr>
            <w:tcW w:w="759" w:type="dxa"/>
          </w:tcPr>
          <w:p w:rsidR="00790D62" w:rsidRDefault="00790D62" w:rsidP="00790D62">
            <w:pPr>
              <w:jc w:val="right"/>
            </w:pPr>
            <w:r>
              <w:t>2.83</w:t>
            </w:r>
          </w:p>
        </w:tc>
      </w:tr>
      <w:tr w:rsidR="00790D62" w:rsidTr="00F760A5">
        <w:tc>
          <w:tcPr>
            <w:tcW w:w="534" w:type="dxa"/>
          </w:tcPr>
          <w:p w:rsidR="00790D62" w:rsidRDefault="00790D62" w:rsidP="00790D62">
            <w:pPr>
              <w:jc w:val="center"/>
            </w:pPr>
            <w:r>
              <w:t>9</w:t>
            </w:r>
          </w:p>
        </w:tc>
        <w:tc>
          <w:tcPr>
            <w:tcW w:w="1275" w:type="dxa"/>
          </w:tcPr>
          <w:p w:rsidR="00790D62" w:rsidRDefault="00790D62" w:rsidP="00790D62">
            <w:pPr>
              <w:jc w:val="left"/>
            </w:pPr>
            <w:r>
              <w:t>Bilibili Inc</w:t>
            </w:r>
          </w:p>
        </w:tc>
        <w:tc>
          <w:tcPr>
            <w:tcW w:w="1031" w:type="dxa"/>
          </w:tcPr>
          <w:p w:rsidR="00790D62" w:rsidRDefault="00790D62" w:rsidP="00790D62">
            <w:pPr>
              <w:jc w:val="left"/>
            </w:pPr>
            <w:r>
              <w:rPr>
                <w:rFonts w:hint="eastAsia"/>
              </w:rPr>
              <w:t>哔哩哔哩</w:t>
            </w:r>
          </w:p>
        </w:tc>
        <w:tc>
          <w:tcPr>
            <w:tcW w:w="670" w:type="dxa"/>
          </w:tcPr>
          <w:p w:rsidR="00790D62" w:rsidRDefault="00790D62" w:rsidP="00790D62">
            <w:pPr>
              <w:jc w:val="left"/>
            </w:pPr>
            <w:r>
              <w:t>BILI UN</w:t>
            </w:r>
          </w:p>
        </w:tc>
        <w:tc>
          <w:tcPr>
            <w:tcW w:w="851" w:type="dxa"/>
          </w:tcPr>
          <w:p w:rsidR="00790D62" w:rsidRDefault="00790D62" w:rsidP="00790D62">
            <w:pPr>
              <w:jc w:val="left"/>
            </w:pPr>
            <w:r>
              <w:rPr>
                <w:rFonts w:hint="eastAsia"/>
              </w:rPr>
              <w:t>美国证券交易所</w:t>
            </w:r>
          </w:p>
        </w:tc>
        <w:tc>
          <w:tcPr>
            <w:tcW w:w="709" w:type="dxa"/>
          </w:tcPr>
          <w:p w:rsidR="00790D62" w:rsidRDefault="00790D62" w:rsidP="00790D62">
            <w:pPr>
              <w:jc w:val="left"/>
            </w:pPr>
            <w:r>
              <w:rPr>
                <w:rFonts w:hint="eastAsia"/>
              </w:rPr>
              <w:t>美国</w:t>
            </w:r>
          </w:p>
        </w:tc>
        <w:tc>
          <w:tcPr>
            <w:tcW w:w="1134" w:type="dxa"/>
          </w:tcPr>
          <w:p w:rsidR="00790D62" w:rsidRDefault="00790D62" w:rsidP="00790D62">
            <w:pPr>
              <w:jc w:val="right"/>
            </w:pPr>
            <w:r>
              <w:t>52,984</w:t>
            </w:r>
          </w:p>
        </w:tc>
        <w:tc>
          <w:tcPr>
            <w:tcW w:w="1559" w:type="dxa"/>
          </w:tcPr>
          <w:p w:rsidR="00790D62" w:rsidRDefault="00790D62" w:rsidP="00790D62">
            <w:pPr>
              <w:jc w:val="right"/>
            </w:pPr>
            <w:r>
              <w:t>15,010,375.68</w:t>
            </w:r>
          </w:p>
        </w:tc>
        <w:tc>
          <w:tcPr>
            <w:tcW w:w="759" w:type="dxa"/>
          </w:tcPr>
          <w:p w:rsidR="00790D62" w:rsidRDefault="00790D62" w:rsidP="00790D62">
            <w:pPr>
              <w:jc w:val="right"/>
            </w:pPr>
            <w:r>
              <w:t>2.81</w:t>
            </w:r>
          </w:p>
        </w:tc>
      </w:tr>
      <w:tr w:rsidR="00790D62" w:rsidTr="00F760A5">
        <w:tc>
          <w:tcPr>
            <w:tcW w:w="534" w:type="dxa"/>
          </w:tcPr>
          <w:p w:rsidR="00790D62" w:rsidRDefault="00790D62" w:rsidP="00790D62">
            <w:pPr>
              <w:jc w:val="center"/>
            </w:pPr>
            <w:r>
              <w:t>10</w:t>
            </w:r>
          </w:p>
        </w:tc>
        <w:tc>
          <w:tcPr>
            <w:tcW w:w="1275" w:type="dxa"/>
          </w:tcPr>
          <w:p w:rsidR="00790D62" w:rsidRDefault="00790D62" w:rsidP="00790D62">
            <w:pPr>
              <w:jc w:val="left"/>
            </w:pPr>
            <w:r>
              <w:t>Tencent Holdings Ltd</w:t>
            </w:r>
          </w:p>
        </w:tc>
        <w:tc>
          <w:tcPr>
            <w:tcW w:w="1031" w:type="dxa"/>
          </w:tcPr>
          <w:p w:rsidR="00790D62" w:rsidRDefault="00790D62" w:rsidP="00790D62">
            <w:pPr>
              <w:jc w:val="left"/>
            </w:pPr>
            <w:r>
              <w:rPr>
                <w:rFonts w:hint="eastAsia"/>
              </w:rPr>
              <w:t>腾讯控股有限公司</w:t>
            </w:r>
          </w:p>
        </w:tc>
        <w:tc>
          <w:tcPr>
            <w:tcW w:w="670" w:type="dxa"/>
          </w:tcPr>
          <w:p w:rsidR="00790D62" w:rsidRDefault="00790D62" w:rsidP="00790D62">
            <w:pPr>
              <w:jc w:val="left"/>
            </w:pPr>
            <w:r>
              <w:t>0700 HK</w:t>
            </w:r>
          </w:p>
        </w:tc>
        <w:tc>
          <w:tcPr>
            <w:tcW w:w="851" w:type="dxa"/>
          </w:tcPr>
          <w:p w:rsidR="00790D62" w:rsidRDefault="00790D62" w:rsidP="00790D62">
            <w:pPr>
              <w:jc w:val="left"/>
            </w:pPr>
            <w:r>
              <w:rPr>
                <w:rFonts w:hint="eastAsia"/>
              </w:rPr>
              <w:t>中国香港联合交易所</w:t>
            </w:r>
          </w:p>
        </w:tc>
        <w:tc>
          <w:tcPr>
            <w:tcW w:w="709" w:type="dxa"/>
          </w:tcPr>
          <w:p w:rsidR="00790D62" w:rsidRDefault="00790D62" w:rsidP="00790D62">
            <w:pPr>
              <w:jc w:val="left"/>
            </w:pPr>
            <w:r>
              <w:rPr>
                <w:rFonts w:hint="eastAsia"/>
              </w:rPr>
              <w:t>中国香港</w:t>
            </w:r>
          </w:p>
        </w:tc>
        <w:tc>
          <w:tcPr>
            <w:tcW w:w="1134" w:type="dxa"/>
          </w:tcPr>
          <w:p w:rsidR="00790D62" w:rsidRDefault="00790D62" w:rsidP="00790D62">
            <w:pPr>
              <w:jc w:val="right"/>
            </w:pPr>
            <w:r>
              <w:t>33,000</w:t>
            </w:r>
          </w:p>
        </w:tc>
        <w:tc>
          <w:tcPr>
            <w:tcW w:w="1559" w:type="dxa"/>
          </w:tcPr>
          <w:p w:rsidR="00790D62" w:rsidRDefault="00790D62" w:rsidP="00790D62">
            <w:pPr>
              <w:jc w:val="right"/>
            </w:pPr>
            <w:r>
              <w:t>14,832,354.24</w:t>
            </w:r>
          </w:p>
        </w:tc>
        <w:tc>
          <w:tcPr>
            <w:tcW w:w="759" w:type="dxa"/>
          </w:tcPr>
          <w:p w:rsidR="00790D62" w:rsidRDefault="00790D62" w:rsidP="00790D62">
            <w:pPr>
              <w:jc w:val="right"/>
            </w:pPr>
            <w:r>
              <w:t>2.77</w:t>
            </w:r>
          </w:p>
        </w:tc>
      </w:tr>
    </w:tbl>
    <w:p w:rsidR="00790D62" w:rsidRDefault="00790D62" w:rsidP="00790D62">
      <w:pPr>
        <w:pStyle w:val="-2"/>
        <w:spacing w:before="312"/>
      </w:pPr>
      <w:r>
        <w:rPr>
          <w:rFonts w:hint="eastAsia"/>
        </w:rPr>
        <w:t>报告期末按债券信用等级分类的债券投资组合</w:t>
      </w:r>
    </w:p>
    <w:p w:rsidR="00790D62" w:rsidRDefault="00790D62" w:rsidP="00790D62">
      <w:pPr>
        <w:pStyle w:val="-"/>
        <w:ind w:firstLine="420"/>
      </w:pPr>
      <w:r>
        <w:rPr>
          <w:rFonts w:hint="eastAsia"/>
        </w:rPr>
        <w:t>本基金本报告期末未持有债券。</w:t>
      </w:r>
    </w:p>
    <w:p w:rsidR="00790D62" w:rsidRDefault="00790D62" w:rsidP="00790D62">
      <w:pPr>
        <w:pStyle w:val="-2"/>
        <w:spacing w:before="312"/>
      </w:pPr>
      <w:r>
        <w:rPr>
          <w:rFonts w:hint="eastAsia"/>
        </w:rPr>
        <w:t>报告期末按公允价值占基金资产净值比例大小排名的前五名债券投资明细</w:t>
      </w:r>
    </w:p>
    <w:p w:rsidR="00790D62" w:rsidRDefault="00790D62" w:rsidP="00790D62">
      <w:pPr>
        <w:pStyle w:val="-"/>
        <w:ind w:firstLine="420"/>
      </w:pPr>
      <w:r>
        <w:rPr>
          <w:rFonts w:hint="eastAsia"/>
        </w:rPr>
        <w:t>本基金本报告期末未持有债券。</w:t>
      </w:r>
    </w:p>
    <w:p w:rsidR="00790D62" w:rsidRDefault="00790D62" w:rsidP="00790D62">
      <w:pPr>
        <w:pStyle w:val="-2"/>
        <w:spacing w:before="312"/>
      </w:pPr>
      <w:r>
        <w:rPr>
          <w:rFonts w:hint="eastAsia"/>
        </w:rPr>
        <w:t>报告期末按公允价值占基金资产净值比例大小排名的前十名资产支持证券投资明细</w:t>
      </w:r>
    </w:p>
    <w:p w:rsidR="00790D62" w:rsidRDefault="00790D62" w:rsidP="00790D62">
      <w:pPr>
        <w:pStyle w:val="-"/>
        <w:ind w:firstLine="420"/>
      </w:pPr>
      <w:r>
        <w:rPr>
          <w:rFonts w:hint="eastAsia"/>
        </w:rPr>
        <w:t>本基金本报告期末未持有资产支持证券。</w:t>
      </w:r>
    </w:p>
    <w:p w:rsidR="00790D62" w:rsidRDefault="00790D62" w:rsidP="00790D62">
      <w:pPr>
        <w:pStyle w:val="-2"/>
        <w:spacing w:before="312"/>
      </w:pPr>
      <w:r>
        <w:rPr>
          <w:rFonts w:hint="eastAsia"/>
        </w:rPr>
        <w:t>报告期末按公允价值占基金资产净值比例大小排名的前五名金融衍生品投资明细</w:t>
      </w:r>
    </w:p>
    <w:p w:rsidR="00790D62" w:rsidRDefault="00790D62" w:rsidP="00790D62">
      <w:pPr>
        <w:pStyle w:val="-"/>
        <w:ind w:firstLine="420"/>
      </w:pPr>
      <w:r>
        <w:rPr>
          <w:rFonts w:hint="eastAsia"/>
        </w:rPr>
        <w:t>本基金本报告期末未持有金融衍生品。</w:t>
      </w:r>
    </w:p>
    <w:p w:rsidR="00790D62" w:rsidRDefault="00790D62" w:rsidP="00790D62">
      <w:pPr>
        <w:pStyle w:val="-2"/>
        <w:spacing w:before="312"/>
      </w:pPr>
      <w:r>
        <w:rPr>
          <w:rFonts w:hint="eastAsia"/>
        </w:rPr>
        <w:t>报告期末按公允价值占基金资产净值比例大小排序的前十名基金投资明细</w:t>
      </w:r>
    </w:p>
    <w:p w:rsidR="00790D62" w:rsidRDefault="00790D62" w:rsidP="00790D62">
      <w:pPr>
        <w:pStyle w:val="-"/>
        <w:ind w:firstLine="420"/>
      </w:pPr>
      <w:r>
        <w:rPr>
          <w:rFonts w:hint="eastAsia"/>
        </w:rPr>
        <w:t>本基金本报告期末未持有基金。</w:t>
      </w:r>
    </w:p>
    <w:p w:rsidR="00790D62" w:rsidRDefault="00790D62" w:rsidP="00790D62">
      <w:pPr>
        <w:pStyle w:val="-2"/>
        <w:spacing w:before="312"/>
      </w:pPr>
      <w:r>
        <w:rPr>
          <w:rFonts w:hint="eastAsia"/>
        </w:rPr>
        <w:t>投资组合报告附注</w:t>
      </w:r>
    </w:p>
    <w:p w:rsidR="00790D62" w:rsidRDefault="00790D62" w:rsidP="00790D62">
      <w:pPr>
        <w:pStyle w:val="-3"/>
        <w:spacing w:before="156" w:after="156"/>
      </w:pPr>
      <w:r>
        <w:t xml:space="preserve"> </w:t>
      </w:r>
    </w:p>
    <w:p w:rsidR="00790D62" w:rsidRDefault="00790D62" w:rsidP="00790D62">
      <w:pPr>
        <w:pStyle w:val="-"/>
        <w:ind w:firstLine="420"/>
      </w:pPr>
      <w:r>
        <w:rPr>
          <w:rFonts w:hint="eastAsia"/>
        </w:rPr>
        <w:t>报告期内基金投资的前十名证券除腾讯控股（证券代码700 HK）外其他证券的发行主体未有被监管部门立案调查，不存在报告编制日前一年内受到公开谴责、处罚的情形。</w:t>
      </w:r>
    </w:p>
    <w:p w:rsidR="00790D62" w:rsidRDefault="00790D62" w:rsidP="00790D62">
      <w:pPr>
        <w:pStyle w:val="-"/>
        <w:ind w:firstLine="420"/>
      </w:pPr>
      <w:r>
        <w:rPr>
          <w:rFonts w:hint="eastAsia"/>
        </w:rPr>
        <w:t>腾讯控股有限公司在报告编制期前一年内受到处罚，于2020年1月3日因广告违法行为被南山市场监督管理局行政处罚20万。</w:t>
      </w:r>
    </w:p>
    <w:p w:rsidR="00790D62" w:rsidRDefault="00790D62" w:rsidP="00790D62">
      <w:pPr>
        <w:pStyle w:val="-"/>
        <w:ind w:firstLine="420"/>
      </w:pPr>
      <w:r>
        <w:rPr>
          <w:rFonts w:hint="eastAsia"/>
        </w:rPr>
        <w:t>对上述证券的投资决策程序的说明：本基金投资上述证券的投资决策程序符合相关法律法规和公司制度的要求。</w:t>
      </w:r>
    </w:p>
    <w:p w:rsidR="00790D62" w:rsidRDefault="00790D62" w:rsidP="00790D62">
      <w:pPr>
        <w:pStyle w:val="-3"/>
        <w:spacing w:before="156" w:after="156"/>
      </w:pPr>
      <w:r>
        <w:t xml:space="preserve"> </w:t>
      </w:r>
    </w:p>
    <w:p w:rsidR="00790D62" w:rsidRDefault="00790D62" w:rsidP="00790D62">
      <w:pPr>
        <w:pStyle w:val="-"/>
        <w:ind w:firstLine="420"/>
      </w:pPr>
      <w:r>
        <w:rPr>
          <w:rFonts w:hint="eastAsia"/>
        </w:rPr>
        <w:lastRenderedPageBreak/>
        <w:t>本基金投资的前十名股票没有超出基金合同规定的备选股票库，本基金管理人从制度和流程上要求股票必须先入库再买入。</w:t>
      </w:r>
    </w:p>
    <w:p w:rsidR="00790D62" w:rsidRDefault="00790D62" w:rsidP="00790D62">
      <w:pPr>
        <w:pStyle w:val="-3"/>
        <w:spacing w:before="156" w:after="156"/>
      </w:pPr>
      <w:r>
        <w:rPr>
          <w:rFonts w:hint="eastAsia"/>
        </w:rPr>
        <w:t>其他资产构成</w:t>
      </w:r>
    </w:p>
    <w:p w:rsidR="00790D62" w:rsidRDefault="00790D62" w:rsidP="00790D62">
      <w:pPr>
        <w:jc w:val="right"/>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790D62" w:rsidTr="00790D62">
        <w:trPr>
          <w:cnfStyle w:val="100000000000" w:firstRow="1" w:lastRow="0" w:firstColumn="0" w:lastColumn="0" w:oddVBand="0" w:evenVBand="0" w:oddHBand="0" w:evenHBand="0" w:firstRowFirstColumn="0" w:firstRowLastColumn="0" w:lastRowFirstColumn="0" w:lastRowLastColumn="0"/>
        </w:trPr>
        <w:tc>
          <w:tcPr>
            <w:tcW w:w="743" w:type="dxa"/>
          </w:tcPr>
          <w:p w:rsidR="00790D62" w:rsidRDefault="00790D62" w:rsidP="00790D62">
            <w:pPr>
              <w:jc w:val="center"/>
            </w:pPr>
            <w:r>
              <w:rPr>
                <w:rFonts w:hint="eastAsia"/>
              </w:rPr>
              <w:t>序号</w:t>
            </w:r>
          </w:p>
        </w:tc>
        <w:tc>
          <w:tcPr>
            <w:tcW w:w="2977" w:type="dxa"/>
          </w:tcPr>
          <w:p w:rsidR="00790D62" w:rsidRDefault="00790D62" w:rsidP="00790D62">
            <w:pPr>
              <w:jc w:val="center"/>
            </w:pPr>
            <w:r>
              <w:rPr>
                <w:rFonts w:hint="eastAsia"/>
              </w:rPr>
              <w:t>名称</w:t>
            </w:r>
          </w:p>
        </w:tc>
        <w:tc>
          <w:tcPr>
            <w:tcW w:w="4785" w:type="dxa"/>
          </w:tcPr>
          <w:p w:rsidR="00790D62" w:rsidRDefault="00790D62" w:rsidP="00790D62">
            <w:pPr>
              <w:jc w:val="center"/>
            </w:pPr>
            <w:r>
              <w:rPr>
                <w:rFonts w:hint="eastAsia"/>
              </w:rPr>
              <w:t>金额（元）</w:t>
            </w:r>
          </w:p>
        </w:tc>
      </w:tr>
      <w:tr w:rsidR="00790D62" w:rsidTr="00790D62">
        <w:tc>
          <w:tcPr>
            <w:tcW w:w="743" w:type="dxa"/>
          </w:tcPr>
          <w:p w:rsidR="00790D62" w:rsidRDefault="00790D62" w:rsidP="00790D62">
            <w:pPr>
              <w:jc w:val="center"/>
            </w:pPr>
            <w:r>
              <w:t>1</w:t>
            </w:r>
          </w:p>
        </w:tc>
        <w:tc>
          <w:tcPr>
            <w:tcW w:w="2977" w:type="dxa"/>
          </w:tcPr>
          <w:p w:rsidR="00790D62" w:rsidRDefault="00790D62" w:rsidP="00790D62">
            <w:pPr>
              <w:jc w:val="left"/>
            </w:pPr>
            <w:r>
              <w:rPr>
                <w:rFonts w:hint="eastAsia"/>
              </w:rPr>
              <w:t>存出保证金</w:t>
            </w:r>
          </w:p>
        </w:tc>
        <w:tc>
          <w:tcPr>
            <w:tcW w:w="4785" w:type="dxa"/>
          </w:tcPr>
          <w:p w:rsidR="00790D62" w:rsidRDefault="00790D62" w:rsidP="00790D62">
            <w:pPr>
              <w:jc w:val="right"/>
            </w:pPr>
            <w:r>
              <w:t>13,183.51</w:t>
            </w:r>
          </w:p>
        </w:tc>
      </w:tr>
      <w:tr w:rsidR="00790D62" w:rsidTr="00790D62">
        <w:tc>
          <w:tcPr>
            <w:tcW w:w="743" w:type="dxa"/>
          </w:tcPr>
          <w:p w:rsidR="00790D62" w:rsidRDefault="00790D62" w:rsidP="00790D62">
            <w:pPr>
              <w:jc w:val="center"/>
            </w:pPr>
            <w:r>
              <w:t>2</w:t>
            </w:r>
          </w:p>
        </w:tc>
        <w:tc>
          <w:tcPr>
            <w:tcW w:w="2977" w:type="dxa"/>
          </w:tcPr>
          <w:p w:rsidR="00790D62" w:rsidRDefault="00790D62" w:rsidP="00790D62">
            <w:pPr>
              <w:jc w:val="left"/>
            </w:pPr>
            <w:r>
              <w:rPr>
                <w:rFonts w:hint="eastAsia"/>
              </w:rPr>
              <w:t>应收证券清算款</w:t>
            </w:r>
          </w:p>
        </w:tc>
        <w:tc>
          <w:tcPr>
            <w:tcW w:w="4785" w:type="dxa"/>
          </w:tcPr>
          <w:p w:rsidR="00790D62" w:rsidRDefault="00790D62" w:rsidP="00790D62">
            <w:pPr>
              <w:jc w:val="right"/>
            </w:pPr>
            <w:r>
              <w:t>-</w:t>
            </w:r>
          </w:p>
        </w:tc>
      </w:tr>
      <w:tr w:rsidR="00790D62" w:rsidTr="00790D62">
        <w:tc>
          <w:tcPr>
            <w:tcW w:w="743" w:type="dxa"/>
          </w:tcPr>
          <w:p w:rsidR="00790D62" w:rsidRDefault="00790D62" w:rsidP="00790D62">
            <w:pPr>
              <w:jc w:val="center"/>
            </w:pPr>
            <w:r>
              <w:t>3</w:t>
            </w:r>
          </w:p>
        </w:tc>
        <w:tc>
          <w:tcPr>
            <w:tcW w:w="2977" w:type="dxa"/>
          </w:tcPr>
          <w:p w:rsidR="00790D62" w:rsidRDefault="00790D62" w:rsidP="00790D62">
            <w:pPr>
              <w:jc w:val="left"/>
            </w:pPr>
            <w:r>
              <w:rPr>
                <w:rFonts w:hint="eastAsia"/>
              </w:rPr>
              <w:t>应收股利</w:t>
            </w:r>
          </w:p>
        </w:tc>
        <w:tc>
          <w:tcPr>
            <w:tcW w:w="4785" w:type="dxa"/>
          </w:tcPr>
          <w:p w:rsidR="00790D62" w:rsidRDefault="00790D62" w:rsidP="00790D62">
            <w:pPr>
              <w:jc w:val="right"/>
            </w:pPr>
            <w:r>
              <w:t>126,813.53</w:t>
            </w:r>
          </w:p>
        </w:tc>
      </w:tr>
      <w:tr w:rsidR="00790D62" w:rsidTr="00790D62">
        <w:tc>
          <w:tcPr>
            <w:tcW w:w="743" w:type="dxa"/>
          </w:tcPr>
          <w:p w:rsidR="00790D62" w:rsidRDefault="00790D62" w:rsidP="00790D62">
            <w:pPr>
              <w:jc w:val="center"/>
            </w:pPr>
            <w:r>
              <w:t>4</w:t>
            </w:r>
          </w:p>
        </w:tc>
        <w:tc>
          <w:tcPr>
            <w:tcW w:w="2977" w:type="dxa"/>
          </w:tcPr>
          <w:p w:rsidR="00790D62" w:rsidRDefault="00790D62" w:rsidP="00790D62">
            <w:pPr>
              <w:jc w:val="left"/>
            </w:pPr>
            <w:r>
              <w:rPr>
                <w:rFonts w:hint="eastAsia"/>
              </w:rPr>
              <w:t>应收利息</w:t>
            </w:r>
          </w:p>
        </w:tc>
        <w:tc>
          <w:tcPr>
            <w:tcW w:w="4785" w:type="dxa"/>
          </w:tcPr>
          <w:p w:rsidR="00790D62" w:rsidRDefault="00790D62" w:rsidP="00790D62">
            <w:pPr>
              <w:jc w:val="right"/>
            </w:pPr>
            <w:r>
              <w:t>3,926.14</w:t>
            </w:r>
          </w:p>
        </w:tc>
      </w:tr>
      <w:tr w:rsidR="00790D62" w:rsidTr="00790D62">
        <w:tc>
          <w:tcPr>
            <w:tcW w:w="743" w:type="dxa"/>
          </w:tcPr>
          <w:p w:rsidR="00790D62" w:rsidRDefault="00790D62" w:rsidP="00790D62">
            <w:pPr>
              <w:jc w:val="center"/>
            </w:pPr>
            <w:r>
              <w:t>5</w:t>
            </w:r>
          </w:p>
        </w:tc>
        <w:tc>
          <w:tcPr>
            <w:tcW w:w="2977" w:type="dxa"/>
          </w:tcPr>
          <w:p w:rsidR="00790D62" w:rsidRDefault="00790D62" w:rsidP="00790D62">
            <w:pPr>
              <w:jc w:val="left"/>
            </w:pPr>
            <w:r>
              <w:rPr>
                <w:rFonts w:hint="eastAsia"/>
              </w:rPr>
              <w:t>应收申购款</w:t>
            </w:r>
          </w:p>
        </w:tc>
        <w:tc>
          <w:tcPr>
            <w:tcW w:w="4785" w:type="dxa"/>
          </w:tcPr>
          <w:p w:rsidR="00790D62" w:rsidRDefault="00790D62" w:rsidP="00790D62">
            <w:pPr>
              <w:jc w:val="right"/>
            </w:pPr>
            <w:r>
              <w:t>4,733,095.10</w:t>
            </w:r>
          </w:p>
        </w:tc>
      </w:tr>
      <w:tr w:rsidR="00790D62" w:rsidTr="00790D62">
        <w:tc>
          <w:tcPr>
            <w:tcW w:w="743" w:type="dxa"/>
          </w:tcPr>
          <w:p w:rsidR="00790D62" w:rsidRDefault="00790D62" w:rsidP="00790D62">
            <w:pPr>
              <w:jc w:val="center"/>
            </w:pPr>
            <w:r>
              <w:t>6</w:t>
            </w:r>
          </w:p>
        </w:tc>
        <w:tc>
          <w:tcPr>
            <w:tcW w:w="2977" w:type="dxa"/>
          </w:tcPr>
          <w:p w:rsidR="00790D62" w:rsidRDefault="00790D62" w:rsidP="00790D62">
            <w:pPr>
              <w:jc w:val="left"/>
            </w:pPr>
            <w:r>
              <w:rPr>
                <w:rFonts w:hint="eastAsia"/>
              </w:rPr>
              <w:t>其他应收款</w:t>
            </w:r>
          </w:p>
        </w:tc>
        <w:tc>
          <w:tcPr>
            <w:tcW w:w="4785" w:type="dxa"/>
          </w:tcPr>
          <w:p w:rsidR="00790D62" w:rsidRDefault="00790D62" w:rsidP="00790D62">
            <w:pPr>
              <w:jc w:val="right"/>
            </w:pPr>
            <w:r>
              <w:t>-</w:t>
            </w:r>
          </w:p>
        </w:tc>
      </w:tr>
      <w:tr w:rsidR="00790D62" w:rsidTr="00790D62">
        <w:tc>
          <w:tcPr>
            <w:tcW w:w="743" w:type="dxa"/>
          </w:tcPr>
          <w:p w:rsidR="00790D62" w:rsidRDefault="00790D62" w:rsidP="00790D62">
            <w:pPr>
              <w:jc w:val="center"/>
            </w:pPr>
            <w:r>
              <w:t>7</w:t>
            </w:r>
          </w:p>
        </w:tc>
        <w:tc>
          <w:tcPr>
            <w:tcW w:w="2977" w:type="dxa"/>
          </w:tcPr>
          <w:p w:rsidR="00790D62" w:rsidRDefault="00790D62" w:rsidP="00790D62">
            <w:pPr>
              <w:jc w:val="left"/>
            </w:pPr>
            <w:r>
              <w:rPr>
                <w:rFonts w:hint="eastAsia"/>
              </w:rPr>
              <w:t>待摊费用</w:t>
            </w:r>
          </w:p>
        </w:tc>
        <w:tc>
          <w:tcPr>
            <w:tcW w:w="4785" w:type="dxa"/>
          </w:tcPr>
          <w:p w:rsidR="00790D62" w:rsidRDefault="00790D62" w:rsidP="00790D62">
            <w:pPr>
              <w:jc w:val="right"/>
            </w:pPr>
            <w:r>
              <w:t>-</w:t>
            </w:r>
          </w:p>
        </w:tc>
      </w:tr>
      <w:tr w:rsidR="00790D62" w:rsidTr="00790D62">
        <w:tc>
          <w:tcPr>
            <w:tcW w:w="743" w:type="dxa"/>
          </w:tcPr>
          <w:p w:rsidR="00790D62" w:rsidRDefault="00790D62" w:rsidP="00790D62">
            <w:pPr>
              <w:jc w:val="center"/>
            </w:pPr>
            <w:r>
              <w:t>8</w:t>
            </w:r>
          </w:p>
        </w:tc>
        <w:tc>
          <w:tcPr>
            <w:tcW w:w="2977" w:type="dxa"/>
          </w:tcPr>
          <w:p w:rsidR="00790D62" w:rsidRDefault="00790D62" w:rsidP="00790D62">
            <w:pPr>
              <w:jc w:val="left"/>
            </w:pPr>
            <w:r>
              <w:rPr>
                <w:rFonts w:hint="eastAsia"/>
              </w:rPr>
              <w:t>其他</w:t>
            </w:r>
          </w:p>
        </w:tc>
        <w:tc>
          <w:tcPr>
            <w:tcW w:w="4785" w:type="dxa"/>
          </w:tcPr>
          <w:p w:rsidR="00790D62" w:rsidRDefault="00790D62" w:rsidP="00790D62">
            <w:pPr>
              <w:jc w:val="right"/>
            </w:pPr>
            <w:r>
              <w:t>-</w:t>
            </w:r>
          </w:p>
        </w:tc>
      </w:tr>
      <w:tr w:rsidR="00790D62" w:rsidTr="00790D62">
        <w:tc>
          <w:tcPr>
            <w:tcW w:w="743" w:type="dxa"/>
          </w:tcPr>
          <w:p w:rsidR="00790D62" w:rsidRDefault="00790D62" w:rsidP="00790D62">
            <w:pPr>
              <w:jc w:val="center"/>
            </w:pPr>
            <w:r>
              <w:t>9</w:t>
            </w:r>
          </w:p>
        </w:tc>
        <w:tc>
          <w:tcPr>
            <w:tcW w:w="2977" w:type="dxa"/>
          </w:tcPr>
          <w:p w:rsidR="00790D62" w:rsidRDefault="00790D62" w:rsidP="00790D62">
            <w:pPr>
              <w:jc w:val="left"/>
            </w:pPr>
            <w:r>
              <w:rPr>
                <w:rFonts w:hint="eastAsia"/>
              </w:rPr>
              <w:t>合计</w:t>
            </w:r>
          </w:p>
        </w:tc>
        <w:tc>
          <w:tcPr>
            <w:tcW w:w="4785" w:type="dxa"/>
          </w:tcPr>
          <w:p w:rsidR="00790D62" w:rsidRDefault="00790D62" w:rsidP="00790D62">
            <w:pPr>
              <w:jc w:val="right"/>
            </w:pPr>
            <w:r>
              <w:t>4,877,018.28</w:t>
            </w:r>
          </w:p>
        </w:tc>
      </w:tr>
    </w:tbl>
    <w:p w:rsidR="00790D62" w:rsidRDefault="00790D62" w:rsidP="00790D62">
      <w:pPr>
        <w:pStyle w:val="-3"/>
        <w:spacing w:before="156" w:after="156"/>
      </w:pPr>
      <w:r>
        <w:rPr>
          <w:rFonts w:hint="eastAsia"/>
        </w:rPr>
        <w:t>报告期末持有的处于转股期的可转换债券明细</w:t>
      </w:r>
    </w:p>
    <w:p w:rsidR="00790D62" w:rsidRDefault="00790D62" w:rsidP="00790D62">
      <w:pPr>
        <w:pStyle w:val="-"/>
        <w:ind w:firstLine="420"/>
      </w:pPr>
      <w:r>
        <w:rPr>
          <w:rFonts w:hint="eastAsia"/>
        </w:rPr>
        <w:t>本基金本报告期末未持有债券。</w:t>
      </w:r>
    </w:p>
    <w:p w:rsidR="00790D62" w:rsidRDefault="00790D62" w:rsidP="00790D62">
      <w:pPr>
        <w:pStyle w:val="-3"/>
        <w:spacing w:before="156" w:after="156"/>
      </w:pPr>
      <w:r>
        <w:rPr>
          <w:rFonts w:hint="eastAsia"/>
        </w:rPr>
        <w:t>报告期末前十名股票中存在流通受限情况的说明</w:t>
      </w:r>
    </w:p>
    <w:p w:rsidR="00790D62" w:rsidRDefault="00790D62" w:rsidP="00790D62">
      <w:pPr>
        <w:pStyle w:val="-"/>
        <w:ind w:firstLine="420"/>
      </w:pPr>
      <w:r>
        <w:rPr>
          <w:rFonts w:hint="eastAsia"/>
        </w:rPr>
        <w:t>本基金本报告期末未持有流通受限股票。</w:t>
      </w:r>
    </w:p>
    <w:p w:rsidR="00790D62" w:rsidRDefault="00790D62" w:rsidP="00790D62">
      <w:pPr>
        <w:pStyle w:val="-1"/>
        <w:ind w:left="281" w:hanging="281"/>
      </w:pPr>
      <w:r>
        <w:rPr>
          <w:rFonts w:hint="eastAsia"/>
        </w:rPr>
        <w:t>开放式基金份额变动</w:t>
      </w:r>
    </w:p>
    <w:p w:rsidR="00790D62" w:rsidRDefault="00790D62" w:rsidP="00790D62">
      <w:pPr>
        <w:jc w:val="right"/>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790D62" w:rsidTr="00790D62">
        <w:tc>
          <w:tcPr>
            <w:tcW w:w="5670" w:type="dxa"/>
          </w:tcPr>
          <w:p w:rsidR="00790D62" w:rsidRDefault="00790D62" w:rsidP="00790D62">
            <w:pPr>
              <w:jc w:val="left"/>
            </w:pPr>
            <w:r>
              <w:rPr>
                <w:rFonts w:hint="eastAsia"/>
              </w:rPr>
              <w:t>报告期期初基金份额总额</w:t>
            </w:r>
          </w:p>
        </w:tc>
        <w:tc>
          <w:tcPr>
            <w:tcW w:w="2835" w:type="dxa"/>
          </w:tcPr>
          <w:p w:rsidR="00790D62" w:rsidRDefault="00790D62" w:rsidP="00790D62">
            <w:pPr>
              <w:jc w:val="right"/>
            </w:pPr>
            <w:r>
              <w:t>149,500,146.79</w:t>
            </w:r>
          </w:p>
        </w:tc>
      </w:tr>
      <w:tr w:rsidR="00790D62" w:rsidTr="00790D62">
        <w:tc>
          <w:tcPr>
            <w:tcW w:w="5670" w:type="dxa"/>
          </w:tcPr>
          <w:p w:rsidR="00790D62" w:rsidRDefault="00790D62" w:rsidP="00790D62">
            <w:pPr>
              <w:jc w:val="left"/>
            </w:pPr>
            <w:r>
              <w:rPr>
                <w:rFonts w:hint="eastAsia"/>
              </w:rPr>
              <w:t>报告期期间基金总申购份额</w:t>
            </w:r>
          </w:p>
        </w:tc>
        <w:tc>
          <w:tcPr>
            <w:tcW w:w="2835" w:type="dxa"/>
          </w:tcPr>
          <w:p w:rsidR="00790D62" w:rsidRDefault="00790D62" w:rsidP="00790D62">
            <w:pPr>
              <w:jc w:val="right"/>
            </w:pPr>
            <w:r>
              <w:t>216,165,090.14</w:t>
            </w:r>
          </w:p>
        </w:tc>
      </w:tr>
      <w:tr w:rsidR="00790D62" w:rsidTr="00790D62">
        <w:tc>
          <w:tcPr>
            <w:tcW w:w="5670" w:type="dxa"/>
          </w:tcPr>
          <w:p w:rsidR="00790D62" w:rsidRDefault="00790D62" w:rsidP="00790D62">
            <w:pPr>
              <w:jc w:val="left"/>
            </w:pPr>
            <w:r>
              <w:rPr>
                <w:rFonts w:hint="eastAsia"/>
              </w:rPr>
              <w:t>减：报告期期间基金总赎回份额</w:t>
            </w:r>
          </w:p>
        </w:tc>
        <w:tc>
          <w:tcPr>
            <w:tcW w:w="2835" w:type="dxa"/>
          </w:tcPr>
          <w:p w:rsidR="00790D62" w:rsidRDefault="00790D62" w:rsidP="00790D62">
            <w:pPr>
              <w:jc w:val="right"/>
            </w:pPr>
            <w:r>
              <w:t>84,597,127.53</w:t>
            </w:r>
          </w:p>
        </w:tc>
      </w:tr>
      <w:tr w:rsidR="00790D62" w:rsidTr="00790D62">
        <w:tc>
          <w:tcPr>
            <w:tcW w:w="5670" w:type="dxa"/>
          </w:tcPr>
          <w:p w:rsidR="00790D62" w:rsidRDefault="00790D62" w:rsidP="00790D62">
            <w:pPr>
              <w:jc w:val="left"/>
            </w:pPr>
            <w:r>
              <w:rPr>
                <w:rFonts w:hint="eastAsia"/>
              </w:rPr>
              <w:t>报告期期间基金拆分变动份额（份额减少以</w:t>
            </w:r>
            <w:r>
              <w:rPr>
                <w:rFonts w:hint="eastAsia"/>
              </w:rPr>
              <w:t>"-"</w:t>
            </w:r>
            <w:r>
              <w:rPr>
                <w:rFonts w:hint="eastAsia"/>
              </w:rPr>
              <w:t>填列）</w:t>
            </w:r>
          </w:p>
        </w:tc>
        <w:tc>
          <w:tcPr>
            <w:tcW w:w="2835" w:type="dxa"/>
          </w:tcPr>
          <w:p w:rsidR="00790D62" w:rsidRDefault="00790D62" w:rsidP="00790D62">
            <w:pPr>
              <w:jc w:val="right"/>
            </w:pPr>
            <w:r>
              <w:t>-</w:t>
            </w:r>
          </w:p>
        </w:tc>
      </w:tr>
      <w:tr w:rsidR="00790D62" w:rsidTr="00790D62">
        <w:tc>
          <w:tcPr>
            <w:tcW w:w="5670" w:type="dxa"/>
          </w:tcPr>
          <w:p w:rsidR="00790D62" w:rsidRDefault="00790D62" w:rsidP="00790D62">
            <w:pPr>
              <w:jc w:val="left"/>
            </w:pPr>
            <w:r>
              <w:rPr>
                <w:rFonts w:hint="eastAsia"/>
              </w:rPr>
              <w:t>报告期期末基金份额总额</w:t>
            </w:r>
          </w:p>
        </w:tc>
        <w:tc>
          <w:tcPr>
            <w:tcW w:w="2835" w:type="dxa"/>
          </w:tcPr>
          <w:p w:rsidR="00790D62" w:rsidRDefault="00790D62" w:rsidP="00790D62">
            <w:pPr>
              <w:jc w:val="right"/>
            </w:pPr>
            <w:r>
              <w:t>281,068,109.40</w:t>
            </w:r>
          </w:p>
        </w:tc>
      </w:tr>
    </w:tbl>
    <w:p w:rsidR="00790D62" w:rsidRDefault="00790D62" w:rsidP="00790D62">
      <w:pPr>
        <w:pStyle w:val="-1"/>
        <w:ind w:left="281" w:hanging="281"/>
      </w:pPr>
      <w:r>
        <w:rPr>
          <w:rFonts w:hint="eastAsia"/>
        </w:rPr>
        <w:t>基金管理人运用固有资金投资本基金情况</w:t>
      </w:r>
    </w:p>
    <w:p w:rsidR="00790D62" w:rsidRDefault="00790D62" w:rsidP="00790D62">
      <w:pPr>
        <w:pStyle w:val="-2"/>
        <w:spacing w:before="312"/>
      </w:pPr>
      <w:r>
        <w:rPr>
          <w:rFonts w:hint="eastAsia"/>
        </w:rPr>
        <w:t>基金管理人持有本基金份额变动情况</w:t>
      </w:r>
    </w:p>
    <w:p w:rsidR="00790D62" w:rsidRDefault="00790D62" w:rsidP="00790D62">
      <w:pPr>
        <w:jc w:val="right"/>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790D62" w:rsidTr="00790D62">
        <w:trPr>
          <w:cnfStyle w:val="100000000000" w:firstRow="1" w:lastRow="0" w:firstColumn="0" w:lastColumn="0" w:oddVBand="0" w:evenVBand="0" w:oddHBand="0" w:evenHBand="0" w:firstRowFirstColumn="0" w:firstRowLastColumn="0" w:lastRowFirstColumn="0" w:lastRowLastColumn="0"/>
        </w:trPr>
        <w:tc>
          <w:tcPr>
            <w:tcW w:w="5352" w:type="dxa"/>
          </w:tcPr>
          <w:p w:rsidR="00790D62" w:rsidRDefault="00790D62" w:rsidP="00790D62">
            <w:pPr>
              <w:jc w:val="center"/>
            </w:pPr>
            <w:r>
              <w:rPr>
                <w:rFonts w:hint="eastAsia"/>
              </w:rPr>
              <w:t>项目</w:t>
            </w:r>
          </w:p>
        </w:tc>
        <w:tc>
          <w:tcPr>
            <w:tcW w:w="3153" w:type="dxa"/>
          </w:tcPr>
          <w:p w:rsidR="00790D62" w:rsidRDefault="00790D62" w:rsidP="00790D62">
            <w:pPr>
              <w:jc w:val="center"/>
            </w:pPr>
            <w:r>
              <w:rPr>
                <w:rFonts w:hint="eastAsia"/>
              </w:rPr>
              <w:t>份额</w:t>
            </w:r>
          </w:p>
        </w:tc>
      </w:tr>
      <w:tr w:rsidR="00790D62" w:rsidTr="00790D62">
        <w:tc>
          <w:tcPr>
            <w:tcW w:w="5352" w:type="dxa"/>
          </w:tcPr>
          <w:p w:rsidR="00790D62" w:rsidRDefault="00790D62" w:rsidP="00790D62">
            <w:pPr>
              <w:jc w:val="left"/>
            </w:pPr>
            <w:r>
              <w:rPr>
                <w:rFonts w:hint="eastAsia"/>
              </w:rPr>
              <w:t>报告期期初管理人持有的本基金份额</w:t>
            </w:r>
          </w:p>
        </w:tc>
        <w:tc>
          <w:tcPr>
            <w:tcW w:w="3153" w:type="dxa"/>
          </w:tcPr>
          <w:p w:rsidR="00790D62" w:rsidRDefault="00790D62" w:rsidP="00790D62">
            <w:pPr>
              <w:jc w:val="right"/>
            </w:pPr>
            <w:r>
              <w:t>25,557,449.99</w:t>
            </w:r>
          </w:p>
        </w:tc>
      </w:tr>
      <w:tr w:rsidR="00790D62" w:rsidTr="00790D62">
        <w:tc>
          <w:tcPr>
            <w:tcW w:w="5352" w:type="dxa"/>
          </w:tcPr>
          <w:p w:rsidR="00790D62" w:rsidRDefault="00790D62" w:rsidP="00790D62">
            <w:pPr>
              <w:jc w:val="left"/>
            </w:pPr>
            <w:r>
              <w:rPr>
                <w:rFonts w:hint="eastAsia"/>
              </w:rPr>
              <w:t>报告期期间买入</w:t>
            </w:r>
            <w:r>
              <w:rPr>
                <w:rFonts w:hint="eastAsia"/>
              </w:rPr>
              <w:t>/</w:t>
            </w:r>
            <w:r>
              <w:rPr>
                <w:rFonts w:hint="eastAsia"/>
              </w:rPr>
              <w:t>申购总份额</w:t>
            </w:r>
          </w:p>
        </w:tc>
        <w:tc>
          <w:tcPr>
            <w:tcW w:w="3153" w:type="dxa"/>
          </w:tcPr>
          <w:p w:rsidR="00790D62" w:rsidRDefault="00790D62" w:rsidP="00790D62">
            <w:pPr>
              <w:jc w:val="right"/>
            </w:pPr>
            <w:r>
              <w:t>-</w:t>
            </w:r>
          </w:p>
        </w:tc>
      </w:tr>
      <w:tr w:rsidR="00790D62" w:rsidTr="00790D62">
        <w:tc>
          <w:tcPr>
            <w:tcW w:w="5352" w:type="dxa"/>
          </w:tcPr>
          <w:p w:rsidR="00790D62" w:rsidRDefault="00790D62" w:rsidP="00790D62">
            <w:pPr>
              <w:jc w:val="left"/>
            </w:pPr>
            <w:r>
              <w:rPr>
                <w:rFonts w:hint="eastAsia"/>
              </w:rPr>
              <w:t>报告期期间卖出</w:t>
            </w:r>
            <w:r>
              <w:rPr>
                <w:rFonts w:hint="eastAsia"/>
              </w:rPr>
              <w:t>/</w:t>
            </w:r>
            <w:r>
              <w:rPr>
                <w:rFonts w:hint="eastAsia"/>
              </w:rPr>
              <w:t>赎回总份额</w:t>
            </w:r>
          </w:p>
        </w:tc>
        <w:tc>
          <w:tcPr>
            <w:tcW w:w="3153" w:type="dxa"/>
          </w:tcPr>
          <w:p w:rsidR="00790D62" w:rsidRDefault="00790D62" w:rsidP="00790D62">
            <w:pPr>
              <w:jc w:val="right"/>
            </w:pPr>
            <w:r>
              <w:t>-</w:t>
            </w:r>
          </w:p>
        </w:tc>
      </w:tr>
      <w:tr w:rsidR="00790D62" w:rsidTr="00790D62">
        <w:tc>
          <w:tcPr>
            <w:tcW w:w="5352" w:type="dxa"/>
          </w:tcPr>
          <w:p w:rsidR="00790D62" w:rsidRDefault="00790D62" w:rsidP="00790D62">
            <w:pPr>
              <w:jc w:val="left"/>
            </w:pPr>
            <w:r>
              <w:rPr>
                <w:rFonts w:hint="eastAsia"/>
              </w:rPr>
              <w:t>报告期期末管理人持有的本基金份额</w:t>
            </w:r>
          </w:p>
        </w:tc>
        <w:tc>
          <w:tcPr>
            <w:tcW w:w="3153" w:type="dxa"/>
          </w:tcPr>
          <w:p w:rsidR="00790D62" w:rsidRDefault="00790D62" w:rsidP="00790D62">
            <w:pPr>
              <w:jc w:val="right"/>
            </w:pPr>
            <w:r>
              <w:t>25,557,449.99</w:t>
            </w:r>
          </w:p>
        </w:tc>
      </w:tr>
      <w:tr w:rsidR="00790D62" w:rsidTr="00790D62">
        <w:tc>
          <w:tcPr>
            <w:tcW w:w="5352" w:type="dxa"/>
          </w:tcPr>
          <w:p w:rsidR="00790D62" w:rsidRDefault="00790D62" w:rsidP="00790D62">
            <w:pPr>
              <w:jc w:val="left"/>
            </w:pPr>
            <w:r>
              <w:rPr>
                <w:rFonts w:hint="eastAsia"/>
              </w:rPr>
              <w:lastRenderedPageBreak/>
              <w:t>报告期期末持有的本基金份额占基金总份额比例（</w:t>
            </w:r>
            <w:r>
              <w:rPr>
                <w:rFonts w:hint="eastAsia"/>
              </w:rPr>
              <w:t>%</w:t>
            </w:r>
            <w:r>
              <w:rPr>
                <w:rFonts w:hint="eastAsia"/>
              </w:rPr>
              <w:t>）</w:t>
            </w:r>
          </w:p>
        </w:tc>
        <w:tc>
          <w:tcPr>
            <w:tcW w:w="3153" w:type="dxa"/>
          </w:tcPr>
          <w:p w:rsidR="00790D62" w:rsidRDefault="00790D62" w:rsidP="00790D62">
            <w:pPr>
              <w:jc w:val="right"/>
            </w:pPr>
            <w:r>
              <w:t>9.09</w:t>
            </w:r>
          </w:p>
        </w:tc>
      </w:tr>
    </w:tbl>
    <w:p w:rsidR="00790D62" w:rsidRDefault="00790D62" w:rsidP="00790D62">
      <w:pPr>
        <w:pStyle w:val="-2"/>
        <w:spacing w:before="312"/>
      </w:pPr>
      <w:r>
        <w:rPr>
          <w:rFonts w:hint="eastAsia"/>
        </w:rPr>
        <w:t>基金管理人运用固有资金投资本基金交易明细</w:t>
      </w:r>
    </w:p>
    <w:p w:rsidR="00790D62" w:rsidRDefault="00790D62" w:rsidP="00790D62">
      <w:pPr>
        <w:pStyle w:val="-"/>
        <w:ind w:firstLine="420"/>
      </w:pPr>
      <w:r>
        <w:rPr>
          <w:rFonts w:hint="eastAsia"/>
        </w:rPr>
        <w:t>本报告期内，基金管理人不存在申购、赎回或买卖本基金的情况。</w:t>
      </w:r>
    </w:p>
    <w:p w:rsidR="00790D62" w:rsidRDefault="00790D62" w:rsidP="00790D62">
      <w:pPr>
        <w:pStyle w:val="-1"/>
        <w:ind w:left="281" w:hanging="281"/>
      </w:pPr>
      <w:r>
        <w:rPr>
          <w:rFonts w:hint="eastAsia"/>
        </w:rPr>
        <w:t>影响投资者决策的其他重要信息</w:t>
      </w:r>
    </w:p>
    <w:p w:rsidR="00790D62" w:rsidRDefault="00790D62" w:rsidP="00790D62">
      <w:pPr>
        <w:pStyle w:val="-2"/>
        <w:spacing w:before="312"/>
      </w:pPr>
      <w:r>
        <w:rPr>
          <w:rFonts w:hint="eastAsia"/>
        </w:rPr>
        <w:t>报告期内单一投资者持有基金份额比例达到或超过20%的情况</w:t>
      </w:r>
    </w:p>
    <w:p w:rsidR="00790D62" w:rsidRDefault="00790D62" w:rsidP="00790D62">
      <w:pPr>
        <w:pStyle w:val="-"/>
        <w:ind w:firstLine="420"/>
      </w:pPr>
      <w:r>
        <w:rPr>
          <w:rFonts w:hint="eastAsia"/>
        </w:rPr>
        <w:t>报告期内单一投资者持有基金份额比例不存在达到或超过20%的情况。</w:t>
      </w:r>
    </w:p>
    <w:p w:rsidR="00790D62" w:rsidRDefault="00790D62" w:rsidP="00790D62">
      <w:pPr>
        <w:pStyle w:val="-2"/>
        <w:spacing w:before="312"/>
      </w:pPr>
      <w:r>
        <w:rPr>
          <w:rFonts w:hint="eastAsia"/>
        </w:rPr>
        <w:t>影响投资者决策的其他重要信息</w:t>
      </w:r>
    </w:p>
    <w:p w:rsidR="00790D62" w:rsidRDefault="00790D62" w:rsidP="00790D62">
      <w:pPr>
        <w:pStyle w:val="-"/>
        <w:ind w:firstLine="420"/>
      </w:pPr>
      <w:r>
        <w:rPr>
          <w:rFonts w:hint="eastAsia"/>
        </w:rPr>
        <w:t>无。</w:t>
      </w:r>
    </w:p>
    <w:p w:rsidR="00790D62" w:rsidRDefault="00790D62" w:rsidP="00790D62">
      <w:pPr>
        <w:pStyle w:val="-1"/>
        <w:ind w:left="281" w:hanging="281"/>
      </w:pPr>
      <w:r>
        <w:rPr>
          <w:rFonts w:hint="eastAsia"/>
        </w:rPr>
        <w:t>备查文件目录</w:t>
      </w:r>
    </w:p>
    <w:p w:rsidR="00790D62" w:rsidRDefault="00790D62" w:rsidP="00790D62">
      <w:pPr>
        <w:pStyle w:val="-2"/>
        <w:spacing w:before="312"/>
      </w:pPr>
      <w:r>
        <w:rPr>
          <w:rFonts w:hint="eastAsia"/>
        </w:rPr>
        <w:t>备查文件目录</w:t>
      </w:r>
    </w:p>
    <w:p w:rsidR="00790D62" w:rsidRDefault="00790D62" w:rsidP="00790D62">
      <w:pPr>
        <w:pStyle w:val="-"/>
        <w:ind w:firstLine="420"/>
      </w:pPr>
      <w:r>
        <w:rPr>
          <w:rFonts w:hint="eastAsia"/>
        </w:rPr>
        <w:t>1、《南方香港成长灵活配置混合型证券投资基金基金合同》；</w:t>
      </w:r>
    </w:p>
    <w:p w:rsidR="00790D62" w:rsidRDefault="00790D62" w:rsidP="00790D62">
      <w:pPr>
        <w:pStyle w:val="-"/>
        <w:ind w:firstLine="420"/>
      </w:pPr>
      <w:r>
        <w:rPr>
          <w:rFonts w:hint="eastAsia"/>
        </w:rPr>
        <w:t>2、《南方香港成长灵活配置混合型证券投资基金托管协议》；</w:t>
      </w:r>
    </w:p>
    <w:p w:rsidR="00790D62" w:rsidRDefault="00790D62" w:rsidP="00790D62">
      <w:pPr>
        <w:pStyle w:val="-"/>
        <w:ind w:firstLine="420"/>
      </w:pPr>
      <w:r>
        <w:rPr>
          <w:rFonts w:hint="eastAsia"/>
        </w:rPr>
        <w:t>3、南方香港成长灵活配置混合型证券投资基金2020年3季度报告原文。</w:t>
      </w:r>
    </w:p>
    <w:p w:rsidR="00790D62" w:rsidRDefault="00790D62" w:rsidP="00790D62">
      <w:pPr>
        <w:pStyle w:val="-2"/>
        <w:spacing w:before="312"/>
      </w:pPr>
      <w:r>
        <w:rPr>
          <w:rFonts w:hint="eastAsia"/>
        </w:rPr>
        <w:t>存放地点</w:t>
      </w:r>
    </w:p>
    <w:p w:rsidR="00790D62" w:rsidRDefault="00790D62" w:rsidP="00790D62">
      <w:pPr>
        <w:pStyle w:val="-"/>
        <w:ind w:firstLine="420"/>
      </w:pPr>
      <w:r>
        <w:rPr>
          <w:rFonts w:hint="eastAsia"/>
        </w:rPr>
        <w:t>深圳市福田区莲花街道益田路5999号基金大厦32-42楼。</w:t>
      </w:r>
    </w:p>
    <w:p w:rsidR="00790D62" w:rsidRDefault="00790D62" w:rsidP="00790D62">
      <w:pPr>
        <w:pStyle w:val="-2"/>
        <w:spacing w:before="312"/>
      </w:pPr>
      <w:r>
        <w:rPr>
          <w:rFonts w:hint="eastAsia"/>
        </w:rPr>
        <w:t>查阅方式</w:t>
      </w:r>
    </w:p>
    <w:p w:rsidR="00790D62" w:rsidRDefault="00790D62" w:rsidP="00790D62">
      <w:pPr>
        <w:pStyle w:val="-"/>
        <w:ind w:firstLine="420"/>
      </w:pPr>
      <w:r>
        <w:rPr>
          <w:rFonts w:hint="eastAsia"/>
        </w:rPr>
        <w:t>网站：http://www.nffund.com</w:t>
      </w:r>
    </w:p>
    <w:p w:rsidR="00790D62" w:rsidRDefault="00790D62" w:rsidP="00790D62">
      <w:pPr>
        <w:pStyle w:val="-"/>
        <w:ind w:firstLine="420"/>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Segoe UI Semi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D62" w:rsidRDefault="00790D6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F760A5" w:rsidRPr="00F760A5">
      <w:rPr>
        <w:rFonts w:ascii="宋体" w:hAnsi="宋体"/>
        <w:bCs/>
        <w:noProof/>
        <w:lang w:val="zh-CN"/>
      </w:rPr>
      <w:t>9</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F760A5">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F760A5">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D62" w:rsidRDefault="00790D6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D62" w:rsidRDefault="00790D6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790D62" w:rsidP="00AE3F5B">
    <w:pPr>
      <w:pStyle w:val="a7"/>
      <w:pBdr>
        <w:bottom w:val="single" w:sz="4" w:space="1" w:color="auto"/>
      </w:pBdr>
      <w:jc w:val="right"/>
    </w:pPr>
    <w:r>
      <w:rPr>
        <w:rFonts w:hint="eastAsia"/>
      </w:rPr>
      <w:t>南方香港成长灵活配置混合型证券投资基金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0D62"/>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499E"/>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760A5"/>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BDCAD-77A2-424E-BBBB-638D85E74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1421</Words>
  <Characters>8102</Characters>
  <Application>Microsoft Office Word</Application>
  <DocSecurity>0</DocSecurity>
  <Lines>67</Lines>
  <Paragraphs>19</Paragraphs>
  <ScaleCrop>false</ScaleCrop>
  <Company>MC SYSTEM</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陈裕</cp:lastModifiedBy>
  <cp:revision>4</cp:revision>
  <dcterms:created xsi:type="dcterms:W3CDTF">2020-10-26T09:23:00Z</dcterms:created>
  <dcterms:modified xsi:type="dcterms:W3CDTF">2020-10-27T07:26:00Z</dcterms:modified>
</cp:coreProperties>
</file>