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AE8099"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3E882614"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0829A576" w14:textId="5C1E7F97" w:rsidR="003F75AE" w:rsidRDefault="003F75AE">
      <w:pPr>
        <w:widowControl/>
        <w:autoSpaceDE w:val="0"/>
        <w:autoSpaceDN w:val="0"/>
        <w:spacing w:line="360" w:lineRule="auto"/>
        <w:jc w:val="center"/>
        <w:textAlignment w:val="bottom"/>
        <w:rPr>
          <w:rFonts w:ascii="宋体" w:cs="Times New Roman"/>
          <w:b/>
          <w:bCs/>
          <w:sz w:val="44"/>
          <w:szCs w:val="44"/>
        </w:rPr>
      </w:pPr>
    </w:p>
    <w:p w14:paraId="40BD4B53"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38FF967B"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403CB2AB" w14:textId="108E5149" w:rsidR="003F75AE" w:rsidRPr="00A4035F" w:rsidRDefault="005E4EB9">
      <w:pPr>
        <w:pStyle w:val="1"/>
        <w:ind w:left="0" w:firstLine="0"/>
        <w:jc w:val="center"/>
        <w:rPr>
          <w:rFonts w:ascii="宋体"/>
          <w:spacing w:val="-28"/>
        </w:rPr>
      </w:pPr>
      <w:bookmarkStart w:id="0" w:name="_Toc360194761"/>
      <w:bookmarkStart w:id="1" w:name="_Toc360195350"/>
      <w:bookmarkStart w:id="2" w:name="_Toc360195006"/>
      <w:bookmarkStart w:id="3" w:name="_Toc360794402"/>
      <w:bookmarkStart w:id="4" w:name="_Toc416453839"/>
      <w:bookmarkStart w:id="5" w:name="_Toc360794094"/>
      <w:bookmarkStart w:id="6" w:name="_Toc360787431"/>
      <w:bookmarkStart w:id="7" w:name="_Toc360786949"/>
      <w:bookmarkStart w:id="8" w:name="_Toc360793492"/>
      <w:bookmarkStart w:id="9" w:name="_Toc362533449"/>
      <w:bookmarkStart w:id="10" w:name="_Toc416453788"/>
      <w:bookmarkStart w:id="11" w:name="_Toc360192746"/>
      <w:bookmarkStart w:id="12" w:name="_Toc360191555"/>
      <w:proofErr w:type="gramStart"/>
      <w:r>
        <w:rPr>
          <w:rFonts w:ascii="宋体" w:hAnsi="宋体" w:cs="宋体" w:hint="eastAsia"/>
          <w:spacing w:val="-28"/>
        </w:rPr>
        <w:t>南方标普中国</w:t>
      </w:r>
      <w:proofErr w:type="gramEnd"/>
      <w:r>
        <w:rPr>
          <w:rFonts w:ascii="宋体" w:hAnsi="宋体" w:cs="宋体" w:hint="eastAsia"/>
          <w:spacing w:val="-28"/>
        </w:rPr>
        <w:t>A股大盘</w:t>
      </w:r>
      <w:proofErr w:type="gramStart"/>
      <w:r>
        <w:rPr>
          <w:rFonts w:ascii="宋体" w:hAnsi="宋体" w:cs="宋体" w:hint="eastAsia"/>
          <w:spacing w:val="-28"/>
        </w:rPr>
        <w:t>红利低</w:t>
      </w:r>
      <w:proofErr w:type="gramEnd"/>
      <w:r>
        <w:rPr>
          <w:rFonts w:ascii="宋体" w:hAnsi="宋体" w:cs="宋体" w:hint="eastAsia"/>
          <w:spacing w:val="-28"/>
        </w:rPr>
        <w:t>波50交易型开放式指数证券投资基金联接基金</w:t>
      </w:r>
      <w:r w:rsidR="003F75AE" w:rsidRPr="00A4035F">
        <w:rPr>
          <w:rFonts w:ascii="宋体" w:hAnsi="宋体" w:cs="宋体" w:hint="eastAsia"/>
          <w:spacing w:val="-28"/>
        </w:rPr>
        <w:t>招募说明书</w:t>
      </w:r>
      <w:bookmarkEnd w:id="0"/>
      <w:bookmarkEnd w:id="1"/>
      <w:bookmarkEnd w:id="2"/>
      <w:bookmarkEnd w:id="3"/>
      <w:bookmarkEnd w:id="4"/>
      <w:bookmarkEnd w:id="5"/>
      <w:bookmarkEnd w:id="6"/>
      <w:bookmarkEnd w:id="7"/>
      <w:bookmarkEnd w:id="8"/>
      <w:bookmarkEnd w:id="9"/>
      <w:bookmarkEnd w:id="10"/>
      <w:bookmarkEnd w:id="11"/>
      <w:bookmarkEnd w:id="12"/>
    </w:p>
    <w:p w14:paraId="739F169F" w14:textId="77777777" w:rsidR="003F75AE" w:rsidRPr="0029244A" w:rsidRDefault="003F75AE">
      <w:pPr>
        <w:spacing w:line="400" w:lineRule="atLeast"/>
        <w:rPr>
          <w:rFonts w:ascii="宋体" w:cs="Times New Roman"/>
        </w:rPr>
      </w:pPr>
    </w:p>
    <w:p w14:paraId="3933BD0F" w14:textId="77777777" w:rsidR="003F75AE" w:rsidRPr="00A4035F" w:rsidRDefault="003F75AE">
      <w:pPr>
        <w:spacing w:line="400" w:lineRule="atLeast"/>
        <w:rPr>
          <w:rFonts w:ascii="宋体" w:cs="Times New Roman"/>
        </w:rPr>
      </w:pPr>
    </w:p>
    <w:p w14:paraId="10E8C67D" w14:textId="77777777" w:rsidR="003F75AE" w:rsidRPr="00A4035F" w:rsidRDefault="003F75AE">
      <w:pPr>
        <w:spacing w:line="400" w:lineRule="atLeast"/>
        <w:rPr>
          <w:rFonts w:ascii="宋体" w:cs="Times New Roman"/>
        </w:rPr>
      </w:pPr>
    </w:p>
    <w:p w14:paraId="4D135B50" w14:textId="77777777" w:rsidR="003F75AE" w:rsidRPr="00A4035F" w:rsidRDefault="003F75AE">
      <w:pPr>
        <w:spacing w:line="400" w:lineRule="atLeast"/>
        <w:rPr>
          <w:rFonts w:ascii="宋体" w:cs="Times New Roman"/>
        </w:rPr>
      </w:pPr>
    </w:p>
    <w:p w14:paraId="7AA2E4D9" w14:textId="77777777" w:rsidR="003F75AE" w:rsidRPr="00A4035F" w:rsidRDefault="003F75AE">
      <w:pPr>
        <w:spacing w:line="400" w:lineRule="atLeast"/>
        <w:rPr>
          <w:rFonts w:ascii="宋体" w:cs="Times New Roman"/>
        </w:rPr>
      </w:pPr>
    </w:p>
    <w:p w14:paraId="56326266" w14:textId="77777777" w:rsidR="003F75AE" w:rsidRPr="00A4035F" w:rsidRDefault="003F75AE">
      <w:pPr>
        <w:spacing w:line="400" w:lineRule="atLeast"/>
        <w:rPr>
          <w:rFonts w:ascii="宋体" w:cs="Times New Roman"/>
        </w:rPr>
      </w:pPr>
    </w:p>
    <w:p w14:paraId="65F5CFC6" w14:textId="77777777" w:rsidR="003F75AE" w:rsidRPr="00A4035F" w:rsidRDefault="003F75AE">
      <w:pPr>
        <w:spacing w:line="400" w:lineRule="atLeast"/>
        <w:rPr>
          <w:rFonts w:ascii="宋体" w:cs="Times New Roman"/>
        </w:rPr>
      </w:pPr>
    </w:p>
    <w:p w14:paraId="2230CE46" w14:textId="77777777" w:rsidR="003F75AE" w:rsidRPr="00A4035F" w:rsidRDefault="003F75AE">
      <w:pPr>
        <w:spacing w:line="400" w:lineRule="atLeast"/>
        <w:rPr>
          <w:rFonts w:ascii="宋体" w:cs="Times New Roman"/>
        </w:rPr>
      </w:pPr>
    </w:p>
    <w:p w14:paraId="45662A1F" w14:textId="77777777" w:rsidR="003F75AE" w:rsidRPr="00A4035F" w:rsidRDefault="003F75AE">
      <w:pPr>
        <w:spacing w:line="400" w:lineRule="atLeast"/>
        <w:rPr>
          <w:rFonts w:ascii="宋体" w:cs="Times New Roman"/>
        </w:rPr>
      </w:pPr>
    </w:p>
    <w:p w14:paraId="7B6AC72B" w14:textId="77777777" w:rsidR="003F75AE" w:rsidRPr="00A4035F" w:rsidRDefault="003F75AE" w:rsidP="003F75AE">
      <w:pPr>
        <w:tabs>
          <w:tab w:val="left" w:pos="540"/>
        </w:tabs>
        <w:adjustRightInd w:val="0"/>
        <w:snapToGrid w:val="0"/>
        <w:spacing w:line="360" w:lineRule="auto"/>
        <w:ind w:firstLineChars="200" w:firstLine="600"/>
        <w:jc w:val="center"/>
        <w:rPr>
          <w:rFonts w:ascii="宋体" w:cs="Times New Roman"/>
          <w:sz w:val="30"/>
          <w:szCs w:val="30"/>
        </w:rPr>
      </w:pPr>
    </w:p>
    <w:p w14:paraId="4A67A9A4" w14:textId="215C94DC" w:rsidR="003F75AE" w:rsidRPr="00A4035F" w:rsidRDefault="003F75AE">
      <w:pPr>
        <w:tabs>
          <w:tab w:val="left" w:pos="540"/>
        </w:tabs>
        <w:adjustRightInd w:val="0"/>
        <w:snapToGrid w:val="0"/>
        <w:spacing w:line="360" w:lineRule="auto"/>
        <w:jc w:val="center"/>
        <w:rPr>
          <w:rFonts w:ascii="宋体" w:cs="Times New Roman"/>
          <w:b/>
          <w:bCs/>
          <w:sz w:val="30"/>
          <w:szCs w:val="30"/>
        </w:rPr>
      </w:pPr>
      <w:r w:rsidRPr="00A4035F">
        <w:rPr>
          <w:rFonts w:ascii="宋体" w:hAnsi="宋体" w:cs="宋体" w:hint="eastAsia"/>
          <w:b/>
          <w:bCs/>
          <w:sz w:val="30"/>
          <w:szCs w:val="30"/>
        </w:rPr>
        <w:t>基金管理人：</w:t>
      </w:r>
      <w:r w:rsidR="00FD4390">
        <w:rPr>
          <w:rFonts w:ascii="宋体" w:hAnsi="宋体" w:cs="宋体" w:hint="eastAsia"/>
          <w:b/>
          <w:bCs/>
          <w:sz w:val="30"/>
          <w:szCs w:val="30"/>
        </w:rPr>
        <w:t>南方基金管理股份有限公司</w:t>
      </w:r>
    </w:p>
    <w:p w14:paraId="05E3DD83" w14:textId="4C2648E7" w:rsidR="000C66E2" w:rsidRDefault="003F75AE" w:rsidP="000C66E2">
      <w:pPr>
        <w:tabs>
          <w:tab w:val="left" w:pos="540"/>
        </w:tabs>
        <w:adjustRightInd w:val="0"/>
        <w:snapToGrid w:val="0"/>
        <w:spacing w:line="360" w:lineRule="auto"/>
        <w:jc w:val="center"/>
        <w:rPr>
          <w:rFonts w:ascii="宋体" w:cs="Times New Roman"/>
          <w:b/>
          <w:bCs/>
          <w:sz w:val="30"/>
          <w:szCs w:val="30"/>
        </w:rPr>
      </w:pPr>
      <w:r w:rsidRPr="00A4035F">
        <w:rPr>
          <w:rFonts w:ascii="宋体" w:hAnsi="宋体" w:cs="宋体" w:hint="eastAsia"/>
          <w:b/>
          <w:bCs/>
          <w:sz w:val="30"/>
          <w:szCs w:val="30"/>
        </w:rPr>
        <w:t>基金托管人：</w:t>
      </w:r>
      <w:r w:rsidR="0084479D">
        <w:rPr>
          <w:rFonts w:ascii="宋体" w:hAnsi="宋体" w:cs="宋体" w:hint="eastAsia"/>
          <w:b/>
          <w:bCs/>
          <w:sz w:val="30"/>
          <w:szCs w:val="30"/>
        </w:rPr>
        <w:t>中国农业银行股份有限公司</w:t>
      </w:r>
    </w:p>
    <w:p w14:paraId="11B59168" w14:textId="77777777" w:rsidR="003F75AE" w:rsidRPr="00A4035F" w:rsidRDefault="000C66E2" w:rsidP="000C66E2">
      <w:pPr>
        <w:tabs>
          <w:tab w:val="left" w:pos="540"/>
        </w:tabs>
        <w:adjustRightInd w:val="0"/>
        <w:snapToGrid w:val="0"/>
        <w:spacing w:line="360" w:lineRule="auto"/>
        <w:jc w:val="center"/>
        <w:rPr>
          <w:rFonts w:hAnsi="宋体" w:cs="Times New Roman"/>
        </w:rPr>
      </w:pPr>
      <w:r w:rsidRPr="00A4035F" w:rsidDel="000C66E2">
        <w:rPr>
          <w:rFonts w:ascii="宋体" w:hAnsi="宋体" w:cs="宋体" w:hint="eastAsia"/>
          <w:b/>
          <w:bCs/>
          <w:sz w:val="30"/>
          <w:szCs w:val="30"/>
        </w:rPr>
        <w:t xml:space="preserve"> </w:t>
      </w:r>
    </w:p>
    <w:p w14:paraId="7D97F9B3" w14:textId="77777777" w:rsidR="003F75AE" w:rsidRPr="00A4035F" w:rsidRDefault="003F75AE">
      <w:pPr>
        <w:jc w:val="center"/>
        <w:rPr>
          <w:rFonts w:cs="Times New Roman"/>
          <w:sz w:val="28"/>
          <w:szCs w:val="28"/>
        </w:rPr>
      </w:pPr>
      <w:r w:rsidRPr="00A4035F">
        <w:rPr>
          <w:rFonts w:ascii="宋体" w:cs="Times New Roman"/>
          <w:sz w:val="30"/>
          <w:szCs w:val="30"/>
        </w:rPr>
        <w:br w:type="page"/>
      </w:r>
    </w:p>
    <w:p w14:paraId="4A534DB3" w14:textId="77777777" w:rsidR="003F75AE" w:rsidRPr="00A4035F" w:rsidRDefault="003F75AE">
      <w:pPr>
        <w:jc w:val="center"/>
        <w:rPr>
          <w:rFonts w:cs="Times New Roman"/>
          <w:b/>
          <w:bCs/>
          <w:sz w:val="28"/>
          <w:szCs w:val="28"/>
        </w:rPr>
      </w:pPr>
      <w:r w:rsidRPr="00A4035F">
        <w:rPr>
          <w:rFonts w:cs="宋体" w:hint="eastAsia"/>
          <w:b/>
          <w:bCs/>
          <w:sz w:val="28"/>
          <w:szCs w:val="28"/>
        </w:rPr>
        <w:lastRenderedPageBreak/>
        <w:t>目录</w:t>
      </w:r>
    </w:p>
    <w:p w14:paraId="78D8A7A9" w14:textId="77777777" w:rsidR="003F75AE" w:rsidRPr="00A4035F" w:rsidRDefault="00CA3264" w:rsidP="003F75AE">
      <w:pPr>
        <w:pStyle w:val="TOC1"/>
        <w:rPr>
          <w:rFonts w:ascii="Calibri" w:hAnsi="Calibri" w:cs="Calibri"/>
          <w:b w:val="0"/>
          <w:bCs w:val="0"/>
          <w:noProof/>
          <w:color w:val="auto"/>
        </w:rPr>
      </w:pPr>
      <w:r w:rsidRPr="00A4035F">
        <w:fldChar w:fldCharType="begin"/>
      </w:r>
      <w:r w:rsidR="003F75AE" w:rsidRPr="00A4035F">
        <w:instrText xml:space="preserve"> TOC \o "1-3" \h \z \u </w:instrText>
      </w:r>
      <w:r w:rsidRPr="00A4035F">
        <w:fldChar w:fldCharType="separate"/>
      </w:r>
    </w:p>
    <w:p w14:paraId="2AA50438" w14:textId="5FD5B013" w:rsidR="003F75AE" w:rsidRPr="00A4035F" w:rsidRDefault="00367AB4">
      <w:pPr>
        <w:pStyle w:val="TOC2"/>
        <w:rPr>
          <w:rFonts w:ascii="Calibri" w:hAnsi="Calibri" w:cs="Calibri"/>
          <w:noProof/>
        </w:rPr>
      </w:pPr>
      <w:hyperlink w:anchor="_Toc416453840" w:history="1">
        <w:r w:rsidR="003F75AE" w:rsidRPr="00A4035F">
          <w:rPr>
            <w:rStyle w:val="af4"/>
            <w:rFonts w:ascii="宋体" w:hAnsi="宋体" w:cs="宋体" w:hint="eastAsia"/>
            <w:noProof/>
          </w:rPr>
          <w:t>一、</w:t>
        </w:r>
        <w:r w:rsidR="003F75AE" w:rsidRPr="00A4035F">
          <w:rPr>
            <w:rFonts w:ascii="Calibri" w:hAnsi="Calibri" w:cs="Calibri"/>
            <w:noProof/>
          </w:rPr>
          <w:tab/>
        </w:r>
        <w:r w:rsidR="003F75AE" w:rsidRPr="00A4035F">
          <w:rPr>
            <w:rStyle w:val="af4"/>
            <w:rFonts w:ascii="宋体" w:hAnsi="宋体" w:cs="宋体" w:hint="eastAsia"/>
            <w:noProof/>
          </w:rPr>
          <w:t>绪言</w:t>
        </w:r>
        <w:r w:rsidR="003F75AE" w:rsidRPr="00A4035F">
          <w:rPr>
            <w:noProof/>
          </w:rPr>
          <w:tab/>
        </w:r>
        <w:r w:rsidR="00CA3264" w:rsidRPr="00A4035F">
          <w:rPr>
            <w:noProof/>
          </w:rPr>
          <w:fldChar w:fldCharType="begin"/>
        </w:r>
        <w:r w:rsidR="00701995" w:rsidRPr="00A4035F">
          <w:rPr>
            <w:noProof/>
          </w:rPr>
          <w:instrText xml:space="preserve"> PAGEREF _Toc416453840 \h </w:instrText>
        </w:r>
        <w:r w:rsidR="00CA3264" w:rsidRPr="00A4035F">
          <w:rPr>
            <w:noProof/>
          </w:rPr>
        </w:r>
        <w:r w:rsidR="00CA3264" w:rsidRPr="00A4035F">
          <w:rPr>
            <w:noProof/>
          </w:rPr>
          <w:fldChar w:fldCharType="separate"/>
        </w:r>
        <w:r w:rsidR="00F06B8A">
          <w:rPr>
            <w:noProof/>
          </w:rPr>
          <w:t>4</w:t>
        </w:r>
        <w:r w:rsidR="00CA3264" w:rsidRPr="00A4035F">
          <w:rPr>
            <w:noProof/>
          </w:rPr>
          <w:fldChar w:fldCharType="end"/>
        </w:r>
      </w:hyperlink>
    </w:p>
    <w:p w14:paraId="179F9BB5" w14:textId="2FEA5FDE" w:rsidR="003F75AE" w:rsidRPr="00A4035F" w:rsidRDefault="00367AB4">
      <w:pPr>
        <w:pStyle w:val="TOC2"/>
        <w:rPr>
          <w:rFonts w:ascii="Calibri" w:hAnsi="Calibri" w:cs="Calibri"/>
          <w:noProof/>
        </w:rPr>
      </w:pPr>
      <w:hyperlink w:anchor="_Toc416453841" w:history="1">
        <w:r w:rsidR="003F75AE" w:rsidRPr="00A4035F">
          <w:rPr>
            <w:rStyle w:val="af4"/>
            <w:rFonts w:ascii="宋体" w:hAnsi="宋体" w:cs="宋体" w:hint="eastAsia"/>
            <w:noProof/>
          </w:rPr>
          <w:t>二、</w:t>
        </w:r>
        <w:r w:rsidR="003F75AE" w:rsidRPr="00A4035F">
          <w:rPr>
            <w:rFonts w:ascii="Calibri" w:hAnsi="Calibri" w:cs="Calibri"/>
            <w:noProof/>
          </w:rPr>
          <w:tab/>
        </w:r>
        <w:r w:rsidR="003F75AE" w:rsidRPr="00A4035F">
          <w:rPr>
            <w:rStyle w:val="af4"/>
            <w:rFonts w:ascii="宋体" w:hAnsi="宋体" w:cs="宋体" w:hint="eastAsia"/>
            <w:noProof/>
          </w:rPr>
          <w:t>释义</w:t>
        </w:r>
        <w:r w:rsidR="003F75AE" w:rsidRPr="00A4035F">
          <w:rPr>
            <w:noProof/>
          </w:rPr>
          <w:tab/>
        </w:r>
        <w:r w:rsidR="00CA3264" w:rsidRPr="00A4035F">
          <w:rPr>
            <w:noProof/>
          </w:rPr>
          <w:fldChar w:fldCharType="begin"/>
        </w:r>
        <w:r w:rsidR="00701995" w:rsidRPr="00A4035F">
          <w:rPr>
            <w:noProof/>
          </w:rPr>
          <w:instrText xml:space="preserve"> PAGEREF _Toc416453841 \h </w:instrText>
        </w:r>
        <w:r w:rsidR="00CA3264" w:rsidRPr="00A4035F">
          <w:rPr>
            <w:noProof/>
          </w:rPr>
        </w:r>
        <w:r w:rsidR="00CA3264" w:rsidRPr="00A4035F">
          <w:rPr>
            <w:noProof/>
          </w:rPr>
          <w:fldChar w:fldCharType="separate"/>
        </w:r>
        <w:r w:rsidR="00F06B8A">
          <w:rPr>
            <w:noProof/>
          </w:rPr>
          <w:t>5</w:t>
        </w:r>
        <w:r w:rsidR="00CA3264" w:rsidRPr="00A4035F">
          <w:rPr>
            <w:noProof/>
          </w:rPr>
          <w:fldChar w:fldCharType="end"/>
        </w:r>
      </w:hyperlink>
    </w:p>
    <w:p w14:paraId="61252D8B" w14:textId="5B98C8CA" w:rsidR="003F75AE" w:rsidRPr="00A4035F" w:rsidRDefault="00367AB4">
      <w:pPr>
        <w:pStyle w:val="TOC2"/>
        <w:rPr>
          <w:rFonts w:ascii="Calibri" w:hAnsi="Calibri" w:cs="Calibri"/>
          <w:noProof/>
        </w:rPr>
      </w:pPr>
      <w:hyperlink w:anchor="_Toc416453842" w:history="1">
        <w:r w:rsidR="003F75AE" w:rsidRPr="00A4035F">
          <w:rPr>
            <w:rStyle w:val="af4"/>
            <w:rFonts w:ascii="宋体" w:hAnsi="宋体" w:cs="宋体" w:hint="eastAsia"/>
            <w:noProof/>
          </w:rPr>
          <w:t>三、</w:t>
        </w:r>
        <w:r w:rsidR="003F75AE" w:rsidRPr="00A4035F">
          <w:rPr>
            <w:rFonts w:ascii="Calibri" w:hAnsi="Calibri" w:cs="Calibri"/>
            <w:noProof/>
          </w:rPr>
          <w:tab/>
        </w:r>
        <w:r w:rsidR="003F75AE" w:rsidRPr="00A4035F">
          <w:rPr>
            <w:rStyle w:val="af4"/>
            <w:rFonts w:ascii="宋体" w:hAnsi="宋体" w:cs="宋体" w:hint="eastAsia"/>
            <w:noProof/>
          </w:rPr>
          <w:t>基金管理人</w:t>
        </w:r>
        <w:r w:rsidR="003F75AE" w:rsidRPr="00A4035F">
          <w:rPr>
            <w:noProof/>
          </w:rPr>
          <w:tab/>
        </w:r>
        <w:r w:rsidR="00CA3264" w:rsidRPr="00A4035F">
          <w:rPr>
            <w:noProof/>
          </w:rPr>
          <w:fldChar w:fldCharType="begin"/>
        </w:r>
        <w:r w:rsidR="00701995" w:rsidRPr="00A4035F">
          <w:rPr>
            <w:noProof/>
          </w:rPr>
          <w:instrText xml:space="preserve"> PAGEREF _Toc416453842 \h </w:instrText>
        </w:r>
        <w:r w:rsidR="00CA3264" w:rsidRPr="00A4035F">
          <w:rPr>
            <w:noProof/>
          </w:rPr>
        </w:r>
        <w:r w:rsidR="00CA3264" w:rsidRPr="00A4035F">
          <w:rPr>
            <w:noProof/>
          </w:rPr>
          <w:fldChar w:fldCharType="separate"/>
        </w:r>
        <w:r w:rsidR="00F06B8A">
          <w:rPr>
            <w:noProof/>
          </w:rPr>
          <w:t>9</w:t>
        </w:r>
        <w:r w:rsidR="00CA3264" w:rsidRPr="00A4035F">
          <w:rPr>
            <w:noProof/>
          </w:rPr>
          <w:fldChar w:fldCharType="end"/>
        </w:r>
      </w:hyperlink>
    </w:p>
    <w:p w14:paraId="6A510F93" w14:textId="4E782D12" w:rsidR="003F75AE" w:rsidRPr="00A4035F" w:rsidRDefault="00367AB4">
      <w:pPr>
        <w:pStyle w:val="TOC2"/>
        <w:rPr>
          <w:rFonts w:ascii="Calibri" w:hAnsi="Calibri" w:cs="Calibri"/>
          <w:noProof/>
        </w:rPr>
      </w:pPr>
      <w:hyperlink w:anchor="_Toc416453843" w:history="1">
        <w:r w:rsidR="003F75AE" w:rsidRPr="00A4035F">
          <w:rPr>
            <w:rStyle w:val="af4"/>
            <w:rFonts w:ascii="宋体" w:hAnsi="宋体" w:cs="宋体" w:hint="eastAsia"/>
            <w:noProof/>
          </w:rPr>
          <w:t>四、</w:t>
        </w:r>
        <w:r w:rsidR="003F75AE" w:rsidRPr="00A4035F">
          <w:rPr>
            <w:rFonts w:ascii="Calibri" w:hAnsi="Calibri" w:cs="Calibri"/>
            <w:noProof/>
          </w:rPr>
          <w:tab/>
        </w:r>
        <w:r w:rsidR="003F75AE" w:rsidRPr="00A4035F">
          <w:rPr>
            <w:rStyle w:val="af4"/>
            <w:rFonts w:ascii="宋体" w:hAnsi="宋体" w:cs="宋体" w:hint="eastAsia"/>
            <w:noProof/>
          </w:rPr>
          <w:t>基金托管人</w:t>
        </w:r>
        <w:r w:rsidR="003F75AE" w:rsidRPr="00A4035F">
          <w:rPr>
            <w:noProof/>
          </w:rPr>
          <w:tab/>
        </w:r>
        <w:r w:rsidR="00CA3264" w:rsidRPr="00A4035F">
          <w:rPr>
            <w:noProof/>
          </w:rPr>
          <w:fldChar w:fldCharType="begin"/>
        </w:r>
        <w:r w:rsidR="00701995" w:rsidRPr="00A4035F">
          <w:rPr>
            <w:noProof/>
          </w:rPr>
          <w:instrText xml:space="preserve"> PAGEREF _Toc416453843 \h </w:instrText>
        </w:r>
        <w:r w:rsidR="00CA3264" w:rsidRPr="00A4035F">
          <w:rPr>
            <w:noProof/>
          </w:rPr>
        </w:r>
        <w:r w:rsidR="00CA3264" w:rsidRPr="00A4035F">
          <w:rPr>
            <w:noProof/>
          </w:rPr>
          <w:fldChar w:fldCharType="separate"/>
        </w:r>
        <w:r w:rsidR="00F06B8A">
          <w:rPr>
            <w:noProof/>
          </w:rPr>
          <w:t>17</w:t>
        </w:r>
        <w:r w:rsidR="00CA3264" w:rsidRPr="00A4035F">
          <w:rPr>
            <w:noProof/>
          </w:rPr>
          <w:fldChar w:fldCharType="end"/>
        </w:r>
      </w:hyperlink>
    </w:p>
    <w:p w14:paraId="42CF71B0" w14:textId="2579DECB" w:rsidR="003F75AE" w:rsidRPr="00A4035F" w:rsidRDefault="00367AB4">
      <w:pPr>
        <w:pStyle w:val="TOC2"/>
        <w:rPr>
          <w:rFonts w:ascii="Calibri" w:hAnsi="Calibri" w:cs="Calibri"/>
          <w:noProof/>
        </w:rPr>
      </w:pPr>
      <w:hyperlink w:anchor="_Toc416453844" w:history="1">
        <w:r w:rsidR="003F75AE" w:rsidRPr="00A4035F">
          <w:rPr>
            <w:rStyle w:val="af4"/>
            <w:rFonts w:ascii="宋体" w:hAnsi="宋体" w:cs="宋体" w:hint="eastAsia"/>
            <w:noProof/>
          </w:rPr>
          <w:t>五、</w:t>
        </w:r>
        <w:r w:rsidR="003F75AE" w:rsidRPr="00A4035F">
          <w:rPr>
            <w:rFonts w:ascii="Calibri" w:hAnsi="Calibri" w:cs="Calibri"/>
            <w:noProof/>
          </w:rPr>
          <w:tab/>
        </w:r>
        <w:r w:rsidR="003F75AE" w:rsidRPr="00A4035F">
          <w:rPr>
            <w:rStyle w:val="af4"/>
            <w:rFonts w:ascii="宋体" w:hAnsi="宋体" w:cs="宋体" w:hint="eastAsia"/>
            <w:noProof/>
          </w:rPr>
          <w:t>相关服务机构</w:t>
        </w:r>
        <w:r w:rsidR="003F75AE" w:rsidRPr="00A4035F">
          <w:rPr>
            <w:noProof/>
          </w:rPr>
          <w:tab/>
        </w:r>
        <w:r w:rsidR="00CA3264" w:rsidRPr="00A4035F">
          <w:rPr>
            <w:noProof/>
          </w:rPr>
          <w:fldChar w:fldCharType="begin"/>
        </w:r>
        <w:r w:rsidR="00701995" w:rsidRPr="00A4035F">
          <w:rPr>
            <w:noProof/>
          </w:rPr>
          <w:instrText xml:space="preserve"> PAGEREF _Toc416453844 \h </w:instrText>
        </w:r>
        <w:r w:rsidR="00CA3264" w:rsidRPr="00A4035F">
          <w:rPr>
            <w:noProof/>
          </w:rPr>
        </w:r>
        <w:r w:rsidR="00CA3264" w:rsidRPr="00A4035F">
          <w:rPr>
            <w:noProof/>
          </w:rPr>
          <w:fldChar w:fldCharType="separate"/>
        </w:r>
        <w:r w:rsidR="00F06B8A">
          <w:rPr>
            <w:noProof/>
          </w:rPr>
          <w:t>20</w:t>
        </w:r>
        <w:r w:rsidR="00CA3264" w:rsidRPr="00A4035F">
          <w:rPr>
            <w:noProof/>
          </w:rPr>
          <w:fldChar w:fldCharType="end"/>
        </w:r>
      </w:hyperlink>
    </w:p>
    <w:p w14:paraId="2B494D5F" w14:textId="6BCBC0E3" w:rsidR="003F75AE" w:rsidRPr="00A4035F" w:rsidRDefault="00367AB4">
      <w:pPr>
        <w:pStyle w:val="TOC2"/>
        <w:rPr>
          <w:rFonts w:ascii="Calibri" w:hAnsi="Calibri" w:cs="Calibri"/>
          <w:noProof/>
        </w:rPr>
      </w:pPr>
      <w:hyperlink w:anchor="_Toc416453845" w:history="1">
        <w:r w:rsidR="003F75AE" w:rsidRPr="00A4035F">
          <w:rPr>
            <w:rStyle w:val="af4"/>
            <w:rFonts w:ascii="宋体" w:hAnsi="宋体" w:cs="宋体" w:hint="eastAsia"/>
            <w:noProof/>
          </w:rPr>
          <w:t>六、</w:t>
        </w:r>
        <w:r w:rsidR="003F75AE" w:rsidRPr="00A4035F">
          <w:rPr>
            <w:rFonts w:ascii="Calibri" w:hAnsi="Calibri" w:cs="Calibri"/>
            <w:noProof/>
          </w:rPr>
          <w:tab/>
        </w:r>
        <w:r w:rsidR="003F75AE" w:rsidRPr="00A4035F">
          <w:rPr>
            <w:rStyle w:val="af4"/>
            <w:rFonts w:ascii="宋体" w:hAnsi="宋体" w:cs="宋体" w:hint="eastAsia"/>
            <w:noProof/>
          </w:rPr>
          <w:t>基金募集</w:t>
        </w:r>
        <w:r w:rsidR="003F75AE" w:rsidRPr="00A4035F">
          <w:rPr>
            <w:noProof/>
          </w:rPr>
          <w:tab/>
        </w:r>
        <w:r w:rsidR="00CA3264" w:rsidRPr="00A4035F">
          <w:rPr>
            <w:noProof/>
          </w:rPr>
          <w:fldChar w:fldCharType="begin"/>
        </w:r>
        <w:r w:rsidR="00701995" w:rsidRPr="00A4035F">
          <w:rPr>
            <w:noProof/>
          </w:rPr>
          <w:instrText xml:space="preserve"> PAGEREF _Toc416453845 \h </w:instrText>
        </w:r>
        <w:r w:rsidR="00CA3264" w:rsidRPr="00A4035F">
          <w:rPr>
            <w:noProof/>
          </w:rPr>
        </w:r>
        <w:r w:rsidR="00CA3264" w:rsidRPr="00A4035F">
          <w:rPr>
            <w:noProof/>
          </w:rPr>
          <w:fldChar w:fldCharType="separate"/>
        </w:r>
        <w:r w:rsidR="00F06B8A">
          <w:rPr>
            <w:noProof/>
          </w:rPr>
          <w:t>21</w:t>
        </w:r>
        <w:r w:rsidR="00CA3264" w:rsidRPr="00A4035F">
          <w:rPr>
            <w:noProof/>
          </w:rPr>
          <w:fldChar w:fldCharType="end"/>
        </w:r>
      </w:hyperlink>
    </w:p>
    <w:p w14:paraId="362A0696" w14:textId="45C0638A" w:rsidR="003F75AE" w:rsidRPr="00A4035F" w:rsidRDefault="00367AB4">
      <w:pPr>
        <w:pStyle w:val="TOC2"/>
        <w:rPr>
          <w:rFonts w:ascii="Calibri" w:hAnsi="Calibri" w:cs="Calibri"/>
          <w:noProof/>
        </w:rPr>
      </w:pPr>
      <w:hyperlink w:anchor="_Toc416453846" w:history="1">
        <w:r w:rsidR="003F75AE" w:rsidRPr="00A4035F">
          <w:rPr>
            <w:rStyle w:val="af4"/>
            <w:rFonts w:ascii="宋体" w:hAnsi="宋体" w:cs="宋体" w:hint="eastAsia"/>
            <w:noProof/>
          </w:rPr>
          <w:t>七、</w:t>
        </w:r>
        <w:r w:rsidR="003F75AE" w:rsidRPr="00A4035F">
          <w:rPr>
            <w:rFonts w:ascii="Calibri" w:hAnsi="Calibri" w:cs="Calibri"/>
            <w:noProof/>
          </w:rPr>
          <w:tab/>
        </w:r>
        <w:r w:rsidR="003F75AE" w:rsidRPr="00A4035F">
          <w:rPr>
            <w:rStyle w:val="af4"/>
            <w:rFonts w:ascii="宋体" w:hAnsi="宋体" w:cs="宋体" w:hint="eastAsia"/>
            <w:noProof/>
          </w:rPr>
          <w:t>基金合同的生效</w:t>
        </w:r>
        <w:r w:rsidR="003F75AE" w:rsidRPr="00A4035F">
          <w:rPr>
            <w:noProof/>
          </w:rPr>
          <w:tab/>
        </w:r>
        <w:r w:rsidR="00CA3264" w:rsidRPr="00A4035F">
          <w:rPr>
            <w:noProof/>
          </w:rPr>
          <w:fldChar w:fldCharType="begin"/>
        </w:r>
        <w:r w:rsidR="00701995" w:rsidRPr="00A4035F">
          <w:rPr>
            <w:noProof/>
          </w:rPr>
          <w:instrText xml:space="preserve"> PAGEREF _Toc416453846 \h </w:instrText>
        </w:r>
        <w:r w:rsidR="00CA3264" w:rsidRPr="00A4035F">
          <w:rPr>
            <w:noProof/>
          </w:rPr>
        </w:r>
        <w:r w:rsidR="00CA3264" w:rsidRPr="00A4035F">
          <w:rPr>
            <w:noProof/>
          </w:rPr>
          <w:fldChar w:fldCharType="separate"/>
        </w:r>
        <w:r w:rsidR="00F06B8A">
          <w:rPr>
            <w:noProof/>
          </w:rPr>
          <w:t>24</w:t>
        </w:r>
        <w:r w:rsidR="00CA3264" w:rsidRPr="00A4035F">
          <w:rPr>
            <w:noProof/>
          </w:rPr>
          <w:fldChar w:fldCharType="end"/>
        </w:r>
      </w:hyperlink>
    </w:p>
    <w:p w14:paraId="054B7081" w14:textId="1BEACF7C" w:rsidR="003F75AE" w:rsidRPr="00A4035F" w:rsidRDefault="00367AB4">
      <w:pPr>
        <w:pStyle w:val="TOC2"/>
        <w:rPr>
          <w:rFonts w:ascii="Calibri" w:hAnsi="Calibri" w:cs="Calibri"/>
          <w:noProof/>
        </w:rPr>
      </w:pPr>
      <w:hyperlink w:anchor="_Toc416453847" w:history="1">
        <w:r w:rsidR="003F75AE" w:rsidRPr="00A4035F">
          <w:rPr>
            <w:rStyle w:val="af4"/>
            <w:rFonts w:ascii="宋体" w:hAnsi="宋体" w:cs="宋体" w:hint="eastAsia"/>
            <w:noProof/>
          </w:rPr>
          <w:t>八、</w:t>
        </w:r>
        <w:r w:rsidR="003F75AE" w:rsidRPr="00A4035F">
          <w:rPr>
            <w:rFonts w:ascii="Calibri" w:hAnsi="Calibri" w:cs="Calibri"/>
            <w:noProof/>
          </w:rPr>
          <w:tab/>
        </w:r>
        <w:r w:rsidR="003F75AE" w:rsidRPr="00A4035F">
          <w:rPr>
            <w:rStyle w:val="af4"/>
            <w:rFonts w:ascii="宋体" w:hAnsi="宋体" w:cs="宋体" w:hint="eastAsia"/>
            <w:noProof/>
          </w:rPr>
          <w:t>基金份额的申购和赎回</w:t>
        </w:r>
        <w:r w:rsidR="003F75AE" w:rsidRPr="00A4035F">
          <w:rPr>
            <w:noProof/>
          </w:rPr>
          <w:tab/>
        </w:r>
        <w:r w:rsidR="00CA3264" w:rsidRPr="00A4035F">
          <w:rPr>
            <w:noProof/>
          </w:rPr>
          <w:fldChar w:fldCharType="begin"/>
        </w:r>
        <w:r w:rsidR="00701995" w:rsidRPr="00A4035F">
          <w:rPr>
            <w:noProof/>
          </w:rPr>
          <w:instrText xml:space="preserve"> PAGEREF _Toc416453847 \h </w:instrText>
        </w:r>
        <w:r w:rsidR="00CA3264" w:rsidRPr="00A4035F">
          <w:rPr>
            <w:noProof/>
          </w:rPr>
        </w:r>
        <w:r w:rsidR="00CA3264" w:rsidRPr="00A4035F">
          <w:rPr>
            <w:noProof/>
          </w:rPr>
          <w:fldChar w:fldCharType="separate"/>
        </w:r>
        <w:r w:rsidR="00F06B8A">
          <w:rPr>
            <w:noProof/>
          </w:rPr>
          <w:t>25</w:t>
        </w:r>
        <w:r w:rsidR="00CA3264" w:rsidRPr="00A4035F">
          <w:rPr>
            <w:noProof/>
          </w:rPr>
          <w:fldChar w:fldCharType="end"/>
        </w:r>
      </w:hyperlink>
    </w:p>
    <w:p w14:paraId="3A27A755" w14:textId="55B32EEF" w:rsidR="003F75AE" w:rsidRPr="00A4035F" w:rsidRDefault="00367AB4">
      <w:pPr>
        <w:pStyle w:val="TOC2"/>
        <w:rPr>
          <w:rFonts w:ascii="Calibri" w:hAnsi="Calibri" w:cs="Calibri"/>
          <w:noProof/>
        </w:rPr>
      </w:pPr>
      <w:hyperlink w:anchor="_Toc416453848" w:history="1">
        <w:r w:rsidR="003F75AE" w:rsidRPr="00A4035F">
          <w:rPr>
            <w:rStyle w:val="af4"/>
            <w:rFonts w:ascii="宋体" w:hAnsi="宋体" w:cs="宋体" w:hint="eastAsia"/>
            <w:noProof/>
          </w:rPr>
          <w:t>九、</w:t>
        </w:r>
        <w:r w:rsidR="003F75AE" w:rsidRPr="00A4035F">
          <w:rPr>
            <w:rFonts w:ascii="Calibri" w:hAnsi="Calibri" w:cs="Calibri"/>
            <w:noProof/>
          </w:rPr>
          <w:tab/>
        </w:r>
        <w:r w:rsidR="003F75AE" w:rsidRPr="00A4035F">
          <w:rPr>
            <w:rStyle w:val="af4"/>
            <w:rFonts w:ascii="宋体" w:hAnsi="宋体" w:cs="宋体" w:hint="eastAsia"/>
            <w:noProof/>
          </w:rPr>
          <w:t>基金的投资</w:t>
        </w:r>
        <w:r w:rsidR="003F75AE" w:rsidRPr="00A4035F">
          <w:rPr>
            <w:noProof/>
          </w:rPr>
          <w:tab/>
        </w:r>
        <w:r w:rsidR="00CA3264" w:rsidRPr="00A4035F">
          <w:rPr>
            <w:noProof/>
          </w:rPr>
          <w:fldChar w:fldCharType="begin"/>
        </w:r>
        <w:r w:rsidR="00701995" w:rsidRPr="00A4035F">
          <w:rPr>
            <w:noProof/>
          </w:rPr>
          <w:instrText xml:space="preserve"> PAGEREF _Toc416453848 \h </w:instrText>
        </w:r>
        <w:r w:rsidR="00CA3264" w:rsidRPr="00A4035F">
          <w:rPr>
            <w:noProof/>
          </w:rPr>
        </w:r>
        <w:r w:rsidR="00CA3264" w:rsidRPr="00A4035F">
          <w:rPr>
            <w:noProof/>
          </w:rPr>
          <w:fldChar w:fldCharType="separate"/>
        </w:r>
        <w:r w:rsidR="00F06B8A">
          <w:rPr>
            <w:noProof/>
          </w:rPr>
          <w:t>34</w:t>
        </w:r>
        <w:r w:rsidR="00CA3264" w:rsidRPr="00A4035F">
          <w:rPr>
            <w:noProof/>
          </w:rPr>
          <w:fldChar w:fldCharType="end"/>
        </w:r>
      </w:hyperlink>
    </w:p>
    <w:p w14:paraId="1E4B30A3" w14:textId="1929C1BE" w:rsidR="003F75AE" w:rsidRPr="00A4035F" w:rsidRDefault="00367AB4">
      <w:pPr>
        <w:pStyle w:val="TOC2"/>
        <w:rPr>
          <w:rFonts w:ascii="Calibri" w:hAnsi="Calibri" w:cs="Calibri"/>
          <w:noProof/>
        </w:rPr>
      </w:pPr>
      <w:hyperlink w:anchor="_Toc416453849" w:history="1">
        <w:r w:rsidR="003F75AE" w:rsidRPr="00A4035F">
          <w:rPr>
            <w:rStyle w:val="af4"/>
            <w:rFonts w:ascii="宋体" w:hAnsi="宋体" w:cs="宋体" w:hint="eastAsia"/>
            <w:noProof/>
          </w:rPr>
          <w:t>十、</w:t>
        </w:r>
        <w:r w:rsidR="003F75AE" w:rsidRPr="00A4035F">
          <w:rPr>
            <w:rFonts w:ascii="Calibri" w:hAnsi="Calibri" w:cs="Calibri"/>
            <w:noProof/>
          </w:rPr>
          <w:tab/>
        </w:r>
        <w:r w:rsidR="003F75AE" w:rsidRPr="00A4035F">
          <w:rPr>
            <w:rStyle w:val="af4"/>
            <w:rFonts w:ascii="宋体" w:hAnsi="宋体" w:cs="宋体" w:hint="eastAsia"/>
            <w:noProof/>
          </w:rPr>
          <w:t>基金的财产</w:t>
        </w:r>
        <w:r w:rsidR="003F75AE" w:rsidRPr="00A4035F">
          <w:rPr>
            <w:noProof/>
          </w:rPr>
          <w:tab/>
        </w:r>
        <w:r w:rsidR="00CA3264" w:rsidRPr="00A4035F">
          <w:rPr>
            <w:noProof/>
          </w:rPr>
          <w:fldChar w:fldCharType="begin"/>
        </w:r>
        <w:r w:rsidR="00701995" w:rsidRPr="00A4035F">
          <w:rPr>
            <w:noProof/>
          </w:rPr>
          <w:instrText xml:space="preserve"> PAGEREF _Toc416453849 \h </w:instrText>
        </w:r>
        <w:r w:rsidR="00CA3264" w:rsidRPr="00A4035F">
          <w:rPr>
            <w:noProof/>
          </w:rPr>
        </w:r>
        <w:r w:rsidR="00CA3264" w:rsidRPr="00A4035F">
          <w:rPr>
            <w:noProof/>
          </w:rPr>
          <w:fldChar w:fldCharType="separate"/>
        </w:r>
        <w:r w:rsidR="00F06B8A">
          <w:rPr>
            <w:noProof/>
          </w:rPr>
          <w:t>41</w:t>
        </w:r>
        <w:r w:rsidR="00CA3264" w:rsidRPr="00A4035F">
          <w:rPr>
            <w:noProof/>
          </w:rPr>
          <w:fldChar w:fldCharType="end"/>
        </w:r>
      </w:hyperlink>
    </w:p>
    <w:p w14:paraId="45959F00" w14:textId="2B8BF208" w:rsidR="003F75AE" w:rsidRPr="00A4035F" w:rsidRDefault="00367AB4">
      <w:pPr>
        <w:pStyle w:val="TOC2"/>
        <w:rPr>
          <w:rFonts w:ascii="Calibri" w:hAnsi="Calibri" w:cs="Calibri"/>
          <w:noProof/>
        </w:rPr>
      </w:pPr>
      <w:hyperlink w:anchor="_Toc416453850" w:history="1">
        <w:r w:rsidR="003F75AE" w:rsidRPr="00A4035F">
          <w:rPr>
            <w:rStyle w:val="af4"/>
            <w:rFonts w:ascii="宋体" w:hAnsi="宋体" w:cs="宋体" w:hint="eastAsia"/>
            <w:noProof/>
          </w:rPr>
          <w:t>十一、</w:t>
        </w:r>
        <w:r w:rsidR="003F75AE" w:rsidRPr="00A4035F">
          <w:rPr>
            <w:rFonts w:ascii="Calibri" w:hAnsi="Calibri" w:cs="Calibri"/>
            <w:noProof/>
          </w:rPr>
          <w:tab/>
        </w:r>
        <w:r w:rsidR="003F75AE" w:rsidRPr="00A4035F">
          <w:rPr>
            <w:rStyle w:val="af4"/>
            <w:rFonts w:ascii="宋体" w:hAnsi="宋体" w:cs="宋体" w:hint="eastAsia"/>
            <w:noProof/>
          </w:rPr>
          <w:t>基金资产估值</w:t>
        </w:r>
        <w:r w:rsidR="003F75AE" w:rsidRPr="00A4035F">
          <w:rPr>
            <w:noProof/>
          </w:rPr>
          <w:tab/>
        </w:r>
        <w:r w:rsidR="00CA3264" w:rsidRPr="00A4035F">
          <w:rPr>
            <w:noProof/>
          </w:rPr>
          <w:fldChar w:fldCharType="begin"/>
        </w:r>
        <w:r w:rsidR="00701995" w:rsidRPr="00A4035F">
          <w:rPr>
            <w:noProof/>
          </w:rPr>
          <w:instrText xml:space="preserve"> PAGEREF _Toc416453850 \h </w:instrText>
        </w:r>
        <w:r w:rsidR="00CA3264" w:rsidRPr="00A4035F">
          <w:rPr>
            <w:noProof/>
          </w:rPr>
        </w:r>
        <w:r w:rsidR="00CA3264" w:rsidRPr="00A4035F">
          <w:rPr>
            <w:noProof/>
          </w:rPr>
          <w:fldChar w:fldCharType="separate"/>
        </w:r>
        <w:r w:rsidR="00F06B8A">
          <w:rPr>
            <w:noProof/>
          </w:rPr>
          <w:t>42</w:t>
        </w:r>
        <w:r w:rsidR="00CA3264" w:rsidRPr="00A4035F">
          <w:rPr>
            <w:noProof/>
          </w:rPr>
          <w:fldChar w:fldCharType="end"/>
        </w:r>
      </w:hyperlink>
    </w:p>
    <w:p w14:paraId="1801AF46" w14:textId="1620C8DB" w:rsidR="003F75AE" w:rsidRPr="00A4035F" w:rsidRDefault="00367AB4">
      <w:pPr>
        <w:pStyle w:val="TOC2"/>
        <w:rPr>
          <w:rFonts w:ascii="Calibri" w:hAnsi="Calibri" w:cs="Calibri"/>
          <w:noProof/>
        </w:rPr>
      </w:pPr>
      <w:hyperlink w:anchor="_Toc416453851" w:history="1">
        <w:r w:rsidR="003F75AE" w:rsidRPr="00A4035F">
          <w:rPr>
            <w:rStyle w:val="af4"/>
            <w:rFonts w:ascii="宋体" w:hAnsi="宋体" w:cs="宋体" w:hint="eastAsia"/>
            <w:noProof/>
          </w:rPr>
          <w:t>十二、</w:t>
        </w:r>
        <w:r w:rsidR="003F75AE" w:rsidRPr="00A4035F">
          <w:rPr>
            <w:rFonts w:ascii="Calibri" w:hAnsi="Calibri" w:cs="Calibri"/>
            <w:noProof/>
          </w:rPr>
          <w:tab/>
        </w:r>
        <w:r w:rsidR="003F75AE" w:rsidRPr="00A4035F">
          <w:rPr>
            <w:rStyle w:val="af4"/>
            <w:rFonts w:ascii="宋体" w:hAnsi="宋体" w:cs="宋体" w:hint="eastAsia"/>
            <w:noProof/>
          </w:rPr>
          <w:t>基金的收益与分配</w:t>
        </w:r>
        <w:r w:rsidR="003F75AE" w:rsidRPr="00A4035F">
          <w:rPr>
            <w:noProof/>
          </w:rPr>
          <w:tab/>
        </w:r>
        <w:r w:rsidR="00CA3264" w:rsidRPr="00A4035F">
          <w:rPr>
            <w:noProof/>
          </w:rPr>
          <w:fldChar w:fldCharType="begin"/>
        </w:r>
        <w:r w:rsidR="00701995" w:rsidRPr="00A4035F">
          <w:rPr>
            <w:noProof/>
          </w:rPr>
          <w:instrText xml:space="preserve"> PAGEREF _Toc416453851 \h </w:instrText>
        </w:r>
        <w:r w:rsidR="00CA3264" w:rsidRPr="00A4035F">
          <w:rPr>
            <w:noProof/>
          </w:rPr>
        </w:r>
        <w:r w:rsidR="00CA3264" w:rsidRPr="00A4035F">
          <w:rPr>
            <w:noProof/>
          </w:rPr>
          <w:fldChar w:fldCharType="separate"/>
        </w:r>
        <w:r w:rsidR="00F06B8A">
          <w:rPr>
            <w:noProof/>
          </w:rPr>
          <w:t>47</w:t>
        </w:r>
        <w:r w:rsidR="00CA3264" w:rsidRPr="00A4035F">
          <w:rPr>
            <w:noProof/>
          </w:rPr>
          <w:fldChar w:fldCharType="end"/>
        </w:r>
      </w:hyperlink>
    </w:p>
    <w:p w14:paraId="13ADD5F7" w14:textId="06C34F11" w:rsidR="003F75AE" w:rsidRPr="00A4035F" w:rsidRDefault="00367AB4">
      <w:pPr>
        <w:pStyle w:val="TOC2"/>
        <w:rPr>
          <w:rFonts w:ascii="Calibri" w:hAnsi="Calibri" w:cs="Calibri"/>
          <w:noProof/>
        </w:rPr>
      </w:pPr>
      <w:hyperlink w:anchor="_Toc416453852" w:history="1">
        <w:r w:rsidR="003F75AE" w:rsidRPr="00A4035F">
          <w:rPr>
            <w:rStyle w:val="af4"/>
            <w:rFonts w:ascii="宋体" w:hAnsi="宋体" w:cs="宋体" w:hint="eastAsia"/>
            <w:noProof/>
          </w:rPr>
          <w:t>十三、</w:t>
        </w:r>
        <w:r w:rsidR="003F75AE" w:rsidRPr="00A4035F">
          <w:rPr>
            <w:rFonts w:ascii="Calibri" w:hAnsi="Calibri" w:cs="Calibri"/>
            <w:noProof/>
          </w:rPr>
          <w:tab/>
        </w:r>
        <w:r w:rsidR="003F75AE" w:rsidRPr="00A4035F">
          <w:rPr>
            <w:rStyle w:val="af4"/>
            <w:rFonts w:ascii="宋体" w:hAnsi="宋体" w:cs="宋体" w:hint="eastAsia"/>
            <w:noProof/>
          </w:rPr>
          <w:t>基金的费用与税收</w:t>
        </w:r>
        <w:r w:rsidR="003F75AE" w:rsidRPr="00A4035F">
          <w:rPr>
            <w:noProof/>
          </w:rPr>
          <w:tab/>
        </w:r>
        <w:r w:rsidR="00CA3264" w:rsidRPr="00A4035F">
          <w:rPr>
            <w:noProof/>
          </w:rPr>
          <w:fldChar w:fldCharType="begin"/>
        </w:r>
        <w:r w:rsidR="00701995" w:rsidRPr="00A4035F">
          <w:rPr>
            <w:noProof/>
          </w:rPr>
          <w:instrText xml:space="preserve"> PAGEREF _Toc416453852 \h </w:instrText>
        </w:r>
        <w:r w:rsidR="00CA3264" w:rsidRPr="00A4035F">
          <w:rPr>
            <w:noProof/>
          </w:rPr>
        </w:r>
        <w:r w:rsidR="00CA3264" w:rsidRPr="00A4035F">
          <w:rPr>
            <w:noProof/>
          </w:rPr>
          <w:fldChar w:fldCharType="separate"/>
        </w:r>
        <w:r w:rsidR="00F06B8A">
          <w:rPr>
            <w:noProof/>
          </w:rPr>
          <w:t>48</w:t>
        </w:r>
        <w:r w:rsidR="00CA3264" w:rsidRPr="00A4035F">
          <w:rPr>
            <w:noProof/>
          </w:rPr>
          <w:fldChar w:fldCharType="end"/>
        </w:r>
      </w:hyperlink>
    </w:p>
    <w:p w14:paraId="0EF62DCA" w14:textId="26034A55" w:rsidR="003F75AE" w:rsidRPr="00A4035F" w:rsidRDefault="00367AB4">
      <w:pPr>
        <w:pStyle w:val="TOC2"/>
        <w:rPr>
          <w:rFonts w:ascii="Calibri" w:hAnsi="Calibri" w:cs="Calibri"/>
          <w:noProof/>
        </w:rPr>
      </w:pPr>
      <w:hyperlink w:anchor="_Toc416453853" w:history="1">
        <w:r w:rsidR="003F75AE" w:rsidRPr="00A4035F">
          <w:rPr>
            <w:rStyle w:val="af4"/>
            <w:rFonts w:ascii="宋体" w:hAnsi="宋体" w:cs="宋体" w:hint="eastAsia"/>
            <w:noProof/>
          </w:rPr>
          <w:t>十四、</w:t>
        </w:r>
        <w:r w:rsidR="003F75AE" w:rsidRPr="00A4035F">
          <w:rPr>
            <w:rFonts w:ascii="Calibri" w:hAnsi="Calibri" w:cs="Calibri"/>
            <w:noProof/>
          </w:rPr>
          <w:tab/>
        </w:r>
        <w:r w:rsidR="003F75AE" w:rsidRPr="00A4035F">
          <w:rPr>
            <w:rStyle w:val="af4"/>
            <w:rFonts w:ascii="宋体" w:hAnsi="宋体" w:cs="宋体" w:hint="eastAsia"/>
            <w:noProof/>
          </w:rPr>
          <w:t>基金的会计与审计</w:t>
        </w:r>
        <w:r w:rsidR="003F75AE" w:rsidRPr="00A4035F">
          <w:rPr>
            <w:noProof/>
          </w:rPr>
          <w:tab/>
        </w:r>
        <w:r w:rsidR="00CA3264" w:rsidRPr="00A4035F">
          <w:rPr>
            <w:noProof/>
          </w:rPr>
          <w:fldChar w:fldCharType="begin"/>
        </w:r>
        <w:r w:rsidR="00701995" w:rsidRPr="00A4035F">
          <w:rPr>
            <w:noProof/>
          </w:rPr>
          <w:instrText xml:space="preserve"> PAGEREF _Toc416453853 \h </w:instrText>
        </w:r>
        <w:r w:rsidR="00CA3264" w:rsidRPr="00A4035F">
          <w:rPr>
            <w:noProof/>
          </w:rPr>
        </w:r>
        <w:r w:rsidR="00CA3264" w:rsidRPr="00A4035F">
          <w:rPr>
            <w:noProof/>
          </w:rPr>
          <w:fldChar w:fldCharType="separate"/>
        </w:r>
        <w:r w:rsidR="00F06B8A">
          <w:rPr>
            <w:noProof/>
          </w:rPr>
          <w:t>50</w:t>
        </w:r>
        <w:r w:rsidR="00CA3264" w:rsidRPr="00A4035F">
          <w:rPr>
            <w:noProof/>
          </w:rPr>
          <w:fldChar w:fldCharType="end"/>
        </w:r>
      </w:hyperlink>
    </w:p>
    <w:p w14:paraId="154755AF" w14:textId="3B525391" w:rsidR="003F75AE" w:rsidRPr="00A4035F" w:rsidRDefault="00367AB4">
      <w:pPr>
        <w:pStyle w:val="TOC2"/>
        <w:rPr>
          <w:rFonts w:ascii="Calibri" w:hAnsi="Calibri" w:cs="Calibri"/>
          <w:noProof/>
        </w:rPr>
      </w:pPr>
      <w:hyperlink w:anchor="_Toc416453854" w:history="1">
        <w:r w:rsidR="003F75AE" w:rsidRPr="00A4035F">
          <w:rPr>
            <w:rStyle w:val="af4"/>
            <w:rFonts w:ascii="宋体" w:hAnsi="宋体" w:cs="宋体" w:hint="eastAsia"/>
            <w:noProof/>
          </w:rPr>
          <w:t>十五、</w:t>
        </w:r>
        <w:r w:rsidR="003F75AE" w:rsidRPr="00A4035F">
          <w:rPr>
            <w:rFonts w:ascii="Calibri" w:hAnsi="Calibri" w:cs="Calibri"/>
            <w:noProof/>
          </w:rPr>
          <w:tab/>
        </w:r>
        <w:r w:rsidR="003F75AE" w:rsidRPr="00A4035F">
          <w:rPr>
            <w:rStyle w:val="af4"/>
            <w:rFonts w:ascii="宋体" w:hAnsi="宋体" w:cs="宋体" w:hint="eastAsia"/>
            <w:noProof/>
          </w:rPr>
          <w:t>基金的信息披露</w:t>
        </w:r>
        <w:r w:rsidR="003F75AE" w:rsidRPr="00A4035F">
          <w:rPr>
            <w:noProof/>
          </w:rPr>
          <w:tab/>
        </w:r>
        <w:r w:rsidR="00CA3264" w:rsidRPr="00A4035F">
          <w:rPr>
            <w:noProof/>
          </w:rPr>
          <w:fldChar w:fldCharType="begin"/>
        </w:r>
        <w:r w:rsidR="00701995" w:rsidRPr="00A4035F">
          <w:rPr>
            <w:noProof/>
          </w:rPr>
          <w:instrText xml:space="preserve"> PAGEREF _Toc416453854 \h </w:instrText>
        </w:r>
        <w:r w:rsidR="00CA3264" w:rsidRPr="00A4035F">
          <w:rPr>
            <w:noProof/>
          </w:rPr>
        </w:r>
        <w:r w:rsidR="00CA3264" w:rsidRPr="00A4035F">
          <w:rPr>
            <w:noProof/>
          </w:rPr>
          <w:fldChar w:fldCharType="separate"/>
        </w:r>
        <w:r w:rsidR="00F06B8A">
          <w:rPr>
            <w:noProof/>
          </w:rPr>
          <w:t>51</w:t>
        </w:r>
        <w:r w:rsidR="00CA3264" w:rsidRPr="00A4035F">
          <w:rPr>
            <w:noProof/>
          </w:rPr>
          <w:fldChar w:fldCharType="end"/>
        </w:r>
      </w:hyperlink>
    </w:p>
    <w:p w14:paraId="6CAECFFF" w14:textId="5CC9D435" w:rsidR="003F75AE" w:rsidRPr="00A4035F" w:rsidRDefault="00367AB4">
      <w:pPr>
        <w:pStyle w:val="TOC2"/>
        <w:rPr>
          <w:rFonts w:ascii="Calibri" w:hAnsi="Calibri" w:cs="Calibri"/>
          <w:noProof/>
        </w:rPr>
      </w:pPr>
      <w:hyperlink w:anchor="_Toc416453855" w:history="1">
        <w:r w:rsidR="003F75AE" w:rsidRPr="00A4035F">
          <w:rPr>
            <w:rStyle w:val="af4"/>
            <w:rFonts w:ascii="宋体" w:hAnsi="宋体" w:cs="宋体" w:hint="eastAsia"/>
            <w:noProof/>
          </w:rPr>
          <w:t>十六、</w:t>
        </w:r>
        <w:r w:rsidR="003F75AE" w:rsidRPr="00A4035F">
          <w:rPr>
            <w:rFonts w:ascii="Calibri" w:hAnsi="Calibri" w:cs="Calibri"/>
            <w:noProof/>
          </w:rPr>
          <w:tab/>
        </w:r>
        <w:r w:rsidR="003F75AE" w:rsidRPr="00A4035F">
          <w:rPr>
            <w:rStyle w:val="af4"/>
            <w:rFonts w:ascii="宋体" w:hAnsi="宋体" w:cs="宋体" w:hint="eastAsia"/>
            <w:noProof/>
          </w:rPr>
          <w:t>风险</w:t>
        </w:r>
        <w:r w:rsidR="003F75AE" w:rsidRPr="00A4035F">
          <w:rPr>
            <w:rStyle w:val="af4"/>
            <w:rFonts w:ascii="宋体" w:hAnsi="宋体" w:cs="宋体" w:hint="eastAsia"/>
            <w:noProof/>
          </w:rPr>
          <w:t>揭</w:t>
        </w:r>
        <w:r w:rsidR="003F75AE" w:rsidRPr="00A4035F">
          <w:rPr>
            <w:rStyle w:val="af4"/>
            <w:rFonts w:ascii="宋体" w:hAnsi="宋体" w:cs="宋体" w:hint="eastAsia"/>
            <w:noProof/>
          </w:rPr>
          <w:t>示</w:t>
        </w:r>
        <w:r w:rsidR="003F75AE" w:rsidRPr="00A4035F">
          <w:rPr>
            <w:noProof/>
          </w:rPr>
          <w:tab/>
        </w:r>
        <w:r w:rsidR="00CA3264" w:rsidRPr="00A4035F">
          <w:rPr>
            <w:noProof/>
          </w:rPr>
          <w:fldChar w:fldCharType="begin"/>
        </w:r>
        <w:r w:rsidR="00701995" w:rsidRPr="00A4035F">
          <w:rPr>
            <w:noProof/>
          </w:rPr>
          <w:instrText xml:space="preserve"> PAGEREF _Toc416453855 \h </w:instrText>
        </w:r>
        <w:r w:rsidR="00CA3264" w:rsidRPr="00A4035F">
          <w:rPr>
            <w:noProof/>
          </w:rPr>
        </w:r>
        <w:r w:rsidR="00CA3264" w:rsidRPr="00A4035F">
          <w:rPr>
            <w:noProof/>
          </w:rPr>
          <w:fldChar w:fldCharType="separate"/>
        </w:r>
        <w:r w:rsidR="00F06B8A">
          <w:rPr>
            <w:noProof/>
          </w:rPr>
          <w:t>57</w:t>
        </w:r>
        <w:r w:rsidR="00CA3264" w:rsidRPr="00A4035F">
          <w:rPr>
            <w:noProof/>
          </w:rPr>
          <w:fldChar w:fldCharType="end"/>
        </w:r>
      </w:hyperlink>
    </w:p>
    <w:p w14:paraId="096E5709" w14:textId="10D270D9" w:rsidR="003F75AE" w:rsidRPr="00A4035F" w:rsidRDefault="00367AB4">
      <w:pPr>
        <w:pStyle w:val="TOC2"/>
        <w:rPr>
          <w:rFonts w:ascii="Calibri" w:hAnsi="Calibri" w:cs="Calibri"/>
          <w:noProof/>
        </w:rPr>
      </w:pPr>
      <w:hyperlink w:anchor="_Toc416453856" w:history="1">
        <w:r w:rsidR="003F75AE" w:rsidRPr="00A4035F">
          <w:rPr>
            <w:rStyle w:val="af4"/>
            <w:rFonts w:ascii="宋体" w:hAnsi="宋体" w:cs="宋体" w:hint="eastAsia"/>
            <w:noProof/>
          </w:rPr>
          <w:t>十七、</w:t>
        </w:r>
        <w:r w:rsidR="003F75AE" w:rsidRPr="00A4035F">
          <w:rPr>
            <w:rFonts w:ascii="Calibri" w:hAnsi="Calibri" w:cs="Calibri"/>
            <w:noProof/>
          </w:rPr>
          <w:tab/>
        </w:r>
        <w:r w:rsidR="003F75AE" w:rsidRPr="00A4035F">
          <w:rPr>
            <w:rStyle w:val="af4"/>
            <w:rFonts w:ascii="宋体" w:hAnsi="宋体" w:cs="宋体" w:hint="eastAsia"/>
            <w:noProof/>
          </w:rPr>
          <w:t>基金合同的变更、终止和基金财产的清算</w:t>
        </w:r>
        <w:r w:rsidR="003F75AE" w:rsidRPr="00A4035F">
          <w:rPr>
            <w:noProof/>
          </w:rPr>
          <w:tab/>
        </w:r>
        <w:r w:rsidR="00CA3264" w:rsidRPr="00A4035F">
          <w:rPr>
            <w:noProof/>
          </w:rPr>
          <w:fldChar w:fldCharType="begin"/>
        </w:r>
        <w:r w:rsidR="00701995" w:rsidRPr="00A4035F">
          <w:rPr>
            <w:noProof/>
          </w:rPr>
          <w:instrText xml:space="preserve"> PAGEREF _Toc416453856 \h </w:instrText>
        </w:r>
        <w:r w:rsidR="00CA3264" w:rsidRPr="00A4035F">
          <w:rPr>
            <w:noProof/>
          </w:rPr>
        </w:r>
        <w:r w:rsidR="00CA3264" w:rsidRPr="00A4035F">
          <w:rPr>
            <w:noProof/>
          </w:rPr>
          <w:fldChar w:fldCharType="separate"/>
        </w:r>
        <w:r w:rsidR="00F06B8A">
          <w:rPr>
            <w:noProof/>
          </w:rPr>
          <w:t>63</w:t>
        </w:r>
        <w:r w:rsidR="00CA3264" w:rsidRPr="00A4035F">
          <w:rPr>
            <w:noProof/>
          </w:rPr>
          <w:fldChar w:fldCharType="end"/>
        </w:r>
      </w:hyperlink>
    </w:p>
    <w:p w14:paraId="690DAF3C" w14:textId="56046ABC" w:rsidR="003F75AE" w:rsidRPr="00A4035F" w:rsidRDefault="00367AB4">
      <w:pPr>
        <w:pStyle w:val="TOC2"/>
        <w:rPr>
          <w:rFonts w:ascii="Calibri" w:hAnsi="Calibri" w:cs="Calibri"/>
          <w:noProof/>
        </w:rPr>
      </w:pPr>
      <w:hyperlink w:anchor="_Toc416453857" w:history="1">
        <w:r w:rsidR="003F75AE" w:rsidRPr="00A4035F">
          <w:rPr>
            <w:rStyle w:val="af4"/>
            <w:rFonts w:ascii="宋体" w:hAnsi="宋体" w:cs="宋体" w:hint="eastAsia"/>
            <w:noProof/>
          </w:rPr>
          <w:t>十八、</w:t>
        </w:r>
        <w:r w:rsidR="003F75AE" w:rsidRPr="00A4035F">
          <w:rPr>
            <w:rFonts w:ascii="Calibri" w:hAnsi="Calibri" w:cs="Calibri"/>
            <w:noProof/>
          </w:rPr>
          <w:tab/>
        </w:r>
        <w:r w:rsidR="003F75AE" w:rsidRPr="00A4035F">
          <w:rPr>
            <w:rStyle w:val="af4"/>
            <w:rFonts w:ascii="宋体" w:hAnsi="宋体" w:cs="宋体" w:hint="eastAsia"/>
            <w:noProof/>
          </w:rPr>
          <w:t>基金合同的内容摘要</w:t>
        </w:r>
        <w:r w:rsidR="003F75AE" w:rsidRPr="00A4035F">
          <w:rPr>
            <w:noProof/>
          </w:rPr>
          <w:tab/>
        </w:r>
        <w:r w:rsidR="00CA3264" w:rsidRPr="00A4035F">
          <w:rPr>
            <w:noProof/>
          </w:rPr>
          <w:fldChar w:fldCharType="begin"/>
        </w:r>
        <w:r w:rsidR="00701995" w:rsidRPr="00A4035F">
          <w:rPr>
            <w:noProof/>
          </w:rPr>
          <w:instrText xml:space="preserve"> PAGEREF _Toc416453857 \h </w:instrText>
        </w:r>
        <w:r w:rsidR="00CA3264" w:rsidRPr="00A4035F">
          <w:rPr>
            <w:noProof/>
          </w:rPr>
        </w:r>
        <w:r w:rsidR="00CA3264" w:rsidRPr="00A4035F">
          <w:rPr>
            <w:noProof/>
          </w:rPr>
          <w:fldChar w:fldCharType="separate"/>
        </w:r>
        <w:r w:rsidR="00F06B8A">
          <w:rPr>
            <w:noProof/>
          </w:rPr>
          <w:t>65</w:t>
        </w:r>
        <w:r w:rsidR="00CA3264" w:rsidRPr="00A4035F">
          <w:rPr>
            <w:noProof/>
          </w:rPr>
          <w:fldChar w:fldCharType="end"/>
        </w:r>
      </w:hyperlink>
    </w:p>
    <w:p w14:paraId="4D088F20" w14:textId="75C98804" w:rsidR="003F75AE" w:rsidRPr="00A4035F" w:rsidRDefault="00367AB4">
      <w:pPr>
        <w:pStyle w:val="TOC2"/>
        <w:rPr>
          <w:rFonts w:ascii="Calibri" w:hAnsi="Calibri" w:cs="Calibri"/>
          <w:noProof/>
        </w:rPr>
      </w:pPr>
      <w:hyperlink w:anchor="_Toc416453858" w:history="1">
        <w:r w:rsidR="003F75AE" w:rsidRPr="00A4035F">
          <w:rPr>
            <w:rStyle w:val="af4"/>
            <w:rFonts w:ascii="宋体" w:hAnsi="宋体" w:cs="宋体" w:hint="eastAsia"/>
            <w:noProof/>
          </w:rPr>
          <w:t>十九、</w:t>
        </w:r>
        <w:r w:rsidR="003F75AE" w:rsidRPr="00A4035F">
          <w:rPr>
            <w:rFonts w:ascii="Calibri" w:hAnsi="Calibri" w:cs="Calibri"/>
            <w:noProof/>
          </w:rPr>
          <w:tab/>
        </w:r>
        <w:r w:rsidR="003F75AE" w:rsidRPr="00A4035F">
          <w:rPr>
            <w:rStyle w:val="af4"/>
            <w:rFonts w:ascii="宋体" w:hAnsi="宋体" w:cs="宋体" w:hint="eastAsia"/>
            <w:noProof/>
          </w:rPr>
          <w:t>基金托管协议的内容摘要</w:t>
        </w:r>
        <w:r w:rsidR="003F75AE" w:rsidRPr="00A4035F">
          <w:rPr>
            <w:noProof/>
          </w:rPr>
          <w:tab/>
        </w:r>
        <w:r w:rsidR="00CA3264" w:rsidRPr="00A4035F">
          <w:rPr>
            <w:noProof/>
          </w:rPr>
          <w:fldChar w:fldCharType="begin"/>
        </w:r>
        <w:r w:rsidR="00701995" w:rsidRPr="00A4035F">
          <w:rPr>
            <w:noProof/>
          </w:rPr>
          <w:instrText xml:space="preserve"> PAGEREF _Toc416453858 \h </w:instrText>
        </w:r>
        <w:r w:rsidR="00CA3264" w:rsidRPr="00A4035F">
          <w:rPr>
            <w:noProof/>
          </w:rPr>
        </w:r>
        <w:r w:rsidR="00CA3264" w:rsidRPr="00A4035F">
          <w:rPr>
            <w:noProof/>
          </w:rPr>
          <w:fldChar w:fldCharType="separate"/>
        </w:r>
        <w:r w:rsidR="00F06B8A">
          <w:rPr>
            <w:noProof/>
          </w:rPr>
          <w:t>84</w:t>
        </w:r>
        <w:r w:rsidR="00CA3264" w:rsidRPr="00A4035F">
          <w:rPr>
            <w:noProof/>
          </w:rPr>
          <w:fldChar w:fldCharType="end"/>
        </w:r>
      </w:hyperlink>
    </w:p>
    <w:p w14:paraId="5C67A1E7" w14:textId="2F5C7F1F" w:rsidR="003F75AE" w:rsidRPr="00A4035F" w:rsidRDefault="00367AB4">
      <w:pPr>
        <w:pStyle w:val="TOC2"/>
        <w:rPr>
          <w:rFonts w:ascii="Calibri" w:hAnsi="Calibri" w:cs="Calibri"/>
          <w:noProof/>
        </w:rPr>
      </w:pPr>
      <w:hyperlink w:anchor="_Toc416453859" w:history="1">
        <w:r w:rsidR="003F75AE" w:rsidRPr="00A4035F">
          <w:rPr>
            <w:rStyle w:val="af4"/>
            <w:rFonts w:ascii="宋体" w:hAnsi="宋体" w:cs="宋体" w:hint="eastAsia"/>
            <w:noProof/>
          </w:rPr>
          <w:t>二十、</w:t>
        </w:r>
        <w:r w:rsidR="003F75AE" w:rsidRPr="00A4035F">
          <w:rPr>
            <w:rFonts w:ascii="Calibri" w:hAnsi="Calibri" w:cs="Calibri"/>
            <w:noProof/>
          </w:rPr>
          <w:tab/>
        </w:r>
        <w:r w:rsidR="003F75AE" w:rsidRPr="00A4035F">
          <w:rPr>
            <w:rStyle w:val="af4"/>
            <w:rFonts w:ascii="宋体" w:hAnsi="宋体" w:cs="宋体" w:hint="eastAsia"/>
            <w:noProof/>
          </w:rPr>
          <w:t>基金份额持有人服务</w:t>
        </w:r>
        <w:r w:rsidR="003F75AE" w:rsidRPr="00A4035F">
          <w:rPr>
            <w:noProof/>
          </w:rPr>
          <w:tab/>
        </w:r>
        <w:r w:rsidR="00CA3264" w:rsidRPr="00A4035F">
          <w:rPr>
            <w:noProof/>
          </w:rPr>
          <w:fldChar w:fldCharType="begin"/>
        </w:r>
        <w:r w:rsidR="00701995" w:rsidRPr="00A4035F">
          <w:rPr>
            <w:noProof/>
          </w:rPr>
          <w:instrText xml:space="preserve"> PAGEREF _Toc416453859 \h </w:instrText>
        </w:r>
        <w:r w:rsidR="00CA3264" w:rsidRPr="00A4035F">
          <w:rPr>
            <w:noProof/>
          </w:rPr>
        </w:r>
        <w:r w:rsidR="00CA3264" w:rsidRPr="00A4035F">
          <w:rPr>
            <w:noProof/>
          </w:rPr>
          <w:fldChar w:fldCharType="separate"/>
        </w:r>
        <w:r w:rsidR="00F06B8A">
          <w:rPr>
            <w:noProof/>
          </w:rPr>
          <w:t>100</w:t>
        </w:r>
        <w:r w:rsidR="00CA3264" w:rsidRPr="00A4035F">
          <w:rPr>
            <w:noProof/>
          </w:rPr>
          <w:fldChar w:fldCharType="end"/>
        </w:r>
      </w:hyperlink>
    </w:p>
    <w:p w14:paraId="0EBB0E9C" w14:textId="44076CD9" w:rsidR="003F75AE" w:rsidRPr="00A4035F" w:rsidRDefault="00367AB4">
      <w:pPr>
        <w:pStyle w:val="TOC2"/>
        <w:rPr>
          <w:rFonts w:ascii="Calibri" w:hAnsi="Calibri" w:cs="Calibri"/>
          <w:noProof/>
        </w:rPr>
      </w:pPr>
      <w:hyperlink w:anchor="_Toc416453860" w:history="1">
        <w:r w:rsidR="003F75AE" w:rsidRPr="00A4035F">
          <w:rPr>
            <w:rStyle w:val="af4"/>
            <w:rFonts w:ascii="宋体" w:hAnsi="宋体" w:cs="宋体" w:hint="eastAsia"/>
            <w:noProof/>
          </w:rPr>
          <w:t>二十一、</w:t>
        </w:r>
        <w:r w:rsidR="003F75AE" w:rsidRPr="00A4035F">
          <w:rPr>
            <w:rFonts w:ascii="Calibri" w:hAnsi="Calibri" w:cs="Calibri"/>
            <w:noProof/>
          </w:rPr>
          <w:tab/>
        </w:r>
        <w:r w:rsidR="003F75AE" w:rsidRPr="00A4035F">
          <w:rPr>
            <w:rStyle w:val="af4"/>
            <w:rFonts w:ascii="宋体" w:hAnsi="宋体" w:cs="宋体" w:hint="eastAsia"/>
            <w:noProof/>
          </w:rPr>
          <w:t>其它应披露事项</w:t>
        </w:r>
        <w:r w:rsidR="003F75AE" w:rsidRPr="00A4035F">
          <w:rPr>
            <w:noProof/>
          </w:rPr>
          <w:tab/>
        </w:r>
        <w:r w:rsidR="00CA3264" w:rsidRPr="00A4035F">
          <w:rPr>
            <w:noProof/>
          </w:rPr>
          <w:fldChar w:fldCharType="begin"/>
        </w:r>
        <w:r w:rsidR="00701995" w:rsidRPr="00A4035F">
          <w:rPr>
            <w:noProof/>
          </w:rPr>
          <w:instrText xml:space="preserve"> PAGEREF _Toc416453860 \h </w:instrText>
        </w:r>
        <w:r w:rsidR="00CA3264" w:rsidRPr="00A4035F">
          <w:rPr>
            <w:noProof/>
          </w:rPr>
        </w:r>
        <w:r w:rsidR="00CA3264" w:rsidRPr="00A4035F">
          <w:rPr>
            <w:noProof/>
          </w:rPr>
          <w:fldChar w:fldCharType="separate"/>
        </w:r>
        <w:r w:rsidR="00F06B8A">
          <w:rPr>
            <w:noProof/>
          </w:rPr>
          <w:t>102</w:t>
        </w:r>
        <w:r w:rsidR="00CA3264" w:rsidRPr="00A4035F">
          <w:rPr>
            <w:noProof/>
          </w:rPr>
          <w:fldChar w:fldCharType="end"/>
        </w:r>
      </w:hyperlink>
    </w:p>
    <w:p w14:paraId="392C3B88" w14:textId="31B20CCD" w:rsidR="003F75AE" w:rsidRPr="00A4035F" w:rsidRDefault="00367AB4">
      <w:pPr>
        <w:pStyle w:val="TOC2"/>
        <w:rPr>
          <w:rFonts w:ascii="Calibri" w:hAnsi="Calibri" w:cs="Calibri"/>
          <w:noProof/>
        </w:rPr>
      </w:pPr>
      <w:hyperlink w:anchor="_Toc416453861" w:history="1">
        <w:r w:rsidR="003F75AE" w:rsidRPr="00A4035F">
          <w:rPr>
            <w:rStyle w:val="af4"/>
            <w:rFonts w:ascii="宋体" w:hAnsi="宋体" w:cs="宋体" w:hint="eastAsia"/>
            <w:noProof/>
          </w:rPr>
          <w:t>二十二、</w:t>
        </w:r>
        <w:r w:rsidR="003F75AE" w:rsidRPr="00A4035F">
          <w:rPr>
            <w:rFonts w:ascii="Calibri" w:hAnsi="Calibri" w:cs="Calibri"/>
            <w:noProof/>
          </w:rPr>
          <w:tab/>
        </w:r>
        <w:r w:rsidR="003F75AE" w:rsidRPr="00A4035F">
          <w:rPr>
            <w:rStyle w:val="af4"/>
            <w:rFonts w:ascii="宋体" w:hAnsi="宋体" w:cs="宋体" w:hint="eastAsia"/>
            <w:noProof/>
          </w:rPr>
          <w:t>招募说明书存放及其查阅方式</w:t>
        </w:r>
        <w:r w:rsidR="003F75AE" w:rsidRPr="00A4035F">
          <w:rPr>
            <w:noProof/>
          </w:rPr>
          <w:tab/>
        </w:r>
        <w:r w:rsidR="00CA3264" w:rsidRPr="00A4035F">
          <w:rPr>
            <w:noProof/>
          </w:rPr>
          <w:fldChar w:fldCharType="begin"/>
        </w:r>
        <w:r w:rsidR="00701995" w:rsidRPr="00A4035F">
          <w:rPr>
            <w:noProof/>
          </w:rPr>
          <w:instrText xml:space="preserve"> PAGEREF _Toc416453861 \h </w:instrText>
        </w:r>
        <w:r w:rsidR="00CA3264" w:rsidRPr="00A4035F">
          <w:rPr>
            <w:noProof/>
          </w:rPr>
        </w:r>
        <w:r w:rsidR="00CA3264" w:rsidRPr="00A4035F">
          <w:rPr>
            <w:noProof/>
          </w:rPr>
          <w:fldChar w:fldCharType="separate"/>
        </w:r>
        <w:r w:rsidR="00F06B8A">
          <w:rPr>
            <w:noProof/>
          </w:rPr>
          <w:t>103</w:t>
        </w:r>
        <w:r w:rsidR="00CA3264" w:rsidRPr="00A4035F">
          <w:rPr>
            <w:noProof/>
          </w:rPr>
          <w:fldChar w:fldCharType="end"/>
        </w:r>
      </w:hyperlink>
    </w:p>
    <w:p w14:paraId="70F4A778" w14:textId="5AFB9EDB" w:rsidR="003F75AE" w:rsidRPr="00A4035F" w:rsidRDefault="00367AB4">
      <w:pPr>
        <w:pStyle w:val="TOC2"/>
        <w:rPr>
          <w:rFonts w:ascii="Calibri" w:hAnsi="Calibri" w:cs="Calibri"/>
          <w:noProof/>
        </w:rPr>
      </w:pPr>
      <w:hyperlink w:anchor="_Toc416453862" w:history="1">
        <w:r w:rsidR="003F75AE" w:rsidRPr="00A4035F">
          <w:rPr>
            <w:rStyle w:val="af4"/>
            <w:rFonts w:ascii="宋体" w:hAnsi="宋体" w:cs="宋体" w:hint="eastAsia"/>
            <w:noProof/>
          </w:rPr>
          <w:t>二十三、</w:t>
        </w:r>
        <w:r w:rsidR="003F75AE" w:rsidRPr="00A4035F">
          <w:rPr>
            <w:rFonts w:ascii="Calibri" w:hAnsi="Calibri" w:cs="Calibri"/>
            <w:noProof/>
          </w:rPr>
          <w:tab/>
        </w:r>
        <w:r w:rsidR="003F75AE" w:rsidRPr="00A4035F">
          <w:rPr>
            <w:rStyle w:val="af4"/>
            <w:rFonts w:ascii="宋体" w:hAnsi="宋体" w:cs="宋体" w:hint="eastAsia"/>
            <w:noProof/>
          </w:rPr>
          <w:t>备查文件</w:t>
        </w:r>
        <w:r w:rsidR="003F75AE" w:rsidRPr="00A4035F">
          <w:rPr>
            <w:noProof/>
          </w:rPr>
          <w:tab/>
        </w:r>
        <w:r w:rsidR="00CA3264" w:rsidRPr="00A4035F">
          <w:rPr>
            <w:noProof/>
          </w:rPr>
          <w:fldChar w:fldCharType="begin"/>
        </w:r>
        <w:r w:rsidR="00701995" w:rsidRPr="00A4035F">
          <w:rPr>
            <w:noProof/>
          </w:rPr>
          <w:instrText xml:space="preserve"> PAGEREF _Toc416453862 \h </w:instrText>
        </w:r>
        <w:r w:rsidR="00CA3264" w:rsidRPr="00A4035F">
          <w:rPr>
            <w:noProof/>
          </w:rPr>
        </w:r>
        <w:r w:rsidR="00CA3264" w:rsidRPr="00A4035F">
          <w:rPr>
            <w:noProof/>
          </w:rPr>
          <w:fldChar w:fldCharType="separate"/>
        </w:r>
        <w:r w:rsidR="00F06B8A">
          <w:rPr>
            <w:noProof/>
          </w:rPr>
          <w:t>104</w:t>
        </w:r>
        <w:r w:rsidR="00CA3264" w:rsidRPr="00A4035F">
          <w:rPr>
            <w:noProof/>
          </w:rPr>
          <w:fldChar w:fldCharType="end"/>
        </w:r>
      </w:hyperlink>
    </w:p>
    <w:p w14:paraId="74C9A957" w14:textId="77777777" w:rsidR="003F75AE" w:rsidRPr="00A4035F" w:rsidRDefault="00CA3264">
      <w:pPr>
        <w:rPr>
          <w:rFonts w:cs="Times New Roman"/>
        </w:rPr>
      </w:pPr>
      <w:r w:rsidRPr="00A4035F">
        <w:fldChar w:fldCharType="end"/>
      </w:r>
    </w:p>
    <w:p w14:paraId="77726D75" w14:textId="77777777" w:rsidR="003F75AE" w:rsidRPr="00A4035F" w:rsidRDefault="003F75AE">
      <w:pPr>
        <w:jc w:val="center"/>
        <w:rPr>
          <w:rFonts w:cs="Times New Roman"/>
          <w:sz w:val="28"/>
          <w:szCs w:val="28"/>
        </w:rPr>
      </w:pPr>
    </w:p>
    <w:p w14:paraId="7BDE0F45" w14:textId="77777777" w:rsidR="003F75AE" w:rsidRPr="00A4035F" w:rsidRDefault="003F75AE">
      <w:pPr>
        <w:snapToGrid w:val="0"/>
        <w:spacing w:line="360" w:lineRule="auto"/>
        <w:jc w:val="center"/>
        <w:rPr>
          <w:rFonts w:ascii="宋体" w:cs="Times New Roman"/>
          <w:sz w:val="30"/>
          <w:szCs w:val="30"/>
        </w:rPr>
      </w:pPr>
      <w:r w:rsidRPr="00A4035F">
        <w:rPr>
          <w:rFonts w:ascii="宋体" w:cs="Times New Roman"/>
          <w:sz w:val="30"/>
          <w:szCs w:val="30"/>
        </w:rPr>
        <w:br w:type="page"/>
      </w:r>
    </w:p>
    <w:p w14:paraId="10FCCE51" w14:textId="77777777" w:rsidR="003F75AE" w:rsidRPr="00A4035F" w:rsidRDefault="003F75AE">
      <w:pPr>
        <w:snapToGrid w:val="0"/>
        <w:spacing w:line="360" w:lineRule="auto"/>
        <w:jc w:val="center"/>
        <w:rPr>
          <w:rFonts w:ascii="宋体" w:cs="Times New Roman"/>
          <w:b/>
          <w:bCs/>
          <w:color w:val="000000"/>
        </w:rPr>
      </w:pPr>
      <w:r w:rsidRPr="00A4035F">
        <w:rPr>
          <w:rFonts w:ascii="宋体" w:hAnsi="宋体" w:cs="宋体" w:hint="eastAsia"/>
          <w:b/>
          <w:bCs/>
          <w:color w:val="000000"/>
        </w:rPr>
        <w:lastRenderedPageBreak/>
        <w:t>重要提示</w:t>
      </w:r>
    </w:p>
    <w:p w14:paraId="4D83C3D4" w14:textId="77777777" w:rsidR="003F75AE" w:rsidRPr="00A4035F" w:rsidRDefault="003F75AE">
      <w:pPr>
        <w:snapToGrid w:val="0"/>
        <w:spacing w:line="360" w:lineRule="auto"/>
        <w:jc w:val="center"/>
        <w:rPr>
          <w:rFonts w:ascii="宋体" w:cs="Times New Roman"/>
          <w:b/>
          <w:bCs/>
          <w:color w:val="000000"/>
        </w:rPr>
      </w:pPr>
    </w:p>
    <w:p w14:paraId="52FC8404" w14:textId="298FE5D1" w:rsidR="003F75AE" w:rsidRPr="00A4035F" w:rsidRDefault="003F75AE" w:rsidP="003F75AE">
      <w:pPr>
        <w:numPr>
          <w:ilvl w:val="12"/>
          <w:numId w:val="0"/>
        </w:numPr>
        <w:snapToGrid w:val="0"/>
        <w:spacing w:line="360" w:lineRule="auto"/>
        <w:ind w:firstLineChars="196" w:firstLine="412"/>
        <w:rPr>
          <w:rFonts w:ascii="宋体" w:cs="Times New Roman"/>
        </w:rPr>
      </w:pPr>
      <w:r w:rsidRPr="00A4035F">
        <w:rPr>
          <w:rFonts w:ascii="宋体" w:hAnsi="宋体" w:cs="宋体" w:hint="eastAsia"/>
        </w:rPr>
        <w:t>本基金经中国证监会</w:t>
      </w:r>
      <w:r w:rsidR="00BB5C47">
        <w:rPr>
          <w:rFonts w:ascii="宋体" w:hAnsi="宋体" w:cs="宋体"/>
        </w:rPr>
        <w:t>2019</w:t>
      </w:r>
      <w:r w:rsidR="008C4E3F" w:rsidRPr="008C4E3F">
        <w:rPr>
          <w:rFonts w:ascii="宋体" w:hAnsi="宋体" w:cs="宋体" w:hint="eastAsia"/>
        </w:rPr>
        <w:t>年</w:t>
      </w:r>
      <w:r w:rsidR="00BB5C47">
        <w:rPr>
          <w:rFonts w:ascii="宋体" w:hAnsi="宋体" w:cs="宋体"/>
        </w:rPr>
        <w:t>10</w:t>
      </w:r>
      <w:r w:rsidR="008C4E3F" w:rsidRPr="008C4E3F">
        <w:rPr>
          <w:rFonts w:ascii="宋体" w:hAnsi="宋体" w:cs="宋体" w:hint="eastAsia"/>
        </w:rPr>
        <w:t>月</w:t>
      </w:r>
      <w:r w:rsidR="00BB5C47">
        <w:rPr>
          <w:rFonts w:ascii="宋体" w:hAnsi="宋体" w:cs="宋体"/>
        </w:rPr>
        <w:t>11</w:t>
      </w:r>
      <w:r w:rsidR="008C4E3F" w:rsidRPr="008C4E3F">
        <w:rPr>
          <w:rFonts w:ascii="宋体" w:hAnsi="宋体" w:cs="宋体" w:hint="eastAsia"/>
        </w:rPr>
        <w:t>日证监许可〔</w:t>
      </w:r>
      <w:r w:rsidR="00BB5C47" w:rsidRPr="008C4E3F">
        <w:rPr>
          <w:rFonts w:ascii="宋体" w:hAnsi="宋体" w:cs="宋体" w:hint="eastAsia"/>
        </w:rPr>
        <w:t>20</w:t>
      </w:r>
      <w:r w:rsidR="00BB5C47">
        <w:rPr>
          <w:rFonts w:ascii="宋体" w:hAnsi="宋体" w:cs="宋体"/>
        </w:rPr>
        <w:t>19</w:t>
      </w:r>
      <w:r w:rsidR="008C4E3F" w:rsidRPr="008C4E3F">
        <w:rPr>
          <w:rFonts w:ascii="宋体" w:hAnsi="宋体" w:cs="宋体" w:hint="eastAsia"/>
        </w:rPr>
        <w:t>〕</w:t>
      </w:r>
      <w:r w:rsidR="00BB5C47">
        <w:rPr>
          <w:rFonts w:ascii="宋体" w:hAnsi="宋体" w:cs="宋体"/>
        </w:rPr>
        <w:t>1889</w:t>
      </w:r>
      <w:r w:rsidR="008C4E3F" w:rsidRPr="008C4E3F">
        <w:rPr>
          <w:rFonts w:ascii="宋体" w:hAnsi="宋体" w:cs="宋体" w:hint="eastAsia"/>
        </w:rPr>
        <w:t>号</w:t>
      </w:r>
      <w:proofErr w:type="gramStart"/>
      <w:r w:rsidRPr="00A4035F">
        <w:rPr>
          <w:rFonts w:ascii="宋体" w:hAnsi="宋体" w:cs="宋体" w:hint="eastAsia"/>
        </w:rPr>
        <w:t>文注册</w:t>
      </w:r>
      <w:proofErr w:type="gramEnd"/>
      <w:r w:rsidRPr="00A4035F">
        <w:rPr>
          <w:rFonts w:ascii="宋体" w:hAnsi="宋体" w:cs="宋体" w:hint="eastAsia"/>
        </w:rPr>
        <w:t>募集。</w:t>
      </w:r>
    </w:p>
    <w:p w14:paraId="3C616BCA" w14:textId="77777777" w:rsidR="003F75AE" w:rsidRPr="00A4035F" w:rsidRDefault="003F75AE" w:rsidP="003F75AE">
      <w:pPr>
        <w:numPr>
          <w:ilvl w:val="12"/>
          <w:numId w:val="0"/>
        </w:numPr>
        <w:snapToGrid w:val="0"/>
        <w:spacing w:line="360" w:lineRule="auto"/>
        <w:ind w:firstLineChars="196" w:firstLine="412"/>
        <w:rPr>
          <w:rFonts w:ascii="宋体" w:cs="Times New Roman"/>
        </w:rPr>
      </w:pPr>
      <w:r w:rsidRPr="00A4035F">
        <w:rPr>
          <w:rFonts w:ascii="宋体" w:hAnsi="宋体" w:cs="宋体" w:hint="eastAsia"/>
        </w:rPr>
        <w:t>基金管理人保证招募说明书的内容真实、准确、完整。本招募说明书经中国证监会注册，但中国证监会对本基金募集的注册，并不表明其对本基金的</w:t>
      </w:r>
      <w:r w:rsidR="005A0CE2" w:rsidRPr="00A4035F">
        <w:rPr>
          <w:rFonts w:ascii="宋体" w:hAnsi="宋体" w:cs="宋体" w:hint="eastAsia"/>
        </w:rPr>
        <w:t>投资</w:t>
      </w:r>
      <w:r w:rsidRPr="00A4035F">
        <w:rPr>
          <w:rFonts w:ascii="宋体" w:hAnsi="宋体" w:cs="宋体" w:hint="eastAsia"/>
        </w:rPr>
        <w:t>价值和</w:t>
      </w:r>
      <w:r w:rsidR="005A0CE2" w:rsidRPr="00A4035F">
        <w:rPr>
          <w:rFonts w:ascii="宋体" w:hAnsi="宋体" w:cs="宋体" w:hint="eastAsia"/>
        </w:rPr>
        <w:t>市场前景</w:t>
      </w:r>
      <w:r w:rsidRPr="00A4035F">
        <w:rPr>
          <w:rFonts w:ascii="宋体" w:hAnsi="宋体" w:cs="宋体" w:hint="eastAsia"/>
        </w:rPr>
        <w:t>做出实质性判断或保证，也不表明投资于本基金没有风险。</w:t>
      </w:r>
    </w:p>
    <w:p w14:paraId="0070F22A" w14:textId="6C574181" w:rsidR="003F75AE" w:rsidRDefault="003F75AE" w:rsidP="003F75AE">
      <w:pPr>
        <w:snapToGrid w:val="0"/>
        <w:spacing w:line="360" w:lineRule="auto"/>
        <w:ind w:firstLineChars="200" w:firstLine="420"/>
        <w:rPr>
          <w:rFonts w:ascii="宋体" w:hAnsi="宋体" w:cs="宋体"/>
        </w:rPr>
      </w:pPr>
      <w:r w:rsidRPr="00A4035F">
        <w:rPr>
          <w:rFonts w:ascii="宋体" w:hAnsi="宋体" w:cs="宋体"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w:t>
      </w:r>
      <w:r w:rsidR="00604DAC">
        <w:rPr>
          <w:rFonts w:ascii="宋体" w:hAnsi="宋体" w:cs="宋体" w:hint="eastAsia"/>
        </w:rPr>
        <w:t>，其他风险</w:t>
      </w:r>
      <w:r w:rsidR="00C0383C">
        <w:rPr>
          <w:rFonts w:ascii="宋体" w:hAnsi="宋体" w:cs="宋体" w:hint="eastAsia"/>
        </w:rPr>
        <w:t>，</w:t>
      </w:r>
      <w:r w:rsidR="00C0383C" w:rsidRPr="00C0383C">
        <w:rPr>
          <w:rFonts w:ascii="宋体" w:hAnsi="宋体" w:cs="宋体" w:hint="eastAsia"/>
        </w:rPr>
        <w:t>基金风险评价不一致的风险</w:t>
      </w:r>
      <w:r w:rsidR="003D2DD3">
        <w:rPr>
          <w:rFonts w:ascii="宋体" w:hAnsi="宋体" w:cs="宋体" w:hint="eastAsia"/>
        </w:rPr>
        <w:t>等</w:t>
      </w:r>
      <w:r w:rsidR="00C0383C">
        <w:rPr>
          <w:rFonts w:ascii="宋体" w:hAnsi="宋体" w:cs="宋体" w:hint="eastAsia"/>
        </w:rPr>
        <w:t>。基金投资中出现的各类风险</w:t>
      </w:r>
      <w:r w:rsidRPr="00A4035F">
        <w:rPr>
          <w:rFonts w:ascii="宋体" w:hAnsi="宋体" w:cs="宋体" w:hint="eastAsia"/>
        </w:rPr>
        <w:t>详见招募说明书“风险揭示”章节等。</w:t>
      </w:r>
      <w:r w:rsidR="000C66E2" w:rsidRPr="004E695A">
        <w:rPr>
          <w:rFonts w:ascii="宋体" w:hAnsi="宋体" w:cs="宋体" w:hint="eastAsia"/>
        </w:rPr>
        <w:t>本基金为</w:t>
      </w:r>
      <w:proofErr w:type="gramStart"/>
      <w:r w:rsidR="005E4EB9">
        <w:rPr>
          <w:rFonts w:ascii="宋体" w:hAnsi="宋体" w:cs="宋体" w:hint="eastAsia"/>
        </w:rPr>
        <w:t>南方标普中国</w:t>
      </w:r>
      <w:proofErr w:type="gramEnd"/>
      <w:r w:rsidR="005E4EB9">
        <w:rPr>
          <w:rFonts w:ascii="宋体" w:hAnsi="宋体" w:cs="宋体" w:hint="eastAsia"/>
        </w:rPr>
        <w:t>A股大盘</w:t>
      </w:r>
      <w:proofErr w:type="gramStart"/>
      <w:r w:rsidR="005E4EB9">
        <w:rPr>
          <w:rFonts w:ascii="宋体" w:hAnsi="宋体" w:cs="宋体" w:hint="eastAsia"/>
        </w:rPr>
        <w:t>红利低</w:t>
      </w:r>
      <w:proofErr w:type="gramEnd"/>
      <w:r w:rsidR="005E4EB9">
        <w:rPr>
          <w:rFonts w:ascii="宋体" w:hAnsi="宋体" w:cs="宋体" w:hint="eastAsia"/>
        </w:rPr>
        <w:t>波50交易型开放式指数证券投资基金</w:t>
      </w:r>
      <w:r w:rsidR="000C66E2" w:rsidRPr="004E695A">
        <w:rPr>
          <w:rFonts w:ascii="宋体" w:hAnsi="宋体" w:cs="宋体" w:hint="eastAsia"/>
        </w:rPr>
        <w:t>（简“</w:t>
      </w:r>
      <w:r w:rsidR="000C66E2" w:rsidRPr="004E695A">
        <w:rPr>
          <w:rFonts w:ascii="宋体" w:hAnsi="宋体" w:cs="宋体"/>
        </w:rPr>
        <w:t>目标</w:t>
      </w:r>
      <w:r w:rsidR="000C66E2" w:rsidRPr="004E695A">
        <w:rPr>
          <w:rFonts w:ascii="宋体" w:hAnsi="宋体" w:cs="宋体" w:hint="eastAsia"/>
        </w:rPr>
        <w:t>ETF</w:t>
      </w:r>
      <w:r w:rsidR="000C66E2" w:rsidRPr="004E695A">
        <w:rPr>
          <w:rFonts w:ascii="宋体" w:hAnsi="宋体" w:cs="宋体"/>
        </w:rPr>
        <w:t>”）</w:t>
      </w:r>
      <w:r w:rsidR="000C66E2" w:rsidRPr="004E695A">
        <w:rPr>
          <w:rFonts w:ascii="宋体" w:hAnsi="宋体" w:cs="宋体" w:hint="eastAsia"/>
        </w:rPr>
        <w:t>的ETF联接基金，通过投资于目标ETF跟踪标的指数表现，具有与标的指数以及标的指数所代表的证券市场相似的风险收益特征。</w:t>
      </w:r>
      <w:r w:rsidRPr="00A4035F">
        <w:rPr>
          <w:rFonts w:ascii="宋体" w:hAnsi="宋体" w:cs="宋体" w:hint="eastAsia"/>
        </w:rPr>
        <w:t>投资有风险，投资人认购（或申购）基金时应认真阅读本基金的《招募说明书》及《基金合同》</w:t>
      </w:r>
      <w:r w:rsidR="000C66E2">
        <w:rPr>
          <w:rFonts w:ascii="宋体" w:hAnsi="宋体" w:cs="宋体" w:hint="eastAsia"/>
        </w:rPr>
        <w:t>，</w:t>
      </w:r>
      <w:r w:rsidR="000C66E2" w:rsidRPr="00EB11AD">
        <w:rPr>
          <w:rFonts w:ascii="宋体" w:hAnsi="宋体" w:cs="宋体" w:hint="eastAsia"/>
        </w:rPr>
        <w:t>全面认识本基金的风险收益特征和产品特性，并充分考虑自身的风险承受能力，理性判断市场，谨慎做出投资决策</w:t>
      </w:r>
      <w:r w:rsidRPr="00A4035F">
        <w:rPr>
          <w:rFonts w:ascii="宋体" w:hAnsi="宋体" w:cs="宋体" w:hint="eastAsia"/>
        </w:rPr>
        <w:t>。</w:t>
      </w:r>
    </w:p>
    <w:p w14:paraId="24384AA2" w14:textId="072EED4B" w:rsidR="00BD398A" w:rsidRPr="00A4035F" w:rsidRDefault="00BD398A" w:rsidP="003F75AE">
      <w:pPr>
        <w:snapToGrid w:val="0"/>
        <w:spacing w:line="360" w:lineRule="auto"/>
        <w:ind w:firstLineChars="200" w:firstLine="420"/>
        <w:rPr>
          <w:rFonts w:ascii="宋体" w:cs="Times New Roman"/>
        </w:rPr>
      </w:pPr>
      <w:r w:rsidRPr="00BD398A">
        <w:rPr>
          <w:rFonts w:ascii="宋体" w:cs="Times New Roman" w:hint="eastAsia"/>
        </w:rPr>
        <w:t>本基金可根据法律法规和基金合同的约定参与转融通证券出借业务，可能存在流动性风险、市场风险和信用</w:t>
      </w:r>
      <w:proofErr w:type="gramStart"/>
      <w:r w:rsidRPr="00BD398A">
        <w:rPr>
          <w:rFonts w:ascii="宋体" w:cs="Times New Roman" w:hint="eastAsia"/>
        </w:rPr>
        <w:t>风险等转融通</w:t>
      </w:r>
      <w:proofErr w:type="gramEnd"/>
      <w:r w:rsidRPr="00BD398A">
        <w:rPr>
          <w:rFonts w:ascii="宋体" w:cs="Times New Roman" w:hint="eastAsia"/>
        </w:rPr>
        <w:t>业务特有风险。</w:t>
      </w:r>
    </w:p>
    <w:p w14:paraId="0806D734" w14:textId="08775D08" w:rsidR="003F75AE" w:rsidRPr="00A4035F" w:rsidRDefault="003F75AE" w:rsidP="003F75AE">
      <w:pPr>
        <w:numPr>
          <w:ilvl w:val="12"/>
          <w:numId w:val="0"/>
        </w:numPr>
        <w:snapToGrid w:val="0"/>
        <w:spacing w:line="360" w:lineRule="auto"/>
        <w:ind w:firstLineChars="196" w:firstLine="412"/>
        <w:rPr>
          <w:rFonts w:ascii="宋体" w:cs="Times New Roman"/>
        </w:rPr>
      </w:pPr>
      <w:r w:rsidRPr="00A4035F">
        <w:rPr>
          <w:rFonts w:ascii="宋体" w:hAnsi="宋体" w:cs="宋体" w:hint="eastAsia"/>
        </w:rPr>
        <w:t>基金的过往业绩并不预示其未来表现</w:t>
      </w:r>
      <w:r w:rsidR="000C66E2">
        <w:rPr>
          <w:rFonts w:ascii="宋体" w:hAnsi="宋体" w:cs="宋体" w:hint="eastAsia"/>
        </w:rPr>
        <w:t>，</w:t>
      </w:r>
      <w:r w:rsidR="000C66E2" w:rsidRPr="004E695A">
        <w:rPr>
          <w:rFonts w:ascii="宋体" w:hAnsi="宋体" w:cs="宋体" w:hint="eastAsia"/>
        </w:rPr>
        <w:t>基金管理人管理的其他基金的业绩也不构成对本基金业绩表现的保证。基金管理人提醒投资人基金投资的“买者自负”原则，在</w:t>
      </w:r>
      <w:proofErr w:type="gramStart"/>
      <w:r w:rsidR="000C66E2" w:rsidRPr="004E695A">
        <w:rPr>
          <w:rFonts w:ascii="宋体" w:hAnsi="宋体" w:cs="宋体" w:hint="eastAsia"/>
        </w:rPr>
        <w:t>作出</w:t>
      </w:r>
      <w:proofErr w:type="gramEnd"/>
      <w:r w:rsidR="000C66E2" w:rsidRPr="004E695A">
        <w:rPr>
          <w:rFonts w:ascii="宋体" w:hAnsi="宋体" w:cs="宋体" w:hint="eastAsia"/>
        </w:rPr>
        <w:t>投资决策后，基金运营状况与基金净值变化引致的投资风险，由投资人自行负担</w:t>
      </w:r>
      <w:r w:rsidRPr="00A4035F">
        <w:rPr>
          <w:rFonts w:ascii="宋体" w:hAnsi="宋体" w:cs="宋体" w:hint="eastAsia"/>
        </w:rPr>
        <w:t>。</w:t>
      </w:r>
    </w:p>
    <w:p w14:paraId="097AA43C" w14:textId="77777777" w:rsidR="003F75AE" w:rsidRDefault="003F75AE" w:rsidP="003F75AE">
      <w:pPr>
        <w:numPr>
          <w:ilvl w:val="12"/>
          <w:numId w:val="0"/>
        </w:numPr>
        <w:snapToGrid w:val="0"/>
        <w:spacing w:line="360" w:lineRule="auto"/>
        <w:ind w:firstLineChars="196" w:firstLine="412"/>
        <w:rPr>
          <w:rFonts w:cs="宋体"/>
        </w:rPr>
      </w:pPr>
      <w:r w:rsidRPr="00A4035F">
        <w:rPr>
          <w:rFonts w:ascii="宋体" w:hAnsi="宋体" w:cs="宋体" w:hint="eastAsia"/>
        </w:rPr>
        <w:t>基金管理人依照恪尽职守、诚实信用、谨慎勤勉的原则管理和运用基金资产，但不保证基金一定盈利，也不保证最低收益。</w:t>
      </w:r>
      <w:r w:rsidRPr="00A4035F">
        <w:rPr>
          <w:rFonts w:cs="宋体" w:hint="eastAsia"/>
        </w:rPr>
        <w:t>投资人应当认真阅读基金合同、基金招募说明书等信息披露文件，自主判断基金的投资价值，自主做出投资决策，自行承担投资风险。</w:t>
      </w:r>
    </w:p>
    <w:p w14:paraId="3267F3A2" w14:textId="77777777" w:rsidR="00916CB2" w:rsidRPr="00A4035F" w:rsidRDefault="00916CB2" w:rsidP="003F75AE">
      <w:pPr>
        <w:numPr>
          <w:ilvl w:val="12"/>
          <w:numId w:val="0"/>
        </w:numPr>
        <w:snapToGrid w:val="0"/>
        <w:spacing w:line="360" w:lineRule="auto"/>
        <w:ind w:firstLineChars="196" w:firstLine="412"/>
        <w:rPr>
          <w:rFonts w:ascii="宋体" w:cs="Times New Roman"/>
        </w:rPr>
      </w:pPr>
    </w:p>
    <w:p w14:paraId="40FB5592" w14:textId="77777777" w:rsidR="003F75AE" w:rsidRPr="00A4035F" w:rsidRDefault="003F75AE">
      <w:pPr>
        <w:widowControl/>
        <w:jc w:val="left"/>
        <w:rPr>
          <w:rFonts w:ascii="宋体" w:cs="Times New Roman"/>
        </w:rPr>
      </w:pPr>
      <w:r w:rsidRPr="00A4035F">
        <w:rPr>
          <w:rFonts w:ascii="宋体" w:cs="Times New Roman"/>
        </w:rPr>
        <w:br w:type="page"/>
      </w:r>
    </w:p>
    <w:p w14:paraId="050E93FA"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3" w:name="_Toc416453840"/>
      <w:bookmarkStart w:id="14" w:name="_Toc360793493"/>
      <w:bookmarkStart w:id="15" w:name="_Toc362455178"/>
      <w:bookmarkStart w:id="16" w:name="_Toc350789211"/>
      <w:bookmarkStart w:id="17" w:name="_Toc360793845"/>
      <w:bookmarkStart w:id="18" w:name="_Toc215629791"/>
      <w:bookmarkStart w:id="19" w:name="_Toc362533450"/>
      <w:bookmarkStart w:id="20" w:name="_Toc360794403"/>
      <w:bookmarkStart w:id="21" w:name="_Toc360794511"/>
      <w:bookmarkStart w:id="22" w:name="_Toc360794095"/>
      <w:bookmarkStart w:id="23" w:name="_Toc79132642"/>
      <w:bookmarkStart w:id="24" w:name="_Toc80103054"/>
      <w:bookmarkStart w:id="25" w:name="_Toc73936074"/>
      <w:bookmarkStart w:id="26" w:name="_Toc4917378"/>
      <w:bookmarkStart w:id="27" w:name="_Toc454720091"/>
      <w:bookmarkStart w:id="28" w:name="_Toc10604981"/>
      <w:r w:rsidRPr="00A4035F">
        <w:rPr>
          <w:rFonts w:ascii="宋体" w:eastAsia="宋体" w:hAnsi="宋体" w:cs="宋体" w:hint="eastAsia"/>
        </w:rPr>
        <w:lastRenderedPageBreak/>
        <w:t>绪言</w:t>
      </w:r>
      <w:bookmarkEnd w:id="13"/>
      <w:bookmarkEnd w:id="14"/>
      <w:bookmarkEnd w:id="15"/>
      <w:bookmarkEnd w:id="16"/>
      <w:bookmarkEnd w:id="17"/>
      <w:bookmarkEnd w:id="18"/>
      <w:bookmarkEnd w:id="19"/>
      <w:bookmarkEnd w:id="20"/>
      <w:bookmarkEnd w:id="21"/>
      <w:bookmarkEnd w:id="22"/>
    </w:p>
    <w:bookmarkEnd w:id="23"/>
    <w:bookmarkEnd w:id="24"/>
    <w:bookmarkEnd w:id="25"/>
    <w:p w14:paraId="1B4F9605" w14:textId="77777777" w:rsidR="003F75AE" w:rsidRPr="00A4035F" w:rsidRDefault="003F75AE">
      <w:pPr>
        <w:adjustRightInd w:val="0"/>
        <w:snapToGrid w:val="0"/>
        <w:spacing w:line="360" w:lineRule="auto"/>
        <w:ind w:firstLine="539"/>
        <w:rPr>
          <w:rFonts w:ascii="宋体" w:cs="Times New Roman"/>
          <w:color w:val="000000"/>
        </w:rPr>
      </w:pPr>
    </w:p>
    <w:p w14:paraId="573AFA22" w14:textId="33D4B49D" w:rsidR="003F75AE" w:rsidRPr="00A4035F" w:rsidRDefault="0084479D" w:rsidP="003F75AE">
      <w:pPr>
        <w:adjustRightInd w:val="0"/>
        <w:snapToGrid w:val="0"/>
        <w:spacing w:line="360" w:lineRule="auto"/>
        <w:ind w:firstLineChars="200" w:firstLine="420"/>
        <w:rPr>
          <w:rFonts w:ascii="宋体" w:cs="Times New Roman"/>
          <w:color w:val="000000"/>
        </w:rPr>
      </w:pPr>
      <w:r w:rsidRPr="0084479D">
        <w:rPr>
          <w:rFonts w:ascii="宋体" w:hAnsi="宋体" w:cs="宋体" w:hint="eastAsia"/>
          <w:color w:val="000000"/>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 、《公开募集开放式证券投资基金流动性风险管理规定》（以下简称“《流动性风险管理规定》”）</w:t>
      </w:r>
      <w:r w:rsidR="00911F06" w:rsidRPr="00911F06">
        <w:rPr>
          <w:rFonts w:ascii="宋体" w:hAnsi="宋体" w:cs="宋体" w:hint="eastAsia"/>
          <w:color w:val="000000"/>
        </w:rPr>
        <w:t>、《公开募集证券投资基金运作指引第2号——基金中基金指引》</w:t>
      </w:r>
      <w:r w:rsidRPr="0084479D">
        <w:rPr>
          <w:rFonts w:ascii="宋体" w:hAnsi="宋体" w:cs="宋体" w:hint="eastAsia"/>
          <w:color w:val="000000"/>
        </w:rPr>
        <w:t>和其他有关法律法规，</w:t>
      </w:r>
      <w:r w:rsidR="003F75AE" w:rsidRPr="00A4035F">
        <w:rPr>
          <w:rFonts w:ascii="宋体" w:hAnsi="宋体" w:cs="宋体" w:hint="eastAsia"/>
          <w:color w:val="000000"/>
        </w:rPr>
        <w:t>以及</w:t>
      </w:r>
      <w:r w:rsidR="004A043F" w:rsidRPr="00A4035F">
        <w:rPr>
          <w:rFonts w:ascii="宋体" w:hAnsi="宋体" w:cs="宋体" w:hint="eastAsia"/>
        </w:rPr>
        <w:t>《</w:t>
      </w:r>
      <w:r w:rsidR="005E4EB9">
        <w:rPr>
          <w:rFonts w:ascii="宋体" w:hAnsi="宋体" w:hint="eastAsia"/>
          <w:bCs/>
        </w:rPr>
        <w:t>南方标普中国A股大盘红利低波50交易型开放式指数证券投资基金联接基金</w:t>
      </w:r>
      <w:r w:rsidR="003F75AE" w:rsidRPr="00A4035F">
        <w:rPr>
          <w:rFonts w:ascii="宋体" w:hAnsi="宋体" w:cs="宋体" w:hint="eastAsia"/>
        </w:rPr>
        <w:t>基金合同</w:t>
      </w:r>
      <w:r w:rsidR="003F75AE" w:rsidRPr="00A4035F">
        <w:rPr>
          <w:rFonts w:ascii="宋体" w:hAnsi="宋体" w:cs="宋体" w:hint="eastAsia"/>
          <w:color w:val="000000"/>
        </w:rPr>
        <w:t>》编写。</w:t>
      </w:r>
    </w:p>
    <w:p w14:paraId="0C9ACCA9" w14:textId="0BD194E6" w:rsidR="003F75AE" w:rsidRPr="00A4035F" w:rsidRDefault="003F75AE" w:rsidP="003F75AE">
      <w:pPr>
        <w:adjustRightInd w:val="0"/>
        <w:snapToGrid w:val="0"/>
        <w:spacing w:line="360" w:lineRule="auto"/>
        <w:ind w:firstLineChars="200" w:firstLine="420"/>
        <w:rPr>
          <w:rFonts w:ascii="宋体" w:cs="Times New Roman"/>
          <w:color w:val="000000"/>
        </w:rPr>
      </w:pPr>
      <w:r w:rsidRPr="00A4035F">
        <w:rPr>
          <w:rFonts w:ascii="宋体" w:hAnsi="宋体" w:cs="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2F7DE1">
        <w:rPr>
          <w:rFonts w:ascii="宋体" w:cs="宋体"/>
        </w:rPr>
        <w:t>，</w:t>
      </w:r>
      <w:r w:rsidRPr="00A4035F">
        <w:rPr>
          <w:rFonts w:ascii="宋体" w:hAnsi="宋体" w:cs="宋体" w:hint="eastAsia"/>
        </w:rPr>
        <w:t>或对本招募说明书作任何解释或者说明</w:t>
      </w:r>
      <w:r w:rsidRPr="00A4035F">
        <w:rPr>
          <w:rFonts w:ascii="宋体" w:hAnsi="宋体" w:cs="宋体" w:hint="eastAsia"/>
          <w:color w:val="000000"/>
        </w:rPr>
        <w:t>。</w:t>
      </w:r>
    </w:p>
    <w:p w14:paraId="29AA2EDC" w14:textId="77777777" w:rsidR="003F75AE" w:rsidRDefault="003F75AE" w:rsidP="003F75AE">
      <w:pPr>
        <w:adjustRightInd w:val="0"/>
        <w:snapToGrid w:val="0"/>
        <w:spacing w:line="360" w:lineRule="auto"/>
        <w:ind w:firstLineChars="200" w:firstLine="420"/>
        <w:rPr>
          <w:rFonts w:ascii="宋体" w:hAnsi="宋体" w:cs="宋体"/>
          <w:color w:val="000000"/>
        </w:rPr>
      </w:pPr>
      <w:r w:rsidRPr="00A4035F">
        <w:rPr>
          <w:rFonts w:ascii="宋体" w:hAnsi="宋体" w:cs="宋体" w:hint="eastAsia"/>
        </w:rPr>
        <w:t>本招募说明书根据本基金的基金合同编写，并经中国证监会注册。基金合同是约定基金当事人之间权利、义务的法律文件。基金</w:t>
      </w:r>
      <w:proofErr w:type="gramStart"/>
      <w:r w:rsidRPr="00A4035F">
        <w:rPr>
          <w:rFonts w:ascii="宋体" w:hAnsi="宋体" w:cs="宋体" w:hint="eastAsia"/>
        </w:rPr>
        <w:t>投资人自依基金</w:t>
      </w:r>
      <w:proofErr w:type="gramEnd"/>
      <w:r w:rsidRPr="00A4035F">
        <w:rPr>
          <w:rFonts w:ascii="宋体" w:hAnsi="宋体" w:cs="宋体" w:hint="eastAsia"/>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4035F">
        <w:rPr>
          <w:rFonts w:ascii="宋体" w:hAnsi="宋体" w:cs="宋体" w:hint="eastAsia"/>
          <w:color w:val="000000"/>
        </w:rPr>
        <w:t>。</w:t>
      </w:r>
    </w:p>
    <w:p w14:paraId="224FA739" w14:textId="50A71EEE" w:rsidR="00916CB2" w:rsidRPr="00A4035F" w:rsidRDefault="00916CB2" w:rsidP="003F75AE">
      <w:pPr>
        <w:adjustRightInd w:val="0"/>
        <w:snapToGrid w:val="0"/>
        <w:spacing w:line="360" w:lineRule="auto"/>
        <w:ind w:firstLineChars="200" w:firstLine="420"/>
        <w:rPr>
          <w:rFonts w:ascii="宋体" w:cs="Times New Roman"/>
          <w:color w:val="000000"/>
        </w:rPr>
      </w:pPr>
      <w:r w:rsidRPr="00916CB2">
        <w:rPr>
          <w:rFonts w:ascii="宋体" w:cs="Times New Roman" w:hint="eastAsia"/>
          <w:color w:val="000000"/>
        </w:rPr>
        <w:t>本基金按照中国法律法规成立并运作，</w:t>
      </w:r>
      <w:proofErr w:type="gramStart"/>
      <w:r w:rsidRPr="00916CB2">
        <w:rPr>
          <w:rFonts w:ascii="宋体" w:cs="Times New Roman" w:hint="eastAsia"/>
          <w:color w:val="000000"/>
        </w:rPr>
        <w:t>若基金</w:t>
      </w:r>
      <w:proofErr w:type="gramEnd"/>
      <w:r w:rsidRPr="00916CB2">
        <w:rPr>
          <w:rFonts w:ascii="宋体" w:cs="Times New Roman" w:hint="eastAsia"/>
          <w:color w:val="000000"/>
        </w:rPr>
        <w:t>合同、招募说明书的内容与届时有效的法律法规的强制性规定不一致，应当以届时有效的法律法规的规定为准。</w:t>
      </w:r>
    </w:p>
    <w:p w14:paraId="00D481FF" w14:textId="77777777" w:rsidR="003F75AE" w:rsidRPr="00A4035F" w:rsidRDefault="003F75AE" w:rsidP="003F75AE">
      <w:pPr>
        <w:snapToGrid w:val="0"/>
        <w:spacing w:line="360" w:lineRule="auto"/>
        <w:ind w:firstLineChars="200" w:firstLine="420"/>
        <w:rPr>
          <w:rFonts w:ascii="宋体" w:cs="Times New Roman"/>
          <w:color w:val="000000"/>
        </w:rPr>
      </w:pPr>
    </w:p>
    <w:p w14:paraId="738BBF78" w14:textId="77777777" w:rsidR="003F75AE" w:rsidRPr="00A4035F" w:rsidRDefault="003F75AE">
      <w:pPr>
        <w:pStyle w:val="afff0"/>
        <w:snapToGrid w:val="0"/>
        <w:spacing w:line="360" w:lineRule="auto"/>
        <w:ind w:firstLineChars="200"/>
        <w:rPr>
          <w:rFonts w:ascii="宋体"/>
          <w:color w:val="000000"/>
        </w:rPr>
      </w:pPr>
      <w:r w:rsidRPr="00A4035F">
        <w:rPr>
          <w:rFonts w:ascii="宋体"/>
          <w:color w:val="000000"/>
        </w:rPr>
        <w:br w:type="page"/>
      </w:r>
    </w:p>
    <w:p w14:paraId="533D4266"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29" w:name="_Toc416453841"/>
      <w:bookmarkStart w:id="30" w:name="_Toc360794404"/>
      <w:bookmarkStart w:id="31" w:name="_Toc360794096"/>
      <w:bookmarkStart w:id="32" w:name="_Toc360793846"/>
      <w:bookmarkStart w:id="33" w:name="_Toc362455179"/>
      <w:bookmarkStart w:id="34" w:name="_Toc360793494"/>
      <w:bookmarkStart w:id="35" w:name="_Toc360794512"/>
      <w:bookmarkStart w:id="36" w:name="_Toc362533451"/>
      <w:r w:rsidRPr="00A4035F">
        <w:rPr>
          <w:rFonts w:ascii="宋体" w:eastAsia="宋体" w:hAnsi="宋体" w:cs="宋体" w:hint="eastAsia"/>
        </w:rPr>
        <w:lastRenderedPageBreak/>
        <w:t>释义</w:t>
      </w:r>
      <w:bookmarkEnd w:id="29"/>
      <w:bookmarkEnd w:id="30"/>
      <w:bookmarkEnd w:id="31"/>
      <w:bookmarkEnd w:id="32"/>
      <w:bookmarkEnd w:id="33"/>
      <w:bookmarkEnd w:id="34"/>
      <w:bookmarkEnd w:id="35"/>
      <w:bookmarkEnd w:id="36"/>
    </w:p>
    <w:p w14:paraId="70292655" w14:textId="77777777" w:rsidR="003F75AE" w:rsidRPr="00A4035F" w:rsidRDefault="003F75AE" w:rsidP="003F75AE">
      <w:pPr>
        <w:snapToGrid w:val="0"/>
        <w:spacing w:line="360" w:lineRule="auto"/>
        <w:ind w:firstLineChars="200" w:firstLine="420"/>
        <w:rPr>
          <w:rFonts w:ascii="宋体" w:cs="Times New Roman"/>
          <w:color w:val="000000"/>
        </w:rPr>
      </w:pPr>
    </w:p>
    <w:p w14:paraId="75B07E91" w14:textId="77777777" w:rsidR="003F75AE" w:rsidRPr="00A4035F" w:rsidRDefault="003F75AE" w:rsidP="003F75AE">
      <w:pPr>
        <w:snapToGrid w:val="0"/>
        <w:spacing w:line="360" w:lineRule="auto"/>
        <w:ind w:firstLineChars="200" w:firstLine="420"/>
        <w:rPr>
          <w:rFonts w:ascii="宋体" w:cs="Times New Roman"/>
        </w:rPr>
      </w:pPr>
      <w:bookmarkStart w:id="37" w:name="_Hlk496537677"/>
      <w:r w:rsidRPr="00A4035F">
        <w:rPr>
          <w:rFonts w:ascii="宋体" w:hAnsi="宋体" w:cs="宋体" w:hint="eastAsia"/>
        </w:rPr>
        <w:t>在本招募说明书中，除非文意另有所指，下列词语或简称具有如下含义：</w:t>
      </w:r>
    </w:p>
    <w:p w14:paraId="7D2DAD22"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1、基金或本基金：指南</w:t>
      </w:r>
      <w:proofErr w:type="gramStart"/>
      <w:r w:rsidRPr="00242BD3">
        <w:rPr>
          <w:rFonts w:ascii="宋体" w:hAnsi="宋体" w:hint="eastAsia"/>
          <w:bCs/>
        </w:rPr>
        <w:t>方标普中国</w:t>
      </w:r>
      <w:proofErr w:type="gramEnd"/>
      <w:r w:rsidRPr="00242BD3">
        <w:rPr>
          <w:rFonts w:ascii="宋体" w:hAnsi="宋体" w:hint="eastAsia"/>
          <w:bCs/>
        </w:rPr>
        <w:t>A股大盘</w:t>
      </w:r>
      <w:proofErr w:type="gramStart"/>
      <w:r w:rsidRPr="00242BD3">
        <w:rPr>
          <w:rFonts w:ascii="宋体" w:hAnsi="宋体" w:hint="eastAsia"/>
          <w:bCs/>
        </w:rPr>
        <w:t>红利低</w:t>
      </w:r>
      <w:proofErr w:type="gramEnd"/>
      <w:r w:rsidRPr="00242BD3">
        <w:rPr>
          <w:rFonts w:ascii="宋体" w:hAnsi="宋体" w:hint="eastAsia"/>
          <w:bCs/>
        </w:rPr>
        <w:t>波50交易型开放式指数证券投资基金联接基金</w:t>
      </w:r>
    </w:p>
    <w:p w14:paraId="5C57DE72"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2、基金管理人：指南</w:t>
      </w:r>
      <w:proofErr w:type="gramStart"/>
      <w:r w:rsidRPr="00242BD3">
        <w:rPr>
          <w:rFonts w:ascii="宋体" w:hAnsi="宋体" w:hint="eastAsia"/>
          <w:bCs/>
        </w:rPr>
        <w:t>方基金</w:t>
      </w:r>
      <w:proofErr w:type="gramEnd"/>
      <w:r w:rsidRPr="00242BD3">
        <w:rPr>
          <w:rFonts w:ascii="宋体" w:hAnsi="宋体" w:hint="eastAsia"/>
          <w:bCs/>
        </w:rPr>
        <w:t>管理股份有限公司</w:t>
      </w:r>
    </w:p>
    <w:p w14:paraId="31FDA73D"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3、基金托管人：指中国农业银行股份有限公司</w:t>
      </w:r>
    </w:p>
    <w:p w14:paraId="6B05913F" w14:textId="4B2425AA"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4、基金合同：指《南方标普中国A股大盘红利低波50交易型开放式指数证券投资基金联接基金基金合同》及对本基金合同的任何有效修订和补充</w:t>
      </w:r>
    </w:p>
    <w:p w14:paraId="4FA1FFAB"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5、托管协议：指基金管理人与基金托管人就本基金签订之《南方标普中国A股大盘红利低波50交易型开放式指数证券投资基金联接基金托管协议》及对该托管协议的任何有效修订和补充</w:t>
      </w:r>
    </w:p>
    <w:p w14:paraId="14DA1E9D" w14:textId="6ADA7E98"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6、招募说明书或本</w:t>
      </w:r>
      <w:r>
        <w:rPr>
          <w:rFonts w:ascii="宋体" w:hAnsi="宋体" w:hint="eastAsia"/>
          <w:bCs/>
        </w:rPr>
        <w:t>招募说明书</w:t>
      </w:r>
      <w:r w:rsidRPr="00242BD3">
        <w:rPr>
          <w:rFonts w:ascii="宋体" w:hAnsi="宋体" w:hint="eastAsia"/>
          <w:bCs/>
        </w:rPr>
        <w:t>：指《南方标普中国A股大盘红利低波50交易型开放式指数证券投资基金联接基金招募说明书》及其更新</w:t>
      </w:r>
    </w:p>
    <w:p w14:paraId="0ED51832"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7、基金产品资料概要：指《南方标普中国A股大盘红利低波50交易型开放式指数证券投资基金联接基金基金产品资料概要》及其更新</w:t>
      </w:r>
    </w:p>
    <w:p w14:paraId="200E019E"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8、基金份额发售公告：指《南方标普中国A股大盘红利低波50交易型开放式指数证券投资基金联接基金基金份额发售公告》</w:t>
      </w:r>
    </w:p>
    <w:p w14:paraId="5460E0DD"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9、法律法规：指中国现行有效并公布实施的法律、行政法规、规范性文件、司法解释、行政规章以及其他对基金合同当事人有约束力的决定、决议、通知等</w:t>
      </w:r>
    </w:p>
    <w:p w14:paraId="239F6FA7"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368B2CB0"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11、《销售办法》：指中国证监会2013年3月15日颁布、同年6月1日实施的《证券投资基金销售管理办法》及颁布机关对其不时做出的修订</w:t>
      </w:r>
    </w:p>
    <w:p w14:paraId="143E3FAC"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12、《信息披露办法》：指中国证监会2019年7月26日颁布、同年9月1日实施的《公开募集证券投资基金信息披露管理办法》及颁布机关对其不时做出的修订</w:t>
      </w:r>
    </w:p>
    <w:p w14:paraId="331D53E5"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13、《运作办法》：指中国证监会2014年7月7日颁布、同年8月8日实施的《公开募集证券投资基金运作管理办法》及颁布机关对其不时做出的修订</w:t>
      </w:r>
    </w:p>
    <w:p w14:paraId="07284AB1"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14、《流动性风险管理规定》：指中国证监会2017年8月31日颁布、同年10月1日实施的《公开募集开放式证券投资基金流动性风险管理规定》及颁布机关对其不时做出的修订</w:t>
      </w:r>
    </w:p>
    <w:p w14:paraId="2FC61B41"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lastRenderedPageBreak/>
        <w:t>15、中国证监会：指中国证券监督管理委员会</w:t>
      </w:r>
    </w:p>
    <w:p w14:paraId="5E1053DE"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16、银行业监督管理机构：指中国人民银行和/或中国银行保险监督管理委员会</w:t>
      </w:r>
    </w:p>
    <w:p w14:paraId="336E61E3"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17、基金合同当事人：指受基金合同约束，根据基金合同享有权利并承担义务的法律主体，包括基金管理人、基金托管人和基金份额持有人</w:t>
      </w:r>
    </w:p>
    <w:p w14:paraId="2CAE0D12"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18、个人投资者：指依据有关法律法规规定可投资于证券投资基金的自然人</w:t>
      </w:r>
    </w:p>
    <w:p w14:paraId="2C382995"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19、机构投资者：指依法可以投资证券投资基金的、在中华人民共和国境内合法登记并存续或经有关政府部门批准设立并存续的企业法人、事业法人、社会团体或其他组织</w:t>
      </w:r>
    </w:p>
    <w:p w14:paraId="019FFBE5"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20、合格境外机构投资者：指符合《合格境外机构投资者境内证券投资管理办法》（包括其不时修订）及相关法律法规规定可以投资于中国境内证券市场的中国境外的机构投资者</w:t>
      </w:r>
    </w:p>
    <w:p w14:paraId="718F2D98"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21、人民币合格境外机构投资者：指按照《人民币合格境外机构投资者境内证券投资试点办法》（包括其不时修订）及相关法律法规规定，运用来自境外的人民币资金进行境内证券投资的境外法人</w:t>
      </w:r>
    </w:p>
    <w:p w14:paraId="1CD52346"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22、投资人、投资者：指个人投资者、机构投资者、合格境外机构投资者和人民币合格境外机构投资者以及法律法规或中国证监会允许购买证券投资基金的其他投资人的合称</w:t>
      </w:r>
    </w:p>
    <w:p w14:paraId="37B6E79B"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23、基金份额持有人：指依基金合同和招募说明书合法取得基金份额的投资人</w:t>
      </w:r>
    </w:p>
    <w:p w14:paraId="7EE00178"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24、交易型开放式指数证券投资基金：指《中国证券登记结算有限责任公司关于上海证券交易所交易型开放式基金登记结算业务实施细则》（以下简称“《登记结算业务实施细则》”）定义的“交易型开放式基金”，简称 ETF</w:t>
      </w:r>
    </w:p>
    <w:p w14:paraId="72A54277"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25、ETF联接基金：是指将其绝大部分基金财产投资于跟踪同一标的指数的ETF（以下简称目标ETF），紧密跟踪标的指数表现，追求跟踪偏离度和跟踪误差最小化，采用开放式运作方式的基金，简称联接基金</w:t>
      </w:r>
    </w:p>
    <w:p w14:paraId="48F3C265"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26、基金销售业务：指基金管理人或销售机构宣传推介基金，发售基金份额，办理基金份额的申购、赎回、转换、转托管</w:t>
      </w:r>
      <w:proofErr w:type="gramStart"/>
      <w:r w:rsidRPr="00242BD3">
        <w:rPr>
          <w:rFonts w:ascii="宋体" w:hAnsi="宋体" w:hint="eastAsia"/>
          <w:bCs/>
        </w:rPr>
        <w:t>及定投等</w:t>
      </w:r>
      <w:proofErr w:type="gramEnd"/>
      <w:r w:rsidRPr="00242BD3">
        <w:rPr>
          <w:rFonts w:ascii="宋体" w:hAnsi="宋体" w:hint="eastAsia"/>
          <w:bCs/>
        </w:rPr>
        <w:t>业务。</w:t>
      </w:r>
    </w:p>
    <w:p w14:paraId="4A757D93"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27、销售机构：指南</w:t>
      </w:r>
      <w:proofErr w:type="gramStart"/>
      <w:r w:rsidRPr="00242BD3">
        <w:rPr>
          <w:rFonts w:ascii="宋体" w:hAnsi="宋体" w:hint="eastAsia"/>
          <w:bCs/>
        </w:rPr>
        <w:t>方基金</w:t>
      </w:r>
      <w:proofErr w:type="gramEnd"/>
      <w:r w:rsidRPr="00242BD3">
        <w:rPr>
          <w:rFonts w:ascii="宋体" w:hAnsi="宋体" w:hint="eastAsia"/>
          <w:bCs/>
        </w:rPr>
        <w:t>管理股份有限公司以及符合《销售办法》和中国证监会规定的其他条件，取得基金销售业务资格并与基金管理人签订了基金销售服务协议，办理基金销售业务的机构</w:t>
      </w:r>
    </w:p>
    <w:p w14:paraId="185F44ED"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28、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242BD3">
        <w:rPr>
          <w:rFonts w:ascii="宋体" w:hAnsi="宋体" w:hint="eastAsia"/>
          <w:bCs/>
        </w:rPr>
        <w:t>非交易</w:t>
      </w:r>
      <w:proofErr w:type="gramEnd"/>
      <w:r w:rsidRPr="00242BD3">
        <w:rPr>
          <w:rFonts w:ascii="宋体" w:hAnsi="宋体" w:hint="eastAsia"/>
          <w:bCs/>
        </w:rPr>
        <w:t>过户等</w:t>
      </w:r>
    </w:p>
    <w:p w14:paraId="19E3E761"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29、登记机构：</w:t>
      </w:r>
      <w:proofErr w:type="gramStart"/>
      <w:r w:rsidRPr="00242BD3">
        <w:rPr>
          <w:rFonts w:ascii="宋体" w:hAnsi="宋体" w:hint="eastAsia"/>
          <w:bCs/>
        </w:rPr>
        <w:t>指办理</w:t>
      </w:r>
      <w:proofErr w:type="gramEnd"/>
      <w:r w:rsidRPr="00242BD3">
        <w:rPr>
          <w:rFonts w:ascii="宋体" w:hAnsi="宋体" w:hint="eastAsia"/>
          <w:bCs/>
        </w:rPr>
        <w:t>登记业务的机构。基金的登记机构为南方基金管理股份有限公司或接受南方基金管理股份有限公司委托代为办理登记业务的机构，本基金的登记机构为南方基金管理股份有限公司</w:t>
      </w:r>
    </w:p>
    <w:p w14:paraId="57303F51"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30、基金账户：指登记机构为投资人开立的、记录其持有的、基金管理人所管理的基金份额余额及其变动情况的账户</w:t>
      </w:r>
    </w:p>
    <w:p w14:paraId="70F9E069"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lastRenderedPageBreak/>
        <w:t>31、基金交易账户：指销售机构为投资人开立的、记录投资人通过该销售机构办理基金业务而引起的基金份额变动及结余情况的账户</w:t>
      </w:r>
    </w:p>
    <w:p w14:paraId="3D23221E"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32、基金合同生效日：指基金募集达到法律法规规定及基金合同规定的条件，基金管理人向中国证监会办理基金备案手续完毕，并获得中国证监会书面确认的日期</w:t>
      </w:r>
    </w:p>
    <w:p w14:paraId="07E0AA0D"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33、基金合同终止日：指基金合同规定的基金合同终止事由出现后，基金财产清算完毕，清算结果报中国证监会备案并予以公告的日期</w:t>
      </w:r>
    </w:p>
    <w:p w14:paraId="50E85D55"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34、基金募集期：指自基金份额发售之日起至发售结束之日止的期间，最长不得超过3个月</w:t>
      </w:r>
    </w:p>
    <w:p w14:paraId="7D5170F3"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35、存续期：指基金合同生效至终止之间的不定期期限</w:t>
      </w:r>
    </w:p>
    <w:p w14:paraId="386709C5"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36、工作日：指上海证券交易所、深圳证券交易所的正常交易日</w:t>
      </w:r>
    </w:p>
    <w:p w14:paraId="63EEAF31"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37、T日：指销售机构在规定时间受理投资人申购、赎回或其他业务申请的开放日</w:t>
      </w:r>
    </w:p>
    <w:p w14:paraId="56C3E8D4"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38、</w:t>
      </w:r>
      <w:proofErr w:type="spellStart"/>
      <w:r w:rsidRPr="00242BD3">
        <w:rPr>
          <w:rFonts w:ascii="宋体" w:hAnsi="宋体" w:hint="eastAsia"/>
          <w:bCs/>
        </w:rPr>
        <w:t>T+n</w:t>
      </w:r>
      <w:proofErr w:type="spellEnd"/>
      <w:r w:rsidRPr="00242BD3">
        <w:rPr>
          <w:rFonts w:ascii="宋体" w:hAnsi="宋体" w:hint="eastAsia"/>
          <w:bCs/>
        </w:rPr>
        <w:t>日：指自T日起第n</w:t>
      </w:r>
      <w:proofErr w:type="gramStart"/>
      <w:r w:rsidRPr="00242BD3">
        <w:rPr>
          <w:rFonts w:ascii="宋体" w:hAnsi="宋体" w:hint="eastAsia"/>
          <w:bCs/>
        </w:rPr>
        <w:t>个</w:t>
      </w:r>
      <w:proofErr w:type="gramEnd"/>
      <w:r w:rsidRPr="00242BD3">
        <w:rPr>
          <w:rFonts w:ascii="宋体" w:hAnsi="宋体" w:hint="eastAsia"/>
          <w:bCs/>
        </w:rPr>
        <w:t>工作日(不包含T日) ，n为自然数</w:t>
      </w:r>
    </w:p>
    <w:p w14:paraId="34C7FAC9"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39、开放日：指为投资人办理基金份额申购、赎回或其他业务的工作日</w:t>
      </w:r>
    </w:p>
    <w:p w14:paraId="76ECCED4"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40、开放时间：指开放日基金接受申购、赎回或其他交易的时间段</w:t>
      </w:r>
    </w:p>
    <w:p w14:paraId="75C784BD"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41、《业务规则》：指《南方基金管理股份有限公司开放式基金业务规则》，是规范基金管理人所管理的开放式证券投资基金登记方面的业务规则，由基金管理人和投资人共同遵守</w:t>
      </w:r>
    </w:p>
    <w:p w14:paraId="023C2BE4"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42、认购：指在基金募集期内，投资人根据基金合同、招募说明书和相关公告的规定申请购买基金份额的行为</w:t>
      </w:r>
    </w:p>
    <w:p w14:paraId="596C8C97"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43、申购：指基金合同生效后，投资人根据基金合同、招募说明书和相关公告的规定申请购买基金份额的行为</w:t>
      </w:r>
    </w:p>
    <w:p w14:paraId="345A50A1"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44、赎回：指基金合同生效后，基金份额持有人按基金合同、招募说明书和相关公告规定的条件要求将基金份额兑换为现金的行为</w:t>
      </w:r>
    </w:p>
    <w:p w14:paraId="07D3FDD1"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45、基金转换：指基金份额持有人按照本基金合同和基金管理人届时有效公告规定的条件，申请将其持有基金管理人管理的、某一基金的基金份额转换为基金管理人管理的其他基金份额的行为</w:t>
      </w:r>
    </w:p>
    <w:p w14:paraId="6ABCFFC8"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46、转托管：指基金份额持有人在本基金的不同销售机构之间实施的变更所持基金份额销售机构的操作</w:t>
      </w:r>
    </w:p>
    <w:p w14:paraId="6FAD9915"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47、</w:t>
      </w:r>
      <w:proofErr w:type="gramStart"/>
      <w:r w:rsidRPr="00242BD3">
        <w:rPr>
          <w:rFonts w:ascii="宋体" w:hAnsi="宋体" w:hint="eastAsia"/>
          <w:bCs/>
        </w:rPr>
        <w:t>定投计划</w:t>
      </w:r>
      <w:proofErr w:type="gramEnd"/>
      <w:r w:rsidRPr="00242BD3">
        <w:rPr>
          <w:rFonts w:ascii="宋体" w:hAnsi="宋体" w:hint="eastAsia"/>
          <w:bCs/>
        </w:rPr>
        <w:t>：指投资人通过有关销售机构提出申请，约定每期申购日、扣款金额及扣款方式，由销售机构于每期约定扣款日在投资人指定银行账户内自动完成扣款及受理基金申购申请的一种投资方式</w:t>
      </w:r>
    </w:p>
    <w:p w14:paraId="71D6BD60"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48、巨额赎回：指本基金单个开放日，基金净赎回申请(赎回申请份额总数加上基金转换中转出申请份额总数后扣除申购申请份额总数及基金转换中转入申请份额总数后的余额)超过上一开放日基金总份额的10%</w:t>
      </w:r>
    </w:p>
    <w:p w14:paraId="562C0ABA"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49、元：指人民币元</w:t>
      </w:r>
    </w:p>
    <w:p w14:paraId="72A46F56"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lastRenderedPageBreak/>
        <w:t>50、基金利润：指基金利息收入、投资收益、公允价值变动收益和其他收入扣除相关费用后的余额</w:t>
      </w:r>
    </w:p>
    <w:p w14:paraId="29503A6B"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51、基金资产总值：指基金拥有的各类有价证券、银行存款本息、基金应收申购款及其他资产的价值总和</w:t>
      </w:r>
    </w:p>
    <w:p w14:paraId="05DDDE3C"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52、基金资产净值：指基金资产总值减去基金负债后的价值</w:t>
      </w:r>
    </w:p>
    <w:p w14:paraId="2BA36297"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53、基金份额净值：指计算日基金资产净值除以计算日基金份额总数</w:t>
      </w:r>
    </w:p>
    <w:p w14:paraId="3609F693"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54、基金资产估值：指计算评估基金资产和负债的价值，以确定基金资产净值和基金份额净值的过程</w:t>
      </w:r>
    </w:p>
    <w:p w14:paraId="37453653" w14:textId="6F4FDFBC"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55、</w:t>
      </w:r>
      <w:r w:rsidR="001E4BC7" w:rsidRPr="001E4BC7">
        <w:rPr>
          <w:rFonts w:ascii="宋体" w:hAnsi="宋体" w:hint="eastAsia"/>
          <w:bCs/>
        </w:rPr>
        <w:t>指定媒介：指中国证监会指定的用以进行信息披露的全国性报刊、指定互联网网站（包括基金管理人网站、基金托管人网站、中国证监会基金电子披露网站）及其他媒介</w:t>
      </w:r>
    </w:p>
    <w:p w14:paraId="7541EE95"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56、销售服务费：指从基金财产中计提的，用于本基金市场推广、销售以及基金份额持有人服务的费用</w:t>
      </w:r>
    </w:p>
    <w:p w14:paraId="7D6AC190"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57、A类基金份额：指在投资人认购/申购时收取前端认购/申购费用，且从本类别基金资产净值中不计</w:t>
      </w:r>
      <w:proofErr w:type="gramStart"/>
      <w:r w:rsidRPr="00242BD3">
        <w:rPr>
          <w:rFonts w:ascii="宋体" w:hAnsi="宋体" w:hint="eastAsia"/>
          <w:bCs/>
        </w:rPr>
        <w:t>提销售</w:t>
      </w:r>
      <w:proofErr w:type="gramEnd"/>
      <w:r w:rsidRPr="00242BD3">
        <w:rPr>
          <w:rFonts w:ascii="宋体" w:hAnsi="宋体" w:hint="eastAsia"/>
          <w:bCs/>
        </w:rPr>
        <w:t>服务费的基金份额</w:t>
      </w:r>
    </w:p>
    <w:p w14:paraId="03909FD6"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58、C类基金份额：指从本类别基金资产净值中计</w:t>
      </w:r>
      <w:proofErr w:type="gramStart"/>
      <w:r w:rsidRPr="00242BD3">
        <w:rPr>
          <w:rFonts w:ascii="宋体" w:hAnsi="宋体" w:hint="eastAsia"/>
          <w:bCs/>
        </w:rPr>
        <w:t>提销售</w:t>
      </w:r>
      <w:proofErr w:type="gramEnd"/>
      <w:r w:rsidRPr="00242BD3">
        <w:rPr>
          <w:rFonts w:ascii="宋体" w:hAnsi="宋体" w:hint="eastAsia"/>
          <w:bCs/>
        </w:rPr>
        <w:t>服务费，且不收取认购/申购费用的基金份额</w:t>
      </w:r>
    </w:p>
    <w:p w14:paraId="5E508538"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59、流动性受限资产：指由于法律法规、监管、合同或操作障碍等原因无法以合理价格予以变现的资产，包括但不限于到期日在10个交易日以上的逆回购与银行定期存款（</w:t>
      </w:r>
      <w:proofErr w:type="gramStart"/>
      <w:r w:rsidRPr="00242BD3">
        <w:rPr>
          <w:rFonts w:ascii="宋体" w:hAnsi="宋体" w:hint="eastAsia"/>
          <w:bCs/>
        </w:rPr>
        <w:t>含协议</w:t>
      </w:r>
      <w:proofErr w:type="gramEnd"/>
      <w:r w:rsidRPr="00242BD3">
        <w:rPr>
          <w:rFonts w:ascii="宋体" w:hAnsi="宋体" w:hint="eastAsia"/>
          <w:bCs/>
        </w:rPr>
        <w:t>约定有条件提前支取的银行存款）、停牌股票、流通受限的新股及非公开发行股票、资产支持证券、因发行人债务违约无法进行转让或交易的债券等</w:t>
      </w:r>
    </w:p>
    <w:p w14:paraId="5213A330"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60、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6684D37"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61、转融通证券出借业务：是指基金以一定的费率通过证券交易所综合业务平台向中国证券金融股份有限公司（以下简称证券金融公司）出借证券，证券金融公司到期归还所借证券及相应权益补偿并支付费用的业务</w:t>
      </w:r>
    </w:p>
    <w:p w14:paraId="7A671C94"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62、不可抗力：指本基金合同当事人不能预见、不能避免且不能克服的客观事件。</w:t>
      </w:r>
    </w:p>
    <w:p w14:paraId="60C065A8" w14:textId="77777777" w:rsidR="00242BD3" w:rsidRPr="00242BD3" w:rsidRDefault="00242BD3" w:rsidP="00242BD3">
      <w:pPr>
        <w:snapToGrid w:val="0"/>
        <w:spacing w:line="360" w:lineRule="auto"/>
        <w:ind w:firstLineChars="200" w:firstLine="420"/>
        <w:rPr>
          <w:rFonts w:ascii="宋体" w:hAnsi="宋体"/>
          <w:bCs/>
        </w:rPr>
      </w:pPr>
    </w:p>
    <w:p w14:paraId="5008BCAA" w14:textId="77777777" w:rsidR="00242BD3" w:rsidRPr="00242BD3" w:rsidRDefault="00242BD3" w:rsidP="00242BD3">
      <w:pPr>
        <w:snapToGrid w:val="0"/>
        <w:spacing w:line="360" w:lineRule="auto"/>
        <w:ind w:firstLineChars="200" w:firstLine="420"/>
        <w:rPr>
          <w:rFonts w:ascii="宋体" w:hAnsi="宋体"/>
          <w:bCs/>
        </w:rPr>
      </w:pPr>
      <w:r w:rsidRPr="00242BD3">
        <w:rPr>
          <w:rFonts w:ascii="宋体" w:hAnsi="宋体" w:hint="eastAsia"/>
          <w:bCs/>
        </w:rPr>
        <w:t>以上释义中涉及法律法规、业务规则的内容，法律法规、业务规则修订后，如适用本基金，相关内容以修订后法律法规、业务规则为准。</w:t>
      </w:r>
    </w:p>
    <w:p w14:paraId="41BF2F5A" w14:textId="5B377225" w:rsidR="009A069B" w:rsidRDefault="009A069B" w:rsidP="00242BD3">
      <w:pPr>
        <w:snapToGrid w:val="0"/>
        <w:spacing w:line="360" w:lineRule="auto"/>
        <w:ind w:firstLineChars="200" w:firstLine="420"/>
        <w:rPr>
          <w:rFonts w:ascii="宋体" w:hAnsi="宋体"/>
          <w:bCs/>
        </w:rPr>
      </w:pPr>
    </w:p>
    <w:bookmarkEnd w:id="37"/>
    <w:p w14:paraId="6626E1D9" w14:textId="77777777" w:rsidR="003F75AE" w:rsidRPr="00A4035F" w:rsidRDefault="003F75AE" w:rsidP="003F75AE">
      <w:pPr>
        <w:autoSpaceDE w:val="0"/>
        <w:autoSpaceDN w:val="0"/>
        <w:adjustRightInd w:val="0"/>
        <w:snapToGrid w:val="0"/>
        <w:spacing w:line="360" w:lineRule="auto"/>
        <w:ind w:leftChars="200" w:left="2730" w:hangingChars="1100" w:hanging="2310"/>
        <w:rPr>
          <w:rFonts w:ascii="宋体" w:cs="Times New Roman"/>
          <w:color w:val="000000"/>
          <w:kern w:val="0"/>
        </w:rPr>
      </w:pPr>
      <w:r w:rsidRPr="00A4035F">
        <w:rPr>
          <w:rFonts w:ascii="宋体" w:cs="Times New Roman"/>
          <w:color w:val="000000"/>
          <w:kern w:val="0"/>
        </w:rPr>
        <w:br w:type="page"/>
      </w:r>
    </w:p>
    <w:p w14:paraId="7CB324F5" w14:textId="77777777" w:rsidR="003F75AE" w:rsidRPr="004141CB"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38" w:name="_Toc360794097"/>
      <w:bookmarkStart w:id="39" w:name="_Toc416453842"/>
      <w:bookmarkStart w:id="40" w:name="_Toc360794513"/>
      <w:bookmarkStart w:id="41" w:name="_Toc360793495"/>
      <w:bookmarkStart w:id="42" w:name="_Toc362455180"/>
      <w:bookmarkStart w:id="43" w:name="_Toc360794405"/>
      <w:bookmarkStart w:id="44" w:name="_Toc360793847"/>
      <w:bookmarkStart w:id="45" w:name="_Toc362533452"/>
      <w:r w:rsidRPr="004141CB">
        <w:rPr>
          <w:rFonts w:ascii="宋体" w:eastAsia="宋体" w:hAnsi="宋体" w:cs="宋体" w:hint="eastAsia"/>
        </w:rPr>
        <w:lastRenderedPageBreak/>
        <w:t>基金管理人</w:t>
      </w:r>
      <w:bookmarkEnd w:id="38"/>
      <w:bookmarkEnd w:id="39"/>
      <w:bookmarkEnd w:id="40"/>
      <w:bookmarkEnd w:id="41"/>
      <w:bookmarkEnd w:id="42"/>
      <w:bookmarkEnd w:id="43"/>
      <w:bookmarkEnd w:id="44"/>
      <w:bookmarkEnd w:id="45"/>
    </w:p>
    <w:p w14:paraId="7F9DD71E" w14:textId="77777777" w:rsidR="003F75AE" w:rsidRPr="004141CB" w:rsidRDefault="003F75AE">
      <w:pPr>
        <w:adjustRightInd w:val="0"/>
        <w:snapToGrid w:val="0"/>
        <w:spacing w:line="360" w:lineRule="auto"/>
        <w:rPr>
          <w:rFonts w:ascii="宋体" w:cs="Times New Roman"/>
          <w:b/>
          <w:bCs/>
          <w:color w:val="000000"/>
        </w:rPr>
      </w:pPr>
    </w:p>
    <w:p w14:paraId="2172D141"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一、基金管理人概况</w:t>
      </w:r>
    </w:p>
    <w:p w14:paraId="4CD27CA9"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名称：南方基金管理股份有限公司</w:t>
      </w:r>
    </w:p>
    <w:p w14:paraId="4205354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住所及办公地址：深圳市福田区莲花街道益田路5999号基金大厦32-42楼</w:t>
      </w:r>
    </w:p>
    <w:p w14:paraId="5CD92B5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成立时间：1998年3月6日</w:t>
      </w:r>
    </w:p>
    <w:p w14:paraId="125FDCC8"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法定代表人：张海波</w:t>
      </w:r>
    </w:p>
    <w:p w14:paraId="02A59F08"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注册资本：3.6172亿元人民币</w:t>
      </w:r>
    </w:p>
    <w:p w14:paraId="26D29621"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电话：（0755）82763888</w:t>
      </w:r>
    </w:p>
    <w:p w14:paraId="77D6278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传真：（0755）82763889</w:t>
      </w:r>
    </w:p>
    <w:p w14:paraId="6DB6ADE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联系人：常克川</w:t>
      </w:r>
    </w:p>
    <w:p w14:paraId="143B0EC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1998年，南方基金管理有限公司经中国证监会</w:t>
      </w:r>
      <w:proofErr w:type="gramStart"/>
      <w:r w:rsidRPr="0084479D">
        <w:rPr>
          <w:rFonts w:ascii="宋体" w:hAnsi="宋体" w:cs="Times New Roman" w:hint="eastAsia"/>
          <w:bCs/>
          <w:szCs w:val="24"/>
        </w:rPr>
        <w:t>证监基字</w:t>
      </w:r>
      <w:proofErr w:type="gramEnd"/>
      <w:r w:rsidRPr="0084479D">
        <w:rPr>
          <w:rFonts w:ascii="宋体" w:hAnsi="宋体" w:cs="Times New Roman" w:hint="eastAsia"/>
          <w:bCs/>
          <w:szCs w:val="24"/>
        </w:rPr>
        <w:t>[1998]4号文批准，由南方证券有限公司、厦门国际信托投资公司、广西信托投资公司共同发起设立。2000年，经中国证监会证</w:t>
      </w:r>
      <w:proofErr w:type="gramStart"/>
      <w:r w:rsidRPr="0084479D">
        <w:rPr>
          <w:rFonts w:ascii="宋体" w:hAnsi="宋体" w:cs="Times New Roman" w:hint="eastAsia"/>
          <w:bCs/>
          <w:szCs w:val="24"/>
        </w:rPr>
        <w:t>监基金字</w:t>
      </w:r>
      <w:proofErr w:type="gramEnd"/>
      <w:r w:rsidRPr="0084479D">
        <w:rPr>
          <w:rFonts w:ascii="宋体" w:hAnsi="宋体" w:cs="Times New Roman" w:hint="eastAsia"/>
          <w:bCs/>
          <w:szCs w:val="24"/>
        </w:rPr>
        <w:t>[2000]78号文批准进行了增资扩股，注册资本达到1亿元人民币。2005年，经中国证监会证</w:t>
      </w:r>
      <w:proofErr w:type="gramStart"/>
      <w:r w:rsidRPr="0084479D">
        <w:rPr>
          <w:rFonts w:ascii="宋体" w:hAnsi="宋体" w:cs="Times New Roman" w:hint="eastAsia"/>
          <w:bCs/>
          <w:szCs w:val="24"/>
        </w:rPr>
        <w:t>监基金字</w:t>
      </w:r>
      <w:proofErr w:type="gramEnd"/>
      <w:r w:rsidRPr="0084479D">
        <w:rPr>
          <w:rFonts w:ascii="宋体" w:hAnsi="宋体" w:cs="Times New Roman" w:hint="eastAsia"/>
          <w:bCs/>
          <w:szCs w:val="24"/>
        </w:rPr>
        <w:t>[2005]201号文批准进行增资扩股，注册资本增至1.5亿元人民币。2014年公司进行增资扩股，注册资本金增至3亿元人民币。</w:t>
      </w:r>
    </w:p>
    <w:p w14:paraId="38B2AC41"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2018年1月，公司整体变更设立为南方基金管理股份有限公司,注册资本金3亿元人民币。</w:t>
      </w:r>
    </w:p>
    <w:p w14:paraId="398709C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2019年7月30日，公司注册资本增至3.6172亿元，股权结构调整为华泰证券股份有限公司41.16%、深圳市投资控股有限公司27.44%、厦门国际信托有限公司13.72%、兴业证券股份有限公司9.15%、厦门</w:t>
      </w:r>
      <w:proofErr w:type="gramStart"/>
      <w:r w:rsidRPr="0084479D">
        <w:rPr>
          <w:rFonts w:ascii="宋体" w:hAnsi="宋体" w:cs="Times New Roman" w:hint="eastAsia"/>
          <w:bCs/>
          <w:szCs w:val="24"/>
        </w:rPr>
        <w:t>合泽吉</w:t>
      </w:r>
      <w:proofErr w:type="gramEnd"/>
      <w:r w:rsidRPr="0084479D">
        <w:rPr>
          <w:rFonts w:ascii="宋体" w:hAnsi="宋体" w:cs="Times New Roman" w:hint="eastAsia"/>
          <w:bCs/>
          <w:szCs w:val="24"/>
        </w:rPr>
        <w:t>企业管理合伙企业（有限合伙）2.10%、厦门合泽祥企业管理合伙企业（有限合伙）2.12%、厦门</w:t>
      </w:r>
      <w:proofErr w:type="gramStart"/>
      <w:r w:rsidRPr="0084479D">
        <w:rPr>
          <w:rFonts w:ascii="宋体" w:hAnsi="宋体" w:cs="Times New Roman" w:hint="eastAsia"/>
          <w:bCs/>
          <w:szCs w:val="24"/>
        </w:rPr>
        <w:t>合泽</w:t>
      </w:r>
      <w:proofErr w:type="gramEnd"/>
      <w:r w:rsidRPr="0084479D">
        <w:rPr>
          <w:rFonts w:ascii="宋体" w:hAnsi="宋体" w:cs="Times New Roman" w:hint="eastAsia"/>
          <w:bCs/>
          <w:szCs w:val="24"/>
        </w:rPr>
        <w:t>益企业管理合伙企业（有限合伙）2.11%、厦门</w:t>
      </w:r>
      <w:proofErr w:type="gramStart"/>
      <w:r w:rsidRPr="0084479D">
        <w:rPr>
          <w:rFonts w:ascii="宋体" w:hAnsi="宋体" w:cs="Times New Roman" w:hint="eastAsia"/>
          <w:bCs/>
          <w:szCs w:val="24"/>
        </w:rPr>
        <w:t>合泽</w:t>
      </w:r>
      <w:proofErr w:type="gramEnd"/>
      <w:r w:rsidRPr="0084479D">
        <w:rPr>
          <w:rFonts w:ascii="宋体" w:hAnsi="宋体" w:cs="Times New Roman" w:hint="eastAsia"/>
          <w:bCs/>
          <w:szCs w:val="24"/>
        </w:rPr>
        <w:t>盈企业管理合伙企业（有限合伙）2.20%。</w:t>
      </w:r>
    </w:p>
    <w:p w14:paraId="0C8F4B80"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p>
    <w:p w14:paraId="70501B0E"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二、主要人员情况</w:t>
      </w:r>
    </w:p>
    <w:p w14:paraId="4C2AD2B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1、董事会成员</w:t>
      </w:r>
    </w:p>
    <w:p w14:paraId="21E255E1"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0305505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王连芬女士，董事，金融专业硕士，中国籍。曾任职赛格集团销售，深圳投资基金管理公司投资一部研究室主任，大鹏证券经纪业务部副总经理、深圳福虹路营业部总经理、南方</w:t>
      </w:r>
      <w:r w:rsidRPr="0084479D">
        <w:rPr>
          <w:rFonts w:ascii="宋体" w:hAnsi="宋体" w:cs="Times New Roman" w:hint="eastAsia"/>
          <w:bCs/>
          <w:szCs w:val="24"/>
        </w:rPr>
        <w:lastRenderedPageBreak/>
        <w:t>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14:paraId="7DE7C489"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张辉先生，董事，管理学博士，中国籍。曾任职北京东城区人才交流服务中心、华晨集团上海办事处、通商控股有限公司、北京联创投资管理有限公司干部，华泰证券资产管理总部高级经理、证券投资部投资策划员、南通</w:t>
      </w:r>
      <w:proofErr w:type="gramStart"/>
      <w:r w:rsidRPr="0084479D">
        <w:rPr>
          <w:rFonts w:ascii="宋体" w:hAnsi="宋体" w:cs="Times New Roman" w:hint="eastAsia"/>
          <w:bCs/>
          <w:szCs w:val="24"/>
        </w:rPr>
        <w:t>姚</w:t>
      </w:r>
      <w:proofErr w:type="gramEnd"/>
      <w:r w:rsidRPr="0084479D">
        <w:rPr>
          <w:rFonts w:ascii="宋体" w:hAnsi="宋体" w:cs="Times New Roman" w:hint="eastAsia"/>
          <w:bCs/>
          <w:szCs w:val="24"/>
        </w:rPr>
        <w:t>港路营业部副总经理、上海瑞金一路营业部总经理、证券投资部副总经理、综合事务部总经理。现任华泰证券股份有限公司董事会秘书、人力资源部总经理兼党委组织部长。</w:t>
      </w:r>
    </w:p>
    <w:p w14:paraId="3F6BBF0C"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冯青山先生，董事，工学学士，中国籍。曾任职陆军第124师工兵营地</w:t>
      </w:r>
      <w:proofErr w:type="gramStart"/>
      <w:r w:rsidRPr="0084479D">
        <w:rPr>
          <w:rFonts w:ascii="宋体" w:hAnsi="宋体" w:cs="Times New Roman" w:hint="eastAsia"/>
          <w:bCs/>
          <w:szCs w:val="24"/>
        </w:rPr>
        <w:t>爆</w:t>
      </w:r>
      <w:proofErr w:type="gramEnd"/>
      <w:r w:rsidRPr="0084479D">
        <w:rPr>
          <w:rFonts w:ascii="宋体" w:hAnsi="宋体" w:cs="Times New Roman" w:hint="eastAsia"/>
          <w:bCs/>
          <w:szCs w:val="24"/>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w:t>
      </w:r>
      <w:proofErr w:type="gramStart"/>
      <w:r w:rsidRPr="0084479D">
        <w:rPr>
          <w:rFonts w:ascii="宋体" w:hAnsi="宋体" w:cs="Times New Roman" w:hint="eastAsia"/>
          <w:bCs/>
          <w:szCs w:val="24"/>
        </w:rPr>
        <w:t>投控资本</w:t>
      </w:r>
      <w:proofErr w:type="gramEnd"/>
      <w:r w:rsidRPr="0084479D">
        <w:rPr>
          <w:rFonts w:ascii="宋体" w:hAnsi="宋体" w:cs="Times New Roman" w:hint="eastAsia"/>
          <w:bCs/>
          <w:szCs w:val="24"/>
        </w:rPr>
        <w:t>有限公司监事。</w:t>
      </w:r>
    </w:p>
    <w:p w14:paraId="238D02E8"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14:paraId="73B5460F"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14:paraId="0C4DAE1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王斌先生，董事，临床医学博士，中国籍。曾任职安徽泗县人民医院临床医生，瑞金医院主治医师，兴业证券研究所医药行业研究员、总经理助理、副总监、副总经理。现任兴业证券研究所总经理。</w:t>
      </w:r>
    </w:p>
    <w:p w14:paraId="1B1CF0A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14:paraId="40488B36"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14:paraId="3A1162F8"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李心丹先生，独立董事，金融学博士，国务院特殊津贴专家，中国籍。曾任职东南大学</w:t>
      </w:r>
      <w:r w:rsidRPr="0084479D">
        <w:rPr>
          <w:rFonts w:ascii="宋体" w:hAnsi="宋体" w:cs="Times New Roman" w:hint="eastAsia"/>
          <w:bCs/>
          <w:szCs w:val="24"/>
        </w:rPr>
        <w:lastRenderedPageBreak/>
        <w:t>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14:paraId="480EA17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周锦涛先生，独立董事，工商管理博士，法学硕士，香港证券及投资学会杰出资深会员。曾任职香港警务处(商业罪案调查科)警务总督察，香港证券及期货专员办事处证券主任，香港证券及期货事务监察委员</w:t>
      </w:r>
      <w:proofErr w:type="gramStart"/>
      <w:r w:rsidRPr="0084479D">
        <w:rPr>
          <w:rFonts w:ascii="宋体" w:hAnsi="宋体" w:cs="Times New Roman" w:hint="eastAsia"/>
          <w:bCs/>
          <w:szCs w:val="24"/>
        </w:rPr>
        <w:t>会法规</w:t>
      </w:r>
      <w:proofErr w:type="gramEnd"/>
      <w:r w:rsidRPr="0084479D">
        <w:rPr>
          <w:rFonts w:ascii="宋体" w:hAnsi="宋体" w:cs="Times New Roman" w:hint="eastAsia"/>
          <w:bCs/>
          <w:szCs w:val="24"/>
        </w:rPr>
        <w:t>执行部总监。现任香港金融管理局顾问。</w:t>
      </w:r>
    </w:p>
    <w:p w14:paraId="7454C56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14:paraId="7326716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14:paraId="24D8C2CD"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2、监事会成员</w:t>
      </w:r>
    </w:p>
    <w:p w14:paraId="4406BE55" w14:textId="20B8FA8F"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吴晓东先生，监事会主席，法律博士，中国籍。曾任职中国证监会副处长、处长，华泰证券合</w:t>
      </w:r>
      <w:proofErr w:type="gramStart"/>
      <w:r w:rsidRPr="00BB5C47">
        <w:rPr>
          <w:rFonts w:ascii="宋体" w:hAnsi="宋体" w:cs="Times New Roman" w:hint="eastAsia"/>
          <w:bCs/>
          <w:szCs w:val="24"/>
        </w:rPr>
        <w:t>规</w:t>
      </w:r>
      <w:proofErr w:type="gramEnd"/>
      <w:r w:rsidRPr="00BB5C47">
        <w:rPr>
          <w:rFonts w:ascii="宋体" w:hAnsi="宋体" w:cs="Times New Roman" w:hint="eastAsia"/>
          <w:bCs/>
          <w:szCs w:val="24"/>
        </w:rPr>
        <w:t>总监，华泰联合证券副总裁、党委书记、董事长，南方股权投资基金管理有限公司董事长。现任南方基金管理股份有限公司监事会主席、南方股权投资基金管理有限公司监事。</w:t>
      </w:r>
    </w:p>
    <w:p w14:paraId="51C0AB41"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14:paraId="6776B76D"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w:t>
      </w:r>
      <w:proofErr w:type="gramStart"/>
      <w:r w:rsidRPr="00BB5C47">
        <w:rPr>
          <w:rFonts w:ascii="宋体" w:hAnsi="宋体" w:cs="Times New Roman" w:hint="eastAsia"/>
          <w:bCs/>
          <w:szCs w:val="24"/>
        </w:rPr>
        <w:t>分配部</w:t>
      </w:r>
      <w:proofErr w:type="gramEnd"/>
      <w:r w:rsidRPr="00BB5C47">
        <w:rPr>
          <w:rFonts w:ascii="宋体" w:hAnsi="宋体" w:cs="Times New Roman" w:hint="eastAsia"/>
          <w:bCs/>
          <w:szCs w:val="24"/>
        </w:rPr>
        <w:t>部长。现任深圳市投资控股有限公司财务部部长、深圳经济特区房地产（集团）股份有限公司董事、深圳市建安（集团）股份有限公司董事。</w:t>
      </w:r>
    </w:p>
    <w:p w14:paraId="5067B021"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 xml:space="preserve">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                                 </w:t>
      </w:r>
    </w:p>
    <w:p w14:paraId="34DCD288"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林红珍女士，监事，工商管理硕士，中国籍。曾任职厦门对外供应总公司会计，厦门中友贸易联合公司财务部副经理，厦门外供房地产开发公司财务部经理，兴业证券计财部财务</w:t>
      </w:r>
      <w:r w:rsidRPr="00BB5C47">
        <w:rPr>
          <w:rFonts w:ascii="宋体" w:hAnsi="宋体" w:cs="Times New Roman" w:hint="eastAsia"/>
          <w:bCs/>
          <w:szCs w:val="24"/>
        </w:rPr>
        <w:lastRenderedPageBreak/>
        <w:t>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w:t>
      </w:r>
      <w:proofErr w:type="gramStart"/>
      <w:r w:rsidRPr="00BB5C47">
        <w:rPr>
          <w:rFonts w:ascii="宋体" w:hAnsi="宋体" w:cs="Times New Roman" w:hint="eastAsia"/>
          <w:bCs/>
          <w:szCs w:val="24"/>
        </w:rPr>
        <w:t>兴证期货</w:t>
      </w:r>
      <w:proofErr w:type="gramEnd"/>
      <w:r w:rsidRPr="00BB5C47">
        <w:rPr>
          <w:rFonts w:ascii="宋体" w:hAnsi="宋体" w:cs="Times New Roman" w:hint="eastAsia"/>
          <w:bCs/>
          <w:szCs w:val="24"/>
        </w:rPr>
        <w:t>有限公司董事，</w:t>
      </w:r>
      <w:proofErr w:type="gramStart"/>
      <w:r w:rsidRPr="00BB5C47">
        <w:rPr>
          <w:rFonts w:ascii="宋体" w:hAnsi="宋体" w:cs="Times New Roman" w:hint="eastAsia"/>
          <w:bCs/>
          <w:szCs w:val="24"/>
        </w:rPr>
        <w:t>兴证创</w:t>
      </w:r>
      <w:proofErr w:type="gramEnd"/>
      <w:r w:rsidRPr="00BB5C47">
        <w:rPr>
          <w:rFonts w:ascii="宋体" w:hAnsi="宋体" w:cs="Times New Roman" w:hint="eastAsia"/>
          <w:bCs/>
          <w:szCs w:val="24"/>
        </w:rPr>
        <w:t>新资本管理有限公司监事。</w:t>
      </w:r>
    </w:p>
    <w:p w14:paraId="16857E81"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14:paraId="1A52DF33"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14:paraId="53162484" w14:textId="7849742D" w:rsidR="00BB5C47" w:rsidRPr="0084479D"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苏望先生，职工监事，法学硕士学位，中国籍。曾任国信证券股份有限公司合</w:t>
      </w:r>
      <w:proofErr w:type="gramStart"/>
      <w:r w:rsidRPr="00BB5C47">
        <w:rPr>
          <w:rFonts w:ascii="宋体" w:hAnsi="宋体" w:cs="Times New Roman" w:hint="eastAsia"/>
          <w:bCs/>
          <w:szCs w:val="24"/>
        </w:rPr>
        <w:t>规</w:t>
      </w:r>
      <w:proofErr w:type="gramEnd"/>
      <w:r w:rsidRPr="00BB5C47">
        <w:rPr>
          <w:rFonts w:ascii="宋体" w:hAnsi="宋体" w:cs="Times New Roman" w:hint="eastAsia"/>
          <w:bCs/>
          <w:szCs w:val="24"/>
        </w:rPr>
        <w:t>管理总部职员，深圳市融通资本管理股份有限公司职员。现任南方基金管理股份有限公司监察稽核部高级副总裁。</w:t>
      </w:r>
    </w:p>
    <w:p w14:paraId="1B0074E0"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3、公司高级管理人员</w:t>
      </w:r>
    </w:p>
    <w:p w14:paraId="09BDC822" w14:textId="06042C7A"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张海波先生，董事长，简历同上。</w:t>
      </w:r>
    </w:p>
    <w:p w14:paraId="50B37926"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杨小松先生，总裁，简历同上。</w:t>
      </w:r>
    </w:p>
    <w:p w14:paraId="103B7482"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53F16090"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6E125D22"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常克川先生，副总裁，EMBA工商管理硕士，中国籍。曾任职中国农业银行副处级秘书，南方证券有限责任公司投资业务部总经理、沈阳分公司总经理、总裁助理，华泰联合证券董事会秘书、合</w:t>
      </w:r>
      <w:proofErr w:type="gramStart"/>
      <w:r w:rsidRPr="00BB5C47">
        <w:rPr>
          <w:rFonts w:ascii="宋体" w:hAnsi="宋体" w:cs="Times New Roman" w:hint="eastAsia"/>
          <w:bCs/>
          <w:szCs w:val="24"/>
        </w:rPr>
        <w:t>规</w:t>
      </w:r>
      <w:proofErr w:type="gramEnd"/>
      <w:r w:rsidRPr="00BB5C47">
        <w:rPr>
          <w:rFonts w:ascii="宋体" w:hAnsi="宋体" w:cs="Times New Roman" w:hint="eastAsia"/>
          <w:bCs/>
          <w:szCs w:val="24"/>
        </w:rPr>
        <w:t>总监等职务，南方资本管理有限公司董事。现任南方基金管理股份有限公司副总裁、董事会秘书、纪委书记。</w:t>
      </w:r>
    </w:p>
    <w:p w14:paraId="518BE5F9"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BB5C47">
        <w:rPr>
          <w:rFonts w:ascii="宋体" w:hAnsi="宋体" w:cs="Times New Roman" w:hint="eastAsia"/>
          <w:bCs/>
          <w:szCs w:val="24"/>
        </w:rPr>
        <w:t>兼固定</w:t>
      </w:r>
      <w:proofErr w:type="gramEnd"/>
      <w:r w:rsidRPr="00BB5C47">
        <w:rPr>
          <w:rFonts w:ascii="宋体" w:hAnsi="宋体" w:cs="Times New Roman" w:hint="eastAsia"/>
          <w:bCs/>
          <w:szCs w:val="24"/>
        </w:rPr>
        <w:t>收益投资总监，南方东英资产管理有限公司董事。现任南方基金管理股份有限公司副总裁、首席投资官（固定收益）。</w:t>
      </w:r>
    </w:p>
    <w:p w14:paraId="7F026EC6" w14:textId="77777777" w:rsidR="00BB5C47" w:rsidRPr="00BB5C47"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史博先生，副总裁，经济学硕士，特许金融分析师（CFA），中国籍。曾任职博时基金管</w:t>
      </w:r>
      <w:r w:rsidRPr="00BB5C47">
        <w:rPr>
          <w:rFonts w:ascii="宋体" w:hAnsi="宋体" w:cs="Times New Roman" w:hint="eastAsia"/>
          <w:bCs/>
          <w:szCs w:val="24"/>
        </w:rPr>
        <w:lastRenderedPageBreak/>
        <w:t>理有限公司研究员、市场部总助，中国人</w:t>
      </w:r>
      <w:proofErr w:type="gramStart"/>
      <w:r w:rsidRPr="00BB5C47">
        <w:rPr>
          <w:rFonts w:ascii="宋体" w:hAnsi="宋体" w:cs="Times New Roman" w:hint="eastAsia"/>
          <w:bCs/>
          <w:szCs w:val="24"/>
        </w:rPr>
        <w:t>寿资产</w:t>
      </w:r>
      <w:proofErr w:type="gramEnd"/>
      <w:r w:rsidRPr="00BB5C47">
        <w:rPr>
          <w:rFonts w:ascii="宋体" w:hAnsi="宋体" w:cs="Times New Roman" w:hint="eastAsia"/>
          <w:bCs/>
          <w:szCs w:val="24"/>
        </w:rPr>
        <w:t>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14:paraId="1C80E305" w14:textId="1B60A2A9" w:rsidR="00BB5C47" w:rsidRPr="0084479D" w:rsidRDefault="00BB5C47" w:rsidP="00BB5C47">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12B455D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4、基金经理</w:t>
      </w:r>
    </w:p>
    <w:p w14:paraId="2B4E56AD" w14:textId="378C5B33"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崔蕾女士，</w:t>
      </w:r>
      <w:r w:rsidR="00BB5C47" w:rsidRPr="00BB5C47">
        <w:rPr>
          <w:rFonts w:ascii="宋体" w:hAnsi="宋体" w:cs="Times New Roman" w:hint="eastAsia"/>
          <w:bCs/>
          <w:szCs w:val="24"/>
        </w:rPr>
        <w:t>康奈尔大学金融工程硕士，金融风险管理师（FRM），特许金融分析师（CFA），具有基金从业资格。2015年2月加入南方基金，历任数量化投资部助理研究员、研究员，指数投资部研究员；2018年11月至今，任南方中证500增强基金经理；2019年6月至今，任南方顶峰TOPIX ETF（QDII）、大数据300基金经理；2019年7月至今，任有色金属、南方有色金属联接、1000ETF、南方小康ETF、南方小康ETF联接基金经理。</w:t>
      </w:r>
    </w:p>
    <w:p w14:paraId="775FF37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5、投资决策委员会成员</w:t>
      </w:r>
    </w:p>
    <w:p w14:paraId="370B835B" w14:textId="1E9375EB" w:rsidR="0084479D" w:rsidRPr="0084479D" w:rsidRDefault="00BB5C47" w:rsidP="00D871C9">
      <w:pPr>
        <w:tabs>
          <w:tab w:val="left" w:pos="2160"/>
        </w:tabs>
        <w:adjustRightInd w:val="0"/>
        <w:snapToGrid w:val="0"/>
        <w:spacing w:line="360" w:lineRule="auto"/>
        <w:ind w:firstLineChars="200" w:firstLine="420"/>
        <w:rPr>
          <w:rFonts w:ascii="宋体" w:hAnsi="宋体" w:cs="Times New Roman"/>
          <w:bCs/>
          <w:szCs w:val="24"/>
        </w:rPr>
      </w:pPr>
      <w:r w:rsidRPr="00BB5C47">
        <w:rPr>
          <w:rFonts w:ascii="宋体" w:hAnsi="宋体" w:cs="Times New Roman" w:hint="eastAsia"/>
          <w:bCs/>
          <w:szCs w:val="24"/>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14:paraId="4FBB083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6、上述人员之间不存在近亲属关系。</w:t>
      </w:r>
    </w:p>
    <w:p w14:paraId="5536C46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p>
    <w:p w14:paraId="3119738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三、基金管理人的职责</w:t>
      </w:r>
    </w:p>
    <w:p w14:paraId="38716F76"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（1）依法募集资金，办理或者委托经中国证监会认定的其他机构代为办理基金份额的发售、申购、赎回和登记事宜；</w:t>
      </w:r>
    </w:p>
    <w:p w14:paraId="72CDD9E8"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（2）办理基金备案手续；</w:t>
      </w:r>
    </w:p>
    <w:p w14:paraId="5E2D838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（3）对所管理的不同基金财产分别管理、分别记账，进行证券投资；</w:t>
      </w:r>
    </w:p>
    <w:p w14:paraId="131BC1C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（4）按照基金合同的约定确定基金收益分配方案，及时向基金份额持有人分配收益；</w:t>
      </w:r>
    </w:p>
    <w:p w14:paraId="2AE5290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（5）进行基金会计核算并编制基金财务会计报告；</w:t>
      </w:r>
    </w:p>
    <w:p w14:paraId="34632365" w14:textId="25284674"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（6）编制季度</w:t>
      </w:r>
      <w:r w:rsidR="00AF17FE">
        <w:rPr>
          <w:rFonts w:ascii="宋体" w:hAnsi="宋体" w:cs="Times New Roman" w:hint="eastAsia"/>
          <w:bCs/>
          <w:szCs w:val="24"/>
        </w:rPr>
        <w:t>报告</w:t>
      </w:r>
      <w:r w:rsidRPr="0084479D">
        <w:rPr>
          <w:rFonts w:ascii="宋体" w:hAnsi="宋体" w:cs="Times New Roman" w:hint="eastAsia"/>
          <w:bCs/>
          <w:szCs w:val="24"/>
        </w:rPr>
        <w:t>、</w:t>
      </w:r>
      <w:r w:rsidR="00AF17FE">
        <w:rPr>
          <w:rFonts w:ascii="宋体" w:hAnsi="宋体" w:cs="Times New Roman" w:hint="eastAsia"/>
          <w:bCs/>
          <w:szCs w:val="24"/>
        </w:rPr>
        <w:t>中期报告</w:t>
      </w:r>
      <w:r w:rsidRPr="0084479D">
        <w:rPr>
          <w:rFonts w:ascii="宋体" w:hAnsi="宋体" w:cs="Times New Roman" w:hint="eastAsia"/>
          <w:bCs/>
          <w:szCs w:val="24"/>
        </w:rPr>
        <w:t>和年度报告；</w:t>
      </w:r>
    </w:p>
    <w:p w14:paraId="5A51A239" w14:textId="1523A4BD"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（7）计算并公告基金净值</w:t>
      </w:r>
      <w:r w:rsidR="00AF17FE">
        <w:rPr>
          <w:rFonts w:ascii="宋体" w:hAnsi="宋体" w:cs="Times New Roman" w:hint="eastAsia"/>
          <w:bCs/>
          <w:szCs w:val="24"/>
        </w:rPr>
        <w:t>信息</w:t>
      </w:r>
      <w:r w:rsidRPr="0084479D">
        <w:rPr>
          <w:rFonts w:ascii="宋体" w:hAnsi="宋体" w:cs="Times New Roman" w:hint="eastAsia"/>
          <w:bCs/>
          <w:szCs w:val="24"/>
        </w:rPr>
        <w:t>，确定基金份额申购、赎回价格；</w:t>
      </w:r>
    </w:p>
    <w:p w14:paraId="08C937F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（8）办理与基金财产管理业务活动有关的信息披露事项；</w:t>
      </w:r>
    </w:p>
    <w:p w14:paraId="2A745DE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（9）按照规定召集基金份额持有人大会；</w:t>
      </w:r>
    </w:p>
    <w:p w14:paraId="4D439E6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（10）保存基金财产管理业务活动的记录、账册、报表和其他相关资料；</w:t>
      </w:r>
    </w:p>
    <w:p w14:paraId="3621427E"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lastRenderedPageBreak/>
        <w:t>（11）以基金管理人名义，代表基金份额持有人利益行使诉讼权利或者实施其他法律行为；</w:t>
      </w:r>
    </w:p>
    <w:p w14:paraId="3500AA86"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（12）法律法规及中国证监会规定的和基金合同约定的其他职责。</w:t>
      </w:r>
    </w:p>
    <w:p w14:paraId="759AACD8"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bCs/>
          <w:szCs w:val="24"/>
        </w:rPr>
        <w:t xml:space="preserve"> </w:t>
      </w:r>
    </w:p>
    <w:p w14:paraId="49E5D65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四、基金管理人关于遵守法律法规的承诺</w:t>
      </w:r>
    </w:p>
    <w:p w14:paraId="115C11BC"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1、基金管理人承诺遵守《基金法》及其他相关法律法规的规定，建立健全的内部控制制度，采取有效措施，防止违反《基金法》及其他相关法律法规行为的发生。</w:t>
      </w:r>
    </w:p>
    <w:p w14:paraId="14211C2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2、基金管理人承诺不从事下列行为：</w:t>
      </w:r>
    </w:p>
    <w:p w14:paraId="55411F1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（1）将基金管理人固有财产或者他人财产混同于基金财产从事证券投资；</w:t>
      </w:r>
    </w:p>
    <w:p w14:paraId="3E528DEC"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（2）不公平地对待管理的不同基金财产；</w:t>
      </w:r>
    </w:p>
    <w:p w14:paraId="001B650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（3）利用基金财产或者职务之便为基金份额持有人以外的人牟取利益；</w:t>
      </w:r>
    </w:p>
    <w:p w14:paraId="35FFDCFE"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（4）向基金份额持有人违规承诺收益或者承担损失；</w:t>
      </w:r>
    </w:p>
    <w:p w14:paraId="33CDC42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（5）侵占、挪用基金财产；</w:t>
      </w:r>
    </w:p>
    <w:p w14:paraId="77EA15A1"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（6）泄露因职务便利获取的未公开信息、利用该信息从事或者明示、暗示他人从事相关的交易活动；</w:t>
      </w:r>
    </w:p>
    <w:p w14:paraId="6A4CB40D"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（7）玩忽职守，不按照规定履行职责；</w:t>
      </w:r>
    </w:p>
    <w:p w14:paraId="1BA44C96"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（8）法律、行政法规和中国证监会规定禁止的其他行为。</w:t>
      </w:r>
    </w:p>
    <w:p w14:paraId="091AE59F"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bCs/>
          <w:szCs w:val="24"/>
        </w:rPr>
        <w:t xml:space="preserve"> </w:t>
      </w:r>
    </w:p>
    <w:p w14:paraId="67E7B10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五、基金管理人关于禁止性行为的承诺</w:t>
      </w:r>
    </w:p>
    <w:p w14:paraId="3E7FDA3F"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为维护基金份额持有人的合法权益，本基金禁止从事下列行为：</w:t>
      </w:r>
    </w:p>
    <w:p w14:paraId="49E4884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（1）承销证券；</w:t>
      </w:r>
    </w:p>
    <w:p w14:paraId="5F4C695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（2）违反规定向他人贷款或者提供担保；</w:t>
      </w:r>
    </w:p>
    <w:p w14:paraId="1171801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（3）从事承担无限责任的投资；</w:t>
      </w:r>
    </w:p>
    <w:p w14:paraId="4A4B3A7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（4）买卖其他基金份额，但是法律法规或中国证监会另有规定的除外；</w:t>
      </w:r>
    </w:p>
    <w:p w14:paraId="430E8760"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（5）向其基金管理人、基金托管人出资；</w:t>
      </w:r>
    </w:p>
    <w:p w14:paraId="1F6C44C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（6）从事内幕交易、操纵证券交易价格及其他不正当的证券交易活动；</w:t>
      </w:r>
    </w:p>
    <w:p w14:paraId="1797EE3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（7）法律、行政法规和中国证监会规定禁止的其他活动。</w:t>
      </w:r>
    </w:p>
    <w:p w14:paraId="3A99D4D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3A86624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如法律、行政法规或监管部门取消上述限制，如适用于本基金，则本基金投资不再受相关限制。</w:t>
      </w:r>
    </w:p>
    <w:p w14:paraId="5074ACB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bCs/>
          <w:szCs w:val="24"/>
        </w:rPr>
        <w:t xml:space="preserve"> </w:t>
      </w:r>
    </w:p>
    <w:p w14:paraId="27128C1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lastRenderedPageBreak/>
        <w:t>六、基金经理承诺</w:t>
      </w:r>
    </w:p>
    <w:p w14:paraId="0D947319"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1、依照有关法律、法规和基金合同的规定，本着勤勉尽责的原则为基金份额持有人谋取最大利益；</w:t>
      </w:r>
    </w:p>
    <w:p w14:paraId="1310306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2、不能利用职务之便为自己、受雇人或基金份额持有人以外的人谋取利益；</w:t>
      </w:r>
    </w:p>
    <w:p w14:paraId="6F1E446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3、不泄露在任职期间知悉的有关证券、基金的商业秘密，尚未依法公开的基金投资内容、基金投资计划等信息，或利用该信息从事或者明示、暗示他人从事相关的交易活动；</w:t>
      </w:r>
    </w:p>
    <w:p w14:paraId="7732DA7D"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4、不以任何形式为其他组织或个人进行证券交易。</w:t>
      </w:r>
    </w:p>
    <w:p w14:paraId="74F4DAB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bCs/>
          <w:szCs w:val="24"/>
        </w:rPr>
        <w:t xml:space="preserve"> </w:t>
      </w:r>
    </w:p>
    <w:p w14:paraId="7078125F"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七、基金管理人的内部控制制度</w:t>
      </w:r>
    </w:p>
    <w:p w14:paraId="4965A9A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1、内部控制制度概述</w:t>
      </w:r>
    </w:p>
    <w:p w14:paraId="5C29DE6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4D460FD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内部控制制度是指公司为实现内部控制目标而建立的一系列组织机制、管理方法、操作程序与控制措施的总称。内部控制制度由内部控制大纲、基本管理制度、部门业务规章等组成。</w:t>
      </w:r>
    </w:p>
    <w:p w14:paraId="13DAF06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公司内部控制大纲是对公司章程规定的内控原则的细化和展开，是对各项基本管理制度的总揽和指导，内部控制大纲明确了内控目标、内控原则、控制环境、内控措施等内容。</w:t>
      </w:r>
    </w:p>
    <w:p w14:paraId="5145102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基本管理制度包括内部会计控制制度、风险控制制度、投资管理制度、监察稽核制度、基金会计制度、信息披露制度、信息技术管理制度、资料档案管理制度、业绩评估考核制度和紧急应变制度等。</w:t>
      </w:r>
    </w:p>
    <w:p w14:paraId="6188C01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部门业务规章是在基本管理制度的基础上，对各部门的主要职责、岗位设置、岗位责任、操作守则等的具体说明。</w:t>
      </w:r>
    </w:p>
    <w:p w14:paraId="563E2718"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2、内部控制原则</w:t>
      </w:r>
    </w:p>
    <w:p w14:paraId="296E9D69"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健全性原则。内部控制机制必须覆盖公司的各项业务、各个部门或机构和各级人员，并涵盖到决策、执行、监督、反馈等各个运作环节。</w:t>
      </w:r>
    </w:p>
    <w:p w14:paraId="139988E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有效性原则。通过科学的内控手段和方法，建立合理的内控程序，维护内控制度的有效执行。</w:t>
      </w:r>
    </w:p>
    <w:p w14:paraId="04250160"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 xml:space="preserve"> 独立性原则。公司各机构、部门和岗位在职能上应当保持相对独立，公司基金资产、自有资产、其他资产的运作应当分离。</w:t>
      </w:r>
    </w:p>
    <w:p w14:paraId="1AB266FD"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相互制约原则。公司内部部门和岗位的设置必须权责分明、相互制衡，并通过切实可行的措施来实行。</w:t>
      </w:r>
    </w:p>
    <w:p w14:paraId="4925CAB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成本效益原则。公司应充分发挥各机构、各部门及各级员工的工作积极性，运用科学化的方法尽量降低经营运作成本，提高经济效益，以合理的控制成本达到最佳的内部控制效果。</w:t>
      </w:r>
    </w:p>
    <w:p w14:paraId="49DE509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lastRenderedPageBreak/>
        <w:t>3、主要内部控制制度</w:t>
      </w:r>
    </w:p>
    <w:p w14:paraId="70C61AE6"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（1）内部会计控制制度</w:t>
      </w:r>
    </w:p>
    <w:p w14:paraId="7B02E149"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公司依据《中华人民共和国会计法》等国家有关法律、法规制订了基金会计制度、公司财务会计制度、会计工作操作流程和会计岗位职责，并针对各个风险控制点建立严密的会计系统控制。</w:t>
      </w:r>
    </w:p>
    <w:p w14:paraId="3889B7E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1661525E"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（2）风险管理控制制度</w:t>
      </w:r>
    </w:p>
    <w:p w14:paraId="2EA1A921"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风险控制制度</w:t>
      </w:r>
      <w:proofErr w:type="gramStart"/>
      <w:r w:rsidRPr="0084479D">
        <w:rPr>
          <w:rFonts w:ascii="宋体" w:hAnsi="宋体" w:cs="Times New Roman" w:hint="eastAsia"/>
          <w:bCs/>
          <w:szCs w:val="24"/>
        </w:rPr>
        <w:t>由风险</w:t>
      </w:r>
      <w:proofErr w:type="gramEnd"/>
      <w:r w:rsidRPr="0084479D">
        <w:rPr>
          <w:rFonts w:ascii="宋体" w:hAnsi="宋体" w:cs="Times New Roman" w:hint="eastAsia"/>
          <w:bCs/>
          <w:szCs w:val="24"/>
        </w:rPr>
        <w:t>控制委员会组织各部门制定，风险控制制度</w:t>
      </w:r>
      <w:proofErr w:type="gramStart"/>
      <w:r w:rsidRPr="0084479D">
        <w:rPr>
          <w:rFonts w:ascii="宋体" w:hAnsi="宋体" w:cs="Times New Roman" w:hint="eastAsia"/>
          <w:bCs/>
          <w:szCs w:val="24"/>
        </w:rPr>
        <w:t>由风</w:t>
      </w:r>
      <w:proofErr w:type="gramEnd"/>
      <w:r w:rsidRPr="0084479D">
        <w:rPr>
          <w:rFonts w:ascii="宋体" w:hAnsi="宋体" w:cs="Times New Roman" w:hint="eastAsia"/>
          <w:bCs/>
          <w:szCs w:val="24"/>
        </w:rPr>
        <w:t>险控制的机构设置、风险控制的程序、风险控制的具体制度、风险控制制度执行情况的监督等部分组成。</w:t>
      </w:r>
    </w:p>
    <w:p w14:paraId="0AE22DAF"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风险控制的具体制度主要包括投资风险管理制度、交易风险管理制度、财务风险控制制度、信息技术系统风险控制制度以及岗位分离制度、防火墙制度、反馈制度、保密制度等程序性风险管理制度。</w:t>
      </w:r>
    </w:p>
    <w:p w14:paraId="21FF4C1F"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（3）监察稽核制度</w:t>
      </w:r>
    </w:p>
    <w:p w14:paraId="5A1807E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公司设立督察长，负责监督检查基金和公司运作的合法合</w:t>
      </w:r>
      <w:proofErr w:type="gramStart"/>
      <w:r w:rsidRPr="0084479D">
        <w:rPr>
          <w:rFonts w:ascii="宋体" w:hAnsi="宋体" w:cs="Times New Roman" w:hint="eastAsia"/>
          <w:bCs/>
          <w:szCs w:val="24"/>
        </w:rPr>
        <w:t>规</w:t>
      </w:r>
      <w:proofErr w:type="gramEnd"/>
      <w:r w:rsidRPr="0084479D">
        <w:rPr>
          <w:rFonts w:ascii="宋体" w:hAnsi="宋体" w:cs="Times New Roman" w:hint="eastAsia"/>
          <w:bCs/>
          <w:szCs w:val="24"/>
        </w:rPr>
        <w:t>情况及公司内部风险控制情况。督察长由总经理提名，董事会聘任，并经全体独立董事同意。</w:t>
      </w:r>
    </w:p>
    <w:p w14:paraId="66F4A739"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84479D">
        <w:rPr>
          <w:rFonts w:ascii="宋体" w:hAnsi="宋体" w:cs="Times New Roman" w:hint="eastAsia"/>
          <w:bCs/>
          <w:szCs w:val="24"/>
        </w:rPr>
        <w:t>长应当</w:t>
      </w:r>
      <w:proofErr w:type="gramEnd"/>
      <w:r w:rsidRPr="0084479D">
        <w:rPr>
          <w:rFonts w:ascii="宋体" w:hAnsi="宋体" w:cs="Times New Roman" w:hint="eastAsia"/>
          <w:bCs/>
          <w:szCs w:val="24"/>
        </w:rPr>
        <w:t>定期或者不定期向全体董事报送工作报告，并在董事会及董事会下设的相关专门委员会定期会议上报告基金及公司运作的合法合规情况及公司内部风险控制情况。</w:t>
      </w:r>
    </w:p>
    <w:p w14:paraId="52C0224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公司设立监察稽核部门，具体执行监察稽核工作。公司配备了充足合格的监察稽核人员，明确规定了监察稽核部门及内部各岗位的职责和工作流程。</w:t>
      </w:r>
    </w:p>
    <w:p w14:paraId="434A7A04" w14:textId="58ACF0FD" w:rsidR="000C66E2" w:rsidRPr="00D871C9"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B37B449" w14:textId="77777777" w:rsidR="000C66E2" w:rsidRPr="004141CB" w:rsidRDefault="000C66E2">
      <w:pPr>
        <w:widowControl/>
        <w:jc w:val="left"/>
        <w:rPr>
          <w:rFonts w:ascii="宋体" w:hAnsi="宋体" w:cs="宋体"/>
          <w:color w:val="000000"/>
        </w:rPr>
      </w:pPr>
      <w:r w:rsidRPr="004141CB">
        <w:rPr>
          <w:rFonts w:ascii="宋体" w:hAnsi="宋体" w:cs="宋体"/>
          <w:color w:val="000000"/>
        </w:rPr>
        <w:br w:type="page"/>
      </w:r>
    </w:p>
    <w:p w14:paraId="248C900A"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46" w:name="_Toc362455181"/>
      <w:bookmarkStart w:id="47" w:name="_Toc416453843"/>
      <w:bookmarkStart w:id="48" w:name="_Toc362533453"/>
      <w:bookmarkStart w:id="49" w:name="_Toc360794514"/>
      <w:bookmarkStart w:id="50" w:name="_Toc360793496"/>
      <w:bookmarkStart w:id="51" w:name="_Toc360793848"/>
      <w:bookmarkStart w:id="52" w:name="_Toc360794406"/>
      <w:bookmarkStart w:id="53" w:name="_Toc360794098"/>
      <w:r w:rsidRPr="00A4035F">
        <w:rPr>
          <w:rFonts w:ascii="宋体" w:eastAsia="宋体" w:hAnsi="宋体" w:cs="宋体" w:hint="eastAsia"/>
        </w:rPr>
        <w:lastRenderedPageBreak/>
        <w:t>基金托管人</w:t>
      </w:r>
      <w:bookmarkEnd w:id="46"/>
      <w:bookmarkEnd w:id="47"/>
      <w:bookmarkEnd w:id="48"/>
      <w:bookmarkEnd w:id="49"/>
      <w:bookmarkEnd w:id="50"/>
      <w:bookmarkEnd w:id="51"/>
      <w:bookmarkEnd w:id="52"/>
      <w:bookmarkEnd w:id="53"/>
    </w:p>
    <w:p w14:paraId="3F7E952B" w14:textId="77777777" w:rsidR="003F75AE" w:rsidRPr="00A4035F" w:rsidRDefault="003F75AE" w:rsidP="003F75AE">
      <w:pPr>
        <w:tabs>
          <w:tab w:val="left" w:pos="2160"/>
        </w:tabs>
        <w:adjustRightInd w:val="0"/>
        <w:snapToGrid w:val="0"/>
        <w:spacing w:line="360" w:lineRule="auto"/>
        <w:ind w:firstLineChars="200" w:firstLine="420"/>
        <w:rPr>
          <w:rFonts w:ascii="宋体" w:cs="Times New Roman"/>
          <w:color w:val="000000"/>
        </w:rPr>
      </w:pPr>
    </w:p>
    <w:p w14:paraId="21FA0173" w14:textId="2E6D56CB" w:rsidR="00BB5C47" w:rsidRPr="00BB5C47" w:rsidRDefault="00BB5C47" w:rsidP="00BB5C47">
      <w:pPr>
        <w:snapToGrid w:val="0"/>
        <w:spacing w:line="360" w:lineRule="auto"/>
        <w:ind w:firstLineChars="200" w:firstLine="420"/>
        <w:rPr>
          <w:rFonts w:ascii="宋体" w:hAnsi="宋体"/>
          <w:bCs/>
        </w:rPr>
      </w:pPr>
      <w:r>
        <w:rPr>
          <w:rFonts w:ascii="宋体" w:hAnsi="宋体" w:hint="eastAsia"/>
          <w:bCs/>
        </w:rPr>
        <w:t>一、</w:t>
      </w:r>
      <w:r w:rsidRPr="00BB5C47">
        <w:rPr>
          <w:rFonts w:ascii="宋体" w:hAnsi="宋体" w:hint="eastAsia"/>
          <w:bCs/>
        </w:rPr>
        <w:t>基金托管人情况</w:t>
      </w:r>
    </w:p>
    <w:p w14:paraId="0F16650F"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1、基本情况</w:t>
      </w:r>
    </w:p>
    <w:p w14:paraId="692FA07A"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名称：中国农业银行股份有限公司（简称中国农业银行）</w:t>
      </w:r>
    </w:p>
    <w:p w14:paraId="632C52B7"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住所：北京市东城区建国门内大街69号</w:t>
      </w:r>
    </w:p>
    <w:p w14:paraId="366E33FC"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办公地址：北京市西城区复兴门内大街28号</w:t>
      </w:r>
      <w:proofErr w:type="gramStart"/>
      <w:r w:rsidRPr="00BB5C47">
        <w:rPr>
          <w:rFonts w:ascii="宋体" w:hAnsi="宋体" w:hint="eastAsia"/>
          <w:bCs/>
        </w:rPr>
        <w:t>凯</w:t>
      </w:r>
      <w:proofErr w:type="gramEnd"/>
      <w:r w:rsidRPr="00BB5C47">
        <w:rPr>
          <w:rFonts w:ascii="宋体" w:hAnsi="宋体" w:hint="eastAsia"/>
          <w:bCs/>
        </w:rPr>
        <w:t>晨世贸中心东座</w:t>
      </w:r>
    </w:p>
    <w:p w14:paraId="3CCD2DE7"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法定代表人：周慕冰</w:t>
      </w:r>
    </w:p>
    <w:p w14:paraId="2666CB37"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成立日期：2009年1月15日</w:t>
      </w:r>
    </w:p>
    <w:p w14:paraId="508EBDB8"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批准设立机关和批准设立文号：中国银监</w:t>
      </w:r>
      <w:proofErr w:type="gramStart"/>
      <w:r w:rsidRPr="00BB5C47">
        <w:rPr>
          <w:rFonts w:ascii="宋体" w:hAnsi="宋体" w:hint="eastAsia"/>
          <w:bCs/>
        </w:rPr>
        <w:t>会银监复</w:t>
      </w:r>
      <w:proofErr w:type="gramEnd"/>
      <w:r w:rsidRPr="00BB5C47">
        <w:rPr>
          <w:rFonts w:ascii="宋体" w:hAnsi="宋体" w:hint="eastAsia"/>
          <w:bCs/>
        </w:rPr>
        <w:t>[2009]13号</w:t>
      </w:r>
    </w:p>
    <w:p w14:paraId="0F11134A"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基金托管业务批准文号：中国证监会</w:t>
      </w:r>
      <w:proofErr w:type="gramStart"/>
      <w:r w:rsidRPr="00BB5C47">
        <w:rPr>
          <w:rFonts w:ascii="宋体" w:hAnsi="宋体" w:hint="eastAsia"/>
          <w:bCs/>
        </w:rPr>
        <w:t>证监基字</w:t>
      </w:r>
      <w:proofErr w:type="gramEnd"/>
      <w:r w:rsidRPr="00BB5C47">
        <w:rPr>
          <w:rFonts w:ascii="宋体" w:hAnsi="宋体" w:hint="eastAsia"/>
          <w:bCs/>
        </w:rPr>
        <w:t>[1998]23号</w:t>
      </w:r>
    </w:p>
    <w:p w14:paraId="1D1DB063"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注册资本：32,479,411.7万元人民币</w:t>
      </w:r>
    </w:p>
    <w:p w14:paraId="170489C7"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存续期间：持续经营</w:t>
      </w:r>
    </w:p>
    <w:p w14:paraId="24265988"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联系电话：010-66060069</w:t>
      </w:r>
    </w:p>
    <w:p w14:paraId="6E457FC2"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传真：010-68121816</w:t>
      </w:r>
    </w:p>
    <w:p w14:paraId="7B432F02"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联系人：贺倩</w:t>
      </w:r>
    </w:p>
    <w:p w14:paraId="5B6F518B"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8981809"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w:t>
      </w:r>
      <w:proofErr w:type="gramStart"/>
      <w:r w:rsidRPr="00BB5C47">
        <w:rPr>
          <w:rFonts w:ascii="宋体" w:hAnsi="宋体" w:hint="eastAsia"/>
          <w:bCs/>
        </w:rPr>
        <w:t>公正第三</w:t>
      </w:r>
      <w:proofErr w:type="gramEnd"/>
      <w:r w:rsidRPr="00BB5C47">
        <w:rPr>
          <w:rFonts w:ascii="宋体" w:hAnsi="宋体" w:hint="eastAsia"/>
          <w:bCs/>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w:t>
      </w:r>
      <w:r w:rsidRPr="00BB5C47">
        <w:rPr>
          <w:rFonts w:ascii="宋体" w:hAnsi="宋体" w:hint="eastAsia"/>
          <w:bCs/>
        </w:rPr>
        <w:lastRenderedPageBreak/>
        <w:t>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w:t>
      </w:r>
      <w:proofErr w:type="gramStart"/>
      <w:r w:rsidRPr="00BB5C47">
        <w:rPr>
          <w:rFonts w:ascii="宋体" w:hAnsi="宋体" w:hint="eastAsia"/>
          <w:bCs/>
        </w:rPr>
        <w:t>募基金</w:t>
      </w:r>
      <w:proofErr w:type="gramEnd"/>
      <w:r w:rsidRPr="00BB5C47">
        <w:rPr>
          <w:rFonts w:ascii="宋体" w:hAnsi="宋体" w:hint="eastAsia"/>
          <w:bCs/>
        </w:rPr>
        <w:t>20年“最佳基金托管银行”奖；2019年荣获证券时报授予的“2019年度资产托管银行天玑奖”称号。</w:t>
      </w:r>
    </w:p>
    <w:p w14:paraId="5DDF099A"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中国农业银行证券投资基金托管部于1998年5月经中国证监会和中国人民银行批准成立，2014年更名为托管业务部/养老金管理中心，内设综合管理部、业务管理部、客户一部、客户二部、客户三部、客户四部、风险合</w:t>
      </w:r>
      <w:proofErr w:type="gramStart"/>
      <w:r w:rsidRPr="00BB5C47">
        <w:rPr>
          <w:rFonts w:ascii="宋体" w:hAnsi="宋体" w:hint="eastAsia"/>
          <w:bCs/>
        </w:rPr>
        <w:t>规</w:t>
      </w:r>
      <w:proofErr w:type="gramEnd"/>
      <w:r w:rsidRPr="00BB5C47">
        <w:rPr>
          <w:rFonts w:ascii="宋体" w:hAnsi="宋体" w:hint="eastAsia"/>
          <w:bCs/>
        </w:rPr>
        <w:t>部、产品研发与信息技术部、营运一部、营运二部、市场营销部、内控监管部、账户管理部，拥有先进的安全防范设施和基金托管业务系统。</w:t>
      </w:r>
    </w:p>
    <w:p w14:paraId="50804E35"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2、主要人员情况</w:t>
      </w:r>
    </w:p>
    <w:p w14:paraId="65452B5B"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14:paraId="299D35AD"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3、基金托管业务经营情况</w:t>
      </w:r>
    </w:p>
    <w:p w14:paraId="0F20EBBE"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截止到2019年6月30日，中国农业银行托管的封闭式证券投资基金和开放式证券投资基金共473只。</w:t>
      </w:r>
    </w:p>
    <w:p w14:paraId="7D008CD8" w14:textId="2558BF99" w:rsidR="00BB5C47" w:rsidRPr="00BB5C47" w:rsidRDefault="00BB5C47" w:rsidP="00BB5C47">
      <w:pPr>
        <w:snapToGrid w:val="0"/>
        <w:spacing w:line="360" w:lineRule="auto"/>
        <w:ind w:firstLineChars="200" w:firstLine="420"/>
        <w:rPr>
          <w:rFonts w:ascii="宋体" w:hAnsi="宋体"/>
          <w:bCs/>
        </w:rPr>
      </w:pPr>
      <w:r>
        <w:rPr>
          <w:rFonts w:ascii="宋体" w:hAnsi="宋体" w:hint="eastAsia"/>
          <w:bCs/>
        </w:rPr>
        <w:t>二、</w:t>
      </w:r>
      <w:r w:rsidRPr="00BB5C47">
        <w:rPr>
          <w:rFonts w:ascii="宋体" w:hAnsi="宋体" w:hint="eastAsia"/>
          <w:bCs/>
        </w:rPr>
        <w:t>基金托管人的内部风险控制制度说明</w:t>
      </w:r>
    </w:p>
    <w:p w14:paraId="19283CD9"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1、内部控制目标</w:t>
      </w:r>
    </w:p>
    <w:p w14:paraId="37B30668"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严格遵守国家有关托管业务的法律法规、行业监管规章和行内有关管理规定,守法经营、规范运作、严格监察,确保业务的稳健运行,保证基金财产的安全</w:t>
      </w:r>
      <w:proofErr w:type="gramStart"/>
      <w:r w:rsidRPr="00BB5C47">
        <w:rPr>
          <w:rFonts w:ascii="宋体" w:hAnsi="宋体" w:hint="eastAsia"/>
          <w:bCs/>
        </w:rPr>
        <w:t>完整,</w:t>
      </w:r>
      <w:proofErr w:type="gramEnd"/>
      <w:r w:rsidRPr="00BB5C47">
        <w:rPr>
          <w:rFonts w:ascii="宋体" w:hAnsi="宋体" w:hint="eastAsia"/>
          <w:bCs/>
        </w:rPr>
        <w:t>确保有关信息的真实、准确、完整、及时,保护基金份额持有人的合法权益。</w:t>
      </w:r>
    </w:p>
    <w:p w14:paraId="6A0998BF"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2、内部控制组织结构</w:t>
      </w:r>
    </w:p>
    <w:p w14:paraId="0D35D6D8"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657FCED2"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3、内部控制制度及措施</w:t>
      </w:r>
    </w:p>
    <w:p w14:paraId="732E2A86"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BB5C47">
        <w:rPr>
          <w:rFonts w:ascii="宋体" w:hAnsi="宋体" w:hint="eastAsia"/>
          <w:bCs/>
        </w:rPr>
        <w:t>操作区</w:t>
      </w:r>
      <w:proofErr w:type="gramEnd"/>
      <w:r w:rsidRPr="00BB5C47">
        <w:rPr>
          <w:rFonts w:ascii="宋体" w:hAnsi="宋体" w:hint="eastAsia"/>
          <w:bCs/>
        </w:rPr>
        <w:t>专门设置，封闭管理,实施音像监控；业务信息由专职信息披露人负责,防止泄密；业务实现自动化操作，防止人为事故的发生，技术系统完整、独立。</w:t>
      </w:r>
    </w:p>
    <w:p w14:paraId="4D224785" w14:textId="3D44D9E1" w:rsidR="00BB5C47" w:rsidRPr="00BB5C47" w:rsidRDefault="00BB5C47" w:rsidP="00BB5C47">
      <w:pPr>
        <w:snapToGrid w:val="0"/>
        <w:spacing w:line="360" w:lineRule="auto"/>
        <w:ind w:firstLineChars="200" w:firstLine="420"/>
        <w:rPr>
          <w:rFonts w:ascii="宋体" w:hAnsi="宋体"/>
          <w:bCs/>
        </w:rPr>
      </w:pPr>
      <w:r>
        <w:rPr>
          <w:rFonts w:ascii="宋体" w:hAnsi="宋体" w:hint="eastAsia"/>
          <w:bCs/>
        </w:rPr>
        <w:t>三、</w:t>
      </w:r>
      <w:r w:rsidRPr="00BB5C47">
        <w:rPr>
          <w:rFonts w:ascii="宋体" w:hAnsi="宋体" w:hint="eastAsia"/>
          <w:bCs/>
        </w:rPr>
        <w:t>基金托管人对基金管理人运作基金进行监督的方法和程序</w:t>
      </w:r>
    </w:p>
    <w:p w14:paraId="371EA870"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基金托管人通过参数设置将《基金法》、《运作办法》、基金合同、托管协议规定的投资</w:t>
      </w:r>
      <w:r w:rsidRPr="00BB5C47">
        <w:rPr>
          <w:rFonts w:ascii="宋体" w:hAnsi="宋体" w:hint="eastAsia"/>
          <w:bCs/>
        </w:rPr>
        <w:lastRenderedPageBreak/>
        <w:t>比例和禁止投资品种输入监控系统，每日登录监控系统监督基金管理人的投资运作，并通过基金资金账户、基金管理人的投资指令等监督基金管理人的其他行为。</w:t>
      </w:r>
    </w:p>
    <w:p w14:paraId="2E30927A"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当基金出现异常交易行为时，基金托管人应当针对不同情况进行以下方式的处理：</w:t>
      </w:r>
    </w:p>
    <w:p w14:paraId="1870183B"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1、电话提示。对媒体和舆论反映集中的问题，电话提示基金管理人；</w:t>
      </w:r>
    </w:p>
    <w:p w14:paraId="1F5E54F8" w14:textId="77777777" w:rsidR="00BB5C47" w:rsidRPr="00BB5C47" w:rsidRDefault="00BB5C47" w:rsidP="00BB5C47">
      <w:pPr>
        <w:snapToGrid w:val="0"/>
        <w:spacing w:line="360" w:lineRule="auto"/>
        <w:ind w:firstLineChars="200" w:firstLine="420"/>
        <w:rPr>
          <w:rFonts w:ascii="宋体" w:hAnsi="宋体"/>
          <w:bCs/>
        </w:rPr>
      </w:pPr>
      <w:r w:rsidRPr="00BB5C47">
        <w:rPr>
          <w:rFonts w:ascii="宋体" w:hAnsi="宋体" w:hint="eastAsia"/>
          <w:bCs/>
        </w:rPr>
        <w:t>2、书面警示。对本基金投资比例接近超标、资金头寸不足等问题，以书面方式对基金管理人进行提示；</w:t>
      </w:r>
    </w:p>
    <w:p w14:paraId="038335AA" w14:textId="00EE7727" w:rsidR="000C66E2" w:rsidRDefault="00BB5C47" w:rsidP="00BB5C47">
      <w:pPr>
        <w:snapToGrid w:val="0"/>
        <w:spacing w:line="360" w:lineRule="auto"/>
        <w:ind w:firstLineChars="200" w:firstLine="420"/>
        <w:rPr>
          <w:rFonts w:ascii="宋体" w:hAnsi="宋体"/>
          <w:bCs/>
        </w:rPr>
      </w:pPr>
      <w:r w:rsidRPr="00BB5C47">
        <w:rPr>
          <w:rFonts w:ascii="宋体" w:hAnsi="宋体" w:hint="eastAsia"/>
          <w:bCs/>
        </w:rPr>
        <w:t>3、书面报告。对投资比例超标、清算资金透支以及其他涉嫌违规交易等行为，书面提示有关基金管理人并报中国证监会。</w:t>
      </w:r>
    </w:p>
    <w:p w14:paraId="5BAE640B" w14:textId="77777777" w:rsidR="000C66E2" w:rsidRPr="000C66E2" w:rsidRDefault="000C66E2" w:rsidP="003F75AE">
      <w:pPr>
        <w:tabs>
          <w:tab w:val="left" w:pos="2160"/>
        </w:tabs>
        <w:adjustRightInd w:val="0"/>
        <w:snapToGrid w:val="0"/>
        <w:spacing w:line="360" w:lineRule="auto"/>
        <w:ind w:firstLineChars="200" w:firstLine="422"/>
        <w:rPr>
          <w:rFonts w:ascii="宋体" w:hAnsi="宋体" w:cs="宋体"/>
          <w:b/>
          <w:bCs/>
          <w:color w:val="000000"/>
        </w:rPr>
      </w:pPr>
    </w:p>
    <w:p w14:paraId="4C40D70E" w14:textId="77777777" w:rsidR="000C66E2" w:rsidRDefault="000C66E2">
      <w:pPr>
        <w:widowControl/>
        <w:jc w:val="left"/>
        <w:rPr>
          <w:rFonts w:ascii="宋体" w:cs="Times New Roman"/>
          <w:color w:val="000000"/>
          <w:kern w:val="0"/>
        </w:rPr>
      </w:pPr>
      <w:r>
        <w:rPr>
          <w:rFonts w:ascii="宋体" w:cs="Times New Roman"/>
          <w:color w:val="000000"/>
          <w:kern w:val="0"/>
        </w:rPr>
        <w:br w:type="page"/>
      </w:r>
    </w:p>
    <w:p w14:paraId="6E8724DA" w14:textId="77777777" w:rsidR="003F75AE" w:rsidRPr="00A4035F" w:rsidRDefault="003F75AE" w:rsidP="003F75AE">
      <w:pPr>
        <w:adjustRightInd w:val="0"/>
        <w:snapToGrid w:val="0"/>
        <w:spacing w:line="360" w:lineRule="auto"/>
        <w:ind w:firstLineChars="200" w:firstLine="420"/>
        <w:rPr>
          <w:rFonts w:ascii="宋体" w:cs="Times New Roman"/>
          <w:color w:val="000000"/>
          <w:kern w:val="0"/>
        </w:rPr>
      </w:pPr>
    </w:p>
    <w:p w14:paraId="519DA732"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54" w:name="_Toc416453844"/>
      <w:bookmarkStart w:id="55" w:name="_Toc362455182"/>
      <w:bookmarkStart w:id="56" w:name="_Toc360794515"/>
      <w:bookmarkStart w:id="57" w:name="_Toc360794407"/>
      <w:bookmarkStart w:id="58" w:name="_Toc362533454"/>
      <w:bookmarkStart w:id="59" w:name="_Toc360793849"/>
      <w:bookmarkStart w:id="60" w:name="_Toc360794099"/>
      <w:bookmarkStart w:id="61" w:name="_Toc360793497"/>
      <w:r w:rsidRPr="00A4035F">
        <w:rPr>
          <w:rFonts w:ascii="宋体" w:eastAsia="宋体" w:hAnsi="宋体" w:cs="宋体" w:hint="eastAsia"/>
        </w:rPr>
        <w:t>相关服务机构</w:t>
      </w:r>
      <w:bookmarkEnd w:id="54"/>
      <w:bookmarkEnd w:id="55"/>
      <w:bookmarkEnd w:id="56"/>
      <w:bookmarkEnd w:id="57"/>
      <w:bookmarkEnd w:id="58"/>
      <w:bookmarkEnd w:id="59"/>
      <w:bookmarkEnd w:id="60"/>
      <w:bookmarkEnd w:id="61"/>
    </w:p>
    <w:p w14:paraId="28240780" w14:textId="77777777" w:rsidR="003F75AE" w:rsidRPr="00A4035F" w:rsidRDefault="003F75AE">
      <w:pPr>
        <w:autoSpaceDE w:val="0"/>
        <w:autoSpaceDN w:val="0"/>
        <w:adjustRightInd w:val="0"/>
        <w:snapToGrid w:val="0"/>
        <w:spacing w:line="360" w:lineRule="auto"/>
        <w:ind w:firstLine="420"/>
        <w:rPr>
          <w:rFonts w:ascii="宋体" w:cs="Times New Roman"/>
          <w:b/>
          <w:bCs/>
          <w:color w:val="000000"/>
          <w:kern w:val="0"/>
        </w:rPr>
      </w:pPr>
    </w:p>
    <w:p w14:paraId="09408747" w14:textId="77777777" w:rsidR="000C66E2" w:rsidRPr="00FD4390" w:rsidRDefault="000C66E2" w:rsidP="000C66E2">
      <w:pPr>
        <w:autoSpaceDE w:val="0"/>
        <w:autoSpaceDN w:val="0"/>
        <w:adjustRightInd w:val="0"/>
        <w:snapToGrid w:val="0"/>
        <w:spacing w:line="360" w:lineRule="auto"/>
        <w:ind w:firstLine="420"/>
        <w:rPr>
          <w:rFonts w:ascii="宋体" w:cs="Times New Roman"/>
          <w:bCs/>
          <w:color w:val="000000"/>
          <w:kern w:val="0"/>
        </w:rPr>
      </w:pPr>
      <w:r w:rsidRPr="00FD4390">
        <w:rPr>
          <w:rFonts w:ascii="宋体" w:hAnsi="宋体" w:cs="宋体" w:hint="eastAsia"/>
          <w:bCs/>
          <w:color w:val="000000"/>
          <w:kern w:val="0"/>
        </w:rPr>
        <w:t>一、销售机构</w:t>
      </w:r>
    </w:p>
    <w:p w14:paraId="1CB26EC1" w14:textId="2E00E549" w:rsidR="000C66E2" w:rsidRPr="00FD4390" w:rsidRDefault="0042628F" w:rsidP="00FD4390">
      <w:pPr>
        <w:tabs>
          <w:tab w:val="left" w:pos="840"/>
        </w:tabs>
        <w:adjustRightInd w:val="0"/>
        <w:snapToGrid w:val="0"/>
        <w:spacing w:line="360" w:lineRule="auto"/>
        <w:ind w:firstLineChars="200" w:firstLine="420"/>
        <w:rPr>
          <w:rFonts w:hAnsi="宋体" w:cs="宋体"/>
          <w:color w:val="000000"/>
        </w:rPr>
      </w:pPr>
      <w:r w:rsidRPr="00FD4390">
        <w:rPr>
          <w:rFonts w:ascii="宋体" w:hAnsi="宋体" w:cs="宋体" w:hint="eastAsia"/>
          <w:color w:val="000000"/>
        </w:rPr>
        <w:t>基金份额发售机构详见</w:t>
      </w:r>
      <w:r w:rsidR="00C92372" w:rsidRPr="00C92372">
        <w:rPr>
          <w:rFonts w:ascii="宋体" w:hAnsi="宋体" w:cs="宋体" w:hint="eastAsia"/>
          <w:color w:val="000000"/>
        </w:rPr>
        <w:t>基金份额</w:t>
      </w:r>
      <w:r w:rsidRPr="00FD4390">
        <w:rPr>
          <w:rFonts w:ascii="宋体" w:hAnsi="宋体" w:cs="宋体" w:hint="eastAsia"/>
          <w:color w:val="000000"/>
        </w:rPr>
        <w:t>发售公告及基金管理人发布的相关公告。</w:t>
      </w:r>
    </w:p>
    <w:p w14:paraId="044F9179" w14:textId="77777777" w:rsidR="000C66E2" w:rsidRPr="00C92372" w:rsidRDefault="000C66E2" w:rsidP="000C66E2">
      <w:pPr>
        <w:snapToGrid w:val="0"/>
        <w:spacing w:line="360" w:lineRule="auto"/>
        <w:rPr>
          <w:rFonts w:ascii="宋体" w:cs="Times New Roman"/>
        </w:rPr>
      </w:pPr>
    </w:p>
    <w:p w14:paraId="7B8C7AA3" w14:textId="77777777" w:rsidR="000C66E2" w:rsidRPr="00FD4390" w:rsidRDefault="000C66E2" w:rsidP="000C66E2">
      <w:pPr>
        <w:autoSpaceDE w:val="0"/>
        <w:autoSpaceDN w:val="0"/>
        <w:adjustRightInd w:val="0"/>
        <w:snapToGrid w:val="0"/>
        <w:spacing w:line="360" w:lineRule="auto"/>
        <w:ind w:firstLine="420"/>
        <w:rPr>
          <w:rFonts w:ascii="宋体" w:cs="Times New Roman"/>
          <w:bCs/>
          <w:color w:val="000000"/>
          <w:kern w:val="0"/>
        </w:rPr>
      </w:pPr>
      <w:r w:rsidRPr="00FD4390">
        <w:rPr>
          <w:rFonts w:ascii="宋体" w:hAnsi="宋体" w:cs="宋体" w:hint="eastAsia"/>
          <w:bCs/>
          <w:color w:val="000000"/>
          <w:kern w:val="0"/>
        </w:rPr>
        <w:t>二、登记机构</w:t>
      </w:r>
    </w:p>
    <w:p w14:paraId="5749BB72" w14:textId="62B15BC2" w:rsidR="000C66E2" w:rsidRDefault="00FD4390" w:rsidP="000C66E2">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南方基金管理股份有限公司</w:t>
      </w:r>
    </w:p>
    <w:p w14:paraId="42A8E48C" w14:textId="3CAEF8EF" w:rsidR="000C66E2" w:rsidRDefault="000C66E2" w:rsidP="000C66E2">
      <w:pPr>
        <w:adjustRightInd w:val="0"/>
        <w:snapToGrid w:val="0"/>
        <w:spacing w:line="360" w:lineRule="auto"/>
        <w:ind w:firstLineChars="200" w:firstLine="420"/>
        <w:rPr>
          <w:rFonts w:ascii="宋体" w:cs="Times New Roman"/>
          <w:color w:val="000000"/>
          <w:kern w:val="0"/>
        </w:rPr>
      </w:pPr>
      <w:r>
        <w:rPr>
          <w:rFonts w:ascii="宋体" w:hAnsi="宋体" w:cs="宋体" w:hint="eastAsia"/>
        </w:rPr>
        <w:t>住所及办公地址</w:t>
      </w:r>
      <w:r>
        <w:rPr>
          <w:rFonts w:ascii="宋体" w:hAnsi="宋体" w:cs="宋体" w:hint="eastAsia"/>
          <w:color w:val="000000"/>
          <w:kern w:val="0"/>
        </w:rPr>
        <w:t>：</w:t>
      </w:r>
      <w:r w:rsidR="00BD06BF" w:rsidRPr="00BD06BF">
        <w:rPr>
          <w:rFonts w:ascii="宋体" w:hAnsi="宋体" w:cs="宋体" w:hint="eastAsia"/>
          <w:color w:val="000000"/>
          <w:kern w:val="0"/>
        </w:rPr>
        <w:t>深圳市福田区莲花街道益田路5999号基金大厦32-42楼</w:t>
      </w:r>
    </w:p>
    <w:p w14:paraId="6454AA6B" w14:textId="345E3F20" w:rsidR="000C66E2" w:rsidRDefault="000C66E2" w:rsidP="000C66E2">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法定代表人：</w:t>
      </w:r>
      <w:r w:rsidR="00370A14">
        <w:rPr>
          <w:rFonts w:ascii="宋体" w:hAnsi="宋体" w:cs="宋体" w:hint="eastAsia"/>
          <w:color w:val="000000"/>
        </w:rPr>
        <w:t>张海波</w:t>
      </w:r>
    </w:p>
    <w:p w14:paraId="1F1AC9BA" w14:textId="77777777" w:rsidR="000C66E2" w:rsidRDefault="000C66E2" w:rsidP="000C66E2">
      <w:pPr>
        <w:adjustRightInd w:val="0"/>
        <w:snapToGrid w:val="0"/>
        <w:spacing w:line="360" w:lineRule="auto"/>
        <w:ind w:firstLineChars="200" w:firstLine="420"/>
        <w:rPr>
          <w:rFonts w:ascii="宋体" w:cs="Times New Roman"/>
          <w:color w:val="000000"/>
          <w:kern w:val="0"/>
        </w:rPr>
      </w:pPr>
      <w:r>
        <w:rPr>
          <w:rFonts w:ascii="宋体" w:hAnsi="宋体" w:cs="宋体" w:hint="eastAsia"/>
          <w:color w:val="000000"/>
          <w:kern w:val="0"/>
        </w:rPr>
        <w:t>电话：（</w:t>
      </w:r>
      <w:r>
        <w:rPr>
          <w:rFonts w:ascii="宋体" w:hAnsi="宋体" w:cs="宋体"/>
          <w:color w:val="000000"/>
          <w:kern w:val="0"/>
        </w:rPr>
        <w:t>0755</w:t>
      </w:r>
      <w:r>
        <w:rPr>
          <w:rFonts w:ascii="宋体" w:hAnsi="宋体" w:cs="宋体" w:hint="eastAsia"/>
          <w:color w:val="000000"/>
          <w:kern w:val="0"/>
        </w:rPr>
        <w:t>）</w:t>
      </w:r>
      <w:r>
        <w:rPr>
          <w:rFonts w:ascii="宋体" w:hAnsi="宋体" w:cs="宋体"/>
        </w:rPr>
        <w:t>82763849</w:t>
      </w:r>
    </w:p>
    <w:p w14:paraId="61B9ABE6" w14:textId="77777777" w:rsidR="000C66E2" w:rsidRDefault="000C66E2" w:rsidP="000C66E2">
      <w:pPr>
        <w:adjustRightInd w:val="0"/>
        <w:snapToGrid w:val="0"/>
        <w:spacing w:line="360" w:lineRule="auto"/>
        <w:ind w:firstLineChars="200" w:firstLine="420"/>
        <w:rPr>
          <w:rFonts w:ascii="宋体" w:cs="Times New Roman"/>
          <w:color w:val="000000"/>
          <w:kern w:val="0"/>
        </w:rPr>
      </w:pPr>
      <w:r>
        <w:rPr>
          <w:rFonts w:ascii="宋体" w:hAnsi="宋体" w:cs="宋体" w:hint="eastAsia"/>
          <w:color w:val="000000"/>
          <w:kern w:val="0"/>
        </w:rPr>
        <w:t>传真：（</w:t>
      </w:r>
      <w:r>
        <w:rPr>
          <w:rFonts w:ascii="宋体" w:hAnsi="宋体" w:cs="宋体"/>
          <w:color w:val="000000"/>
          <w:kern w:val="0"/>
        </w:rPr>
        <w:t>0755</w:t>
      </w:r>
      <w:r>
        <w:rPr>
          <w:rFonts w:ascii="宋体" w:hAnsi="宋体" w:cs="宋体" w:hint="eastAsia"/>
          <w:color w:val="000000"/>
          <w:kern w:val="0"/>
        </w:rPr>
        <w:t>）</w:t>
      </w:r>
      <w:r>
        <w:rPr>
          <w:rFonts w:ascii="宋体" w:hAnsi="宋体" w:cs="宋体"/>
        </w:rPr>
        <w:t>82763889</w:t>
      </w:r>
    </w:p>
    <w:p w14:paraId="2B0493C3" w14:textId="64F090BA" w:rsidR="000C66E2" w:rsidRDefault="000C66E2" w:rsidP="000C66E2">
      <w:pPr>
        <w:adjustRightInd w:val="0"/>
        <w:snapToGrid w:val="0"/>
        <w:spacing w:line="360" w:lineRule="auto"/>
        <w:ind w:firstLineChars="200" w:firstLine="420"/>
        <w:rPr>
          <w:rFonts w:ascii="宋体" w:cs="Times New Roman"/>
          <w:color w:val="000000"/>
          <w:kern w:val="0"/>
        </w:rPr>
      </w:pPr>
      <w:r>
        <w:rPr>
          <w:rFonts w:ascii="宋体" w:hAnsi="宋体" w:cs="宋体" w:hint="eastAsia"/>
          <w:color w:val="000000"/>
          <w:kern w:val="0"/>
        </w:rPr>
        <w:t>联系人：</w:t>
      </w:r>
      <w:r>
        <w:rPr>
          <w:rFonts w:ascii="宋体" w:hAnsi="宋体" w:cs="宋体" w:hint="eastAsia"/>
        </w:rPr>
        <w:t>古和</w:t>
      </w:r>
      <w:proofErr w:type="gramStart"/>
      <w:r>
        <w:rPr>
          <w:rFonts w:ascii="宋体" w:hAnsi="宋体" w:cs="宋体" w:hint="eastAsia"/>
        </w:rPr>
        <w:t>鹏</w:t>
      </w:r>
      <w:proofErr w:type="gramEnd"/>
    </w:p>
    <w:p w14:paraId="69A56752" w14:textId="77777777" w:rsidR="000C66E2" w:rsidRDefault="000C66E2" w:rsidP="000C66E2">
      <w:pPr>
        <w:tabs>
          <w:tab w:val="left" w:pos="840"/>
        </w:tabs>
        <w:adjustRightInd w:val="0"/>
        <w:snapToGrid w:val="0"/>
        <w:spacing w:line="360" w:lineRule="auto"/>
        <w:ind w:firstLineChars="200" w:firstLine="420"/>
        <w:rPr>
          <w:rFonts w:ascii="宋体" w:cs="Times New Roman"/>
          <w:color w:val="000000"/>
        </w:rPr>
      </w:pPr>
    </w:p>
    <w:p w14:paraId="1DBD4A7B"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三、出具法律意见书的律师事务所</w:t>
      </w:r>
    </w:p>
    <w:p w14:paraId="01DF0211"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名称：上海市通力律师事务所</w:t>
      </w:r>
    </w:p>
    <w:p w14:paraId="635EEE30"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注册地址：上海市银城中路68号时代金融中心19楼</w:t>
      </w:r>
    </w:p>
    <w:p w14:paraId="4BE48121"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负责人：俞卫锋</w:t>
      </w:r>
    </w:p>
    <w:p w14:paraId="183AA9BB"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联系人：丁媛</w:t>
      </w:r>
    </w:p>
    <w:p w14:paraId="1D8E1D23"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电话: (86 21) 3135 8666</w:t>
      </w:r>
    </w:p>
    <w:p w14:paraId="70009603"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传真: (86 21) 3135 8600</w:t>
      </w:r>
    </w:p>
    <w:p w14:paraId="6187EA2C"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经办律师：黎明、丁媛</w:t>
      </w:r>
    </w:p>
    <w:p w14:paraId="362F8834"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p>
    <w:p w14:paraId="58891425"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四、审计基金财产的会计师事务所</w:t>
      </w:r>
    </w:p>
    <w:p w14:paraId="1DD6C6CE"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名称：普华永道中天会计师事务所（特殊普通合伙）</w:t>
      </w:r>
    </w:p>
    <w:p w14:paraId="53958DDF"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住所：上海市浦东新区陆家嘴环路1318号</w:t>
      </w:r>
      <w:proofErr w:type="gramStart"/>
      <w:r w:rsidRPr="00FD73D1">
        <w:rPr>
          <w:rFonts w:ascii="宋体" w:hAnsi="宋体" w:cs="宋体" w:hint="eastAsia"/>
          <w:bCs/>
          <w:color w:val="000000"/>
        </w:rPr>
        <w:t>星展银行</w:t>
      </w:r>
      <w:proofErr w:type="gramEnd"/>
      <w:r w:rsidRPr="00FD73D1">
        <w:rPr>
          <w:rFonts w:ascii="宋体" w:hAnsi="宋体" w:cs="宋体" w:hint="eastAsia"/>
          <w:bCs/>
          <w:color w:val="000000"/>
        </w:rPr>
        <w:t>大厦6楼</w:t>
      </w:r>
    </w:p>
    <w:p w14:paraId="2B709754"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办公地址：上海市湖滨路202号普华永道中心11楼</w:t>
      </w:r>
    </w:p>
    <w:p w14:paraId="196A39E6"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执行事务合伙人：李丹</w:t>
      </w:r>
    </w:p>
    <w:p w14:paraId="1B3BF1DE"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联系人：曹阳</w:t>
      </w:r>
    </w:p>
    <w:p w14:paraId="65BA85CC"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联系电话：021-23238888</w:t>
      </w:r>
    </w:p>
    <w:p w14:paraId="3FABCD22"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传真：021-23238800</w:t>
      </w:r>
    </w:p>
    <w:p w14:paraId="2D19E239" w14:textId="2EA0AF35" w:rsidR="000C66E2" w:rsidRDefault="00FD73D1" w:rsidP="000C66E2">
      <w:pPr>
        <w:tabs>
          <w:tab w:val="left" w:pos="840"/>
        </w:tabs>
        <w:adjustRightInd w:val="0"/>
        <w:snapToGrid w:val="0"/>
        <w:spacing w:line="360" w:lineRule="auto"/>
        <w:ind w:firstLineChars="200" w:firstLine="420"/>
        <w:rPr>
          <w:rFonts w:ascii="宋体" w:cs="Times New Roman"/>
          <w:color w:val="000000"/>
        </w:rPr>
      </w:pPr>
      <w:r w:rsidRPr="00FD73D1">
        <w:rPr>
          <w:rFonts w:ascii="宋体" w:hAnsi="宋体" w:cs="宋体" w:hint="eastAsia"/>
          <w:bCs/>
          <w:color w:val="000000"/>
        </w:rPr>
        <w:t>经办注册会计师：薛竞、曹阳</w:t>
      </w:r>
    </w:p>
    <w:p w14:paraId="55087AE0" w14:textId="77777777" w:rsidR="000C66E2" w:rsidRDefault="000C66E2" w:rsidP="000C66E2">
      <w:pPr>
        <w:tabs>
          <w:tab w:val="left" w:pos="840"/>
        </w:tabs>
        <w:adjustRightInd w:val="0"/>
        <w:snapToGrid w:val="0"/>
        <w:spacing w:line="360" w:lineRule="auto"/>
        <w:ind w:firstLineChars="200" w:firstLine="420"/>
        <w:rPr>
          <w:rFonts w:ascii="宋体" w:cs="Times New Roman"/>
        </w:rPr>
      </w:pPr>
      <w:r>
        <w:rPr>
          <w:rFonts w:ascii="宋体" w:cs="Times New Roman"/>
          <w:color w:val="000000"/>
        </w:rPr>
        <w:br w:type="page"/>
      </w:r>
    </w:p>
    <w:p w14:paraId="415EB8DE" w14:textId="77777777" w:rsidR="003F75AE" w:rsidRPr="00333843"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62" w:name="_Toc360793850"/>
      <w:bookmarkStart w:id="63" w:name="_Toc360793498"/>
      <w:bookmarkStart w:id="64" w:name="_Toc360794408"/>
      <w:bookmarkStart w:id="65" w:name="_Toc360794516"/>
      <w:bookmarkStart w:id="66" w:name="_Toc416453845"/>
      <w:bookmarkStart w:id="67" w:name="_Toc360794100"/>
      <w:bookmarkStart w:id="68" w:name="_Toc362533455"/>
      <w:bookmarkStart w:id="69" w:name="_Toc362455183"/>
      <w:r w:rsidRPr="00333843">
        <w:rPr>
          <w:rFonts w:ascii="宋体" w:eastAsia="宋体" w:hAnsi="宋体" w:cs="宋体" w:hint="eastAsia"/>
        </w:rPr>
        <w:lastRenderedPageBreak/>
        <w:t>基金募集</w:t>
      </w:r>
      <w:bookmarkEnd w:id="62"/>
      <w:bookmarkEnd w:id="63"/>
      <w:bookmarkEnd w:id="64"/>
      <w:bookmarkEnd w:id="65"/>
      <w:bookmarkEnd w:id="66"/>
      <w:bookmarkEnd w:id="67"/>
      <w:bookmarkEnd w:id="68"/>
      <w:bookmarkEnd w:id="69"/>
    </w:p>
    <w:p w14:paraId="69E70027" w14:textId="77777777" w:rsidR="003F75AE" w:rsidRPr="00333843" w:rsidRDefault="003F75AE" w:rsidP="003F75AE">
      <w:pPr>
        <w:pStyle w:val="32"/>
        <w:snapToGrid w:val="0"/>
        <w:spacing w:line="360" w:lineRule="auto"/>
        <w:ind w:firstLineChars="200" w:firstLine="420"/>
        <w:rPr>
          <w:rFonts w:hAnsi="宋体" w:cs="Times New Roman"/>
          <w:sz w:val="21"/>
          <w:szCs w:val="21"/>
        </w:rPr>
      </w:pPr>
    </w:p>
    <w:p w14:paraId="5DFDBA66" w14:textId="2EFC056A" w:rsidR="000C66E2" w:rsidRPr="00D23217" w:rsidRDefault="000C66E2" w:rsidP="000C66E2">
      <w:pPr>
        <w:pStyle w:val="32"/>
        <w:snapToGrid w:val="0"/>
        <w:spacing w:line="360" w:lineRule="auto"/>
        <w:ind w:firstLineChars="200" w:firstLine="420"/>
        <w:rPr>
          <w:rFonts w:hAnsi="宋体" w:cs="Times New Roman"/>
          <w:sz w:val="21"/>
          <w:szCs w:val="21"/>
        </w:rPr>
      </w:pPr>
      <w:bookmarkStart w:id="70" w:name="_Hlk496537711"/>
      <w:r w:rsidRPr="00D23217">
        <w:rPr>
          <w:rFonts w:hAnsi="宋体" w:hint="eastAsia"/>
          <w:sz w:val="21"/>
          <w:szCs w:val="21"/>
        </w:rPr>
        <w:t>本基金由基金管理人依照《基金法》、《运作办法》、《销售办法》、基金合同及其他有关规定，并经中国证监会</w:t>
      </w:r>
      <w:r w:rsidR="00431F66">
        <w:rPr>
          <w:rFonts w:hAnsi="宋体"/>
          <w:sz w:val="21"/>
          <w:szCs w:val="21"/>
        </w:rPr>
        <w:t>2019</w:t>
      </w:r>
      <w:r w:rsidRPr="00D23217">
        <w:rPr>
          <w:rFonts w:hAnsi="宋体" w:hint="eastAsia"/>
          <w:sz w:val="21"/>
          <w:szCs w:val="21"/>
        </w:rPr>
        <w:t>年</w:t>
      </w:r>
      <w:r w:rsidR="00431F66">
        <w:rPr>
          <w:rFonts w:hAnsi="宋体"/>
          <w:sz w:val="21"/>
          <w:szCs w:val="21"/>
        </w:rPr>
        <w:t>10</w:t>
      </w:r>
      <w:r w:rsidRPr="00D23217">
        <w:rPr>
          <w:rFonts w:hAnsi="宋体" w:hint="eastAsia"/>
          <w:sz w:val="21"/>
          <w:szCs w:val="21"/>
        </w:rPr>
        <w:t>月</w:t>
      </w:r>
      <w:r w:rsidR="00431F66">
        <w:rPr>
          <w:rFonts w:hAnsi="宋体"/>
          <w:sz w:val="21"/>
          <w:szCs w:val="21"/>
        </w:rPr>
        <w:t>11</w:t>
      </w:r>
      <w:r w:rsidRPr="00D23217">
        <w:rPr>
          <w:rFonts w:hAnsi="宋体" w:hint="eastAsia"/>
          <w:sz w:val="21"/>
          <w:szCs w:val="21"/>
        </w:rPr>
        <w:t>日证监许可</w:t>
      </w:r>
      <w:r w:rsidR="00E95487" w:rsidRPr="00E95487">
        <w:rPr>
          <w:rFonts w:hAnsi="宋体" w:hint="eastAsia"/>
          <w:sz w:val="21"/>
          <w:szCs w:val="21"/>
        </w:rPr>
        <w:t>〔</w:t>
      </w:r>
      <w:r w:rsidR="00431F66" w:rsidRPr="00E95487">
        <w:rPr>
          <w:rFonts w:hAnsi="宋体" w:hint="eastAsia"/>
          <w:sz w:val="21"/>
          <w:szCs w:val="21"/>
        </w:rPr>
        <w:t>20</w:t>
      </w:r>
      <w:r w:rsidR="00431F66">
        <w:rPr>
          <w:rFonts w:hAnsi="宋体"/>
          <w:sz w:val="21"/>
          <w:szCs w:val="21"/>
        </w:rPr>
        <w:t>19</w:t>
      </w:r>
      <w:r w:rsidR="00E95487" w:rsidRPr="00E95487">
        <w:rPr>
          <w:rFonts w:hAnsi="宋体" w:hint="eastAsia"/>
          <w:sz w:val="21"/>
          <w:szCs w:val="21"/>
        </w:rPr>
        <w:t>〕</w:t>
      </w:r>
      <w:r w:rsidR="00431F66">
        <w:rPr>
          <w:rFonts w:hAnsi="宋体"/>
          <w:sz w:val="21"/>
          <w:szCs w:val="21"/>
        </w:rPr>
        <w:t>1889</w:t>
      </w:r>
      <w:r w:rsidRPr="00D23217">
        <w:rPr>
          <w:rFonts w:hAnsi="宋体" w:hint="eastAsia"/>
          <w:sz w:val="21"/>
          <w:szCs w:val="21"/>
        </w:rPr>
        <w:t>号</w:t>
      </w:r>
      <w:proofErr w:type="gramStart"/>
      <w:r w:rsidRPr="00D23217">
        <w:rPr>
          <w:rFonts w:hAnsi="宋体" w:hint="eastAsia"/>
          <w:sz w:val="21"/>
          <w:szCs w:val="21"/>
        </w:rPr>
        <w:t>文注册</w:t>
      </w:r>
      <w:proofErr w:type="gramEnd"/>
      <w:r w:rsidRPr="00D23217">
        <w:rPr>
          <w:rFonts w:hAnsi="宋体" w:hint="eastAsia"/>
          <w:sz w:val="21"/>
          <w:szCs w:val="21"/>
        </w:rPr>
        <w:t>募集。</w:t>
      </w:r>
    </w:p>
    <w:p w14:paraId="69E4B9E9" w14:textId="77777777" w:rsidR="000C66E2" w:rsidRPr="008B4B39" w:rsidRDefault="000C66E2" w:rsidP="000C66E2">
      <w:pPr>
        <w:snapToGrid w:val="0"/>
        <w:spacing w:line="360" w:lineRule="auto"/>
        <w:ind w:firstLineChars="200" w:firstLine="420"/>
        <w:rPr>
          <w:rFonts w:ascii="宋体" w:cs="Times New Roman"/>
          <w:color w:val="000000"/>
        </w:rPr>
      </w:pPr>
      <w:r w:rsidRPr="00115F51">
        <w:rPr>
          <w:rFonts w:ascii="宋体" w:hAnsi="宋体" w:cs="宋体" w:hint="eastAsia"/>
        </w:rPr>
        <w:t>本基金的</w:t>
      </w:r>
      <w:r w:rsidRPr="00115F51">
        <w:rPr>
          <w:rFonts w:ascii="宋体" w:hAnsi="宋体" w:cs="宋体"/>
        </w:rPr>
        <w:t>类别</w:t>
      </w:r>
      <w:r w:rsidRPr="00115F51">
        <w:rPr>
          <w:rFonts w:ascii="宋体" w:hAnsi="宋体" w:cs="宋体" w:hint="eastAsia"/>
        </w:rPr>
        <w:t>为ETF</w:t>
      </w:r>
      <w:r w:rsidRPr="005F6D92">
        <w:rPr>
          <w:rFonts w:ascii="宋体" w:hAnsi="宋体" w:cs="宋体" w:hint="eastAsia"/>
        </w:rPr>
        <w:t>联接</w:t>
      </w:r>
      <w:r w:rsidRPr="005F6D92">
        <w:rPr>
          <w:rFonts w:ascii="宋体" w:hAnsi="宋体" w:cs="宋体"/>
        </w:rPr>
        <w:t>基金</w:t>
      </w:r>
      <w:r w:rsidRPr="005F6D92">
        <w:rPr>
          <w:rFonts w:ascii="宋体" w:hAnsi="宋体" w:cs="宋体" w:hint="eastAsia"/>
        </w:rPr>
        <w:t>，运作方式</w:t>
      </w:r>
      <w:r w:rsidRPr="005F6D92">
        <w:rPr>
          <w:rFonts w:ascii="宋体" w:hAnsi="宋体" w:cs="宋体"/>
        </w:rPr>
        <w:t>为</w:t>
      </w:r>
      <w:r w:rsidRPr="005F6D92">
        <w:rPr>
          <w:rFonts w:ascii="宋体" w:hAnsi="宋体" w:cs="宋体" w:hint="eastAsia"/>
        </w:rPr>
        <w:t>契约型开放式基金，基金存续期限为不定期</w:t>
      </w:r>
      <w:r w:rsidRPr="005F6D92">
        <w:rPr>
          <w:rFonts w:ascii="宋体" w:hAnsi="宋体" w:cs="宋体" w:hint="eastAsia"/>
          <w:color w:val="000000"/>
        </w:rPr>
        <w:t>。</w:t>
      </w:r>
    </w:p>
    <w:p w14:paraId="06BD1E34" w14:textId="77777777" w:rsidR="000C66E2" w:rsidRPr="00DC4CEE" w:rsidRDefault="000C66E2" w:rsidP="000C66E2">
      <w:pPr>
        <w:snapToGrid w:val="0"/>
        <w:spacing w:line="360" w:lineRule="auto"/>
        <w:ind w:firstLineChars="200" w:firstLine="420"/>
        <w:rPr>
          <w:rFonts w:ascii="宋体" w:cs="Times New Roman"/>
          <w:color w:val="000000"/>
        </w:rPr>
      </w:pPr>
    </w:p>
    <w:p w14:paraId="203C5C5A" w14:textId="77777777" w:rsidR="000C66E2" w:rsidRPr="00FD4390" w:rsidRDefault="000C66E2" w:rsidP="00FD4390">
      <w:pPr>
        <w:tabs>
          <w:tab w:val="left" w:pos="840"/>
        </w:tabs>
        <w:adjustRightInd w:val="0"/>
        <w:snapToGrid w:val="0"/>
        <w:spacing w:line="360" w:lineRule="auto"/>
        <w:ind w:firstLineChars="200" w:firstLine="420"/>
        <w:rPr>
          <w:rFonts w:ascii="宋体" w:cs="Times New Roman"/>
          <w:bCs/>
          <w:color w:val="000000"/>
        </w:rPr>
      </w:pPr>
      <w:r w:rsidRPr="00FD4390">
        <w:rPr>
          <w:rFonts w:ascii="宋体" w:hAnsi="宋体" w:cs="宋体" w:hint="eastAsia"/>
          <w:bCs/>
          <w:color w:val="000000"/>
        </w:rPr>
        <w:t>一、募集期</w:t>
      </w:r>
    </w:p>
    <w:p w14:paraId="46AFA9A8" w14:textId="77777777" w:rsidR="000C66E2" w:rsidRPr="00333843" w:rsidRDefault="000C66E2" w:rsidP="000C66E2">
      <w:pPr>
        <w:pStyle w:val="32"/>
        <w:snapToGrid w:val="0"/>
        <w:spacing w:line="360" w:lineRule="auto"/>
        <w:ind w:firstLineChars="200" w:firstLine="420"/>
        <w:rPr>
          <w:rFonts w:hAnsi="宋体" w:cs="Times New Roman"/>
          <w:sz w:val="21"/>
          <w:szCs w:val="21"/>
        </w:rPr>
      </w:pPr>
      <w:r w:rsidRPr="00333843">
        <w:rPr>
          <w:rFonts w:hAnsi="宋体" w:hint="eastAsia"/>
          <w:sz w:val="21"/>
          <w:szCs w:val="21"/>
        </w:rPr>
        <w:t>自基金份额发售之日起不超过</w:t>
      </w:r>
      <w:r w:rsidRPr="00333843">
        <w:rPr>
          <w:rFonts w:hAnsi="宋体"/>
          <w:sz w:val="21"/>
          <w:szCs w:val="21"/>
        </w:rPr>
        <w:t>3</w:t>
      </w:r>
      <w:r w:rsidRPr="00333843">
        <w:rPr>
          <w:rFonts w:hAnsi="宋体" w:hint="eastAsia"/>
          <w:sz w:val="21"/>
          <w:szCs w:val="21"/>
        </w:rPr>
        <w:t>个月，具体发售时间</w:t>
      </w:r>
      <w:proofErr w:type="gramStart"/>
      <w:r w:rsidRPr="00333843">
        <w:rPr>
          <w:rFonts w:hAnsi="宋体" w:hint="eastAsia"/>
          <w:sz w:val="21"/>
          <w:szCs w:val="21"/>
        </w:rPr>
        <w:t>见基金</w:t>
      </w:r>
      <w:proofErr w:type="gramEnd"/>
      <w:r w:rsidRPr="00333843">
        <w:rPr>
          <w:rFonts w:hAnsi="宋体" w:hint="eastAsia"/>
          <w:sz w:val="21"/>
          <w:szCs w:val="21"/>
        </w:rPr>
        <w:t>份额发售公告。</w:t>
      </w:r>
    </w:p>
    <w:p w14:paraId="5C0C7E60" w14:textId="77777777" w:rsidR="000C66E2" w:rsidRPr="00D23217" w:rsidRDefault="000C66E2" w:rsidP="000C66E2">
      <w:pPr>
        <w:pStyle w:val="32"/>
        <w:snapToGrid w:val="0"/>
        <w:spacing w:line="360" w:lineRule="auto"/>
        <w:ind w:firstLineChars="200" w:firstLine="420"/>
        <w:rPr>
          <w:rFonts w:hAnsi="宋体" w:cs="Times New Roman"/>
          <w:sz w:val="21"/>
          <w:szCs w:val="21"/>
        </w:rPr>
      </w:pPr>
    </w:p>
    <w:p w14:paraId="66591BBD" w14:textId="77777777" w:rsidR="000C66E2" w:rsidRPr="00FD4390" w:rsidRDefault="000C66E2" w:rsidP="00FD4390">
      <w:pPr>
        <w:tabs>
          <w:tab w:val="left" w:pos="840"/>
        </w:tabs>
        <w:adjustRightInd w:val="0"/>
        <w:snapToGrid w:val="0"/>
        <w:spacing w:line="360" w:lineRule="auto"/>
        <w:ind w:firstLineChars="200" w:firstLine="420"/>
        <w:rPr>
          <w:rFonts w:ascii="宋体" w:cs="Times New Roman"/>
          <w:bCs/>
          <w:color w:val="000000"/>
        </w:rPr>
      </w:pPr>
      <w:r w:rsidRPr="00FD4390">
        <w:rPr>
          <w:rFonts w:ascii="宋体" w:hAnsi="宋体" w:cs="宋体" w:hint="eastAsia"/>
          <w:bCs/>
          <w:color w:val="000000"/>
        </w:rPr>
        <w:t>二、发售对象</w:t>
      </w:r>
    </w:p>
    <w:p w14:paraId="038A0CF6" w14:textId="3161C9A4" w:rsidR="000C66E2" w:rsidRPr="00D23217" w:rsidRDefault="000C66E2" w:rsidP="000C66E2">
      <w:pPr>
        <w:pStyle w:val="32"/>
        <w:snapToGrid w:val="0"/>
        <w:spacing w:line="360" w:lineRule="auto"/>
        <w:ind w:firstLineChars="200" w:firstLine="420"/>
        <w:rPr>
          <w:rFonts w:hAnsi="宋体" w:cs="Times New Roman"/>
          <w:sz w:val="21"/>
          <w:szCs w:val="21"/>
        </w:rPr>
      </w:pPr>
      <w:r w:rsidRPr="00333843">
        <w:rPr>
          <w:rFonts w:hAnsi="宋体" w:hint="eastAsia"/>
          <w:sz w:val="21"/>
          <w:szCs w:val="21"/>
        </w:rPr>
        <w:t>符合法律法规规定的可投资于证券投资基金的个人投资者、机构投资者、合格境外机构投资者</w:t>
      </w:r>
      <w:r w:rsidR="00700616" w:rsidRPr="00333843">
        <w:rPr>
          <w:rFonts w:hAnsi="宋体" w:hint="eastAsia"/>
          <w:sz w:val="21"/>
          <w:szCs w:val="21"/>
        </w:rPr>
        <w:t>、</w:t>
      </w:r>
      <w:r w:rsidRPr="00333843">
        <w:rPr>
          <w:rFonts w:hAnsi="宋体" w:hint="eastAsia"/>
          <w:sz w:val="21"/>
          <w:szCs w:val="21"/>
        </w:rPr>
        <w:t>人民币合格境外机构投资者</w:t>
      </w:r>
      <w:r w:rsidRPr="00D23217">
        <w:rPr>
          <w:rFonts w:hAnsi="宋体" w:hint="eastAsia"/>
          <w:sz w:val="21"/>
          <w:szCs w:val="21"/>
        </w:rPr>
        <w:t>以及法律法规或中国证监会允许购买证券投资基金的其他投资人。</w:t>
      </w:r>
    </w:p>
    <w:p w14:paraId="621FF10A" w14:textId="77777777" w:rsidR="000C66E2" w:rsidRPr="00D23217" w:rsidRDefault="000C66E2" w:rsidP="000C66E2">
      <w:pPr>
        <w:pStyle w:val="32"/>
        <w:snapToGrid w:val="0"/>
        <w:spacing w:line="360" w:lineRule="auto"/>
        <w:ind w:firstLineChars="200" w:firstLine="420"/>
        <w:rPr>
          <w:rFonts w:hAnsi="宋体" w:cs="Times New Roman"/>
          <w:sz w:val="21"/>
          <w:szCs w:val="21"/>
        </w:rPr>
      </w:pPr>
    </w:p>
    <w:p w14:paraId="7E6EE4E5" w14:textId="77777777" w:rsidR="000C66E2" w:rsidRPr="00FD4390" w:rsidRDefault="000C66E2" w:rsidP="00FD4390">
      <w:pPr>
        <w:tabs>
          <w:tab w:val="left" w:pos="840"/>
        </w:tabs>
        <w:adjustRightInd w:val="0"/>
        <w:snapToGrid w:val="0"/>
        <w:spacing w:line="360" w:lineRule="auto"/>
        <w:ind w:firstLineChars="200" w:firstLine="420"/>
        <w:rPr>
          <w:rFonts w:ascii="宋体" w:cs="Times New Roman"/>
          <w:bCs/>
          <w:color w:val="000000"/>
        </w:rPr>
      </w:pPr>
      <w:r w:rsidRPr="00FD4390">
        <w:rPr>
          <w:rFonts w:ascii="宋体" w:hAnsi="宋体" w:cs="宋体" w:hint="eastAsia"/>
          <w:bCs/>
          <w:color w:val="000000"/>
        </w:rPr>
        <w:t>三、发售方式和销售渠道</w:t>
      </w:r>
    </w:p>
    <w:p w14:paraId="7F502457" w14:textId="691674CB" w:rsidR="000C66E2" w:rsidRPr="00D23217" w:rsidRDefault="000C66E2" w:rsidP="000C66E2">
      <w:pPr>
        <w:pStyle w:val="32"/>
        <w:snapToGrid w:val="0"/>
        <w:spacing w:line="360" w:lineRule="auto"/>
        <w:ind w:firstLineChars="200" w:firstLine="420"/>
        <w:rPr>
          <w:rFonts w:hAnsi="宋体" w:cs="Times New Roman"/>
          <w:sz w:val="21"/>
          <w:szCs w:val="21"/>
        </w:rPr>
      </w:pPr>
      <w:r w:rsidRPr="00333843">
        <w:rPr>
          <w:rFonts w:hAnsi="宋体" w:hint="eastAsia"/>
          <w:sz w:val="21"/>
          <w:szCs w:val="21"/>
        </w:rPr>
        <w:t>本基金将通过各销售机构的基金销售网点或按基金管理人、销售机构提供的其他方式办理公开发售，各销售机构的具体名单</w:t>
      </w:r>
      <w:proofErr w:type="gramStart"/>
      <w:r w:rsidRPr="00333843">
        <w:rPr>
          <w:rFonts w:hAnsi="宋体" w:hint="eastAsia"/>
          <w:sz w:val="21"/>
          <w:szCs w:val="21"/>
        </w:rPr>
        <w:t>见基金</w:t>
      </w:r>
      <w:proofErr w:type="gramEnd"/>
      <w:r w:rsidRPr="00333843">
        <w:rPr>
          <w:rFonts w:hAnsi="宋体" w:hint="eastAsia"/>
          <w:sz w:val="21"/>
          <w:szCs w:val="21"/>
        </w:rPr>
        <w:t>份额发售公告或相关业务公告。</w:t>
      </w:r>
    </w:p>
    <w:p w14:paraId="408F2740" w14:textId="77777777" w:rsidR="000C66E2" w:rsidRPr="00D23217" w:rsidRDefault="000C66E2" w:rsidP="000C66E2">
      <w:pPr>
        <w:pStyle w:val="a6"/>
        <w:snapToGrid w:val="0"/>
        <w:spacing w:line="360" w:lineRule="auto"/>
        <w:ind w:firstLineChars="200" w:firstLine="420"/>
        <w:rPr>
          <w:rFonts w:hAnsi="宋体" w:cs="Times New Roman"/>
        </w:rPr>
      </w:pPr>
      <w:r w:rsidRPr="00D23217">
        <w:rPr>
          <w:rFonts w:hAnsi="宋体" w:hint="eastAsia"/>
        </w:rPr>
        <w:t>本基金认购采取全额缴款认购的方式。若资金未全额到账则认购无效，基金管理人将认购无效的款项退回。基金投资人在募集期内可多次认购，认购一经确认不得撤销。</w:t>
      </w:r>
    </w:p>
    <w:p w14:paraId="4EE18FA6" w14:textId="77777777" w:rsidR="000C66E2" w:rsidRPr="00115F51" w:rsidRDefault="000C66E2" w:rsidP="000C66E2">
      <w:pPr>
        <w:pStyle w:val="a6"/>
        <w:snapToGrid w:val="0"/>
        <w:spacing w:line="360" w:lineRule="auto"/>
        <w:ind w:firstLineChars="200" w:firstLine="420"/>
        <w:rPr>
          <w:rFonts w:hAnsi="宋体" w:cs="Times New Roman"/>
        </w:rPr>
      </w:pPr>
      <w:r w:rsidRPr="00D23217">
        <w:rPr>
          <w:rFonts w:hAnsi="宋体" w:hint="eastAsia"/>
        </w:rPr>
        <w:t>基金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E50C57F" w14:textId="77777777" w:rsidR="00D23217" w:rsidRDefault="000C66E2" w:rsidP="00FD4390">
      <w:pPr>
        <w:pStyle w:val="a6"/>
        <w:snapToGrid w:val="0"/>
        <w:spacing w:line="360" w:lineRule="auto"/>
        <w:ind w:firstLineChars="200" w:firstLine="420"/>
        <w:rPr>
          <w:rFonts w:hAnsi="宋体"/>
        </w:rPr>
      </w:pPr>
      <w:r w:rsidRPr="00115F51">
        <w:rPr>
          <w:rFonts w:hAnsi="宋体" w:hint="eastAsia"/>
        </w:rPr>
        <w:t>本基金认购的申请方式为书面申请或各销售机构规定的其他方式</w:t>
      </w:r>
      <w:bookmarkStart w:id="71" w:name="OLE_LINK275"/>
      <w:r w:rsidR="00D23217">
        <w:rPr>
          <w:rFonts w:hAnsi="宋体" w:hint="eastAsia"/>
        </w:rPr>
        <w:t>，</w:t>
      </w:r>
      <w:r w:rsidR="00D23217" w:rsidRPr="00D23217">
        <w:rPr>
          <w:rFonts w:hAnsi="宋体" w:hint="eastAsia"/>
        </w:rPr>
        <w:t>认购本基金所应提交的文件和具体办理手续详见本基金的基金份额发售公告或基金销售机构的相关业务办理规则</w:t>
      </w:r>
      <w:r w:rsidRPr="00D23217">
        <w:rPr>
          <w:rFonts w:hAnsi="宋体" w:hint="eastAsia"/>
        </w:rPr>
        <w:t>。</w:t>
      </w:r>
    </w:p>
    <w:p w14:paraId="3BB56C15" w14:textId="77777777" w:rsidR="000C66E2" w:rsidRPr="00D23217" w:rsidRDefault="00D23217" w:rsidP="00FD4390">
      <w:pPr>
        <w:pStyle w:val="a6"/>
        <w:snapToGrid w:val="0"/>
        <w:spacing w:line="360" w:lineRule="auto"/>
        <w:ind w:firstLineChars="200" w:firstLine="420"/>
        <w:rPr>
          <w:rFonts w:hAnsi="宋体"/>
        </w:rPr>
      </w:pPr>
      <w:r w:rsidRPr="00D23217">
        <w:rPr>
          <w:rFonts w:hAnsi="宋体" w:hint="eastAsia"/>
        </w:rPr>
        <w:t>投资人认购本基金份额的具体业务办理时间由基金管理人和基金销售机构确定，请参见本基金的基金份额发售公告或基金销售机构的相关公告。</w:t>
      </w:r>
    </w:p>
    <w:bookmarkEnd w:id="71"/>
    <w:p w14:paraId="3A003E64" w14:textId="77777777" w:rsidR="000C66E2" w:rsidRPr="00D23217" w:rsidRDefault="000C66E2" w:rsidP="000C66E2">
      <w:pPr>
        <w:pStyle w:val="32"/>
        <w:snapToGrid w:val="0"/>
        <w:spacing w:line="360" w:lineRule="auto"/>
        <w:ind w:firstLineChars="200" w:firstLine="420"/>
        <w:rPr>
          <w:rFonts w:hAnsi="宋体" w:cs="Times New Roman"/>
          <w:sz w:val="21"/>
          <w:szCs w:val="21"/>
        </w:rPr>
      </w:pPr>
      <w:r w:rsidRPr="00D23217">
        <w:rPr>
          <w:rFonts w:hAnsi="宋体" w:hint="eastAsia"/>
          <w:sz w:val="21"/>
          <w:szCs w:val="21"/>
        </w:rPr>
        <w:t>本</w:t>
      </w:r>
      <w:proofErr w:type="gramStart"/>
      <w:r w:rsidRPr="00D23217">
        <w:rPr>
          <w:rFonts w:hAnsi="宋体" w:hint="eastAsia"/>
          <w:sz w:val="21"/>
          <w:szCs w:val="21"/>
        </w:rPr>
        <w:t>基金基金</w:t>
      </w:r>
      <w:proofErr w:type="gramEnd"/>
      <w:r w:rsidRPr="00D23217">
        <w:rPr>
          <w:rFonts w:hAnsi="宋体" w:hint="eastAsia"/>
          <w:sz w:val="21"/>
          <w:szCs w:val="21"/>
        </w:rPr>
        <w:t>份额发售面值为人民币</w:t>
      </w:r>
      <w:r w:rsidRPr="00D23217">
        <w:rPr>
          <w:rFonts w:hAnsi="宋体"/>
          <w:sz w:val="21"/>
          <w:szCs w:val="21"/>
        </w:rPr>
        <w:t>1.00</w:t>
      </w:r>
      <w:r w:rsidRPr="00D23217">
        <w:rPr>
          <w:rFonts w:hAnsi="宋体" w:hint="eastAsia"/>
          <w:sz w:val="21"/>
          <w:szCs w:val="21"/>
        </w:rPr>
        <w:t>元，按面值发售。</w:t>
      </w:r>
    </w:p>
    <w:p w14:paraId="36665739" w14:textId="77777777" w:rsidR="000C66E2" w:rsidRPr="00333843" w:rsidRDefault="000C66E2" w:rsidP="000C66E2">
      <w:pPr>
        <w:pStyle w:val="32"/>
        <w:snapToGrid w:val="0"/>
        <w:spacing w:line="360" w:lineRule="auto"/>
        <w:ind w:firstLineChars="200" w:firstLine="420"/>
        <w:rPr>
          <w:rFonts w:hAnsi="宋体" w:cs="Times New Roman"/>
          <w:sz w:val="21"/>
          <w:szCs w:val="21"/>
        </w:rPr>
      </w:pPr>
      <w:r w:rsidRPr="00D23217">
        <w:rPr>
          <w:rFonts w:hAnsi="宋体" w:hint="eastAsia"/>
          <w:sz w:val="21"/>
          <w:szCs w:val="21"/>
        </w:rPr>
        <w:t>当日（</w:t>
      </w:r>
      <w:r w:rsidRPr="00D23217">
        <w:rPr>
          <w:rFonts w:hAnsi="宋体"/>
          <w:sz w:val="21"/>
          <w:szCs w:val="21"/>
        </w:rPr>
        <w:t>T</w:t>
      </w:r>
      <w:r w:rsidRPr="00D23217">
        <w:rPr>
          <w:rFonts w:hAnsi="宋体" w:hint="eastAsia"/>
          <w:sz w:val="21"/>
          <w:szCs w:val="21"/>
        </w:rPr>
        <w:t>日）在规定时间内提交的申请，投资人通常可在</w:t>
      </w:r>
      <w:r w:rsidRPr="00D23217">
        <w:rPr>
          <w:rFonts w:hAnsi="宋体"/>
          <w:sz w:val="21"/>
          <w:szCs w:val="21"/>
        </w:rPr>
        <w:t>T+2</w:t>
      </w:r>
      <w:r w:rsidRPr="00D23217">
        <w:rPr>
          <w:rFonts w:hAnsi="宋体" w:hint="eastAsia"/>
          <w:sz w:val="21"/>
          <w:szCs w:val="21"/>
        </w:rPr>
        <w:t>日到网点查询交易情况，在募集截止日后</w:t>
      </w:r>
      <w:r w:rsidRPr="00115F51">
        <w:rPr>
          <w:rFonts w:hAnsi="宋体"/>
          <w:sz w:val="21"/>
          <w:szCs w:val="21"/>
        </w:rPr>
        <w:t>3</w:t>
      </w:r>
      <w:r w:rsidRPr="00115F51">
        <w:rPr>
          <w:rFonts w:hAnsi="宋体" w:hint="eastAsia"/>
          <w:sz w:val="21"/>
          <w:szCs w:val="21"/>
        </w:rPr>
        <w:t>个工作日内可以到网点打印交易确认书。</w:t>
      </w:r>
    </w:p>
    <w:p w14:paraId="0F2CF7D5" w14:textId="77777777" w:rsidR="000C66E2" w:rsidRPr="00D23217" w:rsidRDefault="000C66E2" w:rsidP="000C66E2">
      <w:pPr>
        <w:pStyle w:val="32"/>
        <w:snapToGrid w:val="0"/>
        <w:spacing w:line="360" w:lineRule="auto"/>
        <w:ind w:firstLineChars="200" w:firstLine="420"/>
        <w:rPr>
          <w:rFonts w:hAnsi="宋体" w:cs="Times New Roman"/>
          <w:sz w:val="21"/>
          <w:szCs w:val="21"/>
        </w:rPr>
      </w:pPr>
    </w:p>
    <w:p w14:paraId="4B2C5CDA" w14:textId="77777777" w:rsidR="000C66E2" w:rsidRPr="00FD4390" w:rsidRDefault="000C66E2" w:rsidP="00FD4390">
      <w:pPr>
        <w:autoSpaceDE w:val="0"/>
        <w:autoSpaceDN w:val="0"/>
        <w:adjustRightInd w:val="0"/>
        <w:snapToGrid w:val="0"/>
        <w:spacing w:line="360" w:lineRule="auto"/>
        <w:ind w:firstLineChars="200" w:firstLine="420"/>
        <w:rPr>
          <w:rFonts w:cs="Times New Roman"/>
          <w:bCs/>
          <w:color w:val="000000"/>
        </w:rPr>
      </w:pPr>
      <w:r w:rsidRPr="00FD4390">
        <w:rPr>
          <w:rFonts w:ascii="宋体" w:hAnsi="宋体" w:cs="宋体" w:hint="eastAsia"/>
          <w:bCs/>
          <w:color w:val="000000"/>
        </w:rPr>
        <w:t>四、</w:t>
      </w:r>
      <w:r w:rsidRPr="00FD4390">
        <w:rPr>
          <w:rFonts w:cs="宋体" w:hint="eastAsia"/>
          <w:bCs/>
        </w:rPr>
        <w:t>首次募集规模上限</w:t>
      </w:r>
    </w:p>
    <w:p w14:paraId="7FF2F30E" w14:textId="77777777" w:rsidR="000C66E2" w:rsidRPr="00D23217" w:rsidRDefault="000C66E2" w:rsidP="000C66E2">
      <w:pPr>
        <w:snapToGrid w:val="0"/>
        <w:spacing w:line="360" w:lineRule="auto"/>
        <w:ind w:firstLineChars="200" w:firstLine="420"/>
        <w:rPr>
          <w:rFonts w:hAnsi="宋体" w:cs="Times New Roman"/>
        </w:rPr>
      </w:pPr>
      <w:r w:rsidRPr="00333843">
        <w:rPr>
          <w:rFonts w:cs="宋体" w:hint="eastAsia"/>
        </w:rPr>
        <w:t>本基金可设置首次募集规模上限，具体募集上限及</w:t>
      </w:r>
      <w:r w:rsidRPr="00333843">
        <w:rPr>
          <w:rFonts w:hAnsi="宋体" w:cs="宋体" w:hint="eastAsia"/>
        </w:rPr>
        <w:t>规模控制的方案详见基金份额发售公</w:t>
      </w:r>
      <w:r w:rsidRPr="00333843">
        <w:rPr>
          <w:rFonts w:hAnsi="宋体" w:cs="宋体" w:hint="eastAsia"/>
        </w:rPr>
        <w:lastRenderedPageBreak/>
        <w:t>告或其他公告。若本基金设置首次募集规模上限，基金合同生效后不受此募集规模的限制。</w:t>
      </w:r>
    </w:p>
    <w:p w14:paraId="26635474" w14:textId="77777777" w:rsidR="000C66E2" w:rsidRPr="00D23217" w:rsidRDefault="000C66E2" w:rsidP="000C66E2">
      <w:pPr>
        <w:snapToGrid w:val="0"/>
        <w:spacing w:line="360" w:lineRule="auto"/>
        <w:ind w:firstLineChars="200" w:firstLine="420"/>
        <w:rPr>
          <w:rFonts w:ascii="宋体" w:cs="Times New Roman"/>
        </w:rPr>
      </w:pPr>
    </w:p>
    <w:p w14:paraId="4BAB9D10" w14:textId="77777777" w:rsidR="000C66E2" w:rsidRPr="00FD4390" w:rsidRDefault="000C66E2" w:rsidP="00FD4390">
      <w:pPr>
        <w:tabs>
          <w:tab w:val="left" w:pos="840"/>
        </w:tabs>
        <w:adjustRightInd w:val="0"/>
        <w:snapToGrid w:val="0"/>
        <w:spacing w:line="360" w:lineRule="auto"/>
        <w:ind w:firstLineChars="200" w:firstLine="420"/>
        <w:rPr>
          <w:rFonts w:ascii="宋体" w:hAnsi="宋体" w:cs="宋体"/>
          <w:bCs/>
          <w:color w:val="000000"/>
        </w:rPr>
      </w:pPr>
      <w:r w:rsidRPr="00FD4390">
        <w:rPr>
          <w:rFonts w:ascii="宋体" w:hAnsi="宋体" w:cs="宋体" w:hint="eastAsia"/>
          <w:bCs/>
          <w:color w:val="000000"/>
        </w:rPr>
        <w:t>五、基金份额的类别</w:t>
      </w:r>
    </w:p>
    <w:p w14:paraId="11B54E20" w14:textId="77777777" w:rsidR="000C66E2" w:rsidRPr="00DC4CEE" w:rsidRDefault="000C66E2" w:rsidP="000C66E2">
      <w:pPr>
        <w:tabs>
          <w:tab w:val="left" w:pos="840"/>
        </w:tabs>
        <w:adjustRightInd w:val="0"/>
        <w:snapToGrid w:val="0"/>
        <w:spacing w:line="360" w:lineRule="auto"/>
        <w:ind w:firstLineChars="200" w:firstLine="420"/>
        <w:rPr>
          <w:rFonts w:ascii="宋体" w:hAnsi="宋体" w:cs="宋体"/>
          <w:bCs/>
          <w:color w:val="000000"/>
        </w:rPr>
      </w:pPr>
      <w:r w:rsidRPr="00333843">
        <w:rPr>
          <w:rFonts w:ascii="宋体" w:hAnsi="宋体" w:cs="宋体" w:hint="eastAsia"/>
          <w:bCs/>
          <w:color w:val="000000"/>
        </w:rPr>
        <w:t>本基金根据认购</w:t>
      </w:r>
      <w:r w:rsidRPr="00333843">
        <w:rPr>
          <w:rFonts w:ascii="宋体" w:hAnsi="宋体" w:cs="宋体"/>
          <w:bCs/>
          <w:color w:val="000000"/>
        </w:rPr>
        <w:t>/申购费用、销售服务费收取方式的不同，将基金份额分为不同的类别。在投资人认购</w:t>
      </w:r>
      <w:r w:rsidRPr="00D23217">
        <w:rPr>
          <w:rFonts w:ascii="宋体" w:hAnsi="宋体" w:cs="宋体"/>
          <w:bCs/>
          <w:color w:val="000000"/>
        </w:rPr>
        <w:t>/申购时收取前端认购/申购费用</w:t>
      </w:r>
      <w:r w:rsidRPr="00D23217">
        <w:rPr>
          <w:rFonts w:ascii="宋体" w:hAnsi="宋体" w:cs="宋体" w:hint="eastAsia"/>
          <w:bCs/>
          <w:color w:val="000000"/>
        </w:rPr>
        <w:t>并在赎回时根据</w:t>
      </w:r>
      <w:r w:rsidRPr="00D23217">
        <w:rPr>
          <w:rFonts w:ascii="宋体" w:hAnsi="宋体" w:cs="宋体"/>
          <w:bCs/>
          <w:color w:val="000000"/>
        </w:rPr>
        <w:t>持有期限</w:t>
      </w:r>
      <w:r w:rsidRPr="00D23217">
        <w:rPr>
          <w:rFonts w:ascii="宋体" w:hAnsi="宋体" w:cs="宋体" w:hint="eastAsia"/>
          <w:bCs/>
          <w:color w:val="000000"/>
        </w:rPr>
        <w:t>收取赎回费用</w:t>
      </w:r>
      <w:r w:rsidRPr="00D23217">
        <w:rPr>
          <w:rFonts w:ascii="宋体" w:hAnsi="宋体" w:cs="宋体"/>
          <w:bCs/>
          <w:color w:val="000000"/>
        </w:rPr>
        <w:t>、</w:t>
      </w:r>
      <w:r w:rsidRPr="00D23217">
        <w:rPr>
          <w:rFonts w:ascii="宋体" w:hAnsi="宋体" w:cs="宋体" w:hint="eastAsia"/>
          <w:bCs/>
          <w:color w:val="000000"/>
        </w:rPr>
        <w:t>不</w:t>
      </w:r>
      <w:r w:rsidRPr="00115F51">
        <w:rPr>
          <w:rFonts w:ascii="宋体" w:hAnsi="宋体" w:cs="宋体"/>
          <w:bCs/>
          <w:color w:val="000000"/>
        </w:rPr>
        <w:t>从本类别基金资产中计</w:t>
      </w:r>
      <w:proofErr w:type="gramStart"/>
      <w:r w:rsidRPr="00115F51">
        <w:rPr>
          <w:rFonts w:ascii="宋体" w:hAnsi="宋体" w:cs="宋体" w:hint="eastAsia"/>
          <w:bCs/>
          <w:color w:val="000000"/>
        </w:rPr>
        <w:t>提销售</w:t>
      </w:r>
      <w:proofErr w:type="gramEnd"/>
      <w:r w:rsidRPr="00115F51">
        <w:rPr>
          <w:rFonts w:ascii="宋体" w:hAnsi="宋体" w:cs="宋体" w:hint="eastAsia"/>
          <w:bCs/>
          <w:color w:val="000000"/>
        </w:rPr>
        <w:t>服务费的基金份额，称为</w:t>
      </w:r>
      <w:r w:rsidRPr="00115F51">
        <w:rPr>
          <w:rFonts w:ascii="宋体" w:hAnsi="宋体" w:cs="宋体"/>
          <w:bCs/>
          <w:color w:val="000000"/>
        </w:rPr>
        <w:t>A</w:t>
      </w:r>
      <w:r w:rsidRPr="005F6D92">
        <w:rPr>
          <w:rFonts w:ascii="宋体" w:hAnsi="宋体" w:cs="宋体"/>
          <w:bCs/>
          <w:color w:val="000000"/>
        </w:rPr>
        <w:t>类基金份额；从本类别基金资产中计</w:t>
      </w:r>
      <w:proofErr w:type="gramStart"/>
      <w:r w:rsidRPr="005F6D92">
        <w:rPr>
          <w:rFonts w:ascii="宋体" w:hAnsi="宋体" w:cs="宋体" w:hint="eastAsia"/>
          <w:bCs/>
          <w:color w:val="000000"/>
        </w:rPr>
        <w:t>提销售</w:t>
      </w:r>
      <w:proofErr w:type="gramEnd"/>
      <w:r w:rsidRPr="005F6D92">
        <w:rPr>
          <w:rFonts w:ascii="宋体" w:hAnsi="宋体" w:cs="宋体" w:hint="eastAsia"/>
          <w:bCs/>
          <w:color w:val="000000"/>
        </w:rPr>
        <w:t>服务费、不收取认购</w:t>
      </w:r>
      <w:r w:rsidRPr="005F6D92">
        <w:rPr>
          <w:rFonts w:ascii="宋体" w:hAnsi="宋体" w:cs="宋体"/>
          <w:bCs/>
          <w:color w:val="000000"/>
        </w:rPr>
        <w:t>/申购费用的基金份额</w:t>
      </w:r>
      <w:r w:rsidRPr="005F6D92">
        <w:rPr>
          <w:rFonts w:ascii="宋体" w:hAnsi="宋体" w:cs="宋体" w:hint="eastAsia"/>
          <w:bCs/>
          <w:color w:val="000000"/>
        </w:rPr>
        <w:t>并在赎回时根据</w:t>
      </w:r>
      <w:r w:rsidRPr="005F6D92">
        <w:rPr>
          <w:rFonts w:ascii="宋体" w:hAnsi="宋体" w:cs="宋体"/>
          <w:bCs/>
          <w:color w:val="000000"/>
        </w:rPr>
        <w:t>持有期限</w:t>
      </w:r>
      <w:r w:rsidRPr="008B4B39">
        <w:rPr>
          <w:rFonts w:ascii="宋体" w:hAnsi="宋体" w:cs="宋体" w:hint="eastAsia"/>
          <w:bCs/>
          <w:color w:val="000000"/>
        </w:rPr>
        <w:t>收取赎回费用的</w:t>
      </w:r>
      <w:r w:rsidRPr="00DC4CEE">
        <w:rPr>
          <w:rFonts w:ascii="宋体" w:hAnsi="宋体" w:cs="宋体"/>
          <w:bCs/>
          <w:color w:val="000000"/>
        </w:rPr>
        <w:t>，称为C类基金份额。</w:t>
      </w:r>
    </w:p>
    <w:p w14:paraId="7382D6E5" w14:textId="77777777" w:rsidR="000C66E2" w:rsidRPr="00333843" w:rsidRDefault="000C66E2" w:rsidP="000C66E2">
      <w:pPr>
        <w:tabs>
          <w:tab w:val="left" w:pos="840"/>
        </w:tabs>
        <w:adjustRightInd w:val="0"/>
        <w:snapToGrid w:val="0"/>
        <w:spacing w:line="360" w:lineRule="auto"/>
        <w:ind w:firstLineChars="200" w:firstLine="420"/>
        <w:rPr>
          <w:rFonts w:ascii="宋体" w:hAnsi="宋体" w:cs="宋体"/>
          <w:bCs/>
          <w:color w:val="000000"/>
        </w:rPr>
      </w:pPr>
      <w:r w:rsidRPr="00B61A09">
        <w:rPr>
          <w:rFonts w:ascii="宋体" w:hAnsi="宋体" w:cs="宋体" w:hint="eastAsia"/>
          <w:bCs/>
          <w:color w:val="000000"/>
        </w:rPr>
        <w:t>本基金</w:t>
      </w:r>
      <w:r w:rsidRPr="00B61A09">
        <w:rPr>
          <w:rFonts w:ascii="宋体" w:hAnsi="宋体" w:cs="宋体"/>
          <w:bCs/>
          <w:color w:val="000000"/>
        </w:rPr>
        <w:t>A类和C</w:t>
      </w:r>
      <w:r w:rsidRPr="00FD4390">
        <w:rPr>
          <w:rFonts w:ascii="宋体" w:hAnsi="宋体" w:cs="宋体"/>
          <w:bCs/>
          <w:color w:val="000000"/>
        </w:rPr>
        <w:t>类基金份额分别设置代码。由于基金费用的不同，本基金A类基金份额和C类基金份额将分别计算基金份额净值，计算公式为计算日各类别基金资产净值除以计算日发售在外的该类别基金份额总数。</w:t>
      </w:r>
    </w:p>
    <w:p w14:paraId="7D7B1503" w14:textId="77777777" w:rsidR="000C66E2" w:rsidRPr="00333843" w:rsidRDefault="000C66E2" w:rsidP="00FD4390">
      <w:pPr>
        <w:tabs>
          <w:tab w:val="left" w:pos="840"/>
        </w:tabs>
        <w:adjustRightInd w:val="0"/>
        <w:snapToGrid w:val="0"/>
        <w:spacing w:line="360" w:lineRule="auto"/>
        <w:ind w:firstLineChars="200" w:firstLine="420"/>
        <w:rPr>
          <w:rFonts w:ascii="宋体" w:hAnsi="宋体" w:cs="宋体"/>
          <w:bCs/>
          <w:color w:val="000000"/>
        </w:rPr>
      </w:pPr>
      <w:r w:rsidRPr="00FD4390">
        <w:rPr>
          <w:rFonts w:ascii="宋体" w:hAnsi="宋体" w:cs="宋体" w:hint="eastAsia"/>
          <w:bCs/>
          <w:color w:val="000000"/>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FD4390">
        <w:rPr>
          <w:rFonts w:ascii="宋体" w:hAnsi="宋体" w:cs="宋体"/>
          <w:bCs/>
          <w:color w:val="000000"/>
        </w:rPr>
        <w:t>依照《信息披露办法》的有关规定在指定媒介上公告</w:t>
      </w:r>
      <w:r w:rsidRPr="00FD4390">
        <w:rPr>
          <w:rFonts w:ascii="宋体" w:hAnsi="宋体" w:cs="宋体" w:hint="eastAsia"/>
          <w:bCs/>
          <w:color w:val="000000"/>
        </w:rPr>
        <w:t>，不需要召开基金份额持有人大会。</w:t>
      </w:r>
    </w:p>
    <w:p w14:paraId="75E1FDD0" w14:textId="77777777" w:rsidR="000C66E2" w:rsidRPr="00FD4390" w:rsidRDefault="000C66E2" w:rsidP="00FD4390">
      <w:pPr>
        <w:tabs>
          <w:tab w:val="left" w:pos="840"/>
        </w:tabs>
        <w:adjustRightInd w:val="0"/>
        <w:snapToGrid w:val="0"/>
        <w:spacing w:line="360" w:lineRule="auto"/>
        <w:ind w:firstLineChars="200" w:firstLine="420"/>
        <w:rPr>
          <w:rFonts w:ascii="宋体" w:hAnsi="宋体" w:cs="宋体"/>
          <w:bCs/>
          <w:color w:val="000000"/>
        </w:rPr>
      </w:pPr>
    </w:p>
    <w:p w14:paraId="79D2F9CA" w14:textId="77777777" w:rsidR="000C66E2" w:rsidRPr="00FD4390" w:rsidRDefault="000C66E2" w:rsidP="00FD4390">
      <w:pPr>
        <w:tabs>
          <w:tab w:val="left" w:pos="840"/>
        </w:tabs>
        <w:adjustRightInd w:val="0"/>
        <w:snapToGrid w:val="0"/>
        <w:spacing w:line="360" w:lineRule="auto"/>
        <w:ind w:firstLineChars="200" w:firstLine="420"/>
        <w:rPr>
          <w:rFonts w:ascii="宋体" w:hAnsi="宋体" w:cs="宋体"/>
          <w:bCs/>
          <w:color w:val="000000"/>
        </w:rPr>
      </w:pPr>
      <w:r w:rsidRPr="00FD4390">
        <w:rPr>
          <w:rFonts w:ascii="宋体" w:hAnsi="宋体" w:cs="宋体" w:hint="eastAsia"/>
          <w:bCs/>
          <w:color w:val="000000"/>
        </w:rPr>
        <w:t>六、认购费用</w:t>
      </w:r>
    </w:p>
    <w:p w14:paraId="2DC5A382" w14:textId="78960AB8" w:rsidR="000C66E2" w:rsidRPr="00D23217" w:rsidRDefault="000C66E2" w:rsidP="000C66E2">
      <w:pPr>
        <w:pStyle w:val="a6"/>
        <w:snapToGrid w:val="0"/>
        <w:spacing w:line="360" w:lineRule="auto"/>
        <w:ind w:firstLineChars="200" w:firstLine="420"/>
        <w:rPr>
          <w:rFonts w:hAnsi="宋体" w:cs="Times New Roman"/>
        </w:rPr>
      </w:pPr>
      <w:r w:rsidRPr="00333843">
        <w:rPr>
          <w:rFonts w:hAnsi="宋体"/>
        </w:rPr>
        <w:t>1</w:t>
      </w:r>
      <w:r w:rsidRPr="00333843">
        <w:rPr>
          <w:rFonts w:hAnsi="宋体" w:hint="eastAsia"/>
        </w:rPr>
        <w:t>、</w:t>
      </w:r>
      <w:r w:rsidR="00E44A85" w:rsidRPr="00E44A85">
        <w:rPr>
          <w:rFonts w:hAnsi="宋体" w:hint="eastAsia"/>
        </w:rPr>
        <w:t>对于申购本基金A类份额的投资人，本基金认购费率最高不高于1.0%,且随申购/认购金额的增加而递减，如下表所示：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5"/>
        <w:gridCol w:w="4597"/>
      </w:tblGrid>
      <w:tr w:rsidR="00134D10" w:rsidRPr="004D6499" w14:paraId="29681746" w14:textId="77777777" w:rsidTr="00913EAC">
        <w:trPr>
          <w:trHeight w:val="397"/>
          <w:jc w:val="center"/>
        </w:trPr>
        <w:tc>
          <w:tcPr>
            <w:tcW w:w="2303" w:type="pct"/>
            <w:vAlign w:val="center"/>
          </w:tcPr>
          <w:p w14:paraId="05DC3C5D" w14:textId="77777777" w:rsidR="00134D10" w:rsidRPr="004D6499"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购买金额（M）</w:t>
            </w:r>
          </w:p>
        </w:tc>
        <w:tc>
          <w:tcPr>
            <w:tcW w:w="2697" w:type="pct"/>
            <w:vAlign w:val="center"/>
          </w:tcPr>
          <w:p w14:paraId="6D048297" w14:textId="77777777" w:rsidR="00134D10" w:rsidRPr="004D6499"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认购费率</w:t>
            </w:r>
          </w:p>
        </w:tc>
      </w:tr>
      <w:tr w:rsidR="00134D10" w:rsidRPr="004D6499" w14:paraId="2860FDA4" w14:textId="77777777" w:rsidTr="00913EAC">
        <w:tblPrEx>
          <w:tblBorders>
            <w:insideH w:val="none" w:sz="0" w:space="0" w:color="auto"/>
            <w:insideV w:val="none" w:sz="0" w:space="0" w:color="auto"/>
          </w:tblBorders>
        </w:tblPrEx>
        <w:trPr>
          <w:trHeight w:val="397"/>
          <w:jc w:val="center"/>
        </w:trPr>
        <w:tc>
          <w:tcPr>
            <w:tcW w:w="2303" w:type="pct"/>
            <w:tcBorders>
              <w:top w:val="single" w:sz="4" w:space="0" w:color="auto"/>
              <w:left w:val="single" w:sz="4" w:space="0" w:color="auto"/>
              <w:bottom w:val="single" w:sz="4" w:space="0" w:color="auto"/>
              <w:right w:val="single" w:sz="4" w:space="0" w:color="auto"/>
            </w:tcBorders>
            <w:vAlign w:val="center"/>
          </w:tcPr>
          <w:p w14:paraId="1951943A" w14:textId="77777777" w:rsidR="00134D10" w:rsidRPr="004D6499"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M＜100万</w:t>
            </w:r>
          </w:p>
        </w:tc>
        <w:tc>
          <w:tcPr>
            <w:tcW w:w="2697" w:type="pct"/>
            <w:tcBorders>
              <w:top w:val="single" w:sz="4" w:space="0" w:color="auto"/>
              <w:left w:val="single" w:sz="4" w:space="0" w:color="auto"/>
              <w:bottom w:val="single" w:sz="4" w:space="0" w:color="auto"/>
              <w:right w:val="single" w:sz="4" w:space="0" w:color="auto"/>
            </w:tcBorders>
            <w:vAlign w:val="center"/>
          </w:tcPr>
          <w:p w14:paraId="69B02698" w14:textId="77777777" w:rsidR="00134D10" w:rsidRPr="004D6499"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1.0</w:t>
            </w:r>
            <w:r w:rsidRPr="004D6499">
              <w:rPr>
                <w:rFonts w:ascii="宋体" w:eastAsia="宋体" w:hAnsi="宋体"/>
                <w:sz w:val="21"/>
                <w:szCs w:val="21"/>
              </w:rPr>
              <w:t>%</w:t>
            </w:r>
          </w:p>
        </w:tc>
      </w:tr>
      <w:tr w:rsidR="00134D10" w:rsidRPr="004D6499" w14:paraId="3F9939E7" w14:textId="77777777" w:rsidTr="00913EAC">
        <w:tblPrEx>
          <w:tblBorders>
            <w:insideH w:val="none" w:sz="0" w:space="0" w:color="auto"/>
            <w:insideV w:val="none" w:sz="0" w:space="0" w:color="auto"/>
          </w:tblBorders>
        </w:tblPrEx>
        <w:trPr>
          <w:trHeight w:val="397"/>
          <w:jc w:val="center"/>
        </w:trPr>
        <w:tc>
          <w:tcPr>
            <w:tcW w:w="2303" w:type="pct"/>
            <w:tcBorders>
              <w:top w:val="single" w:sz="4" w:space="0" w:color="auto"/>
              <w:left w:val="single" w:sz="4" w:space="0" w:color="auto"/>
              <w:bottom w:val="single" w:sz="4" w:space="0" w:color="auto"/>
              <w:right w:val="single" w:sz="4" w:space="0" w:color="auto"/>
            </w:tcBorders>
            <w:vAlign w:val="center"/>
          </w:tcPr>
          <w:p w14:paraId="2BEF4110" w14:textId="77777777" w:rsidR="00134D10" w:rsidRPr="004D6499"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100万≤M＜</w:t>
            </w:r>
            <w:r w:rsidRPr="004D6499">
              <w:rPr>
                <w:rFonts w:ascii="宋体" w:eastAsia="宋体" w:hAnsi="宋体" w:hint="eastAsia"/>
                <w:sz w:val="21"/>
                <w:szCs w:val="21"/>
              </w:rPr>
              <w:t>3</w:t>
            </w:r>
            <w:r w:rsidRPr="004D6499">
              <w:rPr>
                <w:rFonts w:ascii="宋体" w:eastAsia="宋体" w:hAnsi="宋体"/>
                <w:sz w:val="21"/>
                <w:szCs w:val="21"/>
              </w:rPr>
              <w:t>00万</w:t>
            </w:r>
          </w:p>
        </w:tc>
        <w:tc>
          <w:tcPr>
            <w:tcW w:w="2697" w:type="pct"/>
            <w:tcBorders>
              <w:top w:val="single" w:sz="4" w:space="0" w:color="auto"/>
              <w:left w:val="single" w:sz="4" w:space="0" w:color="auto"/>
              <w:bottom w:val="single" w:sz="4" w:space="0" w:color="auto"/>
              <w:right w:val="single" w:sz="4" w:space="0" w:color="auto"/>
            </w:tcBorders>
            <w:vAlign w:val="center"/>
          </w:tcPr>
          <w:p w14:paraId="149FDD67" w14:textId="77777777" w:rsidR="00134D10" w:rsidRPr="004D6499"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0.6%</w:t>
            </w:r>
          </w:p>
        </w:tc>
      </w:tr>
      <w:tr w:rsidR="00134D10" w:rsidRPr="004D6499" w14:paraId="184CA5F9" w14:textId="77777777" w:rsidTr="00913EAC">
        <w:tblPrEx>
          <w:tblBorders>
            <w:insideH w:val="none" w:sz="0" w:space="0" w:color="auto"/>
            <w:insideV w:val="none" w:sz="0" w:space="0" w:color="auto"/>
          </w:tblBorders>
        </w:tblPrEx>
        <w:trPr>
          <w:trHeight w:val="397"/>
          <w:jc w:val="center"/>
        </w:trPr>
        <w:tc>
          <w:tcPr>
            <w:tcW w:w="2303" w:type="pct"/>
            <w:tcBorders>
              <w:top w:val="single" w:sz="4" w:space="0" w:color="auto"/>
              <w:left w:val="single" w:sz="4" w:space="0" w:color="auto"/>
              <w:bottom w:val="single" w:sz="4" w:space="0" w:color="auto"/>
              <w:right w:val="single" w:sz="4" w:space="0" w:color="auto"/>
            </w:tcBorders>
            <w:vAlign w:val="center"/>
          </w:tcPr>
          <w:p w14:paraId="744F24E3" w14:textId="77777777" w:rsidR="00134D10" w:rsidRPr="004D6499"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3</w:t>
            </w:r>
            <w:r w:rsidRPr="004D6499">
              <w:rPr>
                <w:rFonts w:ascii="宋体" w:eastAsia="宋体" w:hAnsi="宋体"/>
                <w:sz w:val="21"/>
                <w:szCs w:val="21"/>
              </w:rPr>
              <w:t>00万≤M＜</w:t>
            </w:r>
            <w:r w:rsidRPr="004D6499">
              <w:rPr>
                <w:rFonts w:ascii="宋体" w:eastAsia="宋体" w:hAnsi="宋体" w:hint="eastAsia"/>
                <w:sz w:val="21"/>
                <w:szCs w:val="21"/>
              </w:rPr>
              <w:t>50</w:t>
            </w:r>
            <w:r w:rsidRPr="004D6499">
              <w:rPr>
                <w:rFonts w:ascii="宋体" w:eastAsia="宋体" w:hAnsi="宋体"/>
                <w:sz w:val="21"/>
                <w:szCs w:val="21"/>
              </w:rPr>
              <w:t>0万</w:t>
            </w:r>
          </w:p>
        </w:tc>
        <w:tc>
          <w:tcPr>
            <w:tcW w:w="2697" w:type="pct"/>
            <w:tcBorders>
              <w:top w:val="single" w:sz="4" w:space="0" w:color="auto"/>
              <w:left w:val="single" w:sz="4" w:space="0" w:color="auto"/>
              <w:bottom w:val="single" w:sz="4" w:space="0" w:color="auto"/>
              <w:right w:val="single" w:sz="4" w:space="0" w:color="auto"/>
            </w:tcBorders>
            <w:vAlign w:val="center"/>
          </w:tcPr>
          <w:p w14:paraId="1B470DBB" w14:textId="77777777" w:rsidR="00134D10" w:rsidRPr="004D6499"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0.3%</w:t>
            </w:r>
          </w:p>
        </w:tc>
      </w:tr>
      <w:tr w:rsidR="00134D10" w:rsidRPr="004D6499" w14:paraId="45370D4D" w14:textId="77777777" w:rsidTr="00913EAC">
        <w:tblPrEx>
          <w:tblBorders>
            <w:insideH w:val="none" w:sz="0" w:space="0" w:color="auto"/>
            <w:insideV w:val="none" w:sz="0" w:space="0" w:color="auto"/>
          </w:tblBorders>
        </w:tblPrEx>
        <w:trPr>
          <w:trHeight w:val="397"/>
          <w:jc w:val="center"/>
        </w:trPr>
        <w:tc>
          <w:tcPr>
            <w:tcW w:w="2303" w:type="pct"/>
            <w:tcBorders>
              <w:top w:val="single" w:sz="4" w:space="0" w:color="auto"/>
              <w:left w:val="single" w:sz="4" w:space="0" w:color="auto"/>
              <w:bottom w:val="single" w:sz="4" w:space="0" w:color="auto"/>
              <w:right w:val="single" w:sz="4" w:space="0" w:color="auto"/>
            </w:tcBorders>
            <w:vAlign w:val="center"/>
          </w:tcPr>
          <w:p w14:paraId="4F87FB3A" w14:textId="77777777" w:rsidR="00134D10" w:rsidRPr="004D6499"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M≥</w:t>
            </w:r>
            <w:r w:rsidRPr="004D6499">
              <w:rPr>
                <w:rFonts w:ascii="宋体" w:eastAsia="宋体" w:hAnsi="宋体" w:hint="eastAsia"/>
                <w:sz w:val="21"/>
                <w:szCs w:val="21"/>
              </w:rPr>
              <w:t>5</w:t>
            </w:r>
            <w:r w:rsidRPr="004D6499">
              <w:rPr>
                <w:rFonts w:ascii="宋体" w:eastAsia="宋体" w:hAnsi="宋体"/>
                <w:sz w:val="21"/>
                <w:szCs w:val="21"/>
              </w:rPr>
              <w:t>00万</w:t>
            </w:r>
          </w:p>
        </w:tc>
        <w:tc>
          <w:tcPr>
            <w:tcW w:w="2697" w:type="pct"/>
            <w:tcBorders>
              <w:top w:val="single" w:sz="4" w:space="0" w:color="auto"/>
              <w:left w:val="single" w:sz="4" w:space="0" w:color="auto"/>
              <w:bottom w:val="single" w:sz="4" w:space="0" w:color="auto"/>
              <w:right w:val="single" w:sz="4" w:space="0" w:color="auto"/>
            </w:tcBorders>
            <w:vAlign w:val="center"/>
          </w:tcPr>
          <w:p w14:paraId="2EBDBBA2" w14:textId="77777777" w:rsidR="00134D10" w:rsidRPr="004D6499"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每笔1</w:t>
            </w:r>
            <w:r w:rsidRPr="004D6499">
              <w:rPr>
                <w:rFonts w:ascii="宋体" w:eastAsia="宋体" w:hAnsi="宋体" w:hint="eastAsia"/>
                <w:sz w:val="21"/>
                <w:szCs w:val="21"/>
              </w:rPr>
              <w:t>,</w:t>
            </w:r>
            <w:r w:rsidRPr="004D6499">
              <w:rPr>
                <w:rFonts w:ascii="宋体" w:eastAsia="宋体" w:hAnsi="宋体"/>
                <w:sz w:val="21"/>
                <w:szCs w:val="21"/>
              </w:rPr>
              <w:t>000元</w:t>
            </w:r>
          </w:p>
        </w:tc>
      </w:tr>
    </w:tbl>
    <w:p w14:paraId="5BDB25C0" w14:textId="77777777" w:rsidR="000C66E2" w:rsidRPr="00333843" w:rsidRDefault="000C66E2" w:rsidP="00FD4390">
      <w:pPr>
        <w:autoSpaceDE w:val="0"/>
        <w:autoSpaceDN w:val="0"/>
        <w:adjustRightInd w:val="0"/>
        <w:snapToGrid w:val="0"/>
        <w:spacing w:line="360" w:lineRule="auto"/>
        <w:ind w:firstLineChars="200" w:firstLine="420"/>
        <w:rPr>
          <w:rFonts w:hAnsi="宋体" w:cs="Times New Roman"/>
        </w:rPr>
      </w:pPr>
      <w:r w:rsidRPr="00FD4390">
        <w:rPr>
          <w:rFonts w:hAnsi="宋体"/>
        </w:rPr>
        <w:t>2</w:t>
      </w:r>
      <w:r w:rsidRPr="00FD4390">
        <w:rPr>
          <w:rFonts w:hAnsi="宋体" w:cs="宋体" w:hint="eastAsia"/>
        </w:rPr>
        <w:t>、对于认购本基金</w:t>
      </w:r>
      <w:r w:rsidRPr="00FD4390">
        <w:rPr>
          <w:rFonts w:hAnsi="宋体"/>
        </w:rPr>
        <w:t>C</w:t>
      </w:r>
      <w:r w:rsidRPr="00FD4390">
        <w:rPr>
          <w:rFonts w:hAnsi="宋体" w:cs="宋体" w:hint="eastAsia"/>
        </w:rPr>
        <w:t>类份额的投资人，认购费率为零。</w:t>
      </w:r>
    </w:p>
    <w:p w14:paraId="01441EC1"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投资人重复认购，须按每次认购所对应的费率档次分别计费。</w:t>
      </w:r>
    </w:p>
    <w:p w14:paraId="2D5C8A16"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基金认购费用不列入基金财产，主要用于基金的市场推广、销售、登记等募集期间发生的各项费用。</w:t>
      </w:r>
    </w:p>
    <w:p w14:paraId="522A3BC5"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3943C860" w14:textId="77777777" w:rsidR="000C66E2" w:rsidRPr="00333843" w:rsidRDefault="000C66E2" w:rsidP="000C66E2">
      <w:pPr>
        <w:pStyle w:val="32"/>
        <w:snapToGrid w:val="0"/>
        <w:spacing w:line="360" w:lineRule="auto"/>
        <w:ind w:firstLine="0"/>
        <w:rPr>
          <w:rFonts w:hAnsi="宋体" w:cs="Times New Roman"/>
          <w:sz w:val="21"/>
          <w:szCs w:val="21"/>
        </w:rPr>
      </w:pPr>
    </w:p>
    <w:p w14:paraId="786AD7E6" w14:textId="166BDD19" w:rsidR="000C66E2" w:rsidRPr="00FD4390" w:rsidRDefault="000C66E2" w:rsidP="00FD4390">
      <w:pPr>
        <w:tabs>
          <w:tab w:val="left" w:pos="840"/>
        </w:tabs>
        <w:adjustRightInd w:val="0"/>
        <w:snapToGrid w:val="0"/>
        <w:spacing w:line="360" w:lineRule="auto"/>
        <w:ind w:firstLineChars="200" w:firstLine="420"/>
        <w:rPr>
          <w:rFonts w:ascii="宋体" w:cs="Times New Roman"/>
          <w:bCs/>
          <w:color w:val="000000"/>
        </w:rPr>
      </w:pPr>
      <w:r w:rsidRPr="00FD4390">
        <w:rPr>
          <w:rFonts w:ascii="宋体" w:hAnsi="宋体" w:cs="宋体" w:hint="eastAsia"/>
          <w:bCs/>
          <w:color w:val="000000"/>
        </w:rPr>
        <w:t>七、</w:t>
      </w:r>
      <w:r w:rsidR="00700616" w:rsidRPr="00FD4390">
        <w:rPr>
          <w:rFonts w:ascii="宋体" w:hAnsi="宋体" w:cs="宋体" w:hint="eastAsia"/>
          <w:bCs/>
          <w:color w:val="000000"/>
        </w:rPr>
        <w:t>募集</w:t>
      </w:r>
      <w:r w:rsidRPr="00FD4390">
        <w:rPr>
          <w:rFonts w:ascii="宋体" w:hAnsi="宋体" w:cs="宋体" w:hint="eastAsia"/>
          <w:bCs/>
          <w:color w:val="000000"/>
        </w:rPr>
        <w:t>期利息的处理方式</w:t>
      </w:r>
    </w:p>
    <w:p w14:paraId="35E98845" w14:textId="430DC539" w:rsidR="000C66E2" w:rsidRPr="00D23217" w:rsidRDefault="000C66E2" w:rsidP="000C66E2">
      <w:pPr>
        <w:pStyle w:val="32"/>
        <w:snapToGrid w:val="0"/>
        <w:spacing w:line="360" w:lineRule="auto"/>
        <w:ind w:firstLineChars="200" w:firstLine="420"/>
        <w:rPr>
          <w:rFonts w:hAnsi="宋体" w:cs="Times New Roman"/>
          <w:sz w:val="21"/>
          <w:szCs w:val="21"/>
        </w:rPr>
      </w:pPr>
      <w:r w:rsidRPr="00333843">
        <w:rPr>
          <w:rFonts w:hAnsi="宋体" w:hint="eastAsia"/>
          <w:sz w:val="21"/>
          <w:szCs w:val="21"/>
        </w:rPr>
        <w:t>《基金合同》生效前，投资人的认购款项只能存入专门账户，不得动用。</w:t>
      </w:r>
      <w:r w:rsidR="00700616" w:rsidRPr="00333843">
        <w:rPr>
          <w:rFonts w:hAnsi="宋体" w:hint="eastAsia"/>
          <w:sz w:val="21"/>
          <w:szCs w:val="21"/>
        </w:rPr>
        <w:t>有效</w:t>
      </w:r>
      <w:r w:rsidRPr="00333843">
        <w:rPr>
          <w:rFonts w:hAnsi="宋体" w:hint="eastAsia"/>
          <w:sz w:val="21"/>
          <w:szCs w:val="21"/>
        </w:rPr>
        <w:t>认购款项</w:t>
      </w:r>
      <w:r w:rsidRPr="00333843">
        <w:rPr>
          <w:rFonts w:hAnsi="宋体" w:hint="eastAsia"/>
          <w:sz w:val="21"/>
          <w:szCs w:val="21"/>
        </w:rPr>
        <w:lastRenderedPageBreak/>
        <w:t>在募集期间产生的利息将折算为基金份额</w:t>
      </w:r>
      <w:proofErr w:type="gramStart"/>
      <w:r w:rsidRPr="00333843">
        <w:rPr>
          <w:rFonts w:hAnsi="宋体" w:hint="eastAsia"/>
          <w:sz w:val="21"/>
          <w:szCs w:val="21"/>
        </w:rPr>
        <w:t>归基金</w:t>
      </w:r>
      <w:proofErr w:type="gramEnd"/>
      <w:r w:rsidRPr="00333843">
        <w:rPr>
          <w:rFonts w:hAnsi="宋体" w:hint="eastAsia"/>
          <w:sz w:val="21"/>
          <w:szCs w:val="21"/>
        </w:rPr>
        <w:t>份额持有人所有，其中利息转份额</w:t>
      </w:r>
      <w:r w:rsidR="00700616" w:rsidRPr="00D23217">
        <w:rPr>
          <w:rFonts w:hAnsi="宋体" w:hint="eastAsia"/>
          <w:sz w:val="21"/>
          <w:szCs w:val="21"/>
        </w:rPr>
        <w:t>的</w:t>
      </w:r>
      <w:r w:rsidR="00700616" w:rsidRPr="00D23217">
        <w:rPr>
          <w:rFonts w:hAnsi="宋体"/>
          <w:sz w:val="21"/>
          <w:szCs w:val="21"/>
        </w:rPr>
        <w:t>数额</w:t>
      </w:r>
      <w:r w:rsidRPr="00D23217">
        <w:rPr>
          <w:rFonts w:hAnsi="宋体" w:hint="eastAsia"/>
          <w:sz w:val="21"/>
          <w:szCs w:val="21"/>
        </w:rPr>
        <w:t>以登记机构的记录为准。</w:t>
      </w:r>
    </w:p>
    <w:p w14:paraId="5B1D8054" w14:textId="77777777" w:rsidR="000C66E2" w:rsidRPr="00115F51" w:rsidRDefault="000C66E2" w:rsidP="000C66E2">
      <w:pPr>
        <w:pStyle w:val="32"/>
        <w:snapToGrid w:val="0"/>
        <w:spacing w:line="360" w:lineRule="auto"/>
        <w:ind w:firstLine="0"/>
        <w:rPr>
          <w:rFonts w:hAnsi="宋体" w:cs="Times New Roman"/>
          <w:sz w:val="21"/>
          <w:szCs w:val="21"/>
        </w:rPr>
      </w:pPr>
    </w:p>
    <w:p w14:paraId="15D0F860" w14:textId="77777777" w:rsidR="000C66E2" w:rsidRPr="00FD4390" w:rsidRDefault="000C66E2" w:rsidP="00FD4390">
      <w:pPr>
        <w:tabs>
          <w:tab w:val="left" w:pos="840"/>
        </w:tabs>
        <w:adjustRightInd w:val="0"/>
        <w:snapToGrid w:val="0"/>
        <w:spacing w:line="360" w:lineRule="auto"/>
        <w:ind w:firstLineChars="200" w:firstLine="420"/>
        <w:rPr>
          <w:rFonts w:ascii="宋体" w:cs="Times New Roman"/>
          <w:bCs/>
          <w:color w:val="000000"/>
        </w:rPr>
      </w:pPr>
      <w:r w:rsidRPr="00FD4390">
        <w:rPr>
          <w:rFonts w:ascii="宋体" w:hAnsi="宋体" w:cs="宋体" w:hint="eastAsia"/>
          <w:bCs/>
          <w:color w:val="000000"/>
        </w:rPr>
        <w:t>八、基金认购份额的计算</w:t>
      </w:r>
    </w:p>
    <w:p w14:paraId="0CD536E5" w14:textId="77777777" w:rsidR="000C66E2" w:rsidRPr="00D23217" w:rsidRDefault="000C66E2" w:rsidP="000C66E2">
      <w:pPr>
        <w:pStyle w:val="a6"/>
        <w:snapToGrid w:val="0"/>
        <w:spacing w:line="360" w:lineRule="auto"/>
        <w:ind w:firstLineChars="200" w:firstLine="420"/>
        <w:rPr>
          <w:rFonts w:hAnsi="宋体"/>
        </w:rPr>
      </w:pPr>
      <w:r w:rsidRPr="00333843">
        <w:rPr>
          <w:rFonts w:hAnsi="宋体"/>
        </w:rPr>
        <w:t>1</w:t>
      </w:r>
      <w:r w:rsidRPr="00333843">
        <w:rPr>
          <w:rFonts w:hAnsi="宋体" w:hint="eastAsia"/>
        </w:rPr>
        <w:t>、基金认购采用“金额认购、份额确认”的方式。基金的认购金额包括认购费用和净认购金额。认购份额的计算公式为：</w:t>
      </w:r>
    </w:p>
    <w:p w14:paraId="6AA7B59F" w14:textId="77777777" w:rsidR="000C66E2" w:rsidRPr="00D23217" w:rsidRDefault="000C66E2" w:rsidP="000C66E2">
      <w:pPr>
        <w:pStyle w:val="a6"/>
        <w:snapToGrid w:val="0"/>
        <w:spacing w:line="360" w:lineRule="auto"/>
        <w:ind w:firstLineChars="200" w:firstLine="420"/>
        <w:rPr>
          <w:rFonts w:hAnsi="宋体" w:cs="Times New Roman"/>
        </w:rPr>
      </w:pPr>
      <w:r w:rsidRPr="00D23217">
        <w:rPr>
          <w:rFonts w:hAnsi="宋体" w:cs="Times New Roman" w:hint="eastAsia"/>
        </w:rPr>
        <w:t>A类基金份额</w:t>
      </w:r>
    </w:p>
    <w:p w14:paraId="3EEF8B13" w14:textId="77777777" w:rsidR="000C66E2" w:rsidRPr="00D23217" w:rsidRDefault="000C66E2" w:rsidP="000C66E2">
      <w:pPr>
        <w:pStyle w:val="a6"/>
        <w:snapToGrid w:val="0"/>
        <w:spacing w:line="360" w:lineRule="auto"/>
        <w:ind w:firstLineChars="200" w:firstLine="420"/>
        <w:rPr>
          <w:rFonts w:hAnsi="宋体" w:cs="Times New Roman"/>
        </w:rPr>
      </w:pPr>
      <w:r w:rsidRPr="00D23217">
        <w:rPr>
          <w:rFonts w:hAnsi="宋体" w:cs="Times New Roman" w:hint="eastAsia"/>
        </w:rPr>
        <w:t>（1）</w:t>
      </w:r>
      <w:r w:rsidRPr="00D23217">
        <w:rPr>
          <w:rFonts w:hAnsi="宋体" w:hint="eastAsia"/>
        </w:rPr>
        <w:t>适用于比例费率</w:t>
      </w:r>
      <w:r w:rsidRPr="00D23217">
        <w:rPr>
          <w:rFonts w:hAnsi="宋体" w:cs="Times New Roman"/>
        </w:rPr>
        <w:t>：</w:t>
      </w:r>
    </w:p>
    <w:p w14:paraId="06B72A7A" w14:textId="77777777" w:rsidR="000C66E2" w:rsidRPr="00D23217" w:rsidRDefault="000C66E2" w:rsidP="000C66E2">
      <w:pPr>
        <w:pStyle w:val="a6"/>
        <w:snapToGrid w:val="0"/>
        <w:spacing w:line="360" w:lineRule="auto"/>
        <w:ind w:firstLineChars="200" w:firstLine="420"/>
        <w:rPr>
          <w:rFonts w:hAnsi="宋体" w:cs="Times New Roman"/>
        </w:rPr>
      </w:pPr>
      <w:r w:rsidRPr="00D23217">
        <w:rPr>
          <w:rFonts w:hAnsi="宋体" w:hint="eastAsia"/>
        </w:rPr>
        <w:t>净认购金额</w:t>
      </w:r>
      <w:r w:rsidRPr="00D23217">
        <w:rPr>
          <w:rFonts w:hAnsi="宋体"/>
        </w:rPr>
        <w:t xml:space="preserve"> = </w:t>
      </w:r>
      <w:r w:rsidRPr="00D23217">
        <w:rPr>
          <w:rFonts w:hAnsi="宋体" w:hint="eastAsia"/>
        </w:rPr>
        <w:t>认购金额</w:t>
      </w:r>
      <w:r w:rsidRPr="00D23217">
        <w:rPr>
          <w:rFonts w:hAnsi="宋体"/>
        </w:rPr>
        <w:t>/</w:t>
      </w:r>
      <w:r w:rsidRPr="00D23217">
        <w:rPr>
          <w:rFonts w:hAnsi="宋体" w:hint="eastAsia"/>
        </w:rPr>
        <w:t>（</w:t>
      </w:r>
      <w:r w:rsidRPr="00D23217">
        <w:rPr>
          <w:rFonts w:hAnsi="宋体"/>
        </w:rPr>
        <w:t>1+</w:t>
      </w:r>
      <w:r w:rsidRPr="00D23217">
        <w:rPr>
          <w:rFonts w:hAnsi="宋体" w:hint="eastAsia"/>
        </w:rPr>
        <w:t>认购费率）</w:t>
      </w:r>
    </w:p>
    <w:p w14:paraId="3BE5443E" w14:textId="77777777" w:rsidR="000C66E2" w:rsidRPr="005F6D92" w:rsidRDefault="000C66E2" w:rsidP="000C66E2">
      <w:pPr>
        <w:pStyle w:val="a6"/>
        <w:snapToGrid w:val="0"/>
        <w:spacing w:line="360" w:lineRule="auto"/>
        <w:ind w:firstLineChars="200" w:firstLine="420"/>
        <w:rPr>
          <w:rFonts w:hAnsi="宋体" w:cs="Times New Roman"/>
        </w:rPr>
      </w:pPr>
      <w:r w:rsidRPr="00115F51">
        <w:rPr>
          <w:rFonts w:hAnsi="宋体" w:hint="eastAsia"/>
        </w:rPr>
        <w:t>认购费用</w:t>
      </w:r>
      <w:r w:rsidRPr="00115F51">
        <w:rPr>
          <w:rFonts w:hAnsi="宋体"/>
        </w:rPr>
        <w:t xml:space="preserve"> = </w:t>
      </w:r>
      <w:r w:rsidRPr="00115F51">
        <w:rPr>
          <w:rFonts w:hAnsi="宋体" w:hint="eastAsia"/>
        </w:rPr>
        <w:t>认购金额－净认购金额</w:t>
      </w:r>
    </w:p>
    <w:p w14:paraId="6577C1A8" w14:textId="77777777" w:rsidR="000C66E2" w:rsidRPr="00DC4CEE" w:rsidRDefault="000C66E2" w:rsidP="000C66E2">
      <w:pPr>
        <w:pStyle w:val="a6"/>
        <w:snapToGrid w:val="0"/>
        <w:spacing w:line="360" w:lineRule="auto"/>
        <w:ind w:firstLineChars="200" w:firstLine="420"/>
        <w:rPr>
          <w:rFonts w:hAnsi="宋体"/>
        </w:rPr>
      </w:pPr>
      <w:r w:rsidRPr="005F6D92">
        <w:rPr>
          <w:rFonts w:hAnsi="宋体" w:hint="eastAsia"/>
        </w:rPr>
        <w:t>认购份额</w:t>
      </w:r>
      <w:r w:rsidRPr="005F6D92">
        <w:rPr>
          <w:rFonts w:hAnsi="宋体"/>
        </w:rPr>
        <w:t xml:space="preserve"> =</w:t>
      </w:r>
      <w:r w:rsidRPr="005F6D92">
        <w:rPr>
          <w:rFonts w:hAnsi="宋体" w:hint="eastAsia"/>
        </w:rPr>
        <w:t>（净认购金额</w:t>
      </w:r>
      <w:r w:rsidRPr="005F6D92">
        <w:rPr>
          <w:rFonts w:hAnsi="宋体"/>
        </w:rPr>
        <w:t>+</w:t>
      </w:r>
      <w:r w:rsidRPr="008B4B39">
        <w:rPr>
          <w:rFonts w:hAnsi="宋体" w:hint="eastAsia"/>
        </w:rPr>
        <w:t>认购利息）</w:t>
      </w:r>
      <w:r w:rsidRPr="00DC4CEE">
        <w:rPr>
          <w:rFonts w:hAnsi="宋体"/>
        </w:rPr>
        <w:t>/</w:t>
      </w:r>
      <w:r w:rsidRPr="00DC4CEE">
        <w:rPr>
          <w:rFonts w:hAnsi="宋体" w:hint="eastAsia"/>
        </w:rPr>
        <w:t>基金份额发售面值</w:t>
      </w:r>
    </w:p>
    <w:p w14:paraId="3E4D40A5" w14:textId="77777777" w:rsidR="000C66E2" w:rsidRPr="00333843" w:rsidRDefault="000C66E2" w:rsidP="000C66E2">
      <w:pPr>
        <w:pStyle w:val="a6"/>
        <w:snapToGrid w:val="0"/>
        <w:spacing w:line="360" w:lineRule="auto"/>
        <w:ind w:firstLineChars="200" w:firstLine="420"/>
        <w:rPr>
          <w:rFonts w:hAnsi="宋体"/>
        </w:rPr>
      </w:pPr>
      <w:r w:rsidRPr="00B61A09">
        <w:rPr>
          <w:rFonts w:hAnsi="宋体" w:hint="eastAsia"/>
        </w:rPr>
        <w:t>（2）适用于固定费用</w:t>
      </w:r>
    </w:p>
    <w:p w14:paraId="34B5C206" w14:textId="77777777" w:rsidR="000C66E2" w:rsidRPr="00333843" w:rsidRDefault="000C66E2" w:rsidP="00FD4390">
      <w:pPr>
        <w:pStyle w:val="a6"/>
        <w:snapToGrid w:val="0"/>
        <w:spacing w:line="360" w:lineRule="auto"/>
        <w:ind w:firstLineChars="200" w:firstLine="420"/>
        <w:rPr>
          <w:rFonts w:hAnsi="宋体"/>
        </w:rPr>
      </w:pPr>
      <w:r w:rsidRPr="00FD4390">
        <w:rPr>
          <w:rFonts w:hAnsi="宋体" w:hint="eastAsia"/>
        </w:rPr>
        <w:t>净认购金额</w:t>
      </w:r>
      <w:r w:rsidRPr="00FD4390">
        <w:rPr>
          <w:rFonts w:hAnsi="宋体"/>
        </w:rPr>
        <w:t>＝</w:t>
      </w:r>
      <w:r w:rsidRPr="00FD4390">
        <w:rPr>
          <w:rFonts w:hAnsi="宋体" w:hint="eastAsia"/>
        </w:rPr>
        <w:t>认购金额</w:t>
      </w:r>
      <w:r w:rsidRPr="00FD4390">
        <w:rPr>
          <w:rFonts w:hAnsi="宋体"/>
        </w:rPr>
        <w:t>-固定认购费用</w:t>
      </w:r>
    </w:p>
    <w:p w14:paraId="3BE12FFB" w14:textId="77777777" w:rsidR="000C66E2" w:rsidRPr="00333843" w:rsidRDefault="000C66E2" w:rsidP="00FD4390">
      <w:pPr>
        <w:pStyle w:val="a6"/>
        <w:snapToGrid w:val="0"/>
        <w:spacing w:line="360" w:lineRule="auto"/>
        <w:ind w:firstLineChars="200" w:firstLine="420"/>
        <w:rPr>
          <w:rFonts w:hAnsi="宋体"/>
        </w:rPr>
      </w:pPr>
      <w:r w:rsidRPr="00FD4390">
        <w:rPr>
          <w:rFonts w:hAnsi="宋体" w:hint="eastAsia"/>
        </w:rPr>
        <w:t>认购份额</w:t>
      </w:r>
      <w:r w:rsidRPr="00FD4390">
        <w:rPr>
          <w:rFonts w:hAnsi="宋体"/>
        </w:rPr>
        <w:t>＝</w:t>
      </w:r>
      <w:r w:rsidRPr="00FD4390">
        <w:rPr>
          <w:rFonts w:hAnsi="宋体" w:hint="eastAsia"/>
        </w:rPr>
        <w:t>（净认购金额</w:t>
      </w:r>
      <w:r w:rsidRPr="00FD4390">
        <w:rPr>
          <w:rFonts w:hAnsi="宋体"/>
        </w:rPr>
        <w:t>＋</w:t>
      </w:r>
      <w:r w:rsidRPr="00FD4390">
        <w:rPr>
          <w:rFonts w:hAnsi="宋体" w:hint="eastAsia"/>
        </w:rPr>
        <w:t>认购利息）</w:t>
      </w:r>
      <w:r w:rsidRPr="00FD4390">
        <w:rPr>
          <w:rFonts w:hAnsi="宋体"/>
        </w:rPr>
        <w:t>/</w:t>
      </w:r>
      <w:r w:rsidRPr="00FD4390">
        <w:rPr>
          <w:rFonts w:hAnsi="宋体" w:hint="eastAsia"/>
        </w:rPr>
        <w:t>基金份额发售面值</w:t>
      </w:r>
    </w:p>
    <w:p w14:paraId="48FA74D1"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cs="Times New Roman"/>
        </w:rPr>
        <w:t>C类基金份额</w:t>
      </w:r>
    </w:p>
    <w:p w14:paraId="4B605E73" w14:textId="77777777" w:rsidR="000C66E2" w:rsidRPr="00333843" w:rsidRDefault="000C66E2" w:rsidP="00FD4390">
      <w:pPr>
        <w:pStyle w:val="a6"/>
        <w:snapToGrid w:val="0"/>
        <w:spacing w:line="360" w:lineRule="auto"/>
        <w:ind w:firstLineChars="200" w:firstLine="420"/>
        <w:rPr>
          <w:rFonts w:hAnsi="宋体"/>
        </w:rPr>
      </w:pPr>
      <w:r w:rsidRPr="00FD4390">
        <w:rPr>
          <w:rFonts w:hAnsi="宋体" w:hint="eastAsia"/>
        </w:rPr>
        <w:t>认购份额</w:t>
      </w:r>
      <w:r w:rsidRPr="00FD4390">
        <w:rPr>
          <w:rFonts w:hAnsi="宋体"/>
        </w:rPr>
        <w:t>＝</w:t>
      </w:r>
      <w:r w:rsidRPr="00FD4390">
        <w:rPr>
          <w:rFonts w:hAnsi="宋体" w:hint="eastAsia"/>
        </w:rPr>
        <w:t>（认购金额</w:t>
      </w:r>
      <w:r w:rsidRPr="00FD4390">
        <w:rPr>
          <w:rFonts w:hAnsi="宋体"/>
        </w:rPr>
        <w:t>＋</w:t>
      </w:r>
      <w:r w:rsidRPr="00FD4390">
        <w:rPr>
          <w:rFonts w:hAnsi="宋体" w:hint="eastAsia"/>
        </w:rPr>
        <w:t>认购利息）</w:t>
      </w:r>
      <w:r w:rsidRPr="00FD4390">
        <w:rPr>
          <w:rFonts w:hAnsi="宋体"/>
        </w:rPr>
        <w:t>/</w:t>
      </w:r>
      <w:r w:rsidRPr="00FD4390">
        <w:rPr>
          <w:rFonts w:hAnsi="宋体" w:hint="eastAsia"/>
        </w:rPr>
        <w:t>基金份额发售面值</w:t>
      </w:r>
    </w:p>
    <w:p w14:paraId="4B144A87"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例：某投资人投资</w:t>
      </w:r>
      <w:r w:rsidRPr="00FD4390">
        <w:rPr>
          <w:rFonts w:hAnsi="宋体"/>
        </w:rPr>
        <w:t>10</w:t>
      </w:r>
      <w:r w:rsidRPr="00FD4390">
        <w:rPr>
          <w:rFonts w:hAnsi="宋体" w:hint="eastAsia"/>
        </w:rPr>
        <w:t>万元认购</w:t>
      </w:r>
      <w:r w:rsidRPr="00FD4390">
        <w:rPr>
          <w:rFonts w:hAnsi="宋体"/>
        </w:rPr>
        <w:t>A类基金份额，该笔认购产生利息50</w:t>
      </w:r>
      <w:r w:rsidRPr="00FD4390">
        <w:rPr>
          <w:rFonts w:hAnsi="宋体" w:hint="eastAsia"/>
        </w:rPr>
        <w:t>元，对应认购费率为</w:t>
      </w:r>
      <w:r w:rsidRPr="00FD4390">
        <w:rPr>
          <w:rFonts w:hAnsi="宋体"/>
        </w:rPr>
        <w:t>1.0%</w:t>
      </w:r>
      <w:r w:rsidRPr="00FD4390">
        <w:rPr>
          <w:rFonts w:hAnsi="宋体" w:hint="eastAsia"/>
        </w:rPr>
        <w:t>，则其可得到的认购份额为：</w:t>
      </w:r>
    </w:p>
    <w:p w14:paraId="647BF455"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净认购金额＝</w:t>
      </w:r>
      <w:r w:rsidRPr="00FD4390">
        <w:rPr>
          <w:rFonts w:hAnsi="宋体"/>
        </w:rPr>
        <w:t>100,000/ (1+1.0%</w:t>
      </w:r>
      <w:r w:rsidRPr="00FD4390">
        <w:rPr>
          <w:rFonts w:hAnsi="宋体" w:hint="eastAsia"/>
        </w:rPr>
        <w:t>）＝</w:t>
      </w:r>
      <w:r w:rsidRPr="00FD4390">
        <w:rPr>
          <w:rFonts w:hAnsi="宋体"/>
        </w:rPr>
        <w:t>99,009.90元</w:t>
      </w:r>
    </w:p>
    <w:p w14:paraId="0259522D"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认购费用＝</w:t>
      </w:r>
      <w:r w:rsidRPr="00FD4390">
        <w:rPr>
          <w:rFonts w:hAnsi="宋体"/>
        </w:rPr>
        <w:t>100,000</w:t>
      </w:r>
      <w:r w:rsidRPr="00FD4390">
        <w:rPr>
          <w:rFonts w:hAnsi="宋体" w:hint="eastAsia"/>
        </w:rPr>
        <w:t>－</w:t>
      </w:r>
      <w:r w:rsidRPr="00FD4390">
        <w:rPr>
          <w:rFonts w:hAnsi="宋体"/>
        </w:rPr>
        <w:t>99,009.90＝990.10元</w:t>
      </w:r>
    </w:p>
    <w:p w14:paraId="37B22E0A" w14:textId="77777777" w:rsidR="000C66E2" w:rsidRPr="00333843" w:rsidRDefault="000C66E2" w:rsidP="00FD4390">
      <w:pPr>
        <w:pStyle w:val="a6"/>
        <w:snapToGrid w:val="0"/>
        <w:spacing w:line="360" w:lineRule="auto"/>
        <w:ind w:firstLineChars="200" w:firstLine="420"/>
        <w:rPr>
          <w:rFonts w:hAnsi="宋体"/>
        </w:rPr>
      </w:pPr>
      <w:r w:rsidRPr="00FD4390">
        <w:rPr>
          <w:rFonts w:hAnsi="宋体" w:hint="eastAsia"/>
        </w:rPr>
        <w:t>认购份额</w:t>
      </w:r>
      <w:r w:rsidRPr="00FD4390">
        <w:rPr>
          <w:rFonts w:hAnsi="宋体"/>
        </w:rPr>
        <w:t xml:space="preserve"> =</w:t>
      </w:r>
      <w:r w:rsidRPr="00FD4390">
        <w:rPr>
          <w:rFonts w:hAnsi="宋体" w:hint="eastAsia"/>
        </w:rPr>
        <w:t>（</w:t>
      </w:r>
      <w:r w:rsidRPr="00FD4390">
        <w:rPr>
          <w:rFonts w:hAnsi="宋体"/>
        </w:rPr>
        <w:t>99,009.90＋50</w:t>
      </w:r>
      <w:r w:rsidRPr="00FD4390">
        <w:rPr>
          <w:rFonts w:hAnsi="宋体" w:hint="eastAsia"/>
        </w:rPr>
        <w:t>）</w:t>
      </w:r>
      <w:r w:rsidRPr="00FD4390">
        <w:rPr>
          <w:rFonts w:hAnsi="宋体"/>
        </w:rPr>
        <w:t>/1.00 =99,059.90份</w:t>
      </w:r>
    </w:p>
    <w:p w14:paraId="499CF71F"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rPr>
        <w:t>2</w:t>
      </w:r>
      <w:r w:rsidRPr="00FD4390">
        <w:rPr>
          <w:rFonts w:hAnsi="宋体" w:hint="eastAsia"/>
        </w:rPr>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14:paraId="25C147AA"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rPr>
        <w:t>3</w:t>
      </w:r>
      <w:r w:rsidRPr="00FD4390">
        <w:rPr>
          <w:rFonts w:hAnsi="宋体" w:hint="eastAsia"/>
        </w:rPr>
        <w:t>、认购款项在募集期间产生的利息将折算为基金份额</w:t>
      </w:r>
      <w:proofErr w:type="gramStart"/>
      <w:r w:rsidRPr="00FD4390">
        <w:rPr>
          <w:rFonts w:hAnsi="宋体" w:hint="eastAsia"/>
        </w:rPr>
        <w:t>归基金</w:t>
      </w:r>
      <w:proofErr w:type="gramEnd"/>
      <w:r w:rsidRPr="00FD4390">
        <w:rPr>
          <w:rFonts w:hAnsi="宋体" w:hint="eastAsia"/>
        </w:rPr>
        <w:t>份额持有人所有，其中利息转份额的数量以基金登记机构的记录为准。利息折算的份额保留到小数点后两位，小数点后两位以后部分舍去，余额计入基金财产。</w:t>
      </w:r>
    </w:p>
    <w:p w14:paraId="02E711B7" w14:textId="77777777" w:rsidR="000C66E2" w:rsidRPr="00333843" w:rsidRDefault="000C66E2" w:rsidP="000C66E2">
      <w:pPr>
        <w:pStyle w:val="32"/>
        <w:snapToGrid w:val="0"/>
        <w:spacing w:line="360" w:lineRule="auto"/>
        <w:ind w:firstLine="0"/>
        <w:rPr>
          <w:rFonts w:hAnsi="宋体" w:cs="Times New Roman"/>
          <w:sz w:val="21"/>
          <w:szCs w:val="21"/>
        </w:rPr>
      </w:pPr>
    </w:p>
    <w:p w14:paraId="759F3B7F" w14:textId="77777777" w:rsidR="000C66E2" w:rsidRPr="00FD4390" w:rsidRDefault="000C66E2" w:rsidP="00FD4390">
      <w:pPr>
        <w:tabs>
          <w:tab w:val="left" w:pos="840"/>
        </w:tabs>
        <w:adjustRightInd w:val="0"/>
        <w:snapToGrid w:val="0"/>
        <w:spacing w:line="360" w:lineRule="auto"/>
        <w:ind w:firstLineChars="200" w:firstLine="420"/>
        <w:rPr>
          <w:rFonts w:ascii="宋体" w:cs="Times New Roman"/>
          <w:bCs/>
          <w:color w:val="000000"/>
        </w:rPr>
      </w:pPr>
      <w:r w:rsidRPr="00FD4390">
        <w:rPr>
          <w:rFonts w:ascii="宋体" w:hAnsi="宋体" w:cs="宋体" w:hint="eastAsia"/>
          <w:bCs/>
          <w:color w:val="000000"/>
        </w:rPr>
        <w:t>九、基金认购金额的限制</w:t>
      </w:r>
    </w:p>
    <w:p w14:paraId="78BA62CF" w14:textId="3363AE1D" w:rsidR="00333843" w:rsidRPr="00D23217" w:rsidRDefault="000C66E2" w:rsidP="000C66E2">
      <w:pPr>
        <w:pStyle w:val="32"/>
        <w:snapToGrid w:val="0"/>
        <w:spacing w:line="360" w:lineRule="auto"/>
        <w:ind w:firstLineChars="200" w:firstLine="420"/>
        <w:rPr>
          <w:rFonts w:hAnsi="宋体" w:cs="Times New Roman"/>
          <w:sz w:val="21"/>
          <w:szCs w:val="21"/>
        </w:rPr>
      </w:pPr>
      <w:r w:rsidRPr="00333843">
        <w:rPr>
          <w:rFonts w:hAnsi="宋体" w:hint="eastAsia"/>
          <w:sz w:val="21"/>
          <w:szCs w:val="21"/>
        </w:rPr>
        <w:t>本基金销售机构首次认购和追加认购最低金额均为人民币</w:t>
      </w:r>
      <w:r w:rsidRPr="00333843">
        <w:rPr>
          <w:rFonts w:hAnsi="宋体"/>
          <w:sz w:val="21"/>
          <w:szCs w:val="21"/>
        </w:rPr>
        <w:t>1</w:t>
      </w:r>
      <w:r w:rsidRPr="00333843">
        <w:rPr>
          <w:rFonts w:hAnsi="宋体" w:hint="eastAsia"/>
          <w:sz w:val="21"/>
          <w:szCs w:val="21"/>
        </w:rPr>
        <w:t>元，具体认购金额以各基金销售机构的公告为准。</w:t>
      </w:r>
    </w:p>
    <w:p w14:paraId="216D90B8" w14:textId="77777777" w:rsidR="000C66E2" w:rsidRPr="00D23217" w:rsidRDefault="000C66E2" w:rsidP="000C66E2">
      <w:pPr>
        <w:pStyle w:val="32"/>
        <w:snapToGrid w:val="0"/>
        <w:spacing w:line="360" w:lineRule="auto"/>
        <w:ind w:firstLine="0"/>
        <w:rPr>
          <w:rFonts w:hAnsi="宋体" w:cs="Times New Roman"/>
          <w:sz w:val="21"/>
          <w:szCs w:val="21"/>
        </w:rPr>
      </w:pPr>
    </w:p>
    <w:p w14:paraId="03559D84" w14:textId="77777777" w:rsidR="000C66E2" w:rsidRPr="00FD4390" w:rsidRDefault="000C66E2" w:rsidP="00FD4390">
      <w:pPr>
        <w:tabs>
          <w:tab w:val="left" w:pos="840"/>
        </w:tabs>
        <w:adjustRightInd w:val="0"/>
        <w:snapToGrid w:val="0"/>
        <w:spacing w:line="360" w:lineRule="auto"/>
        <w:ind w:firstLineChars="200" w:firstLine="420"/>
        <w:rPr>
          <w:rFonts w:ascii="宋体" w:cs="Times New Roman"/>
          <w:bCs/>
          <w:color w:val="000000"/>
        </w:rPr>
      </w:pPr>
      <w:r w:rsidRPr="00FD4390">
        <w:rPr>
          <w:rFonts w:ascii="宋体" w:hAnsi="宋体" w:cs="宋体" w:hint="eastAsia"/>
          <w:bCs/>
          <w:color w:val="000000"/>
        </w:rPr>
        <w:t>十、基金份额的认购和持有限额</w:t>
      </w:r>
    </w:p>
    <w:p w14:paraId="75E2823E" w14:textId="725B2C59" w:rsidR="000C66E2" w:rsidRPr="00333843" w:rsidRDefault="000C66E2" w:rsidP="00B60DDE">
      <w:pPr>
        <w:tabs>
          <w:tab w:val="left" w:pos="840"/>
        </w:tabs>
        <w:adjustRightInd w:val="0"/>
        <w:snapToGrid w:val="0"/>
        <w:spacing w:line="360" w:lineRule="auto"/>
        <w:ind w:firstLineChars="200" w:firstLine="420"/>
        <w:rPr>
          <w:rFonts w:ascii="宋体" w:cs="Times New Roman"/>
        </w:rPr>
      </w:pPr>
      <w:r w:rsidRPr="00333843">
        <w:rPr>
          <w:rFonts w:ascii="宋体" w:hAnsi="宋体" w:cs="宋体" w:hint="eastAsia"/>
          <w:color w:val="000000"/>
        </w:rPr>
        <w:t>基金管理人不对募集期间的单个投资人的累计认购金额进行限制。</w:t>
      </w:r>
      <w:r w:rsidRPr="00333843">
        <w:rPr>
          <w:rFonts w:ascii="宋体" w:cs="Times New Roman"/>
        </w:rPr>
        <w:br w:type="page"/>
      </w:r>
    </w:p>
    <w:p w14:paraId="0DAB7944"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72" w:name="_Toc360794409"/>
      <w:bookmarkStart w:id="73" w:name="_Toc360793499"/>
      <w:bookmarkStart w:id="74" w:name="_Toc360793851"/>
      <w:bookmarkStart w:id="75" w:name="_Toc360794101"/>
      <w:bookmarkStart w:id="76" w:name="_Toc362455184"/>
      <w:bookmarkStart w:id="77" w:name="_Toc362533456"/>
      <w:bookmarkStart w:id="78" w:name="_Toc416453846"/>
      <w:bookmarkStart w:id="79" w:name="_Toc360794517"/>
      <w:r w:rsidRPr="00A4035F">
        <w:rPr>
          <w:rFonts w:ascii="宋体" w:eastAsia="宋体" w:hAnsi="宋体" w:cs="宋体" w:hint="eastAsia"/>
        </w:rPr>
        <w:lastRenderedPageBreak/>
        <w:t>基金合同的生效</w:t>
      </w:r>
      <w:bookmarkEnd w:id="72"/>
      <w:bookmarkEnd w:id="73"/>
      <w:bookmarkEnd w:id="74"/>
      <w:bookmarkEnd w:id="75"/>
      <w:bookmarkEnd w:id="76"/>
      <w:bookmarkEnd w:id="77"/>
      <w:bookmarkEnd w:id="78"/>
      <w:bookmarkEnd w:id="79"/>
    </w:p>
    <w:p w14:paraId="0657D92F" w14:textId="77777777" w:rsidR="003F75AE" w:rsidRPr="00A4035F" w:rsidRDefault="003F75AE" w:rsidP="003F75AE">
      <w:pPr>
        <w:pStyle w:val="32"/>
        <w:snapToGrid w:val="0"/>
        <w:spacing w:line="360" w:lineRule="auto"/>
        <w:ind w:firstLineChars="200" w:firstLine="420"/>
        <w:rPr>
          <w:rFonts w:hAnsi="宋体" w:cs="Times New Roman"/>
          <w:sz w:val="21"/>
          <w:szCs w:val="21"/>
        </w:rPr>
      </w:pPr>
    </w:p>
    <w:p w14:paraId="73408AAD"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一、基金备案的条件</w:t>
      </w:r>
    </w:p>
    <w:p w14:paraId="0E14FEA5"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本基金自基金份额发售之日起3个月内，在基金募集份额总额不少于2亿份，基金募集金额不少于2亿元人民币</w:t>
      </w:r>
      <w:proofErr w:type="gramStart"/>
      <w:r w:rsidRPr="00242BD3">
        <w:rPr>
          <w:rFonts w:ascii="宋体" w:hAnsi="宋体" w:cs="Times New Roman" w:hint="eastAsia"/>
          <w:bCs/>
        </w:rPr>
        <w:t>且基金</w:t>
      </w:r>
      <w:proofErr w:type="gramEnd"/>
      <w:r w:rsidRPr="00242BD3">
        <w:rPr>
          <w:rFonts w:ascii="宋体" w:hAnsi="宋体" w:cs="Times New Roman" w:hint="eastAsia"/>
          <w:bCs/>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5679B3B7" w14:textId="77777777" w:rsid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8F34A3A" w14:textId="77777777" w:rsidR="00242BD3" w:rsidRPr="00242BD3" w:rsidRDefault="00242BD3" w:rsidP="00242BD3">
      <w:pPr>
        <w:adjustRightInd w:val="0"/>
        <w:snapToGrid w:val="0"/>
        <w:spacing w:line="360" w:lineRule="auto"/>
        <w:ind w:firstLineChars="200" w:firstLine="420"/>
        <w:rPr>
          <w:rFonts w:ascii="宋体" w:hAnsi="宋体" w:cs="Times New Roman"/>
          <w:bCs/>
        </w:rPr>
      </w:pPr>
    </w:p>
    <w:p w14:paraId="15F06107"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二、基金合同不能生效时募集资金的处理方式</w:t>
      </w:r>
    </w:p>
    <w:p w14:paraId="41C71273"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如果募集期限届满，未满足基金备案条件，基金管理人应当承担下列责任：</w:t>
      </w:r>
    </w:p>
    <w:p w14:paraId="0D1B9581"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1、以其固有财产承担因募集行为而产生的债务和费用；</w:t>
      </w:r>
    </w:p>
    <w:p w14:paraId="76433387"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2、在基金募集期限届满后30日内返还投资者已缴纳的款项，并加计银行同期活期存款利息；</w:t>
      </w:r>
    </w:p>
    <w:p w14:paraId="0B1CAEB1" w14:textId="77777777" w:rsid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3、如基金募集失败，基金管理人、基金托管人及销售机构不得请求报酬。基金管理人、基金托管人和销售机构为基金募集支付之一切费用应由各方各自承担。</w:t>
      </w:r>
    </w:p>
    <w:p w14:paraId="0873857D" w14:textId="77777777" w:rsidR="00242BD3" w:rsidRPr="00242BD3" w:rsidRDefault="00242BD3" w:rsidP="00242BD3">
      <w:pPr>
        <w:adjustRightInd w:val="0"/>
        <w:snapToGrid w:val="0"/>
        <w:spacing w:line="360" w:lineRule="auto"/>
        <w:ind w:firstLineChars="200" w:firstLine="420"/>
        <w:rPr>
          <w:rFonts w:ascii="宋体" w:hAnsi="宋体" w:cs="Times New Roman"/>
          <w:bCs/>
        </w:rPr>
      </w:pPr>
    </w:p>
    <w:p w14:paraId="66667E76"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三、基金存续期内的基金份额持有人数量和资产规模</w:t>
      </w:r>
    </w:p>
    <w:p w14:paraId="050E5D9F"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14:paraId="53CDC646" w14:textId="132A4DB1" w:rsidR="00FD73D1" w:rsidRPr="00FD73D1"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法律法规或中国证监会另有规定时，从其规定。</w:t>
      </w:r>
    </w:p>
    <w:p w14:paraId="0811588F" w14:textId="07F16CB9" w:rsidR="003F75AE" w:rsidRPr="00242BD3" w:rsidRDefault="003F75AE">
      <w:pPr>
        <w:adjustRightInd w:val="0"/>
        <w:snapToGrid w:val="0"/>
        <w:spacing w:line="360" w:lineRule="auto"/>
        <w:ind w:firstLineChars="200" w:firstLine="420"/>
        <w:rPr>
          <w:rFonts w:ascii="宋体" w:cs="Times New Roman"/>
        </w:rPr>
      </w:pPr>
    </w:p>
    <w:p w14:paraId="1C7F1C5A" w14:textId="77777777" w:rsidR="003F75AE" w:rsidRPr="00A4035F" w:rsidRDefault="003F75AE">
      <w:pPr>
        <w:snapToGrid w:val="0"/>
        <w:spacing w:line="360" w:lineRule="auto"/>
        <w:ind w:firstLineChars="200" w:firstLine="420"/>
        <w:rPr>
          <w:rFonts w:cs="Times New Roman"/>
        </w:rPr>
      </w:pPr>
    </w:p>
    <w:p w14:paraId="536F573A" w14:textId="77777777" w:rsidR="003F75AE" w:rsidRPr="00A4035F" w:rsidRDefault="003F75AE">
      <w:pPr>
        <w:snapToGrid w:val="0"/>
        <w:spacing w:line="360" w:lineRule="auto"/>
        <w:ind w:firstLineChars="200" w:firstLine="420"/>
        <w:rPr>
          <w:rFonts w:ascii="宋体" w:cs="Times New Roman"/>
        </w:rPr>
      </w:pPr>
      <w:r w:rsidRPr="00A4035F">
        <w:rPr>
          <w:rFonts w:ascii="宋体" w:cs="Times New Roman"/>
        </w:rPr>
        <w:br w:type="page"/>
      </w:r>
    </w:p>
    <w:p w14:paraId="71721E30" w14:textId="77777777" w:rsidR="003F75AE" w:rsidRPr="00A32CA1"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80" w:name="_Toc360794102"/>
      <w:bookmarkStart w:id="81" w:name="_Toc416453847"/>
      <w:bookmarkStart w:id="82" w:name="_Toc360794518"/>
      <w:bookmarkStart w:id="83" w:name="_Toc362455185"/>
      <w:bookmarkStart w:id="84" w:name="_Toc360793852"/>
      <w:bookmarkStart w:id="85" w:name="_Toc360794410"/>
      <w:bookmarkStart w:id="86" w:name="_Toc360793500"/>
      <w:bookmarkStart w:id="87" w:name="_Toc362533457"/>
      <w:r w:rsidRPr="00A32CA1">
        <w:rPr>
          <w:rFonts w:ascii="宋体" w:eastAsia="宋体" w:hAnsi="宋体" w:cs="宋体" w:hint="eastAsia"/>
        </w:rPr>
        <w:lastRenderedPageBreak/>
        <w:t>基金份额的申购和赎回</w:t>
      </w:r>
      <w:bookmarkEnd w:id="80"/>
      <w:bookmarkEnd w:id="81"/>
      <w:bookmarkEnd w:id="82"/>
      <w:bookmarkEnd w:id="83"/>
      <w:bookmarkEnd w:id="84"/>
      <w:bookmarkEnd w:id="85"/>
      <w:bookmarkEnd w:id="86"/>
      <w:bookmarkEnd w:id="87"/>
    </w:p>
    <w:p w14:paraId="41FD1AA3" w14:textId="77777777" w:rsidR="003F75AE" w:rsidRPr="00A32CA1" w:rsidRDefault="003F75AE" w:rsidP="003F75AE">
      <w:pPr>
        <w:pStyle w:val="a9"/>
        <w:snapToGrid w:val="0"/>
        <w:ind w:firstLineChars="196" w:firstLine="413"/>
        <w:rPr>
          <w:rFonts w:ascii="宋体"/>
          <w:b/>
          <w:bCs/>
          <w:color w:val="000000"/>
          <w:sz w:val="21"/>
          <w:szCs w:val="21"/>
        </w:rPr>
      </w:pPr>
    </w:p>
    <w:p w14:paraId="25F3BB27"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一、申购与赎回场所</w:t>
      </w:r>
    </w:p>
    <w:p w14:paraId="125F9C24" w14:textId="40678B4E" w:rsidR="003F75AE" w:rsidRPr="00115F51" w:rsidRDefault="00EC178D" w:rsidP="003F75AE">
      <w:pPr>
        <w:snapToGrid w:val="0"/>
        <w:spacing w:line="360" w:lineRule="auto"/>
        <w:ind w:firstLineChars="200" w:firstLine="420"/>
        <w:rPr>
          <w:rFonts w:ascii="宋体" w:cs="Times New Roman"/>
        </w:rPr>
      </w:pPr>
      <w:r w:rsidRPr="00EC178D">
        <w:rPr>
          <w:rFonts w:ascii="宋体" w:hAnsi="宋体" w:cs="宋体" w:hint="eastAsia"/>
        </w:rPr>
        <w:t>本基金的申购与赎回将通过销售机构进行。具体的销售机构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roofErr w:type="gramStart"/>
      <w:r w:rsidRPr="00EC178D">
        <w:rPr>
          <w:rFonts w:ascii="宋体" w:hAnsi="宋体" w:cs="宋体" w:hint="eastAsia"/>
        </w:rPr>
        <w:t>若基金</w:t>
      </w:r>
      <w:proofErr w:type="gramEnd"/>
      <w:r w:rsidRPr="00EC178D">
        <w:rPr>
          <w:rFonts w:ascii="宋体" w:hAnsi="宋体" w:cs="宋体" w:hint="eastAsia"/>
        </w:rPr>
        <w:t>管理人或其指定的销售机构开通电话、传真或网上等交易方式，投资人可以通过上述方式进行申购与赎回。</w:t>
      </w:r>
    </w:p>
    <w:p w14:paraId="78F5C3CD" w14:textId="77777777" w:rsidR="003F75AE" w:rsidRPr="00115F51" w:rsidRDefault="003F75AE" w:rsidP="003F75AE">
      <w:pPr>
        <w:snapToGrid w:val="0"/>
        <w:spacing w:line="360" w:lineRule="auto"/>
        <w:ind w:firstLineChars="200" w:firstLine="420"/>
        <w:rPr>
          <w:rFonts w:ascii="宋体" w:cs="Times New Roman"/>
          <w:color w:val="000000"/>
        </w:rPr>
      </w:pPr>
    </w:p>
    <w:p w14:paraId="07658E8E" w14:textId="77777777" w:rsidR="003F75AE" w:rsidRPr="00FD4390" w:rsidRDefault="003F75AE" w:rsidP="00FD4390">
      <w:pPr>
        <w:pStyle w:val="a9"/>
        <w:snapToGrid w:val="0"/>
        <w:ind w:firstLineChars="196" w:firstLine="412"/>
        <w:rPr>
          <w:rFonts w:ascii="宋体"/>
          <w:bCs/>
          <w:sz w:val="21"/>
          <w:szCs w:val="21"/>
        </w:rPr>
      </w:pPr>
      <w:r w:rsidRPr="00FD4390">
        <w:rPr>
          <w:rFonts w:ascii="宋体" w:hAnsi="宋体" w:cs="宋体" w:hint="eastAsia"/>
          <w:bCs/>
          <w:sz w:val="21"/>
          <w:szCs w:val="21"/>
        </w:rPr>
        <w:t>二、申购与赎回的开放日及时间</w:t>
      </w:r>
    </w:p>
    <w:p w14:paraId="17FFEC39"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1</w:t>
      </w:r>
      <w:r w:rsidRPr="00EC178D">
        <w:rPr>
          <w:rFonts w:ascii="Calibri" w:hAnsi="Calibri" w:cs="Calibri" w:hint="eastAsia"/>
          <w:sz w:val="21"/>
          <w:szCs w:val="21"/>
        </w:rPr>
        <w:t>、开放日及开放时间</w:t>
      </w:r>
    </w:p>
    <w:p w14:paraId="501613F5"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A088241"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基金合同生效后，若出现新的证券</w:t>
      </w:r>
      <w:r w:rsidRPr="00EC178D">
        <w:rPr>
          <w:rFonts w:ascii="Calibri" w:hAnsi="Calibri" w:cs="Calibri" w:hint="eastAsia"/>
          <w:sz w:val="21"/>
          <w:szCs w:val="21"/>
        </w:rPr>
        <w:t>/</w:t>
      </w:r>
      <w:r w:rsidRPr="00EC178D">
        <w:rPr>
          <w:rFonts w:ascii="Calibri" w:hAnsi="Calibri" w:cs="Calibri" w:hint="eastAsia"/>
          <w:sz w:val="21"/>
          <w:szCs w:val="21"/>
        </w:rPr>
        <w:t>期货交易市场、证券</w:t>
      </w:r>
      <w:r w:rsidRPr="00EC178D">
        <w:rPr>
          <w:rFonts w:ascii="Calibri" w:hAnsi="Calibri" w:cs="Calibri" w:hint="eastAsia"/>
          <w:sz w:val="21"/>
          <w:szCs w:val="21"/>
        </w:rPr>
        <w:t>/</w:t>
      </w:r>
      <w:r w:rsidRPr="00EC178D">
        <w:rPr>
          <w:rFonts w:ascii="Calibri" w:hAnsi="Calibri" w:cs="Calibri" w:hint="eastAsia"/>
          <w:sz w:val="21"/>
          <w:szCs w:val="21"/>
        </w:rPr>
        <w:t>期货交易所交易时间变更或其他特殊情况，基金管理人将视情况对前述开放日及开放时间进行相应的调整，但应在实施日前依照《信息披露办法》的有关规定在指定媒介上公告。</w:t>
      </w:r>
    </w:p>
    <w:p w14:paraId="3379F92A"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2</w:t>
      </w:r>
      <w:r w:rsidRPr="00EC178D">
        <w:rPr>
          <w:rFonts w:ascii="Calibri" w:hAnsi="Calibri" w:cs="Calibri" w:hint="eastAsia"/>
          <w:sz w:val="21"/>
          <w:szCs w:val="21"/>
        </w:rPr>
        <w:t>、申购、赎回开始日及业务办理时间</w:t>
      </w:r>
    </w:p>
    <w:p w14:paraId="69589C58"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基金管理人自基金合同生效之日起不超过三个月开始办理申购，具体业务办理时间在申购开始公告中规定。</w:t>
      </w:r>
    </w:p>
    <w:p w14:paraId="0772BEE1"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基金管理人自基金合同生效之日起不超过三个月开始办理赎回，具体业务办理时间在赎回开始公告中规定。</w:t>
      </w:r>
    </w:p>
    <w:p w14:paraId="58116839"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在确定申购开始与赎回开始时间后，基金管理人应在申购、赎回开放日前依照《信息披露办法》的有关规定在指定媒介上公告申购与赎回的开始时间。</w:t>
      </w:r>
    </w:p>
    <w:p w14:paraId="3ED7A142" w14:textId="286C55D2" w:rsidR="003F75AE" w:rsidRPr="00A32CA1" w:rsidRDefault="00EC178D">
      <w:pPr>
        <w:snapToGrid w:val="0"/>
        <w:spacing w:line="360" w:lineRule="auto"/>
        <w:ind w:firstLineChars="200" w:firstLine="420"/>
        <w:rPr>
          <w:rFonts w:ascii="宋体" w:cs="Times New Roman"/>
        </w:rPr>
      </w:pPr>
      <w:r w:rsidRPr="00EC178D">
        <w:rPr>
          <w:rFonts w:hint="eastAsia"/>
        </w:rPr>
        <w:t>基金管理人不得在基金合同约定之外的日期或者时间办理基金份额的申购、赎回或者转换。投资人在基金合同约定之外的日期和时间提出申购、赎回或转换申请</w:t>
      </w:r>
      <w:proofErr w:type="gramStart"/>
      <w:r w:rsidRPr="00EC178D">
        <w:rPr>
          <w:rFonts w:hint="eastAsia"/>
        </w:rPr>
        <w:t>且登记</w:t>
      </w:r>
      <w:proofErr w:type="gramEnd"/>
      <w:r w:rsidRPr="00EC178D">
        <w:rPr>
          <w:rFonts w:hint="eastAsia"/>
        </w:rPr>
        <w:t>机构确认接受的，其基金份额申购、赎回价格为下一开放日基金份额申购、赎回的价格。</w:t>
      </w:r>
    </w:p>
    <w:p w14:paraId="71523904" w14:textId="77777777" w:rsidR="003F75AE" w:rsidRPr="00A32CA1" w:rsidRDefault="003F75AE">
      <w:pPr>
        <w:snapToGrid w:val="0"/>
        <w:spacing w:line="360" w:lineRule="auto"/>
        <w:ind w:firstLine="480"/>
        <w:rPr>
          <w:rFonts w:ascii="宋体" w:cs="Times New Roman"/>
          <w:color w:val="000000"/>
        </w:rPr>
      </w:pPr>
    </w:p>
    <w:p w14:paraId="7A6238B3"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三、申购与赎回的原则</w:t>
      </w:r>
    </w:p>
    <w:p w14:paraId="25261ABF" w14:textId="77777777" w:rsidR="003F75AE" w:rsidRPr="00A32CA1" w:rsidRDefault="003F75AE" w:rsidP="003F75AE">
      <w:pPr>
        <w:snapToGrid w:val="0"/>
        <w:spacing w:line="360" w:lineRule="auto"/>
        <w:ind w:firstLineChars="200" w:firstLine="420"/>
        <w:rPr>
          <w:rFonts w:cs="Times New Roman"/>
        </w:rPr>
      </w:pPr>
      <w:r w:rsidRPr="00A32CA1">
        <w:t>1</w:t>
      </w:r>
      <w:r w:rsidRPr="00A32CA1">
        <w:rPr>
          <w:rFonts w:cs="宋体" w:hint="eastAsia"/>
        </w:rPr>
        <w:t>、“未知价”原则，即申购、赎回价格以申请当日收市后计算的基金份额净值为基准进行计算；</w:t>
      </w:r>
    </w:p>
    <w:p w14:paraId="41DCE4A2" w14:textId="77777777" w:rsidR="003F75AE" w:rsidRPr="00115F51" w:rsidRDefault="003F75AE" w:rsidP="003F75AE">
      <w:pPr>
        <w:snapToGrid w:val="0"/>
        <w:spacing w:line="360" w:lineRule="auto"/>
        <w:ind w:firstLineChars="200" w:firstLine="420"/>
        <w:rPr>
          <w:rFonts w:cs="Times New Roman"/>
        </w:rPr>
      </w:pPr>
      <w:r w:rsidRPr="00115F51">
        <w:t>2</w:t>
      </w:r>
      <w:r w:rsidRPr="00115F51">
        <w:rPr>
          <w:rFonts w:cs="宋体" w:hint="eastAsia"/>
        </w:rPr>
        <w:t>、“金额申购、份额赎回”原则，即申购以金额申请，赎回以份额申请；</w:t>
      </w:r>
    </w:p>
    <w:p w14:paraId="523BED1F" w14:textId="77777777" w:rsidR="003F75AE" w:rsidRPr="005F6D92" w:rsidRDefault="003F75AE" w:rsidP="003F75AE">
      <w:pPr>
        <w:snapToGrid w:val="0"/>
        <w:spacing w:line="360" w:lineRule="auto"/>
        <w:ind w:firstLineChars="200" w:firstLine="420"/>
        <w:rPr>
          <w:rFonts w:cs="Times New Roman"/>
        </w:rPr>
      </w:pPr>
      <w:r w:rsidRPr="00115F51">
        <w:t>3</w:t>
      </w:r>
      <w:r w:rsidRPr="005F6D92">
        <w:rPr>
          <w:rFonts w:cs="宋体" w:hint="eastAsia"/>
        </w:rPr>
        <w:t>、当日的申购与赎回申请可以在基金管理人规定的时间以内撤销；</w:t>
      </w:r>
    </w:p>
    <w:p w14:paraId="6004A908" w14:textId="77777777" w:rsidR="003F75AE" w:rsidRPr="005F6D92" w:rsidRDefault="003F75AE" w:rsidP="003F75AE">
      <w:pPr>
        <w:snapToGrid w:val="0"/>
        <w:spacing w:line="360" w:lineRule="auto"/>
        <w:ind w:firstLineChars="200" w:firstLine="420"/>
        <w:rPr>
          <w:rFonts w:cs="Times New Roman"/>
        </w:rPr>
      </w:pPr>
      <w:r w:rsidRPr="005F6D92">
        <w:lastRenderedPageBreak/>
        <w:t>4</w:t>
      </w:r>
      <w:r w:rsidRPr="005F6D92">
        <w:rPr>
          <w:rFonts w:cs="宋体" w:hint="eastAsia"/>
        </w:rPr>
        <w:t>、赎回遵循“先进先出”原则，即按照投资人认购、申购的先后次序进行顺序赎回。</w:t>
      </w:r>
    </w:p>
    <w:p w14:paraId="2B785FA7" w14:textId="77777777" w:rsidR="002B7DB3" w:rsidRPr="002B7DB3" w:rsidRDefault="002B7DB3" w:rsidP="002B7DB3">
      <w:pPr>
        <w:adjustRightInd w:val="0"/>
        <w:snapToGrid w:val="0"/>
        <w:spacing w:line="360" w:lineRule="auto"/>
        <w:ind w:firstLineChars="200" w:firstLine="420"/>
        <w:rPr>
          <w:rFonts w:ascii="宋体" w:hAnsi="宋体" w:cs="Times New Roman"/>
          <w:bCs/>
        </w:rPr>
      </w:pPr>
      <w:r w:rsidRPr="002B7DB3">
        <w:rPr>
          <w:rFonts w:ascii="Times New Roman" w:hAnsi="Times New Roman" w:cs="Times New Roman" w:hint="eastAsia"/>
          <w:szCs w:val="20"/>
        </w:rPr>
        <w:t>5</w:t>
      </w:r>
      <w:r w:rsidRPr="002B7DB3">
        <w:rPr>
          <w:rFonts w:ascii="Times New Roman" w:hAnsi="Times New Roman" w:cs="Times New Roman" w:hint="eastAsia"/>
          <w:szCs w:val="20"/>
        </w:rPr>
        <w:t>、办理申购、赎回业务时，应当遵循基金份额持有人利益优先原则，确保投资者的合法权益不受损害并得到公平对待。</w:t>
      </w:r>
    </w:p>
    <w:p w14:paraId="2DD591E4" w14:textId="77777777" w:rsidR="003F75AE" w:rsidRPr="008B4B39" w:rsidRDefault="003F75AE">
      <w:pPr>
        <w:snapToGrid w:val="0"/>
        <w:spacing w:line="360" w:lineRule="auto"/>
        <w:ind w:firstLineChars="200" w:firstLine="420"/>
        <w:rPr>
          <w:rFonts w:cs="Times New Roman"/>
        </w:rPr>
      </w:pPr>
      <w:r w:rsidRPr="005F6D92">
        <w:rPr>
          <w:rFonts w:cs="宋体" w:hint="eastAsia"/>
        </w:rPr>
        <w:t>基金管理人可在法律法规允许的情况下，对上述原则进行调整。基金管理人</w:t>
      </w:r>
      <w:r w:rsidRPr="008B4B39">
        <w:rPr>
          <w:rFonts w:cs="宋体" w:hint="eastAsia"/>
        </w:rPr>
        <w:t>必须在新规则开始实施前依照《信息披露办法》的有关规定在指定媒介上公告。</w:t>
      </w:r>
    </w:p>
    <w:p w14:paraId="754AA693" w14:textId="77777777" w:rsidR="003F75AE" w:rsidRPr="00DC4CEE" w:rsidRDefault="003F75AE">
      <w:pPr>
        <w:snapToGrid w:val="0"/>
        <w:spacing w:line="360" w:lineRule="auto"/>
        <w:ind w:firstLineChars="200" w:firstLine="420"/>
        <w:rPr>
          <w:rFonts w:cs="Times New Roman"/>
        </w:rPr>
      </w:pPr>
    </w:p>
    <w:p w14:paraId="4BE551EF"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四、申购与赎回的程序</w:t>
      </w:r>
    </w:p>
    <w:p w14:paraId="37851378" w14:textId="77777777" w:rsidR="003F75AE" w:rsidRPr="00A32CA1" w:rsidRDefault="003F75AE" w:rsidP="003F75AE">
      <w:pPr>
        <w:snapToGrid w:val="0"/>
        <w:spacing w:line="360" w:lineRule="auto"/>
        <w:ind w:firstLineChars="200" w:firstLine="420"/>
        <w:rPr>
          <w:rFonts w:cs="Times New Roman"/>
        </w:rPr>
      </w:pPr>
      <w:r w:rsidRPr="00A32CA1">
        <w:t>1</w:t>
      </w:r>
      <w:r w:rsidRPr="00A32CA1">
        <w:rPr>
          <w:rFonts w:cs="宋体" w:hint="eastAsia"/>
        </w:rPr>
        <w:t>、申购和赎回的申请方式</w:t>
      </w:r>
    </w:p>
    <w:p w14:paraId="0748ADAD" w14:textId="77777777" w:rsidR="00093C0F" w:rsidRPr="00115F51" w:rsidRDefault="003F75AE" w:rsidP="003B45A0">
      <w:pPr>
        <w:snapToGrid w:val="0"/>
        <w:spacing w:line="360" w:lineRule="auto"/>
        <w:ind w:firstLineChars="200" w:firstLine="420"/>
        <w:rPr>
          <w:rFonts w:cs="宋体"/>
        </w:rPr>
      </w:pPr>
      <w:r w:rsidRPr="00115F51">
        <w:rPr>
          <w:rFonts w:cs="宋体" w:hint="eastAsia"/>
        </w:rPr>
        <w:t>投资人必须根据销售机构规定的程序，在开放日的具体业务办理时间内提出申购或赎回的申请。</w:t>
      </w:r>
    </w:p>
    <w:p w14:paraId="0A3B797A" w14:textId="77777777" w:rsidR="003F75AE" w:rsidRPr="005F6D92" w:rsidRDefault="003F75AE" w:rsidP="003F75AE">
      <w:pPr>
        <w:snapToGrid w:val="0"/>
        <w:spacing w:line="360" w:lineRule="auto"/>
        <w:ind w:firstLineChars="200" w:firstLine="420"/>
        <w:rPr>
          <w:rFonts w:cs="Times New Roman"/>
        </w:rPr>
      </w:pPr>
      <w:r w:rsidRPr="00115F51">
        <w:t>2</w:t>
      </w:r>
      <w:r w:rsidRPr="005F6D92">
        <w:rPr>
          <w:rFonts w:cs="宋体" w:hint="eastAsia"/>
        </w:rPr>
        <w:t>、申购和赎回的款项支付</w:t>
      </w:r>
    </w:p>
    <w:p w14:paraId="26AFF691" w14:textId="27F378E4" w:rsidR="003F75AE" w:rsidRPr="00DC4CEE" w:rsidRDefault="003F75AE">
      <w:pPr>
        <w:snapToGrid w:val="0"/>
        <w:spacing w:line="360" w:lineRule="auto"/>
        <w:ind w:firstLineChars="200" w:firstLine="420"/>
        <w:rPr>
          <w:rFonts w:cs="Times New Roman"/>
        </w:rPr>
      </w:pPr>
      <w:r w:rsidRPr="005F6D92">
        <w:rPr>
          <w:rFonts w:cs="宋体" w:hint="eastAsia"/>
          <w:lang w:val="zh-CN"/>
        </w:rPr>
        <w:t>投资人申购基金份额时，必须</w:t>
      </w:r>
      <w:r w:rsidRPr="005F6D92">
        <w:rPr>
          <w:rFonts w:cs="宋体" w:hint="eastAsia"/>
        </w:rPr>
        <w:t>在规定的时间内</w:t>
      </w:r>
      <w:r w:rsidRPr="005F6D92">
        <w:rPr>
          <w:rFonts w:cs="宋体" w:hint="eastAsia"/>
          <w:lang w:val="zh-CN"/>
        </w:rPr>
        <w:t>全额交付申购款项，</w:t>
      </w:r>
      <w:r w:rsidRPr="008B4B39">
        <w:rPr>
          <w:rFonts w:ascii="宋体" w:hAnsi="宋体" w:cs="宋体" w:hint="eastAsia"/>
        </w:rPr>
        <w:t>否则所提交的申购申请不成立。投资人在提交赎回申请时须持有足够的基金份额余额，否则所提交的赎回申请不成立。投资人交付申购款项，申购成立；</w:t>
      </w:r>
      <w:r w:rsidR="009829B5">
        <w:rPr>
          <w:rFonts w:ascii="宋体" w:hAnsi="宋体" w:cs="宋体" w:hint="eastAsia"/>
        </w:rPr>
        <w:t>基金份额</w:t>
      </w:r>
      <w:r w:rsidRPr="008B4B39">
        <w:rPr>
          <w:rFonts w:ascii="宋体" w:hAnsi="宋体" w:cs="宋体" w:hint="eastAsia"/>
        </w:rPr>
        <w:t>登记机构确认基金份额时，申购生效。基金份额持有人递交赎回申请，赎回成立；</w:t>
      </w:r>
      <w:r w:rsidR="009829B5">
        <w:rPr>
          <w:rFonts w:ascii="宋体" w:hAnsi="宋体" w:cs="宋体" w:hint="eastAsia"/>
        </w:rPr>
        <w:t>基金份额</w:t>
      </w:r>
      <w:r w:rsidRPr="008B4B39">
        <w:rPr>
          <w:rFonts w:ascii="宋体" w:hAnsi="宋体" w:cs="宋体" w:hint="eastAsia"/>
        </w:rPr>
        <w:t>登记机构确认赎回时，赎回生效</w:t>
      </w:r>
      <w:r w:rsidRPr="00DC4CEE">
        <w:rPr>
          <w:rFonts w:cs="宋体" w:hint="eastAsia"/>
          <w:lang w:val="zh-CN"/>
        </w:rPr>
        <w:t>。</w:t>
      </w:r>
    </w:p>
    <w:p w14:paraId="4792E9D3" w14:textId="13AEB750" w:rsidR="003F75AE" w:rsidRPr="00A32CA1" w:rsidRDefault="003F75AE">
      <w:pPr>
        <w:snapToGrid w:val="0"/>
        <w:spacing w:line="360" w:lineRule="auto"/>
        <w:ind w:firstLineChars="200" w:firstLine="420"/>
        <w:rPr>
          <w:rFonts w:cs="Times New Roman"/>
        </w:rPr>
      </w:pPr>
      <w:r w:rsidRPr="00DC4CEE">
        <w:rPr>
          <w:rFonts w:cs="宋体" w:hint="eastAsia"/>
        </w:rPr>
        <w:t>投资</w:t>
      </w:r>
      <w:r w:rsidR="009829B5">
        <w:rPr>
          <w:rFonts w:cs="宋体"/>
        </w:rPr>
        <w:t>者</w:t>
      </w:r>
      <w:r w:rsidRPr="00DC4CEE">
        <w:rPr>
          <w:rFonts w:cs="宋体" w:hint="eastAsia"/>
        </w:rPr>
        <w:t>赎回申请</w:t>
      </w:r>
      <w:r w:rsidR="009829B5">
        <w:rPr>
          <w:rFonts w:cs="宋体"/>
        </w:rPr>
        <w:t>生效</w:t>
      </w:r>
      <w:r w:rsidRPr="00DC4CEE">
        <w:rPr>
          <w:rFonts w:cs="宋体" w:hint="eastAsia"/>
        </w:rPr>
        <w:t>后，基金管理人将在</w:t>
      </w:r>
      <w:r w:rsidRPr="00B61A09">
        <w:t>T</w:t>
      </w:r>
      <w:r w:rsidRPr="00B61A09">
        <w:rPr>
          <w:rFonts w:cs="宋体" w:hint="eastAsia"/>
        </w:rPr>
        <w:t>＋</w:t>
      </w:r>
      <w:r w:rsidRPr="00B61A09">
        <w:t>7</w:t>
      </w:r>
      <w:r w:rsidRPr="00B61A09">
        <w:rPr>
          <w:rFonts w:cs="宋体" w:hint="eastAsia"/>
        </w:rPr>
        <w:t>日</w:t>
      </w:r>
      <w:r w:rsidRPr="00A32CA1">
        <w:t>(</w:t>
      </w:r>
      <w:r w:rsidRPr="00A32CA1">
        <w:rPr>
          <w:rFonts w:cs="宋体" w:hint="eastAsia"/>
        </w:rPr>
        <w:t>包括该日</w:t>
      </w:r>
      <w:r w:rsidRPr="00A32CA1">
        <w:t>)</w:t>
      </w:r>
      <w:r w:rsidRPr="00A32CA1">
        <w:rPr>
          <w:rFonts w:cs="宋体" w:hint="eastAsia"/>
        </w:rPr>
        <w:t>内支付赎回款项。如</w:t>
      </w:r>
      <w:proofErr w:type="gramStart"/>
      <w:r w:rsidRPr="00A32CA1">
        <w:rPr>
          <w:rFonts w:cs="宋体" w:hint="eastAsia"/>
        </w:rPr>
        <w:t>遇证券</w:t>
      </w:r>
      <w:proofErr w:type="gramEnd"/>
      <w:r w:rsidR="00BD398A" w:rsidRPr="00BD398A">
        <w:rPr>
          <w:rFonts w:cs="宋体" w:hint="eastAsia"/>
        </w:rPr>
        <w:t>/</w:t>
      </w:r>
      <w:r w:rsidR="00BD398A" w:rsidRPr="00BD398A">
        <w:rPr>
          <w:rFonts w:cs="宋体" w:hint="eastAsia"/>
        </w:rPr>
        <w:t>期货</w:t>
      </w:r>
      <w:r w:rsidRPr="00A32CA1">
        <w:rPr>
          <w:rFonts w:cs="宋体" w:hint="eastAsia"/>
        </w:rPr>
        <w:t>交易所或交易市场数据传输延迟、通讯系统故障、银行</w:t>
      </w:r>
      <w:r w:rsidR="009829B5">
        <w:rPr>
          <w:rFonts w:cs="宋体" w:hint="eastAsia"/>
        </w:rPr>
        <w:t>数据</w:t>
      </w:r>
      <w:r w:rsidRPr="00A32CA1">
        <w:rPr>
          <w:rFonts w:cs="宋体" w:hint="eastAsia"/>
        </w:rPr>
        <w:t>交换系统故障或其他</w:t>
      </w:r>
      <w:proofErr w:type="gramStart"/>
      <w:r w:rsidRPr="00A32CA1">
        <w:rPr>
          <w:rFonts w:cs="宋体" w:hint="eastAsia"/>
        </w:rPr>
        <w:t>非基</w:t>
      </w:r>
      <w:proofErr w:type="gramEnd"/>
      <w:r w:rsidRPr="00A32CA1">
        <w:rPr>
          <w:rFonts w:cs="宋体" w:hint="eastAsia"/>
        </w:rPr>
        <w:t>金管理人及基金托管人所能控制的因素影响了业务流程</w:t>
      </w:r>
      <w:r w:rsidR="009829B5">
        <w:rPr>
          <w:rFonts w:cs="宋体" w:hint="eastAsia"/>
        </w:rPr>
        <w:t>时</w:t>
      </w:r>
      <w:r w:rsidRPr="00A32CA1">
        <w:rPr>
          <w:rFonts w:cs="宋体" w:hint="eastAsia"/>
        </w:rPr>
        <w:t>，则赎回款项划付时间相应顺延。</w:t>
      </w:r>
      <w:r w:rsidR="00A32CA1" w:rsidRPr="00A32CA1">
        <w:rPr>
          <w:rFonts w:cs="宋体" w:hint="eastAsia"/>
          <w:bCs/>
        </w:rPr>
        <w:t>在发生巨额赎回</w:t>
      </w:r>
      <w:r w:rsidR="009829B5" w:rsidRPr="009829B5">
        <w:rPr>
          <w:rFonts w:cs="宋体" w:hint="eastAsia"/>
          <w:bCs/>
        </w:rPr>
        <w:t>基金合同载明的其他暂停赎回或延缓支付赎回款项的情形</w:t>
      </w:r>
      <w:r w:rsidR="00A32CA1" w:rsidRPr="00A32CA1">
        <w:rPr>
          <w:rFonts w:cs="宋体" w:hint="eastAsia"/>
          <w:bCs/>
        </w:rPr>
        <w:t>时，款项的支付办法参照基金合同有关条款处理。</w:t>
      </w:r>
    </w:p>
    <w:p w14:paraId="6A2112A0" w14:textId="77777777" w:rsidR="003F75AE" w:rsidRPr="00A32CA1" w:rsidRDefault="003F75AE">
      <w:pPr>
        <w:snapToGrid w:val="0"/>
        <w:spacing w:line="360" w:lineRule="auto"/>
        <w:ind w:firstLineChars="200" w:firstLine="420"/>
        <w:rPr>
          <w:rFonts w:cs="Times New Roman"/>
        </w:rPr>
      </w:pPr>
      <w:r w:rsidRPr="00A32CA1">
        <w:t>3</w:t>
      </w:r>
      <w:r w:rsidRPr="00A32CA1">
        <w:rPr>
          <w:rFonts w:cs="宋体" w:hint="eastAsia"/>
        </w:rPr>
        <w:t>、申购和赎回申请的确认</w:t>
      </w:r>
    </w:p>
    <w:p w14:paraId="11D46F33" w14:textId="77777777" w:rsidR="003F75AE" w:rsidRPr="00A32CA1" w:rsidRDefault="003F75AE">
      <w:pPr>
        <w:snapToGrid w:val="0"/>
        <w:spacing w:line="360" w:lineRule="auto"/>
        <w:ind w:firstLineChars="200" w:firstLine="420"/>
        <w:rPr>
          <w:rFonts w:cs="Times New Roman"/>
        </w:rPr>
      </w:pPr>
      <w:r w:rsidRPr="00A32CA1">
        <w:rPr>
          <w:rFonts w:cs="宋体" w:hint="eastAsia"/>
        </w:rPr>
        <w:t>基金管理人应以交易时间结束前受理有效申购和赎回申请的当天作为申购或赎回申请日</w:t>
      </w:r>
      <w:r w:rsidRPr="00A32CA1">
        <w:t>(T</w:t>
      </w:r>
      <w:r w:rsidRPr="00A32CA1">
        <w:rPr>
          <w:rFonts w:cs="宋体" w:hint="eastAsia"/>
        </w:rPr>
        <w:t>日</w:t>
      </w:r>
      <w:r w:rsidRPr="00A32CA1">
        <w:t>)</w:t>
      </w:r>
      <w:r w:rsidRPr="00A32CA1">
        <w:rPr>
          <w:rFonts w:cs="宋体" w:hint="eastAsia"/>
        </w:rPr>
        <w:t>，在正常情况下，本基金登记机构在</w:t>
      </w:r>
      <w:r w:rsidRPr="00A32CA1">
        <w:t>T+1</w:t>
      </w:r>
      <w:r w:rsidRPr="00A32CA1">
        <w:rPr>
          <w:rFonts w:cs="宋体" w:hint="eastAsia"/>
        </w:rPr>
        <w:t>日内对该交易的有效性进行确认。</w:t>
      </w:r>
      <w:r w:rsidRPr="00A32CA1">
        <w:t>T</w:t>
      </w:r>
      <w:r w:rsidRPr="00A32CA1">
        <w:rPr>
          <w:rFonts w:cs="宋体" w:hint="eastAsia"/>
        </w:rPr>
        <w:t>日提交的有效申请，投资人</w:t>
      </w:r>
      <w:r w:rsidR="0087751F" w:rsidRPr="00A32CA1">
        <w:rPr>
          <w:rFonts w:cs="宋体" w:hint="eastAsia"/>
        </w:rPr>
        <w:t>应</w:t>
      </w:r>
      <w:r w:rsidRPr="00A32CA1">
        <w:rPr>
          <w:rFonts w:cs="宋体" w:hint="eastAsia"/>
        </w:rPr>
        <w:t>在</w:t>
      </w:r>
      <w:r w:rsidRPr="00A32CA1">
        <w:t>T+2</w:t>
      </w:r>
      <w:r w:rsidRPr="00A32CA1">
        <w:rPr>
          <w:rFonts w:cs="宋体" w:hint="eastAsia"/>
        </w:rPr>
        <w:t>日后</w:t>
      </w:r>
      <w:r w:rsidRPr="00A32CA1">
        <w:t>(</w:t>
      </w:r>
      <w:r w:rsidRPr="00A32CA1">
        <w:rPr>
          <w:rFonts w:cs="宋体" w:hint="eastAsia"/>
        </w:rPr>
        <w:t>包括该日</w:t>
      </w:r>
      <w:r w:rsidRPr="00A32CA1">
        <w:t>)</w:t>
      </w:r>
      <w:r w:rsidR="00093C0F" w:rsidRPr="00A32CA1">
        <w:rPr>
          <w:rFonts w:hint="eastAsia"/>
        </w:rPr>
        <w:t>及时</w:t>
      </w:r>
      <w:r w:rsidRPr="00A32CA1">
        <w:rPr>
          <w:rFonts w:cs="宋体" w:hint="eastAsia"/>
        </w:rPr>
        <w:t>到销售网点柜台或以销售机构规定的其他方式查询申请的确认情况。若申购不成功，则申购款项退还给投资人。</w:t>
      </w:r>
    </w:p>
    <w:p w14:paraId="1DBAC0A9" w14:textId="30BB2DCA" w:rsidR="003F75AE" w:rsidRDefault="003F75AE">
      <w:pPr>
        <w:snapToGrid w:val="0"/>
        <w:spacing w:line="360" w:lineRule="auto"/>
        <w:ind w:firstLineChars="200" w:firstLine="420"/>
        <w:rPr>
          <w:rFonts w:cs="宋体"/>
        </w:rPr>
      </w:pPr>
      <w:r w:rsidRPr="00A32CA1">
        <w:rPr>
          <w:rFonts w:cs="宋体" w:hint="eastAsia"/>
        </w:rPr>
        <w:t>基金销售机构对申购、赎回申请的受理并不代表申请一定成功，而仅代表销售机构</w:t>
      </w:r>
      <w:r w:rsidR="00A20505">
        <w:rPr>
          <w:rFonts w:cs="宋体"/>
        </w:rPr>
        <w:t>已经</w:t>
      </w:r>
      <w:r w:rsidRPr="00A32CA1">
        <w:rPr>
          <w:rFonts w:cs="宋体" w:hint="eastAsia"/>
        </w:rPr>
        <w:t>接收到申请。申购、赎回申请的确认以登记机构或基金管理人的确认结果为准。对于申请的确认情况，投资人应及时查询并妥善行使合法权利。</w:t>
      </w:r>
    </w:p>
    <w:p w14:paraId="19C92BC9" w14:textId="17D85AED" w:rsidR="00A20505" w:rsidRPr="00A32CA1" w:rsidRDefault="00A20505">
      <w:pPr>
        <w:snapToGrid w:val="0"/>
        <w:spacing w:line="360" w:lineRule="auto"/>
        <w:ind w:firstLineChars="200" w:firstLine="420"/>
        <w:rPr>
          <w:rFonts w:ascii="宋体" w:cs="Times New Roman"/>
        </w:rPr>
      </w:pPr>
      <w:r w:rsidRPr="00A20505">
        <w:rPr>
          <w:rFonts w:ascii="宋体" w:cs="Times New Roman" w:hint="eastAsia"/>
        </w:rPr>
        <w:t>基金管理人可在法律法规允许的情况下，对上述原则进行调整。基金管理人必须在新规则开始实施前依照《信息披露办法》的有关规定在指定媒介上公告。</w:t>
      </w:r>
    </w:p>
    <w:p w14:paraId="207DD1AA" w14:textId="77777777" w:rsidR="003F75AE" w:rsidRPr="00A32CA1" w:rsidRDefault="003F75AE">
      <w:pPr>
        <w:snapToGrid w:val="0"/>
        <w:spacing w:line="360" w:lineRule="auto"/>
        <w:ind w:firstLineChars="200" w:firstLine="420"/>
        <w:rPr>
          <w:rFonts w:ascii="宋体" w:cs="Times New Roman"/>
          <w:color w:val="000000"/>
        </w:rPr>
      </w:pPr>
    </w:p>
    <w:p w14:paraId="15E11810"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五、申购与赎回的数额限制</w:t>
      </w:r>
    </w:p>
    <w:p w14:paraId="7764E537" w14:textId="5D6D950C" w:rsidR="003F75AE" w:rsidRPr="005F6D92" w:rsidRDefault="003F75AE" w:rsidP="003F75AE">
      <w:pPr>
        <w:snapToGrid w:val="0"/>
        <w:spacing w:line="360" w:lineRule="auto"/>
        <w:ind w:firstLineChars="200" w:firstLine="420"/>
        <w:rPr>
          <w:rFonts w:ascii="宋体" w:cs="Times New Roman"/>
        </w:rPr>
      </w:pPr>
      <w:r w:rsidRPr="00A32CA1">
        <w:rPr>
          <w:rFonts w:ascii="宋体" w:hAnsi="宋体" w:cs="宋体"/>
        </w:rPr>
        <w:t>1</w:t>
      </w:r>
      <w:r w:rsidRPr="00A32CA1">
        <w:rPr>
          <w:rFonts w:ascii="宋体" w:hAnsi="宋体" w:cs="宋体" w:hint="eastAsia"/>
        </w:rPr>
        <w:t>、本基金首次申购和追加申购的最低金额均为</w:t>
      </w:r>
      <w:r w:rsidRPr="00A32CA1">
        <w:rPr>
          <w:rFonts w:ascii="宋体" w:hAnsi="宋体" w:cs="宋体"/>
        </w:rPr>
        <w:t>1</w:t>
      </w:r>
      <w:r w:rsidRPr="00115F51">
        <w:rPr>
          <w:rFonts w:ascii="宋体" w:hAnsi="宋体" w:cs="宋体" w:hint="eastAsia"/>
        </w:rPr>
        <w:t>元，基金销售机构另有规定的，以基金销售机构的规定为准。本基金单笔赎回申请不低于</w:t>
      </w:r>
      <w:r w:rsidRPr="00115F51">
        <w:rPr>
          <w:rFonts w:ascii="宋体" w:hAnsi="宋体" w:cs="宋体"/>
        </w:rPr>
        <w:t>1</w:t>
      </w:r>
      <w:r w:rsidRPr="00115F51">
        <w:rPr>
          <w:rFonts w:ascii="宋体" w:hAnsi="宋体" w:cs="宋体" w:hint="eastAsia"/>
        </w:rPr>
        <w:t>份，投资人全额赎回时不受上述限制。</w:t>
      </w:r>
      <w:r w:rsidRPr="00115F51">
        <w:rPr>
          <w:rFonts w:ascii="宋体" w:hAnsi="宋体" w:cs="宋体" w:hint="eastAsia"/>
        </w:rPr>
        <w:lastRenderedPageBreak/>
        <w:t>各销售机构在符合上述规定的前提下，可根据情况调高单笔最低赎回份额要求，具体以销售机构公布的为准，投资人需遵循销售机构的相关规定；</w:t>
      </w:r>
    </w:p>
    <w:p w14:paraId="5C5F7D0B" w14:textId="41884B61" w:rsidR="0042628F" w:rsidRPr="0042628F" w:rsidRDefault="003F75AE" w:rsidP="0042628F">
      <w:pPr>
        <w:snapToGrid w:val="0"/>
        <w:spacing w:line="360" w:lineRule="auto"/>
        <w:ind w:firstLineChars="200" w:firstLine="420"/>
        <w:rPr>
          <w:rFonts w:ascii="宋体" w:hAnsi="宋体" w:cs="宋体"/>
        </w:rPr>
      </w:pPr>
      <w:r w:rsidRPr="005F6D92">
        <w:rPr>
          <w:rFonts w:ascii="宋体" w:hAnsi="宋体" w:cs="宋体"/>
        </w:rPr>
        <w:t>2</w:t>
      </w:r>
      <w:r w:rsidRPr="005F6D92">
        <w:rPr>
          <w:rFonts w:ascii="宋体" w:hAnsi="宋体" w:cs="宋体" w:hint="eastAsia"/>
        </w:rPr>
        <w:t>、</w:t>
      </w:r>
      <w:r w:rsidR="0042628F" w:rsidRPr="0042628F">
        <w:rPr>
          <w:rFonts w:ascii="宋体" w:hAnsi="宋体" w:cs="宋体" w:hint="eastAsia"/>
        </w:rPr>
        <w:t>当接受申购申请对存量基金份额持有人利益构成潜在重大不利影响时，基金管理人</w:t>
      </w:r>
      <w:r w:rsidR="00EC178D">
        <w:rPr>
          <w:rFonts w:ascii="宋体" w:hAnsi="宋体" w:cs="宋体" w:hint="eastAsia"/>
        </w:rPr>
        <w:t>有权</w:t>
      </w:r>
      <w:r w:rsidR="0042628F" w:rsidRPr="0042628F">
        <w:rPr>
          <w:rFonts w:ascii="宋体" w:hAnsi="宋体" w:cs="宋体" w:hint="eastAsia"/>
        </w:rPr>
        <w:t>采取设定单一投资者申购金额上限或基金单日净申购比例上限、拒绝大额申购、暂停基金申购等措施，切实保护存量基金份额持有人的合法权益</w:t>
      </w:r>
      <w:r w:rsidR="00704656">
        <w:rPr>
          <w:rFonts w:ascii="宋体" w:hAnsi="宋体" w:cs="宋体" w:hint="eastAsia"/>
        </w:rPr>
        <w:t>。</w:t>
      </w:r>
      <w:r w:rsidR="00704656" w:rsidRPr="00704656">
        <w:rPr>
          <w:rFonts w:ascii="宋体" w:hAnsi="宋体" w:cs="宋体" w:hint="eastAsia"/>
        </w:rPr>
        <w:t>基金管理人基于投资运作与风险控制的需要，可采取上述措施对基金规模予以控制。具体</w:t>
      </w:r>
      <w:proofErr w:type="gramStart"/>
      <w:r w:rsidR="00704656" w:rsidRPr="00704656">
        <w:rPr>
          <w:rFonts w:ascii="宋体" w:hAnsi="宋体" w:cs="宋体" w:hint="eastAsia"/>
        </w:rPr>
        <w:t>见基金</w:t>
      </w:r>
      <w:proofErr w:type="gramEnd"/>
      <w:r w:rsidR="00704656" w:rsidRPr="00704656">
        <w:rPr>
          <w:rFonts w:ascii="宋体" w:hAnsi="宋体" w:cs="宋体" w:hint="eastAsia"/>
        </w:rPr>
        <w:t>管理人相关公告。</w:t>
      </w:r>
    </w:p>
    <w:p w14:paraId="74BA7327" w14:textId="564CE4F0" w:rsidR="003F75AE" w:rsidRPr="005F6D92" w:rsidRDefault="0042628F" w:rsidP="0042628F">
      <w:pPr>
        <w:snapToGrid w:val="0"/>
        <w:spacing w:line="360" w:lineRule="auto"/>
        <w:ind w:firstLineChars="200" w:firstLine="420"/>
        <w:rPr>
          <w:rFonts w:ascii="宋体" w:cs="Times New Roman"/>
        </w:rPr>
      </w:pPr>
      <w:r w:rsidRPr="0042628F">
        <w:rPr>
          <w:rFonts w:ascii="宋体" w:hAnsi="宋体" w:cs="宋体" w:hint="eastAsia"/>
        </w:rPr>
        <w:t>3、</w:t>
      </w:r>
      <w:r w:rsidR="003F75AE" w:rsidRPr="005F6D92">
        <w:rPr>
          <w:rFonts w:ascii="宋体" w:hAnsi="宋体" w:cs="宋体" w:hint="eastAsia"/>
        </w:rPr>
        <w:t>本基金不对投资人每个交易账户的最低基金份额余额进行限制；</w:t>
      </w:r>
    </w:p>
    <w:p w14:paraId="2FE088E5" w14:textId="09BF5993" w:rsidR="003F75AE" w:rsidRPr="008B4B39" w:rsidRDefault="0042628F" w:rsidP="003F75AE">
      <w:pPr>
        <w:snapToGrid w:val="0"/>
        <w:spacing w:line="360" w:lineRule="auto"/>
        <w:ind w:firstLineChars="200" w:firstLine="420"/>
        <w:rPr>
          <w:rFonts w:ascii="宋体" w:cs="Times New Roman"/>
        </w:rPr>
      </w:pPr>
      <w:r>
        <w:rPr>
          <w:rFonts w:ascii="宋体" w:hAnsi="宋体" w:cs="宋体"/>
        </w:rPr>
        <w:t>4</w:t>
      </w:r>
      <w:r w:rsidR="003F75AE" w:rsidRPr="008B4B39">
        <w:rPr>
          <w:rFonts w:ascii="宋体" w:hAnsi="宋体" w:cs="宋体" w:hint="eastAsia"/>
        </w:rPr>
        <w:t>、本基金不对单个投资人累计持有的基金份额上限进行限制；</w:t>
      </w:r>
    </w:p>
    <w:p w14:paraId="53F0780E" w14:textId="2BCF0839" w:rsidR="003F75AE" w:rsidRPr="00B61A09" w:rsidRDefault="0042628F" w:rsidP="003F75AE">
      <w:pPr>
        <w:snapToGrid w:val="0"/>
        <w:spacing w:line="360" w:lineRule="auto"/>
        <w:ind w:firstLineChars="200" w:firstLine="420"/>
        <w:rPr>
          <w:rFonts w:ascii="宋体" w:cs="Times New Roman"/>
        </w:rPr>
      </w:pPr>
      <w:r>
        <w:rPr>
          <w:rFonts w:ascii="宋体" w:hAnsi="宋体" w:cs="宋体"/>
        </w:rPr>
        <w:t>5</w:t>
      </w:r>
      <w:r w:rsidR="003F75AE" w:rsidRPr="00DC4CEE">
        <w:rPr>
          <w:rFonts w:ascii="宋体" w:hAnsi="宋体" w:cs="宋体" w:hint="eastAsia"/>
        </w:rPr>
        <w:t>、基金管理人可在法律法规允许的情况下，调整上述规定申购金额和赎回份额的数量限制。基金管理人必须在调整</w:t>
      </w:r>
      <w:r w:rsidR="00F62268" w:rsidRPr="00DC4CEE">
        <w:rPr>
          <w:rFonts w:ascii="宋体" w:hAnsi="宋体" w:cs="宋体" w:hint="eastAsia"/>
        </w:rPr>
        <w:t>实施</w:t>
      </w:r>
      <w:r w:rsidR="003F75AE" w:rsidRPr="00DC4CEE">
        <w:rPr>
          <w:rFonts w:ascii="宋体" w:hAnsi="宋体" w:cs="宋体" w:hint="eastAsia"/>
        </w:rPr>
        <w:t>前依照《信息披露办法》的有关规定在指定媒介上公告。</w:t>
      </w:r>
    </w:p>
    <w:p w14:paraId="2237FD85" w14:textId="77777777" w:rsidR="000C66E2" w:rsidRPr="00B61A09" w:rsidRDefault="000C66E2">
      <w:pPr>
        <w:snapToGrid w:val="0"/>
        <w:spacing w:line="360" w:lineRule="auto"/>
        <w:ind w:firstLineChars="200" w:firstLine="420"/>
        <w:rPr>
          <w:rFonts w:ascii="宋体" w:cs="Times New Roman"/>
          <w:color w:val="000000"/>
        </w:rPr>
      </w:pPr>
    </w:p>
    <w:p w14:paraId="590591C2" w14:textId="77777777" w:rsidR="000C66E2" w:rsidRPr="00FD4390" w:rsidRDefault="000C66E2"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六、申购费用和赎回费用</w:t>
      </w:r>
    </w:p>
    <w:p w14:paraId="45B5B364" w14:textId="77777777" w:rsidR="000C66E2" w:rsidRPr="00115F51" w:rsidRDefault="000C66E2" w:rsidP="000C66E2">
      <w:pPr>
        <w:adjustRightInd w:val="0"/>
        <w:snapToGrid w:val="0"/>
        <w:spacing w:line="360" w:lineRule="auto"/>
        <w:ind w:firstLineChars="200" w:firstLine="420"/>
        <w:rPr>
          <w:rFonts w:ascii="宋体" w:cs="Times New Roman"/>
        </w:rPr>
      </w:pPr>
      <w:r w:rsidRPr="00A32CA1">
        <w:rPr>
          <w:rFonts w:ascii="宋体" w:hAnsi="宋体" w:cs="宋体"/>
          <w:color w:val="000000"/>
        </w:rPr>
        <w:t>1</w:t>
      </w:r>
      <w:r w:rsidRPr="00A32CA1">
        <w:rPr>
          <w:rFonts w:ascii="宋体" w:hAnsi="宋体" w:cs="宋体" w:hint="eastAsia"/>
          <w:color w:val="000000"/>
        </w:rPr>
        <w:t>、</w:t>
      </w:r>
      <w:r w:rsidRPr="00A32CA1">
        <w:rPr>
          <w:rFonts w:ascii="宋体" w:hAnsi="宋体" w:cs="宋体" w:hint="eastAsia"/>
        </w:rPr>
        <w:t>本基金的申购费：</w:t>
      </w:r>
    </w:p>
    <w:p w14:paraId="02102676" w14:textId="77777777" w:rsidR="00134D10" w:rsidRPr="005F6D92" w:rsidRDefault="000C66E2" w:rsidP="000C66E2">
      <w:pPr>
        <w:snapToGrid w:val="0"/>
        <w:spacing w:line="360" w:lineRule="auto"/>
        <w:ind w:firstLineChars="200" w:firstLine="420"/>
        <w:rPr>
          <w:rFonts w:ascii="宋体" w:cs="Times New Roman"/>
          <w:color w:val="000000"/>
        </w:rPr>
      </w:pPr>
      <w:r w:rsidRPr="00115F51">
        <w:rPr>
          <w:rFonts w:ascii="宋体" w:hAnsi="宋体" w:cs="宋体" w:hint="eastAsia"/>
          <w:kern w:val="0"/>
        </w:rPr>
        <w:t>对于申购本基金</w:t>
      </w:r>
      <w:r w:rsidRPr="00115F51">
        <w:rPr>
          <w:rFonts w:ascii="宋体" w:hAnsi="宋体" w:cs="宋体"/>
          <w:kern w:val="0"/>
        </w:rPr>
        <w:t>A</w:t>
      </w:r>
      <w:r w:rsidRPr="00115F51">
        <w:rPr>
          <w:rFonts w:ascii="宋体" w:hAnsi="宋体" w:cs="宋体" w:hint="eastAsia"/>
          <w:kern w:val="0"/>
        </w:rPr>
        <w:t>类份额的投资人，</w:t>
      </w:r>
      <w:r w:rsidRPr="00115F51">
        <w:rPr>
          <w:rFonts w:ascii="宋体" w:hAnsi="宋体" w:cs="宋体" w:hint="eastAsia"/>
          <w:color w:val="000000"/>
        </w:rPr>
        <w:t>本基金的申购费率最高不高于</w:t>
      </w:r>
      <w:r w:rsidRPr="005F6D92">
        <w:rPr>
          <w:rFonts w:ascii="宋体" w:hAnsi="宋体" w:cs="宋体"/>
          <w:color w:val="000000"/>
        </w:rPr>
        <w:t>1.</w:t>
      </w:r>
      <w:r w:rsidRPr="005F6D92">
        <w:rPr>
          <w:rFonts w:ascii="宋体" w:hAnsi="宋体" w:cs="宋体" w:hint="eastAsia"/>
          <w:color w:val="000000"/>
        </w:rPr>
        <w:t>2</w:t>
      </w:r>
      <w:r w:rsidRPr="005F6D92">
        <w:rPr>
          <w:rFonts w:ascii="宋体" w:hAnsi="宋体" w:cs="宋体"/>
          <w:color w:val="000000"/>
        </w:rPr>
        <w:t>%</w:t>
      </w:r>
      <w:r w:rsidRPr="005F6D92">
        <w:rPr>
          <w:rFonts w:ascii="宋体" w:hAnsi="宋体" w:cs="宋体" w:hint="eastAsia"/>
          <w:color w:val="000000"/>
        </w:rPr>
        <w:t>，且随申购金额的增加而递减，如下表所示</w:t>
      </w:r>
      <w:r w:rsidR="00134D10">
        <w:rPr>
          <w:rFonts w:ascii="宋体" w:hAnsi="宋体" w:cs="宋体" w:hint="eastAsia"/>
          <w:color w:val="000000"/>
        </w:rPr>
        <w:t>：</w:t>
      </w: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3882"/>
      </w:tblGrid>
      <w:tr w:rsidR="00134D10" w:rsidRPr="004D6499" w14:paraId="03C782BE" w14:textId="77777777" w:rsidTr="00913EAC">
        <w:trPr>
          <w:trHeight w:val="397"/>
          <w:jc w:val="center"/>
        </w:trPr>
        <w:tc>
          <w:tcPr>
            <w:tcW w:w="2385" w:type="pct"/>
            <w:vAlign w:val="center"/>
          </w:tcPr>
          <w:p w14:paraId="40A02375"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购买金额（M）</w:t>
            </w:r>
          </w:p>
        </w:tc>
        <w:tc>
          <w:tcPr>
            <w:tcW w:w="2615" w:type="pct"/>
            <w:vAlign w:val="center"/>
          </w:tcPr>
          <w:p w14:paraId="09A46BC8"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申购费率</w:t>
            </w:r>
          </w:p>
        </w:tc>
      </w:tr>
      <w:tr w:rsidR="00134D10" w:rsidRPr="004D6499" w14:paraId="3E195A21" w14:textId="77777777" w:rsidTr="00913EAC">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14:paraId="17EF7783"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M＜100万</w:t>
            </w:r>
          </w:p>
        </w:tc>
        <w:tc>
          <w:tcPr>
            <w:tcW w:w="2615" w:type="pct"/>
            <w:tcBorders>
              <w:top w:val="single" w:sz="4" w:space="0" w:color="auto"/>
              <w:left w:val="single" w:sz="4" w:space="0" w:color="auto"/>
              <w:bottom w:val="single" w:sz="4" w:space="0" w:color="auto"/>
              <w:right w:val="single" w:sz="4" w:space="0" w:color="auto"/>
            </w:tcBorders>
            <w:vAlign w:val="center"/>
          </w:tcPr>
          <w:p w14:paraId="21686C8E"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1.2</w:t>
            </w:r>
            <w:r w:rsidRPr="004D6499">
              <w:rPr>
                <w:rFonts w:ascii="宋体" w:eastAsia="宋体" w:hAnsi="宋体"/>
                <w:sz w:val="21"/>
                <w:szCs w:val="21"/>
              </w:rPr>
              <w:t>%</w:t>
            </w:r>
          </w:p>
        </w:tc>
      </w:tr>
      <w:tr w:rsidR="00134D10" w:rsidRPr="004D6499" w14:paraId="001E4B53" w14:textId="77777777" w:rsidTr="00913EAC">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14:paraId="6DA375F5"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100万≤M＜</w:t>
            </w:r>
            <w:r w:rsidRPr="004D6499">
              <w:rPr>
                <w:rFonts w:ascii="宋体" w:eastAsia="宋体" w:hAnsi="宋体" w:hint="eastAsia"/>
                <w:sz w:val="21"/>
                <w:szCs w:val="21"/>
              </w:rPr>
              <w:t>3</w:t>
            </w:r>
            <w:r w:rsidRPr="004D6499">
              <w:rPr>
                <w:rFonts w:ascii="宋体" w:eastAsia="宋体" w:hAnsi="宋体"/>
                <w:sz w:val="21"/>
                <w:szCs w:val="21"/>
              </w:rPr>
              <w:t>00万</w:t>
            </w:r>
          </w:p>
        </w:tc>
        <w:tc>
          <w:tcPr>
            <w:tcW w:w="2615" w:type="pct"/>
            <w:tcBorders>
              <w:top w:val="single" w:sz="4" w:space="0" w:color="auto"/>
              <w:left w:val="single" w:sz="4" w:space="0" w:color="auto"/>
              <w:bottom w:val="single" w:sz="4" w:space="0" w:color="auto"/>
              <w:right w:val="single" w:sz="4" w:space="0" w:color="auto"/>
            </w:tcBorders>
            <w:vAlign w:val="center"/>
          </w:tcPr>
          <w:p w14:paraId="69626DE1"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0.8%</w:t>
            </w:r>
          </w:p>
        </w:tc>
      </w:tr>
      <w:tr w:rsidR="00134D10" w:rsidRPr="004D6499" w14:paraId="2B4E28F3" w14:textId="77777777" w:rsidTr="00913EAC">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14:paraId="253C68ED"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3</w:t>
            </w:r>
            <w:r w:rsidRPr="004D6499">
              <w:rPr>
                <w:rFonts w:ascii="宋体" w:eastAsia="宋体" w:hAnsi="宋体"/>
                <w:sz w:val="21"/>
                <w:szCs w:val="21"/>
              </w:rPr>
              <w:t>00万≤M＜</w:t>
            </w:r>
            <w:r w:rsidRPr="004D6499">
              <w:rPr>
                <w:rFonts w:ascii="宋体" w:eastAsia="宋体" w:hAnsi="宋体" w:hint="eastAsia"/>
                <w:sz w:val="21"/>
                <w:szCs w:val="21"/>
              </w:rPr>
              <w:t>50</w:t>
            </w:r>
            <w:r w:rsidRPr="004D6499">
              <w:rPr>
                <w:rFonts w:ascii="宋体" w:eastAsia="宋体" w:hAnsi="宋体"/>
                <w:sz w:val="21"/>
                <w:szCs w:val="21"/>
              </w:rPr>
              <w:t>0万</w:t>
            </w:r>
          </w:p>
        </w:tc>
        <w:tc>
          <w:tcPr>
            <w:tcW w:w="2615" w:type="pct"/>
            <w:tcBorders>
              <w:top w:val="single" w:sz="4" w:space="0" w:color="auto"/>
              <w:left w:val="single" w:sz="4" w:space="0" w:color="auto"/>
              <w:bottom w:val="single" w:sz="4" w:space="0" w:color="auto"/>
              <w:right w:val="single" w:sz="4" w:space="0" w:color="auto"/>
            </w:tcBorders>
            <w:vAlign w:val="center"/>
          </w:tcPr>
          <w:p w14:paraId="1148A77D"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0.4%</w:t>
            </w:r>
          </w:p>
        </w:tc>
      </w:tr>
      <w:tr w:rsidR="00134D10" w:rsidRPr="004D6499" w14:paraId="11B09EEF" w14:textId="77777777" w:rsidTr="00913EAC">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14:paraId="7085B124"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M≥</w:t>
            </w:r>
            <w:r w:rsidRPr="004D6499">
              <w:rPr>
                <w:rFonts w:ascii="宋体" w:eastAsia="宋体" w:hAnsi="宋体" w:hint="eastAsia"/>
                <w:sz w:val="21"/>
                <w:szCs w:val="21"/>
              </w:rPr>
              <w:t>5</w:t>
            </w:r>
            <w:r w:rsidRPr="004D6499">
              <w:rPr>
                <w:rFonts w:ascii="宋体" w:eastAsia="宋体" w:hAnsi="宋体"/>
                <w:sz w:val="21"/>
                <w:szCs w:val="21"/>
              </w:rPr>
              <w:t>00万</w:t>
            </w:r>
          </w:p>
        </w:tc>
        <w:tc>
          <w:tcPr>
            <w:tcW w:w="2615" w:type="pct"/>
            <w:tcBorders>
              <w:top w:val="single" w:sz="4" w:space="0" w:color="auto"/>
              <w:left w:val="single" w:sz="4" w:space="0" w:color="auto"/>
              <w:bottom w:val="single" w:sz="4" w:space="0" w:color="auto"/>
              <w:right w:val="single" w:sz="4" w:space="0" w:color="auto"/>
            </w:tcBorders>
            <w:vAlign w:val="center"/>
          </w:tcPr>
          <w:p w14:paraId="43F10DF1"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每笔1</w:t>
            </w:r>
            <w:r w:rsidRPr="004D6499">
              <w:rPr>
                <w:rFonts w:ascii="宋体" w:eastAsia="宋体" w:hAnsi="宋体" w:hint="eastAsia"/>
                <w:sz w:val="21"/>
                <w:szCs w:val="21"/>
              </w:rPr>
              <w:t>,</w:t>
            </w:r>
            <w:r w:rsidRPr="004D6499">
              <w:rPr>
                <w:rFonts w:ascii="宋体" w:eastAsia="宋体" w:hAnsi="宋体"/>
                <w:sz w:val="21"/>
                <w:szCs w:val="21"/>
              </w:rPr>
              <w:t>000元</w:t>
            </w:r>
          </w:p>
        </w:tc>
      </w:tr>
    </w:tbl>
    <w:p w14:paraId="683EC6FB" w14:textId="77777777" w:rsidR="000C66E2" w:rsidRPr="00A32CA1" w:rsidRDefault="000C66E2" w:rsidP="000C66E2">
      <w:pPr>
        <w:adjustRightInd w:val="0"/>
        <w:snapToGrid w:val="0"/>
        <w:spacing w:line="360" w:lineRule="auto"/>
        <w:ind w:firstLineChars="200" w:firstLine="420"/>
        <w:rPr>
          <w:rFonts w:ascii="宋体" w:hAnsi="宋体" w:cs="宋体"/>
          <w:color w:val="000000"/>
        </w:rPr>
      </w:pPr>
      <w:r w:rsidRPr="00A32CA1">
        <w:rPr>
          <w:rFonts w:hAnsi="宋体" w:cs="宋体" w:hint="eastAsia"/>
        </w:rPr>
        <w:t>对于申购本基金</w:t>
      </w:r>
      <w:r w:rsidRPr="00A32CA1">
        <w:rPr>
          <w:rFonts w:hAnsi="宋体"/>
        </w:rPr>
        <w:t>C</w:t>
      </w:r>
      <w:r w:rsidRPr="00A32CA1">
        <w:rPr>
          <w:rFonts w:hAnsi="宋体" w:cs="宋体" w:hint="eastAsia"/>
        </w:rPr>
        <w:t>类份额的投资人，申购费率为零。</w:t>
      </w:r>
    </w:p>
    <w:p w14:paraId="4B646D0A"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投资人重复申购，须按每次申购所对应的费率档次分别计费。</w:t>
      </w:r>
    </w:p>
    <w:p w14:paraId="66B7FB03"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申购费用由投资人承担，不列入基金财产，主要用于本基金的市场推广、销售、登记等各项费用。</w:t>
      </w:r>
    </w:p>
    <w:p w14:paraId="3B258EE3" w14:textId="318F8D19"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color w:val="000000"/>
        </w:rPr>
        <w:t>2</w:t>
      </w:r>
      <w:r w:rsidRPr="00A32CA1">
        <w:rPr>
          <w:rFonts w:ascii="宋体" w:hAnsi="宋体" w:cs="宋体" w:hint="eastAsia"/>
          <w:color w:val="000000"/>
        </w:rPr>
        <w:t>、本基金赎回费率最高不超过</w:t>
      </w:r>
      <w:r w:rsidR="0042628F">
        <w:rPr>
          <w:rFonts w:ascii="宋体" w:hAnsi="宋体" w:cs="宋体"/>
          <w:color w:val="000000"/>
        </w:rPr>
        <w:t>1.5</w:t>
      </w:r>
      <w:r w:rsidRPr="00A32CA1">
        <w:rPr>
          <w:rFonts w:ascii="宋体" w:hAnsi="宋体" w:cs="宋体"/>
          <w:color w:val="000000"/>
        </w:rPr>
        <w:t>%</w:t>
      </w:r>
      <w:r w:rsidRPr="00A32CA1">
        <w:rPr>
          <w:rFonts w:ascii="宋体" w:hAnsi="宋体" w:cs="宋体" w:hint="eastAsia"/>
          <w:color w:val="000000"/>
        </w:rPr>
        <w:t>，</w:t>
      </w:r>
      <w:proofErr w:type="gramStart"/>
      <w:r w:rsidRPr="00A32CA1">
        <w:rPr>
          <w:rFonts w:ascii="宋体" w:hAnsi="宋体" w:cs="宋体" w:hint="eastAsia"/>
          <w:color w:val="000000"/>
        </w:rPr>
        <w:t>随申请</w:t>
      </w:r>
      <w:proofErr w:type="gramEnd"/>
      <w:r w:rsidRPr="00A32CA1">
        <w:rPr>
          <w:rFonts w:ascii="宋体" w:hAnsi="宋体" w:cs="宋体" w:hint="eastAsia"/>
          <w:color w:val="000000"/>
        </w:rPr>
        <w:t>份额持有时间增加而递减。具体如下表所示：</w:t>
      </w:r>
    </w:p>
    <w:p w14:paraId="3D0CFA07" w14:textId="77777777" w:rsidR="00134D10" w:rsidRPr="00A32CA1" w:rsidRDefault="00134D10" w:rsidP="00134D10">
      <w:pPr>
        <w:snapToGrid w:val="0"/>
        <w:spacing w:line="360" w:lineRule="auto"/>
        <w:ind w:firstLineChars="200" w:firstLine="420"/>
        <w:rPr>
          <w:rFonts w:ascii="宋体" w:hAnsi="宋体" w:cs="宋体"/>
          <w:color w:val="000000"/>
        </w:rPr>
      </w:pPr>
      <w:r>
        <w:rPr>
          <w:rFonts w:ascii="宋体" w:hAnsi="宋体" w:cs="宋体" w:hint="eastAsia"/>
          <w:color w:val="000000"/>
        </w:rPr>
        <w:t>（1）</w:t>
      </w:r>
      <w:r w:rsidR="000C66E2" w:rsidRPr="00A32CA1">
        <w:rPr>
          <w:rFonts w:ascii="宋体" w:hAnsi="宋体" w:cs="宋体"/>
          <w:color w:val="000000"/>
        </w:rPr>
        <w:t>A类份额的赎回费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6"/>
        <w:gridCol w:w="3727"/>
      </w:tblGrid>
      <w:tr w:rsidR="00134D10" w:rsidRPr="004D6499" w14:paraId="2B9F81E4" w14:textId="77777777" w:rsidTr="00BD06BF">
        <w:trPr>
          <w:trHeight w:val="397"/>
          <w:jc w:val="center"/>
        </w:trPr>
        <w:tc>
          <w:tcPr>
            <w:tcW w:w="2500" w:type="pct"/>
            <w:shd w:val="clear" w:color="auto" w:fill="auto"/>
            <w:vAlign w:val="center"/>
            <w:hideMark/>
          </w:tcPr>
          <w:p w14:paraId="35E0C4AC"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赎回时点</w:t>
            </w:r>
            <w:r w:rsidRPr="004D6499">
              <w:rPr>
                <w:rFonts w:ascii="宋体" w:eastAsia="宋体" w:hAnsi="宋体" w:hint="eastAsia"/>
                <w:sz w:val="21"/>
                <w:szCs w:val="21"/>
              </w:rPr>
              <w:t>（T）</w:t>
            </w:r>
          </w:p>
        </w:tc>
        <w:tc>
          <w:tcPr>
            <w:tcW w:w="0" w:type="auto"/>
            <w:shd w:val="clear" w:color="auto" w:fill="auto"/>
            <w:vAlign w:val="center"/>
            <w:hideMark/>
          </w:tcPr>
          <w:p w14:paraId="0AE5C411"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赎回费率</w:t>
            </w:r>
          </w:p>
        </w:tc>
      </w:tr>
      <w:tr w:rsidR="00BD398A" w:rsidRPr="004D6499" w14:paraId="5BED7C63" w14:textId="77777777" w:rsidTr="00BD06BF">
        <w:trPr>
          <w:trHeight w:val="397"/>
          <w:jc w:val="center"/>
        </w:trPr>
        <w:tc>
          <w:tcPr>
            <w:tcW w:w="0" w:type="auto"/>
            <w:shd w:val="clear" w:color="auto" w:fill="auto"/>
            <w:vAlign w:val="center"/>
            <w:hideMark/>
          </w:tcPr>
          <w:p w14:paraId="2146C6C5" w14:textId="4690996B" w:rsidR="00BD398A" w:rsidRPr="004D6499" w:rsidRDefault="00BD398A" w:rsidP="00BD398A">
            <w:pPr>
              <w:pStyle w:val="26"/>
              <w:adjustRightInd w:val="0"/>
              <w:snapToGrid w:val="0"/>
              <w:spacing w:line="240" w:lineRule="auto"/>
              <w:ind w:firstLineChars="0" w:firstLine="0"/>
              <w:jc w:val="center"/>
              <w:rPr>
                <w:rFonts w:ascii="宋体" w:eastAsia="宋体" w:hAnsi="宋体"/>
                <w:sz w:val="21"/>
                <w:szCs w:val="21"/>
              </w:rPr>
            </w:pPr>
            <w:r w:rsidRPr="004D6499">
              <w:rPr>
                <w:rFonts w:ascii="宋体" w:hAnsi="宋体" w:hint="eastAsia"/>
                <w:sz w:val="21"/>
                <w:szCs w:val="21"/>
              </w:rPr>
              <w:t>T</w:t>
            </w:r>
            <w:r w:rsidRPr="004D6499">
              <w:rPr>
                <w:rFonts w:ascii="宋体" w:hAnsi="宋体"/>
                <w:sz w:val="21"/>
                <w:szCs w:val="21"/>
              </w:rPr>
              <w:t>＜</w:t>
            </w:r>
            <w:r w:rsidRPr="004D6499">
              <w:rPr>
                <w:rFonts w:ascii="宋体" w:hAnsi="宋体"/>
                <w:sz w:val="21"/>
                <w:szCs w:val="21"/>
              </w:rPr>
              <w:t>7</w:t>
            </w:r>
            <w:r w:rsidRPr="004D6499">
              <w:rPr>
                <w:rFonts w:ascii="宋体" w:hAnsi="宋体" w:hint="eastAsia"/>
                <w:sz w:val="21"/>
                <w:szCs w:val="21"/>
              </w:rPr>
              <w:t>天</w:t>
            </w:r>
          </w:p>
        </w:tc>
        <w:tc>
          <w:tcPr>
            <w:tcW w:w="0" w:type="auto"/>
            <w:shd w:val="clear" w:color="auto" w:fill="auto"/>
            <w:vAlign w:val="center"/>
            <w:hideMark/>
          </w:tcPr>
          <w:p w14:paraId="33443D39" w14:textId="0F8C7D53" w:rsidR="00BD398A" w:rsidRPr="004D6499" w:rsidRDefault="00BD398A" w:rsidP="00BD398A">
            <w:pPr>
              <w:pStyle w:val="26"/>
              <w:adjustRightInd w:val="0"/>
              <w:snapToGrid w:val="0"/>
              <w:spacing w:line="240" w:lineRule="auto"/>
              <w:ind w:firstLineChars="0" w:firstLine="0"/>
              <w:jc w:val="center"/>
              <w:rPr>
                <w:rFonts w:ascii="宋体" w:eastAsia="宋体" w:hAnsi="宋体"/>
                <w:sz w:val="21"/>
                <w:szCs w:val="21"/>
              </w:rPr>
            </w:pPr>
            <w:r>
              <w:rPr>
                <w:rFonts w:ascii="宋体" w:hAnsi="宋体"/>
                <w:sz w:val="21"/>
                <w:szCs w:val="21"/>
              </w:rPr>
              <w:t>1.5</w:t>
            </w:r>
            <w:r w:rsidRPr="004D6499">
              <w:rPr>
                <w:rFonts w:ascii="宋体" w:hAnsi="宋体" w:hint="eastAsia"/>
                <w:sz w:val="21"/>
                <w:szCs w:val="21"/>
              </w:rPr>
              <w:t>%</w:t>
            </w:r>
          </w:p>
        </w:tc>
      </w:tr>
      <w:tr w:rsidR="00BD398A" w:rsidRPr="004D6499" w14:paraId="7F86A0E6" w14:textId="77777777" w:rsidTr="00BD06BF">
        <w:trPr>
          <w:trHeight w:val="397"/>
          <w:jc w:val="center"/>
        </w:trPr>
        <w:tc>
          <w:tcPr>
            <w:tcW w:w="0" w:type="auto"/>
            <w:shd w:val="clear" w:color="auto" w:fill="auto"/>
            <w:vAlign w:val="center"/>
            <w:hideMark/>
          </w:tcPr>
          <w:p w14:paraId="40C9C326" w14:textId="3D774A92" w:rsidR="00BD398A" w:rsidRPr="004D6499" w:rsidRDefault="00BD398A" w:rsidP="00BD398A">
            <w:pPr>
              <w:pStyle w:val="26"/>
              <w:adjustRightInd w:val="0"/>
              <w:snapToGrid w:val="0"/>
              <w:spacing w:line="240" w:lineRule="auto"/>
              <w:ind w:firstLineChars="0" w:firstLine="0"/>
              <w:jc w:val="center"/>
              <w:rPr>
                <w:rFonts w:ascii="宋体" w:eastAsia="宋体" w:hAnsi="宋体"/>
                <w:sz w:val="21"/>
                <w:szCs w:val="21"/>
              </w:rPr>
            </w:pPr>
            <w:r w:rsidRPr="004D6499">
              <w:rPr>
                <w:rFonts w:ascii="宋体" w:hAnsi="宋体" w:hint="eastAsia"/>
                <w:sz w:val="21"/>
                <w:szCs w:val="21"/>
              </w:rPr>
              <w:t>T</w:t>
            </w:r>
            <w:r w:rsidRPr="004D6499">
              <w:rPr>
                <w:rFonts w:ascii="宋体" w:hAnsi="宋体"/>
                <w:sz w:val="21"/>
                <w:szCs w:val="21"/>
              </w:rPr>
              <w:t>≥7</w:t>
            </w:r>
            <w:r w:rsidRPr="004D6499">
              <w:rPr>
                <w:rFonts w:ascii="宋体" w:hAnsi="宋体" w:hint="eastAsia"/>
                <w:sz w:val="21"/>
                <w:szCs w:val="21"/>
              </w:rPr>
              <w:t>天</w:t>
            </w:r>
          </w:p>
        </w:tc>
        <w:tc>
          <w:tcPr>
            <w:tcW w:w="0" w:type="auto"/>
            <w:shd w:val="clear" w:color="auto" w:fill="auto"/>
            <w:vAlign w:val="center"/>
            <w:hideMark/>
          </w:tcPr>
          <w:p w14:paraId="175052D6" w14:textId="29376F76" w:rsidR="00BD398A" w:rsidRPr="004D6499" w:rsidRDefault="00BD398A" w:rsidP="00BD398A">
            <w:pPr>
              <w:pStyle w:val="26"/>
              <w:adjustRightInd w:val="0"/>
              <w:snapToGrid w:val="0"/>
              <w:spacing w:line="240" w:lineRule="auto"/>
              <w:ind w:firstLineChars="0" w:firstLine="0"/>
              <w:jc w:val="center"/>
              <w:rPr>
                <w:rFonts w:ascii="宋体" w:eastAsia="宋体" w:hAnsi="宋体"/>
                <w:sz w:val="21"/>
                <w:szCs w:val="21"/>
              </w:rPr>
            </w:pPr>
            <w:r w:rsidRPr="004D6499">
              <w:rPr>
                <w:rFonts w:ascii="宋体" w:hAnsi="宋体"/>
                <w:sz w:val="21"/>
                <w:szCs w:val="21"/>
              </w:rPr>
              <w:t>0</w:t>
            </w:r>
          </w:p>
        </w:tc>
      </w:tr>
    </w:tbl>
    <w:p w14:paraId="6D6C6779" w14:textId="40FFD233" w:rsidR="000C66E2" w:rsidRPr="00A32CA1" w:rsidRDefault="00134D10" w:rsidP="00913EAC">
      <w:pPr>
        <w:snapToGrid w:val="0"/>
        <w:spacing w:line="360" w:lineRule="auto"/>
        <w:ind w:firstLineChars="200" w:firstLine="420"/>
        <w:rPr>
          <w:rFonts w:ascii="宋体" w:hAnsi="宋体" w:cs="宋体"/>
          <w:color w:val="000000"/>
        </w:rPr>
      </w:pPr>
      <w:r>
        <w:rPr>
          <w:rFonts w:ascii="宋体" w:hAnsi="宋体" w:cs="宋体" w:hint="eastAsia"/>
          <w:color w:val="000000"/>
        </w:rPr>
        <w:t>（2）</w:t>
      </w:r>
      <w:r w:rsidR="000C66E2" w:rsidRPr="00A32CA1">
        <w:rPr>
          <w:rFonts w:ascii="宋体" w:hAnsi="宋体" w:cs="宋体"/>
          <w:color w:val="000000"/>
        </w:rPr>
        <w:t>C类份额</w:t>
      </w:r>
      <w:r>
        <w:rPr>
          <w:rFonts w:ascii="宋体" w:hAnsi="宋体" w:cs="宋体" w:hint="eastAsia"/>
          <w:color w:val="000000"/>
        </w:rPr>
        <w:t>的</w:t>
      </w:r>
      <w:r w:rsidR="000C66E2" w:rsidRPr="00A32CA1">
        <w:rPr>
          <w:rFonts w:ascii="宋体" w:hAnsi="宋体" w:cs="宋体"/>
          <w:color w:val="000000"/>
        </w:rPr>
        <w:t>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6"/>
        <w:gridCol w:w="3727"/>
      </w:tblGrid>
      <w:tr w:rsidR="000C66E2" w:rsidRPr="00A32CA1" w14:paraId="061E064F" w14:textId="77777777" w:rsidTr="000C66E2">
        <w:trPr>
          <w:jc w:val="center"/>
        </w:trPr>
        <w:tc>
          <w:tcPr>
            <w:tcW w:w="2500" w:type="pct"/>
            <w:shd w:val="clear" w:color="auto" w:fill="auto"/>
            <w:hideMark/>
          </w:tcPr>
          <w:p w14:paraId="72CA8C2F" w14:textId="77777777" w:rsidR="000C66E2" w:rsidRPr="00A32CA1" w:rsidRDefault="000C66E2" w:rsidP="000C66E2">
            <w:pPr>
              <w:pStyle w:val="24"/>
              <w:adjustRightInd w:val="0"/>
              <w:snapToGrid w:val="0"/>
              <w:spacing w:line="360" w:lineRule="auto"/>
              <w:ind w:firstLine="198"/>
              <w:jc w:val="center"/>
              <w:rPr>
                <w:rFonts w:ascii="宋体" w:hAnsi="宋体" w:cs="宋体"/>
                <w:color w:val="000000"/>
                <w:sz w:val="21"/>
                <w:szCs w:val="21"/>
              </w:rPr>
            </w:pPr>
            <w:r w:rsidRPr="00A32CA1">
              <w:rPr>
                <w:rFonts w:ascii="宋体" w:hAnsi="宋体" w:cs="宋体"/>
                <w:color w:val="000000"/>
                <w:sz w:val="21"/>
                <w:szCs w:val="21"/>
              </w:rPr>
              <w:t>赎回时点</w:t>
            </w:r>
            <w:r w:rsidRPr="00A32CA1">
              <w:rPr>
                <w:rFonts w:ascii="宋体" w:hAnsi="宋体" w:cs="宋体" w:hint="eastAsia"/>
                <w:color w:val="000000"/>
                <w:sz w:val="21"/>
                <w:szCs w:val="21"/>
              </w:rPr>
              <w:t>（</w:t>
            </w:r>
            <w:r w:rsidRPr="00A32CA1">
              <w:rPr>
                <w:rFonts w:ascii="宋体" w:hAnsi="宋体" w:cs="宋体"/>
                <w:color w:val="000000"/>
                <w:sz w:val="21"/>
                <w:szCs w:val="21"/>
              </w:rPr>
              <w:t>T）</w:t>
            </w:r>
          </w:p>
        </w:tc>
        <w:tc>
          <w:tcPr>
            <w:tcW w:w="0" w:type="auto"/>
            <w:shd w:val="clear" w:color="auto" w:fill="auto"/>
            <w:hideMark/>
          </w:tcPr>
          <w:p w14:paraId="5F70D165" w14:textId="77777777" w:rsidR="000C66E2" w:rsidRPr="00A32CA1" w:rsidRDefault="000C66E2" w:rsidP="000C66E2">
            <w:pPr>
              <w:pStyle w:val="24"/>
              <w:adjustRightInd w:val="0"/>
              <w:snapToGrid w:val="0"/>
              <w:spacing w:line="360" w:lineRule="auto"/>
              <w:ind w:firstLine="198"/>
              <w:jc w:val="center"/>
              <w:rPr>
                <w:rFonts w:ascii="宋体" w:hAnsi="宋体" w:cs="宋体"/>
                <w:color w:val="000000"/>
                <w:sz w:val="21"/>
                <w:szCs w:val="21"/>
              </w:rPr>
            </w:pPr>
            <w:r w:rsidRPr="00A32CA1">
              <w:rPr>
                <w:rFonts w:ascii="宋体" w:hAnsi="宋体" w:cs="宋体"/>
                <w:color w:val="000000"/>
                <w:sz w:val="21"/>
                <w:szCs w:val="21"/>
              </w:rPr>
              <w:t>赎回费率</w:t>
            </w:r>
          </w:p>
        </w:tc>
      </w:tr>
      <w:tr w:rsidR="007547F6" w:rsidRPr="00A32CA1" w14:paraId="20C5591F" w14:textId="77777777" w:rsidTr="00B450A8">
        <w:trPr>
          <w:jc w:val="center"/>
        </w:trPr>
        <w:tc>
          <w:tcPr>
            <w:tcW w:w="0" w:type="auto"/>
            <w:shd w:val="clear" w:color="auto" w:fill="auto"/>
            <w:vAlign w:val="center"/>
            <w:hideMark/>
          </w:tcPr>
          <w:p w14:paraId="48E4A66B" w14:textId="231C868B" w:rsidR="007547F6" w:rsidRPr="00A32CA1" w:rsidRDefault="007547F6" w:rsidP="007547F6">
            <w:pPr>
              <w:pStyle w:val="24"/>
              <w:adjustRightInd w:val="0"/>
              <w:snapToGrid w:val="0"/>
              <w:spacing w:line="360" w:lineRule="auto"/>
              <w:ind w:firstLine="198"/>
              <w:jc w:val="center"/>
              <w:rPr>
                <w:rFonts w:ascii="宋体" w:hAnsi="宋体" w:cs="宋体"/>
                <w:color w:val="000000"/>
                <w:sz w:val="21"/>
                <w:szCs w:val="21"/>
              </w:rPr>
            </w:pPr>
            <w:r w:rsidRPr="004D6499">
              <w:rPr>
                <w:rFonts w:ascii="宋体" w:hAnsi="宋体" w:hint="eastAsia"/>
                <w:sz w:val="21"/>
                <w:szCs w:val="21"/>
              </w:rPr>
              <w:t>T</w:t>
            </w:r>
            <w:r w:rsidRPr="004D6499">
              <w:rPr>
                <w:rFonts w:ascii="宋体" w:hAnsi="宋体"/>
                <w:sz w:val="21"/>
                <w:szCs w:val="21"/>
              </w:rPr>
              <w:t>＜7</w:t>
            </w:r>
            <w:r w:rsidRPr="004D6499">
              <w:rPr>
                <w:rFonts w:ascii="宋体" w:hAnsi="宋体" w:hint="eastAsia"/>
                <w:sz w:val="21"/>
                <w:szCs w:val="21"/>
              </w:rPr>
              <w:t>天</w:t>
            </w:r>
          </w:p>
        </w:tc>
        <w:tc>
          <w:tcPr>
            <w:tcW w:w="0" w:type="auto"/>
            <w:shd w:val="clear" w:color="auto" w:fill="auto"/>
            <w:vAlign w:val="center"/>
            <w:hideMark/>
          </w:tcPr>
          <w:p w14:paraId="06D126AC" w14:textId="0B419D2F" w:rsidR="007547F6" w:rsidRPr="00A32CA1" w:rsidRDefault="007547F6" w:rsidP="007547F6">
            <w:pPr>
              <w:pStyle w:val="24"/>
              <w:adjustRightInd w:val="0"/>
              <w:snapToGrid w:val="0"/>
              <w:spacing w:line="360" w:lineRule="auto"/>
              <w:ind w:firstLine="198"/>
              <w:jc w:val="center"/>
              <w:rPr>
                <w:rFonts w:ascii="宋体" w:hAnsi="宋体" w:cs="宋体"/>
                <w:color w:val="000000"/>
                <w:sz w:val="21"/>
                <w:szCs w:val="21"/>
              </w:rPr>
            </w:pPr>
            <w:r>
              <w:rPr>
                <w:rFonts w:ascii="宋体" w:hAnsi="宋体"/>
                <w:sz w:val="21"/>
                <w:szCs w:val="21"/>
              </w:rPr>
              <w:t>1.5</w:t>
            </w:r>
            <w:r w:rsidRPr="004D6499">
              <w:rPr>
                <w:rFonts w:ascii="宋体" w:hAnsi="宋体" w:hint="eastAsia"/>
                <w:sz w:val="21"/>
                <w:szCs w:val="21"/>
              </w:rPr>
              <w:t>%</w:t>
            </w:r>
          </w:p>
        </w:tc>
      </w:tr>
      <w:tr w:rsidR="007547F6" w:rsidRPr="00A32CA1" w14:paraId="7AE5B7A3" w14:textId="77777777" w:rsidTr="00B450A8">
        <w:trPr>
          <w:jc w:val="center"/>
        </w:trPr>
        <w:tc>
          <w:tcPr>
            <w:tcW w:w="0" w:type="auto"/>
            <w:shd w:val="clear" w:color="auto" w:fill="auto"/>
            <w:vAlign w:val="center"/>
          </w:tcPr>
          <w:p w14:paraId="60E402E9" w14:textId="79DFA754" w:rsidR="007547F6" w:rsidRPr="00A32CA1" w:rsidRDefault="007547F6" w:rsidP="007547F6">
            <w:pPr>
              <w:pStyle w:val="24"/>
              <w:adjustRightInd w:val="0"/>
              <w:snapToGrid w:val="0"/>
              <w:spacing w:line="360" w:lineRule="auto"/>
              <w:ind w:firstLine="198"/>
              <w:jc w:val="center"/>
              <w:rPr>
                <w:rFonts w:ascii="宋体" w:hAnsi="宋体" w:cs="宋体"/>
                <w:color w:val="000000"/>
                <w:sz w:val="21"/>
                <w:szCs w:val="21"/>
              </w:rPr>
            </w:pPr>
            <w:r w:rsidRPr="004D6499">
              <w:rPr>
                <w:rFonts w:ascii="宋体" w:hAnsi="宋体" w:hint="eastAsia"/>
                <w:sz w:val="21"/>
                <w:szCs w:val="21"/>
              </w:rPr>
              <w:t>T</w:t>
            </w:r>
            <w:r w:rsidRPr="004D6499">
              <w:rPr>
                <w:rFonts w:ascii="宋体" w:hAnsi="宋体"/>
                <w:sz w:val="21"/>
                <w:szCs w:val="21"/>
              </w:rPr>
              <w:t>≥7</w:t>
            </w:r>
            <w:r w:rsidRPr="004D6499">
              <w:rPr>
                <w:rFonts w:ascii="宋体" w:hAnsi="宋体" w:hint="eastAsia"/>
                <w:sz w:val="21"/>
                <w:szCs w:val="21"/>
              </w:rPr>
              <w:t>天</w:t>
            </w:r>
          </w:p>
        </w:tc>
        <w:tc>
          <w:tcPr>
            <w:tcW w:w="0" w:type="auto"/>
            <w:shd w:val="clear" w:color="auto" w:fill="auto"/>
            <w:vAlign w:val="center"/>
          </w:tcPr>
          <w:p w14:paraId="26508AB3" w14:textId="25AE97D6" w:rsidR="007547F6" w:rsidRPr="00A32CA1" w:rsidRDefault="007547F6" w:rsidP="007547F6">
            <w:pPr>
              <w:pStyle w:val="24"/>
              <w:adjustRightInd w:val="0"/>
              <w:snapToGrid w:val="0"/>
              <w:spacing w:line="360" w:lineRule="auto"/>
              <w:ind w:firstLine="198"/>
              <w:jc w:val="center"/>
              <w:rPr>
                <w:rFonts w:ascii="宋体" w:hAnsi="宋体" w:cs="宋体"/>
                <w:color w:val="000000"/>
                <w:sz w:val="21"/>
                <w:szCs w:val="21"/>
              </w:rPr>
            </w:pPr>
            <w:r w:rsidRPr="004D6499">
              <w:rPr>
                <w:rFonts w:ascii="宋体" w:hAnsi="宋体"/>
                <w:sz w:val="21"/>
                <w:szCs w:val="21"/>
              </w:rPr>
              <w:t>0</w:t>
            </w:r>
          </w:p>
        </w:tc>
      </w:tr>
    </w:tbl>
    <w:p w14:paraId="38F8B009" w14:textId="2AF46D36" w:rsidR="000C66E2" w:rsidRPr="00A32CA1" w:rsidRDefault="00134D10" w:rsidP="00FD4390">
      <w:pPr>
        <w:pStyle w:val="26"/>
        <w:adjustRightInd w:val="0"/>
        <w:snapToGrid w:val="0"/>
        <w:ind w:firstLine="420"/>
        <w:jc w:val="left"/>
        <w:rPr>
          <w:rFonts w:ascii="宋体" w:eastAsia="宋体" w:hAnsi="宋体" w:cs="宋体"/>
          <w:color w:val="000000"/>
          <w:sz w:val="21"/>
          <w:szCs w:val="21"/>
        </w:rPr>
      </w:pPr>
      <w:r w:rsidRPr="00134D10">
        <w:rPr>
          <w:rFonts w:ascii="宋体" w:eastAsia="宋体" w:hAnsi="宋体" w:cs="宋体" w:hint="eastAsia"/>
          <w:color w:val="000000"/>
          <w:sz w:val="21"/>
          <w:szCs w:val="21"/>
        </w:rPr>
        <w:lastRenderedPageBreak/>
        <w:t>赎回费全额归入基金财产，其余用于支付注册登记费和其他必要的手续费。</w:t>
      </w:r>
    </w:p>
    <w:p w14:paraId="2AE4C50B" w14:textId="4015BB95" w:rsidR="00FA6D6D"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color w:val="000000"/>
        </w:rPr>
        <w:t>3</w:t>
      </w:r>
      <w:r w:rsidRPr="00A32CA1">
        <w:rPr>
          <w:rFonts w:ascii="宋体" w:hAnsi="宋体" w:cs="宋体" w:hint="eastAsia"/>
          <w:color w:val="000000"/>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14:paraId="7159ADF9" w14:textId="0AF18993"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4</w:t>
      </w:r>
      <w:r w:rsidRPr="00A32CA1">
        <w:rPr>
          <w:rFonts w:ascii="宋体" w:hAnsi="宋体" w:cs="宋体" w:hint="eastAsia"/>
          <w:color w:val="000000"/>
        </w:rPr>
        <w:t>、</w:t>
      </w:r>
      <w:r w:rsidR="00EC178D" w:rsidRPr="00EC178D">
        <w:rPr>
          <w:rFonts w:ascii="宋体" w:hAnsi="宋体" w:cs="宋体" w:hint="eastAsia"/>
          <w:color w:val="000000"/>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187425D7" w14:textId="77777777" w:rsidR="000C66E2" w:rsidRPr="00A32CA1" w:rsidRDefault="000C66E2" w:rsidP="000C66E2">
      <w:pPr>
        <w:snapToGrid w:val="0"/>
        <w:spacing w:line="360" w:lineRule="auto"/>
        <w:ind w:firstLineChars="200" w:firstLine="420"/>
        <w:rPr>
          <w:rFonts w:ascii="宋体" w:cs="Times New Roman"/>
          <w:color w:val="000000"/>
        </w:rPr>
      </w:pPr>
    </w:p>
    <w:p w14:paraId="3ADC70AA" w14:textId="77777777" w:rsidR="000C66E2" w:rsidRPr="00FD4390" w:rsidRDefault="000C66E2"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七、申购份额与赎回金额的计算</w:t>
      </w:r>
    </w:p>
    <w:p w14:paraId="35DAEF24"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1</w:t>
      </w:r>
      <w:r w:rsidRPr="00A32CA1">
        <w:rPr>
          <w:rFonts w:ascii="宋体" w:hAnsi="宋体" w:cs="宋体" w:hint="eastAsia"/>
          <w:color w:val="000000"/>
        </w:rPr>
        <w:t>、基金申购份额的计算</w:t>
      </w:r>
    </w:p>
    <w:p w14:paraId="2B151990" w14:textId="77777777" w:rsidR="000C66E2" w:rsidRPr="00115F51" w:rsidRDefault="000C66E2" w:rsidP="000C66E2">
      <w:pPr>
        <w:snapToGrid w:val="0"/>
        <w:spacing w:line="360" w:lineRule="auto"/>
        <w:ind w:firstLineChars="200" w:firstLine="420"/>
        <w:rPr>
          <w:rFonts w:ascii="宋体" w:cs="Times New Roman"/>
          <w:color w:val="000000"/>
        </w:rPr>
      </w:pPr>
      <w:r w:rsidRPr="00115F51">
        <w:rPr>
          <w:rFonts w:ascii="宋体" w:hAnsi="宋体" w:cs="宋体" w:hint="eastAsia"/>
          <w:color w:val="000000"/>
        </w:rPr>
        <w:t>本基金的申购金额包括申购费用和净申购金额。申购份额的计算公式为：</w:t>
      </w:r>
    </w:p>
    <w:p w14:paraId="638268DA" w14:textId="77777777" w:rsidR="000C66E2" w:rsidRPr="00115F51" w:rsidRDefault="000C66E2" w:rsidP="000C66E2">
      <w:pPr>
        <w:snapToGrid w:val="0"/>
        <w:spacing w:line="360" w:lineRule="auto"/>
        <w:ind w:firstLineChars="200" w:firstLine="420"/>
        <w:rPr>
          <w:rFonts w:ascii="宋体" w:hAnsi="宋体" w:cs="宋体"/>
          <w:color w:val="000000"/>
        </w:rPr>
      </w:pPr>
      <w:r w:rsidRPr="00115F51">
        <w:rPr>
          <w:rFonts w:ascii="宋体" w:hAnsi="宋体" w:cs="宋体" w:hint="eastAsia"/>
          <w:color w:val="000000"/>
        </w:rPr>
        <w:t>A类基金份额</w:t>
      </w:r>
    </w:p>
    <w:p w14:paraId="1CFD4E3C" w14:textId="77777777" w:rsidR="000C66E2" w:rsidRPr="005F6D92" w:rsidRDefault="000C66E2" w:rsidP="000C66E2">
      <w:pPr>
        <w:snapToGrid w:val="0"/>
        <w:spacing w:line="360" w:lineRule="auto"/>
        <w:ind w:firstLineChars="200" w:firstLine="420"/>
        <w:rPr>
          <w:rFonts w:ascii="宋体" w:hAnsi="宋体" w:cs="宋体"/>
          <w:color w:val="000000"/>
        </w:rPr>
      </w:pPr>
      <w:r w:rsidRPr="005F6D92">
        <w:rPr>
          <w:rFonts w:ascii="宋体" w:hAnsi="宋体" w:cs="宋体"/>
          <w:color w:val="000000"/>
        </w:rPr>
        <w:t>（1）适用于比例费率</w:t>
      </w:r>
    </w:p>
    <w:p w14:paraId="3CAF21DF" w14:textId="77777777" w:rsidR="000C66E2" w:rsidRPr="00B61A09" w:rsidRDefault="000C66E2" w:rsidP="000C66E2">
      <w:pPr>
        <w:snapToGrid w:val="0"/>
        <w:spacing w:line="360" w:lineRule="auto"/>
        <w:ind w:firstLineChars="200" w:firstLine="420"/>
        <w:rPr>
          <w:rFonts w:ascii="宋体" w:cs="Times New Roman"/>
          <w:color w:val="000000"/>
        </w:rPr>
      </w:pPr>
      <w:r w:rsidRPr="005F6D92">
        <w:rPr>
          <w:rFonts w:ascii="宋体" w:hAnsi="宋体" w:cs="宋体" w:hint="eastAsia"/>
          <w:color w:val="000000"/>
        </w:rPr>
        <w:t>净申购金额</w:t>
      </w:r>
      <w:r w:rsidRPr="008B4B39">
        <w:rPr>
          <w:rFonts w:ascii="宋体" w:hAnsi="宋体" w:cs="宋体"/>
          <w:color w:val="000000"/>
        </w:rPr>
        <w:t xml:space="preserve">= </w:t>
      </w:r>
      <w:r w:rsidRPr="00DC4CEE">
        <w:rPr>
          <w:rFonts w:ascii="宋体" w:hAnsi="宋体" w:cs="宋体" w:hint="eastAsia"/>
          <w:color w:val="000000"/>
        </w:rPr>
        <w:t>申购金额</w:t>
      </w:r>
      <w:r w:rsidRPr="00DC4CEE">
        <w:rPr>
          <w:rFonts w:ascii="宋体" w:hAnsi="宋体" w:cs="宋体"/>
          <w:color w:val="000000"/>
        </w:rPr>
        <w:t>/</w:t>
      </w:r>
      <w:r w:rsidRPr="00DC4CEE">
        <w:rPr>
          <w:rFonts w:ascii="宋体" w:hAnsi="宋体" w:cs="宋体" w:hint="eastAsia"/>
          <w:color w:val="000000"/>
        </w:rPr>
        <w:t>（</w:t>
      </w:r>
      <w:r w:rsidRPr="00B61A09">
        <w:rPr>
          <w:rFonts w:ascii="宋体" w:hAnsi="宋体" w:cs="宋体"/>
          <w:color w:val="000000"/>
        </w:rPr>
        <w:t>1+</w:t>
      </w:r>
      <w:r w:rsidRPr="00B61A09">
        <w:rPr>
          <w:rFonts w:ascii="宋体" w:hAnsi="宋体" w:cs="宋体" w:hint="eastAsia"/>
          <w:color w:val="000000"/>
        </w:rPr>
        <w:t>申购费率）</w:t>
      </w:r>
    </w:p>
    <w:p w14:paraId="25B34C31" w14:textId="77777777" w:rsidR="000C66E2" w:rsidRPr="00A32CA1" w:rsidRDefault="000C66E2" w:rsidP="000C66E2">
      <w:pPr>
        <w:snapToGrid w:val="0"/>
        <w:spacing w:line="360" w:lineRule="auto"/>
        <w:ind w:firstLineChars="200" w:firstLine="420"/>
        <w:rPr>
          <w:rFonts w:ascii="宋体" w:cs="Times New Roman"/>
          <w:color w:val="000000"/>
        </w:rPr>
      </w:pPr>
      <w:r w:rsidRPr="00B61A09">
        <w:rPr>
          <w:rFonts w:ascii="宋体" w:hAnsi="宋体" w:cs="宋体" w:hint="eastAsia"/>
          <w:color w:val="000000"/>
        </w:rPr>
        <w:t>申购费用</w:t>
      </w:r>
      <w:r w:rsidRPr="00A32CA1">
        <w:rPr>
          <w:rFonts w:ascii="宋体" w:hAnsi="宋体" w:cs="宋体"/>
          <w:color w:val="000000"/>
        </w:rPr>
        <w:t xml:space="preserve"> = </w:t>
      </w:r>
      <w:r w:rsidRPr="00A32CA1">
        <w:rPr>
          <w:rFonts w:ascii="宋体" w:hAnsi="宋体" w:cs="宋体" w:hint="eastAsia"/>
          <w:color w:val="000000"/>
        </w:rPr>
        <w:t>申购金额－净申购金额</w:t>
      </w:r>
    </w:p>
    <w:p w14:paraId="6A7EC805" w14:textId="77777777"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hint="eastAsia"/>
          <w:color w:val="000000"/>
        </w:rPr>
        <w:t>申购份额</w:t>
      </w:r>
      <w:r w:rsidRPr="00A32CA1">
        <w:rPr>
          <w:rFonts w:ascii="宋体" w:hAnsi="宋体" w:cs="宋体"/>
          <w:color w:val="000000"/>
        </w:rPr>
        <w:t xml:space="preserve"> = </w:t>
      </w:r>
      <w:r w:rsidRPr="00A32CA1">
        <w:rPr>
          <w:rFonts w:ascii="宋体" w:hAnsi="宋体" w:cs="宋体" w:hint="eastAsia"/>
          <w:color w:val="000000"/>
        </w:rPr>
        <w:t>净申购金额</w:t>
      </w:r>
      <w:r w:rsidRPr="00A32CA1">
        <w:rPr>
          <w:rFonts w:ascii="宋体" w:hAnsi="宋体" w:cs="宋体"/>
          <w:color w:val="000000"/>
        </w:rPr>
        <w:t>/</w:t>
      </w:r>
      <w:r w:rsidRPr="00A32CA1">
        <w:rPr>
          <w:rFonts w:ascii="宋体" w:hAnsi="宋体" w:cs="宋体" w:hint="eastAsia"/>
          <w:color w:val="000000"/>
        </w:rPr>
        <w:t>申购当日</w:t>
      </w:r>
      <w:r w:rsidRPr="00A32CA1">
        <w:rPr>
          <w:rFonts w:ascii="宋体" w:hAnsi="宋体" w:cs="宋体"/>
          <w:color w:val="000000"/>
        </w:rPr>
        <w:t>A类基金份额净值</w:t>
      </w:r>
    </w:p>
    <w:p w14:paraId="1CCC47F4"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cs="Times New Roman" w:hint="eastAsia"/>
          <w:color w:val="000000"/>
        </w:rPr>
        <w:t>（2）适用于固定费用</w:t>
      </w:r>
    </w:p>
    <w:p w14:paraId="63F110D6"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cs="Times New Roman" w:hint="eastAsia"/>
          <w:color w:val="000000"/>
        </w:rPr>
        <w:t>净申购金额＝申购金额-固定申购费用</w:t>
      </w:r>
    </w:p>
    <w:p w14:paraId="321FE099"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cs="Times New Roman" w:hint="eastAsia"/>
          <w:color w:val="000000"/>
        </w:rPr>
        <w:t>申购份额＝净申购金额/申购当日A类基金份额净值</w:t>
      </w:r>
    </w:p>
    <w:p w14:paraId="0BF814EB" w14:textId="77777777"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color w:val="000000"/>
        </w:rPr>
        <w:t>C类基金份额</w:t>
      </w:r>
    </w:p>
    <w:p w14:paraId="47472BD9" w14:textId="28474703"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cs="Times New Roman" w:hint="eastAsia"/>
          <w:color w:val="000000"/>
        </w:rPr>
        <w:t>申购份额＝净申购金额/申购当日</w:t>
      </w:r>
      <w:r w:rsidRPr="00A32CA1">
        <w:rPr>
          <w:rFonts w:ascii="宋体" w:cs="Times New Roman"/>
          <w:color w:val="000000"/>
        </w:rPr>
        <w:t>C</w:t>
      </w:r>
      <w:r w:rsidRPr="00A32CA1">
        <w:rPr>
          <w:rFonts w:ascii="宋体" w:cs="Times New Roman" w:hint="eastAsia"/>
          <w:color w:val="000000"/>
        </w:rPr>
        <w:t>类基金份额净值</w:t>
      </w:r>
    </w:p>
    <w:p w14:paraId="106A11AE"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例：某投资人投资</w:t>
      </w:r>
      <w:r w:rsidRPr="00A32CA1">
        <w:rPr>
          <w:rFonts w:ascii="宋体" w:hAnsi="宋体" w:cs="宋体"/>
          <w:color w:val="000000"/>
        </w:rPr>
        <w:t>10</w:t>
      </w:r>
      <w:r w:rsidRPr="00A32CA1">
        <w:rPr>
          <w:rFonts w:ascii="宋体" w:hAnsi="宋体" w:cs="宋体" w:hint="eastAsia"/>
          <w:color w:val="000000"/>
        </w:rPr>
        <w:t>万元申购本基金</w:t>
      </w:r>
      <w:r w:rsidRPr="00A32CA1">
        <w:rPr>
          <w:rFonts w:ascii="宋体" w:hAnsi="宋体" w:cs="宋体"/>
          <w:color w:val="000000"/>
        </w:rPr>
        <w:t>A类份额，假设申购当日A类基金份额净值为1.0170</w:t>
      </w:r>
      <w:r w:rsidRPr="00A32CA1">
        <w:rPr>
          <w:rFonts w:ascii="宋体" w:hAnsi="宋体" w:cs="宋体" w:hint="eastAsia"/>
          <w:color w:val="000000"/>
        </w:rPr>
        <w:t>元，对应申购费率为</w:t>
      </w:r>
      <w:r w:rsidRPr="00A32CA1">
        <w:rPr>
          <w:rFonts w:ascii="宋体" w:hAnsi="宋体" w:cs="宋体"/>
          <w:color w:val="000000"/>
        </w:rPr>
        <w:t>1.2%</w:t>
      </w:r>
      <w:r w:rsidRPr="00A32CA1">
        <w:rPr>
          <w:rFonts w:ascii="宋体" w:hAnsi="宋体" w:cs="宋体" w:hint="eastAsia"/>
          <w:color w:val="000000"/>
        </w:rPr>
        <w:t>，则其可得到的申购份额为：</w:t>
      </w:r>
    </w:p>
    <w:p w14:paraId="5034FEA0"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净申购金额＝</w:t>
      </w:r>
      <w:r w:rsidRPr="00A32CA1">
        <w:rPr>
          <w:rFonts w:ascii="宋体" w:hAnsi="宋体" w:cs="宋体"/>
          <w:color w:val="000000"/>
        </w:rPr>
        <w:t>100,000/ (1+1.2%</w:t>
      </w:r>
      <w:r w:rsidRPr="00A32CA1">
        <w:rPr>
          <w:rFonts w:ascii="宋体" w:hAnsi="宋体" w:cs="宋体" w:hint="eastAsia"/>
          <w:color w:val="000000"/>
        </w:rPr>
        <w:t>）＝</w:t>
      </w:r>
      <w:r w:rsidRPr="00A32CA1">
        <w:rPr>
          <w:rFonts w:ascii="宋体" w:hAnsi="宋体" w:cs="宋体"/>
          <w:color w:val="000000"/>
        </w:rPr>
        <w:t>98,814.23元</w:t>
      </w:r>
    </w:p>
    <w:p w14:paraId="1C1925BB"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申购费用＝</w:t>
      </w:r>
      <w:r w:rsidRPr="00A32CA1">
        <w:rPr>
          <w:rFonts w:ascii="宋体" w:hAnsi="宋体" w:cs="宋体"/>
          <w:color w:val="000000"/>
        </w:rPr>
        <w:t>100,000</w:t>
      </w:r>
      <w:r w:rsidRPr="00A32CA1">
        <w:rPr>
          <w:rFonts w:ascii="宋体" w:hAnsi="宋体" w:cs="宋体" w:hint="eastAsia"/>
          <w:color w:val="000000"/>
        </w:rPr>
        <w:t>－</w:t>
      </w:r>
      <w:r w:rsidRPr="00A32CA1">
        <w:rPr>
          <w:rFonts w:ascii="宋体" w:hAnsi="宋体" w:cs="宋体"/>
          <w:color w:val="000000"/>
        </w:rPr>
        <w:t>98,814.23＝1,185.77元</w:t>
      </w:r>
    </w:p>
    <w:p w14:paraId="0BC9361A" w14:textId="77777777"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hint="eastAsia"/>
          <w:color w:val="000000"/>
        </w:rPr>
        <w:t>申购份额</w:t>
      </w:r>
      <w:r w:rsidRPr="00A32CA1">
        <w:rPr>
          <w:rFonts w:ascii="宋体" w:hAnsi="宋体" w:cs="宋体"/>
          <w:color w:val="000000"/>
        </w:rPr>
        <w:t xml:space="preserve"> = 98,814.23/1.0170 =97,162.46</w:t>
      </w:r>
      <w:r w:rsidRPr="00A32CA1">
        <w:rPr>
          <w:rFonts w:ascii="宋体" w:hAnsi="宋体" w:cs="宋体" w:hint="eastAsia"/>
          <w:color w:val="000000"/>
        </w:rPr>
        <w:t>份</w:t>
      </w:r>
    </w:p>
    <w:p w14:paraId="412D3BA4" w14:textId="77777777" w:rsidR="000C66E2" w:rsidRPr="005F6D92" w:rsidRDefault="000C66E2" w:rsidP="000C66E2">
      <w:pPr>
        <w:snapToGrid w:val="0"/>
        <w:spacing w:line="360" w:lineRule="auto"/>
        <w:ind w:firstLineChars="200" w:firstLine="420"/>
        <w:rPr>
          <w:rFonts w:ascii="宋体" w:cs="Times New Roman"/>
          <w:color w:val="000000"/>
        </w:rPr>
      </w:pPr>
      <w:r w:rsidRPr="00115F51">
        <w:rPr>
          <w:rFonts w:ascii="宋体" w:cs="Times New Roman"/>
          <w:color w:val="000000"/>
        </w:rPr>
        <w:t>例：某投资人投资10万元申购本基金C类份额，假设申购当日C</w:t>
      </w:r>
      <w:r w:rsidRPr="005F6D92">
        <w:rPr>
          <w:rFonts w:ascii="宋体" w:cs="Times New Roman"/>
          <w:color w:val="000000"/>
        </w:rPr>
        <w:t>类基金份额净值为1.0160元。则其可得到的申购份额为：</w:t>
      </w:r>
    </w:p>
    <w:p w14:paraId="7F55E541" w14:textId="77777777" w:rsidR="000C66E2" w:rsidRPr="00B61A09" w:rsidRDefault="000C66E2" w:rsidP="000C66E2">
      <w:pPr>
        <w:snapToGrid w:val="0"/>
        <w:spacing w:line="360" w:lineRule="auto"/>
        <w:ind w:firstLineChars="200" w:firstLine="420"/>
        <w:rPr>
          <w:rFonts w:ascii="宋体" w:hAnsi="宋体" w:cs="宋体"/>
          <w:color w:val="000000"/>
        </w:rPr>
      </w:pPr>
      <w:r w:rsidRPr="008B4B39">
        <w:rPr>
          <w:rFonts w:ascii="宋体" w:cs="Times New Roman"/>
          <w:color w:val="000000"/>
        </w:rPr>
        <w:t>申购份额＝</w:t>
      </w:r>
      <w:r w:rsidRPr="00DC4CEE">
        <w:rPr>
          <w:rFonts w:ascii="宋体" w:cs="Times New Roman"/>
          <w:color w:val="000000"/>
        </w:rPr>
        <w:t>100,000/1.0160 = 98,425.19</w:t>
      </w:r>
      <w:r w:rsidRPr="00B61A09">
        <w:rPr>
          <w:rFonts w:ascii="宋体" w:cs="Times New Roman"/>
          <w:color w:val="000000"/>
        </w:rPr>
        <w:t>份</w:t>
      </w:r>
    </w:p>
    <w:p w14:paraId="1D48F749" w14:textId="77777777" w:rsidR="000C66E2" w:rsidRPr="00A32CA1" w:rsidRDefault="000C66E2" w:rsidP="000C66E2">
      <w:pPr>
        <w:snapToGrid w:val="0"/>
        <w:spacing w:line="360" w:lineRule="auto"/>
        <w:ind w:firstLineChars="200" w:firstLine="420"/>
        <w:rPr>
          <w:rFonts w:ascii="宋体" w:cs="Times New Roman"/>
          <w:color w:val="000000"/>
        </w:rPr>
      </w:pPr>
      <w:r w:rsidRPr="00B61A09">
        <w:rPr>
          <w:rFonts w:ascii="宋体" w:hAnsi="宋体" w:cs="宋体"/>
          <w:color w:val="000000"/>
        </w:rPr>
        <w:t>2</w:t>
      </w:r>
      <w:r w:rsidRPr="00B61A09">
        <w:rPr>
          <w:rFonts w:ascii="宋体" w:hAnsi="宋体" w:cs="宋体" w:hint="eastAsia"/>
          <w:color w:val="000000"/>
        </w:rPr>
        <w:t>、基金赎回金额的计算</w:t>
      </w:r>
    </w:p>
    <w:p w14:paraId="13436AFD"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本基金的赎回金额计算公式为：</w:t>
      </w:r>
    </w:p>
    <w:p w14:paraId="1C6C199E"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赎回费用</w:t>
      </w:r>
      <w:r w:rsidRPr="00A32CA1">
        <w:rPr>
          <w:rFonts w:ascii="宋体" w:hAnsi="宋体" w:cs="宋体"/>
          <w:color w:val="000000"/>
        </w:rPr>
        <w:t>=</w:t>
      </w:r>
      <w:r w:rsidRPr="00A32CA1">
        <w:rPr>
          <w:rFonts w:ascii="宋体" w:hAnsi="宋体" w:cs="宋体" w:hint="eastAsia"/>
          <w:color w:val="000000"/>
        </w:rPr>
        <w:t>赎回份额</w:t>
      </w:r>
      <w:r w:rsidRPr="00A32CA1">
        <w:rPr>
          <w:rFonts w:ascii="宋体" w:hAnsi="Symbol" w:cs="Times New Roman" w:hint="eastAsia"/>
          <w:color w:val="000000"/>
          <w:szCs w:val="20"/>
        </w:rPr>
        <w:sym w:font="Symbol" w:char="F0B4"/>
      </w:r>
      <w:r w:rsidRPr="00A32CA1">
        <w:rPr>
          <w:rFonts w:ascii="宋体" w:hAnsi="宋体" w:cs="宋体" w:hint="eastAsia"/>
          <w:color w:val="000000"/>
        </w:rPr>
        <w:t>赎回当日该类基金份额净值</w:t>
      </w:r>
      <w:r w:rsidRPr="00A32CA1">
        <w:rPr>
          <w:rFonts w:ascii="宋体" w:hAnsi="Symbol" w:cs="Times New Roman" w:hint="eastAsia"/>
          <w:color w:val="000000"/>
          <w:szCs w:val="20"/>
        </w:rPr>
        <w:sym w:font="Symbol" w:char="F0B4"/>
      </w:r>
      <w:r w:rsidRPr="00A32CA1">
        <w:rPr>
          <w:rFonts w:ascii="宋体" w:hAnsi="宋体" w:cs="宋体" w:hint="eastAsia"/>
          <w:color w:val="000000"/>
        </w:rPr>
        <w:t>赎回费率</w:t>
      </w:r>
    </w:p>
    <w:p w14:paraId="7A1F9497"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赎回金额</w:t>
      </w:r>
      <w:r w:rsidRPr="00115F51">
        <w:rPr>
          <w:rFonts w:ascii="宋体" w:hAnsi="宋体" w:cs="宋体"/>
          <w:color w:val="000000"/>
        </w:rPr>
        <w:t>=</w:t>
      </w:r>
      <w:r w:rsidRPr="00115F51">
        <w:rPr>
          <w:rFonts w:ascii="宋体" w:hAnsi="宋体" w:cs="宋体" w:hint="eastAsia"/>
          <w:color w:val="000000"/>
        </w:rPr>
        <w:t>赎回份额</w:t>
      </w:r>
      <w:r w:rsidRPr="00A32CA1">
        <w:rPr>
          <w:rFonts w:ascii="宋体" w:hAnsi="Symbol" w:cs="Times New Roman" w:hint="eastAsia"/>
          <w:color w:val="000000"/>
          <w:szCs w:val="20"/>
        </w:rPr>
        <w:sym w:font="Symbol" w:char="F0B4"/>
      </w:r>
      <w:r w:rsidRPr="00A32CA1">
        <w:rPr>
          <w:rFonts w:ascii="宋体" w:hAnsi="宋体" w:cs="宋体" w:hint="eastAsia"/>
          <w:color w:val="000000"/>
        </w:rPr>
        <w:t>赎回当日该类基金份额净值</w:t>
      </w:r>
      <w:r w:rsidRPr="00A32CA1">
        <w:rPr>
          <w:rFonts w:ascii="宋体" w:hAnsi="Symbol" w:cs="Times New Roman" w:hint="eastAsia"/>
          <w:color w:val="000000"/>
          <w:szCs w:val="20"/>
        </w:rPr>
        <w:sym w:font="Symbol" w:char="F02D"/>
      </w:r>
      <w:r w:rsidRPr="00A32CA1">
        <w:rPr>
          <w:rFonts w:ascii="宋体" w:hAnsi="宋体" w:cs="宋体" w:hint="eastAsia"/>
          <w:color w:val="000000"/>
        </w:rPr>
        <w:t>赎回费用</w:t>
      </w:r>
    </w:p>
    <w:p w14:paraId="28946F06" w14:textId="291E4469" w:rsidR="000C66E2" w:rsidRPr="00DC4CEE" w:rsidRDefault="000C66E2" w:rsidP="000C66E2">
      <w:pPr>
        <w:snapToGrid w:val="0"/>
        <w:spacing w:line="360" w:lineRule="auto"/>
        <w:ind w:firstLineChars="200" w:firstLine="420"/>
        <w:rPr>
          <w:rFonts w:ascii="宋体" w:cs="Times New Roman"/>
          <w:color w:val="000000"/>
        </w:rPr>
      </w:pPr>
      <w:r w:rsidRPr="00115F51">
        <w:rPr>
          <w:rFonts w:ascii="宋体" w:hAnsi="宋体" w:cs="宋体" w:hint="eastAsia"/>
          <w:color w:val="000000"/>
        </w:rPr>
        <w:t>例：某投资人申购本基金A类份额，持有</w:t>
      </w:r>
      <w:r w:rsidR="009D4510">
        <w:rPr>
          <w:rFonts w:ascii="宋体" w:hAnsi="宋体" w:cs="宋体"/>
          <w:color w:val="000000"/>
        </w:rPr>
        <w:t>5</w:t>
      </w:r>
      <w:r w:rsidR="007547F6">
        <w:rPr>
          <w:rFonts w:ascii="宋体" w:hAnsi="宋体" w:cs="宋体" w:hint="eastAsia"/>
          <w:color w:val="000000"/>
        </w:rPr>
        <w:t>天</w:t>
      </w:r>
      <w:r w:rsidRPr="00115F51">
        <w:rPr>
          <w:rFonts w:ascii="宋体" w:hAnsi="宋体" w:cs="宋体" w:hint="eastAsia"/>
          <w:color w:val="000000"/>
        </w:rPr>
        <w:t>赎回</w:t>
      </w:r>
      <w:r w:rsidRPr="005F6D92">
        <w:rPr>
          <w:rFonts w:ascii="宋体" w:hAnsi="宋体" w:cs="宋体"/>
          <w:color w:val="000000"/>
        </w:rPr>
        <w:t>10</w:t>
      </w:r>
      <w:r w:rsidRPr="005F6D92">
        <w:rPr>
          <w:rFonts w:ascii="宋体" w:hAnsi="宋体" w:cs="宋体" w:hint="eastAsia"/>
          <w:color w:val="000000"/>
        </w:rPr>
        <w:t>万份，赎回费率为</w:t>
      </w:r>
      <w:r w:rsidR="009D4510">
        <w:rPr>
          <w:rFonts w:ascii="宋体" w:cs="宋体"/>
          <w:color w:val="000000"/>
        </w:rPr>
        <w:t>1.5</w:t>
      </w:r>
      <w:r w:rsidR="007547F6">
        <w:rPr>
          <w:rFonts w:ascii="宋体" w:hAnsi="宋体" w:cs="宋体"/>
          <w:color w:val="000000"/>
        </w:rPr>
        <w:t>0</w:t>
      </w:r>
      <w:r w:rsidRPr="005F6D92">
        <w:rPr>
          <w:rFonts w:ascii="宋体" w:hAnsi="宋体" w:cs="宋体"/>
          <w:color w:val="000000"/>
        </w:rPr>
        <w:t>%</w:t>
      </w:r>
      <w:r w:rsidRPr="005F6D92">
        <w:rPr>
          <w:rFonts w:ascii="宋体" w:hAnsi="宋体" w:cs="宋体" w:hint="eastAsia"/>
          <w:color w:val="000000"/>
        </w:rPr>
        <w:t>，假设</w:t>
      </w:r>
      <w:r w:rsidRPr="005F6D92">
        <w:rPr>
          <w:rFonts w:ascii="宋体" w:hAnsi="宋体" w:cs="宋体" w:hint="eastAsia"/>
          <w:color w:val="000000"/>
        </w:rPr>
        <w:lastRenderedPageBreak/>
        <w:t>赎回当日A</w:t>
      </w:r>
      <w:r w:rsidRPr="008B4B39">
        <w:rPr>
          <w:rFonts w:ascii="宋体" w:hAnsi="宋体" w:cs="宋体" w:hint="eastAsia"/>
          <w:color w:val="000000"/>
        </w:rPr>
        <w:t>类基金份额净值是</w:t>
      </w:r>
      <w:r w:rsidRPr="00DC4CEE">
        <w:rPr>
          <w:rFonts w:ascii="宋体" w:hAnsi="宋体" w:cs="宋体"/>
          <w:color w:val="000000"/>
        </w:rPr>
        <w:t>1.0170</w:t>
      </w:r>
      <w:r w:rsidRPr="00DC4CEE">
        <w:rPr>
          <w:rFonts w:ascii="宋体" w:hAnsi="宋体" w:cs="宋体" w:hint="eastAsia"/>
          <w:color w:val="000000"/>
        </w:rPr>
        <w:t>元，则其可得到的赎回金额为：</w:t>
      </w:r>
    </w:p>
    <w:p w14:paraId="617410EB" w14:textId="7C858F38" w:rsidR="000C66E2" w:rsidRPr="00A32CA1" w:rsidRDefault="000C66E2" w:rsidP="000C66E2">
      <w:pPr>
        <w:snapToGrid w:val="0"/>
        <w:spacing w:line="360" w:lineRule="auto"/>
        <w:ind w:firstLineChars="200" w:firstLine="420"/>
        <w:rPr>
          <w:rFonts w:ascii="宋体" w:cs="Times New Roman"/>
          <w:color w:val="000000"/>
        </w:rPr>
      </w:pPr>
      <w:r w:rsidRPr="00B61A09">
        <w:rPr>
          <w:rFonts w:ascii="宋体" w:hAnsi="宋体" w:cs="宋体" w:hint="eastAsia"/>
          <w:color w:val="000000"/>
        </w:rPr>
        <w:t>赎回费用＝</w:t>
      </w:r>
      <w:r w:rsidRPr="00B61A09">
        <w:rPr>
          <w:rFonts w:ascii="宋体" w:hAnsi="宋体" w:cs="宋体"/>
          <w:color w:val="000000"/>
        </w:rPr>
        <w:t>10</w:t>
      </w:r>
      <w:r w:rsidRPr="00B61A09">
        <w:rPr>
          <w:rFonts w:ascii="宋体" w:cs="宋体"/>
          <w:color w:val="000000"/>
        </w:rPr>
        <w:t>0,000</w:t>
      </w:r>
      <w:r w:rsidRPr="00B61A09">
        <w:rPr>
          <w:rFonts w:ascii="宋体" w:hAnsi="宋体" w:cs="宋体" w:hint="eastAsia"/>
          <w:color w:val="000000"/>
        </w:rPr>
        <w:t>×</w:t>
      </w:r>
      <w:r w:rsidRPr="00A32CA1">
        <w:rPr>
          <w:rFonts w:ascii="宋体" w:hAnsi="宋体" w:cs="宋体"/>
          <w:color w:val="000000"/>
        </w:rPr>
        <w:t>1.0170</w:t>
      </w:r>
      <w:r w:rsidRPr="00A32CA1">
        <w:rPr>
          <w:rFonts w:ascii="宋体" w:hAnsi="宋体" w:cs="宋体" w:hint="eastAsia"/>
          <w:color w:val="000000"/>
        </w:rPr>
        <w:t>×</w:t>
      </w:r>
      <w:r w:rsidR="009D4510">
        <w:rPr>
          <w:rFonts w:ascii="宋体" w:cs="宋体"/>
          <w:color w:val="000000"/>
        </w:rPr>
        <w:t>1.5</w:t>
      </w:r>
      <w:r w:rsidRPr="00A32CA1">
        <w:rPr>
          <w:rFonts w:ascii="宋体" w:hAnsi="宋体" w:cs="宋体"/>
          <w:color w:val="000000"/>
        </w:rPr>
        <w:t>%</w:t>
      </w:r>
      <w:r w:rsidRPr="00A32CA1">
        <w:rPr>
          <w:rFonts w:ascii="宋体" w:hAnsi="宋体" w:cs="宋体" w:hint="eastAsia"/>
          <w:color w:val="000000"/>
        </w:rPr>
        <w:t>＝</w:t>
      </w:r>
      <w:r w:rsidR="009D4510" w:rsidRPr="009D4510">
        <w:rPr>
          <w:rFonts w:ascii="宋体" w:hAnsi="宋体" w:cs="宋体"/>
          <w:color w:val="000000"/>
        </w:rPr>
        <w:t xml:space="preserve">1,525.50 </w:t>
      </w:r>
      <w:r w:rsidRPr="00A32CA1">
        <w:rPr>
          <w:rFonts w:ascii="宋体" w:hAnsi="宋体" w:cs="宋体"/>
          <w:color w:val="000000"/>
        </w:rPr>
        <w:t>元</w:t>
      </w:r>
    </w:p>
    <w:p w14:paraId="3CB9FC1C" w14:textId="2E85CF2A"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hint="eastAsia"/>
          <w:color w:val="000000"/>
        </w:rPr>
        <w:t>赎回金额</w:t>
      </w:r>
      <w:r w:rsidRPr="00A32CA1">
        <w:rPr>
          <w:rFonts w:ascii="宋体" w:hAnsi="宋体" w:cs="宋体"/>
          <w:color w:val="000000"/>
        </w:rPr>
        <w:t>=10</w:t>
      </w:r>
      <w:r w:rsidRPr="00A32CA1">
        <w:rPr>
          <w:rFonts w:ascii="宋体" w:cs="宋体"/>
          <w:color w:val="000000"/>
        </w:rPr>
        <w:t>0,000</w:t>
      </w:r>
      <w:r w:rsidRPr="00A32CA1">
        <w:rPr>
          <w:rFonts w:ascii="宋体" w:hAnsi="宋体" w:cs="宋体" w:hint="eastAsia"/>
          <w:color w:val="000000"/>
        </w:rPr>
        <w:t>×</w:t>
      </w:r>
      <w:r w:rsidRPr="00A32CA1">
        <w:rPr>
          <w:rFonts w:ascii="宋体" w:hAnsi="宋体" w:cs="宋体"/>
          <w:color w:val="000000"/>
        </w:rPr>
        <w:t>1.0170</w:t>
      </w:r>
      <w:r w:rsidRPr="00A32CA1">
        <w:rPr>
          <w:rFonts w:ascii="宋体" w:hAnsi="宋体" w:cs="宋体" w:hint="eastAsia"/>
          <w:color w:val="000000"/>
        </w:rPr>
        <w:t>－</w:t>
      </w:r>
      <w:r w:rsidR="009D4510" w:rsidRPr="009D4510">
        <w:rPr>
          <w:rFonts w:ascii="宋体" w:hAnsi="宋体" w:cs="宋体"/>
          <w:color w:val="000000"/>
        </w:rPr>
        <w:t xml:space="preserve">1,525.50 </w:t>
      </w:r>
      <w:r w:rsidRPr="00A32CA1">
        <w:rPr>
          <w:rFonts w:ascii="宋体" w:hAnsi="宋体" w:cs="宋体"/>
          <w:color w:val="000000"/>
        </w:rPr>
        <w:t>＝</w:t>
      </w:r>
      <w:r w:rsidR="009D4510" w:rsidRPr="009D4510">
        <w:rPr>
          <w:rFonts w:ascii="宋体" w:hAnsi="宋体" w:cs="宋体"/>
          <w:color w:val="000000"/>
        </w:rPr>
        <w:t xml:space="preserve">100,174.50 </w:t>
      </w:r>
      <w:r w:rsidRPr="00A32CA1">
        <w:rPr>
          <w:rFonts w:ascii="宋体" w:hAnsi="宋体" w:cs="宋体"/>
          <w:color w:val="000000"/>
        </w:rPr>
        <w:t>元</w:t>
      </w:r>
    </w:p>
    <w:p w14:paraId="460997DC" w14:textId="77777777" w:rsidR="000C66E2" w:rsidRPr="00A32CA1" w:rsidRDefault="000C66E2" w:rsidP="000C66E2">
      <w:pPr>
        <w:snapToGrid w:val="0"/>
        <w:spacing w:line="360" w:lineRule="auto"/>
        <w:ind w:firstLineChars="200" w:firstLine="420"/>
        <w:rPr>
          <w:rFonts w:ascii="宋体" w:hAnsi="宋体"/>
          <w:color w:val="000000"/>
          <w:szCs w:val="20"/>
        </w:rPr>
      </w:pPr>
      <w:r w:rsidRPr="00A32CA1">
        <w:rPr>
          <w:rFonts w:ascii="宋体" w:hAnsi="宋体"/>
          <w:color w:val="000000"/>
          <w:szCs w:val="20"/>
        </w:rPr>
        <w:t>例</w:t>
      </w:r>
      <w:r w:rsidRPr="00A32CA1">
        <w:rPr>
          <w:rFonts w:ascii="宋体" w:hAnsi="宋体" w:hint="eastAsia"/>
          <w:color w:val="000000"/>
          <w:szCs w:val="20"/>
        </w:rPr>
        <w:t>：</w:t>
      </w:r>
      <w:r w:rsidRPr="00A32CA1">
        <w:rPr>
          <w:rFonts w:ascii="宋体" w:hAnsi="宋体"/>
          <w:color w:val="000000"/>
          <w:szCs w:val="20"/>
        </w:rPr>
        <w:t>某投资</w:t>
      </w:r>
      <w:r w:rsidRPr="00A32CA1">
        <w:rPr>
          <w:rFonts w:ascii="宋体" w:hAnsi="宋体" w:hint="eastAsia"/>
          <w:color w:val="000000"/>
          <w:szCs w:val="20"/>
        </w:rPr>
        <w:t>人申购本基金</w:t>
      </w:r>
      <w:r w:rsidRPr="00A32CA1">
        <w:rPr>
          <w:rFonts w:ascii="宋体" w:hAnsi="宋体"/>
          <w:color w:val="000000"/>
          <w:szCs w:val="20"/>
        </w:rPr>
        <w:t>C类份额</w:t>
      </w:r>
      <w:r w:rsidRPr="00A32CA1">
        <w:rPr>
          <w:rFonts w:ascii="宋体" w:hAnsi="宋体" w:hint="eastAsia"/>
          <w:color w:val="000000"/>
          <w:szCs w:val="20"/>
        </w:rPr>
        <w:t>，持有</w:t>
      </w:r>
      <w:r w:rsidRPr="00A32CA1">
        <w:rPr>
          <w:rFonts w:ascii="宋体" w:hAnsi="宋体"/>
          <w:color w:val="000000"/>
          <w:szCs w:val="20"/>
        </w:rPr>
        <w:t>3个月赎回10万份</w:t>
      </w:r>
      <w:r w:rsidRPr="00A32CA1">
        <w:rPr>
          <w:rFonts w:ascii="宋体" w:hAnsi="宋体" w:hint="eastAsia"/>
          <w:color w:val="000000"/>
          <w:szCs w:val="20"/>
        </w:rPr>
        <w:t>，</w:t>
      </w:r>
      <w:r w:rsidRPr="00A32CA1">
        <w:rPr>
          <w:rFonts w:ascii="宋体" w:hAnsi="宋体"/>
          <w:color w:val="000000"/>
          <w:szCs w:val="20"/>
        </w:rPr>
        <w:t>赎回费率为0，假设赎回当日基</w:t>
      </w:r>
      <w:r w:rsidRPr="00A32CA1">
        <w:rPr>
          <w:rFonts w:ascii="宋体" w:hAnsi="宋体" w:hint="eastAsia"/>
          <w:color w:val="000000"/>
          <w:szCs w:val="20"/>
        </w:rPr>
        <w:t>金份额净值是</w:t>
      </w:r>
      <w:r w:rsidRPr="00A32CA1">
        <w:rPr>
          <w:rFonts w:ascii="宋体" w:hAnsi="宋体"/>
          <w:color w:val="000000"/>
          <w:szCs w:val="20"/>
        </w:rPr>
        <w:t>1.0170</w:t>
      </w:r>
      <w:r w:rsidRPr="00A32CA1">
        <w:rPr>
          <w:rFonts w:ascii="宋体" w:hAnsi="宋体" w:hint="eastAsia"/>
          <w:color w:val="000000"/>
          <w:szCs w:val="20"/>
        </w:rPr>
        <w:t>元，则其可得到的赎回金额为：</w:t>
      </w:r>
    </w:p>
    <w:p w14:paraId="7913BD04" w14:textId="77777777" w:rsidR="000C66E2" w:rsidRPr="00A32CA1" w:rsidRDefault="000C66E2" w:rsidP="000C66E2">
      <w:pPr>
        <w:tabs>
          <w:tab w:val="left" w:pos="3375"/>
        </w:tabs>
        <w:snapToGrid w:val="0"/>
        <w:spacing w:line="360" w:lineRule="auto"/>
        <w:ind w:firstLineChars="200" w:firstLine="420"/>
        <w:rPr>
          <w:rFonts w:ascii="宋体" w:hAnsi="宋体"/>
          <w:color w:val="000000"/>
          <w:szCs w:val="20"/>
        </w:rPr>
      </w:pPr>
      <w:r w:rsidRPr="00A32CA1">
        <w:rPr>
          <w:rFonts w:ascii="宋体" w:hAnsi="宋体" w:hint="eastAsia"/>
          <w:color w:val="000000"/>
          <w:szCs w:val="20"/>
        </w:rPr>
        <w:t>赎回费用＝</w:t>
      </w:r>
      <w:r w:rsidRPr="00A32CA1">
        <w:rPr>
          <w:rFonts w:ascii="宋体" w:hAnsi="宋体"/>
          <w:color w:val="000000"/>
          <w:szCs w:val="20"/>
        </w:rPr>
        <w:t>0元</w:t>
      </w:r>
      <w:r w:rsidRPr="00A32CA1">
        <w:rPr>
          <w:rFonts w:ascii="宋体" w:hAnsi="宋体"/>
          <w:color w:val="000000"/>
          <w:szCs w:val="20"/>
        </w:rPr>
        <w:tab/>
      </w:r>
    </w:p>
    <w:p w14:paraId="05474A74" w14:textId="77777777"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olor w:val="000000"/>
          <w:szCs w:val="20"/>
        </w:rPr>
        <w:t>赎回金额=100,000</w:t>
      </w:r>
      <w:r w:rsidRPr="00A32CA1">
        <w:rPr>
          <w:rFonts w:ascii="宋体" w:hAnsi="宋体" w:hint="eastAsia"/>
          <w:color w:val="000000"/>
          <w:szCs w:val="20"/>
        </w:rPr>
        <w:t>×</w:t>
      </w:r>
      <w:r w:rsidRPr="00A32CA1">
        <w:rPr>
          <w:rFonts w:ascii="宋体" w:hAnsi="宋体"/>
          <w:color w:val="000000"/>
          <w:szCs w:val="20"/>
        </w:rPr>
        <w:t>1.0170</w:t>
      </w:r>
      <w:r w:rsidRPr="00A32CA1">
        <w:rPr>
          <w:rFonts w:ascii="宋体" w:hAnsi="宋体" w:hint="eastAsia"/>
          <w:color w:val="000000"/>
          <w:szCs w:val="20"/>
        </w:rPr>
        <w:t>－</w:t>
      </w:r>
      <w:r w:rsidRPr="00A32CA1">
        <w:rPr>
          <w:rFonts w:ascii="宋体" w:hAnsi="宋体"/>
          <w:color w:val="000000"/>
          <w:szCs w:val="20"/>
        </w:rPr>
        <w:t>0＝101,700.00元</w:t>
      </w:r>
    </w:p>
    <w:p w14:paraId="1AFFEB55"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3</w:t>
      </w:r>
      <w:r w:rsidRPr="00A32CA1">
        <w:rPr>
          <w:rFonts w:ascii="宋体" w:hAnsi="宋体" w:cs="宋体" w:hint="eastAsia"/>
          <w:color w:val="000000"/>
        </w:rPr>
        <w:t>、基金份额净值的计算</w:t>
      </w:r>
    </w:p>
    <w:p w14:paraId="66F3CF47" w14:textId="5E693E3F"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T</w:t>
      </w:r>
      <w:r w:rsidRPr="00A32CA1">
        <w:rPr>
          <w:rFonts w:ascii="宋体" w:hAnsi="宋体" w:cs="宋体" w:hint="eastAsia"/>
          <w:color w:val="000000"/>
        </w:rPr>
        <w:t>日的基金份额净值在当天收市后计算，并在</w:t>
      </w:r>
      <w:r w:rsidRPr="00A32CA1">
        <w:rPr>
          <w:rFonts w:ascii="宋体" w:hAnsi="宋体" w:cs="宋体"/>
          <w:color w:val="000000"/>
        </w:rPr>
        <w:t>T+1</w:t>
      </w:r>
      <w:r w:rsidRPr="00A32CA1">
        <w:rPr>
          <w:rFonts w:ascii="宋体" w:hAnsi="宋体" w:cs="宋体" w:hint="eastAsia"/>
          <w:color w:val="000000"/>
        </w:rPr>
        <w:t>日内公告。遇特殊情况，经</w:t>
      </w:r>
      <w:r w:rsidR="00D70FD5">
        <w:rPr>
          <w:rFonts w:ascii="宋体" w:hAnsi="宋体" w:cs="宋体"/>
          <w:color w:val="000000"/>
        </w:rPr>
        <w:t>履行适当程序</w:t>
      </w:r>
      <w:r w:rsidRPr="00A32CA1">
        <w:rPr>
          <w:rFonts w:ascii="宋体" w:hAnsi="宋体" w:cs="宋体" w:hint="eastAsia"/>
          <w:color w:val="000000"/>
        </w:rPr>
        <w:t>，可以适当延迟计算或公告。本基金份额净值的计算，保留到小数点后</w:t>
      </w:r>
      <w:r w:rsidRPr="00A32CA1">
        <w:rPr>
          <w:rFonts w:ascii="宋体" w:hAnsi="宋体" w:cs="宋体"/>
          <w:color w:val="000000"/>
        </w:rPr>
        <w:t>4位，小数点后第5位四舍五入</w:t>
      </w:r>
      <w:r w:rsidRPr="00A32CA1">
        <w:rPr>
          <w:rFonts w:cs="宋体" w:hint="eastAsia"/>
        </w:rPr>
        <w:t>，由此产生的收益或损失由基金财产承担</w:t>
      </w:r>
      <w:r w:rsidRPr="00A32CA1">
        <w:rPr>
          <w:rFonts w:ascii="宋体" w:hAnsi="宋体" w:cs="宋体" w:hint="eastAsia"/>
          <w:color w:val="000000"/>
        </w:rPr>
        <w:t>。</w:t>
      </w:r>
    </w:p>
    <w:p w14:paraId="3263C7DC"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4</w:t>
      </w:r>
      <w:r w:rsidRPr="00A32CA1">
        <w:rPr>
          <w:rFonts w:ascii="宋体" w:hAnsi="宋体" w:cs="宋体" w:hint="eastAsia"/>
          <w:color w:val="000000"/>
        </w:rPr>
        <w:t>、申购份额、余额的处理方式</w:t>
      </w:r>
    </w:p>
    <w:p w14:paraId="38F7206F"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申购的有效份额为按实际确认的申购金额在扣除相应的费用后，以当日基金份额净值为基准计算，上述涉及基金份额的计算结果均保留到小数点后</w:t>
      </w:r>
      <w:r w:rsidRPr="00A32CA1">
        <w:rPr>
          <w:rFonts w:ascii="宋体" w:hAnsi="宋体" w:cs="宋体"/>
          <w:color w:val="000000"/>
        </w:rPr>
        <w:t>2</w:t>
      </w:r>
      <w:r w:rsidRPr="00A32CA1">
        <w:rPr>
          <w:rFonts w:ascii="宋体" w:hAnsi="宋体" w:cs="宋体" w:hint="eastAsia"/>
          <w:color w:val="000000"/>
        </w:rPr>
        <w:t>位，小数点后</w:t>
      </w:r>
      <w:r w:rsidRPr="00A32CA1">
        <w:rPr>
          <w:rFonts w:ascii="宋体" w:hAnsi="宋体" w:cs="宋体"/>
          <w:color w:val="000000"/>
        </w:rPr>
        <w:t>2</w:t>
      </w:r>
      <w:r w:rsidRPr="00A32CA1">
        <w:rPr>
          <w:rFonts w:ascii="宋体" w:hAnsi="宋体" w:cs="宋体" w:hint="eastAsia"/>
          <w:color w:val="000000"/>
        </w:rPr>
        <w:t>位以后的部分舍弃，舍弃部分归入基金财产；上述涉及金额的计算结果均按四舍五入方法，保留到小数点后</w:t>
      </w:r>
      <w:r w:rsidRPr="00A32CA1">
        <w:rPr>
          <w:rFonts w:ascii="宋体" w:hAnsi="宋体" w:cs="宋体"/>
          <w:color w:val="000000"/>
        </w:rPr>
        <w:t>2</w:t>
      </w:r>
      <w:r w:rsidRPr="00A32CA1">
        <w:rPr>
          <w:rFonts w:ascii="宋体" w:hAnsi="宋体" w:cs="宋体" w:hint="eastAsia"/>
          <w:color w:val="000000"/>
        </w:rPr>
        <w:t>位，由此产生的收益或损失由基金财产承担。</w:t>
      </w:r>
    </w:p>
    <w:p w14:paraId="7BA4102C"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5</w:t>
      </w:r>
      <w:r w:rsidRPr="00A32CA1">
        <w:rPr>
          <w:rFonts w:ascii="宋体" w:hAnsi="宋体" w:cs="宋体" w:hint="eastAsia"/>
          <w:color w:val="000000"/>
        </w:rPr>
        <w:t>、赎回金额的处理方式</w:t>
      </w:r>
    </w:p>
    <w:p w14:paraId="600D5D9F" w14:textId="77777777" w:rsidR="000C66E2" w:rsidRDefault="000C66E2" w:rsidP="000C66E2">
      <w:pPr>
        <w:snapToGrid w:val="0"/>
        <w:spacing w:line="360" w:lineRule="auto"/>
        <w:ind w:firstLineChars="200" w:firstLine="420"/>
        <w:rPr>
          <w:rFonts w:ascii="宋体" w:hAnsi="宋体" w:cs="宋体"/>
          <w:color w:val="000000"/>
        </w:rPr>
      </w:pPr>
      <w:r w:rsidRPr="00A32CA1">
        <w:rPr>
          <w:rFonts w:ascii="宋体" w:hAnsi="宋体" w:cs="宋体" w:hint="eastAsia"/>
          <w:color w:val="000000"/>
        </w:rPr>
        <w:t>赎回金额为按实际确认的有效赎回份额以当日基金份额净值为基准并扣除相应的费用，计算结果保留到小数点后</w:t>
      </w:r>
      <w:r w:rsidRPr="00A32CA1">
        <w:rPr>
          <w:rFonts w:ascii="宋体" w:hAnsi="宋体" w:cs="宋体"/>
          <w:color w:val="000000"/>
        </w:rPr>
        <w:t>2</w:t>
      </w:r>
      <w:r w:rsidRPr="00A32CA1">
        <w:rPr>
          <w:rFonts w:ascii="宋体" w:hAnsi="宋体" w:cs="宋体" w:hint="eastAsia"/>
          <w:color w:val="000000"/>
        </w:rPr>
        <w:t>位，小数点后</w:t>
      </w:r>
      <w:r w:rsidRPr="00A32CA1">
        <w:rPr>
          <w:rFonts w:ascii="宋体" w:hAnsi="宋体" w:cs="宋体"/>
          <w:color w:val="000000"/>
        </w:rPr>
        <w:t>2</w:t>
      </w:r>
      <w:r w:rsidRPr="00A32CA1">
        <w:rPr>
          <w:rFonts w:ascii="宋体" w:hAnsi="宋体" w:cs="宋体" w:hint="eastAsia"/>
          <w:color w:val="000000"/>
        </w:rPr>
        <w:t>位以后的部分四舍五入，由此产生的误差计入基金财产。</w:t>
      </w:r>
    </w:p>
    <w:p w14:paraId="5F0EDFDD" w14:textId="72BC1742" w:rsidR="0042628F" w:rsidRPr="00A32CA1" w:rsidRDefault="0042628F" w:rsidP="000C66E2">
      <w:pPr>
        <w:snapToGrid w:val="0"/>
        <w:spacing w:line="360" w:lineRule="auto"/>
        <w:ind w:firstLineChars="200" w:firstLine="420"/>
        <w:rPr>
          <w:rFonts w:ascii="宋体" w:cs="Times New Roman"/>
          <w:color w:val="000000"/>
        </w:rPr>
      </w:pPr>
      <w:r w:rsidRPr="0042628F">
        <w:rPr>
          <w:rFonts w:ascii="宋体" w:cs="Times New Roman" w:hint="eastAsia"/>
          <w:color w:val="000000"/>
        </w:rPr>
        <w:t>6、当发生大额申购或赎回情形时，基金管理人可以采用摆动定价机制，以确保基金估值的公平性，具体处理原则与操作规范遵循相关法律法规以及监管部门、自律规则的规定。</w:t>
      </w:r>
    </w:p>
    <w:p w14:paraId="7BCD7D7E" w14:textId="77777777" w:rsidR="000C66E2" w:rsidRPr="00A32CA1" w:rsidRDefault="000C66E2">
      <w:pPr>
        <w:snapToGrid w:val="0"/>
        <w:spacing w:line="360" w:lineRule="auto"/>
        <w:ind w:firstLineChars="200" w:firstLine="420"/>
        <w:rPr>
          <w:rFonts w:ascii="宋体" w:cs="Times New Roman"/>
          <w:color w:val="000000"/>
        </w:rPr>
      </w:pPr>
    </w:p>
    <w:p w14:paraId="155437B9"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八、申购和赎回的登记</w:t>
      </w:r>
    </w:p>
    <w:p w14:paraId="5AEA6BE1" w14:textId="77777777" w:rsidR="003F75AE" w:rsidRPr="005F6D92" w:rsidRDefault="003F75AE" w:rsidP="003F75AE">
      <w:pPr>
        <w:snapToGrid w:val="0"/>
        <w:spacing w:line="360" w:lineRule="auto"/>
        <w:ind w:firstLineChars="200" w:firstLine="420"/>
        <w:rPr>
          <w:rFonts w:ascii="宋体" w:cs="Times New Roman"/>
          <w:color w:val="000000"/>
        </w:rPr>
      </w:pPr>
      <w:r w:rsidRPr="00A32CA1">
        <w:rPr>
          <w:rFonts w:ascii="宋体" w:hAnsi="宋体" w:cs="宋体" w:hint="eastAsia"/>
          <w:color w:val="000000"/>
        </w:rPr>
        <w:t>投资</w:t>
      </w:r>
      <w:r w:rsidRPr="00A32CA1">
        <w:rPr>
          <w:rFonts w:ascii="宋体" w:hAnsi="宋体" w:cs="宋体" w:hint="eastAsia"/>
        </w:rPr>
        <w:t>人</w:t>
      </w:r>
      <w:r w:rsidRPr="00115F51">
        <w:rPr>
          <w:rFonts w:ascii="宋体" w:hAnsi="宋体" w:cs="宋体" w:hint="eastAsia"/>
          <w:color w:val="000000"/>
        </w:rPr>
        <w:t>申购基金成功后，基金登记机构在</w:t>
      </w:r>
      <w:r w:rsidRPr="00115F51">
        <w:rPr>
          <w:rFonts w:ascii="宋体" w:hAnsi="宋体" w:cs="宋体"/>
          <w:color w:val="000000"/>
        </w:rPr>
        <w:t>T+1</w:t>
      </w:r>
      <w:r w:rsidRPr="00115F51">
        <w:rPr>
          <w:rFonts w:ascii="宋体" w:hAnsi="宋体" w:cs="宋体" w:hint="eastAsia"/>
          <w:color w:val="000000"/>
        </w:rPr>
        <w:t>日为投资</w:t>
      </w:r>
      <w:r w:rsidRPr="00115F51">
        <w:rPr>
          <w:rFonts w:ascii="宋体" w:hAnsi="宋体" w:cs="宋体" w:hint="eastAsia"/>
        </w:rPr>
        <w:t>人</w:t>
      </w:r>
      <w:r w:rsidRPr="00115F51">
        <w:rPr>
          <w:rFonts w:ascii="宋体" w:hAnsi="宋体" w:cs="宋体" w:hint="eastAsia"/>
          <w:color w:val="000000"/>
        </w:rPr>
        <w:t>登记权益并办理登记手续，投资</w:t>
      </w:r>
      <w:r w:rsidRPr="00115F51">
        <w:rPr>
          <w:rFonts w:ascii="宋体" w:hAnsi="宋体" w:cs="宋体" w:hint="eastAsia"/>
        </w:rPr>
        <w:t>人</w:t>
      </w:r>
      <w:r w:rsidRPr="00115F51">
        <w:rPr>
          <w:rFonts w:ascii="宋体" w:hAnsi="宋体" w:cs="宋体" w:hint="eastAsia"/>
          <w:color w:val="000000"/>
        </w:rPr>
        <w:t>自</w:t>
      </w:r>
      <w:r w:rsidRPr="005F6D92">
        <w:rPr>
          <w:rFonts w:ascii="宋体" w:hAnsi="宋体" w:cs="宋体"/>
          <w:color w:val="000000"/>
        </w:rPr>
        <w:t>T+2</w:t>
      </w:r>
      <w:r w:rsidRPr="005F6D92">
        <w:rPr>
          <w:rFonts w:ascii="宋体" w:hAnsi="宋体" w:cs="宋体" w:hint="eastAsia"/>
          <w:color w:val="000000"/>
        </w:rPr>
        <w:t>日（含该日）后有权赎回该部分基金份额。</w:t>
      </w:r>
    </w:p>
    <w:p w14:paraId="6E396F00" w14:textId="77777777" w:rsidR="003F75AE" w:rsidRPr="00DC4CEE" w:rsidRDefault="003F75AE" w:rsidP="003F75AE">
      <w:pPr>
        <w:snapToGrid w:val="0"/>
        <w:spacing w:line="360" w:lineRule="auto"/>
        <w:ind w:firstLineChars="200" w:firstLine="420"/>
        <w:rPr>
          <w:rFonts w:ascii="宋体" w:cs="Times New Roman"/>
          <w:color w:val="000000"/>
        </w:rPr>
      </w:pPr>
      <w:r w:rsidRPr="005F6D92">
        <w:rPr>
          <w:rFonts w:ascii="宋体" w:hAnsi="宋体" w:cs="宋体" w:hint="eastAsia"/>
          <w:color w:val="000000"/>
        </w:rPr>
        <w:t>投资</w:t>
      </w:r>
      <w:r w:rsidRPr="005F6D92">
        <w:rPr>
          <w:rFonts w:ascii="宋体" w:hAnsi="宋体" w:cs="宋体" w:hint="eastAsia"/>
        </w:rPr>
        <w:t>人</w:t>
      </w:r>
      <w:r w:rsidRPr="005F6D92">
        <w:rPr>
          <w:rFonts w:ascii="宋体" w:hAnsi="宋体" w:cs="宋体" w:hint="eastAsia"/>
          <w:color w:val="000000"/>
        </w:rPr>
        <w:t>赎回基金成功后，基金登记机构在</w:t>
      </w:r>
      <w:r w:rsidRPr="008B4B39">
        <w:rPr>
          <w:rFonts w:ascii="宋体" w:hAnsi="宋体" w:cs="宋体"/>
          <w:color w:val="000000"/>
        </w:rPr>
        <w:t>T+1</w:t>
      </w:r>
      <w:r w:rsidRPr="008B4B39">
        <w:rPr>
          <w:rFonts w:ascii="宋体" w:hAnsi="宋体" w:cs="宋体" w:hint="eastAsia"/>
          <w:color w:val="000000"/>
        </w:rPr>
        <w:t>日为投资</w:t>
      </w:r>
      <w:r w:rsidRPr="00DC4CEE">
        <w:rPr>
          <w:rFonts w:ascii="宋体" w:hAnsi="宋体" w:cs="宋体" w:hint="eastAsia"/>
        </w:rPr>
        <w:t>人</w:t>
      </w:r>
      <w:r w:rsidRPr="00DC4CEE">
        <w:rPr>
          <w:rFonts w:ascii="宋体" w:hAnsi="宋体" w:cs="宋体" w:hint="eastAsia"/>
          <w:color w:val="000000"/>
        </w:rPr>
        <w:t>办理扣除权益的登记手续。</w:t>
      </w:r>
    </w:p>
    <w:p w14:paraId="2C645228" w14:textId="77777777" w:rsidR="003F75AE" w:rsidRPr="00A32CA1" w:rsidRDefault="003F75AE" w:rsidP="003F75AE">
      <w:pPr>
        <w:snapToGrid w:val="0"/>
        <w:spacing w:line="360" w:lineRule="auto"/>
        <w:ind w:firstLineChars="200" w:firstLine="420"/>
        <w:rPr>
          <w:rFonts w:ascii="宋体" w:cs="Times New Roman"/>
          <w:color w:val="000000"/>
        </w:rPr>
      </w:pPr>
      <w:r w:rsidRPr="00B61A09">
        <w:rPr>
          <w:rFonts w:ascii="宋体" w:hAnsi="宋体" w:cs="宋体" w:hint="eastAsia"/>
          <w:color w:val="000000"/>
        </w:rPr>
        <w:t>基金管理人可以在法律法规允许的范围内，对上述登记办理时间进行调整，但不得实质影响投资</w:t>
      </w:r>
      <w:r w:rsidRPr="00B61A09">
        <w:rPr>
          <w:rFonts w:ascii="宋体" w:hAnsi="宋体" w:cs="宋体" w:hint="eastAsia"/>
        </w:rPr>
        <w:t>人</w:t>
      </w:r>
      <w:r w:rsidRPr="00B61A09">
        <w:rPr>
          <w:rFonts w:ascii="宋体" w:hAnsi="宋体" w:cs="宋体" w:hint="eastAsia"/>
          <w:color w:val="000000"/>
        </w:rPr>
        <w:t>的合法权益，并最迟于实施前</w:t>
      </w:r>
      <w:r w:rsidRPr="00A32CA1">
        <w:rPr>
          <w:rFonts w:ascii="宋体" w:hAnsi="宋体" w:cs="宋体" w:hint="eastAsia"/>
        </w:rPr>
        <w:t>依照《信息披露办法》的有关规定</w:t>
      </w:r>
      <w:r w:rsidRPr="00A32CA1">
        <w:rPr>
          <w:rFonts w:ascii="宋体" w:hAnsi="宋体" w:cs="宋体" w:hint="eastAsia"/>
          <w:color w:val="000000"/>
        </w:rPr>
        <w:t>在指定媒介公告。</w:t>
      </w:r>
    </w:p>
    <w:p w14:paraId="1FB08573" w14:textId="77777777" w:rsidR="003F75AE" w:rsidRPr="00A32CA1" w:rsidRDefault="003F75AE">
      <w:pPr>
        <w:autoSpaceDE w:val="0"/>
        <w:autoSpaceDN w:val="0"/>
        <w:adjustRightInd w:val="0"/>
        <w:snapToGrid w:val="0"/>
        <w:spacing w:line="360" w:lineRule="auto"/>
        <w:ind w:firstLineChars="200" w:firstLine="420"/>
        <w:rPr>
          <w:rFonts w:ascii="宋体" w:cs="Times New Roman"/>
          <w:color w:val="000000"/>
          <w:kern w:val="0"/>
        </w:rPr>
      </w:pPr>
    </w:p>
    <w:p w14:paraId="51FC5A1A"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九、拒绝或暂停申购的情形及处理方式</w:t>
      </w:r>
    </w:p>
    <w:p w14:paraId="3A7D7BD4" w14:textId="77777777" w:rsidR="002B7DB3" w:rsidRPr="002B7DB3" w:rsidRDefault="002B7DB3" w:rsidP="002B7DB3">
      <w:pPr>
        <w:adjustRightInd w:val="0"/>
        <w:snapToGrid w:val="0"/>
        <w:spacing w:line="360" w:lineRule="auto"/>
        <w:ind w:firstLineChars="200" w:firstLine="420"/>
        <w:rPr>
          <w:rFonts w:ascii="宋体" w:hAnsi="宋体" w:cs="Times New Roman"/>
          <w:bCs/>
        </w:rPr>
      </w:pPr>
      <w:r w:rsidRPr="002B7DB3">
        <w:rPr>
          <w:rFonts w:ascii="宋体" w:hAnsi="宋体" w:cs="Times New Roman"/>
          <w:bCs/>
        </w:rPr>
        <w:t>发生下列情况时，基金管理人可拒绝或暂停接受投资人的申购申请：</w:t>
      </w:r>
    </w:p>
    <w:p w14:paraId="762EC0F4"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1、因不可抗力导致基金无法正常运作。</w:t>
      </w:r>
    </w:p>
    <w:p w14:paraId="7AAD3591"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2、发生基金合同规定的暂停基金资产估值情况时。</w:t>
      </w:r>
    </w:p>
    <w:p w14:paraId="61ECEF4A"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lastRenderedPageBreak/>
        <w:t>3、证券/期货交易所交易时间非正常停市，导致基金管理人无法计算当日基金资产净值或者无法办理申购业务。</w:t>
      </w:r>
    </w:p>
    <w:p w14:paraId="59A4CE36"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4、接受某笔或某些申购申请可能会影响或损害现有基金份额持有人利益时。</w:t>
      </w:r>
    </w:p>
    <w:p w14:paraId="2287CFC6"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5、基金资产规模过大，使基金管理人无法找到合适的投资品种，或其他可能对基金业绩产生负面影响，或发生其他损害现有基金份额持有人利益的情形。</w:t>
      </w:r>
    </w:p>
    <w:p w14:paraId="4F3AB6D2"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6、当前一估值日基金资产净值50%以上的资产出现无可参考的活跃市场价格且采用估值技术</w:t>
      </w:r>
      <w:proofErr w:type="gramStart"/>
      <w:r w:rsidRPr="00EC178D">
        <w:rPr>
          <w:rFonts w:ascii="宋体" w:hAnsi="宋体" w:cs="Times New Roman" w:hint="eastAsia"/>
          <w:bCs/>
        </w:rPr>
        <w:t>仍导致</w:t>
      </w:r>
      <w:proofErr w:type="gramEnd"/>
      <w:r w:rsidRPr="00EC178D">
        <w:rPr>
          <w:rFonts w:ascii="宋体" w:hAnsi="宋体" w:cs="Times New Roman" w:hint="eastAsia"/>
          <w:bCs/>
        </w:rPr>
        <w:t>公允价值存在重大不确定性时，经与基金托管人协商确认后，基金管理人应当暂停接受基金申购申请。</w:t>
      </w:r>
    </w:p>
    <w:p w14:paraId="662D4F64" w14:textId="49C2B56D" w:rsidR="00EC178D" w:rsidRPr="00EC178D" w:rsidRDefault="00EC178D" w:rsidP="00B1690A">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7、目标ETF暂停基金资产估值，导致基金管理人无法计算当日基金资产净值。</w:t>
      </w:r>
    </w:p>
    <w:p w14:paraId="734B9A2C" w14:textId="4DB6FD66" w:rsidR="00EC178D" w:rsidRPr="00EC178D" w:rsidRDefault="00B1690A" w:rsidP="00EC178D">
      <w:pPr>
        <w:adjustRightInd w:val="0"/>
        <w:snapToGrid w:val="0"/>
        <w:spacing w:line="360" w:lineRule="auto"/>
        <w:ind w:firstLineChars="200" w:firstLine="420"/>
        <w:rPr>
          <w:rFonts w:ascii="宋体" w:hAnsi="宋体" w:cs="Times New Roman"/>
          <w:bCs/>
        </w:rPr>
      </w:pPr>
      <w:r>
        <w:rPr>
          <w:rFonts w:ascii="宋体" w:hAnsi="宋体" w:cs="Times New Roman"/>
          <w:bCs/>
        </w:rPr>
        <w:t>8</w:t>
      </w:r>
      <w:r w:rsidR="00EC178D" w:rsidRPr="00EC178D">
        <w:rPr>
          <w:rFonts w:ascii="宋体" w:hAnsi="宋体" w:cs="Times New Roman" w:hint="eastAsia"/>
          <w:bCs/>
        </w:rPr>
        <w:t>、目标ETF暂停申购或二级市场交易停牌，基金管理人认为有必要暂停本基金申购的情形。</w:t>
      </w:r>
    </w:p>
    <w:p w14:paraId="36668AF0" w14:textId="002413FD" w:rsidR="00EC178D" w:rsidRPr="00EC178D" w:rsidRDefault="00B1690A" w:rsidP="00EC178D">
      <w:pPr>
        <w:adjustRightInd w:val="0"/>
        <w:snapToGrid w:val="0"/>
        <w:spacing w:line="360" w:lineRule="auto"/>
        <w:ind w:firstLineChars="200" w:firstLine="420"/>
        <w:rPr>
          <w:rFonts w:ascii="宋体" w:hAnsi="宋体" w:cs="Times New Roman"/>
          <w:bCs/>
        </w:rPr>
      </w:pPr>
      <w:r>
        <w:rPr>
          <w:rFonts w:ascii="宋体" w:hAnsi="宋体" w:cs="Times New Roman"/>
          <w:bCs/>
        </w:rPr>
        <w:t>9</w:t>
      </w:r>
      <w:r w:rsidR="00EC178D" w:rsidRPr="00EC178D">
        <w:rPr>
          <w:rFonts w:ascii="宋体" w:hAnsi="宋体" w:cs="Times New Roman" w:hint="eastAsia"/>
          <w:bCs/>
        </w:rPr>
        <w:t>、法律法规规定或中国证监会认定的其他情形。</w:t>
      </w:r>
    </w:p>
    <w:p w14:paraId="571E78BA" w14:textId="6D79A0DE" w:rsidR="002B7DB3" w:rsidRPr="002B7DB3" w:rsidRDefault="00EC178D" w:rsidP="002B7DB3">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发生上述第1、2、3、5、6、7、8、9项暂停申购情形之一</w:t>
      </w:r>
      <w:proofErr w:type="gramStart"/>
      <w:r w:rsidRPr="00EC178D">
        <w:rPr>
          <w:rFonts w:ascii="宋体" w:hAnsi="宋体" w:cs="Times New Roman" w:hint="eastAsia"/>
          <w:bCs/>
        </w:rPr>
        <w:t>且基金</w:t>
      </w:r>
      <w:proofErr w:type="gramEnd"/>
      <w:r w:rsidRPr="00EC178D">
        <w:rPr>
          <w:rFonts w:ascii="宋体" w:hAnsi="宋体" w:cs="Times New Roman" w:hint="eastAsia"/>
          <w:bCs/>
        </w:rPr>
        <w:t>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3009BF82" w14:textId="77777777" w:rsidR="003F75AE" w:rsidRPr="00B61A09" w:rsidRDefault="003F75AE">
      <w:pPr>
        <w:snapToGrid w:val="0"/>
        <w:spacing w:line="360" w:lineRule="auto"/>
        <w:ind w:firstLineChars="200" w:firstLine="420"/>
        <w:rPr>
          <w:rFonts w:cs="Times New Roman"/>
        </w:rPr>
      </w:pPr>
      <w:bookmarkStart w:id="88" w:name="_Hlt70481650"/>
      <w:bookmarkEnd w:id="88"/>
    </w:p>
    <w:p w14:paraId="0104B72C"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十、暂停赎回或延缓支付赎回款项的情形</w:t>
      </w:r>
    </w:p>
    <w:p w14:paraId="5013F068" w14:textId="77777777" w:rsidR="002B7DB3" w:rsidRPr="002B7DB3" w:rsidRDefault="002B7DB3" w:rsidP="002B7DB3">
      <w:pPr>
        <w:adjustRightInd w:val="0"/>
        <w:snapToGrid w:val="0"/>
        <w:spacing w:line="360" w:lineRule="auto"/>
        <w:ind w:firstLineChars="200" w:firstLine="420"/>
        <w:rPr>
          <w:rFonts w:ascii="宋体" w:hAnsi="宋体" w:cs="Times New Roman"/>
          <w:bCs/>
        </w:rPr>
      </w:pPr>
      <w:r w:rsidRPr="002B7DB3">
        <w:rPr>
          <w:rFonts w:ascii="宋体" w:hAnsi="宋体" w:cs="Times New Roman"/>
          <w:bCs/>
        </w:rPr>
        <w:t>发生下列情形时，基金管理人可暂停接受投资人的赎回申请或延缓支付赎回款项：</w:t>
      </w:r>
    </w:p>
    <w:p w14:paraId="7D63D069"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1、因不可抗力导致基金管理人不能支付赎回款项。</w:t>
      </w:r>
    </w:p>
    <w:p w14:paraId="793F3A70"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2、发生基金合同规定的暂停基金资产估值情况时。</w:t>
      </w:r>
    </w:p>
    <w:p w14:paraId="09B1C2EB" w14:textId="6ECF3BBA"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3、证券</w:t>
      </w:r>
      <w:r w:rsidR="00E60669" w:rsidRPr="00E60669">
        <w:rPr>
          <w:rFonts w:ascii="宋体" w:hAnsi="宋体" w:cs="Times New Roman" w:hint="eastAsia"/>
          <w:bCs/>
        </w:rPr>
        <w:t>/期货</w:t>
      </w:r>
      <w:r w:rsidRPr="00EC178D">
        <w:rPr>
          <w:rFonts w:ascii="宋体" w:hAnsi="宋体" w:cs="Times New Roman" w:hint="eastAsia"/>
          <w:bCs/>
        </w:rPr>
        <w:t>交易所交易时间非正常停市，导致基金管理人无法计算当日基金资产净值或者无法办理赎回业务。</w:t>
      </w:r>
    </w:p>
    <w:p w14:paraId="038F57F7"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4、连续两个或两个以上开放日发生巨额赎回。</w:t>
      </w:r>
    </w:p>
    <w:p w14:paraId="2D2E40C0"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5、发生继续接受赎回申请将损害现有基金份额持有人利益的情形时，基金管理人可暂停接受基金份额持有人的赎回申请。</w:t>
      </w:r>
    </w:p>
    <w:p w14:paraId="6276CB0F"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6、当前一估值日基金资产净值50%以上的资产出现无可参考的活跃市场价格且采用估值技术</w:t>
      </w:r>
      <w:proofErr w:type="gramStart"/>
      <w:r w:rsidRPr="00EC178D">
        <w:rPr>
          <w:rFonts w:ascii="宋体" w:hAnsi="宋体" w:cs="Times New Roman" w:hint="eastAsia"/>
          <w:bCs/>
        </w:rPr>
        <w:t>仍导致</w:t>
      </w:r>
      <w:proofErr w:type="gramEnd"/>
      <w:r w:rsidRPr="00EC178D">
        <w:rPr>
          <w:rFonts w:ascii="宋体" w:hAnsi="宋体" w:cs="Times New Roman" w:hint="eastAsia"/>
          <w:bCs/>
        </w:rPr>
        <w:t>公允价值存在重大不确定性时，经与基金托管人协商确认后，基金管理人应当延缓支付赎回款项或暂停接受基金赎回申请。</w:t>
      </w:r>
    </w:p>
    <w:p w14:paraId="0258D8F7"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7、目标ETF暂停基金资产估值，导致基金管理人无法计算当日基金资产净值。</w:t>
      </w:r>
    </w:p>
    <w:p w14:paraId="25883F65"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8、目标ETF暂停赎回或二级市场交易停牌或延缓支付赎回对价，基金管理人认为有必要暂停本基金赎回的情形。</w:t>
      </w:r>
    </w:p>
    <w:p w14:paraId="76F4B9FE"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9、法律法规规定或中国证监会认定的其他情形。</w:t>
      </w:r>
    </w:p>
    <w:p w14:paraId="5D73BDED" w14:textId="0300B6A9" w:rsidR="002B7DB3" w:rsidRPr="002B7DB3" w:rsidRDefault="00EC178D" w:rsidP="002B7DB3">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发生上述情形之一</w:t>
      </w:r>
      <w:proofErr w:type="gramStart"/>
      <w:r w:rsidRPr="00EC178D">
        <w:rPr>
          <w:rFonts w:ascii="宋体" w:hAnsi="宋体" w:cs="Times New Roman" w:hint="eastAsia"/>
          <w:bCs/>
        </w:rPr>
        <w:t>且基金</w:t>
      </w:r>
      <w:proofErr w:type="gramEnd"/>
      <w:r w:rsidRPr="00EC178D">
        <w:rPr>
          <w:rFonts w:ascii="宋体" w:hAnsi="宋体" w:cs="Times New Roman" w:hint="eastAsia"/>
          <w:bCs/>
        </w:rPr>
        <w:t>管理人决定暂停接受基金份额持有人的赎回申请或延缓支付</w:t>
      </w:r>
      <w:r w:rsidRPr="00EC178D">
        <w:rPr>
          <w:rFonts w:ascii="宋体" w:hAnsi="宋体" w:cs="Times New Roman" w:hint="eastAsia"/>
          <w:bCs/>
        </w:rPr>
        <w:lastRenderedPageBreak/>
        <w:t>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7A9FD269" w14:textId="77777777" w:rsidR="003F75AE" w:rsidRPr="00DC4CEE" w:rsidRDefault="003F75AE">
      <w:pPr>
        <w:snapToGrid w:val="0"/>
        <w:spacing w:line="360" w:lineRule="auto"/>
        <w:rPr>
          <w:rFonts w:ascii="宋体" w:cs="Times New Roman"/>
          <w:color w:val="000000"/>
        </w:rPr>
      </w:pPr>
    </w:p>
    <w:p w14:paraId="6057FFFA"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十一、巨额赎回的情形及处理方式</w:t>
      </w:r>
    </w:p>
    <w:p w14:paraId="4C834026"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1</w:t>
      </w:r>
      <w:r w:rsidRPr="00EC178D">
        <w:rPr>
          <w:rFonts w:ascii="Calibri" w:hAnsi="Calibri" w:cs="Calibri" w:hint="eastAsia"/>
          <w:sz w:val="21"/>
          <w:szCs w:val="21"/>
        </w:rPr>
        <w:t>、巨额赎回的认定</w:t>
      </w:r>
    </w:p>
    <w:p w14:paraId="6240D2C3"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若本基金单个开放日内的基金份额净赎回申请</w:t>
      </w:r>
      <w:r w:rsidRPr="00EC178D">
        <w:rPr>
          <w:rFonts w:ascii="Calibri" w:hAnsi="Calibri" w:cs="Calibri" w:hint="eastAsia"/>
          <w:sz w:val="21"/>
          <w:szCs w:val="21"/>
        </w:rPr>
        <w:t>(</w:t>
      </w:r>
      <w:r w:rsidRPr="00EC178D">
        <w:rPr>
          <w:rFonts w:ascii="Calibri" w:hAnsi="Calibri" w:cs="Calibri" w:hint="eastAsia"/>
          <w:sz w:val="21"/>
          <w:szCs w:val="21"/>
        </w:rPr>
        <w:t>赎回申请份额总数加上基金转换中转出申请份额总数后扣除申购申请份额总数及基金转换中转入申请份额总数后的余额</w:t>
      </w:r>
      <w:r w:rsidRPr="00EC178D">
        <w:rPr>
          <w:rFonts w:ascii="Calibri" w:hAnsi="Calibri" w:cs="Calibri" w:hint="eastAsia"/>
          <w:sz w:val="21"/>
          <w:szCs w:val="21"/>
        </w:rPr>
        <w:t>)</w:t>
      </w:r>
      <w:r w:rsidRPr="00EC178D">
        <w:rPr>
          <w:rFonts w:ascii="Calibri" w:hAnsi="Calibri" w:cs="Calibri" w:hint="eastAsia"/>
          <w:sz w:val="21"/>
          <w:szCs w:val="21"/>
        </w:rPr>
        <w:t>超过前一开放日的基金总份额的</w:t>
      </w:r>
      <w:r w:rsidRPr="00EC178D">
        <w:rPr>
          <w:rFonts w:ascii="Calibri" w:hAnsi="Calibri" w:cs="Calibri" w:hint="eastAsia"/>
          <w:sz w:val="21"/>
          <w:szCs w:val="21"/>
        </w:rPr>
        <w:t>10%</w:t>
      </w:r>
      <w:r w:rsidRPr="00EC178D">
        <w:rPr>
          <w:rFonts w:ascii="Calibri" w:hAnsi="Calibri" w:cs="Calibri" w:hint="eastAsia"/>
          <w:sz w:val="21"/>
          <w:szCs w:val="21"/>
        </w:rPr>
        <w:t>，即认为是发生了巨额赎回。</w:t>
      </w:r>
    </w:p>
    <w:p w14:paraId="6BE25E53"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2</w:t>
      </w:r>
      <w:r w:rsidRPr="00EC178D">
        <w:rPr>
          <w:rFonts w:ascii="Calibri" w:hAnsi="Calibri" w:cs="Calibri" w:hint="eastAsia"/>
          <w:sz w:val="21"/>
          <w:szCs w:val="21"/>
        </w:rPr>
        <w:t>、巨额赎回的处理方式</w:t>
      </w:r>
    </w:p>
    <w:p w14:paraId="66498E09"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当基金出现巨额赎回时，基金管理人可以根据基金当时的资产组合状况决定全额赎回或部分延期赎回。</w:t>
      </w:r>
    </w:p>
    <w:p w14:paraId="2EDAE116"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w:t>
      </w:r>
      <w:r w:rsidRPr="00EC178D">
        <w:rPr>
          <w:rFonts w:ascii="Calibri" w:hAnsi="Calibri" w:cs="Calibri" w:hint="eastAsia"/>
          <w:sz w:val="21"/>
          <w:szCs w:val="21"/>
        </w:rPr>
        <w:t>1</w:t>
      </w:r>
      <w:r w:rsidRPr="00EC178D">
        <w:rPr>
          <w:rFonts w:ascii="Calibri" w:hAnsi="Calibri" w:cs="Calibri" w:hint="eastAsia"/>
          <w:sz w:val="21"/>
          <w:szCs w:val="21"/>
        </w:rPr>
        <w:t>）全额赎回：当基金管理人认为有能力支付投资人的全部赎回申请时，按正常赎回程序执行。</w:t>
      </w:r>
    </w:p>
    <w:p w14:paraId="1DF9DF76"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w:t>
      </w:r>
      <w:r w:rsidRPr="00EC178D">
        <w:rPr>
          <w:rFonts w:ascii="Calibri" w:hAnsi="Calibri" w:cs="Calibri" w:hint="eastAsia"/>
          <w:sz w:val="21"/>
          <w:szCs w:val="21"/>
        </w:rPr>
        <w:t>2</w:t>
      </w:r>
      <w:r w:rsidRPr="00EC178D">
        <w:rPr>
          <w:rFonts w:ascii="Calibri" w:hAnsi="Calibri" w:cs="Calibri" w:hint="eastAsia"/>
          <w:sz w:val="2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178D">
        <w:rPr>
          <w:rFonts w:ascii="Calibri" w:hAnsi="Calibri" w:cs="Calibri" w:hint="eastAsia"/>
          <w:sz w:val="21"/>
          <w:szCs w:val="21"/>
        </w:rPr>
        <w:t>10%</w:t>
      </w:r>
      <w:r w:rsidRPr="00EC178D">
        <w:rPr>
          <w:rFonts w:ascii="Calibri" w:hAnsi="Calibri" w:cs="Calibri" w:hint="eastAsia"/>
          <w:sz w:val="2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C178D">
        <w:rPr>
          <w:rFonts w:ascii="Calibri" w:hAnsi="Calibri" w:cs="Calibri" w:hint="eastAsia"/>
          <w:sz w:val="21"/>
          <w:szCs w:val="21"/>
        </w:rPr>
        <w:t>并以下</w:t>
      </w:r>
      <w:proofErr w:type="gramEnd"/>
      <w:r w:rsidRPr="00EC178D">
        <w:rPr>
          <w:rFonts w:ascii="Calibri" w:hAnsi="Calibri" w:cs="Calibri" w:hint="eastAsia"/>
          <w:sz w:val="21"/>
          <w:szCs w:val="21"/>
        </w:rPr>
        <w:t>一开放日的基金份额净值为基础计算赎回金额，以此类推，直到全部赎回为止。如投资人在提交赎回申请时未作明确选择，投资人未能赎回部分作自动延期赎回处理。</w:t>
      </w:r>
    </w:p>
    <w:p w14:paraId="15FE7CE0"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w:t>
      </w:r>
      <w:r w:rsidRPr="00EC178D">
        <w:rPr>
          <w:rFonts w:ascii="Calibri" w:hAnsi="Calibri" w:cs="Calibri" w:hint="eastAsia"/>
          <w:sz w:val="21"/>
          <w:szCs w:val="21"/>
        </w:rPr>
        <w:t>3</w:t>
      </w:r>
      <w:r w:rsidRPr="00EC178D">
        <w:rPr>
          <w:rFonts w:ascii="Calibri" w:hAnsi="Calibri" w:cs="Calibri" w:hint="eastAsia"/>
          <w:sz w:val="21"/>
          <w:szCs w:val="21"/>
        </w:rPr>
        <w:t>）如发生单个开放日内单个基金份额持有人申请赎回的基金份额超过前一开放日的基金总份额的</w:t>
      </w:r>
      <w:r w:rsidRPr="00EC178D">
        <w:rPr>
          <w:rFonts w:ascii="Calibri" w:hAnsi="Calibri" w:cs="Calibri" w:hint="eastAsia"/>
          <w:sz w:val="21"/>
          <w:szCs w:val="21"/>
        </w:rPr>
        <w:t>30%</w:t>
      </w:r>
      <w:r w:rsidRPr="00EC178D">
        <w:rPr>
          <w:rFonts w:ascii="Calibri" w:hAnsi="Calibri" w:cs="Calibri" w:hint="eastAsia"/>
          <w:sz w:val="21"/>
          <w:szCs w:val="21"/>
        </w:rPr>
        <w:t>时，本基金管理人可以对该单个基金份额持有人持有的赎回申请实施延期办理。如基金管理人对于其超过基金总份额</w:t>
      </w:r>
      <w:r w:rsidRPr="00EC178D">
        <w:rPr>
          <w:rFonts w:ascii="Calibri" w:hAnsi="Calibri" w:cs="Calibri" w:hint="eastAsia"/>
          <w:sz w:val="21"/>
          <w:szCs w:val="21"/>
        </w:rPr>
        <w:t>30%</w:t>
      </w:r>
      <w:r w:rsidRPr="00EC178D">
        <w:rPr>
          <w:rFonts w:ascii="Calibri" w:hAnsi="Calibri" w:cs="Calibri" w:hint="eastAsia"/>
          <w:sz w:val="21"/>
          <w:szCs w:val="21"/>
        </w:rPr>
        <w:t>以上部分的赎回申请实施延期办理，延期的赎回申请与下一开放日赎回申请一并处理，无优先权</w:t>
      </w:r>
      <w:proofErr w:type="gramStart"/>
      <w:r w:rsidRPr="00EC178D">
        <w:rPr>
          <w:rFonts w:ascii="Calibri" w:hAnsi="Calibri" w:cs="Calibri" w:hint="eastAsia"/>
          <w:sz w:val="21"/>
          <w:szCs w:val="21"/>
        </w:rPr>
        <w:t>并以下</w:t>
      </w:r>
      <w:proofErr w:type="gramEnd"/>
      <w:r w:rsidRPr="00EC178D">
        <w:rPr>
          <w:rFonts w:ascii="Calibri" w:hAnsi="Calibri" w:cs="Calibri" w:hint="eastAsia"/>
          <w:sz w:val="21"/>
          <w:szCs w:val="21"/>
        </w:rPr>
        <w:t>一开放日的基金份额净值为基础计算赎回金额，以此类推，直到全部赎回为止；如基金管理人只接受其基金总份额</w:t>
      </w:r>
      <w:r w:rsidRPr="00EC178D">
        <w:rPr>
          <w:rFonts w:ascii="Calibri" w:hAnsi="Calibri" w:cs="Calibri" w:hint="eastAsia"/>
          <w:sz w:val="21"/>
          <w:szCs w:val="21"/>
        </w:rPr>
        <w:t>30%</w:t>
      </w:r>
      <w:r w:rsidRPr="00EC178D">
        <w:rPr>
          <w:rFonts w:ascii="Calibri" w:hAnsi="Calibri" w:cs="Calibri" w:hint="eastAsia"/>
          <w:sz w:val="21"/>
          <w:szCs w:val="21"/>
        </w:rPr>
        <w:t>部分作为当日有效赎回申请，基金管理人可以根据前述“（</w:t>
      </w:r>
      <w:r w:rsidRPr="00EC178D">
        <w:rPr>
          <w:rFonts w:ascii="Calibri" w:hAnsi="Calibri" w:cs="Calibri" w:hint="eastAsia"/>
          <w:sz w:val="21"/>
          <w:szCs w:val="21"/>
        </w:rPr>
        <w:t>1</w:t>
      </w:r>
      <w:r w:rsidRPr="00EC178D">
        <w:rPr>
          <w:rFonts w:ascii="Calibri" w:hAnsi="Calibri" w:cs="Calibri" w:hint="eastAsia"/>
          <w:sz w:val="21"/>
          <w:szCs w:val="21"/>
        </w:rPr>
        <w:t>）全额赎回”或“（</w:t>
      </w:r>
      <w:r w:rsidRPr="00EC178D">
        <w:rPr>
          <w:rFonts w:ascii="Calibri" w:hAnsi="Calibri" w:cs="Calibri" w:hint="eastAsia"/>
          <w:sz w:val="21"/>
          <w:szCs w:val="21"/>
        </w:rPr>
        <w:t>2</w:t>
      </w:r>
      <w:r w:rsidRPr="00EC178D">
        <w:rPr>
          <w:rFonts w:ascii="Calibri" w:hAnsi="Calibri" w:cs="Calibri" w:hint="eastAsia"/>
          <w:sz w:val="21"/>
          <w:szCs w:val="21"/>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w:t>
      </w:r>
      <w:r w:rsidRPr="00EC178D">
        <w:rPr>
          <w:rFonts w:ascii="Calibri" w:hAnsi="Calibri" w:cs="Calibri" w:hint="eastAsia"/>
          <w:sz w:val="21"/>
          <w:szCs w:val="21"/>
        </w:rPr>
        <w:lastRenderedPageBreak/>
        <w:t>资人未能赎回部分作自动延期赎回处理。</w:t>
      </w:r>
    </w:p>
    <w:p w14:paraId="5F094A08"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w:t>
      </w:r>
      <w:r w:rsidRPr="00EC178D">
        <w:rPr>
          <w:rFonts w:ascii="Calibri" w:hAnsi="Calibri" w:cs="Calibri" w:hint="eastAsia"/>
          <w:sz w:val="21"/>
          <w:szCs w:val="21"/>
        </w:rPr>
        <w:t>4</w:t>
      </w:r>
      <w:r w:rsidRPr="00EC178D">
        <w:rPr>
          <w:rFonts w:ascii="Calibri" w:hAnsi="Calibri" w:cs="Calibri" w:hint="eastAsia"/>
          <w:sz w:val="21"/>
          <w:szCs w:val="21"/>
        </w:rPr>
        <w:t>）暂停赎回：连续</w:t>
      </w:r>
      <w:r w:rsidRPr="00EC178D">
        <w:rPr>
          <w:rFonts w:ascii="Calibri" w:hAnsi="Calibri" w:cs="Calibri" w:hint="eastAsia"/>
          <w:sz w:val="21"/>
          <w:szCs w:val="21"/>
        </w:rPr>
        <w:t>2</w:t>
      </w:r>
      <w:r w:rsidRPr="00EC178D">
        <w:rPr>
          <w:rFonts w:ascii="Calibri" w:hAnsi="Calibri" w:cs="Calibri" w:hint="eastAsia"/>
          <w:sz w:val="21"/>
          <w:szCs w:val="21"/>
        </w:rPr>
        <w:t>个开放日以上</w:t>
      </w:r>
      <w:r w:rsidRPr="00EC178D">
        <w:rPr>
          <w:rFonts w:ascii="Calibri" w:hAnsi="Calibri" w:cs="Calibri" w:hint="eastAsia"/>
          <w:sz w:val="21"/>
          <w:szCs w:val="21"/>
        </w:rPr>
        <w:t>(</w:t>
      </w:r>
      <w:r w:rsidRPr="00EC178D">
        <w:rPr>
          <w:rFonts w:ascii="Calibri" w:hAnsi="Calibri" w:cs="Calibri" w:hint="eastAsia"/>
          <w:sz w:val="21"/>
          <w:szCs w:val="21"/>
        </w:rPr>
        <w:t>含本数</w:t>
      </w:r>
      <w:r w:rsidRPr="00EC178D">
        <w:rPr>
          <w:rFonts w:ascii="Calibri" w:hAnsi="Calibri" w:cs="Calibri" w:hint="eastAsia"/>
          <w:sz w:val="21"/>
          <w:szCs w:val="21"/>
        </w:rPr>
        <w:t>)</w:t>
      </w:r>
      <w:r w:rsidRPr="00EC178D">
        <w:rPr>
          <w:rFonts w:ascii="Calibri" w:hAnsi="Calibri" w:cs="Calibri" w:hint="eastAsia"/>
          <w:sz w:val="21"/>
          <w:szCs w:val="21"/>
        </w:rPr>
        <w:t>发生巨额赎回，如基金管理人认为有必要，可暂停接受基金的赎回申请；已经接受的赎回申请可以延缓支付赎回款项，但不得超过</w:t>
      </w:r>
      <w:r w:rsidRPr="00EC178D">
        <w:rPr>
          <w:rFonts w:ascii="Calibri" w:hAnsi="Calibri" w:cs="Calibri" w:hint="eastAsia"/>
          <w:sz w:val="21"/>
          <w:szCs w:val="21"/>
        </w:rPr>
        <w:t>20</w:t>
      </w:r>
      <w:r w:rsidRPr="00EC178D">
        <w:rPr>
          <w:rFonts w:ascii="Calibri" w:hAnsi="Calibri" w:cs="Calibri" w:hint="eastAsia"/>
          <w:sz w:val="21"/>
          <w:szCs w:val="21"/>
        </w:rPr>
        <w:t>个工作日，并应当在指定媒介上进行公告。</w:t>
      </w:r>
    </w:p>
    <w:p w14:paraId="0269F8A4"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3</w:t>
      </w:r>
      <w:r w:rsidRPr="00EC178D">
        <w:rPr>
          <w:rFonts w:ascii="Calibri" w:hAnsi="Calibri" w:cs="Calibri" w:hint="eastAsia"/>
          <w:sz w:val="21"/>
          <w:szCs w:val="21"/>
        </w:rPr>
        <w:t>、巨额赎回的公告</w:t>
      </w:r>
    </w:p>
    <w:p w14:paraId="1F302D52" w14:textId="6E1D4358" w:rsidR="003F75AE" w:rsidRPr="00115F51" w:rsidRDefault="00EC178D">
      <w:pPr>
        <w:snapToGrid w:val="0"/>
        <w:spacing w:line="360" w:lineRule="auto"/>
        <w:ind w:firstLineChars="200" w:firstLine="420"/>
        <w:rPr>
          <w:rFonts w:cs="Times New Roman"/>
        </w:rPr>
      </w:pPr>
      <w:r w:rsidRPr="00EC178D">
        <w:rPr>
          <w:rFonts w:hint="eastAsia"/>
        </w:rPr>
        <w:t>当发生上述巨额赎回并延期办理时，基金管理人应当通过邮寄、传真或者其他方式（包括但不限于短信、电子邮件或由基金销售机构通知等方式）在</w:t>
      </w:r>
      <w:r w:rsidRPr="00EC178D">
        <w:rPr>
          <w:rFonts w:hint="eastAsia"/>
        </w:rPr>
        <w:t>3</w:t>
      </w:r>
      <w:r w:rsidRPr="00EC178D">
        <w:rPr>
          <w:rFonts w:hint="eastAsia"/>
        </w:rPr>
        <w:t>个交易日内通知基金份额持有人，说明有关处理方法，并在两日内在指定媒介上刊登公告。</w:t>
      </w:r>
    </w:p>
    <w:p w14:paraId="16476BC6" w14:textId="77777777" w:rsidR="003F75AE" w:rsidRPr="005F6D92" w:rsidRDefault="003F75AE">
      <w:pPr>
        <w:snapToGrid w:val="0"/>
        <w:spacing w:line="360" w:lineRule="auto"/>
        <w:ind w:firstLineChars="200" w:firstLine="420"/>
        <w:rPr>
          <w:rFonts w:cs="Times New Roman"/>
        </w:rPr>
      </w:pPr>
    </w:p>
    <w:p w14:paraId="4CFE3B42"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十二、暂停申购或赎回的公告和重新开放申购或赎回的公告</w:t>
      </w:r>
    </w:p>
    <w:p w14:paraId="7718B9F7" w14:textId="77777777" w:rsidR="00EC178D" w:rsidRDefault="00EC178D" w:rsidP="00EC178D">
      <w:pPr>
        <w:snapToGrid w:val="0"/>
        <w:spacing w:line="360" w:lineRule="auto"/>
        <w:ind w:firstLineChars="200" w:firstLine="420"/>
      </w:pPr>
      <w:r>
        <w:rPr>
          <w:rFonts w:hint="eastAsia"/>
        </w:rPr>
        <w:t>1</w:t>
      </w:r>
      <w:r>
        <w:rPr>
          <w:rFonts w:hint="eastAsia"/>
        </w:rPr>
        <w:t>、发生上述暂停申购或赎回情况的，基金管理人应及时向中国证监会备案，并在规定期限内在指定媒介上刊登暂停公告。</w:t>
      </w:r>
    </w:p>
    <w:p w14:paraId="7D90F51E" w14:textId="24371CF4" w:rsidR="003F75AE" w:rsidRPr="005F6D92" w:rsidRDefault="00EC178D" w:rsidP="003F75AE">
      <w:pPr>
        <w:snapToGrid w:val="0"/>
        <w:spacing w:line="360" w:lineRule="auto"/>
        <w:ind w:firstLineChars="200" w:firstLine="420"/>
        <w:rPr>
          <w:rFonts w:ascii="宋体" w:cs="Times New Roman"/>
        </w:rPr>
      </w:pPr>
      <w:r>
        <w:rPr>
          <w:rFonts w:hint="eastAsia"/>
        </w:rPr>
        <w:t>2</w:t>
      </w:r>
      <w:r>
        <w:rPr>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3D188B1E" w14:textId="77777777" w:rsidR="003F75AE" w:rsidRPr="005F6D92" w:rsidRDefault="003F75AE" w:rsidP="003F75AE">
      <w:pPr>
        <w:snapToGrid w:val="0"/>
        <w:spacing w:line="360" w:lineRule="auto"/>
        <w:ind w:firstLineChars="200" w:firstLine="420"/>
        <w:rPr>
          <w:rFonts w:ascii="宋体" w:cs="Times New Roman"/>
        </w:rPr>
      </w:pPr>
    </w:p>
    <w:p w14:paraId="719DC441"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十三、基金转换</w:t>
      </w:r>
    </w:p>
    <w:p w14:paraId="4C7EE0F5" w14:textId="5D6B0F81" w:rsidR="003F75AE" w:rsidRPr="00115F51" w:rsidRDefault="00EC178D" w:rsidP="003F75AE">
      <w:pPr>
        <w:snapToGrid w:val="0"/>
        <w:spacing w:line="360" w:lineRule="auto"/>
        <w:ind w:firstLineChars="200" w:firstLine="420"/>
        <w:rPr>
          <w:rFonts w:cs="Times New Roman"/>
        </w:rPr>
      </w:pPr>
      <w:r w:rsidRPr="00EC178D">
        <w:rPr>
          <w:rFonts w:cs="宋体"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14:paraId="3A88EDD9" w14:textId="77777777" w:rsidR="003F75AE" w:rsidRPr="00115F51" w:rsidRDefault="003F75AE" w:rsidP="003F75AE">
      <w:pPr>
        <w:snapToGrid w:val="0"/>
        <w:spacing w:line="360" w:lineRule="auto"/>
        <w:ind w:firstLineChars="200" w:firstLine="420"/>
        <w:rPr>
          <w:rFonts w:cs="Times New Roman"/>
        </w:rPr>
      </w:pPr>
    </w:p>
    <w:p w14:paraId="32196551"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十四、基金的</w:t>
      </w:r>
      <w:proofErr w:type="gramStart"/>
      <w:r w:rsidRPr="00FD4390">
        <w:rPr>
          <w:rFonts w:cs="宋体" w:hint="eastAsia"/>
          <w:bCs/>
        </w:rPr>
        <w:t>非交易</w:t>
      </w:r>
      <w:proofErr w:type="gramEnd"/>
      <w:r w:rsidRPr="00FD4390">
        <w:rPr>
          <w:rFonts w:cs="宋体" w:hint="eastAsia"/>
          <w:bCs/>
        </w:rPr>
        <w:t>过户</w:t>
      </w:r>
    </w:p>
    <w:p w14:paraId="3EF0FA7A" w14:textId="77777777" w:rsidR="00EC178D" w:rsidRPr="00EC178D" w:rsidRDefault="00EC178D" w:rsidP="00EC178D">
      <w:pPr>
        <w:snapToGrid w:val="0"/>
        <w:spacing w:line="360" w:lineRule="auto"/>
        <w:ind w:firstLineChars="200" w:firstLine="420"/>
        <w:rPr>
          <w:rFonts w:cs="宋体"/>
        </w:rPr>
      </w:pPr>
      <w:r w:rsidRPr="00EC178D">
        <w:rPr>
          <w:rFonts w:cs="宋体" w:hint="eastAsia"/>
        </w:rPr>
        <w:t>基金的</w:t>
      </w:r>
      <w:proofErr w:type="gramStart"/>
      <w:r w:rsidRPr="00EC178D">
        <w:rPr>
          <w:rFonts w:cs="宋体" w:hint="eastAsia"/>
        </w:rPr>
        <w:t>非交易</w:t>
      </w:r>
      <w:proofErr w:type="gramEnd"/>
      <w:r w:rsidRPr="00EC178D">
        <w:rPr>
          <w:rFonts w:cs="宋体" w:hint="eastAsia"/>
        </w:rPr>
        <w:t>过户是指基金登记机构受理继承、捐赠和司法强制执行等情形而产生的</w:t>
      </w:r>
      <w:proofErr w:type="gramStart"/>
      <w:r w:rsidRPr="00EC178D">
        <w:rPr>
          <w:rFonts w:cs="宋体" w:hint="eastAsia"/>
        </w:rPr>
        <w:t>非交易</w:t>
      </w:r>
      <w:proofErr w:type="gramEnd"/>
      <w:r w:rsidRPr="00EC178D">
        <w:rPr>
          <w:rFonts w:cs="宋体" w:hint="eastAsia"/>
        </w:rPr>
        <w:t>过户以及登记机构认可、符合法律法规的其他</w:t>
      </w:r>
      <w:proofErr w:type="gramStart"/>
      <w:r w:rsidRPr="00EC178D">
        <w:rPr>
          <w:rFonts w:cs="宋体" w:hint="eastAsia"/>
        </w:rPr>
        <w:t>非交易</w:t>
      </w:r>
      <w:proofErr w:type="gramEnd"/>
      <w:r w:rsidRPr="00EC178D">
        <w:rPr>
          <w:rFonts w:cs="宋体" w:hint="eastAsia"/>
        </w:rPr>
        <w:t>过户。无论在上述何种情况下，接受划转的主体必须是依法可以持有本</w:t>
      </w:r>
      <w:proofErr w:type="gramStart"/>
      <w:r w:rsidRPr="00EC178D">
        <w:rPr>
          <w:rFonts w:cs="宋体" w:hint="eastAsia"/>
        </w:rPr>
        <w:t>基金基金</w:t>
      </w:r>
      <w:proofErr w:type="gramEnd"/>
      <w:r w:rsidRPr="00EC178D">
        <w:rPr>
          <w:rFonts w:cs="宋体" w:hint="eastAsia"/>
        </w:rPr>
        <w:t>份额的投资人。</w:t>
      </w:r>
    </w:p>
    <w:p w14:paraId="151E27B6" w14:textId="1EB69A03" w:rsidR="003F75AE" w:rsidRPr="005F6D92" w:rsidRDefault="00EC178D" w:rsidP="003F75AE">
      <w:pPr>
        <w:snapToGrid w:val="0"/>
        <w:spacing w:line="360" w:lineRule="auto"/>
        <w:ind w:firstLineChars="200" w:firstLine="420"/>
        <w:rPr>
          <w:rFonts w:ascii="宋体" w:cs="Times New Roman"/>
        </w:rPr>
      </w:pPr>
      <w:r w:rsidRPr="00EC178D">
        <w:rPr>
          <w:rFonts w:cs="宋体" w:hint="eastAsia"/>
        </w:rPr>
        <w:t>继承是指基金份额持有人死亡，其持有的基金份额由其合法的继承人继承；</w:t>
      </w:r>
      <w:proofErr w:type="gramStart"/>
      <w:r w:rsidRPr="00EC178D">
        <w:rPr>
          <w:rFonts w:cs="宋体" w:hint="eastAsia"/>
        </w:rPr>
        <w:t>捐赠指</w:t>
      </w:r>
      <w:proofErr w:type="gramEnd"/>
      <w:r w:rsidRPr="00EC178D">
        <w:rPr>
          <w:rFonts w:cs="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C178D">
        <w:rPr>
          <w:rFonts w:cs="宋体" w:hint="eastAsia"/>
        </w:rPr>
        <w:t>非交易</w:t>
      </w:r>
      <w:proofErr w:type="gramEnd"/>
      <w:r w:rsidRPr="00EC178D">
        <w:rPr>
          <w:rFonts w:cs="宋体" w:hint="eastAsia"/>
        </w:rPr>
        <w:t>过户必须提供基金登记机构要求提供的相关资料，对于符合条件的</w:t>
      </w:r>
      <w:proofErr w:type="gramStart"/>
      <w:r w:rsidRPr="00EC178D">
        <w:rPr>
          <w:rFonts w:cs="宋体" w:hint="eastAsia"/>
        </w:rPr>
        <w:t>非交易过户申请按</w:t>
      </w:r>
      <w:proofErr w:type="gramEnd"/>
      <w:r w:rsidRPr="00EC178D">
        <w:rPr>
          <w:rFonts w:cs="宋体" w:hint="eastAsia"/>
        </w:rPr>
        <w:t>基金登记机构的规定办理，并按基金登记机构规定的标准收费。</w:t>
      </w:r>
    </w:p>
    <w:p w14:paraId="40E63048" w14:textId="77777777" w:rsidR="003F75AE" w:rsidRPr="005F6D92" w:rsidRDefault="003F75AE" w:rsidP="003F75AE">
      <w:pPr>
        <w:snapToGrid w:val="0"/>
        <w:spacing w:line="360" w:lineRule="auto"/>
        <w:ind w:firstLineChars="200" w:firstLine="420"/>
        <w:rPr>
          <w:rFonts w:cs="Times New Roman"/>
        </w:rPr>
      </w:pPr>
    </w:p>
    <w:p w14:paraId="59D718B7"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十五、基金的转托管</w:t>
      </w:r>
    </w:p>
    <w:p w14:paraId="2BDC072A" w14:textId="77777777" w:rsidR="003F75AE" w:rsidRPr="00115F51" w:rsidRDefault="003F75AE" w:rsidP="003F75AE">
      <w:pPr>
        <w:snapToGrid w:val="0"/>
        <w:spacing w:line="360" w:lineRule="auto"/>
        <w:ind w:firstLineChars="200" w:firstLine="420"/>
        <w:rPr>
          <w:rFonts w:cs="Times New Roman"/>
        </w:rPr>
      </w:pPr>
      <w:r w:rsidRPr="00A32CA1">
        <w:rPr>
          <w:rFonts w:cs="宋体" w:hint="eastAsia"/>
        </w:rPr>
        <w:t>基金份额持有人可办理已持有基金份额在不同销售机构之间的转托管，基金销售机构可</w:t>
      </w:r>
      <w:r w:rsidRPr="00A32CA1">
        <w:rPr>
          <w:rFonts w:cs="宋体" w:hint="eastAsia"/>
        </w:rPr>
        <w:lastRenderedPageBreak/>
        <w:t>以按照规定的标准收取转托管费。</w:t>
      </w:r>
    </w:p>
    <w:p w14:paraId="330B9234" w14:textId="77777777" w:rsidR="003F75AE" w:rsidRPr="00115F51" w:rsidRDefault="003F75AE" w:rsidP="003F75AE">
      <w:pPr>
        <w:snapToGrid w:val="0"/>
        <w:spacing w:line="360" w:lineRule="auto"/>
        <w:ind w:firstLineChars="200" w:firstLine="420"/>
        <w:rPr>
          <w:rFonts w:cs="Times New Roman"/>
        </w:rPr>
      </w:pPr>
    </w:p>
    <w:p w14:paraId="5DF4945A"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十六、</w:t>
      </w:r>
      <w:proofErr w:type="gramStart"/>
      <w:r w:rsidRPr="00FD4390">
        <w:rPr>
          <w:rFonts w:cs="宋体" w:hint="eastAsia"/>
          <w:bCs/>
        </w:rPr>
        <w:t>定投计划</w:t>
      </w:r>
      <w:proofErr w:type="gramEnd"/>
    </w:p>
    <w:p w14:paraId="0AEC3B22" w14:textId="77777777" w:rsidR="003F75AE" w:rsidRPr="00115F51" w:rsidRDefault="003F75AE" w:rsidP="003F75AE">
      <w:pPr>
        <w:snapToGrid w:val="0"/>
        <w:spacing w:line="360" w:lineRule="auto"/>
        <w:ind w:firstLineChars="200" w:firstLine="420"/>
        <w:rPr>
          <w:rFonts w:cs="Times New Roman"/>
        </w:rPr>
      </w:pPr>
      <w:r w:rsidRPr="00A32CA1">
        <w:rPr>
          <w:rFonts w:cs="宋体" w:hint="eastAsia"/>
        </w:rPr>
        <w:t>基金管理人可以为投资人</w:t>
      </w:r>
      <w:proofErr w:type="gramStart"/>
      <w:r w:rsidRPr="00A32CA1">
        <w:rPr>
          <w:rFonts w:cs="宋体" w:hint="eastAsia"/>
        </w:rPr>
        <w:t>办理定投计划</w:t>
      </w:r>
      <w:proofErr w:type="gramEnd"/>
      <w:r w:rsidRPr="00A32CA1">
        <w:rPr>
          <w:rFonts w:cs="宋体" w:hint="eastAsia"/>
        </w:rPr>
        <w:t>，具体规则由基金管理人另行规定。投资人在办理</w:t>
      </w:r>
      <w:proofErr w:type="gramStart"/>
      <w:r w:rsidRPr="00A32CA1">
        <w:rPr>
          <w:rFonts w:cs="宋体" w:hint="eastAsia"/>
        </w:rPr>
        <w:t>定投计划</w:t>
      </w:r>
      <w:proofErr w:type="gramEnd"/>
      <w:r w:rsidRPr="00A32CA1">
        <w:rPr>
          <w:rFonts w:cs="宋体" w:hint="eastAsia"/>
        </w:rPr>
        <w:t>时可自行约定每期扣款金额，每期扣款金额必须不低于基金管理人在相关公告或更新的招募说明书中所规定</w:t>
      </w:r>
      <w:r w:rsidRPr="00115F51">
        <w:rPr>
          <w:rFonts w:cs="宋体" w:hint="eastAsia"/>
        </w:rPr>
        <w:t>的</w:t>
      </w:r>
      <w:proofErr w:type="gramStart"/>
      <w:r w:rsidRPr="00115F51">
        <w:rPr>
          <w:rFonts w:cs="宋体" w:hint="eastAsia"/>
        </w:rPr>
        <w:t>定投计划</w:t>
      </w:r>
      <w:proofErr w:type="gramEnd"/>
      <w:r w:rsidRPr="00115F51">
        <w:rPr>
          <w:rFonts w:cs="宋体" w:hint="eastAsia"/>
        </w:rPr>
        <w:t>最低申购金额。</w:t>
      </w:r>
    </w:p>
    <w:p w14:paraId="23A53330" w14:textId="77777777" w:rsidR="003F75AE" w:rsidRPr="00115F51" w:rsidRDefault="003F75AE" w:rsidP="003F75AE">
      <w:pPr>
        <w:snapToGrid w:val="0"/>
        <w:spacing w:line="360" w:lineRule="auto"/>
        <w:ind w:firstLineChars="200" w:firstLine="420"/>
        <w:rPr>
          <w:rFonts w:cs="Times New Roman"/>
        </w:rPr>
      </w:pPr>
    </w:p>
    <w:p w14:paraId="13A975E2"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十七、基金的冻结和解冻</w:t>
      </w:r>
    </w:p>
    <w:p w14:paraId="671C107A" w14:textId="77777777" w:rsidR="003F75AE" w:rsidRPr="00115F51" w:rsidRDefault="003F75AE" w:rsidP="003F75AE">
      <w:pPr>
        <w:snapToGrid w:val="0"/>
        <w:spacing w:line="360" w:lineRule="auto"/>
        <w:ind w:firstLineChars="200" w:firstLine="420"/>
        <w:rPr>
          <w:rFonts w:ascii="宋体" w:cs="Times New Roman"/>
        </w:rPr>
      </w:pPr>
      <w:r w:rsidRPr="00A32CA1">
        <w:rPr>
          <w:rFonts w:cs="宋体" w:hint="eastAsia"/>
        </w:rPr>
        <w:t>基金登记机构只受理国家有权机关依法要求的基金份额的冻结与解冻，以及登记机构认可、符合法律法规的其他情况下的冻结与解冻。</w:t>
      </w:r>
      <w:r w:rsidRPr="00115F51">
        <w:rPr>
          <w:rFonts w:ascii="宋体" w:hAnsi="宋体" w:cs="宋体" w:hint="eastAsia"/>
        </w:rPr>
        <w:t>基金份额的冻结手续、冻结方式按照登记机构的相关规定办理。基金份额被冻结的，被冻结部分产生的权益按照我国法律法规、监管规章及国家有权机关的要求以及登记机构业务规定来处理。</w:t>
      </w:r>
    </w:p>
    <w:p w14:paraId="3AB10D0F" w14:textId="77777777" w:rsidR="003F75AE" w:rsidRPr="00115F51" w:rsidRDefault="003F75AE" w:rsidP="003F75AE">
      <w:pPr>
        <w:snapToGrid w:val="0"/>
        <w:spacing w:line="360" w:lineRule="auto"/>
        <w:ind w:firstLineChars="200" w:firstLine="420"/>
        <w:rPr>
          <w:rFonts w:ascii="宋体" w:cs="Times New Roman"/>
        </w:rPr>
      </w:pPr>
    </w:p>
    <w:p w14:paraId="354ED224" w14:textId="77777777" w:rsidR="003F75AE" w:rsidRPr="00FD4390" w:rsidRDefault="003F75AE" w:rsidP="00FD4390">
      <w:pPr>
        <w:snapToGrid w:val="0"/>
        <w:spacing w:line="360" w:lineRule="auto"/>
        <w:ind w:firstLineChars="200" w:firstLine="420"/>
        <w:rPr>
          <w:rFonts w:ascii="宋体" w:cs="Times New Roman"/>
          <w:bCs/>
        </w:rPr>
      </w:pPr>
      <w:r w:rsidRPr="00FD4390">
        <w:rPr>
          <w:rFonts w:ascii="宋体" w:hAnsi="宋体" w:cs="宋体" w:hint="eastAsia"/>
          <w:bCs/>
        </w:rPr>
        <w:t>十八、基金份额的转让</w:t>
      </w:r>
    </w:p>
    <w:p w14:paraId="2BE072D1" w14:textId="77777777" w:rsidR="003F75AE" w:rsidRPr="00115F51" w:rsidRDefault="003F75AE" w:rsidP="003F75AE">
      <w:pPr>
        <w:snapToGrid w:val="0"/>
        <w:spacing w:line="360" w:lineRule="auto"/>
        <w:ind w:firstLineChars="200" w:firstLine="420"/>
        <w:rPr>
          <w:rFonts w:ascii="宋体" w:cs="Times New Roman"/>
          <w:color w:val="000000"/>
        </w:rPr>
      </w:pPr>
      <w:r w:rsidRPr="00A32CA1">
        <w:rPr>
          <w:rFonts w:ascii="宋体" w:hAnsi="宋体" w:cs="宋体" w:hint="eastAsia"/>
          <w:color w:val="000000"/>
        </w:rPr>
        <w:t>在法律法规允许且条件具备的情况下，基金管理人可受理基金份额持有人通过中国证监会认可的交易场所或者</w:t>
      </w:r>
      <w:r w:rsidR="00506D72" w:rsidRPr="00115F51">
        <w:rPr>
          <w:rFonts w:ascii="宋体" w:hAnsi="宋体" w:cs="宋体" w:hint="eastAsia"/>
          <w:bCs/>
          <w:color w:val="000000"/>
        </w:rPr>
        <w:t>通过</w:t>
      </w:r>
      <w:r w:rsidR="00506D72" w:rsidRPr="00115F51">
        <w:rPr>
          <w:rFonts w:ascii="宋体" w:hAnsi="宋体" w:cs="宋体"/>
          <w:bCs/>
          <w:color w:val="000000"/>
        </w:rPr>
        <w:t>其他</w:t>
      </w:r>
      <w:r w:rsidRPr="00115F51">
        <w:rPr>
          <w:rFonts w:ascii="宋体" w:hAnsi="宋体" w:cs="宋体" w:hint="eastAsia"/>
          <w:color w:val="000000"/>
        </w:rPr>
        <w:t>方式进行份额转让的申请并由登记机构办理基金份额的过户登记。基金管理人拟受理基金份额转让业务的，将提前公告，基金份额持有人应根据基金管理人公告的业务规则办理基金份额转让业务。</w:t>
      </w:r>
    </w:p>
    <w:p w14:paraId="5CA17731" w14:textId="77777777" w:rsidR="003F75AE" w:rsidRPr="00115F51" w:rsidRDefault="003F75AE" w:rsidP="003F75AE">
      <w:pPr>
        <w:snapToGrid w:val="0"/>
        <w:spacing w:line="360" w:lineRule="auto"/>
        <w:ind w:firstLineChars="200" w:firstLine="420"/>
        <w:rPr>
          <w:rFonts w:ascii="宋体" w:cs="Times New Roman"/>
        </w:rPr>
      </w:pPr>
    </w:p>
    <w:p w14:paraId="396686A4" w14:textId="77777777" w:rsidR="000C66E2" w:rsidRPr="00FD4390" w:rsidRDefault="000C66E2" w:rsidP="00FD4390">
      <w:pPr>
        <w:snapToGrid w:val="0"/>
        <w:spacing w:line="360" w:lineRule="auto"/>
        <w:ind w:firstLineChars="200" w:firstLine="420"/>
        <w:rPr>
          <w:rFonts w:ascii="宋体" w:cs="Times New Roman"/>
          <w:bCs/>
        </w:rPr>
      </w:pPr>
      <w:r w:rsidRPr="00FD4390">
        <w:rPr>
          <w:rFonts w:ascii="宋体" w:cs="Times New Roman" w:hint="eastAsia"/>
          <w:bCs/>
        </w:rPr>
        <w:t>十九、其他业务</w:t>
      </w:r>
    </w:p>
    <w:p w14:paraId="2D481460" w14:textId="77777777" w:rsidR="000C66E2" w:rsidRPr="00115F51" w:rsidRDefault="000C66E2" w:rsidP="000C66E2">
      <w:pPr>
        <w:snapToGrid w:val="0"/>
        <w:spacing w:line="360" w:lineRule="auto"/>
        <w:ind w:firstLineChars="200" w:firstLine="420"/>
        <w:rPr>
          <w:rFonts w:ascii="宋体" w:cs="Times New Roman"/>
          <w:bCs/>
        </w:rPr>
      </w:pPr>
      <w:r w:rsidRPr="00A32CA1">
        <w:rPr>
          <w:rFonts w:ascii="宋体" w:cs="Times New Roman" w:hint="eastAsia"/>
          <w:bCs/>
        </w:rPr>
        <w:t>在相关法律法规允许的条件下，基金登记机构可依据其业务规则，受理基金份额质押等业务，并收取一定的手续费用。</w:t>
      </w:r>
    </w:p>
    <w:p w14:paraId="414275B3" w14:textId="77777777" w:rsidR="000C66E2" w:rsidRPr="00115F51" w:rsidRDefault="000C66E2" w:rsidP="003F75AE">
      <w:pPr>
        <w:snapToGrid w:val="0"/>
        <w:spacing w:line="360" w:lineRule="auto"/>
        <w:ind w:firstLineChars="200" w:firstLine="420"/>
        <w:rPr>
          <w:rFonts w:ascii="宋体" w:cs="Times New Roman"/>
        </w:rPr>
      </w:pPr>
    </w:p>
    <w:p w14:paraId="2DAA312A" w14:textId="77777777" w:rsidR="003F75AE" w:rsidRPr="00115F51" w:rsidRDefault="003F75AE" w:rsidP="003F75AE">
      <w:pPr>
        <w:pStyle w:val="afff0"/>
        <w:snapToGrid w:val="0"/>
        <w:spacing w:line="360" w:lineRule="auto"/>
        <w:ind w:firstLineChars="200"/>
        <w:rPr>
          <w:rFonts w:ascii="宋体"/>
          <w:color w:val="000000"/>
        </w:rPr>
      </w:pPr>
      <w:r w:rsidRPr="00115F51">
        <w:rPr>
          <w:rFonts w:ascii="宋体"/>
          <w:color w:val="000000"/>
        </w:rPr>
        <w:br w:type="page"/>
      </w:r>
    </w:p>
    <w:p w14:paraId="752CE9A1"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89" w:name="_Toc362533458"/>
      <w:bookmarkStart w:id="90" w:name="_Toc360794519"/>
      <w:bookmarkStart w:id="91" w:name="_Toc360793853"/>
      <w:bookmarkStart w:id="92" w:name="_Toc360794103"/>
      <w:bookmarkStart w:id="93" w:name="_Toc360794411"/>
      <w:bookmarkStart w:id="94" w:name="_Toc416453848"/>
      <w:bookmarkStart w:id="95" w:name="_Toc360793501"/>
      <w:bookmarkStart w:id="96" w:name="_Toc362455186"/>
      <w:r w:rsidRPr="00A4035F">
        <w:rPr>
          <w:rFonts w:ascii="宋体" w:eastAsia="宋体" w:hAnsi="宋体" w:cs="宋体" w:hint="eastAsia"/>
        </w:rPr>
        <w:lastRenderedPageBreak/>
        <w:t>基金的投资</w:t>
      </w:r>
      <w:bookmarkEnd w:id="89"/>
      <w:bookmarkEnd w:id="90"/>
      <w:bookmarkEnd w:id="91"/>
      <w:bookmarkEnd w:id="92"/>
      <w:bookmarkEnd w:id="93"/>
      <w:bookmarkEnd w:id="94"/>
      <w:bookmarkEnd w:id="95"/>
      <w:bookmarkEnd w:id="96"/>
    </w:p>
    <w:p w14:paraId="570BA95E" w14:textId="77777777" w:rsidR="003F75AE" w:rsidRPr="00D871C9" w:rsidRDefault="003F75AE" w:rsidP="00D871C9">
      <w:pPr>
        <w:pStyle w:val="a9"/>
        <w:snapToGrid w:val="0"/>
        <w:ind w:firstLineChars="196" w:firstLine="470"/>
        <w:rPr>
          <w:rFonts w:ascii="宋体" w:hAnsi="宋体" w:cs="宋体"/>
          <w:bCs/>
          <w:color w:val="000000"/>
        </w:rPr>
      </w:pPr>
    </w:p>
    <w:p w14:paraId="76C32143"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一、投资目标</w:t>
      </w:r>
    </w:p>
    <w:p w14:paraId="36DFF15D"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本基金通过投资于目标ETF，紧密跟踪标的指数，追求与业绩比较基准相似的回报。</w:t>
      </w:r>
    </w:p>
    <w:p w14:paraId="483B5786"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二、投资范围</w:t>
      </w:r>
    </w:p>
    <w:p w14:paraId="2799883F" w14:textId="66472C0D"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主要投资于目标ETF基金份额、标的指数成份股、备选成份股。为更好地实现投资目标，本基金可少量投资于非成份股（包含主板、中小板、创业板及其他经中国证监会核准或注册发行的股票）、衍生工具（股指期货、股票期权等）、债券资产（国债、金融债、企业债、公司债、地方政府债券、次级债、可转换债券、可交换债券、央行票据、中期票据、短期融资</w:t>
      </w:r>
      <w:proofErr w:type="gramStart"/>
      <w:r w:rsidRPr="00242BD3">
        <w:rPr>
          <w:rFonts w:ascii="宋体" w:hAnsi="宋体" w:cs="宋体" w:hint="eastAsia"/>
          <w:bCs/>
          <w:color w:val="000000"/>
          <w:sz w:val="21"/>
          <w:szCs w:val="21"/>
        </w:rPr>
        <w:t>券</w:t>
      </w:r>
      <w:proofErr w:type="gramEnd"/>
      <w:r w:rsidRPr="00242BD3">
        <w:rPr>
          <w:rFonts w:ascii="宋体" w:hAnsi="宋体" w:cs="宋体" w:hint="eastAsia"/>
          <w:bCs/>
          <w:color w:val="000000"/>
          <w:sz w:val="21"/>
          <w:szCs w:val="21"/>
        </w:rPr>
        <w:t>、超短期融资</w:t>
      </w:r>
      <w:proofErr w:type="gramStart"/>
      <w:r w:rsidRPr="00242BD3">
        <w:rPr>
          <w:rFonts w:ascii="宋体" w:hAnsi="宋体" w:cs="宋体" w:hint="eastAsia"/>
          <w:bCs/>
          <w:color w:val="000000"/>
          <w:sz w:val="21"/>
          <w:szCs w:val="21"/>
        </w:rPr>
        <w:t>券</w:t>
      </w:r>
      <w:proofErr w:type="gramEnd"/>
      <w:r w:rsidRPr="00242BD3">
        <w:rPr>
          <w:rFonts w:ascii="宋体" w:hAnsi="宋体" w:cs="宋体" w:hint="eastAsia"/>
          <w:bCs/>
          <w:color w:val="000000"/>
          <w:sz w:val="21"/>
          <w:szCs w:val="21"/>
        </w:rPr>
        <w:t>等）、资产支持证券、债券回购、银行存款、同业存单、现金资产、货币市场工具以及中国证监会允许基金投资的其他金融工具（但须符合中国证监会的相关规定）。</w:t>
      </w:r>
    </w:p>
    <w:p w14:paraId="480CA730"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基金的投资组合比例为：本基金投资于目标ETF的比例不低于基金资产净值的90%。每个交易日日终在扣除股指期货、股票期权合约需缴纳的交易保证金后，现金或到期日在一年以内的政府债券的投资比例不低于基金资产净值的5%，其中现金不包括结算备付金、存出保证金、应收申购款等。</w:t>
      </w:r>
    </w:p>
    <w:p w14:paraId="2876AF29"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基金管理人根据相关规定可参与转融通证券出借业务。</w:t>
      </w:r>
    </w:p>
    <w:p w14:paraId="6C2A7FC0"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如法律法规或监管机构以后允许基金投资其他品种，基金管理人在履行适当程序后，可以将其纳入投资范围。</w:t>
      </w:r>
    </w:p>
    <w:p w14:paraId="3573CA02"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三、投资策略</w:t>
      </w:r>
    </w:p>
    <w:p w14:paraId="36197FE0"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为完全被动式指数基金，主要投资于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14:paraId="0B4B835A"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1、资产配置策略</w:t>
      </w:r>
    </w:p>
    <w:p w14:paraId="6AFAD867"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为实现紧密跟踪标的指数的投资目标，本基金将以不低于基金资产净值90%的资产投资于目标ETF。为更好地实现投资目标，本基金可少量投资于非成份股、债券、资产支持证券、债券回购、银行存款、货币市场工具、股指期货、股票期权等以及经中国证监会允许基金投资的其他金融工具，但需符合中国证监会的相关规定。</w:t>
      </w:r>
    </w:p>
    <w:p w14:paraId="344CD6EA"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2、目标ETF投资策略</w:t>
      </w:r>
    </w:p>
    <w:p w14:paraId="02DD8D47"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本基金投资目标ETF的方式如下：</w:t>
      </w:r>
    </w:p>
    <w:p w14:paraId="08818E19"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（1）申购和赎回：目标ETF开放申购赎回后，以股票组合进行申购赎回或者按照目标ETF法律文件的约定以其他方式</w:t>
      </w:r>
      <w:proofErr w:type="gramStart"/>
      <w:r w:rsidRPr="00242BD3">
        <w:rPr>
          <w:rFonts w:ascii="宋体" w:hAnsi="宋体" w:cs="宋体" w:hint="eastAsia"/>
          <w:bCs/>
          <w:color w:val="000000"/>
          <w:sz w:val="21"/>
          <w:szCs w:val="21"/>
        </w:rPr>
        <w:t>申赎目标</w:t>
      </w:r>
      <w:proofErr w:type="gramEnd"/>
      <w:r w:rsidRPr="00242BD3">
        <w:rPr>
          <w:rFonts w:ascii="宋体" w:hAnsi="宋体" w:cs="宋体" w:hint="eastAsia"/>
          <w:bCs/>
          <w:color w:val="000000"/>
          <w:sz w:val="21"/>
          <w:szCs w:val="21"/>
        </w:rPr>
        <w:t>ETF。</w:t>
      </w:r>
    </w:p>
    <w:p w14:paraId="6D351C7D"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lastRenderedPageBreak/>
        <w:t>（2）二级市场方式：目标ETF上市交易后，在二级市场进行目标ETF基金份额的交易。</w:t>
      </w:r>
    </w:p>
    <w:p w14:paraId="2992DC37"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当目标ETF申购、赎回或交易模式进行了变更或调整，本基金也将作相应的变更或调整，无须召开基金份额持有人大会。</w:t>
      </w:r>
    </w:p>
    <w:p w14:paraId="0216FB6E"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3、成份股、备选成份股投资策略</w:t>
      </w:r>
    </w:p>
    <w:p w14:paraId="46B86F72"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本基金对成份股、备选成份股的投资目的是为准备构建股票组合以申购目标ETF。因此对可投资于成份股、备选成份股的资金头寸，主要采取复制法，即按照标的指数的成份</w:t>
      </w:r>
      <w:proofErr w:type="gramStart"/>
      <w:r w:rsidRPr="00242BD3">
        <w:rPr>
          <w:rFonts w:ascii="宋体" w:hAnsi="宋体" w:cs="宋体" w:hint="eastAsia"/>
          <w:bCs/>
          <w:color w:val="000000"/>
          <w:sz w:val="21"/>
          <w:szCs w:val="21"/>
        </w:rPr>
        <w:t>股组成</w:t>
      </w:r>
      <w:proofErr w:type="gramEnd"/>
      <w:r w:rsidRPr="00242BD3">
        <w:rPr>
          <w:rFonts w:ascii="宋体" w:hAnsi="宋体" w:cs="宋体" w:hint="eastAsia"/>
          <w:bCs/>
          <w:color w:val="000000"/>
          <w:sz w:val="21"/>
          <w:szCs w:val="21"/>
        </w:rPr>
        <w:t>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2C984302"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4、金融衍生</w:t>
      </w:r>
      <w:proofErr w:type="gramStart"/>
      <w:r w:rsidRPr="00242BD3">
        <w:rPr>
          <w:rFonts w:ascii="宋体" w:hAnsi="宋体" w:cs="宋体" w:hint="eastAsia"/>
          <w:bCs/>
          <w:color w:val="000000"/>
          <w:sz w:val="21"/>
          <w:szCs w:val="21"/>
        </w:rPr>
        <w:t>品投资</w:t>
      </w:r>
      <w:proofErr w:type="gramEnd"/>
      <w:r w:rsidRPr="00242BD3">
        <w:rPr>
          <w:rFonts w:ascii="宋体" w:hAnsi="宋体" w:cs="宋体" w:hint="eastAsia"/>
          <w:bCs/>
          <w:color w:val="000000"/>
          <w:sz w:val="21"/>
          <w:szCs w:val="21"/>
        </w:rPr>
        <w:t>策略</w:t>
      </w:r>
    </w:p>
    <w:p w14:paraId="684F5EFE"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为更好的实现投资目标，本基金可投资股指期货、股票期权和其他经中国证监会允许的衍生金融产品，如与标的指数或标的指数成份股、备选成份</w:t>
      </w:r>
      <w:proofErr w:type="gramStart"/>
      <w:r w:rsidRPr="00242BD3">
        <w:rPr>
          <w:rFonts w:ascii="宋体" w:hAnsi="宋体" w:cs="宋体" w:hint="eastAsia"/>
          <w:bCs/>
          <w:color w:val="000000"/>
          <w:sz w:val="21"/>
          <w:szCs w:val="21"/>
        </w:rPr>
        <w:t>股相关</w:t>
      </w:r>
      <w:proofErr w:type="gramEnd"/>
      <w:r w:rsidRPr="00242BD3">
        <w:rPr>
          <w:rFonts w:ascii="宋体" w:hAnsi="宋体" w:cs="宋体" w:hint="eastAsia"/>
          <w:bCs/>
          <w:color w:val="000000"/>
          <w:sz w:val="21"/>
          <w:szCs w:val="21"/>
        </w:rPr>
        <w:t>的衍生工具。本基金将根据风险管理的原则，主要选择流动性好、交易活跃的衍生品合约进行交易。</w:t>
      </w:r>
    </w:p>
    <w:p w14:paraId="47FC2A1D"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（1）股指期货投资策略</w:t>
      </w:r>
    </w:p>
    <w:p w14:paraId="2FE86D55"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本基金投资股指期货将根据风险管理的原则，以套期保值为目的，主要选择流动性好、交易活跃的股指期货合约。本基金力争利用股指期货的杠杆作用，降低股票</w:t>
      </w:r>
      <w:proofErr w:type="gramStart"/>
      <w:r w:rsidRPr="00242BD3">
        <w:rPr>
          <w:rFonts w:ascii="宋体" w:hAnsi="宋体" w:cs="宋体" w:hint="eastAsia"/>
          <w:bCs/>
          <w:color w:val="000000"/>
          <w:sz w:val="21"/>
          <w:szCs w:val="21"/>
        </w:rPr>
        <w:t>仓位</w:t>
      </w:r>
      <w:proofErr w:type="gramEnd"/>
      <w:r w:rsidRPr="00242BD3">
        <w:rPr>
          <w:rFonts w:ascii="宋体" w:hAnsi="宋体" w:cs="宋体" w:hint="eastAsia"/>
          <w:bCs/>
          <w:color w:val="000000"/>
          <w:sz w:val="21"/>
          <w:szCs w:val="21"/>
        </w:rPr>
        <w:t>频繁调整的交易成本和跟踪误差，达到有效跟踪标的指数的目的。</w:t>
      </w:r>
    </w:p>
    <w:p w14:paraId="02B724B5"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（2）股票期权投资策略</w:t>
      </w:r>
    </w:p>
    <w:p w14:paraId="4707EA87"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本基金投资股票期权，将根据风险管理的原则，充分考虑股票期权的流动性和风险收益特征，在风险可控的前提下，采取备兑开仓、delta中性等策略适度参与股票期权投资。</w:t>
      </w:r>
    </w:p>
    <w:p w14:paraId="15BD0E6C"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5、债券投资策略</w:t>
      </w:r>
    </w:p>
    <w:p w14:paraId="10DEF365"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结合对未来市场利率预期运用</w:t>
      </w:r>
      <w:proofErr w:type="gramStart"/>
      <w:r w:rsidRPr="00242BD3">
        <w:rPr>
          <w:rFonts w:ascii="宋体" w:hAnsi="宋体" w:cs="宋体" w:hint="eastAsia"/>
          <w:bCs/>
          <w:color w:val="000000"/>
          <w:sz w:val="21"/>
          <w:szCs w:val="21"/>
        </w:rPr>
        <w:t>久期调整</w:t>
      </w:r>
      <w:proofErr w:type="gramEnd"/>
      <w:r w:rsidRPr="00242BD3">
        <w:rPr>
          <w:rFonts w:ascii="宋体" w:hAnsi="宋体" w:cs="宋体" w:hint="eastAsia"/>
          <w:bCs/>
          <w:color w:val="000000"/>
          <w:sz w:val="21"/>
          <w:szCs w:val="21"/>
        </w:rPr>
        <w:t>策略、收益率曲线配置策略、债券类属配置策略、利差轮动策略等多种积极管理策略，通过严谨的研究发现价值被低估的债券和市场投资机会，构建收益稳定、流动性良好的债券组合。</w:t>
      </w:r>
    </w:p>
    <w:p w14:paraId="542C18F8"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6、资产支持证券投资策略</w:t>
      </w:r>
    </w:p>
    <w:p w14:paraId="3AC6D389"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资产支持证券投资关键在于对基础资产质量及未来现金流的分析，本基金将采用基本面分析和数量化模型相结合，对个</w:t>
      </w:r>
      <w:proofErr w:type="gramStart"/>
      <w:r w:rsidRPr="00242BD3">
        <w:rPr>
          <w:rFonts w:ascii="宋体" w:hAnsi="宋体" w:cs="宋体" w:hint="eastAsia"/>
          <w:bCs/>
          <w:color w:val="000000"/>
          <w:sz w:val="21"/>
          <w:szCs w:val="21"/>
        </w:rPr>
        <w:t>券</w:t>
      </w:r>
      <w:proofErr w:type="gramEnd"/>
      <w:r w:rsidRPr="00242BD3">
        <w:rPr>
          <w:rFonts w:ascii="宋体" w:hAnsi="宋体" w:cs="宋体" w:hint="eastAsia"/>
          <w:bCs/>
          <w:color w:val="000000"/>
          <w:sz w:val="21"/>
          <w:szCs w:val="21"/>
        </w:rPr>
        <w:t>进行风险分析和价值评估后进行投资。本基金将严格控制资产支持证券的总体投资规模并进行分散投资，以降低流动性风险。</w:t>
      </w:r>
    </w:p>
    <w:p w14:paraId="78AE08C1"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7、转融通证券出借业务投资策略</w:t>
      </w:r>
    </w:p>
    <w:p w14:paraId="4792DA16"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为更好地实现投资目标,在加强风险防范并遵守审慎原则的前提下,本基金可根据投资管理的需要参与转融通证券出借业务。本基金将在分析市场情况、投资者类型与结构、基金</w:t>
      </w:r>
      <w:proofErr w:type="gramStart"/>
      <w:r w:rsidRPr="00242BD3">
        <w:rPr>
          <w:rFonts w:ascii="宋体" w:hAnsi="宋体" w:cs="宋体" w:hint="eastAsia"/>
          <w:bCs/>
          <w:color w:val="000000"/>
          <w:sz w:val="21"/>
          <w:szCs w:val="21"/>
        </w:rPr>
        <w:t>历史申赎情况</w:t>
      </w:r>
      <w:proofErr w:type="gramEnd"/>
      <w:r w:rsidRPr="00242BD3">
        <w:rPr>
          <w:rFonts w:ascii="宋体" w:hAnsi="宋体" w:cs="宋体" w:hint="eastAsia"/>
          <w:bCs/>
          <w:color w:val="000000"/>
          <w:sz w:val="21"/>
          <w:szCs w:val="21"/>
        </w:rPr>
        <w:t>、出借证券流动性情况等因素的基础上,合理确定出借证券的范围、期限和比例。</w:t>
      </w:r>
    </w:p>
    <w:p w14:paraId="67C54F23"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今后，随着证券市场的发展、金融工具的丰富和交易方式的创新等，基金还将积极寻求</w:t>
      </w:r>
      <w:r w:rsidRPr="00242BD3">
        <w:rPr>
          <w:rFonts w:ascii="宋体" w:hAnsi="宋体" w:cs="宋体" w:hint="eastAsia"/>
          <w:bCs/>
          <w:color w:val="000000"/>
          <w:sz w:val="21"/>
          <w:szCs w:val="21"/>
        </w:rPr>
        <w:lastRenderedPageBreak/>
        <w:t>其他投资机会，如法律法规或监管机构以后允许基金投资其他品种，本基金将在履行适当程序后，将其纳入投资范围以丰富组合投资策略。</w:t>
      </w:r>
    </w:p>
    <w:p w14:paraId="1779E70E" w14:textId="77777777" w:rsidR="00242BD3" w:rsidRPr="00242BD3" w:rsidRDefault="00242BD3" w:rsidP="00242BD3">
      <w:pPr>
        <w:pStyle w:val="a9"/>
        <w:snapToGrid w:val="0"/>
        <w:ind w:firstLineChars="196" w:firstLine="412"/>
        <w:rPr>
          <w:rFonts w:ascii="宋体" w:hAnsi="宋体" w:cs="宋体"/>
          <w:bCs/>
          <w:color w:val="000000"/>
          <w:sz w:val="21"/>
          <w:szCs w:val="21"/>
        </w:rPr>
      </w:pPr>
    </w:p>
    <w:p w14:paraId="3AA1C8CC"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四、投资限制</w:t>
      </w:r>
    </w:p>
    <w:p w14:paraId="6BA1033D"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1、组合限制</w:t>
      </w:r>
    </w:p>
    <w:p w14:paraId="1B061FCB"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基金的投资组合应遵循以下限制：</w:t>
      </w:r>
    </w:p>
    <w:p w14:paraId="54FE601F"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（1）本基金投资于目标ETF的比例不低于基金资产净值的90%；</w:t>
      </w:r>
    </w:p>
    <w:p w14:paraId="3DBA7A00"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2）每个交易日日终在扣除股指期货、股票期权合约需缴纳的交易保证金后，现金或到期日在一年以内的政府债券的投资比例不低于基金资产净值的5％，其中现金不包括结算备付金、存出保证金、应收申购款等；</w:t>
      </w:r>
    </w:p>
    <w:p w14:paraId="35E72BB1"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（3）本基金投资于同一原始权益人的各类资产支持证券的比例，不得超过基金资产净值的10％；</w:t>
      </w:r>
    </w:p>
    <w:p w14:paraId="0083E90A"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（4）本基金持有的全部资产支持证券，其市值不得超过基金资产净值的20％；</w:t>
      </w:r>
    </w:p>
    <w:p w14:paraId="5F8FDFE6"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（5）本基金持有的同一(指同一信用级别)资产支持证券的比例，不得超过该资产支持证券规模的10％；</w:t>
      </w:r>
    </w:p>
    <w:p w14:paraId="2D8D6E65"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（6）本基金管理人管理的全部基金投资于同一原始权益人的各类资产支持证券，不得超过其各类资产支持证券合计规模的10％；</w:t>
      </w:r>
    </w:p>
    <w:p w14:paraId="25D0F6F4"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（7）本基金应投资于信用级别评级为BBB以上(含BBB)的资产支持证券。基金持有资产支持证券期间，如果其信用等级下降、不再符合投资标准，应在评级报告发布之日起3个月内予以全部卖出；</w:t>
      </w:r>
    </w:p>
    <w:p w14:paraId="5C9EB572"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（8）基金财产参与股票发行申购，本基金所申报的金额不超过本基金的总资产，本基金所申报的股票数量不超过拟发行股票公司本次发行股票的总量；</w:t>
      </w:r>
    </w:p>
    <w:p w14:paraId="4FA3C934"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（9）本基金进入全国银行间同业市场进行债券回购的资金余额不得超过基金资产净值的40%，债券回购最长期限为1年，债券回购到期后不得展期；</w:t>
      </w:r>
    </w:p>
    <w:p w14:paraId="596AB438"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10）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6D90AA7F"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（11）本基金与私募类</w:t>
      </w:r>
      <w:proofErr w:type="gramStart"/>
      <w:r w:rsidRPr="00242BD3">
        <w:rPr>
          <w:rFonts w:ascii="宋体" w:hAnsi="宋体" w:cs="宋体" w:hint="eastAsia"/>
          <w:bCs/>
          <w:color w:val="000000"/>
          <w:sz w:val="21"/>
          <w:szCs w:val="21"/>
        </w:rPr>
        <w:t>证券资管产品</w:t>
      </w:r>
      <w:proofErr w:type="gramEnd"/>
      <w:r w:rsidRPr="00242BD3">
        <w:rPr>
          <w:rFonts w:ascii="宋体" w:hAnsi="宋体" w:cs="宋体" w:hint="eastAsia"/>
          <w:bCs/>
          <w:color w:val="000000"/>
          <w:sz w:val="21"/>
          <w:szCs w:val="21"/>
        </w:rPr>
        <w:t>及中国证监会认定的其他主体为交易对手开展逆回购交易的，可接受质押品的资质要求应当与基金合同约定的投资范围保持一致。</w:t>
      </w:r>
    </w:p>
    <w:p w14:paraId="61E9C864"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（12）本基金资产总值不超过基金资产净值的140%；</w:t>
      </w:r>
    </w:p>
    <w:p w14:paraId="60B980B7"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（13）本基金参与股指期货交易，应当符合下列投资限制：</w:t>
      </w:r>
    </w:p>
    <w:p w14:paraId="478BC4E5"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1）本基金在任何交易日日终，持有的买入股指期货合约价值，不得超过基金资产净值的10%；</w:t>
      </w:r>
    </w:p>
    <w:p w14:paraId="580D6BEB"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2）本基金在任何交易日日终，持有的买入期货合约价值与有价证券市值之和，不得超</w:t>
      </w:r>
      <w:r w:rsidRPr="00242BD3">
        <w:rPr>
          <w:rFonts w:ascii="宋体" w:hAnsi="宋体" w:cs="宋体" w:hint="eastAsia"/>
          <w:bCs/>
          <w:color w:val="000000"/>
          <w:sz w:val="21"/>
          <w:szCs w:val="21"/>
        </w:rPr>
        <w:lastRenderedPageBreak/>
        <w:t>过基金资产净值的100%，其中，有价证券指股票、债券（不含到期日在一年以内的政府债券）、资产支持证券、买入返售金融资产（不含质押式回购）等；</w:t>
      </w:r>
    </w:p>
    <w:p w14:paraId="15F1F156"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3）本基金在任何交易日日终，持有的卖出期货合约价值不得超过基金持有的股票总市值的20%。</w:t>
      </w:r>
    </w:p>
    <w:p w14:paraId="7DC43758"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4）本基金所持有的股票市值和买入、卖出股指期货合约价值，合计（轧差计算）应当符合基金合同关于股票投资比例的有关约定；</w:t>
      </w:r>
    </w:p>
    <w:p w14:paraId="6B8C39A1"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5）本基金在任何交易日内交易（不包括平仓）的股指期货合约的成交金额不得超过上一交易日基金资产净值的20%；</w:t>
      </w:r>
    </w:p>
    <w:p w14:paraId="7D8BCFB1"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（14）本基金参与股票期权交易，应当符合下列投资限制：</w:t>
      </w:r>
    </w:p>
    <w:p w14:paraId="77ABC364"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1）基金因未平仓的期权合约支付和收取的权利金总额不得超过基金资产净值的10%；</w:t>
      </w:r>
    </w:p>
    <w:p w14:paraId="1373CA8B"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2）开仓卖出认购期权的，应持有足额标的证券；开仓卖出认沽期权的，应持有合约行权所需的全额现金或交易所规则认可的可冲抵期权保证金的现金等价物；</w:t>
      </w:r>
    </w:p>
    <w:p w14:paraId="5C2DE9AC"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3）未平仓的期权合约面值不得超过基金资产净值的20%。其中，合约面值按照行权价乘以合约乘数计算；</w:t>
      </w:r>
    </w:p>
    <w:p w14:paraId="686A47A5"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（15）本基金参与转融通证券出借业务的,应当符合下列要求：</w:t>
      </w:r>
    </w:p>
    <w:p w14:paraId="504B6ED0"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1）本基金在任何交易日日终，参与转融通证券出借业务的资产不得超过基金资产净值的30%，其中出借期限在10个交易日以上的出借证券应纳入《流动性风险管理规定》所述流动性受限证券的范围；</w:t>
      </w:r>
    </w:p>
    <w:p w14:paraId="78E714A6"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2）本基金在任何交易日日终，参与出借业务的单只证券不得超过基金持有该证券总量的50%；</w:t>
      </w:r>
    </w:p>
    <w:p w14:paraId="54102482"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3）证券出借的平均剩余期限不得超过30天，平均剩余期限按市值加权平均计算；</w:t>
      </w:r>
    </w:p>
    <w:p w14:paraId="0A5560FA"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4）最近6个月内日均基金资产净值不得低于2亿元。</w:t>
      </w:r>
    </w:p>
    <w:p w14:paraId="087610D2"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（16）法律法规及中国证监会规定的和《基金合同》约定的其他投资限制。</w:t>
      </w:r>
    </w:p>
    <w:p w14:paraId="346FEC08"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除上述第（1）项应当在20个交易日内进行调整，第（2）、（7）、（10）、（11）、（15）项另有约定外，因证券/期货市场波动、证券发行人合并、基金规模变动、标的指数成份股调整、标的指数成份股流动性限制、目标 ETF 暂停申购、赎回或二级市场交易停牌等基金管理人之外的因素致使基金投资比例不符合上述规定投资比例的，基金管理人应当在10个交易日内进行调整，但中国证监会规定的特殊情形除外。法律法规另有规定的，从其规定。</w:t>
      </w:r>
    </w:p>
    <w:p w14:paraId="44BEBB09"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本基金参与转融通证券出借业务，因证券市场波动、上市公司合并、基金规模变动等基金管理人之外的因素致使基金投资不符合上述第（15）项规定的，基金管理人不得新增出借业务。</w:t>
      </w:r>
    </w:p>
    <w:p w14:paraId="641A10B9"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57007BD9"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lastRenderedPageBreak/>
        <w:t>如法律法规或监管部门对上述投资组合比例限制进行变更的，以变更后的规定为准。法律法规或监管部门取消上述限制，如适用于本基金，基金管理人在履行适当程序后，则本基金投资不再受相关限制。</w:t>
      </w:r>
    </w:p>
    <w:p w14:paraId="489C0A39"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2、禁止行为</w:t>
      </w:r>
    </w:p>
    <w:p w14:paraId="2541171B"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为维护基金份额持有人的合法权益，基金财产不得用于下列投资或者活动：</w:t>
      </w:r>
    </w:p>
    <w:p w14:paraId="4D203DF3"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（1）承销证券；</w:t>
      </w:r>
    </w:p>
    <w:p w14:paraId="68F576A1"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（2）违反规定向他人贷款或者提供担保；</w:t>
      </w:r>
    </w:p>
    <w:p w14:paraId="2BD4F926"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（3）从事承担无限责任的投资；</w:t>
      </w:r>
    </w:p>
    <w:p w14:paraId="2466E78B"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（4）买卖</w:t>
      </w:r>
      <w:proofErr w:type="gramStart"/>
      <w:r w:rsidRPr="00242BD3">
        <w:rPr>
          <w:rFonts w:ascii="宋体" w:hAnsi="宋体" w:cs="宋体" w:hint="eastAsia"/>
          <w:bCs/>
          <w:color w:val="000000"/>
          <w:sz w:val="21"/>
          <w:szCs w:val="21"/>
        </w:rPr>
        <w:t>除目标</w:t>
      </w:r>
      <w:proofErr w:type="gramEnd"/>
      <w:r w:rsidRPr="00242BD3">
        <w:rPr>
          <w:rFonts w:ascii="宋体" w:hAnsi="宋体" w:cs="宋体" w:hint="eastAsia"/>
          <w:bCs/>
          <w:color w:val="000000"/>
          <w:sz w:val="21"/>
          <w:szCs w:val="21"/>
        </w:rPr>
        <w:t>ETF以外的其他基金份额，但是中国证监会另有规定的除外；</w:t>
      </w:r>
    </w:p>
    <w:p w14:paraId="1ACD96F1"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（5）向其基金管理人、基金托管人出资；</w:t>
      </w:r>
    </w:p>
    <w:p w14:paraId="5C244E0D"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（6）从事内幕交易、操纵证券交易价格及其他不正当的证券交易活动；</w:t>
      </w:r>
    </w:p>
    <w:p w14:paraId="77D332E5"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（7）法律、行政法规和中国证监会规定禁止的其他活动。</w:t>
      </w:r>
    </w:p>
    <w:p w14:paraId="7C5463CA"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852C1A"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如法律、行政法规或监管部门取消上述限制，如适用于本基金，则本基金投资不再受相关限制。</w:t>
      </w:r>
    </w:p>
    <w:p w14:paraId="2BF9B4B1"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五、标的指数和业绩比较基准</w:t>
      </w:r>
    </w:p>
    <w:p w14:paraId="2595BC93"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本基金的标的指数</w:t>
      </w:r>
      <w:proofErr w:type="gramStart"/>
      <w:r w:rsidRPr="00242BD3">
        <w:rPr>
          <w:rFonts w:ascii="宋体" w:hAnsi="宋体" w:cs="宋体" w:hint="eastAsia"/>
          <w:bCs/>
          <w:color w:val="000000"/>
          <w:sz w:val="21"/>
          <w:szCs w:val="21"/>
        </w:rPr>
        <w:t>为标普中国</w:t>
      </w:r>
      <w:proofErr w:type="gramEnd"/>
      <w:r w:rsidRPr="00242BD3">
        <w:rPr>
          <w:rFonts w:ascii="宋体" w:hAnsi="宋体" w:cs="宋体" w:hint="eastAsia"/>
          <w:bCs/>
          <w:color w:val="000000"/>
          <w:sz w:val="21"/>
          <w:szCs w:val="21"/>
        </w:rPr>
        <w:t>A股大盘</w:t>
      </w:r>
      <w:proofErr w:type="gramStart"/>
      <w:r w:rsidRPr="00242BD3">
        <w:rPr>
          <w:rFonts w:ascii="宋体" w:hAnsi="宋体" w:cs="宋体" w:hint="eastAsia"/>
          <w:bCs/>
          <w:color w:val="000000"/>
          <w:sz w:val="21"/>
          <w:szCs w:val="21"/>
        </w:rPr>
        <w:t>红利低波</w:t>
      </w:r>
      <w:proofErr w:type="gramEnd"/>
      <w:r w:rsidRPr="00242BD3">
        <w:rPr>
          <w:rFonts w:ascii="宋体" w:hAnsi="宋体" w:cs="宋体" w:hint="eastAsia"/>
          <w:bCs/>
          <w:color w:val="000000"/>
          <w:sz w:val="21"/>
          <w:szCs w:val="21"/>
        </w:rPr>
        <w:t>50指数，及其未来可能发生的变更。</w:t>
      </w:r>
    </w:p>
    <w:p w14:paraId="7C7017CF"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本基金业绩比较基准为标的指数收益率×95%+银行活期存款利率（税后）×5%。</w:t>
      </w:r>
    </w:p>
    <w:p w14:paraId="734E5A2E"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投资于目标ETF的比例不低于基金资产净值的90%。每个交易日日终在扣除股指期货、股票期权合约需缴纳的交易保证金后，现金或到期日在一年以内的政府债券的投资比例不低于基金资产净值的5%。业绩比较基准与投资比例相符。</w:t>
      </w:r>
    </w:p>
    <w:p w14:paraId="1FE68BD3"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w:t>
      </w:r>
      <w:proofErr w:type="gramStart"/>
      <w:r w:rsidRPr="00242BD3">
        <w:rPr>
          <w:rFonts w:ascii="宋体" w:hAnsi="宋体" w:cs="宋体" w:hint="eastAsia"/>
          <w:bCs/>
          <w:color w:val="000000"/>
          <w:sz w:val="21"/>
          <w:szCs w:val="21"/>
        </w:rPr>
        <w:t>则基金</w:t>
      </w:r>
      <w:proofErr w:type="gramEnd"/>
      <w:r w:rsidRPr="00242BD3">
        <w:rPr>
          <w:rFonts w:ascii="宋体" w:hAnsi="宋体" w:cs="宋体" w:hint="eastAsia"/>
          <w:bCs/>
          <w:color w:val="000000"/>
          <w:sz w:val="21"/>
          <w:szCs w:val="21"/>
        </w:rPr>
        <w:t>管理人应就变更标的指数召开基金份额持有人大会，并报中国证监会备案且在指定媒介公告。若变更标的指数对基金投资范围和投资策略无实质性影响（包括但不限于指</w:t>
      </w:r>
      <w:r w:rsidRPr="00242BD3">
        <w:rPr>
          <w:rFonts w:ascii="宋体" w:hAnsi="宋体" w:cs="宋体" w:hint="eastAsia"/>
          <w:bCs/>
          <w:color w:val="000000"/>
          <w:sz w:val="21"/>
          <w:szCs w:val="21"/>
        </w:rPr>
        <w:lastRenderedPageBreak/>
        <w:t>数编制单位变更、指数更名等事项），则无需召开基金份额持有人大会，基金管理人应与基金托管人协商一致后，报中国证监会备案并及时公告。</w:t>
      </w:r>
    </w:p>
    <w:p w14:paraId="6A8EF3E4"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六、风险收益特征</w:t>
      </w:r>
    </w:p>
    <w:p w14:paraId="092F74A8"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的目标ETF为股票型基金，一般而言，其长期平均风险与预期收益高于混合型基金、债券型基金与货币市场基金。本基金为ETF联接基金，通过投资于目标ETF跟踪标的指数表现，具有与标的指数以及标的指数所代表的市场相似的风险收益特征。</w:t>
      </w:r>
    </w:p>
    <w:p w14:paraId="7C9B0A0C"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七、基金管理人代表基金行使股东或债权人权利的处理原则及方法</w:t>
      </w:r>
    </w:p>
    <w:p w14:paraId="62DD7754"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 xml:space="preserve">1、基金管理人按照国家有关规定代表基金独立行使股东或债权人权利，保护基金份额持有人的利益； </w:t>
      </w:r>
    </w:p>
    <w:p w14:paraId="6537ACDA"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 xml:space="preserve">2、不谋求对上市公司的控股； </w:t>
      </w:r>
    </w:p>
    <w:p w14:paraId="23EF1125"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 xml:space="preserve">3、有利于基金财产的安全与增值； </w:t>
      </w:r>
    </w:p>
    <w:p w14:paraId="25718C23"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4、不通过关联交易为自身、雇员、授权代理人或任何存在利害关系的第三人牟取任何不当利益。</w:t>
      </w:r>
    </w:p>
    <w:p w14:paraId="1019F070"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八、目标ETF发生相关变更情形时的处理</w:t>
      </w:r>
    </w:p>
    <w:p w14:paraId="4E29A45F"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目标ETF出现下述情形之一的，本基金将由投资于目标ETF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w:t>
      </w:r>
      <w:proofErr w:type="gramStart"/>
      <w:r w:rsidRPr="00242BD3">
        <w:rPr>
          <w:rFonts w:ascii="宋体" w:hAnsi="宋体" w:cs="宋体" w:hint="eastAsia"/>
          <w:bCs/>
          <w:color w:val="000000"/>
          <w:sz w:val="21"/>
          <w:szCs w:val="21"/>
        </w:rPr>
        <w:t>基金基金</w:t>
      </w:r>
      <w:proofErr w:type="gramEnd"/>
      <w:r w:rsidRPr="00242BD3">
        <w:rPr>
          <w:rFonts w:ascii="宋体" w:hAnsi="宋体" w:cs="宋体" w:hint="eastAsia"/>
          <w:bCs/>
          <w:color w:val="000000"/>
          <w:sz w:val="21"/>
          <w:szCs w:val="21"/>
        </w:rPr>
        <w:t>合同中将删除关于目标ETF的表述部分，或将变更标的指数，届时将由基金管理人另行公告。</w:t>
      </w:r>
    </w:p>
    <w:p w14:paraId="2E93A662"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1、目标ETF交易方式发生重大变更致使本基金的投资策略难以实现；</w:t>
      </w:r>
    </w:p>
    <w:p w14:paraId="7162B738"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2、目标ETF终止上市；</w:t>
      </w:r>
    </w:p>
    <w:p w14:paraId="731BD354"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3、目标ETF基金合同终止；</w:t>
      </w:r>
    </w:p>
    <w:p w14:paraId="0D87449D"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4、目标ETF的基金管理人发生变更（但变更后的本基金与目标ETF的基金管理人相同的除外）。</w:t>
      </w:r>
    </w:p>
    <w:p w14:paraId="196001B2"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若目标ETF变更标的指数，本基金将在履行适当程序</w:t>
      </w:r>
      <w:proofErr w:type="gramStart"/>
      <w:r w:rsidRPr="00242BD3">
        <w:rPr>
          <w:rFonts w:ascii="宋体" w:hAnsi="宋体" w:cs="宋体" w:hint="eastAsia"/>
          <w:bCs/>
          <w:color w:val="000000"/>
          <w:sz w:val="21"/>
          <w:szCs w:val="21"/>
        </w:rPr>
        <w:t>后相应</w:t>
      </w:r>
      <w:proofErr w:type="gramEnd"/>
      <w:r w:rsidRPr="00242BD3">
        <w:rPr>
          <w:rFonts w:ascii="宋体" w:hAnsi="宋体" w:cs="宋体" w:hint="eastAsia"/>
          <w:bCs/>
          <w:color w:val="000000"/>
          <w:sz w:val="21"/>
          <w:szCs w:val="21"/>
        </w:rPr>
        <w:t>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14:paraId="5E646CBD"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九、基金的融资融券和转融通证券出借业务</w:t>
      </w:r>
    </w:p>
    <w:p w14:paraId="4DAC7011" w14:textId="77777777" w:rsidR="00242BD3" w:rsidRPr="00242BD3" w:rsidRDefault="00242BD3" w:rsidP="00242BD3">
      <w:pPr>
        <w:pStyle w:val="a9"/>
        <w:snapToGrid w:val="0"/>
        <w:ind w:firstLineChars="196" w:firstLine="412"/>
        <w:rPr>
          <w:rFonts w:ascii="宋体" w:hAnsi="宋体" w:cs="宋体"/>
          <w:bCs/>
          <w:color w:val="000000"/>
          <w:sz w:val="21"/>
          <w:szCs w:val="21"/>
        </w:rPr>
      </w:pPr>
      <w:r w:rsidRPr="00242BD3">
        <w:rPr>
          <w:rFonts w:ascii="宋体" w:hAnsi="宋体" w:cs="宋体" w:hint="eastAsia"/>
          <w:bCs/>
          <w:color w:val="000000"/>
          <w:sz w:val="21"/>
          <w:szCs w:val="21"/>
        </w:rPr>
        <w:t>本基金可以根据有关法律法规和政策的规定进行融资融券和转融通证券出借业务，在不改变本基金既有投资策略和风险收益特征并在控制风险的前提下，参与融资融券业务以及通过证券金融公司办理转融通证券出借业务，以提高投资效率并进行风险管理，无需召开基金份额持有人大会。基金参与融资融券和转融通证券出借等业务的风险控制原则、具体参与比</w:t>
      </w:r>
      <w:r w:rsidRPr="00242BD3">
        <w:rPr>
          <w:rFonts w:ascii="宋体" w:hAnsi="宋体" w:cs="宋体" w:hint="eastAsia"/>
          <w:bCs/>
          <w:color w:val="000000"/>
          <w:sz w:val="21"/>
          <w:szCs w:val="21"/>
        </w:rPr>
        <w:lastRenderedPageBreak/>
        <w:t>例限制、费用收支、信息披露、估值方法、人员及系统配备、风险管理制度、出借业务的相关安排及其他相关事项按照中国证监会的规定及其他相关法律法规的要求执行。</w:t>
      </w:r>
    </w:p>
    <w:p w14:paraId="6B3DE3B2" w14:textId="14A0E055" w:rsidR="00123A2C" w:rsidRPr="00D871C9" w:rsidRDefault="00123A2C" w:rsidP="00D871C9">
      <w:pPr>
        <w:pStyle w:val="a9"/>
        <w:snapToGrid w:val="0"/>
        <w:ind w:firstLineChars="196" w:firstLine="470"/>
        <w:rPr>
          <w:rFonts w:ascii="宋体" w:hAnsi="宋体" w:cs="宋体"/>
          <w:bCs/>
          <w:color w:val="000000"/>
        </w:rPr>
      </w:pPr>
    </w:p>
    <w:p w14:paraId="12AEF49C" w14:textId="77777777" w:rsidR="003F75AE" w:rsidRPr="00A4035F" w:rsidRDefault="003F75AE">
      <w:pPr>
        <w:snapToGrid w:val="0"/>
        <w:spacing w:line="360" w:lineRule="auto"/>
        <w:ind w:firstLineChars="200" w:firstLine="420"/>
        <w:rPr>
          <w:rFonts w:ascii="宋体" w:cs="Times New Roman"/>
          <w:color w:val="000000"/>
        </w:rPr>
      </w:pPr>
      <w:r w:rsidRPr="00A4035F">
        <w:rPr>
          <w:rFonts w:ascii="宋体" w:cs="Times New Roman"/>
          <w:color w:val="000000"/>
        </w:rPr>
        <w:br w:type="page"/>
      </w:r>
    </w:p>
    <w:p w14:paraId="5CEAB5E6"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97" w:name="_Toc360793502"/>
      <w:bookmarkStart w:id="98" w:name="_Toc362533459"/>
      <w:bookmarkStart w:id="99" w:name="_Toc362455187"/>
      <w:bookmarkStart w:id="100" w:name="_Toc360794104"/>
      <w:bookmarkStart w:id="101" w:name="_Toc360794412"/>
      <w:bookmarkStart w:id="102" w:name="_Toc360794520"/>
      <w:bookmarkStart w:id="103" w:name="_Toc360793854"/>
      <w:bookmarkStart w:id="104" w:name="_Toc416453849"/>
      <w:r w:rsidRPr="00A4035F">
        <w:rPr>
          <w:rFonts w:ascii="宋体" w:eastAsia="宋体" w:hAnsi="宋体" w:cs="宋体" w:hint="eastAsia"/>
        </w:rPr>
        <w:lastRenderedPageBreak/>
        <w:t>基金的财产</w:t>
      </w:r>
      <w:bookmarkEnd w:id="97"/>
      <w:bookmarkEnd w:id="98"/>
      <w:bookmarkEnd w:id="99"/>
      <w:bookmarkEnd w:id="100"/>
      <w:bookmarkEnd w:id="101"/>
      <w:bookmarkEnd w:id="102"/>
      <w:bookmarkEnd w:id="103"/>
      <w:bookmarkEnd w:id="104"/>
    </w:p>
    <w:p w14:paraId="3E0064BD" w14:textId="77777777" w:rsidR="00242BD3" w:rsidRPr="00242BD3" w:rsidRDefault="00242BD3" w:rsidP="00C02547">
      <w:pPr>
        <w:snapToGrid w:val="0"/>
        <w:spacing w:line="360" w:lineRule="auto"/>
        <w:rPr>
          <w:rFonts w:ascii="宋体" w:cs="Times New Roman"/>
        </w:rPr>
      </w:pPr>
      <w:bookmarkStart w:id="105" w:name="_Hlt88841837"/>
      <w:bookmarkStart w:id="106" w:name="_Hlt88900062"/>
      <w:bookmarkEnd w:id="105"/>
      <w:bookmarkEnd w:id="106"/>
    </w:p>
    <w:p w14:paraId="30256D65"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一、基金资产总值</w:t>
      </w:r>
    </w:p>
    <w:p w14:paraId="26E28127"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基金资产总值是指购买的各类证券及票据价值、银行存款本息和基金应收的申购基金款以及其他投资所形成的价值总和。</w:t>
      </w:r>
    </w:p>
    <w:p w14:paraId="5A81774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二、基金资产净值</w:t>
      </w:r>
    </w:p>
    <w:p w14:paraId="33C8DA65"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基金资产净值是指基金资产总值减去基金负债后的价值。</w:t>
      </w:r>
    </w:p>
    <w:p w14:paraId="3B6F301B"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三、基金财产的账户</w:t>
      </w:r>
    </w:p>
    <w:p w14:paraId="3395465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00B92D5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四、基金财产的保管和处分</w:t>
      </w:r>
    </w:p>
    <w:p w14:paraId="5B0DF88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242BD3">
        <w:rPr>
          <w:rFonts w:ascii="宋体" w:cs="Times New Roman" w:hint="eastAsia"/>
        </w:rPr>
        <w:t>律法规</w:t>
      </w:r>
      <w:proofErr w:type="gramEnd"/>
      <w:r w:rsidRPr="00242BD3">
        <w:rPr>
          <w:rFonts w:ascii="宋体" w:cs="Times New Roman" w:hint="eastAsia"/>
        </w:rPr>
        <w:t>和《基金合同》的规定处分外，基金财产不得被处分。</w:t>
      </w:r>
    </w:p>
    <w:p w14:paraId="4203AE7B"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242BD3">
        <w:rPr>
          <w:rFonts w:ascii="宋体" w:cs="Times New Roman" w:hint="eastAsia"/>
        </w:rPr>
        <w:t>抵销</w:t>
      </w:r>
      <w:proofErr w:type="gramEnd"/>
      <w:r w:rsidRPr="00242BD3">
        <w:rPr>
          <w:rFonts w:ascii="宋体" w:cs="Times New Roman" w:hint="eastAsia"/>
        </w:rPr>
        <w:t>；基金管理人管理运作不同基金的基金财产所产生的债权债务不得相互</w:t>
      </w:r>
      <w:proofErr w:type="gramStart"/>
      <w:r w:rsidRPr="00242BD3">
        <w:rPr>
          <w:rFonts w:ascii="宋体" w:cs="Times New Roman" w:hint="eastAsia"/>
        </w:rPr>
        <w:t>抵销</w:t>
      </w:r>
      <w:proofErr w:type="gramEnd"/>
      <w:r w:rsidRPr="00242BD3">
        <w:rPr>
          <w:rFonts w:ascii="宋体" w:cs="Times New Roman" w:hint="eastAsia"/>
        </w:rPr>
        <w:t>。非因基金财产本身承担的债务，不得对基金财产强制执行。</w:t>
      </w:r>
    </w:p>
    <w:p w14:paraId="30A04196" w14:textId="7690A2FB" w:rsidR="003F75AE" w:rsidRPr="00A4035F" w:rsidRDefault="003F75AE" w:rsidP="00242BD3">
      <w:pPr>
        <w:snapToGrid w:val="0"/>
        <w:spacing w:line="360" w:lineRule="auto"/>
        <w:ind w:firstLineChars="200" w:firstLine="420"/>
        <w:rPr>
          <w:rFonts w:ascii="宋体" w:cs="Times New Roman"/>
        </w:rPr>
      </w:pPr>
    </w:p>
    <w:p w14:paraId="0F00EE60" w14:textId="77777777" w:rsidR="003F75AE" w:rsidRPr="00A4035F" w:rsidRDefault="003F75AE">
      <w:pPr>
        <w:snapToGrid w:val="0"/>
        <w:spacing w:line="360" w:lineRule="auto"/>
        <w:ind w:firstLineChars="200" w:firstLine="420"/>
        <w:rPr>
          <w:rFonts w:ascii="宋体" w:cs="Times New Roman"/>
          <w:color w:val="000000"/>
        </w:rPr>
      </w:pPr>
    </w:p>
    <w:p w14:paraId="31C590A9" w14:textId="77777777" w:rsidR="003F75AE" w:rsidRPr="00A4035F" w:rsidRDefault="003F75AE">
      <w:pPr>
        <w:pStyle w:val="afff0"/>
        <w:snapToGrid w:val="0"/>
        <w:spacing w:line="360" w:lineRule="auto"/>
        <w:ind w:firstLineChars="200"/>
        <w:rPr>
          <w:rFonts w:ascii="宋体"/>
          <w:color w:val="000000"/>
        </w:rPr>
      </w:pPr>
      <w:r w:rsidRPr="00A4035F">
        <w:rPr>
          <w:rFonts w:ascii="宋体"/>
          <w:color w:val="000000"/>
          <w:kern w:val="0"/>
        </w:rPr>
        <w:br w:type="page"/>
      </w:r>
    </w:p>
    <w:p w14:paraId="034B72EF"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07" w:name="_Toc360794105"/>
      <w:bookmarkStart w:id="108" w:name="_Toc360794413"/>
      <w:bookmarkStart w:id="109" w:name="_Toc360793855"/>
      <w:bookmarkStart w:id="110" w:name="_Toc360794521"/>
      <w:bookmarkStart w:id="111" w:name="_Toc362455188"/>
      <w:bookmarkStart w:id="112" w:name="_Toc360793503"/>
      <w:bookmarkStart w:id="113" w:name="_Toc416453850"/>
      <w:bookmarkStart w:id="114" w:name="_Toc362533460"/>
      <w:r w:rsidRPr="00A4035F">
        <w:rPr>
          <w:rFonts w:ascii="宋体" w:eastAsia="宋体" w:hAnsi="宋体" w:cs="宋体" w:hint="eastAsia"/>
        </w:rPr>
        <w:lastRenderedPageBreak/>
        <w:t>基金资产估值</w:t>
      </w:r>
      <w:bookmarkEnd w:id="107"/>
      <w:bookmarkEnd w:id="108"/>
      <w:bookmarkEnd w:id="109"/>
      <w:bookmarkEnd w:id="110"/>
      <w:bookmarkEnd w:id="111"/>
      <w:bookmarkEnd w:id="112"/>
      <w:bookmarkEnd w:id="113"/>
      <w:bookmarkEnd w:id="114"/>
    </w:p>
    <w:p w14:paraId="0084FA41" w14:textId="77777777" w:rsidR="003F75AE" w:rsidRPr="00A4035F" w:rsidRDefault="003F75AE" w:rsidP="003F75AE">
      <w:pPr>
        <w:snapToGrid w:val="0"/>
        <w:spacing w:line="360" w:lineRule="auto"/>
        <w:ind w:firstLineChars="200" w:firstLine="420"/>
        <w:rPr>
          <w:rFonts w:ascii="宋体" w:cs="Times New Roman"/>
        </w:rPr>
      </w:pPr>
    </w:p>
    <w:p w14:paraId="110B951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一、估值日</w:t>
      </w:r>
    </w:p>
    <w:p w14:paraId="0464078D"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本基金的估值日为本基金相关的证券交易场所的交易日以及国家法律法规规定需要对外披露基金净值的</w:t>
      </w:r>
      <w:proofErr w:type="gramStart"/>
      <w:r w:rsidRPr="00242BD3">
        <w:rPr>
          <w:rFonts w:ascii="Times New Roman" w:hAnsi="Times New Roman" w:cs="Times New Roman" w:hint="eastAsia"/>
        </w:rPr>
        <w:t>非交易</w:t>
      </w:r>
      <w:proofErr w:type="gramEnd"/>
      <w:r w:rsidRPr="00242BD3">
        <w:rPr>
          <w:rFonts w:ascii="Times New Roman" w:hAnsi="Times New Roman" w:cs="Times New Roman" w:hint="eastAsia"/>
        </w:rPr>
        <w:t>日。</w:t>
      </w:r>
    </w:p>
    <w:p w14:paraId="0C825E6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二、估值对象</w:t>
      </w:r>
    </w:p>
    <w:p w14:paraId="006D49E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基金所拥有的目标</w:t>
      </w:r>
      <w:r w:rsidRPr="00242BD3">
        <w:rPr>
          <w:rFonts w:ascii="Times New Roman" w:hAnsi="Times New Roman" w:cs="Times New Roman" w:hint="eastAsia"/>
        </w:rPr>
        <w:t>ETF</w:t>
      </w:r>
      <w:r w:rsidRPr="00242BD3">
        <w:rPr>
          <w:rFonts w:ascii="Times New Roman" w:hAnsi="Times New Roman" w:cs="Times New Roman" w:hint="eastAsia"/>
        </w:rPr>
        <w:t>基金份额、股票、债券、银行存款本息、应收款项、衍生工具和其他投资等资产及负债。</w:t>
      </w:r>
    </w:p>
    <w:p w14:paraId="7BB8CF4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三、估值原则</w:t>
      </w:r>
    </w:p>
    <w:p w14:paraId="7BF49EA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基金管理人在确定相关金融资产和金融负债的公允价值时，应符合《企业会计准则》、监管部门有关规定。</w:t>
      </w:r>
    </w:p>
    <w:p w14:paraId="7277332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1F31C5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6930B19"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21DA19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（三）如经济环境发生重大变化或证券发行人发生影响证券价格的重大事件，使潜在估值调整对前一估值日的基金资产净值的影响在</w:t>
      </w:r>
      <w:r w:rsidRPr="00242BD3">
        <w:rPr>
          <w:rFonts w:ascii="Times New Roman" w:hAnsi="Times New Roman" w:cs="Times New Roman" w:hint="eastAsia"/>
        </w:rPr>
        <w:t>0.25%</w:t>
      </w:r>
      <w:r w:rsidRPr="00242BD3">
        <w:rPr>
          <w:rFonts w:ascii="Times New Roman" w:hAnsi="Times New Roman" w:cs="Times New Roman" w:hint="eastAsia"/>
        </w:rPr>
        <w:t>以上的，应对估值进行调整并确定公允价值。</w:t>
      </w:r>
    </w:p>
    <w:p w14:paraId="15CCD9BA"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四、估值方法</w:t>
      </w:r>
    </w:p>
    <w:p w14:paraId="6EC96D10"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、目标</w:t>
      </w:r>
      <w:r w:rsidRPr="00242BD3">
        <w:rPr>
          <w:rFonts w:ascii="Times New Roman" w:hAnsi="Times New Roman" w:cs="Times New Roman" w:hint="eastAsia"/>
        </w:rPr>
        <w:t>ETF</w:t>
      </w:r>
      <w:r w:rsidRPr="00242BD3">
        <w:rPr>
          <w:rFonts w:ascii="Times New Roman" w:hAnsi="Times New Roman" w:cs="Times New Roman" w:hint="eastAsia"/>
        </w:rPr>
        <w:t>的估值</w:t>
      </w:r>
    </w:p>
    <w:p w14:paraId="4069FD5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本基金投资的目标</w:t>
      </w:r>
      <w:r w:rsidRPr="00242BD3">
        <w:rPr>
          <w:rFonts w:ascii="Times New Roman" w:hAnsi="Times New Roman" w:cs="Times New Roman" w:hint="eastAsia"/>
        </w:rPr>
        <w:t>ETF</w:t>
      </w:r>
      <w:r w:rsidRPr="00242BD3">
        <w:rPr>
          <w:rFonts w:ascii="Times New Roman" w:hAnsi="Times New Roman" w:cs="Times New Roman" w:hint="eastAsia"/>
        </w:rPr>
        <w:t>份额以其估值日基金份额净值估值。</w:t>
      </w:r>
    </w:p>
    <w:p w14:paraId="3D29D10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、证券交易所上市的有价证券的估值</w:t>
      </w:r>
    </w:p>
    <w:p w14:paraId="0845814B"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1</w:t>
      </w:r>
      <w:r w:rsidRPr="00242BD3">
        <w:rPr>
          <w:rFonts w:ascii="Times New Roman" w:hAnsi="Times New Roman" w:cs="Times New Roman" w:hint="eastAsia"/>
        </w:rPr>
        <w:t>）交易所上市的有价证券（包括股票等），以其估值日在证券交易所挂牌的市价（收盘价）估值；估值日无交易的，且最近交易日后经济环境未发生重大变化或证券发行机构未</w:t>
      </w:r>
      <w:r w:rsidRPr="00242BD3">
        <w:rPr>
          <w:rFonts w:ascii="Times New Roman" w:hAnsi="Times New Roman" w:cs="Times New Roman"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D7DDC1B"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）交易所上市交易或挂牌转让的不含</w:t>
      </w:r>
      <w:proofErr w:type="gramStart"/>
      <w:r w:rsidRPr="00242BD3">
        <w:rPr>
          <w:rFonts w:ascii="Times New Roman" w:hAnsi="Times New Roman" w:cs="Times New Roman" w:hint="eastAsia"/>
        </w:rPr>
        <w:t>权固定</w:t>
      </w:r>
      <w:proofErr w:type="gramEnd"/>
      <w:r w:rsidRPr="00242BD3">
        <w:rPr>
          <w:rFonts w:ascii="Times New Roman" w:hAnsi="Times New Roman" w:cs="Times New Roman" w:hint="eastAsia"/>
        </w:rPr>
        <w:t>收益品种，选取估值日第三方估值机构提供的相应品种当日的估值净价进行估值；</w:t>
      </w:r>
    </w:p>
    <w:p w14:paraId="1071EB0D"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）交易所上市交易或挂牌转让的含</w:t>
      </w:r>
      <w:proofErr w:type="gramStart"/>
      <w:r w:rsidRPr="00242BD3">
        <w:rPr>
          <w:rFonts w:ascii="Times New Roman" w:hAnsi="Times New Roman" w:cs="Times New Roman" w:hint="eastAsia"/>
        </w:rPr>
        <w:t>权固定</w:t>
      </w:r>
      <w:proofErr w:type="gramEnd"/>
      <w:r w:rsidRPr="00242BD3">
        <w:rPr>
          <w:rFonts w:ascii="Times New Roman" w:hAnsi="Times New Roman" w:cs="Times New Roman" w:hint="eastAsia"/>
        </w:rPr>
        <w:t>收益品种，选取估值日第三方估值机构提供的相应品种当日的唯一估值净价或推荐估值净价进行估值；</w:t>
      </w:r>
    </w:p>
    <w:p w14:paraId="7D531348"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4</w:t>
      </w:r>
      <w:r w:rsidRPr="00242BD3">
        <w:rPr>
          <w:rFonts w:ascii="Times New Roman" w:hAnsi="Times New Roman" w:cs="Times New Roman" w:hint="eastAsia"/>
        </w:rPr>
        <w:t>）交易所上市交易的可转换债券以每日收盘价作为估值全价；</w:t>
      </w:r>
    </w:p>
    <w:p w14:paraId="7717AEE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5</w:t>
      </w:r>
      <w:r w:rsidRPr="00242BD3">
        <w:rPr>
          <w:rFonts w:ascii="Times New Roman" w:hAnsi="Times New Roman" w:cs="Times New Roman" w:hint="eastAsia"/>
        </w:rPr>
        <w:t>）交易所上市不存在活跃市场的有价证券，采用估值技术确定公允价值。交易所市场挂牌转让的资产支持证券，采用估值技术确定公允价值；</w:t>
      </w:r>
    </w:p>
    <w:p w14:paraId="629D0C8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6</w:t>
      </w:r>
      <w:r w:rsidRPr="00242BD3">
        <w:rPr>
          <w:rFonts w:ascii="Times New Roman" w:hAnsi="Times New Roman" w:cs="Times New Roman"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DF5D388"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3</w:t>
      </w:r>
      <w:r w:rsidRPr="00242BD3">
        <w:rPr>
          <w:rFonts w:ascii="Times New Roman" w:hAnsi="Times New Roman" w:cs="Times New Roman" w:hint="eastAsia"/>
        </w:rPr>
        <w:t>、处于未上市期间的有价证券应区分如下情况处理：</w:t>
      </w:r>
    </w:p>
    <w:p w14:paraId="1AC0EF5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1</w:t>
      </w:r>
      <w:r w:rsidRPr="00242BD3">
        <w:rPr>
          <w:rFonts w:ascii="Times New Roman" w:hAnsi="Times New Roman" w:cs="Times New Roman" w:hint="eastAsia"/>
        </w:rPr>
        <w:t>）送股、转增股、配股和公开增发的新股，按估值日在证券交易所挂牌的同一股票的估值方法估值；该日无交易的，以最近一日的市价（收盘价）估值；</w:t>
      </w:r>
    </w:p>
    <w:p w14:paraId="76AB65E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）首次公开发行未上市的股票和债券，采用估值技术确定公允价值，在估值技术难以可靠计量公允价值的情况下，按成本估值。</w:t>
      </w:r>
    </w:p>
    <w:p w14:paraId="28721635"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42BD3">
        <w:rPr>
          <w:rFonts w:ascii="Times New Roman" w:hAnsi="Times New Roman" w:cs="Times New Roman" w:hint="eastAsia"/>
        </w:rPr>
        <w:t>券</w:t>
      </w:r>
      <w:proofErr w:type="gramEnd"/>
      <w:r w:rsidRPr="00242BD3">
        <w:rPr>
          <w:rFonts w:ascii="Times New Roman" w:hAnsi="Times New Roman" w:cs="Times New Roman" w:hint="eastAsia"/>
        </w:rPr>
        <w:t>等流通受限股票，按监管机构或行业协会有关规定确定公允价值。</w:t>
      </w:r>
    </w:p>
    <w:p w14:paraId="3BCAB251"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4</w:t>
      </w:r>
      <w:r w:rsidRPr="00242BD3">
        <w:rPr>
          <w:rFonts w:ascii="Times New Roman" w:hAnsi="Times New Roman" w:cs="Times New Roman"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A2796B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5</w:t>
      </w:r>
      <w:r w:rsidRPr="00242BD3">
        <w:rPr>
          <w:rFonts w:ascii="Times New Roman" w:hAnsi="Times New Roman" w:cs="Times New Roman" w:hint="eastAsia"/>
        </w:rPr>
        <w:t>、如有确凿证据表明按上述方法进行估值不能客观反映其公允价值的，基金管理人可根据具体情况与基金托管人商定后，按最能反映公允价值的价格估值。</w:t>
      </w:r>
    </w:p>
    <w:p w14:paraId="0BCD69F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6</w:t>
      </w:r>
      <w:r w:rsidRPr="00242BD3">
        <w:rPr>
          <w:rFonts w:ascii="Times New Roman" w:hAnsi="Times New Roman" w:cs="Times New Roman" w:hint="eastAsia"/>
        </w:rPr>
        <w:t>、本基金投资股指期货合约，股票期权合约，一般以估值当日结算价进行</w:t>
      </w:r>
      <w:r w:rsidRPr="00242BD3">
        <w:rPr>
          <w:rFonts w:ascii="Times New Roman" w:hAnsi="Times New Roman" w:cs="Times New Roman" w:hint="eastAsia"/>
        </w:rPr>
        <w:t xml:space="preserve"> </w:t>
      </w:r>
      <w:r w:rsidRPr="00242BD3">
        <w:rPr>
          <w:rFonts w:ascii="Times New Roman" w:hAnsi="Times New Roman" w:cs="Times New Roman" w:hint="eastAsia"/>
        </w:rPr>
        <w:t>估值，估值当日无结算价的，且最近交易日后经济环境未发生重大变化的，采用</w:t>
      </w:r>
      <w:r w:rsidRPr="00242BD3">
        <w:rPr>
          <w:rFonts w:ascii="Times New Roman" w:hAnsi="Times New Roman" w:cs="Times New Roman" w:hint="eastAsia"/>
        </w:rPr>
        <w:t xml:space="preserve"> </w:t>
      </w:r>
      <w:r w:rsidRPr="00242BD3">
        <w:rPr>
          <w:rFonts w:ascii="Times New Roman" w:hAnsi="Times New Roman" w:cs="Times New Roman" w:hint="eastAsia"/>
        </w:rPr>
        <w:t>最近交易日结算价估值。</w:t>
      </w:r>
    </w:p>
    <w:p w14:paraId="6266AB6D"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lastRenderedPageBreak/>
        <w:t>7</w:t>
      </w:r>
      <w:r w:rsidRPr="00242BD3">
        <w:rPr>
          <w:rFonts w:ascii="Times New Roman" w:hAnsi="Times New Roman" w:cs="Times New Roman" w:hint="eastAsia"/>
        </w:rPr>
        <w:t>、基金参与转融通证券出借业务的，应参照相关法律法规和中国证券投资基金业协会发布的相关规定进行估值，确保估值的公允性。</w:t>
      </w:r>
    </w:p>
    <w:p w14:paraId="17CB631F"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8</w:t>
      </w:r>
      <w:r w:rsidRPr="00242BD3">
        <w:rPr>
          <w:rFonts w:ascii="Times New Roman" w:hAnsi="Times New Roman" w:cs="Times New Roman" w:hint="eastAsia"/>
        </w:rPr>
        <w:t>、当发生大额申购或赎回情形时，基金管理人可以采用摆动定价机制，以确保基金估值的公平性。</w:t>
      </w:r>
    </w:p>
    <w:p w14:paraId="70A64CAA"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9</w:t>
      </w:r>
      <w:r w:rsidRPr="00242BD3">
        <w:rPr>
          <w:rFonts w:ascii="Times New Roman" w:hAnsi="Times New Roman" w:cs="Times New Roman" w:hint="eastAsia"/>
        </w:rPr>
        <w:t>、相关法律法规以及监管部门有强制规定的，从其规定。如有新增事项，按国家最新规定估值。</w:t>
      </w:r>
    </w:p>
    <w:p w14:paraId="36D7FCA3"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1703BBD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54979DA"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五、估值程序</w:t>
      </w:r>
    </w:p>
    <w:p w14:paraId="6ED45EC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、基金份额净值是按照每个估值日闭市后，各类基金份额的基金资产净值除以当日该类基金份额的余额数量计算，精确到</w:t>
      </w:r>
      <w:r w:rsidRPr="00242BD3">
        <w:rPr>
          <w:rFonts w:ascii="Times New Roman" w:hAnsi="Times New Roman" w:cs="Times New Roman" w:hint="eastAsia"/>
        </w:rPr>
        <w:t>0.0001</w:t>
      </w:r>
      <w:r w:rsidRPr="00242BD3">
        <w:rPr>
          <w:rFonts w:ascii="Times New Roman" w:hAnsi="Times New Roman" w:cs="Times New Roman" w:hint="eastAsia"/>
        </w:rPr>
        <w:t>元，小数点后第</w:t>
      </w:r>
      <w:r w:rsidRPr="00242BD3">
        <w:rPr>
          <w:rFonts w:ascii="Times New Roman" w:hAnsi="Times New Roman" w:cs="Times New Roman" w:hint="eastAsia"/>
        </w:rPr>
        <w:t>5</w:t>
      </w:r>
      <w:r w:rsidRPr="00242BD3">
        <w:rPr>
          <w:rFonts w:ascii="Times New Roman" w:hAnsi="Times New Roman" w:cs="Times New Roman" w:hint="eastAsia"/>
        </w:rPr>
        <w:t>位四舍五入。基金管理人可以设立大额赎回情形下的净值精度应急调整机制。国家另有规定的，从其规定。</w:t>
      </w:r>
    </w:p>
    <w:p w14:paraId="64442C0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基金管理人</w:t>
      </w:r>
      <w:proofErr w:type="gramStart"/>
      <w:r w:rsidRPr="00242BD3">
        <w:rPr>
          <w:rFonts w:ascii="Times New Roman" w:hAnsi="Times New Roman" w:cs="Times New Roman" w:hint="eastAsia"/>
        </w:rPr>
        <w:t>应每个</w:t>
      </w:r>
      <w:proofErr w:type="gramEnd"/>
      <w:r w:rsidRPr="00242BD3">
        <w:rPr>
          <w:rFonts w:ascii="Times New Roman" w:hAnsi="Times New Roman" w:cs="Times New Roman" w:hint="eastAsia"/>
        </w:rPr>
        <w:t>估值日计算基金资产净值及基金份额净值，并按规定公告。</w:t>
      </w:r>
    </w:p>
    <w:p w14:paraId="265972E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、基金管理人</w:t>
      </w:r>
      <w:proofErr w:type="gramStart"/>
      <w:r w:rsidRPr="00242BD3">
        <w:rPr>
          <w:rFonts w:ascii="Times New Roman" w:hAnsi="Times New Roman" w:cs="Times New Roman" w:hint="eastAsia"/>
        </w:rPr>
        <w:t>应每个</w:t>
      </w:r>
      <w:proofErr w:type="gramEnd"/>
      <w:r w:rsidRPr="00242BD3">
        <w:rPr>
          <w:rFonts w:ascii="Times New Roman" w:hAnsi="Times New Roman" w:cs="Times New Roman" w:hint="eastAsia"/>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50995BB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六、估值错误的处理</w:t>
      </w:r>
    </w:p>
    <w:p w14:paraId="2660288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基金管理人和基金托管人将采取必要、适当、合理的措施确保基金资产估值的准确性、及时性。当基金份额净值小数点后</w:t>
      </w:r>
      <w:r w:rsidRPr="00242BD3">
        <w:rPr>
          <w:rFonts w:ascii="Times New Roman" w:hAnsi="Times New Roman" w:cs="Times New Roman" w:hint="eastAsia"/>
        </w:rPr>
        <w:t>4</w:t>
      </w:r>
      <w:r w:rsidRPr="00242BD3">
        <w:rPr>
          <w:rFonts w:ascii="Times New Roman" w:hAnsi="Times New Roman" w:cs="Times New Roman" w:hint="eastAsia"/>
        </w:rPr>
        <w:t>位以内</w:t>
      </w:r>
      <w:r w:rsidRPr="00242BD3">
        <w:rPr>
          <w:rFonts w:ascii="Times New Roman" w:hAnsi="Times New Roman" w:cs="Times New Roman" w:hint="eastAsia"/>
        </w:rPr>
        <w:t>(</w:t>
      </w:r>
      <w:r w:rsidRPr="00242BD3">
        <w:rPr>
          <w:rFonts w:ascii="Times New Roman" w:hAnsi="Times New Roman" w:cs="Times New Roman" w:hint="eastAsia"/>
        </w:rPr>
        <w:t>含第</w:t>
      </w:r>
      <w:r w:rsidRPr="00242BD3">
        <w:rPr>
          <w:rFonts w:ascii="Times New Roman" w:hAnsi="Times New Roman" w:cs="Times New Roman" w:hint="eastAsia"/>
        </w:rPr>
        <w:t>4</w:t>
      </w:r>
      <w:r w:rsidRPr="00242BD3">
        <w:rPr>
          <w:rFonts w:ascii="Times New Roman" w:hAnsi="Times New Roman" w:cs="Times New Roman" w:hint="eastAsia"/>
        </w:rPr>
        <w:t>位</w:t>
      </w:r>
      <w:r w:rsidRPr="00242BD3">
        <w:rPr>
          <w:rFonts w:ascii="Times New Roman" w:hAnsi="Times New Roman" w:cs="Times New Roman" w:hint="eastAsia"/>
        </w:rPr>
        <w:t>)</w:t>
      </w:r>
      <w:r w:rsidRPr="00242BD3">
        <w:rPr>
          <w:rFonts w:ascii="Times New Roman" w:hAnsi="Times New Roman" w:cs="Times New Roman" w:hint="eastAsia"/>
        </w:rPr>
        <w:t>发生估值错误时，视为基金份额净值错误。</w:t>
      </w:r>
    </w:p>
    <w:p w14:paraId="51FF09C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本基金合同的当事人应按照以下约定处理：</w:t>
      </w:r>
    </w:p>
    <w:p w14:paraId="4027B9A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、估值错误类型</w:t>
      </w:r>
    </w:p>
    <w:p w14:paraId="4F099CF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242BD3">
        <w:rPr>
          <w:rFonts w:ascii="Times New Roman" w:hAnsi="Times New Roman" w:cs="Times New Roman" w:hint="eastAsia"/>
        </w:rPr>
        <w:t>(</w:t>
      </w:r>
      <w:r w:rsidRPr="00242BD3">
        <w:rPr>
          <w:rFonts w:ascii="Times New Roman" w:hAnsi="Times New Roman" w:cs="Times New Roman" w:hint="eastAsia"/>
        </w:rPr>
        <w:t>“受损方”</w:t>
      </w:r>
      <w:r w:rsidRPr="00242BD3">
        <w:rPr>
          <w:rFonts w:ascii="Times New Roman" w:hAnsi="Times New Roman" w:cs="Times New Roman" w:hint="eastAsia"/>
        </w:rPr>
        <w:t>)</w:t>
      </w:r>
      <w:r w:rsidRPr="00242BD3">
        <w:rPr>
          <w:rFonts w:ascii="Times New Roman" w:hAnsi="Times New Roman" w:cs="Times New Roman" w:hint="eastAsia"/>
        </w:rPr>
        <w:t>的直接损失按下述“估值错误处理原则”给予赔偿，承担赔偿责任。</w:t>
      </w:r>
    </w:p>
    <w:p w14:paraId="3ED6DDF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上述估值错误的主要类型包括但不限于：资料申报差错、数据传输差错、数据计算差错、系统故障差错、下达指令差错等。</w:t>
      </w:r>
    </w:p>
    <w:p w14:paraId="540EDFD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、估值错误处理原则</w:t>
      </w:r>
    </w:p>
    <w:p w14:paraId="59AF20E3"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lastRenderedPageBreak/>
        <w:t>（</w:t>
      </w:r>
      <w:r w:rsidRPr="00242BD3">
        <w:rPr>
          <w:rFonts w:ascii="Times New Roman" w:hAnsi="Times New Roman" w:cs="Times New Roman" w:hint="eastAsia"/>
        </w:rPr>
        <w:t>1</w:t>
      </w:r>
      <w:r w:rsidRPr="00242BD3">
        <w:rPr>
          <w:rFonts w:ascii="Times New Roman" w:hAnsi="Times New Roman" w:cs="Times New Roman"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8D8B1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）估值错误的责任方对有关当事人的直接损失负责，不对间接损失负责，并且仅对估值错误的有关直接当事人负责，不对第三方负责。</w:t>
      </w:r>
    </w:p>
    <w:p w14:paraId="071ED1E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）因估值错误而获得不当得利的当事人负有及时返还不当得利的义务。但估值错误责任方仍应对估值错误负责。如果由于获得不当得利的当事人</w:t>
      </w:r>
      <w:proofErr w:type="gramStart"/>
      <w:r w:rsidRPr="00242BD3">
        <w:rPr>
          <w:rFonts w:ascii="Times New Roman" w:hAnsi="Times New Roman" w:cs="Times New Roman" w:hint="eastAsia"/>
        </w:rPr>
        <w:t>不</w:t>
      </w:r>
      <w:proofErr w:type="gramEnd"/>
      <w:r w:rsidRPr="00242BD3">
        <w:rPr>
          <w:rFonts w:ascii="Times New Roman" w:hAnsi="Times New Roman" w:cs="Times New Roman" w:hint="eastAsia"/>
        </w:rPr>
        <w:t>返还或不全部返还不当得利造成其他当事人的利益损失</w:t>
      </w:r>
      <w:r w:rsidRPr="00242BD3">
        <w:rPr>
          <w:rFonts w:ascii="Times New Roman" w:hAnsi="Times New Roman" w:cs="Times New Roman" w:hint="eastAsia"/>
        </w:rPr>
        <w:t>(</w:t>
      </w:r>
      <w:r w:rsidRPr="00242BD3">
        <w:rPr>
          <w:rFonts w:ascii="Times New Roman" w:hAnsi="Times New Roman" w:cs="Times New Roman" w:hint="eastAsia"/>
        </w:rPr>
        <w:t>“受损方”</w:t>
      </w:r>
      <w:r w:rsidRPr="00242BD3">
        <w:rPr>
          <w:rFonts w:ascii="Times New Roman" w:hAnsi="Times New Roman" w:cs="Times New Roman" w:hint="eastAsia"/>
        </w:rPr>
        <w:t>)</w:t>
      </w:r>
      <w:r w:rsidRPr="00242BD3">
        <w:rPr>
          <w:rFonts w:ascii="Times New Roman" w:hAnsi="Times New Roman" w:cs="Times New Roman"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467096B"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4</w:t>
      </w:r>
      <w:r w:rsidRPr="00242BD3">
        <w:rPr>
          <w:rFonts w:ascii="Times New Roman" w:hAnsi="Times New Roman" w:cs="Times New Roman" w:hint="eastAsia"/>
        </w:rPr>
        <w:t>）估值错误调整采用尽量恢复至假设未发生估值错误的正确情形的方式。</w:t>
      </w:r>
    </w:p>
    <w:p w14:paraId="3FE135C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3</w:t>
      </w:r>
      <w:r w:rsidRPr="00242BD3">
        <w:rPr>
          <w:rFonts w:ascii="Times New Roman" w:hAnsi="Times New Roman" w:cs="Times New Roman" w:hint="eastAsia"/>
        </w:rPr>
        <w:t>、估值错误处理程序</w:t>
      </w:r>
    </w:p>
    <w:p w14:paraId="3DD9AA7A"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估值错误被发现后，有关的当事人应当及时进行处理，处理的程序如下：</w:t>
      </w:r>
    </w:p>
    <w:p w14:paraId="626DDC3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1</w:t>
      </w:r>
      <w:r w:rsidRPr="00242BD3">
        <w:rPr>
          <w:rFonts w:ascii="Times New Roman" w:hAnsi="Times New Roman" w:cs="Times New Roman" w:hint="eastAsia"/>
        </w:rPr>
        <w:t>）查明估值错误发生的原因，列明所有的当事人，并根据估值错误发生的原因确定估值错误的责任方；</w:t>
      </w:r>
    </w:p>
    <w:p w14:paraId="2BA6184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）根据估值错误处理原则或当事人协商的方法对因估值错误造成的损失进行评估；</w:t>
      </w:r>
    </w:p>
    <w:p w14:paraId="1DFE1DA8"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）根据估值错误处理原则或当事人协商的方法由估值错误的责任方进行更正和赔偿损失；</w:t>
      </w:r>
    </w:p>
    <w:p w14:paraId="38C482E9"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4</w:t>
      </w:r>
      <w:r w:rsidRPr="00242BD3">
        <w:rPr>
          <w:rFonts w:ascii="Times New Roman" w:hAnsi="Times New Roman" w:cs="Times New Roman" w:hint="eastAsia"/>
        </w:rPr>
        <w:t>）根据估值错误处理的方法，需要修改基金登记机构交易数据的，由基金登记机构进行更正，并就估值错误的更正向有关当事人进行确认。</w:t>
      </w:r>
    </w:p>
    <w:p w14:paraId="65DEE60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4</w:t>
      </w:r>
      <w:r w:rsidRPr="00242BD3">
        <w:rPr>
          <w:rFonts w:ascii="Times New Roman" w:hAnsi="Times New Roman" w:cs="Times New Roman" w:hint="eastAsia"/>
        </w:rPr>
        <w:t>、基金份额净值估值错误处理的方法如下：</w:t>
      </w:r>
    </w:p>
    <w:p w14:paraId="332C96E1"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1</w:t>
      </w:r>
      <w:r w:rsidRPr="00242BD3">
        <w:rPr>
          <w:rFonts w:ascii="Times New Roman" w:hAnsi="Times New Roman" w:cs="Times New Roman" w:hint="eastAsia"/>
        </w:rPr>
        <w:t>）基金份额净值计算出现错误时，基金管理人应当立即予以纠正，通报基金托管人，并采取合理的措施防止损失进一步扩大。</w:t>
      </w:r>
    </w:p>
    <w:p w14:paraId="50A50FE0"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）错误偏差达到基金份额净值的</w:t>
      </w:r>
      <w:r w:rsidRPr="00242BD3">
        <w:rPr>
          <w:rFonts w:ascii="Times New Roman" w:hAnsi="Times New Roman" w:cs="Times New Roman" w:hint="eastAsia"/>
        </w:rPr>
        <w:t>0.25%</w:t>
      </w:r>
      <w:r w:rsidRPr="00242BD3">
        <w:rPr>
          <w:rFonts w:ascii="Times New Roman" w:hAnsi="Times New Roman" w:cs="Times New Roman" w:hint="eastAsia"/>
        </w:rPr>
        <w:t>时，基金管理人应当通报基金托管人并报中国证监会备案；错误偏差达到基金份额净值的</w:t>
      </w:r>
      <w:r w:rsidRPr="00242BD3">
        <w:rPr>
          <w:rFonts w:ascii="Times New Roman" w:hAnsi="Times New Roman" w:cs="Times New Roman" w:hint="eastAsia"/>
        </w:rPr>
        <w:t>0.5%</w:t>
      </w:r>
      <w:r w:rsidRPr="00242BD3">
        <w:rPr>
          <w:rFonts w:ascii="Times New Roman" w:hAnsi="Times New Roman" w:cs="Times New Roman" w:hint="eastAsia"/>
        </w:rPr>
        <w:t>时，基金管理人应当公告，并报中国证监会备案。</w:t>
      </w:r>
    </w:p>
    <w:p w14:paraId="675EF1EB"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）前述内容如法律法规或监管机关另有规定的，从其规定处理。如果行业另有通行做法，双方当事人应本着平等和保护基金份额持有人利益的原则进行协商。</w:t>
      </w:r>
    </w:p>
    <w:p w14:paraId="4073B3A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七、暂停估值的情形</w:t>
      </w:r>
    </w:p>
    <w:p w14:paraId="31BF6A4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、基金投资所涉及的证券</w:t>
      </w:r>
      <w:r w:rsidRPr="00242BD3">
        <w:rPr>
          <w:rFonts w:ascii="Times New Roman" w:hAnsi="Times New Roman" w:cs="Times New Roman" w:hint="eastAsia"/>
        </w:rPr>
        <w:t>/</w:t>
      </w:r>
      <w:r w:rsidRPr="00242BD3">
        <w:rPr>
          <w:rFonts w:ascii="Times New Roman" w:hAnsi="Times New Roman" w:cs="Times New Roman" w:hint="eastAsia"/>
        </w:rPr>
        <w:t>期货交易市场遇法定节假日或因其他原因暂停营业时；</w:t>
      </w:r>
    </w:p>
    <w:p w14:paraId="175DF001"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lastRenderedPageBreak/>
        <w:t>2</w:t>
      </w:r>
      <w:r w:rsidRPr="00242BD3">
        <w:rPr>
          <w:rFonts w:ascii="Times New Roman" w:hAnsi="Times New Roman" w:cs="Times New Roman" w:hint="eastAsia"/>
        </w:rPr>
        <w:t>、基金所投资的目标</w:t>
      </w:r>
      <w:r w:rsidRPr="00242BD3">
        <w:rPr>
          <w:rFonts w:ascii="Times New Roman" w:hAnsi="Times New Roman" w:cs="Times New Roman" w:hint="eastAsia"/>
        </w:rPr>
        <w:t>ETF</w:t>
      </w:r>
      <w:r w:rsidRPr="00242BD3">
        <w:rPr>
          <w:rFonts w:ascii="Times New Roman" w:hAnsi="Times New Roman" w:cs="Times New Roman" w:hint="eastAsia"/>
        </w:rPr>
        <w:t>发生暂停估值、暂停公告基金份额净值的情形；</w:t>
      </w:r>
    </w:p>
    <w:p w14:paraId="09CD1CA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3</w:t>
      </w:r>
      <w:r w:rsidRPr="00242BD3">
        <w:rPr>
          <w:rFonts w:ascii="Times New Roman" w:hAnsi="Times New Roman" w:cs="Times New Roman" w:hint="eastAsia"/>
        </w:rPr>
        <w:t>、因不可抗力致使基金管理人、基金托管人无法准确评估基金资产价值时；</w:t>
      </w:r>
    </w:p>
    <w:p w14:paraId="1CD0CE5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4</w:t>
      </w:r>
      <w:r w:rsidRPr="00242BD3">
        <w:rPr>
          <w:rFonts w:ascii="Times New Roman" w:hAnsi="Times New Roman" w:cs="Times New Roman" w:hint="eastAsia"/>
        </w:rPr>
        <w:t>、当前一估值日基金资产净值</w:t>
      </w:r>
      <w:r w:rsidRPr="00242BD3">
        <w:rPr>
          <w:rFonts w:ascii="Times New Roman" w:hAnsi="Times New Roman" w:cs="Times New Roman" w:hint="eastAsia"/>
        </w:rPr>
        <w:t xml:space="preserve"> 50%</w:t>
      </w:r>
      <w:r w:rsidRPr="00242BD3">
        <w:rPr>
          <w:rFonts w:ascii="Times New Roman" w:hAnsi="Times New Roman" w:cs="Times New Roman" w:hint="eastAsia"/>
        </w:rPr>
        <w:t>以上的资产出现无可参考的活跃市场价格且采用估值技术</w:t>
      </w:r>
      <w:proofErr w:type="gramStart"/>
      <w:r w:rsidRPr="00242BD3">
        <w:rPr>
          <w:rFonts w:ascii="Times New Roman" w:hAnsi="Times New Roman" w:cs="Times New Roman" w:hint="eastAsia"/>
        </w:rPr>
        <w:t>仍导致</w:t>
      </w:r>
      <w:proofErr w:type="gramEnd"/>
      <w:r w:rsidRPr="00242BD3">
        <w:rPr>
          <w:rFonts w:ascii="Times New Roman" w:hAnsi="Times New Roman" w:cs="Times New Roman" w:hint="eastAsia"/>
        </w:rPr>
        <w:t>公允价值存在重大不确定性时，经与基金托管人协商确认后，基金管理人应当暂停估值；</w:t>
      </w:r>
    </w:p>
    <w:p w14:paraId="1187D43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5</w:t>
      </w:r>
      <w:r w:rsidRPr="00242BD3">
        <w:rPr>
          <w:rFonts w:ascii="Times New Roman" w:hAnsi="Times New Roman" w:cs="Times New Roman" w:hint="eastAsia"/>
        </w:rPr>
        <w:t>、中国证监会和基金合同认定的其他情形。</w:t>
      </w:r>
    </w:p>
    <w:p w14:paraId="22E607B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八、基金净值的确认</w:t>
      </w:r>
    </w:p>
    <w:p w14:paraId="6DC201D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14:paraId="46CD8E90"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九、特殊情况的处理</w:t>
      </w:r>
    </w:p>
    <w:p w14:paraId="56E3151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、基金管理人或基金托管人按估值方法的第</w:t>
      </w:r>
      <w:r w:rsidRPr="00242BD3">
        <w:rPr>
          <w:rFonts w:ascii="Times New Roman" w:hAnsi="Times New Roman" w:cs="Times New Roman" w:hint="eastAsia"/>
        </w:rPr>
        <w:t>5</w:t>
      </w:r>
      <w:r w:rsidRPr="00242BD3">
        <w:rPr>
          <w:rFonts w:ascii="Times New Roman" w:hAnsi="Times New Roman" w:cs="Times New Roman" w:hint="eastAsia"/>
        </w:rPr>
        <w:t>项进行估值时，所造成的误差不作为基金资产估值错误处理。</w:t>
      </w:r>
    </w:p>
    <w:p w14:paraId="60ACC09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、由于不可抗力，或由于证券</w:t>
      </w:r>
      <w:r w:rsidRPr="00242BD3">
        <w:rPr>
          <w:rFonts w:ascii="Times New Roman" w:hAnsi="Times New Roman" w:cs="Times New Roman" w:hint="eastAsia"/>
        </w:rPr>
        <w:t>/</w:t>
      </w:r>
      <w:r w:rsidRPr="00242BD3">
        <w:rPr>
          <w:rFonts w:ascii="Times New Roman" w:hAnsi="Times New Roman" w:cs="Times New Roman" w:hint="eastAsia"/>
        </w:rPr>
        <w:t>期货交易所、登记机构等第三方机构发送的数据错误，或国家会计政策变更、市场规则变更等</w:t>
      </w:r>
      <w:proofErr w:type="gramStart"/>
      <w:r w:rsidRPr="00242BD3">
        <w:rPr>
          <w:rFonts w:ascii="Times New Roman" w:hAnsi="Times New Roman" w:cs="Times New Roman" w:hint="eastAsia"/>
        </w:rPr>
        <w:t>非基金</w:t>
      </w:r>
      <w:proofErr w:type="gramEnd"/>
      <w:r w:rsidRPr="00242BD3">
        <w:rPr>
          <w:rFonts w:ascii="Times New Roman" w:hAnsi="Times New Roman" w:cs="Times New Roman" w:hint="eastAsia"/>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EB74CE9" w14:textId="5E6615C9" w:rsidR="00E40F2E" w:rsidRPr="00E40F2E"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rPr>
        <w:t> </w:t>
      </w:r>
    </w:p>
    <w:p w14:paraId="5A0EAF0C" w14:textId="77777777" w:rsidR="003F75AE" w:rsidRPr="00A4035F" w:rsidRDefault="003F75AE" w:rsidP="003F75AE">
      <w:pPr>
        <w:snapToGrid w:val="0"/>
        <w:spacing w:line="360" w:lineRule="auto"/>
        <w:ind w:firstLineChars="200" w:firstLine="482"/>
        <w:rPr>
          <w:rFonts w:ascii="宋体" w:cs="Times New Roman"/>
          <w:color w:val="000000"/>
        </w:rPr>
      </w:pPr>
      <w:r w:rsidRPr="00A4035F">
        <w:rPr>
          <w:rFonts w:ascii="宋体" w:cs="Times New Roman"/>
          <w:b/>
          <w:bCs/>
          <w:color w:val="000000"/>
          <w:kern w:val="0"/>
          <w:sz w:val="24"/>
          <w:szCs w:val="24"/>
        </w:rPr>
        <w:br w:type="page"/>
      </w:r>
    </w:p>
    <w:p w14:paraId="005E348F"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15" w:name="_Toc360794414"/>
      <w:bookmarkStart w:id="116" w:name="_Toc360793856"/>
      <w:bookmarkStart w:id="117" w:name="_Toc360793504"/>
      <w:bookmarkStart w:id="118" w:name="_Toc416453851"/>
      <w:bookmarkStart w:id="119" w:name="_Toc360794106"/>
      <w:bookmarkStart w:id="120" w:name="_Toc362455189"/>
      <w:bookmarkStart w:id="121" w:name="_Toc360794522"/>
      <w:bookmarkStart w:id="122" w:name="_Toc362533461"/>
      <w:r w:rsidRPr="00A4035F">
        <w:rPr>
          <w:rFonts w:ascii="宋体" w:eastAsia="宋体" w:hAnsi="宋体" w:cs="宋体" w:hint="eastAsia"/>
        </w:rPr>
        <w:lastRenderedPageBreak/>
        <w:t>基金的收益与分配</w:t>
      </w:r>
      <w:bookmarkEnd w:id="115"/>
      <w:bookmarkEnd w:id="116"/>
      <w:bookmarkEnd w:id="117"/>
      <w:bookmarkEnd w:id="118"/>
      <w:bookmarkEnd w:id="119"/>
      <w:bookmarkEnd w:id="120"/>
      <w:bookmarkEnd w:id="121"/>
      <w:bookmarkEnd w:id="122"/>
    </w:p>
    <w:p w14:paraId="3912F338" w14:textId="77777777" w:rsidR="003F75AE" w:rsidRPr="00A4035F" w:rsidRDefault="003F75AE" w:rsidP="003F75AE">
      <w:pPr>
        <w:snapToGrid w:val="0"/>
        <w:spacing w:line="360" w:lineRule="auto"/>
        <w:ind w:firstLineChars="200" w:firstLine="422"/>
        <w:rPr>
          <w:rFonts w:ascii="宋体" w:cs="Times New Roman"/>
          <w:b/>
          <w:bCs/>
          <w:color w:val="000000"/>
        </w:rPr>
      </w:pPr>
    </w:p>
    <w:p w14:paraId="79EC8EC7" w14:textId="77777777" w:rsidR="00242BD3" w:rsidRPr="00242BD3" w:rsidRDefault="00242BD3" w:rsidP="00242BD3">
      <w:pPr>
        <w:snapToGrid w:val="0"/>
        <w:spacing w:line="360" w:lineRule="auto"/>
        <w:ind w:firstLineChars="200" w:firstLine="420"/>
        <w:rPr>
          <w:rFonts w:cs="宋体"/>
        </w:rPr>
      </w:pPr>
      <w:r w:rsidRPr="00242BD3">
        <w:rPr>
          <w:rFonts w:cs="宋体" w:hint="eastAsia"/>
        </w:rPr>
        <w:t>一、基金利润的构成</w:t>
      </w:r>
    </w:p>
    <w:p w14:paraId="032E607B" w14:textId="77777777" w:rsidR="00242BD3" w:rsidRPr="00242BD3" w:rsidRDefault="00242BD3" w:rsidP="00242BD3">
      <w:pPr>
        <w:snapToGrid w:val="0"/>
        <w:spacing w:line="360" w:lineRule="auto"/>
        <w:ind w:firstLineChars="200" w:firstLine="420"/>
        <w:rPr>
          <w:rFonts w:cs="宋体"/>
        </w:rPr>
      </w:pPr>
      <w:r w:rsidRPr="00242BD3">
        <w:rPr>
          <w:rFonts w:cs="宋体" w:hint="eastAsia"/>
        </w:rPr>
        <w:t>基金利润指基金利息收入、投资收益、公允价值变动收益和其他收入扣除相关费用后的余额，基金已实现收益指基金利润减去公允价值变动收益后的余额。</w:t>
      </w:r>
    </w:p>
    <w:p w14:paraId="25380FA6" w14:textId="77777777" w:rsidR="00242BD3" w:rsidRPr="00242BD3" w:rsidRDefault="00242BD3" w:rsidP="00242BD3">
      <w:pPr>
        <w:snapToGrid w:val="0"/>
        <w:spacing w:line="360" w:lineRule="auto"/>
        <w:ind w:firstLineChars="200" w:firstLine="420"/>
        <w:rPr>
          <w:rFonts w:cs="宋体"/>
        </w:rPr>
      </w:pPr>
      <w:r w:rsidRPr="00242BD3">
        <w:rPr>
          <w:rFonts w:cs="宋体" w:hint="eastAsia"/>
        </w:rPr>
        <w:t>二、基金可供分配利润</w:t>
      </w:r>
    </w:p>
    <w:p w14:paraId="72BD194A" w14:textId="77777777" w:rsidR="00242BD3" w:rsidRPr="00242BD3" w:rsidRDefault="00242BD3" w:rsidP="00242BD3">
      <w:pPr>
        <w:snapToGrid w:val="0"/>
        <w:spacing w:line="360" w:lineRule="auto"/>
        <w:ind w:firstLineChars="200" w:firstLine="420"/>
        <w:rPr>
          <w:rFonts w:cs="宋体"/>
        </w:rPr>
      </w:pPr>
      <w:r w:rsidRPr="00242BD3">
        <w:rPr>
          <w:rFonts w:cs="宋体" w:hint="eastAsia"/>
        </w:rPr>
        <w:t>基金可供分配利润指截至收益分配基准日基金未分配利润与未分配利润中已实现收益的孰低数。</w:t>
      </w:r>
    </w:p>
    <w:p w14:paraId="5B800F63" w14:textId="77777777" w:rsidR="00242BD3" w:rsidRPr="00242BD3" w:rsidRDefault="00242BD3" w:rsidP="00242BD3">
      <w:pPr>
        <w:snapToGrid w:val="0"/>
        <w:spacing w:line="360" w:lineRule="auto"/>
        <w:ind w:firstLineChars="200" w:firstLine="420"/>
        <w:rPr>
          <w:rFonts w:cs="宋体"/>
        </w:rPr>
      </w:pPr>
      <w:r w:rsidRPr="00242BD3">
        <w:rPr>
          <w:rFonts w:cs="宋体" w:hint="eastAsia"/>
        </w:rPr>
        <w:t>三、基金收益分配原则</w:t>
      </w:r>
    </w:p>
    <w:p w14:paraId="5ADB2B32" w14:textId="77777777" w:rsidR="00242BD3" w:rsidRPr="00242BD3" w:rsidRDefault="00242BD3" w:rsidP="00242BD3">
      <w:pPr>
        <w:snapToGrid w:val="0"/>
        <w:spacing w:line="360" w:lineRule="auto"/>
        <w:ind w:firstLineChars="200" w:firstLine="420"/>
        <w:rPr>
          <w:rFonts w:cs="宋体"/>
        </w:rPr>
      </w:pPr>
      <w:r w:rsidRPr="00242BD3">
        <w:rPr>
          <w:rFonts w:cs="宋体" w:hint="eastAsia"/>
        </w:rPr>
        <w:t>1</w:t>
      </w:r>
      <w:r w:rsidRPr="00242BD3">
        <w:rPr>
          <w:rFonts w:cs="宋体" w:hint="eastAsia"/>
        </w:rPr>
        <w:t>、在符合有关基金分红条件的前提下，本基金每年收益分配次数最多为</w:t>
      </w:r>
      <w:r w:rsidRPr="00242BD3">
        <w:rPr>
          <w:rFonts w:cs="宋体" w:hint="eastAsia"/>
        </w:rPr>
        <w:t>12</w:t>
      </w:r>
      <w:r w:rsidRPr="00242BD3">
        <w:rPr>
          <w:rFonts w:cs="宋体" w:hint="eastAsia"/>
        </w:rPr>
        <w:t>次，每份基金份额每次基金收益分配比例不得低于基金收益分配基准日每份基金份额可供分配利润的</w:t>
      </w:r>
      <w:r w:rsidRPr="00242BD3">
        <w:rPr>
          <w:rFonts w:cs="宋体" w:hint="eastAsia"/>
        </w:rPr>
        <w:t>10%</w:t>
      </w:r>
      <w:r w:rsidRPr="00242BD3">
        <w:rPr>
          <w:rFonts w:cs="宋体" w:hint="eastAsia"/>
        </w:rPr>
        <w:t>，若《基金合同》生效不满</w:t>
      </w:r>
      <w:r w:rsidRPr="00242BD3">
        <w:rPr>
          <w:rFonts w:cs="宋体" w:hint="eastAsia"/>
        </w:rPr>
        <w:t>3</w:t>
      </w:r>
      <w:r w:rsidRPr="00242BD3">
        <w:rPr>
          <w:rFonts w:cs="宋体" w:hint="eastAsia"/>
        </w:rPr>
        <w:t>个月可不进行收益分配；</w:t>
      </w:r>
    </w:p>
    <w:p w14:paraId="2514FC06" w14:textId="77777777" w:rsidR="00242BD3" w:rsidRPr="00242BD3" w:rsidRDefault="00242BD3" w:rsidP="00242BD3">
      <w:pPr>
        <w:snapToGrid w:val="0"/>
        <w:spacing w:line="360" w:lineRule="auto"/>
        <w:ind w:firstLineChars="200" w:firstLine="420"/>
        <w:rPr>
          <w:rFonts w:cs="宋体"/>
        </w:rPr>
      </w:pPr>
      <w:r w:rsidRPr="00242BD3">
        <w:rPr>
          <w:rFonts w:cs="宋体" w:hint="eastAsia"/>
        </w:rPr>
        <w:t>2</w:t>
      </w:r>
      <w:r w:rsidRPr="00242BD3">
        <w:rPr>
          <w:rFonts w:cs="宋体" w:hint="eastAsia"/>
        </w:rPr>
        <w:t>、本基金收益分配方式分两种：现金分红与红利再投资，投资人可选择现金红利或将现金红利自动转为相应类别的基金份额进行再投资；若投资人不选择，本基金默认的收益分配方式是现金分红；</w:t>
      </w:r>
    </w:p>
    <w:p w14:paraId="31154A5F" w14:textId="77777777" w:rsidR="00242BD3" w:rsidRPr="00242BD3" w:rsidRDefault="00242BD3" w:rsidP="00242BD3">
      <w:pPr>
        <w:snapToGrid w:val="0"/>
        <w:spacing w:line="360" w:lineRule="auto"/>
        <w:ind w:firstLineChars="200" w:firstLine="420"/>
        <w:rPr>
          <w:rFonts w:cs="宋体"/>
        </w:rPr>
      </w:pPr>
      <w:r w:rsidRPr="00242BD3">
        <w:rPr>
          <w:rFonts w:cs="宋体" w:hint="eastAsia"/>
        </w:rPr>
        <w:t>3</w:t>
      </w:r>
      <w:r w:rsidRPr="00242BD3">
        <w:rPr>
          <w:rFonts w:cs="宋体" w:hint="eastAsia"/>
        </w:rPr>
        <w:t>、基金收益分配后基金份额净值不能低于面值；即基金收益分配基准日的基金份额净值减去每单位基金份额收益分配金额后不能低于面值。</w:t>
      </w:r>
    </w:p>
    <w:p w14:paraId="18D2F056" w14:textId="77777777" w:rsidR="00242BD3" w:rsidRPr="00242BD3" w:rsidRDefault="00242BD3" w:rsidP="00242BD3">
      <w:pPr>
        <w:snapToGrid w:val="0"/>
        <w:spacing w:line="360" w:lineRule="auto"/>
        <w:ind w:firstLineChars="200" w:firstLine="420"/>
        <w:rPr>
          <w:rFonts w:cs="宋体"/>
        </w:rPr>
      </w:pPr>
      <w:r w:rsidRPr="00242BD3">
        <w:rPr>
          <w:rFonts w:cs="宋体" w:hint="eastAsia"/>
        </w:rPr>
        <w:t>4</w:t>
      </w:r>
      <w:r w:rsidRPr="00242BD3">
        <w:rPr>
          <w:rFonts w:cs="宋体" w:hint="eastAsia"/>
        </w:rPr>
        <w:t>、同一类别内每一基金份额享有同等分配权；</w:t>
      </w:r>
    </w:p>
    <w:p w14:paraId="6F5AD434" w14:textId="77777777" w:rsidR="00242BD3" w:rsidRPr="00242BD3" w:rsidRDefault="00242BD3" w:rsidP="00242BD3">
      <w:pPr>
        <w:snapToGrid w:val="0"/>
        <w:spacing w:line="360" w:lineRule="auto"/>
        <w:ind w:firstLineChars="200" w:firstLine="420"/>
        <w:rPr>
          <w:rFonts w:cs="宋体"/>
        </w:rPr>
      </w:pPr>
      <w:r w:rsidRPr="00242BD3">
        <w:rPr>
          <w:rFonts w:cs="宋体" w:hint="eastAsia"/>
        </w:rPr>
        <w:t>5</w:t>
      </w:r>
      <w:r w:rsidRPr="00242BD3">
        <w:rPr>
          <w:rFonts w:cs="宋体" w:hint="eastAsia"/>
        </w:rPr>
        <w:t>、法律法规或监管机关另有规定的，从其规定。</w:t>
      </w:r>
    </w:p>
    <w:p w14:paraId="0A8BBB3E" w14:textId="77777777" w:rsidR="00242BD3" w:rsidRPr="00242BD3" w:rsidRDefault="00242BD3" w:rsidP="00242BD3">
      <w:pPr>
        <w:snapToGrid w:val="0"/>
        <w:spacing w:line="360" w:lineRule="auto"/>
        <w:ind w:firstLineChars="200" w:firstLine="420"/>
        <w:rPr>
          <w:rFonts w:cs="宋体"/>
        </w:rPr>
      </w:pPr>
      <w:r w:rsidRPr="00242BD3">
        <w:rPr>
          <w:rFonts w:cs="宋体"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14:paraId="2D9ADFD0" w14:textId="77777777" w:rsidR="00242BD3" w:rsidRPr="00242BD3" w:rsidRDefault="00242BD3" w:rsidP="00242BD3">
      <w:pPr>
        <w:snapToGrid w:val="0"/>
        <w:spacing w:line="360" w:lineRule="auto"/>
        <w:ind w:firstLineChars="200" w:firstLine="420"/>
        <w:rPr>
          <w:rFonts w:cs="宋体"/>
        </w:rPr>
      </w:pPr>
      <w:r w:rsidRPr="00242BD3">
        <w:rPr>
          <w:rFonts w:cs="宋体" w:hint="eastAsia"/>
        </w:rPr>
        <w:t>四、收益分配方案</w:t>
      </w:r>
    </w:p>
    <w:p w14:paraId="2989016F" w14:textId="77777777" w:rsidR="00242BD3" w:rsidRPr="00242BD3" w:rsidRDefault="00242BD3" w:rsidP="00242BD3">
      <w:pPr>
        <w:snapToGrid w:val="0"/>
        <w:spacing w:line="360" w:lineRule="auto"/>
        <w:ind w:firstLineChars="200" w:firstLine="420"/>
        <w:rPr>
          <w:rFonts w:cs="宋体"/>
        </w:rPr>
      </w:pPr>
      <w:r w:rsidRPr="00242BD3">
        <w:rPr>
          <w:rFonts w:cs="宋体" w:hint="eastAsia"/>
        </w:rPr>
        <w:t>基金收益分配方案中应载明截止收益分配基准日的可供分配利润、基金收益分配对象、分配时间、分配数额及比例、分配方式等内容。</w:t>
      </w:r>
    </w:p>
    <w:p w14:paraId="0808D51F" w14:textId="77777777" w:rsidR="00242BD3" w:rsidRPr="00242BD3" w:rsidRDefault="00242BD3" w:rsidP="00242BD3">
      <w:pPr>
        <w:snapToGrid w:val="0"/>
        <w:spacing w:line="360" w:lineRule="auto"/>
        <w:ind w:firstLineChars="200" w:firstLine="420"/>
        <w:rPr>
          <w:rFonts w:cs="宋体"/>
        </w:rPr>
      </w:pPr>
      <w:r w:rsidRPr="00242BD3">
        <w:rPr>
          <w:rFonts w:cs="宋体" w:hint="eastAsia"/>
        </w:rPr>
        <w:t>五、收益分配方案的确定、公告与实施</w:t>
      </w:r>
    </w:p>
    <w:p w14:paraId="55E4B8EA" w14:textId="77777777" w:rsidR="00242BD3" w:rsidRPr="00242BD3" w:rsidRDefault="00242BD3" w:rsidP="00242BD3">
      <w:pPr>
        <w:snapToGrid w:val="0"/>
        <w:spacing w:line="360" w:lineRule="auto"/>
        <w:ind w:firstLineChars="200" w:firstLine="420"/>
        <w:rPr>
          <w:rFonts w:cs="宋体"/>
        </w:rPr>
      </w:pPr>
      <w:r w:rsidRPr="00242BD3">
        <w:rPr>
          <w:rFonts w:cs="宋体" w:hint="eastAsia"/>
        </w:rPr>
        <w:t>本基金收益分配方案由基金管理人拟定，并由基金托管人复核，在</w:t>
      </w:r>
      <w:r w:rsidRPr="00242BD3">
        <w:rPr>
          <w:rFonts w:cs="宋体" w:hint="eastAsia"/>
        </w:rPr>
        <w:t>2</w:t>
      </w:r>
      <w:r w:rsidRPr="00242BD3">
        <w:rPr>
          <w:rFonts w:cs="宋体" w:hint="eastAsia"/>
        </w:rPr>
        <w:t>日内在指定媒介公告。</w:t>
      </w:r>
    </w:p>
    <w:p w14:paraId="4296BAC1" w14:textId="77777777" w:rsidR="00242BD3" w:rsidRPr="00242BD3" w:rsidRDefault="00242BD3" w:rsidP="00242BD3">
      <w:pPr>
        <w:snapToGrid w:val="0"/>
        <w:spacing w:line="360" w:lineRule="auto"/>
        <w:ind w:firstLineChars="200" w:firstLine="420"/>
        <w:rPr>
          <w:rFonts w:cs="宋体"/>
        </w:rPr>
      </w:pPr>
      <w:r w:rsidRPr="00242BD3">
        <w:rPr>
          <w:rFonts w:cs="宋体" w:hint="eastAsia"/>
        </w:rPr>
        <w:t>六、基金收益分配中发生的费用</w:t>
      </w:r>
    </w:p>
    <w:p w14:paraId="3EA8503D" w14:textId="1208C316" w:rsidR="003F75AE" w:rsidRPr="00A4035F" w:rsidRDefault="00242BD3" w:rsidP="00AB54D8">
      <w:pPr>
        <w:snapToGrid w:val="0"/>
        <w:spacing w:line="360" w:lineRule="auto"/>
        <w:ind w:firstLineChars="200" w:firstLine="420"/>
        <w:rPr>
          <w:rFonts w:ascii="宋体" w:cs="Times New Roman"/>
          <w:color w:val="000000"/>
        </w:rPr>
      </w:pPr>
      <w:r w:rsidRPr="00242BD3">
        <w:rPr>
          <w:rFonts w:cs="宋体"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登记机构相关业务规则执行。</w:t>
      </w:r>
      <w:r w:rsidR="003F75AE" w:rsidRPr="00A4035F">
        <w:rPr>
          <w:rFonts w:ascii="宋体" w:cs="Times New Roman"/>
          <w:color w:val="000000"/>
        </w:rPr>
        <w:br w:type="page"/>
      </w:r>
    </w:p>
    <w:p w14:paraId="5A1B0442"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23" w:name="_Toc362533462"/>
      <w:bookmarkStart w:id="124" w:name="_Toc362455190"/>
      <w:bookmarkStart w:id="125" w:name="_Toc360794523"/>
      <w:bookmarkStart w:id="126" w:name="_Toc360793857"/>
      <w:bookmarkStart w:id="127" w:name="_Toc416453852"/>
      <w:bookmarkStart w:id="128" w:name="_Toc360794107"/>
      <w:bookmarkStart w:id="129" w:name="_Toc360793505"/>
      <w:bookmarkStart w:id="130" w:name="_Toc360794415"/>
      <w:r w:rsidRPr="00A4035F">
        <w:rPr>
          <w:rFonts w:ascii="宋体" w:eastAsia="宋体" w:hAnsi="宋体" w:cs="宋体" w:hint="eastAsia"/>
        </w:rPr>
        <w:lastRenderedPageBreak/>
        <w:t>基金的费用与税收</w:t>
      </w:r>
      <w:bookmarkEnd w:id="123"/>
      <w:bookmarkEnd w:id="124"/>
      <w:bookmarkEnd w:id="125"/>
      <w:bookmarkEnd w:id="126"/>
      <w:bookmarkEnd w:id="127"/>
      <w:bookmarkEnd w:id="128"/>
      <w:bookmarkEnd w:id="129"/>
      <w:bookmarkEnd w:id="130"/>
    </w:p>
    <w:p w14:paraId="597F387C" w14:textId="77777777" w:rsidR="003F75AE" w:rsidRDefault="003F75AE" w:rsidP="003F75AE">
      <w:pPr>
        <w:snapToGrid w:val="0"/>
        <w:spacing w:line="360" w:lineRule="auto"/>
        <w:ind w:firstLineChars="200" w:firstLine="422"/>
        <w:rPr>
          <w:rFonts w:ascii="宋体" w:cs="Times New Roman"/>
          <w:b/>
          <w:bCs/>
          <w:color w:val="000000"/>
        </w:rPr>
      </w:pPr>
    </w:p>
    <w:p w14:paraId="0AC59215"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一、基金费用的种类</w:t>
      </w:r>
    </w:p>
    <w:p w14:paraId="5881EA39"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1、基金管理人的管理费；</w:t>
      </w:r>
    </w:p>
    <w:p w14:paraId="0B036833"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2、基金托管人的托管费；</w:t>
      </w:r>
    </w:p>
    <w:p w14:paraId="1CC117B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3、从C类基金份额的基金财产中计提的销售服务费；</w:t>
      </w:r>
    </w:p>
    <w:p w14:paraId="36B68664"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4、《基金合同》生效后与基金相关的信息披露费用；</w:t>
      </w:r>
    </w:p>
    <w:p w14:paraId="134E80CC"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5《基金合同》生效后与基金相关的会计师费、律师费、诉讼费和仲裁费；</w:t>
      </w:r>
    </w:p>
    <w:p w14:paraId="45AFDD1D"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6、基金份额持有人大会费用；</w:t>
      </w:r>
    </w:p>
    <w:p w14:paraId="06C2748F"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7、基金的证券/期货交易费用；</w:t>
      </w:r>
    </w:p>
    <w:p w14:paraId="6CFE4F5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8、基金的银行汇划费用；</w:t>
      </w:r>
    </w:p>
    <w:p w14:paraId="7335A732"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9、基金相关账户的开户及维护费用；</w:t>
      </w:r>
    </w:p>
    <w:p w14:paraId="6C5C222C"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10、因参与转融通证券出借业务而产生的各项合理费用；</w:t>
      </w:r>
    </w:p>
    <w:p w14:paraId="2597D95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11、按照国家有关规定和《基金合同》约定，可以在基金财产中列支的其他费用。</w:t>
      </w:r>
    </w:p>
    <w:p w14:paraId="4D78981F"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二、基金费用计提方法、计提标准和支付方式</w:t>
      </w:r>
    </w:p>
    <w:p w14:paraId="2670B0BC"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 xml:space="preserve">1、基金管理人的管理费 </w:t>
      </w:r>
    </w:p>
    <w:p w14:paraId="4C38DD1C"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本</w:t>
      </w:r>
      <w:proofErr w:type="gramStart"/>
      <w:r w:rsidRPr="00242BD3">
        <w:rPr>
          <w:rFonts w:ascii="宋体" w:hAnsi="宋体" w:hint="eastAsia"/>
          <w:bCs/>
        </w:rPr>
        <w:t>基金基金</w:t>
      </w:r>
      <w:proofErr w:type="gramEnd"/>
      <w:r w:rsidRPr="00242BD3">
        <w:rPr>
          <w:rFonts w:ascii="宋体" w:hAnsi="宋体" w:hint="eastAsia"/>
          <w:bCs/>
        </w:rPr>
        <w:t>财产中投资于目标ETF的部分不收取管理费。本基金的管理费按前一日基金资产净值扣除所持有目标ETF基金份额部分基金资产后的余额（若为负数，则取0）的0.5%年费率计提。管理费的计算方法如下：</w:t>
      </w:r>
    </w:p>
    <w:p w14:paraId="3C875995"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H＝E×0.5%÷当年天数</w:t>
      </w:r>
    </w:p>
    <w:p w14:paraId="2F847DE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H为每日应计提的基金管理费</w:t>
      </w:r>
    </w:p>
    <w:p w14:paraId="08DDBE9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E为前一日的基金资产净值扣除前一日所持有目标ETF基金份额部分基金资产（若为负数，则E取0）</w:t>
      </w:r>
    </w:p>
    <w:p w14:paraId="3DE45907"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基金管理费每日计算，逐日累计至每月月末，按月支付，托管人与管理人核对一致后，由托管人根据管理人指令或者双方约定的方式在月初5</w:t>
      </w:r>
      <w:proofErr w:type="gramStart"/>
      <w:r w:rsidRPr="00242BD3">
        <w:rPr>
          <w:rFonts w:ascii="宋体" w:hAnsi="宋体" w:hint="eastAsia"/>
          <w:bCs/>
        </w:rPr>
        <w:t>个</w:t>
      </w:r>
      <w:proofErr w:type="gramEnd"/>
      <w:r w:rsidRPr="00242BD3">
        <w:rPr>
          <w:rFonts w:ascii="宋体" w:hAnsi="宋体" w:hint="eastAsia"/>
          <w:bCs/>
        </w:rPr>
        <w:t>工作日内、按照指定的账户路径进行资金支付。若遇法定节假日、公休日等，支付日期顺延。费用扣划后，管理人应进行核对，如发现数据不符，及时联系托管人协商解决。</w:t>
      </w:r>
    </w:p>
    <w:p w14:paraId="7C383CA7"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2、基金托管人的托管费</w:t>
      </w:r>
    </w:p>
    <w:p w14:paraId="147BCE14"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本</w:t>
      </w:r>
      <w:proofErr w:type="gramStart"/>
      <w:r w:rsidRPr="00242BD3">
        <w:rPr>
          <w:rFonts w:ascii="宋体" w:hAnsi="宋体" w:hint="eastAsia"/>
          <w:bCs/>
        </w:rPr>
        <w:t>基金基金</w:t>
      </w:r>
      <w:proofErr w:type="gramEnd"/>
      <w:r w:rsidRPr="00242BD3">
        <w:rPr>
          <w:rFonts w:ascii="宋体" w:hAnsi="宋体" w:hint="eastAsia"/>
          <w:bCs/>
        </w:rPr>
        <w:t>财产中投资于目标ETF的部分不收取托管费。基金的托管费按前一日基金资产净值扣除所持有目标ETF基金份额部分基金资产后的余额（若为负数，则取0）的0.1%的年费率计提。托管费的计算方法如下：</w:t>
      </w:r>
    </w:p>
    <w:p w14:paraId="6C9D8F08"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H＝E×0.1%÷当年天数</w:t>
      </w:r>
    </w:p>
    <w:p w14:paraId="738527D4"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H为每日应计提的基金托管费</w:t>
      </w:r>
    </w:p>
    <w:p w14:paraId="5655EF05"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lastRenderedPageBreak/>
        <w:t>E为前一日的基金资产净值扣除所持有目标ETF基金份额部分基金资产后的余额（若为负数，则取0）</w:t>
      </w:r>
    </w:p>
    <w:p w14:paraId="39BF6829"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基金托管费每日计算，逐日累计至每月月末，按月支付，托管人与管理人核对一致后，由托管人根据管理人指令或者双方约定的方式在月初5</w:t>
      </w:r>
      <w:proofErr w:type="gramStart"/>
      <w:r w:rsidRPr="00242BD3">
        <w:rPr>
          <w:rFonts w:ascii="宋体" w:hAnsi="宋体" w:hint="eastAsia"/>
          <w:bCs/>
        </w:rPr>
        <w:t>个</w:t>
      </w:r>
      <w:proofErr w:type="gramEnd"/>
      <w:r w:rsidRPr="00242BD3">
        <w:rPr>
          <w:rFonts w:ascii="宋体" w:hAnsi="宋体" w:hint="eastAsia"/>
          <w:bCs/>
        </w:rPr>
        <w:t>工作日内、按照指定的账户路径进行资金支付。若遇法定节假日、公休日等，支付日期顺延。费用扣划后，管理人应进行核对，如发现数据不符，及时联系托管人协商解决。</w:t>
      </w:r>
    </w:p>
    <w:p w14:paraId="7F0BC276"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3、从C类基金份额的基金财产中计提的销售服务费</w:t>
      </w:r>
    </w:p>
    <w:p w14:paraId="01301358"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本基金A类基金份额不收取销售服务费，C类基金份额的销售服务费年费率为0.4%。本基金销售服务费按前一日C类基金份额的基金资产净值的0.4%年费率计提。计算方法如下：</w:t>
      </w:r>
    </w:p>
    <w:p w14:paraId="2C62CECB"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H＝E×年销售服务费率÷当年天数</w:t>
      </w:r>
    </w:p>
    <w:p w14:paraId="65A40196"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H为C类基金份额每日应计提的基金销售服务费</w:t>
      </w:r>
    </w:p>
    <w:p w14:paraId="5FDDB38A"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E为C类基金份额前一日基金资产净值</w:t>
      </w:r>
    </w:p>
    <w:p w14:paraId="573DA7C6"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销售服务费每日计算，逐日累计至每月月末，按月支付，托管人与管理人核对一致后，由托管人根据管理人指令或者双方约定的方式在月初5</w:t>
      </w:r>
      <w:proofErr w:type="gramStart"/>
      <w:r w:rsidRPr="00242BD3">
        <w:rPr>
          <w:rFonts w:ascii="宋体" w:hAnsi="宋体" w:hint="eastAsia"/>
          <w:bCs/>
        </w:rPr>
        <w:t>个</w:t>
      </w:r>
      <w:proofErr w:type="gramEnd"/>
      <w:r w:rsidRPr="00242BD3">
        <w:rPr>
          <w:rFonts w:ascii="宋体" w:hAnsi="宋体" w:hint="eastAsia"/>
          <w:bCs/>
        </w:rPr>
        <w:t>工作日内、按照指定的账户路径进行资金支付。若遇法定节假日、公休日等，支付日期顺延。费用扣划后，管理人应进行核对，如发现数据不符，及时联系托管人协商解决。</w:t>
      </w:r>
    </w:p>
    <w:p w14:paraId="735A2D52"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上述“一、基金费用的种类”中第4-11项费用，根据有关法规及相应协议规定，按费用实际支出金额列入当期费用，由基金托管人从基金财产中支付。</w:t>
      </w:r>
    </w:p>
    <w:p w14:paraId="65898D2F"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三、不列入基金费用的项目</w:t>
      </w:r>
    </w:p>
    <w:p w14:paraId="68FA4194"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下列费用不列入基金费用：</w:t>
      </w:r>
    </w:p>
    <w:p w14:paraId="63B2AE1E"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1、基金管理人和基金托管人因未履行或未完全履行义务导致的费用支出或基金财产的损失；</w:t>
      </w:r>
    </w:p>
    <w:p w14:paraId="58CEAF8E"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2、基金管理人和基金托管人处理与基金运作无关的事项发生的费用；</w:t>
      </w:r>
    </w:p>
    <w:p w14:paraId="0C31C1B1"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3、《基金合同》生效前的相关费用；</w:t>
      </w:r>
    </w:p>
    <w:p w14:paraId="6BE0546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4、其他根据相关法律法规及中国证监会的有关规定不得列入基金费用的项目。</w:t>
      </w:r>
    </w:p>
    <w:p w14:paraId="1811E61B"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四、基金税收</w:t>
      </w:r>
    </w:p>
    <w:p w14:paraId="1B2E9BE9" w14:textId="01B55DC6" w:rsidR="00B86DAA" w:rsidRPr="00CE1CB8"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70"/>
    <w:p w14:paraId="662002FF" w14:textId="77777777" w:rsidR="00B86DAA" w:rsidRDefault="00B86DAA" w:rsidP="00CE4F2B">
      <w:pPr>
        <w:snapToGrid w:val="0"/>
        <w:spacing w:line="360" w:lineRule="auto"/>
        <w:ind w:firstLineChars="200" w:firstLine="420"/>
        <w:rPr>
          <w:rFonts w:ascii="宋体" w:cs="Times New Roman"/>
          <w:b/>
          <w:bCs/>
          <w:color w:val="000000"/>
        </w:rPr>
      </w:pPr>
      <w:r w:rsidRPr="00CE1CB8">
        <w:rPr>
          <w:rFonts w:hAnsi="宋体"/>
          <w:bCs/>
        </w:rPr>
        <w:br w:type="page"/>
      </w:r>
    </w:p>
    <w:p w14:paraId="751FEA2B" w14:textId="77777777" w:rsidR="003F75AE" w:rsidRPr="00A4035F" w:rsidRDefault="003F75AE">
      <w:pPr>
        <w:pStyle w:val="35"/>
        <w:snapToGrid w:val="0"/>
        <w:rPr>
          <w:rFonts w:hAnsi="宋体" w:cs="Times New Roman"/>
          <w:color w:val="000000"/>
        </w:rPr>
      </w:pPr>
    </w:p>
    <w:p w14:paraId="64676549"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31" w:name="_Toc416453853"/>
      <w:bookmarkStart w:id="132" w:name="_Toc360793506"/>
      <w:bookmarkStart w:id="133" w:name="_Toc360794524"/>
      <w:bookmarkStart w:id="134" w:name="_Toc360793858"/>
      <w:bookmarkStart w:id="135" w:name="_Toc362455191"/>
      <w:bookmarkStart w:id="136" w:name="_Toc360794108"/>
      <w:bookmarkStart w:id="137" w:name="_Toc362533463"/>
      <w:bookmarkStart w:id="138" w:name="_Toc360794416"/>
      <w:bookmarkStart w:id="139" w:name="_Hlk496537733"/>
      <w:r w:rsidRPr="00A4035F">
        <w:rPr>
          <w:rFonts w:ascii="宋体" w:eastAsia="宋体" w:hAnsi="宋体" w:cs="宋体" w:hint="eastAsia"/>
        </w:rPr>
        <w:t>基金的会计与审计</w:t>
      </w:r>
      <w:bookmarkEnd w:id="131"/>
      <w:bookmarkEnd w:id="132"/>
      <w:bookmarkEnd w:id="133"/>
      <w:bookmarkEnd w:id="134"/>
      <w:bookmarkEnd w:id="135"/>
      <w:bookmarkEnd w:id="136"/>
      <w:bookmarkEnd w:id="137"/>
      <w:bookmarkEnd w:id="138"/>
    </w:p>
    <w:p w14:paraId="6DA5907C" w14:textId="77777777" w:rsidR="003F75AE" w:rsidRPr="00A4035F" w:rsidRDefault="003F75AE" w:rsidP="003F75AE">
      <w:pPr>
        <w:snapToGrid w:val="0"/>
        <w:spacing w:line="360" w:lineRule="auto"/>
        <w:ind w:firstLineChars="200" w:firstLine="422"/>
        <w:rPr>
          <w:rFonts w:ascii="宋体" w:cs="Times New Roman"/>
          <w:b/>
          <w:bCs/>
          <w:color w:val="000000"/>
        </w:rPr>
      </w:pPr>
    </w:p>
    <w:p w14:paraId="7C31BBF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一、基金会计政策</w:t>
      </w:r>
    </w:p>
    <w:p w14:paraId="1B03E7D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1、基金管理人为本基金的基金会计责任方；</w:t>
      </w:r>
    </w:p>
    <w:p w14:paraId="7FE0F9B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2、基金的会计年度为公历年度的1月1日至12月31日；基金首次募集的会计年度按如下原则：如果《基金合同》生效少于2个月，可以并入下一个会计年度披露；</w:t>
      </w:r>
    </w:p>
    <w:p w14:paraId="74D7E10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3、基金核算以人民币为记账本位币，以人民币元为记账单位；</w:t>
      </w:r>
    </w:p>
    <w:p w14:paraId="18E1A357"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4、会计制度执行国家有关会计制度；</w:t>
      </w:r>
    </w:p>
    <w:p w14:paraId="2343FE9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5、本基金独立建账、独立核算；</w:t>
      </w:r>
    </w:p>
    <w:p w14:paraId="028A093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6、基金管理人及基金托管人各自保留完整的会计账目、凭证并进行日常的会计核算，按照有关规定编制基金会计报表；</w:t>
      </w:r>
    </w:p>
    <w:p w14:paraId="048F9B0F"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7、基金托管人每月与基金管理人就基金的会计核算、报表编制等进行核对并以书面方式确认。</w:t>
      </w:r>
    </w:p>
    <w:p w14:paraId="143C4467"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二、基金的年度审计</w:t>
      </w:r>
    </w:p>
    <w:p w14:paraId="6718E57E"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1、基金管理人聘请与基金管理人、基金托管人相互独立的具有证券、期货相关业务资格的会计师事务所及其注册会计师对本基金的年度财务报表进行审计。</w:t>
      </w:r>
    </w:p>
    <w:p w14:paraId="41290BAC"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2、会计师事务所更换经办注册会计师，应事先征得基金管理人同意。</w:t>
      </w:r>
    </w:p>
    <w:p w14:paraId="623A10CE" w14:textId="5EB18F10" w:rsidR="003F75AE" w:rsidRPr="00A4035F" w:rsidRDefault="00242BD3" w:rsidP="00242BD3">
      <w:pPr>
        <w:snapToGrid w:val="0"/>
        <w:spacing w:line="360" w:lineRule="auto"/>
        <w:ind w:firstLineChars="200" w:firstLine="420"/>
        <w:rPr>
          <w:rFonts w:ascii="宋体" w:cs="Times New Roman"/>
        </w:rPr>
      </w:pPr>
      <w:r w:rsidRPr="00242BD3">
        <w:rPr>
          <w:rFonts w:ascii="宋体" w:cs="Times New Roman" w:hint="eastAsia"/>
        </w:rPr>
        <w:t>3、基金管理人认为有充足理由更换会计师事务所，须通报基金托管人。更换会计师事务所需在2日内在指定媒介公告。</w:t>
      </w:r>
    </w:p>
    <w:p w14:paraId="68A38EE4" w14:textId="77777777" w:rsidR="003F75AE" w:rsidRPr="00A4035F" w:rsidRDefault="003F75AE">
      <w:pPr>
        <w:snapToGrid w:val="0"/>
        <w:spacing w:line="360" w:lineRule="auto"/>
        <w:ind w:firstLineChars="200" w:firstLine="420"/>
        <w:rPr>
          <w:rFonts w:ascii="宋体" w:cs="Times New Roman"/>
          <w:color w:val="000000"/>
        </w:rPr>
      </w:pPr>
    </w:p>
    <w:p w14:paraId="65ADBBC9" w14:textId="77777777" w:rsidR="003F75AE" w:rsidRPr="00A4035F" w:rsidRDefault="003F75AE">
      <w:pPr>
        <w:pStyle w:val="afff0"/>
        <w:snapToGrid w:val="0"/>
        <w:spacing w:line="360" w:lineRule="auto"/>
        <w:ind w:firstLineChars="200"/>
        <w:rPr>
          <w:rFonts w:ascii="宋体"/>
          <w:color w:val="000000"/>
        </w:rPr>
      </w:pPr>
      <w:r w:rsidRPr="00A4035F">
        <w:rPr>
          <w:rFonts w:ascii="宋体"/>
          <w:color w:val="000000"/>
          <w:kern w:val="0"/>
        </w:rPr>
        <w:br w:type="page"/>
      </w:r>
    </w:p>
    <w:p w14:paraId="5509EAA1"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40" w:name="_Toc362533464"/>
      <w:bookmarkStart w:id="141" w:name="_Toc360794109"/>
      <w:bookmarkStart w:id="142" w:name="_Toc360794417"/>
      <w:bookmarkStart w:id="143" w:name="_Toc360794525"/>
      <w:bookmarkStart w:id="144" w:name="_Toc416453854"/>
      <w:bookmarkStart w:id="145" w:name="_Toc360793859"/>
      <w:bookmarkStart w:id="146" w:name="_Toc360793507"/>
      <w:bookmarkStart w:id="147" w:name="_Toc362455192"/>
      <w:r w:rsidRPr="00A4035F">
        <w:rPr>
          <w:rFonts w:ascii="宋体" w:eastAsia="宋体" w:hAnsi="宋体" w:cs="宋体" w:hint="eastAsia"/>
        </w:rPr>
        <w:lastRenderedPageBreak/>
        <w:t>基金的信息披露</w:t>
      </w:r>
      <w:bookmarkEnd w:id="140"/>
      <w:bookmarkEnd w:id="141"/>
      <w:bookmarkEnd w:id="142"/>
      <w:bookmarkEnd w:id="143"/>
      <w:bookmarkEnd w:id="144"/>
      <w:bookmarkEnd w:id="145"/>
      <w:bookmarkEnd w:id="146"/>
      <w:bookmarkEnd w:id="147"/>
    </w:p>
    <w:p w14:paraId="787B0FCE" w14:textId="77777777" w:rsidR="003F75AE" w:rsidRPr="00A4035F" w:rsidRDefault="003F75AE" w:rsidP="003F75AE">
      <w:pPr>
        <w:snapToGrid w:val="0"/>
        <w:spacing w:line="360" w:lineRule="auto"/>
        <w:ind w:firstLineChars="200" w:firstLine="420"/>
        <w:rPr>
          <w:rFonts w:cs="Times New Roman"/>
        </w:rPr>
      </w:pPr>
    </w:p>
    <w:bookmarkEnd w:id="139"/>
    <w:p w14:paraId="67B0A0A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7E0F3DB1" w14:textId="77777777" w:rsidR="00242BD3" w:rsidRPr="00242BD3" w:rsidRDefault="00242BD3" w:rsidP="00242BD3">
      <w:pPr>
        <w:snapToGrid w:val="0"/>
        <w:spacing w:line="360" w:lineRule="auto"/>
        <w:ind w:firstLineChars="200" w:firstLine="420"/>
        <w:rPr>
          <w:rFonts w:ascii="宋体" w:cs="Times New Roman"/>
        </w:rPr>
      </w:pPr>
    </w:p>
    <w:p w14:paraId="29BE9D26"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二、信息披露义务人</w:t>
      </w:r>
    </w:p>
    <w:p w14:paraId="109F795F"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本基金信息披露义务人包括基金管理人、基金托管人、召集基金份额持有人大会的基金份额持有人等法律法规和中国证监会规定的自然人、法人和非法人组织。</w:t>
      </w:r>
    </w:p>
    <w:p w14:paraId="50FFFEB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本基金信息披露义务人以保护基金份额持有人利益为根本出发点，按照法律法规和中国证监会的规定披露基金信息，并保证所披露信息的真实性、准确性、完整性、及时性、简明性和易得性。</w:t>
      </w:r>
    </w:p>
    <w:p w14:paraId="07DA833A"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64E90104" w14:textId="77777777" w:rsidR="00242BD3" w:rsidRPr="00242BD3" w:rsidRDefault="00242BD3" w:rsidP="00242BD3">
      <w:pPr>
        <w:snapToGrid w:val="0"/>
        <w:spacing w:line="360" w:lineRule="auto"/>
        <w:ind w:firstLineChars="200" w:firstLine="420"/>
        <w:rPr>
          <w:rFonts w:ascii="宋体" w:cs="Times New Roman"/>
        </w:rPr>
      </w:pPr>
    </w:p>
    <w:p w14:paraId="59D8D217"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三、本基金信息披露义务人承诺公开披露的基金信息，不得有下列行为：</w:t>
      </w:r>
    </w:p>
    <w:p w14:paraId="6E009BD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1、虚假记载、误导性陈述或者重大遗漏；</w:t>
      </w:r>
    </w:p>
    <w:p w14:paraId="2866642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2、对证券投资业绩进行预测；</w:t>
      </w:r>
    </w:p>
    <w:p w14:paraId="7B1C6A0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3、违规承诺收益或者承担损失；</w:t>
      </w:r>
    </w:p>
    <w:p w14:paraId="0C1B99A9"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4、诋毁其他基金管理人、基金托管人或者基金销售机构；</w:t>
      </w:r>
    </w:p>
    <w:p w14:paraId="19E28E16"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5、登载任何自然人、法人或者非法人组织的祝贺性、恭维性或推荐性的文字；</w:t>
      </w:r>
    </w:p>
    <w:p w14:paraId="2371A37B"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6、中国证监会禁止的其他行为。</w:t>
      </w:r>
    </w:p>
    <w:p w14:paraId="59997615" w14:textId="77777777" w:rsidR="00242BD3" w:rsidRPr="00242BD3" w:rsidRDefault="00242BD3" w:rsidP="00242BD3">
      <w:pPr>
        <w:snapToGrid w:val="0"/>
        <w:spacing w:line="360" w:lineRule="auto"/>
        <w:ind w:firstLineChars="200" w:firstLine="420"/>
        <w:rPr>
          <w:rFonts w:ascii="宋体" w:cs="Times New Roman"/>
        </w:rPr>
      </w:pPr>
    </w:p>
    <w:p w14:paraId="6F53D9A5"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四、本基金公开披露的信息应采用中文文本。如同时采用外文文本的，基金信息披露义务人应保证不同文本的内容一致。不同文本发生歧义的，以中文文本为准。</w:t>
      </w:r>
    </w:p>
    <w:p w14:paraId="7ED17CDC"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本基金公开披露的信息采用阿拉伯数字；除特别说明外，货币单位为人民币元。</w:t>
      </w:r>
    </w:p>
    <w:p w14:paraId="45AFEFBE" w14:textId="77777777" w:rsidR="00242BD3" w:rsidRPr="00242BD3" w:rsidRDefault="00242BD3" w:rsidP="00242BD3">
      <w:pPr>
        <w:snapToGrid w:val="0"/>
        <w:spacing w:line="360" w:lineRule="auto"/>
        <w:ind w:firstLineChars="200" w:firstLine="420"/>
        <w:rPr>
          <w:rFonts w:ascii="宋体" w:cs="Times New Roman"/>
        </w:rPr>
      </w:pPr>
    </w:p>
    <w:p w14:paraId="098D348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五、公开披露的基金信息</w:t>
      </w:r>
    </w:p>
    <w:p w14:paraId="0925C79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公开披露的基金信息包括：</w:t>
      </w:r>
    </w:p>
    <w:p w14:paraId="096782F8"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（一）基金招募说明书、《基金合同》、基金托管协议、基金产品资料概要</w:t>
      </w:r>
    </w:p>
    <w:p w14:paraId="631808A8"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1、《基金合同》是界定《基金合同》当事人的各项权利、义务关系，明确基金份额持有人大会召开的规则及具体程序，说明基金产品的特性等涉及基金投资者重大利益的事项的法律文件。</w:t>
      </w:r>
    </w:p>
    <w:p w14:paraId="2C110773" w14:textId="371AA318"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r w:rsidR="001E4BC7" w:rsidRPr="001E4BC7">
        <w:rPr>
          <w:rFonts w:ascii="宋体" w:cs="Times New Roman" w:hint="eastAsia"/>
        </w:rPr>
        <w:t>基金终止运作的，基金管理人不再更新基金招募说明书。</w:t>
      </w:r>
    </w:p>
    <w:p w14:paraId="24578844"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3、基金托管协议是界定基金托管人和基金管理人在基金财产保管及基金运作监督等活动中的权利、义务关系的法律文件。</w:t>
      </w:r>
    </w:p>
    <w:p w14:paraId="4D13691A" w14:textId="46E2B19A"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1E4BC7" w:rsidRPr="001E4BC7">
        <w:rPr>
          <w:rFonts w:ascii="宋体" w:cs="Times New Roman" w:hint="eastAsia"/>
        </w:rPr>
        <w:t>基金终止运作的，基金管理人不再更新基金产品资料概要。</w:t>
      </w:r>
    </w:p>
    <w:p w14:paraId="7CB3E076"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募集申请经中国证监会注册后，基金管理人在基金份额发售的3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1BB6FCCA"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（二）基金份额发售公告</w:t>
      </w:r>
    </w:p>
    <w:p w14:paraId="560C96D7"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基金管理人应当就基金份额发售的具体事宜编制基金份额发售公告，并在披露招募说明书的当日登载于指定媒介上。</w:t>
      </w:r>
    </w:p>
    <w:p w14:paraId="3C039E8E"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（三）《基金合同》生效公告</w:t>
      </w:r>
    </w:p>
    <w:p w14:paraId="71E68F5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基金管理人应当在收到中国证监会确认文件的次日在指定媒介上登载《基金合同》生效公告。</w:t>
      </w:r>
    </w:p>
    <w:p w14:paraId="3516E49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（四）基金净值信息</w:t>
      </w:r>
    </w:p>
    <w:p w14:paraId="4A4B32DE"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《基金合同》生效后，在开始办理基金份额申购或者赎回前，基金管理人应当至少每周在指定网站披露一次基金份额净值和基金份额累计净值。</w:t>
      </w:r>
    </w:p>
    <w:p w14:paraId="41EB3E39"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在开始办理基金份额申购或者赎回后，基金管理人应当在不晚于每个开放日的次日，通过指定网站、基金销售机构网站或者营业网点披露开放日的基金份额净值和基金份额累计净值。</w:t>
      </w:r>
    </w:p>
    <w:p w14:paraId="78BEE6CC"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基金管理人应当在不晚于半年度和年度最后一日的次日，在指定网站披露半年度和年度最后一日的基金份额净值和基金份额累计净值。</w:t>
      </w:r>
    </w:p>
    <w:p w14:paraId="4EA914FF"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（五）基金份额申购、赎回价格</w:t>
      </w:r>
    </w:p>
    <w:p w14:paraId="4797624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基金管理人应当在《基金合同》、招募说明书等信息披露文件上载</w:t>
      </w:r>
      <w:proofErr w:type="gramStart"/>
      <w:r w:rsidRPr="00242BD3">
        <w:rPr>
          <w:rFonts w:ascii="宋体" w:cs="Times New Roman" w:hint="eastAsia"/>
        </w:rPr>
        <w:t>明基金</w:t>
      </w:r>
      <w:proofErr w:type="gramEnd"/>
      <w:r w:rsidRPr="00242BD3">
        <w:rPr>
          <w:rFonts w:ascii="宋体" w:cs="Times New Roman" w:hint="eastAsia"/>
        </w:rPr>
        <w:t>份额申购、赎</w:t>
      </w:r>
      <w:r w:rsidRPr="00242BD3">
        <w:rPr>
          <w:rFonts w:ascii="宋体" w:cs="Times New Roman" w:hint="eastAsia"/>
        </w:rPr>
        <w:lastRenderedPageBreak/>
        <w:t>回价格的计算方式及有关申购、赎回费率，并保证投资者能够在基金销售机构网站或营业网点查阅或者复制前述信息资料。</w:t>
      </w:r>
    </w:p>
    <w:p w14:paraId="15A1863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（六）基金定期报告，包括基金年度报告、基金中期报告和基金季度报告</w:t>
      </w:r>
    </w:p>
    <w:p w14:paraId="70A60E8B"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D88D74B"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基金管理人应当在上半年结束之日起两个月内，编制完成基金中期报告，将中期报告登载在指定网站上，并将中期报告提示性公告登载在指定报刊上。</w:t>
      </w:r>
    </w:p>
    <w:p w14:paraId="75B8283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基金管理人应当在季度结束之日起15个工作日内，编制完成基金季度报告，将季度报告登载在指定网站上，并将季度报告提示性公告登载在指定报刊上。</w:t>
      </w:r>
    </w:p>
    <w:p w14:paraId="34EAD8BC"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《基金合同》生效不足2个月的，基金管理人可以不编制当期季度报告、中期报告或者年度报告。</w:t>
      </w:r>
    </w:p>
    <w:p w14:paraId="308984BB"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26B5CB02"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基金管理人应当在基金年度报告和中期报告中披露基金组合资产情况及其流动性风险分析等。</w:t>
      </w:r>
    </w:p>
    <w:p w14:paraId="2739D3BC"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（七）临时报告</w:t>
      </w:r>
    </w:p>
    <w:p w14:paraId="707C9C2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本基金发生重大事件，有关信息披露义务人应当在2日内编制临时报告书，并登载在指定报刊和指定网站上。</w:t>
      </w:r>
    </w:p>
    <w:p w14:paraId="777E66BE"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前款所称重大事件，是指可能对基金份额持有人权益或者基金份额的价格产生重大影响的下列事件：</w:t>
      </w:r>
    </w:p>
    <w:p w14:paraId="47386F4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1、基金份额持有人大会的召开及决定的事项；</w:t>
      </w:r>
    </w:p>
    <w:p w14:paraId="5B10B73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2、《基金合同》终止、基金清算；</w:t>
      </w:r>
    </w:p>
    <w:p w14:paraId="2B510E46"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3、转换基金运作方式、基金合并；</w:t>
      </w:r>
    </w:p>
    <w:p w14:paraId="5F9D58B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4、更换基金管理人、基金托管人、基金份额登记机构，基金改聘会计师事务所；</w:t>
      </w:r>
    </w:p>
    <w:p w14:paraId="3262252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5、基金管理人委托基金服务机构代为办理基金的份额登记、核算、估值等事项，基金托管人委托基金服务机构代为办理基金的核算、估值、复核等事项；</w:t>
      </w:r>
    </w:p>
    <w:p w14:paraId="7A38F30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6、基金管理人、基金托管人的法定名称、住所发生变更；</w:t>
      </w:r>
    </w:p>
    <w:p w14:paraId="75CF6E6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7、基金管理人变更持有百分之五以上股权的股东、基金管理人的实际控制人变更；</w:t>
      </w:r>
    </w:p>
    <w:p w14:paraId="31CAC41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8、基金募集期延长或提前结束募集；</w:t>
      </w:r>
    </w:p>
    <w:p w14:paraId="4AD0ED56"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9、基金管理人的高级管理人员、基金经理和基金托管人专门基金托管部门负责人发生变动；</w:t>
      </w:r>
    </w:p>
    <w:p w14:paraId="4C2DCD5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lastRenderedPageBreak/>
        <w:t>10、基金管理人的董事在最近12个月内变更超过百分之五十，基金管理人、基金托管人专门基金托管部门的主要业务人员在最近12个月内变动超过百分之三十；</w:t>
      </w:r>
    </w:p>
    <w:p w14:paraId="142A646F"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11、涉及基金管理业务、基金财产、基金托管业务的诉讼或仲裁；</w:t>
      </w:r>
    </w:p>
    <w:p w14:paraId="395BBF28"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14:paraId="0FC12A4A"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0801AA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14、基金收益分配事项；</w:t>
      </w:r>
    </w:p>
    <w:p w14:paraId="4D8BFE64"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15、管理费、托管费、销售服务费、申购费、赎回费等费用计提标准、计提方式和费率发生变更；</w:t>
      </w:r>
    </w:p>
    <w:p w14:paraId="0EAB2E3B"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16、基金份额净值计价错误</w:t>
      </w:r>
      <w:proofErr w:type="gramStart"/>
      <w:r w:rsidRPr="00242BD3">
        <w:rPr>
          <w:rFonts w:ascii="宋体" w:cs="Times New Roman" w:hint="eastAsia"/>
        </w:rPr>
        <w:t>达基金</w:t>
      </w:r>
      <w:proofErr w:type="gramEnd"/>
      <w:r w:rsidRPr="00242BD3">
        <w:rPr>
          <w:rFonts w:ascii="宋体" w:cs="Times New Roman" w:hint="eastAsia"/>
        </w:rPr>
        <w:t>份额净值百分之零点五；</w:t>
      </w:r>
    </w:p>
    <w:p w14:paraId="58193B97"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17、本基金开始办理申购、赎回；</w:t>
      </w:r>
    </w:p>
    <w:p w14:paraId="5B0FE57F"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18、本基金发生巨额赎回并延期办理；</w:t>
      </w:r>
    </w:p>
    <w:p w14:paraId="0BE42A95"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19、本基金连续发生巨额赎回并暂停接受赎回申请或延缓支付赎回款项；</w:t>
      </w:r>
    </w:p>
    <w:p w14:paraId="4B4249C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20、本基金暂停接受申购、赎回申请或重新接受申购、赎回申请；</w:t>
      </w:r>
    </w:p>
    <w:p w14:paraId="491450B9"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21、目标ETF变更；</w:t>
      </w:r>
    </w:p>
    <w:p w14:paraId="2B699A5B"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22、发生涉及基金申购、赎回事项调整或潜在影响投资者赎回等重大事项时；</w:t>
      </w:r>
    </w:p>
    <w:p w14:paraId="0D536409"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23、基金管理人采用摆动定价机制进行估值；</w:t>
      </w:r>
    </w:p>
    <w:p w14:paraId="533171FA"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24、基金合同生效后，连续30、40、45个工作日出现基金份额持有人数量不满200人或者基金资产净值低于5000万元的情形时；</w:t>
      </w:r>
    </w:p>
    <w:p w14:paraId="2AEE735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25、基金信息披露义务人认为可能对基金份额持有人权益或者基金份额的价格产生重大影响的其他事项或中国证监会规定和基金合同约定的其他事项。</w:t>
      </w:r>
    </w:p>
    <w:p w14:paraId="18CAA8B2"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（八）澄清公告</w:t>
      </w:r>
    </w:p>
    <w:p w14:paraId="31B665F8"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D72A28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（九）基金份额持有人大会决议</w:t>
      </w:r>
    </w:p>
    <w:p w14:paraId="71D0E64F"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基金份额持有人大会决定的事项，应当依法报中国证监会备案，并予以公告。</w:t>
      </w:r>
    </w:p>
    <w:p w14:paraId="76204E6C"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（十）基金投资股指期货的信息披露</w:t>
      </w:r>
    </w:p>
    <w:p w14:paraId="506D6A76"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09A19FF"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lastRenderedPageBreak/>
        <w:t>（十一）基金投资股票期权的信息披露</w:t>
      </w:r>
    </w:p>
    <w:p w14:paraId="02E3F90C"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7ED5F7AE"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（十二）基金参与转融通证券出借业务的信息披露</w:t>
      </w:r>
    </w:p>
    <w:p w14:paraId="718BC28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19B195D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（十三）基金投资资产支持证券的信息披露</w:t>
      </w:r>
    </w:p>
    <w:p w14:paraId="4CCD73BA"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10名资产支持证券明细。</w:t>
      </w:r>
    </w:p>
    <w:p w14:paraId="00DD89A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（十四）投资目标ETF的信息披露</w:t>
      </w:r>
    </w:p>
    <w:p w14:paraId="4DF59DE9"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本基金在定期报告和招募说明书（更新）中应设立专门章节披露所持目标ETF的相关情况并揭示相关风险：</w:t>
      </w:r>
    </w:p>
    <w:p w14:paraId="62B7C4DE"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1、投资政策、持仓情况、损益情况、净值披露时间等；</w:t>
      </w:r>
    </w:p>
    <w:p w14:paraId="3F085A0E"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2、交易及持有目标ETF产生的费用，包括申购费、赎回费、销售服务费、管理费、托管费等，在招募说明书（更新）中列明计算方法并举例说明；</w:t>
      </w:r>
    </w:p>
    <w:p w14:paraId="3E73AA05"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3、持有的目标ETF发生的重大影响事件，如转换运作方式、与其他基金合并、终止基金合同以及召开基金份额持有人大会等；</w:t>
      </w:r>
    </w:p>
    <w:p w14:paraId="764E60F9"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4、本基金投资于基金管理人以及基金管理人关联方所管理基金的情况。</w:t>
      </w:r>
    </w:p>
    <w:p w14:paraId="37EB2486"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（十五）中国证监会规定的其他信息。</w:t>
      </w:r>
    </w:p>
    <w:p w14:paraId="52E4EA17" w14:textId="77777777" w:rsidR="00242BD3" w:rsidRPr="00242BD3" w:rsidRDefault="00242BD3" w:rsidP="00242BD3">
      <w:pPr>
        <w:snapToGrid w:val="0"/>
        <w:spacing w:line="360" w:lineRule="auto"/>
        <w:ind w:firstLineChars="200" w:firstLine="420"/>
        <w:rPr>
          <w:rFonts w:ascii="宋体" w:cs="Times New Roman"/>
        </w:rPr>
      </w:pPr>
    </w:p>
    <w:p w14:paraId="32F56426"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六、信息披露事务管理</w:t>
      </w:r>
    </w:p>
    <w:p w14:paraId="0B0FDFF2"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基金管理人、基金托管人应当建立健全信息披露管理制度，指定专门部门及高级管理人员负责管理信息披露事务。</w:t>
      </w:r>
    </w:p>
    <w:p w14:paraId="7B0F0E18"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基金信息披露义务人公开披露基金信息，应当符合中国证监会相关基金信息披露内容与格式准则等法规的规定。</w:t>
      </w:r>
    </w:p>
    <w:p w14:paraId="0B9C9DFE"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265C2B6"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基金管理人、基金托管人应当在指定报刊中选择披露信息的报刊。基金管理人、基金托</w:t>
      </w:r>
      <w:r w:rsidRPr="00242BD3">
        <w:rPr>
          <w:rFonts w:ascii="宋体" w:cs="Times New Roman" w:hint="eastAsia"/>
        </w:rPr>
        <w:lastRenderedPageBreak/>
        <w:t>管人应当向中国证监会基金电子披露网站报送拟披露的基金信息，并保证相关报送信息的真实、准确、完整、及时。</w:t>
      </w:r>
    </w:p>
    <w:p w14:paraId="64EB84C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14:paraId="3A50A247"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为基金信息披露义务人公开披露的基金信息出具审计报告、法律意见书的专业机构，应当制作工作底稿，并将相关档案至少保存到《基金合同》终止后10年。</w:t>
      </w:r>
    </w:p>
    <w:p w14:paraId="426E402E" w14:textId="77777777" w:rsidR="00242BD3" w:rsidRPr="00242BD3" w:rsidRDefault="00242BD3" w:rsidP="00242BD3">
      <w:pPr>
        <w:snapToGrid w:val="0"/>
        <w:spacing w:line="360" w:lineRule="auto"/>
        <w:ind w:firstLineChars="200" w:firstLine="420"/>
        <w:rPr>
          <w:rFonts w:ascii="宋体" w:cs="Times New Roman"/>
        </w:rPr>
      </w:pPr>
    </w:p>
    <w:p w14:paraId="1AA0FC0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七、信息披露文件的存放与查阅</w:t>
      </w:r>
    </w:p>
    <w:p w14:paraId="2CF07D4B"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依法必须披露的信息发布后，基金管理人、基金托管人应当按照相关法律法规规定将信息置备于各自住所，供社会公众查阅、复制。</w:t>
      </w:r>
    </w:p>
    <w:p w14:paraId="33EC1C34" w14:textId="56DDEEC3" w:rsidR="003F75AE" w:rsidRPr="00A4035F" w:rsidRDefault="003F75AE" w:rsidP="00242BD3">
      <w:pPr>
        <w:snapToGrid w:val="0"/>
        <w:spacing w:line="360" w:lineRule="auto"/>
        <w:ind w:firstLineChars="200" w:firstLine="420"/>
        <w:rPr>
          <w:rFonts w:ascii="宋体" w:cs="Times New Roman"/>
        </w:rPr>
      </w:pPr>
    </w:p>
    <w:p w14:paraId="0402C74B" w14:textId="77777777" w:rsidR="003F75AE" w:rsidRPr="00A4035F" w:rsidRDefault="003F75AE">
      <w:pPr>
        <w:pStyle w:val="35"/>
        <w:snapToGrid w:val="0"/>
        <w:rPr>
          <w:rFonts w:hAnsi="宋体" w:cs="Times New Roman"/>
          <w:color w:val="000000"/>
        </w:rPr>
      </w:pPr>
      <w:r w:rsidRPr="00A4035F">
        <w:rPr>
          <w:rFonts w:hAnsi="宋体" w:cs="Times New Roman"/>
          <w:color w:val="000000"/>
          <w:kern w:val="0"/>
        </w:rPr>
        <w:br w:type="page"/>
      </w:r>
    </w:p>
    <w:p w14:paraId="79A437E6"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48" w:name="_Toc360794526"/>
      <w:bookmarkStart w:id="149" w:name="_Toc362455193"/>
      <w:bookmarkStart w:id="150" w:name="_Toc360794110"/>
      <w:bookmarkStart w:id="151" w:name="_Toc362533465"/>
      <w:bookmarkStart w:id="152" w:name="_Toc360793860"/>
      <w:bookmarkStart w:id="153" w:name="_Toc416453855"/>
      <w:bookmarkStart w:id="154" w:name="_Toc360793508"/>
      <w:bookmarkStart w:id="155" w:name="_Toc360794418"/>
      <w:bookmarkStart w:id="156" w:name="_Hlk28178764"/>
      <w:bookmarkStart w:id="157" w:name="_GoBack"/>
      <w:r w:rsidRPr="00A4035F">
        <w:rPr>
          <w:rFonts w:ascii="宋体" w:eastAsia="宋体" w:hAnsi="宋体" w:cs="宋体" w:hint="eastAsia"/>
        </w:rPr>
        <w:lastRenderedPageBreak/>
        <w:t>风险揭示</w:t>
      </w:r>
      <w:bookmarkEnd w:id="148"/>
      <w:bookmarkEnd w:id="149"/>
      <w:bookmarkEnd w:id="150"/>
      <w:bookmarkEnd w:id="151"/>
      <w:bookmarkEnd w:id="152"/>
      <w:bookmarkEnd w:id="153"/>
      <w:bookmarkEnd w:id="154"/>
      <w:bookmarkEnd w:id="155"/>
    </w:p>
    <w:p w14:paraId="2C01607A" w14:textId="77777777" w:rsidR="003F75AE" w:rsidRPr="00A4035F" w:rsidRDefault="003F75AE">
      <w:pPr>
        <w:snapToGrid w:val="0"/>
        <w:spacing w:line="360" w:lineRule="auto"/>
        <w:ind w:firstLine="420"/>
        <w:rPr>
          <w:rFonts w:ascii="宋体" w:cs="Times New Roman"/>
          <w:b/>
          <w:bCs/>
        </w:rPr>
      </w:pPr>
    </w:p>
    <w:p w14:paraId="4BDEEDC7" w14:textId="77777777" w:rsidR="00521005" w:rsidRPr="00A4035F" w:rsidRDefault="00521005" w:rsidP="00521005">
      <w:pPr>
        <w:pStyle w:val="HD"/>
      </w:pPr>
      <w:r w:rsidRPr="00A4035F">
        <w:rPr>
          <w:rFonts w:hint="eastAsia"/>
        </w:rPr>
        <w:t>本基金面临的主要风险有市场风险、管理风险、流动性风险、本基金特有风险及其他风险等。</w:t>
      </w:r>
      <w:r w:rsidRPr="00A4035F">
        <w:rPr>
          <w:rFonts w:hint="eastAsia"/>
        </w:rPr>
        <w:t xml:space="preserve">  </w:t>
      </w:r>
    </w:p>
    <w:p w14:paraId="4254D3BE" w14:textId="77777777" w:rsidR="00521005" w:rsidRPr="00A4035F" w:rsidRDefault="00521005" w:rsidP="00521005">
      <w:pPr>
        <w:pStyle w:val="HD"/>
      </w:pPr>
    </w:p>
    <w:p w14:paraId="4B4C01CE" w14:textId="77777777" w:rsidR="00521005" w:rsidRPr="00A4035F" w:rsidRDefault="00521005" w:rsidP="00521005">
      <w:pPr>
        <w:pStyle w:val="HD"/>
      </w:pPr>
      <w:r w:rsidRPr="00A4035F">
        <w:rPr>
          <w:rFonts w:hint="eastAsia"/>
        </w:rPr>
        <w:t>一、市场风险</w:t>
      </w:r>
    </w:p>
    <w:p w14:paraId="3DEE1740" w14:textId="77777777" w:rsidR="00521005" w:rsidRPr="00A4035F" w:rsidRDefault="00521005" w:rsidP="00521005">
      <w:pPr>
        <w:pStyle w:val="HD"/>
      </w:pPr>
      <w:r w:rsidRPr="00A4035F">
        <w:rPr>
          <w:rFonts w:hint="eastAsia"/>
        </w:rPr>
        <w:t>证券市场价格受到经济因素、政治因素、投资心理和交易制度等各种因素的影响，导致基金收益水平变化，产生风险，主要包括：</w:t>
      </w:r>
    </w:p>
    <w:p w14:paraId="71FEBCCD" w14:textId="77777777" w:rsidR="00521005" w:rsidRPr="00A4035F" w:rsidRDefault="00521005" w:rsidP="00521005">
      <w:pPr>
        <w:pStyle w:val="HD"/>
      </w:pPr>
      <w:r w:rsidRPr="00A4035F">
        <w:rPr>
          <w:rFonts w:hint="eastAsia"/>
        </w:rPr>
        <w:t>1</w:t>
      </w:r>
      <w:r w:rsidRPr="00A4035F">
        <w:rPr>
          <w:rFonts w:hint="eastAsia"/>
        </w:rPr>
        <w:t>、政策风险。因国家宏观政策（如货币政策、财政政策、行业政策、地区发展政策等）发生变化，导致市场价格波动而产生风险。</w:t>
      </w:r>
    </w:p>
    <w:p w14:paraId="549DFA69" w14:textId="77777777" w:rsidR="00521005" w:rsidRPr="00A4035F" w:rsidRDefault="00521005" w:rsidP="00521005">
      <w:pPr>
        <w:pStyle w:val="HD"/>
      </w:pPr>
      <w:r w:rsidRPr="00A4035F">
        <w:rPr>
          <w:rFonts w:hint="eastAsia"/>
        </w:rPr>
        <w:t>2</w:t>
      </w:r>
      <w:r w:rsidRPr="00A4035F">
        <w:rPr>
          <w:rFonts w:hint="eastAsia"/>
        </w:rPr>
        <w:t>、经济周期风险。随经济运行的周期性变化，证券市场的收益水平也呈周期性变化。基金投资于国债与上市公司的股票，收益水平也会随之变化，从而产生风险。</w:t>
      </w:r>
    </w:p>
    <w:p w14:paraId="4B9C6463" w14:textId="77777777" w:rsidR="00521005" w:rsidRPr="00A4035F" w:rsidRDefault="00521005" w:rsidP="00521005">
      <w:pPr>
        <w:pStyle w:val="HD"/>
      </w:pPr>
      <w:r w:rsidRPr="00A4035F">
        <w:rPr>
          <w:rFonts w:hint="eastAsia"/>
        </w:rPr>
        <w:t>3</w:t>
      </w:r>
      <w:r w:rsidRPr="00A4035F">
        <w:rPr>
          <w:rFonts w:hint="eastAsia"/>
        </w:rPr>
        <w:t>、利率风险。金融市场利率的波动会导致证券市场价格和收益率的变动。利率直接影响着国债的价格和收益率，影响着企业的融资成本和利润。基金投资于国债和股票，其收益水平会受到利率变化的影响。</w:t>
      </w:r>
    </w:p>
    <w:p w14:paraId="49C4066D" w14:textId="77777777" w:rsidR="00521005" w:rsidRPr="00A4035F" w:rsidRDefault="00521005" w:rsidP="00521005">
      <w:pPr>
        <w:pStyle w:val="HD"/>
      </w:pPr>
      <w:r w:rsidRPr="00A4035F">
        <w:rPr>
          <w:rFonts w:hint="eastAsia"/>
        </w:rPr>
        <w:t>4</w:t>
      </w:r>
      <w:r w:rsidRPr="00A4035F">
        <w:rPr>
          <w:rFonts w:hint="eastAsia"/>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03762FC" w14:textId="77777777" w:rsidR="00521005" w:rsidRPr="00A4035F" w:rsidRDefault="00521005" w:rsidP="00521005">
      <w:pPr>
        <w:pStyle w:val="HD"/>
      </w:pPr>
      <w:r w:rsidRPr="00A4035F">
        <w:rPr>
          <w:rFonts w:hint="eastAsia"/>
        </w:rPr>
        <w:t>5</w:t>
      </w:r>
      <w:r w:rsidRPr="00A4035F">
        <w:rPr>
          <w:rFonts w:hint="eastAsia"/>
        </w:rPr>
        <w:t>、购买力风险。基金的利润将主要通过现金形式来分配，而现金可能因为通货膨胀的影响而导致购买力下降，从而使基金的实际收益下降。</w:t>
      </w:r>
    </w:p>
    <w:p w14:paraId="67DD19CA" w14:textId="77777777" w:rsidR="00521005" w:rsidRPr="00A4035F" w:rsidRDefault="00521005" w:rsidP="00521005">
      <w:pPr>
        <w:pStyle w:val="HD"/>
      </w:pPr>
      <w:r w:rsidRPr="00A4035F">
        <w:rPr>
          <w:rFonts w:hint="eastAsia"/>
        </w:rPr>
        <w:t>6</w:t>
      </w:r>
      <w:r w:rsidRPr="00A4035F">
        <w:rPr>
          <w:rFonts w:hint="eastAsia"/>
        </w:rPr>
        <w:t>、信用风险。主要是指债务人的违约风险，若债务人经营不善，资不抵债，债权人可能会损失掉大部分的投资，这主要体现在企业债中。</w:t>
      </w:r>
    </w:p>
    <w:p w14:paraId="283335B9" w14:textId="77777777" w:rsidR="00521005" w:rsidRPr="00A4035F" w:rsidRDefault="00521005" w:rsidP="00521005">
      <w:pPr>
        <w:pStyle w:val="HD"/>
      </w:pPr>
      <w:r w:rsidRPr="00A4035F">
        <w:rPr>
          <w:rFonts w:hint="eastAsia"/>
        </w:rPr>
        <w:t>7</w:t>
      </w:r>
      <w:r w:rsidRPr="00A4035F">
        <w:rPr>
          <w:rFonts w:hint="eastAsia"/>
        </w:rPr>
        <w:t>、债券收益率曲线变动风险。债券收益率曲线变动风险是指与收益率曲线非平行移动有关的风险，单一的</w:t>
      </w:r>
      <w:proofErr w:type="gramStart"/>
      <w:r w:rsidRPr="00A4035F">
        <w:rPr>
          <w:rFonts w:hint="eastAsia"/>
        </w:rPr>
        <w:t>久期指标</w:t>
      </w:r>
      <w:proofErr w:type="gramEnd"/>
      <w:r w:rsidRPr="00A4035F">
        <w:rPr>
          <w:rFonts w:hint="eastAsia"/>
        </w:rPr>
        <w:t>并不能充分反映这一风险的存在。</w:t>
      </w:r>
    </w:p>
    <w:p w14:paraId="4FA0CC2E" w14:textId="77777777" w:rsidR="00521005" w:rsidRPr="00A4035F" w:rsidRDefault="00521005" w:rsidP="00521005">
      <w:pPr>
        <w:pStyle w:val="HD"/>
      </w:pPr>
      <w:r w:rsidRPr="00A4035F">
        <w:rPr>
          <w:rFonts w:hint="eastAsia"/>
        </w:rPr>
        <w:t>8</w:t>
      </w:r>
      <w:r w:rsidRPr="00A4035F">
        <w:rPr>
          <w:rFonts w:hint="eastAsia"/>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66C5CF9C" w14:textId="03CB10C3" w:rsidR="00521005" w:rsidRPr="00A4035F" w:rsidDel="00A7237D" w:rsidRDefault="00521005" w:rsidP="00521005">
      <w:pPr>
        <w:pStyle w:val="HD"/>
        <w:rPr>
          <w:rFonts w:hAnsi="宋体"/>
        </w:rPr>
      </w:pPr>
      <w:r w:rsidRPr="00A4035F" w:rsidDel="00A7237D">
        <w:rPr>
          <w:rFonts w:hint="eastAsia"/>
        </w:rPr>
        <w:t>9</w:t>
      </w:r>
      <w:r w:rsidRPr="00A4035F" w:rsidDel="00A7237D">
        <w:rPr>
          <w:rFonts w:hint="eastAsia"/>
        </w:rPr>
        <w:t>、投资股指期货的风险。</w:t>
      </w:r>
      <w:r w:rsidRPr="00A4035F" w:rsidDel="00A7237D">
        <w:rPr>
          <w:rFonts w:hAnsi="宋体" w:hint="eastAsia"/>
        </w:rPr>
        <w:t>本基金可投资于股指期货，股指期货作为一种金融衍生品，主要存在以下风险：</w:t>
      </w:r>
    </w:p>
    <w:p w14:paraId="4DBA77C7" w14:textId="1D53E366" w:rsidR="00521005" w:rsidRPr="00A4035F"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t>（1）市场风险：是指由于股指期货价格变动而给投资人带来的风险。</w:t>
      </w:r>
    </w:p>
    <w:p w14:paraId="0591DA8C" w14:textId="7DD8B05A" w:rsidR="00521005" w:rsidRPr="00A4035F"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t>（2）流动性风险：是指由于股指期货合约无法及时变现所带来的风险。</w:t>
      </w:r>
    </w:p>
    <w:p w14:paraId="4779EAC0" w14:textId="26206E23" w:rsidR="00521005" w:rsidRPr="00A4035F"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t>（3）</w:t>
      </w:r>
      <w:proofErr w:type="gramStart"/>
      <w:r w:rsidRPr="00A4035F" w:rsidDel="00A7237D">
        <w:rPr>
          <w:rFonts w:hAnsi="宋体"/>
          <w:sz w:val="21"/>
          <w:szCs w:val="21"/>
        </w:rPr>
        <w:t>基差风险</w:t>
      </w:r>
      <w:proofErr w:type="gramEnd"/>
      <w:r w:rsidRPr="00A4035F" w:rsidDel="00A7237D">
        <w:rPr>
          <w:rFonts w:hAnsi="宋体"/>
          <w:sz w:val="21"/>
          <w:szCs w:val="21"/>
        </w:rPr>
        <w:t>：是指股指期货合约价格和标的指数价格之间的价格差的波动所造成的风险。</w:t>
      </w:r>
    </w:p>
    <w:p w14:paraId="2B2FA2F0" w14:textId="0CAD2BDE" w:rsidR="00521005" w:rsidRPr="00A4035F"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lastRenderedPageBreak/>
        <w:t>（4）保证金风险：是指由于无法及时筹措资金满足建立或者维持股指期货合约头寸所要求的保证金而带来的风险。</w:t>
      </w:r>
      <w:r w:rsidRPr="00A4035F" w:rsidDel="00A7237D">
        <w:rPr>
          <w:rFonts w:hAnsi="宋体"/>
          <w:sz w:val="21"/>
          <w:szCs w:val="21"/>
        </w:rPr>
        <w:cr/>
        <w:t xml:space="preserve">    （5）杠杆风险：因股指期货采用保证金交易而存在杠杆，基金财产可能因此产生更大的收益波动。</w:t>
      </w:r>
    </w:p>
    <w:p w14:paraId="5D8AAD33" w14:textId="1C2F4E03" w:rsidR="00521005" w:rsidRPr="00A4035F"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t>（6）信用风险：是指期货经纪公司违约而产生损失的风险。</w:t>
      </w:r>
    </w:p>
    <w:p w14:paraId="2C235977" w14:textId="3A19657E" w:rsidR="00521005"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t>（7）操作风险：是指由于内部流程的不完善，业务人员出现差错或者疏漏，或者系统出现故障等原因造成损失的风险。</w:t>
      </w:r>
    </w:p>
    <w:p w14:paraId="01812336" w14:textId="77777777" w:rsidR="009D4510" w:rsidRPr="009D4510" w:rsidRDefault="00E51D54" w:rsidP="009D4510">
      <w:pPr>
        <w:pStyle w:val="32"/>
        <w:snapToGrid w:val="0"/>
        <w:spacing w:line="360" w:lineRule="auto"/>
        <w:ind w:firstLineChars="200" w:firstLine="420"/>
        <w:rPr>
          <w:rFonts w:hAnsi="宋体"/>
          <w:sz w:val="21"/>
          <w:szCs w:val="21"/>
        </w:rPr>
      </w:pPr>
      <w:r w:rsidRPr="00E51D54" w:rsidDel="00A7237D">
        <w:rPr>
          <w:rFonts w:hAnsi="宋体" w:hint="eastAsia"/>
          <w:sz w:val="21"/>
          <w:szCs w:val="21"/>
        </w:rPr>
        <w:t>10、</w:t>
      </w:r>
      <w:r w:rsidR="009D4510" w:rsidRPr="009D4510">
        <w:rPr>
          <w:rFonts w:hAnsi="宋体" w:hint="eastAsia"/>
          <w:sz w:val="21"/>
          <w:szCs w:val="21"/>
        </w:rPr>
        <w:t>投资股票期权的风险。股票期权价格主要受到标的资产价格水平、标的资产价格波动率、期权到期时间、市场利率水平等因素的影响。因此，投资股票期权主要存在 Delta 风险、Gamma 风险、Vega 风险、Theta 风险以及 Rho 风险。同时，进行股票期权投资还面临流动性风险、信用风险、操作风险等。</w:t>
      </w:r>
    </w:p>
    <w:p w14:paraId="4E44BDFA" w14:textId="523077D4" w:rsidR="00E51D54" w:rsidRPr="00E51D54" w:rsidDel="00A7237D" w:rsidRDefault="009D4510" w:rsidP="009D4510">
      <w:pPr>
        <w:pStyle w:val="32"/>
        <w:snapToGrid w:val="0"/>
        <w:spacing w:line="360" w:lineRule="auto"/>
        <w:ind w:firstLineChars="200" w:firstLine="420"/>
        <w:rPr>
          <w:rFonts w:hAnsi="宋体"/>
          <w:sz w:val="21"/>
          <w:szCs w:val="21"/>
        </w:rPr>
      </w:pPr>
      <w:r w:rsidRPr="009D4510">
        <w:rPr>
          <w:rFonts w:hAnsi="宋体" w:hint="eastAsia"/>
          <w:sz w:val="21"/>
          <w:szCs w:val="21"/>
        </w:rPr>
        <w:t>11、</w:t>
      </w:r>
      <w:r w:rsidR="00E51D54" w:rsidRPr="00E51D54" w:rsidDel="00A7237D">
        <w:rPr>
          <w:rFonts w:hAnsi="宋体" w:hint="eastAsia"/>
          <w:sz w:val="21"/>
          <w:szCs w:val="21"/>
        </w:rPr>
        <w:t>本基金投资资产支持证券的风险。</w:t>
      </w:r>
    </w:p>
    <w:p w14:paraId="3E391203" w14:textId="26C8D49D"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本基金可投资于资产支持证券，因此可能面临资产支持证券的信用风险、利率风险、流动性风险、提前偿付风险、法律风险和操作风险。本基金管理人将通过内部信用评级、投资授</w:t>
      </w:r>
      <w:proofErr w:type="gramStart"/>
      <w:r w:rsidRPr="00E51D54" w:rsidDel="00A7237D">
        <w:rPr>
          <w:rFonts w:hAnsi="宋体" w:hint="eastAsia"/>
          <w:sz w:val="21"/>
          <w:szCs w:val="21"/>
        </w:rPr>
        <w:t>信控制</w:t>
      </w:r>
      <w:proofErr w:type="gramEnd"/>
      <w:r w:rsidRPr="00E51D54" w:rsidDel="00A7237D">
        <w:rPr>
          <w:rFonts w:hAnsi="宋体" w:hint="eastAsia"/>
          <w:sz w:val="21"/>
          <w:szCs w:val="21"/>
        </w:rPr>
        <w:t>等方法对资产支持证券投资进行有效的风险评估和控制。同时，本基金管理人将对资产支持证券进行全程合</w:t>
      </w:r>
      <w:proofErr w:type="gramStart"/>
      <w:r w:rsidRPr="00E51D54" w:rsidDel="00A7237D">
        <w:rPr>
          <w:rFonts w:hAnsi="宋体" w:hint="eastAsia"/>
          <w:sz w:val="21"/>
          <w:szCs w:val="21"/>
        </w:rPr>
        <w:t>规</w:t>
      </w:r>
      <w:proofErr w:type="gramEnd"/>
      <w:r w:rsidRPr="00E51D54" w:rsidDel="00A7237D">
        <w:rPr>
          <w:rFonts w:hAnsi="宋体" w:hint="eastAsia"/>
          <w:sz w:val="21"/>
          <w:szCs w:val="21"/>
        </w:rPr>
        <w:t>监控，通过事前控制、事中监督和事后报告检查等方式，确保资产支持证券投资的合法合规。</w:t>
      </w:r>
    </w:p>
    <w:p w14:paraId="2E74D009" w14:textId="73AD77BC" w:rsidR="00E51D54" w:rsidRPr="00E51D54" w:rsidDel="00A7237D" w:rsidRDefault="009D4510" w:rsidP="00E51D54">
      <w:pPr>
        <w:pStyle w:val="32"/>
        <w:snapToGrid w:val="0"/>
        <w:spacing w:line="360" w:lineRule="auto"/>
        <w:ind w:firstLineChars="200" w:firstLine="420"/>
        <w:rPr>
          <w:rFonts w:hAnsi="宋体"/>
          <w:sz w:val="21"/>
          <w:szCs w:val="21"/>
        </w:rPr>
      </w:pPr>
      <w:r>
        <w:rPr>
          <w:rFonts w:hAnsi="宋体"/>
          <w:sz w:val="21"/>
          <w:szCs w:val="21"/>
        </w:rPr>
        <w:t>12</w:t>
      </w:r>
      <w:r w:rsidR="00E51D54" w:rsidRPr="00E51D54" w:rsidDel="00A7237D">
        <w:rPr>
          <w:rFonts w:hAnsi="宋体" w:hint="eastAsia"/>
          <w:sz w:val="21"/>
          <w:szCs w:val="21"/>
        </w:rPr>
        <w:t>、本基金投资流通受限证券的风险。</w:t>
      </w:r>
    </w:p>
    <w:p w14:paraId="525DC608" w14:textId="26B21C6C"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w:t>
      </w:r>
      <w:proofErr w:type="gramStart"/>
      <w:r w:rsidRPr="00E51D54" w:rsidDel="00A7237D">
        <w:rPr>
          <w:rFonts w:hAnsi="宋体" w:hint="eastAsia"/>
          <w:sz w:val="21"/>
          <w:szCs w:val="21"/>
        </w:rPr>
        <w:t>规</w:t>
      </w:r>
      <w:proofErr w:type="gramEnd"/>
      <w:r w:rsidRPr="00E51D54" w:rsidDel="00A7237D">
        <w:rPr>
          <w:rFonts w:hAnsi="宋体" w:hint="eastAsia"/>
          <w:sz w:val="21"/>
          <w:szCs w:val="21"/>
        </w:rPr>
        <w:t>。</w:t>
      </w:r>
    </w:p>
    <w:p w14:paraId="7282F5CC" w14:textId="60D74F5F" w:rsidR="00E51D54" w:rsidRPr="00E51D54" w:rsidDel="00A7237D" w:rsidRDefault="009D4510"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1</w:t>
      </w:r>
      <w:r>
        <w:rPr>
          <w:rFonts w:hAnsi="宋体"/>
          <w:sz w:val="21"/>
          <w:szCs w:val="21"/>
        </w:rPr>
        <w:t>3</w:t>
      </w:r>
      <w:r w:rsidR="00E51D54" w:rsidRPr="00E51D54" w:rsidDel="00A7237D">
        <w:rPr>
          <w:rFonts w:hAnsi="宋体" w:hint="eastAsia"/>
          <w:sz w:val="21"/>
          <w:szCs w:val="21"/>
        </w:rPr>
        <w:t>、本基金参与转融通证券出借业务的风险</w:t>
      </w:r>
    </w:p>
    <w:p w14:paraId="251C8B99" w14:textId="66DD74A8"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本基金可根据法律法规和基金合同的约定参与转融通证券出借业务，可能存在转融通业务特有风险，包括但不限于以下风险：</w:t>
      </w:r>
    </w:p>
    <w:p w14:paraId="5324230E" w14:textId="69AA83AC"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（1）流动性风险</w:t>
      </w:r>
    </w:p>
    <w:p w14:paraId="2C61ABF3" w14:textId="5B26E817"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面对大额赎回时，可能因证券出借原因发生无法及时变现、支付赎回款项的风险；</w:t>
      </w:r>
    </w:p>
    <w:p w14:paraId="3A0E5747" w14:textId="2DCAED26"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（2）信用风险</w:t>
      </w:r>
    </w:p>
    <w:p w14:paraId="53371C01" w14:textId="491EE7A2"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证券出借对手方可能无法及时归还证券、无法支付相应权益补偿及借券费用的风险；</w:t>
      </w:r>
    </w:p>
    <w:p w14:paraId="043A2AB5" w14:textId="4CD7598F"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（3）市场风险</w:t>
      </w:r>
    </w:p>
    <w:p w14:paraId="46851B26" w14:textId="46D8B8B5"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证券出借后可能面临出借期间无法及时处置证券的风险。</w:t>
      </w:r>
    </w:p>
    <w:p w14:paraId="7B6F5FE3" w14:textId="1B0213F0"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（4）操作风险</w:t>
      </w:r>
    </w:p>
    <w:p w14:paraId="7ABE748F" w14:textId="2291EC13"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由于不完善或有问题的内部操作流程、人员违规或失误、系统故障或外部事件所导致的</w:t>
      </w:r>
      <w:r w:rsidRPr="00E51D54" w:rsidDel="00A7237D">
        <w:rPr>
          <w:rFonts w:hAnsi="宋体" w:hint="eastAsia"/>
          <w:sz w:val="21"/>
          <w:szCs w:val="21"/>
        </w:rPr>
        <w:lastRenderedPageBreak/>
        <w:t>直接或间接损失的风险</w:t>
      </w:r>
    </w:p>
    <w:p w14:paraId="778A7DC5" w14:textId="545A300D"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根据转融通证券出借业务的特点，本公司配备了风控、合</w:t>
      </w:r>
      <w:proofErr w:type="gramStart"/>
      <w:r w:rsidRPr="00E51D54" w:rsidDel="00A7237D">
        <w:rPr>
          <w:rFonts w:hAnsi="宋体" w:hint="eastAsia"/>
          <w:sz w:val="21"/>
          <w:szCs w:val="21"/>
        </w:rPr>
        <w:t>规</w:t>
      </w:r>
      <w:proofErr w:type="gramEnd"/>
      <w:r w:rsidRPr="00E51D54" w:rsidDel="00A7237D">
        <w:rPr>
          <w:rFonts w:hAnsi="宋体" w:hint="eastAsia"/>
          <w:sz w:val="21"/>
          <w:szCs w:val="21"/>
        </w:rPr>
        <w:t>、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14:paraId="510294AA" w14:textId="4465D6D3" w:rsidR="00E51D54" w:rsidRPr="00A4035F"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除上述风险外，本公司参与转融通证券出借业务还应关注外部监管机构或公司要求关注的其他风险。</w:t>
      </w:r>
    </w:p>
    <w:p w14:paraId="632BFF33" w14:textId="77777777" w:rsidR="00521005" w:rsidRPr="00A4035F" w:rsidRDefault="00521005" w:rsidP="00521005">
      <w:pPr>
        <w:pStyle w:val="HD"/>
      </w:pPr>
    </w:p>
    <w:p w14:paraId="29EA209E" w14:textId="77777777" w:rsidR="00521005" w:rsidRPr="00A4035F" w:rsidRDefault="00521005" w:rsidP="00521005">
      <w:pPr>
        <w:pStyle w:val="HD"/>
      </w:pPr>
      <w:r w:rsidRPr="00A4035F">
        <w:rPr>
          <w:rFonts w:hint="eastAsia"/>
        </w:rPr>
        <w:t>二、管理风险</w:t>
      </w:r>
    </w:p>
    <w:p w14:paraId="15F2261E" w14:textId="77777777" w:rsidR="00521005" w:rsidRPr="00A4035F" w:rsidRDefault="00521005" w:rsidP="00521005">
      <w:pPr>
        <w:pStyle w:val="HD"/>
      </w:pPr>
      <w:r w:rsidRPr="00A4035F">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05AD02C7" w14:textId="77777777" w:rsidR="00521005" w:rsidRPr="00A4035F" w:rsidRDefault="00521005" w:rsidP="00521005">
      <w:pPr>
        <w:pStyle w:val="HD"/>
      </w:pPr>
    </w:p>
    <w:p w14:paraId="59503068" w14:textId="77777777" w:rsidR="00521005" w:rsidRPr="00A4035F" w:rsidRDefault="00521005" w:rsidP="00521005">
      <w:pPr>
        <w:pStyle w:val="HD"/>
      </w:pPr>
      <w:r w:rsidRPr="00A4035F">
        <w:rPr>
          <w:rFonts w:hint="eastAsia"/>
        </w:rPr>
        <w:t>三、流动性风险</w:t>
      </w:r>
    </w:p>
    <w:p w14:paraId="745DF4BF" w14:textId="77777777" w:rsidR="00521005" w:rsidRPr="00A4035F" w:rsidRDefault="00521005" w:rsidP="00521005">
      <w:pPr>
        <w:pStyle w:val="HD"/>
      </w:pPr>
      <w:r w:rsidRPr="00A4035F">
        <w:rPr>
          <w:rFonts w:hint="eastAsia"/>
        </w:rPr>
        <w:t>本基金属开放式基金，在所有开放日管理人有义务接受投资人的赎回。如果出现较大数额的赎回申请，则使基金资产变现困难，基金面临流动性风险。</w:t>
      </w:r>
    </w:p>
    <w:p w14:paraId="52AB2B45" w14:textId="77777777" w:rsidR="00A87540" w:rsidRDefault="00A87540" w:rsidP="00A87540">
      <w:pPr>
        <w:pStyle w:val="HD"/>
      </w:pPr>
      <w:r>
        <w:rPr>
          <w:rFonts w:hint="eastAsia"/>
        </w:rPr>
        <w:t>1</w:t>
      </w:r>
      <w:r>
        <w:rPr>
          <w:rFonts w:hint="eastAsia"/>
        </w:rPr>
        <w:t>、本基金的申购、赎回安排</w:t>
      </w:r>
    </w:p>
    <w:p w14:paraId="0BA7C738" w14:textId="3F0CD4E4" w:rsidR="00A87540" w:rsidRDefault="00A87540" w:rsidP="00A87540">
      <w:pPr>
        <w:pStyle w:val="HD"/>
      </w:pPr>
      <w:r>
        <w:rPr>
          <w:rFonts w:hint="eastAsia"/>
        </w:rPr>
        <w:t>本基金采用开放方式运作，基金管理人在开放日办理基金份额的申购和赎回。本基金的申购与赎回的开放日为上海证券交易所、深圳证券交易所的正常交易日，但基金管理人根据法律法规、中国证监会的要求或基金合同的规定公告暂停申购、赎回时除外。基金管理人自基金合同生效之日起不超过</w:t>
      </w:r>
      <w:r>
        <w:rPr>
          <w:rFonts w:hint="eastAsia"/>
        </w:rPr>
        <w:t>3</w:t>
      </w:r>
      <w:r>
        <w:rPr>
          <w:rFonts w:hint="eastAsia"/>
        </w:rPr>
        <w:t>个月开始办理申购和赎回业务，具体业务办理时间在申购赎回开始公告中规定。</w:t>
      </w:r>
    </w:p>
    <w:p w14:paraId="6AD30CE4" w14:textId="4446EA66" w:rsidR="00460572" w:rsidRDefault="00A87540" w:rsidP="00A87540">
      <w:pPr>
        <w:pStyle w:val="HD"/>
      </w:pPr>
      <w:r>
        <w:rPr>
          <w:rFonts w:hint="eastAsia"/>
        </w:rPr>
        <w:t>2</w:t>
      </w:r>
      <w:r>
        <w:rPr>
          <w:rFonts w:hint="eastAsia"/>
        </w:rPr>
        <w:t>、</w:t>
      </w:r>
      <w:r w:rsidR="00460572">
        <w:rPr>
          <w:rFonts w:hint="eastAsia"/>
        </w:rPr>
        <w:t>投资市场、行业及资产的流动性风险评估</w:t>
      </w:r>
    </w:p>
    <w:p w14:paraId="3DA27FC4" w14:textId="5E431A28" w:rsidR="00460572" w:rsidRDefault="00460572" w:rsidP="00460572">
      <w:pPr>
        <w:pStyle w:val="HD"/>
      </w:pPr>
      <w:r>
        <w:rPr>
          <w:rFonts w:hint="eastAsia"/>
        </w:rPr>
        <w:t>本基金主要投资于目标</w:t>
      </w:r>
      <w:r>
        <w:rPr>
          <w:rFonts w:hint="eastAsia"/>
        </w:rPr>
        <w:t>ETF</w:t>
      </w:r>
      <w:r>
        <w:rPr>
          <w:rFonts w:hint="eastAsia"/>
        </w:rPr>
        <w:t>基金份额、标的指数成份股、备选成份股。目标</w:t>
      </w:r>
      <w:r>
        <w:rPr>
          <w:rFonts w:hint="eastAsia"/>
        </w:rPr>
        <w:t>ETF</w:t>
      </w:r>
      <w:r>
        <w:rPr>
          <w:rFonts w:hint="eastAsia"/>
        </w:rPr>
        <w:t>及本基金主要投资的标的指数成份股和备选成份股</w:t>
      </w:r>
      <w:r w:rsidR="009F477B" w:rsidRPr="009F477B">
        <w:rPr>
          <w:rFonts w:hint="eastAsia"/>
        </w:rPr>
        <w:t>以最近一年无重大违法违规事件，财务报告无重大问题，信息披露、公司内控等方面治理规范，股价无明显的异常波动或市场操纵，非</w:t>
      </w:r>
      <w:r w:rsidR="009F477B" w:rsidRPr="009F477B">
        <w:rPr>
          <w:rFonts w:hint="eastAsia"/>
        </w:rPr>
        <w:t>ST</w:t>
      </w:r>
      <w:r w:rsidR="009F477B" w:rsidRPr="009F477B">
        <w:rPr>
          <w:rFonts w:hint="eastAsia"/>
        </w:rPr>
        <w:t>、</w:t>
      </w:r>
      <w:r w:rsidR="009F477B" w:rsidRPr="009F477B">
        <w:rPr>
          <w:rFonts w:hint="eastAsia"/>
        </w:rPr>
        <w:t>*ST</w:t>
      </w:r>
      <w:r w:rsidR="009F477B" w:rsidRPr="009F477B">
        <w:rPr>
          <w:rFonts w:hint="eastAsia"/>
        </w:rPr>
        <w:t>股票以及非暂停上市的</w:t>
      </w:r>
      <w:r w:rsidR="009F477B" w:rsidRPr="009F477B">
        <w:rPr>
          <w:rFonts w:hint="eastAsia"/>
        </w:rPr>
        <w:t>A</w:t>
      </w:r>
      <w:r w:rsidR="009F477B" w:rsidRPr="009F477B">
        <w:rPr>
          <w:rFonts w:hint="eastAsia"/>
        </w:rPr>
        <w:t>股股票为样本空间</w:t>
      </w:r>
      <w:r w:rsidR="009F477B">
        <w:rPr>
          <w:rFonts w:hint="eastAsia"/>
        </w:rPr>
        <w:t>。</w:t>
      </w:r>
      <w:r>
        <w:rPr>
          <w:rFonts w:hint="eastAsia"/>
        </w:rPr>
        <w:t>且目标</w:t>
      </w:r>
      <w:r>
        <w:rPr>
          <w:rFonts w:hint="eastAsia"/>
        </w:rPr>
        <w:t>ETF</w:t>
      </w:r>
      <w:r>
        <w:rPr>
          <w:rFonts w:hint="eastAsia"/>
        </w:rPr>
        <w:t>已依照指数权重进行了分散投资，故本基金可通过赎回目标</w:t>
      </w:r>
      <w:r>
        <w:rPr>
          <w:rFonts w:hint="eastAsia"/>
        </w:rPr>
        <w:t>ETF</w:t>
      </w:r>
      <w:r>
        <w:rPr>
          <w:rFonts w:hint="eastAsia"/>
        </w:rPr>
        <w:t>较好地获取流动性；另外，本基金还可以在二级市场卖出目标</w:t>
      </w:r>
      <w:r>
        <w:rPr>
          <w:rFonts w:hint="eastAsia"/>
        </w:rPr>
        <w:t>ETF</w:t>
      </w:r>
      <w:r>
        <w:rPr>
          <w:rFonts w:hint="eastAsia"/>
        </w:rPr>
        <w:t>获取流动性，以上均为基金平稳运作提供了良好的基础。根据《流动性规定》的相关要求，本基金所投资或持有的基金份额的基金管理人实施流动性风险管理，也</w:t>
      </w:r>
      <w:r>
        <w:rPr>
          <w:rFonts w:hint="eastAsia"/>
        </w:rPr>
        <w:lastRenderedPageBreak/>
        <w:t>会审慎评估所投资资产的流动性，并针对性制定流动性风险管理措施，因此本基金流动性风险也可以得到有效控制。</w:t>
      </w:r>
    </w:p>
    <w:p w14:paraId="150D877B" w14:textId="77777777" w:rsidR="00A87540" w:rsidRDefault="00A87540" w:rsidP="00A87540">
      <w:pPr>
        <w:pStyle w:val="HD"/>
      </w:pPr>
      <w:r>
        <w:rPr>
          <w:rFonts w:hint="eastAsia"/>
        </w:rPr>
        <w:t>3</w:t>
      </w:r>
      <w:r>
        <w:rPr>
          <w:rFonts w:hint="eastAsia"/>
        </w:rPr>
        <w:t>、巨额赎回情形下的流动性风险管理措施</w:t>
      </w:r>
    </w:p>
    <w:p w14:paraId="431327D7" w14:textId="1AA90A45" w:rsidR="00A87540" w:rsidRDefault="00A87540" w:rsidP="00A87540">
      <w:pPr>
        <w:pStyle w:val="HD"/>
      </w:pPr>
      <w:r>
        <w:rPr>
          <w:rFonts w:hint="eastAsia"/>
        </w:rPr>
        <w:t>当单个交易日基金的净赎回申请超过基金总份额的</w:t>
      </w:r>
      <w:r>
        <w:rPr>
          <w:rFonts w:ascii="宋体" w:hAnsi="宋体" w:hint="eastAsia"/>
          <w:bCs/>
        </w:rPr>
        <w:t>10%</w:t>
      </w:r>
      <w:r>
        <w:rPr>
          <w:rFonts w:hint="eastAsia"/>
        </w:rPr>
        <w:t>时，本基金将可能无法及时赎回持有的全部基金份额，即认为是发生了巨额赎回。当基金出现巨额赎回时，基金管理人可以根据基金当时的资产组合状况决定全额赎回或部分延期赎回。连续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发生巨额赎回，如基金管理人认为有必要，可暂停接受基金的赎回申请；已经接受的赎回申请可以延缓支付赎回款项，但不得超过</w:t>
      </w:r>
      <w:r>
        <w:rPr>
          <w:rFonts w:hint="eastAsia"/>
        </w:rPr>
        <w:t>20</w:t>
      </w:r>
      <w:r>
        <w:rPr>
          <w:rFonts w:hint="eastAsia"/>
        </w:rPr>
        <w:t>个工作日，并应当在指定媒介上进行公告。</w:t>
      </w:r>
    </w:p>
    <w:p w14:paraId="50EC38BF" w14:textId="217F6246" w:rsidR="00A87540" w:rsidRDefault="00A87540" w:rsidP="00A87540">
      <w:pPr>
        <w:pStyle w:val="HD"/>
      </w:pPr>
      <w:r w:rsidRPr="00A87540">
        <w:rPr>
          <w:rFonts w:hint="eastAsia"/>
        </w:rPr>
        <w:t>当基金发生巨额赎回，在单个基金份额持有人超过基金总份额</w:t>
      </w:r>
      <w:r w:rsidR="007B1E64">
        <w:t>3</w:t>
      </w:r>
      <w:r w:rsidR="007B1E64" w:rsidRPr="00A87540">
        <w:rPr>
          <w:rFonts w:hint="eastAsia"/>
        </w:rPr>
        <w:t>0</w:t>
      </w:r>
      <w:r w:rsidRPr="00A87540">
        <w:rPr>
          <w:rFonts w:hint="eastAsia"/>
        </w:rPr>
        <w:t>%</w:t>
      </w:r>
      <w:r w:rsidRPr="00A87540">
        <w:rPr>
          <w:rFonts w:hint="eastAsia"/>
        </w:rPr>
        <w:t>以上的赎回申请情形下，基金管理人</w:t>
      </w:r>
      <w:r w:rsidR="007B1E64">
        <w:rPr>
          <w:rFonts w:hint="eastAsia"/>
        </w:rPr>
        <w:t>可以</w:t>
      </w:r>
      <w:r w:rsidRPr="00A87540">
        <w:rPr>
          <w:rFonts w:hint="eastAsia"/>
        </w:rPr>
        <w:t>延期办理赎回申请。基金管理人只接受其基金总份额</w:t>
      </w:r>
      <w:r w:rsidR="007B1E64">
        <w:t>3</w:t>
      </w:r>
      <w:r w:rsidR="007B1E64" w:rsidRPr="00A87540">
        <w:rPr>
          <w:rFonts w:hint="eastAsia"/>
        </w:rPr>
        <w:t>0</w:t>
      </w:r>
      <w:r w:rsidRPr="00A87540">
        <w:rPr>
          <w:rFonts w:hint="eastAsia"/>
        </w:rPr>
        <w:t>%</w:t>
      </w:r>
      <w:r w:rsidRPr="00A87540">
        <w:rPr>
          <w:rFonts w:hint="eastAsia"/>
        </w:rPr>
        <w:t>部分作为当日有效赎回申请，对于该基金份额持有人当日有效赎回申请，基金管理人可以根据前述“（</w:t>
      </w:r>
      <w:r w:rsidRPr="00A87540">
        <w:rPr>
          <w:rFonts w:hint="eastAsia"/>
        </w:rPr>
        <w:t>1</w:t>
      </w:r>
      <w:r w:rsidRPr="00A87540">
        <w:rPr>
          <w:rFonts w:hint="eastAsia"/>
        </w:rPr>
        <w:t>）全额赎回”或“（</w:t>
      </w:r>
      <w:r w:rsidRPr="00A87540">
        <w:rPr>
          <w:rFonts w:hint="eastAsia"/>
        </w:rPr>
        <w:t>2</w:t>
      </w:r>
      <w:r w:rsidRPr="00A87540">
        <w:rPr>
          <w:rFonts w:hint="eastAsia"/>
        </w:rPr>
        <w:t>）部分延期赎回”的约定方式与其他基金份额持有人的赎回申请一并办理。对单个基金份额持有人超过基金总份额</w:t>
      </w:r>
      <w:r w:rsidR="007B1E64">
        <w:t>3</w:t>
      </w:r>
      <w:r w:rsidR="007B1E64" w:rsidRPr="00A87540">
        <w:rPr>
          <w:rFonts w:hint="eastAsia"/>
        </w:rPr>
        <w:t>0</w:t>
      </w:r>
      <w:r w:rsidRPr="00A87540">
        <w:rPr>
          <w:rFonts w:hint="eastAsia"/>
        </w:rPr>
        <w:t>%</w:t>
      </w:r>
      <w:r w:rsidRPr="00A87540">
        <w:rPr>
          <w:rFonts w:hint="eastAsia"/>
        </w:rPr>
        <w:t>以上的赎回申请延期赎回。延期的赎回申请与下一开放日赎回申请一并处理，无优先权</w:t>
      </w:r>
      <w:proofErr w:type="gramStart"/>
      <w:r w:rsidRPr="00A87540">
        <w:rPr>
          <w:rFonts w:hint="eastAsia"/>
        </w:rPr>
        <w:t>并以下</w:t>
      </w:r>
      <w:proofErr w:type="gramEnd"/>
      <w:r w:rsidRPr="00A87540">
        <w:rPr>
          <w:rFonts w:hint="eastAsia"/>
        </w:rPr>
        <w:t>一开放日的基金份额净值为基础计算赎回金额，以此类推。当连续两个开放日发生单个基金份额持有人超过基金总份额</w:t>
      </w:r>
      <w:r w:rsidR="007B1E64">
        <w:t>3</w:t>
      </w:r>
      <w:r w:rsidR="007B1E64" w:rsidRPr="00A87540">
        <w:rPr>
          <w:rFonts w:hint="eastAsia"/>
        </w:rPr>
        <w:t>0</w:t>
      </w:r>
      <w:r w:rsidRPr="00A87540">
        <w:rPr>
          <w:rFonts w:hint="eastAsia"/>
        </w:rPr>
        <w:t>%</w:t>
      </w:r>
      <w:r w:rsidRPr="00A87540">
        <w:rPr>
          <w:rFonts w:hint="eastAsia"/>
        </w:rPr>
        <w:t>以上的赎回申请情形时，基金管理人可以根据实际情况，在对存量基金份额持有人利益不构成潜在重大不利影响的前提下对该持有人的赎回申请予以全部赎回或延缓支付赎回款项。延期部分如选择取消赎回的，当日未获受理的部分赎回申请将被撤销。如投资人在提交赎回申请时未作明确选择，投资人未能赎回部分作自动延期赎回处理。</w:t>
      </w:r>
    </w:p>
    <w:p w14:paraId="1E0C5334" w14:textId="5AE610F7" w:rsidR="00460572" w:rsidRDefault="00A87540" w:rsidP="00A87540">
      <w:pPr>
        <w:pStyle w:val="HD"/>
      </w:pPr>
      <w:r>
        <w:rPr>
          <w:rFonts w:hint="eastAsia"/>
        </w:rPr>
        <w:t>4</w:t>
      </w:r>
      <w:r>
        <w:rPr>
          <w:rFonts w:hint="eastAsia"/>
        </w:rPr>
        <w:t>、</w:t>
      </w:r>
      <w:r w:rsidR="00460572">
        <w:rPr>
          <w:rFonts w:hint="eastAsia"/>
        </w:rPr>
        <w:t>实施备用的流动性风险管理工具的情形、程序及对投资者的潜在影响</w:t>
      </w:r>
    </w:p>
    <w:p w14:paraId="59E0B2ED" w14:textId="77777777" w:rsidR="00460572" w:rsidRDefault="00460572" w:rsidP="00460572">
      <w:pPr>
        <w:pStyle w:val="HD"/>
      </w:pPr>
      <w:r>
        <w:rPr>
          <w:rFonts w:hint="eastAsia"/>
        </w:rPr>
        <w:t>本基金在面临大规模赎回的情况下有可能因为无法变现造成流动性风险。</w:t>
      </w:r>
    </w:p>
    <w:p w14:paraId="538343F6" w14:textId="1C3D216A" w:rsidR="00521005" w:rsidRDefault="00460572" w:rsidP="00460572">
      <w:pPr>
        <w:pStyle w:val="HD"/>
      </w:pPr>
      <w:r>
        <w:rPr>
          <w:rFonts w:hint="eastAsia"/>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摆动定价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款项、赎回时承担冲击成本产生资金损失等影响。</w:t>
      </w:r>
    </w:p>
    <w:p w14:paraId="3B7B0816" w14:textId="77777777" w:rsidR="00460572" w:rsidRPr="00A4035F" w:rsidRDefault="00460572" w:rsidP="00521005">
      <w:pPr>
        <w:pStyle w:val="HD"/>
      </w:pPr>
    </w:p>
    <w:p w14:paraId="6DD328E1" w14:textId="77777777" w:rsidR="00521005" w:rsidRPr="00A4035F" w:rsidRDefault="00521005" w:rsidP="00521005">
      <w:pPr>
        <w:pStyle w:val="HD"/>
      </w:pPr>
      <w:r w:rsidRPr="00A4035F">
        <w:rPr>
          <w:rFonts w:hint="eastAsia"/>
        </w:rPr>
        <w:t>四、本基金特有的风险</w:t>
      </w:r>
    </w:p>
    <w:p w14:paraId="58D42AE2" w14:textId="77777777" w:rsidR="00521005" w:rsidRPr="00A4035F" w:rsidRDefault="00521005" w:rsidP="00521005">
      <w:pPr>
        <w:pStyle w:val="HD"/>
      </w:pPr>
      <w:r w:rsidRPr="00A4035F">
        <w:rPr>
          <w:rFonts w:hint="eastAsia"/>
        </w:rPr>
        <w:t>1</w:t>
      </w:r>
      <w:r w:rsidRPr="00A4035F">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14:paraId="5E7E16B6" w14:textId="77777777" w:rsidR="00521005" w:rsidRPr="00A4035F" w:rsidRDefault="00521005" w:rsidP="00521005">
      <w:pPr>
        <w:pStyle w:val="HD"/>
      </w:pPr>
      <w:r w:rsidRPr="00A4035F">
        <w:rPr>
          <w:rFonts w:hint="eastAsia"/>
        </w:rPr>
        <w:t>2</w:t>
      </w:r>
      <w:r w:rsidRPr="00A4035F">
        <w:rPr>
          <w:rFonts w:hint="eastAsia"/>
        </w:rPr>
        <w:t>、标的指数波动的风险：标的指数成份股的价格可能受到政治因素、经济因素、上市</w:t>
      </w:r>
      <w:r w:rsidRPr="00A4035F">
        <w:rPr>
          <w:rFonts w:hint="eastAsia"/>
        </w:rPr>
        <w:lastRenderedPageBreak/>
        <w:t>公司状况、投资人心理和交易制度等各种因素的影响而波动，导致指数波动，从而使基金收益水平发生变化，产生风险。</w:t>
      </w:r>
    </w:p>
    <w:p w14:paraId="263A3290" w14:textId="77777777" w:rsidR="00521005" w:rsidRPr="00A4035F" w:rsidRDefault="00521005" w:rsidP="00521005">
      <w:pPr>
        <w:pStyle w:val="HD"/>
      </w:pPr>
      <w:r w:rsidRPr="00A4035F">
        <w:rPr>
          <w:rFonts w:hint="eastAsia"/>
        </w:rPr>
        <w:t>3</w:t>
      </w:r>
      <w:r w:rsidRPr="00A4035F">
        <w:rPr>
          <w:rFonts w:hint="eastAsia"/>
        </w:rPr>
        <w:t>、跟踪偏离风险：即基金在跟踪指数时由于各种原因导致基金的业绩表现与标的指数表现之间产生差异的不确定性，包括但不限于以下因素：</w:t>
      </w:r>
    </w:p>
    <w:p w14:paraId="21B28E1D" w14:textId="77777777" w:rsidR="00521005" w:rsidRPr="00A4035F" w:rsidRDefault="00521005" w:rsidP="00521005">
      <w:pPr>
        <w:pStyle w:val="HD"/>
      </w:pPr>
      <w:r w:rsidRPr="00A4035F">
        <w:rPr>
          <w:rFonts w:hint="eastAsia"/>
        </w:rPr>
        <w:t>（</w:t>
      </w:r>
      <w:r w:rsidRPr="00A4035F">
        <w:rPr>
          <w:rFonts w:hint="eastAsia"/>
        </w:rPr>
        <w:t>1</w:t>
      </w:r>
      <w:r w:rsidRPr="00A4035F">
        <w:rPr>
          <w:rFonts w:hint="eastAsia"/>
        </w:rPr>
        <w:t>）标的指数成份股的配股、增发、分红等公司行为；</w:t>
      </w:r>
    </w:p>
    <w:p w14:paraId="5A02B32B" w14:textId="77777777" w:rsidR="00521005" w:rsidRPr="00A4035F" w:rsidRDefault="00521005" w:rsidP="00521005">
      <w:pPr>
        <w:pStyle w:val="HD"/>
      </w:pPr>
      <w:r w:rsidRPr="00A4035F">
        <w:rPr>
          <w:rFonts w:hint="eastAsia"/>
        </w:rPr>
        <w:t>（</w:t>
      </w:r>
      <w:r w:rsidRPr="00A4035F">
        <w:rPr>
          <w:rFonts w:hint="eastAsia"/>
        </w:rPr>
        <w:t>2</w:t>
      </w:r>
      <w:r w:rsidRPr="00A4035F">
        <w:rPr>
          <w:rFonts w:hint="eastAsia"/>
        </w:rPr>
        <w:t>）标的指数成份股的调整；</w:t>
      </w:r>
    </w:p>
    <w:p w14:paraId="34A06126" w14:textId="77777777" w:rsidR="00521005" w:rsidRPr="00A4035F" w:rsidRDefault="00521005" w:rsidP="00521005">
      <w:pPr>
        <w:pStyle w:val="HD"/>
      </w:pPr>
      <w:r w:rsidRPr="00A4035F">
        <w:rPr>
          <w:rFonts w:hint="eastAsia"/>
        </w:rPr>
        <w:t>（</w:t>
      </w:r>
      <w:r w:rsidRPr="00A4035F">
        <w:rPr>
          <w:rFonts w:hint="eastAsia"/>
        </w:rPr>
        <w:t>3</w:t>
      </w:r>
      <w:r w:rsidRPr="00A4035F">
        <w:rPr>
          <w:rFonts w:hint="eastAsia"/>
        </w:rPr>
        <w:t>）基金买卖股票时产生的交易成本和交易冲击；</w:t>
      </w:r>
    </w:p>
    <w:p w14:paraId="07BBB132" w14:textId="77777777" w:rsidR="00521005" w:rsidRPr="00A4035F" w:rsidRDefault="00521005" w:rsidP="00521005">
      <w:pPr>
        <w:pStyle w:val="HD"/>
      </w:pPr>
      <w:r w:rsidRPr="00A4035F">
        <w:rPr>
          <w:rFonts w:hint="eastAsia"/>
        </w:rPr>
        <w:t>（</w:t>
      </w:r>
      <w:r w:rsidRPr="00A4035F">
        <w:rPr>
          <w:rFonts w:hint="eastAsia"/>
        </w:rPr>
        <w:t>4</w:t>
      </w:r>
      <w:r w:rsidRPr="00A4035F">
        <w:rPr>
          <w:rFonts w:hint="eastAsia"/>
        </w:rPr>
        <w:t>）申购、赎回因素带来的跟踪误差；</w:t>
      </w:r>
    </w:p>
    <w:p w14:paraId="46897C18" w14:textId="77777777" w:rsidR="00521005" w:rsidRPr="00A4035F" w:rsidRDefault="00521005" w:rsidP="00521005">
      <w:pPr>
        <w:pStyle w:val="HD"/>
      </w:pPr>
      <w:r w:rsidRPr="00A4035F">
        <w:rPr>
          <w:rFonts w:hint="eastAsia"/>
        </w:rPr>
        <w:t>（</w:t>
      </w:r>
      <w:r w:rsidRPr="00A4035F">
        <w:rPr>
          <w:rFonts w:hint="eastAsia"/>
        </w:rPr>
        <w:t>5</w:t>
      </w:r>
      <w:r w:rsidRPr="00A4035F">
        <w:rPr>
          <w:rFonts w:hint="eastAsia"/>
        </w:rPr>
        <w:t>）新股市值配售、新股认购带来的跟踪误差；</w:t>
      </w:r>
    </w:p>
    <w:p w14:paraId="236A6FA6" w14:textId="77777777" w:rsidR="00521005" w:rsidRPr="00A4035F" w:rsidRDefault="00521005" w:rsidP="00521005">
      <w:pPr>
        <w:pStyle w:val="HD"/>
      </w:pPr>
      <w:r w:rsidRPr="00A4035F">
        <w:rPr>
          <w:rFonts w:hint="eastAsia"/>
        </w:rPr>
        <w:t>（</w:t>
      </w:r>
      <w:r w:rsidRPr="00A4035F">
        <w:rPr>
          <w:rFonts w:hint="eastAsia"/>
        </w:rPr>
        <w:t>6</w:t>
      </w:r>
      <w:r w:rsidRPr="00A4035F">
        <w:rPr>
          <w:rFonts w:hint="eastAsia"/>
        </w:rPr>
        <w:t>）基金现金资产的拖累；</w:t>
      </w:r>
    </w:p>
    <w:p w14:paraId="4549FF5B" w14:textId="77777777" w:rsidR="00521005" w:rsidRPr="00A4035F" w:rsidRDefault="00521005" w:rsidP="00521005">
      <w:pPr>
        <w:pStyle w:val="HD"/>
      </w:pPr>
      <w:r w:rsidRPr="00A4035F">
        <w:rPr>
          <w:rFonts w:hint="eastAsia"/>
        </w:rPr>
        <w:t>（</w:t>
      </w:r>
      <w:r w:rsidRPr="00A4035F">
        <w:rPr>
          <w:rFonts w:hint="eastAsia"/>
        </w:rPr>
        <w:t>7</w:t>
      </w:r>
      <w:r w:rsidRPr="00A4035F">
        <w:rPr>
          <w:rFonts w:hint="eastAsia"/>
        </w:rPr>
        <w:t>）基金的管理费、托管费和销售服务费等带来的跟踪误差；</w:t>
      </w:r>
    </w:p>
    <w:p w14:paraId="42D62DE9" w14:textId="77777777" w:rsidR="00521005" w:rsidRPr="00A4035F" w:rsidRDefault="00521005" w:rsidP="00521005">
      <w:pPr>
        <w:pStyle w:val="HD"/>
      </w:pPr>
      <w:r w:rsidRPr="00A4035F">
        <w:rPr>
          <w:rFonts w:hint="eastAsia"/>
        </w:rPr>
        <w:t>（</w:t>
      </w:r>
      <w:r w:rsidRPr="00A4035F">
        <w:rPr>
          <w:rFonts w:hint="eastAsia"/>
        </w:rPr>
        <w:t>8</w:t>
      </w:r>
      <w:r w:rsidRPr="00A4035F">
        <w:rPr>
          <w:rFonts w:hint="eastAsia"/>
        </w:rPr>
        <w:t>）指数成份股停牌、摘牌，成份股涨、跌停板等因素带来的偏差；</w:t>
      </w:r>
    </w:p>
    <w:p w14:paraId="2DAC140B" w14:textId="77777777" w:rsidR="00521005" w:rsidRPr="00A4035F" w:rsidRDefault="00521005" w:rsidP="00521005">
      <w:pPr>
        <w:pStyle w:val="HD"/>
      </w:pPr>
      <w:r w:rsidRPr="00A4035F">
        <w:rPr>
          <w:rFonts w:hint="eastAsia"/>
        </w:rPr>
        <w:t>（</w:t>
      </w:r>
      <w:r w:rsidRPr="00A4035F">
        <w:rPr>
          <w:rFonts w:hint="eastAsia"/>
        </w:rPr>
        <w:t>9</w:t>
      </w:r>
      <w:r w:rsidRPr="00A4035F">
        <w:rPr>
          <w:rFonts w:hint="eastAsia"/>
        </w:rPr>
        <w:t>）基金管理人的买入卖出时机选择；</w:t>
      </w:r>
    </w:p>
    <w:p w14:paraId="3D89C004" w14:textId="77777777" w:rsidR="00521005" w:rsidRPr="00A4035F" w:rsidRDefault="00521005" w:rsidP="00521005">
      <w:pPr>
        <w:pStyle w:val="HD"/>
      </w:pPr>
      <w:r w:rsidRPr="00A4035F">
        <w:rPr>
          <w:rFonts w:hint="eastAsia"/>
        </w:rPr>
        <w:t>（</w:t>
      </w:r>
      <w:r w:rsidRPr="00A4035F">
        <w:rPr>
          <w:rFonts w:hint="eastAsia"/>
        </w:rPr>
        <w:t>10</w:t>
      </w:r>
      <w:r w:rsidRPr="00A4035F">
        <w:rPr>
          <w:rFonts w:hint="eastAsia"/>
        </w:rPr>
        <w:t>）其他因素带来的偏差。</w:t>
      </w:r>
    </w:p>
    <w:p w14:paraId="68982102" w14:textId="77777777" w:rsidR="00521005" w:rsidRPr="00A4035F" w:rsidRDefault="00521005" w:rsidP="00521005">
      <w:pPr>
        <w:pStyle w:val="HD"/>
      </w:pPr>
      <w:r w:rsidRPr="00A4035F">
        <w:rPr>
          <w:rFonts w:hint="eastAsia"/>
        </w:rPr>
        <w:t>4</w:t>
      </w:r>
      <w:r w:rsidRPr="00A4035F">
        <w:rPr>
          <w:rFonts w:hint="eastAsia"/>
        </w:rPr>
        <w:t>、标的指数变更的风险</w:t>
      </w:r>
    </w:p>
    <w:p w14:paraId="2F37357A" w14:textId="77777777" w:rsidR="00521005" w:rsidRPr="00A4035F" w:rsidRDefault="00521005" w:rsidP="00521005">
      <w:pPr>
        <w:pStyle w:val="HD"/>
      </w:pPr>
      <w:r w:rsidRPr="00A4035F">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14:paraId="740B4470" w14:textId="77777777" w:rsidR="00521005" w:rsidRPr="00A4035F" w:rsidRDefault="00521005" w:rsidP="00521005">
      <w:pPr>
        <w:adjustRightInd w:val="0"/>
        <w:snapToGrid w:val="0"/>
        <w:spacing w:line="360" w:lineRule="auto"/>
        <w:ind w:firstLine="420"/>
        <w:rPr>
          <w:rFonts w:ascii="宋体" w:hAnsi="宋体"/>
        </w:rPr>
      </w:pPr>
      <w:r w:rsidRPr="00A4035F">
        <w:rPr>
          <w:rFonts w:ascii="宋体" w:hAnsi="宋体" w:hint="eastAsia"/>
        </w:rPr>
        <w:t>5、投资于目标ETF基金带来的风险</w:t>
      </w:r>
    </w:p>
    <w:p w14:paraId="6F4D6296" w14:textId="77777777" w:rsidR="00521005" w:rsidRPr="00A4035F" w:rsidRDefault="00521005" w:rsidP="00521005">
      <w:pPr>
        <w:adjustRightInd w:val="0"/>
        <w:snapToGrid w:val="0"/>
        <w:spacing w:line="360" w:lineRule="auto"/>
        <w:ind w:firstLine="420"/>
        <w:rPr>
          <w:rFonts w:ascii="宋体" w:hAnsi="宋体"/>
        </w:rPr>
      </w:pPr>
      <w:r w:rsidRPr="00A4035F">
        <w:rPr>
          <w:rFonts w:ascii="宋体" w:hAnsi="宋体" w:hint="eastAsia"/>
        </w:rPr>
        <w:t>由于主要投资于目标ETF，所以本基金会面临诸如目标ETF的管理风险与操作风险、目标ETF基金份额二级市场交易价格折溢价的风险、目标ETF的技术风险等风险。</w:t>
      </w:r>
    </w:p>
    <w:p w14:paraId="06CC15E6" w14:textId="26A04B39" w:rsidR="00521005" w:rsidRPr="00A7237D" w:rsidRDefault="00521005" w:rsidP="00521005">
      <w:pPr>
        <w:pStyle w:val="HD"/>
        <w:rPr>
          <w:rFonts w:ascii="宋体"/>
        </w:rPr>
      </w:pPr>
    </w:p>
    <w:p w14:paraId="5E70C057" w14:textId="77777777" w:rsidR="00521005" w:rsidRPr="00A4035F" w:rsidRDefault="00521005" w:rsidP="00521005">
      <w:pPr>
        <w:pStyle w:val="HD"/>
      </w:pPr>
      <w:r w:rsidRPr="00A4035F">
        <w:rPr>
          <w:rFonts w:hint="eastAsia"/>
        </w:rPr>
        <w:t>五、其他风险</w:t>
      </w:r>
    </w:p>
    <w:p w14:paraId="268FB4C1" w14:textId="77777777" w:rsidR="00521005" w:rsidRPr="00A4035F" w:rsidRDefault="00521005" w:rsidP="00521005">
      <w:pPr>
        <w:pStyle w:val="HD"/>
      </w:pPr>
      <w:r w:rsidRPr="00A4035F">
        <w:t>1</w:t>
      </w:r>
      <w:r w:rsidRPr="00A4035F">
        <w:rPr>
          <w:rFonts w:hint="eastAsia"/>
        </w:rPr>
        <w:t>、因技术因素而产生的风险，如电脑系统不可靠产生的风险；</w:t>
      </w:r>
    </w:p>
    <w:p w14:paraId="72162035" w14:textId="77777777" w:rsidR="00521005" w:rsidRPr="00A4035F" w:rsidRDefault="00521005" w:rsidP="00521005">
      <w:pPr>
        <w:pStyle w:val="HD"/>
      </w:pPr>
      <w:r w:rsidRPr="00A4035F">
        <w:t>2</w:t>
      </w:r>
      <w:r w:rsidRPr="00A4035F">
        <w:rPr>
          <w:rFonts w:hint="eastAsia"/>
        </w:rPr>
        <w:t>、因业务快速发展而在制度建设、人员配备、内控制度建立等不完善而产生的风险；</w:t>
      </w:r>
    </w:p>
    <w:p w14:paraId="55DE9820" w14:textId="77777777" w:rsidR="00521005" w:rsidRPr="00A4035F" w:rsidRDefault="00521005" w:rsidP="00521005">
      <w:pPr>
        <w:pStyle w:val="HD"/>
      </w:pPr>
      <w:r w:rsidRPr="00A4035F">
        <w:t>3</w:t>
      </w:r>
      <w:r w:rsidRPr="00A4035F">
        <w:rPr>
          <w:rFonts w:hint="eastAsia"/>
        </w:rPr>
        <w:t>、因人为因素而产生的风险、如内幕交易、欺诈行为等产生的风险；</w:t>
      </w:r>
    </w:p>
    <w:p w14:paraId="577EDBAA" w14:textId="77777777" w:rsidR="00521005" w:rsidRPr="00A4035F" w:rsidRDefault="00521005" w:rsidP="00521005">
      <w:pPr>
        <w:pStyle w:val="HD"/>
      </w:pPr>
      <w:r w:rsidRPr="00A4035F">
        <w:t>4</w:t>
      </w:r>
      <w:r w:rsidRPr="00A4035F">
        <w:rPr>
          <w:rFonts w:hint="eastAsia"/>
        </w:rPr>
        <w:t>、对主要业务人员如基金经理的依赖而可能产生的风险；</w:t>
      </w:r>
    </w:p>
    <w:p w14:paraId="38BDF302" w14:textId="77777777" w:rsidR="00521005" w:rsidRPr="00A4035F" w:rsidRDefault="00521005" w:rsidP="00521005">
      <w:pPr>
        <w:pStyle w:val="HD"/>
      </w:pPr>
      <w:r w:rsidRPr="00A4035F">
        <w:t>5</w:t>
      </w:r>
      <w:r w:rsidRPr="00A4035F">
        <w:rPr>
          <w:rFonts w:hint="eastAsia"/>
        </w:rPr>
        <w:t>、因业务竞争压力可能产生的风险；</w:t>
      </w:r>
    </w:p>
    <w:p w14:paraId="6A205CEE" w14:textId="77777777" w:rsidR="00521005" w:rsidRPr="00A4035F" w:rsidRDefault="00521005" w:rsidP="00521005">
      <w:pPr>
        <w:pStyle w:val="HD"/>
      </w:pPr>
      <w:r w:rsidRPr="00A4035F">
        <w:t>6</w:t>
      </w:r>
      <w:r w:rsidRPr="00A4035F">
        <w:rPr>
          <w:rFonts w:hint="eastAsia"/>
        </w:rPr>
        <w:t>、不可抗力可能导致基金资产的损失，影响基金收益水平，从而带来风险；</w:t>
      </w:r>
    </w:p>
    <w:p w14:paraId="769A020E" w14:textId="77777777" w:rsidR="00521005" w:rsidRPr="00A4035F" w:rsidRDefault="00521005" w:rsidP="00521005">
      <w:pPr>
        <w:pStyle w:val="HD"/>
      </w:pPr>
      <w:r w:rsidRPr="00A4035F">
        <w:t>7</w:t>
      </w:r>
      <w:r w:rsidRPr="00A4035F">
        <w:rPr>
          <w:rFonts w:hint="eastAsia"/>
        </w:rPr>
        <w:t>、其他意外导致的风险。</w:t>
      </w:r>
    </w:p>
    <w:p w14:paraId="0D4DCCFF" w14:textId="77777777" w:rsidR="00521005" w:rsidRPr="00A4035F" w:rsidRDefault="00521005" w:rsidP="00521005">
      <w:pPr>
        <w:pStyle w:val="HD"/>
      </w:pPr>
    </w:p>
    <w:p w14:paraId="7CBE1A7D" w14:textId="77777777" w:rsidR="00521005" w:rsidRPr="00A4035F" w:rsidRDefault="00521005" w:rsidP="00521005">
      <w:pPr>
        <w:pStyle w:val="HD"/>
      </w:pPr>
      <w:r w:rsidRPr="00A4035F">
        <w:rPr>
          <w:rFonts w:hint="eastAsia"/>
        </w:rPr>
        <w:t>六、</w:t>
      </w:r>
      <w:r w:rsidR="00BF055B" w:rsidRPr="00A4035F">
        <w:rPr>
          <w:rFonts w:hint="eastAsia"/>
        </w:rPr>
        <w:t>本基金法律文件风险收益特征表述与销售机构基金风险评价可能不一致的风险</w:t>
      </w:r>
    </w:p>
    <w:p w14:paraId="21ABF910" w14:textId="37AD0104" w:rsidR="003F75AE" w:rsidRPr="00A4035F" w:rsidRDefault="00BF055B" w:rsidP="00913EAC">
      <w:pPr>
        <w:pStyle w:val="HD"/>
      </w:pPr>
      <w:r w:rsidRPr="00A4035F">
        <w:t>本基金</w:t>
      </w:r>
      <w:r w:rsidRPr="00A4035F">
        <w:rPr>
          <w:rFonts w:hint="eastAsia"/>
        </w:rPr>
        <w:t>法律文件</w:t>
      </w:r>
      <w:r w:rsidRPr="00A4035F">
        <w:t>投资章节有关风险收益特征的表述是基于投资范围、投资比例、证券市场普遍规律等做出的概述性描述，代表了一般市场情况下本基金的长期风险收益特征。销售</w:t>
      </w:r>
      <w:r w:rsidRPr="00A4035F">
        <w:lastRenderedPageBreak/>
        <w:t>机构</w:t>
      </w:r>
      <w:r w:rsidRPr="00A4035F">
        <w:t>(</w:t>
      </w:r>
      <w:r w:rsidRPr="00A4035F">
        <w:t>包括基金管理人直销机构和</w:t>
      </w:r>
      <w:r w:rsidRPr="00A4035F">
        <w:rPr>
          <w:rFonts w:hint="eastAsia"/>
        </w:rPr>
        <w:t>其他销售机构</w:t>
      </w:r>
      <w:r w:rsidRPr="00A4035F">
        <w:t>)</w:t>
      </w:r>
      <w:r w:rsidRPr="00A4035F">
        <w:t>根据相关法律法规对本基金进行风险评价，不同的销售机构采用的评价方法也不同，因此销售机构的风险等级评价与基金</w:t>
      </w:r>
      <w:r w:rsidRPr="00A4035F">
        <w:rPr>
          <w:rFonts w:hint="eastAsia"/>
        </w:rPr>
        <w:t>法律文件</w:t>
      </w:r>
      <w:r w:rsidRPr="00A4035F">
        <w:t>中风险收益特征的表述可能存在不同，投资人在购买本基金时需按照销售机构的要求完成风险承受能力与产品风险之间的匹配检验。</w:t>
      </w:r>
      <w:bookmarkEnd w:id="156"/>
      <w:bookmarkEnd w:id="157"/>
      <w:r w:rsidR="003F75AE" w:rsidRPr="00A4035F">
        <w:br w:type="page"/>
      </w:r>
    </w:p>
    <w:p w14:paraId="5D7E9F85"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58" w:name="_Toc360794419"/>
      <w:bookmarkStart w:id="159" w:name="_Toc362455194"/>
      <w:bookmarkStart w:id="160" w:name="_Toc362533466"/>
      <w:bookmarkStart w:id="161" w:name="_Toc416453856"/>
      <w:bookmarkStart w:id="162" w:name="_Toc360794111"/>
      <w:bookmarkStart w:id="163" w:name="_Toc360793509"/>
      <w:bookmarkStart w:id="164" w:name="_Toc360793861"/>
      <w:bookmarkStart w:id="165" w:name="_Toc360794527"/>
      <w:r w:rsidRPr="00A4035F">
        <w:rPr>
          <w:rFonts w:ascii="宋体" w:eastAsia="宋体" w:hAnsi="宋体" w:cs="宋体" w:hint="eastAsia"/>
        </w:rPr>
        <w:lastRenderedPageBreak/>
        <w:t>基金合同的变更、终止和基金财产的清算</w:t>
      </w:r>
      <w:bookmarkEnd w:id="158"/>
      <w:bookmarkEnd w:id="159"/>
      <w:bookmarkEnd w:id="160"/>
      <w:bookmarkEnd w:id="161"/>
      <w:bookmarkEnd w:id="162"/>
      <w:bookmarkEnd w:id="163"/>
      <w:bookmarkEnd w:id="164"/>
      <w:bookmarkEnd w:id="165"/>
    </w:p>
    <w:p w14:paraId="5DBAA0CF" w14:textId="77777777" w:rsidR="003F75AE" w:rsidRPr="00A4035F" w:rsidRDefault="003F75AE" w:rsidP="003F75AE">
      <w:pPr>
        <w:snapToGrid w:val="0"/>
        <w:spacing w:line="360" w:lineRule="auto"/>
        <w:ind w:firstLineChars="200" w:firstLine="420"/>
        <w:rPr>
          <w:rFonts w:ascii="宋体" w:cs="Times New Roman"/>
        </w:rPr>
      </w:pPr>
    </w:p>
    <w:p w14:paraId="73E6972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bookmarkStart w:id="166" w:name="_Toc79392639"/>
      <w:r w:rsidRPr="00242BD3">
        <w:rPr>
          <w:rFonts w:ascii="Times New Roman" w:hAnsi="Times New Roman" w:cs="Times New Roman" w:hint="eastAsia"/>
        </w:rPr>
        <w:t>一、《基金合同》的变更</w:t>
      </w:r>
    </w:p>
    <w:p w14:paraId="704141A0"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、变更基金合同涉及法律法规规定或本基金合同约定应经基金份额持有人大会决议通过的事项的，应召</w:t>
      </w:r>
      <w:proofErr w:type="gramStart"/>
      <w:r w:rsidRPr="00242BD3">
        <w:rPr>
          <w:rFonts w:ascii="Times New Roman" w:hAnsi="Times New Roman" w:cs="Times New Roman" w:hint="eastAsia"/>
        </w:rPr>
        <w:t>开基金</w:t>
      </w:r>
      <w:proofErr w:type="gramEnd"/>
      <w:r w:rsidRPr="00242BD3">
        <w:rPr>
          <w:rFonts w:ascii="Times New Roman" w:hAnsi="Times New Roman" w:cs="Times New Roman" w:hint="eastAsia"/>
        </w:rPr>
        <w:t>份额持有人大会决议通过。对于法律法规规定和基金合同约定可不经基金份额持有人大会决议通过的事项，由基金管理人和基金托管人同意后变更并公告，并报中国证监会备案。</w:t>
      </w:r>
    </w:p>
    <w:p w14:paraId="127F999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、关于《基金合同》变更的基金份额持有人大会决议自生效后方可执行，</w:t>
      </w:r>
      <w:proofErr w:type="gramStart"/>
      <w:r w:rsidRPr="00242BD3">
        <w:rPr>
          <w:rFonts w:ascii="Times New Roman" w:hAnsi="Times New Roman" w:cs="Times New Roman" w:hint="eastAsia"/>
        </w:rPr>
        <w:t>自决议</w:t>
      </w:r>
      <w:proofErr w:type="gramEnd"/>
      <w:r w:rsidRPr="00242BD3">
        <w:rPr>
          <w:rFonts w:ascii="Times New Roman" w:hAnsi="Times New Roman" w:cs="Times New Roman" w:hint="eastAsia"/>
        </w:rPr>
        <w:t>生效后两日内在指定媒介公告。</w:t>
      </w:r>
    </w:p>
    <w:p w14:paraId="44337F6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二、《基金合同》的终止事由</w:t>
      </w:r>
    </w:p>
    <w:p w14:paraId="06AAAA6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有下列情形之一的，经履行相关程序后，《基金合同》应当终止：</w:t>
      </w:r>
    </w:p>
    <w:p w14:paraId="5C58A03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、基金份额持有人大会决定终止的；</w:t>
      </w:r>
    </w:p>
    <w:p w14:paraId="4F07338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、基金管理人、基金托管人职责终止，在</w:t>
      </w:r>
      <w:r w:rsidRPr="00242BD3">
        <w:rPr>
          <w:rFonts w:ascii="Times New Roman" w:hAnsi="Times New Roman" w:cs="Times New Roman" w:hint="eastAsia"/>
        </w:rPr>
        <w:t>6</w:t>
      </w:r>
      <w:r w:rsidRPr="00242BD3">
        <w:rPr>
          <w:rFonts w:ascii="Times New Roman" w:hAnsi="Times New Roman" w:cs="Times New Roman" w:hint="eastAsia"/>
        </w:rPr>
        <w:t>个月内没有新基金管理人、新基金托管人承接的；</w:t>
      </w:r>
    </w:p>
    <w:p w14:paraId="62516C55"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3</w:t>
      </w:r>
      <w:r w:rsidRPr="00242BD3">
        <w:rPr>
          <w:rFonts w:ascii="Times New Roman" w:hAnsi="Times New Roman" w:cs="Times New Roman" w:hint="eastAsia"/>
        </w:rPr>
        <w:t>、《基金合同》约定的其他情形；</w:t>
      </w:r>
    </w:p>
    <w:p w14:paraId="68B5D6FD"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4</w:t>
      </w:r>
      <w:r w:rsidRPr="00242BD3">
        <w:rPr>
          <w:rFonts w:ascii="Times New Roman" w:hAnsi="Times New Roman" w:cs="Times New Roman" w:hint="eastAsia"/>
        </w:rPr>
        <w:t>、相关法律法规和中国证监会规定的其他情况。</w:t>
      </w:r>
    </w:p>
    <w:p w14:paraId="23058725"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三、基金财产的清算</w:t>
      </w:r>
    </w:p>
    <w:p w14:paraId="261E6B1D"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、基金财产清算小组：自出现《基金合同》终止事由之日起</w:t>
      </w:r>
      <w:r w:rsidRPr="00242BD3">
        <w:rPr>
          <w:rFonts w:ascii="Times New Roman" w:hAnsi="Times New Roman" w:cs="Times New Roman" w:hint="eastAsia"/>
        </w:rPr>
        <w:t>30</w:t>
      </w:r>
      <w:r w:rsidRPr="00242BD3">
        <w:rPr>
          <w:rFonts w:ascii="Times New Roman" w:hAnsi="Times New Roman" w:cs="Times New Roman" w:hint="eastAsia"/>
        </w:rPr>
        <w:t>个工作日内成立清算小组，基金管理人组织基金财产清算小组并在中国证监会的监督下进行基金清算。</w:t>
      </w:r>
    </w:p>
    <w:p w14:paraId="77FFF4C0" w14:textId="5371D932"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、基金财产清算小组组成：基金财产清算小组成员由基金管理人、基金托管人、</w:t>
      </w:r>
      <w:r w:rsidR="001E4BC7">
        <w:rPr>
          <w:rFonts w:ascii="Times New Roman" w:hAnsi="Times New Roman" w:cs="Times New Roman" w:hint="eastAsia"/>
        </w:rPr>
        <w:t>具有从事证券、期货相关业务资格</w:t>
      </w:r>
      <w:r w:rsidRPr="00242BD3">
        <w:rPr>
          <w:rFonts w:ascii="Times New Roman" w:hAnsi="Times New Roman" w:cs="Times New Roman" w:hint="eastAsia"/>
        </w:rPr>
        <w:t>的注册会计师、律师以及中国证监会指定的人员组成。基金财产清算小组可以聘用必要的工作人员。</w:t>
      </w:r>
    </w:p>
    <w:p w14:paraId="315D52F3"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3</w:t>
      </w:r>
      <w:r w:rsidRPr="00242BD3">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14:paraId="64440F03"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4</w:t>
      </w:r>
      <w:r w:rsidRPr="00242BD3">
        <w:rPr>
          <w:rFonts w:ascii="Times New Roman" w:hAnsi="Times New Roman" w:cs="Times New Roman" w:hint="eastAsia"/>
        </w:rPr>
        <w:t>、基金财产清算程序：</w:t>
      </w:r>
    </w:p>
    <w:p w14:paraId="2200E505"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1</w:t>
      </w:r>
      <w:r w:rsidRPr="00242BD3">
        <w:rPr>
          <w:rFonts w:ascii="Times New Roman" w:hAnsi="Times New Roman" w:cs="Times New Roman" w:hint="eastAsia"/>
        </w:rPr>
        <w:t>）《基金合同》终止情形出现时，由基金财产清算小组统一接管基金；</w:t>
      </w:r>
    </w:p>
    <w:p w14:paraId="175EBF1F"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）对基金财产和债权债务进行清理和确认；</w:t>
      </w:r>
    </w:p>
    <w:p w14:paraId="28D6B49F"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）对基金财产进行估值和变现；</w:t>
      </w:r>
    </w:p>
    <w:p w14:paraId="4FDBFF9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4</w:t>
      </w:r>
      <w:r w:rsidRPr="00242BD3">
        <w:rPr>
          <w:rFonts w:ascii="Times New Roman" w:hAnsi="Times New Roman" w:cs="Times New Roman" w:hint="eastAsia"/>
        </w:rPr>
        <w:t>）制作清算报告；</w:t>
      </w:r>
    </w:p>
    <w:p w14:paraId="45EA31A8" w14:textId="51A63146"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5</w:t>
      </w:r>
      <w:r w:rsidRPr="00242BD3">
        <w:rPr>
          <w:rFonts w:ascii="Times New Roman" w:hAnsi="Times New Roman" w:cs="Times New Roman" w:hint="eastAsia"/>
        </w:rPr>
        <w:t>）</w:t>
      </w:r>
      <w:r w:rsidR="001E4BC7">
        <w:rPr>
          <w:rFonts w:ascii="Times New Roman" w:hAnsi="Times New Roman" w:cs="Times New Roman" w:hint="eastAsia"/>
        </w:rPr>
        <w:t>聘请具有证券、期货相关业务资格的会计师事务所</w:t>
      </w:r>
      <w:r w:rsidRPr="00242BD3">
        <w:rPr>
          <w:rFonts w:ascii="Times New Roman" w:hAnsi="Times New Roman" w:cs="Times New Roman" w:hint="eastAsia"/>
        </w:rPr>
        <w:t>对清算报告进行外部审计，聘请律师事务所对清算报告出具法律意见书；</w:t>
      </w:r>
    </w:p>
    <w:p w14:paraId="447FCB0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6</w:t>
      </w:r>
      <w:r w:rsidRPr="00242BD3">
        <w:rPr>
          <w:rFonts w:ascii="Times New Roman" w:hAnsi="Times New Roman" w:cs="Times New Roman" w:hint="eastAsia"/>
        </w:rPr>
        <w:t>）将清算报告报中国证监会备案并公告；</w:t>
      </w:r>
    </w:p>
    <w:p w14:paraId="759CB2F1"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7</w:t>
      </w:r>
      <w:r w:rsidRPr="00242BD3">
        <w:rPr>
          <w:rFonts w:ascii="Times New Roman" w:hAnsi="Times New Roman" w:cs="Times New Roman" w:hint="eastAsia"/>
        </w:rPr>
        <w:t>）对基金剩余财产进行分配。</w:t>
      </w:r>
    </w:p>
    <w:p w14:paraId="1789BAD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lastRenderedPageBreak/>
        <w:t>5</w:t>
      </w:r>
      <w:r w:rsidRPr="00242BD3">
        <w:rPr>
          <w:rFonts w:ascii="Times New Roman" w:hAnsi="Times New Roman" w:cs="Times New Roman" w:hint="eastAsia"/>
        </w:rPr>
        <w:t>、基金财产清算的期限为</w:t>
      </w:r>
      <w:r w:rsidRPr="00242BD3">
        <w:rPr>
          <w:rFonts w:ascii="Times New Roman" w:hAnsi="Times New Roman" w:cs="Times New Roman" w:hint="eastAsia"/>
        </w:rPr>
        <w:t>6</w:t>
      </w:r>
      <w:r w:rsidRPr="00242BD3">
        <w:rPr>
          <w:rFonts w:ascii="Times New Roman" w:hAnsi="Times New Roman" w:cs="Times New Roman" w:hint="eastAsia"/>
        </w:rPr>
        <w:t>个月，但因本基金所持证券的流动性受到限制而不能及时变现的，清算期限相应顺延。</w:t>
      </w:r>
    </w:p>
    <w:p w14:paraId="19D29F1B"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四、清算费用</w:t>
      </w:r>
    </w:p>
    <w:p w14:paraId="402E9B1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清算费用是指基金财产清算小组在进行基金清算过程中发生的所有合理费用，清算费用由基金财产清算小组优先从基金财产中支付。</w:t>
      </w:r>
    </w:p>
    <w:p w14:paraId="5700716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五、基金财产清算剩余资产的分配</w:t>
      </w:r>
    </w:p>
    <w:p w14:paraId="470AA700"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依据基金财产清算的分配方案，将基金财产清算后的全部剩余资产扣除基金财产清算费用、交纳所欠税款并清偿基金债务后，按基金份额持有人持有的基金份额比例进行分配。</w:t>
      </w:r>
    </w:p>
    <w:p w14:paraId="7EB58223"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六、基金财产清算的公告</w:t>
      </w:r>
    </w:p>
    <w:p w14:paraId="144E8270"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242BD3">
        <w:rPr>
          <w:rFonts w:ascii="Times New Roman" w:hAnsi="Times New Roman" w:cs="Times New Roman" w:hint="eastAsia"/>
        </w:rPr>
        <w:t>5</w:t>
      </w:r>
      <w:r w:rsidRPr="00242BD3">
        <w:rPr>
          <w:rFonts w:ascii="Times New Roman" w:hAnsi="Times New Roman" w:cs="Times New Roman" w:hint="eastAsia"/>
        </w:rPr>
        <w:t>个工作日内由基金财产清算小组进行公告，基金财产清算小组应当将清算报告登载在指定网站上，并将清算报告提示性公告登载在指定报刊上。</w:t>
      </w:r>
    </w:p>
    <w:p w14:paraId="22EEB0C5"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七、基金财产清算账册及文件的保存</w:t>
      </w:r>
    </w:p>
    <w:p w14:paraId="3A00443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基金财产清算账册及有关文件由基金托管人保存</w:t>
      </w:r>
      <w:r w:rsidRPr="00242BD3">
        <w:rPr>
          <w:rFonts w:ascii="Times New Roman" w:hAnsi="Times New Roman" w:cs="Times New Roman" w:hint="eastAsia"/>
        </w:rPr>
        <w:t>15</w:t>
      </w:r>
      <w:r w:rsidRPr="00242BD3">
        <w:rPr>
          <w:rFonts w:ascii="Times New Roman" w:hAnsi="Times New Roman" w:cs="Times New Roman" w:hint="eastAsia"/>
        </w:rPr>
        <w:t>年以上。</w:t>
      </w:r>
    </w:p>
    <w:p w14:paraId="3EDBA9D4" w14:textId="324F0BD3" w:rsidR="00A5427D" w:rsidRPr="00A5427D" w:rsidRDefault="00A5427D" w:rsidP="00242BD3">
      <w:pPr>
        <w:numPr>
          <w:ilvl w:val="12"/>
          <w:numId w:val="0"/>
        </w:numPr>
        <w:snapToGrid w:val="0"/>
        <w:spacing w:line="360" w:lineRule="auto"/>
        <w:ind w:firstLineChars="200" w:firstLine="420"/>
        <w:rPr>
          <w:rFonts w:ascii="Times New Roman" w:hAnsi="Times New Roman" w:cs="Times New Roman"/>
        </w:rPr>
      </w:pPr>
    </w:p>
    <w:bookmarkEnd w:id="166"/>
    <w:p w14:paraId="29051E28" w14:textId="77777777" w:rsidR="003F75AE" w:rsidRPr="00A4035F" w:rsidRDefault="003F75AE">
      <w:pPr>
        <w:snapToGrid w:val="0"/>
        <w:spacing w:line="360" w:lineRule="auto"/>
        <w:ind w:firstLineChars="200" w:firstLine="420"/>
        <w:rPr>
          <w:rFonts w:ascii="宋体" w:cs="Times New Roman"/>
        </w:rPr>
      </w:pPr>
    </w:p>
    <w:p w14:paraId="4462A485" w14:textId="77777777" w:rsidR="003F75AE" w:rsidRPr="00A4035F" w:rsidRDefault="003F75AE">
      <w:pPr>
        <w:snapToGrid w:val="0"/>
        <w:spacing w:line="360" w:lineRule="auto"/>
        <w:ind w:firstLineChars="200" w:firstLine="420"/>
        <w:rPr>
          <w:rFonts w:ascii="宋体" w:cs="Times New Roman"/>
        </w:rPr>
      </w:pPr>
    </w:p>
    <w:p w14:paraId="174E60CE" w14:textId="77777777" w:rsidR="003F75AE" w:rsidRPr="00A4035F" w:rsidRDefault="003F75AE" w:rsidP="003F75AE">
      <w:pPr>
        <w:snapToGrid w:val="0"/>
        <w:spacing w:line="360" w:lineRule="auto"/>
        <w:ind w:firstLineChars="200" w:firstLine="480"/>
        <w:rPr>
          <w:rFonts w:ascii="宋体" w:cs="Times New Roman"/>
          <w:color w:val="000000"/>
        </w:rPr>
      </w:pPr>
      <w:r w:rsidRPr="00A4035F">
        <w:rPr>
          <w:rFonts w:ascii="宋体" w:cs="Times New Roman"/>
          <w:color w:val="000000"/>
          <w:kern w:val="0"/>
          <w:sz w:val="24"/>
          <w:szCs w:val="24"/>
        </w:rPr>
        <w:br w:type="page"/>
      </w:r>
    </w:p>
    <w:p w14:paraId="4D3B8D0F" w14:textId="77777777" w:rsidR="00773B9C" w:rsidRPr="008B4B39" w:rsidRDefault="00773B9C" w:rsidP="00773B9C">
      <w:pPr>
        <w:pStyle w:val="21"/>
        <w:numPr>
          <w:ilvl w:val="0"/>
          <w:numId w:val="23"/>
        </w:numPr>
        <w:tabs>
          <w:tab w:val="left" w:pos="420"/>
        </w:tabs>
        <w:snapToGrid w:val="0"/>
        <w:spacing w:before="0" w:after="0" w:line="360" w:lineRule="auto"/>
        <w:jc w:val="left"/>
        <w:rPr>
          <w:rFonts w:ascii="宋体" w:eastAsia="宋体" w:hAnsi="宋体" w:cs="Times New Roman"/>
        </w:rPr>
      </w:pPr>
      <w:bookmarkStart w:id="167" w:name="_Toc362533467"/>
      <w:bookmarkStart w:id="168" w:name="_Toc360794112"/>
      <w:bookmarkStart w:id="169" w:name="_Toc360793862"/>
      <w:bookmarkStart w:id="170" w:name="_Toc360794420"/>
      <w:bookmarkStart w:id="171" w:name="_Toc360793510"/>
      <w:bookmarkStart w:id="172" w:name="_Toc360794528"/>
      <w:bookmarkStart w:id="173" w:name="_Toc416453857"/>
      <w:bookmarkStart w:id="174" w:name="_Toc362455195"/>
      <w:r w:rsidRPr="008B4B39">
        <w:rPr>
          <w:rFonts w:ascii="宋体" w:eastAsia="宋体" w:hAnsi="宋体" w:cs="宋体" w:hint="eastAsia"/>
        </w:rPr>
        <w:lastRenderedPageBreak/>
        <w:t>基金合同的内容摘要</w:t>
      </w:r>
    </w:p>
    <w:p w14:paraId="009F45C8" w14:textId="77777777" w:rsidR="00773B9C" w:rsidRPr="008B4B39" w:rsidRDefault="00773B9C" w:rsidP="00773B9C">
      <w:pPr>
        <w:snapToGrid w:val="0"/>
        <w:spacing w:line="360" w:lineRule="auto"/>
        <w:rPr>
          <w:rFonts w:cs="Times New Roman"/>
        </w:rPr>
      </w:pPr>
    </w:p>
    <w:p w14:paraId="086D7F8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一、基金合同当事人的权利、义务</w:t>
      </w:r>
    </w:p>
    <w:p w14:paraId="6BC30E5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（一）基金管理人的权利与义务</w:t>
      </w:r>
    </w:p>
    <w:p w14:paraId="350978A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、根据《基金法》、《运作办法》及其他有关规定，基金管理人的权利包括但不限于：</w:t>
      </w:r>
    </w:p>
    <w:p w14:paraId="47661A6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）依法募集资金；</w:t>
      </w:r>
    </w:p>
    <w:p w14:paraId="330F875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）自《基金合同》生效之日起，根据法律法规和《基金合同》独立运用并管理基金财产；</w:t>
      </w:r>
    </w:p>
    <w:p w14:paraId="75C79E4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）依照《基金合同》收取基金管理费以及法律法规规定或中国证监会批准的其他费用；</w:t>
      </w:r>
    </w:p>
    <w:p w14:paraId="060FA77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）销售基金份额；</w:t>
      </w:r>
    </w:p>
    <w:p w14:paraId="2198576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）按照规定召集基金份额持有人大会；</w:t>
      </w:r>
    </w:p>
    <w:p w14:paraId="6C5CBAD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）依据《基金合同》及有关法律规定监督基金托管人，如认为基金托管人违反了《基金合同》及国家有关法律规定，应呈报中国证监会和其他监管部门，并采取必要措施保护基金投资者的利益；</w:t>
      </w:r>
    </w:p>
    <w:p w14:paraId="3C79AAF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）在基金托管人更换时，提名新的基金托管人；</w:t>
      </w:r>
    </w:p>
    <w:p w14:paraId="229FC6B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8</w:t>
      </w:r>
      <w:r w:rsidRPr="00CA3FD3">
        <w:rPr>
          <w:rFonts w:ascii="Times New Roman" w:hAnsi="宋体" w:cs="Times New Roman" w:hint="eastAsia"/>
          <w:bCs/>
        </w:rPr>
        <w:t>）选择、更换基金销售机构，对基金销售机构的相关行为进行监督和处理；</w:t>
      </w:r>
      <w:r w:rsidRPr="00CA3FD3">
        <w:rPr>
          <w:rFonts w:ascii="Times New Roman" w:hAnsi="宋体" w:cs="Times New Roman" w:hint="eastAsia"/>
          <w:bCs/>
        </w:rPr>
        <w:t xml:space="preserve"> </w:t>
      </w:r>
    </w:p>
    <w:p w14:paraId="6697ABF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9</w:t>
      </w:r>
      <w:r w:rsidRPr="00CA3FD3">
        <w:rPr>
          <w:rFonts w:ascii="Times New Roman" w:hAnsi="宋体" w:cs="Times New Roman" w:hint="eastAsia"/>
          <w:bCs/>
        </w:rPr>
        <w:t>）担任或委托其他符合条件的机构担任基金登记机构办理基金登记业务并获得《基金合同》规定的费用；</w:t>
      </w:r>
      <w:r w:rsidRPr="00CA3FD3">
        <w:rPr>
          <w:rFonts w:ascii="Times New Roman" w:hAnsi="宋体" w:cs="Times New Roman" w:hint="eastAsia"/>
          <w:bCs/>
        </w:rPr>
        <w:t xml:space="preserve"> </w:t>
      </w:r>
    </w:p>
    <w:p w14:paraId="63AD90E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10</w:t>
      </w:r>
      <w:r w:rsidRPr="00CA3FD3">
        <w:rPr>
          <w:rFonts w:ascii="Times New Roman" w:hAnsi="宋体" w:cs="Times New Roman" w:hint="eastAsia"/>
          <w:bCs/>
        </w:rPr>
        <w:t>）依据《基金合同》及有关法律规定决定基金收益的分配方案；</w:t>
      </w:r>
      <w:r w:rsidRPr="00CA3FD3">
        <w:rPr>
          <w:rFonts w:ascii="Times New Roman" w:hAnsi="宋体" w:cs="Times New Roman" w:hint="eastAsia"/>
          <w:bCs/>
        </w:rPr>
        <w:tab/>
      </w:r>
    </w:p>
    <w:p w14:paraId="149DBEA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11</w:t>
      </w:r>
      <w:r w:rsidRPr="00CA3FD3">
        <w:rPr>
          <w:rFonts w:ascii="Times New Roman" w:hAnsi="宋体" w:cs="Times New Roman" w:hint="eastAsia"/>
          <w:bCs/>
        </w:rPr>
        <w:t>）在《基金合同》约定的范围内，拒绝或暂停受理申购与赎回申请；</w:t>
      </w:r>
      <w:r w:rsidRPr="00CA3FD3">
        <w:rPr>
          <w:rFonts w:ascii="Times New Roman" w:hAnsi="宋体" w:cs="Times New Roman" w:hint="eastAsia"/>
          <w:bCs/>
        </w:rPr>
        <w:t xml:space="preserve"> </w:t>
      </w:r>
    </w:p>
    <w:p w14:paraId="02A7A50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12</w:t>
      </w:r>
      <w:r w:rsidRPr="00CA3FD3">
        <w:rPr>
          <w:rFonts w:ascii="Times New Roman" w:hAnsi="宋体" w:cs="Times New Roman" w:hint="eastAsia"/>
          <w:bCs/>
        </w:rPr>
        <w:t>）依照法律法规为基金的利益对被投资公司行使股东权利，为基金的利益行使因基金财产投资于证券所产生的权利；</w:t>
      </w:r>
      <w:r w:rsidRPr="00CA3FD3">
        <w:rPr>
          <w:rFonts w:ascii="Times New Roman" w:hAnsi="宋体" w:cs="Times New Roman" w:hint="eastAsia"/>
          <w:bCs/>
        </w:rPr>
        <w:tab/>
      </w:r>
    </w:p>
    <w:p w14:paraId="74728BE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13</w:t>
      </w:r>
      <w:r w:rsidRPr="00CA3FD3">
        <w:rPr>
          <w:rFonts w:ascii="Times New Roman" w:hAnsi="宋体" w:cs="Times New Roman" w:hint="eastAsia"/>
          <w:bCs/>
        </w:rPr>
        <w:t>）在法律法规允许的前提下，为基金的利益依法为基金进行融资融券和转融通证券出借业务；</w:t>
      </w:r>
      <w:r w:rsidRPr="00CA3FD3">
        <w:rPr>
          <w:rFonts w:ascii="Times New Roman" w:hAnsi="宋体" w:cs="Times New Roman" w:hint="eastAsia"/>
          <w:bCs/>
        </w:rPr>
        <w:t xml:space="preserve"> </w:t>
      </w:r>
    </w:p>
    <w:p w14:paraId="696EFE8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14</w:t>
      </w:r>
      <w:r w:rsidRPr="00CA3FD3">
        <w:rPr>
          <w:rFonts w:ascii="Times New Roman" w:hAnsi="宋体" w:cs="Times New Roman" w:hint="eastAsia"/>
          <w:bCs/>
        </w:rPr>
        <w:t>）以基金管理人的名义，代表基金份额持有人的利益行使诉讼权利或者实施其他法律行为；</w:t>
      </w:r>
      <w:r w:rsidRPr="00CA3FD3">
        <w:rPr>
          <w:rFonts w:ascii="Times New Roman" w:hAnsi="宋体" w:cs="Times New Roman" w:hint="eastAsia"/>
          <w:bCs/>
        </w:rPr>
        <w:tab/>
      </w:r>
    </w:p>
    <w:p w14:paraId="622691E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15</w:t>
      </w:r>
      <w:r w:rsidRPr="00CA3FD3">
        <w:rPr>
          <w:rFonts w:ascii="Times New Roman" w:hAnsi="宋体" w:cs="Times New Roman" w:hint="eastAsia"/>
          <w:bCs/>
        </w:rPr>
        <w:t>）选择、更换律师事务所、会计师事务所、证券</w:t>
      </w:r>
      <w:r w:rsidRPr="00CA3FD3">
        <w:rPr>
          <w:rFonts w:ascii="Times New Roman" w:hAnsi="宋体" w:cs="Times New Roman" w:hint="eastAsia"/>
          <w:bCs/>
        </w:rPr>
        <w:t>/</w:t>
      </w:r>
      <w:r w:rsidRPr="00CA3FD3">
        <w:rPr>
          <w:rFonts w:ascii="Times New Roman" w:hAnsi="宋体" w:cs="Times New Roman" w:hint="eastAsia"/>
          <w:bCs/>
        </w:rPr>
        <w:t>期货经纪商或其他为基金提供服务的外部机构；</w:t>
      </w:r>
      <w:r w:rsidRPr="00CA3FD3">
        <w:rPr>
          <w:rFonts w:ascii="Times New Roman" w:hAnsi="宋体" w:cs="Times New Roman" w:hint="eastAsia"/>
          <w:bCs/>
        </w:rPr>
        <w:tab/>
      </w:r>
    </w:p>
    <w:p w14:paraId="7CB8FC9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16</w:t>
      </w:r>
      <w:r w:rsidRPr="00CA3FD3">
        <w:rPr>
          <w:rFonts w:ascii="Times New Roman" w:hAnsi="宋体" w:cs="Times New Roman" w:hint="eastAsia"/>
          <w:bCs/>
        </w:rPr>
        <w:t>）在符合有关法律、法规的前提下，制订和调整有关基金认购、申购、赎回、转换、</w:t>
      </w:r>
      <w:proofErr w:type="gramStart"/>
      <w:r w:rsidRPr="00CA3FD3">
        <w:rPr>
          <w:rFonts w:ascii="Times New Roman" w:hAnsi="宋体" w:cs="Times New Roman" w:hint="eastAsia"/>
          <w:bCs/>
        </w:rPr>
        <w:t>非交易</w:t>
      </w:r>
      <w:proofErr w:type="gramEnd"/>
      <w:r w:rsidRPr="00CA3FD3">
        <w:rPr>
          <w:rFonts w:ascii="Times New Roman" w:hAnsi="宋体" w:cs="Times New Roman" w:hint="eastAsia"/>
          <w:bCs/>
        </w:rPr>
        <w:t>过户、转托管</w:t>
      </w:r>
      <w:proofErr w:type="gramStart"/>
      <w:r w:rsidRPr="00CA3FD3">
        <w:rPr>
          <w:rFonts w:ascii="Times New Roman" w:hAnsi="宋体" w:cs="Times New Roman" w:hint="eastAsia"/>
          <w:bCs/>
        </w:rPr>
        <w:t>和定投</w:t>
      </w:r>
      <w:proofErr w:type="gramEnd"/>
      <w:r w:rsidRPr="00CA3FD3">
        <w:rPr>
          <w:rFonts w:ascii="Times New Roman" w:hAnsi="宋体" w:cs="Times New Roman" w:hint="eastAsia"/>
          <w:bCs/>
        </w:rPr>
        <w:t>等的业务规则；</w:t>
      </w:r>
    </w:p>
    <w:p w14:paraId="5FC0638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17</w:t>
      </w:r>
      <w:r w:rsidRPr="00CA3FD3">
        <w:rPr>
          <w:rFonts w:ascii="Times New Roman" w:hAnsi="宋体" w:cs="Times New Roman" w:hint="eastAsia"/>
          <w:bCs/>
        </w:rPr>
        <w:t>）委托第三方机构办理本基金的交易、清算、估值、结算等业务；</w:t>
      </w:r>
    </w:p>
    <w:p w14:paraId="72B8524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18</w:t>
      </w:r>
      <w:r w:rsidRPr="00CA3FD3">
        <w:rPr>
          <w:rFonts w:ascii="Times New Roman" w:hAnsi="宋体" w:cs="Times New Roman" w:hint="eastAsia"/>
          <w:bCs/>
        </w:rPr>
        <w:t>）经与基金托管人协商一致，代表基金份额持有人的利益行使因基金财产投资于目标</w:t>
      </w:r>
      <w:r w:rsidRPr="00CA3FD3">
        <w:rPr>
          <w:rFonts w:ascii="Times New Roman" w:hAnsi="宋体" w:cs="Times New Roman" w:hint="eastAsia"/>
          <w:bCs/>
        </w:rPr>
        <w:t>ETF</w:t>
      </w:r>
      <w:r w:rsidRPr="00CA3FD3">
        <w:rPr>
          <w:rFonts w:ascii="Times New Roman" w:hAnsi="宋体" w:cs="Times New Roman" w:hint="eastAsia"/>
          <w:bCs/>
        </w:rPr>
        <w:t>所产生的权利；</w:t>
      </w:r>
    </w:p>
    <w:p w14:paraId="2438FB6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lastRenderedPageBreak/>
        <w:t>（</w:t>
      </w:r>
      <w:r w:rsidRPr="00CA3FD3">
        <w:rPr>
          <w:rFonts w:ascii="Times New Roman" w:hAnsi="宋体" w:cs="Times New Roman" w:hint="eastAsia"/>
          <w:bCs/>
        </w:rPr>
        <w:t>19</w:t>
      </w:r>
      <w:r w:rsidRPr="00CA3FD3">
        <w:rPr>
          <w:rFonts w:ascii="Times New Roman" w:hAnsi="宋体" w:cs="Times New Roman" w:hint="eastAsia"/>
          <w:bCs/>
        </w:rPr>
        <w:t>）法律法规及中国证监会规定的和《基金合同》约定的其他权利。</w:t>
      </w:r>
    </w:p>
    <w:p w14:paraId="3912873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、根据《基金法》、《运作办法》及其他有关规定，基金管理人的义务包括但不限于：</w:t>
      </w:r>
    </w:p>
    <w:p w14:paraId="16D97A0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）依法募集资金，办理或者委托经中国证监会认定的其他机构代为办理基金份额的发售、申购、赎回和登记事宜；</w:t>
      </w:r>
    </w:p>
    <w:p w14:paraId="302A675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）办理基金备案手续；</w:t>
      </w:r>
    </w:p>
    <w:p w14:paraId="65CB021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）自《基金合同》生效之日起，以诚实信用、谨慎勤勉的原则管理和运用基金财产；</w:t>
      </w:r>
    </w:p>
    <w:p w14:paraId="381C20D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）配备足够的具有专业资格的人员进行基金投资分析、决策，以专业化的经营方式管理和运作基金财产；</w:t>
      </w:r>
    </w:p>
    <w:p w14:paraId="2A25CFC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）建立健全内部风险控制、监察与稽核、财务管理及人事管理等制度，保证所管理的基金财产和基金管理人的财产相互独立，对所管理的不同基金分别管理，分别记账，进行证券投资；</w:t>
      </w:r>
    </w:p>
    <w:p w14:paraId="07A1953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）除依据《基金法》、《基金合同》及其他有关规定外，不得利用基金财产为自己及任何第三人谋取利益，不得委托第三人运作基金财产；</w:t>
      </w:r>
    </w:p>
    <w:p w14:paraId="5CE5F2C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）依法接受基金托管人的监督；</w:t>
      </w:r>
    </w:p>
    <w:p w14:paraId="7C9EFAE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8</w:t>
      </w:r>
      <w:r w:rsidRPr="00CA3FD3">
        <w:rPr>
          <w:rFonts w:ascii="Times New Roman" w:hAnsi="宋体" w:cs="Times New Roman" w:hint="eastAsia"/>
          <w:bCs/>
        </w:rPr>
        <w:t>）采取适当合理的措施使计算基金份额认购、申购、赎回和注销价格的方法符合《基金合同》等法律文件的规定，按有关规定计算并公告基金净值信息，确定基金份额申购、赎回的价格；</w:t>
      </w:r>
    </w:p>
    <w:p w14:paraId="7A0B73F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9</w:t>
      </w:r>
      <w:r w:rsidRPr="00CA3FD3">
        <w:rPr>
          <w:rFonts w:ascii="Times New Roman" w:hAnsi="宋体" w:cs="Times New Roman" w:hint="eastAsia"/>
          <w:bCs/>
        </w:rPr>
        <w:t>）进行基金会计核算并编制基金财务会计报告；</w:t>
      </w:r>
    </w:p>
    <w:p w14:paraId="246D7A4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10</w:t>
      </w:r>
      <w:r w:rsidRPr="00CA3FD3">
        <w:rPr>
          <w:rFonts w:ascii="Times New Roman" w:hAnsi="宋体" w:cs="Times New Roman" w:hint="eastAsia"/>
          <w:bCs/>
        </w:rPr>
        <w:t>）编制季度报告、中期报告和年度报告；</w:t>
      </w:r>
    </w:p>
    <w:p w14:paraId="16F855F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11</w:t>
      </w:r>
      <w:r w:rsidRPr="00CA3FD3">
        <w:rPr>
          <w:rFonts w:ascii="Times New Roman" w:hAnsi="宋体" w:cs="Times New Roman" w:hint="eastAsia"/>
          <w:bCs/>
        </w:rPr>
        <w:t>）严格按照《基金法》、《基金合同》及其他有关规定，履行信息披露及报告义务；</w:t>
      </w:r>
    </w:p>
    <w:p w14:paraId="50061D8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12</w:t>
      </w:r>
      <w:r w:rsidRPr="00CA3FD3">
        <w:rPr>
          <w:rFonts w:ascii="Times New Roman" w:hAnsi="宋体" w:cs="Times New Roman" w:hint="eastAsia"/>
          <w:bCs/>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15A86EA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13</w:t>
      </w:r>
      <w:r w:rsidRPr="00CA3FD3">
        <w:rPr>
          <w:rFonts w:ascii="Times New Roman" w:hAnsi="宋体" w:cs="Times New Roman" w:hint="eastAsia"/>
          <w:bCs/>
        </w:rPr>
        <w:t>）按《基金合同》的约定确定基金收益分配方案，及时向基金份额持有人分配基金收益；</w:t>
      </w:r>
    </w:p>
    <w:p w14:paraId="79A9107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14</w:t>
      </w:r>
      <w:r w:rsidRPr="00CA3FD3">
        <w:rPr>
          <w:rFonts w:ascii="Times New Roman" w:hAnsi="宋体" w:cs="Times New Roman" w:hint="eastAsia"/>
          <w:bCs/>
        </w:rPr>
        <w:t>）按规定受理申购与赎回申请，及时、足额支付赎回款项；</w:t>
      </w:r>
    </w:p>
    <w:p w14:paraId="65E9C0B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15</w:t>
      </w:r>
      <w:r w:rsidRPr="00CA3FD3">
        <w:rPr>
          <w:rFonts w:ascii="Times New Roman" w:hAnsi="宋体" w:cs="Times New Roman" w:hint="eastAsia"/>
          <w:bCs/>
        </w:rPr>
        <w:t>）依据《基金法》、《基金合同》及其他有关规定召集基金份额持有人大会或配合基金托管人、基金份额持有人依法召集基金份额持有人大会；</w:t>
      </w:r>
    </w:p>
    <w:p w14:paraId="5392B5F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16</w:t>
      </w:r>
      <w:r w:rsidRPr="00CA3FD3">
        <w:rPr>
          <w:rFonts w:ascii="Times New Roman" w:hAnsi="宋体" w:cs="Times New Roman" w:hint="eastAsia"/>
          <w:bCs/>
        </w:rPr>
        <w:t>）按规定保存基金财产管理业务活动的会计账册、报表、记录和其他相关资料</w:t>
      </w:r>
      <w:r w:rsidRPr="00CA3FD3">
        <w:rPr>
          <w:rFonts w:ascii="Times New Roman" w:hAnsi="宋体" w:cs="Times New Roman" w:hint="eastAsia"/>
          <w:bCs/>
        </w:rPr>
        <w:t xml:space="preserve">15  </w:t>
      </w:r>
      <w:r w:rsidRPr="00CA3FD3">
        <w:rPr>
          <w:rFonts w:ascii="Times New Roman" w:hAnsi="宋体" w:cs="Times New Roman" w:hint="eastAsia"/>
          <w:bCs/>
        </w:rPr>
        <w:t>年以上；</w:t>
      </w:r>
    </w:p>
    <w:p w14:paraId="3E5CD41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17</w:t>
      </w:r>
      <w:r w:rsidRPr="00CA3FD3">
        <w:rPr>
          <w:rFonts w:ascii="Times New Roman" w:hAnsi="宋体" w:cs="Times New Roman" w:hint="eastAsia"/>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A41A27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18</w:t>
      </w:r>
      <w:r w:rsidRPr="00CA3FD3">
        <w:rPr>
          <w:rFonts w:ascii="Times New Roman" w:hAnsi="宋体" w:cs="Times New Roman" w:hint="eastAsia"/>
          <w:bCs/>
        </w:rPr>
        <w:t>）组织并参加基金财产清算小组，参与基金财产的保管、清理、估价、变现和分配；</w:t>
      </w:r>
    </w:p>
    <w:p w14:paraId="130291D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lastRenderedPageBreak/>
        <w:t>（</w:t>
      </w:r>
      <w:r w:rsidRPr="00CA3FD3">
        <w:rPr>
          <w:rFonts w:ascii="Times New Roman" w:hAnsi="宋体" w:cs="Times New Roman" w:hint="eastAsia"/>
          <w:bCs/>
        </w:rPr>
        <w:t>19</w:t>
      </w:r>
      <w:r w:rsidRPr="00CA3FD3">
        <w:rPr>
          <w:rFonts w:ascii="Times New Roman" w:hAnsi="宋体" w:cs="Times New Roman" w:hint="eastAsia"/>
          <w:bCs/>
        </w:rPr>
        <w:t>）面临解散、依法被撤销或者被依法宣告破产时，及时报告中国证监会并通知基金托管人；</w:t>
      </w:r>
    </w:p>
    <w:p w14:paraId="64A19A1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20</w:t>
      </w:r>
      <w:r w:rsidRPr="00CA3FD3">
        <w:rPr>
          <w:rFonts w:ascii="Times New Roman" w:hAnsi="宋体" w:cs="Times New Roman" w:hint="eastAsia"/>
          <w:bCs/>
        </w:rPr>
        <w:t>）因违反《基金合同》导致基金财产的损失或损害基金份额持有人合法权益时，应当承担赔偿责任，其赔偿责任不因其退任而免除；</w:t>
      </w:r>
    </w:p>
    <w:p w14:paraId="26A0DB3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21</w:t>
      </w:r>
      <w:r w:rsidRPr="00CA3FD3">
        <w:rPr>
          <w:rFonts w:ascii="Times New Roman" w:hAnsi="宋体" w:cs="Times New Roman" w:hint="eastAsia"/>
          <w:bCs/>
        </w:rPr>
        <w:t>）监督基金托管人按法律法规和《基金合同》规定履行自己的义务，基金托管人违反《基金合同》造成基金财产损失时，基金管理人应为基金份额持有人利益向基金托管人追偿；</w:t>
      </w:r>
    </w:p>
    <w:p w14:paraId="0406A0A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22</w:t>
      </w:r>
      <w:r w:rsidRPr="00CA3FD3">
        <w:rPr>
          <w:rFonts w:ascii="Times New Roman" w:hAnsi="宋体" w:cs="Times New Roman" w:hint="eastAsia"/>
          <w:bCs/>
        </w:rPr>
        <w:t>）当基金管理人将其义务委托第三方处理时，应当对第三方处理有关基金事务的行为承担责任；</w:t>
      </w:r>
    </w:p>
    <w:p w14:paraId="0D4EE29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23</w:t>
      </w:r>
      <w:r w:rsidRPr="00CA3FD3">
        <w:rPr>
          <w:rFonts w:ascii="Times New Roman" w:hAnsi="宋体" w:cs="Times New Roman" w:hint="eastAsia"/>
          <w:bCs/>
        </w:rPr>
        <w:t>）以基金管理人名义，代表基金份额持有人利益行使诉讼权利或实施其他法律行为；</w:t>
      </w:r>
    </w:p>
    <w:p w14:paraId="2656A6B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24</w:t>
      </w:r>
      <w:r w:rsidRPr="00CA3FD3">
        <w:rPr>
          <w:rFonts w:ascii="Times New Roman" w:hAnsi="宋体" w:cs="Times New Roman" w:hint="eastAsia"/>
          <w:bCs/>
        </w:rPr>
        <w:t>）基金管理人在募集期间未能达到基金的备案条件，《基金合同》不能生效，基金管理人承担全部募集费用，将已募集资金并加计银行同期活期存款利息在基金募集期结束后</w:t>
      </w:r>
      <w:r w:rsidRPr="00CA3FD3">
        <w:rPr>
          <w:rFonts w:ascii="Times New Roman" w:hAnsi="宋体" w:cs="Times New Roman" w:hint="eastAsia"/>
          <w:bCs/>
        </w:rPr>
        <w:t>30</w:t>
      </w:r>
      <w:r w:rsidRPr="00CA3FD3">
        <w:rPr>
          <w:rFonts w:ascii="Times New Roman" w:hAnsi="宋体" w:cs="Times New Roman" w:hint="eastAsia"/>
          <w:bCs/>
        </w:rPr>
        <w:t>日内退还基金认购人；</w:t>
      </w:r>
    </w:p>
    <w:p w14:paraId="6546DD1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25</w:t>
      </w:r>
      <w:r w:rsidRPr="00CA3FD3">
        <w:rPr>
          <w:rFonts w:ascii="Times New Roman" w:hAnsi="宋体" w:cs="Times New Roman" w:hint="eastAsia"/>
          <w:bCs/>
        </w:rPr>
        <w:t>）执行生效的基金份额持有人大会的决议；</w:t>
      </w:r>
    </w:p>
    <w:p w14:paraId="6A9C01E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26</w:t>
      </w:r>
      <w:r w:rsidRPr="00CA3FD3">
        <w:rPr>
          <w:rFonts w:ascii="Times New Roman" w:hAnsi="宋体" w:cs="Times New Roman" w:hint="eastAsia"/>
          <w:bCs/>
        </w:rPr>
        <w:t>）建立并保存基金份额持有人名册；</w:t>
      </w:r>
    </w:p>
    <w:p w14:paraId="7E012F1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27</w:t>
      </w:r>
      <w:r w:rsidRPr="00CA3FD3">
        <w:rPr>
          <w:rFonts w:ascii="Times New Roman" w:hAnsi="宋体" w:cs="Times New Roman" w:hint="eastAsia"/>
          <w:bCs/>
        </w:rPr>
        <w:t>）法律法规及中国证监会规定的和《基金合同》约定的其他义务。</w:t>
      </w:r>
    </w:p>
    <w:p w14:paraId="0E78661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（二）基金托管人的权利与义务</w:t>
      </w:r>
    </w:p>
    <w:p w14:paraId="3BF1470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、根据《基金法》、《运作办法》及其他有关规定，基金托管人的权利包括但不限于：</w:t>
      </w:r>
    </w:p>
    <w:p w14:paraId="323E22F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）自《基金合同》生效之日起，依法</w:t>
      </w:r>
      <w:proofErr w:type="gramStart"/>
      <w:r w:rsidRPr="00CA3FD3">
        <w:rPr>
          <w:rFonts w:ascii="Times New Roman" w:hAnsi="宋体" w:cs="Times New Roman" w:hint="eastAsia"/>
          <w:bCs/>
        </w:rPr>
        <w:t>律法规</w:t>
      </w:r>
      <w:proofErr w:type="gramEnd"/>
      <w:r w:rsidRPr="00CA3FD3">
        <w:rPr>
          <w:rFonts w:ascii="Times New Roman" w:hAnsi="宋体" w:cs="Times New Roman" w:hint="eastAsia"/>
          <w:bCs/>
        </w:rPr>
        <w:t>和《基金合同》的规定安全保管基金财产；</w:t>
      </w:r>
    </w:p>
    <w:p w14:paraId="14CF642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）依《基金合同》约定获得基金托管费以及法律法规规定或监管部门批准的其他费用；</w:t>
      </w:r>
    </w:p>
    <w:p w14:paraId="7340DAA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A11B10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）根据相关市场规则，为基金开设证券账户、资金账户等投资所需账户，为基金办理证券</w:t>
      </w:r>
      <w:r w:rsidRPr="00CA3FD3">
        <w:rPr>
          <w:rFonts w:ascii="Times New Roman" w:hAnsi="宋体" w:cs="Times New Roman" w:hint="eastAsia"/>
          <w:bCs/>
        </w:rPr>
        <w:t>/</w:t>
      </w:r>
      <w:r w:rsidRPr="00CA3FD3">
        <w:rPr>
          <w:rFonts w:ascii="Times New Roman" w:hAnsi="宋体" w:cs="Times New Roman" w:hint="eastAsia"/>
          <w:bCs/>
        </w:rPr>
        <w:t>期货交易资金清算；</w:t>
      </w:r>
    </w:p>
    <w:p w14:paraId="33C2455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）提议召开或召集基金份额持有人大会；</w:t>
      </w:r>
    </w:p>
    <w:p w14:paraId="3EEA2F7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）在基金管理人更换时，提名新的基金管理人；</w:t>
      </w:r>
    </w:p>
    <w:p w14:paraId="392B7F1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）法律法规及中国证监会规定的和《基金合同》约定的其他权利。</w:t>
      </w:r>
    </w:p>
    <w:p w14:paraId="54B731D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、根据《基金法》、《运作办法》及其他有关规定，基金托管人的义务包括但不限于：</w:t>
      </w:r>
    </w:p>
    <w:p w14:paraId="12FF6CC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）以诚实信用、勤勉尽责的原则持有并安全保管基金财产；</w:t>
      </w:r>
    </w:p>
    <w:p w14:paraId="6BFC00A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）设立专门的基金托管部门，具有符合要求的营业场所，配备足够的、合格的熟悉基金托管业务的专职人员，负责基金财产托管事宜；</w:t>
      </w:r>
    </w:p>
    <w:p w14:paraId="3DB2E18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lastRenderedPageBreak/>
        <w:t>（</w:t>
      </w:r>
      <w:r w:rsidRPr="00CA3FD3">
        <w:rPr>
          <w:rFonts w:ascii="Times New Roman" w:hAnsi="宋体" w:cs="Times New Roman" w:hint="eastAsia"/>
          <w:bCs/>
        </w:rPr>
        <w:t>3</w:t>
      </w:r>
      <w:r w:rsidRPr="00CA3FD3">
        <w:rPr>
          <w:rFonts w:ascii="Times New Roman" w:hAnsi="宋体" w:cs="Times New Roman" w:hint="eastAsia"/>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82316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）除依据《基金法》、《基金合同》和《托管协议》及其他有关规定外，不得利用基金财产为自己及任何第三人谋取利益，不得委托第三人托管基金财产；</w:t>
      </w:r>
    </w:p>
    <w:p w14:paraId="27AD71C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）保管由基金管理人代表基金签订的与基金有关的重大合同及有关凭证；</w:t>
      </w:r>
    </w:p>
    <w:p w14:paraId="43F32F8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）按规定开设基金财产的资金账户和证券账户等投资所需账户，按照《基金合同》的约定，根据基金管理人的投资指令，及时办理清算、交割事宜；</w:t>
      </w:r>
    </w:p>
    <w:p w14:paraId="6372D2B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保守基金商业秘密，除《基金法》、《基金合同》和《托管协议》及其他有关规定另有规定外，在基金信息公开披露前予以保密，不得向他人泄露，但依法向监管机构、司法机关及审计、法律等外部专业顾问提供的除外；</w:t>
      </w:r>
    </w:p>
    <w:p w14:paraId="47098DD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8</w:t>
      </w:r>
      <w:r w:rsidRPr="00CA3FD3">
        <w:rPr>
          <w:rFonts w:ascii="Times New Roman" w:hAnsi="宋体" w:cs="Times New Roman" w:hint="eastAsia"/>
          <w:bCs/>
        </w:rPr>
        <w:t>）复核、审查基金管理人计算的基金资产净值、基金份额净值、基金份额申购、赎回价格；</w:t>
      </w:r>
    </w:p>
    <w:p w14:paraId="549269A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9</w:t>
      </w:r>
      <w:r w:rsidRPr="00CA3FD3">
        <w:rPr>
          <w:rFonts w:ascii="Times New Roman" w:hAnsi="宋体" w:cs="Times New Roman" w:hint="eastAsia"/>
          <w:bCs/>
        </w:rPr>
        <w:t>）办理与基金托管业务活动有关的信息披露事项；</w:t>
      </w:r>
    </w:p>
    <w:p w14:paraId="0FEB5C7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10</w:t>
      </w:r>
      <w:r w:rsidRPr="00CA3FD3">
        <w:rPr>
          <w:rFonts w:ascii="Times New Roman" w:hAnsi="宋体" w:cs="Times New Roman" w:hint="eastAsia"/>
          <w:bCs/>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34741A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11</w:t>
      </w:r>
      <w:r w:rsidRPr="00CA3FD3">
        <w:rPr>
          <w:rFonts w:ascii="Times New Roman" w:hAnsi="宋体" w:cs="Times New Roman" w:hint="eastAsia"/>
          <w:bCs/>
        </w:rPr>
        <w:t>）保存基金托管业务活动的记录、账册、报表和其他相关资料</w:t>
      </w:r>
      <w:r w:rsidRPr="00CA3FD3">
        <w:rPr>
          <w:rFonts w:ascii="Times New Roman" w:hAnsi="宋体" w:cs="Times New Roman" w:hint="eastAsia"/>
          <w:bCs/>
        </w:rPr>
        <w:t>15</w:t>
      </w:r>
      <w:r w:rsidRPr="00CA3FD3">
        <w:rPr>
          <w:rFonts w:ascii="Times New Roman" w:hAnsi="宋体" w:cs="Times New Roman" w:hint="eastAsia"/>
          <w:bCs/>
        </w:rPr>
        <w:t>年以上；</w:t>
      </w:r>
    </w:p>
    <w:p w14:paraId="6FAEB09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12</w:t>
      </w:r>
      <w:r w:rsidRPr="00CA3FD3">
        <w:rPr>
          <w:rFonts w:ascii="Times New Roman" w:hAnsi="宋体" w:cs="Times New Roman" w:hint="eastAsia"/>
          <w:bCs/>
        </w:rPr>
        <w:t>）建立并保存基金份额持有人名册；</w:t>
      </w:r>
    </w:p>
    <w:p w14:paraId="1BBA1DB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13</w:t>
      </w:r>
      <w:r w:rsidRPr="00CA3FD3">
        <w:rPr>
          <w:rFonts w:ascii="Times New Roman" w:hAnsi="宋体" w:cs="Times New Roman" w:hint="eastAsia"/>
          <w:bCs/>
        </w:rPr>
        <w:t>）按规定制作相关账册并与基金管理人核对；</w:t>
      </w:r>
    </w:p>
    <w:p w14:paraId="4E122B6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14</w:t>
      </w:r>
      <w:r w:rsidRPr="00CA3FD3">
        <w:rPr>
          <w:rFonts w:ascii="Times New Roman" w:hAnsi="宋体" w:cs="Times New Roman" w:hint="eastAsia"/>
          <w:bCs/>
        </w:rPr>
        <w:t>）依据基金管理人的指令或有关规定向基金份额持有人支付基金收益和赎回款项；</w:t>
      </w:r>
    </w:p>
    <w:p w14:paraId="2A16E96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15</w:t>
      </w:r>
      <w:r w:rsidRPr="00CA3FD3">
        <w:rPr>
          <w:rFonts w:ascii="Times New Roman" w:hAnsi="宋体" w:cs="Times New Roman" w:hint="eastAsia"/>
          <w:bCs/>
        </w:rPr>
        <w:t>）依据《基金法》、《基金合同》及其他有关规定，召集基金份额持有人大会或配合基金管理人、基金份额持有人依法召集基金份额持有人大会；</w:t>
      </w:r>
    </w:p>
    <w:p w14:paraId="4C05D57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16</w:t>
      </w:r>
      <w:r w:rsidRPr="00CA3FD3">
        <w:rPr>
          <w:rFonts w:ascii="Times New Roman" w:hAnsi="宋体" w:cs="Times New Roman" w:hint="eastAsia"/>
          <w:bCs/>
        </w:rPr>
        <w:t>）按照法律法规、《基金合同》和《托管协议》的规定监督基金管理人的投资运作；</w:t>
      </w:r>
    </w:p>
    <w:p w14:paraId="16DBDC8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17</w:t>
      </w:r>
      <w:r w:rsidRPr="00CA3FD3">
        <w:rPr>
          <w:rFonts w:ascii="Times New Roman" w:hAnsi="宋体" w:cs="Times New Roman" w:hint="eastAsia"/>
          <w:bCs/>
        </w:rPr>
        <w:t>）参加基金财产清算小组，参与基金财产的保管、清理、估价、变现和分配；</w:t>
      </w:r>
    </w:p>
    <w:p w14:paraId="0BA8D34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18</w:t>
      </w:r>
      <w:r w:rsidRPr="00CA3FD3">
        <w:rPr>
          <w:rFonts w:ascii="Times New Roman" w:hAnsi="宋体" w:cs="Times New Roman" w:hint="eastAsia"/>
          <w:bCs/>
        </w:rPr>
        <w:t>）面临解散、依法被撤销或者被依法宣告破产时，及时报告中国证监会和银行监管机构，并通知基金管理人；</w:t>
      </w:r>
    </w:p>
    <w:p w14:paraId="66BE44A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19</w:t>
      </w:r>
      <w:r w:rsidRPr="00CA3FD3">
        <w:rPr>
          <w:rFonts w:ascii="Times New Roman" w:hAnsi="宋体" w:cs="Times New Roman" w:hint="eastAsia"/>
          <w:bCs/>
        </w:rPr>
        <w:t>）因违反《基金合同》及《托管协议》导致基金财产损失时，应承担赔偿责任，其赔偿责任不因其退任而免除；</w:t>
      </w:r>
    </w:p>
    <w:p w14:paraId="2C5B954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20</w:t>
      </w:r>
      <w:r w:rsidRPr="00CA3FD3">
        <w:rPr>
          <w:rFonts w:ascii="Times New Roman" w:hAnsi="宋体" w:cs="Times New Roman" w:hint="eastAsia"/>
          <w:bCs/>
        </w:rPr>
        <w:t>）按规定监督基金管理人按法律法规和《基金合同》规定履行自己的义务，基金管理人因违反《基金合同》造成基金财产损失时，应为基金份额持有人利益向基金管理人追偿；</w:t>
      </w:r>
    </w:p>
    <w:p w14:paraId="507B896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21</w:t>
      </w:r>
      <w:r w:rsidRPr="00CA3FD3">
        <w:rPr>
          <w:rFonts w:ascii="Times New Roman" w:hAnsi="宋体" w:cs="Times New Roman" w:hint="eastAsia"/>
          <w:bCs/>
        </w:rPr>
        <w:t>）执行生效的基金份额持有人大会的决议；</w:t>
      </w:r>
    </w:p>
    <w:p w14:paraId="2E52495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22</w:t>
      </w:r>
      <w:r w:rsidRPr="00CA3FD3">
        <w:rPr>
          <w:rFonts w:ascii="Times New Roman" w:hAnsi="宋体" w:cs="Times New Roman" w:hint="eastAsia"/>
          <w:bCs/>
        </w:rPr>
        <w:t>）法律法规及中国证监会规定的和《基金合同》约定的其他义务。</w:t>
      </w:r>
    </w:p>
    <w:p w14:paraId="25D49F8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lastRenderedPageBreak/>
        <w:t>（三）基金份额持有人</w:t>
      </w:r>
    </w:p>
    <w:p w14:paraId="68F8700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基金投资者持有本</w:t>
      </w:r>
      <w:proofErr w:type="gramStart"/>
      <w:r w:rsidRPr="00CA3FD3">
        <w:rPr>
          <w:rFonts w:ascii="Times New Roman" w:hAnsi="宋体" w:cs="Times New Roman" w:hint="eastAsia"/>
          <w:bCs/>
        </w:rPr>
        <w:t>基金基金</w:t>
      </w:r>
      <w:proofErr w:type="gramEnd"/>
      <w:r w:rsidRPr="00CA3FD3">
        <w:rPr>
          <w:rFonts w:ascii="Times New Roman" w:hAnsi="宋体" w:cs="Times New Roman" w:hint="eastAsia"/>
          <w:bCs/>
        </w:rPr>
        <w:t>份额的行为即视为对《基金合同》的承认和接受，基金投资者</w:t>
      </w:r>
      <w:proofErr w:type="gramStart"/>
      <w:r w:rsidRPr="00CA3FD3">
        <w:rPr>
          <w:rFonts w:ascii="Times New Roman" w:hAnsi="宋体" w:cs="Times New Roman" w:hint="eastAsia"/>
          <w:bCs/>
        </w:rPr>
        <w:t>自依</w:t>
      </w:r>
      <w:proofErr w:type="gramEnd"/>
      <w:r w:rsidRPr="00CA3FD3">
        <w:rPr>
          <w:rFonts w:ascii="Times New Roman" w:hAnsi="宋体" w:cs="Times New Roman" w:hint="eastAsia"/>
          <w:bCs/>
        </w:rPr>
        <w:t>据《基金合同》取得基金份额，即成为本基金份额持有人和《基金合同》的当事人，直至其不再持有本基金的基金份额。基金份额持有人作为《基金合同》当事人并不以在《基金合同》上书面签章或签字为必要条件。</w:t>
      </w:r>
    </w:p>
    <w:p w14:paraId="1DEEBE0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同一类别每份基金份额具有同等的合法权益。</w:t>
      </w:r>
    </w:p>
    <w:p w14:paraId="6AFC9AD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、根据《基金法》、《运作办法》及其他有关规定，基金份额持有人的权利包括但不限于：</w:t>
      </w:r>
    </w:p>
    <w:p w14:paraId="77CDC9F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）分享基金财产收益；</w:t>
      </w:r>
    </w:p>
    <w:p w14:paraId="2CCA76E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）参与分配清算后的剩余基金财产；</w:t>
      </w:r>
    </w:p>
    <w:p w14:paraId="6E414CB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）依法转让或者申请赎回其持有的基金份额；</w:t>
      </w:r>
    </w:p>
    <w:p w14:paraId="5A291AE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）按照规定要求召开基金份额持有人大会或者召集基金份额持有人大会；</w:t>
      </w:r>
    </w:p>
    <w:p w14:paraId="75F973F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）出席或者委派代表出席基金份额持有人大会，对基金份额持有人大会审议事项行使表决权；</w:t>
      </w:r>
    </w:p>
    <w:p w14:paraId="7DE2D47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）出席或者委派代表出席目标</w:t>
      </w:r>
      <w:r w:rsidRPr="00CA3FD3">
        <w:rPr>
          <w:rFonts w:ascii="Times New Roman" w:hAnsi="宋体" w:cs="Times New Roman" w:hint="eastAsia"/>
          <w:bCs/>
        </w:rPr>
        <w:t>ETF</w:t>
      </w:r>
      <w:r w:rsidRPr="00CA3FD3">
        <w:rPr>
          <w:rFonts w:ascii="Times New Roman" w:hAnsi="宋体" w:cs="Times New Roman" w:hint="eastAsia"/>
          <w:bCs/>
        </w:rPr>
        <w:t>份额持有人大会，对目标</w:t>
      </w:r>
      <w:r w:rsidRPr="00CA3FD3">
        <w:rPr>
          <w:rFonts w:ascii="Times New Roman" w:hAnsi="宋体" w:cs="Times New Roman" w:hint="eastAsia"/>
          <w:bCs/>
        </w:rPr>
        <w:t>ETF</w:t>
      </w:r>
      <w:r w:rsidRPr="00CA3FD3">
        <w:rPr>
          <w:rFonts w:ascii="Times New Roman" w:hAnsi="宋体" w:cs="Times New Roman" w:hint="eastAsia"/>
          <w:bCs/>
        </w:rPr>
        <w:t>份额持有人大会审议事项行使表决权。本基金参会份额和票数按权益登记日本基金所持有的目标</w:t>
      </w:r>
      <w:r w:rsidRPr="00CA3FD3">
        <w:rPr>
          <w:rFonts w:ascii="Times New Roman" w:hAnsi="宋体" w:cs="Times New Roman" w:hint="eastAsia"/>
          <w:bCs/>
        </w:rPr>
        <w:t>ETF</w:t>
      </w:r>
      <w:r w:rsidRPr="00CA3FD3">
        <w:rPr>
          <w:rFonts w:ascii="Times New Roman" w:hAnsi="宋体" w:cs="Times New Roman" w:hint="eastAsia"/>
          <w:bCs/>
        </w:rPr>
        <w:t>份额占本基金资产的比例折算；</w:t>
      </w:r>
    </w:p>
    <w:p w14:paraId="01FD143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）查阅或者复制公开披露的基金信息资料；</w:t>
      </w:r>
    </w:p>
    <w:p w14:paraId="64FD9D7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8</w:t>
      </w:r>
      <w:r w:rsidRPr="00CA3FD3">
        <w:rPr>
          <w:rFonts w:ascii="Times New Roman" w:hAnsi="宋体" w:cs="Times New Roman" w:hint="eastAsia"/>
          <w:bCs/>
        </w:rPr>
        <w:t>）监督基金管理人的投资运作；</w:t>
      </w:r>
    </w:p>
    <w:p w14:paraId="708E67A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9</w:t>
      </w:r>
      <w:r w:rsidRPr="00CA3FD3">
        <w:rPr>
          <w:rFonts w:ascii="Times New Roman" w:hAnsi="宋体" w:cs="Times New Roman" w:hint="eastAsia"/>
          <w:bCs/>
        </w:rPr>
        <w:t>）对基金管理人、基金托管人、基金服务机构损害其合法权益的行为依法提起诉讼或仲裁；</w:t>
      </w:r>
    </w:p>
    <w:p w14:paraId="222C1DF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10</w:t>
      </w:r>
      <w:r w:rsidRPr="00CA3FD3">
        <w:rPr>
          <w:rFonts w:ascii="Times New Roman" w:hAnsi="宋体" w:cs="Times New Roman" w:hint="eastAsia"/>
          <w:bCs/>
        </w:rPr>
        <w:t>）法律法规及中国证监会规定的和《基金合同》约定的其他权利。</w:t>
      </w:r>
    </w:p>
    <w:p w14:paraId="118700A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、根据《基金法》、《运作办法》及其他有关规定，基金份额持有人的义务包括但不限于：</w:t>
      </w:r>
    </w:p>
    <w:p w14:paraId="032FB6D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）认真阅读并遵守《基金合同》、招募说明书等信息披露文件；</w:t>
      </w:r>
    </w:p>
    <w:p w14:paraId="58854EB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）了解所投资基金产品，了解自身风险承受能力，自主判断基金的投资价值，自主做出投资决策，自行承担投资风险；</w:t>
      </w:r>
    </w:p>
    <w:p w14:paraId="0D296D5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）关注基金信息披露，及时行使权利和履行义务；</w:t>
      </w:r>
    </w:p>
    <w:p w14:paraId="09548F8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）缴纳基金认购、申购款项及法律法规和《基金合同》所规定的费用；</w:t>
      </w:r>
    </w:p>
    <w:p w14:paraId="0C13F21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）在其持有的基金份额范围内，承担基金亏损或者《基金合同》终止的有限责任；</w:t>
      </w:r>
    </w:p>
    <w:p w14:paraId="743BE67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）不从事任何有损基金及其他《基金合同》当事人合法权益的活动；</w:t>
      </w:r>
    </w:p>
    <w:p w14:paraId="39069D8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）执行生效的基金份额持有人大会的决议；</w:t>
      </w:r>
    </w:p>
    <w:p w14:paraId="4DD64CF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8</w:t>
      </w:r>
      <w:r w:rsidRPr="00CA3FD3">
        <w:rPr>
          <w:rFonts w:ascii="Times New Roman" w:hAnsi="宋体" w:cs="Times New Roman" w:hint="eastAsia"/>
          <w:bCs/>
        </w:rPr>
        <w:t>）返还在基金交易过程中因任何原因获得的不当得利；</w:t>
      </w:r>
    </w:p>
    <w:p w14:paraId="3152678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9</w:t>
      </w:r>
      <w:r w:rsidRPr="00CA3FD3">
        <w:rPr>
          <w:rFonts w:ascii="Times New Roman" w:hAnsi="宋体" w:cs="Times New Roman" w:hint="eastAsia"/>
          <w:bCs/>
        </w:rPr>
        <w:t>）法律法规及中国证监会规定的和《基金合同》约定的其他义务。</w:t>
      </w:r>
    </w:p>
    <w:p w14:paraId="415BA0A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732F205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二、基金份额持有人大会召集、议事及表决的程序和规则</w:t>
      </w:r>
    </w:p>
    <w:p w14:paraId="71F8F5E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基金份额持有人大会由基金份额持有人组成，基金份额持有人的合法授权代表有权代表基金份额持有人出席会议并表决。基金份额持有人持有的每一基金份额拥有平等的投票权。</w:t>
      </w:r>
    </w:p>
    <w:p w14:paraId="76FFB88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roofErr w:type="gramStart"/>
      <w:r w:rsidRPr="00CA3FD3">
        <w:rPr>
          <w:rFonts w:ascii="Times New Roman" w:hAnsi="宋体" w:cs="Times New Roman" w:hint="eastAsia"/>
          <w:bCs/>
        </w:rPr>
        <w:t>鉴于本</w:t>
      </w:r>
      <w:proofErr w:type="gramEnd"/>
      <w:r w:rsidRPr="00CA3FD3">
        <w:rPr>
          <w:rFonts w:ascii="Times New Roman" w:hAnsi="宋体" w:cs="Times New Roman" w:hint="eastAsia"/>
          <w:bCs/>
        </w:rPr>
        <w:t>基金是目标</w:t>
      </w:r>
      <w:r w:rsidRPr="00CA3FD3">
        <w:rPr>
          <w:rFonts w:ascii="Times New Roman" w:hAnsi="宋体" w:cs="Times New Roman" w:hint="eastAsia"/>
          <w:bCs/>
        </w:rPr>
        <w:t>ETF</w:t>
      </w:r>
      <w:r w:rsidRPr="00CA3FD3">
        <w:rPr>
          <w:rFonts w:ascii="Times New Roman" w:hAnsi="宋体" w:cs="Times New Roman" w:hint="eastAsia"/>
          <w:bCs/>
        </w:rPr>
        <w:t>的联接基金，</w:t>
      </w:r>
      <w:proofErr w:type="gramStart"/>
      <w:r w:rsidRPr="00CA3FD3">
        <w:rPr>
          <w:rFonts w:ascii="Times New Roman" w:hAnsi="宋体" w:cs="Times New Roman" w:hint="eastAsia"/>
          <w:bCs/>
        </w:rPr>
        <w:t>鉴于</w:t>
      </w:r>
      <w:proofErr w:type="gramEnd"/>
      <w:r w:rsidRPr="00CA3FD3">
        <w:rPr>
          <w:rFonts w:ascii="Times New Roman" w:hAnsi="宋体" w:cs="Times New Roman" w:hint="eastAsia"/>
          <w:bCs/>
        </w:rPr>
        <w:t>本基金和目标</w:t>
      </w:r>
      <w:r w:rsidRPr="00CA3FD3">
        <w:rPr>
          <w:rFonts w:ascii="Times New Roman" w:hAnsi="宋体" w:cs="Times New Roman" w:hint="eastAsia"/>
          <w:bCs/>
        </w:rPr>
        <w:t>ETF</w:t>
      </w:r>
      <w:r w:rsidRPr="00CA3FD3">
        <w:rPr>
          <w:rFonts w:ascii="Times New Roman" w:hAnsi="宋体" w:cs="Times New Roman" w:hint="eastAsia"/>
          <w:bCs/>
        </w:rPr>
        <w:t>的相关性，本基金的基金份额持有人可以凭所持有的本基金份额出席或者委派代表出席目标</w:t>
      </w:r>
      <w:r w:rsidRPr="00CA3FD3">
        <w:rPr>
          <w:rFonts w:ascii="Times New Roman" w:hAnsi="宋体" w:cs="Times New Roman" w:hint="eastAsia"/>
          <w:bCs/>
        </w:rPr>
        <w:t>ETF</w:t>
      </w:r>
      <w:r w:rsidRPr="00CA3FD3">
        <w:rPr>
          <w:rFonts w:ascii="Times New Roman" w:hAnsi="宋体" w:cs="Times New Roman" w:hint="eastAsia"/>
          <w:bCs/>
        </w:rPr>
        <w:t>基金份额持有人大会并参与表决。在计算参会份额和计票时，本基金的基金份额持有人持有的享有表决权的参会份额数和表决票数为：在目标</w:t>
      </w:r>
      <w:r w:rsidRPr="00CA3FD3">
        <w:rPr>
          <w:rFonts w:ascii="Times New Roman" w:hAnsi="宋体" w:cs="Times New Roman" w:hint="eastAsia"/>
          <w:bCs/>
        </w:rPr>
        <w:t>ETF</w:t>
      </w:r>
      <w:r w:rsidRPr="00CA3FD3">
        <w:rPr>
          <w:rFonts w:ascii="Times New Roman" w:hAnsi="宋体" w:cs="Times New Roman" w:hint="eastAsia"/>
          <w:bCs/>
        </w:rPr>
        <w:t>基金份额持有人大会的权益登记日，本基金持有目标</w:t>
      </w:r>
      <w:r w:rsidRPr="00CA3FD3">
        <w:rPr>
          <w:rFonts w:ascii="Times New Roman" w:hAnsi="宋体" w:cs="Times New Roman" w:hint="eastAsia"/>
          <w:bCs/>
        </w:rPr>
        <w:t>ETF</w:t>
      </w:r>
      <w:r w:rsidRPr="00CA3FD3">
        <w:rPr>
          <w:rFonts w:ascii="Times New Roman" w:hAnsi="宋体" w:cs="Times New Roman" w:hint="eastAsia"/>
          <w:bCs/>
        </w:rPr>
        <w:t>基金份额的总数乘以该持有人所持有的本基金份额占本基金总份额的比例，计算结果按照四舍五入的方法，保留到整数位。本基金份额折算为目标</w:t>
      </w:r>
      <w:r w:rsidRPr="00CA3FD3">
        <w:rPr>
          <w:rFonts w:ascii="Times New Roman" w:hAnsi="宋体" w:cs="Times New Roman" w:hint="eastAsia"/>
          <w:bCs/>
        </w:rPr>
        <w:t>ETF</w:t>
      </w:r>
      <w:r w:rsidRPr="00CA3FD3">
        <w:rPr>
          <w:rFonts w:ascii="Times New Roman" w:hAnsi="宋体" w:cs="Times New Roman" w:hint="eastAsia"/>
          <w:bCs/>
        </w:rPr>
        <w:t>后的每一参会份额和目标</w:t>
      </w:r>
      <w:r w:rsidRPr="00CA3FD3">
        <w:rPr>
          <w:rFonts w:ascii="Times New Roman" w:hAnsi="宋体" w:cs="Times New Roman" w:hint="eastAsia"/>
          <w:bCs/>
        </w:rPr>
        <w:t>ETF</w:t>
      </w:r>
      <w:r w:rsidRPr="00CA3FD3">
        <w:rPr>
          <w:rFonts w:ascii="Times New Roman" w:hAnsi="宋体" w:cs="Times New Roman" w:hint="eastAsia"/>
          <w:bCs/>
        </w:rPr>
        <w:t>的每一参会份额拥有平等的投票权。</w:t>
      </w:r>
    </w:p>
    <w:p w14:paraId="4B57D44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本基金的基金管理人不应以本基金的名义代表本基金的全体基金份额持有人以目标</w:t>
      </w:r>
      <w:r w:rsidRPr="00CA3FD3">
        <w:rPr>
          <w:rFonts w:ascii="Times New Roman" w:hAnsi="宋体" w:cs="Times New Roman" w:hint="eastAsia"/>
          <w:bCs/>
        </w:rPr>
        <w:t>ETF</w:t>
      </w:r>
      <w:r w:rsidRPr="00CA3FD3">
        <w:rPr>
          <w:rFonts w:ascii="Times New Roman" w:hAnsi="宋体" w:cs="Times New Roman" w:hint="eastAsia"/>
          <w:bCs/>
        </w:rPr>
        <w:t>的基金份额持有人的身份行使表决权，但可接受本基金的</w:t>
      </w:r>
      <w:proofErr w:type="gramStart"/>
      <w:r w:rsidRPr="00CA3FD3">
        <w:rPr>
          <w:rFonts w:ascii="Times New Roman" w:hAnsi="宋体" w:cs="Times New Roman" w:hint="eastAsia"/>
          <w:bCs/>
        </w:rPr>
        <w:t>特定基金</w:t>
      </w:r>
      <w:proofErr w:type="gramEnd"/>
      <w:r w:rsidRPr="00CA3FD3">
        <w:rPr>
          <w:rFonts w:ascii="Times New Roman" w:hAnsi="宋体" w:cs="Times New Roman" w:hint="eastAsia"/>
          <w:bCs/>
        </w:rPr>
        <w:t>份额持有人的委托以本基金的基金份额持有人代理人的身份出席目标</w:t>
      </w:r>
      <w:r w:rsidRPr="00CA3FD3">
        <w:rPr>
          <w:rFonts w:ascii="Times New Roman" w:hAnsi="宋体" w:cs="Times New Roman" w:hint="eastAsia"/>
          <w:bCs/>
        </w:rPr>
        <w:t>ETF</w:t>
      </w:r>
      <w:r w:rsidRPr="00CA3FD3">
        <w:rPr>
          <w:rFonts w:ascii="Times New Roman" w:hAnsi="宋体" w:cs="Times New Roman" w:hint="eastAsia"/>
          <w:bCs/>
        </w:rPr>
        <w:t>的基金份额持有人大会并参与表决。</w:t>
      </w:r>
    </w:p>
    <w:p w14:paraId="0376DC7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本基金的基金管理人代表本基金的基金份额持有人提议召开或召集目标</w:t>
      </w:r>
      <w:r w:rsidRPr="00CA3FD3">
        <w:rPr>
          <w:rFonts w:ascii="Times New Roman" w:hAnsi="宋体" w:cs="Times New Roman" w:hint="eastAsia"/>
          <w:bCs/>
        </w:rPr>
        <w:t>ETF</w:t>
      </w:r>
      <w:r w:rsidRPr="00CA3FD3">
        <w:rPr>
          <w:rFonts w:ascii="Times New Roman" w:hAnsi="宋体" w:cs="Times New Roman" w:hint="eastAsia"/>
          <w:bCs/>
        </w:rPr>
        <w:t>基金份额持有人大会的，须先遵照本基金《基金合同》的约定召开本基金的基金份额持有人大会，本基金的基金份额持有人大会决定提议召开或召集目标</w:t>
      </w:r>
      <w:proofErr w:type="spellStart"/>
      <w:r w:rsidRPr="00CA3FD3">
        <w:rPr>
          <w:rFonts w:ascii="Times New Roman" w:hAnsi="宋体" w:cs="Times New Roman" w:hint="eastAsia"/>
          <w:bCs/>
        </w:rPr>
        <w:t>ETF</w:t>
      </w:r>
      <w:proofErr w:type="spellEnd"/>
      <w:r w:rsidRPr="00CA3FD3">
        <w:rPr>
          <w:rFonts w:ascii="Times New Roman" w:hAnsi="宋体" w:cs="Times New Roman" w:hint="eastAsia"/>
          <w:bCs/>
        </w:rPr>
        <w:t>基金份额持有人大会的，由本</w:t>
      </w:r>
      <w:proofErr w:type="gramStart"/>
      <w:r w:rsidRPr="00CA3FD3">
        <w:rPr>
          <w:rFonts w:ascii="Times New Roman" w:hAnsi="宋体" w:cs="Times New Roman" w:hint="eastAsia"/>
          <w:bCs/>
        </w:rPr>
        <w:t>基金基金</w:t>
      </w:r>
      <w:proofErr w:type="gramEnd"/>
      <w:r w:rsidRPr="00CA3FD3">
        <w:rPr>
          <w:rFonts w:ascii="Times New Roman" w:hAnsi="宋体" w:cs="Times New Roman" w:hint="eastAsia"/>
          <w:bCs/>
        </w:rPr>
        <w:t>管理人代表本基金的基金份额持有人提议召开或召集目标</w:t>
      </w:r>
      <w:r w:rsidRPr="00CA3FD3">
        <w:rPr>
          <w:rFonts w:ascii="Times New Roman" w:hAnsi="宋体" w:cs="Times New Roman" w:hint="eastAsia"/>
          <w:bCs/>
        </w:rPr>
        <w:t>ETF</w:t>
      </w:r>
      <w:r w:rsidRPr="00CA3FD3">
        <w:rPr>
          <w:rFonts w:ascii="Times New Roman" w:hAnsi="宋体" w:cs="Times New Roman" w:hint="eastAsia"/>
          <w:bCs/>
        </w:rPr>
        <w:t>基金份额持有人大会。</w:t>
      </w:r>
    </w:p>
    <w:p w14:paraId="01F5929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本基金份额持有人大会不设日常机构。若将来法律法规对基金份额持有人大会另有规定的，以届时有效的法律法规为准。</w:t>
      </w:r>
    </w:p>
    <w:p w14:paraId="4504480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（一）召开事由</w:t>
      </w:r>
    </w:p>
    <w:p w14:paraId="504CD4D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、当出现或需要决定下列事由之一的，应当召开基金份额持有人大会，但法律法规、中国证监会另有规定或基金合同另有约定的除外：</w:t>
      </w:r>
    </w:p>
    <w:p w14:paraId="2E8F37B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）终止《基金合同》；</w:t>
      </w:r>
    </w:p>
    <w:p w14:paraId="4758627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）更换基金管理人；</w:t>
      </w:r>
    </w:p>
    <w:p w14:paraId="24C6F91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）更换基金托管人；</w:t>
      </w:r>
    </w:p>
    <w:p w14:paraId="004E396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）转换基金运作方式；</w:t>
      </w:r>
    </w:p>
    <w:p w14:paraId="53FDD72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）调整基金管理人、基金托管人的报酬标准或提高销售服务费率；</w:t>
      </w:r>
    </w:p>
    <w:p w14:paraId="4C34A54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）变更基金类别；</w:t>
      </w:r>
    </w:p>
    <w:p w14:paraId="1AB4708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）本基金与其他基金的合并；</w:t>
      </w:r>
    </w:p>
    <w:p w14:paraId="174EA51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8</w:t>
      </w:r>
      <w:r w:rsidRPr="00CA3FD3">
        <w:rPr>
          <w:rFonts w:ascii="Times New Roman" w:hAnsi="宋体" w:cs="Times New Roman" w:hint="eastAsia"/>
          <w:bCs/>
        </w:rPr>
        <w:t>）变更基金投资目标、范围或策略，但由于目标</w:t>
      </w:r>
      <w:r w:rsidRPr="00CA3FD3">
        <w:rPr>
          <w:rFonts w:ascii="Times New Roman" w:hAnsi="宋体" w:cs="Times New Roman" w:hint="eastAsia"/>
          <w:bCs/>
        </w:rPr>
        <w:t>ETF</w:t>
      </w:r>
      <w:r w:rsidRPr="00CA3FD3">
        <w:rPr>
          <w:rFonts w:ascii="Times New Roman" w:hAnsi="宋体" w:cs="Times New Roman" w:hint="eastAsia"/>
          <w:bCs/>
        </w:rPr>
        <w:t>交易方式变更、终止上市或目标</w:t>
      </w:r>
      <w:r w:rsidRPr="00CA3FD3">
        <w:rPr>
          <w:rFonts w:ascii="Times New Roman" w:hAnsi="宋体" w:cs="Times New Roman" w:hint="eastAsia"/>
          <w:bCs/>
        </w:rPr>
        <w:t>ETF</w:t>
      </w:r>
      <w:r w:rsidRPr="00CA3FD3">
        <w:rPr>
          <w:rFonts w:ascii="Times New Roman" w:hAnsi="宋体" w:cs="Times New Roman" w:hint="eastAsia"/>
          <w:bCs/>
        </w:rPr>
        <w:t>基金合同终止而变更本基金投资目标、范围或策略的情况除外；</w:t>
      </w:r>
    </w:p>
    <w:p w14:paraId="3F1F60D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9</w:t>
      </w:r>
      <w:r w:rsidRPr="00CA3FD3">
        <w:rPr>
          <w:rFonts w:ascii="Times New Roman" w:hAnsi="宋体" w:cs="Times New Roman" w:hint="eastAsia"/>
          <w:bCs/>
        </w:rPr>
        <w:t>）变更基金份额持有人大会程序；</w:t>
      </w:r>
    </w:p>
    <w:p w14:paraId="31D2952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10</w:t>
      </w:r>
      <w:r w:rsidRPr="00CA3FD3">
        <w:rPr>
          <w:rFonts w:ascii="Times New Roman" w:hAnsi="宋体" w:cs="Times New Roman" w:hint="eastAsia"/>
          <w:bCs/>
        </w:rPr>
        <w:t>）基金管理人或基金托管人要求召开基金份额持有人大会；</w:t>
      </w:r>
    </w:p>
    <w:p w14:paraId="76B202B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lastRenderedPageBreak/>
        <w:t>（</w:t>
      </w:r>
      <w:r w:rsidRPr="00CA3FD3">
        <w:rPr>
          <w:rFonts w:ascii="Times New Roman" w:hAnsi="宋体" w:cs="Times New Roman" w:hint="eastAsia"/>
          <w:bCs/>
        </w:rPr>
        <w:t>11</w:t>
      </w:r>
      <w:r w:rsidRPr="00CA3FD3">
        <w:rPr>
          <w:rFonts w:ascii="Times New Roman" w:hAnsi="宋体" w:cs="Times New Roman" w:hint="eastAsia"/>
          <w:bCs/>
        </w:rPr>
        <w:t>）单独或合计持有本基金总份额</w:t>
      </w:r>
      <w:r w:rsidRPr="00CA3FD3">
        <w:rPr>
          <w:rFonts w:ascii="Times New Roman" w:hAnsi="宋体" w:cs="Times New Roman" w:hint="eastAsia"/>
          <w:bCs/>
        </w:rPr>
        <w:t>10%</w:t>
      </w:r>
      <w:r w:rsidRPr="00CA3FD3">
        <w:rPr>
          <w:rFonts w:ascii="Times New Roman" w:hAnsi="宋体" w:cs="Times New Roman" w:hint="eastAsia"/>
          <w:bCs/>
        </w:rPr>
        <w:t>以上（含</w:t>
      </w:r>
      <w:r w:rsidRPr="00CA3FD3">
        <w:rPr>
          <w:rFonts w:ascii="Times New Roman" w:hAnsi="宋体" w:cs="Times New Roman" w:hint="eastAsia"/>
          <w:bCs/>
        </w:rPr>
        <w:t>10%</w:t>
      </w:r>
      <w:r w:rsidRPr="00CA3FD3">
        <w:rPr>
          <w:rFonts w:ascii="Times New Roman" w:hAnsi="宋体" w:cs="Times New Roman" w:hint="eastAsia"/>
          <w:bCs/>
        </w:rPr>
        <w:t>）基金份额的基金份额持有人（以基金管理人收到提议当日的基金份额计算，下同）就同一事项书面要求召开基金份额持有人大会；</w:t>
      </w:r>
    </w:p>
    <w:p w14:paraId="261E193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12</w:t>
      </w:r>
      <w:r w:rsidRPr="00CA3FD3">
        <w:rPr>
          <w:rFonts w:ascii="Times New Roman" w:hAnsi="宋体" w:cs="Times New Roman" w:hint="eastAsia"/>
          <w:bCs/>
        </w:rPr>
        <w:t>）对基金合同当事人权利和义务产生重大影响的其他事项；</w:t>
      </w:r>
    </w:p>
    <w:p w14:paraId="6BBB2A6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13</w:t>
      </w:r>
      <w:r w:rsidRPr="00CA3FD3">
        <w:rPr>
          <w:rFonts w:ascii="Times New Roman" w:hAnsi="宋体" w:cs="Times New Roman" w:hint="eastAsia"/>
          <w:bCs/>
        </w:rPr>
        <w:t>）基金管理人代表本基金的基金份额持有人提议召开或召集目标</w:t>
      </w:r>
      <w:r w:rsidRPr="00CA3FD3">
        <w:rPr>
          <w:rFonts w:ascii="Times New Roman" w:hAnsi="宋体" w:cs="Times New Roman" w:hint="eastAsia"/>
          <w:bCs/>
        </w:rPr>
        <w:t>ETF</w:t>
      </w:r>
      <w:r w:rsidRPr="00CA3FD3">
        <w:rPr>
          <w:rFonts w:ascii="Times New Roman" w:hAnsi="宋体" w:cs="Times New Roman" w:hint="eastAsia"/>
          <w:bCs/>
        </w:rPr>
        <w:t>基金份额持有人大会；</w:t>
      </w:r>
    </w:p>
    <w:p w14:paraId="0655905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14</w:t>
      </w:r>
      <w:r w:rsidRPr="00CA3FD3">
        <w:rPr>
          <w:rFonts w:ascii="Times New Roman" w:hAnsi="宋体" w:cs="Times New Roman" w:hint="eastAsia"/>
          <w:bCs/>
        </w:rPr>
        <w:t>）法律法规、《基金合同》或中国证监会规定的其他应当召开基金份额持有人大会的事项。</w:t>
      </w:r>
    </w:p>
    <w:p w14:paraId="1B8E85E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、在法律法规规定和《基金合同》约定的范围内且对基金份额持有人利益无实质性不利影响的前提下，以下情况可由基金管理人和基金托管人协商后修改，不需召开基金份额持有人大会：</w:t>
      </w:r>
    </w:p>
    <w:p w14:paraId="45B4199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）调低基金财产承担的费用；</w:t>
      </w:r>
    </w:p>
    <w:p w14:paraId="2947209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）法律法规要求增加的基金费用的收取；</w:t>
      </w:r>
    </w:p>
    <w:p w14:paraId="28BAB73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）调整本基金的申购费率、调低赎回费率、变更收费方式，调整有关基金认购、申购、赎回、转换、</w:t>
      </w:r>
      <w:proofErr w:type="gramStart"/>
      <w:r w:rsidRPr="00CA3FD3">
        <w:rPr>
          <w:rFonts w:ascii="Times New Roman" w:hAnsi="宋体" w:cs="Times New Roman" w:hint="eastAsia"/>
          <w:bCs/>
        </w:rPr>
        <w:t>非交易</w:t>
      </w:r>
      <w:proofErr w:type="gramEnd"/>
      <w:r w:rsidRPr="00CA3FD3">
        <w:rPr>
          <w:rFonts w:ascii="Times New Roman" w:hAnsi="宋体" w:cs="Times New Roman" w:hint="eastAsia"/>
          <w:bCs/>
        </w:rPr>
        <w:t>过户、转托管等业务的规则；</w:t>
      </w:r>
    </w:p>
    <w:p w14:paraId="1E13C22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）增加、减少或调整基金份额类别设置及对基金份额分类办法、规则进行调整；</w:t>
      </w:r>
    </w:p>
    <w:p w14:paraId="770D023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w:t>
      </w:r>
      <w:proofErr w:type="gramStart"/>
      <w:r w:rsidRPr="00CA3FD3">
        <w:rPr>
          <w:rFonts w:ascii="Times New Roman" w:hAnsi="宋体" w:cs="Times New Roman" w:hint="eastAsia"/>
          <w:bCs/>
        </w:rPr>
        <w:t>因相应</w:t>
      </w:r>
      <w:proofErr w:type="gramEnd"/>
      <w:r w:rsidRPr="00CA3FD3">
        <w:rPr>
          <w:rFonts w:ascii="Times New Roman" w:hAnsi="宋体" w:cs="Times New Roman" w:hint="eastAsia"/>
          <w:bCs/>
        </w:rPr>
        <w:t>的法律法规发生变动而应当对《基金合同》进行修改；</w:t>
      </w:r>
    </w:p>
    <w:p w14:paraId="491B48A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）对《基金合同》的修改对基金份额持有人利益无实质性不利影响或修改不涉及《基金合同》当事人权利义务关系发生重大变化；</w:t>
      </w:r>
    </w:p>
    <w:p w14:paraId="36BF29E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）由于目标</w:t>
      </w:r>
      <w:r w:rsidRPr="00CA3FD3">
        <w:rPr>
          <w:rFonts w:ascii="Times New Roman" w:hAnsi="宋体" w:cs="Times New Roman" w:hint="eastAsia"/>
          <w:bCs/>
        </w:rPr>
        <w:t>ETF</w:t>
      </w:r>
      <w:r w:rsidRPr="00CA3FD3">
        <w:rPr>
          <w:rFonts w:ascii="Times New Roman" w:hAnsi="宋体" w:cs="Times New Roman" w:hint="eastAsia"/>
          <w:bCs/>
        </w:rPr>
        <w:t>交易方式变更、终止上市或目标</w:t>
      </w:r>
      <w:r w:rsidRPr="00CA3FD3">
        <w:rPr>
          <w:rFonts w:ascii="Times New Roman" w:hAnsi="宋体" w:cs="Times New Roman" w:hint="eastAsia"/>
          <w:bCs/>
        </w:rPr>
        <w:t>ETF</w:t>
      </w:r>
      <w:r w:rsidRPr="00CA3FD3">
        <w:rPr>
          <w:rFonts w:ascii="Times New Roman" w:hAnsi="宋体" w:cs="Times New Roman" w:hint="eastAsia"/>
          <w:bCs/>
        </w:rPr>
        <w:t>基金合同终止而变更本基金投资目标、范围或策略；</w:t>
      </w:r>
    </w:p>
    <w:p w14:paraId="5EB83B3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8</w:t>
      </w:r>
      <w:r w:rsidRPr="00CA3FD3">
        <w:rPr>
          <w:rFonts w:ascii="Times New Roman" w:hAnsi="宋体" w:cs="Times New Roman" w:hint="eastAsia"/>
          <w:bCs/>
        </w:rPr>
        <w:t>）按照法律法规和《基金合同》规定不需召开基金份额持有人大会的其他情形。</w:t>
      </w:r>
    </w:p>
    <w:p w14:paraId="5CC4B02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（二）会议召集人及召集方式</w:t>
      </w:r>
    </w:p>
    <w:p w14:paraId="00A7B09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、除法律法规规定或《基金合同》另有约定外，基金份额持有人大会由基金管理人召集。</w:t>
      </w:r>
    </w:p>
    <w:p w14:paraId="3C2DC56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、基金管理人未按规定召集或不能召集时，由基金托管人召集。</w:t>
      </w:r>
    </w:p>
    <w:p w14:paraId="42FADDA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、基金托管人认为有必要召开基金份额持有人大会的，应当向基金管理人提出书面提议。基金管理人应当自收到书面提议之日起</w:t>
      </w:r>
      <w:r w:rsidRPr="00CA3FD3">
        <w:rPr>
          <w:rFonts w:ascii="Times New Roman" w:hAnsi="宋体" w:cs="Times New Roman" w:hint="eastAsia"/>
          <w:bCs/>
        </w:rPr>
        <w:t>10</w:t>
      </w:r>
      <w:r w:rsidRPr="00CA3FD3">
        <w:rPr>
          <w:rFonts w:ascii="Times New Roman" w:hAnsi="宋体" w:cs="Times New Roman" w:hint="eastAsia"/>
          <w:bCs/>
        </w:rPr>
        <w:t>日内决定是否召集，并书面告知基金托管人。基金管理人决定召集的，应当自出具书面决定之日起</w:t>
      </w:r>
      <w:r w:rsidRPr="00CA3FD3">
        <w:rPr>
          <w:rFonts w:ascii="Times New Roman" w:hAnsi="宋体" w:cs="Times New Roman" w:hint="eastAsia"/>
          <w:bCs/>
        </w:rPr>
        <w:t>60</w:t>
      </w:r>
      <w:r w:rsidRPr="00CA3FD3">
        <w:rPr>
          <w:rFonts w:ascii="Times New Roman" w:hAnsi="宋体" w:cs="Times New Roman" w:hint="eastAsia"/>
          <w:bCs/>
        </w:rPr>
        <w:t>日内召开；基金管理人决定不召集，基金托管人仍认为有必要召开的，应当由基金托管人自行召集，并自出具书面决定之日起</w:t>
      </w:r>
      <w:r w:rsidRPr="00CA3FD3">
        <w:rPr>
          <w:rFonts w:ascii="Times New Roman" w:hAnsi="宋体" w:cs="Times New Roman" w:hint="eastAsia"/>
          <w:bCs/>
        </w:rPr>
        <w:t>60</w:t>
      </w:r>
      <w:r w:rsidRPr="00CA3FD3">
        <w:rPr>
          <w:rFonts w:ascii="Times New Roman" w:hAnsi="宋体" w:cs="Times New Roman" w:hint="eastAsia"/>
          <w:bCs/>
        </w:rPr>
        <w:t>日内召开并告知基金管理人，基金管理人应当配合。</w:t>
      </w:r>
    </w:p>
    <w:p w14:paraId="2D154D4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4</w:t>
      </w:r>
      <w:r w:rsidRPr="00CA3FD3">
        <w:rPr>
          <w:rFonts w:ascii="Times New Roman" w:hAnsi="宋体" w:cs="Times New Roman" w:hint="eastAsia"/>
          <w:bCs/>
        </w:rPr>
        <w:t>、代表基金份额</w:t>
      </w:r>
      <w:r w:rsidRPr="00CA3FD3">
        <w:rPr>
          <w:rFonts w:ascii="Times New Roman" w:hAnsi="宋体" w:cs="Times New Roman" w:hint="eastAsia"/>
          <w:bCs/>
        </w:rPr>
        <w:t>10%</w:t>
      </w:r>
      <w:r w:rsidRPr="00CA3FD3">
        <w:rPr>
          <w:rFonts w:ascii="Times New Roman" w:hAnsi="宋体" w:cs="Times New Roman" w:hint="eastAsia"/>
          <w:bCs/>
        </w:rPr>
        <w:t>以上（含</w:t>
      </w:r>
      <w:r w:rsidRPr="00CA3FD3">
        <w:rPr>
          <w:rFonts w:ascii="Times New Roman" w:hAnsi="宋体" w:cs="Times New Roman" w:hint="eastAsia"/>
          <w:bCs/>
        </w:rPr>
        <w:t>10%</w:t>
      </w:r>
      <w:r w:rsidRPr="00CA3FD3">
        <w:rPr>
          <w:rFonts w:ascii="Times New Roman" w:hAnsi="宋体" w:cs="Times New Roman" w:hint="eastAsia"/>
          <w:bCs/>
        </w:rPr>
        <w:t>）的基金份额持有人就同一事项书面要求召开基金份额持有人大会，应当向基金管理人提出书面提议。基金管理人应当自收到书面提议之日起</w:t>
      </w:r>
      <w:r w:rsidRPr="00CA3FD3">
        <w:rPr>
          <w:rFonts w:ascii="Times New Roman" w:hAnsi="宋体" w:cs="Times New Roman" w:hint="eastAsia"/>
          <w:bCs/>
        </w:rPr>
        <w:t>10</w:t>
      </w:r>
      <w:r w:rsidRPr="00CA3FD3">
        <w:rPr>
          <w:rFonts w:ascii="Times New Roman" w:hAnsi="宋体" w:cs="Times New Roman" w:hint="eastAsia"/>
          <w:bCs/>
        </w:rPr>
        <w:t>日内决定是否召集，并书面告知提出提议的基金份额持有人代表和基金托管人。基金管理</w:t>
      </w:r>
      <w:r w:rsidRPr="00CA3FD3">
        <w:rPr>
          <w:rFonts w:ascii="Times New Roman" w:hAnsi="宋体" w:cs="Times New Roman" w:hint="eastAsia"/>
          <w:bCs/>
        </w:rPr>
        <w:lastRenderedPageBreak/>
        <w:t>人决定召集的，应当自出具书面决定之日起</w:t>
      </w:r>
      <w:r w:rsidRPr="00CA3FD3">
        <w:rPr>
          <w:rFonts w:ascii="Times New Roman" w:hAnsi="宋体" w:cs="Times New Roman" w:hint="eastAsia"/>
          <w:bCs/>
        </w:rPr>
        <w:t>60</w:t>
      </w:r>
      <w:r w:rsidRPr="00CA3FD3">
        <w:rPr>
          <w:rFonts w:ascii="Times New Roman" w:hAnsi="宋体" w:cs="Times New Roman" w:hint="eastAsia"/>
          <w:bCs/>
        </w:rPr>
        <w:t>日内召开；基金管理人决定不召集，代表基金份额</w:t>
      </w:r>
      <w:r w:rsidRPr="00CA3FD3">
        <w:rPr>
          <w:rFonts w:ascii="Times New Roman" w:hAnsi="宋体" w:cs="Times New Roman" w:hint="eastAsia"/>
          <w:bCs/>
        </w:rPr>
        <w:t>10%</w:t>
      </w:r>
      <w:r w:rsidRPr="00CA3FD3">
        <w:rPr>
          <w:rFonts w:ascii="Times New Roman" w:hAnsi="宋体" w:cs="Times New Roman" w:hint="eastAsia"/>
          <w:bCs/>
        </w:rPr>
        <w:t>以上（含</w:t>
      </w:r>
      <w:r w:rsidRPr="00CA3FD3">
        <w:rPr>
          <w:rFonts w:ascii="Times New Roman" w:hAnsi="宋体" w:cs="Times New Roman" w:hint="eastAsia"/>
          <w:bCs/>
        </w:rPr>
        <w:t>10%</w:t>
      </w:r>
      <w:r w:rsidRPr="00CA3FD3">
        <w:rPr>
          <w:rFonts w:ascii="Times New Roman" w:hAnsi="宋体" w:cs="Times New Roman" w:hint="eastAsia"/>
          <w:bCs/>
        </w:rPr>
        <w:t>）的基金份额持有人仍认为有必要召开的，应当向基金托管人提出书面提议。基金托管人应当自收到书面提议之日起</w:t>
      </w:r>
      <w:r w:rsidRPr="00CA3FD3">
        <w:rPr>
          <w:rFonts w:ascii="Times New Roman" w:hAnsi="宋体" w:cs="Times New Roman" w:hint="eastAsia"/>
          <w:bCs/>
        </w:rPr>
        <w:t>10</w:t>
      </w:r>
      <w:r w:rsidRPr="00CA3FD3">
        <w:rPr>
          <w:rFonts w:ascii="Times New Roman" w:hAnsi="宋体" w:cs="Times New Roman" w:hint="eastAsia"/>
          <w:bCs/>
        </w:rPr>
        <w:t>日内决定是否召集，并书面告知提出提议的基金份额持有人代表和基金管理人；基金托管人决定召集的，应当自出具书面决定之日起</w:t>
      </w:r>
      <w:r w:rsidRPr="00CA3FD3">
        <w:rPr>
          <w:rFonts w:ascii="Times New Roman" w:hAnsi="宋体" w:cs="Times New Roman" w:hint="eastAsia"/>
          <w:bCs/>
        </w:rPr>
        <w:t>60</w:t>
      </w:r>
      <w:r w:rsidRPr="00CA3FD3">
        <w:rPr>
          <w:rFonts w:ascii="Times New Roman" w:hAnsi="宋体" w:cs="Times New Roman" w:hint="eastAsia"/>
          <w:bCs/>
        </w:rPr>
        <w:t>日内召开，并告知基金管理人，基金管理人应当配合。</w:t>
      </w:r>
    </w:p>
    <w:p w14:paraId="25430DF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5</w:t>
      </w:r>
      <w:r w:rsidRPr="00CA3FD3">
        <w:rPr>
          <w:rFonts w:ascii="Times New Roman" w:hAnsi="宋体" w:cs="Times New Roman" w:hint="eastAsia"/>
          <w:bCs/>
        </w:rPr>
        <w:t>、代表基金份额</w:t>
      </w:r>
      <w:r w:rsidRPr="00CA3FD3">
        <w:rPr>
          <w:rFonts w:ascii="Times New Roman" w:hAnsi="宋体" w:cs="Times New Roman" w:hint="eastAsia"/>
          <w:bCs/>
        </w:rPr>
        <w:t>10%</w:t>
      </w:r>
      <w:r w:rsidRPr="00CA3FD3">
        <w:rPr>
          <w:rFonts w:ascii="Times New Roman" w:hAnsi="宋体" w:cs="Times New Roman" w:hint="eastAsia"/>
          <w:bCs/>
        </w:rPr>
        <w:t>以上（含</w:t>
      </w:r>
      <w:r w:rsidRPr="00CA3FD3">
        <w:rPr>
          <w:rFonts w:ascii="Times New Roman" w:hAnsi="宋体" w:cs="Times New Roman" w:hint="eastAsia"/>
          <w:bCs/>
        </w:rPr>
        <w:t>10%</w:t>
      </w:r>
      <w:r w:rsidRPr="00CA3FD3">
        <w:rPr>
          <w:rFonts w:ascii="Times New Roman" w:hAnsi="宋体" w:cs="Times New Roman" w:hint="eastAsia"/>
          <w:bCs/>
        </w:rPr>
        <w:t>）的基金份额持有人就同一事项要求召开基金份额持有人大会，而基金管理人、基金托管人都不召集的，单独或合计代表基金份额</w:t>
      </w:r>
      <w:r w:rsidRPr="00CA3FD3">
        <w:rPr>
          <w:rFonts w:ascii="Times New Roman" w:hAnsi="宋体" w:cs="Times New Roman" w:hint="eastAsia"/>
          <w:bCs/>
        </w:rPr>
        <w:t>10%</w:t>
      </w:r>
      <w:r w:rsidRPr="00CA3FD3">
        <w:rPr>
          <w:rFonts w:ascii="Times New Roman" w:hAnsi="宋体" w:cs="Times New Roman" w:hint="eastAsia"/>
          <w:bCs/>
        </w:rPr>
        <w:t>以上（含</w:t>
      </w:r>
      <w:r w:rsidRPr="00CA3FD3">
        <w:rPr>
          <w:rFonts w:ascii="Times New Roman" w:hAnsi="宋体" w:cs="Times New Roman" w:hint="eastAsia"/>
          <w:bCs/>
        </w:rPr>
        <w:t>10%</w:t>
      </w:r>
      <w:r w:rsidRPr="00CA3FD3">
        <w:rPr>
          <w:rFonts w:ascii="Times New Roman" w:hAnsi="宋体" w:cs="Times New Roman" w:hint="eastAsia"/>
          <w:bCs/>
        </w:rPr>
        <w:t>）的基金份额持有人有权自行召集，并至少提前</w:t>
      </w:r>
      <w:r w:rsidRPr="00CA3FD3">
        <w:rPr>
          <w:rFonts w:ascii="Times New Roman" w:hAnsi="宋体" w:cs="Times New Roman" w:hint="eastAsia"/>
          <w:bCs/>
        </w:rPr>
        <w:t>30</w:t>
      </w:r>
      <w:r w:rsidRPr="00CA3FD3">
        <w:rPr>
          <w:rFonts w:ascii="Times New Roman" w:hAnsi="宋体" w:cs="Times New Roman" w:hint="eastAsia"/>
          <w:bCs/>
        </w:rPr>
        <w:t>日报中国证监会备案。基金份额持有人依法自行召集基金份额持有人大会的，基金管理人、基金托管人应当配合，不得阻碍、干扰。</w:t>
      </w:r>
    </w:p>
    <w:p w14:paraId="187C714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6</w:t>
      </w:r>
      <w:r w:rsidRPr="00CA3FD3">
        <w:rPr>
          <w:rFonts w:ascii="Times New Roman" w:hAnsi="宋体" w:cs="Times New Roman" w:hint="eastAsia"/>
          <w:bCs/>
        </w:rPr>
        <w:t>、基金份额持有人会议的召集人负责选择确定开会时间、地点、方式和权益登记日。</w:t>
      </w:r>
    </w:p>
    <w:p w14:paraId="7912D73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62D6F65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（三）召开基金份额持有人大会的通知时间、通知内容、通知方式</w:t>
      </w:r>
    </w:p>
    <w:p w14:paraId="6BB5BC5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、召开基金份额持有人大会，召集人应于会议召开前</w:t>
      </w:r>
      <w:r w:rsidRPr="00CA3FD3">
        <w:rPr>
          <w:rFonts w:ascii="Times New Roman" w:hAnsi="宋体" w:cs="Times New Roman" w:hint="eastAsia"/>
          <w:bCs/>
        </w:rPr>
        <w:t>30</w:t>
      </w:r>
      <w:r w:rsidRPr="00CA3FD3">
        <w:rPr>
          <w:rFonts w:ascii="Times New Roman" w:hAnsi="宋体" w:cs="Times New Roman" w:hint="eastAsia"/>
          <w:bCs/>
        </w:rPr>
        <w:t>日，在指定媒介公告。基金份额持有人大会通知应至少载明以下内容：</w:t>
      </w:r>
    </w:p>
    <w:p w14:paraId="3606AFF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）会议召开的时间、地点和会议形式；</w:t>
      </w:r>
    </w:p>
    <w:p w14:paraId="399A763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）会议</w:t>
      </w:r>
      <w:proofErr w:type="gramStart"/>
      <w:r w:rsidRPr="00CA3FD3">
        <w:rPr>
          <w:rFonts w:ascii="Times New Roman" w:hAnsi="宋体" w:cs="Times New Roman" w:hint="eastAsia"/>
          <w:bCs/>
        </w:rPr>
        <w:t>拟审议</w:t>
      </w:r>
      <w:proofErr w:type="gramEnd"/>
      <w:r w:rsidRPr="00CA3FD3">
        <w:rPr>
          <w:rFonts w:ascii="Times New Roman" w:hAnsi="宋体" w:cs="Times New Roman" w:hint="eastAsia"/>
          <w:bCs/>
        </w:rPr>
        <w:t>的事项、议事程序和表决方式；</w:t>
      </w:r>
    </w:p>
    <w:p w14:paraId="75B61F1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）有权出席基金份额持有人大会的基金份额持有人的权益登记日；</w:t>
      </w:r>
    </w:p>
    <w:p w14:paraId="66D423B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）授权委托证明的内容要求（包括但不限于代理人身份，代理权限和代理有效期限等）、送达时间和地点；</w:t>
      </w:r>
    </w:p>
    <w:p w14:paraId="736A829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）会务常设联系人姓名及联系电话；</w:t>
      </w:r>
    </w:p>
    <w:p w14:paraId="5820984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）出席会议者必须准备的文件和必须履行的手续；</w:t>
      </w:r>
    </w:p>
    <w:p w14:paraId="757F735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）召集人需要通知的其他事项。</w:t>
      </w:r>
    </w:p>
    <w:p w14:paraId="3579121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0B7166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A3FD3">
        <w:rPr>
          <w:rFonts w:ascii="Times New Roman" w:hAnsi="宋体" w:cs="Times New Roman" w:hint="eastAsia"/>
          <w:bCs/>
        </w:rPr>
        <w:t>拒不派</w:t>
      </w:r>
      <w:proofErr w:type="gramEnd"/>
      <w:r w:rsidRPr="00CA3FD3">
        <w:rPr>
          <w:rFonts w:ascii="Times New Roman" w:hAnsi="宋体" w:cs="Times New Roman" w:hint="eastAsia"/>
          <w:bCs/>
        </w:rPr>
        <w:t>代表对表决意见的计票进行监督的，不影响表决意见的计票效力。</w:t>
      </w:r>
    </w:p>
    <w:p w14:paraId="0AE258E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2879BC0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（四）基金份额持有人出席会议的方式</w:t>
      </w:r>
    </w:p>
    <w:p w14:paraId="612F7EF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基金份额持有人大会可通过现场开会方式、通讯开会方式或法律法规、监管机构允许的</w:t>
      </w:r>
      <w:r w:rsidRPr="00CA3FD3">
        <w:rPr>
          <w:rFonts w:ascii="Times New Roman" w:hAnsi="宋体" w:cs="Times New Roman" w:hint="eastAsia"/>
          <w:bCs/>
        </w:rPr>
        <w:lastRenderedPageBreak/>
        <w:t>其他方式召开，会议的召开方式由会议召集人确定。</w:t>
      </w:r>
    </w:p>
    <w:p w14:paraId="7627D70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171670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68B8EC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A3FD3">
        <w:rPr>
          <w:rFonts w:ascii="Times New Roman" w:hAnsi="宋体" w:cs="Times New Roman" w:hint="eastAsia"/>
          <w:bCs/>
        </w:rPr>
        <w:t>3</w:t>
      </w:r>
      <w:r w:rsidRPr="00CA3FD3">
        <w:rPr>
          <w:rFonts w:ascii="Times New Roman" w:hAnsi="宋体" w:cs="Times New Roman" w:hint="eastAsia"/>
          <w:bCs/>
        </w:rPr>
        <w:t>个月以后、</w:t>
      </w:r>
      <w:r w:rsidRPr="00CA3FD3">
        <w:rPr>
          <w:rFonts w:ascii="Times New Roman" w:hAnsi="宋体" w:cs="Times New Roman" w:hint="eastAsia"/>
          <w:bCs/>
        </w:rPr>
        <w:t>6</w:t>
      </w:r>
      <w:r w:rsidRPr="00CA3FD3">
        <w:rPr>
          <w:rFonts w:ascii="Times New Roman" w:hAnsi="宋体" w:cs="Times New Roman" w:hint="eastAsia"/>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2F14A8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、通讯开会。通讯开会系指基金份额持有人将其对表决事项的投票以召集人通知的非现场方式在表决截止日以前送达至召集人指定的地址或系统。通讯开会应以召集人通知的非现场方式进行表决。</w:t>
      </w:r>
    </w:p>
    <w:p w14:paraId="0DC4D58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在同时符合以下条件时，通讯开会的方式视为有效：</w:t>
      </w:r>
    </w:p>
    <w:p w14:paraId="5340E75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）会议召集人按《基金合同》约定公布会议通知后，在</w:t>
      </w:r>
      <w:r w:rsidRPr="00CA3FD3">
        <w:rPr>
          <w:rFonts w:ascii="Times New Roman" w:hAnsi="宋体" w:cs="Times New Roman" w:hint="eastAsia"/>
          <w:bCs/>
        </w:rPr>
        <w:t>2</w:t>
      </w:r>
      <w:r w:rsidRPr="00CA3FD3">
        <w:rPr>
          <w:rFonts w:ascii="Times New Roman" w:hAnsi="宋体" w:cs="Times New Roman" w:hint="eastAsia"/>
          <w:bCs/>
        </w:rPr>
        <w:t>个工作日内连续公布相关提示性公告；</w:t>
      </w:r>
    </w:p>
    <w:p w14:paraId="7BF72CF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8533C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CA3FD3">
        <w:rPr>
          <w:rFonts w:ascii="Times New Roman" w:hAnsi="宋体" w:cs="Times New Roman" w:hint="eastAsia"/>
          <w:bCs/>
        </w:rPr>
        <w:t>3</w:t>
      </w:r>
      <w:r w:rsidRPr="00CA3FD3">
        <w:rPr>
          <w:rFonts w:ascii="Times New Roman" w:hAnsi="宋体" w:cs="Times New Roman" w:hint="eastAsia"/>
          <w:bCs/>
        </w:rPr>
        <w:t>个月以后、</w:t>
      </w:r>
      <w:r w:rsidRPr="00CA3FD3">
        <w:rPr>
          <w:rFonts w:ascii="Times New Roman" w:hAnsi="宋体" w:cs="Times New Roman" w:hint="eastAsia"/>
          <w:bCs/>
        </w:rPr>
        <w:t>6</w:t>
      </w:r>
      <w:r w:rsidRPr="00CA3FD3">
        <w:rPr>
          <w:rFonts w:ascii="Times New Roman" w:hAnsi="宋体" w:cs="Times New Roman" w:hint="eastAsia"/>
          <w:bCs/>
        </w:rPr>
        <w:t>个月以内，就原定审议事项重新召集基金份额持有人大会。重新召集的基金份额持有人大会应当有代表三分之一以上（含三分之一）基金份额的持有人直接出具表决意见或授权他人代表出具表决意见；</w:t>
      </w:r>
    </w:p>
    <w:p w14:paraId="15206C1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）上述第（</w:t>
      </w:r>
      <w:r w:rsidRPr="00CA3FD3">
        <w:rPr>
          <w:rFonts w:ascii="Times New Roman" w:hAnsi="宋体" w:cs="Times New Roman" w:hint="eastAsia"/>
          <w:bCs/>
        </w:rPr>
        <w:t>3</w:t>
      </w:r>
      <w:r w:rsidRPr="00CA3FD3">
        <w:rPr>
          <w:rFonts w:ascii="Times New Roman" w:hAnsi="宋体" w:cs="Times New Roman" w:hint="eastAsia"/>
          <w:bCs/>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w:t>
      </w:r>
      <w:r w:rsidRPr="00CA3FD3">
        <w:rPr>
          <w:rFonts w:ascii="Times New Roman" w:hAnsi="宋体" w:cs="Times New Roman" w:hint="eastAsia"/>
          <w:bCs/>
        </w:rPr>
        <w:lastRenderedPageBreak/>
        <w:t>知的规定，并与基金登记机构记录相符。</w:t>
      </w:r>
    </w:p>
    <w:p w14:paraId="17DF0EB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345297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4</w:t>
      </w:r>
      <w:r w:rsidRPr="00CA3FD3">
        <w:rPr>
          <w:rFonts w:ascii="Times New Roman" w:hAnsi="宋体" w:cs="Times New Roman" w:hint="eastAsia"/>
          <w:bCs/>
        </w:rPr>
        <w:t>、在不与法律法规冲突的前提下，基金份额持有人授权他人代为出席会议并表决的，授权方式可以采用书面、网络、电话、短信或其他方式，具体方式在会议通知中列明。</w:t>
      </w:r>
    </w:p>
    <w:p w14:paraId="6F54E55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26F01BE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（五）议事内容与程序</w:t>
      </w:r>
    </w:p>
    <w:p w14:paraId="646AE47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、议事内容及提案权</w:t>
      </w:r>
    </w:p>
    <w:p w14:paraId="73CAFBD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D2BA4A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基金份额持有人大会的召集人发出召集会议的通知后，对原有提案的修改应当在基金份额持有人大会召开前及时公告。</w:t>
      </w:r>
    </w:p>
    <w:p w14:paraId="1E58237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基金份额持有人大会不得对未事先公告的议事内容进行表决。</w:t>
      </w:r>
    </w:p>
    <w:p w14:paraId="36543CD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、议事程序</w:t>
      </w:r>
    </w:p>
    <w:p w14:paraId="58AE733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）现场开会</w:t>
      </w:r>
    </w:p>
    <w:p w14:paraId="378816B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A3FD3">
        <w:rPr>
          <w:rFonts w:ascii="Times New Roman" w:hAnsi="宋体" w:cs="Times New Roman" w:hint="eastAsia"/>
          <w:bCs/>
        </w:rPr>
        <w:t>50%</w:t>
      </w:r>
      <w:r w:rsidRPr="00CA3FD3">
        <w:rPr>
          <w:rFonts w:ascii="Times New Roman" w:hAnsi="宋体" w:cs="Times New Roman" w:hint="eastAsia"/>
          <w:bCs/>
        </w:rPr>
        <w:t>以上（含</w:t>
      </w:r>
      <w:r w:rsidRPr="00CA3FD3">
        <w:rPr>
          <w:rFonts w:ascii="Times New Roman" w:hAnsi="宋体" w:cs="Times New Roman" w:hint="eastAsia"/>
          <w:bCs/>
        </w:rPr>
        <w:t>50%</w:t>
      </w:r>
      <w:r w:rsidRPr="00CA3FD3">
        <w:rPr>
          <w:rFonts w:ascii="Times New Roman" w:hAnsi="宋体" w:cs="Times New Roman" w:hint="eastAsia"/>
          <w:bCs/>
        </w:rPr>
        <w:t>）选举产生一名基金份额持有人作为该次基金份额持有人大会的主持人。基金管理人和基金托管人拒不出席或主持基金份额持有人大会，不影响基金份额持有人大会</w:t>
      </w:r>
      <w:proofErr w:type="gramStart"/>
      <w:r w:rsidRPr="00CA3FD3">
        <w:rPr>
          <w:rFonts w:ascii="Times New Roman" w:hAnsi="宋体" w:cs="Times New Roman" w:hint="eastAsia"/>
          <w:bCs/>
        </w:rPr>
        <w:t>作出</w:t>
      </w:r>
      <w:proofErr w:type="gramEnd"/>
      <w:r w:rsidRPr="00CA3FD3">
        <w:rPr>
          <w:rFonts w:ascii="Times New Roman" w:hAnsi="宋体" w:cs="Times New Roman" w:hint="eastAsia"/>
          <w:bCs/>
        </w:rPr>
        <w:t>的决议的效力。</w:t>
      </w:r>
    </w:p>
    <w:p w14:paraId="7ADD759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会议召集人应当制作出席会议人员的签名册。签名</w:t>
      </w:r>
      <w:proofErr w:type="gramStart"/>
      <w:r w:rsidRPr="00CA3FD3">
        <w:rPr>
          <w:rFonts w:ascii="Times New Roman" w:hAnsi="宋体" w:cs="Times New Roman" w:hint="eastAsia"/>
          <w:bCs/>
        </w:rPr>
        <w:t>册</w:t>
      </w:r>
      <w:proofErr w:type="gramEnd"/>
      <w:r w:rsidRPr="00CA3FD3">
        <w:rPr>
          <w:rFonts w:ascii="Times New Roman" w:hAnsi="宋体" w:cs="Times New Roman" w:hint="eastAsia"/>
          <w:bCs/>
        </w:rPr>
        <w:t>载明参加会议人员姓名（或单位名称）、身份证明文件号码、持有或代表有表决权的基金份额、委托人姓名（或单位名称）和联系方式等事项。</w:t>
      </w:r>
    </w:p>
    <w:p w14:paraId="1CF4809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）通讯开会</w:t>
      </w:r>
    </w:p>
    <w:p w14:paraId="6AF5E1D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在通讯开会的情况下，首先由召集人提前</w:t>
      </w:r>
      <w:r w:rsidRPr="00CA3FD3">
        <w:rPr>
          <w:rFonts w:ascii="Times New Roman" w:hAnsi="宋体" w:cs="Times New Roman" w:hint="eastAsia"/>
          <w:bCs/>
        </w:rPr>
        <w:t>30</w:t>
      </w:r>
      <w:r w:rsidRPr="00CA3FD3">
        <w:rPr>
          <w:rFonts w:ascii="Times New Roman" w:hAnsi="宋体" w:cs="Times New Roman" w:hint="eastAsia"/>
          <w:bCs/>
        </w:rPr>
        <w:t>日公布提案，在所通知的表决截止日期后</w:t>
      </w:r>
      <w:r w:rsidRPr="00CA3FD3">
        <w:rPr>
          <w:rFonts w:ascii="Times New Roman" w:hAnsi="宋体" w:cs="Times New Roman" w:hint="eastAsia"/>
          <w:bCs/>
        </w:rPr>
        <w:t>2</w:t>
      </w:r>
      <w:r w:rsidRPr="00CA3FD3">
        <w:rPr>
          <w:rFonts w:ascii="Times New Roman" w:hAnsi="宋体" w:cs="Times New Roman" w:hint="eastAsia"/>
          <w:bCs/>
        </w:rPr>
        <w:t>个工作日内在公证机关监督下由召集人统计全部有效表决，在公证机关监督下形成决议。</w:t>
      </w:r>
    </w:p>
    <w:p w14:paraId="75E4FB4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6C88791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（六）表决</w:t>
      </w:r>
    </w:p>
    <w:p w14:paraId="4A99ED9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基金份额持有人所持每份基金份额有同等表决权。</w:t>
      </w:r>
    </w:p>
    <w:p w14:paraId="0E3BFD3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基金份额持有人大会决议分为一般决议和特别决议：</w:t>
      </w:r>
    </w:p>
    <w:p w14:paraId="2E6EE90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lastRenderedPageBreak/>
        <w:t>1</w:t>
      </w:r>
      <w:r w:rsidRPr="00CA3FD3">
        <w:rPr>
          <w:rFonts w:ascii="Times New Roman" w:hAnsi="宋体" w:cs="Times New Roman" w:hint="eastAsia"/>
          <w:bCs/>
        </w:rPr>
        <w:t>、一般决议，一般决议须经参加大会的基金份额持有人或其代理人所持表决权的二分之一以上（含二分之一）通过方为有效；除下列第</w:t>
      </w:r>
      <w:r w:rsidRPr="00CA3FD3">
        <w:rPr>
          <w:rFonts w:ascii="Times New Roman" w:hAnsi="宋体" w:cs="Times New Roman" w:hint="eastAsia"/>
          <w:bCs/>
        </w:rPr>
        <w:t>2</w:t>
      </w:r>
      <w:r w:rsidRPr="00CA3FD3">
        <w:rPr>
          <w:rFonts w:ascii="Times New Roman" w:hAnsi="宋体" w:cs="Times New Roman" w:hint="eastAsia"/>
          <w:bCs/>
        </w:rPr>
        <w:t>项所规定的须以特别决议通过事项以外的其他事项均以一般决议的方式通过。</w:t>
      </w:r>
    </w:p>
    <w:p w14:paraId="6FEE592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5E016E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基金份额持有人大会采取记名方式进行投票表决。</w:t>
      </w:r>
    </w:p>
    <w:p w14:paraId="20DC341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AC69CA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基金份额持有人大会的各项提案或同一项提案内并列的各项议题应当分开审议、逐项表决。</w:t>
      </w:r>
    </w:p>
    <w:p w14:paraId="7074DE7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在上述规则的前提下，具体规则以召集人发布的基金份额持有人大会通知为准。</w:t>
      </w:r>
    </w:p>
    <w:p w14:paraId="4E87DB6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4CF95D5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（七）计票</w:t>
      </w:r>
    </w:p>
    <w:p w14:paraId="157E47F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、现场开会</w:t>
      </w:r>
    </w:p>
    <w:p w14:paraId="289BB08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A3FD3">
        <w:rPr>
          <w:rFonts w:ascii="Times New Roman" w:hAnsi="宋体" w:cs="Times New Roman" w:hint="eastAsia"/>
          <w:bCs/>
        </w:rPr>
        <w:t>或大会</w:t>
      </w:r>
      <w:proofErr w:type="gramEnd"/>
      <w:r w:rsidRPr="00CA3FD3">
        <w:rPr>
          <w:rFonts w:ascii="Times New Roman" w:hAnsi="宋体" w:cs="Times New Roman" w:hint="eastAsia"/>
          <w:bCs/>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7CF6D0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）监票人应当在基金份额持有人表决后立即进行清点并由大会主持人当场公布计票结果。</w:t>
      </w:r>
    </w:p>
    <w:p w14:paraId="6B9589E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）如果会议主持人或基金份额持有人或代理人对于提交的表决结果有怀疑，可以在宣布表决结果后立即对所投票</w:t>
      </w:r>
      <w:proofErr w:type="gramStart"/>
      <w:r w:rsidRPr="00CA3FD3">
        <w:rPr>
          <w:rFonts w:ascii="Times New Roman" w:hAnsi="宋体" w:cs="Times New Roman" w:hint="eastAsia"/>
          <w:bCs/>
        </w:rPr>
        <w:t>数要求</w:t>
      </w:r>
      <w:proofErr w:type="gramEnd"/>
      <w:r w:rsidRPr="00CA3FD3">
        <w:rPr>
          <w:rFonts w:ascii="Times New Roman" w:hAnsi="宋体" w:cs="Times New Roman" w:hint="eastAsia"/>
          <w:bCs/>
        </w:rPr>
        <w:t>进行重新清点。监票人应当进行重新清点，重新清点以一次为限。重新清点后，大会主持人应当当场公布重新清点结果。</w:t>
      </w:r>
    </w:p>
    <w:p w14:paraId="62D8CC0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）计票过程应由公证机关予以公证，基金管理人或基金托管人拒不出席大会的，不影响计票的效力。</w:t>
      </w:r>
    </w:p>
    <w:p w14:paraId="3217B8F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、通讯开会</w:t>
      </w:r>
    </w:p>
    <w:p w14:paraId="531F3A0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在通讯开会的情况下，计票方式为：由大会召集人授权的两名监督员在基金托管人授权代表（若由基金托管人召集，则为基金管理人授权代表）的监督下进行计票，并由公证机关</w:t>
      </w:r>
      <w:r w:rsidRPr="00CA3FD3">
        <w:rPr>
          <w:rFonts w:ascii="Times New Roman" w:hAnsi="宋体" w:cs="Times New Roman" w:hint="eastAsia"/>
          <w:bCs/>
        </w:rPr>
        <w:lastRenderedPageBreak/>
        <w:t>对其计票过程予以公证。基金管理人或基金托管</w:t>
      </w:r>
      <w:proofErr w:type="gramStart"/>
      <w:r w:rsidRPr="00CA3FD3">
        <w:rPr>
          <w:rFonts w:ascii="Times New Roman" w:hAnsi="宋体" w:cs="Times New Roman" w:hint="eastAsia"/>
          <w:bCs/>
        </w:rPr>
        <w:t>人拒派</w:t>
      </w:r>
      <w:proofErr w:type="gramEnd"/>
      <w:r w:rsidRPr="00CA3FD3">
        <w:rPr>
          <w:rFonts w:ascii="Times New Roman" w:hAnsi="宋体" w:cs="Times New Roman" w:hint="eastAsia"/>
          <w:bCs/>
        </w:rPr>
        <w:t>代表对表决意见的计票进行监督的，不影响计票和表决结果。</w:t>
      </w:r>
    </w:p>
    <w:p w14:paraId="700168F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0124D0C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（八）生效与公告</w:t>
      </w:r>
    </w:p>
    <w:p w14:paraId="7C6B391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基金份额持有人大会的决议，召集人应当自通过之日起</w:t>
      </w:r>
      <w:r w:rsidRPr="00CA3FD3">
        <w:rPr>
          <w:rFonts w:ascii="Times New Roman" w:hAnsi="宋体" w:cs="Times New Roman" w:hint="eastAsia"/>
          <w:bCs/>
        </w:rPr>
        <w:t>5</w:t>
      </w:r>
      <w:r w:rsidRPr="00CA3FD3">
        <w:rPr>
          <w:rFonts w:ascii="Times New Roman" w:hAnsi="宋体" w:cs="Times New Roman" w:hint="eastAsia"/>
          <w:bCs/>
        </w:rPr>
        <w:t>日内报中国证监会备案。</w:t>
      </w:r>
    </w:p>
    <w:p w14:paraId="387A016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基金份额持有人大会的决议自表决通过之日起生效。</w:t>
      </w:r>
    </w:p>
    <w:p w14:paraId="3B9557F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基金份额持有人大会决议自生效之日起</w:t>
      </w:r>
      <w:r w:rsidRPr="00CA3FD3">
        <w:rPr>
          <w:rFonts w:ascii="Times New Roman" w:hAnsi="宋体" w:cs="Times New Roman" w:hint="eastAsia"/>
          <w:bCs/>
        </w:rPr>
        <w:t>2</w:t>
      </w:r>
      <w:r w:rsidRPr="00CA3FD3">
        <w:rPr>
          <w:rFonts w:ascii="Times New Roman" w:hAnsi="宋体" w:cs="Times New Roman" w:hint="eastAsia"/>
          <w:bCs/>
        </w:rPr>
        <w:t>日内在指定媒介上公告。如果采用通讯方式进行表决，在公告基金份额持有人大会决议时，必须将公证书全文、公证机构、公证员姓名等一同公告。</w:t>
      </w:r>
    </w:p>
    <w:p w14:paraId="6B5D50E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基金管理人、基金托管人和基金份额持有人应当执行生效的基金份额持有人大会的决议。生效的基金份额持有人大会决议对全体基金份额持有人、基金管理人、基金托管人均有约束力。</w:t>
      </w:r>
    </w:p>
    <w:p w14:paraId="75F4F55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51752BE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（九）本部</w:t>
      </w:r>
      <w:proofErr w:type="gramStart"/>
      <w:r w:rsidRPr="00CA3FD3">
        <w:rPr>
          <w:rFonts w:ascii="Times New Roman" w:hAnsi="宋体" w:cs="Times New Roman" w:hint="eastAsia"/>
          <w:bCs/>
        </w:rPr>
        <w:t>分关于</w:t>
      </w:r>
      <w:proofErr w:type="gramEnd"/>
      <w:r w:rsidRPr="00CA3FD3">
        <w:rPr>
          <w:rFonts w:ascii="Times New Roman" w:hAnsi="宋体" w:cs="Times New Roman" w:hint="eastAsia"/>
          <w:bCs/>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722FFC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34BB8FF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三、基金收益分配原则、执行方式</w:t>
      </w:r>
    </w:p>
    <w:p w14:paraId="1A8E0D2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（一）基金收益分配原则</w:t>
      </w:r>
    </w:p>
    <w:p w14:paraId="569B93F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、在符合有关基金分红条件的前提下，本基金每年收益分配次数最多为</w:t>
      </w:r>
      <w:r w:rsidRPr="00CA3FD3">
        <w:rPr>
          <w:rFonts w:ascii="Times New Roman" w:hAnsi="宋体" w:cs="Times New Roman" w:hint="eastAsia"/>
          <w:bCs/>
        </w:rPr>
        <w:t>12</w:t>
      </w:r>
      <w:r w:rsidRPr="00CA3FD3">
        <w:rPr>
          <w:rFonts w:ascii="Times New Roman" w:hAnsi="宋体" w:cs="Times New Roman" w:hint="eastAsia"/>
          <w:bCs/>
        </w:rPr>
        <w:t>次，每份基金份额每次基金收益分配比例不得低于基金收益分配基准日每份基金份额可供分配利润的</w:t>
      </w:r>
      <w:r w:rsidRPr="00CA3FD3">
        <w:rPr>
          <w:rFonts w:ascii="Times New Roman" w:hAnsi="宋体" w:cs="Times New Roman" w:hint="eastAsia"/>
          <w:bCs/>
        </w:rPr>
        <w:t>10%</w:t>
      </w:r>
      <w:r w:rsidRPr="00CA3FD3">
        <w:rPr>
          <w:rFonts w:ascii="Times New Roman" w:hAnsi="宋体" w:cs="Times New Roman" w:hint="eastAsia"/>
          <w:bCs/>
        </w:rPr>
        <w:t>，若《基金合同》生效不满</w:t>
      </w:r>
      <w:r w:rsidRPr="00CA3FD3">
        <w:rPr>
          <w:rFonts w:ascii="Times New Roman" w:hAnsi="宋体" w:cs="Times New Roman" w:hint="eastAsia"/>
          <w:bCs/>
        </w:rPr>
        <w:t>3</w:t>
      </w:r>
      <w:r w:rsidRPr="00CA3FD3">
        <w:rPr>
          <w:rFonts w:ascii="Times New Roman" w:hAnsi="宋体" w:cs="Times New Roman" w:hint="eastAsia"/>
          <w:bCs/>
        </w:rPr>
        <w:t>个月可不进行收益分配；</w:t>
      </w:r>
    </w:p>
    <w:p w14:paraId="298956A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、本基金收益分配方式分两种：现金分红与红利再投资，投资人可选择现金红利或将现金红利自动转为相应类别的基金份额进行再投资；若投资人不选择，本基金默认的收益分配方式是现金分红；</w:t>
      </w:r>
    </w:p>
    <w:p w14:paraId="14CE4DA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、基金收益分配后基金份额净值不能低于面值；即基金收益分配基准日的基金份额净值减去每单位基金份额收益分配金额后不能低于面值。</w:t>
      </w:r>
    </w:p>
    <w:p w14:paraId="4985418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4</w:t>
      </w:r>
      <w:r w:rsidRPr="00CA3FD3">
        <w:rPr>
          <w:rFonts w:ascii="Times New Roman" w:hAnsi="宋体" w:cs="Times New Roman" w:hint="eastAsia"/>
          <w:bCs/>
        </w:rPr>
        <w:t>、同一类别内每一基金份额享有同等分配权；</w:t>
      </w:r>
    </w:p>
    <w:p w14:paraId="1830A82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5</w:t>
      </w:r>
      <w:r w:rsidRPr="00CA3FD3">
        <w:rPr>
          <w:rFonts w:ascii="Times New Roman" w:hAnsi="宋体" w:cs="Times New Roman" w:hint="eastAsia"/>
          <w:bCs/>
        </w:rPr>
        <w:t>、法律法规或监管机关另有规定的，从其规定。</w:t>
      </w:r>
    </w:p>
    <w:p w14:paraId="1DB073A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14:paraId="1552AFE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（二）收益分配方案</w:t>
      </w:r>
    </w:p>
    <w:p w14:paraId="20340F8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lastRenderedPageBreak/>
        <w:t>基金收益分配方案中应载明截止收益分配基准日的可供分配利润、基金收益分配对象、分配时间、分配数额及比例、分配方式等内容。</w:t>
      </w:r>
    </w:p>
    <w:p w14:paraId="0843C41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（三）收益分配方案的确定、公告与实施</w:t>
      </w:r>
    </w:p>
    <w:p w14:paraId="2AC6ACB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本基金收益分配方案由基金管理人拟定，并由基金托管人复核，在</w:t>
      </w:r>
      <w:r w:rsidRPr="00CA3FD3">
        <w:rPr>
          <w:rFonts w:ascii="Times New Roman" w:hAnsi="宋体" w:cs="Times New Roman" w:hint="eastAsia"/>
          <w:bCs/>
        </w:rPr>
        <w:t>2</w:t>
      </w:r>
      <w:r w:rsidRPr="00CA3FD3">
        <w:rPr>
          <w:rFonts w:ascii="Times New Roman" w:hAnsi="宋体" w:cs="Times New Roman" w:hint="eastAsia"/>
          <w:bCs/>
        </w:rPr>
        <w:t>日内在指定媒介公告。</w:t>
      </w:r>
    </w:p>
    <w:p w14:paraId="22DC430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7703D12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四、基金费用与税收</w:t>
      </w:r>
    </w:p>
    <w:p w14:paraId="687CE50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（一）基金费用的种类</w:t>
      </w:r>
    </w:p>
    <w:p w14:paraId="1A6ACED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、基金管理人的管理费；</w:t>
      </w:r>
    </w:p>
    <w:p w14:paraId="0E8E597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、基金托管人的托管费；</w:t>
      </w:r>
    </w:p>
    <w:p w14:paraId="060ADCA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、从</w:t>
      </w:r>
      <w:r w:rsidRPr="00CA3FD3">
        <w:rPr>
          <w:rFonts w:ascii="Times New Roman" w:hAnsi="宋体" w:cs="Times New Roman" w:hint="eastAsia"/>
          <w:bCs/>
        </w:rPr>
        <w:t>C</w:t>
      </w:r>
      <w:r w:rsidRPr="00CA3FD3">
        <w:rPr>
          <w:rFonts w:ascii="Times New Roman" w:hAnsi="宋体" w:cs="Times New Roman" w:hint="eastAsia"/>
          <w:bCs/>
        </w:rPr>
        <w:t>类基金份额的基金财产中计提的销售服务费；</w:t>
      </w:r>
    </w:p>
    <w:p w14:paraId="69BFFC3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4</w:t>
      </w:r>
      <w:r w:rsidRPr="00CA3FD3">
        <w:rPr>
          <w:rFonts w:ascii="Times New Roman" w:hAnsi="宋体" w:cs="Times New Roman" w:hint="eastAsia"/>
          <w:bCs/>
        </w:rPr>
        <w:t>、《基金合同》生效后与基金相关的信息披露费用；</w:t>
      </w:r>
    </w:p>
    <w:p w14:paraId="053C768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5</w:t>
      </w:r>
      <w:r w:rsidRPr="00CA3FD3">
        <w:rPr>
          <w:rFonts w:ascii="Times New Roman" w:hAnsi="宋体" w:cs="Times New Roman" w:hint="eastAsia"/>
          <w:bCs/>
        </w:rPr>
        <w:t>《基金合同》生效后与基金相关的会计师费、律师费、诉讼费和仲裁费；</w:t>
      </w:r>
    </w:p>
    <w:p w14:paraId="7B9B954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6</w:t>
      </w:r>
      <w:r w:rsidRPr="00CA3FD3">
        <w:rPr>
          <w:rFonts w:ascii="Times New Roman" w:hAnsi="宋体" w:cs="Times New Roman" w:hint="eastAsia"/>
          <w:bCs/>
        </w:rPr>
        <w:t>、基金份额持有人大会费用；</w:t>
      </w:r>
    </w:p>
    <w:p w14:paraId="1ABB5B4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7</w:t>
      </w:r>
      <w:r w:rsidRPr="00CA3FD3">
        <w:rPr>
          <w:rFonts w:ascii="Times New Roman" w:hAnsi="宋体" w:cs="Times New Roman" w:hint="eastAsia"/>
          <w:bCs/>
        </w:rPr>
        <w:t>、基金的证券</w:t>
      </w:r>
      <w:r w:rsidRPr="00CA3FD3">
        <w:rPr>
          <w:rFonts w:ascii="Times New Roman" w:hAnsi="宋体" w:cs="Times New Roman" w:hint="eastAsia"/>
          <w:bCs/>
        </w:rPr>
        <w:t>/</w:t>
      </w:r>
      <w:r w:rsidRPr="00CA3FD3">
        <w:rPr>
          <w:rFonts w:ascii="Times New Roman" w:hAnsi="宋体" w:cs="Times New Roman" w:hint="eastAsia"/>
          <w:bCs/>
        </w:rPr>
        <w:t>期货交易费用；</w:t>
      </w:r>
    </w:p>
    <w:p w14:paraId="20AA78F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8</w:t>
      </w:r>
      <w:r w:rsidRPr="00CA3FD3">
        <w:rPr>
          <w:rFonts w:ascii="Times New Roman" w:hAnsi="宋体" w:cs="Times New Roman" w:hint="eastAsia"/>
          <w:bCs/>
        </w:rPr>
        <w:t>、基金的银行汇划费用；</w:t>
      </w:r>
    </w:p>
    <w:p w14:paraId="46EF1CA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9</w:t>
      </w:r>
      <w:r w:rsidRPr="00CA3FD3">
        <w:rPr>
          <w:rFonts w:ascii="Times New Roman" w:hAnsi="宋体" w:cs="Times New Roman" w:hint="eastAsia"/>
          <w:bCs/>
        </w:rPr>
        <w:t>、基金相关账户的开户及维护费用；</w:t>
      </w:r>
    </w:p>
    <w:p w14:paraId="5E2A2D3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10</w:t>
      </w:r>
      <w:r w:rsidRPr="00CA3FD3">
        <w:rPr>
          <w:rFonts w:ascii="Times New Roman" w:hAnsi="宋体" w:cs="Times New Roman" w:hint="eastAsia"/>
          <w:bCs/>
        </w:rPr>
        <w:t>、因参与转融通证券出借业务而产生的各项合理费用；</w:t>
      </w:r>
    </w:p>
    <w:p w14:paraId="1315AA4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11</w:t>
      </w:r>
      <w:r w:rsidRPr="00CA3FD3">
        <w:rPr>
          <w:rFonts w:ascii="Times New Roman" w:hAnsi="宋体" w:cs="Times New Roman" w:hint="eastAsia"/>
          <w:bCs/>
        </w:rPr>
        <w:t>、按照国家有关规定和《基金合同》约定，可以在基金财产中列支的其他费用。</w:t>
      </w:r>
    </w:p>
    <w:p w14:paraId="4132B6C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（二）基金费用计提方法、计提标准和支付方式</w:t>
      </w:r>
    </w:p>
    <w:p w14:paraId="519A6DE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、基金管理人的管理费</w:t>
      </w:r>
      <w:r w:rsidRPr="00CA3FD3">
        <w:rPr>
          <w:rFonts w:ascii="Times New Roman" w:hAnsi="宋体" w:cs="Times New Roman" w:hint="eastAsia"/>
          <w:bCs/>
        </w:rPr>
        <w:t xml:space="preserve"> </w:t>
      </w:r>
    </w:p>
    <w:p w14:paraId="2C76CB3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本</w:t>
      </w:r>
      <w:proofErr w:type="gramStart"/>
      <w:r w:rsidRPr="00CA3FD3">
        <w:rPr>
          <w:rFonts w:ascii="Times New Roman" w:hAnsi="宋体" w:cs="Times New Roman" w:hint="eastAsia"/>
          <w:bCs/>
        </w:rPr>
        <w:t>基金基金</w:t>
      </w:r>
      <w:proofErr w:type="gramEnd"/>
      <w:r w:rsidRPr="00CA3FD3">
        <w:rPr>
          <w:rFonts w:ascii="Times New Roman" w:hAnsi="宋体" w:cs="Times New Roman" w:hint="eastAsia"/>
          <w:bCs/>
        </w:rPr>
        <w:t>财产中投资于目标</w:t>
      </w:r>
      <w:r w:rsidRPr="00CA3FD3">
        <w:rPr>
          <w:rFonts w:ascii="Times New Roman" w:hAnsi="宋体" w:cs="Times New Roman" w:hint="eastAsia"/>
          <w:bCs/>
        </w:rPr>
        <w:t>ETF</w:t>
      </w:r>
      <w:r w:rsidRPr="00CA3FD3">
        <w:rPr>
          <w:rFonts w:ascii="Times New Roman" w:hAnsi="宋体" w:cs="Times New Roman" w:hint="eastAsia"/>
          <w:bCs/>
        </w:rPr>
        <w:t>的部分不收取管理费。本基金的管理费按前一日基金资产净值扣除所持有目标</w:t>
      </w:r>
      <w:r w:rsidRPr="00CA3FD3">
        <w:rPr>
          <w:rFonts w:ascii="Times New Roman" w:hAnsi="宋体" w:cs="Times New Roman" w:hint="eastAsia"/>
          <w:bCs/>
        </w:rPr>
        <w:t>ETF</w:t>
      </w:r>
      <w:r w:rsidRPr="00CA3FD3">
        <w:rPr>
          <w:rFonts w:ascii="Times New Roman" w:hAnsi="宋体" w:cs="Times New Roman" w:hint="eastAsia"/>
          <w:bCs/>
        </w:rPr>
        <w:t>基金份额部分基金资产后的余额（若为负数，则取</w:t>
      </w:r>
      <w:r w:rsidRPr="00CA3FD3">
        <w:rPr>
          <w:rFonts w:ascii="Times New Roman" w:hAnsi="宋体" w:cs="Times New Roman" w:hint="eastAsia"/>
          <w:bCs/>
        </w:rPr>
        <w:t>0</w:t>
      </w:r>
      <w:r w:rsidRPr="00CA3FD3">
        <w:rPr>
          <w:rFonts w:ascii="Times New Roman" w:hAnsi="宋体" w:cs="Times New Roman" w:hint="eastAsia"/>
          <w:bCs/>
        </w:rPr>
        <w:t>）的</w:t>
      </w:r>
      <w:r w:rsidRPr="00CA3FD3">
        <w:rPr>
          <w:rFonts w:ascii="Times New Roman" w:hAnsi="宋体" w:cs="Times New Roman" w:hint="eastAsia"/>
          <w:bCs/>
        </w:rPr>
        <w:t>0.5%</w:t>
      </w:r>
      <w:r w:rsidRPr="00CA3FD3">
        <w:rPr>
          <w:rFonts w:ascii="Times New Roman" w:hAnsi="宋体" w:cs="Times New Roman" w:hint="eastAsia"/>
          <w:bCs/>
        </w:rPr>
        <w:t>年费率计提。管理费的计算方法如下：</w:t>
      </w:r>
    </w:p>
    <w:p w14:paraId="645F2C2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H</w:t>
      </w:r>
      <w:r w:rsidRPr="00CA3FD3">
        <w:rPr>
          <w:rFonts w:ascii="Times New Roman" w:hAnsi="宋体" w:cs="Times New Roman" w:hint="eastAsia"/>
          <w:bCs/>
        </w:rPr>
        <w:t>＝</w:t>
      </w:r>
      <w:r w:rsidRPr="00CA3FD3">
        <w:rPr>
          <w:rFonts w:ascii="Times New Roman" w:hAnsi="宋体" w:cs="Times New Roman" w:hint="eastAsia"/>
          <w:bCs/>
        </w:rPr>
        <w:t>E</w:t>
      </w:r>
      <w:r w:rsidRPr="00CA3FD3">
        <w:rPr>
          <w:rFonts w:ascii="Times New Roman" w:hAnsi="宋体" w:cs="Times New Roman" w:hint="eastAsia"/>
          <w:bCs/>
        </w:rPr>
        <w:t>×</w:t>
      </w:r>
      <w:r w:rsidRPr="00CA3FD3">
        <w:rPr>
          <w:rFonts w:ascii="Times New Roman" w:hAnsi="宋体" w:cs="Times New Roman" w:hint="eastAsia"/>
          <w:bCs/>
        </w:rPr>
        <w:t>0.5%</w:t>
      </w:r>
      <w:r w:rsidRPr="00CA3FD3">
        <w:rPr>
          <w:rFonts w:ascii="Times New Roman" w:hAnsi="宋体" w:cs="Times New Roman" w:hint="eastAsia"/>
          <w:bCs/>
        </w:rPr>
        <w:t>÷当年天数</w:t>
      </w:r>
    </w:p>
    <w:p w14:paraId="322E14A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H</w:t>
      </w:r>
      <w:r w:rsidRPr="00CA3FD3">
        <w:rPr>
          <w:rFonts w:ascii="Times New Roman" w:hAnsi="宋体" w:cs="Times New Roman" w:hint="eastAsia"/>
          <w:bCs/>
        </w:rPr>
        <w:t>为每日应计提的基金管理费</w:t>
      </w:r>
    </w:p>
    <w:p w14:paraId="2CDB633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E</w:t>
      </w:r>
      <w:r w:rsidRPr="00CA3FD3">
        <w:rPr>
          <w:rFonts w:ascii="Times New Roman" w:hAnsi="宋体" w:cs="Times New Roman" w:hint="eastAsia"/>
          <w:bCs/>
        </w:rPr>
        <w:t>为前一日的基金资产净值扣除前一日所持有目标</w:t>
      </w:r>
      <w:r w:rsidRPr="00CA3FD3">
        <w:rPr>
          <w:rFonts w:ascii="Times New Roman" w:hAnsi="宋体" w:cs="Times New Roman" w:hint="eastAsia"/>
          <w:bCs/>
        </w:rPr>
        <w:t>ETF</w:t>
      </w:r>
      <w:r w:rsidRPr="00CA3FD3">
        <w:rPr>
          <w:rFonts w:ascii="Times New Roman" w:hAnsi="宋体" w:cs="Times New Roman" w:hint="eastAsia"/>
          <w:bCs/>
        </w:rPr>
        <w:t>基金份额部分基金资产（若为负数，则</w:t>
      </w:r>
      <w:r w:rsidRPr="00CA3FD3">
        <w:rPr>
          <w:rFonts w:ascii="Times New Roman" w:hAnsi="宋体" w:cs="Times New Roman" w:hint="eastAsia"/>
          <w:bCs/>
        </w:rPr>
        <w:t>E</w:t>
      </w:r>
      <w:r w:rsidRPr="00CA3FD3">
        <w:rPr>
          <w:rFonts w:ascii="Times New Roman" w:hAnsi="宋体" w:cs="Times New Roman" w:hint="eastAsia"/>
          <w:bCs/>
        </w:rPr>
        <w:t>取</w:t>
      </w:r>
      <w:r w:rsidRPr="00CA3FD3">
        <w:rPr>
          <w:rFonts w:ascii="Times New Roman" w:hAnsi="宋体" w:cs="Times New Roman" w:hint="eastAsia"/>
          <w:bCs/>
        </w:rPr>
        <w:t>0</w:t>
      </w:r>
      <w:r w:rsidRPr="00CA3FD3">
        <w:rPr>
          <w:rFonts w:ascii="Times New Roman" w:hAnsi="宋体" w:cs="Times New Roman" w:hint="eastAsia"/>
          <w:bCs/>
        </w:rPr>
        <w:t>）</w:t>
      </w:r>
    </w:p>
    <w:p w14:paraId="777A54A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基金管理费每日计算，逐日累计至每月月末，按月支付，托管人与管理人核对一致后，由托管人根据管理人指令或者双方约定的方式在月初</w:t>
      </w:r>
      <w:r w:rsidRPr="00CA3FD3">
        <w:rPr>
          <w:rFonts w:ascii="Times New Roman" w:hAnsi="宋体" w:cs="Times New Roman" w:hint="eastAsia"/>
          <w:bCs/>
        </w:rPr>
        <w:t>5</w:t>
      </w:r>
      <w:proofErr w:type="gramStart"/>
      <w:r w:rsidRPr="00CA3FD3">
        <w:rPr>
          <w:rFonts w:ascii="Times New Roman" w:hAnsi="宋体" w:cs="Times New Roman" w:hint="eastAsia"/>
          <w:bCs/>
        </w:rPr>
        <w:t>个</w:t>
      </w:r>
      <w:proofErr w:type="gramEnd"/>
      <w:r w:rsidRPr="00CA3FD3">
        <w:rPr>
          <w:rFonts w:ascii="Times New Roman" w:hAnsi="宋体" w:cs="Times New Roman" w:hint="eastAsia"/>
          <w:bCs/>
        </w:rPr>
        <w:t>工作日内、按照指定的账户路径进行资金支付。若遇法定节假日、公休日等，支付日期顺延。费用扣划后，管理人应进行核对，如发现数据不符，及时联系托管人协商解决。</w:t>
      </w:r>
    </w:p>
    <w:p w14:paraId="2B0E676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、基金托管人的托管费</w:t>
      </w:r>
    </w:p>
    <w:p w14:paraId="62A2BC0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本</w:t>
      </w:r>
      <w:proofErr w:type="gramStart"/>
      <w:r w:rsidRPr="00CA3FD3">
        <w:rPr>
          <w:rFonts w:ascii="Times New Roman" w:hAnsi="宋体" w:cs="Times New Roman" w:hint="eastAsia"/>
          <w:bCs/>
        </w:rPr>
        <w:t>基金基金</w:t>
      </w:r>
      <w:proofErr w:type="gramEnd"/>
      <w:r w:rsidRPr="00CA3FD3">
        <w:rPr>
          <w:rFonts w:ascii="Times New Roman" w:hAnsi="宋体" w:cs="Times New Roman" w:hint="eastAsia"/>
          <w:bCs/>
        </w:rPr>
        <w:t>财产中投资于目标</w:t>
      </w:r>
      <w:r w:rsidRPr="00CA3FD3">
        <w:rPr>
          <w:rFonts w:ascii="Times New Roman" w:hAnsi="宋体" w:cs="Times New Roman" w:hint="eastAsia"/>
          <w:bCs/>
        </w:rPr>
        <w:t>ETF</w:t>
      </w:r>
      <w:r w:rsidRPr="00CA3FD3">
        <w:rPr>
          <w:rFonts w:ascii="Times New Roman" w:hAnsi="宋体" w:cs="Times New Roman" w:hint="eastAsia"/>
          <w:bCs/>
        </w:rPr>
        <w:t>的部分不收取托管费。基金的托管费按前一日基金资</w:t>
      </w:r>
      <w:r w:rsidRPr="00CA3FD3">
        <w:rPr>
          <w:rFonts w:ascii="Times New Roman" w:hAnsi="宋体" w:cs="Times New Roman" w:hint="eastAsia"/>
          <w:bCs/>
        </w:rPr>
        <w:lastRenderedPageBreak/>
        <w:t>产净值扣除所持有目标</w:t>
      </w:r>
      <w:r w:rsidRPr="00CA3FD3">
        <w:rPr>
          <w:rFonts w:ascii="Times New Roman" w:hAnsi="宋体" w:cs="Times New Roman" w:hint="eastAsia"/>
          <w:bCs/>
        </w:rPr>
        <w:t>ETF</w:t>
      </w:r>
      <w:r w:rsidRPr="00CA3FD3">
        <w:rPr>
          <w:rFonts w:ascii="Times New Roman" w:hAnsi="宋体" w:cs="Times New Roman" w:hint="eastAsia"/>
          <w:bCs/>
        </w:rPr>
        <w:t>基金份额部分基金资产后的余额（若为负数，则取</w:t>
      </w:r>
      <w:r w:rsidRPr="00CA3FD3">
        <w:rPr>
          <w:rFonts w:ascii="Times New Roman" w:hAnsi="宋体" w:cs="Times New Roman" w:hint="eastAsia"/>
          <w:bCs/>
        </w:rPr>
        <w:t>0</w:t>
      </w:r>
      <w:r w:rsidRPr="00CA3FD3">
        <w:rPr>
          <w:rFonts w:ascii="Times New Roman" w:hAnsi="宋体" w:cs="Times New Roman" w:hint="eastAsia"/>
          <w:bCs/>
        </w:rPr>
        <w:t>）的</w:t>
      </w:r>
      <w:r w:rsidRPr="00CA3FD3">
        <w:rPr>
          <w:rFonts w:ascii="Times New Roman" w:hAnsi="宋体" w:cs="Times New Roman" w:hint="eastAsia"/>
          <w:bCs/>
        </w:rPr>
        <w:t>0.1%</w:t>
      </w:r>
      <w:r w:rsidRPr="00CA3FD3">
        <w:rPr>
          <w:rFonts w:ascii="Times New Roman" w:hAnsi="宋体" w:cs="Times New Roman" w:hint="eastAsia"/>
          <w:bCs/>
        </w:rPr>
        <w:t>的年费率计提。托管费的计算方法如下：</w:t>
      </w:r>
    </w:p>
    <w:p w14:paraId="1813526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H</w:t>
      </w:r>
      <w:r w:rsidRPr="00CA3FD3">
        <w:rPr>
          <w:rFonts w:ascii="Times New Roman" w:hAnsi="宋体" w:cs="Times New Roman" w:hint="eastAsia"/>
          <w:bCs/>
        </w:rPr>
        <w:t>＝</w:t>
      </w:r>
      <w:r w:rsidRPr="00CA3FD3">
        <w:rPr>
          <w:rFonts w:ascii="Times New Roman" w:hAnsi="宋体" w:cs="Times New Roman" w:hint="eastAsia"/>
          <w:bCs/>
        </w:rPr>
        <w:t>E</w:t>
      </w:r>
      <w:r w:rsidRPr="00CA3FD3">
        <w:rPr>
          <w:rFonts w:ascii="Times New Roman" w:hAnsi="宋体" w:cs="Times New Roman" w:hint="eastAsia"/>
          <w:bCs/>
        </w:rPr>
        <w:t>×</w:t>
      </w:r>
      <w:r w:rsidRPr="00CA3FD3">
        <w:rPr>
          <w:rFonts w:ascii="Times New Roman" w:hAnsi="宋体" w:cs="Times New Roman" w:hint="eastAsia"/>
          <w:bCs/>
        </w:rPr>
        <w:t>0.1%</w:t>
      </w:r>
      <w:r w:rsidRPr="00CA3FD3">
        <w:rPr>
          <w:rFonts w:ascii="Times New Roman" w:hAnsi="宋体" w:cs="Times New Roman" w:hint="eastAsia"/>
          <w:bCs/>
        </w:rPr>
        <w:t>÷当年天数</w:t>
      </w:r>
    </w:p>
    <w:p w14:paraId="384DCDD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H</w:t>
      </w:r>
      <w:r w:rsidRPr="00CA3FD3">
        <w:rPr>
          <w:rFonts w:ascii="Times New Roman" w:hAnsi="宋体" w:cs="Times New Roman" w:hint="eastAsia"/>
          <w:bCs/>
        </w:rPr>
        <w:t>为每日应计提的基金托管费</w:t>
      </w:r>
    </w:p>
    <w:p w14:paraId="1BDE1AA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E</w:t>
      </w:r>
      <w:r w:rsidRPr="00CA3FD3">
        <w:rPr>
          <w:rFonts w:ascii="Times New Roman" w:hAnsi="宋体" w:cs="Times New Roman" w:hint="eastAsia"/>
          <w:bCs/>
        </w:rPr>
        <w:t>为前一日的基金资产净值扣除所持有目标</w:t>
      </w:r>
      <w:r w:rsidRPr="00CA3FD3">
        <w:rPr>
          <w:rFonts w:ascii="Times New Roman" w:hAnsi="宋体" w:cs="Times New Roman" w:hint="eastAsia"/>
          <w:bCs/>
        </w:rPr>
        <w:t>ETF</w:t>
      </w:r>
      <w:r w:rsidRPr="00CA3FD3">
        <w:rPr>
          <w:rFonts w:ascii="Times New Roman" w:hAnsi="宋体" w:cs="Times New Roman" w:hint="eastAsia"/>
          <w:bCs/>
        </w:rPr>
        <w:t>基金份额部分基金资产后的余额（若为负数，则取</w:t>
      </w:r>
      <w:r w:rsidRPr="00CA3FD3">
        <w:rPr>
          <w:rFonts w:ascii="Times New Roman" w:hAnsi="宋体" w:cs="Times New Roman" w:hint="eastAsia"/>
          <w:bCs/>
        </w:rPr>
        <w:t>0</w:t>
      </w:r>
      <w:r w:rsidRPr="00CA3FD3">
        <w:rPr>
          <w:rFonts w:ascii="Times New Roman" w:hAnsi="宋体" w:cs="Times New Roman" w:hint="eastAsia"/>
          <w:bCs/>
        </w:rPr>
        <w:t>）</w:t>
      </w:r>
    </w:p>
    <w:p w14:paraId="32B0597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基金托管费每日计算，逐日累计至每月月末，按月支付，托管人与管理人核对一致后，由托管人根据管理人指令或者双方约定的方式在月初</w:t>
      </w:r>
      <w:r w:rsidRPr="00CA3FD3">
        <w:rPr>
          <w:rFonts w:ascii="Times New Roman" w:hAnsi="宋体" w:cs="Times New Roman" w:hint="eastAsia"/>
          <w:bCs/>
        </w:rPr>
        <w:t>5</w:t>
      </w:r>
      <w:proofErr w:type="gramStart"/>
      <w:r w:rsidRPr="00CA3FD3">
        <w:rPr>
          <w:rFonts w:ascii="Times New Roman" w:hAnsi="宋体" w:cs="Times New Roman" w:hint="eastAsia"/>
          <w:bCs/>
        </w:rPr>
        <w:t>个</w:t>
      </w:r>
      <w:proofErr w:type="gramEnd"/>
      <w:r w:rsidRPr="00CA3FD3">
        <w:rPr>
          <w:rFonts w:ascii="Times New Roman" w:hAnsi="宋体" w:cs="Times New Roman" w:hint="eastAsia"/>
          <w:bCs/>
        </w:rPr>
        <w:t>工作日内、按照指定的账户路径进行资金支付。若遇法定节假日、公休日等，支付日期顺延。费用扣划后，管理人应进行核对，如发现数据不符，及时联系托管人协商解决。</w:t>
      </w:r>
    </w:p>
    <w:p w14:paraId="326444C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、从</w:t>
      </w:r>
      <w:r w:rsidRPr="00CA3FD3">
        <w:rPr>
          <w:rFonts w:ascii="Times New Roman" w:hAnsi="宋体" w:cs="Times New Roman" w:hint="eastAsia"/>
          <w:bCs/>
        </w:rPr>
        <w:t>C</w:t>
      </w:r>
      <w:r w:rsidRPr="00CA3FD3">
        <w:rPr>
          <w:rFonts w:ascii="Times New Roman" w:hAnsi="宋体" w:cs="Times New Roman" w:hint="eastAsia"/>
          <w:bCs/>
        </w:rPr>
        <w:t>类基金份额的基金财产中计提的销售服务费</w:t>
      </w:r>
    </w:p>
    <w:p w14:paraId="4BAF626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本基金</w:t>
      </w:r>
      <w:r w:rsidRPr="00CA3FD3">
        <w:rPr>
          <w:rFonts w:ascii="Times New Roman" w:hAnsi="宋体" w:cs="Times New Roman" w:hint="eastAsia"/>
          <w:bCs/>
        </w:rPr>
        <w:t>A</w:t>
      </w:r>
      <w:r w:rsidRPr="00CA3FD3">
        <w:rPr>
          <w:rFonts w:ascii="Times New Roman" w:hAnsi="宋体" w:cs="Times New Roman" w:hint="eastAsia"/>
          <w:bCs/>
        </w:rPr>
        <w:t>类基金份额不收取销售服务费，</w:t>
      </w:r>
      <w:r w:rsidRPr="00CA3FD3">
        <w:rPr>
          <w:rFonts w:ascii="Times New Roman" w:hAnsi="宋体" w:cs="Times New Roman" w:hint="eastAsia"/>
          <w:bCs/>
        </w:rPr>
        <w:t>C</w:t>
      </w:r>
      <w:r w:rsidRPr="00CA3FD3">
        <w:rPr>
          <w:rFonts w:ascii="Times New Roman" w:hAnsi="宋体" w:cs="Times New Roman" w:hint="eastAsia"/>
          <w:bCs/>
        </w:rPr>
        <w:t>类基金份额的销售服务费年费率为</w:t>
      </w:r>
      <w:r w:rsidRPr="00CA3FD3">
        <w:rPr>
          <w:rFonts w:ascii="Times New Roman" w:hAnsi="宋体" w:cs="Times New Roman" w:hint="eastAsia"/>
          <w:bCs/>
        </w:rPr>
        <w:t>0.4%</w:t>
      </w:r>
      <w:r w:rsidRPr="00CA3FD3">
        <w:rPr>
          <w:rFonts w:ascii="Times New Roman" w:hAnsi="宋体" w:cs="Times New Roman" w:hint="eastAsia"/>
          <w:bCs/>
        </w:rPr>
        <w:t>。本基金销售服务费按前一日</w:t>
      </w:r>
      <w:r w:rsidRPr="00CA3FD3">
        <w:rPr>
          <w:rFonts w:ascii="Times New Roman" w:hAnsi="宋体" w:cs="Times New Roman" w:hint="eastAsia"/>
          <w:bCs/>
        </w:rPr>
        <w:t>C</w:t>
      </w:r>
      <w:r w:rsidRPr="00CA3FD3">
        <w:rPr>
          <w:rFonts w:ascii="Times New Roman" w:hAnsi="宋体" w:cs="Times New Roman" w:hint="eastAsia"/>
          <w:bCs/>
        </w:rPr>
        <w:t>类基金份额的基金资产净值的</w:t>
      </w:r>
      <w:r w:rsidRPr="00CA3FD3">
        <w:rPr>
          <w:rFonts w:ascii="Times New Roman" w:hAnsi="宋体" w:cs="Times New Roman" w:hint="eastAsia"/>
          <w:bCs/>
        </w:rPr>
        <w:t>0.4%</w:t>
      </w:r>
      <w:r w:rsidRPr="00CA3FD3">
        <w:rPr>
          <w:rFonts w:ascii="Times New Roman" w:hAnsi="宋体" w:cs="Times New Roman" w:hint="eastAsia"/>
          <w:bCs/>
        </w:rPr>
        <w:t>年费率计提。计算方法如下：</w:t>
      </w:r>
    </w:p>
    <w:p w14:paraId="225E062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H</w:t>
      </w:r>
      <w:r w:rsidRPr="00CA3FD3">
        <w:rPr>
          <w:rFonts w:ascii="Times New Roman" w:hAnsi="宋体" w:cs="Times New Roman" w:hint="eastAsia"/>
          <w:bCs/>
        </w:rPr>
        <w:t>＝</w:t>
      </w:r>
      <w:r w:rsidRPr="00CA3FD3">
        <w:rPr>
          <w:rFonts w:ascii="Times New Roman" w:hAnsi="宋体" w:cs="Times New Roman" w:hint="eastAsia"/>
          <w:bCs/>
        </w:rPr>
        <w:t>E</w:t>
      </w:r>
      <w:r w:rsidRPr="00CA3FD3">
        <w:rPr>
          <w:rFonts w:ascii="Times New Roman" w:hAnsi="宋体" w:cs="Times New Roman" w:hint="eastAsia"/>
          <w:bCs/>
        </w:rPr>
        <w:t>×年销售服务费率÷当年天数</w:t>
      </w:r>
    </w:p>
    <w:p w14:paraId="0C1E8A4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H</w:t>
      </w:r>
      <w:r w:rsidRPr="00CA3FD3">
        <w:rPr>
          <w:rFonts w:ascii="Times New Roman" w:hAnsi="宋体" w:cs="Times New Roman" w:hint="eastAsia"/>
          <w:bCs/>
        </w:rPr>
        <w:t>为</w:t>
      </w:r>
      <w:r w:rsidRPr="00CA3FD3">
        <w:rPr>
          <w:rFonts w:ascii="Times New Roman" w:hAnsi="宋体" w:cs="Times New Roman" w:hint="eastAsia"/>
          <w:bCs/>
        </w:rPr>
        <w:t>C</w:t>
      </w:r>
      <w:r w:rsidRPr="00CA3FD3">
        <w:rPr>
          <w:rFonts w:ascii="Times New Roman" w:hAnsi="宋体" w:cs="Times New Roman" w:hint="eastAsia"/>
          <w:bCs/>
        </w:rPr>
        <w:t>类基金份额每日应计提的基金销售服务费</w:t>
      </w:r>
    </w:p>
    <w:p w14:paraId="0AAC125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E</w:t>
      </w:r>
      <w:r w:rsidRPr="00CA3FD3">
        <w:rPr>
          <w:rFonts w:ascii="Times New Roman" w:hAnsi="宋体" w:cs="Times New Roman" w:hint="eastAsia"/>
          <w:bCs/>
        </w:rPr>
        <w:t>为</w:t>
      </w:r>
      <w:r w:rsidRPr="00CA3FD3">
        <w:rPr>
          <w:rFonts w:ascii="Times New Roman" w:hAnsi="宋体" w:cs="Times New Roman" w:hint="eastAsia"/>
          <w:bCs/>
        </w:rPr>
        <w:t>C</w:t>
      </w:r>
      <w:r w:rsidRPr="00CA3FD3">
        <w:rPr>
          <w:rFonts w:ascii="Times New Roman" w:hAnsi="宋体" w:cs="Times New Roman" w:hint="eastAsia"/>
          <w:bCs/>
        </w:rPr>
        <w:t>类基金份额前一日基金资产净值</w:t>
      </w:r>
    </w:p>
    <w:p w14:paraId="0648B58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销售服务费每日计算，逐日累计至每月月末，按月支付，托管人与管理人核对一致后，由托管人根据管理人指令或者双方约定的方式在月初</w:t>
      </w:r>
      <w:r w:rsidRPr="00CA3FD3">
        <w:rPr>
          <w:rFonts w:ascii="Times New Roman" w:hAnsi="宋体" w:cs="Times New Roman" w:hint="eastAsia"/>
          <w:bCs/>
        </w:rPr>
        <w:t>5</w:t>
      </w:r>
      <w:proofErr w:type="gramStart"/>
      <w:r w:rsidRPr="00CA3FD3">
        <w:rPr>
          <w:rFonts w:ascii="Times New Roman" w:hAnsi="宋体" w:cs="Times New Roman" w:hint="eastAsia"/>
          <w:bCs/>
        </w:rPr>
        <w:t>个</w:t>
      </w:r>
      <w:proofErr w:type="gramEnd"/>
      <w:r w:rsidRPr="00CA3FD3">
        <w:rPr>
          <w:rFonts w:ascii="Times New Roman" w:hAnsi="宋体" w:cs="Times New Roman" w:hint="eastAsia"/>
          <w:bCs/>
        </w:rPr>
        <w:t>工作日内、按照指定的账户路径进行资金支付。若遇法定节假日、公休日等，支付日期顺延。费用扣划后，管理人应进行核对，如发现数据不符，及时联系托管人协商解决。</w:t>
      </w:r>
    </w:p>
    <w:p w14:paraId="2E68C3A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0427903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五、基金财产的投资范围和投资限制</w:t>
      </w:r>
    </w:p>
    <w:p w14:paraId="7CD3D1E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（一）投资范围</w:t>
      </w:r>
    </w:p>
    <w:p w14:paraId="6527D7BD" w14:textId="6FBD29A9"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本基金主要投资于目标</w:t>
      </w:r>
      <w:r w:rsidRPr="00CA3FD3">
        <w:rPr>
          <w:rFonts w:ascii="Times New Roman" w:hAnsi="宋体" w:cs="Times New Roman" w:hint="eastAsia"/>
          <w:bCs/>
        </w:rPr>
        <w:t>ETF</w:t>
      </w:r>
      <w:r w:rsidRPr="00CA3FD3">
        <w:rPr>
          <w:rFonts w:ascii="Times New Roman" w:hAnsi="宋体" w:cs="Times New Roman" w:hint="eastAsia"/>
          <w:bCs/>
        </w:rPr>
        <w:t>基金份额、标的指数成份股、备选成份股。为更好地实现投资目标，本基金可少量投资于非成份股（包含主板、中小板、创业板及其他经中国证监会核准或注册发行的股票）、衍生工具（股指期货、股票期权等）、债券资产（国债、金融债、企业债、公司债、地方政府债券、次级债、可转换债券、可交换债券、央行票据、中期票据、短期融资</w:t>
      </w:r>
      <w:proofErr w:type="gramStart"/>
      <w:r w:rsidRPr="00CA3FD3">
        <w:rPr>
          <w:rFonts w:ascii="Times New Roman" w:hAnsi="宋体" w:cs="Times New Roman" w:hint="eastAsia"/>
          <w:bCs/>
        </w:rPr>
        <w:t>券</w:t>
      </w:r>
      <w:proofErr w:type="gramEnd"/>
      <w:r w:rsidRPr="00CA3FD3">
        <w:rPr>
          <w:rFonts w:ascii="Times New Roman" w:hAnsi="宋体" w:cs="Times New Roman" w:hint="eastAsia"/>
          <w:bCs/>
        </w:rPr>
        <w:t>、超短期融资券等）、资产支持证券、债券回购、银行存款、同业存单、现金资产、货币市场工具以及中国证监会允许基金投资的其他金融工具（但须符合中国证监会的相关规定）。</w:t>
      </w:r>
    </w:p>
    <w:p w14:paraId="448C6B9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基金的投资组合比例为：本基金投资于目标</w:t>
      </w:r>
      <w:r w:rsidRPr="00CA3FD3">
        <w:rPr>
          <w:rFonts w:ascii="Times New Roman" w:hAnsi="宋体" w:cs="Times New Roman" w:hint="eastAsia"/>
          <w:bCs/>
        </w:rPr>
        <w:t>ETF</w:t>
      </w:r>
      <w:r w:rsidRPr="00CA3FD3">
        <w:rPr>
          <w:rFonts w:ascii="Times New Roman" w:hAnsi="宋体" w:cs="Times New Roman" w:hint="eastAsia"/>
          <w:bCs/>
        </w:rPr>
        <w:t>的比例不低于基金资产净值的</w:t>
      </w:r>
      <w:r w:rsidRPr="00CA3FD3">
        <w:rPr>
          <w:rFonts w:ascii="Times New Roman" w:hAnsi="宋体" w:cs="Times New Roman" w:hint="eastAsia"/>
          <w:bCs/>
        </w:rPr>
        <w:t>90%</w:t>
      </w:r>
      <w:r w:rsidRPr="00CA3FD3">
        <w:rPr>
          <w:rFonts w:ascii="Times New Roman" w:hAnsi="宋体" w:cs="Times New Roman" w:hint="eastAsia"/>
          <w:bCs/>
        </w:rPr>
        <w:t>。每个交易日日终在扣除股指期货、股票期权合约需缴纳的交易保证金后，现金或到期日在一年以内的政府债券的投资比例不低于基金资产净值的</w:t>
      </w:r>
      <w:r w:rsidRPr="00CA3FD3">
        <w:rPr>
          <w:rFonts w:ascii="Times New Roman" w:hAnsi="宋体" w:cs="Times New Roman" w:hint="eastAsia"/>
          <w:bCs/>
        </w:rPr>
        <w:t>5%</w:t>
      </w:r>
      <w:r w:rsidRPr="00CA3FD3">
        <w:rPr>
          <w:rFonts w:ascii="Times New Roman" w:hAnsi="宋体" w:cs="Times New Roman" w:hint="eastAsia"/>
          <w:bCs/>
        </w:rPr>
        <w:t>，其中现金不包括结算备付金、存出保证金、应收申购款等。</w:t>
      </w:r>
    </w:p>
    <w:p w14:paraId="5A094CD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lastRenderedPageBreak/>
        <w:t>基金管理人根据相关规定可参与转融通证券出借业务。</w:t>
      </w:r>
    </w:p>
    <w:p w14:paraId="31D58FA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如法律法规或监管机构以后允许基金投资其他品种，基金管理人在履行适当程序后，可以将其纳入投资范围。</w:t>
      </w:r>
    </w:p>
    <w:p w14:paraId="68F5A2D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（二）投资限制</w:t>
      </w:r>
    </w:p>
    <w:p w14:paraId="3274AE0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、组合限制</w:t>
      </w:r>
    </w:p>
    <w:p w14:paraId="41461F6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基金的投资组合应遵循以下限制：</w:t>
      </w:r>
    </w:p>
    <w:p w14:paraId="3A2FCE3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）本基金投资于目标</w:t>
      </w:r>
      <w:r w:rsidRPr="00CA3FD3">
        <w:rPr>
          <w:rFonts w:ascii="Times New Roman" w:hAnsi="宋体" w:cs="Times New Roman" w:hint="eastAsia"/>
          <w:bCs/>
        </w:rPr>
        <w:t>ETF</w:t>
      </w:r>
      <w:r w:rsidRPr="00CA3FD3">
        <w:rPr>
          <w:rFonts w:ascii="Times New Roman" w:hAnsi="宋体" w:cs="Times New Roman" w:hint="eastAsia"/>
          <w:bCs/>
        </w:rPr>
        <w:t>的比例不低于基金资产净值的</w:t>
      </w:r>
      <w:r w:rsidRPr="00CA3FD3">
        <w:rPr>
          <w:rFonts w:ascii="Times New Roman" w:hAnsi="宋体" w:cs="Times New Roman" w:hint="eastAsia"/>
          <w:bCs/>
        </w:rPr>
        <w:t>90%</w:t>
      </w:r>
      <w:r w:rsidRPr="00CA3FD3">
        <w:rPr>
          <w:rFonts w:ascii="Times New Roman" w:hAnsi="宋体" w:cs="Times New Roman" w:hint="eastAsia"/>
          <w:bCs/>
        </w:rPr>
        <w:t>；</w:t>
      </w:r>
    </w:p>
    <w:p w14:paraId="57061FD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）每个交易日日终在扣除股指期货、股票期权合约需缴纳的交易保证金后，现金或到期日在一年以内的政府债券的投资比例不低于基金资产净值的</w:t>
      </w:r>
      <w:r w:rsidRPr="00CA3FD3">
        <w:rPr>
          <w:rFonts w:ascii="Times New Roman" w:hAnsi="宋体" w:cs="Times New Roman" w:hint="eastAsia"/>
          <w:bCs/>
        </w:rPr>
        <w:t>5</w:t>
      </w:r>
      <w:r w:rsidRPr="00CA3FD3">
        <w:rPr>
          <w:rFonts w:ascii="Times New Roman" w:hAnsi="宋体" w:cs="Times New Roman" w:hint="eastAsia"/>
          <w:bCs/>
        </w:rPr>
        <w:t>％，其中现金不包括结算备付金、存出保证金、应收申购款等；</w:t>
      </w:r>
    </w:p>
    <w:p w14:paraId="2100667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）本基金投资于同一原始权益人的各类资产支持证券的比例，不得超过基金资产净值的</w:t>
      </w:r>
      <w:r w:rsidRPr="00CA3FD3">
        <w:rPr>
          <w:rFonts w:ascii="Times New Roman" w:hAnsi="宋体" w:cs="Times New Roman" w:hint="eastAsia"/>
          <w:bCs/>
        </w:rPr>
        <w:t>10</w:t>
      </w:r>
      <w:r w:rsidRPr="00CA3FD3">
        <w:rPr>
          <w:rFonts w:ascii="Times New Roman" w:hAnsi="宋体" w:cs="Times New Roman" w:hint="eastAsia"/>
          <w:bCs/>
        </w:rPr>
        <w:t>％；</w:t>
      </w:r>
    </w:p>
    <w:p w14:paraId="27683B5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）本基金持有的全部资产支持证券，其市值不得超过基金资产净值的</w:t>
      </w:r>
      <w:r w:rsidRPr="00CA3FD3">
        <w:rPr>
          <w:rFonts w:ascii="Times New Roman" w:hAnsi="宋体" w:cs="Times New Roman" w:hint="eastAsia"/>
          <w:bCs/>
        </w:rPr>
        <w:t>20</w:t>
      </w:r>
      <w:r w:rsidRPr="00CA3FD3">
        <w:rPr>
          <w:rFonts w:ascii="Times New Roman" w:hAnsi="宋体" w:cs="Times New Roman" w:hint="eastAsia"/>
          <w:bCs/>
        </w:rPr>
        <w:t>％；</w:t>
      </w:r>
    </w:p>
    <w:p w14:paraId="64B8B34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）本基金持有的同一</w:t>
      </w:r>
      <w:r w:rsidRPr="00CA3FD3">
        <w:rPr>
          <w:rFonts w:ascii="Times New Roman" w:hAnsi="宋体" w:cs="Times New Roman" w:hint="eastAsia"/>
          <w:bCs/>
        </w:rPr>
        <w:t>(</w:t>
      </w:r>
      <w:r w:rsidRPr="00CA3FD3">
        <w:rPr>
          <w:rFonts w:ascii="Times New Roman" w:hAnsi="宋体" w:cs="Times New Roman" w:hint="eastAsia"/>
          <w:bCs/>
        </w:rPr>
        <w:t>指同一信用级别</w:t>
      </w:r>
      <w:r w:rsidRPr="00CA3FD3">
        <w:rPr>
          <w:rFonts w:ascii="Times New Roman" w:hAnsi="宋体" w:cs="Times New Roman" w:hint="eastAsia"/>
          <w:bCs/>
        </w:rPr>
        <w:t>)</w:t>
      </w:r>
      <w:r w:rsidRPr="00CA3FD3">
        <w:rPr>
          <w:rFonts w:ascii="Times New Roman" w:hAnsi="宋体" w:cs="Times New Roman" w:hint="eastAsia"/>
          <w:bCs/>
        </w:rPr>
        <w:t>资产支持证券的比例，不得超过该资产支持证券规模的</w:t>
      </w:r>
      <w:r w:rsidRPr="00CA3FD3">
        <w:rPr>
          <w:rFonts w:ascii="Times New Roman" w:hAnsi="宋体" w:cs="Times New Roman" w:hint="eastAsia"/>
          <w:bCs/>
        </w:rPr>
        <w:t>10</w:t>
      </w:r>
      <w:r w:rsidRPr="00CA3FD3">
        <w:rPr>
          <w:rFonts w:ascii="Times New Roman" w:hAnsi="宋体" w:cs="Times New Roman" w:hint="eastAsia"/>
          <w:bCs/>
        </w:rPr>
        <w:t>％；</w:t>
      </w:r>
    </w:p>
    <w:p w14:paraId="1CC343C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）本基金管理人管理的全部基金投资于同一原始权益人的各类资产支持证券，不得超过其各类资产支持证券合计规模的</w:t>
      </w:r>
      <w:r w:rsidRPr="00CA3FD3">
        <w:rPr>
          <w:rFonts w:ascii="Times New Roman" w:hAnsi="宋体" w:cs="Times New Roman" w:hint="eastAsia"/>
          <w:bCs/>
        </w:rPr>
        <w:t>10</w:t>
      </w:r>
      <w:r w:rsidRPr="00CA3FD3">
        <w:rPr>
          <w:rFonts w:ascii="Times New Roman" w:hAnsi="宋体" w:cs="Times New Roman" w:hint="eastAsia"/>
          <w:bCs/>
        </w:rPr>
        <w:t>％；</w:t>
      </w:r>
    </w:p>
    <w:p w14:paraId="0A0BE29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）本基金应投资于信用级别评级为</w:t>
      </w:r>
      <w:r w:rsidRPr="00CA3FD3">
        <w:rPr>
          <w:rFonts w:ascii="Times New Roman" w:hAnsi="宋体" w:cs="Times New Roman" w:hint="eastAsia"/>
          <w:bCs/>
        </w:rPr>
        <w:t>BBB</w:t>
      </w:r>
      <w:r w:rsidRPr="00CA3FD3">
        <w:rPr>
          <w:rFonts w:ascii="Times New Roman" w:hAnsi="宋体" w:cs="Times New Roman" w:hint="eastAsia"/>
          <w:bCs/>
        </w:rPr>
        <w:t>以上</w:t>
      </w:r>
      <w:r w:rsidRPr="00CA3FD3">
        <w:rPr>
          <w:rFonts w:ascii="Times New Roman" w:hAnsi="宋体" w:cs="Times New Roman" w:hint="eastAsia"/>
          <w:bCs/>
        </w:rPr>
        <w:t>(</w:t>
      </w:r>
      <w:r w:rsidRPr="00CA3FD3">
        <w:rPr>
          <w:rFonts w:ascii="Times New Roman" w:hAnsi="宋体" w:cs="Times New Roman" w:hint="eastAsia"/>
          <w:bCs/>
        </w:rPr>
        <w:t>含</w:t>
      </w:r>
      <w:r w:rsidRPr="00CA3FD3">
        <w:rPr>
          <w:rFonts w:ascii="Times New Roman" w:hAnsi="宋体" w:cs="Times New Roman" w:hint="eastAsia"/>
          <w:bCs/>
        </w:rPr>
        <w:t>BBB)</w:t>
      </w:r>
      <w:r w:rsidRPr="00CA3FD3">
        <w:rPr>
          <w:rFonts w:ascii="Times New Roman" w:hAnsi="宋体" w:cs="Times New Roman" w:hint="eastAsia"/>
          <w:bCs/>
        </w:rPr>
        <w:t>的资产支持证券。基金持有资产支持证券期间，如果其信用等级下降、不再符合投资标准，应在评级报告发布之日起</w:t>
      </w:r>
      <w:r w:rsidRPr="00CA3FD3">
        <w:rPr>
          <w:rFonts w:ascii="Times New Roman" w:hAnsi="宋体" w:cs="Times New Roman" w:hint="eastAsia"/>
          <w:bCs/>
        </w:rPr>
        <w:t>3</w:t>
      </w:r>
      <w:r w:rsidRPr="00CA3FD3">
        <w:rPr>
          <w:rFonts w:ascii="Times New Roman" w:hAnsi="宋体" w:cs="Times New Roman" w:hint="eastAsia"/>
          <w:bCs/>
        </w:rPr>
        <w:t>个月内予以全部卖出；</w:t>
      </w:r>
    </w:p>
    <w:p w14:paraId="0501792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8</w:t>
      </w:r>
      <w:r w:rsidRPr="00CA3FD3">
        <w:rPr>
          <w:rFonts w:ascii="Times New Roman" w:hAnsi="宋体" w:cs="Times New Roman" w:hint="eastAsia"/>
          <w:bCs/>
        </w:rPr>
        <w:t>）基金财产参与股票发行申购，本基金所申报的金额不超过本基金的总资产，本基金所申报的股票数量不超过拟发行股票公司本次发行股票的总量；</w:t>
      </w:r>
    </w:p>
    <w:p w14:paraId="2491980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9</w:t>
      </w:r>
      <w:r w:rsidRPr="00CA3FD3">
        <w:rPr>
          <w:rFonts w:ascii="Times New Roman" w:hAnsi="宋体" w:cs="Times New Roman" w:hint="eastAsia"/>
          <w:bCs/>
        </w:rPr>
        <w:t>）本基金进入全国银行间同业市场进行债券回购的资金余额不得超过基金资产净值的</w:t>
      </w:r>
      <w:r w:rsidRPr="00CA3FD3">
        <w:rPr>
          <w:rFonts w:ascii="Times New Roman" w:hAnsi="宋体" w:cs="Times New Roman" w:hint="eastAsia"/>
          <w:bCs/>
        </w:rPr>
        <w:t>40%</w:t>
      </w:r>
      <w:r w:rsidRPr="00CA3FD3">
        <w:rPr>
          <w:rFonts w:ascii="Times New Roman" w:hAnsi="宋体" w:cs="Times New Roman" w:hint="eastAsia"/>
          <w:bCs/>
        </w:rPr>
        <w:t>，债券回购最长期限为</w:t>
      </w:r>
      <w:r w:rsidRPr="00CA3FD3">
        <w:rPr>
          <w:rFonts w:ascii="Times New Roman" w:hAnsi="宋体" w:cs="Times New Roman" w:hint="eastAsia"/>
          <w:bCs/>
        </w:rPr>
        <w:t>1</w:t>
      </w:r>
      <w:r w:rsidRPr="00CA3FD3">
        <w:rPr>
          <w:rFonts w:ascii="Times New Roman" w:hAnsi="宋体" w:cs="Times New Roman" w:hint="eastAsia"/>
          <w:bCs/>
        </w:rPr>
        <w:t>年，债券回购到期后不得展期；</w:t>
      </w:r>
    </w:p>
    <w:p w14:paraId="0081E34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10</w:t>
      </w:r>
      <w:r w:rsidRPr="00CA3FD3">
        <w:rPr>
          <w:rFonts w:ascii="Times New Roman" w:hAnsi="宋体" w:cs="Times New Roman" w:hint="eastAsia"/>
          <w:bCs/>
        </w:rPr>
        <w:t>）本基金主动投资于流动性受限资产的市值合计不得超过基金资产净值的</w:t>
      </w:r>
      <w:r w:rsidRPr="00CA3FD3">
        <w:rPr>
          <w:rFonts w:ascii="Times New Roman" w:hAnsi="宋体" w:cs="Times New Roman" w:hint="eastAsia"/>
          <w:bCs/>
        </w:rPr>
        <w:t>15%</w:t>
      </w:r>
      <w:r w:rsidRPr="00CA3FD3">
        <w:rPr>
          <w:rFonts w:ascii="Times New Roman" w:hAnsi="宋体" w:cs="Times New Roman" w:hint="eastAsia"/>
          <w:bCs/>
        </w:rPr>
        <w:t>；因证券市场波动、上市公司股票停牌、基金规模变动等基金管理人之外的因素致使基金不符合前款所规定比例限制的，基金管理人不得主动新增流动性受限资产的投资。</w:t>
      </w:r>
    </w:p>
    <w:p w14:paraId="11F86D5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11</w:t>
      </w:r>
      <w:r w:rsidRPr="00CA3FD3">
        <w:rPr>
          <w:rFonts w:ascii="Times New Roman" w:hAnsi="宋体" w:cs="Times New Roman" w:hint="eastAsia"/>
          <w:bCs/>
        </w:rPr>
        <w:t>）本基金与私募类</w:t>
      </w:r>
      <w:proofErr w:type="gramStart"/>
      <w:r w:rsidRPr="00CA3FD3">
        <w:rPr>
          <w:rFonts w:ascii="Times New Roman" w:hAnsi="宋体" w:cs="Times New Roman" w:hint="eastAsia"/>
          <w:bCs/>
        </w:rPr>
        <w:t>证券资管产品</w:t>
      </w:r>
      <w:proofErr w:type="gramEnd"/>
      <w:r w:rsidRPr="00CA3FD3">
        <w:rPr>
          <w:rFonts w:ascii="Times New Roman" w:hAnsi="宋体" w:cs="Times New Roman" w:hint="eastAsia"/>
          <w:bCs/>
        </w:rPr>
        <w:t>及中国证监会认定的其他主体为交易对手开展逆回购交易的，可接受质押品的资质要求应当与基金合同约定的投资范围保持一致。</w:t>
      </w:r>
    </w:p>
    <w:p w14:paraId="0286661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12</w:t>
      </w:r>
      <w:r w:rsidRPr="00CA3FD3">
        <w:rPr>
          <w:rFonts w:ascii="Times New Roman" w:hAnsi="宋体" w:cs="Times New Roman" w:hint="eastAsia"/>
          <w:bCs/>
        </w:rPr>
        <w:t>）本基金资产总值不超过基金资产净值的</w:t>
      </w:r>
      <w:r w:rsidRPr="00CA3FD3">
        <w:rPr>
          <w:rFonts w:ascii="Times New Roman" w:hAnsi="宋体" w:cs="Times New Roman" w:hint="eastAsia"/>
          <w:bCs/>
        </w:rPr>
        <w:t>140%</w:t>
      </w:r>
      <w:r w:rsidRPr="00CA3FD3">
        <w:rPr>
          <w:rFonts w:ascii="Times New Roman" w:hAnsi="宋体" w:cs="Times New Roman" w:hint="eastAsia"/>
          <w:bCs/>
        </w:rPr>
        <w:t>；</w:t>
      </w:r>
    </w:p>
    <w:p w14:paraId="79073F0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13</w:t>
      </w:r>
      <w:r w:rsidRPr="00CA3FD3">
        <w:rPr>
          <w:rFonts w:ascii="Times New Roman" w:hAnsi="宋体" w:cs="Times New Roman" w:hint="eastAsia"/>
          <w:bCs/>
        </w:rPr>
        <w:t>）本基金参与股指期货交易，应当符合下列投资限制：</w:t>
      </w:r>
    </w:p>
    <w:p w14:paraId="260A00B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）本基金在任何交易日日终，持有的买入股指期货合约价值，不得超过基金资产净值的</w:t>
      </w:r>
      <w:r w:rsidRPr="00CA3FD3">
        <w:rPr>
          <w:rFonts w:ascii="Times New Roman" w:hAnsi="宋体" w:cs="Times New Roman" w:hint="eastAsia"/>
          <w:bCs/>
        </w:rPr>
        <w:t>10%</w:t>
      </w:r>
      <w:r w:rsidRPr="00CA3FD3">
        <w:rPr>
          <w:rFonts w:ascii="Times New Roman" w:hAnsi="宋体" w:cs="Times New Roman" w:hint="eastAsia"/>
          <w:bCs/>
        </w:rPr>
        <w:t>；</w:t>
      </w:r>
    </w:p>
    <w:p w14:paraId="68CA6DE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）本基金在任何交易日日终，持有的买入期货合约价值与有价证券市值之和，不得超</w:t>
      </w:r>
      <w:r w:rsidRPr="00CA3FD3">
        <w:rPr>
          <w:rFonts w:ascii="Times New Roman" w:hAnsi="宋体" w:cs="Times New Roman" w:hint="eastAsia"/>
          <w:bCs/>
        </w:rPr>
        <w:lastRenderedPageBreak/>
        <w:t>过基金资产净值的</w:t>
      </w:r>
      <w:r w:rsidRPr="00CA3FD3">
        <w:rPr>
          <w:rFonts w:ascii="Times New Roman" w:hAnsi="宋体" w:cs="Times New Roman" w:hint="eastAsia"/>
          <w:bCs/>
        </w:rPr>
        <w:t>100%</w:t>
      </w:r>
      <w:r w:rsidRPr="00CA3FD3">
        <w:rPr>
          <w:rFonts w:ascii="Times New Roman" w:hAnsi="宋体" w:cs="Times New Roman" w:hint="eastAsia"/>
          <w:bCs/>
        </w:rPr>
        <w:t>，其中，有价证券指股票、债券（不含到期日在一年以内的政府债券）、资产支持证券、买入返售金融资产（不含质押式回购）等；</w:t>
      </w:r>
    </w:p>
    <w:p w14:paraId="38E6452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）本基金在任何交易日日终，持有的卖出期货合约价值不得超过基金持有的股票总市值的</w:t>
      </w:r>
      <w:r w:rsidRPr="00CA3FD3">
        <w:rPr>
          <w:rFonts w:ascii="Times New Roman" w:hAnsi="宋体" w:cs="Times New Roman" w:hint="eastAsia"/>
          <w:bCs/>
        </w:rPr>
        <w:t>20%</w:t>
      </w:r>
      <w:r w:rsidRPr="00CA3FD3">
        <w:rPr>
          <w:rFonts w:ascii="Times New Roman" w:hAnsi="宋体" w:cs="Times New Roman" w:hint="eastAsia"/>
          <w:bCs/>
        </w:rPr>
        <w:t>。</w:t>
      </w:r>
    </w:p>
    <w:p w14:paraId="74F8B38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4</w:t>
      </w:r>
      <w:r w:rsidRPr="00CA3FD3">
        <w:rPr>
          <w:rFonts w:ascii="Times New Roman" w:hAnsi="宋体" w:cs="Times New Roman" w:hint="eastAsia"/>
          <w:bCs/>
        </w:rPr>
        <w:t>）本基金所持有的股票市值和买入、卖出股指期货合约价值，合计（轧差计算）应当符合基金合同关于股票投资比例的有关约定；</w:t>
      </w:r>
    </w:p>
    <w:p w14:paraId="040C164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5</w:t>
      </w:r>
      <w:r w:rsidRPr="00CA3FD3">
        <w:rPr>
          <w:rFonts w:ascii="Times New Roman" w:hAnsi="宋体" w:cs="Times New Roman" w:hint="eastAsia"/>
          <w:bCs/>
        </w:rPr>
        <w:t>）本基金在任何交易日内交易（不包括平仓）的股指期货合约的成交金额不得超过上一交易日基金资产净值的</w:t>
      </w:r>
      <w:r w:rsidRPr="00CA3FD3">
        <w:rPr>
          <w:rFonts w:ascii="Times New Roman" w:hAnsi="宋体" w:cs="Times New Roman" w:hint="eastAsia"/>
          <w:bCs/>
        </w:rPr>
        <w:t>20%</w:t>
      </w:r>
      <w:r w:rsidRPr="00CA3FD3">
        <w:rPr>
          <w:rFonts w:ascii="Times New Roman" w:hAnsi="宋体" w:cs="Times New Roman" w:hint="eastAsia"/>
          <w:bCs/>
        </w:rPr>
        <w:t>；</w:t>
      </w:r>
    </w:p>
    <w:p w14:paraId="5EBEE87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14</w:t>
      </w:r>
      <w:r w:rsidRPr="00CA3FD3">
        <w:rPr>
          <w:rFonts w:ascii="Times New Roman" w:hAnsi="宋体" w:cs="Times New Roman" w:hint="eastAsia"/>
          <w:bCs/>
        </w:rPr>
        <w:t>）本基金参与股票期权交易，应当符合下列投资限制：</w:t>
      </w:r>
    </w:p>
    <w:p w14:paraId="5CE9458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）基金因未平仓的期权合约支付和收取的权利金总额不得超过基金资产净值的</w:t>
      </w:r>
      <w:r w:rsidRPr="00CA3FD3">
        <w:rPr>
          <w:rFonts w:ascii="Times New Roman" w:hAnsi="宋体" w:cs="Times New Roman" w:hint="eastAsia"/>
          <w:bCs/>
        </w:rPr>
        <w:t>10%</w:t>
      </w:r>
      <w:r w:rsidRPr="00CA3FD3">
        <w:rPr>
          <w:rFonts w:ascii="Times New Roman" w:hAnsi="宋体" w:cs="Times New Roman" w:hint="eastAsia"/>
          <w:bCs/>
        </w:rPr>
        <w:t>；</w:t>
      </w:r>
    </w:p>
    <w:p w14:paraId="7C1CD7C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）开仓卖出认购期权的，应持有足额标的证券；开仓卖出认沽期权的，应持有合约行权所需的全额现金或交易所规则认可的可冲抵期权保证金的现金等价物；</w:t>
      </w:r>
    </w:p>
    <w:p w14:paraId="798FE78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）未平仓的期权合约面值不得超过基金资产净值的</w:t>
      </w:r>
      <w:r w:rsidRPr="00CA3FD3">
        <w:rPr>
          <w:rFonts w:ascii="Times New Roman" w:hAnsi="宋体" w:cs="Times New Roman" w:hint="eastAsia"/>
          <w:bCs/>
        </w:rPr>
        <w:t>20%</w:t>
      </w:r>
      <w:r w:rsidRPr="00CA3FD3">
        <w:rPr>
          <w:rFonts w:ascii="Times New Roman" w:hAnsi="宋体" w:cs="Times New Roman" w:hint="eastAsia"/>
          <w:bCs/>
        </w:rPr>
        <w:t>。其中，合约面值按照行权价乘以合约乘数计算；</w:t>
      </w:r>
    </w:p>
    <w:p w14:paraId="20B2234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15</w:t>
      </w:r>
      <w:r w:rsidRPr="00CA3FD3">
        <w:rPr>
          <w:rFonts w:ascii="Times New Roman" w:hAnsi="宋体" w:cs="Times New Roman" w:hint="eastAsia"/>
          <w:bCs/>
        </w:rPr>
        <w:t>）本基金参与转融通证券出借业务的</w:t>
      </w:r>
      <w:r w:rsidRPr="00CA3FD3">
        <w:rPr>
          <w:rFonts w:ascii="Times New Roman" w:hAnsi="宋体" w:cs="Times New Roman" w:hint="eastAsia"/>
          <w:bCs/>
        </w:rPr>
        <w:t>,</w:t>
      </w:r>
      <w:r w:rsidRPr="00CA3FD3">
        <w:rPr>
          <w:rFonts w:ascii="Times New Roman" w:hAnsi="宋体" w:cs="Times New Roman" w:hint="eastAsia"/>
          <w:bCs/>
        </w:rPr>
        <w:t>应当符合下列要求：</w:t>
      </w:r>
    </w:p>
    <w:p w14:paraId="6CFF15C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）本基金在任何交易日日终，参与转融通证券出借业务的资产不得超过基金资产净值的</w:t>
      </w:r>
      <w:r w:rsidRPr="00CA3FD3">
        <w:rPr>
          <w:rFonts w:ascii="Times New Roman" w:hAnsi="宋体" w:cs="Times New Roman" w:hint="eastAsia"/>
          <w:bCs/>
        </w:rPr>
        <w:t>30%</w:t>
      </w:r>
      <w:r w:rsidRPr="00CA3FD3">
        <w:rPr>
          <w:rFonts w:ascii="Times New Roman" w:hAnsi="宋体" w:cs="Times New Roman" w:hint="eastAsia"/>
          <w:bCs/>
        </w:rPr>
        <w:t>，其中出借期限在</w:t>
      </w:r>
      <w:r w:rsidRPr="00CA3FD3">
        <w:rPr>
          <w:rFonts w:ascii="Times New Roman" w:hAnsi="宋体" w:cs="Times New Roman" w:hint="eastAsia"/>
          <w:bCs/>
        </w:rPr>
        <w:t>10</w:t>
      </w:r>
      <w:r w:rsidRPr="00CA3FD3">
        <w:rPr>
          <w:rFonts w:ascii="Times New Roman" w:hAnsi="宋体" w:cs="Times New Roman" w:hint="eastAsia"/>
          <w:bCs/>
        </w:rPr>
        <w:t>个交易日以上的出借证券应纳入《流动性风险管理规定》所述流动性受限证券的范围；</w:t>
      </w:r>
    </w:p>
    <w:p w14:paraId="10F46B9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）本基金在任何交易日日终，参与出借业务的单只证券不得超过基金持有该证券总量的</w:t>
      </w:r>
      <w:r w:rsidRPr="00CA3FD3">
        <w:rPr>
          <w:rFonts w:ascii="Times New Roman" w:hAnsi="宋体" w:cs="Times New Roman" w:hint="eastAsia"/>
          <w:bCs/>
        </w:rPr>
        <w:t>50%</w:t>
      </w:r>
      <w:r w:rsidRPr="00CA3FD3">
        <w:rPr>
          <w:rFonts w:ascii="Times New Roman" w:hAnsi="宋体" w:cs="Times New Roman" w:hint="eastAsia"/>
          <w:bCs/>
        </w:rPr>
        <w:t>；</w:t>
      </w:r>
    </w:p>
    <w:p w14:paraId="0BD014C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）证券出借的平均剩余期限不得超过</w:t>
      </w:r>
      <w:r w:rsidRPr="00CA3FD3">
        <w:rPr>
          <w:rFonts w:ascii="Times New Roman" w:hAnsi="宋体" w:cs="Times New Roman" w:hint="eastAsia"/>
          <w:bCs/>
        </w:rPr>
        <w:t>30</w:t>
      </w:r>
      <w:r w:rsidRPr="00CA3FD3">
        <w:rPr>
          <w:rFonts w:ascii="Times New Roman" w:hAnsi="宋体" w:cs="Times New Roman" w:hint="eastAsia"/>
          <w:bCs/>
        </w:rPr>
        <w:t>天，平均剩余期限按市值加权平均计算；</w:t>
      </w:r>
    </w:p>
    <w:p w14:paraId="48B94A5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4</w:t>
      </w:r>
      <w:r w:rsidRPr="00CA3FD3">
        <w:rPr>
          <w:rFonts w:ascii="Times New Roman" w:hAnsi="宋体" w:cs="Times New Roman" w:hint="eastAsia"/>
          <w:bCs/>
        </w:rPr>
        <w:t>）最近</w:t>
      </w:r>
      <w:r w:rsidRPr="00CA3FD3">
        <w:rPr>
          <w:rFonts w:ascii="Times New Roman" w:hAnsi="宋体" w:cs="Times New Roman" w:hint="eastAsia"/>
          <w:bCs/>
        </w:rPr>
        <w:t>6</w:t>
      </w:r>
      <w:r w:rsidRPr="00CA3FD3">
        <w:rPr>
          <w:rFonts w:ascii="Times New Roman" w:hAnsi="宋体" w:cs="Times New Roman" w:hint="eastAsia"/>
          <w:bCs/>
        </w:rPr>
        <w:t>个月内日均基金资产净值不得低于</w:t>
      </w:r>
      <w:r w:rsidRPr="00CA3FD3">
        <w:rPr>
          <w:rFonts w:ascii="Times New Roman" w:hAnsi="宋体" w:cs="Times New Roman" w:hint="eastAsia"/>
          <w:bCs/>
        </w:rPr>
        <w:t>2</w:t>
      </w:r>
      <w:r w:rsidRPr="00CA3FD3">
        <w:rPr>
          <w:rFonts w:ascii="Times New Roman" w:hAnsi="宋体" w:cs="Times New Roman" w:hint="eastAsia"/>
          <w:bCs/>
        </w:rPr>
        <w:t>亿元。</w:t>
      </w:r>
    </w:p>
    <w:p w14:paraId="0764D83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16</w:t>
      </w:r>
      <w:r w:rsidRPr="00CA3FD3">
        <w:rPr>
          <w:rFonts w:ascii="Times New Roman" w:hAnsi="宋体" w:cs="Times New Roman" w:hint="eastAsia"/>
          <w:bCs/>
        </w:rPr>
        <w:t>）法律法规及中国证监会规定的和《基金合同》约定的其他投资限制。</w:t>
      </w:r>
    </w:p>
    <w:p w14:paraId="42C7D18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除上述第（</w:t>
      </w:r>
      <w:r w:rsidRPr="00CA3FD3">
        <w:rPr>
          <w:rFonts w:ascii="Times New Roman" w:hAnsi="宋体" w:cs="Times New Roman" w:hint="eastAsia"/>
          <w:bCs/>
        </w:rPr>
        <w:t>1</w:t>
      </w:r>
      <w:r w:rsidRPr="00CA3FD3">
        <w:rPr>
          <w:rFonts w:ascii="Times New Roman" w:hAnsi="宋体" w:cs="Times New Roman" w:hint="eastAsia"/>
          <w:bCs/>
        </w:rPr>
        <w:t>）项应当在</w:t>
      </w:r>
      <w:r w:rsidRPr="00CA3FD3">
        <w:rPr>
          <w:rFonts w:ascii="Times New Roman" w:hAnsi="宋体" w:cs="Times New Roman" w:hint="eastAsia"/>
          <w:bCs/>
        </w:rPr>
        <w:t>20</w:t>
      </w:r>
      <w:r w:rsidRPr="00CA3FD3">
        <w:rPr>
          <w:rFonts w:ascii="Times New Roman" w:hAnsi="宋体" w:cs="Times New Roman" w:hint="eastAsia"/>
          <w:bCs/>
        </w:rPr>
        <w:t>个交易日内进行调整，第（</w:t>
      </w:r>
      <w:r w:rsidRPr="00CA3FD3">
        <w:rPr>
          <w:rFonts w:ascii="Times New Roman" w:hAnsi="宋体" w:cs="Times New Roman" w:hint="eastAsia"/>
          <w:bCs/>
        </w:rPr>
        <w:t>2</w:t>
      </w: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w:t>
      </w:r>
      <w:r w:rsidRPr="00CA3FD3">
        <w:rPr>
          <w:rFonts w:ascii="Times New Roman" w:hAnsi="宋体" w:cs="Times New Roman" w:hint="eastAsia"/>
          <w:bCs/>
        </w:rPr>
        <w:t>10</w:t>
      </w:r>
      <w:r w:rsidRPr="00CA3FD3">
        <w:rPr>
          <w:rFonts w:ascii="Times New Roman" w:hAnsi="宋体" w:cs="Times New Roman" w:hint="eastAsia"/>
          <w:bCs/>
        </w:rPr>
        <w:t>）、（</w:t>
      </w:r>
      <w:r w:rsidRPr="00CA3FD3">
        <w:rPr>
          <w:rFonts w:ascii="Times New Roman" w:hAnsi="宋体" w:cs="Times New Roman" w:hint="eastAsia"/>
          <w:bCs/>
        </w:rPr>
        <w:t>11</w:t>
      </w:r>
      <w:r w:rsidRPr="00CA3FD3">
        <w:rPr>
          <w:rFonts w:ascii="Times New Roman" w:hAnsi="宋体" w:cs="Times New Roman" w:hint="eastAsia"/>
          <w:bCs/>
        </w:rPr>
        <w:t>）、（</w:t>
      </w:r>
      <w:r w:rsidRPr="00CA3FD3">
        <w:rPr>
          <w:rFonts w:ascii="Times New Roman" w:hAnsi="宋体" w:cs="Times New Roman" w:hint="eastAsia"/>
          <w:bCs/>
        </w:rPr>
        <w:t>15</w:t>
      </w:r>
      <w:r w:rsidRPr="00CA3FD3">
        <w:rPr>
          <w:rFonts w:ascii="Times New Roman" w:hAnsi="宋体" w:cs="Times New Roman" w:hint="eastAsia"/>
          <w:bCs/>
        </w:rPr>
        <w:t>）项另有约定外，因证券</w:t>
      </w:r>
      <w:r w:rsidRPr="00CA3FD3">
        <w:rPr>
          <w:rFonts w:ascii="Times New Roman" w:hAnsi="宋体" w:cs="Times New Roman" w:hint="eastAsia"/>
          <w:bCs/>
        </w:rPr>
        <w:t>/</w:t>
      </w:r>
      <w:r w:rsidRPr="00CA3FD3">
        <w:rPr>
          <w:rFonts w:ascii="Times New Roman" w:hAnsi="宋体" w:cs="Times New Roman" w:hint="eastAsia"/>
          <w:bCs/>
        </w:rPr>
        <w:t>期货市场波动、证券发行人合并、基金规模变动、标的指数成份股调整、标的指数成份股流动性限制、目标</w:t>
      </w:r>
      <w:r w:rsidRPr="00CA3FD3">
        <w:rPr>
          <w:rFonts w:ascii="Times New Roman" w:hAnsi="宋体" w:cs="Times New Roman" w:hint="eastAsia"/>
          <w:bCs/>
        </w:rPr>
        <w:t xml:space="preserve"> ETF </w:t>
      </w:r>
      <w:r w:rsidRPr="00CA3FD3">
        <w:rPr>
          <w:rFonts w:ascii="Times New Roman" w:hAnsi="宋体" w:cs="Times New Roman" w:hint="eastAsia"/>
          <w:bCs/>
        </w:rPr>
        <w:t>暂停申购、赎回或二级市场交易停牌等基金管理人之外的因素致使基金投资比例不符合上述规定投资比例的，基金管理人应当在</w:t>
      </w:r>
      <w:r w:rsidRPr="00CA3FD3">
        <w:rPr>
          <w:rFonts w:ascii="Times New Roman" w:hAnsi="宋体" w:cs="Times New Roman" w:hint="eastAsia"/>
          <w:bCs/>
        </w:rPr>
        <w:t>10</w:t>
      </w:r>
      <w:r w:rsidRPr="00CA3FD3">
        <w:rPr>
          <w:rFonts w:ascii="Times New Roman" w:hAnsi="宋体" w:cs="Times New Roman" w:hint="eastAsia"/>
          <w:bCs/>
        </w:rPr>
        <w:t>个交易日内进行调整，但中国证监会规定的特殊情形除外。法律法规另有规定的，从其规定。</w:t>
      </w:r>
    </w:p>
    <w:p w14:paraId="06BE2B8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本基金参与转融通证券出借业务，因证券市场波动、上市公司合并、基金规模变动等基金管理人之外的因素致使基金投资不符合上述第（</w:t>
      </w:r>
      <w:r w:rsidRPr="00CA3FD3">
        <w:rPr>
          <w:rFonts w:ascii="Times New Roman" w:hAnsi="宋体" w:cs="Times New Roman" w:hint="eastAsia"/>
          <w:bCs/>
        </w:rPr>
        <w:t>15</w:t>
      </w:r>
      <w:r w:rsidRPr="00CA3FD3">
        <w:rPr>
          <w:rFonts w:ascii="Times New Roman" w:hAnsi="宋体" w:cs="Times New Roman" w:hint="eastAsia"/>
          <w:bCs/>
        </w:rPr>
        <w:t>）项规定的，基金管理人不得新增出借业务。</w:t>
      </w:r>
    </w:p>
    <w:p w14:paraId="489944D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基金管理人应当自基金合同生效之日起</w:t>
      </w:r>
      <w:r w:rsidRPr="00CA3FD3">
        <w:rPr>
          <w:rFonts w:ascii="Times New Roman" w:hAnsi="宋体" w:cs="Times New Roman" w:hint="eastAsia"/>
          <w:bCs/>
        </w:rPr>
        <w:t>6</w:t>
      </w:r>
      <w:r w:rsidRPr="00CA3FD3">
        <w:rPr>
          <w:rFonts w:ascii="Times New Roman" w:hAnsi="宋体" w:cs="Times New Roman" w:hint="eastAsia"/>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3AF3DC8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lastRenderedPageBreak/>
        <w:t>如法律法规或监管部门对上述投资组合比例限制进行变更的，以变更后的规定为准。法律法规或监管部门取消上述限制，如适用于本基金，基金管理人在履行适当程序后，则本基金投资不再受相关限制。</w:t>
      </w:r>
    </w:p>
    <w:p w14:paraId="386005C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、禁止行为</w:t>
      </w:r>
    </w:p>
    <w:p w14:paraId="56C9875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为维护基金份额持有人的合法权益，基金财产不得用于下列投资或者活动：</w:t>
      </w:r>
    </w:p>
    <w:p w14:paraId="0C5AFB3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）承销证券；</w:t>
      </w:r>
    </w:p>
    <w:p w14:paraId="19642D3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）违反规定向他人贷款或者提供担保；</w:t>
      </w:r>
    </w:p>
    <w:p w14:paraId="3326A43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）从事承担无限责任的投资；</w:t>
      </w:r>
    </w:p>
    <w:p w14:paraId="6C75BB2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）买卖</w:t>
      </w:r>
      <w:proofErr w:type="gramStart"/>
      <w:r w:rsidRPr="00CA3FD3">
        <w:rPr>
          <w:rFonts w:ascii="Times New Roman" w:hAnsi="宋体" w:cs="Times New Roman" w:hint="eastAsia"/>
          <w:bCs/>
        </w:rPr>
        <w:t>除目标</w:t>
      </w:r>
      <w:proofErr w:type="gramEnd"/>
      <w:r w:rsidRPr="00CA3FD3">
        <w:rPr>
          <w:rFonts w:ascii="Times New Roman" w:hAnsi="宋体" w:cs="Times New Roman" w:hint="eastAsia"/>
          <w:bCs/>
        </w:rPr>
        <w:t>ETF</w:t>
      </w:r>
      <w:r w:rsidRPr="00CA3FD3">
        <w:rPr>
          <w:rFonts w:ascii="Times New Roman" w:hAnsi="宋体" w:cs="Times New Roman" w:hint="eastAsia"/>
          <w:bCs/>
        </w:rPr>
        <w:t>以外的其他基金份额，但是中国证监会另有规定的除外；</w:t>
      </w:r>
    </w:p>
    <w:p w14:paraId="7B99885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）向其基金管理人、基金托管人出资；</w:t>
      </w:r>
    </w:p>
    <w:p w14:paraId="4C10E61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）从事内幕交易、操纵证券交易价格及其他不正当的证券交易活动；</w:t>
      </w:r>
    </w:p>
    <w:p w14:paraId="3F581B3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）法律、行政法规和中国证监会规定禁止的其他活动。</w:t>
      </w:r>
    </w:p>
    <w:p w14:paraId="3219919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9F2D13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如法律、行政法规或监管部门取消上述限制，如适用于本基金，则本基金投资不再受相关限制。</w:t>
      </w:r>
    </w:p>
    <w:p w14:paraId="13517E9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3871CBC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六、基金资产净值的计算方法和公告方式</w:t>
      </w:r>
    </w:p>
    <w:p w14:paraId="00A4881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、基金份额净值是按照每个估值日闭市后，各类基金份额的基金资产净值除以当日该类基金份额的余额数量计算，精确到</w:t>
      </w:r>
      <w:r w:rsidRPr="00CA3FD3">
        <w:rPr>
          <w:rFonts w:ascii="Times New Roman" w:hAnsi="宋体" w:cs="Times New Roman" w:hint="eastAsia"/>
          <w:bCs/>
        </w:rPr>
        <w:t>0.0001</w:t>
      </w:r>
      <w:r w:rsidRPr="00CA3FD3">
        <w:rPr>
          <w:rFonts w:ascii="Times New Roman" w:hAnsi="宋体" w:cs="Times New Roman" w:hint="eastAsia"/>
          <w:bCs/>
        </w:rPr>
        <w:t>元，小数点后第</w:t>
      </w:r>
      <w:r w:rsidRPr="00CA3FD3">
        <w:rPr>
          <w:rFonts w:ascii="Times New Roman" w:hAnsi="宋体" w:cs="Times New Roman" w:hint="eastAsia"/>
          <w:bCs/>
        </w:rPr>
        <w:t>5</w:t>
      </w:r>
      <w:r w:rsidRPr="00CA3FD3">
        <w:rPr>
          <w:rFonts w:ascii="Times New Roman" w:hAnsi="宋体" w:cs="Times New Roman" w:hint="eastAsia"/>
          <w:bCs/>
        </w:rPr>
        <w:t>位四舍五入。基金管理人可以设立大额赎回情形下的净值精度应急调整机制。国家另有规定的，从其规定。</w:t>
      </w:r>
    </w:p>
    <w:p w14:paraId="43057D3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基金管理人</w:t>
      </w:r>
      <w:proofErr w:type="gramStart"/>
      <w:r w:rsidRPr="00CA3FD3">
        <w:rPr>
          <w:rFonts w:ascii="Times New Roman" w:hAnsi="宋体" w:cs="Times New Roman" w:hint="eastAsia"/>
          <w:bCs/>
        </w:rPr>
        <w:t>应每个</w:t>
      </w:r>
      <w:proofErr w:type="gramEnd"/>
      <w:r w:rsidRPr="00CA3FD3">
        <w:rPr>
          <w:rFonts w:ascii="Times New Roman" w:hAnsi="宋体" w:cs="Times New Roman" w:hint="eastAsia"/>
          <w:bCs/>
        </w:rPr>
        <w:t>估值日计算基金资产净值及基金份额净值，并按规定公告。</w:t>
      </w:r>
    </w:p>
    <w:p w14:paraId="44A0D2C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、基金管理人</w:t>
      </w:r>
      <w:proofErr w:type="gramStart"/>
      <w:r w:rsidRPr="00CA3FD3">
        <w:rPr>
          <w:rFonts w:ascii="Times New Roman" w:hAnsi="宋体" w:cs="Times New Roman" w:hint="eastAsia"/>
          <w:bCs/>
        </w:rPr>
        <w:t>应每个</w:t>
      </w:r>
      <w:proofErr w:type="gramEnd"/>
      <w:r w:rsidRPr="00CA3FD3">
        <w:rPr>
          <w:rFonts w:ascii="Times New Roman" w:hAnsi="宋体" w:cs="Times New Roman" w:hint="eastAsia"/>
          <w:bCs/>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68C261D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0430A7F7"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七、基金合同的变更、终止与基金财产的清算</w:t>
      </w:r>
    </w:p>
    <w:p w14:paraId="59A851F2"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（一）《基金合同》的变更</w:t>
      </w:r>
    </w:p>
    <w:p w14:paraId="295C98F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、变更基金合同涉及法律法规规定或本基金合同约定应经基金份额持有人大会决议通</w:t>
      </w:r>
      <w:r w:rsidRPr="00CA3FD3">
        <w:rPr>
          <w:rFonts w:ascii="Times New Roman" w:hAnsi="宋体" w:cs="Times New Roman" w:hint="eastAsia"/>
          <w:bCs/>
        </w:rPr>
        <w:lastRenderedPageBreak/>
        <w:t>过的事项的，应召</w:t>
      </w:r>
      <w:proofErr w:type="gramStart"/>
      <w:r w:rsidRPr="00CA3FD3">
        <w:rPr>
          <w:rFonts w:ascii="Times New Roman" w:hAnsi="宋体" w:cs="Times New Roman" w:hint="eastAsia"/>
          <w:bCs/>
        </w:rPr>
        <w:t>开基金</w:t>
      </w:r>
      <w:proofErr w:type="gramEnd"/>
      <w:r w:rsidRPr="00CA3FD3">
        <w:rPr>
          <w:rFonts w:ascii="Times New Roman" w:hAnsi="宋体" w:cs="Times New Roman" w:hint="eastAsia"/>
          <w:bCs/>
        </w:rPr>
        <w:t>份额持有人大会决议通过。对于法律法规规定和基金合同约定可不经基金份额持有人大会决议通过的事项，由基金管理人和基金托管人同意后变更并公告，并报中国证监会备案。</w:t>
      </w:r>
    </w:p>
    <w:p w14:paraId="6066073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、关于《基金合同》变更的基金份额持有人大会决议自生效后方可执行，</w:t>
      </w:r>
      <w:proofErr w:type="gramStart"/>
      <w:r w:rsidRPr="00CA3FD3">
        <w:rPr>
          <w:rFonts w:ascii="Times New Roman" w:hAnsi="宋体" w:cs="Times New Roman" w:hint="eastAsia"/>
          <w:bCs/>
        </w:rPr>
        <w:t>自决议</w:t>
      </w:r>
      <w:proofErr w:type="gramEnd"/>
      <w:r w:rsidRPr="00CA3FD3">
        <w:rPr>
          <w:rFonts w:ascii="Times New Roman" w:hAnsi="宋体" w:cs="Times New Roman" w:hint="eastAsia"/>
          <w:bCs/>
        </w:rPr>
        <w:t>生效后两日内在指定媒介公告。</w:t>
      </w:r>
    </w:p>
    <w:p w14:paraId="452F92A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（二）《基金合同》的终止事由</w:t>
      </w:r>
    </w:p>
    <w:p w14:paraId="4D193FE5"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有下列情形之一的，经履行相关程序后，《基金合同》应当终止：</w:t>
      </w:r>
    </w:p>
    <w:p w14:paraId="5CB5155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、基金份额持有人大会决定终止的；</w:t>
      </w:r>
    </w:p>
    <w:p w14:paraId="2A01CDE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、基金管理人、基金托管人职责终止，在</w:t>
      </w:r>
      <w:r w:rsidRPr="00CA3FD3">
        <w:rPr>
          <w:rFonts w:ascii="Times New Roman" w:hAnsi="宋体" w:cs="Times New Roman" w:hint="eastAsia"/>
          <w:bCs/>
        </w:rPr>
        <w:t>6</w:t>
      </w:r>
      <w:r w:rsidRPr="00CA3FD3">
        <w:rPr>
          <w:rFonts w:ascii="Times New Roman" w:hAnsi="宋体" w:cs="Times New Roman" w:hint="eastAsia"/>
          <w:bCs/>
        </w:rPr>
        <w:t>个月内没有新基金管理人、新基金托管人承接的；</w:t>
      </w:r>
    </w:p>
    <w:p w14:paraId="2245027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、《基金合同》约定的其他情形；</w:t>
      </w:r>
    </w:p>
    <w:p w14:paraId="4C7B75A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4</w:t>
      </w:r>
      <w:r w:rsidRPr="00CA3FD3">
        <w:rPr>
          <w:rFonts w:ascii="Times New Roman" w:hAnsi="宋体" w:cs="Times New Roman" w:hint="eastAsia"/>
          <w:bCs/>
        </w:rPr>
        <w:t>、相关法律法规和中国证监会规定的其他情况。</w:t>
      </w:r>
    </w:p>
    <w:p w14:paraId="375C6D6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（三）基金财产的清算</w:t>
      </w:r>
    </w:p>
    <w:p w14:paraId="6FDD6F3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、基金财产清算小组：自出现《基金合同》终止事由之日起</w:t>
      </w:r>
      <w:r w:rsidRPr="00CA3FD3">
        <w:rPr>
          <w:rFonts w:ascii="Times New Roman" w:hAnsi="宋体" w:cs="Times New Roman" w:hint="eastAsia"/>
          <w:bCs/>
        </w:rPr>
        <w:t>30</w:t>
      </w:r>
      <w:r w:rsidRPr="00CA3FD3">
        <w:rPr>
          <w:rFonts w:ascii="Times New Roman" w:hAnsi="宋体" w:cs="Times New Roman" w:hint="eastAsia"/>
          <w:bCs/>
        </w:rPr>
        <w:t>个工作日内成立清算小组，基金管理人组织基金财产清算小组并在中国证监会的监督下进行基金清算。</w:t>
      </w:r>
    </w:p>
    <w:p w14:paraId="1D01762B" w14:textId="46F4336D"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、基金财产清算小组组成：基金财产清算小组成员由基金管理人、基金托管人、</w:t>
      </w:r>
      <w:r w:rsidR="001E4BC7">
        <w:rPr>
          <w:rFonts w:ascii="Times New Roman" w:hAnsi="宋体" w:cs="Times New Roman" w:hint="eastAsia"/>
          <w:bCs/>
        </w:rPr>
        <w:t>具有从事证券、期货相关业务资格</w:t>
      </w:r>
      <w:r w:rsidRPr="00CA3FD3">
        <w:rPr>
          <w:rFonts w:ascii="Times New Roman" w:hAnsi="宋体" w:cs="Times New Roman" w:hint="eastAsia"/>
          <w:bCs/>
        </w:rPr>
        <w:t>的注册会计师、律师以及中国证监会指定的人员组成。基金财产清算小组可以聘用必要的工作人员。</w:t>
      </w:r>
    </w:p>
    <w:p w14:paraId="5C1EFE9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、基金财产清算小组职责：基金财产清算小组负责基金财产的保管、清理、估价、变现和分配。基金财产清算小组可以依法进行必要的民事活动。</w:t>
      </w:r>
    </w:p>
    <w:p w14:paraId="2C1A2F8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4</w:t>
      </w:r>
      <w:r w:rsidRPr="00CA3FD3">
        <w:rPr>
          <w:rFonts w:ascii="Times New Roman" w:hAnsi="宋体" w:cs="Times New Roman" w:hint="eastAsia"/>
          <w:bCs/>
        </w:rPr>
        <w:t>、基金财产清算程序：</w:t>
      </w:r>
    </w:p>
    <w:p w14:paraId="039D9F1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1</w:t>
      </w:r>
      <w:r w:rsidRPr="00CA3FD3">
        <w:rPr>
          <w:rFonts w:ascii="Times New Roman" w:hAnsi="宋体" w:cs="Times New Roman" w:hint="eastAsia"/>
          <w:bCs/>
        </w:rPr>
        <w:t>）《基金合同》终止情形出现时，由基金财产清算小组统一接管基金；</w:t>
      </w:r>
    </w:p>
    <w:p w14:paraId="50EC06E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2</w:t>
      </w:r>
      <w:r w:rsidRPr="00CA3FD3">
        <w:rPr>
          <w:rFonts w:ascii="Times New Roman" w:hAnsi="宋体" w:cs="Times New Roman" w:hint="eastAsia"/>
          <w:bCs/>
        </w:rPr>
        <w:t>）对基金财产和债权债务进行清理和确认；</w:t>
      </w:r>
    </w:p>
    <w:p w14:paraId="09D26AF9"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3</w:t>
      </w:r>
      <w:r w:rsidRPr="00CA3FD3">
        <w:rPr>
          <w:rFonts w:ascii="Times New Roman" w:hAnsi="宋体" w:cs="Times New Roman" w:hint="eastAsia"/>
          <w:bCs/>
        </w:rPr>
        <w:t>）对基金财产进行估值和变现；</w:t>
      </w:r>
    </w:p>
    <w:p w14:paraId="685E80C3"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4</w:t>
      </w:r>
      <w:r w:rsidRPr="00CA3FD3">
        <w:rPr>
          <w:rFonts w:ascii="Times New Roman" w:hAnsi="宋体" w:cs="Times New Roman" w:hint="eastAsia"/>
          <w:bCs/>
        </w:rPr>
        <w:t>）制作清算报告；</w:t>
      </w:r>
    </w:p>
    <w:p w14:paraId="0C7E9C6C" w14:textId="2165C054"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5</w:t>
      </w:r>
      <w:r w:rsidRPr="00CA3FD3">
        <w:rPr>
          <w:rFonts w:ascii="Times New Roman" w:hAnsi="宋体" w:cs="Times New Roman" w:hint="eastAsia"/>
          <w:bCs/>
        </w:rPr>
        <w:t>）</w:t>
      </w:r>
      <w:r w:rsidR="001E4BC7">
        <w:rPr>
          <w:rFonts w:ascii="Times New Roman" w:hAnsi="宋体" w:cs="Times New Roman" w:hint="eastAsia"/>
          <w:bCs/>
        </w:rPr>
        <w:t>聘请具有证券、期货相关业务资格的会计师事务所</w:t>
      </w:r>
      <w:r w:rsidRPr="00CA3FD3">
        <w:rPr>
          <w:rFonts w:ascii="Times New Roman" w:hAnsi="宋体" w:cs="Times New Roman" w:hint="eastAsia"/>
          <w:bCs/>
        </w:rPr>
        <w:t>对清算报告进行外部审计，聘请律师事务所对清算报告出具法律意见书；</w:t>
      </w:r>
    </w:p>
    <w:p w14:paraId="70439E1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6</w:t>
      </w:r>
      <w:r w:rsidRPr="00CA3FD3">
        <w:rPr>
          <w:rFonts w:ascii="Times New Roman" w:hAnsi="宋体" w:cs="Times New Roman" w:hint="eastAsia"/>
          <w:bCs/>
        </w:rPr>
        <w:t>）将清算报告报中国证监会备案并公告；</w:t>
      </w:r>
    </w:p>
    <w:p w14:paraId="6D13F34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w:t>
      </w:r>
      <w:r w:rsidRPr="00CA3FD3">
        <w:rPr>
          <w:rFonts w:ascii="Times New Roman" w:hAnsi="宋体" w:cs="Times New Roman" w:hint="eastAsia"/>
          <w:bCs/>
        </w:rPr>
        <w:t>7</w:t>
      </w:r>
      <w:r w:rsidRPr="00CA3FD3">
        <w:rPr>
          <w:rFonts w:ascii="Times New Roman" w:hAnsi="宋体" w:cs="Times New Roman" w:hint="eastAsia"/>
          <w:bCs/>
        </w:rPr>
        <w:t>）对基金剩余财产进行分配。</w:t>
      </w:r>
    </w:p>
    <w:p w14:paraId="3168C36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5</w:t>
      </w:r>
      <w:r w:rsidRPr="00CA3FD3">
        <w:rPr>
          <w:rFonts w:ascii="Times New Roman" w:hAnsi="宋体" w:cs="Times New Roman" w:hint="eastAsia"/>
          <w:bCs/>
        </w:rPr>
        <w:t>、基金财产清算的期限为</w:t>
      </w:r>
      <w:r w:rsidRPr="00CA3FD3">
        <w:rPr>
          <w:rFonts w:ascii="Times New Roman" w:hAnsi="宋体" w:cs="Times New Roman" w:hint="eastAsia"/>
          <w:bCs/>
        </w:rPr>
        <w:t>6</w:t>
      </w:r>
      <w:r w:rsidRPr="00CA3FD3">
        <w:rPr>
          <w:rFonts w:ascii="Times New Roman" w:hAnsi="宋体" w:cs="Times New Roman" w:hint="eastAsia"/>
          <w:bCs/>
        </w:rPr>
        <w:t>个月，但因本基金所持证券的流动性受到限制而不能及时变现的，清算期限相应顺延。</w:t>
      </w:r>
    </w:p>
    <w:p w14:paraId="1B1E4EA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（四）清算费用</w:t>
      </w:r>
    </w:p>
    <w:p w14:paraId="74BCCBB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清算费用是指基金财产清算小组在进行基金清算过程中发生的所有合理费用，清算费用由基金财产清算小组优先从基金财产中支付。</w:t>
      </w:r>
    </w:p>
    <w:p w14:paraId="09DF096A"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lastRenderedPageBreak/>
        <w:t>（五）基金财产清算剩余资产的分配</w:t>
      </w:r>
    </w:p>
    <w:p w14:paraId="4C78DF5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依据基金财产清算的分配方案，将基金财产清算后的全部剩余资产扣除基金财产清算费用、交纳所欠税款并清偿基金债务后，按基金份额持有人持有的基金份额比例进行分配。</w:t>
      </w:r>
    </w:p>
    <w:p w14:paraId="541C7FB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（六）基金财产清算的公告</w:t>
      </w:r>
    </w:p>
    <w:p w14:paraId="645C8664"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CA3FD3">
        <w:rPr>
          <w:rFonts w:ascii="Times New Roman" w:hAnsi="宋体" w:cs="Times New Roman" w:hint="eastAsia"/>
          <w:bCs/>
        </w:rPr>
        <w:t>5</w:t>
      </w:r>
      <w:r w:rsidRPr="00CA3FD3">
        <w:rPr>
          <w:rFonts w:ascii="Times New Roman" w:hAnsi="宋体" w:cs="Times New Roman" w:hint="eastAsia"/>
          <w:bCs/>
        </w:rPr>
        <w:t>个工作日内由基金财产清算小组进行公告，基金财产清算小组应当将清算报告登载在指定网站上，并将清算报告提示性公告登载在指定报刊上。</w:t>
      </w:r>
    </w:p>
    <w:p w14:paraId="4C9C8E48"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（七）基金财产清算账册及文件的保存</w:t>
      </w:r>
    </w:p>
    <w:p w14:paraId="2D0B45D6"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基金财产清算账册及有关文件由基金托管人保存</w:t>
      </w:r>
      <w:r w:rsidRPr="00CA3FD3">
        <w:rPr>
          <w:rFonts w:ascii="Times New Roman" w:hAnsi="宋体" w:cs="Times New Roman" w:hint="eastAsia"/>
          <w:bCs/>
        </w:rPr>
        <w:t>15</w:t>
      </w:r>
      <w:r w:rsidRPr="00CA3FD3">
        <w:rPr>
          <w:rFonts w:ascii="Times New Roman" w:hAnsi="宋体" w:cs="Times New Roman" w:hint="eastAsia"/>
          <w:bCs/>
        </w:rPr>
        <w:t>年以上。</w:t>
      </w:r>
    </w:p>
    <w:p w14:paraId="2482E8E1"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4D2CB3D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八、争议解决方式</w:t>
      </w:r>
    </w:p>
    <w:p w14:paraId="46FB159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29792D2F"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争议处理期间，各方当事人应恪守基金管理人和基金托管人职责，各自继续忠实、勤勉、尽责地履行基金合同和托管协议规定的义务，维护基金份额持有人的合法权益。</w:t>
      </w:r>
    </w:p>
    <w:p w14:paraId="28C7354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《基金合同》受中国法律管辖。</w:t>
      </w:r>
    </w:p>
    <w:p w14:paraId="7D547A8C"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2CEE5A2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九、基金合同的效力</w:t>
      </w:r>
    </w:p>
    <w:p w14:paraId="4F063A00"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《基金合同》是约定基金合同当事人之间权利义务关系的法律文件。</w:t>
      </w:r>
    </w:p>
    <w:p w14:paraId="3CEC010B"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1</w:t>
      </w:r>
      <w:r w:rsidRPr="00CA3FD3">
        <w:rPr>
          <w:rFonts w:ascii="Times New Roman" w:hAnsi="宋体" w:cs="Times New Roman" w:hint="eastAsia"/>
          <w:bCs/>
        </w:rPr>
        <w:t>、《基金合同》经基金管理人、基金托管人双方盖章以及双方法定代表人或授权代表签字或签章并在募集结束后经基金管理人向中国证监会办理基金备案手续，并经中国证监会书面确认后生效。</w:t>
      </w:r>
    </w:p>
    <w:p w14:paraId="44F0E42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2</w:t>
      </w:r>
      <w:r w:rsidRPr="00CA3FD3">
        <w:rPr>
          <w:rFonts w:ascii="Times New Roman" w:hAnsi="宋体" w:cs="Times New Roman" w:hint="eastAsia"/>
          <w:bCs/>
        </w:rPr>
        <w:t>、《基金合同》的有效期自其生效之日起至基金财产清算结果报中国证监会备案并公告之日止。</w:t>
      </w:r>
    </w:p>
    <w:p w14:paraId="686E82BD"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3</w:t>
      </w:r>
      <w:r w:rsidRPr="00CA3FD3">
        <w:rPr>
          <w:rFonts w:ascii="Times New Roman" w:hAnsi="宋体" w:cs="Times New Roman" w:hint="eastAsia"/>
          <w:bCs/>
        </w:rPr>
        <w:t>、《基金合同》自生效之日起对包括基金管理人、基金托管人和基金份额持有人在内的《基金合同》各方当事人具有同等的法律约束力。</w:t>
      </w:r>
    </w:p>
    <w:p w14:paraId="729A782E" w14:textId="77777777" w:rsidR="00CA3FD3" w:rsidRPr="00CA3FD3"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CA3FD3">
        <w:rPr>
          <w:rFonts w:ascii="Times New Roman" w:hAnsi="宋体" w:cs="Times New Roman" w:hint="eastAsia"/>
          <w:bCs/>
        </w:rPr>
        <w:t>4</w:t>
      </w:r>
      <w:r w:rsidRPr="00CA3FD3">
        <w:rPr>
          <w:rFonts w:ascii="Times New Roman" w:hAnsi="宋体" w:cs="Times New Roman" w:hint="eastAsia"/>
          <w:bCs/>
        </w:rPr>
        <w:t>、《基金合同》正本一式六份，除上报有关监管机构一式二份外，基金管理人、基金托管人各持有二份，每份具有同等的法律效力。</w:t>
      </w:r>
    </w:p>
    <w:p w14:paraId="394639D1" w14:textId="3A7E8E14" w:rsidR="00773B9C" w:rsidRPr="00B61A09" w:rsidRDefault="00CA3FD3" w:rsidP="00552025">
      <w:pPr>
        <w:snapToGrid w:val="0"/>
        <w:spacing w:line="360" w:lineRule="auto"/>
        <w:ind w:firstLineChars="200" w:firstLine="420"/>
        <w:rPr>
          <w:rFonts w:ascii="宋体" w:cs="Times New Roman"/>
          <w:color w:val="000000"/>
        </w:rPr>
      </w:pPr>
      <w:r w:rsidRPr="00CA3FD3">
        <w:rPr>
          <w:rFonts w:ascii="Times New Roman" w:hAnsi="宋体" w:cs="Times New Roman" w:hint="eastAsia"/>
          <w:bCs/>
        </w:rPr>
        <w:t>5</w:t>
      </w:r>
      <w:r w:rsidRPr="00CA3FD3">
        <w:rPr>
          <w:rFonts w:ascii="Times New Roman" w:hAnsi="宋体" w:cs="Times New Roman" w:hint="eastAsia"/>
          <w:bCs/>
        </w:rPr>
        <w:t>、《基金合同》可印制成册，供投资者在基金管理人、基金托管人、销售机构的办公场所和营业场所查阅。</w:t>
      </w:r>
      <w:r w:rsidR="00773B9C" w:rsidRPr="00B61A09">
        <w:rPr>
          <w:rFonts w:ascii="宋体" w:cs="Times New Roman"/>
          <w:color w:val="000000"/>
          <w:kern w:val="0"/>
          <w:sz w:val="24"/>
          <w:szCs w:val="24"/>
        </w:rPr>
        <w:br w:type="page"/>
      </w:r>
    </w:p>
    <w:p w14:paraId="59A9F696" w14:textId="77777777" w:rsidR="003F75AE" w:rsidRPr="00FD4390" w:rsidRDefault="003F75AE">
      <w:pPr>
        <w:pStyle w:val="21"/>
        <w:numPr>
          <w:ilvl w:val="0"/>
          <w:numId w:val="23"/>
        </w:numPr>
        <w:tabs>
          <w:tab w:val="left" w:pos="420"/>
        </w:tabs>
        <w:snapToGrid w:val="0"/>
        <w:spacing w:before="0" w:after="0" w:line="360" w:lineRule="auto"/>
        <w:jc w:val="left"/>
        <w:rPr>
          <w:rFonts w:ascii="宋体" w:eastAsia="宋体" w:hAnsi="宋体" w:cs="Times New Roman"/>
          <w:b w:val="0"/>
        </w:rPr>
      </w:pPr>
      <w:bookmarkStart w:id="175" w:name="_Toc360794113"/>
      <w:bookmarkStart w:id="176" w:name="_Toc360794421"/>
      <w:bookmarkStart w:id="177" w:name="_Toc360794529"/>
      <w:bookmarkStart w:id="178" w:name="_Toc362533468"/>
      <w:bookmarkStart w:id="179" w:name="_Toc416453858"/>
      <w:bookmarkStart w:id="180" w:name="_Toc360793863"/>
      <w:bookmarkStart w:id="181" w:name="_Toc360793511"/>
      <w:bookmarkStart w:id="182" w:name="_Toc362455196"/>
      <w:bookmarkEnd w:id="167"/>
      <w:bookmarkEnd w:id="168"/>
      <w:bookmarkEnd w:id="169"/>
      <w:bookmarkEnd w:id="170"/>
      <w:bookmarkEnd w:id="171"/>
      <w:bookmarkEnd w:id="172"/>
      <w:bookmarkEnd w:id="173"/>
      <w:bookmarkEnd w:id="174"/>
      <w:r w:rsidRPr="00B61A09">
        <w:rPr>
          <w:rFonts w:ascii="宋体" w:eastAsia="宋体" w:hAnsi="宋体" w:cs="宋体" w:hint="eastAsia"/>
        </w:rPr>
        <w:lastRenderedPageBreak/>
        <w:t>基金托管协议的内容摘要</w:t>
      </w:r>
      <w:bookmarkEnd w:id="175"/>
      <w:bookmarkEnd w:id="176"/>
      <w:bookmarkEnd w:id="177"/>
      <w:bookmarkEnd w:id="178"/>
      <w:bookmarkEnd w:id="179"/>
      <w:bookmarkEnd w:id="180"/>
      <w:bookmarkEnd w:id="181"/>
      <w:bookmarkEnd w:id="182"/>
    </w:p>
    <w:p w14:paraId="6865B660" w14:textId="77777777" w:rsidR="003F75AE" w:rsidRPr="00B61A09" w:rsidRDefault="003F75AE">
      <w:pPr>
        <w:snapToGrid w:val="0"/>
        <w:spacing w:line="360" w:lineRule="auto"/>
        <w:rPr>
          <w:rFonts w:cs="Times New Roman"/>
        </w:rPr>
      </w:pPr>
    </w:p>
    <w:p w14:paraId="52DEFE52" w14:textId="77777777" w:rsidR="00C65467" w:rsidRPr="00C65467" w:rsidRDefault="00C65467" w:rsidP="00C65467">
      <w:pPr>
        <w:snapToGrid w:val="0"/>
        <w:spacing w:line="360" w:lineRule="auto"/>
        <w:ind w:firstLineChars="200" w:firstLine="420"/>
        <w:rPr>
          <w:rFonts w:ascii="宋体" w:cs="Times New Roman"/>
        </w:rPr>
      </w:pPr>
      <w:bookmarkStart w:id="183" w:name="_Hlt112616834"/>
      <w:bookmarkEnd w:id="183"/>
      <w:r w:rsidRPr="00C65467">
        <w:rPr>
          <w:rFonts w:ascii="宋体" w:cs="Times New Roman" w:hint="eastAsia"/>
        </w:rPr>
        <w:t>一、基金托管协议当事人</w:t>
      </w:r>
    </w:p>
    <w:p w14:paraId="2F4EB379"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（一）基金管理人</w:t>
      </w:r>
    </w:p>
    <w:p w14:paraId="7947E379"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名称：南方基金管理股份有限公司</w:t>
      </w:r>
    </w:p>
    <w:p w14:paraId="55EE93D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住所：深圳市福田区莲花街道益田路5999号基金大厦32-42楼</w:t>
      </w:r>
    </w:p>
    <w:p w14:paraId="3CAA74C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法定代表人：张海波</w:t>
      </w:r>
    </w:p>
    <w:p w14:paraId="724DB4D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成立日期：1998年3月6日</w:t>
      </w:r>
    </w:p>
    <w:p w14:paraId="2A1F0302"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批准设立机关及批准设立文号：中国证券监督管理委员会</w:t>
      </w:r>
      <w:proofErr w:type="gramStart"/>
      <w:r w:rsidRPr="00CA3FD3">
        <w:rPr>
          <w:rFonts w:ascii="宋体" w:cs="Times New Roman" w:hint="eastAsia"/>
        </w:rPr>
        <w:t>证监基字</w:t>
      </w:r>
      <w:proofErr w:type="gramEnd"/>
      <w:r w:rsidRPr="00CA3FD3">
        <w:rPr>
          <w:rFonts w:ascii="宋体" w:cs="Times New Roman" w:hint="eastAsia"/>
        </w:rPr>
        <w:t>[1998]4号</w:t>
      </w:r>
    </w:p>
    <w:p w14:paraId="02C31D0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组织形式：股份有限公司</w:t>
      </w:r>
    </w:p>
    <w:p w14:paraId="123E2D7A"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注册资本：3.6172亿元人民币</w:t>
      </w:r>
    </w:p>
    <w:p w14:paraId="76636C2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存续期间：持续经营</w:t>
      </w:r>
    </w:p>
    <w:p w14:paraId="5F39D66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经营范围：基金管理业务、发起设立基金及中国证券监督管理委员会批准的其他业务。</w:t>
      </w:r>
    </w:p>
    <w:p w14:paraId="48E4434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（二）基金托管人</w:t>
      </w:r>
    </w:p>
    <w:p w14:paraId="77F6DF2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名称：中国农业银行股份有限公司</w:t>
      </w:r>
    </w:p>
    <w:p w14:paraId="54DBB08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注册地址：北京市东城区建国门内大街69号</w:t>
      </w:r>
    </w:p>
    <w:p w14:paraId="0B0F673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办公地址：北京市西城区复兴门内大街28号</w:t>
      </w:r>
      <w:proofErr w:type="gramStart"/>
      <w:r w:rsidRPr="00CA3FD3">
        <w:rPr>
          <w:rFonts w:ascii="宋体" w:cs="Times New Roman" w:hint="eastAsia"/>
        </w:rPr>
        <w:t>凯</w:t>
      </w:r>
      <w:proofErr w:type="gramEnd"/>
      <w:r w:rsidRPr="00CA3FD3">
        <w:rPr>
          <w:rFonts w:ascii="宋体" w:cs="Times New Roman" w:hint="eastAsia"/>
        </w:rPr>
        <w:t>晨世贸中心东座</w:t>
      </w:r>
    </w:p>
    <w:p w14:paraId="68F833D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邮政编码：100031</w:t>
      </w:r>
    </w:p>
    <w:p w14:paraId="14EAF25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法定代表人：周慕冰</w:t>
      </w:r>
    </w:p>
    <w:p w14:paraId="1460B96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成立时间：2009年1月15日</w:t>
      </w:r>
    </w:p>
    <w:p w14:paraId="5DB528D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基金托管资格批准文号：中国证监会</w:t>
      </w:r>
      <w:proofErr w:type="gramStart"/>
      <w:r w:rsidRPr="00CA3FD3">
        <w:rPr>
          <w:rFonts w:ascii="宋体" w:cs="Times New Roman" w:hint="eastAsia"/>
        </w:rPr>
        <w:t>证监基字</w:t>
      </w:r>
      <w:proofErr w:type="gramEnd"/>
      <w:r w:rsidRPr="00CA3FD3">
        <w:rPr>
          <w:rFonts w:ascii="宋体" w:cs="Times New Roman" w:hint="eastAsia"/>
        </w:rPr>
        <w:t>[1998]23号</w:t>
      </w:r>
    </w:p>
    <w:p w14:paraId="09EC8F15"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批准设立机关和批准设立文号：中国银监</w:t>
      </w:r>
      <w:proofErr w:type="gramStart"/>
      <w:r w:rsidRPr="00CA3FD3">
        <w:rPr>
          <w:rFonts w:ascii="宋体" w:cs="Times New Roman" w:hint="eastAsia"/>
        </w:rPr>
        <w:t>会银监复</w:t>
      </w:r>
      <w:proofErr w:type="gramEnd"/>
      <w:r w:rsidRPr="00CA3FD3">
        <w:rPr>
          <w:rFonts w:ascii="宋体" w:cs="Times New Roman" w:hint="eastAsia"/>
        </w:rPr>
        <w:t>[2009]13号</w:t>
      </w:r>
    </w:p>
    <w:p w14:paraId="5339DD5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注册资本：32,479,411.7万元人民币</w:t>
      </w:r>
    </w:p>
    <w:p w14:paraId="6DED1BB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存续期间：持续经营</w:t>
      </w:r>
    </w:p>
    <w:p w14:paraId="4FCF717F" w14:textId="3C4DDFED" w:rsidR="00C65467" w:rsidRDefault="00CA3FD3" w:rsidP="00CA3FD3">
      <w:pPr>
        <w:snapToGrid w:val="0"/>
        <w:spacing w:line="360" w:lineRule="auto"/>
        <w:ind w:firstLineChars="200" w:firstLine="420"/>
        <w:rPr>
          <w:rFonts w:ascii="宋体" w:cs="Times New Roman"/>
        </w:rPr>
      </w:pPr>
      <w:r w:rsidRPr="00CA3FD3">
        <w:rPr>
          <w:rFonts w:ascii="宋体" w:cs="Times New Roman" w:hint="eastAsia"/>
        </w:rPr>
        <w:t xml:space="preserve">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w:t>
      </w:r>
      <w:proofErr w:type="gramStart"/>
      <w:r w:rsidRPr="00CA3FD3">
        <w:rPr>
          <w:rFonts w:ascii="宋体" w:cs="Times New Roman" w:hint="eastAsia"/>
        </w:rPr>
        <w:t>券</w:t>
      </w:r>
      <w:proofErr w:type="gramEnd"/>
      <w:r w:rsidRPr="00CA3FD3">
        <w:rPr>
          <w:rFonts w:ascii="宋体" w:cs="Times New Roman" w:hint="eastAsia"/>
        </w:rPr>
        <w:t>投资托管业务；代理开放式基金业务；电话银行、手机银行、网上银行业务；金融衍生产品</w:t>
      </w:r>
      <w:r w:rsidRPr="00CA3FD3">
        <w:rPr>
          <w:rFonts w:ascii="宋体" w:cs="Times New Roman" w:hint="eastAsia"/>
        </w:rPr>
        <w:lastRenderedPageBreak/>
        <w:t>交易业务；经国务院银行业监督管理机构等监管部门批准的其他业务。</w:t>
      </w:r>
    </w:p>
    <w:p w14:paraId="12945ED7" w14:textId="77777777" w:rsidR="00CA3FD3" w:rsidRPr="00C65467" w:rsidRDefault="00CA3FD3" w:rsidP="00CA3FD3">
      <w:pPr>
        <w:snapToGrid w:val="0"/>
        <w:spacing w:line="360" w:lineRule="auto"/>
        <w:ind w:firstLineChars="200" w:firstLine="420"/>
        <w:rPr>
          <w:rFonts w:ascii="宋体" w:cs="Times New Roman"/>
        </w:rPr>
      </w:pPr>
    </w:p>
    <w:p w14:paraId="6441E994"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二、基金托管人对基金管理人的业务监督和核查</w:t>
      </w:r>
    </w:p>
    <w:p w14:paraId="419CF3F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3D47880B" w14:textId="5790274A"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本基金主要投资于目标ETF基金份额、标的指数成份股、备选成份股。为更好地实现投资目标，本基金可少量投资于非成份股（包含主板、中小板、创业板及其他经中国证监会核准或注册发行的股票）、衍生工具（股指期货、股票期权等）、债券资产（国债、金融债、企业债、公司债、地方政府债券、次级债、可转换债券、可交换债券、央行票据、中期票据、短期融资</w:t>
      </w:r>
      <w:proofErr w:type="gramStart"/>
      <w:r w:rsidRPr="00CA3FD3">
        <w:rPr>
          <w:rFonts w:ascii="宋体" w:cs="Times New Roman" w:hint="eastAsia"/>
        </w:rPr>
        <w:t>券</w:t>
      </w:r>
      <w:proofErr w:type="gramEnd"/>
      <w:r w:rsidRPr="00CA3FD3">
        <w:rPr>
          <w:rFonts w:ascii="宋体" w:cs="Times New Roman" w:hint="eastAsia"/>
        </w:rPr>
        <w:t>、超短期融资券等）、资产支持证券、债券回购、银行存款、同业存单、现金资产、货币市场工具以及中国证监会允许基金投资的其他金融工具（但须符合中国证监会的相关规定）。</w:t>
      </w:r>
    </w:p>
    <w:p w14:paraId="7C3AF4D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的投资组合比例为：本基金投资于目标ETF的比例不低于基金资产净值的90%。每个交易日日终在扣除股指期货、股票期权合约需缴纳的交易保证金后，现金或到期日在一年以内的政府债券的投资比例不低于基金资产净值的5%，其中现金不包括结算备付金、存出保证金、应收申购款等。</w:t>
      </w:r>
    </w:p>
    <w:p w14:paraId="7CD0F7E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基金管理人根据相关规定可参与转融通证券出借业务。</w:t>
      </w:r>
    </w:p>
    <w:p w14:paraId="77C38AD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如法律法规或监管机构以后允许基金投资其他品种，基金管理人在履行适当程序后，可以将其纳入投资范围。</w:t>
      </w:r>
    </w:p>
    <w:p w14:paraId="23B3762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（二）基金托管人根据有关法律法规的规定及基金合同的约定，对基金投资、融资、融券比例进行监督。基金托管人按下述比例和调整期限进行监督：</w:t>
      </w:r>
    </w:p>
    <w:p w14:paraId="36C7F08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（1）本基金投资于目标ETF的比例不低于基金资产净值的90%；</w:t>
      </w:r>
    </w:p>
    <w:p w14:paraId="2F64819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每个交易日日终在扣除股指期货、股票期权合约需缴纳的交易保证金后，现金或到期日在一年以内的政府债券的投资比例不低于基金资产净值的5％，其中现金不包括结算备付金、存出保证金、应收申购款等；</w:t>
      </w:r>
    </w:p>
    <w:p w14:paraId="3DCCE11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（3）本基金投资于同一原始权益人的各类资产支持证券的比例，不得超过基金资产净值的10％；</w:t>
      </w:r>
    </w:p>
    <w:p w14:paraId="77E4EC2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（4）本基金持有的全部资产支持证券，其市值不得超过基金资产净值的20％；</w:t>
      </w:r>
    </w:p>
    <w:p w14:paraId="24446D1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（5）本基金持有的同一(指同一信用级别)资产支持证券的比例，不得超过该资产支持证券规模的10％；</w:t>
      </w:r>
    </w:p>
    <w:p w14:paraId="701A960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（6）本基金管理人管理的、且由本基金托管人托管的全部基金投资于同一原始权益人</w:t>
      </w:r>
      <w:r w:rsidRPr="00CA3FD3">
        <w:rPr>
          <w:rFonts w:ascii="宋体" w:cs="Times New Roman" w:hint="eastAsia"/>
        </w:rPr>
        <w:lastRenderedPageBreak/>
        <w:t>的各类资产支持证券，不得超过其各类资产支持证券合计规模的10％；</w:t>
      </w:r>
    </w:p>
    <w:p w14:paraId="46FA4FA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（7）本基金应投资于信用级别评级为BBB以上(含BBB)的资产支持证券。基金持有资产支持证券期间，如果其信用等级下降、不再符合投资标准，应在评级报告发布之日起3个月内予以全部卖出；</w:t>
      </w:r>
    </w:p>
    <w:p w14:paraId="0BCD994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（8）基金财产参与股票发行申购，本基金所申报的金额不超过本基金的总资产，本基金所申报的股票数量不超过拟发行股票公司本次发行股票的总量；</w:t>
      </w:r>
    </w:p>
    <w:p w14:paraId="697CE3D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（9）本基金进入全国银行间同业市场进行债券回购的资金余额不得超过基金资产净值的40%，债券回购最长期限为1年，债券回购到期后不得展期；</w:t>
      </w:r>
    </w:p>
    <w:p w14:paraId="773DCD2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10）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18F347E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（11）本基金与私募类</w:t>
      </w:r>
      <w:proofErr w:type="gramStart"/>
      <w:r w:rsidRPr="00CA3FD3">
        <w:rPr>
          <w:rFonts w:ascii="宋体" w:cs="Times New Roman" w:hint="eastAsia"/>
        </w:rPr>
        <w:t>证券资管产品</w:t>
      </w:r>
      <w:proofErr w:type="gramEnd"/>
      <w:r w:rsidRPr="00CA3FD3">
        <w:rPr>
          <w:rFonts w:ascii="宋体" w:cs="Times New Roman" w:hint="eastAsia"/>
        </w:rPr>
        <w:t>及中国证监会认定的其他主体为交易对手开展逆回购交易的，可接受质押品的资质要求应当与基金合同约定的投资范围保持一致。</w:t>
      </w:r>
    </w:p>
    <w:p w14:paraId="481A256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（12）本基金资产总值不超过基金资产净值的140%；</w:t>
      </w:r>
    </w:p>
    <w:p w14:paraId="2E1910D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（13）本基金参与股指期货交易，应当符合下列投资限制：</w:t>
      </w:r>
    </w:p>
    <w:p w14:paraId="12A80C0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1）本基金在任何交易日日终，持有的买入股指期货合约价值，不得超过基金资产净值的10%；</w:t>
      </w:r>
    </w:p>
    <w:p w14:paraId="53E349E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本基金在任何交易日日终，持有的买入期货合约价值与有价证券市值之和，不得超过基金资产净值的100%，其中，有价证券指股票、债券（不含到期日在一年以内的政府债券）、资产支持证券、买入返售金融资产（不含质押式回购）等；</w:t>
      </w:r>
    </w:p>
    <w:p w14:paraId="5197146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3）本基金在任何交易日日终，持有的卖出期货合约价值不得超过基金持有的股票总市值的20%。</w:t>
      </w:r>
    </w:p>
    <w:p w14:paraId="2BF7C74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4）本基金所持有的股票市值和买入、卖出股指期货合约价值，合计（轧差计算）应当符合基金合同关于股票投资比例的有关约定；</w:t>
      </w:r>
    </w:p>
    <w:p w14:paraId="5BA4F0A4"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5）本基金在任何交易日内交易（不包括平仓）的股指期货合约的成交金额不得超过上一交易日基金资产净值的20%；</w:t>
      </w:r>
    </w:p>
    <w:p w14:paraId="61B0BB7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（14）本基金参与股票期权交易，应当符合下列投资限制：</w:t>
      </w:r>
    </w:p>
    <w:p w14:paraId="54148FA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1）基金因未平仓的期权合约支付和收取的权利金总额不得超过基金资产净值的10%；</w:t>
      </w:r>
    </w:p>
    <w:p w14:paraId="33D9030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2）开仓卖出认购期权的，应持有足额标的证券；开仓卖出认沽期权的，应持有合约行权所需的全额现金或交易所规则认可的可冲抵期权保证金的现金等价物；</w:t>
      </w:r>
    </w:p>
    <w:p w14:paraId="2756880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3）未平仓的期权合约面值不得超过基金资产净值的20%。其中，合约面值按照行权价乘以合约乘数计算；</w:t>
      </w:r>
    </w:p>
    <w:p w14:paraId="3DAC3B05"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（15）本基金参与转融通证券出借业务的,应当符合下列要求：</w:t>
      </w:r>
    </w:p>
    <w:p w14:paraId="1361128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1）本基金在任何交易日日终，参与转融通证券出借业务的资产不得超过基金资产净值</w:t>
      </w:r>
      <w:r w:rsidRPr="00CA3FD3">
        <w:rPr>
          <w:rFonts w:ascii="宋体" w:cs="Times New Roman" w:hint="eastAsia"/>
        </w:rPr>
        <w:lastRenderedPageBreak/>
        <w:t>的30%，其中出借期限在10个交易日以上的出借证券应纳入《流动性风险管理规定》所述流动性受限证券的范围；</w:t>
      </w:r>
    </w:p>
    <w:p w14:paraId="0E1155A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2）本基金在任何交易日日终，参与出借业务的单只证券不得超过基金持有该证券总量的50%；</w:t>
      </w:r>
    </w:p>
    <w:p w14:paraId="4A0EFA59"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3）证券出借的平均剩余期限不得超过30天，平均剩余期限按市值加权平均计算；</w:t>
      </w:r>
    </w:p>
    <w:p w14:paraId="3BA701A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4）最近6个月内日均基金资产净值不得低于2亿元。</w:t>
      </w:r>
    </w:p>
    <w:p w14:paraId="10F70491"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（16）法律法规及中国证监会规定的和《基金合同》约定的其他投资限制。</w:t>
      </w:r>
    </w:p>
    <w:p w14:paraId="6F76D82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除上述第（1）项应当在20个交易日内进行调整，第（2）、（7）、（10）、（11）、（15）项另有约定外，因证券/期货市场波动、证券发行人合并、基金规模变动、标的指数成份股调整、标的指数成份股流动性限制、目标 ETF 暂停申购、赎回或二级市场交易停牌等基金管理人之外的因素致使基金投资比例不符合上述规定投资比例的，基金管理人应当在10个交易日内进行调整，但中国证监会规定的特殊情形除外。法律法规另有规定的，从其规定。</w:t>
      </w:r>
    </w:p>
    <w:p w14:paraId="3D50750A"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本基金参与转融通证券出借业务，因证券市场波动、上市公司合并、基金规模变动等基金管理人之外的因素致使基金投资不符合上述第（15）项规定的，基金管理人不得新增出借业务。</w:t>
      </w:r>
    </w:p>
    <w:p w14:paraId="52A6E51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7B0534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14:paraId="72772759"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基金托管人对基金投资的监督和检查自基金合同生效之日起开始。</w:t>
      </w:r>
    </w:p>
    <w:p w14:paraId="602D84C1"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（三）基金托管人根据有关法律法规的规定及基金合同的约定，对本协议第十五条第（九）项基金投资禁止行为进行监督。</w:t>
      </w:r>
    </w:p>
    <w:p w14:paraId="4D4AD10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4A41EF7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w:t>
      </w:r>
      <w:r w:rsidRPr="00CA3FD3">
        <w:rPr>
          <w:rFonts w:ascii="宋体" w:cs="Times New Roman" w:hint="eastAsia"/>
        </w:rPr>
        <w:lastRenderedPageBreak/>
        <w:t>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E8D17C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14:paraId="65D5FBD1"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（五）基金托管人根据有关法律法规的规定及基金合同的约定，对基金管理人投资银行存款进行监督。</w:t>
      </w:r>
    </w:p>
    <w:p w14:paraId="5D2A688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基金投资银行存款的，基金管理人应根据法律法规的规定及基金合同的约定，建立投资制度、审慎选择存款银行，做好风险控制；并按照基金托管人的要求配合基金托管人完成相关业务办理。</w:t>
      </w:r>
    </w:p>
    <w:p w14:paraId="3EF9CB14"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六）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14:paraId="0FF0A0A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D4FC6B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如果基金管理人未经基金托管人的审核擅自将不实的业绩表现数据印制在宣传推介材料上，</w:t>
      </w:r>
      <w:proofErr w:type="gramStart"/>
      <w:r w:rsidRPr="00CA3FD3">
        <w:rPr>
          <w:rFonts w:ascii="宋体" w:cs="Times New Roman" w:hint="eastAsia"/>
        </w:rPr>
        <w:t>则基金</w:t>
      </w:r>
      <w:proofErr w:type="gramEnd"/>
      <w:r w:rsidRPr="00CA3FD3">
        <w:rPr>
          <w:rFonts w:ascii="宋体" w:cs="Times New Roman" w:hint="eastAsia"/>
        </w:rPr>
        <w:t>托管人对此不承担任何责任，并将在发现后立即报告中国证监会。</w:t>
      </w:r>
    </w:p>
    <w:p w14:paraId="1888109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（八）基金托管人根据有关法律法规的规定及基金合同的约定，对基金投资流通受限证券进行监督。</w:t>
      </w:r>
    </w:p>
    <w:p w14:paraId="36F2033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1、基金投资流通受限证券，应遵守《关于基金投资非公开发行股票等流通受限证券有关问题的通知》等有关法律法规规定。</w:t>
      </w:r>
    </w:p>
    <w:p w14:paraId="7D7341C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2、流通受限证券，包括由《上市公司证券发行管理办法》规范的非公开发行股票、公</w:t>
      </w:r>
      <w:r w:rsidRPr="00CA3FD3">
        <w:rPr>
          <w:rFonts w:ascii="宋体" w:cs="Times New Roman" w:hint="eastAsia"/>
        </w:rPr>
        <w:lastRenderedPageBreak/>
        <w:t>开发行股票网下配售部分等在发行时明确一定期限锁定期的可交易证券,不包括由于发布重大消息或其他原因而临时停牌的证券、已发行未上市证券、回购交易中的质押</w:t>
      </w:r>
      <w:proofErr w:type="gramStart"/>
      <w:r w:rsidRPr="00CA3FD3">
        <w:rPr>
          <w:rFonts w:ascii="宋体" w:cs="Times New Roman" w:hint="eastAsia"/>
        </w:rPr>
        <w:t>券</w:t>
      </w:r>
      <w:proofErr w:type="gramEnd"/>
      <w:r w:rsidRPr="00CA3FD3">
        <w:rPr>
          <w:rFonts w:ascii="宋体" w:cs="Times New Roman" w:hint="eastAsia"/>
        </w:rPr>
        <w:t xml:space="preserve">等流通受限证券。                                                    </w:t>
      </w:r>
    </w:p>
    <w:p w14:paraId="49B0655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0F2C647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4.在投资流通受限证券之前，基金管理人应至少提前一个交易日向基金托管人提供有关流通受限证券的相关信息，具体应当包括但不限于如下文件（如有）：</w:t>
      </w:r>
    </w:p>
    <w:p w14:paraId="3517FDD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4728A5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932B00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6.基金管理人应保证基金投资的受限证券登记存管在本基金名下，并</w:t>
      </w:r>
      <w:proofErr w:type="gramStart"/>
      <w:r w:rsidRPr="00CA3FD3">
        <w:rPr>
          <w:rFonts w:ascii="宋体" w:cs="Times New Roman" w:hint="eastAsia"/>
        </w:rPr>
        <w:t>确保证</w:t>
      </w:r>
      <w:proofErr w:type="gramEnd"/>
      <w:r w:rsidRPr="00CA3FD3">
        <w:rPr>
          <w:rFonts w:ascii="宋体" w:cs="Times New Roman" w:hint="eastAsia"/>
        </w:rPr>
        <w:t>基金托管人能够正常查询。因基金管理</w:t>
      </w:r>
      <w:proofErr w:type="gramStart"/>
      <w:r w:rsidRPr="00CA3FD3">
        <w:rPr>
          <w:rFonts w:ascii="宋体" w:cs="Times New Roman" w:hint="eastAsia"/>
        </w:rPr>
        <w:t>人原因</w:t>
      </w:r>
      <w:proofErr w:type="gramEnd"/>
      <w:r w:rsidRPr="00CA3FD3">
        <w:rPr>
          <w:rFonts w:ascii="宋体" w:cs="Times New Roman" w:hint="eastAsia"/>
        </w:rPr>
        <w:t>产生的受限证券登记存管问题，造成基金财产的损失或基金托管人无法安全保管基金财产的责任与损失，由基金管理人承担。</w:t>
      </w:r>
    </w:p>
    <w:p w14:paraId="5898F19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14:paraId="7E79D66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323C48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lastRenderedPageBreak/>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4FAAC7CE" w14:textId="2E373A0C" w:rsidR="00C65467" w:rsidRDefault="00CA3FD3" w:rsidP="00CA3FD3">
      <w:pPr>
        <w:snapToGrid w:val="0"/>
        <w:spacing w:line="360" w:lineRule="auto"/>
        <w:ind w:firstLineChars="200" w:firstLine="420"/>
        <w:rPr>
          <w:rFonts w:ascii="宋体" w:cs="Times New Roman"/>
        </w:rPr>
      </w:pPr>
      <w:r w:rsidRPr="00CA3FD3">
        <w:rPr>
          <w:rFonts w:ascii="宋体" w:cs="Times New Roman" w:hint="eastAsia"/>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r w:rsidRPr="00CA3FD3">
        <w:rPr>
          <w:rFonts w:ascii="宋体" w:cs="Times New Roman"/>
        </w:rPr>
        <w:t> </w:t>
      </w:r>
    </w:p>
    <w:p w14:paraId="17BAB162" w14:textId="77777777" w:rsidR="00CA3FD3" w:rsidRPr="00C65467" w:rsidRDefault="00CA3FD3" w:rsidP="00CA3FD3">
      <w:pPr>
        <w:snapToGrid w:val="0"/>
        <w:spacing w:line="360" w:lineRule="auto"/>
        <w:ind w:firstLineChars="200" w:firstLine="420"/>
        <w:rPr>
          <w:rFonts w:ascii="宋体" w:cs="Times New Roman"/>
        </w:rPr>
      </w:pPr>
    </w:p>
    <w:p w14:paraId="65BFF908"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三、基金管理人对基金托管人的业务核查</w:t>
      </w:r>
    </w:p>
    <w:p w14:paraId="3C690CA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14:paraId="2516A98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sidRPr="00CA3FD3">
        <w:rPr>
          <w:rFonts w:ascii="宋体" w:cs="Times New Roman" w:hint="eastAsia"/>
        </w:rPr>
        <w:t>供基金</w:t>
      </w:r>
      <w:proofErr w:type="gramEnd"/>
      <w:r w:rsidRPr="00CA3FD3">
        <w:rPr>
          <w:rFonts w:ascii="宋体" w:cs="Times New Roman" w:hint="eastAsia"/>
        </w:rPr>
        <w:t>管理人核查托管财产的完整性和真实性，在规定时间内答复基金管理人并改正。</w:t>
      </w:r>
    </w:p>
    <w:p w14:paraId="10C1A7E3" w14:textId="717156A2" w:rsidR="00C65467" w:rsidRDefault="00CA3FD3" w:rsidP="00CA3FD3">
      <w:pPr>
        <w:snapToGrid w:val="0"/>
        <w:spacing w:line="360" w:lineRule="auto"/>
        <w:ind w:firstLineChars="200" w:firstLine="420"/>
        <w:rPr>
          <w:rFonts w:ascii="宋体" w:cs="Times New Roman"/>
        </w:rPr>
      </w:pPr>
      <w:r w:rsidRPr="00CA3FD3">
        <w:rPr>
          <w:rFonts w:ascii="宋体" w:cs="Times New Roman"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4157B77" w14:textId="77777777" w:rsidR="00CA3FD3" w:rsidRPr="00C65467" w:rsidRDefault="00CA3FD3" w:rsidP="00CA3FD3">
      <w:pPr>
        <w:snapToGrid w:val="0"/>
        <w:spacing w:line="360" w:lineRule="auto"/>
        <w:ind w:firstLineChars="200" w:firstLine="420"/>
        <w:rPr>
          <w:rFonts w:ascii="宋体" w:cs="Times New Roman"/>
        </w:rPr>
      </w:pPr>
    </w:p>
    <w:p w14:paraId="70526C3B"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四、基金财产的保管</w:t>
      </w:r>
    </w:p>
    <w:p w14:paraId="3B0E1C4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（一）基金财产保管的原则</w:t>
      </w:r>
    </w:p>
    <w:p w14:paraId="275F7795"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1、基金财产应独立于基金管理人、基金托管人的固有财产。</w:t>
      </w:r>
    </w:p>
    <w:p w14:paraId="147B53E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2、基金托管人应安全保管基金财产。未经基金管理人依据合法程序</w:t>
      </w:r>
      <w:proofErr w:type="gramStart"/>
      <w:r w:rsidRPr="00CA3FD3">
        <w:rPr>
          <w:rFonts w:ascii="宋体" w:cs="Times New Roman" w:hint="eastAsia"/>
        </w:rPr>
        <w:t>作出</w:t>
      </w:r>
      <w:proofErr w:type="gramEnd"/>
      <w:r w:rsidRPr="00CA3FD3">
        <w:rPr>
          <w:rFonts w:ascii="宋体" w:cs="Times New Roman" w:hint="eastAsia"/>
        </w:rPr>
        <w:t>的合法合规指令，基金托管人不得自行运用、处分、分配基金的任何财产。</w:t>
      </w:r>
    </w:p>
    <w:p w14:paraId="5A4F081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3、基金托管人按照规定开设基金财产的资金账户和证券账户。</w:t>
      </w:r>
    </w:p>
    <w:p w14:paraId="24F6D451"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4、基金托管人对所托管的不同基金财产分别设置账户，确保基金财产的完整与独立。</w:t>
      </w:r>
    </w:p>
    <w:p w14:paraId="2C3BFF7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lastRenderedPageBreak/>
        <w:t>5、基金托管人根据基金管理人的指令，按照基金合同和本协议的约定保管基金财产，如有特殊情况双方可另行协商解决。</w:t>
      </w:r>
    </w:p>
    <w:p w14:paraId="14C4627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4D02D1E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7、除依据法律法规和基金合同的规定外，基金托管人不得委托第三人托管基金财产。</w:t>
      </w:r>
    </w:p>
    <w:p w14:paraId="003ADD11"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（二）基金募集期间及募集资金的验资</w:t>
      </w:r>
    </w:p>
    <w:p w14:paraId="6D3F825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1、基金募集期间的资金应存于基金管理人在具有托管资格的商业银行开设的基金认购专户。该账户由基金管理人开立并管理。</w:t>
      </w:r>
    </w:p>
    <w:p w14:paraId="3878CB35" w14:textId="50401461"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w:t>
      </w:r>
      <w:r w:rsidR="001E4BC7">
        <w:rPr>
          <w:rFonts w:ascii="宋体" w:cs="Times New Roman" w:hint="eastAsia"/>
        </w:rPr>
        <w:t>具有从事证券、期货相关业务资格</w:t>
      </w:r>
      <w:r w:rsidRPr="00CA3FD3">
        <w:rPr>
          <w:rFonts w:ascii="宋体" w:cs="Times New Roman" w:hint="eastAsia"/>
        </w:rPr>
        <w:t>的会计师事务所进行验资，出具验资报告。出具的验资报告由参加验资的2名或2名以上中国注册会计师签字方为有效。</w:t>
      </w:r>
    </w:p>
    <w:p w14:paraId="0D187292"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w:t>
      </w:r>
      <w:proofErr w:type="gramStart"/>
      <w:r w:rsidRPr="00CA3FD3">
        <w:rPr>
          <w:rFonts w:ascii="宋体" w:cs="Times New Roman" w:hint="eastAsia"/>
        </w:rPr>
        <w:t>若基金</w:t>
      </w:r>
      <w:proofErr w:type="gramEnd"/>
      <w:r w:rsidRPr="00CA3FD3">
        <w:rPr>
          <w:rFonts w:ascii="宋体" w:cs="Times New Roman" w:hint="eastAsia"/>
        </w:rPr>
        <w:t>募集期限届满，未能达到基金合同生效的条件，由基金管理人按规定办理退款等事宜，基金托管人应提供充分协助。</w:t>
      </w:r>
    </w:p>
    <w:p w14:paraId="7DEFF4F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（三）基金资金账户的开立和管理</w:t>
      </w:r>
    </w:p>
    <w:p w14:paraId="7996D00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1、基金托管人应负责本基金的资金账户的开设和管理。</w:t>
      </w:r>
    </w:p>
    <w:p w14:paraId="29B84E7A"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 基金托管人可以本基金的名义在其营业机构开设本基金的资金账户，并根据基金管理人合法合</w:t>
      </w:r>
      <w:proofErr w:type="gramStart"/>
      <w:r w:rsidRPr="00CA3FD3">
        <w:rPr>
          <w:rFonts w:ascii="宋体" w:cs="Times New Roman" w:hint="eastAsia"/>
        </w:rPr>
        <w:t>规</w:t>
      </w:r>
      <w:proofErr w:type="gramEnd"/>
      <w:r w:rsidRPr="00CA3FD3">
        <w:rPr>
          <w:rFonts w:ascii="宋体" w:cs="Times New Roman" w:hint="eastAsia"/>
        </w:rPr>
        <w:t>的指令办理资金收付。本基金的银行预留印鉴由基金托管人保管和使用。本基金的一切货币收支活动，包括但不限于投资、支付赎回金额、支付基金收益、收取申购款，均需通过本基金的资金账户进行。</w:t>
      </w:r>
    </w:p>
    <w:p w14:paraId="1EA76A6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14:paraId="17A8A65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4、基金托管资金账户的开立和管理应符合相关法律法规的有关规定。</w:t>
      </w:r>
    </w:p>
    <w:p w14:paraId="3C030E2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5、在符合法律法规规定的条件下，基金托管人可以通过基金托管人专用账户办理基金资产的支付。</w:t>
      </w:r>
    </w:p>
    <w:p w14:paraId="5C43F71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（四）基金证券账户的开立和管理</w:t>
      </w:r>
    </w:p>
    <w:p w14:paraId="366B1B4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1、基金托管人在中国证券登记结算有限责任公司上海分公司、深圳分公司为基金开立基金托管人与基金联名的证券账户。</w:t>
      </w:r>
    </w:p>
    <w:p w14:paraId="4602382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5E31F7D4"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lastRenderedPageBreak/>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3DFD65E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4、基金证券账户的开立和证券账户卡的保管由基金托管人负责，账户资产的管理和运用由基金管理人负责。</w:t>
      </w:r>
    </w:p>
    <w:p w14:paraId="3D3BC369"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5、在本托管协议生效日之后，本基金被允许从事其他投资品种的投资业务，涉及相关账户的开设、使用的，按有关规定开设、使用并管理；若无相关规定，</w:t>
      </w:r>
      <w:proofErr w:type="gramStart"/>
      <w:r w:rsidRPr="00CA3FD3">
        <w:rPr>
          <w:rFonts w:ascii="宋体" w:cs="Times New Roman" w:hint="eastAsia"/>
        </w:rPr>
        <w:t>则基金</w:t>
      </w:r>
      <w:proofErr w:type="gramEnd"/>
      <w:r w:rsidRPr="00CA3FD3">
        <w:rPr>
          <w:rFonts w:ascii="宋体" w:cs="Times New Roman" w:hint="eastAsia"/>
        </w:rPr>
        <w:t>托管人应当比照并遵守上述关于账户开设、使用的规定。</w:t>
      </w:r>
    </w:p>
    <w:p w14:paraId="38C4613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（五）债券托管专户的开设和管理</w:t>
      </w:r>
    </w:p>
    <w:p w14:paraId="60D28585"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075939E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（六）其他账户的开立和管理</w:t>
      </w:r>
    </w:p>
    <w:p w14:paraId="050F0CB1"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1、因业务发展需要而开立的其他账户，可以根据法律法规和基金合同的规定，在基金管理人和基金托管人商议后开立。新账户按有关规则使用并管理。</w:t>
      </w:r>
    </w:p>
    <w:p w14:paraId="2D66978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2、法律法规等有关规定对相关账户的开立和管理另有规定的，从其规定办理。</w:t>
      </w:r>
    </w:p>
    <w:p w14:paraId="53CEE1F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（七）基金财产投资的有关有价凭证等的保管</w:t>
      </w:r>
    </w:p>
    <w:p w14:paraId="42C0949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7111D52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（八）与基金财产有关的重大合同的保管</w:t>
      </w:r>
    </w:p>
    <w:p w14:paraId="250EF930" w14:textId="542B00A6" w:rsidR="00C65467" w:rsidRDefault="00CA3FD3" w:rsidP="00CA3FD3">
      <w:pPr>
        <w:snapToGrid w:val="0"/>
        <w:spacing w:line="360" w:lineRule="auto"/>
        <w:ind w:firstLineChars="200" w:firstLine="420"/>
        <w:rPr>
          <w:rFonts w:ascii="宋体" w:cs="Times New Roman"/>
        </w:rPr>
      </w:pPr>
      <w:r w:rsidRPr="00CA3FD3">
        <w:rPr>
          <w:rFonts w:ascii="宋体" w:cs="Times New Roman"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10C4C53C" w14:textId="77777777" w:rsidR="00CA3FD3" w:rsidRPr="00C65467" w:rsidRDefault="00CA3FD3" w:rsidP="00CA3FD3">
      <w:pPr>
        <w:snapToGrid w:val="0"/>
        <w:spacing w:line="360" w:lineRule="auto"/>
        <w:ind w:firstLineChars="200" w:firstLine="420"/>
        <w:rPr>
          <w:rFonts w:ascii="宋体" w:cs="Times New Roman"/>
        </w:rPr>
      </w:pPr>
    </w:p>
    <w:p w14:paraId="4A7A73B0"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五、基金资产净值计算和会计核算</w:t>
      </w:r>
    </w:p>
    <w:p w14:paraId="7DE3CBF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（一）基金资产净值的计算及复核程序</w:t>
      </w:r>
    </w:p>
    <w:p w14:paraId="27159E4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1、基金资产净值</w:t>
      </w:r>
    </w:p>
    <w:p w14:paraId="0364C21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基金资产净值是指基金资产总值减去负债后的净资产值。</w:t>
      </w:r>
    </w:p>
    <w:p w14:paraId="4B77833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基金份额净值是指基金资产净值除以基金份额总数后得到的基金份额的资产净值。各类</w:t>
      </w:r>
      <w:r w:rsidRPr="00CA3FD3">
        <w:rPr>
          <w:rFonts w:ascii="宋体" w:cs="Times New Roman" w:hint="eastAsia"/>
        </w:rPr>
        <w:lastRenderedPageBreak/>
        <w:t>基金份额的基金份额净值的计算，精确到0.0001元，小数点后第五位四舍五入，由此产生的误差计入基金财产。国家另有规定的，从其规定。</w:t>
      </w:r>
    </w:p>
    <w:p w14:paraId="42F2978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基金管理人每个估值日计算基金资产净值及各类基金份额的基金份额净值，并按规定公告。</w:t>
      </w:r>
    </w:p>
    <w:p w14:paraId="6FACAE4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2、复核程序</w:t>
      </w:r>
    </w:p>
    <w:p w14:paraId="4EA69A2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基金管理人每估值日对基金资产进行估值后，将各类基金份额的基金份额净值结果发送基金托管人，经基金托管人复核无误后，由基金管理人依据基金合同和相关法律法规的规定对外公布。</w:t>
      </w:r>
    </w:p>
    <w:p w14:paraId="6874CB91"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（二）基金资产估值方法和特殊情形的处理</w:t>
      </w:r>
    </w:p>
    <w:p w14:paraId="63B26E1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1、估值对象</w:t>
      </w:r>
    </w:p>
    <w:p w14:paraId="4F3732B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基金所拥有的目标ETF基金份额、股票、债券、银行存款本息、应收款项、衍生工具和其他投资等资产及负债。</w:t>
      </w:r>
    </w:p>
    <w:p w14:paraId="13A16AB4"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2、估值方法</w:t>
      </w:r>
    </w:p>
    <w:p w14:paraId="32873529"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（1）目标ETF的估值</w:t>
      </w:r>
    </w:p>
    <w:p w14:paraId="080F417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本基金投资的目标ETF份额以其估值日基金份额净值估值。</w:t>
      </w:r>
    </w:p>
    <w:p w14:paraId="4C4EFDF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（2）证券交易所上市的有价证券的估值</w:t>
      </w:r>
    </w:p>
    <w:p w14:paraId="0D72E6F9"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C138EF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2）交易所上市交易或挂牌转让的不含</w:t>
      </w:r>
      <w:proofErr w:type="gramStart"/>
      <w:r w:rsidRPr="00CA3FD3">
        <w:rPr>
          <w:rFonts w:ascii="宋体" w:cs="Times New Roman" w:hint="eastAsia"/>
        </w:rPr>
        <w:t>权固定</w:t>
      </w:r>
      <w:proofErr w:type="gramEnd"/>
      <w:r w:rsidRPr="00CA3FD3">
        <w:rPr>
          <w:rFonts w:ascii="宋体" w:cs="Times New Roman" w:hint="eastAsia"/>
        </w:rPr>
        <w:t>收益品种，选取估值日第三方估值机构提供的相应品种当日的估值净价进行估值；</w:t>
      </w:r>
    </w:p>
    <w:p w14:paraId="655F54A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3）交易所上市交易或挂牌转让的含</w:t>
      </w:r>
      <w:proofErr w:type="gramStart"/>
      <w:r w:rsidRPr="00CA3FD3">
        <w:rPr>
          <w:rFonts w:ascii="宋体" w:cs="Times New Roman" w:hint="eastAsia"/>
        </w:rPr>
        <w:t>权固定</w:t>
      </w:r>
      <w:proofErr w:type="gramEnd"/>
      <w:r w:rsidRPr="00CA3FD3">
        <w:rPr>
          <w:rFonts w:ascii="宋体" w:cs="Times New Roman" w:hint="eastAsia"/>
        </w:rPr>
        <w:t>收益品种，选取估值日第三方估值机构提供的相应品种当日的唯一估值净价或推荐估值净价进行估值；</w:t>
      </w:r>
    </w:p>
    <w:p w14:paraId="154008E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4）交易所上市交易的可转换债券以每日收盘价作为估值全价；</w:t>
      </w:r>
    </w:p>
    <w:p w14:paraId="54A2452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5）交易所上市不存在活跃市场的有价证券，采用估值技术确定公允价值。交易所市场挂牌转让的资产支持证券，采用估值技术确定公允价值；</w:t>
      </w:r>
    </w:p>
    <w:p w14:paraId="7043F50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A1D1F01"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（3）处于未上市期间的有价证券应区分如下情况处理：</w:t>
      </w:r>
    </w:p>
    <w:p w14:paraId="4A3B728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1）送股、转增股、配股和公开增发的新股，按估值日在证券交易所挂牌的同一股票的</w:t>
      </w:r>
      <w:r w:rsidRPr="00CA3FD3">
        <w:rPr>
          <w:rFonts w:ascii="宋体" w:cs="Times New Roman" w:hint="eastAsia"/>
        </w:rPr>
        <w:lastRenderedPageBreak/>
        <w:t>估值方法估值；该日无交易的，以最近一日的市价（收盘价）估值；</w:t>
      </w:r>
    </w:p>
    <w:p w14:paraId="65A6A1E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2）首次公开发行未上市的股票和债券，采用估值技术确定公允价值，在估值技术难以可靠计量公允价值的情况下，按成本估值。</w:t>
      </w:r>
    </w:p>
    <w:p w14:paraId="449DFF79"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A3FD3">
        <w:rPr>
          <w:rFonts w:ascii="宋体" w:cs="Times New Roman" w:hint="eastAsia"/>
        </w:rPr>
        <w:t>券</w:t>
      </w:r>
      <w:proofErr w:type="gramEnd"/>
      <w:r w:rsidRPr="00CA3FD3">
        <w:rPr>
          <w:rFonts w:ascii="宋体" w:cs="Times New Roman" w:hint="eastAsia"/>
        </w:rPr>
        <w:t>等流通受限股票，按监管机构或行业协会有关规定确定公允价值。</w:t>
      </w:r>
    </w:p>
    <w:p w14:paraId="7C5E95A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3A0198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（5）如有确凿证据表明按上述方法进行估值不能客观反映其公允价值的，基金管理人可根据具体情况与基金托管人商定后，按最能反映公允价值的价格估值。</w:t>
      </w:r>
    </w:p>
    <w:p w14:paraId="4001606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（6）本基金投资股指期货合约，股票期权合约，一般以估值当日结算价进行 估值，估值当日无结算价的，且最近交易日后经济环境未发生重大变化的，采用 最近交易日结算价估值。</w:t>
      </w:r>
    </w:p>
    <w:p w14:paraId="0FDB7CDA"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（7）基金参与转融通证券出借业务的，应参照相关法律法规和中国证券投资基金业协会发布的相关规定进行估值，确保估值的公允性。</w:t>
      </w:r>
    </w:p>
    <w:p w14:paraId="72516439"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（8）当发生大额申购或赎回情形时，基金管理人可以采用摆动定价机制，以确保基金估值的公平性。</w:t>
      </w:r>
    </w:p>
    <w:p w14:paraId="377EE54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（9）相关法律法规以及监管部门有强制规定的，从其规定。如有新增事项，按国家最新规定估值。</w:t>
      </w:r>
    </w:p>
    <w:p w14:paraId="1A2EB754"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0D3BBF8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82F3F6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3、特殊情况的处理</w:t>
      </w:r>
    </w:p>
    <w:p w14:paraId="579F8C49"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（1）基金管理人或基金托管人按估值方法的第（5）项进行估值时，所造成的误差不作为基金资产估值错误处理。</w:t>
      </w:r>
    </w:p>
    <w:p w14:paraId="1ED5A5C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lastRenderedPageBreak/>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544EA22"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（三）基金估值错误的处理方式</w:t>
      </w:r>
    </w:p>
    <w:p w14:paraId="3FD6C7F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基金管理人和基金托管人将采取必要、适当、合理的措施确保基金资产估值的准确性、及时性。当基金份额净值小数点后4位以内(含第4位)发生差错时，视为基金份额净值错误。</w:t>
      </w:r>
    </w:p>
    <w:p w14:paraId="2DC2D9C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基金合同的当事人应按照以下约定处理：</w:t>
      </w:r>
    </w:p>
    <w:p w14:paraId="272968DB"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1、估值错误类型</w:t>
      </w:r>
    </w:p>
    <w:p w14:paraId="7AA870E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B0105F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上述估值错误的主要类型包括但不限于：资料申报差错、数据传输差错、数据计算差错、系统故障差错、下达指令差错等。</w:t>
      </w:r>
    </w:p>
    <w:p w14:paraId="614FCFA4"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2、估值错误处理原则</w:t>
      </w:r>
    </w:p>
    <w:p w14:paraId="4DDDB5C5"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D9335A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（2）估值错误的责任方对有关当事人的直接损失负责，不对间接损失负责，并且仅对估值错误的有关直接当事人负责，不对第三方负责。</w:t>
      </w:r>
    </w:p>
    <w:p w14:paraId="237F62BA"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（3）因估值错误而获得不当得利的当事人负有及时返还不当得利的义务。但估值错误责任方仍应对估值错误负责。如果由于获得不当得利的当事人</w:t>
      </w:r>
      <w:proofErr w:type="gramStart"/>
      <w:r w:rsidRPr="00CA3FD3">
        <w:rPr>
          <w:rFonts w:ascii="宋体" w:cs="Times New Roman" w:hint="eastAsia"/>
        </w:rPr>
        <w:t>不</w:t>
      </w:r>
      <w:proofErr w:type="gramEnd"/>
      <w:r w:rsidRPr="00CA3FD3">
        <w:rPr>
          <w:rFonts w:ascii="宋体" w:cs="Times New Roman" w:hint="eastAsia"/>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8FB3F7A"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（4）估值错误调整采用尽量恢复至假设未发生估值错误的正确情形的方式。</w:t>
      </w:r>
    </w:p>
    <w:p w14:paraId="09BF173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3、估值错误处理程序</w:t>
      </w:r>
    </w:p>
    <w:p w14:paraId="02EA886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估值错误被发现后，有关的当事人应当及时进行处理，处理的程序如下：</w:t>
      </w:r>
    </w:p>
    <w:p w14:paraId="7A7F8EB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lastRenderedPageBreak/>
        <w:t>（1）查明估值错误发生的原因，列明所有的当事人，并根据估值错误发生的原因确定估值错误的责任方；</w:t>
      </w:r>
    </w:p>
    <w:p w14:paraId="0A92DE4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（2）根据估值错误处理原则或当事人协商的方法对因估值错误造成的损失进行评估；</w:t>
      </w:r>
    </w:p>
    <w:p w14:paraId="3F65DB1A"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（3）根据估值错误处理原则或当事人协商的方法由估值错误的责任方进行更正和赔偿损失；</w:t>
      </w:r>
    </w:p>
    <w:p w14:paraId="41934CB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（4）根据估值错误处理的方法，需要修改基金登记机构交易数据的，由基金登记机构进行更正，并就估值错误的更正向有关当事人进行确认。</w:t>
      </w:r>
    </w:p>
    <w:p w14:paraId="4AF2BAE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4、基金份额净值估值错误处理的方法如下：</w:t>
      </w:r>
    </w:p>
    <w:p w14:paraId="5CF9397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（1）基金份额净值计算出现错误时，基金管理人应当立即予以纠正，通报基金托管人，并采取合理的措施防止损失进一步扩大。</w:t>
      </w:r>
    </w:p>
    <w:p w14:paraId="601F36C4"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（2）错误偏差达到基金份额净值的0.25%时，基金管理人应当通报基金托管人并报中国证监会备案；错误偏差达到基金份额净值的0.5%时，基金管理人应当公告，并报中国证监会备案。</w:t>
      </w:r>
    </w:p>
    <w:p w14:paraId="2884EC8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（3）前述内容如法律法规或监管机关另有规定的，从其规定处理。如果行业另有通行做法，双方当事人应本着平等和保护基金份额持有人利益的原则进行协商。</w:t>
      </w:r>
    </w:p>
    <w:p w14:paraId="0E738D8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（四）暂停估值与公告基金份额净值的情形</w:t>
      </w:r>
    </w:p>
    <w:p w14:paraId="020A3A2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1、基金投资所涉及的证券/期货交易市场遇法定节假日或因其他原因暂停营业时；</w:t>
      </w:r>
    </w:p>
    <w:p w14:paraId="5D64F102"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2、基金所投资的目标ETF发生暂停估值、暂停公告基金份额净值的情形</w:t>
      </w:r>
    </w:p>
    <w:p w14:paraId="047EBE9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3、因不可抗力致使基金管理人、基金托管人无法准确评估基金资产价值时；</w:t>
      </w:r>
    </w:p>
    <w:p w14:paraId="0D62375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4、当前一估值日基金资产净值 50%以上的资产出现无可参考的活跃市场价格且采用估值技术</w:t>
      </w:r>
      <w:proofErr w:type="gramStart"/>
      <w:r w:rsidRPr="00CA3FD3">
        <w:rPr>
          <w:rFonts w:ascii="宋体" w:cs="Times New Roman" w:hint="eastAsia"/>
        </w:rPr>
        <w:t>仍导致</w:t>
      </w:r>
      <w:proofErr w:type="gramEnd"/>
      <w:r w:rsidRPr="00CA3FD3">
        <w:rPr>
          <w:rFonts w:ascii="宋体" w:cs="Times New Roman" w:hint="eastAsia"/>
        </w:rPr>
        <w:t>公允价值存在重大不确定性时，经与基金托管人协商确认后，基金管理人应当暂停估值；</w:t>
      </w:r>
    </w:p>
    <w:p w14:paraId="0BF1DCF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5、中国证监会和基金合同认定的其他情形。</w:t>
      </w:r>
    </w:p>
    <w:p w14:paraId="58B60FA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（五）基金会计制度</w:t>
      </w:r>
    </w:p>
    <w:p w14:paraId="5B841891"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按国家有关部门规定的会计制度执行。</w:t>
      </w:r>
    </w:p>
    <w:p w14:paraId="75AF5FC5"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（六）基金账册的建立</w:t>
      </w:r>
    </w:p>
    <w:p w14:paraId="63F9F463"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基金管理人进行基金会计核算并编制基金财务会计报告。基金管理人独立地设置、记录和保管本基金的全套账册。</w:t>
      </w:r>
      <w:proofErr w:type="gramStart"/>
      <w:r w:rsidRPr="00CA3FD3">
        <w:rPr>
          <w:rFonts w:ascii="宋体" w:cs="Times New Roman" w:hint="eastAsia"/>
        </w:rPr>
        <w:t>若基金</w:t>
      </w:r>
      <w:proofErr w:type="gramEnd"/>
      <w:r w:rsidRPr="00CA3FD3">
        <w:rPr>
          <w:rFonts w:ascii="宋体" w:cs="Times New Roman" w:hint="eastAsia"/>
        </w:rPr>
        <w:t>管理人和基金托管人对会计处理方法存在分歧，应以基金管理人的处理方法为准。若当日核对不符，暂时无法查找到错账的原因而影响到基金资产净值的计算和公告的，以基金管理人的账册为准。</w:t>
      </w:r>
    </w:p>
    <w:p w14:paraId="0721627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（七）基金财务报表与报告的编制和复核</w:t>
      </w:r>
    </w:p>
    <w:p w14:paraId="26CC3E29"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1、财务报表的编制</w:t>
      </w:r>
    </w:p>
    <w:p w14:paraId="04798231"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基金管理人应当及时编制并对外提供真实、完整的基金财务会计报告。月度报表的编制，基金管理人应于每月终了后5工作日内完成；《基金合同》生效后，基金招募说明书的信息</w:t>
      </w:r>
      <w:r w:rsidRPr="00CA3FD3">
        <w:rPr>
          <w:rFonts w:ascii="宋体" w:cs="Times New Roman" w:hint="eastAsia"/>
        </w:rPr>
        <w:lastRenderedPageBreak/>
        <w:t>发生重大变更的，基金管理人应当在三个工作日内，更新基金招募说明书并登载在指定网站上；基金招募说明书其他信息发生变更的，基金管理人至少每年更新一次。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基金管理人应当在上半年结束之日起两个月内，编制完成基金中期报告，将中期报告登载在指定网站上，并将中期报告提示性公告登载在指定报刊上。基金管理人应当在季度结束之日起15个工作日内，编制完成基金季度报告，将季度报告登载在指定网站上，并将季度报告提示性公告登载在指定报刊上。《基金合同》生效不足2个月的，基金管理人可以不编制当期季度报告、中期报告或者年度报告。</w:t>
      </w:r>
    </w:p>
    <w:p w14:paraId="4484365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2、报表复核</w:t>
      </w:r>
    </w:p>
    <w:p w14:paraId="1F268034"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23110C61"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w:t>
      </w:r>
      <w:proofErr w:type="gramStart"/>
      <w:r w:rsidRPr="00CA3FD3">
        <w:rPr>
          <w:rFonts w:ascii="宋体" w:cs="Times New Roman" w:hint="eastAsia"/>
        </w:rPr>
        <w:t>于应当</w:t>
      </w:r>
      <w:proofErr w:type="gramEnd"/>
      <w:r w:rsidRPr="00CA3FD3">
        <w:rPr>
          <w:rFonts w:ascii="宋体" w:cs="Times New Roman" w:hint="eastAsia"/>
        </w:rPr>
        <w:t>发布公告之日之前就相关报表达成一致，基金管理人有权按照其编制的报表对外发布公告，基金托管人有权就相关情况报中国证监会备案。</w:t>
      </w:r>
    </w:p>
    <w:p w14:paraId="56B50B31" w14:textId="6014B5A2" w:rsidR="00C65467" w:rsidRDefault="00CA3FD3" w:rsidP="00CA3FD3">
      <w:pPr>
        <w:snapToGrid w:val="0"/>
        <w:spacing w:line="360" w:lineRule="auto"/>
        <w:ind w:firstLineChars="200" w:firstLine="420"/>
        <w:rPr>
          <w:rFonts w:ascii="宋体" w:cs="Times New Roman"/>
        </w:rPr>
      </w:pPr>
      <w:r w:rsidRPr="00CA3FD3">
        <w:rPr>
          <w:rFonts w:ascii="宋体" w:cs="Times New Roman" w:hint="eastAsia"/>
        </w:rPr>
        <w:t>（八）基金管理人应每季向基金托管人提供基金业绩比较基准的基础数据和编制结果。</w:t>
      </w:r>
    </w:p>
    <w:p w14:paraId="1589043C" w14:textId="77777777" w:rsidR="00CA3FD3" w:rsidRPr="00C65467" w:rsidRDefault="00CA3FD3" w:rsidP="00CA3FD3">
      <w:pPr>
        <w:snapToGrid w:val="0"/>
        <w:spacing w:line="360" w:lineRule="auto"/>
        <w:ind w:firstLineChars="200" w:firstLine="420"/>
        <w:rPr>
          <w:rFonts w:ascii="宋体" w:cs="Times New Roman"/>
        </w:rPr>
      </w:pPr>
    </w:p>
    <w:p w14:paraId="7A7B31FC"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六、基金份额持有人名册的保管</w:t>
      </w:r>
    </w:p>
    <w:p w14:paraId="79E9FBE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207283A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643134F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lastRenderedPageBreak/>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33992EC" w14:textId="4EC9FABD" w:rsidR="00C65467" w:rsidRDefault="00CA3FD3" w:rsidP="00CA3FD3">
      <w:pPr>
        <w:snapToGrid w:val="0"/>
        <w:spacing w:line="360" w:lineRule="auto"/>
        <w:ind w:firstLineChars="200" w:firstLine="420"/>
        <w:rPr>
          <w:rFonts w:ascii="宋体" w:cs="Times New Roman"/>
        </w:rPr>
      </w:pPr>
      <w:r w:rsidRPr="00CA3FD3">
        <w:rPr>
          <w:rFonts w:ascii="宋体" w:cs="Times New Roman" w:hint="eastAsia"/>
        </w:rPr>
        <w:t>基金管理人和基金托管人应妥善保管基金份额持有人名册，保存期限为15年。基金托管人不得将所保管的基金份额持有人名册用于基金托管业务以外的其他用途，并应遵守保密义务。</w:t>
      </w:r>
      <w:proofErr w:type="gramStart"/>
      <w:r w:rsidRPr="00CA3FD3">
        <w:rPr>
          <w:rFonts w:ascii="宋体" w:cs="Times New Roman" w:hint="eastAsia"/>
        </w:rPr>
        <w:t>若基金</w:t>
      </w:r>
      <w:proofErr w:type="gramEnd"/>
      <w:r w:rsidRPr="00CA3FD3">
        <w:rPr>
          <w:rFonts w:ascii="宋体" w:cs="Times New Roman" w:hint="eastAsia"/>
        </w:rPr>
        <w:t>管理人或基金托管人由于自身原因无法妥善保管基金份额持有人名册，应按有关法规规定各自承担相应的责任。</w:t>
      </w:r>
    </w:p>
    <w:p w14:paraId="35A50D09" w14:textId="77777777" w:rsidR="00CA3FD3" w:rsidRPr="00C65467" w:rsidRDefault="00CA3FD3" w:rsidP="00CA3FD3">
      <w:pPr>
        <w:snapToGrid w:val="0"/>
        <w:spacing w:line="360" w:lineRule="auto"/>
        <w:ind w:firstLineChars="200" w:firstLine="420"/>
        <w:rPr>
          <w:rFonts w:ascii="宋体" w:cs="Times New Roman"/>
        </w:rPr>
      </w:pPr>
    </w:p>
    <w:p w14:paraId="32C643AC"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七、争议解决方式</w:t>
      </w:r>
    </w:p>
    <w:p w14:paraId="1DAF380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66061C65"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争议处理期间，双方当事人应恪守基金管理人和基金托管人职责，各自继续忠实、勤勉、尽责地履行基金合同和本托管协议规定的义务，维护基金份额持有人的合法权益。</w:t>
      </w:r>
    </w:p>
    <w:p w14:paraId="7B1EF273" w14:textId="137C3678" w:rsidR="00C65467" w:rsidRDefault="00CA3FD3" w:rsidP="00CA3FD3">
      <w:pPr>
        <w:snapToGrid w:val="0"/>
        <w:spacing w:line="360" w:lineRule="auto"/>
        <w:ind w:firstLineChars="200" w:firstLine="420"/>
        <w:rPr>
          <w:rFonts w:ascii="宋体" w:cs="Times New Roman"/>
        </w:rPr>
      </w:pPr>
      <w:r w:rsidRPr="00CA3FD3">
        <w:rPr>
          <w:rFonts w:ascii="宋体" w:cs="Times New Roman" w:hint="eastAsia"/>
        </w:rPr>
        <w:t>本协议适用中华人民共和国法律并从其解释。</w:t>
      </w:r>
    </w:p>
    <w:p w14:paraId="1F426307" w14:textId="77777777" w:rsidR="00CA3FD3" w:rsidRPr="00C65467" w:rsidRDefault="00CA3FD3" w:rsidP="00CA3FD3">
      <w:pPr>
        <w:snapToGrid w:val="0"/>
        <w:spacing w:line="360" w:lineRule="auto"/>
        <w:ind w:firstLineChars="200" w:firstLine="420"/>
        <w:rPr>
          <w:rFonts w:ascii="宋体" w:cs="Times New Roman"/>
        </w:rPr>
      </w:pPr>
    </w:p>
    <w:p w14:paraId="7CEE3E07" w14:textId="6D48253A" w:rsidR="003F75AE" w:rsidRPr="00B61A09" w:rsidRDefault="00C65467" w:rsidP="00C65467">
      <w:pPr>
        <w:snapToGrid w:val="0"/>
        <w:spacing w:line="360" w:lineRule="auto"/>
        <w:ind w:firstLineChars="200" w:firstLine="420"/>
        <w:rPr>
          <w:rFonts w:ascii="宋体" w:cs="Times New Roman"/>
        </w:rPr>
      </w:pPr>
      <w:r w:rsidRPr="00C65467">
        <w:rPr>
          <w:rFonts w:ascii="宋体" w:cs="Times New Roman" w:hint="eastAsia"/>
        </w:rPr>
        <w:t>八、托管协议的变更、终止与基金财产的清算</w:t>
      </w:r>
    </w:p>
    <w:p w14:paraId="0880862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（一）托管协议的变更程序</w:t>
      </w:r>
    </w:p>
    <w:p w14:paraId="45A8351A"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本协议双方当事人经协商一致，可以对协议进行修改。修改后的新协议，其内容不得与基金合同的规定有任何冲突。基金托管协议的变更需报中国证监会备案。</w:t>
      </w:r>
    </w:p>
    <w:p w14:paraId="610A0E9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（二）基金托管协议终止的情形</w:t>
      </w:r>
    </w:p>
    <w:p w14:paraId="59DEC97D"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1、基金合同终止；</w:t>
      </w:r>
    </w:p>
    <w:p w14:paraId="52E4AC4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2、基金托管人解散、依法被撤销、破产或由其他基金托管人接管基金资产；</w:t>
      </w:r>
    </w:p>
    <w:p w14:paraId="29B31BC2"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3、基金管理人解散、依法被撤销、破产或由其他基金管理人接管基金管理权；</w:t>
      </w:r>
    </w:p>
    <w:p w14:paraId="573C98C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4、发生法律法规、中国证监会或基金合同规定的终止事项。</w:t>
      </w:r>
    </w:p>
    <w:p w14:paraId="4ABDBFB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（三）基金财产的清算</w:t>
      </w:r>
    </w:p>
    <w:p w14:paraId="6C70BCE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1、基金财产清算小组：自出现《基金合同》终止事由之日起30个工作日内成立清算小组，基金管理人组织基金财产清算小组并在中国证监会的监督下进行基金清算。</w:t>
      </w:r>
    </w:p>
    <w:p w14:paraId="3C0ABEB5" w14:textId="455AA68E"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2、基金财产清算小组组成：基金财产清算小组成员由基金管理人、基金托管人、</w:t>
      </w:r>
      <w:r w:rsidR="001E4BC7">
        <w:rPr>
          <w:rFonts w:ascii="宋体" w:cs="Times New Roman" w:hint="eastAsia"/>
        </w:rPr>
        <w:t>具有从事证券、期货相关业务资格</w:t>
      </w:r>
      <w:r w:rsidRPr="00CA3FD3">
        <w:rPr>
          <w:rFonts w:ascii="宋体" w:cs="Times New Roman" w:hint="eastAsia"/>
        </w:rPr>
        <w:t>的注册会计师、律师以及中国证监会指定的人员组成。基金财产清算小组可以聘用必要的工作人员。</w:t>
      </w:r>
    </w:p>
    <w:p w14:paraId="0342FDC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3、基金财产清算小组职责：基金财产清算小组负责基金财产的保管、清理、估价、变现和分配。基金财产清算小组可以依法进行必要的民事活动。</w:t>
      </w:r>
    </w:p>
    <w:p w14:paraId="3C0F3EF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lastRenderedPageBreak/>
        <w:t>4、基金财产清算程序：</w:t>
      </w:r>
    </w:p>
    <w:p w14:paraId="2FF085D8"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（1）《基金合同》终止情形出现时，由基金财产清算小组统一接管基金；</w:t>
      </w:r>
    </w:p>
    <w:p w14:paraId="394B8BB5"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（2）对基金财产和债权债务进行清理和确认；</w:t>
      </w:r>
    </w:p>
    <w:p w14:paraId="223B693C"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（3）对基金财产进行估值和变现；</w:t>
      </w:r>
    </w:p>
    <w:p w14:paraId="5C40EB6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（4）制作清算报告；</w:t>
      </w:r>
    </w:p>
    <w:p w14:paraId="4193A8A2" w14:textId="41B45CD8"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（5）</w:t>
      </w:r>
      <w:r w:rsidR="001E4BC7">
        <w:rPr>
          <w:rFonts w:ascii="宋体" w:cs="Times New Roman" w:hint="eastAsia"/>
        </w:rPr>
        <w:t>聘请具有证券、期货相关业务资格的会计师事务所</w:t>
      </w:r>
      <w:r w:rsidRPr="00CA3FD3">
        <w:rPr>
          <w:rFonts w:ascii="宋体" w:cs="Times New Roman" w:hint="eastAsia"/>
        </w:rPr>
        <w:t>对清算报告进行外部审计，聘请律师事务所对清算报告出具法律意见书；</w:t>
      </w:r>
    </w:p>
    <w:p w14:paraId="58B91D00"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（6）将清算报告报中国证监会备案并公告；</w:t>
      </w:r>
    </w:p>
    <w:p w14:paraId="509A742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（7）对基金剩余财产进行分配。</w:t>
      </w:r>
    </w:p>
    <w:p w14:paraId="5066A5E7"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5、基金财产清算的期限为6个月，但因本基金所持证券的流动性受到限制而不能及时变现的，清算期限相应顺延。</w:t>
      </w:r>
    </w:p>
    <w:p w14:paraId="0CF76F6E"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（四）清算费用</w:t>
      </w:r>
    </w:p>
    <w:p w14:paraId="0B7A80A4"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清算费用是指基金财产清算小组在进行基金清算过程中发生的所有合理费用，清算费用由基金财产清算小组优先从基金财产中支付。</w:t>
      </w:r>
    </w:p>
    <w:p w14:paraId="75A5D776"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（五）基金财产清算剩余资产的分配</w:t>
      </w:r>
    </w:p>
    <w:p w14:paraId="7647B96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依据基金财产清算的分配方案，将基金财产清算后的全部剩余资产扣除基金财产清算费用、交纳所欠税款并清偿基金债务后，按基金份额持有人持有的基金份额比例进行分配。</w:t>
      </w:r>
    </w:p>
    <w:p w14:paraId="38A1C2FF" w14:textId="77777777" w:rsidR="00CA3FD3" w:rsidRPr="00CA3FD3" w:rsidRDefault="00CA3FD3" w:rsidP="00CA3FD3">
      <w:pPr>
        <w:snapToGrid w:val="0"/>
        <w:spacing w:line="360" w:lineRule="auto"/>
        <w:ind w:firstLineChars="200" w:firstLine="420"/>
        <w:rPr>
          <w:rFonts w:ascii="宋体" w:cs="Times New Roman"/>
        </w:rPr>
      </w:pPr>
      <w:r w:rsidRPr="00CA3FD3">
        <w:rPr>
          <w:rFonts w:ascii="宋体" w:cs="Times New Roman" w:hint="eastAsia"/>
        </w:rPr>
        <w:t>（六）基金财产清算的公告</w:t>
      </w:r>
    </w:p>
    <w:p w14:paraId="5ACE7CDD" w14:textId="30C28B3A" w:rsidR="003F75AE" w:rsidRPr="00B61A09" w:rsidRDefault="00CA3FD3" w:rsidP="00CA3FD3">
      <w:pPr>
        <w:snapToGrid w:val="0"/>
        <w:spacing w:line="360" w:lineRule="auto"/>
        <w:ind w:firstLineChars="200" w:firstLine="420"/>
        <w:rPr>
          <w:rFonts w:ascii="宋体" w:cs="Times New Roman"/>
        </w:rPr>
      </w:pPr>
      <w:r w:rsidRPr="00CA3FD3">
        <w:rPr>
          <w:rFonts w:ascii="宋体" w:cs="Times New Roman"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3E9920E6" w14:textId="77777777" w:rsidR="003F75AE" w:rsidRPr="00B61A09" w:rsidRDefault="003F75AE" w:rsidP="00FD4390">
      <w:pPr>
        <w:snapToGrid w:val="0"/>
        <w:spacing w:line="360" w:lineRule="auto"/>
        <w:ind w:firstLineChars="200" w:firstLine="420"/>
        <w:rPr>
          <w:rFonts w:ascii="宋体" w:cs="Times New Roman"/>
          <w:color w:val="000000"/>
        </w:rPr>
      </w:pPr>
      <w:r w:rsidRPr="00FD4390">
        <w:rPr>
          <w:rFonts w:ascii="宋体" w:cs="Times New Roman"/>
          <w:bCs/>
          <w:color w:val="000000"/>
        </w:rPr>
        <w:br w:type="page"/>
      </w:r>
    </w:p>
    <w:p w14:paraId="138FDFA4"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84" w:name="_Toc416453859"/>
      <w:bookmarkStart w:id="185" w:name="_Toc360794530"/>
      <w:bookmarkStart w:id="186" w:name="_Toc360793864"/>
      <w:bookmarkStart w:id="187" w:name="_Toc360794114"/>
      <w:bookmarkStart w:id="188" w:name="_Toc360794422"/>
      <w:bookmarkStart w:id="189" w:name="_Toc362455197"/>
      <w:bookmarkStart w:id="190" w:name="_Toc362533469"/>
      <w:bookmarkStart w:id="191" w:name="_Toc360793512"/>
      <w:r w:rsidRPr="00A4035F">
        <w:rPr>
          <w:rFonts w:ascii="宋体" w:eastAsia="宋体" w:hAnsi="宋体" w:cs="宋体" w:hint="eastAsia"/>
        </w:rPr>
        <w:lastRenderedPageBreak/>
        <w:t>基金份额持有人服务</w:t>
      </w:r>
      <w:bookmarkEnd w:id="184"/>
      <w:bookmarkEnd w:id="185"/>
      <w:bookmarkEnd w:id="186"/>
      <w:bookmarkEnd w:id="187"/>
      <w:bookmarkEnd w:id="188"/>
      <w:bookmarkEnd w:id="189"/>
      <w:bookmarkEnd w:id="190"/>
      <w:bookmarkEnd w:id="191"/>
    </w:p>
    <w:p w14:paraId="11834004" w14:textId="77777777" w:rsidR="003F75AE" w:rsidRPr="00A4035F" w:rsidRDefault="003F75AE">
      <w:pPr>
        <w:snapToGrid w:val="0"/>
        <w:spacing w:line="360" w:lineRule="auto"/>
        <w:ind w:firstLine="480"/>
        <w:rPr>
          <w:rFonts w:ascii="宋体" w:cs="Times New Roman"/>
        </w:rPr>
      </w:pPr>
    </w:p>
    <w:p w14:paraId="776B1083" w14:textId="34031D6A"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如本招募说明书存在任何您/</w:t>
      </w:r>
      <w:proofErr w:type="gramStart"/>
      <w:r w:rsidRPr="00552025">
        <w:rPr>
          <w:rFonts w:ascii="宋体" w:hAnsi="宋体" w:cs="宋体" w:hint="eastAsia"/>
        </w:rPr>
        <w:t>贵机构</w:t>
      </w:r>
      <w:proofErr w:type="gramEnd"/>
      <w:r w:rsidRPr="00552025">
        <w:rPr>
          <w:rFonts w:ascii="宋体" w:hAnsi="宋体" w:cs="宋体" w:hint="eastAsia"/>
        </w:rPr>
        <w:t>无法理解的内容，请及时通过下述方式联系基金管理人。</w:t>
      </w:r>
      <w:proofErr w:type="gramStart"/>
      <w:r w:rsidRPr="00552025">
        <w:rPr>
          <w:rFonts w:ascii="宋体" w:hAnsi="宋体" w:cs="宋体" w:hint="eastAsia"/>
        </w:rPr>
        <w:t>请确保</w:t>
      </w:r>
      <w:proofErr w:type="gramEnd"/>
      <w:r w:rsidRPr="00552025">
        <w:rPr>
          <w:rFonts w:ascii="宋体" w:hAnsi="宋体" w:cs="宋体" w:hint="eastAsia"/>
        </w:rPr>
        <w:t>投资前，您/</w:t>
      </w:r>
      <w:proofErr w:type="gramStart"/>
      <w:r w:rsidRPr="00552025">
        <w:rPr>
          <w:rFonts w:ascii="宋体" w:hAnsi="宋体" w:cs="宋体" w:hint="eastAsia"/>
        </w:rPr>
        <w:t>贵机</w:t>
      </w:r>
      <w:proofErr w:type="gramEnd"/>
      <w:r w:rsidRPr="00552025">
        <w:rPr>
          <w:rFonts w:ascii="宋体" w:hAnsi="宋体" w:cs="宋体" w:hint="eastAsia"/>
        </w:rPr>
        <w:t>构已经全面理解本招募说明书，并同意全部内容。</w:t>
      </w:r>
    </w:p>
    <w:p w14:paraId="61657084"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0B9A6CC5"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若本基金包含在中国香港特别行政区销售的H类份额，则该H类份额持有人享有的服务项目一般情况下限于客户服务中心电话服务、客户投诉及建议受理服务和网站资讯等服务。</w:t>
      </w:r>
    </w:p>
    <w:p w14:paraId="3E4B7BDC" w14:textId="77777777" w:rsidR="00552025" w:rsidRPr="00552025" w:rsidRDefault="00552025" w:rsidP="00552025">
      <w:pPr>
        <w:snapToGrid w:val="0"/>
        <w:spacing w:line="360" w:lineRule="auto"/>
        <w:ind w:firstLineChars="200" w:firstLine="420"/>
        <w:rPr>
          <w:rFonts w:ascii="宋体" w:hAnsi="宋体" w:cs="宋体"/>
        </w:rPr>
      </w:pPr>
    </w:p>
    <w:p w14:paraId="70DB8CE6"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一、基金份额持有人交易资料的发送服务</w:t>
      </w:r>
    </w:p>
    <w:p w14:paraId="31B93590"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1、电子对账单</w:t>
      </w:r>
    </w:p>
    <w:p w14:paraId="29489F45"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基金管理人提供场外交易电子邮件对账单、</w:t>
      </w:r>
      <w:proofErr w:type="gramStart"/>
      <w:r w:rsidRPr="00552025">
        <w:rPr>
          <w:rFonts w:ascii="宋体" w:hAnsi="宋体" w:cs="宋体" w:hint="eastAsia"/>
        </w:rPr>
        <w:t>场外交易微信对</w:t>
      </w:r>
      <w:proofErr w:type="gramEnd"/>
      <w:r w:rsidRPr="00552025">
        <w:rPr>
          <w:rFonts w:ascii="宋体" w:hAnsi="宋体" w:cs="宋体" w:hint="eastAsia"/>
        </w:rPr>
        <w:t>账单服务，基金管理人将以电子邮件</w:t>
      </w:r>
      <w:proofErr w:type="gramStart"/>
      <w:r w:rsidRPr="00552025">
        <w:rPr>
          <w:rFonts w:ascii="宋体" w:hAnsi="宋体" w:cs="宋体" w:hint="eastAsia"/>
        </w:rPr>
        <w:t>或微信服</w:t>
      </w:r>
      <w:proofErr w:type="gramEnd"/>
      <w:r w:rsidRPr="00552025">
        <w:rPr>
          <w:rFonts w:ascii="宋体" w:hAnsi="宋体" w:cs="宋体" w:hint="eastAsia"/>
        </w:rPr>
        <w:t>务通知形式向定制上述服务的个人投资者（本基金是否向个人投资者销售，请以本</w:t>
      </w:r>
      <w:proofErr w:type="gramStart"/>
      <w:r w:rsidRPr="00552025">
        <w:rPr>
          <w:rFonts w:ascii="宋体" w:hAnsi="宋体" w:cs="宋体" w:hint="eastAsia"/>
        </w:rPr>
        <w:t>基金基</w:t>
      </w:r>
      <w:proofErr w:type="gramEnd"/>
      <w:r w:rsidRPr="00552025">
        <w:rPr>
          <w:rFonts w:ascii="宋体" w:hAnsi="宋体" w:cs="宋体" w:hint="eastAsia"/>
        </w:rPr>
        <w:t>金合同和招募说明书相关条款为准）定期发送对账单等相关信息，电子邮件地址不详的、</w:t>
      </w:r>
      <w:proofErr w:type="gramStart"/>
      <w:r w:rsidRPr="00552025">
        <w:rPr>
          <w:rFonts w:ascii="宋体" w:hAnsi="宋体" w:cs="宋体" w:hint="eastAsia"/>
        </w:rPr>
        <w:t>微信</w:t>
      </w:r>
      <w:proofErr w:type="gramEnd"/>
      <w:r w:rsidRPr="00552025">
        <w:rPr>
          <w:rFonts w:ascii="宋体" w:hAnsi="宋体" w:cs="宋体" w:hint="eastAsia"/>
        </w:rPr>
        <w:t>未绑定或取消关注的除外。</w:t>
      </w:r>
    </w:p>
    <w:p w14:paraId="6212D841"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2、其他渠道对账查询</w:t>
      </w:r>
    </w:p>
    <w:p w14:paraId="07FF2CAE"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注册登记机构和基金管理人不提供投资人的场内交易（本基金是否支持场内交易，请以本</w:t>
      </w:r>
      <w:proofErr w:type="gramStart"/>
      <w:r w:rsidRPr="00552025">
        <w:rPr>
          <w:rFonts w:ascii="宋体" w:hAnsi="宋体" w:cs="宋体" w:hint="eastAsia"/>
        </w:rPr>
        <w:t>基金基金</w:t>
      </w:r>
      <w:proofErr w:type="gramEnd"/>
      <w:r w:rsidRPr="00552025">
        <w:rPr>
          <w:rFonts w:ascii="宋体" w:hAnsi="宋体" w:cs="宋体" w:hint="eastAsia"/>
        </w:rPr>
        <w:t>合同和招募说明书相关条款为准）对账单服务，投资人可到交易网点打印或通过交易网点提供的自助、电话、网上服务等渠道查询。</w:t>
      </w:r>
    </w:p>
    <w:p w14:paraId="6361B460" w14:textId="77777777" w:rsidR="00552025" w:rsidRPr="00552025" w:rsidRDefault="00552025" w:rsidP="00552025">
      <w:pPr>
        <w:snapToGrid w:val="0"/>
        <w:spacing w:line="360" w:lineRule="auto"/>
        <w:ind w:firstLineChars="200" w:firstLine="420"/>
        <w:rPr>
          <w:rFonts w:ascii="宋体" w:hAnsi="宋体" w:cs="宋体"/>
        </w:rPr>
      </w:pPr>
    </w:p>
    <w:p w14:paraId="3651A450"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二、在线服务</w:t>
      </w:r>
    </w:p>
    <w:p w14:paraId="751957F1"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通过基金管理人网站（www.nffund.com）、</w:t>
      </w:r>
      <w:proofErr w:type="gramStart"/>
      <w:r w:rsidRPr="00552025">
        <w:rPr>
          <w:rFonts w:ascii="宋体" w:hAnsi="宋体" w:cs="宋体" w:hint="eastAsia"/>
        </w:rPr>
        <w:t>微信公众号</w:t>
      </w:r>
      <w:proofErr w:type="gramEnd"/>
      <w:r w:rsidRPr="00552025">
        <w:rPr>
          <w:rFonts w:ascii="宋体" w:hAnsi="宋体" w:cs="宋体" w:hint="eastAsia"/>
        </w:rPr>
        <w:t>（可搜索“南方基金”或“NF4008898899”）或APP客户端，投资人可获得如下服务：</w:t>
      </w:r>
    </w:p>
    <w:p w14:paraId="684FB24F"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1、查询服务</w:t>
      </w:r>
    </w:p>
    <w:p w14:paraId="547860FB"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机构投资者通过基金管理人网站，个人投资者通过基金管理人网站、</w:t>
      </w:r>
      <w:proofErr w:type="gramStart"/>
      <w:r w:rsidRPr="00552025">
        <w:rPr>
          <w:rFonts w:ascii="宋体" w:hAnsi="宋体" w:cs="宋体" w:hint="eastAsia"/>
        </w:rPr>
        <w:t>微信公众号</w:t>
      </w:r>
      <w:proofErr w:type="gramEnd"/>
      <w:r w:rsidRPr="00552025">
        <w:rPr>
          <w:rFonts w:ascii="宋体" w:hAnsi="宋体" w:cs="宋体" w:hint="eastAsia"/>
        </w:rPr>
        <w:t>或APP客户端，可享有场外基金交易查询、账户查询和相关基金信息查询等服务。</w:t>
      </w:r>
    </w:p>
    <w:p w14:paraId="292D66AF"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2、网上交易服务</w:t>
      </w:r>
    </w:p>
    <w:p w14:paraId="4DC917D2"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机构投资者可通过基金管理人网站，个人投资者可通过基金管理人网站、</w:t>
      </w:r>
      <w:proofErr w:type="gramStart"/>
      <w:r w:rsidRPr="00552025">
        <w:rPr>
          <w:rFonts w:ascii="宋体" w:hAnsi="宋体" w:cs="宋体" w:hint="eastAsia"/>
        </w:rPr>
        <w:t>微信公众号</w:t>
      </w:r>
      <w:proofErr w:type="gramEnd"/>
      <w:r w:rsidRPr="00552025">
        <w:rPr>
          <w:rFonts w:ascii="宋体" w:hAnsi="宋体" w:cs="宋体" w:hint="eastAsia"/>
        </w:rPr>
        <w:t>或APP客户端办理开户、认购/申购、赎回及信息查询等业务。有关基金管理人电子直销具体规则请参见基金管理人网站相关公告和业务规则。</w:t>
      </w:r>
    </w:p>
    <w:p w14:paraId="36A3C1BC"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3、信息资讯服务</w:t>
      </w:r>
    </w:p>
    <w:p w14:paraId="434C1918"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lastRenderedPageBreak/>
        <w:t>投资人可以利用基金管理人网站等获取基金和基金管理人依法披露的各类信息，包括基金的法律文件、基金公告、定期报告和基金管理</w:t>
      </w:r>
      <w:proofErr w:type="gramStart"/>
      <w:r w:rsidRPr="00552025">
        <w:rPr>
          <w:rFonts w:ascii="宋体" w:hAnsi="宋体" w:cs="宋体" w:hint="eastAsia"/>
        </w:rPr>
        <w:t>人最新</w:t>
      </w:r>
      <w:proofErr w:type="gramEnd"/>
      <w:r w:rsidRPr="00552025">
        <w:rPr>
          <w:rFonts w:ascii="宋体" w:hAnsi="宋体" w:cs="宋体" w:hint="eastAsia"/>
        </w:rPr>
        <w:t>动态等各类资料。</w:t>
      </w:r>
    </w:p>
    <w:p w14:paraId="596B98B7"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4、自助答疑服务</w:t>
      </w:r>
    </w:p>
    <w:p w14:paraId="0FCE8D02"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投资人可通过基金管理人网站、</w:t>
      </w:r>
      <w:proofErr w:type="gramStart"/>
      <w:r w:rsidRPr="00552025">
        <w:rPr>
          <w:rFonts w:ascii="宋体" w:hAnsi="宋体" w:cs="宋体" w:hint="eastAsia"/>
        </w:rPr>
        <w:t>微信公众号</w:t>
      </w:r>
      <w:proofErr w:type="gramEnd"/>
      <w:r w:rsidRPr="00552025">
        <w:rPr>
          <w:rFonts w:ascii="宋体" w:hAnsi="宋体" w:cs="宋体" w:hint="eastAsia"/>
        </w:rPr>
        <w:t>或APP客户端，根据提示操作输入要咨询的问题，自助进行相关问题的搜索及解答。</w:t>
      </w:r>
    </w:p>
    <w:p w14:paraId="0204481E"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5、网上人工服务</w:t>
      </w:r>
    </w:p>
    <w:p w14:paraId="794F57D3"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投资人可通过基金管理人网站、</w:t>
      </w:r>
      <w:proofErr w:type="gramStart"/>
      <w:r w:rsidRPr="00552025">
        <w:rPr>
          <w:rFonts w:ascii="宋体" w:hAnsi="宋体" w:cs="宋体" w:hint="eastAsia"/>
        </w:rPr>
        <w:t>微信公众号</w:t>
      </w:r>
      <w:proofErr w:type="gramEnd"/>
      <w:r w:rsidRPr="00552025">
        <w:rPr>
          <w:rFonts w:ascii="宋体" w:hAnsi="宋体" w:cs="宋体" w:hint="eastAsia"/>
        </w:rPr>
        <w:t>或APP客户端获得投资咨询、业务咨询、信息查询、服务投诉及建议、信息定制等专项服务。</w:t>
      </w:r>
    </w:p>
    <w:p w14:paraId="73E92AF2" w14:textId="77777777" w:rsidR="00552025" w:rsidRPr="00552025" w:rsidRDefault="00552025" w:rsidP="00552025">
      <w:pPr>
        <w:snapToGrid w:val="0"/>
        <w:spacing w:line="360" w:lineRule="auto"/>
        <w:ind w:firstLineChars="200" w:firstLine="420"/>
        <w:rPr>
          <w:rFonts w:ascii="宋体" w:hAnsi="宋体" w:cs="宋体"/>
        </w:rPr>
      </w:pPr>
    </w:p>
    <w:p w14:paraId="5321690B"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三、客户服务中心电话服务</w:t>
      </w:r>
    </w:p>
    <w:p w14:paraId="43C7B0D3"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投资人拨打基金管理</w:t>
      </w:r>
      <w:proofErr w:type="gramStart"/>
      <w:r w:rsidRPr="00552025">
        <w:rPr>
          <w:rFonts w:ascii="宋体" w:hAnsi="宋体" w:cs="宋体" w:hint="eastAsia"/>
        </w:rPr>
        <w:t>人客户</w:t>
      </w:r>
      <w:proofErr w:type="gramEnd"/>
      <w:r w:rsidRPr="00552025">
        <w:rPr>
          <w:rFonts w:ascii="宋体" w:hAnsi="宋体" w:cs="宋体" w:hint="eastAsia"/>
        </w:rPr>
        <w:t>服务中心热线400-889-8899（国内免长途话费）可享有如下服务：</w:t>
      </w:r>
    </w:p>
    <w:p w14:paraId="5ED762B8"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1、自助语音服务：提供7×24小时基金净值信息、账户信息等自助查询服务。</w:t>
      </w:r>
    </w:p>
    <w:p w14:paraId="07F32568"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2、人工服务：提供每周7天，每日不少于8小时的人工服务（法定节假日除外）。投资人可以通过该热线获得投资咨询、业务咨询、信息查询、服务投诉及建议、信息定制等专项服务。</w:t>
      </w:r>
    </w:p>
    <w:p w14:paraId="15EEC43A" w14:textId="77777777" w:rsidR="00552025" w:rsidRPr="00552025" w:rsidRDefault="00552025" w:rsidP="00552025">
      <w:pPr>
        <w:snapToGrid w:val="0"/>
        <w:spacing w:line="360" w:lineRule="auto"/>
        <w:ind w:firstLineChars="200" w:firstLine="420"/>
        <w:rPr>
          <w:rFonts w:ascii="宋体" w:hAnsi="宋体" w:cs="宋体"/>
        </w:rPr>
      </w:pPr>
    </w:p>
    <w:p w14:paraId="03EA9674" w14:textId="77777777" w:rsidR="00552025" w:rsidRPr="00552025"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四、客户投诉及建议受理服务</w:t>
      </w:r>
    </w:p>
    <w:p w14:paraId="4A5CF9A4" w14:textId="599A8827" w:rsidR="00552025" w:rsidRPr="00913EAC" w:rsidRDefault="00552025" w:rsidP="00552025">
      <w:pPr>
        <w:snapToGrid w:val="0"/>
        <w:spacing w:line="360" w:lineRule="auto"/>
        <w:ind w:firstLineChars="200" w:firstLine="420"/>
        <w:rPr>
          <w:rFonts w:ascii="宋体" w:hAnsi="宋体" w:cs="宋体"/>
        </w:rPr>
      </w:pPr>
      <w:r w:rsidRPr="00552025">
        <w:rPr>
          <w:rFonts w:ascii="宋体" w:hAnsi="宋体" w:cs="宋体" w:hint="eastAsia"/>
        </w:rPr>
        <w:t>投资人可以通过基金管理</w:t>
      </w:r>
      <w:proofErr w:type="gramStart"/>
      <w:r w:rsidRPr="00552025">
        <w:rPr>
          <w:rFonts w:ascii="宋体" w:hAnsi="宋体" w:cs="宋体" w:hint="eastAsia"/>
        </w:rPr>
        <w:t>人客户</w:t>
      </w:r>
      <w:proofErr w:type="gramEnd"/>
      <w:r w:rsidRPr="00552025">
        <w:rPr>
          <w:rFonts w:ascii="宋体" w:hAnsi="宋体" w:cs="宋体" w:hint="eastAsia"/>
        </w:rPr>
        <w:t>服务中心人工热线、在线客服、书信、电子邮件、短信、传真及各销售机构网点柜台等不同的渠道对基金管理人和销售网点所提供的服务进行投诉或提出建议。</w:t>
      </w:r>
    </w:p>
    <w:p w14:paraId="1DA8B921" w14:textId="77777777" w:rsidR="003F75AE" w:rsidRPr="00A4035F" w:rsidRDefault="003F75AE">
      <w:pPr>
        <w:snapToGrid w:val="0"/>
        <w:spacing w:line="360" w:lineRule="auto"/>
        <w:rPr>
          <w:rFonts w:ascii="宋体" w:cs="Times New Roman"/>
          <w:color w:val="000000"/>
        </w:rPr>
      </w:pPr>
      <w:r w:rsidRPr="00A4035F">
        <w:rPr>
          <w:rFonts w:ascii="宋体" w:cs="Times New Roman"/>
          <w:color w:val="000000"/>
        </w:rPr>
        <w:br w:type="page"/>
      </w:r>
    </w:p>
    <w:p w14:paraId="6CD2DF55"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92" w:name="_Toc360794115"/>
      <w:bookmarkStart w:id="193" w:name="_Toc362455198"/>
      <w:bookmarkStart w:id="194" w:name="_Toc360794531"/>
      <w:bookmarkStart w:id="195" w:name="_Toc360794423"/>
      <w:bookmarkStart w:id="196" w:name="_Toc416453860"/>
      <w:bookmarkStart w:id="197" w:name="_Toc360793865"/>
      <w:bookmarkStart w:id="198" w:name="_Toc362533470"/>
      <w:bookmarkStart w:id="199" w:name="_Toc360793513"/>
      <w:r w:rsidRPr="00A4035F">
        <w:rPr>
          <w:rFonts w:ascii="宋体" w:eastAsia="宋体" w:hAnsi="宋体" w:cs="宋体" w:hint="eastAsia"/>
        </w:rPr>
        <w:lastRenderedPageBreak/>
        <w:t>其它应披露事项</w:t>
      </w:r>
      <w:bookmarkEnd w:id="192"/>
      <w:bookmarkEnd w:id="193"/>
      <w:bookmarkEnd w:id="194"/>
      <w:bookmarkEnd w:id="195"/>
      <w:bookmarkEnd w:id="196"/>
      <w:bookmarkEnd w:id="197"/>
      <w:bookmarkEnd w:id="198"/>
      <w:bookmarkEnd w:id="199"/>
    </w:p>
    <w:p w14:paraId="70CEB07E" w14:textId="77777777" w:rsidR="003F75AE" w:rsidRPr="00A4035F" w:rsidRDefault="003F75AE" w:rsidP="003F75AE">
      <w:pPr>
        <w:adjustRightInd w:val="0"/>
        <w:snapToGrid w:val="0"/>
        <w:spacing w:line="360" w:lineRule="auto"/>
        <w:ind w:firstLineChars="200" w:firstLine="420"/>
        <w:rPr>
          <w:rFonts w:ascii="宋体" w:cs="Times New Roman"/>
        </w:rPr>
      </w:pPr>
    </w:p>
    <w:p w14:paraId="4455D247" w14:textId="77777777" w:rsidR="003F75AE" w:rsidRPr="00A4035F" w:rsidRDefault="003F75AE" w:rsidP="003F75AE">
      <w:pPr>
        <w:adjustRightInd w:val="0"/>
        <w:snapToGrid w:val="0"/>
        <w:spacing w:line="360" w:lineRule="auto"/>
        <w:ind w:firstLineChars="200" w:firstLine="420"/>
        <w:rPr>
          <w:rFonts w:ascii="宋体" w:cs="Times New Roman"/>
        </w:rPr>
      </w:pPr>
      <w:r w:rsidRPr="00A4035F">
        <w:rPr>
          <w:rFonts w:hAnsi="宋体" w:cs="宋体" w:hint="eastAsia"/>
        </w:rPr>
        <w:t>本基金暂无其他应披露事项。</w:t>
      </w:r>
      <w:r w:rsidRPr="00A4035F">
        <w:rPr>
          <w:rFonts w:ascii="宋体" w:hAnsi="宋体" w:cs="宋体" w:hint="eastAsia"/>
          <w:color w:val="000000"/>
        </w:rPr>
        <w:t>基金合同如有未尽事宜，由基金合同当事人各方按有关法律法规和规定协商解决。</w:t>
      </w:r>
    </w:p>
    <w:p w14:paraId="2B70B50D" w14:textId="77777777" w:rsidR="003F75AE" w:rsidRPr="00A4035F" w:rsidRDefault="003F75AE" w:rsidP="003F75AE">
      <w:pPr>
        <w:adjustRightInd w:val="0"/>
        <w:snapToGrid w:val="0"/>
        <w:spacing w:line="360" w:lineRule="auto"/>
        <w:ind w:firstLineChars="200" w:firstLine="420"/>
        <w:rPr>
          <w:rFonts w:ascii="宋体" w:cs="Times New Roman"/>
        </w:rPr>
      </w:pPr>
    </w:p>
    <w:p w14:paraId="1DDE8399" w14:textId="77777777" w:rsidR="003F75AE" w:rsidRPr="00A4035F" w:rsidRDefault="003F75AE">
      <w:pPr>
        <w:adjustRightInd w:val="0"/>
        <w:snapToGrid w:val="0"/>
        <w:spacing w:line="360" w:lineRule="auto"/>
        <w:ind w:firstLineChars="200" w:firstLine="420"/>
        <w:rPr>
          <w:rFonts w:ascii="宋体" w:cs="Times New Roman"/>
          <w:color w:val="000000"/>
        </w:rPr>
      </w:pPr>
    </w:p>
    <w:p w14:paraId="7C6B502E" w14:textId="77777777" w:rsidR="003F75AE" w:rsidRPr="00A4035F" w:rsidRDefault="003F75AE">
      <w:pPr>
        <w:adjustRightInd w:val="0"/>
        <w:snapToGrid w:val="0"/>
        <w:spacing w:line="360" w:lineRule="auto"/>
        <w:ind w:firstLineChars="200" w:firstLine="420"/>
        <w:rPr>
          <w:rFonts w:ascii="宋体" w:cs="Times New Roman"/>
          <w:color w:val="000000"/>
        </w:rPr>
      </w:pPr>
      <w:r w:rsidRPr="00A4035F">
        <w:rPr>
          <w:rFonts w:ascii="宋体" w:cs="Times New Roman"/>
          <w:color w:val="000000"/>
        </w:rPr>
        <w:br w:type="page"/>
      </w:r>
    </w:p>
    <w:p w14:paraId="3BEFFF7B"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200" w:name="_Toc360794116"/>
      <w:bookmarkStart w:id="201" w:name="_Toc360793514"/>
      <w:bookmarkStart w:id="202" w:name="_Toc362455199"/>
      <w:bookmarkStart w:id="203" w:name="_Toc362533471"/>
      <w:bookmarkStart w:id="204" w:name="_Toc416453861"/>
      <w:bookmarkStart w:id="205" w:name="_Toc360793866"/>
      <w:bookmarkStart w:id="206" w:name="_Toc360794532"/>
      <w:bookmarkStart w:id="207" w:name="_Toc360794424"/>
      <w:r w:rsidRPr="00A4035F">
        <w:rPr>
          <w:rFonts w:ascii="宋体" w:eastAsia="宋体" w:hAnsi="宋体" w:cs="宋体" w:hint="eastAsia"/>
        </w:rPr>
        <w:lastRenderedPageBreak/>
        <w:t>招募说明书存放及其查阅方式</w:t>
      </w:r>
      <w:bookmarkEnd w:id="200"/>
      <w:bookmarkEnd w:id="201"/>
      <w:bookmarkEnd w:id="202"/>
      <w:bookmarkEnd w:id="203"/>
      <w:bookmarkEnd w:id="204"/>
      <w:bookmarkEnd w:id="205"/>
      <w:bookmarkEnd w:id="206"/>
      <w:bookmarkEnd w:id="207"/>
    </w:p>
    <w:p w14:paraId="0128D473" w14:textId="77777777" w:rsidR="003F75AE" w:rsidRPr="00A4035F" w:rsidRDefault="003F75AE" w:rsidP="003F75AE">
      <w:pPr>
        <w:snapToGrid w:val="0"/>
        <w:spacing w:line="360" w:lineRule="auto"/>
        <w:ind w:firstLineChars="200" w:firstLine="420"/>
        <w:rPr>
          <w:rFonts w:ascii="宋体" w:cs="Times New Roman"/>
          <w:color w:val="000000"/>
        </w:rPr>
      </w:pPr>
    </w:p>
    <w:p w14:paraId="166AED30" w14:textId="161E39D6" w:rsidR="003F75AE" w:rsidRPr="00A4035F" w:rsidRDefault="003F75AE" w:rsidP="003F75AE">
      <w:pPr>
        <w:snapToGrid w:val="0"/>
        <w:spacing w:line="360" w:lineRule="auto"/>
        <w:ind w:firstLineChars="200" w:firstLine="420"/>
        <w:rPr>
          <w:rFonts w:ascii="宋体" w:cs="Times New Roman"/>
          <w:color w:val="000000"/>
        </w:rPr>
      </w:pPr>
      <w:r w:rsidRPr="00A4035F">
        <w:rPr>
          <w:rFonts w:ascii="宋体" w:hAnsi="宋体" w:cs="宋体" w:hint="eastAsia"/>
          <w:color w:val="000000"/>
        </w:rPr>
        <w:t>本招募说明书存放在本基金管理人、基金托管人、销售机构</w:t>
      </w:r>
      <w:r w:rsidR="00AB5D1E" w:rsidRPr="00A4035F">
        <w:rPr>
          <w:rFonts w:ascii="宋体" w:hAnsi="宋体" w:cs="宋体" w:hint="eastAsia"/>
          <w:color w:val="000000"/>
        </w:rPr>
        <w:t>的</w:t>
      </w:r>
      <w:bookmarkStart w:id="208" w:name="OLE_LINK324"/>
      <w:bookmarkStart w:id="209" w:name="OLE_LINK325"/>
      <w:r w:rsidR="008B4B39">
        <w:rPr>
          <w:rFonts w:ascii="宋体" w:hAnsi="宋体" w:cs="宋体" w:hint="eastAsia"/>
          <w:color w:val="000000"/>
        </w:rPr>
        <w:t>办公场所</w:t>
      </w:r>
      <w:bookmarkEnd w:id="208"/>
      <w:bookmarkEnd w:id="209"/>
      <w:r w:rsidRPr="00A4035F">
        <w:rPr>
          <w:rFonts w:ascii="宋体" w:hAnsi="宋体" w:cs="宋体" w:hint="eastAsia"/>
          <w:color w:val="000000"/>
        </w:rPr>
        <w:t>，投资</w:t>
      </w:r>
      <w:r w:rsidRPr="00A4035F">
        <w:rPr>
          <w:rFonts w:ascii="宋体" w:hAnsi="宋体" w:cs="宋体" w:hint="eastAsia"/>
        </w:rPr>
        <w:t>人</w:t>
      </w:r>
      <w:r w:rsidRPr="00A4035F">
        <w:rPr>
          <w:rFonts w:ascii="宋体" w:hAnsi="宋体" w:cs="宋体" w:hint="eastAsia"/>
          <w:color w:val="000000"/>
        </w:rPr>
        <w:t>可在办公时间免费查阅；也可按工本费购买本招募说明书复制件或复印件，但应以招募说明书正本为准。</w:t>
      </w:r>
    </w:p>
    <w:p w14:paraId="1F1A00C4" w14:textId="77777777" w:rsidR="003F75AE" w:rsidRPr="00A4035F" w:rsidRDefault="003F75AE" w:rsidP="003F75AE">
      <w:pPr>
        <w:snapToGrid w:val="0"/>
        <w:spacing w:line="360" w:lineRule="auto"/>
        <w:ind w:firstLineChars="200" w:firstLine="420"/>
        <w:rPr>
          <w:rFonts w:ascii="宋体" w:cs="Times New Roman"/>
          <w:color w:val="000000"/>
        </w:rPr>
      </w:pPr>
      <w:r w:rsidRPr="00A4035F">
        <w:rPr>
          <w:rFonts w:ascii="宋体" w:hAnsi="宋体" w:cs="宋体" w:hint="eastAsia"/>
          <w:color w:val="000000"/>
        </w:rPr>
        <w:t>基金管理人和基金托管人保证文本的内容与所公告的内容完全一致。</w:t>
      </w:r>
    </w:p>
    <w:p w14:paraId="439C1244" w14:textId="77777777" w:rsidR="003F75AE" w:rsidRPr="00A4035F" w:rsidRDefault="003F75AE">
      <w:pPr>
        <w:snapToGrid w:val="0"/>
        <w:spacing w:line="360" w:lineRule="auto"/>
        <w:ind w:firstLineChars="200" w:firstLine="420"/>
        <w:rPr>
          <w:rFonts w:ascii="宋体" w:cs="Times New Roman"/>
          <w:color w:val="000000"/>
        </w:rPr>
      </w:pPr>
      <w:r w:rsidRPr="00A4035F">
        <w:rPr>
          <w:rFonts w:ascii="宋体" w:cs="Times New Roman"/>
          <w:color w:val="000000"/>
        </w:rPr>
        <w:br w:type="page"/>
      </w:r>
    </w:p>
    <w:p w14:paraId="55759F98"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210" w:name="_Toc360794533"/>
      <w:bookmarkStart w:id="211" w:name="_Toc360794425"/>
      <w:bookmarkStart w:id="212" w:name="_Toc360793515"/>
      <w:bookmarkStart w:id="213" w:name="_Toc362533472"/>
      <w:bookmarkStart w:id="214" w:name="_Toc360794117"/>
      <w:bookmarkStart w:id="215" w:name="_Toc362455200"/>
      <w:bookmarkStart w:id="216" w:name="_Toc416453862"/>
      <w:bookmarkStart w:id="217" w:name="_Toc360793867"/>
      <w:r w:rsidRPr="00A4035F">
        <w:rPr>
          <w:rFonts w:ascii="宋体" w:eastAsia="宋体" w:hAnsi="宋体" w:cs="宋体" w:hint="eastAsia"/>
        </w:rPr>
        <w:lastRenderedPageBreak/>
        <w:t>备查文件</w:t>
      </w:r>
      <w:bookmarkEnd w:id="210"/>
      <w:bookmarkEnd w:id="211"/>
      <w:bookmarkEnd w:id="212"/>
      <w:bookmarkEnd w:id="213"/>
      <w:bookmarkEnd w:id="214"/>
      <w:bookmarkEnd w:id="215"/>
      <w:bookmarkEnd w:id="216"/>
      <w:bookmarkEnd w:id="217"/>
    </w:p>
    <w:p w14:paraId="1C786722" w14:textId="77777777" w:rsidR="003F75AE" w:rsidRPr="00A4035F" w:rsidRDefault="003F75AE">
      <w:pPr>
        <w:adjustRightInd w:val="0"/>
        <w:snapToGrid w:val="0"/>
        <w:spacing w:line="360" w:lineRule="auto"/>
        <w:ind w:firstLine="539"/>
        <w:rPr>
          <w:rFonts w:ascii="宋体" w:cs="Times New Roman"/>
          <w:color w:val="000000"/>
        </w:rPr>
      </w:pPr>
    </w:p>
    <w:p w14:paraId="52193FD1" w14:textId="77777777" w:rsidR="003F75AE" w:rsidRPr="00A4035F" w:rsidRDefault="004A043F">
      <w:pPr>
        <w:adjustRightInd w:val="0"/>
        <w:snapToGrid w:val="0"/>
        <w:spacing w:line="360" w:lineRule="auto"/>
        <w:ind w:firstLine="539"/>
        <w:rPr>
          <w:rFonts w:ascii="宋体" w:cs="Times New Roman"/>
        </w:rPr>
      </w:pPr>
      <w:r w:rsidRPr="00A4035F">
        <w:rPr>
          <w:rFonts w:ascii="宋体" w:hAnsi="宋体" w:cs="宋体" w:hint="eastAsia"/>
        </w:rPr>
        <w:t>一、</w:t>
      </w:r>
      <w:r w:rsidR="003F75AE" w:rsidRPr="00A4035F">
        <w:rPr>
          <w:rFonts w:ascii="宋体" w:hAnsi="宋体" w:cs="宋体" w:hint="eastAsia"/>
        </w:rPr>
        <w:t>中国证监会准予本基金</w:t>
      </w:r>
      <w:r w:rsidRPr="00A4035F">
        <w:rPr>
          <w:rFonts w:ascii="宋体" w:hAnsi="宋体" w:cs="宋体" w:hint="eastAsia"/>
        </w:rPr>
        <w:t>注册的文件</w:t>
      </w:r>
    </w:p>
    <w:p w14:paraId="2DB2252B" w14:textId="2FBDA96F" w:rsidR="003F75AE" w:rsidRPr="00A4035F" w:rsidRDefault="004A043F">
      <w:pPr>
        <w:adjustRightInd w:val="0"/>
        <w:snapToGrid w:val="0"/>
        <w:spacing w:line="360" w:lineRule="auto"/>
        <w:ind w:firstLine="539"/>
        <w:rPr>
          <w:rFonts w:ascii="宋体" w:cs="Times New Roman"/>
        </w:rPr>
      </w:pPr>
      <w:r w:rsidRPr="00A4035F">
        <w:rPr>
          <w:rFonts w:ascii="宋体" w:hAnsi="宋体" w:cs="宋体" w:hint="eastAsia"/>
        </w:rPr>
        <w:t>二、《</w:t>
      </w:r>
      <w:r w:rsidR="005E4EB9">
        <w:rPr>
          <w:rFonts w:ascii="宋体" w:hAnsi="宋体" w:hint="eastAsia"/>
          <w:bCs/>
        </w:rPr>
        <w:t>南方标普中国A股大盘红利低波50交易型开放式指数证券投资基金联接基金</w:t>
      </w:r>
      <w:r w:rsidRPr="00A4035F">
        <w:rPr>
          <w:rFonts w:ascii="宋体" w:hAnsi="宋体" w:cs="宋体" w:hint="eastAsia"/>
        </w:rPr>
        <w:t>基金合同》</w:t>
      </w:r>
    </w:p>
    <w:p w14:paraId="2648C035" w14:textId="1A19D793" w:rsidR="003F75AE" w:rsidRPr="00A4035F" w:rsidRDefault="004A043F">
      <w:pPr>
        <w:adjustRightInd w:val="0"/>
        <w:snapToGrid w:val="0"/>
        <w:spacing w:line="360" w:lineRule="auto"/>
        <w:ind w:firstLine="539"/>
        <w:rPr>
          <w:rFonts w:ascii="宋体" w:cs="Times New Roman"/>
          <w:color w:val="000000"/>
        </w:rPr>
      </w:pPr>
      <w:r w:rsidRPr="00A4035F">
        <w:rPr>
          <w:rFonts w:ascii="宋体" w:hAnsi="宋体" w:cs="宋体" w:hint="eastAsia"/>
        </w:rPr>
        <w:t>三、《</w:t>
      </w:r>
      <w:r w:rsidR="005E4EB9">
        <w:rPr>
          <w:rFonts w:ascii="宋体" w:hAnsi="宋体" w:hint="eastAsia"/>
          <w:bCs/>
        </w:rPr>
        <w:t>南方标普中国A股大盘红利低波50交易型开放式指数证券投资基金联接基金</w:t>
      </w:r>
      <w:r w:rsidR="003F75AE" w:rsidRPr="00A4035F">
        <w:rPr>
          <w:rFonts w:ascii="宋体" w:hAnsi="宋体" w:cs="宋体" w:hint="eastAsia"/>
          <w:color w:val="000000"/>
        </w:rPr>
        <w:t>托管协议》</w:t>
      </w:r>
    </w:p>
    <w:p w14:paraId="50028612" w14:textId="089209C7" w:rsidR="003F75AE" w:rsidRPr="00A4035F" w:rsidRDefault="003F75AE">
      <w:pPr>
        <w:adjustRightInd w:val="0"/>
        <w:snapToGrid w:val="0"/>
        <w:spacing w:line="360" w:lineRule="auto"/>
        <w:ind w:firstLine="539"/>
        <w:rPr>
          <w:rFonts w:ascii="宋体" w:cs="Times New Roman"/>
          <w:color w:val="000000"/>
        </w:rPr>
      </w:pPr>
      <w:r w:rsidRPr="00A4035F">
        <w:rPr>
          <w:rFonts w:ascii="宋体" w:hAnsi="宋体" w:cs="宋体" w:hint="eastAsia"/>
          <w:color w:val="000000"/>
        </w:rPr>
        <w:t>四、《</w:t>
      </w:r>
      <w:r w:rsidR="00FD4390">
        <w:rPr>
          <w:rFonts w:ascii="宋体" w:hAnsi="宋体" w:cs="宋体" w:hint="eastAsia"/>
          <w:color w:val="000000"/>
        </w:rPr>
        <w:t>南方基金管理股份有限公司</w:t>
      </w:r>
      <w:r w:rsidRPr="00A4035F">
        <w:rPr>
          <w:rFonts w:ascii="宋体" w:hAnsi="宋体" w:cs="宋体" w:hint="eastAsia"/>
          <w:color w:val="000000"/>
        </w:rPr>
        <w:t>开放式基金业务规则》</w:t>
      </w:r>
    </w:p>
    <w:p w14:paraId="0BDE520F" w14:textId="77777777" w:rsidR="003F75AE" w:rsidRPr="00A4035F" w:rsidRDefault="003F75AE">
      <w:pPr>
        <w:adjustRightInd w:val="0"/>
        <w:snapToGrid w:val="0"/>
        <w:spacing w:line="360" w:lineRule="auto"/>
        <w:ind w:firstLine="539"/>
        <w:rPr>
          <w:rFonts w:ascii="宋体" w:cs="Times New Roman"/>
          <w:color w:val="000000"/>
        </w:rPr>
      </w:pPr>
      <w:r w:rsidRPr="00A4035F">
        <w:rPr>
          <w:rFonts w:ascii="宋体" w:hAnsi="宋体" w:cs="宋体" w:hint="eastAsia"/>
          <w:color w:val="000000"/>
        </w:rPr>
        <w:t>五、法律意见书</w:t>
      </w:r>
    </w:p>
    <w:p w14:paraId="6AFEC40A" w14:textId="77777777" w:rsidR="003F75AE" w:rsidRPr="00A4035F" w:rsidRDefault="003F75AE">
      <w:pPr>
        <w:adjustRightInd w:val="0"/>
        <w:snapToGrid w:val="0"/>
        <w:spacing w:line="360" w:lineRule="auto"/>
        <w:ind w:firstLine="539"/>
        <w:rPr>
          <w:rFonts w:ascii="宋体" w:cs="Times New Roman"/>
          <w:color w:val="000000"/>
        </w:rPr>
      </w:pPr>
      <w:r w:rsidRPr="00A4035F">
        <w:rPr>
          <w:rFonts w:ascii="宋体" w:hAnsi="宋体" w:cs="宋体" w:hint="eastAsia"/>
          <w:color w:val="000000"/>
        </w:rPr>
        <w:t>六、基金管理人业务资格批件、营业执照</w:t>
      </w:r>
    </w:p>
    <w:p w14:paraId="4AB3B57C" w14:textId="77777777" w:rsidR="003F75AE" w:rsidRPr="00A4035F" w:rsidRDefault="003F75AE">
      <w:pPr>
        <w:adjustRightInd w:val="0"/>
        <w:snapToGrid w:val="0"/>
        <w:spacing w:line="360" w:lineRule="auto"/>
        <w:ind w:firstLine="539"/>
        <w:rPr>
          <w:rFonts w:ascii="宋体" w:cs="Times New Roman"/>
          <w:color w:val="000000"/>
        </w:rPr>
      </w:pPr>
      <w:r w:rsidRPr="00A4035F">
        <w:rPr>
          <w:rFonts w:ascii="宋体" w:hAnsi="宋体" w:cs="宋体" w:hint="eastAsia"/>
          <w:color w:val="000000"/>
        </w:rPr>
        <w:t>七、基金托管人业务资格批件、营业执照</w:t>
      </w:r>
    </w:p>
    <w:p w14:paraId="6B4627A4" w14:textId="77777777" w:rsidR="003F75AE" w:rsidRPr="00A4035F" w:rsidRDefault="003F75AE">
      <w:pPr>
        <w:pStyle w:val="32"/>
        <w:snapToGrid w:val="0"/>
        <w:spacing w:line="360" w:lineRule="auto"/>
        <w:ind w:firstLine="0"/>
        <w:rPr>
          <w:rFonts w:hAnsi="宋体" w:cs="Times New Roman"/>
          <w:color w:val="000000"/>
          <w:sz w:val="21"/>
          <w:szCs w:val="21"/>
        </w:rPr>
      </w:pPr>
    </w:p>
    <w:p w14:paraId="7D6BB75C" w14:textId="77777777" w:rsidR="003F75AE" w:rsidRPr="00A4035F" w:rsidRDefault="003F75AE">
      <w:pPr>
        <w:pStyle w:val="32"/>
        <w:snapToGrid w:val="0"/>
        <w:spacing w:line="360" w:lineRule="auto"/>
        <w:ind w:firstLine="0"/>
        <w:rPr>
          <w:rFonts w:hAnsi="宋体" w:cs="Times New Roman"/>
          <w:color w:val="000000"/>
        </w:rPr>
      </w:pPr>
    </w:p>
    <w:bookmarkEnd w:id="26"/>
    <w:bookmarkEnd w:id="27"/>
    <w:bookmarkEnd w:id="28"/>
    <w:p w14:paraId="28663D22" w14:textId="77777777" w:rsidR="003F75AE" w:rsidRDefault="003F75AE">
      <w:pPr>
        <w:rPr>
          <w:rFonts w:ascii="宋体" w:cs="Times New Roman"/>
        </w:rPr>
      </w:pPr>
    </w:p>
    <w:sectPr w:rsidR="003F75AE" w:rsidSect="00FB2F6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015BB" w14:textId="77777777" w:rsidR="00367AB4" w:rsidRDefault="00367AB4">
      <w:r>
        <w:separator/>
      </w:r>
    </w:p>
  </w:endnote>
  <w:endnote w:type="continuationSeparator" w:id="0">
    <w:p w14:paraId="65C40F60" w14:textId="77777777" w:rsidR="00367AB4" w:rsidRDefault="0036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moder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简体">
    <w:altName w:val="等线"/>
    <w:charset w:val="86"/>
    <w:family w:val="auto"/>
    <w:pitch w:val="default"/>
    <w:sig w:usb0="00000000" w:usb1="080E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6341" w14:textId="77777777" w:rsidR="00AB54D8" w:rsidRDefault="00AB54D8">
    <w:pPr>
      <w:pStyle w:val="ad"/>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5A524" w14:textId="77777777" w:rsidR="00367AB4" w:rsidRDefault="00367AB4">
      <w:r>
        <w:separator/>
      </w:r>
    </w:p>
  </w:footnote>
  <w:footnote w:type="continuationSeparator" w:id="0">
    <w:p w14:paraId="338A0D72" w14:textId="77777777" w:rsidR="00367AB4" w:rsidRDefault="0036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cs="Symbol" w:hint="default"/>
        <w:color w:val="auto"/>
      </w:rPr>
    </w:lvl>
  </w:abstractNum>
  <w:abstractNum w:abstractNumId="2" w15:restartNumberingAfterBreak="0">
    <w:nsid w:val="044209E7"/>
    <w:multiLevelType w:val="multilevel"/>
    <w:tmpl w:val="044209E7"/>
    <w:lvl w:ilvl="0">
      <w:start w:val="1"/>
      <w:numFmt w:val="decimal"/>
      <w:pStyle w:val="AOAppHead"/>
      <w:suff w:val="nothing"/>
      <w:lvlText w:val="Appendix %1"/>
      <w:lvlJc w:val="left"/>
      <w:rPr>
        <w:b/>
        <w:bCs/>
        <w:i w:val="0"/>
        <w:iCs w:val="0"/>
      </w:rPr>
    </w:lvl>
    <w:lvl w:ilvl="1">
      <w:start w:val="1"/>
      <w:numFmt w:val="decimal"/>
      <w:pStyle w:val="AOApp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 w15:restartNumberingAfterBreak="0">
    <w:nsid w:val="0B101077"/>
    <w:multiLevelType w:val="singleLevel"/>
    <w:tmpl w:val="0B101077"/>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10F37ADE"/>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3B718D4"/>
    <w:multiLevelType w:val="multilevel"/>
    <w:tmpl w:val="13B718D4"/>
    <w:lvl w:ilvl="0">
      <w:start w:val="1"/>
      <w:numFmt w:val="decimal"/>
      <w:pStyle w:val="2"/>
      <w:lvlText w:val="（%1）"/>
      <w:lvlJc w:val="center"/>
      <w:pPr>
        <w:tabs>
          <w:tab w:val="num" w:pos="648"/>
        </w:tabs>
        <w:ind w:firstLine="288"/>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FA6DE9"/>
    <w:multiLevelType w:val="singleLevel"/>
    <w:tmpl w:val="31FA6DE9"/>
    <w:lvl w:ilvl="0">
      <w:start w:val="1"/>
      <w:numFmt w:val="bullet"/>
      <w:pStyle w:val="AOBullet"/>
      <w:lvlText w:val=""/>
      <w:lvlJc w:val="left"/>
      <w:pPr>
        <w:tabs>
          <w:tab w:val="num" w:pos="720"/>
        </w:tabs>
        <w:ind w:left="720" w:hanging="720"/>
      </w:pPr>
      <w:rPr>
        <w:rFonts w:ascii="Symbol" w:hAnsi="Symbol" w:cs="Symbol" w:hint="default"/>
      </w:rPr>
    </w:lvl>
  </w:abstractNum>
  <w:abstractNum w:abstractNumId="7" w15:restartNumberingAfterBreak="0">
    <w:nsid w:val="36063A36"/>
    <w:multiLevelType w:val="singleLevel"/>
    <w:tmpl w:val="36063A36"/>
    <w:lvl w:ilvl="0">
      <w:start w:val="1"/>
      <w:numFmt w:val="bullet"/>
      <w:pStyle w:val="a0"/>
      <w:lvlText w:val=""/>
      <w:lvlJc w:val="left"/>
      <w:pPr>
        <w:tabs>
          <w:tab w:val="num" w:pos="720"/>
        </w:tabs>
        <w:ind w:left="720" w:hanging="360"/>
      </w:pPr>
      <w:rPr>
        <w:rFonts w:ascii="Wingdings" w:hAnsi="Wingdings" w:cs="Wingdings" w:hint="default"/>
      </w:rPr>
    </w:lvl>
  </w:abstractNum>
  <w:abstractNum w:abstractNumId="8" w15:restartNumberingAfterBreak="0">
    <w:nsid w:val="38014636"/>
    <w:multiLevelType w:val="multilevel"/>
    <w:tmpl w:val="38014636"/>
    <w:lvl w:ilvl="0">
      <w:start w:val="1"/>
      <w:numFmt w:val="chineseCountingThousand"/>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D0E7D39"/>
    <w:multiLevelType w:val="multilevel"/>
    <w:tmpl w:val="3D0E7D39"/>
    <w:lvl w:ilvl="0">
      <w:start w:val="1"/>
      <w:numFmt w:val="decimal"/>
      <w:pStyle w:val="AOSchHead"/>
      <w:suff w:val="nothing"/>
      <w:lvlText w:val="Schedule %1"/>
      <w:lvlJc w:val="left"/>
      <w:rPr>
        <w:b/>
        <w:bCs/>
        <w:i w:val="0"/>
        <w:iCs w:val="0"/>
      </w:rPr>
    </w:lvl>
    <w:lvl w:ilvl="1">
      <w:start w:val="1"/>
      <w:numFmt w:val="decimal"/>
      <w:pStyle w:val="AOSch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 w15:restartNumberingAfterBreak="0">
    <w:nsid w:val="3E29759A"/>
    <w:multiLevelType w:val="multilevel"/>
    <w:tmpl w:val="3E29759A"/>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1F230E7"/>
    <w:multiLevelType w:val="singleLevel"/>
    <w:tmpl w:val="41F230E7"/>
    <w:lvl w:ilvl="0">
      <w:start w:val="1"/>
      <w:numFmt w:val="bullet"/>
      <w:pStyle w:val="AOBullet4"/>
      <w:lvlText w:val=""/>
      <w:lvlJc w:val="left"/>
      <w:pPr>
        <w:tabs>
          <w:tab w:val="num" w:pos="720"/>
        </w:tabs>
        <w:ind w:left="720" w:hanging="720"/>
      </w:pPr>
      <w:rPr>
        <w:rFonts w:ascii="Wingdings" w:hAnsi="Wingdings" w:cs="Wingdings" w:hint="default"/>
      </w:rPr>
    </w:lvl>
  </w:abstractNum>
  <w:abstractNum w:abstractNumId="12" w15:restartNumberingAfterBreak="0">
    <w:nsid w:val="475B3203"/>
    <w:multiLevelType w:val="multilevel"/>
    <w:tmpl w:val="475B3203"/>
    <w:lvl w:ilvl="0">
      <w:start w:val="1"/>
      <w:numFmt w:val="none"/>
      <w:pStyle w:val="AODocTxt"/>
      <w:suff w:val="nothing"/>
      <w:lvlText w:val=""/>
      <w:lvlJc w:val="left"/>
      <w:pPr>
        <w:ind w:left="1260"/>
      </w:pPr>
    </w:lvl>
    <w:lvl w:ilvl="1">
      <w:start w:val="1"/>
      <w:numFmt w:val="none"/>
      <w:pStyle w:val="AODocTxtL1"/>
      <w:suff w:val="nothing"/>
      <w:lvlText w:val=""/>
      <w:lvlJc w:val="left"/>
      <w:pPr>
        <w:ind w:left="1980"/>
      </w:pPr>
    </w:lvl>
    <w:lvl w:ilvl="2">
      <w:start w:val="1"/>
      <w:numFmt w:val="none"/>
      <w:pStyle w:val="AODocTxtL2"/>
      <w:suff w:val="nothing"/>
      <w:lvlText w:val=""/>
      <w:lvlJc w:val="left"/>
      <w:pPr>
        <w:ind w:left="2700"/>
      </w:pPr>
    </w:lvl>
    <w:lvl w:ilvl="3">
      <w:start w:val="1"/>
      <w:numFmt w:val="none"/>
      <w:pStyle w:val="AODocTxtL3"/>
      <w:suff w:val="nothing"/>
      <w:lvlText w:val=""/>
      <w:lvlJc w:val="left"/>
      <w:pPr>
        <w:ind w:left="3420"/>
      </w:pPr>
    </w:lvl>
    <w:lvl w:ilvl="4">
      <w:start w:val="1"/>
      <w:numFmt w:val="none"/>
      <w:pStyle w:val="AODocTxtL4"/>
      <w:suff w:val="nothing"/>
      <w:lvlText w:val=""/>
      <w:lvlJc w:val="left"/>
      <w:pPr>
        <w:ind w:left="4140"/>
      </w:pPr>
    </w:lvl>
    <w:lvl w:ilvl="5">
      <w:start w:val="1"/>
      <w:numFmt w:val="none"/>
      <w:pStyle w:val="AODocTxtL5"/>
      <w:suff w:val="nothing"/>
      <w:lvlText w:val=""/>
      <w:lvlJc w:val="left"/>
      <w:pPr>
        <w:ind w:left="4860"/>
      </w:pPr>
    </w:lvl>
    <w:lvl w:ilvl="6">
      <w:start w:val="1"/>
      <w:numFmt w:val="none"/>
      <w:pStyle w:val="AODocTxtL6"/>
      <w:suff w:val="nothing"/>
      <w:lvlText w:val=""/>
      <w:lvlJc w:val="left"/>
      <w:pPr>
        <w:ind w:left="5580"/>
      </w:pPr>
    </w:lvl>
    <w:lvl w:ilvl="7">
      <w:start w:val="1"/>
      <w:numFmt w:val="none"/>
      <w:pStyle w:val="AODocTxtL7"/>
      <w:suff w:val="nothing"/>
      <w:lvlText w:val=""/>
      <w:lvlJc w:val="left"/>
      <w:pPr>
        <w:ind w:left="6300"/>
      </w:pPr>
    </w:lvl>
    <w:lvl w:ilvl="8">
      <w:start w:val="1"/>
      <w:numFmt w:val="none"/>
      <w:pStyle w:val="AODocTxtL8"/>
      <w:suff w:val="nothing"/>
      <w:lvlText w:val=""/>
      <w:lvlJc w:val="left"/>
      <w:pPr>
        <w:ind w:left="7020"/>
      </w:pPr>
    </w:lvl>
  </w:abstractNum>
  <w:abstractNum w:abstractNumId="13" w15:restartNumberingAfterBreak="0">
    <w:nsid w:val="47B238E7"/>
    <w:multiLevelType w:val="multilevel"/>
    <w:tmpl w:val="47B238E7"/>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49C66851"/>
    <w:multiLevelType w:val="multilevel"/>
    <w:tmpl w:val="49C66851"/>
    <w:lvl w:ilvl="0">
      <w:start w:val="1"/>
      <w:numFmt w:val="decimal"/>
      <w:pStyle w:val="AOAnxHead"/>
      <w:suff w:val="nothing"/>
      <w:lvlText w:val="Annex %1"/>
      <w:lvlJc w:val="left"/>
      <w:rPr>
        <w:b/>
        <w:bCs/>
        <w:i w:val="0"/>
        <w:iCs w:val="0"/>
      </w:rPr>
    </w:lvl>
    <w:lvl w:ilvl="1">
      <w:start w:val="1"/>
      <w:numFmt w:val="decimal"/>
      <w:pStyle w:val="AOAnx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5" w15:restartNumberingAfterBreak="0">
    <w:nsid w:val="4CFE7B09"/>
    <w:multiLevelType w:val="multilevel"/>
    <w:tmpl w:val="4CFE7B09"/>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6" w15:restartNumberingAfterBreak="0">
    <w:nsid w:val="4E4B4E3E"/>
    <w:multiLevelType w:val="multilevel"/>
    <w:tmpl w:val="4E4B4E3E"/>
    <w:lvl w:ilvl="0">
      <w:start w:val="1"/>
      <w:numFmt w:val="decimal"/>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7" w15:restartNumberingAfterBreak="0">
    <w:nsid w:val="56C42C79"/>
    <w:multiLevelType w:val="singleLevel"/>
    <w:tmpl w:val="56C42C79"/>
    <w:lvl w:ilvl="0">
      <w:start w:val="2"/>
      <w:numFmt w:val="japaneseCounting"/>
      <w:pStyle w:val="ParaChar"/>
      <w:lvlText w:val="（%1）"/>
      <w:lvlJc w:val="left"/>
      <w:pPr>
        <w:tabs>
          <w:tab w:val="num" w:pos="870"/>
        </w:tabs>
        <w:ind w:left="870" w:hanging="870"/>
      </w:pPr>
    </w:lvl>
  </w:abstractNum>
  <w:abstractNum w:abstractNumId="18" w15:restartNumberingAfterBreak="0">
    <w:nsid w:val="56C42C84"/>
    <w:multiLevelType w:val="singleLevel"/>
    <w:tmpl w:val="56C42C84"/>
    <w:lvl w:ilvl="0">
      <w:start w:val="1"/>
      <w:numFmt w:val="decimal"/>
      <w:pStyle w:val="20"/>
      <w:lvlText w:val="(%1)"/>
      <w:lvlJc w:val="left"/>
      <w:pPr>
        <w:tabs>
          <w:tab w:val="num" w:pos="907"/>
        </w:tabs>
        <w:ind w:left="907" w:hanging="482"/>
      </w:pPr>
    </w:lvl>
  </w:abstractNum>
  <w:abstractNum w:abstractNumId="19" w15:restartNumberingAfterBreak="0">
    <w:nsid w:val="5BD11B30"/>
    <w:multiLevelType w:val="singleLevel"/>
    <w:tmpl w:val="5BD11B30"/>
    <w:lvl w:ilvl="0">
      <w:start w:val="1"/>
      <w:numFmt w:val="chineseCounting"/>
      <w:suff w:val="nothing"/>
      <w:lvlText w:val="（%1）"/>
      <w:lvlJc w:val="left"/>
    </w:lvl>
  </w:abstractNum>
  <w:abstractNum w:abstractNumId="20" w15:restartNumberingAfterBreak="0">
    <w:nsid w:val="62830D10"/>
    <w:multiLevelType w:val="multilevel"/>
    <w:tmpl w:val="62830D10"/>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1" w15:restartNumberingAfterBreak="0">
    <w:nsid w:val="6F025FAA"/>
    <w:multiLevelType w:val="multilevel"/>
    <w:tmpl w:val="6F025FAA"/>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2" w15:restartNumberingAfterBreak="0">
    <w:nsid w:val="6F8D3D7A"/>
    <w:multiLevelType w:val="singleLevel"/>
    <w:tmpl w:val="6F8D3D7A"/>
    <w:lvl w:ilvl="0">
      <w:start w:val="1"/>
      <w:numFmt w:val="bullet"/>
      <w:pStyle w:val="AOBullet3"/>
      <w:lvlText w:val=""/>
      <w:lvlJc w:val="left"/>
      <w:pPr>
        <w:tabs>
          <w:tab w:val="num" w:pos="720"/>
        </w:tabs>
        <w:ind w:left="720" w:hanging="720"/>
      </w:pPr>
      <w:rPr>
        <w:rFonts w:ascii="Symbol" w:hAnsi="Symbol" w:cs="Symbol" w:hint="default"/>
      </w:rPr>
    </w:lvl>
  </w:abstractNum>
  <w:abstractNum w:abstractNumId="23" w15:restartNumberingAfterBreak="0">
    <w:nsid w:val="761544F7"/>
    <w:multiLevelType w:val="multilevel"/>
    <w:tmpl w:val="761544F7"/>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0"/>
  </w:num>
  <w:num w:numId="2">
    <w:abstractNumId w:val="18"/>
  </w:num>
  <w:num w:numId="3">
    <w:abstractNumId w:val="17"/>
  </w:num>
  <w:num w:numId="4">
    <w:abstractNumId w:val="3"/>
  </w:num>
  <w:num w:numId="5">
    <w:abstractNumId w:val="7"/>
  </w:num>
  <w:num w:numId="6">
    <w:abstractNumId w:val="14"/>
  </w:num>
  <w:num w:numId="7">
    <w:abstractNumId w:val="2"/>
  </w:num>
  <w:num w:numId="8">
    <w:abstractNumId w:val="9"/>
  </w:num>
  <w:num w:numId="9">
    <w:abstractNumId w:val="6"/>
  </w:num>
  <w:num w:numId="10">
    <w:abstractNumId w:val="12"/>
  </w:num>
  <w:num w:numId="11">
    <w:abstractNumId w:val="21"/>
  </w:num>
  <w:num w:numId="12">
    <w:abstractNumId w:val="15"/>
  </w:num>
  <w:num w:numId="13">
    <w:abstractNumId w:val="20"/>
  </w:num>
  <w:num w:numId="14">
    <w:abstractNumId w:val="23"/>
  </w:num>
  <w:num w:numId="15">
    <w:abstractNumId w:val="10"/>
  </w:num>
  <w:num w:numId="16">
    <w:abstractNumId w:val="13"/>
  </w:num>
  <w:num w:numId="17">
    <w:abstractNumId w:val="16"/>
  </w:num>
  <w:num w:numId="18">
    <w:abstractNumId w:val="4"/>
  </w:num>
  <w:num w:numId="19">
    <w:abstractNumId w:val="22"/>
  </w:num>
  <w:num w:numId="20">
    <w:abstractNumId w:val="11"/>
  </w:num>
  <w:num w:numId="21">
    <w:abstractNumId w:val="1"/>
  </w:num>
  <w:num w:numId="22">
    <w:abstractNumId w:val="5"/>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756"/>
    <w:rsid w:val="00001C4D"/>
    <w:rsid w:val="00004EA0"/>
    <w:rsid w:val="00006D8B"/>
    <w:rsid w:val="00012992"/>
    <w:rsid w:val="0002168A"/>
    <w:rsid w:val="00023606"/>
    <w:rsid w:val="00023FA8"/>
    <w:rsid w:val="000247A8"/>
    <w:rsid w:val="0003022A"/>
    <w:rsid w:val="00031E29"/>
    <w:rsid w:val="00033190"/>
    <w:rsid w:val="00040191"/>
    <w:rsid w:val="00044871"/>
    <w:rsid w:val="00044E26"/>
    <w:rsid w:val="00044F2E"/>
    <w:rsid w:val="000472A3"/>
    <w:rsid w:val="00050AB1"/>
    <w:rsid w:val="0005102A"/>
    <w:rsid w:val="0005115A"/>
    <w:rsid w:val="00052C86"/>
    <w:rsid w:val="00054943"/>
    <w:rsid w:val="000568EF"/>
    <w:rsid w:val="00056C78"/>
    <w:rsid w:val="000623EA"/>
    <w:rsid w:val="00066BD6"/>
    <w:rsid w:val="00070ABA"/>
    <w:rsid w:val="00071BC7"/>
    <w:rsid w:val="000743BC"/>
    <w:rsid w:val="00074C5D"/>
    <w:rsid w:val="00083FEF"/>
    <w:rsid w:val="000844B8"/>
    <w:rsid w:val="0008759D"/>
    <w:rsid w:val="0009267B"/>
    <w:rsid w:val="00093C0F"/>
    <w:rsid w:val="000A0071"/>
    <w:rsid w:val="000A0091"/>
    <w:rsid w:val="000A0F66"/>
    <w:rsid w:val="000A11D0"/>
    <w:rsid w:val="000A17E5"/>
    <w:rsid w:val="000A3F7A"/>
    <w:rsid w:val="000A67A0"/>
    <w:rsid w:val="000A6E0E"/>
    <w:rsid w:val="000B00A8"/>
    <w:rsid w:val="000B161A"/>
    <w:rsid w:val="000B5E1F"/>
    <w:rsid w:val="000C0EEB"/>
    <w:rsid w:val="000C21DC"/>
    <w:rsid w:val="000C2CE3"/>
    <w:rsid w:val="000C66E2"/>
    <w:rsid w:val="000C7B45"/>
    <w:rsid w:val="000C7CFC"/>
    <w:rsid w:val="000D0281"/>
    <w:rsid w:val="000D21CD"/>
    <w:rsid w:val="000D3EEC"/>
    <w:rsid w:val="000D4B2E"/>
    <w:rsid w:val="000D5CF1"/>
    <w:rsid w:val="000D640C"/>
    <w:rsid w:val="000E0C78"/>
    <w:rsid w:val="000E2670"/>
    <w:rsid w:val="000E314C"/>
    <w:rsid w:val="000E54A9"/>
    <w:rsid w:val="000E655B"/>
    <w:rsid w:val="000E67D4"/>
    <w:rsid w:val="000E78DB"/>
    <w:rsid w:val="000F1E73"/>
    <w:rsid w:val="000F20CC"/>
    <w:rsid w:val="001016D7"/>
    <w:rsid w:val="00101C55"/>
    <w:rsid w:val="00103AA0"/>
    <w:rsid w:val="00105001"/>
    <w:rsid w:val="001069AD"/>
    <w:rsid w:val="00106F1D"/>
    <w:rsid w:val="00110545"/>
    <w:rsid w:val="00111CEE"/>
    <w:rsid w:val="00113790"/>
    <w:rsid w:val="0011559B"/>
    <w:rsid w:val="00115F51"/>
    <w:rsid w:val="00117786"/>
    <w:rsid w:val="00120CA3"/>
    <w:rsid w:val="00121C6F"/>
    <w:rsid w:val="0012340B"/>
    <w:rsid w:val="00123A2C"/>
    <w:rsid w:val="001245C1"/>
    <w:rsid w:val="00124D59"/>
    <w:rsid w:val="001252A5"/>
    <w:rsid w:val="00134D10"/>
    <w:rsid w:val="00141749"/>
    <w:rsid w:val="00144854"/>
    <w:rsid w:val="00145612"/>
    <w:rsid w:val="001537D3"/>
    <w:rsid w:val="0015590F"/>
    <w:rsid w:val="00162509"/>
    <w:rsid w:val="00167035"/>
    <w:rsid w:val="0016782A"/>
    <w:rsid w:val="0017138C"/>
    <w:rsid w:val="00172184"/>
    <w:rsid w:val="00172F7A"/>
    <w:rsid w:val="00180999"/>
    <w:rsid w:val="00181756"/>
    <w:rsid w:val="00182297"/>
    <w:rsid w:val="0018413C"/>
    <w:rsid w:val="00185D8A"/>
    <w:rsid w:val="00185ED0"/>
    <w:rsid w:val="00186F97"/>
    <w:rsid w:val="00187109"/>
    <w:rsid w:val="001903B7"/>
    <w:rsid w:val="0019296F"/>
    <w:rsid w:val="00193A30"/>
    <w:rsid w:val="001A1029"/>
    <w:rsid w:val="001A4392"/>
    <w:rsid w:val="001A60E6"/>
    <w:rsid w:val="001A751B"/>
    <w:rsid w:val="001B4309"/>
    <w:rsid w:val="001B7674"/>
    <w:rsid w:val="001C0FEC"/>
    <w:rsid w:val="001C313D"/>
    <w:rsid w:val="001D1C01"/>
    <w:rsid w:val="001D21D3"/>
    <w:rsid w:val="001D3225"/>
    <w:rsid w:val="001D5F92"/>
    <w:rsid w:val="001E0824"/>
    <w:rsid w:val="001E2BE1"/>
    <w:rsid w:val="001E4BC7"/>
    <w:rsid w:val="001E7A42"/>
    <w:rsid w:val="001F0B9B"/>
    <w:rsid w:val="001F436E"/>
    <w:rsid w:val="001F5105"/>
    <w:rsid w:val="001F5475"/>
    <w:rsid w:val="001F7727"/>
    <w:rsid w:val="002034AC"/>
    <w:rsid w:val="00203DD2"/>
    <w:rsid w:val="0020459D"/>
    <w:rsid w:val="00206204"/>
    <w:rsid w:val="00206DD2"/>
    <w:rsid w:val="002125C6"/>
    <w:rsid w:val="00215E65"/>
    <w:rsid w:val="00221676"/>
    <w:rsid w:val="00221C79"/>
    <w:rsid w:val="00221CEC"/>
    <w:rsid w:val="00222930"/>
    <w:rsid w:val="00232165"/>
    <w:rsid w:val="00234C9A"/>
    <w:rsid w:val="00236E94"/>
    <w:rsid w:val="00242BD3"/>
    <w:rsid w:val="0024691F"/>
    <w:rsid w:val="00247CB0"/>
    <w:rsid w:val="00250AC1"/>
    <w:rsid w:val="00254B96"/>
    <w:rsid w:val="002561D0"/>
    <w:rsid w:val="00257DFC"/>
    <w:rsid w:val="002654B0"/>
    <w:rsid w:val="0026614A"/>
    <w:rsid w:val="00267CEE"/>
    <w:rsid w:val="0027261D"/>
    <w:rsid w:val="00275CFE"/>
    <w:rsid w:val="0027704F"/>
    <w:rsid w:val="00277386"/>
    <w:rsid w:val="00283514"/>
    <w:rsid w:val="002862E4"/>
    <w:rsid w:val="00287D8D"/>
    <w:rsid w:val="002906C9"/>
    <w:rsid w:val="00291977"/>
    <w:rsid w:val="0029244A"/>
    <w:rsid w:val="002924C5"/>
    <w:rsid w:val="0029473B"/>
    <w:rsid w:val="0029476B"/>
    <w:rsid w:val="0029654D"/>
    <w:rsid w:val="002976C6"/>
    <w:rsid w:val="002A0AF0"/>
    <w:rsid w:val="002A174A"/>
    <w:rsid w:val="002A1F2D"/>
    <w:rsid w:val="002A4975"/>
    <w:rsid w:val="002A4BC5"/>
    <w:rsid w:val="002A6AD2"/>
    <w:rsid w:val="002A6E9A"/>
    <w:rsid w:val="002A72FC"/>
    <w:rsid w:val="002B091C"/>
    <w:rsid w:val="002B0D81"/>
    <w:rsid w:val="002B165D"/>
    <w:rsid w:val="002B4BBD"/>
    <w:rsid w:val="002B768C"/>
    <w:rsid w:val="002B7DB3"/>
    <w:rsid w:val="002B7DE3"/>
    <w:rsid w:val="002C1FFF"/>
    <w:rsid w:val="002C319B"/>
    <w:rsid w:val="002C376C"/>
    <w:rsid w:val="002C378A"/>
    <w:rsid w:val="002C42BE"/>
    <w:rsid w:val="002C5CD1"/>
    <w:rsid w:val="002C7026"/>
    <w:rsid w:val="002D075B"/>
    <w:rsid w:val="002D1F14"/>
    <w:rsid w:val="002D5FA0"/>
    <w:rsid w:val="002D6FF7"/>
    <w:rsid w:val="002E1974"/>
    <w:rsid w:val="002E2FAF"/>
    <w:rsid w:val="002E3B1A"/>
    <w:rsid w:val="002E515D"/>
    <w:rsid w:val="002E558B"/>
    <w:rsid w:val="002F52F9"/>
    <w:rsid w:val="002F7DE1"/>
    <w:rsid w:val="00302659"/>
    <w:rsid w:val="00302E00"/>
    <w:rsid w:val="00307A59"/>
    <w:rsid w:val="00310A3D"/>
    <w:rsid w:val="00312071"/>
    <w:rsid w:val="00313629"/>
    <w:rsid w:val="00314364"/>
    <w:rsid w:val="00324169"/>
    <w:rsid w:val="003249E1"/>
    <w:rsid w:val="0032568E"/>
    <w:rsid w:val="00326773"/>
    <w:rsid w:val="00333843"/>
    <w:rsid w:val="00337DEE"/>
    <w:rsid w:val="00347B6D"/>
    <w:rsid w:val="0035164B"/>
    <w:rsid w:val="00351FBF"/>
    <w:rsid w:val="00355A52"/>
    <w:rsid w:val="00361BC5"/>
    <w:rsid w:val="0036264A"/>
    <w:rsid w:val="003672CE"/>
    <w:rsid w:val="00367AB4"/>
    <w:rsid w:val="00370A14"/>
    <w:rsid w:val="003720C9"/>
    <w:rsid w:val="00372E1B"/>
    <w:rsid w:val="003731B4"/>
    <w:rsid w:val="003832B6"/>
    <w:rsid w:val="0038436E"/>
    <w:rsid w:val="00384CAF"/>
    <w:rsid w:val="0038725D"/>
    <w:rsid w:val="00391EB3"/>
    <w:rsid w:val="003925E9"/>
    <w:rsid w:val="003A0C6E"/>
    <w:rsid w:val="003A4762"/>
    <w:rsid w:val="003A5DCF"/>
    <w:rsid w:val="003A6C8D"/>
    <w:rsid w:val="003B1181"/>
    <w:rsid w:val="003B2E17"/>
    <w:rsid w:val="003B45A0"/>
    <w:rsid w:val="003C69E6"/>
    <w:rsid w:val="003D238B"/>
    <w:rsid w:val="003D2719"/>
    <w:rsid w:val="003D2BA9"/>
    <w:rsid w:val="003D2DD3"/>
    <w:rsid w:val="003D4741"/>
    <w:rsid w:val="003D746A"/>
    <w:rsid w:val="003D7F08"/>
    <w:rsid w:val="003E23F5"/>
    <w:rsid w:val="003E500B"/>
    <w:rsid w:val="003F028A"/>
    <w:rsid w:val="003F0737"/>
    <w:rsid w:val="003F4782"/>
    <w:rsid w:val="003F75AE"/>
    <w:rsid w:val="003F78CA"/>
    <w:rsid w:val="00401B73"/>
    <w:rsid w:val="00401C8C"/>
    <w:rsid w:val="00401E4A"/>
    <w:rsid w:val="004026AA"/>
    <w:rsid w:val="004029BF"/>
    <w:rsid w:val="00405684"/>
    <w:rsid w:val="0040697E"/>
    <w:rsid w:val="00407A4A"/>
    <w:rsid w:val="00407FE8"/>
    <w:rsid w:val="004102D9"/>
    <w:rsid w:val="00411B50"/>
    <w:rsid w:val="00412489"/>
    <w:rsid w:val="00413F3F"/>
    <w:rsid w:val="004141CB"/>
    <w:rsid w:val="00416220"/>
    <w:rsid w:val="00422E55"/>
    <w:rsid w:val="0042396A"/>
    <w:rsid w:val="0042628F"/>
    <w:rsid w:val="00426CFC"/>
    <w:rsid w:val="00431F66"/>
    <w:rsid w:val="0043226B"/>
    <w:rsid w:val="004346E0"/>
    <w:rsid w:val="00436313"/>
    <w:rsid w:val="00442CEA"/>
    <w:rsid w:val="00447ED4"/>
    <w:rsid w:val="00450343"/>
    <w:rsid w:val="00460110"/>
    <w:rsid w:val="00460572"/>
    <w:rsid w:val="0046490F"/>
    <w:rsid w:val="00466725"/>
    <w:rsid w:val="00470D06"/>
    <w:rsid w:val="0048240D"/>
    <w:rsid w:val="00482CE0"/>
    <w:rsid w:val="00484BD6"/>
    <w:rsid w:val="004867F7"/>
    <w:rsid w:val="004973C8"/>
    <w:rsid w:val="00497BB0"/>
    <w:rsid w:val="004A043F"/>
    <w:rsid w:val="004A1AF0"/>
    <w:rsid w:val="004A1BEA"/>
    <w:rsid w:val="004A23A5"/>
    <w:rsid w:val="004A4117"/>
    <w:rsid w:val="004A52BC"/>
    <w:rsid w:val="004B1020"/>
    <w:rsid w:val="004B3371"/>
    <w:rsid w:val="004B44A9"/>
    <w:rsid w:val="004C037B"/>
    <w:rsid w:val="004C07D3"/>
    <w:rsid w:val="004C2D26"/>
    <w:rsid w:val="004C5607"/>
    <w:rsid w:val="004C6EC8"/>
    <w:rsid w:val="004C7C42"/>
    <w:rsid w:val="004C7CE4"/>
    <w:rsid w:val="004D3919"/>
    <w:rsid w:val="004D55F2"/>
    <w:rsid w:val="004E0C84"/>
    <w:rsid w:val="004E1F10"/>
    <w:rsid w:val="004E2ADC"/>
    <w:rsid w:val="004F04ED"/>
    <w:rsid w:val="004F2D0B"/>
    <w:rsid w:val="004F413B"/>
    <w:rsid w:val="004F5004"/>
    <w:rsid w:val="004F6562"/>
    <w:rsid w:val="00501C6E"/>
    <w:rsid w:val="00505A24"/>
    <w:rsid w:val="00506D72"/>
    <w:rsid w:val="00510166"/>
    <w:rsid w:val="00514834"/>
    <w:rsid w:val="00515579"/>
    <w:rsid w:val="005173D0"/>
    <w:rsid w:val="005200B8"/>
    <w:rsid w:val="00520A94"/>
    <w:rsid w:val="00520D53"/>
    <w:rsid w:val="00521005"/>
    <w:rsid w:val="0052259D"/>
    <w:rsid w:val="005227E3"/>
    <w:rsid w:val="0052317E"/>
    <w:rsid w:val="005248EC"/>
    <w:rsid w:val="00526311"/>
    <w:rsid w:val="005332B8"/>
    <w:rsid w:val="00534CFC"/>
    <w:rsid w:val="005361F1"/>
    <w:rsid w:val="005364F4"/>
    <w:rsid w:val="00536B94"/>
    <w:rsid w:val="005440CB"/>
    <w:rsid w:val="00544218"/>
    <w:rsid w:val="00552025"/>
    <w:rsid w:val="00554200"/>
    <w:rsid w:val="00561741"/>
    <w:rsid w:val="00566DE5"/>
    <w:rsid w:val="0056706D"/>
    <w:rsid w:val="005701F2"/>
    <w:rsid w:val="00571DF0"/>
    <w:rsid w:val="00573F50"/>
    <w:rsid w:val="00580660"/>
    <w:rsid w:val="0058123C"/>
    <w:rsid w:val="00583FEC"/>
    <w:rsid w:val="00584D4B"/>
    <w:rsid w:val="0058570F"/>
    <w:rsid w:val="00586582"/>
    <w:rsid w:val="00586599"/>
    <w:rsid w:val="00591F75"/>
    <w:rsid w:val="005A0CE2"/>
    <w:rsid w:val="005A2B7D"/>
    <w:rsid w:val="005A3A55"/>
    <w:rsid w:val="005A4AA9"/>
    <w:rsid w:val="005A4FA4"/>
    <w:rsid w:val="005A5EF6"/>
    <w:rsid w:val="005A65A4"/>
    <w:rsid w:val="005B5FA9"/>
    <w:rsid w:val="005B742A"/>
    <w:rsid w:val="005C2F42"/>
    <w:rsid w:val="005C3E29"/>
    <w:rsid w:val="005C6E37"/>
    <w:rsid w:val="005D0296"/>
    <w:rsid w:val="005D3916"/>
    <w:rsid w:val="005D47A6"/>
    <w:rsid w:val="005D66EC"/>
    <w:rsid w:val="005D7436"/>
    <w:rsid w:val="005E23F1"/>
    <w:rsid w:val="005E4EB9"/>
    <w:rsid w:val="005E5066"/>
    <w:rsid w:val="005E5B0C"/>
    <w:rsid w:val="005F1D32"/>
    <w:rsid w:val="005F6D92"/>
    <w:rsid w:val="0060010A"/>
    <w:rsid w:val="0060061E"/>
    <w:rsid w:val="0060189E"/>
    <w:rsid w:val="00604DAC"/>
    <w:rsid w:val="006131AA"/>
    <w:rsid w:val="006151EE"/>
    <w:rsid w:val="00617042"/>
    <w:rsid w:val="006174B3"/>
    <w:rsid w:val="00623588"/>
    <w:rsid w:val="00624751"/>
    <w:rsid w:val="00625A59"/>
    <w:rsid w:val="00630034"/>
    <w:rsid w:val="00630A34"/>
    <w:rsid w:val="00633D1A"/>
    <w:rsid w:val="006371C7"/>
    <w:rsid w:val="006425C9"/>
    <w:rsid w:val="00642C97"/>
    <w:rsid w:val="006459DC"/>
    <w:rsid w:val="00650B94"/>
    <w:rsid w:val="00654214"/>
    <w:rsid w:val="00655078"/>
    <w:rsid w:val="00655EAF"/>
    <w:rsid w:val="0065713E"/>
    <w:rsid w:val="00657CBE"/>
    <w:rsid w:val="006612A0"/>
    <w:rsid w:val="0066241D"/>
    <w:rsid w:val="00663493"/>
    <w:rsid w:val="00665A72"/>
    <w:rsid w:val="00671423"/>
    <w:rsid w:val="00671FF1"/>
    <w:rsid w:val="006739F0"/>
    <w:rsid w:val="006754DA"/>
    <w:rsid w:val="00680898"/>
    <w:rsid w:val="00680A8E"/>
    <w:rsid w:val="00680CCE"/>
    <w:rsid w:val="00682321"/>
    <w:rsid w:val="00683CC8"/>
    <w:rsid w:val="00684B18"/>
    <w:rsid w:val="00684D5E"/>
    <w:rsid w:val="0068581A"/>
    <w:rsid w:val="00685F83"/>
    <w:rsid w:val="006906ED"/>
    <w:rsid w:val="00692E75"/>
    <w:rsid w:val="00697C7B"/>
    <w:rsid w:val="00697D5B"/>
    <w:rsid w:val="006A176B"/>
    <w:rsid w:val="006B0E69"/>
    <w:rsid w:val="006B14F9"/>
    <w:rsid w:val="006C3B84"/>
    <w:rsid w:val="006C753C"/>
    <w:rsid w:val="006D4E4F"/>
    <w:rsid w:val="006E06DF"/>
    <w:rsid w:val="006F3101"/>
    <w:rsid w:val="00700616"/>
    <w:rsid w:val="00701995"/>
    <w:rsid w:val="00701EB0"/>
    <w:rsid w:val="00702C48"/>
    <w:rsid w:val="00704656"/>
    <w:rsid w:val="00704B9D"/>
    <w:rsid w:val="00706D88"/>
    <w:rsid w:val="00706DDE"/>
    <w:rsid w:val="00710086"/>
    <w:rsid w:val="007110F1"/>
    <w:rsid w:val="007167AA"/>
    <w:rsid w:val="007207B8"/>
    <w:rsid w:val="00720E63"/>
    <w:rsid w:val="007228E0"/>
    <w:rsid w:val="00722E9A"/>
    <w:rsid w:val="0072360F"/>
    <w:rsid w:val="00724824"/>
    <w:rsid w:val="00731564"/>
    <w:rsid w:val="0073395E"/>
    <w:rsid w:val="00736AA5"/>
    <w:rsid w:val="00742A15"/>
    <w:rsid w:val="00743F26"/>
    <w:rsid w:val="00746743"/>
    <w:rsid w:val="007504FD"/>
    <w:rsid w:val="00750A98"/>
    <w:rsid w:val="007530CB"/>
    <w:rsid w:val="00753D0C"/>
    <w:rsid w:val="00754677"/>
    <w:rsid w:val="007547F6"/>
    <w:rsid w:val="00754B64"/>
    <w:rsid w:val="00756938"/>
    <w:rsid w:val="00757A97"/>
    <w:rsid w:val="00762B01"/>
    <w:rsid w:val="0076535B"/>
    <w:rsid w:val="007661CF"/>
    <w:rsid w:val="00766AD7"/>
    <w:rsid w:val="00766E51"/>
    <w:rsid w:val="0077044A"/>
    <w:rsid w:val="00771927"/>
    <w:rsid w:val="00773B9C"/>
    <w:rsid w:val="0077626C"/>
    <w:rsid w:val="00785419"/>
    <w:rsid w:val="00790463"/>
    <w:rsid w:val="00793731"/>
    <w:rsid w:val="00794382"/>
    <w:rsid w:val="00796731"/>
    <w:rsid w:val="007A5F0E"/>
    <w:rsid w:val="007B06E5"/>
    <w:rsid w:val="007B1E64"/>
    <w:rsid w:val="007B3B6F"/>
    <w:rsid w:val="007B59E2"/>
    <w:rsid w:val="007B5CD9"/>
    <w:rsid w:val="007B74E7"/>
    <w:rsid w:val="007C05C8"/>
    <w:rsid w:val="007C0A77"/>
    <w:rsid w:val="007C2437"/>
    <w:rsid w:val="007C453A"/>
    <w:rsid w:val="007C49AA"/>
    <w:rsid w:val="007C64CF"/>
    <w:rsid w:val="007D0A85"/>
    <w:rsid w:val="007D2957"/>
    <w:rsid w:val="007E1E84"/>
    <w:rsid w:val="007E6D0E"/>
    <w:rsid w:val="007E7441"/>
    <w:rsid w:val="007E7E57"/>
    <w:rsid w:val="007F26A7"/>
    <w:rsid w:val="007F3522"/>
    <w:rsid w:val="007F5A97"/>
    <w:rsid w:val="007F7E17"/>
    <w:rsid w:val="00810200"/>
    <w:rsid w:val="008176AA"/>
    <w:rsid w:val="00824B4E"/>
    <w:rsid w:val="00840146"/>
    <w:rsid w:val="00841407"/>
    <w:rsid w:val="00842B40"/>
    <w:rsid w:val="008431C3"/>
    <w:rsid w:val="0084479D"/>
    <w:rsid w:val="00844DC7"/>
    <w:rsid w:val="008505D7"/>
    <w:rsid w:val="00852B57"/>
    <w:rsid w:val="0085324D"/>
    <w:rsid w:val="0086028A"/>
    <w:rsid w:val="008632EF"/>
    <w:rsid w:val="00864FD6"/>
    <w:rsid w:val="00872577"/>
    <w:rsid w:val="008765D7"/>
    <w:rsid w:val="0087751F"/>
    <w:rsid w:val="00877FAE"/>
    <w:rsid w:val="008811D1"/>
    <w:rsid w:val="00882E4C"/>
    <w:rsid w:val="00887E24"/>
    <w:rsid w:val="0089009E"/>
    <w:rsid w:val="0089056E"/>
    <w:rsid w:val="00893221"/>
    <w:rsid w:val="00894C4C"/>
    <w:rsid w:val="00895B1C"/>
    <w:rsid w:val="008A24B7"/>
    <w:rsid w:val="008A2F98"/>
    <w:rsid w:val="008A31B2"/>
    <w:rsid w:val="008A4D0B"/>
    <w:rsid w:val="008B046D"/>
    <w:rsid w:val="008B04BB"/>
    <w:rsid w:val="008B32C4"/>
    <w:rsid w:val="008B3716"/>
    <w:rsid w:val="008B3C38"/>
    <w:rsid w:val="008B4B39"/>
    <w:rsid w:val="008B4F50"/>
    <w:rsid w:val="008B533B"/>
    <w:rsid w:val="008B67D0"/>
    <w:rsid w:val="008B7696"/>
    <w:rsid w:val="008C4E3F"/>
    <w:rsid w:val="008C56DB"/>
    <w:rsid w:val="008D180E"/>
    <w:rsid w:val="008D363C"/>
    <w:rsid w:val="008D3FE0"/>
    <w:rsid w:val="008D5361"/>
    <w:rsid w:val="008D7FB5"/>
    <w:rsid w:val="008E3478"/>
    <w:rsid w:val="008E3EBC"/>
    <w:rsid w:val="008E544E"/>
    <w:rsid w:val="008E5F4C"/>
    <w:rsid w:val="008F2CB2"/>
    <w:rsid w:val="008F33BE"/>
    <w:rsid w:val="008F5E74"/>
    <w:rsid w:val="00901D3F"/>
    <w:rsid w:val="009044AB"/>
    <w:rsid w:val="00905F48"/>
    <w:rsid w:val="009100C0"/>
    <w:rsid w:val="00910A3F"/>
    <w:rsid w:val="00910DA7"/>
    <w:rsid w:val="00910F6E"/>
    <w:rsid w:val="00911F06"/>
    <w:rsid w:val="0091231D"/>
    <w:rsid w:val="00912931"/>
    <w:rsid w:val="00913EAC"/>
    <w:rsid w:val="00916CB2"/>
    <w:rsid w:val="00917574"/>
    <w:rsid w:val="00922B56"/>
    <w:rsid w:val="009269B8"/>
    <w:rsid w:val="00930506"/>
    <w:rsid w:val="00930D34"/>
    <w:rsid w:val="009314E5"/>
    <w:rsid w:val="00932359"/>
    <w:rsid w:val="009343B3"/>
    <w:rsid w:val="009347D8"/>
    <w:rsid w:val="009359C2"/>
    <w:rsid w:val="009422A3"/>
    <w:rsid w:val="0094714B"/>
    <w:rsid w:val="00951512"/>
    <w:rsid w:val="00957E26"/>
    <w:rsid w:val="009760FB"/>
    <w:rsid w:val="00981AD7"/>
    <w:rsid w:val="009829B5"/>
    <w:rsid w:val="0098380B"/>
    <w:rsid w:val="009866A7"/>
    <w:rsid w:val="009871DF"/>
    <w:rsid w:val="00992377"/>
    <w:rsid w:val="00995138"/>
    <w:rsid w:val="009969EA"/>
    <w:rsid w:val="009A069B"/>
    <w:rsid w:val="009A75DA"/>
    <w:rsid w:val="009B44C0"/>
    <w:rsid w:val="009B535D"/>
    <w:rsid w:val="009B6012"/>
    <w:rsid w:val="009B61EC"/>
    <w:rsid w:val="009C7A07"/>
    <w:rsid w:val="009D0391"/>
    <w:rsid w:val="009D2450"/>
    <w:rsid w:val="009D36A1"/>
    <w:rsid w:val="009D4510"/>
    <w:rsid w:val="009D5591"/>
    <w:rsid w:val="009D7578"/>
    <w:rsid w:val="009E2403"/>
    <w:rsid w:val="009E75DB"/>
    <w:rsid w:val="009E7DF0"/>
    <w:rsid w:val="009F0FA0"/>
    <w:rsid w:val="009F2D60"/>
    <w:rsid w:val="009F477B"/>
    <w:rsid w:val="009F5C4B"/>
    <w:rsid w:val="009F622D"/>
    <w:rsid w:val="009F62DF"/>
    <w:rsid w:val="009F7845"/>
    <w:rsid w:val="00A10BF8"/>
    <w:rsid w:val="00A11BE7"/>
    <w:rsid w:val="00A12C13"/>
    <w:rsid w:val="00A16DD0"/>
    <w:rsid w:val="00A17759"/>
    <w:rsid w:val="00A20505"/>
    <w:rsid w:val="00A2441A"/>
    <w:rsid w:val="00A27F21"/>
    <w:rsid w:val="00A32CA1"/>
    <w:rsid w:val="00A359A6"/>
    <w:rsid w:val="00A36958"/>
    <w:rsid w:val="00A37424"/>
    <w:rsid w:val="00A37FE2"/>
    <w:rsid w:val="00A4035F"/>
    <w:rsid w:val="00A40C1A"/>
    <w:rsid w:val="00A41F0E"/>
    <w:rsid w:val="00A429C0"/>
    <w:rsid w:val="00A47A94"/>
    <w:rsid w:val="00A47F5D"/>
    <w:rsid w:val="00A5005B"/>
    <w:rsid w:val="00A50539"/>
    <w:rsid w:val="00A5427D"/>
    <w:rsid w:val="00A57591"/>
    <w:rsid w:val="00A61CB1"/>
    <w:rsid w:val="00A6229F"/>
    <w:rsid w:val="00A63049"/>
    <w:rsid w:val="00A64064"/>
    <w:rsid w:val="00A67773"/>
    <w:rsid w:val="00A7237D"/>
    <w:rsid w:val="00A73CF4"/>
    <w:rsid w:val="00A745C1"/>
    <w:rsid w:val="00A75883"/>
    <w:rsid w:val="00A76404"/>
    <w:rsid w:val="00A77B35"/>
    <w:rsid w:val="00A8548E"/>
    <w:rsid w:val="00A8588C"/>
    <w:rsid w:val="00A87540"/>
    <w:rsid w:val="00A9238E"/>
    <w:rsid w:val="00A96602"/>
    <w:rsid w:val="00A969B2"/>
    <w:rsid w:val="00AA3BD5"/>
    <w:rsid w:val="00AA7F8F"/>
    <w:rsid w:val="00AB113B"/>
    <w:rsid w:val="00AB54D8"/>
    <w:rsid w:val="00AB5D1E"/>
    <w:rsid w:val="00AB5F5A"/>
    <w:rsid w:val="00AB61F9"/>
    <w:rsid w:val="00AB69E3"/>
    <w:rsid w:val="00AB6A3B"/>
    <w:rsid w:val="00AC074F"/>
    <w:rsid w:val="00AC28E6"/>
    <w:rsid w:val="00AC2972"/>
    <w:rsid w:val="00AC44EC"/>
    <w:rsid w:val="00AD0CDE"/>
    <w:rsid w:val="00AD37E3"/>
    <w:rsid w:val="00AD69D1"/>
    <w:rsid w:val="00AD6A60"/>
    <w:rsid w:val="00AE1D71"/>
    <w:rsid w:val="00AE25F3"/>
    <w:rsid w:val="00AE28B3"/>
    <w:rsid w:val="00AE35C1"/>
    <w:rsid w:val="00AF17FE"/>
    <w:rsid w:val="00AF1B78"/>
    <w:rsid w:val="00AF26B0"/>
    <w:rsid w:val="00AF680E"/>
    <w:rsid w:val="00AF6F7E"/>
    <w:rsid w:val="00B006B3"/>
    <w:rsid w:val="00B01AA7"/>
    <w:rsid w:val="00B01E8D"/>
    <w:rsid w:val="00B05DD4"/>
    <w:rsid w:val="00B05E15"/>
    <w:rsid w:val="00B0738B"/>
    <w:rsid w:val="00B10066"/>
    <w:rsid w:val="00B10649"/>
    <w:rsid w:val="00B12441"/>
    <w:rsid w:val="00B1690A"/>
    <w:rsid w:val="00B24DA8"/>
    <w:rsid w:val="00B26C3A"/>
    <w:rsid w:val="00B3064D"/>
    <w:rsid w:val="00B320BC"/>
    <w:rsid w:val="00B3258C"/>
    <w:rsid w:val="00B3399C"/>
    <w:rsid w:val="00B354FC"/>
    <w:rsid w:val="00B3565D"/>
    <w:rsid w:val="00B37F84"/>
    <w:rsid w:val="00B4027E"/>
    <w:rsid w:val="00B43C35"/>
    <w:rsid w:val="00B450A8"/>
    <w:rsid w:val="00B5050A"/>
    <w:rsid w:val="00B50DDD"/>
    <w:rsid w:val="00B52AC2"/>
    <w:rsid w:val="00B54C4E"/>
    <w:rsid w:val="00B5533D"/>
    <w:rsid w:val="00B55F01"/>
    <w:rsid w:val="00B57D5D"/>
    <w:rsid w:val="00B60322"/>
    <w:rsid w:val="00B60DDE"/>
    <w:rsid w:val="00B61A09"/>
    <w:rsid w:val="00B65959"/>
    <w:rsid w:val="00B72207"/>
    <w:rsid w:val="00B734D1"/>
    <w:rsid w:val="00B7610E"/>
    <w:rsid w:val="00B76A47"/>
    <w:rsid w:val="00B857B6"/>
    <w:rsid w:val="00B86B15"/>
    <w:rsid w:val="00B86DAA"/>
    <w:rsid w:val="00B9190A"/>
    <w:rsid w:val="00B92343"/>
    <w:rsid w:val="00B954D6"/>
    <w:rsid w:val="00BA3F36"/>
    <w:rsid w:val="00BA586E"/>
    <w:rsid w:val="00BB076E"/>
    <w:rsid w:val="00BB27B3"/>
    <w:rsid w:val="00BB38B7"/>
    <w:rsid w:val="00BB3FE2"/>
    <w:rsid w:val="00BB5282"/>
    <w:rsid w:val="00BB5C47"/>
    <w:rsid w:val="00BB5EF3"/>
    <w:rsid w:val="00BB6B28"/>
    <w:rsid w:val="00BC00DF"/>
    <w:rsid w:val="00BC133B"/>
    <w:rsid w:val="00BC57DF"/>
    <w:rsid w:val="00BD06BF"/>
    <w:rsid w:val="00BD398A"/>
    <w:rsid w:val="00BD5CA3"/>
    <w:rsid w:val="00BD6145"/>
    <w:rsid w:val="00BE2214"/>
    <w:rsid w:val="00BE5DEA"/>
    <w:rsid w:val="00BF055B"/>
    <w:rsid w:val="00BF081A"/>
    <w:rsid w:val="00BF15E9"/>
    <w:rsid w:val="00BF205E"/>
    <w:rsid w:val="00BF2FA6"/>
    <w:rsid w:val="00C02547"/>
    <w:rsid w:val="00C0383C"/>
    <w:rsid w:val="00C03EAE"/>
    <w:rsid w:val="00C13CAC"/>
    <w:rsid w:val="00C214E7"/>
    <w:rsid w:val="00C2233C"/>
    <w:rsid w:val="00C2269E"/>
    <w:rsid w:val="00C22B9E"/>
    <w:rsid w:val="00C270ED"/>
    <w:rsid w:val="00C2762B"/>
    <w:rsid w:val="00C27C7E"/>
    <w:rsid w:val="00C32982"/>
    <w:rsid w:val="00C33912"/>
    <w:rsid w:val="00C3495D"/>
    <w:rsid w:val="00C34E47"/>
    <w:rsid w:val="00C35457"/>
    <w:rsid w:val="00C35D55"/>
    <w:rsid w:val="00C4047E"/>
    <w:rsid w:val="00C442C9"/>
    <w:rsid w:val="00C47380"/>
    <w:rsid w:val="00C5383A"/>
    <w:rsid w:val="00C54DF6"/>
    <w:rsid w:val="00C63779"/>
    <w:rsid w:val="00C6430B"/>
    <w:rsid w:val="00C6467B"/>
    <w:rsid w:val="00C65467"/>
    <w:rsid w:val="00C7091E"/>
    <w:rsid w:val="00C75CEB"/>
    <w:rsid w:val="00C900C9"/>
    <w:rsid w:val="00C92372"/>
    <w:rsid w:val="00C92376"/>
    <w:rsid w:val="00C9292A"/>
    <w:rsid w:val="00CA29D7"/>
    <w:rsid w:val="00CA3264"/>
    <w:rsid w:val="00CA3FD3"/>
    <w:rsid w:val="00CA665A"/>
    <w:rsid w:val="00CB116C"/>
    <w:rsid w:val="00CB6EEE"/>
    <w:rsid w:val="00CC15C1"/>
    <w:rsid w:val="00CC203A"/>
    <w:rsid w:val="00CC23F7"/>
    <w:rsid w:val="00CC3146"/>
    <w:rsid w:val="00CC32C2"/>
    <w:rsid w:val="00CD6607"/>
    <w:rsid w:val="00CD6F57"/>
    <w:rsid w:val="00CE1E96"/>
    <w:rsid w:val="00CE3A20"/>
    <w:rsid w:val="00CE4F2B"/>
    <w:rsid w:val="00CF1A4B"/>
    <w:rsid w:val="00CF1D31"/>
    <w:rsid w:val="00CF555D"/>
    <w:rsid w:val="00CF69AD"/>
    <w:rsid w:val="00CF6CED"/>
    <w:rsid w:val="00CF6D34"/>
    <w:rsid w:val="00CF7285"/>
    <w:rsid w:val="00D014EE"/>
    <w:rsid w:val="00D0302B"/>
    <w:rsid w:val="00D1057F"/>
    <w:rsid w:val="00D1123B"/>
    <w:rsid w:val="00D11F5B"/>
    <w:rsid w:val="00D1500C"/>
    <w:rsid w:val="00D21F85"/>
    <w:rsid w:val="00D22BDA"/>
    <w:rsid w:val="00D23217"/>
    <w:rsid w:val="00D27300"/>
    <w:rsid w:val="00D355AD"/>
    <w:rsid w:val="00D37791"/>
    <w:rsid w:val="00D41E57"/>
    <w:rsid w:val="00D422DD"/>
    <w:rsid w:val="00D4324C"/>
    <w:rsid w:val="00D43D0F"/>
    <w:rsid w:val="00D43F6C"/>
    <w:rsid w:val="00D47A91"/>
    <w:rsid w:val="00D540FE"/>
    <w:rsid w:val="00D6153E"/>
    <w:rsid w:val="00D64E0B"/>
    <w:rsid w:val="00D668BB"/>
    <w:rsid w:val="00D6777D"/>
    <w:rsid w:val="00D67EBB"/>
    <w:rsid w:val="00D70FD5"/>
    <w:rsid w:val="00D71CF9"/>
    <w:rsid w:val="00D723B2"/>
    <w:rsid w:val="00D732EB"/>
    <w:rsid w:val="00D7485E"/>
    <w:rsid w:val="00D77866"/>
    <w:rsid w:val="00D814E0"/>
    <w:rsid w:val="00D871C9"/>
    <w:rsid w:val="00D875C7"/>
    <w:rsid w:val="00D947A4"/>
    <w:rsid w:val="00DA213D"/>
    <w:rsid w:val="00DA6D52"/>
    <w:rsid w:val="00DA701A"/>
    <w:rsid w:val="00DB0E3F"/>
    <w:rsid w:val="00DB7AF6"/>
    <w:rsid w:val="00DC24EC"/>
    <w:rsid w:val="00DC2F00"/>
    <w:rsid w:val="00DC4CEE"/>
    <w:rsid w:val="00DC4D13"/>
    <w:rsid w:val="00DC5A3F"/>
    <w:rsid w:val="00DC63E7"/>
    <w:rsid w:val="00DC76E5"/>
    <w:rsid w:val="00DD00EA"/>
    <w:rsid w:val="00DD0883"/>
    <w:rsid w:val="00DD0D6D"/>
    <w:rsid w:val="00DD2975"/>
    <w:rsid w:val="00DD6ED2"/>
    <w:rsid w:val="00DD7C0F"/>
    <w:rsid w:val="00DE05D6"/>
    <w:rsid w:val="00DE172A"/>
    <w:rsid w:val="00DE3B95"/>
    <w:rsid w:val="00DE7099"/>
    <w:rsid w:val="00DF034D"/>
    <w:rsid w:val="00DF35B5"/>
    <w:rsid w:val="00DF3E1D"/>
    <w:rsid w:val="00DF47EB"/>
    <w:rsid w:val="00DF519C"/>
    <w:rsid w:val="00DF6976"/>
    <w:rsid w:val="00DF6D5F"/>
    <w:rsid w:val="00DF7A05"/>
    <w:rsid w:val="00E065B3"/>
    <w:rsid w:val="00E06791"/>
    <w:rsid w:val="00E06E6D"/>
    <w:rsid w:val="00E10D52"/>
    <w:rsid w:val="00E1130B"/>
    <w:rsid w:val="00E114FB"/>
    <w:rsid w:val="00E20FEE"/>
    <w:rsid w:val="00E21F22"/>
    <w:rsid w:val="00E251BA"/>
    <w:rsid w:val="00E260A0"/>
    <w:rsid w:val="00E3721A"/>
    <w:rsid w:val="00E40F2E"/>
    <w:rsid w:val="00E434CE"/>
    <w:rsid w:val="00E434FE"/>
    <w:rsid w:val="00E43599"/>
    <w:rsid w:val="00E44A85"/>
    <w:rsid w:val="00E452B7"/>
    <w:rsid w:val="00E45454"/>
    <w:rsid w:val="00E45AFE"/>
    <w:rsid w:val="00E4789D"/>
    <w:rsid w:val="00E51D54"/>
    <w:rsid w:val="00E54BB0"/>
    <w:rsid w:val="00E560C8"/>
    <w:rsid w:val="00E57042"/>
    <w:rsid w:val="00E60669"/>
    <w:rsid w:val="00E61238"/>
    <w:rsid w:val="00E637D3"/>
    <w:rsid w:val="00E63AF4"/>
    <w:rsid w:val="00E645D0"/>
    <w:rsid w:val="00E64A5A"/>
    <w:rsid w:val="00E71E24"/>
    <w:rsid w:val="00E80597"/>
    <w:rsid w:val="00E81ABF"/>
    <w:rsid w:val="00E90BC9"/>
    <w:rsid w:val="00E94715"/>
    <w:rsid w:val="00E95487"/>
    <w:rsid w:val="00EA04F8"/>
    <w:rsid w:val="00EA16C6"/>
    <w:rsid w:val="00EA1EB9"/>
    <w:rsid w:val="00EA3AF1"/>
    <w:rsid w:val="00EA43EB"/>
    <w:rsid w:val="00EA7EC3"/>
    <w:rsid w:val="00EB0A18"/>
    <w:rsid w:val="00EB2AEC"/>
    <w:rsid w:val="00EB4667"/>
    <w:rsid w:val="00EB63BE"/>
    <w:rsid w:val="00EC178D"/>
    <w:rsid w:val="00EC3444"/>
    <w:rsid w:val="00EC79E3"/>
    <w:rsid w:val="00ED1712"/>
    <w:rsid w:val="00ED3999"/>
    <w:rsid w:val="00ED5E54"/>
    <w:rsid w:val="00ED62EB"/>
    <w:rsid w:val="00EE1B2F"/>
    <w:rsid w:val="00EE2C1C"/>
    <w:rsid w:val="00EF2CC1"/>
    <w:rsid w:val="00EF6C09"/>
    <w:rsid w:val="00F0008D"/>
    <w:rsid w:val="00F01489"/>
    <w:rsid w:val="00F038A7"/>
    <w:rsid w:val="00F03DDC"/>
    <w:rsid w:val="00F04CB0"/>
    <w:rsid w:val="00F068C9"/>
    <w:rsid w:val="00F06B8A"/>
    <w:rsid w:val="00F11620"/>
    <w:rsid w:val="00F1496C"/>
    <w:rsid w:val="00F25324"/>
    <w:rsid w:val="00F26709"/>
    <w:rsid w:val="00F2685F"/>
    <w:rsid w:val="00F27552"/>
    <w:rsid w:val="00F36BDF"/>
    <w:rsid w:val="00F4176F"/>
    <w:rsid w:val="00F43027"/>
    <w:rsid w:val="00F546ED"/>
    <w:rsid w:val="00F57D90"/>
    <w:rsid w:val="00F62268"/>
    <w:rsid w:val="00F62794"/>
    <w:rsid w:val="00F64913"/>
    <w:rsid w:val="00F66596"/>
    <w:rsid w:val="00F70664"/>
    <w:rsid w:val="00F73961"/>
    <w:rsid w:val="00F756EE"/>
    <w:rsid w:val="00F77C20"/>
    <w:rsid w:val="00F77F6A"/>
    <w:rsid w:val="00F82D18"/>
    <w:rsid w:val="00F85468"/>
    <w:rsid w:val="00F916D3"/>
    <w:rsid w:val="00F943B9"/>
    <w:rsid w:val="00FA31BD"/>
    <w:rsid w:val="00FA36BD"/>
    <w:rsid w:val="00FA6B48"/>
    <w:rsid w:val="00FA6D6D"/>
    <w:rsid w:val="00FB06BC"/>
    <w:rsid w:val="00FB0A1C"/>
    <w:rsid w:val="00FB10C3"/>
    <w:rsid w:val="00FB299E"/>
    <w:rsid w:val="00FB2F65"/>
    <w:rsid w:val="00FB5B20"/>
    <w:rsid w:val="00FC44BB"/>
    <w:rsid w:val="00FC5049"/>
    <w:rsid w:val="00FD1784"/>
    <w:rsid w:val="00FD24C3"/>
    <w:rsid w:val="00FD4390"/>
    <w:rsid w:val="00FD4E8D"/>
    <w:rsid w:val="00FD73D1"/>
    <w:rsid w:val="00FE0872"/>
    <w:rsid w:val="787B1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E9716"/>
  <w15:docId w15:val="{2174B19B-7912-4E9D-9A84-73141CB1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semiHidden="1" w:unhideWhenUsed="1"/>
    <w:lsdException w:name="HTML Variable" w:locked="1"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B2F65"/>
    <w:pPr>
      <w:widowControl w:val="0"/>
      <w:jc w:val="both"/>
    </w:pPr>
    <w:rPr>
      <w:rFonts w:cs="Calibri"/>
      <w:kern w:val="2"/>
      <w:sz w:val="21"/>
      <w:szCs w:val="21"/>
    </w:rPr>
  </w:style>
  <w:style w:type="paragraph" w:styleId="1">
    <w:name w:val="heading 1"/>
    <w:basedOn w:val="a1"/>
    <w:next w:val="a1"/>
    <w:link w:val="10"/>
    <w:uiPriority w:val="99"/>
    <w:qFormat/>
    <w:rsid w:val="00FB2F65"/>
    <w:pPr>
      <w:keepNext/>
      <w:keepLines/>
      <w:tabs>
        <w:tab w:val="left" w:pos="432"/>
      </w:tabs>
      <w:spacing w:before="340" w:after="330" w:line="576" w:lineRule="auto"/>
      <w:ind w:left="432" w:hanging="432"/>
      <w:outlineLvl w:val="0"/>
    </w:pPr>
    <w:rPr>
      <w:rFonts w:ascii="Times New Roman" w:hAnsi="Times New Roman" w:cs="Times New Roman"/>
      <w:b/>
      <w:bCs/>
      <w:kern w:val="44"/>
      <w:sz w:val="44"/>
      <w:szCs w:val="44"/>
    </w:rPr>
  </w:style>
  <w:style w:type="paragraph" w:styleId="21">
    <w:name w:val="heading 2"/>
    <w:basedOn w:val="a1"/>
    <w:next w:val="a1"/>
    <w:link w:val="22"/>
    <w:uiPriority w:val="99"/>
    <w:qFormat/>
    <w:rsid w:val="00FB2F65"/>
    <w:pPr>
      <w:keepNext/>
      <w:keepLines/>
      <w:tabs>
        <w:tab w:val="left" w:pos="-2401"/>
        <w:tab w:val="num" w:pos="360"/>
      </w:tabs>
      <w:spacing w:before="260" w:after="260" w:line="415" w:lineRule="auto"/>
      <w:ind w:left="-2401" w:hanging="576"/>
      <w:outlineLvl w:val="1"/>
    </w:pPr>
    <w:rPr>
      <w:rFonts w:ascii="Arial" w:eastAsia="黑体" w:hAnsi="Arial" w:cs="Arial"/>
      <w:b/>
      <w:bCs/>
      <w:sz w:val="32"/>
      <w:szCs w:val="32"/>
    </w:rPr>
  </w:style>
  <w:style w:type="paragraph" w:styleId="3">
    <w:name w:val="heading 3"/>
    <w:basedOn w:val="a1"/>
    <w:next w:val="a1"/>
    <w:link w:val="30"/>
    <w:uiPriority w:val="99"/>
    <w:qFormat/>
    <w:rsid w:val="00FB2F65"/>
    <w:pPr>
      <w:keepNext/>
      <w:keepLines/>
      <w:tabs>
        <w:tab w:val="left" w:pos="-2683"/>
        <w:tab w:val="num" w:pos="360"/>
      </w:tabs>
      <w:spacing w:before="260" w:after="260" w:line="415" w:lineRule="auto"/>
      <w:ind w:left="-2683" w:hanging="720"/>
      <w:outlineLvl w:val="2"/>
    </w:pPr>
    <w:rPr>
      <w:rFonts w:ascii="Times New Roman" w:hAnsi="Times New Roman" w:cs="Times New Roman"/>
      <w:b/>
      <w:bCs/>
      <w:sz w:val="32"/>
      <w:szCs w:val="32"/>
    </w:rPr>
  </w:style>
  <w:style w:type="paragraph" w:styleId="4">
    <w:name w:val="heading 4"/>
    <w:basedOn w:val="a1"/>
    <w:next w:val="a1"/>
    <w:link w:val="40"/>
    <w:uiPriority w:val="99"/>
    <w:qFormat/>
    <w:rsid w:val="00FB2F65"/>
    <w:pPr>
      <w:keepNext/>
      <w:keepLines/>
      <w:tabs>
        <w:tab w:val="left" w:pos="-2539"/>
        <w:tab w:val="num" w:pos="360"/>
      </w:tabs>
      <w:autoSpaceDE w:val="0"/>
      <w:autoSpaceDN w:val="0"/>
      <w:adjustRightInd w:val="0"/>
      <w:spacing w:before="280" w:after="290" w:line="374" w:lineRule="auto"/>
      <w:ind w:left="-2539" w:hanging="864"/>
      <w:outlineLvl w:val="3"/>
    </w:pPr>
    <w:rPr>
      <w:rFonts w:ascii="Arial" w:eastAsia="黑体" w:hAnsi="Arial" w:cs="Arial"/>
      <w:b/>
      <w:bCs/>
      <w:kern w:val="0"/>
      <w:sz w:val="28"/>
      <w:szCs w:val="28"/>
    </w:rPr>
  </w:style>
  <w:style w:type="paragraph" w:styleId="5">
    <w:name w:val="heading 5"/>
    <w:basedOn w:val="a1"/>
    <w:next w:val="a1"/>
    <w:link w:val="50"/>
    <w:uiPriority w:val="99"/>
    <w:qFormat/>
    <w:rsid w:val="00FB2F65"/>
    <w:pPr>
      <w:keepNext/>
      <w:keepLines/>
      <w:tabs>
        <w:tab w:val="left" w:pos="-2395"/>
        <w:tab w:val="num" w:pos="360"/>
      </w:tabs>
      <w:autoSpaceDE w:val="0"/>
      <w:autoSpaceDN w:val="0"/>
      <w:adjustRightInd w:val="0"/>
      <w:spacing w:before="280" w:after="290" w:line="374" w:lineRule="auto"/>
      <w:ind w:left="-2395" w:hanging="1008"/>
      <w:outlineLvl w:val="4"/>
    </w:pPr>
    <w:rPr>
      <w:rFonts w:ascii="宋体" w:hAnsi="Times New Roman" w:cs="宋体"/>
      <w:b/>
      <w:bCs/>
      <w:kern w:val="0"/>
      <w:sz w:val="28"/>
      <w:szCs w:val="28"/>
    </w:rPr>
  </w:style>
  <w:style w:type="paragraph" w:styleId="6">
    <w:name w:val="heading 6"/>
    <w:basedOn w:val="a1"/>
    <w:next w:val="a1"/>
    <w:link w:val="60"/>
    <w:uiPriority w:val="99"/>
    <w:qFormat/>
    <w:rsid w:val="00FB2F65"/>
    <w:pPr>
      <w:keepNext/>
      <w:keepLines/>
      <w:tabs>
        <w:tab w:val="left" w:pos="-2251"/>
        <w:tab w:val="num" w:pos="360"/>
      </w:tabs>
      <w:autoSpaceDE w:val="0"/>
      <w:autoSpaceDN w:val="0"/>
      <w:adjustRightInd w:val="0"/>
      <w:spacing w:before="240" w:after="64" w:line="319" w:lineRule="auto"/>
      <w:ind w:left="-2251" w:hanging="1152"/>
      <w:outlineLvl w:val="5"/>
    </w:pPr>
    <w:rPr>
      <w:rFonts w:ascii="Arial" w:eastAsia="黑体" w:hAnsi="Arial" w:cs="Arial"/>
      <w:b/>
      <w:bCs/>
      <w:kern w:val="0"/>
      <w:sz w:val="24"/>
      <w:szCs w:val="24"/>
    </w:rPr>
  </w:style>
  <w:style w:type="paragraph" w:styleId="7">
    <w:name w:val="heading 7"/>
    <w:basedOn w:val="a1"/>
    <w:next w:val="a1"/>
    <w:link w:val="70"/>
    <w:uiPriority w:val="99"/>
    <w:qFormat/>
    <w:rsid w:val="00FB2F65"/>
    <w:pPr>
      <w:keepNext/>
      <w:keepLines/>
      <w:tabs>
        <w:tab w:val="left" w:pos="-2107"/>
        <w:tab w:val="num" w:pos="360"/>
      </w:tabs>
      <w:autoSpaceDE w:val="0"/>
      <w:autoSpaceDN w:val="0"/>
      <w:adjustRightInd w:val="0"/>
      <w:spacing w:before="240" w:after="64" w:line="319" w:lineRule="auto"/>
      <w:ind w:left="-2107" w:hanging="1296"/>
      <w:outlineLvl w:val="6"/>
    </w:pPr>
    <w:rPr>
      <w:rFonts w:ascii="宋体" w:hAnsi="Times New Roman" w:cs="宋体"/>
      <w:b/>
      <w:bCs/>
      <w:kern w:val="0"/>
      <w:sz w:val="24"/>
      <w:szCs w:val="24"/>
    </w:rPr>
  </w:style>
  <w:style w:type="paragraph" w:styleId="8">
    <w:name w:val="heading 8"/>
    <w:basedOn w:val="a1"/>
    <w:next w:val="a1"/>
    <w:link w:val="80"/>
    <w:uiPriority w:val="99"/>
    <w:qFormat/>
    <w:rsid w:val="00FB2F65"/>
    <w:pPr>
      <w:keepNext/>
      <w:keepLines/>
      <w:tabs>
        <w:tab w:val="left" w:pos="-1963"/>
        <w:tab w:val="num" w:pos="360"/>
      </w:tabs>
      <w:autoSpaceDE w:val="0"/>
      <w:autoSpaceDN w:val="0"/>
      <w:adjustRightInd w:val="0"/>
      <w:spacing w:before="240" w:after="64" w:line="319" w:lineRule="auto"/>
      <w:ind w:left="-1963" w:hanging="1440"/>
      <w:outlineLvl w:val="7"/>
    </w:pPr>
    <w:rPr>
      <w:rFonts w:ascii="Arial" w:eastAsia="黑体" w:hAnsi="Arial" w:cs="Arial"/>
      <w:kern w:val="0"/>
      <w:sz w:val="24"/>
      <w:szCs w:val="24"/>
    </w:rPr>
  </w:style>
  <w:style w:type="paragraph" w:styleId="9">
    <w:name w:val="heading 9"/>
    <w:basedOn w:val="a1"/>
    <w:next w:val="a1"/>
    <w:link w:val="90"/>
    <w:uiPriority w:val="99"/>
    <w:qFormat/>
    <w:rsid w:val="00FB2F65"/>
    <w:pPr>
      <w:keepNext/>
      <w:keepLines/>
      <w:tabs>
        <w:tab w:val="left" w:pos="-1819"/>
        <w:tab w:val="num" w:pos="360"/>
      </w:tabs>
      <w:autoSpaceDE w:val="0"/>
      <w:autoSpaceDN w:val="0"/>
      <w:adjustRightInd w:val="0"/>
      <w:spacing w:before="240" w:after="64" w:line="319" w:lineRule="auto"/>
      <w:ind w:left="-1819" w:hanging="1584"/>
      <w:outlineLvl w:val="8"/>
    </w:pPr>
    <w:rPr>
      <w:rFonts w:ascii="Arial" w:eastAsia="黑体" w:hAnsi="Arial" w:cs="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纯文本 字符"/>
    <w:basedOn w:val="a2"/>
    <w:link w:val="a6"/>
    <w:uiPriority w:val="99"/>
    <w:locked/>
    <w:rsid w:val="00FB2F65"/>
    <w:rPr>
      <w:rFonts w:ascii="宋体" w:hAnsi="Courier New" w:cs="宋体"/>
      <w:kern w:val="2"/>
      <w:sz w:val="21"/>
      <w:szCs w:val="21"/>
    </w:rPr>
  </w:style>
  <w:style w:type="character" w:customStyle="1" w:styleId="11">
    <w:name w:val="不明显强调1"/>
    <w:basedOn w:val="a2"/>
    <w:uiPriority w:val="99"/>
    <w:qFormat/>
    <w:rsid w:val="00FB2F65"/>
    <w:rPr>
      <w:i/>
      <w:iCs/>
      <w:color w:val="808080"/>
    </w:rPr>
  </w:style>
  <w:style w:type="character" w:styleId="a7">
    <w:name w:val="Strong"/>
    <w:basedOn w:val="a2"/>
    <w:uiPriority w:val="99"/>
    <w:qFormat/>
    <w:rsid w:val="00FB2F65"/>
    <w:rPr>
      <w:b/>
      <w:bCs/>
    </w:rPr>
  </w:style>
  <w:style w:type="character" w:customStyle="1" w:styleId="tt11">
    <w:name w:val="tt11"/>
    <w:basedOn w:val="a2"/>
    <w:uiPriority w:val="99"/>
    <w:rsid w:val="00FB2F65"/>
    <w:rPr>
      <w:spacing w:val="400"/>
      <w:sz w:val="22"/>
      <w:szCs w:val="22"/>
    </w:rPr>
  </w:style>
  <w:style w:type="character" w:customStyle="1" w:styleId="31">
    <w:name w:val="正文文本缩进 3 字符"/>
    <w:basedOn w:val="a2"/>
    <w:link w:val="32"/>
    <w:uiPriority w:val="99"/>
    <w:locked/>
    <w:rsid w:val="00FB2F65"/>
    <w:rPr>
      <w:rFonts w:ascii="宋体" w:hAnsi="Times New Roman" w:cs="宋体"/>
      <w:kern w:val="2"/>
      <w:sz w:val="28"/>
      <w:szCs w:val="28"/>
    </w:rPr>
  </w:style>
  <w:style w:type="character" w:customStyle="1" w:styleId="22">
    <w:name w:val="标题 2 字符"/>
    <w:basedOn w:val="a2"/>
    <w:link w:val="21"/>
    <w:uiPriority w:val="99"/>
    <w:locked/>
    <w:rsid w:val="00FB2F65"/>
    <w:rPr>
      <w:rFonts w:ascii="Arial" w:eastAsia="黑体" w:hAnsi="Arial" w:cs="Arial"/>
      <w:b/>
      <w:bCs/>
      <w:kern w:val="2"/>
      <w:sz w:val="32"/>
      <w:szCs w:val="32"/>
    </w:rPr>
  </w:style>
  <w:style w:type="character" w:customStyle="1" w:styleId="10">
    <w:name w:val="标题 1 字符"/>
    <w:basedOn w:val="a2"/>
    <w:link w:val="1"/>
    <w:uiPriority w:val="99"/>
    <w:locked/>
    <w:rsid w:val="00FB2F65"/>
    <w:rPr>
      <w:rFonts w:ascii="Times New Roman" w:hAnsi="Times New Roman"/>
      <w:b/>
      <w:bCs/>
      <w:kern w:val="44"/>
      <w:sz w:val="44"/>
      <w:szCs w:val="44"/>
    </w:rPr>
  </w:style>
  <w:style w:type="character" w:customStyle="1" w:styleId="Char">
    <w:name w:val="正文首行缩进 Char"/>
    <w:basedOn w:val="a8"/>
    <w:uiPriority w:val="99"/>
    <w:locked/>
    <w:rsid w:val="00FB2F65"/>
    <w:rPr>
      <w:rFonts w:ascii="Times New Roman" w:hAnsi="Times New Roman" w:cs="Times New Roman"/>
      <w:kern w:val="2"/>
      <w:sz w:val="24"/>
      <w:szCs w:val="24"/>
    </w:rPr>
  </w:style>
  <w:style w:type="character" w:customStyle="1" w:styleId="a8">
    <w:name w:val="正文文本 字符"/>
    <w:basedOn w:val="a2"/>
    <w:link w:val="a9"/>
    <w:uiPriority w:val="99"/>
    <w:locked/>
    <w:rsid w:val="00FB2F65"/>
    <w:rPr>
      <w:rFonts w:ascii="Times New Roman" w:hAnsi="Times New Roman" w:cs="Times New Roman"/>
      <w:kern w:val="2"/>
      <w:sz w:val="24"/>
      <w:szCs w:val="24"/>
    </w:rPr>
  </w:style>
  <w:style w:type="character" w:customStyle="1" w:styleId="BodyTextFirstIndentChar">
    <w:name w:val="Body Text First Indent Char"/>
    <w:basedOn w:val="a8"/>
    <w:uiPriority w:val="99"/>
    <w:locked/>
    <w:rsid w:val="00FB2F65"/>
    <w:rPr>
      <w:rFonts w:ascii="Times New Roman" w:hAnsi="Times New Roman" w:cs="Times New Roman"/>
      <w:kern w:val="2"/>
      <w:sz w:val="24"/>
      <w:szCs w:val="24"/>
    </w:rPr>
  </w:style>
  <w:style w:type="character" w:customStyle="1" w:styleId="60">
    <w:name w:val="标题 6 字符"/>
    <w:basedOn w:val="a2"/>
    <w:link w:val="6"/>
    <w:uiPriority w:val="99"/>
    <w:locked/>
    <w:rsid w:val="00FB2F65"/>
    <w:rPr>
      <w:rFonts w:ascii="Arial" w:eastAsia="黑体" w:hAnsi="Arial" w:cs="Arial"/>
      <w:b/>
      <w:bCs/>
      <w:sz w:val="24"/>
      <w:szCs w:val="24"/>
    </w:rPr>
  </w:style>
  <w:style w:type="character" w:customStyle="1" w:styleId="aa">
    <w:name w:val="脚注文本 字符"/>
    <w:basedOn w:val="a2"/>
    <w:link w:val="ab"/>
    <w:uiPriority w:val="99"/>
    <w:locked/>
    <w:rsid w:val="00FB2F65"/>
    <w:rPr>
      <w:rFonts w:ascii="Times New Roman" w:hAnsi="Times New Roman" w:cs="Times New Roman"/>
      <w:kern w:val="2"/>
      <w:sz w:val="18"/>
      <w:szCs w:val="18"/>
    </w:rPr>
  </w:style>
  <w:style w:type="character" w:customStyle="1" w:styleId="md1">
    <w:name w:val="md1"/>
    <w:basedOn w:val="a2"/>
    <w:uiPriority w:val="99"/>
    <w:rsid w:val="00FB2F65"/>
    <w:rPr>
      <w:spacing w:val="360"/>
      <w:sz w:val="25"/>
      <w:szCs w:val="25"/>
    </w:rPr>
  </w:style>
  <w:style w:type="character" w:customStyle="1" w:styleId="ac">
    <w:name w:val="页脚 字符"/>
    <w:basedOn w:val="a2"/>
    <w:link w:val="ad"/>
    <w:uiPriority w:val="99"/>
    <w:locked/>
    <w:rsid w:val="00FB2F65"/>
    <w:rPr>
      <w:sz w:val="18"/>
      <w:szCs w:val="18"/>
    </w:rPr>
  </w:style>
  <w:style w:type="character" w:customStyle="1" w:styleId="ae">
    <w:name w:val="文档结构图 字符"/>
    <w:basedOn w:val="a2"/>
    <w:link w:val="af"/>
    <w:uiPriority w:val="99"/>
    <w:locked/>
    <w:rsid w:val="00FB2F65"/>
    <w:rPr>
      <w:rFonts w:ascii="Times New Roman" w:hAnsi="Times New Roman" w:cs="Times New Roman"/>
      <w:kern w:val="2"/>
      <w:sz w:val="24"/>
      <w:szCs w:val="24"/>
      <w:shd w:val="clear" w:color="auto" w:fill="000080"/>
    </w:rPr>
  </w:style>
  <w:style w:type="character" w:customStyle="1" w:styleId="f221">
    <w:name w:val="f221"/>
    <w:basedOn w:val="a2"/>
    <w:uiPriority w:val="99"/>
    <w:rsid w:val="00FB2F65"/>
    <w:rPr>
      <w:rFonts w:ascii="??" w:hAnsi="??" w:cs="??"/>
      <w:b/>
      <w:bCs/>
      <w:color w:val="auto"/>
      <w:sz w:val="33"/>
      <w:szCs w:val="33"/>
    </w:rPr>
  </w:style>
  <w:style w:type="character" w:customStyle="1" w:styleId="z-TopofFormChar">
    <w:name w:val="z-Top of Form Char"/>
    <w:basedOn w:val="a2"/>
    <w:link w:val="z-1"/>
    <w:uiPriority w:val="99"/>
    <w:locked/>
    <w:rsid w:val="00FB2F65"/>
    <w:rPr>
      <w:rFonts w:ascii="Arial" w:hAnsi="Arial" w:cs="Arial"/>
      <w:vanish/>
      <w:sz w:val="16"/>
      <w:szCs w:val="16"/>
    </w:rPr>
  </w:style>
  <w:style w:type="character" w:styleId="af0">
    <w:name w:val="page number"/>
    <w:basedOn w:val="a2"/>
    <w:uiPriority w:val="99"/>
    <w:rsid w:val="00FB2F65"/>
  </w:style>
  <w:style w:type="character" w:styleId="af1">
    <w:name w:val="annotation reference"/>
    <w:basedOn w:val="a2"/>
    <w:rsid w:val="00FB2F65"/>
    <w:rPr>
      <w:sz w:val="21"/>
      <w:szCs w:val="21"/>
    </w:rPr>
  </w:style>
  <w:style w:type="character" w:styleId="af2">
    <w:name w:val="FollowedHyperlink"/>
    <w:basedOn w:val="a2"/>
    <w:uiPriority w:val="99"/>
    <w:rsid w:val="00FB2F65"/>
    <w:rPr>
      <w:color w:val="800080"/>
      <w:u w:val="single"/>
    </w:rPr>
  </w:style>
  <w:style w:type="character" w:styleId="af3">
    <w:name w:val="Emphasis"/>
    <w:basedOn w:val="a2"/>
    <w:uiPriority w:val="99"/>
    <w:qFormat/>
    <w:rsid w:val="00FB2F65"/>
    <w:rPr>
      <w:i/>
      <w:iCs/>
    </w:rPr>
  </w:style>
  <w:style w:type="character" w:styleId="HTML">
    <w:name w:val="HTML Typewriter"/>
    <w:basedOn w:val="a2"/>
    <w:uiPriority w:val="99"/>
    <w:rsid w:val="00FB2F65"/>
    <w:rPr>
      <w:rFonts w:ascii="Arial Unicode MS" w:eastAsia="Arial Unicode MS" w:hAnsi="Arial Unicode MS" w:cs="Arial Unicode MS"/>
      <w:sz w:val="20"/>
      <w:szCs w:val="20"/>
    </w:rPr>
  </w:style>
  <w:style w:type="character" w:styleId="af4">
    <w:name w:val="Hyperlink"/>
    <w:basedOn w:val="a2"/>
    <w:uiPriority w:val="99"/>
    <w:rsid w:val="00FB2F65"/>
    <w:rPr>
      <w:color w:val="0000FF"/>
      <w:u w:val="single"/>
    </w:rPr>
  </w:style>
  <w:style w:type="character" w:styleId="af5">
    <w:name w:val="footnote reference"/>
    <w:basedOn w:val="a2"/>
    <w:uiPriority w:val="99"/>
    <w:semiHidden/>
    <w:rsid w:val="00FB2F65"/>
    <w:rPr>
      <w:vertAlign w:val="superscript"/>
    </w:rPr>
  </w:style>
  <w:style w:type="character" w:customStyle="1" w:styleId="af6">
    <w:name w:val="a"/>
    <w:basedOn w:val="a2"/>
    <w:uiPriority w:val="99"/>
    <w:rsid w:val="00FB2F65"/>
  </w:style>
  <w:style w:type="character" w:customStyle="1" w:styleId="30">
    <w:name w:val="标题 3 字符"/>
    <w:basedOn w:val="a2"/>
    <w:link w:val="3"/>
    <w:uiPriority w:val="99"/>
    <w:locked/>
    <w:rsid w:val="00FB2F65"/>
    <w:rPr>
      <w:rFonts w:ascii="Times New Roman" w:hAnsi="Times New Roman"/>
      <w:b/>
      <w:bCs/>
      <w:kern w:val="2"/>
      <w:sz w:val="32"/>
      <w:szCs w:val="32"/>
    </w:rPr>
  </w:style>
  <w:style w:type="character" w:customStyle="1" w:styleId="40">
    <w:name w:val="标题 4 字符"/>
    <w:basedOn w:val="a2"/>
    <w:link w:val="4"/>
    <w:uiPriority w:val="99"/>
    <w:locked/>
    <w:rsid w:val="00FB2F65"/>
    <w:rPr>
      <w:rFonts w:ascii="Arial" w:eastAsia="黑体" w:hAnsi="Arial" w:cs="Arial"/>
      <w:b/>
      <w:bCs/>
      <w:sz w:val="28"/>
      <w:szCs w:val="28"/>
    </w:rPr>
  </w:style>
  <w:style w:type="character" w:customStyle="1" w:styleId="50">
    <w:name w:val="标题 5 字符"/>
    <w:basedOn w:val="a2"/>
    <w:link w:val="5"/>
    <w:uiPriority w:val="99"/>
    <w:locked/>
    <w:rsid w:val="00FB2F65"/>
    <w:rPr>
      <w:rFonts w:ascii="宋体" w:hAnsi="Times New Roman" w:cs="宋体"/>
      <w:b/>
      <w:bCs/>
      <w:sz w:val="28"/>
      <w:szCs w:val="28"/>
    </w:rPr>
  </w:style>
  <w:style w:type="character" w:customStyle="1" w:styleId="70">
    <w:name w:val="标题 7 字符"/>
    <w:basedOn w:val="a2"/>
    <w:link w:val="7"/>
    <w:uiPriority w:val="99"/>
    <w:locked/>
    <w:rsid w:val="00FB2F65"/>
    <w:rPr>
      <w:rFonts w:ascii="宋体" w:hAnsi="Times New Roman" w:cs="宋体"/>
      <w:b/>
      <w:bCs/>
      <w:sz w:val="24"/>
      <w:szCs w:val="24"/>
    </w:rPr>
  </w:style>
  <w:style w:type="character" w:customStyle="1" w:styleId="80">
    <w:name w:val="标题 8 字符"/>
    <w:basedOn w:val="a2"/>
    <w:link w:val="8"/>
    <w:uiPriority w:val="99"/>
    <w:locked/>
    <w:rsid w:val="00FB2F65"/>
    <w:rPr>
      <w:rFonts w:ascii="Arial" w:eastAsia="黑体" w:hAnsi="Arial" w:cs="Arial"/>
      <w:sz w:val="24"/>
      <w:szCs w:val="24"/>
    </w:rPr>
  </w:style>
  <w:style w:type="character" w:customStyle="1" w:styleId="90">
    <w:name w:val="标题 9 字符"/>
    <w:basedOn w:val="a2"/>
    <w:link w:val="9"/>
    <w:uiPriority w:val="99"/>
    <w:locked/>
    <w:rsid w:val="00FB2F65"/>
    <w:rPr>
      <w:rFonts w:ascii="Arial" w:eastAsia="黑体" w:hAnsi="Arial" w:cs="Arial"/>
      <w:sz w:val="21"/>
      <w:szCs w:val="21"/>
    </w:rPr>
  </w:style>
  <w:style w:type="character" w:customStyle="1" w:styleId="af7">
    <w:name w:val="页眉 字符"/>
    <w:basedOn w:val="a2"/>
    <w:link w:val="af8"/>
    <w:uiPriority w:val="99"/>
    <w:locked/>
    <w:rsid w:val="00FB2F65"/>
    <w:rPr>
      <w:sz w:val="18"/>
      <w:szCs w:val="18"/>
    </w:rPr>
  </w:style>
  <w:style w:type="character" w:customStyle="1" w:styleId="af9">
    <w:name w:val="批注文字 字符"/>
    <w:basedOn w:val="a2"/>
    <w:link w:val="afa"/>
    <w:locked/>
    <w:rsid w:val="00FB2F65"/>
    <w:rPr>
      <w:rFonts w:ascii="Times New Roman" w:hAnsi="Times New Roman" w:cs="Times New Roman"/>
      <w:kern w:val="2"/>
      <w:sz w:val="24"/>
      <w:szCs w:val="24"/>
    </w:rPr>
  </w:style>
  <w:style w:type="character" w:customStyle="1" w:styleId="afb">
    <w:name w:val="日期 字符"/>
    <w:basedOn w:val="a2"/>
    <w:link w:val="afc"/>
    <w:uiPriority w:val="99"/>
    <w:locked/>
    <w:rsid w:val="00FB2F65"/>
    <w:rPr>
      <w:rFonts w:ascii="宋体" w:eastAsia="仿宋_GB2312" w:hAnsi="宋体" w:cs="宋体"/>
      <w:kern w:val="2"/>
      <w:sz w:val="24"/>
      <w:szCs w:val="24"/>
    </w:rPr>
  </w:style>
  <w:style w:type="character" w:customStyle="1" w:styleId="afd">
    <w:name w:val="标题 字符"/>
    <w:basedOn w:val="a2"/>
    <w:link w:val="afe"/>
    <w:uiPriority w:val="99"/>
    <w:locked/>
    <w:rsid w:val="00FB2F65"/>
    <w:rPr>
      <w:rFonts w:ascii="Arial" w:hAnsi="Arial" w:cs="Arial"/>
      <w:b/>
      <w:bCs/>
      <w:kern w:val="2"/>
      <w:sz w:val="32"/>
      <w:szCs w:val="32"/>
    </w:rPr>
  </w:style>
  <w:style w:type="character" w:customStyle="1" w:styleId="aff">
    <w:name w:val="正文文本缩进 字符"/>
    <w:basedOn w:val="a2"/>
    <w:link w:val="aff0"/>
    <w:uiPriority w:val="99"/>
    <w:locked/>
    <w:rsid w:val="00FB2F65"/>
    <w:rPr>
      <w:rFonts w:ascii="宋体" w:hAnsi="Times New Roman" w:cs="宋体"/>
      <w:sz w:val="24"/>
      <w:szCs w:val="24"/>
    </w:rPr>
  </w:style>
  <w:style w:type="character" w:customStyle="1" w:styleId="23">
    <w:name w:val="正文文本 2 字符"/>
    <w:basedOn w:val="a2"/>
    <w:link w:val="24"/>
    <w:uiPriority w:val="99"/>
    <w:locked/>
    <w:rsid w:val="00FB2F65"/>
    <w:rPr>
      <w:rFonts w:ascii="Times New Roman" w:hAnsi="Times New Roman" w:cs="Times New Roman"/>
      <w:kern w:val="2"/>
      <w:sz w:val="28"/>
      <w:szCs w:val="28"/>
    </w:rPr>
  </w:style>
  <w:style w:type="character" w:customStyle="1" w:styleId="33">
    <w:name w:val="正文文本 3 字符"/>
    <w:basedOn w:val="a2"/>
    <w:link w:val="34"/>
    <w:uiPriority w:val="99"/>
    <w:locked/>
    <w:rsid w:val="00FB2F65"/>
    <w:rPr>
      <w:rFonts w:ascii="Times New Roman" w:hAnsi="Times New Roman" w:cs="Times New Roman"/>
      <w:sz w:val="24"/>
      <w:szCs w:val="24"/>
      <w:u w:val="single"/>
    </w:rPr>
  </w:style>
  <w:style w:type="character" w:customStyle="1" w:styleId="25">
    <w:name w:val="正文文本缩进 2 字符"/>
    <w:basedOn w:val="a2"/>
    <w:link w:val="26"/>
    <w:uiPriority w:val="99"/>
    <w:locked/>
    <w:rsid w:val="00FB2F65"/>
    <w:rPr>
      <w:rFonts w:ascii="Times New Roman" w:eastAsia="仿宋_GB2312" w:hAnsi="Times New Roman" w:cs="Times New Roman"/>
      <w:kern w:val="2"/>
      <w:sz w:val="24"/>
      <w:szCs w:val="24"/>
    </w:rPr>
  </w:style>
  <w:style w:type="character" w:customStyle="1" w:styleId="big1">
    <w:name w:val="big1"/>
    <w:basedOn w:val="a2"/>
    <w:uiPriority w:val="99"/>
    <w:rsid w:val="00FB2F65"/>
    <w:rPr>
      <w:spacing w:val="360"/>
      <w:sz w:val="22"/>
      <w:szCs w:val="22"/>
    </w:rPr>
  </w:style>
  <w:style w:type="character" w:customStyle="1" w:styleId="aff1">
    <w:name w:val="批注框文本 字符"/>
    <w:basedOn w:val="a2"/>
    <w:link w:val="aff2"/>
    <w:uiPriority w:val="99"/>
    <w:locked/>
    <w:rsid w:val="00FB2F65"/>
    <w:rPr>
      <w:rFonts w:ascii="Times New Roman" w:hAnsi="Times New Roman" w:cs="Times New Roman"/>
      <w:kern w:val="2"/>
      <w:sz w:val="18"/>
      <w:szCs w:val="18"/>
    </w:rPr>
  </w:style>
  <w:style w:type="character" w:customStyle="1" w:styleId="aff3">
    <w:name w:val="批注主题 字符"/>
    <w:basedOn w:val="af9"/>
    <w:link w:val="aff4"/>
    <w:uiPriority w:val="99"/>
    <w:locked/>
    <w:rsid w:val="00FB2F65"/>
    <w:rPr>
      <w:rFonts w:ascii="Times New Roman" w:hAnsi="Times New Roman" w:cs="Times New Roman"/>
      <w:b/>
      <w:bCs/>
      <w:kern w:val="2"/>
      <w:sz w:val="24"/>
      <w:szCs w:val="24"/>
    </w:rPr>
  </w:style>
  <w:style w:type="character" w:customStyle="1" w:styleId="style21">
    <w:name w:val="style21"/>
    <w:basedOn w:val="a2"/>
    <w:uiPriority w:val="99"/>
    <w:rsid w:val="00FB2F65"/>
    <w:rPr>
      <w:color w:val="auto"/>
      <w:spacing w:val="31680"/>
      <w:sz w:val="18"/>
      <w:szCs w:val="18"/>
      <w:u w:val="none"/>
    </w:rPr>
  </w:style>
  <w:style w:type="character" w:customStyle="1" w:styleId="read">
    <w:name w:val="read"/>
    <w:basedOn w:val="a2"/>
    <w:rsid w:val="00FB2F65"/>
  </w:style>
  <w:style w:type="character" w:customStyle="1" w:styleId="aff5">
    <w:name w:val="正文文本首行缩进 字符"/>
    <w:basedOn w:val="a8"/>
    <w:link w:val="aff6"/>
    <w:uiPriority w:val="99"/>
    <w:semiHidden/>
    <w:locked/>
    <w:rsid w:val="00FB2F65"/>
    <w:rPr>
      <w:rFonts w:ascii="Times New Roman" w:hAnsi="Times New Roman" w:cs="Times New Roman"/>
      <w:kern w:val="2"/>
      <w:sz w:val="21"/>
      <w:szCs w:val="21"/>
    </w:rPr>
  </w:style>
  <w:style w:type="character" w:customStyle="1" w:styleId="Char1">
    <w:name w:val="批注主题 Char1"/>
    <w:basedOn w:val="Char10"/>
    <w:uiPriority w:val="99"/>
    <w:semiHidden/>
    <w:rsid w:val="00FB2F65"/>
    <w:rPr>
      <w:b/>
      <w:bCs/>
      <w:sz w:val="21"/>
      <w:szCs w:val="21"/>
    </w:rPr>
  </w:style>
  <w:style w:type="character" w:customStyle="1" w:styleId="Char11">
    <w:name w:val="标题 Char1"/>
    <w:basedOn w:val="a2"/>
    <w:uiPriority w:val="99"/>
    <w:rsid w:val="00FB2F65"/>
    <w:rPr>
      <w:rFonts w:ascii="Cambria" w:hAnsi="Cambria" w:cs="Cambria"/>
      <w:b/>
      <w:bCs/>
      <w:kern w:val="2"/>
      <w:sz w:val="32"/>
      <w:szCs w:val="32"/>
    </w:rPr>
  </w:style>
  <w:style w:type="character" w:customStyle="1" w:styleId="Char12">
    <w:name w:val="日期 Char1"/>
    <w:basedOn w:val="a2"/>
    <w:uiPriority w:val="99"/>
    <w:semiHidden/>
    <w:rsid w:val="00FB2F65"/>
    <w:rPr>
      <w:sz w:val="21"/>
      <w:szCs w:val="21"/>
    </w:rPr>
  </w:style>
  <w:style w:type="character" w:customStyle="1" w:styleId="lan18">
    <w:name w:val="lan18"/>
    <w:basedOn w:val="a2"/>
    <w:uiPriority w:val="99"/>
    <w:rsid w:val="00FB2F65"/>
  </w:style>
  <w:style w:type="character" w:customStyle="1" w:styleId="Char13">
    <w:name w:val="正文文本 Char1"/>
    <w:basedOn w:val="a2"/>
    <w:uiPriority w:val="99"/>
    <w:semiHidden/>
    <w:rsid w:val="00FB2F65"/>
    <w:rPr>
      <w:kern w:val="2"/>
      <w:sz w:val="21"/>
      <w:szCs w:val="21"/>
    </w:rPr>
  </w:style>
  <w:style w:type="character" w:customStyle="1" w:styleId="AOHidden">
    <w:name w:val="AOHidden"/>
    <w:basedOn w:val="a2"/>
    <w:uiPriority w:val="99"/>
    <w:rsid w:val="00FB2F65"/>
    <w:rPr>
      <w:vanish/>
      <w:color w:val="auto"/>
    </w:rPr>
  </w:style>
  <w:style w:type="character" w:customStyle="1" w:styleId="aff7">
    <w:name w:val="尾注文本 字符"/>
    <w:basedOn w:val="a2"/>
    <w:link w:val="aff8"/>
    <w:uiPriority w:val="99"/>
    <w:semiHidden/>
    <w:locked/>
    <w:rsid w:val="00FB2F65"/>
    <w:rPr>
      <w:rFonts w:ascii="Times New Roman" w:hAnsi="Times New Roman" w:cs="Times New Roman"/>
      <w:sz w:val="22"/>
      <w:szCs w:val="22"/>
      <w:lang w:val="en-GB" w:eastAsia="en-US"/>
    </w:rPr>
  </w:style>
  <w:style w:type="character" w:customStyle="1" w:styleId="unnamed11">
    <w:name w:val="unnamed11"/>
    <w:basedOn w:val="a2"/>
    <w:uiPriority w:val="99"/>
    <w:rsid w:val="00FB2F65"/>
    <w:rPr>
      <w:rFonts w:ascii="宋体" w:eastAsia="宋体" w:hAnsi="宋体" w:cs="宋体"/>
      <w:sz w:val="18"/>
      <w:szCs w:val="18"/>
    </w:rPr>
  </w:style>
  <w:style w:type="character" w:customStyle="1" w:styleId="Char14">
    <w:name w:val="脚注文本 Char1"/>
    <w:basedOn w:val="a2"/>
    <w:uiPriority w:val="99"/>
    <w:semiHidden/>
    <w:rsid w:val="00FB2F65"/>
    <w:rPr>
      <w:sz w:val="18"/>
      <w:szCs w:val="18"/>
    </w:rPr>
  </w:style>
  <w:style w:type="character" w:customStyle="1" w:styleId="3Char1">
    <w:name w:val="正文文本 3 Char1"/>
    <w:basedOn w:val="a2"/>
    <w:uiPriority w:val="99"/>
    <w:semiHidden/>
    <w:rsid w:val="00FB2F65"/>
    <w:rPr>
      <w:sz w:val="16"/>
      <w:szCs w:val="16"/>
    </w:rPr>
  </w:style>
  <w:style w:type="character" w:customStyle="1" w:styleId="da">
    <w:name w:val="da"/>
    <w:basedOn w:val="a2"/>
    <w:uiPriority w:val="99"/>
    <w:rsid w:val="00FB2F65"/>
  </w:style>
  <w:style w:type="character" w:customStyle="1" w:styleId="15">
    <w:name w:val="15"/>
    <w:basedOn w:val="a2"/>
    <w:uiPriority w:val="99"/>
    <w:rsid w:val="00FB2F65"/>
  </w:style>
  <w:style w:type="character" w:customStyle="1" w:styleId="HTML0">
    <w:name w:val="HTML 预设格式 字符"/>
    <w:basedOn w:val="a2"/>
    <w:link w:val="HTML1"/>
    <w:uiPriority w:val="99"/>
    <w:locked/>
    <w:rsid w:val="00FB2F65"/>
    <w:rPr>
      <w:rFonts w:ascii="Arial Unicode MS" w:eastAsia="Arial Unicode MS" w:hAnsi="Arial Unicode MS" w:cs="Arial Unicode MS"/>
    </w:rPr>
  </w:style>
  <w:style w:type="character" w:customStyle="1" w:styleId="aff9">
    <w:name w:val="电子邮件签名 字符"/>
    <w:basedOn w:val="a2"/>
    <w:link w:val="affa"/>
    <w:uiPriority w:val="99"/>
    <w:locked/>
    <w:rsid w:val="00FB2F65"/>
    <w:rPr>
      <w:rFonts w:ascii="Times New Roman" w:hAnsi="Times New Roman" w:cs="Times New Roman"/>
      <w:sz w:val="21"/>
      <w:szCs w:val="21"/>
    </w:rPr>
  </w:style>
  <w:style w:type="character" w:customStyle="1" w:styleId="Char10">
    <w:name w:val="批注文字 Char1"/>
    <w:basedOn w:val="a2"/>
    <w:uiPriority w:val="99"/>
    <w:semiHidden/>
    <w:rsid w:val="00FB2F65"/>
    <w:rPr>
      <w:sz w:val="21"/>
      <w:szCs w:val="21"/>
    </w:rPr>
  </w:style>
  <w:style w:type="character" w:customStyle="1" w:styleId="2Char1">
    <w:name w:val="正文文本缩进 2 Char1"/>
    <w:basedOn w:val="a2"/>
    <w:uiPriority w:val="99"/>
    <w:semiHidden/>
    <w:rsid w:val="00FB2F65"/>
    <w:rPr>
      <w:sz w:val="21"/>
      <w:szCs w:val="21"/>
    </w:rPr>
  </w:style>
  <w:style w:type="character" w:customStyle="1" w:styleId="z-BottomofFormChar">
    <w:name w:val="z-Bottom of Form Char"/>
    <w:basedOn w:val="a2"/>
    <w:link w:val="z-10"/>
    <w:uiPriority w:val="99"/>
    <w:locked/>
    <w:rsid w:val="00FB2F65"/>
    <w:rPr>
      <w:rFonts w:ascii="Arial" w:hAnsi="Arial" w:cs="Arial"/>
      <w:vanish/>
      <w:sz w:val="16"/>
      <w:szCs w:val="16"/>
    </w:rPr>
  </w:style>
  <w:style w:type="character" w:customStyle="1" w:styleId="affb">
    <w:name w:val="副标题 字符"/>
    <w:basedOn w:val="a2"/>
    <w:link w:val="affc"/>
    <w:uiPriority w:val="99"/>
    <w:locked/>
    <w:rsid w:val="00FB2F65"/>
    <w:rPr>
      <w:rFonts w:ascii="Cambria" w:hAnsi="Cambria" w:cs="Cambria"/>
      <w:b/>
      <w:bCs/>
      <w:kern w:val="28"/>
      <w:sz w:val="32"/>
      <w:szCs w:val="32"/>
    </w:rPr>
  </w:style>
  <w:style w:type="character" w:customStyle="1" w:styleId="hangju">
    <w:name w:val="hangju"/>
    <w:basedOn w:val="a2"/>
    <w:uiPriority w:val="99"/>
    <w:rsid w:val="00FB2F65"/>
  </w:style>
  <w:style w:type="character" w:customStyle="1" w:styleId="12">
    <w:name w:val="明显强调1"/>
    <w:basedOn w:val="a2"/>
    <w:uiPriority w:val="99"/>
    <w:qFormat/>
    <w:rsid w:val="00FB2F65"/>
    <w:rPr>
      <w:b/>
      <w:bCs/>
      <w:i/>
      <w:iCs/>
      <w:color w:val="auto"/>
    </w:rPr>
  </w:style>
  <w:style w:type="character" w:customStyle="1" w:styleId="affd">
    <w:name w:val="样式 宋体"/>
    <w:basedOn w:val="a2"/>
    <w:uiPriority w:val="99"/>
    <w:rsid w:val="00FB2F65"/>
    <w:rPr>
      <w:rFonts w:ascii="Times New Roman" w:eastAsia="宋体" w:hAnsi="Times New Roman" w:cs="Times New Roman"/>
    </w:rPr>
  </w:style>
  <w:style w:type="character" w:customStyle="1" w:styleId="-Char">
    <w:name w:val="模板-正文 Char"/>
    <w:link w:val="-"/>
    <w:locked/>
    <w:rsid w:val="00FB2F65"/>
    <w:rPr>
      <w:rFonts w:ascii="宋体" w:eastAsia="宋体" w:cs="宋体"/>
      <w:color w:val="222222"/>
      <w:sz w:val="21"/>
      <w:szCs w:val="21"/>
      <w:shd w:val="clear" w:color="auto" w:fill="FFFFFF"/>
    </w:rPr>
  </w:style>
  <w:style w:type="paragraph" w:customStyle="1" w:styleId="AOAltHead1">
    <w:name w:val="AOAltHead1"/>
    <w:basedOn w:val="AOHead1"/>
    <w:next w:val="AODocTxtL1"/>
    <w:uiPriority w:val="99"/>
    <w:rsid w:val="00FB2F65"/>
    <w:pPr>
      <w:keepNext w:val="0"/>
      <w:tabs>
        <w:tab w:val="clear" w:pos="720"/>
      </w:tabs>
    </w:pPr>
    <w:rPr>
      <w:b w:val="0"/>
      <w:bCs w:val="0"/>
      <w:caps w:val="0"/>
    </w:rPr>
  </w:style>
  <w:style w:type="paragraph" w:customStyle="1" w:styleId="Char0">
    <w:name w:val="Char"/>
    <w:basedOn w:val="a1"/>
    <w:uiPriority w:val="99"/>
    <w:rsid w:val="00FB2F65"/>
    <w:pPr>
      <w:tabs>
        <w:tab w:val="left" w:pos="360"/>
      </w:tabs>
      <w:spacing w:line="560" w:lineRule="exact"/>
    </w:pPr>
    <w:rPr>
      <w:rFonts w:ascii="方正黑体简体" w:eastAsia="方正黑体简体" w:hAnsi="Times New Roman" w:cs="方正黑体简体"/>
      <w:sz w:val="30"/>
      <w:szCs w:val="30"/>
    </w:rPr>
  </w:style>
  <w:style w:type="paragraph" w:styleId="aff8">
    <w:name w:val="endnote text"/>
    <w:basedOn w:val="AONormal"/>
    <w:link w:val="aff7"/>
    <w:uiPriority w:val="99"/>
    <w:semiHidden/>
    <w:rsid w:val="00FB2F65"/>
    <w:pPr>
      <w:spacing w:line="240" w:lineRule="auto"/>
      <w:ind w:left="720" w:hanging="720"/>
    </w:pPr>
    <w:rPr>
      <w:sz w:val="16"/>
      <w:szCs w:val="16"/>
    </w:rPr>
  </w:style>
  <w:style w:type="paragraph" w:styleId="26">
    <w:name w:val="Body Text Indent 2"/>
    <w:basedOn w:val="a1"/>
    <w:link w:val="25"/>
    <w:uiPriority w:val="99"/>
    <w:rsid w:val="00FB2F65"/>
    <w:pPr>
      <w:spacing w:line="360" w:lineRule="auto"/>
      <w:ind w:firstLineChars="200" w:firstLine="560"/>
    </w:pPr>
    <w:rPr>
      <w:rFonts w:ascii="Times New Roman" w:eastAsia="仿宋_GB2312" w:hAnsi="Times New Roman" w:cs="Times New Roman"/>
      <w:sz w:val="28"/>
      <w:szCs w:val="28"/>
    </w:rPr>
  </w:style>
  <w:style w:type="paragraph" w:styleId="a6">
    <w:name w:val="Plain Text"/>
    <w:basedOn w:val="a1"/>
    <w:link w:val="a5"/>
    <w:uiPriority w:val="99"/>
    <w:rsid w:val="00FB2F65"/>
    <w:rPr>
      <w:rFonts w:ascii="宋体" w:hAnsi="Courier New" w:cs="宋体"/>
    </w:rPr>
  </w:style>
  <w:style w:type="paragraph" w:styleId="TOC5">
    <w:name w:val="toc 5"/>
    <w:basedOn w:val="a1"/>
    <w:next w:val="a1"/>
    <w:uiPriority w:val="99"/>
    <w:semiHidden/>
    <w:rsid w:val="00FB2F65"/>
    <w:pPr>
      <w:ind w:left="840"/>
      <w:jc w:val="left"/>
    </w:pPr>
    <w:rPr>
      <w:rFonts w:ascii="Times New Roman" w:hAnsi="Times New Roman" w:cs="Times New Roman"/>
    </w:rPr>
  </w:style>
  <w:style w:type="paragraph" w:customStyle="1" w:styleId="AOAppPartTitle">
    <w:name w:val="AOAppPartTitle"/>
    <w:basedOn w:val="AOAppTitle"/>
    <w:next w:val="AODocTxt"/>
    <w:uiPriority w:val="99"/>
    <w:rsid w:val="00FB2F65"/>
  </w:style>
  <w:style w:type="paragraph" w:styleId="34">
    <w:name w:val="Body Text 3"/>
    <w:basedOn w:val="a1"/>
    <w:link w:val="33"/>
    <w:uiPriority w:val="99"/>
    <w:rsid w:val="00FB2F65"/>
    <w:pPr>
      <w:autoSpaceDE w:val="0"/>
      <w:autoSpaceDN w:val="0"/>
      <w:adjustRightInd w:val="0"/>
      <w:spacing w:after="120" w:line="360" w:lineRule="auto"/>
    </w:pPr>
    <w:rPr>
      <w:rFonts w:ascii="Times New Roman" w:hAnsi="Times New Roman" w:cs="Times New Roman"/>
      <w:kern w:val="0"/>
      <w:sz w:val="24"/>
      <w:szCs w:val="24"/>
      <w:u w:val="single"/>
    </w:rPr>
  </w:style>
  <w:style w:type="paragraph" w:styleId="aff4">
    <w:name w:val="annotation subject"/>
    <w:basedOn w:val="afa"/>
    <w:next w:val="afa"/>
    <w:link w:val="aff3"/>
    <w:uiPriority w:val="99"/>
    <w:semiHidden/>
    <w:rsid w:val="00FB2F65"/>
    <w:rPr>
      <w:b/>
      <w:bCs/>
      <w:sz w:val="21"/>
      <w:szCs w:val="21"/>
    </w:rPr>
  </w:style>
  <w:style w:type="paragraph" w:styleId="afa">
    <w:name w:val="annotation text"/>
    <w:basedOn w:val="a1"/>
    <w:link w:val="af9"/>
    <w:rsid w:val="00FB2F65"/>
    <w:pPr>
      <w:jc w:val="left"/>
    </w:pPr>
    <w:rPr>
      <w:rFonts w:ascii="Times New Roman" w:hAnsi="Times New Roman" w:cs="Times New Roman"/>
      <w:sz w:val="24"/>
      <w:szCs w:val="24"/>
    </w:rPr>
  </w:style>
  <w:style w:type="paragraph" w:styleId="a9">
    <w:name w:val="Body Text"/>
    <w:basedOn w:val="a1"/>
    <w:link w:val="a8"/>
    <w:uiPriority w:val="99"/>
    <w:rsid w:val="00FB2F65"/>
    <w:pPr>
      <w:spacing w:line="360" w:lineRule="auto"/>
    </w:pPr>
    <w:rPr>
      <w:rFonts w:ascii="Times New Roman" w:hAnsi="Times New Roman" w:cs="Times New Roman"/>
      <w:sz w:val="24"/>
      <w:szCs w:val="24"/>
    </w:rPr>
  </w:style>
  <w:style w:type="paragraph" w:styleId="TOC7">
    <w:name w:val="toc 7"/>
    <w:basedOn w:val="a1"/>
    <w:next w:val="a1"/>
    <w:uiPriority w:val="99"/>
    <w:semiHidden/>
    <w:rsid w:val="00FB2F65"/>
    <w:pPr>
      <w:ind w:left="1260"/>
      <w:jc w:val="left"/>
    </w:pPr>
    <w:rPr>
      <w:rFonts w:ascii="Times New Roman" w:hAnsi="Times New Roman" w:cs="Times New Roman"/>
    </w:rPr>
  </w:style>
  <w:style w:type="paragraph" w:customStyle="1" w:styleId="20">
    <w:name w:val="列表2"/>
    <w:basedOn w:val="a1"/>
    <w:next w:val="afe"/>
    <w:uiPriority w:val="99"/>
    <w:rsid w:val="00FB2F65"/>
    <w:pPr>
      <w:numPr>
        <w:numId w:val="2"/>
      </w:numPr>
      <w:tabs>
        <w:tab w:val="left" w:pos="907"/>
      </w:tabs>
      <w:spacing w:line="360" w:lineRule="auto"/>
    </w:pPr>
    <w:rPr>
      <w:rFonts w:ascii="Times New Roman" w:hAnsi="Times New Roman" w:cs="Times New Roman"/>
    </w:rPr>
  </w:style>
  <w:style w:type="paragraph" w:styleId="aff6">
    <w:name w:val="Body Text First Indent"/>
    <w:basedOn w:val="a9"/>
    <w:link w:val="aff5"/>
    <w:uiPriority w:val="99"/>
    <w:rsid w:val="00FB2F65"/>
    <w:pPr>
      <w:spacing w:after="120" w:line="240" w:lineRule="auto"/>
      <w:ind w:firstLineChars="100" w:firstLine="420"/>
    </w:pPr>
  </w:style>
  <w:style w:type="paragraph" w:customStyle="1" w:styleId="AONormal">
    <w:name w:val="AONormal"/>
    <w:uiPriority w:val="99"/>
    <w:rsid w:val="00FB2F65"/>
    <w:pPr>
      <w:spacing w:line="260" w:lineRule="atLeast"/>
    </w:pPr>
    <w:rPr>
      <w:rFonts w:ascii="Times New Roman" w:hAnsi="Times New Roman"/>
      <w:sz w:val="22"/>
      <w:szCs w:val="22"/>
      <w:lang w:val="en-GB" w:eastAsia="en-US"/>
    </w:rPr>
  </w:style>
  <w:style w:type="paragraph" w:customStyle="1" w:styleId="ParaChar">
    <w:name w:val="默认段落字体 Para Char"/>
    <w:basedOn w:val="a1"/>
    <w:uiPriority w:val="99"/>
    <w:rsid w:val="00FB2F65"/>
    <w:pPr>
      <w:numPr>
        <w:numId w:val="3"/>
      </w:numPr>
      <w:tabs>
        <w:tab w:val="left" w:pos="870"/>
      </w:tabs>
    </w:pPr>
    <w:rPr>
      <w:rFonts w:ascii="Times New Roman" w:hAnsi="Times New Roman" w:cs="Times New Roman"/>
      <w:sz w:val="24"/>
      <w:szCs w:val="24"/>
    </w:rPr>
  </w:style>
  <w:style w:type="paragraph" w:styleId="a">
    <w:name w:val="List Number"/>
    <w:basedOn w:val="affe"/>
    <w:uiPriority w:val="99"/>
    <w:rsid w:val="00FB2F65"/>
    <w:pPr>
      <w:numPr>
        <w:numId w:val="4"/>
      </w:numPr>
      <w:tabs>
        <w:tab w:val="left" w:pos="720"/>
      </w:tabs>
      <w:ind w:right="720"/>
    </w:pPr>
  </w:style>
  <w:style w:type="paragraph" w:styleId="afff">
    <w:name w:val="table of authorities"/>
    <w:basedOn w:val="AONormal"/>
    <w:next w:val="a1"/>
    <w:uiPriority w:val="99"/>
    <w:semiHidden/>
    <w:rsid w:val="00FB2F65"/>
    <w:pPr>
      <w:tabs>
        <w:tab w:val="right" w:leader="dot" w:pos="9490"/>
      </w:tabs>
      <w:spacing w:before="240" w:line="240" w:lineRule="auto"/>
      <w:ind w:left="720" w:hanging="720"/>
    </w:pPr>
  </w:style>
  <w:style w:type="paragraph" w:styleId="HTML1">
    <w:name w:val="HTML Preformatted"/>
    <w:basedOn w:val="a1"/>
    <w:link w:val="HTML0"/>
    <w:uiPriority w:val="99"/>
    <w:rsid w:val="00FB2F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24">
    <w:name w:val="Body Text 2"/>
    <w:basedOn w:val="a1"/>
    <w:link w:val="23"/>
    <w:uiPriority w:val="99"/>
    <w:rsid w:val="00FB2F65"/>
    <w:rPr>
      <w:rFonts w:ascii="Times New Roman" w:hAnsi="Times New Roman" w:cs="Times New Roman"/>
      <w:sz w:val="28"/>
      <w:szCs w:val="28"/>
    </w:rPr>
  </w:style>
  <w:style w:type="paragraph" w:styleId="affa">
    <w:name w:val="E-mail Signature"/>
    <w:basedOn w:val="a1"/>
    <w:link w:val="aff9"/>
    <w:uiPriority w:val="99"/>
    <w:rsid w:val="00FB2F65"/>
    <w:pPr>
      <w:widowControl/>
    </w:pPr>
    <w:rPr>
      <w:rFonts w:ascii="Times New Roman" w:hAnsi="Times New Roman" w:cs="Times New Roman"/>
      <w:kern w:val="0"/>
    </w:rPr>
  </w:style>
  <w:style w:type="paragraph" w:styleId="TOC4">
    <w:name w:val="toc 4"/>
    <w:basedOn w:val="a1"/>
    <w:next w:val="a1"/>
    <w:uiPriority w:val="99"/>
    <w:semiHidden/>
    <w:rsid w:val="00FB2F65"/>
    <w:pPr>
      <w:ind w:left="630"/>
      <w:jc w:val="left"/>
    </w:pPr>
    <w:rPr>
      <w:rFonts w:ascii="Times New Roman" w:hAnsi="Times New Roman" w:cs="Times New Roman"/>
    </w:rPr>
  </w:style>
  <w:style w:type="paragraph" w:styleId="affe">
    <w:name w:val="List"/>
    <w:basedOn w:val="a9"/>
    <w:uiPriority w:val="99"/>
    <w:rsid w:val="00FB2F65"/>
    <w:pPr>
      <w:widowControl/>
      <w:spacing w:after="240" w:line="240" w:lineRule="atLeast"/>
      <w:ind w:left="720" w:hanging="360"/>
      <w:jc w:val="left"/>
    </w:pPr>
    <w:rPr>
      <w:rFonts w:eastAsia="PMingLiU"/>
      <w:kern w:val="0"/>
      <w:lang w:eastAsia="en-US"/>
    </w:rPr>
  </w:style>
  <w:style w:type="paragraph" w:styleId="afff0">
    <w:name w:val="Normal Indent"/>
    <w:basedOn w:val="a1"/>
    <w:uiPriority w:val="99"/>
    <w:qFormat/>
    <w:rsid w:val="00FB2F65"/>
    <w:pPr>
      <w:ind w:firstLine="420"/>
    </w:pPr>
    <w:rPr>
      <w:rFonts w:ascii="Times New Roman" w:hAnsi="Times New Roman" w:cs="Times New Roman"/>
    </w:rPr>
  </w:style>
  <w:style w:type="paragraph" w:styleId="TOC1">
    <w:name w:val="toc 1"/>
    <w:basedOn w:val="a1"/>
    <w:next w:val="a1"/>
    <w:uiPriority w:val="99"/>
    <w:semiHidden/>
    <w:rsid w:val="00FB2F65"/>
    <w:pPr>
      <w:tabs>
        <w:tab w:val="left" w:pos="510"/>
        <w:tab w:val="left" w:pos="709"/>
        <w:tab w:val="right" w:leader="dot" w:pos="8296"/>
      </w:tabs>
      <w:spacing w:line="276" w:lineRule="auto"/>
      <w:ind w:firstLineChars="98" w:firstLine="207"/>
      <w:jc w:val="center"/>
    </w:pPr>
    <w:rPr>
      <w:rFonts w:ascii="宋体" w:hAnsi="宋体" w:cs="宋体"/>
      <w:b/>
      <w:bCs/>
      <w:color w:val="000000"/>
    </w:rPr>
  </w:style>
  <w:style w:type="paragraph" w:styleId="afff1">
    <w:name w:val="caption"/>
    <w:basedOn w:val="a1"/>
    <w:next w:val="a1"/>
    <w:uiPriority w:val="99"/>
    <w:qFormat/>
    <w:rsid w:val="00FB2F65"/>
    <w:pPr>
      <w:adjustRightInd w:val="0"/>
      <w:spacing w:before="152" w:after="160" w:line="360" w:lineRule="auto"/>
      <w:ind w:firstLineChars="200" w:firstLine="567"/>
    </w:pPr>
    <w:rPr>
      <w:rFonts w:ascii="Arial" w:eastAsia="黑体" w:hAnsi="Arial" w:cs="Arial"/>
      <w:sz w:val="24"/>
      <w:szCs w:val="24"/>
    </w:rPr>
  </w:style>
  <w:style w:type="paragraph" w:styleId="a0">
    <w:name w:val="List Bullet"/>
    <w:basedOn w:val="affe"/>
    <w:uiPriority w:val="99"/>
    <w:rsid w:val="00FB2F65"/>
    <w:pPr>
      <w:numPr>
        <w:numId w:val="5"/>
      </w:numPr>
      <w:tabs>
        <w:tab w:val="left" w:pos="720"/>
      </w:tabs>
      <w:ind w:right="720"/>
    </w:pPr>
  </w:style>
  <w:style w:type="paragraph" w:styleId="afff2">
    <w:name w:val="envelope address"/>
    <w:basedOn w:val="a1"/>
    <w:uiPriority w:val="99"/>
    <w:rsid w:val="00FB2F65"/>
    <w:pPr>
      <w:framePr w:w="7920" w:h="1980" w:hRule="exact" w:hSpace="180" w:wrap="around" w:hAnchor="page" w:xAlign="center" w:yAlign="bottom"/>
      <w:ind w:left="2880"/>
    </w:pPr>
    <w:rPr>
      <w:rFonts w:ascii="Times New Roman" w:hAnsi="Times New Roman" w:cs="Times New Roman"/>
    </w:rPr>
  </w:style>
  <w:style w:type="paragraph" w:styleId="af">
    <w:name w:val="Document Map"/>
    <w:basedOn w:val="a1"/>
    <w:link w:val="ae"/>
    <w:uiPriority w:val="99"/>
    <w:semiHidden/>
    <w:rsid w:val="00FB2F65"/>
    <w:pPr>
      <w:shd w:val="clear" w:color="auto" w:fill="000080"/>
    </w:pPr>
    <w:rPr>
      <w:rFonts w:ascii="Times New Roman" w:hAnsi="Times New Roman" w:cs="Times New Roman"/>
    </w:rPr>
  </w:style>
  <w:style w:type="paragraph" w:styleId="afff3">
    <w:name w:val="toa heading"/>
    <w:basedOn w:val="AONormal"/>
    <w:next w:val="afff"/>
    <w:uiPriority w:val="99"/>
    <w:semiHidden/>
    <w:rsid w:val="00FB2F65"/>
    <w:pPr>
      <w:tabs>
        <w:tab w:val="right" w:pos="9490"/>
      </w:tabs>
      <w:spacing w:before="240" w:after="120" w:line="240" w:lineRule="auto"/>
    </w:pPr>
    <w:rPr>
      <w:b/>
      <w:bCs/>
    </w:rPr>
  </w:style>
  <w:style w:type="paragraph" w:styleId="aff0">
    <w:name w:val="Body Text Indent"/>
    <w:basedOn w:val="a1"/>
    <w:link w:val="aff"/>
    <w:uiPriority w:val="99"/>
    <w:rsid w:val="00FB2F65"/>
    <w:pPr>
      <w:autoSpaceDE w:val="0"/>
      <w:autoSpaceDN w:val="0"/>
      <w:adjustRightInd w:val="0"/>
      <w:spacing w:after="120" w:line="440" w:lineRule="atLeast"/>
      <w:ind w:firstLine="539"/>
    </w:pPr>
    <w:rPr>
      <w:rFonts w:ascii="宋体" w:hAnsi="Times New Roman" w:cs="宋体"/>
      <w:kern w:val="0"/>
      <w:sz w:val="24"/>
      <w:szCs w:val="24"/>
    </w:rPr>
  </w:style>
  <w:style w:type="paragraph" w:styleId="TOC3">
    <w:name w:val="toc 3"/>
    <w:basedOn w:val="a1"/>
    <w:next w:val="a1"/>
    <w:uiPriority w:val="99"/>
    <w:semiHidden/>
    <w:rsid w:val="00FB2F65"/>
    <w:pPr>
      <w:ind w:left="420"/>
      <w:jc w:val="left"/>
    </w:pPr>
    <w:rPr>
      <w:rFonts w:ascii="Times New Roman" w:hAnsi="Times New Roman" w:cs="Times New Roman"/>
    </w:rPr>
  </w:style>
  <w:style w:type="paragraph" w:styleId="TOC8">
    <w:name w:val="toc 8"/>
    <w:basedOn w:val="a1"/>
    <w:next w:val="a1"/>
    <w:uiPriority w:val="99"/>
    <w:semiHidden/>
    <w:rsid w:val="00FB2F65"/>
    <w:pPr>
      <w:ind w:left="1470"/>
      <w:jc w:val="left"/>
    </w:pPr>
    <w:rPr>
      <w:rFonts w:ascii="Times New Roman" w:hAnsi="Times New Roman" w:cs="Times New Roman"/>
    </w:rPr>
  </w:style>
  <w:style w:type="paragraph" w:customStyle="1" w:styleId="AODocTxtL2">
    <w:name w:val="AODocTxtL2"/>
    <w:basedOn w:val="AODocTxt"/>
    <w:uiPriority w:val="99"/>
    <w:rsid w:val="00FB2F65"/>
    <w:pPr>
      <w:numPr>
        <w:ilvl w:val="2"/>
      </w:numPr>
      <w:tabs>
        <w:tab w:val="left" w:pos="2160"/>
      </w:tabs>
      <w:ind w:left="2160" w:hanging="360"/>
    </w:pPr>
  </w:style>
  <w:style w:type="paragraph" w:styleId="afc">
    <w:name w:val="Date"/>
    <w:basedOn w:val="a1"/>
    <w:next w:val="a1"/>
    <w:link w:val="afb"/>
    <w:uiPriority w:val="99"/>
    <w:rsid w:val="00FB2F65"/>
    <w:pPr>
      <w:ind w:leftChars="2500" w:left="2500"/>
    </w:pPr>
    <w:rPr>
      <w:rFonts w:ascii="宋体" w:eastAsia="仿宋_GB2312" w:hAnsi="宋体" w:cs="宋体"/>
      <w:sz w:val="28"/>
      <w:szCs w:val="28"/>
    </w:rPr>
  </w:style>
  <w:style w:type="paragraph" w:styleId="aff2">
    <w:name w:val="Balloon Text"/>
    <w:basedOn w:val="a1"/>
    <w:link w:val="aff1"/>
    <w:uiPriority w:val="99"/>
    <w:semiHidden/>
    <w:rsid w:val="00FB2F65"/>
    <w:rPr>
      <w:rFonts w:ascii="Times New Roman" w:hAnsi="Times New Roman" w:cs="Times New Roman"/>
      <w:sz w:val="18"/>
      <w:szCs w:val="18"/>
    </w:rPr>
  </w:style>
  <w:style w:type="paragraph" w:styleId="ad">
    <w:name w:val="footer"/>
    <w:basedOn w:val="a1"/>
    <w:link w:val="ac"/>
    <w:uiPriority w:val="99"/>
    <w:rsid w:val="00FB2F65"/>
    <w:pPr>
      <w:tabs>
        <w:tab w:val="center" w:pos="4153"/>
        <w:tab w:val="right" w:pos="8306"/>
      </w:tabs>
      <w:snapToGrid w:val="0"/>
      <w:jc w:val="left"/>
    </w:pPr>
    <w:rPr>
      <w:sz w:val="18"/>
      <w:szCs w:val="18"/>
    </w:rPr>
  </w:style>
  <w:style w:type="paragraph" w:styleId="afff4">
    <w:name w:val="envelope return"/>
    <w:basedOn w:val="a1"/>
    <w:uiPriority w:val="99"/>
    <w:rsid w:val="00FB2F65"/>
    <w:rPr>
      <w:rFonts w:ascii="Times New Roman" w:hAnsi="Times New Roman" w:cs="Times New Roman"/>
      <w:sz w:val="20"/>
      <w:szCs w:val="20"/>
    </w:rPr>
  </w:style>
  <w:style w:type="paragraph" w:styleId="af8">
    <w:name w:val="header"/>
    <w:basedOn w:val="a1"/>
    <w:link w:val="af7"/>
    <w:uiPriority w:val="99"/>
    <w:rsid w:val="00FB2F65"/>
    <w:pPr>
      <w:pBdr>
        <w:bottom w:val="single" w:sz="6" w:space="1" w:color="auto"/>
      </w:pBdr>
      <w:tabs>
        <w:tab w:val="center" w:pos="4153"/>
        <w:tab w:val="right" w:pos="8306"/>
      </w:tabs>
      <w:snapToGrid w:val="0"/>
      <w:jc w:val="center"/>
    </w:pPr>
    <w:rPr>
      <w:sz w:val="18"/>
      <w:szCs w:val="18"/>
    </w:rPr>
  </w:style>
  <w:style w:type="paragraph" w:styleId="TOC6">
    <w:name w:val="toc 6"/>
    <w:basedOn w:val="a1"/>
    <w:next w:val="a1"/>
    <w:uiPriority w:val="99"/>
    <w:semiHidden/>
    <w:rsid w:val="00FB2F65"/>
    <w:pPr>
      <w:ind w:left="1050"/>
      <w:jc w:val="left"/>
    </w:pPr>
    <w:rPr>
      <w:rFonts w:ascii="Times New Roman" w:hAnsi="Times New Roman" w:cs="Times New Roman"/>
    </w:rPr>
  </w:style>
  <w:style w:type="paragraph" w:styleId="affc">
    <w:name w:val="Subtitle"/>
    <w:basedOn w:val="21"/>
    <w:next w:val="3"/>
    <w:link w:val="affb"/>
    <w:uiPriority w:val="99"/>
    <w:qFormat/>
    <w:rsid w:val="00FB2F65"/>
    <w:pPr>
      <w:tabs>
        <w:tab w:val="clear" w:pos="360"/>
      </w:tabs>
      <w:spacing w:before="240" w:after="60" w:line="312" w:lineRule="auto"/>
      <w:ind w:left="0" w:firstLine="0"/>
      <w:jc w:val="left"/>
    </w:pPr>
    <w:rPr>
      <w:rFonts w:ascii="Cambria" w:eastAsia="宋体" w:hAnsi="Cambria" w:cs="Cambria"/>
      <w:kern w:val="28"/>
      <w:sz w:val="24"/>
      <w:szCs w:val="24"/>
    </w:rPr>
  </w:style>
  <w:style w:type="paragraph" w:styleId="ab">
    <w:name w:val="footnote text"/>
    <w:basedOn w:val="a1"/>
    <w:link w:val="aa"/>
    <w:uiPriority w:val="99"/>
    <w:semiHidden/>
    <w:rsid w:val="00FB2F65"/>
    <w:pPr>
      <w:snapToGrid w:val="0"/>
      <w:jc w:val="left"/>
    </w:pPr>
    <w:rPr>
      <w:rFonts w:ascii="Times New Roman" w:hAnsi="Times New Roman" w:cs="Times New Roman"/>
      <w:sz w:val="18"/>
      <w:szCs w:val="18"/>
    </w:rPr>
  </w:style>
  <w:style w:type="paragraph" w:styleId="TOC2">
    <w:name w:val="toc 2"/>
    <w:basedOn w:val="a1"/>
    <w:next w:val="a1"/>
    <w:uiPriority w:val="99"/>
    <w:semiHidden/>
    <w:rsid w:val="00FB2F65"/>
    <w:pPr>
      <w:tabs>
        <w:tab w:val="left" w:pos="840"/>
        <w:tab w:val="left" w:pos="1050"/>
        <w:tab w:val="left" w:pos="1080"/>
        <w:tab w:val="right" w:leader="dot" w:pos="8296"/>
      </w:tabs>
      <w:spacing w:line="276" w:lineRule="auto"/>
      <w:ind w:left="210"/>
      <w:jc w:val="left"/>
    </w:pPr>
    <w:rPr>
      <w:rFonts w:ascii="Times New Roman" w:hAnsi="Times New Roman" w:cs="Times New Roman"/>
    </w:rPr>
  </w:style>
  <w:style w:type="paragraph" w:styleId="32">
    <w:name w:val="Body Text Indent 3"/>
    <w:basedOn w:val="a1"/>
    <w:link w:val="31"/>
    <w:uiPriority w:val="99"/>
    <w:rsid w:val="00FB2F65"/>
    <w:pPr>
      <w:spacing w:line="400" w:lineRule="atLeast"/>
      <w:ind w:firstLine="600"/>
    </w:pPr>
    <w:rPr>
      <w:rFonts w:ascii="宋体" w:hAnsi="Times New Roman" w:cs="宋体"/>
      <w:sz w:val="28"/>
      <w:szCs w:val="28"/>
    </w:rPr>
  </w:style>
  <w:style w:type="paragraph" w:styleId="13">
    <w:name w:val="index 1"/>
    <w:basedOn w:val="a1"/>
    <w:next w:val="a1"/>
    <w:uiPriority w:val="99"/>
    <w:semiHidden/>
    <w:rsid w:val="00FB2F65"/>
    <w:pPr>
      <w:spacing w:line="360" w:lineRule="auto"/>
      <w:ind w:firstLineChars="200" w:firstLine="422"/>
      <w:outlineLvl w:val="0"/>
    </w:pPr>
    <w:rPr>
      <w:rFonts w:ascii="宋体" w:hAnsi="宋体" w:cs="宋体"/>
      <w:b/>
      <w:bCs/>
      <w:color w:val="000000"/>
      <w:kern w:val="0"/>
    </w:rPr>
  </w:style>
  <w:style w:type="paragraph" w:customStyle="1" w:styleId="CharChar4">
    <w:name w:val="Char Char4"/>
    <w:basedOn w:val="a1"/>
    <w:uiPriority w:val="99"/>
    <w:rsid w:val="00FB2F65"/>
    <w:rPr>
      <w:rFonts w:ascii="Times New Roman" w:hAnsi="Times New Roman" w:cs="Times New Roman"/>
    </w:rPr>
  </w:style>
  <w:style w:type="paragraph" w:styleId="TOC9">
    <w:name w:val="toc 9"/>
    <w:basedOn w:val="a1"/>
    <w:next w:val="a1"/>
    <w:uiPriority w:val="99"/>
    <w:semiHidden/>
    <w:rsid w:val="00FB2F65"/>
    <w:pPr>
      <w:ind w:left="1680"/>
      <w:jc w:val="left"/>
    </w:pPr>
    <w:rPr>
      <w:rFonts w:ascii="Times New Roman" w:hAnsi="Times New Roman" w:cs="Times New Roman"/>
    </w:rPr>
  </w:style>
  <w:style w:type="paragraph" w:customStyle="1" w:styleId="14">
    <w:name w:val="无间隔1"/>
    <w:uiPriority w:val="99"/>
    <w:qFormat/>
    <w:rsid w:val="00FB2F65"/>
    <w:pPr>
      <w:widowControl w:val="0"/>
      <w:jc w:val="both"/>
    </w:pPr>
    <w:rPr>
      <w:rFonts w:ascii="Times New Roman" w:hAnsi="Times New Roman"/>
      <w:kern w:val="2"/>
      <w:sz w:val="21"/>
      <w:szCs w:val="21"/>
    </w:rPr>
  </w:style>
  <w:style w:type="paragraph" w:customStyle="1" w:styleId="Char21">
    <w:name w:val="Char21"/>
    <w:basedOn w:val="a1"/>
    <w:uiPriority w:val="99"/>
    <w:rsid w:val="00FB2F65"/>
    <w:rPr>
      <w:rFonts w:ascii="Times New Roman" w:hAnsi="Times New Roman" w:cs="Times New Roman"/>
    </w:rPr>
  </w:style>
  <w:style w:type="paragraph" w:styleId="afe">
    <w:name w:val="Title"/>
    <w:basedOn w:val="a1"/>
    <w:link w:val="afd"/>
    <w:uiPriority w:val="99"/>
    <w:qFormat/>
    <w:rsid w:val="00FB2F65"/>
    <w:pPr>
      <w:spacing w:before="240" w:after="60" w:line="360" w:lineRule="auto"/>
      <w:ind w:firstLine="425"/>
      <w:jc w:val="center"/>
      <w:outlineLvl w:val="0"/>
    </w:pPr>
    <w:rPr>
      <w:rFonts w:ascii="Arial" w:hAnsi="Arial" w:cs="Arial"/>
      <w:b/>
      <w:bCs/>
      <w:sz w:val="32"/>
      <w:szCs w:val="32"/>
    </w:rPr>
  </w:style>
  <w:style w:type="paragraph" w:styleId="afff5">
    <w:name w:val="Normal (Web)"/>
    <w:basedOn w:val="a1"/>
    <w:uiPriority w:val="99"/>
    <w:rsid w:val="00FB2F65"/>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AOAnxHead">
    <w:name w:val="AOAnxHead"/>
    <w:basedOn w:val="AOAttachments"/>
    <w:next w:val="AOAnxTitle"/>
    <w:uiPriority w:val="99"/>
    <w:rsid w:val="00FB2F65"/>
    <w:pPr>
      <w:pageBreakBefore/>
      <w:numPr>
        <w:numId w:val="6"/>
      </w:numPr>
      <w:outlineLvl w:val="0"/>
    </w:pPr>
  </w:style>
  <w:style w:type="paragraph" w:customStyle="1" w:styleId="16">
    <w:name w:val="1"/>
    <w:basedOn w:val="a1"/>
    <w:uiPriority w:val="99"/>
    <w:rsid w:val="00FB2F65"/>
    <w:pPr>
      <w:tabs>
        <w:tab w:val="left" w:pos="870"/>
      </w:tabs>
      <w:spacing w:before="100" w:beforeAutospacing="1" w:after="100" w:afterAutospacing="1" w:line="360" w:lineRule="auto"/>
      <w:ind w:leftChars="200" w:left="200"/>
    </w:pPr>
    <w:rPr>
      <w:rFonts w:ascii="Times New Roman" w:hAnsi="Times New Roman" w:cs="Times New Roman"/>
    </w:rPr>
  </w:style>
  <w:style w:type="paragraph" w:customStyle="1" w:styleId="AOAppPartHead">
    <w:name w:val="AOAppPartHead"/>
    <w:basedOn w:val="AOAppHead"/>
    <w:next w:val="AOAppPartTitle"/>
    <w:uiPriority w:val="99"/>
    <w:rsid w:val="00FB2F65"/>
    <w:pPr>
      <w:pageBreakBefore w:val="0"/>
      <w:numPr>
        <w:ilvl w:val="1"/>
      </w:numPr>
      <w:tabs>
        <w:tab w:val="left" w:pos="840"/>
      </w:tabs>
      <w:ind w:left="840" w:hanging="420"/>
    </w:pPr>
  </w:style>
  <w:style w:type="paragraph" w:customStyle="1" w:styleId="AOAppTitle">
    <w:name w:val="AOAppTitle"/>
    <w:basedOn w:val="AOAttachments"/>
    <w:next w:val="AODocTxt"/>
    <w:uiPriority w:val="99"/>
    <w:rsid w:val="00FB2F65"/>
    <w:pPr>
      <w:outlineLvl w:val="1"/>
    </w:pPr>
    <w:rPr>
      <w:b/>
      <w:bCs/>
    </w:rPr>
  </w:style>
  <w:style w:type="paragraph" w:customStyle="1" w:styleId="AOAppHead">
    <w:name w:val="AOAppHead"/>
    <w:basedOn w:val="AOAttachments"/>
    <w:next w:val="AOAppTitle"/>
    <w:uiPriority w:val="99"/>
    <w:rsid w:val="00FB2F65"/>
    <w:pPr>
      <w:pageBreakBefore/>
      <w:numPr>
        <w:numId w:val="7"/>
      </w:numPr>
      <w:outlineLvl w:val="0"/>
    </w:pPr>
  </w:style>
  <w:style w:type="paragraph" w:customStyle="1" w:styleId="AOAnxPartHead">
    <w:name w:val="AOAnxPartHead"/>
    <w:basedOn w:val="AOAnxHead"/>
    <w:next w:val="AOAnxPartTitle"/>
    <w:uiPriority w:val="99"/>
    <w:rsid w:val="00FB2F65"/>
    <w:pPr>
      <w:pageBreakBefore w:val="0"/>
      <w:numPr>
        <w:ilvl w:val="1"/>
      </w:numPr>
      <w:tabs>
        <w:tab w:val="left" w:pos="1440"/>
      </w:tabs>
      <w:ind w:left="1440" w:hanging="360"/>
    </w:pPr>
  </w:style>
  <w:style w:type="paragraph" w:customStyle="1" w:styleId="afff6">
    <w:name w:val="正文正文"/>
    <w:basedOn w:val="a1"/>
    <w:uiPriority w:val="99"/>
    <w:rsid w:val="00FB2F65"/>
    <w:pPr>
      <w:spacing w:afterLines="25" w:line="360" w:lineRule="auto"/>
      <w:ind w:firstLineChars="200" w:firstLine="200"/>
    </w:pPr>
    <w:rPr>
      <w:rFonts w:ascii="Times New Roman" w:hAnsi="Times New Roman" w:cs="Times New Roman"/>
      <w:sz w:val="24"/>
      <w:szCs w:val="24"/>
    </w:rPr>
  </w:style>
  <w:style w:type="paragraph" w:customStyle="1" w:styleId="AODocTxtL1">
    <w:name w:val="AODocTxtL1"/>
    <w:basedOn w:val="AODocTxt"/>
    <w:uiPriority w:val="99"/>
    <w:rsid w:val="00FB2F65"/>
    <w:pPr>
      <w:numPr>
        <w:ilvl w:val="1"/>
      </w:numPr>
      <w:tabs>
        <w:tab w:val="left" w:pos="780"/>
      </w:tabs>
      <w:ind w:left="0" w:firstLine="420"/>
    </w:pPr>
  </w:style>
  <w:style w:type="paragraph" w:customStyle="1" w:styleId="AOSchHead">
    <w:name w:val="AOSchHead"/>
    <w:basedOn w:val="AOAttachments"/>
    <w:next w:val="AOSchTitle"/>
    <w:uiPriority w:val="99"/>
    <w:rsid w:val="00FB2F65"/>
    <w:pPr>
      <w:pageBreakBefore/>
      <w:numPr>
        <w:numId w:val="8"/>
      </w:numPr>
      <w:outlineLvl w:val="0"/>
    </w:pPr>
  </w:style>
  <w:style w:type="paragraph" w:customStyle="1" w:styleId="afff7">
    <w:name w:val="第三级标题"/>
    <w:basedOn w:val="afff6"/>
    <w:next w:val="afff6"/>
    <w:uiPriority w:val="99"/>
    <w:rsid w:val="00FB2F65"/>
    <w:pPr>
      <w:keepNext/>
      <w:outlineLvl w:val="2"/>
    </w:pPr>
    <w:rPr>
      <w:b/>
      <w:bCs/>
    </w:rPr>
  </w:style>
  <w:style w:type="paragraph" w:customStyle="1" w:styleId="AOTOC1">
    <w:name w:val="AOTOC1"/>
    <w:basedOn w:val="AOTOCs"/>
    <w:uiPriority w:val="99"/>
    <w:rsid w:val="00FB2F65"/>
    <w:pPr>
      <w:tabs>
        <w:tab w:val="left" w:pos="720"/>
        <w:tab w:val="right" w:leader="dot" w:pos="9027"/>
      </w:tabs>
    </w:pPr>
    <w:rPr>
      <w:b/>
      <w:bCs/>
      <w:caps/>
    </w:rPr>
  </w:style>
  <w:style w:type="paragraph" w:customStyle="1" w:styleId="AOBPTxtR">
    <w:name w:val="AOBPTxtR"/>
    <w:basedOn w:val="AOBPTxtL"/>
    <w:uiPriority w:val="99"/>
    <w:rsid w:val="00FB2F65"/>
    <w:pPr>
      <w:jc w:val="right"/>
    </w:pPr>
  </w:style>
  <w:style w:type="paragraph" w:customStyle="1" w:styleId="AOBPTxtC">
    <w:name w:val="AOBPTxtC"/>
    <w:basedOn w:val="AOBPTxtL"/>
    <w:uiPriority w:val="99"/>
    <w:rsid w:val="00FB2F65"/>
    <w:pPr>
      <w:jc w:val="center"/>
    </w:pPr>
  </w:style>
  <w:style w:type="paragraph" w:customStyle="1" w:styleId="AOBPTitle">
    <w:name w:val="AOBPTitle"/>
    <w:basedOn w:val="AOBPTxtL"/>
    <w:uiPriority w:val="99"/>
    <w:rsid w:val="00FB2F65"/>
    <w:rPr>
      <w:b/>
      <w:bCs/>
      <w:caps/>
    </w:rPr>
  </w:style>
  <w:style w:type="paragraph" w:customStyle="1" w:styleId="AOAnxPartTitle">
    <w:name w:val="AOAnxPartTitle"/>
    <w:basedOn w:val="AOAnxTitle"/>
    <w:next w:val="AODocTxt"/>
    <w:uiPriority w:val="99"/>
    <w:rsid w:val="00FB2F65"/>
  </w:style>
  <w:style w:type="paragraph" w:customStyle="1" w:styleId="font523908">
    <w:name w:val="font523908"/>
    <w:basedOn w:val="a1"/>
    <w:uiPriority w:val="99"/>
    <w:rsid w:val="00FB2F65"/>
    <w:pPr>
      <w:widowControl/>
      <w:spacing w:before="100" w:after="100"/>
      <w:jc w:val="left"/>
    </w:pPr>
    <w:rPr>
      <w:rFonts w:ascii="宋体" w:hAnsi="宋体" w:cs="宋体"/>
      <w:kern w:val="0"/>
      <w:sz w:val="18"/>
      <w:szCs w:val="18"/>
    </w:rPr>
  </w:style>
  <w:style w:type="paragraph" w:customStyle="1" w:styleId="AODefPara">
    <w:name w:val="AODefPara"/>
    <w:basedOn w:val="AODefHead"/>
    <w:uiPriority w:val="99"/>
    <w:rsid w:val="00FB2F65"/>
    <w:pPr>
      <w:numPr>
        <w:ilvl w:val="1"/>
      </w:numPr>
      <w:tabs>
        <w:tab w:val="left" w:pos="870"/>
        <w:tab w:val="left" w:pos="992"/>
      </w:tabs>
      <w:ind w:left="992" w:hanging="992"/>
      <w:outlineLvl w:val="6"/>
    </w:pPr>
  </w:style>
  <w:style w:type="paragraph" w:customStyle="1" w:styleId="unnamed1">
    <w:name w:val="unnamed1"/>
    <w:basedOn w:val="a1"/>
    <w:uiPriority w:val="99"/>
    <w:rsid w:val="00FB2F65"/>
    <w:pPr>
      <w:widowControl/>
      <w:spacing w:before="60" w:after="60"/>
      <w:ind w:left="15" w:right="15"/>
      <w:jc w:val="left"/>
    </w:pPr>
    <w:rPr>
      <w:rFonts w:ascii="宋体" w:hAnsi="宋体" w:cs="宋体"/>
      <w:color w:val="000000"/>
      <w:kern w:val="0"/>
      <w:sz w:val="18"/>
      <w:szCs w:val="18"/>
    </w:rPr>
  </w:style>
  <w:style w:type="paragraph" w:customStyle="1" w:styleId="font623908">
    <w:name w:val="font623908"/>
    <w:basedOn w:val="a1"/>
    <w:uiPriority w:val="99"/>
    <w:rsid w:val="00FB2F65"/>
    <w:pPr>
      <w:widowControl/>
      <w:spacing w:before="100" w:after="100"/>
      <w:jc w:val="left"/>
    </w:pPr>
    <w:rPr>
      <w:rFonts w:ascii="楷体_GB2312" w:eastAsia="楷体_GB2312" w:hAnsi="宋体" w:cs="楷体_GB2312"/>
      <w:color w:val="FF0000"/>
      <w:kern w:val="0"/>
      <w:sz w:val="24"/>
      <w:szCs w:val="24"/>
    </w:rPr>
  </w:style>
  <w:style w:type="paragraph" w:customStyle="1" w:styleId="2211">
    <w:name w:val="样式 标题 2 + 首行缩进:  2 字符 段前: 1 行 段后: 1 行"/>
    <w:basedOn w:val="21"/>
    <w:uiPriority w:val="99"/>
    <w:rsid w:val="00FB2F65"/>
    <w:pPr>
      <w:tabs>
        <w:tab w:val="left" w:pos="1276"/>
      </w:tabs>
      <w:spacing w:before="100" w:after="100" w:line="240" w:lineRule="auto"/>
      <w:ind w:left="851"/>
    </w:pPr>
    <w:rPr>
      <w:rFonts w:eastAsia="宋体"/>
      <w:sz w:val="28"/>
      <w:szCs w:val="28"/>
    </w:rPr>
  </w:style>
  <w:style w:type="paragraph" w:customStyle="1" w:styleId="17">
    <w:name w:val="列表1"/>
    <w:basedOn w:val="a1"/>
    <w:next w:val="a1"/>
    <w:uiPriority w:val="99"/>
    <w:rsid w:val="00FB2F65"/>
    <w:pPr>
      <w:tabs>
        <w:tab w:val="left" w:pos="644"/>
      </w:tabs>
      <w:spacing w:line="360" w:lineRule="auto"/>
      <w:ind w:left="567" w:hanging="283"/>
    </w:pPr>
    <w:rPr>
      <w:rFonts w:ascii="Times New Roman" w:hAnsi="Times New Roman" w:cs="Times New Roman"/>
    </w:rPr>
  </w:style>
  <w:style w:type="paragraph" w:customStyle="1" w:styleId="xl2723908">
    <w:name w:val="xl2723908"/>
    <w:basedOn w:val="a1"/>
    <w:uiPriority w:val="99"/>
    <w:rsid w:val="00FB2F65"/>
    <w:pPr>
      <w:widowControl/>
      <w:spacing w:before="100" w:after="100"/>
      <w:jc w:val="left"/>
    </w:pPr>
    <w:rPr>
      <w:rFonts w:ascii="楷体_GB2312" w:eastAsia="楷体_GB2312" w:hAnsi="宋体" w:cs="楷体_GB2312"/>
      <w:kern w:val="0"/>
      <w:sz w:val="24"/>
      <w:szCs w:val="24"/>
    </w:rPr>
  </w:style>
  <w:style w:type="paragraph" w:customStyle="1" w:styleId="xl2423908">
    <w:name w:val="xl2423908"/>
    <w:basedOn w:val="a1"/>
    <w:uiPriority w:val="99"/>
    <w:rsid w:val="00FB2F65"/>
    <w:pPr>
      <w:widowControl/>
      <w:spacing w:before="100" w:after="100"/>
      <w:jc w:val="left"/>
    </w:pPr>
    <w:rPr>
      <w:rFonts w:ascii="宋体" w:hAnsi="宋体" w:cs="宋体"/>
      <w:kern w:val="0"/>
      <w:sz w:val="24"/>
      <w:szCs w:val="24"/>
    </w:rPr>
  </w:style>
  <w:style w:type="paragraph" w:customStyle="1" w:styleId="xl2223908">
    <w:name w:val="xl2223908"/>
    <w:basedOn w:val="a1"/>
    <w:uiPriority w:val="99"/>
    <w:rsid w:val="00FB2F65"/>
    <w:pPr>
      <w:widowControl/>
      <w:spacing w:before="100" w:after="100"/>
      <w:jc w:val="center"/>
    </w:pPr>
    <w:rPr>
      <w:rFonts w:ascii="宋体" w:hAnsi="宋体" w:cs="宋体"/>
      <w:kern w:val="0"/>
      <w:sz w:val="24"/>
      <w:szCs w:val="24"/>
    </w:rPr>
  </w:style>
  <w:style w:type="paragraph" w:customStyle="1" w:styleId="xl2823908">
    <w:name w:val="xl2823908"/>
    <w:basedOn w:val="a1"/>
    <w:uiPriority w:val="99"/>
    <w:rsid w:val="00FB2F6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楷体_GB2312"/>
      <w:kern w:val="0"/>
      <w:sz w:val="24"/>
      <w:szCs w:val="24"/>
    </w:rPr>
  </w:style>
  <w:style w:type="paragraph" w:customStyle="1" w:styleId="AOBullet">
    <w:name w:val="AOBullet"/>
    <w:basedOn w:val="AOBodyTxt"/>
    <w:uiPriority w:val="99"/>
    <w:rsid w:val="00FB2F65"/>
    <w:pPr>
      <w:numPr>
        <w:numId w:val="9"/>
      </w:numPr>
      <w:tabs>
        <w:tab w:val="clear" w:pos="720"/>
      </w:tabs>
    </w:pPr>
  </w:style>
  <w:style w:type="paragraph" w:customStyle="1" w:styleId="35">
    <w:name w:val="列表3"/>
    <w:basedOn w:val="a1"/>
    <w:uiPriority w:val="99"/>
    <w:rsid w:val="00FB2F65"/>
    <w:pPr>
      <w:spacing w:line="360" w:lineRule="auto"/>
    </w:pPr>
    <w:rPr>
      <w:rFonts w:ascii="宋体" w:hAnsi="Times New Roman" w:cs="宋体"/>
    </w:rPr>
  </w:style>
  <w:style w:type="paragraph" w:customStyle="1" w:styleId="AOSchPartTitle">
    <w:name w:val="AOSchPartTitle"/>
    <w:basedOn w:val="AOSchTitle"/>
    <w:next w:val="AODocTxt"/>
    <w:uiPriority w:val="99"/>
    <w:rsid w:val="00FB2F65"/>
  </w:style>
  <w:style w:type="paragraph" w:customStyle="1" w:styleId="150">
    <w:name w:val="样式 宋体 四号 行距: 1.5 倍行距"/>
    <w:basedOn w:val="a1"/>
    <w:uiPriority w:val="99"/>
    <w:rsid w:val="00FB2F65"/>
    <w:pPr>
      <w:spacing w:line="360" w:lineRule="auto"/>
    </w:pPr>
    <w:rPr>
      <w:rFonts w:ascii="宋体" w:hAnsi="宋体" w:cs="宋体"/>
      <w:sz w:val="24"/>
      <w:szCs w:val="24"/>
    </w:rPr>
  </w:style>
  <w:style w:type="paragraph" w:customStyle="1" w:styleId="Default">
    <w:name w:val="Default"/>
    <w:uiPriority w:val="99"/>
    <w:rsid w:val="00FB2F65"/>
    <w:pPr>
      <w:widowControl w:val="0"/>
      <w:autoSpaceDE w:val="0"/>
      <w:autoSpaceDN w:val="0"/>
      <w:adjustRightInd w:val="0"/>
    </w:pPr>
    <w:rPr>
      <w:rFonts w:ascii="宋体" w:hAnsi="Times New Roman" w:cs="宋体"/>
      <w:color w:val="000000"/>
      <w:sz w:val="24"/>
      <w:szCs w:val="24"/>
    </w:rPr>
  </w:style>
  <w:style w:type="paragraph" w:customStyle="1" w:styleId="AODocTxtL6">
    <w:name w:val="AODocTxtL6"/>
    <w:basedOn w:val="AODocTxt"/>
    <w:uiPriority w:val="99"/>
    <w:rsid w:val="00FB2F65"/>
    <w:pPr>
      <w:numPr>
        <w:ilvl w:val="6"/>
      </w:numPr>
      <w:tabs>
        <w:tab w:val="left" w:pos="5040"/>
      </w:tabs>
      <w:ind w:left="5040" w:hanging="360"/>
    </w:pPr>
  </w:style>
  <w:style w:type="paragraph" w:customStyle="1" w:styleId="CharCharCharChar">
    <w:name w:val="Char Char Char Char"/>
    <w:basedOn w:val="a1"/>
    <w:uiPriority w:val="99"/>
    <w:rsid w:val="00FB2F65"/>
    <w:pPr>
      <w:tabs>
        <w:tab w:val="left" w:pos="360"/>
      </w:tabs>
    </w:pPr>
    <w:rPr>
      <w:rFonts w:ascii="Times New Roman" w:hAnsi="Times New Roman" w:cs="Times New Roman"/>
      <w:sz w:val="24"/>
      <w:szCs w:val="24"/>
    </w:rPr>
  </w:style>
  <w:style w:type="paragraph" w:customStyle="1" w:styleId="AODocTxt">
    <w:name w:val="AODocTxt"/>
    <w:basedOn w:val="AOBodyTxt"/>
    <w:uiPriority w:val="99"/>
    <w:rsid w:val="00FB2F65"/>
    <w:pPr>
      <w:numPr>
        <w:numId w:val="10"/>
      </w:numPr>
    </w:pPr>
  </w:style>
  <w:style w:type="paragraph" w:customStyle="1" w:styleId="AOSchTitle">
    <w:name w:val="AOSchTitle"/>
    <w:basedOn w:val="AOAttachments"/>
    <w:next w:val="AODocTxt"/>
    <w:uiPriority w:val="99"/>
    <w:rsid w:val="00FB2F65"/>
    <w:pPr>
      <w:outlineLvl w:val="1"/>
    </w:pPr>
    <w:rPr>
      <w:b/>
      <w:bCs/>
    </w:rPr>
  </w:style>
  <w:style w:type="paragraph" w:customStyle="1" w:styleId="AOBodyTxt">
    <w:name w:val="AOBodyTxt"/>
    <w:basedOn w:val="AONormal"/>
    <w:next w:val="AODocTxt"/>
    <w:uiPriority w:val="99"/>
    <w:rsid w:val="00FB2F65"/>
    <w:pPr>
      <w:spacing w:before="240"/>
    </w:pPr>
  </w:style>
  <w:style w:type="paragraph" w:customStyle="1" w:styleId="AODefHead">
    <w:name w:val="AODefHead"/>
    <w:basedOn w:val="AOBodyTxt"/>
    <w:next w:val="AODefPara"/>
    <w:uiPriority w:val="99"/>
    <w:rsid w:val="00FB2F65"/>
    <w:pPr>
      <w:numPr>
        <w:numId w:val="11"/>
      </w:numPr>
      <w:outlineLvl w:val="5"/>
    </w:pPr>
  </w:style>
  <w:style w:type="paragraph" w:customStyle="1" w:styleId="AO1">
    <w:name w:val="AO(1)"/>
    <w:basedOn w:val="AOBodyTxt"/>
    <w:next w:val="AODocTxt"/>
    <w:uiPriority w:val="99"/>
    <w:rsid w:val="00FB2F65"/>
    <w:pPr>
      <w:numPr>
        <w:numId w:val="12"/>
      </w:numPr>
      <w:tabs>
        <w:tab w:val="clear" w:pos="720"/>
      </w:tabs>
    </w:pPr>
  </w:style>
  <w:style w:type="paragraph" w:customStyle="1" w:styleId="AOA">
    <w:name w:val="AO(A)"/>
    <w:basedOn w:val="AOBodyTxt"/>
    <w:next w:val="AODocTxt"/>
    <w:uiPriority w:val="99"/>
    <w:rsid w:val="00FB2F65"/>
    <w:pPr>
      <w:numPr>
        <w:numId w:val="13"/>
      </w:numPr>
      <w:tabs>
        <w:tab w:val="clear" w:pos="720"/>
      </w:tabs>
    </w:pPr>
  </w:style>
  <w:style w:type="paragraph" w:customStyle="1" w:styleId="AOAttachments">
    <w:name w:val="AOAttachments"/>
    <w:basedOn w:val="AOBodyTxt"/>
    <w:next w:val="AODocTxt"/>
    <w:uiPriority w:val="99"/>
    <w:rsid w:val="00FB2F65"/>
    <w:pPr>
      <w:jc w:val="center"/>
    </w:pPr>
    <w:rPr>
      <w:caps/>
    </w:rPr>
  </w:style>
  <w:style w:type="paragraph" w:customStyle="1" w:styleId="AODocTxtL3">
    <w:name w:val="AODocTxtL3"/>
    <w:basedOn w:val="AODocTxt"/>
    <w:uiPriority w:val="99"/>
    <w:rsid w:val="00FB2F65"/>
    <w:pPr>
      <w:numPr>
        <w:ilvl w:val="3"/>
      </w:numPr>
      <w:tabs>
        <w:tab w:val="left" w:pos="2880"/>
      </w:tabs>
      <w:ind w:left="2880" w:hanging="360"/>
    </w:pPr>
  </w:style>
  <w:style w:type="paragraph" w:customStyle="1" w:styleId="AOAnxTitle">
    <w:name w:val="AOAnxTitle"/>
    <w:basedOn w:val="AOAttachments"/>
    <w:next w:val="AODocTxt"/>
    <w:uiPriority w:val="99"/>
    <w:rsid w:val="00FB2F65"/>
    <w:pPr>
      <w:outlineLvl w:val="1"/>
    </w:pPr>
    <w:rPr>
      <w:b/>
      <w:bCs/>
    </w:rPr>
  </w:style>
  <w:style w:type="paragraph" w:customStyle="1" w:styleId="AOSchPartHead">
    <w:name w:val="AOSchPartHead"/>
    <w:basedOn w:val="AOSchHead"/>
    <w:next w:val="AOSchPartTitle"/>
    <w:uiPriority w:val="99"/>
    <w:rsid w:val="00FB2F65"/>
    <w:pPr>
      <w:pageBreakBefore w:val="0"/>
      <w:numPr>
        <w:ilvl w:val="1"/>
      </w:numPr>
      <w:tabs>
        <w:tab w:val="left" w:pos="780"/>
      </w:tabs>
      <w:ind w:firstLine="420"/>
    </w:pPr>
  </w:style>
  <w:style w:type="paragraph" w:customStyle="1" w:styleId="AODocTxtL4">
    <w:name w:val="AODocTxtL4"/>
    <w:basedOn w:val="AODocTxt"/>
    <w:uiPriority w:val="99"/>
    <w:rsid w:val="00FB2F65"/>
    <w:pPr>
      <w:numPr>
        <w:ilvl w:val="4"/>
      </w:numPr>
      <w:tabs>
        <w:tab w:val="left" w:pos="3600"/>
      </w:tabs>
      <w:ind w:left="3600" w:hanging="360"/>
    </w:pPr>
  </w:style>
  <w:style w:type="paragraph" w:customStyle="1" w:styleId="AODocTxtL5">
    <w:name w:val="AODocTxtL5"/>
    <w:basedOn w:val="AODocTxt"/>
    <w:uiPriority w:val="99"/>
    <w:rsid w:val="00FB2F65"/>
    <w:pPr>
      <w:numPr>
        <w:ilvl w:val="5"/>
      </w:numPr>
      <w:tabs>
        <w:tab w:val="left" w:pos="4320"/>
      </w:tabs>
      <w:ind w:left="4320" w:hanging="360"/>
    </w:pPr>
  </w:style>
  <w:style w:type="paragraph" w:customStyle="1" w:styleId="CharCharChar">
    <w:name w:val="Char Char Char"/>
    <w:basedOn w:val="a1"/>
    <w:uiPriority w:val="99"/>
    <w:rsid w:val="00FB2F65"/>
    <w:rPr>
      <w:rFonts w:ascii="Times New Roman" w:hAnsi="Times New Roman" w:cs="Times New Roman"/>
    </w:rPr>
  </w:style>
  <w:style w:type="paragraph" w:customStyle="1" w:styleId="afff8">
    <w:name w:val="中文文本"/>
    <w:basedOn w:val="a1"/>
    <w:uiPriority w:val="99"/>
    <w:rsid w:val="00FB2F65"/>
    <w:pPr>
      <w:adjustRightInd w:val="0"/>
      <w:spacing w:before="120" w:after="120" w:line="312" w:lineRule="atLeast"/>
      <w:textAlignment w:val="baseline"/>
    </w:pPr>
    <w:rPr>
      <w:rFonts w:ascii="Times New Roman" w:hAnsi="Times New Roman" w:cs="Times New Roman"/>
      <w:kern w:val="0"/>
      <w:sz w:val="24"/>
      <w:szCs w:val="24"/>
    </w:rPr>
  </w:style>
  <w:style w:type="paragraph" w:customStyle="1" w:styleId="AOGenNum1Para">
    <w:name w:val="AOGenNum1Para"/>
    <w:basedOn w:val="AOGenNum1"/>
    <w:next w:val="AOGenNum1List"/>
    <w:uiPriority w:val="99"/>
    <w:rsid w:val="00FB2F65"/>
    <w:pPr>
      <w:numPr>
        <w:ilvl w:val="1"/>
      </w:numPr>
      <w:tabs>
        <w:tab w:val="left" w:pos="1588"/>
      </w:tabs>
      <w:ind w:left="1588" w:hanging="737"/>
    </w:pPr>
    <w:rPr>
      <w:caps w:val="0"/>
    </w:rPr>
  </w:style>
  <w:style w:type="paragraph" w:customStyle="1" w:styleId="AODocTxtL7">
    <w:name w:val="AODocTxtL7"/>
    <w:basedOn w:val="AODocTxt"/>
    <w:uiPriority w:val="99"/>
    <w:rsid w:val="00FB2F65"/>
    <w:pPr>
      <w:numPr>
        <w:ilvl w:val="7"/>
      </w:numPr>
      <w:tabs>
        <w:tab w:val="left" w:pos="5760"/>
      </w:tabs>
      <w:ind w:left="5760" w:hanging="360"/>
    </w:pPr>
  </w:style>
  <w:style w:type="paragraph" w:customStyle="1" w:styleId="AODocTxtL8">
    <w:name w:val="AODocTxtL8"/>
    <w:basedOn w:val="AODocTxt"/>
    <w:uiPriority w:val="99"/>
    <w:rsid w:val="00FB2F65"/>
    <w:pPr>
      <w:numPr>
        <w:ilvl w:val="8"/>
      </w:numPr>
      <w:tabs>
        <w:tab w:val="left" w:pos="6480"/>
      </w:tabs>
      <w:ind w:left="6480" w:hanging="360"/>
    </w:pPr>
  </w:style>
  <w:style w:type="paragraph" w:customStyle="1" w:styleId="CharCharCharCharCharCharChar">
    <w:name w:val="Char Char Char Char Char Char Char"/>
    <w:basedOn w:val="a1"/>
    <w:uiPriority w:val="99"/>
    <w:rsid w:val="00FB2F65"/>
    <w:pPr>
      <w:tabs>
        <w:tab w:val="left" w:pos="360"/>
      </w:tabs>
    </w:pPr>
    <w:rPr>
      <w:rFonts w:ascii="Times New Roman" w:hAnsi="Times New Roman" w:cs="Times New Roman"/>
    </w:rPr>
  </w:style>
  <w:style w:type="paragraph" w:customStyle="1" w:styleId="p0">
    <w:name w:val="p0"/>
    <w:basedOn w:val="a1"/>
    <w:uiPriority w:val="99"/>
    <w:rsid w:val="00FB2F65"/>
    <w:pPr>
      <w:widowControl/>
      <w:spacing w:before="100" w:beforeAutospacing="1" w:after="100" w:afterAutospacing="1"/>
      <w:jc w:val="left"/>
    </w:pPr>
    <w:rPr>
      <w:rFonts w:ascii="宋体" w:hAnsi="宋体" w:cs="宋体"/>
      <w:kern w:val="0"/>
      <w:sz w:val="24"/>
      <w:szCs w:val="24"/>
    </w:rPr>
  </w:style>
  <w:style w:type="paragraph" w:customStyle="1" w:styleId="AOHeading1">
    <w:name w:val="AOHeading1"/>
    <w:basedOn w:val="AOHeadings"/>
    <w:next w:val="AODocTxt"/>
    <w:uiPriority w:val="99"/>
    <w:rsid w:val="00FB2F65"/>
    <w:pPr>
      <w:keepNext/>
      <w:outlineLvl w:val="0"/>
    </w:pPr>
    <w:rPr>
      <w:b/>
      <w:bCs/>
      <w:caps/>
      <w:kern w:val="28"/>
    </w:rPr>
  </w:style>
  <w:style w:type="paragraph" w:customStyle="1" w:styleId="AOGenNum1">
    <w:name w:val="AOGenNum1"/>
    <w:basedOn w:val="AOBodyTxt"/>
    <w:next w:val="AOGenNum1Para"/>
    <w:uiPriority w:val="99"/>
    <w:rsid w:val="00FB2F65"/>
    <w:pPr>
      <w:keepNext/>
      <w:numPr>
        <w:numId w:val="14"/>
      </w:numPr>
      <w:tabs>
        <w:tab w:val="left" w:pos="720"/>
      </w:tabs>
    </w:pPr>
    <w:rPr>
      <w:b/>
      <w:bCs/>
      <w:caps/>
    </w:rPr>
  </w:style>
  <w:style w:type="paragraph" w:customStyle="1" w:styleId="ParaCharCharCharCharCharCharChar">
    <w:name w:val="默认段落字体 Para Char Char Char Char Char Char Char"/>
    <w:basedOn w:val="a1"/>
    <w:uiPriority w:val="99"/>
    <w:rsid w:val="00FB2F65"/>
    <w:pPr>
      <w:widowControl/>
      <w:jc w:val="left"/>
    </w:pPr>
    <w:rPr>
      <w:rFonts w:ascii="Tahoma" w:hAnsi="Tahoma" w:cs="Tahoma"/>
      <w:color w:val="000000"/>
      <w:kern w:val="0"/>
      <w:sz w:val="24"/>
      <w:szCs w:val="24"/>
    </w:rPr>
  </w:style>
  <w:style w:type="paragraph" w:customStyle="1" w:styleId="c">
    <w:name w:val="c_"/>
    <w:uiPriority w:val="99"/>
    <w:rsid w:val="00FB2F65"/>
    <w:pPr>
      <w:widowControl w:val="0"/>
      <w:autoSpaceDE w:val="0"/>
      <w:autoSpaceDN w:val="0"/>
      <w:adjustRightInd w:val="0"/>
      <w:jc w:val="both"/>
    </w:pPr>
    <w:rPr>
      <w:rFonts w:ascii="五" w:eastAsia="五" w:hAnsi="Times New Roman" w:cs="五"/>
      <w:sz w:val="24"/>
      <w:szCs w:val="24"/>
    </w:rPr>
  </w:style>
  <w:style w:type="paragraph" w:customStyle="1" w:styleId="AOGenNum1List">
    <w:name w:val="AOGenNum1List"/>
    <w:basedOn w:val="AOGenNum1"/>
    <w:uiPriority w:val="99"/>
    <w:rsid w:val="00FB2F65"/>
    <w:pPr>
      <w:keepNext w:val="0"/>
      <w:numPr>
        <w:ilvl w:val="2"/>
      </w:numPr>
      <w:tabs>
        <w:tab w:val="left" w:pos="851"/>
      </w:tabs>
      <w:ind w:left="851" w:hanging="431"/>
    </w:pPr>
    <w:rPr>
      <w:b w:val="0"/>
      <w:bCs w:val="0"/>
      <w:caps w:val="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uiPriority w:val="99"/>
    <w:rsid w:val="00FB2F65"/>
    <w:pPr>
      <w:tabs>
        <w:tab w:val="left" w:pos="840"/>
      </w:tabs>
      <w:ind w:left="840" w:hanging="360"/>
    </w:pPr>
    <w:rPr>
      <w:rFonts w:ascii="Times New Roman" w:hAnsi="Times New Roman" w:cs="Times New Roman"/>
    </w:rPr>
  </w:style>
  <w:style w:type="paragraph" w:customStyle="1" w:styleId="AOGenNum2">
    <w:name w:val="AOGenNum2"/>
    <w:basedOn w:val="AOBodyTxt"/>
    <w:next w:val="AOGenNum2Para"/>
    <w:uiPriority w:val="99"/>
    <w:rsid w:val="00FB2F65"/>
    <w:pPr>
      <w:keepNext/>
      <w:numPr>
        <w:numId w:val="15"/>
      </w:numPr>
      <w:tabs>
        <w:tab w:val="left" w:pos="720"/>
      </w:tabs>
    </w:pPr>
    <w:rPr>
      <w:b/>
      <w:bCs/>
    </w:rPr>
  </w:style>
  <w:style w:type="paragraph" w:customStyle="1" w:styleId="AONormalBold">
    <w:name w:val="AONormalBold"/>
    <w:basedOn w:val="AONormal"/>
    <w:uiPriority w:val="99"/>
    <w:rsid w:val="00FB2F65"/>
    <w:rPr>
      <w:b/>
      <w:bCs/>
    </w:rPr>
  </w:style>
  <w:style w:type="paragraph" w:customStyle="1" w:styleId="AOGenNum2Para">
    <w:name w:val="AOGenNum2Para"/>
    <w:basedOn w:val="AOGenNum2"/>
    <w:next w:val="AOGenNum2List"/>
    <w:uiPriority w:val="99"/>
    <w:rsid w:val="00FB2F65"/>
    <w:pPr>
      <w:keepNext w:val="0"/>
      <w:numPr>
        <w:ilvl w:val="1"/>
      </w:numPr>
      <w:tabs>
        <w:tab w:val="left" w:pos="1588"/>
      </w:tabs>
      <w:ind w:left="1588" w:hanging="737"/>
    </w:pPr>
    <w:rPr>
      <w:b w:val="0"/>
      <w:bCs w:val="0"/>
    </w:rPr>
  </w:style>
  <w:style w:type="paragraph" w:customStyle="1" w:styleId="CharCharCharCharCharCharChar1">
    <w:name w:val="Char Char Char Char Char Char Char1"/>
    <w:basedOn w:val="a1"/>
    <w:uiPriority w:val="99"/>
    <w:rsid w:val="00FB2F65"/>
    <w:rPr>
      <w:rFonts w:ascii="Times New Roman" w:hAnsi="Times New Roman" w:cs="Times New Roman"/>
    </w:rPr>
  </w:style>
  <w:style w:type="paragraph" w:customStyle="1" w:styleId="AOGenNum2List">
    <w:name w:val="AOGenNum2List"/>
    <w:basedOn w:val="AOGenNum2"/>
    <w:uiPriority w:val="99"/>
    <w:rsid w:val="00FB2F65"/>
    <w:pPr>
      <w:keepNext w:val="0"/>
      <w:numPr>
        <w:ilvl w:val="2"/>
      </w:numPr>
      <w:tabs>
        <w:tab w:val="left" w:pos="1021"/>
      </w:tabs>
      <w:ind w:left="1021" w:hanging="601"/>
    </w:pPr>
    <w:rPr>
      <w:b w:val="0"/>
      <w:bCs w:val="0"/>
    </w:rPr>
  </w:style>
  <w:style w:type="paragraph" w:customStyle="1" w:styleId="AOAltHead6">
    <w:name w:val="AOAltHead6"/>
    <w:basedOn w:val="AOHead6"/>
    <w:next w:val="AODocTxtL4"/>
    <w:uiPriority w:val="99"/>
    <w:rsid w:val="00FB2F65"/>
    <w:pPr>
      <w:tabs>
        <w:tab w:val="clear" w:pos="3600"/>
      </w:tabs>
      <w:ind w:left="2880"/>
    </w:pPr>
  </w:style>
  <w:style w:type="paragraph" w:customStyle="1" w:styleId="AOGenNum3">
    <w:name w:val="AOGenNum3"/>
    <w:basedOn w:val="AOBodyTxt"/>
    <w:next w:val="AOGenNum3List"/>
    <w:uiPriority w:val="99"/>
    <w:rsid w:val="00FB2F65"/>
    <w:pPr>
      <w:numPr>
        <w:numId w:val="16"/>
      </w:numPr>
      <w:tabs>
        <w:tab w:val="left" w:pos="720"/>
      </w:tabs>
    </w:pPr>
  </w:style>
  <w:style w:type="paragraph" w:customStyle="1" w:styleId="AONormal6C">
    <w:name w:val="AONormal6C"/>
    <w:basedOn w:val="AONormal6L"/>
    <w:uiPriority w:val="99"/>
    <w:rsid w:val="00FB2F65"/>
    <w:pPr>
      <w:jc w:val="center"/>
    </w:pPr>
  </w:style>
  <w:style w:type="paragraph" w:customStyle="1" w:styleId="AOGenNum3List">
    <w:name w:val="AOGenNum3List"/>
    <w:basedOn w:val="AOGenNum3"/>
    <w:uiPriority w:val="99"/>
    <w:rsid w:val="00FB2F65"/>
    <w:pPr>
      <w:numPr>
        <w:ilvl w:val="1"/>
      </w:numPr>
      <w:tabs>
        <w:tab w:val="left" w:pos="720"/>
        <w:tab w:val="left" w:pos="840"/>
      </w:tabs>
      <w:ind w:left="840" w:hanging="420"/>
    </w:pPr>
  </w:style>
  <w:style w:type="paragraph" w:customStyle="1" w:styleId="AONormal6R">
    <w:name w:val="AONormal6R"/>
    <w:basedOn w:val="AONormal6L"/>
    <w:uiPriority w:val="99"/>
    <w:rsid w:val="00FB2F65"/>
    <w:pPr>
      <w:jc w:val="right"/>
    </w:pPr>
  </w:style>
  <w:style w:type="paragraph" w:customStyle="1" w:styleId="AOFPTxt">
    <w:name w:val="AOFPTxt"/>
    <w:basedOn w:val="AOFPBP"/>
    <w:uiPriority w:val="99"/>
    <w:rsid w:val="00FB2F65"/>
    <w:rPr>
      <w:b/>
      <w:bCs/>
    </w:rPr>
  </w:style>
  <w:style w:type="paragraph" w:customStyle="1" w:styleId="AOHead1">
    <w:name w:val="AOHead1"/>
    <w:basedOn w:val="AOHeadings"/>
    <w:next w:val="AODocTxtL1"/>
    <w:uiPriority w:val="99"/>
    <w:rsid w:val="00FB2F65"/>
    <w:pPr>
      <w:keepNext/>
      <w:tabs>
        <w:tab w:val="left" w:pos="720"/>
      </w:tabs>
      <w:ind w:left="720" w:hanging="720"/>
      <w:outlineLvl w:val="0"/>
    </w:pPr>
    <w:rPr>
      <w:b/>
      <w:bCs/>
      <w:caps/>
      <w:kern w:val="28"/>
    </w:rPr>
  </w:style>
  <w:style w:type="paragraph" w:customStyle="1" w:styleId="AONormal8R">
    <w:name w:val="AONormal8R"/>
    <w:basedOn w:val="AONormal8L"/>
    <w:uiPriority w:val="99"/>
    <w:rsid w:val="00FB2F65"/>
    <w:pPr>
      <w:jc w:val="right"/>
    </w:pPr>
  </w:style>
  <w:style w:type="paragraph" w:customStyle="1" w:styleId="AOHeading6">
    <w:name w:val="AOHeading6"/>
    <w:basedOn w:val="AOHeadings"/>
    <w:next w:val="AODocTxt"/>
    <w:uiPriority w:val="99"/>
    <w:rsid w:val="00FB2F65"/>
    <w:pPr>
      <w:keepNext/>
      <w:outlineLvl w:val="5"/>
    </w:pPr>
    <w:rPr>
      <w:b/>
      <w:bCs/>
      <w:i/>
      <w:iCs/>
    </w:rPr>
  </w:style>
  <w:style w:type="paragraph" w:customStyle="1" w:styleId="AOHead2">
    <w:name w:val="AOHead2"/>
    <w:basedOn w:val="AOHeadings"/>
    <w:next w:val="AODocTxtL1"/>
    <w:uiPriority w:val="99"/>
    <w:rsid w:val="00FB2F65"/>
    <w:pPr>
      <w:keepNext/>
      <w:numPr>
        <w:ilvl w:val="1"/>
        <w:numId w:val="17"/>
      </w:numPr>
      <w:tabs>
        <w:tab w:val="left" w:pos="720"/>
      </w:tabs>
      <w:outlineLvl w:val="1"/>
    </w:pPr>
    <w:rPr>
      <w:b/>
      <w:bCs/>
    </w:rPr>
  </w:style>
  <w:style w:type="paragraph" w:customStyle="1" w:styleId="AOHeadings">
    <w:name w:val="AOHeadings"/>
    <w:basedOn w:val="AOBodyTxt"/>
    <w:next w:val="AODocTxt"/>
    <w:uiPriority w:val="99"/>
    <w:rsid w:val="00FB2F65"/>
  </w:style>
  <w:style w:type="paragraph" w:customStyle="1" w:styleId="AOHeading7">
    <w:name w:val="AOHeading7"/>
    <w:basedOn w:val="AOHeadings"/>
    <w:next w:val="AODocTxtL1"/>
    <w:uiPriority w:val="99"/>
    <w:rsid w:val="00FB2F65"/>
    <w:pPr>
      <w:keepNext/>
      <w:ind w:left="720"/>
      <w:outlineLvl w:val="6"/>
    </w:pPr>
    <w:rPr>
      <w:b/>
      <w:bCs/>
      <w:i/>
      <w:iCs/>
    </w:rPr>
  </w:style>
  <w:style w:type="paragraph" w:customStyle="1" w:styleId="AOHead3">
    <w:name w:val="AOHead3"/>
    <w:basedOn w:val="AOHeadings"/>
    <w:next w:val="AODocTxtL2"/>
    <w:uiPriority w:val="99"/>
    <w:qFormat/>
    <w:rsid w:val="00FB2F65"/>
    <w:pPr>
      <w:numPr>
        <w:ilvl w:val="2"/>
        <w:numId w:val="17"/>
      </w:numPr>
      <w:tabs>
        <w:tab w:val="left" w:pos="1440"/>
      </w:tabs>
      <w:outlineLvl w:val="2"/>
    </w:pPr>
  </w:style>
  <w:style w:type="paragraph" w:customStyle="1" w:styleId="AONormal10">
    <w:name w:val="AONormal10"/>
    <w:basedOn w:val="AONormal"/>
    <w:uiPriority w:val="99"/>
    <w:rsid w:val="00FB2F65"/>
    <w:rPr>
      <w:sz w:val="20"/>
      <w:szCs w:val="20"/>
    </w:rPr>
  </w:style>
  <w:style w:type="paragraph" w:customStyle="1" w:styleId="AOListNumber">
    <w:name w:val="AOListNumber"/>
    <w:basedOn w:val="AOBodyTxt"/>
    <w:uiPriority w:val="99"/>
    <w:rsid w:val="00FB2F65"/>
    <w:pPr>
      <w:numPr>
        <w:numId w:val="18"/>
      </w:numPr>
      <w:tabs>
        <w:tab w:val="clear" w:pos="720"/>
      </w:tabs>
    </w:pPr>
  </w:style>
  <w:style w:type="paragraph" w:customStyle="1" w:styleId="AOHead4">
    <w:name w:val="AOHead4"/>
    <w:basedOn w:val="AOHeadings"/>
    <w:next w:val="AODocTxtL3"/>
    <w:uiPriority w:val="99"/>
    <w:rsid w:val="00FB2F65"/>
    <w:pPr>
      <w:numPr>
        <w:ilvl w:val="3"/>
        <w:numId w:val="17"/>
      </w:numPr>
      <w:tabs>
        <w:tab w:val="left" w:pos="2160"/>
      </w:tabs>
      <w:outlineLvl w:val="3"/>
    </w:pPr>
  </w:style>
  <w:style w:type="paragraph" w:customStyle="1" w:styleId="AONormal8C">
    <w:name w:val="AONormal8C"/>
    <w:basedOn w:val="AONormal8L"/>
    <w:uiPriority w:val="99"/>
    <w:rsid w:val="00FB2F65"/>
    <w:pPr>
      <w:jc w:val="center"/>
    </w:pPr>
  </w:style>
  <w:style w:type="paragraph" w:customStyle="1" w:styleId="AOHead5">
    <w:name w:val="AOHead5"/>
    <w:basedOn w:val="AOHeadings"/>
    <w:next w:val="AODocTxtL4"/>
    <w:uiPriority w:val="99"/>
    <w:rsid w:val="00FB2F65"/>
    <w:pPr>
      <w:numPr>
        <w:ilvl w:val="4"/>
        <w:numId w:val="17"/>
      </w:numPr>
      <w:tabs>
        <w:tab w:val="left" w:pos="2880"/>
      </w:tabs>
      <w:outlineLvl w:val="4"/>
    </w:pPr>
  </w:style>
  <w:style w:type="paragraph" w:customStyle="1" w:styleId="TOC10">
    <w:name w:val="TOC 标题1"/>
    <w:basedOn w:val="1"/>
    <w:next w:val="a1"/>
    <w:uiPriority w:val="99"/>
    <w:qFormat/>
    <w:rsid w:val="00FB2F65"/>
    <w:pPr>
      <w:widowControl/>
      <w:spacing w:before="480" w:after="0" w:line="276" w:lineRule="auto"/>
      <w:ind w:left="0" w:firstLine="0"/>
      <w:jc w:val="left"/>
      <w:outlineLvl w:val="9"/>
    </w:pPr>
    <w:rPr>
      <w:rFonts w:ascii="Cambria" w:hAnsi="Cambria" w:cs="Cambria"/>
      <w:color w:val="365F91"/>
      <w:kern w:val="0"/>
      <w:sz w:val="28"/>
      <w:szCs w:val="28"/>
    </w:rPr>
  </w:style>
  <w:style w:type="paragraph" w:customStyle="1" w:styleId="AONormal8L">
    <w:name w:val="AONormal8L"/>
    <w:basedOn w:val="AONormal"/>
    <w:uiPriority w:val="99"/>
    <w:rsid w:val="00FB2F65"/>
    <w:pPr>
      <w:spacing w:line="220" w:lineRule="atLeast"/>
    </w:pPr>
    <w:rPr>
      <w:rFonts w:ascii="Arial" w:hAnsi="Arial" w:cs="Arial"/>
      <w:sz w:val="16"/>
      <w:szCs w:val="16"/>
    </w:rPr>
  </w:style>
  <w:style w:type="paragraph" w:customStyle="1" w:styleId="AOHead6">
    <w:name w:val="AOHead6"/>
    <w:basedOn w:val="AOHeadings"/>
    <w:next w:val="AODocTxtL5"/>
    <w:uiPriority w:val="99"/>
    <w:rsid w:val="00FB2F65"/>
    <w:pPr>
      <w:tabs>
        <w:tab w:val="left" w:pos="3600"/>
      </w:tabs>
      <w:ind w:left="3600" w:hanging="720"/>
      <w:outlineLvl w:val="5"/>
    </w:pPr>
  </w:style>
  <w:style w:type="paragraph" w:customStyle="1" w:styleId="AOAltHead2">
    <w:name w:val="AOAltHead2"/>
    <w:basedOn w:val="AOHead2"/>
    <w:next w:val="AODocTxtL1"/>
    <w:uiPriority w:val="99"/>
    <w:rsid w:val="00FB2F65"/>
    <w:pPr>
      <w:keepNext w:val="0"/>
      <w:tabs>
        <w:tab w:val="clear" w:pos="720"/>
      </w:tabs>
    </w:pPr>
    <w:rPr>
      <w:b w:val="0"/>
      <w:bCs w:val="0"/>
    </w:rPr>
  </w:style>
  <w:style w:type="paragraph" w:customStyle="1" w:styleId="AOAltHead3">
    <w:name w:val="AOAltHead3"/>
    <w:basedOn w:val="AOHead3"/>
    <w:next w:val="AODocTxtL1"/>
    <w:uiPriority w:val="99"/>
    <w:qFormat/>
    <w:rsid w:val="00FB2F65"/>
    <w:pPr>
      <w:tabs>
        <w:tab w:val="clear" w:pos="1440"/>
      </w:tabs>
      <w:ind w:left="720"/>
    </w:pPr>
  </w:style>
  <w:style w:type="paragraph" w:customStyle="1" w:styleId="AOAltHead4">
    <w:name w:val="AOAltHead4"/>
    <w:basedOn w:val="AOHead4"/>
    <w:next w:val="AODocTxtL2"/>
    <w:uiPriority w:val="99"/>
    <w:rsid w:val="00FB2F65"/>
    <w:pPr>
      <w:tabs>
        <w:tab w:val="clear" w:pos="2160"/>
      </w:tabs>
      <w:ind w:left="1440"/>
    </w:pPr>
  </w:style>
  <w:style w:type="paragraph" w:customStyle="1" w:styleId="Char15">
    <w:name w:val="Char1"/>
    <w:basedOn w:val="a1"/>
    <w:uiPriority w:val="99"/>
    <w:rsid w:val="00FB2F65"/>
    <w:pPr>
      <w:tabs>
        <w:tab w:val="left" w:pos="832"/>
      </w:tabs>
      <w:ind w:left="832" w:hanging="420"/>
      <w:jc w:val="center"/>
    </w:pPr>
    <w:rPr>
      <w:rFonts w:ascii="楷体_GB2312" w:eastAsia="楷体_GB2312" w:hAnsi="Times New Roman" w:cs="楷体_GB2312"/>
      <w:b/>
      <w:bCs/>
      <w:color w:val="000080"/>
      <w:sz w:val="30"/>
      <w:szCs w:val="30"/>
    </w:rPr>
  </w:style>
  <w:style w:type="paragraph" w:customStyle="1" w:styleId="wz1">
    <w:name w:val="wz1"/>
    <w:basedOn w:val="a1"/>
    <w:uiPriority w:val="99"/>
    <w:rsid w:val="00FB2F6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AOTOCs">
    <w:name w:val="AOTOCs"/>
    <w:basedOn w:val="AONormal"/>
    <w:next w:val="TOC1"/>
    <w:uiPriority w:val="99"/>
    <w:rsid w:val="00FB2F65"/>
    <w:pPr>
      <w:jc w:val="both"/>
    </w:pPr>
  </w:style>
  <w:style w:type="paragraph" w:customStyle="1" w:styleId="AOAltHead5">
    <w:name w:val="AOAltHead5"/>
    <w:basedOn w:val="AOHead5"/>
    <w:next w:val="AODocTxtL3"/>
    <w:uiPriority w:val="99"/>
    <w:rsid w:val="00FB2F65"/>
    <w:pPr>
      <w:tabs>
        <w:tab w:val="clear" w:pos="2880"/>
      </w:tabs>
      <w:ind w:left="2160"/>
    </w:pPr>
  </w:style>
  <w:style w:type="paragraph" w:customStyle="1" w:styleId="AOBullet2">
    <w:name w:val="AOBullet2"/>
    <w:basedOn w:val="AOBullet"/>
    <w:uiPriority w:val="99"/>
    <w:rsid w:val="00FB2F65"/>
    <w:pPr>
      <w:numPr>
        <w:numId w:val="0"/>
      </w:numPr>
      <w:tabs>
        <w:tab w:val="left" w:pos="720"/>
        <w:tab w:val="left" w:pos="1280"/>
      </w:tabs>
      <w:spacing w:before="120"/>
      <w:ind w:left="1280"/>
    </w:pPr>
  </w:style>
  <w:style w:type="paragraph" w:customStyle="1" w:styleId="InfoBlue">
    <w:name w:val="InfoBlue"/>
    <w:basedOn w:val="a1"/>
    <w:next w:val="a9"/>
    <w:uiPriority w:val="99"/>
    <w:rsid w:val="00FB2F65"/>
    <w:pPr>
      <w:tabs>
        <w:tab w:val="left" w:pos="420"/>
      </w:tabs>
      <w:spacing w:after="120" w:line="240" w:lineRule="atLeast"/>
      <w:ind w:left="420" w:hanging="420"/>
      <w:jc w:val="left"/>
    </w:pPr>
    <w:rPr>
      <w:rFonts w:ascii="宋体" w:hAnsi="宋体" w:cs="宋体"/>
    </w:rPr>
  </w:style>
  <w:style w:type="paragraph" w:customStyle="1" w:styleId="AOFPTitle">
    <w:name w:val="AOFPTitle"/>
    <w:basedOn w:val="AOFPTxt"/>
    <w:uiPriority w:val="99"/>
    <w:rsid w:val="00FB2F65"/>
    <w:rPr>
      <w:caps/>
      <w:sz w:val="32"/>
      <w:szCs w:val="32"/>
    </w:rPr>
  </w:style>
  <w:style w:type="paragraph" w:customStyle="1" w:styleId="AOBullet3">
    <w:name w:val="AOBullet3"/>
    <w:basedOn w:val="AOBodyTxt"/>
    <w:uiPriority w:val="99"/>
    <w:rsid w:val="00FB2F65"/>
    <w:pPr>
      <w:numPr>
        <w:numId w:val="19"/>
      </w:numPr>
      <w:tabs>
        <w:tab w:val="clear" w:pos="720"/>
      </w:tabs>
      <w:spacing w:before="120"/>
    </w:pPr>
  </w:style>
  <w:style w:type="paragraph" w:customStyle="1" w:styleId="AOBullet4">
    <w:name w:val="AOBullet4"/>
    <w:basedOn w:val="AOBodyTxt"/>
    <w:uiPriority w:val="99"/>
    <w:rsid w:val="00FB2F65"/>
    <w:pPr>
      <w:numPr>
        <w:numId w:val="20"/>
      </w:numPr>
      <w:tabs>
        <w:tab w:val="left" w:pos="720"/>
      </w:tabs>
      <w:spacing w:before="120"/>
    </w:pPr>
  </w:style>
  <w:style w:type="paragraph" w:customStyle="1" w:styleId="afff9">
    <w:name w:val="正文所"/>
    <w:basedOn w:val="a1"/>
    <w:uiPriority w:val="99"/>
    <w:rsid w:val="00FB2F65"/>
    <w:pPr>
      <w:spacing w:line="360" w:lineRule="auto"/>
      <w:ind w:firstLineChars="200" w:firstLine="420"/>
    </w:pPr>
    <w:rPr>
      <w:rFonts w:ascii="Times New Roman" w:hAnsi="Times New Roman" w:cs="Times New Roman"/>
    </w:rPr>
  </w:style>
  <w:style w:type="paragraph" w:customStyle="1" w:styleId="AOFPBP">
    <w:name w:val="AOFPBP"/>
    <w:basedOn w:val="AONormal"/>
    <w:next w:val="AOFPTxt"/>
    <w:uiPriority w:val="99"/>
    <w:rsid w:val="00FB2F65"/>
  </w:style>
  <w:style w:type="paragraph" w:customStyle="1" w:styleId="CharCharCharChar3">
    <w:name w:val="Char Char Char Char3"/>
    <w:basedOn w:val="a1"/>
    <w:uiPriority w:val="99"/>
    <w:rsid w:val="00FB2F65"/>
    <w:pPr>
      <w:tabs>
        <w:tab w:val="left" w:pos="360"/>
      </w:tabs>
    </w:pPr>
    <w:rPr>
      <w:rFonts w:ascii="Times New Roman" w:hAnsi="Times New Roman" w:cs="Times New Roman"/>
    </w:rPr>
  </w:style>
  <w:style w:type="paragraph" w:customStyle="1" w:styleId="CharChar13">
    <w:name w:val="Char Char13"/>
    <w:basedOn w:val="a1"/>
    <w:uiPriority w:val="99"/>
    <w:rsid w:val="00FB2F65"/>
    <w:rPr>
      <w:rFonts w:ascii="Times New Roman" w:hAnsi="Times New Roman" w:cs="Times New Roman"/>
    </w:rPr>
  </w:style>
  <w:style w:type="paragraph" w:customStyle="1" w:styleId="AOFPCopyright">
    <w:name w:val="AOFPCopyright"/>
    <w:basedOn w:val="AOFPTxt"/>
    <w:uiPriority w:val="99"/>
    <w:rsid w:val="00FB2F65"/>
    <w:rPr>
      <w:caps/>
    </w:rPr>
  </w:style>
  <w:style w:type="paragraph" w:customStyle="1" w:styleId="CharChar">
    <w:name w:val="Char Char"/>
    <w:basedOn w:val="a1"/>
    <w:uiPriority w:val="99"/>
    <w:rsid w:val="00FB2F65"/>
    <w:rPr>
      <w:rFonts w:ascii="Times New Roman" w:hAnsi="Times New Roman" w:cs="Times New Roman"/>
    </w:rPr>
  </w:style>
  <w:style w:type="paragraph" w:customStyle="1" w:styleId="CharCharCharCharChar1Char">
    <w:name w:val="Char Char Char Char Char1 Char"/>
    <w:basedOn w:val="a1"/>
    <w:uiPriority w:val="99"/>
    <w:rsid w:val="00FB2F65"/>
    <w:rPr>
      <w:rFonts w:ascii="Times New Roman" w:hAnsi="Times New Roman" w:cs="Times New Roman"/>
    </w:rPr>
  </w:style>
  <w:style w:type="paragraph" w:customStyle="1" w:styleId="AOFPDate">
    <w:name w:val="AOFPDate"/>
    <w:basedOn w:val="AOFPTxt"/>
    <w:uiPriority w:val="99"/>
    <w:rsid w:val="00FB2F65"/>
    <w:rPr>
      <w:caps/>
    </w:rPr>
  </w:style>
  <w:style w:type="paragraph" w:customStyle="1" w:styleId="Style39">
    <w:name w:val="_Style 39"/>
    <w:basedOn w:val="a1"/>
    <w:uiPriority w:val="99"/>
    <w:rsid w:val="00FB2F65"/>
    <w:pPr>
      <w:tabs>
        <w:tab w:val="left" w:pos="360"/>
      </w:tabs>
      <w:ind w:left="360" w:hanging="360"/>
    </w:pPr>
    <w:rPr>
      <w:rFonts w:ascii="Times New Roman" w:hAnsi="Times New Roman" w:cs="Times New Roman"/>
    </w:rPr>
  </w:style>
  <w:style w:type="paragraph" w:customStyle="1" w:styleId="AOFPTxtCaps">
    <w:name w:val="AOFPTxtCaps"/>
    <w:basedOn w:val="AOFPTxt"/>
    <w:uiPriority w:val="99"/>
    <w:rsid w:val="00FB2F65"/>
    <w:rPr>
      <w:caps/>
    </w:rPr>
  </w:style>
  <w:style w:type="paragraph" w:customStyle="1" w:styleId="AOBPTxtL">
    <w:name w:val="AOBPTxtL"/>
    <w:basedOn w:val="AOFPBP"/>
    <w:uiPriority w:val="99"/>
    <w:rsid w:val="00FB2F65"/>
  </w:style>
  <w:style w:type="paragraph" w:customStyle="1" w:styleId="AOHeading5">
    <w:name w:val="AOHeading5"/>
    <w:basedOn w:val="AOHeadings"/>
    <w:next w:val="AODocTxtL1"/>
    <w:uiPriority w:val="99"/>
    <w:rsid w:val="00FB2F65"/>
    <w:pPr>
      <w:keepNext/>
      <w:ind w:left="720"/>
      <w:outlineLvl w:val="4"/>
    </w:pPr>
    <w:rPr>
      <w:i/>
      <w:iCs/>
    </w:rPr>
  </w:style>
  <w:style w:type="paragraph" w:customStyle="1" w:styleId="AOLocation">
    <w:name w:val="AOLocation"/>
    <w:basedOn w:val="AOFPBP"/>
    <w:uiPriority w:val="99"/>
    <w:rsid w:val="00FB2F65"/>
    <w:pPr>
      <w:spacing w:before="160"/>
      <w:jc w:val="center"/>
    </w:pPr>
    <w:rPr>
      <w:b/>
      <w:bCs/>
      <w:caps/>
    </w:rPr>
  </w:style>
  <w:style w:type="paragraph" w:customStyle="1" w:styleId="Listbullet">
    <w:name w:val="List_bullet"/>
    <w:basedOn w:val="a1"/>
    <w:uiPriority w:val="99"/>
    <w:rsid w:val="00FB2F65"/>
    <w:pPr>
      <w:widowControl/>
      <w:numPr>
        <w:numId w:val="21"/>
      </w:numPr>
      <w:tabs>
        <w:tab w:val="left" w:pos="360"/>
      </w:tabs>
      <w:jc w:val="left"/>
    </w:pPr>
    <w:rPr>
      <w:rFonts w:ascii="Times New Roman" w:hAnsi="Times New Roman" w:cs="Times New Roman"/>
      <w:kern w:val="0"/>
      <w:sz w:val="24"/>
      <w:szCs w:val="24"/>
    </w:rPr>
  </w:style>
  <w:style w:type="paragraph" w:customStyle="1" w:styleId="AOTitle">
    <w:name w:val="AOTitle"/>
    <w:basedOn w:val="AOHeadings"/>
    <w:next w:val="AODocTxt"/>
    <w:uiPriority w:val="99"/>
    <w:rsid w:val="00FB2F65"/>
    <w:pPr>
      <w:jc w:val="center"/>
    </w:pPr>
    <w:rPr>
      <w:b/>
      <w:bCs/>
      <w:caps/>
    </w:rPr>
  </w:style>
  <w:style w:type="paragraph" w:customStyle="1" w:styleId="AOSignatory">
    <w:name w:val="AOSignatory"/>
    <w:basedOn w:val="AOBodyTxt"/>
    <w:next w:val="AODocTxt"/>
    <w:uiPriority w:val="99"/>
    <w:rsid w:val="00FB2F65"/>
    <w:pPr>
      <w:pageBreakBefore/>
      <w:spacing w:after="240"/>
      <w:jc w:val="center"/>
    </w:pPr>
    <w:rPr>
      <w:b/>
      <w:bCs/>
      <w:caps/>
    </w:rPr>
  </w:style>
  <w:style w:type="paragraph" w:customStyle="1" w:styleId="18">
    <w:name w:val="批注框文本1"/>
    <w:basedOn w:val="a1"/>
    <w:uiPriority w:val="99"/>
    <w:semiHidden/>
    <w:rsid w:val="00FB2F65"/>
    <w:rPr>
      <w:rFonts w:ascii="Tahoma" w:hAnsi="Tahoma" w:cs="Tahoma"/>
      <w:sz w:val="16"/>
      <w:szCs w:val="16"/>
    </w:rPr>
  </w:style>
  <w:style w:type="paragraph" w:customStyle="1" w:styleId="AONormal8LBold">
    <w:name w:val="AONormal8LBold"/>
    <w:basedOn w:val="AONormal8L"/>
    <w:uiPriority w:val="99"/>
    <w:rsid w:val="00FB2F65"/>
    <w:rPr>
      <w:b/>
      <w:bCs/>
    </w:rPr>
  </w:style>
  <w:style w:type="paragraph" w:customStyle="1" w:styleId="AOTOC5">
    <w:name w:val="AOTOC5"/>
    <w:basedOn w:val="AOTOCs"/>
    <w:uiPriority w:val="99"/>
    <w:rsid w:val="00FB2F65"/>
    <w:pPr>
      <w:tabs>
        <w:tab w:val="right" w:leader="dot" w:pos="9027"/>
      </w:tabs>
      <w:ind w:left="720"/>
    </w:pPr>
    <w:rPr>
      <w:i/>
      <w:iCs/>
    </w:rPr>
  </w:style>
  <w:style w:type="paragraph" w:customStyle="1" w:styleId="AOTOCHeading">
    <w:name w:val="AOTOCHeading"/>
    <w:basedOn w:val="AOHeadings"/>
    <w:next w:val="AODocTxt"/>
    <w:uiPriority w:val="99"/>
    <w:rsid w:val="00FB2F65"/>
    <w:pPr>
      <w:tabs>
        <w:tab w:val="right" w:pos="9000"/>
      </w:tabs>
      <w:spacing w:after="240"/>
    </w:pPr>
    <w:rPr>
      <w:b/>
      <w:bCs/>
    </w:rPr>
  </w:style>
  <w:style w:type="paragraph" w:customStyle="1" w:styleId="CharCharCharChar4">
    <w:name w:val="Char Char Char Char4"/>
    <w:basedOn w:val="a1"/>
    <w:uiPriority w:val="99"/>
    <w:rsid w:val="00FB2F65"/>
    <w:pPr>
      <w:tabs>
        <w:tab w:val="left" w:pos="360"/>
      </w:tabs>
      <w:spacing w:before="312" w:after="312" w:line="360" w:lineRule="auto"/>
    </w:pPr>
    <w:rPr>
      <w:rFonts w:ascii="Times New Roman" w:hAnsi="Times New Roman" w:cs="Times New Roman"/>
      <w:sz w:val="24"/>
      <w:szCs w:val="24"/>
    </w:rPr>
  </w:style>
  <w:style w:type="paragraph" w:customStyle="1" w:styleId="AOTOCTitle">
    <w:name w:val="AOTOCTitle"/>
    <w:basedOn w:val="AOHeadings"/>
    <w:next w:val="AOTOCHeading"/>
    <w:uiPriority w:val="99"/>
    <w:rsid w:val="00FB2F65"/>
    <w:pPr>
      <w:jc w:val="center"/>
    </w:pPr>
    <w:rPr>
      <w:b/>
      <w:bCs/>
      <w:caps/>
    </w:rPr>
  </w:style>
  <w:style w:type="paragraph" w:customStyle="1" w:styleId="AOHeading2">
    <w:name w:val="AOHeading2"/>
    <w:basedOn w:val="AOHeadings"/>
    <w:next w:val="AODocTxt"/>
    <w:uiPriority w:val="99"/>
    <w:rsid w:val="00FB2F65"/>
    <w:pPr>
      <w:keepNext/>
      <w:outlineLvl w:val="1"/>
    </w:pPr>
    <w:rPr>
      <w:b/>
      <w:bCs/>
    </w:rPr>
  </w:style>
  <w:style w:type="paragraph" w:customStyle="1" w:styleId="Char5">
    <w:name w:val="Char5"/>
    <w:basedOn w:val="a1"/>
    <w:uiPriority w:val="99"/>
    <w:rsid w:val="00FB2F65"/>
    <w:rPr>
      <w:rFonts w:ascii="Times New Roman" w:hAnsi="Times New Roman" w:cs="Times New Roman"/>
    </w:rPr>
  </w:style>
  <w:style w:type="paragraph" w:customStyle="1" w:styleId="AOHeading3">
    <w:name w:val="AOHeading3"/>
    <w:basedOn w:val="AOHeadings"/>
    <w:next w:val="AODocTxtL1"/>
    <w:uiPriority w:val="99"/>
    <w:rsid w:val="00FB2F65"/>
    <w:pPr>
      <w:keepNext/>
      <w:ind w:left="720"/>
      <w:outlineLvl w:val="2"/>
    </w:pPr>
    <w:rPr>
      <w:b/>
      <w:bCs/>
    </w:rPr>
  </w:style>
  <w:style w:type="paragraph" w:customStyle="1" w:styleId="AOHeading4">
    <w:name w:val="AOHeading4"/>
    <w:basedOn w:val="AOHeadings"/>
    <w:next w:val="AODocTxt"/>
    <w:uiPriority w:val="99"/>
    <w:rsid w:val="00FB2F65"/>
    <w:pPr>
      <w:keepNext/>
      <w:outlineLvl w:val="3"/>
    </w:pPr>
    <w:rPr>
      <w:i/>
      <w:iCs/>
    </w:rPr>
  </w:style>
  <w:style w:type="paragraph" w:customStyle="1" w:styleId="AONormal8Ci">
    <w:name w:val="AONormal8Ci"/>
    <w:basedOn w:val="AONormal8C"/>
    <w:uiPriority w:val="99"/>
    <w:rsid w:val="00FB2F65"/>
    <w:pPr>
      <w:spacing w:after="120" w:line="240" w:lineRule="auto"/>
    </w:pPr>
    <w:rPr>
      <w:i/>
      <w:iCs/>
    </w:rPr>
  </w:style>
  <w:style w:type="paragraph" w:customStyle="1" w:styleId="AOTitle18">
    <w:name w:val="AOTitle18"/>
    <w:basedOn w:val="AONormal"/>
    <w:uiPriority w:val="99"/>
    <w:rsid w:val="00FB2F65"/>
    <w:rPr>
      <w:b/>
      <w:bCs/>
      <w:sz w:val="36"/>
      <w:szCs w:val="36"/>
    </w:rPr>
  </w:style>
  <w:style w:type="paragraph" w:customStyle="1" w:styleId="AONormal6L">
    <w:name w:val="AONormal6L"/>
    <w:basedOn w:val="AONormal8L"/>
    <w:uiPriority w:val="99"/>
    <w:rsid w:val="00FB2F65"/>
    <w:pPr>
      <w:spacing w:line="160" w:lineRule="atLeast"/>
    </w:pPr>
    <w:rPr>
      <w:sz w:val="12"/>
      <w:szCs w:val="12"/>
    </w:rPr>
  </w:style>
  <w:style w:type="paragraph" w:customStyle="1" w:styleId="AOTOC2">
    <w:name w:val="AOTOC2"/>
    <w:basedOn w:val="AOTOCs"/>
    <w:uiPriority w:val="99"/>
    <w:rsid w:val="00FB2F65"/>
    <w:pPr>
      <w:tabs>
        <w:tab w:val="left" w:pos="720"/>
        <w:tab w:val="right" w:leader="dot" w:pos="9027"/>
      </w:tabs>
    </w:pPr>
  </w:style>
  <w:style w:type="paragraph" w:customStyle="1" w:styleId="AOTOC3">
    <w:name w:val="AOTOC3"/>
    <w:basedOn w:val="AOTOCs"/>
    <w:uiPriority w:val="99"/>
    <w:rsid w:val="00FB2F65"/>
    <w:pPr>
      <w:tabs>
        <w:tab w:val="right" w:leader="dot" w:pos="9027"/>
      </w:tabs>
      <w:ind w:left="720"/>
    </w:pPr>
    <w:rPr>
      <w:b/>
      <w:bCs/>
    </w:rPr>
  </w:style>
  <w:style w:type="paragraph" w:customStyle="1" w:styleId="AOTOC4">
    <w:name w:val="AOTOC4"/>
    <w:basedOn w:val="AOTOCs"/>
    <w:uiPriority w:val="99"/>
    <w:rsid w:val="00FB2F65"/>
    <w:pPr>
      <w:tabs>
        <w:tab w:val="right" w:leader="dot" w:pos="9027"/>
      </w:tabs>
      <w:ind w:left="720"/>
    </w:pPr>
  </w:style>
  <w:style w:type="paragraph" w:customStyle="1" w:styleId="AOBodyJustified">
    <w:name w:val="AOBodyJustified"/>
    <w:basedOn w:val="AOBodyTxt"/>
    <w:uiPriority w:val="99"/>
    <w:rsid w:val="00FB2F65"/>
    <w:pPr>
      <w:jc w:val="both"/>
    </w:pPr>
  </w:style>
  <w:style w:type="paragraph" w:customStyle="1" w:styleId="Char2">
    <w:name w:val="Char2"/>
    <w:basedOn w:val="a1"/>
    <w:uiPriority w:val="99"/>
    <w:rsid w:val="00FB2F65"/>
    <w:rPr>
      <w:rFonts w:ascii="Times New Roman" w:hAnsi="Times New Roman" w:cs="Times New Roman"/>
    </w:rPr>
  </w:style>
  <w:style w:type="paragraph" w:customStyle="1" w:styleId="CharCharCharCharCharChar1CharCharChar2">
    <w:name w:val="Char Char Char Char Char Char1 Char Char Char2"/>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19">
    <w:name w:val="列出段落1"/>
    <w:basedOn w:val="a1"/>
    <w:uiPriority w:val="99"/>
    <w:qFormat/>
    <w:rsid w:val="00FB2F65"/>
    <w:pPr>
      <w:ind w:firstLineChars="200" w:firstLine="420"/>
    </w:pPr>
    <w:rPr>
      <w:rFonts w:ascii="Times New Roman" w:hAnsi="Times New Roman" w:cs="Times New Roman"/>
    </w:rPr>
  </w:style>
  <w:style w:type="paragraph" w:customStyle="1" w:styleId="1a">
    <w:name w:val="修订1"/>
    <w:uiPriority w:val="99"/>
    <w:semiHidden/>
    <w:rsid w:val="00FB2F65"/>
    <w:rPr>
      <w:rFonts w:ascii="Times New Roman" w:hAnsi="Times New Roman"/>
      <w:kern w:val="2"/>
      <w:sz w:val="21"/>
      <w:szCs w:val="21"/>
    </w:rPr>
  </w:style>
  <w:style w:type="paragraph" w:customStyle="1" w:styleId="CharCharCharCharCharChar1CharCharChar">
    <w:name w:val="Char Char Char Char Char Char1 Char Char Char"/>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Style31">
    <w:name w:val="_Style 31"/>
    <w:basedOn w:val="a1"/>
    <w:uiPriority w:val="99"/>
    <w:rsid w:val="00FB2F65"/>
    <w:pPr>
      <w:tabs>
        <w:tab w:val="left" w:pos="420"/>
      </w:tabs>
      <w:ind w:left="420" w:hanging="420"/>
    </w:pPr>
    <w:rPr>
      <w:rFonts w:ascii="Times New Roman" w:hAnsi="Times New Roman" w:cs="Times New Roman"/>
    </w:rPr>
  </w:style>
  <w:style w:type="paragraph" w:customStyle="1" w:styleId="afffa">
    <w:name w:val="项目标题"/>
    <w:basedOn w:val="a1"/>
    <w:uiPriority w:val="99"/>
    <w:rsid w:val="00FB2F65"/>
    <w:pPr>
      <w:autoSpaceDE w:val="0"/>
      <w:autoSpaceDN w:val="0"/>
      <w:adjustRightInd w:val="0"/>
      <w:spacing w:line="360" w:lineRule="auto"/>
      <w:textAlignment w:val="baseline"/>
    </w:pPr>
    <w:rPr>
      <w:rFonts w:ascii="黑体" w:eastAsia="黑体" w:hAnsi="Times New Roman" w:cs="黑体"/>
      <w:b/>
      <w:bCs/>
      <w:kern w:val="0"/>
      <w:sz w:val="24"/>
      <w:szCs w:val="24"/>
    </w:rPr>
  </w:style>
  <w:style w:type="paragraph" w:customStyle="1" w:styleId="CharChar1">
    <w:name w:val="Char Char1"/>
    <w:basedOn w:val="a1"/>
    <w:uiPriority w:val="99"/>
    <w:rsid w:val="00FB2F65"/>
    <w:rPr>
      <w:rFonts w:ascii="Times New Roman" w:hAnsi="Times New Roman" w:cs="Times New Roman"/>
    </w:rPr>
  </w:style>
  <w:style w:type="paragraph" w:customStyle="1" w:styleId="2">
    <w:name w:val="编号正文2"/>
    <w:basedOn w:val="a1"/>
    <w:uiPriority w:val="99"/>
    <w:rsid w:val="00FB2F65"/>
    <w:pPr>
      <w:numPr>
        <w:numId w:val="22"/>
      </w:numPr>
      <w:tabs>
        <w:tab w:val="left" w:pos="648"/>
      </w:tabs>
      <w:autoSpaceDE w:val="0"/>
      <w:autoSpaceDN w:val="0"/>
      <w:adjustRightInd w:val="0"/>
      <w:spacing w:after="120" w:line="300" w:lineRule="auto"/>
    </w:pPr>
    <w:rPr>
      <w:rFonts w:ascii="宋体" w:hAnsi="Times New Roman" w:cs="宋体"/>
      <w:kern w:val="0"/>
    </w:rPr>
  </w:style>
  <w:style w:type="paragraph" w:customStyle="1" w:styleId="ParaCharCharCharCharCharChar">
    <w:name w:val="默认段落字体 Para Char Char Char Char Char Char"/>
    <w:basedOn w:val="a1"/>
    <w:uiPriority w:val="99"/>
    <w:rsid w:val="00FB2F65"/>
    <w:pPr>
      <w:tabs>
        <w:tab w:val="left" w:pos="840"/>
      </w:tabs>
      <w:ind w:left="840" w:hanging="360"/>
    </w:pPr>
    <w:rPr>
      <w:rFonts w:ascii="Times New Roman" w:hAnsi="Times New Roman" w:cs="Times New Roman"/>
      <w:sz w:val="24"/>
      <w:szCs w:val="24"/>
    </w:rPr>
  </w:style>
  <w:style w:type="paragraph" w:customStyle="1" w:styleId="msonormal1">
    <w:name w:val="msonormal1"/>
    <w:uiPriority w:val="99"/>
    <w:rsid w:val="00FB2F65"/>
    <w:pPr>
      <w:widowControl w:val="0"/>
      <w:jc w:val="both"/>
    </w:pPr>
    <w:rPr>
      <w:rFonts w:ascii="Times New Roman" w:hAnsi="Times New Roman"/>
      <w:kern w:val="2"/>
      <w:sz w:val="21"/>
      <w:szCs w:val="21"/>
    </w:rPr>
  </w:style>
  <w:style w:type="paragraph" w:customStyle="1" w:styleId="CharCharCharChar1">
    <w:name w:val="Char Char Char Char1"/>
    <w:basedOn w:val="a1"/>
    <w:uiPriority w:val="99"/>
    <w:rsid w:val="00FB2F65"/>
    <w:rPr>
      <w:rFonts w:ascii="Times New Roman" w:hAnsi="Times New Roman" w:cs="Times New Roman"/>
    </w:rPr>
  </w:style>
  <w:style w:type="paragraph" w:customStyle="1" w:styleId="CharCharCharCharCharChar1CharCharChar1">
    <w:name w:val="Char Char Char Char Char Char1 Char Char Char1"/>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CharCharChar2">
    <w:name w:val="Char Char Char2"/>
    <w:basedOn w:val="a1"/>
    <w:uiPriority w:val="99"/>
    <w:rsid w:val="00FB2F65"/>
    <w:rPr>
      <w:rFonts w:ascii="Times New Roman" w:hAnsi="Times New Roman" w:cs="Times New Roman"/>
    </w:rPr>
  </w:style>
  <w:style w:type="paragraph" w:customStyle="1" w:styleId="Char4">
    <w:name w:val="Char4"/>
    <w:basedOn w:val="a1"/>
    <w:uiPriority w:val="99"/>
    <w:rsid w:val="00FB2F65"/>
    <w:rPr>
      <w:rFonts w:ascii="Times New Roman" w:hAnsi="Times New Roman" w:cs="Times New Roman"/>
    </w:rPr>
  </w:style>
  <w:style w:type="paragraph" w:customStyle="1" w:styleId="CharChar3">
    <w:name w:val="Char Char3"/>
    <w:basedOn w:val="a1"/>
    <w:uiPriority w:val="99"/>
    <w:rsid w:val="00FB2F65"/>
    <w:rPr>
      <w:rFonts w:ascii="Times New Roman" w:hAnsi="Times New Roman" w:cs="Times New Roman"/>
    </w:rPr>
  </w:style>
  <w:style w:type="paragraph" w:customStyle="1" w:styleId="HD">
    <w:name w:val="HD正文"/>
    <w:basedOn w:val="a1"/>
    <w:qFormat/>
    <w:rsid w:val="00FB2F65"/>
    <w:pPr>
      <w:snapToGrid w:val="0"/>
      <w:spacing w:line="360" w:lineRule="auto"/>
      <w:ind w:firstLineChars="200" w:firstLine="420"/>
    </w:pPr>
    <w:rPr>
      <w:rFonts w:ascii="Times New Roman" w:hAnsi="Times New Roman" w:cs="Times New Roman"/>
    </w:rPr>
  </w:style>
  <w:style w:type="paragraph" w:customStyle="1" w:styleId="CharChar12">
    <w:name w:val="Char Char12"/>
    <w:basedOn w:val="a1"/>
    <w:uiPriority w:val="99"/>
    <w:rsid w:val="00FB2F65"/>
    <w:rPr>
      <w:rFonts w:ascii="Times New Roman" w:hAnsi="Times New Roman" w:cs="Times New Roman"/>
    </w:rPr>
  </w:style>
  <w:style w:type="paragraph" w:customStyle="1" w:styleId="afffb">
    <w:name w:val="次标题"/>
    <w:basedOn w:val="3"/>
    <w:next w:val="a1"/>
    <w:uiPriority w:val="99"/>
    <w:rsid w:val="00FB2F65"/>
    <w:pPr>
      <w:tabs>
        <w:tab w:val="clear" w:pos="360"/>
      </w:tabs>
      <w:spacing w:line="416" w:lineRule="auto"/>
      <w:ind w:left="0" w:firstLine="0"/>
      <w:jc w:val="left"/>
    </w:pPr>
    <w:rPr>
      <w:rFonts w:ascii="宋体" w:hAnsi="宋体" w:cs="宋体"/>
      <w:sz w:val="24"/>
      <w:szCs w:val="24"/>
    </w:rPr>
  </w:style>
  <w:style w:type="paragraph" w:customStyle="1" w:styleId="CharCharChar1">
    <w:name w:val="Char Char Char1"/>
    <w:basedOn w:val="a1"/>
    <w:rsid w:val="00FB2F65"/>
    <w:rPr>
      <w:rFonts w:ascii="Times New Roman" w:hAnsi="Times New Roman" w:cs="Times New Roman"/>
    </w:rPr>
  </w:style>
  <w:style w:type="paragraph" w:customStyle="1" w:styleId="Char3">
    <w:name w:val="Char3"/>
    <w:basedOn w:val="a1"/>
    <w:uiPriority w:val="99"/>
    <w:rsid w:val="00FB2F65"/>
    <w:rPr>
      <w:rFonts w:ascii="Times New Roman" w:hAnsi="Times New Roman" w:cs="Times New Roman"/>
    </w:rPr>
  </w:style>
  <w:style w:type="paragraph" w:customStyle="1" w:styleId="CharChar2">
    <w:name w:val="Char Char2"/>
    <w:basedOn w:val="a1"/>
    <w:uiPriority w:val="99"/>
    <w:rsid w:val="00FB2F65"/>
    <w:rPr>
      <w:rFonts w:ascii="Times New Roman" w:hAnsi="Times New Roman" w:cs="Times New Roman"/>
    </w:rPr>
  </w:style>
  <w:style w:type="paragraph" w:customStyle="1" w:styleId="CharCharCharChar2">
    <w:name w:val="Char Char Char Char2"/>
    <w:basedOn w:val="a1"/>
    <w:uiPriority w:val="99"/>
    <w:rsid w:val="00FB2F65"/>
    <w:pPr>
      <w:tabs>
        <w:tab w:val="left" w:pos="360"/>
      </w:tabs>
    </w:pPr>
    <w:rPr>
      <w:rFonts w:ascii="Times New Roman" w:hAnsi="Times New Roman" w:cs="Times New Roman"/>
    </w:rPr>
  </w:style>
  <w:style w:type="paragraph" w:customStyle="1" w:styleId="CharChar11">
    <w:name w:val="Char Char11"/>
    <w:basedOn w:val="a1"/>
    <w:uiPriority w:val="99"/>
    <w:rsid w:val="00FB2F65"/>
    <w:rPr>
      <w:rFonts w:ascii="Times New Roman" w:hAnsi="Times New Roman" w:cs="Times New Roman"/>
    </w:rPr>
  </w:style>
  <w:style w:type="paragraph" w:customStyle="1" w:styleId="Char6">
    <w:name w:val="Char6"/>
    <w:basedOn w:val="a1"/>
    <w:uiPriority w:val="99"/>
    <w:rsid w:val="00FB2F65"/>
    <w:rPr>
      <w:rFonts w:ascii="Times New Roman" w:hAnsi="Times New Roman" w:cs="Times New Roman"/>
    </w:rPr>
  </w:style>
  <w:style w:type="paragraph" w:customStyle="1" w:styleId="CharCharCharChar5">
    <w:name w:val="Char Char Char Char5"/>
    <w:basedOn w:val="a1"/>
    <w:uiPriority w:val="99"/>
    <w:rsid w:val="00FB2F65"/>
    <w:pPr>
      <w:tabs>
        <w:tab w:val="left" w:pos="360"/>
      </w:tabs>
    </w:pPr>
    <w:rPr>
      <w:rFonts w:ascii="Times New Roman" w:hAnsi="Times New Roman" w:cs="Times New Roman"/>
    </w:rPr>
  </w:style>
  <w:style w:type="paragraph" w:customStyle="1" w:styleId="CharChar14">
    <w:name w:val="Char Char14"/>
    <w:basedOn w:val="a1"/>
    <w:uiPriority w:val="99"/>
    <w:rsid w:val="00FB2F65"/>
    <w:rPr>
      <w:rFonts w:ascii="Times New Roman" w:hAnsi="Times New Roman" w:cs="Times New Roman"/>
    </w:rPr>
  </w:style>
  <w:style w:type="paragraph" w:customStyle="1" w:styleId="CharCharChar3">
    <w:name w:val="Char Char Char3"/>
    <w:basedOn w:val="a1"/>
    <w:uiPriority w:val="99"/>
    <w:rsid w:val="00FB2F65"/>
    <w:rPr>
      <w:rFonts w:ascii="Times New Roman" w:hAnsi="Times New Roman" w:cs="Times New Roman"/>
    </w:rPr>
  </w:style>
  <w:style w:type="paragraph" w:customStyle="1" w:styleId="z-1">
    <w:name w:val="z-窗体顶端1"/>
    <w:basedOn w:val="a1"/>
    <w:next w:val="a1"/>
    <w:link w:val="z-TopofFormChar"/>
    <w:uiPriority w:val="99"/>
    <w:rsid w:val="00FB2F65"/>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1"/>
    <w:next w:val="a1"/>
    <w:link w:val="z-BottomofFormChar"/>
    <w:uiPriority w:val="99"/>
    <w:rsid w:val="00FB2F65"/>
    <w:pPr>
      <w:widowControl/>
      <w:pBdr>
        <w:top w:val="single" w:sz="6" w:space="1" w:color="auto"/>
      </w:pBdr>
      <w:jc w:val="center"/>
    </w:pPr>
    <w:rPr>
      <w:rFonts w:ascii="Arial" w:hAnsi="Arial" w:cs="Arial"/>
      <w:vanish/>
      <w:kern w:val="0"/>
      <w:sz w:val="16"/>
      <w:szCs w:val="16"/>
    </w:rPr>
  </w:style>
  <w:style w:type="paragraph" w:customStyle="1" w:styleId="1Char">
    <w:name w:val="1 Char"/>
    <w:basedOn w:val="a1"/>
    <w:uiPriority w:val="99"/>
    <w:semiHidden/>
    <w:rsid w:val="00FB2F65"/>
    <w:pPr>
      <w:tabs>
        <w:tab w:val="left" w:pos="360"/>
      </w:tabs>
    </w:pPr>
    <w:rPr>
      <w:rFonts w:ascii="Times New Roman" w:hAnsi="Times New Roman" w:cs="Times New Roman"/>
      <w:sz w:val="24"/>
      <w:szCs w:val="24"/>
    </w:rPr>
  </w:style>
  <w:style w:type="paragraph" w:customStyle="1" w:styleId="1b">
    <w:name w:val="字元 字元1"/>
    <w:basedOn w:val="a1"/>
    <w:uiPriority w:val="99"/>
    <w:rsid w:val="00FB2F65"/>
    <w:rPr>
      <w:rFonts w:ascii="Tahoma" w:hAnsi="Tahoma" w:cs="Tahoma"/>
      <w:sz w:val="24"/>
      <w:szCs w:val="24"/>
    </w:rPr>
  </w:style>
  <w:style w:type="paragraph" w:customStyle="1" w:styleId="afffc">
    <w:name w:val="样式 宋体 居中"/>
    <w:basedOn w:val="a1"/>
    <w:uiPriority w:val="99"/>
    <w:qFormat/>
    <w:rsid w:val="00FB2F65"/>
    <w:pPr>
      <w:jc w:val="center"/>
    </w:pPr>
    <w:rPr>
      <w:rFonts w:ascii="Times New Roman" w:hAnsi="Times New Roman" w:cs="Times New Roman"/>
    </w:rPr>
  </w:style>
  <w:style w:type="paragraph" w:customStyle="1" w:styleId="-">
    <w:name w:val="模板-正文"/>
    <w:basedOn w:val="afff5"/>
    <w:link w:val="-Char"/>
    <w:qFormat/>
    <w:rsid w:val="00FB2F65"/>
    <w:pPr>
      <w:shd w:val="clear" w:color="auto" w:fill="FFFFFF"/>
      <w:snapToGrid w:val="0"/>
      <w:spacing w:before="0" w:beforeAutospacing="0" w:after="0" w:afterAutospacing="0" w:line="360" w:lineRule="auto"/>
      <w:ind w:firstLineChars="200" w:firstLine="200"/>
      <w:jc w:val="both"/>
    </w:pPr>
    <w:rPr>
      <w:rFonts w:ascii="宋体" w:eastAsia="宋体" w:hAnsi="Calibri" w:cs="宋体"/>
      <w:color w:val="222222"/>
      <w:sz w:val="21"/>
      <w:szCs w:val="21"/>
    </w:rPr>
  </w:style>
  <w:style w:type="table" w:styleId="afffd">
    <w:name w:val="Table Grid"/>
    <w:basedOn w:val="a3"/>
    <w:uiPriority w:val="99"/>
    <w:rsid w:val="00FB2F6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Revision"/>
    <w:hidden/>
    <w:uiPriority w:val="99"/>
    <w:semiHidden/>
    <w:rsid w:val="00EF6C09"/>
    <w:rPr>
      <w:rFonts w:cs="Calibri"/>
      <w:kern w:val="2"/>
      <w:sz w:val="21"/>
      <w:szCs w:val="21"/>
    </w:rPr>
  </w:style>
  <w:style w:type="paragraph" w:styleId="affff">
    <w:name w:val="List Paragraph"/>
    <w:basedOn w:val="a1"/>
    <w:uiPriority w:val="34"/>
    <w:qFormat/>
    <w:rsid w:val="008D7FB5"/>
    <w:pPr>
      <w:ind w:firstLineChars="200" w:firstLine="420"/>
    </w:pPr>
  </w:style>
  <w:style w:type="paragraph" w:styleId="TOC">
    <w:name w:val="TOC Heading"/>
    <w:basedOn w:val="1"/>
    <w:next w:val="a1"/>
    <w:uiPriority w:val="39"/>
    <w:semiHidden/>
    <w:unhideWhenUsed/>
    <w:qFormat/>
    <w:rsid w:val="009D4510"/>
    <w:pPr>
      <w:tabs>
        <w:tab w:val="clear" w:pos="432"/>
      </w:tabs>
      <w:spacing w:line="578" w:lineRule="auto"/>
      <w:ind w:left="0" w:firstLine="0"/>
      <w:outlineLvl w:val="9"/>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6177">
      <w:bodyDiv w:val="1"/>
      <w:marLeft w:val="0"/>
      <w:marRight w:val="0"/>
      <w:marTop w:val="0"/>
      <w:marBottom w:val="0"/>
      <w:divBdr>
        <w:top w:val="none" w:sz="0" w:space="0" w:color="auto"/>
        <w:left w:val="none" w:sz="0" w:space="0" w:color="auto"/>
        <w:bottom w:val="none" w:sz="0" w:space="0" w:color="auto"/>
        <w:right w:val="none" w:sz="0" w:space="0" w:color="auto"/>
      </w:divBdr>
    </w:div>
    <w:div w:id="106119691">
      <w:bodyDiv w:val="1"/>
      <w:marLeft w:val="0"/>
      <w:marRight w:val="0"/>
      <w:marTop w:val="0"/>
      <w:marBottom w:val="0"/>
      <w:divBdr>
        <w:top w:val="none" w:sz="0" w:space="0" w:color="auto"/>
        <w:left w:val="none" w:sz="0" w:space="0" w:color="auto"/>
        <w:bottom w:val="none" w:sz="0" w:space="0" w:color="auto"/>
        <w:right w:val="none" w:sz="0" w:space="0" w:color="auto"/>
      </w:divBdr>
    </w:div>
    <w:div w:id="665863410">
      <w:bodyDiv w:val="1"/>
      <w:marLeft w:val="0"/>
      <w:marRight w:val="0"/>
      <w:marTop w:val="0"/>
      <w:marBottom w:val="0"/>
      <w:divBdr>
        <w:top w:val="none" w:sz="0" w:space="0" w:color="auto"/>
        <w:left w:val="none" w:sz="0" w:space="0" w:color="auto"/>
        <w:bottom w:val="none" w:sz="0" w:space="0" w:color="auto"/>
        <w:right w:val="none" w:sz="0" w:space="0" w:color="auto"/>
      </w:divBdr>
    </w:div>
    <w:div w:id="990402268">
      <w:bodyDiv w:val="1"/>
      <w:marLeft w:val="0"/>
      <w:marRight w:val="0"/>
      <w:marTop w:val="0"/>
      <w:marBottom w:val="0"/>
      <w:divBdr>
        <w:top w:val="none" w:sz="0" w:space="0" w:color="auto"/>
        <w:left w:val="none" w:sz="0" w:space="0" w:color="auto"/>
        <w:bottom w:val="none" w:sz="0" w:space="0" w:color="auto"/>
        <w:right w:val="none" w:sz="0" w:space="0" w:color="auto"/>
      </w:divBdr>
    </w:div>
    <w:div w:id="1033120261">
      <w:bodyDiv w:val="1"/>
      <w:marLeft w:val="0"/>
      <w:marRight w:val="0"/>
      <w:marTop w:val="0"/>
      <w:marBottom w:val="0"/>
      <w:divBdr>
        <w:top w:val="none" w:sz="0" w:space="0" w:color="auto"/>
        <w:left w:val="none" w:sz="0" w:space="0" w:color="auto"/>
        <w:bottom w:val="none" w:sz="0" w:space="0" w:color="auto"/>
        <w:right w:val="none" w:sz="0" w:space="0" w:color="auto"/>
      </w:divBdr>
    </w:div>
    <w:div w:id="1124999886">
      <w:bodyDiv w:val="1"/>
      <w:marLeft w:val="0"/>
      <w:marRight w:val="0"/>
      <w:marTop w:val="0"/>
      <w:marBottom w:val="0"/>
      <w:divBdr>
        <w:top w:val="none" w:sz="0" w:space="0" w:color="auto"/>
        <w:left w:val="none" w:sz="0" w:space="0" w:color="auto"/>
        <w:bottom w:val="none" w:sz="0" w:space="0" w:color="auto"/>
        <w:right w:val="none" w:sz="0" w:space="0" w:color="auto"/>
      </w:divBdr>
    </w:div>
    <w:div w:id="1732079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CBAF-6CA3-425B-94C0-75784AE7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13617</Words>
  <Characters>77620</Characters>
  <Application>Microsoft Office Word</Application>
  <DocSecurity>0</DocSecurity>
  <PresentationFormat/>
  <Lines>646</Lines>
  <Paragraphs>182</Paragraphs>
  <Slides>0</Slides>
  <Notes>0</Notes>
  <HiddenSlides>0</HiddenSlides>
  <MMClips>0</MMClips>
  <ScaleCrop>false</ScaleCrop>
  <Company>Lenovo (Beijing) Limited</Company>
  <LinksUpToDate>false</LinksUpToDate>
  <CharactersWithSpaces>91055</CharactersWithSpaces>
  <SharedDoc>false</SharedDoc>
  <HLinks>
    <vt:vector size="192" baseType="variant">
      <vt:variant>
        <vt:i4>6619148</vt:i4>
      </vt:variant>
      <vt:variant>
        <vt:i4>165</vt:i4>
      </vt:variant>
      <vt:variant>
        <vt:i4>0</vt:i4>
      </vt:variant>
      <vt:variant>
        <vt:i4>5</vt:i4>
      </vt:variant>
      <vt:variant>
        <vt:lpwstr>http://www.nffund.com/nanfang/</vt:lpwstr>
      </vt:variant>
      <vt:variant>
        <vt:lpwstr>#</vt:lpwstr>
      </vt:variant>
      <vt:variant>
        <vt:i4>1814012100</vt:i4>
      </vt:variant>
      <vt:variant>
        <vt:i4>162</vt:i4>
      </vt:variant>
      <vt:variant>
        <vt:i4>0</vt:i4>
      </vt:variant>
      <vt:variant>
        <vt:i4>5</vt:i4>
      </vt:variant>
      <vt:variant>
        <vt:lpwstr>mailto:发送邮件至基金管理人客服邮箱service@nffund.com</vt:lpwstr>
      </vt:variant>
      <vt:variant>
        <vt:lpwstr/>
      </vt:variant>
      <vt:variant>
        <vt:i4>6619148</vt:i4>
      </vt:variant>
      <vt:variant>
        <vt:i4>159</vt:i4>
      </vt:variant>
      <vt:variant>
        <vt:i4>0</vt:i4>
      </vt:variant>
      <vt:variant>
        <vt:i4>5</vt:i4>
      </vt:variant>
      <vt:variant>
        <vt:lpwstr>http://www.nffund.com/nanfang/</vt:lpwstr>
      </vt:variant>
      <vt:variant>
        <vt:lpwstr>#</vt:lpwstr>
      </vt:variant>
      <vt:variant>
        <vt:i4>875502812</vt:i4>
      </vt:variant>
      <vt:variant>
        <vt:i4>156</vt:i4>
      </vt:variant>
      <vt:variant>
        <vt:i4>0</vt:i4>
      </vt:variant>
      <vt:variant>
        <vt:i4>5</vt:i4>
      </vt:variant>
      <vt:variant>
        <vt:lpwstr>mailto:客服邮箱（service@nffund.com</vt:lpwstr>
      </vt:variant>
      <vt:variant>
        <vt:lpwstr/>
      </vt:variant>
      <vt:variant>
        <vt:i4>6619148</vt:i4>
      </vt:variant>
      <vt:variant>
        <vt:i4>153</vt:i4>
      </vt:variant>
      <vt:variant>
        <vt:i4>0</vt:i4>
      </vt:variant>
      <vt:variant>
        <vt:i4>5</vt:i4>
      </vt:variant>
      <vt:variant>
        <vt:lpwstr>http://www.nffund.com/nanfang/</vt:lpwstr>
      </vt:variant>
      <vt:variant>
        <vt:lpwstr>#</vt:lpwstr>
      </vt:variant>
      <vt:variant>
        <vt:i4>875502812</vt:i4>
      </vt:variant>
      <vt:variant>
        <vt:i4>150</vt:i4>
      </vt:variant>
      <vt:variant>
        <vt:i4>0</vt:i4>
      </vt:variant>
      <vt:variant>
        <vt:i4>5</vt:i4>
      </vt:variant>
      <vt:variant>
        <vt:lpwstr>mailto:客服邮箱（service@nffund.com</vt:lpwstr>
      </vt:variant>
      <vt:variant>
        <vt:lpwstr/>
      </vt:variant>
      <vt:variant>
        <vt:i4>6684799</vt:i4>
      </vt:variant>
      <vt:variant>
        <vt:i4>147</vt:i4>
      </vt:variant>
      <vt:variant>
        <vt:i4>0</vt:i4>
      </vt:variant>
      <vt:variant>
        <vt:i4>5</vt:i4>
      </vt:variant>
      <vt:variant>
        <vt:lpwstr>http://www.boc.cn/</vt:lpwstr>
      </vt:variant>
      <vt:variant>
        <vt:lpwstr/>
      </vt:variant>
      <vt:variant>
        <vt:i4>5373980</vt:i4>
      </vt:variant>
      <vt:variant>
        <vt:i4>144</vt:i4>
      </vt:variant>
      <vt:variant>
        <vt:i4>0</vt:i4>
      </vt:variant>
      <vt:variant>
        <vt:i4>5</vt:i4>
      </vt:variant>
      <vt:variant>
        <vt:lpwstr>http://www.95599.cn/</vt:lpwstr>
      </vt:variant>
      <vt:variant>
        <vt:lpwstr/>
      </vt:variant>
      <vt:variant>
        <vt:i4>5373980</vt:i4>
      </vt:variant>
      <vt:variant>
        <vt:i4>141</vt:i4>
      </vt:variant>
      <vt:variant>
        <vt:i4>0</vt:i4>
      </vt:variant>
      <vt:variant>
        <vt:i4>5</vt:i4>
      </vt:variant>
      <vt:variant>
        <vt:lpwstr>http://www.95599.cn/</vt:lpwstr>
      </vt:variant>
      <vt:variant>
        <vt:lpwstr/>
      </vt:variant>
      <vt:variant>
        <vt:i4>1507391</vt:i4>
      </vt:variant>
      <vt:variant>
        <vt:i4>134</vt:i4>
      </vt:variant>
      <vt:variant>
        <vt:i4>0</vt:i4>
      </vt:variant>
      <vt:variant>
        <vt:i4>5</vt:i4>
      </vt:variant>
      <vt:variant>
        <vt:lpwstr/>
      </vt:variant>
      <vt:variant>
        <vt:lpwstr>_Toc416453862</vt:lpwstr>
      </vt:variant>
      <vt:variant>
        <vt:i4>1507391</vt:i4>
      </vt:variant>
      <vt:variant>
        <vt:i4>128</vt:i4>
      </vt:variant>
      <vt:variant>
        <vt:i4>0</vt:i4>
      </vt:variant>
      <vt:variant>
        <vt:i4>5</vt:i4>
      </vt:variant>
      <vt:variant>
        <vt:lpwstr/>
      </vt:variant>
      <vt:variant>
        <vt:lpwstr>_Toc416453861</vt:lpwstr>
      </vt:variant>
      <vt:variant>
        <vt:i4>1507391</vt:i4>
      </vt:variant>
      <vt:variant>
        <vt:i4>122</vt:i4>
      </vt:variant>
      <vt:variant>
        <vt:i4>0</vt:i4>
      </vt:variant>
      <vt:variant>
        <vt:i4>5</vt:i4>
      </vt:variant>
      <vt:variant>
        <vt:lpwstr/>
      </vt:variant>
      <vt:variant>
        <vt:lpwstr>_Toc416453860</vt:lpwstr>
      </vt:variant>
      <vt:variant>
        <vt:i4>1310783</vt:i4>
      </vt:variant>
      <vt:variant>
        <vt:i4>116</vt:i4>
      </vt:variant>
      <vt:variant>
        <vt:i4>0</vt:i4>
      </vt:variant>
      <vt:variant>
        <vt:i4>5</vt:i4>
      </vt:variant>
      <vt:variant>
        <vt:lpwstr/>
      </vt:variant>
      <vt:variant>
        <vt:lpwstr>_Toc416453859</vt:lpwstr>
      </vt:variant>
      <vt:variant>
        <vt:i4>1310783</vt:i4>
      </vt:variant>
      <vt:variant>
        <vt:i4>110</vt:i4>
      </vt:variant>
      <vt:variant>
        <vt:i4>0</vt:i4>
      </vt:variant>
      <vt:variant>
        <vt:i4>5</vt:i4>
      </vt:variant>
      <vt:variant>
        <vt:lpwstr/>
      </vt:variant>
      <vt:variant>
        <vt:lpwstr>_Toc416453858</vt:lpwstr>
      </vt:variant>
      <vt:variant>
        <vt:i4>1310783</vt:i4>
      </vt:variant>
      <vt:variant>
        <vt:i4>104</vt:i4>
      </vt:variant>
      <vt:variant>
        <vt:i4>0</vt:i4>
      </vt:variant>
      <vt:variant>
        <vt:i4>5</vt:i4>
      </vt:variant>
      <vt:variant>
        <vt:lpwstr/>
      </vt:variant>
      <vt:variant>
        <vt:lpwstr>_Toc416453857</vt:lpwstr>
      </vt:variant>
      <vt:variant>
        <vt:i4>1310783</vt:i4>
      </vt:variant>
      <vt:variant>
        <vt:i4>98</vt:i4>
      </vt:variant>
      <vt:variant>
        <vt:i4>0</vt:i4>
      </vt:variant>
      <vt:variant>
        <vt:i4>5</vt:i4>
      </vt:variant>
      <vt:variant>
        <vt:lpwstr/>
      </vt:variant>
      <vt:variant>
        <vt:lpwstr>_Toc416453856</vt:lpwstr>
      </vt:variant>
      <vt:variant>
        <vt:i4>1310783</vt:i4>
      </vt:variant>
      <vt:variant>
        <vt:i4>92</vt:i4>
      </vt:variant>
      <vt:variant>
        <vt:i4>0</vt:i4>
      </vt:variant>
      <vt:variant>
        <vt:i4>5</vt:i4>
      </vt:variant>
      <vt:variant>
        <vt:lpwstr/>
      </vt:variant>
      <vt:variant>
        <vt:lpwstr>_Toc416453855</vt:lpwstr>
      </vt:variant>
      <vt:variant>
        <vt:i4>1310783</vt:i4>
      </vt:variant>
      <vt:variant>
        <vt:i4>86</vt:i4>
      </vt:variant>
      <vt:variant>
        <vt:i4>0</vt:i4>
      </vt:variant>
      <vt:variant>
        <vt:i4>5</vt:i4>
      </vt:variant>
      <vt:variant>
        <vt:lpwstr/>
      </vt:variant>
      <vt:variant>
        <vt:lpwstr>_Toc416453854</vt:lpwstr>
      </vt:variant>
      <vt:variant>
        <vt:i4>1310783</vt:i4>
      </vt:variant>
      <vt:variant>
        <vt:i4>80</vt:i4>
      </vt:variant>
      <vt:variant>
        <vt:i4>0</vt:i4>
      </vt:variant>
      <vt:variant>
        <vt:i4>5</vt:i4>
      </vt:variant>
      <vt:variant>
        <vt:lpwstr/>
      </vt:variant>
      <vt:variant>
        <vt:lpwstr>_Toc416453853</vt:lpwstr>
      </vt:variant>
      <vt:variant>
        <vt:i4>1310783</vt:i4>
      </vt:variant>
      <vt:variant>
        <vt:i4>74</vt:i4>
      </vt:variant>
      <vt:variant>
        <vt:i4>0</vt:i4>
      </vt:variant>
      <vt:variant>
        <vt:i4>5</vt:i4>
      </vt:variant>
      <vt:variant>
        <vt:lpwstr/>
      </vt:variant>
      <vt:variant>
        <vt:lpwstr>_Toc416453852</vt:lpwstr>
      </vt:variant>
      <vt:variant>
        <vt:i4>1310783</vt:i4>
      </vt:variant>
      <vt:variant>
        <vt:i4>68</vt:i4>
      </vt:variant>
      <vt:variant>
        <vt:i4>0</vt:i4>
      </vt:variant>
      <vt:variant>
        <vt:i4>5</vt:i4>
      </vt:variant>
      <vt:variant>
        <vt:lpwstr/>
      </vt:variant>
      <vt:variant>
        <vt:lpwstr>_Toc416453851</vt:lpwstr>
      </vt:variant>
      <vt:variant>
        <vt:i4>1310783</vt:i4>
      </vt:variant>
      <vt:variant>
        <vt:i4>62</vt:i4>
      </vt:variant>
      <vt:variant>
        <vt:i4>0</vt:i4>
      </vt:variant>
      <vt:variant>
        <vt:i4>5</vt:i4>
      </vt:variant>
      <vt:variant>
        <vt:lpwstr/>
      </vt:variant>
      <vt:variant>
        <vt:lpwstr>_Toc416453850</vt:lpwstr>
      </vt:variant>
      <vt:variant>
        <vt:i4>1376319</vt:i4>
      </vt:variant>
      <vt:variant>
        <vt:i4>56</vt:i4>
      </vt:variant>
      <vt:variant>
        <vt:i4>0</vt:i4>
      </vt:variant>
      <vt:variant>
        <vt:i4>5</vt:i4>
      </vt:variant>
      <vt:variant>
        <vt:lpwstr/>
      </vt:variant>
      <vt:variant>
        <vt:lpwstr>_Toc416453849</vt:lpwstr>
      </vt:variant>
      <vt:variant>
        <vt:i4>1376319</vt:i4>
      </vt:variant>
      <vt:variant>
        <vt:i4>50</vt:i4>
      </vt:variant>
      <vt:variant>
        <vt:i4>0</vt:i4>
      </vt:variant>
      <vt:variant>
        <vt:i4>5</vt:i4>
      </vt:variant>
      <vt:variant>
        <vt:lpwstr/>
      </vt:variant>
      <vt:variant>
        <vt:lpwstr>_Toc416453848</vt:lpwstr>
      </vt:variant>
      <vt:variant>
        <vt:i4>1376319</vt:i4>
      </vt:variant>
      <vt:variant>
        <vt:i4>44</vt:i4>
      </vt:variant>
      <vt:variant>
        <vt:i4>0</vt:i4>
      </vt:variant>
      <vt:variant>
        <vt:i4>5</vt:i4>
      </vt:variant>
      <vt:variant>
        <vt:lpwstr/>
      </vt:variant>
      <vt:variant>
        <vt:lpwstr>_Toc416453847</vt:lpwstr>
      </vt:variant>
      <vt:variant>
        <vt:i4>1376319</vt:i4>
      </vt:variant>
      <vt:variant>
        <vt:i4>38</vt:i4>
      </vt:variant>
      <vt:variant>
        <vt:i4>0</vt:i4>
      </vt:variant>
      <vt:variant>
        <vt:i4>5</vt:i4>
      </vt:variant>
      <vt:variant>
        <vt:lpwstr/>
      </vt:variant>
      <vt:variant>
        <vt:lpwstr>_Toc416453846</vt:lpwstr>
      </vt:variant>
      <vt:variant>
        <vt:i4>1376319</vt:i4>
      </vt:variant>
      <vt:variant>
        <vt:i4>32</vt:i4>
      </vt:variant>
      <vt:variant>
        <vt:i4>0</vt:i4>
      </vt:variant>
      <vt:variant>
        <vt:i4>5</vt:i4>
      </vt:variant>
      <vt:variant>
        <vt:lpwstr/>
      </vt:variant>
      <vt:variant>
        <vt:lpwstr>_Toc416453845</vt:lpwstr>
      </vt:variant>
      <vt:variant>
        <vt:i4>1376319</vt:i4>
      </vt:variant>
      <vt:variant>
        <vt:i4>26</vt:i4>
      </vt:variant>
      <vt:variant>
        <vt:i4>0</vt:i4>
      </vt:variant>
      <vt:variant>
        <vt:i4>5</vt:i4>
      </vt:variant>
      <vt:variant>
        <vt:lpwstr/>
      </vt:variant>
      <vt:variant>
        <vt:lpwstr>_Toc416453844</vt:lpwstr>
      </vt:variant>
      <vt:variant>
        <vt:i4>1376319</vt:i4>
      </vt:variant>
      <vt:variant>
        <vt:i4>20</vt:i4>
      </vt:variant>
      <vt:variant>
        <vt:i4>0</vt:i4>
      </vt:variant>
      <vt:variant>
        <vt:i4>5</vt:i4>
      </vt:variant>
      <vt:variant>
        <vt:lpwstr/>
      </vt:variant>
      <vt:variant>
        <vt:lpwstr>_Toc416453843</vt:lpwstr>
      </vt:variant>
      <vt:variant>
        <vt:i4>1376319</vt:i4>
      </vt:variant>
      <vt:variant>
        <vt:i4>14</vt:i4>
      </vt:variant>
      <vt:variant>
        <vt:i4>0</vt:i4>
      </vt:variant>
      <vt:variant>
        <vt:i4>5</vt:i4>
      </vt:variant>
      <vt:variant>
        <vt:lpwstr/>
      </vt:variant>
      <vt:variant>
        <vt:lpwstr>_Toc416453842</vt:lpwstr>
      </vt:variant>
      <vt:variant>
        <vt:i4>1376319</vt:i4>
      </vt:variant>
      <vt:variant>
        <vt:i4>8</vt:i4>
      </vt:variant>
      <vt:variant>
        <vt:i4>0</vt:i4>
      </vt:variant>
      <vt:variant>
        <vt:i4>5</vt:i4>
      </vt:variant>
      <vt:variant>
        <vt:lpwstr/>
      </vt:variant>
      <vt:variant>
        <vt:lpwstr>_Toc416453841</vt:lpwstr>
      </vt:variant>
      <vt:variant>
        <vt:i4>1376319</vt:i4>
      </vt:variant>
      <vt:variant>
        <vt:i4>2</vt:i4>
      </vt:variant>
      <vt:variant>
        <vt:i4>0</vt:i4>
      </vt:variant>
      <vt:variant>
        <vt:i4>5</vt:i4>
      </vt:variant>
      <vt:variant>
        <vt:lpwstr/>
      </vt:variant>
      <vt:variant>
        <vt:lpwstr>_Toc416453840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南方中证500量化增强股票型发起式证券投资基金招募说明书</dc:title>
  <dc:creator>hmy1010</dc:creator>
  <cp:lastModifiedBy>李 松泽</cp:lastModifiedBy>
  <cp:revision>20</cp:revision>
  <cp:lastPrinted>2019-12-25T07:05:00Z</cp:lastPrinted>
  <dcterms:created xsi:type="dcterms:W3CDTF">2019-09-10T05:11:00Z</dcterms:created>
  <dcterms:modified xsi:type="dcterms:W3CDTF">2019-12-25T07:06:00Z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