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ABF" w:rsidRPr="00A4035F" w:rsidRDefault="00D26ABF" w:rsidP="00D26ABF">
      <w:pPr>
        <w:pStyle w:val="2"/>
        <w:tabs>
          <w:tab w:val="clear" w:pos="360"/>
          <w:tab w:val="left" w:pos="420"/>
        </w:tabs>
        <w:snapToGrid w:val="0"/>
        <w:spacing w:before="0" w:after="0" w:line="360" w:lineRule="auto"/>
        <w:ind w:left="420" w:firstLine="0"/>
        <w:jc w:val="center"/>
        <w:rPr>
          <w:rFonts w:ascii="宋体" w:eastAsia="宋体" w:hAnsi="宋体" w:cs="Times New Roman"/>
        </w:rPr>
      </w:pPr>
      <w:bookmarkStart w:id="0" w:name="_Toc360794526"/>
      <w:bookmarkStart w:id="1" w:name="_Toc362455193"/>
      <w:bookmarkStart w:id="2" w:name="_Toc360794110"/>
      <w:bookmarkStart w:id="3" w:name="_Toc362533465"/>
      <w:bookmarkStart w:id="4" w:name="_Toc360793860"/>
      <w:bookmarkStart w:id="5" w:name="_Toc416453855"/>
      <w:bookmarkStart w:id="6" w:name="_Toc360793508"/>
      <w:bookmarkStart w:id="7" w:name="_Toc360794418"/>
      <w:bookmarkStart w:id="8" w:name="_GoBack"/>
      <w:r w:rsidRPr="00A4035F">
        <w:rPr>
          <w:rFonts w:ascii="宋体" w:eastAsia="宋体" w:hAnsi="宋体" w:cs="宋体" w:hint="eastAsia"/>
        </w:rPr>
        <w:t>风险揭示</w:t>
      </w:r>
      <w:bookmarkEnd w:id="0"/>
      <w:bookmarkEnd w:id="1"/>
      <w:bookmarkEnd w:id="2"/>
      <w:bookmarkEnd w:id="3"/>
      <w:bookmarkEnd w:id="4"/>
      <w:bookmarkEnd w:id="5"/>
      <w:bookmarkEnd w:id="6"/>
      <w:bookmarkEnd w:id="7"/>
    </w:p>
    <w:bookmarkEnd w:id="8"/>
    <w:p w:rsidR="00D26ABF" w:rsidRPr="00A4035F" w:rsidRDefault="00D26ABF" w:rsidP="00D26ABF">
      <w:pPr>
        <w:snapToGrid w:val="0"/>
        <w:spacing w:line="360" w:lineRule="auto"/>
        <w:ind w:firstLine="420"/>
        <w:rPr>
          <w:rFonts w:ascii="宋体" w:cs="Times New Roman"/>
          <w:b/>
          <w:bCs/>
        </w:rPr>
      </w:pPr>
    </w:p>
    <w:p w:rsidR="00D26ABF" w:rsidRPr="00A4035F" w:rsidRDefault="00D26ABF" w:rsidP="00D26ABF">
      <w:pPr>
        <w:pStyle w:val="HD"/>
      </w:pPr>
      <w:r w:rsidRPr="00A4035F">
        <w:rPr>
          <w:rFonts w:hint="eastAsia"/>
        </w:rPr>
        <w:t>本基金面临的主要风险有市场风险、管理风险、流动性风险、本基金特有风险及其他风险等。</w:t>
      </w:r>
      <w:r w:rsidRPr="00A4035F">
        <w:rPr>
          <w:rFonts w:hint="eastAsia"/>
        </w:rPr>
        <w:t xml:space="preserve">  </w:t>
      </w:r>
    </w:p>
    <w:p w:rsidR="00D26ABF" w:rsidRPr="00A4035F" w:rsidRDefault="00D26ABF" w:rsidP="00D26ABF">
      <w:pPr>
        <w:pStyle w:val="HD"/>
      </w:pPr>
    </w:p>
    <w:p w:rsidR="00D26ABF" w:rsidRPr="00A4035F" w:rsidRDefault="00D26ABF" w:rsidP="00D26ABF">
      <w:pPr>
        <w:pStyle w:val="HD"/>
      </w:pPr>
      <w:r w:rsidRPr="00A4035F">
        <w:rPr>
          <w:rFonts w:hint="eastAsia"/>
        </w:rPr>
        <w:t>一、市场风险</w:t>
      </w:r>
    </w:p>
    <w:p w:rsidR="00D26ABF" w:rsidRPr="00A4035F" w:rsidRDefault="00D26ABF" w:rsidP="00D26ABF">
      <w:pPr>
        <w:pStyle w:val="HD"/>
      </w:pPr>
      <w:r w:rsidRPr="00A4035F">
        <w:rPr>
          <w:rFonts w:hint="eastAsia"/>
        </w:rPr>
        <w:t>证券市场价格受到经济因素、政治因素、投资心理和交易制度等各种因素的影响，导致基金收益水平变化，产生风险，主要包括：</w:t>
      </w:r>
    </w:p>
    <w:p w:rsidR="00D26ABF" w:rsidRPr="00A4035F" w:rsidRDefault="00D26ABF" w:rsidP="00D26ABF">
      <w:pPr>
        <w:pStyle w:val="HD"/>
      </w:pPr>
      <w:r w:rsidRPr="00A4035F">
        <w:rPr>
          <w:rFonts w:hint="eastAsia"/>
        </w:rPr>
        <w:t>1</w:t>
      </w:r>
      <w:r w:rsidRPr="00A4035F">
        <w:rPr>
          <w:rFonts w:hint="eastAsia"/>
        </w:rPr>
        <w:t>、政策风险。因国家宏观政策（如货币政策、财政政策、行业政策、地区发展政策等）发生变化，导致市场价格波动而产生风险。</w:t>
      </w:r>
    </w:p>
    <w:p w:rsidR="00D26ABF" w:rsidRPr="00A4035F" w:rsidRDefault="00D26ABF" w:rsidP="00D26ABF">
      <w:pPr>
        <w:pStyle w:val="HD"/>
      </w:pPr>
      <w:r w:rsidRPr="00A4035F">
        <w:rPr>
          <w:rFonts w:hint="eastAsia"/>
        </w:rPr>
        <w:t>2</w:t>
      </w:r>
      <w:r w:rsidRPr="00A4035F">
        <w:rPr>
          <w:rFonts w:hint="eastAsia"/>
        </w:rPr>
        <w:t>、经济周期风险。随经济运行的周期性变化，证券市场的收益水平也呈周期性变化。基金投资于国债与上市公司的股票，收益水平也会随之变化，从而产生风险。</w:t>
      </w:r>
    </w:p>
    <w:p w:rsidR="00D26ABF" w:rsidRPr="00A4035F" w:rsidRDefault="00D26ABF" w:rsidP="00D26ABF">
      <w:pPr>
        <w:pStyle w:val="HD"/>
      </w:pPr>
      <w:r w:rsidRPr="00A4035F">
        <w:rPr>
          <w:rFonts w:hint="eastAsia"/>
        </w:rPr>
        <w:t>3</w:t>
      </w:r>
      <w:r w:rsidRPr="00A4035F">
        <w:rPr>
          <w:rFonts w:hint="eastAsia"/>
        </w:rPr>
        <w:t>、利率风险。金融市场利率的波动会导致证券市场价格和收益率的变动。利率直接影响着国债的价格和收益率，影响着企业的融资成本和利润。基金投资于国债和股票，其收益水平会受到利率变化的影响。</w:t>
      </w:r>
    </w:p>
    <w:p w:rsidR="00D26ABF" w:rsidRPr="00A4035F" w:rsidRDefault="00D26ABF" w:rsidP="00D26ABF">
      <w:pPr>
        <w:pStyle w:val="HD"/>
      </w:pPr>
      <w:r w:rsidRPr="00A4035F">
        <w:rPr>
          <w:rFonts w:hint="eastAsia"/>
        </w:rPr>
        <w:t>4</w:t>
      </w:r>
      <w:r w:rsidRPr="00A4035F">
        <w:rPr>
          <w:rFonts w:hint="eastAsia"/>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D26ABF" w:rsidRPr="00A4035F" w:rsidRDefault="00D26ABF" w:rsidP="00D26ABF">
      <w:pPr>
        <w:pStyle w:val="HD"/>
      </w:pPr>
      <w:r w:rsidRPr="00A4035F">
        <w:rPr>
          <w:rFonts w:hint="eastAsia"/>
        </w:rPr>
        <w:t>5</w:t>
      </w:r>
      <w:r w:rsidRPr="00A4035F">
        <w:rPr>
          <w:rFonts w:hint="eastAsia"/>
        </w:rPr>
        <w:t>、购买力风险。基金的利润将主要通过现金形式来分配，而现金可能因为通货膨胀的影响而导致购买力下降，从而使基金的实际收益下降。</w:t>
      </w:r>
    </w:p>
    <w:p w:rsidR="00D26ABF" w:rsidRPr="00A4035F" w:rsidRDefault="00D26ABF" w:rsidP="00D26ABF">
      <w:pPr>
        <w:pStyle w:val="HD"/>
      </w:pPr>
      <w:r w:rsidRPr="00A4035F">
        <w:rPr>
          <w:rFonts w:hint="eastAsia"/>
        </w:rPr>
        <w:t>6</w:t>
      </w:r>
      <w:r w:rsidRPr="00A4035F">
        <w:rPr>
          <w:rFonts w:hint="eastAsia"/>
        </w:rPr>
        <w:t>、信用风险。主要是指债务人的违约风险，若债务人经营不善，资不抵债，债权人可能会损失掉大部分的投资，这主要体现在企业债中。</w:t>
      </w:r>
    </w:p>
    <w:p w:rsidR="00D26ABF" w:rsidRPr="00A4035F" w:rsidRDefault="00D26ABF" w:rsidP="00D26ABF">
      <w:pPr>
        <w:pStyle w:val="HD"/>
      </w:pPr>
      <w:r w:rsidRPr="00A4035F">
        <w:rPr>
          <w:rFonts w:hint="eastAsia"/>
        </w:rPr>
        <w:t>7</w:t>
      </w:r>
      <w:r w:rsidRPr="00A4035F">
        <w:rPr>
          <w:rFonts w:hint="eastAsia"/>
        </w:rPr>
        <w:t>、债券收益率曲线变动风险。债券收益率曲线变动风险是指与收益率曲线非平行移动有关的风险，单一的</w:t>
      </w:r>
      <w:proofErr w:type="gramStart"/>
      <w:r w:rsidRPr="00A4035F">
        <w:rPr>
          <w:rFonts w:hint="eastAsia"/>
        </w:rPr>
        <w:t>久期指标</w:t>
      </w:r>
      <w:proofErr w:type="gramEnd"/>
      <w:r w:rsidRPr="00A4035F">
        <w:rPr>
          <w:rFonts w:hint="eastAsia"/>
        </w:rPr>
        <w:t>并不能充分反映这一风险的存在。</w:t>
      </w:r>
    </w:p>
    <w:p w:rsidR="00D26ABF" w:rsidRPr="00A4035F" w:rsidRDefault="00D26ABF" w:rsidP="00D26ABF">
      <w:pPr>
        <w:pStyle w:val="HD"/>
      </w:pPr>
      <w:r w:rsidRPr="00A4035F">
        <w:rPr>
          <w:rFonts w:hint="eastAsia"/>
        </w:rPr>
        <w:t>8</w:t>
      </w:r>
      <w:r w:rsidRPr="00A4035F">
        <w:rPr>
          <w:rFonts w:hint="eastAsia"/>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D26ABF" w:rsidRPr="00A4035F" w:rsidDel="00A7237D" w:rsidRDefault="00D26ABF" w:rsidP="00D26ABF">
      <w:pPr>
        <w:pStyle w:val="HD"/>
        <w:rPr>
          <w:rFonts w:hAnsi="宋体"/>
        </w:rPr>
      </w:pPr>
      <w:r w:rsidRPr="00A4035F" w:rsidDel="00A7237D">
        <w:rPr>
          <w:rFonts w:hint="eastAsia"/>
        </w:rPr>
        <w:t>9</w:t>
      </w:r>
      <w:r w:rsidRPr="00A4035F" w:rsidDel="00A7237D">
        <w:rPr>
          <w:rFonts w:hint="eastAsia"/>
        </w:rPr>
        <w:t>、投资股指期货的风险。</w:t>
      </w:r>
      <w:r w:rsidRPr="00A4035F" w:rsidDel="00A7237D">
        <w:rPr>
          <w:rFonts w:hAnsi="宋体" w:hint="eastAsia"/>
        </w:rPr>
        <w:t>本基金可投资于股指期货，股指期货作为一种金融衍生品，主要存在以下风险：</w:t>
      </w:r>
    </w:p>
    <w:p w:rsidR="00D26ABF" w:rsidRPr="00A4035F" w:rsidDel="00A7237D" w:rsidRDefault="00D26ABF" w:rsidP="00D26ABF">
      <w:pPr>
        <w:pStyle w:val="30"/>
        <w:snapToGrid w:val="0"/>
        <w:spacing w:line="360" w:lineRule="auto"/>
        <w:ind w:firstLineChars="200" w:firstLine="420"/>
        <w:rPr>
          <w:rFonts w:hAnsi="宋体"/>
          <w:sz w:val="21"/>
          <w:szCs w:val="21"/>
        </w:rPr>
      </w:pPr>
      <w:r w:rsidRPr="00A4035F" w:rsidDel="00A7237D">
        <w:rPr>
          <w:rFonts w:hAnsi="宋体"/>
          <w:sz w:val="21"/>
          <w:szCs w:val="21"/>
        </w:rPr>
        <w:t>（1）市场风险：是指由于股指期货价格变动而给投资人带来的风险。</w:t>
      </w:r>
    </w:p>
    <w:p w:rsidR="00D26ABF" w:rsidRPr="00A4035F" w:rsidDel="00A7237D" w:rsidRDefault="00D26ABF" w:rsidP="00D26ABF">
      <w:pPr>
        <w:pStyle w:val="30"/>
        <w:snapToGrid w:val="0"/>
        <w:spacing w:line="360" w:lineRule="auto"/>
        <w:ind w:firstLineChars="200" w:firstLine="420"/>
        <w:rPr>
          <w:rFonts w:hAnsi="宋体"/>
          <w:sz w:val="21"/>
          <w:szCs w:val="21"/>
        </w:rPr>
      </w:pPr>
      <w:r w:rsidRPr="00A4035F" w:rsidDel="00A7237D">
        <w:rPr>
          <w:rFonts w:hAnsi="宋体"/>
          <w:sz w:val="21"/>
          <w:szCs w:val="21"/>
        </w:rPr>
        <w:t>（2）流动性风险：是指由于股指期货合约无法及时变现所带来的风险。</w:t>
      </w:r>
    </w:p>
    <w:p w:rsidR="00D26ABF" w:rsidRPr="00A4035F" w:rsidDel="00A7237D" w:rsidRDefault="00D26ABF" w:rsidP="00D26ABF">
      <w:pPr>
        <w:pStyle w:val="30"/>
        <w:snapToGrid w:val="0"/>
        <w:spacing w:line="360" w:lineRule="auto"/>
        <w:ind w:firstLineChars="200" w:firstLine="420"/>
        <w:rPr>
          <w:rFonts w:hAnsi="宋体"/>
          <w:sz w:val="21"/>
          <w:szCs w:val="21"/>
        </w:rPr>
      </w:pPr>
      <w:r w:rsidRPr="00A4035F" w:rsidDel="00A7237D">
        <w:rPr>
          <w:rFonts w:hAnsi="宋体"/>
          <w:sz w:val="21"/>
          <w:szCs w:val="21"/>
        </w:rPr>
        <w:t>（3）</w:t>
      </w:r>
      <w:proofErr w:type="gramStart"/>
      <w:r w:rsidRPr="00A4035F" w:rsidDel="00A7237D">
        <w:rPr>
          <w:rFonts w:hAnsi="宋体"/>
          <w:sz w:val="21"/>
          <w:szCs w:val="21"/>
        </w:rPr>
        <w:t>基差风险</w:t>
      </w:r>
      <w:proofErr w:type="gramEnd"/>
      <w:r w:rsidRPr="00A4035F" w:rsidDel="00A7237D">
        <w:rPr>
          <w:rFonts w:hAnsi="宋体"/>
          <w:sz w:val="21"/>
          <w:szCs w:val="21"/>
        </w:rPr>
        <w:t>：是指股指期货合约价格和标的指数价格之间的价格差的波动所造成的风险。</w:t>
      </w:r>
    </w:p>
    <w:p w:rsidR="00D26ABF" w:rsidRPr="00A4035F" w:rsidDel="00A7237D" w:rsidRDefault="00D26ABF" w:rsidP="00D26ABF">
      <w:pPr>
        <w:pStyle w:val="30"/>
        <w:snapToGrid w:val="0"/>
        <w:spacing w:line="360" w:lineRule="auto"/>
        <w:ind w:firstLineChars="200" w:firstLine="420"/>
        <w:rPr>
          <w:rFonts w:hAnsi="宋体"/>
          <w:sz w:val="21"/>
          <w:szCs w:val="21"/>
        </w:rPr>
      </w:pPr>
      <w:r w:rsidRPr="00A4035F" w:rsidDel="00A7237D">
        <w:rPr>
          <w:rFonts w:hAnsi="宋体"/>
          <w:sz w:val="21"/>
          <w:szCs w:val="21"/>
        </w:rPr>
        <w:lastRenderedPageBreak/>
        <w:t>（4）保证金风险：是指由于无法及时筹措资金满足建立或者维持股指期货合约头寸所要求的保证金而带来的风险。</w:t>
      </w:r>
      <w:r w:rsidRPr="00A4035F" w:rsidDel="00A7237D">
        <w:rPr>
          <w:rFonts w:hAnsi="宋体"/>
          <w:sz w:val="21"/>
          <w:szCs w:val="21"/>
        </w:rPr>
        <w:cr/>
        <w:t xml:space="preserve">    （5）杠杆风险：因股指期货采用保证金交易而存在杠杆，基金财产可能因此产生更大的收益波动。</w:t>
      </w:r>
    </w:p>
    <w:p w:rsidR="00D26ABF" w:rsidRPr="00A4035F" w:rsidDel="00A7237D" w:rsidRDefault="00D26ABF" w:rsidP="00D26ABF">
      <w:pPr>
        <w:pStyle w:val="30"/>
        <w:snapToGrid w:val="0"/>
        <w:spacing w:line="360" w:lineRule="auto"/>
        <w:ind w:firstLineChars="200" w:firstLine="420"/>
        <w:rPr>
          <w:rFonts w:hAnsi="宋体"/>
          <w:sz w:val="21"/>
          <w:szCs w:val="21"/>
        </w:rPr>
      </w:pPr>
      <w:r w:rsidRPr="00A4035F" w:rsidDel="00A7237D">
        <w:rPr>
          <w:rFonts w:hAnsi="宋体"/>
          <w:sz w:val="21"/>
          <w:szCs w:val="21"/>
        </w:rPr>
        <w:t>（6）信用风险：是指期货经纪公司违约而产生损失的风险。</w:t>
      </w:r>
    </w:p>
    <w:p w:rsidR="00D26ABF" w:rsidDel="00A7237D" w:rsidRDefault="00D26ABF" w:rsidP="00D26ABF">
      <w:pPr>
        <w:pStyle w:val="30"/>
        <w:snapToGrid w:val="0"/>
        <w:spacing w:line="360" w:lineRule="auto"/>
        <w:ind w:firstLineChars="200" w:firstLine="420"/>
        <w:rPr>
          <w:rFonts w:hAnsi="宋体"/>
          <w:sz w:val="21"/>
          <w:szCs w:val="21"/>
        </w:rPr>
      </w:pPr>
      <w:r w:rsidRPr="00A4035F" w:rsidDel="00A7237D">
        <w:rPr>
          <w:rFonts w:hAnsi="宋体"/>
          <w:sz w:val="21"/>
          <w:szCs w:val="21"/>
        </w:rPr>
        <w:t>（7）操作风险：是指由于内部流程的不完善，业务人员出现差错或者疏漏，或者系统出现故障等原因造成损失的风险。</w:t>
      </w:r>
    </w:p>
    <w:p w:rsidR="00D26ABF" w:rsidRPr="009D4510"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10、</w:t>
      </w:r>
      <w:r w:rsidRPr="009D4510">
        <w:rPr>
          <w:rFonts w:hAnsi="宋体" w:hint="eastAsia"/>
          <w:sz w:val="21"/>
          <w:szCs w:val="21"/>
        </w:rPr>
        <w:t>投资股票期权的风险。股票期权价格主要受到标的资产价格水平、标的资产价格波动率、期权到期时间、市场利率水平等因素的影响。因此，投资股票期权主要存在 Delta 风险、Gamma 风险、Vega 风险、Theta 风险以及 Rho 风险。同时，进行股票期权投资还面临流动性风险、信用风险、操作风险等。</w:t>
      </w:r>
    </w:p>
    <w:p w:rsidR="00D26ABF" w:rsidRPr="00E51D54" w:rsidDel="00A7237D" w:rsidRDefault="00D26ABF" w:rsidP="00D26ABF">
      <w:pPr>
        <w:pStyle w:val="30"/>
        <w:snapToGrid w:val="0"/>
        <w:spacing w:line="360" w:lineRule="auto"/>
        <w:ind w:firstLineChars="200" w:firstLine="420"/>
        <w:rPr>
          <w:rFonts w:hAnsi="宋体"/>
          <w:sz w:val="21"/>
          <w:szCs w:val="21"/>
        </w:rPr>
      </w:pPr>
      <w:r w:rsidRPr="009D4510">
        <w:rPr>
          <w:rFonts w:hAnsi="宋体" w:hint="eastAsia"/>
          <w:sz w:val="21"/>
          <w:szCs w:val="21"/>
        </w:rPr>
        <w:t>11、</w:t>
      </w:r>
      <w:r w:rsidRPr="00E51D54" w:rsidDel="00A7237D">
        <w:rPr>
          <w:rFonts w:hAnsi="宋体" w:hint="eastAsia"/>
          <w:sz w:val="21"/>
          <w:szCs w:val="21"/>
        </w:rPr>
        <w:t>本基金投资资产支持证券的风险。</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本基金可投资于资产支持证券，因此可能面临资产支持证券的信用风险、利率风险、流动性风险、提前偿付风险、法律风险和操作风险。本基金管理人将通过内部信用评级、投资授</w:t>
      </w:r>
      <w:proofErr w:type="gramStart"/>
      <w:r w:rsidRPr="00E51D54" w:rsidDel="00A7237D">
        <w:rPr>
          <w:rFonts w:hAnsi="宋体" w:hint="eastAsia"/>
          <w:sz w:val="21"/>
          <w:szCs w:val="21"/>
        </w:rPr>
        <w:t>信控制</w:t>
      </w:r>
      <w:proofErr w:type="gramEnd"/>
      <w:r w:rsidRPr="00E51D54" w:rsidDel="00A7237D">
        <w:rPr>
          <w:rFonts w:hAnsi="宋体" w:hint="eastAsia"/>
          <w:sz w:val="21"/>
          <w:szCs w:val="21"/>
        </w:rPr>
        <w:t>等方法对资产支持证券投资进行有效的风险评估和控制。同时，本基金管理人将对资产支持证券进行全程合</w:t>
      </w:r>
      <w:proofErr w:type="gramStart"/>
      <w:r w:rsidRPr="00E51D54" w:rsidDel="00A7237D">
        <w:rPr>
          <w:rFonts w:hAnsi="宋体" w:hint="eastAsia"/>
          <w:sz w:val="21"/>
          <w:szCs w:val="21"/>
        </w:rPr>
        <w:t>规</w:t>
      </w:r>
      <w:proofErr w:type="gramEnd"/>
      <w:r w:rsidRPr="00E51D54" w:rsidDel="00A7237D">
        <w:rPr>
          <w:rFonts w:hAnsi="宋体" w:hint="eastAsia"/>
          <w:sz w:val="21"/>
          <w:szCs w:val="21"/>
        </w:rPr>
        <w:t>监控，通过事前控制、事中监督和事后报告检查等方式，确保资产支持证券投资的合法合</w:t>
      </w:r>
      <w:proofErr w:type="gramStart"/>
      <w:r w:rsidRPr="00E51D54" w:rsidDel="00A7237D">
        <w:rPr>
          <w:rFonts w:hAnsi="宋体" w:hint="eastAsia"/>
          <w:sz w:val="21"/>
          <w:szCs w:val="21"/>
        </w:rPr>
        <w:t>规</w:t>
      </w:r>
      <w:proofErr w:type="gramEnd"/>
      <w:r w:rsidRPr="00E51D54" w:rsidDel="00A7237D">
        <w:rPr>
          <w:rFonts w:hAnsi="宋体" w:hint="eastAsia"/>
          <w:sz w:val="21"/>
          <w:szCs w:val="21"/>
        </w:rPr>
        <w:t>。</w:t>
      </w:r>
    </w:p>
    <w:p w:rsidR="00D26ABF" w:rsidRPr="00E51D54" w:rsidDel="00A7237D" w:rsidRDefault="00D26ABF" w:rsidP="00D26ABF">
      <w:pPr>
        <w:pStyle w:val="30"/>
        <w:snapToGrid w:val="0"/>
        <w:spacing w:line="360" w:lineRule="auto"/>
        <w:ind w:firstLineChars="200" w:firstLine="420"/>
        <w:rPr>
          <w:rFonts w:hAnsi="宋体"/>
          <w:sz w:val="21"/>
          <w:szCs w:val="21"/>
        </w:rPr>
      </w:pPr>
      <w:r>
        <w:rPr>
          <w:rFonts w:hAnsi="宋体"/>
          <w:sz w:val="21"/>
          <w:szCs w:val="21"/>
        </w:rPr>
        <w:t>12</w:t>
      </w:r>
      <w:r w:rsidRPr="00E51D54" w:rsidDel="00A7237D">
        <w:rPr>
          <w:rFonts w:hAnsi="宋体" w:hint="eastAsia"/>
          <w:sz w:val="21"/>
          <w:szCs w:val="21"/>
        </w:rPr>
        <w:t>、本基金投资流通受限证券的风险。</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w:t>
      </w:r>
      <w:proofErr w:type="gramStart"/>
      <w:r w:rsidRPr="00E51D54" w:rsidDel="00A7237D">
        <w:rPr>
          <w:rFonts w:hAnsi="宋体" w:hint="eastAsia"/>
          <w:sz w:val="21"/>
          <w:szCs w:val="21"/>
        </w:rPr>
        <w:t>规</w:t>
      </w:r>
      <w:proofErr w:type="gramEnd"/>
      <w:r w:rsidRPr="00E51D54" w:rsidDel="00A7237D">
        <w:rPr>
          <w:rFonts w:hAnsi="宋体" w:hint="eastAsia"/>
          <w:sz w:val="21"/>
          <w:szCs w:val="21"/>
        </w:rPr>
        <w:t>。</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1</w:t>
      </w:r>
      <w:r>
        <w:rPr>
          <w:rFonts w:hAnsi="宋体"/>
          <w:sz w:val="21"/>
          <w:szCs w:val="21"/>
        </w:rPr>
        <w:t>3</w:t>
      </w:r>
      <w:r w:rsidRPr="00E51D54" w:rsidDel="00A7237D">
        <w:rPr>
          <w:rFonts w:hAnsi="宋体" w:hint="eastAsia"/>
          <w:sz w:val="21"/>
          <w:szCs w:val="21"/>
        </w:rPr>
        <w:t>、本基金参与转融通证券出借业务的风险</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本基金可根据法律法规和基金合同的约定参与转融通证券出借业务，可能存在转融通业务特有风险，包括但不限于以下风险：</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（1）流动性风险</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面对大额赎回时，可能因证券出借原因发生无法及时变现、支付赎回款项的风险；</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（2）信用风险</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证券出借对手方可能无法及时归还证券、无法支付相应权益补偿及借券费用的风险；</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（3）市场风险</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证券出借后可能面临出借期间无法及时处置证券的风险。</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（4）操作风险</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由于不完善或有问题的内部操作流程、人员违规或失误、系统故障或外部事件所导致的</w:t>
      </w:r>
      <w:r w:rsidRPr="00E51D54" w:rsidDel="00A7237D">
        <w:rPr>
          <w:rFonts w:hAnsi="宋体" w:hint="eastAsia"/>
          <w:sz w:val="21"/>
          <w:szCs w:val="21"/>
        </w:rPr>
        <w:lastRenderedPageBreak/>
        <w:t>直接或间接损失的风险</w:t>
      </w:r>
    </w:p>
    <w:p w:rsidR="00D26ABF" w:rsidRPr="00E51D54"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根据转融通证券出借业务的特点，本公司配备了风控、合</w:t>
      </w:r>
      <w:proofErr w:type="gramStart"/>
      <w:r w:rsidRPr="00E51D54" w:rsidDel="00A7237D">
        <w:rPr>
          <w:rFonts w:hAnsi="宋体" w:hint="eastAsia"/>
          <w:sz w:val="21"/>
          <w:szCs w:val="21"/>
        </w:rPr>
        <w:t>规</w:t>
      </w:r>
      <w:proofErr w:type="gramEnd"/>
      <w:r w:rsidRPr="00E51D54" w:rsidDel="00A7237D">
        <w:rPr>
          <w:rFonts w:hAnsi="宋体" w:hint="eastAsia"/>
          <w:sz w:val="21"/>
          <w:szCs w:val="21"/>
        </w:rPr>
        <w:t>、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D26ABF" w:rsidRPr="00A4035F" w:rsidDel="00A7237D" w:rsidRDefault="00D26ABF" w:rsidP="00D26ABF">
      <w:pPr>
        <w:pStyle w:val="30"/>
        <w:snapToGrid w:val="0"/>
        <w:spacing w:line="360" w:lineRule="auto"/>
        <w:ind w:firstLineChars="200" w:firstLine="420"/>
        <w:rPr>
          <w:rFonts w:hAnsi="宋体"/>
          <w:sz w:val="21"/>
          <w:szCs w:val="21"/>
        </w:rPr>
      </w:pPr>
      <w:r w:rsidRPr="00E51D54" w:rsidDel="00A7237D">
        <w:rPr>
          <w:rFonts w:hAnsi="宋体" w:hint="eastAsia"/>
          <w:sz w:val="21"/>
          <w:szCs w:val="21"/>
        </w:rPr>
        <w:t>除上述风险外，本公司参与转融通证券出借业务还应关注外部监管机构或公司要求关注的其他风险。</w:t>
      </w:r>
    </w:p>
    <w:p w:rsidR="00D26ABF" w:rsidRPr="00A4035F" w:rsidRDefault="00D26ABF" w:rsidP="00D26ABF">
      <w:pPr>
        <w:pStyle w:val="HD"/>
      </w:pPr>
    </w:p>
    <w:p w:rsidR="00D26ABF" w:rsidRPr="00A4035F" w:rsidRDefault="00D26ABF" w:rsidP="00D26ABF">
      <w:pPr>
        <w:pStyle w:val="HD"/>
      </w:pPr>
      <w:r w:rsidRPr="00A4035F">
        <w:rPr>
          <w:rFonts w:hint="eastAsia"/>
        </w:rPr>
        <w:t>二、管理风险</w:t>
      </w:r>
    </w:p>
    <w:p w:rsidR="00D26ABF" w:rsidRPr="00A4035F" w:rsidRDefault="00D26ABF" w:rsidP="00D26ABF">
      <w:pPr>
        <w:pStyle w:val="HD"/>
      </w:pPr>
      <w:r w:rsidRPr="00A4035F">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D26ABF" w:rsidRPr="00A4035F" w:rsidRDefault="00D26ABF" w:rsidP="00D26ABF">
      <w:pPr>
        <w:pStyle w:val="HD"/>
      </w:pPr>
    </w:p>
    <w:p w:rsidR="00D26ABF" w:rsidRPr="00A4035F" w:rsidRDefault="00D26ABF" w:rsidP="00D26ABF">
      <w:pPr>
        <w:pStyle w:val="HD"/>
      </w:pPr>
      <w:r w:rsidRPr="00A4035F">
        <w:rPr>
          <w:rFonts w:hint="eastAsia"/>
        </w:rPr>
        <w:t>三、流动性风险</w:t>
      </w:r>
    </w:p>
    <w:p w:rsidR="00D26ABF" w:rsidRPr="00A4035F" w:rsidRDefault="00D26ABF" w:rsidP="00D26ABF">
      <w:pPr>
        <w:pStyle w:val="HD"/>
      </w:pPr>
      <w:r w:rsidRPr="00A4035F">
        <w:rPr>
          <w:rFonts w:hint="eastAsia"/>
        </w:rPr>
        <w:t>本基金属开放式基金，在所有开放日管理人有义务接受投资人的赎回。如果出现较大数额的赎回申请，则使基金资产变现困难，基金面临流动性风险。</w:t>
      </w:r>
    </w:p>
    <w:p w:rsidR="00D26ABF" w:rsidRDefault="00D26ABF" w:rsidP="00D26ABF">
      <w:pPr>
        <w:pStyle w:val="HD"/>
      </w:pPr>
      <w:r>
        <w:rPr>
          <w:rFonts w:hint="eastAsia"/>
        </w:rPr>
        <w:t>1</w:t>
      </w:r>
      <w:r>
        <w:rPr>
          <w:rFonts w:hint="eastAsia"/>
        </w:rPr>
        <w:t>、本基金的申购、赎回安排</w:t>
      </w:r>
    </w:p>
    <w:p w:rsidR="00D26ABF" w:rsidRDefault="00D26ABF" w:rsidP="00D26ABF">
      <w:pPr>
        <w:pStyle w:val="HD"/>
      </w:pPr>
      <w:r>
        <w:rPr>
          <w:rFonts w:hint="eastAsia"/>
        </w:rPr>
        <w:t>本基金采用开放方式运作，基金管理人在开放日办理基金份额的申购和赎回。本基金的申购与赎回的开放日为上海证券交易所、深圳证券交易所的正常交易日，但基金管理人根据法律法规、中国证监会的要求或基金合同的规定公告暂停申购、赎回时除外。基金管理人自基金合同生效之日起不超过</w:t>
      </w:r>
      <w:r>
        <w:rPr>
          <w:rFonts w:hint="eastAsia"/>
        </w:rPr>
        <w:t>3</w:t>
      </w:r>
      <w:r>
        <w:rPr>
          <w:rFonts w:hint="eastAsia"/>
        </w:rPr>
        <w:t>个月开始办理申购和赎回业务，具体业务办理时间在申购赎回开始公告中规定。</w:t>
      </w:r>
    </w:p>
    <w:p w:rsidR="00D26ABF" w:rsidRDefault="00D26ABF" w:rsidP="00D26ABF">
      <w:pPr>
        <w:pStyle w:val="HD"/>
      </w:pPr>
      <w:r>
        <w:rPr>
          <w:rFonts w:hint="eastAsia"/>
        </w:rPr>
        <w:t>2</w:t>
      </w:r>
      <w:r>
        <w:rPr>
          <w:rFonts w:hint="eastAsia"/>
        </w:rPr>
        <w:t>、投资市场、行业及资产的流动性风险评估</w:t>
      </w:r>
    </w:p>
    <w:p w:rsidR="00D26ABF" w:rsidRDefault="00D26ABF" w:rsidP="00D26ABF">
      <w:pPr>
        <w:pStyle w:val="HD"/>
      </w:pPr>
      <w:r>
        <w:rPr>
          <w:rFonts w:hint="eastAsia"/>
        </w:rPr>
        <w:t>本基金主要投资于目标</w:t>
      </w:r>
      <w:r>
        <w:rPr>
          <w:rFonts w:hint="eastAsia"/>
        </w:rPr>
        <w:t>ETF</w:t>
      </w:r>
      <w:r>
        <w:rPr>
          <w:rFonts w:hint="eastAsia"/>
        </w:rPr>
        <w:t>基金份额、标的指数成份股、备选成份股。目标</w:t>
      </w:r>
      <w:r>
        <w:rPr>
          <w:rFonts w:hint="eastAsia"/>
        </w:rPr>
        <w:t>ETF</w:t>
      </w:r>
      <w:r>
        <w:rPr>
          <w:rFonts w:hint="eastAsia"/>
        </w:rPr>
        <w:t>及本基金主要投资的标的指数成份股和备选成份股</w:t>
      </w:r>
      <w:r w:rsidRPr="009F477B">
        <w:rPr>
          <w:rFonts w:hint="eastAsia"/>
        </w:rPr>
        <w:t>以最近一年无重大违法违规事件，财务报告无重大问题，信息披露、公司内控等方面治理规范，股价无明显的异常波动或市场操纵，非</w:t>
      </w:r>
      <w:r w:rsidRPr="009F477B">
        <w:rPr>
          <w:rFonts w:hint="eastAsia"/>
        </w:rPr>
        <w:t>ST</w:t>
      </w:r>
      <w:r w:rsidRPr="009F477B">
        <w:rPr>
          <w:rFonts w:hint="eastAsia"/>
        </w:rPr>
        <w:t>、</w:t>
      </w:r>
      <w:r w:rsidRPr="009F477B">
        <w:rPr>
          <w:rFonts w:hint="eastAsia"/>
        </w:rPr>
        <w:t>*ST</w:t>
      </w:r>
      <w:r w:rsidRPr="009F477B">
        <w:rPr>
          <w:rFonts w:hint="eastAsia"/>
        </w:rPr>
        <w:t>股票以及非暂停上市的</w:t>
      </w:r>
      <w:r w:rsidRPr="009F477B">
        <w:rPr>
          <w:rFonts w:hint="eastAsia"/>
        </w:rPr>
        <w:t>A</w:t>
      </w:r>
      <w:r w:rsidRPr="009F477B">
        <w:rPr>
          <w:rFonts w:hint="eastAsia"/>
        </w:rPr>
        <w:t>股股票为样本空间</w:t>
      </w:r>
      <w:r>
        <w:rPr>
          <w:rFonts w:hint="eastAsia"/>
        </w:rPr>
        <w:t>。且目标</w:t>
      </w:r>
      <w:r>
        <w:rPr>
          <w:rFonts w:hint="eastAsia"/>
        </w:rPr>
        <w:t>ETF</w:t>
      </w:r>
      <w:r>
        <w:rPr>
          <w:rFonts w:hint="eastAsia"/>
        </w:rPr>
        <w:t>已依照指数权重进行了分散投资，故本基金可通过赎回目标</w:t>
      </w:r>
      <w:r>
        <w:rPr>
          <w:rFonts w:hint="eastAsia"/>
        </w:rPr>
        <w:t>ETF</w:t>
      </w:r>
      <w:r>
        <w:rPr>
          <w:rFonts w:hint="eastAsia"/>
        </w:rPr>
        <w:t>较好地获取流动性；另外，本基金还可以在二级市场卖出目标</w:t>
      </w:r>
      <w:r>
        <w:rPr>
          <w:rFonts w:hint="eastAsia"/>
        </w:rPr>
        <w:t>ETF</w:t>
      </w:r>
      <w:r>
        <w:rPr>
          <w:rFonts w:hint="eastAsia"/>
        </w:rPr>
        <w:t>获取流动性，以上均为基金平稳运作提供了良好的基础。根据《流动性规定》的相关要求，本基金所投资或持有的基金份额的基金管理人实施流动性风险管理，也</w:t>
      </w:r>
      <w:r>
        <w:rPr>
          <w:rFonts w:hint="eastAsia"/>
        </w:rPr>
        <w:lastRenderedPageBreak/>
        <w:t>会审慎评估所投资资产的流动性，并针对性制定流动性风险管理措施，因此本基金流动性风险也可以得到有效控制。</w:t>
      </w:r>
    </w:p>
    <w:p w:rsidR="00D26ABF" w:rsidRDefault="00D26ABF" w:rsidP="00D26ABF">
      <w:pPr>
        <w:pStyle w:val="HD"/>
      </w:pPr>
      <w:r>
        <w:rPr>
          <w:rFonts w:hint="eastAsia"/>
        </w:rPr>
        <w:t>3</w:t>
      </w:r>
      <w:r>
        <w:rPr>
          <w:rFonts w:hint="eastAsia"/>
        </w:rPr>
        <w:t>、巨额赎回情形下的流动性风险管理措施</w:t>
      </w:r>
    </w:p>
    <w:p w:rsidR="00D26ABF" w:rsidRDefault="00D26ABF" w:rsidP="00D26ABF">
      <w:pPr>
        <w:pStyle w:val="HD"/>
      </w:pPr>
      <w:r>
        <w:rPr>
          <w:rFonts w:hint="eastAsia"/>
        </w:rPr>
        <w:t>当单个交易日基金的净赎回申请超过基金总份额的</w:t>
      </w:r>
      <w:r>
        <w:rPr>
          <w:rFonts w:ascii="宋体" w:hAnsi="宋体" w:hint="eastAsia"/>
          <w:bCs/>
        </w:rPr>
        <w:t>10%</w:t>
      </w:r>
      <w:r>
        <w:rPr>
          <w:rFonts w:hint="eastAsia"/>
        </w:rPr>
        <w:t>时，本基金将可能无法及时赎回持有的全部基金份额，即认为是发生了巨额赎回。当基金出现巨额赎回时，基金管理人可以根据基金当时的资产组合状况决定全额赎回或部分延期赎回。连续</w:t>
      </w:r>
      <w:r>
        <w:rPr>
          <w:rFonts w:hint="eastAsia"/>
        </w:rPr>
        <w:t>2</w:t>
      </w:r>
      <w:r>
        <w:rPr>
          <w:rFonts w:hint="eastAsia"/>
        </w:rPr>
        <w:t>个开放日以上</w:t>
      </w:r>
      <w:r>
        <w:rPr>
          <w:rFonts w:hint="eastAsia"/>
        </w:rPr>
        <w:t>(</w:t>
      </w:r>
      <w:r>
        <w:rPr>
          <w:rFonts w:hint="eastAsia"/>
        </w:rPr>
        <w:t>含本数</w:t>
      </w:r>
      <w:r>
        <w:rPr>
          <w:rFonts w:hint="eastAsia"/>
        </w:rPr>
        <w:t>)</w:t>
      </w:r>
      <w:r>
        <w:rPr>
          <w:rFonts w:hint="eastAsia"/>
        </w:rPr>
        <w:t>发生巨额赎回，如基金管理人认为有必要，可暂停接受基金的赎回申请；已经接受的赎回申请可以延缓支付赎回款项，但不得超过</w:t>
      </w:r>
      <w:r>
        <w:rPr>
          <w:rFonts w:hint="eastAsia"/>
        </w:rPr>
        <w:t>20</w:t>
      </w:r>
      <w:r>
        <w:rPr>
          <w:rFonts w:hint="eastAsia"/>
        </w:rPr>
        <w:t>个工作日，并应当在指定媒介上进行公告。</w:t>
      </w:r>
    </w:p>
    <w:p w:rsidR="00D26ABF" w:rsidRDefault="00D26ABF" w:rsidP="00D26ABF">
      <w:pPr>
        <w:pStyle w:val="HD"/>
      </w:pPr>
      <w:r w:rsidRPr="00A87540">
        <w:rPr>
          <w:rFonts w:hint="eastAsia"/>
        </w:rPr>
        <w:t>当基金发生巨额赎回，在单个基金份额持有人超过基金总份额</w:t>
      </w:r>
      <w:r>
        <w:t>3</w:t>
      </w:r>
      <w:r w:rsidRPr="00A87540">
        <w:rPr>
          <w:rFonts w:hint="eastAsia"/>
        </w:rPr>
        <w:t>0%</w:t>
      </w:r>
      <w:r w:rsidRPr="00A87540">
        <w:rPr>
          <w:rFonts w:hint="eastAsia"/>
        </w:rPr>
        <w:t>以上的赎回申请情形下，基金管理人</w:t>
      </w:r>
      <w:r>
        <w:rPr>
          <w:rFonts w:hint="eastAsia"/>
        </w:rPr>
        <w:t>可以</w:t>
      </w:r>
      <w:r w:rsidRPr="00A87540">
        <w:rPr>
          <w:rFonts w:hint="eastAsia"/>
        </w:rPr>
        <w:t>延期办理赎回申请。基金管理人只接受其基金总份额</w:t>
      </w:r>
      <w:r>
        <w:t>3</w:t>
      </w:r>
      <w:r w:rsidRPr="00A87540">
        <w:rPr>
          <w:rFonts w:hint="eastAsia"/>
        </w:rPr>
        <w:t>0%</w:t>
      </w:r>
      <w:r w:rsidRPr="00A87540">
        <w:rPr>
          <w:rFonts w:hint="eastAsia"/>
        </w:rPr>
        <w:t>部分作为当日有效赎回申请，对于该基金份额持有人当日有效赎回申请，基金管理人可以根据前述“（</w:t>
      </w:r>
      <w:r w:rsidRPr="00A87540">
        <w:rPr>
          <w:rFonts w:hint="eastAsia"/>
        </w:rPr>
        <w:t>1</w:t>
      </w:r>
      <w:r w:rsidRPr="00A87540">
        <w:rPr>
          <w:rFonts w:hint="eastAsia"/>
        </w:rPr>
        <w:t>）全额赎回”或“（</w:t>
      </w:r>
      <w:r w:rsidRPr="00A87540">
        <w:rPr>
          <w:rFonts w:hint="eastAsia"/>
        </w:rPr>
        <w:t>2</w:t>
      </w:r>
      <w:r w:rsidRPr="00A87540">
        <w:rPr>
          <w:rFonts w:hint="eastAsia"/>
        </w:rPr>
        <w:t>）部分延期赎回”的约定方式与其他基金份额持有人的赎回申请一并办理。对单个基金份额持有人超过基金总份额</w:t>
      </w:r>
      <w:r>
        <w:t>3</w:t>
      </w:r>
      <w:r w:rsidRPr="00A87540">
        <w:rPr>
          <w:rFonts w:hint="eastAsia"/>
        </w:rPr>
        <w:t>0%</w:t>
      </w:r>
      <w:r w:rsidRPr="00A87540">
        <w:rPr>
          <w:rFonts w:hint="eastAsia"/>
        </w:rPr>
        <w:t>以上的赎回申请延期赎回。延期的赎回申请与下一开放日赎回申请一并处理，无优先权</w:t>
      </w:r>
      <w:proofErr w:type="gramStart"/>
      <w:r w:rsidRPr="00A87540">
        <w:rPr>
          <w:rFonts w:hint="eastAsia"/>
        </w:rPr>
        <w:t>并以下</w:t>
      </w:r>
      <w:proofErr w:type="gramEnd"/>
      <w:r w:rsidRPr="00A87540">
        <w:rPr>
          <w:rFonts w:hint="eastAsia"/>
        </w:rPr>
        <w:t>一开放日的基金份额净值为基础计算赎回金额，以此类推。当连续两个开放日发生单个基金份额持有人超过基金总份额</w:t>
      </w:r>
      <w:r>
        <w:t>3</w:t>
      </w:r>
      <w:r w:rsidRPr="00A87540">
        <w:rPr>
          <w:rFonts w:hint="eastAsia"/>
        </w:rPr>
        <w:t>0%</w:t>
      </w:r>
      <w:r w:rsidRPr="00A87540">
        <w:rPr>
          <w:rFonts w:hint="eastAsia"/>
        </w:rPr>
        <w:t>以上的赎回申请情形时，基金管理人可以根据实际情况，在对存量基金份额持有人利益不构成潜在重大不利影响的前提下对该持有人的赎回申请予以全部赎回或延缓支付赎回款项。延期部分如选择取消赎回的，当日未获受理的部分赎回申请将被撤销。如投资人在提交赎回申请时未作明确选择，投资人未能赎回部分作自动延期赎回处理。</w:t>
      </w:r>
    </w:p>
    <w:p w:rsidR="00D26ABF" w:rsidRDefault="00D26ABF" w:rsidP="00D26ABF">
      <w:pPr>
        <w:pStyle w:val="HD"/>
      </w:pPr>
      <w:r>
        <w:rPr>
          <w:rFonts w:hint="eastAsia"/>
        </w:rPr>
        <w:t>4</w:t>
      </w:r>
      <w:r>
        <w:rPr>
          <w:rFonts w:hint="eastAsia"/>
        </w:rPr>
        <w:t>、实施备用的流动性风险管理工具的情形、程序及对投资者的潜在影响</w:t>
      </w:r>
    </w:p>
    <w:p w:rsidR="00D26ABF" w:rsidRDefault="00D26ABF" w:rsidP="00D26ABF">
      <w:pPr>
        <w:pStyle w:val="HD"/>
      </w:pPr>
      <w:r>
        <w:rPr>
          <w:rFonts w:hint="eastAsia"/>
        </w:rPr>
        <w:t>本基金在面临大规模赎回的情况下有可能因为无法变现造成流动性风险。</w:t>
      </w:r>
    </w:p>
    <w:p w:rsidR="00D26ABF" w:rsidRDefault="00D26ABF" w:rsidP="00D26ABF">
      <w:pPr>
        <w:pStyle w:val="HD"/>
      </w:pPr>
      <w:r>
        <w:rPr>
          <w:rFonts w:hint="eastAsia"/>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摆动定价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款项、赎回时承担冲击成本产生资金损失等影响。</w:t>
      </w:r>
    </w:p>
    <w:p w:rsidR="00D26ABF" w:rsidRPr="00A4035F" w:rsidRDefault="00D26ABF" w:rsidP="00D26ABF">
      <w:pPr>
        <w:pStyle w:val="HD"/>
      </w:pPr>
    </w:p>
    <w:p w:rsidR="00D26ABF" w:rsidRPr="00A4035F" w:rsidRDefault="00D26ABF" w:rsidP="00D26ABF">
      <w:pPr>
        <w:pStyle w:val="HD"/>
      </w:pPr>
      <w:r w:rsidRPr="00A4035F">
        <w:rPr>
          <w:rFonts w:hint="eastAsia"/>
        </w:rPr>
        <w:t>四、本基金特有的风险</w:t>
      </w:r>
    </w:p>
    <w:p w:rsidR="00D26ABF" w:rsidRPr="00A4035F" w:rsidRDefault="00D26ABF" w:rsidP="00D26ABF">
      <w:pPr>
        <w:pStyle w:val="HD"/>
      </w:pPr>
      <w:r w:rsidRPr="00A4035F">
        <w:rPr>
          <w:rFonts w:hint="eastAsia"/>
        </w:rPr>
        <w:t>1</w:t>
      </w:r>
      <w:r w:rsidRPr="00A4035F">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D26ABF" w:rsidRPr="00A4035F" w:rsidRDefault="00D26ABF" w:rsidP="00D26ABF">
      <w:pPr>
        <w:pStyle w:val="HD"/>
      </w:pPr>
      <w:r w:rsidRPr="00A4035F">
        <w:rPr>
          <w:rFonts w:hint="eastAsia"/>
        </w:rPr>
        <w:t>2</w:t>
      </w:r>
      <w:r w:rsidRPr="00A4035F">
        <w:rPr>
          <w:rFonts w:hint="eastAsia"/>
        </w:rPr>
        <w:t>、标的指数波动的风险：标的指数成份股的价格可能受到政治因素、经济因素、上市</w:t>
      </w:r>
      <w:r w:rsidRPr="00A4035F">
        <w:rPr>
          <w:rFonts w:hint="eastAsia"/>
        </w:rPr>
        <w:lastRenderedPageBreak/>
        <w:t>公司状况、投资人心理和交易制度等各种因素的影响而波动，导致指数波动，从而使基金收益水平发生变化，产生风险。</w:t>
      </w:r>
    </w:p>
    <w:p w:rsidR="00D26ABF" w:rsidRPr="00A4035F" w:rsidRDefault="00D26ABF" w:rsidP="00D26ABF">
      <w:pPr>
        <w:pStyle w:val="HD"/>
      </w:pPr>
      <w:r w:rsidRPr="00A4035F">
        <w:rPr>
          <w:rFonts w:hint="eastAsia"/>
        </w:rPr>
        <w:t>3</w:t>
      </w:r>
      <w:r w:rsidRPr="00A4035F">
        <w:rPr>
          <w:rFonts w:hint="eastAsia"/>
        </w:rPr>
        <w:t>、跟踪偏离风险：即基金在跟踪指数时由于各种原因导致基金的业绩表现与标的指数表现之间产生差异的不确定性，包括但不限于以下因素：</w:t>
      </w:r>
    </w:p>
    <w:p w:rsidR="00D26ABF" w:rsidRPr="00A4035F" w:rsidRDefault="00D26ABF" w:rsidP="00D26ABF">
      <w:pPr>
        <w:pStyle w:val="HD"/>
      </w:pPr>
      <w:r w:rsidRPr="00A4035F">
        <w:rPr>
          <w:rFonts w:hint="eastAsia"/>
        </w:rPr>
        <w:t>（</w:t>
      </w:r>
      <w:r w:rsidRPr="00A4035F">
        <w:rPr>
          <w:rFonts w:hint="eastAsia"/>
        </w:rPr>
        <w:t>1</w:t>
      </w:r>
      <w:r w:rsidRPr="00A4035F">
        <w:rPr>
          <w:rFonts w:hint="eastAsia"/>
        </w:rPr>
        <w:t>）标的指数成份股的配股、增发、分红等公司行为；</w:t>
      </w:r>
    </w:p>
    <w:p w:rsidR="00D26ABF" w:rsidRPr="00A4035F" w:rsidRDefault="00D26ABF" w:rsidP="00D26ABF">
      <w:pPr>
        <w:pStyle w:val="HD"/>
      </w:pPr>
      <w:r w:rsidRPr="00A4035F">
        <w:rPr>
          <w:rFonts w:hint="eastAsia"/>
        </w:rPr>
        <w:t>（</w:t>
      </w:r>
      <w:r w:rsidRPr="00A4035F">
        <w:rPr>
          <w:rFonts w:hint="eastAsia"/>
        </w:rPr>
        <w:t>2</w:t>
      </w:r>
      <w:r w:rsidRPr="00A4035F">
        <w:rPr>
          <w:rFonts w:hint="eastAsia"/>
        </w:rPr>
        <w:t>）标的指数成份股的调整；</w:t>
      </w:r>
    </w:p>
    <w:p w:rsidR="00D26ABF" w:rsidRPr="00A4035F" w:rsidRDefault="00D26ABF" w:rsidP="00D26ABF">
      <w:pPr>
        <w:pStyle w:val="HD"/>
      </w:pPr>
      <w:r w:rsidRPr="00A4035F">
        <w:rPr>
          <w:rFonts w:hint="eastAsia"/>
        </w:rPr>
        <w:t>（</w:t>
      </w:r>
      <w:r w:rsidRPr="00A4035F">
        <w:rPr>
          <w:rFonts w:hint="eastAsia"/>
        </w:rPr>
        <w:t>3</w:t>
      </w:r>
      <w:r w:rsidRPr="00A4035F">
        <w:rPr>
          <w:rFonts w:hint="eastAsia"/>
        </w:rPr>
        <w:t>）基金买卖股票时产生的交易成本和交易冲击；</w:t>
      </w:r>
    </w:p>
    <w:p w:rsidR="00D26ABF" w:rsidRPr="00A4035F" w:rsidRDefault="00D26ABF" w:rsidP="00D26ABF">
      <w:pPr>
        <w:pStyle w:val="HD"/>
      </w:pPr>
      <w:r w:rsidRPr="00A4035F">
        <w:rPr>
          <w:rFonts w:hint="eastAsia"/>
        </w:rPr>
        <w:t>（</w:t>
      </w:r>
      <w:r w:rsidRPr="00A4035F">
        <w:rPr>
          <w:rFonts w:hint="eastAsia"/>
        </w:rPr>
        <w:t>4</w:t>
      </w:r>
      <w:r w:rsidRPr="00A4035F">
        <w:rPr>
          <w:rFonts w:hint="eastAsia"/>
        </w:rPr>
        <w:t>）申购、赎回因素带来的跟踪误差；</w:t>
      </w:r>
    </w:p>
    <w:p w:rsidR="00D26ABF" w:rsidRPr="00A4035F" w:rsidRDefault="00D26ABF" w:rsidP="00D26ABF">
      <w:pPr>
        <w:pStyle w:val="HD"/>
      </w:pPr>
      <w:r w:rsidRPr="00A4035F">
        <w:rPr>
          <w:rFonts w:hint="eastAsia"/>
        </w:rPr>
        <w:t>（</w:t>
      </w:r>
      <w:r w:rsidRPr="00A4035F">
        <w:rPr>
          <w:rFonts w:hint="eastAsia"/>
        </w:rPr>
        <w:t>5</w:t>
      </w:r>
      <w:r w:rsidRPr="00A4035F">
        <w:rPr>
          <w:rFonts w:hint="eastAsia"/>
        </w:rPr>
        <w:t>）新股市值配售、新股认购带来的跟踪误差；</w:t>
      </w:r>
    </w:p>
    <w:p w:rsidR="00D26ABF" w:rsidRPr="00A4035F" w:rsidRDefault="00D26ABF" w:rsidP="00D26ABF">
      <w:pPr>
        <w:pStyle w:val="HD"/>
      </w:pPr>
      <w:r w:rsidRPr="00A4035F">
        <w:rPr>
          <w:rFonts w:hint="eastAsia"/>
        </w:rPr>
        <w:t>（</w:t>
      </w:r>
      <w:r w:rsidRPr="00A4035F">
        <w:rPr>
          <w:rFonts w:hint="eastAsia"/>
        </w:rPr>
        <w:t>6</w:t>
      </w:r>
      <w:r w:rsidRPr="00A4035F">
        <w:rPr>
          <w:rFonts w:hint="eastAsia"/>
        </w:rPr>
        <w:t>）基金现金资产的拖累；</w:t>
      </w:r>
    </w:p>
    <w:p w:rsidR="00D26ABF" w:rsidRPr="00A4035F" w:rsidRDefault="00D26ABF" w:rsidP="00D26ABF">
      <w:pPr>
        <w:pStyle w:val="HD"/>
      </w:pPr>
      <w:r w:rsidRPr="00A4035F">
        <w:rPr>
          <w:rFonts w:hint="eastAsia"/>
        </w:rPr>
        <w:t>（</w:t>
      </w:r>
      <w:r w:rsidRPr="00A4035F">
        <w:rPr>
          <w:rFonts w:hint="eastAsia"/>
        </w:rPr>
        <w:t>7</w:t>
      </w:r>
      <w:r w:rsidRPr="00A4035F">
        <w:rPr>
          <w:rFonts w:hint="eastAsia"/>
        </w:rPr>
        <w:t>）基金的管理费、托管费和销售服务费等带来的跟踪误差；</w:t>
      </w:r>
    </w:p>
    <w:p w:rsidR="00D26ABF" w:rsidRPr="00A4035F" w:rsidRDefault="00D26ABF" w:rsidP="00D26ABF">
      <w:pPr>
        <w:pStyle w:val="HD"/>
      </w:pPr>
      <w:r w:rsidRPr="00A4035F">
        <w:rPr>
          <w:rFonts w:hint="eastAsia"/>
        </w:rPr>
        <w:t>（</w:t>
      </w:r>
      <w:r w:rsidRPr="00A4035F">
        <w:rPr>
          <w:rFonts w:hint="eastAsia"/>
        </w:rPr>
        <w:t>8</w:t>
      </w:r>
      <w:r w:rsidRPr="00A4035F">
        <w:rPr>
          <w:rFonts w:hint="eastAsia"/>
        </w:rPr>
        <w:t>）指数成份股停牌、摘牌，成份股涨、跌停板等因素带来的偏差；</w:t>
      </w:r>
    </w:p>
    <w:p w:rsidR="00D26ABF" w:rsidRPr="00A4035F" w:rsidRDefault="00D26ABF" w:rsidP="00D26ABF">
      <w:pPr>
        <w:pStyle w:val="HD"/>
      </w:pPr>
      <w:r w:rsidRPr="00A4035F">
        <w:rPr>
          <w:rFonts w:hint="eastAsia"/>
        </w:rPr>
        <w:t>（</w:t>
      </w:r>
      <w:r w:rsidRPr="00A4035F">
        <w:rPr>
          <w:rFonts w:hint="eastAsia"/>
        </w:rPr>
        <w:t>9</w:t>
      </w:r>
      <w:r w:rsidRPr="00A4035F">
        <w:rPr>
          <w:rFonts w:hint="eastAsia"/>
        </w:rPr>
        <w:t>）基金管理人的买入卖出时机选择；</w:t>
      </w:r>
    </w:p>
    <w:p w:rsidR="00D26ABF" w:rsidRPr="00A4035F" w:rsidRDefault="00D26ABF" w:rsidP="00D26ABF">
      <w:pPr>
        <w:pStyle w:val="HD"/>
      </w:pPr>
      <w:r w:rsidRPr="00A4035F">
        <w:rPr>
          <w:rFonts w:hint="eastAsia"/>
        </w:rPr>
        <w:t>（</w:t>
      </w:r>
      <w:r w:rsidRPr="00A4035F">
        <w:rPr>
          <w:rFonts w:hint="eastAsia"/>
        </w:rPr>
        <w:t>10</w:t>
      </w:r>
      <w:r w:rsidRPr="00A4035F">
        <w:rPr>
          <w:rFonts w:hint="eastAsia"/>
        </w:rPr>
        <w:t>）其他因素带来的偏差。</w:t>
      </w:r>
    </w:p>
    <w:p w:rsidR="00D26ABF" w:rsidRPr="00A4035F" w:rsidRDefault="00D26ABF" w:rsidP="00D26ABF">
      <w:pPr>
        <w:pStyle w:val="HD"/>
      </w:pPr>
      <w:r w:rsidRPr="00A4035F">
        <w:rPr>
          <w:rFonts w:hint="eastAsia"/>
        </w:rPr>
        <w:t>4</w:t>
      </w:r>
      <w:r w:rsidRPr="00A4035F">
        <w:rPr>
          <w:rFonts w:hint="eastAsia"/>
        </w:rPr>
        <w:t>、标的指数变更的风险</w:t>
      </w:r>
    </w:p>
    <w:p w:rsidR="00D26ABF" w:rsidRPr="00A4035F" w:rsidRDefault="00D26ABF" w:rsidP="00D26ABF">
      <w:pPr>
        <w:pStyle w:val="HD"/>
      </w:pPr>
      <w:r w:rsidRPr="00A4035F">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D26ABF" w:rsidRPr="00A4035F" w:rsidRDefault="00D26ABF" w:rsidP="00D26ABF">
      <w:pPr>
        <w:adjustRightInd w:val="0"/>
        <w:snapToGrid w:val="0"/>
        <w:spacing w:line="360" w:lineRule="auto"/>
        <w:ind w:firstLine="420"/>
        <w:rPr>
          <w:rFonts w:ascii="宋体" w:hAnsi="宋体"/>
        </w:rPr>
      </w:pPr>
      <w:r w:rsidRPr="00A4035F">
        <w:rPr>
          <w:rFonts w:ascii="宋体" w:hAnsi="宋体" w:hint="eastAsia"/>
        </w:rPr>
        <w:t>5、投资于目标ETF基金带来的风险</w:t>
      </w:r>
    </w:p>
    <w:p w:rsidR="00D26ABF" w:rsidRPr="00A4035F" w:rsidRDefault="00D26ABF" w:rsidP="00D26ABF">
      <w:pPr>
        <w:adjustRightInd w:val="0"/>
        <w:snapToGrid w:val="0"/>
        <w:spacing w:line="360" w:lineRule="auto"/>
        <w:ind w:firstLine="420"/>
        <w:rPr>
          <w:rFonts w:ascii="宋体" w:hAnsi="宋体"/>
        </w:rPr>
      </w:pPr>
      <w:r w:rsidRPr="00A4035F">
        <w:rPr>
          <w:rFonts w:ascii="宋体" w:hAnsi="宋体" w:hint="eastAsia"/>
        </w:rPr>
        <w:t>由于主要投资于目标ETF，所以本基金会面临诸如目标ETF的管理风险与操作风险、目标ETF基金份额二级市场交易价格折溢价的风险、目标ETF的技术风险等风险。</w:t>
      </w:r>
    </w:p>
    <w:p w:rsidR="00D26ABF" w:rsidRPr="00A7237D" w:rsidRDefault="00D26ABF" w:rsidP="00D26ABF">
      <w:pPr>
        <w:pStyle w:val="HD"/>
        <w:rPr>
          <w:rFonts w:ascii="宋体"/>
        </w:rPr>
      </w:pPr>
    </w:p>
    <w:p w:rsidR="00D26ABF" w:rsidRPr="00A4035F" w:rsidRDefault="00D26ABF" w:rsidP="00D26ABF">
      <w:pPr>
        <w:pStyle w:val="HD"/>
      </w:pPr>
      <w:r w:rsidRPr="00A4035F">
        <w:rPr>
          <w:rFonts w:hint="eastAsia"/>
        </w:rPr>
        <w:t>五、其他风险</w:t>
      </w:r>
    </w:p>
    <w:p w:rsidR="00D26ABF" w:rsidRPr="00A4035F" w:rsidRDefault="00D26ABF" w:rsidP="00D26ABF">
      <w:pPr>
        <w:pStyle w:val="HD"/>
      </w:pPr>
      <w:r w:rsidRPr="00A4035F">
        <w:t>1</w:t>
      </w:r>
      <w:r w:rsidRPr="00A4035F">
        <w:rPr>
          <w:rFonts w:hint="eastAsia"/>
        </w:rPr>
        <w:t>、因技术因素而产生的风险，如电脑系统不可靠产生的风险；</w:t>
      </w:r>
    </w:p>
    <w:p w:rsidR="00D26ABF" w:rsidRPr="00A4035F" w:rsidRDefault="00D26ABF" w:rsidP="00D26ABF">
      <w:pPr>
        <w:pStyle w:val="HD"/>
      </w:pPr>
      <w:r w:rsidRPr="00A4035F">
        <w:t>2</w:t>
      </w:r>
      <w:r w:rsidRPr="00A4035F">
        <w:rPr>
          <w:rFonts w:hint="eastAsia"/>
        </w:rPr>
        <w:t>、因业务快速发展而在制度建设、人员配备、内控制度建立等不完善而产生的风险；</w:t>
      </w:r>
    </w:p>
    <w:p w:rsidR="00D26ABF" w:rsidRPr="00A4035F" w:rsidRDefault="00D26ABF" w:rsidP="00D26ABF">
      <w:pPr>
        <w:pStyle w:val="HD"/>
      </w:pPr>
      <w:r w:rsidRPr="00A4035F">
        <w:t>3</w:t>
      </w:r>
      <w:r w:rsidRPr="00A4035F">
        <w:rPr>
          <w:rFonts w:hint="eastAsia"/>
        </w:rPr>
        <w:t>、因人为因素而产生的风险、如内幕交易、欺诈行为等产生的风险；</w:t>
      </w:r>
    </w:p>
    <w:p w:rsidR="00D26ABF" w:rsidRPr="00A4035F" w:rsidRDefault="00D26ABF" w:rsidP="00D26ABF">
      <w:pPr>
        <w:pStyle w:val="HD"/>
      </w:pPr>
      <w:r w:rsidRPr="00A4035F">
        <w:t>4</w:t>
      </w:r>
      <w:r w:rsidRPr="00A4035F">
        <w:rPr>
          <w:rFonts w:hint="eastAsia"/>
        </w:rPr>
        <w:t>、对主要业务人员如基金经理的依赖而可能产生的风险；</w:t>
      </w:r>
    </w:p>
    <w:p w:rsidR="00D26ABF" w:rsidRPr="00A4035F" w:rsidRDefault="00D26ABF" w:rsidP="00D26ABF">
      <w:pPr>
        <w:pStyle w:val="HD"/>
      </w:pPr>
      <w:r w:rsidRPr="00A4035F">
        <w:t>5</w:t>
      </w:r>
      <w:r w:rsidRPr="00A4035F">
        <w:rPr>
          <w:rFonts w:hint="eastAsia"/>
        </w:rPr>
        <w:t>、因业务竞争压力可能产生的风险；</w:t>
      </w:r>
    </w:p>
    <w:p w:rsidR="00D26ABF" w:rsidRPr="00A4035F" w:rsidRDefault="00D26ABF" w:rsidP="00D26ABF">
      <w:pPr>
        <w:pStyle w:val="HD"/>
      </w:pPr>
      <w:r w:rsidRPr="00A4035F">
        <w:t>6</w:t>
      </w:r>
      <w:r w:rsidRPr="00A4035F">
        <w:rPr>
          <w:rFonts w:hint="eastAsia"/>
        </w:rPr>
        <w:t>、不可抗力可能导致基金资产的损失，影响基金收益水平，从而带来风险；</w:t>
      </w:r>
    </w:p>
    <w:p w:rsidR="00D26ABF" w:rsidRPr="00A4035F" w:rsidRDefault="00D26ABF" w:rsidP="00D26ABF">
      <w:pPr>
        <w:pStyle w:val="HD"/>
      </w:pPr>
      <w:r w:rsidRPr="00A4035F">
        <w:t>7</w:t>
      </w:r>
      <w:r w:rsidRPr="00A4035F">
        <w:rPr>
          <w:rFonts w:hint="eastAsia"/>
        </w:rPr>
        <w:t>、其他意外导致的风险。</w:t>
      </w:r>
    </w:p>
    <w:p w:rsidR="00D26ABF" w:rsidRPr="00A4035F" w:rsidRDefault="00D26ABF" w:rsidP="00D26ABF">
      <w:pPr>
        <w:pStyle w:val="HD"/>
      </w:pPr>
    </w:p>
    <w:p w:rsidR="00D26ABF" w:rsidRPr="00A4035F" w:rsidRDefault="00D26ABF" w:rsidP="00D26ABF">
      <w:pPr>
        <w:pStyle w:val="HD"/>
      </w:pPr>
      <w:r w:rsidRPr="00A4035F">
        <w:rPr>
          <w:rFonts w:hint="eastAsia"/>
        </w:rPr>
        <w:t>六、本基金法律文件风险收益特征表述与销售机构基金风险评价可能不一致的风险</w:t>
      </w:r>
    </w:p>
    <w:p w:rsidR="00416A58" w:rsidRDefault="00D26ABF" w:rsidP="00D26ABF">
      <w:r w:rsidRPr="00A4035F">
        <w:t>本基金</w:t>
      </w:r>
      <w:r w:rsidRPr="00A4035F">
        <w:rPr>
          <w:rFonts w:hint="eastAsia"/>
        </w:rPr>
        <w:t>法律文件</w:t>
      </w:r>
      <w:r w:rsidRPr="00A4035F">
        <w:t>投资章节有关风险收益特征的表述是基于投资范围、投资比例、证券市场普遍规律等做出的概述性描述，代表了一般市场情况下本基金的长期风险收益特征。销售机构</w:t>
      </w:r>
      <w:r w:rsidRPr="00A4035F">
        <w:t>(</w:t>
      </w:r>
      <w:r w:rsidRPr="00A4035F">
        <w:t>包括基金管理人直销机构和</w:t>
      </w:r>
      <w:r w:rsidRPr="00A4035F">
        <w:rPr>
          <w:rFonts w:hint="eastAsia"/>
        </w:rPr>
        <w:t>其他销售机构</w:t>
      </w:r>
      <w:r w:rsidRPr="00A4035F">
        <w:t>)</w:t>
      </w:r>
      <w:r w:rsidRPr="00A4035F">
        <w:t>根据相关法律法规对本基金进行风险评价，不同</w:t>
      </w:r>
      <w:r w:rsidRPr="00A4035F">
        <w:lastRenderedPageBreak/>
        <w:t>的销售机构采用的评价方法也不同，因此销售机构的风险等级评价与基金</w:t>
      </w:r>
      <w:r w:rsidRPr="00A4035F">
        <w:rPr>
          <w:rFonts w:hint="eastAsia"/>
        </w:rPr>
        <w:t>法律文件</w:t>
      </w:r>
      <w:r w:rsidRPr="00A4035F">
        <w:t>中风险收益特征的表述可能存在不同，投资人在购买本基金时需按照销售机构的要求完成风险承受能力与产品风险之间的匹配检验。</w:t>
      </w:r>
    </w:p>
    <w:sectPr w:rsidR="00416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14636"/>
    <w:multiLevelType w:val="multilevel"/>
    <w:tmpl w:val="38014636"/>
    <w:lvl w:ilvl="0">
      <w:start w:val="1"/>
      <w:numFmt w:val="chineseCountingThousand"/>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BF"/>
    <w:rsid w:val="00416A58"/>
    <w:rsid w:val="00D2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6999"/>
  <w15:chartTrackingRefBased/>
  <w15:docId w15:val="{FDE6EBB6-90CD-4DFD-B6C6-ABB4E5FE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ABF"/>
    <w:pPr>
      <w:widowControl w:val="0"/>
      <w:jc w:val="both"/>
    </w:pPr>
    <w:rPr>
      <w:rFonts w:ascii="Calibri" w:eastAsia="宋体" w:hAnsi="Calibri" w:cs="Calibri"/>
      <w:szCs w:val="21"/>
    </w:rPr>
  </w:style>
  <w:style w:type="paragraph" w:styleId="2">
    <w:name w:val="heading 2"/>
    <w:basedOn w:val="a"/>
    <w:next w:val="a"/>
    <w:link w:val="20"/>
    <w:uiPriority w:val="99"/>
    <w:qFormat/>
    <w:rsid w:val="00D26ABF"/>
    <w:pPr>
      <w:keepNext/>
      <w:keepLines/>
      <w:tabs>
        <w:tab w:val="left" w:pos="-2401"/>
        <w:tab w:val="num" w:pos="360"/>
      </w:tabs>
      <w:spacing w:before="260" w:after="260" w:line="415" w:lineRule="auto"/>
      <w:ind w:left="-2401" w:hanging="576"/>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sid w:val="00D26ABF"/>
    <w:rPr>
      <w:rFonts w:ascii="Arial" w:eastAsia="黑体" w:hAnsi="Arial" w:cs="Arial"/>
      <w:b/>
      <w:bCs/>
      <w:sz w:val="32"/>
      <w:szCs w:val="32"/>
    </w:rPr>
  </w:style>
  <w:style w:type="character" w:customStyle="1" w:styleId="3">
    <w:name w:val="正文文本缩进 3 字符"/>
    <w:basedOn w:val="a0"/>
    <w:link w:val="30"/>
    <w:uiPriority w:val="99"/>
    <w:locked/>
    <w:rsid w:val="00D26ABF"/>
    <w:rPr>
      <w:rFonts w:ascii="宋体" w:hAnsi="Times New Roman" w:cs="宋体"/>
      <w:sz w:val="28"/>
      <w:szCs w:val="28"/>
    </w:rPr>
  </w:style>
  <w:style w:type="paragraph" w:styleId="30">
    <w:name w:val="Body Text Indent 3"/>
    <w:basedOn w:val="a"/>
    <w:link w:val="3"/>
    <w:uiPriority w:val="99"/>
    <w:rsid w:val="00D26ABF"/>
    <w:pPr>
      <w:spacing w:line="400" w:lineRule="atLeast"/>
      <w:ind w:firstLine="600"/>
    </w:pPr>
    <w:rPr>
      <w:rFonts w:ascii="宋体" w:eastAsiaTheme="minorEastAsia" w:hAnsi="Times New Roman" w:cs="宋体"/>
      <w:sz w:val="28"/>
      <w:szCs w:val="28"/>
    </w:rPr>
  </w:style>
  <w:style w:type="character" w:customStyle="1" w:styleId="31">
    <w:name w:val="正文文本缩进 3 字符1"/>
    <w:basedOn w:val="a0"/>
    <w:uiPriority w:val="99"/>
    <w:semiHidden/>
    <w:rsid w:val="00D26ABF"/>
    <w:rPr>
      <w:rFonts w:ascii="Calibri" w:eastAsia="宋体" w:hAnsi="Calibri" w:cs="Calibri"/>
      <w:sz w:val="16"/>
      <w:szCs w:val="16"/>
    </w:rPr>
  </w:style>
  <w:style w:type="paragraph" w:customStyle="1" w:styleId="HD">
    <w:name w:val="HD正文"/>
    <w:basedOn w:val="a"/>
    <w:qFormat/>
    <w:rsid w:val="00D26ABF"/>
    <w:pPr>
      <w:snapToGrid w:val="0"/>
      <w:spacing w:line="360" w:lineRule="auto"/>
      <w:ind w:firstLineChars="200" w:firstLine="4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松泽</dc:creator>
  <cp:keywords/>
  <dc:description/>
  <cp:lastModifiedBy>李 松泽</cp:lastModifiedBy>
  <cp:revision>1</cp:revision>
  <dcterms:created xsi:type="dcterms:W3CDTF">2019-12-25T07:05:00Z</dcterms:created>
  <dcterms:modified xsi:type="dcterms:W3CDTF">2019-12-25T07:06:00Z</dcterms:modified>
</cp:coreProperties>
</file>