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13F" w:rsidRPr="002149AE" w:rsidRDefault="00F5013F" w:rsidP="00397616">
      <w:pPr>
        <w:autoSpaceDE w:val="0"/>
        <w:autoSpaceDN w:val="0"/>
        <w:adjustRightInd w:val="0"/>
        <w:spacing w:line="360" w:lineRule="auto"/>
        <w:jc w:val="left"/>
        <w:rPr>
          <w:rFonts w:ascii="宋体" w:cs="Arial"/>
          <w:color w:val="000000"/>
          <w:kern w:val="0"/>
          <w:sz w:val="24"/>
        </w:rPr>
      </w:pPr>
      <w:bookmarkStart w:id="0" w:name="_GoBack"/>
      <w:bookmarkEnd w:id="0"/>
    </w:p>
    <w:p w:rsidR="00F5013F" w:rsidRPr="002149AE" w:rsidRDefault="00F5013F" w:rsidP="00397616">
      <w:pPr>
        <w:autoSpaceDE w:val="0"/>
        <w:autoSpaceDN w:val="0"/>
        <w:adjustRightInd w:val="0"/>
        <w:spacing w:line="360" w:lineRule="auto"/>
        <w:jc w:val="left"/>
        <w:rPr>
          <w:rFonts w:ascii="宋体" w:cs="Arial"/>
          <w:color w:val="000000"/>
          <w:kern w:val="0"/>
          <w:sz w:val="24"/>
        </w:rPr>
      </w:pPr>
    </w:p>
    <w:p w:rsidR="00F5013F" w:rsidRPr="002149AE" w:rsidRDefault="00F5013F" w:rsidP="00397616">
      <w:pPr>
        <w:autoSpaceDE w:val="0"/>
        <w:autoSpaceDN w:val="0"/>
        <w:adjustRightInd w:val="0"/>
        <w:spacing w:line="360" w:lineRule="auto"/>
        <w:jc w:val="left"/>
        <w:rPr>
          <w:rFonts w:ascii="宋体" w:cs="Arial"/>
          <w:color w:val="000000"/>
          <w:kern w:val="0"/>
          <w:sz w:val="24"/>
        </w:rPr>
      </w:pPr>
    </w:p>
    <w:p w:rsidR="00F5013F" w:rsidRPr="002149AE" w:rsidRDefault="00F5013F" w:rsidP="00F22F00">
      <w:pPr>
        <w:autoSpaceDE w:val="0"/>
        <w:autoSpaceDN w:val="0"/>
        <w:adjustRightInd w:val="0"/>
        <w:spacing w:line="360" w:lineRule="auto"/>
        <w:jc w:val="left"/>
        <w:rPr>
          <w:rFonts w:ascii="宋体" w:cs="Arial"/>
          <w:color w:val="000000"/>
          <w:kern w:val="0"/>
          <w:sz w:val="24"/>
        </w:rPr>
      </w:pPr>
    </w:p>
    <w:p w:rsidR="00F5013F" w:rsidRPr="002149AE" w:rsidRDefault="00F5013F" w:rsidP="00506D57">
      <w:pPr>
        <w:spacing w:line="360" w:lineRule="auto"/>
        <w:jc w:val="center"/>
        <w:rPr>
          <w:rFonts w:ascii="宋体" w:hAnsi="宋体"/>
          <w:b/>
          <w:sz w:val="36"/>
          <w:szCs w:val="36"/>
        </w:rPr>
      </w:pPr>
      <w:r w:rsidRPr="002149AE">
        <w:rPr>
          <w:rFonts w:ascii="宋体" w:hAnsi="宋体"/>
          <w:b/>
          <w:sz w:val="36"/>
          <w:szCs w:val="36"/>
        </w:rPr>
        <w:t>易方达中证海外中国互联网50交易型开放式指数证券投资基金</w:t>
      </w:r>
    </w:p>
    <w:p w:rsidR="00F5013F" w:rsidRPr="002149AE" w:rsidRDefault="00F5013F" w:rsidP="00506D57">
      <w:pPr>
        <w:spacing w:line="360" w:lineRule="auto"/>
        <w:jc w:val="center"/>
        <w:rPr>
          <w:rFonts w:ascii="宋体" w:hAnsi="宋体"/>
          <w:b/>
          <w:sz w:val="36"/>
          <w:szCs w:val="36"/>
        </w:rPr>
      </w:pPr>
      <w:r w:rsidRPr="002149AE">
        <w:rPr>
          <w:rFonts w:ascii="宋体" w:hAnsi="宋体"/>
          <w:b/>
          <w:sz w:val="36"/>
          <w:szCs w:val="36"/>
        </w:rPr>
        <w:t>2019年第3季度报告</w:t>
      </w:r>
    </w:p>
    <w:p w:rsidR="00F5013F" w:rsidRPr="00CA4176" w:rsidRDefault="00F5013F" w:rsidP="00506D57">
      <w:pPr>
        <w:spacing w:line="360" w:lineRule="auto"/>
        <w:jc w:val="center"/>
        <w:rPr>
          <w:rFonts w:ascii="宋体" w:hAnsi="宋体"/>
          <w:b/>
          <w:sz w:val="24"/>
          <w:szCs w:val="36"/>
        </w:rPr>
      </w:pPr>
      <w:r w:rsidRPr="00CA4176">
        <w:rPr>
          <w:rFonts w:ascii="宋体" w:hAnsi="宋体"/>
          <w:b/>
          <w:sz w:val="24"/>
          <w:szCs w:val="36"/>
        </w:rPr>
        <w:t>2019年9月30日</w:t>
      </w: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0C6EE5"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547F92">
      <w:pPr>
        <w:spacing w:line="288" w:lineRule="auto"/>
        <w:ind w:firstLineChars="900" w:firstLine="2168"/>
        <w:rPr>
          <w:rFonts w:ascii="宋体"/>
          <w:b/>
          <w:color w:val="000000"/>
          <w:sz w:val="24"/>
        </w:rPr>
      </w:pPr>
    </w:p>
    <w:p w:rsidR="00F5013F" w:rsidRPr="002149AE" w:rsidRDefault="00F5013F" w:rsidP="00547F92">
      <w:pPr>
        <w:spacing w:line="360" w:lineRule="auto"/>
        <w:ind w:firstLineChars="900" w:firstLine="2168"/>
        <w:rPr>
          <w:rFonts w:ascii="宋体" w:hAnsi="宋体"/>
          <w:b/>
          <w:color w:val="000000"/>
          <w:sz w:val="24"/>
        </w:rPr>
      </w:pPr>
      <w:r w:rsidRPr="002149AE">
        <w:rPr>
          <w:rFonts w:ascii="宋体" w:hAnsi="宋体" w:hint="eastAsia"/>
          <w:b/>
          <w:color w:val="000000"/>
          <w:sz w:val="24"/>
        </w:rPr>
        <w:t>基金管理人：</w:t>
      </w:r>
      <w:r w:rsidRPr="002149AE">
        <w:rPr>
          <w:rFonts w:ascii="宋体" w:hAnsi="宋体"/>
          <w:b/>
          <w:color w:val="000000"/>
          <w:sz w:val="24"/>
        </w:rPr>
        <w:t>易方达基金管理有限公司</w:t>
      </w:r>
    </w:p>
    <w:p w:rsidR="00F5013F" w:rsidRPr="002149AE" w:rsidRDefault="00F5013F" w:rsidP="00547F92">
      <w:pPr>
        <w:spacing w:line="360" w:lineRule="auto"/>
        <w:ind w:firstLineChars="900" w:firstLine="2168"/>
        <w:rPr>
          <w:rFonts w:ascii="宋体" w:hAnsi="宋体"/>
          <w:b/>
          <w:color w:val="000000"/>
          <w:sz w:val="24"/>
        </w:rPr>
      </w:pPr>
      <w:r w:rsidRPr="002149AE">
        <w:rPr>
          <w:rFonts w:ascii="宋体" w:hAnsi="宋体" w:hint="eastAsia"/>
          <w:b/>
          <w:color w:val="000000"/>
          <w:sz w:val="24"/>
        </w:rPr>
        <w:t>基金托管人：</w:t>
      </w:r>
      <w:r w:rsidRPr="002149AE">
        <w:rPr>
          <w:rFonts w:ascii="宋体" w:hAnsi="宋体"/>
          <w:b/>
          <w:color w:val="000000"/>
          <w:sz w:val="24"/>
        </w:rPr>
        <w:t>招商银行股份有限公司</w:t>
      </w:r>
    </w:p>
    <w:p w:rsidR="00F5013F" w:rsidRPr="002149AE" w:rsidRDefault="00F5013F" w:rsidP="00547F92">
      <w:pPr>
        <w:spacing w:line="360" w:lineRule="auto"/>
        <w:ind w:firstLineChars="900" w:firstLine="2168"/>
        <w:rPr>
          <w:rFonts w:ascii="宋体" w:hAnsi="宋体"/>
          <w:b/>
          <w:color w:val="000000"/>
          <w:sz w:val="24"/>
        </w:rPr>
        <w:sectPr w:rsidR="00F5013F" w:rsidRPr="002149AE" w:rsidSect="00B918B8">
          <w:headerReference w:type="default" r:id="rId7"/>
          <w:footerReference w:type="default" r:id="rId8"/>
          <w:pgSz w:w="11926" w:h="15840"/>
          <w:pgMar w:top="1418" w:right="1418" w:bottom="851" w:left="1418" w:header="851" w:footer="992" w:gutter="0"/>
          <w:cols w:space="720"/>
          <w:noEndnote/>
        </w:sectPr>
      </w:pPr>
      <w:r w:rsidRPr="002149AE">
        <w:rPr>
          <w:rFonts w:ascii="宋体" w:hAnsi="宋体" w:hint="eastAsia"/>
          <w:b/>
          <w:color w:val="000000"/>
          <w:sz w:val="24"/>
        </w:rPr>
        <w:t>报告送出日期：</w:t>
      </w:r>
      <w:r w:rsidRPr="002149AE">
        <w:rPr>
          <w:rFonts w:ascii="宋体" w:hAnsi="宋体"/>
          <w:b/>
          <w:color w:val="000000"/>
          <w:sz w:val="24"/>
        </w:rPr>
        <w:t>二〇一九年十月二十四日</w:t>
      </w:r>
    </w:p>
    <w:p w:rsidR="00F5013F" w:rsidRPr="006506EF" w:rsidRDefault="00F5013F" w:rsidP="00543B38">
      <w:pPr>
        <w:pStyle w:val="1"/>
        <w:spacing w:beforeLines="100" w:before="312" w:afterLines="100" w:after="312" w:line="360" w:lineRule="auto"/>
        <w:jc w:val="center"/>
        <w:rPr>
          <w:b w:val="0"/>
          <w:color w:val="000000"/>
          <w:kern w:val="0"/>
          <w:sz w:val="24"/>
          <w:szCs w:val="24"/>
        </w:rPr>
      </w:pPr>
      <w:r w:rsidRPr="006506EF">
        <w:rPr>
          <w:color w:val="000000"/>
          <w:kern w:val="0"/>
          <w:sz w:val="24"/>
          <w:szCs w:val="24"/>
        </w:rPr>
        <w:lastRenderedPageBreak/>
        <w:t xml:space="preserve">§1  </w:t>
      </w:r>
      <w:r w:rsidRPr="006506EF">
        <w:rPr>
          <w:color w:val="000000"/>
          <w:kern w:val="0"/>
          <w:sz w:val="24"/>
          <w:szCs w:val="24"/>
        </w:rPr>
        <w:t>重要提示</w:t>
      </w:r>
    </w:p>
    <w:p w:rsidR="00F4071F" w:rsidRDefault="00FB4762">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4071F" w:rsidRDefault="00FB4762">
      <w:pPr>
        <w:spacing w:line="360" w:lineRule="auto"/>
        <w:ind w:firstLineChars="200" w:firstLine="480"/>
        <w:rPr>
          <w:color w:val="000000"/>
          <w:sz w:val="24"/>
        </w:rPr>
      </w:pPr>
      <w:r>
        <w:rPr>
          <w:color w:val="000000"/>
          <w:sz w:val="24"/>
        </w:rPr>
        <w:t>基金托管人招商银行股份有限公司根据本基金合同规定，于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4071F" w:rsidRDefault="00FB4762">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4071F" w:rsidRDefault="00FB4762">
      <w:pPr>
        <w:spacing w:line="360" w:lineRule="auto"/>
        <w:ind w:firstLineChars="200" w:firstLine="480"/>
        <w:rPr>
          <w:color w:val="000000"/>
          <w:sz w:val="24"/>
        </w:rPr>
      </w:pPr>
      <w:r>
        <w:rPr>
          <w:color w:val="000000"/>
          <w:sz w:val="24"/>
        </w:rPr>
        <w:t>基金</w:t>
      </w:r>
      <w:r>
        <w:rPr>
          <w:color w:val="000000"/>
          <w:sz w:val="24"/>
        </w:rPr>
        <w:t>的过往业绩并不代表其未来表现。投资有风险，投资者在作出投资决策前应仔细阅读本基金的招募说明书。</w:t>
      </w:r>
      <w:r>
        <w:rPr>
          <w:color w:val="000000"/>
          <w:sz w:val="24"/>
        </w:rPr>
        <w:t xml:space="preserve"> </w:t>
      </w:r>
    </w:p>
    <w:p w:rsidR="00F4071F" w:rsidRDefault="00FB4762">
      <w:pPr>
        <w:spacing w:line="360" w:lineRule="auto"/>
        <w:ind w:firstLineChars="200" w:firstLine="480"/>
        <w:rPr>
          <w:color w:val="000000"/>
          <w:sz w:val="24"/>
        </w:rPr>
      </w:pPr>
      <w:r>
        <w:rPr>
          <w:color w:val="000000"/>
          <w:sz w:val="24"/>
        </w:rPr>
        <w:t>本报告中财务资料未经审计。</w:t>
      </w:r>
    </w:p>
    <w:p w:rsidR="00F5013F" w:rsidRPr="006506EF" w:rsidRDefault="00F5013F" w:rsidP="00547F92">
      <w:pPr>
        <w:spacing w:line="360" w:lineRule="auto"/>
        <w:ind w:firstLineChars="200" w:firstLine="480"/>
        <w:rPr>
          <w:color w:val="000000"/>
          <w:sz w:val="24"/>
        </w:rPr>
      </w:pPr>
      <w:r w:rsidRPr="006506EF">
        <w:rPr>
          <w:color w:val="000000"/>
          <w:sz w:val="24"/>
        </w:rPr>
        <w:t>本报告期自</w:t>
      </w: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日起至</w:t>
      </w:r>
      <w:r w:rsidRPr="006506EF">
        <w:rPr>
          <w:color w:val="000000"/>
          <w:sz w:val="24"/>
        </w:rPr>
        <w:t>9</w:t>
      </w:r>
      <w:r w:rsidRPr="006506EF">
        <w:rPr>
          <w:color w:val="000000"/>
          <w:sz w:val="24"/>
        </w:rPr>
        <w:t>月</w:t>
      </w:r>
      <w:r w:rsidRPr="006506EF">
        <w:rPr>
          <w:color w:val="000000"/>
          <w:sz w:val="24"/>
        </w:rPr>
        <w:t>30</w:t>
      </w:r>
      <w:r w:rsidRPr="006506EF">
        <w:rPr>
          <w:color w:val="000000"/>
          <w:sz w:val="24"/>
        </w:rPr>
        <w:t>日止。</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§2  </w:t>
      </w:r>
      <w:r w:rsidRPr="006506EF">
        <w:rPr>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443"/>
      </w:tblGrid>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基金简称</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易方达中证海外中国互联网</w:t>
            </w:r>
            <w:r w:rsidRPr="006506EF">
              <w:rPr>
                <w:color w:val="000000"/>
                <w:kern w:val="0"/>
                <w:sz w:val="24"/>
              </w:rPr>
              <w:t>50</w:t>
            </w:r>
            <w:r w:rsidRPr="006506EF">
              <w:rPr>
                <w:color w:val="000000"/>
                <w:kern w:val="0"/>
                <w:sz w:val="24"/>
              </w:rPr>
              <w:t>（</w:t>
            </w:r>
            <w:r w:rsidRPr="006506EF">
              <w:rPr>
                <w:color w:val="000000"/>
                <w:kern w:val="0"/>
                <w:sz w:val="24"/>
              </w:rPr>
              <w:t>QDII-ETF</w:t>
            </w:r>
            <w:r w:rsidRPr="006506EF">
              <w:rPr>
                <w:color w:val="000000"/>
                <w:kern w:val="0"/>
                <w:sz w:val="24"/>
              </w:rPr>
              <w:t>）</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场内简称</w:t>
            </w:r>
          </w:p>
        </w:tc>
        <w:tc>
          <w:tcPr>
            <w:tcW w:w="5443"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中概互联</w:t>
            </w:r>
          </w:p>
        </w:tc>
      </w:tr>
      <w:tr w:rsidR="002E6FB9" w:rsidRPr="006506EF" w:rsidTr="0063648A">
        <w:tc>
          <w:tcPr>
            <w:tcW w:w="2977" w:type="dxa"/>
          </w:tcPr>
          <w:p w:rsidR="002E6FB9" w:rsidRPr="006506EF" w:rsidRDefault="002E6FB9" w:rsidP="0063648A">
            <w:pPr>
              <w:adjustRightInd w:val="0"/>
              <w:spacing w:before="29" w:line="360" w:lineRule="auto"/>
              <w:ind w:left="17"/>
              <w:jc w:val="left"/>
              <w:rPr>
                <w:kern w:val="0"/>
                <w:sz w:val="24"/>
              </w:rPr>
            </w:pPr>
            <w:r w:rsidRPr="006506EF">
              <w:rPr>
                <w:kern w:val="0"/>
                <w:sz w:val="24"/>
              </w:rPr>
              <w:t>基金主代码</w:t>
            </w:r>
          </w:p>
        </w:tc>
        <w:tc>
          <w:tcPr>
            <w:tcW w:w="5443" w:type="dxa"/>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513050</w:t>
            </w:r>
          </w:p>
        </w:tc>
      </w:tr>
      <w:tr w:rsidR="002E6FB9" w:rsidRPr="006506EF" w:rsidTr="0063648A">
        <w:tc>
          <w:tcPr>
            <w:tcW w:w="2977" w:type="dxa"/>
          </w:tcPr>
          <w:p w:rsidR="002E6FB9" w:rsidRPr="006506EF" w:rsidRDefault="002E6FB9" w:rsidP="0063648A">
            <w:pPr>
              <w:adjustRightInd w:val="0"/>
              <w:spacing w:before="29" w:line="360" w:lineRule="auto"/>
              <w:ind w:left="17"/>
              <w:jc w:val="left"/>
              <w:rPr>
                <w:kern w:val="0"/>
                <w:sz w:val="24"/>
              </w:rPr>
            </w:pPr>
            <w:r w:rsidRPr="006506EF">
              <w:rPr>
                <w:kern w:val="0"/>
                <w:sz w:val="24"/>
              </w:rPr>
              <w:t>交易代码</w:t>
            </w:r>
          </w:p>
        </w:tc>
        <w:tc>
          <w:tcPr>
            <w:tcW w:w="5443" w:type="dxa"/>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513050</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基金运作方式</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交易型开放式（</w:t>
            </w:r>
            <w:r w:rsidRPr="006506EF">
              <w:rPr>
                <w:color w:val="000000"/>
                <w:kern w:val="0"/>
                <w:sz w:val="24"/>
              </w:rPr>
              <w:t>ETF</w:t>
            </w:r>
            <w:r w:rsidRPr="006506EF">
              <w:rPr>
                <w:color w:val="000000"/>
                <w:kern w:val="0"/>
                <w:sz w:val="24"/>
              </w:rPr>
              <w:t>）</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基金合同生效日</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2017</w:t>
            </w:r>
            <w:r w:rsidRPr="006506EF">
              <w:rPr>
                <w:color w:val="000000"/>
                <w:kern w:val="0"/>
                <w:sz w:val="24"/>
              </w:rPr>
              <w:t>年</w:t>
            </w:r>
            <w:r w:rsidRPr="006506EF">
              <w:rPr>
                <w:color w:val="000000"/>
                <w:kern w:val="0"/>
                <w:sz w:val="24"/>
              </w:rPr>
              <w:t>1</w:t>
            </w:r>
            <w:r w:rsidRPr="006506EF">
              <w:rPr>
                <w:color w:val="000000"/>
                <w:kern w:val="0"/>
                <w:sz w:val="24"/>
              </w:rPr>
              <w:t>月</w:t>
            </w:r>
            <w:r w:rsidRPr="006506EF">
              <w:rPr>
                <w:color w:val="000000"/>
                <w:kern w:val="0"/>
                <w:sz w:val="24"/>
              </w:rPr>
              <w:t>4</w:t>
            </w:r>
            <w:r w:rsidRPr="006506EF">
              <w:rPr>
                <w:color w:val="000000"/>
                <w:kern w:val="0"/>
                <w:sz w:val="24"/>
              </w:rPr>
              <w:t>日</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报告期末基金份额总额</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997,432,720.00</w:t>
            </w:r>
            <w:r w:rsidRPr="006506EF">
              <w:rPr>
                <w:color w:val="000000"/>
                <w:kern w:val="0"/>
                <w:sz w:val="24"/>
              </w:rPr>
              <w:t>份</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投资目标</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紧密跟踪标的指数，追求跟踪偏离度及跟踪误差的最小化。</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投资策略</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作为追踪中证海外中国互联网</w:t>
            </w:r>
            <w:r w:rsidRPr="006506EF">
              <w:rPr>
                <w:color w:val="000000"/>
                <w:kern w:val="0"/>
                <w:sz w:val="24"/>
              </w:rPr>
              <w:t>50</w:t>
            </w:r>
            <w:r w:rsidRPr="006506EF">
              <w:rPr>
                <w:color w:val="000000"/>
                <w:kern w:val="0"/>
                <w:sz w:val="24"/>
              </w:rPr>
              <w:t>指数的被动式海外指数基金，本基金主要采取组合复制策略和适当的替代性策略实现对标的指数的紧密跟踪。</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业绩比较基准</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中证海外中国互联网</w:t>
            </w:r>
            <w:r w:rsidRPr="006506EF">
              <w:rPr>
                <w:color w:val="000000"/>
                <w:kern w:val="0"/>
                <w:sz w:val="24"/>
              </w:rPr>
              <w:t>50</w:t>
            </w:r>
            <w:r w:rsidRPr="006506EF">
              <w:rPr>
                <w:color w:val="000000"/>
                <w:kern w:val="0"/>
                <w:sz w:val="24"/>
              </w:rPr>
              <w:t>指数</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lastRenderedPageBreak/>
              <w:t>风险收益特征</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本基金属股票指数基金，预期风险与收益水平高于混合基金、债券基金与货币市场基金。本基金主要采用完全复制法跟踪标的指数的表现，具有与标的指数相似的风险收益特征。</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基金管理人</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易方达基金管理有限公司</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基金托管人</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招商银行股份有限公司</w:t>
            </w:r>
          </w:p>
        </w:tc>
      </w:tr>
      <w:tr w:rsidR="002E6FB9" w:rsidRPr="006506EF" w:rsidTr="0063648A">
        <w:tc>
          <w:tcPr>
            <w:tcW w:w="2977" w:type="dxa"/>
            <w:vMerge w:val="restart"/>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境外投资顾问</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英文名称</w:t>
            </w:r>
            <w:r>
              <w:rPr>
                <w:kern w:val="0"/>
                <w:sz w:val="24"/>
              </w:rPr>
              <w:t>：</w:t>
            </w:r>
            <w:r w:rsidRPr="006506EF">
              <w:rPr>
                <w:color w:val="000000"/>
                <w:kern w:val="0"/>
                <w:sz w:val="24"/>
              </w:rPr>
              <w:t>无</w:t>
            </w:r>
          </w:p>
        </w:tc>
      </w:tr>
      <w:tr w:rsidR="002E6FB9" w:rsidRPr="006506EF" w:rsidTr="0063648A">
        <w:tc>
          <w:tcPr>
            <w:tcW w:w="2977" w:type="dxa"/>
            <w:vMerge/>
            <w:vAlign w:val="center"/>
          </w:tcPr>
          <w:p w:rsidR="002E6FB9" w:rsidRPr="006506EF" w:rsidRDefault="002E6FB9" w:rsidP="0063648A">
            <w:pPr>
              <w:adjustRightInd w:val="0"/>
              <w:spacing w:before="29" w:line="360" w:lineRule="auto"/>
              <w:jc w:val="left"/>
              <w:rPr>
                <w:kern w:val="0"/>
                <w:sz w:val="24"/>
              </w:rPr>
            </w:pP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中文名称</w:t>
            </w:r>
            <w:r>
              <w:rPr>
                <w:kern w:val="0"/>
                <w:sz w:val="24"/>
              </w:rPr>
              <w:t>：</w:t>
            </w:r>
            <w:r w:rsidRPr="006506EF">
              <w:rPr>
                <w:color w:val="000000"/>
                <w:kern w:val="0"/>
                <w:sz w:val="24"/>
              </w:rPr>
              <w:t>无</w:t>
            </w:r>
          </w:p>
        </w:tc>
      </w:tr>
      <w:tr w:rsidR="002E6FB9" w:rsidRPr="006506EF" w:rsidTr="0063648A">
        <w:tc>
          <w:tcPr>
            <w:tcW w:w="2977" w:type="dxa"/>
            <w:vMerge w:val="restart"/>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境外资产托管人</w:t>
            </w:r>
          </w:p>
        </w:tc>
        <w:tc>
          <w:tcPr>
            <w:tcW w:w="5443" w:type="dxa"/>
            <w:vAlign w:val="center"/>
          </w:tcPr>
          <w:p w:rsidR="002E6FB9" w:rsidRPr="006506EF" w:rsidRDefault="002E6FB9" w:rsidP="00A53DD8">
            <w:pPr>
              <w:adjustRightInd w:val="0"/>
              <w:spacing w:before="29" w:line="360" w:lineRule="auto"/>
              <w:ind w:left="17"/>
              <w:jc w:val="left"/>
              <w:rPr>
                <w:color w:val="000000"/>
                <w:kern w:val="0"/>
                <w:sz w:val="24"/>
              </w:rPr>
            </w:pPr>
            <w:r w:rsidRPr="006506EF">
              <w:rPr>
                <w:kern w:val="0"/>
                <w:sz w:val="24"/>
              </w:rPr>
              <w:t>英文名称</w:t>
            </w:r>
            <w:r>
              <w:rPr>
                <w:kern w:val="0"/>
                <w:sz w:val="24"/>
              </w:rPr>
              <w:t>：</w:t>
            </w:r>
            <w:r w:rsidRPr="006506EF">
              <w:rPr>
                <w:color w:val="000000"/>
                <w:kern w:val="0"/>
                <w:sz w:val="24"/>
              </w:rPr>
              <w:t>The Hongkong and Shanghai Banking Corporation Limited</w:t>
            </w:r>
          </w:p>
        </w:tc>
      </w:tr>
      <w:tr w:rsidR="002E6FB9" w:rsidRPr="006506EF" w:rsidTr="0063648A">
        <w:tc>
          <w:tcPr>
            <w:tcW w:w="2977" w:type="dxa"/>
            <w:vMerge/>
            <w:vAlign w:val="center"/>
          </w:tcPr>
          <w:p w:rsidR="002E6FB9" w:rsidRPr="006506EF" w:rsidRDefault="002E6FB9" w:rsidP="0063648A">
            <w:pPr>
              <w:adjustRightInd w:val="0"/>
              <w:spacing w:before="29" w:line="360" w:lineRule="auto"/>
              <w:ind w:left="17"/>
              <w:jc w:val="left"/>
              <w:rPr>
                <w:kern w:val="0"/>
                <w:sz w:val="24"/>
              </w:rPr>
            </w:pPr>
          </w:p>
        </w:tc>
        <w:tc>
          <w:tcPr>
            <w:tcW w:w="5443" w:type="dxa"/>
            <w:vAlign w:val="center"/>
          </w:tcPr>
          <w:p w:rsidR="002E6FB9" w:rsidRPr="006506EF" w:rsidRDefault="002E6FB9" w:rsidP="00F23F0E">
            <w:pPr>
              <w:adjustRightInd w:val="0"/>
              <w:spacing w:before="29" w:line="360" w:lineRule="auto"/>
              <w:ind w:left="17"/>
              <w:jc w:val="left"/>
              <w:rPr>
                <w:color w:val="000000"/>
                <w:kern w:val="0"/>
                <w:sz w:val="24"/>
              </w:rPr>
            </w:pPr>
            <w:r w:rsidRPr="006506EF">
              <w:rPr>
                <w:kern w:val="0"/>
                <w:sz w:val="24"/>
              </w:rPr>
              <w:t>中文名称</w:t>
            </w:r>
            <w:r>
              <w:rPr>
                <w:kern w:val="0"/>
                <w:sz w:val="24"/>
              </w:rPr>
              <w:t>：</w:t>
            </w:r>
            <w:r w:rsidR="00A53DD8" w:rsidRPr="006506EF">
              <w:rPr>
                <w:color w:val="000000"/>
                <w:kern w:val="0"/>
                <w:sz w:val="24"/>
              </w:rPr>
              <w:t xml:space="preserve"> </w:t>
            </w:r>
            <w:r w:rsidRPr="006506EF">
              <w:rPr>
                <w:color w:val="000000"/>
                <w:kern w:val="0"/>
                <w:sz w:val="24"/>
              </w:rPr>
              <w:t>香港上海汇丰银行有限公司</w:t>
            </w:r>
          </w:p>
        </w:tc>
      </w:tr>
    </w:tbl>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§3  </w:t>
      </w:r>
      <w:r w:rsidRPr="006506EF">
        <w:rPr>
          <w:color w:val="000000"/>
          <w:kern w:val="0"/>
          <w:sz w:val="24"/>
          <w:szCs w:val="24"/>
        </w:rPr>
        <w:t>主要财务指标和基金净值表现</w:t>
      </w:r>
    </w:p>
    <w:p w:rsidR="00F5013F" w:rsidRPr="006506EF" w:rsidRDefault="00F5013F" w:rsidP="00506D57">
      <w:pPr>
        <w:autoSpaceDE w:val="0"/>
        <w:autoSpaceDN w:val="0"/>
        <w:adjustRightInd w:val="0"/>
        <w:spacing w:line="360" w:lineRule="auto"/>
        <w:jc w:val="left"/>
        <w:rPr>
          <w:b/>
          <w:color w:val="000000"/>
          <w:kern w:val="0"/>
          <w:sz w:val="24"/>
        </w:rPr>
      </w:pPr>
      <w:r w:rsidRPr="006506EF">
        <w:rPr>
          <w:b/>
          <w:color w:val="000000"/>
          <w:kern w:val="0"/>
          <w:sz w:val="24"/>
        </w:rPr>
        <w:t xml:space="preserve">3.1 </w:t>
      </w:r>
      <w:r w:rsidRPr="006506EF">
        <w:rPr>
          <w:b/>
          <w:color w:val="000000"/>
          <w:kern w:val="0"/>
          <w:sz w:val="24"/>
        </w:rPr>
        <w:t>主要财务指标</w:t>
      </w:r>
    </w:p>
    <w:p w:rsidR="00F5013F" w:rsidRPr="006506EF" w:rsidRDefault="00F5013F" w:rsidP="008B6A4A">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F5013F" w:rsidRPr="006506EF" w:rsidTr="00B918B8">
        <w:tc>
          <w:tcPr>
            <w:tcW w:w="3402" w:type="dxa"/>
            <w:vAlign w:val="center"/>
          </w:tcPr>
          <w:p w:rsidR="00F5013F" w:rsidRPr="006506EF" w:rsidRDefault="00F5013F" w:rsidP="00B918B8">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F5013F" w:rsidRPr="006506EF" w:rsidRDefault="00F5013F" w:rsidP="000306F0">
            <w:pPr>
              <w:adjustRightInd w:val="0"/>
              <w:spacing w:before="29" w:line="360" w:lineRule="auto"/>
              <w:ind w:left="17"/>
              <w:jc w:val="center"/>
              <w:rPr>
                <w:color w:val="000000"/>
                <w:sz w:val="24"/>
              </w:rPr>
            </w:pPr>
            <w:r w:rsidRPr="006506EF">
              <w:rPr>
                <w:color w:val="000000"/>
                <w:sz w:val="24"/>
              </w:rPr>
              <w:t>报告期</w:t>
            </w:r>
          </w:p>
          <w:p w:rsidR="00F5013F" w:rsidRPr="006506EF" w:rsidRDefault="00F5013F" w:rsidP="000306F0">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F5013F" w:rsidRPr="006506EF" w:rsidRDefault="00F5013F" w:rsidP="00B918B8">
            <w:pPr>
              <w:adjustRightInd w:val="0"/>
              <w:spacing w:before="29" w:line="360" w:lineRule="auto"/>
              <w:ind w:left="17"/>
              <w:jc w:val="center"/>
              <w:rPr>
                <w:color w:val="000000"/>
                <w:sz w:val="24"/>
              </w:rPr>
            </w:pPr>
            <w:r w:rsidRPr="006506EF">
              <w:rPr>
                <w:color w:val="000000"/>
                <w:sz w:val="24"/>
              </w:rPr>
              <w:t>上期金额</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-2,287,446.99</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-17,602,013.34</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-0.0219</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1,186,280,440.54</w:t>
            </w:r>
          </w:p>
        </w:tc>
        <w:tc>
          <w:tcPr>
            <w:tcW w:w="2410" w:type="dxa"/>
            <w:hMerge/>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rPr>
          <w:trHeight w:val="158"/>
        </w:trPr>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1.1893</w:t>
            </w:r>
          </w:p>
        </w:tc>
        <w:tc>
          <w:tcPr>
            <w:tcW w:w="2410" w:type="dxa"/>
            <w:hMerge/>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bl>
    <w:p w:rsidR="00F4071F" w:rsidRDefault="00FB4762">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3.2 </w:t>
      </w:r>
      <w:r w:rsidRPr="006506EF">
        <w:rPr>
          <w:b/>
          <w:color w:val="000000"/>
          <w:kern w:val="0"/>
          <w:sz w:val="24"/>
        </w:rPr>
        <w:t>基金净值表现</w:t>
      </w:r>
    </w:p>
    <w:p w:rsidR="00F5013F" w:rsidRPr="006506EF" w:rsidRDefault="00F5013F" w:rsidP="00EC4BA3">
      <w:pPr>
        <w:autoSpaceDE w:val="0"/>
        <w:autoSpaceDN w:val="0"/>
        <w:adjustRightInd w:val="0"/>
        <w:spacing w:line="360"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506EF">
          <w:rPr>
            <w:b/>
            <w:color w:val="000000"/>
            <w:kern w:val="0"/>
            <w:sz w:val="24"/>
          </w:rPr>
          <w:lastRenderedPageBreak/>
          <w:t>3.2.1</w:t>
        </w:r>
      </w:smartTag>
      <w:r w:rsidRPr="006506EF">
        <w:rPr>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F5013F" w:rsidRPr="006506EF" w:rsidTr="00B918B8">
        <w:tc>
          <w:tcPr>
            <w:tcW w:w="1395"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阶段</w:t>
            </w:r>
          </w:p>
        </w:tc>
        <w:tc>
          <w:tcPr>
            <w:tcW w:w="1092"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净值增长率</w:t>
            </w:r>
            <w:r w:rsidRPr="006506EF">
              <w:rPr>
                <w:rFonts w:ascii="宋体" w:hAnsi="宋体" w:cs="宋体" w:hint="eastAsia"/>
                <w:color w:val="000000"/>
                <w:sz w:val="24"/>
              </w:rPr>
              <w:t>①</w:t>
            </w:r>
          </w:p>
        </w:tc>
        <w:tc>
          <w:tcPr>
            <w:tcW w:w="1161"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净值增长率标准差</w:t>
            </w:r>
            <w:r w:rsidRPr="006506EF">
              <w:rPr>
                <w:rFonts w:ascii="宋体" w:hAnsi="宋体" w:cs="宋体" w:hint="eastAsia"/>
                <w:color w:val="000000"/>
                <w:sz w:val="24"/>
              </w:rPr>
              <w:t>②</w:t>
            </w:r>
          </w:p>
        </w:tc>
        <w:tc>
          <w:tcPr>
            <w:tcW w:w="1181"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业绩比较基准收益率</w:t>
            </w:r>
            <w:r w:rsidRPr="006506EF">
              <w:rPr>
                <w:rFonts w:ascii="宋体" w:hAnsi="宋体" w:cs="宋体" w:hint="eastAsia"/>
                <w:color w:val="000000"/>
                <w:sz w:val="24"/>
              </w:rPr>
              <w:t>③</w:t>
            </w:r>
          </w:p>
        </w:tc>
        <w:tc>
          <w:tcPr>
            <w:tcW w:w="1188"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业绩比较基准收益率标准差</w:t>
            </w:r>
            <w:r w:rsidRPr="006506EF">
              <w:rPr>
                <w:rFonts w:ascii="宋体" w:hAnsi="宋体" w:cs="宋体" w:hint="eastAsia"/>
                <w:color w:val="000000"/>
                <w:sz w:val="24"/>
              </w:rPr>
              <w:t>④</w:t>
            </w:r>
          </w:p>
        </w:tc>
        <w:tc>
          <w:tcPr>
            <w:tcW w:w="1199"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rFonts w:ascii="宋体" w:hAnsi="宋体" w:cs="宋体" w:hint="eastAsia"/>
                <w:color w:val="000000"/>
                <w:sz w:val="24"/>
              </w:rPr>
              <w:t>①</w:t>
            </w:r>
            <w:r w:rsidRPr="006506EF">
              <w:rPr>
                <w:color w:val="000000"/>
                <w:sz w:val="24"/>
              </w:rPr>
              <w:t>-</w:t>
            </w:r>
            <w:r w:rsidRPr="006506EF">
              <w:rPr>
                <w:rFonts w:ascii="宋体" w:hAnsi="宋体" w:cs="宋体" w:hint="eastAsia"/>
                <w:color w:val="000000"/>
                <w:sz w:val="24"/>
              </w:rPr>
              <w:t>③</w:t>
            </w:r>
          </w:p>
        </w:tc>
        <w:tc>
          <w:tcPr>
            <w:tcW w:w="1204"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rFonts w:ascii="宋体" w:hAnsi="宋体" w:cs="宋体" w:hint="eastAsia"/>
                <w:color w:val="000000"/>
                <w:sz w:val="24"/>
              </w:rPr>
              <w:t>②</w:t>
            </w:r>
            <w:r w:rsidRPr="006506EF">
              <w:rPr>
                <w:color w:val="000000"/>
                <w:sz w:val="24"/>
              </w:rPr>
              <w:t>-</w:t>
            </w:r>
            <w:r w:rsidRPr="006506EF">
              <w:rPr>
                <w:rFonts w:ascii="宋体" w:hAnsi="宋体" w:cs="宋体" w:hint="eastAsia"/>
                <w:color w:val="000000"/>
                <w:sz w:val="24"/>
              </w:rPr>
              <w:t>④</w:t>
            </w:r>
          </w:p>
        </w:tc>
      </w:tr>
      <w:tr w:rsidR="00F4071F">
        <w:tc>
          <w:tcPr>
            <w:tcW w:w="1395" w:type="dxa"/>
            <w:vAlign w:val="center"/>
          </w:tcPr>
          <w:p w:rsidR="00F4071F" w:rsidRDefault="00FB4762">
            <w:pPr>
              <w:jc w:val="left"/>
            </w:pPr>
            <w:r>
              <w:rPr>
                <w:color w:val="000000"/>
                <w:sz w:val="24"/>
              </w:rPr>
              <w:t>过去三个月</w:t>
            </w:r>
          </w:p>
        </w:tc>
        <w:tc>
          <w:tcPr>
            <w:tcW w:w="1092" w:type="dxa"/>
            <w:vAlign w:val="center"/>
          </w:tcPr>
          <w:p w:rsidR="00F4071F" w:rsidRDefault="00FB4762">
            <w:pPr>
              <w:jc w:val="right"/>
            </w:pPr>
            <w:r>
              <w:rPr>
                <w:color w:val="000000"/>
                <w:sz w:val="24"/>
              </w:rPr>
              <w:t>-1.74%</w:t>
            </w:r>
          </w:p>
        </w:tc>
        <w:tc>
          <w:tcPr>
            <w:tcW w:w="1161" w:type="dxa"/>
            <w:vAlign w:val="center"/>
          </w:tcPr>
          <w:p w:rsidR="00F4071F" w:rsidRDefault="00FB4762">
            <w:pPr>
              <w:jc w:val="right"/>
            </w:pPr>
            <w:r>
              <w:rPr>
                <w:color w:val="000000"/>
                <w:sz w:val="24"/>
              </w:rPr>
              <w:t>1.39%</w:t>
            </w:r>
          </w:p>
        </w:tc>
        <w:tc>
          <w:tcPr>
            <w:tcW w:w="1181" w:type="dxa"/>
            <w:vAlign w:val="center"/>
          </w:tcPr>
          <w:p w:rsidR="00F4071F" w:rsidRDefault="00FB4762">
            <w:pPr>
              <w:jc w:val="right"/>
            </w:pPr>
            <w:r>
              <w:rPr>
                <w:color w:val="000000"/>
                <w:sz w:val="24"/>
              </w:rPr>
              <w:t>-1.52%</w:t>
            </w:r>
          </w:p>
        </w:tc>
        <w:tc>
          <w:tcPr>
            <w:tcW w:w="1188" w:type="dxa"/>
            <w:vAlign w:val="center"/>
          </w:tcPr>
          <w:p w:rsidR="00F4071F" w:rsidRDefault="00FB4762">
            <w:pPr>
              <w:jc w:val="right"/>
            </w:pPr>
            <w:r>
              <w:rPr>
                <w:color w:val="000000"/>
                <w:sz w:val="24"/>
              </w:rPr>
              <w:t>1.39%</w:t>
            </w:r>
          </w:p>
        </w:tc>
        <w:tc>
          <w:tcPr>
            <w:tcW w:w="1199" w:type="dxa"/>
            <w:vAlign w:val="center"/>
          </w:tcPr>
          <w:p w:rsidR="00F4071F" w:rsidRDefault="00FB4762">
            <w:pPr>
              <w:jc w:val="right"/>
            </w:pPr>
            <w:r>
              <w:rPr>
                <w:color w:val="000000"/>
                <w:sz w:val="24"/>
              </w:rPr>
              <w:t>-0.22%</w:t>
            </w:r>
          </w:p>
        </w:tc>
        <w:tc>
          <w:tcPr>
            <w:tcW w:w="1204" w:type="dxa"/>
            <w:vAlign w:val="center"/>
          </w:tcPr>
          <w:p w:rsidR="00F4071F" w:rsidRDefault="00FB4762">
            <w:pPr>
              <w:jc w:val="right"/>
            </w:pPr>
            <w:r>
              <w:rPr>
                <w:color w:val="000000"/>
                <w:sz w:val="24"/>
              </w:rPr>
              <w:t>0.00%</w:t>
            </w:r>
          </w:p>
        </w:tc>
      </w:tr>
    </w:tbl>
    <w:p w:rsidR="00F5013F" w:rsidRPr="006506EF" w:rsidRDefault="00F5013F" w:rsidP="00EC4BA3">
      <w:pPr>
        <w:autoSpaceDE w:val="0"/>
        <w:autoSpaceDN w:val="0"/>
        <w:adjustRightInd w:val="0"/>
        <w:spacing w:line="360"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506EF">
          <w:rPr>
            <w:b/>
            <w:color w:val="000000"/>
            <w:kern w:val="0"/>
            <w:sz w:val="24"/>
          </w:rPr>
          <w:t>3.2.2</w:t>
        </w:r>
        <w:r w:rsidRPr="006506EF">
          <w:rPr>
            <w:b/>
            <w:color w:val="000000"/>
            <w:kern w:val="0"/>
            <w:sz w:val="24"/>
          </w:rPr>
          <w:t xml:space="preserve">　</w:t>
        </w:r>
        <w:r w:rsidR="00DF4456" w:rsidRPr="006506EF">
          <w:rPr>
            <w:rStyle w:val="af8"/>
            <w:color w:val="000000"/>
            <w:sz w:val="24"/>
            <w:shd w:val="clear" w:color="auto" w:fill="FFFFFF"/>
          </w:rPr>
          <w:t>自基金合同生效以来</w:t>
        </w:r>
      </w:smartTag>
      <w:r w:rsidRPr="006506EF">
        <w:rPr>
          <w:b/>
          <w:color w:val="000000"/>
          <w:kern w:val="0"/>
          <w:sz w:val="24"/>
        </w:rPr>
        <w:t>基金累计</w:t>
      </w:r>
      <w:r w:rsidR="000C6EE5" w:rsidRPr="006506EF">
        <w:rPr>
          <w:b/>
          <w:color w:val="000000"/>
          <w:kern w:val="0"/>
          <w:sz w:val="24"/>
        </w:rPr>
        <w:t>份额</w:t>
      </w:r>
      <w:r w:rsidRPr="006506EF">
        <w:rPr>
          <w:b/>
          <w:color w:val="000000"/>
          <w:kern w:val="0"/>
          <w:sz w:val="24"/>
        </w:rPr>
        <w:t>净值增长率变动及其与同期业绩比较基准收益率变动的比较</w:t>
      </w:r>
    </w:p>
    <w:p w:rsidR="00F5013F" w:rsidRPr="006506EF" w:rsidRDefault="00F5013F" w:rsidP="00EC4BA3">
      <w:pPr>
        <w:spacing w:line="360" w:lineRule="auto"/>
        <w:jc w:val="center"/>
        <w:rPr>
          <w:sz w:val="24"/>
        </w:rPr>
      </w:pPr>
      <w:r w:rsidRPr="006506EF">
        <w:rPr>
          <w:sz w:val="24"/>
        </w:rPr>
        <w:t>易方达中证海外中国互联网</w:t>
      </w:r>
      <w:r w:rsidRPr="006506EF">
        <w:rPr>
          <w:sz w:val="24"/>
        </w:rPr>
        <w:t>50</w:t>
      </w:r>
      <w:r w:rsidRPr="006506EF">
        <w:rPr>
          <w:sz w:val="24"/>
        </w:rPr>
        <w:t>交易型开放式指数证券投资基金</w:t>
      </w:r>
    </w:p>
    <w:p w:rsidR="00F5013F" w:rsidRPr="006506EF" w:rsidRDefault="00F5013F" w:rsidP="00EC4BA3">
      <w:pPr>
        <w:pStyle w:val="a5"/>
        <w:snapToGrid w:val="0"/>
        <w:spacing w:line="360" w:lineRule="auto"/>
        <w:ind w:firstLine="480"/>
        <w:jc w:val="center"/>
        <w:rPr>
          <w:rFonts w:ascii="Times New Roman" w:hAnsi="Times New Roman"/>
          <w:color w:val="000000"/>
          <w:sz w:val="24"/>
          <w:szCs w:val="24"/>
        </w:rPr>
      </w:pPr>
      <w:r w:rsidRPr="006506EF">
        <w:rPr>
          <w:rFonts w:ascii="Times New Roman" w:hAnsi="Times New Roman"/>
          <w:color w:val="000000"/>
          <w:sz w:val="24"/>
          <w:szCs w:val="24"/>
        </w:rPr>
        <w:t>累计净值增长率与业绩比较基准收益率的历史走势对比图</w:t>
      </w:r>
    </w:p>
    <w:p w:rsidR="00F5013F" w:rsidRPr="006506EF" w:rsidRDefault="00F5013F" w:rsidP="00EC4BA3">
      <w:pPr>
        <w:spacing w:line="360" w:lineRule="auto"/>
        <w:jc w:val="center"/>
        <w:rPr>
          <w:sz w:val="24"/>
        </w:rPr>
      </w:pPr>
      <w:r w:rsidRPr="006506EF">
        <w:rPr>
          <w:color w:val="000000"/>
          <w:kern w:val="0"/>
          <w:sz w:val="24"/>
        </w:rPr>
        <w:t>（</w:t>
      </w:r>
      <w:r w:rsidRPr="006506EF">
        <w:rPr>
          <w:color w:val="000000"/>
          <w:kern w:val="0"/>
          <w:sz w:val="24"/>
        </w:rPr>
        <w:t>2017</w:t>
      </w:r>
      <w:r w:rsidRPr="006506EF">
        <w:rPr>
          <w:color w:val="000000"/>
          <w:kern w:val="0"/>
          <w:sz w:val="24"/>
        </w:rPr>
        <w:t>年</w:t>
      </w:r>
      <w:r w:rsidRPr="006506EF">
        <w:rPr>
          <w:color w:val="000000"/>
          <w:kern w:val="0"/>
          <w:sz w:val="24"/>
        </w:rPr>
        <w:t>1</w:t>
      </w:r>
      <w:r w:rsidRPr="006506EF">
        <w:rPr>
          <w:color w:val="000000"/>
          <w:kern w:val="0"/>
          <w:sz w:val="24"/>
        </w:rPr>
        <w:t>月</w:t>
      </w:r>
      <w:r w:rsidRPr="006506EF">
        <w:rPr>
          <w:color w:val="000000"/>
          <w:kern w:val="0"/>
          <w:sz w:val="24"/>
        </w:rPr>
        <w:t>4</w:t>
      </w:r>
      <w:r w:rsidRPr="006506EF">
        <w:rPr>
          <w:color w:val="000000"/>
          <w:kern w:val="0"/>
          <w:sz w:val="24"/>
        </w:rPr>
        <w:t>日至</w:t>
      </w:r>
      <w:r w:rsidRPr="006506EF">
        <w:rPr>
          <w:color w:val="000000"/>
          <w:kern w:val="0"/>
          <w:sz w:val="24"/>
        </w:rPr>
        <w:t>2019</w:t>
      </w:r>
      <w:r w:rsidRPr="006506EF">
        <w:rPr>
          <w:color w:val="000000"/>
          <w:kern w:val="0"/>
          <w:sz w:val="24"/>
        </w:rPr>
        <w:t>年</w:t>
      </w:r>
      <w:r w:rsidRPr="006506EF">
        <w:rPr>
          <w:color w:val="000000"/>
          <w:kern w:val="0"/>
          <w:sz w:val="24"/>
        </w:rPr>
        <w:t>9</w:t>
      </w:r>
      <w:r w:rsidRPr="006506EF">
        <w:rPr>
          <w:color w:val="000000"/>
          <w:kern w:val="0"/>
          <w:sz w:val="24"/>
        </w:rPr>
        <w:t>月</w:t>
      </w:r>
      <w:r w:rsidRPr="006506EF">
        <w:rPr>
          <w:color w:val="000000"/>
          <w:kern w:val="0"/>
          <w:sz w:val="24"/>
        </w:rPr>
        <w:t>30</w:t>
      </w:r>
      <w:r w:rsidRPr="006506EF">
        <w:rPr>
          <w:color w:val="000000"/>
          <w:kern w:val="0"/>
          <w:sz w:val="24"/>
        </w:rPr>
        <w:t>日）</w:t>
      </w:r>
    </w:p>
    <w:p w:rsidR="00F5013F" w:rsidRPr="006506EF" w:rsidRDefault="00FB4762" w:rsidP="00A96FD9">
      <w:pPr>
        <w:tabs>
          <w:tab w:val="left" w:pos="1800"/>
        </w:tabs>
        <w:spacing w:line="360" w:lineRule="auto"/>
        <w:jc w:val="center"/>
        <w:rPr>
          <w:color w:val="000000"/>
          <w:sz w:val="24"/>
        </w:rPr>
      </w:pPr>
      <w:r>
        <w:rPr>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9" o:title=""/>
          </v:shape>
        </w:pict>
      </w:r>
    </w:p>
    <w:p w:rsidR="00F5013F" w:rsidRPr="006506EF" w:rsidRDefault="00F5013F" w:rsidP="00DB3360">
      <w:pPr>
        <w:spacing w:line="360" w:lineRule="auto"/>
        <w:ind w:firstLineChars="200" w:firstLine="480"/>
        <w:rPr>
          <w:color w:val="000000"/>
          <w:sz w:val="24"/>
        </w:rPr>
      </w:pPr>
      <w:r w:rsidRPr="006506EF">
        <w:rPr>
          <w:color w:val="000000"/>
          <w:sz w:val="24"/>
        </w:rPr>
        <w:t>注：自基金合同生效至报告期末，基金份额净值增长率为</w:t>
      </w:r>
      <w:r w:rsidRPr="006506EF">
        <w:rPr>
          <w:color w:val="000000"/>
          <w:sz w:val="24"/>
        </w:rPr>
        <w:t>18.93</w:t>
      </w:r>
      <w:r w:rsidRPr="006506EF">
        <w:rPr>
          <w:color w:val="000000"/>
          <w:sz w:val="24"/>
        </w:rPr>
        <w:t>％，同期业绩比较基准收益率为</w:t>
      </w:r>
      <w:r w:rsidRPr="006506EF">
        <w:rPr>
          <w:color w:val="000000"/>
          <w:sz w:val="24"/>
        </w:rPr>
        <w:t>28.37</w:t>
      </w:r>
      <w:r w:rsidRPr="006506EF">
        <w:rPr>
          <w:color w:val="000000"/>
          <w:sz w:val="24"/>
        </w:rPr>
        <w:t>％。</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§4  </w:t>
      </w:r>
      <w:r w:rsidRPr="006506EF">
        <w:rPr>
          <w:color w:val="000000"/>
          <w:kern w:val="0"/>
          <w:sz w:val="24"/>
          <w:szCs w:val="24"/>
        </w:rPr>
        <w:t>管理人报告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4.1 </w:t>
      </w:r>
      <w:r w:rsidRPr="006506EF">
        <w:rPr>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F5013F" w:rsidRPr="006506EF" w:rsidTr="00A22642">
        <w:trPr>
          <w:cantSplit/>
          <w:trHeight w:val="292"/>
        </w:trPr>
        <w:tc>
          <w:tcPr>
            <w:tcW w:w="851"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lastRenderedPageBreak/>
              <w:t>姓名</w:t>
            </w:r>
          </w:p>
        </w:tc>
        <w:tc>
          <w:tcPr>
            <w:tcW w:w="3260"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说明</w:t>
            </w:r>
          </w:p>
        </w:tc>
      </w:tr>
      <w:tr w:rsidR="00F5013F" w:rsidRPr="006506EF" w:rsidTr="00A22642">
        <w:trPr>
          <w:cantSplit/>
        </w:trPr>
        <w:tc>
          <w:tcPr>
            <w:tcW w:w="851" w:type="dxa"/>
            <w:vMerge/>
            <w:vAlign w:val="center"/>
          </w:tcPr>
          <w:p w:rsidR="00F5013F" w:rsidRPr="006506EF" w:rsidRDefault="00F5013F" w:rsidP="00B918B8">
            <w:pPr>
              <w:widowControl/>
              <w:spacing w:line="360" w:lineRule="auto"/>
              <w:jc w:val="left"/>
              <w:rPr>
                <w:color w:val="000000"/>
                <w:kern w:val="0"/>
                <w:sz w:val="24"/>
              </w:rPr>
            </w:pPr>
          </w:p>
        </w:tc>
        <w:tc>
          <w:tcPr>
            <w:tcW w:w="3260" w:type="dxa"/>
            <w:vMerge/>
            <w:vAlign w:val="center"/>
          </w:tcPr>
          <w:p w:rsidR="00F5013F" w:rsidRPr="006506EF" w:rsidRDefault="00F5013F" w:rsidP="00B918B8">
            <w:pPr>
              <w:widowControl/>
              <w:spacing w:line="360" w:lineRule="auto"/>
              <w:jc w:val="left"/>
              <w:rPr>
                <w:color w:val="000000"/>
                <w:kern w:val="0"/>
                <w:sz w:val="24"/>
              </w:rPr>
            </w:pPr>
          </w:p>
        </w:tc>
        <w:tc>
          <w:tcPr>
            <w:tcW w:w="1276" w:type="dxa"/>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F5013F" w:rsidRPr="006506EF" w:rsidRDefault="00F5013F" w:rsidP="00B918B8">
            <w:pPr>
              <w:widowControl/>
              <w:spacing w:line="360" w:lineRule="auto"/>
              <w:jc w:val="left"/>
              <w:rPr>
                <w:color w:val="000000"/>
                <w:kern w:val="0"/>
                <w:sz w:val="24"/>
              </w:rPr>
            </w:pPr>
          </w:p>
        </w:tc>
        <w:tc>
          <w:tcPr>
            <w:tcW w:w="1418" w:type="dxa"/>
            <w:vMerge/>
            <w:vAlign w:val="center"/>
          </w:tcPr>
          <w:p w:rsidR="00F5013F" w:rsidRPr="006506EF" w:rsidRDefault="00F5013F" w:rsidP="00B918B8">
            <w:pPr>
              <w:widowControl/>
              <w:spacing w:line="360" w:lineRule="auto"/>
              <w:jc w:val="left"/>
              <w:rPr>
                <w:color w:val="000000"/>
                <w:kern w:val="0"/>
                <w:sz w:val="24"/>
              </w:rPr>
            </w:pPr>
          </w:p>
        </w:tc>
      </w:tr>
      <w:tr w:rsidR="00F4071F">
        <w:tc>
          <w:tcPr>
            <w:tcW w:w="851" w:type="dxa"/>
            <w:vAlign w:val="center"/>
          </w:tcPr>
          <w:p w:rsidR="00F4071F" w:rsidRDefault="00FB4762">
            <w:pPr>
              <w:jc w:val="center"/>
            </w:pPr>
            <w:r>
              <w:rPr>
                <w:color w:val="000000"/>
                <w:sz w:val="24"/>
              </w:rPr>
              <w:t>余海燕</w:t>
            </w:r>
          </w:p>
        </w:tc>
        <w:tc>
          <w:tcPr>
            <w:tcW w:w="3260" w:type="dxa"/>
            <w:vAlign w:val="center"/>
          </w:tcPr>
          <w:p w:rsidR="00F4071F" w:rsidRDefault="00FB4762">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w:t>
            </w:r>
            <w:r>
              <w:rPr>
                <w:color w:val="000000"/>
                <w:sz w:val="24"/>
              </w:rPr>
              <w:t>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w:t>
            </w:r>
            <w:r>
              <w:rPr>
                <w:color w:val="000000"/>
                <w:sz w:val="24"/>
              </w:rPr>
              <w:lastRenderedPageBreak/>
              <w:t>开放式指数发起式证券投资基金</w:t>
            </w:r>
            <w:r>
              <w:rPr>
                <w:color w:val="000000"/>
                <w:sz w:val="24"/>
              </w:rPr>
              <w:t>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1276" w:type="dxa"/>
            <w:vAlign w:val="center"/>
          </w:tcPr>
          <w:p w:rsidR="00F4071F" w:rsidRDefault="00FB4762">
            <w:pPr>
              <w:jc w:val="center"/>
            </w:pPr>
            <w:r>
              <w:rPr>
                <w:color w:val="000000"/>
                <w:sz w:val="24"/>
              </w:rPr>
              <w:lastRenderedPageBreak/>
              <w:t>2017-01-04</w:t>
            </w:r>
          </w:p>
        </w:tc>
        <w:tc>
          <w:tcPr>
            <w:tcW w:w="1276" w:type="dxa"/>
            <w:vAlign w:val="center"/>
          </w:tcPr>
          <w:p w:rsidR="00F4071F" w:rsidRDefault="00FB4762">
            <w:pPr>
              <w:jc w:val="center"/>
            </w:pPr>
            <w:r>
              <w:rPr>
                <w:color w:val="000000"/>
                <w:sz w:val="24"/>
              </w:rPr>
              <w:t>-</w:t>
            </w:r>
          </w:p>
        </w:tc>
        <w:tc>
          <w:tcPr>
            <w:tcW w:w="850" w:type="dxa"/>
            <w:vAlign w:val="center"/>
          </w:tcPr>
          <w:p w:rsidR="00F4071F" w:rsidRDefault="00FB4762">
            <w:pPr>
              <w:jc w:val="center"/>
            </w:pPr>
            <w:r>
              <w:rPr>
                <w:color w:val="000000"/>
                <w:sz w:val="24"/>
              </w:rPr>
              <w:t>14</w:t>
            </w:r>
            <w:r>
              <w:rPr>
                <w:color w:val="000000"/>
                <w:sz w:val="24"/>
              </w:rPr>
              <w:t>年</w:t>
            </w:r>
          </w:p>
        </w:tc>
        <w:tc>
          <w:tcPr>
            <w:tcW w:w="1418" w:type="dxa"/>
            <w:vAlign w:val="center"/>
          </w:tcPr>
          <w:p w:rsidR="00F4071F" w:rsidRDefault="00FB4762">
            <w:pPr>
              <w:jc w:val="left"/>
            </w:pPr>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信用风险分析师，华宝兴业基金管理有限公司分析师、基金经理助理、基金经理，易方达基金管理有限公司投资发展部产品经理。</w:t>
            </w:r>
          </w:p>
        </w:tc>
      </w:tr>
      <w:tr w:rsidR="00F4071F">
        <w:tc>
          <w:tcPr>
            <w:tcW w:w="851" w:type="dxa"/>
            <w:vAlign w:val="center"/>
          </w:tcPr>
          <w:p w:rsidR="00F4071F" w:rsidRDefault="00FB4762">
            <w:pPr>
              <w:jc w:val="center"/>
            </w:pPr>
            <w:r>
              <w:rPr>
                <w:color w:val="000000"/>
                <w:sz w:val="24"/>
              </w:rPr>
              <w:t>FAN BING(</w:t>
            </w:r>
            <w:r>
              <w:rPr>
                <w:color w:val="000000"/>
                <w:sz w:val="24"/>
              </w:rPr>
              <w:t>范冰</w:t>
            </w:r>
            <w:r>
              <w:rPr>
                <w:color w:val="000000"/>
                <w:sz w:val="24"/>
              </w:rPr>
              <w:t>)</w:t>
            </w:r>
          </w:p>
        </w:tc>
        <w:tc>
          <w:tcPr>
            <w:tcW w:w="3260" w:type="dxa"/>
            <w:vAlign w:val="center"/>
          </w:tcPr>
          <w:p w:rsidR="00F4071F" w:rsidRDefault="00FB4762">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的基金经理、易方达黄金交易型开放式证券投资基金联接基金的基金经理、易方达黄金交易型开放式证券投资基金的基金</w:t>
            </w:r>
            <w:r>
              <w:rPr>
                <w:color w:val="000000"/>
                <w:sz w:val="24"/>
              </w:rPr>
              <w:t>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w:t>
            </w:r>
            <w:r>
              <w:rPr>
                <w:color w:val="000000"/>
                <w:sz w:val="24"/>
              </w:rPr>
              <w:lastRenderedPageBreak/>
              <w:t>经理</w:t>
            </w:r>
          </w:p>
        </w:tc>
        <w:tc>
          <w:tcPr>
            <w:tcW w:w="1276" w:type="dxa"/>
            <w:vAlign w:val="center"/>
          </w:tcPr>
          <w:p w:rsidR="00F4071F" w:rsidRDefault="00FB4762">
            <w:pPr>
              <w:jc w:val="center"/>
            </w:pPr>
            <w:r>
              <w:rPr>
                <w:color w:val="000000"/>
                <w:sz w:val="24"/>
              </w:rPr>
              <w:lastRenderedPageBreak/>
              <w:t>2017-03-25</w:t>
            </w:r>
          </w:p>
        </w:tc>
        <w:tc>
          <w:tcPr>
            <w:tcW w:w="1276" w:type="dxa"/>
            <w:vAlign w:val="center"/>
          </w:tcPr>
          <w:p w:rsidR="00F4071F" w:rsidRDefault="00FB4762">
            <w:pPr>
              <w:jc w:val="center"/>
            </w:pPr>
            <w:r>
              <w:rPr>
                <w:color w:val="000000"/>
                <w:sz w:val="24"/>
              </w:rPr>
              <w:t>-</w:t>
            </w:r>
          </w:p>
        </w:tc>
        <w:tc>
          <w:tcPr>
            <w:tcW w:w="850" w:type="dxa"/>
            <w:vAlign w:val="center"/>
          </w:tcPr>
          <w:p w:rsidR="00F4071F" w:rsidRDefault="00FB4762">
            <w:pPr>
              <w:jc w:val="center"/>
            </w:pPr>
            <w:r>
              <w:rPr>
                <w:color w:val="000000"/>
                <w:sz w:val="24"/>
              </w:rPr>
              <w:t>14</w:t>
            </w:r>
            <w:r>
              <w:rPr>
                <w:color w:val="000000"/>
                <w:sz w:val="24"/>
              </w:rPr>
              <w:t>年</w:t>
            </w:r>
          </w:p>
        </w:tc>
        <w:tc>
          <w:tcPr>
            <w:tcW w:w="1418" w:type="dxa"/>
            <w:vAlign w:val="center"/>
          </w:tcPr>
          <w:p w:rsidR="00F4071F" w:rsidRDefault="00FB4762">
            <w:pPr>
              <w:jc w:val="left"/>
            </w:pPr>
            <w:r>
              <w:rPr>
                <w:color w:val="000000"/>
                <w:sz w:val="24"/>
              </w:rPr>
              <w:t>新加坡籍，硕士研究生，曾任皇家加拿大银行托</w:t>
            </w:r>
            <w:r>
              <w:rPr>
                <w:color w:val="000000"/>
                <w:sz w:val="24"/>
              </w:rPr>
              <w:t>管部核算专员，美国道富集团</w:t>
            </w:r>
            <w:r>
              <w:rPr>
                <w:color w:val="000000"/>
                <w:sz w:val="24"/>
              </w:rPr>
              <w:t>Middle Office</w:t>
            </w:r>
            <w:r>
              <w:rPr>
                <w:color w:val="000000"/>
                <w:sz w:val="24"/>
              </w:rPr>
              <w:t>中台交易支持专员，巴克莱资产管理公司悉尼金融数据部高级金融数据分析员、悉尼金融数据部主管、新加坡金融数据部主管，贝莱德集团金融数据运营部部门经理、风险控制与咨询部客户经理、亚太股票指数基金部基金经理。</w:t>
            </w:r>
          </w:p>
        </w:tc>
      </w:tr>
    </w:tbl>
    <w:p w:rsidR="00F4071F" w:rsidRDefault="00FB4762">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证券从业的含义遵从《证券业从业人员资格管理办法》的相关规定。</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4.2 </w:t>
      </w:r>
      <w:r w:rsidRPr="006506EF">
        <w:rPr>
          <w:b/>
          <w:color w:val="000000"/>
          <w:kern w:val="0"/>
          <w:sz w:val="24"/>
        </w:rPr>
        <w:t>境外投资顾问为本基金提供投资建议的主要成员简介</w:t>
      </w:r>
    </w:p>
    <w:p w:rsidR="00F5013F" w:rsidRPr="006506EF" w:rsidRDefault="00F5013F" w:rsidP="00A70EAB">
      <w:pPr>
        <w:spacing w:line="360" w:lineRule="auto"/>
        <w:ind w:firstLineChars="200" w:firstLine="480"/>
        <w:rPr>
          <w:color w:val="000000"/>
          <w:sz w:val="24"/>
        </w:rPr>
      </w:pPr>
      <w:r w:rsidRPr="006506EF">
        <w:rPr>
          <w:color w:val="000000"/>
          <w:sz w:val="24"/>
        </w:rPr>
        <w:t>本基金未聘请境外投资顾问。</w:t>
      </w:r>
    </w:p>
    <w:p w:rsidR="00F5013F" w:rsidRPr="006506EF" w:rsidRDefault="00F5013F" w:rsidP="00A70E23">
      <w:pPr>
        <w:autoSpaceDE w:val="0"/>
        <w:autoSpaceDN w:val="0"/>
        <w:adjustRightInd w:val="0"/>
        <w:spacing w:line="360" w:lineRule="auto"/>
        <w:jc w:val="left"/>
        <w:rPr>
          <w:b/>
          <w:color w:val="000000"/>
          <w:kern w:val="0"/>
          <w:sz w:val="24"/>
        </w:rPr>
      </w:pPr>
      <w:r w:rsidRPr="006506EF">
        <w:rPr>
          <w:b/>
          <w:color w:val="000000"/>
          <w:kern w:val="0"/>
          <w:sz w:val="24"/>
        </w:rPr>
        <w:t xml:space="preserve">4.3 </w:t>
      </w:r>
      <w:r w:rsidRPr="006506EF">
        <w:rPr>
          <w:b/>
          <w:color w:val="000000"/>
          <w:kern w:val="0"/>
          <w:sz w:val="24"/>
        </w:rPr>
        <w:t>报告期内本基金运作遵规守信情况说明</w:t>
      </w:r>
    </w:p>
    <w:p w:rsidR="00F5013F" w:rsidRPr="006506EF" w:rsidRDefault="00F5013F" w:rsidP="00A70EAB">
      <w:pPr>
        <w:spacing w:line="360" w:lineRule="auto"/>
        <w:ind w:firstLineChars="200" w:firstLine="480"/>
        <w:rPr>
          <w:color w:val="000000"/>
          <w:sz w:val="24"/>
        </w:rPr>
      </w:pPr>
      <w:r w:rsidRPr="006506EF">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5013F" w:rsidRPr="006506EF" w:rsidRDefault="00F5013F" w:rsidP="00A70E23">
      <w:pPr>
        <w:autoSpaceDE w:val="0"/>
        <w:autoSpaceDN w:val="0"/>
        <w:adjustRightInd w:val="0"/>
        <w:spacing w:line="360" w:lineRule="auto"/>
        <w:jc w:val="left"/>
        <w:rPr>
          <w:b/>
          <w:color w:val="000000"/>
          <w:kern w:val="0"/>
          <w:sz w:val="24"/>
        </w:rPr>
      </w:pPr>
      <w:r w:rsidRPr="006506EF">
        <w:rPr>
          <w:b/>
          <w:color w:val="000000"/>
          <w:kern w:val="0"/>
          <w:sz w:val="24"/>
        </w:rPr>
        <w:t xml:space="preserve">4.4 </w:t>
      </w:r>
      <w:r w:rsidRPr="006506EF">
        <w:rPr>
          <w:b/>
          <w:color w:val="000000"/>
          <w:kern w:val="0"/>
          <w:sz w:val="24"/>
        </w:rPr>
        <w:t>公平交易专项说明</w:t>
      </w:r>
    </w:p>
    <w:p w:rsidR="00F5013F" w:rsidRPr="006506EF" w:rsidRDefault="00F5013F" w:rsidP="00A70E23">
      <w:pPr>
        <w:spacing w:line="360" w:lineRule="auto"/>
        <w:rPr>
          <w:sz w:val="24"/>
        </w:rPr>
      </w:pPr>
      <w:r w:rsidRPr="006506EF">
        <w:rPr>
          <w:sz w:val="24"/>
        </w:rPr>
        <w:t xml:space="preserve">4.4.1 </w:t>
      </w:r>
      <w:r w:rsidRPr="006506EF">
        <w:rPr>
          <w:sz w:val="24"/>
        </w:rPr>
        <w:t>公平交易制度的执行情况</w:t>
      </w:r>
    </w:p>
    <w:p w:rsidR="00F5013F" w:rsidRPr="006506EF" w:rsidRDefault="00F5013F" w:rsidP="00547F92">
      <w:pPr>
        <w:spacing w:line="360" w:lineRule="auto"/>
        <w:ind w:firstLineChars="200" w:firstLine="480"/>
        <w:rPr>
          <w:color w:val="000000"/>
          <w:sz w:val="24"/>
        </w:rPr>
      </w:pPr>
      <w:r w:rsidRPr="006506EF">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F5013F" w:rsidRPr="006506EF" w:rsidRDefault="00F5013F" w:rsidP="00A70E23">
      <w:pPr>
        <w:spacing w:line="360" w:lineRule="auto"/>
        <w:rPr>
          <w:sz w:val="24"/>
        </w:rPr>
      </w:pPr>
      <w:r w:rsidRPr="006506EF">
        <w:rPr>
          <w:sz w:val="24"/>
        </w:rPr>
        <w:t>4.4.2</w:t>
      </w:r>
      <w:r w:rsidRPr="006506EF">
        <w:rPr>
          <w:sz w:val="24"/>
        </w:rPr>
        <w:t>异常交易行为的专项说明</w:t>
      </w:r>
    </w:p>
    <w:p w:rsidR="00F4071F" w:rsidRDefault="00FB4762">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5013F" w:rsidRPr="006506EF" w:rsidRDefault="00F5013F" w:rsidP="00A70EAB">
      <w:pPr>
        <w:spacing w:line="360" w:lineRule="auto"/>
        <w:ind w:firstLineChars="200" w:firstLine="480"/>
        <w:rPr>
          <w:color w:val="000000"/>
          <w:sz w:val="24"/>
        </w:rPr>
      </w:pPr>
      <w:r w:rsidRPr="006506EF">
        <w:rPr>
          <w:color w:val="000000"/>
          <w:sz w:val="24"/>
        </w:rPr>
        <w:t>本报告期内，未发现本基金有可能导致不公平交易和利益输送的异常交易。</w:t>
      </w:r>
    </w:p>
    <w:p w:rsidR="00F5013F" w:rsidRPr="006506EF" w:rsidRDefault="00F5013F" w:rsidP="00E13203">
      <w:pPr>
        <w:autoSpaceDE w:val="0"/>
        <w:autoSpaceDN w:val="0"/>
        <w:adjustRightInd w:val="0"/>
        <w:spacing w:line="360" w:lineRule="auto"/>
        <w:jc w:val="left"/>
        <w:rPr>
          <w:sz w:val="24"/>
        </w:rPr>
      </w:pPr>
      <w:r w:rsidRPr="006506EF">
        <w:rPr>
          <w:b/>
          <w:color w:val="000000"/>
          <w:kern w:val="0"/>
          <w:sz w:val="24"/>
        </w:rPr>
        <w:t>4.5</w:t>
      </w:r>
      <w:r w:rsidR="006F7291">
        <w:rPr>
          <w:rFonts w:hint="eastAsia"/>
          <w:b/>
          <w:color w:val="000000"/>
          <w:kern w:val="0"/>
          <w:sz w:val="24"/>
        </w:rPr>
        <w:t xml:space="preserve"> </w:t>
      </w:r>
      <w:r w:rsidR="00E13203" w:rsidRPr="00E13203">
        <w:rPr>
          <w:rFonts w:hint="eastAsia"/>
          <w:b/>
          <w:color w:val="000000"/>
          <w:kern w:val="0"/>
          <w:sz w:val="24"/>
        </w:rPr>
        <w:t>报告期内基金的投资策略和业绩表现说明</w:t>
      </w:r>
    </w:p>
    <w:p w:rsidR="00F4071F" w:rsidRDefault="00FB4762">
      <w:pPr>
        <w:spacing w:line="360" w:lineRule="auto"/>
        <w:ind w:firstLineChars="200" w:firstLine="480"/>
        <w:rPr>
          <w:color w:val="000000"/>
          <w:sz w:val="24"/>
        </w:rPr>
      </w:pPr>
      <w:r>
        <w:rPr>
          <w:color w:val="000000"/>
          <w:sz w:val="24"/>
        </w:rPr>
        <w:t>回顾</w:t>
      </w:r>
      <w:r>
        <w:rPr>
          <w:color w:val="000000"/>
          <w:sz w:val="24"/>
        </w:rPr>
        <w:t>2019</w:t>
      </w:r>
      <w:r>
        <w:rPr>
          <w:color w:val="000000"/>
          <w:sz w:val="24"/>
        </w:rPr>
        <w:t>年三季度，全球经济增长动能放缓，美国经济面临的压力进一步加大，就业和制造业</w:t>
      </w:r>
      <w:r>
        <w:rPr>
          <w:color w:val="000000"/>
          <w:sz w:val="24"/>
        </w:rPr>
        <w:t>PMI</w:t>
      </w:r>
      <w:r>
        <w:rPr>
          <w:color w:val="000000"/>
          <w:sz w:val="24"/>
        </w:rPr>
        <w:t>等宏观经济指标不达预期，企业盈利增速预计放缓。美联储</w:t>
      </w:r>
      <w:r>
        <w:rPr>
          <w:color w:val="000000"/>
          <w:sz w:val="24"/>
        </w:rPr>
        <w:t>7</w:t>
      </w:r>
      <w:r>
        <w:rPr>
          <w:color w:val="000000"/>
          <w:sz w:val="24"/>
        </w:rPr>
        <w:t>月如期降息但指引偏鹰派，紧随其后的贸易摩擦升级推升了市场</w:t>
      </w:r>
      <w:r>
        <w:rPr>
          <w:color w:val="000000"/>
          <w:sz w:val="24"/>
        </w:rPr>
        <w:t>的避险情绪，美债收益率出现了倒挂的情形。</w:t>
      </w:r>
      <w:r>
        <w:rPr>
          <w:color w:val="000000"/>
          <w:sz w:val="24"/>
        </w:rPr>
        <w:t>9</w:t>
      </w:r>
      <w:r>
        <w:rPr>
          <w:color w:val="000000"/>
          <w:sz w:val="24"/>
        </w:rPr>
        <w:t>月以来，美联储再次降息</w:t>
      </w:r>
      <w:r>
        <w:rPr>
          <w:color w:val="000000"/>
          <w:sz w:val="24"/>
        </w:rPr>
        <w:t>0.25%</w:t>
      </w:r>
      <w:r>
        <w:rPr>
          <w:color w:val="000000"/>
          <w:sz w:val="24"/>
        </w:rPr>
        <w:t>，货币</w:t>
      </w:r>
      <w:r>
        <w:rPr>
          <w:color w:val="000000"/>
          <w:sz w:val="24"/>
        </w:rPr>
        <w:lastRenderedPageBreak/>
        <w:t>宽松节奏加快。中美贸易谈判前景仍然充满不确定性，叠加香港的紧张局势，压制了中概股的表现。</w:t>
      </w:r>
    </w:p>
    <w:p w:rsidR="00F4071F" w:rsidRDefault="00FB4762">
      <w:pPr>
        <w:spacing w:line="360" w:lineRule="auto"/>
        <w:ind w:firstLineChars="200" w:firstLine="480"/>
        <w:rPr>
          <w:color w:val="000000"/>
          <w:sz w:val="24"/>
        </w:rPr>
      </w:pPr>
      <w:r>
        <w:rPr>
          <w:color w:val="000000"/>
          <w:sz w:val="24"/>
        </w:rPr>
        <w:t>作为追踪中证海外中国互联网</w:t>
      </w:r>
      <w:r>
        <w:rPr>
          <w:color w:val="000000"/>
          <w:sz w:val="24"/>
        </w:rPr>
        <w:t>50</w:t>
      </w:r>
      <w:r>
        <w:rPr>
          <w:color w:val="000000"/>
          <w:sz w:val="24"/>
        </w:rPr>
        <w:t>指数的被动式海外指数基金，我们在操作中严格遵守基金合同，坚持既定的指数化投资策略，力求追踪误差最小化。</w:t>
      </w:r>
    </w:p>
    <w:p w:rsidR="00F5013F" w:rsidRPr="006506EF" w:rsidRDefault="00F5013F" w:rsidP="00A70EAB">
      <w:pPr>
        <w:spacing w:line="360" w:lineRule="auto"/>
        <w:ind w:firstLineChars="200" w:firstLine="480"/>
        <w:rPr>
          <w:color w:val="000000"/>
          <w:sz w:val="24"/>
        </w:rPr>
      </w:pPr>
      <w:r w:rsidRPr="006506EF">
        <w:rPr>
          <w:color w:val="000000"/>
          <w:sz w:val="24"/>
        </w:rPr>
        <w:t>截至报告期末，本基金份额净值为</w:t>
      </w:r>
      <w:r w:rsidRPr="006506EF">
        <w:rPr>
          <w:color w:val="000000"/>
          <w:sz w:val="24"/>
        </w:rPr>
        <w:t>1.1893</w:t>
      </w:r>
      <w:r w:rsidRPr="006506EF">
        <w:rPr>
          <w:color w:val="000000"/>
          <w:sz w:val="24"/>
        </w:rPr>
        <w:t>元，本报告期份额净值增长率为</w:t>
      </w:r>
      <w:r w:rsidRPr="006506EF">
        <w:rPr>
          <w:color w:val="000000"/>
          <w:sz w:val="24"/>
        </w:rPr>
        <w:t>-1.74%</w:t>
      </w:r>
      <w:r w:rsidRPr="006506EF">
        <w:rPr>
          <w:color w:val="000000"/>
          <w:sz w:val="24"/>
        </w:rPr>
        <w:t>，同期业绩比较基准收益率为</w:t>
      </w:r>
      <w:r w:rsidRPr="006506EF">
        <w:rPr>
          <w:color w:val="000000"/>
          <w:sz w:val="24"/>
        </w:rPr>
        <w:t>-1.52%</w:t>
      </w:r>
      <w:r w:rsidRPr="006506EF">
        <w:rPr>
          <w:color w:val="000000"/>
          <w:sz w:val="24"/>
        </w:rPr>
        <w:t>，年化跟踪误差</w:t>
      </w:r>
      <w:r w:rsidRPr="006506EF">
        <w:rPr>
          <w:color w:val="000000"/>
          <w:sz w:val="24"/>
        </w:rPr>
        <w:t>0.221%</w:t>
      </w:r>
      <w:r w:rsidRPr="006506EF">
        <w:rPr>
          <w:color w:val="000000"/>
          <w:sz w:val="24"/>
        </w:rPr>
        <w:t>，在合同规定的目标控制范围之内。</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§5  </w:t>
      </w:r>
      <w:r w:rsidRPr="006506EF">
        <w:rPr>
          <w:color w:val="000000"/>
          <w:kern w:val="0"/>
          <w:sz w:val="24"/>
          <w:szCs w:val="24"/>
        </w:rPr>
        <w:t>投资组合报告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5.1 </w:t>
      </w:r>
      <w:r w:rsidRPr="006506EF">
        <w:rPr>
          <w:b/>
          <w:color w:val="000000"/>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253"/>
        <w:gridCol w:w="2835"/>
        <w:gridCol w:w="1559"/>
      </w:tblGrid>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序号</w:t>
            </w:r>
          </w:p>
        </w:tc>
        <w:tc>
          <w:tcPr>
            <w:tcW w:w="4253"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项目</w:t>
            </w:r>
          </w:p>
        </w:tc>
        <w:tc>
          <w:tcPr>
            <w:tcW w:w="2835"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金额</w:t>
            </w:r>
            <w:r w:rsidRPr="006506EF">
              <w:rPr>
                <w:color w:val="000000"/>
                <w:sz w:val="24"/>
              </w:rPr>
              <w:t>(</w:t>
            </w:r>
            <w:r w:rsidRPr="006506EF">
              <w:rPr>
                <w:color w:val="000000"/>
                <w:sz w:val="24"/>
              </w:rPr>
              <w:t>人民币元</w:t>
            </w:r>
            <w:r w:rsidRPr="006506EF">
              <w:rPr>
                <w:color w:val="000000"/>
                <w:sz w:val="24"/>
              </w:rPr>
              <w:t>)</w:t>
            </w:r>
          </w:p>
        </w:tc>
        <w:tc>
          <w:tcPr>
            <w:tcW w:w="1559"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占基金总资产的比例</w:t>
            </w: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1</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权益投资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1,182,822,554.72</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99.05</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其中：普通股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443,733,682.49</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37.16</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存托凭证</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739,088,872.23</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61.89</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优先股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房地产信托</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tcPr>
          <w:p w:rsidR="00F5013F" w:rsidRPr="006506EF" w:rsidRDefault="00F5013F" w:rsidP="00B25BE8">
            <w:pPr>
              <w:adjustRightInd w:val="0"/>
              <w:snapToGrid w:val="0"/>
              <w:spacing w:line="400" w:lineRule="exact"/>
              <w:jc w:val="center"/>
              <w:rPr>
                <w:color w:val="000000"/>
                <w:sz w:val="24"/>
              </w:rPr>
            </w:pPr>
            <w:r w:rsidRPr="006506EF">
              <w:rPr>
                <w:color w:val="000000"/>
                <w:sz w:val="24"/>
              </w:rPr>
              <w:t>2</w:t>
            </w: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基金投资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3</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固定收益投资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其中：债券</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autoSpaceDE w:val="0"/>
              <w:autoSpaceDN w:val="0"/>
              <w:adjustRightInd w:val="0"/>
              <w:spacing w:before="29" w:line="360" w:lineRule="auto"/>
              <w:ind w:left="17" w:firstLineChars="300" w:firstLine="720"/>
              <w:jc w:val="left"/>
              <w:rPr>
                <w:color w:val="000000"/>
                <w:sz w:val="24"/>
              </w:rPr>
            </w:pPr>
            <w:r w:rsidRPr="006506EF">
              <w:rPr>
                <w:color w:val="000000"/>
                <w:sz w:val="24"/>
              </w:rPr>
              <w:t>资产支持证券</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4</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金融衍生品投资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其中：远期</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Del="00455464" w:rsidRDefault="00F5013F" w:rsidP="00547F92">
            <w:pPr>
              <w:adjustRightInd w:val="0"/>
              <w:snapToGrid w:val="0"/>
              <w:spacing w:line="400" w:lineRule="exact"/>
              <w:ind w:firstLineChars="300" w:firstLine="720"/>
              <w:rPr>
                <w:color w:val="000000"/>
                <w:sz w:val="24"/>
              </w:rPr>
            </w:pPr>
            <w:r w:rsidRPr="006506EF">
              <w:rPr>
                <w:color w:val="000000"/>
                <w:sz w:val="24"/>
              </w:rPr>
              <w:t>期货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547F92">
            <w:pPr>
              <w:adjustRightInd w:val="0"/>
              <w:snapToGrid w:val="0"/>
              <w:spacing w:line="400" w:lineRule="exact"/>
              <w:ind w:firstLineChars="300" w:firstLine="720"/>
              <w:rPr>
                <w:color w:val="000000"/>
                <w:sz w:val="24"/>
              </w:rPr>
            </w:pPr>
            <w:r w:rsidRPr="006506EF">
              <w:rPr>
                <w:color w:val="000000"/>
                <w:sz w:val="24"/>
              </w:rPr>
              <w:t>期权</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547F92">
            <w:pPr>
              <w:adjustRightInd w:val="0"/>
              <w:snapToGrid w:val="0"/>
              <w:spacing w:line="400" w:lineRule="exact"/>
              <w:ind w:firstLineChars="298" w:firstLine="715"/>
              <w:rPr>
                <w:color w:val="000000"/>
                <w:sz w:val="24"/>
              </w:rPr>
            </w:pPr>
            <w:r w:rsidRPr="006506EF">
              <w:rPr>
                <w:color w:val="000000"/>
                <w:sz w:val="24"/>
              </w:rPr>
              <w:t>权证</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5</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买入返售金融资产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其中：买断式回购的买入返售金融资产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tcPr>
          <w:p w:rsidR="00F5013F" w:rsidRPr="006506EF" w:rsidRDefault="00F5013F" w:rsidP="00B25BE8">
            <w:pPr>
              <w:adjustRightInd w:val="0"/>
              <w:snapToGrid w:val="0"/>
              <w:spacing w:line="400" w:lineRule="exact"/>
              <w:jc w:val="center"/>
              <w:rPr>
                <w:color w:val="000000"/>
                <w:sz w:val="24"/>
              </w:rPr>
            </w:pPr>
            <w:r w:rsidRPr="006506EF">
              <w:rPr>
                <w:color w:val="000000"/>
                <w:sz w:val="24"/>
              </w:rPr>
              <w:lastRenderedPageBreak/>
              <w:t>6</w:t>
            </w: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货币市场工具</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7</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银行存款和结算备付金合计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10,037,298.33</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0.84</w:t>
            </w:r>
          </w:p>
        </w:tc>
      </w:tr>
      <w:tr w:rsidR="00F5013F" w:rsidRPr="006506EF" w:rsidTr="00592EFF">
        <w:tc>
          <w:tcPr>
            <w:tcW w:w="851" w:type="dxa"/>
            <w:vAlign w:val="center"/>
          </w:tcPr>
          <w:p w:rsidR="00F5013F" w:rsidRPr="006506EF" w:rsidRDefault="00F5013F" w:rsidP="00466B17">
            <w:pPr>
              <w:spacing w:before="29" w:line="360" w:lineRule="auto"/>
              <w:ind w:left="17"/>
              <w:jc w:val="center"/>
              <w:rPr>
                <w:color w:val="000000"/>
                <w:sz w:val="24"/>
              </w:rPr>
            </w:pPr>
            <w:r w:rsidRPr="006506EF">
              <w:rPr>
                <w:color w:val="000000"/>
                <w:sz w:val="24"/>
              </w:rPr>
              <w:t>8</w:t>
            </w:r>
          </w:p>
        </w:tc>
        <w:tc>
          <w:tcPr>
            <w:tcW w:w="4253" w:type="dxa"/>
            <w:vAlign w:val="center"/>
          </w:tcPr>
          <w:p w:rsidR="00F5013F" w:rsidRPr="006506EF" w:rsidRDefault="00F5013F" w:rsidP="00B918B8">
            <w:pPr>
              <w:jc w:val="left"/>
              <w:rPr>
                <w:sz w:val="24"/>
              </w:rPr>
            </w:pPr>
            <w:r w:rsidRPr="006506EF">
              <w:rPr>
                <w:color w:val="000000"/>
                <w:sz w:val="24"/>
              </w:rPr>
              <w:t>其他资产</w:t>
            </w:r>
          </w:p>
        </w:tc>
        <w:tc>
          <w:tcPr>
            <w:tcW w:w="2835" w:type="dxa"/>
            <w:vAlign w:val="center"/>
          </w:tcPr>
          <w:p w:rsidR="00F5013F" w:rsidRPr="006506EF" w:rsidRDefault="00F5013F" w:rsidP="00BF1DD5">
            <w:pPr>
              <w:jc w:val="right"/>
              <w:rPr>
                <w:color w:val="000000"/>
                <w:sz w:val="24"/>
              </w:rPr>
            </w:pPr>
            <w:r w:rsidRPr="006506EF">
              <w:rPr>
                <w:color w:val="000000"/>
                <w:sz w:val="24"/>
              </w:rPr>
              <w:t>1,309,406.32</w:t>
            </w:r>
          </w:p>
        </w:tc>
        <w:tc>
          <w:tcPr>
            <w:tcW w:w="1559" w:type="dxa"/>
            <w:vAlign w:val="center"/>
          </w:tcPr>
          <w:p w:rsidR="00F5013F" w:rsidRPr="006506EF" w:rsidRDefault="00F5013F" w:rsidP="00BF1DD5">
            <w:pPr>
              <w:jc w:val="right"/>
              <w:rPr>
                <w:color w:val="000000"/>
                <w:sz w:val="24"/>
              </w:rPr>
            </w:pPr>
            <w:r w:rsidRPr="006506EF">
              <w:rPr>
                <w:color w:val="000000"/>
                <w:sz w:val="24"/>
              </w:rPr>
              <w:t>0.11</w:t>
            </w:r>
          </w:p>
        </w:tc>
      </w:tr>
      <w:tr w:rsidR="00F5013F" w:rsidRPr="006506EF" w:rsidTr="00592EFF">
        <w:tc>
          <w:tcPr>
            <w:tcW w:w="851" w:type="dxa"/>
            <w:vAlign w:val="center"/>
          </w:tcPr>
          <w:p w:rsidR="00F5013F" w:rsidRPr="006506EF" w:rsidRDefault="00F5013F" w:rsidP="00466B17">
            <w:pPr>
              <w:spacing w:before="29" w:line="360" w:lineRule="auto"/>
              <w:ind w:left="17"/>
              <w:jc w:val="center"/>
              <w:rPr>
                <w:color w:val="000000"/>
                <w:sz w:val="24"/>
              </w:rPr>
            </w:pPr>
            <w:r w:rsidRPr="006506EF">
              <w:rPr>
                <w:color w:val="000000"/>
                <w:sz w:val="24"/>
              </w:rPr>
              <w:t>9</w:t>
            </w:r>
          </w:p>
        </w:tc>
        <w:tc>
          <w:tcPr>
            <w:tcW w:w="4253" w:type="dxa"/>
            <w:vAlign w:val="center"/>
          </w:tcPr>
          <w:p w:rsidR="00F5013F" w:rsidRPr="006506EF" w:rsidRDefault="00F5013F" w:rsidP="00B918B8">
            <w:pPr>
              <w:jc w:val="left"/>
              <w:rPr>
                <w:sz w:val="24"/>
              </w:rPr>
            </w:pPr>
            <w:r w:rsidRPr="006506EF">
              <w:rPr>
                <w:color w:val="000000"/>
                <w:sz w:val="24"/>
              </w:rPr>
              <w:t>合计</w:t>
            </w:r>
          </w:p>
        </w:tc>
        <w:tc>
          <w:tcPr>
            <w:tcW w:w="2835" w:type="dxa"/>
            <w:vAlign w:val="center"/>
          </w:tcPr>
          <w:p w:rsidR="00F5013F" w:rsidRPr="006506EF" w:rsidRDefault="00F5013F" w:rsidP="00BF1DD5">
            <w:pPr>
              <w:jc w:val="right"/>
              <w:rPr>
                <w:color w:val="000000"/>
                <w:sz w:val="24"/>
              </w:rPr>
            </w:pPr>
            <w:r w:rsidRPr="006506EF">
              <w:rPr>
                <w:color w:val="000000"/>
                <w:sz w:val="24"/>
              </w:rPr>
              <w:t>1,194,169,259.37</w:t>
            </w:r>
          </w:p>
        </w:tc>
        <w:tc>
          <w:tcPr>
            <w:tcW w:w="1559" w:type="dxa"/>
            <w:vAlign w:val="center"/>
          </w:tcPr>
          <w:p w:rsidR="00F5013F" w:rsidRPr="006506EF" w:rsidRDefault="00F5013F" w:rsidP="00BF1DD5">
            <w:pPr>
              <w:jc w:val="right"/>
              <w:rPr>
                <w:color w:val="000000"/>
                <w:sz w:val="24"/>
              </w:rPr>
            </w:pPr>
            <w:r w:rsidRPr="006506EF">
              <w:rPr>
                <w:color w:val="000000"/>
                <w:sz w:val="24"/>
              </w:rPr>
              <w:t>100.00</w:t>
            </w:r>
          </w:p>
        </w:tc>
      </w:tr>
    </w:tbl>
    <w:p w:rsidR="00F5013F" w:rsidRPr="006506EF" w:rsidRDefault="00F5013F" w:rsidP="00A70EAB">
      <w:pPr>
        <w:spacing w:line="360" w:lineRule="auto"/>
        <w:ind w:firstLineChars="200" w:firstLine="480"/>
        <w:rPr>
          <w:color w:val="000000"/>
          <w:sz w:val="24"/>
        </w:rPr>
      </w:pPr>
      <w:r w:rsidRPr="006506EF">
        <w:rPr>
          <w:color w:val="000000"/>
          <w:sz w:val="24"/>
        </w:rPr>
        <w:t>注：上表中的权益投资项含可退替代款估值增值，而</w:t>
      </w:r>
      <w:r w:rsidRPr="006506EF">
        <w:rPr>
          <w:color w:val="000000"/>
          <w:sz w:val="24"/>
        </w:rPr>
        <w:t>5.2</w:t>
      </w:r>
      <w:r w:rsidRPr="006506EF">
        <w:rPr>
          <w:color w:val="000000"/>
          <w:sz w:val="24"/>
        </w:rPr>
        <w:t>和</w:t>
      </w:r>
      <w:r w:rsidRPr="006506EF">
        <w:rPr>
          <w:color w:val="000000"/>
          <w:sz w:val="24"/>
        </w:rPr>
        <w:t>5.3</w:t>
      </w:r>
      <w:r w:rsidRPr="006506EF">
        <w:rPr>
          <w:color w:val="000000"/>
          <w:sz w:val="24"/>
        </w:rPr>
        <w:t>的合计项不含可退替代款估值增值。</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5.2 </w:t>
      </w:r>
      <w:r w:rsidRPr="006506EF">
        <w:rPr>
          <w:b/>
          <w:color w:val="000000"/>
          <w:kern w:val="0"/>
          <w:sz w:val="24"/>
        </w:rPr>
        <w:t>报告期末在各个国家（地区）证券市场的股票及存托凭证投资分布</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8"/>
        <w:gridCol w:w="3076"/>
      </w:tblGrid>
      <w:tr w:rsidR="00F5013F" w:rsidRPr="006506EF" w:rsidTr="0007178B">
        <w:trPr>
          <w:jc w:val="center"/>
        </w:trPr>
        <w:tc>
          <w:tcPr>
            <w:tcW w:w="2410"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国家（地区）</w:t>
            </w:r>
          </w:p>
        </w:tc>
        <w:tc>
          <w:tcPr>
            <w:tcW w:w="3118"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w:t>
            </w:r>
            <w:r w:rsidRPr="006506EF">
              <w:rPr>
                <w:color w:val="000000"/>
                <w:kern w:val="0"/>
                <w:sz w:val="24"/>
              </w:rPr>
              <w:t>(</w:t>
            </w:r>
            <w:r w:rsidRPr="006506EF">
              <w:rPr>
                <w:color w:val="000000"/>
                <w:kern w:val="0"/>
                <w:sz w:val="24"/>
              </w:rPr>
              <w:t>人民币元</w:t>
            </w:r>
            <w:r w:rsidRPr="006506EF">
              <w:rPr>
                <w:color w:val="000000"/>
                <w:kern w:val="0"/>
                <w:sz w:val="24"/>
              </w:rPr>
              <w:t>)</w:t>
            </w:r>
          </w:p>
        </w:tc>
        <w:tc>
          <w:tcPr>
            <w:tcW w:w="307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F4071F">
        <w:trPr>
          <w:jc w:val="center"/>
        </w:trPr>
        <w:tc>
          <w:tcPr>
            <w:tcW w:w="2410" w:type="dxa"/>
            <w:vAlign w:val="center"/>
          </w:tcPr>
          <w:p w:rsidR="00F4071F" w:rsidRDefault="00FB4762">
            <w:pPr>
              <w:jc w:val="left"/>
            </w:pPr>
            <w:r>
              <w:rPr>
                <w:color w:val="000000"/>
                <w:sz w:val="24"/>
              </w:rPr>
              <w:t>美国</w:t>
            </w:r>
          </w:p>
        </w:tc>
        <w:tc>
          <w:tcPr>
            <w:tcW w:w="3118" w:type="dxa"/>
            <w:vAlign w:val="center"/>
          </w:tcPr>
          <w:p w:rsidR="00F4071F" w:rsidRDefault="00FB4762">
            <w:pPr>
              <w:jc w:val="right"/>
            </w:pPr>
            <w:r>
              <w:rPr>
                <w:color w:val="000000"/>
                <w:sz w:val="24"/>
              </w:rPr>
              <w:t>744,726,854.81</w:t>
            </w:r>
          </w:p>
        </w:tc>
        <w:tc>
          <w:tcPr>
            <w:tcW w:w="3076" w:type="dxa"/>
            <w:vAlign w:val="center"/>
          </w:tcPr>
          <w:p w:rsidR="00F4071F" w:rsidRDefault="00FB4762">
            <w:pPr>
              <w:jc w:val="right"/>
            </w:pPr>
            <w:r>
              <w:rPr>
                <w:color w:val="000000"/>
                <w:sz w:val="24"/>
              </w:rPr>
              <w:t>62.78</w:t>
            </w:r>
          </w:p>
        </w:tc>
      </w:tr>
      <w:tr w:rsidR="00F4071F">
        <w:trPr>
          <w:jc w:val="center"/>
        </w:trPr>
        <w:tc>
          <w:tcPr>
            <w:tcW w:w="2410" w:type="dxa"/>
            <w:vAlign w:val="center"/>
          </w:tcPr>
          <w:p w:rsidR="00F4071F" w:rsidRDefault="00FB4762">
            <w:pPr>
              <w:jc w:val="left"/>
            </w:pPr>
            <w:r>
              <w:rPr>
                <w:color w:val="000000"/>
                <w:sz w:val="24"/>
              </w:rPr>
              <w:t>香港</w:t>
            </w:r>
          </w:p>
        </w:tc>
        <w:tc>
          <w:tcPr>
            <w:tcW w:w="3118" w:type="dxa"/>
            <w:vAlign w:val="center"/>
          </w:tcPr>
          <w:p w:rsidR="00F4071F" w:rsidRDefault="00FB4762">
            <w:pPr>
              <w:jc w:val="right"/>
            </w:pPr>
            <w:r>
              <w:rPr>
                <w:color w:val="000000"/>
                <w:sz w:val="24"/>
              </w:rPr>
              <w:t>438,095,699.91</w:t>
            </w:r>
          </w:p>
        </w:tc>
        <w:tc>
          <w:tcPr>
            <w:tcW w:w="3076" w:type="dxa"/>
            <w:vAlign w:val="center"/>
          </w:tcPr>
          <w:p w:rsidR="00F4071F" w:rsidRDefault="00FB4762">
            <w:pPr>
              <w:jc w:val="right"/>
            </w:pPr>
            <w:r>
              <w:rPr>
                <w:color w:val="000000"/>
                <w:sz w:val="24"/>
              </w:rPr>
              <w:t>36.93</w:t>
            </w:r>
          </w:p>
        </w:tc>
      </w:tr>
      <w:tr w:rsidR="00F5013F" w:rsidRPr="006506EF" w:rsidTr="0007178B">
        <w:trPr>
          <w:jc w:val="center"/>
        </w:trPr>
        <w:tc>
          <w:tcPr>
            <w:tcW w:w="2410" w:type="dxa"/>
          </w:tcPr>
          <w:p w:rsidR="00F5013F" w:rsidRPr="006506EF" w:rsidRDefault="00F5013F" w:rsidP="0007178B">
            <w:pPr>
              <w:autoSpaceDE w:val="0"/>
              <w:autoSpaceDN w:val="0"/>
              <w:adjustRightInd w:val="0"/>
              <w:spacing w:before="29" w:line="360" w:lineRule="auto"/>
              <w:jc w:val="center"/>
              <w:rPr>
                <w:color w:val="000000"/>
                <w:sz w:val="24"/>
              </w:rPr>
            </w:pPr>
            <w:r w:rsidRPr="006506EF">
              <w:rPr>
                <w:color w:val="000000"/>
                <w:sz w:val="24"/>
              </w:rPr>
              <w:t>合计</w:t>
            </w:r>
          </w:p>
        </w:tc>
        <w:tc>
          <w:tcPr>
            <w:tcW w:w="3118" w:type="dxa"/>
          </w:tcPr>
          <w:p w:rsidR="00F5013F" w:rsidRPr="006506EF" w:rsidRDefault="00F5013F" w:rsidP="0007178B">
            <w:pPr>
              <w:autoSpaceDE w:val="0"/>
              <w:autoSpaceDN w:val="0"/>
              <w:adjustRightInd w:val="0"/>
              <w:spacing w:before="29" w:line="360" w:lineRule="auto"/>
              <w:jc w:val="right"/>
              <w:rPr>
                <w:color w:val="000000"/>
                <w:sz w:val="24"/>
              </w:rPr>
            </w:pPr>
            <w:r w:rsidRPr="006506EF">
              <w:rPr>
                <w:color w:val="000000"/>
                <w:sz w:val="24"/>
              </w:rPr>
              <w:t>1,182,822,554.72</w:t>
            </w:r>
          </w:p>
        </w:tc>
        <w:tc>
          <w:tcPr>
            <w:tcW w:w="3076" w:type="dxa"/>
          </w:tcPr>
          <w:p w:rsidR="00F5013F" w:rsidRPr="006506EF" w:rsidRDefault="00F5013F" w:rsidP="0007178B">
            <w:pPr>
              <w:autoSpaceDE w:val="0"/>
              <w:autoSpaceDN w:val="0"/>
              <w:adjustRightInd w:val="0"/>
              <w:spacing w:before="29" w:line="360" w:lineRule="auto"/>
              <w:jc w:val="right"/>
              <w:rPr>
                <w:color w:val="000000"/>
                <w:sz w:val="24"/>
              </w:rPr>
            </w:pPr>
            <w:r w:rsidRPr="006506EF">
              <w:rPr>
                <w:color w:val="000000"/>
                <w:sz w:val="24"/>
              </w:rPr>
              <w:t>99.71</w:t>
            </w:r>
          </w:p>
        </w:tc>
      </w:tr>
    </w:tbl>
    <w:p w:rsidR="00F4071F" w:rsidRDefault="00FB4762">
      <w:pPr>
        <w:spacing w:line="360" w:lineRule="auto"/>
        <w:ind w:firstLineChars="200" w:firstLine="480"/>
        <w:rPr>
          <w:color w:val="000000"/>
          <w:sz w:val="24"/>
        </w:rPr>
      </w:pPr>
      <w:r>
        <w:rPr>
          <w:color w:val="000000"/>
          <w:sz w:val="24"/>
        </w:rPr>
        <w:t>注：</w:t>
      </w:r>
      <w:r>
        <w:rPr>
          <w:color w:val="000000"/>
          <w:sz w:val="24"/>
        </w:rPr>
        <w:t>1.</w:t>
      </w:r>
      <w:r>
        <w:rPr>
          <w:color w:val="000000"/>
          <w:sz w:val="24"/>
        </w:rPr>
        <w:t>国家（地区）类别根据其所在的证券交易所确定。</w:t>
      </w:r>
    </w:p>
    <w:p w:rsidR="00F5013F" w:rsidRPr="006506EF" w:rsidRDefault="00F5013F" w:rsidP="00A70EAB">
      <w:pPr>
        <w:spacing w:line="360" w:lineRule="auto"/>
        <w:ind w:firstLineChars="200" w:firstLine="480"/>
        <w:rPr>
          <w:color w:val="000000"/>
          <w:sz w:val="24"/>
        </w:rPr>
      </w:pPr>
      <w:r w:rsidRPr="006506EF">
        <w:rPr>
          <w:color w:val="000000"/>
          <w:sz w:val="24"/>
        </w:rPr>
        <w:t>2.ADR</w:t>
      </w:r>
      <w:r w:rsidRPr="006506EF">
        <w:rPr>
          <w:color w:val="000000"/>
          <w:sz w:val="24"/>
        </w:rPr>
        <w:t>、</w:t>
      </w:r>
      <w:r w:rsidRPr="006506EF">
        <w:rPr>
          <w:color w:val="000000"/>
          <w:sz w:val="24"/>
        </w:rPr>
        <w:t>GDR</w:t>
      </w:r>
      <w:r w:rsidRPr="006506EF">
        <w:rPr>
          <w:color w:val="000000"/>
          <w:sz w:val="24"/>
        </w:rPr>
        <w:t>按照存托凭证本身挂牌的证券交易所确定。</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5.3 </w:t>
      </w:r>
      <w:r w:rsidRPr="006506EF">
        <w:rPr>
          <w:b/>
          <w:color w:val="000000"/>
          <w:kern w:val="0"/>
          <w:sz w:val="24"/>
        </w:rPr>
        <w:t>报告期末按行业分类的股票及存托凭证投资组合</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2551"/>
        <w:gridCol w:w="3175"/>
      </w:tblGrid>
      <w:tr w:rsidR="00F5013F" w:rsidRPr="006506EF" w:rsidTr="0007178B">
        <w:tc>
          <w:tcPr>
            <w:tcW w:w="2787"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行业类别</w:t>
            </w:r>
          </w:p>
        </w:tc>
        <w:tc>
          <w:tcPr>
            <w:tcW w:w="2551"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公允价值（人民币元）</w:t>
            </w:r>
          </w:p>
        </w:tc>
        <w:tc>
          <w:tcPr>
            <w:tcW w:w="3175"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F4071F">
        <w:tc>
          <w:tcPr>
            <w:tcW w:w="2787" w:type="dxa"/>
            <w:vAlign w:val="center"/>
          </w:tcPr>
          <w:p w:rsidR="00F4071F" w:rsidRDefault="00FB4762">
            <w:pPr>
              <w:jc w:val="left"/>
            </w:pPr>
            <w:r>
              <w:rPr>
                <w:color w:val="000000"/>
                <w:sz w:val="24"/>
              </w:rPr>
              <w:t>能源</w:t>
            </w:r>
          </w:p>
        </w:tc>
        <w:tc>
          <w:tcPr>
            <w:tcW w:w="2551" w:type="dxa"/>
            <w:vAlign w:val="center"/>
          </w:tcPr>
          <w:p w:rsidR="00F4071F" w:rsidRDefault="00FB4762">
            <w:pPr>
              <w:jc w:val="right"/>
            </w:pPr>
            <w:r>
              <w:rPr>
                <w:color w:val="000000"/>
                <w:sz w:val="24"/>
              </w:rPr>
              <w:t>-</w:t>
            </w:r>
          </w:p>
        </w:tc>
        <w:tc>
          <w:tcPr>
            <w:tcW w:w="3175" w:type="dxa"/>
            <w:vAlign w:val="center"/>
          </w:tcPr>
          <w:p w:rsidR="00F4071F" w:rsidRDefault="00FB4762">
            <w:pPr>
              <w:jc w:val="right"/>
            </w:pPr>
            <w:r>
              <w:rPr>
                <w:color w:val="000000"/>
                <w:sz w:val="24"/>
              </w:rPr>
              <w:t>-</w:t>
            </w:r>
          </w:p>
        </w:tc>
      </w:tr>
      <w:tr w:rsidR="00F4071F">
        <w:tc>
          <w:tcPr>
            <w:tcW w:w="2787" w:type="dxa"/>
            <w:vAlign w:val="center"/>
          </w:tcPr>
          <w:p w:rsidR="00F4071F" w:rsidRDefault="00FB4762">
            <w:pPr>
              <w:jc w:val="left"/>
            </w:pPr>
            <w:r>
              <w:rPr>
                <w:color w:val="000000"/>
                <w:sz w:val="24"/>
              </w:rPr>
              <w:t>材料</w:t>
            </w:r>
          </w:p>
        </w:tc>
        <w:tc>
          <w:tcPr>
            <w:tcW w:w="2551" w:type="dxa"/>
            <w:vAlign w:val="center"/>
          </w:tcPr>
          <w:p w:rsidR="00F4071F" w:rsidRDefault="00FB4762">
            <w:pPr>
              <w:jc w:val="right"/>
            </w:pPr>
            <w:r>
              <w:rPr>
                <w:color w:val="000000"/>
                <w:sz w:val="24"/>
              </w:rPr>
              <w:t>-</w:t>
            </w:r>
          </w:p>
        </w:tc>
        <w:tc>
          <w:tcPr>
            <w:tcW w:w="3175" w:type="dxa"/>
            <w:vAlign w:val="center"/>
          </w:tcPr>
          <w:p w:rsidR="00F4071F" w:rsidRDefault="00FB4762">
            <w:pPr>
              <w:jc w:val="right"/>
            </w:pPr>
            <w:r>
              <w:rPr>
                <w:color w:val="000000"/>
                <w:sz w:val="24"/>
              </w:rPr>
              <w:t>-</w:t>
            </w:r>
          </w:p>
        </w:tc>
      </w:tr>
      <w:tr w:rsidR="00F4071F">
        <w:tc>
          <w:tcPr>
            <w:tcW w:w="2787" w:type="dxa"/>
            <w:vAlign w:val="center"/>
          </w:tcPr>
          <w:p w:rsidR="00F4071F" w:rsidRDefault="00FB4762">
            <w:pPr>
              <w:jc w:val="left"/>
            </w:pPr>
            <w:r>
              <w:rPr>
                <w:color w:val="000000"/>
                <w:sz w:val="24"/>
              </w:rPr>
              <w:t>工业</w:t>
            </w:r>
          </w:p>
        </w:tc>
        <w:tc>
          <w:tcPr>
            <w:tcW w:w="2551" w:type="dxa"/>
            <w:vAlign w:val="center"/>
          </w:tcPr>
          <w:p w:rsidR="00F4071F" w:rsidRDefault="00FB4762">
            <w:pPr>
              <w:jc w:val="right"/>
            </w:pPr>
            <w:r>
              <w:rPr>
                <w:color w:val="000000"/>
                <w:sz w:val="24"/>
              </w:rPr>
              <w:t>4,837,736.29</w:t>
            </w:r>
          </w:p>
        </w:tc>
        <w:tc>
          <w:tcPr>
            <w:tcW w:w="3175" w:type="dxa"/>
            <w:vAlign w:val="center"/>
          </w:tcPr>
          <w:p w:rsidR="00F4071F" w:rsidRDefault="00FB4762">
            <w:pPr>
              <w:jc w:val="right"/>
            </w:pPr>
            <w:r>
              <w:rPr>
                <w:color w:val="000000"/>
                <w:sz w:val="24"/>
              </w:rPr>
              <w:t>0.41</w:t>
            </w:r>
          </w:p>
        </w:tc>
      </w:tr>
      <w:tr w:rsidR="00F4071F">
        <w:tc>
          <w:tcPr>
            <w:tcW w:w="2787" w:type="dxa"/>
            <w:vAlign w:val="center"/>
          </w:tcPr>
          <w:p w:rsidR="00F4071F" w:rsidRDefault="00FB4762">
            <w:pPr>
              <w:jc w:val="left"/>
            </w:pPr>
            <w:r>
              <w:rPr>
                <w:color w:val="000000"/>
                <w:sz w:val="24"/>
              </w:rPr>
              <w:t>非必需消费品</w:t>
            </w:r>
          </w:p>
        </w:tc>
        <w:tc>
          <w:tcPr>
            <w:tcW w:w="2551" w:type="dxa"/>
            <w:vAlign w:val="center"/>
          </w:tcPr>
          <w:p w:rsidR="00F4071F" w:rsidRDefault="00FB4762">
            <w:pPr>
              <w:jc w:val="right"/>
            </w:pPr>
            <w:r>
              <w:rPr>
                <w:color w:val="000000"/>
                <w:sz w:val="24"/>
              </w:rPr>
              <w:t>608,200,590.28</w:t>
            </w:r>
          </w:p>
        </w:tc>
        <w:tc>
          <w:tcPr>
            <w:tcW w:w="3175" w:type="dxa"/>
            <w:vAlign w:val="center"/>
          </w:tcPr>
          <w:p w:rsidR="00F4071F" w:rsidRDefault="00FB4762">
            <w:pPr>
              <w:jc w:val="right"/>
            </w:pPr>
            <w:r>
              <w:rPr>
                <w:color w:val="000000"/>
                <w:sz w:val="24"/>
              </w:rPr>
              <w:t>51.27</w:t>
            </w:r>
          </w:p>
        </w:tc>
      </w:tr>
      <w:tr w:rsidR="00F4071F">
        <w:tc>
          <w:tcPr>
            <w:tcW w:w="2787" w:type="dxa"/>
            <w:vAlign w:val="center"/>
          </w:tcPr>
          <w:p w:rsidR="00F4071F" w:rsidRDefault="00FB4762">
            <w:pPr>
              <w:jc w:val="left"/>
            </w:pPr>
            <w:r>
              <w:rPr>
                <w:color w:val="000000"/>
                <w:sz w:val="24"/>
              </w:rPr>
              <w:t>必需消费品</w:t>
            </w:r>
          </w:p>
        </w:tc>
        <w:tc>
          <w:tcPr>
            <w:tcW w:w="2551" w:type="dxa"/>
            <w:vAlign w:val="center"/>
          </w:tcPr>
          <w:p w:rsidR="00F4071F" w:rsidRDefault="00FB4762">
            <w:pPr>
              <w:jc w:val="right"/>
            </w:pPr>
            <w:r>
              <w:rPr>
                <w:color w:val="000000"/>
                <w:sz w:val="24"/>
              </w:rPr>
              <w:t>-</w:t>
            </w:r>
          </w:p>
        </w:tc>
        <w:tc>
          <w:tcPr>
            <w:tcW w:w="3175" w:type="dxa"/>
            <w:vAlign w:val="center"/>
          </w:tcPr>
          <w:p w:rsidR="00F4071F" w:rsidRDefault="00FB4762">
            <w:pPr>
              <w:jc w:val="right"/>
            </w:pPr>
            <w:r>
              <w:rPr>
                <w:color w:val="000000"/>
                <w:sz w:val="24"/>
              </w:rPr>
              <w:t>-</w:t>
            </w:r>
          </w:p>
        </w:tc>
      </w:tr>
      <w:tr w:rsidR="00F4071F">
        <w:tc>
          <w:tcPr>
            <w:tcW w:w="2787" w:type="dxa"/>
            <w:vAlign w:val="center"/>
          </w:tcPr>
          <w:p w:rsidR="00F4071F" w:rsidRDefault="00FB4762">
            <w:pPr>
              <w:jc w:val="left"/>
            </w:pPr>
            <w:r>
              <w:rPr>
                <w:color w:val="000000"/>
                <w:sz w:val="24"/>
              </w:rPr>
              <w:t>保健</w:t>
            </w:r>
          </w:p>
        </w:tc>
        <w:tc>
          <w:tcPr>
            <w:tcW w:w="2551" w:type="dxa"/>
            <w:vAlign w:val="center"/>
          </w:tcPr>
          <w:p w:rsidR="00F4071F" w:rsidRDefault="00FB4762">
            <w:pPr>
              <w:jc w:val="right"/>
            </w:pPr>
            <w:r>
              <w:rPr>
                <w:color w:val="000000"/>
                <w:sz w:val="24"/>
              </w:rPr>
              <w:t>-</w:t>
            </w:r>
          </w:p>
        </w:tc>
        <w:tc>
          <w:tcPr>
            <w:tcW w:w="3175" w:type="dxa"/>
            <w:vAlign w:val="center"/>
          </w:tcPr>
          <w:p w:rsidR="00F4071F" w:rsidRDefault="00FB4762">
            <w:pPr>
              <w:jc w:val="right"/>
            </w:pPr>
            <w:r>
              <w:rPr>
                <w:color w:val="000000"/>
                <w:sz w:val="24"/>
              </w:rPr>
              <w:t>-</w:t>
            </w:r>
          </w:p>
        </w:tc>
      </w:tr>
      <w:tr w:rsidR="00F4071F">
        <w:tc>
          <w:tcPr>
            <w:tcW w:w="2787" w:type="dxa"/>
            <w:vAlign w:val="center"/>
          </w:tcPr>
          <w:p w:rsidR="00F4071F" w:rsidRDefault="00FB4762">
            <w:pPr>
              <w:jc w:val="left"/>
            </w:pPr>
            <w:r>
              <w:rPr>
                <w:color w:val="000000"/>
                <w:sz w:val="24"/>
              </w:rPr>
              <w:t>金融</w:t>
            </w:r>
          </w:p>
        </w:tc>
        <w:tc>
          <w:tcPr>
            <w:tcW w:w="2551" w:type="dxa"/>
            <w:vAlign w:val="center"/>
          </w:tcPr>
          <w:p w:rsidR="00F4071F" w:rsidRDefault="00FB4762">
            <w:pPr>
              <w:jc w:val="right"/>
            </w:pPr>
            <w:r>
              <w:rPr>
                <w:color w:val="000000"/>
                <w:sz w:val="24"/>
              </w:rPr>
              <w:t>7,329,670.10</w:t>
            </w:r>
          </w:p>
        </w:tc>
        <w:tc>
          <w:tcPr>
            <w:tcW w:w="3175" w:type="dxa"/>
            <w:vAlign w:val="center"/>
          </w:tcPr>
          <w:p w:rsidR="00F4071F" w:rsidRDefault="00FB4762">
            <w:pPr>
              <w:jc w:val="right"/>
            </w:pPr>
            <w:r>
              <w:rPr>
                <w:color w:val="000000"/>
                <w:sz w:val="24"/>
              </w:rPr>
              <w:t>0.62</w:t>
            </w:r>
          </w:p>
        </w:tc>
      </w:tr>
      <w:tr w:rsidR="00F4071F">
        <w:tc>
          <w:tcPr>
            <w:tcW w:w="2787" w:type="dxa"/>
            <w:vAlign w:val="center"/>
          </w:tcPr>
          <w:p w:rsidR="00F4071F" w:rsidRDefault="00FB4762">
            <w:pPr>
              <w:jc w:val="left"/>
            </w:pPr>
            <w:r>
              <w:rPr>
                <w:color w:val="000000"/>
                <w:sz w:val="24"/>
              </w:rPr>
              <w:t>信息技术</w:t>
            </w:r>
          </w:p>
        </w:tc>
        <w:tc>
          <w:tcPr>
            <w:tcW w:w="2551" w:type="dxa"/>
            <w:vAlign w:val="center"/>
          </w:tcPr>
          <w:p w:rsidR="00F4071F" w:rsidRDefault="00FB4762">
            <w:pPr>
              <w:jc w:val="right"/>
            </w:pPr>
            <w:r>
              <w:rPr>
                <w:color w:val="000000"/>
                <w:sz w:val="24"/>
              </w:rPr>
              <w:t>4,652,645.51</w:t>
            </w:r>
          </w:p>
        </w:tc>
        <w:tc>
          <w:tcPr>
            <w:tcW w:w="3175" w:type="dxa"/>
            <w:vAlign w:val="center"/>
          </w:tcPr>
          <w:p w:rsidR="00F4071F" w:rsidRDefault="00FB4762">
            <w:pPr>
              <w:jc w:val="right"/>
            </w:pPr>
            <w:r>
              <w:rPr>
                <w:color w:val="000000"/>
                <w:sz w:val="24"/>
              </w:rPr>
              <w:t>0.39</w:t>
            </w:r>
          </w:p>
        </w:tc>
      </w:tr>
      <w:tr w:rsidR="00F4071F">
        <w:tc>
          <w:tcPr>
            <w:tcW w:w="2787" w:type="dxa"/>
            <w:vAlign w:val="center"/>
          </w:tcPr>
          <w:p w:rsidR="00F4071F" w:rsidRDefault="00FB4762">
            <w:pPr>
              <w:jc w:val="left"/>
            </w:pPr>
            <w:r>
              <w:rPr>
                <w:color w:val="000000"/>
                <w:sz w:val="24"/>
              </w:rPr>
              <w:t>电信服务</w:t>
            </w:r>
          </w:p>
        </w:tc>
        <w:tc>
          <w:tcPr>
            <w:tcW w:w="2551" w:type="dxa"/>
            <w:vAlign w:val="center"/>
          </w:tcPr>
          <w:p w:rsidR="00F4071F" w:rsidRDefault="00FB4762">
            <w:pPr>
              <w:jc w:val="right"/>
            </w:pPr>
            <w:r>
              <w:rPr>
                <w:color w:val="000000"/>
                <w:sz w:val="24"/>
              </w:rPr>
              <w:t>557,801,912.54</w:t>
            </w:r>
          </w:p>
        </w:tc>
        <w:tc>
          <w:tcPr>
            <w:tcW w:w="3175" w:type="dxa"/>
            <w:vAlign w:val="center"/>
          </w:tcPr>
          <w:p w:rsidR="00F4071F" w:rsidRDefault="00FB4762">
            <w:pPr>
              <w:jc w:val="right"/>
            </w:pPr>
            <w:r>
              <w:rPr>
                <w:color w:val="000000"/>
                <w:sz w:val="24"/>
              </w:rPr>
              <w:t>47.02</w:t>
            </w:r>
          </w:p>
        </w:tc>
      </w:tr>
      <w:tr w:rsidR="00F4071F">
        <w:tc>
          <w:tcPr>
            <w:tcW w:w="2787" w:type="dxa"/>
            <w:vAlign w:val="center"/>
          </w:tcPr>
          <w:p w:rsidR="00F4071F" w:rsidRDefault="00FB4762">
            <w:pPr>
              <w:jc w:val="left"/>
            </w:pPr>
            <w:r>
              <w:rPr>
                <w:color w:val="000000"/>
                <w:sz w:val="24"/>
              </w:rPr>
              <w:t>公用事业</w:t>
            </w:r>
          </w:p>
        </w:tc>
        <w:tc>
          <w:tcPr>
            <w:tcW w:w="2551" w:type="dxa"/>
            <w:vAlign w:val="center"/>
          </w:tcPr>
          <w:p w:rsidR="00F4071F" w:rsidRDefault="00FB4762">
            <w:pPr>
              <w:jc w:val="right"/>
            </w:pPr>
            <w:r>
              <w:rPr>
                <w:color w:val="000000"/>
                <w:sz w:val="24"/>
              </w:rPr>
              <w:t>-</w:t>
            </w:r>
          </w:p>
        </w:tc>
        <w:tc>
          <w:tcPr>
            <w:tcW w:w="3175" w:type="dxa"/>
            <w:vAlign w:val="center"/>
          </w:tcPr>
          <w:p w:rsidR="00F4071F" w:rsidRDefault="00FB4762">
            <w:pPr>
              <w:jc w:val="right"/>
            </w:pPr>
            <w:r>
              <w:rPr>
                <w:color w:val="000000"/>
                <w:sz w:val="24"/>
              </w:rPr>
              <w:t>-</w:t>
            </w:r>
          </w:p>
        </w:tc>
      </w:tr>
      <w:tr w:rsidR="00F4071F">
        <w:tc>
          <w:tcPr>
            <w:tcW w:w="2787" w:type="dxa"/>
            <w:vAlign w:val="center"/>
          </w:tcPr>
          <w:p w:rsidR="00F4071F" w:rsidRDefault="00FB4762">
            <w:pPr>
              <w:jc w:val="left"/>
            </w:pPr>
            <w:r>
              <w:rPr>
                <w:color w:val="000000"/>
                <w:sz w:val="24"/>
              </w:rPr>
              <w:t>房地产</w:t>
            </w:r>
          </w:p>
        </w:tc>
        <w:tc>
          <w:tcPr>
            <w:tcW w:w="2551" w:type="dxa"/>
            <w:vAlign w:val="center"/>
          </w:tcPr>
          <w:p w:rsidR="00F4071F" w:rsidRDefault="00FB4762">
            <w:pPr>
              <w:jc w:val="right"/>
            </w:pPr>
            <w:r>
              <w:rPr>
                <w:color w:val="000000"/>
                <w:sz w:val="24"/>
              </w:rPr>
              <w:t>-</w:t>
            </w:r>
          </w:p>
        </w:tc>
        <w:tc>
          <w:tcPr>
            <w:tcW w:w="3175" w:type="dxa"/>
            <w:vAlign w:val="center"/>
          </w:tcPr>
          <w:p w:rsidR="00F4071F" w:rsidRDefault="00FB4762">
            <w:pPr>
              <w:jc w:val="right"/>
            </w:pPr>
            <w:r>
              <w:rPr>
                <w:color w:val="000000"/>
                <w:sz w:val="24"/>
              </w:rPr>
              <w:t>-</w:t>
            </w:r>
          </w:p>
        </w:tc>
      </w:tr>
      <w:tr w:rsidR="00F5013F" w:rsidRPr="006506EF" w:rsidTr="0007178B">
        <w:tc>
          <w:tcPr>
            <w:tcW w:w="2787"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合计</w:t>
            </w:r>
          </w:p>
        </w:tc>
        <w:tc>
          <w:tcPr>
            <w:tcW w:w="2551"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1,182,822,554.72</w:t>
            </w:r>
          </w:p>
        </w:tc>
        <w:tc>
          <w:tcPr>
            <w:tcW w:w="3175"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99.71</w:t>
            </w:r>
          </w:p>
        </w:tc>
      </w:tr>
    </w:tbl>
    <w:p w:rsidR="00F5013F" w:rsidRPr="006506EF" w:rsidRDefault="00F5013F" w:rsidP="00A70EAB">
      <w:pPr>
        <w:spacing w:line="360" w:lineRule="auto"/>
        <w:ind w:firstLineChars="200" w:firstLine="480"/>
        <w:rPr>
          <w:color w:val="000000"/>
          <w:sz w:val="24"/>
        </w:rPr>
      </w:pPr>
      <w:r w:rsidRPr="006506EF">
        <w:rPr>
          <w:color w:val="000000"/>
          <w:sz w:val="24"/>
        </w:rPr>
        <w:t>注：以上分类采用全球行业分类标准（</w:t>
      </w:r>
      <w:r w:rsidRPr="006506EF">
        <w:rPr>
          <w:color w:val="000000"/>
          <w:sz w:val="24"/>
        </w:rPr>
        <w:t>GICS</w:t>
      </w:r>
      <w:r w:rsidRPr="006506EF">
        <w:rPr>
          <w:color w:val="000000"/>
          <w:sz w:val="24"/>
        </w:rPr>
        <w:t>）。</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5.4 </w:t>
      </w:r>
      <w:r w:rsidRPr="006506EF">
        <w:rPr>
          <w:b/>
          <w:color w:val="000000"/>
          <w:kern w:val="0"/>
          <w:sz w:val="24"/>
        </w:rPr>
        <w:t>报告期末按公允价值占基金资产净值比例大小排序的前十名股票及存托凭证投资明细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
        <w:gridCol w:w="1551"/>
        <w:gridCol w:w="687"/>
        <w:gridCol w:w="858"/>
        <w:gridCol w:w="466"/>
        <w:gridCol w:w="702"/>
        <w:gridCol w:w="1158"/>
        <w:gridCol w:w="1688"/>
        <w:gridCol w:w="937"/>
      </w:tblGrid>
      <w:tr w:rsidR="00F5013F" w:rsidRPr="006506EF" w:rsidTr="0007178B">
        <w:tc>
          <w:tcPr>
            <w:tcW w:w="794"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序号</w:t>
            </w:r>
          </w:p>
        </w:tc>
        <w:tc>
          <w:tcPr>
            <w:tcW w:w="974"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公司名称（英文）</w:t>
            </w:r>
          </w:p>
        </w:tc>
        <w:tc>
          <w:tcPr>
            <w:tcW w:w="1019"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公司名</w:t>
            </w:r>
            <w:r w:rsidRPr="006506EF">
              <w:rPr>
                <w:color w:val="000000"/>
                <w:kern w:val="0"/>
                <w:sz w:val="24"/>
              </w:rPr>
              <w:lastRenderedPageBreak/>
              <w:t>称（中文）</w:t>
            </w:r>
          </w:p>
        </w:tc>
        <w:tc>
          <w:tcPr>
            <w:tcW w:w="703"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lastRenderedPageBreak/>
              <w:t>证券代码</w:t>
            </w:r>
          </w:p>
        </w:tc>
        <w:tc>
          <w:tcPr>
            <w:tcW w:w="793"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所在证</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lastRenderedPageBreak/>
              <w:t>券市场</w:t>
            </w:r>
          </w:p>
        </w:tc>
        <w:tc>
          <w:tcPr>
            <w:tcW w:w="969"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lastRenderedPageBreak/>
              <w:t>所属国</w:t>
            </w:r>
            <w:r w:rsidRPr="006506EF">
              <w:rPr>
                <w:color w:val="000000"/>
                <w:kern w:val="0"/>
                <w:sz w:val="24"/>
              </w:rPr>
              <w:lastRenderedPageBreak/>
              <w:t>家</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（地区</w:t>
            </w:r>
            <w:r w:rsidRPr="006506EF">
              <w:rPr>
                <w:color w:val="000000"/>
                <w:kern w:val="0"/>
                <w:sz w:val="24"/>
              </w:rPr>
              <w:t>)</w:t>
            </w:r>
          </w:p>
        </w:tc>
        <w:tc>
          <w:tcPr>
            <w:tcW w:w="114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lastRenderedPageBreak/>
              <w:t>数量</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（股）</w:t>
            </w:r>
          </w:p>
        </w:tc>
        <w:tc>
          <w:tcPr>
            <w:tcW w:w="969"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公允价值（人民币元）</w:t>
            </w:r>
          </w:p>
        </w:tc>
        <w:tc>
          <w:tcPr>
            <w:tcW w:w="114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w:t>
            </w:r>
            <w:r w:rsidRPr="006506EF">
              <w:rPr>
                <w:color w:val="000000"/>
                <w:kern w:val="0"/>
                <w:sz w:val="24"/>
              </w:rPr>
              <w:lastRenderedPageBreak/>
              <w:t>值比例（％）</w:t>
            </w:r>
          </w:p>
        </w:tc>
      </w:tr>
      <w:tr w:rsidR="00F4071F">
        <w:tc>
          <w:tcPr>
            <w:tcW w:w="0" w:type="auto"/>
            <w:vAlign w:val="center"/>
          </w:tcPr>
          <w:p w:rsidR="00F4071F" w:rsidRDefault="00FB4762">
            <w:pPr>
              <w:jc w:val="center"/>
            </w:pPr>
            <w:r>
              <w:rPr>
                <w:color w:val="000000"/>
                <w:sz w:val="24"/>
              </w:rPr>
              <w:lastRenderedPageBreak/>
              <w:t>1</w:t>
            </w:r>
          </w:p>
        </w:tc>
        <w:tc>
          <w:tcPr>
            <w:tcW w:w="0" w:type="auto"/>
            <w:vAlign w:val="center"/>
          </w:tcPr>
          <w:p w:rsidR="00F4071F" w:rsidRDefault="00FB4762">
            <w:pPr>
              <w:jc w:val="center"/>
            </w:pPr>
            <w:r>
              <w:rPr>
                <w:color w:val="000000"/>
                <w:sz w:val="24"/>
              </w:rPr>
              <w:t>Alibaba Group Holding Ltd</w:t>
            </w:r>
          </w:p>
        </w:tc>
        <w:tc>
          <w:tcPr>
            <w:tcW w:w="0" w:type="auto"/>
            <w:vAlign w:val="center"/>
          </w:tcPr>
          <w:p w:rsidR="00F4071F" w:rsidRDefault="00FB4762">
            <w:pPr>
              <w:jc w:val="center"/>
            </w:pPr>
            <w:r>
              <w:rPr>
                <w:color w:val="000000"/>
                <w:sz w:val="24"/>
              </w:rPr>
              <w:t>阿里巴巴集团控股有限公司</w:t>
            </w:r>
          </w:p>
        </w:tc>
        <w:tc>
          <w:tcPr>
            <w:tcW w:w="0" w:type="auto"/>
            <w:vAlign w:val="center"/>
          </w:tcPr>
          <w:p w:rsidR="00F4071F" w:rsidRDefault="00FB4762">
            <w:pPr>
              <w:jc w:val="center"/>
            </w:pPr>
            <w:r>
              <w:rPr>
                <w:color w:val="000000"/>
                <w:sz w:val="24"/>
              </w:rPr>
              <w:t>BABA US</w:t>
            </w:r>
          </w:p>
        </w:tc>
        <w:tc>
          <w:tcPr>
            <w:tcW w:w="0" w:type="auto"/>
            <w:vAlign w:val="center"/>
          </w:tcPr>
          <w:p w:rsidR="00F4071F" w:rsidRDefault="00FB4762">
            <w:pPr>
              <w:jc w:val="center"/>
            </w:pPr>
            <w:r>
              <w:rPr>
                <w:color w:val="000000"/>
                <w:sz w:val="24"/>
              </w:rPr>
              <w:t>纽约证券交易所</w:t>
            </w:r>
          </w:p>
        </w:tc>
        <w:tc>
          <w:tcPr>
            <w:tcW w:w="0" w:type="auto"/>
            <w:vAlign w:val="center"/>
          </w:tcPr>
          <w:p w:rsidR="00F4071F" w:rsidRDefault="00FB4762">
            <w:pPr>
              <w:jc w:val="center"/>
            </w:pPr>
            <w:r>
              <w:rPr>
                <w:color w:val="000000"/>
                <w:sz w:val="24"/>
              </w:rPr>
              <w:t>美国</w:t>
            </w:r>
          </w:p>
        </w:tc>
        <w:tc>
          <w:tcPr>
            <w:tcW w:w="0" w:type="auto"/>
            <w:vAlign w:val="center"/>
          </w:tcPr>
          <w:p w:rsidR="00F4071F" w:rsidRDefault="00FB4762">
            <w:pPr>
              <w:jc w:val="right"/>
            </w:pPr>
            <w:r>
              <w:rPr>
                <w:color w:val="000000"/>
                <w:sz w:val="24"/>
              </w:rPr>
              <w:t>314,634</w:t>
            </w:r>
          </w:p>
        </w:tc>
        <w:tc>
          <w:tcPr>
            <w:tcW w:w="0" w:type="auto"/>
            <w:vAlign w:val="center"/>
          </w:tcPr>
          <w:p w:rsidR="00F4071F" w:rsidRDefault="00FB4762">
            <w:pPr>
              <w:jc w:val="right"/>
            </w:pPr>
            <w:r>
              <w:rPr>
                <w:color w:val="000000"/>
                <w:sz w:val="24"/>
              </w:rPr>
              <w:t>372,149,430.91</w:t>
            </w:r>
          </w:p>
        </w:tc>
        <w:tc>
          <w:tcPr>
            <w:tcW w:w="0" w:type="auto"/>
            <w:vAlign w:val="center"/>
          </w:tcPr>
          <w:p w:rsidR="00F4071F" w:rsidRDefault="00FB4762">
            <w:pPr>
              <w:jc w:val="right"/>
            </w:pPr>
            <w:r>
              <w:rPr>
                <w:color w:val="000000"/>
                <w:sz w:val="24"/>
              </w:rPr>
              <w:t>31.37</w:t>
            </w:r>
          </w:p>
        </w:tc>
      </w:tr>
      <w:tr w:rsidR="00F4071F">
        <w:tc>
          <w:tcPr>
            <w:tcW w:w="0" w:type="auto"/>
            <w:vAlign w:val="center"/>
          </w:tcPr>
          <w:p w:rsidR="00F4071F" w:rsidRDefault="00FB4762">
            <w:pPr>
              <w:jc w:val="center"/>
            </w:pPr>
            <w:r>
              <w:rPr>
                <w:color w:val="000000"/>
                <w:sz w:val="24"/>
              </w:rPr>
              <w:t>2</w:t>
            </w:r>
          </w:p>
        </w:tc>
        <w:tc>
          <w:tcPr>
            <w:tcW w:w="0" w:type="auto"/>
            <w:vAlign w:val="center"/>
          </w:tcPr>
          <w:p w:rsidR="00F4071F" w:rsidRDefault="00FB4762">
            <w:pPr>
              <w:jc w:val="center"/>
            </w:pPr>
            <w:r>
              <w:rPr>
                <w:color w:val="000000"/>
                <w:sz w:val="24"/>
              </w:rPr>
              <w:t>Tencent Holdings Ltd</w:t>
            </w:r>
          </w:p>
        </w:tc>
        <w:tc>
          <w:tcPr>
            <w:tcW w:w="0" w:type="auto"/>
            <w:vAlign w:val="center"/>
          </w:tcPr>
          <w:p w:rsidR="00F4071F" w:rsidRDefault="00FB4762">
            <w:pPr>
              <w:jc w:val="center"/>
            </w:pPr>
            <w:r>
              <w:rPr>
                <w:color w:val="000000"/>
                <w:sz w:val="24"/>
              </w:rPr>
              <w:t>腾讯控股有限公司</w:t>
            </w:r>
          </w:p>
        </w:tc>
        <w:tc>
          <w:tcPr>
            <w:tcW w:w="0" w:type="auto"/>
            <w:vAlign w:val="center"/>
          </w:tcPr>
          <w:p w:rsidR="00F4071F" w:rsidRDefault="00FB4762">
            <w:pPr>
              <w:jc w:val="center"/>
            </w:pPr>
            <w:r>
              <w:rPr>
                <w:color w:val="000000"/>
                <w:sz w:val="24"/>
              </w:rPr>
              <w:t>700 HK</w:t>
            </w:r>
          </w:p>
        </w:tc>
        <w:tc>
          <w:tcPr>
            <w:tcW w:w="0" w:type="auto"/>
            <w:vAlign w:val="center"/>
          </w:tcPr>
          <w:p w:rsidR="00F4071F" w:rsidRDefault="00FB4762">
            <w:pPr>
              <w:jc w:val="center"/>
            </w:pPr>
            <w:r>
              <w:rPr>
                <w:color w:val="000000"/>
                <w:sz w:val="24"/>
              </w:rPr>
              <w:t>香港证券交易所</w:t>
            </w:r>
          </w:p>
        </w:tc>
        <w:tc>
          <w:tcPr>
            <w:tcW w:w="0" w:type="auto"/>
            <w:vAlign w:val="center"/>
          </w:tcPr>
          <w:p w:rsidR="00F4071F" w:rsidRDefault="00FB4762">
            <w:pPr>
              <w:jc w:val="center"/>
            </w:pPr>
            <w:r>
              <w:rPr>
                <w:color w:val="000000"/>
                <w:sz w:val="24"/>
              </w:rPr>
              <w:t>香港</w:t>
            </w:r>
          </w:p>
        </w:tc>
        <w:tc>
          <w:tcPr>
            <w:tcW w:w="0" w:type="auto"/>
            <w:vAlign w:val="center"/>
          </w:tcPr>
          <w:p w:rsidR="00F4071F" w:rsidRDefault="00FB4762">
            <w:pPr>
              <w:jc w:val="right"/>
            </w:pPr>
            <w:r>
              <w:rPr>
                <w:color w:val="000000"/>
                <w:sz w:val="24"/>
              </w:rPr>
              <w:t>1,157,846</w:t>
            </w:r>
          </w:p>
        </w:tc>
        <w:tc>
          <w:tcPr>
            <w:tcW w:w="0" w:type="auto"/>
            <w:vAlign w:val="center"/>
          </w:tcPr>
          <w:p w:rsidR="00F4071F" w:rsidRDefault="00FB4762">
            <w:pPr>
              <w:jc w:val="right"/>
            </w:pPr>
            <w:r>
              <w:rPr>
                <w:color w:val="000000"/>
                <w:sz w:val="24"/>
              </w:rPr>
              <w:t>344,857,138.99</w:t>
            </w:r>
          </w:p>
        </w:tc>
        <w:tc>
          <w:tcPr>
            <w:tcW w:w="0" w:type="auto"/>
            <w:vAlign w:val="center"/>
          </w:tcPr>
          <w:p w:rsidR="00F4071F" w:rsidRDefault="00FB4762">
            <w:pPr>
              <w:jc w:val="right"/>
            </w:pPr>
            <w:r>
              <w:rPr>
                <w:color w:val="000000"/>
                <w:sz w:val="24"/>
              </w:rPr>
              <w:t>29.07</w:t>
            </w:r>
          </w:p>
        </w:tc>
      </w:tr>
      <w:tr w:rsidR="00F4071F">
        <w:tc>
          <w:tcPr>
            <w:tcW w:w="0" w:type="auto"/>
            <w:vAlign w:val="center"/>
          </w:tcPr>
          <w:p w:rsidR="00F4071F" w:rsidRDefault="00FB4762">
            <w:pPr>
              <w:jc w:val="center"/>
            </w:pPr>
            <w:r>
              <w:rPr>
                <w:color w:val="000000"/>
                <w:sz w:val="24"/>
              </w:rPr>
              <w:t>3</w:t>
            </w:r>
          </w:p>
        </w:tc>
        <w:tc>
          <w:tcPr>
            <w:tcW w:w="0" w:type="auto"/>
            <w:vAlign w:val="center"/>
          </w:tcPr>
          <w:p w:rsidR="00F4071F" w:rsidRDefault="00FB4762">
            <w:pPr>
              <w:jc w:val="center"/>
            </w:pPr>
            <w:r>
              <w:rPr>
                <w:color w:val="000000"/>
                <w:sz w:val="24"/>
              </w:rPr>
              <w:t>Baidu Inc</w:t>
            </w:r>
          </w:p>
        </w:tc>
        <w:tc>
          <w:tcPr>
            <w:tcW w:w="0" w:type="auto"/>
            <w:vAlign w:val="center"/>
          </w:tcPr>
          <w:p w:rsidR="00F4071F" w:rsidRDefault="00FB4762">
            <w:pPr>
              <w:jc w:val="center"/>
            </w:pPr>
            <w:r>
              <w:rPr>
                <w:color w:val="000000"/>
                <w:sz w:val="24"/>
              </w:rPr>
              <w:t>百度股份有限公司</w:t>
            </w:r>
          </w:p>
        </w:tc>
        <w:tc>
          <w:tcPr>
            <w:tcW w:w="0" w:type="auto"/>
            <w:vAlign w:val="center"/>
          </w:tcPr>
          <w:p w:rsidR="00F4071F" w:rsidRDefault="00FB4762">
            <w:pPr>
              <w:jc w:val="center"/>
            </w:pPr>
            <w:r>
              <w:rPr>
                <w:color w:val="000000"/>
                <w:sz w:val="24"/>
              </w:rPr>
              <w:t>BIDU US</w:t>
            </w:r>
          </w:p>
        </w:tc>
        <w:tc>
          <w:tcPr>
            <w:tcW w:w="0" w:type="auto"/>
            <w:vAlign w:val="center"/>
          </w:tcPr>
          <w:p w:rsidR="00F4071F" w:rsidRDefault="00FB4762">
            <w:pPr>
              <w:jc w:val="center"/>
            </w:pPr>
            <w:r>
              <w:rPr>
                <w:color w:val="000000"/>
                <w:sz w:val="24"/>
              </w:rPr>
              <w:t>纳斯达克证券交易所</w:t>
            </w:r>
          </w:p>
        </w:tc>
        <w:tc>
          <w:tcPr>
            <w:tcW w:w="0" w:type="auto"/>
            <w:vAlign w:val="center"/>
          </w:tcPr>
          <w:p w:rsidR="00F4071F" w:rsidRDefault="00FB4762">
            <w:pPr>
              <w:jc w:val="center"/>
            </w:pPr>
            <w:r>
              <w:rPr>
                <w:color w:val="000000"/>
                <w:sz w:val="24"/>
              </w:rPr>
              <w:t>美国</w:t>
            </w:r>
          </w:p>
        </w:tc>
        <w:tc>
          <w:tcPr>
            <w:tcW w:w="0" w:type="auto"/>
            <w:vAlign w:val="center"/>
          </w:tcPr>
          <w:p w:rsidR="00F4071F" w:rsidRDefault="00FB4762">
            <w:pPr>
              <w:jc w:val="right"/>
            </w:pPr>
            <w:r>
              <w:rPr>
                <w:color w:val="000000"/>
                <w:sz w:val="24"/>
              </w:rPr>
              <w:t>102,739</w:t>
            </w:r>
          </w:p>
        </w:tc>
        <w:tc>
          <w:tcPr>
            <w:tcW w:w="0" w:type="auto"/>
            <w:vAlign w:val="center"/>
          </w:tcPr>
          <w:p w:rsidR="00F4071F" w:rsidRDefault="00FB4762">
            <w:pPr>
              <w:jc w:val="right"/>
            </w:pPr>
            <w:r>
              <w:rPr>
                <w:color w:val="000000"/>
                <w:sz w:val="24"/>
              </w:rPr>
              <w:t>74,671,856.29</w:t>
            </w:r>
          </w:p>
        </w:tc>
        <w:tc>
          <w:tcPr>
            <w:tcW w:w="0" w:type="auto"/>
            <w:vAlign w:val="center"/>
          </w:tcPr>
          <w:p w:rsidR="00F4071F" w:rsidRDefault="00FB4762">
            <w:pPr>
              <w:jc w:val="right"/>
            </w:pPr>
            <w:r>
              <w:rPr>
                <w:color w:val="000000"/>
                <w:sz w:val="24"/>
              </w:rPr>
              <w:t>6.29</w:t>
            </w:r>
          </w:p>
        </w:tc>
      </w:tr>
      <w:tr w:rsidR="00F4071F">
        <w:tc>
          <w:tcPr>
            <w:tcW w:w="0" w:type="auto"/>
            <w:vAlign w:val="center"/>
          </w:tcPr>
          <w:p w:rsidR="00F4071F" w:rsidRDefault="00FB4762">
            <w:pPr>
              <w:jc w:val="center"/>
            </w:pPr>
            <w:r>
              <w:rPr>
                <w:color w:val="000000"/>
                <w:sz w:val="24"/>
              </w:rPr>
              <w:t>4</w:t>
            </w:r>
          </w:p>
        </w:tc>
        <w:tc>
          <w:tcPr>
            <w:tcW w:w="0" w:type="auto"/>
            <w:vAlign w:val="center"/>
          </w:tcPr>
          <w:p w:rsidR="00F4071F" w:rsidRDefault="00FB4762">
            <w:pPr>
              <w:jc w:val="center"/>
            </w:pPr>
            <w:r>
              <w:rPr>
                <w:color w:val="000000"/>
                <w:sz w:val="24"/>
              </w:rPr>
              <w:t>Meituan Dianping</w:t>
            </w:r>
          </w:p>
        </w:tc>
        <w:tc>
          <w:tcPr>
            <w:tcW w:w="0" w:type="auto"/>
            <w:vAlign w:val="center"/>
          </w:tcPr>
          <w:p w:rsidR="00F4071F" w:rsidRDefault="00FB4762">
            <w:pPr>
              <w:jc w:val="center"/>
            </w:pPr>
            <w:r>
              <w:rPr>
                <w:color w:val="000000"/>
                <w:sz w:val="24"/>
              </w:rPr>
              <w:t>美团点评</w:t>
            </w:r>
          </w:p>
        </w:tc>
        <w:tc>
          <w:tcPr>
            <w:tcW w:w="0" w:type="auto"/>
            <w:vAlign w:val="center"/>
          </w:tcPr>
          <w:p w:rsidR="00F4071F" w:rsidRDefault="00FB4762">
            <w:pPr>
              <w:jc w:val="center"/>
            </w:pPr>
            <w:r>
              <w:rPr>
                <w:color w:val="000000"/>
                <w:sz w:val="24"/>
              </w:rPr>
              <w:t>3690 HK</w:t>
            </w:r>
          </w:p>
        </w:tc>
        <w:tc>
          <w:tcPr>
            <w:tcW w:w="0" w:type="auto"/>
            <w:vAlign w:val="center"/>
          </w:tcPr>
          <w:p w:rsidR="00F4071F" w:rsidRDefault="00FB4762">
            <w:pPr>
              <w:jc w:val="center"/>
            </w:pPr>
            <w:r>
              <w:rPr>
                <w:color w:val="000000"/>
                <w:sz w:val="24"/>
              </w:rPr>
              <w:t>香港证券交易所</w:t>
            </w:r>
          </w:p>
        </w:tc>
        <w:tc>
          <w:tcPr>
            <w:tcW w:w="0" w:type="auto"/>
            <w:vAlign w:val="center"/>
          </w:tcPr>
          <w:p w:rsidR="00F4071F" w:rsidRDefault="00FB4762">
            <w:pPr>
              <w:jc w:val="center"/>
            </w:pPr>
            <w:r>
              <w:rPr>
                <w:color w:val="000000"/>
                <w:sz w:val="24"/>
              </w:rPr>
              <w:t>香港</w:t>
            </w:r>
          </w:p>
        </w:tc>
        <w:tc>
          <w:tcPr>
            <w:tcW w:w="0" w:type="auto"/>
            <w:vAlign w:val="center"/>
          </w:tcPr>
          <w:p w:rsidR="00F4071F" w:rsidRDefault="00FB4762">
            <w:pPr>
              <w:jc w:val="right"/>
            </w:pPr>
            <w:r>
              <w:rPr>
                <w:color w:val="000000"/>
                <w:sz w:val="24"/>
              </w:rPr>
              <w:t>1,019,874</w:t>
            </w:r>
          </w:p>
        </w:tc>
        <w:tc>
          <w:tcPr>
            <w:tcW w:w="0" w:type="auto"/>
            <w:vAlign w:val="center"/>
          </w:tcPr>
          <w:p w:rsidR="00F4071F" w:rsidRDefault="00FB4762">
            <w:pPr>
              <w:jc w:val="right"/>
            </w:pPr>
            <w:r>
              <w:rPr>
                <w:color w:val="000000"/>
                <w:sz w:val="24"/>
              </w:rPr>
              <w:t>73,686,917.39</w:t>
            </w:r>
          </w:p>
        </w:tc>
        <w:tc>
          <w:tcPr>
            <w:tcW w:w="0" w:type="auto"/>
            <w:vAlign w:val="center"/>
          </w:tcPr>
          <w:p w:rsidR="00F4071F" w:rsidRDefault="00FB4762">
            <w:pPr>
              <w:jc w:val="right"/>
            </w:pPr>
            <w:r>
              <w:rPr>
                <w:color w:val="000000"/>
                <w:sz w:val="24"/>
              </w:rPr>
              <w:t>6.21</w:t>
            </w:r>
          </w:p>
        </w:tc>
      </w:tr>
      <w:tr w:rsidR="00F4071F">
        <w:tc>
          <w:tcPr>
            <w:tcW w:w="0" w:type="auto"/>
            <w:vAlign w:val="center"/>
          </w:tcPr>
          <w:p w:rsidR="00F4071F" w:rsidRDefault="00FB4762">
            <w:pPr>
              <w:jc w:val="center"/>
            </w:pPr>
            <w:r>
              <w:rPr>
                <w:color w:val="000000"/>
                <w:sz w:val="24"/>
              </w:rPr>
              <w:t>5</w:t>
            </w:r>
          </w:p>
        </w:tc>
        <w:tc>
          <w:tcPr>
            <w:tcW w:w="0" w:type="auto"/>
            <w:vAlign w:val="center"/>
          </w:tcPr>
          <w:p w:rsidR="00F4071F" w:rsidRDefault="00FB4762">
            <w:pPr>
              <w:jc w:val="center"/>
            </w:pPr>
            <w:r>
              <w:rPr>
                <w:color w:val="000000"/>
                <w:sz w:val="24"/>
              </w:rPr>
              <w:t>JD.com Inc</w:t>
            </w:r>
          </w:p>
        </w:tc>
        <w:tc>
          <w:tcPr>
            <w:tcW w:w="0" w:type="auto"/>
            <w:vAlign w:val="center"/>
          </w:tcPr>
          <w:p w:rsidR="00F4071F" w:rsidRDefault="00FB4762">
            <w:pPr>
              <w:jc w:val="center"/>
            </w:pPr>
            <w:r>
              <w:rPr>
                <w:color w:val="000000"/>
                <w:sz w:val="24"/>
              </w:rPr>
              <w:t>京东</w:t>
            </w:r>
            <w:r>
              <w:rPr>
                <w:color w:val="000000"/>
                <w:sz w:val="24"/>
              </w:rPr>
              <w:lastRenderedPageBreak/>
              <w:t>商城电子商务有限公司</w:t>
            </w:r>
          </w:p>
        </w:tc>
        <w:tc>
          <w:tcPr>
            <w:tcW w:w="0" w:type="auto"/>
            <w:vAlign w:val="center"/>
          </w:tcPr>
          <w:p w:rsidR="00F4071F" w:rsidRDefault="00FB4762">
            <w:pPr>
              <w:jc w:val="center"/>
            </w:pPr>
            <w:r>
              <w:rPr>
                <w:color w:val="000000"/>
                <w:sz w:val="24"/>
              </w:rPr>
              <w:lastRenderedPageBreak/>
              <w:t>JD US</w:t>
            </w:r>
          </w:p>
        </w:tc>
        <w:tc>
          <w:tcPr>
            <w:tcW w:w="0" w:type="auto"/>
            <w:vAlign w:val="center"/>
          </w:tcPr>
          <w:p w:rsidR="00F4071F" w:rsidRDefault="00FB4762">
            <w:pPr>
              <w:jc w:val="center"/>
            </w:pPr>
            <w:r>
              <w:rPr>
                <w:color w:val="000000"/>
                <w:sz w:val="24"/>
              </w:rPr>
              <w:t>纳斯</w:t>
            </w:r>
            <w:r>
              <w:rPr>
                <w:color w:val="000000"/>
                <w:sz w:val="24"/>
              </w:rPr>
              <w:lastRenderedPageBreak/>
              <w:t>达克证券交易所</w:t>
            </w:r>
          </w:p>
        </w:tc>
        <w:tc>
          <w:tcPr>
            <w:tcW w:w="0" w:type="auto"/>
            <w:vAlign w:val="center"/>
          </w:tcPr>
          <w:p w:rsidR="00F4071F" w:rsidRDefault="00FB4762">
            <w:pPr>
              <w:jc w:val="center"/>
            </w:pPr>
            <w:r>
              <w:rPr>
                <w:color w:val="000000"/>
                <w:sz w:val="24"/>
              </w:rPr>
              <w:lastRenderedPageBreak/>
              <w:t>美国</w:t>
            </w:r>
          </w:p>
        </w:tc>
        <w:tc>
          <w:tcPr>
            <w:tcW w:w="0" w:type="auto"/>
            <w:vAlign w:val="center"/>
          </w:tcPr>
          <w:p w:rsidR="00F4071F" w:rsidRDefault="00FB4762">
            <w:pPr>
              <w:jc w:val="right"/>
            </w:pPr>
            <w:r>
              <w:rPr>
                <w:color w:val="000000"/>
                <w:sz w:val="24"/>
              </w:rPr>
              <w:t>255,386</w:t>
            </w:r>
          </w:p>
        </w:tc>
        <w:tc>
          <w:tcPr>
            <w:tcW w:w="0" w:type="auto"/>
            <w:vAlign w:val="center"/>
          </w:tcPr>
          <w:p w:rsidR="00F4071F" w:rsidRDefault="00FB4762">
            <w:pPr>
              <w:jc w:val="right"/>
            </w:pPr>
            <w:r>
              <w:rPr>
                <w:color w:val="000000"/>
                <w:sz w:val="24"/>
              </w:rPr>
              <w:t>50,956,277.03</w:t>
            </w:r>
          </w:p>
        </w:tc>
        <w:tc>
          <w:tcPr>
            <w:tcW w:w="0" w:type="auto"/>
            <w:vAlign w:val="center"/>
          </w:tcPr>
          <w:p w:rsidR="00F4071F" w:rsidRDefault="00FB4762">
            <w:pPr>
              <w:jc w:val="right"/>
            </w:pPr>
            <w:r>
              <w:rPr>
                <w:color w:val="000000"/>
                <w:sz w:val="24"/>
              </w:rPr>
              <w:t>4.30</w:t>
            </w:r>
          </w:p>
        </w:tc>
      </w:tr>
      <w:tr w:rsidR="00F4071F">
        <w:tc>
          <w:tcPr>
            <w:tcW w:w="0" w:type="auto"/>
            <w:vAlign w:val="center"/>
          </w:tcPr>
          <w:p w:rsidR="00F4071F" w:rsidRDefault="00FB4762">
            <w:pPr>
              <w:jc w:val="center"/>
            </w:pPr>
            <w:r>
              <w:rPr>
                <w:color w:val="000000"/>
                <w:sz w:val="24"/>
              </w:rPr>
              <w:t>6</w:t>
            </w:r>
          </w:p>
        </w:tc>
        <w:tc>
          <w:tcPr>
            <w:tcW w:w="0" w:type="auto"/>
            <w:vAlign w:val="center"/>
          </w:tcPr>
          <w:p w:rsidR="00F4071F" w:rsidRDefault="00FB4762">
            <w:pPr>
              <w:jc w:val="center"/>
            </w:pPr>
            <w:r>
              <w:rPr>
                <w:color w:val="000000"/>
                <w:sz w:val="24"/>
              </w:rPr>
              <w:t>NetEase Inc</w:t>
            </w:r>
          </w:p>
        </w:tc>
        <w:tc>
          <w:tcPr>
            <w:tcW w:w="0" w:type="auto"/>
            <w:vAlign w:val="center"/>
          </w:tcPr>
          <w:p w:rsidR="00F4071F" w:rsidRDefault="00FB4762">
            <w:pPr>
              <w:jc w:val="center"/>
            </w:pPr>
            <w:r>
              <w:rPr>
                <w:color w:val="000000"/>
                <w:sz w:val="24"/>
              </w:rPr>
              <w:t>网易公司</w:t>
            </w:r>
          </w:p>
        </w:tc>
        <w:tc>
          <w:tcPr>
            <w:tcW w:w="0" w:type="auto"/>
            <w:vAlign w:val="center"/>
          </w:tcPr>
          <w:p w:rsidR="00F4071F" w:rsidRDefault="00FB4762">
            <w:pPr>
              <w:jc w:val="center"/>
            </w:pPr>
            <w:r>
              <w:rPr>
                <w:color w:val="000000"/>
                <w:sz w:val="24"/>
              </w:rPr>
              <w:t>NTES US</w:t>
            </w:r>
          </w:p>
        </w:tc>
        <w:tc>
          <w:tcPr>
            <w:tcW w:w="0" w:type="auto"/>
            <w:vAlign w:val="center"/>
          </w:tcPr>
          <w:p w:rsidR="00F4071F" w:rsidRDefault="00FB4762">
            <w:pPr>
              <w:jc w:val="center"/>
            </w:pPr>
            <w:r>
              <w:rPr>
                <w:color w:val="000000"/>
                <w:sz w:val="24"/>
              </w:rPr>
              <w:t>纳斯达克证券交易所</w:t>
            </w:r>
          </w:p>
        </w:tc>
        <w:tc>
          <w:tcPr>
            <w:tcW w:w="0" w:type="auto"/>
            <w:vAlign w:val="center"/>
          </w:tcPr>
          <w:p w:rsidR="00F4071F" w:rsidRDefault="00FB4762">
            <w:pPr>
              <w:jc w:val="center"/>
            </w:pPr>
            <w:r>
              <w:rPr>
                <w:color w:val="000000"/>
                <w:sz w:val="24"/>
              </w:rPr>
              <w:t>美国</w:t>
            </w:r>
          </w:p>
        </w:tc>
        <w:tc>
          <w:tcPr>
            <w:tcW w:w="0" w:type="auto"/>
            <w:vAlign w:val="center"/>
          </w:tcPr>
          <w:p w:rsidR="00F4071F" w:rsidRDefault="00FB4762">
            <w:pPr>
              <w:jc w:val="right"/>
            </w:pPr>
            <w:r>
              <w:rPr>
                <w:color w:val="000000"/>
                <w:sz w:val="24"/>
              </w:rPr>
              <w:t>22,762</w:t>
            </w:r>
          </w:p>
        </w:tc>
        <w:tc>
          <w:tcPr>
            <w:tcW w:w="0" w:type="auto"/>
            <w:vAlign w:val="center"/>
          </w:tcPr>
          <w:p w:rsidR="00F4071F" w:rsidRDefault="00FB4762">
            <w:pPr>
              <w:jc w:val="right"/>
            </w:pPr>
            <w:r>
              <w:rPr>
                <w:color w:val="000000"/>
                <w:sz w:val="24"/>
              </w:rPr>
              <w:t>42,853,209.85</w:t>
            </w:r>
          </w:p>
        </w:tc>
        <w:tc>
          <w:tcPr>
            <w:tcW w:w="0" w:type="auto"/>
            <w:vAlign w:val="center"/>
          </w:tcPr>
          <w:p w:rsidR="00F4071F" w:rsidRDefault="00FB4762">
            <w:pPr>
              <w:jc w:val="right"/>
            </w:pPr>
            <w:r>
              <w:rPr>
                <w:color w:val="000000"/>
                <w:sz w:val="24"/>
              </w:rPr>
              <w:t>3.61</w:t>
            </w:r>
          </w:p>
        </w:tc>
      </w:tr>
      <w:tr w:rsidR="00F4071F">
        <w:tc>
          <w:tcPr>
            <w:tcW w:w="0" w:type="auto"/>
            <w:vAlign w:val="center"/>
          </w:tcPr>
          <w:p w:rsidR="00F4071F" w:rsidRDefault="00FB4762">
            <w:pPr>
              <w:jc w:val="center"/>
            </w:pPr>
            <w:r>
              <w:rPr>
                <w:color w:val="000000"/>
                <w:sz w:val="24"/>
              </w:rPr>
              <w:t>7</w:t>
            </w:r>
          </w:p>
        </w:tc>
        <w:tc>
          <w:tcPr>
            <w:tcW w:w="0" w:type="auto"/>
            <w:vAlign w:val="center"/>
          </w:tcPr>
          <w:p w:rsidR="00F4071F" w:rsidRDefault="00FB4762">
            <w:pPr>
              <w:jc w:val="center"/>
            </w:pPr>
            <w:r>
              <w:rPr>
                <w:color w:val="000000"/>
                <w:sz w:val="24"/>
              </w:rPr>
              <w:t xml:space="preserve">TAL </w:t>
            </w:r>
            <w:r>
              <w:rPr>
                <w:color w:val="000000"/>
                <w:sz w:val="24"/>
              </w:rPr>
              <w:t>Education Group</w:t>
            </w:r>
          </w:p>
        </w:tc>
        <w:tc>
          <w:tcPr>
            <w:tcW w:w="0" w:type="auto"/>
            <w:vAlign w:val="center"/>
          </w:tcPr>
          <w:p w:rsidR="00F4071F" w:rsidRDefault="00FB4762">
            <w:pPr>
              <w:jc w:val="center"/>
            </w:pPr>
            <w:r>
              <w:rPr>
                <w:color w:val="000000"/>
                <w:sz w:val="24"/>
              </w:rPr>
              <w:t>好未来教育集团</w:t>
            </w:r>
          </w:p>
        </w:tc>
        <w:tc>
          <w:tcPr>
            <w:tcW w:w="0" w:type="auto"/>
            <w:vAlign w:val="center"/>
          </w:tcPr>
          <w:p w:rsidR="00F4071F" w:rsidRDefault="00FB4762">
            <w:pPr>
              <w:jc w:val="center"/>
            </w:pPr>
            <w:r>
              <w:rPr>
                <w:color w:val="000000"/>
                <w:sz w:val="24"/>
              </w:rPr>
              <w:t>TAL US</w:t>
            </w:r>
          </w:p>
        </w:tc>
        <w:tc>
          <w:tcPr>
            <w:tcW w:w="0" w:type="auto"/>
            <w:vAlign w:val="center"/>
          </w:tcPr>
          <w:p w:rsidR="00F4071F" w:rsidRDefault="00FB4762">
            <w:pPr>
              <w:jc w:val="center"/>
            </w:pPr>
            <w:r>
              <w:rPr>
                <w:color w:val="000000"/>
                <w:sz w:val="24"/>
              </w:rPr>
              <w:t>纽约证券交易所</w:t>
            </w:r>
          </w:p>
        </w:tc>
        <w:tc>
          <w:tcPr>
            <w:tcW w:w="0" w:type="auto"/>
            <w:vAlign w:val="center"/>
          </w:tcPr>
          <w:p w:rsidR="00F4071F" w:rsidRDefault="00FB4762">
            <w:pPr>
              <w:jc w:val="center"/>
            </w:pPr>
            <w:r>
              <w:rPr>
                <w:color w:val="000000"/>
                <w:sz w:val="24"/>
              </w:rPr>
              <w:t>美国</w:t>
            </w:r>
          </w:p>
        </w:tc>
        <w:tc>
          <w:tcPr>
            <w:tcW w:w="0" w:type="auto"/>
            <w:vAlign w:val="center"/>
          </w:tcPr>
          <w:p w:rsidR="00F4071F" w:rsidRDefault="00FB4762">
            <w:pPr>
              <w:jc w:val="right"/>
            </w:pPr>
            <w:r>
              <w:rPr>
                <w:color w:val="000000"/>
                <w:sz w:val="24"/>
              </w:rPr>
              <w:t>139,842</w:t>
            </w:r>
          </w:p>
        </w:tc>
        <w:tc>
          <w:tcPr>
            <w:tcW w:w="0" w:type="auto"/>
            <w:vAlign w:val="center"/>
          </w:tcPr>
          <w:p w:rsidR="00F4071F" w:rsidRDefault="00FB4762">
            <w:pPr>
              <w:jc w:val="right"/>
            </w:pPr>
            <w:r>
              <w:rPr>
                <w:color w:val="000000"/>
                <w:sz w:val="24"/>
              </w:rPr>
              <w:t>33,866,389.62</w:t>
            </w:r>
          </w:p>
        </w:tc>
        <w:tc>
          <w:tcPr>
            <w:tcW w:w="0" w:type="auto"/>
            <w:vAlign w:val="center"/>
          </w:tcPr>
          <w:p w:rsidR="00F4071F" w:rsidRDefault="00FB4762">
            <w:pPr>
              <w:jc w:val="right"/>
            </w:pPr>
            <w:r>
              <w:rPr>
                <w:color w:val="000000"/>
                <w:sz w:val="24"/>
              </w:rPr>
              <w:t>2.85</w:t>
            </w:r>
          </w:p>
        </w:tc>
      </w:tr>
      <w:tr w:rsidR="00F4071F">
        <w:tc>
          <w:tcPr>
            <w:tcW w:w="0" w:type="auto"/>
            <w:vAlign w:val="center"/>
          </w:tcPr>
          <w:p w:rsidR="00F4071F" w:rsidRDefault="00FB4762">
            <w:pPr>
              <w:jc w:val="center"/>
            </w:pPr>
            <w:r>
              <w:rPr>
                <w:color w:val="000000"/>
                <w:sz w:val="24"/>
              </w:rPr>
              <w:t>8</w:t>
            </w:r>
          </w:p>
        </w:tc>
        <w:tc>
          <w:tcPr>
            <w:tcW w:w="0" w:type="auto"/>
            <w:vAlign w:val="center"/>
          </w:tcPr>
          <w:p w:rsidR="00F4071F" w:rsidRDefault="00FB4762">
            <w:pPr>
              <w:jc w:val="center"/>
            </w:pPr>
            <w:r>
              <w:rPr>
                <w:color w:val="000000"/>
                <w:sz w:val="24"/>
              </w:rPr>
              <w:t>Pinduoduo Inc.</w:t>
            </w:r>
          </w:p>
        </w:tc>
        <w:tc>
          <w:tcPr>
            <w:tcW w:w="0" w:type="auto"/>
            <w:vAlign w:val="center"/>
          </w:tcPr>
          <w:p w:rsidR="00F4071F" w:rsidRDefault="00FB4762">
            <w:pPr>
              <w:jc w:val="center"/>
            </w:pPr>
            <w:r>
              <w:rPr>
                <w:color w:val="000000"/>
                <w:sz w:val="24"/>
              </w:rPr>
              <w:t>拼多多</w:t>
            </w:r>
          </w:p>
        </w:tc>
        <w:tc>
          <w:tcPr>
            <w:tcW w:w="0" w:type="auto"/>
            <w:vAlign w:val="center"/>
          </w:tcPr>
          <w:p w:rsidR="00F4071F" w:rsidRDefault="00FB4762">
            <w:pPr>
              <w:jc w:val="center"/>
            </w:pPr>
            <w:r>
              <w:rPr>
                <w:color w:val="000000"/>
                <w:sz w:val="24"/>
              </w:rPr>
              <w:t>PDD US</w:t>
            </w:r>
          </w:p>
        </w:tc>
        <w:tc>
          <w:tcPr>
            <w:tcW w:w="0" w:type="auto"/>
            <w:vAlign w:val="center"/>
          </w:tcPr>
          <w:p w:rsidR="00F4071F" w:rsidRDefault="00FB4762">
            <w:pPr>
              <w:jc w:val="center"/>
            </w:pPr>
            <w:r>
              <w:rPr>
                <w:color w:val="000000"/>
                <w:sz w:val="24"/>
              </w:rPr>
              <w:t>纳斯达克证券交易所</w:t>
            </w:r>
          </w:p>
        </w:tc>
        <w:tc>
          <w:tcPr>
            <w:tcW w:w="0" w:type="auto"/>
            <w:vAlign w:val="center"/>
          </w:tcPr>
          <w:p w:rsidR="00F4071F" w:rsidRDefault="00FB4762">
            <w:pPr>
              <w:jc w:val="center"/>
            </w:pPr>
            <w:r>
              <w:rPr>
                <w:color w:val="000000"/>
                <w:sz w:val="24"/>
              </w:rPr>
              <w:t>美国</w:t>
            </w:r>
          </w:p>
        </w:tc>
        <w:tc>
          <w:tcPr>
            <w:tcW w:w="0" w:type="auto"/>
            <w:vAlign w:val="center"/>
          </w:tcPr>
          <w:p w:rsidR="00F4071F" w:rsidRDefault="00FB4762">
            <w:pPr>
              <w:jc w:val="right"/>
            </w:pPr>
            <w:r>
              <w:rPr>
                <w:color w:val="000000"/>
                <w:sz w:val="24"/>
              </w:rPr>
              <w:t>136,759</w:t>
            </w:r>
          </w:p>
        </w:tc>
        <w:tc>
          <w:tcPr>
            <w:tcW w:w="0" w:type="auto"/>
            <w:vAlign w:val="center"/>
          </w:tcPr>
          <w:p w:rsidR="00F4071F" w:rsidRDefault="00FB4762">
            <w:pPr>
              <w:jc w:val="right"/>
            </w:pPr>
            <w:r>
              <w:rPr>
                <w:color w:val="000000"/>
                <w:sz w:val="24"/>
              </w:rPr>
              <w:t>31,165,849.60</w:t>
            </w:r>
          </w:p>
        </w:tc>
        <w:tc>
          <w:tcPr>
            <w:tcW w:w="0" w:type="auto"/>
            <w:vAlign w:val="center"/>
          </w:tcPr>
          <w:p w:rsidR="00F4071F" w:rsidRDefault="00FB4762">
            <w:pPr>
              <w:jc w:val="right"/>
            </w:pPr>
            <w:r>
              <w:rPr>
                <w:color w:val="000000"/>
                <w:sz w:val="24"/>
              </w:rPr>
              <w:t>2.63</w:t>
            </w:r>
          </w:p>
        </w:tc>
      </w:tr>
      <w:tr w:rsidR="00F4071F">
        <w:tc>
          <w:tcPr>
            <w:tcW w:w="0" w:type="auto"/>
            <w:vAlign w:val="center"/>
          </w:tcPr>
          <w:p w:rsidR="00F4071F" w:rsidRDefault="00FB4762">
            <w:pPr>
              <w:jc w:val="center"/>
            </w:pPr>
            <w:r>
              <w:rPr>
                <w:color w:val="000000"/>
                <w:sz w:val="24"/>
              </w:rPr>
              <w:t>9</w:t>
            </w:r>
          </w:p>
        </w:tc>
        <w:tc>
          <w:tcPr>
            <w:tcW w:w="0" w:type="auto"/>
            <w:vAlign w:val="center"/>
          </w:tcPr>
          <w:p w:rsidR="00F4071F" w:rsidRDefault="00FB4762">
            <w:pPr>
              <w:jc w:val="center"/>
            </w:pPr>
            <w:r>
              <w:rPr>
                <w:color w:val="000000"/>
                <w:sz w:val="24"/>
              </w:rPr>
              <w:t>Ctrip.com International Ltd</w:t>
            </w:r>
          </w:p>
        </w:tc>
        <w:tc>
          <w:tcPr>
            <w:tcW w:w="0" w:type="auto"/>
            <w:vAlign w:val="center"/>
          </w:tcPr>
          <w:p w:rsidR="00F4071F" w:rsidRDefault="00FB4762">
            <w:pPr>
              <w:jc w:val="center"/>
            </w:pPr>
            <w:r>
              <w:rPr>
                <w:color w:val="000000"/>
                <w:sz w:val="24"/>
              </w:rPr>
              <w:t>携程国际有限公司</w:t>
            </w:r>
          </w:p>
        </w:tc>
        <w:tc>
          <w:tcPr>
            <w:tcW w:w="0" w:type="auto"/>
            <w:vAlign w:val="center"/>
          </w:tcPr>
          <w:p w:rsidR="00F4071F" w:rsidRDefault="00FB4762">
            <w:pPr>
              <w:jc w:val="center"/>
            </w:pPr>
            <w:r>
              <w:rPr>
                <w:color w:val="000000"/>
                <w:sz w:val="24"/>
              </w:rPr>
              <w:t>CTRP US</w:t>
            </w:r>
          </w:p>
        </w:tc>
        <w:tc>
          <w:tcPr>
            <w:tcW w:w="0" w:type="auto"/>
            <w:vAlign w:val="center"/>
          </w:tcPr>
          <w:p w:rsidR="00F4071F" w:rsidRDefault="00FB4762">
            <w:pPr>
              <w:jc w:val="center"/>
            </w:pPr>
            <w:r>
              <w:rPr>
                <w:color w:val="000000"/>
                <w:sz w:val="24"/>
              </w:rPr>
              <w:t>纳斯达克证券交易所</w:t>
            </w:r>
          </w:p>
        </w:tc>
        <w:tc>
          <w:tcPr>
            <w:tcW w:w="0" w:type="auto"/>
            <w:vAlign w:val="center"/>
          </w:tcPr>
          <w:p w:rsidR="00F4071F" w:rsidRDefault="00FB4762">
            <w:pPr>
              <w:jc w:val="center"/>
            </w:pPr>
            <w:r>
              <w:rPr>
                <w:color w:val="000000"/>
                <w:sz w:val="24"/>
              </w:rPr>
              <w:t>美国</w:t>
            </w:r>
          </w:p>
        </w:tc>
        <w:tc>
          <w:tcPr>
            <w:tcW w:w="0" w:type="auto"/>
            <w:vAlign w:val="center"/>
          </w:tcPr>
          <w:p w:rsidR="00F4071F" w:rsidRDefault="00FB4762">
            <w:pPr>
              <w:jc w:val="right"/>
            </w:pPr>
            <w:r>
              <w:rPr>
                <w:color w:val="000000"/>
                <w:sz w:val="24"/>
              </w:rPr>
              <w:t>132,252</w:t>
            </w:r>
          </w:p>
        </w:tc>
        <w:tc>
          <w:tcPr>
            <w:tcW w:w="0" w:type="auto"/>
            <w:vAlign w:val="center"/>
          </w:tcPr>
          <w:p w:rsidR="00F4071F" w:rsidRDefault="00FB4762">
            <w:pPr>
              <w:jc w:val="right"/>
            </w:pPr>
            <w:r>
              <w:rPr>
                <w:color w:val="000000"/>
                <w:sz w:val="24"/>
              </w:rPr>
              <w:t>27,398,017.45</w:t>
            </w:r>
          </w:p>
        </w:tc>
        <w:tc>
          <w:tcPr>
            <w:tcW w:w="0" w:type="auto"/>
            <w:vAlign w:val="center"/>
          </w:tcPr>
          <w:p w:rsidR="00F4071F" w:rsidRDefault="00FB4762">
            <w:pPr>
              <w:jc w:val="right"/>
            </w:pPr>
            <w:r>
              <w:rPr>
                <w:color w:val="000000"/>
                <w:sz w:val="24"/>
              </w:rPr>
              <w:t>2.31</w:t>
            </w:r>
          </w:p>
        </w:tc>
      </w:tr>
      <w:tr w:rsidR="00F4071F">
        <w:tc>
          <w:tcPr>
            <w:tcW w:w="0" w:type="auto"/>
            <w:vAlign w:val="center"/>
          </w:tcPr>
          <w:p w:rsidR="00F4071F" w:rsidRDefault="00FB4762">
            <w:pPr>
              <w:jc w:val="center"/>
            </w:pPr>
            <w:r>
              <w:rPr>
                <w:color w:val="000000"/>
                <w:sz w:val="24"/>
              </w:rPr>
              <w:lastRenderedPageBreak/>
              <w:t>10</w:t>
            </w:r>
          </w:p>
        </w:tc>
        <w:tc>
          <w:tcPr>
            <w:tcW w:w="0" w:type="auto"/>
            <w:vAlign w:val="center"/>
          </w:tcPr>
          <w:p w:rsidR="00F4071F" w:rsidRDefault="00FB4762">
            <w:pPr>
              <w:jc w:val="center"/>
            </w:pPr>
            <w:r>
              <w:rPr>
                <w:color w:val="000000"/>
                <w:sz w:val="24"/>
              </w:rPr>
              <w:t xml:space="preserve">Tencent Music </w:t>
            </w:r>
            <w:r>
              <w:rPr>
                <w:color w:val="000000"/>
                <w:sz w:val="24"/>
              </w:rPr>
              <w:t>Entertainment Group</w:t>
            </w:r>
          </w:p>
        </w:tc>
        <w:tc>
          <w:tcPr>
            <w:tcW w:w="0" w:type="auto"/>
            <w:vAlign w:val="center"/>
          </w:tcPr>
          <w:p w:rsidR="00F4071F" w:rsidRDefault="00FB4762">
            <w:pPr>
              <w:jc w:val="center"/>
            </w:pPr>
            <w:r>
              <w:rPr>
                <w:color w:val="000000"/>
                <w:sz w:val="24"/>
              </w:rPr>
              <w:t>腾讯音乐娱乐集团</w:t>
            </w:r>
          </w:p>
        </w:tc>
        <w:tc>
          <w:tcPr>
            <w:tcW w:w="0" w:type="auto"/>
            <w:vAlign w:val="center"/>
          </w:tcPr>
          <w:p w:rsidR="00F4071F" w:rsidRDefault="00FB4762">
            <w:pPr>
              <w:jc w:val="center"/>
            </w:pPr>
            <w:r>
              <w:rPr>
                <w:color w:val="000000"/>
                <w:sz w:val="24"/>
              </w:rPr>
              <w:t>TME US</w:t>
            </w:r>
          </w:p>
        </w:tc>
        <w:tc>
          <w:tcPr>
            <w:tcW w:w="0" w:type="auto"/>
            <w:vAlign w:val="center"/>
          </w:tcPr>
          <w:p w:rsidR="00F4071F" w:rsidRDefault="00FB4762">
            <w:pPr>
              <w:jc w:val="center"/>
            </w:pPr>
            <w:r>
              <w:rPr>
                <w:color w:val="000000"/>
                <w:sz w:val="24"/>
              </w:rPr>
              <w:t>纽约证券交易所</w:t>
            </w:r>
          </w:p>
        </w:tc>
        <w:tc>
          <w:tcPr>
            <w:tcW w:w="0" w:type="auto"/>
            <w:vAlign w:val="center"/>
          </w:tcPr>
          <w:p w:rsidR="00F4071F" w:rsidRDefault="00FB4762">
            <w:pPr>
              <w:jc w:val="center"/>
            </w:pPr>
            <w:r>
              <w:rPr>
                <w:color w:val="000000"/>
                <w:sz w:val="24"/>
              </w:rPr>
              <w:t>美国</w:t>
            </w:r>
          </w:p>
        </w:tc>
        <w:tc>
          <w:tcPr>
            <w:tcW w:w="0" w:type="auto"/>
            <w:vAlign w:val="center"/>
          </w:tcPr>
          <w:p w:rsidR="00F4071F" w:rsidRDefault="00FB4762">
            <w:pPr>
              <w:jc w:val="right"/>
            </w:pPr>
            <w:r>
              <w:rPr>
                <w:color w:val="000000"/>
                <w:sz w:val="24"/>
              </w:rPr>
              <w:t>191,361</w:t>
            </w:r>
          </w:p>
        </w:tc>
        <w:tc>
          <w:tcPr>
            <w:tcW w:w="0" w:type="auto"/>
            <w:vAlign w:val="center"/>
          </w:tcPr>
          <w:p w:rsidR="00F4071F" w:rsidRDefault="00FB4762">
            <w:pPr>
              <w:jc w:val="right"/>
            </w:pPr>
            <w:r>
              <w:rPr>
                <w:color w:val="000000"/>
                <w:sz w:val="24"/>
              </w:rPr>
              <w:t>17,283,904.06</w:t>
            </w:r>
          </w:p>
        </w:tc>
        <w:tc>
          <w:tcPr>
            <w:tcW w:w="0" w:type="auto"/>
            <w:vAlign w:val="center"/>
          </w:tcPr>
          <w:p w:rsidR="00F4071F" w:rsidRDefault="00FB4762">
            <w:pPr>
              <w:jc w:val="right"/>
            </w:pPr>
            <w:r>
              <w:rPr>
                <w:color w:val="000000"/>
                <w:sz w:val="24"/>
              </w:rPr>
              <w:t>1.46</w:t>
            </w:r>
          </w:p>
        </w:tc>
      </w:tr>
    </w:tbl>
    <w:p w:rsidR="00F5013F" w:rsidRPr="006506EF" w:rsidRDefault="00F5013F" w:rsidP="00A70EAB">
      <w:pPr>
        <w:spacing w:line="360" w:lineRule="auto"/>
        <w:ind w:firstLineChars="200" w:firstLine="480"/>
        <w:rPr>
          <w:color w:val="000000"/>
          <w:sz w:val="24"/>
        </w:rPr>
      </w:pPr>
      <w:r w:rsidRPr="006506EF">
        <w:rPr>
          <w:color w:val="000000"/>
          <w:sz w:val="24"/>
        </w:rPr>
        <w:t>注：此处所用证券代码的类别是当地市场代码。</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5.5 </w:t>
      </w:r>
      <w:r w:rsidRPr="006506EF">
        <w:rPr>
          <w:b/>
          <w:color w:val="000000"/>
          <w:kern w:val="0"/>
          <w:sz w:val="24"/>
        </w:rPr>
        <w:t>报告期末按债券信用等级分类的债券投资组合</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本基金本报告期末未持有债券。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5.6</w:t>
      </w:r>
      <w:r w:rsidR="00547F92" w:rsidRPr="006506EF">
        <w:rPr>
          <w:b/>
          <w:color w:val="000000"/>
          <w:kern w:val="0"/>
          <w:sz w:val="24"/>
        </w:rPr>
        <w:t>报告期末按公允价值占基金资产净值比例大小排序</w:t>
      </w:r>
      <w:r w:rsidRPr="006506EF">
        <w:rPr>
          <w:b/>
          <w:color w:val="000000"/>
          <w:kern w:val="0"/>
          <w:sz w:val="24"/>
        </w:rPr>
        <w:t>的前五名债券投资明细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本基金本报告期末未持有债券。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5.7</w:t>
      </w:r>
      <w:r w:rsidR="00547F92" w:rsidRPr="006506EF">
        <w:rPr>
          <w:b/>
          <w:color w:val="000000"/>
          <w:kern w:val="0"/>
          <w:sz w:val="24"/>
        </w:rPr>
        <w:t>报告期末按公允价值占基金资产净值比例大小排序</w:t>
      </w:r>
      <w:r w:rsidRPr="006506EF">
        <w:rPr>
          <w:b/>
          <w:color w:val="000000"/>
          <w:kern w:val="0"/>
          <w:sz w:val="24"/>
        </w:rPr>
        <w:t>的前十名资产支持证券投资明细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本基金本报告期末未持有资产支持证券。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5.8 </w:t>
      </w:r>
      <w:r w:rsidR="00547F92" w:rsidRPr="006506EF">
        <w:rPr>
          <w:b/>
          <w:color w:val="000000"/>
          <w:kern w:val="0"/>
          <w:sz w:val="24"/>
        </w:rPr>
        <w:t>报告期末按公允价值占基金资产净值比例大小排序</w:t>
      </w:r>
      <w:r w:rsidRPr="006506EF">
        <w:rPr>
          <w:b/>
          <w:color w:val="000000"/>
          <w:kern w:val="0"/>
          <w:sz w:val="24"/>
        </w:rPr>
        <w:t>的前五名金融衍生品投资明细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本基金本报告期末未持有金融衍生品。</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5.9</w:t>
      </w:r>
      <w:r w:rsidR="00547F92" w:rsidRPr="006506EF">
        <w:rPr>
          <w:b/>
          <w:color w:val="000000"/>
          <w:kern w:val="0"/>
          <w:sz w:val="24"/>
        </w:rPr>
        <w:t>报告期末按公允价值占基金资产净值比例大小排序</w:t>
      </w:r>
      <w:r w:rsidRPr="006506EF">
        <w:rPr>
          <w:b/>
          <w:color w:val="000000"/>
          <w:kern w:val="0"/>
          <w:sz w:val="24"/>
        </w:rPr>
        <w:t>的前十名基金投资明细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本基金本报告期末未持有基金。</w:t>
      </w:r>
    </w:p>
    <w:p w:rsidR="00F5013F" w:rsidRPr="006506EF" w:rsidRDefault="00F5013F" w:rsidP="0049659A">
      <w:pPr>
        <w:autoSpaceDE w:val="0"/>
        <w:autoSpaceDN w:val="0"/>
        <w:adjustRightInd w:val="0"/>
        <w:spacing w:line="360" w:lineRule="auto"/>
        <w:jc w:val="left"/>
        <w:rPr>
          <w:b/>
          <w:color w:val="000000"/>
          <w:kern w:val="0"/>
          <w:sz w:val="24"/>
        </w:rPr>
      </w:pPr>
      <w:r w:rsidRPr="006506EF">
        <w:rPr>
          <w:b/>
          <w:color w:val="000000"/>
          <w:kern w:val="0"/>
          <w:sz w:val="24"/>
        </w:rPr>
        <w:t xml:space="preserve">5.10 </w:t>
      </w:r>
      <w:r w:rsidRPr="006506EF">
        <w:rPr>
          <w:b/>
          <w:color w:val="000000"/>
          <w:kern w:val="0"/>
          <w:sz w:val="24"/>
        </w:rPr>
        <w:t>投资组合报告附注</w:t>
      </w:r>
    </w:p>
    <w:p w:rsidR="00F5013F" w:rsidRPr="006506EF" w:rsidRDefault="00F5013F" w:rsidP="00B55EA7">
      <w:pPr>
        <w:widowControl/>
        <w:spacing w:line="360" w:lineRule="auto"/>
        <w:rPr>
          <w:color w:val="000000"/>
          <w:sz w:val="24"/>
        </w:rPr>
      </w:pPr>
      <w:r w:rsidRPr="006506EF">
        <w:rPr>
          <w:color w:val="000000"/>
          <w:sz w:val="24"/>
        </w:rPr>
        <w:t>5.10.1</w:t>
      </w:r>
      <w:r w:rsidRPr="006506EF">
        <w:rPr>
          <w:color w:val="000000"/>
          <w:sz w:val="24"/>
        </w:rPr>
        <w:t>本基金投资的前十名证券的发行主体本期没有出现被监管部门立案调查，或在报告编制日前一年内受到公开谴责、处罚的情形。</w:t>
      </w:r>
    </w:p>
    <w:p w:rsidR="00F5013F" w:rsidRPr="006506EF" w:rsidRDefault="00F5013F" w:rsidP="00B55EA7">
      <w:pPr>
        <w:widowControl/>
        <w:spacing w:line="360" w:lineRule="auto"/>
        <w:rPr>
          <w:color w:val="000000"/>
          <w:sz w:val="24"/>
        </w:rPr>
      </w:pPr>
      <w:r w:rsidRPr="006506EF">
        <w:rPr>
          <w:color w:val="000000"/>
          <w:sz w:val="24"/>
        </w:rPr>
        <w:t>5.10.2</w:t>
      </w:r>
      <w:r w:rsidRPr="006506EF">
        <w:rPr>
          <w:color w:val="000000"/>
          <w:sz w:val="24"/>
        </w:rPr>
        <w:t>本基金投资的前十名股票没有超出基金合同规定的备选股票库。</w:t>
      </w:r>
    </w:p>
    <w:p w:rsidR="00F5013F" w:rsidRPr="006506EF" w:rsidRDefault="00287063" w:rsidP="0049659A">
      <w:pPr>
        <w:autoSpaceDE w:val="0"/>
        <w:autoSpaceDN w:val="0"/>
        <w:adjustRightInd w:val="0"/>
        <w:spacing w:line="360" w:lineRule="auto"/>
        <w:jc w:val="left"/>
        <w:rPr>
          <w:color w:val="000000"/>
          <w:kern w:val="0"/>
          <w:sz w:val="24"/>
        </w:rPr>
      </w:pPr>
      <w:r w:rsidRPr="006506EF">
        <w:rPr>
          <w:color w:val="000000"/>
          <w:sz w:val="24"/>
        </w:rPr>
        <w:t xml:space="preserve">5.10.3 </w:t>
      </w:r>
      <w:r w:rsidR="00F5013F" w:rsidRPr="006506EF">
        <w:rPr>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序号</w:t>
            </w:r>
          </w:p>
        </w:tc>
        <w:tc>
          <w:tcPr>
            <w:tcW w:w="2903"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名称</w:t>
            </w:r>
          </w:p>
        </w:tc>
        <w:tc>
          <w:tcPr>
            <w:tcW w:w="4808"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金额</w:t>
            </w:r>
            <w:r w:rsidRPr="006506EF">
              <w:rPr>
                <w:color w:val="000000"/>
                <w:kern w:val="0"/>
                <w:sz w:val="24"/>
              </w:rPr>
              <w:t>(</w:t>
            </w:r>
            <w:r w:rsidRPr="006506EF">
              <w:rPr>
                <w:color w:val="000000"/>
                <w:kern w:val="0"/>
                <w:sz w:val="24"/>
              </w:rPr>
              <w:t>人民币元</w:t>
            </w: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sz w:val="24"/>
              </w:rPr>
              <w:t>1</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存出保证金</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2</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应收证券清算款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1,305,012.44</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3</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应收股利</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4</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应收利息</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4,393.88</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lastRenderedPageBreak/>
              <w:t>5</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应收申购款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6</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其他应收款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7</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sz w:val="24"/>
              </w:rPr>
            </w:pPr>
            <w:r w:rsidRPr="006506EF">
              <w:rPr>
                <w:color w:val="000000"/>
                <w:sz w:val="24"/>
              </w:rPr>
              <w:t>待摊费用</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8</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其他</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9</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合计</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1,309,406.32</w:t>
            </w:r>
          </w:p>
        </w:tc>
      </w:tr>
    </w:tbl>
    <w:p w:rsidR="00F5013F" w:rsidRPr="006506EF" w:rsidRDefault="00287063" w:rsidP="00EC4BA3">
      <w:pPr>
        <w:autoSpaceDE w:val="0"/>
        <w:autoSpaceDN w:val="0"/>
        <w:adjustRightInd w:val="0"/>
        <w:spacing w:line="360" w:lineRule="auto"/>
        <w:jc w:val="left"/>
        <w:rPr>
          <w:color w:val="000000"/>
          <w:kern w:val="0"/>
          <w:sz w:val="24"/>
        </w:rPr>
      </w:pPr>
      <w:r w:rsidRPr="006506EF">
        <w:rPr>
          <w:kern w:val="0"/>
          <w:sz w:val="24"/>
        </w:rPr>
        <w:t xml:space="preserve">5.10.4 </w:t>
      </w:r>
      <w:r w:rsidR="00F5013F" w:rsidRPr="006506EF">
        <w:rPr>
          <w:color w:val="000000"/>
          <w:kern w:val="0"/>
          <w:sz w:val="24"/>
        </w:rPr>
        <w:t>报告期末持有的处于转股期的可转换债券明细</w:t>
      </w:r>
    </w:p>
    <w:p w:rsidR="00F5013F" w:rsidRPr="006506EF" w:rsidRDefault="00F5013F" w:rsidP="00DB3360">
      <w:pPr>
        <w:spacing w:line="360" w:lineRule="auto"/>
        <w:ind w:firstLineChars="200" w:firstLine="480"/>
        <w:rPr>
          <w:color w:val="000000"/>
          <w:sz w:val="24"/>
        </w:rPr>
      </w:pPr>
      <w:r w:rsidRPr="006506EF">
        <w:rPr>
          <w:color w:val="000000"/>
          <w:sz w:val="24"/>
        </w:rPr>
        <w:t>本基金本报告期末未持有处于转股期的可转换债券。</w:t>
      </w:r>
    </w:p>
    <w:p w:rsidR="00F5013F" w:rsidRPr="006506EF" w:rsidRDefault="00287063" w:rsidP="00EC4BA3">
      <w:pPr>
        <w:autoSpaceDE w:val="0"/>
        <w:autoSpaceDN w:val="0"/>
        <w:adjustRightInd w:val="0"/>
        <w:spacing w:line="360" w:lineRule="auto"/>
        <w:jc w:val="left"/>
        <w:rPr>
          <w:color w:val="000000"/>
          <w:kern w:val="0"/>
          <w:sz w:val="24"/>
        </w:rPr>
      </w:pPr>
      <w:r w:rsidRPr="006506EF">
        <w:rPr>
          <w:kern w:val="0"/>
          <w:sz w:val="24"/>
        </w:rPr>
        <w:t>5.10.5</w:t>
      </w:r>
      <w:r w:rsidR="00F5013F" w:rsidRPr="006506EF">
        <w:rPr>
          <w:color w:val="000000"/>
          <w:kern w:val="0"/>
          <w:sz w:val="24"/>
        </w:rPr>
        <w:t xml:space="preserve"> </w:t>
      </w:r>
      <w:r w:rsidR="00F5013F" w:rsidRPr="006506EF">
        <w:rPr>
          <w:color w:val="000000"/>
          <w:kern w:val="0"/>
          <w:sz w:val="24"/>
        </w:rPr>
        <w:t>报告期末前十名股票中存在流通受限情况的说明</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本基金本报告期末前十名股票中不存在流通受限情况。</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§6  </w:t>
      </w:r>
      <w:r w:rsidRPr="006506EF">
        <w:rPr>
          <w:color w:val="000000"/>
          <w:kern w:val="0"/>
          <w:sz w:val="24"/>
          <w:szCs w:val="24"/>
        </w:rPr>
        <w:t>开放式基金份额变动</w:t>
      </w:r>
    </w:p>
    <w:p w:rsidR="00F5013F" w:rsidRPr="006506EF" w:rsidRDefault="00F5013F" w:rsidP="008B6A4A">
      <w:pPr>
        <w:autoSpaceDE w:val="0"/>
        <w:autoSpaceDN w:val="0"/>
        <w:adjustRightInd w:val="0"/>
        <w:spacing w:before="29" w:line="360" w:lineRule="auto"/>
        <w:ind w:left="15"/>
        <w:jc w:val="right"/>
        <w:rPr>
          <w:color w:val="000000"/>
          <w:kern w:val="0"/>
          <w:sz w:val="24"/>
        </w:rPr>
      </w:pPr>
      <w:r w:rsidRPr="006506EF">
        <w:rPr>
          <w:color w:val="000000"/>
          <w:kern w:val="0"/>
          <w:sz w:val="24"/>
        </w:rPr>
        <w:t>单位：份</w:t>
      </w:r>
    </w:p>
    <w:tbl>
      <w:tblPr>
        <w:tblW w:w="8861" w:type="dxa"/>
        <w:tblInd w:w="-106" w:type="dxa"/>
        <w:tblLayout w:type="fixed"/>
        <w:tblLook w:val="0000" w:firstRow="0" w:lastRow="0" w:firstColumn="0" w:lastColumn="0" w:noHBand="0" w:noVBand="0"/>
      </w:tblPr>
      <w:tblGrid>
        <w:gridCol w:w="4609"/>
        <w:gridCol w:w="4252"/>
      </w:tblGrid>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673,432,720.00</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346,000,000.00</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减：报告期基金总赎回份额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22,000,000.00</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报告期基金拆分变动份额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997,432,720.00</w:t>
            </w:r>
          </w:p>
        </w:tc>
      </w:tr>
    </w:tbl>
    <w:p w:rsidR="007362E0"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§7  </w:t>
      </w:r>
      <w:r w:rsidRPr="006506EF">
        <w:rPr>
          <w:color w:val="000000"/>
          <w:kern w:val="0"/>
          <w:sz w:val="24"/>
          <w:szCs w:val="24"/>
        </w:rPr>
        <w:t>基金管理人运用固有资金投资本基金交易明细</w:t>
      </w:r>
    </w:p>
    <w:p w:rsidR="00F5013F" w:rsidRPr="006506EF" w:rsidRDefault="007362E0" w:rsidP="00D7728B">
      <w:pPr>
        <w:spacing w:line="360" w:lineRule="auto"/>
        <w:ind w:firstLineChars="200" w:firstLine="480"/>
        <w:rPr>
          <w:color w:val="000000"/>
          <w:sz w:val="24"/>
        </w:rPr>
      </w:pPr>
      <w:r w:rsidRPr="006506EF">
        <w:rPr>
          <w:color w:val="000000"/>
          <w:sz w:val="24"/>
        </w:rPr>
        <w:t>本报告期内基金管理人未运用固有资金申购、赎回、买卖本基金份额。</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§8</w:t>
      </w:r>
      <w:r w:rsidR="002A4064" w:rsidRPr="006506EF">
        <w:rPr>
          <w:color w:val="000000"/>
          <w:kern w:val="0"/>
          <w:sz w:val="24"/>
          <w:szCs w:val="24"/>
        </w:rPr>
        <w:t xml:space="preserve">  </w:t>
      </w:r>
      <w:r w:rsidRPr="006506EF">
        <w:rPr>
          <w:color w:val="000000"/>
          <w:kern w:val="0"/>
          <w:sz w:val="24"/>
          <w:szCs w:val="24"/>
        </w:rPr>
        <w:t>备查文件目录</w:t>
      </w:r>
    </w:p>
    <w:p w:rsidR="00F5013F" w:rsidRPr="006506EF" w:rsidRDefault="00F5013F" w:rsidP="002C065A">
      <w:pPr>
        <w:spacing w:line="360" w:lineRule="auto"/>
        <w:rPr>
          <w:sz w:val="24"/>
        </w:rPr>
      </w:pPr>
      <w:r w:rsidRPr="006506EF">
        <w:rPr>
          <w:sz w:val="24"/>
        </w:rPr>
        <w:t xml:space="preserve">8.1 </w:t>
      </w:r>
      <w:r w:rsidRPr="006506EF">
        <w:rPr>
          <w:sz w:val="24"/>
        </w:rPr>
        <w:t>备查文件目录</w:t>
      </w:r>
    </w:p>
    <w:p w:rsidR="00F4071F" w:rsidRDefault="00FB4762">
      <w:pPr>
        <w:spacing w:line="360" w:lineRule="auto"/>
        <w:ind w:firstLineChars="200" w:firstLine="480"/>
        <w:rPr>
          <w:color w:val="000000"/>
          <w:sz w:val="24"/>
        </w:rPr>
      </w:pPr>
      <w:r>
        <w:rPr>
          <w:color w:val="000000"/>
          <w:sz w:val="24"/>
        </w:rPr>
        <w:t>1.</w:t>
      </w:r>
      <w:r>
        <w:rPr>
          <w:color w:val="000000"/>
          <w:sz w:val="24"/>
        </w:rPr>
        <w:t>中国证监会准予易方达中证海外中国互联网</w:t>
      </w:r>
      <w:r>
        <w:rPr>
          <w:color w:val="000000"/>
          <w:sz w:val="24"/>
        </w:rPr>
        <w:t xml:space="preserve"> 50 </w:t>
      </w:r>
      <w:r>
        <w:rPr>
          <w:color w:val="000000"/>
          <w:sz w:val="24"/>
        </w:rPr>
        <w:t>交易型开放式指数证券投资基金注册的文件；</w:t>
      </w:r>
    </w:p>
    <w:p w:rsidR="00F4071F" w:rsidRDefault="00FB4762">
      <w:pPr>
        <w:spacing w:line="360" w:lineRule="auto"/>
        <w:ind w:firstLineChars="200" w:firstLine="480"/>
        <w:rPr>
          <w:color w:val="000000"/>
          <w:sz w:val="24"/>
        </w:rPr>
      </w:pPr>
      <w:r>
        <w:rPr>
          <w:color w:val="000000"/>
          <w:sz w:val="24"/>
        </w:rPr>
        <w:t>2.</w:t>
      </w:r>
      <w:r>
        <w:rPr>
          <w:color w:val="000000"/>
          <w:sz w:val="24"/>
        </w:rPr>
        <w:t>《易方达中证海外中国互联网</w:t>
      </w:r>
      <w:r>
        <w:rPr>
          <w:color w:val="000000"/>
          <w:sz w:val="24"/>
        </w:rPr>
        <w:t xml:space="preserve"> </w:t>
      </w:r>
      <w:r>
        <w:rPr>
          <w:color w:val="000000"/>
          <w:sz w:val="24"/>
        </w:rPr>
        <w:t xml:space="preserve">50 </w:t>
      </w:r>
      <w:r>
        <w:rPr>
          <w:color w:val="000000"/>
          <w:sz w:val="24"/>
        </w:rPr>
        <w:t>交易型开放式指数证券投资基金基金合同》；</w:t>
      </w:r>
    </w:p>
    <w:p w:rsidR="00F4071F" w:rsidRDefault="00FB4762">
      <w:pPr>
        <w:spacing w:line="360" w:lineRule="auto"/>
        <w:ind w:firstLineChars="200" w:firstLine="480"/>
        <w:rPr>
          <w:color w:val="000000"/>
          <w:sz w:val="24"/>
        </w:rPr>
      </w:pPr>
      <w:r>
        <w:rPr>
          <w:color w:val="000000"/>
          <w:sz w:val="24"/>
        </w:rPr>
        <w:lastRenderedPageBreak/>
        <w:t>3.</w:t>
      </w:r>
      <w:r>
        <w:rPr>
          <w:color w:val="000000"/>
          <w:sz w:val="24"/>
        </w:rPr>
        <w:t>《易方达中证海外中国互联网</w:t>
      </w:r>
      <w:r>
        <w:rPr>
          <w:color w:val="000000"/>
          <w:sz w:val="24"/>
        </w:rPr>
        <w:t xml:space="preserve"> 50 </w:t>
      </w:r>
      <w:r>
        <w:rPr>
          <w:color w:val="000000"/>
          <w:sz w:val="24"/>
        </w:rPr>
        <w:t>交易型开放式指数证券投资基金托管协议》；</w:t>
      </w:r>
    </w:p>
    <w:p w:rsidR="00F5013F" w:rsidRPr="006506EF" w:rsidRDefault="00F5013F" w:rsidP="00A70EAB">
      <w:pPr>
        <w:spacing w:line="360" w:lineRule="auto"/>
        <w:ind w:firstLineChars="200" w:firstLine="480"/>
        <w:rPr>
          <w:color w:val="000000"/>
          <w:sz w:val="24"/>
        </w:rPr>
      </w:pPr>
      <w:r w:rsidRPr="006506EF">
        <w:rPr>
          <w:color w:val="000000"/>
          <w:sz w:val="24"/>
        </w:rPr>
        <w:t>4.</w:t>
      </w:r>
      <w:r w:rsidRPr="006506EF">
        <w:rPr>
          <w:color w:val="000000"/>
          <w:sz w:val="24"/>
        </w:rPr>
        <w:t>基金管理人业务资格批件和营业执照。</w:t>
      </w:r>
    </w:p>
    <w:p w:rsidR="00F5013F" w:rsidRPr="006506EF" w:rsidRDefault="00F5013F" w:rsidP="002C065A">
      <w:pPr>
        <w:spacing w:line="360" w:lineRule="auto"/>
        <w:rPr>
          <w:sz w:val="24"/>
        </w:rPr>
      </w:pPr>
      <w:r w:rsidRPr="006506EF">
        <w:rPr>
          <w:sz w:val="24"/>
        </w:rPr>
        <w:t xml:space="preserve">8.2 </w:t>
      </w:r>
      <w:r w:rsidRPr="006506EF">
        <w:rPr>
          <w:sz w:val="24"/>
        </w:rPr>
        <w:t>存放地点</w:t>
      </w:r>
    </w:p>
    <w:p w:rsidR="00F5013F" w:rsidRPr="006506EF" w:rsidRDefault="00F5013F" w:rsidP="00A70EAB">
      <w:pPr>
        <w:spacing w:line="360" w:lineRule="auto"/>
        <w:ind w:firstLineChars="200" w:firstLine="480"/>
        <w:rPr>
          <w:color w:val="000000"/>
          <w:sz w:val="24"/>
        </w:rPr>
      </w:pPr>
      <w:r w:rsidRPr="006506EF">
        <w:rPr>
          <w:color w:val="000000"/>
          <w:sz w:val="24"/>
        </w:rPr>
        <w:t>广州市天河区珠江新城珠江东路</w:t>
      </w:r>
      <w:r w:rsidRPr="006506EF">
        <w:rPr>
          <w:color w:val="000000"/>
          <w:sz w:val="24"/>
        </w:rPr>
        <w:t>30</w:t>
      </w:r>
      <w:r w:rsidRPr="006506EF">
        <w:rPr>
          <w:color w:val="000000"/>
          <w:sz w:val="24"/>
        </w:rPr>
        <w:t>号广州银行大厦</w:t>
      </w:r>
      <w:r w:rsidRPr="006506EF">
        <w:rPr>
          <w:color w:val="000000"/>
          <w:sz w:val="24"/>
        </w:rPr>
        <w:t>40-43</w:t>
      </w:r>
      <w:r w:rsidRPr="006506EF">
        <w:rPr>
          <w:color w:val="000000"/>
          <w:sz w:val="24"/>
        </w:rPr>
        <w:t>楼。</w:t>
      </w:r>
    </w:p>
    <w:p w:rsidR="00F5013F" w:rsidRPr="006506EF" w:rsidRDefault="00F5013F" w:rsidP="002C065A">
      <w:pPr>
        <w:spacing w:line="360" w:lineRule="auto"/>
        <w:rPr>
          <w:sz w:val="24"/>
        </w:rPr>
      </w:pPr>
      <w:r w:rsidRPr="006506EF">
        <w:rPr>
          <w:sz w:val="24"/>
        </w:rPr>
        <w:t xml:space="preserve">8.3 </w:t>
      </w:r>
      <w:r w:rsidRPr="006506EF">
        <w:rPr>
          <w:sz w:val="24"/>
        </w:rPr>
        <w:t>查阅方式</w:t>
      </w:r>
    </w:p>
    <w:p w:rsidR="00F5013F" w:rsidRPr="006506EF" w:rsidRDefault="00F5013F" w:rsidP="00547F92">
      <w:pPr>
        <w:spacing w:line="360" w:lineRule="auto"/>
        <w:ind w:firstLineChars="200" w:firstLine="480"/>
        <w:rPr>
          <w:color w:val="000000"/>
          <w:sz w:val="24"/>
        </w:rPr>
      </w:pPr>
      <w:r w:rsidRPr="006506EF">
        <w:rPr>
          <w:color w:val="000000"/>
          <w:sz w:val="24"/>
        </w:rPr>
        <w:t>投资者可在营业时间免费查阅，也可按工本费购买复印件。</w:t>
      </w: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0C7596">
      <w:pPr>
        <w:spacing w:line="360" w:lineRule="auto"/>
        <w:jc w:val="right"/>
        <w:rPr>
          <w:b/>
          <w:bCs/>
          <w:sz w:val="24"/>
        </w:rPr>
      </w:pPr>
      <w:r w:rsidRPr="006506EF">
        <w:rPr>
          <w:b/>
          <w:bCs/>
          <w:sz w:val="24"/>
        </w:rPr>
        <w:t>易方达基金管理有限公司</w:t>
      </w:r>
    </w:p>
    <w:p w:rsidR="00F5013F" w:rsidRPr="006506EF" w:rsidRDefault="00F5013F" w:rsidP="000C7596">
      <w:pPr>
        <w:spacing w:line="360" w:lineRule="auto"/>
        <w:jc w:val="right"/>
        <w:rPr>
          <w:b/>
          <w:bCs/>
          <w:sz w:val="24"/>
        </w:rPr>
      </w:pPr>
      <w:r w:rsidRPr="006506EF">
        <w:rPr>
          <w:b/>
          <w:bCs/>
          <w:sz w:val="24"/>
        </w:rPr>
        <w:t>二〇一九年十月二十四日</w:t>
      </w:r>
    </w:p>
    <w:sectPr w:rsidR="00F5013F" w:rsidRPr="006506EF" w:rsidSect="00DB4450">
      <w:headerReference w:type="even"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D41" w:rsidRDefault="000F4D41">
      <w:r>
        <w:separator/>
      </w:r>
    </w:p>
  </w:endnote>
  <w:endnote w:type="continuationSeparator" w:id="0">
    <w:p w:rsidR="000F4D41" w:rsidRDefault="000F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Pr="001D0DB0" w:rsidRDefault="00F5013F" w:rsidP="00B918B8">
    <w:pPr>
      <w:pStyle w:val="a6"/>
      <w:jc w:val="center"/>
    </w:pPr>
    <w:r>
      <w:rPr>
        <w:rFonts w:hint="eastAsia"/>
        <w:szCs w:val="21"/>
      </w:rPr>
      <w:t>第</w:t>
    </w:r>
    <w:r w:rsidR="005558C4">
      <w:rPr>
        <w:szCs w:val="21"/>
      </w:rPr>
      <w:fldChar w:fldCharType="begin"/>
    </w:r>
    <w:r>
      <w:rPr>
        <w:szCs w:val="21"/>
      </w:rPr>
      <w:instrText xml:space="preserve"> PAGE </w:instrText>
    </w:r>
    <w:r w:rsidR="005558C4">
      <w:rPr>
        <w:szCs w:val="21"/>
      </w:rPr>
      <w:fldChar w:fldCharType="separate"/>
    </w:r>
    <w:r w:rsidR="00FB4762">
      <w:rPr>
        <w:noProof/>
        <w:szCs w:val="21"/>
      </w:rPr>
      <w:t>1</w:t>
    </w:r>
    <w:r w:rsidR="005558C4">
      <w:rPr>
        <w:szCs w:val="21"/>
      </w:rPr>
      <w:fldChar w:fldCharType="end"/>
    </w:r>
    <w:r>
      <w:rPr>
        <w:rFonts w:hint="eastAsia"/>
        <w:szCs w:val="21"/>
      </w:rPr>
      <w:t>页共</w:t>
    </w:r>
    <w:r w:rsidR="005558C4">
      <w:rPr>
        <w:szCs w:val="21"/>
      </w:rPr>
      <w:fldChar w:fldCharType="begin"/>
    </w:r>
    <w:r>
      <w:rPr>
        <w:szCs w:val="21"/>
      </w:rPr>
      <w:instrText xml:space="preserve"> NUMPAGES </w:instrText>
    </w:r>
    <w:r w:rsidR="005558C4">
      <w:rPr>
        <w:szCs w:val="21"/>
      </w:rPr>
      <w:fldChar w:fldCharType="separate"/>
    </w:r>
    <w:r w:rsidR="00FB4762">
      <w:rPr>
        <w:noProof/>
        <w:szCs w:val="21"/>
      </w:rPr>
      <w:t>3</w:t>
    </w:r>
    <w:r w:rsidR="005558C4">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5558C4">
    <w:pPr>
      <w:pStyle w:val="a6"/>
      <w:framePr w:wrap="around" w:vAnchor="text" w:hAnchor="margin" w:xAlign="center" w:y="1"/>
      <w:rPr>
        <w:rStyle w:val="a7"/>
      </w:rPr>
    </w:pPr>
    <w:r>
      <w:rPr>
        <w:rStyle w:val="a7"/>
      </w:rPr>
      <w:fldChar w:fldCharType="begin"/>
    </w:r>
    <w:r w:rsidR="00F5013F">
      <w:rPr>
        <w:rStyle w:val="a7"/>
      </w:rPr>
      <w:instrText xml:space="preserve">PAGE  </w:instrText>
    </w:r>
    <w:r>
      <w:rPr>
        <w:rStyle w:val="a7"/>
      </w:rPr>
      <w:fldChar w:fldCharType="end"/>
    </w:r>
  </w:p>
  <w:p w:rsidR="00F5013F" w:rsidRDefault="00F5013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5558C4">
    <w:pPr>
      <w:pStyle w:val="a6"/>
      <w:framePr w:wrap="around" w:vAnchor="text" w:hAnchor="margin" w:xAlign="center" w:y="1"/>
      <w:rPr>
        <w:rStyle w:val="a7"/>
      </w:rPr>
    </w:pPr>
    <w:r>
      <w:rPr>
        <w:rStyle w:val="a7"/>
      </w:rPr>
      <w:fldChar w:fldCharType="begin"/>
    </w:r>
    <w:r w:rsidR="00F5013F">
      <w:rPr>
        <w:rStyle w:val="a7"/>
      </w:rPr>
      <w:instrText xml:space="preserve">PAGE  </w:instrText>
    </w:r>
    <w:r>
      <w:rPr>
        <w:rStyle w:val="a7"/>
      </w:rPr>
      <w:fldChar w:fldCharType="separate"/>
    </w:r>
    <w:r w:rsidR="00FB4762">
      <w:rPr>
        <w:rStyle w:val="a7"/>
        <w:noProof/>
      </w:rPr>
      <w:t>14</w:t>
    </w:r>
    <w:r>
      <w:rPr>
        <w:rStyle w:val="a7"/>
      </w:rPr>
      <w:fldChar w:fldCharType="end"/>
    </w:r>
  </w:p>
  <w:p w:rsidR="00F5013F" w:rsidRDefault="00F5013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D41" w:rsidRDefault="000F4D41">
      <w:r>
        <w:separator/>
      </w:r>
    </w:p>
  </w:footnote>
  <w:footnote w:type="continuationSeparator" w:id="0">
    <w:p w:rsidR="000F4D41" w:rsidRDefault="000F4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Pr="00CA4176" w:rsidRDefault="00F5013F" w:rsidP="001D1356">
    <w:pPr>
      <w:pStyle w:val="a9"/>
      <w:pBdr>
        <w:bottom w:val="single" w:sz="6" w:space="0" w:color="auto"/>
      </w:pBdr>
      <w:jc w:val="right"/>
      <w:rPr>
        <w:sz w:val="15"/>
      </w:rPr>
    </w:pPr>
    <w:r w:rsidRPr="00CA4176">
      <w:rPr>
        <w:szCs w:val="21"/>
      </w:rPr>
      <w:t>易方达中证海外中国互联网</w:t>
    </w:r>
    <w:r w:rsidRPr="00CA4176">
      <w:rPr>
        <w:szCs w:val="21"/>
      </w:rPr>
      <w:t>50</w:t>
    </w:r>
    <w:r w:rsidRPr="00CA4176">
      <w:rPr>
        <w:szCs w:val="21"/>
      </w:rPr>
      <w:t>交易型开放式指数证券投资基金</w:t>
    </w:r>
    <w:r w:rsidRPr="00CA4176">
      <w:rPr>
        <w:szCs w:val="21"/>
      </w:rPr>
      <w:t>2019</w:t>
    </w:r>
    <w:r w:rsidRPr="00CA4176">
      <w:rPr>
        <w:szCs w:val="21"/>
      </w:rPr>
      <w:t>年第</w:t>
    </w:r>
    <w:r w:rsidRPr="00CA4176">
      <w:rPr>
        <w:szCs w:val="21"/>
      </w:rPr>
      <w:t>3</w:t>
    </w:r>
    <w:r w:rsidRPr="00CA4176">
      <w:rPr>
        <w:szCs w:val="21"/>
      </w:rPr>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FB4"/>
    <w:rsid w:val="0000403B"/>
    <w:rsid w:val="00005911"/>
    <w:rsid w:val="00010A83"/>
    <w:rsid w:val="00010A8E"/>
    <w:rsid w:val="00010AC3"/>
    <w:rsid w:val="00011EB5"/>
    <w:rsid w:val="00017581"/>
    <w:rsid w:val="00017739"/>
    <w:rsid w:val="00020583"/>
    <w:rsid w:val="00021DD4"/>
    <w:rsid w:val="00023BE7"/>
    <w:rsid w:val="00026BFF"/>
    <w:rsid w:val="000306F0"/>
    <w:rsid w:val="0003091A"/>
    <w:rsid w:val="00037FCF"/>
    <w:rsid w:val="00041AB5"/>
    <w:rsid w:val="000421B8"/>
    <w:rsid w:val="00043ABF"/>
    <w:rsid w:val="000445E4"/>
    <w:rsid w:val="00045AE7"/>
    <w:rsid w:val="000510AB"/>
    <w:rsid w:val="00055668"/>
    <w:rsid w:val="00055AF1"/>
    <w:rsid w:val="000565DC"/>
    <w:rsid w:val="00063A8D"/>
    <w:rsid w:val="00064AE3"/>
    <w:rsid w:val="00066524"/>
    <w:rsid w:val="00067332"/>
    <w:rsid w:val="00067AC4"/>
    <w:rsid w:val="00070CD1"/>
    <w:rsid w:val="0007171B"/>
    <w:rsid w:val="0007178B"/>
    <w:rsid w:val="00081D05"/>
    <w:rsid w:val="000876A0"/>
    <w:rsid w:val="00087CF7"/>
    <w:rsid w:val="00094876"/>
    <w:rsid w:val="00095912"/>
    <w:rsid w:val="00095CE0"/>
    <w:rsid w:val="000965F7"/>
    <w:rsid w:val="00096933"/>
    <w:rsid w:val="00097230"/>
    <w:rsid w:val="000A09BE"/>
    <w:rsid w:val="000A457E"/>
    <w:rsid w:val="000A521D"/>
    <w:rsid w:val="000A549A"/>
    <w:rsid w:val="000A55BD"/>
    <w:rsid w:val="000A72F2"/>
    <w:rsid w:val="000B0C56"/>
    <w:rsid w:val="000B3274"/>
    <w:rsid w:val="000B3E43"/>
    <w:rsid w:val="000B7DD0"/>
    <w:rsid w:val="000C1723"/>
    <w:rsid w:val="000C1B20"/>
    <w:rsid w:val="000C4107"/>
    <w:rsid w:val="000C41AE"/>
    <w:rsid w:val="000C45E7"/>
    <w:rsid w:val="000C6EE5"/>
    <w:rsid w:val="000C7596"/>
    <w:rsid w:val="000D01F4"/>
    <w:rsid w:val="000D09E5"/>
    <w:rsid w:val="000D121F"/>
    <w:rsid w:val="000D1519"/>
    <w:rsid w:val="000E1F7C"/>
    <w:rsid w:val="000E3B88"/>
    <w:rsid w:val="000E4456"/>
    <w:rsid w:val="000F175F"/>
    <w:rsid w:val="000F17D1"/>
    <w:rsid w:val="000F4D41"/>
    <w:rsid w:val="000F60FF"/>
    <w:rsid w:val="000F635F"/>
    <w:rsid w:val="000F6C61"/>
    <w:rsid w:val="00100A7C"/>
    <w:rsid w:val="00100C12"/>
    <w:rsid w:val="001049B6"/>
    <w:rsid w:val="001051C6"/>
    <w:rsid w:val="0010694D"/>
    <w:rsid w:val="0011177A"/>
    <w:rsid w:val="00112E27"/>
    <w:rsid w:val="0011345C"/>
    <w:rsid w:val="00114B31"/>
    <w:rsid w:val="00116E31"/>
    <w:rsid w:val="00120FAF"/>
    <w:rsid w:val="0012150F"/>
    <w:rsid w:val="00121683"/>
    <w:rsid w:val="0012304E"/>
    <w:rsid w:val="00123B10"/>
    <w:rsid w:val="001248EF"/>
    <w:rsid w:val="001257C7"/>
    <w:rsid w:val="00126DDF"/>
    <w:rsid w:val="001270BF"/>
    <w:rsid w:val="00127BAC"/>
    <w:rsid w:val="00142A56"/>
    <w:rsid w:val="00143B45"/>
    <w:rsid w:val="00144DF5"/>
    <w:rsid w:val="00145A97"/>
    <w:rsid w:val="00146485"/>
    <w:rsid w:val="00150AD6"/>
    <w:rsid w:val="00154ADA"/>
    <w:rsid w:val="0015531A"/>
    <w:rsid w:val="0016041C"/>
    <w:rsid w:val="00163B27"/>
    <w:rsid w:val="00165317"/>
    <w:rsid w:val="00171BAD"/>
    <w:rsid w:val="00172B84"/>
    <w:rsid w:val="0017406E"/>
    <w:rsid w:val="001756A1"/>
    <w:rsid w:val="001761EE"/>
    <w:rsid w:val="00176EAA"/>
    <w:rsid w:val="0017725A"/>
    <w:rsid w:val="00177BE0"/>
    <w:rsid w:val="00177C4B"/>
    <w:rsid w:val="00180FB6"/>
    <w:rsid w:val="00181F3C"/>
    <w:rsid w:val="0018325A"/>
    <w:rsid w:val="00186199"/>
    <w:rsid w:val="0018734E"/>
    <w:rsid w:val="001878B0"/>
    <w:rsid w:val="00190115"/>
    <w:rsid w:val="001928F7"/>
    <w:rsid w:val="00194537"/>
    <w:rsid w:val="00194F40"/>
    <w:rsid w:val="001A21A9"/>
    <w:rsid w:val="001A59D8"/>
    <w:rsid w:val="001A5FA6"/>
    <w:rsid w:val="001B28D0"/>
    <w:rsid w:val="001B2F0C"/>
    <w:rsid w:val="001C37F6"/>
    <w:rsid w:val="001C46E1"/>
    <w:rsid w:val="001C5C03"/>
    <w:rsid w:val="001C6288"/>
    <w:rsid w:val="001C7D5D"/>
    <w:rsid w:val="001D0DB0"/>
    <w:rsid w:val="001D0F6A"/>
    <w:rsid w:val="001D1356"/>
    <w:rsid w:val="001D21BC"/>
    <w:rsid w:val="001D2FA5"/>
    <w:rsid w:val="001D3187"/>
    <w:rsid w:val="001D35E0"/>
    <w:rsid w:val="001D4F52"/>
    <w:rsid w:val="001D5045"/>
    <w:rsid w:val="001D5A44"/>
    <w:rsid w:val="001D724B"/>
    <w:rsid w:val="001E03D6"/>
    <w:rsid w:val="001E11D3"/>
    <w:rsid w:val="001E227F"/>
    <w:rsid w:val="001E2A6A"/>
    <w:rsid w:val="001E3DC2"/>
    <w:rsid w:val="001E4ABC"/>
    <w:rsid w:val="001E56FF"/>
    <w:rsid w:val="001E5C6B"/>
    <w:rsid w:val="001F03E1"/>
    <w:rsid w:val="001F26C1"/>
    <w:rsid w:val="001F3C28"/>
    <w:rsid w:val="001F3CC6"/>
    <w:rsid w:val="001F4530"/>
    <w:rsid w:val="002010DE"/>
    <w:rsid w:val="00202968"/>
    <w:rsid w:val="00202C32"/>
    <w:rsid w:val="00203AEF"/>
    <w:rsid w:val="00206F8C"/>
    <w:rsid w:val="00211A26"/>
    <w:rsid w:val="002125F7"/>
    <w:rsid w:val="00213FE8"/>
    <w:rsid w:val="00214463"/>
    <w:rsid w:val="00214756"/>
    <w:rsid w:val="002149AE"/>
    <w:rsid w:val="00215CF2"/>
    <w:rsid w:val="00221174"/>
    <w:rsid w:val="002224FF"/>
    <w:rsid w:val="002236BC"/>
    <w:rsid w:val="00223DBB"/>
    <w:rsid w:val="00233B7F"/>
    <w:rsid w:val="002359EB"/>
    <w:rsid w:val="002363AB"/>
    <w:rsid w:val="0024260D"/>
    <w:rsid w:val="00245012"/>
    <w:rsid w:val="0024504E"/>
    <w:rsid w:val="0024651F"/>
    <w:rsid w:val="0025158D"/>
    <w:rsid w:val="0025281A"/>
    <w:rsid w:val="00253D3C"/>
    <w:rsid w:val="00254F37"/>
    <w:rsid w:val="00255292"/>
    <w:rsid w:val="00256097"/>
    <w:rsid w:val="00260200"/>
    <w:rsid w:val="00261DB3"/>
    <w:rsid w:val="002648D8"/>
    <w:rsid w:val="00264E55"/>
    <w:rsid w:val="002655D4"/>
    <w:rsid w:val="00265865"/>
    <w:rsid w:val="00267A28"/>
    <w:rsid w:val="00267D54"/>
    <w:rsid w:val="002711AA"/>
    <w:rsid w:val="00273F86"/>
    <w:rsid w:val="0027576B"/>
    <w:rsid w:val="00276834"/>
    <w:rsid w:val="002774F0"/>
    <w:rsid w:val="00280566"/>
    <w:rsid w:val="00281DBD"/>
    <w:rsid w:val="00284519"/>
    <w:rsid w:val="0028459B"/>
    <w:rsid w:val="00284C5F"/>
    <w:rsid w:val="00287063"/>
    <w:rsid w:val="002873F0"/>
    <w:rsid w:val="00287B56"/>
    <w:rsid w:val="002964F9"/>
    <w:rsid w:val="00297B13"/>
    <w:rsid w:val="002A1F14"/>
    <w:rsid w:val="002A2678"/>
    <w:rsid w:val="002A2E01"/>
    <w:rsid w:val="002A398F"/>
    <w:rsid w:val="002A4064"/>
    <w:rsid w:val="002A530F"/>
    <w:rsid w:val="002A5C6B"/>
    <w:rsid w:val="002A5D31"/>
    <w:rsid w:val="002A714F"/>
    <w:rsid w:val="002B14C2"/>
    <w:rsid w:val="002B1851"/>
    <w:rsid w:val="002B2019"/>
    <w:rsid w:val="002B27FF"/>
    <w:rsid w:val="002B3A0A"/>
    <w:rsid w:val="002B4320"/>
    <w:rsid w:val="002B6793"/>
    <w:rsid w:val="002C042C"/>
    <w:rsid w:val="002C065A"/>
    <w:rsid w:val="002C1726"/>
    <w:rsid w:val="002C21A6"/>
    <w:rsid w:val="002C2678"/>
    <w:rsid w:val="002C26D5"/>
    <w:rsid w:val="002C5777"/>
    <w:rsid w:val="002D31BB"/>
    <w:rsid w:val="002D32E3"/>
    <w:rsid w:val="002E0FEB"/>
    <w:rsid w:val="002E5C64"/>
    <w:rsid w:val="002E6899"/>
    <w:rsid w:val="002E6FB9"/>
    <w:rsid w:val="002F0F79"/>
    <w:rsid w:val="002F2234"/>
    <w:rsid w:val="002F2713"/>
    <w:rsid w:val="002F280E"/>
    <w:rsid w:val="002F3709"/>
    <w:rsid w:val="002F3A6C"/>
    <w:rsid w:val="002F4296"/>
    <w:rsid w:val="00300951"/>
    <w:rsid w:val="00302CA8"/>
    <w:rsid w:val="00302DE9"/>
    <w:rsid w:val="003033EE"/>
    <w:rsid w:val="00304106"/>
    <w:rsid w:val="00304E5A"/>
    <w:rsid w:val="00304E97"/>
    <w:rsid w:val="00305084"/>
    <w:rsid w:val="00311094"/>
    <w:rsid w:val="0031598C"/>
    <w:rsid w:val="00316339"/>
    <w:rsid w:val="003204E9"/>
    <w:rsid w:val="00321E8C"/>
    <w:rsid w:val="00322A86"/>
    <w:rsid w:val="00323AE8"/>
    <w:rsid w:val="00324548"/>
    <w:rsid w:val="003251F4"/>
    <w:rsid w:val="003303E3"/>
    <w:rsid w:val="003329EA"/>
    <w:rsid w:val="003407A5"/>
    <w:rsid w:val="00341188"/>
    <w:rsid w:val="0034147B"/>
    <w:rsid w:val="00344A44"/>
    <w:rsid w:val="00344FF1"/>
    <w:rsid w:val="00345F56"/>
    <w:rsid w:val="00346DF0"/>
    <w:rsid w:val="00350238"/>
    <w:rsid w:val="0035109C"/>
    <w:rsid w:val="00351F0A"/>
    <w:rsid w:val="0035432B"/>
    <w:rsid w:val="00361E7E"/>
    <w:rsid w:val="00363E15"/>
    <w:rsid w:val="0037006D"/>
    <w:rsid w:val="00370AA4"/>
    <w:rsid w:val="00371FF4"/>
    <w:rsid w:val="003745DA"/>
    <w:rsid w:val="0037468D"/>
    <w:rsid w:val="00376A15"/>
    <w:rsid w:val="00376E96"/>
    <w:rsid w:val="00377520"/>
    <w:rsid w:val="00380D36"/>
    <w:rsid w:val="003822D3"/>
    <w:rsid w:val="0038359B"/>
    <w:rsid w:val="00386630"/>
    <w:rsid w:val="00390B25"/>
    <w:rsid w:val="00395BC9"/>
    <w:rsid w:val="00396E32"/>
    <w:rsid w:val="00397156"/>
    <w:rsid w:val="00397616"/>
    <w:rsid w:val="00397960"/>
    <w:rsid w:val="003A30B8"/>
    <w:rsid w:val="003A3BC4"/>
    <w:rsid w:val="003A458A"/>
    <w:rsid w:val="003B2F13"/>
    <w:rsid w:val="003B405E"/>
    <w:rsid w:val="003B57D3"/>
    <w:rsid w:val="003C1F58"/>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7C45"/>
    <w:rsid w:val="0040132C"/>
    <w:rsid w:val="00401FEA"/>
    <w:rsid w:val="004027BA"/>
    <w:rsid w:val="0040469F"/>
    <w:rsid w:val="00405085"/>
    <w:rsid w:val="004061D9"/>
    <w:rsid w:val="004066FC"/>
    <w:rsid w:val="00407C10"/>
    <w:rsid w:val="004113B4"/>
    <w:rsid w:val="00414827"/>
    <w:rsid w:val="00416C10"/>
    <w:rsid w:val="00420007"/>
    <w:rsid w:val="00424EF3"/>
    <w:rsid w:val="004261BD"/>
    <w:rsid w:val="004268BB"/>
    <w:rsid w:val="00431047"/>
    <w:rsid w:val="00431B86"/>
    <w:rsid w:val="004339D9"/>
    <w:rsid w:val="004408EC"/>
    <w:rsid w:val="00441E6A"/>
    <w:rsid w:val="00443C8F"/>
    <w:rsid w:val="00452481"/>
    <w:rsid w:val="00455464"/>
    <w:rsid w:val="004567C5"/>
    <w:rsid w:val="00457804"/>
    <w:rsid w:val="00462B61"/>
    <w:rsid w:val="00464283"/>
    <w:rsid w:val="004646BF"/>
    <w:rsid w:val="00464744"/>
    <w:rsid w:val="004665E3"/>
    <w:rsid w:val="00466B17"/>
    <w:rsid w:val="00467F2B"/>
    <w:rsid w:val="004705EB"/>
    <w:rsid w:val="004731F1"/>
    <w:rsid w:val="004745CC"/>
    <w:rsid w:val="00477111"/>
    <w:rsid w:val="0047798A"/>
    <w:rsid w:val="004804B1"/>
    <w:rsid w:val="00480BC8"/>
    <w:rsid w:val="00481265"/>
    <w:rsid w:val="004814BF"/>
    <w:rsid w:val="00482956"/>
    <w:rsid w:val="0048587E"/>
    <w:rsid w:val="00487C2B"/>
    <w:rsid w:val="0049297D"/>
    <w:rsid w:val="004929F2"/>
    <w:rsid w:val="004958BE"/>
    <w:rsid w:val="00495A03"/>
    <w:rsid w:val="0049659A"/>
    <w:rsid w:val="004966FE"/>
    <w:rsid w:val="00497079"/>
    <w:rsid w:val="004A1BBA"/>
    <w:rsid w:val="004A3039"/>
    <w:rsid w:val="004A3251"/>
    <w:rsid w:val="004A3E3C"/>
    <w:rsid w:val="004A5B18"/>
    <w:rsid w:val="004B0E6D"/>
    <w:rsid w:val="004B16E8"/>
    <w:rsid w:val="004B25F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60FB"/>
    <w:rsid w:val="004F16AD"/>
    <w:rsid w:val="004F6565"/>
    <w:rsid w:val="004F779C"/>
    <w:rsid w:val="004F7846"/>
    <w:rsid w:val="005000D4"/>
    <w:rsid w:val="00501BB1"/>
    <w:rsid w:val="0050335E"/>
    <w:rsid w:val="00505BE7"/>
    <w:rsid w:val="00506786"/>
    <w:rsid w:val="00506D57"/>
    <w:rsid w:val="00510CAF"/>
    <w:rsid w:val="005128C5"/>
    <w:rsid w:val="0051478B"/>
    <w:rsid w:val="0051566A"/>
    <w:rsid w:val="00515D7B"/>
    <w:rsid w:val="005166E9"/>
    <w:rsid w:val="0052009E"/>
    <w:rsid w:val="00521EDE"/>
    <w:rsid w:val="00525E59"/>
    <w:rsid w:val="005318CC"/>
    <w:rsid w:val="005346F1"/>
    <w:rsid w:val="005349B1"/>
    <w:rsid w:val="005374BC"/>
    <w:rsid w:val="00543367"/>
    <w:rsid w:val="00543B38"/>
    <w:rsid w:val="00543BFA"/>
    <w:rsid w:val="00547D9C"/>
    <w:rsid w:val="00547DA1"/>
    <w:rsid w:val="00547F92"/>
    <w:rsid w:val="0055513C"/>
    <w:rsid w:val="005558C4"/>
    <w:rsid w:val="00560C94"/>
    <w:rsid w:val="0056291C"/>
    <w:rsid w:val="00565A63"/>
    <w:rsid w:val="00566588"/>
    <w:rsid w:val="00571BD3"/>
    <w:rsid w:val="00571FA8"/>
    <w:rsid w:val="0057275D"/>
    <w:rsid w:val="005749DF"/>
    <w:rsid w:val="0057608B"/>
    <w:rsid w:val="0057676D"/>
    <w:rsid w:val="005800A9"/>
    <w:rsid w:val="00580488"/>
    <w:rsid w:val="0058074D"/>
    <w:rsid w:val="00582FAD"/>
    <w:rsid w:val="00583489"/>
    <w:rsid w:val="005837E4"/>
    <w:rsid w:val="005838AE"/>
    <w:rsid w:val="00587B92"/>
    <w:rsid w:val="005908C0"/>
    <w:rsid w:val="00590FE4"/>
    <w:rsid w:val="00591D9C"/>
    <w:rsid w:val="00592EFF"/>
    <w:rsid w:val="00597057"/>
    <w:rsid w:val="00597D8B"/>
    <w:rsid w:val="005A128A"/>
    <w:rsid w:val="005A140B"/>
    <w:rsid w:val="005A1C30"/>
    <w:rsid w:val="005A3295"/>
    <w:rsid w:val="005A44E4"/>
    <w:rsid w:val="005A46FF"/>
    <w:rsid w:val="005A5D3B"/>
    <w:rsid w:val="005A6BFC"/>
    <w:rsid w:val="005A704A"/>
    <w:rsid w:val="005B011E"/>
    <w:rsid w:val="005B2E84"/>
    <w:rsid w:val="005B3103"/>
    <w:rsid w:val="005B6AC7"/>
    <w:rsid w:val="005B6CA6"/>
    <w:rsid w:val="005B7B0E"/>
    <w:rsid w:val="005C2541"/>
    <w:rsid w:val="005C28CB"/>
    <w:rsid w:val="005C45E8"/>
    <w:rsid w:val="005C5409"/>
    <w:rsid w:val="005C69AC"/>
    <w:rsid w:val="005C722E"/>
    <w:rsid w:val="005C7FD4"/>
    <w:rsid w:val="005D01A4"/>
    <w:rsid w:val="005D45B3"/>
    <w:rsid w:val="005D4CEB"/>
    <w:rsid w:val="005E0EAB"/>
    <w:rsid w:val="005E2501"/>
    <w:rsid w:val="005E39D4"/>
    <w:rsid w:val="005E64DA"/>
    <w:rsid w:val="005E6CD4"/>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181A"/>
    <w:rsid w:val="00633BBA"/>
    <w:rsid w:val="00634585"/>
    <w:rsid w:val="00637258"/>
    <w:rsid w:val="00642072"/>
    <w:rsid w:val="006440ED"/>
    <w:rsid w:val="00645293"/>
    <w:rsid w:val="00646237"/>
    <w:rsid w:val="006506EF"/>
    <w:rsid w:val="00651B78"/>
    <w:rsid w:val="00652263"/>
    <w:rsid w:val="00652881"/>
    <w:rsid w:val="00661974"/>
    <w:rsid w:val="00662D4B"/>
    <w:rsid w:val="00664551"/>
    <w:rsid w:val="00664F49"/>
    <w:rsid w:val="006658FA"/>
    <w:rsid w:val="0066726C"/>
    <w:rsid w:val="006674BD"/>
    <w:rsid w:val="006676A0"/>
    <w:rsid w:val="00670857"/>
    <w:rsid w:val="00671124"/>
    <w:rsid w:val="006727B0"/>
    <w:rsid w:val="0067307E"/>
    <w:rsid w:val="00686EC0"/>
    <w:rsid w:val="00687AD5"/>
    <w:rsid w:val="00691153"/>
    <w:rsid w:val="00695251"/>
    <w:rsid w:val="00695ADE"/>
    <w:rsid w:val="00695C0D"/>
    <w:rsid w:val="00696356"/>
    <w:rsid w:val="00696E18"/>
    <w:rsid w:val="006A1DAE"/>
    <w:rsid w:val="006A2C8E"/>
    <w:rsid w:val="006A72C6"/>
    <w:rsid w:val="006B02DA"/>
    <w:rsid w:val="006B077E"/>
    <w:rsid w:val="006B1FD1"/>
    <w:rsid w:val="006B2065"/>
    <w:rsid w:val="006B2F2B"/>
    <w:rsid w:val="006B3940"/>
    <w:rsid w:val="006B47D1"/>
    <w:rsid w:val="006C0411"/>
    <w:rsid w:val="006C168D"/>
    <w:rsid w:val="006C1D52"/>
    <w:rsid w:val="006C4E16"/>
    <w:rsid w:val="006C55C8"/>
    <w:rsid w:val="006C5E36"/>
    <w:rsid w:val="006C642C"/>
    <w:rsid w:val="006C6FC6"/>
    <w:rsid w:val="006D00D5"/>
    <w:rsid w:val="006E34B7"/>
    <w:rsid w:val="006F4CD8"/>
    <w:rsid w:val="006F7291"/>
    <w:rsid w:val="00701F44"/>
    <w:rsid w:val="00703E8A"/>
    <w:rsid w:val="00710335"/>
    <w:rsid w:val="00711522"/>
    <w:rsid w:val="007124FE"/>
    <w:rsid w:val="00713186"/>
    <w:rsid w:val="00713757"/>
    <w:rsid w:val="00717772"/>
    <w:rsid w:val="00721AF1"/>
    <w:rsid w:val="0072280F"/>
    <w:rsid w:val="00722B5E"/>
    <w:rsid w:val="0072708F"/>
    <w:rsid w:val="00730500"/>
    <w:rsid w:val="007328AB"/>
    <w:rsid w:val="00732D1D"/>
    <w:rsid w:val="00734B2B"/>
    <w:rsid w:val="0073600F"/>
    <w:rsid w:val="00736034"/>
    <w:rsid w:val="007362E0"/>
    <w:rsid w:val="00736479"/>
    <w:rsid w:val="0073681C"/>
    <w:rsid w:val="00741EBE"/>
    <w:rsid w:val="00746130"/>
    <w:rsid w:val="00746A40"/>
    <w:rsid w:val="00750358"/>
    <w:rsid w:val="007506E8"/>
    <w:rsid w:val="007513AC"/>
    <w:rsid w:val="00751763"/>
    <w:rsid w:val="00755CDF"/>
    <w:rsid w:val="00757A4C"/>
    <w:rsid w:val="00763925"/>
    <w:rsid w:val="00764A94"/>
    <w:rsid w:val="0076518F"/>
    <w:rsid w:val="007651E5"/>
    <w:rsid w:val="007670DC"/>
    <w:rsid w:val="0077111A"/>
    <w:rsid w:val="00772721"/>
    <w:rsid w:val="007756ED"/>
    <w:rsid w:val="0078105B"/>
    <w:rsid w:val="00783C07"/>
    <w:rsid w:val="007870FC"/>
    <w:rsid w:val="00787CD0"/>
    <w:rsid w:val="00791053"/>
    <w:rsid w:val="00791A3A"/>
    <w:rsid w:val="00791BB9"/>
    <w:rsid w:val="007936BA"/>
    <w:rsid w:val="00794196"/>
    <w:rsid w:val="00796EC9"/>
    <w:rsid w:val="00797637"/>
    <w:rsid w:val="007A3680"/>
    <w:rsid w:val="007A39AF"/>
    <w:rsid w:val="007A59B8"/>
    <w:rsid w:val="007A75F5"/>
    <w:rsid w:val="007B2862"/>
    <w:rsid w:val="007B662A"/>
    <w:rsid w:val="007C3469"/>
    <w:rsid w:val="007D1292"/>
    <w:rsid w:val="007D28C9"/>
    <w:rsid w:val="007D3AE5"/>
    <w:rsid w:val="007D3CC8"/>
    <w:rsid w:val="007D62F9"/>
    <w:rsid w:val="007D63A4"/>
    <w:rsid w:val="007E1AA2"/>
    <w:rsid w:val="007E2F72"/>
    <w:rsid w:val="007E303C"/>
    <w:rsid w:val="007E4C1F"/>
    <w:rsid w:val="007F0759"/>
    <w:rsid w:val="007F25C0"/>
    <w:rsid w:val="007F26D5"/>
    <w:rsid w:val="007F5F52"/>
    <w:rsid w:val="007F768B"/>
    <w:rsid w:val="007F77C6"/>
    <w:rsid w:val="008003A1"/>
    <w:rsid w:val="008006B7"/>
    <w:rsid w:val="00800FDB"/>
    <w:rsid w:val="00802081"/>
    <w:rsid w:val="0080315C"/>
    <w:rsid w:val="00806461"/>
    <w:rsid w:val="0081096D"/>
    <w:rsid w:val="00810EAD"/>
    <w:rsid w:val="00811833"/>
    <w:rsid w:val="008174D4"/>
    <w:rsid w:val="00820FE6"/>
    <w:rsid w:val="00821A66"/>
    <w:rsid w:val="00822476"/>
    <w:rsid w:val="00822882"/>
    <w:rsid w:val="00825F68"/>
    <w:rsid w:val="00826B12"/>
    <w:rsid w:val="00835408"/>
    <w:rsid w:val="00837CEF"/>
    <w:rsid w:val="00840035"/>
    <w:rsid w:val="008428A9"/>
    <w:rsid w:val="00844112"/>
    <w:rsid w:val="00844929"/>
    <w:rsid w:val="008456C9"/>
    <w:rsid w:val="0084611D"/>
    <w:rsid w:val="00850C62"/>
    <w:rsid w:val="00852E6D"/>
    <w:rsid w:val="00861D07"/>
    <w:rsid w:val="008620ED"/>
    <w:rsid w:val="00863011"/>
    <w:rsid w:val="00865075"/>
    <w:rsid w:val="008673EE"/>
    <w:rsid w:val="0086748F"/>
    <w:rsid w:val="0087034D"/>
    <w:rsid w:val="008712A3"/>
    <w:rsid w:val="00872CE4"/>
    <w:rsid w:val="008740FD"/>
    <w:rsid w:val="0087718C"/>
    <w:rsid w:val="00877B62"/>
    <w:rsid w:val="00881015"/>
    <w:rsid w:val="008810B0"/>
    <w:rsid w:val="008819B6"/>
    <w:rsid w:val="00881AAC"/>
    <w:rsid w:val="0088256A"/>
    <w:rsid w:val="008836B7"/>
    <w:rsid w:val="008841D3"/>
    <w:rsid w:val="00884359"/>
    <w:rsid w:val="00887DE6"/>
    <w:rsid w:val="00890172"/>
    <w:rsid w:val="008911D2"/>
    <w:rsid w:val="00893048"/>
    <w:rsid w:val="00894C2A"/>
    <w:rsid w:val="00896B65"/>
    <w:rsid w:val="008975BC"/>
    <w:rsid w:val="00897708"/>
    <w:rsid w:val="00897D88"/>
    <w:rsid w:val="00897E6F"/>
    <w:rsid w:val="008A2EC6"/>
    <w:rsid w:val="008A2F16"/>
    <w:rsid w:val="008A6D69"/>
    <w:rsid w:val="008B0A73"/>
    <w:rsid w:val="008B1823"/>
    <w:rsid w:val="008B2EAD"/>
    <w:rsid w:val="008B6226"/>
    <w:rsid w:val="008B6A4A"/>
    <w:rsid w:val="008B6E16"/>
    <w:rsid w:val="008B7110"/>
    <w:rsid w:val="008C2029"/>
    <w:rsid w:val="008C503E"/>
    <w:rsid w:val="008C50F5"/>
    <w:rsid w:val="008C61D6"/>
    <w:rsid w:val="008C64F1"/>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47DC"/>
    <w:rsid w:val="008E7896"/>
    <w:rsid w:val="008E7D2D"/>
    <w:rsid w:val="008F2477"/>
    <w:rsid w:val="008F623C"/>
    <w:rsid w:val="008F7815"/>
    <w:rsid w:val="00900F02"/>
    <w:rsid w:val="009010F0"/>
    <w:rsid w:val="00901162"/>
    <w:rsid w:val="0090223A"/>
    <w:rsid w:val="009028E2"/>
    <w:rsid w:val="00914EAB"/>
    <w:rsid w:val="00916E6C"/>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2748"/>
    <w:rsid w:val="009664D5"/>
    <w:rsid w:val="00970C69"/>
    <w:rsid w:val="00971F1C"/>
    <w:rsid w:val="0097211D"/>
    <w:rsid w:val="00972E10"/>
    <w:rsid w:val="009746CA"/>
    <w:rsid w:val="00981963"/>
    <w:rsid w:val="00983C82"/>
    <w:rsid w:val="00984520"/>
    <w:rsid w:val="0098545C"/>
    <w:rsid w:val="00985BF7"/>
    <w:rsid w:val="00990071"/>
    <w:rsid w:val="00991EA9"/>
    <w:rsid w:val="00992BA2"/>
    <w:rsid w:val="00992F83"/>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D1EA4"/>
    <w:rsid w:val="009D27AA"/>
    <w:rsid w:val="009D4991"/>
    <w:rsid w:val="009D5BB5"/>
    <w:rsid w:val="009D696D"/>
    <w:rsid w:val="009D6DAB"/>
    <w:rsid w:val="009D6ED2"/>
    <w:rsid w:val="009E0F1A"/>
    <w:rsid w:val="009E140D"/>
    <w:rsid w:val="009E1E55"/>
    <w:rsid w:val="009E4465"/>
    <w:rsid w:val="009E6401"/>
    <w:rsid w:val="009E6C54"/>
    <w:rsid w:val="009E6D44"/>
    <w:rsid w:val="009F2A25"/>
    <w:rsid w:val="009F5235"/>
    <w:rsid w:val="009F531A"/>
    <w:rsid w:val="009F6550"/>
    <w:rsid w:val="009F786E"/>
    <w:rsid w:val="00A00902"/>
    <w:rsid w:val="00A039FF"/>
    <w:rsid w:val="00A05ACE"/>
    <w:rsid w:val="00A07117"/>
    <w:rsid w:val="00A14AE3"/>
    <w:rsid w:val="00A16675"/>
    <w:rsid w:val="00A22642"/>
    <w:rsid w:val="00A22CD6"/>
    <w:rsid w:val="00A22D4B"/>
    <w:rsid w:val="00A234EC"/>
    <w:rsid w:val="00A2417A"/>
    <w:rsid w:val="00A27804"/>
    <w:rsid w:val="00A3193E"/>
    <w:rsid w:val="00A32FDA"/>
    <w:rsid w:val="00A36AB5"/>
    <w:rsid w:val="00A37DDA"/>
    <w:rsid w:val="00A411D1"/>
    <w:rsid w:val="00A41566"/>
    <w:rsid w:val="00A43389"/>
    <w:rsid w:val="00A43C40"/>
    <w:rsid w:val="00A43E71"/>
    <w:rsid w:val="00A45753"/>
    <w:rsid w:val="00A47B15"/>
    <w:rsid w:val="00A47E47"/>
    <w:rsid w:val="00A52F84"/>
    <w:rsid w:val="00A53DD8"/>
    <w:rsid w:val="00A56AA4"/>
    <w:rsid w:val="00A56B05"/>
    <w:rsid w:val="00A57678"/>
    <w:rsid w:val="00A60E2F"/>
    <w:rsid w:val="00A63127"/>
    <w:rsid w:val="00A63284"/>
    <w:rsid w:val="00A64CB8"/>
    <w:rsid w:val="00A67018"/>
    <w:rsid w:val="00A672F3"/>
    <w:rsid w:val="00A673DC"/>
    <w:rsid w:val="00A7076E"/>
    <w:rsid w:val="00A709BE"/>
    <w:rsid w:val="00A70E23"/>
    <w:rsid w:val="00A70EAB"/>
    <w:rsid w:val="00A7162E"/>
    <w:rsid w:val="00A72D71"/>
    <w:rsid w:val="00A75705"/>
    <w:rsid w:val="00A7634D"/>
    <w:rsid w:val="00A77C69"/>
    <w:rsid w:val="00A83953"/>
    <w:rsid w:val="00A840C5"/>
    <w:rsid w:val="00A903B6"/>
    <w:rsid w:val="00A90F4F"/>
    <w:rsid w:val="00A947AA"/>
    <w:rsid w:val="00A96748"/>
    <w:rsid w:val="00A96FD9"/>
    <w:rsid w:val="00AA1B53"/>
    <w:rsid w:val="00AA3556"/>
    <w:rsid w:val="00AA35FD"/>
    <w:rsid w:val="00AA3DB7"/>
    <w:rsid w:val="00AA72C6"/>
    <w:rsid w:val="00AB2DFA"/>
    <w:rsid w:val="00AB3012"/>
    <w:rsid w:val="00AB321C"/>
    <w:rsid w:val="00AB3DEF"/>
    <w:rsid w:val="00AB42E2"/>
    <w:rsid w:val="00AB6221"/>
    <w:rsid w:val="00AB67DE"/>
    <w:rsid w:val="00AB688F"/>
    <w:rsid w:val="00AB75EA"/>
    <w:rsid w:val="00AB7AA2"/>
    <w:rsid w:val="00AC05F8"/>
    <w:rsid w:val="00AC4BC1"/>
    <w:rsid w:val="00AC588F"/>
    <w:rsid w:val="00AC5E4B"/>
    <w:rsid w:val="00AD04BD"/>
    <w:rsid w:val="00AD1A03"/>
    <w:rsid w:val="00AD7214"/>
    <w:rsid w:val="00AE1066"/>
    <w:rsid w:val="00AE19D8"/>
    <w:rsid w:val="00AE4518"/>
    <w:rsid w:val="00AE5D7F"/>
    <w:rsid w:val="00AE79F0"/>
    <w:rsid w:val="00AE7D44"/>
    <w:rsid w:val="00AF4FE7"/>
    <w:rsid w:val="00AF6EC1"/>
    <w:rsid w:val="00AF7CF5"/>
    <w:rsid w:val="00B00331"/>
    <w:rsid w:val="00B0116D"/>
    <w:rsid w:val="00B01A80"/>
    <w:rsid w:val="00B05412"/>
    <w:rsid w:val="00B07C27"/>
    <w:rsid w:val="00B10DE1"/>
    <w:rsid w:val="00B10FF8"/>
    <w:rsid w:val="00B111B9"/>
    <w:rsid w:val="00B136E9"/>
    <w:rsid w:val="00B203C4"/>
    <w:rsid w:val="00B22995"/>
    <w:rsid w:val="00B22A61"/>
    <w:rsid w:val="00B22E81"/>
    <w:rsid w:val="00B23996"/>
    <w:rsid w:val="00B23CB2"/>
    <w:rsid w:val="00B2561A"/>
    <w:rsid w:val="00B25A64"/>
    <w:rsid w:val="00B25BE8"/>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6BBB"/>
    <w:rsid w:val="00B77142"/>
    <w:rsid w:val="00B7766E"/>
    <w:rsid w:val="00B80A2C"/>
    <w:rsid w:val="00B81F60"/>
    <w:rsid w:val="00B83F8E"/>
    <w:rsid w:val="00B841AC"/>
    <w:rsid w:val="00B865B0"/>
    <w:rsid w:val="00B8760C"/>
    <w:rsid w:val="00B90780"/>
    <w:rsid w:val="00B918B8"/>
    <w:rsid w:val="00B9240D"/>
    <w:rsid w:val="00B94BB8"/>
    <w:rsid w:val="00B94C15"/>
    <w:rsid w:val="00B95E5A"/>
    <w:rsid w:val="00BA22A8"/>
    <w:rsid w:val="00BA3539"/>
    <w:rsid w:val="00BA3E48"/>
    <w:rsid w:val="00BB1EB3"/>
    <w:rsid w:val="00BB2678"/>
    <w:rsid w:val="00BC2343"/>
    <w:rsid w:val="00BC76D5"/>
    <w:rsid w:val="00BD18B8"/>
    <w:rsid w:val="00BD30C8"/>
    <w:rsid w:val="00BD3EB4"/>
    <w:rsid w:val="00BD5C65"/>
    <w:rsid w:val="00BE01CA"/>
    <w:rsid w:val="00BE6018"/>
    <w:rsid w:val="00BF1DD5"/>
    <w:rsid w:val="00BF1F57"/>
    <w:rsid w:val="00BF3EA0"/>
    <w:rsid w:val="00BF4086"/>
    <w:rsid w:val="00BF426C"/>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17C9B"/>
    <w:rsid w:val="00C22CCE"/>
    <w:rsid w:val="00C23BA2"/>
    <w:rsid w:val="00C25D0C"/>
    <w:rsid w:val="00C32AF2"/>
    <w:rsid w:val="00C33204"/>
    <w:rsid w:val="00C338EB"/>
    <w:rsid w:val="00C33E2E"/>
    <w:rsid w:val="00C3465D"/>
    <w:rsid w:val="00C379E9"/>
    <w:rsid w:val="00C37E98"/>
    <w:rsid w:val="00C42431"/>
    <w:rsid w:val="00C43324"/>
    <w:rsid w:val="00C439FB"/>
    <w:rsid w:val="00C43F23"/>
    <w:rsid w:val="00C4675D"/>
    <w:rsid w:val="00C50011"/>
    <w:rsid w:val="00C503D3"/>
    <w:rsid w:val="00C62509"/>
    <w:rsid w:val="00C645E6"/>
    <w:rsid w:val="00C64D82"/>
    <w:rsid w:val="00C64FBC"/>
    <w:rsid w:val="00C65A83"/>
    <w:rsid w:val="00C67DCB"/>
    <w:rsid w:val="00C736BB"/>
    <w:rsid w:val="00C737E8"/>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78F"/>
    <w:rsid w:val="00CA3977"/>
    <w:rsid w:val="00CA4176"/>
    <w:rsid w:val="00CA5927"/>
    <w:rsid w:val="00CA79EC"/>
    <w:rsid w:val="00CB39C2"/>
    <w:rsid w:val="00CB44DE"/>
    <w:rsid w:val="00CB4C8C"/>
    <w:rsid w:val="00CB6782"/>
    <w:rsid w:val="00CB7629"/>
    <w:rsid w:val="00CC00EC"/>
    <w:rsid w:val="00CC080A"/>
    <w:rsid w:val="00CC3C04"/>
    <w:rsid w:val="00CE3C13"/>
    <w:rsid w:val="00CE4499"/>
    <w:rsid w:val="00CE5277"/>
    <w:rsid w:val="00CE6358"/>
    <w:rsid w:val="00CE7FC6"/>
    <w:rsid w:val="00CF0C6C"/>
    <w:rsid w:val="00CF2D54"/>
    <w:rsid w:val="00CF622A"/>
    <w:rsid w:val="00D01324"/>
    <w:rsid w:val="00D024C6"/>
    <w:rsid w:val="00D02BA5"/>
    <w:rsid w:val="00D03538"/>
    <w:rsid w:val="00D03B67"/>
    <w:rsid w:val="00D049B8"/>
    <w:rsid w:val="00D0516C"/>
    <w:rsid w:val="00D05EE7"/>
    <w:rsid w:val="00D06394"/>
    <w:rsid w:val="00D068D0"/>
    <w:rsid w:val="00D078D1"/>
    <w:rsid w:val="00D129A8"/>
    <w:rsid w:val="00D12FB9"/>
    <w:rsid w:val="00D13987"/>
    <w:rsid w:val="00D17C3A"/>
    <w:rsid w:val="00D200BD"/>
    <w:rsid w:val="00D22399"/>
    <w:rsid w:val="00D33751"/>
    <w:rsid w:val="00D36F6E"/>
    <w:rsid w:val="00D37343"/>
    <w:rsid w:val="00D4205E"/>
    <w:rsid w:val="00D565EC"/>
    <w:rsid w:val="00D61982"/>
    <w:rsid w:val="00D6226F"/>
    <w:rsid w:val="00D6267A"/>
    <w:rsid w:val="00D674CF"/>
    <w:rsid w:val="00D678DF"/>
    <w:rsid w:val="00D67D12"/>
    <w:rsid w:val="00D70923"/>
    <w:rsid w:val="00D74F09"/>
    <w:rsid w:val="00D754C0"/>
    <w:rsid w:val="00D75673"/>
    <w:rsid w:val="00D7585A"/>
    <w:rsid w:val="00D76D01"/>
    <w:rsid w:val="00D7728B"/>
    <w:rsid w:val="00D80618"/>
    <w:rsid w:val="00D82494"/>
    <w:rsid w:val="00D84A4B"/>
    <w:rsid w:val="00D85E13"/>
    <w:rsid w:val="00D863FA"/>
    <w:rsid w:val="00D8669F"/>
    <w:rsid w:val="00D92168"/>
    <w:rsid w:val="00D93CDD"/>
    <w:rsid w:val="00D940B5"/>
    <w:rsid w:val="00D95CB0"/>
    <w:rsid w:val="00D95D81"/>
    <w:rsid w:val="00D977C0"/>
    <w:rsid w:val="00DA00A3"/>
    <w:rsid w:val="00DA13F3"/>
    <w:rsid w:val="00DA27D4"/>
    <w:rsid w:val="00DA2DE3"/>
    <w:rsid w:val="00DA716A"/>
    <w:rsid w:val="00DB1841"/>
    <w:rsid w:val="00DB1F4F"/>
    <w:rsid w:val="00DB3360"/>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4456"/>
    <w:rsid w:val="00DF63FA"/>
    <w:rsid w:val="00E012CC"/>
    <w:rsid w:val="00E02B71"/>
    <w:rsid w:val="00E02DEB"/>
    <w:rsid w:val="00E042A1"/>
    <w:rsid w:val="00E104FA"/>
    <w:rsid w:val="00E10506"/>
    <w:rsid w:val="00E1082A"/>
    <w:rsid w:val="00E11166"/>
    <w:rsid w:val="00E13182"/>
    <w:rsid w:val="00E13203"/>
    <w:rsid w:val="00E15383"/>
    <w:rsid w:val="00E1738C"/>
    <w:rsid w:val="00E202B6"/>
    <w:rsid w:val="00E22D28"/>
    <w:rsid w:val="00E230E3"/>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6B86"/>
    <w:rsid w:val="00E81AFF"/>
    <w:rsid w:val="00E82EB9"/>
    <w:rsid w:val="00E8342F"/>
    <w:rsid w:val="00E847A7"/>
    <w:rsid w:val="00E87C2F"/>
    <w:rsid w:val="00E906B4"/>
    <w:rsid w:val="00E9095B"/>
    <w:rsid w:val="00E90CF1"/>
    <w:rsid w:val="00E9399B"/>
    <w:rsid w:val="00E94008"/>
    <w:rsid w:val="00E94762"/>
    <w:rsid w:val="00E94AA2"/>
    <w:rsid w:val="00E96B52"/>
    <w:rsid w:val="00EA2244"/>
    <w:rsid w:val="00EA411E"/>
    <w:rsid w:val="00EA5FC0"/>
    <w:rsid w:val="00EA6FA7"/>
    <w:rsid w:val="00EB067F"/>
    <w:rsid w:val="00EB16A0"/>
    <w:rsid w:val="00EB1F02"/>
    <w:rsid w:val="00EB51FD"/>
    <w:rsid w:val="00EB5BC5"/>
    <w:rsid w:val="00EB72C1"/>
    <w:rsid w:val="00EC086C"/>
    <w:rsid w:val="00EC42D0"/>
    <w:rsid w:val="00EC4BA3"/>
    <w:rsid w:val="00EC5CE6"/>
    <w:rsid w:val="00EC638F"/>
    <w:rsid w:val="00EE2ACE"/>
    <w:rsid w:val="00EE4874"/>
    <w:rsid w:val="00EE79A6"/>
    <w:rsid w:val="00EE7FB4"/>
    <w:rsid w:val="00EF0D26"/>
    <w:rsid w:val="00EF0D86"/>
    <w:rsid w:val="00EF22FE"/>
    <w:rsid w:val="00EF76AC"/>
    <w:rsid w:val="00EF7C29"/>
    <w:rsid w:val="00F005A0"/>
    <w:rsid w:val="00F01D97"/>
    <w:rsid w:val="00F02435"/>
    <w:rsid w:val="00F0542C"/>
    <w:rsid w:val="00F058BE"/>
    <w:rsid w:val="00F077D2"/>
    <w:rsid w:val="00F11352"/>
    <w:rsid w:val="00F13FCD"/>
    <w:rsid w:val="00F1498D"/>
    <w:rsid w:val="00F14D34"/>
    <w:rsid w:val="00F14DDF"/>
    <w:rsid w:val="00F152AD"/>
    <w:rsid w:val="00F154A8"/>
    <w:rsid w:val="00F158FF"/>
    <w:rsid w:val="00F16CF0"/>
    <w:rsid w:val="00F20BE9"/>
    <w:rsid w:val="00F2285F"/>
    <w:rsid w:val="00F22F00"/>
    <w:rsid w:val="00F23155"/>
    <w:rsid w:val="00F23F0E"/>
    <w:rsid w:val="00F24E0E"/>
    <w:rsid w:val="00F26693"/>
    <w:rsid w:val="00F36130"/>
    <w:rsid w:val="00F40444"/>
    <w:rsid w:val="00F4071F"/>
    <w:rsid w:val="00F40868"/>
    <w:rsid w:val="00F423BD"/>
    <w:rsid w:val="00F432FF"/>
    <w:rsid w:val="00F4715C"/>
    <w:rsid w:val="00F5013F"/>
    <w:rsid w:val="00F50707"/>
    <w:rsid w:val="00F54869"/>
    <w:rsid w:val="00F556B2"/>
    <w:rsid w:val="00F57187"/>
    <w:rsid w:val="00F574E5"/>
    <w:rsid w:val="00F5754B"/>
    <w:rsid w:val="00F576DE"/>
    <w:rsid w:val="00F63BF7"/>
    <w:rsid w:val="00F65617"/>
    <w:rsid w:val="00F70316"/>
    <w:rsid w:val="00F710BE"/>
    <w:rsid w:val="00F72CEF"/>
    <w:rsid w:val="00F736D2"/>
    <w:rsid w:val="00F7564C"/>
    <w:rsid w:val="00F76220"/>
    <w:rsid w:val="00F769BE"/>
    <w:rsid w:val="00F82E6B"/>
    <w:rsid w:val="00F93C09"/>
    <w:rsid w:val="00F951CF"/>
    <w:rsid w:val="00F97B71"/>
    <w:rsid w:val="00FA1925"/>
    <w:rsid w:val="00FA2DDA"/>
    <w:rsid w:val="00FA34CA"/>
    <w:rsid w:val="00FA3CC8"/>
    <w:rsid w:val="00FA4A55"/>
    <w:rsid w:val="00FA4D4F"/>
    <w:rsid w:val="00FA54E8"/>
    <w:rsid w:val="00FA5CA2"/>
    <w:rsid w:val="00FA6052"/>
    <w:rsid w:val="00FB0D88"/>
    <w:rsid w:val="00FB2D17"/>
    <w:rsid w:val="00FB2F69"/>
    <w:rsid w:val="00FB39F7"/>
    <w:rsid w:val="00FB3BCA"/>
    <w:rsid w:val="00FB45FF"/>
    <w:rsid w:val="00FB4762"/>
    <w:rsid w:val="00FB47E0"/>
    <w:rsid w:val="00FB56F5"/>
    <w:rsid w:val="00FB5D97"/>
    <w:rsid w:val="00FB7363"/>
    <w:rsid w:val="00FC1CA5"/>
    <w:rsid w:val="00FC2979"/>
    <w:rsid w:val="00FC45F4"/>
    <w:rsid w:val="00FC55D1"/>
    <w:rsid w:val="00FD1C3C"/>
    <w:rsid w:val="00FD3532"/>
    <w:rsid w:val="00FD38A8"/>
    <w:rsid w:val="00FD6AC8"/>
    <w:rsid w:val="00FD7298"/>
    <w:rsid w:val="00FE308B"/>
    <w:rsid w:val="00FE3EA1"/>
    <w:rsid w:val="00FE4818"/>
    <w:rsid w:val="00FE5D80"/>
    <w:rsid w:val="00FF665B"/>
    <w:rsid w:val="00FF6ADB"/>
    <w:rsid w:val="00FF70FD"/>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5D15D1A8-6B0E-42DE-A4EA-76784EEA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EB72C1"/>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locked/>
    <w:rsid w:val="00A7634D"/>
    <w:rPr>
      <w:rFonts w:cs="Times New Roman"/>
      <w:b/>
      <w:bCs/>
      <w:kern w:val="44"/>
      <w:sz w:val="44"/>
      <w:szCs w:val="44"/>
    </w:rPr>
  </w:style>
  <w:style w:type="character" w:customStyle="1" w:styleId="2Char">
    <w:name w:val="标题 2 Char"/>
    <w:link w:val="2"/>
    <w:uiPriority w:val="9"/>
    <w:semiHidden/>
    <w:rsid w:val="00525D36"/>
    <w:rPr>
      <w:rFonts w:ascii="Cambria" w:eastAsia="宋体" w:hAnsi="Cambria" w:cs="Times New Roman"/>
      <w:b/>
      <w:bCs/>
      <w:sz w:val="32"/>
      <w:szCs w:val="32"/>
    </w:rPr>
  </w:style>
  <w:style w:type="paragraph" w:styleId="a0">
    <w:name w:val="Normal Indent"/>
    <w:basedOn w:val="a"/>
    <w:uiPriority w:val="99"/>
    <w:rsid w:val="00EB72C1"/>
    <w:pPr>
      <w:ind w:firstLineChars="200" w:firstLine="420"/>
    </w:pPr>
  </w:style>
  <w:style w:type="paragraph" w:styleId="a4">
    <w:name w:val="Body Text Indent"/>
    <w:basedOn w:val="a"/>
    <w:link w:val="Char"/>
    <w:uiPriority w:val="99"/>
    <w:rsid w:val="00EB72C1"/>
    <w:pPr>
      <w:widowControl/>
      <w:spacing w:before="100" w:beforeAutospacing="1" w:after="100" w:afterAutospacing="1"/>
      <w:jc w:val="left"/>
    </w:pPr>
    <w:rPr>
      <w:kern w:val="0"/>
      <w:sz w:val="20"/>
    </w:rPr>
  </w:style>
  <w:style w:type="character" w:customStyle="1" w:styleId="Char">
    <w:name w:val="正文文本缩进 Char"/>
    <w:link w:val="a4"/>
    <w:uiPriority w:val="99"/>
    <w:semiHidden/>
    <w:rsid w:val="00525D36"/>
    <w:rPr>
      <w:szCs w:val="24"/>
    </w:rPr>
  </w:style>
  <w:style w:type="paragraph" w:styleId="a5">
    <w:name w:val="Plain Text"/>
    <w:basedOn w:val="a"/>
    <w:link w:val="Char0"/>
    <w:uiPriority w:val="99"/>
    <w:rsid w:val="00EB72C1"/>
    <w:rPr>
      <w:rFonts w:ascii="宋体" w:hAnsi="Courier New"/>
      <w:szCs w:val="20"/>
    </w:rPr>
  </w:style>
  <w:style w:type="character" w:customStyle="1" w:styleId="Char0">
    <w:name w:val="纯文本 Char"/>
    <w:link w:val="a5"/>
    <w:uiPriority w:val="99"/>
    <w:locked/>
    <w:rsid w:val="00A96FD9"/>
    <w:rPr>
      <w:rFonts w:ascii="宋体" w:hAnsi="Courier New"/>
      <w:kern w:val="2"/>
      <w:sz w:val="21"/>
    </w:rPr>
  </w:style>
  <w:style w:type="paragraph" w:styleId="20">
    <w:name w:val="Body Text Indent 2"/>
    <w:basedOn w:val="a"/>
    <w:link w:val="2Char0"/>
    <w:uiPriority w:val="99"/>
    <w:rsid w:val="00EB72C1"/>
    <w:pPr>
      <w:spacing w:line="560" w:lineRule="exact"/>
      <w:ind w:firstLineChars="200" w:firstLine="480"/>
    </w:pPr>
    <w:rPr>
      <w:kern w:val="0"/>
      <w:sz w:val="20"/>
    </w:rPr>
  </w:style>
  <w:style w:type="character" w:customStyle="1" w:styleId="2Char0">
    <w:name w:val="正文文本缩进 2 Char"/>
    <w:link w:val="20"/>
    <w:uiPriority w:val="99"/>
    <w:semiHidden/>
    <w:rsid w:val="00525D36"/>
    <w:rPr>
      <w:szCs w:val="24"/>
    </w:rPr>
  </w:style>
  <w:style w:type="paragraph" w:styleId="a6">
    <w:name w:val="footer"/>
    <w:basedOn w:val="a"/>
    <w:link w:val="Char1"/>
    <w:uiPriority w:val="99"/>
    <w:rsid w:val="00EB72C1"/>
    <w:pPr>
      <w:tabs>
        <w:tab w:val="center" w:pos="4153"/>
        <w:tab w:val="right" w:pos="8306"/>
      </w:tabs>
      <w:snapToGrid w:val="0"/>
      <w:jc w:val="left"/>
    </w:pPr>
    <w:rPr>
      <w:kern w:val="0"/>
      <w:sz w:val="18"/>
      <w:szCs w:val="18"/>
    </w:rPr>
  </w:style>
  <w:style w:type="character" w:customStyle="1" w:styleId="Char1">
    <w:name w:val="页脚 Char"/>
    <w:link w:val="a6"/>
    <w:uiPriority w:val="99"/>
    <w:semiHidden/>
    <w:rsid w:val="00525D36"/>
    <w:rPr>
      <w:sz w:val="18"/>
      <w:szCs w:val="18"/>
    </w:rPr>
  </w:style>
  <w:style w:type="character" w:styleId="a7">
    <w:name w:val="page number"/>
    <w:uiPriority w:val="99"/>
    <w:rsid w:val="00EB72C1"/>
    <w:rPr>
      <w:rFonts w:cs="Times New Roman"/>
    </w:rPr>
  </w:style>
  <w:style w:type="character" w:styleId="a8">
    <w:name w:val="Hyperlink"/>
    <w:uiPriority w:val="99"/>
    <w:rsid w:val="00EB72C1"/>
    <w:rPr>
      <w:rFonts w:cs="Times New Roman"/>
      <w:color w:val="0000FF"/>
      <w:u w:val="single"/>
    </w:rPr>
  </w:style>
  <w:style w:type="paragraph" w:styleId="3">
    <w:name w:val="Body Text Indent 3"/>
    <w:basedOn w:val="a"/>
    <w:link w:val="3Char"/>
    <w:uiPriority w:val="99"/>
    <w:rsid w:val="00EB72C1"/>
    <w:pPr>
      <w:spacing w:line="560" w:lineRule="exact"/>
      <w:ind w:firstLineChars="200" w:firstLine="420"/>
    </w:pPr>
    <w:rPr>
      <w:kern w:val="0"/>
      <w:sz w:val="16"/>
      <w:szCs w:val="16"/>
    </w:rPr>
  </w:style>
  <w:style w:type="character" w:customStyle="1" w:styleId="3Char">
    <w:name w:val="正文文本缩进 3 Char"/>
    <w:link w:val="3"/>
    <w:uiPriority w:val="99"/>
    <w:semiHidden/>
    <w:rsid w:val="00525D36"/>
    <w:rPr>
      <w:sz w:val="16"/>
      <w:szCs w:val="16"/>
    </w:rPr>
  </w:style>
  <w:style w:type="paragraph" w:styleId="a9">
    <w:name w:val="header"/>
    <w:basedOn w:val="a"/>
    <w:link w:val="Char2"/>
    <w:uiPriority w:val="99"/>
    <w:rsid w:val="00EB72C1"/>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D1356"/>
    <w:rPr>
      <w:rFonts w:cs="Times New Roman"/>
      <w:kern w:val="2"/>
      <w:sz w:val="18"/>
      <w:szCs w:val="18"/>
    </w:rPr>
  </w:style>
  <w:style w:type="character" w:styleId="aa">
    <w:name w:val="FollowedHyperlink"/>
    <w:uiPriority w:val="99"/>
    <w:rsid w:val="00EB72C1"/>
    <w:rPr>
      <w:rFonts w:cs="Times New Roman"/>
      <w:color w:val="800080"/>
      <w:u w:val="single"/>
    </w:rPr>
  </w:style>
  <w:style w:type="paragraph" w:styleId="ab">
    <w:name w:val="List"/>
    <w:basedOn w:val="ac"/>
    <w:uiPriority w:val="99"/>
    <w:rsid w:val="00EB72C1"/>
    <w:pPr>
      <w:spacing w:after="220" w:line="220" w:lineRule="atLeast"/>
      <w:ind w:left="1440" w:hanging="360"/>
    </w:pPr>
    <w:rPr>
      <w:szCs w:val="20"/>
    </w:rPr>
  </w:style>
  <w:style w:type="paragraph" w:styleId="ac">
    <w:name w:val="Body Text"/>
    <w:basedOn w:val="a"/>
    <w:link w:val="Char3"/>
    <w:uiPriority w:val="99"/>
    <w:rsid w:val="00EB72C1"/>
    <w:pPr>
      <w:spacing w:after="120"/>
    </w:pPr>
    <w:rPr>
      <w:kern w:val="0"/>
      <w:sz w:val="20"/>
    </w:rPr>
  </w:style>
  <w:style w:type="character" w:customStyle="1" w:styleId="Char3">
    <w:name w:val="正文文本 Char"/>
    <w:link w:val="ac"/>
    <w:uiPriority w:val="99"/>
    <w:semiHidden/>
    <w:rsid w:val="00525D36"/>
    <w:rPr>
      <w:szCs w:val="24"/>
    </w:rPr>
  </w:style>
  <w:style w:type="paragraph" w:styleId="ad">
    <w:name w:val="Date"/>
    <w:basedOn w:val="a"/>
    <w:next w:val="a"/>
    <w:link w:val="Char4"/>
    <w:rsid w:val="00EB72C1"/>
    <w:rPr>
      <w:sz w:val="24"/>
      <w:szCs w:val="20"/>
    </w:rPr>
  </w:style>
  <w:style w:type="character" w:customStyle="1" w:styleId="Char4">
    <w:name w:val="日期 Char"/>
    <w:link w:val="ad"/>
    <w:locked/>
    <w:rsid w:val="00C503D3"/>
    <w:rPr>
      <w:rFonts w:cs="Times New Roman"/>
      <w:kern w:val="2"/>
      <w:sz w:val="24"/>
    </w:rPr>
  </w:style>
  <w:style w:type="character" w:customStyle="1" w:styleId="c1">
    <w:name w:val="c1"/>
    <w:uiPriority w:val="99"/>
    <w:rsid w:val="00EB72C1"/>
    <w:rPr>
      <w:color w:val="000000"/>
      <w:sz w:val="18"/>
    </w:rPr>
  </w:style>
  <w:style w:type="paragraph" w:styleId="10">
    <w:name w:val="index 1"/>
    <w:basedOn w:val="a"/>
    <w:next w:val="a"/>
    <w:autoRedefine/>
    <w:uiPriority w:val="99"/>
    <w:semiHidden/>
    <w:rsid w:val="00EB72C1"/>
    <w:pPr>
      <w:jc w:val="right"/>
    </w:pPr>
    <w:rPr>
      <w:color w:val="008000"/>
    </w:rPr>
  </w:style>
  <w:style w:type="paragraph" w:customStyle="1" w:styleId="font5">
    <w:name w:val="font5"/>
    <w:basedOn w:val="a"/>
    <w:uiPriority w:val="99"/>
    <w:rsid w:val="00EB72C1"/>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EB72C1"/>
    <w:rPr>
      <w:kern w:val="0"/>
      <w:sz w:val="0"/>
      <w:szCs w:val="0"/>
    </w:rPr>
  </w:style>
  <w:style w:type="character" w:customStyle="1" w:styleId="Char5">
    <w:name w:val="批注框文本 Char"/>
    <w:link w:val="ae"/>
    <w:uiPriority w:val="99"/>
    <w:semiHidden/>
    <w:rsid w:val="00525D36"/>
    <w:rPr>
      <w:sz w:val="0"/>
      <w:szCs w:val="0"/>
    </w:rPr>
  </w:style>
  <w:style w:type="character" w:styleId="af">
    <w:name w:val="annotation reference"/>
    <w:uiPriority w:val="99"/>
    <w:semiHidden/>
    <w:rsid w:val="00EB72C1"/>
    <w:rPr>
      <w:rFonts w:cs="Times New Roman"/>
      <w:sz w:val="21"/>
    </w:rPr>
  </w:style>
  <w:style w:type="paragraph" w:styleId="af0">
    <w:name w:val="annotation text"/>
    <w:basedOn w:val="a"/>
    <w:link w:val="Char6"/>
    <w:uiPriority w:val="99"/>
    <w:semiHidden/>
    <w:rsid w:val="00EB72C1"/>
    <w:pPr>
      <w:jc w:val="left"/>
    </w:pPr>
    <w:rPr>
      <w:kern w:val="0"/>
      <w:sz w:val="20"/>
    </w:rPr>
  </w:style>
  <w:style w:type="character" w:customStyle="1" w:styleId="Char6">
    <w:name w:val="批注文字 Char"/>
    <w:link w:val="af0"/>
    <w:uiPriority w:val="99"/>
    <w:semiHidden/>
    <w:rsid w:val="00525D36"/>
    <w:rPr>
      <w:szCs w:val="24"/>
    </w:rPr>
  </w:style>
  <w:style w:type="paragraph" w:styleId="af1">
    <w:name w:val="annotation subject"/>
    <w:basedOn w:val="af0"/>
    <w:next w:val="af0"/>
    <w:link w:val="Char7"/>
    <w:uiPriority w:val="99"/>
    <w:semiHidden/>
    <w:rsid w:val="00EB72C1"/>
    <w:rPr>
      <w:b/>
      <w:bCs/>
    </w:rPr>
  </w:style>
  <w:style w:type="character" w:customStyle="1" w:styleId="Char7">
    <w:name w:val="批注主题 Char"/>
    <w:link w:val="af1"/>
    <w:uiPriority w:val="99"/>
    <w:semiHidden/>
    <w:rsid w:val="00525D36"/>
    <w:rPr>
      <w:b/>
      <w:bCs/>
      <w:szCs w:val="24"/>
    </w:rPr>
  </w:style>
  <w:style w:type="paragraph" w:customStyle="1" w:styleId="Char8">
    <w:name w:val="Char"/>
    <w:basedOn w:val="a"/>
    <w:uiPriority w:val="99"/>
    <w:rsid w:val="00EB72C1"/>
  </w:style>
  <w:style w:type="paragraph" w:styleId="af2">
    <w:name w:val="Document Map"/>
    <w:basedOn w:val="a"/>
    <w:link w:val="Char9"/>
    <w:uiPriority w:val="99"/>
    <w:semiHidden/>
    <w:rsid w:val="000A549A"/>
    <w:pPr>
      <w:shd w:val="clear" w:color="auto" w:fill="000080"/>
    </w:pPr>
    <w:rPr>
      <w:kern w:val="0"/>
      <w:sz w:val="0"/>
      <w:szCs w:val="0"/>
    </w:rPr>
  </w:style>
  <w:style w:type="character" w:customStyle="1" w:styleId="Char9">
    <w:name w:val="文档结构图 Char"/>
    <w:link w:val="af2"/>
    <w:uiPriority w:val="99"/>
    <w:semiHidden/>
    <w:rsid w:val="00525D36"/>
    <w:rPr>
      <w:sz w:val="0"/>
      <w:szCs w:val="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rsid w:val="00525D36"/>
    <w:rPr>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character" w:styleId="af8">
    <w:name w:val="Strong"/>
    <w:uiPriority w:val="22"/>
    <w:qFormat/>
    <w:locked/>
    <w:rsid w:val="00DF4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96064">
      <w:marLeft w:val="0"/>
      <w:marRight w:val="0"/>
      <w:marTop w:val="0"/>
      <w:marBottom w:val="0"/>
      <w:divBdr>
        <w:top w:val="none" w:sz="0" w:space="0" w:color="auto"/>
        <w:left w:val="none" w:sz="0" w:space="0" w:color="auto"/>
        <w:bottom w:val="none" w:sz="0" w:space="0" w:color="auto"/>
        <w:right w:val="none" w:sz="0" w:space="0" w:color="auto"/>
      </w:divBdr>
    </w:div>
    <w:div w:id="886796065">
      <w:marLeft w:val="0"/>
      <w:marRight w:val="0"/>
      <w:marTop w:val="0"/>
      <w:marBottom w:val="0"/>
      <w:divBdr>
        <w:top w:val="none" w:sz="0" w:space="0" w:color="auto"/>
        <w:left w:val="none" w:sz="0" w:space="0" w:color="auto"/>
        <w:bottom w:val="none" w:sz="0" w:space="0" w:color="auto"/>
        <w:right w:val="none" w:sz="0" w:space="0" w:color="auto"/>
      </w:divBdr>
    </w:div>
    <w:div w:id="886796066">
      <w:marLeft w:val="0"/>
      <w:marRight w:val="0"/>
      <w:marTop w:val="0"/>
      <w:marBottom w:val="0"/>
      <w:divBdr>
        <w:top w:val="none" w:sz="0" w:space="0" w:color="auto"/>
        <w:left w:val="none" w:sz="0" w:space="0" w:color="auto"/>
        <w:bottom w:val="none" w:sz="0" w:space="0" w:color="auto"/>
        <w:right w:val="none" w:sz="0" w:space="0" w:color="auto"/>
      </w:divBdr>
    </w:div>
    <w:div w:id="886796067">
      <w:marLeft w:val="0"/>
      <w:marRight w:val="0"/>
      <w:marTop w:val="0"/>
      <w:marBottom w:val="0"/>
      <w:divBdr>
        <w:top w:val="none" w:sz="0" w:space="0" w:color="auto"/>
        <w:left w:val="none" w:sz="0" w:space="0" w:color="auto"/>
        <w:bottom w:val="none" w:sz="0" w:space="0" w:color="auto"/>
        <w:right w:val="none" w:sz="0" w:space="0" w:color="auto"/>
      </w:divBdr>
    </w:div>
    <w:div w:id="886796068">
      <w:marLeft w:val="0"/>
      <w:marRight w:val="0"/>
      <w:marTop w:val="0"/>
      <w:marBottom w:val="0"/>
      <w:divBdr>
        <w:top w:val="none" w:sz="0" w:space="0" w:color="auto"/>
        <w:left w:val="none" w:sz="0" w:space="0" w:color="auto"/>
        <w:bottom w:val="none" w:sz="0" w:space="0" w:color="auto"/>
        <w:right w:val="none" w:sz="0" w:space="0" w:color="auto"/>
      </w:divBdr>
    </w:div>
    <w:div w:id="886796069">
      <w:marLeft w:val="0"/>
      <w:marRight w:val="0"/>
      <w:marTop w:val="0"/>
      <w:marBottom w:val="0"/>
      <w:divBdr>
        <w:top w:val="none" w:sz="0" w:space="0" w:color="auto"/>
        <w:left w:val="none" w:sz="0" w:space="0" w:color="auto"/>
        <w:bottom w:val="none" w:sz="0" w:space="0" w:color="auto"/>
        <w:right w:val="none" w:sz="0" w:space="0" w:color="auto"/>
      </w:divBdr>
    </w:div>
    <w:div w:id="886796070">
      <w:marLeft w:val="0"/>
      <w:marRight w:val="0"/>
      <w:marTop w:val="0"/>
      <w:marBottom w:val="0"/>
      <w:divBdr>
        <w:top w:val="none" w:sz="0" w:space="0" w:color="auto"/>
        <w:left w:val="none" w:sz="0" w:space="0" w:color="auto"/>
        <w:bottom w:val="none" w:sz="0" w:space="0" w:color="auto"/>
        <w:right w:val="none" w:sz="0" w:space="0" w:color="auto"/>
      </w:divBdr>
    </w:div>
    <w:div w:id="886796072">
      <w:marLeft w:val="0"/>
      <w:marRight w:val="0"/>
      <w:marTop w:val="0"/>
      <w:marBottom w:val="0"/>
      <w:divBdr>
        <w:top w:val="none" w:sz="0" w:space="0" w:color="auto"/>
        <w:left w:val="none" w:sz="0" w:space="0" w:color="auto"/>
        <w:bottom w:val="none" w:sz="0" w:space="0" w:color="auto"/>
        <w:right w:val="none" w:sz="0" w:space="0" w:color="auto"/>
      </w:divBdr>
    </w:div>
    <w:div w:id="886796073">
      <w:marLeft w:val="0"/>
      <w:marRight w:val="0"/>
      <w:marTop w:val="0"/>
      <w:marBottom w:val="0"/>
      <w:divBdr>
        <w:top w:val="none" w:sz="0" w:space="0" w:color="auto"/>
        <w:left w:val="none" w:sz="0" w:space="0" w:color="auto"/>
        <w:bottom w:val="none" w:sz="0" w:space="0" w:color="auto"/>
        <w:right w:val="none" w:sz="0" w:space="0" w:color="auto"/>
      </w:divBdr>
      <w:divsChild>
        <w:div w:id="886796071">
          <w:marLeft w:val="0"/>
          <w:marRight w:val="0"/>
          <w:marTop w:val="0"/>
          <w:marBottom w:val="0"/>
          <w:divBdr>
            <w:top w:val="none" w:sz="0" w:space="0" w:color="auto"/>
            <w:left w:val="none" w:sz="0" w:space="0" w:color="auto"/>
            <w:bottom w:val="none" w:sz="0" w:space="0" w:color="auto"/>
            <w:right w:val="none" w:sz="0" w:space="0" w:color="auto"/>
          </w:divBdr>
        </w:div>
      </w:divsChild>
    </w:div>
    <w:div w:id="886796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73</TotalTime>
  <Pages>3</Pages>
  <Words>1057</Words>
  <Characters>6029</Characters>
  <Application>Microsoft Office Word</Application>
  <DocSecurity>0</DocSecurity>
  <Lines>50</Lines>
  <Paragraphs>14</Paragraphs>
  <ScaleCrop>false</ScaleCrop>
  <Company>TRT. Ltd. Co.</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114</cp:revision>
  <cp:lastPrinted>2019-10-16T13:57:00Z</cp:lastPrinted>
  <dcterms:created xsi:type="dcterms:W3CDTF">2013-08-01T05:26:00Z</dcterms:created>
  <dcterms:modified xsi:type="dcterms:W3CDTF">2019-10-16T13:57:00Z</dcterms:modified>
</cp:coreProperties>
</file>