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3F" w:rsidRPr="002149AE" w:rsidRDefault="00F5013F" w:rsidP="00397616">
      <w:pPr>
        <w:autoSpaceDE w:val="0"/>
        <w:autoSpaceDN w:val="0"/>
        <w:adjustRightInd w:val="0"/>
        <w:spacing w:line="360" w:lineRule="auto"/>
        <w:jc w:val="left"/>
        <w:rPr>
          <w:rFonts w:ascii="宋体" w:cs="Arial"/>
          <w:color w:val="000000"/>
          <w:kern w:val="0"/>
          <w:sz w:val="24"/>
        </w:rPr>
      </w:pPr>
      <w:bookmarkStart w:id="0" w:name="_GoBack"/>
      <w:bookmarkEnd w:id="0"/>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F22F00">
      <w:pPr>
        <w:autoSpaceDE w:val="0"/>
        <w:autoSpaceDN w:val="0"/>
        <w:adjustRightInd w:val="0"/>
        <w:spacing w:line="360" w:lineRule="auto"/>
        <w:jc w:val="left"/>
        <w:rPr>
          <w:rFonts w:ascii="宋体" w:cs="Arial"/>
          <w:color w:val="000000"/>
          <w:kern w:val="0"/>
          <w:sz w:val="24"/>
        </w:rPr>
      </w:pP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易方达日兴资管日经225交易型开放式指数证券投资基金（QDII）</w:t>
      </w: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2019年第3季度报告</w:t>
      </w:r>
    </w:p>
    <w:p w:rsidR="00F5013F" w:rsidRPr="00CA4176" w:rsidRDefault="00F5013F" w:rsidP="00506D57">
      <w:pPr>
        <w:spacing w:line="360" w:lineRule="auto"/>
        <w:jc w:val="center"/>
        <w:rPr>
          <w:rFonts w:ascii="宋体" w:hAnsi="宋体"/>
          <w:b/>
          <w:sz w:val="24"/>
          <w:szCs w:val="36"/>
        </w:rPr>
      </w:pPr>
      <w:r w:rsidRPr="00CA4176">
        <w:rPr>
          <w:rFonts w:ascii="宋体" w:hAnsi="宋体"/>
          <w:b/>
          <w:sz w:val="24"/>
          <w:szCs w:val="36"/>
        </w:rPr>
        <w:t>2019年9月30日</w:t>
      </w: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0C6EE5"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547F92">
      <w:pPr>
        <w:spacing w:line="288" w:lineRule="auto"/>
        <w:ind w:firstLineChars="900" w:firstLine="2168"/>
        <w:rPr>
          <w:rFonts w:ascii="宋体"/>
          <w:b/>
          <w:color w:val="000000"/>
          <w:sz w:val="24"/>
        </w:rPr>
      </w:pP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基金管理人：</w:t>
      </w:r>
      <w:r w:rsidRPr="002149AE">
        <w:rPr>
          <w:rFonts w:ascii="宋体" w:hAnsi="宋体"/>
          <w:b/>
          <w:color w:val="000000"/>
          <w:sz w:val="24"/>
        </w:rPr>
        <w:t>易方达基金管理有限公司</w:t>
      </w: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基金托管人：</w:t>
      </w:r>
      <w:r w:rsidRPr="002149AE">
        <w:rPr>
          <w:rFonts w:ascii="宋体" w:hAnsi="宋体"/>
          <w:b/>
          <w:color w:val="000000"/>
          <w:sz w:val="24"/>
        </w:rPr>
        <w:t>中国工商银行股份有限公司</w:t>
      </w:r>
    </w:p>
    <w:p w:rsidR="00F5013F" w:rsidRPr="002149AE" w:rsidRDefault="00F5013F" w:rsidP="00547F92">
      <w:pPr>
        <w:spacing w:line="360" w:lineRule="auto"/>
        <w:ind w:firstLineChars="900" w:firstLine="2168"/>
        <w:rPr>
          <w:rFonts w:ascii="宋体" w:hAnsi="宋体"/>
          <w:b/>
          <w:color w:val="000000"/>
          <w:sz w:val="24"/>
        </w:rPr>
        <w:sectPr w:rsidR="00F5013F" w:rsidRPr="002149AE" w:rsidSect="00B918B8">
          <w:headerReference w:type="default" r:id="rId7"/>
          <w:footerReference w:type="default" r:id="rId8"/>
          <w:pgSz w:w="11926" w:h="15840"/>
          <w:pgMar w:top="1418" w:right="1418" w:bottom="851" w:left="1418" w:header="851" w:footer="992" w:gutter="0"/>
          <w:cols w:space="720"/>
          <w:noEndnote/>
        </w:sectPr>
      </w:pPr>
      <w:r w:rsidRPr="002149AE">
        <w:rPr>
          <w:rFonts w:ascii="宋体" w:hAnsi="宋体" w:hint="eastAsia"/>
          <w:b/>
          <w:color w:val="000000"/>
          <w:sz w:val="24"/>
        </w:rPr>
        <w:t>报告送出日期：</w:t>
      </w:r>
      <w:r w:rsidRPr="002149AE">
        <w:rPr>
          <w:rFonts w:ascii="宋体" w:hAnsi="宋体"/>
          <w:b/>
          <w:color w:val="000000"/>
          <w:sz w:val="24"/>
        </w:rPr>
        <w:t>二〇一九年十月二十四日</w:t>
      </w:r>
    </w:p>
    <w:p w:rsidR="00F5013F" w:rsidRPr="006506EF" w:rsidRDefault="00F5013F" w:rsidP="00543B38">
      <w:pPr>
        <w:pStyle w:val="1"/>
        <w:spacing w:beforeLines="100" w:before="312" w:afterLines="100" w:after="312" w:line="360" w:lineRule="auto"/>
        <w:jc w:val="center"/>
        <w:rPr>
          <w:b w:val="0"/>
          <w:color w:val="000000"/>
          <w:kern w:val="0"/>
          <w:sz w:val="24"/>
          <w:szCs w:val="24"/>
        </w:rPr>
      </w:pPr>
      <w:r w:rsidRPr="006506EF">
        <w:rPr>
          <w:color w:val="000000"/>
          <w:kern w:val="0"/>
          <w:sz w:val="24"/>
          <w:szCs w:val="24"/>
        </w:rPr>
        <w:lastRenderedPageBreak/>
        <w:t xml:space="preserve">§1  </w:t>
      </w:r>
      <w:r w:rsidRPr="006506EF">
        <w:rPr>
          <w:color w:val="000000"/>
          <w:kern w:val="0"/>
          <w:sz w:val="24"/>
          <w:szCs w:val="24"/>
        </w:rPr>
        <w:t>重要提示</w:t>
      </w:r>
    </w:p>
    <w:p w:rsidR="005603F7" w:rsidRDefault="007F78B3">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5603F7" w:rsidRDefault="007F78B3">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5603F7" w:rsidRDefault="007F78B3">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603F7" w:rsidRDefault="007F78B3">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5603F7" w:rsidRDefault="007F78B3">
      <w:pPr>
        <w:spacing w:line="360" w:lineRule="auto"/>
        <w:ind w:firstLineChars="200" w:firstLine="480"/>
        <w:rPr>
          <w:color w:val="000000"/>
          <w:sz w:val="24"/>
        </w:rPr>
      </w:pPr>
      <w:r>
        <w:rPr>
          <w:color w:val="000000"/>
          <w:sz w:val="24"/>
        </w:rPr>
        <w:t>本报告中财务资料未经审计。</w:t>
      </w:r>
    </w:p>
    <w:p w:rsidR="00F5013F" w:rsidRPr="006506EF" w:rsidRDefault="00F5013F" w:rsidP="00547F92">
      <w:pPr>
        <w:spacing w:line="360" w:lineRule="auto"/>
        <w:ind w:firstLineChars="200" w:firstLine="480"/>
        <w:rPr>
          <w:color w:val="000000"/>
          <w:sz w:val="24"/>
        </w:rPr>
      </w:pPr>
      <w:r w:rsidRPr="006506EF">
        <w:rPr>
          <w:color w:val="000000"/>
          <w:sz w:val="24"/>
        </w:rPr>
        <w:t>本报告期自</w:t>
      </w: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日起至</w:t>
      </w:r>
      <w:r w:rsidRPr="006506EF">
        <w:rPr>
          <w:color w:val="000000"/>
          <w:sz w:val="24"/>
        </w:rPr>
        <w:t>9</w:t>
      </w:r>
      <w:r w:rsidRPr="006506EF">
        <w:rPr>
          <w:color w:val="000000"/>
          <w:sz w:val="24"/>
        </w:rPr>
        <w:t>月</w:t>
      </w:r>
      <w:r w:rsidRPr="006506EF">
        <w:rPr>
          <w:color w:val="000000"/>
          <w:sz w:val="24"/>
        </w:rPr>
        <w:t>30</w:t>
      </w:r>
      <w:r w:rsidRPr="006506EF">
        <w:rPr>
          <w:color w:val="000000"/>
          <w:sz w:val="24"/>
        </w:rPr>
        <w:t>日止。</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§2  </w:t>
      </w:r>
      <w:r w:rsidRPr="006506EF">
        <w:rPr>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443"/>
      </w:tblGrid>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基金简称</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易方达日兴资管日经</w:t>
            </w:r>
            <w:r w:rsidRPr="006506EF">
              <w:rPr>
                <w:color w:val="000000"/>
                <w:kern w:val="0"/>
                <w:sz w:val="24"/>
              </w:rPr>
              <w:t>225ETF</w:t>
            </w:r>
            <w:r w:rsidRPr="006506EF">
              <w:rPr>
                <w:color w:val="000000"/>
                <w:kern w:val="0"/>
                <w:sz w:val="24"/>
              </w:rPr>
              <w:t>（</w:t>
            </w:r>
            <w:r w:rsidRPr="006506EF">
              <w:rPr>
                <w:color w:val="000000"/>
                <w:kern w:val="0"/>
                <w:sz w:val="24"/>
              </w:rPr>
              <w:t>QDII</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场内简称</w:t>
            </w:r>
          </w:p>
        </w:tc>
        <w:tc>
          <w:tcPr>
            <w:tcW w:w="5443"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225ETF</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基金主代码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513000</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交易代码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513000</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基金运作方式</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交易型开放式</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基金合同生效日</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2019</w:t>
            </w:r>
            <w:r w:rsidRPr="006506EF">
              <w:rPr>
                <w:color w:val="000000"/>
                <w:kern w:val="0"/>
                <w:sz w:val="24"/>
              </w:rPr>
              <w:t>年</w:t>
            </w:r>
            <w:r w:rsidRPr="006506EF">
              <w:rPr>
                <w:color w:val="000000"/>
                <w:kern w:val="0"/>
                <w:sz w:val="24"/>
              </w:rPr>
              <w:t>6</w:t>
            </w:r>
            <w:r w:rsidRPr="006506EF">
              <w:rPr>
                <w:color w:val="000000"/>
                <w:kern w:val="0"/>
                <w:sz w:val="24"/>
              </w:rPr>
              <w:t>月</w:t>
            </w:r>
            <w:r w:rsidRPr="006506EF">
              <w:rPr>
                <w:color w:val="000000"/>
                <w:kern w:val="0"/>
                <w:sz w:val="24"/>
              </w:rPr>
              <w:t>12</w:t>
            </w:r>
            <w:r w:rsidRPr="006506EF">
              <w:rPr>
                <w:color w:val="000000"/>
                <w:kern w:val="0"/>
                <w:sz w:val="24"/>
              </w:rPr>
              <w:t>日</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报告期末基金份额总额</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95,911,379.00</w:t>
            </w:r>
            <w:r w:rsidRPr="006506EF">
              <w:rPr>
                <w:color w:val="000000"/>
                <w:kern w:val="0"/>
                <w:sz w:val="24"/>
              </w:rPr>
              <w:t>份</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投资目标</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紧密跟踪标的指数，追求跟踪偏离度和跟踪误差的最小化。</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投资策略</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本基金主要通过投资日兴资管日经</w:t>
            </w:r>
            <w:r w:rsidRPr="006506EF">
              <w:rPr>
                <w:color w:val="000000"/>
                <w:kern w:val="0"/>
                <w:sz w:val="24"/>
              </w:rPr>
              <w:t>225ETF</w:t>
            </w:r>
            <w:r w:rsidRPr="006506EF">
              <w:rPr>
                <w:color w:val="000000"/>
                <w:kern w:val="0"/>
                <w:sz w:val="24"/>
              </w:rPr>
              <w:t>（</w:t>
            </w:r>
            <w:r w:rsidRPr="006506EF">
              <w:rPr>
                <w:color w:val="000000"/>
                <w:kern w:val="0"/>
                <w:sz w:val="24"/>
              </w:rPr>
              <w:t>1330 JP</w:t>
            </w:r>
            <w:r w:rsidRPr="006506EF">
              <w:rPr>
                <w:color w:val="000000"/>
                <w:kern w:val="0"/>
                <w:sz w:val="24"/>
              </w:rPr>
              <w:t>）实现对标的指数的紧密跟踪，力争将日均跟踪偏离度的绝对值控制在</w:t>
            </w:r>
            <w:r w:rsidRPr="006506EF">
              <w:rPr>
                <w:color w:val="000000"/>
                <w:kern w:val="0"/>
                <w:sz w:val="24"/>
              </w:rPr>
              <w:t>0.35%</w:t>
            </w:r>
            <w:r w:rsidRPr="006506EF">
              <w:rPr>
                <w:color w:val="000000"/>
                <w:kern w:val="0"/>
                <w:sz w:val="24"/>
              </w:rPr>
              <w:t>以内，年化跟踪误差控制在</w:t>
            </w:r>
            <w:r w:rsidRPr="006506EF">
              <w:rPr>
                <w:color w:val="000000"/>
                <w:kern w:val="0"/>
                <w:sz w:val="24"/>
              </w:rPr>
              <w:t>3%</w:t>
            </w:r>
            <w:r w:rsidRPr="006506EF">
              <w:rPr>
                <w:color w:val="000000"/>
                <w:kern w:val="0"/>
                <w:sz w:val="24"/>
              </w:rPr>
              <w:t>以内。</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lastRenderedPageBreak/>
              <w:t>业绩比较基准</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本基金的业绩比较基准为标的指数收益率，即日经</w:t>
            </w:r>
            <w:r w:rsidRPr="006506EF">
              <w:rPr>
                <w:color w:val="000000"/>
                <w:kern w:val="0"/>
                <w:sz w:val="24"/>
              </w:rPr>
              <w:t>225</w:t>
            </w:r>
            <w:r w:rsidRPr="006506EF">
              <w:rPr>
                <w:color w:val="000000"/>
                <w:kern w:val="0"/>
                <w:sz w:val="24"/>
              </w:rPr>
              <w:t>指数收益率（使用估值汇率折算）</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风险收益特征</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本基金主要通过投资于标的</w:t>
            </w:r>
            <w:r w:rsidRPr="006506EF">
              <w:rPr>
                <w:color w:val="000000"/>
                <w:kern w:val="0"/>
                <w:sz w:val="24"/>
              </w:rPr>
              <w:t>ETF</w:t>
            </w:r>
            <w:r w:rsidRPr="006506EF">
              <w:rPr>
                <w:color w:val="000000"/>
                <w:kern w:val="0"/>
                <w:sz w:val="24"/>
              </w:rPr>
              <w:t>实现对标的指数的紧密跟踪，因此，本基金的业绩表现与日经</w:t>
            </w:r>
            <w:r w:rsidRPr="006506EF">
              <w:rPr>
                <w:color w:val="000000"/>
                <w:kern w:val="0"/>
                <w:sz w:val="24"/>
              </w:rPr>
              <w:t>225</w:t>
            </w:r>
            <w:r w:rsidRPr="006506EF">
              <w:rPr>
                <w:color w:val="000000"/>
                <w:kern w:val="0"/>
                <w:sz w:val="24"/>
              </w:rPr>
              <w:t>指数的表现密切相关，预期风险与预期收益水平高于混合型基金、债券型基金与货币市场基金。此外，本基金主要投资于日本等境外市场，除了需要承担与境内证券投资基金类似的市场波动风险等一般投资风险之外，还面临汇率风险以及日本等境外市场的风险。</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基金管理人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易方达基金管理有限公司</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基金托管人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中国工商银行股份有限公司</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境外投资顾问</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无</w:t>
            </w:r>
          </w:p>
        </w:tc>
      </w:tr>
      <w:tr w:rsidR="002E6FB9" w:rsidRPr="006506EF" w:rsidTr="0063648A">
        <w:tc>
          <w:tcPr>
            <w:tcW w:w="2977" w:type="dxa"/>
            <w:vMerge/>
            <w:vAlign w:val="center"/>
          </w:tcPr>
          <w:p w:rsidR="002E6FB9" w:rsidRPr="006506EF" w:rsidRDefault="002E6FB9" w:rsidP="0063648A">
            <w:pPr>
              <w:adjustRightInd w:val="0"/>
              <w:spacing w:before="29" w:line="360" w:lineRule="auto"/>
              <w:jc w:val="left"/>
              <w:rPr>
                <w:kern w:val="0"/>
                <w:sz w:val="24"/>
              </w:rPr>
            </w:pP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中文名称</w:t>
            </w:r>
            <w:r>
              <w:rPr>
                <w:kern w:val="0"/>
                <w:sz w:val="24"/>
              </w:rPr>
              <w:t>：</w:t>
            </w:r>
            <w:r w:rsidRPr="006506EF">
              <w:rPr>
                <w:color w:val="000000"/>
                <w:kern w:val="0"/>
                <w:sz w:val="24"/>
              </w:rPr>
              <w:t>无</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境外资产托管人</w:t>
            </w:r>
          </w:p>
        </w:tc>
        <w:tc>
          <w:tcPr>
            <w:tcW w:w="5443" w:type="dxa"/>
            <w:vAlign w:val="center"/>
          </w:tcPr>
          <w:p w:rsidR="002E6FB9" w:rsidRPr="006506EF" w:rsidRDefault="002E6FB9" w:rsidP="00A53DD8">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The Northern Trust Company</w:t>
            </w:r>
          </w:p>
        </w:tc>
      </w:tr>
      <w:tr w:rsidR="002E6FB9" w:rsidRPr="006506EF" w:rsidTr="0063648A">
        <w:tc>
          <w:tcPr>
            <w:tcW w:w="2977" w:type="dxa"/>
            <w:vMerge/>
            <w:vAlign w:val="center"/>
          </w:tcPr>
          <w:p w:rsidR="002E6FB9" w:rsidRPr="006506EF" w:rsidRDefault="002E6FB9" w:rsidP="0063648A">
            <w:pPr>
              <w:adjustRightInd w:val="0"/>
              <w:spacing w:before="29" w:line="360" w:lineRule="auto"/>
              <w:ind w:left="17"/>
              <w:jc w:val="left"/>
              <w:rPr>
                <w:kern w:val="0"/>
                <w:sz w:val="24"/>
              </w:rPr>
            </w:pPr>
          </w:p>
        </w:tc>
        <w:tc>
          <w:tcPr>
            <w:tcW w:w="5443" w:type="dxa"/>
            <w:vAlign w:val="center"/>
          </w:tcPr>
          <w:p w:rsidR="002E6FB9" w:rsidRPr="006506EF" w:rsidRDefault="002E6FB9" w:rsidP="00F23F0E">
            <w:pPr>
              <w:adjustRightInd w:val="0"/>
              <w:spacing w:before="29" w:line="360" w:lineRule="auto"/>
              <w:ind w:left="17"/>
              <w:jc w:val="left"/>
              <w:rPr>
                <w:color w:val="000000"/>
                <w:kern w:val="0"/>
                <w:sz w:val="24"/>
              </w:rPr>
            </w:pPr>
            <w:r w:rsidRPr="006506EF">
              <w:rPr>
                <w:kern w:val="0"/>
                <w:sz w:val="24"/>
              </w:rPr>
              <w:t>中文名称</w:t>
            </w:r>
            <w:r>
              <w:rPr>
                <w:kern w:val="0"/>
                <w:sz w:val="24"/>
              </w:rPr>
              <w:t>：</w:t>
            </w:r>
            <w:r w:rsidR="00A53DD8" w:rsidRPr="006506EF">
              <w:rPr>
                <w:color w:val="000000"/>
                <w:kern w:val="0"/>
                <w:sz w:val="24"/>
              </w:rPr>
              <w:t xml:space="preserve"> </w:t>
            </w:r>
            <w:r w:rsidRPr="006506EF">
              <w:rPr>
                <w:color w:val="000000"/>
                <w:kern w:val="0"/>
                <w:sz w:val="24"/>
              </w:rPr>
              <w:t>美国北美信托银行</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§3  </w:t>
      </w:r>
      <w:r w:rsidRPr="006506EF">
        <w:rPr>
          <w:color w:val="000000"/>
          <w:kern w:val="0"/>
          <w:sz w:val="24"/>
          <w:szCs w:val="24"/>
        </w:rPr>
        <w:t>主要财务指标和基金净值表现</w:t>
      </w:r>
    </w:p>
    <w:p w:rsidR="00F5013F" w:rsidRPr="006506EF" w:rsidRDefault="00F5013F" w:rsidP="00506D57">
      <w:pPr>
        <w:autoSpaceDE w:val="0"/>
        <w:autoSpaceDN w:val="0"/>
        <w:adjustRightInd w:val="0"/>
        <w:spacing w:line="360" w:lineRule="auto"/>
        <w:jc w:val="left"/>
        <w:rPr>
          <w:b/>
          <w:color w:val="000000"/>
          <w:kern w:val="0"/>
          <w:sz w:val="24"/>
        </w:rPr>
      </w:pPr>
      <w:r w:rsidRPr="006506EF">
        <w:rPr>
          <w:b/>
          <w:color w:val="000000"/>
          <w:kern w:val="0"/>
          <w:sz w:val="24"/>
        </w:rPr>
        <w:t xml:space="preserve">3.1 </w:t>
      </w:r>
      <w:r w:rsidRPr="006506EF">
        <w:rPr>
          <w:b/>
          <w:color w:val="000000"/>
          <w:kern w:val="0"/>
          <w:sz w:val="24"/>
        </w:rPr>
        <w:t>主要财务指标</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5013F" w:rsidRPr="006506EF" w:rsidTr="00B918B8">
        <w:tc>
          <w:tcPr>
            <w:tcW w:w="3402" w:type="dxa"/>
            <w:vAlign w:val="center"/>
          </w:tcPr>
          <w:p w:rsidR="00F5013F" w:rsidRPr="006506EF" w:rsidRDefault="00F5013F" w:rsidP="00B918B8">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F5013F" w:rsidRPr="006506EF" w:rsidRDefault="00F5013F" w:rsidP="000306F0">
            <w:pPr>
              <w:adjustRightInd w:val="0"/>
              <w:spacing w:before="29" w:line="360" w:lineRule="auto"/>
              <w:ind w:left="17"/>
              <w:jc w:val="center"/>
              <w:rPr>
                <w:color w:val="000000"/>
                <w:sz w:val="24"/>
              </w:rPr>
            </w:pPr>
            <w:r w:rsidRPr="006506EF">
              <w:rPr>
                <w:color w:val="000000"/>
                <w:sz w:val="24"/>
              </w:rPr>
              <w:t>报告期</w:t>
            </w:r>
          </w:p>
          <w:p w:rsidR="00F5013F" w:rsidRPr="006506EF" w:rsidRDefault="00F5013F" w:rsidP="000306F0">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5013F" w:rsidRPr="006506EF" w:rsidRDefault="00F5013F" w:rsidP="00B918B8">
            <w:pPr>
              <w:adjustRightInd w:val="0"/>
              <w:spacing w:before="29" w:line="360" w:lineRule="auto"/>
              <w:ind w:left="17"/>
              <w:jc w:val="center"/>
              <w:rPr>
                <w:color w:val="000000"/>
                <w:sz w:val="24"/>
              </w:rPr>
            </w:pPr>
            <w:r w:rsidRPr="006506EF">
              <w:rPr>
                <w:color w:val="000000"/>
                <w:sz w:val="24"/>
              </w:rPr>
              <w:t>上期金额</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2,735,559.70</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6,444,977.18</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0.0593</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101,113,916.64</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rPr>
          <w:trHeight w:val="158"/>
        </w:trPr>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1.0542</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bl>
    <w:p w:rsidR="005603F7" w:rsidRDefault="007F78B3">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w:t>
      </w:r>
      <w:r>
        <w:rPr>
          <w:color w:val="000000"/>
          <w:sz w:val="24"/>
        </w:rPr>
        <w:lastRenderedPageBreak/>
        <w:t>用后实际收益水平要低于所列数字。</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3.2 </w:t>
      </w:r>
      <w:r w:rsidRPr="006506EF">
        <w:rPr>
          <w:b/>
          <w:color w:val="000000"/>
          <w:kern w:val="0"/>
          <w:sz w:val="24"/>
        </w:rPr>
        <w:t>基金净值表现</w:t>
      </w:r>
    </w:p>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3.2.1</w:t>
        </w:r>
      </w:smartTag>
      <w:r w:rsidRPr="006506EF">
        <w:rPr>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5013F" w:rsidRPr="006506EF" w:rsidTr="00B918B8">
        <w:tc>
          <w:tcPr>
            <w:tcW w:w="1395"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阶段</w:t>
            </w:r>
          </w:p>
        </w:tc>
        <w:tc>
          <w:tcPr>
            <w:tcW w:w="1092"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w:t>
            </w:r>
            <w:r w:rsidRPr="006506EF">
              <w:rPr>
                <w:rFonts w:ascii="宋体" w:hAnsi="宋体" w:cs="宋体" w:hint="eastAsia"/>
                <w:color w:val="000000"/>
                <w:sz w:val="24"/>
              </w:rPr>
              <w:t>①</w:t>
            </w:r>
          </w:p>
        </w:tc>
        <w:tc>
          <w:tcPr>
            <w:tcW w:w="116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净值增长率标准差</w:t>
            </w:r>
            <w:r w:rsidRPr="006506EF">
              <w:rPr>
                <w:rFonts w:ascii="宋体" w:hAnsi="宋体" w:cs="宋体" w:hint="eastAsia"/>
                <w:color w:val="000000"/>
                <w:sz w:val="24"/>
              </w:rPr>
              <w:t>②</w:t>
            </w:r>
          </w:p>
        </w:tc>
        <w:tc>
          <w:tcPr>
            <w:tcW w:w="118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w:t>
            </w:r>
            <w:r w:rsidRPr="006506EF">
              <w:rPr>
                <w:rFonts w:ascii="宋体" w:hAnsi="宋体" w:cs="宋体" w:hint="eastAsia"/>
                <w:color w:val="000000"/>
                <w:sz w:val="24"/>
              </w:rPr>
              <w:t>③</w:t>
            </w:r>
          </w:p>
        </w:tc>
        <w:tc>
          <w:tcPr>
            <w:tcW w:w="1188"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业绩比较基准收益率标准差</w:t>
            </w:r>
            <w:r w:rsidRPr="006506EF">
              <w:rPr>
                <w:rFonts w:ascii="宋体" w:hAnsi="宋体" w:cs="宋体" w:hint="eastAsia"/>
                <w:color w:val="000000"/>
                <w:sz w:val="24"/>
              </w:rPr>
              <w:t>④</w:t>
            </w:r>
          </w:p>
        </w:tc>
        <w:tc>
          <w:tcPr>
            <w:tcW w:w="1199"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①</w:t>
            </w:r>
            <w:r w:rsidRPr="006506EF">
              <w:rPr>
                <w:color w:val="000000"/>
                <w:sz w:val="24"/>
              </w:rPr>
              <w:t>-</w:t>
            </w:r>
            <w:r w:rsidRPr="006506EF">
              <w:rPr>
                <w:rFonts w:ascii="宋体" w:hAnsi="宋体" w:cs="宋体" w:hint="eastAsia"/>
                <w:color w:val="000000"/>
                <w:sz w:val="24"/>
              </w:rPr>
              <w:t>③</w:t>
            </w:r>
          </w:p>
        </w:tc>
        <w:tc>
          <w:tcPr>
            <w:tcW w:w="1204"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②</w:t>
            </w:r>
            <w:r w:rsidRPr="006506EF">
              <w:rPr>
                <w:color w:val="000000"/>
                <w:sz w:val="24"/>
              </w:rPr>
              <w:t>-</w:t>
            </w:r>
            <w:r w:rsidRPr="006506EF">
              <w:rPr>
                <w:rFonts w:ascii="宋体" w:hAnsi="宋体" w:cs="宋体" w:hint="eastAsia"/>
                <w:color w:val="000000"/>
                <w:sz w:val="24"/>
              </w:rPr>
              <w:t>④</w:t>
            </w:r>
          </w:p>
        </w:tc>
      </w:tr>
      <w:tr w:rsidR="005603F7">
        <w:tc>
          <w:tcPr>
            <w:tcW w:w="1395" w:type="dxa"/>
            <w:vAlign w:val="center"/>
          </w:tcPr>
          <w:p w:rsidR="005603F7" w:rsidRDefault="007F78B3">
            <w:pPr>
              <w:jc w:val="left"/>
            </w:pPr>
            <w:r>
              <w:rPr>
                <w:color w:val="000000"/>
                <w:sz w:val="24"/>
              </w:rPr>
              <w:t>过去三个月</w:t>
            </w:r>
          </w:p>
        </w:tc>
        <w:tc>
          <w:tcPr>
            <w:tcW w:w="1092" w:type="dxa"/>
            <w:vAlign w:val="center"/>
          </w:tcPr>
          <w:p w:rsidR="005603F7" w:rsidRDefault="007F78B3">
            <w:pPr>
              <w:jc w:val="right"/>
            </w:pPr>
            <w:r>
              <w:rPr>
                <w:color w:val="000000"/>
                <w:sz w:val="24"/>
              </w:rPr>
              <w:t>5.44%</w:t>
            </w:r>
          </w:p>
        </w:tc>
        <w:tc>
          <w:tcPr>
            <w:tcW w:w="1161" w:type="dxa"/>
            <w:vAlign w:val="center"/>
          </w:tcPr>
          <w:p w:rsidR="005603F7" w:rsidRDefault="007F78B3">
            <w:pPr>
              <w:jc w:val="right"/>
            </w:pPr>
            <w:r>
              <w:rPr>
                <w:color w:val="000000"/>
                <w:sz w:val="24"/>
              </w:rPr>
              <w:t>0.69%</w:t>
            </w:r>
          </w:p>
        </w:tc>
        <w:tc>
          <w:tcPr>
            <w:tcW w:w="1181" w:type="dxa"/>
            <w:vAlign w:val="center"/>
          </w:tcPr>
          <w:p w:rsidR="005603F7" w:rsidRDefault="007F78B3">
            <w:pPr>
              <w:jc w:val="right"/>
            </w:pPr>
            <w:r>
              <w:rPr>
                <w:color w:val="000000"/>
                <w:sz w:val="24"/>
              </w:rPr>
              <w:t>5.27%</w:t>
            </w:r>
          </w:p>
        </w:tc>
        <w:tc>
          <w:tcPr>
            <w:tcW w:w="1188" w:type="dxa"/>
            <w:vAlign w:val="center"/>
          </w:tcPr>
          <w:p w:rsidR="005603F7" w:rsidRDefault="007F78B3">
            <w:pPr>
              <w:jc w:val="right"/>
            </w:pPr>
            <w:r>
              <w:rPr>
                <w:color w:val="000000"/>
                <w:sz w:val="24"/>
              </w:rPr>
              <w:t>0.69%</w:t>
            </w:r>
          </w:p>
        </w:tc>
        <w:tc>
          <w:tcPr>
            <w:tcW w:w="1199" w:type="dxa"/>
            <w:vAlign w:val="center"/>
          </w:tcPr>
          <w:p w:rsidR="005603F7" w:rsidRDefault="007F78B3">
            <w:pPr>
              <w:jc w:val="right"/>
            </w:pPr>
            <w:r>
              <w:rPr>
                <w:color w:val="000000"/>
                <w:sz w:val="24"/>
              </w:rPr>
              <w:t>0.17%</w:t>
            </w:r>
          </w:p>
        </w:tc>
        <w:tc>
          <w:tcPr>
            <w:tcW w:w="1204" w:type="dxa"/>
            <w:vAlign w:val="center"/>
          </w:tcPr>
          <w:p w:rsidR="005603F7" w:rsidRDefault="007F78B3">
            <w:pPr>
              <w:jc w:val="right"/>
            </w:pPr>
            <w:r>
              <w:rPr>
                <w:color w:val="000000"/>
                <w:sz w:val="24"/>
              </w:rPr>
              <w:t>0.00%</w:t>
            </w:r>
          </w:p>
        </w:tc>
      </w:tr>
    </w:tbl>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3.2.2</w:t>
        </w:r>
        <w:r w:rsidRPr="006506EF">
          <w:rPr>
            <w:b/>
            <w:color w:val="000000"/>
            <w:kern w:val="0"/>
            <w:sz w:val="24"/>
          </w:rPr>
          <w:t xml:space="preserve">　</w:t>
        </w:r>
        <w:r w:rsidR="00DF4456" w:rsidRPr="006506EF">
          <w:rPr>
            <w:rStyle w:val="af8"/>
            <w:color w:val="000000"/>
            <w:sz w:val="24"/>
            <w:shd w:val="clear" w:color="auto" w:fill="FFFFFF"/>
          </w:rPr>
          <w:t>自基金合同生效以来</w:t>
        </w:r>
      </w:smartTag>
      <w:r w:rsidRPr="006506EF">
        <w:rPr>
          <w:b/>
          <w:color w:val="000000"/>
          <w:kern w:val="0"/>
          <w:sz w:val="24"/>
        </w:rPr>
        <w:t>基金累计</w:t>
      </w:r>
      <w:r w:rsidR="000C6EE5" w:rsidRPr="006506EF">
        <w:rPr>
          <w:b/>
          <w:color w:val="000000"/>
          <w:kern w:val="0"/>
          <w:sz w:val="24"/>
        </w:rPr>
        <w:t>份额</w:t>
      </w:r>
      <w:r w:rsidRPr="006506EF">
        <w:rPr>
          <w:b/>
          <w:color w:val="000000"/>
          <w:kern w:val="0"/>
          <w:sz w:val="24"/>
        </w:rPr>
        <w:t>净值增长率变动及其与同期业绩比较基准收益率变动的比较</w:t>
      </w:r>
    </w:p>
    <w:p w:rsidR="00F5013F" w:rsidRPr="006506EF" w:rsidRDefault="00F5013F" w:rsidP="00EC4BA3">
      <w:pPr>
        <w:spacing w:line="360" w:lineRule="auto"/>
        <w:jc w:val="center"/>
        <w:rPr>
          <w:sz w:val="24"/>
        </w:rPr>
      </w:pPr>
      <w:r w:rsidRPr="006506EF">
        <w:rPr>
          <w:sz w:val="24"/>
        </w:rPr>
        <w:t>易方达日兴资管日经</w:t>
      </w:r>
      <w:r w:rsidRPr="006506EF">
        <w:rPr>
          <w:sz w:val="24"/>
        </w:rPr>
        <w:t>225</w:t>
      </w:r>
      <w:r w:rsidRPr="006506EF">
        <w:rPr>
          <w:sz w:val="24"/>
        </w:rPr>
        <w:t>交易型开放式指数证券投资基金（</w:t>
      </w:r>
      <w:r w:rsidRPr="006506EF">
        <w:rPr>
          <w:sz w:val="24"/>
        </w:rPr>
        <w:t>QDII</w:t>
      </w:r>
      <w:r w:rsidRPr="006506EF">
        <w:rPr>
          <w:sz w:val="24"/>
        </w:rPr>
        <w:t>）</w:t>
      </w:r>
    </w:p>
    <w:p w:rsidR="00F5013F" w:rsidRPr="006506EF" w:rsidRDefault="00F5013F" w:rsidP="00EC4BA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F5013F" w:rsidRPr="006506EF" w:rsidRDefault="00F5013F" w:rsidP="00EC4BA3">
      <w:pPr>
        <w:spacing w:line="360" w:lineRule="auto"/>
        <w:jc w:val="center"/>
        <w:rPr>
          <w:sz w:val="24"/>
        </w:rPr>
      </w:pPr>
      <w:r w:rsidRPr="006506EF">
        <w:rPr>
          <w:color w:val="000000"/>
          <w:kern w:val="0"/>
          <w:sz w:val="24"/>
        </w:rPr>
        <w:t>（</w:t>
      </w:r>
      <w:r w:rsidRPr="006506EF">
        <w:rPr>
          <w:color w:val="000000"/>
          <w:kern w:val="0"/>
          <w:sz w:val="24"/>
        </w:rPr>
        <w:t>2019</w:t>
      </w:r>
      <w:r w:rsidRPr="006506EF">
        <w:rPr>
          <w:color w:val="000000"/>
          <w:kern w:val="0"/>
          <w:sz w:val="24"/>
        </w:rPr>
        <w:t>年</w:t>
      </w:r>
      <w:r w:rsidRPr="006506EF">
        <w:rPr>
          <w:color w:val="000000"/>
          <w:kern w:val="0"/>
          <w:sz w:val="24"/>
        </w:rPr>
        <w:t>6</w:t>
      </w:r>
      <w:r w:rsidRPr="006506EF">
        <w:rPr>
          <w:color w:val="000000"/>
          <w:kern w:val="0"/>
          <w:sz w:val="24"/>
        </w:rPr>
        <w:t>月</w:t>
      </w:r>
      <w:r w:rsidRPr="006506EF">
        <w:rPr>
          <w:color w:val="000000"/>
          <w:kern w:val="0"/>
          <w:sz w:val="24"/>
        </w:rPr>
        <w:t>12</w:t>
      </w:r>
      <w:r w:rsidRPr="006506EF">
        <w:rPr>
          <w:color w:val="000000"/>
          <w:kern w:val="0"/>
          <w:sz w:val="24"/>
        </w:rPr>
        <w:t>日至</w:t>
      </w:r>
      <w:r w:rsidRPr="006506EF">
        <w:rPr>
          <w:color w:val="000000"/>
          <w:kern w:val="0"/>
          <w:sz w:val="24"/>
        </w:rPr>
        <w:t>2019</w:t>
      </w:r>
      <w:r w:rsidRPr="006506EF">
        <w:rPr>
          <w:color w:val="000000"/>
          <w:kern w:val="0"/>
          <w:sz w:val="24"/>
        </w:rPr>
        <w:t>年</w:t>
      </w:r>
      <w:r w:rsidRPr="006506EF">
        <w:rPr>
          <w:color w:val="000000"/>
          <w:kern w:val="0"/>
          <w:sz w:val="24"/>
        </w:rPr>
        <w:t>9</w:t>
      </w:r>
      <w:r w:rsidRPr="006506EF">
        <w:rPr>
          <w:color w:val="000000"/>
          <w:kern w:val="0"/>
          <w:sz w:val="24"/>
        </w:rPr>
        <w:t>月</w:t>
      </w:r>
      <w:r w:rsidRPr="006506EF">
        <w:rPr>
          <w:color w:val="000000"/>
          <w:kern w:val="0"/>
          <w:sz w:val="24"/>
        </w:rPr>
        <w:t>30</w:t>
      </w:r>
      <w:r w:rsidRPr="006506EF">
        <w:rPr>
          <w:color w:val="000000"/>
          <w:kern w:val="0"/>
          <w:sz w:val="24"/>
        </w:rPr>
        <w:t>日）</w:t>
      </w:r>
    </w:p>
    <w:p w:rsidR="00F5013F" w:rsidRPr="006506EF" w:rsidRDefault="007F78B3" w:rsidP="00A96FD9">
      <w:pPr>
        <w:tabs>
          <w:tab w:val="left" w:pos="1800"/>
        </w:tabs>
        <w:spacing w:line="360" w:lineRule="auto"/>
        <w:jc w:val="center"/>
        <w:rPr>
          <w:color w:val="000000"/>
          <w:sz w:val="24"/>
        </w:rPr>
      </w:pPr>
      <w:r>
        <w:rPr>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5603F7" w:rsidRDefault="007F78B3">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5603F7" w:rsidRDefault="007F78B3">
      <w:pPr>
        <w:spacing w:line="360" w:lineRule="auto"/>
        <w:ind w:firstLineChars="200" w:firstLine="480"/>
        <w:rPr>
          <w:color w:val="000000"/>
          <w:sz w:val="24"/>
        </w:rPr>
      </w:pPr>
      <w:r>
        <w:rPr>
          <w:color w:val="000000"/>
          <w:sz w:val="24"/>
        </w:rPr>
        <w:lastRenderedPageBreak/>
        <w:t>2.</w:t>
      </w:r>
      <w:r>
        <w:rPr>
          <w:color w:val="000000"/>
          <w:sz w:val="24"/>
        </w:rPr>
        <w:t>本基金合同于</w:t>
      </w:r>
      <w:r>
        <w:rPr>
          <w:color w:val="000000"/>
          <w:sz w:val="24"/>
        </w:rPr>
        <w:t>2019</w:t>
      </w:r>
      <w:r>
        <w:rPr>
          <w:color w:val="000000"/>
          <w:sz w:val="24"/>
        </w:rPr>
        <w:t>年</w:t>
      </w:r>
      <w:r>
        <w:rPr>
          <w:color w:val="000000"/>
          <w:sz w:val="24"/>
        </w:rPr>
        <w:t>6</w:t>
      </w:r>
      <w:r>
        <w:rPr>
          <w:color w:val="000000"/>
          <w:sz w:val="24"/>
        </w:rPr>
        <w:t>月</w:t>
      </w:r>
      <w:r>
        <w:rPr>
          <w:color w:val="000000"/>
          <w:sz w:val="24"/>
        </w:rPr>
        <w:t>12</w:t>
      </w:r>
      <w:r>
        <w:rPr>
          <w:color w:val="000000"/>
          <w:sz w:val="24"/>
        </w:rPr>
        <w:t>日生效，截至报告期末本基金合同生效未满一年。</w:t>
      </w:r>
    </w:p>
    <w:p w:rsidR="005603F7" w:rsidRDefault="007F78B3">
      <w:pPr>
        <w:spacing w:line="360" w:lineRule="auto"/>
        <w:ind w:firstLineChars="200" w:firstLine="480"/>
        <w:rPr>
          <w:color w:val="000000"/>
          <w:sz w:val="24"/>
        </w:rPr>
      </w:pPr>
      <w:r>
        <w:rPr>
          <w:color w:val="000000"/>
          <w:sz w:val="24"/>
        </w:rPr>
        <w:t>3.</w:t>
      </w:r>
      <w:r>
        <w:rPr>
          <w:color w:val="000000"/>
          <w:sz w:val="24"/>
        </w:rPr>
        <w:t>按基金合同和招募说明书的约定，自基金合同生效之日起六个月内使基金的投资组合比例符合本基金合同（第十四部分二、投资范围，三、投资策略和四、投资限制）的有关约定。本报告期本基金处于建仓期内。</w:t>
      </w:r>
    </w:p>
    <w:p w:rsidR="00F5013F" w:rsidRPr="006506EF" w:rsidRDefault="00F5013F" w:rsidP="00DB3360">
      <w:pPr>
        <w:spacing w:line="360" w:lineRule="auto"/>
        <w:ind w:firstLineChars="200" w:firstLine="480"/>
        <w:rPr>
          <w:color w:val="000000"/>
          <w:sz w:val="24"/>
        </w:rPr>
      </w:pPr>
      <w:r w:rsidRPr="006506EF">
        <w:rPr>
          <w:color w:val="000000"/>
          <w:sz w:val="24"/>
        </w:rPr>
        <w:t>4.</w:t>
      </w:r>
      <w:r w:rsidRPr="006506EF">
        <w:rPr>
          <w:color w:val="000000"/>
          <w:sz w:val="24"/>
        </w:rPr>
        <w:t>自基金合同生效至报告期末，基金份额净值增长率为</w:t>
      </w:r>
      <w:r w:rsidRPr="006506EF">
        <w:rPr>
          <w:color w:val="000000"/>
          <w:sz w:val="24"/>
        </w:rPr>
        <w:t>5.42%</w:t>
      </w:r>
      <w:r w:rsidRPr="006506EF">
        <w:rPr>
          <w:color w:val="000000"/>
          <w:sz w:val="24"/>
        </w:rPr>
        <w:t>，同期业绩比较基准收益率为</w:t>
      </w:r>
      <w:r w:rsidRPr="006506EF">
        <w:rPr>
          <w:color w:val="000000"/>
          <w:sz w:val="24"/>
        </w:rPr>
        <w:t>5.73</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§4  </w:t>
      </w:r>
      <w:r w:rsidRPr="006506EF">
        <w:rPr>
          <w:color w:val="000000"/>
          <w:kern w:val="0"/>
          <w:sz w:val="24"/>
          <w:szCs w:val="24"/>
        </w:rPr>
        <w:t>管理人报告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4.1 </w:t>
      </w:r>
      <w:r w:rsidRPr="006506EF">
        <w:rPr>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5013F" w:rsidRPr="006506EF" w:rsidTr="00A22642">
        <w:trPr>
          <w:cantSplit/>
          <w:trHeight w:val="292"/>
        </w:trPr>
        <w:tc>
          <w:tcPr>
            <w:tcW w:w="851"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说明</w:t>
            </w:r>
          </w:p>
        </w:tc>
      </w:tr>
      <w:tr w:rsidR="00F5013F" w:rsidRPr="006506EF" w:rsidTr="00A22642">
        <w:trPr>
          <w:cantSplit/>
        </w:trPr>
        <w:tc>
          <w:tcPr>
            <w:tcW w:w="851" w:type="dxa"/>
            <w:vMerge/>
            <w:vAlign w:val="center"/>
          </w:tcPr>
          <w:p w:rsidR="00F5013F" w:rsidRPr="006506EF" w:rsidRDefault="00F5013F" w:rsidP="00B918B8">
            <w:pPr>
              <w:widowControl/>
              <w:spacing w:line="360" w:lineRule="auto"/>
              <w:jc w:val="left"/>
              <w:rPr>
                <w:color w:val="000000"/>
                <w:kern w:val="0"/>
                <w:sz w:val="24"/>
              </w:rPr>
            </w:pPr>
          </w:p>
        </w:tc>
        <w:tc>
          <w:tcPr>
            <w:tcW w:w="3260" w:type="dxa"/>
            <w:vMerge/>
            <w:vAlign w:val="center"/>
          </w:tcPr>
          <w:p w:rsidR="00F5013F" w:rsidRPr="006506EF" w:rsidRDefault="00F5013F" w:rsidP="00B918B8">
            <w:pPr>
              <w:widowControl/>
              <w:spacing w:line="360" w:lineRule="auto"/>
              <w:jc w:val="left"/>
              <w:rPr>
                <w:color w:val="000000"/>
                <w:kern w:val="0"/>
                <w:sz w:val="24"/>
              </w:rPr>
            </w:pP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F5013F" w:rsidRPr="006506EF" w:rsidRDefault="00F5013F" w:rsidP="00B918B8">
            <w:pPr>
              <w:widowControl/>
              <w:spacing w:line="360" w:lineRule="auto"/>
              <w:jc w:val="left"/>
              <w:rPr>
                <w:color w:val="000000"/>
                <w:kern w:val="0"/>
                <w:sz w:val="24"/>
              </w:rPr>
            </w:pPr>
          </w:p>
        </w:tc>
        <w:tc>
          <w:tcPr>
            <w:tcW w:w="1418" w:type="dxa"/>
            <w:vMerge/>
            <w:vAlign w:val="center"/>
          </w:tcPr>
          <w:p w:rsidR="00F5013F" w:rsidRPr="006506EF" w:rsidRDefault="00F5013F" w:rsidP="00B918B8">
            <w:pPr>
              <w:widowControl/>
              <w:spacing w:line="360" w:lineRule="auto"/>
              <w:jc w:val="left"/>
              <w:rPr>
                <w:color w:val="000000"/>
                <w:kern w:val="0"/>
                <w:sz w:val="24"/>
              </w:rPr>
            </w:pPr>
          </w:p>
        </w:tc>
      </w:tr>
      <w:tr w:rsidR="005603F7">
        <w:tc>
          <w:tcPr>
            <w:tcW w:w="851" w:type="dxa"/>
            <w:vAlign w:val="center"/>
          </w:tcPr>
          <w:p w:rsidR="005603F7" w:rsidRDefault="007F78B3">
            <w:pPr>
              <w:jc w:val="center"/>
            </w:pPr>
            <w:r>
              <w:rPr>
                <w:color w:val="000000"/>
                <w:sz w:val="24"/>
              </w:rPr>
              <w:t>FAN BING(</w:t>
            </w:r>
            <w:r>
              <w:rPr>
                <w:color w:val="000000"/>
                <w:sz w:val="24"/>
              </w:rPr>
              <w:t>范冰</w:t>
            </w:r>
            <w:r>
              <w:rPr>
                <w:color w:val="000000"/>
                <w:sz w:val="24"/>
              </w:rPr>
              <w:t>)</w:t>
            </w:r>
          </w:p>
        </w:tc>
        <w:tc>
          <w:tcPr>
            <w:tcW w:w="3260" w:type="dxa"/>
            <w:vAlign w:val="center"/>
          </w:tcPr>
          <w:p w:rsidR="005603F7" w:rsidRDefault="007F78B3">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的基金经理、易方达黄金交易型开放式证券投资基金联接基金的基金经理、易方达黄金交易型开放式证券投资基金的基金经理、易方达标普医疗保健指数证券投资基金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w:t>
            </w:r>
            <w:r>
              <w:rPr>
                <w:color w:val="000000"/>
                <w:sz w:val="24"/>
              </w:rPr>
              <w:lastRenderedPageBreak/>
              <w:t>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5603F7" w:rsidRDefault="007F78B3">
            <w:pPr>
              <w:jc w:val="center"/>
            </w:pPr>
            <w:r>
              <w:rPr>
                <w:color w:val="000000"/>
                <w:sz w:val="24"/>
              </w:rPr>
              <w:lastRenderedPageBreak/>
              <w:t>2019-06-12</w:t>
            </w:r>
          </w:p>
        </w:tc>
        <w:tc>
          <w:tcPr>
            <w:tcW w:w="1276" w:type="dxa"/>
            <w:vAlign w:val="center"/>
          </w:tcPr>
          <w:p w:rsidR="005603F7" w:rsidRDefault="007F78B3">
            <w:pPr>
              <w:jc w:val="center"/>
            </w:pPr>
            <w:r>
              <w:rPr>
                <w:color w:val="000000"/>
                <w:sz w:val="24"/>
              </w:rPr>
              <w:t>-</w:t>
            </w:r>
          </w:p>
        </w:tc>
        <w:tc>
          <w:tcPr>
            <w:tcW w:w="850" w:type="dxa"/>
            <w:vAlign w:val="center"/>
          </w:tcPr>
          <w:p w:rsidR="005603F7" w:rsidRDefault="007F78B3">
            <w:pPr>
              <w:jc w:val="center"/>
            </w:pPr>
            <w:r>
              <w:rPr>
                <w:color w:val="000000"/>
                <w:sz w:val="24"/>
              </w:rPr>
              <w:t>14</w:t>
            </w:r>
            <w:r>
              <w:rPr>
                <w:color w:val="000000"/>
                <w:sz w:val="24"/>
              </w:rPr>
              <w:t>年</w:t>
            </w:r>
          </w:p>
        </w:tc>
        <w:tc>
          <w:tcPr>
            <w:tcW w:w="1418" w:type="dxa"/>
            <w:vAlign w:val="center"/>
          </w:tcPr>
          <w:p w:rsidR="005603F7" w:rsidRDefault="007F78B3">
            <w:pPr>
              <w:jc w:val="left"/>
            </w:pPr>
            <w:r>
              <w:rPr>
                <w:color w:val="000000"/>
                <w:sz w:val="24"/>
              </w:rPr>
              <w:t>新加坡籍，硕士研究生，曾任皇家加拿大银行托管部核算专员，美国道富集团</w:t>
            </w:r>
            <w:r>
              <w:rPr>
                <w:color w:val="000000"/>
                <w:sz w:val="24"/>
              </w:rPr>
              <w:t>Middle Office</w:t>
            </w:r>
            <w:r>
              <w:rPr>
                <w:color w:val="000000"/>
                <w:sz w:val="24"/>
              </w:rPr>
              <w:t>中台交易支持专员，巴克莱资产管理公司悉尼金融数据部高级金融数据分析员、悉尼金融数据部主管、新加坡金融</w:t>
            </w:r>
            <w:r>
              <w:rPr>
                <w:color w:val="000000"/>
                <w:sz w:val="24"/>
              </w:rPr>
              <w:t>数据部主管，贝莱德集团金融数据运营部部门经理、风险控</w:t>
            </w:r>
            <w:r>
              <w:rPr>
                <w:color w:val="000000"/>
                <w:sz w:val="24"/>
              </w:rPr>
              <w:lastRenderedPageBreak/>
              <w:t>制与咨询部客户经理、亚太股票指数基金部基金经理。</w:t>
            </w:r>
          </w:p>
        </w:tc>
      </w:tr>
      <w:tr w:rsidR="005603F7">
        <w:tc>
          <w:tcPr>
            <w:tcW w:w="851" w:type="dxa"/>
            <w:vAlign w:val="center"/>
          </w:tcPr>
          <w:p w:rsidR="005603F7" w:rsidRDefault="007F78B3">
            <w:pPr>
              <w:jc w:val="center"/>
            </w:pPr>
            <w:r>
              <w:rPr>
                <w:color w:val="000000"/>
                <w:sz w:val="24"/>
              </w:rPr>
              <w:lastRenderedPageBreak/>
              <w:t>余海燕</w:t>
            </w:r>
          </w:p>
        </w:tc>
        <w:tc>
          <w:tcPr>
            <w:tcW w:w="3260" w:type="dxa"/>
            <w:vAlign w:val="center"/>
          </w:tcPr>
          <w:p w:rsidR="005603F7" w:rsidRDefault="007F78B3">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w:t>
            </w:r>
            <w:r>
              <w:rPr>
                <w:color w:val="000000"/>
                <w:sz w:val="24"/>
              </w:rPr>
              <w:lastRenderedPageBreak/>
              <w:t>券投资基金联接基金的基金经理、易方达沪深</w:t>
            </w:r>
            <w:r>
              <w:rPr>
                <w:color w:val="000000"/>
                <w:sz w:val="24"/>
              </w:rPr>
              <w:t>300</w:t>
            </w:r>
            <w:r>
              <w:rPr>
                <w:color w:val="000000"/>
                <w:sz w:val="24"/>
              </w:rPr>
              <w:t>交易型开放式指数发起式证券投资基金的基金经</w:t>
            </w:r>
            <w:r>
              <w:rPr>
                <w:color w:val="000000"/>
                <w:sz w:val="24"/>
              </w:rPr>
              <w:t>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1276" w:type="dxa"/>
            <w:vAlign w:val="center"/>
          </w:tcPr>
          <w:p w:rsidR="005603F7" w:rsidRDefault="007F78B3">
            <w:pPr>
              <w:jc w:val="center"/>
            </w:pPr>
            <w:r>
              <w:rPr>
                <w:color w:val="000000"/>
                <w:sz w:val="24"/>
              </w:rPr>
              <w:lastRenderedPageBreak/>
              <w:t>2019-06-12</w:t>
            </w:r>
          </w:p>
        </w:tc>
        <w:tc>
          <w:tcPr>
            <w:tcW w:w="1276" w:type="dxa"/>
            <w:vAlign w:val="center"/>
          </w:tcPr>
          <w:p w:rsidR="005603F7" w:rsidRDefault="007F78B3">
            <w:pPr>
              <w:jc w:val="center"/>
            </w:pPr>
            <w:r>
              <w:rPr>
                <w:color w:val="000000"/>
                <w:sz w:val="24"/>
              </w:rPr>
              <w:t>-</w:t>
            </w:r>
          </w:p>
        </w:tc>
        <w:tc>
          <w:tcPr>
            <w:tcW w:w="850" w:type="dxa"/>
            <w:vAlign w:val="center"/>
          </w:tcPr>
          <w:p w:rsidR="005603F7" w:rsidRDefault="007F78B3">
            <w:pPr>
              <w:jc w:val="center"/>
            </w:pPr>
            <w:r>
              <w:rPr>
                <w:color w:val="000000"/>
                <w:sz w:val="24"/>
              </w:rPr>
              <w:t>14</w:t>
            </w:r>
            <w:r>
              <w:rPr>
                <w:color w:val="000000"/>
                <w:sz w:val="24"/>
              </w:rPr>
              <w:t>年</w:t>
            </w:r>
          </w:p>
        </w:tc>
        <w:tc>
          <w:tcPr>
            <w:tcW w:w="1418" w:type="dxa"/>
            <w:vAlign w:val="center"/>
          </w:tcPr>
          <w:p w:rsidR="005603F7" w:rsidRDefault="007F78B3">
            <w:pPr>
              <w:jc w:val="left"/>
            </w:pPr>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w:t>
            </w:r>
            <w:r>
              <w:rPr>
                <w:color w:val="000000"/>
                <w:sz w:val="24"/>
              </w:rPr>
              <w:t>发展部产品经理。</w:t>
            </w:r>
          </w:p>
        </w:tc>
      </w:tr>
    </w:tbl>
    <w:p w:rsidR="005603F7" w:rsidRDefault="007F78B3">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证券从业的含义遵从《证券业从业人员资格管理办法》的相关规定。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4.2 </w:t>
      </w:r>
      <w:r w:rsidRPr="006506EF">
        <w:rPr>
          <w:b/>
          <w:color w:val="000000"/>
          <w:kern w:val="0"/>
          <w:sz w:val="24"/>
        </w:rPr>
        <w:t>境外投资顾问为本基金提供投资建议的主要成员简介</w:t>
      </w:r>
    </w:p>
    <w:p w:rsidR="00F5013F" w:rsidRPr="006506EF" w:rsidRDefault="00F5013F" w:rsidP="00A70EAB">
      <w:pPr>
        <w:spacing w:line="360" w:lineRule="auto"/>
        <w:ind w:firstLineChars="200" w:firstLine="480"/>
        <w:rPr>
          <w:color w:val="000000"/>
          <w:sz w:val="24"/>
        </w:rPr>
      </w:pPr>
      <w:r w:rsidRPr="006506EF">
        <w:rPr>
          <w:color w:val="000000"/>
          <w:sz w:val="24"/>
        </w:rPr>
        <w:t>本基金未聘请境外投资顾问。</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4.3 </w:t>
      </w:r>
      <w:r w:rsidRPr="006506EF">
        <w:rPr>
          <w:b/>
          <w:color w:val="000000"/>
          <w:kern w:val="0"/>
          <w:sz w:val="24"/>
        </w:rPr>
        <w:t>报告期内本基金运作遵规守信情况说明</w:t>
      </w:r>
    </w:p>
    <w:p w:rsidR="00F5013F" w:rsidRPr="006506EF" w:rsidRDefault="00F5013F" w:rsidP="00A70EAB">
      <w:pPr>
        <w:spacing w:line="360" w:lineRule="auto"/>
        <w:ind w:firstLineChars="200" w:firstLine="480"/>
        <w:rPr>
          <w:color w:val="000000"/>
          <w:sz w:val="24"/>
        </w:rPr>
      </w:pPr>
      <w:r w:rsidRPr="006506EF">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4.4 </w:t>
      </w:r>
      <w:r w:rsidRPr="006506EF">
        <w:rPr>
          <w:b/>
          <w:color w:val="000000"/>
          <w:kern w:val="0"/>
          <w:sz w:val="24"/>
        </w:rPr>
        <w:t>公平交易专项说明</w:t>
      </w:r>
    </w:p>
    <w:p w:rsidR="00F5013F" w:rsidRPr="006506EF" w:rsidRDefault="00F5013F" w:rsidP="00A70E23">
      <w:pPr>
        <w:spacing w:line="360" w:lineRule="auto"/>
        <w:rPr>
          <w:sz w:val="24"/>
        </w:rPr>
      </w:pPr>
      <w:r w:rsidRPr="006506EF">
        <w:rPr>
          <w:sz w:val="24"/>
        </w:rPr>
        <w:t xml:space="preserve">4.4.1 </w:t>
      </w:r>
      <w:r w:rsidRPr="006506EF">
        <w:rPr>
          <w:sz w:val="24"/>
        </w:rPr>
        <w:t>公平交易制度的执行情况</w:t>
      </w:r>
    </w:p>
    <w:p w:rsidR="00F5013F" w:rsidRPr="006506EF" w:rsidRDefault="00F5013F" w:rsidP="00547F92">
      <w:pPr>
        <w:spacing w:line="360" w:lineRule="auto"/>
        <w:ind w:firstLineChars="200" w:firstLine="480"/>
        <w:rPr>
          <w:color w:val="000000"/>
          <w:sz w:val="24"/>
        </w:rPr>
      </w:pPr>
      <w:r w:rsidRPr="006506EF">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5013F" w:rsidRPr="006506EF" w:rsidRDefault="00F5013F" w:rsidP="00A70E23">
      <w:pPr>
        <w:spacing w:line="360" w:lineRule="auto"/>
        <w:rPr>
          <w:sz w:val="24"/>
        </w:rPr>
      </w:pPr>
      <w:r w:rsidRPr="006506EF">
        <w:rPr>
          <w:sz w:val="24"/>
        </w:rPr>
        <w:lastRenderedPageBreak/>
        <w:t>4.4.2</w:t>
      </w:r>
      <w:r w:rsidRPr="006506EF">
        <w:rPr>
          <w:sz w:val="24"/>
        </w:rPr>
        <w:t>异常交易行为的专项说明</w:t>
      </w:r>
    </w:p>
    <w:p w:rsidR="005603F7" w:rsidRDefault="007F78B3">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w:t>
      </w:r>
      <w:r>
        <w:rPr>
          <w:color w:val="000000"/>
          <w:sz w:val="24"/>
        </w:rPr>
        <w:t>量化投资组合因投资策略需要和其他组合发生的反向交易。</w:t>
      </w:r>
    </w:p>
    <w:p w:rsidR="00F5013F" w:rsidRPr="006506EF" w:rsidRDefault="00F5013F" w:rsidP="00A70EAB">
      <w:pPr>
        <w:spacing w:line="360" w:lineRule="auto"/>
        <w:ind w:firstLineChars="200" w:firstLine="480"/>
        <w:rPr>
          <w:color w:val="000000"/>
          <w:sz w:val="24"/>
        </w:rPr>
      </w:pPr>
      <w:r w:rsidRPr="006506EF">
        <w:rPr>
          <w:color w:val="000000"/>
          <w:sz w:val="24"/>
        </w:rPr>
        <w:t>本报告期内，未发现本基金有可能导致不公平交易和利益输送的异常交易。</w:t>
      </w:r>
    </w:p>
    <w:p w:rsidR="00F5013F" w:rsidRPr="006506EF" w:rsidRDefault="00F5013F" w:rsidP="00E13203">
      <w:pPr>
        <w:autoSpaceDE w:val="0"/>
        <w:autoSpaceDN w:val="0"/>
        <w:adjustRightInd w:val="0"/>
        <w:spacing w:line="360" w:lineRule="auto"/>
        <w:jc w:val="left"/>
        <w:rPr>
          <w:sz w:val="24"/>
        </w:rPr>
      </w:pPr>
      <w:r w:rsidRPr="006506EF">
        <w:rPr>
          <w:b/>
          <w:color w:val="000000"/>
          <w:kern w:val="0"/>
          <w:sz w:val="24"/>
        </w:rPr>
        <w:t>4.5</w:t>
      </w:r>
      <w:r w:rsidR="006F7291">
        <w:rPr>
          <w:rFonts w:hint="eastAsia"/>
          <w:b/>
          <w:color w:val="000000"/>
          <w:kern w:val="0"/>
          <w:sz w:val="24"/>
        </w:rPr>
        <w:t xml:space="preserve"> </w:t>
      </w:r>
      <w:r w:rsidR="00E13203" w:rsidRPr="00E13203">
        <w:rPr>
          <w:rFonts w:hint="eastAsia"/>
          <w:b/>
          <w:color w:val="000000"/>
          <w:kern w:val="0"/>
          <w:sz w:val="24"/>
        </w:rPr>
        <w:t>报告期内基金的投资策略和业绩表现说明</w:t>
      </w:r>
    </w:p>
    <w:p w:rsidR="005603F7" w:rsidRDefault="007F78B3">
      <w:pPr>
        <w:spacing w:line="360" w:lineRule="auto"/>
        <w:ind w:firstLineChars="200" w:firstLine="480"/>
        <w:rPr>
          <w:color w:val="000000"/>
          <w:sz w:val="24"/>
        </w:rPr>
      </w:pPr>
      <w:r>
        <w:rPr>
          <w:color w:val="000000"/>
          <w:sz w:val="24"/>
        </w:rPr>
        <w:t>回顾</w:t>
      </w:r>
      <w:r>
        <w:rPr>
          <w:color w:val="000000"/>
          <w:sz w:val="24"/>
        </w:rPr>
        <w:t>2019</w:t>
      </w:r>
      <w:r>
        <w:rPr>
          <w:color w:val="000000"/>
          <w:sz w:val="24"/>
        </w:rPr>
        <w:t>年三季度，全球经济增长动能放缓，美国经济面临的压力进一步加大，就业和制造业</w:t>
      </w:r>
      <w:r>
        <w:rPr>
          <w:color w:val="000000"/>
          <w:sz w:val="24"/>
        </w:rPr>
        <w:t>PMI</w:t>
      </w:r>
      <w:r>
        <w:rPr>
          <w:color w:val="000000"/>
          <w:sz w:val="24"/>
        </w:rPr>
        <w:t>等宏观经济指标不达预期。美联储</w:t>
      </w:r>
      <w:r>
        <w:rPr>
          <w:color w:val="000000"/>
          <w:sz w:val="24"/>
        </w:rPr>
        <w:t>7</w:t>
      </w:r>
      <w:r>
        <w:rPr>
          <w:color w:val="000000"/>
          <w:sz w:val="24"/>
        </w:rPr>
        <w:t>月如期降息但指引偏鹰派，紧随其后的贸易摩擦升级推升了市场的避险情绪，美债收益率出现了倒挂的情形。</w:t>
      </w:r>
      <w:r>
        <w:rPr>
          <w:color w:val="000000"/>
          <w:sz w:val="24"/>
        </w:rPr>
        <w:t>9</w:t>
      </w:r>
      <w:r>
        <w:rPr>
          <w:color w:val="000000"/>
          <w:sz w:val="24"/>
        </w:rPr>
        <w:t>月以来，美联储再次降息</w:t>
      </w:r>
      <w:r>
        <w:rPr>
          <w:color w:val="000000"/>
          <w:sz w:val="24"/>
        </w:rPr>
        <w:t>0.25%</w:t>
      </w:r>
      <w:r>
        <w:rPr>
          <w:color w:val="000000"/>
          <w:sz w:val="24"/>
        </w:rPr>
        <w:t>，货币宽松节奏加快，中美贸易谈判前景仍然充满不确定性。欧洲</w:t>
      </w:r>
      <w:r>
        <w:rPr>
          <w:color w:val="000000"/>
          <w:sz w:val="24"/>
        </w:rPr>
        <w:t>PMI</w:t>
      </w:r>
      <w:r>
        <w:rPr>
          <w:color w:val="000000"/>
          <w:sz w:val="24"/>
        </w:rPr>
        <w:t>低于预期，英国硬脱欧的风险</w:t>
      </w:r>
      <w:r>
        <w:rPr>
          <w:color w:val="000000"/>
          <w:sz w:val="24"/>
        </w:rPr>
        <w:t>加大，全球主要央行竞相通过宽松的货币政策应对经济下行的压力。日本在三季度末上调消费税率，短期对日股走势有一定影响，但全球避险情绪的升温对日元和日股有一定的提振。</w:t>
      </w:r>
    </w:p>
    <w:p w:rsidR="005603F7" w:rsidRDefault="007F78B3">
      <w:pPr>
        <w:spacing w:line="360" w:lineRule="auto"/>
        <w:ind w:firstLineChars="200" w:firstLine="480"/>
        <w:rPr>
          <w:color w:val="000000"/>
          <w:sz w:val="24"/>
        </w:rPr>
      </w:pPr>
      <w:r>
        <w:rPr>
          <w:color w:val="000000"/>
          <w:sz w:val="24"/>
        </w:rPr>
        <w:t>作为追踪日经</w:t>
      </w:r>
      <w:r>
        <w:rPr>
          <w:color w:val="000000"/>
          <w:sz w:val="24"/>
        </w:rPr>
        <w:t>225</w:t>
      </w:r>
      <w:r>
        <w:rPr>
          <w:color w:val="000000"/>
          <w:sz w:val="24"/>
        </w:rPr>
        <w:t>指数的被动式海外指数基金，本基金通过投资日兴资管日经</w:t>
      </w:r>
      <w:r>
        <w:rPr>
          <w:color w:val="000000"/>
          <w:sz w:val="24"/>
        </w:rPr>
        <w:t>225ETF</w:t>
      </w:r>
      <w:r>
        <w:rPr>
          <w:color w:val="000000"/>
          <w:sz w:val="24"/>
        </w:rPr>
        <w:t>（</w:t>
      </w:r>
      <w:r>
        <w:rPr>
          <w:color w:val="000000"/>
          <w:sz w:val="24"/>
        </w:rPr>
        <w:t>1330 JP</w:t>
      </w:r>
      <w:r>
        <w:rPr>
          <w:color w:val="000000"/>
          <w:sz w:val="24"/>
        </w:rPr>
        <w:t>）来实现对标的指数的紧密跟踪，追求跟踪偏离度和跟踪误差的最小化。</w:t>
      </w:r>
    </w:p>
    <w:p w:rsidR="00F5013F" w:rsidRPr="006506EF" w:rsidRDefault="00F5013F" w:rsidP="00A70EAB">
      <w:pPr>
        <w:spacing w:line="360" w:lineRule="auto"/>
        <w:ind w:firstLineChars="200" w:firstLine="480"/>
        <w:rPr>
          <w:color w:val="000000"/>
          <w:sz w:val="24"/>
        </w:rPr>
      </w:pPr>
      <w:r w:rsidRPr="006506EF">
        <w:rPr>
          <w:color w:val="000000"/>
          <w:sz w:val="24"/>
        </w:rPr>
        <w:t>截至报告期末，本基金份额净值为</w:t>
      </w:r>
      <w:r w:rsidRPr="006506EF">
        <w:rPr>
          <w:color w:val="000000"/>
          <w:sz w:val="24"/>
        </w:rPr>
        <w:t>1.0542</w:t>
      </w:r>
      <w:r w:rsidRPr="006506EF">
        <w:rPr>
          <w:color w:val="000000"/>
          <w:sz w:val="24"/>
        </w:rPr>
        <w:t>元，本报告期份额净值增长率为</w:t>
      </w:r>
      <w:r w:rsidRPr="006506EF">
        <w:rPr>
          <w:color w:val="000000"/>
          <w:sz w:val="24"/>
        </w:rPr>
        <w:t>5.44%</w:t>
      </w:r>
      <w:r w:rsidRPr="006506EF">
        <w:rPr>
          <w:color w:val="000000"/>
          <w:sz w:val="24"/>
        </w:rPr>
        <w:t>，同期业绩比较基准收益率为</w:t>
      </w:r>
      <w:r w:rsidRPr="006506EF">
        <w:rPr>
          <w:color w:val="000000"/>
          <w:sz w:val="24"/>
        </w:rPr>
        <w:t>5.27%</w:t>
      </w:r>
      <w:r w:rsidRPr="006506EF">
        <w:rPr>
          <w:color w:val="000000"/>
          <w:sz w:val="24"/>
        </w:rPr>
        <w:t>，年化跟踪误差</w:t>
      </w:r>
      <w:r w:rsidRPr="006506EF">
        <w:rPr>
          <w:color w:val="000000"/>
          <w:sz w:val="24"/>
        </w:rPr>
        <w:t>2.150%</w:t>
      </w:r>
      <w:r w:rsidRPr="006506EF">
        <w:rPr>
          <w:color w:val="000000"/>
          <w:sz w:val="24"/>
        </w:rPr>
        <w:t>，在合同规定的目标控制范围之内。</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§5  </w:t>
      </w:r>
      <w:r w:rsidRPr="006506EF">
        <w:rPr>
          <w:color w:val="000000"/>
          <w:kern w:val="0"/>
          <w:sz w:val="24"/>
          <w:szCs w:val="24"/>
        </w:rPr>
        <w:t>投资组合报告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5.1 </w:t>
      </w:r>
      <w:r w:rsidRPr="006506EF">
        <w:rPr>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序号</w:t>
            </w:r>
          </w:p>
        </w:tc>
        <w:tc>
          <w:tcPr>
            <w:tcW w:w="4253"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项目</w:t>
            </w:r>
          </w:p>
        </w:tc>
        <w:tc>
          <w:tcPr>
            <w:tcW w:w="2835"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金额</w:t>
            </w:r>
            <w:r w:rsidRPr="006506EF">
              <w:rPr>
                <w:color w:val="000000"/>
                <w:sz w:val="24"/>
              </w:rPr>
              <w:t>(</w:t>
            </w:r>
            <w:r w:rsidRPr="006506EF">
              <w:rPr>
                <w:color w:val="000000"/>
                <w:sz w:val="24"/>
              </w:rPr>
              <w:t>人民币元</w:t>
            </w:r>
            <w:r w:rsidRPr="006506EF">
              <w:rPr>
                <w:color w:val="000000"/>
                <w:sz w:val="24"/>
              </w:rPr>
              <w:t>)</w:t>
            </w:r>
          </w:p>
        </w:tc>
        <w:tc>
          <w:tcPr>
            <w:tcW w:w="1559"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占基金总资产的比例</w:t>
            </w: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1</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权益投资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其中：普通股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存托凭证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优先股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房地产信托</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2</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基金投资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99,145,703.91</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97.10</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3</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固定收益投资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其中：债券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autoSpaceDE w:val="0"/>
              <w:autoSpaceDN w:val="0"/>
              <w:adjustRightInd w:val="0"/>
              <w:spacing w:before="29" w:line="360" w:lineRule="auto"/>
              <w:ind w:left="17" w:firstLineChars="300" w:firstLine="720"/>
              <w:jc w:val="left"/>
              <w:rPr>
                <w:color w:val="000000"/>
                <w:sz w:val="24"/>
              </w:rPr>
            </w:pPr>
            <w:r w:rsidRPr="006506EF">
              <w:rPr>
                <w:color w:val="000000"/>
                <w:sz w:val="24"/>
              </w:rPr>
              <w:t>资产支持证券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4</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金融衍生品投资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其中：远期</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Del="00455464" w:rsidRDefault="00F5013F" w:rsidP="00547F92">
            <w:pPr>
              <w:adjustRightInd w:val="0"/>
              <w:snapToGrid w:val="0"/>
              <w:spacing w:line="400" w:lineRule="exact"/>
              <w:ind w:firstLineChars="300" w:firstLine="720"/>
              <w:rPr>
                <w:color w:val="000000"/>
                <w:sz w:val="24"/>
              </w:rPr>
            </w:pPr>
            <w:r w:rsidRPr="006506EF">
              <w:rPr>
                <w:color w:val="000000"/>
                <w:sz w:val="24"/>
              </w:rPr>
              <w:t>期货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300" w:firstLine="720"/>
              <w:rPr>
                <w:color w:val="000000"/>
                <w:sz w:val="24"/>
              </w:rPr>
            </w:pPr>
            <w:r w:rsidRPr="006506EF">
              <w:rPr>
                <w:color w:val="000000"/>
                <w:sz w:val="24"/>
              </w:rPr>
              <w:t>期权</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298" w:firstLine="715"/>
              <w:rPr>
                <w:color w:val="000000"/>
                <w:sz w:val="24"/>
              </w:rPr>
            </w:pPr>
            <w:r w:rsidRPr="006506EF">
              <w:rPr>
                <w:color w:val="000000"/>
                <w:sz w:val="24"/>
              </w:rPr>
              <w:t>权证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5</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其中：买断式回购的买入返售金融资产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6</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货币市场工具</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7</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银行存款和结算备付金合计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2,892,635.53</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2.83</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8</w:t>
            </w:r>
          </w:p>
        </w:tc>
        <w:tc>
          <w:tcPr>
            <w:tcW w:w="4253" w:type="dxa"/>
            <w:vAlign w:val="center"/>
          </w:tcPr>
          <w:p w:rsidR="00F5013F" w:rsidRPr="006506EF" w:rsidRDefault="00F5013F" w:rsidP="00B918B8">
            <w:pPr>
              <w:jc w:val="left"/>
              <w:rPr>
                <w:sz w:val="24"/>
              </w:rPr>
            </w:pPr>
            <w:r w:rsidRPr="006506EF">
              <w:rPr>
                <w:color w:val="000000"/>
                <w:sz w:val="24"/>
              </w:rPr>
              <w:t>其他资产</w:t>
            </w:r>
          </w:p>
        </w:tc>
        <w:tc>
          <w:tcPr>
            <w:tcW w:w="2835" w:type="dxa"/>
            <w:vAlign w:val="center"/>
          </w:tcPr>
          <w:p w:rsidR="00F5013F" w:rsidRPr="006506EF" w:rsidRDefault="00F5013F" w:rsidP="00BF1DD5">
            <w:pPr>
              <w:jc w:val="right"/>
              <w:rPr>
                <w:color w:val="000000"/>
                <w:sz w:val="24"/>
              </w:rPr>
            </w:pPr>
            <w:r w:rsidRPr="006506EF">
              <w:rPr>
                <w:color w:val="000000"/>
                <w:sz w:val="24"/>
              </w:rPr>
              <w:t>70,035.40</w:t>
            </w:r>
          </w:p>
        </w:tc>
        <w:tc>
          <w:tcPr>
            <w:tcW w:w="1559" w:type="dxa"/>
            <w:vAlign w:val="center"/>
          </w:tcPr>
          <w:p w:rsidR="00F5013F" w:rsidRPr="006506EF" w:rsidRDefault="00F5013F" w:rsidP="00BF1DD5">
            <w:pPr>
              <w:jc w:val="right"/>
              <w:rPr>
                <w:color w:val="000000"/>
                <w:sz w:val="24"/>
              </w:rPr>
            </w:pPr>
            <w:r w:rsidRPr="006506EF">
              <w:rPr>
                <w:color w:val="000000"/>
                <w:sz w:val="24"/>
              </w:rPr>
              <w:t>0.07</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9</w:t>
            </w:r>
          </w:p>
        </w:tc>
        <w:tc>
          <w:tcPr>
            <w:tcW w:w="4253" w:type="dxa"/>
            <w:vAlign w:val="center"/>
          </w:tcPr>
          <w:p w:rsidR="00F5013F" w:rsidRPr="006506EF" w:rsidRDefault="00F5013F" w:rsidP="00B918B8">
            <w:pPr>
              <w:jc w:val="left"/>
              <w:rPr>
                <w:sz w:val="24"/>
              </w:rPr>
            </w:pPr>
            <w:r w:rsidRPr="006506EF">
              <w:rPr>
                <w:color w:val="000000"/>
                <w:sz w:val="24"/>
              </w:rPr>
              <w:t>合计</w:t>
            </w:r>
          </w:p>
        </w:tc>
        <w:tc>
          <w:tcPr>
            <w:tcW w:w="2835" w:type="dxa"/>
            <w:vAlign w:val="center"/>
          </w:tcPr>
          <w:p w:rsidR="00F5013F" w:rsidRPr="006506EF" w:rsidRDefault="00F5013F" w:rsidP="00BF1DD5">
            <w:pPr>
              <w:jc w:val="right"/>
              <w:rPr>
                <w:color w:val="000000"/>
                <w:sz w:val="24"/>
              </w:rPr>
            </w:pPr>
            <w:r w:rsidRPr="006506EF">
              <w:rPr>
                <w:color w:val="000000"/>
                <w:sz w:val="24"/>
              </w:rPr>
              <w:t>102,108,374.84</w:t>
            </w:r>
          </w:p>
        </w:tc>
        <w:tc>
          <w:tcPr>
            <w:tcW w:w="1559" w:type="dxa"/>
            <w:vAlign w:val="center"/>
          </w:tcPr>
          <w:p w:rsidR="00F5013F" w:rsidRPr="006506EF" w:rsidRDefault="00F5013F" w:rsidP="00BF1DD5">
            <w:pPr>
              <w:jc w:val="right"/>
              <w:rPr>
                <w:color w:val="000000"/>
                <w:sz w:val="24"/>
              </w:rPr>
            </w:pPr>
            <w:r w:rsidRPr="006506EF">
              <w:rPr>
                <w:color w:val="000000"/>
                <w:sz w:val="24"/>
              </w:rPr>
              <w:t>100.00</w:t>
            </w:r>
          </w:p>
        </w:tc>
      </w:tr>
    </w:tbl>
    <w:p w:rsidR="00F5013F" w:rsidRPr="006506EF" w:rsidRDefault="00F5013F" w:rsidP="00A70EAB">
      <w:pPr>
        <w:spacing w:line="360" w:lineRule="auto"/>
        <w:ind w:firstLineChars="200" w:firstLine="480"/>
        <w:rPr>
          <w:color w:val="000000"/>
          <w:sz w:val="24"/>
        </w:rPr>
      </w:pPr>
      <w:r w:rsidRPr="006506EF">
        <w:rPr>
          <w:color w:val="000000"/>
          <w:sz w:val="24"/>
        </w:rPr>
        <w:t>注：上表中的基金投资项含可退替代款估值增值，而</w:t>
      </w:r>
      <w:r w:rsidRPr="006506EF">
        <w:rPr>
          <w:color w:val="000000"/>
          <w:sz w:val="24"/>
        </w:rPr>
        <w:t>5.9</w:t>
      </w:r>
      <w:r w:rsidRPr="006506EF">
        <w:rPr>
          <w:color w:val="000000"/>
          <w:sz w:val="24"/>
        </w:rPr>
        <w:t>的明细项不含可退替代款估值增值。</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5.2 </w:t>
      </w:r>
      <w:r w:rsidRPr="006506EF">
        <w:rPr>
          <w:b/>
          <w:color w:val="000000"/>
          <w:kern w:val="0"/>
          <w:sz w:val="24"/>
        </w:rPr>
        <w:t>报告期末在各个国家（地区）证券市场的股票及存托凭证投资分布</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本基金本报告期末未持有权益投资。</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5.3 </w:t>
      </w:r>
      <w:r w:rsidRPr="006506EF">
        <w:rPr>
          <w:b/>
          <w:color w:val="000000"/>
          <w:kern w:val="0"/>
          <w:sz w:val="24"/>
        </w:rPr>
        <w:t>报告期末按行业分类的股票及存托凭证投资组合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本基金本报告期末未持有权益投资。</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5.4 </w:t>
      </w:r>
      <w:r w:rsidRPr="006506EF">
        <w:rPr>
          <w:b/>
          <w:color w:val="000000"/>
          <w:kern w:val="0"/>
          <w:sz w:val="24"/>
        </w:rPr>
        <w:t>报告期末按公允价值占基金资产净值比例大小排序的前十名股票及存托凭证投资明细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本基金本报告期末未持有权益投资。</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5.5 </w:t>
      </w:r>
      <w:r w:rsidRPr="006506EF">
        <w:rPr>
          <w:b/>
          <w:color w:val="000000"/>
          <w:kern w:val="0"/>
          <w:sz w:val="24"/>
        </w:rPr>
        <w:t>报告期末按债券信用等级分类的债券投资组合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5.6</w:t>
      </w:r>
      <w:r w:rsidR="00547F92" w:rsidRPr="006506EF">
        <w:rPr>
          <w:b/>
          <w:color w:val="000000"/>
          <w:kern w:val="0"/>
          <w:sz w:val="24"/>
        </w:rPr>
        <w:t>报告期末按公允价值占基金资产净值比例大小排序</w:t>
      </w:r>
      <w:r w:rsidRPr="006506EF">
        <w:rPr>
          <w:b/>
          <w:color w:val="000000"/>
          <w:kern w:val="0"/>
          <w:sz w:val="24"/>
        </w:rPr>
        <w:t>的前五名债券投资明细</w:t>
      </w:r>
    </w:p>
    <w:p w:rsidR="00F5013F" w:rsidRPr="006506EF" w:rsidRDefault="00F5013F" w:rsidP="00A70EAB">
      <w:pPr>
        <w:spacing w:line="360" w:lineRule="auto"/>
        <w:ind w:firstLineChars="200" w:firstLine="480"/>
        <w:rPr>
          <w:color w:val="000000"/>
          <w:sz w:val="24"/>
        </w:rPr>
      </w:pPr>
      <w:r w:rsidRPr="006506EF">
        <w:rPr>
          <w:color w:val="000000"/>
          <w:sz w:val="24"/>
        </w:rPr>
        <w:lastRenderedPageBreak/>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5.7</w:t>
      </w:r>
      <w:r w:rsidR="00547F92" w:rsidRPr="006506EF">
        <w:rPr>
          <w:b/>
          <w:color w:val="000000"/>
          <w:kern w:val="0"/>
          <w:sz w:val="24"/>
        </w:rPr>
        <w:t>报告期末按公允价值占基金资产净值比例大小排序</w:t>
      </w:r>
      <w:r w:rsidRPr="006506EF">
        <w:rPr>
          <w:b/>
          <w:color w:val="000000"/>
          <w:kern w:val="0"/>
          <w:sz w:val="24"/>
        </w:rPr>
        <w:t>的前十名资产支持证券投资明细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本基金本报告期末未持有资产支持证券。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5.8 </w:t>
      </w:r>
      <w:r w:rsidR="00547F92" w:rsidRPr="006506EF">
        <w:rPr>
          <w:b/>
          <w:color w:val="000000"/>
          <w:kern w:val="0"/>
          <w:sz w:val="24"/>
        </w:rPr>
        <w:t>报告期末按公允价值占基金资产净值比例大小排序</w:t>
      </w:r>
      <w:r w:rsidRPr="006506EF">
        <w:rPr>
          <w:b/>
          <w:color w:val="000000"/>
          <w:kern w:val="0"/>
          <w:sz w:val="24"/>
        </w:rPr>
        <w:t>的前五名金融衍生品投资明细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6"/>
        <w:gridCol w:w="1465"/>
        <w:gridCol w:w="2550"/>
        <w:gridCol w:w="1481"/>
        <w:gridCol w:w="1551"/>
      </w:tblGrid>
      <w:tr w:rsidR="00F5013F" w:rsidRPr="006506EF" w:rsidTr="0007178B">
        <w:tc>
          <w:tcPr>
            <w:tcW w:w="17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序号</w:t>
            </w:r>
          </w:p>
        </w:tc>
        <w:tc>
          <w:tcPr>
            <w:tcW w:w="17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衍生品类别</w:t>
            </w:r>
          </w:p>
        </w:tc>
        <w:tc>
          <w:tcPr>
            <w:tcW w:w="170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衍生品名称</w:t>
            </w:r>
          </w:p>
        </w:tc>
        <w:tc>
          <w:tcPr>
            <w:tcW w:w="170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w:t>
            </w:r>
            <w:r w:rsidRPr="006506EF">
              <w:rPr>
                <w:color w:val="000000"/>
                <w:kern w:val="0"/>
                <w:sz w:val="24"/>
              </w:rPr>
              <w:t>人民币元</w:t>
            </w:r>
            <w:r w:rsidRPr="006506EF">
              <w:rPr>
                <w:color w:val="000000"/>
                <w:kern w:val="0"/>
                <w:sz w:val="24"/>
              </w:rPr>
              <w:t>)</w:t>
            </w:r>
          </w:p>
        </w:tc>
        <w:tc>
          <w:tcPr>
            <w:tcW w:w="170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净值比例（</w:t>
            </w:r>
            <w:r w:rsidRPr="006506EF">
              <w:rPr>
                <w:color w:val="000000"/>
                <w:kern w:val="0"/>
                <w:sz w:val="24"/>
              </w:rPr>
              <w:t>%</w:t>
            </w:r>
            <w:r w:rsidRPr="006506EF">
              <w:rPr>
                <w:color w:val="000000"/>
                <w:kern w:val="0"/>
                <w:sz w:val="24"/>
              </w:rPr>
              <w:t>）</w:t>
            </w:r>
          </w:p>
        </w:tc>
      </w:tr>
      <w:tr w:rsidR="005603F7">
        <w:tc>
          <w:tcPr>
            <w:tcW w:w="0" w:type="auto"/>
            <w:vAlign w:val="center"/>
          </w:tcPr>
          <w:p w:rsidR="005603F7" w:rsidRDefault="007F78B3">
            <w:pPr>
              <w:jc w:val="center"/>
            </w:pPr>
            <w:r>
              <w:rPr>
                <w:color w:val="000000"/>
                <w:sz w:val="24"/>
              </w:rPr>
              <w:t>1</w:t>
            </w:r>
          </w:p>
        </w:tc>
        <w:tc>
          <w:tcPr>
            <w:tcW w:w="0" w:type="auto"/>
            <w:vAlign w:val="center"/>
          </w:tcPr>
          <w:p w:rsidR="005603F7" w:rsidRDefault="007F78B3">
            <w:pPr>
              <w:jc w:val="center"/>
            </w:pPr>
            <w:r>
              <w:rPr>
                <w:color w:val="000000"/>
                <w:sz w:val="24"/>
              </w:rPr>
              <w:t>股指期货</w:t>
            </w:r>
          </w:p>
        </w:tc>
        <w:tc>
          <w:tcPr>
            <w:tcW w:w="0" w:type="auto"/>
            <w:vAlign w:val="center"/>
          </w:tcPr>
          <w:p w:rsidR="005603F7" w:rsidRDefault="007F78B3">
            <w:pPr>
              <w:jc w:val="center"/>
            </w:pPr>
            <w:r>
              <w:rPr>
                <w:color w:val="000000"/>
                <w:sz w:val="24"/>
              </w:rPr>
              <w:t>NIKKEI 225 (SGX) Dec 19</w:t>
            </w:r>
          </w:p>
        </w:tc>
        <w:tc>
          <w:tcPr>
            <w:tcW w:w="0" w:type="auto"/>
            <w:vAlign w:val="center"/>
          </w:tcPr>
          <w:p w:rsidR="005603F7" w:rsidRDefault="007F78B3">
            <w:pPr>
              <w:jc w:val="right"/>
            </w:pPr>
            <w:r>
              <w:rPr>
                <w:color w:val="000000"/>
                <w:sz w:val="24"/>
              </w:rPr>
              <w:t>-</w:t>
            </w:r>
          </w:p>
        </w:tc>
        <w:tc>
          <w:tcPr>
            <w:tcW w:w="0" w:type="auto"/>
            <w:vAlign w:val="center"/>
          </w:tcPr>
          <w:p w:rsidR="005603F7" w:rsidRDefault="007F78B3">
            <w:pPr>
              <w:jc w:val="right"/>
            </w:pPr>
            <w:r>
              <w:rPr>
                <w:color w:val="000000"/>
                <w:sz w:val="24"/>
              </w:rPr>
              <w:t>-</w:t>
            </w:r>
          </w:p>
        </w:tc>
      </w:tr>
    </w:tbl>
    <w:p w:rsidR="00F5013F" w:rsidRPr="006506EF" w:rsidRDefault="00F5013F" w:rsidP="00A70EAB">
      <w:pPr>
        <w:spacing w:line="360" w:lineRule="auto"/>
        <w:ind w:firstLineChars="200" w:firstLine="480"/>
        <w:rPr>
          <w:color w:val="000000"/>
          <w:sz w:val="24"/>
        </w:rPr>
      </w:pPr>
      <w:r w:rsidRPr="006506EF">
        <w:rPr>
          <w:color w:val="000000"/>
          <w:sz w:val="24"/>
        </w:rPr>
        <w:t>注：按照期货每日无负债结算的结算规则，根据《基金股指期货投资会计业务核算细则</w:t>
      </w:r>
      <w:r w:rsidRPr="006506EF">
        <w:rPr>
          <w:color w:val="000000"/>
          <w:sz w:val="24"/>
        </w:rPr>
        <w:t>(</w:t>
      </w:r>
      <w:r w:rsidRPr="006506EF">
        <w:rPr>
          <w:color w:val="000000"/>
          <w:sz w:val="24"/>
        </w:rPr>
        <w:t>试行</w:t>
      </w:r>
      <w:r w:rsidRPr="006506EF">
        <w:rPr>
          <w:color w:val="000000"/>
          <w:sz w:val="24"/>
        </w:rPr>
        <w:t>)</w:t>
      </w:r>
      <w:r w:rsidRPr="006506EF">
        <w:rPr>
          <w:color w:val="000000"/>
          <w:sz w:val="24"/>
        </w:rPr>
        <w:t>》及《企业会计准则</w:t>
      </w:r>
      <w:r w:rsidRPr="006506EF">
        <w:rPr>
          <w:color w:val="000000"/>
          <w:sz w:val="24"/>
        </w:rPr>
        <w:t>-</w:t>
      </w:r>
      <w:r w:rsidRPr="006506EF">
        <w:rPr>
          <w:color w:val="000000"/>
          <w:sz w:val="24"/>
        </w:rPr>
        <w:t>金融工具列报》的相关规定，</w:t>
      </w:r>
      <w:r w:rsidRPr="006506EF">
        <w:rPr>
          <w:color w:val="000000"/>
          <w:sz w:val="24"/>
        </w:rPr>
        <w:t>“</w:t>
      </w:r>
      <w:r w:rsidRPr="006506EF">
        <w:rPr>
          <w:color w:val="000000"/>
          <w:sz w:val="24"/>
        </w:rPr>
        <w:t>其他衍生工具</w:t>
      </w:r>
      <w:r w:rsidRPr="006506EF">
        <w:rPr>
          <w:color w:val="000000"/>
          <w:sz w:val="24"/>
        </w:rPr>
        <w:t>-</w:t>
      </w:r>
      <w:r w:rsidRPr="006506EF">
        <w:rPr>
          <w:color w:val="000000"/>
          <w:sz w:val="24"/>
        </w:rPr>
        <w:t>期货投资</w:t>
      </w:r>
      <w:r w:rsidRPr="006506EF">
        <w:rPr>
          <w:color w:val="000000"/>
          <w:sz w:val="24"/>
        </w:rPr>
        <w:t>”</w:t>
      </w:r>
      <w:r w:rsidRPr="006506EF">
        <w:rPr>
          <w:color w:val="000000"/>
          <w:sz w:val="24"/>
        </w:rPr>
        <w:t>与</w:t>
      </w:r>
      <w:r w:rsidRPr="006506EF">
        <w:rPr>
          <w:color w:val="000000"/>
          <w:sz w:val="24"/>
        </w:rPr>
        <w:t>“</w:t>
      </w:r>
      <w:r w:rsidRPr="006506EF">
        <w:rPr>
          <w:color w:val="000000"/>
          <w:sz w:val="24"/>
        </w:rPr>
        <w:t>证券清算款</w:t>
      </w:r>
      <w:r w:rsidRPr="006506EF">
        <w:rPr>
          <w:color w:val="000000"/>
          <w:sz w:val="24"/>
        </w:rPr>
        <w:t>-</w:t>
      </w:r>
      <w:r w:rsidRPr="006506EF">
        <w:rPr>
          <w:color w:val="000000"/>
          <w:sz w:val="24"/>
        </w:rPr>
        <w:t>期货每日无负债结算暂收暂付款</w:t>
      </w:r>
      <w:r w:rsidRPr="006506EF">
        <w:rPr>
          <w:color w:val="000000"/>
          <w:sz w:val="24"/>
        </w:rPr>
        <w:t>”</w:t>
      </w:r>
      <w:r w:rsidRPr="006506EF">
        <w:rPr>
          <w:color w:val="000000"/>
          <w:sz w:val="24"/>
        </w:rPr>
        <w:t>，符合金融资产与金融负债相抵销的条件，故将</w:t>
      </w:r>
      <w:r w:rsidRPr="006506EF">
        <w:rPr>
          <w:color w:val="000000"/>
          <w:sz w:val="24"/>
        </w:rPr>
        <w:t>“</w:t>
      </w:r>
      <w:r w:rsidRPr="006506EF">
        <w:rPr>
          <w:color w:val="000000"/>
          <w:sz w:val="24"/>
        </w:rPr>
        <w:t>其他衍生工具</w:t>
      </w:r>
      <w:r w:rsidRPr="006506EF">
        <w:rPr>
          <w:color w:val="000000"/>
          <w:sz w:val="24"/>
        </w:rPr>
        <w:t>-</w:t>
      </w:r>
      <w:r w:rsidRPr="006506EF">
        <w:rPr>
          <w:color w:val="000000"/>
          <w:sz w:val="24"/>
        </w:rPr>
        <w:t>期货投资</w:t>
      </w:r>
      <w:r w:rsidRPr="006506EF">
        <w:rPr>
          <w:color w:val="000000"/>
          <w:sz w:val="24"/>
        </w:rPr>
        <w:t>”</w:t>
      </w:r>
      <w:r w:rsidRPr="006506EF">
        <w:rPr>
          <w:color w:val="000000"/>
          <w:sz w:val="24"/>
        </w:rPr>
        <w:t>的期末公允价值以抵销后的净额列报，净额为零。期货投资的公允价值变动金额为</w:t>
      </w:r>
      <w:r w:rsidRPr="006506EF">
        <w:rPr>
          <w:color w:val="000000"/>
          <w:sz w:val="24"/>
        </w:rPr>
        <w:t>-10,869.35</w:t>
      </w:r>
      <w:r w:rsidRPr="006506EF">
        <w:rPr>
          <w:color w:val="000000"/>
          <w:sz w:val="24"/>
        </w:rPr>
        <w:t>元，已包含在结算备付金中。</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5.9</w:t>
      </w:r>
      <w:r w:rsidR="00547F92" w:rsidRPr="006506EF">
        <w:rPr>
          <w:b/>
          <w:color w:val="000000"/>
          <w:kern w:val="0"/>
          <w:sz w:val="24"/>
        </w:rPr>
        <w:t>报告期末按公允价值占基金资产净值比例大小排序</w:t>
      </w:r>
      <w:r w:rsidRPr="006506EF">
        <w:rPr>
          <w:b/>
          <w:color w:val="000000"/>
          <w:kern w:val="0"/>
          <w:sz w:val="24"/>
        </w:rPr>
        <w:t>的前十名基金投资明细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1555"/>
        <w:gridCol w:w="843"/>
        <w:gridCol w:w="722"/>
        <w:gridCol w:w="2159"/>
        <w:gridCol w:w="1596"/>
        <w:gridCol w:w="917"/>
      </w:tblGrid>
      <w:tr w:rsidR="00F5013F" w:rsidRPr="006506EF" w:rsidTr="0007178B">
        <w:tc>
          <w:tcPr>
            <w:tcW w:w="1215" w:type="dxa"/>
            <w:vAlign w:val="center"/>
          </w:tcPr>
          <w:p w:rsidR="00F5013F" w:rsidRPr="006506EF" w:rsidRDefault="00F5013F" w:rsidP="0007178B">
            <w:pPr>
              <w:spacing w:line="360" w:lineRule="auto"/>
              <w:jc w:val="center"/>
              <w:rPr>
                <w:sz w:val="24"/>
              </w:rPr>
            </w:pPr>
            <w:r w:rsidRPr="006506EF">
              <w:rPr>
                <w:sz w:val="24"/>
              </w:rPr>
              <w:t>序号</w:t>
            </w:r>
          </w:p>
        </w:tc>
        <w:tc>
          <w:tcPr>
            <w:tcW w:w="1216" w:type="dxa"/>
            <w:vAlign w:val="center"/>
          </w:tcPr>
          <w:p w:rsidR="00F5013F" w:rsidRPr="006506EF" w:rsidRDefault="00F5013F" w:rsidP="0007178B">
            <w:pPr>
              <w:spacing w:line="360" w:lineRule="auto"/>
              <w:rPr>
                <w:sz w:val="24"/>
              </w:rPr>
            </w:pPr>
            <w:r w:rsidRPr="006506EF">
              <w:rPr>
                <w:sz w:val="24"/>
              </w:rPr>
              <w:t>基金名称</w:t>
            </w:r>
          </w:p>
        </w:tc>
        <w:tc>
          <w:tcPr>
            <w:tcW w:w="1216" w:type="dxa"/>
            <w:vAlign w:val="center"/>
          </w:tcPr>
          <w:p w:rsidR="00F5013F" w:rsidRPr="006506EF" w:rsidRDefault="00F5013F" w:rsidP="0007178B">
            <w:pPr>
              <w:spacing w:line="360" w:lineRule="auto"/>
              <w:rPr>
                <w:sz w:val="24"/>
              </w:rPr>
            </w:pPr>
            <w:r w:rsidRPr="006506EF">
              <w:rPr>
                <w:sz w:val="24"/>
              </w:rPr>
              <w:t>基金类型</w:t>
            </w:r>
          </w:p>
        </w:tc>
        <w:tc>
          <w:tcPr>
            <w:tcW w:w="1216" w:type="dxa"/>
            <w:vAlign w:val="center"/>
          </w:tcPr>
          <w:p w:rsidR="00F5013F" w:rsidRPr="006506EF" w:rsidRDefault="00F5013F" w:rsidP="0007178B">
            <w:pPr>
              <w:spacing w:line="360" w:lineRule="auto"/>
              <w:jc w:val="center"/>
              <w:rPr>
                <w:sz w:val="24"/>
              </w:rPr>
            </w:pPr>
            <w:r w:rsidRPr="006506EF">
              <w:rPr>
                <w:sz w:val="24"/>
              </w:rPr>
              <w:t>运作方式</w:t>
            </w:r>
          </w:p>
        </w:tc>
        <w:tc>
          <w:tcPr>
            <w:tcW w:w="1216" w:type="dxa"/>
            <w:vAlign w:val="center"/>
          </w:tcPr>
          <w:p w:rsidR="00F5013F" w:rsidRPr="006506EF" w:rsidRDefault="00F5013F" w:rsidP="0007178B">
            <w:pPr>
              <w:spacing w:line="360" w:lineRule="auto"/>
              <w:jc w:val="center"/>
              <w:rPr>
                <w:sz w:val="24"/>
              </w:rPr>
            </w:pPr>
            <w:r w:rsidRPr="006506EF">
              <w:rPr>
                <w:sz w:val="24"/>
              </w:rPr>
              <w:t>管理人</w:t>
            </w:r>
          </w:p>
        </w:tc>
        <w:tc>
          <w:tcPr>
            <w:tcW w:w="1217" w:type="dxa"/>
            <w:vAlign w:val="center"/>
          </w:tcPr>
          <w:p w:rsidR="00F5013F" w:rsidRPr="006506EF" w:rsidRDefault="00F5013F" w:rsidP="0007178B">
            <w:pPr>
              <w:spacing w:line="360" w:lineRule="auto"/>
              <w:jc w:val="center"/>
              <w:rPr>
                <w:sz w:val="24"/>
              </w:rPr>
            </w:pPr>
            <w:r w:rsidRPr="006506EF">
              <w:rPr>
                <w:sz w:val="24"/>
              </w:rPr>
              <w:t>公允价值</w:t>
            </w:r>
          </w:p>
          <w:p w:rsidR="00F5013F" w:rsidRPr="006506EF" w:rsidRDefault="00F5013F" w:rsidP="0007178B">
            <w:pPr>
              <w:spacing w:line="360" w:lineRule="auto"/>
              <w:jc w:val="center"/>
              <w:rPr>
                <w:sz w:val="24"/>
              </w:rPr>
            </w:pPr>
            <w:r w:rsidRPr="006506EF">
              <w:rPr>
                <w:sz w:val="24"/>
              </w:rPr>
              <w:t>（人民币元）</w:t>
            </w:r>
          </w:p>
        </w:tc>
        <w:tc>
          <w:tcPr>
            <w:tcW w:w="1217" w:type="dxa"/>
            <w:vAlign w:val="center"/>
          </w:tcPr>
          <w:p w:rsidR="00F5013F" w:rsidRPr="006506EF" w:rsidRDefault="00F5013F" w:rsidP="0007178B">
            <w:pPr>
              <w:spacing w:line="360" w:lineRule="auto"/>
              <w:jc w:val="center"/>
              <w:rPr>
                <w:sz w:val="24"/>
              </w:rPr>
            </w:pPr>
            <w:r w:rsidRPr="006506EF">
              <w:rPr>
                <w:sz w:val="24"/>
              </w:rPr>
              <w:t>占基金资产净值比例</w:t>
            </w:r>
            <w:r w:rsidRPr="006506EF">
              <w:rPr>
                <w:sz w:val="24"/>
              </w:rPr>
              <w:t>(%)</w:t>
            </w:r>
          </w:p>
        </w:tc>
      </w:tr>
      <w:tr w:rsidR="005603F7">
        <w:tc>
          <w:tcPr>
            <w:tcW w:w="0" w:type="auto"/>
            <w:vAlign w:val="center"/>
          </w:tcPr>
          <w:p w:rsidR="005603F7" w:rsidRDefault="007F78B3">
            <w:pPr>
              <w:jc w:val="center"/>
            </w:pPr>
            <w:r>
              <w:rPr>
                <w:color w:val="000000"/>
                <w:sz w:val="24"/>
              </w:rPr>
              <w:t>1</w:t>
            </w:r>
          </w:p>
        </w:tc>
        <w:tc>
          <w:tcPr>
            <w:tcW w:w="0" w:type="auto"/>
            <w:vAlign w:val="center"/>
          </w:tcPr>
          <w:p w:rsidR="005603F7" w:rsidRDefault="007F78B3">
            <w:pPr>
              <w:jc w:val="center"/>
            </w:pPr>
            <w:r>
              <w:rPr>
                <w:color w:val="000000"/>
                <w:sz w:val="24"/>
              </w:rPr>
              <w:t>NIKKO ETF - NKY 225</w:t>
            </w:r>
          </w:p>
        </w:tc>
        <w:tc>
          <w:tcPr>
            <w:tcW w:w="0" w:type="auto"/>
            <w:vAlign w:val="center"/>
          </w:tcPr>
          <w:p w:rsidR="005603F7" w:rsidRDefault="007F78B3">
            <w:pPr>
              <w:jc w:val="center"/>
            </w:pPr>
            <w:r>
              <w:rPr>
                <w:color w:val="000000"/>
                <w:sz w:val="24"/>
              </w:rPr>
              <w:t>ETF</w:t>
            </w:r>
          </w:p>
        </w:tc>
        <w:tc>
          <w:tcPr>
            <w:tcW w:w="0" w:type="auto"/>
            <w:vAlign w:val="center"/>
          </w:tcPr>
          <w:p w:rsidR="005603F7" w:rsidRDefault="007F78B3">
            <w:pPr>
              <w:jc w:val="center"/>
            </w:pPr>
            <w:r>
              <w:rPr>
                <w:color w:val="000000"/>
                <w:sz w:val="24"/>
              </w:rPr>
              <w:t>开放式</w:t>
            </w:r>
          </w:p>
        </w:tc>
        <w:tc>
          <w:tcPr>
            <w:tcW w:w="0" w:type="auto"/>
            <w:vAlign w:val="center"/>
          </w:tcPr>
          <w:p w:rsidR="005603F7" w:rsidRDefault="007F78B3">
            <w:pPr>
              <w:jc w:val="center"/>
            </w:pPr>
            <w:r>
              <w:rPr>
                <w:color w:val="000000"/>
                <w:sz w:val="24"/>
              </w:rPr>
              <w:t>Nikko Asset Management Co Ltd</w:t>
            </w:r>
          </w:p>
        </w:tc>
        <w:tc>
          <w:tcPr>
            <w:tcW w:w="0" w:type="auto"/>
            <w:vAlign w:val="center"/>
          </w:tcPr>
          <w:p w:rsidR="005603F7" w:rsidRDefault="007F78B3">
            <w:pPr>
              <w:jc w:val="right"/>
            </w:pPr>
            <w:r>
              <w:rPr>
                <w:color w:val="000000"/>
                <w:sz w:val="24"/>
              </w:rPr>
              <w:t>99,145,703.91</w:t>
            </w:r>
          </w:p>
        </w:tc>
        <w:tc>
          <w:tcPr>
            <w:tcW w:w="0" w:type="auto"/>
            <w:vAlign w:val="center"/>
          </w:tcPr>
          <w:p w:rsidR="005603F7" w:rsidRDefault="007F78B3">
            <w:pPr>
              <w:jc w:val="right"/>
            </w:pPr>
            <w:r>
              <w:rPr>
                <w:color w:val="000000"/>
                <w:sz w:val="24"/>
              </w:rPr>
              <w:t>98.05</w:t>
            </w:r>
          </w:p>
        </w:tc>
      </w:tr>
    </w:tbl>
    <w:p w:rsidR="00F5013F" w:rsidRPr="006506EF" w:rsidRDefault="00F5013F" w:rsidP="0049659A">
      <w:pPr>
        <w:autoSpaceDE w:val="0"/>
        <w:autoSpaceDN w:val="0"/>
        <w:adjustRightInd w:val="0"/>
        <w:spacing w:line="360" w:lineRule="auto"/>
        <w:jc w:val="left"/>
        <w:rPr>
          <w:b/>
          <w:color w:val="000000"/>
          <w:kern w:val="0"/>
          <w:sz w:val="24"/>
        </w:rPr>
      </w:pPr>
      <w:r w:rsidRPr="006506EF">
        <w:rPr>
          <w:b/>
          <w:color w:val="000000"/>
          <w:kern w:val="0"/>
          <w:sz w:val="24"/>
        </w:rPr>
        <w:t xml:space="preserve">5.10 </w:t>
      </w:r>
      <w:r w:rsidRPr="006506EF">
        <w:rPr>
          <w:b/>
          <w:color w:val="000000"/>
          <w:kern w:val="0"/>
          <w:sz w:val="24"/>
        </w:rPr>
        <w:t>投资组合报告附注</w:t>
      </w:r>
    </w:p>
    <w:p w:rsidR="00F5013F" w:rsidRPr="006506EF" w:rsidRDefault="00F5013F" w:rsidP="00B55EA7">
      <w:pPr>
        <w:widowControl/>
        <w:spacing w:line="360" w:lineRule="auto"/>
        <w:rPr>
          <w:color w:val="000000"/>
          <w:sz w:val="24"/>
        </w:rPr>
      </w:pPr>
      <w:r w:rsidRPr="006506EF">
        <w:rPr>
          <w:color w:val="000000"/>
          <w:sz w:val="24"/>
        </w:rPr>
        <w:t>5.10.1</w:t>
      </w:r>
      <w:r w:rsidRPr="006506EF">
        <w:rPr>
          <w:color w:val="000000"/>
          <w:sz w:val="24"/>
        </w:rPr>
        <w:t>本基金投资的前十名证券的发行主体本期没有出现被监管部门立案调查，或在报告编制日前一年内受到公开谴责、处罚的情形。</w:t>
      </w:r>
    </w:p>
    <w:p w:rsidR="00F5013F" w:rsidRPr="006506EF" w:rsidRDefault="00F5013F" w:rsidP="00B55EA7">
      <w:pPr>
        <w:widowControl/>
        <w:spacing w:line="360" w:lineRule="auto"/>
        <w:rPr>
          <w:color w:val="000000"/>
          <w:sz w:val="24"/>
        </w:rPr>
      </w:pPr>
      <w:r w:rsidRPr="006506EF">
        <w:rPr>
          <w:color w:val="000000"/>
          <w:sz w:val="24"/>
        </w:rPr>
        <w:t>5.10.2</w:t>
      </w:r>
      <w:r w:rsidRPr="006506EF">
        <w:rPr>
          <w:color w:val="000000"/>
          <w:sz w:val="24"/>
        </w:rPr>
        <w:t>本基金本报告期没有投资股票，不存在投资的前十名股票超出基金合同规定的备选股票库情况。</w:t>
      </w:r>
    </w:p>
    <w:p w:rsidR="00F5013F" w:rsidRPr="006506EF" w:rsidRDefault="00287063" w:rsidP="0049659A">
      <w:pPr>
        <w:autoSpaceDE w:val="0"/>
        <w:autoSpaceDN w:val="0"/>
        <w:adjustRightInd w:val="0"/>
        <w:spacing w:line="360" w:lineRule="auto"/>
        <w:jc w:val="left"/>
        <w:rPr>
          <w:color w:val="000000"/>
          <w:kern w:val="0"/>
          <w:sz w:val="24"/>
        </w:rPr>
      </w:pPr>
      <w:r w:rsidRPr="006506EF">
        <w:rPr>
          <w:color w:val="000000"/>
          <w:sz w:val="24"/>
        </w:rPr>
        <w:lastRenderedPageBreak/>
        <w:t xml:space="preserve">5.10.3 </w:t>
      </w:r>
      <w:r w:rsidR="00F5013F" w:rsidRPr="006506EF">
        <w:rPr>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序号</w:t>
            </w:r>
          </w:p>
        </w:tc>
        <w:tc>
          <w:tcPr>
            <w:tcW w:w="2903"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名称</w:t>
            </w:r>
          </w:p>
        </w:tc>
        <w:tc>
          <w:tcPr>
            <w:tcW w:w="4808"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金额</w:t>
            </w:r>
            <w:r w:rsidRPr="006506EF">
              <w:rPr>
                <w:color w:val="000000"/>
                <w:kern w:val="0"/>
                <w:sz w:val="24"/>
              </w:rPr>
              <w:t>(</w:t>
            </w:r>
            <w:r w:rsidRPr="006506EF">
              <w:rPr>
                <w:color w:val="000000"/>
                <w:kern w:val="0"/>
                <w:sz w:val="24"/>
              </w:rPr>
              <w:t>人民币元</w:t>
            </w: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sz w:val="24"/>
              </w:rPr>
              <w:t>1</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存出保证金</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69,378.14</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2</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应收证券清算款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3</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应收股利</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4</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应收利息</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657.26</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5</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应收申购款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6</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其他应收款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7</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sz w:val="24"/>
              </w:rPr>
            </w:pPr>
            <w:r w:rsidRPr="006506EF">
              <w:rPr>
                <w:color w:val="000000"/>
                <w:sz w:val="24"/>
              </w:rPr>
              <w:t>待摊费用</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8</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9</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合计</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70,035.40</w:t>
            </w:r>
          </w:p>
        </w:tc>
      </w:tr>
    </w:tbl>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 xml:space="preserve">5.10.4 </w:t>
      </w:r>
      <w:r w:rsidR="00F5013F" w:rsidRPr="006506EF">
        <w:rPr>
          <w:color w:val="000000"/>
          <w:kern w:val="0"/>
          <w:sz w:val="24"/>
        </w:rPr>
        <w:t>报告期末持有的处于转股期的可转换债券明细</w:t>
      </w:r>
    </w:p>
    <w:p w:rsidR="00F5013F" w:rsidRPr="006506EF" w:rsidRDefault="00F5013F" w:rsidP="00DB3360">
      <w:pPr>
        <w:spacing w:line="360" w:lineRule="auto"/>
        <w:ind w:firstLineChars="200" w:firstLine="480"/>
        <w:rPr>
          <w:color w:val="000000"/>
          <w:sz w:val="24"/>
        </w:rPr>
      </w:pPr>
      <w:r w:rsidRPr="006506EF">
        <w:rPr>
          <w:color w:val="000000"/>
          <w:sz w:val="24"/>
        </w:rPr>
        <w:t>本基金本报告期末未持有处于转股期的可转换债券。</w:t>
      </w:r>
    </w:p>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5.10.5</w:t>
      </w:r>
      <w:r w:rsidR="00F5013F" w:rsidRPr="006506EF">
        <w:rPr>
          <w:color w:val="000000"/>
          <w:kern w:val="0"/>
          <w:sz w:val="24"/>
        </w:rPr>
        <w:t xml:space="preserve"> </w:t>
      </w:r>
      <w:r w:rsidR="00F5013F" w:rsidRPr="006506EF">
        <w:rPr>
          <w:color w:val="000000"/>
          <w:kern w:val="0"/>
          <w:sz w:val="24"/>
        </w:rPr>
        <w:t>报告期末前十名股票中存在流通受限情况的说明</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本基金本报告期末未持有股票。</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§6  </w:t>
      </w:r>
      <w:r w:rsidRPr="006506EF">
        <w:rPr>
          <w:color w:val="000000"/>
          <w:kern w:val="0"/>
          <w:sz w:val="24"/>
          <w:szCs w:val="24"/>
        </w:rPr>
        <w:t>开放式基金份额变动</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单位：份</w:t>
      </w:r>
    </w:p>
    <w:tbl>
      <w:tblPr>
        <w:tblW w:w="8861" w:type="dxa"/>
        <w:tblInd w:w="-106" w:type="dxa"/>
        <w:tblLayout w:type="fixed"/>
        <w:tblLook w:val="0000" w:firstRow="0" w:lastRow="0" w:firstColumn="0" w:lastColumn="0" w:noHBand="0" w:noVBand="0"/>
      </w:tblPr>
      <w:tblGrid>
        <w:gridCol w:w="4609"/>
        <w:gridCol w:w="4252"/>
      </w:tblGrid>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197,911,379.00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13,000,000.00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减：报告期基金总赎回份额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115,000,000.00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报告期基金拆分变动份额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95,911,379.00</w:t>
            </w:r>
          </w:p>
        </w:tc>
      </w:tr>
    </w:tbl>
    <w:p w:rsidR="007362E0"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§7  </w:t>
      </w:r>
      <w:r w:rsidRPr="006506EF">
        <w:rPr>
          <w:color w:val="000000"/>
          <w:kern w:val="0"/>
          <w:sz w:val="24"/>
          <w:szCs w:val="24"/>
        </w:rPr>
        <w:t>基金管理人运用固有资金投资本基金交易明细</w:t>
      </w:r>
    </w:p>
    <w:p w:rsidR="00F5013F" w:rsidRPr="006506EF" w:rsidRDefault="007362E0" w:rsidP="00D7728B">
      <w:pPr>
        <w:spacing w:line="360" w:lineRule="auto"/>
        <w:ind w:firstLineChars="200" w:firstLine="480"/>
        <w:rPr>
          <w:color w:val="000000"/>
          <w:sz w:val="24"/>
        </w:rPr>
      </w:pPr>
      <w:r w:rsidRPr="006506EF">
        <w:rPr>
          <w:color w:val="000000"/>
          <w:sz w:val="24"/>
        </w:rPr>
        <w:t>本报告期内基金管理人未运用固有资金申购、赎回、买卖本基金份额。</w:t>
      </w:r>
    </w:p>
    <w:p w:rsidR="0038359B" w:rsidRPr="006506EF" w:rsidRDefault="002A4064" w:rsidP="0038359B">
      <w:pPr>
        <w:pStyle w:val="1"/>
        <w:spacing w:beforeLines="100" w:before="312" w:afterLines="100" w:after="312" w:line="360" w:lineRule="auto"/>
        <w:jc w:val="center"/>
        <w:rPr>
          <w:color w:val="000000"/>
          <w:kern w:val="0"/>
          <w:sz w:val="24"/>
          <w:szCs w:val="24"/>
        </w:rPr>
      </w:pPr>
      <w:r w:rsidRPr="006506EF">
        <w:rPr>
          <w:color w:val="000000"/>
          <w:kern w:val="0"/>
          <w:sz w:val="24"/>
          <w:szCs w:val="24"/>
        </w:rPr>
        <w:lastRenderedPageBreak/>
        <w:t>§</w:t>
      </w:r>
      <w:r w:rsidR="0038359B" w:rsidRPr="006506EF">
        <w:rPr>
          <w:color w:val="000000"/>
          <w:kern w:val="0"/>
          <w:sz w:val="24"/>
          <w:szCs w:val="24"/>
        </w:rPr>
        <w:t>8</w:t>
      </w:r>
      <w:r w:rsidRPr="006506EF">
        <w:rPr>
          <w:color w:val="000000"/>
          <w:kern w:val="0"/>
          <w:sz w:val="24"/>
          <w:szCs w:val="24"/>
        </w:rPr>
        <w:t xml:space="preserve">  </w:t>
      </w:r>
      <w:r w:rsidR="0038359B" w:rsidRPr="006506EF">
        <w:rPr>
          <w:color w:val="000000"/>
          <w:kern w:val="0"/>
          <w:sz w:val="24"/>
          <w:szCs w:val="24"/>
        </w:rPr>
        <w:t>影响投资者决策的其他重要信息</w:t>
      </w:r>
    </w:p>
    <w:p w:rsidR="007506E8" w:rsidRPr="001F5F5D" w:rsidRDefault="007506E8" w:rsidP="007506E8">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09"/>
        <w:gridCol w:w="1985"/>
        <w:gridCol w:w="1134"/>
        <w:gridCol w:w="992"/>
        <w:gridCol w:w="1134"/>
        <w:gridCol w:w="1037"/>
        <w:gridCol w:w="851"/>
      </w:tblGrid>
      <w:tr w:rsidR="00734B2B" w:rsidRPr="00FC0759" w:rsidTr="00734B2B">
        <w:trPr>
          <w:jc w:val="center"/>
        </w:trPr>
        <w:tc>
          <w:tcPr>
            <w:tcW w:w="1798" w:type="dxa"/>
            <w:vMerge w:val="restart"/>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投资者类别</w:t>
            </w:r>
          </w:p>
        </w:tc>
        <w:tc>
          <w:tcPr>
            <w:tcW w:w="5954" w:type="dxa"/>
            <w:gridSpan w:val="5"/>
            <w:shd w:val="clear" w:color="auto" w:fill="auto"/>
            <w:vAlign w:val="center"/>
          </w:tcPr>
          <w:p w:rsidR="007506E8" w:rsidRPr="00734B2B" w:rsidRDefault="007506E8" w:rsidP="00734B2B">
            <w:pPr>
              <w:autoSpaceDE w:val="0"/>
              <w:autoSpaceDN w:val="0"/>
              <w:adjustRightInd w:val="0"/>
              <w:ind w:firstLine="1126"/>
              <w:jc w:val="center"/>
              <w:rPr>
                <w:b/>
                <w:bCs/>
                <w:color w:val="000000"/>
                <w:sz w:val="24"/>
              </w:rPr>
            </w:pPr>
            <w:r w:rsidRPr="00734B2B">
              <w:rPr>
                <w:color w:val="000000"/>
                <w:sz w:val="24"/>
              </w:rPr>
              <w:t>报告期内持有基金份额变化情况</w:t>
            </w:r>
          </w:p>
        </w:tc>
        <w:tc>
          <w:tcPr>
            <w:tcW w:w="1888" w:type="dxa"/>
            <w:gridSpan w:val="2"/>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报告期末持有基金情况</w:t>
            </w:r>
          </w:p>
        </w:tc>
      </w:tr>
      <w:tr w:rsidR="00734B2B" w:rsidRPr="00FC0759" w:rsidTr="00734B2B">
        <w:trPr>
          <w:jc w:val="center"/>
        </w:trPr>
        <w:tc>
          <w:tcPr>
            <w:tcW w:w="1798" w:type="dxa"/>
            <w:vMerge/>
            <w:shd w:val="clear" w:color="auto" w:fill="auto"/>
            <w:vAlign w:val="center"/>
          </w:tcPr>
          <w:p w:rsidR="007506E8" w:rsidRPr="00734B2B" w:rsidRDefault="007506E8" w:rsidP="00734B2B">
            <w:pPr>
              <w:autoSpaceDE w:val="0"/>
              <w:autoSpaceDN w:val="0"/>
              <w:adjustRightInd w:val="0"/>
              <w:ind w:firstLine="1234"/>
              <w:jc w:val="center"/>
              <w:rPr>
                <w:b/>
                <w:bCs/>
                <w:color w:val="000000"/>
                <w:sz w:val="24"/>
              </w:rPr>
            </w:pPr>
          </w:p>
        </w:tc>
        <w:tc>
          <w:tcPr>
            <w:tcW w:w="709"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序号</w:t>
            </w:r>
          </w:p>
        </w:tc>
        <w:tc>
          <w:tcPr>
            <w:tcW w:w="1985"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持有基金份额比例达到或者超过</w:t>
            </w:r>
            <w:r w:rsidRPr="00734B2B">
              <w:rPr>
                <w:color w:val="000000"/>
                <w:sz w:val="24"/>
              </w:rPr>
              <w:t>20%</w:t>
            </w:r>
            <w:r w:rsidRPr="00734B2B">
              <w:rPr>
                <w:color w:val="000000"/>
                <w:sz w:val="24"/>
              </w:rPr>
              <w:t>的时间区间</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期初份额</w:t>
            </w:r>
          </w:p>
        </w:tc>
        <w:tc>
          <w:tcPr>
            <w:tcW w:w="992" w:type="dxa"/>
            <w:shd w:val="clear" w:color="auto" w:fill="auto"/>
            <w:vAlign w:val="center"/>
          </w:tcPr>
          <w:p w:rsidR="007506E8" w:rsidRPr="00734B2B" w:rsidRDefault="007506E8" w:rsidP="00734B2B">
            <w:pPr>
              <w:widowControl/>
              <w:rPr>
                <w:b/>
                <w:bCs/>
                <w:color w:val="000000"/>
                <w:sz w:val="24"/>
              </w:rPr>
            </w:pPr>
            <w:r w:rsidRPr="00734B2B">
              <w:rPr>
                <w:color w:val="000000"/>
                <w:sz w:val="24"/>
              </w:rPr>
              <w:t>申购份额</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赎回份额</w:t>
            </w:r>
          </w:p>
        </w:tc>
        <w:tc>
          <w:tcPr>
            <w:tcW w:w="1037"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持有份额</w:t>
            </w:r>
          </w:p>
        </w:tc>
        <w:tc>
          <w:tcPr>
            <w:tcW w:w="851"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份额占比</w:t>
            </w:r>
          </w:p>
        </w:tc>
      </w:tr>
      <w:tr w:rsidR="005603F7">
        <w:trPr>
          <w:jc w:val="center"/>
        </w:trPr>
        <w:tc>
          <w:tcPr>
            <w:tcW w:w="1798" w:type="dxa"/>
            <w:vMerge w:val="restart"/>
            <w:vAlign w:val="center"/>
          </w:tcPr>
          <w:p w:rsidR="005603F7" w:rsidRDefault="007F78B3">
            <w:r>
              <w:rPr>
                <w:bCs/>
                <w:color w:val="000000"/>
                <w:sz w:val="24"/>
              </w:rPr>
              <w:t>机构</w:t>
            </w:r>
          </w:p>
        </w:tc>
        <w:tc>
          <w:tcPr>
            <w:tcW w:w="709" w:type="dxa"/>
            <w:vAlign w:val="center"/>
          </w:tcPr>
          <w:p w:rsidR="005603F7" w:rsidRDefault="007F78B3">
            <w:pPr>
              <w:jc w:val="center"/>
            </w:pPr>
            <w:r>
              <w:rPr>
                <w:sz w:val="24"/>
              </w:rPr>
              <w:t>1</w:t>
            </w:r>
          </w:p>
        </w:tc>
        <w:tc>
          <w:tcPr>
            <w:tcW w:w="1985" w:type="dxa"/>
            <w:vAlign w:val="center"/>
          </w:tcPr>
          <w:p w:rsidR="005603F7" w:rsidRDefault="007F78B3">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134" w:type="dxa"/>
            <w:vAlign w:val="center"/>
          </w:tcPr>
          <w:p w:rsidR="005603F7" w:rsidRDefault="007F78B3">
            <w:pPr>
              <w:jc w:val="center"/>
            </w:pPr>
            <w:r>
              <w:rPr>
                <w:sz w:val="24"/>
              </w:rPr>
              <w:t>50,006,000.00</w:t>
            </w:r>
          </w:p>
        </w:tc>
        <w:tc>
          <w:tcPr>
            <w:tcW w:w="992" w:type="dxa"/>
            <w:vAlign w:val="center"/>
          </w:tcPr>
          <w:p w:rsidR="005603F7" w:rsidRDefault="007F78B3">
            <w:pPr>
              <w:jc w:val="center"/>
            </w:pPr>
            <w:r>
              <w:rPr>
                <w:sz w:val="24"/>
              </w:rPr>
              <w:t>-</w:t>
            </w:r>
          </w:p>
        </w:tc>
        <w:tc>
          <w:tcPr>
            <w:tcW w:w="1134" w:type="dxa"/>
            <w:vAlign w:val="center"/>
          </w:tcPr>
          <w:p w:rsidR="005603F7" w:rsidRDefault="007F78B3">
            <w:pPr>
              <w:jc w:val="center"/>
            </w:pPr>
            <w:r>
              <w:rPr>
                <w:sz w:val="24"/>
              </w:rPr>
              <w:t>-</w:t>
            </w:r>
          </w:p>
        </w:tc>
        <w:tc>
          <w:tcPr>
            <w:tcW w:w="1037" w:type="dxa"/>
            <w:vAlign w:val="center"/>
          </w:tcPr>
          <w:p w:rsidR="005603F7" w:rsidRDefault="007F78B3">
            <w:pPr>
              <w:jc w:val="center"/>
            </w:pPr>
            <w:r>
              <w:rPr>
                <w:sz w:val="24"/>
              </w:rPr>
              <w:t>50,006,000.00</w:t>
            </w:r>
          </w:p>
        </w:tc>
        <w:tc>
          <w:tcPr>
            <w:tcW w:w="851" w:type="dxa"/>
            <w:vAlign w:val="center"/>
          </w:tcPr>
          <w:p w:rsidR="005603F7" w:rsidRDefault="007F78B3">
            <w:pPr>
              <w:jc w:val="center"/>
            </w:pPr>
            <w:r>
              <w:rPr>
                <w:sz w:val="24"/>
              </w:rPr>
              <w:t>52.14%</w:t>
            </w:r>
          </w:p>
        </w:tc>
      </w:tr>
      <w:tr w:rsidR="007506E8" w:rsidRPr="00FC0759" w:rsidTr="00734B2B">
        <w:trPr>
          <w:jc w:val="center"/>
        </w:trPr>
        <w:tc>
          <w:tcPr>
            <w:tcW w:w="9637" w:type="dxa"/>
            <w:gridSpan w:val="8"/>
            <w:shd w:val="clear" w:color="auto" w:fill="auto"/>
            <w:vAlign w:val="center"/>
          </w:tcPr>
          <w:p w:rsidR="007506E8" w:rsidRPr="00734B2B" w:rsidRDefault="007506E8" w:rsidP="00344FF1">
            <w:pPr>
              <w:autoSpaceDE w:val="0"/>
              <w:autoSpaceDN w:val="0"/>
              <w:adjustRightInd w:val="0"/>
              <w:jc w:val="center"/>
              <w:rPr>
                <w:sz w:val="24"/>
              </w:rPr>
            </w:pPr>
            <w:r w:rsidRPr="00734B2B">
              <w:rPr>
                <w:color w:val="000000"/>
                <w:sz w:val="24"/>
              </w:rPr>
              <w:t>产品特有风险</w:t>
            </w:r>
          </w:p>
        </w:tc>
      </w:tr>
      <w:tr w:rsidR="007506E8" w:rsidRPr="00FC0759" w:rsidTr="00734B2B">
        <w:trPr>
          <w:jc w:val="center"/>
        </w:trPr>
        <w:tc>
          <w:tcPr>
            <w:tcW w:w="9637" w:type="dxa"/>
            <w:gridSpan w:val="8"/>
            <w:shd w:val="clear" w:color="auto" w:fill="auto"/>
            <w:vAlign w:val="center"/>
          </w:tcPr>
          <w:p w:rsidR="007506E8" w:rsidRPr="00734B2B" w:rsidRDefault="007506E8" w:rsidP="00734B2B">
            <w:pPr>
              <w:autoSpaceDE w:val="0"/>
              <w:autoSpaceDN w:val="0"/>
              <w:adjustRightInd w:val="0"/>
              <w:jc w:val="left"/>
              <w:rPr>
                <w:sz w:val="24"/>
              </w:rPr>
            </w:pPr>
            <w:r w:rsidRPr="00734B2B">
              <w:rPr>
                <w:sz w:val="24"/>
              </w:rPr>
              <w:t>报告期内，本基金存在单一投资者持有份额比例达到或超过</w:t>
            </w:r>
            <w:r w:rsidRPr="00734B2B">
              <w:rPr>
                <w:sz w:val="24"/>
              </w:rPr>
              <w:t>20%</w:t>
            </w:r>
            <w:r w:rsidRPr="00734B2B">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734B2B">
              <w:rPr>
                <w:sz w:val="24"/>
              </w:rPr>
              <w:t>5000</w:t>
            </w:r>
            <w:r w:rsidRPr="00734B2B">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6E8" w:rsidRPr="007506E8" w:rsidRDefault="007506E8" w:rsidP="007506E8">
      <w:pPr>
        <w:autoSpaceDE w:val="0"/>
        <w:autoSpaceDN w:val="0"/>
        <w:adjustRightInd w:val="0"/>
        <w:spacing w:line="360" w:lineRule="auto"/>
        <w:ind w:firstLineChars="200" w:firstLine="480"/>
        <w:jc w:val="left"/>
        <w:rPr>
          <w:bCs/>
          <w:color w:val="000000"/>
          <w:kern w:val="0"/>
          <w:sz w:val="24"/>
        </w:rPr>
      </w:pPr>
      <w:r w:rsidRPr="007506E8">
        <w:rPr>
          <w:bCs/>
          <w:color w:val="000000"/>
          <w:kern w:val="0"/>
          <w:sz w:val="24"/>
        </w:rPr>
        <w:t>注：申购份额包括申购或者买入基金份额，赎回份额包括赎回或者卖出基金份额。</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§9</w:t>
      </w:r>
      <w:r w:rsidR="002A4064" w:rsidRPr="006506EF">
        <w:rPr>
          <w:color w:val="000000"/>
          <w:kern w:val="0"/>
          <w:sz w:val="24"/>
          <w:szCs w:val="24"/>
        </w:rPr>
        <w:t xml:space="preserve">  </w:t>
      </w:r>
      <w:r w:rsidRPr="006506EF">
        <w:rPr>
          <w:color w:val="000000"/>
          <w:kern w:val="0"/>
          <w:sz w:val="24"/>
          <w:szCs w:val="24"/>
        </w:rPr>
        <w:t>备查文件目录</w:t>
      </w:r>
    </w:p>
    <w:p w:rsidR="00F5013F" w:rsidRPr="006506EF" w:rsidRDefault="00F5013F" w:rsidP="002C065A">
      <w:pPr>
        <w:spacing w:line="360" w:lineRule="auto"/>
        <w:rPr>
          <w:sz w:val="24"/>
        </w:rPr>
      </w:pPr>
      <w:r w:rsidRPr="006506EF">
        <w:rPr>
          <w:sz w:val="24"/>
        </w:rPr>
        <w:t xml:space="preserve">9.1 </w:t>
      </w:r>
      <w:r w:rsidRPr="006506EF">
        <w:rPr>
          <w:sz w:val="24"/>
        </w:rPr>
        <w:t>备查文件目录</w:t>
      </w:r>
    </w:p>
    <w:p w:rsidR="005603F7" w:rsidRDefault="007F78B3">
      <w:pPr>
        <w:spacing w:line="360" w:lineRule="auto"/>
        <w:ind w:firstLineChars="200" w:firstLine="480"/>
        <w:rPr>
          <w:color w:val="000000"/>
          <w:sz w:val="24"/>
        </w:rPr>
      </w:pPr>
      <w:r>
        <w:rPr>
          <w:color w:val="000000"/>
          <w:sz w:val="24"/>
        </w:rPr>
        <w:t>1.</w:t>
      </w:r>
      <w:r>
        <w:rPr>
          <w:color w:val="000000"/>
          <w:sz w:val="24"/>
        </w:rPr>
        <w:t>中国证监会注册易方达日兴资管日经</w:t>
      </w:r>
      <w:r>
        <w:rPr>
          <w:color w:val="000000"/>
          <w:sz w:val="24"/>
        </w:rPr>
        <w:t>225</w:t>
      </w:r>
      <w:r>
        <w:rPr>
          <w:color w:val="000000"/>
          <w:sz w:val="24"/>
        </w:rPr>
        <w:t>交易型开放式指数证券投资基金（</w:t>
      </w:r>
      <w:r>
        <w:rPr>
          <w:color w:val="000000"/>
          <w:sz w:val="24"/>
        </w:rPr>
        <w:t>QDII</w:t>
      </w:r>
      <w:r>
        <w:rPr>
          <w:color w:val="000000"/>
          <w:sz w:val="24"/>
        </w:rPr>
        <w:t>）募集的文件；</w:t>
      </w:r>
    </w:p>
    <w:p w:rsidR="005603F7" w:rsidRDefault="007F78B3">
      <w:pPr>
        <w:spacing w:line="360" w:lineRule="auto"/>
        <w:ind w:firstLineChars="200" w:firstLine="480"/>
        <w:rPr>
          <w:color w:val="000000"/>
          <w:sz w:val="24"/>
        </w:rPr>
      </w:pPr>
      <w:r>
        <w:rPr>
          <w:color w:val="000000"/>
          <w:sz w:val="24"/>
        </w:rPr>
        <w:t>2.</w:t>
      </w:r>
      <w:r>
        <w:rPr>
          <w:color w:val="000000"/>
          <w:sz w:val="24"/>
        </w:rPr>
        <w:t>《易方达日兴资管日经</w:t>
      </w:r>
      <w:r>
        <w:rPr>
          <w:color w:val="000000"/>
          <w:sz w:val="24"/>
        </w:rPr>
        <w:t>225</w:t>
      </w:r>
      <w:r>
        <w:rPr>
          <w:color w:val="000000"/>
          <w:sz w:val="24"/>
        </w:rPr>
        <w:t>交易型开放式指数证券投资基金（</w:t>
      </w:r>
      <w:r>
        <w:rPr>
          <w:color w:val="000000"/>
          <w:sz w:val="24"/>
        </w:rPr>
        <w:t>QDII</w:t>
      </w:r>
      <w:r>
        <w:rPr>
          <w:color w:val="000000"/>
          <w:sz w:val="24"/>
        </w:rPr>
        <w:t>）基金合同》；</w:t>
      </w:r>
      <w:r>
        <w:rPr>
          <w:color w:val="000000"/>
          <w:sz w:val="24"/>
        </w:rPr>
        <w:t xml:space="preserve"> </w:t>
      </w:r>
    </w:p>
    <w:p w:rsidR="005603F7" w:rsidRDefault="007F78B3">
      <w:pPr>
        <w:spacing w:line="360" w:lineRule="auto"/>
        <w:ind w:firstLineChars="200" w:firstLine="480"/>
        <w:rPr>
          <w:color w:val="000000"/>
          <w:sz w:val="24"/>
        </w:rPr>
      </w:pPr>
      <w:r>
        <w:rPr>
          <w:color w:val="000000"/>
          <w:sz w:val="24"/>
        </w:rPr>
        <w:t>3.</w:t>
      </w:r>
      <w:r>
        <w:rPr>
          <w:color w:val="000000"/>
          <w:sz w:val="24"/>
        </w:rPr>
        <w:t>《易方达日兴资管日经</w:t>
      </w:r>
      <w:r>
        <w:rPr>
          <w:color w:val="000000"/>
          <w:sz w:val="24"/>
        </w:rPr>
        <w:t>225</w:t>
      </w:r>
      <w:r>
        <w:rPr>
          <w:color w:val="000000"/>
          <w:sz w:val="24"/>
        </w:rPr>
        <w:t>交易型开放式指数证券投资基金（</w:t>
      </w:r>
      <w:r>
        <w:rPr>
          <w:color w:val="000000"/>
          <w:sz w:val="24"/>
        </w:rPr>
        <w:t>QDII</w:t>
      </w:r>
      <w:r>
        <w:rPr>
          <w:color w:val="000000"/>
          <w:sz w:val="24"/>
        </w:rPr>
        <w:t>）托管协议》；</w:t>
      </w:r>
    </w:p>
    <w:p w:rsidR="00F5013F" w:rsidRPr="006506EF" w:rsidRDefault="00F5013F" w:rsidP="00A70EAB">
      <w:pPr>
        <w:spacing w:line="360" w:lineRule="auto"/>
        <w:ind w:firstLineChars="200" w:firstLine="480"/>
        <w:rPr>
          <w:color w:val="000000"/>
          <w:sz w:val="24"/>
        </w:rPr>
      </w:pPr>
      <w:r w:rsidRPr="006506EF">
        <w:rPr>
          <w:color w:val="000000"/>
          <w:sz w:val="24"/>
        </w:rPr>
        <w:t>4.</w:t>
      </w:r>
      <w:r w:rsidRPr="006506EF">
        <w:rPr>
          <w:color w:val="000000"/>
          <w:sz w:val="24"/>
        </w:rPr>
        <w:t>基金管理人业务资格批件和营业执照。</w:t>
      </w:r>
    </w:p>
    <w:p w:rsidR="00F5013F" w:rsidRPr="006506EF" w:rsidRDefault="00F5013F" w:rsidP="002C065A">
      <w:pPr>
        <w:spacing w:line="360" w:lineRule="auto"/>
        <w:rPr>
          <w:sz w:val="24"/>
        </w:rPr>
      </w:pPr>
      <w:r w:rsidRPr="006506EF">
        <w:rPr>
          <w:sz w:val="24"/>
        </w:rPr>
        <w:t xml:space="preserve">9.2 </w:t>
      </w:r>
      <w:r w:rsidRPr="006506EF">
        <w:rPr>
          <w:sz w:val="24"/>
        </w:rPr>
        <w:t>存放地点</w:t>
      </w:r>
    </w:p>
    <w:p w:rsidR="00F5013F" w:rsidRPr="006506EF" w:rsidRDefault="00F5013F" w:rsidP="00A70EAB">
      <w:pPr>
        <w:spacing w:line="360" w:lineRule="auto"/>
        <w:ind w:firstLineChars="200" w:firstLine="480"/>
        <w:rPr>
          <w:color w:val="000000"/>
          <w:sz w:val="24"/>
        </w:rPr>
      </w:pPr>
      <w:r w:rsidRPr="006506EF">
        <w:rPr>
          <w:color w:val="000000"/>
          <w:sz w:val="24"/>
        </w:rPr>
        <w:t>广州市天河区珠江新城珠江东路</w:t>
      </w:r>
      <w:r w:rsidRPr="006506EF">
        <w:rPr>
          <w:color w:val="000000"/>
          <w:sz w:val="24"/>
        </w:rPr>
        <w:t>30</w:t>
      </w:r>
      <w:r w:rsidRPr="006506EF">
        <w:rPr>
          <w:color w:val="000000"/>
          <w:sz w:val="24"/>
        </w:rPr>
        <w:t>号广州银行大厦</w:t>
      </w:r>
      <w:r w:rsidRPr="006506EF">
        <w:rPr>
          <w:color w:val="000000"/>
          <w:sz w:val="24"/>
        </w:rPr>
        <w:t>40-43</w:t>
      </w:r>
      <w:r w:rsidRPr="006506EF">
        <w:rPr>
          <w:color w:val="000000"/>
          <w:sz w:val="24"/>
        </w:rPr>
        <w:t>楼。</w:t>
      </w:r>
    </w:p>
    <w:p w:rsidR="00F5013F" w:rsidRPr="006506EF" w:rsidRDefault="00F5013F" w:rsidP="002C065A">
      <w:pPr>
        <w:spacing w:line="360" w:lineRule="auto"/>
        <w:rPr>
          <w:sz w:val="24"/>
        </w:rPr>
      </w:pPr>
      <w:r w:rsidRPr="006506EF">
        <w:rPr>
          <w:sz w:val="24"/>
        </w:rPr>
        <w:lastRenderedPageBreak/>
        <w:t xml:space="preserve">9.3 </w:t>
      </w:r>
      <w:r w:rsidRPr="006506EF">
        <w:rPr>
          <w:sz w:val="24"/>
        </w:rPr>
        <w:t>查阅方式</w:t>
      </w:r>
    </w:p>
    <w:p w:rsidR="00F5013F" w:rsidRPr="006506EF" w:rsidRDefault="00F5013F" w:rsidP="00547F92">
      <w:pPr>
        <w:spacing w:line="360" w:lineRule="auto"/>
        <w:ind w:firstLineChars="200" w:firstLine="480"/>
        <w:rPr>
          <w:color w:val="000000"/>
          <w:sz w:val="24"/>
        </w:rPr>
      </w:pPr>
      <w:r w:rsidRPr="006506EF">
        <w:rPr>
          <w:color w:val="000000"/>
          <w:sz w:val="24"/>
        </w:rPr>
        <w:t>投资者可在营业时间免费查阅，也可按工本费购买复印件。</w:t>
      </w: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0C7596">
      <w:pPr>
        <w:spacing w:line="360" w:lineRule="auto"/>
        <w:jc w:val="right"/>
        <w:rPr>
          <w:b/>
          <w:bCs/>
          <w:sz w:val="24"/>
        </w:rPr>
      </w:pPr>
      <w:r w:rsidRPr="006506EF">
        <w:rPr>
          <w:b/>
          <w:bCs/>
          <w:sz w:val="24"/>
        </w:rPr>
        <w:t>易方达基金管理有限公司</w:t>
      </w:r>
    </w:p>
    <w:p w:rsidR="00F5013F" w:rsidRPr="006506EF" w:rsidRDefault="00F5013F" w:rsidP="000C7596">
      <w:pPr>
        <w:spacing w:line="360" w:lineRule="auto"/>
        <w:jc w:val="right"/>
        <w:rPr>
          <w:b/>
          <w:bCs/>
          <w:sz w:val="24"/>
        </w:rPr>
      </w:pPr>
      <w:r w:rsidRPr="006506EF">
        <w:rPr>
          <w:b/>
          <w:bCs/>
          <w:sz w:val="24"/>
        </w:rPr>
        <w:t>二〇一九年十月二十四日</w:t>
      </w:r>
    </w:p>
    <w:sectPr w:rsidR="00F5013F" w:rsidRPr="006506EF"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1" w:rsidRDefault="000F4D41">
      <w:r>
        <w:separator/>
      </w:r>
    </w:p>
  </w:endnote>
  <w:endnote w:type="continuationSeparator" w:id="0">
    <w:p w:rsidR="000F4D41" w:rsidRDefault="000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1D0DB0" w:rsidRDefault="00F5013F" w:rsidP="00B918B8">
    <w:pPr>
      <w:pStyle w:val="a6"/>
      <w:jc w:val="center"/>
    </w:pPr>
    <w:r>
      <w:rPr>
        <w:rFonts w:hint="eastAsia"/>
        <w:szCs w:val="21"/>
      </w:rPr>
      <w:t>第</w:t>
    </w:r>
    <w:r w:rsidR="005558C4">
      <w:rPr>
        <w:szCs w:val="21"/>
      </w:rPr>
      <w:fldChar w:fldCharType="begin"/>
    </w:r>
    <w:r>
      <w:rPr>
        <w:szCs w:val="21"/>
      </w:rPr>
      <w:instrText xml:space="preserve"> PAGE </w:instrText>
    </w:r>
    <w:r w:rsidR="005558C4">
      <w:rPr>
        <w:szCs w:val="21"/>
      </w:rPr>
      <w:fldChar w:fldCharType="separate"/>
    </w:r>
    <w:r w:rsidR="007F78B3">
      <w:rPr>
        <w:noProof/>
        <w:szCs w:val="21"/>
      </w:rPr>
      <w:t>1</w:t>
    </w:r>
    <w:r w:rsidR="005558C4">
      <w:rPr>
        <w:szCs w:val="21"/>
      </w:rPr>
      <w:fldChar w:fldCharType="end"/>
    </w:r>
    <w:r>
      <w:rPr>
        <w:rFonts w:hint="eastAsia"/>
        <w:szCs w:val="21"/>
      </w:rPr>
      <w:t>页共</w:t>
    </w:r>
    <w:r w:rsidR="005558C4">
      <w:rPr>
        <w:szCs w:val="21"/>
      </w:rPr>
      <w:fldChar w:fldCharType="begin"/>
    </w:r>
    <w:r>
      <w:rPr>
        <w:szCs w:val="21"/>
      </w:rPr>
      <w:instrText xml:space="preserve"> NUMPAGES </w:instrText>
    </w:r>
    <w:r w:rsidR="005558C4">
      <w:rPr>
        <w:szCs w:val="21"/>
      </w:rPr>
      <w:fldChar w:fldCharType="separate"/>
    </w:r>
    <w:r w:rsidR="007F78B3">
      <w:rPr>
        <w:noProof/>
        <w:szCs w:val="21"/>
      </w:rPr>
      <w:t>3</w:t>
    </w:r>
    <w:r w:rsidR="005558C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end"/>
    </w:r>
  </w:p>
  <w:p w:rsidR="00F5013F" w:rsidRDefault="00F501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separate"/>
    </w:r>
    <w:r w:rsidR="007F78B3">
      <w:rPr>
        <w:rStyle w:val="a7"/>
        <w:noProof/>
      </w:rPr>
      <w:t>13</w:t>
    </w:r>
    <w:r>
      <w:rPr>
        <w:rStyle w:val="a7"/>
      </w:rPr>
      <w:fldChar w:fldCharType="end"/>
    </w:r>
  </w:p>
  <w:p w:rsidR="00F5013F" w:rsidRDefault="00F5013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1" w:rsidRDefault="000F4D41">
      <w:r>
        <w:separator/>
      </w:r>
    </w:p>
  </w:footnote>
  <w:footnote w:type="continuationSeparator" w:id="0">
    <w:p w:rsidR="000F4D41" w:rsidRDefault="000F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CA4176" w:rsidRDefault="00F5013F" w:rsidP="001D1356">
    <w:pPr>
      <w:pStyle w:val="a9"/>
      <w:pBdr>
        <w:bottom w:val="single" w:sz="6" w:space="0" w:color="auto"/>
      </w:pBdr>
      <w:jc w:val="right"/>
      <w:rPr>
        <w:sz w:val="15"/>
      </w:rPr>
    </w:pPr>
    <w:r w:rsidRPr="00CA4176">
      <w:rPr>
        <w:szCs w:val="21"/>
      </w:rPr>
      <w:t>易方达日兴资管日经</w:t>
    </w:r>
    <w:r w:rsidRPr="00CA4176">
      <w:rPr>
        <w:szCs w:val="21"/>
      </w:rPr>
      <w:t>225</w:t>
    </w:r>
    <w:r w:rsidRPr="00CA4176">
      <w:rPr>
        <w:szCs w:val="21"/>
      </w:rPr>
      <w:t>交易型开放式指数证券投资基金（</w:t>
    </w:r>
    <w:r w:rsidRPr="00CA4176">
      <w:rPr>
        <w:szCs w:val="21"/>
      </w:rPr>
      <w:t>QDII</w:t>
    </w:r>
    <w:r w:rsidRPr="00CA4176">
      <w:rPr>
        <w:szCs w:val="21"/>
      </w:rPr>
      <w:t>）</w:t>
    </w:r>
    <w:r w:rsidRPr="00CA4176">
      <w:rPr>
        <w:szCs w:val="21"/>
      </w:rPr>
      <w:t>2019</w:t>
    </w:r>
    <w:r w:rsidRPr="00CA4176">
      <w:rPr>
        <w:szCs w:val="21"/>
      </w:rPr>
      <w:t>年第</w:t>
    </w:r>
    <w:r w:rsidRPr="00CA4176">
      <w:rPr>
        <w:szCs w:val="21"/>
      </w:rPr>
      <w:t>3</w:t>
    </w:r>
    <w:r w:rsidRPr="00CA4176">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B4"/>
    <w:rsid w:val="0000403B"/>
    <w:rsid w:val="00005911"/>
    <w:rsid w:val="00010A83"/>
    <w:rsid w:val="00010A8E"/>
    <w:rsid w:val="00010AC3"/>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67AC4"/>
    <w:rsid w:val="00070CD1"/>
    <w:rsid w:val="0007171B"/>
    <w:rsid w:val="0007178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B7DD0"/>
    <w:rsid w:val="000C1723"/>
    <w:rsid w:val="000C1B20"/>
    <w:rsid w:val="000C4107"/>
    <w:rsid w:val="000C41AE"/>
    <w:rsid w:val="000C45E7"/>
    <w:rsid w:val="000C6EE5"/>
    <w:rsid w:val="000C7596"/>
    <w:rsid w:val="000D01F4"/>
    <w:rsid w:val="000D09E5"/>
    <w:rsid w:val="000D121F"/>
    <w:rsid w:val="000D1519"/>
    <w:rsid w:val="000E1F7C"/>
    <w:rsid w:val="000E3B88"/>
    <w:rsid w:val="000E4456"/>
    <w:rsid w:val="000F175F"/>
    <w:rsid w:val="000F17D1"/>
    <w:rsid w:val="000F4D4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DDF"/>
    <w:rsid w:val="001270BF"/>
    <w:rsid w:val="00127BAC"/>
    <w:rsid w:val="00142A56"/>
    <w:rsid w:val="00143B45"/>
    <w:rsid w:val="00144DF5"/>
    <w:rsid w:val="00145A97"/>
    <w:rsid w:val="00146485"/>
    <w:rsid w:val="00150AD6"/>
    <w:rsid w:val="00154ADA"/>
    <w:rsid w:val="0015531A"/>
    <w:rsid w:val="0016041C"/>
    <w:rsid w:val="00163B27"/>
    <w:rsid w:val="00165317"/>
    <w:rsid w:val="00171BAD"/>
    <w:rsid w:val="00172B84"/>
    <w:rsid w:val="0017406E"/>
    <w:rsid w:val="001756A1"/>
    <w:rsid w:val="001761EE"/>
    <w:rsid w:val="00176EAA"/>
    <w:rsid w:val="0017725A"/>
    <w:rsid w:val="00177BE0"/>
    <w:rsid w:val="00177C4B"/>
    <w:rsid w:val="00180FB6"/>
    <w:rsid w:val="00181F3C"/>
    <w:rsid w:val="0018325A"/>
    <w:rsid w:val="00186199"/>
    <w:rsid w:val="0018734E"/>
    <w:rsid w:val="001878B0"/>
    <w:rsid w:val="00190115"/>
    <w:rsid w:val="001928F7"/>
    <w:rsid w:val="00194537"/>
    <w:rsid w:val="00194F40"/>
    <w:rsid w:val="001A21A9"/>
    <w:rsid w:val="001A59D8"/>
    <w:rsid w:val="001A5FA6"/>
    <w:rsid w:val="001B28D0"/>
    <w:rsid w:val="001B2F0C"/>
    <w:rsid w:val="001C37F6"/>
    <w:rsid w:val="001C46E1"/>
    <w:rsid w:val="001C5C03"/>
    <w:rsid w:val="001C6288"/>
    <w:rsid w:val="001C7D5D"/>
    <w:rsid w:val="001D0DB0"/>
    <w:rsid w:val="001D0F6A"/>
    <w:rsid w:val="001D1356"/>
    <w:rsid w:val="001D21BC"/>
    <w:rsid w:val="001D2FA5"/>
    <w:rsid w:val="001D3187"/>
    <w:rsid w:val="001D35E0"/>
    <w:rsid w:val="001D4F52"/>
    <w:rsid w:val="001D5045"/>
    <w:rsid w:val="001D5A44"/>
    <w:rsid w:val="001D724B"/>
    <w:rsid w:val="001E03D6"/>
    <w:rsid w:val="001E11D3"/>
    <w:rsid w:val="001E227F"/>
    <w:rsid w:val="001E2A6A"/>
    <w:rsid w:val="001E3DC2"/>
    <w:rsid w:val="001E4ABC"/>
    <w:rsid w:val="001E56FF"/>
    <w:rsid w:val="001E5C6B"/>
    <w:rsid w:val="001F03E1"/>
    <w:rsid w:val="001F26C1"/>
    <w:rsid w:val="001F3C28"/>
    <w:rsid w:val="001F3CC6"/>
    <w:rsid w:val="001F4530"/>
    <w:rsid w:val="002010DE"/>
    <w:rsid w:val="00202968"/>
    <w:rsid w:val="00202C32"/>
    <w:rsid w:val="00203AEF"/>
    <w:rsid w:val="00206F8C"/>
    <w:rsid w:val="00211A26"/>
    <w:rsid w:val="002125F7"/>
    <w:rsid w:val="00213FE8"/>
    <w:rsid w:val="00214463"/>
    <w:rsid w:val="00214756"/>
    <w:rsid w:val="002149AE"/>
    <w:rsid w:val="00215CF2"/>
    <w:rsid w:val="00221174"/>
    <w:rsid w:val="002224FF"/>
    <w:rsid w:val="002236BC"/>
    <w:rsid w:val="00223DBB"/>
    <w:rsid w:val="00233B7F"/>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4E55"/>
    <w:rsid w:val="002655D4"/>
    <w:rsid w:val="00265865"/>
    <w:rsid w:val="00267A28"/>
    <w:rsid w:val="00267D54"/>
    <w:rsid w:val="002711AA"/>
    <w:rsid w:val="00273F86"/>
    <w:rsid w:val="0027576B"/>
    <w:rsid w:val="00276834"/>
    <w:rsid w:val="002774F0"/>
    <w:rsid w:val="00280566"/>
    <w:rsid w:val="00281DBD"/>
    <w:rsid w:val="00284519"/>
    <w:rsid w:val="0028459B"/>
    <w:rsid w:val="00284C5F"/>
    <w:rsid w:val="00287063"/>
    <w:rsid w:val="002873F0"/>
    <w:rsid w:val="00287B56"/>
    <w:rsid w:val="002964F9"/>
    <w:rsid w:val="00297B13"/>
    <w:rsid w:val="002A1F14"/>
    <w:rsid w:val="002A2678"/>
    <w:rsid w:val="002A2E01"/>
    <w:rsid w:val="002A398F"/>
    <w:rsid w:val="002A4064"/>
    <w:rsid w:val="002A530F"/>
    <w:rsid w:val="002A5C6B"/>
    <w:rsid w:val="002A5D31"/>
    <w:rsid w:val="002A714F"/>
    <w:rsid w:val="002B14C2"/>
    <w:rsid w:val="002B1851"/>
    <w:rsid w:val="002B2019"/>
    <w:rsid w:val="002B27FF"/>
    <w:rsid w:val="002B3A0A"/>
    <w:rsid w:val="002B4320"/>
    <w:rsid w:val="002B6793"/>
    <w:rsid w:val="002C042C"/>
    <w:rsid w:val="002C065A"/>
    <w:rsid w:val="002C1726"/>
    <w:rsid w:val="002C21A6"/>
    <w:rsid w:val="002C2678"/>
    <w:rsid w:val="002C26D5"/>
    <w:rsid w:val="002C5777"/>
    <w:rsid w:val="002D31BB"/>
    <w:rsid w:val="002D32E3"/>
    <w:rsid w:val="002E0FEB"/>
    <w:rsid w:val="002E5C64"/>
    <w:rsid w:val="002E6899"/>
    <w:rsid w:val="002E6FB9"/>
    <w:rsid w:val="002F0F79"/>
    <w:rsid w:val="002F2234"/>
    <w:rsid w:val="002F2713"/>
    <w:rsid w:val="002F280E"/>
    <w:rsid w:val="002F3709"/>
    <w:rsid w:val="002F3A6C"/>
    <w:rsid w:val="002F4296"/>
    <w:rsid w:val="00300951"/>
    <w:rsid w:val="00302CA8"/>
    <w:rsid w:val="00302DE9"/>
    <w:rsid w:val="003033EE"/>
    <w:rsid w:val="00304106"/>
    <w:rsid w:val="00304E5A"/>
    <w:rsid w:val="00304E97"/>
    <w:rsid w:val="00305084"/>
    <w:rsid w:val="00311094"/>
    <w:rsid w:val="0031598C"/>
    <w:rsid w:val="00316339"/>
    <w:rsid w:val="003204E9"/>
    <w:rsid w:val="00321E8C"/>
    <w:rsid w:val="00322A86"/>
    <w:rsid w:val="00323AE8"/>
    <w:rsid w:val="00324548"/>
    <w:rsid w:val="003251F4"/>
    <w:rsid w:val="003303E3"/>
    <w:rsid w:val="003329EA"/>
    <w:rsid w:val="003407A5"/>
    <w:rsid w:val="00341188"/>
    <w:rsid w:val="0034147B"/>
    <w:rsid w:val="00344A44"/>
    <w:rsid w:val="00344FF1"/>
    <w:rsid w:val="00345F56"/>
    <w:rsid w:val="00346DF0"/>
    <w:rsid w:val="00350238"/>
    <w:rsid w:val="0035109C"/>
    <w:rsid w:val="00351F0A"/>
    <w:rsid w:val="0035432B"/>
    <w:rsid w:val="00361E7E"/>
    <w:rsid w:val="00363E15"/>
    <w:rsid w:val="0037006D"/>
    <w:rsid w:val="00370AA4"/>
    <w:rsid w:val="00371FF4"/>
    <w:rsid w:val="003745DA"/>
    <w:rsid w:val="0037468D"/>
    <w:rsid w:val="00376A15"/>
    <w:rsid w:val="00376E96"/>
    <w:rsid w:val="00377520"/>
    <w:rsid w:val="00380D36"/>
    <w:rsid w:val="003822D3"/>
    <w:rsid w:val="0038359B"/>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5464"/>
    <w:rsid w:val="004567C5"/>
    <w:rsid w:val="00457804"/>
    <w:rsid w:val="00462B61"/>
    <w:rsid w:val="00464283"/>
    <w:rsid w:val="004646BF"/>
    <w:rsid w:val="00464744"/>
    <w:rsid w:val="004665E3"/>
    <w:rsid w:val="00466B17"/>
    <w:rsid w:val="00467F2B"/>
    <w:rsid w:val="004705EB"/>
    <w:rsid w:val="004731F1"/>
    <w:rsid w:val="004745CC"/>
    <w:rsid w:val="00477111"/>
    <w:rsid w:val="0047798A"/>
    <w:rsid w:val="004804B1"/>
    <w:rsid w:val="00480BC8"/>
    <w:rsid w:val="00481265"/>
    <w:rsid w:val="004814BF"/>
    <w:rsid w:val="00482956"/>
    <w:rsid w:val="0048587E"/>
    <w:rsid w:val="00487C2B"/>
    <w:rsid w:val="0049297D"/>
    <w:rsid w:val="004929F2"/>
    <w:rsid w:val="004958BE"/>
    <w:rsid w:val="00495A03"/>
    <w:rsid w:val="0049659A"/>
    <w:rsid w:val="004966FE"/>
    <w:rsid w:val="00497079"/>
    <w:rsid w:val="004A1BBA"/>
    <w:rsid w:val="004A3039"/>
    <w:rsid w:val="004A3251"/>
    <w:rsid w:val="004A3E3C"/>
    <w:rsid w:val="004A5B18"/>
    <w:rsid w:val="004B0E6D"/>
    <w:rsid w:val="004B16E8"/>
    <w:rsid w:val="004B25F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60FB"/>
    <w:rsid w:val="004F16AD"/>
    <w:rsid w:val="004F6565"/>
    <w:rsid w:val="004F779C"/>
    <w:rsid w:val="004F7846"/>
    <w:rsid w:val="005000D4"/>
    <w:rsid w:val="00501BB1"/>
    <w:rsid w:val="0050335E"/>
    <w:rsid w:val="00505BE7"/>
    <w:rsid w:val="00506786"/>
    <w:rsid w:val="00506D57"/>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38"/>
    <w:rsid w:val="00543BFA"/>
    <w:rsid w:val="00547D9C"/>
    <w:rsid w:val="00547DA1"/>
    <w:rsid w:val="00547F92"/>
    <w:rsid w:val="0055513C"/>
    <w:rsid w:val="005558C4"/>
    <w:rsid w:val="005603F7"/>
    <w:rsid w:val="00560C94"/>
    <w:rsid w:val="0056291C"/>
    <w:rsid w:val="00565A63"/>
    <w:rsid w:val="00566588"/>
    <w:rsid w:val="00571BD3"/>
    <w:rsid w:val="00571FA8"/>
    <w:rsid w:val="0057275D"/>
    <w:rsid w:val="005749DF"/>
    <w:rsid w:val="0057608B"/>
    <w:rsid w:val="0057676D"/>
    <w:rsid w:val="005800A9"/>
    <w:rsid w:val="00580488"/>
    <w:rsid w:val="0058074D"/>
    <w:rsid w:val="00582FAD"/>
    <w:rsid w:val="00583489"/>
    <w:rsid w:val="005837E4"/>
    <w:rsid w:val="005838AE"/>
    <w:rsid w:val="00587B92"/>
    <w:rsid w:val="005908C0"/>
    <w:rsid w:val="00590FE4"/>
    <w:rsid w:val="00591D9C"/>
    <w:rsid w:val="00592EFF"/>
    <w:rsid w:val="00597057"/>
    <w:rsid w:val="00597D8B"/>
    <w:rsid w:val="005A128A"/>
    <w:rsid w:val="005A140B"/>
    <w:rsid w:val="005A1C30"/>
    <w:rsid w:val="005A3295"/>
    <w:rsid w:val="005A44E4"/>
    <w:rsid w:val="005A46FF"/>
    <w:rsid w:val="005A5D3B"/>
    <w:rsid w:val="005A6BFC"/>
    <w:rsid w:val="005A704A"/>
    <w:rsid w:val="005B011E"/>
    <w:rsid w:val="005B2E84"/>
    <w:rsid w:val="005B3103"/>
    <w:rsid w:val="005B6AC7"/>
    <w:rsid w:val="005B6CA6"/>
    <w:rsid w:val="005B7B0E"/>
    <w:rsid w:val="005C2541"/>
    <w:rsid w:val="005C28CB"/>
    <w:rsid w:val="005C45E8"/>
    <w:rsid w:val="005C5409"/>
    <w:rsid w:val="005C69AC"/>
    <w:rsid w:val="005C722E"/>
    <w:rsid w:val="005C7FD4"/>
    <w:rsid w:val="005D01A4"/>
    <w:rsid w:val="005D45B3"/>
    <w:rsid w:val="005D4CEB"/>
    <w:rsid w:val="005E0EAB"/>
    <w:rsid w:val="005E2501"/>
    <w:rsid w:val="005E39D4"/>
    <w:rsid w:val="005E64DA"/>
    <w:rsid w:val="005E6CD4"/>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3BBA"/>
    <w:rsid w:val="00634585"/>
    <w:rsid w:val="00637258"/>
    <w:rsid w:val="00642072"/>
    <w:rsid w:val="006440ED"/>
    <w:rsid w:val="00645293"/>
    <w:rsid w:val="00646237"/>
    <w:rsid w:val="006506EF"/>
    <w:rsid w:val="00651B78"/>
    <w:rsid w:val="00652263"/>
    <w:rsid w:val="00652881"/>
    <w:rsid w:val="00661974"/>
    <w:rsid w:val="00662D4B"/>
    <w:rsid w:val="00664551"/>
    <w:rsid w:val="00664F49"/>
    <w:rsid w:val="006658FA"/>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96E18"/>
    <w:rsid w:val="006A1DAE"/>
    <w:rsid w:val="006A2C8E"/>
    <w:rsid w:val="006A72C6"/>
    <w:rsid w:val="006B02DA"/>
    <w:rsid w:val="006B077E"/>
    <w:rsid w:val="006B1FD1"/>
    <w:rsid w:val="006B2065"/>
    <w:rsid w:val="006B2F2B"/>
    <w:rsid w:val="006B3940"/>
    <w:rsid w:val="006B47D1"/>
    <w:rsid w:val="006C0411"/>
    <w:rsid w:val="006C168D"/>
    <w:rsid w:val="006C1D52"/>
    <w:rsid w:val="006C4E16"/>
    <w:rsid w:val="006C55C8"/>
    <w:rsid w:val="006C5E36"/>
    <w:rsid w:val="006C642C"/>
    <w:rsid w:val="006C6FC6"/>
    <w:rsid w:val="006D00D5"/>
    <w:rsid w:val="006E34B7"/>
    <w:rsid w:val="006F4CD8"/>
    <w:rsid w:val="006F7291"/>
    <w:rsid w:val="00701F44"/>
    <w:rsid w:val="00703E8A"/>
    <w:rsid w:val="00710335"/>
    <w:rsid w:val="00711522"/>
    <w:rsid w:val="007124FE"/>
    <w:rsid w:val="00713186"/>
    <w:rsid w:val="00713757"/>
    <w:rsid w:val="00717772"/>
    <w:rsid w:val="00721AF1"/>
    <w:rsid w:val="0072280F"/>
    <w:rsid w:val="00722B5E"/>
    <w:rsid w:val="0072708F"/>
    <w:rsid w:val="00730500"/>
    <w:rsid w:val="007328AB"/>
    <w:rsid w:val="00732D1D"/>
    <w:rsid w:val="00734B2B"/>
    <w:rsid w:val="0073600F"/>
    <w:rsid w:val="00736034"/>
    <w:rsid w:val="007362E0"/>
    <w:rsid w:val="00736479"/>
    <w:rsid w:val="0073681C"/>
    <w:rsid w:val="00741EBE"/>
    <w:rsid w:val="00746130"/>
    <w:rsid w:val="00746A40"/>
    <w:rsid w:val="00750358"/>
    <w:rsid w:val="007506E8"/>
    <w:rsid w:val="007513AC"/>
    <w:rsid w:val="00751763"/>
    <w:rsid w:val="00755CDF"/>
    <w:rsid w:val="00757A4C"/>
    <w:rsid w:val="00763925"/>
    <w:rsid w:val="00764A94"/>
    <w:rsid w:val="0076518F"/>
    <w:rsid w:val="007651E5"/>
    <w:rsid w:val="007670DC"/>
    <w:rsid w:val="0077111A"/>
    <w:rsid w:val="00772721"/>
    <w:rsid w:val="007756ED"/>
    <w:rsid w:val="0078105B"/>
    <w:rsid w:val="00783C07"/>
    <w:rsid w:val="007870FC"/>
    <w:rsid w:val="00787CD0"/>
    <w:rsid w:val="00791053"/>
    <w:rsid w:val="00791A3A"/>
    <w:rsid w:val="00791BB9"/>
    <w:rsid w:val="007936BA"/>
    <w:rsid w:val="00794196"/>
    <w:rsid w:val="00796EC9"/>
    <w:rsid w:val="00797637"/>
    <w:rsid w:val="007A3680"/>
    <w:rsid w:val="007A39AF"/>
    <w:rsid w:val="007A59B8"/>
    <w:rsid w:val="007A75F5"/>
    <w:rsid w:val="007B2862"/>
    <w:rsid w:val="007B662A"/>
    <w:rsid w:val="007C3469"/>
    <w:rsid w:val="007D1292"/>
    <w:rsid w:val="007D28C9"/>
    <w:rsid w:val="007D3AE5"/>
    <w:rsid w:val="007D3CC8"/>
    <w:rsid w:val="007D62F9"/>
    <w:rsid w:val="007D63A4"/>
    <w:rsid w:val="007E1AA2"/>
    <w:rsid w:val="007E2F72"/>
    <w:rsid w:val="007E303C"/>
    <w:rsid w:val="007E4C1F"/>
    <w:rsid w:val="007F0759"/>
    <w:rsid w:val="007F25C0"/>
    <w:rsid w:val="007F26D5"/>
    <w:rsid w:val="007F5F52"/>
    <w:rsid w:val="007F768B"/>
    <w:rsid w:val="007F77C6"/>
    <w:rsid w:val="007F78B3"/>
    <w:rsid w:val="008003A1"/>
    <w:rsid w:val="008006B7"/>
    <w:rsid w:val="00800FDB"/>
    <w:rsid w:val="00802081"/>
    <w:rsid w:val="0080315C"/>
    <w:rsid w:val="00806461"/>
    <w:rsid w:val="0081096D"/>
    <w:rsid w:val="00810EAD"/>
    <w:rsid w:val="00811833"/>
    <w:rsid w:val="008174D4"/>
    <w:rsid w:val="00820FE6"/>
    <w:rsid w:val="00821A66"/>
    <w:rsid w:val="00822476"/>
    <w:rsid w:val="00822882"/>
    <w:rsid w:val="00825F68"/>
    <w:rsid w:val="00826B12"/>
    <w:rsid w:val="00835408"/>
    <w:rsid w:val="00837CEF"/>
    <w:rsid w:val="00840035"/>
    <w:rsid w:val="008428A9"/>
    <w:rsid w:val="00844112"/>
    <w:rsid w:val="00844929"/>
    <w:rsid w:val="008456C9"/>
    <w:rsid w:val="0084611D"/>
    <w:rsid w:val="00850C62"/>
    <w:rsid w:val="00852E6D"/>
    <w:rsid w:val="00861D07"/>
    <w:rsid w:val="008620ED"/>
    <w:rsid w:val="00863011"/>
    <w:rsid w:val="00865075"/>
    <w:rsid w:val="008673EE"/>
    <w:rsid w:val="0086748F"/>
    <w:rsid w:val="0087034D"/>
    <w:rsid w:val="008712A3"/>
    <w:rsid w:val="00872CE4"/>
    <w:rsid w:val="008740FD"/>
    <w:rsid w:val="0087718C"/>
    <w:rsid w:val="00877B62"/>
    <w:rsid w:val="00881015"/>
    <w:rsid w:val="008810B0"/>
    <w:rsid w:val="008819B6"/>
    <w:rsid w:val="00881AAC"/>
    <w:rsid w:val="0088256A"/>
    <w:rsid w:val="008836B7"/>
    <w:rsid w:val="008841D3"/>
    <w:rsid w:val="00884359"/>
    <w:rsid w:val="00887DE6"/>
    <w:rsid w:val="00890172"/>
    <w:rsid w:val="008911D2"/>
    <w:rsid w:val="00893048"/>
    <w:rsid w:val="00894C2A"/>
    <w:rsid w:val="00896B65"/>
    <w:rsid w:val="008975BC"/>
    <w:rsid w:val="00897708"/>
    <w:rsid w:val="00897D88"/>
    <w:rsid w:val="00897E6F"/>
    <w:rsid w:val="008A2EC6"/>
    <w:rsid w:val="008A2F16"/>
    <w:rsid w:val="008A6D69"/>
    <w:rsid w:val="008B0A73"/>
    <w:rsid w:val="008B1823"/>
    <w:rsid w:val="008B2EAD"/>
    <w:rsid w:val="008B6226"/>
    <w:rsid w:val="008B6A4A"/>
    <w:rsid w:val="008B6E16"/>
    <w:rsid w:val="008B7110"/>
    <w:rsid w:val="008C2029"/>
    <w:rsid w:val="008C503E"/>
    <w:rsid w:val="008C50F5"/>
    <w:rsid w:val="008C61D6"/>
    <w:rsid w:val="008C64F1"/>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47DC"/>
    <w:rsid w:val="008E7896"/>
    <w:rsid w:val="008E7D2D"/>
    <w:rsid w:val="008F2477"/>
    <w:rsid w:val="008F623C"/>
    <w:rsid w:val="008F7815"/>
    <w:rsid w:val="00900F02"/>
    <w:rsid w:val="009010F0"/>
    <w:rsid w:val="00901162"/>
    <w:rsid w:val="0090223A"/>
    <w:rsid w:val="009028E2"/>
    <w:rsid w:val="00914EAB"/>
    <w:rsid w:val="00916E6C"/>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2748"/>
    <w:rsid w:val="009664D5"/>
    <w:rsid w:val="00970C69"/>
    <w:rsid w:val="00971F1C"/>
    <w:rsid w:val="0097211D"/>
    <w:rsid w:val="00972E10"/>
    <w:rsid w:val="009746CA"/>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7117"/>
    <w:rsid w:val="00A14AE3"/>
    <w:rsid w:val="00A16675"/>
    <w:rsid w:val="00A22642"/>
    <w:rsid w:val="00A22CD6"/>
    <w:rsid w:val="00A22D4B"/>
    <w:rsid w:val="00A234EC"/>
    <w:rsid w:val="00A2417A"/>
    <w:rsid w:val="00A27804"/>
    <w:rsid w:val="00A3193E"/>
    <w:rsid w:val="00A32FDA"/>
    <w:rsid w:val="00A36AB5"/>
    <w:rsid w:val="00A37DDA"/>
    <w:rsid w:val="00A411D1"/>
    <w:rsid w:val="00A41566"/>
    <w:rsid w:val="00A43389"/>
    <w:rsid w:val="00A43C40"/>
    <w:rsid w:val="00A43E71"/>
    <w:rsid w:val="00A45753"/>
    <w:rsid w:val="00A47B15"/>
    <w:rsid w:val="00A47E47"/>
    <w:rsid w:val="00A52F84"/>
    <w:rsid w:val="00A53DD8"/>
    <w:rsid w:val="00A56AA4"/>
    <w:rsid w:val="00A56B05"/>
    <w:rsid w:val="00A57678"/>
    <w:rsid w:val="00A60E2F"/>
    <w:rsid w:val="00A63127"/>
    <w:rsid w:val="00A63284"/>
    <w:rsid w:val="00A64CB8"/>
    <w:rsid w:val="00A67018"/>
    <w:rsid w:val="00A672F3"/>
    <w:rsid w:val="00A673DC"/>
    <w:rsid w:val="00A7076E"/>
    <w:rsid w:val="00A709BE"/>
    <w:rsid w:val="00A70E23"/>
    <w:rsid w:val="00A70EAB"/>
    <w:rsid w:val="00A7162E"/>
    <w:rsid w:val="00A72D71"/>
    <w:rsid w:val="00A75705"/>
    <w:rsid w:val="00A7634D"/>
    <w:rsid w:val="00A77C69"/>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221"/>
    <w:rsid w:val="00AB67DE"/>
    <w:rsid w:val="00AB688F"/>
    <w:rsid w:val="00AB75EA"/>
    <w:rsid w:val="00AB7AA2"/>
    <w:rsid w:val="00AC05F8"/>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5412"/>
    <w:rsid w:val="00B07C27"/>
    <w:rsid w:val="00B10DE1"/>
    <w:rsid w:val="00B10FF8"/>
    <w:rsid w:val="00B111B9"/>
    <w:rsid w:val="00B136E9"/>
    <w:rsid w:val="00B203C4"/>
    <w:rsid w:val="00B22995"/>
    <w:rsid w:val="00B22A61"/>
    <w:rsid w:val="00B22E81"/>
    <w:rsid w:val="00B23996"/>
    <w:rsid w:val="00B23CB2"/>
    <w:rsid w:val="00B2561A"/>
    <w:rsid w:val="00B25A64"/>
    <w:rsid w:val="00B25BE8"/>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6BBB"/>
    <w:rsid w:val="00B77142"/>
    <w:rsid w:val="00B7766E"/>
    <w:rsid w:val="00B80A2C"/>
    <w:rsid w:val="00B81F60"/>
    <w:rsid w:val="00B83F8E"/>
    <w:rsid w:val="00B841AC"/>
    <w:rsid w:val="00B865B0"/>
    <w:rsid w:val="00B8760C"/>
    <w:rsid w:val="00B90780"/>
    <w:rsid w:val="00B918B8"/>
    <w:rsid w:val="00B9240D"/>
    <w:rsid w:val="00B94BB8"/>
    <w:rsid w:val="00B94C15"/>
    <w:rsid w:val="00B95E5A"/>
    <w:rsid w:val="00BA22A8"/>
    <w:rsid w:val="00BA3539"/>
    <w:rsid w:val="00BA3E48"/>
    <w:rsid w:val="00BB1EB3"/>
    <w:rsid w:val="00BB2678"/>
    <w:rsid w:val="00BC2343"/>
    <w:rsid w:val="00BC76D5"/>
    <w:rsid w:val="00BD18B8"/>
    <w:rsid w:val="00BD30C8"/>
    <w:rsid w:val="00BD3EB4"/>
    <w:rsid w:val="00BD5C65"/>
    <w:rsid w:val="00BE01CA"/>
    <w:rsid w:val="00BE6018"/>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17C9B"/>
    <w:rsid w:val="00C22CCE"/>
    <w:rsid w:val="00C23BA2"/>
    <w:rsid w:val="00C25D0C"/>
    <w:rsid w:val="00C32AF2"/>
    <w:rsid w:val="00C33204"/>
    <w:rsid w:val="00C338EB"/>
    <w:rsid w:val="00C33E2E"/>
    <w:rsid w:val="00C3465D"/>
    <w:rsid w:val="00C379E9"/>
    <w:rsid w:val="00C37E98"/>
    <w:rsid w:val="00C42431"/>
    <w:rsid w:val="00C43324"/>
    <w:rsid w:val="00C439FB"/>
    <w:rsid w:val="00C43F23"/>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78F"/>
    <w:rsid w:val="00CA3977"/>
    <w:rsid w:val="00CA4176"/>
    <w:rsid w:val="00CA5927"/>
    <w:rsid w:val="00CA79EC"/>
    <w:rsid w:val="00CB39C2"/>
    <w:rsid w:val="00CB44DE"/>
    <w:rsid w:val="00CB4C8C"/>
    <w:rsid w:val="00CB6782"/>
    <w:rsid w:val="00CB7629"/>
    <w:rsid w:val="00CC00EC"/>
    <w:rsid w:val="00CC080A"/>
    <w:rsid w:val="00CC3C04"/>
    <w:rsid w:val="00CE3C13"/>
    <w:rsid w:val="00CE4499"/>
    <w:rsid w:val="00CE5277"/>
    <w:rsid w:val="00CE6358"/>
    <w:rsid w:val="00CE7FC6"/>
    <w:rsid w:val="00CF0C6C"/>
    <w:rsid w:val="00CF2D54"/>
    <w:rsid w:val="00CF622A"/>
    <w:rsid w:val="00D01324"/>
    <w:rsid w:val="00D024C6"/>
    <w:rsid w:val="00D02BA5"/>
    <w:rsid w:val="00D03538"/>
    <w:rsid w:val="00D03B67"/>
    <w:rsid w:val="00D049B8"/>
    <w:rsid w:val="00D0516C"/>
    <w:rsid w:val="00D05EE7"/>
    <w:rsid w:val="00D06394"/>
    <w:rsid w:val="00D068D0"/>
    <w:rsid w:val="00D078D1"/>
    <w:rsid w:val="00D129A8"/>
    <w:rsid w:val="00D12FB9"/>
    <w:rsid w:val="00D13987"/>
    <w:rsid w:val="00D17C3A"/>
    <w:rsid w:val="00D200BD"/>
    <w:rsid w:val="00D22399"/>
    <w:rsid w:val="00D33751"/>
    <w:rsid w:val="00D36F6E"/>
    <w:rsid w:val="00D37343"/>
    <w:rsid w:val="00D4205E"/>
    <w:rsid w:val="00D565EC"/>
    <w:rsid w:val="00D61982"/>
    <w:rsid w:val="00D6226F"/>
    <w:rsid w:val="00D6267A"/>
    <w:rsid w:val="00D674CF"/>
    <w:rsid w:val="00D678DF"/>
    <w:rsid w:val="00D67D12"/>
    <w:rsid w:val="00D70923"/>
    <w:rsid w:val="00D74F09"/>
    <w:rsid w:val="00D754C0"/>
    <w:rsid w:val="00D75673"/>
    <w:rsid w:val="00D7585A"/>
    <w:rsid w:val="00D76D01"/>
    <w:rsid w:val="00D7728B"/>
    <w:rsid w:val="00D80618"/>
    <w:rsid w:val="00D82494"/>
    <w:rsid w:val="00D84A4B"/>
    <w:rsid w:val="00D85E13"/>
    <w:rsid w:val="00D863FA"/>
    <w:rsid w:val="00D8669F"/>
    <w:rsid w:val="00D92168"/>
    <w:rsid w:val="00D93CDD"/>
    <w:rsid w:val="00D940B5"/>
    <w:rsid w:val="00D95CB0"/>
    <w:rsid w:val="00D95D81"/>
    <w:rsid w:val="00D977C0"/>
    <w:rsid w:val="00DA00A3"/>
    <w:rsid w:val="00DA13F3"/>
    <w:rsid w:val="00DA27D4"/>
    <w:rsid w:val="00DA2DE3"/>
    <w:rsid w:val="00DA716A"/>
    <w:rsid w:val="00DB1841"/>
    <w:rsid w:val="00DB1F4F"/>
    <w:rsid w:val="00DB3360"/>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4456"/>
    <w:rsid w:val="00DF63FA"/>
    <w:rsid w:val="00E012CC"/>
    <w:rsid w:val="00E02B71"/>
    <w:rsid w:val="00E02DEB"/>
    <w:rsid w:val="00E042A1"/>
    <w:rsid w:val="00E104FA"/>
    <w:rsid w:val="00E10506"/>
    <w:rsid w:val="00E1082A"/>
    <w:rsid w:val="00E11166"/>
    <w:rsid w:val="00E13182"/>
    <w:rsid w:val="00E13203"/>
    <w:rsid w:val="00E15383"/>
    <w:rsid w:val="00E1738C"/>
    <w:rsid w:val="00E202B6"/>
    <w:rsid w:val="00E22D28"/>
    <w:rsid w:val="00E230E3"/>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1AFF"/>
    <w:rsid w:val="00E82EB9"/>
    <w:rsid w:val="00E8342F"/>
    <w:rsid w:val="00E847A7"/>
    <w:rsid w:val="00E87C2F"/>
    <w:rsid w:val="00E906B4"/>
    <w:rsid w:val="00E9095B"/>
    <w:rsid w:val="00E90CF1"/>
    <w:rsid w:val="00E9399B"/>
    <w:rsid w:val="00E94008"/>
    <w:rsid w:val="00E94762"/>
    <w:rsid w:val="00E94AA2"/>
    <w:rsid w:val="00E96B52"/>
    <w:rsid w:val="00EA2244"/>
    <w:rsid w:val="00EA411E"/>
    <w:rsid w:val="00EA5FC0"/>
    <w:rsid w:val="00EA6FA7"/>
    <w:rsid w:val="00EB067F"/>
    <w:rsid w:val="00EB16A0"/>
    <w:rsid w:val="00EB1F02"/>
    <w:rsid w:val="00EB51FD"/>
    <w:rsid w:val="00EB5BC5"/>
    <w:rsid w:val="00EB72C1"/>
    <w:rsid w:val="00EC086C"/>
    <w:rsid w:val="00EC42D0"/>
    <w:rsid w:val="00EC4BA3"/>
    <w:rsid w:val="00EC5CE6"/>
    <w:rsid w:val="00EC638F"/>
    <w:rsid w:val="00EE2ACE"/>
    <w:rsid w:val="00EE4874"/>
    <w:rsid w:val="00EE79A6"/>
    <w:rsid w:val="00EE7FB4"/>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4A8"/>
    <w:rsid w:val="00F158FF"/>
    <w:rsid w:val="00F16CF0"/>
    <w:rsid w:val="00F20BE9"/>
    <w:rsid w:val="00F2285F"/>
    <w:rsid w:val="00F22F00"/>
    <w:rsid w:val="00F23155"/>
    <w:rsid w:val="00F23F0E"/>
    <w:rsid w:val="00F24E0E"/>
    <w:rsid w:val="00F26693"/>
    <w:rsid w:val="00F36130"/>
    <w:rsid w:val="00F40444"/>
    <w:rsid w:val="00F40868"/>
    <w:rsid w:val="00F423BD"/>
    <w:rsid w:val="00F432FF"/>
    <w:rsid w:val="00F4715C"/>
    <w:rsid w:val="00F5013F"/>
    <w:rsid w:val="00F50707"/>
    <w:rsid w:val="00F54869"/>
    <w:rsid w:val="00F556B2"/>
    <w:rsid w:val="00F57187"/>
    <w:rsid w:val="00F574E5"/>
    <w:rsid w:val="00F5754B"/>
    <w:rsid w:val="00F576DE"/>
    <w:rsid w:val="00F63BF7"/>
    <w:rsid w:val="00F65617"/>
    <w:rsid w:val="00F70316"/>
    <w:rsid w:val="00F710BE"/>
    <w:rsid w:val="00F72CEF"/>
    <w:rsid w:val="00F736D2"/>
    <w:rsid w:val="00F7564C"/>
    <w:rsid w:val="00F76220"/>
    <w:rsid w:val="00F769BE"/>
    <w:rsid w:val="00F82E6B"/>
    <w:rsid w:val="00F93C09"/>
    <w:rsid w:val="00F951CF"/>
    <w:rsid w:val="00F97B71"/>
    <w:rsid w:val="00FA1925"/>
    <w:rsid w:val="00FA2DDA"/>
    <w:rsid w:val="00FA34CA"/>
    <w:rsid w:val="00FA3CC8"/>
    <w:rsid w:val="00FA4A55"/>
    <w:rsid w:val="00FA4D4F"/>
    <w:rsid w:val="00FA54E8"/>
    <w:rsid w:val="00FA5CA2"/>
    <w:rsid w:val="00FA6052"/>
    <w:rsid w:val="00FB0D88"/>
    <w:rsid w:val="00FB2D17"/>
    <w:rsid w:val="00FB2F69"/>
    <w:rsid w:val="00FB39F7"/>
    <w:rsid w:val="00FB3BCA"/>
    <w:rsid w:val="00FB45FF"/>
    <w:rsid w:val="00FB47E0"/>
    <w:rsid w:val="00FB56F5"/>
    <w:rsid w:val="00FB5D97"/>
    <w:rsid w:val="00FB7363"/>
    <w:rsid w:val="00FC1CA5"/>
    <w:rsid w:val="00FC2979"/>
    <w:rsid w:val="00FC45F4"/>
    <w:rsid w:val="00FC55D1"/>
    <w:rsid w:val="00FD1C3C"/>
    <w:rsid w:val="00FD3532"/>
    <w:rsid w:val="00FD38A8"/>
    <w:rsid w:val="00FD6AC8"/>
    <w:rsid w:val="00FD7298"/>
    <w:rsid w:val="00FE308B"/>
    <w:rsid w:val="00FE3EA1"/>
    <w:rsid w:val="00FE4818"/>
    <w:rsid w:val="00FE5D80"/>
    <w:rsid w:val="00FF665B"/>
    <w:rsid w:val="00FF6ADB"/>
    <w:rsid w:val="00FF70FD"/>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15D1A8-6B0E-42DE-A4EA-76784EE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EB72C1"/>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7634D"/>
    <w:rPr>
      <w:rFonts w:cs="Times New Roman"/>
      <w:b/>
      <w:bCs/>
      <w:kern w:val="44"/>
      <w:sz w:val="44"/>
      <w:szCs w:val="44"/>
    </w:rPr>
  </w:style>
  <w:style w:type="character" w:customStyle="1" w:styleId="2Char">
    <w:name w:val="标题 2 Char"/>
    <w:link w:val="2"/>
    <w:uiPriority w:val="9"/>
    <w:semiHidden/>
    <w:rsid w:val="00525D36"/>
    <w:rPr>
      <w:rFonts w:ascii="Cambria" w:eastAsia="宋体" w:hAnsi="Cambria" w:cs="Times New Roman"/>
      <w:b/>
      <w:bCs/>
      <w:sz w:val="32"/>
      <w:szCs w:val="32"/>
    </w:rPr>
  </w:style>
  <w:style w:type="paragraph" w:styleId="a0">
    <w:name w:val="Normal Indent"/>
    <w:basedOn w:val="a"/>
    <w:uiPriority w:val="99"/>
    <w:rsid w:val="00EB72C1"/>
    <w:pPr>
      <w:ind w:firstLineChars="200" w:firstLine="420"/>
    </w:pPr>
  </w:style>
  <w:style w:type="paragraph" w:styleId="a4">
    <w:name w:val="Body Text Indent"/>
    <w:basedOn w:val="a"/>
    <w:link w:val="Char"/>
    <w:uiPriority w:val="99"/>
    <w:rsid w:val="00EB72C1"/>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525D36"/>
    <w:rPr>
      <w:szCs w:val="24"/>
    </w:rPr>
  </w:style>
  <w:style w:type="paragraph" w:styleId="a5">
    <w:name w:val="Plain Text"/>
    <w:basedOn w:val="a"/>
    <w:link w:val="Char0"/>
    <w:uiPriority w:val="99"/>
    <w:rsid w:val="00EB72C1"/>
    <w:rPr>
      <w:rFonts w:ascii="宋体" w:hAnsi="Courier New"/>
      <w:szCs w:val="20"/>
    </w:rPr>
  </w:style>
  <w:style w:type="character" w:customStyle="1" w:styleId="Char0">
    <w:name w:val="纯文本 Char"/>
    <w:link w:val="a5"/>
    <w:uiPriority w:val="99"/>
    <w:locked/>
    <w:rsid w:val="00A96FD9"/>
    <w:rPr>
      <w:rFonts w:ascii="宋体" w:hAnsi="Courier New"/>
      <w:kern w:val="2"/>
      <w:sz w:val="21"/>
    </w:rPr>
  </w:style>
  <w:style w:type="paragraph" w:styleId="20">
    <w:name w:val="Body Text Indent 2"/>
    <w:basedOn w:val="a"/>
    <w:link w:val="2Char0"/>
    <w:uiPriority w:val="99"/>
    <w:rsid w:val="00EB72C1"/>
    <w:pPr>
      <w:spacing w:line="560" w:lineRule="exact"/>
      <w:ind w:firstLineChars="200" w:firstLine="480"/>
    </w:pPr>
    <w:rPr>
      <w:kern w:val="0"/>
      <w:sz w:val="20"/>
    </w:rPr>
  </w:style>
  <w:style w:type="character" w:customStyle="1" w:styleId="2Char0">
    <w:name w:val="正文文本缩进 2 Char"/>
    <w:link w:val="20"/>
    <w:uiPriority w:val="99"/>
    <w:semiHidden/>
    <w:rsid w:val="00525D36"/>
    <w:rPr>
      <w:szCs w:val="24"/>
    </w:rPr>
  </w:style>
  <w:style w:type="paragraph" w:styleId="a6">
    <w:name w:val="footer"/>
    <w:basedOn w:val="a"/>
    <w:link w:val="Char1"/>
    <w:uiPriority w:val="99"/>
    <w:rsid w:val="00EB72C1"/>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525D36"/>
    <w:rPr>
      <w:sz w:val="18"/>
      <w:szCs w:val="18"/>
    </w:rPr>
  </w:style>
  <w:style w:type="character" w:styleId="a7">
    <w:name w:val="page number"/>
    <w:uiPriority w:val="99"/>
    <w:rsid w:val="00EB72C1"/>
    <w:rPr>
      <w:rFonts w:cs="Times New Roman"/>
    </w:rPr>
  </w:style>
  <w:style w:type="character" w:styleId="a8">
    <w:name w:val="Hyperlink"/>
    <w:uiPriority w:val="99"/>
    <w:rsid w:val="00EB72C1"/>
    <w:rPr>
      <w:rFonts w:cs="Times New Roman"/>
      <w:color w:val="0000FF"/>
      <w:u w:val="single"/>
    </w:rPr>
  </w:style>
  <w:style w:type="paragraph" w:styleId="3">
    <w:name w:val="Body Text Indent 3"/>
    <w:basedOn w:val="a"/>
    <w:link w:val="3Char"/>
    <w:uiPriority w:val="99"/>
    <w:rsid w:val="00EB72C1"/>
    <w:pPr>
      <w:spacing w:line="560" w:lineRule="exact"/>
      <w:ind w:firstLineChars="200" w:firstLine="420"/>
    </w:pPr>
    <w:rPr>
      <w:kern w:val="0"/>
      <w:sz w:val="16"/>
      <w:szCs w:val="16"/>
    </w:rPr>
  </w:style>
  <w:style w:type="character" w:customStyle="1" w:styleId="3Char">
    <w:name w:val="正文文本缩进 3 Char"/>
    <w:link w:val="3"/>
    <w:uiPriority w:val="99"/>
    <w:semiHidden/>
    <w:rsid w:val="00525D36"/>
    <w:rPr>
      <w:sz w:val="16"/>
      <w:szCs w:val="16"/>
    </w:rPr>
  </w:style>
  <w:style w:type="paragraph" w:styleId="a9">
    <w:name w:val="header"/>
    <w:basedOn w:val="a"/>
    <w:link w:val="Char2"/>
    <w:uiPriority w:val="99"/>
    <w:rsid w:val="00EB72C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D1356"/>
    <w:rPr>
      <w:rFonts w:cs="Times New Roman"/>
      <w:kern w:val="2"/>
      <w:sz w:val="18"/>
      <w:szCs w:val="18"/>
    </w:rPr>
  </w:style>
  <w:style w:type="character" w:styleId="aa">
    <w:name w:val="FollowedHyperlink"/>
    <w:uiPriority w:val="99"/>
    <w:rsid w:val="00EB72C1"/>
    <w:rPr>
      <w:rFonts w:cs="Times New Roman"/>
      <w:color w:val="800080"/>
      <w:u w:val="single"/>
    </w:rPr>
  </w:style>
  <w:style w:type="paragraph" w:styleId="ab">
    <w:name w:val="List"/>
    <w:basedOn w:val="ac"/>
    <w:uiPriority w:val="99"/>
    <w:rsid w:val="00EB72C1"/>
    <w:pPr>
      <w:spacing w:after="220" w:line="220" w:lineRule="atLeast"/>
      <w:ind w:left="1440" w:hanging="360"/>
    </w:pPr>
    <w:rPr>
      <w:szCs w:val="20"/>
    </w:rPr>
  </w:style>
  <w:style w:type="paragraph" w:styleId="ac">
    <w:name w:val="Body Text"/>
    <w:basedOn w:val="a"/>
    <w:link w:val="Char3"/>
    <w:uiPriority w:val="99"/>
    <w:rsid w:val="00EB72C1"/>
    <w:pPr>
      <w:spacing w:after="120"/>
    </w:pPr>
    <w:rPr>
      <w:kern w:val="0"/>
      <w:sz w:val="20"/>
    </w:rPr>
  </w:style>
  <w:style w:type="character" w:customStyle="1" w:styleId="Char3">
    <w:name w:val="正文文本 Char"/>
    <w:link w:val="ac"/>
    <w:uiPriority w:val="99"/>
    <w:semiHidden/>
    <w:rsid w:val="00525D36"/>
    <w:rPr>
      <w:szCs w:val="24"/>
    </w:rPr>
  </w:style>
  <w:style w:type="paragraph" w:styleId="ad">
    <w:name w:val="Date"/>
    <w:basedOn w:val="a"/>
    <w:next w:val="a"/>
    <w:link w:val="Char4"/>
    <w:rsid w:val="00EB72C1"/>
    <w:rPr>
      <w:sz w:val="24"/>
      <w:szCs w:val="20"/>
    </w:rPr>
  </w:style>
  <w:style w:type="character" w:customStyle="1" w:styleId="Char4">
    <w:name w:val="日期 Char"/>
    <w:link w:val="ad"/>
    <w:locked/>
    <w:rsid w:val="00C503D3"/>
    <w:rPr>
      <w:rFonts w:cs="Times New Roman"/>
      <w:kern w:val="2"/>
      <w:sz w:val="24"/>
    </w:rPr>
  </w:style>
  <w:style w:type="character" w:customStyle="1" w:styleId="c1">
    <w:name w:val="c1"/>
    <w:uiPriority w:val="99"/>
    <w:rsid w:val="00EB72C1"/>
    <w:rPr>
      <w:color w:val="000000"/>
      <w:sz w:val="18"/>
    </w:rPr>
  </w:style>
  <w:style w:type="paragraph" w:styleId="10">
    <w:name w:val="index 1"/>
    <w:basedOn w:val="a"/>
    <w:next w:val="a"/>
    <w:autoRedefine/>
    <w:uiPriority w:val="99"/>
    <w:semiHidden/>
    <w:rsid w:val="00EB72C1"/>
    <w:pPr>
      <w:jc w:val="right"/>
    </w:pPr>
    <w:rPr>
      <w:color w:val="008000"/>
    </w:rPr>
  </w:style>
  <w:style w:type="paragraph" w:customStyle="1" w:styleId="font5">
    <w:name w:val="font5"/>
    <w:basedOn w:val="a"/>
    <w:uiPriority w:val="99"/>
    <w:rsid w:val="00EB72C1"/>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EB72C1"/>
    <w:rPr>
      <w:kern w:val="0"/>
      <w:sz w:val="0"/>
      <w:szCs w:val="0"/>
    </w:rPr>
  </w:style>
  <w:style w:type="character" w:customStyle="1" w:styleId="Char5">
    <w:name w:val="批注框文本 Char"/>
    <w:link w:val="ae"/>
    <w:uiPriority w:val="99"/>
    <w:semiHidden/>
    <w:rsid w:val="00525D36"/>
    <w:rPr>
      <w:sz w:val="0"/>
      <w:szCs w:val="0"/>
    </w:rPr>
  </w:style>
  <w:style w:type="character" w:styleId="af">
    <w:name w:val="annotation reference"/>
    <w:uiPriority w:val="99"/>
    <w:semiHidden/>
    <w:rsid w:val="00EB72C1"/>
    <w:rPr>
      <w:rFonts w:cs="Times New Roman"/>
      <w:sz w:val="21"/>
    </w:rPr>
  </w:style>
  <w:style w:type="paragraph" w:styleId="af0">
    <w:name w:val="annotation text"/>
    <w:basedOn w:val="a"/>
    <w:link w:val="Char6"/>
    <w:uiPriority w:val="99"/>
    <w:semiHidden/>
    <w:rsid w:val="00EB72C1"/>
    <w:pPr>
      <w:jc w:val="left"/>
    </w:pPr>
    <w:rPr>
      <w:kern w:val="0"/>
      <w:sz w:val="20"/>
    </w:rPr>
  </w:style>
  <w:style w:type="character" w:customStyle="1" w:styleId="Char6">
    <w:name w:val="批注文字 Char"/>
    <w:link w:val="af0"/>
    <w:uiPriority w:val="99"/>
    <w:semiHidden/>
    <w:rsid w:val="00525D36"/>
    <w:rPr>
      <w:szCs w:val="24"/>
    </w:rPr>
  </w:style>
  <w:style w:type="paragraph" w:styleId="af1">
    <w:name w:val="annotation subject"/>
    <w:basedOn w:val="af0"/>
    <w:next w:val="af0"/>
    <w:link w:val="Char7"/>
    <w:uiPriority w:val="99"/>
    <w:semiHidden/>
    <w:rsid w:val="00EB72C1"/>
    <w:rPr>
      <w:b/>
      <w:bCs/>
    </w:rPr>
  </w:style>
  <w:style w:type="character" w:customStyle="1" w:styleId="Char7">
    <w:name w:val="批注主题 Char"/>
    <w:link w:val="af1"/>
    <w:uiPriority w:val="99"/>
    <w:semiHidden/>
    <w:rsid w:val="00525D36"/>
    <w:rPr>
      <w:b/>
      <w:bCs/>
      <w:szCs w:val="24"/>
    </w:rPr>
  </w:style>
  <w:style w:type="paragraph" w:customStyle="1" w:styleId="Char8">
    <w:name w:val="Char"/>
    <w:basedOn w:val="a"/>
    <w:uiPriority w:val="99"/>
    <w:rsid w:val="00EB72C1"/>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525D36"/>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525D36"/>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styleId="af8">
    <w:name w:val="Strong"/>
    <w:uiPriority w:val="22"/>
    <w:qFormat/>
    <w:locked/>
    <w:rsid w:val="00DF4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6064">
      <w:marLeft w:val="0"/>
      <w:marRight w:val="0"/>
      <w:marTop w:val="0"/>
      <w:marBottom w:val="0"/>
      <w:divBdr>
        <w:top w:val="none" w:sz="0" w:space="0" w:color="auto"/>
        <w:left w:val="none" w:sz="0" w:space="0" w:color="auto"/>
        <w:bottom w:val="none" w:sz="0" w:space="0" w:color="auto"/>
        <w:right w:val="none" w:sz="0" w:space="0" w:color="auto"/>
      </w:divBdr>
    </w:div>
    <w:div w:id="886796065">
      <w:marLeft w:val="0"/>
      <w:marRight w:val="0"/>
      <w:marTop w:val="0"/>
      <w:marBottom w:val="0"/>
      <w:divBdr>
        <w:top w:val="none" w:sz="0" w:space="0" w:color="auto"/>
        <w:left w:val="none" w:sz="0" w:space="0" w:color="auto"/>
        <w:bottom w:val="none" w:sz="0" w:space="0" w:color="auto"/>
        <w:right w:val="none" w:sz="0" w:space="0" w:color="auto"/>
      </w:divBdr>
    </w:div>
    <w:div w:id="886796066">
      <w:marLeft w:val="0"/>
      <w:marRight w:val="0"/>
      <w:marTop w:val="0"/>
      <w:marBottom w:val="0"/>
      <w:divBdr>
        <w:top w:val="none" w:sz="0" w:space="0" w:color="auto"/>
        <w:left w:val="none" w:sz="0" w:space="0" w:color="auto"/>
        <w:bottom w:val="none" w:sz="0" w:space="0" w:color="auto"/>
        <w:right w:val="none" w:sz="0" w:space="0" w:color="auto"/>
      </w:divBdr>
    </w:div>
    <w:div w:id="886796067">
      <w:marLeft w:val="0"/>
      <w:marRight w:val="0"/>
      <w:marTop w:val="0"/>
      <w:marBottom w:val="0"/>
      <w:divBdr>
        <w:top w:val="none" w:sz="0" w:space="0" w:color="auto"/>
        <w:left w:val="none" w:sz="0" w:space="0" w:color="auto"/>
        <w:bottom w:val="none" w:sz="0" w:space="0" w:color="auto"/>
        <w:right w:val="none" w:sz="0" w:space="0" w:color="auto"/>
      </w:divBdr>
    </w:div>
    <w:div w:id="886796068">
      <w:marLeft w:val="0"/>
      <w:marRight w:val="0"/>
      <w:marTop w:val="0"/>
      <w:marBottom w:val="0"/>
      <w:divBdr>
        <w:top w:val="none" w:sz="0" w:space="0" w:color="auto"/>
        <w:left w:val="none" w:sz="0" w:space="0" w:color="auto"/>
        <w:bottom w:val="none" w:sz="0" w:space="0" w:color="auto"/>
        <w:right w:val="none" w:sz="0" w:space="0" w:color="auto"/>
      </w:divBdr>
    </w:div>
    <w:div w:id="886796069">
      <w:marLeft w:val="0"/>
      <w:marRight w:val="0"/>
      <w:marTop w:val="0"/>
      <w:marBottom w:val="0"/>
      <w:divBdr>
        <w:top w:val="none" w:sz="0" w:space="0" w:color="auto"/>
        <w:left w:val="none" w:sz="0" w:space="0" w:color="auto"/>
        <w:bottom w:val="none" w:sz="0" w:space="0" w:color="auto"/>
        <w:right w:val="none" w:sz="0" w:space="0" w:color="auto"/>
      </w:divBdr>
    </w:div>
    <w:div w:id="886796070">
      <w:marLeft w:val="0"/>
      <w:marRight w:val="0"/>
      <w:marTop w:val="0"/>
      <w:marBottom w:val="0"/>
      <w:divBdr>
        <w:top w:val="none" w:sz="0" w:space="0" w:color="auto"/>
        <w:left w:val="none" w:sz="0" w:space="0" w:color="auto"/>
        <w:bottom w:val="none" w:sz="0" w:space="0" w:color="auto"/>
        <w:right w:val="none" w:sz="0" w:space="0" w:color="auto"/>
      </w:divBdr>
    </w:div>
    <w:div w:id="886796072">
      <w:marLeft w:val="0"/>
      <w:marRight w:val="0"/>
      <w:marTop w:val="0"/>
      <w:marBottom w:val="0"/>
      <w:divBdr>
        <w:top w:val="none" w:sz="0" w:space="0" w:color="auto"/>
        <w:left w:val="none" w:sz="0" w:space="0" w:color="auto"/>
        <w:bottom w:val="none" w:sz="0" w:space="0" w:color="auto"/>
        <w:right w:val="none" w:sz="0" w:space="0" w:color="auto"/>
      </w:divBdr>
    </w:div>
    <w:div w:id="886796073">
      <w:marLeft w:val="0"/>
      <w:marRight w:val="0"/>
      <w:marTop w:val="0"/>
      <w:marBottom w:val="0"/>
      <w:divBdr>
        <w:top w:val="none" w:sz="0" w:space="0" w:color="auto"/>
        <w:left w:val="none" w:sz="0" w:space="0" w:color="auto"/>
        <w:bottom w:val="none" w:sz="0" w:space="0" w:color="auto"/>
        <w:right w:val="none" w:sz="0" w:space="0" w:color="auto"/>
      </w:divBdr>
      <w:divsChild>
        <w:div w:id="886796071">
          <w:marLeft w:val="0"/>
          <w:marRight w:val="0"/>
          <w:marTop w:val="0"/>
          <w:marBottom w:val="0"/>
          <w:divBdr>
            <w:top w:val="none" w:sz="0" w:space="0" w:color="auto"/>
            <w:left w:val="none" w:sz="0" w:space="0" w:color="auto"/>
            <w:bottom w:val="none" w:sz="0" w:space="0" w:color="auto"/>
            <w:right w:val="none" w:sz="0" w:space="0" w:color="auto"/>
          </w:divBdr>
        </w:div>
      </w:divsChild>
    </w:div>
    <w:div w:id="886796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73</TotalTime>
  <Pages>3</Pages>
  <Words>1055</Words>
  <Characters>6018</Characters>
  <Application>Microsoft Office Word</Application>
  <DocSecurity>0</DocSecurity>
  <Lines>50</Lines>
  <Paragraphs>14</Paragraphs>
  <ScaleCrop>false</ScaleCrop>
  <Company>TRT. Ltd. Co.</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114</cp:revision>
  <cp:lastPrinted>2019-10-16T13:57:00Z</cp:lastPrinted>
  <dcterms:created xsi:type="dcterms:W3CDTF">2013-08-01T05:26:00Z</dcterms:created>
  <dcterms:modified xsi:type="dcterms:W3CDTF">2019-10-16T13:57:00Z</dcterms:modified>
</cp:coreProperties>
</file>