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易方达中证全指证券公司交易型开放式指数证券投资基金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招商银行股份有限公司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1066D5" w:rsidRDefault="00152D01">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1066D5" w:rsidRDefault="00152D01">
      <w:pPr>
        <w:spacing w:line="360" w:lineRule="auto"/>
        <w:ind w:firstLineChars="200" w:firstLine="480"/>
        <w:rPr>
          <w:color w:val="000000"/>
          <w:sz w:val="24"/>
          <w:szCs w:val="24"/>
        </w:rPr>
      </w:pPr>
      <w:r>
        <w:rPr>
          <w:color w:val="000000"/>
          <w:sz w:val="24"/>
          <w:szCs w:val="24"/>
        </w:rPr>
        <w:t>基金托管人招商银行股份有限公司根据本基金合同规定，于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1066D5" w:rsidRDefault="00152D01">
      <w:pPr>
        <w:spacing w:line="360" w:lineRule="auto"/>
        <w:ind w:firstLineChars="200" w:firstLine="480"/>
        <w:rPr>
          <w:color w:val="000000"/>
          <w:sz w:val="24"/>
          <w:szCs w:val="24"/>
        </w:rPr>
      </w:pPr>
      <w:r>
        <w:rPr>
          <w:color w:val="000000"/>
          <w:sz w:val="24"/>
          <w:szCs w:val="24"/>
        </w:rPr>
        <w:t>基金管</w:t>
      </w:r>
      <w:r>
        <w:rPr>
          <w:color w:val="000000"/>
          <w:sz w:val="24"/>
          <w:szCs w:val="24"/>
        </w:rPr>
        <w:t>理人承诺以诚实信用、勤勉尽责的原则管理和运用基金资产，但不保证基金一定盈利。</w:t>
      </w:r>
      <w:r>
        <w:rPr>
          <w:color w:val="000000"/>
          <w:sz w:val="24"/>
          <w:szCs w:val="24"/>
        </w:rPr>
        <w:t xml:space="preserve"> </w:t>
      </w:r>
    </w:p>
    <w:p w:rsidR="001066D5" w:rsidRDefault="00152D01">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1066D5" w:rsidRDefault="00152D01">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易方达中证全指证券公司</w:t>
            </w:r>
            <w:r w:rsidRPr="00232B03">
              <w:rPr>
                <w:color w:val="000000"/>
                <w:kern w:val="0"/>
                <w:sz w:val="24"/>
                <w:szCs w:val="24"/>
              </w:rPr>
              <w:t>ETF</w:t>
            </w:r>
          </w:p>
        </w:tc>
      </w:tr>
      <w:tr w:rsidR="00815999" w:rsidRPr="00264E55" w:rsidTr="003328D9">
        <w:tc>
          <w:tcPr>
            <w:tcW w:w="2835"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场内简称</w:t>
            </w:r>
          </w:p>
        </w:tc>
        <w:tc>
          <w:tcPr>
            <w:tcW w:w="5479"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中证证券</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512570</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512570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交易型开放式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2017</w:t>
            </w:r>
            <w:r w:rsidRPr="00232B03">
              <w:rPr>
                <w:color w:val="000000"/>
                <w:kern w:val="0"/>
                <w:sz w:val="24"/>
                <w:szCs w:val="24"/>
              </w:rPr>
              <w:t>年</w:t>
            </w:r>
            <w:r w:rsidRPr="00232B03">
              <w:rPr>
                <w:color w:val="000000"/>
                <w:kern w:val="0"/>
                <w:sz w:val="24"/>
                <w:szCs w:val="24"/>
              </w:rPr>
              <w:t>7</w:t>
            </w:r>
            <w:r w:rsidRPr="00232B03">
              <w:rPr>
                <w:color w:val="000000"/>
                <w:kern w:val="0"/>
                <w:sz w:val="24"/>
                <w:szCs w:val="24"/>
              </w:rPr>
              <w:t>月</w:t>
            </w:r>
            <w:r w:rsidRPr="00232B03">
              <w:rPr>
                <w:color w:val="000000"/>
                <w:kern w:val="0"/>
                <w:sz w:val="24"/>
                <w:szCs w:val="24"/>
              </w:rPr>
              <w:t>27</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29,806,068.00</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紧密跟踪标的指数，追求跟踪偏离度和跟踪误差的最小化。</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本基金主要采取完全复制法，即完全按照标的指数的成份股组成及其权重构建基金股票投资组合，并根据标的指数成份股及其权重的变动进行相应调整。但在因特殊情形导致基金无法完全投资于标的</w:t>
            </w:r>
            <w:r w:rsidRPr="00232B03">
              <w:rPr>
                <w:color w:val="000000"/>
                <w:kern w:val="0"/>
                <w:sz w:val="24"/>
                <w:szCs w:val="24"/>
              </w:rPr>
              <w:lastRenderedPageBreak/>
              <w:t>指数成份股时，基金管理人将采取其他指数投资技术适当调整基金投资组合，以达到紧密跟踪标的指数的目的。</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中证全指证券公司指数</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本基金为股票型基金，预期风险与预期收益水平高于混合型基金、债券型基金与货币市场基金。本基金为指数型基金，主要采用完全复制法跟踪标的指数的表现，具有与标的指数相似的风险收益特征。</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招商银行股份有限公司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346,671.42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-1,191,683.99</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-0.0376</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26,646,742.69</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0.8940</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1066D5" w:rsidRDefault="00152D01">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1066D5">
        <w:tc>
          <w:tcPr>
            <w:tcW w:w="1395" w:type="dxa"/>
            <w:vAlign w:val="center"/>
          </w:tcPr>
          <w:p w:rsidR="001066D5" w:rsidRDefault="00152D01">
            <w:pPr>
              <w:jc w:val="left"/>
            </w:pPr>
            <w:r>
              <w:rPr>
                <w:color w:val="000000"/>
                <w:kern w:val="0"/>
                <w:sz w:val="24"/>
                <w:szCs w:val="24"/>
              </w:rPr>
              <w:t>过去三个月</w:t>
            </w:r>
          </w:p>
        </w:tc>
        <w:tc>
          <w:tcPr>
            <w:tcW w:w="1092" w:type="dxa"/>
            <w:vAlign w:val="center"/>
          </w:tcPr>
          <w:p w:rsidR="001066D5" w:rsidRDefault="00152D01">
            <w:pPr>
              <w:jc w:val="center"/>
            </w:pPr>
            <w:r>
              <w:rPr>
                <w:color w:val="000000"/>
                <w:kern w:val="0"/>
                <w:sz w:val="24"/>
                <w:szCs w:val="24"/>
              </w:rPr>
              <w:t>-4.47%</w:t>
            </w:r>
          </w:p>
        </w:tc>
        <w:tc>
          <w:tcPr>
            <w:tcW w:w="1161" w:type="dxa"/>
            <w:vAlign w:val="center"/>
          </w:tcPr>
          <w:p w:rsidR="001066D5" w:rsidRDefault="00152D01">
            <w:pPr>
              <w:jc w:val="center"/>
            </w:pPr>
            <w:r>
              <w:rPr>
                <w:color w:val="000000"/>
                <w:kern w:val="0"/>
                <w:sz w:val="24"/>
                <w:szCs w:val="24"/>
              </w:rPr>
              <w:t>1.59%</w:t>
            </w:r>
          </w:p>
        </w:tc>
        <w:tc>
          <w:tcPr>
            <w:tcW w:w="1181" w:type="dxa"/>
            <w:vAlign w:val="center"/>
          </w:tcPr>
          <w:p w:rsidR="001066D5" w:rsidRDefault="00152D01">
            <w:pPr>
              <w:jc w:val="center"/>
            </w:pPr>
            <w:r>
              <w:rPr>
                <w:color w:val="000000"/>
                <w:kern w:val="0"/>
                <w:sz w:val="24"/>
                <w:szCs w:val="24"/>
              </w:rPr>
              <w:t>-5.81%</w:t>
            </w:r>
          </w:p>
        </w:tc>
        <w:tc>
          <w:tcPr>
            <w:tcW w:w="1188" w:type="dxa"/>
            <w:vAlign w:val="center"/>
          </w:tcPr>
          <w:p w:rsidR="001066D5" w:rsidRDefault="00152D01">
            <w:pPr>
              <w:jc w:val="center"/>
            </w:pPr>
            <w:r>
              <w:rPr>
                <w:color w:val="000000"/>
                <w:kern w:val="0"/>
                <w:sz w:val="24"/>
                <w:szCs w:val="24"/>
              </w:rPr>
              <w:t>1.61%</w:t>
            </w:r>
          </w:p>
        </w:tc>
        <w:tc>
          <w:tcPr>
            <w:tcW w:w="1199" w:type="dxa"/>
            <w:vAlign w:val="center"/>
          </w:tcPr>
          <w:p w:rsidR="001066D5" w:rsidRDefault="00152D01">
            <w:pPr>
              <w:jc w:val="center"/>
            </w:pPr>
            <w:r>
              <w:rPr>
                <w:color w:val="000000"/>
                <w:kern w:val="0"/>
                <w:sz w:val="24"/>
                <w:szCs w:val="24"/>
              </w:rPr>
              <w:t>1.34%</w:t>
            </w:r>
          </w:p>
        </w:tc>
        <w:tc>
          <w:tcPr>
            <w:tcW w:w="1204" w:type="dxa"/>
            <w:vAlign w:val="center"/>
          </w:tcPr>
          <w:p w:rsidR="001066D5" w:rsidRDefault="00152D01">
            <w:pPr>
              <w:jc w:val="center"/>
            </w:pPr>
            <w:r>
              <w:rPr>
                <w:color w:val="000000"/>
                <w:kern w:val="0"/>
                <w:sz w:val="24"/>
                <w:szCs w:val="24"/>
              </w:rPr>
              <w:t>-0.02%</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易方达中证全指证券公司交易型开放式指数证券投资基金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2017</w:t>
      </w:r>
      <w:r w:rsidRPr="0074694E">
        <w:rPr>
          <w:rFonts w:ascii="Times New Roman" w:hAnsi="Times New Roman"/>
          <w:sz w:val="24"/>
          <w:szCs w:val="24"/>
        </w:rPr>
        <w:t>年</w:t>
      </w:r>
      <w:r w:rsidRPr="0074694E">
        <w:rPr>
          <w:rFonts w:ascii="Times New Roman" w:hAnsi="Times New Roman"/>
          <w:sz w:val="24"/>
          <w:szCs w:val="24"/>
        </w:rPr>
        <w:t>7</w:t>
      </w:r>
      <w:r w:rsidRPr="0074694E">
        <w:rPr>
          <w:rFonts w:ascii="Times New Roman" w:hAnsi="Times New Roman"/>
          <w:sz w:val="24"/>
          <w:szCs w:val="24"/>
        </w:rPr>
        <w:t>月</w:t>
      </w:r>
      <w:r w:rsidRPr="0074694E">
        <w:rPr>
          <w:rFonts w:ascii="Times New Roman" w:hAnsi="Times New Roman"/>
          <w:sz w:val="24"/>
          <w:szCs w:val="24"/>
        </w:rPr>
        <w:t>27</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152D01"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-10.60%</w:t>
      </w:r>
      <w:r w:rsidRPr="006C56AA">
        <w:rPr>
          <w:color w:val="000000"/>
          <w:sz w:val="24"/>
          <w:szCs w:val="24"/>
        </w:rPr>
        <w:t>，同期业绩比较基准收益率为</w:t>
      </w:r>
      <w:r w:rsidRPr="006C56AA">
        <w:rPr>
          <w:color w:val="000000"/>
          <w:sz w:val="24"/>
          <w:szCs w:val="24"/>
        </w:rPr>
        <w:t>-14.37%</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1066D5">
        <w:tc>
          <w:tcPr>
            <w:tcW w:w="567" w:type="dxa"/>
            <w:vAlign w:val="center"/>
          </w:tcPr>
          <w:p w:rsidR="001066D5" w:rsidRDefault="00152D01">
            <w:pPr>
              <w:jc w:val="center"/>
            </w:pPr>
            <w:r>
              <w:rPr>
                <w:color w:val="000000"/>
                <w:sz w:val="24"/>
              </w:rPr>
              <w:t>余海燕</w:t>
            </w:r>
          </w:p>
        </w:tc>
        <w:tc>
          <w:tcPr>
            <w:tcW w:w="2835" w:type="dxa"/>
            <w:vAlign w:val="center"/>
          </w:tcPr>
          <w:p w:rsidR="001066D5" w:rsidRDefault="00152D01">
            <w:pPr>
              <w:jc w:val="center"/>
            </w:pPr>
            <w:r>
              <w:rPr>
                <w:color w:val="000000"/>
                <w:sz w:val="24"/>
              </w:rPr>
              <w:t>本基金的基金经理、易方达中证军工交易型开放式指数证券投资基金的基金经理、易方达中证海外中国互联网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交易型开放式指数证券投资基金的基金经理、易方达中证</w:t>
            </w:r>
            <w:r>
              <w:rPr>
                <w:color w:val="000000"/>
                <w:sz w:val="24"/>
              </w:rPr>
              <w:t>500</w:t>
            </w:r>
            <w:r>
              <w:rPr>
                <w:color w:val="000000"/>
                <w:sz w:val="24"/>
              </w:rPr>
              <w:t>交易型开放式指数证券投资基金发起式联接基金的基金经理、易方达中证</w:t>
            </w:r>
            <w:r>
              <w:rPr>
                <w:color w:val="000000"/>
                <w:sz w:val="24"/>
              </w:rPr>
              <w:t>500</w:t>
            </w:r>
            <w:r>
              <w:rPr>
                <w:color w:val="000000"/>
                <w:sz w:val="24"/>
              </w:rPr>
              <w:t>交易型开放式指数证券投资基金的基金经理、易方达证券公司指数分级证券投资基金的基金经理、易方达上证</w:t>
            </w:r>
            <w:r>
              <w:rPr>
                <w:color w:val="000000"/>
                <w:sz w:val="24"/>
              </w:rPr>
              <w:t>50</w:t>
            </w:r>
            <w:r>
              <w:rPr>
                <w:color w:val="000000"/>
                <w:sz w:val="24"/>
              </w:rPr>
              <w:t>指数分级证券投资基金的基金经理、易方达上证</w:t>
            </w:r>
            <w:r>
              <w:rPr>
                <w:color w:val="000000"/>
                <w:sz w:val="24"/>
              </w:rPr>
              <w:t>50</w:t>
            </w:r>
            <w:r>
              <w:rPr>
                <w:color w:val="000000"/>
                <w:sz w:val="24"/>
              </w:rPr>
              <w:t>交易型开放式指数证券投资基金发起式联接基金的基金经理、易方达上证</w:t>
            </w:r>
            <w:r>
              <w:rPr>
                <w:color w:val="000000"/>
                <w:sz w:val="24"/>
              </w:rPr>
              <w:t>50</w:t>
            </w:r>
            <w:r>
              <w:rPr>
                <w:color w:val="000000"/>
                <w:sz w:val="24"/>
              </w:rPr>
              <w:t>交易型开放式指数证券投资基金的基金经理、易方达日兴资管日经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的基金经理、易方达军工指数分级证券投资基金的基金经理、易方达黄金交易型开放式证券投资基金联接基金的基金经理、易方达黄金交易型开放式证券投资基金的基金经理、易方达沪深</w:t>
            </w:r>
            <w:r>
              <w:rPr>
                <w:color w:val="000000"/>
                <w:sz w:val="24"/>
              </w:rPr>
              <w:t>300</w:t>
            </w:r>
            <w:r>
              <w:rPr>
                <w:color w:val="000000"/>
                <w:sz w:val="24"/>
              </w:rPr>
              <w:t>医药卫生交易型开放式指数证券投资基金联接基金的基金经理、易方达沪深</w:t>
            </w:r>
            <w:r>
              <w:rPr>
                <w:color w:val="000000"/>
                <w:sz w:val="24"/>
              </w:rPr>
              <w:t>300</w:t>
            </w:r>
            <w:r>
              <w:rPr>
                <w:color w:val="000000"/>
                <w:sz w:val="24"/>
              </w:rPr>
              <w:t>医药卫生交易型开放式指数证券投资基金的基金经理、易方达沪深</w:t>
            </w:r>
            <w:r>
              <w:rPr>
                <w:color w:val="000000"/>
                <w:sz w:val="24"/>
              </w:rPr>
              <w:t>300</w:t>
            </w:r>
            <w:r>
              <w:rPr>
                <w:color w:val="000000"/>
                <w:sz w:val="24"/>
              </w:rPr>
              <w:t>交易型开放式指数发起式证券投资基金联接基金的基金经理、易方达沪深</w:t>
            </w:r>
            <w:r>
              <w:rPr>
                <w:color w:val="000000"/>
                <w:sz w:val="24"/>
              </w:rPr>
              <w:t>300</w:t>
            </w:r>
            <w:r>
              <w:rPr>
                <w:color w:val="000000"/>
                <w:sz w:val="24"/>
              </w:rPr>
              <w:t>交易型开放式指数发起式证券投</w:t>
            </w:r>
            <w:r>
              <w:rPr>
                <w:color w:val="000000"/>
                <w:sz w:val="24"/>
              </w:rPr>
              <w:t>资基金的基金经理、易方达沪深</w:t>
            </w:r>
            <w:r>
              <w:rPr>
                <w:color w:val="000000"/>
                <w:sz w:val="24"/>
              </w:rPr>
              <w:t>300</w:t>
            </w:r>
            <w:r>
              <w:rPr>
                <w:color w:val="000000"/>
                <w:sz w:val="24"/>
              </w:rPr>
              <w:t>非银行金融交易型开放式指数证券投资基金联接基金的基金经理、易方达沪深</w:t>
            </w:r>
            <w:r>
              <w:rPr>
                <w:color w:val="000000"/>
                <w:sz w:val="24"/>
              </w:rPr>
              <w:t>300</w:t>
            </w:r>
            <w:r>
              <w:rPr>
                <w:color w:val="000000"/>
                <w:sz w:val="24"/>
              </w:rPr>
              <w:t>非银行金融交易型开放式指数证券投资基金的基金经理、易方达恒生中国企业交易型开放式指数证券投资基金联接基金的基金经理、易方达恒生中国企业交易型开放式指数证券投资基金的基金经理、易方达国企改革指数分级证券投资基金的基金经理</w:t>
            </w:r>
          </w:p>
        </w:tc>
        <w:tc>
          <w:tcPr>
            <w:tcW w:w="851" w:type="dxa"/>
            <w:vAlign w:val="center"/>
          </w:tcPr>
          <w:p w:rsidR="001066D5" w:rsidRDefault="00152D01">
            <w:pPr>
              <w:jc w:val="center"/>
            </w:pPr>
            <w:r>
              <w:rPr>
                <w:color w:val="000000"/>
                <w:sz w:val="24"/>
              </w:rPr>
              <w:t>2017-07-27</w:t>
            </w:r>
          </w:p>
        </w:tc>
        <w:tc>
          <w:tcPr>
            <w:tcW w:w="850" w:type="dxa"/>
            <w:vAlign w:val="center"/>
          </w:tcPr>
          <w:p w:rsidR="001066D5" w:rsidRDefault="00152D01">
            <w:pPr>
              <w:jc w:val="center"/>
            </w:pPr>
            <w:r>
              <w:rPr>
                <w:color w:val="000000"/>
                <w:sz w:val="24"/>
              </w:rPr>
              <w:t>-</w:t>
            </w:r>
          </w:p>
        </w:tc>
        <w:tc>
          <w:tcPr>
            <w:tcW w:w="851" w:type="dxa"/>
            <w:vAlign w:val="center"/>
          </w:tcPr>
          <w:p w:rsidR="001066D5" w:rsidRDefault="00152D01">
            <w:pPr>
              <w:jc w:val="center"/>
            </w:pPr>
            <w:r>
              <w:rPr>
                <w:color w:val="000000"/>
                <w:sz w:val="24"/>
              </w:rPr>
              <w:t>14</w:t>
            </w:r>
            <w:r>
              <w:rPr>
                <w:color w:val="000000"/>
                <w:sz w:val="24"/>
              </w:rPr>
              <w:t>年</w:t>
            </w:r>
          </w:p>
        </w:tc>
        <w:tc>
          <w:tcPr>
            <w:tcW w:w="2977" w:type="dxa"/>
            <w:vAlign w:val="center"/>
          </w:tcPr>
          <w:p w:rsidR="001066D5" w:rsidRDefault="00152D01">
            <w:r>
              <w:rPr>
                <w:color w:val="000000"/>
                <w:sz w:val="24"/>
              </w:rPr>
              <w:t>硕士研究生，曾任汇丰银行</w:t>
            </w:r>
            <w:r>
              <w:rPr>
                <w:color w:val="000000"/>
                <w:sz w:val="24"/>
              </w:rPr>
              <w:t xml:space="preserve">Consumer Credit Risk </w:t>
            </w:r>
            <w:r>
              <w:rPr>
                <w:color w:val="000000"/>
                <w:sz w:val="24"/>
              </w:rPr>
              <w:t>信用风险分析师，华宝兴业基金管理有限公司分析师、基金经理助理、基金经理，易方达基金管理有限公司投资发展部产品经理。</w:t>
            </w:r>
          </w:p>
        </w:tc>
      </w:tr>
    </w:tbl>
    <w:p w:rsidR="001066D5" w:rsidRDefault="00152D01">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1066D5" w:rsidRDefault="00152D01">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1066D5" w:rsidRDefault="00152D01">
      <w:pPr>
        <w:spacing w:line="360" w:lineRule="auto"/>
        <w:ind w:firstLineChars="200" w:firstLine="480"/>
        <w:rPr>
          <w:color w:val="000000"/>
          <w:sz w:val="24"/>
          <w:szCs w:val="24"/>
        </w:rPr>
      </w:pPr>
      <w:r>
        <w:rPr>
          <w:color w:val="000000"/>
          <w:sz w:val="24"/>
          <w:szCs w:val="24"/>
        </w:rPr>
        <w:t>2019</w:t>
      </w:r>
      <w:r>
        <w:rPr>
          <w:color w:val="000000"/>
          <w:sz w:val="24"/>
          <w:szCs w:val="24"/>
        </w:rPr>
        <w:t>年三季度国内宏观经济下行压力犹存，工业生产持续减速，</w:t>
      </w:r>
      <w:r>
        <w:rPr>
          <w:color w:val="000000"/>
          <w:sz w:val="24"/>
          <w:szCs w:val="24"/>
        </w:rPr>
        <w:t>8</w:t>
      </w:r>
      <w:r>
        <w:rPr>
          <w:color w:val="000000"/>
          <w:sz w:val="24"/>
          <w:szCs w:val="24"/>
        </w:rPr>
        <w:t>月份工业增速</w:t>
      </w:r>
      <w:r>
        <w:rPr>
          <w:color w:val="000000"/>
          <w:sz w:val="24"/>
          <w:szCs w:val="24"/>
        </w:rPr>
        <w:t>4.4%</w:t>
      </w:r>
      <w:r>
        <w:rPr>
          <w:color w:val="000000"/>
          <w:sz w:val="24"/>
          <w:szCs w:val="24"/>
        </w:rPr>
        <w:t>，较</w:t>
      </w:r>
      <w:r>
        <w:rPr>
          <w:color w:val="000000"/>
          <w:sz w:val="24"/>
          <w:szCs w:val="24"/>
        </w:rPr>
        <w:t>7</w:t>
      </w:r>
      <w:r>
        <w:rPr>
          <w:color w:val="000000"/>
          <w:sz w:val="24"/>
          <w:szCs w:val="24"/>
        </w:rPr>
        <w:t>月份继续下滑，并创下</w:t>
      </w:r>
      <w:r>
        <w:rPr>
          <w:color w:val="000000"/>
          <w:sz w:val="24"/>
          <w:szCs w:val="24"/>
        </w:rPr>
        <w:t>09</w:t>
      </w:r>
      <w:r>
        <w:rPr>
          <w:color w:val="000000"/>
          <w:sz w:val="24"/>
          <w:szCs w:val="24"/>
        </w:rPr>
        <w:t>年</w:t>
      </w:r>
      <w:r>
        <w:rPr>
          <w:color w:val="000000"/>
          <w:sz w:val="24"/>
          <w:szCs w:val="24"/>
        </w:rPr>
        <w:t>3</w:t>
      </w:r>
      <w:r>
        <w:rPr>
          <w:color w:val="000000"/>
          <w:sz w:val="24"/>
          <w:szCs w:val="24"/>
        </w:rPr>
        <w:t>月以来新低。</w:t>
      </w:r>
      <w:r>
        <w:rPr>
          <w:color w:val="000000"/>
          <w:sz w:val="24"/>
          <w:szCs w:val="24"/>
        </w:rPr>
        <w:t>1-8</w:t>
      </w:r>
      <w:r>
        <w:rPr>
          <w:color w:val="000000"/>
          <w:sz w:val="24"/>
          <w:szCs w:val="24"/>
        </w:rPr>
        <w:t>月全国固定资产投资同比增速回落至</w:t>
      </w:r>
      <w:r>
        <w:rPr>
          <w:color w:val="000000"/>
          <w:sz w:val="24"/>
          <w:szCs w:val="24"/>
        </w:rPr>
        <w:t>5.5%</w:t>
      </w:r>
      <w:r>
        <w:rPr>
          <w:color w:val="000000"/>
          <w:sz w:val="24"/>
          <w:szCs w:val="24"/>
        </w:rPr>
        <w:t>，其中</w:t>
      </w:r>
      <w:r>
        <w:rPr>
          <w:color w:val="000000"/>
          <w:sz w:val="24"/>
          <w:szCs w:val="24"/>
        </w:rPr>
        <w:t>8</w:t>
      </w:r>
      <w:r>
        <w:rPr>
          <w:color w:val="000000"/>
          <w:sz w:val="24"/>
          <w:szCs w:val="24"/>
        </w:rPr>
        <w:t>月份同比增速下滑至</w:t>
      </w:r>
      <w:r>
        <w:rPr>
          <w:color w:val="000000"/>
          <w:sz w:val="24"/>
          <w:szCs w:val="24"/>
        </w:rPr>
        <w:t>4.2%</w:t>
      </w:r>
      <w:r>
        <w:rPr>
          <w:color w:val="000000"/>
          <w:sz w:val="24"/>
          <w:szCs w:val="24"/>
        </w:rPr>
        <w:t>。随着部分行业景气度进入内生性底部，同时逆周期政策力度明显加大，</w:t>
      </w:r>
      <w:r>
        <w:rPr>
          <w:color w:val="000000"/>
          <w:sz w:val="24"/>
          <w:szCs w:val="24"/>
        </w:rPr>
        <w:t>9</w:t>
      </w:r>
      <w:r>
        <w:rPr>
          <w:color w:val="000000"/>
          <w:sz w:val="24"/>
          <w:szCs w:val="24"/>
        </w:rPr>
        <w:t>月份经济景气度有所改善，宏观数据显示</w:t>
      </w:r>
      <w:r>
        <w:rPr>
          <w:color w:val="000000"/>
          <w:sz w:val="24"/>
          <w:szCs w:val="24"/>
        </w:rPr>
        <w:t>9</w:t>
      </w:r>
      <w:r>
        <w:rPr>
          <w:color w:val="000000"/>
          <w:sz w:val="24"/>
          <w:szCs w:val="24"/>
        </w:rPr>
        <w:t>月全国制造业</w:t>
      </w:r>
      <w:r>
        <w:rPr>
          <w:color w:val="000000"/>
          <w:sz w:val="24"/>
          <w:szCs w:val="24"/>
        </w:rPr>
        <w:t>PMI</w:t>
      </w:r>
      <w:r>
        <w:rPr>
          <w:color w:val="000000"/>
          <w:sz w:val="24"/>
          <w:szCs w:val="24"/>
        </w:rPr>
        <w:t>为</w:t>
      </w:r>
      <w:r>
        <w:rPr>
          <w:color w:val="000000"/>
          <w:sz w:val="24"/>
          <w:szCs w:val="24"/>
        </w:rPr>
        <w:t>49.8%</w:t>
      </w:r>
      <w:r>
        <w:rPr>
          <w:color w:val="000000"/>
          <w:sz w:val="24"/>
          <w:szCs w:val="24"/>
        </w:rPr>
        <w:t>，较</w:t>
      </w:r>
      <w:r>
        <w:rPr>
          <w:color w:val="000000"/>
          <w:sz w:val="24"/>
          <w:szCs w:val="24"/>
        </w:rPr>
        <w:t>8</w:t>
      </w:r>
      <w:r>
        <w:rPr>
          <w:color w:val="000000"/>
          <w:sz w:val="24"/>
          <w:szCs w:val="24"/>
        </w:rPr>
        <w:t>月小幅回升，并创下</w:t>
      </w:r>
      <w:r>
        <w:rPr>
          <w:color w:val="000000"/>
          <w:sz w:val="24"/>
          <w:szCs w:val="24"/>
        </w:rPr>
        <w:t>5</w:t>
      </w:r>
      <w:r>
        <w:rPr>
          <w:color w:val="000000"/>
          <w:sz w:val="24"/>
          <w:szCs w:val="24"/>
        </w:rPr>
        <w:t>月以来新高，指向制造业景气明显改善。随着经济下行压力的持续加大，三季度宏观经济政策转向积极，政府加大了</w:t>
      </w:r>
      <w:r>
        <w:rPr>
          <w:color w:val="000000"/>
          <w:sz w:val="24"/>
          <w:szCs w:val="24"/>
        </w:rPr>
        <w:t>“</w:t>
      </w:r>
      <w:r>
        <w:rPr>
          <w:color w:val="000000"/>
          <w:sz w:val="24"/>
          <w:szCs w:val="24"/>
        </w:rPr>
        <w:t>逆周期调节</w:t>
      </w:r>
      <w:r>
        <w:rPr>
          <w:color w:val="000000"/>
          <w:sz w:val="24"/>
          <w:szCs w:val="24"/>
        </w:rPr>
        <w:t>”</w:t>
      </w:r>
      <w:r>
        <w:rPr>
          <w:color w:val="000000"/>
          <w:sz w:val="24"/>
          <w:szCs w:val="24"/>
        </w:rPr>
        <w:t>力度。利率市场化改革超预期加</w:t>
      </w:r>
      <w:r>
        <w:rPr>
          <w:color w:val="000000"/>
          <w:sz w:val="24"/>
          <w:szCs w:val="24"/>
        </w:rPr>
        <w:t>快，央行改革完善</w:t>
      </w:r>
      <w:r>
        <w:rPr>
          <w:color w:val="000000"/>
          <w:sz w:val="24"/>
          <w:szCs w:val="24"/>
        </w:rPr>
        <w:t>LPR</w:t>
      </w:r>
      <w:r>
        <w:rPr>
          <w:color w:val="000000"/>
          <w:sz w:val="24"/>
          <w:szCs w:val="24"/>
        </w:rPr>
        <w:t>形成机制，引导了利率下行的政策信号；央行</w:t>
      </w:r>
      <w:r>
        <w:rPr>
          <w:color w:val="000000"/>
          <w:sz w:val="24"/>
          <w:szCs w:val="24"/>
        </w:rPr>
        <w:t>“</w:t>
      </w:r>
      <w:r>
        <w:rPr>
          <w:color w:val="000000"/>
          <w:sz w:val="24"/>
          <w:szCs w:val="24"/>
        </w:rPr>
        <w:t>普降</w:t>
      </w:r>
      <w:r>
        <w:rPr>
          <w:color w:val="000000"/>
          <w:sz w:val="24"/>
          <w:szCs w:val="24"/>
        </w:rPr>
        <w:t>+</w:t>
      </w:r>
      <w:r>
        <w:rPr>
          <w:color w:val="000000"/>
          <w:sz w:val="24"/>
          <w:szCs w:val="24"/>
        </w:rPr>
        <w:t>定向</w:t>
      </w:r>
      <w:r>
        <w:rPr>
          <w:color w:val="000000"/>
          <w:sz w:val="24"/>
          <w:szCs w:val="24"/>
        </w:rPr>
        <w:t>”</w:t>
      </w:r>
      <w:r>
        <w:rPr>
          <w:color w:val="000000"/>
          <w:sz w:val="24"/>
          <w:szCs w:val="24"/>
        </w:rPr>
        <w:t>降准释放了长期流动性约</w:t>
      </w:r>
      <w:r>
        <w:rPr>
          <w:color w:val="000000"/>
          <w:sz w:val="24"/>
          <w:szCs w:val="24"/>
        </w:rPr>
        <w:t>9000</w:t>
      </w:r>
      <w:r>
        <w:rPr>
          <w:color w:val="000000"/>
          <w:sz w:val="24"/>
          <w:szCs w:val="24"/>
        </w:rPr>
        <w:t>亿元，并降低银行负债端成本；财政政策方面，专项债对基建的支撑作用被增强。外围市场方面，在全球经济增速下行、贸易摩擦蔓延升级、地缘政治风险波动加剧的背景下，美元指数、美债明显上涨；人民币对美元即期汇率延续前期贬值预期，季末在岸和离岸美元对人民币即期汇率均贬至</w:t>
      </w:r>
      <w:r>
        <w:rPr>
          <w:color w:val="000000"/>
          <w:sz w:val="24"/>
          <w:szCs w:val="24"/>
        </w:rPr>
        <w:t>7.14</w:t>
      </w:r>
      <w:r>
        <w:rPr>
          <w:color w:val="000000"/>
          <w:sz w:val="24"/>
          <w:szCs w:val="24"/>
        </w:rPr>
        <w:t>。资本市场方面，</w:t>
      </w:r>
      <w:r>
        <w:rPr>
          <w:color w:val="000000"/>
          <w:sz w:val="24"/>
          <w:szCs w:val="24"/>
        </w:rPr>
        <w:t>A</w:t>
      </w:r>
      <w:r>
        <w:rPr>
          <w:color w:val="000000"/>
          <w:sz w:val="24"/>
          <w:szCs w:val="24"/>
        </w:rPr>
        <w:t>股市场波动加大，最终三季度上证综指以下跌</w:t>
      </w:r>
      <w:r>
        <w:rPr>
          <w:color w:val="000000"/>
          <w:sz w:val="24"/>
          <w:szCs w:val="24"/>
        </w:rPr>
        <w:t>2.47%</w:t>
      </w:r>
      <w:r>
        <w:rPr>
          <w:color w:val="000000"/>
          <w:sz w:val="24"/>
          <w:szCs w:val="24"/>
        </w:rPr>
        <w:t>收官。风格主题方面，结构分化显著，在科技类板块领涨的背景下，创业板表现优于</w:t>
      </w:r>
      <w:r>
        <w:rPr>
          <w:color w:val="000000"/>
          <w:sz w:val="24"/>
          <w:szCs w:val="24"/>
        </w:rPr>
        <w:t>主板，上证</w:t>
      </w:r>
      <w:r>
        <w:rPr>
          <w:color w:val="000000"/>
          <w:sz w:val="24"/>
          <w:szCs w:val="24"/>
        </w:rPr>
        <w:t>50</w:t>
      </w:r>
      <w:r>
        <w:rPr>
          <w:color w:val="000000"/>
          <w:sz w:val="24"/>
          <w:szCs w:val="24"/>
        </w:rPr>
        <w:t>指数、沪深</w:t>
      </w:r>
      <w:r>
        <w:rPr>
          <w:color w:val="000000"/>
          <w:sz w:val="24"/>
          <w:szCs w:val="24"/>
        </w:rPr>
        <w:t>300</w:t>
      </w:r>
      <w:r>
        <w:rPr>
          <w:color w:val="000000"/>
          <w:sz w:val="24"/>
          <w:szCs w:val="24"/>
        </w:rPr>
        <w:t>指数分别下跌</w:t>
      </w:r>
      <w:r>
        <w:rPr>
          <w:color w:val="000000"/>
          <w:sz w:val="24"/>
          <w:szCs w:val="24"/>
        </w:rPr>
        <w:t>1.12%</w:t>
      </w:r>
      <w:r>
        <w:rPr>
          <w:color w:val="000000"/>
          <w:sz w:val="24"/>
          <w:szCs w:val="24"/>
        </w:rPr>
        <w:t>、</w:t>
      </w:r>
      <w:r>
        <w:rPr>
          <w:color w:val="000000"/>
          <w:sz w:val="24"/>
          <w:szCs w:val="24"/>
        </w:rPr>
        <w:t>0.29%</w:t>
      </w:r>
      <w:r>
        <w:rPr>
          <w:color w:val="000000"/>
          <w:sz w:val="24"/>
          <w:szCs w:val="24"/>
        </w:rPr>
        <w:t>，而创业板指上涨</w:t>
      </w:r>
      <w:r>
        <w:rPr>
          <w:color w:val="000000"/>
          <w:sz w:val="24"/>
          <w:szCs w:val="24"/>
        </w:rPr>
        <w:t>7.68%</w:t>
      </w:r>
      <w:r>
        <w:rPr>
          <w:color w:val="000000"/>
          <w:sz w:val="24"/>
          <w:szCs w:val="24"/>
        </w:rPr>
        <w:t>；行业方面，电子、医药生物、计算机、食品饮料、国防军工等板块涨幅居前，钢铁、采掘、建筑装饰、有色金属、房地产等板块跌幅较大。报告期内中证全指证券公司指数下跌</w:t>
      </w:r>
      <w:r>
        <w:rPr>
          <w:color w:val="000000"/>
          <w:sz w:val="24"/>
          <w:szCs w:val="24"/>
        </w:rPr>
        <w:t>5.81%</w:t>
      </w:r>
      <w:r>
        <w:rPr>
          <w:color w:val="000000"/>
          <w:sz w:val="24"/>
          <w:szCs w:val="24"/>
        </w:rPr>
        <w:t>。</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报告期内本基金为正常运作期，在操作中，我们严格遵守基金合同，坚持既定的指数化投资策略，在指数权重调整和基金申赎变动时，应用指数复制和数量化技术降低冲击成本和减少跟踪误差。</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0.8940</w:t>
      </w:r>
      <w:r w:rsidRPr="006C56AA">
        <w:rPr>
          <w:color w:val="000000"/>
          <w:sz w:val="24"/>
          <w:szCs w:val="24"/>
        </w:rPr>
        <w:t>元，本报告期份额净值增长率为</w:t>
      </w:r>
      <w:r w:rsidRPr="006C56AA">
        <w:rPr>
          <w:color w:val="000000"/>
          <w:sz w:val="24"/>
          <w:szCs w:val="24"/>
        </w:rPr>
        <w:t>-4.47%</w:t>
      </w:r>
      <w:r w:rsidRPr="006C56AA">
        <w:rPr>
          <w:color w:val="000000"/>
          <w:sz w:val="24"/>
          <w:szCs w:val="24"/>
        </w:rPr>
        <w:t>，同期业绩比较基准收益率为</w:t>
      </w:r>
      <w:r w:rsidRPr="006C56AA">
        <w:rPr>
          <w:color w:val="000000"/>
          <w:sz w:val="24"/>
          <w:szCs w:val="24"/>
        </w:rPr>
        <w:t>-5.81%</w:t>
      </w:r>
      <w:r w:rsidRPr="006C56AA">
        <w:rPr>
          <w:color w:val="000000"/>
          <w:sz w:val="24"/>
          <w:szCs w:val="24"/>
        </w:rPr>
        <w:t>，日跟踪偏离度的均值为</w:t>
      </w:r>
      <w:r w:rsidRPr="006C56AA">
        <w:rPr>
          <w:color w:val="000000"/>
          <w:sz w:val="24"/>
          <w:szCs w:val="24"/>
        </w:rPr>
        <w:t>0.04%</w:t>
      </w:r>
      <w:r w:rsidRPr="006C56AA">
        <w:rPr>
          <w:color w:val="000000"/>
          <w:sz w:val="24"/>
          <w:szCs w:val="24"/>
        </w:rPr>
        <w:t>，年化跟踪误差为</w:t>
      </w:r>
      <w:r w:rsidRPr="006C56AA">
        <w:rPr>
          <w:color w:val="000000"/>
          <w:sz w:val="24"/>
          <w:szCs w:val="24"/>
        </w:rPr>
        <w:t>0.885%</w:t>
      </w:r>
      <w:r w:rsidRPr="006C56AA">
        <w:rPr>
          <w:color w:val="000000"/>
          <w:sz w:val="24"/>
          <w:szCs w:val="24"/>
        </w:rPr>
        <w:t>，各项指标均在合同规定的目标控制范围之内。</w:t>
      </w:r>
    </w:p>
    <w:p w:rsidR="00D62BEE" w:rsidRPr="00701A03" w:rsidRDefault="00D62BEE" w:rsidP="00D62BEE">
      <w:pPr>
        <w:autoSpaceDE w:val="0"/>
        <w:autoSpaceDN w:val="0"/>
        <w:adjustRightInd w:val="0"/>
        <w:spacing w:line="360" w:lineRule="auto"/>
        <w:jc w:val="left"/>
        <w:rPr>
          <w:rFonts w:ascii="宋体" w:hAnsi="宋体" w:cs="Arial"/>
          <w:b/>
          <w:color w:val="000000"/>
          <w:kern w:val="0"/>
          <w:sz w:val="24"/>
        </w:rPr>
      </w:pPr>
      <w:r w:rsidRPr="00701A03">
        <w:rPr>
          <w:rFonts w:ascii="宋体" w:hAnsi="宋体" w:cs="Arial"/>
          <w:b/>
          <w:color w:val="000000"/>
          <w:kern w:val="0"/>
          <w:sz w:val="24"/>
        </w:rPr>
        <w:t>4</w:t>
      </w:r>
      <w:r w:rsidRPr="00701A03">
        <w:rPr>
          <w:rFonts w:ascii="宋体" w:hAnsi="宋体" w:cs="Arial" w:hint="eastAsia"/>
          <w:b/>
          <w:color w:val="000000"/>
          <w:kern w:val="0"/>
          <w:sz w:val="24"/>
        </w:rPr>
        <w:t>.5报告期内基金持有人数或基金资产净值预警说明</w:t>
      </w:r>
    </w:p>
    <w:p w:rsidR="001066D5" w:rsidRDefault="00152D01">
      <w:pPr>
        <w:spacing w:line="360" w:lineRule="auto"/>
        <w:ind w:firstLineChars="200" w:firstLine="480"/>
        <w:rPr>
          <w:color w:val="000000"/>
          <w:sz w:val="24"/>
          <w:szCs w:val="24"/>
        </w:rPr>
      </w:pPr>
      <w:r>
        <w:rPr>
          <w:color w:val="000000"/>
          <w:sz w:val="24"/>
          <w:szCs w:val="24"/>
        </w:rPr>
        <w:t>本报告期，本基金均存在连续二十个工作日基金资产净值低于五千万元的情形。</w:t>
      </w:r>
    </w:p>
    <w:p w:rsidR="00D62BEE" w:rsidRPr="006C56AA" w:rsidRDefault="00D62BEE" w:rsidP="00D62BEE">
      <w:pPr>
        <w:spacing w:line="360" w:lineRule="auto"/>
        <w:ind w:firstLineChars="200" w:firstLine="480"/>
        <w:rPr>
          <w:color w:val="000000"/>
          <w:sz w:val="24"/>
          <w:szCs w:val="24"/>
        </w:rPr>
      </w:pPr>
      <w:r w:rsidRPr="0006661F">
        <w:rPr>
          <w:color w:val="000000"/>
          <w:sz w:val="24"/>
          <w:szCs w:val="24"/>
        </w:rPr>
        <w:t>本报告期，本基金均存在连续六十个工作日基金资产净值低于五千万元的情形。基金资产净值的下滑主要受市场环境影响，基金管理人已按照法律法规及《基金合同》的有关规定向中国证监会报送《关于易方达中证全指证券公司交易型开放式指数证券投资基金终止基金合同并召开基金份额持有人大会的请示》，拟召开基金份额持有人大会审议终止本基金《基金合同》等事项。请投资者关注相关风险。</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26,224,620.45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97.95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26,224,620.45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97.95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547,223.16</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2.04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2,013.81</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0.01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26,773,857.42</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注：上表中的股票投资项含可退替代款估值增值，而</w:t>
      </w:r>
      <w:r w:rsidRPr="006C56AA">
        <w:rPr>
          <w:color w:val="000000"/>
          <w:sz w:val="24"/>
          <w:szCs w:val="24"/>
        </w:rPr>
        <w:t>5.2</w:t>
      </w:r>
      <w:r w:rsidRPr="006C56AA">
        <w:rPr>
          <w:color w:val="000000"/>
          <w:sz w:val="24"/>
          <w:szCs w:val="24"/>
        </w:rPr>
        <w:t>的合计项不含可退替代款估值增值。</w:t>
      </w:r>
    </w:p>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9,949.30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26,214,671.15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98.38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26,224,620.45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98.42</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1066D5">
        <w:tc>
          <w:tcPr>
            <w:tcW w:w="851" w:type="dxa"/>
            <w:vAlign w:val="center"/>
          </w:tcPr>
          <w:p w:rsidR="001066D5" w:rsidRDefault="00152D01">
            <w:pPr>
              <w:jc w:val="center"/>
            </w:pPr>
            <w:r>
              <w:rPr>
                <w:color w:val="000000"/>
                <w:kern w:val="0"/>
                <w:sz w:val="24"/>
                <w:szCs w:val="24"/>
              </w:rPr>
              <w:t>1</w:t>
            </w:r>
          </w:p>
        </w:tc>
        <w:tc>
          <w:tcPr>
            <w:tcW w:w="1276" w:type="dxa"/>
            <w:vAlign w:val="center"/>
          </w:tcPr>
          <w:p w:rsidR="001066D5" w:rsidRDefault="00152D01">
            <w:pPr>
              <w:jc w:val="center"/>
            </w:pPr>
            <w:r>
              <w:rPr>
                <w:color w:val="000000"/>
                <w:kern w:val="0"/>
                <w:sz w:val="24"/>
                <w:szCs w:val="24"/>
              </w:rPr>
              <w:t>600030</w:t>
            </w:r>
          </w:p>
        </w:tc>
        <w:tc>
          <w:tcPr>
            <w:tcW w:w="1418" w:type="dxa"/>
            <w:vAlign w:val="center"/>
          </w:tcPr>
          <w:p w:rsidR="001066D5" w:rsidRDefault="00152D01">
            <w:pPr>
              <w:jc w:val="center"/>
            </w:pPr>
            <w:r>
              <w:rPr>
                <w:color w:val="000000"/>
                <w:kern w:val="0"/>
                <w:sz w:val="24"/>
                <w:szCs w:val="24"/>
              </w:rPr>
              <w:t>中信证券</w:t>
            </w:r>
          </w:p>
        </w:tc>
        <w:tc>
          <w:tcPr>
            <w:tcW w:w="1701" w:type="dxa"/>
            <w:vAlign w:val="center"/>
          </w:tcPr>
          <w:p w:rsidR="001066D5" w:rsidRDefault="00152D01">
            <w:pPr>
              <w:jc w:val="right"/>
            </w:pPr>
            <w:r>
              <w:rPr>
                <w:color w:val="000000"/>
                <w:kern w:val="0"/>
                <w:sz w:val="24"/>
                <w:szCs w:val="24"/>
              </w:rPr>
              <w:t>210,100</w:t>
            </w:r>
          </w:p>
        </w:tc>
        <w:tc>
          <w:tcPr>
            <w:tcW w:w="1984" w:type="dxa"/>
            <w:vAlign w:val="center"/>
          </w:tcPr>
          <w:p w:rsidR="001066D5" w:rsidRDefault="00152D01">
            <w:pPr>
              <w:jc w:val="right"/>
            </w:pPr>
            <w:r>
              <w:rPr>
                <w:color w:val="000000"/>
                <w:kern w:val="0"/>
                <w:sz w:val="24"/>
                <w:szCs w:val="24"/>
              </w:rPr>
              <w:t>4,723,048.00</w:t>
            </w:r>
          </w:p>
        </w:tc>
        <w:tc>
          <w:tcPr>
            <w:tcW w:w="1559" w:type="dxa"/>
            <w:vAlign w:val="center"/>
          </w:tcPr>
          <w:p w:rsidR="001066D5" w:rsidRDefault="00152D01">
            <w:pPr>
              <w:jc w:val="right"/>
            </w:pPr>
            <w:r>
              <w:rPr>
                <w:color w:val="000000"/>
                <w:kern w:val="0"/>
                <w:sz w:val="24"/>
                <w:szCs w:val="24"/>
              </w:rPr>
              <w:t>17.72</w:t>
            </w:r>
          </w:p>
        </w:tc>
      </w:tr>
      <w:tr w:rsidR="001066D5">
        <w:tc>
          <w:tcPr>
            <w:tcW w:w="851" w:type="dxa"/>
            <w:vAlign w:val="center"/>
          </w:tcPr>
          <w:p w:rsidR="001066D5" w:rsidRDefault="00152D01">
            <w:pPr>
              <w:jc w:val="center"/>
            </w:pPr>
            <w:r>
              <w:rPr>
                <w:color w:val="000000"/>
                <w:kern w:val="0"/>
                <w:sz w:val="24"/>
                <w:szCs w:val="24"/>
              </w:rPr>
              <w:t>2</w:t>
            </w:r>
          </w:p>
        </w:tc>
        <w:tc>
          <w:tcPr>
            <w:tcW w:w="1276" w:type="dxa"/>
            <w:vAlign w:val="center"/>
          </w:tcPr>
          <w:p w:rsidR="001066D5" w:rsidRDefault="00152D01">
            <w:pPr>
              <w:jc w:val="center"/>
            </w:pPr>
            <w:r>
              <w:rPr>
                <w:color w:val="000000"/>
                <w:kern w:val="0"/>
                <w:sz w:val="24"/>
                <w:szCs w:val="24"/>
              </w:rPr>
              <w:t>600837</w:t>
            </w:r>
          </w:p>
        </w:tc>
        <w:tc>
          <w:tcPr>
            <w:tcW w:w="1418" w:type="dxa"/>
            <w:vAlign w:val="center"/>
          </w:tcPr>
          <w:p w:rsidR="001066D5" w:rsidRDefault="00152D01">
            <w:pPr>
              <w:jc w:val="center"/>
            </w:pPr>
            <w:r>
              <w:rPr>
                <w:color w:val="000000"/>
                <w:kern w:val="0"/>
                <w:sz w:val="24"/>
                <w:szCs w:val="24"/>
              </w:rPr>
              <w:t>海通证券</w:t>
            </w:r>
          </w:p>
        </w:tc>
        <w:tc>
          <w:tcPr>
            <w:tcW w:w="1701" w:type="dxa"/>
            <w:vAlign w:val="center"/>
          </w:tcPr>
          <w:p w:rsidR="001066D5" w:rsidRDefault="00152D01">
            <w:pPr>
              <w:jc w:val="right"/>
            </w:pPr>
            <w:r>
              <w:rPr>
                <w:color w:val="000000"/>
                <w:kern w:val="0"/>
                <w:sz w:val="24"/>
                <w:szCs w:val="24"/>
              </w:rPr>
              <w:t>196,400</w:t>
            </w:r>
          </w:p>
        </w:tc>
        <w:tc>
          <w:tcPr>
            <w:tcW w:w="1984" w:type="dxa"/>
            <w:vAlign w:val="center"/>
          </w:tcPr>
          <w:p w:rsidR="001066D5" w:rsidRDefault="00152D01">
            <w:pPr>
              <w:jc w:val="right"/>
            </w:pPr>
            <w:r>
              <w:rPr>
                <w:color w:val="000000"/>
                <w:kern w:val="0"/>
                <w:sz w:val="24"/>
                <w:szCs w:val="24"/>
              </w:rPr>
              <w:t>2,808,520.00</w:t>
            </w:r>
          </w:p>
        </w:tc>
        <w:tc>
          <w:tcPr>
            <w:tcW w:w="1559" w:type="dxa"/>
            <w:vAlign w:val="center"/>
          </w:tcPr>
          <w:p w:rsidR="001066D5" w:rsidRDefault="00152D01">
            <w:pPr>
              <w:jc w:val="right"/>
            </w:pPr>
            <w:r>
              <w:rPr>
                <w:color w:val="000000"/>
                <w:kern w:val="0"/>
                <w:sz w:val="24"/>
                <w:szCs w:val="24"/>
              </w:rPr>
              <w:t>10.54</w:t>
            </w:r>
          </w:p>
        </w:tc>
      </w:tr>
      <w:tr w:rsidR="001066D5">
        <w:tc>
          <w:tcPr>
            <w:tcW w:w="851" w:type="dxa"/>
            <w:vAlign w:val="center"/>
          </w:tcPr>
          <w:p w:rsidR="001066D5" w:rsidRDefault="00152D01">
            <w:pPr>
              <w:jc w:val="center"/>
            </w:pPr>
            <w:r>
              <w:rPr>
                <w:color w:val="000000"/>
                <w:kern w:val="0"/>
                <w:sz w:val="24"/>
                <w:szCs w:val="24"/>
              </w:rPr>
              <w:t>3</w:t>
            </w:r>
          </w:p>
        </w:tc>
        <w:tc>
          <w:tcPr>
            <w:tcW w:w="1276" w:type="dxa"/>
            <w:vAlign w:val="center"/>
          </w:tcPr>
          <w:p w:rsidR="001066D5" w:rsidRDefault="00152D01">
            <w:pPr>
              <w:jc w:val="center"/>
            </w:pPr>
            <w:r>
              <w:rPr>
                <w:color w:val="000000"/>
                <w:kern w:val="0"/>
                <w:sz w:val="24"/>
                <w:szCs w:val="24"/>
              </w:rPr>
              <w:t>601211</w:t>
            </w:r>
          </w:p>
        </w:tc>
        <w:tc>
          <w:tcPr>
            <w:tcW w:w="1418" w:type="dxa"/>
            <w:vAlign w:val="center"/>
          </w:tcPr>
          <w:p w:rsidR="001066D5" w:rsidRDefault="00152D01">
            <w:pPr>
              <w:jc w:val="center"/>
            </w:pPr>
            <w:r>
              <w:rPr>
                <w:color w:val="000000"/>
                <w:kern w:val="0"/>
                <w:sz w:val="24"/>
                <w:szCs w:val="24"/>
              </w:rPr>
              <w:t>国泰君安</w:t>
            </w:r>
          </w:p>
        </w:tc>
        <w:tc>
          <w:tcPr>
            <w:tcW w:w="1701" w:type="dxa"/>
            <w:vAlign w:val="center"/>
          </w:tcPr>
          <w:p w:rsidR="001066D5" w:rsidRDefault="00152D01">
            <w:pPr>
              <w:jc w:val="right"/>
            </w:pPr>
            <w:r>
              <w:rPr>
                <w:color w:val="000000"/>
                <w:kern w:val="0"/>
                <w:sz w:val="24"/>
                <w:szCs w:val="24"/>
              </w:rPr>
              <w:t>109,300</w:t>
            </w:r>
          </w:p>
        </w:tc>
        <w:tc>
          <w:tcPr>
            <w:tcW w:w="1984" w:type="dxa"/>
            <w:vAlign w:val="center"/>
          </w:tcPr>
          <w:p w:rsidR="001066D5" w:rsidRDefault="00152D01">
            <w:pPr>
              <w:jc w:val="right"/>
            </w:pPr>
            <w:r>
              <w:rPr>
                <w:color w:val="000000"/>
                <w:kern w:val="0"/>
                <w:sz w:val="24"/>
                <w:szCs w:val="24"/>
              </w:rPr>
              <w:t>1,920,401.00</w:t>
            </w:r>
          </w:p>
        </w:tc>
        <w:tc>
          <w:tcPr>
            <w:tcW w:w="1559" w:type="dxa"/>
            <w:vAlign w:val="center"/>
          </w:tcPr>
          <w:p w:rsidR="001066D5" w:rsidRDefault="00152D01">
            <w:pPr>
              <w:jc w:val="right"/>
            </w:pPr>
            <w:r>
              <w:rPr>
                <w:color w:val="000000"/>
                <w:kern w:val="0"/>
                <w:sz w:val="24"/>
                <w:szCs w:val="24"/>
              </w:rPr>
              <w:t>7.21</w:t>
            </w:r>
          </w:p>
        </w:tc>
      </w:tr>
      <w:tr w:rsidR="001066D5">
        <w:tc>
          <w:tcPr>
            <w:tcW w:w="851" w:type="dxa"/>
            <w:vAlign w:val="center"/>
          </w:tcPr>
          <w:p w:rsidR="001066D5" w:rsidRDefault="00152D01">
            <w:pPr>
              <w:jc w:val="center"/>
            </w:pPr>
            <w:r>
              <w:rPr>
                <w:color w:val="000000"/>
                <w:kern w:val="0"/>
                <w:sz w:val="24"/>
                <w:szCs w:val="24"/>
              </w:rPr>
              <w:t>4</w:t>
            </w:r>
          </w:p>
        </w:tc>
        <w:tc>
          <w:tcPr>
            <w:tcW w:w="1276" w:type="dxa"/>
            <w:vAlign w:val="center"/>
          </w:tcPr>
          <w:p w:rsidR="001066D5" w:rsidRDefault="00152D01">
            <w:pPr>
              <w:jc w:val="center"/>
            </w:pPr>
            <w:r>
              <w:rPr>
                <w:color w:val="000000"/>
                <w:kern w:val="0"/>
                <w:sz w:val="24"/>
                <w:szCs w:val="24"/>
              </w:rPr>
              <w:t>601688</w:t>
            </w:r>
          </w:p>
        </w:tc>
        <w:tc>
          <w:tcPr>
            <w:tcW w:w="1418" w:type="dxa"/>
            <w:vAlign w:val="center"/>
          </w:tcPr>
          <w:p w:rsidR="001066D5" w:rsidRDefault="00152D01">
            <w:pPr>
              <w:jc w:val="center"/>
            </w:pPr>
            <w:r>
              <w:rPr>
                <w:color w:val="000000"/>
                <w:kern w:val="0"/>
                <w:sz w:val="24"/>
                <w:szCs w:val="24"/>
              </w:rPr>
              <w:t>华泰证券</w:t>
            </w:r>
          </w:p>
        </w:tc>
        <w:tc>
          <w:tcPr>
            <w:tcW w:w="1701" w:type="dxa"/>
            <w:vAlign w:val="center"/>
          </w:tcPr>
          <w:p w:rsidR="001066D5" w:rsidRDefault="00152D01">
            <w:pPr>
              <w:jc w:val="right"/>
            </w:pPr>
            <w:r>
              <w:rPr>
                <w:color w:val="000000"/>
                <w:kern w:val="0"/>
                <w:sz w:val="24"/>
                <w:szCs w:val="24"/>
              </w:rPr>
              <w:t>88,400</w:t>
            </w:r>
          </w:p>
        </w:tc>
        <w:tc>
          <w:tcPr>
            <w:tcW w:w="1984" w:type="dxa"/>
            <w:vAlign w:val="center"/>
          </w:tcPr>
          <w:p w:rsidR="001066D5" w:rsidRDefault="00152D01">
            <w:pPr>
              <w:jc w:val="right"/>
            </w:pPr>
            <w:r>
              <w:rPr>
                <w:color w:val="000000"/>
                <w:kern w:val="0"/>
                <w:sz w:val="24"/>
                <w:szCs w:val="24"/>
              </w:rPr>
              <w:t>1,687,556.00</w:t>
            </w:r>
          </w:p>
        </w:tc>
        <w:tc>
          <w:tcPr>
            <w:tcW w:w="1559" w:type="dxa"/>
            <w:vAlign w:val="center"/>
          </w:tcPr>
          <w:p w:rsidR="001066D5" w:rsidRDefault="00152D01">
            <w:pPr>
              <w:jc w:val="right"/>
            </w:pPr>
            <w:r>
              <w:rPr>
                <w:color w:val="000000"/>
                <w:kern w:val="0"/>
                <w:sz w:val="24"/>
                <w:szCs w:val="24"/>
              </w:rPr>
              <w:t>6.33</w:t>
            </w:r>
          </w:p>
        </w:tc>
      </w:tr>
      <w:tr w:rsidR="001066D5">
        <w:tc>
          <w:tcPr>
            <w:tcW w:w="851" w:type="dxa"/>
            <w:vAlign w:val="center"/>
          </w:tcPr>
          <w:p w:rsidR="001066D5" w:rsidRDefault="00152D01">
            <w:pPr>
              <w:jc w:val="center"/>
            </w:pPr>
            <w:r>
              <w:rPr>
                <w:color w:val="000000"/>
                <w:kern w:val="0"/>
                <w:sz w:val="24"/>
                <w:szCs w:val="24"/>
              </w:rPr>
              <w:t>5</w:t>
            </w:r>
          </w:p>
        </w:tc>
        <w:tc>
          <w:tcPr>
            <w:tcW w:w="1276" w:type="dxa"/>
            <w:vAlign w:val="center"/>
          </w:tcPr>
          <w:p w:rsidR="001066D5" w:rsidRDefault="00152D01">
            <w:pPr>
              <w:jc w:val="center"/>
            </w:pPr>
            <w:r>
              <w:rPr>
                <w:color w:val="000000"/>
                <w:kern w:val="0"/>
                <w:sz w:val="24"/>
                <w:szCs w:val="24"/>
              </w:rPr>
              <w:t>600999</w:t>
            </w:r>
          </w:p>
        </w:tc>
        <w:tc>
          <w:tcPr>
            <w:tcW w:w="1418" w:type="dxa"/>
            <w:vAlign w:val="center"/>
          </w:tcPr>
          <w:p w:rsidR="001066D5" w:rsidRDefault="00152D01">
            <w:pPr>
              <w:jc w:val="center"/>
            </w:pPr>
            <w:r>
              <w:rPr>
                <w:color w:val="000000"/>
                <w:kern w:val="0"/>
                <w:sz w:val="24"/>
                <w:szCs w:val="24"/>
              </w:rPr>
              <w:t>招商证券</w:t>
            </w:r>
          </w:p>
        </w:tc>
        <w:tc>
          <w:tcPr>
            <w:tcW w:w="1701" w:type="dxa"/>
            <w:vAlign w:val="center"/>
          </w:tcPr>
          <w:p w:rsidR="001066D5" w:rsidRDefault="00152D01">
            <w:pPr>
              <w:jc w:val="right"/>
            </w:pPr>
            <w:r>
              <w:rPr>
                <w:color w:val="000000"/>
                <w:kern w:val="0"/>
                <w:sz w:val="24"/>
                <w:szCs w:val="24"/>
              </w:rPr>
              <w:t>69,400</w:t>
            </w:r>
          </w:p>
        </w:tc>
        <w:tc>
          <w:tcPr>
            <w:tcW w:w="1984" w:type="dxa"/>
            <w:vAlign w:val="center"/>
          </w:tcPr>
          <w:p w:rsidR="001066D5" w:rsidRDefault="00152D01">
            <w:pPr>
              <w:jc w:val="right"/>
            </w:pPr>
            <w:r>
              <w:rPr>
                <w:color w:val="000000"/>
                <w:kern w:val="0"/>
                <w:sz w:val="24"/>
                <w:szCs w:val="24"/>
              </w:rPr>
              <w:t>1,141,630.00</w:t>
            </w:r>
          </w:p>
        </w:tc>
        <w:tc>
          <w:tcPr>
            <w:tcW w:w="1559" w:type="dxa"/>
            <w:vAlign w:val="center"/>
          </w:tcPr>
          <w:p w:rsidR="001066D5" w:rsidRDefault="00152D01">
            <w:pPr>
              <w:jc w:val="right"/>
            </w:pPr>
            <w:r>
              <w:rPr>
                <w:color w:val="000000"/>
                <w:kern w:val="0"/>
                <w:sz w:val="24"/>
                <w:szCs w:val="24"/>
              </w:rPr>
              <w:t>4.28</w:t>
            </w:r>
          </w:p>
        </w:tc>
      </w:tr>
      <w:tr w:rsidR="001066D5">
        <w:tc>
          <w:tcPr>
            <w:tcW w:w="851" w:type="dxa"/>
            <w:vAlign w:val="center"/>
          </w:tcPr>
          <w:p w:rsidR="001066D5" w:rsidRDefault="00152D01">
            <w:pPr>
              <w:jc w:val="center"/>
            </w:pPr>
            <w:r>
              <w:rPr>
                <w:color w:val="000000"/>
                <w:kern w:val="0"/>
                <w:sz w:val="24"/>
                <w:szCs w:val="24"/>
              </w:rPr>
              <w:t>6</w:t>
            </w:r>
          </w:p>
        </w:tc>
        <w:tc>
          <w:tcPr>
            <w:tcW w:w="1276" w:type="dxa"/>
            <w:vAlign w:val="center"/>
          </w:tcPr>
          <w:p w:rsidR="001066D5" w:rsidRDefault="00152D01">
            <w:pPr>
              <w:jc w:val="center"/>
            </w:pPr>
            <w:r>
              <w:rPr>
                <w:color w:val="000000"/>
                <w:kern w:val="0"/>
                <w:sz w:val="24"/>
                <w:szCs w:val="24"/>
              </w:rPr>
              <w:t>000166</w:t>
            </w:r>
          </w:p>
        </w:tc>
        <w:tc>
          <w:tcPr>
            <w:tcW w:w="1418" w:type="dxa"/>
            <w:vAlign w:val="center"/>
          </w:tcPr>
          <w:p w:rsidR="001066D5" w:rsidRDefault="00152D01">
            <w:pPr>
              <w:jc w:val="center"/>
            </w:pPr>
            <w:r>
              <w:rPr>
                <w:color w:val="000000"/>
                <w:kern w:val="0"/>
                <w:sz w:val="24"/>
                <w:szCs w:val="24"/>
              </w:rPr>
              <w:t>申万宏源</w:t>
            </w:r>
          </w:p>
        </w:tc>
        <w:tc>
          <w:tcPr>
            <w:tcW w:w="1701" w:type="dxa"/>
            <w:vAlign w:val="center"/>
          </w:tcPr>
          <w:p w:rsidR="001066D5" w:rsidRDefault="00152D01">
            <w:pPr>
              <w:jc w:val="right"/>
            </w:pPr>
            <w:r>
              <w:rPr>
                <w:color w:val="000000"/>
                <w:kern w:val="0"/>
                <w:sz w:val="24"/>
                <w:szCs w:val="24"/>
              </w:rPr>
              <w:t>218,700</w:t>
            </w:r>
          </w:p>
        </w:tc>
        <w:tc>
          <w:tcPr>
            <w:tcW w:w="1984" w:type="dxa"/>
            <w:vAlign w:val="center"/>
          </w:tcPr>
          <w:p w:rsidR="001066D5" w:rsidRDefault="00152D01">
            <w:pPr>
              <w:jc w:val="right"/>
            </w:pPr>
            <w:r>
              <w:rPr>
                <w:color w:val="000000"/>
                <w:kern w:val="0"/>
                <w:sz w:val="24"/>
                <w:szCs w:val="24"/>
              </w:rPr>
              <w:t>1,045,386.00</w:t>
            </w:r>
          </w:p>
        </w:tc>
        <w:tc>
          <w:tcPr>
            <w:tcW w:w="1559" w:type="dxa"/>
            <w:vAlign w:val="center"/>
          </w:tcPr>
          <w:p w:rsidR="001066D5" w:rsidRDefault="00152D01">
            <w:pPr>
              <w:jc w:val="right"/>
            </w:pPr>
            <w:r>
              <w:rPr>
                <w:color w:val="000000"/>
                <w:kern w:val="0"/>
                <w:sz w:val="24"/>
                <w:szCs w:val="24"/>
              </w:rPr>
              <w:t>3.92</w:t>
            </w:r>
          </w:p>
        </w:tc>
      </w:tr>
      <w:tr w:rsidR="001066D5">
        <w:tc>
          <w:tcPr>
            <w:tcW w:w="851" w:type="dxa"/>
            <w:vAlign w:val="center"/>
          </w:tcPr>
          <w:p w:rsidR="001066D5" w:rsidRDefault="00152D01">
            <w:pPr>
              <w:jc w:val="center"/>
            </w:pPr>
            <w:r>
              <w:rPr>
                <w:color w:val="000000"/>
                <w:kern w:val="0"/>
                <w:sz w:val="24"/>
                <w:szCs w:val="24"/>
              </w:rPr>
              <w:t>7</w:t>
            </w:r>
          </w:p>
        </w:tc>
        <w:tc>
          <w:tcPr>
            <w:tcW w:w="1276" w:type="dxa"/>
            <w:vAlign w:val="center"/>
          </w:tcPr>
          <w:p w:rsidR="001066D5" w:rsidRDefault="00152D01">
            <w:pPr>
              <w:jc w:val="center"/>
            </w:pPr>
            <w:r>
              <w:rPr>
                <w:color w:val="000000"/>
                <w:kern w:val="0"/>
                <w:sz w:val="24"/>
                <w:szCs w:val="24"/>
              </w:rPr>
              <w:t>600958</w:t>
            </w:r>
          </w:p>
        </w:tc>
        <w:tc>
          <w:tcPr>
            <w:tcW w:w="1418" w:type="dxa"/>
            <w:vAlign w:val="center"/>
          </w:tcPr>
          <w:p w:rsidR="001066D5" w:rsidRDefault="00152D01">
            <w:pPr>
              <w:jc w:val="center"/>
            </w:pPr>
            <w:r>
              <w:rPr>
                <w:color w:val="000000"/>
                <w:kern w:val="0"/>
                <w:sz w:val="24"/>
                <w:szCs w:val="24"/>
              </w:rPr>
              <w:t>东方证券</w:t>
            </w:r>
          </w:p>
        </w:tc>
        <w:tc>
          <w:tcPr>
            <w:tcW w:w="1701" w:type="dxa"/>
            <w:vAlign w:val="center"/>
          </w:tcPr>
          <w:p w:rsidR="001066D5" w:rsidRDefault="00152D01">
            <w:pPr>
              <w:jc w:val="right"/>
            </w:pPr>
            <w:r>
              <w:rPr>
                <w:color w:val="000000"/>
                <w:kern w:val="0"/>
                <w:sz w:val="24"/>
                <w:szCs w:val="24"/>
              </w:rPr>
              <w:t>86,800</w:t>
            </w:r>
          </w:p>
        </w:tc>
        <w:tc>
          <w:tcPr>
            <w:tcW w:w="1984" w:type="dxa"/>
            <w:vAlign w:val="center"/>
          </w:tcPr>
          <w:p w:rsidR="001066D5" w:rsidRDefault="00152D01">
            <w:pPr>
              <w:jc w:val="right"/>
            </w:pPr>
            <w:r>
              <w:rPr>
                <w:color w:val="000000"/>
                <w:kern w:val="0"/>
                <w:sz w:val="24"/>
                <w:szCs w:val="24"/>
              </w:rPr>
              <w:t>885,360.00</w:t>
            </w:r>
          </w:p>
        </w:tc>
        <w:tc>
          <w:tcPr>
            <w:tcW w:w="1559" w:type="dxa"/>
            <w:vAlign w:val="center"/>
          </w:tcPr>
          <w:p w:rsidR="001066D5" w:rsidRDefault="00152D01">
            <w:pPr>
              <w:jc w:val="right"/>
            </w:pPr>
            <w:r>
              <w:rPr>
                <w:color w:val="000000"/>
                <w:kern w:val="0"/>
                <w:sz w:val="24"/>
                <w:szCs w:val="24"/>
              </w:rPr>
              <w:t>3.32</w:t>
            </w:r>
          </w:p>
        </w:tc>
      </w:tr>
      <w:tr w:rsidR="001066D5">
        <w:tc>
          <w:tcPr>
            <w:tcW w:w="851" w:type="dxa"/>
            <w:vAlign w:val="center"/>
          </w:tcPr>
          <w:p w:rsidR="001066D5" w:rsidRDefault="00152D01">
            <w:pPr>
              <w:jc w:val="center"/>
            </w:pPr>
            <w:r>
              <w:rPr>
                <w:color w:val="000000"/>
                <w:kern w:val="0"/>
                <w:sz w:val="24"/>
                <w:szCs w:val="24"/>
              </w:rPr>
              <w:t>8</w:t>
            </w:r>
          </w:p>
        </w:tc>
        <w:tc>
          <w:tcPr>
            <w:tcW w:w="1276" w:type="dxa"/>
            <w:vAlign w:val="center"/>
          </w:tcPr>
          <w:p w:rsidR="001066D5" w:rsidRDefault="00152D01">
            <w:pPr>
              <w:jc w:val="center"/>
            </w:pPr>
            <w:r>
              <w:rPr>
                <w:color w:val="000000"/>
                <w:kern w:val="0"/>
                <w:sz w:val="24"/>
                <w:szCs w:val="24"/>
              </w:rPr>
              <w:t>002736</w:t>
            </w:r>
          </w:p>
        </w:tc>
        <w:tc>
          <w:tcPr>
            <w:tcW w:w="1418" w:type="dxa"/>
            <w:vAlign w:val="center"/>
          </w:tcPr>
          <w:p w:rsidR="001066D5" w:rsidRDefault="00152D01">
            <w:pPr>
              <w:jc w:val="center"/>
            </w:pPr>
            <w:r>
              <w:rPr>
                <w:color w:val="000000"/>
                <w:kern w:val="0"/>
                <w:sz w:val="24"/>
                <w:szCs w:val="24"/>
              </w:rPr>
              <w:t>国信证券</w:t>
            </w:r>
          </w:p>
        </w:tc>
        <w:tc>
          <w:tcPr>
            <w:tcW w:w="1701" w:type="dxa"/>
            <w:vAlign w:val="center"/>
          </w:tcPr>
          <w:p w:rsidR="001066D5" w:rsidRDefault="00152D01">
            <w:pPr>
              <w:jc w:val="right"/>
            </w:pPr>
            <w:r>
              <w:rPr>
                <w:color w:val="000000"/>
                <w:kern w:val="0"/>
                <w:sz w:val="24"/>
                <w:szCs w:val="24"/>
              </w:rPr>
              <w:t>59,800</w:t>
            </w:r>
          </w:p>
        </w:tc>
        <w:tc>
          <w:tcPr>
            <w:tcW w:w="1984" w:type="dxa"/>
            <w:vAlign w:val="center"/>
          </w:tcPr>
          <w:p w:rsidR="001066D5" w:rsidRDefault="00152D01">
            <w:pPr>
              <w:jc w:val="right"/>
            </w:pPr>
            <w:r>
              <w:rPr>
                <w:color w:val="000000"/>
                <w:kern w:val="0"/>
                <w:sz w:val="24"/>
                <w:szCs w:val="24"/>
              </w:rPr>
              <w:t>734,344.00</w:t>
            </w:r>
          </w:p>
        </w:tc>
        <w:tc>
          <w:tcPr>
            <w:tcW w:w="1559" w:type="dxa"/>
            <w:vAlign w:val="center"/>
          </w:tcPr>
          <w:p w:rsidR="001066D5" w:rsidRDefault="00152D01">
            <w:pPr>
              <w:jc w:val="right"/>
            </w:pPr>
            <w:r>
              <w:rPr>
                <w:color w:val="000000"/>
                <w:kern w:val="0"/>
                <w:sz w:val="24"/>
                <w:szCs w:val="24"/>
              </w:rPr>
              <w:t>2.76</w:t>
            </w:r>
          </w:p>
        </w:tc>
      </w:tr>
      <w:tr w:rsidR="001066D5">
        <w:tc>
          <w:tcPr>
            <w:tcW w:w="851" w:type="dxa"/>
            <w:vAlign w:val="center"/>
          </w:tcPr>
          <w:p w:rsidR="001066D5" w:rsidRDefault="00152D01">
            <w:pPr>
              <w:jc w:val="center"/>
            </w:pPr>
            <w:r>
              <w:rPr>
                <w:color w:val="000000"/>
                <w:kern w:val="0"/>
                <w:sz w:val="24"/>
                <w:szCs w:val="24"/>
              </w:rPr>
              <w:t>9</w:t>
            </w:r>
          </w:p>
        </w:tc>
        <w:tc>
          <w:tcPr>
            <w:tcW w:w="1276" w:type="dxa"/>
            <w:vAlign w:val="center"/>
          </w:tcPr>
          <w:p w:rsidR="001066D5" w:rsidRDefault="00152D01">
            <w:pPr>
              <w:jc w:val="center"/>
            </w:pPr>
            <w:r>
              <w:rPr>
                <w:color w:val="000000"/>
                <w:kern w:val="0"/>
                <w:sz w:val="24"/>
                <w:szCs w:val="24"/>
              </w:rPr>
              <w:t>601377</w:t>
            </w:r>
          </w:p>
        </w:tc>
        <w:tc>
          <w:tcPr>
            <w:tcW w:w="1418" w:type="dxa"/>
            <w:vAlign w:val="center"/>
          </w:tcPr>
          <w:p w:rsidR="001066D5" w:rsidRDefault="00152D01">
            <w:pPr>
              <w:jc w:val="center"/>
            </w:pPr>
            <w:r>
              <w:rPr>
                <w:color w:val="000000"/>
                <w:kern w:val="0"/>
                <w:sz w:val="24"/>
                <w:szCs w:val="24"/>
              </w:rPr>
              <w:t>兴业证券</w:t>
            </w:r>
          </w:p>
        </w:tc>
        <w:tc>
          <w:tcPr>
            <w:tcW w:w="1701" w:type="dxa"/>
            <w:vAlign w:val="center"/>
          </w:tcPr>
          <w:p w:rsidR="001066D5" w:rsidRDefault="00152D01">
            <w:pPr>
              <w:jc w:val="right"/>
            </w:pPr>
            <w:r>
              <w:rPr>
                <w:color w:val="000000"/>
                <w:kern w:val="0"/>
                <w:sz w:val="24"/>
                <w:szCs w:val="24"/>
              </w:rPr>
              <w:t>113,800</w:t>
            </w:r>
          </w:p>
        </w:tc>
        <w:tc>
          <w:tcPr>
            <w:tcW w:w="1984" w:type="dxa"/>
            <w:vAlign w:val="center"/>
          </w:tcPr>
          <w:p w:rsidR="001066D5" w:rsidRDefault="00152D01">
            <w:pPr>
              <w:jc w:val="right"/>
            </w:pPr>
            <w:r>
              <w:rPr>
                <w:color w:val="000000"/>
                <w:kern w:val="0"/>
                <w:sz w:val="24"/>
                <w:szCs w:val="24"/>
              </w:rPr>
              <w:t>707,836.00</w:t>
            </w:r>
          </w:p>
        </w:tc>
        <w:tc>
          <w:tcPr>
            <w:tcW w:w="1559" w:type="dxa"/>
            <w:vAlign w:val="center"/>
          </w:tcPr>
          <w:p w:rsidR="001066D5" w:rsidRDefault="00152D01">
            <w:pPr>
              <w:jc w:val="right"/>
            </w:pPr>
            <w:r>
              <w:rPr>
                <w:color w:val="000000"/>
                <w:kern w:val="0"/>
                <w:sz w:val="24"/>
                <w:szCs w:val="24"/>
              </w:rPr>
              <w:t>2.66</w:t>
            </w:r>
          </w:p>
        </w:tc>
      </w:tr>
      <w:tr w:rsidR="001066D5">
        <w:tc>
          <w:tcPr>
            <w:tcW w:w="851" w:type="dxa"/>
            <w:vAlign w:val="center"/>
          </w:tcPr>
          <w:p w:rsidR="001066D5" w:rsidRDefault="00152D01">
            <w:pPr>
              <w:jc w:val="center"/>
            </w:pPr>
            <w:r>
              <w:rPr>
                <w:color w:val="000000"/>
                <w:kern w:val="0"/>
                <w:sz w:val="24"/>
                <w:szCs w:val="24"/>
              </w:rPr>
              <w:t>10</w:t>
            </w:r>
          </w:p>
        </w:tc>
        <w:tc>
          <w:tcPr>
            <w:tcW w:w="1276" w:type="dxa"/>
            <w:vAlign w:val="center"/>
          </w:tcPr>
          <w:p w:rsidR="001066D5" w:rsidRDefault="00152D01">
            <w:pPr>
              <w:jc w:val="center"/>
            </w:pPr>
            <w:r>
              <w:rPr>
                <w:color w:val="000000"/>
                <w:kern w:val="0"/>
                <w:sz w:val="24"/>
                <w:szCs w:val="24"/>
              </w:rPr>
              <w:t>601901</w:t>
            </w:r>
          </w:p>
        </w:tc>
        <w:tc>
          <w:tcPr>
            <w:tcW w:w="1418" w:type="dxa"/>
            <w:vAlign w:val="center"/>
          </w:tcPr>
          <w:p w:rsidR="001066D5" w:rsidRDefault="00152D01">
            <w:pPr>
              <w:jc w:val="center"/>
            </w:pPr>
            <w:r>
              <w:rPr>
                <w:color w:val="000000"/>
                <w:kern w:val="0"/>
                <w:sz w:val="24"/>
                <w:szCs w:val="24"/>
              </w:rPr>
              <w:t>方正证券</w:t>
            </w:r>
          </w:p>
        </w:tc>
        <w:tc>
          <w:tcPr>
            <w:tcW w:w="1701" w:type="dxa"/>
            <w:vAlign w:val="center"/>
          </w:tcPr>
          <w:p w:rsidR="001066D5" w:rsidRDefault="00152D01">
            <w:pPr>
              <w:jc w:val="right"/>
            </w:pPr>
            <w:r>
              <w:rPr>
                <w:color w:val="000000"/>
                <w:kern w:val="0"/>
                <w:sz w:val="24"/>
                <w:szCs w:val="24"/>
              </w:rPr>
              <w:t>99,900</w:t>
            </w:r>
          </w:p>
        </w:tc>
        <w:tc>
          <w:tcPr>
            <w:tcW w:w="1984" w:type="dxa"/>
            <w:vAlign w:val="center"/>
          </w:tcPr>
          <w:p w:rsidR="001066D5" w:rsidRDefault="00152D01">
            <w:pPr>
              <w:jc w:val="right"/>
            </w:pPr>
            <w:r>
              <w:rPr>
                <w:color w:val="000000"/>
                <w:kern w:val="0"/>
                <w:sz w:val="24"/>
                <w:szCs w:val="24"/>
              </w:rPr>
              <w:t>688,311.00</w:t>
            </w:r>
          </w:p>
        </w:tc>
        <w:tc>
          <w:tcPr>
            <w:tcW w:w="1559" w:type="dxa"/>
            <w:vAlign w:val="center"/>
          </w:tcPr>
          <w:p w:rsidR="001066D5" w:rsidRDefault="00152D01">
            <w:pPr>
              <w:jc w:val="right"/>
            </w:pPr>
            <w:r>
              <w:rPr>
                <w:color w:val="000000"/>
                <w:kern w:val="0"/>
                <w:sz w:val="24"/>
                <w:szCs w:val="24"/>
              </w:rPr>
              <w:t>2.58</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p w:rsidR="00750D48" w:rsidRPr="00232B03" w:rsidRDefault="00CA4677" w:rsidP="00403A06">
      <w:pPr>
        <w:spacing w:line="360" w:lineRule="auto"/>
        <w:ind w:firstLineChars="200" w:firstLine="480"/>
        <w:rPr>
          <w:color w:val="000000"/>
          <w:sz w:val="24"/>
          <w:szCs w:val="24"/>
        </w:rPr>
      </w:pPr>
      <w:r w:rsidRPr="00403A06">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1,904.99</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108.82</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2,013.81</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32,806,068.00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3,000,000.00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29,806,068.00</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1066D5" w:rsidRDefault="00152D01">
      <w:pPr>
        <w:spacing w:line="360" w:lineRule="auto"/>
        <w:ind w:firstLineChars="200" w:firstLine="480"/>
        <w:rPr>
          <w:color w:val="000000"/>
          <w:sz w:val="24"/>
          <w:szCs w:val="24"/>
        </w:rPr>
      </w:pPr>
      <w:r>
        <w:rPr>
          <w:color w:val="000000"/>
          <w:sz w:val="24"/>
          <w:szCs w:val="24"/>
        </w:rPr>
        <w:t>1.</w:t>
      </w:r>
      <w:r>
        <w:rPr>
          <w:color w:val="000000"/>
          <w:sz w:val="24"/>
          <w:szCs w:val="24"/>
        </w:rPr>
        <w:t>中国证监会注册易方达中证全指证券公司交易型开放式指数证券投资基金募集的文件；</w:t>
      </w:r>
    </w:p>
    <w:p w:rsidR="001066D5" w:rsidRDefault="00152D01">
      <w:pPr>
        <w:spacing w:line="360" w:lineRule="auto"/>
        <w:ind w:firstLineChars="200" w:firstLine="480"/>
        <w:rPr>
          <w:color w:val="000000"/>
          <w:sz w:val="24"/>
          <w:szCs w:val="24"/>
        </w:rPr>
      </w:pPr>
      <w:r>
        <w:rPr>
          <w:color w:val="000000"/>
          <w:sz w:val="24"/>
          <w:szCs w:val="24"/>
        </w:rPr>
        <w:t>2.</w:t>
      </w:r>
      <w:r>
        <w:rPr>
          <w:color w:val="000000"/>
          <w:sz w:val="24"/>
          <w:szCs w:val="24"/>
        </w:rPr>
        <w:t>《易方达中证全指证券公司交易型开放式指数证券投资基金基金合同》；</w:t>
      </w:r>
    </w:p>
    <w:p w:rsidR="001066D5" w:rsidRDefault="00152D01">
      <w:pPr>
        <w:spacing w:line="360" w:lineRule="auto"/>
        <w:ind w:firstLineChars="200" w:firstLine="480"/>
        <w:rPr>
          <w:color w:val="000000"/>
          <w:sz w:val="24"/>
          <w:szCs w:val="24"/>
        </w:rPr>
      </w:pPr>
      <w:r>
        <w:rPr>
          <w:color w:val="000000"/>
          <w:sz w:val="24"/>
          <w:szCs w:val="24"/>
        </w:rPr>
        <w:t>3.</w:t>
      </w:r>
      <w:r>
        <w:rPr>
          <w:color w:val="000000"/>
          <w:sz w:val="24"/>
          <w:szCs w:val="24"/>
        </w:rPr>
        <w:t>《易方达中证全指证券公司交易型开放式指数证券投资基金托管协议》；</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4.</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152D01">
      <w:rPr>
        <w:rStyle w:val="a7"/>
        <w:noProof/>
      </w:rPr>
      <w:t>1</w:t>
    </w:r>
    <w:r>
      <w:rPr>
        <w:rStyle w:val="a7"/>
      </w:rPr>
      <w:fldChar w:fldCharType="end"/>
    </w:r>
    <w:r>
      <w:rPr>
        <w:rStyle w:val="a7"/>
        <w:rFonts w:hint="eastAsia"/>
      </w:rPr>
      <w:t>页共</w:t>
    </w:r>
    <w:r w:rsidR="00152D01">
      <w:fldChar w:fldCharType="begin"/>
    </w:r>
    <w:r w:rsidR="00152D01">
      <w:instrText xml:space="preserve"> NUMPAGES  \* Arabic  \* MERGEFORMAT </w:instrText>
    </w:r>
    <w:r w:rsidR="00152D01">
      <w:fldChar w:fldCharType="separate"/>
    </w:r>
    <w:r w:rsidR="00152D01" w:rsidRPr="00152D01">
      <w:rPr>
        <w:rStyle w:val="a7"/>
        <w:noProof/>
      </w:rPr>
      <w:t>3</w:t>
    </w:r>
    <w:r w:rsidR="00152D01">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152D01">
      <w:rPr>
        <w:rStyle w:val="a7"/>
        <w:noProof/>
      </w:rPr>
      <w:t>12</w:t>
    </w:r>
    <w:r>
      <w:rPr>
        <w:rStyle w:val="a7"/>
      </w:rPr>
      <w:fldChar w:fldCharType="end"/>
    </w:r>
    <w:r>
      <w:rPr>
        <w:rStyle w:val="a7"/>
        <w:rFonts w:hint="eastAsia"/>
      </w:rPr>
      <w:t>页共</w:t>
    </w:r>
    <w:fldSimple w:instr=" NUMPAGES  \* Arabic  \* MERGEFORMAT ">
      <w:r w:rsidR="00152D01" w:rsidRPr="00152D01">
        <w:rPr>
          <w:rStyle w:val="a7"/>
          <w:noProof/>
        </w:rPr>
        <w:t>12</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易方达中证全指证券公司交易型开放式指数证券投资基金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066D5"/>
    <w:rsid w:val="00111261"/>
    <w:rsid w:val="00133843"/>
    <w:rsid w:val="00137452"/>
    <w:rsid w:val="00142CAF"/>
    <w:rsid w:val="00144F93"/>
    <w:rsid w:val="00147376"/>
    <w:rsid w:val="00150E7E"/>
    <w:rsid w:val="00152D01"/>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5FDE5-5623-4850-905F-8CEAE94E1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998</Words>
  <Characters>5691</Characters>
  <Application>Microsoft Office Word</Application>
  <DocSecurity>0</DocSecurity>
  <Lines>47</Lines>
  <Paragraphs>13</Paragraphs>
  <ScaleCrop>false</ScaleCrop>
  <Company/>
  <LinksUpToDate>false</LinksUpToDate>
  <CharactersWithSpaces>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2019-10-16T13:57:00Z</cp:lastPrinted>
  <dcterms:created xsi:type="dcterms:W3CDTF">2012-10-16T06:07:00Z</dcterms:created>
  <dcterms:modified xsi:type="dcterms:W3CDTF">2019-10-16T13:57:00Z</dcterms:modified>
</cp:coreProperties>
</file>