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易方达中证军工交易型开放式指数证券投资基金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招商银行股份有限公司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110951" w:rsidRDefault="006B5EC1">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110951" w:rsidRDefault="006B5EC1">
      <w:pPr>
        <w:spacing w:line="360" w:lineRule="auto"/>
        <w:ind w:firstLineChars="200" w:firstLine="480"/>
        <w:rPr>
          <w:color w:val="000000"/>
          <w:sz w:val="24"/>
          <w:szCs w:val="24"/>
        </w:rPr>
      </w:pPr>
      <w:r>
        <w:rPr>
          <w:color w:val="000000"/>
          <w:sz w:val="24"/>
          <w:szCs w:val="24"/>
        </w:rPr>
        <w:t>基金托管人招商银行股份有限公司根据本基金合同规定，于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110951" w:rsidRDefault="006B5EC1">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110951" w:rsidRDefault="006B5EC1">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110951" w:rsidRDefault="006B5EC1">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易方达中证军工</w:t>
            </w:r>
            <w:r w:rsidRPr="00232B03">
              <w:rPr>
                <w:color w:val="000000"/>
                <w:kern w:val="0"/>
                <w:sz w:val="24"/>
                <w:szCs w:val="24"/>
              </w:rPr>
              <w:t>ETF</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中证军工</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512560</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512560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交易型开放式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2017</w:t>
            </w:r>
            <w:r w:rsidRPr="00232B03">
              <w:rPr>
                <w:color w:val="000000"/>
                <w:kern w:val="0"/>
                <w:sz w:val="24"/>
                <w:szCs w:val="24"/>
              </w:rPr>
              <w:t>年</w:t>
            </w:r>
            <w:r w:rsidRPr="00232B03">
              <w:rPr>
                <w:color w:val="000000"/>
                <w:kern w:val="0"/>
                <w:sz w:val="24"/>
                <w:szCs w:val="24"/>
              </w:rPr>
              <w:t>7</w:t>
            </w:r>
            <w:r w:rsidRPr="00232B03">
              <w:rPr>
                <w:color w:val="000000"/>
                <w:kern w:val="0"/>
                <w:sz w:val="24"/>
                <w:szCs w:val="24"/>
              </w:rPr>
              <w:t>月</w:t>
            </w:r>
            <w:r w:rsidRPr="00232B03">
              <w:rPr>
                <w:color w:val="000000"/>
                <w:kern w:val="0"/>
                <w:sz w:val="24"/>
                <w:szCs w:val="24"/>
              </w:rPr>
              <w:t>14</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27,563,496.00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紧密跟踪标的指数，追求跟踪偏离度和跟踪误差的最小化。</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本基金主要采取完全复制法，即完全按照标的指数的成份股组成及其权重构建基金股票投资组合，并根据标的指数成份股及其权重的变动进行相应调整。但在因特殊情形导致基金无法完全投资于标的</w:t>
            </w:r>
            <w:r w:rsidRPr="00232B03">
              <w:rPr>
                <w:color w:val="000000"/>
                <w:kern w:val="0"/>
                <w:sz w:val="24"/>
                <w:szCs w:val="24"/>
              </w:rPr>
              <w:lastRenderedPageBreak/>
              <w:t>指数成份股时，基金管理人将采取其他指数投资技术适当调整基金投资组合，以达到紧密跟踪标的指数的目的。</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中证军工指数</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本基金为股票型基金，预期风险与预期收益水平高于混合型基金、债券型基金与货币市场基金。本基金为指数型基金，主要采用完全复制法跟踪标的指数的表现，具有与标的指数相似的风险收益特征。</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招商银行股份有限公司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10,186.92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681,886.02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0.0262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22,910,727.65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0.8312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110951" w:rsidRDefault="006B5EC1">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w:t>
      </w:r>
      <w:r w:rsidRPr="006506EF">
        <w:rPr>
          <w:color w:val="000000"/>
          <w:sz w:val="24"/>
        </w:rPr>
        <w:t>(</w:t>
      </w:r>
      <w:r w:rsidRPr="006506EF">
        <w:rPr>
          <w:color w:val="000000"/>
          <w:sz w:val="24"/>
        </w:rPr>
        <w:t>不含公允价值变动收益</w:t>
      </w:r>
      <w:r w:rsidRPr="006506EF">
        <w:rPr>
          <w:color w:val="000000"/>
          <w:sz w:val="24"/>
        </w:rPr>
        <w:t>)</w:t>
      </w:r>
      <w:r w:rsidRPr="006506EF">
        <w:rPr>
          <w:color w:val="000000"/>
          <w:sz w:val="24"/>
        </w:rPr>
        <w:t>扣除相关费用后的余额</w:t>
      </w:r>
      <w:r w:rsidRPr="006506EF">
        <w:rPr>
          <w:color w:val="000000"/>
          <w:sz w:val="24"/>
        </w:rPr>
        <w:t>,</w:t>
      </w:r>
      <w:r w:rsidRPr="006506EF">
        <w:rPr>
          <w:color w:val="000000"/>
          <w:sz w:val="24"/>
        </w:rPr>
        <w:t>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110951">
        <w:tc>
          <w:tcPr>
            <w:tcW w:w="1395" w:type="dxa"/>
            <w:vAlign w:val="center"/>
          </w:tcPr>
          <w:p w:rsidR="00110951" w:rsidRDefault="006B5EC1">
            <w:pPr>
              <w:jc w:val="left"/>
            </w:pPr>
            <w:r>
              <w:rPr>
                <w:color w:val="000000"/>
                <w:kern w:val="0"/>
                <w:sz w:val="24"/>
                <w:szCs w:val="24"/>
              </w:rPr>
              <w:t>过去三个月</w:t>
            </w:r>
          </w:p>
        </w:tc>
        <w:tc>
          <w:tcPr>
            <w:tcW w:w="1092" w:type="dxa"/>
            <w:vAlign w:val="center"/>
          </w:tcPr>
          <w:p w:rsidR="00110951" w:rsidRDefault="006B5EC1">
            <w:pPr>
              <w:jc w:val="center"/>
            </w:pPr>
            <w:r>
              <w:rPr>
                <w:color w:val="000000"/>
                <w:kern w:val="0"/>
                <w:sz w:val="24"/>
                <w:szCs w:val="24"/>
              </w:rPr>
              <w:t>3.36%</w:t>
            </w:r>
          </w:p>
        </w:tc>
        <w:tc>
          <w:tcPr>
            <w:tcW w:w="1161" w:type="dxa"/>
            <w:vAlign w:val="center"/>
          </w:tcPr>
          <w:p w:rsidR="00110951" w:rsidRDefault="006B5EC1">
            <w:pPr>
              <w:jc w:val="center"/>
            </w:pPr>
            <w:r>
              <w:rPr>
                <w:color w:val="000000"/>
                <w:kern w:val="0"/>
                <w:sz w:val="24"/>
                <w:szCs w:val="24"/>
              </w:rPr>
              <w:t>1.52%</w:t>
            </w:r>
          </w:p>
        </w:tc>
        <w:tc>
          <w:tcPr>
            <w:tcW w:w="1181" w:type="dxa"/>
            <w:vAlign w:val="center"/>
          </w:tcPr>
          <w:p w:rsidR="00110951" w:rsidRDefault="006B5EC1">
            <w:pPr>
              <w:jc w:val="center"/>
            </w:pPr>
            <w:r>
              <w:rPr>
                <w:color w:val="000000"/>
                <w:kern w:val="0"/>
                <w:sz w:val="24"/>
                <w:szCs w:val="24"/>
              </w:rPr>
              <w:t>3.23%</w:t>
            </w:r>
          </w:p>
        </w:tc>
        <w:tc>
          <w:tcPr>
            <w:tcW w:w="1188" w:type="dxa"/>
            <w:vAlign w:val="center"/>
          </w:tcPr>
          <w:p w:rsidR="00110951" w:rsidRDefault="006B5EC1">
            <w:pPr>
              <w:jc w:val="center"/>
            </w:pPr>
            <w:r>
              <w:rPr>
                <w:color w:val="000000"/>
                <w:kern w:val="0"/>
                <w:sz w:val="24"/>
                <w:szCs w:val="24"/>
              </w:rPr>
              <w:t>1.54%</w:t>
            </w:r>
          </w:p>
        </w:tc>
        <w:tc>
          <w:tcPr>
            <w:tcW w:w="1199" w:type="dxa"/>
            <w:vAlign w:val="center"/>
          </w:tcPr>
          <w:p w:rsidR="00110951" w:rsidRDefault="006B5EC1">
            <w:pPr>
              <w:jc w:val="center"/>
            </w:pPr>
            <w:r>
              <w:rPr>
                <w:color w:val="000000"/>
                <w:kern w:val="0"/>
                <w:sz w:val="24"/>
                <w:szCs w:val="24"/>
              </w:rPr>
              <w:t>0.13%</w:t>
            </w:r>
          </w:p>
        </w:tc>
        <w:tc>
          <w:tcPr>
            <w:tcW w:w="1204" w:type="dxa"/>
            <w:vAlign w:val="center"/>
          </w:tcPr>
          <w:p w:rsidR="00110951" w:rsidRDefault="006B5EC1">
            <w:pPr>
              <w:jc w:val="center"/>
            </w:pPr>
            <w:r>
              <w:rPr>
                <w:color w:val="000000"/>
                <w:kern w:val="0"/>
                <w:sz w:val="24"/>
                <w:szCs w:val="24"/>
              </w:rPr>
              <w:t>-0.02%</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易方达中证军工交易型开放式指数证券投资基金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2017</w:t>
      </w:r>
      <w:r w:rsidRPr="0074694E">
        <w:rPr>
          <w:rFonts w:ascii="Times New Roman" w:hAnsi="Times New Roman"/>
          <w:sz w:val="24"/>
          <w:szCs w:val="24"/>
        </w:rPr>
        <w:t>年</w:t>
      </w:r>
      <w:r w:rsidRPr="0074694E">
        <w:rPr>
          <w:rFonts w:ascii="Times New Roman" w:hAnsi="Times New Roman"/>
          <w:sz w:val="24"/>
          <w:szCs w:val="24"/>
        </w:rPr>
        <w:t>7</w:t>
      </w:r>
      <w:r w:rsidRPr="0074694E">
        <w:rPr>
          <w:rFonts w:ascii="Times New Roman" w:hAnsi="Times New Roman"/>
          <w:sz w:val="24"/>
          <w:szCs w:val="24"/>
        </w:rPr>
        <w:t>月</w:t>
      </w:r>
      <w:r w:rsidRPr="0074694E">
        <w:rPr>
          <w:rFonts w:ascii="Times New Roman" w:hAnsi="Times New Roman"/>
          <w:sz w:val="24"/>
          <w:szCs w:val="24"/>
        </w:rPr>
        <w:t>14</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6B5EC1"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w:t>
      </w:r>
      <w:r w:rsidRPr="006C56AA">
        <w:rPr>
          <w:color w:val="000000"/>
          <w:sz w:val="24"/>
          <w:szCs w:val="24"/>
        </w:rPr>
        <w:t>,</w:t>
      </w:r>
      <w:r w:rsidRPr="006C56AA">
        <w:rPr>
          <w:color w:val="000000"/>
          <w:sz w:val="24"/>
          <w:szCs w:val="24"/>
        </w:rPr>
        <w:t>基金份额净值增长率为</w:t>
      </w:r>
      <w:r w:rsidRPr="006C56AA">
        <w:rPr>
          <w:color w:val="000000"/>
          <w:sz w:val="24"/>
          <w:szCs w:val="24"/>
        </w:rPr>
        <w:t>-16.88%,</w:t>
      </w:r>
      <w:r w:rsidRPr="006C56AA">
        <w:rPr>
          <w:color w:val="000000"/>
          <w:sz w:val="24"/>
          <w:szCs w:val="24"/>
        </w:rPr>
        <w:t>同期业绩比较基准收益率为</w:t>
      </w:r>
      <w:r w:rsidRPr="006C56AA">
        <w:rPr>
          <w:color w:val="000000"/>
          <w:sz w:val="24"/>
          <w:szCs w:val="24"/>
        </w:rPr>
        <w:t>-16.44%</w:t>
      </w:r>
      <w:r w:rsidRPr="006C56AA">
        <w:rPr>
          <w:color w:val="000000"/>
          <w:sz w:val="24"/>
          <w:szCs w:val="24"/>
        </w:rPr>
        <w:t>。</w:t>
      </w:r>
      <w:r w:rsidRPr="006C56AA">
        <w:rPr>
          <w:color w:val="000000"/>
          <w:sz w:val="24"/>
          <w:szCs w:val="24"/>
        </w:rPr>
        <w:t xml:space="preserve"> </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110951">
        <w:tc>
          <w:tcPr>
            <w:tcW w:w="567" w:type="dxa"/>
            <w:vAlign w:val="center"/>
          </w:tcPr>
          <w:p w:rsidR="00110951" w:rsidRDefault="006B5EC1">
            <w:pPr>
              <w:jc w:val="center"/>
            </w:pPr>
            <w:r>
              <w:rPr>
                <w:color w:val="000000"/>
                <w:sz w:val="24"/>
              </w:rPr>
              <w:t>余海燕</w:t>
            </w:r>
          </w:p>
        </w:tc>
        <w:tc>
          <w:tcPr>
            <w:tcW w:w="2835" w:type="dxa"/>
            <w:vAlign w:val="center"/>
          </w:tcPr>
          <w:p w:rsidR="00110951" w:rsidRDefault="006B5EC1">
            <w:pPr>
              <w:jc w:val="center"/>
            </w:pPr>
            <w:r>
              <w:rPr>
                <w:color w:val="000000"/>
                <w:sz w:val="24"/>
              </w:rPr>
              <w:t>本基金的基金经理、易方达中证全指证券公司交易型开放式指数证券投资基金的基金经理、易方达中证海外中国互联网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交易型开放式指数证券投</w:t>
            </w:r>
            <w:r>
              <w:rPr>
                <w:color w:val="000000"/>
                <w:sz w:val="24"/>
              </w:rPr>
              <w:t>资基金发起式联接基金的基金经理、易方达上证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交易型开放式指数发起式证券投资基金联接基金的基金经理、易</w:t>
            </w:r>
            <w:r>
              <w:rPr>
                <w:color w:val="000000"/>
                <w:sz w:val="24"/>
              </w:rPr>
              <w:t>方达沪深</w:t>
            </w:r>
            <w:r>
              <w:rPr>
                <w:color w:val="000000"/>
                <w:sz w:val="24"/>
              </w:rPr>
              <w:t>300</w:t>
            </w:r>
            <w:r>
              <w:rPr>
                <w:color w:val="000000"/>
                <w:sz w:val="24"/>
              </w:rPr>
              <w:t>交易型开放式指数发起式证券投资基金的基金经理、易方达沪深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联接基金的基金经理、易方达恒生中国企业交易型开放式指数证券投资基金的基金经理、易方达国企改革指数分级证券投资基金的基金经理</w:t>
            </w:r>
          </w:p>
        </w:tc>
        <w:tc>
          <w:tcPr>
            <w:tcW w:w="851" w:type="dxa"/>
            <w:vAlign w:val="center"/>
          </w:tcPr>
          <w:p w:rsidR="00110951" w:rsidRDefault="006B5EC1">
            <w:pPr>
              <w:jc w:val="center"/>
            </w:pPr>
            <w:r>
              <w:rPr>
                <w:color w:val="000000"/>
                <w:sz w:val="24"/>
              </w:rPr>
              <w:t>2017-07-14</w:t>
            </w:r>
          </w:p>
        </w:tc>
        <w:tc>
          <w:tcPr>
            <w:tcW w:w="850" w:type="dxa"/>
            <w:vAlign w:val="center"/>
          </w:tcPr>
          <w:p w:rsidR="00110951" w:rsidRDefault="006B5EC1">
            <w:pPr>
              <w:jc w:val="center"/>
            </w:pPr>
            <w:r>
              <w:rPr>
                <w:color w:val="000000"/>
                <w:sz w:val="24"/>
              </w:rPr>
              <w:t>-</w:t>
            </w:r>
          </w:p>
        </w:tc>
        <w:tc>
          <w:tcPr>
            <w:tcW w:w="851" w:type="dxa"/>
            <w:vAlign w:val="center"/>
          </w:tcPr>
          <w:p w:rsidR="00110951" w:rsidRDefault="006B5EC1">
            <w:pPr>
              <w:jc w:val="center"/>
            </w:pPr>
            <w:r>
              <w:rPr>
                <w:color w:val="000000"/>
                <w:sz w:val="24"/>
              </w:rPr>
              <w:t>14</w:t>
            </w:r>
            <w:r>
              <w:rPr>
                <w:color w:val="000000"/>
                <w:sz w:val="24"/>
              </w:rPr>
              <w:t>年</w:t>
            </w:r>
          </w:p>
        </w:tc>
        <w:tc>
          <w:tcPr>
            <w:tcW w:w="2977" w:type="dxa"/>
            <w:vAlign w:val="center"/>
          </w:tcPr>
          <w:p w:rsidR="00110951" w:rsidRDefault="006B5EC1">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信用风险分析师，华宝兴业基金管理有限公司分析师、基金经理助理、基金经理，易方达基金管理有限公司投资发展部产品经理。</w:t>
            </w:r>
          </w:p>
        </w:tc>
      </w:tr>
    </w:tbl>
    <w:p w:rsidR="00110951" w:rsidRDefault="006B5EC1">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110951" w:rsidRDefault="006B5EC1">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110951" w:rsidRDefault="006B5EC1">
      <w:pPr>
        <w:spacing w:line="360" w:lineRule="auto"/>
        <w:ind w:firstLineChars="200" w:firstLine="480"/>
        <w:rPr>
          <w:color w:val="000000"/>
          <w:sz w:val="24"/>
          <w:szCs w:val="24"/>
        </w:rPr>
      </w:pPr>
      <w:r>
        <w:rPr>
          <w:color w:val="000000"/>
          <w:sz w:val="24"/>
          <w:szCs w:val="24"/>
        </w:rPr>
        <w:t>2019</w:t>
      </w:r>
      <w:r>
        <w:rPr>
          <w:color w:val="000000"/>
          <w:sz w:val="24"/>
          <w:szCs w:val="24"/>
        </w:rPr>
        <w:t>年三季度国内宏观经济下行压力犹存，工业生产持续减速，</w:t>
      </w:r>
      <w:r>
        <w:rPr>
          <w:color w:val="000000"/>
          <w:sz w:val="24"/>
          <w:szCs w:val="24"/>
        </w:rPr>
        <w:t>8</w:t>
      </w:r>
      <w:r>
        <w:rPr>
          <w:color w:val="000000"/>
          <w:sz w:val="24"/>
          <w:szCs w:val="24"/>
        </w:rPr>
        <w:t>月份工业增速</w:t>
      </w:r>
      <w:r>
        <w:rPr>
          <w:color w:val="000000"/>
          <w:sz w:val="24"/>
          <w:szCs w:val="24"/>
        </w:rPr>
        <w:t>4.4%</w:t>
      </w:r>
      <w:r>
        <w:rPr>
          <w:color w:val="000000"/>
          <w:sz w:val="24"/>
          <w:szCs w:val="24"/>
        </w:rPr>
        <w:t>，较</w:t>
      </w:r>
      <w:r>
        <w:rPr>
          <w:color w:val="000000"/>
          <w:sz w:val="24"/>
          <w:szCs w:val="24"/>
        </w:rPr>
        <w:t>7</w:t>
      </w:r>
      <w:r>
        <w:rPr>
          <w:color w:val="000000"/>
          <w:sz w:val="24"/>
          <w:szCs w:val="24"/>
        </w:rPr>
        <w:t>月份继续下滑，并创下</w:t>
      </w:r>
      <w:r>
        <w:rPr>
          <w:color w:val="000000"/>
          <w:sz w:val="24"/>
          <w:szCs w:val="24"/>
        </w:rPr>
        <w:t>09</w:t>
      </w:r>
      <w:r>
        <w:rPr>
          <w:color w:val="000000"/>
          <w:sz w:val="24"/>
          <w:szCs w:val="24"/>
        </w:rPr>
        <w:t>年</w:t>
      </w:r>
      <w:r>
        <w:rPr>
          <w:color w:val="000000"/>
          <w:sz w:val="24"/>
          <w:szCs w:val="24"/>
        </w:rPr>
        <w:t>3</w:t>
      </w:r>
      <w:r>
        <w:rPr>
          <w:color w:val="000000"/>
          <w:sz w:val="24"/>
          <w:szCs w:val="24"/>
        </w:rPr>
        <w:t>月以来新低。</w:t>
      </w:r>
      <w:r>
        <w:rPr>
          <w:color w:val="000000"/>
          <w:sz w:val="24"/>
          <w:szCs w:val="24"/>
        </w:rPr>
        <w:t>1-8</w:t>
      </w:r>
      <w:r>
        <w:rPr>
          <w:color w:val="000000"/>
          <w:sz w:val="24"/>
          <w:szCs w:val="24"/>
        </w:rPr>
        <w:t>月全国固定资产投资同比增速回落至</w:t>
      </w:r>
      <w:r>
        <w:rPr>
          <w:color w:val="000000"/>
          <w:sz w:val="24"/>
          <w:szCs w:val="24"/>
        </w:rPr>
        <w:t>5.5%</w:t>
      </w:r>
      <w:r>
        <w:rPr>
          <w:color w:val="000000"/>
          <w:sz w:val="24"/>
          <w:szCs w:val="24"/>
        </w:rPr>
        <w:t>，其中</w:t>
      </w:r>
      <w:r>
        <w:rPr>
          <w:color w:val="000000"/>
          <w:sz w:val="24"/>
          <w:szCs w:val="24"/>
        </w:rPr>
        <w:t>8</w:t>
      </w:r>
      <w:r>
        <w:rPr>
          <w:color w:val="000000"/>
          <w:sz w:val="24"/>
          <w:szCs w:val="24"/>
        </w:rPr>
        <w:t>月份同比增速下滑至</w:t>
      </w:r>
      <w:r>
        <w:rPr>
          <w:color w:val="000000"/>
          <w:sz w:val="24"/>
          <w:szCs w:val="24"/>
        </w:rPr>
        <w:t>4.2%</w:t>
      </w:r>
      <w:r>
        <w:rPr>
          <w:color w:val="000000"/>
          <w:sz w:val="24"/>
          <w:szCs w:val="24"/>
        </w:rPr>
        <w:t>。随着部分行业景气度进入内生性底部，同时逆周期政策力度明显加大，</w:t>
      </w:r>
      <w:r>
        <w:rPr>
          <w:color w:val="000000"/>
          <w:sz w:val="24"/>
          <w:szCs w:val="24"/>
        </w:rPr>
        <w:t>9</w:t>
      </w:r>
      <w:r>
        <w:rPr>
          <w:color w:val="000000"/>
          <w:sz w:val="24"/>
          <w:szCs w:val="24"/>
        </w:rPr>
        <w:t>月份经济景气度有所改善，宏观数据显示</w:t>
      </w:r>
      <w:r>
        <w:rPr>
          <w:color w:val="000000"/>
          <w:sz w:val="24"/>
          <w:szCs w:val="24"/>
        </w:rPr>
        <w:t>9</w:t>
      </w:r>
      <w:r>
        <w:rPr>
          <w:color w:val="000000"/>
          <w:sz w:val="24"/>
          <w:szCs w:val="24"/>
        </w:rPr>
        <w:t>月全国制造业</w:t>
      </w:r>
      <w:r>
        <w:rPr>
          <w:color w:val="000000"/>
          <w:sz w:val="24"/>
          <w:szCs w:val="24"/>
        </w:rPr>
        <w:t>PMI</w:t>
      </w:r>
      <w:r>
        <w:rPr>
          <w:color w:val="000000"/>
          <w:sz w:val="24"/>
          <w:szCs w:val="24"/>
        </w:rPr>
        <w:t>为</w:t>
      </w:r>
      <w:r>
        <w:rPr>
          <w:color w:val="000000"/>
          <w:sz w:val="24"/>
          <w:szCs w:val="24"/>
        </w:rPr>
        <w:t>49.8%</w:t>
      </w:r>
      <w:r>
        <w:rPr>
          <w:color w:val="000000"/>
          <w:sz w:val="24"/>
          <w:szCs w:val="24"/>
        </w:rPr>
        <w:t>，较</w:t>
      </w:r>
      <w:r>
        <w:rPr>
          <w:color w:val="000000"/>
          <w:sz w:val="24"/>
          <w:szCs w:val="24"/>
        </w:rPr>
        <w:t>8</w:t>
      </w:r>
      <w:r>
        <w:rPr>
          <w:color w:val="000000"/>
          <w:sz w:val="24"/>
          <w:szCs w:val="24"/>
        </w:rPr>
        <w:t>月小幅回升，并创下</w:t>
      </w:r>
      <w:r>
        <w:rPr>
          <w:color w:val="000000"/>
          <w:sz w:val="24"/>
          <w:szCs w:val="24"/>
        </w:rPr>
        <w:t>5</w:t>
      </w:r>
      <w:r>
        <w:rPr>
          <w:color w:val="000000"/>
          <w:sz w:val="24"/>
          <w:szCs w:val="24"/>
        </w:rPr>
        <w:t>月以来新高，指向制造业景气明显改善。随着经济下行压力的持续加大，三季度宏观经济政策转向积极，政府加大了</w:t>
      </w:r>
      <w:r>
        <w:rPr>
          <w:color w:val="000000"/>
          <w:sz w:val="24"/>
          <w:szCs w:val="24"/>
        </w:rPr>
        <w:t>“</w:t>
      </w:r>
      <w:r>
        <w:rPr>
          <w:color w:val="000000"/>
          <w:sz w:val="24"/>
          <w:szCs w:val="24"/>
        </w:rPr>
        <w:t>逆周期调节</w:t>
      </w:r>
      <w:r>
        <w:rPr>
          <w:color w:val="000000"/>
          <w:sz w:val="24"/>
          <w:szCs w:val="24"/>
        </w:rPr>
        <w:t>”</w:t>
      </w:r>
      <w:r>
        <w:rPr>
          <w:color w:val="000000"/>
          <w:sz w:val="24"/>
          <w:szCs w:val="24"/>
        </w:rPr>
        <w:t>力度。利率市场化改革超预期加</w:t>
      </w:r>
      <w:r>
        <w:rPr>
          <w:color w:val="000000"/>
          <w:sz w:val="24"/>
          <w:szCs w:val="24"/>
        </w:rPr>
        <w:t>快，央行改革完善</w:t>
      </w:r>
      <w:r>
        <w:rPr>
          <w:color w:val="000000"/>
          <w:sz w:val="24"/>
          <w:szCs w:val="24"/>
        </w:rPr>
        <w:t>LPR</w:t>
      </w:r>
      <w:r>
        <w:rPr>
          <w:color w:val="000000"/>
          <w:sz w:val="24"/>
          <w:szCs w:val="24"/>
        </w:rPr>
        <w:t>形成机制，引导了利率下行的政策信号；央行</w:t>
      </w:r>
      <w:r>
        <w:rPr>
          <w:color w:val="000000"/>
          <w:sz w:val="24"/>
          <w:szCs w:val="24"/>
        </w:rPr>
        <w:t>“</w:t>
      </w:r>
      <w:r>
        <w:rPr>
          <w:color w:val="000000"/>
          <w:sz w:val="24"/>
          <w:szCs w:val="24"/>
        </w:rPr>
        <w:t>普降</w:t>
      </w:r>
      <w:r>
        <w:rPr>
          <w:color w:val="000000"/>
          <w:sz w:val="24"/>
          <w:szCs w:val="24"/>
        </w:rPr>
        <w:t>+</w:t>
      </w:r>
      <w:r>
        <w:rPr>
          <w:color w:val="000000"/>
          <w:sz w:val="24"/>
          <w:szCs w:val="24"/>
        </w:rPr>
        <w:t>定向</w:t>
      </w:r>
      <w:r>
        <w:rPr>
          <w:color w:val="000000"/>
          <w:sz w:val="24"/>
          <w:szCs w:val="24"/>
        </w:rPr>
        <w:t>”</w:t>
      </w:r>
      <w:r>
        <w:rPr>
          <w:color w:val="000000"/>
          <w:sz w:val="24"/>
          <w:szCs w:val="24"/>
        </w:rPr>
        <w:t>降准释放了长期流动性约</w:t>
      </w:r>
      <w:r>
        <w:rPr>
          <w:color w:val="000000"/>
          <w:sz w:val="24"/>
          <w:szCs w:val="24"/>
        </w:rPr>
        <w:t>9000</w:t>
      </w:r>
      <w:r>
        <w:rPr>
          <w:color w:val="000000"/>
          <w:sz w:val="24"/>
          <w:szCs w:val="24"/>
        </w:rPr>
        <w:t>亿元，并降低银行负债端成本；财政政策方面，专项债对基建的支撑作用被增强。外围市场方面，在全球经济增速下行、贸易摩擦蔓延升级、地缘政治风险波动加剧的背景下，美元指数、美债明显上涨；人民币对美元即期汇率延续前期贬值预期，季末在岸和离岸美元对人民币即期汇率均贬至</w:t>
      </w:r>
      <w:r>
        <w:rPr>
          <w:color w:val="000000"/>
          <w:sz w:val="24"/>
          <w:szCs w:val="24"/>
        </w:rPr>
        <w:t>7.14</w:t>
      </w:r>
      <w:r>
        <w:rPr>
          <w:color w:val="000000"/>
          <w:sz w:val="24"/>
          <w:szCs w:val="24"/>
        </w:rPr>
        <w:t>。资本市场方面，</w:t>
      </w:r>
      <w:r>
        <w:rPr>
          <w:color w:val="000000"/>
          <w:sz w:val="24"/>
          <w:szCs w:val="24"/>
        </w:rPr>
        <w:t>A</w:t>
      </w:r>
      <w:r>
        <w:rPr>
          <w:color w:val="000000"/>
          <w:sz w:val="24"/>
          <w:szCs w:val="24"/>
        </w:rPr>
        <w:t>股市场波动加大，最终三季度上证综指以下跌</w:t>
      </w:r>
      <w:r>
        <w:rPr>
          <w:color w:val="000000"/>
          <w:sz w:val="24"/>
          <w:szCs w:val="24"/>
        </w:rPr>
        <w:t>2.47%</w:t>
      </w:r>
      <w:r>
        <w:rPr>
          <w:color w:val="000000"/>
          <w:sz w:val="24"/>
          <w:szCs w:val="24"/>
        </w:rPr>
        <w:t>收官。风格主题方面，结构分化显著，在科技类板块领涨的背景下，创业板表现优于</w:t>
      </w:r>
      <w:r>
        <w:rPr>
          <w:color w:val="000000"/>
          <w:sz w:val="24"/>
          <w:szCs w:val="24"/>
        </w:rPr>
        <w:t>主板，上证</w:t>
      </w:r>
      <w:r>
        <w:rPr>
          <w:color w:val="000000"/>
          <w:sz w:val="24"/>
          <w:szCs w:val="24"/>
        </w:rPr>
        <w:t>50</w:t>
      </w:r>
      <w:r>
        <w:rPr>
          <w:color w:val="000000"/>
          <w:sz w:val="24"/>
          <w:szCs w:val="24"/>
        </w:rPr>
        <w:t>指数、沪深</w:t>
      </w:r>
      <w:r>
        <w:rPr>
          <w:color w:val="000000"/>
          <w:sz w:val="24"/>
          <w:szCs w:val="24"/>
        </w:rPr>
        <w:t>300</w:t>
      </w:r>
      <w:r>
        <w:rPr>
          <w:color w:val="000000"/>
          <w:sz w:val="24"/>
          <w:szCs w:val="24"/>
        </w:rPr>
        <w:t>指数分别下跌</w:t>
      </w:r>
      <w:r>
        <w:rPr>
          <w:color w:val="000000"/>
          <w:sz w:val="24"/>
          <w:szCs w:val="24"/>
        </w:rPr>
        <w:t>1.12%</w:t>
      </w:r>
      <w:r>
        <w:rPr>
          <w:color w:val="000000"/>
          <w:sz w:val="24"/>
          <w:szCs w:val="24"/>
        </w:rPr>
        <w:t>、</w:t>
      </w:r>
      <w:r>
        <w:rPr>
          <w:color w:val="000000"/>
          <w:sz w:val="24"/>
          <w:szCs w:val="24"/>
        </w:rPr>
        <w:t>0.29%</w:t>
      </w:r>
      <w:r>
        <w:rPr>
          <w:color w:val="000000"/>
          <w:sz w:val="24"/>
          <w:szCs w:val="24"/>
        </w:rPr>
        <w:t>，而创业板指上涨</w:t>
      </w:r>
      <w:r>
        <w:rPr>
          <w:color w:val="000000"/>
          <w:sz w:val="24"/>
          <w:szCs w:val="24"/>
        </w:rPr>
        <w:t>7.68%</w:t>
      </w:r>
      <w:r>
        <w:rPr>
          <w:color w:val="000000"/>
          <w:sz w:val="24"/>
          <w:szCs w:val="24"/>
        </w:rPr>
        <w:t>；行业方面，电子、医药生物、计算机、食品饮料、国防军工等板块涨幅居前，钢铁、采掘、建筑装饰、有色金属、房地产等板块跌幅较大。报告期内中证军工指数上涨</w:t>
      </w:r>
      <w:r>
        <w:rPr>
          <w:color w:val="000000"/>
          <w:sz w:val="24"/>
          <w:szCs w:val="24"/>
        </w:rPr>
        <w:t>3.23%</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报告期内本基金为正常运作期，在操作中，我们严格遵守基金合同，坚持既定的指数化投资策略，在指数权重调整和基金申赎变动时，应用指数复制和数量化技术降低冲击成本和减少跟踪误差。</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0.8312</w:t>
      </w:r>
      <w:r w:rsidRPr="006C56AA">
        <w:rPr>
          <w:color w:val="000000"/>
          <w:sz w:val="24"/>
          <w:szCs w:val="24"/>
        </w:rPr>
        <w:t>元，本报告期份额净值增长率为</w:t>
      </w:r>
      <w:r w:rsidRPr="006C56AA">
        <w:rPr>
          <w:color w:val="000000"/>
          <w:sz w:val="24"/>
          <w:szCs w:val="24"/>
        </w:rPr>
        <w:t>3.36%</w:t>
      </w:r>
      <w:r w:rsidRPr="006C56AA">
        <w:rPr>
          <w:color w:val="000000"/>
          <w:sz w:val="24"/>
          <w:szCs w:val="24"/>
        </w:rPr>
        <w:t>，同期业绩比较基准收益率为</w:t>
      </w:r>
      <w:r w:rsidRPr="006C56AA">
        <w:rPr>
          <w:color w:val="000000"/>
          <w:sz w:val="24"/>
          <w:szCs w:val="24"/>
        </w:rPr>
        <w:t>3.23%</w:t>
      </w:r>
      <w:r w:rsidRPr="006C56AA">
        <w:rPr>
          <w:color w:val="000000"/>
          <w:sz w:val="24"/>
          <w:szCs w:val="24"/>
        </w:rPr>
        <w:t>，日跟踪偏离度的均值为</w:t>
      </w:r>
      <w:r w:rsidRPr="006C56AA">
        <w:rPr>
          <w:color w:val="000000"/>
          <w:sz w:val="24"/>
          <w:szCs w:val="24"/>
        </w:rPr>
        <w:t>0.03%</w:t>
      </w:r>
      <w:r w:rsidRPr="006C56AA">
        <w:rPr>
          <w:color w:val="000000"/>
          <w:sz w:val="24"/>
          <w:szCs w:val="24"/>
        </w:rPr>
        <w:t>，年化跟踪误差为</w:t>
      </w:r>
      <w:r w:rsidRPr="006C56AA">
        <w:rPr>
          <w:color w:val="000000"/>
          <w:sz w:val="24"/>
          <w:szCs w:val="24"/>
        </w:rPr>
        <w:t>0.647%</w:t>
      </w:r>
      <w:r w:rsidRPr="006C56AA">
        <w:rPr>
          <w:color w:val="000000"/>
          <w:sz w:val="24"/>
          <w:szCs w:val="24"/>
        </w:rPr>
        <w:t>，各项指标均在合同规定的目标控制范围之内。</w:t>
      </w:r>
    </w:p>
    <w:p w:rsidR="00D62BEE" w:rsidRPr="00701A03" w:rsidRDefault="00D62BEE" w:rsidP="00D62BEE">
      <w:pPr>
        <w:autoSpaceDE w:val="0"/>
        <w:autoSpaceDN w:val="0"/>
        <w:adjustRightInd w:val="0"/>
        <w:spacing w:line="360" w:lineRule="auto"/>
        <w:jc w:val="left"/>
        <w:rPr>
          <w:rFonts w:ascii="宋体" w:hAnsi="宋体" w:cs="Arial"/>
          <w:b/>
          <w:color w:val="000000"/>
          <w:kern w:val="0"/>
          <w:sz w:val="24"/>
        </w:rPr>
      </w:pPr>
      <w:r w:rsidRPr="00701A03">
        <w:rPr>
          <w:rFonts w:ascii="宋体" w:hAnsi="宋体" w:cs="Arial"/>
          <w:b/>
          <w:color w:val="000000"/>
          <w:kern w:val="0"/>
          <w:sz w:val="24"/>
        </w:rPr>
        <w:t>4</w:t>
      </w:r>
      <w:r w:rsidRPr="00701A03">
        <w:rPr>
          <w:rFonts w:ascii="宋体" w:hAnsi="宋体" w:cs="Arial" w:hint="eastAsia"/>
          <w:b/>
          <w:color w:val="000000"/>
          <w:kern w:val="0"/>
          <w:sz w:val="24"/>
        </w:rPr>
        <w:t>.5报告期内基金持有人数或基金资产净值预警说明</w:t>
      </w:r>
    </w:p>
    <w:p w:rsidR="00110951" w:rsidRDefault="006B5EC1">
      <w:pPr>
        <w:spacing w:line="360" w:lineRule="auto"/>
        <w:ind w:firstLineChars="200" w:firstLine="480"/>
        <w:rPr>
          <w:color w:val="000000"/>
          <w:sz w:val="24"/>
          <w:szCs w:val="24"/>
        </w:rPr>
      </w:pPr>
      <w:r>
        <w:rPr>
          <w:color w:val="000000"/>
          <w:sz w:val="24"/>
          <w:szCs w:val="24"/>
        </w:rPr>
        <w:t>本报告期，本基金均存在连续二十个工作日基金资产净值低于五千万元的情形。</w:t>
      </w:r>
    </w:p>
    <w:p w:rsidR="00D62BEE" w:rsidRPr="006C56AA" w:rsidRDefault="00D62BEE" w:rsidP="00D62BEE">
      <w:pPr>
        <w:spacing w:line="360" w:lineRule="auto"/>
        <w:ind w:firstLineChars="200" w:firstLine="480"/>
        <w:rPr>
          <w:color w:val="000000"/>
          <w:sz w:val="24"/>
          <w:szCs w:val="24"/>
        </w:rPr>
      </w:pPr>
      <w:r w:rsidRPr="0006661F">
        <w:rPr>
          <w:color w:val="000000"/>
          <w:sz w:val="24"/>
          <w:szCs w:val="24"/>
        </w:rPr>
        <w:t>本报告期，本基金均存在连续六十个工作日基金资产净值低于五千万元的情形。鉴于基金资产净值的下滑主要受市场环境影响，本基金将继续运作。</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22,511,854.75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97.48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22,511,854.75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97.48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578,853.28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2.51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2,863.50</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0.01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23,093,571.53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注：上表中的股票投资项含可退替代款估值增值，而</w:t>
      </w:r>
      <w:r w:rsidRPr="006C56AA">
        <w:rPr>
          <w:color w:val="000000"/>
          <w:sz w:val="24"/>
          <w:szCs w:val="24"/>
        </w:rPr>
        <w:t>5.2</w:t>
      </w:r>
      <w:r w:rsidRPr="006C56AA">
        <w:rPr>
          <w:color w:val="000000"/>
          <w:sz w:val="24"/>
          <w:szCs w:val="24"/>
        </w:rPr>
        <w:t>的合计项不含可退替代款估值增值。</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21,110,815.75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92.14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1,401,039.00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6.12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22,511,854.75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98.26</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110951">
        <w:tc>
          <w:tcPr>
            <w:tcW w:w="851" w:type="dxa"/>
            <w:vAlign w:val="center"/>
          </w:tcPr>
          <w:p w:rsidR="00110951" w:rsidRDefault="006B5EC1">
            <w:pPr>
              <w:jc w:val="center"/>
            </w:pPr>
            <w:r>
              <w:rPr>
                <w:color w:val="000000"/>
                <w:kern w:val="0"/>
                <w:sz w:val="24"/>
                <w:szCs w:val="24"/>
              </w:rPr>
              <w:t>1</w:t>
            </w:r>
          </w:p>
        </w:tc>
        <w:tc>
          <w:tcPr>
            <w:tcW w:w="1276" w:type="dxa"/>
            <w:vAlign w:val="center"/>
          </w:tcPr>
          <w:p w:rsidR="00110951" w:rsidRDefault="006B5EC1">
            <w:pPr>
              <w:jc w:val="center"/>
            </w:pPr>
            <w:r>
              <w:rPr>
                <w:color w:val="000000"/>
                <w:kern w:val="0"/>
                <w:sz w:val="24"/>
                <w:szCs w:val="24"/>
              </w:rPr>
              <w:t>601989</w:t>
            </w:r>
          </w:p>
        </w:tc>
        <w:tc>
          <w:tcPr>
            <w:tcW w:w="1418" w:type="dxa"/>
            <w:vAlign w:val="center"/>
          </w:tcPr>
          <w:p w:rsidR="00110951" w:rsidRDefault="006B5EC1">
            <w:pPr>
              <w:jc w:val="center"/>
            </w:pPr>
            <w:r>
              <w:rPr>
                <w:color w:val="000000"/>
                <w:kern w:val="0"/>
                <w:sz w:val="24"/>
                <w:szCs w:val="24"/>
              </w:rPr>
              <w:t>中国重工</w:t>
            </w:r>
          </w:p>
        </w:tc>
        <w:tc>
          <w:tcPr>
            <w:tcW w:w="1701" w:type="dxa"/>
            <w:vAlign w:val="center"/>
          </w:tcPr>
          <w:p w:rsidR="00110951" w:rsidRDefault="006B5EC1">
            <w:pPr>
              <w:jc w:val="right"/>
            </w:pPr>
            <w:r>
              <w:rPr>
                <w:color w:val="000000"/>
                <w:kern w:val="0"/>
                <w:sz w:val="24"/>
                <w:szCs w:val="24"/>
              </w:rPr>
              <w:t>413,400</w:t>
            </w:r>
          </w:p>
        </w:tc>
        <w:tc>
          <w:tcPr>
            <w:tcW w:w="1984" w:type="dxa"/>
            <w:vAlign w:val="center"/>
          </w:tcPr>
          <w:p w:rsidR="00110951" w:rsidRDefault="006B5EC1">
            <w:pPr>
              <w:jc w:val="right"/>
            </w:pPr>
            <w:r>
              <w:rPr>
                <w:color w:val="000000"/>
                <w:kern w:val="0"/>
                <w:sz w:val="24"/>
                <w:szCs w:val="24"/>
              </w:rPr>
              <w:t>2,277,834.00</w:t>
            </w:r>
          </w:p>
        </w:tc>
        <w:tc>
          <w:tcPr>
            <w:tcW w:w="1559" w:type="dxa"/>
            <w:vAlign w:val="center"/>
          </w:tcPr>
          <w:p w:rsidR="00110951" w:rsidRDefault="006B5EC1">
            <w:pPr>
              <w:jc w:val="right"/>
            </w:pPr>
            <w:r>
              <w:rPr>
                <w:color w:val="000000"/>
                <w:kern w:val="0"/>
                <w:sz w:val="24"/>
                <w:szCs w:val="24"/>
              </w:rPr>
              <w:t>9.94</w:t>
            </w:r>
          </w:p>
        </w:tc>
      </w:tr>
      <w:tr w:rsidR="00110951">
        <w:tc>
          <w:tcPr>
            <w:tcW w:w="851" w:type="dxa"/>
            <w:vAlign w:val="center"/>
          </w:tcPr>
          <w:p w:rsidR="00110951" w:rsidRDefault="006B5EC1">
            <w:pPr>
              <w:jc w:val="center"/>
            </w:pPr>
            <w:r>
              <w:rPr>
                <w:color w:val="000000"/>
                <w:kern w:val="0"/>
                <w:sz w:val="24"/>
                <w:szCs w:val="24"/>
              </w:rPr>
              <w:t>2</w:t>
            </w:r>
          </w:p>
        </w:tc>
        <w:tc>
          <w:tcPr>
            <w:tcW w:w="1276" w:type="dxa"/>
            <w:vAlign w:val="center"/>
          </w:tcPr>
          <w:p w:rsidR="00110951" w:rsidRDefault="006B5EC1">
            <w:pPr>
              <w:jc w:val="center"/>
            </w:pPr>
            <w:r>
              <w:rPr>
                <w:color w:val="000000"/>
                <w:kern w:val="0"/>
                <w:sz w:val="24"/>
                <w:szCs w:val="24"/>
              </w:rPr>
              <w:t>000768</w:t>
            </w:r>
          </w:p>
        </w:tc>
        <w:tc>
          <w:tcPr>
            <w:tcW w:w="1418" w:type="dxa"/>
            <w:vAlign w:val="center"/>
          </w:tcPr>
          <w:p w:rsidR="00110951" w:rsidRDefault="006B5EC1">
            <w:pPr>
              <w:jc w:val="center"/>
            </w:pPr>
            <w:r>
              <w:rPr>
                <w:color w:val="000000"/>
                <w:kern w:val="0"/>
                <w:sz w:val="24"/>
                <w:szCs w:val="24"/>
              </w:rPr>
              <w:t>中航飞机</w:t>
            </w:r>
          </w:p>
        </w:tc>
        <w:tc>
          <w:tcPr>
            <w:tcW w:w="1701" w:type="dxa"/>
            <w:vAlign w:val="center"/>
          </w:tcPr>
          <w:p w:rsidR="00110951" w:rsidRDefault="006B5EC1">
            <w:pPr>
              <w:jc w:val="right"/>
            </w:pPr>
            <w:r>
              <w:rPr>
                <w:color w:val="000000"/>
                <w:kern w:val="0"/>
                <w:sz w:val="24"/>
                <w:szCs w:val="24"/>
              </w:rPr>
              <w:t>93,886</w:t>
            </w:r>
          </w:p>
        </w:tc>
        <w:tc>
          <w:tcPr>
            <w:tcW w:w="1984" w:type="dxa"/>
            <w:vAlign w:val="center"/>
          </w:tcPr>
          <w:p w:rsidR="00110951" w:rsidRDefault="006B5EC1">
            <w:pPr>
              <w:jc w:val="right"/>
            </w:pPr>
            <w:r>
              <w:rPr>
                <w:color w:val="000000"/>
                <w:kern w:val="0"/>
                <w:sz w:val="24"/>
                <w:szCs w:val="24"/>
              </w:rPr>
              <w:t>1,459,927.30</w:t>
            </w:r>
          </w:p>
        </w:tc>
        <w:tc>
          <w:tcPr>
            <w:tcW w:w="1559" w:type="dxa"/>
            <w:vAlign w:val="center"/>
          </w:tcPr>
          <w:p w:rsidR="00110951" w:rsidRDefault="006B5EC1">
            <w:pPr>
              <w:jc w:val="right"/>
            </w:pPr>
            <w:r>
              <w:rPr>
                <w:color w:val="000000"/>
                <w:kern w:val="0"/>
                <w:sz w:val="24"/>
                <w:szCs w:val="24"/>
              </w:rPr>
              <w:t>6.37</w:t>
            </w:r>
          </w:p>
        </w:tc>
      </w:tr>
      <w:tr w:rsidR="00110951">
        <w:tc>
          <w:tcPr>
            <w:tcW w:w="851" w:type="dxa"/>
            <w:vAlign w:val="center"/>
          </w:tcPr>
          <w:p w:rsidR="00110951" w:rsidRDefault="006B5EC1">
            <w:pPr>
              <w:jc w:val="center"/>
            </w:pPr>
            <w:r>
              <w:rPr>
                <w:color w:val="000000"/>
                <w:kern w:val="0"/>
                <w:sz w:val="24"/>
                <w:szCs w:val="24"/>
              </w:rPr>
              <w:t>3</w:t>
            </w:r>
          </w:p>
        </w:tc>
        <w:tc>
          <w:tcPr>
            <w:tcW w:w="1276" w:type="dxa"/>
            <w:vAlign w:val="center"/>
          </w:tcPr>
          <w:p w:rsidR="00110951" w:rsidRDefault="006B5EC1">
            <w:pPr>
              <w:jc w:val="center"/>
            </w:pPr>
            <w:r>
              <w:rPr>
                <w:color w:val="000000"/>
                <w:kern w:val="0"/>
                <w:sz w:val="24"/>
                <w:szCs w:val="24"/>
              </w:rPr>
              <w:t>002179</w:t>
            </w:r>
          </w:p>
        </w:tc>
        <w:tc>
          <w:tcPr>
            <w:tcW w:w="1418" w:type="dxa"/>
            <w:vAlign w:val="center"/>
          </w:tcPr>
          <w:p w:rsidR="00110951" w:rsidRDefault="006B5EC1">
            <w:pPr>
              <w:jc w:val="center"/>
            </w:pPr>
            <w:r>
              <w:rPr>
                <w:color w:val="000000"/>
                <w:kern w:val="0"/>
                <w:sz w:val="24"/>
                <w:szCs w:val="24"/>
              </w:rPr>
              <w:t>中航光电</w:t>
            </w:r>
          </w:p>
        </w:tc>
        <w:tc>
          <w:tcPr>
            <w:tcW w:w="1701" w:type="dxa"/>
            <w:vAlign w:val="center"/>
          </w:tcPr>
          <w:p w:rsidR="00110951" w:rsidRDefault="006B5EC1">
            <w:pPr>
              <w:jc w:val="right"/>
            </w:pPr>
            <w:r>
              <w:rPr>
                <w:color w:val="000000"/>
                <w:kern w:val="0"/>
                <w:sz w:val="24"/>
                <w:szCs w:val="24"/>
              </w:rPr>
              <w:t>34,870</w:t>
            </w:r>
          </w:p>
        </w:tc>
        <w:tc>
          <w:tcPr>
            <w:tcW w:w="1984" w:type="dxa"/>
            <w:vAlign w:val="center"/>
          </w:tcPr>
          <w:p w:rsidR="00110951" w:rsidRDefault="006B5EC1">
            <w:pPr>
              <w:jc w:val="right"/>
            </w:pPr>
            <w:r>
              <w:rPr>
                <w:color w:val="000000"/>
                <w:kern w:val="0"/>
                <w:sz w:val="24"/>
                <w:szCs w:val="24"/>
              </w:rPr>
              <w:t>1,435,946.60</w:t>
            </w:r>
          </w:p>
        </w:tc>
        <w:tc>
          <w:tcPr>
            <w:tcW w:w="1559" w:type="dxa"/>
            <w:vAlign w:val="center"/>
          </w:tcPr>
          <w:p w:rsidR="00110951" w:rsidRDefault="006B5EC1">
            <w:pPr>
              <w:jc w:val="right"/>
            </w:pPr>
            <w:r>
              <w:rPr>
                <w:color w:val="000000"/>
                <w:kern w:val="0"/>
                <w:sz w:val="24"/>
                <w:szCs w:val="24"/>
              </w:rPr>
              <w:t>6.27</w:t>
            </w:r>
          </w:p>
        </w:tc>
      </w:tr>
      <w:tr w:rsidR="00110951">
        <w:tc>
          <w:tcPr>
            <w:tcW w:w="851" w:type="dxa"/>
            <w:vAlign w:val="center"/>
          </w:tcPr>
          <w:p w:rsidR="00110951" w:rsidRDefault="006B5EC1">
            <w:pPr>
              <w:jc w:val="center"/>
            </w:pPr>
            <w:r>
              <w:rPr>
                <w:color w:val="000000"/>
                <w:kern w:val="0"/>
                <w:sz w:val="24"/>
                <w:szCs w:val="24"/>
              </w:rPr>
              <w:t>4</w:t>
            </w:r>
          </w:p>
        </w:tc>
        <w:tc>
          <w:tcPr>
            <w:tcW w:w="1276" w:type="dxa"/>
            <w:vAlign w:val="center"/>
          </w:tcPr>
          <w:p w:rsidR="00110951" w:rsidRDefault="006B5EC1">
            <w:pPr>
              <w:jc w:val="center"/>
            </w:pPr>
            <w:r>
              <w:rPr>
                <w:color w:val="000000"/>
                <w:kern w:val="0"/>
                <w:sz w:val="24"/>
                <w:szCs w:val="24"/>
              </w:rPr>
              <w:t>600893</w:t>
            </w:r>
          </w:p>
        </w:tc>
        <w:tc>
          <w:tcPr>
            <w:tcW w:w="1418" w:type="dxa"/>
            <w:vAlign w:val="center"/>
          </w:tcPr>
          <w:p w:rsidR="00110951" w:rsidRDefault="006B5EC1">
            <w:pPr>
              <w:jc w:val="center"/>
            </w:pPr>
            <w:r>
              <w:rPr>
                <w:color w:val="000000"/>
                <w:kern w:val="0"/>
                <w:sz w:val="24"/>
                <w:szCs w:val="24"/>
              </w:rPr>
              <w:t>航发动力</w:t>
            </w:r>
          </w:p>
        </w:tc>
        <w:tc>
          <w:tcPr>
            <w:tcW w:w="1701" w:type="dxa"/>
            <w:vAlign w:val="center"/>
          </w:tcPr>
          <w:p w:rsidR="00110951" w:rsidRDefault="006B5EC1">
            <w:pPr>
              <w:jc w:val="right"/>
            </w:pPr>
            <w:r>
              <w:rPr>
                <w:color w:val="000000"/>
                <w:kern w:val="0"/>
                <w:sz w:val="24"/>
                <w:szCs w:val="24"/>
              </w:rPr>
              <w:t>61,000</w:t>
            </w:r>
          </w:p>
        </w:tc>
        <w:tc>
          <w:tcPr>
            <w:tcW w:w="1984" w:type="dxa"/>
            <w:vAlign w:val="center"/>
          </w:tcPr>
          <w:p w:rsidR="00110951" w:rsidRDefault="006B5EC1">
            <w:pPr>
              <w:jc w:val="right"/>
            </w:pPr>
            <w:r>
              <w:rPr>
                <w:color w:val="000000"/>
                <w:kern w:val="0"/>
                <w:sz w:val="24"/>
                <w:szCs w:val="24"/>
              </w:rPr>
              <w:t>1,334,070.00</w:t>
            </w:r>
          </w:p>
        </w:tc>
        <w:tc>
          <w:tcPr>
            <w:tcW w:w="1559" w:type="dxa"/>
            <w:vAlign w:val="center"/>
          </w:tcPr>
          <w:p w:rsidR="00110951" w:rsidRDefault="006B5EC1">
            <w:pPr>
              <w:jc w:val="right"/>
            </w:pPr>
            <w:r>
              <w:rPr>
                <w:color w:val="000000"/>
                <w:kern w:val="0"/>
                <w:sz w:val="24"/>
                <w:szCs w:val="24"/>
              </w:rPr>
              <w:t>5.82</w:t>
            </w:r>
          </w:p>
        </w:tc>
      </w:tr>
      <w:tr w:rsidR="00110951">
        <w:tc>
          <w:tcPr>
            <w:tcW w:w="851" w:type="dxa"/>
            <w:vAlign w:val="center"/>
          </w:tcPr>
          <w:p w:rsidR="00110951" w:rsidRDefault="006B5EC1">
            <w:pPr>
              <w:jc w:val="center"/>
            </w:pPr>
            <w:r>
              <w:rPr>
                <w:color w:val="000000"/>
                <w:kern w:val="0"/>
                <w:sz w:val="24"/>
                <w:szCs w:val="24"/>
              </w:rPr>
              <w:t>5</w:t>
            </w:r>
          </w:p>
        </w:tc>
        <w:tc>
          <w:tcPr>
            <w:tcW w:w="1276" w:type="dxa"/>
            <w:vAlign w:val="center"/>
          </w:tcPr>
          <w:p w:rsidR="00110951" w:rsidRDefault="006B5EC1">
            <w:pPr>
              <w:jc w:val="center"/>
            </w:pPr>
            <w:r>
              <w:rPr>
                <w:color w:val="000000"/>
                <w:kern w:val="0"/>
                <w:sz w:val="24"/>
                <w:szCs w:val="24"/>
              </w:rPr>
              <w:t>002268</w:t>
            </w:r>
          </w:p>
        </w:tc>
        <w:tc>
          <w:tcPr>
            <w:tcW w:w="1418" w:type="dxa"/>
            <w:vAlign w:val="center"/>
          </w:tcPr>
          <w:p w:rsidR="00110951" w:rsidRDefault="006B5EC1">
            <w:pPr>
              <w:jc w:val="center"/>
            </w:pPr>
            <w:r>
              <w:rPr>
                <w:color w:val="000000"/>
                <w:kern w:val="0"/>
                <w:sz w:val="24"/>
                <w:szCs w:val="24"/>
              </w:rPr>
              <w:t>卫士通</w:t>
            </w:r>
          </w:p>
        </w:tc>
        <w:tc>
          <w:tcPr>
            <w:tcW w:w="1701" w:type="dxa"/>
            <w:vAlign w:val="center"/>
          </w:tcPr>
          <w:p w:rsidR="00110951" w:rsidRDefault="006B5EC1">
            <w:pPr>
              <w:jc w:val="right"/>
            </w:pPr>
            <w:r>
              <w:rPr>
                <w:color w:val="000000"/>
                <w:kern w:val="0"/>
                <w:sz w:val="24"/>
                <w:szCs w:val="24"/>
              </w:rPr>
              <w:t>39,800</w:t>
            </w:r>
          </w:p>
        </w:tc>
        <w:tc>
          <w:tcPr>
            <w:tcW w:w="1984" w:type="dxa"/>
            <w:vAlign w:val="center"/>
          </w:tcPr>
          <w:p w:rsidR="00110951" w:rsidRDefault="006B5EC1">
            <w:pPr>
              <w:jc w:val="right"/>
            </w:pPr>
            <w:r>
              <w:rPr>
                <w:color w:val="000000"/>
                <w:kern w:val="0"/>
                <w:sz w:val="24"/>
                <w:szCs w:val="24"/>
              </w:rPr>
              <w:t>1,110,022.00</w:t>
            </w:r>
          </w:p>
        </w:tc>
        <w:tc>
          <w:tcPr>
            <w:tcW w:w="1559" w:type="dxa"/>
            <w:vAlign w:val="center"/>
          </w:tcPr>
          <w:p w:rsidR="00110951" w:rsidRDefault="006B5EC1">
            <w:pPr>
              <w:jc w:val="right"/>
            </w:pPr>
            <w:r>
              <w:rPr>
                <w:color w:val="000000"/>
                <w:kern w:val="0"/>
                <w:sz w:val="24"/>
                <w:szCs w:val="24"/>
              </w:rPr>
              <w:t>4.84</w:t>
            </w:r>
          </w:p>
        </w:tc>
      </w:tr>
      <w:tr w:rsidR="00110951">
        <w:tc>
          <w:tcPr>
            <w:tcW w:w="851" w:type="dxa"/>
            <w:vAlign w:val="center"/>
          </w:tcPr>
          <w:p w:rsidR="00110951" w:rsidRDefault="006B5EC1">
            <w:pPr>
              <w:jc w:val="center"/>
            </w:pPr>
            <w:r>
              <w:rPr>
                <w:color w:val="000000"/>
                <w:kern w:val="0"/>
                <w:sz w:val="24"/>
                <w:szCs w:val="24"/>
              </w:rPr>
              <w:t>6</w:t>
            </w:r>
          </w:p>
        </w:tc>
        <w:tc>
          <w:tcPr>
            <w:tcW w:w="1276" w:type="dxa"/>
            <w:vAlign w:val="center"/>
          </w:tcPr>
          <w:p w:rsidR="00110951" w:rsidRDefault="006B5EC1">
            <w:pPr>
              <w:jc w:val="center"/>
            </w:pPr>
            <w:r>
              <w:rPr>
                <w:color w:val="000000"/>
                <w:kern w:val="0"/>
                <w:sz w:val="24"/>
                <w:szCs w:val="24"/>
              </w:rPr>
              <w:t>002465</w:t>
            </w:r>
          </w:p>
        </w:tc>
        <w:tc>
          <w:tcPr>
            <w:tcW w:w="1418" w:type="dxa"/>
            <w:vAlign w:val="center"/>
          </w:tcPr>
          <w:p w:rsidR="00110951" w:rsidRDefault="006B5EC1">
            <w:pPr>
              <w:jc w:val="center"/>
            </w:pPr>
            <w:r>
              <w:rPr>
                <w:color w:val="000000"/>
                <w:kern w:val="0"/>
                <w:sz w:val="24"/>
                <w:szCs w:val="24"/>
              </w:rPr>
              <w:t>海格通信</w:t>
            </w:r>
          </w:p>
        </w:tc>
        <w:tc>
          <w:tcPr>
            <w:tcW w:w="1701" w:type="dxa"/>
            <w:vAlign w:val="center"/>
          </w:tcPr>
          <w:p w:rsidR="00110951" w:rsidRDefault="006B5EC1">
            <w:pPr>
              <w:jc w:val="right"/>
            </w:pPr>
            <w:r>
              <w:rPr>
                <w:color w:val="000000"/>
                <w:kern w:val="0"/>
                <w:sz w:val="24"/>
                <w:szCs w:val="24"/>
              </w:rPr>
              <w:t>109,600</w:t>
            </w:r>
          </w:p>
        </w:tc>
        <w:tc>
          <w:tcPr>
            <w:tcW w:w="1984" w:type="dxa"/>
            <w:vAlign w:val="center"/>
          </w:tcPr>
          <w:p w:rsidR="00110951" w:rsidRDefault="006B5EC1">
            <w:pPr>
              <w:jc w:val="right"/>
            </w:pPr>
            <w:r>
              <w:rPr>
                <w:color w:val="000000"/>
                <w:kern w:val="0"/>
                <w:sz w:val="24"/>
                <w:szCs w:val="24"/>
              </w:rPr>
              <w:t>1,074,080.00</w:t>
            </w:r>
          </w:p>
        </w:tc>
        <w:tc>
          <w:tcPr>
            <w:tcW w:w="1559" w:type="dxa"/>
            <w:vAlign w:val="center"/>
          </w:tcPr>
          <w:p w:rsidR="00110951" w:rsidRDefault="006B5EC1">
            <w:pPr>
              <w:jc w:val="right"/>
            </w:pPr>
            <w:r>
              <w:rPr>
                <w:color w:val="000000"/>
                <w:kern w:val="0"/>
                <w:sz w:val="24"/>
                <w:szCs w:val="24"/>
              </w:rPr>
              <w:t>4.69</w:t>
            </w:r>
          </w:p>
        </w:tc>
      </w:tr>
      <w:tr w:rsidR="00110951">
        <w:tc>
          <w:tcPr>
            <w:tcW w:w="851" w:type="dxa"/>
            <w:vAlign w:val="center"/>
          </w:tcPr>
          <w:p w:rsidR="00110951" w:rsidRDefault="006B5EC1">
            <w:pPr>
              <w:jc w:val="center"/>
            </w:pPr>
            <w:r>
              <w:rPr>
                <w:color w:val="000000"/>
                <w:kern w:val="0"/>
                <w:sz w:val="24"/>
                <w:szCs w:val="24"/>
              </w:rPr>
              <w:t>7</w:t>
            </w:r>
          </w:p>
        </w:tc>
        <w:tc>
          <w:tcPr>
            <w:tcW w:w="1276" w:type="dxa"/>
            <w:vAlign w:val="center"/>
          </w:tcPr>
          <w:p w:rsidR="00110951" w:rsidRDefault="006B5EC1">
            <w:pPr>
              <w:jc w:val="center"/>
            </w:pPr>
            <w:r>
              <w:rPr>
                <w:color w:val="000000"/>
                <w:kern w:val="0"/>
                <w:sz w:val="24"/>
                <w:szCs w:val="24"/>
              </w:rPr>
              <w:t>600482</w:t>
            </w:r>
          </w:p>
        </w:tc>
        <w:tc>
          <w:tcPr>
            <w:tcW w:w="1418" w:type="dxa"/>
            <w:vAlign w:val="center"/>
          </w:tcPr>
          <w:p w:rsidR="00110951" w:rsidRDefault="006B5EC1">
            <w:pPr>
              <w:jc w:val="center"/>
            </w:pPr>
            <w:r>
              <w:rPr>
                <w:color w:val="000000"/>
                <w:kern w:val="0"/>
                <w:sz w:val="24"/>
                <w:szCs w:val="24"/>
              </w:rPr>
              <w:t>中国动力</w:t>
            </w:r>
          </w:p>
        </w:tc>
        <w:tc>
          <w:tcPr>
            <w:tcW w:w="1701" w:type="dxa"/>
            <w:vAlign w:val="center"/>
          </w:tcPr>
          <w:p w:rsidR="00110951" w:rsidRDefault="006B5EC1">
            <w:pPr>
              <w:jc w:val="right"/>
            </w:pPr>
            <w:r>
              <w:rPr>
                <w:color w:val="000000"/>
                <w:kern w:val="0"/>
                <w:sz w:val="24"/>
                <w:szCs w:val="24"/>
              </w:rPr>
              <w:t>46,600</w:t>
            </w:r>
          </w:p>
        </w:tc>
        <w:tc>
          <w:tcPr>
            <w:tcW w:w="1984" w:type="dxa"/>
            <w:vAlign w:val="center"/>
          </w:tcPr>
          <w:p w:rsidR="00110951" w:rsidRDefault="006B5EC1">
            <w:pPr>
              <w:jc w:val="right"/>
            </w:pPr>
            <w:r>
              <w:rPr>
                <w:color w:val="000000"/>
                <w:kern w:val="0"/>
                <w:sz w:val="24"/>
                <w:szCs w:val="24"/>
              </w:rPr>
              <w:t>1,065,276.00</w:t>
            </w:r>
          </w:p>
        </w:tc>
        <w:tc>
          <w:tcPr>
            <w:tcW w:w="1559" w:type="dxa"/>
            <w:vAlign w:val="center"/>
          </w:tcPr>
          <w:p w:rsidR="00110951" w:rsidRDefault="006B5EC1">
            <w:pPr>
              <w:jc w:val="right"/>
            </w:pPr>
            <w:r>
              <w:rPr>
                <w:color w:val="000000"/>
                <w:kern w:val="0"/>
                <w:sz w:val="24"/>
                <w:szCs w:val="24"/>
              </w:rPr>
              <w:t>4.65</w:t>
            </w:r>
          </w:p>
        </w:tc>
      </w:tr>
      <w:tr w:rsidR="00110951">
        <w:tc>
          <w:tcPr>
            <w:tcW w:w="851" w:type="dxa"/>
            <w:vAlign w:val="center"/>
          </w:tcPr>
          <w:p w:rsidR="00110951" w:rsidRDefault="006B5EC1">
            <w:pPr>
              <w:jc w:val="center"/>
            </w:pPr>
            <w:r>
              <w:rPr>
                <w:color w:val="000000"/>
                <w:kern w:val="0"/>
                <w:sz w:val="24"/>
                <w:szCs w:val="24"/>
              </w:rPr>
              <w:t>8</w:t>
            </w:r>
          </w:p>
        </w:tc>
        <w:tc>
          <w:tcPr>
            <w:tcW w:w="1276" w:type="dxa"/>
            <w:vAlign w:val="center"/>
          </w:tcPr>
          <w:p w:rsidR="00110951" w:rsidRDefault="006B5EC1">
            <w:pPr>
              <w:jc w:val="center"/>
            </w:pPr>
            <w:r>
              <w:rPr>
                <w:color w:val="000000"/>
                <w:kern w:val="0"/>
                <w:sz w:val="24"/>
                <w:szCs w:val="24"/>
              </w:rPr>
              <w:t>600038</w:t>
            </w:r>
          </w:p>
        </w:tc>
        <w:tc>
          <w:tcPr>
            <w:tcW w:w="1418" w:type="dxa"/>
            <w:vAlign w:val="center"/>
          </w:tcPr>
          <w:p w:rsidR="00110951" w:rsidRDefault="006B5EC1">
            <w:pPr>
              <w:jc w:val="center"/>
            </w:pPr>
            <w:r>
              <w:rPr>
                <w:color w:val="000000"/>
                <w:kern w:val="0"/>
                <w:sz w:val="24"/>
                <w:szCs w:val="24"/>
              </w:rPr>
              <w:t>中直股份</w:t>
            </w:r>
          </w:p>
        </w:tc>
        <w:tc>
          <w:tcPr>
            <w:tcW w:w="1701" w:type="dxa"/>
            <w:vAlign w:val="center"/>
          </w:tcPr>
          <w:p w:rsidR="00110951" w:rsidRDefault="006B5EC1">
            <w:pPr>
              <w:jc w:val="right"/>
            </w:pPr>
            <w:r>
              <w:rPr>
                <w:color w:val="000000"/>
                <w:kern w:val="0"/>
                <w:sz w:val="24"/>
                <w:szCs w:val="24"/>
              </w:rPr>
              <w:t>20,000</w:t>
            </w:r>
          </w:p>
        </w:tc>
        <w:tc>
          <w:tcPr>
            <w:tcW w:w="1984" w:type="dxa"/>
            <w:vAlign w:val="center"/>
          </w:tcPr>
          <w:p w:rsidR="00110951" w:rsidRDefault="006B5EC1">
            <w:pPr>
              <w:jc w:val="right"/>
            </w:pPr>
            <w:r>
              <w:rPr>
                <w:color w:val="000000"/>
                <w:kern w:val="0"/>
                <w:sz w:val="24"/>
                <w:szCs w:val="24"/>
              </w:rPr>
              <w:t>898,400.00</w:t>
            </w:r>
          </w:p>
        </w:tc>
        <w:tc>
          <w:tcPr>
            <w:tcW w:w="1559" w:type="dxa"/>
            <w:vAlign w:val="center"/>
          </w:tcPr>
          <w:p w:rsidR="00110951" w:rsidRDefault="006B5EC1">
            <w:pPr>
              <w:jc w:val="right"/>
            </w:pPr>
            <w:r>
              <w:rPr>
                <w:color w:val="000000"/>
                <w:kern w:val="0"/>
                <w:sz w:val="24"/>
                <w:szCs w:val="24"/>
              </w:rPr>
              <w:t>3.92</w:t>
            </w:r>
          </w:p>
        </w:tc>
      </w:tr>
      <w:tr w:rsidR="00110951">
        <w:tc>
          <w:tcPr>
            <w:tcW w:w="851" w:type="dxa"/>
            <w:vAlign w:val="center"/>
          </w:tcPr>
          <w:p w:rsidR="00110951" w:rsidRDefault="006B5EC1">
            <w:pPr>
              <w:jc w:val="center"/>
            </w:pPr>
            <w:r>
              <w:rPr>
                <w:color w:val="000000"/>
                <w:kern w:val="0"/>
                <w:sz w:val="24"/>
                <w:szCs w:val="24"/>
              </w:rPr>
              <w:t>9</w:t>
            </w:r>
          </w:p>
        </w:tc>
        <w:tc>
          <w:tcPr>
            <w:tcW w:w="1276" w:type="dxa"/>
            <w:vAlign w:val="center"/>
          </w:tcPr>
          <w:p w:rsidR="00110951" w:rsidRDefault="006B5EC1">
            <w:pPr>
              <w:jc w:val="center"/>
            </w:pPr>
            <w:r>
              <w:rPr>
                <w:color w:val="000000"/>
                <w:kern w:val="0"/>
                <w:sz w:val="24"/>
                <w:szCs w:val="24"/>
              </w:rPr>
              <w:t>600879</w:t>
            </w:r>
          </w:p>
        </w:tc>
        <w:tc>
          <w:tcPr>
            <w:tcW w:w="1418" w:type="dxa"/>
            <w:vAlign w:val="center"/>
          </w:tcPr>
          <w:p w:rsidR="00110951" w:rsidRDefault="006B5EC1">
            <w:pPr>
              <w:jc w:val="center"/>
            </w:pPr>
            <w:r>
              <w:rPr>
                <w:color w:val="000000"/>
                <w:kern w:val="0"/>
                <w:sz w:val="24"/>
                <w:szCs w:val="24"/>
              </w:rPr>
              <w:t>航天电子</w:t>
            </w:r>
          </w:p>
        </w:tc>
        <w:tc>
          <w:tcPr>
            <w:tcW w:w="1701" w:type="dxa"/>
            <w:vAlign w:val="center"/>
          </w:tcPr>
          <w:p w:rsidR="00110951" w:rsidRDefault="006B5EC1">
            <w:pPr>
              <w:jc w:val="right"/>
            </w:pPr>
            <w:r>
              <w:rPr>
                <w:color w:val="000000"/>
                <w:kern w:val="0"/>
                <w:sz w:val="24"/>
                <w:szCs w:val="24"/>
              </w:rPr>
              <w:t>147,600</w:t>
            </w:r>
          </w:p>
        </w:tc>
        <w:tc>
          <w:tcPr>
            <w:tcW w:w="1984" w:type="dxa"/>
            <w:vAlign w:val="center"/>
          </w:tcPr>
          <w:p w:rsidR="00110951" w:rsidRDefault="006B5EC1">
            <w:pPr>
              <w:jc w:val="right"/>
            </w:pPr>
            <w:r>
              <w:rPr>
                <w:color w:val="000000"/>
                <w:kern w:val="0"/>
                <w:sz w:val="24"/>
                <w:szCs w:val="24"/>
              </w:rPr>
              <w:t>890,028.00</w:t>
            </w:r>
          </w:p>
        </w:tc>
        <w:tc>
          <w:tcPr>
            <w:tcW w:w="1559" w:type="dxa"/>
            <w:vAlign w:val="center"/>
          </w:tcPr>
          <w:p w:rsidR="00110951" w:rsidRDefault="006B5EC1">
            <w:pPr>
              <w:jc w:val="right"/>
            </w:pPr>
            <w:r>
              <w:rPr>
                <w:color w:val="000000"/>
                <w:kern w:val="0"/>
                <w:sz w:val="24"/>
                <w:szCs w:val="24"/>
              </w:rPr>
              <w:t>3.88</w:t>
            </w:r>
          </w:p>
        </w:tc>
      </w:tr>
      <w:tr w:rsidR="00110951">
        <w:tc>
          <w:tcPr>
            <w:tcW w:w="851" w:type="dxa"/>
            <w:vAlign w:val="center"/>
          </w:tcPr>
          <w:p w:rsidR="00110951" w:rsidRDefault="006B5EC1">
            <w:pPr>
              <w:jc w:val="center"/>
            </w:pPr>
            <w:r>
              <w:rPr>
                <w:color w:val="000000"/>
                <w:kern w:val="0"/>
                <w:sz w:val="24"/>
                <w:szCs w:val="24"/>
              </w:rPr>
              <w:t>10</w:t>
            </w:r>
          </w:p>
        </w:tc>
        <w:tc>
          <w:tcPr>
            <w:tcW w:w="1276" w:type="dxa"/>
            <w:vAlign w:val="center"/>
          </w:tcPr>
          <w:p w:rsidR="00110951" w:rsidRDefault="006B5EC1">
            <w:pPr>
              <w:jc w:val="center"/>
            </w:pPr>
            <w:r>
              <w:rPr>
                <w:color w:val="000000"/>
                <w:kern w:val="0"/>
                <w:sz w:val="24"/>
                <w:szCs w:val="24"/>
              </w:rPr>
              <w:t>600760</w:t>
            </w:r>
          </w:p>
        </w:tc>
        <w:tc>
          <w:tcPr>
            <w:tcW w:w="1418" w:type="dxa"/>
            <w:vAlign w:val="center"/>
          </w:tcPr>
          <w:p w:rsidR="00110951" w:rsidRDefault="006B5EC1">
            <w:pPr>
              <w:jc w:val="center"/>
            </w:pPr>
            <w:r>
              <w:rPr>
                <w:color w:val="000000"/>
                <w:kern w:val="0"/>
                <w:sz w:val="24"/>
                <w:szCs w:val="24"/>
              </w:rPr>
              <w:t>中航沈飞</w:t>
            </w:r>
          </w:p>
        </w:tc>
        <w:tc>
          <w:tcPr>
            <w:tcW w:w="1701" w:type="dxa"/>
            <w:vAlign w:val="center"/>
          </w:tcPr>
          <w:p w:rsidR="00110951" w:rsidRDefault="006B5EC1">
            <w:pPr>
              <w:jc w:val="right"/>
            </w:pPr>
            <w:r>
              <w:rPr>
                <w:color w:val="000000"/>
                <w:kern w:val="0"/>
                <w:sz w:val="24"/>
                <w:szCs w:val="24"/>
              </w:rPr>
              <w:t>28,500</w:t>
            </w:r>
          </w:p>
        </w:tc>
        <w:tc>
          <w:tcPr>
            <w:tcW w:w="1984" w:type="dxa"/>
            <w:vAlign w:val="center"/>
          </w:tcPr>
          <w:p w:rsidR="00110951" w:rsidRDefault="006B5EC1">
            <w:pPr>
              <w:jc w:val="right"/>
            </w:pPr>
            <w:r>
              <w:rPr>
                <w:color w:val="000000"/>
                <w:kern w:val="0"/>
                <w:sz w:val="24"/>
                <w:szCs w:val="24"/>
              </w:rPr>
              <w:t>883,500.00</w:t>
            </w:r>
          </w:p>
        </w:tc>
        <w:tc>
          <w:tcPr>
            <w:tcW w:w="1559" w:type="dxa"/>
            <w:vAlign w:val="center"/>
          </w:tcPr>
          <w:p w:rsidR="00110951" w:rsidRDefault="006B5EC1">
            <w:pPr>
              <w:jc w:val="right"/>
            </w:pPr>
            <w:r>
              <w:rPr>
                <w:color w:val="000000"/>
                <w:kern w:val="0"/>
                <w:sz w:val="24"/>
                <w:szCs w:val="24"/>
              </w:rPr>
              <w:t>3.86</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2,757.57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105.93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2,863.50</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27,563,496.00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2,000,000.00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2,000,000.00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27,563,496.00</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110951" w:rsidRDefault="006B5EC1">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中国证监会准予易方达中证军工交易型开放式指数证券投资基金注册的文件；</w:t>
      </w:r>
    </w:p>
    <w:p w:rsidR="00110951" w:rsidRDefault="006B5EC1">
      <w:pPr>
        <w:spacing w:line="360" w:lineRule="auto"/>
        <w:ind w:firstLineChars="200" w:firstLine="480"/>
        <w:rPr>
          <w:color w:val="000000"/>
          <w:sz w:val="24"/>
          <w:szCs w:val="24"/>
        </w:rPr>
      </w:pPr>
      <w:r>
        <w:rPr>
          <w:color w:val="000000"/>
          <w:sz w:val="24"/>
          <w:szCs w:val="24"/>
        </w:rPr>
        <w:t>2.</w:t>
      </w:r>
      <w:r>
        <w:rPr>
          <w:color w:val="000000"/>
          <w:sz w:val="24"/>
          <w:szCs w:val="24"/>
        </w:rPr>
        <w:t>《易方达中证军工交易型开放式指数证券投资基金基金合同》；</w:t>
      </w:r>
    </w:p>
    <w:p w:rsidR="00110951" w:rsidRDefault="006B5EC1">
      <w:pPr>
        <w:spacing w:line="360" w:lineRule="auto"/>
        <w:ind w:firstLineChars="200" w:firstLine="480"/>
        <w:rPr>
          <w:color w:val="000000"/>
          <w:sz w:val="24"/>
          <w:szCs w:val="24"/>
        </w:rPr>
      </w:pPr>
      <w:r>
        <w:rPr>
          <w:color w:val="000000"/>
          <w:sz w:val="24"/>
          <w:szCs w:val="24"/>
        </w:rPr>
        <w:t>3.</w:t>
      </w:r>
      <w:r>
        <w:rPr>
          <w:color w:val="000000"/>
          <w:sz w:val="24"/>
          <w:szCs w:val="24"/>
        </w:rPr>
        <w:t>《易方达中证军工交易型开放式指数证券投资基金托管协议》；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4.</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B5EC1">
      <w:rPr>
        <w:rStyle w:val="a7"/>
        <w:noProof/>
      </w:rPr>
      <w:t>1</w:t>
    </w:r>
    <w:r>
      <w:rPr>
        <w:rStyle w:val="a7"/>
      </w:rPr>
      <w:fldChar w:fldCharType="end"/>
    </w:r>
    <w:r>
      <w:rPr>
        <w:rStyle w:val="a7"/>
        <w:rFonts w:hint="eastAsia"/>
      </w:rPr>
      <w:t>页共</w:t>
    </w:r>
    <w:r w:rsidR="006B5EC1">
      <w:fldChar w:fldCharType="begin"/>
    </w:r>
    <w:r w:rsidR="006B5EC1">
      <w:instrText xml:space="preserve"> NUMPAGES  \* Arabic  \* MERGEFORMAT </w:instrText>
    </w:r>
    <w:r w:rsidR="006B5EC1">
      <w:fldChar w:fldCharType="separate"/>
    </w:r>
    <w:r w:rsidR="006B5EC1" w:rsidRPr="006B5EC1">
      <w:rPr>
        <w:rStyle w:val="a7"/>
        <w:noProof/>
      </w:rPr>
      <w:t>3</w:t>
    </w:r>
    <w:r w:rsidR="006B5EC1">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B5EC1">
      <w:rPr>
        <w:rStyle w:val="a7"/>
        <w:noProof/>
      </w:rPr>
      <w:t>12</w:t>
    </w:r>
    <w:r>
      <w:rPr>
        <w:rStyle w:val="a7"/>
      </w:rPr>
      <w:fldChar w:fldCharType="end"/>
    </w:r>
    <w:r>
      <w:rPr>
        <w:rStyle w:val="a7"/>
        <w:rFonts w:hint="eastAsia"/>
      </w:rPr>
      <w:t>页共</w:t>
    </w:r>
    <w:fldSimple w:instr=" NUMPAGES  \* Arabic  \* MERGEFORMAT ">
      <w:r w:rsidR="006B5EC1" w:rsidRPr="006B5EC1">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易方达中证军工交易型开放式指数证券投资基金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0951"/>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B5EC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58A56-0A10-429E-BBD0-0F6E8549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2019-10-16T13:57:00Z</cp:lastPrinted>
  <dcterms:created xsi:type="dcterms:W3CDTF">2012-10-16T06:07:00Z</dcterms:created>
  <dcterms:modified xsi:type="dcterms:W3CDTF">2019-10-16T13:57:00Z</dcterms:modified>
</cp:coreProperties>
</file>