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易方达沪深300非银行金融交易型开放式指数证券投资基金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E70EBE" w:rsidRDefault="00B23E3C">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E70EBE" w:rsidRDefault="00B23E3C">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E70EBE" w:rsidRDefault="00B23E3C">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E70EBE" w:rsidRDefault="00B23E3C">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E70EBE" w:rsidRDefault="00B23E3C">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易方达沪深</w:t>
            </w:r>
            <w:r w:rsidRPr="00232B03">
              <w:rPr>
                <w:color w:val="000000"/>
                <w:kern w:val="0"/>
                <w:sz w:val="24"/>
                <w:szCs w:val="24"/>
              </w:rPr>
              <w:t>300</w:t>
            </w:r>
            <w:r w:rsidRPr="00232B03">
              <w:rPr>
                <w:color w:val="000000"/>
                <w:kern w:val="0"/>
                <w:sz w:val="24"/>
                <w:szCs w:val="24"/>
              </w:rPr>
              <w:t>非银</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非银</w:t>
            </w:r>
            <w:r w:rsidRPr="00232B03">
              <w:rPr>
                <w:kern w:val="0"/>
                <w:sz w:val="24"/>
                <w:szCs w:val="24"/>
              </w:rPr>
              <w:t>ETF</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512070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512070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2014</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26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937,630,596.00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紧密跟踪标的指数，追求跟踪偏离度和跟踪误差的最小化。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w:t>
            </w:r>
            <w:r w:rsidRPr="00232B03">
              <w:rPr>
                <w:color w:val="000000"/>
                <w:kern w:val="0"/>
                <w:sz w:val="24"/>
                <w:szCs w:val="24"/>
              </w:rPr>
              <w:lastRenderedPageBreak/>
              <w:t>指数成份股时，基金管理人将采取其他指数投资技术适当调整基金投资组合，以达到紧密跟踪标的指数的目的。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非银行金融指数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型基金，预期风险与预期收益水平高于混合型基金、债券型基金与货币市场基金。本基金为指数型基金，主要采用完全复制法跟踪标的指数的表现，具有与标的指数所代表的市场组合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52,627,891.92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-75,314,515.27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-0.0871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2,087,026,017.84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2.2259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E70EBE" w:rsidRDefault="00B23E3C">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E70EBE">
        <w:tc>
          <w:tcPr>
            <w:tcW w:w="1395" w:type="dxa"/>
            <w:vAlign w:val="center"/>
          </w:tcPr>
          <w:p w:rsidR="00E70EBE" w:rsidRDefault="00B23E3C">
            <w:pPr>
              <w:jc w:val="left"/>
            </w:pPr>
            <w:r>
              <w:rPr>
                <w:color w:val="000000"/>
                <w:kern w:val="0"/>
                <w:sz w:val="24"/>
                <w:szCs w:val="24"/>
              </w:rPr>
              <w:t>过去三个月</w:t>
            </w:r>
          </w:p>
        </w:tc>
        <w:tc>
          <w:tcPr>
            <w:tcW w:w="1092" w:type="dxa"/>
            <w:vAlign w:val="center"/>
          </w:tcPr>
          <w:p w:rsidR="00E70EBE" w:rsidRDefault="00B23E3C">
            <w:pPr>
              <w:jc w:val="center"/>
            </w:pPr>
            <w:r>
              <w:rPr>
                <w:color w:val="000000"/>
                <w:kern w:val="0"/>
                <w:sz w:val="24"/>
                <w:szCs w:val="24"/>
              </w:rPr>
              <w:t>-3.20%</w:t>
            </w:r>
          </w:p>
        </w:tc>
        <w:tc>
          <w:tcPr>
            <w:tcW w:w="1161" w:type="dxa"/>
            <w:vAlign w:val="center"/>
          </w:tcPr>
          <w:p w:rsidR="00E70EBE" w:rsidRDefault="00B23E3C">
            <w:pPr>
              <w:jc w:val="center"/>
            </w:pPr>
            <w:r>
              <w:rPr>
                <w:color w:val="000000"/>
                <w:kern w:val="0"/>
                <w:sz w:val="24"/>
                <w:szCs w:val="24"/>
              </w:rPr>
              <w:t>1.31%</w:t>
            </w:r>
          </w:p>
        </w:tc>
        <w:tc>
          <w:tcPr>
            <w:tcW w:w="1181" w:type="dxa"/>
            <w:vAlign w:val="center"/>
          </w:tcPr>
          <w:p w:rsidR="00E70EBE" w:rsidRDefault="00B23E3C">
            <w:pPr>
              <w:jc w:val="center"/>
            </w:pPr>
            <w:r>
              <w:rPr>
                <w:color w:val="000000"/>
                <w:kern w:val="0"/>
                <w:sz w:val="24"/>
                <w:szCs w:val="24"/>
              </w:rPr>
              <w:t>-4.20%</w:t>
            </w:r>
          </w:p>
        </w:tc>
        <w:tc>
          <w:tcPr>
            <w:tcW w:w="1188" w:type="dxa"/>
            <w:vAlign w:val="center"/>
          </w:tcPr>
          <w:p w:rsidR="00E70EBE" w:rsidRDefault="00B23E3C">
            <w:pPr>
              <w:jc w:val="center"/>
            </w:pPr>
            <w:r>
              <w:rPr>
                <w:color w:val="000000"/>
                <w:kern w:val="0"/>
                <w:sz w:val="24"/>
                <w:szCs w:val="24"/>
              </w:rPr>
              <w:t>1.31%</w:t>
            </w:r>
          </w:p>
        </w:tc>
        <w:tc>
          <w:tcPr>
            <w:tcW w:w="1199" w:type="dxa"/>
            <w:vAlign w:val="center"/>
          </w:tcPr>
          <w:p w:rsidR="00E70EBE" w:rsidRDefault="00B23E3C">
            <w:pPr>
              <w:jc w:val="center"/>
            </w:pPr>
            <w:r>
              <w:rPr>
                <w:color w:val="000000"/>
                <w:kern w:val="0"/>
                <w:sz w:val="24"/>
                <w:szCs w:val="24"/>
              </w:rPr>
              <w:t>1.00%</w:t>
            </w:r>
          </w:p>
        </w:tc>
        <w:tc>
          <w:tcPr>
            <w:tcW w:w="1204" w:type="dxa"/>
            <w:vAlign w:val="center"/>
          </w:tcPr>
          <w:p w:rsidR="00E70EBE" w:rsidRDefault="00B23E3C">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易方达沪深</w:t>
      </w:r>
      <w:r w:rsidRPr="0074694E">
        <w:rPr>
          <w:color w:val="000000"/>
          <w:sz w:val="24"/>
          <w:szCs w:val="24"/>
        </w:rPr>
        <w:t>300</w:t>
      </w:r>
      <w:r w:rsidRPr="0074694E">
        <w:rPr>
          <w:color w:val="000000"/>
          <w:sz w:val="24"/>
          <w:szCs w:val="24"/>
        </w:rPr>
        <w:t>非银行金融交易型开放式指数证券投资基金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2014</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26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B23E3C"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122.59%</w:t>
      </w:r>
      <w:r w:rsidRPr="006C56AA">
        <w:rPr>
          <w:color w:val="000000"/>
          <w:sz w:val="24"/>
          <w:szCs w:val="24"/>
        </w:rPr>
        <w:t>，同期业绩比较基准收益率为</w:t>
      </w:r>
      <w:r w:rsidRPr="006C56AA">
        <w:rPr>
          <w:color w:val="000000"/>
          <w:sz w:val="24"/>
          <w:szCs w:val="24"/>
        </w:rPr>
        <w:t>110.73%</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E70EBE">
        <w:tc>
          <w:tcPr>
            <w:tcW w:w="567" w:type="dxa"/>
            <w:vAlign w:val="center"/>
          </w:tcPr>
          <w:p w:rsidR="00E70EBE" w:rsidRDefault="00B23E3C">
            <w:pPr>
              <w:jc w:val="center"/>
            </w:pPr>
            <w:r>
              <w:rPr>
                <w:color w:val="000000"/>
                <w:sz w:val="24"/>
              </w:rPr>
              <w:t>余海燕</w:t>
            </w:r>
          </w:p>
        </w:tc>
        <w:tc>
          <w:tcPr>
            <w:tcW w:w="2835" w:type="dxa"/>
            <w:vAlign w:val="center"/>
          </w:tcPr>
          <w:p w:rsidR="00E70EBE" w:rsidRDefault="00B23E3C">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w:t>
            </w:r>
            <w:r>
              <w:rPr>
                <w:color w:val="000000"/>
                <w:sz w:val="24"/>
              </w:rPr>
              <w:t>接基金的基金经理、易方达沪深</w:t>
            </w:r>
            <w:r>
              <w:rPr>
                <w:color w:val="000000"/>
                <w:sz w:val="24"/>
              </w:rPr>
              <w:t>300</w:t>
            </w:r>
            <w:r>
              <w:rPr>
                <w:color w:val="000000"/>
                <w:sz w:val="24"/>
              </w:rPr>
              <w:t>交易型开放式指数发起式证券投资基金的基金经理、易方达沪深</w:t>
            </w:r>
            <w:r>
              <w:rPr>
                <w:color w:val="000000"/>
                <w:sz w:val="24"/>
              </w:rPr>
              <w:t>300</w:t>
            </w:r>
            <w:r>
              <w:rPr>
                <w:color w:val="000000"/>
                <w:sz w:val="24"/>
              </w:rPr>
              <w:t>非银行金融交易型开放式指数证券投资基金联接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E70EBE" w:rsidRDefault="00B23E3C">
            <w:pPr>
              <w:jc w:val="center"/>
            </w:pPr>
            <w:r>
              <w:rPr>
                <w:color w:val="000000"/>
                <w:sz w:val="24"/>
              </w:rPr>
              <w:t>2014-06-26</w:t>
            </w:r>
          </w:p>
        </w:tc>
        <w:tc>
          <w:tcPr>
            <w:tcW w:w="850" w:type="dxa"/>
            <w:vAlign w:val="center"/>
          </w:tcPr>
          <w:p w:rsidR="00E70EBE" w:rsidRDefault="00B23E3C">
            <w:pPr>
              <w:jc w:val="center"/>
            </w:pPr>
            <w:r>
              <w:rPr>
                <w:color w:val="000000"/>
                <w:sz w:val="24"/>
              </w:rPr>
              <w:t>-</w:t>
            </w:r>
          </w:p>
        </w:tc>
        <w:tc>
          <w:tcPr>
            <w:tcW w:w="851" w:type="dxa"/>
            <w:vAlign w:val="center"/>
          </w:tcPr>
          <w:p w:rsidR="00E70EBE" w:rsidRDefault="00B23E3C">
            <w:pPr>
              <w:jc w:val="center"/>
            </w:pPr>
            <w:r>
              <w:rPr>
                <w:color w:val="000000"/>
                <w:sz w:val="24"/>
              </w:rPr>
              <w:t>14</w:t>
            </w:r>
            <w:r>
              <w:rPr>
                <w:color w:val="000000"/>
                <w:sz w:val="24"/>
              </w:rPr>
              <w:t>年</w:t>
            </w:r>
          </w:p>
        </w:tc>
        <w:tc>
          <w:tcPr>
            <w:tcW w:w="2977" w:type="dxa"/>
            <w:vAlign w:val="center"/>
          </w:tcPr>
          <w:p w:rsidR="00E70EBE" w:rsidRDefault="00B23E3C">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bl>
    <w:p w:rsidR="00E70EBE" w:rsidRDefault="00B23E3C">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E70EBE" w:rsidRDefault="00B23E3C">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E70EBE" w:rsidRDefault="00B23E3C">
      <w:pPr>
        <w:spacing w:line="360" w:lineRule="auto"/>
        <w:ind w:firstLineChars="200" w:firstLine="480"/>
        <w:rPr>
          <w:color w:val="000000"/>
          <w:sz w:val="24"/>
          <w:szCs w:val="24"/>
        </w:rPr>
      </w:pPr>
      <w:r>
        <w:rPr>
          <w:color w:val="000000"/>
          <w:sz w:val="24"/>
          <w:szCs w:val="24"/>
        </w:rPr>
        <w:t>2019</w:t>
      </w:r>
      <w:r>
        <w:rPr>
          <w:color w:val="000000"/>
          <w:sz w:val="24"/>
          <w:szCs w:val="24"/>
        </w:rPr>
        <w:t>年三季度国内宏观经济下行压力犹存，工业生产持续减速，</w:t>
      </w:r>
      <w:r>
        <w:rPr>
          <w:color w:val="000000"/>
          <w:sz w:val="24"/>
          <w:szCs w:val="24"/>
        </w:rPr>
        <w:t>8</w:t>
      </w:r>
      <w:r>
        <w:rPr>
          <w:color w:val="000000"/>
          <w:sz w:val="24"/>
          <w:szCs w:val="24"/>
        </w:rPr>
        <w:t>月份工业增速</w:t>
      </w:r>
      <w:r>
        <w:rPr>
          <w:color w:val="000000"/>
          <w:sz w:val="24"/>
          <w:szCs w:val="24"/>
        </w:rPr>
        <w:t>4.4%</w:t>
      </w:r>
      <w:r>
        <w:rPr>
          <w:color w:val="000000"/>
          <w:sz w:val="24"/>
          <w:szCs w:val="24"/>
        </w:rPr>
        <w:t>，较</w:t>
      </w:r>
      <w:r>
        <w:rPr>
          <w:color w:val="000000"/>
          <w:sz w:val="24"/>
          <w:szCs w:val="24"/>
        </w:rPr>
        <w:t>7</w:t>
      </w:r>
      <w:r>
        <w:rPr>
          <w:color w:val="000000"/>
          <w:sz w:val="24"/>
          <w:szCs w:val="24"/>
        </w:rPr>
        <w:t>月份继续下滑，并创下</w:t>
      </w:r>
      <w:r>
        <w:rPr>
          <w:color w:val="000000"/>
          <w:sz w:val="24"/>
          <w:szCs w:val="24"/>
        </w:rPr>
        <w:t>09</w:t>
      </w:r>
      <w:r>
        <w:rPr>
          <w:color w:val="000000"/>
          <w:sz w:val="24"/>
          <w:szCs w:val="24"/>
        </w:rPr>
        <w:t>年</w:t>
      </w:r>
      <w:r>
        <w:rPr>
          <w:color w:val="000000"/>
          <w:sz w:val="24"/>
          <w:szCs w:val="24"/>
        </w:rPr>
        <w:t>3</w:t>
      </w:r>
      <w:r>
        <w:rPr>
          <w:color w:val="000000"/>
          <w:sz w:val="24"/>
          <w:szCs w:val="24"/>
        </w:rPr>
        <w:t>月以来新低。</w:t>
      </w:r>
      <w:r>
        <w:rPr>
          <w:color w:val="000000"/>
          <w:sz w:val="24"/>
          <w:szCs w:val="24"/>
        </w:rPr>
        <w:t>1-8</w:t>
      </w:r>
      <w:r>
        <w:rPr>
          <w:color w:val="000000"/>
          <w:sz w:val="24"/>
          <w:szCs w:val="24"/>
        </w:rPr>
        <w:t>月全国固定资产投资同比增速回落至</w:t>
      </w:r>
      <w:r>
        <w:rPr>
          <w:color w:val="000000"/>
          <w:sz w:val="24"/>
          <w:szCs w:val="24"/>
        </w:rPr>
        <w:t>5.5%</w:t>
      </w:r>
      <w:r>
        <w:rPr>
          <w:color w:val="000000"/>
          <w:sz w:val="24"/>
          <w:szCs w:val="24"/>
        </w:rPr>
        <w:t>，其中</w:t>
      </w:r>
      <w:r>
        <w:rPr>
          <w:color w:val="000000"/>
          <w:sz w:val="24"/>
          <w:szCs w:val="24"/>
        </w:rPr>
        <w:t>8</w:t>
      </w:r>
      <w:r>
        <w:rPr>
          <w:color w:val="000000"/>
          <w:sz w:val="24"/>
          <w:szCs w:val="24"/>
        </w:rPr>
        <w:t>月份同比增速下滑至</w:t>
      </w:r>
      <w:r>
        <w:rPr>
          <w:color w:val="000000"/>
          <w:sz w:val="24"/>
          <w:szCs w:val="24"/>
        </w:rPr>
        <w:t>4.2%</w:t>
      </w:r>
      <w:r>
        <w:rPr>
          <w:color w:val="000000"/>
          <w:sz w:val="24"/>
          <w:szCs w:val="24"/>
        </w:rPr>
        <w:t>。随着部分行业景气度进入内生性底部，同时逆周期政策力度明显加大，</w:t>
      </w:r>
      <w:r>
        <w:rPr>
          <w:color w:val="000000"/>
          <w:sz w:val="24"/>
          <w:szCs w:val="24"/>
        </w:rPr>
        <w:t>9</w:t>
      </w:r>
      <w:r>
        <w:rPr>
          <w:color w:val="000000"/>
          <w:sz w:val="24"/>
          <w:szCs w:val="24"/>
        </w:rPr>
        <w:t>月份经济景气度有所改善，宏观数据显示</w:t>
      </w:r>
      <w:r>
        <w:rPr>
          <w:color w:val="000000"/>
          <w:sz w:val="24"/>
          <w:szCs w:val="24"/>
        </w:rPr>
        <w:t>9</w:t>
      </w:r>
      <w:r>
        <w:rPr>
          <w:color w:val="000000"/>
          <w:sz w:val="24"/>
          <w:szCs w:val="24"/>
        </w:rPr>
        <w:t>月全国制造业</w:t>
      </w:r>
      <w:r>
        <w:rPr>
          <w:color w:val="000000"/>
          <w:sz w:val="24"/>
          <w:szCs w:val="24"/>
        </w:rPr>
        <w:t>PMI</w:t>
      </w:r>
      <w:r>
        <w:rPr>
          <w:color w:val="000000"/>
          <w:sz w:val="24"/>
          <w:szCs w:val="24"/>
        </w:rPr>
        <w:t>为</w:t>
      </w:r>
      <w:r>
        <w:rPr>
          <w:color w:val="000000"/>
          <w:sz w:val="24"/>
          <w:szCs w:val="24"/>
        </w:rPr>
        <w:t>49.8%</w:t>
      </w:r>
      <w:r>
        <w:rPr>
          <w:color w:val="000000"/>
          <w:sz w:val="24"/>
          <w:szCs w:val="24"/>
        </w:rPr>
        <w:t>，较</w:t>
      </w:r>
      <w:r>
        <w:rPr>
          <w:color w:val="000000"/>
          <w:sz w:val="24"/>
          <w:szCs w:val="24"/>
        </w:rPr>
        <w:t>8</w:t>
      </w:r>
      <w:r>
        <w:rPr>
          <w:color w:val="000000"/>
          <w:sz w:val="24"/>
          <w:szCs w:val="24"/>
        </w:rPr>
        <w:t>月小幅回升，并创下</w:t>
      </w:r>
      <w:r>
        <w:rPr>
          <w:color w:val="000000"/>
          <w:sz w:val="24"/>
          <w:szCs w:val="24"/>
        </w:rPr>
        <w:t>5</w:t>
      </w:r>
      <w:r>
        <w:rPr>
          <w:color w:val="000000"/>
          <w:sz w:val="24"/>
          <w:szCs w:val="24"/>
        </w:rPr>
        <w:t>月以来新高，指向制造业景气明显改善。随着经济下行压力的持续加大，三季度宏观经济政策转向积极，政府加大了</w:t>
      </w:r>
      <w:r>
        <w:rPr>
          <w:color w:val="000000"/>
          <w:sz w:val="24"/>
          <w:szCs w:val="24"/>
        </w:rPr>
        <w:t>“</w:t>
      </w:r>
      <w:r>
        <w:rPr>
          <w:color w:val="000000"/>
          <w:sz w:val="24"/>
          <w:szCs w:val="24"/>
        </w:rPr>
        <w:t>逆周期调节</w:t>
      </w:r>
      <w:r>
        <w:rPr>
          <w:color w:val="000000"/>
          <w:sz w:val="24"/>
          <w:szCs w:val="24"/>
        </w:rPr>
        <w:t>”</w:t>
      </w:r>
      <w:r>
        <w:rPr>
          <w:color w:val="000000"/>
          <w:sz w:val="24"/>
          <w:szCs w:val="24"/>
        </w:rPr>
        <w:t>力度。利率市场化改革超预期加</w:t>
      </w:r>
      <w:r>
        <w:rPr>
          <w:color w:val="000000"/>
          <w:sz w:val="24"/>
          <w:szCs w:val="24"/>
        </w:rPr>
        <w:t>快，央行改革完善</w:t>
      </w:r>
      <w:r>
        <w:rPr>
          <w:color w:val="000000"/>
          <w:sz w:val="24"/>
          <w:szCs w:val="24"/>
        </w:rPr>
        <w:t>LPR</w:t>
      </w:r>
      <w:r>
        <w:rPr>
          <w:color w:val="000000"/>
          <w:sz w:val="24"/>
          <w:szCs w:val="24"/>
        </w:rPr>
        <w:t>形成机制，引导了利率下行的政策信号；央行</w:t>
      </w:r>
      <w:r>
        <w:rPr>
          <w:color w:val="000000"/>
          <w:sz w:val="24"/>
          <w:szCs w:val="24"/>
        </w:rPr>
        <w:t>“</w:t>
      </w:r>
      <w:r>
        <w:rPr>
          <w:color w:val="000000"/>
          <w:sz w:val="24"/>
          <w:szCs w:val="24"/>
        </w:rPr>
        <w:t>普降</w:t>
      </w:r>
      <w:r>
        <w:rPr>
          <w:color w:val="000000"/>
          <w:sz w:val="24"/>
          <w:szCs w:val="24"/>
        </w:rPr>
        <w:t>+</w:t>
      </w:r>
      <w:r>
        <w:rPr>
          <w:color w:val="000000"/>
          <w:sz w:val="24"/>
          <w:szCs w:val="24"/>
        </w:rPr>
        <w:t>定向</w:t>
      </w:r>
      <w:r>
        <w:rPr>
          <w:color w:val="000000"/>
          <w:sz w:val="24"/>
          <w:szCs w:val="24"/>
        </w:rPr>
        <w:t>”</w:t>
      </w:r>
      <w:r>
        <w:rPr>
          <w:color w:val="000000"/>
          <w:sz w:val="24"/>
          <w:szCs w:val="24"/>
        </w:rPr>
        <w:t>降准释放了长期流动性约</w:t>
      </w:r>
      <w:r>
        <w:rPr>
          <w:color w:val="000000"/>
          <w:sz w:val="24"/>
          <w:szCs w:val="24"/>
        </w:rPr>
        <w:t>9000</w:t>
      </w:r>
      <w:r>
        <w:rPr>
          <w:color w:val="000000"/>
          <w:sz w:val="24"/>
          <w:szCs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szCs w:val="24"/>
        </w:rPr>
        <w:t>7.14</w:t>
      </w:r>
      <w:r>
        <w:rPr>
          <w:color w:val="000000"/>
          <w:sz w:val="24"/>
          <w:szCs w:val="24"/>
        </w:rPr>
        <w:t>。资本市场方面，</w:t>
      </w:r>
      <w:r>
        <w:rPr>
          <w:color w:val="000000"/>
          <w:sz w:val="24"/>
          <w:szCs w:val="24"/>
        </w:rPr>
        <w:t>A</w:t>
      </w:r>
      <w:r>
        <w:rPr>
          <w:color w:val="000000"/>
          <w:sz w:val="24"/>
          <w:szCs w:val="24"/>
        </w:rPr>
        <w:t>股市场波动加大，最终三季度上证综指以下跌</w:t>
      </w:r>
      <w:r>
        <w:rPr>
          <w:color w:val="000000"/>
          <w:sz w:val="24"/>
          <w:szCs w:val="24"/>
        </w:rPr>
        <w:t>2.47%</w:t>
      </w:r>
      <w:r>
        <w:rPr>
          <w:color w:val="000000"/>
          <w:sz w:val="24"/>
          <w:szCs w:val="24"/>
        </w:rPr>
        <w:t>收官。风格主题方面，结构分化显著，在科技类板块领涨的背景下，创业板表现优于</w:t>
      </w:r>
      <w:r>
        <w:rPr>
          <w:color w:val="000000"/>
          <w:sz w:val="24"/>
          <w:szCs w:val="24"/>
        </w:rPr>
        <w:t>主板，上证</w:t>
      </w:r>
      <w:r>
        <w:rPr>
          <w:color w:val="000000"/>
          <w:sz w:val="24"/>
          <w:szCs w:val="24"/>
        </w:rPr>
        <w:t>50</w:t>
      </w:r>
      <w:r>
        <w:rPr>
          <w:color w:val="000000"/>
          <w:sz w:val="24"/>
          <w:szCs w:val="24"/>
        </w:rPr>
        <w:t>指数、沪深</w:t>
      </w:r>
      <w:r>
        <w:rPr>
          <w:color w:val="000000"/>
          <w:sz w:val="24"/>
          <w:szCs w:val="24"/>
        </w:rPr>
        <w:t>300</w:t>
      </w:r>
      <w:r>
        <w:rPr>
          <w:color w:val="000000"/>
          <w:sz w:val="24"/>
          <w:szCs w:val="24"/>
        </w:rPr>
        <w:t>指数分别下跌</w:t>
      </w:r>
      <w:r>
        <w:rPr>
          <w:color w:val="000000"/>
          <w:sz w:val="24"/>
          <w:szCs w:val="24"/>
        </w:rPr>
        <w:t>1.12%</w:t>
      </w:r>
      <w:r>
        <w:rPr>
          <w:color w:val="000000"/>
          <w:sz w:val="24"/>
          <w:szCs w:val="24"/>
        </w:rPr>
        <w:t>、</w:t>
      </w:r>
      <w:r>
        <w:rPr>
          <w:color w:val="000000"/>
          <w:sz w:val="24"/>
          <w:szCs w:val="24"/>
        </w:rPr>
        <w:t>0.29%</w:t>
      </w:r>
      <w:r>
        <w:rPr>
          <w:color w:val="000000"/>
          <w:sz w:val="24"/>
          <w:szCs w:val="24"/>
        </w:rPr>
        <w:t>，而创业板指上涨</w:t>
      </w:r>
      <w:r>
        <w:rPr>
          <w:color w:val="000000"/>
          <w:sz w:val="24"/>
          <w:szCs w:val="24"/>
        </w:rPr>
        <w:t>7.68%</w:t>
      </w:r>
      <w:r>
        <w:rPr>
          <w:color w:val="000000"/>
          <w:sz w:val="24"/>
          <w:szCs w:val="24"/>
        </w:rPr>
        <w:t>；行业方面，电子、医药生物、计算机、食品饮料、国防军工等板块涨幅居前，钢铁、采掘、建筑装饰、有色金属、房地产等板块跌幅较大。报告期内沪深</w:t>
      </w:r>
      <w:r>
        <w:rPr>
          <w:color w:val="000000"/>
          <w:sz w:val="24"/>
          <w:szCs w:val="24"/>
        </w:rPr>
        <w:t>300</w:t>
      </w:r>
      <w:r>
        <w:rPr>
          <w:color w:val="000000"/>
          <w:sz w:val="24"/>
          <w:szCs w:val="24"/>
        </w:rPr>
        <w:t>非银行金融指数下跌</w:t>
      </w:r>
      <w:r>
        <w:rPr>
          <w:color w:val="000000"/>
          <w:sz w:val="24"/>
          <w:szCs w:val="24"/>
        </w:rPr>
        <w:t>4.20%</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报告期内本基金为正常运作期，在操作中，我们严格遵守基金合同，坚持既定的指数化投资策略，在指数权重调整和基金申赎变动时，应用指数复制和数量化技术降低冲击成本和减少跟踪误差。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2.2259</w:t>
      </w:r>
      <w:r w:rsidRPr="006C56AA">
        <w:rPr>
          <w:color w:val="000000"/>
          <w:sz w:val="24"/>
          <w:szCs w:val="24"/>
        </w:rPr>
        <w:t>元，本报告期份额净值增长率为</w:t>
      </w:r>
      <w:r w:rsidRPr="006C56AA">
        <w:rPr>
          <w:color w:val="000000"/>
          <w:sz w:val="24"/>
          <w:szCs w:val="24"/>
        </w:rPr>
        <w:t>-3.20%</w:t>
      </w:r>
      <w:r w:rsidRPr="006C56AA">
        <w:rPr>
          <w:color w:val="000000"/>
          <w:sz w:val="24"/>
          <w:szCs w:val="24"/>
        </w:rPr>
        <w:t>，同期业绩比较基准收益率为</w:t>
      </w:r>
      <w:r w:rsidRPr="006C56AA">
        <w:rPr>
          <w:color w:val="000000"/>
          <w:sz w:val="24"/>
          <w:szCs w:val="24"/>
        </w:rPr>
        <w:t>-4.20%</w:t>
      </w:r>
      <w:r w:rsidRPr="006C56AA">
        <w:rPr>
          <w:color w:val="000000"/>
          <w:sz w:val="24"/>
          <w:szCs w:val="24"/>
        </w:rPr>
        <w:t>，日跟踪偏离度的均值为</w:t>
      </w:r>
      <w:r w:rsidRPr="006C56AA">
        <w:rPr>
          <w:color w:val="000000"/>
          <w:sz w:val="24"/>
          <w:szCs w:val="24"/>
        </w:rPr>
        <w:t>0.02%</w:t>
      </w:r>
      <w:r w:rsidRPr="006C56AA">
        <w:rPr>
          <w:color w:val="000000"/>
          <w:sz w:val="24"/>
          <w:szCs w:val="24"/>
        </w:rPr>
        <w:t>，年化跟踪误差为</w:t>
      </w:r>
      <w:r w:rsidRPr="006C56AA">
        <w:rPr>
          <w:color w:val="000000"/>
          <w:sz w:val="24"/>
          <w:szCs w:val="24"/>
        </w:rPr>
        <w:t>0.842%</w:t>
      </w:r>
      <w:r w:rsidRPr="006C56AA">
        <w:rPr>
          <w:color w:val="000000"/>
          <w:sz w:val="24"/>
          <w:szCs w:val="24"/>
        </w:rPr>
        <w:t>，各项指标均在合同规定的目标控制范围之内。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2,079,086,253.23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99.54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2,079,086,253.23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99.54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7,594,262.21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1,973,970.08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2,088,654,485.52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注：上表中的股票投资项含可退替代款估值增值，而</w:t>
      </w:r>
      <w:r w:rsidRPr="006C56AA">
        <w:rPr>
          <w:color w:val="000000"/>
          <w:sz w:val="24"/>
          <w:szCs w:val="24"/>
        </w:rPr>
        <w:t>5.2</w:t>
      </w:r>
      <w:r w:rsidRPr="006C56AA">
        <w:rPr>
          <w:color w:val="000000"/>
          <w:sz w:val="24"/>
          <w:szCs w:val="24"/>
        </w:rPr>
        <w:t>的合计项不含可退替代款估值增值。</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53,036.38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2,076,815,777.81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99.51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2,079,086,253.23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99.62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E70EBE">
        <w:tc>
          <w:tcPr>
            <w:tcW w:w="851" w:type="dxa"/>
            <w:vAlign w:val="center"/>
          </w:tcPr>
          <w:p w:rsidR="00E70EBE" w:rsidRDefault="00B23E3C">
            <w:pPr>
              <w:jc w:val="center"/>
            </w:pPr>
            <w:r>
              <w:rPr>
                <w:color w:val="000000"/>
                <w:kern w:val="0"/>
                <w:sz w:val="24"/>
                <w:szCs w:val="24"/>
              </w:rPr>
              <w:t>1</w:t>
            </w:r>
          </w:p>
        </w:tc>
        <w:tc>
          <w:tcPr>
            <w:tcW w:w="1276" w:type="dxa"/>
            <w:vAlign w:val="center"/>
          </w:tcPr>
          <w:p w:rsidR="00E70EBE" w:rsidRDefault="00B23E3C">
            <w:pPr>
              <w:jc w:val="center"/>
            </w:pPr>
            <w:r>
              <w:rPr>
                <w:color w:val="000000"/>
                <w:kern w:val="0"/>
                <w:sz w:val="24"/>
                <w:szCs w:val="24"/>
              </w:rPr>
              <w:t>601318</w:t>
            </w:r>
          </w:p>
        </w:tc>
        <w:tc>
          <w:tcPr>
            <w:tcW w:w="1418" w:type="dxa"/>
            <w:vAlign w:val="center"/>
          </w:tcPr>
          <w:p w:rsidR="00E70EBE" w:rsidRDefault="00B23E3C">
            <w:pPr>
              <w:jc w:val="center"/>
            </w:pPr>
            <w:r>
              <w:rPr>
                <w:color w:val="000000"/>
                <w:kern w:val="0"/>
                <w:sz w:val="24"/>
                <w:szCs w:val="24"/>
              </w:rPr>
              <w:t>中国平安</w:t>
            </w:r>
          </w:p>
        </w:tc>
        <w:tc>
          <w:tcPr>
            <w:tcW w:w="1701" w:type="dxa"/>
            <w:vAlign w:val="center"/>
          </w:tcPr>
          <w:p w:rsidR="00E70EBE" w:rsidRDefault="00B23E3C">
            <w:pPr>
              <w:jc w:val="right"/>
            </w:pPr>
            <w:r>
              <w:rPr>
                <w:color w:val="000000"/>
                <w:kern w:val="0"/>
                <w:sz w:val="24"/>
                <w:szCs w:val="24"/>
              </w:rPr>
              <w:t>10,522,983</w:t>
            </w:r>
          </w:p>
        </w:tc>
        <w:tc>
          <w:tcPr>
            <w:tcW w:w="1984" w:type="dxa"/>
            <w:vAlign w:val="center"/>
          </w:tcPr>
          <w:p w:rsidR="00E70EBE" w:rsidRDefault="00B23E3C">
            <w:pPr>
              <w:jc w:val="right"/>
            </w:pPr>
            <w:r>
              <w:rPr>
                <w:color w:val="000000"/>
                <w:kern w:val="0"/>
                <w:sz w:val="24"/>
                <w:szCs w:val="24"/>
              </w:rPr>
              <w:t>915,920,440.32</w:t>
            </w:r>
          </w:p>
        </w:tc>
        <w:tc>
          <w:tcPr>
            <w:tcW w:w="1559" w:type="dxa"/>
            <w:vAlign w:val="center"/>
          </w:tcPr>
          <w:p w:rsidR="00E70EBE" w:rsidRDefault="00B23E3C">
            <w:pPr>
              <w:jc w:val="right"/>
            </w:pPr>
            <w:r>
              <w:rPr>
                <w:color w:val="000000"/>
                <w:kern w:val="0"/>
                <w:sz w:val="24"/>
                <w:szCs w:val="24"/>
              </w:rPr>
              <w:t>43.89</w:t>
            </w:r>
          </w:p>
        </w:tc>
      </w:tr>
      <w:tr w:rsidR="00E70EBE">
        <w:tc>
          <w:tcPr>
            <w:tcW w:w="851" w:type="dxa"/>
            <w:vAlign w:val="center"/>
          </w:tcPr>
          <w:p w:rsidR="00E70EBE" w:rsidRDefault="00B23E3C">
            <w:pPr>
              <w:jc w:val="center"/>
            </w:pPr>
            <w:r>
              <w:rPr>
                <w:color w:val="000000"/>
                <w:kern w:val="0"/>
                <w:sz w:val="24"/>
                <w:szCs w:val="24"/>
              </w:rPr>
              <w:t>2</w:t>
            </w:r>
          </w:p>
        </w:tc>
        <w:tc>
          <w:tcPr>
            <w:tcW w:w="1276" w:type="dxa"/>
            <w:vAlign w:val="center"/>
          </w:tcPr>
          <w:p w:rsidR="00E70EBE" w:rsidRDefault="00B23E3C">
            <w:pPr>
              <w:jc w:val="center"/>
            </w:pPr>
            <w:r>
              <w:rPr>
                <w:color w:val="000000"/>
                <w:kern w:val="0"/>
                <w:sz w:val="24"/>
                <w:szCs w:val="24"/>
              </w:rPr>
              <w:t>600030</w:t>
            </w:r>
          </w:p>
        </w:tc>
        <w:tc>
          <w:tcPr>
            <w:tcW w:w="1418" w:type="dxa"/>
            <w:vAlign w:val="center"/>
          </w:tcPr>
          <w:p w:rsidR="00E70EBE" w:rsidRDefault="00B23E3C">
            <w:pPr>
              <w:jc w:val="center"/>
            </w:pPr>
            <w:r>
              <w:rPr>
                <w:color w:val="000000"/>
                <w:kern w:val="0"/>
                <w:sz w:val="24"/>
                <w:szCs w:val="24"/>
              </w:rPr>
              <w:t>中信证券</w:t>
            </w:r>
          </w:p>
        </w:tc>
        <w:tc>
          <w:tcPr>
            <w:tcW w:w="1701" w:type="dxa"/>
            <w:vAlign w:val="center"/>
          </w:tcPr>
          <w:p w:rsidR="00E70EBE" w:rsidRDefault="00B23E3C">
            <w:pPr>
              <w:jc w:val="right"/>
            </w:pPr>
            <w:r>
              <w:rPr>
                <w:color w:val="000000"/>
                <w:kern w:val="0"/>
                <w:sz w:val="24"/>
                <w:szCs w:val="24"/>
              </w:rPr>
              <w:t>8,415,927</w:t>
            </w:r>
          </w:p>
        </w:tc>
        <w:tc>
          <w:tcPr>
            <w:tcW w:w="1984" w:type="dxa"/>
            <w:vAlign w:val="center"/>
          </w:tcPr>
          <w:p w:rsidR="00E70EBE" w:rsidRDefault="00B23E3C">
            <w:pPr>
              <w:jc w:val="right"/>
            </w:pPr>
            <w:r>
              <w:rPr>
                <w:color w:val="000000"/>
                <w:kern w:val="0"/>
                <w:sz w:val="24"/>
                <w:szCs w:val="24"/>
              </w:rPr>
              <w:t>189,190,038.96</w:t>
            </w:r>
          </w:p>
        </w:tc>
        <w:tc>
          <w:tcPr>
            <w:tcW w:w="1559" w:type="dxa"/>
            <w:vAlign w:val="center"/>
          </w:tcPr>
          <w:p w:rsidR="00E70EBE" w:rsidRDefault="00B23E3C">
            <w:pPr>
              <w:jc w:val="right"/>
            </w:pPr>
            <w:r>
              <w:rPr>
                <w:color w:val="000000"/>
                <w:kern w:val="0"/>
                <w:sz w:val="24"/>
                <w:szCs w:val="24"/>
              </w:rPr>
              <w:t>9.07</w:t>
            </w:r>
          </w:p>
        </w:tc>
      </w:tr>
      <w:tr w:rsidR="00E70EBE">
        <w:tc>
          <w:tcPr>
            <w:tcW w:w="851" w:type="dxa"/>
            <w:vAlign w:val="center"/>
          </w:tcPr>
          <w:p w:rsidR="00E70EBE" w:rsidRDefault="00B23E3C">
            <w:pPr>
              <w:jc w:val="center"/>
            </w:pPr>
            <w:r>
              <w:rPr>
                <w:color w:val="000000"/>
                <w:kern w:val="0"/>
                <w:sz w:val="24"/>
                <w:szCs w:val="24"/>
              </w:rPr>
              <w:t>3</w:t>
            </w:r>
          </w:p>
        </w:tc>
        <w:tc>
          <w:tcPr>
            <w:tcW w:w="1276" w:type="dxa"/>
            <w:vAlign w:val="center"/>
          </w:tcPr>
          <w:p w:rsidR="00E70EBE" w:rsidRDefault="00B23E3C">
            <w:pPr>
              <w:jc w:val="center"/>
            </w:pPr>
            <w:r>
              <w:rPr>
                <w:color w:val="000000"/>
                <w:kern w:val="0"/>
                <w:sz w:val="24"/>
                <w:szCs w:val="24"/>
              </w:rPr>
              <w:t>600837</w:t>
            </w:r>
          </w:p>
        </w:tc>
        <w:tc>
          <w:tcPr>
            <w:tcW w:w="1418" w:type="dxa"/>
            <w:vAlign w:val="center"/>
          </w:tcPr>
          <w:p w:rsidR="00E70EBE" w:rsidRDefault="00B23E3C">
            <w:pPr>
              <w:jc w:val="center"/>
            </w:pPr>
            <w:r>
              <w:rPr>
                <w:color w:val="000000"/>
                <w:kern w:val="0"/>
                <w:sz w:val="24"/>
                <w:szCs w:val="24"/>
              </w:rPr>
              <w:t>海通证券</w:t>
            </w:r>
          </w:p>
        </w:tc>
        <w:tc>
          <w:tcPr>
            <w:tcW w:w="1701" w:type="dxa"/>
            <w:vAlign w:val="center"/>
          </w:tcPr>
          <w:p w:rsidR="00E70EBE" w:rsidRDefault="00B23E3C">
            <w:pPr>
              <w:jc w:val="right"/>
            </w:pPr>
            <w:r>
              <w:rPr>
                <w:color w:val="000000"/>
                <w:kern w:val="0"/>
                <w:sz w:val="24"/>
                <w:szCs w:val="24"/>
              </w:rPr>
              <w:t>7,864,552</w:t>
            </w:r>
          </w:p>
        </w:tc>
        <w:tc>
          <w:tcPr>
            <w:tcW w:w="1984" w:type="dxa"/>
            <w:vAlign w:val="center"/>
          </w:tcPr>
          <w:p w:rsidR="00E70EBE" w:rsidRDefault="00B23E3C">
            <w:pPr>
              <w:jc w:val="right"/>
            </w:pPr>
            <w:r>
              <w:rPr>
                <w:color w:val="000000"/>
                <w:kern w:val="0"/>
                <w:sz w:val="24"/>
                <w:szCs w:val="24"/>
              </w:rPr>
              <w:t>112,463,093.60</w:t>
            </w:r>
          </w:p>
        </w:tc>
        <w:tc>
          <w:tcPr>
            <w:tcW w:w="1559" w:type="dxa"/>
            <w:vAlign w:val="center"/>
          </w:tcPr>
          <w:p w:rsidR="00E70EBE" w:rsidRDefault="00B23E3C">
            <w:pPr>
              <w:jc w:val="right"/>
            </w:pPr>
            <w:r>
              <w:rPr>
                <w:color w:val="000000"/>
                <w:kern w:val="0"/>
                <w:sz w:val="24"/>
                <w:szCs w:val="24"/>
              </w:rPr>
              <w:t>5.39</w:t>
            </w:r>
          </w:p>
        </w:tc>
      </w:tr>
      <w:tr w:rsidR="00E70EBE">
        <w:tc>
          <w:tcPr>
            <w:tcW w:w="851" w:type="dxa"/>
            <w:vAlign w:val="center"/>
          </w:tcPr>
          <w:p w:rsidR="00E70EBE" w:rsidRDefault="00B23E3C">
            <w:pPr>
              <w:jc w:val="center"/>
            </w:pPr>
            <w:r>
              <w:rPr>
                <w:color w:val="000000"/>
                <w:kern w:val="0"/>
                <w:sz w:val="24"/>
                <w:szCs w:val="24"/>
              </w:rPr>
              <w:t>4</w:t>
            </w:r>
          </w:p>
        </w:tc>
        <w:tc>
          <w:tcPr>
            <w:tcW w:w="1276" w:type="dxa"/>
            <w:vAlign w:val="center"/>
          </w:tcPr>
          <w:p w:rsidR="00E70EBE" w:rsidRDefault="00B23E3C">
            <w:pPr>
              <w:jc w:val="center"/>
            </w:pPr>
            <w:r>
              <w:rPr>
                <w:color w:val="000000"/>
                <w:kern w:val="0"/>
                <w:sz w:val="24"/>
                <w:szCs w:val="24"/>
              </w:rPr>
              <w:t>601601</w:t>
            </w:r>
          </w:p>
        </w:tc>
        <w:tc>
          <w:tcPr>
            <w:tcW w:w="1418" w:type="dxa"/>
            <w:vAlign w:val="center"/>
          </w:tcPr>
          <w:p w:rsidR="00E70EBE" w:rsidRDefault="00B23E3C">
            <w:pPr>
              <w:jc w:val="center"/>
            </w:pPr>
            <w:r>
              <w:rPr>
                <w:color w:val="000000"/>
                <w:kern w:val="0"/>
                <w:sz w:val="24"/>
                <w:szCs w:val="24"/>
              </w:rPr>
              <w:t>中国太保</w:t>
            </w:r>
          </w:p>
        </w:tc>
        <w:tc>
          <w:tcPr>
            <w:tcW w:w="1701" w:type="dxa"/>
            <w:vAlign w:val="center"/>
          </w:tcPr>
          <w:p w:rsidR="00E70EBE" w:rsidRDefault="00B23E3C">
            <w:pPr>
              <w:jc w:val="right"/>
            </w:pPr>
            <w:r>
              <w:rPr>
                <w:color w:val="000000"/>
                <w:kern w:val="0"/>
                <w:sz w:val="24"/>
                <w:szCs w:val="24"/>
              </w:rPr>
              <w:t>3,058,990</w:t>
            </w:r>
          </w:p>
        </w:tc>
        <w:tc>
          <w:tcPr>
            <w:tcW w:w="1984" w:type="dxa"/>
            <w:vAlign w:val="center"/>
          </w:tcPr>
          <w:p w:rsidR="00E70EBE" w:rsidRDefault="00B23E3C">
            <w:pPr>
              <w:jc w:val="right"/>
            </w:pPr>
            <w:r>
              <w:rPr>
                <w:color w:val="000000"/>
                <w:kern w:val="0"/>
                <w:sz w:val="24"/>
                <w:szCs w:val="24"/>
              </w:rPr>
              <w:t>106,666,981.30</w:t>
            </w:r>
          </w:p>
        </w:tc>
        <w:tc>
          <w:tcPr>
            <w:tcW w:w="1559" w:type="dxa"/>
            <w:vAlign w:val="center"/>
          </w:tcPr>
          <w:p w:rsidR="00E70EBE" w:rsidRDefault="00B23E3C">
            <w:pPr>
              <w:jc w:val="right"/>
            </w:pPr>
            <w:r>
              <w:rPr>
                <w:color w:val="000000"/>
                <w:kern w:val="0"/>
                <w:sz w:val="24"/>
                <w:szCs w:val="24"/>
              </w:rPr>
              <w:t>5.11</w:t>
            </w:r>
          </w:p>
        </w:tc>
      </w:tr>
      <w:tr w:rsidR="00E70EBE">
        <w:tc>
          <w:tcPr>
            <w:tcW w:w="851" w:type="dxa"/>
            <w:vAlign w:val="center"/>
          </w:tcPr>
          <w:p w:rsidR="00E70EBE" w:rsidRDefault="00B23E3C">
            <w:pPr>
              <w:jc w:val="center"/>
            </w:pPr>
            <w:r>
              <w:rPr>
                <w:color w:val="000000"/>
                <w:kern w:val="0"/>
                <w:sz w:val="24"/>
                <w:szCs w:val="24"/>
              </w:rPr>
              <w:t>5</w:t>
            </w:r>
          </w:p>
        </w:tc>
        <w:tc>
          <w:tcPr>
            <w:tcW w:w="1276" w:type="dxa"/>
            <w:vAlign w:val="center"/>
          </w:tcPr>
          <w:p w:rsidR="00E70EBE" w:rsidRDefault="00B23E3C">
            <w:pPr>
              <w:jc w:val="center"/>
            </w:pPr>
            <w:r>
              <w:rPr>
                <w:color w:val="000000"/>
                <w:kern w:val="0"/>
                <w:sz w:val="24"/>
                <w:szCs w:val="24"/>
              </w:rPr>
              <w:t>601211</w:t>
            </w:r>
          </w:p>
        </w:tc>
        <w:tc>
          <w:tcPr>
            <w:tcW w:w="1418" w:type="dxa"/>
            <w:vAlign w:val="center"/>
          </w:tcPr>
          <w:p w:rsidR="00E70EBE" w:rsidRDefault="00B23E3C">
            <w:pPr>
              <w:jc w:val="center"/>
            </w:pPr>
            <w:r>
              <w:rPr>
                <w:color w:val="000000"/>
                <w:kern w:val="0"/>
                <w:sz w:val="24"/>
                <w:szCs w:val="24"/>
              </w:rPr>
              <w:t>国泰君安</w:t>
            </w:r>
          </w:p>
        </w:tc>
        <w:tc>
          <w:tcPr>
            <w:tcW w:w="1701" w:type="dxa"/>
            <w:vAlign w:val="center"/>
          </w:tcPr>
          <w:p w:rsidR="00E70EBE" w:rsidRDefault="00B23E3C">
            <w:pPr>
              <w:jc w:val="right"/>
            </w:pPr>
            <w:r>
              <w:rPr>
                <w:color w:val="000000"/>
                <w:kern w:val="0"/>
                <w:sz w:val="24"/>
                <w:szCs w:val="24"/>
              </w:rPr>
              <w:t>4,384,910</w:t>
            </w:r>
          </w:p>
        </w:tc>
        <w:tc>
          <w:tcPr>
            <w:tcW w:w="1984" w:type="dxa"/>
            <w:vAlign w:val="center"/>
          </w:tcPr>
          <w:p w:rsidR="00E70EBE" w:rsidRDefault="00B23E3C">
            <w:pPr>
              <w:jc w:val="right"/>
            </w:pPr>
            <w:r>
              <w:rPr>
                <w:color w:val="000000"/>
                <w:kern w:val="0"/>
                <w:sz w:val="24"/>
                <w:szCs w:val="24"/>
              </w:rPr>
              <w:t>77,042,868.70</w:t>
            </w:r>
          </w:p>
        </w:tc>
        <w:tc>
          <w:tcPr>
            <w:tcW w:w="1559" w:type="dxa"/>
            <w:vAlign w:val="center"/>
          </w:tcPr>
          <w:p w:rsidR="00E70EBE" w:rsidRDefault="00B23E3C">
            <w:pPr>
              <w:jc w:val="right"/>
            </w:pPr>
            <w:r>
              <w:rPr>
                <w:color w:val="000000"/>
                <w:kern w:val="0"/>
                <w:sz w:val="24"/>
                <w:szCs w:val="24"/>
              </w:rPr>
              <w:t>3.69</w:t>
            </w:r>
          </w:p>
        </w:tc>
      </w:tr>
      <w:tr w:rsidR="00E70EBE">
        <w:tc>
          <w:tcPr>
            <w:tcW w:w="851" w:type="dxa"/>
            <w:vAlign w:val="center"/>
          </w:tcPr>
          <w:p w:rsidR="00E70EBE" w:rsidRDefault="00B23E3C">
            <w:pPr>
              <w:jc w:val="center"/>
            </w:pPr>
            <w:r>
              <w:rPr>
                <w:color w:val="000000"/>
                <w:kern w:val="0"/>
                <w:sz w:val="24"/>
                <w:szCs w:val="24"/>
              </w:rPr>
              <w:t>6</w:t>
            </w:r>
          </w:p>
        </w:tc>
        <w:tc>
          <w:tcPr>
            <w:tcW w:w="1276" w:type="dxa"/>
            <w:vAlign w:val="center"/>
          </w:tcPr>
          <w:p w:rsidR="00E70EBE" w:rsidRDefault="00B23E3C">
            <w:pPr>
              <w:jc w:val="center"/>
            </w:pPr>
            <w:r>
              <w:rPr>
                <w:color w:val="000000"/>
                <w:kern w:val="0"/>
                <w:sz w:val="24"/>
                <w:szCs w:val="24"/>
              </w:rPr>
              <w:t>601688</w:t>
            </w:r>
          </w:p>
        </w:tc>
        <w:tc>
          <w:tcPr>
            <w:tcW w:w="1418" w:type="dxa"/>
            <w:vAlign w:val="center"/>
          </w:tcPr>
          <w:p w:rsidR="00E70EBE" w:rsidRDefault="00B23E3C">
            <w:pPr>
              <w:jc w:val="center"/>
            </w:pPr>
            <w:r>
              <w:rPr>
                <w:color w:val="000000"/>
                <w:kern w:val="0"/>
                <w:sz w:val="24"/>
                <w:szCs w:val="24"/>
              </w:rPr>
              <w:t>华泰证券</w:t>
            </w:r>
          </w:p>
        </w:tc>
        <w:tc>
          <w:tcPr>
            <w:tcW w:w="1701" w:type="dxa"/>
            <w:vAlign w:val="center"/>
          </w:tcPr>
          <w:p w:rsidR="00E70EBE" w:rsidRDefault="00B23E3C">
            <w:pPr>
              <w:jc w:val="right"/>
            </w:pPr>
            <w:r>
              <w:rPr>
                <w:color w:val="000000"/>
                <w:kern w:val="0"/>
                <w:sz w:val="24"/>
                <w:szCs w:val="24"/>
              </w:rPr>
              <w:t>3,541,103</w:t>
            </w:r>
          </w:p>
        </w:tc>
        <w:tc>
          <w:tcPr>
            <w:tcW w:w="1984" w:type="dxa"/>
            <w:vAlign w:val="center"/>
          </w:tcPr>
          <w:p w:rsidR="00E70EBE" w:rsidRDefault="00B23E3C">
            <w:pPr>
              <w:jc w:val="right"/>
            </w:pPr>
            <w:r>
              <w:rPr>
                <w:color w:val="000000"/>
                <w:kern w:val="0"/>
                <w:sz w:val="24"/>
                <w:szCs w:val="24"/>
              </w:rPr>
              <w:t>67,599,656.27</w:t>
            </w:r>
          </w:p>
        </w:tc>
        <w:tc>
          <w:tcPr>
            <w:tcW w:w="1559" w:type="dxa"/>
            <w:vAlign w:val="center"/>
          </w:tcPr>
          <w:p w:rsidR="00E70EBE" w:rsidRDefault="00B23E3C">
            <w:pPr>
              <w:jc w:val="right"/>
            </w:pPr>
            <w:r>
              <w:rPr>
                <w:color w:val="000000"/>
                <w:kern w:val="0"/>
                <w:sz w:val="24"/>
                <w:szCs w:val="24"/>
              </w:rPr>
              <w:t>3.24</w:t>
            </w:r>
          </w:p>
        </w:tc>
      </w:tr>
      <w:tr w:rsidR="00E70EBE">
        <w:tc>
          <w:tcPr>
            <w:tcW w:w="851" w:type="dxa"/>
            <w:vAlign w:val="center"/>
          </w:tcPr>
          <w:p w:rsidR="00E70EBE" w:rsidRDefault="00B23E3C">
            <w:pPr>
              <w:jc w:val="center"/>
            </w:pPr>
            <w:r>
              <w:rPr>
                <w:color w:val="000000"/>
                <w:kern w:val="0"/>
                <w:sz w:val="24"/>
                <w:szCs w:val="24"/>
              </w:rPr>
              <w:t>7</w:t>
            </w:r>
          </w:p>
        </w:tc>
        <w:tc>
          <w:tcPr>
            <w:tcW w:w="1276" w:type="dxa"/>
            <w:vAlign w:val="center"/>
          </w:tcPr>
          <w:p w:rsidR="00E70EBE" w:rsidRDefault="00B23E3C">
            <w:pPr>
              <w:jc w:val="center"/>
            </w:pPr>
            <w:r>
              <w:rPr>
                <w:color w:val="000000"/>
                <w:kern w:val="0"/>
                <w:sz w:val="24"/>
                <w:szCs w:val="24"/>
              </w:rPr>
              <w:t>600999</w:t>
            </w:r>
          </w:p>
        </w:tc>
        <w:tc>
          <w:tcPr>
            <w:tcW w:w="1418" w:type="dxa"/>
            <w:vAlign w:val="center"/>
          </w:tcPr>
          <w:p w:rsidR="00E70EBE" w:rsidRDefault="00B23E3C">
            <w:pPr>
              <w:jc w:val="center"/>
            </w:pPr>
            <w:r>
              <w:rPr>
                <w:color w:val="000000"/>
                <w:kern w:val="0"/>
                <w:sz w:val="24"/>
                <w:szCs w:val="24"/>
              </w:rPr>
              <w:t>招商证券</w:t>
            </w:r>
          </w:p>
        </w:tc>
        <w:tc>
          <w:tcPr>
            <w:tcW w:w="1701" w:type="dxa"/>
            <w:vAlign w:val="center"/>
          </w:tcPr>
          <w:p w:rsidR="00E70EBE" w:rsidRDefault="00B23E3C">
            <w:pPr>
              <w:jc w:val="right"/>
            </w:pPr>
            <w:r>
              <w:rPr>
                <w:color w:val="000000"/>
                <w:kern w:val="0"/>
                <w:sz w:val="24"/>
                <w:szCs w:val="24"/>
              </w:rPr>
              <w:t>2,785,612</w:t>
            </w:r>
          </w:p>
        </w:tc>
        <w:tc>
          <w:tcPr>
            <w:tcW w:w="1984" w:type="dxa"/>
            <w:vAlign w:val="center"/>
          </w:tcPr>
          <w:p w:rsidR="00E70EBE" w:rsidRDefault="00B23E3C">
            <w:pPr>
              <w:jc w:val="right"/>
            </w:pPr>
            <w:r>
              <w:rPr>
                <w:color w:val="000000"/>
                <w:kern w:val="0"/>
                <w:sz w:val="24"/>
                <w:szCs w:val="24"/>
              </w:rPr>
              <w:t>45,823,317.40</w:t>
            </w:r>
          </w:p>
        </w:tc>
        <w:tc>
          <w:tcPr>
            <w:tcW w:w="1559" w:type="dxa"/>
            <w:vAlign w:val="center"/>
          </w:tcPr>
          <w:p w:rsidR="00E70EBE" w:rsidRDefault="00B23E3C">
            <w:pPr>
              <w:jc w:val="right"/>
            </w:pPr>
            <w:r>
              <w:rPr>
                <w:color w:val="000000"/>
                <w:kern w:val="0"/>
                <w:sz w:val="24"/>
                <w:szCs w:val="24"/>
              </w:rPr>
              <w:t>2.20</w:t>
            </w:r>
          </w:p>
        </w:tc>
      </w:tr>
      <w:tr w:rsidR="00E70EBE">
        <w:tc>
          <w:tcPr>
            <w:tcW w:w="851" w:type="dxa"/>
            <w:vAlign w:val="center"/>
          </w:tcPr>
          <w:p w:rsidR="00E70EBE" w:rsidRDefault="00B23E3C">
            <w:pPr>
              <w:jc w:val="center"/>
            </w:pPr>
            <w:r>
              <w:rPr>
                <w:color w:val="000000"/>
                <w:kern w:val="0"/>
                <w:sz w:val="24"/>
                <w:szCs w:val="24"/>
              </w:rPr>
              <w:t>8</w:t>
            </w:r>
          </w:p>
        </w:tc>
        <w:tc>
          <w:tcPr>
            <w:tcW w:w="1276" w:type="dxa"/>
            <w:vAlign w:val="center"/>
          </w:tcPr>
          <w:p w:rsidR="00E70EBE" w:rsidRDefault="00B23E3C">
            <w:pPr>
              <w:jc w:val="center"/>
            </w:pPr>
            <w:r>
              <w:rPr>
                <w:color w:val="000000"/>
                <w:kern w:val="0"/>
                <w:sz w:val="24"/>
                <w:szCs w:val="24"/>
              </w:rPr>
              <w:t>601628</w:t>
            </w:r>
          </w:p>
        </w:tc>
        <w:tc>
          <w:tcPr>
            <w:tcW w:w="1418" w:type="dxa"/>
            <w:vAlign w:val="center"/>
          </w:tcPr>
          <w:p w:rsidR="00E70EBE" w:rsidRDefault="00B23E3C">
            <w:pPr>
              <w:jc w:val="center"/>
            </w:pPr>
            <w:r>
              <w:rPr>
                <w:color w:val="000000"/>
                <w:kern w:val="0"/>
                <w:sz w:val="24"/>
                <w:szCs w:val="24"/>
              </w:rPr>
              <w:t>中国人寿</w:t>
            </w:r>
          </w:p>
        </w:tc>
        <w:tc>
          <w:tcPr>
            <w:tcW w:w="1701" w:type="dxa"/>
            <w:vAlign w:val="center"/>
          </w:tcPr>
          <w:p w:rsidR="00E70EBE" w:rsidRDefault="00B23E3C">
            <w:pPr>
              <w:jc w:val="right"/>
            </w:pPr>
            <w:r>
              <w:rPr>
                <w:color w:val="000000"/>
                <w:kern w:val="0"/>
                <w:sz w:val="24"/>
                <w:szCs w:val="24"/>
              </w:rPr>
              <w:t>1,615,866</w:t>
            </w:r>
          </w:p>
        </w:tc>
        <w:tc>
          <w:tcPr>
            <w:tcW w:w="1984" w:type="dxa"/>
            <w:vAlign w:val="center"/>
          </w:tcPr>
          <w:p w:rsidR="00E70EBE" w:rsidRDefault="00B23E3C">
            <w:pPr>
              <w:jc w:val="right"/>
            </w:pPr>
            <w:r>
              <w:rPr>
                <w:color w:val="000000"/>
                <w:kern w:val="0"/>
                <w:sz w:val="24"/>
                <w:szCs w:val="24"/>
              </w:rPr>
              <w:t>44,403,997.68</w:t>
            </w:r>
          </w:p>
        </w:tc>
        <w:tc>
          <w:tcPr>
            <w:tcW w:w="1559" w:type="dxa"/>
            <w:vAlign w:val="center"/>
          </w:tcPr>
          <w:p w:rsidR="00E70EBE" w:rsidRDefault="00B23E3C">
            <w:pPr>
              <w:jc w:val="right"/>
            </w:pPr>
            <w:r>
              <w:rPr>
                <w:color w:val="000000"/>
                <w:kern w:val="0"/>
                <w:sz w:val="24"/>
                <w:szCs w:val="24"/>
              </w:rPr>
              <w:t>2.13</w:t>
            </w:r>
          </w:p>
        </w:tc>
      </w:tr>
      <w:tr w:rsidR="00E70EBE">
        <w:tc>
          <w:tcPr>
            <w:tcW w:w="851" w:type="dxa"/>
            <w:vAlign w:val="center"/>
          </w:tcPr>
          <w:p w:rsidR="00E70EBE" w:rsidRDefault="00B23E3C">
            <w:pPr>
              <w:jc w:val="center"/>
            </w:pPr>
            <w:r>
              <w:rPr>
                <w:color w:val="000000"/>
                <w:kern w:val="0"/>
                <w:sz w:val="24"/>
                <w:szCs w:val="24"/>
              </w:rPr>
              <w:t>9</w:t>
            </w:r>
          </w:p>
        </w:tc>
        <w:tc>
          <w:tcPr>
            <w:tcW w:w="1276" w:type="dxa"/>
            <w:vAlign w:val="center"/>
          </w:tcPr>
          <w:p w:rsidR="00E70EBE" w:rsidRDefault="00B23E3C">
            <w:pPr>
              <w:jc w:val="center"/>
            </w:pPr>
            <w:r>
              <w:rPr>
                <w:color w:val="000000"/>
                <w:kern w:val="0"/>
                <w:sz w:val="24"/>
                <w:szCs w:val="24"/>
              </w:rPr>
              <w:t>601336</w:t>
            </w:r>
          </w:p>
        </w:tc>
        <w:tc>
          <w:tcPr>
            <w:tcW w:w="1418" w:type="dxa"/>
            <w:vAlign w:val="center"/>
          </w:tcPr>
          <w:p w:rsidR="00E70EBE" w:rsidRDefault="00B23E3C">
            <w:pPr>
              <w:jc w:val="center"/>
            </w:pPr>
            <w:r>
              <w:rPr>
                <w:color w:val="000000"/>
                <w:kern w:val="0"/>
                <w:sz w:val="24"/>
                <w:szCs w:val="24"/>
              </w:rPr>
              <w:t>新华保险</w:t>
            </w:r>
          </w:p>
        </w:tc>
        <w:tc>
          <w:tcPr>
            <w:tcW w:w="1701" w:type="dxa"/>
            <w:vAlign w:val="center"/>
          </w:tcPr>
          <w:p w:rsidR="00E70EBE" w:rsidRDefault="00B23E3C">
            <w:pPr>
              <w:jc w:val="right"/>
            </w:pPr>
            <w:r>
              <w:rPr>
                <w:color w:val="000000"/>
                <w:kern w:val="0"/>
                <w:sz w:val="24"/>
                <w:szCs w:val="24"/>
              </w:rPr>
              <w:t>814,556</w:t>
            </w:r>
          </w:p>
        </w:tc>
        <w:tc>
          <w:tcPr>
            <w:tcW w:w="1984" w:type="dxa"/>
            <w:vAlign w:val="center"/>
          </w:tcPr>
          <w:p w:rsidR="00E70EBE" w:rsidRDefault="00B23E3C">
            <w:pPr>
              <w:jc w:val="right"/>
            </w:pPr>
            <w:r>
              <w:rPr>
                <w:color w:val="000000"/>
                <w:kern w:val="0"/>
                <w:sz w:val="24"/>
                <w:szCs w:val="24"/>
              </w:rPr>
              <w:t>39,644,440.52</w:t>
            </w:r>
          </w:p>
        </w:tc>
        <w:tc>
          <w:tcPr>
            <w:tcW w:w="1559" w:type="dxa"/>
            <w:vAlign w:val="center"/>
          </w:tcPr>
          <w:p w:rsidR="00E70EBE" w:rsidRDefault="00B23E3C">
            <w:pPr>
              <w:jc w:val="right"/>
            </w:pPr>
            <w:r>
              <w:rPr>
                <w:color w:val="000000"/>
                <w:kern w:val="0"/>
                <w:sz w:val="24"/>
                <w:szCs w:val="24"/>
              </w:rPr>
              <w:t>1.90</w:t>
            </w:r>
          </w:p>
        </w:tc>
      </w:tr>
      <w:tr w:rsidR="00E70EBE">
        <w:tc>
          <w:tcPr>
            <w:tcW w:w="851" w:type="dxa"/>
            <w:vAlign w:val="center"/>
          </w:tcPr>
          <w:p w:rsidR="00E70EBE" w:rsidRDefault="00B23E3C">
            <w:pPr>
              <w:jc w:val="center"/>
            </w:pPr>
            <w:r>
              <w:rPr>
                <w:color w:val="000000"/>
                <w:kern w:val="0"/>
                <w:sz w:val="24"/>
                <w:szCs w:val="24"/>
              </w:rPr>
              <w:t>10</w:t>
            </w:r>
          </w:p>
        </w:tc>
        <w:tc>
          <w:tcPr>
            <w:tcW w:w="1276" w:type="dxa"/>
            <w:vAlign w:val="center"/>
          </w:tcPr>
          <w:p w:rsidR="00E70EBE" w:rsidRDefault="00B23E3C">
            <w:pPr>
              <w:jc w:val="center"/>
            </w:pPr>
            <w:r>
              <w:rPr>
                <w:color w:val="000000"/>
                <w:kern w:val="0"/>
                <w:sz w:val="24"/>
                <w:szCs w:val="24"/>
              </w:rPr>
              <w:t>000166</w:t>
            </w:r>
          </w:p>
        </w:tc>
        <w:tc>
          <w:tcPr>
            <w:tcW w:w="1418" w:type="dxa"/>
            <w:vAlign w:val="center"/>
          </w:tcPr>
          <w:p w:rsidR="00E70EBE" w:rsidRDefault="00B23E3C">
            <w:pPr>
              <w:jc w:val="center"/>
            </w:pPr>
            <w:r>
              <w:rPr>
                <w:color w:val="000000"/>
                <w:kern w:val="0"/>
                <w:sz w:val="24"/>
                <w:szCs w:val="24"/>
              </w:rPr>
              <w:t>申万宏源</w:t>
            </w:r>
          </w:p>
        </w:tc>
        <w:tc>
          <w:tcPr>
            <w:tcW w:w="1701" w:type="dxa"/>
            <w:vAlign w:val="center"/>
          </w:tcPr>
          <w:p w:rsidR="00E70EBE" w:rsidRDefault="00B23E3C">
            <w:pPr>
              <w:jc w:val="right"/>
            </w:pPr>
            <w:r>
              <w:rPr>
                <w:color w:val="000000"/>
                <w:kern w:val="0"/>
                <w:sz w:val="24"/>
                <w:szCs w:val="24"/>
              </w:rPr>
              <w:t>8,187,228</w:t>
            </w:r>
          </w:p>
        </w:tc>
        <w:tc>
          <w:tcPr>
            <w:tcW w:w="1984" w:type="dxa"/>
            <w:vAlign w:val="center"/>
          </w:tcPr>
          <w:p w:rsidR="00E70EBE" w:rsidRDefault="00B23E3C">
            <w:pPr>
              <w:jc w:val="right"/>
            </w:pPr>
            <w:r>
              <w:rPr>
                <w:color w:val="000000"/>
                <w:kern w:val="0"/>
                <w:sz w:val="24"/>
                <w:szCs w:val="24"/>
              </w:rPr>
              <w:t>39,134,949.84</w:t>
            </w:r>
          </w:p>
        </w:tc>
        <w:tc>
          <w:tcPr>
            <w:tcW w:w="1559" w:type="dxa"/>
            <w:vAlign w:val="center"/>
          </w:tcPr>
          <w:p w:rsidR="00E70EBE" w:rsidRDefault="00B23E3C">
            <w:pPr>
              <w:jc w:val="right"/>
            </w:pPr>
            <w:r>
              <w:rPr>
                <w:color w:val="000000"/>
                <w:kern w:val="0"/>
                <w:sz w:val="24"/>
                <w:szCs w:val="24"/>
              </w:rPr>
              <w:t>1.88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97,003.45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1,875,502.05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1,464.58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1,973,970.08</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819,118,551.00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247,065,677.00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128,553,632.00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937,630,596.00</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注：期初基金总份额包含场外份额</w:t>
      </w:r>
      <w:r w:rsidRPr="006C56AA">
        <w:rPr>
          <w:color w:val="000000"/>
          <w:sz w:val="24"/>
          <w:szCs w:val="24"/>
        </w:rPr>
        <w:t>132,958,654</w:t>
      </w:r>
      <w:r w:rsidRPr="006C56AA">
        <w:rPr>
          <w:color w:val="000000"/>
          <w:sz w:val="24"/>
          <w:szCs w:val="24"/>
        </w:rPr>
        <w:t>份；期末基金总份额包含场外份额</w:t>
      </w:r>
      <w:r w:rsidRPr="006C56AA">
        <w:rPr>
          <w:color w:val="000000"/>
          <w:sz w:val="24"/>
          <w:szCs w:val="24"/>
        </w:rPr>
        <w:t>120,470,699</w:t>
      </w:r>
      <w:r w:rsidRPr="006C56AA">
        <w:rPr>
          <w:color w:val="000000"/>
          <w:sz w:val="24"/>
          <w:szCs w:val="24"/>
        </w:rPr>
        <w:t>份；总申购份额包含场外总申购份额</w:t>
      </w:r>
      <w:r w:rsidRPr="006C56AA">
        <w:rPr>
          <w:color w:val="000000"/>
          <w:sz w:val="24"/>
          <w:szCs w:val="24"/>
        </w:rPr>
        <w:t>5,065,677</w:t>
      </w:r>
      <w:r w:rsidRPr="006C56AA">
        <w:rPr>
          <w:color w:val="000000"/>
          <w:sz w:val="24"/>
          <w:szCs w:val="24"/>
        </w:rPr>
        <w:t>份；总赎回份额包含场外总赎回份额</w:t>
      </w:r>
      <w:r w:rsidRPr="006C56AA">
        <w:rPr>
          <w:color w:val="000000"/>
          <w:sz w:val="24"/>
          <w:szCs w:val="24"/>
        </w:rPr>
        <w:t>17,553,632</w:t>
      </w:r>
      <w:r w:rsidRPr="006C56AA">
        <w:rPr>
          <w:color w:val="000000"/>
          <w:sz w:val="24"/>
          <w:szCs w:val="24"/>
        </w:rPr>
        <w:t>份。</w:t>
      </w:r>
    </w:p>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E70EBE">
        <w:trPr>
          <w:jc w:val="center"/>
        </w:trPr>
        <w:tc>
          <w:tcPr>
            <w:tcW w:w="1798" w:type="dxa"/>
            <w:vMerge w:val="restart"/>
            <w:vAlign w:val="center"/>
          </w:tcPr>
          <w:p w:rsidR="00E70EBE" w:rsidRDefault="00B23E3C">
            <w:r>
              <w:rPr>
                <w:sz w:val="24"/>
                <w:szCs w:val="24"/>
              </w:rPr>
              <w:t>中国建设银行股份有限公司－易方达沪深</w:t>
            </w:r>
            <w:r>
              <w:rPr>
                <w:sz w:val="24"/>
                <w:szCs w:val="24"/>
              </w:rPr>
              <w:t>300</w:t>
            </w:r>
            <w:r>
              <w:rPr>
                <w:sz w:val="24"/>
                <w:szCs w:val="24"/>
              </w:rPr>
              <w:t>非银行金融交易型开放式指数证券投资基金联接基金</w:t>
            </w:r>
          </w:p>
        </w:tc>
        <w:tc>
          <w:tcPr>
            <w:tcW w:w="709" w:type="dxa"/>
            <w:vAlign w:val="center"/>
          </w:tcPr>
          <w:p w:rsidR="00E70EBE" w:rsidRDefault="00B23E3C">
            <w:pPr>
              <w:jc w:val="center"/>
            </w:pPr>
            <w:r>
              <w:rPr>
                <w:sz w:val="24"/>
                <w:szCs w:val="24"/>
              </w:rPr>
              <w:t>1</w:t>
            </w:r>
          </w:p>
        </w:tc>
        <w:tc>
          <w:tcPr>
            <w:tcW w:w="1985" w:type="dxa"/>
            <w:vAlign w:val="center"/>
          </w:tcPr>
          <w:p w:rsidR="00E70EBE" w:rsidRDefault="00B23E3C">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E70EBE" w:rsidRDefault="00B23E3C">
            <w:pPr>
              <w:jc w:val="center"/>
            </w:pPr>
            <w:r>
              <w:rPr>
                <w:sz w:val="24"/>
                <w:szCs w:val="24"/>
              </w:rPr>
              <w:t>576,072,541.00</w:t>
            </w:r>
          </w:p>
        </w:tc>
        <w:tc>
          <w:tcPr>
            <w:tcW w:w="992" w:type="dxa"/>
            <w:vAlign w:val="center"/>
          </w:tcPr>
          <w:p w:rsidR="00E70EBE" w:rsidRDefault="00B23E3C">
            <w:pPr>
              <w:jc w:val="center"/>
            </w:pPr>
            <w:r>
              <w:rPr>
                <w:sz w:val="24"/>
                <w:szCs w:val="24"/>
              </w:rPr>
              <w:t>412,641,400.00</w:t>
            </w:r>
          </w:p>
        </w:tc>
        <w:tc>
          <w:tcPr>
            <w:tcW w:w="1134" w:type="dxa"/>
            <w:vAlign w:val="center"/>
          </w:tcPr>
          <w:p w:rsidR="00E70EBE" w:rsidRDefault="00B23E3C">
            <w:pPr>
              <w:jc w:val="center"/>
            </w:pPr>
            <w:r>
              <w:rPr>
                <w:sz w:val="24"/>
                <w:szCs w:val="24"/>
              </w:rPr>
              <w:t>314,932,900.00</w:t>
            </w:r>
          </w:p>
        </w:tc>
        <w:tc>
          <w:tcPr>
            <w:tcW w:w="1037" w:type="dxa"/>
            <w:vAlign w:val="center"/>
          </w:tcPr>
          <w:p w:rsidR="00E70EBE" w:rsidRDefault="00B23E3C">
            <w:pPr>
              <w:jc w:val="center"/>
            </w:pPr>
            <w:r>
              <w:rPr>
                <w:sz w:val="24"/>
                <w:szCs w:val="24"/>
              </w:rPr>
              <w:t>673,781,041.00</w:t>
            </w:r>
          </w:p>
        </w:tc>
        <w:tc>
          <w:tcPr>
            <w:tcW w:w="851" w:type="dxa"/>
            <w:vAlign w:val="center"/>
          </w:tcPr>
          <w:p w:rsidR="00E70EBE" w:rsidRDefault="00B23E3C">
            <w:pPr>
              <w:jc w:val="center"/>
            </w:pPr>
            <w:r>
              <w:rPr>
                <w:sz w:val="24"/>
                <w:szCs w:val="24"/>
              </w:rPr>
              <w:t>71.86%</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E70EBE" w:rsidRDefault="00B23E3C">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中国证监会核准易方达沪深</w:t>
      </w:r>
      <w:r>
        <w:rPr>
          <w:color w:val="000000"/>
          <w:sz w:val="24"/>
          <w:szCs w:val="24"/>
        </w:rPr>
        <w:t>300</w:t>
      </w:r>
      <w:r>
        <w:rPr>
          <w:color w:val="000000"/>
          <w:sz w:val="24"/>
          <w:szCs w:val="24"/>
        </w:rPr>
        <w:t>非银行金融交易型开放式指数证券投资基金募集的文件；</w:t>
      </w:r>
    </w:p>
    <w:p w:rsidR="00E70EBE" w:rsidRDefault="00B23E3C">
      <w:pPr>
        <w:spacing w:line="360" w:lineRule="auto"/>
        <w:ind w:firstLineChars="200" w:firstLine="480"/>
        <w:rPr>
          <w:color w:val="000000"/>
          <w:sz w:val="24"/>
          <w:szCs w:val="24"/>
        </w:rPr>
      </w:pPr>
      <w:r>
        <w:rPr>
          <w:color w:val="000000"/>
          <w:sz w:val="24"/>
          <w:szCs w:val="24"/>
        </w:rPr>
        <w:t>2.</w:t>
      </w:r>
      <w:r>
        <w:rPr>
          <w:color w:val="000000"/>
          <w:sz w:val="24"/>
          <w:szCs w:val="24"/>
        </w:rPr>
        <w:t>《易方达沪深</w:t>
      </w:r>
      <w:r>
        <w:rPr>
          <w:color w:val="000000"/>
          <w:sz w:val="24"/>
          <w:szCs w:val="24"/>
        </w:rPr>
        <w:t>300</w:t>
      </w:r>
      <w:r>
        <w:rPr>
          <w:color w:val="000000"/>
          <w:sz w:val="24"/>
          <w:szCs w:val="24"/>
        </w:rPr>
        <w:t>非银行金融交易型开放式指数证券投资基金基金合同》；</w:t>
      </w:r>
    </w:p>
    <w:p w:rsidR="00E70EBE" w:rsidRDefault="00B23E3C">
      <w:pPr>
        <w:spacing w:line="360" w:lineRule="auto"/>
        <w:ind w:firstLineChars="200" w:firstLine="480"/>
        <w:rPr>
          <w:color w:val="000000"/>
          <w:sz w:val="24"/>
          <w:szCs w:val="24"/>
        </w:rPr>
      </w:pPr>
      <w:r>
        <w:rPr>
          <w:color w:val="000000"/>
          <w:sz w:val="24"/>
          <w:szCs w:val="24"/>
        </w:rPr>
        <w:t>3.</w:t>
      </w:r>
      <w:r>
        <w:rPr>
          <w:color w:val="000000"/>
          <w:sz w:val="24"/>
          <w:szCs w:val="24"/>
        </w:rPr>
        <w:t>《易方达沪深</w:t>
      </w:r>
      <w:r>
        <w:rPr>
          <w:color w:val="000000"/>
          <w:sz w:val="24"/>
          <w:szCs w:val="24"/>
        </w:rPr>
        <w:t>300</w:t>
      </w:r>
      <w:r>
        <w:rPr>
          <w:color w:val="000000"/>
          <w:sz w:val="24"/>
          <w:szCs w:val="24"/>
        </w:rPr>
        <w:t>非银行金融交易型开放式指数证券投资基金托管协议》；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23E3C">
      <w:rPr>
        <w:rStyle w:val="a7"/>
        <w:noProof/>
      </w:rPr>
      <w:t>1</w:t>
    </w:r>
    <w:r>
      <w:rPr>
        <w:rStyle w:val="a7"/>
      </w:rPr>
      <w:fldChar w:fldCharType="end"/>
    </w:r>
    <w:r>
      <w:rPr>
        <w:rStyle w:val="a7"/>
        <w:rFonts w:hint="eastAsia"/>
      </w:rPr>
      <w:t>页共</w:t>
    </w:r>
    <w:r w:rsidR="00B23E3C">
      <w:fldChar w:fldCharType="begin"/>
    </w:r>
    <w:r w:rsidR="00B23E3C">
      <w:instrText xml:space="preserve"> NUMPAGES  \* Arabic  \* MERGEFORMAT </w:instrText>
    </w:r>
    <w:r w:rsidR="00B23E3C">
      <w:fldChar w:fldCharType="separate"/>
    </w:r>
    <w:r w:rsidR="00B23E3C" w:rsidRPr="00B23E3C">
      <w:rPr>
        <w:rStyle w:val="a7"/>
        <w:noProof/>
      </w:rPr>
      <w:t>3</w:t>
    </w:r>
    <w:r w:rsidR="00B23E3C">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23E3C">
      <w:rPr>
        <w:rStyle w:val="a7"/>
        <w:noProof/>
      </w:rPr>
      <w:t>13</w:t>
    </w:r>
    <w:r>
      <w:rPr>
        <w:rStyle w:val="a7"/>
      </w:rPr>
      <w:fldChar w:fldCharType="end"/>
    </w:r>
    <w:r>
      <w:rPr>
        <w:rStyle w:val="a7"/>
        <w:rFonts w:hint="eastAsia"/>
      </w:rPr>
      <w:t>页共</w:t>
    </w:r>
    <w:fldSimple w:instr=" NUMPAGES  \* Arabic  \* MERGEFORMAT ">
      <w:r w:rsidR="00B23E3C" w:rsidRPr="00B23E3C">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易方达沪深</w:t>
    </w:r>
    <w:r w:rsidRPr="00093704">
      <w:t>300</w:t>
    </w:r>
    <w:r w:rsidRPr="00093704">
      <w:t>非银行金融交易型开放式指数证券投资基金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3E3C"/>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70EBE"/>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96C7-63C7-4B30-B0C1-B3D8B14B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