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易方达MSCI中国A股国际通交易型开放式指数证券投资基金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1F71AE" w:rsidRDefault="00944134">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1F71AE" w:rsidRDefault="00944134">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1F71AE" w:rsidRDefault="00944134">
      <w:pPr>
        <w:spacing w:line="360" w:lineRule="auto"/>
        <w:ind w:firstLineChars="200" w:firstLine="480"/>
        <w:rPr>
          <w:color w:val="000000"/>
          <w:sz w:val="24"/>
          <w:szCs w:val="24"/>
        </w:rPr>
      </w:pPr>
      <w:r>
        <w:rPr>
          <w:color w:val="000000"/>
          <w:sz w:val="24"/>
          <w:szCs w:val="24"/>
        </w:rPr>
        <w:t>基金管</w:t>
      </w:r>
      <w:r>
        <w:rPr>
          <w:color w:val="000000"/>
          <w:sz w:val="24"/>
          <w:szCs w:val="24"/>
        </w:rPr>
        <w:t>理人承诺以诚实信用、勤勉尽责的原则管理和运用基金资产，但不保证基金一定盈利。</w:t>
      </w:r>
      <w:r>
        <w:rPr>
          <w:color w:val="000000"/>
          <w:sz w:val="24"/>
          <w:szCs w:val="24"/>
        </w:rPr>
        <w:t xml:space="preserve"> </w:t>
      </w:r>
    </w:p>
    <w:p w:rsidR="001F71AE" w:rsidRDefault="00944134">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1F71AE" w:rsidRDefault="00944134">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w:t>
            </w:r>
            <w:r w:rsidRPr="00232B03">
              <w:rPr>
                <w:color w:val="000000"/>
                <w:kern w:val="0"/>
                <w:sz w:val="24"/>
                <w:szCs w:val="24"/>
              </w:rPr>
              <w:t>MSCI</w:t>
            </w:r>
            <w:r w:rsidRPr="00232B03">
              <w:rPr>
                <w:color w:val="000000"/>
                <w:kern w:val="0"/>
                <w:sz w:val="24"/>
                <w:szCs w:val="24"/>
              </w:rPr>
              <w:t>中国</w:t>
            </w:r>
            <w:r w:rsidRPr="00232B03">
              <w:rPr>
                <w:color w:val="000000"/>
                <w:kern w:val="0"/>
                <w:sz w:val="24"/>
                <w:szCs w:val="24"/>
              </w:rPr>
              <w:t>A</w:t>
            </w:r>
            <w:r w:rsidRPr="00232B03">
              <w:rPr>
                <w:color w:val="000000"/>
                <w:kern w:val="0"/>
                <w:sz w:val="24"/>
                <w:szCs w:val="24"/>
              </w:rPr>
              <w:t>股国际通</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MSCI</w:t>
            </w:r>
            <w:r w:rsidRPr="00232B03">
              <w:rPr>
                <w:kern w:val="0"/>
                <w:sz w:val="24"/>
                <w:szCs w:val="24"/>
              </w:rPr>
              <w:t>易基</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512090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512090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5</w:t>
            </w:r>
            <w:r w:rsidRPr="00232B03">
              <w:rPr>
                <w:color w:val="000000"/>
                <w:kern w:val="0"/>
                <w:sz w:val="24"/>
                <w:szCs w:val="24"/>
              </w:rPr>
              <w:t>月</w:t>
            </w:r>
            <w:r w:rsidRPr="00232B03">
              <w:rPr>
                <w:color w:val="000000"/>
                <w:kern w:val="0"/>
                <w:sz w:val="24"/>
                <w:szCs w:val="24"/>
              </w:rPr>
              <w:t>17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585,592,316.00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紧密跟踪标的指数，追求跟踪偏离度和跟踪误差的最小化。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本基金主要采取完全复制法，即完全按照标的指数的成份股组成及其权重构建基金股票投资组合，并根据标的指数成份股及其权重的变动进行相应调整。但在因特殊情形导致基金无法完全投资于标的</w:t>
            </w:r>
            <w:r w:rsidRPr="00232B03">
              <w:rPr>
                <w:color w:val="000000"/>
                <w:kern w:val="0"/>
                <w:sz w:val="24"/>
                <w:szCs w:val="24"/>
              </w:rPr>
              <w:lastRenderedPageBreak/>
              <w:t>指数成份股时，基金管理人可采取包括成份股替代策略在内的其他指数投资技术适当调整基金投资组合，以达到紧密跟踪标的指数的目的。</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MSCI</w:t>
            </w:r>
            <w:r w:rsidRPr="00232B03">
              <w:rPr>
                <w:color w:val="000000"/>
                <w:kern w:val="0"/>
                <w:sz w:val="24"/>
                <w:szCs w:val="24"/>
              </w:rPr>
              <w:t>中国</w:t>
            </w:r>
            <w:r w:rsidRPr="00232B03">
              <w:rPr>
                <w:color w:val="000000"/>
                <w:kern w:val="0"/>
                <w:sz w:val="24"/>
                <w:szCs w:val="24"/>
              </w:rPr>
              <w:t>A</w:t>
            </w:r>
            <w:r w:rsidRPr="00232B03">
              <w:rPr>
                <w:color w:val="000000"/>
                <w:kern w:val="0"/>
                <w:sz w:val="24"/>
                <w:szCs w:val="24"/>
              </w:rPr>
              <w:t>股国际通指数（</w:t>
            </w:r>
            <w:r w:rsidRPr="00232B03">
              <w:rPr>
                <w:color w:val="000000"/>
                <w:kern w:val="0"/>
                <w:sz w:val="24"/>
                <w:szCs w:val="24"/>
              </w:rPr>
              <w:t>MSCI China A Inclusion RMB Index</w:t>
            </w:r>
            <w:r w:rsidRPr="00232B03">
              <w:rPr>
                <w:color w:val="000000"/>
                <w:kern w:val="0"/>
                <w:sz w:val="24"/>
                <w:szCs w:val="24"/>
              </w:rPr>
              <w:t>）收益率</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本基金为股票型基金，预期风险与预期收益水平高于混合型基金、债券型基金与货币市场基金。本基金为指数型基金，主要采用完全复制法跟踪标的指数的表现，具有与标的指数相似的风险收益特征。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30,359,439.67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13,139,222.61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0.0202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626,853,087.09</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1.0705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1F71AE" w:rsidRDefault="00944134">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w:t>
      </w:r>
      <w:r w:rsidRPr="006506EF">
        <w:rPr>
          <w:color w:val="000000"/>
          <w:sz w:val="24"/>
        </w:rPr>
        <w:t>(</w:t>
      </w:r>
      <w:r w:rsidRPr="006506EF">
        <w:rPr>
          <w:color w:val="000000"/>
          <w:sz w:val="24"/>
        </w:rPr>
        <w:t>不含公允价值变动收益</w:t>
      </w:r>
      <w:r w:rsidRPr="006506EF">
        <w:rPr>
          <w:color w:val="000000"/>
          <w:sz w:val="24"/>
        </w:rPr>
        <w:t>)</w:t>
      </w:r>
      <w:r w:rsidRPr="006506EF">
        <w:rPr>
          <w:color w:val="000000"/>
          <w:sz w:val="24"/>
        </w:rPr>
        <w:t>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1F71AE">
        <w:tc>
          <w:tcPr>
            <w:tcW w:w="1395" w:type="dxa"/>
            <w:vAlign w:val="center"/>
          </w:tcPr>
          <w:p w:rsidR="001F71AE" w:rsidRDefault="00944134">
            <w:pPr>
              <w:jc w:val="left"/>
            </w:pPr>
            <w:r>
              <w:rPr>
                <w:color w:val="000000"/>
                <w:kern w:val="0"/>
                <w:sz w:val="24"/>
                <w:szCs w:val="24"/>
              </w:rPr>
              <w:t>过去三个月</w:t>
            </w:r>
          </w:p>
        </w:tc>
        <w:tc>
          <w:tcPr>
            <w:tcW w:w="1092" w:type="dxa"/>
            <w:vAlign w:val="center"/>
          </w:tcPr>
          <w:p w:rsidR="001F71AE" w:rsidRDefault="00944134">
            <w:pPr>
              <w:jc w:val="center"/>
            </w:pPr>
            <w:r>
              <w:rPr>
                <w:color w:val="000000"/>
                <w:kern w:val="0"/>
                <w:sz w:val="24"/>
                <w:szCs w:val="24"/>
              </w:rPr>
              <w:t>1.69%</w:t>
            </w:r>
          </w:p>
        </w:tc>
        <w:tc>
          <w:tcPr>
            <w:tcW w:w="1161" w:type="dxa"/>
            <w:vAlign w:val="center"/>
          </w:tcPr>
          <w:p w:rsidR="001F71AE" w:rsidRDefault="00944134">
            <w:pPr>
              <w:jc w:val="center"/>
            </w:pPr>
            <w:r>
              <w:rPr>
                <w:color w:val="000000"/>
                <w:kern w:val="0"/>
                <w:sz w:val="24"/>
                <w:szCs w:val="24"/>
              </w:rPr>
              <w:t>0.93%</w:t>
            </w:r>
          </w:p>
        </w:tc>
        <w:tc>
          <w:tcPr>
            <w:tcW w:w="1181" w:type="dxa"/>
            <w:vAlign w:val="center"/>
          </w:tcPr>
          <w:p w:rsidR="001F71AE" w:rsidRDefault="00944134">
            <w:pPr>
              <w:jc w:val="center"/>
            </w:pPr>
            <w:r>
              <w:rPr>
                <w:color w:val="000000"/>
                <w:kern w:val="0"/>
                <w:sz w:val="24"/>
                <w:szCs w:val="24"/>
              </w:rPr>
              <w:t>-0.06%</w:t>
            </w:r>
          </w:p>
        </w:tc>
        <w:tc>
          <w:tcPr>
            <w:tcW w:w="1188" w:type="dxa"/>
            <w:vAlign w:val="center"/>
          </w:tcPr>
          <w:p w:rsidR="001F71AE" w:rsidRDefault="00944134">
            <w:pPr>
              <w:jc w:val="center"/>
            </w:pPr>
            <w:r>
              <w:rPr>
                <w:color w:val="000000"/>
                <w:kern w:val="0"/>
                <w:sz w:val="24"/>
                <w:szCs w:val="24"/>
              </w:rPr>
              <w:t>0.94%</w:t>
            </w:r>
          </w:p>
        </w:tc>
        <w:tc>
          <w:tcPr>
            <w:tcW w:w="1199" w:type="dxa"/>
            <w:vAlign w:val="center"/>
          </w:tcPr>
          <w:p w:rsidR="001F71AE" w:rsidRDefault="00944134">
            <w:pPr>
              <w:jc w:val="center"/>
            </w:pPr>
            <w:r>
              <w:rPr>
                <w:color w:val="000000"/>
                <w:kern w:val="0"/>
                <w:sz w:val="24"/>
                <w:szCs w:val="24"/>
              </w:rPr>
              <w:t>1.75%</w:t>
            </w:r>
          </w:p>
        </w:tc>
        <w:tc>
          <w:tcPr>
            <w:tcW w:w="1204" w:type="dxa"/>
            <w:vAlign w:val="center"/>
          </w:tcPr>
          <w:p w:rsidR="001F71AE" w:rsidRDefault="00944134">
            <w:pPr>
              <w:jc w:val="center"/>
            </w:pPr>
            <w:r>
              <w:rPr>
                <w:color w:val="000000"/>
                <w:kern w:val="0"/>
                <w:sz w:val="24"/>
                <w:szCs w:val="24"/>
              </w:rPr>
              <w:t>-0.01%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w:t>
      </w:r>
      <w:r w:rsidRPr="0074694E">
        <w:rPr>
          <w:color w:val="000000"/>
          <w:sz w:val="24"/>
          <w:szCs w:val="24"/>
        </w:rPr>
        <w:t>MSCI</w:t>
      </w:r>
      <w:r w:rsidRPr="0074694E">
        <w:rPr>
          <w:color w:val="000000"/>
          <w:sz w:val="24"/>
          <w:szCs w:val="24"/>
        </w:rPr>
        <w:t>中国</w:t>
      </w:r>
      <w:r w:rsidRPr="0074694E">
        <w:rPr>
          <w:color w:val="000000"/>
          <w:sz w:val="24"/>
          <w:szCs w:val="24"/>
        </w:rPr>
        <w:t>A</w:t>
      </w:r>
      <w:r w:rsidRPr="0074694E">
        <w:rPr>
          <w:color w:val="000000"/>
          <w:sz w:val="24"/>
          <w:szCs w:val="24"/>
        </w:rPr>
        <w:t>股国际通交易型开放式指数证券投资基金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5</w:t>
      </w:r>
      <w:r w:rsidRPr="0074694E">
        <w:rPr>
          <w:rFonts w:ascii="Times New Roman" w:hAnsi="Times New Roman"/>
          <w:sz w:val="24"/>
          <w:szCs w:val="24"/>
        </w:rPr>
        <w:t>月</w:t>
      </w:r>
      <w:r w:rsidRPr="0074694E">
        <w:rPr>
          <w:rFonts w:ascii="Times New Roman" w:hAnsi="Times New Roman"/>
          <w:sz w:val="24"/>
          <w:szCs w:val="24"/>
        </w:rPr>
        <w:t>17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944134"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1F71AE" w:rsidRDefault="00944134">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按基金合同和招募说明书的约定，本基金的建仓期为六个月，建仓期结束时各项资产配置比例符合基金合同（第十四部分二、投资范围，三、投资策略和四、投资限制）的有关约定。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7.05%</w:t>
      </w:r>
      <w:r w:rsidRPr="006C56AA">
        <w:rPr>
          <w:color w:val="000000"/>
          <w:sz w:val="24"/>
          <w:szCs w:val="24"/>
        </w:rPr>
        <w:t>，同期业绩比较基准收益率为</w:t>
      </w:r>
      <w:r w:rsidRPr="006C56AA">
        <w:rPr>
          <w:color w:val="000000"/>
          <w:sz w:val="24"/>
          <w:szCs w:val="24"/>
        </w:rPr>
        <w:t>-2.85%</w:t>
      </w:r>
      <w:r w:rsidRPr="006C56AA">
        <w:rPr>
          <w:color w:val="000000"/>
          <w:sz w:val="24"/>
          <w:szCs w:val="24"/>
        </w:rPr>
        <w:t>。</w:t>
      </w:r>
      <w:r w:rsidRPr="006C56AA">
        <w:rPr>
          <w:color w:val="000000"/>
          <w:sz w:val="24"/>
          <w:szCs w:val="24"/>
        </w:rPr>
        <w:t xml:space="preserve"> </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1F71AE">
        <w:tc>
          <w:tcPr>
            <w:tcW w:w="567" w:type="dxa"/>
            <w:vAlign w:val="center"/>
          </w:tcPr>
          <w:p w:rsidR="001F71AE" w:rsidRDefault="00944134">
            <w:pPr>
              <w:jc w:val="center"/>
            </w:pPr>
            <w:r>
              <w:rPr>
                <w:color w:val="000000"/>
                <w:sz w:val="24"/>
              </w:rPr>
              <w:t>FAN BING(</w:t>
            </w:r>
            <w:r>
              <w:rPr>
                <w:color w:val="000000"/>
                <w:sz w:val="24"/>
              </w:rPr>
              <w:t>范冰</w:t>
            </w:r>
            <w:r>
              <w:rPr>
                <w:color w:val="000000"/>
                <w:sz w:val="24"/>
              </w:rPr>
              <w:t>)</w:t>
            </w:r>
          </w:p>
        </w:tc>
        <w:tc>
          <w:tcPr>
            <w:tcW w:w="2835" w:type="dxa"/>
            <w:vAlign w:val="center"/>
          </w:tcPr>
          <w:p w:rsidR="001F71AE" w:rsidRDefault="00944134">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的基金经理、易方达标普信息</w:t>
            </w:r>
            <w:r>
              <w:rPr>
                <w:color w:val="000000"/>
                <w:sz w:val="24"/>
              </w:rPr>
              <w:t>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w:t>
            </w:r>
          </w:p>
        </w:tc>
        <w:tc>
          <w:tcPr>
            <w:tcW w:w="851" w:type="dxa"/>
            <w:vAlign w:val="center"/>
          </w:tcPr>
          <w:p w:rsidR="001F71AE" w:rsidRDefault="00944134">
            <w:pPr>
              <w:jc w:val="center"/>
            </w:pPr>
            <w:r>
              <w:rPr>
                <w:color w:val="000000"/>
                <w:sz w:val="24"/>
              </w:rPr>
              <w:t>2018-05-17</w:t>
            </w:r>
          </w:p>
        </w:tc>
        <w:tc>
          <w:tcPr>
            <w:tcW w:w="850" w:type="dxa"/>
            <w:vAlign w:val="center"/>
          </w:tcPr>
          <w:p w:rsidR="001F71AE" w:rsidRDefault="00944134">
            <w:pPr>
              <w:jc w:val="center"/>
            </w:pPr>
            <w:r>
              <w:rPr>
                <w:color w:val="000000"/>
                <w:sz w:val="24"/>
              </w:rPr>
              <w:t>-</w:t>
            </w:r>
          </w:p>
        </w:tc>
        <w:tc>
          <w:tcPr>
            <w:tcW w:w="851" w:type="dxa"/>
            <w:vAlign w:val="center"/>
          </w:tcPr>
          <w:p w:rsidR="001F71AE" w:rsidRDefault="00944134">
            <w:pPr>
              <w:jc w:val="center"/>
            </w:pPr>
            <w:r>
              <w:rPr>
                <w:color w:val="000000"/>
                <w:sz w:val="24"/>
              </w:rPr>
              <w:t>14</w:t>
            </w:r>
            <w:r>
              <w:rPr>
                <w:color w:val="000000"/>
                <w:sz w:val="24"/>
              </w:rPr>
              <w:t>年</w:t>
            </w:r>
          </w:p>
        </w:tc>
        <w:tc>
          <w:tcPr>
            <w:tcW w:w="2977" w:type="dxa"/>
            <w:vAlign w:val="center"/>
          </w:tcPr>
          <w:p w:rsidR="001F71AE" w:rsidRDefault="00944134">
            <w:r>
              <w:rPr>
                <w:color w:val="000000"/>
                <w:sz w:val="24"/>
              </w:rPr>
              <w:t>新加坡籍，硕士研究生，曾任皇家加拿大银行托管部核算专员，美国道富集团</w:t>
            </w:r>
            <w:r>
              <w:rPr>
                <w:color w:val="000000"/>
                <w:sz w:val="24"/>
              </w:rPr>
              <w:t>Middle Office</w:t>
            </w:r>
            <w:r>
              <w:rPr>
                <w:color w:val="000000"/>
                <w:sz w:val="24"/>
              </w:rPr>
              <w:t>中台交易支持专员，巴克莱资产管理公司悉尼金融数据部高级金融数据分析员、悉尼金融数据部主管、新</w:t>
            </w:r>
            <w:r>
              <w:rPr>
                <w:color w:val="000000"/>
                <w:sz w:val="24"/>
              </w:rPr>
              <w:t>加坡金融数据部主管，贝莱德集团金融数据运营部部门经理、风险控制与咨询部客户经理、亚太股票指数基金部基金经理。</w:t>
            </w:r>
          </w:p>
        </w:tc>
      </w:tr>
      <w:tr w:rsidR="001F71AE">
        <w:tc>
          <w:tcPr>
            <w:tcW w:w="567" w:type="dxa"/>
            <w:vAlign w:val="center"/>
          </w:tcPr>
          <w:p w:rsidR="001F71AE" w:rsidRDefault="00944134">
            <w:pPr>
              <w:jc w:val="center"/>
            </w:pPr>
            <w:r>
              <w:rPr>
                <w:color w:val="000000"/>
                <w:sz w:val="24"/>
              </w:rPr>
              <w:t>成曦</w:t>
            </w:r>
          </w:p>
        </w:tc>
        <w:tc>
          <w:tcPr>
            <w:tcW w:w="2835" w:type="dxa"/>
            <w:vAlign w:val="center"/>
          </w:tcPr>
          <w:p w:rsidR="001F71AE" w:rsidRDefault="00944134">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w:t>
            </w:r>
            <w:r>
              <w:rPr>
                <w:color w:val="000000"/>
                <w:sz w:val="24"/>
              </w:rPr>
              <w:t>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w:t>
            </w:r>
            <w:r>
              <w:rPr>
                <w:color w:val="000000"/>
                <w:sz w:val="24"/>
              </w:rPr>
              <w:t>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w:t>
            </w:r>
          </w:p>
        </w:tc>
        <w:tc>
          <w:tcPr>
            <w:tcW w:w="851" w:type="dxa"/>
            <w:vAlign w:val="center"/>
          </w:tcPr>
          <w:p w:rsidR="001F71AE" w:rsidRDefault="00944134">
            <w:pPr>
              <w:jc w:val="center"/>
            </w:pPr>
            <w:r>
              <w:rPr>
                <w:color w:val="000000"/>
                <w:sz w:val="24"/>
              </w:rPr>
              <w:t>2018-05-17</w:t>
            </w:r>
          </w:p>
        </w:tc>
        <w:tc>
          <w:tcPr>
            <w:tcW w:w="850" w:type="dxa"/>
            <w:vAlign w:val="center"/>
          </w:tcPr>
          <w:p w:rsidR="001F71AE" w:rsidRDefault="00944134">
            <w:pPr>
              <w:jc w:val="center"/>
            </w:pPr>
            <w:r>
              <w:rPr>
                <w:color w:val="000000"/>
                <w:sz w:val="24"/>
              </w:rPr>
              <w:t>-</w:t>
            </w:r>
          </w:p>
        </w:tc>
        <w:tc>
          <w:tcPr>
            <w:tcW w:w="851" w:type="dxa"/>
            <w:vAlign w:val="center"/>
          </w:tcPr>
          <w:p w:rsidR="001F71AE" w:rsidRDefault="00944134">
            <w:pPr>
              <w:jc w:val="center"/>
            </w:pPr>
            <w:r>
              <w:rPr>
                <w:color w:val="000000"/>
                <w:sz w:val="24"/>
              </w:rPr>
              <w:t>11</w:t>
            </w:r>
            <w:r>
              <w:rPr>
                <w:color w:val="000000"/>
                <w:sz w:val="24"/>
              </w:rPr>
              <w:t>年</w:t>
            </w:r>
          </w:p>
        </w:tc>
        <w:tc>
          <w:tcPr>
            <w:tcW w:w="2977" w:type="dxa"/>
            <w:vAlign w:val="center"/>
          </w:tcPr>
          <w:p w:rsidR="001F71AE" w:rsidRDefault="00944134">
            <w:r>
              <w:rPr>
                <w:color w:val="000000"/>
                <w:sz w:val="24"/>
              </w:rPr>
              <w:t>硕士研究生，曾任华泰联合证券资产管理部研究员，易方达基金管理有限公司集中交易室交易员、指数与量化投资部指数基金运作专员、基金经理助理。</w:t>
            </w:r>
          </w:p>
        </w:tc>
      </w:tr>
    </w:tbl>
    <w:p w:rsidR="001F71AE" w:rsidRDefault="00944134">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1F71AE" w:rsidRDefault="00944134">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1F71AE" w:rsidRDefault="00944134">
      <w:pPr>
        <w:spacing w:line="360" w:lineRule="auto"/>
        <w:ind w:firstLineChars="200" w:firstLine="480"/>
        <w:rPr>
          <w:color w:val="000000"/>
          <w:sz w:val="24"/>
          <w:szCs w:val="24"/>
        </w:rPr>
      </w:pPr>
      <w:r>
        <w:rPr>
          <w:color w:val="000000"/>
          <w:sz w:val="24"/>
          <w:szCs w:val="24"/>
        </w:rPr>
        <w:t>本基金跟踪的标的指数为</w:t>
      </w:r>
      <w:r>
        <w:rPr>
          <w:color w:val="000000"/>
          <w:sz w:val="24"/>
          <w:szCs w:val="24"/>
        </w:rPr>
        <w:t>MSCI</w:t>
      </w:r>
      <w:r>
        <w:rPr>
          <w:color w:val="000000"/>
          <w:sz w:val="24"/>
          <w:szCs w:val="24"/>
        </w:rPr>
        <w:t>中国</w:t>
      </w:r>
      <w:r>
        <w:rPr>
          <w:color w:val="000000"/>
          <w:sz w:val="24"/>
          <w:szCs w:val="24"/>
        </w:rPr>
        <w:t>A</w:t>
      </w:r>
      <w:r>
        <w:rPr>
          <w:color w:val="000000"/>
          <w:sz w:val="24"/>
          <w:szCs w:val="24"/>
        </w:rPr>
        <w:t>股国际通指数，该指数代表被纳入</w:t>
      </w:r>
      <w:r>
        <w:rPr>
          <w:color w:val="000000"/>
          <w:sz w:val="24"/>
          <w:szCs w:val="24"/>
        </w:rPr>
        <w:t>MSCI</w:t>
      </w:r>
      <w:r>
        <w:rPr>
          <w:color w:val="000000"/>
          <w:sz w:val="24"/>
          <w:szCs w:val="24"/>
        </w:rPr>
        <w:t>全球指数体系的</w:t>
      </w:r>
      <w:r>
        <w:rPr>
          <w:color w:val="000000"/>
          <w:sz w:val="24"/>
          <w:szCs w:val="24"/>
        </w:rPr>
        <w:t>A</w:t>
      </w:r>
      <w:r>
        <w:rPr>
          <w:color w:val="000000"/>
          <w:sz w:val="24"/>
          <w:szCs w:val="24"/>
        </w:rPr>
        <w:t>股。一旦个股进入该指数，全球跟踪</w:t>
      </w:r>
      <w:r>
        <w:rPr>
          <w:color w:val="000000"/>
          <w:sz w:val="24"/>
          <w:szCs w:val="24"/>
        </w:rPr>
        <w:t>MSCI</w:t>
      </w:r>
      <w:r>
        <w:rPr>
          <w:color w:val="000000"/>
          <w:sz w:val="24"/>
          <w:szCs w:val="24"/>
        </w:rPr>
        <w:t>全球指数体系的资金都将对其进行配置。该指数现阶段主要组成为纳入互联互通范围的大盘股。本基金主要采取完全复制法，即完全按照标的指数的成份股组成及其权重构建基金股票投资组合，并根据标的指数成份股及其权重的变动而进行相应调整。</w:t>
      </w:r>
    </w:p>
    <w:p w:rsidR="001F71AE" w:rsidRDefault="00944134">
      <w:pPr>
        <w:spacing w:line="360" w:lineRule="auto"/>
        <w:ind w:firstLineChars="200" w:firstLine="480"/>
        <w:rPr>
          <w:color w:val="000000"/>
          <w:sz w:val="24"/>
          <w:szCs w:val="24"/>
        </w:rPr>
      </w:pPr>
      <w:r>
        <w:rPr>
          <w:color w:val="000000"/>
          <w:sz w:val="24"/>
          <w:szCs w:val="24"/>
        </w:rPr>
        <w:t>2019</w:t>
      </w:r>
      <w:r>
        <w:rPr>
          <w:color w:val="000000"/>
          <w:sz w:val="24"/>
          <w:szCs w:val="24"/>
        </w:rPr>
        <w:t>年第三季度，科创板推出提升了市场对高新技术产业的风险偏好，虽然中美贸易摩擦多有反复，但资金对此已有充分预期。受益于以</w:t>
      </w:r>
      <w:r>
        <w:rPr>
          <w:color w:val="000000"/>
          <w:sz w:val="24"/>
          <w:szCs w:val="24"/>
        </w:rPr>
        <w:t>5G</w:t>
      </w:r>
      <w:r>
        <w:rPr>
          <w:color w:val="000000"/>
          <w:sz w:val="24"/>
          <w:szCs w:val="24"/>
        </w:rPr>
        <w:t>为代表的科技产业的发展，科技行业</w:t>
      </w:r>
      <w:r>
        <w:rPr>
          <w:color w:val="000000"/>
          <w:sz w:val="24"/>
          <w:szCs w:val="24"/>
        </w:rPr>
        <w:t>成为市场热点。尽管在</w:t>
      </w:r>
      <w:r>
        <w:rPr>
          <w:color w:val="000000"/>
          <w:sz w:val="24"/>
          <w:szCs w:val="24"/>
        </w:rPr>
        <w:t>9</w:t>
      </w:r>
      <w:r>
        <w:rPr>
          <w:color w:val="000000"/>
          <w:sz w:val="24"/>
          <w:szCs w:val="24"/>
        </w:rPr>
        <w:t>月后半月，出现了资金获利了结的现象，但市场整体依然在国庆节前表现平稳。</w:t>
      </w:r>
    </w:p>
    <w:p w:rsidR="001F71AE" w:rsidRDefault="00944134">
      <w:pPr>
        <w:spacing w:line="360" w:lineRule="auto"/>
        <w:ind w:firstLineChars="200" w:firstLine="480"/>
        <w:rPr>
          <w:color w:val="000000"/>
          <w:sz w:val="24"/>
          <w:szCs w:val="24"/>
        </w:rPr>
      </w:pPr>
      <w:r>
        <w:rPr>
          <w:color w:val="000000"/>
          <w:sz w:val="24"/>
          <w:szCs w:val="24"/>
        </w:rPr>
        <w:t>报告期内，国内经济数据表现一般，以汽车为代表的消费类产业走低。在资金面上，央行启动了利率</w:t>
      </w:r>
      <w:r>
        <w:rPr>
          <w:color w:val="000000"/>
          <w:sz w:val="24"/>
          <w:szCs w:val="24"/>
        </w:rPr>
        <w:t>LPR</w:t>
      </w:r>
      <w:r>
        <w:rPr>
          <w:color w:val="000000"/>
          <w:sz w:val="24"/>
          <w:szCs w:val="24"/>
        </w:rPr>
        <w:t>改革，推进利率市场化，降低实体经济利率水平，资金在政策引导下，逐渐向实体转移。</w:t>
      </w:r>
    </w:p>
    <w:p w:rsidR="001F71AE" w:rsidRDefault="00944134">
      <w:pPr>
        <w:spacing w:line="360" w:lineRule="auto"/>
        <w:ind w:firstLineChars="200" w:firstLine="480"/>
        <w:rPr>
          <w:color w:val="000000"/>
          <w:sz w:val="24"/>
          <w:szCs w:val="24"/>
        </w:rPr>
      </w:pPr>
      <w:r>
        <w:rPr>
          <w:color w:val="000000"/>
          <w:sz w:val="24"/>
          <w:szCs w:val="24"/>
        </w:rPr>
        <w:t>在经济逐步减速的背景下，企业盈利增长越来越成为驱动股票表现核心因素，估值波动的驱动力相对减弱。投资者要注意挑选具备核心竞争力和充足现金流的公司，这类企业更能扛住经济波动，从行业竞争格局的改变中获利。</w:t>
      </w:r>
    </w:p>
    <w:p w:rsidR="001F71AE" w:rsidRDefault="00944134">
      <w:pPr>
        <w:spacing w:line="360" w:lineRule="auto"/>
        <w:ind w:firstLineChars="200" w:firstLine="480"/>
        <w:rPr>
          <w:color w:val="000000"/>
          <w:sz w:val="24"/>
          <w:szCs w:val="24"/>
        </w:rPr>
      </w:pPr>
      <w:r>
        <w:rPr>
          <w:color w:val="000000"/>
          <w:sz w:val="24"/>
          <w:szCs w:val="24"/>
        </w:rPr>
        <w:t>此外，</w:t>
      </w:r>
      <w:r>
        <w:rPr>
          <w:color w:val="000000"/>
          <w:sz w:val="24"/>
          <w:szCs w:val="24"/>
        </w:rPr>
        <w:t>MSCI</w:t>
      </w:r>
      <w:r>
        <w:rPr>
          <w:color w:val="000000"/>
          <w:sz w:val="24"/>
          <w:szCs w:val="24"/>
        </w:rPr>
        <w:t>指数公司在</w:t>
      </w:r>
      <w:r>
        <w:rPr>
          <w:color w:val="000000"/>
          <w:sz w:val="24"/>
          <w:szCs w:val="24"/>
        </w:rPr>
        <w:t>2019</w:t>
      </w:r>
      <w:r>
        <w:rPr>
          <w:color w:val="000000"/>
          <w:sz w:val="24"/>
          <w:szCs w:val="24"/>
        </w:rPr>
        <w:t>年</w:t>
      </w:r>
      <w:r>
        <w:rPr>
          <w:color w:val="000000"/>
          <w:sz w:val="24"/>
          <w:szCs w:val="24"/>
        </w:rPr>
        <w:t>2</w:t>
      </w:r>
      <w:r>
        <w:rPr>
          <w:color w:val="000000"/>
          <w:sz w:val="24"/>
          <w:szCs w:val="24"/>
        </w:rPr>
        <w:t>月底宣布</w:t>
      </w:r>
      <w:r>
        <w:rPr>
          <w:color w:val="000000"/>
          <w:sz w:val="24"/>
          <w:szCs w:val="24"/>
        </w:rPr>
        <w:t>：将</w:t>
      </w:r>
      <w:r>
        <w:rPr>
          <w:color w:val="000000"/>
          <w:sz w:val="24"/>
          <w:szCs w:val="24"/>
        </w:rPr>
        <w:t>A</w:t>
      </w:r>
      <w:r>
        <w:rPr>
          <w:color w:val="000000"/>
          <w:sz w:val="24"/>
          <w:szCs w:val="24"/>
        </w:rPr>
        <w:t>股在</w:t>
      </w:r>
      <w:r>
        <w:rPr>
          <w:color w:val="000000"/>
          <w:sz w:val="24"/>
          <w:szCs w:val="24"/>
        </w:rPr>
        <w:t>MSCI</w:t>
      </w:r>
      <w:r>
        <w:rPr>
          <w:color w:val="000000"/>
          <w:sz w:val="24"/>
          <w:szCs w:val="24"/>
        </w:rPr>
        <w:t>指数中的权重因子从</w:t>
      </w:r>
      <w:r>
        <w:rPr>
          <w:color w:val="000000"/>
          <w:sz w:val="24"/>
          <w:szCs w:val="24"/>
        </w:rPr>
        <w:t>5%</w:t>
      </w:r>
      <w:r>
        <w:rPr>
          <w:color w:val="000000"/>
          <w:sz w:val="24"/>
          <w:szCs w:val="24"/>
        </w:rPr>
        <w:t>提升至</w:t>
      </w:r>
      <w:r>
        <w:rPr>
          <w:color w:val="000000"/>
          <w:sz w:val="24"/>
          <w:szCs w:val="24"/>
        </w:rPr>
        <w:t>20%</w:t>
      </w:r>
      <w:r>
        <w:rPr>
          <w:color w:val="000000"/>
          <w:sz w:val="24"/>
          <w:szCs w:val="24"/>
        </w:rPr>
        <w:t>。计划分三阶段进行：</w:t>
      </w:r>
      <w:r>
        <w:rPr>
          <w:color w:val="000000"/>
          <w:sz w:val="24"/>
          <w:szCs w:val="24"/>
        </w:rPr>
        <w:t>2019</w:t>
      </w:r>
      <w:r>
        <w:rPr>
          <w:color w:val="000000"/>
          <w:sz w:val="24"/>
          <w:szCs w:val="24"/>
        </w:rPr>
        <w:t>年</w:t>
      </w:r>
      <w:r>
        <w:rPr>
          <w:color w:val="000000"/>
          <w:sz w:val="24"/>
          <w:szCs w:val="24"/>
        </w:rPr>
        <w:t>5</w:t>
      </w:r>
      <w:r>
        <w:rPr>
          <w:color w:val="000000"/>
          <w:sz w:val="24"/>
          <w:szCs w:val="24"/>
        </w:rPr>
        <w:t>月，</w:t>
      </w:r>
      <w:r>
        <w:rPr>
          <w:color w:val="000000"/>
          <w:sz w:val="24"/>
          <w:szCs w:val="24"/>
        </w:rPr>
        <w:t>8</w:t>
      </w:r>
      <w:r>
        <w:rPr>
          <w:color w:val="000000"/>
          <w:sz w:val="24"/>
          <w:szCs w:val="24"/>
        </w:rPr>
        <w:t>月，</w:t>
      </w:r>
      <w:r>
        <w:rPr>
          <w:color w:val="000000"/>
          <w:sz w:val="24"/>
          <w:szCs w:val="24"/>
        </w:rPr>
        <w:t>11</w:t>
      </w:r>
      <w:r>
        <w:rPr>
          <w:color w:val="000000"/>
          <w:sz w:val="24"/>
          <w:szCs w:val="24"/>
        </w:rPr>
        <w:t>月进行调整。在</w:t>
      </w:r>
      <w:r>
        <w:rPr>
          <w:color w:val="000000"/>
          <w:sz w:val="24"/>
          <w:szCs w:val="24"/>
        </w:rPr>
        <w:t>8</w:t>
      </w:r>
      <w:r>
        <w:rPr>
          <w:color w:val="000000"/>
          <w:sz w:val="24"/>
          <w:szCs w:val="24"/>
        </w:rPr>
        <w:t>月底，权重因子已经提升到</w:t>
      </w:r>
      <w:r>
        <w:rPr>
          <w:color w:val="000000"/>
          <w:sz w:val="24"/>
          <w:szCs w:val="24"/>
        </w:rPr>
        <w:t>15%</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基金运作层面，报告期内，本基金严守基金合同认真对待投资者申购、赎回以及成分股调整事项，保障基金的正常运作。</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1F71AE" w:rsidRDefault="00944134">
      <w:pPr>
        <w:spacing w:line="360" w:lineRule="auto"/>
        <w:ind w:firstLineChars="200" w:firstLine="480"/>
        <w:rPr>
          <w:color w:val="000000"/>
          <w:sz w:val="24"/>
          <w:szCs w:val="24"/>
        </w:rPr>
      </w:pPr>
      <w:r>
        <w:rPr>
          <w:color w:val="000000"/>
          <w:sz w:val="24"/>
          <w:szCs w:val="24"/>
        </w:rPr>
        <w:t>截至报告期末，本基金份额净值为</w:t>
      </w:r>
      <w:r>
        <w:rPr>
          <w:color w:val="000000"/>
          <w:sz w:val="24"/>
          <w:szCs w:val="24"/>
        </w:rPr>
        <w:t>1.0705</w:t>
      </w:r>
      <w:r>
        <w:rPr>
          <w:color w:val="000000"/>
          <w:sz w:val="24"/>
          <w:szCs w:val="24"/>
        </w:rPr>
        <w:t>元，本报告期份额净值增长率为</w:t>
      </w:r>
      <w:r>
        <w:rPr>
          <w:color w:val="000000"/>
          <w:sz w:val="24"/>
          <w:szCs w:val="24"/>
        </w:rPr>
        <w:t>1.69%</w:t>
      </w:r>
      <w:r>
        <w:rPr>
          <w:color w:val="000000"/>
          <w:sz w:val="24"/>
          <w:szCs w:val="24"/>
        </w:rPr>
        <w:t>，同期业绩比较基准收益率为</w:t>
      </w:r>
      <w:r>
        <w:rPr>
          <w:color w:val="000000"/>
          <w:sz w:val="24"/>
          <w:szCs w:val="24"/>
        </w:rPr>
        <w:t>-0.06%</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本报告期，本基金日跟踪偏离度的均值为</w:t>
      </w:r>
      <w:r w:rsidRPr="006C56AA">
        <w:rPr>
          <w:color w:val="000000"/>
          <w:sz w:val="24"/>
          <w:szCs w:val="24"/>
        </w:rPr>
        <w:t>0.03%</w:t>
      </w:r>
      <w:r w:rsidRPr="006C56AA">
        <w:rPr>
          <w:color w:val="000000"/>
          <w:sz w:val="24"/>
          <w:szCs w:val="24"/>
        </w:rPr>
        <w:t>，年化跟踪误差</w:t>
      </w:r>
      <w:r w:rsidRPr="006C56AA">
        <w:rPr>
          <w:color w:val="000000"/>
          <w:sz w:val="24"/>
          <w:szCs w:val="24"/>
        </w:rPr>
        <w:t>0.69%</w:t>
      </w:r>
      <w:r w:rsidRPr="006C56AA">
        <w:rPr>
          <w:color w:val="000000"/>
          <w:sz w:val="24"/>
          <w:szCs w:val="24"/>
        </w:rPr>
        <w:t>，在合同规定的目标控制范围之内。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621,146,035.67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98.35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621,146,035.67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98.35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5,064,758.02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0.80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5,382,760.91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0.85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631,593,554.60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注：上表中的股票投资项含可退替代款估值增值，而</w:t>
      </w:r>
      <w:r w:rsidRPr="006C56AA">
        <w:rPr>
          <w:color w:val="000000"/>
          <w:sz w:val="24"/>
          <w:szCs w:val="24"/>
        </w:rPr>
        <w:t>5.2</w:t>
      </w:r>
      <w:r w:rsidRPr="006C56AA">
        <w:rPr>
          <w:color w:val="000000"/>
          <w:sz w:val="24"/>
          <w:szCs w:val="24"/>
        </w:rPr>
        <w:t>的合计项不含可退替代款估值增值。</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9,040,094.00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1.44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21,058,672.89</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3.36</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249,546,224.08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39.81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22,953,830.23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20,358,653.72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10,398,233.54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17,636,600.00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25,811,636.38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192,463,291.48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30.70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28,942,409.85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4.62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8,689,816.48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3,641,400.00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0.58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396,480.00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5,685,022.86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3,879,962.00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643,708.16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621,146,035.67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99.09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1F71AE">
        <w:tc>
          <w:tcPr>
            <w:tcW w:w="851" w:type="dxa"/>
            <w:vAlign w:val="center"/>
          </w:tcPr>
          <w:p w:rsidR="001F71AE" w:rsidRDefault="00944134">
            <w:pPr>
              <w:jc w:val="center"/>
            </w:pPr>
            <w:r>
              <w:rPr>
                <w:color w:val="000000"/>
                <w:kern w:val="0"/>
                <w:sz w:val="24"/>
                <w:szCs w:val="24"/>
              </w:rPr>
              <w:t>1</w:t>
            </w:r>
          </w:p>
        </w:tc>
        <w:tc>
          <w:tcPr>
            <w:tcW w:w="1276" w:type="dxa"/>
            <w:vAlign w:val="center"/>
          </w:tcPr>
          <w:p w:rsidR="001F71AE" w:rsidRDefault="00944134">
            <w:pPr>
              <w:jc w:val="center"/>
            </w:pPr>
            <w:r>
              <w:rPr>
                <w:color w:val="000000"/>
                <w:kern w:val="0"/>
                <w:sz w:val="24"/>
                <w:szCs w:val="24"/>
              </w:rPr>
              <w:t>600519</w:t>
            </w:r>
          </w:p>
        </w:tc>
        <w:tc>
          <w:tcPr>
            <w:tcW w:w="1418" w:type="dxa"/>
            <w:vAlign w:val="center"/>
          </w:tcPr>
          <w:p w:rsidR="001F71AE" w:rsidRDefault="00944134">
            <w:pPr>
              <w:jc w:val="center"/>
            </w:pPr>
            <w:r>
              <w:rPr>
                <w:color w:val="000000"/>
                <w:kern w:val="0"/>
                <w:sz w:val="24"/>
                <w:szCs w:val="24"/>
              </w:rPr>
              <w:t>贵州茅台</w:t>
            </w:r>
          </w:p>
        </w:tc>
        <w:tc>
          <w:tcPr>
            <w:tcW w:w="1701" w:type="dxa"/>
            <w:vAlign w:val="center"/>
          </w:tcPr>
          <w:p w:rsidR="001F71AE" w:rsidRDefault="00944134">
            <w:pPr>
              <w:jc w:val="right"/>
            </w:pPr>
            <w:r>
              <w:rPr>
                <w:color w:val="000000"/>
                <w:kern w:val="0"/>
                <w:sz w:val="24"/>
                <w:szCs w:val="24"/>
              </w:rPr>
              <w:t>36,800</w:t>
            </w:r>
          </w:p>
        </w:tc>
        <w:tc>
          <w:tcPr>
            <w:tcW w:w="1984" w:type="dxa"/>
            <w:vAlign w:val="center"/>
          </w:tcPr>
          <w:p w:rsidR="001F71AE" w:rsidRDefault="00944134">
            <w:pPr>
              <w:jc w:val="right"/>
            </w:pPr>
            <w:r>
              <w:rPr>
                <w:color w:val="000000"/>
                <w:kern w:val="0"/>
                <w:sz w:val="24"/>
                <w:szCs w:val="24"/>
              </w:rPr>
              <w:t>42,320,000.00</w:t>
            </w:r>
          </w:p>
        </w:tc>
        <w:tc>
          <w:tcPr>
            <w:tcW w:w="1559" w:type="dxa"/>
            <w:vAlign w:val="center"/>
          </w:tcPr>
          <w:p w:rsidR="001F71AE" w:rsidRDefault="00944134">
            <w:pPr>
              <w:jc w:val="right"/>
            </w:pPr>
            <w:r>
              <w:rPr>
                <w:color w:val="000000"/>
                <w:kern w:val="0"/>
                <w:sz w:val="24"/>
                <w:szCs w:val="24"/>
              </w:rPr>
              <w:t>6.75</w:t>
            </w:r>
          </w:p>
        </w:tc>
      </w:tr>
      <w:tr w:rsidR="001F71AE">
        <w:tc>
          <w:tcPr>
            <w:tcW w:w="851" w:type="dxa"/>
            <w:vAlign w:val="center"/>
          </w:tcPr>
          <w:p w:rsidR="001F71AE" w:rsidRDefault="00944134">
            <w:pPr>
              <w:jc w:val="center"/>
            </w:pPr>
            <w:r>
              <w:rPr>
                <w:color w:val="000000"/>
                <w:kern w:val="0"/>
                <w:sz w:val="24"/>
                <w:szCs w:val="24"/>
              </w:rPr>
              <w:t>2</w:t>
            </w:r>
          </w:p>
        </w:tc>
        <w:tc>
          <w:tcPr>
            <w:tcW w:w="1276" w:type="dxa"/>
            <w:vAlign w:val="center"/>
          </w:tcPr>
          <w:p w:rsidR="001F71AE" w:rsidRDefault="00944134">
            <w:pPr>
              <w:jc w:val="center"/>
            </w:pPr>
            <w:r>
              <w:rPr>
                <w:color w:val="000000"/>
                <w:kern w:val="0"/>
                <w:sz w:val="24"/>
                <w:szCs w:val="24"/>
              </w:rPr>
              <w:t>601318</w:t>
            </w:r>
          </w:p>
        </w:tc>
        <w:tc>
          <w:tcPr>
            <w:tcW w:w="1418" w:type="dxa"/>
            <w:vAlign w:val="center"/>
          </w:tcPr>
          <w:p w:rsidR="001F71AE" w:rsidRDefault="00944134">
            <w:pPr>
              <w:jc w:val="center"/>
            </w:pPr>
            <w:r>
              <w:rPr>
                <w:color w:val="000000"/>
                <w:kern w:val="0"/>
                <w:sz w:val="24"/>
                <w:szCs w:val="24"/>
              </w:rPr>
              <w:t>中国平安</w:t>
            </w:r>
          </w:p>
        </w:tc>
        <w:tc>
          <w:tcPr>
            <w:tcW w:w="1701" w:type="dxa"/>
            <w:vAlign w:val="center"/>
          </w:tcPr>
          <w:p w:rsidR="001F71AE" w:rsidRDefault="00944134">
            <w:pPr>
              <w:jc w:val="right"/>
            </w:pPr>
            <w:r>
              <w:rPr>
                <w:color w:val="000000"/>
                <w:kern w:val="0"/>
                <w:sz w:val="24"/>
                <w:szCs w:val="24"/>
              </w:rPr>
              <w:t>309,700</w:t>
            </w:r>
          </w:p>
        </w:tc>
        <w:tc>
          <w:tcPr>
            <w:tcW w:w="1984" w:type="dxa"/>
            <w:vAlign w:val="center"/>
          </w:tcPr>
          <w:p w:rsidR="001F71AE" w:rsidRDefault="00944134">
            <w:pPr>
              <w:jc w:val="right"/>
            </w:pPr>
            <w:r>
              <w:rPr>
                <w:color w:val="000000"/>
                <w:kern w:val="0"/>
                <w:sz w:val="24"/>
                <w:szCs w:val="24"/>
              </w:rPr>
              <w:t>26,956,288.00</w:t>
            </w:r>
          </w:p>
        </w:tc>
        <w:tc>
          <w:tcPr>
            <w:tcW w:w="1559" w:type="dxa"/>
            <w:vAlign w:val="center"/>
          </w:tcPr>
          <w:p w:rsidR="001F71AE" w:rsidRDefault="00944134">
            <w:pPr>
              <w:jc w:val="right"/>
            </w:pPr>
            <w:r>
              <w:rPr>
                <w:color w:val="000000"/>
                <w:kern w:val="0"/>
                <w:sz w:val="24"/>
                <w:szCs w:val="24"/>
              </w:rPr>
              <w:t>4.30</w:t>
            </w:r>
          </w:p>
        </w:tc>
      </w:tr>
      <w:tr w:rsidR="001F71AE">
        <w:tc>
          <w:tcPr>
            <w:tcW w:w="851" w:type="dxa"/>
            <w:vAlign w:val="center"/>
          </w:tcPr>
          <w:p w:rsidR="001F71AE" w:rsidRDefault="00944134">
            <w:pPr>
              <w:jc w:val="center"/>
            </w:pPr>
            <w:r>
              <w:rPr>
                <w:color w:val="000000"/>
                <w:kern w:val="0"/>
                <w:sz w:val="24"/>
                <w:szCs w:val="24"/>
              </w:rPr>
              <w:t>3</w:t>
            </w:r>
          </w:p>
        </w:tc>
        <w:tc>
          <w:tcPr>
            <w:tcW w:w="1276" w:type="dxa"/>
            <w:vAlign w:val="center"/>
          </w:tcPr>
          <w:p w:rsidR="001F71AE" w:rsidRDefault="00944134">
            <w:pPr>
              <w:jc w:val="center"/>
            </w:pPr>
            <w:r>
              <w:rPr>
                <w:color w:val="000000"/>
                <w:kern w:val="0"/>
                <w:sz w:val="24"/>
                <w:szCs w:val="24"/>
              </w:rPr>
              <w:t>600036</w:t>
            </w:r>
          </w:p>
        </w:tc>
        <w:tc>
          <w:tcPr>
            <w:tcW w:w="1418" w:type="dxa"/>
            <w:vAlign w:val="center"/>
          </w:tcPr>
          <w:p w:rsidR="001F71AE" w:rsidRDefault="00944134">
            <w:pPr>
              <w:jc w:val="center"/>
            </w:pPr>
            <w:r>
              <w:rPr>
                <w:color w:val="000000"/>
                <w:kern w:val="0"/>
                <w:sz w:val="24"/>
                <w:szCs w:val="24"/>
              </w:rPr>
              <w:t>招商银行</w:t>
            </w:r>
          </w:p>
        </w:tc>
        <w:tc>
          <w:tcPr>
            <w:tcW w:w="1701" w:type="dxa"/>
            <w:vAlign w:val="center"/>
          </w:tcPr>
          <w:p w:rsidR="001F71AE" w:rsidRDefault="00944134">
            <w:pPr>
              <w:jc w:val="right"/>
            </w:pPr>
            <w:r>
              <w:rPr>
                <w:color w:val="000000"/>
                <w:kern w:val="0"/>
                <w:sz w:val="24"/>
                <w:szCs w:val="24"/>
              </w:rPr>
              <w:t>594,000</w:t>
            </w:r>
          </w:p>
        </w:tc>
        <w:tc>
          <w:tcPr>
            <w:tcW w:w="1984" w:type="dxa"/>
            <w:vAlign w:val="center"/>
          </w:tcPr>
          <w:p w:rsidR="001F71AE" w:rsidRDefault="00944134">
            <w:pPr>
              <w:jc w:val="right"/>
            </w:pPr>
            <w:r>
              <w:rPr>
                <w:color w:val="000000"/>
                <w:kern w:val="0"/>
                <w:sz w:val="24"/>
                <w:szCs w:val="24"/>
              </w:rPr>
              <w:t>20,641,500.00</w:t>
            </w:r>
          </w:p>
        </w:tc>
        <w:tc>
          <w:tcPr>
            <w:tcW w:w="1559" w:type="dxa"/>
            <w:vAlign w:val="center"/>
          </w:tcPr>
          <w:p w:rsidR="001F71AE" w:rsidRDefault="00944134">
            <w:pPr>
              <w:jc w:val="right"/>
            </w:pPr>
            <w:r>
              <w:rPr>
                <w:color w:val="000000"/>
                <w:kern w:val="0"/>
                <w:sz w:val="24"/>
                <w:szCs w:val="24"/>
              </w:rPr>
              <w:t>3.29</w:t>
            </w:r>
          </w:p>
        </w:tc>
      </w:tr>
      <w:tr w:rsidR="001F71AE">
        <w:tc>
          <w:tcPr>
            <w:tcW w:w="851" w:type="dxa"/>
            <w:vAlign w:val="center"/>
          </w:tcPr>
          <w:p w:rsidR="001F71AE" w:rsidRDefault="00944134">
            <w:pPr>
              <w:jc w:val="center"/>
            </w:pPr>
            <w:r>
              <w:rPr>
                <w:color w:val="000000"/>
                <w:kern w:val="0"/>
                <w:sz w:val="24"/>
                <w:szCs w:val="24"/>
              </w:rPr>
              <w:t>4</w:t>
            </w:r>
          </w:p>
        </w:tc>
        <w:tc>
          <w:tcPr>
            <w:tcW w:w="1276" w:type="dxa"/>
            <w:vAlign w:val="center"/>
          </w:tcPr>
          <w:p w:rsidR="001F71AE" w:rsidRDefault="00944134">
            <w:pPr>
              <w:jc w:val="center"/>
            </w:pPr>
            <w:r>
              <w:rPr>
                <w:color w:val="000000"/>
                <w:kern w:val="0"/>
                <w:sz w:val="24"/>
                <w:szCs w:val="24"/>
              </w:rPr>
              <w:t>000858</w:t>
            </w:r>
          </w:p>
        </w:tc>
        <w:tc>
          <w:tcPr>
            <w:tcW w:w="1418" w:type="dxa"/>
            <w:vAlign w:val="center"/>
          </w:tcPr>
          <w:p w:rsidR="001F71AE" w:rsidRDefault="00944134">
            <w:pPr>
              <w:jc w:val="center"/>
            </w:pPr>
            <w:r>
              <w:rPr>
                <w:color w:val="000000"/>
                <w:kern w:val="0"/>
                <w:sz w:val="24"/>
                <w:szCs w:val="24"/>
              </w:rPr>
              <w:t>五粮液</w:t>
            </w:r>
          </w:p>
        </w:tc>
        <w:tc>
          <w:tcPr>
            <w:tcW w:w="1701" w:type="dxa"/>
            <w:vAlign w:val="center"/>
          </w:tcPr>
          <w:p w:rsidR="001F71AE" w:rsidRDefault="00944134">
            <w:pPr>
              <w:jc w:val="right"/>
            </w:pPr>
            <w:r>
              <w:rPr>
                <w:color w:val="000000"/>
                <w:kern w:val="0"/>
                <w:sz w:val="24"/>
                <w:szCs w:val="24"/>
              </w:rPr>
              <w:t>109,500</w:t>
            </w:r>
          </w:p>
        </w:tc>
        <w:tc>
          <w:tcPr>
            <w:tcW w:w="1984" w:type="dxa"/>
            <w:vAlign w:val="center"/>
          </w:tcPr>
          <w:p w:rsidR="001F71AE" w:rsidRDefault="00944134">
            <w:pPr>
              <w:jc w:val="right"/>
            </w:pPr>
            <w:r>
              <w:rPr>
                <w:color w:val="000000"/>
                <w:kern w:val="0"/>
                <w:sz w:val="24"/>
                <w:szCs w:val="24"/>
              </w:rPr>
              <w:t>14,213,100.00</w:t>
            </w:r>
          </w:p>
        </w:tc>
        <w:tc>
          <w:tcPr>
            <w:tcW w:w="1559" w:type="dxa"/>
            <w:vAlign w:val="center"/>
          </w:tcPr>
          <w:p w:rsidR="001F71AE" w:rsidRDefault="00944134">
            <w:pPr>
              <w:jc w:val="right"/>
            </w:pPr>
            <w:r>
              <w:rPr>
                <w:color w:val="000000"/>
                <w:kern w:val="0"/>
                <w:sz w:val="24"/>
                <w:szCs w:val="24"/>
              </w:rPr>
              <w:t>2.27</w:t>
            </w:r>
          </w:p>
        </w:tc>
      </w:tr>
      <w:tr w:rsidR="001F71AE">
        <w:tc>
          <w:tcPr>
            <w:tcW w:w="851" w:type="dxa"/>
            <w:vAlign w:val="center"/>
          </w:tcPr>
          <w:p w:rsidR="001F71AE" w:rsidRDefault="00944134">
            <w:pPr>
              <w:jc w:val="center"/>
            </w:pPr>
            <w:r>
              <w:rPr>
                <w:color w:val="000000"/>
                <w:kern w:val="0"/>
                <w:sz w:val="24"/>
                <w:szCs w:val="24"/>
              </w:rPr>
              <w:t>5</w:t>
            </w:r>
          </w:p>
        </w:tc>
        <w:tc>
          <w:tcPr>
            <w:tcW w:w="1276" w:type="dxa"/>
            <w:vAlign w:val="center"/>
          </w:tcPr>
          <w:p w:rsidR="001F71AE" w:rsidRDefault="00944134">
            <w:pPr>
              <w:jc w:val="center"/>
            </w:pPr>
            <w:r>
              <w:rPr>
                <w:color w:val="000000"/>
                <w:kern w:val="0"/>
                <w:sz w:val="24"/>
                <w:szCs w:val="24"/>
              </w:rPr>
              <w:t>600900</w:t>
            </w:r>
          </w:p>
        </w:tc>
        <w:tc>
          <w:tcPr>
            <w:tcW w:w="1418" w:type="dxa"/>
            <w:vAlign w:val="center"/>
          </w:tcPr>
          <w:p w:rsidR="001F71AE" w:rsidRDefault="00944134">
            <w:pPr>
              <w:jc w:val="center"/>
            </w:pPr>
            <w:r>
              <w:rPr>
                <w:color w:val="000000"/>
                <w:kern w:val="0"/>
                <w:sz w:val="24"/>
                <w:szCs w:val="24"/>
              </w:rPr>
              <w:t>长江电力</w:t>
            </w:r>
          </w:p>
        </w:tc>
        <w:tc>
          <w:tcPr>
            <w:tcW w:w="1701" w:type="dxa"/>
            <w:vAlign w:val="center"/>
          </w:tcPr>
          <w:p w:rsidR="001F71AE" w:rsidRDefault="00944134">
            <w:pPr>
              <w:jc w:val="right"/>
            </w:pPr>
            <w:r>
              <w:rPr>
                <w:color w:val="000000"/>
                <w:kern w:val="0"/>
                <w:sz w:val="24"/>
                <w:szCs w:val="24"/>
              </w:rPr>
              <w:t>612,921</w:t>
            </w:r>
          </w:p>
        </w:tc>
        <w:tc>
          <w:tcPr>
            <w:tcW w:w="1984" w:type="dxa"/>
            <w:vAlign w:val="center"/>
          </w:tcPr>
          <w:p w:rsidR="001F71AE" w:rsidRDefault="00944134">
            <w:pPr>
              <w:jc w:val="right"/>
            </w:pPr>
            <w:r>
              <w:rPr>
                <w:color w:val="000000"/>
                <w:kern w:val="0"/>
                <w:sz w:val="24"/>
                <w:szCs w:val="24"/>
              </w:rPr>
              <w:t>11,173,549.83</w:t>
            </w:r>
          </w:p>
        </w:tc>
        <w:tc>
          <w:tcPr>
            <w:tcW w:w="1559" w:type="dxa"/>
            <w:vAlign w:val="center"/>
          </w:tcPr>
          <w:p w:rsidR="001F71AE" w:rsidRDefault="00944134">
            <w:pPr>
              <w:jc w:val="right"/>
            </w:pPr>
            <w:r>
              <w:rPr>
                <w:color w:val="000000"/>
                <w:kern w:val="0"/>
                <w:sz w:val="24"/>
                <w:szCs w:val="24"/>
              </w:rPr>
              <w:t>1.78</w:t>
            </w:r>
          </w:p>
        </w:tc>
      </w:tr>
      <w:tr w:rsidR="001F71AE">
        <w:tc>
          <w:tcPr>
            <w:tcW w:w="851" w:type="dxa"/>
            <w:vAlign w:val="center"/>
          </w:tcPr>
          <w:p w:rsidR="001F71AE" w:rsidRDefault="00944134">
            <w:pPr>
              <w:jc w:val="center"/>
            </w:pPr>
            <w:r>
              <w:rPr>
                <w:color w:val="000000"/>
                <w:kern w:val="0"/>
                <w:sz w:val="24"/>
                <w:szCs w:val="24"/>
              </w:rPr>
              <w:t>6</w:t>
            </w:r>
          </w:p>
        </w:tc>
        <w:tc>
          <w:tcPr>
            <w:tcW w:w="1276" w:type="dxa"/>
            <w:vAlign w:val="center"/>
          </w:tcPr>
          <w:p w:rsidR="001F71AE" w:rsidRDefault="00944134">
            <w:pPr>
              <w:jc w:val="center"/>
            </w:pPr>
            <w:r>
              <w:rPr>
                <w:color w:val="000000"/>
                <w:kern w:val="0"/>
                <w:sz w:val="24"/>
                <w:szCs w:val="24"/>
              </w:rPr>
              <w:t>601166</w:t>
            </w:r>
          </w:p>
        </w:tc>
        <w:tc>
          <w:tcPr>
            <w:tcW w:w="1418" w:type="dxa"/>
            <w:vAlign w:val="center"/>
          </w:tcPr>
          <w:p w:rsidR="001F71AE" w:rsidRDefault="00944134">
            <w:pPr>
              <w:jc w:val="center"/>
            </w:pPr>
            <w:r>
              <w:rPr>
                <w:color w:val="000000"/>
                <w:kern w:val="0"/>
                <w:sz w:val="24"/>
                <w:szCs w:val="24"/>
              </w:rPr>
              <w:t>兴业银行</w:t>
            </w:r>
          </w:p>
        </w:tc>
        <w:tc>
          <w:tcPr>
            <w:tcW w:w="1701" w:type="dxa"/>
            <w:vAlign w:val="center"/>
          </w:tcPr>
          <w:p w:rsidR="001F71AE" w:rsidRDefault="00944134">
            <w:pPr>
              <w:jc w:val="right"/>
            </w:pPr>
            <w:r>
              <w:rPr>
                <w:color w:val="000000"/>
                <w:kern w:val="0"/>
                <w:sz w:val="24"/>
                <w:szCs w:val="24"/>
              </w:rPr>
              <w:t>594,833</w:t>
            </w:r>
          </w:p>
        </w:tc>
        <w:tc>
          <w:tcPr>
            <w:tcW w:w="1984" w:type="dxa"/>
            <w:vAlign w:val="center"/>
          </w:tcPr>
          <w:p w:rsidR="001F71AE" w:rsidRDefault="00944134">
            <w:pPr>
              <w:jc w:val="right"/>
            </w:pPr>
            <w:r>
              <w:rPr>
                <w:color w:val="000000"/>
                <w:kern w:val="0"/>
                <w:sz w:val="24"/>
                <w:szCs w:val="24"/>
              </w:rPr>
              <w:t>10,427,422.49</w:t>
            </w:r>
          </w:p>
        </w:tc>
        <w:tc>
          <w:tcPr>
            <w:tcW w:w="1559" w:type="dxa"/>
            <w:vAlign w:val="center"/>
          </w:tcPr>
          <w:p w:rsidR="001F71AE" w:rsidRDefault="00944134">
            <w:pPr>
              <w:jc w:val="right"/>
            </w:pPr>
            <w:r>
              <w:rPr>
                <w:color w:val="000000"/>
                <w:kern w:val="0"/>
                <w:sz w:val="24"/>
                <w:szCs w:val="24"/>
              </w:rPr>
              <w:t>1.66</w:t>
            </w:r>
          </w:p>
        </w:tc>
      </w:tr>
      <w:tr w:rsidR="001F71AE">
        <w:tc>
          <w:tcPr>
            <w:tcW w:w="851" w:type="dxa"/>
            <w:vAlign w:val="center"/>
          </w:tcPr>
          <w:p w:rsidR="001F71AE" w:rsidRDefault="00944134">
            <w:pPr>
              <w:jc w:val="center"/>
            </w:pPr>
            <w:r>
              <w:rPr>
                <w:color w:val="000000"/>
                <w:kern w:val="0"/>
                <w:sz w:val="24"/>
                <w:szCs w:val="24"/>
              </w:rPr>
              <w:t>7</w:t>
            </w:r>
          </w:p>
        </w:tc>
        <w:tc>
          <w:tcPr>
            <w:tcW w:w="1276" w:type="dxa"/>
            <w:vAlign w:val="center"/>
          </w:tcPr>
          <w:p w:rsidR="001F71AE" w:rsidRDefault="00944134">
            <w:pPr>
              <w:jc w:val="center"/>
            </w:pPr>
            <w:r>
              <w:rPr>
                <w:color w:val="000000"/>
                <w:kern w:val="0"/>
                <w:sz w:val="24"/>
                <w:szCs w:val="24"/>
              </w:rPr>
              <w:t>600276</w:t>
            </w:r>
          </w:p>
        </w:tc>
        <w:tc>
          <w:tcPr>
            <w:tcW w:w="1418" w:type="dxa"/>
            <w:vAlign w:val="center"/>
          </w:tcPr>
          <w:p w:rsidR="001F71AE" w:rsidRDefault="00944134">
            <w:pPr>
              <w:jc w:val="center"/>
            </w:pPr>
            <w:r>
              <w:rPr>
                <w:color w:val="000000"/>
                <w:kern w:val="0"/>
                <w:sz w:val="24"/>
                <w:szCs w:val="24"/>
              </w:rPr>
              <w:t>恒瑞医药</w:t>
            </w:r>
          </w:p>
        </w:tc>
        <w:tc>
          <w:tcPr>
            <w:tcW w:w="1701" w:type="dxa"/>
            <w:vAlign w:val="center"/>
          </w:tcPr>
          <w:p w:rsidR="001F71AE" w:rsidRDefault="00944134">
            <w:pPr>
              <w:jc w:val="right"/>
            </w:pPr>
            <w:r>
              <w:rPr>
                <w:color w:val="000000"/>
                <w:kern w:val="0"/>
                <w:sz w:val="24"/>
                <w:szCs w:val="24"/>
              </w:rPr>
              <w:t>128,618</w:t>
            </w:r>
          </w:p>
        </w:tc>
        <w:tc>
          <w:tcPr>
            <w:tcW w:w="1984" w:type="dxa"/>
            <w:vAlign w:val="center"/>
          </w:tcPr>
          <w:p w:rsidR="001F71AE" w:rsidRDefault="00944134">
            <w:pPr>
              <w:jc w:val="right"/>
            </w:pPr>
            <w:r>
              <w:rPr>
                <w:color w:val="000000"/>
                <w:kern w:val="0"/>
                <w:sz w:val="24"/>
                <w:szCs w:val="24"/>
              </w:rPr>
              <w:t>10,376,900.24</w:t>
            </w:r>
          </w:p>
        </w:tc>
        <w:tc>
          <w:tcPr>
            <w:tcW w:w="1559" w:type="dxa"/>
            <w:vAlign w:val="center"/>
          </w:tcPr>
          <w:p w:rsidR="001F71AE" w:rsidRDefault="00944134">
            <w:pPr>
              <w:jc w:val="right"/>
            </w:pPr>
            <w:r>
              <w:rPr>
                <w:color w:val="000000"/>
                <w:kern w:val="0"/>
                <w:sz w:val="24"/>
                <w:szCs w:val="24"/>
              </w:rPr>
              <w:t>1.66</w:t>
            </w:r>
          </w:p>
        </w:tc>
      </w:tr>
      <w:tr w:rsidR="001F71AE">
        <w:tc>
          <w:tcPr>
            <w:tcW w:w="851" w:type="dxa"/>
            <w:vAlign w:val="center"/>
          </w:tcPr>
          <w:p w:rsidR="001F71AE" w:rsidRDefault="00944134">
            <w:pPr>
              <w:jc w:val="center"/>
            </w:pPr>
            <w:r>
              <w:rPr>
                <w:color w:val="000000"/>
                <w:kern w:val="0"/>
                <w:sz w:val="24"/>
                <w:szCs w:val="24"/>
              </w:rPr>
              <w:t>8</w:t>
            </w:r>
          </w:p>
        </w:tc>
        <w:tc>
          <w:tcPr>
            <w:tcW w:w="1276" w:type="dxa"/>
            <w:vAlign w:val="center"/>
          </w:tcPr>
          <w:p w:rsidR="001F71AE" w:rsidRDefault="00944134">
            <w:pPr>
              <w:jc w:val="center"/>
            </w:pPr>
            <w:r>
              <w:rPr>
                <w:color w:val="000000"/>
                <w:kern w:val="0"/>
                <w:sz w:val="24"/>
                <w:szCs w:val="24"/>
              </w:rPr>
              <w:t>600000</w:t>
            </w:r>
          </w:p>
        </w:tc>
        <w:tc>
          <w:tcPr>
            <w:tcW w:w="1418" w:type="dxa"/>
            <w:vAlign w:val="center"/>
          </w:tcPr>
          <w:p w:rsidR="001F71AE" w:rsidRDefault="00944134">
            <w:pPr>
              <w:jc w:val="center"/>
            </w:pPr>
            <w:r>
              <w:rPr>
                <w:color w:val="000000"/>
                <w:kern w:val="0"/>
                <w:sz w:val="24"/>
                <w:szCs w:val="24"/>
              </w:rPr>
              <w:t>浦发银行</w:t>
            </w:r>
          </w:p>
        </w:tc>
        <w:tc>
          <w:tcPr>
            <w:tcW w:w="1701" w:type="dxa"/>
            <w:vAlign w:val="center"/>
          </w:tcPr>
          <w:p w:rsidR="001F71AE" w:rsidRDefault="00944134">
            <w:pPr>
              <w:jc w:val="right"/>
            </w:pPr>
            <w:r>
              <w:rPr>
                <w:color w:val="000000"/>
                <w:kern w:val="0"/>
                <w:sz w:val="24"/>
                <w:szCs w:val="24"/>
              </w:rPr>
              <w:t>842,770</w:t>
            </w:r>
          </w:p>
        </w:tc>
        <w:tc>
          <w:tcPr>
            <w:tcW w:w="1984" w:type="dxa"/>
            <w:vAlign w:val="center"/>
          </w:tcPr>
          <w:p w:rsidR="001F71AE" w:rsidRDefault="00944134">
            <w:pPr>
              <w:jc w:val="right"/>
            </w:pPr>
            <w:r>
              <w:rPr>
                <w:color w:val="000000"/>
                <w:kern w:val="0"/>
                <w:sz w:val="24"/>
                <w:szCs w:val="24"/>
              </w:rPr>
              <w:t>9,978,396.80</w:t>
            </w:r>
          </w:p>
        </w:tc>
        <w:tc>
          <w:tcPr>
            <w:tcW w:w="1559" w:type="dxa"/>
            <w:vAlign w:val="center"/>
          </w:tcPr>
          <w:p w:rsidR="001F71AE" w:rsidRDefault="00944134">
            <w:pPr>
              <w:jc w:val="right"/>
            </w:pPr>
            <w:r>
              <w:rPr>
                <w:color w:val="000000"/>
                <w:kern w:val="0"/>
                <w:sz w:val="24"/>
                <w:szCs w:val="24"/>
              </w:rPr>
              <w:t>1.59</w:t>
            </w:r>
          </w:p>
        </w:tc>
      </w:tr>
      <w:tr w:rsidR="001F71AE">
        <w:tc>
          <w:tcPr>
            <w:tcW w:w="851" w:type="dxa"/>
            <w:vAlign w:val="center"/>
          </w:tcPr>
          <w:p w:rsidR="001F71AE" w:rsidRDefault="00944134">
            <w:pPr>
              <w:jc w:val="center"/>
            </w:pPr>
            <w:r>
              <w:rPr>
                <w:color w:val="000000"/>
                <w:kern w:val="0"/>
                <w:sz w:val="24"/>
                <w:szCs w:val="24"/>
              </w:rPr>
              <w:t>9</w:t>
            </w:r>
          </w:p>
        </w:tc>
        <w:tc>
          <w:tcPr>
            <w:tcW w:w="1276" w:type="dxa"/>
            <w:vAlign w:val="center"/>
          </w:tcPr>
          <w:p w:rsidR="001F71AE" w:rsidRDefault="00944134">
            <w:pPr>
              <w:jc w:val="center"/>
            </w:pPr>
            <w:r>
              <w:rPr>
                <w:color w:val="000000"/>
                <w:kern w:val="0"/>
                <w:sz w:val="24"/>
                <w:szCs w:val="24"/>
              </w:rPr>
              <w:t>601398</w:t>
            </w:r>
          </w:p>
        </w:tc>
        <w:tc>
          <w:tcPr>
            <w:tcW w:w="1418" w:type="dxa"/>
            <w:vAlign w:val="center"/>
          </w:tcPr>
          <w:p w:rsidR="001F71AE" w:rsidRDefault="00944134">
            <w:pPr>
              <w:jc w:val="center"/>
            </w:pPr>
            <w:r>
              <w:rPr>
                <w:color w:val="000000"/>
                <w:kern w:val="0"/>
                <w:sz w:val="24"/>
                <w:szCs w:val="24"/>
              </w:rPr>
              <w:t>工商银行</w:t>
            </w:r>
          </w:p>
        </w:tc>
        <w:tc>
          <w:tcPr>
            <w:tcW w:w="1701" w:type="dxa"/>
            <w:vAlign w:val="center"/>
          </w:tcPr>
          <w:p w:rsidR="001F71AE" w:rsidRDefault="00944134">
            <w:pPr>
              <w:jc w:val="right"/>
            </w:pPr>
            <w:r>
              <w:rPr>
                <w:color w:val="000000"/>
                <w:kern w:val="0"/>
                <w:sz w:val="24"/>
                <w:szCs w:val="24"/>
              </w:rPr>
              <w:t>1,546,700</w:t>
            </w:r>
          </w:p>
        </w:tc>
        <w:tc>
          <w:tcPr>
            <w:tcW w:w="1984" w:type="dxa"/>
            <w:vAlign w:val="center"/>
          </w:tcPr>
          <w:p w:rsidR="001F71AE" w:rsidRDefault="00944134">
            <w:pPr>
              <w:jc w:val="right"/>
            </w:pPr>
            <w:r>
              <w:rPr>
                <w:color w:val="000000"/>
                <w:kern w:val="0"/>
                <w:sz w:val="24"/>
                <w:szCs w:val="24"/>
              </w:rPr>
              <w:t>8,553,251.00</w:t>
            </w:r>
          </w:p>
        </w:tc>
        <w:tc>
          <w:tcPr>
            <w:tcW w:w="1559" w:type="dxa"/>
            <w:vAlign w:val="center"/>
          </w:tcPr>
          <w:p w:rsidR="001F71AE" w:rsidRDefault="00944134">
            <w:pPr>
              <w:jc w:val="right"/>
            </w:pPr>
            <w:r>
              <w:rPr>
                <w:color w:val="000000"/>
                <w:kern w:val="0"/>
                <w:sz w:val="24"/>
                <w:szCs w:val="24"/>
              </w:rPr>
              <w:t>1.36</w:t>
            </w:r>
          </w:p>
        </w:tc>
      </w:tr>
      <w:tr w:rsidR="001F71AE">
        <w:tc>
          <w:tcPr>
            <w:tcW w:w="851" w:type="dxa"/>
            <w:vAlign w:val="center"/>
          </w:tcPr>
          <w:p w:rsidR="001F71AE" w:rsidRDefault="00944134">
            <w:pPr>
              <w:jc w:val="center"/>
            </w:pPr>
            <w:r>
              <w:rPr>
                <w:color w:val="000000"/>
                <w:kern w:val="0"/>
                <w:sz w:val="24"/>
                <w:szCs w:val="24"/>
              </w:rPr>
              <w:t>10</w:t>
            </w:r>
          </w:p>
        </w:tc>
        <w:tc>
          <w:tcPr>
            <w:tcW w:w="1276" w:type="dxa"/>
            <w:vAlign w:val="center"/>
          </w:tcPr>
          <w:p w:rsidR="001F71AE" w:rsidRDefault="00944134">
            <w:pPr>
              <w:jc w:val="center"/>
            </w:pPr>
            <w:r>
              <w:rPr>
                <w:color w:val="000000"/>
                <w:kern w:val="0"/>
                <w:sz w:val="24"/>
                <w:szCs w:val="24"/>
              </w:rPr>
              <w:t>002415</w:t>
            </w:r>
          </w:p>
        </w:tc>
        <w:tc>
          <w:tcPr>
            <w:tcW w:w="1418" w:type="dxa"/>
            <w:vAlign w:val="center"/>
          </w:tcPr>
          <w:p w:rsidR="001F71AE" w:rsidRDefault="00944134">
            <w:pPr>
              <w:jc w:val="center"/>
            </w:pPr>
            <w:r>
              <w:rPr>
                <w:color w:val="000000"/>
                <w:kern w:val="0"/>
                <w:sz w:val="24"/>
                <w:szCs w:val="24"/>
              </w:rPr>
              <w:t>海康威视</w:t>
            </w:r>
          </w:p>
        </w:tc>
        <w:tc>
          <w:tcPr>
            <w:tcW w:w="1701" w:type="dxa"/>
            <w:vAlign w:val="center"/>
          </w:tcPr>
          <w:p w:rsidR="001F71AE" w:rsidRDefault="00944134">
            <w:pPr>
              <w:jc w:val="right"/>
            </w:pPr>
            <w:r>
              <w:rPr>
                <w:color w:val="000000"/>
                <w:kern w:val="0"/>
                <w:sz w:val="24"/>
                <w:szCs w:val="24"/>
              </w:rPr>
              <w:t>264,500</w:t>
            </w:r>
          </w:p>
        </w:tc>
        <w:tc>
          <w:tcPr>
            <w:tcW w:w="1984" w:type="dxa"/>
            <w:vAlign w:val="center"/>
          </w:tcPr>
          <w:p w:rsidR="001F71AE" w:rsidRDefault="00944134">
            <w:pPr>
              <w:jc w:val="right"/>
            </w:pPr>
            <w:r>
              <w:rPr>
                <w:color w:val="000000"/>
                <w:kern w:val="0"/>
                <w:sz w:val="24"/>
                <w:szCs w:val="24"/>
              </w:rPr>
              <w:t>8,543,350.00</w:t>
            </w:r>
          </w:p>
        </w:tc>
        <w:tc>
          <w:tcPr>
            <w:tcW w:w="1559" w:type="dxa"/>
            <w:vAlign w:val="center"/>
          </w:tcPr>
          <w:p w:rsidR="001F71AE" w:rsidRDefault="00944134">
            <w:pPr>
              <w:jc w:val="right"/>
            </w:pPr>
            <w:r>
              <w:rPr>
                <w:color w:val="000000"/>
                <w:kern w:val="0"/>
                <w:sz w:val="24"/>
                <w:szCs w:val="24"/>
              </w:rPr>
              <w:t>1.36</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5.11.12018年10月16日，上海保监局针对兴业银行股份有限公司信用卡中心电话销售欺骗投保人、电话销售向投保人隐瞒与合同有关的重要情况的违法违规行为，责令改正并处35万元罚款。</w:t>
      </w:r>
    </w:p>
    <w:p w:rsidR="001F71AE" w:rsidRDefault="00944134">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8</w:t>
      </w:r>
      <w:r>
        <w:rPr>
          <w:rFonts w:ascii="宋体" w:hAnsi="宋体"/>
          <w:color w:val="000000"/>
          <w:sz w:val="24"/>
          <w:szCs w:val="24"/>
        </w:rPr>
        <w:t>日，中国银行保险监督管理委员会上海监管局针对兴业银行股份有限公司信用卡中心</w:t>
      </w:r>
      <w:r>
        <w:rPr>
          <w:rFonts w:ascii="宋体" w:hAnsi="宋体"/>
          <w:color w:val="000000"/>
          <w:sz w:val="24"/>
          <w:szCs w:val="24"/>
        </w:rPr>
        <w:t>1</w:t>
      </w:r>
      <w:r>
        <w:rPr>
          <w:rFonts w:ascii="宋体" w:hAnsi="宋体"/>
          <w:color w:val="000000"/>
          <w:sz w:val="24"/>
          <w:szCs w:val="24"/>
        </w:rPr>
        <w:t>、</w:t>
      </w:r>
      <w:r>
        <w:rPr>
          <w:rFonts w:ascii="宋体" w:hAnsi="宋体"/>
          <w:color w:val="000000"/>
          <w:sz w:val="24"/>
          <w:szCs w:val="24"/>
        </w:rPr>
        <w:t>2016</w:t>
      </w:r>
      <w:r>
        <w:rPr>
          <w:rFonts w:ascii="宋体" w:hAnsi="宋体"/>
          <w:color w:val="000000"/>
          <w:sz w:val="24"/>
          <w:szCs w:val="24"/>
        </w:rPr>
        <w:t>年</w:t>
      </w:r>
      <w:r>
        <w:rPr>
          <w:rFonts w:ascii="宋体" w:hAnsi="宋体"/>
          <w:color w:val="000000"/>
          <w:sz w:val="24"/>
          <w:szCs w:val="24"/>
        </w:rPr>
        <w:t>1</w:t>
      </w:r>
      <w:r>
        <w:rPr>
          <w:rFonts w:ascii="宋体" w:hAnsi="宋体"/>
          <w:color w:val="000000"/>
          <w:sz w:val="24"/>
          <w:szCs w:val="24"/>
        </w:rPr>
        <w:t>月至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w:t>
      </w:r>
      <w:r>
        <w:rPr>
          <w:rFonts w:ascii="宋体" w:hAnsi="宋体"/>
          <w:color w:val="000000"/>
          <w:sz w:val="24"/>
          <w:szCs w:val="24"/>
        </w:rPr>
        <w:t>月在为部分客户办理信用卡业务时未遵守总授信额度管理制度；</w:t>
      </w:r>
      <w:r>
        <w:rPr>
          <w:rFonts w:ascii="宋体" w:hAnsi="宋体"/>
          <w:color w:val="000000"/>
          <w:sz w:val="24"/>
          <w:szCs w:val="24"/>
        </w:rPr>
        <w:t>2</w:t>
      </w:r>
      <w:r>
        <w:rPr>
          <w:rFonts w:ascii="宋体" w:hAnsi="宋体"/>
          <w:color w:val="000000"/>
          <w:sz w:val="24"/>
          <w:szCs w:val="24"/>
        </w:rPr>
        <w:t>、</w:t>
      </w:r>
      <w:r>
        <w:rPr>
          <w:rFonts w:ascii="宋体" w:hAnsi="宋体"/>
          <w:color w:val="000000"/>
          <w:sz w:val="24"/>
          <w:szCs w:val="24"/>
        </w:rPr>
        <w:t>2016</w:t>
      </w:r>
      <w:r>
        <w:rPr>
          <w:rFonts w:ascii="宋体" w:hAnsi="宋体"/>
          <w:color w:val="000000"/>
          <w:sz w:val="24"/>
          <w:szCs w:val="24"/>
        </w:rPr>
        <w:t>年至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8</w:t>
      </w:r>
      <w:r>
        <w:rPr>
          <w:rFonts w:ascii="宋体" w:hAnsi="宋体"/>
          <w:color w:val="000000"/>
          <w:sz w:val="24"/>
          <w:szCs w:val="24"/>
        </w:rPr>
        <w:t>月对部分信用卡申请人资信水平调查严重不尽职的违法违规行为，责令改正，并处罚款</w:t>
      </w:r>
      <w:r>
        <w:rPr>
          <w:rFonts w:ascii="宋体" w:hAnsi="宋体"/>
          <w:color w:val="000000"/>
          <w:sz w:val="24"/>
          <w:szCs w:val="24"/>
        </w:rPr>
        <w:t>40</w:t>
      </w:r>
      <w:r>
        <w:rPr>
          <w:rFonts w:ascii="宋体" w:hAnsi="宋体"/>
          <w:color w:val="000000"/>
          <w:sz w:val="24"/>
          <w:szCs w:val="24"/>
        </w:rPr>
        <w:t>万元。</w:t>
      </w:r>
    </w:p>
    <w:p w:rsidR="001F71AE" w:rsidRDefault="00944134">
      <w:pPr>
        <w:spacing w:line="360" w:lineRule="auto"/>
        <w:rPr>
          <w:rFonts w:ascii="宋体" w:hAnsi="宋体"/>
          <w:color w:val="000000"/>
          <w:sz w:val="24"/>
          <w:szCs w:val="24"/>
        </w:rPr>
      </w:pP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11</w:t>
      </w:r>
      <w:r>
        <w:rPr>
          <w:rFonts w:ascii="宋体" w:hAnsi="宋体"/>
          <w:color w:val="000000"/>
          <w:sz w:val="24"/>
          <w:szCs w:val="24"/>
        </w:rPr>
        <w:t>月</w:t>
      </w:r>
      <w:r>
        <w:rPr>
          <w:rFonts w:ascii="宋体" w:hAnsi="宋体"/>
          <w:color w:val="000000"/>
          <w:sz w:val="24"/>
          <w:szCs w:val="24"/>
        </w:rPr>
        <w:t>19</w:t>
      </w:r>
      <w:r>
        <w:rPr>
          <w:rFonts w:ascii="宋体" w:hAnsi="宋体"/>
          <w:color w:val="000000"/>
          <w:sz w:val="24"/>
          <w:szCs w:val="24"/>
        </w:rPr>
        <w:t>日，中国保险监督管理委员会北京监管局针对中国工商银行股份有限公司存在电话销售保险过程中欺骗投保人的行为，对中国工商银行股份有限公司处以人民币</w:t>
      </w:r>
      <w:r>
        <w:rPr>
          <w:rFonts w:ascii="宋体" w:hAnsi="宋体"/>
          <w:color w:val="000000"/>
          <w:sz w:val="24"/>
          <w:szCs w:val="24"/>
        </w:rPr>
        <w:t>30</w:t>
      </w:r>
      <w:r>
        <w:rPr>
          <w:rFonts w:ascii="宋体" w:hAnsi="宋体"/>
          <w:color w:val="000000"/>
          <w:sz w:val="24"/>
          <w:szCs w:val="24"/>
        </w:rPr>
        <w:t>万元行政罚款。</w:t>
      </w:r>
    </w:p>
    <w:p w:rsidR="001F71AE" w:rsidRDefault="00944134">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24</w:t>
      </w:r>
      <w:r>
        <w:rPr>
          <w:rFonts w:ascii="宋体" w:hAnsi="宋体"/>
          <w:color w:val="000000"/>
          <w:sz w:val="24"/>
          <w:szCs w:val="24"/>
        </w:rPr>
        <w:t>日，中国银行保险监督</w:t>
      </w:r>
      <w:r>
        <w:rPr>
          <w:rFonts w:ascii="宋体" w:hAnsi="宋体"/>
          <w:color w:val="000000"/>
          <w:sz w:val="24"/>
          <w:szCs w:val="24"/>
        </w:rPr>
        <w:t>管理委员会对上海浦东发展银行股份有限公司关于以下违法违规事实：（一）对成都分行授信业务及整改情况严重失察；（二）重大审计发现未向监管部门报告；（三）轮岗制度执行不力，处以罚款</w:t>
      </w:r>
      <w:r>
        <w:rPr>
          <w:rFonts w:ascii="宋体" w:hAnsi="宋体"/>
          <w:color w:val="000000"/>
          <w:sz w:val="24"/>
          <w:szCs w:val="24"/>
        </w:rPr>
        <w:t>130</w:t>
      </w:r>
      <w:r>
        <w:rPr>
          <w:rFonts w:ascii="宋体" w:hAnsi="宋体"/>
          <w:color w:val="000000"/>
          <w:sz w:val="24"/>
          <w:szCs w:val="24"/>
        </w:rPr>
        <w:t>万元人民币。</w:t>
      </w:r>
    </w:p>
    <w:p w:rsidR="001F71AE" w:rsidRDefault="00944134">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8</w:t>
      </w:r>
      <w:r>
        <w:rPr>
          <w:rFonts w:ascii="宋体" w:hAnsi="宋体"/>
          <w:color w:val="000000"/>
          <w:sz w:val="24"/>
          <w:szCs w:val="24"/>
        </w:rPr>
        <w:t>日，中国银行保险监督管理委员会上海监管局对上海浦东发展银行股份有限公司信用卡中心</w:t>
      </w:r>
      <w:r>
        <w:rPr>
          <w:rFonts w:ascii="宋体" w:hAnsi="宋体"/>
          <w:color w:val="000000"/>
          <w:sz w:val="24"/>
          <w:szCs w:val="24"/>
        </w:rPr>
        <w:t>2015</w:t>
      </w:r>
      <w:r>
        <w:rPr>
          <w:rFonts w:ascii="宋体" w:hAnsi="宋体"/>
          <w:color w:val="000000"/>
          <w:sz w:val="24"/>
          <w:szCs w:val="24"/>
        </w:rPr>
        <w:t>年至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月在为部分客户办理信用卡业务时，对申请人收入核定严重不审慎的违法违规事实，责令改正，并处罚款</w:t>
      </w:r>
      <w:r>
        <w:rPr>
          <w:rFonts w:ascii="宋体" w:hAnsi="宋体"/>
          <w:color w:val="000000"/>
          <w:sz w:val="24"/>
          <w:szCs w:val="24"/>
        </w:rPr>
        <w:t>30</w:t>
      </w:r>
      <w:r>
        <w:rPr>
          <w:rFonts w:ascii="宋体" w:hAnsi="宋体"/>
          <w:color w:val="000000"/>
          <w:sz w:val="24"/>
          <w:szCs w:val="24"/>
        </w:rPr>
        <w:t>万元。</w:t>
      </w:r>
    </w:p>
    <w:p w:rsidR="001F71AE" w:rsidRDefault="00944134">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7</w:t>
      </w:r>
      <w:r>
        <w:rPr>
          <w:rFonts w:ascii="宋体" w:hAnsi="宋体"/>
          <w:color w:val="000000"/>
          <w:sz w:val="24"/>
          <w:szCs w:val="24"/>
        </w:rPr>
        <w:t>月</w:t>
      </w:r>
      <w:r>
        <w:rPr>
          <w:rFonts w:ascii="宋体" w:hAnsi="宋体"/>
          <w:color w:val="000000"/>
          <w:sz w:val="24"/>
          <w:szCs w:val="24"/>
        </w:rPr>
        <w:t>8</w:t>
      </w:r>
      <w:r>
        <w:rPr>
          <w:rFonts w:ascii="宋体" w:hAnsi="宋体"/>
          <w:color w:val="000000"/>
          <w:sz w:val="24"/>
          <w:szCs w:val="24"/>
        </w:rPr>
        <w:t>日，中国银行保险监督管理委员会上海监管局对招商银行股份有限公司信用卡中心</w:t>
      </w:r>
      <w:r>
        <w:rPr>
          <w:rFonts w:ascii="宋体" w:hAnsi="宋体"/>
          <w:color w:val="000000"/>
          <w:sz w:val="24"/>
          <w:szCs w:val="24"/>
        </w:rPr>
        <w:t>2016</w:t>
      </w:r>
      <w:r>
        <w:rPr>
          <w:rFonts w:ascii="宋体" w:hAnsi="宋体"/>
          <w:color w:val="000000"/>
          <w:sz w:val="24"/>
          <w:szCs w:val="24"/>
        </w:rPr>
        <w:t>年</w:t>
      </w:r>
      <w:r>
        <w:rPr>
          <w:rFonts w:ascii="宋体" w:hAnsi="宋体"/>
          <w:color w:val="000000"/>
          <w:sz w:val="24"/>
          <w:szCs w:val="24"/>
        </w:rPr>
        <w:t>9</w:t>
      </w:r>
      <w:r>
        <w:rPr>
          <w:rFonts w:ascii="宋体" w:hAnsi="宋体"/>
          <w:color w:val="000000"/>
          <w:sz w:val="24"/>
          <w:szCs w:val="24"/>
        </w:rPr>
        <w:t>月至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月在为部分客户办理信用卡业务时，未遵守总授信额度管理制度的违法违规事实，责令改正，并处罚款</w:t>
      </w:r>
      <w:r>
        <w:rPr>
          <w:rFonts w:ascii="宋体" w:hAnsi="宋体"/>
          <w:color w:val="000000"/>
          <w:sz w:val="24"/>
          <w:szCs w:val="24"/>
        </w:rPr>
        <w:t>20</w:t>
      </w:r>
      <w:r>
        <w:rPr>
          <w:rFonts w:ascii="宋体" w:hAnsi="宋体"/>
          <w:color w:val="000000"/>
          <w:sz w:val="24"/>
          <w:szCs w:val="24"/>
        </w:rPr>
        <w:t>万元。</w:t>
      </w:r>
    </w:p>
    <w:p w:rsidR="001F71AE" w:rsidRDefault="00944134">
      <w:pPr>
        <w:spacing w:line="360" w:lineRule="auto"/>
        <w:rPr>
          <w:rFonts w:ascii="宋体" w:hAnsi="宋体"/>
          <w:color w:val="000000"/>
          <w:sz w:val="24"/>
          <w:szCs w:val="24"/>
        </w:rPr>
      </w:pPr>
      <w:r>
        <w:rPr>
          <w:rFonts w:ascii="宋体" w:hAnsi="宋体"/>
          <w:color w:val="000000"/>
          <w:sz w:val="24"/>
          <w:szCs w:val="24"/>
        </w:rPr>
        <w:t>本基金为指数型基金，上述股票系标的指数成份股，上述股票的投资决策程序符合公司投资制度的规定。除兴业银行、工商银行、浦发银行、招商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129,174.54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5,252,467.07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1,119.30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5,382,760.91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747,592,316.00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212,000,000.00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374,000,000.00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585,592,316.00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1F71AE">
        <w:trPr>
          <w:jc w:val="center"/>
        </w:trPr>
        <w:tc>
          <w:tcPr>
            <w:tcW w:w="1798" w:type="dxa"/>
            <w:vMerge w:val="restart"/>
            <w:vAlign w:val="center"/>
          </w:tcPr>
          <w:p w:rsidR="001F71AE" w:rsidRDefault="00944134">
            <w:r>
              <w:rPr>
                <w:sz w:val="24"/>
                <w:szCs w:val="24"/>
              </w:rPr>
              <w:t>中国银行股份有限公司</w:t>
            </w:r>
            <w:r>
              <w:rPr>
                <w:sz w:val="24"/>
                <w:szCs w:val="24"/>
              </w:rPr>
              <w:t>-</w:t>
            </w:r>
            <w:r>
              <w:rPr>
                <w:sz w:val="24"/>
                <w:szCs w:val="24"/>
              </w:rPr>
              <w:t>易方达</w:t>
            </w:r>
            <w:r>
              <w:rPr>
                <w:sz w:val="24"/>
                <w:szCs w:val="24"/>
              </w:rPr>
              <w:t>MSCI</w:t>
            </w:r>
            <w:r>
              <w:rPr>
                <w:sz w:val="24"/>
                <w:szCs w:val="24"/>
              </w:rPr>
              <w:t>中国</w:t>
            </w:r>
            <w:r>
              <w:rPr>
                <w:sz w:val="24"/>
                <w:szCs w:val="24"/>
              </w:rPr>
              <w:t>A</w:t>
            </w:r>
            <w:r>
              <w:rPr>
                <w:sz w:val="24"/>
                <w:szCs w:val="24"/>
              </w:rPr>
              <w:t>股国际通交易型开放式指数证券投资基金发起式联接基金</w:t>
            </w:r>
          </w:p>
        </w:tc>
        <w:tc>
          <w:tcPr>
            <w:tcW w:w="709" w:type="dxa"/>
            <w:vAlign w:val="center"/>
          </w:tcPr>
          <w:p w:rsidR="001F71AE" w:rsidRDefault="00944134">
            <w:pPr>
              <w:jc w:val="center"/>
            </w:pPr>
            <w:r>
              <w:rPr>
                <w:sz w:val="24"/>
                <w:szCs w:val="24"/>
              </w:rPr>
              <w:t>1</w:t>
            </w:r>
          </w:p>
        </w:tc>
        <w:tc>
          <w:tcPr>
            <w:tcW w:w="1985" w:type="dxa"/>
            <w:vAlign w:val="center"/>
          </w:tcPr>
          <w:p w:rsidR="001F71AE" w:rsidRDefault="00944134">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1F71AE" w:rsidRDefault="00944134">
            <w:pPr>
              <w:jc w:val="center"/>
            </w:pPr>
            <w:r>
              <w:rPr>
                <w:sz w:val="24"/>
                <w:szCs w:val="24"/>
              </w:rPr>
              <w:t>206,987,660.00</w:t>
            </w:r>
          </w:p>
        </w:tc>
        <w:tc>
          <w:tcPr>
            <w:tcW w:w="992" w:type="dxa"/>
            <w:vAlign w:val="center"/>
          </w:tcPr>
          <w:p w:rsidR="001F71AE" w:rsidRDefault="00944134">
            <w:pPr>
              <w:jc w:val="center"/>
            </w:pPr>
            <w:r>
              <w:rPr>
                <w:sz w:val="24"/>
                <w:szCs w:val="24"/>
              </w:rPr>
              <w:t>-</w:t>
            </w:r>
          </w:p>
        </w:tc>
        <w:tc>
          <w:tcPr>
            <w:tcW w:w="1134" w:type="dxa"/>
            <w:vAlign w:val="center"/>
          </w:tcPr>
          <w:p w:rsidR="001F71AE" w:rsidRDefault="00944134">
            <w:pPr>
              <w:jc w:val="center"/>
            </w:pPr>
            <w:r>
              <w:rPr>
                <w:sz w:val="24"/>
                <w:szCs w:val="24"/>
              </w:rPr>
              <w:t>62,400,000.00</w:t>
            </w:r>
          </w:p>
        </w:tc>
        <w:tc>
          <w:tcPr>
            <w:tcW w:w="1037" w:type="dxa"/>
            <w:vAlign w:val="center"/>
          </w:tcPr>
          <w:p w:rsidR="001F71AE" w:rsidRDefault="00944134">
            <w:pPr>
              <w:jc w:val="center"/>
            </w:pPr>
            <w:r>
              <w:rPr>
                <w:sz w:val="24"/>
                <w:szCs w:val="24"/>
              </w:rPr>
              <w:t>144,587,660.00</w:t>
            </w:r>
          </w:p>
        </w:tc>
        <w:tc>
          <w:tcPr>
            <w:tcW w:w="851" w:type="dxa"/>
            <w:vAlign w:val="center"/>
          </w:tcPr>
          <w:p w:rsidR="001F71AE" w:rsidRDefault="00944134">
            <w:pPr>
              <w:jc w:val="center"/>
            </w:pPr>
            <w:r>
              <w:rPr>
                <w:sz w:val="24"/>
                <w:szCs w:val="24"/>
              </w:rPr>
              <w:t>24.69%</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1F71AE" w:rsidRDefault="00944134">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w:t>
      </w:r>
      <w:r>
        <w:rPr>
          <w:color w:val="000000"/>
          <w:sz w:val="24"/>
          <w:szCs w:val="24"/>
        </w:rPr>
        <w:t>MSCI</w:t>
      </w:r>
      <w:r>
        <w:rPr>
          <w:color w:val="000000"/>
          <w:sz w:val="24"/>
          <w:szCs w:val="24"/>
        </w:rPr>
        <w:t>中国</w:t>
      </w:r>
      <w:r>
        <w:rPr>
          <w:color w:val="000000"/>
          <w:sz w:val="24"/>
          <w:szCs w:val="24"/>
        </w:rPr>
        <w:t>A</w:t>
      </w:r>
      <w:r>
        <w:rPr>
          <w:color w:val="000000"/>
          <w:sz w:val="24"/>
          <w:szCs w:val="24"/>
        </w:rPr>
        <w:t>股国际通交易型开放式指数证券投资基金注册的文件；</w:t>
      </w:r>
    </w:p>
    <w:p w:rsidR="001F71AE" w:rsidRDefault="00944134">
      <w:pPr>
        <w:spacing w:line="360" w:lineRule="auto"/>
        <w:ind w:firstLineChars="200" w:firstLine="480"/>
        <w:rPr>
          <w:color w:val="000000"/>
          <w:sz w:val="24"/>
          <w:szCs w:val="24"/>
        </w:rPr>
      </w:pPr>
      <w:r>
        <w:rPr>
          <w:color w:val="000000"/>
          <w:sz w:val="24"/>
          <w:szCs w:val="24"/>
        </w:rPr>
        <w:t>2.</w:t>
      </w:r>
      <w:r>
        <w:rPr>
          <w:color w:val="000000"/>
          <w:sz w:val="24"/>
          <w:szCs w:val="24"/>
        </w:rPr>
        <w:t>《易方达</w:t>
      </w:r>
      <w:r>
        <w:rPr>
          <w:color w:val="000000"/>
          <w:sz w:val="24"/>
          <w:szCs w:val="24"/>
        </w:rPr>
        <w:t>MSCI</w:t>
      </w:r>
      <w:r>
        <w:rPr>
          <w:color w:val="000000"/>
          <w:sz w:val="24"/>
          <w:szCs w:val="24"/>
        </w:rPr>
        <w:t>中国</w:t>
      </w:r>
      <w:r>
        <w:rPr>
          <w:color w:val="000000"/>
          <w:sz w:val="24"/>
          <w:szCs w:val="24"/>
        </w:rPr>
        <w:t>A</w:t>
      </w:r>
      <w:r>
        <w:rPr>
          <w:color w:val="000000"/>
          <w:sz w:val="24"/>
          <w:szCs w:val="24"/>
        </w:rPr>
        <w:t>股国际通交易型开放式指数证券投资基金基金合同》；</w:t>
      </w:r>
    </w:p>
    <w:p w:rsidR="001F71AE" w:rsidRDefault="00944134">
      <w:pPr>
        <w:spacing w:line="360" w:lineRule="auto"/>
        <w:ind w:firstLineChars="200" w:firstLine="480"/>
        <w:rPr>
          <w:color w:val="000000"/>
          <w:sz w:val="24"/>
          <w:szCs w:val="24"/>
        </w:rPr>
      </w:pPr>
      <w:r>
        <w:rPr>
          <w:color w:val="000000"/>
          <w:sz w:val="24"/>
          <w:szCs w:val="24"/>
        </w:rPr>
        <w:t>3.</w:t>
      </w:r>
      <w:r>
        <w:rPr>
          <w:color w:val="000000"/>
          <w:sz w:val="24"/>
          <w:szCs w:val="24"/>
        </w:rPr>
        <w:t>《易方达</w:t>
      </w:r>
      <w:r>
        <w:rPr>
          <w:color w:val="000000"/>
          <w:sz w:val="24"/>
          <w:szCs w:val="24"/>
        </w:rPr>
        <w:t>MSCI</w:t>
      </w:r>
      <w:r>
        <w:rPr>
          <w:color w:val="000000"/>
          <w:sz w:val="24"/>
          <w:szCs w:val="24"/>
        </w:rPr>
        <w:t>中国</w:t>
      </w:r>
      <w:r>
        <w:rPr>
          <w:color w:val="000000"/>
          <w:sz w:val="24"/>
          <w:szCs w:val="24"/>
        </w:rPr>
        <w:t>A</w:t>
      </w:r>
      <w:r>
        <w:rPr>
          <w:color w:val="000000"/>
          <w:sz w:val="24"/>
          <w:szCs w:val="24"/>
        </w:rPr>
        <w:t>股国际通交易型开放式指数证券投资基金托管协议》；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44134">
      <w:rPr>
        <w:rStyle w:val="a7"/>
        <w:noProof/>
      </w:rPr>
      <w:t>1</w:t>
    </w:r>
    <w:r>
      <w:rPr>
        <w:rStyle w:val="a7"/>
      </w:rPr>
      <w:fldChar w:fldCharType="end"/>
    </w:r>
    <w:r>
      <w:rPr>
        <w:rStyle w:val="a7"/>
        <w:rFonts w:hint="eastAsia"/>
      </w:rPr>
      <w:t>页共</w:t>
    </w:r>
    <w:r w:rsidR="00944134">
      <w:fldChar w:fldCharType="begin"/>
    </w:r>
    <w:r w:rsidR="00944134">
      <w:instrText xml:space="preserve"> NUMPAGES  \* Arabic  \* MERGEFORMAT </w:instrText>
    </w:r>
    <w:r w:rsidR="00944134">
      <w:fldChar w:fldCharType="separate"/>
    </w:r>
    <w:r w:rsidR="00944134" w:rsidRPr="00944134">
      <w:rPr>
        <w:rStyle w:val="a7"/>
        <w:noProof/>
      </w:rPr>
      <w:t>3</w:t>
    </w:r>
    <w:r w:rsidR="00944134">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44134">
      <w:rPr>
        <w:rStyle w:val="a7"/>
        <w:noProof/>
      </w:rPr>
      <w:t>14</w:t>
    </w:r>
    <w:r>
      <w:rPr>
        <w:rStyle w:val="a7"/>
      </w:rPr>
      <w:fldChar w:fldCharType="end"/>
    </w:r>
    <w:r>
      <w:rPr>
        <w:rStyle w:val="a7"/>
        <w:rFonts w:hint="eastAsia"/>
      </w:rPr>
      <w:t>页共</w:t>
    </w:r>
    <w:fldSimple w:instr=" NUMPAGES  \* Arabic  \* MERGEFORMAT ">
      <w:r w:rsidR="00944134" w:rsidRPr="00944134">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w:t>
    </w:r>
    <w:r w:rsidRPr="00093704">
      <w:t>MSCI</w:t>
    </w:r>
    <w:r w:rsidRPr="00093704">
      <w:t>中国</w:t>
    </w:r>
    <w:r w:rsidRPr="00093704">
      <w:t>A</w:t>
    </w:r>
    <w:r w:rsidRPr="00093704">
      <w:t>股国际通交易型开放式指数证券投资基金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1F71AE"/>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4134"/>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6E90-B7AC-4A31-92BF-879674AE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