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易方达沪深300医药卫生交易型开放式指数证券投资基金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中国建设银行股份有限公司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D2516A" w:rsidRDefault="004B0CBE">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D2516A" w:rsidRDefault="004B0CBE">
      <w:pPr>
        <w:spacing w:line="360" w:lineRule="auto"/>
        <w:ind w:firstLineChars="200" w:firstLine="480"/>
        <w:rPr>
          <w:color w:val="000000"/>
          <w:sz w:val="24"/>
          <w:szCs w:val="24"/>
        </w:rPr>
      </w:pPr>
      <w:r>
        <w:rPr>
          <w:color w:val="000000"/>
          <w:sz w:val="24"/>
          <w:szCs w:val="24"/>
        </w:rPr>
        <w:t>基金托管人中国建设银行股份有限公司根据本基金合同规定，于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D2516A" w:rsidRDefault="004B0CBE">
      <w:pPr>
        <w:spacing w:line="360" w:lineRule="auto"/>
        <w:ind w:firstLineChars="200" w:firstLine="480"/>
        <w:rPr>
          <w:color w:val="000000"/>
          <w:sz w:val="24"/>
          <w:szCs w:val="24"/>
        </w:rPr>
      </w:pPr>
      <w:r>
        <w:rPr>
          <w:color w:val="000000"/>
          <w:sz w:val="24"/>
          <w:szCs w:val="24"/>
        </w:rPr>
        <w:t>基</w:t>
      </w:r>
      <w:r>
        <w:rPr>
          <w:color w:val="000000"/>
          <w:sz w:val="24"/>
          <w:szCs w:val="24"/>
        </w:rPr>
        <w:t>金管理人承诺以诚实信用、勤勉尽责的原则管理和运用基金资产，但不保证基金一定盈利。</w:t>
      </w:r>
      <w:r>
        <w:rPr>
          <w:color w:val="000000"/>
          <w:sz w:val="24"/>
          <w:szCs w:val="24"/>
        </w:rPr>
        <w:t xml:space="preserve"> </w:t>
      </w:r>
    </w:p>
    <w:p w:rsidR="00D2516A" w:rsidRDefault="004B0CBE">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D2516A" w:rsidRDefault="004B0CBE">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易方达沪深</w:t>
            </w:r>
            <w:r w:rsidRPr="00232B03">
              <w:rPr>
                <w:color w:val="000000"/>
                <w:kern w:val="0"/>
                <w:sz w:val="24"/>
                <w:szCs w:val="24"/>
              </w:rPr>
              <w:t>300</w:t>
            </w:r>
            <w:r w:rsidRPr="00232B03">
              <w:rPr>
                <w:color w:val="000000"/>
                <w:kern w:val="0"/>
                <w:sz w:val="24"/>
                <w:szCs w:val="24"/>
              </w:rPr>
              <w:t>医药</w:t>
            </w:r>
            <w:r w:rsidRPr="00232B03">
              <w:rPr>
                <w:color w:val="000000"/>
                <w:kern w:val="0"/>
                <w:sz w:val="24"/>
                <w:szCs w:val="24"/>
              </w:rPr>
              <w:t>ETF</w:t>
            </w:r>
          </w:p>
        </w:tc>
      </w:tr>
      <w:tr w:rsidR="00815999" w:rsidRPr="00264E55" w:rsidTr="003328D9">
        <w:tc>
          <w:tcPr>
            <w:tcW w:w="2835" w:type="dxa"/>
            <w:vAlign w:val="center"/>
          </w:tcPr>
          <w:p w:rsidR="00815999" w:rsidRPr="00232B03" w:rsidRDefault="00815999" w:rsidP="00815999">
            <w:pPr>
              <w:adjustRightInd w:val="0"/>
              <w:spacing w:before="29" w:line="360" w:lineRule="auto"/>
              <w:ind w:left="17"/>
              <w:jc w:val="left"/>
              <w:rPr>
                <w:kern w:val="0"/>
                <w:sz w:val="24"/>
                <w:szCs w:val="24"/>
              </w:rPr>
            </w:pPr>
            <w:r w:rsidRPr="00232B03">
              <w:rPr>
                <w:kern w:val="0"/>
                <w:sz w:val="24"/>
                <w:szCs w:val="24"/>
              </w:rPr>
              <w:t>场内简称</w:t>
            </w:r>
          </w:p>
        </w:tc>
        <w:tc>
          <w:tcPr>
            <w:tcW w:w="5479" w:type="dxa"/>
            <w:vAlign w:val="center"/>
          </w:tcPr>
          <w:p w:rsidR="00815999" w:rsidRPr="00232B03" w:rsidRDefault="00815999" w:rsidP="00815999">
            <w:pPr>
              <w:adjustRightInd w:val="0"/>
              <w:spacing w:before="29" w:line="360" w:lineRule="auto"/>
              <w:ind w:left="17"/>
              <w:jc w:val="left"/>
              <w:rPr>
                <w:kern w:val="0"/>
                <w:sz w:val="24"/>
                <w:szCs w:val="24"/>
              </w:rPr>
            </w:pPr>
            <w:r w:rsidRPr="00232B03">
              <w:rPr>
                <w:kern w:val="0"/>
                <w:sz w:val="24"/>
                <w:szCs w:val="24"/>
              </w:rPr>
              <w:t>医药</w:t>
            </w:r>
            <w:r w:rsidRPr="00232B03">
              <w:rPr>
                <w:kern w:val="0"/>
                <w:sz w:val="24"/>
                <w:szCs w:val="24"/>
              </w:rPr>
              <w:t>ETF</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512010</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512010</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交易型开放式（</w:t>
            </w:r>
            <w:r w:rsidRPr="00232B03">
              <w:rPr>
                <w:color w:val="000000"/>
                <w:kern w:val="0"/>
                <w:sz w:val="24"/>
                <w:szCs w:val="24"/>
              </w:rPr>
              <w:t>ETF</w:t>
            </w:r>
            <w:r w:rsidRPr="00232B03">
              <w:rPr>
                <w:color w:val="000000"/>
                <w:kern w:val="0"/>
                <w:sz w:val="24"/>
                <w:szCs w:val="24"/>
              </w:rPr>
              <w:t>）</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2013</w:t>
            </w:r>
            <w:r w:rsidRPr="00232B03">
              <w:rPr>
                <w:color w:val="000000"/>
                <w:kern w:val="0"/>
                <w:sz w:val="24"/>
                <w:szCs w:val="24"/>
              </w:rPr>
              <w:t>年</w:t>
            </w:r>
            <w:r w:rsidRPr="00232B03">
              <w:rPr>
                <w:color w:val="000000"/>
                <w:kern w:val="0"/>
                <w:sz w:val="24"/>
                <w:szCs w:val="24"/>
              </w:rPr>
              <w:t>9</w:t>
            </w:r>
            <w:r w:rsidRPr="00232B03">
              <w:rPr>
                <w:color w:val="000000"/>
                <w:kern w:val="0"/>
                <w:sz w:val="24"/>
                <w:szCs w:val="24"/>
              </w:rPr>
              <w:t>月</w:t>
            </w:r>
            <w:r w:rsidRPr="00232B03">
              <w:rPr>
                <w:color w:val="000000"/>
                <w:kern w:val="0"/>
                <w:sz w:val="24"/>
                <w:szCs w:val="24"/>
              </w:rPr>
              <w:t>23</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479,173,734.00</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紧密跟踪标的指数，追求跟踪偏离度和跟踪误差的最小化。</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本基金主要采取完全复制法，即完全按照标的指数的成份股组成及其权重构建基金股票投资组合，并根据标的指数成份股及其权重的变动进行相应调整。但在因特殊情形导致基金无法完全投资于标的</w:t>
            </w:r>
            <w:r w:rsidRPr="00232B03">
              <w:rPr>
                <w:color w:val="000000"/>
                <w:kern w:val="0"/>
                <w:sz w:val="24"/>
                <w:szCs w:val="24"/>
              </w:rPr>
              <w:lastRenderedPageBreak/>
              <w:t>指数成份股时，基金管理人将采取其他指数投资技术适当调整基金投资组合，以达到紧密跟踪标的指数的目的。</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沪深</w:t>
            </w:r>
            <w:r w:rsidRPr="00232B03">
              <w:rPr>
                <w:color w:val="000000"/>
                <w:kern w:val="0"/>
                <w:sz w:val="24"/>
                <w:szCs w:val="24"/>
              </w:rPr>
              <w:t>300</w:t>
            </w:r>
            <w:r w:rsidRPr="00232B03">
              <w:rPr>
                <w:color w:val="000000"/>
                <w:kern w:val="0"/>
                <w:sz w:val="24"/>
                <w:szCs w:val="24"/>
              </w:rPr>
              <w:t>医药卫生指数</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属股票型基金，预期风险与预期收益水平高于混合型基金、债券型基金与货币市场基金。本基金为指数型基金，主要采用完全复制法跟踪标的指数的表现，具有与标的指数所代表的市场组合相似的风险收益特征。</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中国建设银行股份有限公司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34,020,987.94</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62,847,644.07</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0.1258</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845,078,744.39</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1.7636</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D2516A" w:rsidRDefault="004B0CBE">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D2516A">
        <w:tc>
          <w:tcPr>
            <w:tcW w:w="1395" w:type="dxa"/>
            <w:vAlign w:val="center"/>
          </w:tcPr>
          <w:p w:rsidR="00D2516A" w:rsidRDefault="004B0CBE">
            <w:pPr>
              <w:jc w:val="left"/>
            </w:pPr>
            <w:r>
              <w:rPr>
                <w:color w:val="000000"/>
                <w:kern w:val="0"/>
                <w:sz w:val="24"/>
                <w:szCs w:val="24"/>
              </w:rPr>
              <w:t>过去三个月</w:t>
            </w:r>
          </w:p>
        </w:tc>
        <w:tc>
          <w:tcPr>
            <w:tcW w:w="1092" w:type="dxa"/>
            <w:vAlign w:val="center"/>
          </w:tcPr>
          <w:p w:rsidR="00D2516A" w:rsidRDefault="004B0CBE">
            <w:pPr>
              <w:jc w:val="center"/>
            </w:pPr>
            <w:r>
              <w:rPr>
                <w:color w:val="000000"/>
                <w:kern w:val="0"/>
                <w:sz w:val="24"/>
                <w:szCs w:val="24"/>
              </w:rPr>
              <w:t>7.87%</w:t>
            </w:r>
          </w:p>
        </w:tc>
        <w:tc>
          <w:tcPr>
            <w:tcW w:w="1161" w:type="dxa"/>
            <w:vAlign w:val="center"/>
          </w:tcPr>
          <w:p w:rsidR="00D2516A" w:rsidRDefault="004B0CBE">
            <w:pPr>
              <w:jc w:val="center"/>
            </w:pPr>
            <w:r>
              <w:rPr>
                <w:color w:val="000000"/>
                <w:kern w:val="0"/>
                <w:sz w:val="24"/>
                <w:szCs w:val="24"/>
              </w:rPr>
              <w:t>1.12%</w:t>
            </w:r>
          </w:p>
        </w:tc>
        <w:tc>
          <w:tcPr>
            <w:tcW w:w="1181" w:type="dxa"/>
            <w:vAlign w:val="center"/>
          </w:tcPr>
          <w:p w:rsidR="00D2516A" w:rsidRDefault="004B0CBE">
            <w:pPr>
              <w:jc w:val="center"/>
            </w:pPr>
            <w:r>
              <w:rPr>
                <w:color w:val="000000"/>
                <w:kern w:val="0"/>
                <w:sz w:val="24"/>
                <w:szCs w:val="24"/>
              </w:rPr>
              <w:t>7.18%</w:t>
            </w:r>
          </w:p>
        </w:tc>
        <w:tc>
          <w:tcPr>
            <w:tcW w:w="1188" w:type="dxa"/>
            <w:vAlign w:val="center"/>
          </w:tcPr>
          <w:p w:rsidR="00D2516A" w:rsidRDefault="004B0CBE">
            <w:pPr>
              <w:jc w:val="center"/>
            </w:pPr>
            <w:r>
              <w:rPr>
                <w:color w:val="000000"/>
                <w:kern w:val="0"/>
                <w:sz w:val="24"/>
                <w:szCs w:val="24"/>
              </w:rPr>
              <w:t>1.13%</w:t>
            </w:r>
          </w:p>
        </w:tc>
        <w:tc>
          <w:tcPr>
            <w:tcW w:w="1199" w:type="dxa"/>
            <w:vAlign w:val="center"/>
          </w:tcPr>
          <w:p w:rsidR="00D2516A" w:rsidRDefault="004B0CBE">
            <w:pPr>
              <w:jc w:val="center"/>
            </w:pPr>
            <w:r>
              <w:rPr>
                <w:color w:val="000000"/>
                <w:kern w:val="0"/>
                <w:sz w:val="24"/>
                <w:szCs w:val="24"/>
              </w:rPr>
              <w:t>0.69%</w:t>
            </w:r>
          </w:p>
        </w:tc>
        <w:tc>
          <w:tcPr>
            <w:tcW w:w="1204" w:type="dxa"/>
            <w:vAlign w:val="center"/>
          </w:tcPr>
          <w:p w:rsidR="00D2516A" w:rsidRDefault="004B0CBE">
            <w:pPr>
              <w:jc w:val="center"/>
            </w:pPr>
            <w:r>
              <w:rPr>
                <w:color w:val="000000"/>
                <w:kern w:val="0"/>
                <w:sz w:val="24"/>
                <w:szCs w:val="24"/>
              </w:rPr>
              <w:t>-0.01%</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易方达沪深</w:t>
      </w:r>
      <w:r w:rsidRPr="0074694E">
        <w:rPr>
          <w:color w:val="000000"/>
          <w:sz w:val="24"/>
          <w:szCs w:val="24"/>
        </w:rPr>
        <w:t>300</w:t>
      </w:r>
      <w:r w:rsidRPr="0074694E">
        <w:rPr>
          <w:color w:val="000000"/>
          <w:sz w:val="24"/>
          <w:szCs w:val="24"/>
        </w:rPr>
        <w:t>医药卫生交易型开放式指数证券投资基金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2013</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23</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4B0CBE"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76.36%</w:t>
      </w:r>
      <w:r w:rsidRPr="006C56AA">
        <w:rPr>
          <w:color w:val="000000"/>
          <w:sz w:val="24"/>
          <w:szCs w:val="24"/>
        </w:rPr>
        <w:t>，同期业绩比较基准收益率为</w:t>
      </w:r>
      <w:r w:rsidRPr="006C56AA">
        <w:rPr>
          <w:color w:val="000000"/>
          <w:sz w:val="24"/>
          <w:szCs w:val="24"/>
        </w:rPr>
        <w:t>78.89%</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D2516A">
        <w:tc>
          <w:tcPr>
            <w:tcW w:w="567" w:type="dxa"/>
            <w:vAlign w:val="center"/>
          </w:tcPr>
          <w:p w:rsidR="00D2516A" w:rsidRDefault="004B0CBE">
            <w:pPr>
              <w:jc w:val="center"/>
            </w:pPr>
            <w:r>
              <w:rPr>
                <w:color w:val="000000"/>
                <w:sz w:val="24"/>
              </w:rPr>
              <w:t>余海燕</w:t>
            </w:r>
          </w:p>
        </w:tc>
        <w:tc>
          <w:tcPr>
            <w:tcW w:w="2835" w:type="dxa"/>
            <w:vAlign w:val="center"/>
          </w:tcPr>
          <w:p w:rsidR="00D2516A" w:rsidRDefault="004B0CBE">
            <w:pPr>
              <w:jc w:val="center"/>
            </w:pPr>
            <w:r>
              <w:rPr>
                <w:color w:val="000000"/>
                <w:sz w:val="24"/>
              </w:rPr>
              <w:t>本基金的基金经理、易方达中证全指证券公司交易型开放式指数证券投资基金的基金经理、易方达中证军工交易型开放式指数证券投资基金的基金经理、易方达中证海外中国互联网</w:t>
            </w:r>
            <w:r>
              <w:rPr>
                <w:color w:val="000000"/>
                <w:sz w:val="24"/>
              </w:rPr>
              <w:t>50</w:t>
            </w:r>
            <w:r>
              <w:rPr>
                <w:color w:val="000000"/>
                <w:sz w:val="24"/>
              </w:rPr>
              <w:t>交易型开放式指数证券投资基金联接基金的基金经理、易方达中证海外中国互联网</w:t>
            </w:r>
            <w:r>
              <w:rPr>
                <w:color w:val="000000"/>
                <w:sz w:val="24"/>
              </w:rPr>
              <w:t>50</w:t>
            </w:r>
            <w:r>
              <w:rPr>
                <w:color w:val="000000"/>
                <w:sz w:val="24"/>
              </w:rPr>
              <w:t>交易型开放式指数证券投资基金的基金经理、易方达中证</w:t>
            </w:r>
            <w:r>
              <w:rPr>
                <w:color w:val="000000"/>
                <w:sz w:val="24"/>
              </w:rPr>
              <w:t>500</w:t>
            </w:r>
            <w:r>
              <w:rPr>
                <w:color w:val="000000"/>
                <w:sz w:val="24"/>
              </w:rPr>
              <w:t>交易型开放式指数证券投资基金发起式联接基金的基金经理、易方达中证</w:t>
            </w:r>
            <w:r>
              <w:rPr>
                <w:color w:val="000000"/>
                <w:sz w:val="24"/>
              </w:rPr>
              <w:t>500</w:t>
            </w:r>
            <w:r>
              <w:rPr>
                <w:color w:val="000000"/>
                <w:sz w:val="24"/>
              </w:rPr>
              <w:t>交易型开放式指数证券投资基金的基金经理、易方达证券公司指数分级证券投资基金的基金经理、易方达上证</w:t>
            </w:r>
            <w:r>
              <w:rPr>
                <w:color w:val="000000"/>
                <w:sz w:val="24"/>
              </w:rPr>
              <w:t>50</w:t>
            </w:r>
            <w:r>
              <w:rPr>
                <w:color w:val="000000"/>
                <w:sz w:val="24"/>
              </w:rPr>
              <w:t>指数分级证券投资基金的基金经理、易方达上证</w:t>
            </w:r>
            <w:r>
              <w:rPr>
                <w:color w:val="000000"/>
                <w:sz w:val="24"/>
              </w:rPr>
              <w:t>50</w:t>
            </w:r>
            <w:r>
              <w:rPr>
                <w:color w:val="000000"/>
                <w:sz w:val="24"/>
              </w:rPr>
              <w:t>交</w:t>
            </w:r>
            <w:r>
              <w:rPr>
                <w:color w:val="000000"/>
                <w:sz w:val="24"/>
              </w:rPr>
              <w:t>易型开放式指数证券投资基金发起式联接基金的基金经理、易方达上证</w:t>
            </w:r>
            <w:r>
              <w:rPr>
                <w:color w:val="000000"/>
                <w:sz w:val="24"/>
              </w:rPr>
              <w:t>50</w:t>
            </w:r>
            <w:r>
              <w:rPr>
                <w:color w:val="000000"/>
                <w:sz w:val="24"/>
              </w:rPr>
              <w:t>交易型开放式指数证券投资基金的基金经理、易方达日兴资管日经</w:t>
            </w:r>
            <w:r>
              <w:rPr>
                <w:color w:val="000000"/>
                <w:sz w:val="24"/>
              </w:rPr>
              <w:t>225</w:t>
            </w:r>
            <w:r>
              <w:rPr>
                <w:color w:val="000000"/>
                <w:sz w:val="24"/>
              </w:rPr>
              <w:t>交易型开放式指数证券投资基金</w:t>
            </w:r>
            <w:r>
              <w:rPr>
                <w:color w:val="000000"/>
                <w:sz w:val="24"/>
              </w:rPr>
              <w:t>(QDII)</w:t>
            </w:r>
            <w:r>
              <w:rPr>
                <w:color w:val="000000"/>
                <w:sz w:val="24"/>
              </w:rPr>
              <w:t>的基金经理、易方达军工指数分级证券投资基金的基金经理、易方达黄金交易型开放式证券投资基金联接基金的基金经理、易方达黄金交易型开放式证券投资基金的基金经理、易方达沪深</w:t>
            </w:r>
            <w:r>
              <w:rPr>
                <w:color w:val="000000"/>
                <w:sz w:val="24"/>
              </w:rPr>
              <w:t>300</w:t>
            </w:r>
            <w:r>
              <w:rPr>
                <w:color w:val="000000"/>
                <w:sz w:val="24"/>
              </w:rPr>
              <w:t>医药卫生交易型开放式指数证券投资基金联接基金的基金经理、易方达沪深</w:t>
            </w:r>
            <w:r>
              <w:rPr>
                <w:color w:val="000000"/>
                <w:sz w:val="24"/>
              </w:rPr>
              <w:t>300</w:t>
            </w:r>
            <w:r>
              <w:rPr>
                <w:color w:val="000000"/>
                <w:sz w:val="24"/>
              </w:rPr>
              <w:t>交易型开放式指数发起式证券投资基金联接基金的基金经理、易方达沪深</w:t>
            </w:r>
            <w:r>
              <w:rPr>
                <w:color w:val="000000"/>
                <w:sz w:val="24"/>
              </w:rPr>
              <w:t>300</w:t>
            </w:r>
            <w:r>
              <w:rPr>
                <w:color w:val="000000"/>
                <w:sz w:val="24"/>
              </w:rPr>
              <w:t>交易型开放式指数发起式证券投资</w:t>
            </w:r>
            <w:r>
              <w:rPr>
                <w:color w:val="000000"/>
                <w:sz w:val="24"/>
              </w:rPr>
              <w:t>基金的基金经理、易方达沪深</w:t>
            </w:r>
            <w:r>
              <w:rPr>
                <w:color w:val="000000"/>
                <w:sz w:val="24"/>
              </w:rPr>
              <w:t>300</w:t>
            </w:r>
            <w:r>
              <w:rPr>
                <w:color w:val="000000"/>
                <w:sz w:val="24"/>
              </w:rPr>
              <w:t>非银行金融交易型开放式指数证券投资基金联接基金的基金经理、易方达沪深</w:t>
            </w:r>
            <w:r>
              <w:rPr>
                <w:color w:val="000000"/>
                <w:sz w:val="24"/>
              </w:rPr>
              <w:t>300</w:t>
            </w:r>
            <w:r>
              <w:rPr>
                <w:color w:val="000000"/>
                <w:sz w:val="24"/>
              </w:rPr>
              <w:t>非银行金融交易型开放式指数证券投资基金的基金经理、易方达恒生中国企业交易型开放式指数证券投资基金联接基金的基金经理、易方达恒生中国企业交易型开放式指数证券投资基金的基金经理、易方达国企改革指数分级证券投资基金的基金经理</w:t>
            </w:r>
          </w:p>
        </w:tc>
        <w:tc>
          <w:tcPr>
            <w:tcW w:w="851" w:type="dxa"/>
            <w:vAlign w:val="center"/>
          </w:tcPr>
          <w:p w:rsidR="00D2516A" w:rsidRDefault="004B0CBE">
            <w:pPr>
              <w:jc w:val="center"/>
            </w:pPr>
            <w:r>
              <w:rPr>
                <w:color w:val="000000"/>
                <w:sz w:val="24"/>
              </w:rPr>
              <w:t>2013-09-23</w:t>
            </w:r>
          </w:p>
        </w:tc>
        <w:tc>
          <w:tcPr>
            <w:tcW w:w="850" w:type="dxa"/>
            <w:vAlign w:val="center"/>
          </w:tcPr>
          <w:p w:rsidR="00D2516A" w:rsidRDefault="004B0CBE">
            <w:pPr>
              <w:jc w:val="center"/>
            </w:pPr>
            <w:r>
              <w:rPr>
                <w:color w:val="000000"/>
                <w:sz w:val="24"/>
              </w:rPr>
              <w:t>-</w:t>
            </w:r>
          </w:p>
        </w:tc>
        <w:tc>
          <w:tcPr>
            <w:tcW w:w="851" w:type="dxa"/>
            <w:vAlign w:val="center"/>
          </w:tcPr>
          <w:p w:rsidR="00D2516A" w:rsidRDefault="004B0CBE">
            <w:pPr>
              <w:jc w:val="center"/>
            </w:pPr>
            <w:r>
              <w:rPr>
                <w:color w:val="000000"/>
                <w:sz w:val="24"/>
              </w:rPr>
              <w:t>14</w:t>
            </w:r>
            <w:r>
              <w:rPr>
                <w:color w:val="000000"/>
                <w:sz w:val="24"/>
              </w:rPr>
              <w:t>年</w:t>
            </w:r>
          </w:p>
        </w:tc>
        <w:tc>
          <w:tcPr>
            <w:tcW w:w="2977" w:type="dxa"/>
            <w:vAlign w:val="center"/>
          </w:tcPr>
          <w:p w:rsidR="00D2516A" w:rsidRDefault="004B0CBE">
            <w:r>
              <w:rPr>
                <w:color w:val="000000"/>
                <w:sz w:val="24"/>
              </w:rPr>
              <w:t>硕士研究生，曾任汇丰银行</w:t>
            </w:r>
            <w:r>
              <w:rPr>
                <w:color w:val="000000"/>
                <w:sz w:val="24"/>
              </w:rPr>
              <w:t xml:space="preserve">Consumer Credit Risk </w:t>
            </w:r>
            <w:r>
              <w:rPr>
                <w:color w:val="000000"/>
                <w:sz w:val="24"/>
              </w:rPr>
              <w:t>信用风险分析师，华宝兴业基金管理有限公司分析师、基金经理助理、基金经理，易方达基金管理有限公司投资发展部产品经理。</w:t>
            </w:r>
          </w:p>
        </w:tc>
      </w:tr>
    </w:tbl>
    <w:p w:rsidR="00D2516A" w:rsidRDefault="004B0CBE">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D2516A" w:rsidRDefault="004B0CBE">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D2516A" w:rsidRDefault="004B0CBE">
      <w:pPr>
        <w:spacing w:line="360" w:lineRule="auto"/>
        <w:ind w:firstLineChars="200" w:firstLine="480"/>
        <w:rPr>
          <w:color w:val="000000"/>
          <w:sz w:val="24"/>
          <w:szCs w:val="24"/>
        </w:rPr>
      </w:pPr>
      <w:r>
        <w:rPr>
          <w:color w:val="000000"/>
          <w:sz w:val="24"/>
          <w:szCs w:val="24"/>
        </w:rPr>
        <w:t>2019</w:t>
      </w:r>
      <w:r>
        <w:rPr>
          <w:color w:val="000000"/>
          <w:sz w:val="24"/>
          <w:szCs w:val="24"/>
        </w:rPr>
        <w:t>年三季度国内宏观经济下行压力犹存，工业生产持续减速，</w:t>
      </w:r>
      <w:r>
        <w:rPr>
          <w:color w:val="000000"/>
          <w:sz w:val="24"/>
          <w:szCs w:val="24"/>
        </w:rPr>
        <w:t>8</w:t>
      </w:r>
      <w:r>
        <w:rPr>
          <w:color w:val="000000"/>
          <w:sz w:val="24"/>
          <w:szCs w:val="24"/>
        </w:rPr>
        <w:t>月份工业增速</w:t>
      </w:r>
      <w:r>
        <w:rPr>
          <w:color w:val="000000"/>
          <w:sz w:val="24"/>
          <w:szCs w:val="24"/>
        </w:rPr>
        <w:t>4.4%</w:t>
      </w:r>
      <w:r>
        <w:rPr>
          <w:color w:val="000000"/>
          <w:sz w:val="24"/>
          <w:szCs w:val="24"/>
        </w:rPr>
        <w:t>，较</w:t>
      </w:r>
      <w:r>
        <w:rPr>
          <w:color w:val="000000"/>
          <w:sz w:val="24"/>
          <w:szCs w:val="24"/>
        </w:rPr>
        <w:t>7</w:t>
      </w:r>
      <w:r>
        <w:rPr>
          <w:color w:val="000000"/>
          <w:sz w:val="24"/>
          <w:szCs w:val="24"/>
        </w:rPr>
        <w:t>月份继续下滑，并创下</w:t>
      </w:r>
      <w:r>
        <w:rPr>
          <w:color w:val="000000"/>
          <w:sz w:val="24"/>
          <w:szCs w:val="24"/>
        </w:rPr>
        <w:t>09</w:t>
      </w:r>
      <w:r>
        <w:rPr>
          <w:color w:val="000000"/>
          <w:sz w:val="24"/>
          <w:szCs w:val="24"/>
        </w:rPr>
        <w:t>年</w:t>
      </w:r>
      <w:r>
        <w:rPr>
          <w:color w:val="000000"/>
          <w:sz w:val="24"/>
          <w:szCs w:val="24"/>
        </w:rPr>
        <w:t>3</w:t>
      </w:r>
      <w:r>
        <w:rPr>
          <w:color w:val="000000"/>
          <w:sz w:val="24"/>
          <w:szCs w:val="24"/>
        </w:rPr>
        <w:t>月以来新低。</w:t>
      </w:r>
      <w:r>
        <w:rPr>
          <w:color w:val="000000"/>
          <w:sz w:val="24"/>
          <w:szCs w:val="24"/>
        </w:rPr>
        <w:t>1-8</w:t>
      </w:r>
      <w:r>
        <w:rPr>
          <w:color w:val="000000"/>
          <w:sz w:val="24"/>
          <w:szCs w:val="24"/>
        </w:rPr>
        <w:t>月全国固定资产投资同比增速回落至</w:t>
      </w:r>
      <w:r>
        <w:rPr>
          <w:color w:val="000000"/>
          <w:sz w:val="24"/>
          <w:szCs w:val="24"/>
        </w:rPr>
        <w:t>5.5%</w:t>
      </w:r>
      <w:r>
        <w:rPr>
          <w:color w:val="000000"/>
          <w:sz w:val="24"/>
          <w:szCs w:val="24"/>
        </w:rPr>
        <w:t>，其中</w:t>
      </w:r>
      <w:r>
        <w:rPr>
          <w:color w:val="000000"/>
          <w:sz w:val="24"/>
          <w:szCs w:val="24"/>
        </w:rPr>
        <w:t>8</w:t>
      </w:r>
      <w:r>
        <w:rPr>
          <w:color w:val="000000"/>
          <w:sz w:val="24"/>
          <w:szCs w:val="24"/>
        </w:rPr>
        <w:t>月份同比增速下滑至</w:t>
      </w:r>
      <w:r>
        <w:rPr>
          <w:color w:val="000000"/>
          <w:sz w:val="24"/>
          <w:szCs w:val="24"/>
        </w:rPr>
        <w:t>4.2%</w:t>
      </w:r>
      <w:r>
        <w:rPr>
          <w:color w:val="000000"/>
          <w:sz w:val="24"/>
          <w:szCs w:val="24"/>
        </w:rPr>
        <w:t>。随着部分行业景气度进入内生性底部，同时逆周期政策力度明显加大，</w:t>
      </w:r>
      <w:r>
        <w:rPr>
          <w:color w:val="000000"/>
          <w:sz w:val="24"/>
          <w:szCs w:val="24"/>
        </w:rPr>
        <w:t>9</w:t>
      </w:r>
      <w:r>
        <w:rPr>
          <w:color w:val="000000"/>
          <w:sz w:val="24"/>
          <w:szCs w:val="24"/>
        </w:rPr>
        <w:t>月份经济景气度有所改善，宏观数据显示</w:t>
      </w:r>
      <w:r>
        <w:rPr>
          <w:color w:val="000000"/>
          <w:sz w:val="24"/>
          <w:szCs w:val="24"/>
        </w:rPr>
        <w:t>9</w:t>
      </w:r>
      <w:r>
        <w:rPr>
          <w:color w:val="000000"/>
          <w:sz w:val="24"/>
          <w:szCs w:val="24"/>
        </w:rPr>
        <w:t>月全国制造业</w:t>
      </w:r>
      <w:r>
        <w:rPr>
          <w:color w:val="000000"/>
          <w:sz w:val="24"/>
          <w:szCs w:val="24"/>
        </w:rPr>
        <w:t>PMI</w:t>
      </w:r>
      <w:r>
        <w:rPr>
          <w:color w:val="000000"/>
          <w:sz w:val="24"/>
          <w:szCs w:val="24"/>
        </w:rPr>
        <w:t>为</w:t>
      </w:r>
      <w:r>
        <w:rPr>
          <w:color w:val="000000"/>
          <w:sz w:val="24"/>
          <w:szCs w:val="24"/>
        </w:rPr>
        <w:t>49.8%</w:t>
      </w:r>
      <w:r>
        <w:rPr>
          <w:color w:val="000000"/>
          <w:sz w:val="24"/>
          <w:szCs w:val="24"/>
        </w:rPr>
        <w:t>，较</w:t>
      </w:r>
      <w:r>
        <w:rPr>
          <w:color w:val="000000"/>
          <w:sz w:val="24"/>
          <w:szCs w:val="24"/>
        </w:rPr>
        <w:t>8</w:t>
      </w:r>
      <w:r>
        <w:rPr>
          <w:color w:val="000000"/>
          <w:sz w:val="24"/>
          <w:szCs w:val="24"/>
        </w:rPr>
        <w:t>月小幅回升，并创下</w:t>
      </w:r>
      <w:r>
        <w:rPr>
          <w:color w:val="000000"/>
          <w:sz w:val="24"/>
          <w:szCs w:val="24"/>
        </w:rPr>
        <w:t>5</w:t>
      </w:r>
      <w:r>
        <w:rPr>
          <w:color w:val="000000"/>
          <w:sz w:val="24"/>
          <w:szCs w:val="24"/>
        </w:rPr>
        <w:t>月以来新高，指向制造业景气明显改善。随着经济下行压力的持续加大，三季度宏观经济政策转向积极，政府加大了</w:t>
      </w:r>
      <w:r>
        <w:rPr>
          <w:color w:val="000000"/>
          <w:sz w:val="24"/>
          <w:szCs w:val="24"/>
        </w:rPr>
        <w:t>“</w:t>
      </w:r>
      <w:r>
        <w:rPr>
          <w:color w:val="000000"/>
          <w:sz w:val="24"/>
          <w:szCs w:val="24"/>
        </w:rPr>
        <w:t>逆周期调节</w:t>
      </w:r>
      <w:r>
        <w:rPr>
          <w:color w:val="000000"/>
          <w:sz w:val="24"/>
          <w:szCs w:val="24"/>
        </w:rPr>
        <w:t>”</w:t>
      </w:r>
      <w:r>
        <w:rPr>
          <w:color w:val="000000"/>
          <w:sz w:val="24"/>
          <w:szCs w:val="24"/>
        </w:rPr>
        <w:t>力度。利率市场化改革超预期加</w:t>
      </w:r>
      <w:r>
        <w:rPr>
          <w:color w:val="000000"/>
          <w:sz w:val="24"/>
          <w:szCs w:val="24"/>
        </w:rPr>
        <w:t>快，央行改革完善</w:t>
      </w:r>
      <w:r>
        <w:rPr>
          <w:color w:val="000000"/>
          <w:sz w:val="24"/>
          <w:szCs w:val="24"/>
        </w:rPr>
        <w:t>LPR</w:t>
      </w:r>
      <w:r>
        <w:rPr>
          <w:color w:val="000000"/>
          <w:sz w:val="24"/>
          <w:szCs w:val="24"/>
        </w:rPr>
        <w:t>形成机制，引导了利率下行的政策信号；央行</w:t>
      </w:r>
      <w:r>
        <w:rPr>
          <w:color w:val="000000"/>
          <w:sz w:val="24"/>
          <w:szCs w:val="24"/>
        </w:rPr>
        <w:t>“</w:t>
      </w:r>
      <w:r>
        <w:rPr>
          <w:color w:val="000000"/>
          <w:sz w:val="24"/>
          <w:szCs w:val="24"/>
        </w:rPr>
        <w:t>普降</w:t>
      </w:r>
      <w:r>
        <w:rPr>
          <w:color w:val="000000"/>
          <w:sz w:val="24"/>
          <w:szCs w:val="24"/>
        </w:rPr>
        <w:t>+</w:t>
      </w:r>
      <w:r>
        <w:rPr>
          <w:color w:val="000000"/>
          <w:sz w:val="24"/>
          <w:szCs w:val="24"/>
        </w:rPr>
        <w:t>定向</w:t>
      </w:r>
      <w:r>
        <w:rPr>
          <w:color w:val="000000"/>
          <w:sz w:val="24"/>
          <w:szCs w:val="24"/>
        </w:rPr>
        <w:t>”</w:t>
      </w:r>
      <w:r>
        <w:rPr>
          <w:color w:val="000000"/>
          <w:sz w:val="24"/>
          <w:szCs w:val="24"/>
        </w:rPr>
        <w:t>降准释放了长期流动性约</w:t>
      </w:r>
      <w:r>
        <w:rPr>
          <w:color w:val="000000"/>
          <w:sz w:val="24"/>
          <w:szCs w:val="24"/>
        </w:rPr>
        <w:t>9000</w:t>
      </w:r>
      <w:r>
        <w:rPr>
          <w:color w:val="000000"/>
          <w:sz w:val="24"/>
          <w:szCs w:val="24"/>
        </w:rPr>
        <w:t>亿元，并降低银行负债端成本；财政政策方面，专项债对基建的支撑作用被增强。外围市场方面，在全球经济增速下行、贸易摩擦蔓延升级、地缘政治风险波动加剧的背景下，美元指数、美债明显上涨；人民币对美元即期汇率延续前期贬值预期，季末在岸和离岸美元对人民币即期汇率均贬至</w:t>
      </w:r>
      <w:r>
        <w:rPr>
          <w:color w:val="000000"/>
          <w:sz w:val="24"/>
          <w:szCs w:val="24"/>
        </w:rPr>
        <w:t>7.14</w:t>
      </w:r>
      <w:r>
        <w:rPr>
          <w:color w:val="000000"/>
          <w:sz w:val="24"/>
          <w:szCs w:val="24"/>
        </w:rPr>
        <w:t>。资本市场方面，</w:t>
      </w:r>
      <w:r>
        <w:rPr>
          <w:color w:val="000000"/>
          <w:sz w:val="24"/>
          <w:szCs w:val="24"/>
        </w:rPr>
        <w:t>A</w:t>
      </w:r>
      <w:r>
        <w:rPr>
          <w:color w:val="000000"/>
          <w:sz w:val="24"/>
          <w:szCs w:val="24"/>
        </w:rPr>
        <w:t>股市场波动加大，最终三季度上证综指以下跌</w:t>
      </w:r>
      <w:r>
        <w:rPr>
          <w:color w:val="000000"/>
          <w:sz w:val="24"/>
          <w:szCs w:val="24"/>
        </w:rPr>
        <w:t>2.47%</w:t>
      </w:r>
      <w:r>
        <w:rPr>
          <w:color w:val="000000"/>
          <w:sz w:val="24"/>
          <w:szCs w:val="24"/>
        </w:rPr>
        <w:t>收官。风格主题方面，结构分化显著，在科技类板块领涨的背景下，创业板表现优于</w:t>
      </w:r>
      <w:r>
        <w:rPr>
          <w:color w:val="000000"/>
          <w:sz w:val="24"/>
          <w:szCs w:val="24"/>
        </w:rPr>
        <w:t>主板，上证</w:t>
      </w:r>
      <w:r>
        <w:rPr>
          <w:color w:val="000000"/>
          <w:sz w:val="24"/>
          <w:szCs w:val="24"/>
        </w:rPr>
        <w:t>50</w:t>
      </w:r>
      <w:r>
        <w:rPr>
          <w:color w:val="000000"/>
          <w:sz w:val="24"/>
          <w:szCs w:val="24"/>
        </w:rPr>
        <w:t>指数、沪深</w:t>
      </w:r>
      <w:r>
        <w:rPr>
          <w:color w:val="000000"/>
          <w:sz w:val="24"/>
          <w:szCs w:val="24"/>
        </w:rPr>
        <w:t>300</w:t>
      </w:r>
      <w:r>
        <w:rPr>
          <w:color w:val="000000"/>
          <w:sz w:val="24"/>
          <w:szCs w:val="24"/>
        </w:rPr>
        <w:t>指数分别下跌</w:t>
      </w:r>
      <w:r>
        <w:rPr>
          <w:color w:val="000000"/>
          <w:sz w:val="24"/>
          <w:szCs w:val="24"/>
        </w:rPr>
        <w:t>1.12%</w:t>
      </w:r>
      <w:r>
        <w:rPr>
          <w:color w:val="000000"/>
          <w:sz w:val="24"/>
          <w:szCs w:val="24"/>
        </w:rPr>
        <w:t>、</w:t>
      </w:r>
      <w:r>
        <w:rPr>
          <w:color w:val="000000"/>
          <w:sz w:val="24"/>
          <w:szCs w:val="24"/>
        </w:rPr>
        <w:t>0.29%</w:t>
      </w:r>
      <w:r>
        <w:rPr>
          <w:color w:val="000000"/>
          <w:sz w:val="24"/>
          <w:szCs w:val="24"/>
        </w:rPr>
        <w:t>，而创业板指上涨</w:t>
      </w:r>
      <w:r>
        <w:rPr>
          <w:color w:val="000000"/>
          <w:sz w:val="24"/>
          <w:szCs w:val="24"/>
        </w:rPr>
        <w:t>7.68%</w:t>
      </w:r>
      <w:r>
        <w:rPr>
          <w:color w:val="000000"/>
          <w:sz w:val="24"/>
          <w:szCs w:val="24"/>
        </w:rPr>
        <w:t>；行业方面，电子、医药生物、计算机、食品饮料、国防军工等板块涨幅居前，钢铁、采掘、建筑装饰、有色金属、房地产等板块跌幅较大。报告期内沪深</w:t>
      </w:r>
      <w:r>
        <w:rPr>
          <w:color w:val="000000"/>
          <w:sz w:val="24"/>
          <w:szCs w:val="24"/>
        </w:rPr>
        <w:t>300</w:t>
      </w:r>
      <w:r>
        <w:rPr>
          <w:color w:val="000000"/>
          <w:sz w:val="24"/>
          <w:szCs w:val="24"/>
        </w:rPr>
        <w:t>医药指数上涨</w:t>
      </w:r>
      <w:r>
        <w:rPr>
          <w:color w:val="000000"/>
          <w:sz w:val="24"/>
          <w:szCs w:val="24"/>
        </w:rPr>
        <w:t>7.18%</w:t>
      </w:r>
      <w:r>
        <w:rPr>
          <w:color w:val="000000"/>
          <w:sz w:val="24"/>
          <w:szCs w:val="24"/>
        </w:rPr>
        <w:t>。</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报告期内本基金为正常运作期，在操作中，我们严格遵守基金合同，坚持既定的指数化投资策略，在指数权重调整和基金申赎变动时，应用指数复制和数量化技术降低冲击成本和减少跟踪误差。</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1.7636</w:t>
      </w:r>
      <w:r w:rsidRPr="006C56AA">
        <w:rPr>
          <w:color w:val="000000"/>
          <w:sz w:val="24"/>
          <w:szCs w:val="24"/>
        </w:rPr>
        <w:t>元，本报告期份额净值增长率为</w:t>
      </w:r>
      <w:r w:rsidRPr="006C56AA">
        <w:rPr>
          <w:color w:val="000000"/>
          <w:sz w:val="24"/>
          <w:szCs w:val="24"/>
        </w:rPr>
        <w:t>7.87%</w:t>
      </w:r>
      <w:r w:rsidRPr="006C56AA">
        <w:rPr>
          <w:color w:val="000000"/>
          <w:sz w:val="24"/>
          <w:szCs w:val="24"/>
        </w:rPr>
        <w:t>，同期业绩比较基准收益率为</w:t>
      </w:r>
      <w:r w:rsidRPr="006C56AA">
        <w:rPr>
          <w:color w:val="000000"/>
          <w:sz w:val="24"/>
          <w:szCs w:val="24"/>
        </w:rPr>
        <w:t>7.18%</w:t>
      </w:r>
      <w:r w:rsidRPr="006C56AA">
        <w:rPr>
          <w:color w:val="000000"/>
          <w:sz w:val="24"/>
          <w:szCs w:val="24"/>
        </w:rPr>
        <w:t>，日跟踪偏离度的均值为</w:t>
      </w:r>
      <w:r w:rsidRPr="006C56AA">
        <w:rPr>
          <w:color w:val="000000"/>
          <w:sz w:val="24"/>
          <w:szCs w:val="24"/>
        </w:rPr>
        <w:t>0.02%</w:t>
      </w:r>
      <w:r w:rsidRPr="006C56AA">
        <w:rPr>
          <w:color w:val="000000"/>
          <w:sz w:val="24"/>
          <w:szCs w:val="24"/>
        </w:rPr>
        <w:t>，年化跟踪误差为</w:t>
      </w:r>
      <w:r w:rsidRPr="006C56AA">
        <w:rPr>
          <w:color w:val="000000"/>
          <w:sz w:val="24"/>
          <w:szCs w:val="24"/>
        </w:rPr>
        <w:t>0.440%</w:t>
      </w:r>
      <w:r w:rsidRPr="006C56AA">
        <w:rPr>
          <w:color w:val="000000"/>
          <w:sz w:val="24"/>
          <w:szCs w:val="24"/>
        </w:rPr>
        <w:t>，各项指标均在合同规定的目标控制范围之内。</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836,962,598.55</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98.25</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836,962,598.55</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98.25</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11,877,111.50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1.39</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3,007,341.35</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0.35</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851,847,051.40</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注：上表中的股票投资项含可退替代款估值增值，而</w:t>
      </w:r>
      <w:r w:rsidRPr="006C56AA">
        <w:rPr>
          <w:color w:val="000000"/>
          <w:sz w:val="24"/>
          <w:szCs w:val="24"/>
        </w:rPr>
        <w:t>5.2</w:t>
      </w:r>
      <w:r w:rsidRPr="006C56AA">
        <w:rPr>
          <w:color w:val="000000"/>
          <w:sz w:val="24"/>
          <w:szCs w:val="24"/>
        </w:rPr>
        <w:t>的合计项不含可退替代款估值增值。</w:t>
      </w:r>
    </w:p>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699,540,158.35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82.78</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2,139,240.40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0.25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51,685,039.85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6.12</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78,198.64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12,663,402.00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1.50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70,856,559.31</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8.38</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836,962,598.55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99.04</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D2516A">
        <w:tc>
          <w:tcPr>
            <w:tcW w:w="851" w:type="dxa"/>
            <w:vAlign w:val="center"/>
          </w:tcPr>
          <w:p w:rsidR="00D2516A" w:rsidRDefault="004B0CBE">
            <w:pPr>
              <w:jc w:val="center"/>
            </w:pPr>
            <w:r>
              <w:rPr>
                <w:color w:val="000000"/>
                <w:kern w:val="0"/>
                <w:sz w:val="24"/>
                <w:szCs w:val="24"/>
              </w:rPr>
              <w:t>1</w:t>
            </w:r>
          </w:p>
        </w:tc>
        <w:tc>
          <w:tcPr>
            <w:tcW w:w="1276" w:type="dxa"/>
            <w:vAlign w:val="center"/>
          </w:tcPr>
          <w:p w:rsidR="00D2516A" w:rsidRDefault="004B0CBE">
            <w:pPr>
              <w:jc w:val="center"/>
            </w:pPr>
            <w:r>
              <w:rPr>
                <w:color w:val="000000"/>
                <w:kern w:val="0"/>
                <w:sz w:val="24"/>
                <w:szCs w:val="24"/>
              </w:rPr>
              <w:t>600276</w:t>
            </w:r>
          </w:p>
        </w:tc>
        <w:tc>
          <w:tcPr>
            <w:tcW w:w="1418" w:type="dxa"/>
            <w:vAlign w:val="center"/>
          </w:tcPr>
          <w:p w:rsidR="00D2516A" w:rsidRDefault="004B0CBE">
            <w:pPr>
              <w:jc w:val="center"/>
            </w:pPr>
            <w:r>
              <w:rPr>
                <w:color w:val="000000"/>
                <w:kern w:val="0"/>
                <w:sz w:val="24"/>
                <w:szCs w:val="24"/>
              </w:rPr>
              <w:t>恒瑞医药</w:t>
            </w:r>
          </w:p>
        </w:tc>
        <w:tc>
          <w:tcPr>
            <w:tcW w:w="1701" w:type="dxa"/>
            <w:vAlign w:val="center"/>
          </w:tcPr>
          <w:p w:rsidR="00D2516A" w:rsidRDefault="004B0CBE">
            <w:pPr>
              <w:jc w:val="right"/>
            </w:pPr>
            <w:r>
              <w:rPr>
                <w:color w:val="000000"/>
                <w:kern w:val="0"/>
                <w:sz w:val="24"/>
                <w:szCs w:val="24"/>
              </w:rPr>
              <w:t>3,083,814</w:t>
            </w:r>
          </w:p>
        </w:tc>
        <w:tc>
          <w:tcPr>
            <w:tcW w:w="1984" w:type="dxa"/>
            <w:vAlign w:val="center"/>
          </w:tcPr>
          <w:p w:rsidR="00D2516A" w:rsidRDefault="004B0CBE">
            <w:pPr>
              <w:jc w:val="right"/>
            </w:pPr>
            <w:r>
              <w:rPr>
                <w:color w:val="000000"/>
                <w:kern w:val="0"/>
                <w:sz w:val="24"/>
                <w:szCs w:val="24"/>
              </w:rPr>
              <w:t>248,802,113.52</w:t>
            </w:r>
          </w:p>
        </w:tc>
        <w:tc>
          <w:tcPr>
            <w:tcW w:w="1559" w:type="dxa"/>
            <w:vAlign w:val="center"/>
          </w:tcPr>
          <w:p w:rsidR="00D2516A" w:rsidRDefault="004B0CBE">
            <w:pPr>
              <w:jc w:val="right"/>
            </w:pPr>
            <w:r>
              <w:rPr>
                <w:color w:val="000000"/>
                <w:kern w:val="0"/>
                <w:sz w:val="24"/>
                <w:szCs w:val="24"/>
              </w:rPr>
              <w:t>29.44</w:t>
            </w:r>
          </w:p>
        </w:tc>
      </w:tr>
      <w:tr w:rsidR="00D2516A">
        <w:tc>
          <w:tcPr>
            <w:tcW w:w="851" w:type="dxa"/>
            <w:vAlign w:val="center"/>
          </w:tcPr>
          <w:p w:rsidR="00D2516A" w:rsidRDefault="004B0CBE">
            <w:pPr>
              <w:jc w:val="center"/>
            </w:pPr>
            <w:r>
              <w:rPr>
                <w:color w:val="000000"/>
                <w:kern w:val="0"/>
                <w:sz w:val="24"/>
                <w:szCs w:val="24"/>
              </w:rPr>
              <w:t>2</w:t>
            </w:r>
          </w:p>
        </w:tc>
        <w:tc>
          <w:tcPr>
            <w:tcW w:w="1276" w:type="dxa"/>
            <w:vAlign w:val="center"/>
          </w:tcPr>
          <w:p w:rsidR="00D2516A" w:rsidRDefault="004B0CBE">
            <w:pPr>
              <w:jc w:val="center"/>
            </w:pPr>
            <w:r>
              <w:rPr>
                <w:color w:val="000000"/>
                <w:kern w:val="0"/>
                <w:sz w:val="24"/>
                <w:szCs w:val="24"/>
              </w:rPr>
              <w:t>000661</w:t>
            </w:r>
          </w:p>
        </w:tc>
        <w:tc>
          <w:tcPr>
            <w:tcW w:w="1418" w:type="dxa"/>
            <w:vAlign w:val="center"/>
          </w:tcPr>
          <w:p w:rsidR="00D2516A" w:rsidRDefault="004B0CBE">
            <w:pPr>
              <w:jc w:val="center"/>
            </w:pPr>
            <w:r>
              <w:rPr>
                <w:color w:val="000000"/>
                <w:kern w:val="0"/>
                <w:sz w:val="24"/>
                <w:szCs w:val="24"/>
              </w:rPr>
              <w:t>长春高新</w:t>
            </w:r>
          </w:p>
        </w:tc>
        <w:tc>
          <w:tcPr>
            <w:tcW w:w="1701" w:type="dxa"/>
            <w:vAlign w:val="center"/>
          </w:tcPr>
          <w:p w:rsidR="00D2516A" w:rsidRDefault="004B0CBE">
            <w:pPr>
              <w:jc w:val="right"/>
            </w:pPr>
            <w:r>
              <w:rPr>
                <w:color w:val="000000"/>
                <w:kern w:val="0"/>
                <w:sz w:val="24"/>
                <w:szCs w:val="24"/>
              </w:rPr>
              <w:t>135,000</w:t>
            </w:r>
          </w:p>
        </w:tc>
        <w:tc>
          <w:tcPr>
            <w:tcW w:w="1984" w:type="dxa"/>
            <w:vAlign w:val="center"/>
          </w:tcPr>
          <w:p w:rsidR="00D2516A" w:rsidRDefault="004B0CBE">
            <w:pPr>
              <w:jc w:val="right"/>
            </w:pPr>
            <w:r>
              <w:rPr>
                <w:color w:val="000000"/>
                <w:kern w:val="0"/>
                <w:sz w:val="24"/>
                <w:szCs w:val="24"/>
              </w:rPr>
              <w:t>53,238,600.00</w:t>
            </w:r>
          </w:p>
        </w:tc>
        <w:tc>
          <w:tcPr>
            <w:tcW w:w="1559" w:type="dxa"/>
            <w:vAlign w:val="center"/>
          </w:tcPr>
          <w:p w:rsidR="00D2516A" w:rsidRDefault="004B0CBE">
            <w:pPr>
              <w:jc w:val="right"/>
            </w:pPr>
            <w:r>
              <w:rPr>
                <w:color w:val="000000"/>
                <w:kern w:val="0"/>
                <w:sz w:val="24"/>
                <w:szCs w:val="24"/>
              </w:rPr>
              <w:t>6.30</w:t>
            </w:r>
          </w:p>
        </w:tc>
      </w:tr>
      <w:tr w:rsidR="00D2516A">
        <w:tc>
          <w:tcPr>
            <w:tcW w:w="851" w:type="dxa"/>
            <w:vAlign w:val="center"/>
          </w:tcPr>
          <w:p w:rsidR="00D2516A" w:rsidRDefault="004B0CBE">
            <w:pPr>
              <w:jc w:val="center"/>
            </w:pPr>
            <w:r>
              <w:rPr>
                <w:color w:val="000000"/>
                <w:kern w:val="0"/>
                <w:sz w:val="24"/>
                <w:szCs w:val="24"/>
              </w:rPr>
              <w:t>3</w:t>
            </w:r>
          </w:p>
        </w:tc>
        <w:tc>
          <w:tcPr>
            <w:tcW w:w="1276" w:type="dxa"/>
            <w:vAlign w:val="center"/>
          </w:tcPr>
          <w:p w:rsidR="00D2516A" w:rsidRDefault="004B0CBE">
            <w:pPr>
              <w:jc w:val="center"/>
            </w:pPr>
            <w:r>
              <w:rPr>
                <w:color w:val="000000"/>
                <w:kern w:val="0"/>
                <w:sz w:val="24"/>
                <w:szCs w:val="24"/>
              </w:rPr>
              <w:t>300015</w:t>
            </w:r>
          </w:p>
        </w:tc>
        <w:tc>
          <w:tcPr>
            <w:tcW w:w="1418" w:type="dxa"/>
            <w:vAlign w:val="center"/>
          </w:tcPr>
          <w:p w:rsidR="00D2516A" w:rsidRDefault="004B0CBE">
            <w:pPr>
              <w:jc w:val="center"/>
            </w:pPr>
            <w:r>
              <w:rPr>
                <w:color w:val="000000"/>
                <w:kern w:val="0"/>
                <w:sz w:val="24"/>
                <w:szCs w:val="24"/>
              </w:rPr>
              <w:t>爱尔眼科</w:t>
            </w:r>
          </w:p>
        </w:tc>
        <w:tc>
          <w:tcPr>
            <w:tcW w:w="1701" w:type="dxa"/>
            <w:vAlign w:val="center"/>
          </w:tcPr>
          <w:p w:rsidR="00D2516A" w:rsidRDefault="004B0CBE">
            <w:pPr>
              <w:jc w:val="right"/>
            </w:pPr>
            <w:r>
              <w:rPr>
                <w:color w:val="000000"/>
                <w:kern w:val="0"/>
                <w:sz w:val="24"/>
                <w:szCs w:val="24"/>
              </w:rPr>
              <w:t>1,232,161</w:t>
            </w:r>
          </w:p>
        </w:tc>
        <w:tc>
          <w:tcPr>
            <w:tcW w:w="1984" w:type="dxa"/>
            <w:vAlign w:val="center"/>
          </w:tcPr>
          <w:p w:rsidR="00D2516A" w:rsidRDefault="004B0CBE">
            <w:pPr>
              <w:jc w:val="right"/>
            </w:pPr>
            <w:r>
              <w:rPr>
                <w:color w:val="000000"/>
                <w:kern w:val="0"/>
                <w:sz w:val="24"/>
                <w:szCs w:val="24"/>
              </w:rPr>
              <w:t>43,704,750.67</w:t>
            </w:r>
          </w:p>
        </w:tc>
        <w:tc>
          <w:tcPr>
            <w:tcW w:w="1559" w:type="dxa"/>
            <w:vAlign w:val="center"/>
          </w:tcPr>
          <w:p w:rsidR="00D2516A" w:rsidRDefault="004B0CBE">
            <w:pPr>
              <w:jc w:val="right"/>
            </w:pPr>
            <w:r>
              <w:rPr>
                <w:color w:val="000000"/>
                <w:kern w:val="0"/>
                <w:sz w:val="24"/>
                <w:szCs w:val="24"/>
              </w:rPr>
              <w:t>5.17</w:t>
            </w:r>
          </w:p>
        </w:tc>
      </w:tr>
      <w:tr w:rsidR="00D2516A">
        <w:tc>
          <w:tcPr>
            <w:tcW w:w="851" w:type="dxa"/>
            <w:vAlign w:val="center"/>
          </w:tcPr>
          <w:p w:rsidR="00D2516A" w:rsidRDefault="004B0CBE">
            <w:pPr>
              <w:jc w:val="center"/>
            </w:pPr>
            <w:r>
              <w:rPr>
                <w:color w:val="000000"/>
                <w:kern w:val="0"/>
                <w:sz w:val="24"/>
                <w:szCs w:val="24"/>
              </w:rPr>
              <w:t>4</w:t>
            </w:r>
          </w:p>
        </w:tc>
        <w:tc>
          <w:tcPr>
            <w:tcW w:w="1276" w:type="dxa"/>
            <w:vAlign w:val="center"/>
          </w:tcPr>
          <w:p w:rsidR="00D2516A" w:rsidRDefault="004B0CBE">
            <w:pPr>
              <w:jc w:val="center"/>
            </w:pPr>
            <w:r>
              <w:rPr>
                <w:color w:val="000000"/>
                <w:kern w:val="0"/>
                <w:sz w:val="24"/>
                <w:szCs w:val="24"/>
              </w:rPr>
              <w:t>000538</w:t>
            </w:r>
          </w:p>
        </w:tc>
        <w:tc>
          <w:tcPr>
            <w:tcW w:w="1418" w:type="dxa"/>
            <w:vAlign w:val="center"/>
          </w:tcPr>
          <w:p w:rsidR="00D2516A" w:rsidRDefault="004B0CBE">
            <w:pPr>
              <w:jc w:val="center"/>
            </w:pPr>
            <w:r>
              <w:rPr>
                <w:color w:val="000000"/>
                <w:kern w:val="0"/>
                <w:sz w:val="24"/>
                <w:szCs w:val="24"/>
              </w:rPr>
              <w:t>云南白药</w:t>
            </w:r>
          </w:p>
        </w:tc>
        <w:tc>
          <w:tcPr>
            <w:tcW w:w="1701" w:type="dxa"/>
            <w:vAlign w:val="center"/>
          </w:tcPr>
          <w:p w:rsidR="00D2516A" w:rsidRDefault="004B0CBE">
            <w:pPr>
              <w:jc w:val="right"/>
            </w:pPr>
            <w:r>
              <w:rPr>
                <w:color w:val="000000"/>
                <w:kern w:val="0"/>
                <w:sz w:val="24"/>
                <w:szCs w:val="24"/>
              </w:rPr>
              <w:t>507,322</w:t>
            </w:r>
          </w:p>
        </w:tc>
        <w:tc>
          <w:tcPr>
            <w:tcW w:w="1984" w:type="dxa"/>
            <w:vAlign w:val="center"/>
          </w:tcPr>
          <w:p w:rsidR="00D2516A" w:rsidRDefault="004B0CBE">
            <w:pPr>
              <w:jc w:val="right"/>
            </w:pPr>
            <w:r>
              <w:rPr>
                <w:color w:val="000000"/>
                <w:kern w:val="0"/>
                <w:sz w:val="24"/>
                <w:szCs w:val="24"/>
              </w:rPr>
              <w:t>38,581,838.10</w:t>
            </w:r>
          </w:p>
        </w:tc>
        <w:tc>
          <w:tcPr>
            <w:tcW w:w="1559" w:type="dxa"/>
            <w:vAlign w:val="center"/>
          </w:tcPr>
          <w:p w:rsidR="00D2516A" w:rsidRDefault="004B0CBE">
            <w:pPr>
              <w:jc w:val="right"/>
            </w:pPr>
            <w:r>
              <w:rPr>
                <w:color w:val="000000"/>
                <w:kern w:val="0"/>
                <w:sz w:val="24"/>
                <w:szCs w:val="24"/>
              </w:rPr>
              <w:t>4.57</w:t>
            </w:r>
          </w:p>
        </w:tc>
      </w:tr>
      <w:tr w:rsidR="00D2516A">
        <w:tc>
          <w:tcPr>
            <w:tcW w:w="851" w:type="dxa"/>
            <w:vAlign w:val="center"/>
          </w:tcPr>
          <w:p w:rsidR="00D2516A" w:rsidRDefault="004B0CBE">
            <w:pPr>
              <w:jc w:val="center"/>
            </w:pPr>
            <w:r>
              <w:rPr>
                <w:color w:val="000000"/>
                <w:kern w:val="0"/>
                <w:sz w:val="24"/>
                <w:szCs w:val="24"/>
              </w:rPr>
              <w:t>5</w:t>
            </w:r>
          </w:p>
        </w:tc>
        <w:tc>
          <w:tcPr>
            <w:tcW w:w="1276" w:type="dxa"/>
            <w:vAlign w:val="center"/>
          </w:tcPr>
          <w:p w:rsidR="00D2516A" w:rsidRDefault="004B0CBE">
            <w:pPr>
              <w:jc w:val="center"/>
            </w:pPr>
            <w:r>
              <w:rPr>
                <w:color w:val="000000"/>
                <w:kern w:val="0"/>
                <w:sz w:val="24"/>
                <w:szCs w:val="24"/>
              </w:rPr>
              <w:t>300142</w:t>
            </w:r>
          </w:p>
        </w:tc>
        <w:tc>
          <w:tcPr>
            <w:tcW w:w="1418" w:type="dxa"/>
            <w:vAlign w:val="center"/>
          </w:tcPr>
          <w:p w:rsidR="00D2516A" w:rsidRDefault="004B0CBE">
            <w:pPr>
              <w:jc w:val="center"/>
            </w:pPr>
            <w:r>
              <w:rPr>
                <w:color w:val="000000"/>
                <w:kern w:val="0"/>
                <w:sz w:val="24"/>
                <w:szCs w:val="24"/>
              </w:rPr>
              <w:t>沃森生物</w:t>
            </w:r>
          </w:p>
        </w:tc>
        <w:tc>
          <w:tcPr>
            <w:tcW w:w="1701" w:type="dxa"/>
            <w:vAlign w:val="center"/>
          </w:tcPr>
          <w:p w:rsidR="00D2516A" w:rsidRDefault="004B0CBE">
            <w:pPr>
              <w:jc w:val="right"/>
            </w:pPr>
            <w:r>
              <w:rPr>
                <w:color w:val="000000"/>
                <w:kern w:val="0"/>
                <w:sz w:val="24"/>
                <w:szCs w:val="24"/>
              </w:rPr>
              <w:t>1,222,308</w:t>
            </w:r>
          </w:p>
        </w:tc>
        <w:tc>
          <w:tcPr>
            <w:tcW w:w="1984" w:type="dxa"/>
            <w:vAlign w:val="center"/>
          </w:tcPr>
          <w:p w:rsidR="00D2516A" w:rsidRDefault="004B0CBE">
            <w:pPr>
              <w:jc w:val="right"/>
            </w:pPr>
            <w:r>
              <w:rPr>
                <w:color w:val="000000"/>
                <w:kern w:val="0"/>
                <w:sz w:val="24"/>
                <w:szCs w:val="24"/>
              </w:rPr>
              <w:t>32,990,092.92</w:t>
            </w:r>
          </w:p>
        </w:tc>
        <w:tc>
          <w:tcPr>
            <w:tcW w:w="1559" w:type="dxa"/>
            <w:vAlign w:val="center"/>
          </w:tcPr>
          <w:p w:rsidR="00D2516A" w:rsidRDefault="004B0CBE">
            <w:pPr>
              <w:jc w:val="right"/>
            </w:pPr>
            <w:r>
              <w:rPr>
                <w:color w:val="000000"/>
                <w:kern w:val="0"/>
                <w:sz w:val="24"/>
                <w:szCs w:val="24"/>
              </w:rPr>
              <w:t>3.90</w:t>
            </w:r>
          </w:p>
        </w:tc>
      </w:tr>
      <w:tr w:rsidR="00D2516A">
        <w:tc>
          <w:tcPr>
            <w:tcW w:w="851" w:type="dxa"/>
            <w:vAlign w:val="center"/>
          </w:tcPr>
          <w:p w:rsidR="00D2516A" w:rsidRDefault="004B0CBE">
            <w:pPr>
              <w:jc w:val="center"/>
            </w:pPr>
            <w:r>
              <w:rPr>
                <w:color w:val="000000"/>
                <w:kern w:val="0"/>
                <w:sz w:val="24"/>
                <w:szCs w:val="24"/>
              </w:rPr>
              <w:t>6</w:t>
            </w:r>
          </w:p>
        </w:tc>
        <w:tc>
          <w:tcPr>
            <w:tcW w:w="1276" w:type="dxa"/>
            <w:vAlign w:val="center"/>
          </w:tcPr>
          <w:p w:rsidR="00D2516A" w:rsidRDefault="004B0CBE">
            <w:pPr>
              <w:jc w:val="center"/>
            </w:pPr>
            <w:r>
              <w:rPr>
                <w:color w:val="000000"/>
                <w:kern w:val="0"/>
                <w:sz w:val="24"/>
                <w:szCs w:val="24"/>
              </w:rPr>
              <w:t>600436</w:t>
            </w:r>
          </w:p>
        </w:tc>
        <w:tc>
          <w:tcPr>
            <w:tcW w:w="1418" w:type="dxa"/>
            <w:vAlign w:val="center"/>
          </w:tcPr>
          <w:p w:rsidR="00D2516A" w:rsidRDefault="004B0CBE">
            <w:pPr>
              <w:jc w:val="center"/>
            </w:pPr>
            <w:r>
              <w:rPr>
                <w:color w:val="000000"/>
                <w:kern w:val="0"/>
                <w:sz w:val="24"/>
                <w:szCs w:val="24"/>
              </w:rPr>
              <w:t>片仔癀</w:t>
            </w:r>
          </w:p>
        </w:tc>
        <w:tc>
          <w:tcPr>
            <w:tcW w:w="1701" w:type="dxa"/>
            <w:vAlign w:val="center"/>
          </w:tcPr>
          <w:p w:rsidR="00D2516A" w:rsidRDefault="004B0CBE">
            <w:pPr>
              <w:jc w:val="right"/>
            </w:pPr>
            <w:r>
              <w:rPr>
                <w:color w:val="000000"/>
                <w:kern w:val="0"/>
                <w:sz w:val="24"/>
                <w:szCs w:val="24"/>
              </w:rPr>
              <w:t>300,753</w:t>
            </w:r>
          </w:p>
        </w:tc>
        <w:tc>
          <w:tcPr>
            <w:tcW w:w="1984" w:type="dxa"/>
            <w:vAlign w:val="center"/>
          </w:tcPr>
          <w:p w:rsidR="00D2516A" w:rsidRDefault="004B0CBE">
            <w:pPr>
              <w:jc w:val="right"/>
            </w:pPr>
            <w:r>
              <w:rPr>
                <w:color w:val="000000"/>
                <w:kern w:val="0"/>
                <w:sz w:val="24"/>
                <w:szCs w:val="24"/>
              </w:rPr>
              <w:t>30,640,715.64</w:t>
            </w:r>
          </w:p>
        </w:tc>
        <w:tc>
          <w:tcPr>
            <w:tcW w:w="1559" w:type="dxa"/>
            <w:vAlign w:val="center"/>
          </w:tcPr>
          <w:p w:rsidR="00D2516A" w:rsidRDefault="004B0CBE">
            <w:pPr>
              <w:jc w:val="right"/>
            </w:pPr>
            <w:r>
              <w:rPr>
                <w:color w:val="000000"/>
                <w:kern w:val="0"/>
                <w:sz w:val="24"/>
                <w:szCs w:val="24"/>
              </w:rPr>
              <w:t>3.63</w:t>
            </w:r>
          </w:p>
        </w:tc>
      </w:tr>
      <w:tr w:rsidR="00D2516A">
        <w:tc>
          <w:tcPr>
            <w:tcW w:w="851" w:type="dxa"/>
            <w:vAlign w:val="center"/>
          </w:tcPr>
          <w:p w:rsidR="00D2516A" w:rsidRDefault="004B0CBE">
            <w:pPr>
              <w:jc w:val="center"/>
            </w:pPr>
            <w:r>
              <w:rPr>
                <w:color w:val="000000"/>
                <w:kern w:val="0"/>
                <w:sz w:val="24"/>
                <w:szCs w:val="24"/>
              </w:rPr>
              <w:t>7</w:t>
            </w:r>
          </w:p>
        </w:tc>
        <w:tc>
          <w:tcPr>
            <w:tcW w:w="1276" w:type="dxa"/>
            <w:vAlign w:val="center"/>
          </w:tcPr>
          <w:p w:rsidR="00D2516A" w:rsidRDefault="004B0CBE">
            <w:pPr>
              <w:jc w:val="center"/>
            </w:pPr>
            <w:r>
              <w:rPr>
                <w:color w:val="000000"/>
                <w:kern w:val="0"/>
                <w:sz w:val="24"/>
                <w:szCs w:val="24"/>
              </w:rPr>
              <w:t>002007</w:t>
            </w:r>
          </w:p>
        </w:tc>
        <w:tc>
          <w:tcPr>
            <w:tcW w:w="1418" w:type="dxa"/>
            <w:vAlign w:val="center"/>
          </w:tcPr>
          <w:p w:rsidR="00D2516A" w:rsidRDefault="004B0CBE">
            <w:pPr>
              <w:jc w:val="center"/>
            </w:pPr>
            <w:r>
              <w:rPr>
                <w:color w:val="000000"/>
                <w:kern w:val="0"/>
                <w:sz w:val="24"/>
                <w:szCs w:val="24"/>
              </w:rPr>
              <w:t>华兰生物</w:t>
            </w:r>
          </w:p>
        </w:tc>
        <w:tc>
          <w:tcPr>
            <w:tcW w:w="1701" w:type="dxa"/>
            <w:vAlign w:val="center"/>
          </w:tcPr>
          <w:p w:rsidR="00D2516A" w:rsidRDefault="004B0CBE">
            <w:pPr>
              <w:jc w:val="right"/>
            </w:pPr>
            <w:r>
              <w:rPr>
                <w:color w:val="000000"/>
                <w:kern w:val="0"/>
                <w:sz w:val="24"/>
                <w:szCs w:val="24"/>
              </w:rPr>
              <w:t>836,094</w:t>
            </w:r>
          </w:p>
        </w:tc>
        <w:tc>
          <w:tcPr>
            <w:tcW w:w="1984" w:type="dxa"/>
            <w:vAlign w:val="center"/>
          </w:tcPr>
          <w:p w:rsidR="00D2516A" w:rsidRDefault="004B0CBE">
            <w:pPr>
              <w:jc w:val="right"/>
            </w:pPr>
            <w:r>
              <w:rPr>
                <w:color w:val="000000"/>
                <w:kern w:val="0"/>
                <w:sz w:val="24"/>
                <w:szCs w:val="24"/>
              </w:rPr>
              <w:t>28,678,024.20</w:t>
            </w:r>
          </w:p>
        </w:tc>
        <w:tc>
          <w:tcPr>
            <w:tcW w:w="1559" w:type="dxa"/>
            <w:vAlign w:val="center"/>
          </w:tcPr>
          <w:p w:rsidR="00D2516A" w:rsidRDefault="004B0CBE">
            <w:pPr>
              <w:jc w:val="right"/>
            </w:pPr>
            <w:r>
              <w:rPr>
                <w:color w:val="000000"/>
                <w:kern w:val="0"/>
                <w:sz w:val="24"/>
                <w:szCs w:val="24"/>
              </w:rPr>
              <w:t>3.39</w:t>
            </w:r>
          </w:p>
        </w:tc>
      </w:tr>
      <w:tr w:rsidR="00D2516A">
        <w:tc>
          <w:tcPr>
            <w:tcW w:w="851" w:type="dxa"/>
            <w:vAlign w:val="center"/>
          </w:tcPr>
          <w:p w:rsidR="00D2516A" w:rsidRDefault="004B0CBE">
            <w:pPr>
              <w:jc w:val="center"/>
            </w:pPr>
            <w:r>
              <w:rPr>
                <w:color w:val="000000"/>
                <w:kern w:val="0"/>
                <w:sz w:val="24"/>
                <w:szCs w:val="24"/>
              </w:rPr>
              <w:t>8</w:t>
            </w:r>
          </w:p>
        </w:tc>
        <w:tc>
          <w:tcPr>
            <w:tcW w:w="1276" w:type="dxa"/>
            <w:vAlign w:val="center"/>
          </w:tcPr>
          <w:p w:rsidR="00D2516A" w:rsidRDefault="004B0CBE">
            <w:pPr>
              <w:jc w:val="center"/>
            </w:pPr>
            <w:r>
              <w:rPr>
                <w:color w:val="000000"/>
                <w:kern w:val="0"/>
                <w:sz w:val="24"/>
                <w:szCs w:val="24"/>
              </w:rPr>
              <w:t>002001</w:t>
            </w:r>
          </w:p>
        </w:tc>
        <w:tc>
          <w:tcPr>
            <w:tcW w:w="1418" w:type="dxa"/>
            <w:vAlign w:val="center"/>
          </w:tcPr>
          <w:p w:rsidR="00D2516A" w:rsidRDefault="004B0CBE">
            <w:pPr>
              <w:jc w:val="center"/>
            </w:pPr>
            <w:r>
              <w:rPr>
                <w:color w:val="000000"/>
                <w:kern w:val="0"/>
                <w:sz w:val="24"/>
                <w:szCs w:val="24"/>
              </w:rPr>
              <w:t>新和成</w:t>
            </w:r>
          </w:p>
        </w:tc>
        <w:tc>
          <w:tcPr>
            <w:tcW w:w="1701" w:type="dxa"/>
            <w:vAlign w:val="center"/>
          </w:tcPr>
          <w:p w:rsidR="00D2516A" w:rsidRDefault="004B0CBE">
            <w:pPr>
              <w:jc w:val="right"/>
            </w:pPr>
            <w:r>
              <w:rPr>
                <w:color w:val="000000"/>
                <w:kern w:val="0"/>
                <w:sz w:val="24"/>
                <w:szCs w:val="24"/>
              </w:rPr>
              <w:t>1,281,800</w:t>
            </w:r>
          </w:p>
        </w:tc>
        <w:tc>
          <w:tcPr>
            <w:tcW w:w="1984" w:type="dxa"/>
            <w:vAlign w:val="center"/>
          </w:tcPr>
          <w:p w:rsidR="00D2516A" w:rsidRDefault="004B0CBE">
            <w:pPr>
              <w:jc w:val="right"/>
            </w:pPr>
            <w:r>
              <w:rPr>
                <w:color w:val="000000"/>
                <w:kern w:val="0"/>
                <w:sz w:val="24"/>
                <w:szCs w:val="24"/>
              </w:rPr>
              <w:t>27,417,702.00</w:t>
            </w:r>
          </w:p>
        </w:tc>
        <w:tc>
          <w:tcPr>
            <w:tcW w:w="1559" w:type="dxa"/>
            <w:vAlign w:val="center"/>
          </w:tcPr>
          <w:p w:rsidR="00D2516A" w:rsidRDefault="004B0CBE">
            <w:pPr>
              <w:jc w:val="right"/>
            </w:pPr>
            <w:r>
              <w:rPr>
                <w:color w:val="000000"/>
                <w:kern w:val="0"/>
                <w:sz w:val="24"/>
                <w:szCs w:val="24"/>
              </w:rPr>
              <w:t>3.24</w:t>
            </w:r>
          </w:p>
        </w:tc>
      </w:tr>
      <w:tr w:rsidR="00D2516A">
        <w:tc>
          <w:tcPr>
            <w:tcW w:w="851" w:type="dxa"/>
            <w:vAlign w:val="center"/>
          </w:tcPr>
          <w:p w:rsidR="00D2516A" w:rsidRDefault="004B0CBE">
            <w:pPr>
              <w:jc w:val="center"/>
            </w:pPr>
            <w:r>
              <w:rPr>
                <w:color w:val="000000"/>
                <w:kern w:val="0"/>
                <w:sz w:val="24"/>
                <w:szCs w:val="24"/>
              </w:rPr>
              <w:t>9</w:t>
            </w:r>
          </w:p>
        </w:tc>
        <w:tc>
          <w:tcPr>
            <w:tcW w:w="1276" w:type="dxa"/>
            <w:vAlign w:val="center"/>
          </w:tcPr>
          <w:p w:rsidR="00D2516A" w:rsidRDefault="004B0CBE">
            <w:pPr>
              <w:jc w:val="center"/>
            </w:pPr>
            <w:r>
              <w:rPr>
                <w:color w:val="000000"/>
                <w:kern w:val="0"/>
                <w:sz w:val="24"/>
                <w:szCs w:val="24"/>
              </w:rPr>
              <w:t>002044</w:t>
            </w:r>
          </w:p>
        </w:tc>
        <w:tc>
          <w:tcPr>
            <w:tcW w:w="1418" w:type="dxa"/>
            <w:vAlign w:val="center"/>
          </w:tcPr>
          <w:p w:rsidR="00D2516A" w:rsidRDefault="004B0CBE">
            <w:pPr>
              <w:jc w:val="center"/>
            </w:pPr>
            <w:r>
              <w:rPr>
                <w:color w:val="000000"/>
                <w:kern w:val="0"/>
                <w:sz w:val="24"/>
                <w:szCs w:val="24"/>
              </w:rPr>
              <w:t>美年健康</w:t>
            </w:r>
          </w:p>
        </w:tc>
        <w:tc>
          <w:tcPr>
            <w:tcW w:w="1701" w:type="dxa"/>
            <w:vAlign w:val="center"/>
          </w:tcPr>
          <w:p w:rsidR="00D2516A" w:rsidRDefault="004B0CBE">
            <w:pPr>
              <w:jc w:val="right"/>
            </w:pPr>
            <w:r>
              <w:rPr>
                <w:color w:val="000000"/>
                <w:kern w:val="0"/>
                <w:sz w:val="24"/>
                <w:szCs w:val="24"/>
              </w:rPr>
              <w:t>2,232,879</w:t>
            </w:r>
          </w:p>
        </w:tc>
        <w:tc>
          <w:tcPr>
            <w:tcW w:w="1984" w:type="dxa"/>
            <w:vAlign w:val="center"/>
          </w:tcPr>
          <w:p w:rsidR="00D2516A" w:rsidRDefault="004B0CBE">
            <w:pPr>
              <w:jc w:val="right"/>
            </w:pPr>
            <w:r>
              <w:rPr>
                <w:color w:val="000000"/>
                <w:kern w:val="0"/>
                <w:sz w:val="24"/>
                <w:szCs w:val="24"/>
              </w:rPr>
              <w:t>27,151,808.64</w:t>
            </w:r>
          </w:p>
        </w:tc>
        <w:tc>
          <w:tcPr>
            <w:tcW w:w="1559" w:type="dxa"/>
            <w:vAlign w:val="center"/>
          </w:tcPr>
          <w:p w:rsidR="00D2516A" w:rsidRDefault="004B0CBE">
            <w:pPr>
              <w:jc w:val="right"/>
            </w:pPr>
            <w:r>
              <w:rPr>
                <w:color w:val="000000"/>
                <w:kern w:val="0"/>
                <w:sz w:val="24"/>
                <w:szCs w:val="24"/>
              </w:rPr>
              <w:t>3.21</w:t>
            </w:r>
          </w:p>
        </w:tc>
      </w:tr>
      <w:tr w:rsidR="00D2516A">
        <w:tc>
          <w:tcPr>
            <w:tcW w:w="851" w:type="dxa"/>
            <w:vAlign w:val="center"/>
          </w:tcPr>
          <w:p w:rsidR="00D2516A" w:rsidRDefault="004B0CBE">
            <w:pPr>
              <w:jc w:val="center"/>
            </w:pPr>
            <w:r>
              <w:rPr>
                <w:color w:val="000000"/>
                <w:kern w:val="0"/>
                <w:sz w:val="24"/>
                <w:szCs w:val="24"/>
              </w:rPr>
              <w:t>10</w:t>
            </w:r>
          </w:p>
        </w:tc>
        <w:tc>
          <w:tcPr>
            <w:tcW w:w="1276" w:type="dxa"/>
            <w:vAlign w:val="center"/>
          </w:tcPr>
          <w:p w:rsidR="00D2516A" w:rsidRDefault="004B0CBE">
            <w:pPr>
              <w:jc w:val="center"/>
            </w:pPr>
            <w:r>
              <w:rPr>
                <w:color w:val="000000"/>
                <w:kern w:val="0"/>
                <w:sz w:val="24"/>
                <w:szCs w:val="24"/>
              </w:rPr>
              <w:t>300003</w:t>
            </w:r>
          </w:p>
        </w:tc>
        <w:tc>
          <w:tcPr>
            <w:tcW w:w="1418" w:type="dxa"/>
            <w:vAlign w:val="center"/>
          </w:tcPr>
          <w:p w:rsidR="00D2516A" w:rsidRDefault="004B0CBE">
            <w:pPr>
              <w:jc w:val="center"/>
            </w:pPr>
            <w:r>
              <w:rPr>
                <w:color w:val="000000"/>
                <w:kern w:val="0"/>
                <w:sz w:val="24"/>
                <w:szCs w:val="24"/>
              </w:rPr>
              <w:t>乐普医疗</w:t>
            </w:r>
          </w:p>
        </w:tc>
        <w:tc>
          <w:tcPr>
            <w:tcW w:w="1701" w:type="dxa"/>
            <w:vAlign w:val="center"/>
          </w:tcPr>
          <w:p w:rsidR="00D2516A" w:rsidRDefault="004B0CBE">
            <w:pPr>
              <w:jc w:val="right"/>
            </w:pPr>
            <w:r>
              <w:rPr>
                <w:color w:val="000000"/>
                <w:kern w:val="0"/>
                <w:sz w:val="24"/>
                <w:szCs w:val="24"/>
              </w:rPr>
              <w:t>1,063,800</w:t>
            </w:r>
          </w:p>
        </w:tc>
        <w:tc>
          <w:tcPr>
            <w:tcW w:w="1984" w:type="dxa"/>
            <w:vAlign w:val="center"/>
          </w:tcPr>
          <w:p w:rsidR="00D2516A" w:rsidRDefault="004B0CBE">
            <w:pPr>
              <w:jc w:val="right"/>
            </w:pPr>
            <w:r>
              <w:rPr>
                <w:color w:val="000000"/>
                <w:kern w:val="0"/>
                <w:sz w:val="24"/>
                <w:szCs w:val="24"/>
              </w:rPr>
              <w:t>26,658,828.00</w:t>
            </w:r>
          </w:p>
        </w:tc>
        <w:tc>
          <w:tcPr>
            <w:tcW w:w="1559" w:type="dxa"/>
            <w:vAlign w:val="center"/>
          </w:tcPr>
          <w:p w:rsidR="00D2516A" w:rsidRDefault="004B0CBE">
            <w:pPr>
              <w:jc w:val="right"/>
            </w:pPr>
            <w:r>
              <w:rPr>
                <w:color w:val="000000"/>
                <w:kern w:val="0"/>
                <w:sz w:val="24"/>
                <w:szCs w:val="24"/>
              </w:rPr>
              <w:t>3.15</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p w:rsidR="00750D48" w:rsidRPr="00232B03" w:rsidRDefault="00CA4677" w:rsidP="00403A06">
      <w:pPr>
        <w:spacing w:line="360" w:lineRule="auto"/>
        <w:ind w:firstLineChars="200" w:firstLine="480"/>
        <w:rPr>
          <w:color w:val="000000"/>
          <w:sz w:val="24"/>
          <w:szCs w:val="24"/>
        </w:rPr>
      </w:pPr>
      <w:r w:rsidRPr="00403A06">
        <w:rPr>
          <w:color w:val="000000"/>
          <w:sz w:val="24"/>
          <w:szCs w:val="24"/>
        </w:rPr>
        <w:t>本基金本报告期末未持有债券。</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本基金本报告期末未持有债券。</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302,602.95</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2,702,134.80</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2,603.60</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3,007,341.35</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473,173,734.00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259,000,000.00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253,000,000.00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479,173,734.00</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4B7A92" w:rsidRPr="004B7A92" w:rsidRDefault="00013E6E" w:rsidP="004B7A92">
      <w:pPr>
        <w:pStyle w:val="1"/>
        <w:spacing w:beforeLines="100" w:before="312" w:afterLines="100" w:after="312" w:line="360" w:lineRule="auto"/>
        <w:jc w:val="center"/>
        <w:rPr>
          <w:rFonts w:ascii="宋体" w:hAnsi="宋体"/>
          <w:color w:val="000000"/>
          <w:kern w:val="0"/>
          <w:sz w:val="24"/>
          <w:szCs w:val="24"/>
        </w:rPr>
      </w:pPr>
      <w:r w:rsidRPr="00264E55">
        <w:rPr>
          <w:rFonts w:ascii="宋体" w:hAnsi="宋体" w:hint="eastAsia"/>
          <w:color w:val="000000"/>
          <w:kern w:val="0"/>
          <w:sz w:val="24"/>
          <w:szCs w:val="24"/>
        </w:rPr>
        <w:t>§</w:t>
      </w:r>
      <w:r w:rsidR="004B7A92" w:rsidRPr="004B7A92">
        <w:rPr>
          <w:rFonts w:ascii="宋体" w:hAnsi="宋体"/>
          <w:color w:val="000000"/>
          <w:kern w:val="0"/>
          <w:sz w:val="24"/>
          <w:szCs w:val="24"/>
        </w:rPr>
        <w:t>8</w:t>
      </w:r>
      <w:r w:rsidR="0043199A" w:rsidRPr="00264E55">
        <w:rPr>
          <w:rFonts w:ascii="宋体" w:hAnsi="宋体"/>
          <w:color w:val="000000"/>
          <w:kern w:val="0"/>
          <w:sz w:val="24"/>
          <w:szCs w:val="24"/>
        </w:rPr>
        <w:t xml:space="preserve">  </w:t>
      </w:r>
      <w:r w:rsidR="004B7A92" w:rsidRPr="004B7A92">
        <w:rPr>
          <w:rFonts w:ascii="宋体" w:hAnsi="宋体"/>
          <w:color w:val="000000"/>
          <w:kern w:val="0"/>
          <w:sz w:val="24"/>
          <w:szCs w:val="24"/>
        </w:rPr>
        <w:t>影响投资者决策的其他重要信息</w:t>
      </w:r>
    </w:p>
    <w:p w:rsidR="001F5F5D" w:rsidRPr="001F5F5D" w:rsidRDefault="001F5F5D" w:rsidP="001F5F5D">
      <w:pPr>
        <w:autoSpaceDE w:val="0"/>
        <w:autoSpaceDN w:val="0"/>
        <w:adjustRightInd w:val="0"/>
        <w:spacing w:line="360" w:lineRule="auto"/>
        <w:jc w:val="left"/>
        <w:rPr>
          <w:rFonts w:ascii="宋体"/>
          <w:b/>
          <w:bCs/>
          <w:color w:val="000000"/>
          <w:kern w:val="0"/>
          <w:sz w:val="24"/>
          <w:szCs w:val="24"/>
        </w:rPr>
      </w:pPr>
      <w:r w:rsidRPr="001F5F5D">
        <w:rPr>
          <w:rFonts w:ascii="宋体"/>
          <w:b/>
          <w:bCs/>
          <w:color w:val="000000"/>
          <w:kern w:val="0"/>
          <w:sz w:val="24"/>
          <w:szCs w:val="24"/>
        </w:rPr>
        <w:t>8.1 报告期内单一投资者持有基金份额比例达到或超过20%的情况</w:t>
      </w:r>
    </w:p>
    <w:tbl>
      <w:tblPr>
        <w:tblStyle w:val="af7"/>
        <w:tblW w:w="9640" w:type="dxa"/>
        <w:jc w:val="center"/>
        <w:tblLayout w:type="fixed"/>
        <w:tblLook w:val="04A0" w:firstRow="1" w:lastRow="0" w:firstColumn="1" w:lastColumn="0" w:noHBand="0" w:noVBand="1"/>
      </w:tblPr>
      <w:tblGrid>
        <w:gridCol w:w="1798"/>
        <w:gridCol w:w="709"/>
        <w:gridCol w:w="1985"/>
        <w:gridCol w:w="1134"/>
        <w:gridCol w:w="992"/>
        <w:gridCol w:w="1134"/>
        <w:gridCol w:w="1037"/>
        <w:gridCol w:w="851"/>
      </w:tblGrid>
      <w:tr w:rsidR="001F5F5D" w:rsidRPr="00FC0759" w:rsidTr="007125DB">
        <w:trPr>
          <w:jc w:val="center"/>
        </w:trPr>
        <w:tc>
          <w:tcPr>
            <w:tcW w:w="1798" w:type="dxa"/>
            <w:vMerge w:val="restart"/>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投资者类别</w:t>
            </w:r>
          </w:p>
        </w:tc>
        <w:tc>
          <w:tcPr>
            <w:tcW w:w="5954" w:type="dxa"/>
            <w:gridSpan w:val="5"/>
            <w:vAlign w:val="center"/>
          </w:tcPr>
          <w:p w:rsidR="001F5F5D" w:rsidRPr="00FC0759" w:rsidRDefault="001F5F5D" w:rsidP="00D9482C">
            <w:pPr>
              <w:autoSpaceDE w:val="0"/>
              <w:autoSpaceDN w:val="0"/>
              <w:adjustRightInd w:val="0"/>
              <w:ind w:firstLine="1126"/>
              <w:jc w:val="center"/>
              <w:rPr>
                <w:rFonts w:eastAsiaTheme="minorEastAsia"/>
                <w:b/>
                <w:bCs/>
                <w:color w:val="000000" w:themeColor="text1"/>
                <w:sz w:val="24"/>
                <w:szCs w:val="24"/>
              </w:rPr>
            </w:pPr>
            <w:r w:rsidRPr="00FC0759">
              <w:rPr>
                <w:color w:val="000000"/>
                <w:sz w:val="24"/>
                <w:szCs w:val="24"/>
              </w:rPr>
              <w:t>报告期内持有基金份额变化情况</w:t>
            </w:r>
          </w:p>
        </w:tc>
        <w:tc>
          <w:tcPr>
            <w:tcW w:w="1888" w:type="dxa"/>
            <w:gridSpan w:val="2"/>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报告期末持有基金情况</w:t>
            </w:r>
          </w:p>
        </w:tc>
      </w:tr>
      <w:tr w:rsidR="001F5F5D" w:rsidRPr="00FC0759" w:rsidTr="007125DB">
        <w:trPr>
          <w:jc w:val="center"/>
        </w:trPr>
        <w:tc>
          <w:tcPr>
            <w:tcW w:w="1798" w:type="dxa"/>
            <w:vMerge/>
            <w:vAlign w:val="center"/>
          </w:tcPr>
          <w:p w:rsidR="001F5F5D" w:rsidRPr="00FC0759" w:rsidRDefault="001F5F5D" w:rsidP="00D9482C">
            <w:pPr>
              <w:autoSpaceDE w:val="0"/>
              <w:autoSpaceDN w:val="0"/>
              <w:adjustRightInd w:val="0"/>
              <w:ind w:firstLine="1234"/>
              <w:jc w:val="center"/>
              <w:rPr>
                <w:rFonts w:eastAsiaTheme="minorEastAsia"/>
                <w:b/>
                <w:bCs/>
                <w:color w:val="000000" w:themeColor="text1"/>
                <w:sz w:val="24"/>
                <w:szCs w:val="24"/>
              </w:rPr>
            </w:pPr>
          </w:p>
        </w:tc>
        <w:tc>
          <w:tcPr>
            <w:tcW w:w="709"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序号</w:t>
            </w:r>
          </w:p>
        </w:tc>
        <w:tc>
          <w:tcPr>
            <w:tcW w:w="1985"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持有基金份额比例达到或者超过</w:t>
            </w:r>
            <w:r w:rsidRPr="00FC0759">
              <w:rPr>
                <w:color w:val="000000"/>
                <w:sz w:val="24"/>
                <w:szCs w:val="24"/>
              </w:rPr>
              <w:t>20%</w:t>
            </w:r>
            <w:r w:rsidRPr="00FC0759">
              <w:rPr>
                <w:color w:val="000000"/>
                <w:sz w:val="24"/>
                <w:szCs w:val="24"/>
              </w:rPr>
              <w:t>的时间区间</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期初份额</w:t>
            </w:r>
          </w:p>
        </w:tc>
        <w:tc>
          <w:tcPr>
            <w:tcW w:w="992"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申购份额</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赎回份额</w:t>
            </w:r>
          </w:p>
        </w:tc>
        <w:tc>
          <w:tcPr>
            <w:tcW w:w="1037"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持有份额</w:t>
            </w:r>
          </w:p>
        </w:tc>
        <w:tc>
          <w:tcPr>
            <w:tcW w:w="851"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份额占比</w:t>
            </w:r>
          </w:p>
        </w:tc>
      </w:tr>
      <w:tr w:rsidR="00D2516A">
        <w:trPr>
          <w:jc w:val="center"/>
        </w:trPr>
        <w:tc>
          <w:tcPr>
            <w:tcW w:w="1798" w:type="dxa"/>
            <w:vMerge w:val="restart"/>
            <w:vAlign w:val="center"/>
          </w:tcPr>
          <w:p w:rsidR="00D2516A" w:rsidRDefault="004B0CBE">
            <w:r>
              <w:rPr>
                <w:sz w:val="24"/>
                <w:szCs w:val="24"/>
              </w:rPr>
              <w:t>中国建设银行股份有限公司－易方达沪深</w:t>
            </w:r>
            <w:r>
              <w:rPr>
                <w:sz w:val="24"/>
                <w:szCs w:val="24"/>
              </w:rPr>
              <w:t>300</w:t>
            </w:r>
            <w:r>
              <w:rPr>
                <w:sz w:val="24"/>
                <w:szCs w:val="24"/>
              </w:rPr>
              <w:t>医药卫生交易型开放式指数证券投资基金联接基金</w:t>
            </w:r>
          </w:p>
        </w:tc>
        <w:tc>
          <w:tcPr>
            <w:tcW w:w="709" w:type="dxa"/>
            <w:vAlign w:val="center"/>
          </w:tcPr>
          <w:p w:rsidR="00D2516A" w:rsidRDefault="004B0CBE">
            <w:pPr>
              <w:jc w:val="center"/>
            </w:pPr>
            <w:r>
              <w:rPr>
                <w:sz w:val="24"/>
                <w:szCs w:val="24"/>
              </w:rPr>
              <w:t>1</w:t>
            </w:r>
          </w:p>
        </w:tc>
        <w:tc>
          <w:tcPr>
            <w:tcW w:w="1985" w:type="dxa"/>
            <w:vAlign w:val="center"/>
          </w:tcPr>
          <w:p w:rsidR="00D2516A" w:rsidRDefault="004B0CBE">
            <w:pPr>
              <w:jc w:val="center"/>
            </w:pPr>
            <w:r>
              <w:rPr>
                <w:sz w:val="24"/>
                <w:szCs w:val="24"/>
              </w:rPr>
              <w:t>2019</w:t>
            </w:r>
            <w:r>
              <w:rPr>
                <w:sz w:val="24"/>
                <w:szCs w:val="24"/>
              </w:rPr>
              <w:t>年</w:t>
            </w:r>
            <w:r>
              <w:rPr>
                <w:sz w:val="24"/>
                <w:szCs w:val="24"/>
              </w:rPr>
              <w:t>07</w:t>
            </w:r>
            <w:r>
              <w:rPr>
                <w:sz w:val="24"/>
                <w:szCs w:val="24"/>
              </w:rPr>
              <w:t>月</w:t>
            </w:r>
            <w:r>
              <w:rPr>
                <w:sz w:val="24"/>
                <w:szCs w:val="24"/>
              </w:rPr>
              <w:t>01</w:t>
            </w:r>
            <w:r>
              <w:rPr>
                <w:sz w:val="24"/>
                <w:szCs w:val="24"/>
              </w:rPr>
              <w:t>日</w:t>
            </w:r>
            <w:r>
              <w:rPr>
                <w:sz w:val="24"/>
                <w:szCs w:val="24"/>
              </w:rPr>
              <w:t>~2019</w:t>
            </w:r>
            <w:r>
              <w:rPr>
                <w:sz w:val="24"/>
                <w:szCs w:val="24"/>
              </w:rPr>
              <w:t>年</w:t>
            </w:r>
            <w:r>
              <w:rPr>
                <w:sz w:val="24"/>
                <w:szCs w:val="24"/>
              </w:rPr>
              <w:t>09</w:t>
            </w:r>
            <w:r>
              <w:rPr>
                <w:sz w:val="24"/>
                <w:szCs w:val="24"/>
              </w:rPr>
              <w:t>月</w:t>
            </w:r>
            <w:r>
              <w:rPr>
                <w:sz w:val="24"/>
                <w:szCs w:val="24"/>
              </w:rPr>
              <w:t>03</w:t>
            </w:r>
            <w:r>
              <w:rPr>
                <w:sz w:val="24"/>
                <w:szCs w:val="24"/>
              </w:rPr>
              <w:t>日</w:t>
            </w:r>
            <w:r>
              <w:rPr>
                <w:sz w:val="24"/>
                <w:szCs w:val="24"/>
              </w:rPr>
              <w:t>,2019</w:t>
            </w:r>
            <w:r>
              <w:rPr>
                <w:sz w:val="24"/>
                <w:szCs w:val="24"/>
              </w:rPr>
              <w:t>年</w:t>
            </w:r>
            <w:r>
              <w:rPr>
                <w:sz w:val="24"/>
                <w:szCs w:val="24"/>
              </w:rPr>
              <w:t>09</w:t>
            </w:r>
            <w:r>
              <w:rPr>
                <w:sz w:val="24"/>
                <w:szCs w:val="24"/>
              </w:rPr>
              <w:t>月</w:t>
            </w:r>
            <w:r>
              <w:rPr>
                <w:sz w:val="24"/>
                <w:szCs w:val="24"/>
              </w:rPr>
              <w:t>05</w:t>
            </w:r>
            <w:r>
              <w:rPr>
                <w:sz w:val="24"/>
                <w:szCs w:val="24"/>
              </w:rPr>
              <w:t>日</w:t>
            </w:r>
            <w:r>
              <w:rPr>
                <w:sz w:val="24"/>
                <w:szCs w:val="24"/>
              </w:rPr>
              <w:t>~2019</w:t>
            </w:r>
            <w:r>
              <w:rPr>
                <w:sz w:val="24"/>
                <w:szCs w:val="24"/>
              </w:rPr>
              <w:t>年</w:t>
            </w:r>
            <w:r>
              <w:rPr>
                <w:sz w:val="24"/>
                <w:szCs w:val="24"/>
              </w:rPr>
              <w:t>09</w:t>
            </w:r>
            <w:r>
              <w:rPr>
                <w:sz w:val="24"/>
                <w:szCs w:val="24"/>
              </w:rPr>
              <w:t>月</w:t>
            </w:r>
            <w:r>
              <w:rPr>
                <w:sz w:val="24"/>
                <w:szCs w:val="24"/>
              </w:rPr>
              <w:t>30</w:t>
            </w:r>
            <w:r>
              <w:rPr>
                <w:sz w:val="24"/>
                <w:szCs w:val="24"/>
              </w:rPr>
              <w:t>日</w:t>
            </w:r>
          </w:p>
        </w:tc>
        <w:tc>
          <w:tcPr>
            <w:tcW w:w="1134" w:type="dxa"/>
            <w:vAlign w:val="center"/>
          </w:tcPr>
          <w:p w:rsidR="00D2516A" w:rsidRDefault="004B0CBE">
            <w:pPr>
              <w:jc w:val="center"/>
            </w:pPr>
            <w:r>
              <w:rPr>
                <w:sz w:val="24"/>
                <w:szCs w:val="24"/>
              </w:rPr>
              <w:t>121,337,200.00</w:t>
            </w:r>
          </w:p>
        </w:tc>
        <w:tc>
          <w:tcPr>
            <w:tcW w:w="992" w:type="dxa"/>
            <w:vAlign w:val="center"/>
          </w:tcPr>
          <w:p w:rsidR="00D2516A" w:rsidRDefault="004B0CBE">
            <w:pPr>
              <w:jc w:val="center"/>
            </w:pPr>
            <w:r>
              <w:rPr>
                <w:sz w:val="24"/>
                <w:szCs w:val="24"/>
              </w:rPr>
              <w:t>51,032,200.00</w:t>
            </w:r>
          </w:p>
        </w:tc>
        <w:tc>
          <w:tcPr>
            <w:tcW w:w="1134" w:type="dxa"/>
            <w:vAlign w:val="center"/>
          </w:tcPr>
          <w:p w:rsidR="00D2516A" w:rsidRDefault="004B0CBE">
            <w:pPr>
              <w:jc w:val="center"/>
            </w:pPr>
            <w:r>
              <w:rPr>
                <w:sz w:val="24"/>
                <w:szCs w:val="24"/>
              </w:rPr>
              <w:t>68,159,200.00</w:t>
            </w:r>
          </w:p>
        </w:tc>
        <w:tc>
          <w:tcPr>
            <w:tcW w:w="1037" w:type="dxa"/>
            <w:vAlign w:val="center"/>
          </w:tcPr>
          <w:p w:rsidR="00D2516A" w:rsidRDefault="004B0CBE">
            <w:pPr>
              <w:jc w:val="center"/>
            </w:pPr>
            <w:r>
              <w:rPr>
                <w:sz w:val="24"/>
                <w:szCs w:val="24"/>
              </w:rPr>
              <w:t>104,210,200.00</w:t>
            </w:r>
          </w:p>
        </w:tc>
        <w:tc>
          <w:tcPr>
            <w:tcW w:w="851" w:type="dxa"/>
            <w:vAlign w:val="center"/>
          </w:tcPr>
          <w:p w:rsidR="00D2516A" w:rsidRDefault="004B0CBE">
            <w:pPr>
              <w:jc w:val="center"/>
            </w:pPr>
            <w:r>
              <w:rPr>
                <w:sz w:val="24"/>
                <w:szCs w:val="24"/>
              </w:rPr>
              <w:t>21.75%</w:t>
            </w:r>
          </w:p>
        </w:tc>
      </w:tr>
      <w:tr w:rsidR="001F5F5D" w:rsidRPr="00FC0759" w:rsidTr="00D9482C">
        <w:trPr>
          <w:jc w:val="center"/>
        </w:trPr>
        <w:tc>
          <w:tcPr>
            <w:tcW w:w="9637" w:type="dxa"/>
            <w:gridSpan w:val="8"/>
            <w:vAlign w:val="center"/>
          </w:tcPr>
          <w:p w:rsidR="001F5F5D" w:rsidRPr="00FC0759" w:rsidRDefault="001F5F5D" w:rsidP="003350A8">
            <w:pPr>
              <w:autoSpaceDE w:val="0"/>
              <w:autoSpaceDN w:val="0"/>
              <w:adjustRightInd w:val="0"/>
              <w:jc w:val="center"/>
              <w:rPr>
                <w:sz w:val="24"/>
                <w:szCs w:val="24"/>
              </w:rPr>
            </w:pPr>
            <w:r w:rsidRPr="00FC0759">
              <w:rPr>
                <w:color w:val="000000"/>
                <w:sz w:val="24"/>
                <w:szCs w:val="24"/>
              </w:rPr>
              <w:t>产品特有风险</w:t>
            </w:r>
          </w:p>
        </w:tc>
      </w:tr>
      <w:tr w:rsidR="001F5F5D" w:rsidRPr="00FC0759" w:rsidTr="00D9482C">
        <w:trPr>
          <w:jc w:val="center"/>
        </w:trPr>
        <w:tc>
          <w:tcPr>
            <w:tcW w:w="9637" w:type="dxa"/>
            <w:gridSpan w:val="8"/>
            <w:vAlign w:val="center"/>
          </w:tcPr>
          <w:p w:rsidR="001F5F5D" w:rsidRPr="00FC0759" w:rsidRDefault="001F5F5D" w:rsidP="00D9482C">
            <w:pPr>
              <w:autoSpaceDE w:val="0"/>
              <w:autoSpaceDN w:val="0"/>
              <w:adjustRightInd w:val="0"/>
              <w:jc w:val="left"/>
              <w:rPr>
                <w:sz w:val="24"/>
                <w:szCs w:val="24"/>
              </w:rPr>
            </w:pPr>
            <w:r w:rsidRPr="00FC0759">
              <w:rPr>
                <w:sz w:val="24"/>
                <w:szCs w:val="24"/>
              </w:rPr>
              <w:t>报告期内，本基金存在单一投资者持有份额比例达到或超过</w:t>
            </w:r>
            <w:r w:rsidRPr="00FC0759">
              <w:rPr>
                <w:sz w:val="24"/>
                <w:szCs w:val="24"/>
              </w:rPr>
              <w:t>20%</w:t>
            </w:r>
            <w:r w:rsidRPr="00FC0759">
              <w:rPr>
                <w:sz w:val="24"/>
                <w:szCs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szCs w:val="24"/>
              </w:rPr>
              <w:t>5000</w:t>
            </w:r>
            <w:r w:rsidRPr="00FC0759">
              <w:rPr>
                <w:sz w:val="24"/>
                <w:szCs w:val="24"/>
              </w:rPr>
              <w:t>万元，基金还可能面临转换运作方式、与其他基金合并或者终止基金合同等情形；持有基金份额占比较高的投资者在召开持有人大会并对审议事项进行投票表决时可能拥有较大话语权。</w:t>
            </w:r>
          </w:p>
        </w:tc>
      </w:tr>
    </w:tbl>
    <w:p w:rsidR="001F5F5D" w:rsidRPr="00FC0759" w:rsidRDefault="001F5F5D" w:rsidP="001F5F5D">
      <w:pPr>
        <w:autoSpaceDE w:val="0"/>
        <w:autoSpaceDN w:val="0"/>
        <w:adjustRightInd w:val="0"/>
        <w:spacing w:line="360" w:lineRule="auto"/>
        <w:ind w:firstLineChars="200" w:firstLine="480"/>
        <w:jc w:val="left"/>
        <w:rPr>
          <w:rFonts w:eastAsiaTheme="minorEastAsia"/>
          <w:bCs/>
          <w:color w:val="000000" w:themeColor="text1"/>
          <w:kern w:val="0"/>
          <w:sz w:val="24"/>
          <w:szCs w:val="24"/>
        </w:rPr>
      </w:pPr>
      <w:r w:rsidRPr="00FC0759">
        <w:rPr>
          <w:bCs/>
          <w:color w:val="000000" w:themeColor="text1"/>
          <w:kern w:val="0"/>
          <w:sz w:val="24"/>
          <w:szCs w:val="24"/>
        </w:rPr>
        <w:t>注：申购份额包括申购或者买入基金份额，赎回份额包括赎回或者卖出基金份额。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9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9.1 </w:t>
      </w:r>
      <w:r w:rsidRPr="00264E55">
        <w:rPr>
          <w:rFonts w:ascii="宋体" w:hAnsi="宋体" w:hint="eastAsia"/>
          <w:b/>
          <w:bCs/>
          <w:color w:val="000000"/>
          <w:kern w:val="0"/>
          <w:sz w:val="24"/>
          <w:szCs w:val="24"/>
        </w:rPr>
        <w:t>备查文件目录</w:t>
      </w:r>
    </w:p>
    <w:p w:rsidR="00D2516A" w:rsidRDefault="004B0CBE">
      <w:pPr>
        <w:spacing w:line="360" w:lineRule="auto"/>
        <w:ind w:firstLineChars="200" w:firstLine="480"/>
        <w:rPr>
          <w:color w:val="000000"/>
          <w:sz w:val="24"/>
          <w:szCs w:val="24"/>
        </w:rPr>
      </w:pPr>
      <w:r>
        <w:rPr>
          <w:color w:val="000000"/>
          <w:sz w:val="24"/>
          <w:szCs w:val="24"/>
        </w:rPr>
        <w:t>1.</w:t>
      </w:r>
      <w:r>
        <w:rPr>
          <w:color w:val="000000"/>
          <w:sz w:val="24"/>
          <w:szCs w:val="24"/>
        </w:rPr>
        <w:t>中国证监会核准易方达沪深</w:t>
      </w:r>
      <w:r>
        <w:rPr>
          <w:color w:val="000000"/>
          <w:sz w:val="24"/>
          <w:szCs w:val="24"/>
        </w:rPr>
        <w:t>300</w:t>
      </w:r>
      <w:r>
        <w:rPr>
          <w:color w:val="000000"/>
          <w:sz w:val="24"/>
          <w:szCs w:val="24"/>
        </w:rPr>
        <w:t>医药卫生交易型开放式指数证券投资基金募集的文件；</w:t>
      </w:r>
    </w:p>
    <w:p w:rsidR="00D2516A" w:rsidRDefault="004B0CBE">
      <w:pPr>
        <w:spacing w:line="360" w:lineRule="auto"/>
        <w:ind w:firstLineChars="200" w:firstLine="480"/>
        <w:rPr>
          <w:color w:val="000000"/>
          <w:sz w:val="24"/>
          <w:szCs w:val="24"/>
        </w:rPr>
      </w:pPr>
      <w:r>
        <w:rPr>
          <w:color w:val="000000"/>
          <w:sz w:val="24"/>
          <w:szCs w:val="24"/>
        </w:rPr>
        <w:t>2.</w:t>
      </w:r>
      <w:r>
        <w:rPr>
          <w:color w:val="000000"/>
          <w:sz w:val="24"/>
          <w:szCs w:val="24"/>
        </w:rPr>
        <w:t>《易方达沪深</w:t>
      </w:r>
      <w:r>
        <w:rPr>
          <w:color w:val="000000"/>
          <w:sz w:val="24"/>
          <w:szCs w:val="24"/>
        </w:rPr>
        <w:t>300</w:t>
      </w:r>
      <w:r>
        <w:rPr>
          <w:color w:val="000000"/>
          <w:sz w:val="24"/>
          <w:szCs w:val="24"/>
        </w:rPr>
        <w:t>医药卫生交易型开放式指数证券投资基金基金合同》；</w:t>
      </w:r>
    </w:p>
    <w:p w:rsidR="00D2516A" w:rsidRDefault="004B0CBE">
      <w:pPr>
        <w:spacing w:line="360" w:lineRule="auto"/>
        <w:ind w:firstLineChars="200" w:firstLine="480"/>
        <w:rPr>
          <w:color w:val="000000"/>
          <w:sz w:val="24"/>
          <w:szCs w:val="24"/>
        </w:rPr>
      </w:pPr>
      <w:r>
        <w:rPr>
          <w:color w:val="000000"/>
          <w:sz w:val="24"/>
          <w:szCs w:val="24"/>
        </w:rPr>
        <w:t>3.</w:t>
      </w:r>
      <w:r>
        <w:rPr>
          <w:color w:val="000000"/>
          <w:sz w:val="24"/>
          <w:szCs w:val="24"/>
        </w:rPr>
        <w:t>《易方达沪深</w:t>
      </w:r>
      <w:r>
        <w:rPr>
          <w:color w:val="000000"/>
          <w:sz w:val="24"/>
          <w:szCs w:val="24"/>
        </w:rPr>
        <w:t>300</w:t>
      </w:r>
      <w:r>
        <w:rPr>
          <w:color w:val="000000"/>
          <w:sz w:val="24"/>
          <w:szCs w:val="24"/>
        </w:rPr>
        <w:t>医药卫生交易型开放式指数证券投资基金托管协议》；</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4.</w:t>
      </w:r>
      <w:r w:rsidRPr="006C56AA">
        <w:rPr>
          <w:color w:val="000000"/>
          <w:sz w:val="24"/>
          <w:szCs w:val="24"/>
        </w:rPr>
        <w:t>基金管理人业务资格批件和营业执照。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4B0CBE">
      <w:rPr>
        <w:rStyle w:val="a7"/>
        <w:noProof/>
      </w:rPr>
      <w:t>1</w:t>
    </w:r>
    <w:r>
      <w:rPr>
        <w:rStyle w:val="a7"/>
      </w:rPr>
      <w:fldChar w:fldCharType="end"/>
    </w:r>
    <w:r>
      <w:rPr>
        <w:rStyle w:val="a7"/>
        <w:rFonts w:hint="eastAsia"/>
      </w:rPr>
      <w:t>页共</w:t>
    </w:r>
    <w:r w:rsidR="004B0CBE">
      <w:fldChar w:fldCharType="begin"/>
    </w:r>
    <w:r w:rsidR="004B0CBE">
      <w:instrText xml:space="preserve"> NUMPAGES  \* Arabic  \* MERGEFORMAT </w:instrText>
    </w:r>
    <w:r w:rsidR="004B0CBE">
      <w:fldChar w:fldCharType="separate"/>
    </w:r>
    <w:r w:rsidR="004B0CBE" w:rsidRPr="004B0CBE">
      <w:rPr>
        <w:rStyle w:val="a7"/>
        <w:noProof/>
      </w:rPr>
      <w:t>3</w:t>
    </w:r>
    <w:r w:rsidR="004B0CBE">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4B0CBE">
      <w:rPr>
        <w:rStyle w:val="a7"/>
        <w:noProof/>
      </w:rPr>
      <w:t>13</w:t>
    </w:r>
    <w:r>
      <w:rPr>
        <w:rStyle w:val="a7"/>
      </w:rPr>
      <w:fldChar w:fldCharType="end"/>
    </w:r>
    <w:r>
      <w:rPr>
        <w:rStyle w:val="a7"/>
        <w:rFonts w:hint="eastAsia"/>
      </w:rPr>
      <w:t>页共</w:t>
    </w:r>
    <w:fldSimple w:instr=" NUMPAGES  \* Arabic  \* MERGEFORMAT ">
      <w:r w:rsidR="004B0CBE" w:rsidRPr="004B0CBE">
        <w:rPr>
          <w:rStyle w:val="a7"/>
          <w:noProof/>
        </w:rPr>
        <w:t>13</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易方达沪深</w:t>
    </w:r>
    <w:r w:rsidRPr="00093704">
      <w:t>300</w:t>
    </w:r>
    <w:r w:rsidRPr="00093704">
      <w:t>医药卫生交易型开放式指数证券投资基金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0CBE"/>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516A"/>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44FA6-0300-4C56-A898-5ADC55E53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1087</Words>
  <Characters>6200</Characters>
  <Application>Microsoft Office Word</Application>
  <DocSecurity>0</DocSecurity>
  <Lines>51</Lines>
  <Paragraphs>14</Paragraphs>
  <ScaleCrop>false</ScaleCrop>
  <Company/>
  <LinksUpToDate>false</LinksUpToDate>
  <CharactersWithSpaces>7273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2019-10-16T13:57:00Z</cp:lastPrinted>
  <dcterms:created xsi:type="dcterms:W3CDTF">2012-10-16T06:07:00Z</dcterms:created>
  <dcterms:modified xsi:type="dcterms:W3CDTF">2019-10-16T13:57:00Z</dcterms:modified>
</cp:coreProperties>
</file>