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易方达沪深300交易型开放式指数发起式证券投资基金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中国建设银行股份有限公司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A80156" w:rsidRDefault="006150EF">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80156" w:rsidRDefault="006150EF">
      <w:pPr>
        <w:spacing w:line="360"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80156" w:rsidRDefault="006150EF">
      <w:pPr>
        <w:spacing w:line="360" w:lineRule="auto"/>
        <w:ind w:firstLineChars="200" w:firstLine="480"/>
        <w:rPr>
          <w:color w:val="000000"/>
          <w:sz w:val="24"/>
          <w:szCs w:val="24"/>
        </w:rPr>
      </w:pPr>
      <w:r>
        <w:rPr>
          <w:color w:val="000000"/>
          <w:sz w:val="24"/>
          <w:szCs w:val="24"/>
        </w:rPr>
        <w:t>基</w:t>
      </w:r>
      <w:r>
        <w:rPr>
          <w:color w:val="000000"/>
          <w:sz w:val="24"/>
          <w:szCs w:val="24"/>
        </w:rPr>
        <w:t>金管理人承诺以诚实信用、勤勉尽责的原则管理和运用基金资产，但不保证基金一定盈利。</w:t>
      </w:r>
      <w:r>
        <w:rPr>
          <w:color w:val="000000"/>
          <w:sz w:val="24"/>
          <w:szCs w:val="24"/>
        </w:rPr>
        <w:t xml:space="preserve"> </w:t>
      </w:r>
    </w:p>
    <w:p w:rsidR="00A80156" w:rsidRDefault="006150EF">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80156" w:rsidRDefault="006150EF">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易方达沪深</w:t>
            </w:r>
            <w:r w:rsidRPr="00232B03">
              <w:rPr>
                <w:color w:val="000000"/>
                <w:kern w:val="0"/>
                <w:sz w:val="24"/>
                <w:szCs w:val="24"/>
              </w:rPr>
              <w:t>300ETF</w:t>
            </w:r>
            <w:r w:rsidRPr="00232B03">
              <w:rPr>
                <w:color w:val="000000"/>
                <w:kern w:val="0"/>
                <w:sz w:val="24"/>
                <w:szCs w:val="24"/>
              </w:rPr>
              <w:t>发起式</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HS300ETF</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510310</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510310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交易型开放式（</w:t>
            </w:r>
            <w:r w:rsidRPr="00232B03">
              <w:rPr>
                <w:color w:val="000000"/>
                <w:kern w:val="0"/>
                <w:sz w:val="24"/>
                <w:szCs w:val="24"/>
              </w:rPr>
              <w:t>ETF</w:t>
            </w:r>
            <w:r w:rsidRPr="00232B03">
              <w:rPr>
                <w:color w:val="000000"/>
                <w:kern w:val="0"/>
                <w:sz w:val="24"/>
                <w:szCs w:val="24"/>
              </w:rPr>
              <w:t>）、发起式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2013</w:t>
            </w:r>
            <w:r w:rsidRPr="00232B03">
              <w:rPr>
                <w:color w:val="000000"/>
                <w:kern w:val="0"/>
                <w:sz w:val="24"/>
                <w:szCs w:val="24"/>
              </w:rPr>
              <w:t>年</w:t>
            </w:r>
            <w:r w:rsidRPr="00232B03">
              <w:rPr>
                <w:color w:val="000000"/>
                <w:kern w:val="0"/>
                <w:sz w:val="24"/>
                <w:szCs w:val="24"/>
              </w:rPr>
              <w:t>3</w:t>
            </w:r>
            <w:r w:rsidRPr="00232B03">
              <w:rPr>
                <w:color w:val="000000"/>
                <w:kern w:val="0"/>
                <w:sz w:val="24"/>
                <w:szCs w:val="24"/>
              </w:rPr>
              <w:t>月</w:t>
            </w:r>
            <w:r w:rsidRPr="00232B03">
              <w:rPr>
                <w:color w:val="000000"/>
                <w:kern w:val="0"/>
                <w:sz w:val="24"/>
                <w:szCs w:val="24"/>
              </w:rPr>
              <w:t>6</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4,979,342,838.00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紧密跟踪标的指数，追求跟踪偏离度和跟踪误差的最小化。</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本基金主要采取完全复制法，即完全按照标的指数的成份股组成及其权重构建基金股票投资组合，并根据标的指数成份股及其权重的变动进行相应调整。但在因特殊情形导致基金无法完全投资于标的</w:t>
            </w:r>
            <w:r w:rsidRPr="00232B03">
              <w:rPr>
                <w:color w:val="000000"/>
                <w:kern w:val="0"/>
                <w:sz w:val="24"/>
                <w:szCs w:val="24"/>
              </w:rPr>
              <w:lastRenderedPageBreak/>
              <w:t>指数成份股时，基金管理人将采取其他指数投资技术适当调整基金投资组合，以达到紧密跟踪标的指数的目的。本基金可投资股指期货和其他经中国证监会允许的衍生金融产品。本基金投资股指期货将根据风险管理的原则，以套期保值为目的，主要选择流动性好、交易活跃的股指期货合约。在正常市场情况下，本基金日均跟踪偏离度的绝对值不超过</w:t>
            </w:r>
            <w:r w:rsidRPr="00232B03">
              <w:rPr>
                <w:color w:val="000000"/>
                <w:kern w:val="0"/>
                <w:sz w:val="24"/>
                <w:szCs w:val="24"/>
              </w:rPr>
              <w:t>0.2%</w:t>
            </w:r>
            <w:r w:rsidRPr="00232B03">
              <w:rPr>
                <w:color w:val="000000"/>
                <w:kern w:val="0"/>
                <w:sz w:val="24"/>
                <w:szCs w:val="24"/>
              </w:rPr>
              <w:t>，年化跟踪误差不超过</w:t>
            </w:r>
            <w:r w:rsidRPr="00232B03">
              <w:rPr>
                <w:color w:val="000000"/>
                <w:kern w:val="0"/>
                <w:sz w:val="24"/>
                <w:szCs w:val="24"/>
              </w:rPr>
              <w:t>2%</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属股票型基金，预期风险与预期收益水平高于混合型基金、债券型基金与货币市场基金。本基金为指数型基金，主要采用完全复制法跟踪标的指数的表现，具有与标的指数所代表的市场组合相似的风险收益特征。</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中国建设银行股份有限公司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243,626,984.88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104,584,933.90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0.0202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8,415,471,607.72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1.6901</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A80156" w:rsidRDefault="006150EF">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A80156">
        <w:tc>
          <w:tcPr>
            <w:tcW w:w="1395" w:type="dxa"/>
            <w:vAlign w:val="center"/>
          </w:tcPr>
          <w:p w:rsidR="00A80156" w:rsidRDefault="006150EF">
            <w:pPr>
              <w:jc w:val="left"/>
            </w:pPr>
            <w:r>
              <w:rPr>
                <w:color w:val="000000"/>
                <w:kern w:val="0"/>
                <w:sz w:val="24"/>
                <w:szCs w:val="24"/>
              </w:rPr>
              <w:t>过去三个月</w:t>
            </w:r>
          </w:p>
        </w:tc>
        <w:tc>
          <w:tcPr>
            <w:tcW w:w="1092" w:type="dxa"/>
            <w:vAlign w:val="center"/>
          </w:tcPr>
          <w:p w:rsidR="00A80156" w:rsidRDefault="006150EF">
            <w:pPr>
              <w:jc w:val="center"/>
            </w:pPr>
            <w:r>
              <w:rPr>
                <w:color w:val="000000"/>
                <w:kern w:val="0"/>
                <w:sz w:val="24"/>
                <w:szCs w:val="24"/>
              </w:rPr>
              <w:t>0.75%</w:t>
            </w:r>
          </w:p>
        </w:tc>
        <w:tc>
          <w:tcPr>
            <w:tcW w:w="1161" w:type="dxa"/>
            <w:vAlign w:val="center"/>
          </w:tcPr>
          <w:p w:rsidR="00A80156" w:rsidRDefault="006150EF">
            <w:pPr>
              <w:jc w:val="center"/>
            </w:pPr>
            <w:r>
              <w:rPr>
                <w:color w:val="000000"/>
                <w:kern w:val="0"/>
                <w:sz w:val="24"/>
                <w:szCs w:val="24"/>
              </w:rPr>
              <w:t>0.96%</w:t>
            </w:r>
          </w:p>
        </w:tc>
        <w:tc>
          <w:tcPr>
            <w:tcW w:w="1181" w:type="dxa"/>
            <w:vAlign w:val="center"/>
          </w:tcPr>
          <w:p w:rsidR="00A80156" w:rsidRDefault="006150EF">
            <w:pPr>
              <w:jc w:val="center"/>
            </w:pPr>
            <w:r>
              <w:rPr>
                <w:color w:val="000000"/>
                <w:kern w:val="0"/>
                <w:sz w:val="24"/>
                <w:szCs w:val="24"/>
              </w:rPr>
              <w:t>-0.29%</w:t>
            </w:r>
          </w:p>
        </w:tc>
        <w:tc>
          <w:tcPr>
            <w:tcW w:w="1188" w:type="dxa"/>
            <w:vAlign w:val="center"/>
          </w:tcPr>
          <w:p w:rsidR="00A80156" w:rsidRDefault="006150EF">
            <w:pPr>
              <w:jc w:val="center"/>
            </w:pPr>
            <w:r>
              <w:rPr>
                <w:color w:val="000000"/>
                <w:kern w:val="0"/>
                <w:sz w:val="24"/>
                <w:szCs w:val="24"/>
              </w:rPr>
              <w:t>0.96%</w:t>
            </w:r>
          </w:p>
        </w:tc>
        <w:tc>
          <w:tcPr>
            <w:tcW w:w="1199" w:type="dxa"/>
            <w:vAlign w:val="center"/>
          </w:tcPr>
          <w:p w:rsidR="00A80156" w:rsidRDefault="006150EF">
            <w:pPr>
              <w:jc w:val="center"/>
            </w:pPr>
            <w:r>
              <w:rPr>
                <w:color w:val="000000"/>
                <w:kern w:val="0"/>
                <w:sz w:val="24"/>
                <w:szCs w:val="24"/>
              </w:rPr>
              <w:t>1.04%</w:t>
            </w:r>
          </w:p>
        </w:tc>
        <w:tc>
          <w:tcPr>
            <w:tcW w:w="1204" w:type="dxa"/>
            <w:vAlign w:val="center"/>
          </w:tcPr>
          <w:p w:rsidR="00A80156" w:rsidRDefault="006150EF">
            <w:pPr>
              <w:jc w:val="center"/>
            </w:pPr>
            <w:r>
              <w:rPr>
                <w:color w:val="000000"/>
                <w:kern w:val="0"/>
                <w:sz w:val="24"/>
                <w:szCs w:val="24"/>
              </w:rPr>
              <w:t>0.00%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易方达沪深</w:t>
      </w:r>
      <w:r w:rsidRPr="0074694E">
        <w:rPr>
          <w:color w:val="000000"/>
          <w:sz w:val="24"/>
          <w:szCs w:val="24"/>
        </w:rPr>
        <w:t>300</w:t>
      </w:r>
      <w:r w:rsidRPr="0074694E">
        <w:rPr>
          <w:color w:val="000000"/>
          <w:sz w:val="24"/>
          <w:szCs w:val="24"/>
        </w:rPr>
        <w:t>交易型开放式指数发起式证券投资基金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2013</w:t>
      </w:r>
      <w:r w:rsidRPr="0074694E">
        <w:rPr>
          <w:rFonts w:ascii="Times New Roman" w:hAnsi="Times New Roman"/>
          <w:sz w:val="24"/>
          <w:szCs w:val="24"/>
        </w:rPr>
        <w:t>年</w:t>
      </w:r>
      <w:r w:rsidRPr="0074694E">
        <w:rPr>
          <w:rFonts w:ascii="Times New Roman" w:hAnsi="Times New Roman"/>
          <w:sz w:val="24"/>
          <w:szCs w:val="24"/>
        </w:rPr>
        <w:t>3</w:t>
      </w:r>
      <w:r w:rsidRPr="0074694E">
        <w:rPr>
          <w:rFonts w:ascii="Times New Roman" w:hAnsi="Times New Roman"/>
          <w:sz w:val="24"/>
          <w:szCs w:val="24"/>
        </w:rPr>
        <w:t>月</w:t>
      </w:r>
      <w:r w:rsidRPr="0074694E">
        <w:rPr>
          <w:rFonts w:ascii="Times New Roman" w:hAnsi="Times New Roman"/>
          <w:sz w:val="24"/>
          <w:szCs w:val="24"/>
        </w:rPr>
        <w:t>6</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6150EF"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69.01%</w:t>
      </w:r>
      <w:r w:rsidRPr="006C56AA">
        <w:rPr>
          <w:color w:val="000000"/>
          <w:sz w:val="24"/>
          <w:szCs w:val="24"/>
        </w:rPr>
        <w:t>，同期业绩比较基准收益率为</w:t>
      </w:r>
      <w:r w:rsidRPr="006C56AA">
        <w:rPr>
          <w:color w:val="000000"/>
          <w:sz w:val="24"/>
          <w:szCs w:val="24"/>
        </w:rPr>
        <w:t>45.44%</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A80156">
        <w:tc>
          <w:tcPr>
            <w:tcW w:w="567" w:type="dxa"/>
            <w:vAlign w:val="center"/>
          </w:tcPr>
          <w:p w:rsidR="00A80156" w:rsidRDefault="006150EF">
            <w:pPr>
              <w:jc w:val="center"/>
            </w:pPr>
            <w:r>
              <w:rPr>
                <w:color w:val="000000"/>
                <w:sz w:val="24"/>
              </w:rPr>
              <w:t>余海燕</w:t>
            </w:r>
          </w:p>
        </w:tc>
        <w:tc>
          <w:tcPr>
            <w:tcW w:w="2835" w:type="dxa"/>
            <w:vAlign w:val="center"/>
          </w:tcPr>
          <w:p w:rsidR="00A80156" w:rsidRDefault="006150EF">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w:t>
            </w:r>
            <w:r>
              <w:rPr>
                <w:color w:val="000000"/>
                <w:sz w:val="24"/>
              </w:rPr>
              <w:t>易型开放式指数证券投资基金发起式联接基金的基金经理、易方达上证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w:t>
            </w:r>
            <w:r>
              <w:rPr>
                <w:color w:val="000000"/>
                <w:sz w:val="24"/>
              </w:rPr>
              <w:t>接基金的基金经理、易方达沪深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851" w:type="dxa"/>
            <w:vAlign w:val="center"/>
          </w:tcPr>
          <w:p w:rsidR="00A80156" w:rsidRDefault="006150EF">
            <w:pPr>
              <w:jc w:val="center"/>
            </w:pPr>
            <w:r>
              <w:rPr>
                <w:color w:val="000000"/>
                <w:sz w:val="24"/>
              </w:rPr>
              <w:t>2016-04-16</w:t>
            </w:r>
          </w:p>
        </w:tc>
        <w:tc>
          <w:tcPr>
            <w:tcW w:w="850" w:type="dxa"/>
            <w:vAlign w:val="center"/>
          </w:tcPr>
          <w:p w:rsidR="00A80156" w:rsidRDefault="006150EF">
            <w:pPr>
              <w:jc w:val="center"/>
            </w:pPr>
            <w:r>
              <w:rPr>
                <w:color w:val="000000"/>
                <w:sz w:val="24"/>
              </w:rPr>
              <w:t>-</w:t>
            </w:r>
          </w:p>
        </w:tc>
        <w:tc>
          <w:tcPr>
            <w:tcW w:w="851" w:type="dxa"/>
            <w:vAlign w:val="center"/>
          </w:tcPr>
          <w:p w:rsidR="00A80156" w:rsidRDefault="006150EF">
            <w:pPr>
              <w:jc w:val="center"/>
            </w:pPr>
            <w:r>
              <w:rPr>
                <w:color w:val="000000"/>
                <w:sz w:val="24"/>
              </w:rPr>
              <w:t>14</w:t>
            </w:r>
            <w:r>
              <w:rPr>
                <w:color w:val="000000"/>
                <w:sz w:val="24"/>
              </w:rPr>
              <w:t>年</w:t>
            </w:r>
          </w:p>
        </w:tc>
        <w:tc>
          <w:tcPr>
            <w:tcW w:w="2977" w:type="dxa"/>
            <w:vAlign w:val="center"/>
          </w:tcPr>
          <w:p w:rsidR="00A80156" w:rsidRDefault="006150EF">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信用风险分析师，华宝兴业基金管理有限公司分析师、基金经理助理、基金经理，易方达基金管理有限公司投资发展部产品经理。</w:t>
            </w:r>
          </w:p>
        </w:tc>
      </w:tr>
      <w:tr w:rsidR="00A80156">
        <w:tc>
          <w:tcPr>
            <w:tcW w:w="567" w:type="dxa"/>
            <w:vAlign w:val="center"/>
          </w:tcPr>
          <w:p w:rsidR="00A80156" w:rsidRDefault="006150EF">
            <w:pPr>
              <w:jc w:val="center"/>
            </w:pPr>
            <w:r>
              <w:rPr>
                <w:color w:val="000000"/>
                <w:sz w:val="24"/>
              </w:rPr>
              <w:t>杨俊</w:t>
            </w:r>
          </w:p>
        </w:tc>
        <w:tc>
          <w:tcPr>
            <w:tcW w:w="2835" w:type="dxa"/>
            <w:vAlign w:val="center"/>
          </w:tcPr>
          <w:p w:rsidR="00A80156" w:rsidRDefault="006150EF">
            <w:pPr>
              <w:jc w:val="center"/>
            </w:pPr>
            <w:r>
              <w:rPr>
                <w:color w:val="000000"/>
                <w:sz w:val="24"/>
              </w:rPr>
              <w:t>本基金的基金经理、易方达中证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交易型开放式指数证券投资基金的基金经理、易方达沪深</w:t>
            </w:r>
            <w:r>
              <w:rPr>
                <w:color w:val="000000"/>
                <w:sz w:val="24"/>
              </w:rPr>
              <w:t>300</w:t>
            </w:r>
            <w:r>
              <w:rPr>
                <w:color w:val="000000"/>
                <w:sz w:val="24"/>
              </w:rPr>
              <w:t>交易型开放式指数发起式证券投资基金联接基金的基金经理、易方达国企改革指数分级证券投资基金的基金经理、解决方案部总经理助理</w:t>
            </w:r>
          </w:p>
        </w:tc>
        <w:tc>
          <w:tcPr>
            <w:tcW w:w="851" w:type="dxa"/>
            <w:vAlign w:val="center"/>
          </w:tcPr>
          <w:p w:rsidR="00A80156" w:rsidRDefault="006150EF">
            <w:pPr>
              <w:jc w:val="center"/>
            </w:pPr>
            <w:r>
              <w:rPr>
                <w:color w:val="000000"/>
                <w:sz w:val="24"/>
              </w:rPr>
              <w:t>2017-06-23</w:t>
            </w:r>
          </w:p>
        </w:tc>
        <w:tc>
          <w:tcPr>
            <w:tcW w:w="850" w:type="dxa"/>
            <w:vAlign w:val="center"/>
          </w:tcPr>
          <w:p w:rsidR="00A80156" w:rsidRDefault="006150EF">
            <w:pPr>
              <w:jc w:val="center"/>
            </w:pPr>
            <w:r>
              <w:rPr>
                <w:color w:val="000000"/>
                <w:sz w:val="24"/>
              </w:rPr>
              <w:t>-</w:t>
            </w:r>
          </w:p>
        </w:tc>
        <w:tc>
          <w:tcPr>
            <w:tcW w:w="851" w:type="dxa"/>
            <w:vAlign w:val="center"/>
          </w:tcPr>
          <w:p w:rsidR="00A80156" w:rsidRDefault="006150EF">
            <w:pPr>
              <w:jc w:val="center"/>
            </w:pPr>
            <w:r>
              <w:rPr>
                <w:color w:val="000000"/>
                <w:sz w:val="24"/>
              </w:rPr>
              <w:t>10</w:t>
            </w:r>
            <w:r>
              <w:rPr>
                <w:color w:val="000000"/>
                <w:sz w:val="24"/>
              </w:rPr>
              <w:t>年</w:t>
            </w:r>
          </w:p>
        </w:tc>
        <w:tc>
          <w:tcPr>
            <w:tcW w:w="2977" w:type="dxa"/>
            <w:vAlign w:val="center"/>
          </w:tcPr>
          <w:p w:rsidR="00A80156" w:rsidRDefault="006150EF">
            <w:r>
              <w:rPr>
                <w:color w:val="000000"/>
                <w:sz w:val="24"/>
              </w:rPr>
              <w:t>硕士研究生，曾任易方达基金管理有限公司北京分公司渠道经理、指数与量化投资</w:t>
            </w:r>
            <w:r>
              <w:rPr>
                <w:color w:val="000000"/>
                <w:sz w:val="24"/>
              </w:rPr>
              <w:t>部高级账户经理。</w:t>
            </w:r>
          </w:p>
        </w:tc>
      </w:tr>
    </w:tbl>
    <w:p w:rsidR="00A80156" w:rsidRDefault="006150EF">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A80156" w:rsidRDefault="006150EF">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A80156" w:rsidRDefault="006150EF">
      <w:pPr>
        <w:spacing w:line="360" w:lineRule="auto"/>
        <w:ind w:firstLineChars="200" w:firstLine="480"/>
        <w:rPr>
          <w:color w:val="000000"/>
          <w:sz w:val="24"/>
          <w:szCs w:val="24"/>
        </w:rPr>
      </w:pPr>
      <w:r>
        <w:rPr>
          <w:color w:val="000000"/>
          <w:sz w:val="24"/>
          <w:szCs w:val="24"/>
        </w:rPr>
        <w:t>2019</w:t>
      </w:r>
      <w:r>
        <w:rPr>
          <w:color w:val="000000"/>
          <w:sz w:val="24"/>
          <w:szCs w:val="24"/>
        </w:rPr>
        <w:t>年三季度国内宏观经济下行压力犹存，工业生产持续减速，</w:t>
      </w:r>
      <w:r>
        <w:rPr>
          <w:color w:val="000000"/>
          <w:sz w:val="24"/>
          <w:szCs w:val="24"/>
        </w:rPr>
        <w:t>8</w:t>
      </w:r>
      <w:r>
        <w:rPr>
          <w:color w:val="000000"/>
          <w:sz w:val="24"/>
          <w:szCs w:val="24"/>
        </w:rPr>
        <w:t>月份工业增速</w:t>
      </w:r>
      <w:r>
        <w:rPr>
          <w:color w:val="000000"/>
          <w:sz w:val="24"/>
          <w:szCs w:val="24"/>
        </w:rPr>
        <w:t>4.4%</w:t>
      </w:r>
      <w:r>
        <w:rPr>
          <w:color w:val="000000"/>
          <w:sz w:val="24"/>
          <w:szCs w:val="24"/>
        </w:rPr>
        <w:t>，较</w:t>
      </w:r>
      <w:r>
        <w:rPr>
          <w:color w:val="000000"/>
          <w:sz w:val="24"/>
          <w:szCs w:val="24"/>
        </w:rPr>
        <w:t>7</w:t>
      </w:r>
      <w:r>
        <w:rPr>
          <w:color w:val="000000"/>
          <w:sz w:val="24"/>
          <w:szCs w:val="24"/>
        </w:rPr>
        <w:t>月份继续下滑，并创下</w:t>
      </w:r>
      <w:r>
        <w:rPr>
          <w:color w:val="000000"/>
          <w:sz w:val="24"/>
          <w:szCs w:val="24"/>
        </w:rPr>
        <w:t>09</w:t>
      </w:r>
      <w:r>
        <w:rPr>
          <w:color w:val="000000"/>
          <w:sz w:val="24"/>
          <w:szCs w:val="24"/>
        </w:rPr>
        <w:t>年</w:t>
      </w:r>
      <w:r>
        <w:rPr>
          <w:color w:val="000000"/>
          <w:sz w:val="24"/>
          <w:szCs w:val="24"/>
        </w:rPr>
        <w:t>3</w:t>
      </w:r>
      <w:r>
        <w:rPr>
          <w:color w:val="000000"/>
          <w:sz w:val="24"/>
          <w:szCs w:val="24"/>
        </w:rPr>
        <w:t>月以来新低。</w:t>
      </w:r>
      <w:r>
        <w:rPr>
          <w:color w:val="000000"/>
          <w:sz w:val="24"/>
          <w:szCs w:val="24"/>
        </w:rPr>
        <w:t>1-8</w:t>
      </w:r>
      <w:r>
        <w:rPr>
          <w:color w:val="000000"/>
          <w:sz w:val="24"/>
          <w:szCs w:val="24"/>
        </w:rPr>
        <w:t>月全国固定资产投资同比增速回落至</w:t>
      </w:r>
      <w:r>
        <w:rPr>
          <w:color w:val="000000"/>
          <w:sz w:val="24"/>
          <w:szCs w:val="24"/>
        </w:rPr>
        <w:t>5.5%</w:t>
      </w:r>
      <w:r>
        <w:rPr>
          <w:color w:val="000000"/>
          <w:sz w:val="24"/>
          <w:szCs w:val="24"/>
        </w:rPr>
        <w:t>，其中</w:t>
      </w:r>
      <w:r>
        <w:rPr>
          <w:color w:val="000000"/>
          <w:sz w:val="24"/>
          <w:szCs w:val="24"/>
        </w:rPr>
        <w:t>8</w:t>
      </w:r>
      <w:r>
        <w:rPr>
          <w:color w:val="000000"/>
          <w:sz w:val="24"/>
          <w:szCs w:val="24"/>
        </w:rPr>
        <w:t>月份同比增速下滑至</w:t>
      </w:r>
      <w:r>
        <w:rPr>
          <w:color w:val="000000"/>
          <w:sz w:val="24"/>
          <w:szCs w:val="24"/>
        </w:rPr>
        <w:t>4.2%</w:t>
      </w:r>
      <w:r>
        <w:rPr>
          <w:color w:val="000000"/>
          <w:sz w:val="24"/>
          <w:szCs w:val="24"/>
        </w:rPr>
        <w:t>。随着部分行业景气度进入内生性底部，同时逆周期政策力度明显加大，</w:t>
      </w:r>
      <w:r>
        <w:rPr>
          <w:color w:val="000000"/>
          <w:sz w:val="24"/>
          <w:szCs w:val="24"/>
        </w:rPr>
        <w:t>9</w:t>
      </w:r>
      <w:r>
        <w:rPr>
          <w:color w:val="000000"/>
          <w:sz w:val="24"/>
          <w:szCs w:val="24"/>
        </w:rPr>
        <w:t>月份经济景气度有所改善，宏观数据显示</w:t>
      </w:r>
      <w:r>
        <w:rPr>
          <w:color w:val="000000"/>
          <w:sz w:val="24"/>
          <w:szCs w:val="24"/>
        </w:rPr>
        <w:t>9</w:t>
      </w:r>
      <w:r>
        <w:rPr>
          <w:color w:val="000000"/>
          <w:sz w:val="24"/>
          <w:szCs w:val="24"/>
        </w:rPr>
        <w:t>月全国制造业</w:t>
      </w:r>
      <w:r>
        <w:rPr>
          <w:color w:val="000000"/>
          <w:sz w:val="24"/>
          <w:szCs w:val="24"/>
        </w:rPr>
        <w:t>PMI</w:t>
      </w:r>
      <w:r>
        <w:rPr>
          <w:color w:val="000000"/>
          <w:sz w:val="24"/>
          <w:szCs w:val="24"/>
        </w:rPr>
        <w:t>为</w:t>
      </w:r>
      <w:r>
        <w:rPr>
          <w:color w:val="000000"/>
          <w:sz w:val="24"/>
          <w:szCs w:val="24"/>
        </w:rPr>
        <w:t>49.8%</w:t>
      </w:r>
      <w:r>
        <w:rPr>
          <w:color w:val="000000"/>
          <w:sz w:val="24"/>
          <w:szCs w:val="24"/>
        </w:rPr>
        <w:t>，较</w:t>
      </w:r>
      <w:r>
        <w:rPr>
          <w:color w:val="000000"/>
          <w:sz w:val="24"/>
          <w:szCs w:val="24"/>
        </w:rPr>
        <w:t>8</w:t>
      </w:r>
      <w:r>
        <w:rPr>
          <w:color w:val="000000"/>
          <w:sz w:val="24"/>
          <w:szCs w:val="24"/>
        </w:rPr>
        <w:t>月小幅回升，并创下</w:t>
      </w:r>
      <w:r>
        <w:rPr>
          <w:color w:val="000000"/>
          <w:sz w:val="24"/>
          <w:szCs w:val="24"/>
        </w:rPr>
        <w:t>5</w:t>
      </w:r>
      <w:r>
        <w:rPr>
          <w:color w:val="000000"/>
          <w:sz w:val="24"/>
          <w:szCs w:val="24"/>
        </w:rPr>
        <w:t>月以来新高，指向制造业景气明显改善。随着经济下行压力的持续加大，三季度宏观经济政策转向积极，政府加大了</w:t>
      </w:r>
      <w:r>
        <w:rPr>
          <w:color w:val="000000"/>
          <w:sz w:val="24"/>
          <w:szCs w:val="24"/>
        </w:rPr>
        <w:t>“</w:t>
      </w:r>
      <w:r>
        <w:rPr>
          <w:color w:val="000000"/>
          <w:sz w:val="24"/>
          <w:szCs w:val="24"/>
        </w:rPr>
        <w:t>逆周期调节</w:t>
      </w:r>
      <w:r>
        <w:rPr>
          <w:color w:val="000000"/>
          <w:sz w:val="24"/>
          <w:szCs w:val="24"/>
        </w:rPr>
        <w:t>”</w:t>
      </w:r>
      <w:r>
        <w:rPr>
          <w:color w:val="000000"/>
          <w:sz w:val="24"/>
          <w:szCs w:val="24"/>
        </w:rPr>
        <w:t>力度。利率市场化改革超预期加</w:t>
      </w:r>
      <w:r>
        <w:rPr>
          <w:color w:val="000000"/>
          <w:sz w:val="24"/>
          <w:szCs w:val="24"/>
        </w:rPr>
        <w:t>快，央行改革完善</w:t>
      </w:r>
      <w:r>
        <w:rPr>
          <w:color w:val="000000"/>
          <w:sz w:val="24"/>
          <w:szCs w:val="24"/>
        </w:rPr>
        <w:t>LPR</w:t>
      </w:r>
      <w:r>
        <w:rPr>
          <w:color w:val="000000"/>
          <w:sz w:val="24"/>
          <w:szCs w:val="24"/>
        </w:rPr>
        <w:t>形成机制，引导了利率下行的政策信号；央行</w:t>
      </w:r>
      <w:r>
        <w:rPr>
          <w:color w:val="000000"/>
          <w:sz w:val="24"/>
          <w:szCs w:val="24"/>
        </w:rPr>
        <w:t>“</w:t>
      </w:r>
      <w:r>
        <w:rPr>
          <w:color w:val="000000"/>
          <w:sz w:val="24"/>
          <w:szCs w:val="24"/>
        </w:rPr>
        <w:t>普降</w:t>
      </w:r>
      <w:r>
        <w:rPr>
          <w:color w:val="000000"/>
          <w:sz w:val="24"/>
          <w:szCs w:val="24"/>
        </w:rPr>
        <w:t>+</w:t>
      </w:r>
      <w:r>
        <w:rPr>
          <w:color w:val="000000"/>
          <w:sz w:val="24"/>
          <w:szCs w:val="24"/>
        </w:rPr>
        <w:t>定向</w:t>
      </w:r>
      <w:r>
        <w:rPr>
          <w:color w:val="000000"/>
          <w:sz w:val="24"/>
          <w:szCs w:val="24"/>
        </w:rPr>
        <w:t>”</w:t>
      </w:r>
      <w:r>
        <w:rPr>
          <w:color w:val="000000"/>
          <w:sz w:val="24"/>
          <w:szCs w:val="24"/>
        </w:rPr>
        <w:t>降准释放了长期流动性约</w:t>
      </w:r>
      <w:r>
        <w:rPr>
          <w:color w:val="000000"/>
          <w:sz w:val="24"/>
          <w:szCs w:val="24"/>
        </w:rPr>
        <w:t>9000</w:t>
      </w:r>
      <w:r>
        <w:rPr>
          <w:color w:val="000000"/>
          <w:sz w:val="24"/>
          <w:szCs w:val="24"/>
        </w:rPr>
        <w:t>亿元，并降低银行负债端成本；财政政策方面，专项债对基建的支撑作用被增强。外围市场方面，在全球经济增速下行、贸易摩擦蔓延升级、地缘政治风险波动加剧的背景下，美元指数、美债明显上涨；人民币对美元即期汇率延续前期贬值预期，季末在岸和离岸美元对人民币即期汇率均贬至</w:t>
      </w:r>
      <w:r>
        <w:rPr>
          <w:color w:val="000000"/>
          <w:sz w:val="24"/>
          <w:szCs w:val="24"/>
        </w:rPr>
        <w:t>7.14</w:t>
      </w:r>
      <w:r>
        <w:rPr>
          <w:color w:val="000000"/>
          <w:sz w:val="24"/>
          <w:szCs w:val="24"/>
        </w:rPr>
        <w:t>。资本市场方面，</w:t>
      </w:r>
      <w:r>
        <w:rPr>
          <w:color w:val="000000"/>
          <w:sz w:val="24"/>
          <w:szCs w:val="24"/>
        </w:rPr>
        <w:t>A</w:t>
      </w:r>
      <w:r>
        <w:rPr>
          <w:color w:val="000000"/>
          <w:sz w:val="24"/>
          <w:szCs w:val="24"/>
        </w:rPr>
        <w:t>股市场波动加大，最终三季度上证综指以下跌</w:t>
      </w:r>
      <w:r>
        <w:rPr>
          <w:color w:val="000000"/>
          <w:sz w:val="24"/>
          <w:szCs w:val="24"/>
        </w:rPr>
        <w:t>2.47%</w:t>
      </w:r>
      <w:r>
        <w:rPr>
          <w:color w:val="000000"/>
          <w:sz w:val="24"/>
          <w:szCs w:val="24"/>
        </w:rPr>
        <w:t>收官。风格主题方面，结构分化显著，在科技类板块领涨的背景下，创业板表现优于</w:t>
      </w:r>
      <w:r>
        <w:rPr>
          <w:color w:val="000000"/>
          <w:sz w:val="24"/>
          <w:szCs w:val="24"/>
        </w:rPr>
        <w:t>主板，上证</w:t>
      </w:r>
      <w:r>
        <w:rPr>
          <w:color w:val="000000"/>
          <w:sz w:val="24"/>
          <w:szCs w:val="24"/>
        </w:rPr>
        <w:t>50</w:t>
      </w:r>
      <w:r>
        <w:rPr>
          <w:color w:val="000000"/>
          <w:sz w:val="24"/>
          <w:szCs w:val="24"/>
        </w:rPr>
        <w:t>指数、沪深</w:t>
      </w:r>
      <w:r>
        <w:rPr>
          <w:color w:val="000000"/>
          <w:sz w:val="24"/>
          <w:szCs w:val="24"/>
        </w:rPr>
        <w:t>300</w:t>
      </w:r>
      <w:r>
        <w:rPr>
          <w:color w:val="000000"/>
          <w:sz w:val="24"/>
          <w:szCs w:val="24"/>
        </w:rPr>
        <w:t>指数分别下跌</w:t>
      </w:r>
      <w:r>
        <w:rPr>
          <w:color w:val="000000"/>
          <w:sz w:val="24"/>
          <w:szCs w:val="24"/>
        </w:rPr>
        <w:t>1.12%</w:t>
      </w:r>
      <w:r>
        <w:rPr>
          <w:color w:val="000000"/>
          <w:sz w:val="24"/>
          <w:szCs w:val="24"/>
        </w:rPr>
        <w:t>、</w:t>
      </w:r>
      <w:r>
        <w:rPr>
          <w:color w:val="000000"/>
          <w:sz w:val="24"/>
          <w:szCs w:val="24"/>
        </w:rPr>
        <w:t>0.29%</w:t>
      </w:r>
      <w:r>
        <w:rPr>
          <w:color w:val="000000"/>
          <w:sz w:val="24"/>
          <w:szCs w:val="24"/>
        </w:rPr>
        <w:t>，而创业板指上涨</w:t>
      </w:r>
      <w:r>
        <w:rPr>
          <w:color w:val="000000"/>
          <w:sz w:val="24"/>
          <w:szCs w:val="24"/>
        </w:rPr>
        <w:t>7.68%</w:t>
      </w:r>
      <w:r>
        <w:rPr>
          <w:color w:val="000000"/>
          <w:sz w:val="24"/>
          <w:szCs w:val="24"/>
        </w:rPr>
        <w:t>；行业方面，电子、医药生物、计算机、食品饮料、国防军工等板块涨幅居前，钢铁、采掘、建筑装饰、有色金属、房地产等板块跌幅较大。作为被动型指数基金，报告期内本基金按照完全复制法紧密跟踪沪深</w:t>
      </w:r>
      <w:r>
        <w:rPr>
          <w:color w:val="000000"/>
          <w:sz w:val="24"/>
          <w:szCs w:val="24"/>
        </w:rPr>
        <w:t>300</w:t>
      </w:r>
      <w:r>
        <w:rPr>
          <w:color w:val="000000"/>
          <w:sz w:val="24"/>
          <w:szCs w:val="24"/>
        </w:rPr>
        <w:t>指数，取得与标的指数基本一致的业绩表现。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报告期内本基金为正常运作期，在操作中，我们严格遵守基金合同，坚持既定的指数化投资策略，在指数权重调整和基金申赎变动时，应用指数复制和数量化技术降低冲击成本和减少跟踪误差。</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1.6901</w:t>
      </w:r>
      <w:r w:rsidRPr="006C56AA">
        <w:rPr>
          <w:color w:val="000000"/>
          <w:sz w:val="24"/>
          <w:szCs w:val="24"/>
        </w:rPr>
        <w:t>元，本报告期份额净值增长率为</w:t>
      </w:r>
      <w:r w:rsidRPr="006C56AA">
        <w:rPr>
          <w:color w:val="000000"/>
          <w:sz w:val="24"/>
          <w:szCs w:val="24"/>
        </w:rPr>
        <w:t>0.75%</w:t>
      </w:r>
      <w:r w:rsidRPr="006C56AA">
        <w:rPr>
          <w:color w:val="000000"/>
          <w:sz w:val="24"/>
          <w:szCs w:val="24"/>
        </w:rPr>
        <w:t>，同期业绩比较基准收益率为</w:t>
      </w:r>
      <w:r w:rsidRPr="006C56AA">
        <w:rPr>
          <w:color w:val="000000"/>
          <w:sz w:val="24"/>
          <w:szCs w:val="24"/>
        </w:rPr>
        <w:t>-0.29%</w:t>
      </w:r>
      <w:r w:rsidRPr="006C56AA">
        <w:rPr>
          <w:color w:val="000000"/>
          <w:sz w:val="24"/>
          <w:szCs w:val="24"/>
        </w:rPr>
        <w:t>，日跟踪偏离度的均值为</w:t>
      </w:r>
      <w:r w:rsidRPr="006C56AA">
        <w:rPr>
          <w:color w:val="000000"/>
          <w:sz w:val="24"/>
          <w:szCs w:val="24"/>
        </w:rPr>
        <w:t>0.02%</w:t>
      </w:r>
      <w:r w:rsidRPr="006C56AA">
        <w:rPr>
          <w:color w:val="000000"/>
          <w:sz w:val="24"/>
          <w:szCs w:val="24"/>
        </w:rPr>
        <w:t>，年化跟踪误差为</w:t>
      </w:r>
      <w:r w:rsidRPr="006C56AA">
        <w:rPr>
          <w:color w:val="000000"/>
          <w:sz w:val="24"/>
          <w:szCs w:val="24"/>
        </w:rPr>
        <w:t>0.460%</w:t>
      </w:r>
      <w:r w:rsidRPr="006C56AA">
        <w:rPr>
          <w:color w:val="000000"/>
          <w:sz w:val="24"/>
          <w:szCs w:val="24"/>
        </w:rPr>
        <w:t>，各项指标均在合同规定的目标控制范围之内。</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8,273,195,800.21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98.27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8,273,195,800.21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98.27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131,525,346.28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1.56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14,538,809.45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0.17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8,419,259,955.94</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A80156" w:rsidRDefault="006150EF">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上表中的股票投资项含可退替代款估值增值，而</w:t>
      </w:r>
      <w:r>
        <w:rPr>
          <w:color w:val="000000"/>
          <w:sz w:val="24"/>
          <w:szCs w:val="24"/>
        </w:rPr>
        <w:t>5.2</w:t>
      </w:r>
      <w:r>
        <w:rPr>
          <w:color w:val="000000"/>
          <w:sz w:val="24"/>
          <w:szCs w:val="24"/>
        </w:rPr>
        <w:t>的合计项不含可退替代款估值增值。</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2.</w:t>
      </w:r>
      <w:r w:rsidRPr="006C56AA">
        <w:rPr>
          <w:color w:val="000000"/>
          <w:sz w:val="24"/>
          <w:szCs w:val="24"/>
        </w:rPr>
        <w:t>本基金本报告期末融出证券市值为</w:t>
      </w:r>
      <w:r w:rsidRPr="006C56AA">
        <w:rPr>
          <w:color w:val="000000"/>
          <w:sz w:val="24"/>
          <w:szCs w:val="24"/>
        </w:rPr>
        <w:t xml:space="preserve"> 47,962,100.00</w:t>
      </w:r>
      <w:r w:rsidRPr="006C56AA">
        <w:rPr>
          <w:color w:val="000000"/>
          <w:sz w:val="24"/>
          <w:szCs w:val="24"/>
        </w:rPr>
        <w:t>元，占净值比例</w:t>
      </w:r>
      <w:r w:rsidRPr="006C56AA">
        <w:rPr>
          <w:color w:val="000000"/>
          <w:sz w:val="24"/>
          <w:szCs w:val="24"/>
        </w:rPr>
        <w:t>0.57%</w:t>
      </w:r>
      <w:r w:rsidRPr="006C56AA">
        <w:rPr>
          <w:color w:val="000000"/>
          <w:sz w:val="24"/>
          <w:szCs w:val="24"/>
        </w:rPr>
        <w:t>。本基金在本报告期内参与转融通证券出借业务不涉及重大关联交易事项。</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131,736,259.44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1.57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249,535,876.56</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2.97</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3,433,706,406.56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40.80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190,583,612.61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231,646,008.19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2.75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106,269,624.67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240,342,578.19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315,276,123.64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3.75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2,805,518,315.09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33.34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343,431,005.53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4.08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117,959,634.04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8,264,244.00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8,476,172.65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47,666,901.69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0.57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42,783,235.35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0.51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8,273,195,998.21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98.31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80156">
        <w:tc>
          <w:tcPr>
            <w:tcW w:w="851" w:type="dxa"/>
            <w:vAlign w:val="center"/>
          </w:tcPr>
          <w:p w:rsidR="00A80156" w:rsidRDefault="006150EF">
            <w:pPr>
              <w:jc w:val="center"/>
            </w:pPr>
            <w:r>
              <w:rPr>
                <w:color w:val="000000"/>
                <w:kern w:val="0"/>
                <w:sz w:val="24"/>
                <w:szCs w:val="24"/>
              </w:rPr>
              <w:t>1</w:t>
            </w:r>
          </w:p>
        </w:tc>
        <w:tc>
          <w:tcPr>
            <w:tcW w:w="1276" w:type="dxa"/>
            <w:vAlign w:val="center"/>
          </w:tcPr>
          <w:p w:rsidR="00A80156" w:rsidRDefault="006150EF">
            <w:pPr>
              <w:jc w:val="center"/>
            </w:pPr>
            <w:r>
              <w:rPr>
                <w:color w:val="000000"/>
                <w:kern w:val="0"/>
                <w:sz w:val="24"/>
                <w:szCs w:val="24"/>
              </w:rPr>
              <w:t>601318</w:t>
            </w:r>
          </w:p>
        </w:tc>
        <w:tc>
          <w:tcPr>
            <w:tcW w:w="1418" w:type="dxa"/>
            <w:vAlign w:val="center"/>
          </w:tcPr>
          <w:p w:rsidR="00A80156" w:rsidRDefault="006150EF">
            <w:pPr>
              <w:jc w:val="center"/>
            </w:pPr>
            <w:r>
              <w:rPr>
                <w:color w:val="000000"/>
                <w:kern w:val="0"/>
                <w:sz w:val="24"/>
                <w:szCs w:val="24"/>
              </w:rPr>
              <w:t>中国平安</w:t>
            </w:r>
          </w:p>
        </w:tc>
        <w:tc>
          <w:tcPr>
            <w:tcW w:w="1701" w:type="dxa"/>
            <w:vAlign w:val="center"/>
          </w:tcPr>
          <w:p w:rsidR="00A80156" w:rsidRDefault="006150EF">
            <w:pPr>
              <w:jc w:val="right"/>
            </w:pPr>
            <w:r>
              <w:rPr>
                <w:color w:val="000000"/>
                <w:kern w:val="0"/>
                <w:sz w:val="24"/>
                <w:szCs w:val="24"/>
              </w:rPr>
              <w:t>7,232,279</w:t>
            </w:r>
          </w:p>
        </w:tc>
        <w:tc>
          <w:tcPr>
            <w:tcW w:w="1984" w:type="dxa"/>
            <w:vAlign w:val="center"/>
          </w:tcPr>
          <w:p w:rsidR="00A80156" w:rsidRDefault="006150EF">
            <w:pPr>
              <w:jc w:val="right"/>
            </w:pPr>
            <w:r>
              <w:rPr>
                <w:color w:val="000000"/>
                <w:kern w:val="0"/>
                <w:sz w:val="24"/>
                <w:szCs w:val="24"/>
              </w:rPr>
              <w:t>629,497,564.16</w:t>
            </w:r>
          </w:p>
        </w:tc>
        <w:tc>
          <w:tcPr>
            <w:tcW w:w="1559" w:type="dxa"/>
            <w:vAlign w:val="center"/>
          </w:tcPr>
          <w:p w:rsidR="00A80156" w:rsidRDefault="006150EF">
            <w:pPr>
              <w:jc w:val="right"/>
            </w:pPr>
            <w:r>
              <w:rPr>
                <w:color w:val="000000"/>
                <w:kern w:val="0"/>
                <w:sz w:val="24"/>
                <w:szCs w:val="24"/>
              </w:rPr>
              <w:t>7.48</w:t>
            </w:r>
          </w:p>
        </w:tc>
      </w:tr>
      <w:tr w:rsidR="00A80156">
        <w:tc>
          <w:tcPr>
            <w:tcW w:w="851" w:type="dxa"/>
            <w:vAlign w:val="center"/>
          </w:tcPr>
          <w:p w:rsidR="00A80156" w:rsidRDefault="006150EF">
            <w:pPr>
              <w:jc w:val="center"/>
            </w:pPr>
            <w:r>
              <w:rPr>
                <w:color w:val="000000"/>
                <w:kern w:val="0"/>
                <w:sz w:val="24"/>
                <w:szCs w:val="24"/>
              </w:rPr>
              <w:t>2</w:t>
            </w:r>
          </w:p>
        </w:tc>
        <w:tc>
          <w:tcPr>
            <w:tcW w:w="1276" w:type="dxa"/>
            <w:vAlign w:val="center"/>
          </w:tcPr>
          <w:p w:rsidR="00A80156" w:rsidRDefault="006150EF">
            <w:pPr>
              <w:jc w:val="center"/>
            </w:pPr>
            <w:r>
              <w:rPr>
                <w:color w:val="000000"/>
                <w:kern w:val="0"/>
                <w:sz w:val="24"/>
                <w:szCs w:val="24"/>
              </w:rPr>
              <w:t>600519</w:t>
            </w:r>
          </w:p>
        </w:tc>
        <w:tc>
          <w:tcPr>
            <w:tcW w:w="1418" w:type="dxa"/>
            <w:vAlign w:val="center"/>
          </w:tcPr>
          <w:p w:rsidR="00A80156" w:rsidRDefault="006150EF">
            <w:pPr>
              <w:jc w:val="center"/>
            </w:pPr>
            <w:r>
              <w:rPr>
                <w:color w:val="000000"/>
                <w:kern w:val="0"/>
                <w:sz w:val="24"/>
                <w:szCs w:val="24"/>
              </w:rPr>
              <w:t>贵州茅台</w:t>
            </w:r>
          </w:p>
        </w:tc>
        <w:tc>
          <w:tcPr>
            <w:tcW w:w="1701" w:type="dxa"/>
            <w:vAlign w:val="center"/>
          </w:tcPr>
          <w:p w:rsidR="00A80156" w:rsidRDefault="006150EF">
            <w:pPr>
              <w:jc w:val="right"/>
            </w:pPr>
            <w:r>
              <w:rPr>
                <w:color w:val="000000"/>
                <w:kern w:val="0"/>
                <w:sz w:val="24"/>
                <w:szCs w:val="24"/>
              </w:rPr>
              <w:t>338,156</w:t>
            </w:r>
          </w:p>
        </w:tc>
        <w:tc>
          <w:tcPr>
            <w:tcW w:w="1984" w:type="dxa"/>
            <w:vAlign w:val="center"/>
          </w:tcPr>
          <w:p w:rsidR="00A80156" w:rsidRDefault="006150EF">
            <w:pPr>
              <w:jc w:val="right"/>
            </w:pPr>
            <w:r>
              <w:rPr>
                <w:color w:val="000000"/>
                <w:kern w:val="0"/>
                <w:sz w:val="24"/>
                <w:szCs w:val="24"/>
              </w:rPr>
              <w:t>388,879,400.00</w:t>
            </w:r>
          </w:p>
        </w:tc>
        <w:tc>
          <w:tcPr>
            <w:tcW w:w="1559" w:type="dxa"/>
            <w:vAlign w:val="center"/>
          </w:tcPr>
          <w:p w:rsidR="00A80156" w:rsidRDefault="006150EF">
            <w:pPr>
              <w:jc w:val="right"/>
            </w:pPr>
            <w:r>
              <w:rPr>
                <w:color w:val="000000"/>
                <w:kern w:val="0"/>
                <w:sz w:val="24"/>
                <w:szCs w:val="24"/>
              </w:rPr>
              <w:t>4.62</w:t>
            </w:r>
          </w:p>
        </w:tc>
      </w:tr>
      <w:tr w:rsidR="00A80156">
        <w:tc>
          <w:tcPr>
            <w:tcW w:w="851" w:type="dxa"/>
            <w:vAlign w:val="center"/>
          </w:tcPr>
          <w:p w:rsidR="00A80156" w:rsidRDefault="006150EF">
            <w:pPr>
              <w:jc w:val="center"/>
            </w:pPr>
            <w:r>
              <w:rPr>
                <w:color w:val="000000"/>
                <w:kern w:val="0"/>
                <w:sz w:val="24"/>
                <w:szCs w:val="24"/>
              </w:rPr>
              <w:t>3</w:t>
            </w:r>
          </w:p>
        </w:tc>
        <w:tc>
          <w:tcPr>
            <w:tcW w:w="1276" w:type="dxa"/>
            <w:vAlign w:val="center"/>
          </w:tcPr>
          <w:p w:rsidR="00A80156" w:rsidRDefault="006150EF">
            <w:pPr>
              <w:jc w:val="center"/>
            </w:pPr>
            <w:r>
              <w:rPr>
                <w:color w:val="000000"/>
                <w:kern w:val="0"/>
                <w:sz w:val="24"/>
                <w:szCs w:val="24"/>
              </w:rPr>
              <w:t>600036</w:t>
            </w:r>
          </w:p>
        </w:tc>
        <w:tc>
          <w:tcPr>
            <w:tcW w:w="1418" w:type="dxa"/>
            <w:vAlign w:val="center"/>
          </w:tcPr>
          <w:p w:rsidR="00A80156" w:rsidRDefault="006150EF">
            <w:pPr>
              <w:jc w:val="center"/>
            </w:pPr>
            <w:r>
              <w:rPr>
                <w:color w:val="000000"/>
                <w:kern w:val="0"/>
                <w:sz w:val="24"/>
                <w:szCs w:val="24"/>
              </w:rPr>
              <w:t>招商银行</w:t>
            </w:r>
          </w:p>
        </w:tc>
        <w:tc>
          <w:tcPr>
            <w:tcW w:w="1701" w:type="dxa"/>
            <w:vAlign w:val="center"/>
          </w:tcPr>
          <w:p w:rsidR="00A80156" w:rsidRDefault="006150EF">
            <w:pPr>
              <w:jc w:val="right"/>
            </w:pPr>
            <w:r>
              <w:rPr>
                <w:color w:val="000000"/>
                <w:kern w:val="0"/>
                <w:sz w:val="24"/>
                <w:szCs w:val="24"/>
              </w:rPr>
              <w:t>6,888,972</w:t>
            </w:r>
          </w:p>
        </w:tc>
        <w:tc>
          <w:tcPr>
            <w:tcW w:w="1984" w:type="dxa"/>
            <w:vAlign w:val="center"/>
          </w:tcPr>
          <w:p w:rsidR="00A80156" w:rsidRDefault="006150EF">
            <w:pPr>
              <w:jc w:val="right"/>
            </w:pPr>
            <w:r>
              <w:rPr>
                <w:color w:val="000000"/>
                <w:kern w:val="0"/>
                <w:sz w:val="24"/>
                <w:szCs w:val="24"/>
              </w:rPr>
              <w:t>239,391,777.00</w:t>
            </w:r>
          </w:p>
        </w:tc>
        <w:tc>
          <w:tcPr>
            <w:tcW w:w="1559" w:type="dxa"/>
            <w:vAlign w:val="center"/>
          </w:tcPr>
          <w:p w:rsidR="00A80156" w:rsidRDefault="006150EF">
            <w:pPr>
              <w:jc w:val="right"/>
            </w:pPr>
            <w:r>
              <w:rPr>
                <w:color w:val="000000"/>
                <w:kern w:val="0"/>
                <w:sz w:val="24"/>
                <w:szCs w:val="24"/>
              </w:rPr>
              <w:t>2.84</w:t>
            </w:r>
          </w:p>
        </w:tc>
      </w:tr>
      <w:tr w:rsidR="00A80156">
        <w:tc>
          <w:tcPr>
            <w:tcW w:w="851" w:type="dxa"/>
            <w:vAlign w:val="center"/>
          </w:tcPr>
          <w:p w:rsidR="00A80156" w:rsidRDefault="006150EF">
            <w:pPr>
              <w:jc w:val="center"/>
            </w:pPr>
            <w:r>
              <w:rPr>
                <w:color w:val="000000"/>
                <w:kern w:val="0"/>
                <w:sz w:val="24"/>
                <w:szCs w:val="24"/>
              </w:rPr>
              <w:t>4</w:t>
            </w:r>
          </w:p>
        </w:tc>
        <w:tc>
          <w:tcPr>
            <w:tcW w:w="1276" w:type="dxa"/>
            <w:vAlign w:val="center"/>
          </w:tcPr>
          <w:p w:rsidR="00A80156" w:rsidRDefault="006150EF">
            <w:pPr>
              <w:jc w:val="center"/>
            </w:pPr>
            <w:r>
              <w:rPr>
                <w:color w:val="000000"/>
                <w:kern w:val="0"/>
                <w:sz w:val="24"/>
                <w:szCs w:val="24"/>
              </w:rPr>
              <w:t>000651</w:t>
            </w:r>
          </w:p>
        </w:tc>
        <w:tc>
          <w:tcPr>
            <w:tcW w:w="1418" w:type="dxa"/>
            <w:vAlign w:val="center"/>
          </w:tcPr>
          <w:p w:rsidR="00A80156" w:rsidRDefault="006150EF">
            <w:pPr>
              <w:jc w:val="center"/>
            </w:pPr>
            <w:r>
              <w:rPr>
                <w:color w:val="000000"/>
                <w:kern w:val="0"/>
                <w:sz w:val="24"/>
                <w:szCs w:val="24"/>
              </w:rPr>
              <w:t>格力电器</w:t>
            </w:r>
          </w:p>
        </w:tc>
        <w:tc>
          <w:tcPr>
            <w:tcW w:w="1701" w:type="dxa"/>
            <w:vAlign w:val="center"/>
          </w:tcPr>
          <w:p w:rsidR="00A80156" w:rsidRDefault="006150EF">
            <w:pPr>
              <w:jc w:val="right"/>
            </w:pPr>
            <w:r>
              <w:rPr>
                <w:color w:val="000000"/>
                <w:kern w:val="0"/>
                <w:sz w:val="24"/>
                <w:szCs w:val="24"/>
              </w:rPr>
              <w:t>3,214,669</w:t>
            </w:r>
          </w:p>
        </w:tc>
        <w:tc>
          <w:tcPr>
            <w:tcW w:w="1984" w:type="dxa"/>
            <w:vAlign w:val="center"/>
          </w:tcPr>
          <w:p w:rsidR="00A80156" w:rsidRDefault="006150EF">
            <w:pPr>
              <w:jc w:val="right"/>
            </w:pPr>
            <w:r>
              <w:rPr>
                <w:color w:val="000000"/>
                <w:kern w:val="0"/>
                <w:sz w:val="24"/>
                <w:szCs w:val="24"/>
              </w:rPr>
              <w:t>184,200,533.70</w:t>
            </w:r>
          </w:p>
        </w:tc>
        <w:tc>
          <w:tcPr>
            <w:tcW w:w="1559" w:type="dxa"/>
            <w:vAlign w:val="center"/>
          </w:tcPr>
          <w:p w:rsidR="00A80156" w:rsidRDefault="006150EF">
            <w:pPr>
              <w:jc w:val="right"/>
            </w:pPr>
            <w:r>
              <w:rPr>
                <w:color w:val="000000"/>
                <w:kern w:val="0"/>
                <w:sz w:val="24"/>
                <w:szCs w:val="24"/>
              </w:rPr>
              <w:t>2.19</w:t>
            </w:r>
          </w:p>
        </w:tc>
      </w:tr>
      <w:tr w:rsidR="00A80156">
        <w:tc>
          <w:tcPr>
            <w:tcW w:w="851" w:type="dxa"/>
            <w:vAlign w:val="center"/>
          </w:tcPr>
          <w:p w:rsidR="00A80156" w:rsidRDefault="006150EF">
            <w:pPr>
              <w:jc w:val="center"/>
            </w:pPr>
            <w:r>
              <w:rPr>
                <w:color w:val="000000"/>
                <w:kern w:val="0"/>
                <w:sz w:val="24"/>
                <w:szCs w:val="24"/>
              </w:rPr>
              <w:t>5</w:t>
            </w:r>
          </w:p>
        </w:tc>
        <w:tc>
          <w:tcPr>
            <w:tcW w:w="1276" w:type="dxa"/>
            <w:vAlign w:val="center"/>
          </w:tcPr>
          <w:p w:rsidR="00A80156" w:rsidRDefault="006150EF">
            <w:pPr>
              <w:jc w:val="center"/>
            </w:pPr>
            <w:r>
              <w:rPr>
                <w:color w:val="000000"/>
                <w:kern w:val="0"/>
                <w:sz w:val="24"/>
                <w:szCs w:val="24"/>
              </w:rPr>
              <w:t>601166</w:t>
            </w:r>
          </w:p>
        </w:tc>
        <w:tc>
          <w:tcPr>
            <w:tcW w:w="1418" w:type="dxa"/>
            <w:vAlign w:val="center"/>
          </w:tcPr>
          <w:p w:rsidR="00A80156" w:rsidRDefault="006150EF">
            <w:pPr>
              <w:jc w:val="center"/>
            </w:pPr>
            <w:r>
              <w:rPr>
                <w:color w:val="000000"/>
                <w:kern w:val="0"/>
                <w:sz w:val="24"/>
                <w:szCs w:val="24"/>
              </w:rPr>
              <w:t>兴业银行</w:t>
            </w:r>
          </w:p>
        </w:tc>
        <w:tc>
          <w:tcPr>
            <w:tcW w:w="1701" w:type="dxa"/>
            <w:vAlign w:val="center"/>
          </w:tcPr>
          <w:p w:rsidR="00A80156" w:rsidRDefault="006150EF">
            <w:pPr>
              <w:jc w:val="right"/>
            </w:pPr>
            <w:r>
              <w:rPr>
                <w:color w:val="000000"/>
                <w:kern w:val="0"/>
                <w:sz w:val="24"/>
                <w:szCs w:val="24"/>
              </w:rPr>
              <w:t>9,710,041</w:t>
            </w:r>
          </w:p>
        </w:tc>
        <w:tc>
          <w:tcPr>
            <w:tcW w:w="1984" w:type="dxa"/>
            <w:vAlign w:val="center"/>
          </w:tcPr>
          <w:p w:rsidR="00A80156" w:rsidRDefault="006150EF">
            <w:pPr>
              <w:jc w:val="right"/>
            </w:pPr>
            <w:r>
              <w:rPr>
                <w:color w:val="000000"/>
                <w:kern w:val="0"/>
                <w:sz w:val="24"/>
                <w:szCs w:val="24"/>
              </w:rPr>
              <w:t>170,217,018.73</w:t>
            </w:r>
          </w:p>
        </w:tc>
        <w:tc>
          <w:tcPr>
            <w:tcW w:w="1559" w:type="dxa"/>
            <w:vAlign w:val="center"/>
          </w:tcPr>
          <w:p w:rsidR="00A80156" w:rsidRDefault="006150EF">
            <w:pPr>
              <w:jc w:val="right"/>
            </w:pPr>
            <w:r>
              <w:rPr>
                <w:color w:val="000000"/>
                <w:kern w:val="0"/>
                <w:sz w:val="24"/>
                <w:szCs w:val="24"/>
              </w:rPr>
              <w:t>2.02</w:t>
            </w:r>
          </w:p>
        </w:tc>
      </w:tr>
      <w:tr w:rsidR="00A80156">
        <w:tc>
          <w:tcPr>
            <w:tcW w:w="851" w:type="dxa"/>
            <w:vAlign w:val="center"/>
          </w:tcPr>
          <w:p w:rsidR="00A80156" w:rsidRDefault="006150EF">
            <w:pPr>
              <w:jc w:val="center"/>
            </w:pPr>
            <w:r>
              <w:rPr>
                <w:color w:val="000000"/>
                <w:kern w:val="0"/>
                <w:sz w:val="24"/>
                <w:szCs w:val="24"/>
              </w:rPr>
              <w:t>6</w:t>
            </w:r>
          </w:p>
        </w:tc>
        <w:tc>
          <w:tcPr>
            <w:tcW w:w="1276" w:type="dxa"/>
            <w:vAlign w:val="center"/>
          </w:tcPr>
          <w:p w:rsidR="00A80156" w:rsidRDefault="006150EF">
            <w:pPr>
              <w:jc w:val="center"/>
            </w:pPr>
            <w:r>
              <w:rPr>
                <w:color w:val="000000"/>
                <w:kern w:val="0"/>
                <w:sz w:val="24"/>
                <w:szCs w:val="24"/>
              </w:rPr>
              <w:t>000858</w:t>
            </w:r>
          </w:p>
        </w:tc>
        <w:tc>
          <w:tcPr>
            <w:tcW w:w="1418" w:type="dxa"/>
            <w:vAlign w:val="center"/>
          </w:tcPr>
          <w:p w:rsidR="00A80156" w:rsidRDefault="006150EF">
            <w:pPr>
              <w:jc w:val="center"/>
            </w:pPr>
            <w:r>
              <w:rPr>
                <w:color w:val="000000"/>
                <w:kern w:val="0"/>
                <w:sz w:val="24"/>
                <w:szCs w:val="24"/>
              </w:rPr>
              <w:t>五粮液</w:t>
            </w:r>
          </w:p>
        </w:tc>
        <w:tc>
          <w:tcPr>
            <w:tcW w:w="1701" w:type="dxa"/>
            <w:vAlign w:val="center"/>
          </w:tcPr>
          <w:p w:rsidR="00A80156" w:rsidRDefault="006150EF">
            <w:pPr>
              <w:jc w:val="right"/>
            </w:pPr>
            <w:r>
              <w:rPr>
                <w:color w:val="000000"/>
                <w:kern w:val="0"/>
                <w:sz w:val="24"/>
                <w:szCs w:val="24"/>
              </w:rPr>
              <w:t>1,297,548</w:t>
            </w:r>
          </w:p>
        </w:tc>
        <w:tc>
          <w:tcPr>
            <w:tcW w:w="1984" w:type="dxa"/>
            <w:vAlign w:val="center"/>
          </w:tcPr>
          <w:p w:rsidR="00A80156" w:rsidRDefault="006150EF">
            <w:pPr>
              <w:jc w:val="right"/>
            </w:pPr>
            <w:r>
              <w:rPr>
                <w:color w:val="000000"/>
                <w:kern w:val="0"/>
                <w:sz w:val="24"/>
                <w:szCs w:val="24"/>
              </w:rPr>
              <w:t>168,421,730.40</w:t>
            </w:r>
          </w:p>
        </w:tc>
        <w:tc>
          <w:tcPr>
            <w:tcW w:w="1559" w:type="dxa"/>
            <w:vAlign w:val="center"/>
          </w:tcPr>
          <w:p w:rsidR="00A80156" w:rsidRDefault="006150EF">
            <w:pPr>
              <w:jc w:val="right"/>
            </w:pPr>
            <w:r>
              <w:rPr>
                <w:color w:val="000000"/>
                <w:kern w:val="0"/>
                <w:sz w:val="24"/>
                <w:szCs w:val="24"/>
              </w:rPr>
              <w:t>2.00</w:t>
            </w:r>
          </w:p>
        </w:tc>
      </w:tr>
      <w:tr w:rsidR="00A80156">
        <w:tc>
          <w:tcPr>
            <w:tcW w:w="851" w:type="dxa"/>
            <w:vAlign w:val="center"/>
          </w:tcPr>
          <w:p w:rsidR="00A80156" w:rsidRDefault="006150EF">
            <w:pPr>
              <w:jc w:val="center"/>
            </w:pPr>
            <w:r>
              <w:rPr>
                <w:color w:val="000000"/>
                <w:kern w:val="0"/>
                <w:sz w:val="24"/>
                <w:szCs w:val="24"/>
              </w:rPr>
              <w:t>7</w:t>
            </w:r>
          </w:p>
        </w:tc>
        <w:tc>
          <w:tcPr>
            <w:tcW w:w="1276" w:type="dxa"/>
            <w:vAlign w:val="center"/>
          </w:tcPr>
          <w:p w:rsidR="00A80156" w:rsidRDefault="006150EF">
            <w:pPr>
              <w:jc w:val="center"/>
            </w:pPr>
            <w:r>
              <w:rPr>
                <w:color w:val="000000"/>
                <w:kern w:val="0"/>
                <w:sz w:val="24"/>
                <w:szCs w:val="24"/>
              </w:rPr>
              <w:t>600276</w:t>
            </w:r>
          </w:p>
        </w:tc>
        <w:tc>
          <w:tcPr>
            <w:tcW w:w="1418" w:type="dxa"/>
            <w:vAlign w:val="center"/>
          </w:tcPr>
          <w:p w:rsidR="00A80156" w:rsidRDefault="006150EF">
            <w:pPr>
              <w:jc w:val="center"/>
            </w:pPr>
            <w:r>
              <w:rPr>
                <w:color w:val="000000"/>
                <w:kern w:val="0"/>
                <w:sz w:val="24"/>
                <w:szCs w:val="24"/>
              </w:rPr>
              <w:t>恒瑞医药</w:t>
            </w:r>
          </w:p>
        </w:tc>
        <w:tc>
          <w:tcPr>
            <w:tcW w:w="1701" w:type="dxa"/>
            <w:vAlign w:val="center"/>
          </w:tcPr>
          <w:p w:rsidR="00A80156" w:rsidRDefault="006150EF">
            <w:pPr>
              <w:jc w:val="right"/>
            </w:pPr>
            <w:r>
              <w:rPr>
                <w:color w:val="000000"/>
                <w:kern w:val="0"/>
                <w:sz w:val="24"/>
                <w:szCs w:val="24"/>
              </w:rPr>
              <w:t>2,069,640</w:t>
            </w:r>
          </w:p>
        </w:tc>
        <w:tc>
          <w:tcPr>
            <w:tcW w:w="1984" w:type="dxa"/>
            <w:vAlign w:val="center"/>
          </w:tcPr>
          <w:p w:rsidR="00A80156" w:rsidRDefault="006150EF">
            <w:pPr>
              <w:jc w:val="right"/>
            </w:pPr>
            <w:r>
              <w:rPr>
                <w:color w:val="000000"/>
                <w:kern w:val="0"/>
                <w:sz w:val="24"/>
                <w:szCs w:val="24"/>
              </w:rPr>
              <w:t>166,978,555.20</w:t>
            </w:r>
          </w:p>
        </w:tc>
        <w:tc>
          <w:tcPr>
            <w:tcW w:w="1559" w:type="dxa"/>
            <w:vAlign w:val="center"/>
          </w:tcPr>
          <w:p w:rsidR="00A80156" w:rsidRDefault="006150EF">
            <w:pPr>
              <w:jc w:val="right"/>
            </w:pPr>
            <w:r>
              <w:rPr>
                <w:color w:val="000000"/>
                <w:kern w:val="0"/>
                <w:sz w:val="24"/>
                <w:szCs w:val="24"/>
              </w:rPr>
              <w:t>1.98</w:t>
            </w:r>
          </w:p>
        </w:tc>
      </w:tr>
      <w:tr w:rsidR="00A80156">
        <w:tc>
          <w:tcPr>
            <w:tcW w:w="851" w:type="dxa"/>
            <w:vAlign w:val="center"/>
          </w:tcPr>
          <w:p w:rsidR="00A80156" w:rsidRDefault="006150EF">
            <w:pPr>
              <w:jc w:val="center"/>
            </w:pPr>
            <w:r>
              <w:rPr>
                <w:color w:val="000000"/>
                <w:kern w:val="0"/>
                <w:sz w:val="24"/>
                <w:szCs w:val="24"/>
              </w:rPr>
              <w:t>8</w:t>
            </w:r>
          </w:p>
        </w:tc>
        <w:tc>
          <w:tcPr>
            <w:tcW w:w="1276" w:type="dxa"/>
            <w:vAlign w:val="center"/>
          </w:tcPr>
          <w:p w:rsidR="00A80156" w:rsidRDefault="006150EF">
            <w:pPr>
              <w:jc w:val="center"/>
            </w:pPr>
            <w:r>
              <w:rPr>
                <w:color w:val="000000"/>
                <w:kern w:val="0"/>
                <w:sz w:val="24"/>
                <w:szCs w:val="24"/>
              </w:rPr>
              <w:t>000333</w:t>
            </w:r>
          </w:p>
        </w:tc>
        <w:tc>
          <w:tcPr>
            <w:tcW w:w="1418" w:type="dxa"/>
            <w:vAlign w:val="center"/>
          </w:tcPr>
          <w:p w:rsidR="00A80156" w:rsidRDefault="006150EF">
            <w:pPr>
              <w:jc w:val="center"/>
            </w:pPr>
            <w:r>
              <w:rPr>
                <w:color w:val="000000"/>
                <w:kern w:val="0"/>
                <w:sz w:val="24"/>
                <w:szCs w:val="24"/>
              </w:rPr>
              <w:t>美的集团</w:t>
            </w:r>
          </w:p>
        </w:tc>
        <w:tc>
          <w:tcPr>
            <w:tcW w:w="1701" w:type="dxa"/>
            <w:vAlign w:val="center"/>
          </w:tcPr>
          <w:p w:rsidR="00A80156" w:rsidRDefault="006150EF">
            <w:pPr>
              <w:jc w:val="right"/>
            </w:pPr>
            <w:r>
              <w:rPr>
                <w:color w:val="000000"/>
                <w:kern w:val="0"/>
                <w:sz w:val="24"/>
                <w:szCs w:val="24"/>
              </w:rPr>
              <w:t>3,244,146</w:t>
            </w:r>
          </w:p>
        </w:tc>
        <w:tc>
          <w:tcPr>
            <w:tcW w:w="1984" w:type="dxa"/>
            <w:vAlign w:val="center"/>
          </w:tcPr>
          <w:p w:rsidR="00A80156" w:rsidRDefault="006150EF">
            <w:pPr>
              <w:jc w:val="right"/>
            </w:pPr>
            <w:r>
              <w:rPr>
                <w:color w:val="000000"/>
                <w:kern w:val="0"/>
                <w:sz w:val="24"/>
                <w:szCs w:val="24"/>
              </w:rPr>
              <w:t>165,775,860.60</w:t>
            </w:r>
          </w:p>
        </w:tc>
        <w:tc>
          <w:tcPr>
            <w:tcW w:w="1559" w:type="dxa"/>
            <w:vAlign w:val="center"/>
          </w:tcPr>
          <w:p w:rsidR="00A80156" w:rsidRDefault="006150EF">
            <w:pPr>
              <w:jc w:val="right"/>
            </w:pPr>
            <w:r>
              <w:rPr>
                <w:color w:val="000000"/>
                <w:kern w:val="0"/>
                <w:sz w:val="24"/>
                <w:szCs w:val="24"/>
              </w:rPr>
              <w:t>1.97</w:t>
            </w:r>
          </w:p>
        </w:tc>
      </w:tr>
      <w:tr w:rsidR="00A80156">
        <w:tc>
          <w:tcPr>
            <w:tcW w:w="851" w:type="dxa"/>
            <w:vAlign w:val="center"/>
          </w:tcPr>
          <w:p w:rsidR="00A80156" w:rsidRDefault="006150EF">
            <w:pPr>
              <w:jc w:val="center"/>
            </w:pPr>
            <w:r>
              <w:rPr>
                <w:color w:val="000000"/>
                <w:kern w:val="0"/>
                <w:sz w:val="24"/>
                <w:szCs w:val="24"/>
              </w:rPr>
              <w:t>9</w:t>
            </w:r>
          </w:p>
        </w:tc>
        <w:tc>
          <w:tcPr>
            <w:tcW w:w="1276" w:type="dxa"/>
            <w:vAlign w:val="center"/>
          </w:tcPr>
          <w:p w:rsidR="00A80156" w:rsidRDefault="006150EF">
            <w:pPr>
              <w:jc w:val="center"/>
            </w:pPr>
            <w:r>
              <w:rPr>
                <w:color w:val="000000"/>
                <w:kern w:val="0"/>
                <w:sz w:val="24"/>
                <w:szCs w:val="24"/>
              </w:rPr>
              <w:t>600030</w:t>
            </w:r>
          </w:p>
        </w:tc>
        <w:tc>
          <w:tcPr>
            <w:tcW w:w="1418" w:type="dxa"/>
            <w:vAlign w:val="center"/>
          </w:tcPr>
          <w:p w:rsidR="00A80156" w:rsidRDefault="006150EF">
            <w:pPr>
              <w:jc w:val="center"/>
            </w:pPr>
            <w:r>
              <w:rPr>
                <w:color w:val="000000"/>
                <w:kern w:val="0"/>
                <w:sz w:val="24"/>
                <w:szCs w:val="24"/>
              </w:rPr>
              <w:t>中信证券</w:t>
            </w:r>
          </w:p>
        </w:tc>
        <w:tc>
          <w:tcPr>
            <w:tcW w:w="1701" w:type="dxa"/>
            <w:vAlign w:val="center"/>
          </w:tcPr>
          <w:p w:rsidR="00A80156" w:rsidRDefault="006150EF">
            <w:pPr>
              <w:jc w:val="right"/>
            </w:pPr>
            <w:r>
              <w:rPr>
                <w:color w:val="000000"/>
                <w:kern w:val="0"/>
                <w:sz w:val="24"/>
                <w:szCs w:val="24"/>
              </w:rPr>
              <w:t>5,718,890</w:t>
            </w:r>
          </w:p>
        </w:tc>
        <w:tc>
          <w:tcPr>
            <w:tcW w:w="1984" w:type="dxa"/>
            <w:vAlign w:val="center"/>
          </w:tcPr>
          <w:p w:rsidR="00A80156" w:rsidRDefault="006150EF">
            <w:pPr>
              <w:jc w:val="right"/>
            </w:pPr>
            <w:r>
              <w:rPr>
                <w:color w:val="000000"/>
                <w:kern w:val="0"/>
                <w:sz w:val="24"/>
                <w:szCs w:val="24"/>
              </w:rPr>
              <w:t>128,560,647.20</w:t>
            </w:r>
          </w:p>
        </w:tc>
        <w:tc>
          <w:tcPr>
            <w:tcW w:w="1559" w:type="dxa"/>
            <w:vAlign w:val="center"/>
          </w:tcPr>
          <w:p w:rsidR="00A80156" w:rsidRDefault="006150EF">
            <w:pPr>
              <w:jc w:val="right"/>
            </w:pPr>
            <w:r>
              <w:rPr>
                <w:color w:val="000000"/>
                <w:kern w:val="0"/>
                <w:sz w:val="24"/>
                <w:szCs w:val="24"/>
              </w:rPr>
              <w:t>1.53</w:t>
            </w:r>
          </w:p>
        </w:tc>
      </w:tr>
      <w:tr w:rsidR="00A80156">
        <w:tc>
          <w:tcPr>
            <w:tcW w:w="851" w:type="dxa"/>
            <w:vAlign w:val="center"/>
          </w:tcPr>
          <w:p w:rsidR="00A80156" w:rsidRDefault="006150EF">
            <w:pPr>
              <w:jc w:val="center"/>
            </w:pPr>
            <w:r>
              <w:rPr>
                <w:color w:val="000000"/>
                <w:kern w:val="0"/>
                <w:sz w:val="24"/>
                <w:szCs w:val="24"/>
              </w:rPr>
              <w:t>10</w:t>
            </w:r>
          </w:p>
        </w:tc>
        <w:tc>
          <w:tcPr>
            <w:tcW w:w="1276" w:type="dxa"/>
            <w:vAlign w:val="center"/>
          </w:tcPr>
          <w:p w:rsidR="00A80156" w:rsidRDefault="006150EF">
            <w:pPr>
              <w:jc w:val="center"/>
            </w:pPr>
            <w:r>
              <w:rPr>
                <w:color w:val="000000"/>
                <w:kern w:val="0"/>
                <w:sz w:val="24"/>
                <w:szCs w:val="24"/>
              </w:rPr>
              <w:t>600887</w:t>
            </w:r>
          </w:p>
        </w:tc>
        <w:tc>
          <w:tcPr>
            <w:tcW w:w="1418" w:type="dxa"/>
            <w:vAlign w:val="center"/>
          </w:tcPr>
          <w:p w:rsidR="00A80156" w:rsidRDefault="006150EF">
            <w:pPr>
              <w:jc w:val="center"/>
            </w:pPr>
            <w:r>
              <w:rPr>
                <w:color w:val="000000"/>
                <w:kern w:val="0"/>
                <w:sz w:val="24"/>
                <w:szCs w:val="24"/>
              </w:rPr>
              <w:t>伊利股份</w:t>
            </w:r>
          </w:p>
        </w:tc>
        <w:tc>
          <w:tcPr>
            <w:tcW w:w="1701" w:type="dxa"/>
            <w:vAlign w:val="center"/>
          </w:tcPr>
          <w:p w:rsidR="00A80156" w:rsidRDefault="006150EF">
            <w:pPr>
              <w:jc w:val="right"/>
            </w:pPr>
            <w:r>
              <w:rPr>
                <w:color w:val="000000"/>
                <w:kern w:val="0"/>
                <w:sz w:val="24"/>
                <w:szCs w:val="24"/>
              </w:rPr>
              <w:t>4,070,257</w:t>
            </w:r>
          </w:p>
        </w:tc>
        <w:tc>
          <w:tcPr>
            <w:tcW w:w="1984" w:type="dxa"/>
            <w:vAlign w:val="center"/>
          </w:tcPr>
          <w:p w:rsidR="00A80156" w:rsidRDefault="006150EF">
            <w:pPr>
              <w:jc w:val="right"/>
            </w:pPr>
            <w:r>
              <w:rPr>
                <w:color w:val="000000"/>
                <w:kern w:val="0"/>
                <w:sz w:val="24"/>
                <w:szCs w:val="24"/>
              </w:rPr>
              <w:t>116,083,729.64</w:t>
            </w:r>
          </w:p>
        </w:tc>
        <w:tc>
          <w:tcPr>
            <w:tcW w:w="1559" w:type="dxa"/>
            <w:vAlign w:val="center"/>
          </w:tcPr>
          <w:p w:rsidR="00A80156" w:rsidRDefault="006150EF">
            <w:pPr>
              <w:jc w:val="right"/>
            </w:pPr>
            <w:r>
              <w:rPr>
                <w:color w:val="000000"/>
                <w:kern w:val="0"/>
                <w:sz w:val="24"/>
                <w:szCs w:val="24"/>
              </w:rPr>
              <w:t>1.38</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750D48" w:rsidP="00277FAE">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szCs w:val="24"/>
        </w:rPr>
        <w:t xml:space="preserve">5.9.1 </w:t>
      </w:r>
      <w:r w:rsidRPr="001B0A62">
        <w:rPr>
          <w:rFonts w:ascii="宋体" w:hAnsi="宋体" w:hint="eastAsia"/>
          <w:b/>
          <w:bCs/>
          <w:color w:val="000000"/>
          <w:kern w:val="0"/>
          <w:sz w:val="24"/>
          <w:szCs w:val="24"/>
        </w:rPr>
        <w:t>报告期末本基金投资的股指期货持仓和损益明细</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302"/>
        <w:gridCol w:w="993"/>
        <w:gridCol w:w="1700"/>
        <w:gridCol w:w="1641"/>
        <w:gridCol w:w="2074"/>
      </w:tblGrid>
      <w:tr w:rsidR="00277FAE" w:rsidTr="00277FAE">
        <w:trPr>
          <w:trHeight w:val="105"/>
          <w:jc w:val="center"/>
        </w:trPr>
        <w:tc>
          <w:tcPr>
            <w:tcW w:w="1134"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rPr>
            </w:pPr>
            <w:r>
              <w:rPr>
                <w:rFonts w:ascii="Times New Roman" w:hAnsi="Times New Roman" w:cs="Times New Roman" w:hint="eastAsia"/>
              </w:rPr>
              <w:t>代码</w:t>
            </w:r>
          </w:p>
        </w:tc>
        <w:tc>
          <w:tcPr>
            <w:tcW w:w="1303"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rPr>
            </w:pPr>
            <w:r>
              <w:rPr>
                <w:rFonts w:ascii="Times New Roman" w:hAnsi="Times New Roman" w:cs="Times New Roman" w:hint="eastAsia"/>
              </w:rPr>
              <w:t>名称</w:t>
            </w:r>
          </w:p>
        </w:tc>
        <w:tc>
          <w:tcPr>
            <w:tcW w:w="993"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rPr>
            </w:pPr>
            <w:r>
              <w:rPr>
                <w:rFonts w:ascii="Times New Roman" w:hAnsi="Times New Roman" w:cs="Times New Roman" w:hint="eastAsia"/>
              </w:rPr>
              <w:t>持仓量</w:t>
            </w:r>
          </w:p>
        </w:tc>
        <w:tc>
          <w:tcPr>
            <w:tcW w:w="1700"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rPr>
            </w:pPr>
            <w:r>
              <w:rPr>
                <w:rFonts w:ascii="Times New Roman" w:hAnsi="Times New Roman" w:cs="Times New Roman" w:hint="eastAsia"/>
              </w:rPr>
              <w:t>合约市值（元）</w:t>
            </w:r>
          </w:p>
        </w:tc>
        <w:tc>
          <w:tcPr>
            <w:tcW w:w="1641"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rPr>
            </w:pPr>
            <w:r>
              <w:rPr>
                <w:rFonts w:ascii="Times New Roman" w:hAnsi="Times New Roman" w:cs="Times New Roman" w:hint="eastAsia"/>
              </w:rPr>
              <w:t>公允价值变动（元）</w:t>
            </w:r>
          </w:p>
        </w:tc>
        <w:tc>
          <w:tcPr>
            <w:tcW w:w="2074"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jc w:val="center"/>
              <w:rPr>
                <w:rFonts w:ascii="Times New Roman" w:hAnsi="Times New Roman" w:cs="Times New Roman"/>
                <w:color w:val="auto"/>
              </w:rPr>
            </w:pPr>
            <w:r>
              <w:rPr>
                <w:rFonts w:ascii="Times New Roman" w:hAnsi="Times New Roman" w:cs="Times New Roman" w:hint="eastAsia"/>
                <w:color w:val="auto"/>
              </w:rPr>
              <w:t>风险说明</w:t>
            </w:r>
          </w:p>
        </w:tc>
      </w:tr>
      <w:tr w:rsidR="00A80156">
        <w:trPr>
          <w:jc w:val="center"/>
        </w:trPr>
        <w:tc>
          <w:tcPr>
            <w:tcW w:w="1133" w:type="dxa"/>
            <w:vAlign w:val="center"/>
          </w:tcPr>
          <w:p w:rsidR="00A80156" w:rsidRDefault="006150EF">
            <w:pPr>
              <w:jc w:val="center"/>
            </w:pPr>
            <w:r>
              <w:t>IF1911</w:t>
            </w:r>
          </w:p>
        </w:tc>
        <w:tc>
          <w:tcPr>
            <w:tcW w:w="1302" w:type="dxa"/>
            <w:vAlign w:val="center"/>
          </w:tcPr>
          <w:p w:rsidR="00A80156" w:rsidRDefault="006150EF">
            <w:pPr>
              <w:jc w:val="left"/>
            </w:pPr>
            <w:r>
              <w:t>IF1911</w:t>
            </w:r>
          </w:p>
        </w:tc>
        <w:tc>
          <w:tcPr>
            <w:tcW w:w="993" w:type="dxa"/>
            <w:vAlign w:val="center"/>
          </w:tcPr>
          <w:p w:rsidR="00A80156" w:rsidRDefault="006150EF">
            <w:pPr>
              <w:jc w:val="right"/>
            </w:pPr>
            <w:r>
              <w:t>5</w:t>
            </w:r>
          </w:p>
        </w:tc>
        <w:tc>
          <w:tcPr>
            <w:tcW w:w="1700" w:type="dxa"/>
            <w:vAlign w:val="center"/>
          </w:tcPr>
          <w:p w:rsidR="00A80156" w:rsidRDefault="006150EF">
            <w:pPr>
              <w:jc w:val="right"/>
            </w:pPr>
            <w:r>
              <w:t>5,728,200.00</w:t>
            </w:r>
          </w:p>
        </w:tc>
        <w:tc>
          <w:tcPr>
            <w:tcW w:w="1641" w:type="dxa"/>
            <w:vAlign w:val="center"/>
          </w:tcPr>
          <w:p w:rsidR="00A80156" w:rsidRDefault="006150EF">
            <w:pPr>
              <w:jc w:val="right"/>
            </w:pPr>
            <w:r>
              <w:t>-121,920.00</w:t>
            </w:r>
          </w:p>
        </w:tc>
        <w:tc>
          <w:tcPr>
            <w:tcW w:w="2074" w:type="dxa"/>
            <w:vAlign w:val="center"/>
          </w:tcPr>
          <w:p w:rsidR="00A80156" w:rsidRDefault="006150EF">
            <w:pPr>
              <w:jc w:val="left"/>
            </w:pPr>
            <w:r>
              <w:t>买入股指期货多头合约的目的是进行更有效的流动性管理，以更好地跟踪标的指数，实现投资目标。</w:t>
            </w:r>
          </w:p>
        </w:tc>
      </w:tr>
      <w:tr w:rsidR="00A80156">
        <w:trPr>
          <w:jc w:val="center"/>
        </w:trPr>
        <w:tc>
          <w:tcPr>
            <w:tcW w:w="1133" w:type="dxa"/>
            <w:vAlign w:val="center"/>
          </w:tcPr>
          <w:p w:rsidR="00A80156" w:rsidRDefault="006150EF">
            <w:pPr>
              <w:jc w:val="center"/>
            </w:pPr>
            <w:r>
              <w:t>IF1912</w:t>
            </w:r>
          </w:p>
        </w:tc>
        <w:tc>
          <w:tcPr>
            <w:tcW w:w="1302" w:type="dxa"/>
            <w:vAlign w:val="center"/>
          </w:tcPr>
          <w:p w:rsidR="00A80156" w:rsidRDefault="006150EF">
            <w:pPr>
              <w:jc w:val="left"/>
            </w:pPr>
            <w:r>
              <w:t>IF1912</w:t>
            </w:r>
          </w:p>
        </w:tc>
        <w:tc>
          <w:tcPr>
            <w:tcW w:w="993" w:type="dxa"/>
            <w:vAlign w:val="center"/>
          </w:tcPr>
          <w:p w:rsidR="00A80156" w:rsidRDefault="006150EF">
            <w:pPr>
              <w:jc w:val="right"/>
            </w:pPr>
            <w:r>
              <w:t>103</w:t>
            </w:r>
          </w:p>
        </w:tc>
        <w:tc>
          <w:tcPr>
            <w:tcW w:w="1700" w:type="dxa"/>
            <w:vAlign w:val="center"/>
          </w:tcPr>
          <w:p w:rsidR="00A80156" w:rsidRDefault="006150EF">
            <w:pPr>
              <w:jc w:val="right"/>
            </w:pPr>
            <w:r>
              <w:t>117,976,200.00</w:t>
            </w:r>
          </w:p>
        </w:tc>
        <w:tc>
          <w:tcPr>
            <w:tcW w:w="1641" w:type="dxa"/>
            <w:vAlign w:val="center"/>
          </w:tcPr>
          <w:p w:rsidR="00A80156" w:rsidRDefault="006150EF">
            <w:pPr>
              <w:jc w:val="right"/>
            </w:pPr>
            <w:r>
              <w:t>3,084,000.00</w:t>
            </w:r>
          </w:p>
        </w:tc>
        <w:tc>
          <w:tcPr>
            <w:tcW w:w="2074" w:type="dxa"/>
            <w:vAlign w:val="center"/>
          </w:tcPr>
          <w:p w:rsidR="00A80156" w:rsidRDefault="006150EF">
            <w:pPr>
              <w:jc w:val="left"/>
            </w:pPr>
            <w:r>
              <w:t>买入股指期货多头合约的目的是进行更有效的流动性管理，以更好地跟踪标的指数，实现投资目标。</w:t>
            </w:r>
          </w:p>
        </w:tc>
      </w:tr>
      <w:tr w:rsidR="00277FAE" w:rsidTr="00277FAE">
        <w:trPr>
          <w:trHeight w:val="105"/>
          <w:jc w:val="center"/>
        </w:trPr>
        <w:tc>
          <w:tcPr>
            <w:tcW w:w="6771" w:type="dxa"/>
            <w:gridSpan w:val="5"/>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rPr>
            </w:pPr>
            <w:r>
              <w:rPr>
                <w:rFonts w:ascii="Times New Roman" w:hAnsi="Times New Roman" w:cs="Times New Roman" w:hint="eastAsia"/>
              </w:rPr>
              <w:t>公允价值变动总额合计</w:t>
            </w:r>
            <w:r>
              <w:rPr>
                <w:rFonts w:ascii="Times New Roman" w:hAnsi="Times New Roman" w:cs="Times New Roman"/>
              </w:rPr>
              <w:t>(</w:t>
            </w:r>
            <w:r>
              <w:rPr>
                <w:rFonts w:ascii="Times New Roman" w:hAnsi="Times New Roman" w:cs="Times New Roman" w:hint="eastAsia"/>
              </w:rPr>
              <w:t>元</w:t>
            </w:r>
            <w:r>
              <w:rPr>
                <w:rFonts w:ascii="Times New Roman" w:hAnsi="Times New Roman" w:cs="Times New Roman"/>
              </w:rPr>
              <w:t>)</w:t>
            </w:r>
          </w:p>
        </w:tc>
        <w:tc>
          <w:tcPr>
            <w:tcW w:w="2074"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jc w:val="right"/>
              <w:rPr>
                <w:rFonts w:ascii="Times New Roman" w:hAnsi="Times New Roman" w:cs="Times New Roman"/>
                <w:color w:val="auto"/>
              </w:rPr>
            </w:pPr>
            <w:r>
              <w:rPr>
                <w:rFonts w:ascii="Times New Roman" w:hAnsi="Times New Roman" w:cs="Times New Roman"/>
                <w:color w:val="auto"/>
              </w:rPr>
              <w:t>2,962,080.00</w:t>
            </w:r>
          </w:p>
        </w:tc>
      </w:tr>
      <w:tr w:rsidR="00277FAE" w:rsidTr="00277FAE">
        <w:trPr>
          <w:trHeight w:val="105"/>
          <w:jc w:val="center"/>
        </w:trPr>
        <w:tc>
          <w:tcPr>
            <w:tcW w:w="6771" w:type="dxa"/>
            <w:gridSpan w:val="5"/>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color w:val="auto"/>
              </w:rPr>
            </w:pPr>
            <w:r>
              <w:rPr>
                <w:rFonts w:ascii="Times New Roman" w:hAnsi="Times New Roman" w:cs="Times New Roman" w:hint="eastAsia"/>
                <w:color w:val="auto"/>
              </w:rPr>
              <w:t>股指期货投资本期收益</w:t>
            </w:r>
            <w:r>
              <w:rPr>
                <w:rFonts w:ascii="Times New Roman" w:hAnsi="Times New Roman" w:cs="Times New Roman"/>
              </w:rPr>
              <w:t>(</w:t>
            </w:r>
            <w:r>
              <w:rPr>
                <w:rFonts w:ascii="Times New Roman" w:hAnsi="Times New Roman" w:cs="Times New Roman" w:hint="eastAsia"/>
              </w:rPr>
              <w:t>元</w:t>
            </w:r>
            <w:r>
              <w:rPr>
                <w:rFonts w:ascii="Times New Roman" w:hAnsi="Times New Roman" w:cs="Times New Roman"/>
              </w:rPr>
              <w:t>)</w:t>
            </w:r>
          </w:p>
        </w:tc>
        <w:tc>
          <w:tcPr>
            <w:tcW w:w="2074"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jc w:val="right"/>
              <w:rPr>
                <w:rFonts w:ascii="Times New Roman" w:hAnsi="Times New Roman" w:cs="Times New Roman"/>
                <w:color w:val="auto"/>
              </w:rPr>
            </w:pPr>
            <w:r>
              <w:rPr>
                <w:rFonts w:ascii="Times New Roman" w:hAnsi="Times New Roman" w:cs="Times New Roman"/>
                <w:color w:val="auto"/>
              </w:rPr>
              <w:t>642,873.79</w:t>
            </w:r>
          </w:p>
        </w:tc>
      </w:tr>
      <w:tr w:rsidR="00277FAE" w:rsidTr="00277FAE">
        <w:trPr>
          <w:trHeight w:val="105"/>
          <w:jc w:val="center"/>
        </w:trPr>
        <w:tc>
          <w:tcPr>
            <w:tcW w:w="6771" w:type="dxa"/>
            <w:gridSpan w:val="5"/>
            <w:tcBorders>
              <w:top w:val="single" w:sz="4" w:space="0" w:color="auto"/>
              <w:left w:val="single" w:sz="4" w:space="0" w:color="auto"/>
              <w:bottom w:val="single" w:sz="4" w:space="0" w:color="auto"/>
              <w:right w:val="single" w:sz="4" w:space="0" w:color="auto"/>
            </w:tcBorders>
            <w:hideMark/>
          </w:tcPr>
          <w:p w:rsidR="00277FAE" w:rsidRDefault="00277FAE">
            <w:pPr>
              <w:pStyle w:val="Default"/>
              <w:rPr>
                <w:rFonts w:ascii="Times New Roman" w:hAnsi="Times New Roman" w:cs="Times New Roman"/>
                <w:color w:val="auto"/>
              </w:rPr>
            </w:pPr>
            <w:r>
              <w:rPr>
                <w:rFonts w:ascii="Times New Roman" w:hAnsi="Times New Roman" w:cs="Times New Roman" w:hint="eastAsia"/>
                <w:color w:val="auto"/>
              </w:rPr>
              <w:t>股指期货投资本期公允价值变动</w:t>
            </w:r>
            <w:r>
              <w:rPr>
                <w:rFonts w:ascii="Times New Roman" w:hAnsi="Times New Roman" w:cs="Times New Roman"/>
              </w:rPr>
              <w:t>(</w:t>
            </w:r>
            <w:r>
              <w:rPr>
                <w:rFonts w:ascii="Times New Roman" w:hAnsi="Times New Roman" w:cs="Times New Roman" w:hint="eastAsia"/>
              </w:rPr>
              <w:t>元</w:t>
            </w:r>
            <w:r>
              <w:rPr>
                <w:rFonts w:ascii="Times New Roman" w:hAnsi="Times New Roman" w:cs="Times New Roman"/>
              </w:rPr>
              <w:t>)</w:t>
            </w:r>
          </w:p>
        </w:tc>
        <w:tc>
          <w:tcPr>
            <w:tcW w:w="2074" w:type="dxa"/>
            <w:tcBorders>
              <w:top w:val="single" w:sz="4" w:space="0" w:color="auto"/>
              <w:left w:val="single" w:sz="4" w:space="0" w:color="auto"/>
              <w:bottom w:val="single" w:sz="4" w:space="0" w:color="auto"/>
              <w:right w:val="single" w:sz="4" w:space="0" w:color="auto"/>
            </w:tcBorders>
            <w:hideMark/>
          </w:tcPr>
          <w:p w:rsidR="00277FAE" w:rsidRDefault="00277FAE">
            <w:pPr>
              <w:pStyle w:val="Default"/>
              <w:jc w:val="right"/>
              <w:rPr>
                <w:rFonts w:ascii="Times New Roman" w:hAnsi="Times New Roman" w:cs="Times New Roman"/>
                <w:color w:val="auto"/>
              </w:rPr>
            </w:pPr>
            <w:r>
              <w:rPr>
                <w:rFonts w:ascii="Times New Roman" w:hAnsi="Times New Roman" w:cs="Times New Roman"/>
                <w:color w:val="auto"/>
              </w:rPr>
              <w:t>1,793,040.00</w:t>
            </w:r>
          </w:p>
        </w:tc>
      </w:tr>
    </w:tbl>
    <w:p w:rsidR="00750D48" w:rsidRPr="001B0A62" w:rsidRDefault="00750D48" w:rsidP="00277FAE">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 xml:space="preserve">5.9.2 </w:t>
      </w:r>
      <w:r w:rsidRPr="001B0A62">
        <w:rPr>
          <w:rFonts w:ascii="宋体" w:hAnsi="宋体" w:hint="eastAsia"/>
          <w:b/>
          <w:bCs/>
          <w:color w:val="000000"/>
          <w:kern w:val="0"/>
          <w:sz w:val="24"/>
          <w:szCs w:val="24"/>
        </w:rPr>
        <w:t>本基金投资股指期货的投资政策</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可投资股指期货和其他经中国证监会允许的衍生金融产品。本基金将根据风险管理的原则，以套期保值为目的，按照相关法律法规的有关规定，主要选择流动性好、交易活跃的股指期货合约来进行投资。为更有效地进行流动性管理，本基金在出现需要及时调整组合市场暴露情况时，通过股指期货套保交易满足基金的投资替代需求和风险管理需求。本基金力争利用股指期货的杠杆作用，降低股票仓位频繁调整的交易成本和跟踪误差，达到有效跟踪标的指数的目的。本报告期内，本基金投资股指期货符合既定的投资政策和投资目的。</w:t>
      </w:r>
      <w:r w:rsidRPr="006C56AA">
        <w:rPr>
          <w:color w:val="000000"/>
          <w:sz w:val="24"/>
          <w:szCs w:val="24"/>
        </w:rPr>
        <w:t xml:space="preserve"> </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5.11.12018年10月16日，上海保监局针对兴业银行股份有限公司信用卡中心电话销售欺骗投保人、电话销售向投保人隐瞒与合同有关的重要情况的违法违规行为，责令改正并处35万元罚款。</w:t>
      </w:r>
    </w:p>
    <w:p w:rsidR="00A80156" w:rsidRDefault="006150EF">
      <w:pPr>
        <w:spacing w:line="360" w:lineRule="auto"/>
        <w:rPr>
          <w:rFonts w:ascii="宋体" w:hAnsi="宋体"/>
          <w:color w:val="000000"/>
          <w:sz w:val="24"/>
          <w:szCs w:val="24"/>
        </w:rPr>
      </w:pP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7</w:t>
      </w:r>
      <w:r>
        <w:rPr>
          <w:rFonts w:ascii="宋体" w:hAnsi="宋体"/>
          <w:color w:val="000000"/>
          <w:sz w:val="24"/>
          <w:szCs w:val="24"/>
        </w:rPr>
        <w:t>月</w:t>
      </w:r>
      <w:r>
        <w:rPr>
          <w:rFonts w:ascii="宋体" w:hAnsi="宋体"/>
          <w:color w:val="000000"/>
          <w:sz w:val="24"/>
          <w:szCs w:val="24"/>
        </w:rPr>
        <w:t>8</w:t>
      </w:r>
      <w:r>
        <w:rPr>
          <w:rFonts w:ascii="宋体" w:hAnsi="宋体"/>
          <w:color w:val="000000"/>
          <w:sz w:val="24"/>
          <w:szCs w:val="24"/>
        </w:rPr>
        <w:t>日，中国银行保险监督管理委员会上海监管局针对兴业银行股份有限公司信用卡中心</w:t>
      </w:r>
      <w:r>
        <w:rPr>
          <w:rFonts w:ascii="宋体" w:hAnsi="宋体"/>
          <w:color w:val="000000"/>
          <w:sz w:val="24"/>
          <w:szCs w:val="24"/>
        </w:rPr>
        <w:t>1</w:t>
      </w:r>
      <w:r>
        <w:rPr>
          <w:rFonts w:ascii="宋体" w:hAnsi="宋体"/>
          <w:color w:val="000000"/>
          <w:sz w:val="24"/>
          <w:szCs w:val="24"/>
        </w:rPr>
        <w:t>、</w:t>
      </w:r>
      <w:r>
        <w:rPr>
          <w:rFonts w:ascii="宋体" w:hAnsi="宋体"/>
          <w:color w:val="000000"/>
          <w:sz w:val="24"/>
          <w:szCs w:val="24"/>
        </w:rPr>
        <w:t>2016</w:t>
      </w:r>
      <w:r>
        <w:rPr>
          <w:rFonts w:ascii="宋体" w:hAnsi="宋体"/>
          <w:color w:val="000000"/>
          <w:sz w:val="24"/>
          <w:szCs w:val="24"/>
        </w:rPr>
        <w:t>年</w:t>
      </w:r>
      <w:r>
        <w:rPr>
          <w:rFonts w:ascii="宋体" w:hAnsi="宋体"/>
          <w:color w:val="000000"/>
          <w:sz w:val="24"/>
          <w:szCs w:val="24"/>
        </w:rPr>
        <w:t>1</w:t>
      </w:r>
      <w:r>
        <w:rPr>
          <w:rFonts w:ascii="宋体" w:hAnsi="宋体"/>
          <w:color w:val="000000"/>
          <w:sz w:val="24"/>
          <w:szCs w:val="24"/>
        </w:rPr>
        <w:t>月至</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1</w:t>
      </w:r>
      <w:r>
        <w:rPr>
          <w:rFonts w:ascii="宋体" w:hAnsi="宋体"/>
          <w:color w:val="000000"/>
          <w:sz w:val="24"/>
          <w:szCs w:val="24"/>
        </w:rPr>
        <w:t>月在为部分客户办理信用卡业务时未遵守总授信额度管理制度；</w:t>
      </w:r>
      <w:r>
        <w:rPr>
          <w:rFonts w:ascii="宋体" w:hAnsi="宋体"/>
          <w:color w:val="000000"/>
          <w:sz w:val="24"/>
          <w:szCs w:val="24"/>
        </w:rPr>
        <w:t>2</w:t>
      </w:r>
      <w:r>
        <w:rPr>
          <w:rFonts w:ascii="宋体" w:hAnsi="宋体"/>
          <w:color w:val="000000"/>
          <w:sz w:val="24"/>
          <w:szCs w:val="24"/>
        </w:rPr>
        <w:t>、</w:t>
      </w:r>
      <w:r>
        <w:rPr>
          <w:rFonts w:ascii="宋体" w:hAnsi="宋体"/>
          <w:color w:val="000000"/>
          <w:sz w:val="24"/>
          <w:szCs w:val="24"/>
        </w:rPr>
        <w:t>2016</w:t>
      </w:r>
      <w:r>
        <w:rPr>
          <w:rFonts w:ascii="宋体" w:hAnsi="宋体"/>
          <w:color w:val="000000"/>
          <w:sz w:val="24"/>
          <w:szCs w:val="24"/>
        </w:rPr>
        <w:t>年至</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8</w:t>
      </w:r>
      <w:r>
        <w:rPr>
          <w:rFonts w:ascii="宋体" w:hAnsi="宋体"/>
          <w:color w:val="000000"/>
          <w:sz w:val="24"/>
          <w:szCs w:val="24"/>
        </w:rPr>
        <w:t>月对部分信用卡申请人资信水平调查严重不尽职的违法违规行为，责令改正，并处罚款</w:t>
      </w:r>
      <w:r>
        <w:rPr>
          <w:rFonts w:ascii="宋体" w:hAnsi="宋体"/>
          <w:color w:val="000000"/>
          <w:sz w:val="24"/>
          <w:szCs w:val="24"/>
        </w:rPr>
        <w:t>40</w:t>
      </w:r>
      <w:r>
        <w:rPr>
          <w:rFonts w:ascii="宋体" w:hAnsi="宋体"/>
          <w:color w:val="000000"/>
          <w:sz w:val="24"/>
          <w:szCs w:val="24"/>
        </w:rPr>
        <w:t>万元。</w:t>
      </w:r>
    </w:p>
    <w:p w:rsidR="00A80156" w:rsidRDefault="006150EF">
      <w:pPr>
        <w:spacing w:line="360" w:lineRule="auto"/>
        <w:rPr>
          <w:rFonts w:ascii="宋体" w:hAnsi="宋体"/>
          <w:color w:val="000000"/>
          <w:sz w:val="24"/>
          <w:szCs w:val="24"/>
        </w:rPr>
      </w:pP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7</w:t>
      </w:r>
      <w:r>
        <w:rPr>
          <w:rFonts w:ascii="宋体" w:hAnsi="宋体"/>
          <w:color w:val="000000"/>
          <w:sz w:val="24"/>
          <w:szCs w:val="24"/>
        </w:rPr>
        <w:t>月</w:t>
      </w:r>
      <w:r>
        <w:rPr>
          <w:rFonts w:ascii="宋体" w:hAnsi="宋体"/>
          <w:color w:val="000000"/>
          <w:sz w:val="24"/>
          <w:szCs w:val="24"/>
        </w:rPr>
        <w:t>8</w:t>
      </w:r>
      <w:r>
        <w:rPr>
          <w:rFonts w:ascii="宋体" w:hAnsi="宋体"/>
          <w:color w:val="000000"/>
          <w:sz w:val="24"/>
          <w:szCs w:val="24"/>
        </w:rPr>
        <w:t>日，中国银行保险监督管理委员会上海监管局对招商银行股份有限公司信用卡中心</w:t>
      </w:r>
      <w:r>
        <w:rPr>
          <w:rFonts w:ascii="宋体" w:hAnsi="宋体"/>
          <w:color w:val="000000"/>
          <w:sz w:val="24"/>
          <w:szCs w:val="24"/>
        </w:rPr>
        <w:t>2016</w:t>
      </w:r>
      <w:r>
        <w:rPr>
          <w:rFonts w:ascii="宋体" w:hAnsi="宋体"/>
          <w:color w:val="000000"/>
          <w:sz w:val="24"/>
          <w:szCs w:val="24"/>
        </w:rPr>
        <w:t>年</w:t>
      </w:r>
      <w:r>
        <w:rPr>
          <w:rFonts w:ascii="宋体" w:hAnsi="宋体"/>
          <w:color w:val="000000"/>
          <w:sz w:val="24"/>
          <w:szCs w:val="24"/>
        </w:rPr>
        <w:t>9</w:t>
      </w:r>
      <w:r>
        <w:rPr>
          <w:rFonts w:ascii="宋体" w:hAnsi="宋体"/>
          <w:color w:val="000000"/>
          <w:sz w:val="24"/>
          <w:szCs w:val="24"/>
        </w:rPr>
        <w:t>月至</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6</w:t>
      </w:r>
      <w:r>
        <w:rPr>
          <w:rFonts w:ascii="宋体" w:hAnsi="宋体"/>
          <w:color w:val="000000"/>
          <w:sz w:val="24"/>
          <w:szCs w:val="24"/>
        </w:rPr>
        <w:t>月在为部分客户办理信用卡业务时，未遵守总授信额度管理制度的违法违规事实，责令改正，并处罚款</w:t>
      </w:r>
      <w:r>
        <w:rPr>
          <w:rFonts w:ascii="宋体" w:hAnsi="宋体"/>
          <w:color w:val="000000"/>
          <w:sz w:val="24"/>
          <w:szCs w:val="24"/>
        </w:rPr>
        <w:t>20</w:t>
      </w:r>
      <w:r>
        <w:rPr>
          <w:rFonts w:ascii="宋体" w:hAnsi="宋体"/>
          <w:color w:val="000000"/>
          <w:sz w:val="24"/>
          <w:szCs w:val="24"/>
        </w:rPr>
        <w:t>万元。</w:t>
      </w:r>
    </w:p>
    <w:p w:rsidR="00A80156" w:rsidRDefault="006150EF">
      <w:pPr>
        <w:spacing w:line="360" w:lineRule="auto"/>
        <w:rPr>
          <w:rFonts w:ascii="宋体" w:hAnsi="宋体"/>
          <w:color w:val="000000"/>
          <w:sz w:val="24"/>
          <w:szCs w:val="24"/>
        </w:rPr>
      </w:pPr>
      <w:r>
        <w:rPr>
          <w:rFonts w:ascii="宋体" w:hAnsi="宋体"/>
          <w:color w:val="000000"/>
          <w:sz w:val="24"/>
          <w:szCs w:val="24"/>
        </w:rPr>
        <w:t>本基金为指数型基金，上述股票系标的指数成份股，上述股票的投资决策程序符合公司投资制度的规定。除招商银行、兴业银行外，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13,258,002.49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1,199,504.90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300.00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81,002.06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14,538,809.45</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5,338,664,351.00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710,678,487.00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1,070,000,000.00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4,979,342,838.00</w:t>
            </w:r>
          </w:p>
        </w:tc>
      </w:tr>
    </w:tbl>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注：期初基金总份额包含场外份额</w:t>
      </w:r>
      <w:r w:rsidRPr="006C56AA">
        <w:rPr>
          <w:color w:val="000000"/>
          <w:sz w:val="24"/>
          <w:szCs w:val="24"/>
        </w:rPr>
        <w:t>286,356,936</w:t>
      </w:r>
      <w:r w:rsidRPr="006C56AA">
        <w:rPr>
          <w:color w:val="000000"/>
          <w:sz w:val="24"/>
          <w:szCs w:val="24"/>
        </w:rPr>
        <w:t>份；期末基金总份额包含场外份额</w:t>
      </w:r>
      <w:r w:rsidRPr="006C56AA">
        <w:rPr>
          <w:color w:val="000000"/>
          <w:sz w:val="24"/>
          <w:szCs w:val="24"/>
        </w:rPr>
        <w:t>291,035,423</w:t>
      </w:r>
      <w:r w:rsidRPr="006C56AA">
        <w:rPr>
          <w:color w:val="000000"/>
          <w:sz w:val="24"/>
          <w:szCs w:val="24"/>
        </w:rPr>
        <w:t>份；总申购份额包含场外总申购份额</w:t>
      </w:r>
      <w:r w:rsidRPr="006C56AA">
        <w:rPr>
          <w:color w:val="000000"/>
          <w:sz w:val="24"/>
          <w:szCs w:val="24"/>
        </w:rPr>
        <w:t>4,678,487</w:t>
      </w:r>
      <w:r w:rsidRPr="006C56AA">
        <w:rPr>
          <w:color w:val="000000"/>
          <w:sz w:val="24"/>
          <w:szCs w:val="24"/>
        </w:rPr>
        <w:t>份。</w:t>
      </w:r>
    </w:p>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Pr>
          <w:rFonts w:ascii="宋体" w:hAnsi="宋体" w:hint="eastAsia"/>
          <w:color w:val="000000"/>
          <w:kern w:val="0"/>
          <w:sz w:val="24"/>
          <w:szCs w:val="24"/>
        </w:rPr>
        <w:t>报告期末</w:t>
      </w:r>
      <w:r w:rsidRPr="00264E55">
        <w:rPr>
          <w:rFonts w:ascii="宋体" w:hAnsi="宋体" w:hint="eastAsia"/>
          <w:color w:val="000000"/>
          <w:kern w:val="0"/>
          <w:sz w:val="24"/>
          <w:szCs w:val="24"/>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843"/>
        <w:gridCol w:w="1276"/>
        <w:gridCol w:w="1984"/>
        <w:gridCol w:w="1276"/>
        <w:gridCol w:w="941"/>
      </w:tblGrid>
      <w:tr w:rsidR="00750D48" w:rsidRPr="00264E55" w:rsidTr="00507F99">
        <w:trPr>
          <w:trHeight w:val="543"/>
          <w:jc w:val="center"/>
        </w:trPr>
        <w:tc>
          <w:tcPr>
            <w:tcW w:w="1560" w:type="dxa"/>
            <w:vAlign w:val="center"/>
          </w:tcPr>
          <w:p w:rsidR="00750D48" w:rsidRPr="00B227EA" w:rsidRDefault="00750D48" w:rsidP="00597E49">
            <w:pPr>
              <w:widowControl/>
              <w:jc w:val="left"/>
              <w:rPr>
                <w:color w:val="000000"/>
                <w:sz w:val="24"/>
                <w:szCs w:val="24"/>
              </w:rPr>
            </w:pPr>
            <w:r w:rsidRPr="00B227EA">
              <w:rPr>
                <w:color w:val="000000"/>
                <w:sz w:val="24"/>
                <w:szCs w:val="24"/>
              </w:rPr>
              <w:t>项目</w:t>
            </w:r>
          </w:p>
        </w:tc>
        <w:tc>
          <w:tcPr>
            <w:tcW w:w="1843"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持有份额占基金总份额比例</w:t>
            </w:r>
          </w:p>
        </w:tc>
        <w:tc>
          <w:tcPr>
            <w:tcW w:w="1984"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发起份额占基金总份额比例</w:t>
            </w:r>
          </w:p>
        </w:tc>
        <w:tc>
          <w:tcPr>
            <w:tcW w:w="941" w:type="dxa"/>
          </w:tcPr>
          <w:p w:rsidR="00750D48" w:rsidRPr="00B227EA" w:rsidRDefault="00750D48" w:rsidP="00597E49">
            <w:pPr>
              <w:widowControl/>
              <w:jc w:val="left"/>
              <w:rPr>
                <w:color w:val="000000"/>
                <w:sz w:val="24"/>
                <w:szCs w:val="24"/>
              </w:rPr>
            </w:pPr>
            <w:r w:rsidRPr="00B227EA">
              <w:rPr>
                <w:color w:val="000000"/>
                <w:sz w:val="24"/>
                <w:szCs w:val="24"/>
              </w:rPr>
              <w:t>发起份额承诺持有期限</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基金管理人固有资金</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trHeight w:val="790"/>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基金管理人高级管理人员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基金经理等人员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基金管理人股东</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10,002,600.00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0.2009%</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3</w:t>
            </w:r>
            <w:r w:rsidRPr="00B227EA">
              <w:rPr>
                <w:kern w:val="0"/>
                <w:sz w:val="24"/>
                <w:szCs w:val="24"/>
              </w:rPr>
              <w:t>年</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其他</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合计</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10,002,600.00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0.2009%</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bl>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注：该基金的发起份额承诺持有期限已满</w:t>
      </w:r>
      <w:r w:rsidRPr="006C56AA">
        <w:rPr>
          <w:color w:val="000000"/>
          <w:sz w:val="24"/>
          <w:szCs w:val="24"/>
        </w:rPr>
        <w:t>3</w:t>
      </w:r>
      <w:r w:rsidRPr="006C56AA">
        <w:rPr>
          <w:color w:val="000000"/>
          <w:sz w:val="24"/>
          <w:szCs w:val="24"/>
        </w:rPr>
        <w:t>年，发起份额已全部赎回。</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9</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9.1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A80156">
        <w:trPr>
          <w:jc w:val="center"/>
        </w:trPr>
        <w:tc>
          <w:tcPr>
            <w:tcW w:w="1798" w:type="dxa"/>
            <w:vMerge w:val="restart"/>
            <w:vAlign w:val="center"/>
          </w:tcPr>
          <w:p w:rsidR="00A80156" w:rsidRDefault="006150EF">
            <w:r>
              <w:rPr>
                <w:sz w:val="24"/>
                <w:szCs w:val="24"/>
              </w:rPr>
              <w:t>中国建设银行－易方达沪深</w:t>
            </w:r>
            <w:r>
              <w:rPr>
                <w:sz w:val="24"/>
                <w:szCs w:val="24"/>
              </w:rPr>
              <w:t>300</w:t>
            </w:r>
            <w:r>
              <w:rPr>
                <w:sz w:val="24"/>
                <w:szCs w:val="24"/>
              </w:rPr>
              <w:t>交易型开放式指数发起式证券投资基金联接基金</w:t>
            </w:r>
          </w:p>
        </w:tc>
        <w:tc>
          <w:tcPr>
            <w:tcW w:w="709" w:type="dxa"/>
            <w:vAlign w:val="center"/>
          </w:tcPr>
          <w:p w:rsidR="00A80156" w:rsidRDefault="006150EF">
            <w:pPr>
              <w:jc w:val="center"/>
            </w:pPr>
            <w:r>
              <w:rPr>
                <w:sz w:val="24"/>
                <w:szCs w:val="24"/>
              </w:rPr>
              <w:t>1</w:t>
            </w:r>
          </w:p>
        </w:tc>
        <w:tc>
          <w:tcPr>
            <w:tcW w:w="1985" w:type="dxa"/>
            <w:vAlign w:val="center"/>
          </w:tcPr>
          <w:p w:rsidR="00A80156" w:rsidRDefault="006150EF">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A80156" w:rsidRDefault="006150EF">
            <w:pPr>
              <w:jc w:val="center"/>
            </w:pPr>
            <w:r>
              <w:rPr>
                <w:sz w:val="24"/>
                <w:szCs w:val="24"/>
              </w:rPr>
              <w:t>4,484,687,631.00</w:t>
            </w:r>
          </w:p>
        </w:tc>
        <w:tc>
          <w:tcPr>
            <w:tcW w:w="992" w:type="dxa"/>
            <w:vAlign w:val="center"/>
          </w:tcPr>
          <w:p w:rsidR="00A80156" w:rsidRDefault="006150EF">
            <w:pPr>
              <w:jc w:val="center"/>
            </w:pPr>
            <w:r>
              <w:rPr>
                <w:sz w:val="24"/>
                <w:szCs w:val="24"/>
              </w:rPr>
              <w:t>1,265,560,200.00</w:t>
            </w:r>
          </w:p>
        </w:tc>
        <w:tc>
          <w:tcPr>
            <w:tcW w:w="1134" w:type="dxa"/>
            <w:vAlign w:val="center"/>
          </w:tcPr>
          <w:p w:rsidR="00A80156" w:rsidRDefault="006150EF">
            <w:pPr>
              <w:jc w:val="center"/>
            </w:pPr>
            <w:r>
              <w:rPr>
                <w:sz w:val="24"/>
                <w:szCs w:val="24"/>
              </w:rPr>
              <w:t>1,922,212,200.00</w:t>
            </w:r>
          </w:p>
        </w:tc>
        <w:tc>
          <w:tcPr>
            <w:tcW w:w="1037" w:type="dxa"/>
            <w:vAlign w:val="center"/>
          </w:tcPr>
          <w:p w:rsidR="00A80156" w:rsidRDefault="006150EF">
            <w:pPr>
              <w:jc w:val="center"/>
            </w:pPr>
            <w:r>
              <w:rPr>
                <w:sz w:val="24"/>
                <w:szCs w:val="24"/>
              </w:rPr>
              <w:t>3,828,035,631.00</w:t>
            </w:r>
          </w:p>
        </w:tc>
        <w:tc>
          <w:tcPr>
            <w:tcW w:w="851" w:type="dxa"/>
            <w:vAlign w:val="center"/>
          </w:tcPr>
          <w:p w:rsidR="00A80156" w:rsidRDefault="006150EF">
            <w:pPr>
              <w:jc w:val="center"/>
            </w:pPr>
            <w:r>
              <w:rPr>
                <w:sz w:val="24"/>
                <w:szCs w:val="24"/>
              </w:rPr>
              <w:t>76.88%</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FC0759" w:rsidRDefault="001F5F5D" w:rsidP="001F5F5D">
      <w:pPr>
        <w:autoSpaceDE w:val="0"/>
        <w:autoSpaceDN w:val="0"/>
        <w:adjustRightInd w:val="0"/>
        <w:spacing w:line="360" w:lineRule="auto"/>
        <w:ind w:firstLineChars="200" w:firstLine="480"/>
        <w:jc w:val="left"/>
        <w:rPr>
          <w:rFonts w:eastAsiaTheme="minorEastAsia"/>
          <w:bCs/>
          <w:color w:val="000000" w:themeColor="text1"/>
          <w:kern w:val="0"/>
          <w:sz w:val="24"/>
          <w:szCs w:val="24"/>
        </w:rPr>
      </w:pPr>
      <w:r w:rsidRPr="00FC0759">
        <w:rPr>
          <w:bCs/>
          <w:color w:val="000000" w:themeColor="text1"/>
          <w:kern w:val="0"/>
          <w:sz w:val="24"/>
          <w:szCs w:val="24"/>
        </w:rPr>
        <w:t>注：申购份额包括申购或者买入基金份额，赎回份额包括赎回或者卖出基金份额。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10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10.1 </w:t>
      </w:r>
      <w:r w:rsidRPr="00264E55">
        <w:rPr>
          <w:rFonts w:ascii="宋体" w:hAnsi="宋体" w:hint="eastAsia"/>
          <w:b/>
          <w:bCs/>
          <w:color w:val="000000"/>
          <w:kern w:val="0"/>
          <w:sz w:val="24"/>
          <w:szCs w:val="24"/>
        </w:rPr>
        <w:t>备查文件目录</w:t>
      </w:r>
    </w:p>
    <w:p w:rsidR="00A80156" w:rsidRDefault="006150EF">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中国证监会核准易方达沪深</w:t>
      </w:r>
      <w:r>
        <w:rPr>
          <w:color w:val="000000"/>
          <w:sz w:val="24"/>
          <w:szCs w:val="24"/>
        </w:rPr>
        <w:t>300</w:t>
      </w:r>
      <w:r>
        <w:rPr>
          <w:color w:val="000000"/>
          <w:sz w:val="24"/>
          <w:szCs w:val="24"/>
        </w:rPr>
        <w:t>交易型开放式指数发起式证券投资基金募集的文件；</w:t>
      </w:r>
    </w:p>
    <w:p w:rsidR="00A80156" w:rsidRDefault="006150EF">
      <w:pPr>
        <w:spacing w:line="360" w:lineRule="auto"/>
        <w:ind w:firstLineChars="200" w:firstLine="480"/>
        <w:rPr>
          <w:color w:val="000000"/>
          <w:sz w:val="24"/>
          <w:szCs w:val="24"/>
        </w:rPr>
      </w:pPr>
      <w:r>
        <w:rPr>
          <w:color w:val="000000"/>
          <w:sz w:val="24"/>
          <w:szCs w:val="24"/>
        </w:rPr>
        <w:t>2.</w:t>
      </w:r>
      <w:r>
        <w:rPr>
          <w:color w:val="000000"/>
          <w:sz w:val="24"/>
          <w:szCs w:val="24"/>
        </w:rPr>
        <w:t>《易方达沪深</w:t>
      </w:r>
      <w:r>
        <w:rPr>
          <w:color w:val="000000"/>
          <w:sz w:val="24"/>
          <w:szCs w:val="24"/>
        </w:rPr>
        <w:t>300</w:t>
      </w:r>
      <w:r>
        <w:rPr>
          <w:color w:val="000000"/>
          <w:sz w:val="24"/>
          <w:szCs w:val="24"/>
        </w:rPr>
        <w:t>交易型开放式指数发起式证券投资基金基金合同》；</w:t>
      </w:r>
    </w:p>
    <w:p w:rsidR="00A80156" w:rsidRDefault="006150EF">
      <w:pPr>
        <w:spacing w:line="360" w:lineRule="auto"/>
        <w:ind w:firstLineChars="200" w:firstLine="480"/>
        <w:rPr>
          <w:color w:val="000000"/>
          <w:sz w:val="24"/>
          <w:szCs w:val="24"/>
        </w:rPr>
      </w:pPr>
      <w:r>
        <w:rPr>
          <w:color w:val="000000"/>
          <w:sz w:val="24"/>
          <w:szCs w:val="24"/>
        </w:rPr>
        <w:t>3.</w:t>
      </w:r>
      <w:r>
        <w:rPr>
          <w:color w:val="000000"/>
          <w:sz w:val="24"/>
          <w:szCs w:val="24"/>
        </w:rPr>
        <w:t>《易方达沪深</w:t>
      </w:r>
      <w:r>
        <w:rPr>
          <w:color w:val="000000"/>
          <w:sz w:val="24"/>
          <w:szCs w:val="24"/>
        </w:rPr>
        <w:t>300</w:t>
      </w:r>
      <w:r>
        <w:rPr>
          <w:color w:val="000000"/>
          <w:sz w:val="24"/>
          <w:szCs w:val="24"/>
        </w:rPr>
        <w:t>交易型开放式指数发起式证券投资基金托管协议》；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4.</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150EF">
      <w:rPr>
        <w:rStyle w:val="a7"/>
        <w:noProof/>
      </w:rPr>
      <w:t>1</w:t>
    </w:r>
    <w:r>
      <w:rPr>
        <w:rStyle w:val="a7"/>
      </w:rPr>
      <w:fldChar w:fldCharType="end"/>
    </w:r>
    <w:r>
      <w:rPr>
        <w:rStyle w:val="a7"/>
        <w:rFonts w:hint="eastAsia"/>
      </w:rPr>
      <w:t>页共</w:t>
    </w:r>
    <w:r w:rsidR="006150EF">
      <w:fldChar w:fldCharType="begin"/>
    </w:r>
    <w:r w:rsidR="006150EF">
      <w:instrText xml:space="preserve"> NUMPAGES  \* Arabic  \* MERGEFORMAT </w:instrText>
    </w:r>
    <w:r w:rsidR="006150EF">
      <w:fldChar w:fldCharType="separate"/>
    </w:r>
    <w:r w:rsidR="006150EF" w:rsidRPr="006150EF">
      <w:rPr>
        <w:rStyle w:val="a7"/>
        <w:noProof/>
      </w:rPr>
      <w:t>3</w:t>
    </w:r>
    <w:r w:rsidR="006150EF">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150EF">
      <w:rPr>
        <w:rStyle w:val="a7"/>
        <w:noProof/>
      </w:rPr>
      <w:t>15</w:t>
    </w:r>
    <w:r>
      <w:rPr>
        <w:rStyle w:val="a7"/>
      </w:rPr>
      <w:fldChar w:fldCharType="end"/>
    </w:r>
    <w:r>
      <w:rPr>
        <w:rStyle w:val="a7"/>
        <w:rFonts w:hint="eastAsia"/>
      </w:rPr>
      <w:t>页共</w:t>
    </w:r>
    <w:fldSimple w:instr=" NUMPAGES  \* Arabic  \* MERGEFORMAT ">
      <w:r w:rsidR="006150EF" w:rsidRPr="006150EF">
        <w:rPr>
          <w:rStyle w:val="a7"/>
          <w:noProof/>
        </w:rPr>
        <w:t>15</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易方达沪深</w:t>
    </w:r>
    <w:r w:rsidRPr="00093704">
      <w:t>300</w:t>
    </w:r>
    <w:r w:rsidRPr="00093704">
      <w:t>交易型开放式指数发起式证券投资基金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150EF"/>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0156"/>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E258-84DA-4DA5-8635-E55A8B01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