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13F" w:rsidRPr="002149AE" w:rsidRDefault="00F5013F" w:rsidP="00397616">
      <w:pPr>
        <w:autoSpaceDE w:val="0"/>
        <w:autoSpaceDN w:val="0"/>
        <w:adjustRightInd w:val="0"/>
        <w:spacing w:line="360" w:lineRule="auto"/>
        <w:jc w:val="left"/>
        <w:rPr>
          <w:rFonts w:ascii="宋体" w:cs="Arial"/>
          <w:color w:val="000000"/>
          <w:kern w:val="0"/>
          <w:sz w:val="24"/>
        </w:rPr>
      </w:pPr>
      <w:bookmarkStart w:id="0" w:name="_GoBack"/>
      <w:bookmarkEnd w:id="0"/>
    </w:p>
    <w:p w:rsidR="00F5013F" w:rsidRPr="002149AE" w:rsidRDefault="00F5013F" w:rsidP="00397616">
      <w:pPr>
        <w:autoSpaceDE w:val="0"/>
        <w:autoSpaceDN w:val="0"/>
        <w:adjustRightInd w:val="0"/>
        <w:spacing w:line="360" w:lineRule="auto"/>
        <w:jc w:val="left"/>
        <w:rPr>
          <w:rFonts w:ascii="宋体" w:cs="Arial"/>
          <w:color w:val="000000"/>
          <w:kern w:val="0"/>
          <w:sz w:val="24"/>
        </w:rPr>
      </w:pPr>
    </w:p>
    <w:p w:rsidR="00F5013F" w:rsidRPr="002149AE" w:rsidRDefault="00F5013F" w:rsidP="00397616">
      <w:pPr>
        <w:autoSpaceDE w:val="0"/>
        <w:autoSpaceDN w:val="0"/>
        <w:adjustRightInd w:val="0"/>
        <w:spacing w:line="360" w:lineRule="auto"/>
        <w:jc w:val="left"/>
        <w:rPr>
          <w:rFonts w:ascii="宋体" w:cs="Arial"/>
          <w:color w:val="000000"/>
          <w:kern w:val="0"/>
          <w:sz w:val="24"/>
        </w:rPr>
      </w:pPr>
    </w:p>
    <w:p w:rsidR="00F5013F" w:rsidRPr="002149AE" w:rsidRDefault="00F5013F" w:rsidP="00F22F00">
      <w:pPr>
        <w:autoSpaceDE w:val="0"/>
        <w:autoSpaceDN w:val="0"/>
        <w:adjustRightInd w:val="0"/>
        <w:spacing w:line="360" w:lineRule="auto"/>
        <w:jc w:val="left"/>
        <w:rPr>
          <w:rFonts w:ascii="宋体" w:cs="Arial"/>
          <w:color w:val="000000"/>
          <w:kern w:val="0"/>
          <w:sz w:val="24"/>
        </w:rPr>
      </w:pPr>
    </w:p>
    <w:p w:rsidR="00F5013F" w:rsidRPr="002149AE" w:rsidRDefault="00F5013F" w:rsidP="00506D57">
      <w:pPr>
        <w:spacing w:line="360" w:lineRule="auto"/>
        <w:jc w:val="center"/>
        <w:rPr>
          <w:rFonts w:ascii="宋体" w:hAnsi="宋体"/>
          <w:b/>
          <w:sz w:val="36"/>
          <w:szCs w:val="36"/>
        </w:rPr>
      </w:pPr>
      <w:r w:rsidRPr="002149AE">
        <w:rPr>
          <w:rFonts w:ascii="宋体" w:hAnsi="宋体"/>
          <w:b/>
          <w:sz w:val="36"/>
          <w:szCs w:val="36"/>
        </w:rPr>
        <w:t>易方达恒生中国企业交易型开放式指数证券投资基金</w:t>
      </w:r>
    </w:p>
    <w:p w:rsidR="00F5013F" w:rsidRPr="002149AE" w:rsidRDefault="00F5013F" w:rsidP="00506D57">
      <w:pPr>
        <w:spacing w:line="360" w:lineRule="auto"/>
        <w:jc w:val="center"/>
        <w:rPr>
          <w:rFonts w:ascii="宋体" w:hAnsi="宋体"/>
          <w:b/>
          <w:sz w:val="36"/>
          <w:szCs w:val="36"/>
        </w:rPr>
      </w:pPr>
      <w:r w:rsidRPr="002149AE">
        <w:rPr>
          <w:rFonts w:ascii="宋体" w:hAnsi="宋体"/>
          <w:b/>
          <w:sz w:val="36"/>
          <w:szCs w:val="36"/>
        </w:rPr>
        <w:t>2019年第3季度报告</w:t>
      </w:r>
    </w:p>
    <w:p w:rsidR="00F5013F" w:rsidRPr="00CA4176" w:rsidRDefault="00F5013F" w:rsidP="00506D57">
      <w:pPr>
        <w:spacing w:line="360" w:lineRule="auto"/>
        <w:jc w:val="center"/>
        <w:rPr>
          <w:rFonts w:ascii="宋体" w:hAnsi="宋体"/>
          <w:b/>
          <w:sz w:val="24"/>
          <w:szCs w:val="36"/>
        </w:rPr>
      </w:pPr>
      <w:r w:rsidRPr="00CA4176">
        <w:rPr>
          <w:rFonts w:ascii="宋体" w:hAnsi="宋体"/>
          <w:b/>
          <w:sz w:val="24"/>
          <w:szCs w:val="36"/>
        </w:rPr>
        <w:t>2019年9月30日</w:t>
      </w: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0C6EE5"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397616">
      <w:pPr>
        <w:spacing w:line="360" w:lineRule="auto"/>
        <w:jc w:val="center"/>
        <w:rPr>
          <w:rFonts w:ascii="宋体"/>
          <w:b/>
          <w:color w:val="000000"/>
          <w:sz w:val="24"/>
        </w:rPr>
      </w:pPr>
    </w:p>
    <w:p w:rsidR="00F5013F" w:rsidRPr="002149AE" w:rsidRDefault="00F5013F" w:rsidP="00547F92">
      <w:pPr>
        <w:spacing w:line="288" w:lineRule="auto"/>
        <w:ind w:firstLineChars="900" w:firstLine="2168"/>
        <w:rPr>
          <w:rFonts w:ascii="宋体"/>
          <w:b/>
          <w:color w:val="000000"/>
          <w:sz w:val="24"/>
        </w:rPr>
      </w:pPr>
    </w:p>
    <w:p w:rsidR="00F5013F" w:rsidRPr="002149AE" w:rsidRDefault="00F5013F" w:rsidP="00547F92">
      <w:pPr>
        <w:spacing w:line="360" w:lineRule="auto"/>
        <w:ind w:firstLineChars="900" w:firstLine="2168"/>
        <w:rPr>
          <w:rFonts w:ascii="宋体" w:hAnsi="宋体"/>
          <w:b/>
          <w:color w:val="000000"/>
          <w:sz w:val="24"/>
        </w:rPr>
      </w:pPr>
      <w:r w:rsidRPr="002149AE">
        <w:rPr>
          <w:rFonts w:ascii="宋体" w:hAnsi="宋体" w:hint="eastAsia"/>
          <w:b/>
          <w:color w:val="000000"/>
          <w:sz w:val="24"/>
        </w:rPr>
        <w:t>基金管理人：</w:t>
      </w:r>
      <w:r w:rsidRPr="002149AE">
        <w:rPr>
          <w:rFonts w:ascii="宋体" w:hAnsi="宋体"/>
          <w:b/>
          <w:color w:val="000000"/>
          <w:sz w:val="24"/>
        </w:rPr>
        <w:t>易方达基金管理有限公司</w:t>
      </w:r>
    </w:p>
    <w:p w:rsidR="00F5013F" w:rsidRPr="002149AE" w:rsidRDefault="00F5013F" w:rsidP="00547F92">
      <w:pPr>
        <w:spacing w:line="360" w:lineRule="auto"/>
        <w:ind w:firstLineChars="900" w:firstLine="2168"/>
        <w:rPr>
          <w:rFonts w:ascii="宋体" w:hAnsi="宋体"/>
          <w:b/>
          <w:color w:val="000000"/>
          <w:sz w:val="24"/>
        </w:rPr>
      </w:pPr>
      <w:r w:rsidRPr="002149AE">
        <w:rPr>
          <w:rFonts w:ascii="宋体" w:hAnsi="宋体" w:hint="eastAsia"/>
          <w:b/>
          <w:color w:val="000000"/>
          <w:sz w:val="24"/>
        </w:rPr>
        <w:t>基金托管人：</w:t>
      </w:r>
      <w:r w:rsidRPr="002149AE">
        <w:rPr>
          <w:rFonts w:ascii="宋体" w:hAnsi="宋体"/>
          <w:b/>
          <w:color w:val="000000"/>
          <w:sz w:val="24"/>
        </w:rPr>
        <w:t>交通银行股份有限公司</w:t>
      </w:r>
    </w:p>
    <w:p w:rsidR="00F5013F" w:rsidRPr="002149AE" w:rsidRDefault="00F5013F" w:rsidP="00547F92">
      <w:pPr>
        <w:spacing w:line="360" w:lineRule="auto"/>
        <w:ind w:firstLineChars="900" w:firstLine="2168"/>
        <w:rPr>
          <w:rFonts w:ascii="宋体" w:hAnsi="宋体"/>
          <w:b/>
          <w:color w:val="000000"/>
          <w:sz w:val="24"/>
        </w:rPr>
        <w:sectPr w:rsidR="00F5013F" w:rsidRPr="002149AE" w:rsidSect="00B918B8">
          <w:headerReference w:type="default" r:id="rId7"/>
          <w:footerReference w:type="default" r:id="rId8"/>
          <w:pgSz w:w="11926" w:h="15840"/>
          <w:pgMar w:top="1418" w:right="1418" w:bottom="851" w:left="1418" w:header="851" w:footer="992" w:gutter="0"/>
          <w:cols w:space="720"/>
          <w:noEndnote/>
        </w:sectPr>
      </w:pPr>
      <w:r w:rsidRPr="002149AE">
        <w:rPr>
          <w:rFonts w:ascii="宋体" w:hAnsi="宋体" w:hint="eastAsia"/>
          <w:b/>
          <w:color w:val="000000"/>
          <w:sz w:val="24"/>
        </w:rPr>
        <w:t>报告送出日期：</w:t>
      </w:r>
      <w:r w:rsidRPr="002149AE">
        <w:rPr>
          <w:rFonts w:ascii="宋体" w:hAnsi="宋体"/>
          <w:b/>
          <w:color w:val="000000"/>
          <w:sz w:val="24"/>
        </w:rPr>
        <w:t>二〇一九年十月二十四日</w:t>
      </w:r>
    </w:p>
    <w:p w:rsidR="00F5013F" w:rsidRPr="006506EF" w:rsidRDefault="00F5013F" w:rsidP="00543B38">
      <w:pPr>
        <w:pStyle w:val="1"/>
        <w:spacing w:beforeLines="100" w:before="312" w:afterLines="100" w:after="312" w:line="360" w:lineRule="auto"/>
        <w:jc w:val="center"/>
        <w:rPr>
          <w:b w:val="0"/>
          <w:color w:val="000000"/>
          <w:kern w:val="0"/>
          <w:sz w:val="24"/>
          <w:szCs w:val="24"/>
        </w:rPr>
      </w:pPr>
      <w:r w:rsidRPr="006506EF">
        <w:rPr>
          <w:color w:val="000000"/>
          <w:kern w:val="0"/>
          <w:sz w:val="24"/>
          <w:szCs w:val="24"/>
        </w:rPr>
        <w:lastRenderedPageBreak/>
        <w:t xml:space="preserve">§1  </w:t>
      </w:r>
      <w:r w:rsidRPr="006506EF">
        <w:rPr>
          <w:color w:val="000000"/>
          <w:kern w:val="0"/>
          <w:sz w:val="24"/>
          <w:szCs w:val="24"/>
        </w:rPr>
        <w:t>重要提示</w:t>
      </w:r>
    </w:p>
    <w:p w:rsidR="00BF1026" w:rsidRDefault="001E430A">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BF1026" w:rsidRDefault="001E430A">
      <w:pPr>
        <w:spacing w:line="360" w:lineRule="auto"/>
        <w:ind w:firstLineChars="200" w:firstLine="480"/>
        <w:rPr>
          <w:color w:val="000000"/>
          <w:sz w:val="24"/>
        </w:rPr>
      </w:pPr>
      <w:r>
        <w:rPr>
          <w:color w:val="000000"/>
          <w:sz w:val="24"/>
        </w:rPr>
        <w:t>基金托管人交通银行股份有限公司根据本基金合同规定，于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BF1026" w:rsidRDefault="001E430A">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BF1026" w:rsidRDefault="001E430A">
      <w:pPr>
        <w:spacing w:line="360" w:lineRule="auto"/>
        <w:ind w:firstLineChars="200" w:firstLine="480"/>
        <w:rPr>
          <w:color w:val="000000"/>
          <w:sz w:val="24"/>
        </w:rPr>
      </w:pPr>
      <w:r>
        <w:rPr>
          <w:color w:val="000000"/>
          <w:sz w:val="24"/>
        </w:rPr>
        <w:t>基金的过往业绩并不代表其未来表现。投资有风险，</w:t>
      </w:r>
      <w:r>
        <w:rPr>
          <w:color w:val="000000"/>
          <w:sz w:val="24"/>
        </w:rPr>
        <w:t>投资者在作出投资决策前应仔细阅读本基金的招募说明书。</w:t>
      </w:r>
      <w:r>
        <w:rPr>
          <w:color w:val="000000"/>
          <w:sz w:val="24"/>
        </w:rPr>
        <w:t xml:space="preserve"> </w:t>
      </w:r>
    </w:p>
    <w:p w:rsidR="00BF1026" w:rsidRDefault="001E430A">
      <w:pPr>
        <w:spacing w:line="360" w:lineRule="auto"/>
        <w:ind w:firstLineChars="200" w:firstLine="480"/>
        <w:rPr>
          <w:color w:val="000000"/>
          <w:sz w:val="24"/>
        </w:rPr>
      </w:pPr>
      <w:r>
        <w:rPr>
          <w:color w:val="000000"/>
          <w:sz w:val="24"/>
        </w:rPr>
        <w:t>本报告中财务资料未经审计。</w:t>
      </w:r>
    </w:p>
    <w:p w:rsidR="00F5013F" w:rsidRPr="006506EF" w:rsidRDefault="00F5013F" w:rsidP="00547F92">
      <w:pPr>
        <w:spacing w:line="360" w:lineRule="auto"/>
        <w:ind w:firstLineChars="200" w:firstLine="480"/>
        <w:rPr>
          <w:color w:val="000000"/>
          <w:sz w:val="24"/>
        </w:rPr>
      </w:pPr>
      <w:r w:rsidRPr="006506EF">
        <w:rPr>
          <w:color w:val="000000"/>
          <w:sz w:val="24"/>
        </w:rPr>
        <w:t>本报告期自</w:t>
      </w: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日起至</w:t>
      </w:r>
      <w:r w:rsidRPr="006506EF">
        <w:rPr>
          <w:color w:val="000000"/>
          <w:sz w:val="24"/>
        </w:rPr>
        <w:t>9</w:t>
      </w:r>
      <w:r w:rsidRPr="006506EF">
        <w:rPr>
          <w:color w:val="000000"/>
          <w:sz w:val="24"/>
        </w:rPr>
        <w:t>月</w:t>
      </w:r>
      <w:r w:rsidRPr="006506EF">
        <w:rPr>
          <w:color w:val="000000"/>
          <w:sz w:val="24"/>
        </w:rPr>
        <w:t>30</w:t>
      </w:r>
      <w:r w:rsidRPr="006506EF">
        <w:rPr>
          <w:color w:val="000000"/>
          <w:sz w:val="24"/>
        </w:rPr>
        <w:t>日止。</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§2  </w:t>
      </w:r>
      <w:r w:rsidRPr="006506EF">
        <w:rPr>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5443"/>
      </w:tblGrid>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基金简称</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易方达恒生国企（</w:t>
            </w:r>
            <w:r w:rsidRPr="006506EF">
              <w:rPr>
                <w:color w:val="000000"/>
                <w:kern w:val="0"/>
                <w:sz w:val="24"/>
              </w:rPr>
              <w:t>QDII-ETF</w:t>
            </w:r>
            <w:r w:rsidRPr="006506EF">
              <w:rPr>
                <w:color w:val="000000"/>
                <w:kern w:val="0"/>
                <w:sz w:val="24"/>
              </w:rPr>
              <w:t>）</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场内简称</w:t>
            </w:r>
          </w:p>
        </w:tc>
        <w:tc>
          <w:tcPr>
            <w:tcW w:w="5443" w:type="dxa"/>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H</w:t>
            </w:r>
            <w:r w:rsidRPr="006506EF">
              <w:rPr>
                <w:kern w:val="0"/>
                <w:sz w:val="24"/>
              </w:rPr>
              <w:t>股</w:t>
            </w:r>
            <w:r w:rsidRPr="006506EF">
              <w:rPr>
                <w:kern w:val="0"/>
                <w:sz w:val="24"/>
              </w:rPr>
              <w:t>ETF</w:t>
            </w:r>
          </w:p>
        </w:tc>
      </w:tr>
      <w:tr w:rsidR="002E6FB9" w:rsidRPr="006506EF" w:rsidTr="0063648A">
        <w:tc>
          <w:tcPr>
            <w:tcW w:w="2977" w:type="dxa"/>
          </w:tcPr>
          <w:p w:rsidR="002E6FB9" w:rsidRPr="006506EF" w:rsidRDefault="002E6FB9" w:rsidP="0063648A">
            <w:pPr>
              <w:adjustRightInd w:val="0"/>
              <w:spacing w:before="29" w:line="360" w:lineRule="auto"/>
              <w:ind w:left="17"/>
              <w:jc w:val="left"/>
              <w:rPr>
                <w:kern w:val="0"/>
                <w:sz w:val="24"/>
              </w:rPr>
            </w:pPr>
            <w:r w:rsidRPr="006506EF">
              <w:rPr>
                <w:kern w:val="0"/>
                <w:sz w:val="24"/>
              </w:rPr>
              <w:t>基金主代码</w:t>
            </w:r>
          </w:p>
        </w:tc>
        <w:tc>
          <w:tcPr>
            <w:tcW w:w="5443" w:type="dxa"/>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510900</w:t>
            </w:r>
          </w:p>
        </w:tc>
      </w:tr>
      <w:tr w:rsidR="002E6FB9" w:rsidRPr="006506EF" w:rsidTr="0063648A">
        <w:tc>
          <w:tcPr>
            <w:tcW w:w="2977" w:type="dxa"/>
          </w:tcPr>
          <w:p w:rsidR="002E6FB9" w:rsidRPr="006506EF" w:rsidRDefault="002E6FB9" w:rsidP="0063648A">
            <w:pPr>
              <w:adjustRightInd w:val="0"/>
              <w:spacing w:before="29" w:line="360" w:lineRule="auto"/>
              <w:ind w:left="17"/>
              <w:jc w:val="left"/>
              <w:rPr>
                <w:kern w:val="0"/>
                <w:sz w:val="24"/>
              </w:rPr>
            </w:pPr>
            <w:r w:rsidRPr="006506EF">
              <w:rPr>
                <w:kern w:val="0"/>
                <w:sz w:val="24"/>
              </w:rPr>
              <w:t>交易代码</w:t>
            </w:r>
          </w:p>
        </w:tc>
        <w:tc>
          <w:tcPr>
            <w:tcW w:w="5443" w:type="dxa"/>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510900</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基金运作方式</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交易型开放式（</w:t>
            </w:r>
            <w:r w:rsidRPr="006506EF">
              <w:rPr>
                <w:color w:val="000000"/>
                <w:kern w:val="0"/>
                <w:sz w:val="24"/>
              </w:rPr>
              <w:t>ETF</w:t>
            </w:r>
            <w:r w:rsidRPr="006506EF">
              <w:rPr>
                <w:color w:val="000000"/>
                <w:kern w:val="0"/>
                <w:sz w:val="24"/>
              </w:rPr>
              <w:t>）</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基金合同生效日</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color w:val="000000"/>
                <w:kern w:val="0"/>
                <w:sz w:val="24"/>
              </w:rPr>
              <w:t>2012</w:t>
            </w:r>
            <w:r w:rsidRPr="006506EF">
              <w:rPr>
                <w:color w:val="000000"/>
                <w:kern w:val="0"/>
                <w:sz w:val="24"/>
              </w:rPr>
              <w:t>年</w:t>
            </w:r>
            <w:r w:rsidRPr="006506EF">
              <w:rPr>
                <w:color w:val="000000"/>
                <w:kern w:val="0"/>
                <w:sz w:val="24"/>
              </w:rPr>
              <w:t>8</w:t>
            </w:r>
            <w:r w:rsidRPr="006506EF">
              <w:rPr>
                <w:color w:val="000000"/>
                <w:kern w:val="0"/>
                <w:sz w:val="24"/>
              </w:rPr>
              <w:t>月</w:t>
            </w:r>
            <w:r w:rsidRPr="006506EF">
              <w:rPr>
                <w:color w:val="000000"/>
                <w:kern w:val="0"/>
                <w:sz w:val="24"/>
              </w:rPr>
              <w:t>9</w:t>
            </w:r>
            <w:r w:rsidRPr="006506EF">
              <w:rPr>
                <w:color w:val="000000"/>
                <w:kern w:val="0"/>
                <w:sz w:val="24"/>
              </w:rPr>
              <w:t>日</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报告期末基金份额总额</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7,531,021,934.00</w:t>
            </w:r>
            <w:r w:rsidRPr="006506EF">
              <w:rPr>
                <w:color w:val="000000"/>
                <w:kern w:val="0"/>
                <w:sz w:val="24"/>
              </w:rPr>
              <w:t>份</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投资目标</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紧密跟踪标的指数，追求跟踪偏离度及跟踪误差的最小化。</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投资策略</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本基金主要采取组合复制策略和适当的替代性策略实现对标的指数的紧密跟踪。同时，本基金可适当借出证券，以更好实现本基金的投资目标。本基金主要采取完全复制法进行投资，即参考恒生中国</w:t>
            </w:r>
            <w:r w:rsidRPr="006506EF">
              <w:rPr>
                <w:color w:val="000000"/>
                <w:kern w:val="0"/>
                <w:sz w:val="24"/>
              </w:rPr>
              <w:lastRenderedPageBreak/>
              <w:t>企业指数的成份股组成及权重构建股票投资组合，并根据恒生中国企业指数的成份股组成及权重变动对股票投资组合进行相应调整。当市场流动性不足、法规规定本基金不能投资关联方股票等情况导致本基金无法按照指数构成及权重进行组合构建时，基金管理人将通过投资其他成份股、非成份股、成份股个股衍生品进行替代。为进行流动性管理、应付赎回、降低跟踪误差以及提高投资效率，本基金可投资恒生</w:t>
            </w:r>
            <w:r w:rsidRPr="006506EF">
              <w:rPr>
                <w:color w:val="000000"/>
                <w:kern w:val="0"/>
                <w:sz w:val="24"/>
              </w:rPr>
              <w:t>H</w:t>
            </w:r>
            <w:r w:rsidRPr="006506EF">
              <w:rPr>
                <w:color w:val="000000"/>
                <w:kern w:val="0"/>
                <w:sz w:val="24"/>
              </w:rPr>
              <w:t>股指数期货或期权等金融衍生工具。本基金力争将年化跟踪误差控制在</w:t>
            </w:r>
            <w:r w:rsidRPr="006506EF">
              <w:rPr>
                <w:color w:val="000000"/>
                <w:kern w:val="0"/>
                <w:sz w:val="24"/>
              </w:rPr>
              <w:t>3%</w:t>
            </w:r>
            <w:r w:rsidRPr="006506EF">
              <w:rPr>
                <w:color w:val="000000"/>
                <w:kern w:val="0"/>
                <w:sz w:val="24"/>
              </w:rPr>
              <w:t>以内。</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lastRenderedPageBreak/>
              <w:t>业绩比较基准</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恒生中国企业指数（使用估值汇率折算）</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风险收益特征</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本基金属股票指数基金，预期风险与收益水平高于混合基金、债券基金与货币市场基金。本基金主要采用完全复制法跟踪标的指数的表现，具有与标的指数相似的风险收益特征。本基金主要投资香港证券市场上市的中国企业，需承担汇率风险以及境外市场的风险。</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基金管理人</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易方达基金管理有限公司</w:t>
            </w:r>
          </w:p>
        </w:tc>
      </w:tr>
      <w:tr w:rsidR="002E6FB9" w:rsidRPr="006506EF" w:rsidTr="0063648A">
        <w:tc>
          <w:tcPr>
            <w:tcW w:w="2977" w:type="dxa"/>
            <w:vAlign w:val="center"/>
          </w:tcPr>
          <w:p w:rsidR="002E6FB9" w:rsidRPr="006506EF" w:rsidRDefault="002E6FB9" w:rsidP="0063648A">
            <w:pPr>
              <w:adjustRightInd w:val="0"/>
              <w:spacing w:before="29" w:line="360" w:lineRule="auto"/>
              <w:ind w:left="17"/>
              <w:jc w:val="left"/>
              <w:rPr>
                <w:sz w:val="24"/>
              </w:rPr>
            </w:pPr>
            <w:r w:rsidRPr="006506EF">
              <w:rPr>
                <w:kern w:val="0"/>
                <w:sz w:val="24"/>
              </w:rPr>
              <w:t>基金托管人</w:t>
            </w:r>
          </w:p>
        </w:tc>
        <w:tc>
          <w:tcPr>
            <w:tcW w:w="5443" w:type="dxa"/>
            <w:vAlign w:val="center"/>
          </w:tcPr>
          <w:p w:rsidR="002E6FB9" w:rsidRPr="006506EF" w:rsidRDefault="002E6FB9" w:rsidP="0063648A">
            <w:pPr>
              <w:adjustRightInd w:val="0"/>
              <w:spacing w:before="29" w:line="360" w:lineRule="auto"/>
              <w:ind w:left="17"/>
              <w:jc w:val="left"/>
              <w:rPr>
                <w:color w:val="000000"/>
                <w:sz w:val="24"/>
              </w:rPr>
            </w:pPr>
            <w:r w:rsidRPr="006506EF">
              <w:rPr>
                <w:color w:val="000000"/>
                <w:kern w:val="0"/>
                <w:sz w:val="24"/>
              </w:rPr>
              <w:t>交通银行股份有限公司</w:t>
            </w:r>
          </w:p>
        </w:tc>
      </w:tr>
      <w:tr w:rsidR="002E6FB9" w:rsidRPr="006506EF" w:rsidTr="0063648A">
        <w:tc>
          <w:tcPr>
            <w:tcW w:w="2977" w:type="dxa"/>
            <w:vMerge w:val="restart"/>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境外投资顾问</w:t>
            </w: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英文名称</w:t>
            </w:r>
            <w:r>
              <w:rPr>
                <w:kern w:val="0"/>
                <w:sz w:val="24"/>
              </w:rPr>
              <w:t>：</w:t>
            </w:r>
            <w:r w:rsidRPr="006506EF">
              <w:rPr>
                <w:color w:val="000000"/>
                <w:kern w:val="0"/>
                <w:sz w:val="24"/>
              </w:rPr>
              <w:t>无</w:t>
            </w:r>
          </w:p>
        </w:tc>
      </w:tr>
      <w:tr w:rsidR="002E6FB9" w:rsidRPr="006506EF" w:rsidTr="0063648A">
        <w:tc>
          <w:tcPr>
            <w:tcW w:w="2977" w:type="dxa"/>
            <w:vMerge/>
            <w:vAlign w:val="center"/>
          </w:tcPr>
          <w:p w:rsidR="002E6FB9" w:rsidRPr="006506EF" w:rsidRDefault="002E6FB9" w:rsidP="0063648A">
            <w:pPr>
              <w:adjustRightInd w:val="0"/>
              <w:spacing w:before="29" w:line="360" w:lineRule="auto"/>
              <w:jc w:val="left"/>
              <w:rPr>
                <w:kern w:val="0"/>
                <w:sz w:val="24"/>
              </w:rPr>
            </w:pPr>
          </w:p>
        </w:tc>
        <w:tc>
          <w:tcPr>
            <w:tcW w:w="5443" w:type="dxa"/>
            <w:vAlign w:val="center"/>
          </w:tcPr>
          <w:p w:rsidR="002E6FB9" w:rsidRPr="006506EF" w:rsidRDefault="002E6FB9" w:rsidP="0063648A">
            <w:pPr>
              <w:adjustRightInd w:val="0"/>
              <w:spacing w:before="29" w:line="360" w:lineRule="auto"/>
              <w:ind w:left="17"/>
              <w:jc w:val="left"/>
              <w:rPr>
                <w:color w:val="000000"/>
                <w:kern w:val="0"/>
                <w:sz w:val="24"/>
              </w:rPr>
            </w:pPr>
            <w:r w:rsidRPr="006506EF">
              <w:rPr>
                <w:kern w:val="0"/>
                <w:sz w:val="24"/>
              </w:rPr>
              <w:t>中文名称</w:t>
            </w:r>
            <w:r>
              <w:rPr>
                <w:kern w:val="0"/>
                <w:sz w:val="24"/>
              </w:rPr>
              <w:t>：</w:t>
            </w:r>
            <w:r w:rsidRPr="006506EF">
              <w:rPr>
                <w:color w:val="000000"/>
                <w:kern w:val="0"/>
                <w:sz w:val="24"/>
              </w:rPr>
              <w:t>无</w:t>
            </w:r>
          </w:p>
        </w:tc>
      </w:tr>
      <w:tr w:rsidR="002E6FB9" w:rsidRPr="006506EF" w:rsidTr="0063648A">
        <w:tc>
          <w:tcPr>
            <w:tcW w:w="2977" w:type="dxa"/>
            <w:vMerge w:val="restart"/>
            <w:vAlign w:val="center"/>
          </w:tcPr>
          <w:p w:rsidR="002E6FB9" w:rsidRPr="006506EF" w:rsidRDefault="002E6FB9" w:rsidP="0063648A">
            <w:pPr>
              <w:adjustRightInd w:val="0"/>
              <w:spacing w:before="29" w:line="360" w:lineRule="auto"/>
              <w:ind w:left="17"/>
              <w:jc w:val="left"/>
              <w:rPr>
                <w:kern w:val="0"/>
                <w:sz w:val="24"/>
              </w:rPr>
            </w:pPr>
            <w:r w:rsidRPr="006506EF">
              <w:rPr>
                <w:kern w:val="0"/>
                <w:sz w:val="24"/>
              </w:rPr>
              <w:t>境外资产托管人</w:t>
            </w:r>
          </w:p>
        </w:tc>
        <w:tc>
          <w:tcPr>
            <w:tcW w:w="5443" w:type="dxa"/>
            <w:vAlign w:val="center"/>
          </w:tcPr>
          <w:p w:rsidR="002E6FB9" w:rsidRPr="006506EF" w:rsidRDefault="002E6FB9" w:rsidP="00A53DD8">
            <w:pPr>
              <w:adjustRightInd w:val="0"/>
              <w:spacing w:before="29" w:line="360" w:lineRule="auto"/>
              <w:ind w:left="17"/>
              <w:jc w:val="left"/>
              <w:rPr>
                <w:color w:val="000000"/>
                <w:kern w:val="0"/>
                <w:sz w:val="24"/>
              </w:rPr>
            </w:pPr>
            <w:r w:rsidRPr="006506EF">
              <w:rPr>
                <w:kern w:val="0"/>
                <w:sz w:val="24"/>
              </w:rPr>
              <w:t>英文名称</w:t>
            </w:r>
            <w:r>
              <w:rPr>
                <w:kern w:val="0"/>
                <w:sz w:val="24"/>
              </w:rPr>
              <w:t>：</w:t>
            </w:r>
            <w:r w:rsidRPr="006506EF">
              <w:rPr>
                <w:color w:val="000000"/>
                <w:kern w:val="0"/>
                <w:sz w:val="24"/>
              </w:rPr>
              <w:t>The Hongkong and Shanghai Banking Corporation Limited</w:t>
            </w:r>
          </w:p>
        </w:tc>
      </w:tr>
      <w:tr w:rsidR="002E6FB9" w:rsidRPr="006506EF" w:rsidTr="0063648A">
        <w:tc>
          <w:tcPr>
            <w:tcW w:w="2977" w:type="dxa"/>
            <w:vMerge/>
            <w:vAlign w:val="center"/>
          </w:tcPr>
          <w:p w:rsidR="002E6FB9" w:rsidRPr="006506EF" w:rsidRDefault="002E6FB9" w:rsidP="0063648A">
            <w:pPr>
              <w:adjustRightInd w:val="0"/>
              <w:spacing w:before="29" w:line="360" w:lineRule="auto"/>
              <w:ind w:left="17"/>
              <w:jc w:val="left"/>
              <w:rPr>
                <w:kern w:val="0"/>
                <w:sz w:val="24"/>
              </w:rPr>
            </w:pPr>
          </w:p>
        </w:tc>
        <w:tc>
          <w:tcPr>
            <w:tcW w:w="5443" w:type="dxa"/>
            <w:vAlign w:val="center"/>
          </w:tcPr>
          <w:p w:rsidR="002E6FB9" w:rsidRPr="006506EF" w:rsidRDefault="002E6FB9" w:rsidP="00F23F0E">
            <w:pPr>
              <w:adjustRightInd w:val="0"/>
              <w:spacing w:before="29" w:line="360" w:lineRule="auto"/>
              <w:ind w:left="17"/>
              <w:jc w:val="left"/>
              <w:rPr>
                <w:color w:val="000000"/>
                <w:kern w:val="0"/>
                <w:sz w:val="24"/>
              </w:rPr>
            </w:pPr>
            <w:r w:rsidRPr="006506EF">
              <w:rPr>
                <w:kern w:val="0"/>
                <w:sz w:val="24"/>
              </w:rPr>
              <w:t>中文名称</w:t>
            </w:r>
            <w:r>
              <w:rPr>
                <w:kern w:val="0"/>
                <w:sz w:val="24"/>
              </w:rPr>
              <w:t>：</w:t>
            </w:r>
            <w:r w:rsidR="00A53DD8" w:rsidRPr="006506EF">
              <w:rPr>
                <w:color w:val="000000"/>
                <w:kern w:val="0"/>
                <w:sz w:val="24"/>
              </w:rPr>
              <w:t xml:space="preserve"> </w:t>
            </w:r>
            <w:r w:rsidRPr="006506EF">
              <w:rPr>
                <w:color w:val="000000"/>
                <w:kern w:val="0"/>
                <w:sz w:val="24"/>
              </w:rPr>
              <w:t>香港上海汇丰银行有限公司</w:t>
            </w:r>
          </w:p>
        </w:tc>
      </w:tr>
    </w:tbl>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§3  </w:t>
      </w:r>
      <w:r w:rsidRPr="006506EF">
        <w:rPr>
          <w:color w:val="000000"/>
          <w:kern w:val="0"/>
          <w:sz w:val="24"/>
          <w:szCs w:val="24"/>
        </w:rPr>
        <w:t>主要财务指标和基金净值表现</w:t>
      </w:r>
    </w:p>
    <w:p w:rsidR="00F5013F" w:rsidRPr="006506EF" w:rsidRDefault="00F5013F" w:rsidP="00506D57">
      <w:pPr>
        <w:autoSpaceDE w:val="0"/>
        <w:autoSpaceDN w:val="0"/>
        <w:adjustRightInd w:val="0"/>
        <w:spacing w:line="360" w:lineRule="auto"/>
        <w:jc w:val="left"/>
        <w:rPr>
          <w:b/>
          <w:color w:val="000000"/>
          <w:kern w:val="0"/>
          <w:sz w:val="24"/>
        </w:rPr>
      </w:pPr>
      <w:r w:rsidRPr="006506EF">
        <w:rPr>
          <w:b/>
          <w:color w:val="000000"/>
          <w:kern w:val="0"/>
          <w:sz w:val="24"/>
        </w:rPr>
        <w:t xml:space="preserve">3.1 </w:t>
      </w:r>
      <w:r w:rsidRPr="006506EF">
        <w:rPr>
          <w:b/>
          <w:color w:val="000000"/>
          <w:kern w:val="0"/>
          <w:sz w:val="24"/>
        </w:rPr>
        <w:t>主要财务指标</w:t>
      </w:r>
    </w:p>
    <w:p w:rsidR="00F5013F" w:rsidRPr="006506EF" w:rsidRDefault="00F5013F" w:rsidP="008B6A4A">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F5013F" w:rsidRPr="006506EF" w:rsidTr="00B918B8">
        <w:tc>
          <w:tcPr>
            <w:tcW w:w="3402" w:type="dxa"/>
            <w:vAlign w:val="center"/>
          </w:tcPr>
          <w:p w:rsidR="00F5013F" w:rsidRPr="006506EF" w:rsidRDefault="00F5013F" w:rsidP="00B918B8">
            <w:pPr>
              <w:adjustRightInd w:val="0"/>
              <w:spacing w:before="29" w:line="360" w:lineRule="auto"/>
              <w:ind w:left="17"/>
              <w:jc w:val="center"/>
              <w:rPr>
                <w:kern w:val="0"/>
                <w:sz w:val="24"/>
              </w:rPr>
            </w:pPr>
            <w:r w:rsidRPr="006506EF">
              <w:rPr>
                <w:kern w:val="0"/>
                <w:sz w:val="24"/>
              </w:rPr>
              <w:lastRenderedPageBreak/>
              <w:t>主要财务指标</w:t>
            </w:r>
          </w:p>
        </w:tc>
        <w:tc>
          <w:tcPr>
            <w:tcW w:w="4962" w:type="dxa"/>
            <w:hMerge w:val="restart"/>
            <w:vAlign w:val="center"/>
          </w:tcPr>
          <w:p w:rsidR="00F5013F" w:rsidRPr="006506EF" w:rsidRDefault="00F5013F" w:rsidP="000306F0">
            <w:pPr>
              <w:adjustRightInd w:val="0"/>
              <w:spacing w:before="29" w:line="360" w:lineRule="auto"/>
              <w:ind w:left="17"/>
              <w:jc w:val="center"/>
              <w:rPr>
                <w:color w:val="000000"/>
                <w:sz w:val="24"/>
              </w:rPr>
            </w:pPr>
            <w:r w:rsidRPr="006506EF">
              <w:rPr>
                <w:color w:val="000000"/>
                <w:sz w:val="24"/>
              </w:rPr>
              <w:t>报告期</w:t>
            </w:r>
          </w:p>
          <w:p w:rsidR="00F5013F" w:rsidRPr="006506EF" w:rsidRDefault="00F5013F" w:rsidP="000306F0">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F5013F" w:rsidRPr="006506EF" w:rsidRDefault="00F5013F" w:rsidP="00B918B8">
            <w:pPr>
              <w:adjustRightInd w:val="0"/>
              <w:spacing w:before="29" w:line="360" w:lineRule="auto"/>
              <w:ind w:left="17"/>
              <w:jc w:val="center"/>
              <w:rPr>
                <w:color w:val="000000"/>
                <w:sz w:val="24"/>
              </w:rPr>
            </w:pPr>
            <w:r w:rsidRPr="006506EF">
              <w:rPr>
                <w:color w:val="000000"/>
                <w:sz w:val="24"/>
              </w:rPr>
              <w:t>上期金额</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33,673,916.59</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-232,438,864.15</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-0.0374</w:t>
            </w:r>
          </w:p>
        </w:tc>
        <w:tc>
          <w:tcPr>
            <w:tcW w:w="2410" w:type="dxa"/>
            <w:hMerge/>
            <w:vAlign w:val="bottom"/>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8,830,763,408.07</w:t>
            </w:r>
          </w:p>
        </w:tc>
        <w:tc>
          <w:tcPr>
            <w:tcW w:w="2410" w:type="dxa"/>
            <w:hMerge/>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r w:rsidR="00F5013F" w:rsidRPr="006506EF" w:rsidTr="00B918B8">
        <w:trPr>
          <w:trHeight w:val="158"/>
        </w:trPr>
        <w:tc>
          <w:tcPr>
            <w:tcW w:w="3402" w:type="dxa"/>
          </w:tcPr>
          <w:p w:rsidR="00F5013F" w:rsidRPr="006506EF" w:rsidRDefault="00F5013F" w:rsidP="00B918B8">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1.1726</w:t>
            </w:r>
          </w:p>
        </w:tc>
        <w:tc>
          <w:tcPr>
            <w:tcW w:w="2410" w:type="dxa"/>
            <w:hMerge/>
          </w:tcPr>
          <w:p w:rsidR="00F5013F" w:rsidRPr="006506EF" w:rsidRDefault="00F5013F" w:rsidP="00B918B8">
            <w:pPr>
              <w:adjustRightInd w:val="0"/>
              <w:spacing w:before="29" w:line="360" w:lineRule="auto"/>
              <w:ind w:left="17"/>
              <w:jc w:val="right"/>
              <w:rPr>
                <w:color w:val="000000"/>
                <w:sz w:val="24"/>
              </w:rPr>
            </w:pPr>
            <w:r w:rsidRPr="006506EF">
              <w:rPr>
                <w:color w:val="000000"/>
                <w:sz w:val="24"/>
              </w:rPr>
              <w:t>-</w:t>
            </w:r>
          </w:p>
        </w:tc>
      </w:tr>
    </w:tbl>
    <w:p w:rsidR="00BF1026" w:rsidRDefault="001E430A">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5013F" w:rsidRPr="006506EF" w:rsidRDefault="00F5013F" w:rsidP="00A70EAB">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3.2 </w:t>
      </w:r>
      <w:r w:rsidRPr="006506EF">
        <w:rPr>
          <w:b/>
          <w:color w:val="000000"/>
          <w:kern w:val="0"/>
          <w:sz w:val="24"/>
        </w:rPr>
        <w:t>基金净值表现</w:t>
      </w:r>
    </w:p>
    <w:p w:rsidR="00F5013F" w:rsidRPr="006506EF" w:rsidRDefault="00F5013F" w:rsidP="00EC4BA3">
      <w:pPr>
        <w:autoSpaceDE w:val="0"/>
        <w:autoSpaceDN w:val="0"/>
        <w:adjustRightInd w:val="0"/>
        <w:spacing w:line="360"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506EF">
          <w:rPr>
            <w:b/>
            <w:color w:val="000000"/>
            <w:kern w:val="0"/>
            <w:sz w:val="24"/>
          </w:rPr>
          <w:t>3.2.1</w:t>
        </w:r>
      </w:smartTag>
      <w:r w:rsidRPr="006506EF">
        <w:rPr>
          <w:b/>
          <w:color w:val="000000"/>
          <w:kern w:val="0"/>
          <w:sz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F5013F" w:rsidRPr="006506EF" w:rsidTr="00B918B8">
        <w:tc>
          <w:tcPr>
            <w:tcW w:w="1395"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阶段</w:t>
            </w:r>
          </w:p>
        </w:tc>
        <w:tc>
          <w:tcPr>
            <w:tcW w:w="1092"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净值增长率</w:t>
            </w:r>
            <w:r w:rsidRPr="006506EF">
              <w:rPr>
                <w:rFonts w:ascii="宋体" w:hAnsi="宋体" w:cs="宋体" w:hint="eastAsia"/>
                <w:color w:val="000000"/>
                <w:sz w:val="24"/>
              </w:rPr>
              <w:t>①</w:t>
            </w:r>
          </w:p>
        </w:tc>
        <w:tc>
          <w:tcPr>
            <w:tcW w:w="1161"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净值增长率标准差</w:t>
            </w:r>
            <w:r w:rsidRPr="006506EF">
              <w:rPr>
                <w:rFonts w:ascii="宋体" w:hAnsi="宋体" w:cs="宋体" w:hint="eastAsia"/>
                <w:color w:val="000000"/>
                <w:sz w:val="24"/>
              </w:rPr>
              <w:t>②</w:t>
            </w:r>
          </w:p>
        </w:tc>
        <w:tc>
          <w:tcPr>
            <w:tcW w:w="1181"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业绩比较基准收益率</w:t>
            </w:r>
            <w:r w:rsidRPr="006506EF">
              <w:rPr>
                <w:rFonts w:ascii="宋体" w:hAnsi="宋体" w:cs="宋体" w:hint="eastAsia"/>
                <w:color w:val="000000"/>
                <w:sz w:val="24"/>
              </w:rPr>
              <w:t>③</w:t>
            </w:r>
          </w:p>
        </w:tc>
        <w:tc>
          <w:tcPr>
            <w:tcW w:w="1188"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color w:val="000000"/>
                <w:sz w:val="24"/>
              </w:rPr>
              <w:t>业绩比较基准收益率标准差</w:t>
            </w:r>
            <w:r w:rsidRPr="006506EF">
              <w:rPr>
                <w:rFonts w:ascii="宋体" w:hAnsi="宋体" w:cs="宋体" w:hint="eastAsia"/>
                <w:color w:val="000000"/>
                <w:sz w:val="24"/>
              </w:rPr>
              <w:t>④</w:t>
            </w:r>
          </w:p>
        </w:tc>
        <w:tc>
          <w:tcPr>
            <w:tcW w:w="1199"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rFonts w:ascii="宋体" w:hAnsi="宋体" w:cs="宋体" w:hint="eastAsia"/>
                <w:color w:val="000000"/>
                <w:sz w:val="24"/>
              </w:rPr>
              <w:t>①</w:t>
            </w:r>
            <w:r w:rsidRPr="006506EF">
              <w:rPr>
                <w:color w:val="000000"/>
                <w:sz w:val="24"/>
              </w:rPr>
              <w:t>-</w:t>
            </w:r>
            <w:r w:rsidRPr="006506EF">
              <w:rPr>
                <w:rFonts w:ascii="宋体" w:hAnsi="宋体" w:cs="宋体" w:hint="eastAsia"/>
                <w:color w:val="000000"/>
                <w:sz w:val="24"/>
              </w:rPr>
              <w:t>③</w:t>
            </w:r>
          </w:p>
        </w:tc>
        <w:tc>
          <w:tcPr>
            <w:tcW w:w="1204" w:type="dxa"/>
            <w:vAlign w:val="center"/>
          </w:tcPr>
          <w:p w:rsidR="00F5013F" w:rsidRPr="006506EF" w:rsidRDefault="00F5013F" w:rsidP="00B918B8">
            <w:pPr>
              <w:autoSpaceDE w:val="0"/>
              <w:autoSpaceDN w:val="0"/>
              <w:adjustRightInd w:val="0"/>
              <w:spacing w:before="29" w:line="360" w:lineRule="auto"/>
              <w:ind w:left="17"/>
              <w:jc w:val="center"/>
              <w:rPr>
                <w:color w:val="000000"/>
                <w:sz w:val="24"/>
              </w:rPr>
            </w:pPr>
            <w:r w:rsidRPr="006506EF">
              <w:rPr>
                <w:rFonts w:ascii="宋体" w:hAnsi="宋体" w:cs="宋体" w:hint="eastAsia"/>
                <w:color w:val="000000"/>
                <w:sz w:val="24"/>
              </w:rPr>
              <w:t>②</w:t>
            </w:r>
            <w:r w:rsidRPr="006506EF">
              <w:rPr>
                <w:color w:val="000000"/>
                <w:sz w:val="24"/>
              </w:rPr>
              <w:t>-</w:t>
            </w:r>
            <w:r w:rsidRPr="006506EF">
              <w:rPr>
                <w:rFonts w:ascii="宋体" w:hAnsi="宋体" w:cs="宋体" w:hint="eastAsia"/>
                <w:color w:val="000000"/>
                <w:sz w:val="24"/>
              </w:rPr>
              <w:t>④</w:t>
            </w:r>
          </w:p>
        </w:tc>
      </w:tr>
      <w:tr w:rsidR="00BF1026">
        <w:tc>
          <w:tcPr>
            <w:tcW w:w="1395" w:type="dxa"/>
            <w:vAlign w:val="center"/>
          </w:tcPr>
          <w:p w:rsidR="00BF1026" w:rsidRDefault="001E430A">
            <w:pPr>
              <w:jc w:val="left"/>
            </w:pPr>
            <w:r>
              <w:rPr>
                <w:color w:val="000000"/>
                <w:sz w:val="24"/>
              </w:rPr>
              <w:t>过去三个月</w:t>
            </w:r>
          </w:p>
        </w:tc>
        <w:tc>
          <w:tcPr>
            <w:tcW w:w="1092" w:type="dxa"/>
            <w:vAlign w:val="center"/>
          </w:tcPr>
          <w:p w:rsidR="00BF1026" w:rsidRDefault="001E430A">
            <w:pPr>
              <w:jc w:val="right"/>
            </w:pPr>
            <w:r>
              <w:rPr>
                <w:color w:val="000000"/>
                <w:sz w:val="24"/>
              </w:rPr>
              <w:t>-3.23%</w:t>
            </w:r>
          </w:p>
        </w:tc>
        <w:tc>
          <w:tcPr>
            <w:tcW w:w="1161" w:type="dxa"/>
            <w:vAlign w:val="center"/>
          </w:tcPr>
          <w:p w:rsidR="00BF1026" w:rsidRDefault="001E430A">
            <w:pPr>
              <w:jc w:val="right"/>
            </w:pPr>
            <w:r>
              <w:rPr>
                <w:color w:val="000000"/>
                <w:sz w:val="24"/>
              </w:rPr>
              <w:t>0.87%</w:t>
            </w:r>
          </w:p>
        </w:tc>
        <w:tc>
          <w:tcPr>
            <w:tcW w:w="1181" w:type="dxa"/>
            <w:vAlign w:val="center"/>
          </w:tcPr>
          <w:p w:rsidR="00BF1026" w:rsidRDefault="001E430A">
            <w:pPr>
              <w:jc w:val="right"/>
            </w:pPr>
            <w:r>
              <w:rPr>
                <w:color w:val="000000"/>
                <w:sz w:val="24"/>
              </w:rPr>
              <w:t>-3.88%</w:t>
            </w:r>
          </w:p>
        </w:tc>
        <w:tc>
          <w:tcPr>
            <w:tcW w:w="1188" w:type="dxa"/>
            <w:vAlign w:val="center"/>
          </w:tcPr>
          <w:p w:rsidR="00BF1026" w:rsidRDefault="001E430A">
            <w:pPr>
              <w:jc w:val="right"/>
            </w:pPr>
            <w:r>
              <w:rPr>
                <w:color w:val="000000"/>
                <w:sz w:val="24"/>
              </w:rPr>
              <w:t>0.86%</w:t>
            </w:r>
          </w:p>
        </w:tc>
        <w:tc>
          <w:tcPr>
            <w:tcW w:w="1199" w:type="dxa"/>
            <w:vAlign w:val="center"/>
          </w:tcPr>
          <w:p w:rsidR="00BF1026" w:rsidRDefault="001E430A">
            <w:pPr>
              <w:jc w:val="right"/>
            </w:pPr>
            <w:r>
              <w:rPr>
                <w:color w:val="000000"/>
                <w:sz w:val="24"/>
              </w:rPr>
              <w:t>0.65%</w:t>
            </w:r>
          </w:p>
        </w:tc>
        <w:tc>
          <w:tcPr>
            <w:tcW w:w="1204" w:type="dxa"/>
            <w:vAlign w:val="center"/>
          </w:tcPr>
          <w:p w:rsidR="00BF1026" w:rsidRDefault="001E430A">
            <w:pPr>
              <w:jc w:val="right"/>
            </w:pPr>
            <w:r>
              <w:rPr>
                <w:color w:val="000000"/>
                <w:sz w:val="24"/>
              </w:rPr>
              <w:t>0.01%</w:t>
            </w:r>
          </w:p>
        </w:tc>
      </w:tr>
    </w:tbl>
    <w:p w:rsidR="00F5013F" w:rsidRPr="006506EF" w:rsidRDefault="00F5013F" w:rsidP="00EC4BA3">
      <w:pPr>
        <w:autoSpaceDE w:val="0"/>
        <w:autoSpaceDN w:val="0"/>
        <w:adjustRightInd w:val="0"/>
        <w:spacing w:line="360" w:lineRule="auto"/>
        <w:jc w:val="left"/>
        <w:rPr>
          <w:b/>
          <w:color w:val="000000"/>
          <w:kern w:val="0"/>
          <w:sz w:val="24"/>
        </w:rPr>
      </w:pPr>
      <w:smartTag w:uri="urn:schemas-microsoft-com:office:smarttags" w:element="chsdate">
        <w:smartTagPr>
          <w:attr w:name="IsROCDate" w:val="False"/>
          <w:attr w:name="IsLunarDate" w:val="False"/>
          <w:attr w:name="Day" w:val="30"/>
          <w:attr w:name="Month" w:val="12"/>
          <w:attr w:name="Year" w:val="1899"/>
        </w:smartTagPr>
        <w:r w:rsidRPr="006506EF">
          <w:rPr>
            <w:b/>
            <w:color w:val="000000"/>
            <w:kern w:val="0"/>
            <w:sz w:val="24"/>
          </w:rPr>
          <w:t>3.2.2</w:t>
        </w:r>
        <w:r w:rsidRPr="006506EF">
          <w:rPr>
            <w:b/>
            <w:color w:val="000000"/>
            <w:kern w:val="0"/>
            <w:sz w:val="24"/>
          </w:rPr>
          <w:t xml:space="preserve">　</w:t>
        </w:r>
        <w:r w:rsidR="00DF4456" w:rsidRPr="006506EF">
          <w:rPr>
            <w:rStyle w:val="af8"/>
            <w:color w:val="000000"/>
            <w:sz w:val="24"/>
            <w:shd w:val="clear" w:color="auto" w:fill="FFFFFF"/>
          </w:rPr>
          <w:t>自基金合同生效以来</w:t>
        </w:r>
      </w:smartTag>
      <w:r w:rsidRPr="006506EF">
        <w:rPr>
          <w:b/>
          <w:color w:val="000000"/>
          <w:kern w:val="0"/>
          <w:sz w:val="24"/>
        </w:rPr>
        <w:t>基金累计</w:t>
      </w:r>
      <w:r w:rsidR="000C6EE5" w:rsidRPr="006506EF">
        <w:rPr>
          <w:b/>
          <w:color w:val="000000"/>
          <w:kern w:val="0"/>
          <w:sz w:val="24"/>
        </w:rPr>
        <w:t>份额</w:t>
      </w:r>
      <w:r w:rsidRPr="006506EF">
        <w:rPr>
          <w:b/>
          <w:color w:val="000000"/>
          <w:kern w:val="0"/>
          <w:sz w:val="24"/>
        </w:rPr>
        <w:t>净值增长率变动及其与同期业绩比较基准收益率变动的比较</w:t>
      </w:r>
    </w:p>
    <w:p w:rsidR="00F5013F" w:rsidRPr="006506EF" w:rsidRDefault="00F5013F" w:rsidP="00EC4BA3">
      <w:pPr>
        <w:spacing w:line="360" w:lineRule="auto"/>
        <w:jc w:val="center"/>
        <w:rPr>
          <w:sz w:val="24"/>
        </w:rPr>
      </w:pPr>
      <w:r w:rsidRPr="006506EF">
        <w:rPr>
          <w:sz w:val="24"/>
        </w:rPr>
        <w:t>易方达恒生中国企业交易型开放式指数证券投资基金</w:t>
      </w:r>
    </w:p>
    <w:p w:rsidR="00F5013F" w:rsidRPr="006506EF" w:rsidRDefault="00F5013F" w:rsidP="00EC4BA3">
      <w:pPr>
        <w:pStyle w:val="a5"/>
        <w:snapToGrid w:val="0"/>
        <w:spacing w:line="360" w:lineRule="auto"/>
        <w:ind w:firstLine="480"/>
        <w:jc w:val="center"/>
        <w:rPr>
          <w:rFonts w:ascii="Times New Roman" w:hAnsi="Times New Roman"/>
          <w:color w:val="000000"/>
          <w:sz w:val="24"/>
          <w:szCs w:val="24"/>
        </w:rPr>
      </w:pPr>
      <w:r w:rsidRPr="006506EF">
        <w:rPr>
          <w:rFonts w:ascii="Times New Roman" w:hAnsi="Times New Roman"/>
          <w:color w:val="000000"/>
          <w:sz w:val="24"/>
          <w:szCs w:val="24"/>
        </w:rPr>
        <w:t>累计净值增长率与业绩比较基准收益率的历史走势对比图</w:t>
      </w:r>
    </w:p>
    <w:p w:rsidR="00F5013F" w:rsidRPr="006506EF" w:rsidRDefault="00F5013F" w:rsidP="00EC4BA3">
      <w:pPr>
        <w:spacing w:line="360" w:lineRule="auto"/>
        <w:jc w:val="center"/>
        <w:rPr>
          <w:sz w:val="24"/>
        </w:rPr>
      </w:pPr>
      <w:r w:rsidRPr="006506EF">
        <w:rPr>
          <w:color w:val="000000"/>
          <w:kern w:val="0"/>
          <w:sz w:val="24"/>
        </w:rPr>
        <w:t>（</w:t>
      </w:r>
      <w:r w:rsidRPr="006506EF">
        <w:rPr>
          <w:color w:val="000000"/>
          <w:kern w:val="0"/>
          <w:sz w:val="24"/>
        </w:rPr>
        <w:t>2012</w:t>
      </w:r>
      <w:r w:rsidRPr="006506EF">
        <w:rPr>
          <w:color w:val="000000"/>
          <w:kern w:val="0"/>
          <w:sz w:val="24"/>
        </w:rPr>
        <w:t>年</w:t>
      </w:r>
      <w:r w:rsidRPr="006506EF">
        <w:rPr>
          <w:color w:val="000000"/>
          <w:kern w:val="0"/>
          <w:sz w:val="24"/>
        </w:rPr>
        <w:t>8</w:t>
      </w:r>
      <w:r w:rsidRPr="006506EF">
        <w:rPr>
          <w:color w:val="000000"/>
          <w:kern w:val="0"/>
          <w:sz w:val="24"/>
        </w:rPr>
        <w:t>月</w:t>
      </w:r>
      <w:r w:rsidRPr="006506EF">
        <w:rPr>
          <w:color w:val="000000"/>
          <w:kern w:val="0"/>
          <w:sz w:val="24"/>
        </w:rPr>
        <w:t>9</w:t>
      </w:r>
      <w:r w:rsidRPr="006506EF">
        <w:rPr>
          <w:color w:val="000000"/>
          <w:kern w:val="0"/>
          <w:sz w:val="24"/>
        </w:rPr>
        <w:t>日至</w:t>
      </w:r>
      <w:r w:rsidRPr="006506EF">
        <w:rPr>
          <w:color w:val="000000"/>
          <w:kern w:val="0"/>
          <w:sz w:val="24"/>
        </w:rPr>
        <w:t>2019</w:t>
      </w:r>
      <w:r w:rsidRPr="006506EF">
        <w:rPr>
          <w:color w:val="000000"/>
          <w:kern w:val="0"/>
          <w:sz w:val="24"/>
        </w:rPr>
        <w:t>年</w:t>
      </w:r>
      <w:r w:rsidRPr="006506EF">
        <w:rPr>
          <w:color w:val="000000"/>
          <w:kern w:val="0"/>
          <w:sz w:val="24"/>
        </w:rPr>
        <w:t>9</w:t>
      </w:r>
      <w:r w:rsidRPr="006506EF">
        <w:rPr>
          <w:color w:val="000000"/>
          <w:kern w:val="0"/>
          <w:sz w:val="24"/>
        </w:rPr>
        <w:t>月</w:t>
      </w:r>
      <w:r w:rsidRPr="006506EF">
        <w:rPr>
          <w:color w:val="000000"/>
          <w:kern w:val="0"/>
          <w:sz w:val="24"/>
        </w:rPr>
        <w:t>30</w:t>
      </w:r>
      <w:r w:rsidRPr="006506EF">
        <w:rPr>
          <w:color w:val="000000"/>
          <w:kern w:val="0"/>
          <w:sz w:val="24"/>
        </w:rPr>
        <w:t>日）</w:t>
      </w:r>
    </w:p>
    <w:p w:rsidR="00F5013F" w:rsidRPr="006506EF" w:rsidRDefault="001E430A" w:rsidP="00A96FD9">
      <w:pPr>
        <w:tabs>
          <w:tab w:val="left" w:pos="1800"/>
        </w:tabs>
        <w:spacing w:line="360" w:lineRule="auto"/>
        <w:jc w:val="center"/>
        <w:rPr>
          <w:color w:val="000000"/>
          <w:sz w:val="24"/>
        </w:rPr>
      </w:pPr>
      <w:r>
        <w:rPr>
          <w:noProof/>
          <w:color w:val="000000"/>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9" o:title=""/>
          </v:shape>
        </w:pict>
      </w:r>
    </w:p>
    <w:p w:rsidR="00BF1026" w:rsidRDefault="001E430A">
      <w:pPr>
        <w:spacing w:line="360" w:lineRule="auto"/>
        <w:ind w:firstLineChars="200" w:firstLine="480"/>
        <w:rPr>
          <w:color w:val="000000"/>
          <w:sz w:val="24"/>
        </w:rPr>
      </w:pPr>
      <w:r>
        <w:rPr>
          <w:color w:val="000000"/>
          <w:sz w:val="24"/>
        </w:rPr>
        <w:t>注：</w:t>
      </w:r>
      <w:r>
        <w:rPr>
          <w:color w:val="000000"/>
          <w:sz w:val="24"/>
        </w:rPr>
        <w:t>1.</w:t>
      </w:r>
      <w:r>
        <w:rPr>
          <w:color w:val="000000"/>
          <w:sz w:val="24"/>
        </w:rPr>
        <w:t>本基金的业绩比较基准已经转换为以人民币计价。</w:t>
      </w:r>
    </w:p>
    <w:p w:rsidR="00F5013F" w:rsidRPr="006506EF" w:rsidRDefault="00F5013F" w:rsidP="00DB3360">
      <w:pPr>
        <w:spacing w:line="360" w:lineRule="auto"/>
        <w:ind w:firstLineChars="200" w:firstLine="480"/>
        <w:rPr>
          <w:color w:val="000000"/>
          <w:sz w:val="24"/>
        </w:rPr>
      </w:pPr>
      <w:r w:rsidRPr="006506EF">
        <w:rPr>
          <w:color w:val="000000"/>
          <w:sz w:val="24"/>
        </w:rPr>
        <w:t>2.</w:t>
      </w:r>
      <w:r w:rsidRPr="006506EF">
        <w:rPr>
          <w:color w:val="000000"/>
          <w:sz w:val="24"/>
        </w:rPr>
        <w:t>自基金合同生效至报告期末，基金份额净值增长率为</w:t>
      </w:r>
      <w:r w:rsidRPr="006506EF">
        <w:rPr>
          <w:color w:val="000000"/>
          <w:sz w:val="24"/>
        </w:rPr>
        <w:t>22.48%</w:t>
      </w:r>
      <w:r w:rsidRPr="006506EF">
        <w:rPr>
          <w:color w:val="000000"/>
          <w:sz w:val="24"/>
        </w:rPr>
        <w:t>，同期业绩比较基准收益率为</w:t>
      </w:r>
      <w:r w:rsidRPr="006506EF">
        <w:rPr>
          <w:color w:val="000000"/>
          <w:sz w:val="24"/>
        </w:rPr>
        <w:t>14.10</w:t>
      </w:r>
      <w:r w:rsidRPr="006506EF">
        <w:rPr>
          <w:color w:val="000000"/>
          <w:sz w:val="24"/>
        </w:rPr>
        <w:t>％。</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§4  </w:t>
      </w:r>
      <w:r w:rsidRPr="006506EF">
        <w:rPr>
          <w:color w:val="000000"/>
          <w:kern w:val="0"/>
          <w:sz w:val="24"/>
          <w:szCs w:val="24"/>
        </w:rPr>
        <w:t>管理人报告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4.1 </w:t>
      </w:r>
      <w:r w:rsidRPr="006506EF">
        <w:rPr>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F5013F" w:rsidRPr="006506EF" w:rsidTr="00A22642">
        <w:trPr>
          <w:cantSplit/>
          <w:trHeight w:val="292"/>
        </w:trPr>
        <w:tc>
          <w:tcPr>
            <w:tcW w:w="851"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t>姓名</w:t>
            </w:r>
          </w:p>
        </w:tc>
        <w:tc>
          <w:tcPr>
            <w:tcW w:w="3260"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t>职务</w:t>
            </w:r>
          </w:p>
        </w:tc>
        <w:tc>
          <w:tcPr>
            <w:tcW w:w="2552" w:type="dxa"/>
            <w:gridSpan w:val="2"/>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任本基金的基金经理期限</w:t>
            </w:r>
          </w:p>
        </w:tc>
        <w:tc>
          <w:tcPr>
            <w:tcW w:w="850" w:type="dxa"/>
            <w:vMerge w:val="restart"/>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证券从业年限</w:t>
            </w:r>
          </w:p>
        </w:tc>
        <w:tc>
          <w:tcPr>
            <w:tcW w:w="1418" w:type="dxa"/>
            <w:vMerge w:val="restart"/>
            <w:vAlign w:val="center"/>
          </w:tcPr>
          <w:p w:rsidR="00F5013F" w:rsidRPr="006506EF" w:rsidRDefault="00F5013F" w:rsidP="00B918B8">
            <w:pPr>
              <w:widowControl/>
              <w:spacing w:before="29" w:line="360" w:lineRule="auto"/>
              <w:ind w:left="17"/>
              <w:jc w:val="center"/>
              <w:rPr>
                <w:color w:val="000000"/>
                <w:kern w:val="0"/>
                <w:sz w:val="24"/>
              </w:rPr>
            </w:pPr>
            <w:r w:rsidRPr="006506EF">
              <w:rPr>
                <w:color w:val="000000"/>
                <w:kern w:val="0"/>
                <w:sz w:val="24"/>
              </w:rPr>
              <w:t>说明</w:t>
            </w:r>
          </w:p>
        </w:tc>
      </w:tr>
      <w:tr w:rsidR="00F5013F" w:rsidRPr="006506EF" w:rsidTr="00A22642">
        <w:trPr>
          <w:cantSplit/>
        </w:trPr>
        <w:tc>
          <w:tcPr>
            <w:tcW w:w="851" w:type="dxa"/>
            <w:vMerge/>
            <w:vAlign w:val="center"/>
          </w:tcPr>
          <w:p w:rsidR="00F5013F" w:rsidRPr="006506EF" w:rsidRDefault="00F5013F" w:rsidP="00B918B8">
            <w:pPr>
              <w:widowControl/>
              <w:spacing w:line="360" w:lineRule="auto"/>
              <w:jc w:val="left"/>
              <w:rPr>
                <w:color w:val="000000"/>
                <w:kern w:val="0"/>
                <w:sz w:val="24"/>
              </w:rPr>
            </w:pPr>
          </w:p>
        </w:tc>
        <w:tc>
          <w:tcPr>
            <w:tcW w:w="3260" w:type="dxa"/>
            <w:vMerge/>
            <w:vAlign w:val="center"/>
          </w:tcPr>
          <w:p w:rsidR="00F5013F" w:rsidRPr="006506EF" w:rsidRDefault="00F5013F" w:rsidP="00B918B8">
            <w:pPr>
              <w:widowControl/>
              <w:spacing w:line="360" w:lineRule="auto"/>
              <w:jc w:val="left"/>
              <w:rPr>
                <w:color w:val="000000"/>
                <w:kern w:val="0"/>
                <w:sz w:val="24"/>
              </w:rPr>
            </w:pPr>
          </w:p>
        </w:tc>
        <w:tc>
          <w:tcPr>
            <w:tcW w:w="1276" w:type="dxa"/>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任职日期</w:t>
            </w:r>
          </w:p>
        </w:tc>
        <w:tc>
          <w:tcPr>
            <w:tcW w:w="1276" w:type="dxa"/>
            <w:vAlign w:val="center"/>
          </w:tcPr>
          <w:p w:rsidR="00F5013F" w:rsidRPr="006506EF" w:rsidRDefault="00F5013F" w:rsidP="00B918B8">
            <w:pPr>
              <w:autoSpaceDE w:val="0"/>
              <w:autoSpaceDN w:val="0"/>
              <w:adjustRightInd w:val="0"/>
              <w:spacing w:before="29" w:line="360" w:lineRule="auto"/>
              <w:ind w:left="17"/>
              <w:jc w:val="center"/>
              <w:rPr>
                <w:color w:val="000000"/>
                <w:kern w:val="0"/>
                <w:sz w:val="24"/>
              </w:rPr>
            </w:pPr>
            <w:r w:rsidRPr="006506EF">
              <w:rPr>
                <w:color w:val="000000"/>
                <w:kern w:val="0"/>
                <w:sz w:val="24"/>
              </w:rPr>
              <w:t>离任日期</w:t>
            </w:r>
          </w:p>
        </w:tc>
        <w:tc>
          <w:tcPr>
            <w:tcW w:w="850" w:type="dxa"/>
            <w:vMerge/>
            <w:vAlign w:val="center"/>
          </w:tcPr>
          <w:p w:rsidR="00F5013F" w:rsidRPr="006506EF" w:rsidRDefault="00F5013F" w:rsidP="00B918B8">
            <w:pPr>
              <w:widowControl/>
              <w:spacing w:line="360" w:lineRule="auto"/>
              <w:jc w:val="left"/>
              <w:rPr>
                <w:color w:val="000000"/>
                <w:kern w:val="0"/>
                <w:sz w:val="24"/>
              </w:rPr>
            </w:pPr>
          </w:p>
        </w:tc>
        <w:tc>
          <w:tcPr>
            <w:tcW w:w="1418" w:type="dxa"/>
            <w:vMerge/>
            <w:vAlign w:val="center"/>
          </w:tcPr>
          <w:p w:rsidR="00F5013F" w:rsidRPr="006506EF" w:rsidRDefault="00F5013F" w:rsidP="00B918B8">
            <w:pPr>
              <w:widowControl/>
              <w:spacing w:line="360" w:lineRule="auto"/>
              <w:jc w:val="left"/>
              <w:rPr>
                <w:color w:val="000000"/>
                <w:kern w:val="0"/>
                <w:sz w:val="24"/>
              </w:rPr>
            </w:pPr>
          </w:p>
        </w:tc>
      </w:tr>
      <w:tr w:rsidR="00BF1026">
        <w:tc>
          <w:tcPr>
            <w:tcW w:w="851" w:type="dxa"/>
            <w:vAlign w:val="center"/>
          </w:tcPr>
          <w:p w:rsidR="00BF1026" w:rsidRDefault="001E430A">
            <w:pPr>
              <w:jc w:val="center"/>
            </w:pPr>
            <w:r>
              <w:rPr>
                <w:color w:val="000000"/>
                <w:sz w:val="24"/>
              </w:rPr>
              <w:t>张胜记</w:t>
            </w:r>
          </w:p>
        </w:tc>
        <w:tc>
          <w:tcPr>
            <w:tcW w:w="3260" w:type="dxa"/>
            <w:vAlign w:val="center"/>
          </w:tcPr>
          <w:p w:rsidR="00BF1026" w:rsidRDefault="001E430A">
            <w:pPr>
              <w:jc w:val="center"/>
            </w:pPr>
            <w:r>
              <w:rPr>
                <w:color w:val="000000"/>
                <w:sz w:val="24"/>
              </w:rPr>
              <w:t>本基金的基金经理、易方达原油证券投资基金</w:t>
            </w:r>
            <w:r>
              <w:rPr>
                <w:color w:val="000000"/>
                <w:sz w:val="24"/>
              </w:rPr>
              <w:t>(QDII)</w:t>
            </w:r>
            <w:r>
              <w:rPr>
                <w:color w:val="000000"/>
                <w:sz w:val="24"/>
              </w:rPr>
              <w:t>的基金经理、易方达香港恒生综合小型股指数证券投资基金</w:t>
            </w:r>
            <w:r>
              <w:rPr>
                <w:color w:val="000000"/>
                <w:sz w:val="24"/>
              </w:rPr>
              <w:t>(LOF)</w:t>
            </w:r>
            <w:r>
              <w:rPr>
                <w:color w:val="000000"/>
                <w:sz w:val="24"/>
              </w:rPr>
              <w:t>的基金经理、易方达恒生中国企业交易型开放式指数证券投资基金联接基金的基金经理、易方达标普全球高端消费品指数增强型证券投资基金的基金经理、易方达</w:t>
            </w:r>
            <w:r>
              <w:rPr>
                <w:color w:val="000000"/>
                <w:sz w:val="24"/>
              </w:rPr>
              <w:t>50</w:t>
            </w:r>
            <w:r>
              <w:rPr>
                <w:color w:val="000000"/>
                <w:sz w:val="24"/>
              </w:rPr>
              <w:t>指数证券投资基金的基金经理、指数投资部总经理</w:t>
            </w:r>
          </w:p>
        </w:tc>
        <w:tc>
          <w:tcPr>
            <w:tcW w:w="1276" w:type="dxa"/>
            <w:vAlign w:val="center"/>
          </w:tcPr>
          <w:p w:rsidR="00BF1026" w:rsidRDefault="001E430A">
            <w:pPr>
              <w:jc w:val="center"/>
            </w:pPr>
            <w:r>
              <w:rPr>
                <w:color w:val="000000"/>
                <w:sz w:val="24"/>
              </w:rPr>
              <w:t>2012-08-09</w:t>
            </w:r>
          </w:p>
        </w:tc>
        <w:tc>
          <w:tcPr>
            <w:tcW w:w="1276" w:type="dxa"/>
            <w:vAlign w:val="center"/>
          </w:tcPr>
          <w:p w:rsidR="00BF1026" w:rsidRDefault="001E430A">
            <w:pPr>
              <w:jc w:val="center"/>
            </w:pPr>
            <w:r>
              <w:rPr>
                <w:color w:val="000000"/>
                <w:sz w:val="24"/>
              </w:rPr>
              <w:t>-</w:t>
            </w:r>
          </w:p>
        </w:tc>
        <w:tc>
          <w:tcPr>
            <w:tcW w:w="850" w:type="dxa"/>
            <w:vAlign w:val="center"/>
          </w:tcPr>
          <w:p w:rsidR="00BF1026" w:rsidRDefault="001E430A">
            <w:pPr>
              <w:jc w:val="center"/>
            </w:pPr>
            <w:r>
              <w:rPr>
                <w:color w:val="000000"/>
                <w:sz w:val="24"/>
              </w:rPr>
              <w:t>14</w:t>
            </w:r>
            <w:r>
              <w:rPr>
                <w:color w:val="000000"/>
                <w:sz w:val="24"/>
              </w:rPr>
              <w:t>年</w:t>
            </w:r>
          </w:p>
        </w:tc>
        <w:tc>
          <w:tcPr>
            <w:tcW w:w="1418" w:type="dxa"/>
            <w:vAlign w:val="center"/>
          </w:tcPr>
          <w:p w:rsidR="00BF1026" w:rsidRDefault="001E430A">
            <w:pPr>
              <w:jc w:val="left"/>
            </w:pPr>
            <w:r>
              <w:rPr>
                <w:color w:val="000000"/>
                <w:sz w:val="24"/>
              </w:rPr>
              <w:t>硕士研究生，曾任易方达基金管理有限公司投资经理助理、基金经理助理、行业研究员、指数与量化投资部总经理助理、指数与量化投资部副总经理、指数及</w:t>
            </w:r>
            <w:r>
              <w:rPr>
                <w:color w:val="000000"/>
                <w:sz w:val="24"/>
              </w:rPr>
              <w:lastRenderedPageBreak/>
              <w:t>增强投资部副总经理、易方达沪深</w:t>
            </w:r>
            <w:r>
              <w:rPr>
                <w:color w:val="000000"/>
                <w:sz w:val="24"/>
              </w:rPr>
              <w:t>30</w:t>
            </w:r>
            <w:r>
              <w:rPr>
                <w:color w:val="000000"/>
                <w:sz w:val="24"/>
              </w:rPr>
              <w:t>0</w:t>
            </w:r>
            <w:r>
              <w:rPr>
                <w:color w:val="000000"/>
                <w:sz w:val="24"/>
              </w:rPr>
              <w:t>交易型开放式指数发起式证券投资基金联接基金（原易方达沪深</w:t>
            </w:r>
            <w:r>
              <w:rPr>
                <w:color w:val="000000"/>
                <w:sz w:val="24"/>
              </w:rPr>
              <w:t>300</w:t>
            </w:r>
            <w:r>
              <w:rPr>
                <w:color w:val="000000"/>
                <w:sz w:val="24"/>
              </w:rPr>
              <w:t>指数证券投资基金）基金经理、易方达上证中盘交易型开放式指数证券投资基金基金经理、易方达上证中盘交易型开放式指数证券投资基金联接基金基金经理、易方达标普医疗保健指数证券投资基金（</w:t>
            </w:r>
            <w:r>
              <w:rPr>
                <w:color w:val="000000"/>
                <w:sz w:val="24"/>
              </w:rPr>
              <w:t>LOF</w:t>
            </w:r>
            <w:r>
              <w:rPr>
                <w:color w:val="000000"/>
                <w:sz w:val="24"/>
              </w:rPr>
              <w:t>）基金经理、易方达标普</w:t>
            </w:r>
            <w:r>
              <w:rPr>
                <w:color w:val="000000"/>
                <w:sz w:val="24"/>
              </w:rPr>
              <w:t>500</w:t>
            </w:r>
            <w:r>
              <w:rPr>
                <w:color w:val="000000"/>
                <w:sz w:val="24"/>
              </w:rPr>
              <w:t>指数证券投资基金（</w:t>
            </w:r>
            <w:r>
              <w:rPr>
                <w:color w:val="000000"/>
                <w:sz w:val="24"/>
              </w:rPr>
              <w:t>LOF</w:t>
            </w:r>
            <w:r>
              <w:rPr>
                <w:color w:val="000000"/>
                <w:sz w:val="24"/>
              </w:rPr>
              <w:t>）基金经理、易方达标普生物科技指数证券投资基金</w:t>
            </w:r>
            <w:r>
              <w:rPr>
                <w:color w:val="000000"/>
                <w:sz w:val="24"/>
              </w:rPr>
              <w:t>(LOF)</w:t>
            </w:r>
            <w:r>
              <w:rPr>
                <w:color w:val="000000"/>
                <w:sz w:val="24"/>
              </w:rPr>
              <w:t>基金经理、易方达标普信息科技指数证券投资基金（</w:t>
            </w:r>
            <w:r>
              <w:rPr>
                <w:color w:val="000000"/>
                <w:sz w:val="24"/>
              </w:rPr>
              <w:t>LOF</w:t>
            </w:r>
            <w:r>
              <w:rPr>
                <w:color w:val="000000"/>
                <w:sz w:val="24"/>
              </w:rPr>
              <w:t>）基金经理。</w:t>
            </w:r>
          </w:p>
        </w:tc>
      </w:tr>
      <w:tr w:rsidR="00BF1026">
        <w:tc>
          <w:tcPr>
            <w:tcW w:w="851" w:type="dxa"/>
            <w:vAlign w:val="center"/>
          </w:tcPr>
          <w:p w:rsidR="00BF1026" w:rsidRDefault="001E430A">
            <w:pPr>
              <w:jc w:val="center"/>
            </w:pPr>
            <w:r>
              <w:rPr>
                <w:color w:val="000000"/>
                <w:sz w:val="24"/>
              </w:rPr>
              <w:lastRenderedPageBreak/>
              <w:t>余海燕</w:t>
            </w:r>
          </w:p>
        </w:tc>
        <w:tc>
          <w:tcPr>
            <w:tcW w:w="3260" w:type="dxa"/>
            <w:vAlign w:val="center"/>
          </w:tcPr>
          <w:p w:rsidR="00BF1026" w:rsidRDefault="001E430A">
            <w:pPr>
              <w:jc w:val="center"/>
            </w:pPr>
            <w:r>
              <w:rPr>
                <w:color w:val="000000"/>
                <w:sz w:val="24"/>
              </w:rPr>
              <w:t>本基金的基金经理、易方达中证全指证券公司交易型开放式指数证券投资基金的基金经理、易方达中证军工交易型开放式指数证券投资基金的基金经理、易方达中证海外中国互联网</w:t>
            </w:r>
            <w:r>
              <w:rPr>
                <w:color w:val="000000"/>
                <w:sz w:val="24"/>
              </w:rPr>
              <w:t>50</w:t>
            </w:r>
            <w:r>
              <w:rPr>
                <w:color w:val="000000"/>
                <w:sz w:val="24"/>
              </w:rPr>
              <w:t>交易型开放式指数证券投资基金联接基金的基金经理、易方达中证海外中国互联网</w:t>
            </w:r>
            <w:r>
              <w:rPr>
                <w:color w:val="000000"/>
                <w:sz w:val="24"/>
              </w:rPr>
              <w:t>50</w:t>
            </w:r>
            <w:r>
              <w:rPr>
                <w:color w:val="000000"/>
                <w:sz w:val="24"/>
              </w:rPr>
              <w:t>交易型开放式指数证券投资基金的基金经理、易方达中证</w:t>
            </w:r>
            <w:r>
              <w:rPr>
                <w:color w:val="000000"/>
                <w:sz w:val="24"/>
              </w:rPr>
              <w:t>500</w:t>
            </w:r>
            <w:r>
              <w:rPr>
                <w:color w:val="000000"/>
                <w:sz w:val="24"/>
              </w:rPr>
              <w:t>交易型开放式指数证券投资基金发起式联接基金的基金经理、易方达中证</w:t>
            </w:r>
            <w:r>
              <w:rPr>
                <w:color w:val="000000"/>
                <w:sz w:val="24"/>
              </w:rPr>
              <w:t>500</w:t>
            </w:r>
            <w:r>
              <w:rPr>
                <w:color w:val="000000"/>
                <w:sz w:val="24"/>
              </w:rPr>
              <w:t>交易型开放式指数证券投资基金的基金经理、易方达证券公司指数分级证券投资基金的基金经理、易方达上证</w:t>
            </w:r>
            <w:r>
              <w:rPr>
                <w:color w:val="000000"/>
                <w:sz w:val="24"/>
              </w:rPr>
              <w:t>50</w:t>
            </w:r>
            <w:r>
              <w:rPr>
                <w:color w:val="000000"/>
                <w:sz w:val="24"/>
              </w:rPr>
              <w:t>指数分级证券投资基金的基金经理、易方达上证</w:t>
            </w:r>
            <w:r>
              <w:rPr>
                <w:color w:val="000000"/>
                <w:sz w:val="24"/>
              </w:rPr>
              <w:t>50</w:t>
            </w:r>
            <w:r>
              <w:rPr>
                <w:color w:val="000000"/>
                <w:sz w:val="24"/>
              </w:rPr>
              <w:t>交</w:t>
            </w:r>
            <w:r>
              <w:rPr>
                <w:color w:val="000000"/>
                <w:sz w:val="24"/>
              </w:rPr>
              <w:t>易型开放式指数证券投资基金发起式联接基金的基金经理、易方达上证</w:t>
            </w:r>
            <w:r>
              <w:rPr>
                <w:color w:val="000000"/>
                <w:sz w:val="24"/>
              </w:rPr>
              <w:t>50</w:t>
            </w:r>
            <w:r>
              <w:rPr>
                <w:color w:val="000000"/>
                <w:sz w:val="24"/>
              </w:rPr>
              <w:t>交易型开放式指数证券投资基金的基金经理、易方达日兴资管日经</w:t>
            </w:r>
            <w:r>
              <w:rPr>
                <w:color w:val="000000"/>
                <w:sz w:val="24"/>
              </w:rPr>
              <w:t>225</w:t>
            </w:r>
            <w:r>
              <w:rPr>
                <w:color w:val="000000"/>
                <w:sz w:val="24"/>
              </w:rPr>
              <w:t>交易型开放式指数证券投资基金</w:t>
            </w:r>
            <w:r>
              <w:rPr>
                <w:color w:val="000000"/>
                <w:sz w:val="24"/>
              </w:rPr>
              <w:t>(QDII)</w:t>
            </w:r>
            <w:r>
              <w:rPr>
                <w:color w:val="000000"/>
                <w:sz w:val="24"/>
              </w:rPr>
              <w:t>的基金经理、易方达军工指数分级证券投资基金的基金经理、易方达黄金交易型开放式证券投资基金联接基金的基金经理、易方达黄金交易型开放式证券投资基金的基金经理、易方达沪深</w:t>
            </w:r>
            <w:r>
              <w:rPr>
                <w:color w:val="000000"/>
                <w:sz w:val="24"/>
              </w:rPr>
              <w:t>300</w:t>
            </w:r>
            <w:r>
              <w:rPr>
                <w:color w:val="000000"/>
                <w:sz w:val="24"/>
              </w:rPr>
              <w:t>医药卫生交易型开放式指数证券投资基金联接基金的基金经理、易方达沪深</w:t>
            </w:r>
            <w:r>
              <w:rPr>
                <w:color w:val="000000"/>
                <w:sz w:val="24"/>
              </w:rPr>
              <w:t>300</w:t>
            </w:r>
            <w:r>
              <w:rPr>
                <w:color w:val="000000"/>
                <w:sz w:val="24"/>
              </w:rPr>
              <w:t>医药卫生交易型开放式指数证券投资基金的基金经理、易方达沪深</w:t>
            </w:r>
            <w:r>
              <w:rPr>
                <w:color w:val="000000"/>
                <w:sz w:val="24"/>
              </w:rPr>
              <w:t>300</w:t>
            </w:r>
            <w:r>
              <w:rPr>
                <w:color w:val="000000"/>
                <w:sz w:val="24"/>
              </w:rPr>
              <w:t>交易型开放式指数发起式证券投资基金联</w:t>
            </w:r>
            <w:r>
              <w:rPr>
                <w:color w:val="000000"/>
                <w:sz w:val="24"/>
              </w:rPr>
              <w:t>接基金的基金经理、易方达沪深</w:t>
            </w:r>
            <w:r>
              <w:rPr>
                <w:color w:val="000000"/>
                <w:sz w:val="24"/>
              </w:rPr>
              <w:t>300</w:t>
            </w:r>
            <w:r>
              <w:rPr>
                <w:color w:val="000000"/>
                <w:sz w:val="24"/>
              </w:rPr>
              <w:t>交易型开放式指数发起式证券投资基金的基金经理、易方达沪深</w:t>
            </w:r>
            <w:r>
              <w:rPr>
                <w:color w:val="000000"/>
                <w:sz w:val="24"/>
              </w:rPr>
              <w:t>300</w:t>
            </w:r>
            <w:r>
              <w:rPr>
                <w:color w:val="000000"/>
                <w:sz w:val="24"/>
              </w:rPr>
              <w:t>非</w:t>
            </w:r>
            <w:r>
              <w:rPr>
                <w:color w:val="000000"/>
                <w:sz w:val="24"/>
              </w:rPr>
              <w:lastRenderedPageBreak/>
              <w:t>银行金融交易型开放式指数证券投资基金联接基金的基金经理、易方达沪深</w:t>
            </w:r>
            <w:r>
              <w:rPr>
                <w:color w:val="000000"/>
                <w:sz w:val="24"/>
              </w:rPr>
              <w:t>300</w:t>
            </w:r>
            <w:r>
              <w:rPr>
                <w:color w:val="000000"/>
                <w:sz w:val="24"/>
              </w:rPr>
              <w:t>非银行金融交易型开放式指数证券投资基金的基金经理、易方达恒生中国企业交易型开放式指数证券投资基金联接基金的基金经理、易方达国企改革指数分级证券投资基金的基金经理</w:t>
            </w:r>
          </w:p>
        </w:tc>
        <w:tc>
          <w:tcPr>
            <w:tcW w:w="1276" w:type="dxa"/>
            <w:vAlign w:val="center"/>
          </w:tcPr>
          <w:p w:rsidR="00BF1026" w:rsidRDefault="001E430A">
            <w:pPr>
              <w:jc w:val="center"/>
            </w:pPr>
            <w:r>
              <w:rPr>
                <w:color w:val="000000"/>
                <w:sz w:val="24"/>
              </w:rPr>
              <w:lastRenderedPageBreak/>
              <w:t>2018-08-11</w:t>
            </w:r>
          </w:p>
        </w:tc>
        <w:tc>
          <w:tcPr>
            <w:tcW w:w="1276" w:type="dxa"/>
            <w:vAlign w:val="center"/>
          </w:tcPr>
          <w:p w:rsidR="00BF1026" w:rsidRDefault="001E430A">
            <w:pPr>
              <w:jc w:val="center"/>
            </w:pPr>
            <w:r>
              <w:rPr>
                <w:color w:val="000000"/>
                <w:sz w:val="24"/>
              </w:rPr>
              <w:t>-</w:t>
            </w:r>
          </w:p>
        </w:tc>
        <w:tc>
          <w:tcPr>
            <w:tcW w:w="850" w:type="dxa"/>
            <w:vAlign w:val="center"/>
          </w:tcPr>
          <w:p w:rsidR="00BF1026" w:rsidRDefault="001E430A">
            <w:pPr>
              <w:jc w:val="center"/>
            </w:pPr>
            <w:r>
              <w:rPr>
                <w:color w:val="000000"/>
                <w:sz w:val="24"/>
              </w:rPr>
              <w:t>14</w:t>
            </w:r>
            <w:r>
              <w:rPr>
                <w:color w:val="000000"/>
                <w:sz w:val="24"/>
              </w:rPr>
              <w:t>年</w:t>
            </w:r>
          </w:p>
        </w:tc>
        <w:tc>
          <w:tcPr>
            <w:tcW w:w="1418" w:type="dxa"/>
            <w:vAlign w:val="center"/>
          </w:tcPr>
          <w:p w:rsidR="00BF1026" w:rsidRDefault="001E430A">
            <w:pPr>
              <w:jc w:val="left"/>
            </w:pPr>
            <w:r>
              <w:rPr>
                <w:color w:val="000000"/>
                <w:sz w:val="24"/>
              </w:rPr>
              <w:t>硕士研究生，曾任汇丰银行</w:t>
            </w:r>
            <w:r>
              <w:rPr>
                <w:color w:val="000000"/>
                <w:sz w:val="24"/>
              </w:rPr>
              <w:t xml:space="preserve">Consumer Credit Risk </w:t>
            </w:r>
            <w:r>
              <w:rPr>
                <w:color w:val="000000"/>
                <w:sz w:val="24"/>
              </w:rPr>
              <w:t>信用风险分析师，华宝兴业基金管理有限公司分析师、基金经理助理、基金经理，易方达基</w:t>
            </w:r>
            <w:r>
              <w:rPr>
                <w:color w:val="000000"/>
                <w:sz w:val="24"/>
              </w:rPr>
              <w:t>金管理有限公司投资发展部产品经理。</w:t>
            </w:r>
          </w:p>
        </w:tc>
      </w:tr>
      <w:tr w:rsidR="00BF1026">
        <w:tc>
          <w:tcPr>
            <w:tcW w:w="851" w:type="dxa"/>
            <w:vAlign w:val="center"/>
          </w:tcPr>
          <w:p w:rsidR="00BF1026" w:rsidRDefault="001E430A">
            <w:pPr>
              <w:jc w:val="center"/>
            </w:pPr>
            <w:r>
              <w:rPr>
                <w:color w:val="000000"/>
                <w:sz w:val="24"/>
              </w:rPr>
              <w:t>成曦</w:t>
            </w:r>
          </w:p>
        </w:tc>
        <w:tc>
          <w:tcPr>
            <w:tcW w:w="3260" w:type="dxa"/>
            <w:vAlign w:val="center"/>
          </w:tcPr>
          <w:p w:rsidR="00BF1026" w:rsidRDefault="001E430A">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（原易方达中小板指数分级证券投资基金）的基金经理、易方达原油证券投资基金</w:t>
            </w:r>
            <w:r>
              <w:rPr>
                <w:color w:val="000000"/>
                <w:sz w:val="24"/>
              </w:rPr>
              <w:t>(QDII)</w:t>
            </w:r>
            <w:r>
              <w:rPr>
                <w:color w:val="000000"/>
                <w:sz w:val="24"/>
              </w:rPr>
              <w:t>的基金经理、易方达银行指数分级证券投资基金的基金经理、易方达生物科技指数分级证券投资基金的基金经理、易方达深证成指交易型开放式指数证券投资基金联接基金的基金经理（自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05</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04</w:t>
            </w:r>
            <w:r>
              <w:rPr>
                <w:color w:val="000000"/>
                <w:sz w:val="24"/>
              </w:rPr>
              <w:t>月</w:t>
            </w:r>
            <w:r>
              <w:rPr>
                <w:color w:val="000000"/>
                <w:sz w:val="24"/>
              </w:rPr>
              <w:t>27</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w:t>
            </w:r>
            <w:r>
              <w:rPr>
                <w:color w:val="000000"/>
                <w:sz w:val="24"/>
              </w:rPr>
              <w:t>证</w:t>
            </w:r>
            <w:r>
              <w:rPr>
                <w:color w:val="000000"/>
                <w:sz w:val="24"/>
              </w:rPr>
              <w:t>100</w:t>
            </w:r>
            <w:r>
              <w:rPr>
                <w:color w:val="000000"/>
                <w:sz w:val="24"/>
              </w:rPr>
              <w:t>交易型开放式指数证券投资基金联接基金的基金经理、易方达深证</w:t>
            </w:r>
            <w:r>
              <w:rPr>
                <w:color w:val="000000"/>
                <w:sz w:val="24"/>
              </w:rPr>
              <w:t>100</w:t>
            </w:r>
            <w:r>
              <w:rPr>
                <w:color w:val="000000"/>
                <w:sz w:val="24"/>
              </w:rPr>
              <w:t>交易型开放式指数基金的基金经理、易方达上证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的基金经理、易方达恒生中国企业交易型开放式指数证券投资基金联接基金的基金经理、易方达创业板交易型开放式指数证券投资基金联接基金的基金经理、易方达创业板交易</w:t>
            </w:r>
            <w:r>
              <w:rPr>
                <w:color w:val="000000"/>
                <w:sz w:val="24"/>
              </w:rPr>
              <w:lastRenderedPageBreak/>
              <w:t>型开放式指数证券投资基金的基金经理、易方达并购重组指数分级证券投资基金的基金经理、易方</w:t>
            </w:r>
            <w:r>
              <w:rPr>
                <w:color w:val="000000"/>
                <w:sz w:val="24"/>
              </w:rPr>
              <w:t>达</w:t>
            </w:r>
            <w:r>
              <w:rPr>
                <w:color w:val="000000"/>
                <w:sz w:val="24"/>
              </w:rPr>
              <w:t>MSCI</w:t>
            </w:r>
            <w:r>
              <w:rPr>
                <w:color w:val="000000"/>
                <w:sz w:val="24"/>
              </w:rPr>
              <w:t>中国</w:t>
            </w:r>
            <w:r>
              <w:rPr>
                <w:color w:val="000000"/>
                <w:sz w:val="24"/>
              </w:rPr>
              <w:t>A</w:t>
            </w:r>
            <w:r>
              <w:rPr>
                <w:color w:val="000000"/>
                <w:sz w:val="24"/>
              </w:rPr>
              <w:t>股国际通交易型开放式指数证券投资基金发起式联接基金的基金经理、易方达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1276" w:type="dxa"/>
            <w:vAlign w:val="center"/>
          </w:tcPr>
          <w:p w:rsidR="00BF1026" w:rsidRDefault="001E430A">
            <w:pPr>
              <w:jc w:val="center"/>
            </w:pPr>
            <w:r>
              <w:rPr>
                <w:color w:val="000000"/>
                <w:sz w:val="24"/>
              </w:rPr>
              <w:lastRenderedPageBreak/>
              <w:t>2018-08-11</w:t>
            </w:r>
          </w:p>
        </w:tc>
        <w:tc>
          <w:tcPr>
            <w:tcW w:w="1276" w:type="dxa"/>
            <w:vAlign w:val="center"/>
          </w:tcPr>
          <w:p w:rsidR="00BF1026" w:rsidRDefault="001E430A">
            <w:pPr>
              <w:jc w:val="center"/>
            </w:pPr>
            <w:r>
              <w:rPr>
                <w:color w:val="000000"/>
                <w:sz w:val="24"/>
              </w:rPr>
              <w:t>-</w:t>
            </w:r>
          </w:p>
        </w:tc>
        <w:tc>
          <w:tcPr>
            <w:tcW w:w="850" w:type="dxa"/>
            <w:vAlign w:val="center"/>
          </w:tcPr>
          <w:p w:rsidR="00BF1026" w:rsidRDefault="001E430A">
            <w:pPr>
              <w:jc w:val="center"/>
            </w:pPr>
            <w:r>
              <w:rPr>
                <w:color w:val="000000"/>
                <w:sz w:val="24"/>
              </w:rPr>
              <w:t>11</w:t>
            </w:r>
            <w:r>
              <w:rPr>
                <w:color w:val="000000"/>
                <w:sz w:val="24"/>
              </w:rPr>
              <w:t>年</w:t>
            </w:r>
          </w:p>
        </w:tc>
        <w:tc>
          <w:tcPr>
            <w:tcW w:w="1418" w:type="dxa"/>
            <w:vAlign w:val="center"/>
          </w:tcPr>
          <w:p w:rsidR="00BF1026" w:rsidRDefault="001E430A">
            <w:pPr>
              <w:jc w:val="left"/>
            </w:pPr>
            <w:r>
              <w:rPr>
                <w:color w:val="000000"/>
                <w:sz w:val="24"/>
              </w:rPr>
              <w:t>硕士研究生，曾任华泰联合证券资产管理部研究员，易方达基金管理有限公司集中交易室交易员、指数与量化投资部指数基金运作专员、基金经理助理。</w:t>
            </w:r>
          </w:p>
        </w:tc>
      </w:tr>
    </w:tbl>
    <w:p w:rsidR="00BF1026" w:rsidRDefault="001E430A">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w:t>
      </w:r>
      <w:r>
        <w:rPr>
          <w:color w:val="000000"/>
          <w:sz w:val="24"/>
        </w:rPr>
        <w:t>期。</w:t>
      </w:r>
    </w:p>
    <w:p w:rsidR="00F5013F" w:rsidRPr="006506EF" w:rsidRDefault="00F5013F" w:rsidP="00A70EAB">
      <w:pPr>
        <w:spacing w:line="360" w:lineRule="auto"/>
        <w:ind w:firstLineChars="200" w:firstLine="480"/>
        <w:rPr>
          <w:color w:val="000000"/>
          <w:sz w:val="24"/>
        </w:rPr>
      </w:pPr>
      <w:r w:rsidRPr="006506EF">
        <w:rPr>
          <w:color w:val="000000"/>
          <w:sz w:val="24"/>
        </w:rPr>
        <w:t>2.</w:t>
      </w:r>
      <w:r w:rsidRPr="006506EF">
        <w:rPr>
          <w:color w:val="000000"/>
          <w:sz w:val="24"/>
        </w:rPr>
        <w:t>证券从业的含义遵从《证券业从业人员资格管理办法》的相关规定。</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4.2 </w:t>
      </w:r>
      <w:r w:rsidRPr="006506EF">
        <w:rPr>
          <w:b/>
          <w:color w:val="000000"/>
          <w:kern w:val="0"/>
          <w:sz w:val="24"/>
        </w:rPr>
        <w:t>境外投资顾问为本基金提供投资建议的主要成员简介</w:t>
      </w:r>
    </w:p>
    <w:p w:rsidR="00F5013F" w:rsidRPr="006506EF" w:rsidRDefault="00F5013F" w:rsidP="00A70EAB">
      <w:pPr>
        <w:spacing w:line="360" w:lineRule="auto"/>
        <w:ind w:firstLineChars="200" w:firstLine="480"/>
        <w:rPr>
          <w:color w:val="000000"/>
          <w:sz w:val="24"/>
        </w:rPr>
      </w:pPr>
      <w:r w:rsidRPr="006506EF">
        <w:rPr>
          <w:color w:val="000000"/>
          <w:sz w:val="24"/>
        </w:rPr>
        <w:t>本基金未聘请境外投资顾问。</w:t>
      </w:r>
    </w:p>
    <w:p w:rsidR="00F5013F" w:rsidRPr="006506EF" w:rsidRDefault="00F5013F" w:rsidP="00A70E23">
      <w:pPr>
        <w:autoSpaceDE w:val="0"/>
        <w:autoSpaceDN w:val="0"/>
        <w:adjustRightInd w:val="0"/>
        <w:spacing w:line="360" w:lineRule="auto"/>
        <w:jc w:val="left"/>
        <w:rPr>
          <w:b/>
          <w:color w:val="000000"/>
          <w:kern w:val="0"/>
          <w:sz w:val="24"/>
        </w:rPr>
      </w:pPr>
      <w:r w:rsidRPr="006506EF">
        <w:rPr>
          <w:b/>
          <w:color w:val="000000"/>
          <w:kern w:val="0"/>
          <w:sz w:val="24"/>
        </w:rPr>
        <w:t xml:space="preserve">4.3 </w:t>
      </w:r>
      <w:r w:rsidRPr="006506EF">
        <w:rPr>
          <w:b/>
          <w:color w:val="000000"/>
          <w:kern w:val="0"/>
          <w:sz w:val="24"/>
        </w:rPr>
        <w:t>报告期内本基金运作遵规守信情况说明</w:t>
      </w:r>
    </w:p>
    <w:p w:rsidR="00F5013F" w:rsidRPr="006506EF" w:rsidRDefault="00F5013F" w:rsidP="00A70EAB">
      <w:pPr>
        <w:spacing w:line="360" w:lineRule="auto"/>
        <w:ind w:firstLineChars="200" w:firstLine="480"/>
        <w:rPr>
          <w:color w:val="000000"/>
          <w:sz w:val="24"/>
        </w:rPr>
      </w:pPr>
      <w:r w:rsidRPr="006506EF">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5013F" w:rsidRPr="006506EF" w:rsidRDefault="00F5013F" w:rsidP="00A70E23">
      <w:pPr>
        <w:autoSpaceDE w:val="0"/>
        <w:autoSpaceDN w:val="0"/>
        <w:adjustRightInd w:val="0"/>
        <w:spacing w:line="360" w:lineRule="auto"/>
        <w:jc w:val="left"/>
        <w:rPr>
          <w:b/>
          <w:color w:val="000000"/>
          <w:kern w:val="0"/>
          <w:sz w:val="24"/>
        </w:rPr>
      </w:pPr>
      <w:r w:rsidRPr="006506EF">
        <w:rPr>
          <w:b/>
          <w:color w:val="000000"/>
          <w:kern w:val="0"/>
          <w:sz w:val="24"/>
        </w:rPr>
        <w:t xml:space="preserve">4.4 </w:t>
      </w:r>
      <w:r w:rsidRPr="006506EF">
        <w:rPr>
          <w:b/>
          <w:color w:val="000000"/>
          <w:kern w:val="0"/>
          <w:sz w:val="24"/>
        </w:rPr>
        <w:t>公平交易专项说明</w:t>
      </w:r>
    </w:p>
    <w:p w:rsidR="00F5013F" w:rsidRPr="006506EF" w:rsidRDefault="00F5013F" w:rsidP="00A70E23">
      <w:pPr>
        <w:spacing w:line="360" w:lineRule="auto"/>
        <w:rPr>
          <w:sz w:val="24"/>
        </w:rPr>
      </w:pPr>
      <w:r w:rsidRPr="006506EF">
        <w:rPr>
          <w:sz w:val="24"/>
        </w:rPr>
        <w:t xml:space="preserve">4.4.1 </w:t>
      </w:r>
      <w:r w:rsidRPr="006506EF">
        <w:rPr>
          <w:sz w:val="24"/>
        </w:rPr>
        <w:t>公平交易制度的执行情况</w:t>
      </w:r>
    </w:p>
    <w:p w:rsidR="00F5013F" w:rsidRPr="006506EF" w:rsidRDefault="00F5013F" w:rsidP="00547F92">
      <w:pPr>
        <w:spacing w:line="360" w:lineRule="auto"/>
        <w:ind w:firstLineChars="200" w:firstLine="480"/>
        <w:rPr>
          <w:color w:val="000000"/>
          <w:sz w:val="24"/>
        </w:rPr>
      </w:pPr>
      <w:r w:rsidRPr="006506EF">
        <w:rPr>
          <w:color w:val="000000"/>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F5013F" w:rsidRPr="006506EF" w:rsidRDefault="00F5013F" w:rsidP="00A70E23">
      <w:pPr>
        <w:spacing w:line="360" w:lineRule="auto"/>
        <w:rPr>
          <w:sz w:val="24"/>
        </w:rPr>
      </w:pPr>
      <w:r w:rsidRPr="006506EF">
        <w:rPr>
          <w:sz w:val="24"/>
        </w:rPr>
        <w:t>4.4.2</w:t>
      </w:r>
      <w:r w:rsidRPr="006506EF">
        <w:rPr>
          <w:sz w:val="24"/>
        </w:rPr>
        <w:t>异常交易行为的专项说明</w:t>
      </w:r>
    </w:p>
    <w:p w:rsidR="00BF1026" w:rsidRDefault="001E430A">
      <w:pPr>
        <w:spacing w:line="360" w:lineRule="auto"/>
        <w:ind w:firstLineChars="200" w:firstLine="480"/>
        <w:rPr>
          <w:color w:val="000000"/>
          <w:sz w:val="24"/>
        </w:rPr>
      </w:pPr>
      <w:r>
        <w:rPr>
          <w:color w:val="000000"/>
          <w:sz w:val="24"/>
        </w:rPr>
        <w:t>本报告期内，公司旗下所有投资组合参与的交易所公开竞价交易中，同日反向交易成交较少的单边交易量超过该证券当日成交量的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5013F" w:rsidRPr="006506EF" w:rsidRDefault="00F5013F" w:rsidP="00A70EAB">
      <w:pPr>
        <w:spacing w:line="360" w:lineRule="auto"/>
        <w:ind w:firstLineChars="200" w:firstLine="480"/>
        <w:rPr>
          <w:color w:val="000000"/>
          <w:sz w:val="24"/>
        </w:rPr>
      </w:pPr>
      <w:r w:rsidRPr="006506EF">
        <w:rPr>
          <w:color w:val="000000"/>
          <w:sz w:val="24"/>
        </w:rPr>
        <w:lastRenderedPageBreak/>
        <w:t>本报告期内，未发现本基金有可能导致不公平交易和利益输送的异常交易。</w:t>
      </w:r>
    </w:p>
    <w:p w:rsidR="00F5013F" w:rsidRPr="006506EF" w:rsidRDefault="00F5013F" w:rsidP="00E13203">
      <w:pPr>
        <w:autoSpaceDE w:val="0"/>
        <w:autoSpaceDN w:val="0"/>
        <w:adjustRightInd w:val="0"/>
        <w:spacing w:line="360" w:lineRule="auto"/>
        <w:jc w:val="left"/>
        <w:rPr>
          <w:sz w:val="24"/>
        </w:rPr>
      </w:pPr>
      <w:r w:rsidRPr="006506EF">
        <w:rPr>
          <w:b/>
          <w:color w:val="000000"/>
          <w:kern w:val="0"/>
          <w:sz w:val="24"/>
        </w:rPr>
        <w:t>4.5</w:t>
      </w:r>
      <w:r w:rsidR="006F7291">
        <w:rPr>
          <w:rFonts w:hint="eastAsia"/>
          <w:b/>
          <w:color w:val="000000"/>
          <w:kern w:val="0"/>
          <w:sz w:val="24"/>
        </w:rPr>
        <w:t xml:space="preserve"> </w:t>
      </w:r>
      <w:r w:rsidR="00E13203" w:rsidRPr="00E13203">
        <w:rPr>
          <w:rFonts w:hint="eastAsia"/>
          <w:b/>
          <w:color w:val="000000"/>
          <w:kern w:val="0"/>
          <w:sz w:val="24"/>
        </w:rPr>
        <w:t>报告期内基金的投资策略和业绩表现说明</w:t>
      </w:r>
    </w:p>
    <w:p w:rsidR="00BF1026" w:rsidRDefault="001E430A">
      <w:pPr>
        <w:spacing w:line="360" w:lineRule="auto"/>
        <w:ind w:firstLineChars="200" w:firstLine="480"/>
        <w:rPr>
          <w:color w:val="000000"/>
          <w:sz w:val="24"/>
        </w:rPr>
      </w:pPr>
      <w:r>
        <w:rPr>
          <w:color w:val="000000"/>
          <w:sz w:val="24"/>
        </w:rPr>
        <w:t>本基金跟踪的标的指数为恒生中国企业指数，恒生中国企业指数为在香港上市交易的内地公司，涵盖了</w:t>
      </w:r>
      <w:r>
        <w:rPr>
          <w:color w:val="000000"/>
          <w:sz w:val="24"/>
        </w:rPr>
        <w:t>H</w:t>
      </w:r>
      <w:r>
        <w:rPr>
          <w:color w:val="000000"/>
          <w:sz w:val="24"/>
        </w:rPr>
        <w:t>股、红筹股及民营企业。上市公司的基本面变化取决于国内经济的增长前景，但市场交易主体包括欧美等海外资金，流动性受欧美等发达经济体的直接影响。该指数是香港市场最具影响力的基准指数之一。本基金主要采取组合复制策略和适当的替代性策略实现对标的指数的紧密跟踪。</w:t>
      </w:r>
    </w:p>
    <w:p w:rsidR="00BF1026" w:rsidRDefault="001E430A">
      <w:pPr>
        <w:spacing w:line="360" w:lineRule="auto"/>
        <w:ind w:firstLineChars="200" w:firstLine="480"/>
        <w:rPr>
          <w:color w:val="000000"/>
          <w:sz w:val="24"/>
        </w:rPr>
      </w:pPr>
      <w:r>
        <w:rPr>
          <w:color w:val="000000"/>
          <w:sz w:val="24"/>
        </w:rPr>
        <w:t>2019</w:t>
      </w:r>
      <w:r>
        <w:rPr>
          <w:color w:val="000000"/>
          <w:sz w:val="24"/>
        </w:rPr>
        <w:t>年第三季度，欧美经济数据整体偏负面，尤其是美国</w:t>
      </w:r>
      <w:r>
        <w:rPr>
          <w:color w:val="000000"/>
          <w:sz w:val="24"/>
        </w:rPr>
        <w:t>9</w:t>
      </w:r>
      <w:r>
        <w:rPr>
          <w:color w:val="000000"/>
          <w:sz w:val="24"/>
        </w:rPr>
        <w:t>月制造业</w:t>
      </w:r>
      <w:r>
        <w:rPr>
          <w:color w:val="000000"/>
          <w:sz w:val="24"/>
        </w:rPr>
        <w:t>PMI</w:t>
      </w:r>
      <w:r>
        <w:rPr>
          <w:color w:val="000000"/>
          <w:sz w:val="24"/>
        </w:rPr>
        <w:t>创下</w:t>
      </w:r>
      <w:r>
        <w:rPr>
          <w:color w:val="000000"/>
          <w:sz w:val="24"/>
        </w:rPr>
        <w:t>2009</w:t>
      </w:r>
      <w:r>
        <w:rPr>
          <w:color w:val="000000"/>
          <w:sz w:val="24"/>
        </w:rPr>
        <w:t>年以来的新低。海外各国也陆续进入货币宽松阶段，美</w:t>
      </w:r>
      <w:r>
        <w:rPr>
          <w:color w:val="000000"/>
          <w:sz w:val="24"/>
        </w:rPr>
        <w:t>联储的降息符合预期，并且年内再次降息的概率维持在高位。受此影响，香港市场的风险偏好有提升可能。</w:t>
      </w:r>
    </w:p>
    <w:p w:rsidR="00BF1026" w:rsidRDefault="001E430A">
      <w:pPr>
        <w:spacing w:line="360" w:lineRule="auto"/>
        <w:ind w:firstLineChars="200" w:firstLine="480"/>
        <w:rPr>
          <w:color w:val="000000"/>
          <w:sz w:val="24"/>
        </w:rPr>
      </w:pPr>
      <w:r>
        <w:rPr>
          <w:color w:val="000000"/>
          <w:sz w:val="24"/>
        </w:rPr>
        <w:t>后续如果中美之间由贸易摩擦进一步向金融等领域演变，再叠加</w:t>
      </w:r>
      <w:r>
        <w:rPr>
          <w:color w:val="000000"/>
          <w:sz w:val="24"/>
        </w:rPr>
        <w:t>10</w:t>
      </w:r>
      <w:r>
        <w:rPr>
          <w:color w:val="000000"/>
          <w:sz w:val="24"/>
        </w:rPr>
        <w:t>月份海外市场事件（英国脱欧）对市场可能会有短期冲击。</w:t>
      </w:r>
    </w:p>
    <w:p w:rsidR="00BF1026" w:rsidRDefault="001E430A">
      <w:pPr>
        <w:spacing w:line="360" w:lineRule="auto"/>
        <w:ind w:firstLineChars="200" w:firstLine="480"/>
        <w:rPr>
          <w:color w:val="000000"/>
          <w:sz w:val="24"/>
        </w:rPr>
      </w:pPr>
      <w:r>
        <w:rPr>
          <w:color w:val="000000"/>
          <w:sz w:val="24"/>
        </w:rPr>
        <w:t>中国内地整体经济增速虽然短期放缓，但在产业政策，减税降费等政策的引导下，经济结构逐步优化，也为中长期的增长创造空间。</w:t>
      </w:r>
    </w:p>
    <w:p w:rsidR="00BF1026" w:rsidRDefault="001E430A">
      <w:pPr>
        <w:spacing w:line="360" w:lineRule="auto"/>
        <w:ind w:firstLineChars="200" w:firstLine="480"/>
        <w:rPr>
          <w:color w:val="000000"/>
          <w:sz w:val="24"/>
        </w:rPr>
      </w:pPr>
      <w:r>
        <w:rPr>
          <w:color w:val="000000"/>
          <w:sz w:val="24"/>
        </w:rPr>
        <w:t>另外，恒生中国企业指数成份股业务基本都在内地开展，几乎不受香港地区环境影响，但是整体港股低迷还是拉低了指数估值。这种</w:t>
      </w:r>
      <w:r>
        <w:rPr>
          <w:color w:val="000000"/>
          <w:sz w:val="24"/>
        </w:rPr>
        <w:t>“</w:t>
      </w:r>
      <w:r>
        <w:rPr>
          <w:color w:val="000000"/>
          <w:sz w:val="24"/>
        </w:rPr>
        <w:t>错杀</w:t>
      </w:r>
      <w:r>
        <w:rPr>
          <w:color w:val="000000"/>
          <w:sz w:val="24"/>
        </w:rPr>
        <w:t>”</w:t>
      </w:r>
      <w:r>
        <w:rPr>
          <w:color w:val="000000"/>
          <w:sz w:val="24"/>
        </w:rPr>
        <w:t>反而给长期投资者带来捡便宜的机会。</w:t>
      </w:r>
    </w:p>
    <w:p w:rsidR="00BF1026" w:rsidRDefault="001E430A">
      <w:pPr>
        <w:spacing w:line="360" w:lineRule="auto"/>
        <w:ind w:firstLineChars="200" w:firstLine="480"/>
        <w:rPr>
          <w:color w:val="000000"/>
          <w:sz w:val="24"/>
        </w:rPr>
      </w:pPr>
      <w:r>
        <w:rPr>
          <w:color w:val="000000"/>
          <w:sz w:val="24"/>
        </w:rPr>
        <w:t>恒生中国企业指数</w:t>
      </w:r>
      <w:r>
        <w:rPr>
          <w:color w:val="000000"/>
          <w:sz w:val="24"/>
        </w:rPr>
        <w:t>2018</w:t>
      </w:r>
      <w:r>
        <w:rPr>
          <w:color w:val="000000"/>
          <w:sz w:val="24"/>
        </w:rPr>
        <w:t>年</w:t>
      </w:r>
      <w:r>
        <w:rPr>
          <w:color w:val="000000"/>
          <w:sz w:val="24"/>
        </w:rPr>
        <w:t>3</w:t>
      </w:r>
      <w:r>
        <w:rPr>
          <w:color w:val="000000"/>
          <w:sz w:val="24"/>
        </w:rPr>
        <w:t>月开始扩容优化，在原有</w:t>
      </w:r>
      <w:r>
        <w:rPr>
          <w:color w:val="000000"/>
          <w:sz w:val="24"/>
        </w:rPr>
        <w:t>40</w:t>
      </w:r>
      <w:r>
        <w:rPr>
          <w:color w:val="000000"/>
          <w:sz w:val="24"/>
        </w:rPr>
        <w:t>只成份股的基础上，新增</w:t>
      </w:r>
      <w:r>
        <w:rPr>
          <w:color w:val="000000"/>
          <w:sz w:val="24"/>
        </w:rPr>
        <w:t>10</w:t>
      </w:r>
      <w:r>
        <w:rPr>
          <w:color w:val="000000"/>
          <w:sz w:val="24"/>
        </w:rPr>
        <w:t>只红筹股和民营企业股，优化过程已于</w:t>
      </w:r>
      <w:r>
        <w:rPr>
          <w:color w:val="000000"/>
          <w:sz w:val="24"/>
        </w:rPr>
        <w:t>2019</w:t>
      </w:r>
      <w:r>
        <w:rPr>
          <w:color w:val="000000"/>
          <w:sz w:val="24"/>
        </w:rPr>
        <w:t>年</w:t>
      </w:r>
      <w:r>
        <w:rPr>
          <w:color w:val="000000"/>
          <w:sz w:val="24"/>
        </w:rPr>
        <w:t>3</w:t>
      </w:r>
      <w:r>
        <w:rPr>
          <w:color w:val="000000"/>
          <w:sz w:val="24"/>
        </w:rPr>
        <w:t>月完成。此外，从</w:t>
      </w:r>
      <w:r>
        <w:rPr>
          <w:color w:val="000000"/>
          <w:sz w:val="24"/>
        </w:rPr>
        <w:t>2019</w:t>
      </w:r>
      <w:r>
        <w:rPr>
          <w:color w:val="000000"/>
          <w:sz w:val="24"/>
        </w:rPr>
        <w:t>年</w:t>
      </w:r>
      <w:r>
        <w:rPr>
          <w:color w:val="000000"/>
          <w:sz w:val="24"/>
        </w:rPr>
        <w:t>6</w:t>
      </w:r>
      <w:r>
        <w:rPr>
          <w:color w:val="000000"/>
          <w:sz w:val="24"/>
        </w:rPr>
        <w:t>月之后，指数将不再对红筹股和民营企业数量设置上限。目前指数中红筹股和民营企业数量为</w:t>
      </w:r>
      <w:r>
        <w:rPr>
          <w:color w:val="000000"/>
          <w:sz w:val="24"/>
        </w:rPr>
        <w:t>15</w:t>
      </w:r>
      <w:r>
        <w:rPr>
          <w:color w:val="000000"/>
          <w:sz w:val="24"/>
        </w:rPr>
        <w:t>只，权重合计在</w:t>
      </w:r>
      <w:r>
        <w:rPr>
          <w:color w:val="000000"/>
          <w:sz w:val="24"/>
        </w:rPr>
        <w:t>28%</w:t>
      </w:r>
      <w:r>
        <w:rPr>
          <w:color w:val="000000"/>
          <w:sz w:val="24"/>
        </w:rPr>
        <w:t>上下。随着成份股的调整，恒生国企指数的成长性较之前有所改善。优化后的指数更全面地代表了香港上市的中国企业整体表现。</w:t>
      </w:r>
    </w:p>
    <w:p w:rsidR="00BF1026" w:rsidRDefault="001E430A">
      <w:pPr>
        <w:spacing w:line="360" w:lineRule="auto"/>
        <w:ind w:firstLineChars="200" w:firstLine="480"/>
        <w:rPr>
          <w:color w:val="000000"/>
          <w:sz w:val="24"/>
        </w:rPr>
      </w:pPr>
      <w:r>
        <w:rPr>
          <w:color w:val="000000"/>
          <w:sz w:val="24"/>
        </w:rPr>
        <w:t>基金运作层面，报告期内，本基金严守基金合同认真对待投资者申购、赎回以及成分股调整事项，保障基金的正常运作。</w:t>
      </w:r>
    </w:p>
    <w:p w:rsidR="00BF1026" w:rsidRDefault="001E430A">
      <w:pPr>
        <w:spacing w:line="360" w:lineRule="auto"/>
        <w:ind w:firstLineChars="200" w:firstLine="480"/>
        <w:rPr>
          <w:color w:val="000000"/>
          <w:sz w:val="24"/>
        </w:rPr>
      </w:pPr>
      <w:r>
        <w:rPr>
          <w:color w:val="000000"/>
          <w:sz w:val="24"/>
        </w:rPr>
        <w:t>截至报告期末，本基金份额净值为</w:t>
      </w:r>
      <w:r>
        <w:rPr>
          <w:color w:val="000000"/>
          <w:sz w:val="24"/>
        </w:rPr>
        <w:t>1.1726</w:t>
      </w:r>
      <w:r>
        <w:rPr>
          <w:color w:val="000000"/>
          <w:sz w:val="24"/>
        </w:rPr>
        <w:t>元，本报告期份额净值增长率为</w:t>
      </w:r>
      <w:r>
        <w:rPr>
          <w:color w:val="000000"/>
          <w:sz w:val="24"/>
        </w:rPr>
        <w:t>-3.23%</w:t>
      </w:r>
      <w:r>
        <w:rPr>
          <w:color w:val="000000"/>
          <w:sz w:val="24"/>
        </w:rPr>
        <w:t>，同期业绩比较基准收益率为</w:t>
      </w:r>
      <w:r>
        <w:rPr>
          <w:color w:val="000000"/>
          <w:sz w:val="24"/>
        </w:rPr>
        <w:t>-3.88%</w:t>
      </w:r>
      <w:r>
        <w:rPr>
          <w:color w:val="000000"/>
          <w:sz w:val="24"/>
        </w:rPr>
        <w:t>。</w:t>
      </w:r>
    </w:p>
    <w:p w:rsidR="00F5013F" w:rsidRPr="006506EF" w:rsidRDefault="00F5013F" w:rsidP="00A70EAB">
      <w:pPr>
        <w:spacing w:line="360" w:lineRule="auto"/>
        <w:ind w:firstLineChars="200" w:firstLine="480"/>
        <w:rPr>
          <w:color w:val="000000"/>
          <w:sz w:val="24"/>
        </w:rPr>
      </w:pPr>
      <w:r w:rsidRPr="006506EF">
        <w:rPr>
          <w:color w:val="000000"/>
          <w:sz w:val="24"/>
        </w:rPr>
        <w:t>本报告期，本基金日跟踪偏离度的均值为</w:t>
      </w:r>
      <w:r w:rsidRPr="006506EF">
        <w:rPr>
          <w:color w:val="000000"/>
          <w:sz w:val="24"/>
        </w:rPr>
        <w:t>0.03%</w:t>
      </w:r>
      <w:r w:rsidRPr="006506EF">
        <w:rPr>
          <w:color w:val="000000"/>
          <w:sz w:val="24"/>
        </w:rPr>
        <w:t>，年化跟踪误差</w:t>
      </w:r>
      <w:r w:rsidRPr="006506EF">
        <w:rPr>
          <w:color w:val="000000"/>
          <w:sz w:val="24"/>
        </w:rPr>
        <w:t>1.02%</w:t>
      </w:r>
      <w:r w:rsidRPr="006506EF">
        <w:rPr>
          <w:color w:val="000000"/>
          <w:sz w:val="24"/>
        </w:rPr>
        <w:t>，在</w:t>
      </w:r>
      <w:r w:rsidRPr="006506EF">
        <w:rPr>
          <w:color w:val="000000"/>
          <w:sz w:val="24"/>
        </w:rPr>
        <w:lastRenderedPageBreak/>
        <w:t>合同规定的目标控制范围之内。</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§5  </w:t>
      </w:r>
      <w:r w:rsidRPr="006506EF">
        <w:rPr>
          <w:color w:val="000000"/>
          <w:kern w:val="0"/>
          <w:sz w:val="24"/>
          <w:szCs w:val="24"/>
        </w:rPr>
        <w:t>投资组合报告</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5.1 </w:t>
      </w:r>
      <w:r w:rsidRPr="006506EF">
        <w:rPr>
          <w:b/>
          <w:color w:val="000000"/>
          <w:kern w:val="0"/>
          <w:sz w:val="24"/>
        </w:rPr>
        <w:t>报告期末基金资产组合情况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253"/>
        <w:gridCol w:w="2835"/>
        <w:gridCol w:w="1559"/>
      </w:tblGrid>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序号</w:t>
            </w:r>
          </w:p>
        </w:tc>
        <w:tc>
          <w:tcPr>
            <w:tcW w:w="4253"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项目</w:t>
            </w:r>
          </w:p>
        </w:tc>
        <w:tc>
          <w:tcPr>
            <w:tcW w:w="2835"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金额</w:t>
            </w:r>
            <w:r w:rsidRPr="006506EF">
              <w:rPr>
                <w:color w:val="000000"/>
                <w:sz w:val="24"/>
              </w:rPr>
              <w:t>(</w:t>
            </w:r>
            <w:r w:rsidRPr="006506EF">
              <w:rPr>
                <w:color w:val="000000"/>
                <w:sz w:val="24"/>
              </w:rPr>
              <w:t>人民币元</w:t>
            </w:r>
            <w:r w:rsidRPr="006506EF">
              <w:rPr>
                <w:color w:val="000000"/>
                <w:sz w:val="24"/>
              </w:rPr>
              <w:t>)</w:t>
            </w:r>
          </w:p>
        </w:tc>
        <w:tc>
          <w:tcPr>
            <w:tcW w:w="1559"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占基金总资产的比例</w:t>
            </w: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1</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权益投资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8,640,214,154.31</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97.65</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其中：普通股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8,640,214,154.31</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97.65</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存托凭证</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优先股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spacing w:before="29" w:line="360" w:lineRule="auto"/>
              <w:ind w:left="17" w:firstLineChars="300" w:firstLine="720"/>
              <w:jc w:val="left"/>
              <w:rPr>
                <w:color w:val="000000"/>
                <w:sz w:val="24"/>
              </w:rPr>
            </w:pPr>
            <w:r w:rsidRPr="006506EF">
              <w:rPr>
                <w:color w:val="000000"/>
                <w:sz w:val="24"/>
              </w:rPr>
              <w:t>房地产信托</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tcPr>
          <w:p w:rsidR="00F5013F" w:rsidRPr="006506EF" w:rsidRDefault="00F5013F" w:rsidP="00B25BE8">
            <w:pPr>
              <w:adjustRightInd w:val="0"/>
              <w:snapToGrid w:val="0"/>
              <w:spacing w:line="400" w:lineRule="exact"/>
              <w:jc w:val="center"/>
              <w:rPr>
                <w:color w:val="000000"/>
                <w:sz w:val="24"/>
              </w:rPr>
            </w:pPr>
            <w:r w:rsidRPr="006506EF">
              <w:rPr>
                <w:color w:val="000000"/>
                <w:sz w:val="24"/>
              </w:rPr>
              <w:t>2</w:t>
            </w: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基金投资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3</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固定收益投资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其中：债券</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547F92">
            <w:pPr>
              <w:autoSpaceDE w:val="0"/>
              <w:autoSpaceDN w:val="0"/>
              <w:adjustRightInd w:val="0"/>
              <w:spacing w:before="29" w:line="360" w:lineRule="auto"/>
              <w:ind w:left="17" w:firstLineChars="300" w:firstLine="720"/>
              <w:jc w:val="left"/>
              <w:rPr>
                <w:color w:val="000000"/>
                <w:sz w:val="24"/>
              </w:rPr>
            </w:pPr>
            <w:r w:rsidRPr="006506EF">
              <w:rPr>
                <w:color w:val="000000"/>
                <w:sz w:val="24"/>
              </w:rPr>
              <w:t>资产支持证券</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4</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金融衍生品投资</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其中：远期</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Del="00455464" w:rsidRDefault="00F5013F" w:rsidP="00547F92">
            <w:pPr>
              <w:adjustRightInd w:val="0"/>
              <w:snapToGrid w:val="0"/>
              <w:spacing w:line="400" w:lineRule="exact"/>
              <w:ind w:firstLineChars="300" w:firstLine="720"/>
              <w:rPr>
                <w:color w:val="000000"/>
                <w:sz w:val="24"/>
              </w:rPr>
            </w:pPr>
            <w:r w:rsidRPr="006506EF">
              <w:rPr>
                <w:color w:val="000000"/>
                <w:sz w:val="24"/>
              </w:rPr>
              <w:t>期货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547F92">
            <w:pPr>
              <w:adjustRightInd w:val="0"/>
              <w:snapToGrid w:val="0"/>
              <w:spacing w:line="400" w:lineRule="exact"/>
              <w:ind w:firstLineChars="300" w:firstLine="720"/>
              <w:rPr>
                <w:color w:val="000000"/>
                <w:sz w:val="24"/>
              </w:rPr>
            </w:pPr>
            <w:r w:rsidRPr="006506EF">
              <w:rPr>
                <w:color w:val="000000"/>
                <w:sz w:val="24"/>
              </w:rPr>
              <w:t>期权</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tcPr>
          <w:p w:rsidR="00F5013F" w:rsidRPr="006506EF" w:rsidRDefault="00F5013F" w:rsidP="00547F92">
            <w:pPr>
              <w:adjustRightInd w:val="0"/>
              <w:snapToGrid w:val="0"/>
              <w:spacing w:line="400" w:lineRule="exact"/>
              <w:ind w:firstLineChars="298" w:firstLine="715"/>
              <w:rPr>
                <w:color w:val="000000"/>
                <w:sz w:val="24"/>
              </w:rPr>
            </w:pPr>
            <w:r w:rsidRPr="006506EF">
              <w:rPr>
                <w:color w:val="000000"/>
                <w:sz w:val="24"/>
              </w:rPr>
              <w:t>权证</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5</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买入返售金融资产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其中：买断式回购的买入返售金融资产</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tcPr>
          <w:p w:rsidR="00F5013F" w:rsidRPr="006506EF" w:rsidRDefault="00F5013F" w:rsidP="00B25BE8">
            <w:pPr>
              <w:adjustRightInd w:val="0"/>
              <w:snapToGrid w:val="0"/>
              <w:spacing w:line="400" w:lineRule="exact"/>
              <w:jc w:val="center"/>
              <w:rPr>
                <w:color w:val="000000"/>
                <w:sz w:val="24"/>
              </w:rPr>
            </w:pPr>
            <w:r w:rsidRPr="006506EF">
              <w:rPr>
                <w:color w:val="000000"/>
                <w:sz w:val="24"/>
              </w:rPr>
              <w:t>6</w:t>
            </w:r>
          </w:p>
        </w:tc>
        <w:tc>
          <w:tcPr>
            <w:tcW w:w="4253" w:type="dxa"/>
          </w:tcPr>
          <w:p w:rsidR="00F5013F" w:rsidRPr="006506EF" w:rsidRDefault="00F5013F" w:rsidP="00B25BE8">
            <w:pPr>
              <w:adjustRightInd w:val="0"/>
              <w:snapToGrid w:val="0"/>
              <w:spacing w:line="400" w:lineRule="exact"/>
              <w:rPr>
                <w:color w:val="000000"/>
                <w:sz w:val="24"/>
              </w:rPr>
            </w:pPr>
            <w:r w:rsidRPr="006506EF">
              <w:rPr>
                <w:color w:val="000000"/>
                <w:sz w:val="24"/>
              </w:rPr>
              <w:t>货币市场工具</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w:t>
            </w:r>
          </w:p>
        </w:tc>
      </w:tr>
      <w:tr w:rsidR="00F5013F" w:rsidRPr="006506EF" w:rsidTr="00592EFF">
        <w:tc>
          <w:tcPr>
            <w:tcW w:w="851" w:type="dxa"/>
            <w:vAlign w:val="center"/>
          </w:tcPr>
          <w:p w:rsidR="00F5013F" w:rsidRPr="006506EF" w:rsidRDefault="00F5013F" w:rsidP="00B918B8">
            <w:pPr>
              <w:spacing w:before="29" w:line="360" w:lineRule="auto"/>
              <w:ind w:left="17"/>
              <w:jc w:val="center"/>
              <w:rPr>
                <w:color w:val="000000"/>
                <w:sz w:val="24"/>
              </w:rPr>
            </w:pPr>
            <w:r w:rsidRPr="006506EF">
              <w:rPr>
                <w:color w:val="000000"/>
                <w:sz w:val="24"/>
              </w:rPr>
              <w:t>7</w:t>
            </w:r>
          </w:p>
        </w:tc>
        <w:tc>
          <w:tcPr>
            <w:tcW w:w="4253" w:type="dxa"/>
            <w:vAlign w:val="center"/>
          </w:tcPr>
          <w:p w:rsidR="00F5013F" w:rsidRPr="006506EF" w:rsidRDefault="00F5013F" w:rsidP="00B918B8">
            <w:pPr>
              <w:spacing w:before="29" w:line="360" w:lineRule="auto"/>
              <w:ind w:left="17"/>
              <w:jc w:val="left"/>
              <w:rPr>
                <w:sz w:val="24"/>
              </w:rPr>
            </w:pPr>
            <w:r w:rsidRPr="006506EF">
              <w:rPr>
                <w:color w:val="000000"/>
                <w:sz w:val="24"/>
              </w:rPr>
              <w:t>银行存款和结算备付金合计</w:t>
            </w:r>
          </w:p>
        </w:tc>
        <w:tc>
          <w:tcPr>
            <w:tcW w:w="2835"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170,251,838.69</w:t>
            </w:r>
          </w:p>
        </w:tc>
        <w:tc>
          <w:tcPr>
            <w:tcW w:w="1559" w:type="dxa"/>
            <w:vAlign w:val="center"/>
          </w:tcPr>
          <w:p w:rsidR="00F5013F" w:rsidRPr="006506EF" w:rsidRDefault="00F5013F" w:rsidP="00BF1DD5">
            <w:pPr>
              <w:spacing w:before="29" w:line="360" w:lineRule="auto"/>
              <w:ind w:left="17"/>
              <w:jc w:val="right"/>
              <w:rPr>
                <w:color w:val="000000"/>
                <w:sz w:val="24"/>
              </w:rPr>
            </w:pPr>
            <w:r w:rsidRPr="006506EF">
              <w:rPr>
                <w:color w:val="000000"/>
                <w:sz w:val="24"/>
              </w:rPr>
              <w:t>1.92</w:t>
            </w:r>
          </w:p>
        </w:tc>
      </w:tr>
      <w:tr w:rsidR="00F5013F" w:rsidRPr="006506EF" w:rsidTr="00592EFF">
        <w:tc>
          <w:tcPr>
            <w:tcW w:w="851" w:type="dxa"/>
            <w:vAlign w:val="center"/>
          </w:tcPr>
          <w:p w:rsidR="00F5013F" w:rsidRPr="006506EF" w:rsidRDefault="00F5013F" w:rsidP="00466B17">
            <w:pPr>
              <w:spacing w:before="29" w:line="360" w:lineRule="auto"/>
              <w:ind w:left="17"/>
              <w:jc w:val="center"/>
              <w:rPr>
                <w:color w:val="000000"/>
                <w:sz w:val="24"/>
              </w:rPr>
            </w:pPr>
            <w:r w:rsidRPr="006506EF">
              <w:rPr>
                <w:color w:val="000000"/>
                <w:sz w:val="24"/>
              </w:rPr>
              <w:t>8</w:t>
            </w:r>
          </w:p>
        </w:tc>
        <w:tc>
          <w:tcPr>
            <w:tcW w:w="4253" w:type="dxa"/>
            <w:vAlign w:val="center"/>
          </w:tcPr>
          <w:p w:rsidR="00F5013F" w:rsidRPr="006506EF" w:rsidRDefault="00F5013F" w:rsidP="00B918B8">
            <w:pPr>
              <w:jc w:val="left"/>
              <w:rPr>
                <w:sz w:val="24"/>
              </w:rPr>
            </w:pPr>
            <w:r w:rsidRPr="006506EF">
              <w:rPr>
                <w:color w:val="000000"/>
                <w:sz w:val="24"/>
              </w:rPr>
              <w:t>其他资产</w:t>
            </w:r>
          </w:p>
        </w:tc>
        <w:tc>
          <w:tcPr>
            <w:tcW w:w="2835" w:type="dxa"/>
            <w:vAlign w:val="center"/>
          </w:tcPr>
          <w:p w:rsidR="00F5013F" w:rsidRPr="006506EF" w:rsidRDefault="00F5013F" w:rsidP="00BF1DD5">
            <w:pPr>
              <w:jc w:val="right"/>
              <w:rPr>
                <w:color w:val="000000"/>
                <w:sz w:val="24"/>
              </w:rPr>
            </w:pPr>
            <w:r w:rsidRPr="006506EF">
              <w:rPr>
                <w:color w:val="000000"/>
                <w:sz w:val="24"/>
              </w:rPr>
              <w:t>37,230,514.59</w:t>
            </w:r>
          </w:p>
        </w:tc>
        <w:tc>
          <w:tcPr>
            <w:tcW w:w="1559" w:type="dxa"/>
            <w:vAlign w:val="center"/>
          </w:tcPr>
          <w:p w:rsidR="00F5013F" w:rsidRPr="006506EF" w:rsidRDefault="00F5013F" w:rsidP="00BF1DD5">
            <w:pPr>
              <w:jc w:val="right"/>
              <w:rPr>
                <w:color w:val="000000"/>
                <w:sz w:val="24"/>
              </w:rPr>
            </w:pPr>
            <w:r w:rsidRPr="006506EF">
              <w:rPr>
                <w:color w:val="000000"/>
                <w:sz w:val="24"/>
              </w:rPr>
              <w:t>0.42</w:t>
            </w:r>
          </w:p>
        </w:tc>
      </w:tr>
      <w:tr w:rsidR="00F5013F" w:rsidRPr="006506EF" w:rsidTr="00592EFF">
        <w:tc>
          <w:tcPr>
            <w:tcW w:w="851" w:type="dxa"/>
            <w:vAlign w:val="center"/>
          </w:tcPr>
          <w:p w:rsidR="00F5013F" w:rsidRPr="006506EF" w:rsidRDefault="00F5013F" w:rsidP="00466B17">
            <w:pPr>
              <w:spacing w:before="29" w:line="360" w:lineRule="auto"/>
              <w:ind w:left="17"/>
              <w:jc w:val="center"/>
              <w:rPr>
                <w:color w:val="000000"/>
                <w:sz w:val="24"/>
              </w:rPr>
            </w:pPr>
            <w:r w:rsidRPr="006506EF">
              <w:rPr>
                <w:color w:val="000000"/>
                <w:sz w:val="24"/>
              </w:rPr>
              <w:t>9</w:t>
            </w:r>
          </w:p>
        </w:tc>
        <w:tc>
          <w:tcPr>
            <w:tcW w:w="4253" w:type="dxa"/>
            <w:vAlign w:val="center"/>
          </w:tcPr>
          <w:p w:rsidR="00F5013F" w:rsidRPr="006506EF" w:rsidRDefault="00F5013F" w:rsidP="00B918B8">
            <w:pPr>
              <w:jc w:val="left"/>
              <w:rPr>
                <w:sz w:val="24"/>
              </w:rPr>
            </w:pPr>
            <w:r w:rsidRPr="006506EF">
              <w:rPr>
                <w:color w:val="000000"/>
                <w:sz w:val="24"/>
              </w:rPr>
              <w:t>合计</w:t>
            </w:r>
          </w:p>
        </w:tc>
        <w:tc>
          <w:tcPr>
            <w:tcW w:w="2835" w:type="dxa"/>
            <w:vAlign w:val="center"/>
          </w:tcPr>
          <w:p w:rsidR="00F5013F" w:rsidRPr="006506EF" w:rsidRDefault="00F5013F" w:rsidP="00BF1DD5">
            <w:pPr>
              <w:jc w:val="right"/>
              <w:rPr>
                <w:color w:val="000000"/>
                <w:sz w:val="24"/>
              </w:rPr>
            </w:pPr>
            <w:r w:rsidRPr="006506EF">
              <w:rPr>
                <w:color w:val="000000"/>
                <w:sz w:val="24"/>
              </w:rPr>
              <w:t>8,847,696,507.59</w:t>
            </w:r>
          </w:p>
        </w:tc>
        <w:tc>
          <w:tcPr>
            <w:tcW w:w="1559" w:type="dxa"/>
            <w:vAlign w:val="center"/>
          </w:tcPr>
          <w:p w:rsidR="00F5013F" w:rsidRPr="006506EF" w:rsidRDefault="00F5013F" w:rsidP="00BF1DD5">
            <w:pPr>
              <w:jc w:val="right"/>
              <w:rPr>
                <w:color w:val="000000"/>
                <w:sz w:val="24"/>
              </w:rPr>
            </w:pPr>
            <w:r w:rsidRPr="006506EF">
              <w:rPr>
                <w:color w:val="000000"/>
                <w:sz w:val="24"/>
              </w:rPr>
              <w:t>100.00</w:t>
            </w:r>
          </w:p>
        </w:tc>
      </w:tr>
    </w:tbl>
    <w:p w:rsidR="00BF1026" w:rsidRDefault="001E430A">
      <w:pPr>
        <w:spacing w:line="360" w:lineRule="auto"/>
        <w:ind w:firstLineChars="200" w:firstLine="480"/>
        <w:rPr>
          <w:color w:val="000000"/>
          <w:sz w:val="24"/>
        </w:rPr>
      </w:pPr>
      <w:r>
        <w:rPr>
          <w:color w:val="000000"/>
          <w:sz w:val="24"/>
        </w:rPr>
        <w:t>注：</w:t>
      </w:r>
      <w:r>
        <w:rPr>
          <w:color w:val="000000"/>
          <w:sz w:val="24"/>
        </w:rPr>
        <w:t>1.</w:t>
      </w:r>
      <w:r>
        <w:rPr>
          <w:color w:val="000000"/>
          <w:sz w:val="24"/>
        </w:rPr>
        <w:t>上表中的权益投资项含可退替代款估值增值，而</w:t>
      </w:r>
      <w:r>
        <w:rPr>
          <w:color w:val="000000"/>
          <w:sz w:val="24"/>
        </w:rPr>
        <w:t>5.2</w:t>
      </w:r>
      <w:r>
        <w:rPr>
          <w:color w:val="000000"/>
          <w:sz w:val="24"/>
        </w:rPr>
        <w:t>和</w:t>
      </w:r>
      <w:r>
        <w:rPr>
          <w:color w:val="000000"/>
          <w:sz w:val="24"/>
        </w:rPr>
        <w:t>5.3</w:t>
      </w:r>
      <w:r>
        <w:rPr>
          <w:color w:val="000000"/>
          <w:sz w:val="24"/>
        </w:rPr>
        <w:t>的合计项</w:t>
      </w:r>
      <w:r>
        <w:rPr>
          <w:color w:val="000000"/>
          <w:sz w:val="24"/>
        </w:rPr>
        <w:lastRenderedPageBreak/>
        <w:t>不含可退替代款估值增值。</w:t>
      </w:r>
    </w:p>
    <w:p w:rsidR="00F5013F" w:rsidRPr="006506EF" w:rsidRDefault="00F5013F" w:rsidP="00A70EAB">
      <w:pPr>
        <w:spacing w:line="360" w:lineRule="auto"/>
        <w:ind w:firstLineChars="200" w:firstLine="480"/>
        <w:rPr>
          <w:color w:val="000000"/>
          <w:sz w:val="24"/>
        </w:rPr>
      </w:pPr>
      <w:r w:rsidRPr="006506EF">
        <w:rPr>
          <w:color w:val="000000"/>
          <w:sz w:val="24"/>
        </w:rPr>
        <w:t>2.</w:t>
      </w:r>
      <w:r w:rsidRPr="006506EF">
        <w:rPr>
          <w:color w:val="000000"/>
          <w:sz w:val="24"/>
        </w:rPr>
        <w:t>本基金本报告期末通过港股通交易机制投资的港股市值为</w:t>
      </w:r>
      <w:r w:rsidRPr="006506EF">
        <w:rPr>
          <w:color w:val="000000"/>
          <w:sz w:val="24"/>
        </w:rPr>
        <w:t>3,904,334,653.17</w:t>
      </w:r>
      <w:r w:rsidRPr="006506EF">
        <w:rPr>
          <w:color w:val="000000"/>
          <w:sz w:val="24"/>
        </w:rPr>
        <w:t>元，占净值比例</w:t>
      </w:r>
      <w:r w:rsidRPr="006506EF">
        <w:rPr>
          <w:color w:val="000000"/>
          <w:sz w:val="24"/>
        </w:rPr>
        <w:t>44.21%</w:t>
      </w:r>
      <w:r w:rsidRPr="006506EF">
        <w:rPr>
          <w:color w:val="000000"/>
          <w:sz w:val="24"/>
        </w:rPr>
        <w:t>。</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5.2 </w:t>
      </w:r>
      <w:r w:rsidRPr="006506EF">
        <w:rPr>
          <w:b/>
          <w:color w:val="000000"/>
          <w:kern w:val="0"/>
          <w:sz w:val="24"/>
        </w:rPr>
        <w:t>报告期末在各个国家（地区）证券市场的股票及存托凭证投资分布</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3118"/>
        <w:gridCol w:w="3076"/>
      </w:tblGrid>
      <w:tr w:rsidR="00F5013F" w:rsidRPr="006506EF" w:rsidTr="0007178B">
        <w:trPr>
          <w:jc w:val="center"/>
        </w:trPr>
        <w:tc>
          <w:tcPr>
            <w:tcW w:w="2410"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国家（地区）</w:t>
            </w:r>
          </w:p>
        </w:tc>
        <w:tc>
          <w:tcPr>
            <w:tcW w:w="3118"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公允价值</w:t>
            </w:r>
            <w:r w:rsidRPr="006506EF">
              <w:rPr>
                <w:color w:val="000000"/>
                <w:kern w:val="0"/>
                <w:sz w:val="24"/>
              </w:rPr>
              <w:t>(</w:t>
            </w:r>
            <w:r w:rsidRPr="006506EF">
              <w:rPr>
                <w:color w:val="000000"/>
                <w:kern w:val="0"/>
                <w:sz w:val="24"/>
              </w:rPr>
              <w:t>人民币元</w:t>
            </w:r>
            <w:r w:rsidRPr="006506EF">
              <w:rPr>
                <w:color w:val="000000"/>
                <w:kern w:val="0"/>
                <w:sz w:val="24"/>
              </w:rPr>
              <w:t>)</w:t>
            </w:r>
          </w:p>
        </w:tc>
        <w:tc>
          <w:tcPr>
            <w:tcW w:w="3076"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占基金资产净值比例（％）</w:t>
            </w:r>
          </w:p>
        </w:tc>
      </w:tr>
      <w:tr w:rsidR="00BF1026">
        <w:trPr>
          <w:jc w:val="center"/>
        </w:trPr>
        <w:tc>
          <w:tcPr>
            <w:tcW w:w="2410" w:type="dxa"/>
            <w:vAlign w:val="center"/>
          </w:tcPr>
          <w:p w:rsidR="00BF1026" w:rsidRDefault="001E430A">
            <w:pPr>
              <w:jc w:val="left"/>
            </w:pPr>
            <w:r>
              <w:rPr>
                <w:color w:val="000000"/>
                <w:sz w:val="24"/>
              </w:rPr>
              <w:t>香港</w:t>
            </w:r>
          </w:p>
        </w:tc>
        <w:tc>
          <w:tcPr>
            <w:tcW w:w="3118" w:type="dxa"/>
            <w:vAlign w:val="center"/>
          </w:tcPr>
          <w:p w:rsidR="00BF1026" w:rsidRDefault="001E430A">
            <w:pPr>
              <w:jc w:val="right"/>
            </w:pPr>
            <w:r>
              <w:rPr>
                <w:color w:val="000000"/>
                <w:sz w:val="24"/>
              </w:rPr>
              <w:t>8,640,196,743.74</w:t>
            </w:r>
          </w:p>
        </w:tc>
        <w:tc>
          <w:tcPr>
            <w:tcW w:w="3076" w:type="dxa"/>
            <w:vAlign w:val="center"/>
          </w:tcPr>
          <w:p w:rsidR="00BF1026" w:rsidRDefault="001E430A">
            <w:pPr>
              <w:jc w:val="right"/>
            </w:pPr>
            <w:r>
              <w:rPr>
                <w:color w:val="000000"/>
                <w:sz w:val="24"/>
              </w:rPr>
              <w:t>97.84</w:t>
            </w:r>
          </w:p>
        </w:tc>
      </w:tr>
      <w:tr w:rsidR="00F5013F" w:rsidRPr="006506EF" w:rsidTr="0007178B">
        <w:trPr>
          <w:jc w:val="center"/>
        </w:trPr>
        <w:tc>
          <w:tcPr>
            <w:tcW w:w="2410" w:type="dxa"/>
          </w:tcPr>
          <w:p w:rsidR="00F5013F" w:rsidRPr="006506EF" w:rsidRDefault="00F5013F" w:rsidP="0007178B">
            <w:pPr>
              <w:autoSpaceDE w:val="0"/>
              <w:autoSpaceDN w:val="0"/>
              <w:adjustRightInd w:val="0"/>
              <w:spacing w:before="29" w:line="360" w:lineRule="auto"/>
              <w:jc w:val="center"/>
              <w:rPr>
                <w:color w:val="000000"/>
                <w:sz w:val="24"/>
              </w:rPr>
            </w:pPr>
            <w:r w:rsidRPr="006506EF">
              <w:rPr>
                <w:color w:val="000000"/>
                <w:sz w:val="24"/>
              </w:rPr>
              <w:t>合计</w:t>
            </w:r>
          </w:p>
        </w:tc>
        <w:tc>
          <w:tcPr>
            <w:tcW w:w="3118" w:type="dxa"/>
          </w:tcPr>
          <w:p w:rsidR="00F5013F" w:rsidRPr="006506EF" w:rsidRDefault="00F5013F" w:rsidP="0007178B">
            <w:pPr>
              <w:autoSpaceDE w:val="0"/>
              <w:autoSpaceDN w:val="0"/>
              <w:adjustRightInd w:val="0"/>
              <w:spacing w:before="29" w:line="360" w:lineRule="auto"/>
              <w:jc w:val="right"/>
              <w:rPr>
                <w:color w:val="000000"/>
                <w:sz w:val="24"/>
              </w:rPr>
            </w:pPr>
            <w:r w:rsidRPr="006506EF">
              <w:rPr>
                <w:color w:val="000000"/>
                <w:sz w:val="24"/>
              </w:rPr>
              <w:t>8,640,196,743.74</w:t>
            </w:r>
          </w:p>
        </w:tc>
        <w:tc>
          <w:tcPr>
            <w:tcW w:w="3076" w:type="dxa"/>
          </w:tcPr>
          <w:p w:rsidR="00F5013F" w:rsidRPr="006506EF" w:rsidRDefault="00F5013F" w:rsidP="0007178B">
            <w:pPr>
              <w:autoSpaceDE w:val="0"/>
              <w:autoSpaceDN w:val="0"/>
              <w:adjustRightInd w:val="0"/>
              <w:spacing w:before="29" w:line="360" w:lineRule="auto"/>
              <w:jc w:val="right"/>
              <w:rPr>
                <w:color w:val="000000"/>
                <w:sz w:val="24"/>
              </w:rPr>
            </w:pPr>
            <w:r w:rsidRPr="006506EF">
              <w:rPr>
                <w:color w:val="000000"/>
                <w:sz w:val="24"/>
              </w:rPr>
              <w:t>97.84</w:t>
            </w:r>
          </w:p>
        </w:tc>
      </w:tr>
    </w:tbl>
    <w:p w:rsidR="00BF1026" w:rsidRDefault="001E430A">
      <w:pPr>
        <w:spacing w:line="360" w:lineRule="auto"/>
        <w:ind w:firstLineChars="200" w:firstLine="480"/>
        <w:rPr>
          <w:color w:val="000000"/>
          <w:sz w:val="24"/>
        </w:rPr>
      </w:pPr>
      <w:r>
        <w:rPr>
          <w:color w:val="000000"/>
          <w:sz w:val="24"/>
        </w:rPr>
        <w:t>注：</w:t>
      </w:r>
      <w:r>
        <w:rPr>
          <w:color w:val="000000"/>
          <w:sz w:val="24"/>
        </w:rPr>
        <w:t>1.</w:t>
      </w:r>
      <w:r>
        <w:rPr>
          <w:color w:val="000000"/>
          <w:sz w:val="24"/>
        </w:rPr>
        <w:t>国家（地区）类别根据其所在的证券交易所确定。</w:t>
      </w:r>
    </w:p>
    <w:p w:rsidR="00F5013F" w:rsidRPr="006506EF" w:rsidRDefault="00F5013F" w:rsidP="00A70EAB">
      <w:pPr>
        <w:spacing w:line="360" w:lineRule="auto"/>
        <w:ind w:firstLineChars="200" w:firstLine="480"/>
        <w:rPr>
          <w:color w:val="000000"/>
          <w:sz w:val="24"/>
        </w:rPr>
      </w:pPr>
      <w:r w:rsidRPr="006506EF">
        <w:rPr>
          <w:color w:val="000000"/>
          <w:sz w:val="24"/>
        </w:rPr>
        <w:t>2.ADR</w:t>
      </w:r>
      <w:r w:rsidRPr="006506EF">
        <w:rPr>
          <w:color w:val="000000"/>
          <w:sz w:val="24"/>
        </w:rPr>
        <w:t>、</w:t>
      </w:r>
      <w:r w:rsidRPr="006506EF">
        <w:rPr>
          <w:color w:val="000000"/>
          <w:sz w:val="24"/>
        </w:rPr>
        <w:t>GDR</w:t>
      </w:r>
      <w:r w:rsidRPr="006506EF">
        <w:rPr>
          <w:color w:val="000000"/>
          <w:sz w:val="24"/>
        </w:rPr>
        <w:t>按照存托凭证本身挂牌的证券交易所确定。</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5.3 </w:t>
      </w:r>
      <w:r w:rsidRPr="006506EF">
        <w:rPr>
          <w:b/>
          <w:color w:val="000000"/>
          <w:kern w:val="0"/>
          <w:sz w:val="24"/>
        </w:rPr>
        <w:t>报告期末按行业分类的股票及存托凭证投资组合</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87"/>
        <w:gridCol w:w="2551"/>
        <w:gridCol w:w="3175"/>
      </w:tblGrid>
      <w:tr w:rsidR="00F5013F" w:rsidRPr="006506EF" w:rsidTr="0007178B">
        <w:tc>
          <w:tcPr>
            <w:tcW w:w="2787"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行业类别</w:t>
            </w:r>
          </w:p>
        </w:tc>
        <w:tc>
          <w:tcPr>
            <w:tcW w:w="2551"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公允价值（人民币元）</w:t>
            </w:r>
          </w:p>
        </w:tc>
        <w:tc>
          <w:tcPr>
            <w:tcW w:w="3175"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占基金资产净值比例（％）</w:t>
            </w:r>
          </w:p>
        </w:tc>
      </w:tr>
      <w:tr w:rsidR="00BF1026">
        <w:tc>
          <w:tcPr>
            <w:tcW w:w="2787" w:type="dxa"/>
            <w:vAlign w:val="center"/>
          </w:tcPr>
          <w:p w:rsidR="00BF1026" w:rsidRDefault="001E430A">
            <w:pPr>
              <w:jc w:val="left"/>
            </w:pPr>
            <w:r>
              <w:rPr>
                <w:color w:val="000000"/>
                <w:sz w:val="24"/>
              </w:rPr>
              <w:t>能源</w:t>
            </w:r>
          </w:p>
        </w:tc>
        <w:tc>
          <w:tcPr>
            <w:tcW w:w="2551" w:type="dxa"/>
            <w:vAlign w:val="center"/>
          </w:tcPr>
          <w:p w:rsidR="00BF1026" w:rsidRDefault="001E430A">
            <w:pPr>
              <w:jc w:val="right"/>
            </w:pPr>
            <w:r>
              <w:rPr>
                <w:color w:val="000000"/>
                <w:sz w:val="24"/>
              </w:rPr>
              <w:t>779,316,669.49</w:t>
            </w:r>
          </w:p>
        </w:tc>
        <w:tc>
          <w:tcPr>
            <w:tcW w:w="3175" w:type="dxa"/>
            <w:vAlign w:val="center"/>
          </w:tcPr>
          <w:p w:rsidR="00BF1026" w:rsidRDefault="001E430A">
            <w:pPr>
              <w:jc w:val="right"/>
            </w:pPr>
            <w:r>
              <w:rPr>
                <w:color w:val="000000"/>
                <w:sz w:val="24"/>
              </w:rPr>
              <w:t>8.83</w:t>
            </w:r>
          </w:p>
        </w:tc>
      </w:tr>
      <w:tr w:rsidR="00BF1026">
        <w:tc>
          <w:tcPr>
            <w:tcW w:w="2787" w:type="dxa"/>
            <w:vAlign w:val="center"/>
          </w:tcPr>
          <w:p w:rsidR="00BF1026" w:rsidRDefault="001E430A">
            <w:pPr>
              <w:jc w:val="left"/>
            </w:pPr>
            <w:r>
              <w:rPr>
                <w:color w:val="000000"/>
                <w:sz w:val="24"/>
              </w:rPr>
              <w:t>材料</w:t>
            </w:r>
          </w:p>
        </w:tc>
        <w:tc>
          <w:tcPr>
            <w:tcW w:w="2551" w:type="dxa"/>
            <w:vAlign w:val="center"/>
          </w:tcPr>
          <w:p w:rsidR="00BF1026" w:rsidRDefault="001E430A">
            <w:pPr>
              <w:jc w:val="right"/>
            </w:pPr>
            <w:r>
              <w:rPr>
                <w:color w:val="000000"/>
                <w:sz w:val="24"/>
              </w:rPr>
              <w:t>140,156,474.11</w:t>
            </w:r>
          </w:p>
        </w:tc>
        <w:tc>
          <w:tcPr>
            <w:tcW w:w="3175" w:type="dxa"/>
            <w:vAlign w:val="center"/>
          </w:tcPr>
          <w:p w:rsidR="00BF1026" w:rsidRDefault="001E430A">
            <w:pPr>
              <w:jc w:val="right"/>
            </w:pPr>
            <w:r>
              <w:rPr>
                <w:color w:val="000000"/>
                <w:sz w:val="24"/>
              </w:rPr>
              <w:t>1.59</w:t>
            </w:r>
          </w:p>
        </w:tc>
      </w:tr>
      <w:tr w:rsidR="00BF1026">
        <w:tc>
          <w:tcPr>
            <w:tcW w:w="2787" w:type="dxa"/>
            <w:vAlign w:val="center"/>
          </w:tcPr>
          <w:p w:rsidR="00BF1026" w:rsidRDefault="001E430A">
            <w:pPr>
              <w:jc w:val="left"/>
            </w:pPr>
            <w:r>
              <w:rPr>
                <w:color w:val="000000"/>
                <w:sz w:val="24"/>
              </w:rPr>
              <w:t>工业</w:t>
            </w:r>
          </w:p>
        </w:tc>
        <w:tc>
          <w:tcPr>
            <w:tcW w:w="2551" w:type="dxa"/>
            <w:vAlign w:val="center"/>
          </w:tcPr>
          <w:p w:rsidR="00BF1026" w:rsidRDefault="001E430A">
            <w:pPr>
              <w:jc w:val="right"/>
            </w:pPr>
            <w:r>
              <w:rPr>
                <w:color w:val="000000"/>
                <w:sz w:val="24"/>
              </w:rPr>
              <w:t>252,417,278.72</w:t>
            </w:r>
          </w:p>
        </w:tc>
        <w:tc>
          <w:tcPr>
            <w:tcW w:w="3175" w:type="dxa"/>
            <w:vAlign w:val="center"/>
          </w:tcPr>
          <w:p w:rsidR="00BF1026" w:rsidRDefault="001E430A">
            <w:pPr>
              <w:jc w:val="right"/>
            </w:pPr>
            <w:r>
              <w:rPr>
                <w:color w:val="000000"/>
                <w:sz w:val="24"/>
              </w:rPr>
              <w:t>2.86</w:t>
            </w:r>
          </w:p>
        </w:tc>
      </w:tr>
      <w:tr w:rsidR="00BF1026">
        <w:tc>
          <w:tcPr>
            <w:tcW w:w="2787" w:type="dxa"/>
            <w:vAlign w:val="center"/>
          </w:tcPr>
          <w:p w:rsidR="00BF1026" w:rsidRDefault="001E430A">
            <w:pPr>
              <w:jc w:val="left"/>
            </w:pPr>
            <w:r>
              <w:rPr>
                <w:color w:val="000000"/>
                <w:sz w:val="24"/>
              </w:rPr>
              <w:t>非必需消费品</w:t>
            </w:r>
          </w:p>
        </w:tc>
        <w:tc>
          <w:tcPr>
            <w:tcW w:w="2551" w:type="dxa"/>
            <w:vAlign w:val="center"/>
          </w:tcPr>
          <w:p w:rsidR="00BF1026" w:rsidRDefault="001E430A">
            <w:pPr>
              <w:jc w:val="right"/>
            </w:pPr>
            <w:r>
              <w:rPr>
                <w:color w:val="000000"/>
                <w:sz w:val="24"/>
              </w:rPr>
              <w:t>404,465,573.06</w:t>
            </w:r>
          </w:p>
        </w:tc>
        <w:tc>
          <w:tcPr>
            <w:tcW w:w="3175" w:type="dxa"/>
            <w:vAlign w:val="center"/>
          </w:tcPr>
          <w:p w:rsidR="00BF1026" w:rsidRDefault="001E430A">
            <w:pPr>
              <w:jc w:val="right"/>
            </w:pPr>
            <w:r>
              <w:rPr>
                <w:color w:val="000000"/>
                <w:sz w:val="24"/>
              </w:rPr>
              <w:t>4.58</w:t>
            </w:r>
          </w:p>
        </w:tc>
      </w:tr>
      <w:tr w:rsidR="00BF1026">
        <w:tc>
          <w:tcPr>
            <w:tcW w:w="2787" w:type="dxa"/>
            <w:vAlign w:val="center"/>
          </w:tcPr>
          <w:p w:rsidR="00BF1026" w:rsidRDefault="001E430A">
            <w:pPr>
              <w:jc w:val="left"/>
            </w:pPr>
            <w:r>
              <w:rPr>
                <w:color w:val="000000"/>
                <w:sz w:val="24"/>
              </w:rPr>
              <w:t>必需消费品</w:t>
            </w:r>
          </w:p>
        </w:tc>
        <w:tc>
          <w:tcPr>
            <w:tcW w:w="2551" w:type="dxa"/>
            <w:vAlign w:val="center"/>
          </w:tcPr>
          <w:p w:rsidR="00BF1026" w:rsidRDefault="001E430A">
            <w:pPr>
              <w:jc w:val="right"/>
            </w:pPr>
            <w:r>
              <w:rPr>
                <w:color w:val="000000"/>
                <w:sz w:val="24"/>
              </w:rPr>
              <w:t>230,345,166.19</w:t>
            </w:r>
          </w:p>
        </w:tc>
        <w:tc>
          <w:tcPr>
            <w:tcW w:w="3175" w:type="dxa"/>
            <w:vAlign w:val="center"/>
          </w:tcPr>
          <w:p w:rsidR="00BF1026" w:rsidRDefault="001E430A">
            <w:pPr>
              <w:jc w:val="right"/>
            </w:pPr>
            <w:r>
              <w:rPr>
                <w:color w:val="000000"/>
                <w:sz w:val="24"/>
              </w:rPr>
              <w:t>2.61</w:t>
            </w:r>
          </w:p>
        </w:tc>
      </w:tr>
      <w:tr w:rsidR="00BF1026">
        <w:tc>
          <w:tcPr>
            <w:tcW w:w="2787" w:type="dxa"/>
            <w:vAlign w:val="center"/>
          </w:tcPr>
          <w:p w:rsidR="00BF1026" w:rsidRDefault="001E430A">
            <w:pPr>
              <w:jc w:val="left"/>
            </w:pPr>
            <w:r>
              <w:rPr>
                <w:color w:val="000000"/>
                <w:sz w:val="24"/>
              </w:rPr>
              <w:t>保健</w:t>
            </w:r>
          </w:p>
        </w:tc>
        <w:tc>
          <w:tcPr>
            <w:tcW w:w="2551" w:type="dxa"/>
            <w:vAlign w:val="center"/>
          </w:tcPr>
          <w:p w:rsidR="00BF1026" w:rsidRDefault="001E430A">
            <w:pPr>
              <w:jc w:val="right"/>
            </w:pPr>
            <w:r>
              <w:rPr>
                <w:color w:val="000000"/>
                <w:sz w:val="24"/>
              </w:rPr>
              <w:t>170,276,414.59</w:t>
            </w:r>
          </w:p>
        </w:tc>
        <w:tc>
          <w:tcPr>
            <w:tcW w:w="3175" w:type="dxa"/>
            <w:vAlign w:val="center"/>
          </w:tcPr>
          <w:p w:rsidR="00BF1026" w:rsidRDefault="001E430A">
            <w:pPr>
              <w:jc w:val="right"/>
            </w:pPr>
            <w:r>
              <w:rPr>
                <w:color w:val="000000"/>
                <w:sz w:val="24"/>
              </w:rPr>
              <w:t>1.93</w:t>
            </w:r>
          </w:p>
        </w:tc>
      </w:tr>
      <w:tr w:rsidR="00BF1026">
        <w:tc>
          <w:tcPr>
            <w:tcW w:w="2787" w:type="dxa"/>
            <w:vAlign w:val="center"/>
          </w:tcPr>
          <w:p w:rsidR="00BF1026" w:rsidRDefault="001E430A">
            <w:pPr>
              <w:jc w:val="left"/>
            </w:pPr>
            <w:r>
              <w:rPr>
                <w:color w:val="000000"/>
                <w:sz w:val="24"/>
              </w:rPr>
              <w:t>金融</w:t>
            </w:r>
          </w:p>
        </w:tc>
        <w:tc>
          <w:tcPr>
            <w:tcW w:w="2551" w:type="dxa"/>
            <w:vAlign w:val="center"/>
          </w:tcPr>
          <w:p w:rsidR="00BF1026" w:rsidRDefault="001E430A">
            <w:pPr>
              <w:jc w:val="right"/>
            </w:pPr>
            <w:r>
              <w:rPr>
                <w:color w:val="000000"/>
                <w:sz w:val="24"/>
              </w:rPr>
              <w:t>4,097,452,403.61</w:t>
            </w:r>
          </w:p>
        </w:tc>
        <w:tc>
          <w:tcPr>
            <w:tcW w:w="3175" w:type="dxa"/>
            <w:vAlign w:val="center"/>
          </w:tcPr>
          <w:p w:rsidR="00BF1026" w:rsidRDefault="001E430A">
            <w:pPr>
              <w:jc w:val="right"/>
            </w:pPr>
            <w:r>
              <w:rPr>
                <w:color w:val="000000"/>
                <w:sz w:val="24"/>
              </w:rPr>
              <w:t>46.40</w:t>
            </w:r>
          </w:p>
        </w:tc>
      </w:tr>
      <w:tr w:rsidR="00BF1026">
        <w:tc>
          <w:tcPr>
            <w:tcW w:w="2787" w:type="dxa"/>
            <w:vAlign w:val="center"/>
          </w:tcPr>
          <w:p w:rsidR="00BF1026" w:rsidRDefault="001E430A">
            <w:pPr>
              <w:jc w:val="left"/>
            </w:pPr>
            <w:r>
              <w:rPr>
                <w:color w:val="000000"/>
                <w:sz w:val="24"/>
              </w:rPr>
              <w:t>信息技术</w:t>
            </w:r>
          </w:p>
        </w:tc>
        <w:tc>
          <w:tcPr>
            <w:tcW w:w="2551" w:type="dxa"/>
            <w:vAlign w:val="center"/>
          </w:tcPr>
          <w:p w:rsidR="00BF1026" w:rsidRDefault="001E430A">
            <w:pPr>
              <w:jc w:val="right"/>
            </w:pPr>
            <w:r>
              <w:rPr>
                <w:color w:val="000000"/>
                <w:sz w:val="24"/>
              </w:rPr>
              <w:t>-</w:t>
            </w:r>
          </w:p>
        </w:tc>
        <w:tc>
          <w:tcPr>
            <w:tcW w:w="3175" w:type="dxa"/>
            <w:vAlign w:val="center"/>
          </w:tcPr>
          <w:p w:rsidR="00BF1026" w:rsidRDefault="001E430A">
            <w:pPr>
              <w:jc w:val="right"/>
            </w:pPr>
            <w:r>
              <w:rPr>
                <w:color w:val="000000"/>
                <w:sz w:val="24"/>
              </w:rPr>
              <w:t>-</w:t>
            </w:r>
          </w:p>
        </w:tc>
      </w:tr>
      <w:tr w:rsidR="00BF1026">
        <w:tc>
          <w:tcPr>
            <w:tcW w:w="2787" w:type="dxa"/>
            <w:vAlign w:val="center"/>
          </w:tcPr>
          <w:p w:rsidR="00BF1026" w:rsidRDefault="001E430A">
            <w:pPr>
              <w:jc w:val="left"/>
            </w:pPr>
            <w:r>
              <w:rPr>
                <w:color w:val="000000"/>
                <w:sz w:val="24"/>
              </w:rPr>
              <w:t>电信服务</w:t>
            </w:r>
          </w:p>
        </w:tc>
        <w:tc>
          <w:tcPr>
            <w:tcW w:w="2551" w:type="dxa"/>
            <w:vAlign w:val="center"/>
          </w:tcPr>
          <w:p w:rsidR="00BF1026" w:rsidRDefault="001E430A">
            <w:pPr>
              <w:jc w:val="right"/>
            </w:pPr>
            <w:r>
              <w:rPr>
                <w:color w:val="000000"/>
                <w:sz w:val="24"/>
              </w:rPr>
              <w:t>1,723,857,004.75</w:t>
            </w:r>
          </w:p>
        </w:tc>
        <w:tc>
          <w:tcPr>
            <w:tcW w:w="3175" w:type="dxa"/>
            <w:vAlign w:val="center"/>
          </w:tcPr>
          <w:p w:rsidR="00BF1026" w:rsidRDefault="001E430A">
            <w:pPr>
              <w:jc w:val="right"/>
            </w:pPr>
            <w:r>
              <w:rPr>
                <w:color w:val="000000"/>
                <w:sz w:val="24"/>
              </w:rPr>
              <w:t>19.52</w:t>
            </w:r>
          </w:p>
        </w:tc>
      </w:tr>
      <w:tr w:rsidR="00BF1026">
        <w:tc>
          <w:tcPr>
            <w:tcW w:w="2787" w:type="dxa"/>
            <w:vAlign w:val="center"/>
          </w:tcPr>
          <w:p w:rsidR="00BF1026" w:rsidRDefault="001E430A">
            <w:pPr>
              <w:jc w:val="left"/>
            </w:pPr>
            <w:r>
              <w:rPr>
                <w:color w:val="000000"/>
                <w:sz w:val="24"/>
              </w:rPr>
              <w:t>公用事业</w:t>
            </w:r>
          </w:p>
        </w:tc>
        <w:tc>
          <w:tcPr>
            <w:tcW w:w="2551" w:type="dxa"/>
            <w:vAlign w:val="center"/>
          </w:tcPr>
          <w:p w:rsidR="00BF1026" w:rsidRDefault="001E430A">
            <w:pPr>
              <w:jc w:val="right"/>
            </w:pPr>
            <w:r>
              <w:rPr>
                <w:color w:val="000000"/>
                <w:sz w:val="24"/>
              </w:rPr>
              <w:t>284,979,505.99</w:t>
            </w:r>
          </w:p>
        </w:tc>
        <w:tc>
          <w:tcPr>
            <w:tcW w:w="3175" w:type="dxa"/>
            <w:vAlign w:val="center"/>
          </w:tcPr>
          <w:p w:rsidR="00BF1026" w:rsidRDefault="001E430A">
            <w:pPr>
              <w:jc w:val="right"/>
            </w:pPr>
            <w:r>
              <w:rPr>
                <w:color w:val="000000"/>
                <w:sz w:val="24"/>
              </w:rPr>
              <w:t>3.23</w:t>
            </w:r>
          </w:p>
        </w:tc>
      </w:tr>
      <w:tr w:rsidR="00BF1026">
        <w:tc>
          <w:tcPr>
            <w:tcW w:w="2787" w:type="dxa"/>
            <w:vAlign w:val="center"/>
          </w:tcPr>
          <w:p w:rsidR="00BF1026" w:rsidRDefault="001E430A">
            <w:pPr>
              <w:jc w:val="left"/>
            </w:pPr>
            <w:r>
              <w:rPr>
                <w:color w:val="000000"/>
                <w:sz w:val="24"/>
              </w:rPr>
              <w:t>房地产</w:t>
            </w:r>
          </w:p>
        </w:tc>
        <w:tc>
          <w:tcPr>
            <w:tcW w:w="2551" w:type="dxa"/>
            <w:vAlign w:val="center"/>
          </w:tcPr>
          <w:p w:rsidR="00BF1026" w:rsidRDefault="001E430A">
            <w:pPr>
              <w:jc w:val="right"/>
            </w:pPr>
            <w:r>
              <w:rPr>
                <w:color w:val="000000"/>
                <w:sz w:val="24"/>
              </w:rPr>
              <w:t>556,930,253.23</w:t>
            </w:r>
          </w:p>
        </w:tc>
        <w:tc>
          <w:tcPr>
            <w:tcW w:w="3175" w:type="dxa"/>
            <w:vAlign w:val="center"/>
          </w:tcPr>
          <w:p w:rsidR="00BF1026" w:rsidRDefault="001E430A">
            <w:pPr>
              <w:jc w:val="right"/>
            </w:pPr>
            <w:r>
              <w:rPr>
                <w:color w:val="000000"/>
                <w:sz w:val="24"/>
              </w:rPr>
              <w:t>6.31</w:t>
            </w:r>
          </w:p>
        </w:tc>
      </w:tr>
      <w:tr w:rsidR="00F5013F" w:rsidRPr="006506EF" w:rsidTr="0007178B">
        <w:tc>
          <w:tcPr>
            <w:tcW w:w="2787"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合计</w:t>
            </w:r>
          </w:p>
        </w:tc>
        <w:tc>
          <w:tcPr>
            <w:tcW w:w="2551" w:type="dxa"/>
            <w:vAlign w:val="center"/>
          </w:tcPr>
          <w:p w:rsidR="00F5013F" w:rsidRPr="006506EF" w:rsidRDefault="00F5013F" w:rsidP="0007178B">
            <w:pPr>
              <w:autoSpaceDE w:val="0"/>
              <w:autoSpaceDN w:val="0"/>
              <w:adjustRightInd w:val="0"/>
              <w:spacing w:before="29" w:line="360" w:lineRule="auto"/>
              <w:ind w:left="15"/>
              <w:jc w:val="right"/>
              <w:rPr>
                <w:color w:val="000000"/>
                <w:sz w:val="24"/>
              </w:rPr>
            </w:pPr>
            <w:r w:rsidRPr="006506EF">
              <w:rPr>
                <w:color w:val="000000"/>
                <w:sz w:val="24"/>
              </w:rPr>
              <w:t>8,640,196,743.74</w:t>
            </w:r>
          </w:p>
        </w:tc>
        <w:tc>
          <w:tcPr>
            <w:tcW w:w="3175" w:type="dxa"/>
            <w:vAlign w:val="center"/>
          </w:tcPr>
          <w:p w:rsidR="00F5013F" w:rsidRPr="006506EF" w:rsidRDefault="00F5013F" w:rsidP="0007178B">
            <w:pPr>
              <w:autoSpaceDE w:val="0"/>
              <w:autoSpaceDN w:val="0"/>
              <w:adjustRightInd w:val="0"/>
              <w:spacing w:before="29" w:line="360" w:lineRule="auto"/>
              <w:ind w:left="15"/>
              <w:jc w:val="right"/>
              <w:rPr>
                <w:color w:val="000000"/>
                <w:sz w:val="24"/>
              </w:rPr>
            </w:pPr>
            <w:r w:rsidRPr="006506EF">
              <w:rPr>
                <w:color w:val="000000"/>
                <w:sz w:val="24"/>
              </w:rPr>
              <w:t>97.84</w:t>
            </w:r>
          </w:p>
        </w:tc>
      </w:tr>
    </w:tbl>
    <w:p w:rsidR="00F5013F" w:rsidRPr="006506EF" w:rsidRDefault="00F5013F" w:rsidP="00A70EAB">
      <w:pPr>
        <w:spacing w:line="360" w:lineRule="auto"/>
        <w:ind w:firstLineChars="200" w:firstLine="480"/>
        <w:rPr>
          <w:color w:val="000000"/>
          <w:sz w:val="24"/>
        </w:rPr>
      </w:pPr>
      <w:r w:rsidRPr="006506EF">
        <w:rPr>
          <w:color w:val="000000"/>
          <w:sz w:val="24"/>
        </w:rPr>
        <w:t>注：以上分类采用全球行业分类标准（</w:t>
      </w:r>
      <w:r w:rsidRPr="006506EF">
        <w:rPr>
          <w:color w:val="000000"/>
          <w:sz w:val="24"/>
        </w:rPr>
        <w:t>GICS</w:t>
      </w:r>
      <w:r w:rsidRPr="006506EF">
        <w:rPr>
          <w:color w:val="000000"/>
          <w:sz w:val="24"/>
        </w:rPr>
        <w:t>）。</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5.4 </w:t>
      </w:r>
      <w:r w:rsidRPr="006506EF">
        <w:rPr>
          <w:b/>
          <w:color w:val="000000"/>
          <w:kern w:val="0"/>
          <w:sz w:val="24"/>
        </w:rPr>
        <w:t>报告期末按公允价值占基金资产净值比例大小排序的前十名股票及存托凭证投资明细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1443"/>
        <w:gridCol w:w="691"/>
        <w:gridCol w:w="691"/>
        <w:gridCol w:w="468"/>
        <w:gridCol w:w="706"/>
        <w:gridCol w:w="1403"/>
        <w:gridCol w:w="1700"/>
        <w:gridCol w:w="943"/>
      </w:tblGrid>
      <w:tr w:rsidR="00F5013F" w:rsidRPr="006506EF" w:rsidTr="0007178B">
        <w:tc>
          <w:tcPr>
            <w:tcW w:w="794"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序号</w:t>
            </w:r>
          </w:p>
        </w:tc>
        <w:tc>
          <w:tcPr>
            <w:tcW w:w="974" w:type="dxa"/>
            <w:vAlign w:val="center"/>
          </w:tcPr>
          <w:p w:rsidR="00F5013F" w:rsidRPr="006506EF" w:rsidRDefault="00F5013F" w:rsidP="0007178B">
            <w:pPr>
              <w:adjustRightInd w:val="0"/>
              <w:snapToGrid w:val="0"/>
              <w:spacing w:line="400" w:lineRule="exact"/>
              <w:jc w:val="center"/>
              <w:rPr>
                <w:color w:val="000000"/>
                <w:kern w:val="0"/>
                <w:sz w:val="24"/>
              </w:rPr>
            </w:pPr>
            <w:r w:rsidRPr="006506EF">
              <w:rPr>
                <w:color w:val="000000"/>
                <w:kern w:val="0"/>
                <w:sz w:val="24"/>
              </w:rPr>
              <w:t>公司名称（英文）</w:t>
            </w:r>
          </w:p>
        </w:tc>
        <w:tc>
          <w:tcPr>
            <w:tcW w:w="1019" w:type="dxa"/>
            <w:vAlign w:val="center"/>
          </w:tcPr>
          <w:p w:rsidR="00F5013F" w:rsidRPr="006506EF" w:rsidRDefault="00F5013F" w:rsidP="0007178B">
            <w:pPr>
              <w:adjustRightInd w:val="0"/>
              <w:snapToGrid w:val="0"/>
              <w:spacing w:line="400" w:lineRule="exact"/>
              <w:jc w:val="center"/>
              <w:rPr>
                <w:color w:val="000000"/>
                <w:kern w:val="0"/>
                <w:sz w:val="24"/>
              </w:rPr>
            </w:pPr>
            <w:r w:rsidRPr="006506EF">
              <w:rPr>
                <w:color w:val="000000"/>
                <w:kern w:val="0"/>
                <w:sz w:val="24"/>
              </w:rPr>
              <w:t>公司名称（中文）</w:t>
            </w:r>
          </w:p>
        </w:tc>
        <w:tc>
          <w:tcPr>
            <w:tcW w:w="703" w:type="dxa"/>
            <w:vAlign w:val="center"/>
          </w:tcPr>
          <w:p w:rsidR="00F5013F" w:rsidRPr="006506EF" w:rsidRDefault="00F5013F" w:rsidP="0007178B">
            <w:pPr>
              <w:adjustRightInd w:val="0"/>
              <w:snapToGrid w:val="0"/>
              <w:spacing w:line="400" w:lineRule="exact"/>
              <w:jc w:val="center"/>
              <w:rPr>
                <w:color w:val="000000"/>
                <w:kern w:val="0"/>
                <w:sz w:val="24"/>
              </w:rPr>
            </w:pPr>
            <w:r w:rsidRPr="006506EF">
              <w:rPr>
                <w:color w:val="000000"/>
                <w:kern w:val="0"/>
                <w:sz w:val="24"/>
              </w:rPr>
              <w:t>证券代码</w:t>
            </w:r>
          </w:p>
        </w:tc>
        <w:tc>
          <w:tcPr>
            <w:tcW w:w="793"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所在证</w:t>
            </w:r>
          </w:p>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券市场</w:t>
            </w:r>
          </w:p>
        </w:tc>
        <w:tc>
          <w:tcPr>
            <w:tcW w:w="969"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所属国家</w:t>
            </w:r>
          </w:p>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（地区</w:t>
            </w:r>
            <w:r w:rsidRPr="006506EF">
              <w:rPr>
                <w:color w:val="000000"/>
                <w:kern w:val="0"/>
                <w:sz w:val="24"/>
              </w:rPr>
              <w:t>)</w:t>
            </w:r>
          </w:p>
        </w:tc>
        <w:tc>
          <w:tcPr>
            <w:tcW w:w="1146"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数量</w:t>
            </w:r>
          </w:p>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（股）</w:t>
            </w:r>
          </w:p>
        </w:tc>
        <w:tc>
          <w:tcPr>
            <w:tcW w:w="969"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公允价值（人民币元）</w:t>
            </w:r>
          </w:p>
        </w:tc>
        <w:tc>
          <w:tcPr>
            <w:tcW w:w="1146"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kern w:val="0"/>
                <w:sz w:val="24"/>
              </w:rPr>
              <w:t>占基金资产净值比例（％）</w:t>
            </w:r>
          </w:p>
        </w:tc>
      </w:tr>
      <w:tr w:rsidR="00BF1026">
        <w:tc>
          <w:tcPr>
            <w:tcW w:w="0" w:type="auto"/>
            <w:vAlign w:val="center"/>
          </w:tcPr>
          <w:p w:rsidR="00BF1026" w:rsidRDefault="001E430A">
            <w:pPr>
              <w:jc w:val="center"/>
            </w:pPr>
            <w:r>
              <w:rPr>
                <w:color w:val="000000"/>
                <w:sz w:val="24"/>
              </w:rPr>
              <w:lastRenderedPageBreak/>
              <w:t>1</w:t>
            </w:r>
          </w:p>
        </w:tc>
        <w:tc>
          <w:tcPr>
            <w:tcW w:w="0" w:type="auto"/>
            <w:vAlign w:val="center"/>
          </w:tcPr>
          <w:p w:rsidR="00BF1026" w:rsidRDefault="001E430A">
            <w:pPr>
              <w:jc w:val="center"/>
            </w:pPr>
            <w:r>
              <w:rPr>
                <w:color w:val="000000"/>
                <w:sz w:val="24"/>
              </w:rPr>
              <w:t>China Construction Bank Corporation</w:t>
            </w:r>
          </w:p>
        </w:tc>
        <w:tc>
          <w:tcPr>
            <w:tcW w:w="0" w:type="auto"/>
            <w:vAlign w:val="center"/>
          </w:tcPr>
          <w:p w:rsidR="00BF1026" w:rsidRDefault="001E430A">
            <w:pPr>
              <w:jc w:val="center"/>
            </w:pPr>
            <w:r>
              <w:rPr>
                <w:color w:val="000000"/>
                <w:sz w:val="24"/>
              </w:rPr>
              <w:t>中国建设银行股份有限公司</w:t>
            </w:r>
          </w:p>
        </w:tc>
        <w:tc>
          <w:tcPr>
            <w:tcW w:w="0" w:type="auto"/>
            <w:vAlign w:val="center"/>
          </w:tcPr>
          <w:p w:rsidR="00BF1026" w:rsidRDefault="001E430A">
            <w:pPr>
              <w:jc w:val="center"/>
            </w:pPr>
            <w:r>
              <w:rPr>
                <w:color w:val="000000"/>
                <w:sz w:val="24"/>
              </w:rPr>
              <w:t>939 HK</w:t>
            </w:r>
          </w:p>
        </w:tc>
        <w:tc>
          <w:tcPr>
            <w:tcW w:w="0" w:type="auto"/>
            <w:vAlign w:val="center"/>
          </w:tcPr>
          <w:p w:rsidR="00BF1026" w:rsidRDefault="001E430A">
            <w:pPr>
              <w:jc w:val="center"/>
            </w:pPr>
            <w:r>
              <w:rPr>
                <w:color w:val="000000"/>
                <w:sz w:val="24"/>
              </w:rPr>
              <w:t>香港证券交易所</w:t>
            </w:r>
          </w:p>
        </w:tc>
        <w:tc>
          <w:tcPr>
            <w:tcW w:w="0" w:type="auto"/>
            <w:vAlign w:val="center"/>
          </w:tcPr>
          <w:p w:rsidR="00BF1026" w:rsidRDefault="001E430A">
            <w:pPr>
              <w:jc w:val="center"/>
            </w:pPr>
            <w:r>
              <w:rPr>
                <w:color w:val="000000"/>
                <w:sz w:val="24"/>
              </w:rPr>
              <w:t>香港</w:t>
            </w:r>
          </w:p>
        </w:tc>
        <w:tc>
          <w:tcPr>
            <w:tcW w:w="0" w:type="auto"/>
            <w:vAlign w:val="center"/>
          </w:tcPr>
          <w:p w:rsidR="00BF1026" w:rsidRDefault="001E430A">
            <w:pPr>
              <w:jc w:val="right"/>
            </w:pPr>
            <w:r>
              <w:rPr>
                <w:color w:val="000000"/>
                <w:sz w:val="24"/>
              </w:rPr>
              <w:t>164,090,000</w:t>
            </w:r>
          </w:p>
        </w:tc>
        <w:tc>
          <w:tcPr>
            <w:tcW w:w="0" w:type="auto"/>
            <w:vAlign w:val="center"/>
          </w:tcPr>
          <w:p w:rsidR="00BF1026" w:rsidRDefault="001E430A">
            <w:pPr>
              <w:jc w:val="right"/>
            </w:pPr>
            <w:r>
              <w:rPr>
                <w:color w:val="000000"/>
                <w:sz w:val="24"/>
              </w:rPr>
              <w:t>885,104,708.98</w:t>
            </w:r>
          </w:p>
        </w:tc>
        <w:tc>
          <w:tcPr>
            <w:tcW w:w="0" w:type="auto"/>
            <w:vAlign w:val="center"/>
          </w:tcPr>
          <w:p w:rsidR="00BF1026" w:rsidRDefault="001E430A">
            <w:pPr>
              <w:jc w:val="right"/>
            </w:pPr>
            <w:r>
              <w:rPr>
                <w:color w:val="000000"/>
                <w:sz w:val="24"/>
              </w:rPr>
              <w:t>10.02</w:t>
            </w:r>
          </w:p>
        </w:tc>
      </w:tr>
      <w:tr w:rsidR="00BF1026">
        <w:tc>
          <w:tcPr>
            <w:tcW w:w="0" w:type="auto"/>
            <w:vAlign w:val="center"/>
          </w:tcPr>
          <w:p w:rsidR="00BF1026" w:rsidRDefault="001E430A">
            <w:pPr>
              <w:jc w:val="center"/>
            </w:pPr>
            <w:r>
              <w:rPr>
                <w:color w:val="000000"/>
                <w:sz w:val="24"/>
              </w:rPr>
              <w:t>2</w:t>
            </w:r>
          </w:p>
        </w:tc>
        <w:tc>
          <w:tcPr>
            <w:tcW w:w="0" w:type="auto"/>
            <w:vAlign w:val="center"/>
          </w:tcPr>
          <w:p w:rsidR="00BF1026" w:rsidRDefault="001E430A">
            <w:pPr>
              <w:jc w:val="center"/>
            </w:pPr>
            <w:r>
              <w:rPr>
                <w:color w:val="000000"/>
                <w:sz w:val="24"/>
              </w:rPr>
              <w:t>Tencent Holdings Ltd</w:t>
            </w:r>
          </w:p>
        </w:tc>
        <w:tc>
          <w:tcPr>
            <w:tcW w:w="0" w:type="auto"/>
            <w:vAlign w:val="center"/>
          </w:tcPr>
          <w:p w:rsidR="00BF1026" w:rsidRDefault="001E430A">
            <w:pPr>
              <w:jc w:val="center"/>
            </w:pPr>
            <w:r>
              <w:rPr>
                <w:color w:val="000000"/>
                <w:sz w:val="24"/>
              </w:rPr>
              <w:t>腾讯控股有限公司</w:t>
            </w:r>
          </w:p>
        </w:tc>
        <w:tc>
          <w:tcPr>
            <w:tcW w:w="0" w:type="auto"/>
            <w:vAlign w:val="center"/>
          </w:tcPr>
          <w:p w:rsidR="00BF1026" w:rsidRDefault="001E430A">
            <w:pPr>
              <w:jc w:val="center"/>
            </w:pPr>
            <w:r>
              <w:rPr>
                <w:color w:val="000000"/>
                <w:sz w:val="24"/>
              </w:rPr>
              <w:t>700 HK</w:t>
            </w:r>
          </w:p>
        </w:tc>
        <w:tc>
          <w:tcPr>
            <w:tcW w:w="0" w:type="auto"/>
            <w:vAlign w:val="center"/>
          </w:tcPr>
          <w:p w:rsidR="00BF1026" w:rsidRDefault="001E430A">
            <w:pPr>
              <w:jc w:val="center"/>
            </w:pPr>
            <w:r>
              <w:rPr>
                <w:color w:val="000000"/>
                <w:sz w:val="24"/>
              </w:rPr>
              <w:t>香港证券交易所</w:t>
            </w:r>
          </w:p>
        </w:tc>
        <w:tc>
          <w:tcPr>
            <w:tcW w:w="0" w:type="auto"/>
            <w:vAlign w:val="center"/>
          </w:tcPr>
          <w:p w:rsidR="00BF1026" w:rsidRDefault="001E430A">
            <w:pPr>
              <w:jc w:val="center"/>
            </w:pPr>
            <w:r>
              <w:rPr>
                <w:color w:val="000000"/>
                <w:sz w:val="24"/>
              </w:rPr>
              <w:t>香港</w:t>
            </w:r>
          </w:p>
        </w:tc>
        <w:tc>
          <w:tcPr>
            <w:tcW w:w="0" w:type="auto"/>
            <w:vAlign w:val="center"/>
          </w:tcPr>
          <w:p w:rsidR="00BF1026" w:rsidRDefault="001E430A">
            <w:pPr>
              <w:jc w:val="right"/>
            </w:pPr>
            <w:r>
              <w:rPr>
                <w:color w:val="000000"/>
                <w:sz w:val="24"/>
              </w:rPr>
              <w:t>2,861,200</w:t>
            </w:r>
          </w:p>
        </w:tc>
        <w:tc>
          <w:tcPr>
            <w:tcW w:w="0" w:type="auto"/>
            <w:vAlign w:val="center"/>
          </w:tcPr>
          <w:p w:rsidR="00BF1026" w:rsidRDefault="001E430A">
            <w:pPr>
              <w:jc w:val="right"/>
            </w:pPr>
            <w:r>
              <w:rPr>
                <w:color w:val="000000"/>
                <w:sz w:val="24"/>
              </w:rPr>
              <w:t>852,190,400.16</w:t>
            </w:r>
          </w:p>
        </w:tc>
        <w:tc>
          <w:tcPr>
            <w:tcW w:w="0" w:type="auto"/>
            <w:vAlign w:val="center"/>
          </w:tcPr>
          <w:p w:rsidR="00BF1026" w:rsidRDefault="001E430A">
            <w:pPr>
              <w:jc w:val="right"/>
            </w:pPr>
            <w:r>
              <w:rPr>
                <w:color w:val="000000"/>
                <w:sz w:val="24"/>
              </w:rPr>
              <w:t>9.65</w:t>
            </w:r>
          </w:p>
        </w:tc>
      </w:tr>
      <w:tr w:rsidR="00BF1026">
        <w:tc>
          <w:tcPr>
            <w:tcW w:w="0" w:type="auto"/>
            <w:vAlign w:val="center"/>
          </w:tcPr>
          <w:p w:rsidR="00BF1026" w:rsidRDefault="001E430A">
            <w:pPr>
              <w:jc w:val="center"/>
            </w:pPr>
            <w:r>
              <w:rPr>
                <w:color w:val="000000"/>
                <w:sz w:val="24"/>
              </w:rPr>
              <w:t>3</w:t>
            </w:r>
          </w:p>
        </w:tc>
        <w:tc>
          <w:tcPr>
            <w:tcW w:w="0" w:type="auto"/>
            <w:vAlign w:val="center"/>
          </w:tcPr>
          <w:p w:rsidR="00BF1026" w:rsidRDefault="001E430A">
            <w:pPr>
              <w:jc w:val="center"/>
            </w:pPr>
            <w:r>
              <w:rPr>
                <w:color w:val="000000"/>
                <w:sz w:val="24"/>
              </w:rPr>
              <w:t>Ping An Insurance (Group) Company</w:t>
            </w:r>
            <w:r>
              <w:rPr>
                <w:color w:val="000000"/>
                <w:sz w:val="24"/>
              </w:rPr>
              <w:t xml:space="preserve"> of China, Ltd.</w:t>
            </w:r>
          </w:p>
        </w:tc>
        <w:tc>
          <w:tcPr>
            <w:tcW w:w="0" w:type="auto"/>
            <w:vAlign w:val="center"/>
          </w:tcPr>
          <w:p w:rsidR="00BF1026" w:rsidRDefault="001E430A">
            <w:pPr>
              <w:jc w:val="center"/>
            </w:pPr>
            <w:r>
              <w:rPr>
                <w:color w:val="000000"/>
                <w:sz w:val="24"/>
              </w:rPr>
              <w:t>中国平安保险</w:t>
            </w:r>
            <w:r>
              <w:rPr>
                <w:color w:val="000000"/>
                <w:sz w:val="24"/>
              </w:rPr>
              <w:t>(</w:t>
            </w:r>
            <w:r>
              <w:rPr>
                <w:color w:val="000000"/>
                <w:sz w:val="24"/>
              </w:rPr>
              <w:t>集团</w:t>
            </w:r>
            <w:r>
              <w:rPr>
                <w:color w:val="000000"/>
                <w:sz w:val="24"/>
              </w:rPr>
              <w:t>)</w:t>
            </w:r>
            <w:r>
              <w:rPr>
                <w:color w:val="000000"/>
                <w:sz w:val="24"/>
              </w:rPr>
              <w:t>股份有限公司</w:t>
            </w:r>
          </w:p>
        </w:tc>
        <w:tc>
          <w:tcPr>
            <w:tcW w:w="0" w:type="auto"/>
            <w:vAlign w:val="center"/>
          </w:tcPr>
          <w:p w:rsidR="00BF1026" w:rsidRDefault="001E430A">
            <w:pPr>
              <w:jc w:val="center"/>
            </w:pPr>
            <w:r>
              <w:rPr>
                <w:color w:val="000000"/>
                <w:sz w:val="24"/>
              </w:rPr>
              <w:t>2318 HK</w:t>
            </w:r>
          </w:p>
        </w:tc>
        <w:tc>
          <w:tcPr>
            <w:tcW w:w="0" w:type="auto"/>
            <w:vAlign w:val="center"/>
          </w:tcPr>
          <w:p w:rsidR="00BF1026" w:rsidRDefault="001E430A">
            <w:pPr>
              <w:jc w:val="center"/>
            </w:pPr>
            <w:r>
              <w:rPr>
                <w:color w:val="000000"/>
                <w:sz w:val="24"/>
              </w:rPr>
              <w:t>香港证券交易所</w:t>
            </w:r>
          </w:p>
        </w:tc>
        <w:tc>
          <w:tcPr>
            <w:tcW w:w="0" w:type="auto"/>
            <w:vAlign w:val="center"/>
          </w:tcPr>
          <w:p w:rsidR="00BF1026" w:rsidRDefault="001E430A">
            <w:pPr>
              <w:jc w:val="center"/>
            </w:pPr>
            <w:r>
              <w:rPr>
                <w:color w:val="000000"/>
                <w:sz w:val="24"/>
              </w:rPr>
              <w:t>香港</w:t>
            </w:r>
          </w:p>
        </w:tc>
        <w:tc>
          <w:tcPr>
            <w:tcW w:w="0" w:type="auto"/>
            <w:vAlign w:val="center"/>
          </w:tcPr>
          <w:p w:rsidR="00BF1026" w:rsidRDefault="001E430A">
            <w:pPr>
              <w:jc w:val="right"/>
            </w:pPr>
            <w:r>
              <w:rPr>
                <w:color w:val="000000"/>
                <w:sz w:val="24"/>
              </w:rPr>
              <w:t>10,246,000</w:t>
            </w:r>
          </w:p>
        </w:tc>
        <w:tc>
          <w:tcPr>
            <w:tcW w:w="0" w:type="auto"/>
            <w:vAlign w:val="center"/>
          </w:tcPr>
          <w:p w:rsidR="00BF1026" w:rsidRDefault="001E430A">
            <w:pPr>
              <w:jc w:val="right"/>
            </w:pPr>
            <w:r>
              <w:rPr>
                <w:color w:val="000000"/>
                <w:sz w:val="24"/>
              </w:rPr>
              <w:t>832,241,601.12</w:t>
            </w:r>
          </w:p>
        </w:tc>
        <w:tc>
          <w:tcPr>
            <w:tcW w:w="0" w:type="auto"/>
            <w:vAlign w:val="center"/>
          </w:tcPr>
          <w:p w:rsidR="00BF1026" w:rsidRDefault="001E430A">
            <w:pPr>
              <w:jc w:val="right"/>
            </w:pPr>
            <w:r>
              <w:rPr>
                <w:color w:val="000000"/>
                <w:sz w:val="24"/>
              </w:rPr>
              <w:t>9.42</w:t>
            </w:r>
          </w:p>
        </w:tc>
      </w:tr>
      <w:tr w:rsidR="00BF1026">
        <w:tc>
          <w:tcPr>
            <w:tcW w:w="0" w:type="auto"/>
            <w:vAlign w:val="center"/>
          </w:tcPr>
          <w:p w:rsidR="00BF1026" w:rsidRDefault="001E430A">
            <w:pPr>
              <w:jc w:val="center"/>
            </w:pPr>
            <w:r>
              <w:rPr>
                <w:color w:val="000000"/>
                <w:sz w:val="24"/>
              </w:rPr>
              <w:t>4</w:t>
            </w:r>
          </w:p>
        </w:tc>
        <w:tc>
          <w:tcPr>
            <w:tcW w:w="0" w:type="auto"/>
            <w:vAlign w:val="center"/>
          </w:tcPr>
          <w:p w:rsidR="00BF1026" w:rsidRDefault="001E430A">
            <w:pPr>
              <w:jc w:val="center"/>
            </w:pPr>
            <w:r>
              <w:rPr>
                <w:color w:val="000000"/>
                <w:sz w:val="24"/>
              </w:rPr>
              <w:t>China Mobile Limited</w:t>
            </w:r>
          </w:p>
        </w:tc>
        <w:tc>
          <w:tcPr>
            <w:tcW w:w="0" w:type="auto"/>
            <w:vAlign w:val="center"/>
          </w:tcPr>
          <w:p w:rsidR="00BF1026" w:rsidRDefault="001E430A">
            <w:pPr>
              <w:jc w:val="center"/>
            </w:pPr>
            <w:r>
              <w:rPr>
                <w:color w:val="000000"/>
                <w:sz w:val="24"/>
              </w:rPr>
              <w:t>中国移动有限公司</w:t>
            </w:r>
          </w:p>
        </w:tc>
        <w:tc>
          <w:tcPr>
            <w:tcW w:w="0" w:type="auto"/>
            <w:vAlign w:val="center"/>
          </w:tcPr>
          <w:p w:rsidR="00BF1026" w:rsidRDefault="001E430A">
            <w:pPr>
              <w:jc w:val="center"/>
            </w:pPr>
            <w:r>
              <w:rPr>
                <w:color w:val="000000"/>
                <w:sz w:val="24"/>
              </w:rPr>
              <w:t>941 HK</w:t>
            </w:r>
          </w:p>
        </w:tc>
        <w:tc>
          <w:tcPr>
            <w:tcW w:w="0" w:type="auto"/>
            <w:vAlign w:val="center"/>
          </w:tcPr>
          <w:p w:rsidR="00BF1026" w:rsidRDefault="001E430A">
            <w:pPr>
              <w:jc w:val="center"/>
            </w:pPr>
            <w:r>
              <w:rPr>
                <w:color w:val="000000"/>
                <w:sz w:val="24"/>
              </w:rPr>
              <w:t>香港证券交易所</w:t>
            </w:r>
          </w:p>
        </w:tc>
        <w:tc>
          <w:tcPr>
            <w:tcW w:w="0" w:type="auto"/>
            <w:vAlign w:val="center"/>
          </w:tcPr>
          <w:p w:rsidR="00BF1026" w:rsidRDefault="001E430A">
            <w:pPr>
              <w:jc w:val="center"/>
            </w:pPr>
            <w:r>
              <w:rPr>
                <w:color w:val="000000"/>
                <w:sz w:val="24"/>
              </w:rPr>
              <w:t>香港</w:t>
            </w:r>
          </w:p>
        </w:tc>
        <w:tc>
          <w:tcPr>
            <w:tcW w:w="0" w:type="auto"/>
            <w:vAlign w:val="center"/>
          </w:tcPr>
          <w:p w:rsidR="00BF1026" w:rsidRDefault="001E430A">
            <w:pPr>
              <w:jc w:val="right"/>
            </w:pPr>
            <w:r>
              <w:rPr>
                <w:color w:val="000000"/>
                <w:sz w:val="24"/>
              </w:rPr>
              <w:t>11,268,100</w:t>
            </w:r>
          </w:p>
        </w:tc>
        <w:tc>
          <w:tcPr>
            <w:tcW w:w="0" w:type="auto"/>
            <w:vAlign w:val="center"/>
          </w:tcPr>
          <w:p w:rsidR="00BF1026" w:rsidRDefault="001E430A">
            <w:pPr>
              <w:jc w:val="right"/>
            </w:pPr>
            <w:r>
              <w:rPr>
                <w:color w:val="000000"/>
                <w:sz w:val="24"/>
              </w:rPr>
              <w:t>659,131,436.43</w:t>
            </w:r>
          </w:p>
        </w:tc>
        <w:tc>
          <w:tcPr>
            <w:tcW w:w="0" w:type="auto"/>
            <w:vAlign w:val="center"/>
          </w:tcPr>
          <w:p w:rsidR="00BF1026" w:rsidRDefault="001E430A">
            <w:pPr>
              <w:jc w:val="right"/>
            </w:pPr>
            <w:r>
              <w:rPr>
                <w:color w:val="000000"/>
                <w:sz w:val="24"/>
              </w:rPr>
              <w:t>7.46</w:t>
            </w:r>
          </w:p>
        </w:tc>
      </w:tr>
      <w:tr w:rsidR="00BF1026">
        <w:tc>
          <w:tcPr>
            <w:tcW w:w="0" w:type="auto"/>
            <w:vAlign w:val="center"/>
          </w:tcPr>
          <w:p w:rsidR="00BF1026" w:rsidRDefault="001E430A">
            <w:pPr>
              <w:jc w:val="center"/>
            </w:pPr>
            <w:r>
              <w:rPr>
                <w:color w:val="000000"/>
                <w:sz w:val="24"/>
              </w:rPr>
              <w:t>5</w:t>
            </w:r>
          </w:p>
        </w:tc>
        <w:tc>
          <w:tcPr>
            <w:tcW w:w="0" w:type="auto"/>
            <w:vAlign w:val="center"/>
          </w:tcPr>
          <w:p w:rsidR="00BF1026" w:rsidRDefault="001E430A">
            <w:pPr>
              <w:jc w:val="center"/>
            </w:pPr>
            <w:r>
              <w:rPr>
                <w:color w:val="000000"/>
                <w:sz w:val="24"/>
              </w:rPr>
              <w:t xml:space="preserve">Industrial and </w:t>
            </w:r>
            <w:r>
              <w:rPr>
                <w:color w:val="000000"/>
                <w:sz w:val="24"/>
              </w:rPr>
              <w:lastRenderedPageBreak/>
              <w:t>Commercial Bank of China Limited</w:t>
            </w:r>
          </w:p>
        </w:tc>
        <w:tc>
          <w:tcPr>
            <w:tcW w:w="0" w:type="auto"/>
            <w:vAlign w:val="center"/>
          </w:tcPr>
          <w:p w:rsidR="00BF1026" w:rsidRDefault="001E430A">
            <w:pPr>
              <w:jc w:val="center"/>
            </w:pPr>
            <w:r>
              <w:rPr>
                <w:color w:val="000000"/>
                <w:sz w:val="24"/>
              </w:rPr>
              <w:lastRenderedPageBreak/>
              <w:t>中国</w:t>
            </w:r>
            <w:r>
              <w:rPr>
                <w:color w:val="000000"/>
                <w:sz w:val="24"/>
              </w:rPr>
              <w:lastRenderedPageBreak/>
              <w:t>工商银行股份有限公司</w:t>
            </w:r>
          </w:p>
        </w:tc>
        <w:tc>
          <w:tcPr>
            <w:tcW w:w="0" w:type="auto"/>
            <w:vAlign w:val="center"/>
          </w:tcPr>
          <w:p w:rsidR="00BF1026" w:rsidRDefault="001E430A">
            <w:pPr>
              <w:jc w:val="center"/>
            </w:pPr>
            <w:r>
              <w:rPr>
                <w:color w:val="000000"/>
                <w:sz w:val="24"/>
              </w:rPr>
              <w:lastRenderedPageBreak/>
              <w:t xml:space="preserve">1398 </w:t>
            </w:r>
            <w:r>
              <w:rPr>
                <w:color w:val="000000"/>
                <w:sz w:val="24"/>
              </w:rPr>
              <w:lastRenderedPageBreak/>
              <w:t>HK</w:t>
            </w:r>
          </w:p>
        </w:tc>
        <w:tc>
          <w:tcPr>
            <w:tcW w:w="0" w:type="auto"/>
            <w:vAlign w:val="center"/>
          </w:tcPr>
          <w:p w:rsidR="00BF1026" w:rsidRDefault="001E430A">
            <w:pPr>
              <w:jc w:val="center"/>
            </w:pPr>
            <w:r>
              <w:rPr>
                <w:color w:val="000000"/>
                <w:sz w:val="24"/>
              </w:rPr>
              <w:lastRenderedPageBreak/>
              <w:t>香港</w:t>
            </w:r>
            <w:r>
              <w:rPr>
                <w:color w:val="000000"/>
                <w:sz w:val="24"/>
              </w:rPr>
              <w:lastRenderedPageBreak/>
              <w:t>证券交易所</w:t>
            </w:r>
          </w:p>
        </w:tc>
        <w:tc>
          <w:tcPr>
            <w:tcW w:w="0" w:type="auto"/>
            <w:vAlign w:val="center"/>
          </w:tcPr>
          <w:p w:rsidR="00BF1026" w:rsidRDefault="001E430A">
            <w:pPr>
              <w:jc w:val="center"/>
            </w:pPr>
            <w:r>
              <w:rPr>
                <w:color w:val="000000"/>
                <w:sz w:val="24"/>
              </w:rPr>
              <w:lastRenderedPageBreak/>
              <w:t>香港</w:t>
            </w:r>
          </w:p>
        </w:tc>
        <w:tc>
          <w:tcPr>
            <w:tcW w:w="0" w:type="auto"/>
            <w:vAlign w:val="center"/>
          </w:tcPr>
          <w:p w:rsidR="00BF1026" w:rsidRDefault="001E430A">
            <w:pPr>
              <w:jc w:val="right"/>
            </w:pPr>
            <w:r>
              <w:rPr>
                <w:color w:val="000000"/>
                <w:sz w:val="24"/>
              </w:rPr>
              <w:t>135,324,000</w:t>
            </w:r>
          </w:p>
        </w:tc>
        <w:tc>
          <w:tcPr>
            <w:tcW w:w="0" w:type="auto"/>
            <w:vAlign w:val="center"/>
          </w:tcPr>
          <w:p w:rsidR="00BF1026" w:rsidRDefault="001E430A">
            <w:pPr>
              <w:jc w:val="right"/>
            </w:pPr>
            <w:r>
              <w:rPr>
                <w:color w:val="000000"/>
                <w:sz w:val="24"/>
              </w:rPr>
              <w:t>640,833,906.51</w:t>
            </w:r>
          </w:p>
        </w:tc>
        <w:tc>
          <w:tcPr>
            <w:tcW w:w="0" w:type="auto"/>
            <w:vAlign w:val="center"/>
          </w:tcPr>
          <w:p w:rsidR="00BF1026" w:rsidRDefault="001E430A">
            <w:pPr>
              <w:jc w:val="right"/>
            </w:pPr>
            <w:r>
              <w:rPr>
                <w:color w:val="000000"/>
                <w:sz w:val="24"/>
              </w:rPr>
              <w:t>7.26</w:t>
            </w:r>
          </w:p>
        </w:tc>
      </w:tr>
      <w:tr w:rsidR="00BF1026">
        <w:tc>
          <w:tcPr>
            <w:tcW w:w="0" w:type="auto"/>
            <w:vAlign w:val="center"/>
          </w:tcPr>
          <w:p w:rsidR="00BF1026" w:rsidRDefault="001E430A">
            <w:pPr>
              <w:jc w:val="center"/>
            </w:pPr>
            <w:r>
              <w:rPr>
                <w:color w:val="000000"/>
                <w:sz w:val="24"/>
              </w:rPr>
              <w:t>6</w:t>
            </w:r>
          </w:p>
        </w:tc>
        <w:tc>
          <w:tcPr>
            <w:tcW w:w="0" w:type="auto"/>
            <w:vAlign w:val="center"/>
          </w:tcPr>
          <w:p w:rsidR="00BF1026" w:rsidRDefault="001E430A">
            <w:pPr>
              <w:jc w:val="center"/>
            </w:pPr>
            <w:r>
              <w:rPr>
                <w:color w:val="000000"/>
                <w:sz w:val="24"/>
              </w:rPr>
              <w:t>Bank of China Limited</w:t>
            </w:r>
          </w:p>
        </w:tc>
        <w:tc>
          <w:tcPr>
            <w:tcW w:w="0" w:type="auto"/>
            <w:vAlign w:val="center"/>
          </w:tcPr>
          <w:p w:rsidR="00BF1026" w:rsidRDefault="001E430A">
            <w:pPr>
              <w:jc w:val="center"/>
            </w:pPr>
            <w:r>
              <w:rPr>
                <w:color w:val="000000"/>
                <w:sz w:val="24"/>
              </w:rPr>
              <w:t>中国银行股份有限公司</w:t>
            </w:r>
          </w:p>
        </w:tc>
        <w:tc>
          <w:tcPr>
            <w:tcW w:w="0" w:type="auto"/>
            <w:vAlign w:val="center"/>
          </w:tcPr>
          <w:p w:rsidR="00BF1026" w:rsidRDefault="001E430A">
            <w:pPr>
              <w:jc w:val="center"/>
            </w:pPr>
            <w:r>
              <w:rPr>
                <w:color w:val="000000"/>
                <w:sz w:val="24"/>
              </w:rPr>
              <w:t>3988 HK</w:t>
            </w:r>
          </w:p>
        </w:tc>
        <w:tc>
          <w:tcPr>
            <w:tcW w:w="0" w:type="auto"/>
            <w:vAlign w:val="center"/>
          </w:tcPr>
          <w:p w:rsidR="00BF1026" w:rsidRDefault="001E430A">
            <w:pPr>
              <w:jc w:val="center"/>
            </w:pPr>
            <w:r>
              <w:rPr>
                <w:color w:val="000000"/>
                <w:sz w:val="24"/>
              </w:rPr>
              <w:t>香港证券交易所</w:t>
            </w:r>
          </w:p>
        </w:tc>
        <w:tc>
          <w:tcPr>
            <w:tcW w:w="0" w:type="auto"/>
            <w:vAlign w:val="center"/>
          </w:tcPr>
          <w:p w:rsidR="00BF1026" w:rsidRDefault="001E430A">
            <w:pPr>
              <w:jc w:val="center"/>
            </w:pPr>
            <w:r>
              <w:rPr>
                <w:color w:val="000000"/>
                <w:sz w:val="24"/>
              </w:rPr>
              <w:t>香港</w:t>
            </w:r>
          </w:p>
        </w:tc>
        <w:tc>
          <w:tcPr>
            <w:tcW w:w="0" w:type="auto"/>
            <w:vAlign w:val="center"/>
          </w:tcPr>
          <w:p w:rsidR="00BF1026" w:rsidRDefault="001E430A">
            <w:pPr>
              <w:jc w:val="right"/>
            </w:pPr>
            <w:r>
              <w:rPr>
                <w:color w:val="000000"/>
                <w:sz w:val="24"/>
              </w:rPr>
              <w:t>145,718,000</w:t>
            </w:r>
          </w:p>
        </w:tc>
        <w:tc>
          <w:tcPr>
            <w:tcW w:w="0" w:type="auto"/>
            <w:vAlign w:val="center"/>
          </w:tcPr>
          <w:p w:rsidR="00BF1026" w:rsidRDefault="001E430A">
            <w:pPr>
              <w:jc w:val="right"/>
            </w:pPr>
            <w:r>
              <w:rPr>
                <w:color w:val="000000"/>
                <w:sz w:val="24"/>
              </w:rPr>
              <w:t>404,832,407.00</w:t>
            </w:r>
          </w:p>
        </w:tc>
        <w:tc>
          <w:tcPr>
            <w:tcW w:w="0" w:type="auto"/>
            <w:vAlign w:val="center"/>
          </w:tcPr>
          <w:p w:rsidR="00BF1026" w:rsidRDefault="001E430A">
            <w:pPr>
              <w:jc w:val="right"/>
            </w:pPr>
            <w:r>
              <w:rPr>
                <w:color w:val="000000"/>
                <w:sz w:val="24"/>
              </w:rPr>
              <w:t>4.58</w:t>
            </w:r>
          </w:p>
        </w:tc>
      </w:tr>
      <w:tr w:rsidR="00BF1026">
        <w:tc>
          <w:tcPr>
            <w:tcW w:w="0" w:type="auto"/>
            <w:vAlign w:val="center"/>
          </w:tcPr>
          <w:p w:rsidR="00BF1026" w:rsidRDefault="001E430A">
            <w:pPr>
              <w:jc w:val="center"/>
            </w:pPr>
            <w:r>
              <w:rPr>
                <w:color w:val="000000"/>
                <w:sz w:val="24"/>
              </w:rPr>
              <w:t>7</w:t>
            </w:r>
          </w:p>
        </w:tc>
        <w:tc>
          <w:tcPr>
            <w:tcW w:w="0" w:type="auto"/>
            <w:vAlign w:val="center"/>
          </w:tcPr>
          <w:p w:rsidR="00BF1026" w:rsidRDefault="001E430A">
            <w:pPr>
              <w:jc w:val="center"/>
            </w:pPr>
            <w:r>
              <w:rPr>
                <w:color w:val="000000"/>
                <w:sz w:val="24"/>
              </w:rPr>
              <w:t>CNOOC Limited</w:t>
            </w:r>
          </w:p>
        </w:tc>
        <w:tc>
          <w:tcPr>
            <w:tcW w:w="0" w:type="auto"/>
            <w:vAlign w:val="center"/>
          </w:tcPr>
          <w:p w:rsidR="00BF1026" w:rsidRDefault="001E430A">
            <w:pPr>
              <w:jc w:val="center"/>
            </w:pPr>
            <w:r>
              <w:rPr>
                <w:color w:val="000000"/>
                <w:sz w:val="24"/>
              </w:rPr>
              <w:t>中国海洋石油有限公司</w:t>
            </w:r>
          </w:p>
        </w:tc>
        <w:tc>
          <w:tcPr>
            <w:tcW w:w="0" w:type="auto"/>
            <w:vAlign w:val="center"/>
          </w:tcPr>
          <w:p w:rsidR="00BF1026" w:rsidRDefault="001E430A">
            <w:pPr>
              <w:jc w:val="center"/>
            </w:pPr>
            <w:r>
              <w:rPr>
                <w:color w:val="000000"/>
                <w:sz w:val="24"/>
              </w:rPr>
              <w:t>883 HK</w:t>
            </w:r>
          </w:p>
        </w:tc>
        <w:tc>
          <w:tcPr>
            <w:tcW w:w="0" w:type="auto"/>
            <w:vAlign w:val="center"/>
          </w:tcPr>
          <w:p w:rsidR="00BF1026" w:rsidRDefault="001E430A">
            <w:pPr>
              <w:jc w:val="center"/>
            </w:pPr>
            <w:r>
              <w:rPr>
                <w:color w:val="000000"/>
                <w:sz w:val="24"/>
              </w:rPr>
              <w:t>香港证券交易所</w:t>
            </w:r>
          </w:p>
        </w:tc>
        <w:tc>
          <w:tcPr>
            <w:tcW w:w="0" w:type="auto"/>
            <w:vAlign w:val="center"/>
          </w:tcPr>
          <w:p w:rsidR="00BF1026" w:rsidRDefault="001E430A">
            <w:pPr>
              <w:jc w:val="center"/>
            </w:pPr>
            <w:r>
              <w:rPr>
                <w:color w:val="000000"/>
                <w:sz w:val="24"/>
              </w:rPr>
              <w:t>香港</w:t>
            </w:r>
          </w:p>
        </w:tc>
        <w:tc>
          <w:tcPr>
            <w:tcW w:w="0" w:type="auto"/>
            <w:vAlign w:val="center"/>
          </w:tcPr>
          <w:p w:rsidR="00BF1026" w:rsidRDefault="001E430A">
            <w:pPr>
              <w:jc w:val="right"/>
            </w:pPr>
            <w:r>
              <w:rPr>
                <w:color w:val="000000"/>
                <w:sz w:val="24"/>
              </w:rPr>
              <w:t>32,759,000</w:t>
            </w:r>
          </w:p>
        </w:tc>
        <w:tc>
          <w:tcPr>
            <w:tcW w:w="0" w:type="auto"/>
            <w:vAlign w:val="center"/>
          </w:tcPr>
          <w:p w:rsidR="00BF1026" w:rsidRDefault="001E430A">
            <w:pPr>
              <w:jc w:val="right"/>
            </w:pPr>
            <w:r>
              <w:rPr>
                <w:color w:val="000000"/>
                <w:sz w:val="24"/>
              </w:rPr>
              <w:t>353,405,389.25</w:t>
            </w:r>
          </w:p>
        </w:tc>
        <w:tc>
          <w:tcPr>
            <w:tcW w:w="0" w:type="auto"/>
            <w:vAlign w:val="center"/>
          </w:tcPr>
          <w:p w:rsidR="00BF1026" w:rsidRDefault="001E430A">
            <w:pPr>
              <w:jc w:val="right"/>
            </w:pPr>
            <w:r>
              <w:rPr>
                <w:color w:val="000000"/>
                <w:sz w:val="24"/>
              </w:rPr>
              <w:t>4.00</w:t>
            </w:r>
          </w:p>
        </w:tc>
      </w:tr>
      <w:tr w:rsidR="00BF1026">
        <w:tc>
          <w:tcPr>
            <w:tcW w:w="0" w:type="auto"/>
            <w:vAlign w:val="center"/>
          </w:tcPr>
          <w:p w:rsidR="00BF1026" w:rsidRDefault="001E430A">
            <w:pPr>
              <w:jc w:val="center"/>
            </w:pPr>
            <w:r>
              <w:rPr>
                <w:color w:val="000000"/>
                <w:sz w:val="24"/>
              </w:rPr>
              <w:t>8</w:t>
            </w:r>
          </w:p>
        </w:tc>
        <w:tc>
          <w:tcPr>
            <w:tcW w:w="0" w:type="auto"/>
            <w:vAlign w:val="center"/>
          </w:tcPr>
          <w:p w:rsidR="00BF1026" w:rsidRDefault="001E430A">
            <w:pPr>
              <w:jc w:val="center"/>
            </w:pPr>
            <w:r>
              <w:rPr>
                <w:color w:val="000000"/>
                <w:sz w:val="24"/>
              </w:rPr>
              <w:t>China Merchants Bank Co., Ltd.</w:t>
            </w:r>
          </w:p>
        </w:tc>
        <w:tc>
          <w:tcPr>
            <w:tcW w:w="0" w:type="auto"/>
            <w:vAlign w:val="center"/>
          </w:tcPr>
          <w:p w:rsidR="00BF1026" w:rsidRDefault="001E430A">
            <w:pPr>
              <w:jc w:val="center"/>
            </w:pPr>
            <w:r>
              <w:rPr>
                <w:color w:val="000000"/>
                <w:sz w:val="24"/>
              </w:rPr>
              <w:t>招商银行股份有限公司</w:t>
            </w:r>
          </w:p>
        </w:tc>
        <w:tc>
          <w:tcPr>
            <w:tcW w:w="0" w:type="auto"/>
            <w:vAlign w:val="center"/>
          </w:tcPr>
          <w:p w:rsidR="00BF1026" w:rsidRDefault="001E430A">
            <w:pPr>
              <w:jc w:val="center"/>
            </w:pPr>
            <w:r>
              <w:rPr>
                <w:color w:val="000000"/>
                <w:sz w:val="24"/>
              </w:rPr>
              <w:t>3968 HK</w:t>
            </w:r>
          </w:p>
        </w:tc>
        <w:tc>
          <w:tcPr>
            <w:tcW w:w="0" w:type="auto"/>
            <w:vAlign w:val="center"/>
          </w:tcPr>
          <w:p w:rsidR="00BF1026" w:rsidRDefault="001E430A">
            <w:pPr>
              <w:jc w:val="center"/>
            </w:pPr>
            <w:r>
              <w:rPr>
                <w:color w:val="000000"/>
                <w:sz w:val="24"/>
              </w:rPr>
              <w:t>香港证券交易所</w:t>
            </w:r>
          </w:p>
        </w:tc>
        <w:tc>
          <w:tcPr>
            <w:tcW w:w="0" w:type="auto"/>
            <w:vAlign w:val="center"/>
          </w:tcPr>
          <w:p w:rsidR="00BF1026" w:rsidRDefault="001E430A">
            <w:pPr>
              <w:jc w:val="center"/>
            </w:pPr>
            <w:r>
              <w:rPr>
                <w:color w:val="000000"/>
                <w:sz w:val="24"/>
              </w:rPr>
              <w:t>香港</w:t>
            </w:r>
          </w:p>
        </w:tc>
        <w:tc>
          <w:tcPr>
            <w:tcW w:w="0" w:type="auto"/>
            <w:vAlign w:val="center"/>
          </w:tcPr>
          <w:p w:rsidR="00BF1026" w:rsidRDefault="001E430A">
            <w:pPr>
              <w:jc w:val="right"/>
            </w:pPr>
            <w:r>
              <w:rPr>
                <w:color w:val="000000"/>
                <w:sz w:val="24"/>
              </w:rPr>
              <w:t>7,158,000</w:t>
            </w:r>
          </w:p>
        </w:tc>
        <w:tc>
          <w:tcPr>
            <w:tcW w:w="0" w:type="auto"/>
            <w:vAlign w:val="center"/>
          </w:tcPr>
          <w:p w:rsidR="00BF1026" w:rsidRDefault="001E430A">
            <w:pPr>
              <w:jc w:val="right"/>
            </w:pPr>
            <w:r>
              <w:rPr>
                <w:color w:val="000000"/>
                <w:sz w:val="24"/>
              </w:rPr>
              <w:t>240,830,716.74</w:t>
            </w:r>
          </w:p>
        </w:tc>
        <w:tc>
          <w:tcPr>
            <w:tcW w:w="0" w:type="auto"/>
            <w:vAlign w:val="center"/>
          </w:tcPr>
          <w:p w:rsidR="00BF1026" w:rsidRDefault="001E430A">
            <w:pPr>
              <w:jc w:val="right"/>
            </w:pPr>
            <w:r>
              <w:rPr>
                <w:color w:val="000000"/>
                <w:sz w:val="24"/>
              </w:rPr>
              <w:t>2.73</w:t>
            </w:r>
          </w:p>
        </w:tc>
      </w:tr>
      <w:tr w:rsidR="00BF1026">
        <w:tc>
          <w:tcPr>
            <w:tcW w:w="0" w:type="auto"/>
            <w:vAlign w:val="center"/>
          </w:tcPr>
          <w:p w:rsidR="00BF1026" w:rsidRDefault="001E430A">
            <w:pPr>
              <w:jc w:val="center"/>
            </w:pPr>
            <w:r>
              <w:rPr>
                <w:color w:val="000000"/>
                <w:sz w:val="24"/>
              </w:rPr>
              <w:t>9</w:t>
            </w:r>
          </w:p>
        </w:tc>
        <w:tc>
          <w:tcPr>
            <w:tcW w:w="0" w:type="auto"/>
            <w:vAlign w:val="center"/>
          </w:tcPr>
          <w:p w:rsidR="00BF1026" w:rsidRDefault="001E430A">
            <w:pPr>
              <w:jc w:val="center"/>
            </w:pPr>
            <w:r>
              <w:rPr>
                <w:color w:val="000000"/>
                <w:sz w:val="24"/>
              </w:rPr>
              <w:t>China Life Insurance Company Limited</w:t>
            </w:r>
          </w:p>
        </w:tc>
        <w:tc>
          <w:tcPr>
            <w:tcW w:w="0" w:type="auto"/>
            <w:vAlign w:val="center"/>
          </w:tcPr>
          <w:p w:rsidR="00BF1026" w:rsidRDefault="001E430A">
            <w:pPr>
              <w:jc w:val="center"/>
            </w:pPr>
            <w:r>
              <w:rPr>
                <w:color w:val="000000"/>
                <w:sz w:val="24"/>
              </w:rPr>
              <w:t>中国人寿</w:t>
            </w:r>
            <w:r>
              <w:rPr>
                <w:color w:val="000000"/>
                <w:sz w:val="24"/>
              </w:rPr>
              <w:lastRenderedPageBreak/>
              <w:t>保险股份有限公司</w:t>
            </w:r>
          </w:p>
        </w:tc>
        <w:tc>
          <w:tcPr>
            <w:tcW w:w="0" w:type="auto"/>
            <w:vAlign w:val="center"/>
          </w:tcPr>
          <w:p w:rsidR="00BF1026" w:rsidRDefault="001E430A">
            <w:pPr>
              <w:jc w:val="center"/>
            </w:pPr>
            <w:r>
              <w:rPr>
                <w:color w:val="000000"/>
                <w:sz w:val="24"/>
              </w:rPr>
              <w:lastRenderedPageBreak/>
              <w:t>2628 HK</w:t>
            </w:r>
          </w:p>
        </w:tc>
        <w:tc>
          <w:tcPr>
            <w:tcW w:w="0" w:type="auto"/>
            <w:vAlign w:val="center"/>
          </w:tcPr>
          <w:p w:rsidR="00BF1026" w:rsidRDefault="001E430A">
            <w:pPr>
              <w:jc w:val="center"/>
            </w:pPr>
            <w:r>
              <w:rPr>
                <w:color w:val="000000"/>
                <w:sz w:val="24"/>
              </w:rPr>
              <w:t>香港证券</w:t>
            </w:r>
            <w:r>
              <w:rPr>
                <w:color w:val="000000"/>
                <w:sz w:val="24"/>
              </w:rPr>
              <w:lastRenderedPageBreak/>
              <w:t>交易所</w:t>
            </w:r>
          </w:p>
        </w:tc>
        <w:tc>
          <w:tcPr>
            <w:tcW w:w="0" w:type="auto"/>
            <w:vAlign w:val="center"/>
          </w:tcPr>
          <w:p w:rsidR="00BF1026" w:rsidRDefault="001E430A">
            <w:pPr>
              <w:jc w:val="center"/>
            </w:pPr>
            <w:r>
              <w:rPr>
                <w:color w:val="000000"/>
                <w:sz w:val="24"/>
              </w:rPr>
              <w:lastRenderedPageBreak/>
              <w:t>香港</w:t>
            </w:r>
          </w:p>
        </w:tc>
        <w:tc>
          <w:tcPr>
            <w:tcW w:w="0" w:type="auto"/>
            <w:vAlign w:val="center"/>
          </w:tcPr>
          <w:p w:rsidR="00BF1026" w:rsidRDefault="001E430A">
            <w:pPr>
              <w:jc w:val="right"/>
            </w:pPr>
            <w:r>
              <w:rPr>
                <w:color w:val="000000"/>
                <w:sz w:val="24"/>
              </w:rPr>
              <w:t>13,650,000</w:t>
            </w:r>
          </w:p>
        </w:tc>
        <w:tc>
          <w:tcPr>
            <w:tcW w:w="0" w:type="auto"/>
            <w:vAlign w:val="center"/>
          </w:tcPr>
          <w:p w:rsidR="00BF1026" w:rsidRDefault="001E430A">
            <w:pPr>
              <w:jc w:val="right"/>
            </w:pPr>
            <w:r>
              <w:rPr>
                <w:color w:val="000000"/>
                <w:sz w:val="24"/>
              </w:rPr>
              <w:t>223,593,846.84</w:t>
            </w:r>
          </w:p>
        </w:tc>
        <w:tc>
          <w:tcPr>
            <w:tcW w:w="0" w:type="auto"/>
            <w:vAlign w:val="center"/>
          </w:tcPr>
          <w:p w:rsidR="00BF1026" w:rsidRDefault="001E430A">
            <w:pPr>
              <w:jc w:val="right"/>
            </w:pPr>
            <w:r>
              <w:rPr>
                <w:color w:val="000000"/>
                <w:sz w:val="24"/>
              </w:rPr>
              <w:t>2.53</w:t>
            </w:r>
          </w:p>
        </w:tc>
      </w:tr>
      <w:tr w:rsidR="00BF1026">
        <w:tc>
          <w:tcPr>
            <w:tcW w:w="0" w:type="auto"/>
            <w:vAlign w:val="center"/>
          </w:tcPr>
          <w:p w:rsidR="00BF1026" w:rsidRDefault="001E430A">
            <w:pPr>
              <w:jc w:val="center"/>
            </w:pPr>
            <w:r>
              <w:rPr>
                <w:color w:val="000000"/>
                <w:sz w:val="24"/>
              </w:rPr>
              <w:t>10</w:t>
            </w:r>
          </w:p>
        </w:tc>
        <w:tc>
          <w:tcPr>
            <w:tcW w:w="0" w:type="auto"/>
            <w:vAlign w:val="center"/>
          </w:tcPr>
          <w:p w:rsidR="00BF1026" w:rsidRDefault="001E430A">
            <w:pPr>
              <w:jc w:val="center"/>
            </w:pPr>
            <w:r>
              <w:rPr>
                <w:color w:val="000000"/>
                <w:sz w:val="24"/>
              </w:rPr>
              <w:t>China Petroleum &amp; Chemical Corporation</w:t>
            </w:r>
          </w:p>
        </w:tc>
        <w:tc>
          <w:tcPr>
            <w:tcW w:w="0" w:type="auto"/>
            <w:vAlign w:val="center"/>
          </w:tcPr>
          <w:p w:rsidR="00BF1026" w:rsidRDefault="001E430A">
            <w:pPr>
              <w:jc w:val="center"/>
            </w:pPr>
            <w:r>
              <w:rPr>
                <w:color w:val="000000"/>
                <w:sz w:val="24"/>
              </w:rPr>
              <w:t>中国石油化工股份有限公司</w:t>
            </w:r>
          </w:p>
        </w:tc>
        <w:tc>
          <w:tcPr>
            <w:tcW w:w="0" w:type="auto"/>
            <w:vAlign w:val="center"/>
          </w:tcPr>
          <w:p w:rsidR="00BF1026" w:rsidRDefault="001E430A">
            <w:pPr>
              <w:jc w:val="center"/>
            </w:pPr>
            <w:r>
              <w:rPr>
                <w:color w:val="000000"/>
                <w:sz w:val="24"/>
              </w:rPr>
              <w:t>386 HK</w:t>
            </w:r>
          </w:p>
        </w:tc>
        <w:tc>
          <w:tcPr>
            <w:tcW w:w="0" w:type="auto"/>
            <w:vAlign w:val="center"/>
          </w:tcPr>
          <w:p w:rsidR="00BF1026" w:rsidRDefault="001E430A">
            <w:pPr>
              <w:jc w:val="center"/>
            </w:pPr>
            <w:r>
              <w:rPr>
                <w:color w:val="000000"/>
                <w:sz w:val="24"/>
              </w:rPr>
              <w:t>香港证券交易所</w:t>
            </w:r>
          </w:p>
        </w:tc>
        <w:tc>
          <w:tcPr>
            <w:tcW w:w="0" w:type="auto"/>
            <w:vAlign w:val="center"/>
          </w:tcPr>
          <w:p w:rsidR="00BF1026" w:rsidRDefault="001E430A">
            <w:pPr>
              <w:jc w:val="center"/>
            </w:pPr>
            <w:r>
              <w:rPr>
                <w:color w:val="000000"/>
                <w:sz w:val="24"/>
              </w:rPr>
              <w:t>香港</w:t>
            </w:r>
          </w:p>
        </w:tc>
        <w:tc>
          <w:tcPr>
            <w:tcW w:w="0" w:type="auto"/>
            <w:vAlign w:val="center"/>
          </w:tcPr>
          <w:p w:rsidR="00BF1026" w:rsidRDefault="001E430A">
            <w:pPr>
              <w:jc w:val="right"/>
            </w:pPr>
            <w:r>
              <w:rPr>
                <w:color w:val="000000"/>
                <w:sz w:val="24"/>
              </w:rPr>
              <w:t>46,800,000</w:t>
            </w:r>
          </w:p>
        </w:tc>
        <w:tc>
          <w:tcPr>
            <w:tcW w:w="0" w:type="auto"/>
            <w:vAlign w:val="center"/>
          </w:tcPr>
          <w:p w:rsidR="00BF1026" w:rsidRDefault="001E430A">
            <w:pPr>
              <w:jc w:val="right"/>
            </w:pPr>
            <w:r>
              <w:rPr>
                <w:color w:val="000000"/>
                <w:sz w:val="24"/>
              </w:rPr>
              <w:t>196,717,556.88</w:t>
            </w:r>
          </w:p>
        </w:tc>
        <w:tc>
          <w:tcPr>
            <w:tcW w:w="0" w:type="auto"/>
            <w:vAlign w:val="center"/>
          </w:tcPr>
          <w:p w:rsidR="00BF1026" w:rsidRDefault="001E430A">
            <w:pPr>
              <w:jc w:val="right"/>
            </w:pPr>
            <w:r>
              <w:rPr>
                <w:color w:val="000000"/>
                <w:sz w:val="24"/>
              </w:rPr>
              <w:t>2.23</w:t>
            </w:r>
          </w:p>
        </w:tc>
      </w:tr>
    </w:tbl>
    <w:p w:rsidR="00F5013F" w:rsidRPr="006506EF" w:rsidRDefault="00F5013F" w:rsidP="00A70EAB">
      <w:pPr>
        <w:spacing w:line="360" w:lineRule="auto"/>
        <w:ind w:firstLineChars="200" w:firstLine="480"/>
        <w:rPr>
          <w:color w:val="000000"/>
          <w:sz w:val="24"/>
        </w:rPr>
      </w:pPr>
      <w:r w:rsidRPr="006506EF">
        <w:rPr>
          <w:color w:val="000000"/>
          <w:sz w:val="24"/>
        </w:rPr>
        <w:t>注：此处所用证券代码的类别是当地市场代码。</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5.5 </w:t>
      </w:r>
      <w:r w:rsidRPr="006506EF">
        <w:rPr>
          <w:b/>
          <w:color w:val="000000"/>
          <w:kern w:val="0"/>
          <w:sz w:val="24"/>
        </w:rPr>
        <w:t>报告期末按债券信用等级分类的债券投资组合</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本基金本报告期末未持有债券。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5.6</w:t>
      </w:r>
      <w:r w:rsidR="00547F92" w:rsidRPr="006506EF">
        <w:rPr>
          <w:b/>
          <w:color w:val="000000"/>
          <w:kern w:val="0"/>
          <w:sz w:val="24"/>
        </w:rPr>
        <w:t>报告期末按公允价值占基金资产净值比例大小排序</w:t>
      </w:r>
      <w:r w:rsidRPr="006506EF">
        <w:rPr>
          <w:b/>
          <w:color w:val="000000"/>
          <w:kern w:val="0"/>
          <w:sz w:val="24"/>
        </w:rPr>
        <w:t>的前五名债券投资明细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本基金本报告期末未持有债券。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5.7</w:t>
      </w:r>
      <w:r w:rsidR="00547F92" w:rsidRPr="006506EF">
        <w:rPr>
          <w:b/>
          <w:color w:val="000000"/>
          <w:kern w:val="0"/>
          <w:sz w:val="24"/>
        </w:rPr>
        <w:t>报告期末按公允价值占基金资产净值比例大小排序</w:t>
      </w:r>
      <w:r w:rsidRPr="006506EF">
        <w:rPr>
          <w:b/>
          <w:color w:val="000000"/>
          <w:kern w:val="0"/>
          <w:sz w:val="24"/>
        </w:rPr>
        <w:t>的前十名资产支持证券投资明细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本基金本报告期末未持有资产支持证券。</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 xml:space="preserve">5.8 </w:t>
      </w:r>
      <w:r w:rsidR="00547F92" w:rsidRPr="006506EF">
        <w:rPr>
          <w:b/>
          <w:color w:val="000000"/>
          <w:kern w:val="0"/>
          <w:sz w:val="24"/>
        </w:rPr>
        <w:t>报告期末按公允价值占基金资产净值比例大小排序</w:t>
      </w:r>
      <w:r w:rsidRPr="006506EF">
        <w:rPr>
          <w:b/>
          <w:color w:val="000000"/>
          <w:kern w:val="0"/>
          <w:sz w:val="24"/>
        </w:rPr>
        <w:t>的前五名金融衍生品投资明细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本基金本报告期末未持有金融衍生品。</w:t>
      </w:r>
    </w:p>
    <w:p w:rsidR="00F5013F" w:rsidRPr="006506EF" w:rsidRDefault="00F5013F" w:rsidP="00EC4BA3">
      <w:pPr>
        <w:autoSpaceDE w:val="0"/>
        <w:autoSpaceDN w:val="0"/>
        <w:adjustRightInd w:val="0"/>
        <w:spacing w:line="360" w:lineRule="auto"/>
        <w:jc w:val="left"/>
        <w:rPr>
          <w:b/>
          <w:color w:val="000000"/>
          <w:kern w:val="0"/>
          <w:sz w:val="24"/>
        </w:rPr>
      </w:pPr>
      <w:r w:rsidRPr="006506EF">
        <w:rPr>
          <w:b/>
          <w:color w:val="000000"/>
          <w:kern w:val="0"/>
          <w:sz w:val="24"/>
        </w:rPr>
        <w:t>5.9</w:t>
      </w:r>
      <w:r w:rsidR="00547F92" w:rsidRPr="006506EF">
        <w:rPr>
          <w:b/>
          <w:color w:val="000000"/>
          <w:kern w:val="0"/>
          <w:sz w:val="24"/>
        </w:rPr>
        <w:t>报告期末按公允价值占基金资产净值比例大小排序</w:t>
      </w:r>
      <w:r w:rsidRPr="006506EF">
        <w:rPr>
          <w:b/>
          <w:color w:val="000000"/>
          <w:kern w:val="0"/>
          <w:sz w:val="24"/>
        </w:rPr>
        <w:t>的前十名基金投资明细</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本基金本报告期末未持有基金。</w:t>
      </w:r>
    </w:p>
    <w:p w:rsidR="00F5013F" w:rsidRPr="006506EF" w:rsidRDefault="00F5013F" w:rsidP="0049659A">
      <w:pPr>
        <w:autoSpaceDE w:val="0"/>
        <w:autoSpaceDN w:val="0"/>
        <w:adjustRightInd w:val="0"/>
        <w:spacing w:line="360" w:lineRule="auto"/>
        <w:jc w:val="left"/>
        <w:rPr>
          <w:b/>
          <w:color w:val="000000"/>
          <w:kern w:val="0"/>
          <w:sz w:val="24"/>
        </w:rPr>
      </w:pPr>
      <w:r w:rsidRPr="006506EF">
        <w:rPr>
          <w:b/>
          <w:color w:val="000000"/>
          <w:kern w:val="0"/>
          <w:sz w:val="24"/>
        </w:rPr>
        <w:t xml:space="preserve">5.10 </w:t>
      </w:r>
      <w:r w:rsidRPr="006506EF">
        <w:rPr>
          <w:b/>
          <w:color w:val="000000"/>
          <w:kern w:val="0"/>
          <w:sz w:val="24"/>
        </w:rPr>
        <w:t>投资组合报告附注</w:t>
      </w:r>
    </w:p>
    <w:p w:rsidR="00F5013F" w:rsidRPr="006506EF" w:rsidRDefault="00F5013F" w:rsidP="00B55EA7">
      <w:pPr>
        <w:widowControl/>
        <w:spacing w:line="360" w:lineRule="auto"/>
        <w:rPr>
          <w:color w:val="000000"/>
          <w:sz w:val="24"/>
        </w:rPr>
      </w:pPr>
      <w:r w:rsidRPr="006506EF">
        <w:rPr>
          <w:color w:val="000000"/>
          <w:sz w:val="24"/>
        </w:rPr>
        <w:lastRenderedPageBreak/>
        <w:t>5.10.12018</w:t>
      </w:r>
      <w:r w:rsidRPr="006506EF">
        <w:rPr>
          <w:color w:val="000000"/>
          <w:sz w:val="24"/>
        </w:rPr>
        <w:t>年</w:t>
      </w:r>
      <w:r w:rsidRPr="006506EF">
        <w:rPr>
          <w:color w:val="000000"/>
          <w:sz w:val="24"/>
        </w:rPr>
        <w:t>11</w:t>
      </w:r>
      <w:r w:rsidRPr="006506EF">
        <w:rPr>
          <w:color w:val="000000"/>
          <w:sz w:val="24"/>
        </w:rPr>
        <w:t>月</w:t>
      </w:r>
      <w:r w:rsidRPr="006506EF">
        <w:rPr>
          <w:color w:val="000000"/>
          <w:sz w:val="24"/>
        </w:rPr>
        <w:t>19</w:t>
      </w:r>
      <w:r w:rsidRPr="006506EF">
        <w:rPr>
          <w:color w:val="000000"/>
          <w:sz w:val="24"/>
        </w:rPr>
        <w:t>日，中国保险监督管理委员会北京监管局针对中国工商银行股份有限公司存在电话销售保险过程中欺骗投保人的行为，对中国工商银行股份有限公司处以人民币</w:t>
      </w:r>
      <w:r w:rsidRPr="006506EF">
        <w:rPr>
          <w:color w:val="000000"/>
          <w:sz w:val="24"/>
        </w:rPr>
        <w:t>30</w:t>
      </w:r>
      <w:r w:rsidRPr="006506EF">
        <w:rPr>
          <w:color w:val="000000"/>
          <w:sz w:val="24"/>
        </w:rPr>
        <w:t>万元行政罚款。</w:t>
      </w:r>
    </w:p>
    <w:p w:rsidR="00BF1026" w:rsidRDefault="001E430A">
      <w:pPr>
        <w:widowControl/>
        <w:spacing w:line="360" w:lineRule="auto"/>
        <w:rPr>
          <w:color w:val="000000"/>
          <w:sz w:val="24"/>
        </w:rPr>
      </w:pP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日，中国银行保险监督管理委员会上海监管局对招商银行股份有限公司信用卡中心</w:t>
      </w:r>
      <w:r>
        <w:rPr>
          <w:color w:val="000000"/>
          <w:sz w:val="24"/>
        </w:rPr>
        <w:t>2016</w:t>
      </w:r>
      <w:r>
        <w:rPr>
          <w:color w:val="000000"/>
          <w:sz w:val="24"/>
        </w:rPr>
        <w:t>年</w:t>
      </w:r>
      <w:r>
        <w:rPr>
          <w:color w:val="000000"/>
          <w:sz w:val="24"/>
        </w:rPr>
        <w:t>9</w:t>
      </w:r>
      <w:r>
        <w:rPr>
          <w:color w:val="000000"/>
          <w:sz w:val="24"/>
        </w:rPr>
        <w:t>月至</w:t>
      </w:r>
      <w:r>
        <w:rPr>
          <w:color w:val="000000"/>
          <w:sz w:val="24"/>
        </w:rPr>
        <w:t>2018</w:t>
      </w:r>
      <w:r>
        <w:rPr>
          <w:color w:val="000000"/>
          <w:sz w:val="24"/>
        </w:rPr>
        <w:t>年</w:t>
      </w:r>
      <w:r>
        <w:rPr>
          <w:color w:val="000000"/>
          <w:sz w:val="24"/>
        </w:rPr>
        <w:t>6</w:t>
      </w:r>
      <w:r>
        <w:rPr>
          <w:color w:val="000000"/>
          <w:sz w:val="24"/>
        </w:rPr>
        <w:t>月在为部分客户办理信用卡业务时，未遵守总授信额度管理制度的违法违规事实，责令改正，并处罚款</w:t>
      </w:r>
      <w:r>
        <w:rPr>
          <w:color w:val="000000"/>
          <w:sz w:val="24"/>
        </w:rPr>
        <w:t>20</w:t>
      </w:r>
      <w:r>
        <w:rPr>
          <w:color w:val="000000"/>
          <w:sz w:val="24"/>
        </w:rPr>
        <w:t>万元。</w:t>
      </w:r>
    </w:p>
    <w:p w:rsidR="00BF1026" w:rsidRDefault="001E430A">
      <w:pPr>
        <w:widowControl/>
        <w:spacing w:line="360" w:lineRule="auto"/>
        <w:rPr>
          <w:color w:val="000000"/>
          <w:sz w:val="24"/>
        </w:rPr>
      </w:pPr>
      <w:r>
        <w:rPr>
          <w:color w:val="000000"/>
          <w:sz w:val="24"/>
        </w:rPr>
        <w:t>本基金为指数型基金，上述股票系标的指数成份股，上述股票的投资决策程序符合公司投资制度的规定。除工商银行、招商银行外，本基金投资的前十名证券的发行主体本期没有出现被监管部门立案调查，或在报告编制日前一年内受到公开谴责、处罚的情形。</w:t>
      </w:r>
    </w:p>
    <w:p w:rsidR="00F5013F" w:rsidRPr="006506EF" w:rsidRDefault="00F5013F" w:rsidP="00B55EA7">
      <w:pPr>
        <w:widowControl/>
        <w:spacing w:line="360" w:lineRule="auto"/>
        <w:rPr>
          <w:color w:val="000000"/>
          <w:sz w:val="24"/>
        </w:rPr>
      </w:pPr>
      <w:r w:rsidRPr="006506EF">
        <w:rPr>
          <w:color w:val="000000"/>
          <w:sz w:val="24"/>
        </w:rPr>
        <w:t>5.10.2</w:t>
      </w:r>
      <w:r w:rsidRPr="006506EF">
        <w:rPr>
          <w:color w:val="000000"/>
          <w:sz w:val="24"/>
        </w:rPr>
        <w:t>本基金投资的前十名股票没有超出基金合同规定的备选股票库。</w:t>
      </w:r>
    </w:p>
    <w:p w:rsidR="00F5013F" w:rsidRPr="006506EF" w:rsidRDefault="00287063" w:rsidP="0049659A">
      <w:pPr>
        <w:autoSpaceDE w:val="0"/>
        <w:autoSpaceDN w:val="0"/>
        <w:adjustRightInd w:val="0"/>
        <w:spacing w:line="360" w:lineRule="auto"/>
        <w:jc w:val="left"/>
        <w:rPr>
          <w:color w:val="000000"/>
          <w:kern w:val="0"/>
          <w:sz w:val="24"/>
        </w:rPr>
      </w:pPr>
      <w:r w:rsidRPr="006506EF">
        <w:rPr>
          <w:color w:val="000000"/>
          <w:sz w:val="24"/>
        </w:rPr>
        <w:t xml:space="preserve">5.10.3 </w:t>
      </w:r>
      <w:r w:rsidR="00F5013F" w:rsidRPr="006506EF">
        <w:rPr>
          <w:color w:val="000000"/>
          <w:kern w:val="0"/>
          <w:sz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2903"/>
        <w:gridCol w:w="4808"/>
      </w:tblGrid>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t>序号</w:t>
            </w:r>
          </w:p>
        </w:tc>
        <w:tc>
          <w:tcPr>
            <w:tcW w:w="2903"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t>名称</w:t>
            </w:r>
          </w:p>
        </w:tc>
        <w:tc>
          <w:tcPr>
            <w:tcW w:w="4808" w:type="dxa"/>
            <w:vAlign w:val="center"/>
          </w:tcPr>
          <w:p w:rsidR="00F5013F" w:rsidRPr="006506EF" w:rsidRDefault="00F5013F" w:rsidP="0007178B">
            <w:pPr>
              <w:autoSpaceDE w:val="0"/>
              <w:autoSpaceDN w:val="0"/>
              <w:adjustRightInd w:val="0"/>
              <w:spacing w:before="29" w:line="360" w:lineRule="auto"/>
              <w:ind w:left="17"/>
              <w:jc w:val="center"/>
              <w:rPr>
                <w:color w:val="000000"/>
                <w:kern w:val="0"/>
                <w:sz w:val="24"/>
              </w:rPr>
            </w:pPr>
            <w:r w:rsidRPr="006506EF">
              <w:rPr>
                <w:color w:val="000000"/>
                <w:kern w:val="0"/>
                <w:sz w:val="24"/>
              </w:rPr>
              <w:t>金额</w:t>
            </w:r>
            <w:r w:rsidRPr="006506EF">
              <w:rPr>
                <w:color w:val="000000"/>
                <w:kern w:val="0"/>
                <w:sz w:val="24"/>
              </w:rPr>
              <w:t>(</w:t>
            </w:r>
            <w:r w:rsidRPr="006506EF">
              <w:rPr>
                <w:color w:val="000000"/>
                <w:kern w:val="0"/>
                <w:sz w:val="24"/>
              </w:rPr>
              <w:t>人民币元</w:t>
            </w: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kern w:val="0"/>
                <w:sz w:val="24"/>
              </w:rPr>
            </w:pPr>
            <w:r w:rsidRPr="006506EF">
              <w:rPr>
                <w:color w:val="000000"/>
                <w:sz w:val="24"/>
              </w:rPr>
              <w:t>1</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存出保证金</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2</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应收证券清算款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12,404,065.71</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3</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应收股利</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24,752,641.51</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4</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应收利息</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73,807.37</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5</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应收申购款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6</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其他应收款</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7</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sz w:val="24"/>
              </w:rPr>
            </w:pPr>
            <w:r w:rsidRPr="006506EF">
              <w:rPr>
                <w:color w:val="000000"/>
                <w:sz w:val="24"/>
              </w:rPr>
              <w:t>待摊费用</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sz w:val="24"/>
              </w:rPr>
            </w:pPr>
            <w:r w:rsidRPr="006506EF">
              <w:rPr>
                <w:color w:val="00000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8</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其他</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w:t>
            </w:r>
          </w:p>
        </w:tc>
      </w:tr>
      <w:tr w:rsidR="00F5013F" w:rsidRPr="006506EF" w:rsidTr="0007178B">
        <w:tc>
          <w:tcPr>
            <w:tcW w:w="802" w:type="dxa"/>
            <w:vAlign w:val="center"/>
          </w:tcPr>
          <w:p w:rsidR="00F5013F" w:rsidRPr="006506EF" w:rsidRDefault="00F5013F" w:rsidP="0007178B">
            <w:pPr>
              <w:autoSpaceDE w:val="0"/>
              <w:autoSpaceDN w:val="0"/>
              <w:adjustRightInd w:val="0"/>
              <w:spacing w:before="29" w:line="360" w:lineRule="auto"/>
              <w:ind w:left="15"/>
              <w:jc w:val="center"/>
              <w:rPr>
                <w:color w:val="000000"/>
                <w:sz w:val="24"/>
              </w:rPr>
            </w:pPr>
            <w:r w:rsidRPr="006506EF">
              <w:rPr>
                <w:color w:val="000000"/>
                <w:sz w:val="24"/>
              </w:rPr>
              <w:t>9</w:t>
            </w:r>
          </w:p>
        </w:tc>
        <w:tc>
          <w:tcPr>
            <w:tcW w:w="2903" w:type="dxa"/>
            <w:vAlign w:val="center"/>
          </w:tcPr>
          <w:p w:rsidR="00F5013F" w:rsidRPr="006506EF" w:rsidRDefault="00F5013F" w:rsidP="0007178B">
            <w:pPr>
              <w:autoSpaceDE w:val="0"/>
              <w:autoSpaceDN w:val="0"/>
              <w:adjustRightInd w:val="0"/>
              <w:spacing w:before="29" w:line="360" w:lineRule="auto"/>
              <w:ind w:left="15"/>
              <w:jc w:val="left"/>
              <w:rPr>
                <w:color w:val="000000"/>
                <w:kern w:val="0"/>
                <w:sz w:val="24"/>
              </w:rPr>
            </w:pPr>
            <w:r w:rsidRPr="006506EF">
              <w:rPr>
                <w:color w:val="000000"/>
                <w:kern w:val="0"/>
                <w:sz w:val="24"/>
              </w:rPr>
              <w:t>合计</w:t>
            </w:r>
          </w:p>
        </w:tc>
        <w:tc>
          <w:tcPr>
            <w:tcW w:w="4808" w:type="dxa"/>
            <w:vAlign w:val="center"/>
          </w:tcPr>
          <w:p w:rsidR="00F5013F" w:rsidRPr="006506EF" w:rsidRDefault="00F5013F" w:rsidP="0007178B">
            <w:pPr>
              <w:autoSpaceDE w:val="0"/>
              <w:autoSpaceDN w:val="0"/>
              <w:adjustRightInd w:val="0"/>
              <w:spacing w:before="29" w:line="360" w:lineRule="auto"/>
              <w:ind w:left="15"/>
              <w:jc w:val="right"/>
              <w:rPr>
                <w:color w:val="000000"/>
                <w:kern w:val="0"/>
                <w:sz w:val="24"/>
              </w:rPr>
            </w:pPr>
            <w:r w:rsidRPr="006506EF">
              <w:rPr>
                <w:color w:val="000000"/>
                <w:kern w:val="0"/>
                <w:sz w:val="24"/>
              </w:rPr>
              <w:t>37,230,514.59</w:t>
            </w:r>
          </w:p>
        </w:tc>
      </w:tr>
    </w:tbl>
    <w:p w:rsidR="00F5013F" w:rsidRPr="006506EF" w:rsidRDefault="00287063" w:rsidP="00EC4BA3">
      <w:pPr>
        <w:autoSpaceDE w:val="0"/>
        <w:autoSpaceDN w:val="0"/>
        <w:adjustRightInd w:val="0"/>
        <w:spacing w:line="360" w:lineRule="auto"/>
        <w:jc w:val="left"/>
        <w:rPr>
          <w:color w:val="000000"/>
          <w:kern w:val="0"/>
          <w:sz w:val="24"/>
        </w:rPr>
      </w:pPr>
      <w:r w:rsidRPr="006506EF">
        <w:rPr>
          <w:kern w:val="0"/>
          <w:sz w:val="24"/>
        </w:rPr>
        <w:t xml:space="preserve">5.10.4 </w:t>
      </w:r>
      <w:r w:rsidR="00F5013F" w:rsidRPr="006506EF">
        <w:rPr>
          <w:color w:val="000000"/>
          <w:kern w:val="0"/>
          <w:sz w:val="24"/>
        </w:rPr>
        <w:t>报告期末持有的处于转股期的可转换债券明细</w:t>
      </w:r>
    </w:p>
    <w:p w:rsidR="00F5013F" w:rsidRPr="006506EF" w:rsidRDefault="00F5013F" w:rsidP="00DB3360">
      <w:pPr>
        <w:spacing w:line="360" w:lineRule="auto"/>
        <w:ind w:firstLineChars="200" w:firstLine="480"/>
        <w:rPr>
          <w:color w:val="000000"/>
          <w:sz w:val="24"/>
        </w:rPr>
      </w:pPr>
      <w:r w:rsidRPr="006506EF">
        <w:rPr>
          <w:color w:val="000000"/>
          <w:sz w:val="24"/>
        </w:rPr>
        <w:t>本基金本报告期末未持有处于转股期的可转换债券。</w:t>
      </w:r>
    </w:p>
    <w:p w:rsidR="00F5013F" w:rsidRPr="006506EF" w:rsidRDefault="00287063" w:rsidP="00EC4BA3">
      <w:pPr>
        <w:autoSpaceDE w:val="0"/>
        <w:autoSpaceDN w:val="0"/>
        <w:adjustRightInd w:val="0"/>
        <w:spacing w:line="360" w:lineRule="auto"/>
        <w:jc w:val="left"/>
        <w:rPr>
          <w:color w:val="000000"/>
          <w:kern w:val="0"/>
          <w:sz w:val="24"/>
        </w:rPr>
      </w:pPr>
      <w:r w:rsidRPr="006506EF">
        <w:rPr>
          <w:kern w:val="0"/>
          <w:sz w:val="24"/>
        </w:rPr>
        <w:t>5.10.5</w:t>
      </w:r>
      <w:r w:rsidR="00F5013F" w:rsidRPr="006506EF">
        <w:rPr>
          <w:color w:val="000000"/>
          <w:kern w:val="0"/>
          <w:sz w:val="24"/>
        </w:rPr>
        <w:t xml:space="preserve"> </w:t>
      </w:r>
      <w:r w:rsidR="00F5013F" w:rsidRPr="006506EF">
        <w:rPr>
          <w:color w:val="000000"/>
          <w:kern w:val="0"/>
          <w:sz w:val="24"/>
        </w:rPr>
        <w:t>报告期末前十名股票中存在流通受限情况的说明</w:t>
      </w:r>
    </w:p>
    <w:p w:rsidR="00F5013F" w:rsidRPr="006506EF" w:rsidRDefault="00F5013F" w:rsidP="00A70EAB">
      <w:pPr>
        <w:spacing w:line="360" w:lineRule="auto"/>
        <w:ind w:firstLineChars="200" w:firstLine="480"/>
        <w:rPr>
          <w:color w:val="000000"/>
          <w:sz w:val="24"/>
        </w:rPr>
      </w:pPr>
      <w:r w:rsidRPr="006506EF">
        <w:rPr>
          <w:color w:val="000000"/>
          <w:sz w:val="24"/>
        </w:rPr>
        <w:t>本基金本报告期末前十名股票中不存在流通受限情况。</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lastRenderedPageBreak/>
        <w:t xml:space="preserve">§6  </w:t>
      </w:r>
      <w:r w:rsidRPr="006506EF">
        <w:rPr>
          <w:color w:val="000000"/>
          <w:kern w:val="0"/>
          <w:sz w:val="24"/>
          <w:szCs w:val="24"/>
        </w:rPr>
        <w:t>开放式基金份额变动</w:t>
      </w:r>
    </w:p>
    <w:p w:rsidR="00F5013F" w:rsidRPr="006506EF" w:rsidRDefault="00F5013F" w:rsidP="008B6A4A">
      <w:pPr>
        <w:autoSpaceDE w:val="0"/>
        <w:autoSpaceDN w:val="0"/>
        <w:adjustRightInd w:val="0"/>
        <w:spacing w:before="29" w:line="360" w:lineRule="auto"/>
        <w:ind w:left="15"/>
        <w:jc w:val="right"/>
        <w:rPr>
          <w:color w:val="000000"/>
          <w:kern w:val="0"/>
          <w:sz w:val="24"/>
        </w:rPr>
      </w:pPr>
      <w:r w:rsidRPr="006506EF">
        <w:rPr>
          <w:color w:val="000000"/>
          <w:kern w:val="0"/>
          <w:sz w:val="24"/>
        </w:rPr>
        <w:t>单位：份</w:t>
      </w:r>
    </w:p>
    <w:tbl>
      <w:tblPr>
        <w:tblW w:w="8861" w:type="dxa"/>
        <w:tblInd w:w="-106" w:type="dxa"/>
        <w:tblLayout w:type="fixed"/>
        <w:tblLook w:val="0000" w:firstRow="0" w:lastRow="0" w:firstColumn="0" w:lastColumn="0" w:noHBand="0" w:noVBand="0"/>
      </w:tblPr>
      <w:tblGrid>
        <w:gridCol w:w="4609"/>
        <w:gridCol w:w="4252"/>
      </w:tblGrid>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报告期期初基金份额总额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6,048,021,934.00</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报告期基金总申购份额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1,760,000,000.00</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减：报告期基金总赎回份额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277,000,000.00</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报告期基金拆分变动份额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w:t>
            </w:r>
          </w:p>
        </w:tc>
      </w:tr>
      <w:tr w:rsidR="00F5013F" w:rsidRPr="006506EF" w:rsidTr="00F02435">
        <w:tc>
          <w:tcPr>
            <w:tcW w:w="4609"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left"/>
              <w:rPr>
                <w:color w:val="000000"/>
                <w:kern w:val="0"/>
                <w:sz w:val="24"/>
              </w:rPr>
            </w:pPr>
            <w:r w:rsidRPr="006506EF">
              <w:rPr>
                <w:color w:val="000000"/>
                <w:kern w:val="0"/>
                <w:sz w:val="24"/>
              </w:rPr>
              <w:t>报告期期末基金份额总额</w:t>
            </w:r>
          </w:p>
        </w:tc>
        <w:tc>
          <w:tcPr>
            <w:tcW w:w="4252" w:type="dxa"/>
            <w:tcBorders>
              <w:top w:val="single" w:sz="8" w:space="0" w:color="000000"/>
              <w:left w:val="single" w:sz="8" w:space="0" w:color="000000"/>
              <w:bottom w:val="single" w:sz="8" w:space="0" w:color="000000"/>
              <w:right w:val="single" w:sz="8" w:space="0" w:color="000000"/>
            </w:tcBorders>
            <w:vAlign w:val="center"/>
          </w:tcPr>
          <w:p w:rsidR="00F5013F" w:rsidRPr="006506EF" w:rsidRDefault="00F5013F" w:rsidP="00B918B8">
            <w:pPr>
              <w:autoSpaceDE w:val="0"/>
              <w:autoSpaceDN w:val="0"/>
              <w:adjustRightInd w:val="0"/>
              <w:spacing w:before="29" w:line="360" w:lineRule="auto"/>
              <w:ind w:left="17"/>
              <w:jc w:val="right"/>
              <w:rPr>
                <w:color w:val="000000"/>
                <w:sz w:val="24"/>
              </w:rPr>
            </w:pPr>
            <w:r w:rsidRPr="006506EF">
              <w:rPr>
                <w:color w:val="000000"/>
                <w:sz w:val="24"/>
              </w:rPr>
              <w:t>7,531,021,934.00</w:t>
            </w:r>
          </w:p>
        </w:tc>
      </w:tr>
    </w:tbl>
    <w:p w:rsidR="007362E0"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 xml:space="preserve">§7  </w:t>
      </w:r>
      <w:r w:rsidRPr="006506EF">
        <w:rPr>
          <w:color w:val="000000"/>
          <w:kern w:val="0"/>
          <w:sz w:val="24"/>
          <w:szCs w:val="24"/>
        </w:rPr>
        <w:t>基金管理人运用固有资金投资本基金交易明细</w:t>
      </w:r>
    </w:p>
    <w:p w:rsidR="00F5013F" w:rsidRPr="006506EF" w:rsidRDefault="007362E0" w:rsidP="00D7728B">
      <w:pPr>
        <w:spacing w:line="360" w:lineRule="auto"/>
        <w:ind w:firstLineChars="200" w:firstLine="480"/>
        <w:rPr>
          <w:color w:val="000000"/>
          <w:sz w:val="24"/>
        </w:rPr>
      </w:pPr>
      <w:r w:rsidRPr="006506EF">
        <w:rPr>
          <w:color w:val="000000"/>
          <w:sz w:val="24"/>
        </w:rPr>
        <w:t>本报告期内基金管理人未运用固有资金申购、赎回、买卖本基金份额。</w:t>
      </w:r>
    </w:p>
    <w:p w:rsidR="0038359B" w:rsidRPr="006506EF" w:rsidRDefault="002A4064" w:rsidP="0038359B">
      <w:pPr>
        <w:pStyle w:val="1"/>
        <w:spacing w:beforeLines="100" w:before="312" w:afterLines="100" w:after="312" w:line="360" w:lineRule="auto"/>
        <w:jc w:val="center"/>
        <w:rPr>
          <w:color w:val="000000"/>
          <w:kern w:val="0"/>
          <w:sz w:val="24"/>
          <w:szCs w:val="24"/>
        </w:rPr>
      </w:pPr>
      <w:r w:rsidRPr="006506EF">
        <w:rPr>
          <w:color w:val="000000"/>
          <w:kern w:val="0"/>
          <w:sz w:val="24"/>
          <w:szCs w:val="24"/>
        </w:rPr>
        <w:t>§</w:t>
      </w:r>
      <w:r w:rsidR="0038359B" w:rsidRPr="006506EF">
        <w:rPr>
          <w:color w:val="000000"/>
          <w:kern w:val="0"/>
          <w:sz w:val="24"/>
          <w:szCs w:val="24"/>
        </w:rPr>
        <w:t>8</w:t>
      </w:r>
      <w:r w:rsidRPr="006506EF">
        <w:rPr>
          <w:color w:val="000000"/>
          <w:kern w:val="0"/>
          <w:sz w:val="24"/>
          <w:szCs w:val="24"/>
        </w:rPr>
        <w:t xml:space="preserve">  </w:t>
      </w:r>
      <w:r w:rsidR="0038359B" w:rsidRPr="006506EF">
        <w:rPr>
          <w:color w:val="000000"/>
          <w:kern w:val="0"/>
          <w:sz w:val="24"/>
          <w:szCs w:val="24"/>
        </w:rPr>
        <w:t>影响投资者决策的其他重要信息</w:t>
      </w:r>
    </w:p>
    <w:p w:rsidR="007506E8" w:rsidRPr="001F5F5D" w:rsidRDefault="007506E8" w:rsidP="007506E8">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8"/>
        <w:gridCol w:w="709"/>
        <w:gridCol w:w="1985"/>
        <w:gridCol w:w="1134"/>
        <w:gridCol w:w="992"/>
        <w:gridCol w:w="1134"/>
        <w:gridCol w:w="1037"/>
        <w:gridCol w:w="851"/>
      </w:tblGrid>
      <w:tr w:rsidR="00734B2B" w:rsidRPr="00FC0759" w:rsidTr="00734B2B">
        <w:trPr>
          <w:jc w:val="center"/>
        </w:trPr>
        <w:tc>
          <w:tcPr>
            <w:tcW w:w="1798" w:type="dxa"/>
            <w:vMerge w:val="restart"/>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投资者类别</w:t>
            </w:r>
          </w:p>
        </w:tc>
        <w:tc>
          <w:tcPr>
            <w:tcW w:w="5954" w:type="dxa"/>
            <w:gridSpan w:val="5"/>
            <w:shd w:val="clear" w:color="auto" w:fill="auto"/>
            <w:vAlign w:val="center"/>
          </w:tcPr>
          <w:p w:rsidR="007506E8" w:rsidRPr="00734B2B" w:rsidRDefault="007506E8" w:rsidP="00734B2B">
            <w:pPr>
              <w:autoSpaceDE w:val="0"/>
              <w:autoSpaceDN w:val="0"/>
              <w:adjustRightInd w:val="0"/>
              <w:ind w:firstLine="1126"/>
              <w:jc w:val="center"/>
              <w:rPr>
                <w:b/>
                <w:bCs/>
                <w:color w:val="000000"/>
                <w:sz w:val="24"/>
              </w:rPr>
            </w:pPr>
            <w:r w:rsidRPr="00734B2B">
              <w:rPr>
                <w:color w:val="000000"/>
                <w:sz w:val="24"/>
              </w:rPr>
              <w:t>报告期内持有基金份额变化情况</w:t>
            </w:r>
          </w:p>
        </w:tc>
        <w:tc>
          <w:tcPr>
            <w:tcW w:w="1888" w:type="dxa"/>
            <w:gridSpan w:val="2"/>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报告期末持有基金情况</w:t>
            </w:r>
          </w:p>
        </w:tc>
      </w:tr>
      <w:tr w:rsidR="00734B2B" w:rsidRPr="00FC0759" w:rsidTr="00734B2B">
        <w:trPr>
          <w:jc w:val="center"/>
        </w:trPr>
        <w:tc>
          <w:tcPr>
            <w:tcW w:w="1798" w:type="dxa"/>
            <w:vMerge/>
            <w:shd w:val="clear" w:color="auto" w:fill="auto"/>
            <w:vAlign w:val="center"/>
          </w:tcPr>
          <w:p w:rsidR="007506E8" w:rsidRPr="00734B2B" w:rsidRDefault="007506E8" w:rsidP="00734B2B">
            <w:pPr>
              <w:autoSpaceDE w:val="0"/>
              <w:autoSpaceDN w:val="0"/>
              <w:adjustRightInd w:val="0"/>
              <w:ind w:firstLine="1234"/>
              <w:jc w:val="center"/>
              <w:rPr>
                <w:b/>
                <w:bCs/>
                <w:color w:val="000000"/>
                <w:sz w:val="24"/>
              </w:rPr>
            </w:pPr>
          </w:p>
        </w:tc>
        <w:tc>
          <w:tcPr>
            <w:tcW w:w="709" w:type="dxa"/>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序号</w:t>
            </w:r>
          </w:p>
        </w:tc>
        <w:tc>
          <w:tcPr>
            <w:tcW w:w="1985" w:type="dxa"/>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持有基金份额比例达到或者超过</w:t>
            </w:r>
            <w:r w:rsidRPr="00734B2B">
              <w:rPr>
                <w:color w:val="000000"/>
                <w:sz w:val="24"/>
              </w:rPr>
              <w:t>20%</w:t>
            </w:r>
            <w:r w:rsidRPr="00734B2B">
              <w:rPr>
                <w:color w:val="000000"/>
                <w:sz w:val="24"/>
              </w:rPr>
              <w:t>的时间区间</w:t>
            </w:r>
          </w:p>
        </w:tc>
        <w:tc>
          <w:tcPr>
            <w:tcW w:w="1134" w:type="dxa"/>
            <w:shd w:val="clear" w:color="auto" w:fill="auto"/>
            <w:vAlign w:val="center"/>
          </w:tcPr>
          <w:p w:rsidR="007506E8" w:rsidRPr="00734B2B" w:rsidRDefault="007506E8" w:rsidP="00734B2B">
            <w:pPr>
              <w:widowControl/>
              <w:rPr>
                <w:b/>
                <w:bCs/>
                <w:color w:val="000000"/>
                <w:sz w:val="24"/>
              </w:rPr>
            </w:pPr>
            <w:r w:rsidRPr="00734B2B">
              <w:rPr>
                <w:color w:val="000000"/>
                <w:sz w:val="24"/>
              </w:rPr>
              <w:t>期初份额</w:t>
            </w:r>
          </w:p>
        </w:tc>
        <w:tc>
          <w:tcPr>
            <w:tcW w:w="992" w:type="dxa"/>
            <w:shd w:val="clear" w:color="auto" w:fill="auto"/>
            <w:vAlign w:val="center"/>
          </w:tcPr>
          <w:p w:rsidR="007506E8" w:rsidRPr="00734B2B" w:rsidRDefault="007506E8" w:rsidP="00734B2B">
            <w:pPr>
              <w:widowControl/>
              <w:rPr>
                <w:b/>
                <w:bCs/>
                <w:color w:val="000000"/>
                <w:sz w:val="24"/>
              </w:rPr>
            </w:pPr>
            <w:r w:rsidRPr="00734B2B">
              <w:rPr>
                <w:color w:val="000000"/>
                <w:sz w:val="24"/>
              </w:rPr>
              <w:t>申购份额</w:t>
            </w:r>
          </w:p>
        </w:tc>
        <w:tc>
          <w:tcPr>
            <w:tcW w:w="1134" w:type="dxa"/>
            <w:shd w:val="clear" w:color="auto" w:fill="auto"/>
            <w:vAlign w:val="center"/>
          </w:tcPr>
          <w:p w:rsidR="007506E8" w:rsidRPr="00734B2B" w:rsidRDefault="007506E8" w:rsidP="00734B2B">
            <w:pPr>
              <w:widowControl/>
              <w:rPr>
                <w:b/>
                <w:bCs/>
                <w:color w:val="000000"/>
                <w:sz w:val="24"/>
              </w:rPr>
            </w:pPr>
            <w:r w:rsidRPr="00734B2B">
              <w:rPr>
                <w:color w:val="000000"/>
                <w:sz w:val="24"/>
              </w:rPr>
              <w:t>赎回份额</w:t>
            </w:r>
          </w:p>
        </w:tc>
        <w:tc>
          <w:tcPr>
            <w:tcW w:w="1037" w:type="dxa"/>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持有份额</w:t>
            </w:r>
          </w:p>
        </w:tc>
        <w:tc>
          <w:tcPr>
            <w:tcW w:w="851" w:type="dxa"/>
            <w:shd w:val="clear" w:color="auto" w:fill="auto"/>
            <w:vAlign w:val="center"/>
          </w:tcPr>
          <w:p w:rsidR="007506E8" w:rsidRPr="00734B2B" w:rsidRDefault="007506E8" w:rsidP="00734B2B">
            <w:pPr>
              <w:autoSpaceDE w:val="0"/>
              <w:autoSpaceDN w:val="0"/>
              <w:adjustRightInd w:val="0"/>
              <w:jc w:val="center"/>
              <w:rPr>
                <w:b/>
                <w:bCs/>
                <w:color w:val="000000"/>
                <w:sz w:val="24"/>
              </w:rPr>
            </w:pPr>
            <w:r w:rsidRPr="00734B2B">
              <w:rPr>
                <w:color w:val="000000"/>
                <w:sz w:val="24"/>
              </w:rPr>
              <w:t>份额占比</w:t>
            </w:r>
          </w:p>
        </w:tc>
      </w:tr>
      <w:tr w:rsidR="00BF1026">
        <w:trPr>
          <w:jc w:val="center"/>
        </w:trPr>
        <w:tc>
          <w:tcPr>
            <w:tcW w:w="1798" w:type="dxa"/>
            <w:vMerge w:val="restart"/>
            <w:vAlign w:val="center"/>
          </w:tcPr>
          <w:p w:rsidR="00BF1026" w:rsidRDefault="001E430A">
            <w:r>
              <w:rPr>
                <w:bCs/>
                <w:color w:val="000000"/>
                <w:sz w:val="24"/>
              </w:rPr>
              <w:t>机构</w:t>
            </w:r>
          </w:p>
        </w:tc>
        <w:tc>
          <w:tcPr>
            <w:tcW w:w="709" w:type="dxa"/>
            <w:vAlign w:val="center"/>
          </w:tcPr>
          <w:p w:rsidR="00BF1026" w:rsidRDefault="001E430A">
            <w:pPr>
              <w:jc w:val="center"/>
            </w:pPr>
            <w:r>
              <w:rPr>
                <w:sz w:val="24"/>
              </w:rPr>
              <w:t>1</w:t>
            </w:r>
          </w:p>
        </w:tc>
        <w:tc>
          <w:tcPr>
            <w:tcW w:w="1985" w:type="dxa"/>
            <w:vAlign w:val="center"/>
          </w:tcPr>
          <w:p w:rsidR="00BF1026" w:rsidRDefault="001E430A">
            <w:pPr>
              <w:jc w:val="center"/>
            </w:pPr>
            <w:r>
              <w:rPr>
                <w:sz w:val="24"/>
              </w:rPr>
              <w:t>2019</w:t>
            </w:r>
            <w:r>
              <w:rPr>
                <w:sz w:val="24"/>
              </w:rPr>
              <w:t>年</w:t>
            </w:r>
            <w:r>
              <w:rPr>
                <w:sz w:val="24"/>
              </w:rPr>
              <w:t>07</w:t>
            </w:r>
            <w:r>
              <w:rPr>
                <w:sz w:val="24"/>
              </w:rPr>
              <w:t>月</w:t>
            </w:r>
            <w:r>
              <w:rPr>
                <w:sz w:val="24"/>
              </w:rPr>
              <w:t>04</w:t>
            </w:r>
            <w:r>
              <w:rPr>
                <w:sz w:val="24"/>
              </w:rPr>
              <w:t>日</w:t>
            </w:r>
            <w:r>
              <w:rPr>
                <w:sz w:val="24"/>
              </w:rPr>
              <w:t>~2019</w:t>
            </w:r>
            <w:r>
              <w:rPr>
                <w:sz w:val="24"/>
              </w:rPr>
              <w:t>年</w:t>
            </w:r>
            <w:r>
              <w:rPr>
                <w:sz w:val="24"/>
              </w:rPr>
              <w:t>08</w:t>
            </w:r>
            <w:r>
              <w:rPr>
                <w:sz w:val="24"/>
              </w:rPr>
              <w:t>月</w:t>
            </w:r>
            <w:r>
              <w:rPr>
                <w:sz w:val="24"/>
              </w:rPr>
              <w:t>15</w:t>
            </w:r>
            <w:r>
              <w:rPr>
                <w:sz w:val="24"/>
              </w:rPr>
              <w:t>日</w:t>
            </w:r>
          </w:p>
        </w:tc>
        <w:tc>
          <w:tcPr>
            <w:tcW w:w="1134" w:type="dxa"/>
            <w:vAlign w:val="center"/>
          </w:tcPr>
          <w:p w:rsidR="00BF1026" w:rsidRDefault="001E430A">
            <w:pPr>
              <w:jc w:val="center"/>
            </w:pPr>
            <w:r>
              <w:rPr>
                <w:sz w:val="24"/>
              </w:rPr>
              <w:t>1,193,974,608.00</w:t>
            </w:r>
          </w:p>
        </w:tc>
        <w:tc>
          <w:tcPr>
            <w:tcW w:w="992" w:type="dxa"/>
            <w:vAlign w:val="center"/>
          </w:tcPr>
          <w:p w:rsidR="00BF1026" w:rsidRDefault="001E430A">
            <w:pPr>
              <w:jc w:val="center"/>
            </w:pPr>
            <w:r>
              <w:rPr>
                <w:sz w:val="24"/>
              </w:rPr>
              <w:t>-</w:t>
            </w:r>
          </w:p>
        </w:tc>
        <w:tc>
          <w:tcPr>
            <w:tcW w:w="1134" w:type="dxa"/>
            <w:vAlign w:val="center"/>
          </w:tcPr>
          <w:p w:rsidR="00BF1026" w:rsidRDefault="001E430A">
            <w:pPr>
              <w:jc w:val="center"/>
            </w:pPr>
            <w:r>
              <w:rPr>
                <w:sz w:val="24"/>
              </w:rPr>
              <w:t>-</w:t>
            </w:r>
          </w:p>
        </w:tc>
        <w:tc>
          <w:tcPr>
            <w:tcW w:w="1037" w:type="dxa"/>
            <w:vAlign w:val="center"/>
          </w:tcPr>
          <w:p w:rsidR="00BF1026" w:rsidRDefault="001E430A">
            <w:pPr>
              <w:jc w:val="center"/>
            </w:pPr>
            <w:r>
              <w:rPr>
                <w:sz w:val="24"/>
              </w:rPr>
              <w:t>1,193,974,608.00</w:t>
            </w:r>
          </w:p>
        </w:tc>
        <w:tc>
          <w:tcPr>
            <w:tcW w:w="851" w:type="dxa"/>
            <w:vAlign w:val="center"/>
          </w:tcPr>
          <w:p w:rsidR="00BF1026" w:rsidRDefault="001E430A">
            <w:pPr>
              <w:jc w:val="center"/>
            </w:pPr>
            <w:r>
              <w:rPr>
                <w:sz w:val="24"/>
              </w:rPr>
              <w:t>15.85%</w:t>
            </w:r>
          </w:p>
        </w:tc>
      </w:tr>
      <w:tr w:rsidR="00BF1026">
        <w:trPr>
          <w:jc w:val="center"/>
        </w:trPr>
        <w:tc>
          <w:tcPr>
            <w:tcW w:w="1798" w:type="dxa"/>
            <w:vMerge w:val="restart"/>
            <w:vAlign w:val="center"/>
          </w:tcPr>
          <w:p w:rsidR="00BF1026" w:rsidRDefault="001E430A">
            <w:r>
              <w:rPr>
                <w:sz w:val="24"/>
              </w:rPr>
              <w:t>交通银行股份有限公司－易方达恒生中国企业交易型开放式指数证券投资基金联接基金</w:t>
            </w:r>
          </w:p>
        </w:tc>
        <w:tc>
          <w:tcPr>
            <w:tcW w:w="709" w:type="dxa"/>
            <w:vAlign w:val="center"/>
          </w:tcPr>
          <w:p w:rsidR="00BF1026" w:rsidRDefault="001E430A">
            <w:pPr>
              <w:jc w:val="center"/>
            </w:pPr>
            <w:r>
              <w:rPr>
                <w:sz w:val="24"/>
              </w:rPr>
              <w:t>1</w:t>
            </w:r>
          </w:p>
        </w:tc>
        <w:tc>
          <w:tcPr>
            <w:tcW w:w="1985" w:type="dxa"/>
            <w:vAlign w:val="center"/>
          </w:tcPr>
          <w:p w:rsidR="00BF1026" w:rsidRDefault="001E430A">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07</w:t>
            </w:r>
            <w:r>
              <w:rPr>
                <w:sz w:val="24"/>
              </w:rPr>
              <w:t>月</w:t>
            </w:r>
            <w:r>
              <w:rPr>
                <w:sz w:val="24"/>
              </w:rPr>
              <w:t>04</w:t>
            </w:r>
            <w:r>
              <w:rPr>
                <w:sz w:val="24"/>
              </w:rPr>
              <w:t>日</w:t>
            </w:r>
            <w:r>
              <w:rPr>
                <w:sz w:val="24"/>
              </w:rPr>
              <w:t>~2019</w:t>
            </w:r>
            <w:r>
              <w:rPr>
                <w:sz w:val="24"/>
              </w:rPr>
              <w:t>年</w:t>
            </w:r>
            <w:r>
              <w:rPr>
                <w:sz w:val="24"/>
              </w:rPr>
              <w:t>08</w:t>
            </w:r>
            <w:r>
              <w:rPr>
                <w:sz w:val="24"/>
              </w:rPr>
              <w:t>月</w:t>
            </w:r>
            <w:r>
              <w:rPr>
                <w:sz w:val="24"/>
              </w:rPr>
              <w:t>15</w:t>
            </w:r>
            <w:r>
              <w:rPr>
                <w:sz w:val="24"/>
              </w:rPr>
              <w:t>日</w:t>
            </w:r>
          </w:p>
        </w:tc>
        <w:tc>
          <w:tcPr>
            <w:tcW w:w="1134" w:type="dxa"/>
            <w:vAlign w:val="center"/>
          </w:tcPr>
          <w:p w:rsidR="00BF1026" w:rsidRDefault="001E430A">
            <w:pPr>
              <w:jc w:val="center"/>
            </w:pPr>
            <w:r>
              <w:rPr>
                <w:sz w:val="24"/>
              </w:rPr>
              <w:t>1,215,128,426.00</w:t>
            </w:r>
          </w:p>
        </w:tc>
        <w:tc>
          <w:tcPr>
            <w:tcW w:w="992" w:type="dxa"/>
            <w:vAlign w:val="center"/>
          </w:tcPr>
          <w:p w:rsidR="00BF1026" w:rsidRDefault="001E430A">
            <w:pPr>
              <w:jc w:val="center"/>
            </w:pPr>
            <w:r>
              <w:rPr>
                <w:sz w:val="24"/>
              </w:rPr>
              <w:t>234,000,000.00</w:t>
            </w:r>
          </w:p>
        </w:tc>
        <w:tc>
          <w:tcPr>
            <w:tcW w:w="1134" w:type="dxa"/>
            <w:vAlign w:val="center"/>
          </w:tcPr>
          <w:p w:rsidR="00BF1026" w:rsidRDefault="001E430A">
            <w:pPr>
              <w:jc w:val="center"/>
            </w:pPr>
            <w:r>
              <w:rPr>
                <w:sz w:val="24"/>
              </w:rPr>
              <w:t>213,200,000.00</w:t>
            </w:r>
          </w:p>
        </w:tc>
        <w:tc>
          <w:tcPr>
            <w:tcW w:w="1037" w:type="dxa"/>
            <w:vAlign w:val="center"/>
          </w:tcPr>
          <w:p w:rsidR="00BF1026" w:rsidRDefault="001E430A">
            <w:pPr>
              <w:jc w:val="center"/>
            </w:pPr>
            <w:r>
              <w:rPr>
                <w:sz w:val="24"/>
              </w:rPr>
              <w:t>1,235,928,426.00</w:t>
            </w:r>
          </w:p>
        </w:tc>
        <w:tc>
          <w:tcPr>
            <w:tcW w:w="851" w:type="dxa"/>
            <w:vAlign w:val="center"/>
          </w:tcPr>
          <w:p w:rsidR="00BF1026" w:rsidRDefault="001E430A">
            <w:pPr>
              <w:jc w:val="center"/>
            </w:pPr>
            <w:r>
              <w:rPr>
                <w:sz w:val="24"/>
              </w:rPr>
              <w:t>16.41%</w:t>
            </w:r>
          </w:p>
        </w:tc>
      </w:tr>
      <w:tr w:rsidR="007506E8" w:rsidRPr="00FC0759" w:rsidTr="00734B2B">
        <w:trPr>
          <w:jc w:val="center"/>
        </w:trPr>
        <w:tc>
          <w:tcPr>
            <w:tcW w:w="9637" w:type="dxa"/>
            <w:gridSpan w:val="8"/>
            <w:shd w:val="clear" w:color="auto" w:fill="auto"/>
            <w:vAlign w:val="center"/>
          </w:tcPr>
          <w:p w:rsidR="007506E8" w:rsidRPr="00734B2B" w:rsidRDefault="007506E8" w:rsidP="00344FF1">
            <w:pPr>
              <w:autoSpaceDE w:val="0"/>
              <w:autoSpaceDN w:val="0"/>
              <w:adjustRightInd w:val="0"/>
              <w:jc w:val="center"/>
              <w:rPr>
                <w:sz w:val="24"/>
              </w:rPr>
            </w:pPr>
            <w:r w:rsidRPr="00734B2B">
              <w:rPr>
                <w:color w:val="000000"/>
                <w:sz w:val="24"/>
              </w:rPr>
              <w:t>产品特有风险</w:t>
            </w:r>
          </w:p>
        </w:tc>
      </w:tr>
      <w:tr w:rsidR="007506E8" w:rsidRPr="00FC0759" w:rsidTr="00734B2B">
        <w:trPr>
          <w:jc w:val="center"/>
        </w:trPr>
        <w:tc>
          <w:tcPr>
            <w:tcW w:w="9637" w:type="dxa"/>
            <w:gridSpan w:val="8"/>
            <w:shd w:val="clear" w:color="auto" w:fill="auto"/>
            <w:vAlign w:val="center"/>
          </w:tcPr>
          <w:p w:rsidR="007506E8" w:rsidRPr="00734B2B" w:rsidRDefault="007506E8" w:rsidP="00734B2B">
            <w:pPr>
              <w:autoSpaceDE w:val="0"/>
              <w:autoSpaceDN w:val="0"/>
              <w:adjustRightInd w:val="0"/>
              <w:jc w:val="left"/>
              <w:rPr>
                <w:sz w:val="24"/>
              </w:rPr>
            </w:pPr>
            <w:r w:rsidRPr="00734B2B">
              <w:rPr>
                <w:sz w:val="24"/>
              </w:rPr>
              <w:t>报告期内，本基金存在单一投资者持有份额比例达到或超过</w:t>
            </w:r>
            <w:r w:rsidRPr="00734B2B">
              <w:rPr>
                <w:sz w:val="24"/>
              </w:rPr>
              <w:t>20%</w:t>
            </w:r>
            <w:r w:rsidRPr="00734B2B">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w:t>
            </w:r>
            <w:r w:rsidRPr="00734B2B">
              <w:rPr>
                <w:sz w:val="24"/>
              </w:rPr>
              <w:lastRenderedPageBreak/>
              <w:t>作日基金资产净值低于</w:t>
            </w:r>
            <w:r w:rsidRPr="00734B2B">
              <w:rPr>
                <w:sz w:val="24"/>
              </w:rPr>
              <w:t>5000</w:t>
            </w:r>
            <w:r w:rsidRPr="00734B2B">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6E8" w:rsidRPr="007506E8" w:rsidRDefault="007506E8" w:rsidP="007506E8">
      <w:pPr>
        <w:autoSpaceDE w:val="0"/>
        <w:autoSpaceDN w:val="0"/>
        <w:adjustRightInd w:val="0"/>
        <w:spacing w:line="360" w:lineRule="auto"/>
        <w:ind w:firstLineChars="200" w:firstLine="480"/>
        <w:jc w:val="left"/>
        <w:rPr>
          <w:bCs/>
          <w:color w:val="000000"/>
          <w:kern w:val="0"/>
          <w:sz w:val="24"/>
        </w:rPr>
      </w:pPr>
      <w:r w:rsidRPr="007506E8">
        <w:rPr>
          <w:bCs/>
          <w:color w:val="000000"/>
          <w:kern w:val="0"/>
          <w:sz w:val="24"/>
        </w:rPr>
        <w:lastRenderedPageBreak/>
        <w:t>注：申购份额包括申购或者买入基金份额，赎回份额包括赎回或者卖出基金份额。</w:t>
      </w:r>
    </w:p>
    <w:p w:rsidR="00F5013F" w:rsidRPr="006506EF" w:rsidRDefault="00F5013F" w:rsidP="00543B38">
      <w:pPr>
        <w:pStyle w:val="1"/>
        <w:spacing w:beforeLines="100" w:before="312" w:afterLines="100" w:after="312" w:line="360" w:lineRule="auto"/>
        <w:jc w:val="center"/>
        <w:rPr>
          <w:color w:val="000000"/>
          <w:kern w:val="0"/>
          <w:sz w:val="24"/>
          <w:szCs w:val="24"/>
        </w:rPr>
      </w:pPr>
      <w:r w:rsidRPr="006506EF">
        <w:rPr>
          <w:color w:val="000000"/>
          <w:kern w:val="0"/>
          <w:sz w:val="24"/>
          <w:szCs w:val="24"/>
        </w:rPr>
        <w:t>§9</w:t>
      </w:r>
      <w:r w:rsidR="002A4064" w:rsidRPr="006506EF">
        <w:rPr>
          <w:color w:val="000000"/>
          <w:kern w:val="0"/>
          <w:sz w:val="24"/>
          <w:szCs w:val="24"/>
        </w:rPr>
        <w:t xml:space="preserve">  </w:t>
      </w:r>
      <w:r w:rsidRPr="006506EF">
        <w:rPr>
          <w:color w:val="000000"/>
          <w:kern w:val="0"/>
          <w:sz w:val="24"/>
          <w:szCs w:val="24"/>
        </w:rPr>
        <w:t>备查文件目录</w:t>
      </w:r>
    </w:p>
    <w:p w:rsidR="00F5013F" w:rsidRPr="006506EF" w:rsidRDefault="00F5013F" w:rsidP="002C065A">
      <w:pPr>
        <w:spacing w:line="360" w:lineRule="auto"/>
        <w:rPr>
          <w:sz w:val="24"/>
        </w:rPr>
      </w:pPr>
      <w:r w:rsidRPr="006506EF">
        <w:rPr>
          <w:sz w:val="24"/>
        </w:rPr>
        <w:t xml:space="preserve">9.1 </w:t>
      </w:r>
      <w:r w:rsidRPr="006506EF">
        <w:rPr>
          <w:sz w:val="24"/>
        </w:rPr>
        <w:t>备查文件目录</w:t>
      </w:r>
    </w:p>
    <w:p w:rsidR="00BF1026" w:rsidRDefault="001E430A">
      <w:pPr>
        <w:spacing w:line="360" w:lineRule="auto"/>
        <w:ind w:firstLineChars="200" w:firstLine="480"/>
        <w:rPr>
          <w:color w:val="000000"/>
          <w:sz w:val="24"/>
        </w:rPr>
      </w:pPr>
      <w:r>
        <w:rPr>
          <w:color w:val="000000"/>
          <w:sz w:val="24"/>
        </w:rPr>
        <w:t>1.</w:t>
      </w:r>
      <w:r>
        <w:rPr>
          <w:color w:val="000000"/>
          <w:sz w:val="24"/>
        </w:rPr>
        <w:t>中国证监会核准易方达恒生中国企业交易型开放式指数证券投资基金募集的文件；</w:t>
      </w:r>
    </w:p>
    <w:p w:rsidR="00BF1026" w:rsidRDefault="001E430A">
      <w:pPr>
        <w:spacing w:line="360" w:lineRule="auto"/>
        <w:ind w:firstLineChars="200" w:firstLine="480"/>
        <w:rPr>
          <w:color w:val="000000"/>
          <w:sz w:val="24"/>
        </w:rPr>
      </w:pPr>
      <w:r>
        <w:rPr>
          <w:color w:val="000000"/>
          <w:sz w:val="24"/>
        </w:rPr>
        <w:t>2.</w:t>
      </w:r>
      <w:r>
        <w:rPr>
          <w:color w:val="000000"/>
          <w:sz w:val="24"/>
        </w:rPr>
        <w:t>《易方达恒生中国企业交易型开放式指数证券投资基金基金合同》；</w:t>
      </w:r>
      <w:r>
        <w:rPr>
          <w:color w:val="000000"/>
          <w:sz w:val="24"/>
        </w:rPr>
        <w:t xml:space="preserve"> </w:t>
      </w:r>
    </w:p>
    <w:p w:rsidR="00BF1026" w:rsidRDefault="001E430A">
      <w:pPr>
        <w:spacing w:line="360" w:lineRule="auto"/>
        <w:ind w:firstLineChars="200" w:firstLine="480"/>
        <w:rPr>
          <w:color w:val="000000"/>
          <w:sz w:val="24"/>
        </w:rPr>
      </w:pPr>
      <w:r>
        <w:rPr>
          <w:color w:val="000000"/>
          <w:sz w:val="24"/>
        </w:rPr>
        <w:t>3.</w:t>
      </w:r>
      <w:r>
        <w:rPr>
          <w:color w:val="000000"/>
          <w:sz w:val="24"/>
        </w:rPr>
        <w:t>《易方达恒生中国企业交易型开放式指数证券投资基金托管协议》；</w:t>
      </w:r>
    </w:p>
    <w:p w:rsidR="00F5013F" w:rsidRPr="006506EF" w:rsidRDefault="00F5013F" w:rsidP="00A70EAB">
      <w:pPr>
        <w:spacing w:line="360" w:lineRule="auto"/>
        <w:ind w:firstLineChars="200" w:firstLine="480"/>
        <w:rPr>
          <w:color w:val="000000"/>
          <w:sz w:val="24"/>
        </w:rPr>
      </w:pPr>
      <w:r w:rsidRPr="006506EF">
        <w:rPr>
          <w:color w:val="000000"/>
          <w:sz w:val="24"/>
        </w:rPr>
        <w:t>4.</w:t>
      </w:r>
      <w:r w:rsidRPr="006506EF">
        <w:rPr>
          <w:color w:val="000000"/>
          <w:sz w:val="24"/>
        </w:rPr>
        <w:t>基金管理人业务资格批件和营业执照。</w:t>
      </w:r>
    </w:p>
    <w:p w:rsidR="00F5013F" w:rsidRPr="006506EF" w:rsidRDefault="00F5013F" w:rsidP="002C065A">
      <w:pPr>
        <w:spacing w:line="360" w:lineRule="auto"/>
        <w:rPr>
          <w:sz w:val="24"/>
        </w:rPr>
      </w:pPr>
      <w:r w:rsidRPr="006506EF">
        <w:rPr>
          <w:sz w:val="24"/>
        </w:rPr>
        <w:t xml:space="preserve">9.2 </w:t>
      </w:r>
      <w:r w:rsidRPr="006506EF">
        <w:rPr>
          <w:sz w:val="24"/>
        </w:rPr>
        <w:t>存放地点</w:t>
      </w:r>
    </w:p>
    <w:p w:rsidR="00F5013F" w:rsidRPr="006506EF" w:rsidRDefault="00F5013F" w:rsidP="00A70EAB">
      <w:pPr>
        <w:spacing w:line="360" w:lineRule="auto"/>
        <w:ind w:firstLineChars="200" w:firstLine="480"/>
        <w:rPr>
          <w:color w:val="000000"/>
          <w:sz w:val="24"/>
        </w:rPr>
      </w:pPr>
      <w:r w:rsidRPr="006506EF">
        <w:rPr>
          <w:color w:val="000000"/>
          <w:sz w:val="24"/>
        </w:rPr>
        <w:t>广州市天河区珠江新城珠江东路</w:t>
      </w:r>
      <w:r w:rsidRPr="006506EF">
        <w:rPr>
          <w:color w:val="000000"/>
          <w:sz w:val="24"/>
        </w:rPr>
        <w:t>30</w:t>
      </w:r>
      <w:r w:rsidRPr="006506EF">
        <w:rPr>
          <w:color w:val="000000"/>
          <w:sz w:val="24"/>
        </w:rPr>
        <w:t>号广州银行大厦</w:t>
      </w:r>
      <w:r w:rsidRPr="006506EF">
        <w:rPr>
          <w:color w:val="000000"/>
          <w:sz w:val="24"/>
        </w:rPr>
        <w:t>40-43</w:t>
      </w:r>
      <w:r w:rsidRPr="006506EF">
        <w:rPr>
          <w:color w:val="000000"/>
          <w:sz w:val="24"/>
        </w:rPr>
        <w:t>楼。</w:t>
      </w:r>
    </w:p>
    <w:p w:rsidR="00F5013F" w:rsidRPr="006506EF" w:rsidRDefault="00F5013F" w:rsidP="002C065A">
      <w:pPr>
        <w:spacing w:line="360" w:lineRule="auto"/>
        <w:rPr>
          <w:sz w:val="24"/>
        </w:rPr>
      </w:pPr>
      <w:r w:rsidRPr="006506EF">
        <w:rPr>
          <w:sz w:val="24"/>
        </w:rPr>
        <w:t xml:space="preserve">9.3 </w:t>
      </w:r>
      <w:r w:rsidRPr="006506EF">
        <w:rPr>
          <w:sz w:val="24"/>
        </w:rPr>
        <w:t>查阅方式</w:t>
      </w:r>
    </w:p>
    <w:p w:rsidR="00F5013F" w:rsidRPr="006506EF" w:rsidRDefault="00F5013F" w:rsidP="00547F92">
      <w:pPr>
        <w:spacing w:line="360" w:lineRule="auto"/>
        <w:ind w:firstLineChars="200" w:firstLine="480"/>
        <w:rPr>
          <w:color w:val="000000"/>
          <w:sz w:val="24"/>
        </w:rPr>
      </w:pPr>
      <w:r w:rsidRPr="006506EF">
        <w:rPr>
          <w:color w:val="000000"/>
          <w:sz w:val="24"/>
        </w:rPr>
        <w:t>投资者可在营业时间免费查阅，也可按工本费购买复印件。</w:t>
      </w: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547F92">
      <w:pPr>
        <w:spacing w:line="360" w:lineRule="auto"/>
        <w:ind w:firstLineChars="200" w:firstLine="480"/>
        <w:rPr>
          <w:color w:val="000000"/>
          <w:sz w:val="24"/>
        </w:rPr>
      </w:pPr>
    </w:p>
    <w:p w:rsidR="00F5013F" w:rsidRPr="006506EF" w:rsidRDefault="00F5013F" w:rsidP="000C7596">
      <w:pPr>
        <w:spacing w:line="360" w:lineRule="auto"/>
        <w:jc w:val="right"/>
        <w:rPr>
          <w:b/>
          <w:bCs/>
          <w:sz w:val="24"/>
        </w:rPr>
      </w:pPr>
      <w:r w:rsidRPr="006506EF">
        <w:rPr>
          <w:b/>
          <w:bCs/>
          <w:sz w:val="24"/>
        </w:rPr>
        <w:t>易方达基金管理有限公司</w:t>
      </w:r>
    </w:p>
    <w:p w:rsidR="00F5013F" w:rsidRPr="006506EF" w:rsidRDefault="00F5013F" w:rsidP="000C7596">
      <w:pPr>
        <w:spacing w:line="360" w:lineRule="auto"/>
        <w:jc w:val="right"/>
        <w:rPr>
          <w:b/>
          <w:bCs/>
          <w:sz w:val="24"/>
        </w:rPr>
      </w:pPr>
      <w:r w:rsidRPr="006506EF">
        <w:rPr>
          <w:b/>
          <w:bCs/>
          <w:sz w:val="24"/>
        </w:rPr>
        <w:t>二〇一九年十月二十四日</w:t>
      </w:r>
    </w:p>
    <w:sectPr w:rsidR="00F5013F" w:rsidRPr="006506EF" w:rsidSect="00DB4450">
      <w:headerReference w:type="even" r:id="rId10"/>
      <w:footerReference w:type="even" r:id="rId11"/>
      <w:footerReference w:type="default" r:id="rId12"/>
      <w:headerReference w:type="first" r:id="rId13"/>
      <w:footerReference w:type="first" r:id="rId14"/>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D41" w:rsidRDefault="000F4D41">
      <w:r>
        <w:separator/>
      </w:r>
    </w:p>
  </w:endnote>
  <w:endnote w:type="continuationSeparator" w:id="0">
    <w:p w:rsidR="000F4D41" w:rsidRDefault="000F4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Pr="001D0DB0" w:rsidRDefault="00F5013F" w:rsidP="00B918B8">
    <w:pPr>
      <w:pStyle w:val="a6"/>
      <w:jc w:val="center"/>
    </w:pPr>
    <w:r>
      <w:rPr>
        <w:rFonts w:hint="eastAsia"/>
        <w:szCs w:val="21"/>
      </w:rPr>
      <w:t>第</w:t>
    </w:r>
    <w:r w:rsidR="005558C4">
      <w:rPr>
        <w:szCs w:val="21"/>
      </w:rPr>
      <w:fldChar w:fldCharType="begin"/>
    </w:r>
    <w:r>
      <w:rPr>
        <w:szCs w:val="21"/>
      </w:rPr>
      <w:instrText xml:space="preserve"> PAGE </w:instrText>
    </w:r>
    <w:r w:rsidR="005558C4">
      <w:rPr>
        <w:szCs w:val="21"/>
      </w:rPr>
      <w:fldChar w:fldCharType="separate"/>
    </w:r>
    <w:r w:rsidR="001E430A">
      <w:rPr>
        <w:noProof/>
        <w:szCs w:val="21"/>
      </w:rPr>
      <w:t>1</w:t>
    </w:r>
    <w:r w:rsidR="005558C4">
      <w:rPr>
        <w:szCs w:val="21"/>
      </w:rPr>
      <w:fldChar w:fldCharType="end"/>
    </w:r>
    <w:r>
      <w:rPr>
        <w:rFonts w:hint="eastAsia"/>
        <w:szCs w:val="21"/>
      </w:rPr>
      <w:t>页共</w:t>
    </w:r>
    <w:r w:rsidR="005558C4">
      <w:rPr>
        <w:szCs w:val="21"/>
      </w:rPr>
      <w:fldChar w:fldCharType="begin"/>
    </w:r>
    <w:r>
      <w:rPr>
        <w:szCs w:val="21"/>
      </w:rPr>
      <w:instrText xml:space="preserve"> NUMPAGES </w:instrText>
    </w:r>
    <w:r w:rsidR="005558C4">
      <w:rPr>
        <w:szCs w:val="21"/>
      </w:rPr>
      <w:fldChar w:fldCharType="separate"/>
    </w:r>
    <w:r w:rsidR="001E430A">
      <w:rPr>
        <w:noProof/>
        <w:szCs w:val="21"/>
      </w:rPr>
      <w:t>3</w:t>
    </w:r>
    <w:r w:rsidR="005558C4">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5558C4">
    <w:pPr>
      <w:pStyle w:val="a6"/>
      <w:framePr w:wrap="around" w:vAnchor="text" w:hAnchor="margin" w:xAlign="center" w:y="1"/>
      <w:rPr>
        <w:rStyle w:val="a7"/>
      </w:rPr>
    </w:pPr>
    <w:r>
      <w:rPr>
        <w:rStyle w:val="a7"/>
      </w:rPr>
      <w:fldChar w:fldCharType="begin"/>
    </w:r>
    <w:r w:rsidR="00F5013F">
      <w:rPr>
        <w:rStyle w:val="a7"/>
      </w:rPr>
      <w:instrText xml:space="preserve">PAGE  </w:instrText>
    </w:r>
    <w:r>
      <w:rPr>
        <w:rStyle w:val="a7"/>
      </w:rPr>
      <w:fldChar w:fldCharType="end"/>
    </w:r>
  </w:p>
  <w:p w:rsidR="00F5013F" w:rsidRDefault="00F5013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5558C4">
    <w:pPr>
      <w:pStyle w:val="a6"/>
      <w:framePr w:wrap="around" w:vAnchor="text" w:hAnchor="margin" w:xAlign="center" w:y="1"/>
      <w:rPr>
        <w:rStyle w:val="a7"/>
      </w:rPr>
    </w:pPr>
    <w:r>
      <w:rPr>
        <w:rStyle w:val="a7"/>
      </w:rPr>
      <w:fldChar w:fldCharType="begin"/>
    </w:r>
    <w:r w:rsidR="00F5013F">
      <w:rPr>
        <w:rStyle w:val="a7"/>
      </w:rPr>
      <w:instrText xml:space="preserve">PAGE  </w:instrText>
    </w:r>
    <w:r>
      <w:rPr>
        <w:rStyle w:val="a7"/>
      </w:rPr>
      <w:fldChar w:fldCharType="separate"/>
    </w:r>
    <w:r w:rsidR="001E430A">
      <w:rPr>
        <w:rStyle w:val="a7"/>
        <w:noProof/>
      </w:rPr>
      <w:t>18</w:t>
    </w:r>
    <w:r>
      <w:rPr>
        <w:rStyle w:val="a7"/>
      </w:rPr>
      <w:fldChar w:fldCharType="end"/>
    </w:r>
  </w:p>
  <w:p w:rsidR="00F5013F" w:rsidRDefault="00F5013F">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D41" w:rsidRDefault="000F4D41">
      <w:r>
        <w:separator/>
      </w:r>
    </w:p>
  </w:footnote>
  <w:footnote w:type="continuationSeparator" w:id="0">
    <w:p w:rsidR="000F4D41" w:rsidRDefault="000F4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Pr="00CA4176" w:rsidRDefault="00F5013F" w:rsidP="001D1356">
    <w:pPr>
      <w:pStyle w:val="a9"/>
      <w:pBdr>
        <w:bottom w:val="single" w:sz="6" w:space="0" w:color="auto"/>
      </w:pBdr>
      <w:jc w:val="right"/>
      <w:rPr>
        <w:sz w:val="15"/>
      </w:rPr>
    </w:pPr>
    <w:r w:rsidRPr="00CA4176">
      <w:rPr>
        <w:szCs w:val="21"/>
      </w:rPr>
      <w:t>易方达恒生中国企业交易型开放式指数证券投资基金</w:t>
    </w:r>
    <w:r w:rsidRPr="00CA4176">
      <w:rPr>
        <w:szCs w:val="21"/>
      </w:rPr>
      <w:t>2019</w:t>
    </w:r>
    <w:r w:rsidRPr="00CA4176">
      <w:rPr>
        <w:szCs w:val="21"/>
      </w:rPr>
      <w:t>年第</w:t>
    </w:r>
    <w:r w:rsidRPr="00CA4176">
      <w:rPr>
        <w:szCs w:val="21"/>
      </w:rPr>
      <w:t>3</w:t>
    </w:r>
    <w:r w:rsidRPr="00CA4176">
      <w:rPr>
        <w:szCs w:val="21"/>
      </w:rPr>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13F" w:rsidRDefault="00F5013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7FB4"/>
    <w:rsid w:val="0000403B"/>
    <w:rsid w:val="00005911"/>
    <w:rsid w:val="00010A83"/>
    <w:rsid w:val="00010A8E"/>
    <w:rsid w:val="00010AC3"/>
    <w:rsid w:val="00011EB5"/>
    <w:rsid w:val="00017581"/>
    <w:rsid w:val="00017739"/>
    <w:rsid w:val="00020583"/>
    <w:rsid w:val="00021DD4"/>
    <w:rsid w:val="00023BE7"/>
    <w:rsid w:val="00026BFF"/>
    <w:rsid w:val="000306F0"/>
    <w:rsid w:val="0003091A"/>
    <w:rsid w:val="00037FCF"/>
    <w:rsid w:val="00041AB5"/>
    <w:rsid w:val="000421B8"/>
    <w:rsid w:val="00043ABF"/>
    <w:rsid w:val="000445E4"/>
    <w:rsid w:val="00045AE7"/>
    <w:rsid w:val="000510AB"/>
    <w:rsid w:val="00055668"/>
    <w:rsid w:val="00055AF1"/>
    <w:rsid w:val="000565DC"/>
    <w:rsid w:val="00063A8D"/>
    <w:rsid w:val="00064AE3"/>
    <w:rsid w:val="00066524"/>
    <w:rsid w:val="00067332"/>
    <w:rsid w:val="00067AC4"/>
    <w:rsid w:val="00070CD1"/>
    <w:rsid w:val="0007171B"/>
    <w:rsid w:val="0007178B"/>
    <w:rsid w:val="00081D05"/>
    <w:rsid w:val="000876A0"/>
    <w:rsid w:val="00087CF7"/>
    <w:rsid w:val="00094876"/>
    <w:rsid w:val="00095912"/>
    <w:rsid w:val="00095CE0"/>
    <w:rsid w:val="000965F7"/>
    <w:rsid w:val="00096933"/>
    <w:rsid w:val="00097230"/>
    <w:rsid w:val="000A09BE"/>
    <w:rsid w:val="000A457E"/>
    <w:rsid w:val="000A521D"/>
    <w:rsid w:val="000A549A"/>
    <w:rsid w:val="000A55BD"/>
    <w:rsid w:val="000A72F2"/>
    <w:rsid w:val="000B0C56"/>
    <w:rsid w:val="000B3274"/>
    <w:rsid w:val="000B3E43"/>
    <w:rsid w:val="000B7DD0"/>
    <w:rsid w:val="000C1723"/>
    <w:rsid w:val="000C1B20"/>
    <w:rsid w:val="000C4107"/>
    <w:rsid w:val="000C41AE"/>
    <w:rsid w:val="000C45E7"/>
    <w:rsid w:val="000C6EE5"/>
    <w:rsid w:val="000C7596"/>
    <w:rsid w:val="000D01F4"/>
    <w:rsid w:val="000D09E5"/>
    <w:rsid w:val="000D121F"/>
    <w:rsid w:val="000D1519"/>
    <w:rsid w:val="000E1F7C"/>
    <w:rsid w:val="000E3B88"/>
    <w:rsid w:val="000E4456"/>
    <w:rsid w:val="000F175F"/>
    <w:rsid w:val="000F17D1"/>
    <w:rsid w:val="000F4D41"/>
    <w:rsid w:val="000F60FF"/>
    <w:rsid w:val="000F635F"/>
    <w:rsid w:val="000F6C61"/>
    <w:rsid w:val="00100A7C"/>
    <w:rsid w:val="00100C12"/>
    <w:rsid w:val="001049B6"/>
    <w:rsid w:val="001051C6"/>
    <w:rsid w:val="0010694D"/>
    <w:rsid w:val="0011177A"/>
    <w:rsid w:val="00112E27"/>
    <w:rsid w:val="0011345C"/>
    <w:rsid w:val="00114B31"/>
    <w:rsid w:val="00116E31"/>
    <w:rsid w:val="00120FAF"/>
    <w:rsid w:val="0012150F"/>
    <w:rsid w:val="00121683"/>
    <w:rsid w:val="0012304E"/>
    <w:rsid w:val="00123B10"/>
    <w:rsid w:val="001248EF"/>
    <w:rsid w:val="001257C7"/>
    <w:rsid w:val="00126DDF"/>
    <w:rsid w:val="001270BF"/>
    <w:rsid w:val="00127BAC"/>
    <w:rsid w:val="00142A56"/>
    <w:rsid w:val="00143B45"/>
    <w:rsid w:val="00144DF5"/>
    <w:rsid w:val="00145A97"/>
    <w:rsid w:val="00146485"/>
    <w:rsid w:val="00150AD6"/>
    <w:rsid w:val="00154ADA"/>
    <w:rsid w:val="0015531A"/>
    <w:rsid w:val="0016041C"/>
    <w:rsid w:val="00163B27"/>
    <w:rsid w:val="00165317"/>
    <w:rsid w:val="00171BAD"/>
    <w:rsid w:val="00172B84"/>
    <w:rsid w:val="0017406E"/>
    <w:rsid w:val="001756A1"/>
    <w:rsid w:val="001761EE"/>
    <w:rsid w:val="00176EAA"/>
    <w:rsid w:val="0017725A"/>
    <w:rsid w:val="00177BE0"/>
    <w:rsid w:val="00177C4B"/>
    <w:rsid w:val="00180FB6"/>
    <w:rsid w:val="00181F3C"/>
    <w:rsid w:val="0018325A"/>
    <w:rsid w:val="00186199"/>
    <w:rsid w:val="0018734E"/>
    <w:rsid w:val="001878B0"/>
    <w:rsid w:val="00190115"/>
    <w:rsid w:val="001928F7"/>
    <w:rsid w:val="00194537"/>
    <w:rsid w:val="00194F40"/>
    <w:rsid w:val="001A21A9"/>
    <w:rsid w:val="001A59D8"/>
    <w:rsid w:val="001A5FA6"/>
    <w:rsid w:val="001B28D0"/>
    <w:rsid w:val="001B2F0C"/>
    <w:rsid w:val="001C37F6"/>
    <w:rsid w:val="001C46E1"/>
    <w:rsid w:val="001C5C03"/>
    <w:rsid w:val="001C6288"/>
    <w:rsid w:val="001C7D5D"/>
    <w:rsid w:val="001D0DB0"/>
    <w:rsid w:val="001D0F6A"/>
    <w:rsid w:val="001D1356"/>
    <w:rsid w:val="001D21BC"/>
    <w:rsid w:val="001D2FA5"/>
    <w:rsid w:val="001D3187"/>
    <w:rsid w:val="001D35E0"/>
    <w:rsid w:val="001D4F52"/>
    <w:rsid w:val="001D5045"/>
    <w:rsid w:val="001D5A44"/>
    <w:rsid w:val="001D724B"/>
    <w:rsid w:val="001E03D6"/>
    <w:rsid w:val="001E11D3"/>
    <w:rsid w:val="001E227F"/>
    <w:rsid w:val="001E2A6A"/>
    <w:rsid w:val="001E3DC2"/>
    <w:rsid w:val="001E430A"/>
    <w:rsid w:val="001E4ABC"/>
    <w:rsid w:val="001E56FF"/>
    <w:rsid w:val="001E5C6B"/>
    <w:rsid w:val="001F03E1"/>
    <w:rsid w:val="001F26C1"/>
    <w:rsid w:val="001F3C28"/>
    <w:rsid w:val="001F3CC6"/>
    <w:rsid w:val="001F4530"/>
    <w:rsid w:val="002010DE"/>
    <w:rsid w:val="00202968"/>
    <w:rsid w:val="00202C32"/>
    <w:rsid w:val="00203AEF"/>
    <w:rsid w:val="00206F8C"/>
    <w:rsid w:val="00211A26"/>
    <w:rsid w:val="002125F7"/>
    <w:rsid w:val="00213FE8"/>
    <w:rsid w:val="00214463"/>
    <w:rsid w:val="00214756"/>
    <w:rsid w:val="002149AE"/>
    <w:rsid w:val="00215CF2"/>
    <w:rsid w:val="00221174"/>
    <w:rsid w:val="002224FF"/>
    <w:rsid w:val="002236BC"/>
    <w:rsid w:val="00223DBB"/>
    <w:rsid w:val="00233B7F"/>
    <w:rsid w:val="002359EB"/>
    <w:rsid w:val="002363AB"/>
    <w:rsid w:val="0024260D"/>
    <w:rsid w:val="00245012"/>
    <w:rsid w:val="0024504E"/>
    <w:rsid w:val="0024651F"/>
    <w:rsid w:val="0025158D"/>
    <w:rsid w:val="0025281A"/>
    <w:rsid w:val="00253D3C"/>
    <w:rsid w:val="00254F37"/>
    <w:rsid w:val="00255292"/>
    <w:rsid w:val="00256097"/>
    <w:rsid w:val="00260200"/>
    <w:rsid w:val="00261DB3"/>
    <w:rsid w:val="002648D8"/>
    <w:rsid w:val="00264E55"/>
    <w:rsid w:val="002655D4"/>
    <w:rsid w:val="00265865"/>
    <w:rsid w:val="00267A28"/>
    <w:rsid w:val="00267D54"/>
    <w:rsid w:val="002711AA"/>
    <w:rsid w:val="00273F86"/>
    <w:rsid w:val="0027576B"/>
    <w:rsid w:val="00276834"/>
    <w:rsid w:val="002774F0"/>
    <w:rsid w:val="00280566"/>
    <w:rsid w:val="00281DBD"/>
    <w:rsid w:val="00284519"/>
    <w:rsid w:val="0028459B"/>
    <w:rsid w:val="00284C5F"/>
    <w:rsid w:val="00287063"/>
    <w:rsid w:val="002873F0"/>
    <w:rsid w:val="00287B56"/>
    <w:rsid w:val="002964F9"/>
    <w:rsid w:val="00297B13"/>
    <w:rsid w:val="002A1F14"/>
    <w:rsid w:val="002A2678"/>
    <w:rsid w:val="002A2E01"/>
    <w:rsid w:val="002A398F"/>
    <w:rsid w:val="002A4064"/>
    <w:rsid w:val="002A530F"/>
    <w:rsid w:val="002A5C6B"/>
    <w:rsid w:val="002A5D31"/>
    <w:rsid w:val="002A714F"/>
    <w:rsid w:val="002B14C2"/>
    <w:rsid w:val="002B1851"/>
    <w:rsid w:val="002B2019"/>
    <w:rsid w:val="002B27FF"/>
    <w:rsid w:val="002B3A0A"/>
    <w:rsid w:val="002B4320"/>
    <w:rsid w:val="002B6793"/>
    <w:rsid w:val="002C042C"/>
    <w:rsid w:val="002C065A"/>
    <w:rsid w:val="002C1726"/>
    <w:rsid w:val="002C21A6"/>
    <w:rsid w:val="002C2678"/>
    <w:rsid w:val="002C26D5"/>
    <w:rsid w:val="002C5777"/>
    <w:rsid w:val="002D31BB"/>
    <w:rsid w:val="002D32E3"/>
    <w:rsid w:val="002E0FEB"/>
    <w:rsid w:val="002E5C64"/>
    <w:rsid w:val="002E6899"/>
    <w:rsid w:val="002E6FB9"/>
    <w:rsid w:val="002F0F79"/>
    <w:rsid w:val="002F2234"/>
    <w:rsid w:val="002F2713"/>
    <w:rsid w:val="002F280E"/>
    <w:rsid w:val="002F3709"/>
    <w:rsid w:val="002F3A6C"/>
    <w:rsid w:val="002F4296"/>
    <w:rsid w:val="00300951"/>
    <w:rsid w:val="00302CA8"/>
    <w:rsid w:val="00302DE9"/>
    <w:rsid w:val="003033EE"/>
    <w:rsid w:val="00304106"/>
    <w:rsid w:val="00304E5A"/>
    <w:rsid w:val="00304E97"/>
    <w:rsid w:val="00305084"/>
    <w:rsid w:val="00311094"/>
    <w:rsid w:val="0031598C"/>
    <w:rsid w:val="00316339"/>
    <w:rsid w:val="003204E9"/>
    <w:rsid w:val="00321E8C"/>
    <w:rsid w:val="00322A86"/>
    <w:rsid w:val="00323AE8"/>
    <w:rsid w:val="00324548"/>
    <w:rsid w:val="003251F4"/>
    <w:rsid w:val="003303E3"/>
    <w:rsid w:val="003329EA"/>
    <w:rsid w:val="003407A5"/>
    <w:rsid w:val="00341188"/>
    <w:rsid w:val="0034147B"/>
    <w:rsid w:val="00344A44"/>
    <w:rsid w:val="00344FF1"/>
    <w:rsid w:val="00345F56"/>
    <w:rsid w:val="00346DF0"/>
    <w:rsid w:val="00350238"/>
    <w:rsid w:val="0035109C"/>
    <w:rsid w:val="00351F0A"/>
    <w:rsid w:val="0035432B"/>
    <w:rsid w:val="00361E7E"/>
    <w:rsid w:val="00363E15"/>
    <w:rsid w:val="0037006D"/>
    <w:rsid w:val="00370AA4"/>
    <w:rsid w:val="00371FF4"/>
    <w:rsid w:val="003745DA"/>
    <w:rsid w:val="0037468D"/>
    <w:rsid w:val="00376A15"/>
    <w:rsid w:val="00376E96"/>
    <w:rsid w:val="00377520"/>
    <w:rsid w:val="00380D36"/>
    <w:rsid w:val="003822D3"/>
    <w:rsid w:val="0038359B"/>
    <w:rsid w:val="00386630"/>
    <w:rsid w:val="00390B25"/>
    <w:rsid w:val="00395BC9"/>
    <w:rsid w:val="00396E32"/>
    <w:rsid w:val="00397156"/>
    <w:rsid w:val="00397616"/>
    <w:rsid w:val="00397960"/>
    <w:rsid w:val="003A30B8"/>
    <w:rsid w:val="003A3BC4"/>
    <w:rsid w:val="003A458A"/>
    <w:rsid w:val="003B2F13"/>
    <w:rsid w:val="003B405E"/>
    <w:rsid w:val="003B57D3"/>
    <w:rsid w:val="003C1F58"/>
    <w:rsid w:val="003C792F"/>
    <w:rsid w:val="003D0053"/>
    <w:rsid w:val="003D124B"/>
    <w:rsid w:val="003D18F3"/>
    <w:rsid w:val="003D78B5"/>
    <w:rsid w:val="003E244F"/>
    <w:rsid w:val="003E6203"/>
    <w:rsid w:val="003E62A6"/>
    <w:rsid w:val="003E695F"/>
    <w:rsid w:val="003E6C9B"/>
    <w:rsid w:val="003E709C"/>
    <w:rsid w:val="003E7B89"/>
    <w:rsid w:val="003F0275"/>
    <w:rsid w:val="003F06B1"/>
    <w:rsid w:val="003F4241"/>
    <w:rsid w:val="003F7C45"/>
    <w:rsid w:val="0040132C"/>
    <w:rsid w:val="00401FEA"/>
    <w:rsid w:val="004027BA"/>
    <w:rsid w:val="0040469F"/>
    <w:rsid w:val="00405085"/>
    <w:rsid w:val="004061D9"/>
    <w:rsid w:val="004066FC"/>
    <w:rsid w:val="00407C10"/>
    <w:rsid w:val="004113B4"/>
    <w:rsid w:val="00414827"/>
    <w:rsid w:val="00416C10"/>
    <w:rsid w:val="00420007"/>
    <w:rsid w:val="00424EF3"/>
    <w:rsid w:val="004261BD"/>
    <w:rsid w:val="004268BB"/>
    <w:rsid w:val="00431047"/>
    <w:rsid w:val="00431B86"/>
    <w:rsid w:val="004339D9"/>
    <w:rsid w:val="004408EC"/>
    <w:rsid w:val="00441E6A"/>
    <w:rsid w:val="00443C8F"/>
    <w:rsid w:val="00452481"/>
    <w:rsid w:val="00455464"/>
    <w:rsid w:val="004567C5"/>
    <w:rsid w:val="00457804"/>
    <w:rsid w:val="00462B61"/>
    <w:rsid w:val="00464283"/>
    <w:rsid w:val="004646BF"/>
    <w:rsid w:val="00464744"/>
    <w:rsid w:val="004665E3"/>
    <w:rsid w:val="00466B17"/>
    <w:rsid w:val="00467F2B"/>
    <w:rsid w:val="004705EB"/>
    <w:rsid w:val="004731F1"/>
    <w:rsid w:val="004745CC"/>
    <w:rsid w:val="00477111"/>
    <w:rsid w:val="0047798A"/>
    <w:rsid w:val="004804B1"/>
    <w:rsid w:val="00480BC8"/>
    <w:rsid w:val="00481265"/>
    <w:rsid w:val="004814BF"/>
    <w:rsid w:val="00482956"/>
    <w:rsid w:val="0048587E"/>
    <w:rsid w:val="00487C2B"/>
    <w:rsid w:val="0049297D"/>
    <w:rsid w:val="004929F2"/>
    <w:rsid w:val="004958BE"/>
    <w:rsid w:val="00495A03"/>
    <w:rsid w:val="0049659A"/>
    <w:rsid w:val="004966FE"/>
    <w:rsid w:val="00497079"/>
    <w:rsid w:val="004A1BBA"/>
    <w:rsid w:val="004A3039"/>
    <w:rsid w:val="004A3251"/>
    <w:rsid w:val="004A3E3C"/>
    <w:rsid w:val="004A5B18"/>
    <w:rsid w:val="004B0E6D"/>
    <w:rsid w:val="004B16E8"/>
    <w:rsid w:val="004B25F8"/>
    <w:rsid w:val="004B38A1"/>
    <w:rsid w:val="004B3F56"/>
    <w:rsid w:val="004B6250"/>
    <w:rsid w:val="004B76B1"/>
    <w:rsid w:val="004C0057"/>
    <w:rsid w:val="004C0541"/>
    <w:rsid w:val="004C05F3"/>
    <w:rsid w:val="004C2C46"/>
    <w:rsid w:val="004C52A1"/>
    <w:rsid w:val="004C7235"/>
    <w:rsid w:val="004C7955"/>
    <w:rsid w:val="004D047F"/>
    <w:rsid w:val="004D3971"/>
    <w:rsid w:val="004D3D96"/>
    <w:rsid w:val="004D650F"/>
    <w:rsid w:val="004E2133"/>
    <w:rsid w:val="004E60FB"/>
    <w:rsid w:val="004F16AD"/>
    <w:rsid w:val="004F6565"/>
    <w:rsid w:val="004F779C"/>
    <w:rsid w:val="004F7846"/>
    <w:rsid w:val="005000D4"/>
    <w:rsid w:val="00501BB1"/>
    <w:rsid w:val="0050335E"/>
    <w:rsid w:val="00505BE7"/>
    <w:rsid w:val="00506786"/>
    <w:rsid w:val="00506D57"/>
    <w:rsid w:val="00510CAF"/>
    <w:rsid w:val="005128C5"/>
    <w:rsid w:val="0051478B"/>
    <w:rsid w:val="0051566A"/>
    <w:rsid w:val="00515D7B"/>
    <w:rsid w:val="005166E9"/>
    <w:rsid w:val="0052009E"/>
    <w:rsid w:val="00521EDE"/>
    <w:rsid w:val="00525E59"/>
    <w:rsid w:val="005318CC"/>
    <w:rsid w:val="005346F1"/>
    <w:rsid w:val="005349B1"/>
    <w:rsid w:val="005374BC"/>
    <w:rsid w:val="00543367"/>
    <w:rsid w:val="00543B38"/>
    <w:rsid w:val="00543BFA"/>
    <w:rsid w:val="00547D9C"/>
    <w:rsid w:val="00547DA1"/>
    <w:rsid w:val="00547F92"/>
    <w:rsid w:val="0055513C"/>
    <w:rsid w:val="005558C4"/>
    <w:rsid w:val="00560C94"/>
    <w:rsid w:val="0056291C"/>
    <w:rsid w:val="00565A63"/>
    <w:rsid w:val="00566588"/>
    <w:rsid w:val="00571BD3"/>
    <w:rsid w:val="00571FA8"/>
    <w:rsid w:val="0057275D"/>
    <w:rsid w:val="005749DF"/>
    <w:rsid w:val="0057608B"/>
    <w:rsid w:val="0057676D"/>
    <w:rsid w:val="005800A9"/>
    <w:rsid w:val="00580488"/>
    <w:rsid w:val="0058074D"/>
    <w:rsid w:val="00582FAD"/>
    <w:rsid w:val="00583489"/>
    <w:rsid w:val="005837E4"/>
    <w:rsid w:val="005838AE"/>
    <w:rsid w:val="00587B92"/>
    <w:rsid w:val="005908C0"/>
    <w:rsid w:val="00590FE4"/>
    <w:rsid w:val="00591D9C"/>
    <w:rsid w:val="00592EFF"/>
    <w:rsid w:val="00597057"/>
    <w:rsid w:val="00597D8B"/>
    <w:rsid w:val="005A128A"/>
    <w:rsid w:val="005A140B"/>
    <w:rsid w:val="005A1C30"/>
    <w:rsid w:val="005A3295"/>
    <w:rsid w:val="005A44E4"/>
    <w:rsid w:val="005A46FF"/>
    <w:rsid w:val="005A5D3B"/>
    <w:rsid w:val="005A6BFC"/>
    <w:rsid w:val="005A704A"/>
    <w:rsid w:val="005B011E"/>
    <w:rsid w:val="005B2E84"/>
    <w:rsid w:val="005B3103"/>
    <w:rsid w:val="005B6AC7"/>
    <w:rsid w:val="005B6CA6"/>
    <w:rsid w:val="005B7B0E"/>
    <w:rsid w:val="005C2541"/>
    <w:rsid w:val="005C28CB"/>
    <w:rsid w:val="005C45E8"/>
    <w:rsid w:val="005C5409"/>
    <w:rsid w:val="005C69AC"/>
    <w:rsid w:val="005C722E"/>
    <w:rsid w:val="005C7FD4"/>
    <w:rsid w:val="005D01A4"/>
    <w:rsid w:val="005D45B3"/>
    <w:rsid w:val="005D4CEB"/>
    <w:rsid w:val="005E0EAB"/>
    <w:rsid w:val="005E2501"/>
    <w:rsid w:val="005E39D4"/>
    <w:rsid w:val="005E64DA"/>
    <w:rsid w:val="005E6CD4"/>
    <w:rsid w:val="005F04E6"/>
    <w:rsid w:val="005F43B9"/>
    <w:rsid w:val="005F68CB"/>
    <w:rsid w:val="005F7085"/>
    <w:rsid w:val="005F79F9"/>
    <w:rsid w:val="00602ACD"/>
    <w:rsid w:val="006033E3"/>
    <w:rsid w:val="00605748"/>
    <w:rsid w:val="00610C82"/>
    <w:rsid w:val="0061321C"/>
    <w:rsid w:val="0062145B"/>
    <w:rsid w:val="00623556"/>
    <w:rsid w:val="0062386E"/>
    <w:rsid w:val="00623F01"/>
    <w:rsid w:val="00624407"/>
    <w:rsid w:val="00626E2D"/>
    <w:rsid w:val="00627D94"/>
    <w:rsid w:val="00630B42"/>
    <w:rsid w:val="0063181A"/>
    <w:rsid w:val="00633BBA"/>
    <w:rsid w:val="00634585"/>
    <w:rsid w:val="00637258"/>
    <w:rsid w:val="00642072"/>
    <w:rsid w:val="006440ED"/>
    <w:rsid w:val="00645293"/>
    <w:rsid w:val="00646237"/>
    <w:rsid w:val="006506EF"/>
    <w:rsid w:val="00651B78"/>
    <w:rsid w:val="00652263"/>
    <w:rsid w:val="00652881"/>
    <w:rsid w:val="00661974"/>
    <w:rsid w:val="00662D4B"/>
    <w:rsid w:val="00664551"/>
    <w:rsid w:val="00664F49"/>
    <w:rsid w:val="006658FA"/>
    <w:rsid w:val="0066726C"/>
    <w:rsid w:val="006674BD"/>
    <w:rsid w:val="006676A0"/>
    <w:rsid w:val="00670857"/>
    <w:rsid w:val="00671124"/>
    <w:rsid w:val="006727B0"/>
    <w:rsid w:val="0067307E"/>
    <w:rsid w:val="00686EC0"/>
    <w:rsid w:val="00687AD5"/>
    <w:rsid w:val="00691153"/>
    <w:rsid w:val="00695251"/>
    <w:rsid w:val="00695ADE"/>
    <w:rsid w:val="00695C0D"/>
    <w:rsid w:val="00696356"/>
    <w:rsid w:val="00696E18"/>
    <w:rsid w:val="006A1DAE"/>
    <w:rsid w:val="006A2C8E"/>
    <w:rsid w:val="006A72C6"/>
    <w:rsid w:val="006B02DA"/>
    <w:rsid w:val="006B077E"/>
    <w:rsid w:val="006B1FD1"/>
    <w:rsid w:val="006B2065"/>
    <w:rsid w:val="006B2F2B"/>
    <w:rsid w:val="006B3940"/>
    <w:rsid w:val="006B47D1"/>
    <w:rsid w:val="006C0411"/>
    <w:rsid w:val="006C168D"/>
    <w:rsid w:val="006C1D52"/>
    <w:rsid w:val="006C4E16"/>
    <w:rsid w:val="006C55C8"/>
    <w:rsid w:val="006C5E36"/>
    <w:rsid w:val="006C642C"/>
    <w:rsid w:val="006C6FC6"/>
    <w:rsid w:val="006D00D5"/>
    <w:rsid w:val="006E34B7"/>
    <w:rsid w:val="006F4CD8"/>
    <w:rsid w:val="006F7291"/>
    <w:rsid w:val="00701F44"/>
    <w:rsid w:val="00703E8A"/>
    <w:rsid w:val="00710335"/>
    <w:rsid w:val="00711522"/>
    <w:rsid w:val="007124FE"/>
    <w:rsid w:val="00713186"/>
    <w:rsid w:val="00713757"/>
    <w:rsid w:val="00717772"/>
    <w:rsid w:val="00721AF1"/>
    <w:rsid w:val="0072280F"/>
    <w:rsid w:val="00722B5E"/>
    <w:rsid w:val="0072708F"/>
    <w:rsid w:val="00730500"/>
    <w:rsid w:val="007328AB"/>
    <w:rsid w:val="00732D1D"/>
    <w:rsid w:val="00734B2B"/>
    <w:rsid w:val="0073600F"/>
    <w:rsid w:val="00736034"/>
    <w:rsid w:val="007362E0"/>
    <w:rsid w:val="00736479"/>
    <w:rsid w:val="0073681C"/>
    <w:rsid w:val="00741EBE"/>
    <w:rsid w:val="00746130"/>
    <w:rsid w:val="00746A40"/>
    <w:rsid w:val="00750358"/>
    <w:rsid w:val="007506E8"/>
    <w:rsid w:val="007513AC"/>
    <w:rsid w:val="00751763"/>
    <w:rsid w:val="00755CDF"/>
    <w:rsid w:val="00757A4C"/>
    <w:rsid w:val="00763925"/>
    <w:rsid w:val="00764A94"/>
    <w:rsid w:val="0076518F"/>
    <w:rsid w:val="007651E5"/>
    <w:rsid w:val="007670DC"/>
    <w:rsid w:val="0077111A"/>
    <w:rsid w:val="00772721"/>
    <w:rsid w:val="007756ED"/>
    <w:rsid w:val="0078105B"/>
    <w:rsid w:val="00783C07"/>
    <w:rsid w:val="007870FC"/>
    <w:rsid w:val="00787CD0"/>
    <w:rsid w:val="00791053"/>
    <w:rsid w:val="00791A3A"/>
    <w:rsid w:val="00791BB9"/>
    <w:rsid w:val="007936BA"/>
    <w:rsid w:val="00794196"/>
    <w:rsid w:val="00796EC9"/>
    <w:rsid w:val="00797637"/>
    <w:rsid w:val="007A3680"/>
    <w:rsid w:val="007A39AF"/>
    <w:rsid w:val="007A59B8"/>
    <w:rsid w:val="007A75F5"/>
    <w:rsid w:val="007B2862"/>
    <w:rsid w:val="007B662A"/>
    <w:rsid w:val="007C3469"/>
    <w:rsid w:val="007D1292"/>
    <w:rsid w:val="007D28C9"/>
    <w:rsid w:val="007D3AE5"/>
    <w:rsid w:val="007D3CC8"/>
    <w:rsid w:val="007D62F9"/>
    <w:rsid w:val="007D63A4"/>
    <w:rsid w:val="007E1AA2"/>
    <w:rsid w:val="007E2F72"/>
    <w:rsid w:val="007E303C"/>
    <w:rsid w:val="007E4C1F"/>
    <w:rsid w:val="007F0759"/>
    <w:rsid w:val="007F25C0"/>
    <w:rsid w:val="007F26D5"/>
    <w:rsid w:val="007F5F52"/>
    <w:rsid w:val="007F768B"/>
    <w:rsid w:val="007F77C6"/>
    <w:rsid w:val="008003A1"/>
    <w:rsid w:val="008006B7"/>
    <w:rsid w:val="00800FDB"/>
    <w:rsid w:val="00802081"/>
    <w:rsid w:val="0080315C"/>
    <w:rsid w:val="00806461"/>
    <w:rsid w:val="0081096D"/>
    <w:rsid w:val="00810EAD"/>
    <w:rsid w:val="00811833"/>
    <w:rsid w:val="008174D4"/>
    <w:rsid w:val="00820FE6"/>
    <w:rsid w:val="00821A66"/>
    <w:rsid w:val="00822476"/>
    <w:rsid w:val="00822882"/>
    <w:rsid w:val="00825F68"/>
    <w:rsid w:val="00826B12"/>
    <w:rsid w:val="00835408"/>
    <w:rsid w:val="00837CEF"/>
    <w:rsid w:val="00840035"/>
    <w:rsid w:val="008428A9"/>
    <w:rsid w:val="00844112"/>
    <w:rsid w:val="00844929"/>
    <w:rsid w:val="008456C9"/>
    <w:rsid w:val="0084611D"/>
    <w:rsid w:val="00850C62"/>
    <w:rsid w:val="00852E6D"/>
    <w:rsid w:val="00861D07"/>
    <w:rsid w:val="008620ED"/>
    <w:rsid w:val="00863011"/>
    <w:rsid w:val="00865075"/>
    <w:rsid w:val="008673EE"/>
    <w:rsid w:val="0086748F"/>
    <w:rsid w:val="0087034D"/>
    <w:rsid w:val="008712A3"/>
    <w:rsid w:val="00872CE4"/>
    <w:rsid w:val="008740FD"/>
    <w:rsid w:val="0087718C"/>
    <w:rsid w:val="00877B62"/>
    <w:rsid w:val="00881015"/>
    <w:rsid w:val="008810B0"/>
    <w:rsid w:val="008819B6"/>
    <w:rsid w:val="00881AAC"/>
    <w:rsid w:val="0088256A"/>
    <w:rsid w:val="008836B7"/>
    <w:rsid w:val="008841D3"/>
    <w:rsid w:val="00884359"/>
    <w:rsid w:val="00887DE6"/>
    <w:rsid w:val="00890172"/>
    <w:rsid w:val="008911D2"/>
    <w:rsid w:val="00893048"/>
    <w:rsid w:val="00894C2A"/>
    <w:rsid w:val="00896B65"/>
    <w:rsid w:val="008975BC"/>
    <w:rsid w:val="00897708"/>
    <w:rsid w:val="00897D88"/>
    <w:rsid w:val="00897E6F"/>
    <w:rsid w:val="008A2EC6"/>
    <w:rsid w:val="008A2F16"/>
    <w:rsid w:val="008A6D69"/>
    <w:rsid w:val="008B0A73"/>
    <w:rsid w:val="008B1823"/>
    <w:rsid w:val="008B2EAD"/>
    <w:rsid w:val="008B6226"/>
    <w:rsid w:val="008B6A4A"/>
    <w:rsid w:val="008B6E16"/>
    <w:rsid w:val="008B7110"/>
    <w:rsid w:val="008C2029"/>
    <w:rsid w:val="008C503E"/>
    <w:rsid w:val="008C50F5"/>
    <w:rsid w:val="008C61D6"/>
    <w:rsid w:val="008C64F1"/>
    <w:rsid w:val="008C761C"/>
    <w:rsid w:val="008D1BB0"/>
    <w:rsid w:val="008D20FF"/>
    <w:rsid w:val="008D36E4"/>
    <w:rsid w:val="008D3DE6"/>
    <w:rsid w:val="008D4223"/>
    <w:rsid w:val="008D44CC"/>
    <w:rsid w:val="008D46E3"/>
    <w:rsid w:val="008D49A6"/>
    <w:rsid w:val="008D52CA"/>
    <w:rsid w:val="008D6709"/>
    <w:rsid w:val="008D74B6"/>
    <w:rsid w:val="008E083A"/>
    <w:rsid w:val="008E2450"/>
    <w:rsid w:val="008E47DC"/>
    <w:rsid w:val="008E7896"/>
    <w:rsid w:val="008E7D2D"/>
    <w:rsid w:val="008F2477"/>
    <w:rsid w:val="008F623C"/>
    <w:rsid w:val="008F7815"/>
    <w:rsid w:val="00900F02"/>
    <w:rsid w:val="009010F0"/>
    <w:rsid w:val="00901162"/>
    <w:rsid w:val="0090223A"/>
    <w:rsid w:val="009028E2"/>
    <w:rsid w:val="00914EAB"/>
    <w:rsid w:val="00916E6C"/>
    <w:rsid w:val="00920F85"/>
    <w:rsid w:val="00922D49"/>
    <w:rsid w:val="0092502E"/>
    <w:rsid w:val="00925E37"/>
    <w:rsid w:val="00925EDD"/>
    <w:rsid w:val="00927D0E"/>
    <w:rsid w:val="009309DA"/>
    <w:rsid w:val="0093260B"/>
    <w:rsid w:val="00936688"/>
    <w:rsid w:val="00937CFA"/>
    <w:rsid w:val="009406B3"/>
    <w:rsid w:val="00943C27"/>
    <w:rsid w:val="00945CF5"/>
    <w:rsid w:val="009500A1"/>
    <w:rsid w:val="0095037E"/>
    <w:rsid w:val="00952AAD"/>
    <w:rsid w:val="00954567"/>
    <w:rsid w:val="00957466"/>
    <w:rsid w:val="0096260B"/>
    <w:rsid w:val="00962748"/>
    <w:rsid w:val="009664D5"/>
    <w:rsid w:val="00970C69"/>
    <w:rsid w:val="00971F1C"/>
    <w:rsid w:val="0097211D"/>
    <w:rsid w:val="00972E10"/>
    <w:rsid w:val="009746CA"/>
    <w:rsid w:val="00981963"/>
    <w:rsid w:val="00983C82"/>
    <w:rsid w:val="00984520"/>
    <w:rsid w:val="0098545C"/>
    <w:rsid w:val="00985BF7"/>
    <w:rsid w:val="00990071"/>
    <w:rsid w:val="00991EA9"/>
    <w:rsid w:val="00992BA2"/>
    <w:rsid w:val="00992F83"/>
    <w:rsid w:val="0099508A"/>
    <w:rsid w:val="009974EB"/>
    <w:rsid w:val="009A1126"/>
    <w:rsid w:val="009A5E42"/>
    <w:rsid w:val="009A781F"/>
    <w:rsid w:val="009B1584"/>
    <w:rsid w:val="009B21CA"/>
    <w:rsid w:val="009B2235"/>
    <w:rsid w:val="009B2648"/>
    <w:rsid w:val="009C03E5"/>
    <w:rsid w:val="009C3730"/>
    <w:rsid w:val="009C37BD"/>
    <w:rsid w:val="009C3AAC"/>
    <w:rsid w:val="009C3D84"/>
    <w:rsid w:val="009C4D19"/>
    <w:rsid w:val="009C5134"/>
    <w:rsid w:val="009C5FDB"/>
    <w:rsid w:val="009C693E"/>
    <w:rsid w:val="009C70CB"/>
    <w:rsid w:val="009D1EA4"/>
    <w:rsid w:val="009D27AA"/>
    <w:rsid w:val="009D4991"/>
    <w:rsid w:val="009D5BB5"/>
    <w:rsid w:val="009D696D"/>
    <w:rsid w:val="009D6DAB"/>
    <w:rsid w:val="009D6ED2"/>
    <w:rsid w:val="009E0F1A"/>
    <w:rsid w:val="009E140D"/>
    <w:rsid w:val="009E1E55"/>
    <w:rsid w:val="009E4465"/>
    <w:rsid w:val="009E6401"/>
    <w:rsid w:val="009E6C54"/>
    <w:rsid w:val="009E6D44"/>
    <w:rsid w:val="009F2A25"/>
    <w:rsid w:val="009F5235"/>
    <w:rsid w:val="009F531A"/>
    <w:rsid w:val="009F6550"/>
    <w:rsid w:val="009F786E"/>
    <w:rsid w:val="00A00902"/>
    <w:rsid w:val="00A039FF"/>
    <w:rsid w:val="00A05ACE"/>
    <w:rsid w:val="00A07117"/>
    <w:rsid w:val="00A14AE3"/>
    <w:rsid w:val="00A16675"/>
    <w:rsid w:val="00A22642"/>
    <w:rsid w:val="00A22CD6"/>
    <w:rsid w:val="00A22D4B"/>
    <w:rsid w:val="00A234EC"/>
    <w:rsid w:val="00A2417A"/>
    <w:rsid w:val="00A27804"/>
    <w:rsid w:val="00A3193E"/>
    <w:rsid w:val="00A32FDA"/>
    <w:rsid w:val="00A36AB5"/>
    <w:rsid w:val="00A37DDA"/>
    <w:rsid w:val="00A411D1"/>
    <w:rsid w:val="00A41566"/>
    <w:rsid w:val="00A43389"/>
    <w:rsid w:val="00A43C40"/>
    <w:rsid w:val="00A43E71"/>
    <w:rsid w:val="00A45753"/>
    <w:rsid w:val="00A47B15"/>
    <w:rsid w:val="00A47E47"/>
    <w:rsid w:val="00A52F84"/>
    <w:rsid w:val="00A53DD8"/>
    <w:rsid w:val="00A56AA4"/>
    <w:rsid w:val="00A56B05"/>
    <w:rsid w:val="00A57678"/>
    <w:rsid w:val="00A60E2F"/>
    <w:rsid w:val="00A63127"/>
    <w:rsid w:val="00A63284"/>
    <w:rsid w:val="00A64CB8"/>
    <w:rsid w:val="00A67018"/>
    <w:rsid w:val="00A672F3"/>
    <w:rsid w:val="00A673DC"/>
    <w:rsid w:val="00A7076E"/>
    <w:rsid w:val="00A709BE"/>
    <w:rsid w:val="00A70E23"/>
    <w:rsid w:val="00A70EAB"/>
    <w:rsid w:val="00A7162E"/>
    <w:rsid w:val="00A72D71"/>
    <w:rsid w:val="00A75705"/>
    <w:rsid w:val="00A7634D"/>
    <w:rsid w:val="00A77C69"/>
    <w:rsid w:val="00A83953"/>
    <w:rsid w:val="00A840C5"/>
    <w:rsid w:val="00A903B6"/>
    <w:rsid w:val="00A90F4F"/>
    <w:rsid w:val="00A947AA"/>
    <w:rsid w:val="00A96748"/>
    <w:rsid w:val="00A96FD9"/>
    <w:rsid w:val="00AA1B53"/>
    <w:rsid w:val="00AA3556"/>
    <w:rsid w:val="00AA35FD"/>
    <w:rsid w:val="00AA3DB7"/>
    <w:rsid w:val="00AA72C6"/>
    <w:rsid w:val="00AB2DFA"/>
    <w:rsid w:val="00AB3012"/>
    <w:rsid w:val="00AB321C"/>
    <w:rsid w:val="00AB3DEF"/>
    <w:rsid w:val="00AB42E2"/>
    <w:rsid w:val="00AB6221"/>
    <w:rsid w:val="00AB67DE"/>
    <w:rsid w:val="00AB688F"/>
    <w:rsid w:val="00AB75EA"/>
    <w:rsid w:val="00AB7AA2"/>
    <w:rsid w:val="00AC05F8"/>
    <w:rsid w:val="00AC4BC1"/>
    <w:rsid w:val="00AC588F"/>
    <w:rsid w:val="00AC5E4B"/>
    <w:rsid w:val="00AD04BD"/>
    <w:rsid w:val="00AD1A03"/>
    <w:rsid w:val="00AD7214"/>
    <w:rsid w:val="00AE1066"/>
    <w:rsid w:val="00AE19D8"/>
    <w:rsid w:val="00AE4518"/>
    <w:rsid w:val="00AE5D7F"/>
    <w:rsid w:val="00AE79F0"/>
    <w:rsid w:val="00AE7D44"/>
    <w:rsid w:val="00AF4FE7"/>
    <w:rsid w:val="00AF6EC1"/>
    <w:rsid w:val="00AF7CF5"/>
    <w:rsid w:val="00B00331"/>
    <w:rsid w:val="00B0116D"/>
    <w:rsid w:val="00B01A80"/>
    <w:rsid w:val="00B05412"/>
    <w:rsid w:val="00B07C27"/>
    <w:rsid w:val="00B10DE1"/>
    <w:rsid w:val="00B10FF8"/>
    <w:rsid w:val="00B111B9"/>
    <w:rsid w:val="00B136E9"/>
    <w:rsid w:val="00B203C4"/>
    <w:rsid w:val="00B22995"/>
    <w:rsid w:val="00B22A61"/>
    <w:rsid w:val="00B22E81"/>
    <w:rsid w:val="00B23996"/>
    <w:rsid w:val="00B23CB2"/>
    <w:rsid w:val="00B2561A"/>
    <w:rsid w:val="00B25A64"/>
    <w:rsid w:val="00B25BE8"/>
    <w:rsid w:val="00B32AB3"/>
    <w:rsid w:val="00B34E7C"/>
    <w:rsid w:val="00B368EA"/>
    <w:rsid w:val="00B37EEF"/>
    <w:rsid w:val="00B43FC2"/>
    <w:rsid w:val="00B47485"/>
    <w:rsid w:val="00B518C3"/>
    <w:rsid w:val="00B55185"/>
    <w:rsid w:val="00B55EA7"/>
    <w:rsid w:val="00B61923"/>
    <w:rsid w:val="00B621D6"/>
    <w:rsid w:val="00B62914"/>
    <w:rsid w:val="00B65D6F"/>
    <w:rsid w:val="00B67552"/>
    <w:rsid w:val="00B67C23"/>
    <w:rsid w:val="00B75735"/>
    <w:rsid w:val="00B76B0F"/>
    <w:rsid w:val="00B76BBB"/>
    <w:rsid w:val="00B77142"/>
    <w:rsid w:val="00B7766E"/>
    <w:rsid w:val="00B80A2C"/>
    <w:rsid w:val="00B81F60"/>
    <w:rsid w:val="00B83F8E"/>
    <w:rsid w:val="00B841AC"/>
    <w:rsid w:val="00B865B0"/>
    <w:rsid w:val="00B8760C"/>
    <w:rsid w:val="00B90780"/>
    <w:rsid w:val="00B918B8"/>
    <w:rsid w:val="00B9240D"/>
    <w:rsid w:val="00B94BB8"/>
    <w:rsid w:val="00B94C15"/>
    <w:rsid w:val="00B95E5A"/>
    <w:rsid w:val="00BA22A8"/>
    <w:rsid w:val="00BA3539"/>
    <w:rsid w:val="00BA3E48"/>
    <w:rsid w:val="00BB1EB3"/>
    <w:rsid w:val="00BB2678"/>
    <w:rsid w:val="00BC2343"/>
    <w:rsid w:val="00BC76D5"/>
    <w:rsid w:val="00BD18B8"/>
    <w:rsid w:val="00BD30C8"/>
    <w:rsid w:val="00BD3EB4"/>
    <w:rsid w:val="00BD5C65"/>
    <w:rsid w:val="00BE01CA"/>
    <w:rsid w:val="00BE6018"/>
    <w:rsid w:val="00BF1026"/>
    <w:rsid w:val="00BF1DD5"/>
    <w:rsid w:val="00BF1F57"/>
    <w:rsid w:val="00BF3EA0"/>
    <w:rsid w:val="00BF4086"/>
    <w:rsid w:val="00BF426C"/>
    <w:rsid w:val="00BF460D"/>
    <w:rsid w:val="00BF58D0"/>
    <w:rsid w:val="00BF7D6A"/>
    <w:rsid w:val="00C013E1"/>
    <w:rsid w:val="00C01611"/>
    <w:rsid w:val="00C01C01"/>
    <w:rsid w:val="00C02C6D"/>
    <w:rsid w:val="00C02D59"/>
    <w:rsid w:val="00C030B6"/>
    <w:rsid w:val="00C03284"/>
    <w:rsid w:val="00C04855"/>
    <w:rsid w:val="00C050D7"/>
    <w:rsid w:val="00C05B5F"/>
    <w:rsid w:val="00C104CC"/>
    <w:rsid w:val="00C130C1"/>
    <w:rsid w:val="00C152FE"/>
    <w:rsid w:val="00C16739"/>
    <w:rsid w:val="00C17C9B"/>
    <w:rsid w:val="00C22CCE"/>
    <w:rsid w:val="00C23BA2"/>
    <w:rsid w:val="00C25D0C"/>
    <w:rsid w:val="00C32AF2"/>
    <w:rsid w:val="00C33204"/>
    <w:rsid w:val="00C338EB"/>
    <w:rsid w:val="00C33E2E"/>
    <w:rsid w:val="00C3465D"/>
    <w:rsid w:val="00C379E9"/>
    <w:rsid w:val="00C37E98"/>
    <w:rsid w:val="00C42431"/>
    <w:rsid w:val="00C43324"/>
    <w:rsid w:val="00C439FB"/>
    <w:rsid w:val="00C43F23"/>
    <w:rsid w:val="00C4675D"/>
    <w:rsid w:val="00C50011"/>
    <w:rsid w:val="00C503D3"/>
    <w:rsid w:val="00C62509"/>
    <w:rsid w:val="00C645E6"/>
    <w:rsid w:val="00C64D82"/>
    <w:rsid w:val="00C64FBC"/>
    <w:rsid w:val="00C65A83"/>
    <w:rsid w:val="00C67DCB"/>
    <w:rsid w:val="00C736BB"/>
    <w:rsid w:val="00C737E8"/>
    <w:rsid w:val="00C80F23"/>
    <w:rsid w:val="00C81151"/>
    <w:rsid w:val="00C81746"/>
    <w:rsid w:val="00C82A96"/>
    <w:rsid w:val="00C82CC6"/>
    <w:rsid w:val="00C850A3"/>
    <w:rsid w:val="00C85C32"/>
    <w:rsid w:val="00C87568"/>
    <w:rsid w:val="00C87BB7"/>
    <w:rsid w:val="00C90DB6"/>
    <w:rsid w:val="00C9394F"/>
    <w:rsid w:val="00C93B1A"/>
    <w:rsid w:val="00C9504A"/>
    <w:rsid w:val="00C96275"/>
    <w:rsid w:val="00C96F5F"/>
    <w:rsid w:val="00CA178F"/>
    <w:rsid w:val="00CA3977"/>
    <w:rsid w:val="00CA4176"/>
    <w:rsid w:val="00CA5927"/>
    <w:rsid w:val="00CA79EC"/>
    <w:rsid w:val="00CB39C2"/>
    <w:rsid w:val="00CB44DE"/>
    <w:rsid w:val="00CB4C8C"/>
    <w:rsid w:val="00CB6782"/>
    <w:rsid w:val="00CB7629"/>
    <w:rsid w:val="00CC00EC"/>
    <w:rsid w:val="00CC080A"/>
    <w:rsid w:val="00CC3C04"/>
    <w:rsid w:val="00CE3C13"/>
    <w:rsid w:val="00CE4499"/>
    <w:rsid w:val="00CE5277"/>
    <w:rsid w:val="00CE6358"/>
    <w:rsid w:val="00CE7FC6"/>
    <w:rsid w:val="00CF0C6C"/>
    <w:rsid w:val="00CF2D54"/>
    <w:rsid w:val="00CF622A"/>
    <w:rsid w:val="00D01324"/>
    <w:rsid w:val="00D024C6"/>
    <w:rsid w:val="00D02BA5"/>
    <w:rsid w:val="00D03538"/>
    <w:rsid w:val="00D03B67"/>
    <w:rsid w:val="00D049B8"/>
    <w:rsid w:val="00D0516C"/>
    <w:rsid w:val="00D05EE7"/>
    <w:rsid w:val="00D06394"/>
    <w:rsid w:val="00D068D0"/>
    <w:rsid w:val="00D078D1"/>
    <w:rsid w:val="00D129A8"/>
    <w:rsid w:val="00D12FB9"/>
    <w:rsid w:val="00D13987"/>
    <w:rsid w:val="00D17C3A"/>
    <w:rsid w:val="00D200BD"/>
    <w:rsid w:val="00D22399"/>
    <w:rsid w:val="00D33751"/>
    <w:rsid w:val="00D36F6E"/>
    <w:rsid w:val="00D37343"/>
    <w:rsid w:val="00D4205E"/>
    <w:rsid w:val="00D565EC"/>
    <w:rsid w:val="00D61982"/>
    <w:rsid w:val="00D6226F"/>
    <w:rsid w:val="00D6267A"/>
    <w:rsid w:val="00D674CF"/>
    <w:rsid w:val="00D678DF"/>
    <w:rsid w:val="00D67D12"/>
    <w:rsid w:val="00D70923"/>
    <w:rsid w:val="00D74F09"/>
    <w:rsid w:val="00D754C0"/>
    <w:rsid w:val="00D75673"/>
    <w:rsid w:val="00D7585A"/>
    <w:rsid w:val="00D76D01"/>
    <w:rsid w:val="00D7728B"/>
    <w:rsid w:val="00D80618"/>
    <w:rsid w:val="00D82494"/>
    <w:rsid w:val="00D84A4B"/>
    <w:rsid w:val="00D85E13"/>
    <w:rsid w:val="00D863FA"/>
    <w:rsid w:val="00D8669F"/>
    <w:rsid w:val="00D92168"/>
    <w:rsid w:val="00D93CDD"/>
    <w:rsid w:val="00D940B5"/>
    <w:rsid w:val="00D95CB0"/>
    <w:rsid w:val="00D95D81"/>
    <w:rsid w:val="00D977C0"/>
    <w:rsid w:val="00DA00A3"/>
    <w:rsid w:val="00DA13F3"/>
    <w:rsid w:val="00DA27D4"/>
    <w:rsid w:val="00DA2DE3"/>
    <w:rsid w:val="00DA716A"/>
    <w:rsid w:val="00DB1841"/>
    <w:rsid w:val="00DB1F4F"/>
    <w:rsid w:val="00DB3360"/>
    <w:rsid w:val="00DB37EE"/>
    <w:rsid w:val="00DB4450"/>
    <w:rsid w:val="00DB7B69"/>
    <w:rsid w:val="00DC234A"/>
    <w:rsid w:val="00DC34E9"/>
    <w:rsid w:val="00DC41E4"/>
    <w:rsid w:val="00DC6697"/>
    <w:rsid w:val="00DC7C77"/>
    <w:rsid w:val="00DC7F19"/>
    <w:rsid w:val="00DD2809"/>
    <w:rsid w:val="00DD7EA2"/>
    <w:rsid w:val="00DE00F2"/>
    <w:rsid w:val="00DE07B4"/>
    <w:rsid w:val="00DE117F"/>
    <w:rsid w:val="00DE279B"/>
    <w:rsid w:val="00DE2B64"/>
    <w:rsid w:val="00DE401C"/>
    <w:rsid w:val="00DE4304"/>
    <w:rsid w:val="00DE6DF1"/>
    <w:rsid w:val="00DF0726"/>
    <w:rsid w:val="00DF4456"/>
    <w:rsid w:val="00DF63FA"/>
    <w:rsid w:val="00E012CC"/>
    <w:rsid w:val="00E02B71"/>
    <w:rsid w:val="00E02DEB"/>
    <w:rsid w:val="00E042A1"/>
    <w:rsid w:val="00E104FA"/>
    <w:rsid w:val="00E10506"/>
    <w:rsid w:val="00E1082A"/>
    <w:rsid w:val="00E11166"/>
    <w:rsid w:val="00E13182"/>
    <w:rsid w:val="00E13203"/>
    <w:rsid w:val="00E15383"/>
    <w:rsid w:val="00E1738C"/>
    <w:rsid w:val="00E202B6"/>
    <w:rsid w:val="00E22D28"/>
    <w:rsid w:val="00E230E3"/>
    <w:rsid w:val="00E30EDF"/>
    <w:rsid w:val="00E31FBA"/>
    <w:rsid w:val="00E36AAE"/>
    <w:rsid w:val="00E41773"/>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6B86"/>
    <w:rsid w:val="00E81AFF"/>
    <w:rsid w:val="00E82EB9"/>
    <w:rsid w:val="00E8342F"/>
    <w:rsid w:val="00E847A7"/>
    <w:rsid w:val="00E87C2F"/>
    <w:rsid w:val="00E906B4"/>
    <w:rsid w:val="00E9095B"/>
    <w:rsid w:val="00E90CF1"/>
    <w:rsid w:val="00E9399B"/>
    <w:rsid w:val="00E94008"/>
    <w:rsid w:val="00E94762"/>
    <w:rsid w:val="00E94AA2"/>
    <w:rsid w:val="00E96B52"/>
    <w:rsid w:val="00EA2244"/>
    <w:rsid w:val="00EA411E"/>
    <w:rsid w:val="00EA5FC0"/>
    <w:rsid w:val="00EA6FA7"/>
    <w:rsid w:val="00EB067F"/>
    <w:rsid w:val="00EB16A0"/>
    <w:rsid w:val="00EB1F02"/>
    <w:rsid w:val="00EB51FD"/>
    <w:rsid w:val="00EB5BC5"/>
    <w:rsid w:val="00EB72C1"/>
    <w:rsid w:val="00EC086C"/>
    <w:rsid w:val="00EC42D0"/>
    <w:rsid w:val="00EC4BA3"/>
    <w:rsid w:val="00EC5CE6"/>
    <w:rsid w:val="00EC638F"/>
    <w:rsid w:val="00EE2ACE"/>
    <w:rsid w:val="00EE4874"/>
    <w:rsid w:val="00EE79A6"/>
    <w:rsid w:val="00EE7FB4"/>
    <w:rsid w:val="00EF0D26"/>
    <w:rsid w:val="00EF0D86"/>
    <w:rsid w:val="00EF22FE"/>
    <w:rsid w:val="00EF76AC"/>
    <w:rsid w:val="00EF7C29"/>
    <w:rsid w:val="00F005A0"/>
    <w:rsid w:val="00F01D97"/>
    <w:rsid w:val="00F02435"/>
    <w:rsid w:val="00F0542C"/>
    <w:rsid w:val="00F058BE"/>
    <w:rsid w:val="00F077D2"/>
    <w:rsid w:val="00F11352"/>
    <w:rsid w:val="00F13FCD"/>
    <w:rsid w:val="00F1498D"/>
    <w:rsid w:val="00F14D34"/>
    <w:rsid w:val="00F14DDF"/>
    <w:rsid w:val="00F152AD"/>
    <w:rsid w:val="00F154A8"/>
    <w:rsid w:val="00F158FF"/>
    <w:rsid w:val="00F16CF0"/>
    <w:rsid w:val="00F20BE9"/>
    <w:rsid w:val="00F2285F"/>
    <w:rsid w:val="00F22F00"/>
    <w:rsid w:val="00F23155"/>
    <w:rsid w:val="00F23F0E"/>
    <w:rsid w:val="00F24E0E"/>
    <w:rsid w:val="00F26693"/>
    <w:rsid w:val="00F36130"/>
    <w:rsid w:val="00F40444"/>
    <w:rsid w:val="00F40868"/>
    <w:rsid w:val="00F423BD"/>
    <w:rsid w:val="00F432FF"/>
    <w:rsid w:val="00F4715C"/>
    <w:rsid w:val="00F5013F"/>
    <w:rsid w:val="00F50707"/>
    <w:rsid w:val="00F54869"/>
    <w:rsid w:val="00F556B2"/>
    <w:rsid w:val="00F57187"/>
    <w:rsid w:val="00F574E5"/>
    <w:rsid w:val="00F5754B"/>
    <w:rsid w:val="00F576DE"/>
    <w:rsid w:val="00F63BF7"/>
    <w:rsid w:val="00F65617"/>
    <w:rsid w:val="00F70316"/>
    <w:rsid w:val="00F710BE"/>
    <w:rsid w:val="00F72CEF"/>
    <w:rsid w:val="00F736D2"/>
    <w:rsid w:val="00F7564C"/>
    <w:rsid w:val="00F76220"/>
    <w:rsid w:val="00F769BE"/>
    <w:rsid w:val="00F82E6B"/>
    <w:rsid w:val="00F93C09"/>
    <w:rsid w:val="00F951CF"/>
    <w:rsid w:val="00F97B71"/>
    <w:rsid w:val="00FA1925"/>
    <w:rsid w:val="00FA2DDA"/>
    <w:rsid w:val="00FA34CA"/>
    <w:rsid w:val="00FA3CC8"/>
    <w:rsid w:val="00FA4A55"/>
    <w:rsid w:val="00FA4D4F"/>
    <w:rsid w:val="00FA54E8"/>
    <w:rsid w:val="00FA5CA2"/>
    <w:rsid w:val="00FA6052"/>
    <w:rsid w:val="00FB0D88"/>
    <w:rsid w:val="00FB2D17"/>
    <w:rsid w:val="00FB2F69"/>
    <w:rsid w:val="00FB39F7"/>
    <w:rsid w:val="00FB3BCA"/>
    <w:rsid w:val="00FB45FF"/>
    <w:rsid w:val="00FB47E0"/>
    <w:rsid w:val="00FB56F5"/>
    <w:rsid w:val="00FB5D97"/>
    <w:rsid w:val="00FB7363"/>
    <w:rsid w:val="00FC1CA5"/>
    <w:rsid w:val="00FC2979"/>
    <w:rsid w:val="00FC45F4"/>
    <w:rsid w:val="00FC55D1"/>
    <w:rsid w:val="00FD1C3C"/>
    <w:rsid w:val="00FD3532"/>
    <w:rsid w:val="00FD38A8"/>
    <w:rsid w:val="00FD6AC8"/>
    <w:rsid w:val="00FD7298"/>
    <w:rsid w:val="00FE308B"/>
    <w:rsid w:val="00FE3EA1"/>
    <w:rsid w:val="00FE4818"/>
    <w:rsid w:val="00FE5D80"/>
    <w:rsid w:val="00FF665B"/>
    <w:rsid w:val="00FF6ADB"/>
    <w:rsid w:val="00FF70FD"/>
    <w:rsid w:val="00FF7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5D15D1A8-6B0E-42DE-A4EA-76784EEA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link w:val="2Char"/>
    <w:uiPriority w:val="9"/>
    <w:qFormat/>
    <w:rsid w:val="00EB72C1"/>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locked/>
    <w:rsid w:val="00A7634D"/>
    <w:rPr>
      <w:rFonts w:cs="Times New Roman"/>
      <w:b/>
      <w:bCs/>
      <w:kern w:val="44"/>
      <w:sz w:val="44"/>
      <w:szCs w:val="44"/>
    </w:rPr>
  </w:style>
  <w:style w:type="character" w:customStyle="1" w:styleId="2Char">
    <w:name w:val="标题 2 Char"/>
    <w:link w:val="2"/>
    <w:uiPriority w:val="9"/>
    <w:semiHidden/>
    <w:rsid w:val="00525D36"/>
    <w:rPr>
      <w:rFonts w:ascii="Cambria" w:eastAsia="宋体" w:hAnsi="Cambria" w:cs="Times New Roman"/>
      <w:b/>
      <w:bCs/>
      <w:sz w:val="32"/>
      <w:szCs w:val="32"/>
    </w:rPr>
  </w:style>
  <w:style w:type="paragraph" w:styleId="a0">
    <w:name w:val="Normal Indent"/>
    <w:basedOn w:val="a"/>
    <w:uiPriority w:val="99"/>
    <w:rsid w:val="00EB72C1"/>
    <w:pPr>
      <w:ind w:firstLineChars="200" w:firstLine="420"/>
    </w:pPr>
  </w:style>
  <w:style w:type="paragraph" w:styleId="a4">
    <w:name w:val="Body Text Indent"/>
    <w:basedOn w:val="a"/>
    <w:link w:val="Char"/>
    <w:uiPriority w:val="99"/>
    <w:rsid w:val="00EB72C1"/>
    <w:pPr>
      <w:widowControl/>
      <w:spacing w:before="100" w:beforeAutospacing="1" w:after="100" w:afterAutospacing="1"/>
      <w:jc w:val="left"/>
    </w:pPr>
    <w:rPr>
      <w:kern w:val="0"/>
      <w:sz w:val="20"/>
    </w:rPr>
  </w:style>
  <w:style w:type="character" w:customStyle="1" w:styleId="Char">
    <w:name w:val="正文文本缩进 Char"/>
    <w:link w:val="a4"/>
    <w:uiPriority w:val="99"/>
    <w:semiHidden/>
    <w:rsid w:val="00525D36"/>
    <w:rPr>
      <w:szCs w:val="24"/>
    </w:rPr>
  </w:style>
  <w:style w:type="paragraph" w:styleId="a5">
    <w:name w:val="Plain Text"/>
    <w:basedOn w:val="a"/>
    <w:link w:val="Char0"/>
    <w:uiPriority w:val="99"/>
    <w:rsid w:val="00EB72C1"/>
    <w:rPr>
      <w:rFonts w:ascii="宋体" w:hAnsi="Courier New"/>
      <w:szCs w:val="20"/>
    </w:rPr>
  </w:style>
  <w:style w:type="character" w:customStyle="1" w:styleId="Char0">
    <w:name w:val="纯文本 Char"/>
    <w:link w:val="a5"/>
    <w:uiPriority w:val="99"/>
    <w:locked/>
    <w:rsid w:val="00A96FD9"/>
    <w:rPr>
      <w:rFonts w:ascii="宋体" w:hAnsi="Courier New"/>
      <w:kern w:val="2"/>
      <w:sz w:val="21"/>
    </w:rPr>
  </w:style>
  <w:style w:type="paragraph" w:styleId="20">
    <w:name w:val="Body Text Indent 2"/>
    <w:basedOn w:val="a"/>
    <w:link w:val="2Char0"/>
    <w:uiPriority w:val="99"/>
    <w:rsid w:val="00EB72C1"/>
    <w:pPr>
      <w:spacing w:line="560" w:lineRule="exact"/>
      <w:ind w:firstLineChars="200" w:firstLine="480"/>
    </w:pPr>
    <w:rPr>
      <w:kern w:val="0"/>
      <w:sz w:val="20"/>
    </w:rPr>
  </w:style>
  <w:style w:type="character" w:customStyle="1" w:styleId="2Char0">
    <w:name w:val="正文文本缩进 2 Char"/>
    <w:link w:val="20"/>
    <w:uiPriority w:val="99"/>
    <w:semiHidden/>
    <w:rsid w:val="00525D36"/>
    <w:rPr>
      <w:szCs w:val="24"/>
    </w:rPr>
  </w:style>
  <w:style w:type="paragraph" w:styleId="a6">
    <w:name w:val="footer"/>
    <w:basedOn w:val="a"/>
    <w:link w:val="Char1"/>
    <w:uiPriority w:val="99"/>
    <w:rsid w:val="00EB72C1"/>
    <w:pPr>
      <w:tabs>
        <w:tab w:val="center" w:pos="4153"/>
        <w:tab w:val="right" w:pos="8306"/>
      </w:tabs>
      <w:snapToGrid w:val="0"/>
      <w:jc w:val="left"/>
    </w:pPr>
    <w:rPr>
      <w:kern w:val="0"/>
      <w:sz w:val="18"/>
      <w:szCs w:val="18"/>
    </w:rPr>
  </w:style>
  <w:style w:type="character" w:customStyle="1" w:styleId="Char1">
    <w:name w:val="页脚 Char"/>
    <w:link w:val="a6"/>
    <w:uiPriority w:val="99"/>
    <w:semiHidden/>
    <w:rsid w:val="00525D36"/>
    <w:rPr>
      <w:sz w:val="18"/>
      <w:szCs w:val="18"/>
    </w:rPr>
  </w:style>
  <w:style w:type="character" w:styleId="a7">
    <w:name w:val="page number"/>
    <w:uiPriority w:val="99"/>
    <w:rsid w:val="00EB72C1"/>
    <w:rPr>
      <w:rFonts w:cs="Times New Roman"/>
    </w:rPr>
  </w:style>
  <w:style w:type="character" w:styleId="a8">
    <w:name w:val="Hyperlink"/>
    <w:uiPriority w:val="99"/>
    <w:rsid w:val="00EB72C1"/>
    <w:rPr>
      <w:rFonts w:cs="Times New Roman"/>
      <w:color w:val="0000FF"/>
      <w:u w:val="single"/>
    </w:rPr>
  </w:style>
  <w:style w:type="paragraph" w:styleId="3">
    <w:name w:val="Body Text Indent 3"/>
    <w:basedOn w:val="a"/>
    <w:link w:val="3Char"/>
    <w:uiPriority w:val="99"/>
    <w:rsid w:val="00EB72C1"/>
    <w:pPr>
      <w:spacing w:line="560" w:lineRule="exact"/>
      <w:ind w:firstLineChars="200" w:firstLine="420"/>
    </w:pPr>
    <w:rPr>
      <w:kern w:val="0"/>
      <w:sz w:val="16"/>
      <w:szCs w:val="16"/>
    </w:rPr>
  </w:style>
  <w:style w:type="character" w:customStyle="1" w:styleId="3Char">
    <w:name w:val="正文文本缩进 3 Char"/>
    <w:link w:val="3"/>
    <w:uiPriority w:val="99"/>
    <w:semiHidden/>
    <w:rsid w:val="00525D36"/>
    <w:rPr>
      <w:sz w:val="16"/>
      <w:szCs w:val="16"/>
    </w:rPr>
  </w:style>
  <w:style w:type="paragraph" w:styleId="a9">
    <w:name w:val="header"/>
    <w:basedOn w:val="a"/>
    <w:link w:val="Char2"/>
    <w:uiPriority w:val="99"/>
    <w:rsid w:val="00EB72C1"/>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D1356"/>
    <w:rPr>
      <w:rFonts w:cs="Times New Roman"/>
      <w:kern w:val="2"/>
      <w:sz w:val="18"/>
      <w:szCs w:val="18"/>
    </w:rPr>
  </w:style>
  <w:style w:type="character" w:styleId="aa">
    <w:name w:val="FollowedHyperlink"/>
    <w:uiPriority w:val="99"/>
    <w:rsid w:val="00EB72C1"/>
    <w:rPr>
      <w:rFonts w:cs="Times New Roman"/>
      <w:color w:val="800080"/>
      <w:u w:val="single"/>
    </w:rPr>
  </w:style>
  <w:style w:type="paragraph" w:styleId="ab">
    <w:name w:val="List"/>
    <w:basedOn w:val="ac"/>
    <w:uiPriority w:val="99"/>
    <w:rsid w:val="00EB72C1"/>
    <w:pPr>
      <w:spacing w:after="220" w:line="220" w:lineRule="atLeast"/>
      <w:ind w:left="1440" w:hanging="360"/>
    </w:pPr>
    <w:rPr>
      <w:szCs w:val="20"/>
    </w:rPr>
  </w:style>
  <w:style w:type="paragraph" w:styleId="ac">
    <w:name w:val="Body Text"/>
    <w:basedOn w:val="a"/>
    <w:link w:val="Char3"/>
    <w:uiPriority w:val="99"/>
    <w:rsid w:val="00EB72C1"/>
    <w:pPr>
      <w:spacing w:after="120"/>
    </w:pPr>
    <w:rPr>
      <w:kern w:val="0"/>
      <w:sz w:val="20"/>
    </w:rPr>
  </w:style>
  <w:style w:type="character" w:customStyle="1" w:styleId="Char3">
    <w:name w:val="正文文本 Char"/>
    <w:link w:val="ac"/>
    <w:uiPriority w:val="99"/>
    <w:semiHidden/>
    <w:rsid w:val="00525D36"/>
    <w:rPr>
      <w:szCs w:val="24"/>
    </w:rPr>
  </w:style>
  <w:style w:type="paragraph" w:styleId="ad">
    <w:name w:val="Date"/>
    <w:basedOn w:val="a"/>
    <w:next w:val="a"/>
    <w:link w:val="Char4"/>
    <w:rsid w:val="00EB72C1"/>
    <w:rPr>
      <w:sz w:val="24"/>
      <w:szCs w:val="20"/>
    </w:rPr>
  </w:style>
  <w:style w:type="character" w:customStyle="1" w:styleId="Char4">
    <w:name w:val="日期 Char"/>
    <w:link w:val="ad"/>
    <w:locked/>
    <w:rsid w:val="00C503D3"/>
    <w:rPr>
      <w:rFonts w:cs="Times New Roman"/>
      <w:kern w:val="2"/>
      <w:sz w:val="24"/>
    </w:rPr>
  </w:style>
  <w:style w:type="character" w:customStyle="1" w:styleId="c1">
    <w:name w:val="c1"/>
    <w:uiPriority w:val="99"/>
    <w:rsid w:val="00EB72C1"/>
    <w:rPr>
      <w:color w:val="000000"/>
      <w:sz w:val="18"/>
    </w:rPr>
  </w:style>
  <w:style w:type="paragraph" w:styleId="10">
    <w:name w:val="index 1"/>
    <w:basedOn w:val="a"/>
    <w:next w:val="a"/>
    <w:autoRedefine/>
    <w:uiPriority w:val="99"/>
    <w:semiHidden/>
    <w:rsid w:val="00EB72C1"/>
    <w:pPr>
      <w:jc w:val="right"/>
    </w:pPr>
    <w:rPr>
      <w:color w:val="008000"/>
    </w:rPr>
  </w:style>
  <w:style w:type="paragraph" w:customStyle="1" w:styleId="font5">
    <w:name w:val="font5"/>
    <w:basedOn w:val="a"/>
    <w:uiPriority w:val="99"/>
    <w:rsid w:val="00EB72C1"/>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EB72C1"/>
    <w:rPr>
      <w:kern w:val="0"/>
      <w:sz w:val="0"/>
      <w:szCs w:val="0"/>
    </w:rPr>
  </w:style>
  <w:style w:type="character" w:customStyle="1" w:styleId="Char5">
    <w:name w:val="批注框文本 Char"/>
    <w:link w:val="ae"/>
    <w:uiPriority w:val="99"/>
    <w:semiHidden/>
    <w:rsid w:val="00525D36"/>
    <w:rPr>
      <w:sz w:val="0"/>
      <w:szCs w:val="0"/>
    </w:rPr>
  </w:style>
  <w:style w:type="character" w:styleId="af">
    <w:name w:val="annotation reference"/>
    <w:uiPriority w:val="99"/>
    <w:semiHidden/>
    <w:rsid w:val="00EB72C1"/>
    <w:rPr>
      <w:rFonts w:cs="Times New Roman"/>
      <w:sz w:val="21"/>
    </w:rPr>
  </w:style>
  <w:style w:type="paragraph" w:styleId="af0">
    <w:name w:val="annotation text"/>
    <w:basedOn w:val="a"/>
    <w:link w:val="Char6"/>
    <w:uiPriority w:val="99"/>
    <w:semiHidden/>
    <w:rsid w:val="00EB72C1"/>
    <w:pPr>
      <w:jc w:val="left"/>
    </w:pPr>
    <w:rPr>
      <w:kern w:val="0"/>
      <w:sz w:val="20"/>
    </w:rPr>
  </w:style>
  <w:style w:type="character" w:customStyle="1" w:styleId="Char6">
    <w:name w:val="批注文字 Char"/>
    <w:link w:val="af0"/>
    <w:uiPriority w:val="99"/>
    <w:semiHidden/>
    <w:rsid w:val="00525D36"/>
    <w:rPr>
      <w:szCs w:val="24"/>
    </w:rPr>
  </w:style>
  <w:style w:type="paragraph" w:styleId="af1">
    <w:name w:val="annotation subject"/>
    <w:basedOn w:val="af0"/>
    <w:next w:val="af0"/>
    <w:link w:val="Char7"/>
    <w:uiPriority w:val="99"/>
    <w:semiHidden/>
    <w:rsid w:val="00EB72C1"/>
    <w:rPr>
      <w:b/>
      <w:bCs/>
    </w:rPr>
  </w:style>
  <w:style w:type="character" w:customStyle="1" w:styleId="Char7">
    <w:name w:val="批注主题 Char"/>
    <w:link w:val="af1"/>
    <w:uiPriority w:val="99"/>
    <w:semiHidden/>
    <w:rsid w:val="00525D36"/>
    <w:rPr>
      <w:b/>
      <w:bCs/>
      <w:szCs w:val="24"/>
    </w:rPr>
  </w:style>
  <w:style w:type="paragraph" w:customStyle="1" w:styleId="Char8">
    <w:name w:val="Char"/>
    <w:basedOn w:val="a"/>
    <w:uiPriority w:val="99"/>
    <w:rsid w:val="00EB72C1"/>
  </w:style>
  <w:style w:type="paragraph" w:styleId="af2">
    <w:name w:val="Document Map"/>
    <w:basedOn w:val="a"/>
    <w:link w:val="Char9"/>
    <w:uiPriority w:val="99"/>
    <w:semiHidden/>
    <w:rsid w:val="000A549A"/>
    <w:pPr>
      <w:shd w:val="clear" w:color="auto" w:fill="000080"/>
    </w:pPr>
    <w:rPr>
      <w:kern w:val="0"/>
      <w:sz w:val="0"/>
      <w:szCs w:val="0"/>
    </w:rPr>
  </w:style>
  <w:style w:type="character" w:customStyle="1" w:styleId="Char9">
    <w:name w:val="文档结构图 Char"/>
    <w:link w:val="af2"/>
    <w:uiPriority w:val="99"/>
    <w:semiHidden/>
    <w:rsid w:val="00525D36"/>
    <w:rPr>
      <w:sz w:val="0"/>
      <w:szCs w:val="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kern w:val="0"/>
      <w:sz w:val="18"/>
      <w:szCs w:val="18"/>
    </w:rPr>
  </w:style>
  <w:style w:type="character" w:customStyle="1" w:styleId="Chara">
    <w:name w:val="脚注文本 Char"/>
    <w:link w:val="af4"/>
    <w:uiPriority w:val="99"/>
    <w:semiHidden/>
    <w:rsid w:val="00525D36"/>
    <w:rPr>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character" w:styleId="af8">
    <w:name w:val="Strong"/>
    <w:uiPriority w:val="22"/>
    <w:qFormat/>
    <w:locked/>
    <w:rsid w:val="00DF4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796064">
      <w:marLeft w:val="0"/>
      <w:marRight w:val="0"/>
      <w:marTop w:val="0"/>
      <w:marBottom w:val="0"/>
      <w:divBdr>
        <w:top w:val="none" w:sz="0" w:space="0" w:color="auto"/>
        <w:left w:val="none" w:sz="0" w:space="0" w:color="auto"/>
        <w:bottom w:val="none" w:sz="0" w:space="0" w:color="auto"/>
        <w:right w:val="none" w:sz="0" w:space="0" w:color="auto"/>
      </w:divBdr>
    </w:div>
    <w:div w:id="886796065">
      <w:marLeft w:val="0"/>
      <w:marRight w:val="0"/>
      <w:marTop w:val="0"/>
      <w:marBottom w:val="0"/>
      <w:divBdr>
        <w:top w:val="none" w:sz="0" w:space="0" w:color="auto"/>
        <w:left w:val="none" w:sz="0" w:space="0" w:color="auto"/>
        <w:bottom w:val="none" w:sz="0" w:space="0" w:color="auto"/>
        <w:right w:val="none" w:sz="0" w:space="0" w:color="auto"/>
      </w:divBdr>
    </w:div>
    <w:div w:id="886796066">
      <w:marLeft w:val="0"/>
      <w:marRight w:val="0"/>
      <w:marTop w:val="0"/>
      <w:marBottom w:val="0"/>
      <w:divBdr>
        <w:top w:val="none" w:sz="0" w:space="0" w:color="auto"/>
        <w:left w:val="none" w:sz="0" w:space="0" w:color="auto"/>
        <w:bottom w:val="none" w:sz="0" w:space="0" w:color="auto"/>
        <w:right w:val="none" w:sz="0" w:space="0" w:color="auto"/>
      </w:divBdr>
    </w:div>
    <w:div w:id="886796067">
      <w:marLeft w:val="0"/>
      <w:marRight w:val="0"/>
      <w:marTop w:val="0"/>
      <w:marBottom w:val="0"/>
      <w:divBdr>
        <w:top w:val="none" w:sz="0" w:space="0" w:color="auto"/>
        <w:left w:val="none" w:sz="0" w:space="0" w:color="auto"/>
        <w:bottom w:val="none" w:sz="0" w:space="0" w:color="auto"/>
        <w:right w:val="none" w:sz="0" w:space="0" w:color="auto"/>
      </w:divBdr>
    </w:div>
    <w:div w:id="886796068">
      <w:marLeft w:val="0"/>
      <w:marRight w:val="0"/>
      <w:marTop w:val="0"/>
      <w:marBottom w:val="0"/>
      <w:divBdr>
        <w:top w:val="none" w:sz="0" w:space="0" w:color="auto"/>
        <w:left w:val="none" w:sz="0" w:space="0" w:color="auto"/>
        <w:bottom w:val="none" w:sz="0" w:space="0" w:color="auto"/>
        <w:right w:val="none" w:sz="0" w:space="0" w:color="auto"/>
      </w:divBdr>
    </w:div>
    <w:div w:id="886796069">
      <w:marLeft w:val="0"/>
      <w:marRight w:val="0"/>
      <w:marTop w:val="0"/>
      <w:marBottom w:val="0"/>
      <w:divBdr>
        <w:top w:val="none" w:sz="0" w:space="0" w:color="auto"/>
        <w:left w:val="none" w:sz="0" w:space="0" w:color="auto"/>
        <w:bottom w:val="none" w:sz="0" w:space="0" w:color="auto"/>
        <w:right w:val="none" w:sz="0" w:space="0" w:color="auto"/>
      </w:divBdr>
    </w:div>
    <w:div w:id="886796070">
      <w:marLeft w:val="0"/>
      <w:marRight w:val="0"/>
      <w:marTop w:val="0"/>
      <w:marBottom w:val="0"/>
      <w:divBdr>
        <w:top w:val="none" w:sz="0" w:space="0" w:color="auto"/>
        <w:left w:val="none" w:sz="0" w:space="0" w:color="auto"/>
        <w:bottom w:val="none" w:sz="0" w:space="0" w:color="auto"/>
        <w:right w:val="none" w:sz="0" w:space="0" w:color="auto"/>
      </w:divBdr>
    </w:div>
    <w:div w:id="886796072">
      <w:marLeft w:val="0"/>
      <w:marRight w:val="0"/>
      <w:marTop w:val="0"/>
      <w:marBottom w:val="0"/>
      <w:divBdr>
        <w:top w:val="none" w:sz="0" w:space="0" w:color="auto"/>
        <w:left w:val="none" w:sz="0" w:space="0" w:color="auto"/>
        <w:bottom w:val="none" w:sz="0" w:space="0" w:color="auto"/>
        <w:right w:val="none" w:sz="0" w:space="0" w:color="auto"/>
      </w:divBdr>
    </w:div>
    <w:div w:id="886796073">
      <w:marLeft w:val="0"/>
      <w:marRight w:val="0"/>
      <w:marTop w:val="0"/>
      <w:marBottom w:val="0"/>
      <w:divBdr>
        <w:top w:val="none" w:sz="0" w:space="0" w:color="auto"/>
        <w:left w:val="none" w:sz="0" w:space="0" w:color="auto"/>
        <w:bottom w:val="none" w:sz="0" w:space="0" w:color="auto"/>
        <w:right w:val="none" w:sz="0" w:space="0" w:color="auto"/>
      </w:divBdr>
      <w:divsChild>
        <w:div w:id="886796071">
          <w:marLeft w:val="0"/>
          <w:marRight w:val="0"/>
          <w:marTop w:val="0"/>
          <w:marBottom w:val="0"/>
          <w:divBdr>
            <w:top w:val="none" w:sz="0" w:space="0" w:color="auto"/>
            <w:left w:val="none" w:sz="0" w:space="0" w:color="auto"/>
            <w:bottom w:val="none" w:sz="0" w:space="0" w:color="auto"/>
            <w:right w:val="none" w:sz="0" w:space="0" w:color="auto"/>
          </w:divBdr>
        </w:div>
      </w:divsChild>
    </w:div>
    <w:div w:id="886796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73</TotalTime>
  <Pages>3</Pages>
  <Words>1451</Words>
  <Characters>8272</Characters>
  <Application>Microsoft Office Word</Application>
  <DocSecurity>0</DocSecurity>
  <Lines>68</Lines>
  <Paragraphs>19</Paragraphs>
  <ScaleCrop>false</ScaleCrop>
  <Company>TRT. Ltd. Co.</Company>
  <LinksUpToDate>false</LinksUpToDate>
  <CharactersWithSpaces>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114</cp:revision>
  <cp:lastPrinted>2019-10-16T13:57:00Z</cp:lastPrinted>
  <dcterms:created xsi:type="dcterms:W3CDTF">2013-08-01T05:26:00Z</dcterms:created>
  <dcterms:modified xsi:type="dcterms:W3CDTF">2019-10-16T13:57:00Z</dcterms:modified>
</cp:coreProperties>
</file>