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易方达中证500交易型开放式指数证券投资基金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276629" w:rsidRDefault="00120A5D">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276629" w:rsidRDefault="00120A5D">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276629" w:rsidRDefault="00120A5D">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276629" w:rsidRDefault="00120A5D">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276629" w:rsidRDefault="00120A5D">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易方达中证</w:t>
            </w:r>
            <w:r w:rsidRPr="00232B03">
              <w:rPr>
                <w:color w:val="000000"/>
                <w:kern w:val="0"/>
                <w:sz w:val="24"/>
                <w:szCs w:val="24"/>
              </w:rPr>
              <w:t>500ETF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ZZ500ETF</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510580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510580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r w:rsidRPr="00232B03">
              <w:rPr>
                <w:color w:val="000000"/>
                <w:kern w:val="0"/>
                <w:sz w:val="24"/>
                <w:szCs w:val="24"/>
              </w:rPr>
              <w:t>ETF</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8</w:t>
            </w:r>
            <w:r w:rsidRPr="00232B03">
              <w:rPr>
                <w:color w:val="000000"/>
                <w:kern w:val="0"/>
                <w:sz w:val="24"/>
                <w:szCs w:val="24"/>
              </w:rPr>
              <w:t>月</w:t>
            </w:r>
            <w:r w:rsidRPr="00232B03">
              <w:rPr>
                <w:color w:val="000000"/>
                <w:kern w:val="0"/>
                <w:sz w:val="24"/>
                <w:szCs w:val="24"/>
              </w:rPr>
              <w:t>27</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191,029,797.00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紧密跟踪标的指数，追求跟踪偏离度和跟踪误差的最小化。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本基金主要采取完全复制法，即完全按照标的指数的成份股组成及其权重构建基金股票投资组合，并根据标的指数成份股及其权重的变动进行相应调整。但在因特殊情形导致基金无法完全投资于标的</w:t>
            </w:r>
            <w:r w:rsidRPr="00232B03">
              <w:rPr>
                <w:color w:val="000000"/>
                <w:kern w:val="0"/>
                <w:sz w:val="24"/>
                <w:szCs w:val="24"/>
              </w:rPr>
              <w:lastRenderedPageBreak/>
              <w:t>指数成份股时，基金管理人可采取其他指数投资技术适当调整基金投资组合，以达到紧密跟踪标的指数的目的。本基金可投资股指期货和其他经中国证监会允许的衍生金融产品。本基金投资股指期货将根据风险管理的原则，以套期保值为目的，主要选择流动性好、交易活跃的股指期货合约。在正常市场情况下，本基金力争日均跟踪偏离度的绝对值不超过</w:t>
            </w:r>
            <w:r w:rsidRPr="00232B03">
              <w:rPr>
                <w:color w:val="000000"/>
                <w:kern w:val="0"/>
                <w:sz w:val="24"/>
                <w:szCs w:val="24"/>
              </w:rPr>
              <w:t>0.2%</w:t>
            </w:r>
            <w:r w:rsidRPr="00232B03">
              <w:rPr>
                <w:color w:val="000000"/>
                <w:kern w:val="0"/>
                <w:sz w:val="24"/>
                <w:szCs w:val="24"/>
              </w:rPr>
              <w:t>，年化跟踪误差不超过</w:t>
            </w:r>
            <w:r w:rsidRPr="00232B03">
              <w:rPr>
                <w:color w:val="000000"/>
                <w:kern w:val="0"/>
                <w:sz w:val="24"/>
                <w:szCs w:val="24"/>
              </w:rPr>
              <w:t>2%</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w:t>
            </w:r>
            <w:r w:rsidRPr="00232B03">
              <w:rPr>
                <w:color w:val="000000"/>
                <w:kern w:val="0"/>
                <w:sz w:val="24"/>
                <w:szCs w:val="24"/>
              </w:rPr>
              <w:t>500</w:t>
            </w:r>
            <w:r w:rsidRPr="00232B03">
              <w:rPr>
                <w:color w:val="000000"/>
                <w:kern w:val="0"/>
                <w:sz w:val="24"/>
                <w:szCs w:val="24"/>
              </w:rPr>
              <w:t>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本基金属股票型基金，预期风险与预期收益水平高于混合型基金、债券型基金与货币市场基金。本基金为指数型基金，主要采用完全复制法跟踪标的指数的表现，具有与标的指数相似的风险收益特征。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8,474,408.57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10,071,554.76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0.0499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958,975,022.45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5.0200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276629" w:rsidRDefault="00120A5D">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276629" w:rsidRDefault="00120A5D">
      <w:pPr>
        <w:spacing w:line="360" w:lineRule="auto"/>
        <w:ind w:firstLineChars="200" w:firstLine="480"/>
        <w:rPr>
          <w:color w:val="000000"/>
          <w:sz w:val="24"/>
          <w:szCs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32B03" w:rsidRDefault="00392044" w:rsidP="00232B03">
      <w:pPr>
        <w:spacing w:line="360" w:lineRule="auto"/>
        <w:ind w:firstLineChars="200" w:firstLine="480"/>
        <w:rPr>
          <w:color w:val="000000"/>
          <w:sz w:val="24"/>
          <w:szCs w:val="24"/>
        </w:rPr>
      </w:pPr>
      <w:r w:rsidRPr="006506EF">
        <w:rPr>
          <w:color w:val="000000"/>
          <w:sz w:val="24"/>
        </w:rPr>
        <w:t>3.</w:t>
      </w:r>
      <w:r w:rsidRPr="006506EF">
        <w:rPr>
          <w:color w:val="000000"/>
          <w:sz w:val="24"/>
        </w:rPr>
        <w:t>本基金已于</w:t>
      </w:r>
      <w:r w:rsidRPr="006506EF">
        <w:rPr>
          <w:color w:val="000000"/>
          <w:sz w:val="24"/>
        </w:rPr>
        <w:t>2015</w:t>
      </w:r>
      <w:r w:rsidRPr="006506EF">
        <w:rPr>
          <w:color w:val="000000"/>
          <w:sz w:val="24"/>
        </w:rPr>
        <w:t>年</w:t>
      </w:r>
      <w:r w:rsidRPr="006506EF">
        <w:rPr>
          <w:color w:val="000000"/>
          <w:sz w:val="24"/>
        </w:rPr>
        <w:t>9</w:t>
      </w:r>
      <w:r w:rsidRPr="006506EF">
        <w:rPr>
          <w:color w:val="000000"/>
          <w:sz w:val="24"/>
        </w:rPr>
        <w:t>月</w:t>
      </w:r>
      <w:r w:rsidRPr="006506EF">
        <w:rPr>
          <w:color w:val="000000"/>
          <w:sz w:val="24"/>
        </w:rPr>
        <w:t>9</w:t>
      </w:r>
      <w:r w:rsidRPr="006506EF">
        <w:rPr>
          <w:color w:val="000000"/>
          <w:sz w:val="24"/>
        </w:rPr>
        <w:t>日进行了基金份额折算，折算比例为</w:t>
      </w:r>
      <w:r w:rsidRPr="006506EF">
        <w:rPr>
          <w:color w:val="000000"/>
          <w:sz w:val="24"/>
        </w:rPr>
        <w:t>0.15409267</w:t>
      </w:r>
      <w:r w:rsidRPr="006506EF">
        <w:rPr>
          <w:color w:val="000000"/>
          <w:sz w:val="24"/>
        </w:rPr>
        <w:t>。</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276629">
        <w:tc>
          <w:tcPr>
            <w:tcW w:w="1395" w:type="dxa"/>
            <w:vAlign w:val="center"/>
          </w:tcPr>
          <w:p w:rsidR="00276629" w:rsidRDefault="00120A5D">
            <w:pPr>
              <w:jc w:val="left"/>
            </w:pPr>
            <w:r>
              <w:rPr>
                <w:color w:val="000000"/>
                <w:kern w:val="0"/>
                <w:sz w:val="24"/>
                <w:szCs w:val="24"/>
              </w:rPr>
              <w:t>过去三个月</w:t>
            </w:r>
          </w:p>
        </w:tc>
        <w:tc>
          <w:tcPr>
            <w:tcW w:w="1092" w:type="dxa"/>
            <w:vAlign w:val="center"/>
          </w:tcPr>
          <w:p w:rsidR="00276629" w:rsidRDefault="00120A5D">
            <w:pPr>
              <w:jc w:val="center"/>
            </w:pPr>
            <w:r>
              <w:rPr>
                <w:color w:val="000000"/>
                <w:kern w:val="0"/>
                <w:sz w:val="24"/>
                <w:szCs w:val="24"/>
              </w:rPr>
              <w:t>0.74%</w:t>
            </w:r>
          </w:p>
        </w:tc>
        <w:tc>
          <w:tcPr>
            <w:tcW w:w="1161" w:type="dxa"/>
            <w:vAlign w:val="center"/>
          </w:tcPr>
          <w:p w:rsidR="00276629" w:rsidRDefault="00120A5D">
            <w:pPr>
              <w:jc w:val="center"/>
            </w:pPr>
            <w:r>
              <w:rPr>
                <w:color w:val="000000"/>
                <w:kern w:val="0"/>
                <w:sz w:val="24"/>
                <w:szCs w:val="24"/>
              </w:rPr>
              <w:t>1.21%</w:t>
            </w:r>
          </w:p>
        </w:tc>
        <w:tc>
          <w:tcPr>
            <w:tcW w:w="1181" w:type="dxa"/>
            <w:vAlign w:val="center"/>
          </w:tcPr>
          <w:p w:rsidR="00276629" w:rsidRDefault="00120A5D">
            <w:pPr>
              <w:jc w:val="center"/>
            </w:pPr>
            <w:r>
              <w:rPr>
                <w:color w:val="000000"/>
                <w:kern w:val="0"/>
                <w:sz w:val="24"/>
                <w:szCs w:val="24"/>
              </w:rPr>
              <w:t>-0.19%</w:t>
            </w:r>
          </w:p>
        </w:tc>
        <w:tc>
          <w:tcPr>
            <w:tcW w:w="1188" w:type="dxa"/>
            <w:vAlign w:val="center"/>
          </w:tcPr>
          <w:p w:rsidR="00276629" w:rsidRDefault="00120A5D">
            <w:pPr>
              <w:jc w:val="center"/>
            </w:pPr>
            <w:r>
              <w:rPr>
                <w:color w:val="000000"/>
                <w:kern w:val="0"/>
                <w:sz w:val="24"/>
                <w:szCs w:val="24"/>
              </w:rPr>
              <w:t>1.21%</w:t>
            </w:r>
          </w:p>
        </w:tc>
        <w:tc>
          <w:tcPr>
            <w:tcW w:w="1199" w:type="dxa"/>
            <w:vAlign w:val="center"/>
          </w:tcPr>
          <w:p w:rsidR="00276629" w:rsidRDefault="00120A5D">
            <w:pPr>
              <w:jc w:val="center"/>
            </w:pPr>
            <w:r>
              <w:rPr>
                <w:color w:val="000000"/>
                <w:kern w:val="0"/>
                <w:sz w:val="24"/>
                <w:szCs w:val="24"/>
              </w:rPr>
              <w:t>0.93%</w:t>
            </w:r>
          </w:p>
        </w:tc>
        <w:tc>
          <w:tcPr>
            <w:tcW w:w="1204" w:type="dxa"/>
            <w:vAlign w:val="center"/>
          </w:tcPr>
          <w:p w:rsidR="00276629" w:rsidRDefault="00120A5D">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易方达中证</w:t>
      </w:r>
      <w:r w:rsidRPr="0074694E">
        <w:rPr>
          <w:color w:val="000000"/>
          <w:sz w:val="24"/>
          <w:szCs w:val="24"/>
        </w:rPr>
        <w:t>500</w:t>
      </w:r>
      <w:r w:rsidRPr="0074694E">
        <w:rPr>
          <w:color w:val="000000"/>
          <w:sz w:val="24"/>
          <w:szCs w:val="24"/>
        </w:rPr>
        <w:t>交易型开放式指数证券投资基金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8</w:t>
      </w:r>
      <w:r w:rsidRPr="0074694E">
        <w:rPr>
          <w:rFonts w:ascii="Times New Roman" w:hAnsi="Times New Roman"/>
          <w:sz w:val="24"/>
          <w:szCs w:val="24"/>
        </w:rPr>
        <w:t>月</w:t>
      </w:r>
      <w:r w:rsidRPr="0074694E">
        <w:rPr>
          <w:rFonts w:ascii="Times New Roman" w:hAnsi="Times New Roman"/>
          <w:sz w:val="24"/>
          <w:szCs w:val="24"/>
        </w:rPr>
        <w:t>27</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20A5D"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-22.65%</w:t>
      </w:r>
      <w:r w:rsidRPr="006C56AA">
        <w:rPr>
          <w:color w:val="000000"/>
          <w:sz w:val="24"/>
          <w:szCs w:val="24"/>
        </w:rPr>
        <w:t>，同期业绩比较基准收益率为</w:t>
      </w:r>
      <w:r w:rsidRPr="006C56AA">
        <w:rPr>
          <w:color w:val="000000"/>
          <w:sz w:val="24"/>
          <w:szCs w:val="24"/>
        </w:rPr>
        <w:t>-20.80%</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276629">
        <w:tc>
          <w:tcPr>
            <w:tcW w:w="567" w:type="dxa"/>
            <w:vAlign w:val="center"/>
          </w:tcPr>
          <w:p w:rsidR="00276629" w:rsidRDefault="00120A5D">
            <w:pPr>
              <w:jc w:val="center"/>
            </w:pPr>
            <w:r>
              <w:rPr>
                <w:color w:val="000000"/>
                <w:sz w:val="24"/>
              </w:rPr>
              <w:t>余海燕</w:t>
            </w:r>
          </w:p>
        </w:tc>
        <w:tc>
          <w:tcPr>
            <w:tcW w:w="2835" w:type="dxa"/>
            <w:vAlign w:val="center"/>
          </w:tcPr>
          <w:p w:rsidR="00276629" w:rsidRDefault="00120A5D">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交易型开放式指数证券投资基金发起式</w:t>
            </w:r>
            <w:r>
              <w:rPr>
                <w:color w:val="000000"/>
                <w:sz w:val="24"/>
              </w:rPr>
              <w:t>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w:t>
            </w:r>
            <w:r>
              <w:rPr>
                <w:color w:val="000000"/>
                <w:sz w:val="24"/>
              </w:rPr>
              <w:t>0</w:t>
            </w:r>
            <w:r>
              <w:rPr>
                <w:color w:val="000000"/>
                <w:sz w:val="24"/>
              </w:rPr>
              <w:t>交易型开放式指数发起式证券投资基金的基金经理、易方达沪深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276629" w:rsidRDefault="00120A5D">
            <w:pPr>
              <w:jc w:val="center"/>
            </w:pPr>
            <w:r>
              <w:rPr>
                <w:color w:val="000000"/>
                <w:sz w:val="24"/>
              </w:rPr>
              <w:t>2016-04-16</w:t>
            </w:r>
          </w:p>
        </w:tc>
        <w:tc>
          <w:tcPr>
            <w:tcW w:w="850" w:type="dxa"/>
            <w:vAlign w:val="center"/>
          </w:tcPr>
          <w:p w:rsidR="00276629" w:rsidRDefault="00120A5D">
            <w:pPr>
              <w:jc w:val="center"/>
            </w:pPr>
            <w:r>
              <w:rPr>
                <w:color w:val="000000"/>
                <w:sz w:val="24"/>
              </w:rPr>
              <w:t>-</w:t>
            </w:r>
          </w:p>
        </w:tc>
        <w:tc>
          <w:tcPr>
            <w:tcW w:w="851" w:type="dxa"/>
            <w:vAlign w:val="center"/>
          </w:tcPr>
          <w:p w:rsidR="00276629" w:rsidRDefault="00120A5D">
            <w:pPr>
              <w:jc w:val="center"/>
            </w:pPr>
            <w:r>
              <w:rPr>
                <w:color w:val="000000"/>
                <w:sz w:val="24"/>
              </w:rPr>
              <w:t>14</w:t>
            </w:r>
            <w:r>
              <w:rPr>
                <w:color w:val="000000"/>
                <w:sz w:val="24"/>
              </w:rPr>
              <w:t>年</w:t>
            </w:r>
          </w:p>
        </w:tc>
        <w:tc>
          <w:tcPr>
            <w:tcW w:w="2977" w:type="dxa"/>
            <w:vAlign w:val="center"/>
          </w:tcPr>
          <w:p w:rsidR="00276629" w:rsidRDefault="00120A5D">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信用风险分析师，华宝兴业基金管理有限公司分析师、基金经理助理、基金经理，易方达基金管理有限公司投资发展部产品经理。</w:t>
            </w:r>
          </w:p>
        </w:tc>
      </w:tr>
      <w:tr w:rsidR="00276629">
        <w:tc>
          <w:tcPr>
            <w:tcW w:w="567" w:type="dxa"/>
            <w:vAlign w:val="center"/>
          </w:tcPr>
          <w:p w:rsidR="00276629" w:rsidRDefault="00120A5D">
            <w:pPr>
              <w:jc w:val="center"/>
            </w:pPr>
            <w:r>
              <w:rPr>
                <w:color w:val="000000"/>
                <w:sz w:val="24"/>
              </w:rPr>
              <w:t>杨俊</w:t>
            </w:r>
          </w:p>
        </w:tc>
        <w:tc>
          <w:tcPr>
            <w:tcW w:w="2835" w:type="dxa"/>
            <w:vAlign w:val="center"/>
          </w:tcPr>
          <w:p w:rsidR="00276629" w:rsidRDefault="00120A5D">
            <w:pPr>
              <w:jc w:val="center"/>
            </w:pPr>
            <w:r>
              <w:rPr>
                <w:color w:val="000000"/>
                <w:sz w:val="24"/>
              </w:rPr>
              <w:t>本基金的基金经理、易方达中证</w:t>
            </w:r>
            <w:r>
              <w:rPr>
                <w:color w:val="000000"/>
                <w:sz w:val="24"/>
              </w:rPr>
              <w:t>500</w:t>
            </w:r>
            <w:r>
              <w:rPr>
                <w:color w:val="000000"/>
                <w:sz w:val="24"/>
              </w:rPr>
              <w:t>交易型开放式指数证券投资基金发起式联接基金的基金经理、易方达沪深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交易型开放式指数发起式证券投资基金的基金经理、易方达国企改革指数分级证券投资基金的基金经理、解决方案部总经理助理</w:t>
            </w:r>
          </w:p>
        </w:tc>
        <w:tc>
          <w:tcPr>
            <w:tcW w:w="851" w:type="dxa"/>
            <w:vAlign w:val="center"/>
          </w:tcPr>
          <w:p w:rsidR="00276629" w:rsidRDefault="00120A5D">
            <w:pPr>
              <w:jc w:val="center"/>
            </w:pPr>
            <w:r>
              <w:rPr>
                <w:color w:val="000000"/>
                <w:sz w:val="24"/>
              </w:rPr>
              <w:t>2017-06-23</w:t>
            </w:r>
          </w:p>
        </w:tc>
        <w:tc>
          <w:tcPr>
            <w:tcW w:w="850" w:type="dxa"/>
            <w:vAlign w:val="center"/>
          </w:tcPr>
          <w:p w:rsidR="00276629" w:rsidRDefault="00120A5D">
            <w:pPr>
              <w:jc w:val="center"/>
            </w:pPr>
            <w:r>
              <w:rPr>
                <w:color w:val="000000"/>
                <w:sz w:val="24"/>
              </w:rPr>
              <w:t>-</w:t>
            </w:r>
          </w:p>
        </w:tc>
        <w:tc>
          <w:tcPr>
            <w:tcW w:w="851" w:type="dxa"/>
            <w:vAlign w:val="center"/>
          </w:tcPr>
          <w:p w:rsidR="00276629" w:rsidRDefault="00120A5D">
            <w:pPr>
              <w:jc w:val="center"/>
            </w:pPr>
            <w:r>
              <w:rPr>
                <w:color w:val="000000"/>
                <w:sz w:val="24"/>
              </w:rPr>
              <w:t>10</w:t>
            </w:r>
            <w:r>
              <w:rPr>
                <w:color w:val="000000"/>
                <w:sz w:val="24"/>
              </w:rPr>
              <w:t>年</w:t>
            </w:r>
          </w:p>
        </w:tc>
        <w:tc>
          <w:tcPr>
            <w:tcW w:w="2977" w:type="dxa"/>
            <w:vAlign w:val="center"/>
          </w:tcPr>
          <w:p w:rsidR="00276629" w:rsidRDefault="00120A5D">
            <w:r>
              <w:rPr>
                <w:color w:val="000000"/>
                <w:sz w:val="24"/>
              </w:rPr>
              <w:t>硕士研究生，曾任易方达基金管理有限公司北京分公司渠道经理、指数与量化投资部高级账户经理。</w:t>
            </w:r>
          </w:p>
        </w:tc>
      </w:tr>
    </w:tbl>
    <w:p w:rsidR="00276629" w:rsidRDefault="00120A5D">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276629" w:rsidRDefault="00120A5D">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276629" w:rsidRDefault="00120A5D">
      <w:pPr>
        <w:spacing w:line="360" w:lineRule="auto"/>
        <w:ind w:firstLineChars="200" w:firstLine="480"/>
        <w:rPr>
          <w:color w:val="000000"/>
          <w:sz w:val="24"/>
          <w:szCs w:val="24"/>
        </w:rPr>
      </w:pPr>
      <w:r>
        <w:rPr>
          <w:color w:val="000000"/>
          <w:sz w:val="24"/>
          <w:szCs w:val="24"/>
        </w:rPr>
        <w:t>2019</w:t>
      </w:r>
      <w:r>
        <w:rPr>
          <w:color w:val="000000"/>
          <w:sz w:val="24"/>
          <w:szCs w:val="24"/>
        </w:rPr>
        <w:t>年三季度国内宏观经济下行压力犹存，工业生产持续减速，</w:t>
      </w:r>
      <w:r>
        <w:rPr>
          <w:color w:val="000000"/>
          <w:sz w:val="24"/>
          <w:szCs w:val="24"/>
        </w:rPr>
        <w:t>8</w:t>
      </w:r>
      <w:r>
        <w:rPr>
          <w:color w:val="000000"/>
          <w:sz w:val="24"/>
          <w:szCs w:val="24"/>
        </w:rPr>
        <w:t>月份工业增速</w:t>
      </w:r>
      <w:r>
        <w:rPr>
          <w:color w:val="000000"/>
          <w:sz w:val="24"/>
          <w:szCs w:val="24"/>
        </w:rPr>
        <w:t>4.4%</w:t>
      </w:r>
      <w:r>
        <w:rPr>
          <w:color w:val="000000"/>
          <w:sz w:val="24"/>
          <w:szCs w:val="24"/>
        </w:rPr>
        <w:t>，较</w:t>
      </w:r>
      <w:r>
        <w:rPr>
          <w:color w:val="000000"/>
          <w:sz w:val="24"/>
          <w:szCs w:val="24"/>
        </w:rPr>
        <w:t>7</w:t>
      </w:r>
      <w:r>
        <w:rPr>
          <w:color w:val="000000"/>
          <w:sz w:val="24"/>
          <w:szCs w:val="24"/>
        </w:rPr>
        <w:t>月份继续下滑，并创下</w:t>
      </w:r>
      <w:r>
        <w:rPr>
          <w:color w:val="000000"/>
          <w:sz w:val="24"/>
          <w:szCs w:val="24"/>
        </w:rPr>
        <w:t>09</w:t>
      </w:r>
      <w:r>
        <w:rPr>
          <w:color w:val="000000"/>
          <w:sz w:val="24"/>
          <w:szCs w:val="24"/>
        </w:rPr>
        <w:t>年</w:t>
      </w:r>
      <w:r>
        <w:rPr>
          <w:color w:val="000000"/>
          <w:sz w:val="24"/>
          <w:szCs w:val="24"/>
        </w:rPr>
        <w:t>3</w:t>
      </w:r>
      <w:r>
        <w:rPr>
          <w:color w:val="000000"/>
          <w:sz w:val="24"/>
          <w:szCs w:val="24"/>
        </w:rPr>
        <w:t>月以来新低。</w:t>
      </w:r>
      <w:r>
        <w:rPr>
          <w:color w:val="000000"/>
          <w:sz w:val="24"/>
          <w:szCs w:val="24"/>
        </w:rPr>
        <w:t>1-8</w:t>
      </w:r>
      <w:r>
        <w:rPr>
          <w:color w:val="000000"/>
          <w:sz w:val="24"/>
          <w:szCs w:val="24"/>
        </w:rPr>
        <w:t>月全国固定资产投资同比增速回落至</w:t>
      </w:r>
      <w:r>
        <w:rPr>
          <w:color w:val="000000"/>
          <w:sz w:val="24"/>
          <w:szCs w:val="24"/>
        </w:rPr>
        <w:t>5.5%</w:t>
      </w:r>
      <w:r>
        <w:rPr>
          <w:color w:val="000000"/>
          <w:sz w:val="24"/>
          <w:szCs w:val="24"/>
        </w:rPr>
        <w:t>，其中</w:t>
      </w:r>
      <w:r>
        <w:rPr>
          <w:color w:val="000000"/>
          <w:sz w:val="24"/>
          <w:szCs w:val="24"/>
        </w:rPr>
        <w:t>8</w:t>
      </w:r>
      <w:r>
        <w:rPr>
          <w:color w:val="000000"/>
          <w:sz w:val="24"/>
          <w:szCs w:val="24"/>
        </w:rPr>
        <w:t>月份同比增速下滑至</w:t>
      </w:r>
      <w:r>
        <w:rPr>
          <w:color w:val="000000"/>
          <w:sz w:val="24"/>
          <w:szCs w:val="24"/>
        </w:rPr>
        <w:t>4.2%</w:t>
      </w:r>
      <w:r>
        <w:rPr>
          <w:color w:val="000000"/>
          <w:sz w:val="24"/>
          <w:szCs w:val="24"/>
        </w:rPr>
        <w:t>。随着部分行业景气度进入内生性底部，同时逆周期政策力度明显加大，</w:t>
      </w:r>
      <w:r>
        <w:rPr>
          <w:color w:val="000000"/>
          <w:sz w:val="24"/>
          <w:szCs w:val="24"/>
        </w:rPr>
        <w:t>9</w:t>
      </w:r>
      <w:r>
        <w:rPr>
          <w:color w:val="000000"/>
          <w:sz w:val="24"/>
          <w:szCs w:val="24"/>
        </w:rPr>
        <w:t>月份经济景气度有所改善，宏观数据显示</w:t>
      </w:r>
      <w:r>
        <w:rPr>
          <w:color w:val="000000"/>
          <w:sz w:val="24"/>
          <w:szCs w:val="24"/>
        </w:rPr>
        <w:t>9</w:t>
      </w:r>
      <w:r>
        <w:rPr>
          <w:color w:val="000000"/>
          <w:sz w:val="24"/>
          <w:szCs w:val="24"/>
        </w:rPr>
        <w:t>月全国制造业</w:t>
      </w:r>
      <w:r>
        <w:rPr>
          <w:color w:val="000000"/>
          <w:sz w:val="24"/>
          <w:szCs w:val="24"/>
        </w:rPr>
        <w:t>PMI</w:t>
      </w:r>
      <w:r>
        <w:rPr>
          <w:color w:val="000000"/>
          <w:sz w:val="24"/>
          <w:szCs w:val="24"/>
        </w:rPr>
        <w:t>为</w:t>
      </w:r>
      <w:r>
        <w:rPr>
          <w:color w:val="000000"/>
          <w:sz w:val="24"/>
          <w:szCs w:val="24"/>
        </w:rPr>
        <w:t>49.8%</w:t>
      </w:r>
      <w:r>
        <w:rPr>
          <w:color w:val="000000"/>
          <w:sz w:val="24"/>
          <w:szCs w:val="24"/>
        </w:rPr>
        <w:t>，较</w:t>
      </w:r>
      <w:r>
        <w:rPr>
          <w:color w:val="000000"/>
          <w:sz w:val="24"/>
          <w:szCs w:val="24"/>
        </w:rPr>
        <w:t>8</w:t>
      </w:r>
      <w:r>
        <w:rPr>
          <w:color w:val="000000"/>
          <w:sz w:val="24"/>
          <w:szCs w:val="24"/>
        </w:rPr>
        <w:t>月小幅回升，并创下</w:t>
      </w:r>
      <w:r>
        <w:rPr>
          <w:color w:val="000000"/>
          <w:sz w:val="24"/>
          <w:szCs w:val="24"/>
        </w:rPr>
        <w:t>5</w:t>
      </w:r>
      <w:r>
        <w:rPr>
          <w:color w:val="000000"/>
          <w:sz w:val="24"/>
          <w:szCs w:val="24"/>
        </w:rPr>
        <w:t>月以来新高，指向制造业景气明显改善。随着经济下行压力的持续加大，三季度宏观经济政策转向积极，政府加大了</w:t>
      </w:r>
      <w:r>
        <w:rPr>
          <w:color w:val="000000"/>
          <w:sz w:val="24"/>
          <w:szCs w:val="24"/>
        </w:rPr>
        <w:t>“</w:t>
      </w:r>
      <w:r>
        <w:rPr>
          <w:color w:val="000000"/>
          <w:sz w:val="24"/>
          <w:szCs w:val="24"/>
        </w:rPr>
        <w:t>逆周期调节</w:t>
      </w:r>
      <w:r>
        <w:rPr>
          <w:color w:val="000000"/>
          <w:sz w:val="24"/>
          <w:szCs w:val="24"/>
        </w:rPr>
        <w:t>”</w:t>
      </w:r>
      <w:r>
        <w:rPr>
          <w:color w:val="000000"/>
          <w:sz w:val="24"/>
          <w:szCs w:val="24"/>
        </w:rPr>
        <w:t>力度。利率市场化改革超预期加</w:t>
      </w:r>
      <w:r>
        <w:rPr>
          <w:color w:val="000000"/>
          <w:sz w:val="24"/>
          <w:szCs w:val="24"/>
        </w:rPr>
        <w:t>快，央行改革完善</w:t>
      </w:r>
      <w:r>
        <w:rPr>
          <w:color w:val="000000"/>
          <w:sz w:val="24"/>
          <w:szCs w:val="24"/>
        </w:rPr>
        <w:t>LPR</w:t>
      </w:r>
      <w:r>
        <w:rPr>
          <w:color w:val="000000"/>
          <w:sz w:val="24"/>
          <w:szCs w:val="24"/>
        </w:rPr>
        <w:t>形成机制，引导了利率下行的政策信号；央行</w:t>
      </w:r>
      <w:r>
        <w:rPr>
          <w:color w:val="000000"/>
          <w:sz w:val="24"/>
          <w:szCs w:val="24"/>
        </w:rPr>
        <w:t>“</w:t>
      </w:r>
      <w:r>
        <w:rPr>
          <w:color w:val="000000"/>
          <w:sz w:val="24"/>
          <w:szCs w:val="24"/>
        </w:rPr>
        <w:t>普降</w:t>
      </w:r>
      <w:r>
        <w:rPr>
          <w:color w:val="000000"/>
          <w:sz w:val="24"/>
          <w:szCs w:val="24"/>
        </w:rPr>
        <w:t>+</w:t>
      </w:r>
      <w:r>
        <w:rPr>
          <w:color w:val="000000"/>
          <w:sz w:val="24"/>
          <w:szCs w:val="24"/>
        </w:rPr>
        <w:t>定向</w:t>
      </w:r>
      <w:r>
        <w:rPr>
          <w:color w:val="000000"/>
          <w:sz w:val="24"/>
          <w:szCs w:val="24"/>
        </w:rPr>
        <w:t>”</w:t>
      </w:r>
      <w:r>
        <w:rPr>
          <w:color w:val="000000"/>
          <w:sz w:val="24"/>
          <w:szCs w:val="24"/>
        </w:rPr>
        <w:t>降准释放了长期流动性约</w:t>
      </w:r>
      <w:r>
        <w:rPr>
          <w:color w:val="000000"/>
          <w:sz w:val="24"/>
          <w:szCs w:val="24"/>
        </w:rPr>
        <w:t>9000</w:t>
      </w:r>
      <w:r>
        <w:rPr>
          <w:color w:val="000000"/>
          <w:sz w:val="24"/>
          <w:szCs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szCs w:val="24"/>
        </w:rPr>
        <w:t>7.14</w:t>
      </w:r>
      <w:r>
        <w:rPr>
          <w:color w:val="000000"/>
          <w:sz w:val="24"/>
          <w:szCs w:val="24"/>
        </w:rPr>
        <w:t>。资本市场方面，</w:t>
      </w:r>
      <w:r>
        <w:rPr>
          <w:color w:val="000000"/>
          <w:sz w:val="24"/>
          <w:szCs w:val="24"/>
        </w:rPr>
        <w:t>A</w:t>
      </w:r>
      <w:r>
        <w:rPr>
          <w:color w:val="000000"/>
          <w:sz w:val="24"/>
          <w:szCs w:val="24"/>
        </w:rPr>
        <w:t>股市场波动加大，最终三季度上证综指以下跌</w:t>
      </w:r>
      <w:r>
        <w:rPr>
          <w:color w:val="000000"/>
          <w:sz w:val="24"/>
          <w:szCs w:val="24"/>
        </w:rPr>
        <w:t>2.47%</w:t>
      </w:r>
      <w:r>
        <w:rPr>
          <w:color w:val="000000"/>
          <w:sz w:val="24"/>
          <w:szCs w:val="24"/>
        </w:rPr>
        <w:t>收官。风格主题方面，结构分化显著，在科技类板块领涨的背景下，创业板表现优于</w:t>
      </w:r>
      <w:r>
        <w:rPr>
          <w:color w:val="000000"/>
          <w:sz w:val="24"/>
          <w:szCs w:val="24"/>
        </w:rPr>
        <w:t>主板，上证</w:t>
      </w:r>
      <w:r>
        <w:rPr>
          <w:color w:val="000000"/>
          <w:sz w:val="24"/>
          <w:szCs w:val="24"/>
        </w:rPr>
        <w:t>50</w:t>
      </w:r>
      <w:r>
        <w:rPr>
          <w:color w:val="000000"/>
          <w:sz w:val="24"/>
          <w:szCs w:val="24"/>
        </w:rPr>
        <w:t>指数、沪深</w:t>
      </w:r>
      <w:r>
        <w:rPr>
          <w:color w:val="000000"/>
          <w:sz w:val="24"/>
          <w:szCs w:val="24"/>
        </w:rPr>
        <w:t>300</w:t>
      </w:r>
      <w:r>
        <w:rPr>
          <w:color w:val="000000"/>
          <w:sz w:val="24"/>
          <w:szCs w:val="24"/>
        </w:rPr>
        <w:t>指数分别下跌</w:t>
      </w:r>
      <w:r>
        <w:rPr>
          <w:color w:val="000000"/>
          <w:sz w:val="24"/>
          <w:szCs w:val="24"/>
        </w:rPr>
        <w:t>1.12%</w:t>
      </w:r>
      <w:r>
        <w:rPr>
          <w:color w:val="000000"/>
          <w:sz w:val="24"/>
          <w:szCs w:val="24"/>
        </w:rPr>
        <w:t>、</w:t>
      </w:r>
      <w:r>
        <w:rPr>
          <w:color w:val="000000"/>
          <w:sz w:val="24"/>
          <w:szCs w:val="24"/>
        </w:rPr>
        <w:t>0.29%</w:t>
      </w:r>
      <w:r>
        <w:rPr>
          <w:color w:val="000000"/>
          <w:sz w:val="24"/>
          <w:szCs w:val="24"/>
        </w:rPr>
        <w:t>，而创业板指上涨</w:t>
      </w:r>
      <w:r>
        <w:rPr>
          <w:color w:val="000000"/>
          <w:sz w:val="24"/>
          <w:szCs w:val="24"/>
        </w:rPr>
        <w:t>7.68%</w:t>
      </w:r>
      <w:r>
        <w:rPr>
          <w:color w:val="000000"/>
          <w:sz w:val="24"/>
          <w:szCs w:val="24"/>
        </w:rPr>
        <w:t>；行业方面，电子、医药生物、计算机、食品饮料、国防军工等板块涨幅居前，钢铁、采掘、建筑装饰、有色金属、房地产等板块跌幅较大。报告期内中证</w:t>
      </w:r>
      <w:r>
        <w:rPr>
          <w:color w:val="000000"/>
          <w:sz w:val="24"/>
          <w:szCs w:val="24"/>
        </w:rPr>
        <w:t>500</w:t>
      </w:r>
      <w:r>
        <w:rPr>
          <w:color w:val="000000"/>
          <w:sz w:val="24"/>
          <w:szCs w:val="24"/>
        </w:rPr>
        <w:t>指数下跌</w:t>
      </w:r>
      <w:r>
        <w:rPr>
          <w:color w:val="000000"/>
          <w:sz w:val="24"/>
          <w:szCs w:val="24"/>
        </w:rPr>
        <w:t>0.19%</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报告期内本基金为正常运作期，在操作中，我们严格遵守基金合同，坚持既定的指数化投资策略，在指数权重调整和基金申赎变动时，应用指数复制和数量化技术降低冲击成本和减少跟踪误差。</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5.0200</w:t>
      </w:r>
      <w:r w:rsidRPr="006C56AA">
        <w:rPr>
          <w:color w:val="000000"/>
          <w:sz w:val="24"/>
          <w:szCs w:val="24"/>
        </w:rPr>
        <w:t>元，本报告期份额净值增长率为</w:t>
      </w:r>
      <w:r w:rsidRPr="006C56AA">
        <w:rPr>
          <w:color w:val="000000"/>
          <w:sz w:val="24"/>
          <w:szCs w:val="24"/>
        </w:rPr>
        <w:t>0.74%</w:t>
      </w:r>
      <w:r w:rsidRPr="006C56AA">
        <w:rPr>
          <w:color w:val="000000"/>
          <w:sz w:val="24"/>
          <w:szCs w:val="24"/>
        </w:rPr>
        <w:t>，同期业绩比较基准收益率为</w:t>
      </w:r>
      <w:r w:rsidRPr="006C56AA">
        <w:rPr>
          <w:color w:val="000000"/>
          <w:sz w:val="24"/>
          <w:szCs w:val="24"/>
        </w:rPr>
        <w:t>-0.19%</w:t>
      </w:r>
      <w:r w:rsidRPr="006C56AA">
        <w:rPr>
          <w:color w:val="000000"/>
          <w:sz w:val="24"/>
          <w:szCs w:val="24"/>
        </w:rPr>
        <w:t>，日跟踪偏离度的均值为</w:t>
      </w:r>
      <w:r w:rsidRPr="006C56AA">
        <w:rPr>
          <w:color w:val="000000"/>
          <w:sz w:val="24"/>
          <w:szCs w:val="24"/>
        </w:rPr>
        <w:t>0.03%</w:t>
      </w:r>
      <w:r w:rsidRPr="006C56AA">
        <w:rPr>
          <w:color w:val="000000"/>
          <w:sz w:val="24"/>
          <w:szCs w:val="24"/>
        </w:rPr>
        <w:t>，年化跟踪误差为</w:t>
      </w:r>
      <w:r w:rsidRPr="006C56AA">
        <w:rPr>
          <w:color w:val="000000"/>
          <w:sz w:val="24"/>
          <w:szCs w:val="24"/>
        </w:rPr>
        <w:t>0.498%</w:t>
      </w:r>
      <w:r w:rsidRPr="006C56AA">
        <w:rPr>
          <w:color w:val="000000"/>
          <w:sz w:val="24"/>
          <w:szCs w:val="24"/>
        </w:rPr>
        <w:t>，各项指标均在合同规定的目标控制范围之内。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876,832,388.05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91.16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876,832,388.05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91.16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210,598.73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0.02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210,598.73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0.02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71,285,073.37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7.41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13,528,204.31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1.41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961,856,264.46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注：上表中的股票投资项含可退替代款估值增值，而</w:t>
      </w:r>
      <w:r w:rsidRPr="006C56AA">
        <w:rPr>
          <w:color w:val="000000"/>
          <w:sz w:val="24"/>
          <w:szCs w:val="24"/>
        </w:rPr>
        <w:t>5.2</w:t>
      </w:r>
      <w:r w:rsidRPr="006C56AA">
        <w:rPr>
          <w:color w:val="000000"/>
          <w:sz w:val="24"/>
          <w:szCs w:val="24"/>
        </w:rPr>
        <w:t>的合计项不含可退替代款估值增值。</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8,858,356.90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0.92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25,669,990.66</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2.68</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500,920,718.30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52.24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28,390,927.40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14,311,188.45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44,643,535.25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4.66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28,323,179.97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3,125,423.50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89,287,068.85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9.31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39,041,281.20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4.07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38,708,839.98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4.04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11,979,860.38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1,279,777.50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6,590,206.93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0.69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3,764,382.68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6,596,222.90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0.69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17,691,838.20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7,652,739.00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876,835,538.05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91.43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76629">
        <w:tc>
          <w:tcPr>
            <w:tcW w:w="851" w:type="dxa"/>
            <w:vAlign w:val="center"/>
          </w:tcPr>
          <w:p w:rsidR="00276629" w:rsidRDefault="00120A5D">
            <w:pPr>
              <w:jc w:val="center"/>
            </w:pPr>
            <w:r>
              <w:rPr>
                <w:color w:val="000000"/>
                <w:kern w:val="0"/>
                <w:sz w:val="24"/>
                <w:szCs w:val="24"/>
              </w:rPr>
              <w:t>1</w:t>
            </w:r>
          </w:p>
        </w:tc>
        <w:tc>
          <w:tcPr>
            <w:tcW w:w="1276" w:type="dxa"/>
            <w:vAlign w:val="center"/>
          </w:tcPr>
          <w:p w:rsidR="00276629" w:rsidRDefault="00120A5D">
            <w:pPr>
              <w:jc w:val="center"/>
            </w:pPr>
            <w:r>
              <w:rPr>
                <w:color w:val="000000"/>
                <w:kern w:val="0"/>
                <w:sz w:val="24"/>
                <w:szCs w:val="24"/>
              </w:rPr>
              <w:t>002463</w:t>
            </w:r>
          </w:p>
        </w:tc>
        <w:tc>
          <w:tcPr>
            <w:tcW w:w="1418" w:type="dxa"/>
            <w:vAlign w:val="center"/>
          </w:tcPr>
          <w:p w:rsidR="00276629" w:rsidRDefault="00120A5D">
            <w:pPr>
              <w:jc w:val="center"/>
            </w:pPr>
            <w:r>
              <w:rPr>
                <w:color w:val="000000"/>
                <w:kern w:val="0"/>
                <w:sz w:val="24"/>
                <w:szCs w:val="24"/>
              </w:rPr>
              <w:t>沪电股份</w:t>
            </w:r>
          </w:p>
        </w:tc>
        <w:tc>
          <w:tcPr>
            <w:tcW w:w="1701" w:type="dxa"/>
            <w:vAlign w:val="center"/>
          </w:tcPr>
          <w:p w:rsidR="00276629" w:rsidRDefault="00120A5D">
            <w:pPr>
              <w:jc w:val="right"/>
            </w:pPr>
            <w:r>
              <w:rPr>
                <w:color w:val="000000"/>
                <w:kern w:val="0"/>
                <w:sz w:val="24"/>
                <w:szCs w:val="24"/>
              </w:rPr>
              <w:t>280,330</w:t>
            </w:r>
          </w:p>
        </w:tc>
        <w:tc>
          <w:tcPr>
            <w:tcW w:w="1984" w:type="dxa"/>
            <w:vAlign w:val="center"/>
          </w:tcPr>
          <w:p w:rsidR="00276629" w:rsidRDefault="00120A5D">
            <w:pPr>
              <w:jc w:val="right"/>
            </w:pPr>
            <w:r>
              <w:rPr>
                <w:color w:val="000000"/>
                <w:kern w:val="0"/>
                <w:sz w:val="24"/>
                <w:szCs w:val="24"/>
              </w:rPr>
              <w:t>6,868,085.00</w:t>
            </w:r>
          </w:p>
        </w:tc>
        <w:tc>
          <w:tcPr>
            <w:tcW w:w="1559" w:type="dxa"/>
            <w:vAlign w:val="center"/>
          </w:tcPr>
          <w:p w:rsidR="00276629" w:rsidRDefault="00120A5D">
            <w:pPr>
              <w:jc w:val="right"/>
            </w:pPr>
            <w:r>
              <w:rPr>
                <w:color w:val="000000"/>
                <w:kern w:val="0"/>
                <w:sz w:val="24"/>
                <w:szCs w:val="24"/>
              </w:rPr>
              <w:t>0.72</w:t>
            </w:r>
          </w:p>
        </w:tc>
      </w:tr>
      <w:tr w:rsidR="00276629">
        <w:tc>
          <w:tcPr>
            <w:tcW w:w="851" w:type="dxa"/>
            <w:vAlign w:val="center"/>
          </w:tcPr>
          <w:p w:rsidR="00276629" w:rsidRDefault="00120A5D">
            <w:pPr>
              <w:jc w:val="center"/>
            </w:pPr>
            <w:r>
              <w:rPr>
                <w:color w:val="000000"/>
                <w:kern w:val="0"/>
                <w:sz w:val="24"/>
                <w:szCs w:val="24"/>
              </w:rPr>
              <w:t>2</w:t>
            </w:r>
          </w:p>
        </w:tc>
        <w:tc>
          <w:tcPr>
            <w:tcW w:w="1276" w:type="dxa"/>
            <w:vAlign w:val="center"/>
          </w:tcPr>
          <w:p w:rsidR="00276629" w:rsidRDefault="00120A5D">
            <w:pPr>
              <w:jc w:val="center"/>
            </w:pPr>
            <w:r>
              <w:rPr>
                <w:color w:val="000000"/>
                <w:kern w:val="0"/>
                <w:sz w:val="24"/>
                <w:szCs w:val="24"/>
              </w:rPr>
              <w:t>600183</w:t>
            </w:r>
          </w:p>
        </w:tc>
        <w:tc>
          <w:tcPr>
            <w:tcW w:w="1418" w:type="dxa"/>
            <w:vAlign w:val="center"/>
          </w:tcPr>
          <w:p w:rsidR="00276629" w:rsidRDefault="00120A5D">
            <w:pPr>
              <w:jc w:val="center"/>
            </w:pPr>
            <w:r>
              <w:rPr>
                <w:color w:val="000000"/>
                <w:kern w:val="0"/>
                <w:sz w:val="24"/>
                <w:szCs w:val="24"/>
              </w:rPr>
              <w:t>生益科技</w:t>
            </w:r>
          </w:p>
        </w:tc>
        <w:tc>
          <w:tcPr>
            <w:tcW w:w="1701" w:type="dxa"/>
            <w:vAlign w:val="center"/>
          </w:tcPr>
          <w:p w:rsidR="00276629" w:rsidRDefault="00120A5D">
            <w:pPr>
              <w:jc w:val="right"/>
            </w:pPr>
            <w:r>
              <w:rPr>
                <w:color w:val="000000"/>
                <w:kern w:val="0"/>
                <w:sz w:val="24"/>
                <w:szCs w:val="24"/>
              </w:rPr>
              <w:t>257,365</w:t>
            </w:r>
          </w:p>
        </w:tc>
        <w:tc>
          <w:tcPr>
            <w:tcW w:w="1984" w:type="dxa"/>
            <w:vAlign w:val="center"/>
          </w:tcPr>
          <w:p w:rsidR="00276629" w:rsidRDefault="00120A5D">
            <w:pPr>
              <w:jc w:val="right"/>
            </w:pPr>
            <w:r>
              <w:rPr>
                <w:color w:val="000000"/>
                <w:kern w:val="0"/>
                <w:sz w:val="24"/>
                <w:szCs w:val="24"/>
              </w:rPr>
              <w:t>6,418,683.10</w:t>
            </w:r>
          </w:p>
        </w:tc>
        <w:tc>
          <w:tcPr>
            <w:tcW w:w="1559" w:type="dxa"/>
            <w:vAlign w:val="center"/>
          </w:tcPr>
          <w:p w:rsidR="00276629" w:rsidRDefault="00120A5D">
            <w:pPr>
              <w:jc w:val="right"/>
            </w:pPr>
            <w:r>
              <w:rPr>
                <w:color w:val="000000"/>
                <w:kern w:val="0"/>
                <w:sz w:val="24"/>
                <w:szCs w:val="24"/>
              </w:rPr>
              <w:t>0.67</w:t>
            </w:r>
          </w:p>
        </w:tc>
      </w:tr>
      <w:tr w:rsidR="00276629">
        <w:tc>
          <w:tcPr>
            <w:tcW w:w="851" w:type="dxa"/>
            <w:vAlign w:val="center"/>
          </w:tcPr>
          <w:p w:rsidR="00276629" w:rsidRDefault="00120A5D">
            <w:pPr>
              <w:jc w:val="center"/>
            </w:pPr>
            <w:r>
              <w:rPr>
                <w:color w:val="000000"/>
                <w:kern w:val="0"/>
                <w:sz w:val="24"/>
                <w:szCs w:val="24"/>
              </w:rPr>
              <w:t>3</w:t>
            </w:r>
          </w:p>
        </w:tc>
        <w:tc>
          <w:tcPr>
            <w:tcW w:w="1276" w:type="dxa"/>
            <w:vAlign w:val="center"/>
          </w:tcPr>
          <w:p w:rsidR="00276629" w:rsidRDefault="00120A5D">
            <w:pPr>
              <w:jc w:val="center"/>
            </w:pPr>
            <w:r>
              <w:rPr>
                <w:color w:val="000000"/>
                <w:kern w:val="0"/>
                <w:sz w:val="24"/>
                <w:szCs w:val="24"/>
              </w:rPr>
              <w:t>000860</w:t>
            </w:r>
          </w:p>
        </w:tc>
        <w:tc>
          <w:tcPr>
            <w:tcW w:w="1418" w:type="dxa"/>
            <w:vAlign w:val="center"/>
          </w:tcPr>
          <w:p w:rsidR="00276629" w:rsidRDefault="00120A5D">
            <w:pPr>
              <w:jc w:val="center"/>
            </w:pPr>
            <w:r>
              <w:rPr>
                <w:color w:val="000000"/>
                <w:kern w:val="0"/>
                <w:sz w:val="24"/>
                <w:szCs w:val="24"/>
              </w:rPr>
              <w:t>顺鑫农业</w:t>
            </w:r>
          </w:p>
        </w:tc>
        <w:tc>
          <w:tcPr>
            <w:tcW w:w="1701" w:type="dxa"/>
            <w:vAlign w:val="center"/>
          </w:tcPr>
          <w:p w:rsidR="00276629" w:rsidRDefault="00120A5D">
            <w:pPr>
              <w:jc w:val="right"/>
            </w:pPr>
            <w:r>
              <w:rPr>
                <w:color w:val="000000"/>
                <w:kern w:val="0"/>
                <w:sz w:val="24"/>
                <w:szCs w:val="24"/>
              </w:rPr>
              <w:t>121,616</w:t>
            </w:r>
          </w:p>
        </w:tc>
        <w:tc>
          <w:tcPr>
            <w:tcW w:w="1984" w:type="dxa"/>
            <w:vAlign w:val="center"/>
          </w:tcPr>
          <w:p w:rsidR="00276629" w:rsidRDefault="00120A5D">
            <w:pPr>
              <w:jc w:val="right"/>
            </w:pPr>
            <w:r>
              <w:rPr>
                <w:color w:val="000000"/>
                <w:kern w:val="0"/>
                <w:sz w:val="24"/>
                <w:szCs w:val="24"/>
              </w:rPr>
              <w:t>6,343,490.56</w:t>
            </w:r>
          </w:p>
        </w:tc>
        <w:tc>
          <w:tcPr>
            <w:tcW w:w="1559" w:type="dxa"/>
            <w:vAlign w:val="center"/>
          </w:tcPr>
          <w:p w:rsidR="00276629" w:rsidRDefault="00120A5D">
            <w:pPr>
              <w:jc w:val="right"/>
            </w:pPr>
            <w:r>
              <w:rPr>
                <w:color w:val="000000"/>
                <w:kern w:val="0"/>
                <w:sz w:val="24"/>
                <w:szCs w:val="24"/>
              </w:rPr>
              <w:t>0.66</w:t>
            </w:r>
          </w:p>
        </w:tc>
      </w:tr>
      <w:tr w:rsidR="00276629">
        <w:tc>
          <w:tcPr>
            <w:tcW w:w="851" w:type="dxa"/>
            <w:vAlign w:val="center"/>
          </w:tcPr>
          <w:p w:rsidR="00276629" w:rsidRDefault="00120A5D">
            <w:pPr>
              <w:jc w:val="center"/>
            </w:pPr>
            <w:r>
              <w:rPr>
                <w:color w:val="000000"/>
                <w:kern w:val="0"/>
                <w:sz w:val="24"/>
                <w:szCs w:val="24"/>
              </w:rPr>
              <w:t>4</w:t>
            </w:r>
          </w:p>
        </w:tc>
        <w:tc>
          <w:tcPr>
            <w:tcW w:w="1276" w:type="dxa"/>
            <w:vAlign w:val="center"/>
          </w:tcPr>
          <w:p w:rsidR="00276629" w:rsidRDefault="00120A5D">
            <w:pPr>
              <w:jc w:val="center"/>
            </w:pPr>
            <w:r>
              <w:rPr>
                <w:color w:val="000000"/>
                <w:kern w:val="0"/>
                <w:sz w:val="24"/>
                <w:szCs w:val="24"/>
              </w:rPr>
              <w:t>600745</w:t>
            </w:r>
          </w:p>
        </w:tc>
        <w:tc>
          <w:tcPr>
            <w:tcW w:w="1418" w:type="dxa"/>
            <w:vAlign w:val="center"/>
          </w:tcPr>
          <w:p w:rsidR="00276629" w:rsidRDefault="00120A5D">
            <w:pPr>
              <w:jc w:val="center"/>
            </w:pPr>
            <w:r>
              <w:rPr>
                <w:color w:val="000000"/>
                <w:kern w:val="0"/>
                <w:sz w:val="24"/>
                <w:szCs w:val="24"/>
              </w:rPr>
              <w:t>闻泰科技</w:t>
            </w:r>
          </w:p>
        </w:tc>
        <w:tc>
          <w:tcPr>
            <w:tcW w:w="1701" w:type="dxa"/>
            <w:vAlign w:val="center"/>
          </w:tcPr>
          <w:p w:rsidR="00276629" w:rsidRDefault="00120A5D">
            <w:pPr>
              <w:jc w:val="right"/>
            </w:pPr>
            <w:r>
              <w:rPr>
                <w:color w:val="000000"/>
                <w:kern w:val="0"/>
                <w:sz w:val="24"/>
                <w:szCs w:val="24"/>
              </w:rPr>
              <w:t>86,800</w:t>
            </w:r>
          </w:p>
        </w:tc>
        <w:tc>
          <w:tcPr>
            <w:tcW w:w="1984" w:type="dxa"/>
            <w:vAlign w:val="center"/>
          </w:tcPr>
          <w:p w:rsidR="00276629" w:rsidRDefault="00120A5D">
            <w:pPr>
              <w:jc w:val="right"/>
            </w:pPr>
            <w:r>
              <w:rPr>
                <w:color w:val="000000"/>
                <w:kern w:val="0"/>
                <w:sz w:val="24"/>
                <w:szCs w:val="24"/>
              </w:rPr>
              <w:t>6,135,892.00</w:t>
            </w:r>
          </w:p>
        </w:tc>
        <w:tc>
          <w:tcPr>
            <w:tcW w:w="1559" w:type="dxa"/>
            <w:vAlign w:val="center"/>
          </w:tcPr>
          <w:p w:rsidR="00276629" w:rsidRDefault="00120A5D">
            <w:pPr>
              <w:jc w:val="right"/>
            </w:pPr>
            <w:r>
              <w:rPr>
                <w:color w:val="000000"/>
                <w:kern w:val="0"/>
                <w:sz w:val="24"/>
                <w:szCs w:val="24"/>
              </w:rPr>
              <w:t>0.64</w:t>
            </w:r>
          </w:p>
        </w:tc>
      </w:tr>
      <w:tr w:rsidR="00276629">
        <w:tc>
          <w:tcPr>
            <w:tcW w:w="851" w:type="dxa"/>
            <w:vAlign w:val="center"/>
          </w:tcPr>
          <w:p w:rsidR="00276629" w:rsidRDefault="00120A5D">
            <w:pPr>
              <w:jc w:val="center"/>
            </w:pPr>
            <w:r>
              <w:rPr>
                <w:color w:val="000000"/>
                <w:kern w:val="0"/>
                <w:sz w:val="24"/>
                <w:szCs w:val="24"/>
              </w:rPr>
              <w:t>5</w:t>
            </w:r>
          </w:p>
        </w:tc>
        <w:tc>
          <w:tcPr>
            <w:tcW w:w="1276" w:type="dxa"/>
            <w:vAlign w:val="center"/>
          </w:tcPr>
          <w:p w:rsidR="00276629" w:rsidRDefault="00120A5D">
            <w:pPr>
              <w:jc w:val="center"/>
            </w:pPr>
            <w:r>
              <w:rPr>
                <w:color w:val="000000"/>
                <w:kern w:val="0"/>
                <w:sz w:val="24"/>
                <w:szCs w:val="24"/>
              </w:rPr>
              <w:t>002405</w:t>
            </w:r>
          </w:p>
        </w:tc>
        <w:tc>
          <w:tcPr>
            <w:tcW w:w="1418" w:type="dxa"/>
            <w:vAlign w:val="center"/>
          </w:tcPr>
          <w:p w:rsidR="00276629" w:rsidRDefault="00120A5D">
            <w:pPr>
              <w:jc w:val="center"/>
            </w:pPr>
            <w:r>
              <w:rPr>
                <w:color w:val="000000"/>
                <w:kern w:val="0"/>
                <w:sz w:val="24"/>
                <w:szCs w:val="24"/>
              </w:rPr>
              <w:t>四维图新</w:t>
            </w:r>
          </w:p>
        </w:tc>
        <w:tc>
          <w:tcPr>
            <w:tcW w:w="1701" w:type="dxa"/>
            <w:vAlign w:val="center"/>
          </w:tcPr>
          <w:p w:rsidR="00276629" w:rsidRDefault="00120A5D">
            <w:pPr>
              <w:jc w:val="right"/>
            </w:pPr>
            <w:r>
              <w:rPr>
                <w:color w:val="000000"/>
                <w:kern w:val="0"/>
                <w:sz w:val="24"/>
                <w:szCs w:val="24"/>
              </w:rPr>
              <w:t>368,000</w:t>
            </w:r>
          </w:p>
        </w:tc>
        <w:tc>
          <w:tcPr>
            <w:tcW w:w="1984" w:type="dxa"/>
            <w:vAlign w:val="center"/>
          </w:tcPr>
          <w:p w:rsidR="00276629" w:rsidRDefault="00120A5D">
            <w:pPr>
              <w:jc w:val="right"/>
            </w:pPr>
            <w:r>
              <w:rPr>
                <w:color w:val="000000"/>
                <w:kern w:val="0"/>
                <w:sz w:val="24"/>
                <w:szCs w:val="24"/>
              </w:rPr>
              <w:t>5,991,040.00</w:t>
            </w:r>
          </w:p>
        </w:tc>
        <w:tc>
          <w:tcPr>
            <w:tcW w:w="1559" w:type="dxa"/>
            <w:vAlign w:val="center"/>
          </w:tcPr>
          <w:p w:rsidR="00276629" w:rsidRDefault="00120A5D">
            <w:pPr>
              <w:jc w:val="right"/>
            </w:pPr>
            <w:r>
              <w:rPr>
                <w:color w:val="000000"/>
                <w:kern w:val="0"/>
                <w:sz w:val="24"/>
                <w:szCs w:val="24"/>
              </w:rPr>
              <w:t>0.62</w:t>
            </w:r>
          </w:p>
        </w:tc>
      </w:tr>
      <w:tr w:rsidR="00276629">
        <w:tc>
          <w:tcPr>
            <w:tcW w:w="851" w:type="dxa"/>
            <w:vAlign w:val="center"/>
          </w:tcPr>
          <w:p w:rsidR="00276629" w:rsidRDefault="00120A5D">
            <w:pPr>
              <w:jc w:val="center"/>
            </w:pPr>
            <w:r>
              <w:rPr>
                <w:color w:val="000000"/>
                <w:kern w:val="0"/>
                <w:sz w:val="24"/>
                <w:szCs w:val="24"/>
              </w:rPr>
              <w:t>6</w:t>
            </w:r>
          </w:p>
        </w:tc>
        <w:tc>
          <w:tcPr>
            <w:tcW w:w="1276" w:type="dxa"/>
            <w:vAlign w:val="center"/>
          </w:tcPr>
          <w:p w:rsidR="00276629" w:rsidRDefault="00120A5D">
            <w:pPr>
              <w:jc w:val="center"/>
            </w:pPr>
            <w:r>
              <w:rPr>
                <w:color w:val="000000"/>
                <w:kern w:val="0"/>
                <w:sz w:val="24"/>
                <w:szCs w:val="24"/>
              </w:rPr>
              <w:t>600872</w:t>
            </w:r>
          </w:p>
        </w:tc>
        <w:tc>
          <w:tcPr>
            <w:tcW w:w="1418" w:type="dxa"/>
            <w:vAlign w:val="center"/>
          </w:tcPr>
          <w:p w:rsidR="00276629" w:rsidRDefault="00120A5D">
            <w:pPr>
              <w:jc w:val="center"/>
            </w:pPr>
            <w:r>
              <w:rPr>
                <w:color w:val="000000"/>
                <w:kern w:val="0"/>
                <w:sz w:val="24"/>
                <w:szCs w:val="24"/>
              </w:rPr>
              <w:t>中炬高新</w:t>
            </w:r>
          </w:p>
        </w:tc>
        <w:tc>
          <w:tcPr>
            <w:tcW w:w="1701" w:type="dxa"/>
            <w:vAlign w:val="center"/>
          </w:tcPr>
          <w:p w:rsidR="00276629" w:rsidRDefault="00120A5D">
            <w:pPr>
              <w:jc w:val="right"/>
            </w:pPr>
            <w:r>
              <w:rPr>
                <w:color w:val="000000"/>
                <w:kern w:val="0"/>
                <w:sz w:val="24"/>
                <w:szCs w:val="24"/>
              </w:rPr>
              <w:t>128,350</w:t>
            </w:r>
          </w:p>
        </w:tc>
        <w:tc>
          <w:tcPr>
            <w:tcW w:w="1984" w:type="dxa"/>
            <w:vAlign w:val="center"/>
          </w:tcPr>
          <w:p w:rsidR="00276629" w:rsidRDefault="00120A5D">
            <w:pPr>
              <w:jc w:val="right"/>
            </w:pPr>
            <w:r>
              <w:rPr>
                <w:color w:val="000000"/>
                <w:kern w:val="0"/>
                <w:sz w:val="24"/>
                <w:szCs w:val="24"/>
              </w:rPr>
              <w:t>5,445,890.50</w:t>
            </w:r>
          </w:p>
        </w:tc>
        <w:tc>
          <w:tcPr>
            <w:tcW w:w="1559" w:type="dxa"/>
            <w:vAlign w:val="center"/>
          </w:tcPr>
          <w:p w:rsidR="00276629" w:rsidRDefault="00120A5D">
            <w:pPr>
              <w:jc w:val="right"/>
            </w:pPr>
            <w:r>
              <w:rPr>
                <w:color w:val="000000"/>
                <w:kern w:val="0"/>
                <w:sz w:val="24"/>
                <w:szCs w:val="24"/>
              </w:rPr>
              <w:t>0.57</w:t>
            </w:r>
          </w:p>
        </w:tc>
      </w:tr>
      <w:tr w:rsidR="00276629">
        <w:tc>
          <w:tcPr>
            <w:tcW w:w="851" w:type="dxa"/>
            <w:vAlign w:val="center"/>
          </w:tcPr>
          <w:p w:rsidR="00276629" w:rsidRDefault="00120A5D">
            <w:pPr>
              <w:jc w:val="center"/>
            </w:pPr>
            <w:r>
              <w:rPr>
                <w:color w:val="000000"/>
                <w:kern w:val="0"/>
                <w:sz w:val="24"/>
                <w:szCs w:val="24"/>
              </w:rPr>
              <w:t>7</w:t>
            </w:r>
          </w:p>
        </w:tc>
        <w:tc>
          <w:tcPr>
            <w:tcW w:w="1276" w:type="dxa"/>
            <w:vAlign w:val="center"/>
          </w:tcPr>
          <w:p w:rsidR="00276629" w:rsidRDefault="00120A5D">
            <w:pPr>
              <w:jc w:val="center"/>
            </w:pPr>
            <w:r>
              <w:rPr>
                <w:color w:val="000000"/>
                <w:kern w:val="0"/>
                <w:sz w:val="24"/>
                <w:szCs w:val="24"/>
              </w:rPr>
              <w:t>000066</w:t>
            </w:r>
          </w:p>
        </w:tc>
        <w:tc>
          <w:tcPr>
            <w:tcW w:w="1418" w:type="dxa"/>
            <w:vAlign w:val="center"/>
          </w:tcPr>
          <w:p w:rsidR="00276629" w:rsidRDefault="00120A5D">
            <w:pPr>
              <w:jc w:val="center"/>
            </w:pPr>
            <w:r>
              <w:rPr>
                <w:color w:val="000000"/>
                <w:kern w:val="0"/>
                <w:sz w:val="24"/>
                <w:szCs w:val="24"/>
              </w:rPr>
              <w:t>中国长城</w:t>
            </w:r>
          </w:p>
        </w:tc>
        <w:tc>
          <w:tcPr>
            <w:tcW w:w="1701" w:type="dxa"/>
            <w:vAlign w:val="center"/>
          </w:tcPr>
          <w:p w:rsidR="00276629" w:rsidRDefault="00120A5D">
            <w:pPr>
              <w:jc w:val="right"/>
            </w:pPr>
            <w:r>
              <w:rPr>
                <w:color w:val="000000"/>
                <w:kern w:val="0"/>
                <w:sz w:val="24"/>
                <w:szCs w:val="24"/>
              </w:rPr>
              <w:t>411,180</w:t>
            </w:r>
          </w:p>
        </w:tc>
        <w:tc>
          <w:tcPr>
            <w:tcW w:w="1984" w:type="dxa"/>
            <w:vAlign w:val="center"/>
          </w:tcPr>
          <w:p w:rsidR="00276629" w:rsidRDefault="00120A5D">
            <w:pPr>
              <w:jc w:val="right"/>
            </w:pPr>
            <w:r>
              <w:rPr>
                <w:color w:val="000000"/>
                <w:kern w:val="0"/>
                <w:sz w:val="24"/>
                <w:szCs w:val="24"/>
              </w:rPr>
              <w:t>5,304,222.00</w:t>
            </w:r>
          </w:p>
        </w:tc>
        <w:tc>
          <w:tcPr>
            <w:tcW w:w="1559" w:type="dxa"/>
            <w:vAlign w:val="center"/>
          </w:tcPr>
          <w:p w:rsidR="00276629" w:rsidRDefault="00120A5D">
            <w:pPr>
              <w:jc w:val="right"/>
            </w:pPr>
            <w:r>
              <w:rPr>
                <w:color w:val="000000"/>
                <w:kern w:val="0"/>
                <w:sz w:val="24"/>
                <w:szCs w:val="24"/>
              </w:rPr>
              <w:t>0.55</w:t>
            </w:r>
          </w:p>
        </w:tc>
      </w:tr>
      <w:tr w:rsidR="00276629">
        <w:tc>
          <w:tcPr>
            <w:tcW w:w="851" w:type="dxa"/>
            <w:vAlign w:val="center"/>
          </w:tcPr>
          <w:p w:rsidR="00276629" w:rsidRDefault="00120A5D">
            <w:pPr>
              <w:jc w:val="center"/>
            </w:pPr>
            <w:r>
              <w:rPr>
                <w:color w:val="000000"/>
                <w:kern w:val="0"/>
                <w:sz w:val="24"/>
                <w:szCs w:val="24"/>
              </w:rPr>
              <w:t>8</w:t>
            </w:r>
          </w:p>
        </w:tc>
        <w:tc>
          <w:tcPr>
            <w:tcW w:w="1276" w:type="dxa"/>
            <w:vAlign w:val="center"/>
          </w:tcPr>
          <w:p w:rsidR="00276629" w:rsidRDefault="00120A5D">
            <w:pPr>
              <w:jc w:val="center"/>
            </w:pPr>
            <w:r>
              <w:rPr>
                <w:color w:val="000000"/>
                <w:kern w:val="0"/>
                <w:sz w:val="24"/>
                <w:szCs w:val="24"/>
              </w:rPr>
              <w:t>002049</w:t>
            </w:r>
          </w:p>
        </w:tc>
        <w:tc>
          <w:tcPr>
            <w:tcW w:w="1418" w:type="dxa"/>
            <w:vAlign w:val="center"/>
          </w:tcPr>
          <w:p w:rsidR="00276629" w:rsidRDefault="00120A5D">
            <w:pPr>
              <w:jc w:val="center"/>
            </w:pPr>
            <w:r>
              <w:rPr>
                <w:color w:val="000000"/>
                <w:kern w:val="0"/>
                <w:sz w:val="24"/>
                <w:szCs w:val="24"/>
              </w:rPr>
              <w:t>紫光国微</w:t>
            </w:r>
          </w:p>
        </w:tc>
        <w:tc>
          <w:tcPr>
            <w:tcW w:w="1701" w:type="dxa"/>
            <w:vAlign w:val="center"/>
          </w:tcPr>
          <w:p w:rsidR="00276629" w:rsidRDefault="00120A5D">
            <w:pPr>
              <w:jc w:val="right"/>
            </w:pPr>
            <w:r>
              <w:rPr>
                <w:color w:val="000000"/>
                <w:kern w:val="0"/>
                <w:sz w:val="24"/>
                <w:szCs w:val="24"/>
              </w:rPr>
              <w:t>99,090</w:t>
            </w:r>
          </w:p>
        </w:tc>
        <w:tc>
          <w:tcPr>
            <w:tcW w:w="1984" w:type="dxa"/>
            <w:vAlign w:val="center"/>
          </w:tcPr>
          <w:p w:rsidR="00276629" w:rsidRDefault="00120A5D">
            <w:pPr>
              <w:jc w:val="right"/>
            </w:pPr>
            <w:r>
              <w:rPr>
                <w:color w:val="000000"/>
                <w:kern w:val="0"/>
                <w:sz w:val="24"/>
                <w:szCs w:val="24"/>
              </w:rPr>
              <w:t>5,062,508.10</w:t>
            </w:r>
          </w:p>
        </w:tc>
        <w:tc>
          <w:tcPr>
            <w:tcW w:w="1559" w:type="dxa"/>
            <w:vAlign w:val="center"/>
          </w:tcPr>
          <w:p w:rsidR="00276629" w:rsidRDefault="00120A5D">
            <w:pPr>
              <w:jc w:val="right"/>
            </w:pPr>
            <w:r>
              <w:rPr>
                <w:color w:val="000000"/>
                <w:kern w:val="0"/>
                <w:sz w:val="24"/>
                <w:szCs w:val="24"/>
              </w:rPr>
              <w:t>0.53</w:t>
            </w:r>
          </w:p>
        </w:tc>
      </w:tr>
      <w:tr w:rsidR="00276629">
        <w:tc>
          <w:tcPr>
            <w:tcW w:w="851" w:type="dxa"/>
            <w:vAlign w:val="center"/>
          </w:tcPr>
          <w:p w:rsidR="00276629" w:rsidRDefault="00120A5D">
            <w:pPr>
              <w:jc w:val="center"/>
            </w:pPr>
            <w:r>
              <w:rPr>
                <w:color w:val="000000"/>
                <w:kern w:val="0"/>
                <w:sz w:val="24"/>
                <w:szCs w:val="24"/>
              </w:rPr>
              <w:t>9</w:t>
            </w:r>
          </w:p>
        </w:tc>
        <w:tc>
          <w:tcPr>
            <w:tcW w:w="1276" w:type="dxa"/>
            <w:vAlign w:val="center"/>
          </w:tcPr>
          <w:p w:rsidR="00276629" w:rsidRDefault="00120A5D">
            <w:pPr>
              <w:jc w:val="center"/>
            </w:pPr>
            <w:r>
              <w:rPr>
                <w:color w:val="000000"/>
                <w:kern w:val="0"/>
                <w:sz w:val="24"/>
                <w:szCs w:val="24"/>
              </w:rPr>
              <w:t>600201</w:t>
            </w:r>
          </w:p>
        </w:tc>
        <w:tc>
          <w:tcPr>
            <w:tcW w:w="1418" w:type="dxa"/>
            <w:vAlign w:val="center"/>
          </w:tcPr>
          <w:p w:rsidR="00276629" w:rsidRDefault="00120A5D">
            <w:pPr>
              <w:jc w:val="center"/>
            </w:pPr>
            <w:r>
              <w:rPr>
                <w:color w:val="000000"/>
                <w:kern w:val="0"/>
                <w:sz w:val="24"/>
                <w:szCs w:val="24"/>
              </w:rPr>
              <w:t>生物股份</w:t>
            </w:r>
          </w:p>
        </w:tc>
        <w:tc>
          <w:tcPr>
            <w:tcW w:w="1701" w:type="dxa"/>
            <w:vAlign w:val="center"/>
          </w:tcPr>
          <w:p w:rsidR="00276629" w:rsidRDefault="00120A5D">
            <w:pPr>
              <w:jc w:val="right"/>
            </w:pPr>
            <w:r>
              <w:rPr>
                <w:color w:val="000000"/>
                <w:kern w:val="0"/>
                <w:sz w:val="24"/>
                <w:szCs w:val="24"/>
              </w:rPr>
              <w:t>262,519</w:t>
            </w:r>
          </w:p>
        </w:tc>
        <w:tc>
          <w:tcPr>
            <w:tcW w:w="1984" w:type="dxa"/>
            <w:vAlign w:val="center"/>
          </w:tcPr>
          <w:p w:rsidR="00276629" w:rsidRDefault="00120A5D">
            <w:pPr>
              <w:jc w:val="right"/>
            </w:pPr>
            <w:r>
              <w:rPr>
                <w:color w:val="000000"/>
                <w:kern w:val="0"/>
                <w:sz w:val="24"/>
                <w:szCs w:val="24"/>
              </w:rPr>
              <w:t>4,953,733.53</w:t>
            </w:r>
          </w:p>
        </w:tc>
        <w:tc>
          <w:tcPr>
            <w:tcW w:w="1559" w:type="dxa"/>
            <w:vAlign w:val="center"/>
          </w:tcPr>
          <w:p w:rsidR="00276629" w:rsidRDefault="00120A5D">
            <w:pPr>
              <w:jc w:val="right"/>
            </w:pPr>
            <w:r>
              <w:rPr>
                <w:color w:val="000000"/>
                <w:kern w:val="0"/>
                <w:sz w:val="24"/>
                <w:szCs w:val="24"/>
              </w:rPr>
              <w:t>0.52</w:t>
            </w:r>
          </w:p>
        </w:tc>
      </w:tr>
      <w:tr w:rsidR="00276629">
        <w:tc>
          <w:tcPr>
            <w:tcW w:w="851" w:type="dxa"/>
            <w:vAlign w:val="center"/>
          </w:tcPr>
          <w:p w:rsidR="00276629" w:rsidRDefault="00120A5D">
            <w:pPr>
              <w:jc w:val="center"/>
            </w:pPr>
            <w:r>
              <w:rPr>
                <w:color w:val="000000"/>
                <w:kern w:val="0"/>
                <w:sz w:val="24"/>
                <w:szCs w:val="24"/>
              </w:rPr>
              <w:t>10</w:t>
            </w:r>
          </w:p>
        </w:tc>
        <w:tc>
          <w:tcPr>
            <w:tcW w:w="1276" w:type="dxa"/>
            <w:vAlign w:val="center"/>
          </w:tcPr>
          <w:p w:rsidR="00276629" w:rsidRDefault="00120A5D">
            <w:pPr>
              <w:jc w:val="center"/>
            </w:pPr>
            <w:r>
              <w:rPr>
                <w:color w:val="000000"/>
                <w:kern w:val="0"/>
                <w:sz w:val="24"/>
                <w:szCs w:val="24"/>
              </w:rPr>
              <w:t>600536</w:t>
            </w:r>
          </w:p>
        </w:tc>
        <w:tc>
          <w:tcPr>
            <w:tcW w:w="1418" w:type="dxa"/>
            <w:vAlign w:val="center"/>
          </w:tcPr>
          <w:p w:rsidR="00276629" w:rsidRDefault="00120A5D">
            <w:pPr>
              <w:jc w:val="center"/>
            </w:pPr>
            <w:r>
              <w:rPr>
                <w:color w:val="000000"/>
                <w:kern w:val="0"/>
                <w:sz w:val="24"/>
                <w:szCs w:val="24"/>
              </w:rPr>
              <w:t>中国软件</w:t>
            </w:r>
          </w:p>
        </w:tc>
        <w:tc>
          <w:tcPr>
            <w:tcW w:w="1701" w:type="dxa"/>
            <w:vAlign w:val="center"/>
          </w:tcPr>
          <w:p w:rsidR="00276629" w:rsidRDefault="00120A5D">
            <w:pPr>
              <w:jc w:val="right"/>
            </w:pPr>
            <w:r>
              <w:rPr>
                <w:color w:val="000000"/>
                <w:kern w:val="0"/>
                <w:sz w:val="24"/>
                <w:szCs w:val="24"/>
              </w:rPr>
              <w:t>67,290</w:t>
            </w:r>
          </w:p>
        </w:tc>
        <w:tc>
          <w:tcPr>
            <w:tcW w:w="1984" w:type="dxa"/>
            <w:vAlign w:val="center"/>
          </w:tcPr>
          <w:p w:rsidR="00276629" w:rsidRDefault="00120A5D">
            <w:pPr>
              <w:jc w:val="right"/>
            </w:pPr>
            <w:r>
              <w:rPr>
                <w:color w:val="000000"/>
                <w:kern w:val="0"/>
                <w:sz w:val="24"/>
                <w:szCs w:val="24"/>
              </w:rPr>
              <w:t>4,830,076.20</w:t>
            </w:r>
          </w:p>
        </w:tc>
        <w:tc>
          <w:tcPr>
            <w:tcW w:w="1559" w:type="dxa"/>
            <w:vAlign w:val="center"/>
          </w:tcPr>
          <w:p w:rsidR="00276629" w:rsidRDefault="00120A5D">
            <w:pPr>
              <w:jc w:val="right"/>
            </w:pPr>
            <w:r>
              <w:rPr>
                <w:color w:val="000000"/>
                <w:kern w:val="0"/>
                <w:sz w:val="24"/>
                <w:szCs w:val="24"/>
              </w:rPr>
              <w:t>0.50</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210,598.73</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210,598.73</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76629">
        <w:tc>
          <w:tcPr>
            <w:tcW w:w="959" w:type="dxa"/>
            <w:vAlign w:val="center"/>
          </w:tcPr>
          <w:p w:rsidR="00276629" w:rsidRDefault="00120A5D">
            <w:pPr>
              <w:jc w:val="center"/>
            </w:pPr>
            <w:r>
              <w:rPr>
                <w:color w:val="000000"/>
                <w:kern w:val="0"/>
                <w:sz w:val="24"/>
                <w:szCs w:val="24"/>
              </w:rPr>
              <w:t>1</w:t>
            </w:r>
          </w:p>
        </w:tc>
        <w:tc>
          <w:tcPr>
            <w:tcW w:w="1276" w:type="dxa"/>
            <w:vAlign w:val="center"/>
          </w:tcPr>
          <w:p w:rsidR="00276629" w:rsidRDefault="00120A5D">
            <w:pPr>
              <w:jc w:val="center"/>
            </w:pPr>
            <w:r>
              <w:rPr>
                <w:color w:val="000000"/>
                <w:kern w:val="0"/>
                <w:sz w:val="24"/>
                <w:szCs w:val="24"/>
              </w:rPr>
              <w:t>128074</w:t>
            </w:r>
          </w:p>
        </w:tc>
        <w:tc>
          <w:tcPr>
            <w:tcW w:w="1275" w:type="dxa"/>
            <w:vAlign w:val="center"/>
          </w:tcPr>
          <w:p w:rsidR="00276629" w:rsidRDefault="00120A5D">
            <w:pPr>
              <w:jc w:val="center"/>
            </w:pPr>
            <w:r>
              <w:rPr>
                <w:color w:val="000000"/>
                <w:kern w:val="0"/>
                <w:sz w:val="24"/>
                <w:szCs w:val="24"/>
              </w:rPr>
              <w:t>游族转债</w:t>
            </w:r>
          </w:p>
        </w:tc>
        <w:tc>
          <w:tcPr>
            <w:tcW w:w="1560" w:type="dxa"/>
            <w:vAlign w:val="center"/>
          </w:tcPr>
          <w:p w:rsidR="00276629" w:rsidRDefault="00120A5D">
            <w:pPr>
              <w:jc w:val="right"/>
            </w:pPr>
            <w:r>
              <w:rPr>
                <w:color w:val="000000"/>
                <w:kern w:val="0"/>
                <w:sz w:val="24"/>
                <w:szCs w:val="24"/>
              </w:rPr>
              <w:t>1,626</w:t>
            </w:r>
          </w:p>
        </w:tc>
        <w:tc>
          <w:tcPr>
            <w:tcW w:w="1984" w:type="dxa"/>
            <w:vAlign w:val="center"/>
          </w:tcPr>
          <w:p w:rsidR="00276629" w:rsidRDefault="00120A5D">
            <w:pPr>
              <w:jc w:val="right"/>
            </w:pPr>
            <w:r>
              <w:rPr>
                <w:color w:val="000000"/>
                <w:kern w:val="0"/>
                <w:sz w:val="24"/>
                <w:szCs w:val="24"/>
              </w:rPr>
              <w:t>162,600.00</w:t>
            </w:r>
          </w:p>
        </w:tc>
        <w:tc>
          <w:tcPr>
            <w:tcW w:w="1474" w:type="dxa"/>
            <w:vAlign w:val="center"/>
          </w:tcPr>
          <w:p w:rsidR="00276629" w:rsidRDefault="00120A5D">
            <w:pPr>
              <w:jc w:val="right"/>
            </w:pPr>
            <w:r>
              <w:rPr>
                <w:color w:val="000000"/>
                <w:kern w:val="0"/>
                <w:sz w:val="24"/>
                <w:szCs w:val="24"/>
              </w:rPr>
              <w:t>0.02</w:t>
            </w:r>
          </w:p>
        </w:tc>
      </w:tr>
      <w:tr w:rsidR="00276629">
        <w:tc>
          <w:tcPr>
            <w:tcW w:w="959" w:type="dxa"/>
            <w:vAlign w:val="center"/>
          </w:tcPr>
          <w:p w:rsidR="00276629" w:rsidRDefault="00120A5D">
            <w:pPr>
              <w:jc w:val="center"/>
            </w:pPr>
            <w:r>
              <w:rPr>
                <w:color w:val="000000"/>
                <w:kern w:val="0"/>
                <w:sz w:val="24"/>
                <w:szCs w:val="24"/>
              </w:rPr>
              <w:t>2</w:t>
            </w:r>
          </w:p>
        </w:tc>
        <w:tc>
          <w:tcPr>
            <w:tcW w:w="1276" w:type="dxa"/>
            <w:vAlign w:val="center"/>
          </w:tcPr>
          <w:p w:rsidR="00276629" w:rsidRDefault="00120A5D">
            <w:pPr>
              <w:jc w:val="center"/>
            </w:pPr>
            <w:r>
              <w:rPr>
                <w:color w:val="000000"/>
                <w:kern w:val="0"/>
                <w:sz w:val="24"/>
                <w:szCs w:val="24"/>
              </w:rPr>
              <w:t>113544</w:t>
            </w:r>
          </w:p>
        </w:tc>
        <w:tc>
          <w:tcPr>
            <w:tcW w:w="1275" w:type="dxa"/>
            <w:vAlign w:val="center"/>
          </w:tcPr>
          <w:p w:rsidR="00276629" w:rsidRDefault="00120A5D">
            <w:pPr>
              <w:jc w:val="center"/>
            </w:pPr>
            <w:r>
              <w:rPr>
                <w:color w:val="000000"/>
                <w:kern w:val="0"/>
                <w:sz w:val="24"/>
                <w:szCs w:val="24"/>
              </w:rPr>
              <w:t>桃李转债</w:t>
            </w:r>
          </w:p>
        </w:tc>
        <w:tc>
          <w:tcPr>
            <w:tcW w:w="1560" w:type="dxa"/>
            <w:vAlign w:val="center"/>
          </w:tcPr>
          <w:p w:rsidR="00276629" w:rsidRDefault="00120A5D">
            <w:pPr>
              <w:jc w:val="right"/>
            </w:pPr>
            <w:r>
              <w:rPr>
                <w:color w:val="000000"/>
                <w:kern w:val="0"/>
                <w:sz w:val="24"/>
                <w:szCs w:val="24"/>
              </w:rPr>
              <w:t>480</w:t>
            </w:r>
          </w:p>
        </w:tc>
        <w:tc>
          <w:tcPr>
            <w:tcW w:w="1984" w:type="dxa"/>
            <w:vAlign w:val="center"/>
          </w:tcPr>
          <w:p w:rsidR="00276629" w:rsidRDefault="00120A5D">
            <w:pPr>
              <w:jc w:val="right"/>
            </w:pPr>
            <w:r>
              <w:rPr>
                <w:color w:val="000000"/>
                <w:kern w:val="0"/>
                <w:sz w:val="24"/>
                <w:szCs w:val="24"/>
              </w:rPr>
              <w:t>47,998.73</w:t>
            </w:r>
          </w:p>
        </w:tc>
        <w:tc>
          <w:tcPr>
            <w:tcW w:w="1474" w:type="dxa"/>
            <w:vAlign w:val="center"/>
          </w:tcPr>
          <w:p w:rsidR="00276629" w:rsidRDefault="00120A5D">
            <w:pPr>
              <w:jc w:val="right"/>
            </w:pPr>
            <w:r>
              <w:rPr>
                <w:color w:val="000000"/>
                <w:kern w:val="0"/>
                <w:sz w:val="24"/>
                <w:szCs w:val="24"/>
              </w:rPr>
              <w:t>0.01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750D48" w:rsidP="00277FAE">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szCs w:val="24"/>
        </w:rPr>
        <w:t xml:space="preserve">5.9.1 </w:t>
      </w:r>
      <w:r w:rsidRPr="001B0A62">
        <w:rPr>
          <w:rFonts w:ascii="宋体" w:hAnsi="宋体" w:hint="eastAsia"/>
          <w:b/>
          <w:bCs/>
          <w:color w:val="000000"/>
          <w:kern w:val="0"/>
          <w:sz w:val="24"/>
          <w:szCs w:val="24"/>
        </w:rPr>
        <w:t>报告期末本基金投资的股指期货持仓和损益明细</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302"/>
        <w:gridCol w:w="993"/>
        <w:gridCol w:w="1700"/>
        <w:gridCol w:w="1641"/>
        <w:gridCol w:w="2074"/>
      </w:tblGrid>
      <w:tr w:rsidR="00277FAE" w:rsidTr="00277FAE">
        <w:trPr>
          <w:trHeight w:val="105"/>
          <w:jc w:val="center"/>
        </w:trPr>
        <w:tc>
          <w:tcPr>
            <w:tcW w:w="113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代码</w:t>
            </w:r>
          </w:p>
        </w:tc>
        <w:tc>
          <w:tcPr>
            <w:tcW w:w="1303"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名称</w:t>
            </w:r>
          </w:p>
        </w:tc>
        <w:tc>
          <w:tcPr>
            <w:tcW w:w="993"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持仓量</w:t>
            </w:r>
          </w:p>
        </w:tc>
        <w:tc>
          <w:tcPr>
            <w:tcW w:w="1700"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合约市值（元）</w:t>
            </w:r>
          </w:p>
        </w:tc>
        <w:tc>
          <w:tcPr>
            <w:tcW w:w="1641"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公允价值变动（元）</w:t>
            </w:r>
          </w:p>
        </w:tc>
        <w:tc>
          <w:tcPr>
            <w:tcW w:w="207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jc w:val="center"/>
              <w:rPr>
                <w:rFonts w:ascii="Times New Roman" w:hAnsi="Times New Roman" w:cs="Times New Roman"/>
                <w:color w:val="auto"/>
              </w:rPr>
            </w:pPr>
            <w:r>
              <w:rPr>
                <w:rFonts w:ascii="Times New Roman" w:hAnsi="Times New Roman" w:cs="Times New Roman" w:hint="eastAsia"/>
                <w:color w:val="auto"/>
              </w:rPr>
              <w:t>风险说明</w:t>
            </w:r>
          </w:p>
        </w:tc>
      </w:tr>
      <w:tr w:rsidR="00276629">
        <w:trPr>
          <w:jc w:val="center"/>
        </w:trPr>
        <w:tc>
          <w:tcPr>
            <w:tcW w:w="1133" w:type="dxa"/>
            <w:vAlign w:val="center"/>
          </w:tcPr>
          <w:p w:rsidR="00276629" w:rsidRDefault="00120A5D">
            <w:pPr>
              <w:jc w:val="center"/>
            </w:pPr>
            <w:r>
              <w:t>IC1910</w:t>
            </w:r>
          </w:p>
        </w:tc>
        <w:tc>
          <w:tcPr>
            <w:tcW w:w="1302" w:type="dxa"/>
            <w:vAlign w:val="center"/>
          </w:tcPr>
          <w:p w:rsidR="00276629" w:rsidRDefault="00120A5D">
            <w:pPr>
              <w:jc w:val="left"/>
            </w:pPr>
            <w:r>
              <w:t>IC1910</w:t>
            </w:r>
          </w:p>
        </w:tc>
        <w:tc>
          <w:tcPr>
            <w:tcW w:w="993" w:type="dxa"/>
            <w:vAlign w:val="center"/>
          </w:tcPr>
          <w:p w:rsidR="00276629" w:rsidRDefault="00120A5D">
            <w:pPr>
              <w:jc w:val="right"/>
            </w:pPr>
            <w:r>
              <w:t>5</w:t>
            </w:r>
          </w:p>
        </w:tc>
        <w:tc>
          <w:tcPr>
            <w:tcW w:w="1700" w:type="dxa"/>
            <w:vAlign w:val="center"/>
          </w:tcPr>
          <w:p w:rsidR="00276629" w:rsidRDefault="00120A5D">
            <w:pPr>
              <w:jc w:val="right"/>
            </w:pPr>
            <w:r>
              <w:t>4,936,400.00</w:t>
            </w:r>
          </w:p>
        </w:tc>
        <w:tc>
          <w:tcPr>
            <w:tcW w:w="1641" w:type="dxa"/>
            <w:vAlign w:val="center"/>
          </w:tcPr>
          <w:p w:rsidR="00276629" w:rsidRDefault="00120A5D">
            <w:pPr>
              <w:jc w:val="right"/>
            </w:pPr>
            <w:r>
              <w:t>120,840.00</w:t>
            </w:r>
          </w:p>
        </w:tc>
        <w:tc>
          <w:tcPr>
            <w:tcW w:w="2074" w:type="dxa"/>
            <w:vAlign w:val="center"/>
          </w:tcPr>
          <w:p w:rsidR="00276629" w:rsidRDefault="00120A5D">
            <w:pPr>
              <w:jc w:val="left"/>
            </w:pPr>
            <w:r>
              <w:t>买入股指期货多头合约的目的是进行更有效的流动性管理，以更好地跟踪标的指数，实现投资目标。</w:t>
            </w:r>
          </w:p>
        </w:tc>
      </w:tr>
      <w:tr w:rsidR="00276629">
        <w:trPr>
          <w:jc w:val="center"/>
        </w:trPr>
        <w:tc>
          <w:tcPr>
            <w:tcW w:w="1133" w:type="dxa"/>
            <w:vAlign w:val="center"/>
          </w:tcPr>
          <w:p w:rsidR="00276629" w:rsidRDefault="00120A5D">
            <w:pPr>
              <w:jc w:val="center"/>
            </w:pPr>
            <w:r>
              <w:t>IC1912</w:t>
            </w:r>
          </w:p>
        </w:tc>
        <w:tc>
          <w:tcPr>
            <w:tcW w:w="1302" w:type="dxa"/>
            <w:vAlign w:val="center"/>
          </w:tcPr>
          <w:p w:rsidR="00276629" w:rsidRDefault="00120A5D">
            <w:pPr>
              <w:jc w:val="left"/>
            </w:pPr>
            <w:r>
              <w:t>IC1912</w:t>
            </w:r>
          </w:p>
        </w:tc>
        <w:tc>
          <w:tcPr>
            <w:tcW w:w="993" w:type="dxa"/>
            <w:vAlign w:val="center"/>
          </w:tcPr>
          <w:p w:rsidR="00276629" w:rsidRDefault="00120A5D">
            <w:pPr>
              <w:jc w:val="right"/>
            </w:pPr>
            <w:r>
              <w:t>69</w:t>
            </w:r>
          </w:p>
        </w:tc>
        <w:tc>
          <w:tcPr>
            <w:tcW w:w="1700" w:type="dxa"/>
            <w:vAlign w:val="center"/>
          </w:tcPr>
          <w:p w:rsidR="00276629" w:rsidRDefault="00120A5D">
            <w:pPr>
              <w:jc w:val="right"/>
            </w:pPr>
            <w:r>
              <w:t>66,990,720.00</w:t>
            </w:r>
          </w:p>
        </w:tc>
        <w:tc>
          <w:tcPr>
            <w:tcW w:w="1641" w:type="dxa"/>
            <w:vAlign w:val="center"/>
          </w:tcPr>
          <w:p w:rsidR="00276629" w:rsidRDefault="00120A5D">
            <w:pPr>
              <w:jc w:val="right"/>
            </w:pPr>
            <w:r>
              <w:t>2,705,680.00</w:t>
            </w:r>
          </w:p>
        </w:tc>
        <w:tc>
          <w:tcPr>
            <w:tcW w:w="2074" w:type="dxa"/>
            <w:vAlign w:val="center"/>
          </w:tcPr>
          <w:p w:rsidR="00276629" w:rsidRDefault="00120A5D">
            <w:pPr>
              <w:jc w:val="left"/>
            </w:pPr>
            <w:r>
              <w:t>买入股指期货多头合约的目的是进行更有效的流动性管理，以更好地跟踪标的指数，实现投资目标。</w:t>
            </w:r>
          </w:p>
        </w:tc>
      </w:tr>
      <w:tr w:rsidR="00276629">
        <w:trPr>
          <w:jc w:val="center"/>
        </w:trPr>
        <w:tc>
          <w:tcPr>
            <w:tcW w:w="1133" w:type="dxa"/>
            <w:vAlign w:val="center"/>
          </w:tcPr>
          <w:p w:rsidR="00276629" w:rsidRDefault="00120A5D">
            <w:pPr>
              <w:jc w:val="center"/>
            </w:pPr>
            <w:r>
              <w:t>IC2003</w:t>
            </w:r>
          </w:p>
        </w:tc>
        <w:tc>
          <w:tcPr>
            <w:tcW w:w="1302" w:type="dxa"/>
            <w:vAlign w:val="center"/>
          </w:tcPr>
          <w:p w:rsidR="00276629" w:rsidRDefault="00120A5D">
            <w:pPr>
              <w:jc w:val="left"/>
            </w:pPr>
            <w:r>
              <w:t>IC2003</w:t>
            </w:r>
          </w:p>
        </w:tc>
        <w:tc>
          <w:tcPr>
            <w:tcW w:w="993" w:type="dxa"/>
            <w:vAlign w:val="center"/>
          </w:tcPr>
          <w:p w:rsidR="00276629" w:rsidRDefault="00120A5D">
            <w:pPr>
              <w:jc w:val="right"/>
            </w:pPr>
            <w:r>
              <w:t>6</w:t>
            </w:r>
          </w:p>
        </w:tc>
        <w:tc>
          <w:tcPr>
            <w:tcW w:w="1700" w:type="dxa"/>
            <w:vAlign w:val="center"/>
          </w:tcPr>
          <w:p w:rsidR="00276629" w:rsidRDefault="00120A5D">
            <w:pPr>
              <w:jc w:val="right"/>
            </w:pPr>
            <w:r>
              <w:t>5,716,800.00</w:t>
            </w:r>
          </w:p>
        </w:tc>
        <w:tc>
          <w:tcPr>
            <w:tcW w:w="1641" w:type="dxa"/>
            <w:vAlign w:val="center"/>
          </w:tcPr>
          <w:p w:rsidR="00276629" w:rsidRDefault="00120A5D">
            <w:pPr>
              <w:jc w:val="right"/>
            </w:pPr>
            <w:r>
              <w:t>213,040.00</w:t>
            </w:r>
          </w:p>
        </w:tc>
        <w:tc>
          <w:tcPr>
            <w:tcW w:w="2074" w:type="dxa"/>
            <w:vAlign w:val="center"/>
          </w:tcPr>
          <w:p w:rsidR="00276629" w:rsidRDefault="00120A5D">
            <w:pPr>
              <w:jc w:val="left"/>
            </w:pPr>
            <w:r>
              <w:t>买入股指期货多头合约的目的是进行更有效的流动性管理，以更好地跟踪标的指数，实现投资目标。</w:t>
            </w:r>
          </w:p>
        </w:tc>
      </w:tr>
      <w:tr w:rsidR="00277FAE" w:rsidTr="00277FAE">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公允价值变动总额合计</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jc w:val="right"/>
              <w:rPr>
                <w:rFonts w:ascii="Times New Roman" w:hAnsi="Times New Roman" w:cs="Times New Roman"/>
                <w:color w:val="auto"/>
              </w:rPr>
            </w:pPr>
            <w:r>
              <w:rPr>
                <w:rFonts w:ascii="Times New Roman" w:hAnsi="Times New Roman" w:cs="Times New Roman"/>
                <w:color w:val="auto"/>
              </w:rPr>
              <w:t>3,039,560.00</w:t>
            </w:r>
          </w:p>
        </w:tc>
      </w:tr>
      <w:tr w:rsidR="00277FAE" w:rsidTr="00277FAE">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color w:val="auto"/>
              </w:rPr>
            </w:pPr>
            <w:r>
              <w:rPr>
                <w:rFonts w:ascii="Times New Roman" w:hAnsi="Times New Roman" w:cs="Times New Roman" w:hint="eastAsia"/>
                <w:color w:val="auto"/>
              </w:rPr>
              <w:t>股指期货投资本期收益</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jc w:val="right"/>
              <w:rPr>
                <w:rFonts w:ascii="Times New Roman" w:hAnsi="Times New Roman" w:cs="Times New Roman"/>
                <w:color w:val="auto"/>
              </w:rPr>
            </w:pPr>
            <w:r>
              <w:rPr>
                <w:rFonts w:ascii="Times New Roman" w:hAnsi="Times New Roman" w:cs="Times New Roman"/>
                <w:color w:val="auto"/>
              </w:rPr>
              <w:t>-</w:t>
            </w:r>
          </w:p>
        </w:tc>
      </w:tr>
      <w:tr w:rsidR="00277FAE" w:rsidTr="00277FAE">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color w:val="auto"/>
              </w:rPr>
            </w:pPr>
            <w:r>
              <w:rPr>
                <w:rFonts w:ascii="Times New Roman" w:hAnsi="Times New Roman" w:cs="Times New Roman" w:hint="eastAsia"/>
                <w:color w:val="auto"/>
              </w:rPr>
              <w:t>股指期货投资本期公允价值变动</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jc w:val="right"/>
              <w:rPr>
                <w:rFonts w:ascii="Times New Roman" w:hAnsi="Times New Roman" w:cs="Times New Roman"/>
                <w:color w:val="auto"/>
              </w:rPr>
            </w:pPr>
            <w:r>
              <w:rPr>
                <w:rFonts w:ascii="Times New Roman" w:hAnsi="Times New Roman" w:cs="Times New Roman"/>
                <w:color w:val="auto"/>
              </w:rPr>
              <w:t>2,843,400.00</w:t>
            </w:r>
          </w:p>
        </w:tc>
      </w:tr>
    </w:tbl>
    <w:p w:rsidR="00750D48" w:rsidRPr="001B0A62" w:rsidRDefault="00750D48" w:rsidP="00277FAE">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 xml:space="preserve">5.9.2 </w:t>
      </w:r>
      <w:r w:rsidRPr="001B0A62">
        <w:rPr>
          <w:rFonts w:ascii="宋体" w:hAnsi="宋体" w:hint="eastAsia"/>
          <w:b/>
          <w:bCs/>
          <w:color w:val="000000"/>
          <w:kern w:val="0"/>
          <w:sz w:val="24"/>
          <w:szCs w:val="24"/>
        </w:rPr>
        <w:t>本基金投资股指期货的投资政策</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可投资股指期货和其他经中国证监会允许的衍生金融产品。本基金将根据风险管理的原则，以套期保值为目的，按照相关法律法规的有关规定，主要选择流动性好、交易活跃的股指期货合约来进行投资。为更有效地进行流动性管理，本基金在出现需要及时调整组合市场暴露情况时，通过股指期货套保交易满足基金的投资替代需求和风险管理需求。本基金力争利用股指期货的杠杆作用，降低股票仓位频繁调整的交易成本和跟踪误差，达到有效跟踪标的指数的目的。本报告期内，本基金投资股指期货符合既定的投资政策和投资目的。</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10,259,885.07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3,251,668.67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16,650.57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13,528,204.31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139,429,797.00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124,200,000.00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72,600,000.00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191,029,797.00</w:t>
            </w:r>
          </w:p>
        </w:tc>
      </w:tr>
    </w:tbl>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注：期初基金总份额包含场外份额</w:t>
      </w:r>
      <w:r w:rsidRPr="006C56AA">
        <w:rPr>
          <w:color w:val="000000"/>
          <w:sz w:val="24"/>
          <w:szCs w:val="24"/>
        </w:rPr>
        <w:t>933,282</w:t>
      </w:r>
      <w:r w:rsidRPr="006C56AA">
        <w:rPr>
          <w:color w:val="000000"/>
          <w:sz w:val="24"/>
          <w:szCs w:val="24"/>
        </w:rPr>
        <w:t>份；期末基金总份额包含场外份额</w:t>
      </w:r>
      <w:r w:rsidRPr="006C56AA">
        <w:rPr>
          <w:color w:val="000000"/>
          <w:sz w:val="24"/>
          <w:szCs w:val="24"/>
        </w:rPr>
        <w:t>933,282</w:t>
      </w:r>
      <w:r w:rsidRPr="006C56AA">
        <w:rPr>
          <w:color w:val="000000"/>
          <w:sz w:val="24"/>
          <w:szCs w:val="24"/>
        </w:rPr>
        <w:t>份。</w:t>
      </w:r>
    </w:p>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8,733,282.00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8,733,282.00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4.57</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276629">
        <w:trPr>
          <w:jc w:val="center"/>
        </w:trPr>
        <w:tc>
          <w:tcPr>
            <w:tcW w:w="1798" w:type="dxa"/>
            <w:vMerge w:val="restart"/>
            <w:vAlign w:val="center"/>
          </w:tcPr>
          <w:p w:rsidR="00276629" w:rsidRDefault="00120A5D">
            <w:r>
              <w:rPr>
                <w:sz w:val="24"/>
                <w:szCs w:val="24"/>
              </w:rPr>
              <w:t>中国工商银行股份有限公司－易方达中证</w:t>
            </w:r>
            <w:r>
              <w:rPr>
                <w:sz w:val="24"/>
                <w:szCs w:val="24"/>
              </w:rPr>
              <w:t>500</w:t>
            </w:r>
            <w:r>
              <w:rPr>
                <w:sz w:val="24"/>
                <w:szCs w:val="24"/>
              </w:rPr>
              <w:t>交易型开放式指数证券投资基金发起式联接基金</w:t>
            </w:r>
          </w:p>
        </w:tc>
        <w:tc>
          <w:tcPr>
            <w:tcW w:w="709" w:type="dxa"/>
            <w:vAlign w:val="center"/>
          </w:tcPr>
          <w:p w:rsidR="00276629" w:rsidRDefault="00120A5D">
            <w:pPr>
              <w:jc w:val="center"/>
            </w:pPr>
            <w:r>
              <w:rPr>
                <w:sz w:val="24"/>
                <w:szCs w:val="24"/>
              </w:rPr>
              <w:t>1</w:t>
            </w:r>
          </w:p>
        </w:tc>
        <w:tc>
          <w:tcPr>
            <w:tcW w:w="1985" w:type="dxa"/>
            <w:vAlign w:val="center"/>
          </w:tcPr>
          <w:p w:rsidR="00276629" w:rsidRDefault="00120A5D">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276629" w:rsidRDefault="00120A5D">
            <w:pPr>
              <w:jc w:val="center"/>
            </w:pPr>
            <w:r>
              <w:rPr>
                <w:sz w:val="24"/>
                <w:szCs w:val="24"/>
              </w:rPr>
              <w:t>104,771,100.00</w:t>
            </w:r>
          </w:p>
        </w:tc>
        <w:tc>
          <w:tcPr>
            <w:tcW w:w="992" w:type="dxa"/>
            <w:vAlign w:val="center"/>
          </w:tcPr>
          <w:p w:rsidR="00276629" w:rsidRDefault="00120A5D">
            <w:pPr>
              <w:jc w:val="center"/>
            </w:pPr>
            <w:r>
              <w:rPr>
                <w:sz w:val="24"/>
                <w:szCs w:val="24"/>
              </w:rPr>
              <w:t>66,300,000.00</w:t>
            </w:r>
          </w:p>
        </w:tc>
        <w:tc>
          <w:tcPr>
            <w:tcW w:w="1134" w:type="dxa"/>
            <w:vAlign w:val="center"/>
          </w:tcPr>
          <w:p w:rsidR="00276629" w:rsidRDefault="00120A5D">
            <w:pPr>
              <w:jc w:val="center"/>
            </w:pPr>
            <w:r>
              <w:rPr>
                <w:sz w:val="24"/>
                <w:szCs w:val="24"/>
              </w:rPr>
              <w:t>28,495,700.00</w:t>
            </w:r>
          </w:p>
        </w:tc>
        <w:tc>
          <w:tcPr>
            <w:tcW w:w="1037" w:type="dxa"/>
            <w:vAlign w:val="center"/>
          </w:tcPr>
          <w:p w:rsidR="00276629" w:rsidRDefault="00120A5D">
            <w:pPr>
              <w:jc w:val="center"/>
            </w:pPr>
            <w:r>
              <w:rPr>
                <w:sz w:val="24"/>
                <w:szCs w:val="24"/>
              </w:rPr>
              <w:t>142,575,400.00</w:t>
            </w:r>
          </w:p>
        </w:tc>
        <w:tc>
          <w:tcPr>
            <w:tcW w:w="851" w:type="dxa"/>
            <w:vAlign w:val="center"/>
          </w:tcPr>
          <w:p w:rsidR="00276629" w:rsidRDefault="00120A5D">
            <w:pPr>
              <w:jc w:val="center"/>
            </w:pPr>
            <w:r>
              <w:rPr>
                <w:sz w:val="24"/>
                <w:szCs w:val="24"/>
              </w:rPr>
              <w:t>74.64%</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FC0759" w:rsidRDefault="001F5F5D" w:rsidP="001F5F5D">
      <w:pPr>
        <w:autoSpaceDE w:val="0"/>
        <w:autoSpaceDN w:val="0"/>
        <w:adjustRightInd w:val="0"/>
        <w:spacing w:line="360" w:lineRule="auto"/>
        <w:ind w:firstLineChars="200" w:firstLine="480"/>
        <w:jc w:val="left"/>
        <w:rPr>
          <w:rFonts w:eastAsiaTheme="minorEastAsia"/>
          <w:bCs/>
          <w:color w:val="000000" w:themeColor="text1"/>
          <w:kern w:val="0"/>
          <w:sz w:val="24"/>
          <w:szCs w:val="24"/>
        </w:rPr>
      </w:pPr>
      <w:r w:rsidRPr="00FC0759">
        <w:rPr>
          <w:bCs/>
          <w:color w:val="000000" w:themeColor="text1"/>
          <w:kern w:val="0"/>
          <w:sz w:val="24"/>
          <w:szCs w:val="24"/>
        </w:rPr>
        <w:t>注：申购份额包括申购或者买入基金份额，赎回份额包括赎回或者卖出基金份额。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276629" w:rsidRDefault="00120A5D">
      <w:pPr>
        <w:spacing w:line="360" w:lineRule="auto"/>
        <w:ind w:firstLineChars="200" w:firstLine="480"/>
        <w:rPr>
          <w:color w:val="000000"/>
          <w:sz w:val="24"/>
          <w:szCs w:val="24"/>
        </w:rPr>
      </w:pPr>
      <w:r>
        <w:rPr>
          <w:color w:val="000000"/>
          <w:sz w:val="24"/>
          <w:szCs w:val="24"/>
        </w:rPr>
        <w:t>1.</w:t>
      </w:r>
      <w:r>
        <w:rPr>
          <w:color w:val="000000"/>
          <w:sz w:val="24"/>
          <w:szCs w:val="24"/>
        </w:rPr>
        <w:t>中国证监会注册易方达中证</w:t>
      </w:r>
      <w:r>
        <w:rPr>
          <w:color w:val="000000"/>
          <w:sz w:val="24"/>
          <w:szCs w:val="24"/>
        </w:rPr>
        <w:t>500</w:t>
      </w:r>
      <w:r>
        <w:rPr>
          <w:color w:val="000000"/>
          <w:sz w:val="24"/>
          <w:szCs w:val="24"/>
        </w:rPr>
        <w:t>交易型开放式指数证券投资基金募集的文件；</w:t>
      </w:r>
    </w:p>
    <w:p w:rsidR="00276629" w:rsidRDefault="00120A5D">
      <w:pPr>
        <w:spacing w:line="360" w:lineRule="auto"/>
        <w:ind w:firstLineChars="200" w:firstLine="480"/>
        <w:rPr>
          <w:color w:val="000000"/>
          <w:sz w:val="24"/>
          <w:szCs w:val="24"/>
        </w:rPr>
      </w:pPr>
      <w:r>
        <w:rPr>
          <w:color w:val="000000"/>
          <w:sz w:val="24"/>
          <w:szCs w:val="24"/>
        </w:rPr>
        <w:t>2.</w:t>
      </w:r>
      <w:r>
        <w:rPr>
          <w:color w:val="000000"/>
          <w:sz w:val="24"/>
          <w:szCs w:val="24"/>
        </w:rPr>
        <w:t>《易方达中证</w:t>
      </w:r>
      <w:r>
        <w:rPr>
          <w:color w:val="000000"/>
          <w:sz w:val="24"/>
          <w:szCs w:val="24"/>
        </w:rPr>
        <w:t>500</w:t>
      </w:r>
      <w:r>
        <w:rPr>
          <w:color w:val="000000"/>
          <w:sz w:val="24"/>
          <w:szCs w:val="24"/>
        </w:rPr>
        <w:t>交易型开放式指数证券投资基金基金合同》；</w:t>
      </w:r>
    </w:p>
    <w:p w:rsidR="00276629" w:rsidRDefault="00120A5D">
      <w:pPr>
        <w:spacing w:line="360" w:lineRule="auto"/>
        <w:ind w:firstLineChars="200" w:firstLine="480"/>
        <w:rPr>
          <w:color w:val="000000"/>
          <w:sz w:val="24"/>
          <w:szCs w:val="24"/>
        </w:rPr>
      </w:pPr>
      <w:r>
        <w:rPr>
          <w:color w:val="000000"/>
          <w:sz w:val="24"/>
          <w:szCs w:val="24"/>
        </w:rPr>
        <w:t>3.</w:t>
      </w:r>
      <w:r>
        <w:rPr>
          <w:color w:val="000000"/>
          <w:sz w:val="24"/>
          <w:szCs w:val="24"/>
        </w:rPr>
        <w:t>《易方达中证</w:t>
      </w:r>
      <w:r>
        <w:rPr>
          <w:color w:val="000000"/>
          <w:sz w:val="24"/>
          <w:szCs w:val="24"/>
        </w:rPr>
        <w:t>500</w:t>
      </w:r>
      <w:r>
        <w:rPr>
          <w:color w:val="000000"/>
          <w:sz w:val="24"/>
          <w:szCs w:val="24"/>
        </w:rPr>
        <w:t>交易型开放式指数证券投资基金托管协议》；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20A5D">
      <w:rPr>
        <w:rStyle w:val="a7"/>
        <w:noProof/>
      </w:rPr>
      <w:t>1</w:t>
    </w:r>
    <w:r>
      <w:rPr>
        <w:rStyle w:val="a7"/>
      </w:rPr>
      <w:fldChar w:fldCharType="end"/>
    </w:r>
    <w:r>
      <w:rPr>
        <w:rStyle w:val="a7"/>
        <w:rFonts w:hint="eastAsia"/>
      </w:rPr>
      <w:t>页共</w:t>
    </w:r>
    <w:r w:rsidR="00120A5D">
      <w:fldChar w:fldCharType="begin"/>
    </w:r>
    <w:r w:rsidR="00120A5D">
      <w:instrText xml:space="preserve"> NUMPAGES  \* Arabic  \* MERGEFORMAT </w:instrText>
    </w:r>
    <w:r w:rsidR="00120A5D">
      <w:fldChar w:fldCharType="separate"/>
    </w:r>
    <w:r w:rsidR="00120A5D" w:rsidRPr="00120A5D">
      <w:rPr>
        <w:rStyle w:val="a7"/>
        <w:noProof/>
      </w:rPr>
      <w:t>3</w:t>
    </w:r>
    <w:r w:rsidR="00120A5D">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20A5D">
      <w:rPr>
        <w:rStyle w:val="a7"/>
        <w:noProof/>
      </w:rPr>
      <w:t>15</w:t>
    </w:r>
    <w:r>
      <w:rPr>
        <w:rStyle w:val="a7"/>
      </w:rPr>
      <w:fldChar w:fldCharType="end"/>
    </w:r>
    <w:r>
      <w:rPr>
        <w:rStyle w:val="a7"/>
        <w:rFonts w:hint="eastAsia"/>
      </w:rPr>
      <w:t>页共</w:t>
    </w:r>
    <w:fldSimple w:instr=" NUMPAGES  \* Arabic  \* MERGEFORMAT ">
      <w:r w:rsidR="00120A5D" w:rsidRPr="00120A5D">
        <w:rPr>
          <w:rStyle w:val="a7"/>
          <w:noProof/>
        </w:rPr>
        <w:t>15</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易方达中证</w:t>
    </w:r>
    <w:r w:rsidRPr="00093704">
      <w:t>500</w:t>
    </w:r>
    <w:r w:rsidRPr="00093704">
      <w:t>交易型开放式指数证券投资基金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20A5D"/>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629"/>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9CDCB-A4CC-4A17-8D17-6CC839C1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1324</Words>
  <Characters>7550</Characters>
  <Application>Microsoft Office Word</Application>
  <DocSecurity>0</DocSecurity>
  <Lines>62</Lines>
  <Paragraphs>17</Paragraphs>
  <ScaleCrop>false</ScaleCrop>
  <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