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易方达上证中盘交易型开放式指数证券投资基金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43DAD" w:rsidRDefault="00835691">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43DAD" w:rsidRDefault="00835691">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43DAD" w:rsidRDefault="00835691">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C43DAD" w:rsidRDefault="00835691">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43DAD" w:rsidRDefault="00835691">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易方达上证中盘</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中盘</w:t>
            </w:r>
            <w:r w:rsidRPr="00232B03">
              <w:rPr>
                <w:kern w:val="0"/>
                <w:sz w:val="24"/>
                <w:szCs w:val="24"/>
              </w:rPr>
              <w:t>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510130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510130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2010</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63,485,089.00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紧密跟踪标的指数，追求跟踪偏离度及跟踪误差的最小化。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本基金采取完全复制法进行投资，即按照上证中盘指数的成份股组成及权重构建股票投资组合。但是当指数编制方法变更、成份股发生变更、成份股权重由于自由流通量发生变化、成份股派发现金股</w:t>
            </w:r>
            <w:r w:rsidRPr="00232B03">
              <w:rPr>
                <w:color w:val="000000"/>
                <w:kern w:val="0"/>
                <w:sz w:val="24"/>
                <w:szCs w:val="24"/>
              </w:rPr>
              <w:lastRenderedPageBreak/>
              <w:t>息、配股及增发、股票长期停牌、市场流动性不足等情况发生，基金管理人无法按照指数构成及权重进行同步调整时，基金管理人将对投资组合进行优化，尽量降低跟踪误差。</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上证中盘指数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本基金属股票型基金，预期风险与收益水平高于混合基金、债券基金与货币市场基金。本基金为指数型基金，采用完全复制法跟踪标的指数的表现，具有与标的指数相似的风险收益特征。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5,079,058.12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-4,322,981.75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-0.0632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243,373,777.50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3.8336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43DAD" w:rsidRDefault="00835691">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C43DAD" w:rsidRDefault="00835691">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2010</w:t>
      </w:r>
      <w:r w:rsidRPr="006506EF">
        <w:rPr>
          <w:color w:val="000000"/>
          <w:sz w:val="24"/>
        </w:rPr>
        <w:t>年</w:t>
      </w:r>
      <w:r w:rsidRPr="006506EF">
        <w:rPr>
          <w:color w:val="000000"/>
          <w:sz w:val="24"/>
        </w:rPr>
        <w:t>5</w:t>
      </w:r>
      <w:r w:rsidRPr="006506EF">
        <w:rPr>
          <w:color w:val="000000"/>
          <w:sz w:val="24"/>
        </w:rPr>
        <w:t>月</w:t>
      </w:r>
      <w:r w:rsidRPr="006506EF">
        <w:rPr>
          <w:color w:val="000000"/>
          <w:sz w:val="24"/>
        </w:rPr>
        <w:t>28</w:t>
      </w:r>
      <w:r w:rsidRPr="006506EF">
        <w:rPr>
          <w:color w:val="000000"/>
          <w:sz w:val="24"/>
        </w:rPr>
        <w:t>日进行了基金份额折算，折算比例为</w:t>
      </w:r>
      <w:r w:rsidRPr="006506EF">
        <w:rPr>
          <w:color w:val="000000"/>
          <w:sz w:val="24"/>
        </w:rPr>
        <w:t>0.34394741</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43DAD">
        <w:tc>
          <w:tcPr>
            <w:tcW w:w="1395" w:type="dxa"/>
            <w:vAlign w:val="center"/>
          </w:tcPr>
          <w:p w:rsidR="00C43DAD" w:rsidRDefault="00835691">
            <w:pPr>
              <w:jc w:val="left"/>
            </w:pPr>
            <w:r>
              <w:rPr>
                <w:color w:val="000000"/>
                <w:kern w:val="0"/>
                <w:sz w:val="24"/>
                <w:szCs w:val="24"/>
              </w:rPr>
              <w:t>过去三个月</w:t>
            </w:r>
          </w:p>
        </w:tc>
        <w:tc>
          <w:tcPr>
            <w:tcW w:w="1092" w:type="dxa"/>
            <w:vAlign w:val="center"/>
          </w:tcPr>
          <w:p w:rsidR="00C43DAD" w:rsidRDefault="00835691">
            <w:pPr>
              <w:jc w:val="center"/>
            </w:pPr>
            <w:r>
              <w:rPr>
                <w:color w:val="000000"/>
                <w:kern w:val="0"/>
                <w:sz w:val="24"/>
                <w:szCs w:val="24"/>
              </w:rPr>
              <w:t>-1.66%</w:t>
            </w:r>
          </w:p>
        </w:tc>
        <w:tc>
          <w:tcPr>
            <w:tcW w:w="1161" w:type="dxa"/>
            <w:vAlign w:val="center"/>
          </w:tcPr>
          <w:p w:rsidR="00C43DAD" w:rsidRDefault="00835691">
            <w:pPr>
              <w:jc w:val="center"/>
            </w:pPr>
            <w:r>
              <w:rPr>
                <w:color w:val="000000"/>
                <w:kern w:val="0"/>
                <w:sz w:val="24"/>
                <w:szCs w:val="24"/>
              </w:rPr>
              <w:t>0.94%</w:t>
            </w:r>
          </w:p>
        </w:tc>
        <w:tc>
          <w:tcPr>
            <w:tcW w:w="1181" w:type="dxa"/>
            <w:vAlign w:val="center"/>
          </w:tcPr>
          <w:p w:rsidR="00C43DAD" w:rsidRDefault="00835691">
            <w:pPr>
              <w:jc w:val="center"/>
            </w:pPr>
            <w:r>
              <w:rPr>
                <w:color w:val="000000"/>
                <w:kern w:val="0"/>
                <w:sz w:val="24"/>
                <w:szCs w:val="24"/>
              </w:rPr>
              <w:t>-3.65%</w:t>
            </w:r>
          </w:p>
        </w:tc>
        <w:tc>
          <w:tcPr>
            <w:tcW w:w="1188" w:type="dxa"/>
            <w:vAlign w:val="center"/>
          </w:tcPr>
          <w:p w:rsidR="00C43DAD" w:rsidRDefault="00835691">
            <w:pPr>
              <w:jc w:val="center"/>
            </w:pPr>
            <w:r>
              <w:rPr>
                <w:color w:val="000000"/>
                <w:kern w:val="0"/>
                <w:sz w:val="24"/>
                <w:szCs w:val="24"/>
              </w:rPr>
              <w:t>0.94%</w:t>
            </w:r>
          </w:p>
        </w:tc>
        <w:tc>
          <w:tcPr>
            <w:tcW w:w="1199" w:type="dxa"/>
            <w:vAlign w:val="center"/>
          </w:tcPr>
          <w:p w:rsidR="00C43DAD" w:rsidRDefault="00835691">
            <w:pPr>
              <w:jc w:val="center"/>
            </w:pPr>
            <w:r>
              <w:rPr>
                <w:color w:val="000000"/>
                <w:kern w:val="0"/>
                <w:sz w:val="24"/>
                <w:szCs w:val="24"/>
              </w:rPr>
              <w:t>1.99%</w:t>
            </w:r>
          </w:p>
        </w:tc>
        <w:tc>
          <w:tcPr>
            <w:tcW w:w="1204" w:type="dxa"/>
            <w:vAlign w:val="center"/>
          </w:tcPr>
          <w:p w:rsidR="00C43DAD" w:rsidRDefault="00835691">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易方达上证中盘交易型开放式指数证券投资基金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2010</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835691"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31.86%</w:t>
      </w:r>
      <w:r w:rsidRPr="006C56AA">
        <w:rPr>
          <w:color w:val="000000"/>
          <w:sz w:val="24"/>
          <w:szCs w:val="24"/>
        </w:rPr>
        <w:t>，同期业绩比较基准收益率为</w:t>
      </w:r>
      <w:r w:rsidRPr="006C56AA">
        <w:rPr>
          <w:color w:val="000000"/>
          <w:sz w:val="24"/>
          <w:szCs w:val="24"/>
        </w:rPr>
        <w:t>5.20%</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43DAD">
        <w:tc>
          <w:tcPr>
            <w:tcW w:w="567" w:type="dxa"/>
            <w:vAlign w:val="center"/>
          </w:tcPr>
          <w:p w:rsidR="00C43DAD" w:rsidRDefault="00835691">
            <w:pPr>
              <w:jc w:val="center"/>
            </w:pPr>
            <w:r>
              <w:rPr>
                <w:color w:val="000000"/>
                <w:sz w:val="24"/>
              </w:rPr>
              <w:t>刘树荣</w:t>
            </w:r>
          </w:p>
        </w:tc>
        <w:tc>
          <w:tcPr>
            <w:tcW w:w="2835" w:type="dxa"/>
            <w:vAlign w:val="center"/>
          </w:tcPr>
          <w:p w:rsidR="00C43DAD" w:rsidRDefault="00835691">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w:t>
            </w:r>
            <w:r>
              <w:rPr>
                <w:color w:val="000000"/>
                <w:sz w:val="24"/>
              </w:rPr>
              <w:t>经理</w:t>
            </w:r>
          </w:p>
        </w:tc>
        <w:tc>
          <w:tcPr>
            <w:tcW w:w="851" w:type="dxa"/>
            <w:vAlign w:val="center"/>
          </w:tcPr>
          <w:p w:rsidR="00C43DAD" w:rsidRDefault="00835691">
            <w:pPr>
              <w:jc w:val="center"/>
            </w:pPr>
            <w:r>
              <w:rPr>
                <w:color w:val="000000"/>
                <w:sz w:val="24"/>
              </w:rPr>
              <w:t>2018-08-11</w:t>
            </w:r>
          </w:p>
        </w:tc>
        <w:tc>
          <w:tcPr>
            <w:tcW w:w="850" w:type="dxa"/>
            <w:vAlign w:val="center"/>
          </w:tcPr>
          <w:p w:rsidR="00C43DAD" w:rsidRDefault="00835691">
            <w:pPr>
              <w:jc w:val="center"/>
            </w:pPr>
            <w:r>
              <w:rPr>
                <w:color w:val="000000"/>
                <w:sz w:val="24"/>
              </w:rPr>
              <w:t>-</w:t>
            </w:r>
          </w:p>
        </w:tc>
        <w:tc>
          <w:tcPr>
            <w:tcW w:w="851" w:type="dxa"/>
            <w:vAlign w:val="center"/>
          </w:tcPr>
          <w:p w:rsidR="00C43DAD" w:rsidRDefault="00835691">
            <w:pPr>
              <w:jc w:val="center"/>
            </w:pPr>
            <w:r>
              <w:rPr>
                <w:color w:val="000000"/>
                <w:sz w:val="24"/>
              </w:rPr>
              <w:t>12</w:t>
            </w:r>
            <w:r>
              <w:rPr>
                <w:color w:val="000000"/>
                <w:sz w:val="24"/>
              </w:rPr>
              <w:t>年</w:t>
            </w:r>
          </w:p>
        </w:tc>
        <w:tc>
          <w:tcPr>
            <w:tcW w:w="2977" w:type="dxa"/>
            <w:vAlign w:val="center"/>
          </w:tcPr>
          <w:p w:rsidR="00C43DAD" w:rsidRDefault="00835691">
            <w:r>
              <w:rPr>
                <w:color w:val="000000"/>
                <w:sz w:val="24"/>
              </w:rPr>
              <w:t>硕士研究生，曾任招商银行资产托管部基金会计，易方达基金管理有限公司核算部基金核算专员、指数与量化投资部运作支持专员、基金经理助理。</w:t>
            </w:r>
          </w:p>
        </w:tc>
      </w:tr>
    </w:tbl>
    <w:p w:rsidR="00C43DAD" w:rsidRDefault="00835691">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43DAD" w:rsidRDefault="00835691">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43DAD" w:rsidRDefault="00835691">
      <w:pPr>
        <w:spacing w:line="360" w:lineRule="auto"/>
        <w:ind w:firstLineChars="200" w:firstLine="480"/>
        <w:rPr>
          <w:color w:val="000000"/>
          <w:sz w:val="24"/>
          <w:szCs w:val="24"/>
        </w:rPr>
      </w:pPr>
      <w:r>
        <w:rPr>
          <w:color w:val="000000"/>
          <w:sz w:val="24"/>
          <w:szCs w:val="24"/>
        </w:rPr>
        <w:t>本基金跟踪的标的指数为上证中盘指数，上证中盘指数由上证</w:t>
      </w:r>
      <w:r>
        <w:rPr>
          <w:color w:val="000000"/>
          <w:sz w:val="24"/>
          <w:szCs w:val="24"/>
        </w:rPr>
        <w:t>180</w:t>
      </w:r>
      <w:r>
        <w:rPr>
          <w:color w:val="000000"/>
          <w:sz w:val="24"/>
          <w:szCs w:val="24"/>
        </w:rPr>
        <w:t>指数成份股中剔除</w:t>
      </w:r>
      <w:r>
        <w:rPr>
          <w:color w:val="000000"/>
          <w:sz w:val="24"/>
          <w:szCs w:val="24"/>
        </w:rPr>
        <w:t>50</w:t>
      </w:r>
      <w:r>
        <w:rPr>
          <w:color w:val="000000"/>
          <w:sz w:val="24"/>
          <w:szCs w:val="24"/>
        </w:rPr>
        <w:t>只上证</w:t>
      </w:r>
      <w:r>
        <w:rPr>
          <w:color w:val="000000"/>
          <w:sz w:val="24"/>
          <w:szCs w:val="24"/>
        </w:rPr>
        <w:t>50</w:t>
      </w:r>
      <w:r>
        <w:rPr>
          <w:color w:val="000000"/>
          <w:sz w:val="24"/>
          <w:szCs w:val="24"/>
        </w:rPr>
        <w:t>指数成份股后剩余的</w:t>
      </w:r>
      <w:r>
        <w:rPr>
          <w:color w:val="000000"/>
          <w:sz w:val="24"/>
          <w:szCs w:val="24"/>
        </w:rPr>
        <w:t>130</w:t>
      </w:r>
      <w:r>
        <w:rPr>
          <w:color w:val="000000"/>
          <w:sz w:val="24"/>
          <w:szCs w:val="24"/>
        </w:rPr>
        <w:t>家成份股构成，以综合反映沪市中盘公司的整体状况。报告期内，本基金主要采取完全复制法的投资策略，即完全按照标的指数的成份股组成及其权重构建基金股票投资组合，并根据标的指数成份股及其权重的变动而进行相应调整。</w:t>
      </w:r>
    </w:p>
    <w:p w:rsidR="00C43DAD" w:rsidRDefault="00835691">
      <w:pPr>
        <w:spacing w:line="360" w:lineRule="auto"/>
        <w:ind w:firstLineChars="200" w:firstLine="480"/>
        <w:rPr>
          <w:color w:val="000000"/>
          <w:sz w:val="24"/>
          <w:szCs w:val="24"/>
        </w:rPr>
      </w:pPr>
      <w:r>
        <w:rPr>
          <w:color w:val="000000"/>
          <w:sz w:val="24"/>
          <w:szCs w:val="24"/>
        </w:rPr>
        <w:t>三季度，在外部不确定性增加以及国内经济下行压力的影响下，国内股票市场波动较大。季初，上证中盘指数跟随市场下跌；</w:t>
      </w:r>
      <w:r>
        <w:rPr>
          <w:color w:val="000000"/>
          <w:sz w:val="24"/>
          <w:szCs w:val="24"/>
        </w:rPr>
        <w:t>8</w:t>
      </w:r>
      <w:r>
        <w:rPr>
          <w:color w:val="000000"/>
          <w:sz w:val="24"/>
          <w:szCs w:val="24"/>
        </w:rPr>
        <w:t>月上旬，在深圳建设中国特色社会主义先行示范区等系列改革、政策出台以及市场对货币环境的宽松预期下，市场做多情绪升温，上证中盘指数也一度反弹</w:t>
      </w:r>
      <w:r>
        <w:rPr>
          <w:color w:val="000000"/>
          <w:sz w:val="24"/>
          <w:szCs w:val="24"/>
        </w:rPr>
        <w:t>10%</w:t>
      </w:r>
      <w:r>
        <w:rPr>
          <w:color w:val="000000"/>
          <w:sz w:val="24"/>
          <w:szCs w:val="24"/>
        </w:rPr>
        <w:t>左右；</w:t>
      </w:r>
      <w:r>
        <w:rPr>
          <w:color w:val="000000"/>
          <w:sz w:val="24"/>
          <w:szCs w:val="24"/>
        </w:rPr>
        <w:t>9</w:t>
      </w:r>
      <w:r>
        <w:rPr>
          <w:color w:val="000000"/>
          <w:sz w:val="24"/>
          <w:szCs w:val="24"/>
        </w:rPr>
        <w:t>月中</w:t>
      </w:r>
      <w:r>
        <w:rPr>
          <w:color w:val="000000"/>
          <w:sz w:val="24"/>
          <w:szCs w:val="24"/>
        </w:rPr>
        <w:t>MLF</w:t>
      </w:r>
      <w:r>
        <w:rPr>
          <w:color w:val="000000"/>
          <w:sz w:val="24"/>
          <w:szCs w:val="24"/>
        </w:rPr>
        <w:t>中标利率维持</w:t>
      </w:r>
      <w:r>
        <w:rPr>
          <w:color w:val="000000"/>
          <w:sz w:val="24"/>
          <w:szCs w:val="24"/>
        </w:rPr>
        <w:t>3.30%</w:t>
      </w:r>
      <w:r>
        <w:rPr>
          <w:color w:val="000000"/>
          <w:sz w:val="24"/>
          <w:szCs w:val="24"/>
        </w:rPr>
        <w:t>不变，此前市场对本次</w:t>
      </w:r>
      <w:r>
        <w:rPr>
          <w:color w:val="000000"/>
          <w:sz w:val="24"/>
          <w:szCs w:val="24"/>
        </w:rPr>
        <w:t>MLF</w:t>
      </w:r>
      <w:r>
        <w:rPr>
          <w:color w:val="000000"/>
          <w:sz w:val="24"/>
          <w:szCs w:val="24"/>
        </w:rPr>
        <w:t>利率下降的预期被打破，国内货币政策宽松幅度低于市场预期，叠加市场前期连续上涨后的获利抛压，市场开始回调。报告期内，上证中盘指数涨幅为</w:t>
      </w:r>
      <w:r>
        <w:rPr>
          <w:color w:val="000000"/>
          <w:sz w:val="24"/>
          <w:szCs w:val="24"/>
        </w:rPr>
        <w:t>-3.7%</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基金运作层面，报告期内，本基金严守基金合同认真对待投资者申购、赎回以及成分股调整事项，保障基金的正常运作，基金跟踪误差以及日均偏离度等指标控制在合同规定范围之内。</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3.8336</w:t>
      </w:r>
      <w:r w:rsidRPr="006C56AA">
        <w:rPr>
          <w:color w:val="000000"/>
          <w:sz w:val="24"/>
          <w:szCs w:val="24"/>
        </w:rPr>
        <w:t>元，本报告期份额净值增长率为</w:t>
      </w:r>
      <w:r w:rsidRPr="006C56AA">
        <w:rPr>
          <w:color w:val="000000"/>
          <w:sz w:val="24"/>
          <w:szCs w:val="24"/>
        </w:rPr>
        <w:t>-1.66%</w:t>
      </w:r>
      <w:r w:rsidRPr="006C56AA">
        <w:rPr>
          <w:color w:val="000000"/>
          <w:sz w:val="24"/>
          <w:szCs w:val="24"/>
        </w:rPr>
        <w:t>，同期业绩比较基准收益率为</w:t>
      </w:r>
      <w:r w:rsidRPr="006C56AA">
        <w:rPr>
          <w:color w:val="000000"/>
          <w:sz w:val="24"/>
          <w:szCs w:val="24"/>
        </w:rPr>
        <w:t>-3.65%</w:t>
      </w:r>
      <w:r w:rsidRPr="006C56AA">
        <w:rPr>
          <w:color w:val="000000"/>
          <w:sz w:val="24"/>
          <w:szCs w:val="24"/>
        </w:rPr>
        <w:t>，年化跟踪误差</w:t>
      </w:r>
      <w:r w:rsidRPr="006C56AA">
        <w:rPr>
          <w:color w:val="000000"/>
          <w:sz w:val="24"/>
          <w:szCs w:val="24"/>
        </w:rPr>
        <w:t>1.10%</w:t>
      </w:r>
      <w:r w:rsidRPr="006C56AA">
        <w:rPr>
          <w:color w:val="000000"/>
          <w:sz w:val="24"/>
          <w:szCs w:val="24"/>
        </w:rPr>
        <w:t>，在合同规定的目标控制范围之内。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239,999,851.75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239,999,851.75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98.43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2,965,003.59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867,628.25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243,832,483.59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注：上表中的股票投资项含可退替代款估值增值，而</w:t>
      </w:r>
      <w:r w:rsidRPr="006C56AA">
        <w:rPr>
          <w:color w:val="000000"/>
          <w:sz w:val="24"/>
          <w:szCs w:val="24"/>
        </w:rPr>
        <w:t>5.2</w:t>
      </w:r>
      <w:r w:rsidRPr="006C56AA">
        <w:rPr>
          <w:color w:val="000000"/>
          <w:sz w:val="24"/>
          <w:szCs w:val="24"/>
        </w:rPr>
        <w:t>的合计项不含可退替代款估值增值。</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588,183.00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12,274,307.19</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5.04</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93,119,011.27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20,659,802.54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7,129,613.69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5,827,729.88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16,730,721.44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6.87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13,965,516.10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58,765,422.56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24.15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9,546,904.08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396,115.00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996,525.00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239,999,851.75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98.61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43DAD">
        <w:tc>
          <w:tcPr>
            <w:tcW w:w="851" w:type="dxa"/>
            <w:vAlign w:val="center"/>
          </w:tcPr>
          <w:p w:rsidR="00C43DAD" w:rsidRDefault="00835691">
            <w:pPr>
              <w:jc w:val="center"/>
            </w:pPr>
            <w:r>
              <w:rPr>
                <w:color w:val="000000"/>
                <w:kern w:val="0"/>
                <w:sz w:val="24"/>
                <w:szCs w:val="24"/>
              </w:rPr>
              <w:t>1</w:t>
            </w:r>
          </w:p>
        </w:tc>
        <w:tc>
          <w:tcPr>
            <w:tcW w:w="1276" w:type="dxa"/>
            <w:vAlign w:val="center"/>
          </w:tcPr>
          <w:p w:rsidR="00C43DAD" w:rsidRDefault="00835691">
            <w:pPr>
              <w:jc w:val="center"/>
            </w:pPr>
            <w:r>
              <w:rPr>
                <w:color w:val="000000"/>
                <w:kern w:val="0"/>
                <w:sz w:val="24"/>
                <w:szCs w:val="24"/>
              </w:rPr>
              <w:t>600900</w:t>
            </w:r>
          </w:p>
        </w:tc>
        <w:tc>
          <w:tcPr>
            <w:tcW w:w="1418" w:type="dxa"/>
            <w:vAlign w:val="center"/>
          </w:tcPr>
          <w:p w:rsidR="00C43DAD" w:rsidRDefault="00835691">
            <w:pPr>
              <w:jc w:val="center"/>
            </w:pPr>
            <w:r>
              <w:rPr>
                <w:color w:val="000000"/>
                <w:kern w:val="0"/>
                <w:sz w:val="24"/>
                <w:szCs w:val="24"/>
              </w:rPr>
              <w:t>长江电力</w:t>
            </w:r>
          </w:p>
        </w:tc>
        <w:tc>
          <w:tcPr>
            <w:tcW w:w="1701" w:type="dxa"/>
            <w:vAlign w:val="center"/>
          </w:tcPr>
          <w:p w:rsidR="00C43DAD" w:rsidRDefault="00835691">
            <w:pPr>
              <w:jc w:val="right"/>
            </w:pPr>
            <w:r>
              <w:rPr>
                <w:color w:val="000000"/>
                <w:kern w:val="0"/>
                <w:sz w:val="24"/>
                <w:szCs w:val="24"/>
              </w:rPr>
              <w:t>568,326</w:t>
            </w:r>
          </w:p>
        </w:tc>
        <w:tc>
          <w:tcPr>
            <w:tcW w:w="1984" w:type="dxa"/>
            <w:vAlign w:val="center"/>
          </w:tcPr>
          <w:p w:rsidR="00C43DAD" w:rsidRDefault="00835691">
            <w:pPr>
              <w:jc w:val="right"/>
            </w:pPr>
            <w:r>
              <w:rPr>
                <w:color w:val="000000"/>
                <w:kern w:val="0"/>
                <w:sz w:val="24"/>
                <w:szCs w:val="24"/>
              </w:rPr>
              <w:t>10,360,582.98</w:t>
            </w:r>
          </w:p>
        </w:tc>
        <w:tc>
          <w:tcPr>
            <w:tcW w:w="1559" w:type="dxa"/>
            <w:vAlign w:val="center"/>
          </w:tcPr>
          <w:p w:rsidR="00C43DAD" w:rsidRDefault="00835691">
            <w:pPr>
              <w:jc w:val="right"/>
            </w:pPr>
            <w:r>
              <w:rPr>
                <w:color w:val="000000"/>
                <w:kern w:val="0"/>
                <w:sz w:val="24"/>
                <w:szCs w:val="24"/>
              </w:rPr>
              <w:t>4.26</w:t>
            </w:r>
          </w:p>
        </w:tc>
      </w:tr>
      <w:tr w:rsidR="00C43DAD">
        <w:tc>
          <w:tcPr>
            <w:tcW w:w="851" w:type="dxa"/>
            <w:vAlign w:val="center"/>
          </w:tcPr>
          <w:p w:rsidR="00C43DAD" w:rsidRDefault="00835691">
            <w:pPr>
              <w:jc w:val="center"/>
            </w:pPr>
            <w:r>
              <w:rPr>
                <w:color w:val="000000"/>
                <w:kern w:val="0"/>
                <w:sz w:val="24"/>
                <w:szCs w:val="24"/>
              </w:rPr>
              <w:t>2</w:t>
            </w:r>
          </w:p>
        </w:tc>
        <w:tc>
          <w:tcPr>
            <w:tcW w:w="1276" w:type="dxa"/>
            <w:vAlign w:val="center"/>
          </w:tcPr>
          <w:p w:rsidR="00C43DAD" w:rsidRDefault="00835691">
            <w:pPr>
              <w:jc w:val="center"/>
            </w:pPr>
            <w:r>
              <w:rPr>
                <w:color w:val="000000"/>
                <w:kern w:val="0"/>
                <w:sz w:val="24"/>
                <w:szCs w:val="24"/>
              </w:rPr>
              <w:t>603288</w:t>
            </w:r>
          </w:p>
        </w:tc>
        <w:tc>
          <w:tcPr>
            <w:tcW w:w="1418" w:type="dxa"/>
            <w:vAlign w:val="center"/>
          </w:tcPr>
          <w:p w:rsidR="00C43DAD" w:rsidRDefault="00835691">
            <w:pPr>
              <w:jc w:val="center"/>
            </w:pPr>
            <w:r>
              <w:rPr>
                <w:color w:val="000000"/>
                <w:kern w:val="0"/>
                <w:sz w:val="24"/>
                <w:szCs w:val="24"/>
              </w:rPr>
              <w:t>海天味业</w:t>
            </w:r>
          </w:p>
        </w:tc>
        <w:tc>
          <w:tcPr>
            <w:tcW w:w="1701" w:type="dxa"/>
            <w:vAlign w:val="center"/>
          </w:tcPr>
          <w:p w:rsidR="00C43DAD" w:rsidRDefault="00835691">
            <w:pPr>
              <w:jc w:val="right"/>
            </w:pPr>
            <w:r>
              <w:rPr>
                <w:color w:val="000000"/>
                <w:kern w:val="0"/>
                <w:sz w:val="24"/>
                <w:szCs w:val="24"/>
              </w:rPr>
              <w:t>70,524</w:t>
            </w:r>
          </w:p>
        </w:tc>
        <w:tc>
          <w:tcPr>
            <w:tcW w:w="1984" w:type="dxa"/>
            <w:vAlign w:val="center"/>
          </w:tcPr>
          <w:p w:rsidR="00C43DAD" w:rsidRDefault="00835691">
            <w:pPr>
              <w:jc w:val="right"/>
            </w:pPr>
            <w:r>
              <w:rPr>
                <w:color w:val="000000"/>
                <w:kern w:val="0"/>
                <w:sz w:val="24"/>
                <w:szCs w:val="24"/>
              </w:rPr>
              <w:t>7,751,292.84</w:t>
            </w:r>
          </w:p>
        </w:tc>
        <w:tc>
          <w:tcPr>
            <w:tcW w:w="1559" w:type="dxa"/>
            <w:vAlign w:val="center"/>
          </w:tcPr>
          <w:p w:rsidR="00C43DAD" w:rsidRDefault="00835691">
            <w:pPr>
              <w:jc w:val="right"/>
            </w:pPr>
            <w:r>
              <w:rPr>
                <w:color w:val="000000"/>
                <w:kern w:val="0"/>
                <w:sz w:val="24"/>
                <w:szCs w:val="24"/>
              </w:rPr>
              <w:t>3.18</w:t>
            </w:r>
          </w:p>
        </w:tc>
      </w:tr>
      <w:tr w:rsidR="00C43DAD">
        <w:tc>
          <w:tcPr>
            <w:tcW w:w="851" w:type="dxa"/>
            <w:vAlign w:val="center"/>
          </w:tcPr>
          <w:p w:rsidR="00C43DAD" w:rsidRDefault="00835691">
            <w:pPr>
              <w:jc w:val="center"/>
            </w:pPr>
            <w:r>
              <w:rPr>
                <w:color w:val="000000"/>
                <w:kern w:val="0"/>
                <w:sz w:val="24"/>
                <w:szCs w:val="24"/>
              </w:rPr>
              <w:t>3</w:t>
            </w:r>
          </w:p>
        </w:tc>
        <w:tc>
          <w:tcPr>
            <w:tcW w:w="1276" w:type="dxa"/>
            <w:vAlign w:val="center"/>
          </w:tcPr>
          <w:p w:rsidR="00C43DAD" w:rsidRDefault="00835691">
            <w:pPr>
              <w:jc w:val="center"/>
            </w:pPr>
            <w:r>
              <w:rPr>
                <w:color w:val="000000"/>
                <w:kern w:val="0"/>
                <w:sz w:val="24"/>
                <w:szCs w:val="24"/>
              </w:rPr>
              <w:t>601169</w:t>
            </w:r>
          </w:p>
        </w:tc>
        <w:tc>
          <w:tcPr>
            <w:tcW w:w="1418" w:type="dxa"/>
            <w:vAlign w:val="center"/>
          </w:tcPr>
          <w:p w:rsidR="00C43DAD" w:rsidRDefault="00835691">
            <w:pPr>
              <w:jc w:val="center"/>
            </w:pPr>
            <w:r>
              <w:rPr>
                <w:color w:val="000000"/>
                <w:kern w:val="0"/>
                <w:sz w:val="24"/>
                <w:szCs w:val="24"/>
              </w:rPr>
              <w:t>北京银行</w:t>
            </w:r>
          </w:p>
        </w:tc>
        <w:tc>
          <w:tcPr>
            <w:tcW w:w="1701" w:type="dxa"/>
            <w:vAlign w:val="center"/>
          </w:tcPr>
          <w:p w:rsidR="00C43DAD" w:rsidRDefault="00835691">
            <w:pPr>
              <w:jc w:val="right"/>
            </w:pPr>
            <w:r>
              <w:rPr>
                <w:color w:val="000000"/>
                <w:kern w:val="0"/>
                <w:sz w:val="24"/>
                <w:szCs w:val="24"/>
              </w:rPr>
              <w:t>1,275,000</w:t>
            </w:r>
          </w:p>
        </w:tc>
        <w:tc>
          <w:tcPr>
            <w:tcW w:w="1984" w:type="dxa"/>
            <w:vAlign w:val="center"/>
          </w:tcPr>
          <w:p w:rsidR="00C43DAD" w:rsidRDefault="00835691">
            <w:pPr>
              <w:jc w:val="right"/>
            </w:pPr>
            <w:r>
              <w:rPr>
                <w:color w:val="000000"/>
                <w:kern w:val="0"/>
                <w:sz w:val="24"/>
                <w:szCs w:val="24"/>
              </w:rPr>
              <w:t>6,834,000.00</w:t>
            </w:r>
          </w:p>
        </w:tc>
        <w:tc>
          <w:tcPr>
            <w:tcW w:w="1559" w:type="dxa"/>
            <w:vAlign w:val="center"/>
          </w:tcPr>
          <w:p w:rsidR="00C43DAD" w:rsidRDefault="00835691">
            <w:pPr>
              <w:jc w:val="right"/>
            </w:pPr>
            <w:r>
              <w:rPr>
                <w:color w:val="000000"/>
                <w:kern w:val="0"/>
                <w:sz w:val="24"/>
                <w:szCs w:val="24"/>
              </w:rPr>
              <w:t>2.81</w:t>
            </w:r>
          </w:p>
        </w:tc>
      </w:tr>
      <w:tr w:rsidR="00C43DAD">
        <w:tc>
          <w:tcPr>
            <w:tcW w:w="851" w:type="dxa"/>
            <w:vAlign w:val="center"/>
          </w:tcPr>
          <w:p w:rsidR="00C43DAD" w:rsidRDefault="00835691">
            <w:pPr>
              <w:jc w:val="center"/>
            </w:pPr>
            <w:r>
              <w:rPr>
                <w:color w:val="000000"/>
                <w:kern w:val="0"/>
                <w:sz w:val="24"/>
                <w:szCs w:val="24"/>
              </w:rPr>
              <w:t>4</w:t>
            </w:r>
          </w:p>
        </w:tc>
        <w:tc>
          <w:tcPr>
            <w:tcW w:w="1276" w:type="dxa"/>
            <w:vAlign w:val="center"/>
          </w:tcPr>
          <w:p w:rsidR="00C43DAD" w:rsidRDefault="00835691">
            <w:pPr>
              <w:jc w:val="center"/>
            </w:pPr>
            <w:r>
              <w:rPr>
                <w:color w:val="000000"/>
                <w:kern w:val="0"/>
                <w:sz w:val="24"/>
                <w:szCs w:val="24"/>
              </w:rPr>
              <w:t>600009</w:t>
            </w:r>
          </w:p>
        </w:tc>
        <w:tc>
          <w:tcPr>
            <w:tcW w:w="1418" w:type="dxa"/>
            <w:vAlign w:val="center"/>
          </w:tcPr>
          <w:p w:rsidR="00C43DAD" w:rsidRDefault="00835691">
            <w:pPr>
              <w:jc w:val="center"/>
            </w:pPr>
            <w:r>
              <w:rPr>
                <w:color w:val="000000"/>
                <w:kern w:val="0"/>
                <w:sz w:val="24"/>
                <w:szCs w:val="24"/>
              </w:rPr>
              <w:t>上海机场</w:t>
            </w:r>
          </w:p>
        </w:tc>
        <w:tc>
          <w:tcPr>
            <w:tcW w:w="1701" w:type="dxa"/>
            <w:vAlign w:val="center"/>
          </w:tcPr>
          <w:p w:rsidR="00C43DAD" w:rsidRDefault="00835691">
            <w:pPr>
              <w:jc w:val="right"/>
            </w:pPr>
            <w:r>
              <w:rPr>
                <w:color w:val="000000"/>
                <w:kern w:val="0"/>
                <w:sz w:val="24"/>
                <w:szCs w:val="24"/>
              </w:rPr>
              <w:t>83,540</w:t>
            </w:r>
          </w:p>
        </w:tc>
        <w:tc>
          <w:tcPr>
            <w:tcW w:w="1984" w:type="dxa"/>
            <w:vAlign w:val="center"/>
          </w:tcPr>
          <w:p w:rsidR="00C43DAD" w:rsidRDefault="00835691">
            <w:pPr>
              <w:jc w:val="right"/>
            </w:pPr>
            <w:r>
              <w:rPr>
                <w:color w:val="000000"/>
                <w:kern w:val="0"/>
                <w:sz w:val="24"/>
                <w:szCs w:val="24"/>
              </w:rPr>
              <w:t>6,664,821.20</w:t>
            </w:r>
          </w:p>
        </w:tc>
        <w:tc>
          <w:tcPr>
            <w:tcW w:w="1559" w:type="dxa"/>
            <w:vAlign w:val="center"/>
          </w:tcPr>
          <w:p w:rsidR="00C43DAD" w:rsidRDefault="00835691">
            <w:pPr>
              <w:jc w:val="right"/>
            </w:pPr>
            <w:r>
              <w:rPr>
                <w:color w:val="000000"/>
                <w:kern w:val="0"/>
                <w:sz w:val="24"/>
                <w:szCs w:val="24"/>
              </w:rPr>
              <w:t>2.74</w:t>
            </w:r>
          </w:p>
        </w:tc>
      </w:tr>
      <w:tr w:rsidR="00C43DAD">
        <w:tc>
          <w:tcPr>
            <w:tcW w:w="851" w:type="dxa"/>
            <w:vAlign w:val="center"/>
          </w:tcPr>
          <w:p w:rsidR="00C43DAD" w:rsidRDefault="00835691">
            <w:pPr>
              <w:jc w:val="center"/>
            </w:pPr>
            <w:r>
              <w:rPr>
                <w:color w:val="000000"/>
                <w:kern w:val="0"/>
                <w:sz w:val="24"/>
                <w:szCs w:val="24"/>
              </w:rPr>
              <w:t>5</w:t>
            </w:r>
          </w:p>
        </w:tc>
        <w:tc>
          <w:tcPr>
            <w:tcW w:w="1276" w:type="dxa"/>
            <w:vAlign w:val="center"/>
          </w:tcPr>
          <w:p w:rsidR="00C43DAD" w:rsidRDefault="00835691">
            <w:pPr>
              <w:jc w:val="center"/>
            </w:pPr>
            <w:r>
              <w:rPr>
                <w:color w:val="000000"/>
                <w:kern w:val="0"/>
                <w:sz w:val="24"/>
                <w:szCs w:val="24"/>
              </w:rPr>
              <w:t>601012</w:t>
            </w:r>
          </w:p>
        </w:tc>
        <w:tc>
          <w:tcPr>
            <w:tcW w:w="1418" w:type="dxa"/>
            <w:vAlign w:val="center"/>
          </w:tcPr>
          <w:p w:rsidR="00C43DAD" w:rsidRDefault="00835691">
            <w:pPr>
              <w:jc w:val="center"/>
            </w:pPr>
            <w:r>
              <w:rPr>
                <w:color w:val="000000"/>
                <w:kern w:val="0"/>
                <w:sz w:val="24"/>
                <w:szCs w:val="24"/>
              </w:rPr>
              <w:t>隆基股份</w:t>
            </w:r>
          </w:p>
        </w:tc>
        <w:tc>
          <w:tcPr>
            <w:tcW w:w="1701" w:type="dxa"/>
            <w:vAlign w:val="center"/>
          </w:tcPr>
          <w:p w:rsidR="00C43DAD" w:rsidRDefault="00835691">
            <w:pPr>
              <w:jc w:val="right"/>
            </w:pPr>
            <w:r>
              <w:rPr>
                <w:color w:val="000000"/>
                <w:kern w:val="0"/>
                <w:sz w:val="24"/>
                <w:szCs w:val="24"/>
              </w:rPr>
              <w:t>218,202</w:t>
            </w:r>
          </w:p>
        </w:tc>
        <w:tc>
          <w:tcPr>
            <w:tcW w:w="1984" w:type="dxa"/>
            <w:vAlign w:val="center"/>
          </w:tcPr>
          <w:p w:rsidR="00C43DAD" w:rsidRDefault="00835691">
            <w:pPr>
              <w:jc w:val="right"/>
            </w:pPr>
            <w:r>
              <w:rPr>
                <w:color w:val="000000"/>
                <w:kern w:val="0"/>
                <w:sz w:val="24"/>
                <w:szCs w:val="24"/>
              </w:rPr>
              <w:t>5,723,438.46</w:t>
            </w:r>
          </w:p>
        </w:tc>
        <w:tc>
          <w:tcPr>
            <w:tcW w:w="1559" w:type="dxa"/>
            <w:vAlign w:val="center"/>
          </w:tcPr>
          <w:p w:rsidR="00C43DAD" w:rsidRDefault="00835691">
            <w:pPr>
              <w:jc w:val="right"/>
            </w:pPr>
            <w:r>
              <w:rPr>
                <w:color w:val="000000"/>
                <w:kern w:val="0"/>
                <w:sz w:val="24"/>
                <w:szCs w:val="24"/>
              </w:rPr>
              <w:t>2.35</w:t>
            </w:r>
          </w:p>
        </w:tc>
      </w:tr>
      <w:tr w:rsidR="00C43DAD">
        <w:tc>
          <w:tcPr>
            <w:tcW w:w="851" w:type="dxa"/>
            <w:vAlign w:val="center"/>
          </w:tcPr>
          <w:p w:rsidR="00C43DAD" w:rsidRDefault="00835691">
            <w:pPr>
              <w:jc w:val="center"/>
            </w:pPr>
            <w:r>
              <w:rPr>
                <w:color w:val="000000"/>
                <w:kern w:val="0"/>
                <w:sz w:val="24"/>
                <w:szCs w:val="24"/>
              </w:rPr>
              <w:t>6</w:t>
            </w:r>
          </w:p>
        </w:tc>
        <w:tc>
          <w:tcPr>
            <w:tcW w:w="1276" w:type="dxa"/>
            <w:vAlign w:val="center"/>
          </w:tcPr>
          <w:p w:rsidR="00C43DAD" w:rsidRDefault="00835691">
            <w:pPr>
              <w:jc w:val="center"/>
            </w:pPr>
            <w:r>
              <w:rPr>
                <w:color w:val="000000"/>
                <w:kern w:val="0"/>
                <w:sz w:val="24"/>
                <w:szCs w:val="24"/>
              </w:rPr>
              <w:t>601009</w:t>
            </w:r>
          </w:p>
        </w:tc>
        <w:tc>
          <w:tcPr>
            <w:tcW w:w="1418" w:type="dxa"/>
            <w:vAlign w:val="center"/>
          </w:tcPr>
          <w:p w:rsidR="00C43DAD" w:rsidRDefault="00835691">
            <w:pPr>
              <w:jc w:val="center"/>
            </w:pPr>
            <w:r>
              <w:rPr>
                <w:color w:val="000000"/>
                <w:kern w:val="0"/>
                <w:sz w:val="24"/>
                <w:szCs w:val="24"/>
              </w:rPr>
              <w:t>南京银行</w:t>
            </w:r>
          </w:p>
        </w:tc>
        <w:tc>
          <w:tcPr>
            <w:tcW w:w="1701" w:type="dxa"/>
            <w:vAlign w:val="center"/>
          </w:tcPr>
          <w:p w:rsidR="00C43DAD" w:rsidRDefault="00835691">
            <w:pPr>
              <w:jc w:val="right"/>
            </w:pPr>
            <w:r>
              <w:rPr>
                <w:color w:val="000000"/>
                <w:kern w:val="0"/>
                <w:sz w:val="24"/>
                <w:szCs w:val="24"/>
              </w:rPr>
              <w:t>511,044</w:t>
            </w:r>
          </w:p>
        </w:tc>
        <w:tc>
          <w:tcPr>
            <w:tcW w:w="1984" w:type="dxa"/>
            <w:vAlign w:val="center"/>
          </w:tcPr>
          <w:p w:rsidR="00C43DAD" w:rsidRDefault="00835691">
            <w:pPr>
              <w:jc w:val="right"/>
            </w:pPr>
            <w:r>
              <w:rPr>
                <w:color w:val="000000"/>
                <w:kern w:val="0"/>
                <w:sz w:val="24"/>
                <w:szCs w:val="24"/>
              </w:rPr>
              <w:t>4,389,867.96</w:t>
            </w:r>
          </w:p>
        </w:tc>
        <w:tc>
          <w:tcPr>
            <w:tcW w:w="1559" w:type="dxa"/>
            <w:vAlign w:val="center"/>
          </w:tcPr>
          <w:p w:rsidR="00C43DAD" w:rsidRDefault="00835691">
            <w:pPr>
              <w:jc w:val="right"/>
            </w:pPr>
            <w:r>
              <w:rPr>
                <w:color w:val="000000"/>
                <w:kern w:val="0"/>
                <w:sz w:val="24"/>
                <w:szCs w:val="24"/>
              </w:rPr>
              <w:t>1.80</w:t>
            </w:r>
          </w:p>
        </w:tc>
      </w:tr>
      <w:tr w:rsidR="00C43DAD">
        <w:tc>
          <w:tcPr>
            <w:tcW w:w="851" w:type="dxa"/>
            <w:vAlign w:val="center"/>
          </w:tcPr>
          <w:p w:rsidR="00C43DAD" w:rsidRDefault="00835691">
            <w:pPr>
              <w:jc w:val="center"/>
            </w:pPr>
            <w:r>
              <w:rPr>
                <w:color w:val="000000"/>
                <w:kern w:val="0"/>
                <w:sz w:val="24"/>
                <w:szCs w:val="24"/>
              </w:rPr>
              <w:t>7</w:t>
            </w:r>
          </w:p>
        </w:tc>
        <w:tc>
          <w:tcPr>
            <w:tcW w:w="1276" w:type="dxa"/>
            <w:vAlign w:val="center"/>
          </w:tcPr>
          <w:p w:rsidR="00C43DAD" w:rsidRDefault="00835691">
            <w:pPr>
              <w:jc w:val="center"/>
            </w:pPr>
            <w:r>
              <w:rPr>
                <w:color w:val="000000"/>
                <w:kern w:val="0"/>
                <w:sz w:val="24"/>
                <w:szCs w:val="24"/>
              </w:rPr>
              <w:t>600570</w:t>
            </w:r>
          </w:p>
        </w:tc>
        <w:tc>
          <w:tcPr>
            <w:tcW w:w="1418" w:type="dxa"/>
            <w:vAlign w:val="center"/>
          </w:tcPr>
          <w:p w:rsidR="00C43DAD" w:rsidRDefault="00835691">
            <w:pPr>
              <w:jc w:val="center"/>
            </w:pPr>
            <w:r>
              <w:rPr>
                <w:color w:val="000000"/>
                <w:kern w:val="0"/>
                <w:sz w:val="24"/>
                <w:szCs w:val="24"/>
              </w:rPr>
              <w:t>恒生电子</w:t>
            </w:r>
          </w:p>
        </w:tc>
        <w:tc>
          <w:tcPr>
            <w:tcW w:w="1701" w:type="dxa"/>
            <w:vAlign w:val="center"/>
          </w:tcPr>
          <w:p w:rsidR="00C43DAD" w:rsidRDefault="00835691">
            <w:pPr>
              <w:jc w:val="right"/>
            </w:pPr>
            <w:r>
              <w:rPr>
                <w:color w:val="000000"/>
                <w:kern w:val="0"/>
                <w:sz w:val="24"/>
                <w:szCs w:val="24"/>
              </w:rPr>
              <w:t>54,929</w:t>
            </w:r>
          </w:p>
        </w:tc>
        <w:tc>
          <w:tcPr>
            <w:tcW w:w="1984" w:type="dxa"/>
            <w:vAlign w:val="center"/>
          </w:tcPr>
          <w:p w:rsidR="00C43DAD" w:rsidRDefault="00835691">
            <w:pPr>
              <w:jc w:val="right"/>
            </w:pPr>
            <w:r>
              <w:rPr>
                <w:color w:val="000000"/>
                <w:kern w:val="0"/>
                <w:sz w:val="24"/>
                <w:szCs w:val="24"/>
              </w:rPr>
              <w:t>4,060,900.97</w:t>
            </w:r>
          </w:p>
        </w:tc>
        <w:tc>
          <w:tcPr>
            <w:tcW w:w="1559" w:type="dxa"/>
            <w:vAlign w:val="center"/>
          </w:tcPr>
          <w:p w:rsidR="00C43DAD" w:rsidRDefault="00835691">
            <w:pPr>
              <w:jc w:val="right"/>
            </w:pPr>
            <w:r>
              <w:rPr>
                <w:color w:val="000000"/>
                <w:kern w:val="0"/>
                <w:sz w:val="24"/>
                <w:szCs w:val="24"/>
              </w:rPr>
              <w:t>1.67</w:t>
            </w:r>
          </w:p>
        </w:tc>
      </w:tr>
      <w:tr w:rsidR="00C43DAD">
        <w:tc>
          <w:tcPr>
            <w:tcW w:w="851" w:type="dxa"/>
            <w:vAlign w:val="center"/>
          </w:tcPr>
          <w:p w:rsidR="00C43DAD" w:rsidRDefault="00835691">
            <w:pPr>
              <w:jc w:val="center"/>
            </w:pPr>
            <w:r>
              <w:rPr>
                <w:color w:val="000000"/>
                <w:kern w:val="0"/>
                <w:sz w:val="24"/>
                <w:szCs w:val="24"/>
              </w:rPr>
              <w:t>8</w:t>
            </w:r>
          </w:p>
        </w:tc>
        <w:tc>
          <w:tcPr>
            <w:tcW w:w="1276" w:type="dxa"/>
            <w:vAlign w:val="center"/>
          </w:tcPr>
          <w:p w:rsidR="00C43DAD" w:rsidRDefault="00835691">
            <w:pPr>
              <w:jc w:val="center"/>
            </w:pPr>
            <w:r>
              <w:rPr>
                <w:color w:val="000000"/>
                <w:kern w:val="0"/>
                <w:sz w:val="24"/>
                <w:szCs w:val="24"/>
              </w:rPr>
              <w:t>600999</w:t>
            </w:r>
          </w:p>
        </w:tc>
        <w:tc>
          <w:tcPr>
            <w:tcW w:w="1418" w:type="dxa"/>
            <w:vAlign w:val="center"/>
          </w:tcPr>
          <w:p w:rsidR="00C43DAD" w:rsidRDefault="00835691">
            <w:pPr>
              <w:jc w:val="center"/>
            </w:pPr>
            <w:r>
              <w:rPr>
                <w:color w:val="000000"/>
                <w:kern w:val="0"/>
                <w:sz w:val="24"/>
                <w:szCs w:val="24"/>
              </w:rPr>
              <w:t>招商证券</w:t>
            </w:r>
          </w:p>
        </w:tc>
        <w:tc>
          <w:tcPr>
            <w:tcW w:w="1701" w:type="dxa"/>
            <w:vAlign w:val="center"/>
          </w:tcPr>
          <w:p w:rsidR="00C43DAD" w:rsidRDefault="00835691">
            <w:pPr>
              <w:jc w:val="right"/>
            </w:pPr>
            <w:r>
              <w:rPr>
                <w:color w:val="000000"/>
                <w:kern w:val="0"/>
                <w:sz w:val="24"/>
                <w:szCs w:val="24"/>
              </w:rPr>
              <w:t>245,600</w:t>
            </w:r>
          </w:p>
        </w:tc>
        <w:tc>
          <w:tcPr>
            <w:tcW w:w="1984" w:type="dxa"/>
            <w:vAlign w:val="center"/>
          </w:tcPr>
          <w:p w:rsidR="00C43DAD" w:rsidRDefault="00835691">
            <w:pPr>
              <w:jc w:val="right"/>
            </w:pPr>
            <w:r>
              <w:rPr>
                <w:color w:val="000000"/>
                <w:kern w:val="0"/>
                <w:sz w:val="24"/>
                <w:szCs w:val="24"/>
              </w:rPr>
              <w:t>4,040,120.00</w:t>
            </w:r>
          </w:p>
        </w:tc>
        <w:tc>
          <w:tcPr>
            <w:tcW w:w="1559" w:type="dxa"/>
            <w:vAlign w:val="center"/>
          </w:tcPr>
          <w:p w:rsidR="00C43DAD" w:rsidRDefault="00835691">
            <w:pPr>
              <w:jc w:val="right"/>
            </w:pPr>
            <w:r>
              <w:rPr>
                <w:color w:val="000000"/>
                <w:kern w:val="0"/>
                <w:sz w:val="24"/>
                <w:szCs w:val="24"/>
              </w:rPr>
              <w:t>1.66</w:t>
            </w:r>
          </w:p>
        </w:tc>
      </w:tr>
      <w:tr w:rsidR="00C43DAD">
        <w:tc>
          <w:tcPr>
            <w:tcW w:w="851" w:type="dxa"/>
            <w:vAlign w:val="center"/>
          </w:tcPr>
          <w:p w:rsidR="00C43DAD" w:rsidRDefault="00835691">
            <w:pPr>
              <w:jc w:val="center"/>
            </w:pPr>
            <w:r>
              <w:rPr>
                <w:color w:val="000000"/>
                <w:kern w:val="0"/>
                <w:sz w:val="24"/>
                <w:szCs w:val="24"/>
              </w:rPr>
              <w:t>9</w:t>
            </w:r>
          </w:p>
        </w:tc>
        <w:tc>
          <w:tcPr>
            <w:tcW w:w="1276" w:type="dxa"/>
            <w:vAlign w:val="center"/>
          </w:tcPr>
          <w:p w:rsidR="00C43DAD" w:rsidRDefault="00835691">
            <w:pPr>
              <w:jc w:val="center"/>
            </w:pPr>
            <w:r>
              <w:rPr>
                <w:color w:val="000000"/>
                <w:kern w:val="0"/>
                <w:sz w:val="24"/>
                <w:szCs w:val="24"/>
              </w:rPr>
              <w:t>600919</w:t>
            </w:r>
          </w:p>
        </w:tc>
        <w:tc>
          <w:tcPr>
            <w:tcW w:w="1418" w:type="dxa"/>
            <w:vAlign w:val="center"/>
          </w:tcPr>
          <w:p w:rsidR="00C43DAD" w:rsidRDefault="00835691">
            <w:pPr>
              <w:jc w:val="center"/>
            </w:pPr>
            <w:r>
              <w:rPr>
                <w:color w:val="000000"/>
                <w:kern w:val="0"/>
                <w:sz w:val="24"/>
                <w:szCs w:val="24"/>
              </w:rPr>
              <w:t>江苏银行</w:t>
            </w:r>
          </w:p>
        </w:tc>
        <w:tc>
          <w:tcPr>
            <w:tcW w:w="1701" w:type="dxa"/>
            <w:vAlign w:val="center"/>
          </w:tcPr>
          <w:p w:rsidR="00C43DAD" w:rsidRDefault="00835691">
            <w:pPr>
              <w:jc w:val="right"/>
            </w:pPr>
            <w:r>
              <w:rPr>
                <w:color w:val="000000"/>
                <w:kern w:val="0"/>
                <w:sz w:val="24"/>
                <w:szCs w:val="24"/>
              </w:rPr>
              <w:t>595,400</w:t>
            </w:r>
          </w:p>
        </w:tc>
        <w:tc>
          <w:tcPr>
            <w:tcW w:w="1984" w:type="dxa"/>
            <w:vAlign w:val="center"/>
          </w:tcPr>
          <w:p w:rsidR="00C43DAD" w:rsidRDefault="00835691">
            <w:pPr>
              <w:jc w:val="right"/>
            </w:pPr>
            <w:r>
              <w:rPr>
                <w:color w:val="000000"/>
                <w:kern w:val="0"/>
                <w:sz w:val="24"/>
                <w:szCs w:val="24"/>
              </w:rPr>
              <w:t>3,995,134.00</w:t>
            </w:r>
          </w:p>
        </w:tc>
        <w:tc>
          <w:tcPr>
            <w:tcW w:w="1559" w:type="dxa"/>
            <w:vAlign w:val="center"/>
          </w:tcPr>
          <w:p w:rsidR="00C43DAD" w:rsidRDefault="00835691">
            <w:pPr>
              <w:jc w:val="right"/>
            </w:pPr>
            <w:r>
              <w:rPr>
                <w:color w:val="000000"/>
                <w:kern w:val="0"/>
                <w:sz w:val="24"/>
                <w:szCs w:val="24"/>
              </w:rPr>
              <w:t>1.64</w:t>
            </w:r>
          </w:p>
        </w:tc>
      </w:tr>
      <w:tr w:rsidR="00C43DAD">
        <w:tc>
          <w:tcPr>
            <w:tcW w:w="851" w:type="dxa"/>
            <w:vAlign w:val="center"/>
          </w:tcPr>
          <w:p w:rsidR="00C43DAD" w:rsidRDefault="00835691">
            <w:pPr>
              <w:jc w:val="center"/>
            </w:pPr>
            <w:r>
              <w:rPr>
                <w:color w:val="000000"/>
                <w:kern w:val="0"/>
                <w:sz w:val="24"/>
                <w:szCs w:val="24"/>
              </w:rPr>
              <w:t>10</w:t>
            </w:r>
          </w:p>
        </w:tc>
        <w:tc>
          <w:tcPr>
            <w:tcW w:w="1276" w:type="dxa"/>
            <w:vAlign w:val="center"/>
          </w:tcPr>
          <w:p w:rsidR="00C43DAD" w:rsidRDefault="00835691">
            <w:pPr>
              <w:jc w:val="center"/>
            </w:pPr>
            <w:r>
              <w:rPr>
                <w:color w:val="000000"/>
                <w:kern w:val="0"/>
                <w:sz w:val="24"/>
                <w:szCs w:val="24"/>
              </w:rPr>
              <w:t>600015</w:t>
            </w:r>
          </w:p>
        </w:tc>
        <w:tc>
          <w:tcPr>
            <w:tcW w:w="1418" w:type="dxa"/>
            <w:vAlign w:val="center"/>
          </w:tcPr>
          <w:p w:rsidR="00C43DAD" w:rsidRDefault="00835691">
            <w:pPr>
              <w:jc w:val="center"/>
            </w:pPr>
            <w:r>
              <w:rPr>
                <w:color w:val="000000"/>
                <w:kern w:val="0"/>
                <w:sz w:val="24"/>
                <w:szCs w:val="24"/>
              </w:rPr>
              <w:t>华夏银行</w:t>
            </w:r>
          </w:p>
        </w:tc>
        <w:tc>
          <w:tcPr>
            <w:tcW w:w="1701" w:type="dxa"/>
            <w:vAlign w:val="center"/>
          </w:tcPr>
          <w:p w:rsidR="00C43DAD" w:rsidRDefault="00835691">
            <w:pPr>
              <w:jc w:val="right"/>
            </w:pPr>
            <w:r>
              <w:rPr>
                <w:color w:val="000000"/>
                <w:kern w:val="0"/>
                <w:sz w:val="24"/>
                <w:szCs w:val="24"/>
              </w:rPr>
              <w:t>529,380</w:t>
            </w:r>
          </w:p>
        </w:tc>
        <w:tc>
          <w:tcPr>
            <w:tcW w:w="1984" w:type="dxa"/>
            <w:vAlign w:val="center"/>
          </w:tcPr>
          <w:p w:rsidR="00C43DAD" w:rsidRDefault="00835691">
            <w:pPr>
              <w:jc w:val="right"/>
            </w:pPr>
            <w:r>
              <w:rPr>
                <w:color w:val="000000"/>
                <w:kern w:val="0"/>
                <w:sz w:val="24"/>
                <w:szCs w:val="24"/>
              </w:rPr>
              <w:t>3,906,824.40</w:t>
            </w:r>
          </w:p>
        </w:tc>
        <w:tc>
          <w:tcPr>
            <w:tcW w:w="1559" w:type="dxa"/>
            <w:vAlign w:val="center"/>
          </w:tcPr>
          <w:p w:rsidR="00C43DAD" w:rsidRDefault="00835691">
            <w:pPr>
              <w:jc w:val="right"/>
            </w:pPr>
            <w:r>
              <w:rPr>
                <w:color w:val="000000"/>
                <w:kern w:val="0"/>
                <w:sz w:val="24"/>
                <w:szCs w:val="24"/>
              </w:rPr>
              <w:t>1.61</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5.11.12019年1月25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90万元行政罚款。</w:t>
      </w:r>
    </w:p>
    <w:p w:rsidR="00C43DAD" w:rsidRDefault="00835691">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9</w:t>
      </w:r>
      <w:r>
        <w:rPr>
          <w:rFonts w:ascii="宋体" w:hAnsi="宋体"/>
          <w:color w:val="000000"/>
          <w:sz w:val="24"/>
          <w:szCs w:val="24"/>
        </w:rPr>
        <w:t>月</w:t>
      </w:r>
      <w:r>
        <w:rPr>
          <w:rFonts w:ascii="宋体" w:hAnsi="宋体"/>
          <w:color w:val="000000"/>
          <w:sz w:val="24"/>
          <w:szCs w:val="24"/>
        </w:rPr>
        <w:t>3</w:t>
      </w:r>
      <w:r>
        <w:rPr>
          <w:rFonts w:ascii="宋体" w:hAnsi="宋体"/>
          <w:color w:val="000000"/>
          <w:sz w:val="24"/>
          <w:szCs w:val="24"/>
        </w:rPr>
        <w:t>日，北京银保监局对北京银行股份有限公司个人消费贷款被挪用于支付购房首付款或投资股权、个别个人商办用房贷款违反房地产调控政策、同业投资通过信托通道违规发放土地储备贷款的行为的违法违规事实，责令改正，并处罚</w:t>
      </w:r>
      <w:r>
        <w:rPr>
          <w:rFonts w:ascii="宋体" w:hAnsi="宋体"/>
          <w:color w:val="000000"/>
          <w:sz w:val="24"/>
          <w:szCs w:val="24"/>
        </w:rPr>
        <w:t>款</w:t>
      </w:r>
      <w:r>
        <w:rPr>
          <w:rFonts w:ascii="宋体" w:hAnsi="宋体"/>
          <w:color w:val="000000"/>
          <w:sz w:val="24"/>
          <w:szCs w:val="24"/>
        </w:rPr>
        <w:t>110</w:t>
      </w:r>
      <w:r>
        <w:rPr>
          <w:rFonts w:ascii="宋体" w:hAnsi="宋体"/>
          <w:color w:val="000000"/>
          <w:sz w:val="24"/>
          <w:szCs w:val="24"/>
        </w:rPr>
        <w:t>万元人民币。</w:t>
      </w:r>
    </w:p>
    <w:p w:rsidR="00C43DAD" w:rsidRDefault="00835691">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9</w:t>
      </w:r>
      <w:r>
        <w:rPr>
          <w:rFonts w:ascii="宋体" w:hAnsi="宋体"/>
          <w:color w:val="000000"/>
          <w:sz w:val="24"/>
          <w:szCs w:val="24"/>
        </w:rPr>
        <w:t>月</w:t>
      </w:r>
      <w:r>
        <w:rPr>
          <w:rFonts w:ascii="宋体" w:hAnsi="宋体"/>
          <w:color w:val="000000"/>
          <w:sz w:val="24"/>
          <w:szCs w:val="24"/>
        </w:rPr>
        <w:t>25</w:t>
      </w:r>
      <w:r>
        <w:rPr>
          <w:rFonts w:ascii="宋体" w:hAnsi="宋体"/>
          <w:color w:val="000000"/>
          <w:sz w:val="24"/>
          <w:szCs w:val="24"/>
        </w:rPr>
        <w:t>日，北京银保监局对北京银行股份有限公司员工大额消费贷款违规行为长期未有效整改、同业业务专营部门制改革不到位、同业投资违规接受第三方金融机构信用担保的违法违规事实，责令改正，并给予合计</w:t>
      </w:r>
      <w:r>
        <w:rPr>
          <w:rFonts w:ascii="宋体" w:hAnsi="宋体"/>
          <w:color w:val="000000"/>
          <w:sz w:val="24"/>
          <w:szCs w:val="24"/>
        </w:rPr>
        <w:t>100</w:t>
      </w:r>
      <w:r>
        <w:rPr>
          <w:rFonts w:ascii="宋体" w:hAnsi="宋体"/>
          <w:color w:val="000000"/>
          <w:sz w:val="24"/>
          <w:szCs w:val="24"/>
        </w:rPr>
        <w:t>万元罚款的行政处罚。</w:t>
      </w:r>
    </w:p>
    <w:p w:rsidR="00C43DAD" w:rsidRDefault="00835691">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日，宁波银保监局对华夏银行股份有限公司信用卡中心信用卡业务管理严重不审慎的违法违规事实，罚款人民币</w:t>
      </w:r>
      <w:r>
        <w:rPr>
          <w:rFonts w:ascii="宋体" w:hAnsi="宋体"/>
          <w:color w:val="000000"/>
          <w:sz w:val="24"/>
          <w:szCs w:val="24"/>
        </w:rPr>
        <w:t>30</w:t>
      </w:r>
      <w:r>
        <w:rPr>
          <w:rFonts w:ascii="宋体" w:hAnsi="宋体"/>
          <w:color w:val="000000"/>
          <w:sz w:val="24"/>
          <w:szCs w:val="24"/>
        </w:rPr>
        <w:t>万元。</w:t>
      </w:r>
    </w:p>
    <w:p w:rsidR="00C43DAD" w:rsidRDefault="00835691">
      <w:pPr>
        <w:spacing w:line="360" w:lineRule="auto"/>
        <w:rPr>
          <w:rFonts w:ascii="宋体" w:hAnsi="宋体"/>
          <w:color w:val="000000"/>
          <w:sz w:val="24"/>
          <w:szCs w:val="24"/>
        </w:rPr>
      </w:pPr>
      <w:r>
        <w:rPr>
          <w:rFonts w:ascii="宋体" w:hAnsi="宋体"/>
          <w:color w:val="000000"/>
          <w:sz w:val="24"/>
          <w:szCs w:val="24"/>
        </w:rPr>
        <w:t>本基金为指数型基金，上述股票系标的指数成份股，上述股票的投资决策程序符合公司投资制度的规定。除江苏银行、北京银行、华夏银行外，本基金投资的其他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3,906.79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863,202.20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519.26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867,628.25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71,085,089.00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8,400,000.00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63,485,089.00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C43DAD">
        <w:trPr>
          <w:jc w:val="center"/>
        </w:trPr>
        <w:tc>
          <w:tcPr>
            <w:tcW w:w="1798" w:type="dxa"/>
            <w:vMerge w:val="restart"/>
            <w:vAlign w:val="center"/>
          </w:tcPr>
          <w:p w:rsidR="00C43DAD" w:rsidRDefault="00835691">
            <w:r>
              <w:rPr>
                <w:sz w:val="24"/>
                <w:szCs w:val="24"/>
              </w:rPr>
              <w:t>中国工商银行股份有限公司－易方达上证中盘交易型开放式指数证券投资基金联接基金</w:t>
            </w:r>
          </w:p>
        </w:tc>
        <w:tc>
          <w:tcPr>
            <w:tcW w:w="709" w:type="dxa"/>
            <w:vAlign w:val="center"/>
          </w:tcPr>
          <w:p w:rsidR="00C43DAD" w:rsidRDefault="00835691">
            <w:pPr>
              <w:jc w:val="center"/>
            </w:pPr>
            <w:r>
              <w:rPr>
                <w:sz w:val="24"/>
                <w:szCs w:val="24"/>
              </w:rPr>
              <w:t>1</w:t>
            </w:r>
          </w:p>
        </w:tc>
        <w:tc>
          <w:tcPr>
            <w:tcW w:w="1985" w:type="dxa"/>
            <w:vAlign w:val="center"/>
          </w:tcPr>
          <w:p w:rsidR="00C43DAD" w:rsidRDefault="00835691">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C43DAD" w:rsidRDefault="00835691">
            <w:pPr>
              <w:jc w:val="center"/>
            </w:pPr>
            <w:r>
              <w:rPr>
                <w:sz w:val="24"/>
                <w:szCs w:val="24"/>
              </w:rPr>
              <w:t>58,993,715.00</w:t>
            </w:r>
          </w:p>
        </w:tc>
        <w:tc>
          <w:tcPr>
            <w:tcW w:w="992" w:type="dxa"/>
            <w:vAlign w:val="center"/>
          </w:tcPr>
          <w:p w:rsidR="00C43DAD" w:rsidRDefault="00835691">
            <w:pPr>
              <w:jc w:val="center"/>
            </w:pPr>
            <w:r>
              <w:rPr>
                <w:sz w:val="24"/>
                <w:szCs w:val="24"/>
              </w:rPr>
              <w:t>1,114,333.00</w:t>
            </w:r>
          </w:p>
        </w:tc>
        <w:tc>
          <w:tcPr>
            <w:tcW w:w="1134" w:type="dxa"/>
            <w:vAlign w:val="center"/>
          </w:tcPr>
          <w:p w:rsidR="00C43DAD" w:rsidRDefault="00835691">
            <w:pPr>
              <w:jc w:val="center"/>
            </w:pPr>
            <w:r>
              <w:rPr>
                <w:sz w:val="24"/>
                <w:szCs w:val="24"/>
              </w:rPr>
              <w:t>8,400,000.00</w:t>
            </w:r>
          </w:p>
        </w:tc>
        <w:tc>
          <w:tcPr>
            <w:tcW w:w="1037" w:type="dxa"/>
            <w:vAlign w:val="center"/>
          </w:tcPr>
          <w:p w:rsidR="00C43DAD" w:rsidRDefault="00835691">
            <w:pPr>
              <w:jc w:val="center"/>
            </w:pPr>
            <w:r>
              <w:rPr>
                <w:sz w:val="24"/>
                <w:szCs w:val="24"/>
              </w:rPr>
              <w:t>51,708,048.00</w:t>
            </w:r>
          </w:p>
        </w:tc>
        <w:tc>
          <w:tcPr>
            <w:tcW w:w="851" w:type="dxa"/>
            <w:vAlign w:val="center"/>
          </w:tcPr>
          <w:p w:rsidR="00C43DAD" w:rsidRDefault="00835691">
            <w:pPr>
              <w:jc w:val="center"/>
            </w:pPr>
            <w:r>
              <w:rPr>
                <w:sz w:val="24"/>
                <w:szCs w:val="24"/>
              </w:rPr>
              <w:t>81.45%</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C43DAD" w:rsidRDefault="00835691">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中国证监会核准易方达上证中盘交易型开放式指数证券投资基金募集的文件；</w:t>
      </w:r>
    </w:p>
    <w:p w:rsidR="00C43DAD" w:rsidRDefault="00835691">
      <w:pPr>
        <w:spacing w:line="360" w:lineRule="auto"/>
        <w:ind w:firstLineChars="200" w:firstLine="480"/>
        <w:rPr>
          <w:color w:val="000000"/>
          <w:sz w:val="24"/>
          <w:szCs w:val="24"/>
        </w:rPr>
      </w:pPr>
      <w:r>
        <w:rPr>
          <w:color w:val="000000"/>
          <w:sz w:val="24"/>
          <w:szCs w:val="24"/>
        </w:rPr>
        <w:t>2.</w:t>
      </w:r>
      <w:r>
        <w:rPr>
          <w:color w:val="000000"/>
          <w:sz w:val="24"/>
          <w:szCs w:val="24"/>
        </w:rPr>
        <w:t>《易方达上证中盘交易型开放式指数证券投资基金基金合同》；</w:t>
      </w:r>
    </w:p>
    <w:p w:rsidR="00C43DAD" w:rsidRDefault="00835691">
      <w:pPr>
        <w:spacing w:line="360" w:lineRule="auto"/>
        <w:ind w:firstLineChars="200" w:firstLine="480"/>
        <w:rPr>
          <w:color w:val="000000"/>
          <w:sz w:val="24"/>
          <w:szCs w:val="24"/>
        </w:rPr>
      </w:pPr>
      <w:r>
        <w:rPr>
          <w:color w:val="000000"/>
          <w:sz w:val="24"/>
          <w:szCs w:val="24"/>
        </w:rPr>
        <w:t>3.</w:t>
      </w:r>
      <w:r>
        <w:rPr>
          <w:color w:val="000000"/>
          <w:sz w:val="24"/>
          <w:szCs w:val="24"/>
        </w:rPr>
        <w:t>《易方达上证中盘交易型开放式指数证券投资基金托管协议》；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35691">
      <w:rPr>
        <w:rStyle w:val="a7"/>
        <w:noProof/>
      </w:rPr>
      <w:t>1</w:t>
    </w:r>
    <w:r>
      <w:rPr>
        <w:rStyle w:val="a7"/>
      </w:rPr>
      <w:fldChar w:fldCharType="end"/>
    </w:r>
    <w:r>
      <w:rPr>
        <w:rStyle w:val="a7"/>
        <w:rFonts w:hint="eastAsia"/>
      </w:rPr>
      <w:t>页共</w:t>
    </w:r>
    <w:r w:rsidR="00835691">
      <w:fldChar w:fldCharType="begin"/>
    </w:r>
    <w:r w:rsidR="00835691">
      <w:instrText xml:space="preserve"> NUMPAGES  \* Arabic  \* MERGEFORMAT </w:instrText>
    </w:r>
    <w:r w:rsidR="00835691">
      <w:fldChar w:fldCharType="separate"/>
    </w:r>
    <w:r w:rsidR="00835691" w:rsidRPr="00835691">
      <w:rPr>
        <w:rStyle w:val="a7"/>
        <w:noProof/>
      </w:rPr>
      <w:t>3</w:t>
    </w:r>
    <w:r w:rsidR="00835691">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835691">
      <w:rPr>
        <w:rStyle w:val="a7"/>
        <w:noProof/>
      </w:rPr>
      <w:t>13</w:t>
    </w:r>
    <w:r>
      <w:rPr>
        <w:rStyle w:val="a7"/>
      </w:rPr>
      <w:fldChar w:fldCharType="end"/>
    </w:r>
    <w:r>
      <w:rPr>
        <w:rStyle w:val="a7"/>
        <w:rFonts w:hint="eastAsia"/>
      </w:rPr>
      <w:t>页共</w:t>
    </w:r>
    <w:fldSimple w:instr=" NUMPAGES  \* Arabic  \* MERGEFORMAT ">
      <w:r w:rsidR="00835691" w:rsidRPr="00835691">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易方达上证中盘交易型开放式指数证券投资基金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5691"/>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3DAD"/>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CB0D-C1C0-47AF-93B1-9D580170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