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D8" w:rsidRPr="00272E0C" w:rsidRDefault="001C36D8" w:rsidP="00074E9F">
      <w:pPr>
        <w:autoSpaceDE w:val="0"/>
        <w:autoSpaceDN w:val="0"/>
        <w:adjustRightInd w:val="0"/>
        <w:spacing w:line="360" w:lineRule="auto"/>
        <w:jc w:val="left"/>
        <w:rPr>
          <w:rFonts w:ascii="宋体" w:cs="Arial"/>
          <w:color w:val="000000"/>
          <w:kern w:val="0"/>
          <w:sz w:val="24"/>
        </w:rPr>
      </w:pPr>
      <w:bookmarkStart w:id="0" w:name="_GoBack"/>
      <w:bookmarkEnd w:id="0"/>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易方达国企改革指数分级证券投资基金</w:t>
      </w: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2019年第3季度报告</w:t>
      </w:r>
    </w:p>
    <w:p w:rsidR="001C36D8" w:rsidRPr="00717C29" w:rsidRDefault="001C36D8" w:rsidP="007951F3">
      <w:pPr>
        <w:spacing w:line="360" w:lineRule="auto"/>
        <w:jc w:val="center"/>
        <w:rPr>
          <w:rFonts w:ascii="宋体" w:hAnsi="宋体"/>
          <w:b/>
          <w:sz w:val="24"/>
          <w:szCs w:val="36"/>
        </w:rPr>
      </w:pPr>
      <w:r w:rsidRPr="00717C29">
        <w:rPr>
          <w:rFonts w:ascii="宋体" w:hAnsi="宋体"/>
          <w:b/>
          <w:sz w:val="24"/>
          <w:szCs w:val="36"/>
        </w:rPr>
        <w:t>2019年9月30日</w:t>
      </w: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rPr>
          <w:rFonts w:ascii="宋体"/>
          <w:b/>
          <w:color w:val="000000"/>
          <w:sz w:val="24"/>
        </w:rPr>
      </w:pP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基金管理人：</w:t>
      </w:r>
      <w:r w:rsidRPr="00272E0C">
        <w:rPr>
          <w:rFonts w:ascii="宋体" w:hAnsi="宋体"/>
          <w:b/>
          <w:color w:val="000000"/>
          <w:sz w:val="24"/>
        </w:rPr>
        <w:t>易方达基金管理有限公司</w:t>
      </w: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基金托管人：</w:t>
      </w:r>
      <w:r w:rsidRPr="00272E0C">
        <w:rPr>
          <w:rFonts w:ascii="宋体" w:hAnsi="宋体"/>
          <w:b/>
          <w:color w:val="000000"/>
          <w:sz w:val="24"/>
        </w:rPr>
        <w:t>中国建设银行股份有限公司</w:t>
      </w:r>
    </w:p>
    <w:p w:rsidR="001C36D8" w:rsidRPr="00272E0C" w:rsidRDefault="001C36D8" w:rsidP="0015779C">
      <w:pPr>
        <w:spacing w:line="360" w:lineRule="auto"/>
        <w:ind w:firstLineChars="900" w:firstLine="2168"/>
        <w:rPr>
          <w:rFonts w:ascii="宋体" w:hAnsi="宋体"/>
          <w:b/>
          <w:color w:val="000000"/>
          <w:sz w:val="24"/>
        </w:rPr>
        <w:sectPr w:rsidR="001C36D8" w:rsidRPr="00272E0C" w:rsidSect="00230A66">
          <w:headerReference w:type="default" r:id="rId7"/>
          <w:footerReference w:type="default" r:id="rId8"/>
          <w:pgSz w:w="11926" w:h="15840"/>
          <w:pgMar w:top="1418" w:right="1418" w:bottom="851" w:left="1418" w:header="851" w:footer="992" w:gutter="0"/>
          <w:cols w:space="720"/>
          <w:noEndnote/>
        </w:sectPr>
      </w:pPr>
      <w:r w:rsidRPr="00272E0C">
        <w:rPr>
          <w:rFonts w:ascii="宋体" w:hAnsi="宋体" w:hint="eastAsia"/>
          <w:b/>
          <w:color w:val="000000"/>
          <w:sz w:val="24"/>
        </w:rPr>
        <w:t>报告送出日期：</w:t>
      </w:r>
      <w:r w:rsidRPr="00272E0C">
        <w:rPr>
          <w:rFonts w:ascii="宋体" w:hAnsi="宋体"/>
          <w:b/>
          <w:color w:val="000000"/>
          <w:sz w:val="24"/>
        </w:rPr>
        <w:t>二〇一九年十月二十四日</w:t>
      </w:r>
    </w:p>
    <w:p w:rsidR="001C36D8" w:rsidRPr="00272E0C" w:rsidRDefault="001C36D8" w:rsidP="005C6DF3">
      <w:pPr>
        <w:pStyle w:val="1"/>
        <w:spacing w:beforeLines="100" w:before="312" w:afterLines="100" w:after="312" w:line="360" w:lineRule="auto"/>
        <w:jc w:val="center"/>
        <w:rPr>
          <w:rFonts w:ascii="宋体" w:cs="Arial"/>
          <w:b w:val="0"/>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 xml:space="preserve">1  </w:t>
      </w:r>
      <w:r w:rsidRPr="00272E0C">
        <w:rPr>
          <w:rFonts w:ascii="宋体" w:hAnsi="宋体" w:cs="Arial" w:hint="eastAsia"/>
          <w:color w:val="000000"/>
          <w:kern w:val="0"/>
          <w:sz w:val="24"/>
          <w:szCs w:val="24"/>
        </w:rPr>
        <w:t>重要提示</w:t>
      </w:r>
    </w:p>
    <w:p w:rsidR="00F4239C" w:rsidRDefault="00F13295">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4239C" w:rsidRDefault="00F13295">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4239C" w:rsidRDefault="00F13295">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4239C" w:rsidRDefault="00F13295">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F4239C" w:rsidRDefault="00F13295">
      <w:pPr>
        <w:spacing w:line="360" w:lineRule="auto"/>
        <w:ind w:firstLineChars="200" w:firstLine="480"/>
        <w:rPr>
          <w:color w:val="000000"/>
          <w:sz w:val="24"/>
        </w:rPr>
      </w:pPr>
      <w:r>
        <w:rPr>
          <w:color w:val="000000"/>
          <w:sz w:val="24"/>
        </w:rPr>
        <w:t>本报告中财务资料未经审计。</w:t>
      </w:r>
    </w:p>
    <w:p w:rsidR="001C36D8" w:rsidRPr="00CC0C03" w:rsidRDefault="001C36D8" w:rsidP="00CC0C03">
      <w:pPr>
        <w:spacing w:line="360" w:lineRule="auto"/>
        <w:ind w:firstLineChars="200" w:firstLine="480"/>
        <w:rPr>
          <w:color w:val="000000"/>
          <w:sz w:val="24"/>
        </w:rPr>
      </w:pPr>
      <w:r w:rsidRPr="00CC0C03">
        <w:rPr>
          <w:color w:val="000000"/>
          <w:sz w:val="24"/>
        </w:rPr>
        <w:t>本报告期自</w:t>
      </w:r>
      <w:r w:rsidRPr="00CC0C03">
        <w:rPr>
          <w:color w:val="000000"/>
          <w:sz w:val="24"/>
        </w:rPr>
        <w:t>2019</w:t>
      </w:r>
      <w:r w:rsidRPr="00CC0C03">
        <w:rPr>
          <w:color w:val="000000"/>
          <w:sz w:val="24"/>
        </w:rPr>
        <w:t>年</w:t>
      </w:r>
      <w:r w:rsidRPr="00CC0C03">
        <w:rPr>
          <w:color w:val="000000"/>
          <w:sz w:val="24"/>
        </w:rPr>
        <w:t>7</w:t>
      </w:r>
      <w:r w:rsidRPr="00CC0C03">
        <w:rPr>
          <w:color w:val="000000"/>
          <w:sz w:val="24"/>
        </w:rPr>
        <w:t>月</w:t>
      </w:r>
      <w:r w:rsidRPr="00CC0C03">
        <w:rPr>
          <w:color w:val="000000"/>
          <w:sz w:val="24"/>
        </w:rPr>
        <w:t>1</w:t>
      </w:r>
      <w:r w:rsidRPr="00CC0C03">
        <w:rPr>
          <w:color w:val="000000"/>
          <w:sz w:val="24"/>
        </w:rPr>
        <w:t>日起至</w:t>
      </w:r>
      <w:r w:rsidRPr="00CC0C03">
        <w:rPr>
          <w:color w:val="000000"/>
          <w:sz w:val="24"/>
        </w:rPr>
        <w:t>9</w:t>
      </w:r>
      <w:r w:rsidRPr="00CC0C03">
        <w:rPr>
          <w:color w:val="000000"/>
          <w:sz w:val="24"/>
        </w:rPr>
        <w:t>月</w:t>
      </w:r>
      <w:r w:rsidRPr="00CC0C03">
        <w:rPr>
          <w:color w:val="000000"/>
          <w:sz w:val="24"/>
        </w:rPr>
        <w:t>30</w:t>
      </w:r>
      <w:r w:rsidRPr="00CC0C03">
        <w:rPr>
          <w:color w:val="000000"/>
          <w:sz w:val="24"/>
        </w:rPr>
        <w:t>日止。</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2  </w:t>
      </w:r>
      <w:r w:rsidRPr="00272E0C">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1C36D8" w:rsidRPr="00272E0C" w:rsidTr="007A6BEA">
        <w:tc>
          <w:tcPr>
            <w:tcW w:w="2835" w:type="dxa"/>
          </w:tcPr>
          <w:p w:rsidR="001C36D8" w:rsidRPr="004C6E88" w:rsidRDefault="001C36D8" w:rsidP="007A6BEA">
            <w:pPr>
              <w:adjustRightInd w:val="0"/>
              <w:spacing w:before="29" w:line="360" w:lineRule="auto"/>
              <w:ind w:left="17"/>
              <w:jc w:val="left"/>
              <w:rPr>
                <w:rFonts w:eastAsiaTheme="minorEastAsia"/>
                <w:kern w:val="0"/>
                <w:sz w:val="24"/>
              </w:rPr>
            </w:pPr>
            <w:r w:rsidRPr="004C6E88">
              <w:rPr>
                <w:rFonts w:eastAsiaTheme="minorEastAsia"/>
                <w:kern w:val="0"/>
                <w:sz w:val="24"/>
              </w:rPr>
              <w:t>基金简称</w:t>
            </w:r>
          </w:p>
        </w:tc>
        <w:tc>
          <w:tcPr>
            <w:tcW w:w="5479" w:type="dxa"/>
            <w:gridSpan w:val="3"/>
          </w:tcPr>
          <w:p w:rsidR="001C36D8" w:rsidRPr="004C6E88" w:rsidRDefault="001C36D8"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易方达国企改革分级</w:t>
            </w:r>
          </w:p>
        </w:tc>
      </w:tr>
      <w:tr w:rsidR="001C36D8" w:rsidRPr="00272E0C" w:rsidTr="002A44F9">
        <w:tc>
          <w:tcPr>
            <w:tcW w:w="2835" w:type="dxa"/>
          </w:tcPr>
          <w:p w:rsidR="001C36D8" w:rsidRPr="004C6E88" w:rsidRDefault="001C36D8">
            <w:pPr>
              <w:adjustRightInd w:val="0"/>
              <w:spacing w:before="29" w:line="360" w:lineRule="auto"/>
              <w:ind w:left="17"/>
              <w:jc w:val="left"/>
              <w:rPr>
                <w:rFonts w:eastAsiaTheme="minorEastAsia"/>
                <w:kern w:val="0"/>
                <w:sz w:val="24"/>
              </w:rPr>
            </w:pPr>
            <w:r w:rsidRPr="004C6E88">
              <w:rPr>
                <w:rFonts w:eastAsiaTheme="minorEastAsia"/>
                <w:kern w:val="0"/>
                <w:sz w:val="24"/>
              </w:rPr>
              <w:t>基金主代码</w:t>
            </w:r>
          </w:p>
        </w:tc>
        <w:tc>
          <w:tcPr>
            <w:tcW w:w="5479" w:type="dxa"/>
            <w:gridSpan w:val="3"/>
          </w:tcPr>
          <w:p w:rsidR="001C36D8" w:rsidRPr="004C6E88" w:rsidRDefault="001C36D8">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502006</w:t>
            </w:r>
          </w:p>
        </w:tc>
      </w:tr>
      <w:tr w:rsidR="003A768B" w:rsidRPr="00272E0C" w:rsidTr="002A44F9">
        <w:tc>
          <w:tcPr>
            <w:tcW w:w="2835" w:type="dxa"/>
          </w:tcPr>
          <w:p w:rsidR="003A768B" w:rsidRPr="004C6E88" w:rsidRDefault="003A768B" w:rsidP="00E43B0B">
            <w:pPr>
              <w:adjustRightInd w:val="0"/>
              <w:spacing w:before="29" w:line="360" w:lineRule="auto"/>
              <w:ind w:left="17"/>
              <w:jc w:val="left"/>
              <w:rPr>
                <w:rFonts w:eastAsiaTheme="minorEastAsia"/>
                <w:kern w:val="0"/>
                <w:sz w:val="24"/>
              </w:rPr>
            </w:pPr>
            <w:r w:rsidRPr="004C6E88">
              <w:rPr>
                <w:rFonts w:eastAsiaTheme="minorEastAsia"/>
                <w:kern w:val="0"/>
                <w:sz w:val="24"/>
              </w:rPr>
              <w:t>交易代码</w:t>
            </w:r>
          </w:p>
        </w:tc>
        <w:tc>
          <w:tcPr>
            <w:tcW w:w="5479" w:type="dxa"/>
            <w:gridSpan w:val="3"/>
          </w:tcPr>
          <w:p w:rsidR="003A768B" w:rsidRPr="004C6E88" w:rsidRDefault="003A768B" w:rsidP="00E43B0B">
            <w:pPr>
              <w:adjustRightInd w:val="0"/>
              <w:spacing w:before="29" w:line="360" w:lineRule="auto"/>
              <w:ind w:left="17"/>
              <w:jc w:val="left"/>
              <w:rPr>
                <w:rFonts w:eastAsiaTheme="minorEastAsia"/>
                <w:color w:val="000000"/>
                <w:kern w:val="0"/>
                <w:sz w:val="24"/>
              </w:rPr>
            </w:pPr>
            <w:r w:rsidRPr="004C6E88">
              <w:rPr>
                <w:rFonts w:eastAsiaTheme="minorEastAsia"/>
                <w:kern w:val="0"/>
                <w:sz w:val="24"/>
              </w:rPr>
              <w:t>502006</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基金运作方式</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契约型开放式、分级基金</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基金合同生效日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2015</w:t>
            </w:r>
            <w:r w:rsidRPr="004C6E88">
              <w:rPr>
                <w:rFonts w:eastAsiaTheme="minorEastAsia"/>
                <w:color w:val="000000"/>
                <w:kern w:val="0"/>
                <w:sz w:val="24"/>
              </w:rPr>
              <w:t>年</w:t>
            </w:r>
            <w:r w:rsidRPr="004C6E88">
              <w:rPr>
                <w:rFonts w:eastAsiaTheme="minorEastAsia"/>
                <w:color w:val="000000"/>
                <w:kern w:val="0"/>
                <w:sz w:val="24"/>
              </w:rPr>
              <w:t>6</w:t>
            </w:r>
            <w:r w:rsidRPr="004C6E88">
              <w:rPr>
                <w:rFonts w:eastAsiaTheme="minorEastAsia"/>
                <w:color w:val="000000"/>
                <w:kern w:val="0"/>
                <w:sz w:val="24"/>
              </w:rPr>
              <w:t>月</w:t>
            </w:r>
            <w:r w:rsidRPr="004C6E88">
              <w:rPr>
                <w:rFonts w:eastAsiaTheme="minorEastAsia"/>
                <w:color w:val="000000"/>
                <w:kern w:val="0"/>
                <w:sz w:val="24"/>
              </w:rPr>
              <w:t>15</w:t>
            </w:r>
            <w:r w:rsidRPr="004C6E88">
              <w:rPr>
                <w:rFonts w:eastAsiaTheme="minorEastAsia"/>
                <w:color w:val="000000"/>
                <w:kern w:val="0"/>
                <w:sz w:val="24"/>
              </w:rPr>
              <w:t>日</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报告期末基金份额总额</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258,938,978.03</w:t>
            </w:r>
            <w:r w:rsidRPr="004C6E88">
              <w:rPr>
                <w:rFonts w:eastAsiaTheme="minorEastAsia"/>
                <w:color w:val="000000"/>
                <w:kern w:val="0"/>
                <w:sz w:val="24"/>
              </w:rPr>
              <w:t>份</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投资目标</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紧密追踪业绩比较基准，追求跟踪偏离度与跟踪误差的最小化。</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投资策略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主要采取完全复制法进行投资，即完全按照标的指数的成份股组成及权重构建基金投资组合，并根据标的指数成份股及其权重的变动进行相应调整，以达到紧密跟踪标的指数的目的。本基金力争将年化跟踪误差控制在</w:t>
            </w:r>
            <w:r w:rsidRPr="004C6E88">
              <w:rPr>
                <w:rFonts w:eastAsiaTheme="minorEastAsia"/>
                <w:color w:val="000000"/>
                <w:kern w:val="0"/>
                <w:sz w:val="24"/>
              </w:rPr>
              <w:t>4%</w:t>
            </w:r>
            <w:r w:rsidRPr="004C6E88">
              <w:rPr>
                <w:rFonts w:eastAsiaTheme="minorEastAsia"/>
                <w:color w:val="000000"/>
                <w:kern w:val="0"/>
                <w:sz w:val="24"/>
              </w:rPr>
              <w:t>以内，日跟踪偏离度</w:t>
            </w:r>
            <w:r w:rsidRPr="004C6E88">
              <w:rPr>
                <w:rFonts w:eastAsiaTheme="minorEastAsia"/>
                <w:color w:val="000000"/>
                <w:kern w:val="0"/>
                <w:sz w:val="24"/>
              </w:rPr>
              <w:lastRenderedPageBreak/>
              <w:t>绝对值的平均值控制在</w:t>
            </w:r>
            <w:r w:rsidRPr="004C6E88">
              <w:rPr>
                <w:rFonts w:eastAsiaTheme="minorEastAsia"/>
                <w:color w:val="000000"/>
                <w:kern w:val="0"/>
                <w:sz w:val="24"/>
              </w:rPr>
              <w:t>0.35%</w:t>
            </w:r>
            <w:r w:rsidRPr="004C6E88">
              <w:rPr>
                <w:rFonts w:eastAsiaTheme="minorEastAsia"/>
                <w:color w:val="000000"/>
                <w:kern w:val="0"/>
                <w:sz w:val="24"/>
              </w:rPr>
              <w:t>以内。</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lastRenderedPageBreak/>
              <w:t>业绩比较基准</w:t>
            </w:r>
          </w:p>
        </w:tc>
        <w:tc>
          <w:tcPr>
            <w:tcW w:w="5479" w:type="dxa"/>
            <w:gridSpan w:val="3"/>
          </w:tcPr>
          <w:p w:rsidR="003A768B" w:rsidRPr="004C6E88" w:rsidRDefault="003A768B" w:rsidP="00CD0AAD">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95%×</w:t>
            </w:r>
            <w:r w:rsidRPr="004C6E88">
              <w:rPr>
                <w:rFonts w:eastAsiaTheme="minorEastAsia"/>
                <w:color w:val="000000"/>
                <w:kern w:val="0"/>
                <w:sz w:val="24"/>
              </w:rPr>
              <w:t>中证国有企业改革指数收益率＋</w:t>
            </w:r>
            <w:r w:rsidRPr="004C6E88">
              <w:rPr>
                <w:rFonts w:eastAsiaTheme="minorEastAsia"/>
                <w:color w:val="000000"/>
                <w:kern w:val="0"/>
                <w:sz w:val="24"/>
              </w:rPr>
              <w:t>5%×</w:t>
            </w:r>
            <w:r w:rsidRPr="004C6E88">
              <w:rPr>
                <w:rFonts w:eastAsiaTheme="minorEastAsia"/>
                <w:color w:val="000000"/>
                <w:kern w:val="0"/>
                <w:sz w:val="24"/>
              </w:rPr>
              <w:t>同期银行活期存款利率（税后）</w:t>
            </w:r>
          </w:p>
        </w:tc>
      </w:tr>
      <w:tr w:rsidR="003A768B" w:rsidRPr="00272E0C" w:rsidTr="00A008DA">
        <w:tc>
          <w:tcPr>
            <w:tcW w:w="2835" w:type="dxa"/>
          </w:tcPr>
          <w:p w:rsidR="003A768B" w:rsidRPr="004C6E88" w:rsidRDefault="003A768B" w:rsidP="00A008DA">
            <w:pPr>
              <w:adjustRightInd w:val="0"/>
              <w:spacing w:before="29" w:line="360" w:lineRule="auto"/>
              <w:ind w:left="17"/>
              <w:jc w:val="left"/>
              <w:rPr>
                <w:rFonts w:eastAsiaTheme="minorEastAsia"/>
                <w:sz w:val="24"/>
              </w:rPr>
            </w:pPr>
            <w:r w:rsidRPr="004C6E88">
              <w:rPr>
                <w:rFonts w:eastAsiaTheme="minorEastAsia"/>
                <w:kern w:val="0"/>
                <w:sz w:val="24"/>
              </w:rPr>
              <w:t>风险收益特征</w:t>
            </w:r>
          </w:p>
        </w:tc>
        <w:tc>
          <w:tcPr>
            <w:tcW w:w="5479" w:type="dxa"/>
            <w:gridSpan w:val="3"/>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本基金为股票型基金，主要采用完全复制策略跟踪标的指数的表现，其风险收益特征与标的指数相似。长期而言，其风险收益水平高于混合型基金、债券型基金和货币市场基金；</w:t>
            </w: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基金管理人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易方达基金管理有限公司</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基金托管人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中国建设银行股份有限公司</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kern w:val="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级基金的基金简称</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易方达国企改革分级</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易方达国企改革分级</w:t>
            </w:r>
            <w:r w:rsidRPr="004C6E88">
              <w:rPr>
                <w:rFonts w:eastAsiaTheme="minorEastAsia"/>
                <w:sz w:val="24"/>
              </w:rPr>
              <w:t>A</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易方达国企改革分级</w:t>
            </w:r>
            <w:r w:rsidRPr="004C6E88">
              <w:rPr>
                <w:rFonts w:eastAsiaTheme="minorEastAsia"/>
                <w:sz w:val="24"/>
              </w:rPr>
              <w:t>B</w:t>
            </w:r>
          </w:p>
        </w:tc>
      </w:tr>
      <w:tr w:rsidR="002C2DE0" w:rsidRPr="00272E0C" w:rsidTr="00EB3E72">
        <w:tc>
          <w:tcPr>
            <w:tcW w:w="2835" w:type="dxa"/>
          </w:tcPr>
          <w:p w:rsidR="002C2DE0" w:rsidRPr="004C6E88" w:rsidRDefault="002C2DE0"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003168E2">
              <w:rPr>
                <w:rFonts w:eastAsiaTheme="minorEastAsia"/>
                <w:color w:val="000000"/>
                <w:sz w:val="24"/>
              </w:rPr>
              <w:t>级基金</w:t>
            </w:r>
            <w:r w:rsidRPr="004C6E88">
              <w:rPr>
                <w:rFonts w:eastAsiaTheme="minorEastAsia"/>
                <w:color w:val="000000"/>
                <w:sz w:val="24"/>
              </w:rPr>
              <w:t>场内简称</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国企改革</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国企改</w:t>
            </w:r>
            <w:r w:rsidRPr="004C6E88">
              <w:rPr>
                <w:rFonts w:eastAsiaTheme="minorEastAsia"/>
                <w:sz w:val="24"/>
              </w:rPr>
              <w:t>A</w:t>
            </w:r>
          </w:p>
        </w:tc>
        <w:tc>
          <w:tcPr>
            <w:tcW w:w="1827"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国企改</w:t>
            </w:r>
            <w:r w:rsidRPr="004C6E88">
              <w:rPr>
                <w:rFonts w:eastAsiaTheme="minorEastAsia"/>
                <w:sz w:val="24"/>
              </w:rPr>
              <w:t>B</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级基金的交易代码</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502006</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502007</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502008</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报告期末下属</w:t>
            </w:r>
            <w:r w:rsidR="004C6E88" w:rsidRPr="004C6E88">
              <w:rPr>
                <w:rFonts w:eastAsiaTheme="minorEastAsia"/>
                <w:color w:val="000000"/>
                <w:sz w:val="24"/>
              </w:rPr>
              <w:t>分</w:t>
            </w:r>
            <w:r w:rsidRPr="004C6E88">
              <w:rPr>
                <w:rFonts w:eastAsiaTheme="minorEastAsia"/>
                <w:color w:val="000000"/>
                <w:sz w:val="24"/>
              </w:rPr>
              <w:t>级基金的份额总额</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194,125,270.03</w:t>
            </w:r>
            <w:r w:rsidRPr="004C6E88">
              <w:rPr>
                <w:rFonts w:eastAsiaTheme="minorEastAsia"/>
                <w:color w:val="000000"/>
                <w:kern w:val="0"/>
                <w:sz w:val="24"/>
              </w:rPr>
              <w:t>份</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32,406,854.00</w:t>
            </w:r>
            <w:r w:rsidRPr="004C6E88">
              <w:rPr>
                <w:rFonts w:eastAsiaTheme="minorEastAsia"/>
                <w:color w:val="000000"/>
                <w:kern w:val="0"/>
                <w:sz w:val="24"/>
              </w:rPr>
              <w:t>份</w:t>
            </w:r>
          </w:p>
        </w:tc>
        <w:tc>
          <w:tcPr>
            <w:tcW w:w="1827" w:type="dxa"/>
            <w:vAlign w:val="center"/>
          </w:tcPr>
          <w:p w:rsidR="003A768B" w:rsidRPr="004C6E88" w:rsidRDefault="003A768B" w:rsidP="00057DD3">
            <w:pPr>
              <w:jc w:val="left"/>
              <w:rPr>
                <w:rFonts w:eastAsiaTheme="minorEastAsia"/>
                <w:sz w:val="24"/>
              </w:rPr>
            </w:pPr>
            <w:r w:rsidRPr="004C6E88">
              <w:rPr>
                <w:rFonts w:eastAsiaTheme="minorEastAsia"/>
                <w:sz w:val="24"/>
              </w:rPr>
              <w:t>32,406,854.00</w:t>
            </w:r>
            <w:r w:rsidRPr="004C6E88">
              <w:rPr>
                <w:rFonts w:eastAsiaTheme="minorEastAsia"/>
                <w:color w:val="000000"/>
                <w:kern w:val="0"/>
                <w:sz w:val="24"/>
              </w:rPr>
              <w:t>份</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sz w:val="24"/>
              </w:rPr>
            </w:pPr>
            <w:r w:rsidRPr="004C6E88">
              <w:rPr>
                <w:rFonts w:eastAsiaTheme="minorEastAsia"/>
                <w:color w:val="000000"/>
                <w:kern w:val="0"/>
                <w:sz w:val="24"/>
              </w:rPr>
              <w:t>下属</w:t>
            </w:r>
            <w:r w:rsidR="004C6E88" w:rsidRPr="004C6E88">
              <w:rPr>
                <w:rFonts w:eastAsiaTheme="minorEastAsia"/>
                <w:color w:val="000000"/>
                <w:kern w:val="0"/>
                <w:sz w:val="24"/>
              </w:rPr>
              <w:t>分</w:t>
            </w:r>
            <w:r w:rsidRPr="004C6E88">
              <w:rPr>
                <w:rFonts w:eastAsiaTheme="minorEastAsia"/>
                <w:color w:val="000000"/>
                <w:kern w:val="0"/>
                <w:sz w:val="24"/>
              </w:rPr>
              <w:t>级基金的</w:t>
            </w:r>
            <w:r w:rsidRPr="004C6E88">
              <w:rPr>
                <w:rFonts w:eastAsiaTheme="minorEastAsia"/>
                <w:kern w:val="0"/>
                <w:sz w:val="24"/>
              </w:rPr>
              <w:t>风险收益特征</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基础份额为股票型基金，其风险收益水平高于混合型基金、债券型基金和货币市场基金。</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A</w:t>
            </w:r>
            <w:r w:rsidRPr="004C6E88">
              <w:rPr>
                <w:rFonts w:eastAsiaTheme="minorEastAsia"/>
                <w:color w:val="000000"/>
                <w:kern w:val="0"/>
                <w:sz w:val="24"/>
              </w:rPr>
              <w:t>类份额的预期收益和预期风险低于基础份额。</w:t>
            </w:r>
          </w:p>
        </w:tc>
        <w:tc>
          <w:tcPr>
            <w:tcW w:w="1827"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B</w:t>
            </w:r>
            <w:r w:rsidRPr="004C6E88">
              <w:rPr>
                <w:rFonts w:eastAsiaTheme="minorEastAsia"/>
                <w:color w:val="000000"/>
                <w:kern w:val="0"/>
                <w:sz w:val="24"/>
              </w:rPr>
              <w:t>类份额的预期收益和预期风险高于基础份额。</w:t>
            </w:r>
          </w:p>
        </w:tc>
      </w:tr>
    </w:tbl>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3  </w:t>
      </w:r>
      <w:r w:rsidRPr="00272E0C">
        <w:rPr>
          <w:rFonts w:ascii="宋体" w:hAnsi="宋体" w:cs="Arial" w:hint="eastAsia"/>
          <w:color w:val="000000"/>
          <w:kern w:val="0"/>
          <w:sz w:val="24"/>
          <w:szCs w:val="24"/>
        </w:rPr>
        <w:t>主要财务指标和基金净值表现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3.1 </w:t>
      </w:r>
      <w:r w:rsidRPr="00272E0C">
        <w:rPr>
          <w:rFonts w:ascii="宋体" w:hAnsi="宋体" w:cs="Arial" w:hint="eastAsia"/>
          <w:b/>
          <w:color w:val="000000"/>
          <w:kern w:val="0"/>
          <w:sz w:val="24"/>
        </w:rPr>
        <w:t>主要财务指标</w:t>
      </w:r>
    </w:p>
    <w:p w:rsidR="0008378B" w:rsidRPr="006506EF" w:rsidRDefault="0008378B" w:rsidP="0008378B">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8378B" w:rsidRPr="006506EF" w:rsidTr="005D3A22">
        <w:tc>
          <w:tcPr>
            <w:tcW w:w="3402" w:type="dxa"/>
            <w:vAlign w:val="center"/>
          </w:tcPr>
          <w:p w:rsidR="0008378B" w:rsidRPr="006506EF" w:rsidRDefault="0008378B" w:rsidP="005D3A22">
            <w:pPr>
              <w:adjustRightInd w:val="0"/>
              <w:spacing w:before="29" w:line="360" w:lineRule="auto"/>
              <w:ind w:left="17"/>
              <w:jc w:val="center"/>
              <w:rPr>
                <w:kern w:val="0"/>
                <w:sz w:val="24"/>
              </w:rPr>
            </w:pPr>
            <w:r w:rsidRPr="006506EF">
              <w:rPr>
                <w:kern w:val="0"/>
                <w:sz w:val="24"/>
              </w:rPr>
              <w:lastRenderedPageBreak/>
              <w:t>主要财务指标</w:t>
            </w:r>
          </w:p>
        </w:tc>
        <w:tc>
          <w:tcPr>
            <w:tcW w:w="4962" w:type="dxa"/>
            <w:hMerge w:val="restart"/>
            <w:vAlign w:val="center"/>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报告期</w:t>
            </w:r>
          </w:p>
          <w:p w:rsidR="0008378B" w:rsidRPr="006506EF" w:rsidRDefault="0008378B"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上期金额</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6,134,264.27</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3,821,763.53</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0.0142</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256,485,723.40</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rPr>
          <w:trHeight w:val="158"/>
        </w:trPr>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0.9905</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bl>
    <w:p w:rsidR="00F4239C" w:rsidRDefault="00F13295">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1C36D8" w:rsidRPr="00E43B0B" w:rsidRDefault="0008378B" w:rsidP="00E43B0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3.2 </w:t>
      </w:r>
      <w:r w:rsidRPr="00272E0C">
        <w:rPr>
          <w:rFonts w:ascii="宋体" w:hAnsi="宋体" w:cs="Arial" w:hint="eastAsia"/>
          <w:b/>
          <w:color w:val="000000"/>
          <w:kern w:val="0"/>
          <w:sz w:val="24"/>
        </w:rPr>
        <w:t>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3.2.1</w:t>
        </w:r>
      </w:smartTag>
      <w:r w:rsidRPr="00272E0C">
        <w:rPr>
          <w:rFonts w:ascii="宋体" w:hAnsi="宋体" w:cs="Arial" w:hint="eastAsia"/>
          <w:b/>
          <w:color w:val="000000"/>
          <w:kern w:val="0"/>
          <w:sz w:val="24"/>
        </w:rPr>
        <w:t>本报告期基金份额净值增长率及其与同期业绩比较基准收益率的比较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5"/>
        <w:gridCol w:w="1216"/>
        <w:gridCol w:w="1216"/>
        <w:gridCol w:w="1216"/>
        <w:gridCol w:w="1216"/>
        <w:gridCol w:w="1217"/>
        <w:gridCol w:w="1217"/>
      </w:tblGrid>
      <w:tr w:rsidR="001C36D8" w:rsidRPr="00272E0C" w:rsidTr="001A09F9">
        <w:tc>
          <w:tcPr>
            <w:tcW w:w="1215"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阶段</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w:t>
            </w:r>
            <w:r w:rsidRPr="00E43B0B">
              <w:rPr>
                <w:rFonts w:ascii="宋体" w:hAnsi="宋体" w:cs="宋体" w:hint="eastAsia"/>
                <w:color w:val="000000"/>
                <w:sz w:val="24"/>
              </w:rPr>
              <w:t>①</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净值增长率标准差</w:t>
            </w:r>
            <w:r w:rsidRPr="00E43B0B">
              <w:rPr>
                <w:rFonts w:ascii="宋体" w:hAnsi="宋体" w:cs="宋体" w:hint="eastAsia"/>
                <w:color w:val="000000"/>
                <w:sz w:val="24"/>
              </w:rPr>
              <w:t>②</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w:t>
            </w:r>
            <w:r w:rsidRPr="00E43B0B">
              <w:rPr>
                <w:rFonts w:ascii="宋体" w:hAnsi="宋体" w:cs="宋体" w:hint="eastAsia"/>
                <w:color w:val="000000"/>
                <w:sz w:val="24"/>
              </w:rPr>
              <w:t>③</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业绩比较基准收益率标准差</w:t>
            </w:r>
            <w:r w:rsidRPr="00E43B0B">
              <w:rPr>
                <w:rFonts w:ascii="宋体" w:hAnsi="宋体" w:cs="宋体" w:hint="eastAsia"/>
                <w:color w:val="000000"/>
                <w:sz w:val="24"/>
              </w:rPr>
              <w:t>④</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①</w:t>
            </w:r>
            <w:r w:rsidRPr="00E43B0B">
              <w:rPr>
                <w:color w:val="000000"/>
                <w:sz w:val="24"/>
              </w:rPr>
              <w:t>－</w:t>
            </w:r>
            <w:r w:rsidRPr="00E43B0B">
              <w:rPr>
                <w:rFonts w:ascii="宋体" w:hAnsi="宋体" w:cs="宋体" w:hint="eastAsia"/>
                <w:color w:val="000000"/>
                <w:sz w:val="24"/>
              </w:rPr>
              <w:t>③</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②</w:t>
            </w:r>
            <w:r w:rsidRPr="00E43B0B">
              <w:rPr>
                <w:color w:val="000000"/>
                <w:sz w:val="24"/>
              </w:rPr>
              <w:t>－</w:t>
            </w:r>
            <w:r w:rsidRPr="00E43B0B">
              <w:rPr>
                <w:rFonts w:ascii="宋体" w:hAnsi="宋体" w:cs="宋体" w:hint="eastAsia"/>
                <w:color w:val="000000"/>
                <w:sz w:val="24"/>
              </w:rPr>
              <w:t>④</w:t>
            </w:r>
          </w:p>
        </w:tc>
      </w:tr>
      <w:tr w:rsidR="00F4239C">
        <w:tc>
          <w:tcPr>
            <w:tcW w:w="1215" w:type="dxa"/>
            <w:vAlign w:val="center"/>
          </w:tcPr>
          <w:p w:rsidR="00F4239C" w:rsidRDefault="00F13295">
            <w:pPr>
              <w:jc w:val="left"/>
            </w:pPr>
            <w:r>
              <w:rPr>
                <w:color w:val="000000"/>
                <w:sz w:val="24"/>
              </w:rPr>
              <w:t>过去三个月</w:t>
            </w:r>
          </w:p>
        </w:tc>
        <w:tc>
          <w:tcPr>
            <w:tcW w:w="1216" w:type="dxa"/>
            <w:vAlign w:val="center"/>
          </w:tcPr>
          <w:p w:rsidR="00F4239C" w:rsidRDefault="00F13295">
            <w:pPr>
              <w:jc w:val="center"/>
            </w:pPr>
            <w:r>
              <w:rPr>
                <w:color w:val="000000"/>
                <w:sz w:val="24"/>
              </w:rPr>
              <w:t>1.43%</w:t>
            </w:r>
          </w:p>
        </w:tc>
        <w:tc>
          <w:tcPr>
            <w:tcW w:w="1216" w:type="dxa"/>
            <w:vAlign w:val="center"/>
          </w:tcPr>
          <w:p w:rsidR="00F4239C" w:rsidRDefault="00F13295">
            <w:pPr>
              <w:jc w:val="center"/>
            </w:pPr>
            <w:r>
              <w:rPr>
                <w:color w:val="000000"/>
                <w:sz w:val="24"/>
              </w:rPr>
              <w:t>0.98%</w:t>
            </w:r>
          </w:p>
        </w:tc>
        <w:tc>
          <w:tcPr>
            <w:tcW w:w="1216" w:type="dxa"/>
            <w:vAlign w:val="center"/>
          </w:tcPr>
          <w:p w:rsidR="00F4239C" w:rsidRDefault="00F13295">
            <w:pPr>
              <w:jc w:val="center"/>
            </w:pPr>
            <w:r>
              <w:rPr>
                <w:color w:val="000000"/>
                <w:sz w:val="24"/>
              </w:rPr>
              <w:t>-0.52%</w:t>
            </w:r>
          </w:p>
        </w:tc>
        <w:tc>
          <w:tcPr>
            <w:tcW w:w="1216" w:type="dxa"/>
            <w:vAlign w:val="center"/>
          </w:tcPr>
          <w:p w:rsidR="00F4239C" w:rsidRDefault="00F13295">
            <w:pPr>
              <w:jc w:val="center"/>
            </w:pPr>
            <w:r>
              <w:rPr>
                <w:color w:val="000000"/>
                <w:sz w:val="24"/>
              </w:rPr>
              <w:t>0.99%</w:t>
            </w:r>
          </w:p>
        </w:tc>
        <w:tc>
          <w:tcPr>
            <w:tcW w:w="1217" w:type="dxa"/>
            <w:vAlign w:val="center"/>
          </w:tcPr>
          <w:p w:rsidR="00F4239C" w:rsidRDefault="00F13295">
            <w:pPr>
              <w:jc w:val="center"/>
            </w:pPr>
            <w:r>
              <w:rPr>
                <w:color w:val="000000"/>
                <w:sz w:val="24"/>
              </w:rPr>
              <w:t>1.95%</w:t>
            </w:r>
          </w:p>
        </w:tc>
        <w:tc>
          <w:tcPr>
            <w:tcW w:w="1217" w:type="dxa"/>
            <w:vAlign w:val="center"/>
          </w:tcPr>
          <w:p w:rsidR="00F4239C" w:rsidRDefault="00F13295">
            <w:pPr>
              <w:jc w:val="center"/>
            </w:pPr>
            <w:r>
              <w:rPr>
                <w:color w:val="000000"/>
                <w:sz w:val="24"/>
              </w:rPr>
              <w:t>-0.01%</w:t>
            </w:r>
          </w:p>
        </w:tc>
      </w:tr>
    </w:tbl>
    <w:p w:rsidR="001C36D8" w:rsidRPr="00272E0C" w:rsidRDefault="001C36D8" w:rsidP="003A4DA3">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3.2.2</w:t>
        </w:r>
        <w:r w:rsidR="00193F07" w:rsidRPr="00370BEA">
          <w:rPr>
            <w:rStyle w:val="af8"/>
            <w:rFonts w:hint="eastAsia"/>
            <w:color w:val="000000"/>
            <w:sz w:val="24"/>
            <w:shd w:val="clear" w:color="auto" w:fill="FFFFFF"/>
          </w:rPr>
          <w:t>自基金合同生效以来</w:t>
        </w:r>
      </w:smartTag>
      <w:r w:rsidRPr="00272E0C">
        <w:rPr>
          <w:rFonts w:ascii="宋体" w:hAnsi="宋体" w:hint="eastAsia"/>
          <w:b/>
          <w:bCs/>
          <w:color w:val="000000"/>
          <w:sz w:val="24"/>
        </w:rPr>
        <w:t>基金累计净值增长率变动及其与同期业绩比较基准收益率变动的比较</w:t>
      </w:r>
    </w:p>
    <w:p w:rsidR="001C36D8" w:rsidRPr="00E43B0B" w:rsidRDefault="001C36D8" w:rsidP="003A4DA3">
      <w:pPr>
        <w:spacing w:line="360" w:lineRule="auto"/>
        <w:jc w:val="center"/>
        <w:rPr>
          <w:sz w:val="24"/>
        </w:rPr>
      </w:pPr>
      <w:r w:rsidRPr="00E43B0B">
        <w:rPr>
          <w:sz w:val="24"/>
        </w:rPr>
        <w:t>易方达国企改革指数分级证券投资基金</w:t>
      </w:r>
    </w:p>
    <w:p w:rsidR="001C36D8" w:rsidRPr="00E43B0B" w:rsidRDefault="006F4C30" w:rsidP="003A4DA3">
      <w:pPr>
        <w:pStyle w:val="a5"/>
        <w:snapToGrid w:val="0"/>
        <w:spacing w:line="360" w:lineRule="auto"/>
        <w:jc w:val="center"/>
        <w:rPr>
          <w:rFonts w:ascii="Times New Roman" w:hAnsi="Times New Roman"/>
          <w:color w:val="000000"/>
          <w:sz w:val="24"/>
          <w:szCs w:val="24"/>
        </w:rPr>
      </w:pPr>
      <w:r w:rsidRPr="00E43B0B">
        <w:rPr>
          <w:rFonts w:ascii="Times New Roman" w:hAnsi="Times New Roman"/>
          <w:color w:val="000000"/>
          <w:sz w:val="24"/>
          <w:szCs w:val="24"/>
        </w:rPr>
        <w:t>累计</w:t>
      </w:r>
      <w:r w:rsidR="001C36D8" w:rsidRPr="00E43B0B">
        <w:rPr>
          <w:rFonts w:ascii="Times New Roman" w:hAnsi="Times New Roman"/>
          <w:color w:val="000000"/>
          <w:sz w:val="24"/>
          <w:szCs w:val="24"/>
        </w:rPr>
        <w:t>净值增长率与业绩比较基准收益率历史走势对比图</w:t>
      </w:r>
    </w:p>
    <w:p w:rsidR="001C36D8" w:rsidRPr="00E43B0B" w:rsidRDefault="001C36D8" w:rsidP="003A4DA3">
      <w:pPr>
        <w:spacing w:line="360" w:lineRule="auto"/>
        <w:jc w:val="center"/>
        <w:rPr>
          <w:sz w:val="24"/>
        </w:rPr>
      </w:pPr>
      <w:r w:rsidRPr="00E43B0B">
        <w:rPr>
          <w:color w:val="000000"/>
          <w:kern w:val="0"/>
          <w:sz w:val="24"/>
        </w:rPr>
        <w:t>（</w:t>
      </w:r>
      <w:r w:rsidRPr="00E43B0B">
        <w:rPr>
          <w:color w:val="000000"/>
          <w:kern w:val="0"/>
          <w:sz w:val="24"/>
        </w:rPr>
        <w:t>2015</w:t>
      </w:r>
      <w:r w:rsidRPr="00E43B0B">
        <w:rPr>
          <w:color w:val="000000"/>
          <w:kern w:val="0"/>
          <w:sz w:val="24"/>
        </w:rPr>
        <w:t>年</w:t>
      </w:r>
      <w:r w:rsidRPr="00E43B0B">
        <w:rPr>
          <w:color w:val="000000"/>
          <w:kern w:val="0"/>
          <w:sz w:val="24"/>
        </w:rPr>
        <w:t>6</w:t>
      </w:r>
      <w:r w:rsidRPr="00E43B0B">
        <w:rPr>
          <w:color w:val="000000"/>
          <w:kern w:val="0"/>
          <w:sz w:val="24"/>
        </w:rPr>
        <w:t>月</w:t>
      </w:r>
      <w:r w:rsidRPr="00E43B0B">
        <w:rPr>
          <w:color w:val="000000"/>
          <w:kern w:val="0"/>
          <w:sz w:val="24"/>
        </w:rPr>
        <w:t>15</w:t>
      </w:r>
      <w:r w:rsidRPr="00E43B0B">
        <w:rPr>
          <w:color w:val="000000"/>
          <w:kern w:val="0"/>
          <w:sz w:val="24"/>
        </w:rPr>
        <w:t>日至</w:t>
      </w:r>
      <w:r w:rsidRPr="00E43B0B">
        <w:rPr>
          <w:color w:val="000000"/>
          <w:kern w:val="0"/>
          <w:sz w:val="24"/>
        </w:rPr>
        <w:t>2019</w:t>
      </w:r>
      <w:r w:rsidRPr="00E43B0B">
        <w:rPr>
          <w:color w:val="000000"/>
          <w:kern w:val="0"/>
          <w:sz w:val="24"/>
        </w:rPr>
        <w:t>年</w:t>
      </w:r>
      <w:r w:rsidRPr="00E43B0B">
        <w:rPr>
          <w:color w:val="000000"/>
          <w:kern w:val="0"/>
          <w:sz w:val="24"/>
        </w:rPr>
        <w:t>9</w:t>
      </w:r>
      <w:r w:rsidRPr="00E43B0B">
        <w:rPr>
          <w:color w:val="000000"/>
          <w:kern w:val="0"/>
          <w:sz w:val="24"/>
        </w:rPr>
        <w:t>月</w:t>
      </w:r>
      <w:r w:rsidRPr="00E43B0B">
        <w:rPr>
          <w:color w:val="000000"/>
          <w:kern w:val="0"/>
          <w:sz w:val="24"/>
        </w:rPr>
        <w:t>30</w:t>
      </w:r>
      <w:r w:rsidRPr="00E43B0B">
        <w:rPr>
          <w:color w:val="000000"/>
          <w:kern w:val="0"/>
          <w:sz w:val="24"/>
        </w:rPr>
        <w:t>日）</w:t>
      </w:r>
    </w:p>
    <w:p w:rsidR="001C36D8" w:rsidRPr="00272E0C" w:rsidRDefault="00F13295" w:rsidP="0042253F">
      <w:pPr>
        <w:tabs>
          <w:tab w:val="left" w:pos="180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1C36D8" w:rsidRPr="00E43B0B" w:rsidRDefault="001C36D8" w:rsidP="00E43B0B">
      <w:pPr>
        <w:spacing w:line="360" w:lineRule="auto"/>
        <w:ind w:firstLineChars="200" w:firstLine="480"/>
        <w:rPr>
          <w:color w:val="000000"/>
          <w:sz w:val="24"/>
        </w:rPr>
      </w:pPr>
      <w:r w:rsidRPr="003D22BD">
        <w:rPr>
          <w:color w:val="000000"/>
          <w:sz w:val="24"/>
        </w:rPr>
        <w:t>注：自基金合同生效至报告期末，基金份额净值增长率为</w:t>
      </w:r>
      <w:r w:rsidRPr="003D22BD">
        <w:rPr>
          <w:color w:val="000000"/>
          <w:sz w:val="24"/>
        </w:rPr>
        <w:t>-36.90%</w:t>
      </w:r>
      <w:r w:rsidRPr="003D22BD">
        <w:rPr>
          <w:color w:val="000000"/>
          <w:sz w:val="24"/>
        </w:rPr>
        <w:t>，同期业绩比较基准收益率为</w:t>
      </w:r>
      <w:r w:rsidRPr="003D22BD">
        <w:rPr>
          <w:color w:val="000000"/>
          <w:sz w:val="24"/>
        </w:rPr>
        <w:t>-42.47%</w:t>
      </w:r>
      <w:r w:rsidRPr="003D22BD">
        <w:rPr>
          <w:color w:val="000000"/>
          <w:sz w:val="24"/>
        </w:rPr>
        <w:t>。</w:t>
      </w:r>
    </w:p>
    <w:p w:rsidR="001C36D8" w:rsidRPr="00E43B0B" w:rsidRDefault="001C36D8" w:rsidP="00D3705B">
      <w:pPr>
        <w:tabs>
          <w:tab w:val="left" w:pos="1800"/>
        </w:tabs>
        <w:spacing w:line="288" w:lineRule="auto"/>
        <w:rPr>
          <w:color w:val="000000"/>
          <w:sz w:val="24"/>
        </w:rPr>
      </w:pP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4  </w:t>
      </w:r>
      <w:r w:rsidRPr="00272E0C">
        <w:rPr>
          <w:rFonts w:ascii="宋体" w:hAnsi="宋体" w:cs="Arial" w:hint="eastAsia"/>
          <w:color w:val="000000"/>
          <w:kern w:val="0"/>
          <w:sz w:val="24"/>
          <w:szCs w:val="24"/>
        </w:rPr>
        <w:t>管理人报告</w:t>
      </w:r>
    </w:p>
    <w:p w:rsidR="005C6DF3" w:rsidRPr="0078105B" w:rsidRDefault="001C36D8" w:rsidP="005C6DF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4.1 </w:t>
      </w:r>
      <w:r w:rsidRPr="00272E0C">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5C6DF3" w:rsidRPr="0078105B" w:rsidTr="00B7074C">
        <w:trPr>
          <w:cantSplit/>
        </w:trPr>
        <w:tc>
          <w:tcPr>
            <w:tcW w:w="56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5C6DF3" w:rsidRPr="0078105B" w:rsidTr="00B7074C">
        <w:trPr>
          <w:cantSplit/>
        </w:trPr>
        <w:tc>
          <w:tcPr>
            <w:tcW w:w="56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835" w:type="dxa"/>
            <w:vMerge/>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r>
      <w:tr w:rsidR="00F4239C">
        <w:tc>
          <w:tcPr>
            <w:tcW w:w="567" w:type="dxa"/>
            <w:vAlign w:val="center"/>
          </w:tcPr>
          <w:p w:rsidR="00F4239C" w:rsidRDefault="00F13295">
            <w:pPr>
              <w:jc w:val="center"/>
            </w:pPr>
            <w:r>
              <w:rPr>
                <w:color w:val="000000"/>
                <w:sz w:val="24"/>
              </w:rPr>
              <w:t>余海燕</w:t>
            </w:r>
          </w:p>
        </w:tc>
        <w:tc>
          <w:tcPr>
            <w:tcW w:w="2835" w:type="dxa"/>
            <w:vAlign w:val="center"/>
          </w:tcPr>
          <w:p w:rsidR="00F4239C" w:rsidRDefault="00F13295">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w:t>
            </w:r>
            <w:r>
              <w:rPr>
                <w:color w:val="000000"/>
                <w:sz w:val="24"/>
              </w:rPr>
              <w:lastRenderedPageBreak/>
              <w:t>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w:t>
            </w:r>
            <w:r>
              <w:rPr>
                <w:color w:val="000000"/>
                <w:sz w:val="24"/>
              </w:rPr>
              <w:t>接基金的基金经理、易方达沪深</w:t>
            </w:r>
            <w:r>
              <w:rPr>
                <w:color w:val="000000"/>
                <w:sz w:val="24"/>
              </w:rPr>
              <w:t>300</w:t>
            </w:r>
            <w:r>
              <w:rPr>
                <w:color w:val="000000"/>
                <w:sz w:val="24"/>
              </w:rPr>
              <w:t>交易型开放式指数发起式证券投资基金的基金经理、易方达沪深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w:t>
            </w:r>
            <w:r>
              <w:rPr>
                <w:color w:val="000000"/>
                <w:sz w:val="24"/>
              </w:rPr>
              <w:lastRenderedPageBreak/>
              <w:t>方达恒生中国企业交易型开放式指数证券投资基金联接基金的基金经理、易方达恒生中国企业交易型开放式指数证券投资基金的基金经理</w:t>
            </w:r>
          </w:p>
        </w:tc>
        <w:tc>
          <w:tcPr>
            <w:tcW w:w="851" w:type="dxa"/>
            <w:vAlign w:val="center"/>
          </w:tcPr>
          <w:p w:rsidR="00F4239C" w:rsidRDefault="00F13295">
            <w:pPr>
              <w:jc w:val="center"/>
            </w:pPr>
            <w:r>
              <w:rPr>
                <w:color w:val="000000"/>
                <w:sz w:val="24"/>
              </w:rPr>
              <w:lastRenderedPageBreak/>
              <w:t>2015-06-15</w:t>
            </w:r>
          </w:p>
        </w:tc>
        <w:tc>
          <w:tcPr>
            <w:tcW w:w="850" w:type="dxa"/>
            <w:vAlign w:val="center"/>
          </w:tcPr>
          <w:p w:rsidR="00F4239C" w:rsidRDefault="00F13295">
            <w:pPr>
              <w:jc w:val="center"/>
            </w:pPr>
            <w:r>
              <w:rPr>
                <w:color w:val="000000"/>
                <w:sz w:val="24"/>
              </w:rPr>
              <w:t>-</w:t>
            </w:r>
          </w:p>
        </w:tc>
        <w:tc>
          <w:tcPr>
            <w:tcW w:w="851" w:type="dxa"/>
            <w:vAlign w:val="center"/>
          </w:tcPr>
          <w:p w:rsidR="00F4239C" w:rsidRDefault="00F13295">
            <w:pPr>
              <w:jc w:val="center"/>
            </w:pPr>
            <w:r>
              <w:rPr>
                <w:color w:val="000000"/>
                <w:sz w:val="24"/>
              </w:rPr>
              <w:t>14</w:t>
            </w:r>
            <w:r>
              <w:rPr>
                <w:color w:val="000000"/>
                <w:sz w:val="24"/>
              </w:rPr>
              <w:t>年</w:t>
            </w:r>
          </w:p>
        </w:tc>
        <w:tc>
          <w:tcPr>
            <w:tcW w:w="2977" w:type="dxa"/>
            <w:vAlign w:val="center"/>
          </w:tcPr>
          <w:p w:rsidR="00F4239C" w:rsidRDefault="00F13295">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w:t>
            </w:r>
            <w:r>
              <w:rPr>
                <w:color w:val="000000"/>
                <w:sz w:val="24"/>
              </w:rPr>
              <w:t>理，易方达基金管理有限公司投资发展部产品经理。</w:t>
            </w:r>
          </w:p>
        </w:tc>
      </w:tr>
      <w:tr w:rsidR="00F4239C">
        <w:tc>
          <w:tcPr>
            <w:tcW w:w="567" w:type="dxa"/>
            <w:vAlign w:val="center"/>
          </w:tcPr>
          <w:p w:rsidR="00F4239C" w:rsidRDefault="00F13295">
            <w:pPr>
              <w:jc w:val="center"/>
            </w:pPr>
            <w:r>
              <w:rPr>
                <w:color w:val="000000"/>
                <w:sz w:val="24"/>
              </w:rPr>
              <w:lastRenderedPageBreak/>
              <w:t>杨俊</w:t>
            </w:r>
          </w:p>
        </w:tc>
        <w:tc>
          <w:tcPr>
            <w:tcW w:w="2835" w:type="dxa"/>
            <w:vAlign w:val="center"/>
          </w:tcPr>
          <w:p w:rsidR="00F4239C" w:rsidRDefault="00F13295">
            <w:pPr>
              <w:jc w:val="center"/>
            </w:pPr>
            <w:r>
              <w:rPr>
                <w:color w:val="000000"/>
                <w:sz w:val="24"/>
              </w:rPr>
              <w:t>本基金的基金经理、易方达中证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交易型开放式指数发起式证券投资基金的基金经理、解决方案部总经理助理</w:t>
            </w:r>
          </w:p>
        </w:tc>
        <w:tc>
          <w:tcPr>
            <w:tcW w:w="851" w:type="dxa"/>
            <w:vAlign w:val="center"/>
          </w:tcPr>
          <w:p w:rsidR="00F4239C" w:rsidRDefault="00F13295">
            <w:pPr>
              <w:jc w:val="center"/>
            </w:pPr>
            <w:r>
              <w:rPr>
                <w:color w:val="000000"/>
                <w:sz w:val="24"/>
              </w:rPr>
              <w:t>2017-06-23</w:t>
            </w:r>
          </w:p>
        </w:tc>
        <w:tc>
          <w:tcPr>
            <w:tcW w:w="850" w:type="dxa"/>
            <w:vAlign w:val="center"/>
          </w:tcPr>
          <w:p w:rsidR="00F4239C" w:rsidRDefault="00F13295">
            <w:pPr>
              <w:jc w:val="center"/>
            </w:pPr>
            <w:r>
              <w:rPr>
                <w:color w:val="000000"/>
                <w:sz w:val="24"/>
              </w:rPr>
              <w:t>-</w:t>
            </w:r>
          </w:p>
        </w:tc>
        <w:tc>
          <w:tcPr>
            <w:tcW w:w="851" w:type="dxa"/>
            <w:vAlign w:val="center"/>
          </w:tcPr>
          <w:p w:rsidR="00F4239C" w:rsidRDefault="00F13295">
            <w:pPr>
              <w:jc w:val="center"/>
            </w:pPr>
            <w:r>
              <w:rPr>
                <w:color w:val="000000"/>
                <w:sz w:val="24"/>
              </w:rPr>
              <w:t>10</w:t>
            </w:r>
            <w:r>
              <w:rPr>
                <w:color w:val="000000"/>
                <w:sz w:val="24"/>
              </w:rPr>
              <w:t>年</w:t>
            </w:r>
          </w:p>
        </w:tc>
        <w:tc>
          <w:tcPr>
            <w:tcW w:w="2977" w:type="dxa"/>
            <w:vAlign w:val="center"/>
          </w:tcPr>
          <w:p w:rsidR="00F4239C" w:rsidRDefault="00F13295">
            <w:r>
              <w:rPr>
                <w:color w:val="000000"/>
                <w:sz w:val="24"/>
              </w:rPr>
              <w:t>硕士研究生，曾任易方达基金管理有限公司北京分公司渠道经理、指数与量化投资部高级账户经理。</w:t>
            </w:r>
          </w:p>
        </w:tc>
      </w:tr>
    </w:tbl>
    <w:p w:rsidR="00F4239C" w:rsidRDefault="00F13295">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B041A" w:rsidRPr="00232B03" w:rsidRDefault="005C6DF3" w:rsidP="005C6DF3">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1C36D8" w:rsidRPr="00272E0C" w:rsidRDefault="001C36D8" w:rsidP="00CB041A">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4.2</w:t>
      </w:r>
      <w:r w:rsidRPr="00272E0C">
        <w:rPr>
          <w:rFonts w:ascii="宋体" w:hAnsi="宋体" w:hint="eastAsia"/>
          <w:b/>
          <w:bCs/>
          <w:color w:val="000000"/>
          <w:sz w:val="24"/>
        </w:rPr>
        <w:t>管理人对报告期内本基金运作遵规守信情况的说明</w:t>
      </w:r>
    </w:p>
    <w:p w:rsidR="001C36D8" w:rsidRPr="00E43B0B" w:rsidRDefault="001C36D8" w:rsidP="00E43B0B">
      <w:pPr>
        <w:spacing w:line="360" w:lineRule="auto"/>
        <w:ind w:firstLineChars="200" w:firstLine="480"/>
        <w:rPr>
          <w:color w:val="000000"/>
          <w:sz w:val="24"/>
        </w:rPr>
      </w:pPr>
      <w:r w:rsidRPr="003D22BD">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4.3 </w:t>
      </w:r>
      <w:r w:rsidRPr="00272E0C">
        <w:rPr>
          <w:rFonts w:ascii="宋体" w:hAnsi="宋体" w:cs="Arial" w:hint="eastAsia"/>
          <w:b/>
          <w:color w:val="000000"/>
          <w:kern w:val="0"/>
          <w:sz w:val="24"/>
        </w:rPr>
        <w:t>公平交易专项说明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4.3.1</w:t>
        </w:r>
      </w:smartTag>
      <w:r w:rsidRPr="00272E0C">
        <w:rPr>
          <w:rFonts w:ascii="宋体" w:hAnsi="宋体" w:hint="eastAsia"/>
          <w:sz w:val="24"/>
        </w:rPr>
        <w:t>公平交易制度的执行情况</w:t>
      </w:r>
    </w:p>
    <w:p w:rsidR="001C36D8" w:rsidRPr="003D22BD" w:rsidRDefault="001C36D8" w:rsidP="0015779C">
      <w:pPr>
        <w:spacing w:line="360" w:lineRule="auto"/>
        <w:ind w:firstLineChars="200" w:firstLine="480"/>
        <w:rPr>
          <w:color w:val="000000"/>
          <w:sz w:val="24"/>
        </w:rPr>
      </w:pPr>
      <w:r w:rsidRPr="003D22BD">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3D22BD">
        <w:rPr>
          <w:color w:val="000000"/>
          <w:sz w:val="24"/>
        </w:rPr>
        <w:t>“</w:t>
      </w:r>
      <w:r w:rsidRPr="003D22BD">
        <w:rPr>
          <w:color w:val="000000"/>
          <w:sz w:val="24"/>
        </w:rPr>
        <w:t>时间优先、价格优先</w:t>
      </w:r>
      <w:r w:rsidRPr="003D22BD">
        <w:rPr>
          <w:color w:val="000000"/>
          <w:sz w:val="24"/>
        </w:rPr>
        <w:t>”</w:t>
      </w:r>
      <w:r w:rsidRPr="003D22BD">
        <w:rPr>
          <w:color w:val="000000"/>
          <w:sz w:val="24"/>
        </w:rPr>
        <w:t>作为执</w:t>
      </w:r>
      <w:r w:rsidRPr="003D22BD">
        <w:rPr>
          <w:color w:val="000000"/>
          <w:sz w:val="24"/>
        </w:rPr>
        <w:lastRenderedPageBreak/>
        <w:t>行指令的基本原则，通过投资交易系统中的公平交易模块，以尽可能确保公平对待各投资组合。本报告期内，公平交易制度总体执行情况良好。</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4.3.2</w:t>
        </w:r>
      </w:smartTag>
      <w:r w:rsidRPr="00272E0C">
        <w:rPr>
          <w:rFonts w:ascii="宋体" w:hAnsi="宋体" w:hint="eastAsia"/>
          <w:sz w:val="24"/>
        </w:rPr>
        <w:t>异常交易行为的专项说明</w:t>
      </w:r>
    </w:p>
    <w:p w:rsidR="00F4239C" w:rsidRDefault="00F13295">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1C36D8" w:rsidRPr="00E43B0B" w:rsidRDefault="001C36D8" w:rsidP="00E43B0B">
      <w:pPr>
        <w:spacing w:line="360" w:lineRule="auto"/>
        <w:ind w:firstLineChars="200" w:firstLine="480"/>
        <w:rPr>
          <w:color w:val="000000"/>
          <w:sz w:val="24"/>
        </w:rPr>
      </w:pPr>
      <w:r w:rsidRPr="003D22BD">
        <w:rPr>
          <w:color w:val="000000"/>
          <w:sz w:val="24"/>
        </w:rPr>
        <w:t>本报告期内，未发现本基金有可能导致不公平交易和利益输送的异常交易。</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4.4 </w:t>
      </w:r>
      <w:r w:rsidRPr="00272E0C">
        <w:rPr>
          <w:rFonts w:ascii="宋体" w:hAnsi="宋体" w:cs="Arial" w:hint="eastAsia"/>
          <w:b/>
          <w:color w:val="000000"/>
          <w:kern w:val="0"/>
          <w:sz w:val="24"/>
        </w:rPr>
        <w:t>报告期内基金的投资策略和业绩表现说明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4.4.1</w:t>
        </w:r>
      </w:smartTag>
      <w:r w:rsidRPr="00272E0C">
        <w:rPr>
          <w:rFonts w:ascii="宋体" w:hAnsi="宋体" w:hint="eastAsia"/>
          <w:sz w:val="24"/>
        </w:rPr>
        <w:t>报告期内基金投资策略和运作分析</w:t>
      </w:r>
    </w:p>
    <w:p w:rsidR="00F4239C" w:rsidRDefault="00F13295">
      <w:pPr>
        <w:spacing w:line="360" w:lineRule="auto"/>
        <w:ind w:firstLineChars="200" w:firstLine="480"/>
        <w:rPr>
          <w:color w:val="000000"/>
          <w:sz w:val="24"/>
        </w:rPr>
      </w:pPr>
      <w:r>
        <w:rPr>
          <w:color w:val="000000"/>
          <w:sz w:val="24"/>
        </w:rPr>
        <w:t>2019</w:t>
      </w:r>
      <w:r>
        <w:rPr>
          <w:color w:val="000000"/>
          <w:sz w:val="24"/>
        </w:rPr>
        <w:t>年三季度国内宏观经济下行压力犹存，工业生产持续减速，</w:t>
      </w:r>
      <w:r>
        <w:rPr>
          <w:color w:val="000000"/>
          <w:sz w:val="24"/>
        </w:rPr>
        <w:t>8</w:t>
      </w:r>
      <w:r>
        <w:rPr>
          <w:color w:val="000000"/>
          <w:sz w:val="24"/>
        </w:rPr>
        <w:t>月份工业增速</w:t>
      </w:r>
      <w:r>
        <w:rPr>
          <w:color w:val="000000"/>
          <w:sz w:val="24"/>
        </w:rPr>
        <w:t>4.4%</w:t>
      </w:r>
      <w:r>
        <w:rPr>
          <w:color w:val="000000"/>
          <w:sz w:val="24"/>
        </w:rPr>
        <w:t>，较</w:t>
      </w:r>
      <w:r>
        <w:rPr>
          <w:color w:val="000000"/>
          <w:sz w:val="24"/>
        </w:rPr>
        <w:t>7</w:t>
      </w:r>
      <w:r>
        <w:rPr>
          <w:color w:val="000000"/>
          <w:sz w:val="24"/>
        </w:rPr>
        <w:t>月份继续下滑，并创下</w:t>
      </w:r>
      <w:r>
        <w:rPr>
          <w:color w:val="000000"/>
          <w:sz w:val="24"/>
        </w:rPr>
        <w:t>09</w:t>
      </w:r>
      <w:r>
        <w:rPr>
          <w:color w:val="000000"/>
          <w:sz w:val="24"/>
        </w:rPr>
        <w:t>年</w:t>
      </w:r>
      <w:r>
        <w:rPr>
          <w:color w:val="000000"/>
          <w:sz w:val="24"/>
        </w:rPr>
        <w:t>3</w:t>
      </w:r>
      <w:r>
        <w:rPr>
          <w:color w:val="000000"/>
          <w:sz w:val="24"/>
        </w:rPr>
        <w:t>月以来新低。</w:t>
      </w:r>
      <w:r>
        <w:rPr>
          <w:color w:val="000000"/>
          <w:sz w:val="24"/>
        </w:rPr>
        <w:t>1-8</w:t>
      </w:r>
      <w:r>
        <w:rPr>
          <w:color w:val="000000"/>
          <w:sz w:val="24"/>
        </w:rPr>
        <w:t>月全国固定资产投资同比增速回落至</w:t>
      </w:r>
      <w:r>
        <w:rPr>
          <w:color w:val="000000"/>
          <w:sz w:val="24"/>
        </w:rPr>
        <w:t>5.5%</w:t>
      </w:r>
      <w:r>
        <w:rPr>
          <w:color w:val="000000"/>
          <w:sz w:val="24"/>
        </w:rPr>
        <w:t>，其中</w:t>
      </w:r>
      <w:r>
        <w:rPr>
          <w:color w:val="000000"/>
          <w:sz w:val="24"/>
        </w:rPr>
        <w:t>8</w:t>
      </w:r>
      <w:r>
        <w:rPr>
          <w:color w:val="000000"/>
          <w:sz w:val="24"/>
        </w:rPr>
        <w:t>月份同比增速下滑至</w:t>
      </w:r>
      <w:r>
        <w:rPr>
          <w:color w:val="000000"/>
          <w:sz w:val="24"/>
        </w:rPr>
        <w:t>4.2%</w:t>
      </w:r>
      <w:r>
        <w:rPr>
          <w:color w:val="000000"/>
          <w:sz w:val="24"/>
        </w:rPr>
        <w:t>。随着部分行业景气度进入内生性底部，同时逆周期政策力度明显加大，</w:t>
      </w:r>
      <w:r>
        <w:rPr>
          <w:color w:val="000000"/>
          <w:sz w:val="24"/>
        </w:rPr>
        <w:t>9</w:t>
      </w:r>
      <w:r>
        <w:rPr>
          <w:color w:val="000000"/>
          <w:sz w:val="24"/>
        </w:rPr>
        <w:t>月份经济景气度有所改善，宏观数据显示</w:t>
      </w:r>
      <w:r>
        <w:rPr>
          <w:color w:val="000000"/>
          <w:sz w:val="24"/>
        </w:rPr>
        <w:t>9</w:t>
      </w:r>
      <w:r>
        <w:rPr>
          <w:color w:val="000000"/>
          <w:sz w:val="24"/>
        </w:rPr>
        <w:t>月全国制造业</w:t>
      </w:r>
      <w:r>
        <w:rPr>
          <w:color w:val="000000"/>
          <w:sz w:val="24"/>
        </w:rPr>
        <w:t>PMI</w:t>
      </w:r>
      <w:r>
        <w:rPr>
          <w:color w:val="000000"/>
          <w:sz w:val="24"/>
        </w:rPr>
        <w:t>为</w:t>
      </w:r>
      <w:r>
        <w:rPr>
          <w:color w:val="000000"/>
          <w:sz w:val="24"/>
        </w:rPr>
        <w:t>49.8%</w:t>
      </w:r>
      <w:r>
        <w:rPr>
          <w:color w:val="000000"/>
          <w:sz w:val="24"/>
        </w:rPr>
        <w:t>，较</w:t>
      </w:r>
      <w:r>
        <w:rPr>
          <w:color w:val="000000"/>
          <w:sz w:val="24"/>
        </w:rPr>
        <w:t>8</w:t>
      </w:r>
      <w:r>
        <w:rPr>
          <w:color w:val="000000"/>
          <w:sz w:val="24"/>
        </w:rPr>
        <w:t>月小幅回升，并创</w:t>
      </w:r>
      <w:r>
        <w:rPr>
          <w:color w:val="000000"/>
          <w:sz w:val="24"/>
        </w:rPr>
        <w:t>下</w:t>
      </w:r>
      <w:r>
        <w:rPr>
          <w:color w:val="000000"/>
          <w:sz w:val="24"/>
        </w:rPr>
        <w:t>5</w:t>
      </w:r>
      <w:r>
        <w:rPr>
          <w:color w:val="000000"/>
          <w:sz w:val="24"/>
        </w:rPr>
        <w:t>月以来新高，指向制造业景气明显改善。随着经济下行压力的持续加大，三季度宏观经济政策转向积极，政府加大了</w:t>
      </w:r>
      <w:r>
        <w:rPr>
          <w:color w:val="000000"/>
          <w:sz w:val="24"/>
        </w:rPr>
        <w:t>“</w:t>
      </w:r>
      <w:r>
        <w:rPr>
          <w:color w:val="000000"/>
          <w:sz w:val="24"/>
        </w:rPr>
        <w:t>逆周期调节</w:t>
      </w:r>
      <w:r>
        <w:rPr>
          <w:color w:val="000000"/>
          <w:sz w:val="24"/>
        </w:rPr>
        <w:t>”</w:t>
      </w:r>
      <w:r>
        <w:rPr>
          <w:color w:val="000000"/>
          <w:sz w:val="24"/>
        </w:rPr>
        <w:t>力度。利率市场化改革超预期加快，央行改革完善</w:t>
      </w:r>
      <w:r>
        <w:rPr>
          <w:color w:val="000000"/>
          <w:sz w:val="24"/>
        </w:rPr>
        <w:t>LPR</w:t>
      </w:r>
      <w:r>
        <w:rPr>
          <w:color w:val="000000"/>
          <w:sz w:val="24"/>
        </w:rPr>
        <w:t>形成机制，引导了利率下行的政策信号；央行</w:t>
      </w:r>
      <w:r>
        <w:rPr>
          <w:color w:val="000000"/>
          <w:sz w:val="24"/>
        </w:rPr>
        <w:t>“</w:t>
      </w:r>
      <w:r>
        <w:rPr>
          <w:color w:val="000000"/>
          <w:sz w:val="24"/>
        </w:rPr>
        <w:t>普降</w:t>
      </w:r>
      <w:r>
        <w:rPr>
          <w:color w:val="000000"/>
          <w:sz w:val="24"/>
        </w:rPr>
        <w:t>+</w:t>
      </w:r>
      <w:r>
        <w:rPr>
          <w:color w:val="000000"/>
          <w:sz w:val="24"/>
        </w:rPr>
        <w:t>定向</w:t>
      </w:r>
      <w:r>
        <w:rPr>
          <w:color w:val="000000"/>
          <w:sz w:val="24"/>
        </w:rPr>
        <w:t>”</w:t>
      </w:r>
      <w:r>
        <w:rPr>
          <w:color w:val="000000"/>
          <w:sz w:val="24"/>
        </w:rPr>
        <w:t>降准释放了长期流动性约</w:t>
      </w:r>
      <w:r>
        <w:rPr>
          <w:color w:val="000000"/>
          <w:sz w:val="24"/>
        </w:rPr>
        <w:t>9000</w:t>
      </w:r>
      <w:r>
        <w:rPr>
          <w:color w:val="000000"/>
          <w:sz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均贬至</w:t>
      </w:r>
      <w:r>
        <w:rPr>
          <w:color w:val="000000"/>
          <w:sz w:val="24"/>
        </w:rPr>
        <w:t>7</w:t>
      </w:r>
      <w:r>
        <w:rPr>
          <w:color w:val="000000"/>
          <w:sz w:val="24"/>
        </w:rPr>
        <w:t>.14</w:t>
      </w:r>
      <w:r>
        <w:rPr>
          <w:color w:val="000000"/>
          <w:sz w:val="24"/>
        </w:rPr>
        <w:t>。资本市场方面，</w:t>
      </w:r>
      <w:r>
        <w:rPr>
          <w:color w:val="000000"/>
          <w:sz w:val="24"/>
        </w:rPr>
        <w:t>A</w:t>
      </w:r>
      <w:r>
        <w:rPr>
          <w:color w:val="000000"/>
          <w:sz w:val="24"/>
        </w:rPr>
        <w:t>股市场波动加大，最终三季度上证综指以下跌</w:t>
      </w:r>
      <w:r>
        <w:rPr>
          <w:color w:val="000000"/>
          <w:sz w:val="24"/>
        </w:rPr>
        <w:t>2.47%</w:t>
      </w:r>
      <w:r>
        <w:rPr>
          <w:color w:val="000000"/>
          <w:sz w:val="24"/>
        </w:rPr>
        <w:t>收官。风格主题方面，结构分化显著，在科技类板块领涨的背景下，创业板表现优于主板，上证</w:t>
      </w:r>
      <w:r>
        <w:rPr>
          <w:color w:val="000000"/>
          <w:sz w:val="24"/>
        </w:rPr>
        <w:t>50</w:t>
      </w:r>
      <w:r>
        <w:rPr>
          <w:color w:val="000000"/>
          <w:sz w:val="24"/>
        </w:rPr>
        <w:t>指数、沪深</w:t>
      </w:r>
      <w:r>
        <w:rPr>
          <w:color w:val="000000"/>
          <w:sz w:val="24"/>
        </w:rPr>
        <w:t>300</w:t>
      </w:r>
      <w:r>
        <w:rPr>
          <w:color w:val="000000"/>
          <w:sz w:val="24"/>
        </w:rPr>
        <w:t>指数分别下跌</w:t>
      </w:r>
      <w:r>
        <w:rPr>
          <w:color w:val="000000"/>
          <w:sz w:val="24"/>
        </w:rPr>
        <w:t>1.12%</w:t>
      </w:r>
      <w:r>
        <w:rPr>
          <w:color w:val="000000"/>
          <w:sz w:val="24"/>
        </w:rPr>
        <w:t>、</w:t>
      </w:r>
      <w:r>
        <w:rPr>
          <w:color w:val="000000"/>
          <w:sz w:val="24"/>
        </w:rPr>
        <w:t>0.29%</w:t>
      </w:r>
      <w:r>
        <w:rPr>
          <w:color w:val="000000"/>
          <w:sz w:val="24"/>
        </w:rPr>
        <w:t>，而创业板指上涨</w:t>
      </w:r>
      <w:r>
        <w:rPr>
          <w:color w:val="000000"/>
          <w:sz w:val="24"/>
        </w:rPr>
        <w:t>7.68%</w:t>
      </w:r>
      <w:r>
        <w:rPr>
          <w:color w:val="000000"/>
          <w:sz w:val="24"/>
        </w:rPr>
        <w:t>；行业方面，电子、医药生物、计算机、食品饮料、国防军工等板块涨幅居前，钢铁、采掘、建筑装饰、有色金属、房地产等板块跌幅较大。报告期内中证国企改革指数下跌</w:t>
      </w:r>
      <w:r>
        <w:rPr>
          <w:color w:val="000000"/>
          <w:sz w:val="24"/>
        </w:rPr>
        <w:t>0.57%</w:t>
      </w:r>
      <w:r>
        <w:rPr>
          <w:color w:val="000000"/>
          <w:sz w:val="24"/>
        </w:rPr>
        <w:t>。</w:t>
      </w:r>
    </w:p>
    <w:p w:rsidR="001C36D8" w:rsidRPr="003D22BD" w:rsidRDefault="001C36D8" w:rsidP="0015779C">
      <w:pPr>
        <w:spacing w:line="360" w:lineRule="auto"/>
        <w:ind w:firstLineChars="200" w:firstLine="480"/>
        <w:rPr>
          <w:color w:val="000000"/>
          <w:sz w:val="24"/>
        </w:rPr>
      </w:pPr>
      <w:r w:rsidRPr="003D22BD">
        <w:rPr>
          <w:color w:val="000000"/>
          <w:sz w:val="24"/>
        </w:rPr>
        <w:t>报告期内本基金为正常运作期，在操作中，我们严格遵守基金合同，坚持既定的指数化投资策略，在指数权重调整和基金申赎变动时，应用指数复制和数量</w:t>
      </w:r>
      <w:r w:rsidRPr="003D22BD">
        <w:rPr>
          <w:color w:val="000000"/>
          <w:sz w:val="24"/>
        </w:rPr>
        <w:lastRenderedPageBreak/>
        <w:t>化技术降低冲击成本和减少跟踪误差。</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4.4.2</w:t>
        </w:r>
      </w:smartTag>
      <w:r w:rsidRPr="00272E0C">
        <w:rPr>
          <w:rFonts w:ascii="宋体" w:hAnsi="宋体" w:hint="eastAsia"/>
          <w:sz w:val="24"/>
        </w:rPr>
        <w:t>报告期内基金的业绩表现</w:t>
      </w:r>
    </w:p>
    <w:p w:rsidR="001C36D8" w:rsidRPr="00E43B0B" w:rsidRDefault="001C36D8" w:rsidP="00E43B0B">
      <w:pPr>
        <w:spacing w:line="360" w:lineRule="auto"/>
        <w:ind w:firstLineChars="200" w:firstLine="480"/>
        <w:rPr>
          <w:color w:val="000000"/>
          <w:sz w:val="24"/>
        </w:rPr>
      </w:pPr>
      <w:r w:rsidRPr="003D22BD">
        <w:rPr>
          <w:color w:val="000000"/>
          <w:sz w:val="24"/>
        </w:rPr>
        <w:t>截至报告期末，本基金份额净值为</w:t>
      </w:r>
      <w:r w:rsidRPr="003D22BD">
        <w:rPr>
          <w:color w:val="000000"/>
          <w:sz w:val="24"/>
        </w:rPr>
        <w:t>0.9905</w:t>
      </w:r>
      <w:r w:rsidRPr="003D22BD">
        <w:rPr>
          <w:color w:val="000000"/>
          <w:sz w:val="24"/>
        </w:rPr>
        <w:t>元，本报告期份额净值增长率为</w:t>
      </w:r>
      <w:r w:rsidRPr="003D22BD">
        <w:rPr>
          <w:color w:val="000000"/>
          <w:sz w:val="24"/>
        </w:rPr>
        <w:t>1.43%</w:t>
      </w:r>
      <w:r w:rsidRPr="003D22BD">
        <w:rPr>
          <w:color w:val="000000"/>
          <w:sz w:val="24"/>
        </w:rPr>
        <w:t>，同期业绩比较基准收益率为</w:t>
      </w:r>
      <w:r w:rsidRPr="003D22BD">
        <w:rPr>
          <w:color w:val="000000"/>
          <w:sz w:val="24"/>
        </w:rPr>
        <w:t>-0.52%</w:t>
      </w:r>
      <w:r w:rsidRPr="003D22BD">
        <w:rPr>
          <w:color w:val="000000"/>
          <w:sz w:val="24"/>
        </w:rPr>
        <w:t>，日跟踪偏离度的均值为</w:t>
      </w:r>
      <w:r w:rsidRPr="003D22BD">
        <w:rPr>
          <w:color w:val="000000"/>
          <w:sz w:val="24"/>
        </w:rPr>
        <w:t>0.04%</w:t>
      </w:r>
      <w:r w:rsidRPr="003D22BD">
        <w:rPr>
          <w:color w:val="000000"/>
          <w:sz w:val="24"/>
        </w:rPr>
        <w:t>，年化跟踪误差为</w:t>
      </w:r>
      <w:r w:rsidRPr="003D22BD">
        <w:rPr>
          <w:color w:val="000000"/>
          <w:sz w:val="24"/>
        </w:rPr>
        <w:t>1.184%</w:t>
      </w:r>
      <w:r w:rsidRPr="003D22BD">
        <w:rPr>
          <w:color w:val="000000"/>
          <w:sz w:val="24"/>
        </w:rPr>
        <w:t>，各项指标均在合同规定的目标控制范围之内。</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5  </w:t>
      </w:r>
      <w:r w:rsidRPr="00272E0C">
        <w:rPr>
          <w:rFonts w:ascii="宋体" w:hAnsi="宋体" w:cs="Arial" w:hint="eastAsia"/>
          <w:color w:val="000000"/>
          <w:kern w:val="0"/>
          <w:sz w:val="24"/>
          <w:szCs w:val="24"/>
        </w:rPr>
        <w:t>投资组合报告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5.1 </w:t>
      </w:r>
      <w:r w:rsidRPr="00272E0C">
        <w:rPr>
          <w:rFonts w:ascii="宋体" w:hAnsi="宋体" w:cs="Arial" w:hint="eastAsia"/>
          <w:b/>
          <w:color w:val="000000"/>
          <w:kern w:val="0"/>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283"/>
        <w:gridCol w:w="2977"/>
        <w:gridCol w:w="1843"/>
      </w:tblGrid>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序号</w:t>
            </w:r>
          </w:p>
        </w:tc>
        <w:tc>
          <w:tcPr>
            <w:tcW w:w="328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项目</w:t>
            </w:r>
          </w:p>
        </w:tc>
        <w:tc>
          <w:tcPr>
            <w:tcW w:w="2977"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金额</w:t>
            </w:r>
            <w:r w:rsidR="0015779C" w:rsidRPr="005B1E0B">
              <w:rPr>
                <w:color w:val="000000"/>
                <w:sz w:val="24"/>
              </w:rPr>
              <w:t>（元）</w:t>
            </w:r>
          </w:p>
        </w:tc>
        <w:tc>
          <w:tcPr>
            <w:tcW w:w="1843"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占基金总资产的比例</w:t>
            </w:r>
            <w:r w:rsidR="0015779C" w:rsidRPr="005B1E0B">
              <w:rPr>
                <w:color w:val="000000"/>
                <w:sz w:val="24"/>
              </w:rPr>
              <w:t>（</w:t>
            </w:r>
            <w:r w:rsidR="0015779C" w:rsidRPr="005B1E0B">
              <w:rPr>
                <w:color w:val="000000"/>
                <w:sz w:val="24"/>
              </w:rPr>
              <w:t>%</w:t>
            </w:r>
            <w:r w:rsidR="0015779C"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1</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权益投资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240,659,814.78</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93.56</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其中：股票</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240,659,814.78</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93.56</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2</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固定收益投资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其中：债券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autoSpaceDE w:val="0"/>
              <w:autoSpaceDN w:val="0"/>
              <w:adjustRightInd w:val="0"/>
              <w:spacing w:before="29" w:line="360" w:lineRule="auto"/>
              <w:ind w:left="17"/>
              <w:jc w:val="left"/>
              <w:rPr>
                <w:color w:val="000000"/>
                <w:sz w:val="24"/>
              </w:rPr>
            </w:pPr>
            <w:r w:rsidRPr="005B1E0B">
              <w:rPr>
                <w:color w:val="000000"/>
                <w:sz w:val="24"/>
              </w:rPr>
              <w:t>资产支持证券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tcPr>
          <w:p w:rsidR="001C36D8" w:rsidRPr="005B1E0B" w:rsidRDefault="001C36D8" w:rsidP="001A09F9">
            <w:pPr>
              <w:spacing w:before="29" w:line="360" w:lineRule="auto"/>
              <w:ind w:left="17"/>
              <w:jc w:val="center"/>
              <w:rPr>
                <w:color w:val="000000"/>
                <w:sz w:val="24"/>
              </w:rPr>
            </w:pPr>
            <w:r w:rsidRPr="005B1E0B">
              <w:rPr>
                <w:color w:val="000000"/>
                <w:sz w:val="24"/>
              </w:rPr>
              <w:t>3</w:t>
            </w:r>
          </w:p>
        </w:tc>
        <w:tc>
          <w:tcPr>
            <w:tcW w:w="3283" w:type="dxa"/>
          </w:tcPr>
          <w:p w:rsidR="001C36D8" w:rsidRPr="005B1E0B" w:rsidRDefault="001C36D8" w:rsidP="0015779C">
            <w:pPr>
              <w:spacing w:before="29" w:line="360" w:lineRule="auto"/>
              <w:ind w:leftChars="50" w:left="105"/>
              <w:rPr>
                <w:color w:val="000000"/>
                <w:sz w:val="24"/>
              </w:rPr>
            </w:pPr>
            <w:r w:rsidRPr="005B1E0B">
              <w:rPr>
                <w:color w:val="000000"/>
                <w:sz w:val="24"/>
              </w:rPr>
              <w:t>贵金属投资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4</w:t>
            </w:r>
          </w:p>
        </w:tc>
        <w:tc>
          <w:tcPr>
            <w:tcW w:w="3283" w:type="dxa"/>
            <w:vAlign w:val="center"/>
          </w:tcPr>
          <w:p w:rsidR="001C36D8" w:rsidRPr="005B1E0B" w:rsidRDefault="001C36D8" w:rsidP="001A09F9">
            <w:pPr>
              <w:spacing w:before="29" w:line="360" w:lineRule="auto"/>
              <w:ind w:left="17"/>
              <w:jc w:val="left"/>
              <w:rPr>
                <w:color w:val="000000"/>
                <w:sz w:val="24"/>
              </w:rPr>
            </w:pPr>
            <w:r w:rsidRPr="005B1E0B">
              <w:rPr>
                <w:color w:val="000000"/>
                <w:sz w:val="24"/>
              </w:rPr>
              <w:t>金融衍生品投资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5</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其中：买断式回购的买入返售金融资产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6</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银行存款和结算备付金合计</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14,930,980.55</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5.80</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7</w:t>
            </w:r>
          </w:p>
        </w:tc>
        <w:tc>
          <w:tcPr>
            <w:tcW w:w="3283" w:type="dxa"/>
            <w:vAlign w:val="center"/>
          </w:tcPr>
          <w:p w:rsidR="001C36D8" w:rsidRPr="005B1E0B" w:rsidRDefault="001C36D8" w:rsidP="001A09F9">
            <w:pPr>
              <w:jc w:val="left"/>
              <w:rPr>
                <w:sz w:val="24"/>
              </w:rPr>
            </w:pPr>
            <w:r w:rsidRPr="005B1E0B">
              <w:rPr>
                <w:color w:val="000000"/>
                <w:sz w:val="24"/>
              </w:rPr>
              <w:t>其他资产</w:t>
            </w:r>
          </w:p>
        </w:tc>
        <w:tc>
          <w:tcPr>
            <w:tcW w:w="2977" w:type="dxa"/>
            <w:vAlign w:val="center"/>
          </w:tcPr>
          <w:p w:rsidR="001C36D8" w:rsidRPr="005B1E0B" w:rsidRDefault="001C36D8" w:rsidP="001A09F9">
            <w:pPr>
              <w:jc w:val="right"/>
              <w:rPr>
                <w:color w:val="000000"/>
                <w:sz w:val="24"/>
              </w:rPr>
            </w:pPr>
            <w:r w:rsidRPr="005B1E0B">
              <w:rPr>
                <w:color w:val="000000"/>
                <w:sz w:val="24"/>
              </w:rPr>
              <w:t>1,647,322.13</w:t>
            </w:r>
          </w:p>
        </w:tc>
        <w:tc>
          <w:tcPr>
            <w:tcW w:w="1843" w:type="dxa"/>
            <w:vAlign w:val="center"/>
          </w:tcPr>
          <w:p w:rsidR="001C36D8" w:rsidRPr="005B1E0B" w:rsidRDefault="001C36D8" w:rsidP="001A09F9">
            <w:pPr>
              <w:jc w:val="right"/>
              <w:rPr>
                <w:color w:val="000000"/>
                <w:sz w:val="24"/>
              </w:rPr>
            </w:pPr>
            <w:r w:rsidRPr="005B1E0B">
              <w:rPr>
                <w:color w:val="000000"/>
                <w:sz w:val="24"/>
              </w:rPr>
              <w:t>0.64</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8</w:t>
            </w:r>
          </w:p>
        </w:tc>
        <w:tc>
          <w:tcPr>
            <w:tcW w:w="3283" w:type="dxa"/>
            <w:vAlign w:val="center"/>
          </w:tcPr>
          <w:p w:rsidR="001C36D8" w:rsidRPr="005B1E0B" w:rsidRDefault="001C36D8" w:rsidP="001A09F9">
            <w:pPr>
              <w:jc w:val="left"/>
              <w:rPr>
                <w:sz w:val="24"/>
              </w:rPr>
            </w:pPr>
            <w:r w:rsidRPr="005B1E0B">
              <w:rPr>
                <w:color w:val="000000"/>
                <w:sz w:val="24"/>
              </w:rPr>
              <w:t>合计</w:t>
            </w:r>
          </w:p>
        </w:tc>
        <w:tc>
          <w:tcPr>
            <w:tcW w:w="2977" w:type="dxa"/>
            <w:vAlign w:val="center"/>
          </w:tcPr>
          <w:p w:rsidR="001C36D8" w:rsidRPr="005B1E0B" w:rsidRDefault="001C36D8" w:rsidP="001A09F9">
            <w:pPr>
              <w:jc w:val="right"/>
              <w:rPr>
                <w:color w:val="000000"/>
                <w:sz w:val="24"/>
              </w:rPr>
            </w:pPr>
            <w:r w:rsidRPr="005B1E0B">
              <w:rPr>
                <w:color w:val="000000"/>
                <w:sz w:val="24"/>
              </w:rPr>
              <w:t>257,238,117.46</w:t>
            </w:r>
          </w:p>
        </w:tc>
        <w:tc>
          <w:tcPr>
            <w:tcW w:w="1843" w:type="dxa"/>
            <w:vAlign w:val="center"/>
          </w:tcPr>
          <w:p w:rsidR="001C36D8" w:rsidRPr="005B1E0B" w:rsidRDefault="001C36D8" w:rsidP="001A09F9">
            <w:pPr>
              <w:jc w:val="right"/>
              <w:rPr>
                <w:color w:val="000000"/>
                <w:sz w:val="24"/>
              </w:rPr>
            </w:pPr>
            <w:r w:rsidRPr="005B1E0B">
              <w:rPr>
                <w:color w:val="000000"/>
                <w:sz w:val="24"/>
              </w:rPr>
              <w:t>100.00</w:t>
            </w:r>
          </w:p>
        </w:tc>
      </w:tr>
    </w:tbl>
    <w:p w:rsidR="00737AB0" w:rsidRPr="00220C32" w:rsidRDefault="00737AB0" w:rsidP="00737AB0">
      <w:pPr>
        <w:autoSpaceDE w:val="0"/>
        <w:autoSpaceDN w:val="0"/>
        <w:adjustRightInd w:val="0"/>
        <w:spacing w:line="360" w:lineRule="auto"/>
        <w:jc w:val="left"/>
        <w:rPr>
          <w:rFonts w:asciiTheme="minorEastAsia" w:eastAsiaTheme="minorEastAsia" w:hAnsiTheme="minorEastAsia"/>
          <w:b/>
          <w:bCs/>
          <w:color w:val="000000" w:themeColor="text1"/>
          <w:kern w:val="0"/>
          <w:sz w:val="24"/>
        </w:rPr>
      </w:pPr>
      <w:r w:rsidRPr="00220C32">
        <w:rPr>
          <w:rFonts w:asciiTheme="minorEastAsia" w:eastAsiaTheme="minorEastAsia" w:hAnsiTheme="minorEastAsia"/>
          <w:b/>
          <w:bCs/>
          <w:color w:val="000000" w:themeColor="text1"/>
          <w:kern w:val="0"/>
          <w:sz w:val="24"/>
        </w:rPr>
        <w:t xml:space="preserve">5.2 </w:t>
      </w:r>
      <w:r w:rsidRPr="00220C32">
        <w:rPr>
          <w:rFonts w:asciiTheme="minorEastAsia" w:eastAsiaTheme="minorEastAsia" w:hAnsiTheme="minorEastAsia" w:hint="eastAsia"/>
          <w:b/>
          <w:bCs/>
          <w:color w:val="000000" w:themeColor="text1"/>
          <w:kern w:val="0"/>
          <w:sz w:val="24"/>
        </w:rPr>
        <w:t>报告期末按行业分类的股票投资组合</w:t>
      </w:r>
    </w:p>
    <w:p w:rsidR="00737AB0" w:rsidRPr="000D7474" w:rsidRDefault="00737AB0" w:rsidP="00737AB0">
      <w:pPr>
        <w:rPr>
          <w:rFonts w:asciiTheme="minorEastAsia" w:eastAsiaTheme="minorEastAsia" w:hAnsiTheme="minorEastAsia"/>
          <w:b/>
          <w:bCs/>
          <w:color w:val="000000" w:themeColor="text1"/>
          <w:kern w:val="0"/>
          <w:sz w:val="24"/>
        </w:rPr>
      </w:pPr>
      <w:r w:rsidRPr="000D7474">
        <w:rPr>
          <w:rFonts w:asciiTheme="minorEastAsia" w:eastAsiaTheme="minorEastAsia" w:hAnsiTheme="minorEastAsia" w:hint="eastAsia"/>
          <w:b/>
          <w:bCs/>
          <w:color w:val="000000" w:themeColor="text1"/>
          <w:kern w:val="0"/>
          <w:sz w:val="24"/>
        </w:rPr>
        <w:t>5.2.1报告期末按行业分类的境内股票投资组合</w:t>
      </w:r>
    </w:p>
    <w:tbl>
      <w:tblPr>
        <w:tblW w:w="8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5"/>
        <w:gridCol w:w="3691"/>
        <w:gridCol w:w="2852"/>
        <w:gridCol w:w="1648"/>
      </w:tblGrid>
      <w:tr w:rsidR="00737AB0" w:rsidRPr="008C2A4F" w:rsidTr="00737AB0">
        <w:trPr>
          <w:trHeight w:val="390"/>
        </w:trPr>
        <w:tc>
          <w:tcPr>
            <w:tcW w:w="785" w:type="dxa"/>
            <w:tcBorders>
              <w:top w:val="single" w:sz="4" w:space="0" w:color="000000"/>
              <w:left w:val="single" w:sz="4" w:space="0" w:color="000000"/>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占基金资产净值比例（％）</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lastRenderedPageBreak/>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3,012,664.00</w:t>
            </w:r>
          </w:p>
          <w:p w:rsidR="00737AB0" w:rsidRPr="008C2A4F" w:rsidRDefault="00737AB0" w:rsidP="00D94F96">
            <w:pPr>
              <w:jc w:val="right"/>
              <w:rPr>
                <w:rFonts w:eastAsiaTheme="minorEastAsia"/>
                <w:color w:val="000000" w:themeColor="text1"/>
                <w:kern w:val="0"/>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1.17</w:t>
            </w:r>
          </w:p>
          <w:p w:rsidR="00737AB0" w:rsidRPr="008C2A4F" w:rsidRDefault="00737AB0" w:rsidP="00D94F96">
            <w:pPr>
              <w:jc w:val="right"/>
              <w:rPr>
                <w:rFonts w:eastAsiaTheme="minorEastAsia"/>
                <w:color w:val="000000" w:themeColor="text1"/>
                <w:kern w:val="0"/>
                <w:sz w:val="24"/>
              </w:rPr>
            </w:pP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100,710,366.22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39.27</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11,322,453.35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4.41</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13,070,833.47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5.10</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1,419,909.40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0.55</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9,057,653.45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3.53</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11,515,179.29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4.49</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64,770,521.42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25.25</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17,825,607.00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6.95</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6,146,892.18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2.40</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1,807,735.00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0.70</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240,659,814.78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93.83</w:t>
            </w:r>
          </w:p>
        </w:tc>
      </w:tr>
    </w:tbl>
    <w:p w:rsidR="000F2837" w:rsidRPr="000F2837" w:rsidRDefault="001C36D8" w:rsidP="000F2837">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5.3</w:t>
      </w:r>
      <w:r w:rsidR="00291A74" w:rsidRPr="00291A74">
        <w:rPr>
          <w:rFonts w:ascii="宋体" w:hAnsi="宋体" w:cs="Arial" w:hint="eastAsia"/>
          <w:b/>
          <w:color w:val="000000"/>
          <w:kern w:val="0"/>
          <w:sz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0F2837" w:rsidRPr="00264E55" w:rsidTr="002406DE">
        <w:tc>
          <w:tcPr>
            <w:tcW w:w="85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序号</w:t>
            </w:r>
          </w:p>
        </w:tc>
        <w:tc>
          <w:tcPr>
            <w:tcW w:w="1276"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股票代码</w:t>
            </w:r>
          </w:p>
        </w:tc>
        <w:tc>
          <w:tcPr>
            <w:tcW w:w="1418"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股票名称</w:t>
            </w:r>
          </w:p>
        </w:tc>
        <w:tc>
          <w:tcPr>
            <w:tcW w:w="170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数量（股）</w:t>
            </w:r>
          </w:p>
        </w:tc>
        <w:tc>
          <w:tcPr>
            <w:tcW w:w="1984" w:type="dxa"/>
            <w:vAlign w:val="center"/>
          </w:tcPr>
          <w:p w:rsidR="000F2837" w:rsidRPr="00232B03" w:rsidRDefault="000F2837" w:rsidP="002406DE">
            <w:pPr>
              <w:autoSpaceDE w:val="0"/>
              <w:autoSpaceDN w:val="0"/>
              <w:adjustRightInd w:val="0"/>
              <w:spacing w:before="29" w:line="360" w:lineRule="auto"/>
              <w:ind w:left="17"/>
              <w:jc w:val="center"/>
              <w:rPr>
                <w:color w:val="000000"/>
                <w:kern w:val="0"/>
                <w:sz w:val="24"/>
              </w:rPr>
            </w:pPr>
            <w:r w:rsidRPr="00232B03">
              <w:rPr>
                <w:color w:val="000000"/>
                <w:kern w:val="0"/>
                <w:sz w:val="24"/>
              </w:rPr>
              <w:t>公允价值（元）</w:t>
            </w:r>
          </w:p>
        </w:tc>
        <w:tc>
          <w:tcPr>
            <w:tcW w:w="1559"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占基金资产净值比例（％）</w:t>
            </w:r>
          </w:p>
        </w:tc>
      </w:tr>
      <w:tr w:rsidR="00F4239C">
        <w:tc>
          <w:tcPr>
            <w:tcW w:w="851" w:type="dxa"/>
            <w:vAlign w:val="center"/>
          </w:tcPr>
          <w:p w:rsidR="00F4239C" w:rsidRDefault="00F13295">
            <w:pPr>
              <w:jc w:val="center"/>
            </w:pPr>
            <w:r>
              <w:rPr>
                <w:color w:val="000000"/>
                <w:kern w:val="0"/>
                <w:sz w:val="24"/>
              </w:rPr>
              <w:t>1</w:t>
            </w:r>
          </w:p>
        </w:tc>
        <w:tc>
          <w:tcPr>
            <w:tcW w:w="1276" w:type="dxa"/>
            <w:vAlign w:val="center"/>
          </w:tcPr>
          <w:p w:rsidR="00F4239C" w:rsidRDefault="00F13295">
            <w:pPr>
              <w:jc w:val="center"/>
            </w:pPr>
            <w:r>
              <w:rPr>
                <w:color w:val="000000"/>
                <w:kern w:val="0"/>
                <w:sz w:val="24"/>
              </w:rPr>
              <w:t>600030</w:t>
            </w:r>
          </w:p>
        </w:tc>
        <w:tc>
          <w:tcPr>
            <w:tcW w:w="1418" w:type="dxa"/>
            <w:vAlign w:val="center"/>
          </w:tcPr>
          <w:p w:rsidR="00F4239C" w:rsidRDefault="00F13295">
            <w:pPr>
              <w:jc w:val="center"/>
            </w:pPr>
            <w:r>
              <w:rPr>
                <w:color w:val="000000"/>
                <w:kern w:val="0"/>
                <w:sz w:val="24"/>
              </w:rPr>
              <w:t>中信证券</w:t>
            </w:r>
          </w:p>
        </w:tc>
        <w:tc>
          <w:tcPr>
            <w:tcW w:w="1701" w:type="dxa"/>
            <w:vAlign w:val="center"/>
          </w:tcPr>
          <w:p w:rsidR="00F4239C" w:rsidRDefault="00F13295">
            <w:pPr>
              <w:jc w:val="right"/>
            </w:pPr>
            <w:r>
              <w:rPr>
                <w:color w:val="000000"/>
                <w:kern w:val="0"/>
                <w:sz w:val="24"/>
              </w:rPr>
              <w:t>372,900</w:t>
            </w:r>
          </w:p>
        </w:tc>
        <w:tc>
          <w:tcPr>
            <w:tcW w:w="1984" w:type="dxa"/>
            <w:vAlign w:val="center"/>
          </w:tcPr>
          <w:p w:rsidR="00F4239C" w:rsidRDefault="00F13295">
            <w:pPr>
              <w:jc w:val="right"/>
            </w:pPr>
            <w:r>
              <w:rPr>
                <w:color w:val="000000"/>
                <w:kern w:val="0"/>
                <w:sz w:val="24"/>
              </w:rPr>
              <w:t>8,382,792.00</w:t>
            </w:r>
          </w:p>
        </w:tc>
        <w:tc>
          <w:tcPr>
            <w:tcW w:w="1559" w:type="dxa"/>
            <w:vAlign w:val="center"/>
          </w:tcPr>
          <w:p w:rsidR="00F4239C" w:rsidRDefault="00F13295">
            <w:pPr>
              <w:jc w:val="right"/>
            </w:pPr>
            <w:r>
              <w:rPr>
                <w:color w:val="000000"/>
                <w:kern w:val="0"/>
                <w:sz w:val="24"/>
              </w:rPr>
              <w:t>3.27</w:t>
            </w:r>
          </w:p>
        </w:tc>
      </w:tr>
      <w:tr w:rsidR="00F4239C">
        <w:tc>
          <w:tcPr>
            <w:tcW w:w="851" w:type="dxa"/>
            <w:vAlign w:val="center"/>
          </w:tcPr>
          <w:p w:rsidR="00F4239C" w:rsidRDefault="00F13295">
            <w:pPr>
              <w:jc w:val="center"/>
            </w:pPr>
            <w:r>
              <w:rPr>
                <w:color w:val="000000"/>
                <w:kern w:val="0"/>
                <w:sz w:val="24"/>
              </w:rPr>
              <w:t>2</w:t>
            </w:r>
          </w:p>
        </w:tc>
        <w:tc>
          <w:tcPr>
            <w:tcW w:w="1276" w:type="dxa"/>
            <w:vAlign w:val="center"/>
          </w:tcPr>
          <w:p w:rsidR="00F4239C" w:rsidRDefault="00F13295">
            <w:pPr>
              <w:jc w:val="center"/>
            </w:pPr>
            <w:r>
              <w:rPr>
                <w:color w:val="000000"/>
                <w:kern w:val="0"/>
                <w:sz w:val="24"/>
              </w:rPr>
              <w:t>601398</w:t>
            </w:r>
          </w:p>
        </w:tc>
        <w:tc>
          <w:tcPr>
            <w:tcW w:w="1418" w:type="dxa"/>
            <w:vAlign w:val="center"/>
          </w:tcPr>
          <w:p w:rsidR="00F4239C" w:rsidRDefault="00F13295">
            <w:pPr>
              <w:jc w:val="center"/>
            </w:pPr>
            <w:r>
              <w:rPr>
                <w:color w:val="000000"/>
                <w:kern w:val="0"/>
                <w:sz w:val="24"/>
              </w:rPr>
              <w:t>工商银行</w:t>
            </w:r>
          </w:p>
        </w:tc>
        <w:tc>
          <w:tcPr>
            <w:tcW w:w="1701" w:type="dxa"/>
            <w:vAlign w:val="center"/>
          </w:tcPr>
          <w:p w:rsidR="00F4239C" w:rsidRDefault="00F13295">
            <w:pPr>
              <w:jc w:val="right"/>
            </w:pPr>
            <w:r>
              <w:rPr>
                <w:color w:val="000000"/>
                <w:kern w:val="0"/>
                <w:sz w:val="24"/>
              </w:rPr>
              <w:t>1,361,900</w:t>
            </w:r>
          </w:p>
        </w:tc>
        <w:tc>
          <w:tcPr>
            <w:tcW w:w="1984" w:type="dxa"/>
            <w:vAlign w:val="center"/>
          </w:tcPr>
          <w:p w:rsidR="00F4239C" w:rsidRDefault="00F13295">
            <w:pPr>
              <w:jc w:val="right"/>
            </w:pPr>
            <w:r>
              <w:rPr>
                <w:color w:val="000000"/>
                <w:kern w:val="0"/>
                <w:sz w:val="24"/>
              </w:rPr>
              <w:t>7,531,307.00</w:t>
            </w:r>
          </w:p>
        </w:tc>
        <w:tc>
          <w:tcPr>
            <w:tcW w:w="1559" w:type="dxa"/>
            <w:vAlign w:val="center"/>
          </w:tcPr>
          <w:p w:rsidR="00F4239C" w:rsidRDefault="00F13295">
            <w:pPr>
              <w:jc w:val="right"/>
            </w:pPr>
            <w:r>
              <w:rPr>
                <w:color w:val="000000"/>
                <w:kern w:val="0"/>
                <w:sz w:val="24"/>
              </w:rPr>
              <w:t>2.94</w:t>
            </w:r>
          </w:p>
        </w:tc>
      </w:tr>
      <w:tr w:rsidR="00F4239C">
        <w:tc>
          <w:tcPr>
            <w:tcW w:w="851" w:type="dxa"/>
            <w:vAlign w:val="center"/>
          </w:tcPr>
          <w:p w:rsidR="00F4239C" w:rsidRDefault="00F13295">
            <w:pPr>
              <w:jc w:val="center"/>
            </w:pPr>
            <w:r>
              <w:rPr>
                <w:color w:val="000000"/>
                <w:kern w:val="0"/>
                <w:sz w:val="24"/>
              </w:rPr>
              <w:t>3</w:t>
            </w:r>
          </w:p>
        </w:tc>
        <w:tc>
          <w:tcPr>
            <w:tcW w:w="1276" w:type="dxa"/>
            <w:vAlign w:val="center"/>
          </w:tcPr>
          <w:p w:rsidR="00F4239C" w:rsidRDefault="00F13295">
            <w:pPr>
              <w:jc w:val="center"/>
            </w:pPr>
            <w:r>
              <w:rPr>
                <w:color w:val="000000"/>
                <w:kern w:val="0"/>
                <w:sz w:val="24"/>
              </w:rPr>
              <w:t>601288</w:t>
            </w:r>
          </w:p>
        </w:tc>
        <w:tc>
          <w:tcPr>
            <w:tcW w:w="1418" w:type="dxa"/>
            <w:vAlign w:val="center"/>
          </w:tcPr>
          <w:p w:rsidR="00F4239C" w:rsidRDefault="00F13295">
            <w:pPr>
              <w:jc w:val="center"/>
            </w:pPr>
            <w:r>
              <w:rPr>
                <w:color w:val="000000"/>
                <w:kern w:val="0"/>
                <w:sz w:val="24"/>
              </w:rPr>
              <w:t>农业银行</w:t>
            </w:r>
          </w:p>
        </w:tc>
        <w:tc>
          <w:tcPr>
            <w:tcW w:w="1701" w:type="dxa"/>
            <w:vAlign w:val="center"/>
          </w:tcPr>
          <w:p w:rsidR="00F4239C" w:rsidRDefault="00F13295">
            <w:pPr>
              <w:jc w:val="right"/>
            </w:pPr>
            <w:r>
              <w:rPr>
                <w:color w:val="000000"/>
                <w:kern w:val="0"/>
                <w:sz w:val="24"/>
              </w:rPr>
              <w:t>2,154,100</w:t>
            </w:r>
          </w:p>
        </w:tc>
        <w:tc>
          <w:tcPr>
            <w:tcW w:w="1984" w:type="dxa"/>
            <w:vAlign w:val="center"/>
          </w:tcPr>
          <w:p w:rsidR="00F4239C" w:rsidRDefault="00F13295">
            <w:pPr>
              <w:jc w:val="right"/>
            </w:pPr>
            <w:r>
              <w:rPr>
                <w:color w:val="000000"/>
                <w:kern w:val="0"/>
                <w:sz w:val="24"/>
              </w:rPr>
              <w:t>7,453,186.00</w:t>
            </w:r>
          </w:p>
        </w:tc>
        <w:tc>
          <w:tcPr>
            <w:tcW w:w="1559" w:type="dxa"/>
            <w:vAlign w:val="center"/>
          </w:tcPr>
          <w:p w:rsidR="00F4239C" w:rsidRDefault="00F13295">
            <w:pPr>
              <w:jc w:val="right"/>
            </w:pPr>
            <w:r>
              <w:rPr>
                <w:color w:val="000000"/>
                <w:kern w:val="0"/>
                <w:sz w:val="24"/>
              </w:rPr>
              <w:t>2.91</w:t>
            </w:r>
          </w:p>
        </w:tc>
      </w:tr>
      <w:tr w:rsidR="00F4239C">
        <w:tc>
          <w:tcPr>
            <w:tcW w:w="851" w:type="dxa"/>
            <w:vAlign w:val="center"/>
          </w:tcPr>
          <w:p w:rsidR="00F4239C" w:rsidRDefault="00F13295">
            <w:pPr>
              <w:jc w:val="center"/>
            </w:pPr>
            <w:r>
              <w:rPr>
                <w:color w:val="000000"/>
                <w:kern w:val="0"/>
                <w:sz w:val="24"/>
              </w:rPr>
              <w:t>4</w:t>
            </w:r>
          </w:p>
        </w:tc>
        <w:tc>
          <w:tcPr>
            <w:tcW w:w="1276" w:type="dxa"/>
            <w:vAlign w:val="center"/>
          </w:tcPr>
          <w:p w:rsidR="00F4239C" w:rsidRDefault="00F13295">
            <w:pPr>
              <w:jc w:val="center"/>
            </w:pPr>
            <w:r>
              <w:rPr>
                <w:color w:val="000000"/>
                <w:kern w:val="0"/>
                <w:sz w:val="24"/>
              </w:rPr>
              <w:t>600900</w:t>
            </w:r>
          </w:p>
        </w:tc>
        <w:tc>
          <w:tcPr>
            <w:tcW w:w="1418" w:type="dxa"/>
            <w:vAlign w:val="center"/>
          </w:tcPr>
          <w:p w:rsidR="00F4239C" w:rsidRDefault="00F13295">
            <w:pPr>
              <w:jc w:val="center"/>
            </w:pPr>
            <w:r>
              <w:rPr>
                <w:color w:val="000000"/>
                <w:kern w:val="0"/>
                <w:sz w:val="24"/>
              </w:rPr>
              <w:t>长江电力</w:t>
            </w:r>
          </w:p>
        </w:tc>
        <w:tc>
          <w:tcPr>
            <w:tcW w:w="1701" w:type="dxa"/>
            <w:vAlign w:val="center"/>
          </w:tcPr>
          <w:p w:rsidR="00F4239C" w:rsidRDefault="00F13295">
            <w:pPr>
              <w:jc w:val="right"/>
            </w:pPr>
            <w:r>
              <w:rPr>
                <w:color w:val="000000"/>
                <w:kern w:val="0"/>
                <w:sz w:val="24"/>
              </w:rPr>
              <w:t>404,200</w:t>
            </w:r>
          </w:p>
        </w:tc>
        <w:tc>
          <w:tcPr>
            <w:tcW w:w="1984" w:type="dxa"/>
            <w:vAlign w:val="center"/>
          </w:tcPr>
          <w:p w:rsidR="00F4239C" w:rsidRDefault="00F13295">
            <w:pPr>
              <w:jc w:val="right"/>
            </w:pPr>
            <w:r>
              <w:rPr>
                <w:color w:val="000000"/>
                <w:kern w:val="0"/>
                <w:sz w:val="24"/>
              </w:rPr>
              <w:t>7,368,566.00</w:t>
            </w:r>
          </w:p>
        </w:tc>
        <w:tc>
          <w:tcPr>
            <w:tcW w:w="1559" w:type="dxa"/>
            <w:vAlign w:val="center"/>
          </w:tcPr>
          <w:p w:rsidR="00F4239C" w:rsidRDefault="00F13295">
            <w:pPr>
              <w:jc w:val="right"/>
            </w:pPr>
            <w:r>
              <w:rPr>
                <w:color w:val="000000"/>
                <w:kern w:val="0"/>
                <w:sz w:val="24"/>
              </w:rPr>
              <w:t>2.87</w:t>
            </w:r>
          </w:p>
        </w:tc>
      </w:tr>
      <w:tr w:rsidR="00F4239C">
        <w:tc>
          <w:tcPr>
            <w:tcW w:w="851" w:type="dxa"/>
            <w:vAlign w:val="center"/>
          </w:tcPr>
          <w:p w:rsidR="00F4239C" w:rsidRDefault="00F13295">
            <w:pPr>
              <w:jc w:val="center"/>
            </w:pPr>
            <w:r>
              <w:rPr>
                <w:color w:val="000000"/>
                <w:kern w:val="0"/>
                <w:sz w:val="24"/>
              </w:rPr>
              <w:t>5</w:t>
            </w:r>
          </w:p>
        </w:tc>
        <w:tc>
          <w:tcPr>
            <w:tcW w:w="1276" w:type="dxa"/>
            <w:vAlign w:val="center"/>
          </w:tcPr>
          <w:p w:rsidR="00F4239C" w:rsidRDefault="00F13295">
            <w:pPr>
              <w:jc w:val="center"/>
            </w:pPr>
            <w:r>
              <w:rPr>
                <w:color w:val="000000"/>
                <w:kern w:val="0"/>
                <w:sz w:val="24"/>
              </w:rPr>
              <w:t>601328</w:t>
            </w:r>
          </w:p>
        </w:tc>
        <w:tc>
          <w:tcPr>
            <w:tcW w:w="1418" w:type="dxa"/>
            <w:vAlign w:val="center"/>
          </w:tcPr>
          <w:p w:rsidR="00F4239C" w:rsidRDefault="00F13295">
            <w:pPr>
              <w:jc w:val="center"/>
            </w:pPr>
            <w:r>
              <w:rPr>
                <w:color w:val="000000"/>
                <w:kern w:val="0"/>
                <w:sz w:val="24"/>
              </w:rPr>
              <w:t>交通银行</w:t>
            </w:r>
          </w:p>
        </w:tc>
        <w:tc>
          <w:tcPr>
            <w:tcW w:w="1701" w:type="dxa"/>
            <w:vAlign w:val="center"/>
          </w:tcPr>
          <w:p w:rsidR="00F4239C" w:rsidRDefault="00F13295">
            <w:pPr>
              <w:jc w:val="right"/>
            </w:pPr>
            <w:r>
              <w:rPr>
                <w:color w:val="000000"/>
                <w:kern w:val="0"/>
                <w:sz w:val="24"/>
              </w:rPr>
              <w:t>1,349,692</w:t>
            </w:r>
          </w:p>
        </w:tc>
        <w:tc>
          <w:tcPr>
            <w:tcW w:w="1984" w:type="dxa"/>
            <w:vAlign w:val="center"/>
          </w:tcPr>
          <w:p w:rsidR="00F4239C" w:rsidRDefault="00F13295">
            <w:pPr>
              <w:jc w:val="right"/>
            </w:pPr>
            <w:r>
              <w:rPr>
                <w:color w:val="000000"/>
                <w:kern w:val="0"/>
                <w:sz w:val="24"/>
              </w:rPr>
              <w:t>7,355,821.40</w:t>
            </w:r>
          </w:p>
        </w:tc>
        <w:tc>
          <w:tcPr>
            <w:tcW w:w="1559" w:type="dxa"/>
            <w:vAlign w:val="center"/>
          </w:tcPr>
          <w:p w:rsidR="00F4239C" w:rsidRDefault="00F13295">
            <w:pPr>
              <w:jc w:val="right"/>
            </w:pPr>
            <w:r>
              <w:rPr>
                <w:color w:val="000000"/>
                <w:kern w:val="0"/>
                <w:sz w:val="24"/>
              </w:rPr>
              <w:t>2.87</w:t>
            </w:r>
          </w:p>
        </w:tc>
      </w:tr>
      <w:tr w:rsidR="00F4239C">
        <w:tc>
          <w:tcPr>
            <w:tcW w:w="851" w:type="dxa"/>
            <w:vAlign w:val="center"/>
          </w:tcPr>
          <w:p w:rsidR="00F4239C" w:rsidRDefault="00F13295">
            <w:pPr>
              <w:jc w:val="center"/>
            </w:pPr>
            <w:r>
              <w:rPr>
                <w:color w:val="000000"/>
                <w:kern w:val="0"/>
                <w:sz w:val="24"/>
              </w:rPr>
              <w:t>6</w:t>
            </w:r>
          </w:p>
        </w:tc>
        <w:tc>
          <w:tcPr>
            <w:tcW w:w="1276" w:type="dxa"/>
            <w:vAlign w:val="center"/>
          </w:tcPr>
          <w:p w:rsidR="00F4239C" w:rsidRDefault="00F13295">
            <w:pPr>
              <w:jc w:val="center"/>
            </w:pPr>
            <w:r>
              <w:rPr>
                <w:color w:val="000000"/>
                <w:kern w:val="0"/>
                <w:sz w:val="24"/>
              </w:rPr>
              <w:t>601166</w:t>
            </w:r>
          </w:p>
        </w:tc>
        <w:tc>
          <w:tcPr>
            <w:tcW w:w="1418" w:type="dxa"/>
            <w:vAlign w:val="center"/>
          </w:tcPr>
          <w:p w:rsidR="00F4239C" w:rsidRDefault="00F13295">
            <w:pPr>
              <w:jc w:val="center"/>
            </w:pPr>
            <w:r>
              <w:rPr>
                <w:color w:val="000000"/>
                <w:kern w:val="0"/>
                <w:sz w:val="24"/>
              </w:rPr>
              <w:t>兴业银行</w:t>
            </w:r>
          </w:p>
        </w:tc>
        <w:tc>
          <w:tcPr>
            <w:tcW w:w="1701" w:type="dxa"/>
            <w:vAlign w:val="center"/>
          </w:tcPr>
          <w:p w:rsidR="00F4239C" w:rsidRDefault="00F13295">
            <w:pPr>
              <w:jc w:val="right"/>
            </w:pPr>
            <w:r>
              <w:rPr>
                <w:color w:val="000000"/>
                <w:kern w:val="0"/>
                <w:sz w:val="24"/>
              </w:rPr>
              <w:t>418,400</w:t>
            </w:r>
          </w:p>
        </w:tc>
        <w:tc>
          <w:tcPr>
            <w:tcW w:w="1984" w:type="dxa"/>
            <w:vAlign w:val="center"/>
          </w:tcPr>
          <w:p w:rsidR="00F4239C" w:rsidRDefault="00F13295">
            <w:pPr>
              <w:jc w:val="right"/>
            </w:pPr>
            <w:r>
              <w:rPr>
                <w:color w:val="000000"/>
                <w:kern w:val="0"/>
                <w:sz w:val="24"/>
              </w:rPr>
              <w:t>7,334,552.00</w:t>
            </w:r>
          </w:p>
        </w:tc>
        <w:tc>
          <w:tcPr>
            <w:tcW w:w="1559" w:type="dxa"/>
            <w:vAlign w:val="center"/>
          </w:tcPr>
          <w:p w:rsidR="00F4239C" w:rsidRDefault="00F13295">
            <w:pPr>
              <w:jc w:val="right"/>
            </w:pPr>
            <w:r>
              <w:rPr>
                <w:color w:val="000000"/>
                <w:kern w:val="0"/>
                <w:sz w:val="24"/>
              </w:rPr>
              <w:t>2.86</w:t>
            </w:r>
          </w:p>
        </w:tc>
      </w:tr>
      <w:tr w:rsidR="00F4239C">
        <w:tc>
          <w:tcPr>
            <w:tcW w:w="851" w:type="dxa"/>
            <w:vAlign w:val="center"/>
          </w:tcPr>
          <w:p w:rsidR="00F4239C" w:rsidRDefault="00F13295">
            <w:pPr>
              <w:jc w:val="center"/>
            </w:pPr>
            <w:r>
              <w:rPr>
                <w:color w:val="000000"/>
                <w:kern w:val="0"/>
                <w:sz w:val="24"/>
              </w:rPr>
              <w:t>7</w:t>
            </w:r>
          </w:p>
        </w:tc>
        <w:tc>
          <w:tcPr>
            <w:tcW w:w="1276" w:type="dxa"/>
            <w:vAlign w:val="center"/>
          </w:tcPr>
          <w:p w:rsidR="00F4239C" w:rsidRDefault="00F13295">
            <w:pPr>
              <w:jc w:val="center"/>
            </w:pPr>
            <w:r>
              <w:rPr>
                <w:color w:val="000000"/>
                <w:kern w:val="0"/>
                <w:sz w:val="24"/>
              </w:rPr>
              <w:t>000651</w:t>
            </w:r>
          </w:p>
        </w:tc>
        <w:tc>
          <w:tcPr>
            <w:tcW w:w="1418" w:type="dxa"/>
            <w:vAlign w:val="center"/>
          </w:tcPr>
          <w:p w:rsidR="00F4239C" w:rsidRDefault="00F13295">
            <w:pPr>
              <w:jc w:val="center"/>
            </w:pPr>
            <w:r>
              <w:rPr>
                <w:color w:val="000000"/>
                <w:kern w:val="0"/>
                <w:sz w:val="24"/>
              </w:rPr>
              <w:t>格力电器</w:t>
            </w:r>
          </w:p>
        </w:tc>
        <w:tc>
          <w:tcPr>
            <w:tcW w:w="1701" w:type="dxa"/>
            <w:vAlign w:val="center"/>
          </w:tcPr>
          <w:p w:rsidR="00F4239C" w:rsidRDefault="00F13295">
            <w:pPr>
              <w:jc w:val="right"/>
            </w:pPr>
            <w:r>
              <w:rPr>
                <w:color w:val="000000"/>
                <w:kern w:val="0"/>
                <w:sz w:val="24"/>
              </w:rPr>
              <w:t>127,900</w:t>
            </w:r>
          </w:p>
        </w:tc>
        <w:tc>
          <w:tcPr>
            <w:tcW w:w="1984" w:type="dxa"/>
            <w:vAlign w:val="center"/>
          </w:tcPr>
          <w:p w:rsidR="00F4239C" w:rsidRDefault="00F13295">
            <w:pPr>
              <w:jc w:val="right"/>
            </w:pPr>
            <w:r>
              <w:rPr>
                <w:color w:val="000000"/>
                <w:kern w:val="0"/>
                <w:sz w:val="24"/>
              </w:rPr>
              <w:t>7,328,670.00</w:t>
            </w:r>
          </w:p>
        </w:tc>
        <w:tc>
          <w:tcPr>
            <w:tcW w:w="1559" w:type="dxa"/>
            <w:vAlign w:val="center"/>
          </w:tcPr>
          <w:p w:rsidR="00F4239C" w:rsidRDefault="00F13295">
            <w:pPr>
              <w:jc w:val="right"/>
            </w:pPr>
            <w:r>
              <w:rPr>
                <w:color w:val="000000"/>
                <w:kern w:val="0"/>
                <w:sz w:val="24"/>
              </w:rPr>
              <w:t>2.86</w:t>
            </w:r>
          </w:p>
        </w:tc>
      </w:tr>
      <w:tr w:rsidR="00F4239C">
        <w:tc>
          <w:tcPr>
            <w:tcW w:w="851" w:type="dxa"/>
            <w:vAlign w:val="center"/>
          </w:tcPr>
          <w:p w:rsidR="00F4239C" w:rsidRDefault="00F13295">
            <w:pPr>
              <w:jc w:val="center"/>
            </w:pPr>
            <w:r>
              <w:rPr>
                <w:color w:val="000000"/>
                <w:kern w:val="0"/>
                <w:sz w:val="24"/>
              </w:rPr>
              <w:t>8</w:t>
            </w:r>
          </w:p>
        </w:tc>
        <w:tc>
          <w:tcPr>
            <w:tcW w:w="1276" w:type="dxa"/>
            <w:vAlign w:val="center"/>
          </w:tcPr>
          <w:p w:rsidR="00F4239C" w:rsidRDefault="00F13295">
            <w:pPr>
              <w:jc w:val="center"/>
            </w:pPr>
            <w:r>
              <w:rPr>
                <w:color w:val="000000"/>
                <w:kern w:val="0"/>
                <w:sz w:val="24"/>
              </w:rPr>
              <w:t>600036</w:t>
            </w:r>
          </w:p>
        </w:tc>
        <w:tc>
          <w:tcPr>
            <w:tcW w:w="1418" w:type="dxa"/>
            <w:vAlign w:val="center"/>
          </w:tcPr>
          <w:p w:rsidR="00F4239C" w:rsidRDefault="00F13295">
            <w:pPr>
              <w:jc w:val="center"/>
            </w:pPr>
            <w:r>
              <w:rPr>
                <w:color w:val="000000"/>
                <w:kern w:val="0"/>
                <w:sz w:val="24"/>
              </w:rPr>
              <w:t>招商银行</w:t>
            </w:r>
          </w:p>
        </w:tc>
        <w:tc>
          <w:tcPr>
            <w:tcW w:w="1701" w:type="dxa"/>
            <w:vAlign w:val="center"/>
          </w:tcPr>
          <w:p w:rsidR="00F4239C" w:rsidRDefault="00F13295">
            <w:pPr>
              <w:jc w:val="right"/>
            </w:pPr>
            <w:r>
              <w:rPr>
                <w:color w:val="000000"/>
                <w:kern w:val="0"/>
                <w:sz w:val="24"/>
              </w:rPr>
              <w:t>209,500</w:t>
            </w:r>
          </w:p>
        </w:tc>
        <w:tc>
          <w:tcPr>
            <w:tcW w:w="1984" w:type="dxa"/>
            <w:vAlign w:val="center"/>
          </w:tcPr>
          <w:p w:rsidR="00F4239C" w:rsidRDefault="00F13295">
            <w:pPr>
              <w:jc w:val="right"/>
            </w:pPr>
            <w:r>
              <w:rPr>
                <w:color w:val="000000"/>
                <w:kern w:val="0"/>
                <w:sz w:val="24"/>
              </w:rPr>
              <w:t>7,280,125.00</w:t>
            </w:r>
          </w:p>
        </w:tc>
        <w:tc>
          <w:tcPr>
            <w:tcW w:w="1559" w:type="dxa"/>
            <w:vAlign w:val="center"/>
          </w:tcPr>
          <w:p w:rsidR="00F4239C" w:rsidRDefault="00F13295">
            <w:pPr>
              <w:jc w:val="right"/>
            </w:pPr>
            <w:r>
              <w:rPr>
                <w:color w:val="000000"/>
                <w:kern w:val="0"/>
                <w:sz w:val="24"/>
              </w:rPr>
              <w:t>2.84</w:t>
            </w:r>
          </w:p>
        </w:tc>
      </w:tr>
      <w:tr w:rsidR="00F4239C">
        <w:tc>
          <w:tcPr>
            <w:tcW w:w="851" w:type="dxa"/>
            <w:vAlign w:val="center"/>
          </w:tcPr>
          <w:p w:rsidR="00F4239C" w:rsidRDefault="00F13295">
            <w:pPr>
              <w:jc w:val="center"/>
            </w:pPr>
            <w:r>
              <w:rPr>
                <w:color w:val="000000"/>
                <w:kern w:val="0"/>
                <w:sz w:val="24"/>
              </w:rPr>
              <w:t>9</w:t>
            </w:r>
          </w:p>
        </w:tc>
        <w:tc>
          <w:tcPr>
            <w:tcW w:w="1276" w:type="dxa"/>
            <w:vAlign w:val="center"/>
          </w:tcPr>
          <w:p w:rsidR="00F4239C" w:rsidRDefault="00F13295">
            <w:pPr>
              <w:jc w:val="center"/>
            </w:pPr>
            <w:r>
              <w:rPr>
                <w:color w:val="000000"/>
                <w:kern w:val="0"/>
                <w:sz w:val="24"/>
              </w:rPr>
              <w:t>000002</w:t>
            </w:r>
          </w:p>
        </w:tc>
        <w:tc>
          <w:tcPr>
            <w:tcW w:w="1418" w:type="dxa"/>
            <w:vAlign w:val="center"/>
          </w:tcPr>
          <w:p w:rsidR="00F4239C" w:rsidRDefault="00F13295">
            <w:pPr>
              <w:jc w:val="center"/>
            </w:pPr>
            <w:r>
              <w:rPr>
                <w:color w:val="000000"/>
                <w:kern w:val="0"/>
                <w:sz w:val="24"/>
              </w:rPr>
              <w:t>万科</w:t>
            </w:r>
            <w:r>
              <w:rPr>
                <w:color w:val="000000"/>
                <w:kern w:val="0"/>
                <w:sz w:val="24"/>
              </w:rPr>
              <w:t>A</w:t>
            </w:r>
          </w:p>
        </w:tc>
        <w:tc>
          <w:tcPr>
            <w:tcW w:w="1701" w:type="dxa"/>
            <w:vAlign w:val="center"/>
          </w:tcPr>
          <w:p w:rsidR="00F4239C" w:rsidRDefault="00F13295">
            <w:pPr>
              <w:jc w:val="right"/>
            </w:pPr>
            <w:r>
              <w:rPr>
                <w:color w:val="000000"/>
                <w:kern w:val="0"/>
                <w:sz w:val="24"/>
              </w:rPr>
              <w:t>279,600</w:t>
            </w:r>
          </w:p>
        </w:tc>
        <w:tc>
          <w:tcPr>
            <w:tcW w:w="1984" w:type="dxa"/>
            <w:vAlign w:val="center"/>
          </w:tcPr>
          <w:p w:rsidR="00F4239C" w:rsidRDefault="00F13295">
            <w:pPr>
              <w:jc w:val="right"/>
            </w:pPr>
            <w:r>
              <w:rPr>
                <w:color w:val="000000"/>
                <w:kern w:val="0"/>
                <w:sz w:val="24"/>
              </w:rPr>
              <w:t>7,241,640.00</w:t>
            </w:r>
          </w:p>
        </w:tc>
        <w:tc>
          <w:tcPr>
            <w:tcW w:w="1559" w:type="dxa"/>
            <w:vAlign w:val="center"/>
          </w:tcPr>
          <w:p w:rsidR="00F4239C" w:rsidRDefault="00F13295">
            <w:pPr>
              <w:jc w:val="right"/>
            </w:pPr>
            <w:r>
              <w:rPr>
                <w:color w:val="000000"/>
                <w:kern w:val="0"/>
                <w:sz w:val="24"/>
              </w:rPr>
              <w:t>2.82</w:t>
            </w:r>
          </w:p>
        </w:tc>
      </w:tr>
      <w:tr w:rsidR="00F4239C">
        <w:tc>
          <w:tcPr>
            <w:tcW w:w="851" w:type="dxa"/>
            <w:vAlign w:val="center"/>
          </w:tcPr>
          <w:p w:rsidR="00F4239C" w:rsidRDefault="00F13295">
            <w:pPr>
              <w:jc w:val="center"/>
            </w:pPr>
            <w:r>
              <w:rPr>
                <w:color w:val="000000"/>
                <w:kern w:val="0"/>
                <w:sz w:val="24"/>
              </w:rPr>
              <w:t>10</w:t>
            </w:r>
          </w:p>
        </w:tc>
        <w:tc>
          <w:tcPr>
            <w:tcW w:w="1276" w:type="dxa"/>
            <w:vAlign w:val="center"/>
          </w:tcPr>
          <w:p w:rsidR="00F4239C" w:rsidRDefault="00F13295">
            <w:pPr>
              <w:jc w:val="center"/>
            </w:pPr>
            <w:r>
              <w:rPr>
                <w:color w:val="000000"/>
                <w:kern w:val="0"/>
                <w:sz w:val="24"/>
              </w:rPr>
              <w:t>002415</w:t>
            </w:r>
          </w:p>
        </w:tc>
        <w:tc>
          <w:tcPr>
            <w:tcW w:w="1418" w:type="dxa"/>
            <w:vAlign w:val="center"/>
          </w:tcPr>
          <w:p w:rsidR="00F4239C" w:rsidRDefault="00F13295">
            <w:pPr>
              <w:jc w:val="center"/>
            </w:pPr>
            <w:r>
              <w:rPr>
                <w:color w:val="000000"/>
                <w:kern w:val="0"/>
                <w:sz w:val="24"/>
              </w:rPr>
              <w:t>海康威视</w:t>
            </w:r>
          </w:p>
        </w:tc>
        <w:tc>
          <w:tcPr>
            <w:tcW w:w="1701" w:type="dxa"/>
            <w:vAlign w:val="center"/>
          </w:tcPr>
          <w:p w:rsidR="00F4239C" w:rsidRDefault="00F13295">
            <w:pPr>
              <w:jc w:val="right"/>
            </w:pPr>
            <w:r>
              <w:rPr>
                <w:color w:val="000000"/>
                <w:kern w:val="0"/>
                <w:sz w:val="24"/>
              </w:rPr>
              <w:t>221,900</w:t>
            </w:r>
          </w:p>
        </w:tc>
        <w:tc>
          <w:tcPr>
            <w:tcW w:w="1984" w:type="dxa"/>
            <w:vAlign w:val="center"/>
          </w:tcPr>
          <w:p w:rsidR="00F4239C" w:rsidRDefault="00F13295">
            <w:pPr>
              <w:jc w:val="right"/>
            </w:pPr>
            <w:r>
              <w:rPr>
                <w:color w:val="000000"/>
                <w:kern w:val="0"/>
                <w:sz w:val="24"/>
              </w:rPr>
              <w:t>7,167,370.00</w:t>
            </w:r>
          </w:p>
        </w:tc>
        <w:tc>
          <w:tcPr>
            <w:tcW w:w="1559" w:type="dxa"/>
            <w:vAlign w:val="center"/>
          </w:tcPr>
          <w:p w:rsidR="00F4239C" w:rsidRDefault="00F13295">
            <w:pPr>
              <w:jc w:val="right"/>
            </w:pPr>
            <w:r>
              <w:rPr>
                <w:color w:val="000000"/>
                <w:kern w:val="0"/>
                <w:sz w:val="24"/>
              </w:rPr>
              <w:t>2.79</w:t>
            </w:r>
          </w:p>
        </w:tc>
      </w:tr>
    </w:tbl>
    <w:p w:rsidR="00653BAC" w:rsidRPr="00653BAC" w:rsidRDefault="001C36D8" w:rsidP="00653BAC">
      <w:pPr>
        <w:autoSpaceDE w:val="0"/>
        <w:autoSpaceDN w:val="0"/>
        <w:adjustRightInd w:val="0"/>
        <w:spacing w:line="360" w:lineRule="auto"/>
        <w:jc w:val="left"/>
        <w:rPr>
          <w:rFonts w:eastAsiaTheme="minorEastAsia"/>
          <w:b/>
          <w:color w:val="000000" w:themeColor="text1"/>
          <w:kern w:val="0"/>
          <w:sz w:val="24"/>
        </w:rPr>
      </w:pPr>
      <w:r w:rsidRPr="00272E0C">
        <w:rPr>
          <w:rFonts w:ascii="宋体" w:hAnsi="宋体" w:cs="Arial"/>
          <w:b/>
          <w:color w:val="000000"/>
          <w:kern w:val="0"/>
          <w:sz w:val="24"/>
        </w:rPr>
        <w:lastRenderedPageBreak/>
        <w:t xml:space="preserve">5.4 </w:t>
      </w:r>
      <w:r w:rsidRPr="00272E0C">
        <w:rPr>
          <w:rFonts w:ascii="宋体" w:hAnsi="宋体" w:cs="Arial" w:hint="eastAsia"/>
          <w:b/>
          <w:color w:val="000000"/>
          <w:kern w:val="0"/>
          <w:sz w:val="24"/>
        </w:rPr>
        <w:t>报告期末按债券品种分类的债券投资组合</w:t>
      </w:r>
    </w:p>
    <w:p w:rsidR="001C36D8" w:rsidRPr="00653BAC" w:rsidRDefault="00653BAC" w:rsidP="00653BAC">
      <w:pPr>
        <w:spacing w:line="360" w:lineRule="auto"/>
        <w:ind w:firstLineChars="200" w:firstLine="480"/>
        <w:rPr>
          <w:color w:val="000000"/>
          <w:sz w:val="24"/>
        </w:rPr>
      </w:pPr>
      <w:r w:rsidRPr="00653BAC">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5.5 </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的前五名债券投资明细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5.6</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的前十名资产支持证券投资明细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本基金本报告期末未持有资产支持证券。</w:t>
      </w:r>
    </w:p>
    <w:p w:rsidR="001C36D8" w:rsidRPr="001D63BB" w:rsidRDefault="001C36D8" w:rsidP="001C123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本基金本报告期末未持有贵金属。</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1B0A62">
        <w:rPr>
          <w:rFonts w:ascii="宋体"/>
          <w:b/>
          <w:bCs/>
          <w:color w:val="000000"/>
          <w:kern w:val="0"/>
          <w:sz w:val="24"/>
        </w:rPr>
        <w:t>5.8</w:t>
      </w:r>
      <w:r w:rsidRPr="00272E0C">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272E0C">
        <w:rPr>
          <w:rFonts w:ascii="宋体" w:hAnsi="宋体" w:hint="eastAsia"/>
          <w:b/>
          <w:bCs/>
          <w:color w:val="000000"/>
          <w:sz w:val="24"/>
        </w:rPr>
        <w:t>的前五名权证投资明细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本基金本报告期末未持有权证。</w:t>
      </w:r>
    </w:p>
    <w:p w:rsidR="001C36D8" w:rsidRPr="00E85E29" w:rsidRDefault="001C36D8" w:rsidP="00E57068">
      <w:pPr>
        <w:adjustRightInd w:val="0"/>
        <w:snapToGrid w:val="0"/>
        <w:spacing w:line="360" w:lineRule="auto"/>
        <w:rPr>
          <w:rFonts w:ascii="宋体"/>
          <w:b/>
          <w:sz w:val="24"/>
        </w:rPr>
      </w:pPr>
      <w:r w:rsidRPr="001B0A62">
        <w:rPr>
          <w:rFonts w:ascii="宋体"/>
          <w:b/>
          <w:bCs/>
          <w:color w:val="000000"/>
          <w:kern w:val="0"/>
          <w:sz w:val="24"/>
        </w:rPr>
        <w:t>5.9</w:t>
      </w:r>
      <w:r w:rsidRPr="00E85E29">
        <w:rPr>
          <w:rFonts w:ascii="宋体" w:hAnsi="宋体" w:hint="eastAsia"/>
          <w:b/>
          <w:sz w:val="24"/>
        </w:rPr>
        <w:t>报告期末本基金投资的股指期货交易情况说明</w:t>
      </w:r>
    </w:p>
    <w:p w:rsidR="003B3D0C" w:rsidRDefault="003B3D0C" w:rsidP="003B3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C36D8" w:rsidRPr="00272E0C" w:rsidRDefault="001C36D8" w:rsidP="00576862">
      <w:pPr>
        <w:adjustRightInd w:val="0"/>
        <w:snapToGrid w:val="0"/>
        <w:spacing w:line="360" w:lineRule="auto"/>
        <w:rPr>
          <w:rFonts w:ascii="宋体"/>
          <w:b/>
          <w:sz w:val="24"/>
        </w:rPr>
      </w:pPr>
      <w:r>
        <w:rPr>
          <w:rFonts w:ascii="宋体" w:hAnsi="宋体"/>
          <w:b/>
          <w:sz w:val="24"/>
        </w:rPr>
        <w:t>5</w:t>
      </w:r>
      <w:r w:rsidRPr="00272E0C">
        <w:rPr>
          <w:rFonts w:ascii="宋体"/>
          <w:b/>
          <w:sz w:val="24"/>
        </w:rPr>
        <w:t>.</w:t>
      </w:r>
      <w:r>
        <w:rPr>
          <w:rFonts w:ascii="宋体" w:hAnsi="宋体"/>
          <w:b/>
          <w:sz w:val="24"/>
        </w:rPr>
        <w:t>10</w:t>
      </w:r>
      <w:r w:rsidRPr="00272E0C">
        <w:rPr>
          <w:rFonts w:ascii="宋体" w:hAnsi="宋体" w:hint="eastAsia"/>
          <w:b/>
          <w:sz w:val="24"/>
        </w:rPr>
        <w:t>报告期末本基金投资的国债期货交易情况说明</w:t>
      </w:r>
    </w:p>
    <w:p w:rsidR="000C44BD" w:rsidRDefault="000C44BD" w:rsidP="000C44BD">
      <w:pPr>
        <w:spacing w:line="360" w:lineRule="auto"/>
        <w:ind w:firstLineChars="200" w:firstLine="480"/>
      </w:pPr>
      <w:r>
        <w:rPr>
          <w:color w:val="000000"/>
          <w:sz w:val="24"/>
        </w:rPr>
        <w:t>本基金本报告期末未投资国债期货。</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272E0C">
        <w:rPr>
          <w:rFonts w:ascii="宋体" w:cs="Arial"/>
          <w:b/>
          <w:color w:val="000000"/>
          <w:kern w:val="0"/>
          <w:sz w:val="24"/>
        </w:rPr>
        <w:t>.</w:t>
      </w:r>
      <w:r>
        <w:rPr>
          <w:rFonts w:ascii="宋体" w:hAnsi="宋体" w:cs="Arial"/>
          <w:b/>
          <w:color w:val="000000"/>
          <w:kern w:val="0"/>
          <w:sz w:val="24"/>
        </w:rPr>
        <w:t>11</w:t>
      </w:r>
      <w:r w:rsidRPr="00272E0C">
        <w:rPr>
          <w:rFonts w:ascii="宋体" w:hAnsi="宋体" w:cs="Arial" w:hint="eastAsia"/>
          <w:b/>
          <w:color w:val="000000"/>
          <w:kern w:val="0"/>
          <w:sz w:val="24"/>
        </w:rPr>
        <w:t>投资组合报告附注</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5.11.1</w:t>
      </w:r>
      <w:r w:rsidRPr="005B1E0B">
        <w:rPr>
          <w:color w:val="000000"/>
          <w:kern w:val="0"/>
          <w:sz w:val="24"/>
        </w:rPr>
        <w:t>2018</w:t>
      </w:r>
      <w:r w:rsidRPr="005B1E0B">
        <w:rPr>
          <w:color w:val="000000"/>
          <w:kern w:val="0"/>
          <w:sz w:val="24"/>
        </w:rPr>
        <w:t>年</w:t>
      </w:r>
      <w:r w:rsidRPr="005B1E0B">
        <w:rPr>
          <w:color w:val="000000"/>
          <w:kern w:val="0"/>
          <w:sz w:val="24"/>
        </w:rPr>
        <w:t>10</w:t>
      </w:r>
      <w:r w:rsidRPr="005B1E0B">
        <w:rPr>
          <w:color w:val="000000"/>
          <w:kern w:val="0"/>
          <w:sz w:val="24"/>
        </w:rPr>
        <w:t>月</w:t>
      </w:r>
      <w:r w:rsidRPr="005B1E0B">
        <w:rPr>
          <w:color w:val="000000"/>
          <w:kern w:val="0"/>
          <w:sz w:val="24"/>
        </w:rPr>
        <w:t>16</w:t>
      </w:r>
      <w:r w:rsidRPr="005B1E0B">
        <w:rPr>
          <w:color w:val="000000"/>
          <w:kern w:val="0"/>
          <w:sz w:val="24"/>
        </w:rPr>
        <w:t>日，上海保监局针对兴业银行股份有限公司信用卡中心电话销售欺骗投保人、电话销售向投保人隐瞒与合同有关的重要情况的违法违规行为，责令改正并处</w:t>
      </w:r>
      <w:r w:rsidRPr="005B1E0B">
        <w:rPr>
          <w:color w:val="000000"/>
          <w:kern w:val="0"/>
          <w:sz w:val="24"/>
        </w:rPr>
        <w:t>35</w:t>
      </w:r>
      <w:r w:rsidRPr="005B1E0B">
        <w:rPr>
          <w:color w:val="000000"/>
          <w:kern w:val="0"/>
          <w:sz w:val="24"/>
        </w:rPr>
        <w:t>万元罚款。</w:t>
      </w:r>
    </w:p>
    <w:p w:rsidR="00F4239C" w:rsidRDefault="00F13295">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日，中国银行保险监督管理委员会上海监管局针对兴业银行股份有限公司信用卡中心</w:t>
      </w:r>
      <w:r>
        <w:rPr>
          <w:color w:val="000000"/>
          <w:kern w:val="0"/>
          <w:sz w:val="24"/>
        </w:rPr>
        <w:t>1</w:t>
      </w:r>
      <w:r>
        <w:rPr>
          <w:color w:val="000000"/>
          <w:kern w:val="0"/>
          <w:sz w:val="24"/>
        </w:rPr>
        <w:t>、</w:t>
      </w:r>
      <w:r>
        <w:rPr>
          <w:color w:val="000000"/>
          <w:kern w:val="0"/>
          <w:sz w:val="24"/>
        </w:rPr>
        <w:t>2016</w:t>
      </w:r>
      <w:r>
        <w:rPr>
          <w:color w:val="000000"/>
          <w:kern w:val="0"/>
          <w:sz w:val="24"/>
        </w:rPr>
        <w:t>年</w:t>
      </w:r>
      <w:r>
        <w:rPr>
          <w:color w:val="000000"/>
          <w:kern w:val="0"/>
          <w:sz w:val="24"/>
        </w:rPr>
        <w:t>1</w:t>
      </w:r>
      <w:r>
        <w:rPr>
          <w:color w:val="000000"/>
          <w:kern w:val="0"/>
          <w:sz w:val="24"/>
        </w:rPr>
        <w:t>月至</w:t>
      </w:r>
      <w:r>
        <w:rPr>
          <w:color w:val="000000"/>
          <w:kern w:val="0"/>
          <w:sz w:val="24"/>
        </w:rPr>
        <w:t>2018</w:t>
      </w:r>
      <w:r>
        <w:rPr>
          <w:color w:val="000000"/>
          <w:kern w:val="0"/>
          <w:sz w:val="24"/>
        </w:rPr>
        <w:t>年</w:t>
      </w:r>
      <w:r>
        <w:rPr>
          <w:color w:val="000000"/>
          <w:kern w:val="0"/>
          <w:sz w:val="24"/>
        </w:rPr>
        <w:t>1</w:t>
      </w:r>
      <w:r>
        <w:rPr>
          <w:color w:val="000000"/>
          <w:kern w:val="0"/>
          <w:sz w:val="24"/>
        </w:rPr>
        <w:t>月在为部分客户办理信用卡业务时未遵守总授信额度管理制度；</w:t>
      </w:r>
      <w:r>
        <w:rPr>
          <w:color w:val="000000"/>
          <w:kern w:val="0"/>
          <w:sz w:val="24"/>
        </w:rPr>
        <w:t>2</w:t>
      </w:r>
      <w:r>
        <w:rPr>
          <w:color w:val="000000"/>
          <w:kern w:val="0"/>
          <w:sz w:val="24"/>
        </w:rPr>
        <w:t>、</w:t>
      </w:r>
      <w:r>
        <w:rPr>
          <w:color w:val="000000"/>
          <w:kern w:val="0"/>
          <w:sz w:val="24"/>
        </w:rPr>
        <w:t>2016</w:t>
      </w:r>
      <w:r>
        <w:rPr>
          <w:color w:val="000000"/>
          <w:kern w:val="0"/>
          <w:sz w:val="24"/>
        </w:rPr>
        <w:t>年至</w:t>
      </w:r>
      <w:r>
        <w:rPr>
          <w:color w:val="000000"/>
          <w:kern w:val="0"/>
          <w:sz w:val="24"/>
        </w:rPr>
        <w:t>2018</w:t>
      </w:r>
      <w:r>
        <w:rPr>
          <w:color w:val="000000"/>
          <w:kern w:val="0"/>
          <w:sz w:val="24"/>
        </w:rPr>
        <w:t>年</w:t>
      </w:r>
      <w:r>
        <w:rPr>
          <w:color w:val="000000"/>
          <w:kern w:val="0"/>
          <w:sz w:val="24"/>
        </w:rPr>
        <w:t>8</w:t>
      </w:r>
      <w:r>
        <w:rPr>
          <w:color w:val="000000"/>
          <w:kern w:val="0"/>
          <w:sz w:val="24"/>
        </w:rPr>
        <w:t>月对部分信用卡申请人资信水平调查严重不尽职的违法违规行为，责令改正，并处罚款</w:t>
      </w:r>
      <w:r>
        <w:rPr>
          <w:color w:val="000000"/>
          <w:kern w:val="0"/>
          <w:sz w:val="24"/>
        </w:rPr>
        <w:t>40</w:t>
      </w:r>
      <w:r>
        <w:rPr>
          <w:color w:val="000000"/>
          <w:kern w:val="0"/>
          <w:sz w:val="24"/>
        </w:rPr>
        <w:t>万元。</w:t>
      </w:r>
    </w:p>
    <w:p w:rsidR="00F4239C" w:rsidRDefault="00F13295">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10</w:t>
      </w:r>
      <w:r>
        <w:rPr>
          <w:color w:val="000000"/>
          <w:kern w:val="0"/>
          <w:sz w:val="24"/>
        </w:rPr>
        <w:t>月</w:t>
      </w:r>
      <w:r>
        <w:rPr>
          <w:color w:val="000000"/>
          <w:kern w:val="0"/>
          <w:sz w:val="24"/>
        </w:rPr>
        <w:t>18</w:t>
      </w:r>
      <w:r>
        <w:rPr>
          <w:color w:val="000000"/>
          <w:kern w:val="0"/>
          <w:sz w:val="24"/>
        </w:rPr>
        <w:t>日，上海保监局针对交通银行欺骗投保人、向投保人隐瞒与合同有关的重要情况的违法违规事实，责令改正，并处</w:t>
      </w:r>
      <w:r>
        <w:rPr>
          <w:color w:val="000000"/>
          <w:kern w:val="0"/>
          <w:sz w:val="24"/>
        </w:rPr>
        <w:t>34</w:t>
      </w:r>
      <w:r>
        <w:rPr>
          <w:color w:val="000000"/>
          <w:kern w:val="0"/>
          <w:sz w:val="24"/>
        </w:rPr>
        <w:t>万元罚款。</w:t>
      </w:r>
    </w:p>
    <w:p w:rsidR="00F4239C" w:rsidRDefault="00F13295">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日，中国银行保险监督管理委员会对交通银行股份有限公司关于以下违规</w:t>
      </w:r>
      <w:r>
        <w:rPr>
          <w:color w:val="000000"/>
          <w:kern w:val="0"/>
          <w:sz w:val="24"/>
        </w:rPr>
        <w:t>事实：（一）不良信贷资产未洁净转让、理财资金投资本行不良信贷资产收益权；（二）未尽职调查并使用自有资金垫付承接风险资产；（三）档案管</w:t>
      </w:r>
      <w:r>
        <w:rPr>
          <w:color w:val="000000"/>
          <w:kern w:val="0"/>
          <w:sz w:val="24"/>
        </w:rPr>
        <w:lastRenderedPageBreak/>
        <w:t>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处以罚款</w:t>
      </w:r>
      <w:r>
        <w:rPr>
          <w:color w:val="000000"/>
          <w:kern w:val="0"/>
          <w:sz w:val="24"/>
        </w:rPr>
        <w:t>690</w:t>
      </w:r>
      <w:r>
        <w:rPr>
          <w:color w:val="000000"/>
          <w:kern w:val="0"/>
          <w:sz w:val="24"/>
        </w:rPr>
        <w:t>万元。</w:t>
      </w:r>
    </w:p>
    <w:p w:rsidR="00F4239C" w:rsidRDefault="00F13295">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9</w:t>
      </w:r>
      <w:r>
        <w:rPr>
          <w:color w:val="000000"/>
          <w:kern w:val="0"/>
          <w:sz w:val="24"/>
        </w:rPr>
        <w:t>日，中国银行保险监督管理委员会对交通银行股份有限公司并购贷款占并购交易价款比例不合规；并购贷款</w:t>
      </w:r>
      <w:r>
        <w:rPr>
          <w:color w:val="000000"/>
          <w:kern w:val="0"/>
          <w:sz w:val="24"/>
        </w:rPr>
        <w:t>尽职调查和风险评估不到位的违规事实，处以罚款</w:t>
      </w:r>
      <w:r>
        <w:rPr>
          <w:color w:val="000000"/>
          <w:kern w:val="0"/>
          <w:sz w:val="24"/>
        </w:rPr>
        <w:t>50</w:t>
      </w:r>
      <w:r>
        <w:rPr>
          <w:color w:val="000000"/>
          <w:kern w:val="0"/>
          <w:sz w:val="24"/>
        </w:rPr>
        <w:t>万元人民币。</w:t>
      </w:r>
    </w:p>
    <w:p w:rsidR="00F4239C" w:rsidRDefault="00F13295">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25</w:t>
      </w:r>
      <w:r>
        <w:rPr>
          <w:color w:val="000000"/>
          <w:kern w:val="0"/>
          <w:sz w:val="24"/>
        </w:rPr>
        <w:t>日，中国银行保险监督管理委员会上海监管局对交通银行股份有限公司太平洋信用卡中心</w:t>
      </w:r>
      <w:r>
        <w:rPr>
          <w:color w:val="000000"/>
          <w:kern w:val="0"/>
          <w:sz w:val="24"/>
        </w:rPr>
        <w:t>2017</w:t>
      </w:r>
      <w:r>
        <w:rPr>
          <w:color w:val="000000"/>
          <w:kern w:val="0"/>
          <w:sz w:val="24"/>
        </w:rPr>
        <w:t>年</w:t>
      </w:r>
      <w:r>
        <w:rPr>
          <w:color w:val="000000"/>
          <w:kern w:val="0"/>
          <w:sz w:val="24"/>
        </w:rPr>
        <w:t>6</w:t>
      </w:r>
      <w:r>
        <w:rPr>
          <w:color w:val="000000"/>
          <w:kern w:val="0"/>
          <w:sz w:val="24"/>
        </w:rPr>
        <w:t>月至</w:t>
      </w:r>
      <w:r>
        <w:rPr>
          <w:color w:val="000000"/>
          <w:kern w:val="0"/>
          <w:sz w:val="24"/>
        </w:rPr>
        <w:t>10</w:t>
      </w:r>
      <w:r>
        <w:rPr>
          <w:color w:val="000000"/>
          <w:kern w:val="0"/>
          <w:sz w:val="24"/>
        </w:rPr>
        <w:t>月期间在办理部分客户信用卡业务时未遵守总授信额度管理制度的违规事实，处以责令改正，并处罚款</w:t>
      </w:r>
      <w:r>
        <w:rPr>
          <w:color w:val="000000"/>
          <w:kern w:val="0"/>
          <w:sz w:val="24"/>
        </w:rPr>
        <w:t>40</w:t>
      </w:r>
      <w:r>
        <w:rPr>
          <w:color w:val="000000"/>
          <w:kern w:val="0"/>
          <w:sz w:val="24"/>
        </w:rPr>
        <w:t>万元。</w:t>
      </w:r>
    </w:p>
    <w:p w:rsidR="00F4239C" w:rsidRDefault="00F13295">
      <w:pPr>
        <w:spacing w:line="360" w:lineRule="auto"/>
        <w:rPr>
          <w:color w:val="000000"/>
          <w:kern w:val="0"/>
          <w:sz w:val="24"/>
        </w:rPr>
      </w:pPr>
      <w:r>
        <w:rPr>
          <w:color w:val="000000"/>
          <w:kern w:val="0"/>
          <w:sz w:val="24"/>
        </w:rPr>
        <w:t>2018</w:t>
      </w:r>
      <w:r>
        <w:rPr>
          <w:color w:val="000000"/>
          <w:kern w:val="0"/>
          <w:sz w:val="24"/>
        </w:rPr>
        <w:t>年</w:t>
      </w:r>
      <w:r>
        <w:rPr>
          <w:color w:val="000000"/>
          <w:kern w:val="0"/>
          <w:sz w:val="24"/>
        </w:rPr>
        <w:t>11</w:t>
      </w:r>
      <w:r>
        <w:rPr>
          <w:color w:val="000000"/>
          <w:kern w:val="0"/>
          <w:sz w:val="24"/>
        </w:rPr>
        <w:t>月</w:t>
      </w:r>
      <w:r>
        <w:rPr>
          <w:color w:val="000000"/>
          <w:kern w:val="0"/>
          <w:sz w:val="24"/>
        </w:rPr>
        <w:t>19</w:t>
      </w:r>
      <w:r>
        <w:rPr>
          <w:color w:val="000000"/>
          <w:kern w:val="0"/>
          <w:sz w:val="24"/>
        </w:rPr>
        <w:t>日，中国保险监督管理委员会北京监管局针对中国工商银行股份有限公司存在电话销售保险过程中欺骗投保人的行为，对中国工商银行股份有限公司处以人民币</w:t>
      </w:r>
      <w:r>
        <w:rPr>
          <w:color w:val="000000"/>
          <w:kern w:val="0"/>
          <w:sz w:val="24"/>
        </w:rPr>
        <w:t>30</w:t>
      </w:r>
      <w:r>
        <w:rPr>
          <w:color w:val="000000"/>
          <w:kern w:val="0"/>
          <w:sz w:val="24"/>
        </w:rPr>
        <w:t>万元行政罚款。</w:t>
      </w:r>
    </w:p>
    <w:p w:rsidR="00F4239C" w:rsidRDefault="00F13295">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5</w:t>
      </w:r>
      <w:r>
        <w:rPr>
          <w:color w:val="000000"/>
          <w:kern w:val="0"/>
          <w:sz w:val="24"/>
        </w:rPr>
        <w:t>月</w:t>
      </w:r>
      <w:r>
        <w:rPr>
          <w:color w:val="000000"/>
          <w:kern w:val="0"/>
          <w:sz w:val="24"/>
        </w:rPr>
        <w:t>7</w:t>
      </w:r>
      <w:r>
        <w:rPr>
          <w:color w:val="000000"/>
          <w:kern w:val="0"/>
          <w:sz w:val="24"/>
        </w:rPr>
        <w:t>日，中国银行保险监督管理委员会上海监</w:t>
      </w:r>
      <w:r>
        <w:rPr>
          <w:color w:val="000000"/>
          <w:kern w:val="0"/>
          <w:sz w:val="24"/>
        </w:rPr>
        <w:t>管局针对中国农业银行股份有限公司信用卡中心</w:t>
      </w:r>
      <w:r>
        <w:rPr>
          <w:color w:val="000000"/>
          <w:kern w:val="0"/>
          <w:sz w:val="24"/>
        </w:rPr>
        <w:t>2016</w:t>
      </w:r>
      <w:r>
        <w:rPr>
          <w:color w:val="000000"/>
          <w:kern w:val="0"/>
          <w:sz w:val="24"/>
        </w:rPr>
        <w:t>年</w:t>
      </w:r>
      <w:r>
        <w:rPr>
          <w:color w:val="000000"/>
          <w:kern w:val="0"/>
          <w:sz w:val="24"/>
        </w:rPr>
        <w:t>9</w:t>
      </w:r>
      <w:r>
        <w:rPr>
          <w:color w:val="000000"/>
          <w:kern w:val="0"/>
          <w:sz w:val="24"/>
        </w:rPr>
        <w:t>月至</w:t>
      </w:r>
      <w:r>
        <w:rPr>
          <w:color w:val="000000"/>
          <w:kern w:val="0"/>
          <w:sz w:val="24"/>
        </w:rPr>
        <w:t>2017</w:t>
      </w:r>
      <w:r>
        <w:rPr>
          <w:color w:val="000000"/>
          <w:kern w:val="0"/>
          <w:sz w:val="24"/>
        </w:rPr>
        <w:t>年</w:t>
      </w:r>
      <w:r>
        <w:rPr>
          <w:color w:val="000000"/>
          <w:kern w:val="0"/>
          <w:sz w:val="24"/>
        </w:rPr>
        <w:t>6</w:t>
      </w:r>
      <w:r>
        <w:rPr>
          <w:color w:val="000000"/>
          <w:kern w:val="0"/>
          <w:sz w:val="24"/>
        </w:rPr>
        <w:t>月间部分信用卡资金违规用于非消费领域的违法违规事实，责令改正，并处罚款</w:t>
      </w:r>
      <w:r>
        <w:rPr>
          <w:color w:val="000000"/>
          <w:kern w:val="0"/>
          <w:sz w:val="24"/>
        </w:rPr>
        <w:t>50</w:t>
      </w:r>
      <w:r>
        <w:rPr>
          <w:color w:val="000000"/>
          <w:kern w:val="0"/>
          <w:sz w:val="24"/>
        </w:rPr>
        <w:t>万元。</w:t>
      </w:r>
    </w:p>
    <w:p w:rsidR="00F4239C" w:rsidRDefault="00F13295">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25</w:t>
      </w:r>
      <w:r>
        <w:rPr>
          <w:color w:val="000000"/>
          <w:kern w:val="0"/>
          <w:sz w:val="24"/>
        </w:rPr>
        <w:t>日，中国银行保险监督管理委员会上海监管局针对中国农业银行股份有限公司信用卡中心</w:t>
      </w:r>
      <w:r>
        <w:rPr>
          <w:color w:val="000000"/>
          <w:kern w:val="0"/>
          <w:sz w:val="24"/>
        </w:rPr>
        <w:t>2017</w:t>
      </w:r>
      <w:r>
        <w:rPr>
          <w:color w:val="000000"/>
          <w:kern w:val="0"/>
          <w:sz w:val="24"/>
        </w:rPr>
        <w:t>年</w:t>
      </w:r>
      <w:r>
        <w:rPr>
          <w:color w:val="000000"/>
          <w:kern w:val="0"/>
          <w:sz w:val="24"/>
        </w:rPr>
        <w:t>5</w:t>
      </w:r>
      <w:r>
        <w:rPr>
          <w:color w:val="000000"/>
          <w:kern w:val="0"/>
          <w:sz w:val="24"/>
        </w:rPr>
        <w:t>月至</w:t>
      </w:r>
      <w:r>
        <w:rPr>
          <w:color w:val="000000"/>
          <w:kern w:val="0"/>
          <w:sz w:val="24"/>
        </w:rPr>
        <w:t>2018</w:t>
      </w:r>
      <w:r>
        <w:rPr>
          <w:color w:val="000000"/>
          <w:kern w:val="0"/>
          <w:sz w:val="24"/>
        </w:rPr>
        <w:t>年</w:t>
      </w:r>
      <w:r>
        <w:rPr>
          <w:color w:val="000000"/>
          <w:kern w:val="0"/>
          <w:sz w:val="24"/>
        </w:rPr>
        <w:t>6</w:t>
      </w:r>
      <w:r>
        <w:rPr>
          <w:color w:val="000000"/>
          <w:kern w:val="0"/>
          <w:sz w:val="24"/>
        </w:rPr>
        <w:t>月在办理部分客户信用卡业务时未遵守总授信额度管理制度的违法违规事实，责令改正，并处罚款</w:t>
      </w:r>
      <w:r>
        <w:rPr>
          <w:color w:val="000000"/>
          <w:kern w:val="0"/>
          <w:sz w:val="24"/>
        </w:rPr>
        <w:t>20</w:t>
      </w:r>
      <w:r>
        <w:rPr>
          <w:color w:val="000000"/>
          <w:kern w:val="0"/>
          <w:sz w:val="24"/>
        </w:rPr>
        <w:t>万元。</w:t>
      </w:r>
    </w:p>
    <w:p w:rsidR="00F4239C" w:rsidRDefault="00F13295">
      <w:pPr>
        <w:spacing w:line="360" w:lineRule="auto"/>
        <w:rPr>
          <w:color w:val="000000"/>
          <w:kern w:val="0"/>
          <w:sz w:val="24"/>
        </w:rPr>
      </w:pPr>
      <w:r>
        <w:rPr>
          <w:color w:val="000000"/>
          <w:kern w:val="0"/>
          <w:sz w:val="24"/>
        </w:rPr>
        <w:t>2019</w:t>
      </w:r>
      <w:r>
        <w:rPr>
          <w:color w:val="000000"/>
          <w:kern w:val="0"/>
          <w:sz w:val="24"/>
        </w:rPr>
        <w:t>年</w:t>
      </w:r>
      <w:r>
        <w:rPr>
          <w:color w:val="000000"/>
          <w:kern w:val="0"/>
          <w:sz w:val="24"/>
        </w:rPr>
        <w:t>7</w:t>
      </w:r>
      <w:r>
        <w:rPr>
          <w:color w:val="000000"/>
          <w:kern w:val="0"/>
          <w:sz w:val="24"/>
        </w:rPr>
        <w:t>月</w:t>
      </w:r>
      <w:r>
        <w:rPr>
          <w:color w:val="000000"/>
          <w:kern w:val="0"/>
          <w:sz w:val="24"/>
        </w:rPr>
        <w:t>8</w:t>
      </w:r>
      <w:r>
        <w:rPr>
          <w:color w:val="000000"/>
          <w:kern w:val="0"/>
          <w:sz w:val="24"/>
        </w:rPr>
        <w:t>日，中国银行保险监督管理委员会上海监管局对招商银行股份有限公司信用卡中心</w:t>
      </w:r>
      <w:r>
        <w:rPr>
          <w:color w:val="000000"/>
          <w:kern w:val="0"/>
          <w:sz w:val="24"/>
        </w:rPr>
        <w:t>2016</w:t>
      </w:r>
      <w:r>
        <w:rPr>
          <w:color w:val="000000"/>
          <w:kern w:val="0"/>
          <w:sz w:val="24"/>
        </w:rPr>
        <w:t>年</w:t>
      </w:r>
      <w:r>
        <w:rPr>
          <w:color w:val="000000"/>
          <w:kern w:val="0"/>
          <w:sz w:val="24"/>
        </w:rPr>
        <w:t>9</w:t>
      </w:r>
      <w:r>
        <w:rPr>
          <w:color w:val="000000"/>
          <w:kern w:val="0"/>
          <w:sz w:val="24"/>
        </w:rPr>
        <w:t>月至</w:t>
      </w:r>
      <w:r>
        <w:rPr>
          <w:color w:val="000000"/>
          <w:kern w:val="0"/>
          <w:sz w:val="24"/>
        </w:rPr>
        <w:t>2018</w:t>
      </w:r>
      <w:r>
        <w:rPr>
          <w:color w:val="000000"/>
          <w:kern w:val="0"/>
          <w:sz w:val="24"/>
        </w:rPr>
        <w:t>年</w:t>
      </w:r>
      <w:r>
        <w:rPr>
          <w:color w:val="000000"/>
          <w:kern w:val="0"/>
          <w:sz w:val="24"/>
        </w:rPr>
        <w:t>6</w:t>
      </w:r>
      <w:r>
        <w:rPr>
          <w:color w:val="000000"/>
          <w:kern w:val="0"/>
          <w:sz w:val="24"/>
        </w:rPr>
        <w:t>月在为部分客户办理信用</w:t>
      </w:r>
      <w:r>
        <w:rPr>
          <w:color w:val="000000"/>
          <w:kern w:val="0"/>
          <w:sz w:val="24"/>
        </w:rPr>
        <w:t>卡业务时，未遵守总授信额度管理制度的违法违规事实，责令改正，并处罚款</w:t>
      </w:r>
      <w:r>
        <w:rPr>
          <w:color w:val="000000"/>
          <w:kern w:val="0"/>
          <w:sz w:val="24"/>
        </w:rPr>
        <w:t>20</w:t>
      </w:r>
      <w:r>
        <w:rPr>
          <w:color w:val="000000"/>
          <w:kern w:val="0"/>
          <w:sz w:val="24"/>
        </w:rPr>
        <w:t>万元。</w:t>
      </w:r>
    </w:p>
    <w:p w:rsidR="00F4239C" w:rsidRDefault="00F13295">
      <w:pPr>
        <w:spacing w:line="360" w:lineRule="auto"/>
        <w:rPr>
          <w:color w:val="000000"/>
          <w:kern w:val="0"/>
          <w:sz w:val="24"/>
        </w:rPr>
      </w:pPr>
      <w:r>
        <w:rPr>
          <w:color w:val="000000"/>
          <w:kern w:val="0"/>
          <w:sz w:val="24"/>
        </w:rPr>
        <w:t>本基金为指数型基金，上述股票系标的指数成份股，上述股票的投资决策程序符合公司投资制度的规定。除兴业银行、交通银行、工商银行、农业银行、招商银行外，本基金投资的前十名证券的发行主体本期没有出现被监管部门立案调查，或在报告编制日前一年内受到公开谴责、处罚的情形。</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5.11.2</w:t>
      </w:r>
      <w:r w:rsidRPr="005B1E0B">
        <w:rPr>
          <w:color w:val="000000"/>
          <w:kern w:val="0"/>
          <w:sz w:val="24"/>
        </w:rPr>
        <w:t>本基金投资的前十名股票没有超出基金合同规定的备选股票库。</w:t>
      </w:r>
    </w:p>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5.11.3</w:t>
      </w:r>
      <w:r w:rsidRPr="00717C29">
        <w:rPr>
          <w:rFonts w:ascii="宋体" w:hAnsi="宋体" w:cs="Arial" w:hint="eastAsia"/>
          <w:color w:val="000000"/>
          <w:kern w:val="0"/>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761"/>
        <w:gridCol w:w="4808"/>
      </w:tblGrid>
      <w:tr w:rsidR="001C36D8" w:rsidRPr="00272E0C" w:rsidTr="001A09F9">
        <w:tc>
          <w:tcPr>
            <w:tcW w:w="959"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序号</w:t>
            </w:r>
          </w:p>
        </w:tc>
        <w:tc>
          <w:tcPr>
            <w:tcW w:w="2761"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名称</w:t>
            </w:r>
          </w:p>
        </w:tc>
        <w:tc>
          <w:tcPr>
            <w:tcW w:w="4808"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金额（元）</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kern w:val="0"/>
                <w:sz w:val="24"/>
              </w:rPr>
            </w:pPr>
            <w:r w:rsidRPr="005B1E0B">
              <w:rPr>
                <w:color w:val="000000"/>
                <w:sz w:val="24"/>
              </w:rPr>
              <w:lastRenderedPageBreak/>
              <w:t>1</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存出保证金</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18,133.86</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2</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应收证券清算款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1,622,023.87</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3</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应收股利</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4</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应收利息</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2,704.56</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5</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应收申购款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4,459.84</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6</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其他应收款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7</w:t>
            </w:r>
          </w:p>
        </w:tc>
        <w:tc>
          <w:tcPr>
            <w:tcW w:w="2761" w:type="dxa"/>
          </w:tcPr>
          <w:p w:rsidR="001C36D8" w:rsidRPr="005B1E0B" w:rsidRDefault="001C36D8" w:rsidP="0015779C">
            <w:pPr>
              <w:autoSpaceDE w:val="0"/>
              <w:autoSpaceDN w:val="0"/>
              <w:adjustRightInd w:val="0"/>
              <w:spacing w:before="29" w:line="360" w:lineRule="auto"/>
              <w:ind w:leftChars="50" w:left="105"/>
              <w:rPr>
                <w:color w:val="000000"/>
                <w:sz w:val="24"/>
              </w:rPr>
            </w:pPr>
            <w:r w:rsidRPr="005B1E0B">
              <w:rPr>
                <w:color w:val="000000"/>
                <w:sz w:val="24"/>
              </w:rPr>
              <w:t>待摊费用</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sz w:val="24"/>
              </w:rPr>
            </w:pPr>
            <w:r w:rsidRPr="005B1E0B">
              <w:rPr>
                <w:color w:val="00000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8</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9</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合计</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1,647,322.13</w:t>
            </w:r>
          </w:p>
        </w:tc>
      </w:tr>
    </w:tbl>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5.11.4</w:t>
      </w:r>
      <w:r w:rsidRPr="00717C29">
        <w:rPr>
          <w:rFonts w:ascii="宋体" w:hAnsi="宋体" w:cs="Arial" w:hint="eastAsia"/>
          <w:color w:val="000000"/>
          <w:kern w:val="0"/>
          <w:sz w:val="24"/>
        </w:rPr>
        <w:t>报告期末持有的处于转股期的可转换债券明细</w:t>
      </w:r>
    </w:p>
    <w:p w:rsidR="001C36D8" w:rsidRPr="003D22BD" w:rsidRDefault="001C36D8" w:rsidP="003D22BD">
      <w:pPr>
        <w:spacing w:line="360" w:lineRule="auto"/>
        <w:ind w:firstLineChars="200" w:firstLine="480"/>
        <w:rPr>
          <w:color w:val="000000"/>
          <w:sz w:val="24"/>
        </w:rPr>
      </w:pPr>
      <w:r w:rsidRPr="003D22BD">
        <w:rPr>
          <w:color w:val="000000"/>
          <w:sz w:val="24"/>
        </w:rPr>
        <w:t>本基金本报告期末未持有处于转股期的可转换债券。</w:t>
      </w:r>
    </w:p>
    <w:p w:rsidR="00924A95" w:rsidRPr="001C7E00" w:rsidRDefault="00924A95" w:rsidP="00924A95">
      <w:pPr>
        <w:autoSpaceDE w:val="0"/>
        <w:autoSpaceDN w:val="0"/>
        <w:adjustRightInd w:val="0"/>
        <w:spacing w:line="360" w:lineRule="auto"/>
        <w:jc w:val="left"/>
        <w:rPr>
          <w:rFonts w:ascii="宋体"/>
          <w:bCs/>
          <w:color w:val="000000"/>
          <w:kern w:val="0"/>
          <w:sz w:val="24"/>
        </w:rPr>
      </w:pPr>
      <w:r w:rsidRPr="001C7E00">
        <w:rPr>
          <w:rFonts w:ascii="宋体" w:hAnsi="宋体"/>
          <w:bCs/>
          <w:color w:val="000000"/>
          <w:kern w:val="0"/>
          <w:sz w:val="24"/>
        </w:rPr>
        <w:t>5.11.5</w:t>
      </w:r>
      <w:r w:rsidRPr="001C7E00">
        <w:rPr>
          <w:rFonts w:ascii="宋体" w:hAnsi="宋体" w:hint="eastAsia"/>
          <w:bCs/>
          <w:color w:val="000000"/>
          <w:kern w:val="0"/>
          <w:sz w:val="24"/>
        </w:rPr>
        <w:t>报告期末前十名股票中存在流通受限情况的说明</w:t>
      </w:r>
    </w:p>
    <w:p w:rsidR="001C36D8" w:rsidRPr="005B1E0B" w:rsidRDefault="00924A95" w:rsidP="005B1E0B">
      <w:pPr>
        <w:spacing w:line="360" w:lineRule="auto"/>
        <w:ind w:firstLineChars="200" w:firstLine="480"/>
        <w:rPr>
          <w:color w:val="000000"/>
          <w:sz w:val="24"/>
        </w:rPr>
      </w:pPr>
      <w:r w:rsidRPr="006C56AA">
        <w:rPr>
          <w:color w:val="000000"/>
          <w:sz w:val="24"/>
        </w:rPr>
        <w:t>本基金本报告期末前十名股票中不存在流通受限情况。</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Pr>
          <w:rFonts w:ascii="宋体" w:hAnsi="宋体" w:cs="Arial"/>
          <w:color w:val="000000"/>
          <w:kern w:val="0"/>
          <w:sz w:val="24"/>
          <w:szCs w:val="24"/>
        </w:rPr>
        <w:t>6</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开放式基金份额变动</w:t>
      </w:r>
    </w:p>
    <w:p w:rsidR="001C36D8" w:rsidRPr="00272E0C" w:rsidRDefault="001C36D8" w:rsidP="0019563C">
      <w:pPr>
        <w:autoSpaceDE w:val="0"/>
        <w:autoSpaceDN w:val="0"/>
        <w:adjustRightInd w:val="0"/>
        <w:spacing w:before="29" w:line="360" w:lineRule="auto"/>
        <w:ind w:left="15"/>
        <w:jc w:val="right"/>
        <w:rPr>
          <w:rFonts w:ascii="宋体" w:cs="Arial"/>
          <w:color w:val="000000"/>
          <w:kern w:val="0"/>
          <w:sz w:val="24"/>
        </w:rPr>
      </w:pPr>
      <w:r w:rsidRPr="00272E0C">
        <w:rPr>
          <w:rFonts w:ascii="宋体" w:hAnsi="宋体" w:cs="Arial" w:hint="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5B14F0">
            <w:pPr>
              <w:autoSpaceDE w:val="0"/>
              <w:autoSpaceDN w:val="0"/>
              <w:adjustRightInd w:val="0"/>
              <w:spacing w:before="29" w:line="360" w:lineRule="auto"/>
              <w:ind w:left="17"/>
              <w:jc w:val="right"/>
              <w:rPr>
                <w:sz w:val="24"/>
              </w:rPr>
            </w:pPr>
            <w:r w:rsidRPr="005B1E0B">
              <w:rPr>
                <w:sz w:val="24"/>
              </w:rPr>
              <w:t>易方达国企改革分级</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sz w:val="24"/>
              </w:rPr>
              <w:t>易方达国企改革分级</w:t>
            </w:r>
            <w:r w:rsidRPr="005B1E0B">
              <w:rPr>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易方达国企改革分级</w:t>
            </w:r>
            <w:r w:rsidRPr="005B1E0B">
              <w:rPr>
                <w:sz w:val="24"/>
              </w:rPr>
              <w:t>B</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210,101,167.31</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34,627,554.00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34,627,554.00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638,918.80</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减：报告期基金总赎回份额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21,056,216.08</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4,441,400.00</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-2,220,700.00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-2,220,700.00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lastRenderedPageBreak/>
              <w:t>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194,125,270.03</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32,406,854.00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32,406,854.00</w:t>
            </w:r>
          </w:p>
        </w:tc>
      </w:tr>
    </w:tbl>
    <w:p w:rsidR="001C36D8" w:rsidRPr="003D22BD" w:rsidRDefault="001C36D8" w:rsidP="003D22BD">
      <w:pPr>
        <w:spacing w:line="360" w:lineRule="auto"/>
        <w:ind w:firstLineChars="200" w:firstLine="480"/>
        <w:rPr>
          <w:color w:val="000000"/>
          <w:sz w:val="24"/>
        </w:rPr>
      </w:pPr>
      <w:r w:rsidRPr="003D22BD">
        <w:rPr>
          <w:color w:val="000000"/>
          <w:sz w:val="24"/>
        </w:rPr>
        <w:t>注：拆分变动份额包括三类份额之间的配对转换份额。</w:t>
      </w:r>
    </w:p>
    <w:p w:rsidR="001C36D8" w:rsidRDefault="001C36D8" w:rsidP="005C6DF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1C36D8" w:rsidRDefault="001C36D8" w:rsidP="003D4E5A">
      <w:pPr>
        <w:spacing w:line="360" w:lineRule="auto"/>
        <w:jc w:val="left"/>
        <w:rPr>
          <w:sz w:val="24"/>
        </w:rPr>
      </w:pPr>
      <w:r>
        <w:rPr>
          <w:b/>
          <w:sz w:val="24"/>
        </w:rPr>
        <w:t xml:space="preserve">7.1 </w:t>
      </w:r>
      <w:r>
        <w:rPr>
          <w:rFonts w:hint="eastAsia"/>
          <w:b/>
          <w:sz w:val="24"/>
        </w:rPr>
        <w:t>基金管理人持有本基金份额变动情况</w:t>
      </w:r>
    </w:p>
    <w:p w:rsidR="001C36D8" w:rsidRPr="005B1E0B" w:rsidRDefault="00BF63AF" w:rsidP="005B1E0B">
      <w:pPr>
        <w:spacing w:line="360" w:lineRule="auto"/>
        <w:ind w:firstLineChars="200" w:firstLine="480"/>
        <w:rPr>
          <w:color w:val="000000"/>
          <w:sz w:val="24"/>
        </w:rPr>
      </w:pPr>
      <w:r w:rsidRPr="00510DAB">
        <w:rPr>
          <w:color w:val="000000"/>
          <w:sz w:val="24"/>
        </w:rPr>
        <w:t>本报告期内基金管理人未持有本基金份额。</w:t>
      </w:r>
    </w:p>
    <w:p w:rsidR="001C36D8" w:rsidRDefault="001C36D8" w:rsidP="003D4E5A">
      <w:pPr>
        <w:spacing w:line="360" w:lineRule="auto"/>
        <w:jc w:val="left"/>
        <w:rPr>
          <w:sz w:val="24"/>
        </w:rPr>
      </w:pPr>
      <w:r>
        <w:rPr>
          <w:b/>
          <w:sz w:val="24"/>
        </w:rPr>
        <w:t xml:space="preserve">7.2 </w:t>
      </w:r>
      <w:r>
        <w:rPr>
          <w:rFonts w:hint="eastAsia"/>
          <w:b/>
          <w:sz w:val="24"/>
        </w:rPr>
        <w:t>基金管理人运用固有资金投资本基金交易明细</w:t>
      </w:r>
    </w:p>
    <w:p w:rsidR="001C36D8" w:rsidRPr="003D22BD" w:rsidRDefault="001C36D8" w:rsidP="003D22BD">
      <w:pPr>
        <w:spacing w:line="360" w:lineRule="auto"/>
        <w:ind w:firstLineChars="200" w:firstLine="480"/>
        <w:rPr>
          <w:color w:val="000000"/>
          <w:sz w:val="24"/>
        </w:rPr>
      </w:pPr>
      <w:r w:rsidRPr="003D22BD">
        <w:rPr>
          <w:color w:val="000000"/>
          <w:sz w:val="24"/>
        </w:rPr>
        <w:t>本报告期内基金管理人未运用固有资金申购、赎回、买卖本基金份额。</w:t>
      </w:r>
    </w:p>
    <w:p w:rsidR="00A12EEF" w:rsidRPr="005D2CC7" w:rsidRDefault="00A12EEF" w:rsidP="00A12EEF">
      <w:pPr>
        <w:pStyle w:val="1"/>
        <w:spacing w:beforeLines="100" w:before="312" w:afterLines="100" w:after="312" w:line="360" w:lineRule="auto"/>
        <w:jc w:val="center"/>
        <w:rPr>
          <w:rFonts w:ascii="宋体" w:hAnsi="宋体" w:cs="Arial"/>
          <w:color w:val="000000"/>
          <w:kern w:val="0"/>
          <w:sz w:val="24"/>
          <w:szCs w:val="24"/>
        </w:rPr>
      </w:pPr>
      <w:r w:rsidRPr="005D2CC7">
        <w:rPr>
          <w:rFonts w:ascii="宋体" w:hAnsi="宋体" w:cs="Arial"/>
          <w:color w:val="000000"/>
          <w:kern w:val="0"/>
          <w:sz w:val="24"/>
          <w:szCs w:val="24"/>
        </w:rPr>
        <w:t>§8</w:t>
      </w:r>
      <w:r w:rsidR="005D2CC7" w:rsidRPr="00272E0C">
        <w:rPr>
          <w:rFonts w:ascii="宋体" w:hAnsi="宋体" w:cs="Arial"/>
          <w:color w:val="000000"/>
          <w:kern w:val="0"/>
          <w:sz w:val="24"/>
          <w:szCs w:val="24"/>
        </w:rPr>
        <w:t xml:space="preserve">  </w:t>
      </w:r>
      <w:r w:rsidRPr="005D2CC7">
        <w:rPr>
          <w:rFonts w:ascii="宋体" w:hAnsi="宋体" w:cs="Arial"/>
          <w:color w:val="000000"/>
          <w:kern w:val="0"/>
          <w:sz w:val="24"/>
          <w:szCs w:val="24"/>
        </w:rPr>
        <w:t>影响投资者决策的其他重要信息</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8.1 影响投资者决策的其他重要信息</w:t>
      </w:r>
    </w:p>
    <w:p w:rsidR="001C36D8" w:rsidRPr="003D22BD" w:rsidRDefault="004B7CA0" w:rsidP="004B7CA0">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整改规范，请投资者关注相关风险以及基金管理人届时发布的相关公告。</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9</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备查文件目录</w:t>
      </w:r>
    </w:p>
    <w:p w:rsidR="001C36D8" w:rsidRPr="00CE2DE4" w:rsidRDefault="001C36D8" w:rsidP="001078B6">
      <w:pPr>
        <w:spacing w:line="360" w:lineRule="auto"/>
        <w:rPr>
          <w:rFonts w:ascii="宋体"/>
          <w:b/>
          <w:color w:val="000000"/>
          <w:kern w:val="0"/>
          <w:sz w:val="24"/>
        </w:rPr>
      </w:pPr>
      <w:r w:rsidRPr="00CE2DE4">
        <w:rPr>
          <w:rFonts w:ascii="宋体" w:hAnsi="宋体"/>
          <w:b/>
          <w:color w:val="000000"/>
          <w:sz w:val="24"/>
        </w:rPr>
        <w:t xml:space="preserve">9.1 </w:t>
      </w:r>
      <w:r w:rsidRPr="00CE2DE4">
        <w:rPr>
          <w:rFonts w:ascii="宋体" w:hAnsi="宋体" w:hint="eastAsia"/>
          <w:b/>
          <w:color w:val="000000"/>
          <w:sz w:val="24"/>
        </w:rPr>
        <w:t>备查文件目录</w:t>
      </w:r>
    </w:p>
    <w:p w:rsidR="00F4239C" w:rsidRDefault="00F13295">
      <w:pPr>
        <w:spacing w:line="360" w:lineRule="auto"/>
        <w:ind w:firstLineChars="200" w:firstLine="480"/>
        <w:rPr>
          <w:color w:val="000000"/>
          <w:sz w:val="24"/>
        </w:rPr>
      </w:pPr>
      <w:r>
        <w:rPr>
          <w:color w:val="000000"/>
          <w:sz w:val="24"/>
        </w:rPr>
        <w:t>1.</w:t>
      </w:r>
      <w:r>
        <w:rPr>
          <w:color w:val="000000"/>
          <w:sz w:val="24"/>
        </w:rPr>
        <w:t>中国证监会准予易方达国企改革指数分级证券投资基金募集注册的文件；</w:t>
      </w:r>
    </w:p>
    <w:p w:rsidR="00F4239C" w:rsidRDefault="00F13295">
      <w:pPr>
        <w:spacing w:line="360" w:lineRule="auto"/>
        <w:ind w:firstLineChars="200" w:firstLine="480"/>
        <w:rPr>
          <w:color w:val="000000"/>
          <w:sz w:val="24"/>
        </w:rPr>
      </w:pPr>
      <w:r>
        <w:rPr>
          <w:color w:val="000000"/>
          <w:sz w:val="24"/>
        </w:rPr>
        <w:t>2.</w:t>
      </w:r>
      <w:r>
        <w:rPr>
          <w:color w:val="000000"/>
          <w:sz w:val="24"/>
        </w:rPr>
        <w:t>《易方达国企改革指数分级证券投资基金基金合同》；</w:t>
      </w:r>
    </w:p>
    <w:p w:rsidR="00F4239C" w:rsidRDefault="00F13295">
      <w:pPr>
        <w:spacing w:line="360" w:lineRule="auto"/>
        <w:ind w:firstLineChars="200" w:firstLine="480"/>
        <w:rPr>
          <w:color w:val="000000"/>
          <w:sz w:val="24"/>
        </w:rPr>
      </w:pPr>
      <w:r>
        <w:rPr>
          <w:color w:val="000000"/>
          <w:sz w:val="24"/>
        </w:rPr>
        <w:t>3.</w:t>
      </w:r>
      <w:r>
        <w:rPr>
          <w:color w:val="000000"/>
          <w:sz w:val="24"/>
        </w:rPr>
        <w:t>《易方达国企改革指数分级证券投资基金托管协议》；</w:t>
      </w:r>
    </w:p>
    <w:p w:rsidR="001C36D8" w:rsidRPr="00E43B0B" w:rsidRDefault="001C36D8" w:rsidP="00E43B0B">
      <w:pPr>
        <w:spacing w:line="360" w:lineRule="auto"/>
        <w:ind w:firstLineChars="200" w:firstLine="480"/>
        <w:rPr>
          <w:color w:val="000000"/>
          <w:sz w:val="24"/>
        </w:rPr>
      </w:pPr>
      <w:r w:rsidRPr="003D22BD">
        <w:rPr>
          <w:color w:val="000000"/>
          <w:sz w:val="24"/>
        </w:rPr>
        <w:t>4.</w:t>
      </w:r>
      <w:r w:rsidRPr="003D22BD">
        <w:rPr>
          <w:color w:val="000000"/>
          <w:sz w:val="24"/>
        </w:rPr>
        <w:t>基金管理人业务资格批件和营业执照。</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9.2 </w:t>
      </w:r>
      <w:r w:rsidRPr="00CE2DE4">
        <w:rPr>
          <w:rFonts w:ascii="宋体" w:hAnsi="宋体" w:hint="eastAsia"/>
          <w:b/>
          <w:color w:val="000000"/>
          <w:sz w:val="24"/>
        </w:rPr>
        <w:t>存放地点</w:t>
      </w:r>
    </w:p>
    <w:p w:rsidR="001C36D8" w:rsidRPr="00E43B0B" w:rsidRDefault="001C36D8" w:rsidP="00E43B0B">
      <w:pPr>
        <w:spacing w:line="360" w:lineRule="auto"/>
        <w:ind w:firstLineChars="200" w:firstLine="480"/>
        <w:rPr>
          <w:color w:val="000000"/>
          <w:sz w:val="24"/>
        </w:rPr>
      </w:pPr>
      <w:r w:rsidRPr="003D22BD">
        <w:rPr>
          <w:color w:val="000000"/>
          <w:sz w:val="24"/>
        </w:rPr>
        <w:t>广州市天河区珠江新城珠江东路</w:t>
      </w:r>
      <w:r w:rsidRPr="003D22BD">
        <w:rPr>
          <w:color w:val="000000"/>
          <w:sz w:val="24"/>
        </w:rPr>
        <w:t>30</w:t>
      </w:r>
      <w:r w:rsidRPr="003D22BD">
        <w:rPr>
          <w:color w:val="000000"/>
          <w:sz w:val="24"/>
        </w:rPr>
        <w:t>号广州银行大厦</w:t>
      </w:r>
      <w:r w:rsidRPr="003D22BD">
        <w:rPr>
          <w:color w:val="000000"/>
          <w:sz w:val="24"/>
        </w:rPr>
        <w:t>40-43</w:t>
      </w:r>
      <w:r w:rsidRPr="003D22BD">
        <w:rPr>
          <w:color w:val="000000"/>
          <w:sz w:val="24"/>
        </w:rPr>
        <w:t>楼。</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9.3 </w:t>
      </w:r>
      <w:r w:rsidRPr="00CE2DE4">
        <w:rPr>
          <w:rFonts w:ascii="宋体" w:hAnsi="宋体" w:hint="eastAsia"/>
          <w:b/>
          <w:color w:val="000000"/>
          <w:sz w:val="24"/>
        </w:rPr>
        <w:t>查阅方式</w:t>
      </w:r>
    </w:p>
    <w:p w:rsidR="001C36D8" w:rsidRPr="003D22BD" w:rsidRDefault="001C36D8" w:rsidP="0015779C">
      <w:pPr>
        <w:spacing w:line="360" w:lineRule="auto"/>
        <w:ind w:firstLineChars="200" w:firstLine="480"/>
        <w:rPr>
          <w:color w:val="000000"/>
          <w:sz w:val="24"/>
        </w:rPr>
      </w:pPr>
      <w:r w:rsidRPr="003D22BD">
        <w:rPr>
          <w:color w:val="000000"/>
          <w:sz w:val="24"/>
        </w:rPr>
        <w:t>投资者可在营业时间免费查阅，也可按工本费购买复印件。</w:t>
      </w:r>
    </w:p>
    <w:p w:rsidR="001C36D8" w:rsidRPr="00272E0C" w:rsidRDefault="001C36D8" w:rsidP="0019563C">
      <w:pPr>
        <w:spacing w:line="360" w:lineRule="auto"/>
        <w:ind w:left="840"/>
        <w:jc w:val="right"/>
        <w:rPr>
          <w:rFonts w:ascii="宋体"/>
          <w:color w:val="000000"/>
          <w:sz w:val="24"/>
        </w:rPr>
      </w:pPr>
      <w:r w:rsidRPr="00272E0C">
        <w:rPr>
          <w:rFonts w:ascii="宋体"/>
          <w:color w:val="000000"/>
          <w:sz w:val="24"/>
        </w:rPr>
        <w:tab/>
      </w: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078B6">
      <w:pPr>
        <w:spacing w:line="360" w:lineRule="auto"/>
        <w:jc w:val="right"/>
        <w:rPr>
          <w:rFonts w:ascii="宋体" w:hAnsi="宋体"/>
          <w:b/>
          <w:bCs/>
          <w:sz w:val="24"/>
        </w:rPr>
      </w:pPr>
      <w:r w:rsidRPr="00272E0C">
        <w:rPr>
          <w:rFonts w:ascii="宋体" w:hAnsi="宋体"/>
          <w:b/>
          <w:bCs/>
          <w:sz w:val="24"/>
        </w:rPr>
        <w:t>易方达基金管理有限公司</w:t>
      </w:r>
    </w:p>
    <w:p w:rsidR="001C36D8" w:rsidRPr="008C2A97" w:rsidRDefault="001C36D8" w:rsidP="008C2A97">
      <w:pPr>
        <w:spacing w:line="360" w:lineRule="auto"/>
        <w:jc w:val="right"/>
        <w:rPr>
          <w:rFonts w:ascii="宋体" w:hAnsi="宋体"/>
          <w:b/>
          <w:bCs/>
          <w:sz w:val="24"/>
        </w:rPr>
      </w:pPr>
      <w:r w:rsidRPr="00272E0C">
        <w:rPr>
          <w:rFonts w:ascii="宋体" w:hAnsi="宋体"/>
          <w:b/>
          <w:bCs/>
          <w:sz w:val="24"/>
        </w:rPr>
        <w:t>二〇一九年十月二十四日</w:t>
      </w:r>
    </w:p>
    <w:sectPr w:rsidR="001C36D8" w:rsidRPr="008C2A97"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32" w:rsidRDefault="00EF6232">
      <w:r>
        <w:separator/>
      </w:r>
    </w:p>
  </w:endnote>
  <w:endnote w:type="continuationSeparator" w:id="0">
    <w:p w:rsidR="00EF6232" w:rsidRDefault="00E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1D0DB0" w:rsidRDefault="00E43B0B" w:rsidP="00230A66">
    <w:pPr>
      <w:pStyle w:val="a6"/>
      <w:jc w:val="center"/>
    </w:pPr>
    <w:r>
      <w:rPr>
        <w:rFonts w:hint="eastAsia"/>
        <w:kern w:val="0"/>
        <w:szCs w:val="21"/>
      </w:rPr>
      <w:t>第</w:t>
    </w:r>
    <w:r w:rsidR="0015021E">
      <w:rPr>
        <w:kern w:val="0"/>
        <w:szCs w:val="21"/>
      </w:rPr>
      <w:fldChar w:fldCharType="begin"/>
    </w:r>
    <w:r>
      <w:rPr>
        <w:kern w:val="0"/>
        <w:szCs w:val="21"/>
      </w:rPr>
      <w:instrText xml:space="preserve"> PAGE </w:instrText>
    </w:r>
    <w:r w:rsidR="0015021E">
      <w:rPr>
        <w:kern w:val="0"/>
        <w:szCs w:val="21"/>
      </w:rPr>
      <w:fldChar w:fldCharType="separate"/>
    </w:r>
    <w:r w:rsidR="00F13295">
      <w:rPr>
        <w:noProof/>
        <w:kern w:val="0"/>
        <w:szCs w:val="21"/>
      </w:rPr>
      <w:t>1</w:t>
    </w:r>
    <w:r w:rsidR="0015021E">
      <w:rPr>
        <w:kern w:val="0"/>
        <w:szCs w:val="21"/>
      </w:rPr>
      <w:fldChar w:fldCharType="end"/>
    </w:r>
    <w:r>
      <w:rPr>
        <w:rFonts w:hint="eastAsia"/>
        <w:kern w:val="0"/>
        <w:szCs w:val="21"/>
      </w:rPr>
      <w:t>页共</w:t>
    </w:r>
    <w:r w:rsidR="0015021E">
      <w:rPr>
        <w:kern w:val="0"/>
        <w:szCs w:val="21"/>
      </w:rPr>
      <w:fldChar w:fldCharType="begin"/>
    </w:r>
    <w:r>
      <w:rPr>
        <w:kern w:val="0"/>
        <w:szCs w:val="21"/>
      </w:rPr>
      <w:instrText xml:space="preserve"> NUMPAGES </w:instrText>
    </w:r>
    <w:r w:rsidR="0015021E">
      <w:rPr>
        <w:kern w:val="0"/>
        <w:szCs w:val="21"/>
      </w:rPr>
      <w:fldChar w:fldCharType="separate"/>
    </w:r>
    <w:r w:rsidR="00F13295">
      <w:rPr>
        <w:noProof/>
        <w:kern w:val="0"/>
        <w:szCs w:val="21"/>
      </w:rPr>
      <w:t>3</w:t>
    </w:r>
    <w:r w:rsidR="0015021E">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end"/>
    </w:r>
  </w:p>
  <w:p w:rsidR="00E43B0B" w:rsidRDefault="00E43B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separate"/>
    </w:r>
    <w:r w:rsidR="00F13295">
      <w:rPr>
        <w:rStyle w:val="a7"/>
        <w:noProof/>
      </w:rPr>
      <w:t>15</w:t>
    </w:r>
    <w:r>
      <w:rPr>
        <w:rStyle w:val="a7"/>
      </w:rPr>
      <w:fldChar w:fldCharType="end"/>
    </w:r>
  </w:p>
  <w:p w:rsidR="00E43B0B" w:rsidRDefault="00E43B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32" w:rsidRDefault="00EF6232">
      <w:r>
        <w:separator/>
      </w:r>
    </w:p>
  </w:footnote>
  <w:footnote w:type="continuationSeparator" w:id="0">
    <w:p w:rsidR="00EF6232" w:rsidRDefault="00EF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717C29" w:rsidRDefault="00E43B0B" w:rsidP="00FB572A">
    <w:pPr>
      <w:pStyle w:val="a9"/>
      <w:pBdr>
        <w:bottom w:val="single" w:sz="6" w:space="0" w:color="auto"/>
      </w:pBdr>
      <w:jc w:val="right"/>
      <w:rPr>
        <w:sz w:val="15"/>
      </w:rPr>
    </w:pPr>
    <w:r w:rsidRPr="00717C29">
      <w:rPr>
        <w:szCs w:val="21"/>
      </w:rPr>
      <w:t>易方达国企改革指数分级证券投资基金</w:t>
    </w:r>
    <w:r w:rsidRPr="00717C29">
      <w:rPr>
        <w:szCs w:val="21"/>
      </w:rPr>
      <w:t>2019</w:t>
    </w:r>
    <w:r w:rsidRPr="00717C29">
      <w:rPr>
        <w:szCs w:val="21"/>
      </w:rPr>
      <w:t>年第</w:t>
    </w:r>
    <w:r w:rsidRPr="00717C29">
      <w:rPr>
        <w:szCs w:val="21"/>
      </w:rPr>
      <w:t>3</w:t>
    </w:r>
    <w:r w:rsidRPr="00717C2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116E"/>
    <w:rsid w:val="0000403B"/>
    <w:rsid w:val="00005911"/>
    <w:rsid w:val="0000595B"/>
    <w:rsid w:val="00010A83"/>
    <w:rsid w:val="00010A8E"/>
    <w:rsid w:val="00010AC3"/>
    <w:rsid w:val="000118A9"/>
    <w:rsid w:val="00011EB5"/>
    <w:rsid w:val="0001280C"/>
    <w:rsid w:val="00013023"/>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5190"/>
    <w:rsid w:val="00055AF1"/>
    <w:rsid w:val="00056A75"/>
    <w:rsid w:val="00057DD3"/>
    <w:rsid w:val="000625A6"/>
    <w:rsid w:val="000627CD"/>
    <w:rsid w:val="00062BCE"/>
    <w:rsid w:val="00064AE3"/>
    <w:rsid w:val="00066524"/>
    <w:rsid w:val="00070CD1"/>
    <w:rsid w:val="0007171B"/>
    <w:rsid w:val="00074E9F"/>
    <w:rsid w:val="00081D05"/>
    <w:rsid w:val="0008378B"/>
    <w:rsid w:val="00085449"/>
    <w:rsid w:val="00087CF7"/>
    <w:rsid w:val="00090B0F"/>
    <w:rsid w:val="00090D91"/>
    <w:rsid w:val="00091214"/>
    <w:rsid w:val="00094876"/>
    <w:rsid w:val="00095912"/>
    <w:rsid w:val="00095CE0"/>
    <w:rsid w:val="00096933"/>
    <w:rsid w:val="00097230"/>
    <w:rsid w:val="0009778D"/>
    <w:rsid w:val="000A457E"/>
    <w:rsid w:val="000A53FD"/>
    <w:rsid w:val="000A549A"/>
    <w:rsid w:val="000A72F2"/>
    <w:rsid w:val="000B0C56"/>
    <w:rsid w:val="000B3E43"/>
    <w:rsid w:val="000B5974"/>
    <w:rsid w:val="000B5CC0"/>
    <w:rsid w:val="000C1038"/>
    <w:rsid w:val="000C1723"/>
    <w:rsid w:val="000C1B20"/>
    <w:rsid w:val="000C4107"/>
    <w:rsid w:val="000C44BD"/>
    <w:rsid w:val="000C45E7"/>
    <w:rsid w:val="000C57A8"/>
    <w:rsid w:val="000D0149"/>
    <w:rsid w:val="000D01F4"/>
    <w:rsid w:val="000D0D4E"/>
    <w:rsid w:val="000D1519"/>
    <w:rsid w:val="000E1618"/>
    <w:rsid w:val="000E4456"/>
    <w:rsid w:val="000F175F"/>
    <w:rsid w:val="000F17D1"/>
    <w:rsid w:val="000F2837"/>
    <w:rsid w:val="000F399F"/>
    <w:rsid w:val="000F60FF"/>
    <w:rsid w:val="000F635F"/>
    <w:rsid w:val="000F6C61"/>
    <w:rsid w:val="001008A1"/>
    <w:rsid w:val="00100C12"/>
    <w:rsid w:val="00102E56"/>
    <w:rsid w:val="001049B6"/>
    <w:rsid w:val="001051C6"/>
    <w:rsid w:val="001078B6"/>
    <w:rsid w:val="0011177A"/>
    <w:rsid w:val="00111D44"/>
    <w:rsid w:val="00116E31"/>
    <w:rsid w:val="00120BED"/>
    <w:rsid w:val="0012304E"/>
    <w:rsid w:val="001248EF"/>
    <w:rsid w:val="001257C7"/>
    <w:rsid w:val="00126DDF"/>
    <w:rsid w:val="001270BF"/>
    <w:rsid w:val="00127BAC"/>
    <w:rsid w:val="00134868"/>
    <w:rsid w:val="001366D4"/>
    <w:rsid w:val="00140FF8"/>
    <w:rsid w:val="00142A56"/>
    <w:rsid w:val="00144DF5"/>
    <w:rsid w:val="00145A97"/>
    <w:rsid w:val="00146485"/>
    <w:rsid w:val="00147338"/>
    <w:rsid w:val="0015021E"/>
    <w:rsid w:val="001506B4"/>
    <w:rsid w:val="00150A6E"/>
    <w:rsid w:val="00150AD6"/>
    <w:rsid w:val="00153B40"/>
    <w:rsid w:val="00154ADA"/>
    <w:rsid w:val="0015531A"/>
    <w:rsid w:val="00155953"/>
    <w:rsid w:val="0015779C"/>
    <w:rsid w:val="001600E8"/>
    <w:rsid w:val="00163B27"/>
    <w:rsid w:val="00165317"/>
    <w:rsid w:val="00170F80"/>
    <w:rsid w:val="00171BAD"/>
    <w:rsid w:val="001744B4"/>
    <w:rsid w:val="001756A1"/>
    <w:rsid w:val="001761EE"/>
    <w:rsid w:val="0017638D"/>
    <w:rsid w:val="00176EAA"/>
    <w:rsid w:val="0017725A"/>
    <w:rsid w:val="00177C4B"/>
    <w:rsid w:val="0018325A"/>
    <w:rsid w:val="00183C9E"/>
    <w:rsid w:val="00184556"/>
    <w:rsid w:val="00186199"/>
    <w:rsid w:val="001878B0"/>
    <w:rsid w:val="001928F7"/>
    <w:rsid w:val="00193F07"/>
    <w:rsid w:val="00194537"/>
    <w:rsid w:val="0019563C"/>
    <w:rsid w:val="001A09F9"/>
    <w:rsid w:val="001A14DB"/>
    <w:rsid w:val="001A21A9"/>
    <w:rsid w:val="001A363B"/>
    <w:rsid w:val="001A59D8"/>
    <w:rsid w:val="001A5FA6"/>
    <w:rsid w:val="001B0A62"/>
    <w:rsid w:val="001B2F0C"/>
    <w:rsid w:val="001B64E7"/>
    <w:rsid w:val="001C123E"/>
    <w:rsid w:val="001C36D8"/>
    <w:rsid w:val="001C37F6"/>
    <w:rsid w:val="001C4BEC"/>
    <w:rsid w:val="001C6288"/>
    <w:rsid w:val="001C7DE9"/>
    <w:rsid w:val="001D0DB0"/>
    <w:rsid w:val="001D0F6A"/>
    <w:rsid w:val="001D21BC"/>
    <w:rsid w:val="001D2FA5"/>
    <w:rsid w:val="001D35E0"/>
    <w:rsid w:val="001D5045"/>
    <w:rsid w:val="001D5387"/>
    <w:rsid w:val="001D5A44"/>
    <w:rsid w:val="001D63BB"/>
    <w:rsid w:val="001D724B"/>
    <w:rsid w:val="001E11D3"/>
    <w:rsid w:val="001E2A6A"/>
    <w:rsid w:val="001E3DC2"/>
    <w:rsid w:val="001E56FF"/>
    <w:rsid w:val="001E5C6B"/>
    <w:rsid w:val="001E6E4D"/>
    <w:rsid w:val="001F03E1"/>
    <w:rsid w:val="001F0DE2"/>
    <w:rsid w:val="001F218E"/>
    <w:rsid w:val="001F3CC6"/>
    <w:rsid w:val="001F40BA"/>
    <w:rsid w:val="001F4530"/>
    <w:rsid w:val="002010DE"/>
    <w:rsid w:val="00202968"/>
    <w:rsid w:val="00202A66"/>
    <w:rsid w:val="00202C32"/>
    <w:rsid w:val="00203AEF"/>
    <w:rsid w:val="00210344"/>
    <w:rsid w:val="00211A26"/>
    <w:rsid w:val="002125F7"/>
    <w:rsid w:val="00213171"/>
    <w:rsid w:val="00213917"/>
    <w:rsid w:val="00214463"/>
    <w:rsid w:val="00214756"/>
    <w:rsid w:val="00215CF2"/>
    <w:rsid w:val="00215E33"/>
    <w:rsid w:val="00216232"/>
    <w:rsid w:val="00220542"/>
    <w:rsid w:val="00220684"/>
    <w:rsid w:val="00221174"/>
    <w:rsid w:val="00225ADC"/>
    <w:rsid w:val="00230732"/>
    <w:rsid w:val="00230A66"/>
    <w:rsid w:val="00230EC2"/>
    <w:rsid w:val="002359EB"/>
    <w:rsid w:val="002363AB"/>
    <w:rsid w:val="00237FA3"/>
    <w:rsid w:val="0024172D"/>
    <w:rsid w:val="00241B12"/>
    <w:rsid w:val="0024260D"/>
    <w:rsid w:val="00243E40"/>
    <w:rsid w:val="00245012"/>
    <w:rsid w:val="0024504E"/>
    <w:rsid w:val="0024651F"/>
    <w:rsid w:val="002470BA"/>
    <w:rsid w:val="00250BE3"/>
    <w:rsid w:val="00251290"/>
    <w:rsid w:val="0025158D"/>
    <w:rsid w:val="00251D17"/>
    <w:rsid w:val="00251F3A"/>
    <w:rsid w:val="0025281A"/>
    <w:rsid w:val="00253D3C"/>
    <w:rsid w:val="0025435F"/>
    <w:rsid w:val="00255292"/>
    <w:rsid w:val="00260200"/>
    <w:rsid w:val="00263563"/>
    <w:rsid w:val="002648D8"/>
    <w:rsid w:val="00264E55"/>
    <w:rsid w:val="00270548"/>
    <w:rsid w:val="00272E0C"/>
    <w:rsid w:val="00273F86"/>
    <w:rsid w:val="002752B0"/>
    <w:rsid w:val="002774F0"/>
    <w:rsid w:val="0028459B"/>
    <w:rsid w:val="00284C5F"/>
    <w:rsid w:val="002873F0"/>
    <w:rsid w:val="00291A74"/>
    <w:rsid w:val="00292198"/>
    <w:rsid w:val="002964F9"/>
    <w:rsid w:val="00297EF3"/>
    <w:rsid w:val="002A1F14"/>
    <w:rsid w:val="002A2678"/>
    <w:rsid w:val="002A2E01"/>
    <w:rsid w:val="002A398F"/>
    <w:rsid w:val="002A44F9"/>
    <w:rsid w:val="002A5C6B"/>
    <w:rsid w:val="002A5D31"/>
    <w:rsid w:val="002A714F"/>
    <w:rsid w:val="002A74FB"/>
    <w:rsid w:val="002B1851"/>
    <w:rsid w:val="002B27FF"/>
    <w:rsid w:val="002B4429"/>
    <w:rsid w:val="002B6793"/>
    <w:rsid w:val="002C1726"/>
    <w:rsid w:val="002C1DF3"/>
    <w:rsid w:val="002C21A6"/>
    <w:rsid w:val="002C26D5"/>
    <w:rsid w:val="002C2DE0"/>
    <w:rsid w:val="002C5777"/>
    <w:rsid w:val="002C7FC3"/>
    <w:rsid w:val="002D1791"/>
    <w:rsid w:val="002D32E3"/>
    <w:rsid w:val="002D55E7"/>
    <w:rsid w:val="002E0FEB"/>
    <w:rsid w:val="002E1EBA"/>
    <w:rsid w:val="002F0F79"/>
    <w:rsid w:val="002F280E"/>
    <w:rsid w:val="002F3709"/>
    <w:rsid w:val="002F3A6C"/>
    <w:rsid w:val="002F3E9C"/>
    <w:rsid w:val="002F4296"/>
    <w:rsid w:val="00300951"/>
    <w:rsid w:val="003023C9"/>
    <w:rsid w:val="00302CA8"/>
    <w:rsid w:val="00302DE9"/>
    <w:rsid w:val="003041B1"/>
    <w:rsid w:val="00305084"/>
    <w:rsid w:val="003168E2"/>
    <w:rsid w:val="003204E9"/>
    <w:rsid w:val="00320DDA"/>
    <w:rsid w:val="00321E8C"/>
    <w:rsid w:val="00322A65"/>
    <w:rsid w:val="00322A86"/>
    <w:rsid w:val="00323AE8"/>
    <w:rsid w:val="00324548"/>
    <w:rsid w:val="003251F4"/>
    <w:rsid w:val="003303E3"/>
    <w:rsid w:val="00331FA4"/>
    <w:rsid w:val="003329EA"/>
    <w:rsid w:val="00332FDE"/>
    <w:rsid w:val="003407A5"/>
    <w:rsid w:val="00341188"/>
    <w:rsid w:val="0034147B"/>
    <w:rsid w:val="0034432A"/>
    <w:rsid w:val="00350238"/>
    <w:rsid w:val="0035109C"/>
    <w:rsid w:val="00351F0A"/>
    <w:rsid w:val="0035432B"/>
    <w:rsid w:val="00357EB5"/>
    <w:rsid w:val="00361E7E"/>
    <w:rsid w:val="003669EF"/>
    <w:rsid w:val="00370AA4"/>
    <w:rsid w:val="00371FF4"/>
    <w:rsid w:val="00373015"/>
    <w:rsid w:val="00375D24"/>
    <w:rsid w:val="00377520"/>
    <w:rsid w:val="00380D36"/>
    <w:rsid w:val="003822D3"/>
    <w:rsid w:val="0038409E"/>
    <w:rsid w:val="00384BC3"/>
    <w:rsid w:val="00386630"/>
    <w:rsid w:val="00390522"/>
    <w:rsid w:val="00390B25"/>
    <w:rsid w:val="00390C86"/>
    <w:rsid w:val="00397156"/>
    <w:rsid w:val="00397960"/>
    <w:rsid w:val="003A20AA"/>
    <w:rsid w:val="003A3BC4"/>
    <w:rsid w:val="003A458A"/>
    <w:rsid w:val="003A4DA3"/>
    <w:rsid w:val="003A768B"/>
    <w:rsid w:val="003B07C8"/>
    <w:rsid w:val="003B2082"/>
    <w:rsid w:val="003B2F13"/>
    <w:rsid w:val="003B3D0C"/>
    <w:rsid w:val="003B405E"/>
    <w:rsid w:val="003B57D3"/>
    <w:rsid w:val="003C1F58"/>
    <w:rsid w:val="003C792F"/>
    <w:rsid w:val="003D124B"/>
    <w:rsid w:val="003D18F3"/>
    <w:rsid w:val="003D22BD"/>
    <w:rsid w:val="003D4E5A"/>
    <w:rsid w:val="003D5951"/>
    <w:rsid w:val="003D74F2"/>
    <w:rsid w:val="003D78B5"/>
    <w:rsid w:val="003E1062"/>
    <w:rsid w:val="003E244F"/>
    <w:rsid w:val="003E3AE8"/>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6C10"/>
    <w:rsid w:val="004217C8"/>
    <w:rsid w:val="0042180E"/>
    <w:rsid w:val="004222C8"/>
    <w:rsid w:val="0042253F"/>
    <w:rsid w:val="00424726"/>
    <w:rsid w:val="00424EF3"/>
    <w:rsid w:val="004268BB"/>
    <w:rsid w:val="00431047"/>
    <w:rsid w:val="004318F0"/>
    <w:rsid w:val="00431B86"/>
    <w:rsid w:val="00431BC5"/>
    <w:rsid w:val="004344A5"/>
    <w:rsid w:val="004408EC"/>
    <w:rsid w:val="00441B38"/>
    <w:rsid w:val="00441D14"/>
    <w:rsid w:val="00441E6A"/>
    <w:rsid w:val="004432B9"/>
    <w:rsid w:val="00443C8F"/>
    <w:rsid w:val="00452481"/>
    <w:rsid w:val="00453E40"/>
    <w:rsid w:val="004542D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68F"/>
    <w:rsid w:val="00491ABD"/>
    <w:rsid w:val="0049297D"/>
    <w:rsid w:val="004929F2"/>
    <w:rsid w:val="00495A03"/>
    <w:rsid w:val="00497079"/>
    <w:rsid w:val="004A1BBA"/>
    <w:rsid w:val="004A1E8A"/>
    <w:rsid w:val="004A3E3C"/>
    <w:rsid w:val="004A3F71"/>
    <w:rsid w:val="004B0E6D"/>
    <w:rsid w:val="004B16E8"/>
    <w:rsid w:val="004B2326"/>
    <w:rsid w:val="004B4D2D"/>
    <w:rsid w:val="004B6250"/>
    <w:rsid w:val="004B76B1"/>
    <w:rsid w:val="004B7CA0"/>
    <w:rsid w:val="004C0057"/>
    <w:rsid w:val="004C04AE"/>
    <w:rsid w:val="004C0541"/>
    <w:rsid w:val="004C2C46"/>
    <w:rsid w:val="004C6E88"/>
    <w:rsid w:val="004C7235"/>
    <w:rsid w:val="004C7955"/>
    <w:rsid w:val="004D047F"/>
    <w:rsid w:val="004D3D96"/>
    <w:rsid w:val="004D650F"/>
    <w:rsid w:val="004D67E0"/>
    <w:rsid w:val="004E12E1"/>
    <w:rsid w:val="004E2133"/>
    <w:rsid w:val="004E32E2"/>
    <w:rsid w:val="004E5AB9"/>
    <w:rsid w:val="004E60FB"/>
    <w:rsid w:val="004F779C"/>
    <w:rsid w:val="004F7846"/>
    <w:rsid w:val="005000D4"/>
    <w:rsid w:val="005015FA"/>
    <w:rsid w:val="00505411"/>
    <w:rsid w:val="00510CAF"/>
    <w:rsid w:val="00510DAB"/>
    <w:rsid w:val="005128C5"/>
    <w:rsid w:val="00514754"/>
    <w:rsid w:val="0051478B"/>
    <w:rsid w:val="0051566A"/>
    <w:rsid w:val="00515D7B"/>
    <w:rsid w:val="005166E9"/>
    <w:rsid w:val="0052009E"/>
    <w:rsid w:val="0052302C"/>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61D7"/>
    <w:rsid w:val="00597057"/>
    <w:rsid w:val="00597D8B"/>
    <w:rsid w:val="005A1C30"/>
    <w:rsid w:val="005A229D"/>
    <w:rsid w:val="005A3295"/>
    <w:rsid w:val="005A46FF"/>
    <w:rsid w:val="005A5AE2"/>
    <w:rsid w:val="005B011E"/>
    <w:rsid w:val="005B14F0"/>
    <w:rsid w:val="005B1E0B"/>
    <w:rsid w:val="005B2E84"/>
    <w:rsid w:val="005B70C6"/>
    <w:rsid w:val="005B7B0E"/>
    <w:rsid w:val="005C526E"/>
    <w:rsid w:val="005C5409"/>
    <w:rsid w:val="005C69AC"/>
    <w:rsid w:val="005C6DCF"/>
    <w:rsid w:val="005C6DF3"/>
    <w:rsid w:val="005C722E"/>
    <w:rsid w:val="005D01A4"/>
    <w:rsid w:val="005D14DE"/>
    <w:rsid w:val="005D2CC7"/>
    <w:rsid w:val="005D44E4"/>
    <w:rsid w:val="005D45B3"/>
    <w:rsid w:val="005D4CEB"/>
    <w:rsid w:val="005D5F80"/>
    <w:rsid w:val="005E0C14"/>
    <w:rsid w:val="005E1D51"/>
    <w:rsid w:val="005F04E6"/>
    <w:rsid w:val="005F43B9"/>
    <w:rsid w:val="005F68CB"/>
    <w:rsid w:val="005F6A4A"/>
    <w:rsid w:val="006033E3"/>
    <w:rsid w:val="00603663"/>
    <w:rsid w:val="0061321C"/>
    <w:rsid w:val="006159E5"/>
    <w:rsid w:val="00620DB0"/>
    <w:rsid w:val="0062386E"/>
    <w:rsid w:val="00623D9A"/>
    <w:rsid w:val="00623F01"/>
    <w:rsid w:val="006242FB"/>
    <w:rsid w:val="00626E2D"/>
    <w:rsid w:val="00627D94"/>
    <w:rsid w:val="00630B42"/>
    <w:rsid w:val="00631DB3"/>
    <w:rsid w:val="00634900"/>
    <w:rsid w:val="00637BA7"/>
    <w:rsid w:val="00642072"/>
    <w:rsid w:val="006440ED"/>
    <w:rsid w:val="00645293"/>
    <w:rsid w:val="00651B78"/>
    <w:rsid w:val="00652263"/>
    <w:rsid w:val="00652881"/>
    <w:rsid w:val="00653BAC"/>
    <w:rsid w:val="00657CAF"/>
    <w:rsid w:val="00661974"/>
    <w:rsid w:val="00662F58"/>
    <w:rsid w:val="00664551"/>
    <w:rsid w:val="0066704D"/>
    <w:rsid w:val="006676A0"/>
    <w:rsid w:val="006706B6"/>
    <w:rsid w:val="00670857"/>
    <w:rsid w:val="00671124"/>
    <w:rsid w:val="006727B0"/>
    <w:rsid w:val="0067307E"/>
    <w:rsid w:val="006848C1"/>
    <w:rsid w:val="006868CD"/>
    <w:rsid w:val="00686EEA"/>
    <w:rsid w:val="00687AD5"/>
    <w:rsid w:val="00690EC4"/>
    <w:rsid w:val="00691D14"/>
    <w:rsid w:val="00695251"/>
    <w:rsid w:val="00695296"/>
    <w:rsid w:val="00695ADE"/>
    <w:rsid w:val="00695C0D"/>
    <w:rsid w:val="00696356"/>
    <w:rsid w:val="00696DDE"/>
    <w:rsid w:val="006A72C6"/>
    <w:rsid w:val="006B02DA"/>
    <w:rsid w:val="006B0806"/>
    <w:rsid w:val="006B10DA"/>
    <w:rsid w:val="006B2065"/>
    <w:rsid w:val="006B3940"/>
    <w:rsid w:val="006B5B3E"/>
    <w:rsid w:val="006C168D"/>
    <w:rsid w:val="006C4465"/>
    <w:rsid w:val="006C642C"/>
    <w:rsid w:val="006C6FC6"/>
    <w:rsid w:val="006D0E4F"/>
    <w:rsid w:val="006D676F"/>
    <w:rsid w:val="006D7693"/>
    <w:rsid w:val="006E231B"/>
    <w:rsid w:val="006E346E"/>
    <w:rsid w:val="006E34B7"/>
    <w:rsid w:val="006F103E"/>
    <w:rsid w:val="006F4C30"/>
    <w:rsid w:val="006F4CD8"/>
    <w:rsid w:val="006F53D9"/>
    <w:rsid w:val="007004DC"/>
    <w:rsid w:val="00701347"/>
    <w:rsid w:val="007027B6"/>
    <w:rsid w:val="00703E8A"/>
    <w:rsid w:val="00707FB8"/>
    <w:rsid w:val="0071006D"/>
    <w:rsid w:val="00711522"/>
    <w:rsid w:val="007124FE"/>
    <w:rsid w:val="007125A9"/>
    <w:rsid w:val="00713186"/>
    <w:rsid w:val="00713757"/>
    <w:rsid w:val="00716F79"/>
    <w:rsid w:val="00717772"/>
    <w:rsid w:val="00717C29"/>
    <w:rsid w:val="00721AF1"/>
    <w:rsid w:val="0072280F"/>
    <w:rsid w:val="00722B5E"/>
    <w:rsid w:val="0072708F"/>
    <w:rsid w:val="00727C6C"/>
    <w:rsid w:val="0073150B"/>
    <w:rsid w:val="00732D1D"/>
    <w:rsid w:val="00736034"/>
    <w:rsid w:val="0073681C"/>
    <w:rsid w:val="00737AB0"/>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56ED"/>
    <w:rsid w:val="007870FC"/>
    <w:rsid w:val="0078729B"/>
    <w:rsid w:val="00787CD0"/>
    <w:rsid w:val="00791053"/>
    <w:rsid w:val="00791A3A"/>
    <w:rsid w:val="00794196"/>
    <w:rsid w:val="007941EA"/>
    <w:rsid w:val="007951F3"/>
    <w:rsid w:val="0079671E"/>
    <w:rsid w:val="00797637"/>
    <w:rsid w:val="007A0A57"/>
    <w:rsid w:val="007A3680"/>
    <w:rsid w:val="007A59B8"/>
    <w:rsid w:val="007A6BEA"/>
    <w:rsid w:val="007B2191"/>
    <w:rsid w:val="007B2862"/>
    <w:rsid w:val="007B3C32"/>
    <w:rsid w:val="007B505A"/>
    <w:rsid w:val="007B662A"/>
    <w:rsid w:val="007C2BCC"/>
    <w:rsid w:val="007C7E22"/>
    <w:rsid w:val="007D1C16"/>
    <w:rsid w:val="007D28C9"/>
    <w:rsid w:val="007D3CC8"/>
    <w:rsid w:val="007D62F9"/>
    <w:rsid w:val="007D63A4"/>
    <w:rsid w:val="007E008D"/>
    <w:rsid w:val="007E0F0C"/>
    <w:rsid w:val="007E1AA2"/>
    <w:rsid w:val="007E1AD0"/>
    <w:rsid w:val="007E4C1F"/>
    <w:rsid w:val="007E5EDC"/>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1C19"/>
    <w:rsid w:val="008174D4"/>
    <w:rsid w:val="00820FE6"/>
    <w:rsid w:val="00821985"/>
    <w:rsid w:val="00821A66"/>
    <w:rsid w:val="00822476"/>
    <w:rsid w:val="00822882"/>
    <w:rsid w:val="00823E6D"/>
    <w:rsid w:val="00824200"/>
    <w:rsid w:val="00825D22"/>
    <w:rsid w:val="00825F68"/>
    <w:rsid w:val="00827CB9"/>
    <w:rsid w:val="008305BF"/>
    <w:rsid w:val="00832748"/>
    <w:rsid w:val="00835408"/>
    <w:rsid w:val="008359DA"/>
    <w:rsid w:val="00836D2A"/>
    <w:rsid w:val="00837CEF"/>
    <w:rsid w:val="00840035"/>
    <w:rsid w:val="00840220"/>
    <w:rsid w:val="00840677"/>
    <w:rsid w:val="00840C20"/>
    <w:rsid w:val="008428A9"/>
    <w:rsid w:val="00844112"/>
    <w:rsid w:val="00844CBE"/>
    <w:rsid w:val="008456C9"/>
    <w:rsid w:val="0084611D"/>
    <w:rsid w:val="00850C62"/>
    <w:rsid w:val="00854463"/>
    <w:rsid w:val="00857643"/>
    <w:rsid w:val="00863011"/>
    <w:rsid w:val="0086312D"/>
    <w:rsid w:val="00863392"/>
    <w:rsid w:val="00865075"/>
    <w:rsid w:val="0086734C"/>
    <w:rsid w:val="0086748F"/>
    <w:rsid w:val="00872CE4"/>
    <w:rsid w:val="00874F4B"/>
    <w:rsid w:val="0087539B"/>
    <w:rsid w:val="00877B62"/>
    <w:rsid w:val="00880016"/>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E0"/>
    <w:rsid w:val="008B1773"/>
    <w:rsid w:val="008B1823"/>
    <w:rsid w:val="008B65CD"/>
    <w:rsid w:val="008B6E16"/>
    <w:rsid w:val="008B7110"/>
    <w:rsid w:val="008C2029"/>
    <w:rsid w:val="008C2A97"/>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1C17"/>
    <w:rsid w:val="008F2477"/>
    <w:rsid w:val="00900DD1"/>
    <w:rsid w:val="009010F0"/>
    <w:rsid w:val="00901162"/>
    <w:rsid w:val="0090223A"/>
    <w:rsid w:val="009028E2"/>
    <w:rsid w:val="009055EC"/>
    <w:rsid w:val="009100C0"/>
    <w:rsid w:val="0091247B"/>
    <w:rsid w:val="0091320A"/>
    <w:rsid w:val="00914EAB"/>
    <w:rsid w:val="009150A1"/>
    <w:rsid w:val="00916808"/>
    <w:rsid w:val="00922D49"/>
    <w:rsid w:val="0092482C"/>
    <w:rsid w:val="00924A95"/>
    <w:rsid w:val="009259CF"/>
    <w:rsid w:val="00925E37"/>
    <w:rsid w:val="00925EDD"/>
    <w:rsid w:val="00927D0E"/>
    <w:rsid w:val="009309DA"/>
    <w:rsid w:val="00935771"/>
    <w:rsid w:val="00936688"/>
    <w:rsid w:val="00937CFA"/>
    <w:rsid w:val="009406B3"/>
    <w:rsid w:val="00945CF5"/>
    <w:rsid w:val="00946D66"/>
    <w:rsid w:val="009500A1"/>
    <w:rsid w:val="0095037E"/>
    <w:rsid w:val="00952AAD"/>
    <w:rsid w:val="00952F4F"/>
    <w:rsid w:val="00954567"/>
    <w:rsid w:val="009547A9"/>
    <w:rsid w:val="00957466"/>
    <w:rsid w:val="0096260B"/>
    <w:rsid w:val="00963F05"/>
    <w:rsid w:val="00965469"/>
    <w:rsid w:val="009664D5"/>
    <w:rsid w:val="00970C69"/>
    <w:rsid w:val="009716AF"/>
    <w:rsid w:val="00971F1C"/>
    <w:rsid w:val="0097211D"/>
    <w:rsid w:val="00972E10"/>
    <w:rsid w:val="0097328D"/>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2B7"/>
    <w:rsid w:val="009D0628"/>
    <w:rsid w:val="009D1EA4"/>
    <w:rsid w:val="009D27AA"/>
    <w:rsid w:val="009D2D8B"/>
    <w:rsid w:val="009D38BA"/>
    <w:rsid w:val="009D4991"/>
    <w:rsid w:val="009D5BB5"/>
    <w:rsid w:val="009D696D"/>
    <w:rsid w:val="009D6ED2"/>
    <w:rsid w:val="009E0D5D"/>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2EEF"/>
    <w:rsid w:val="00A14AE3"/>
    <w:rsid w:val="00A16675"/>
    <w:rsid w:val="00A22CD6"/>
    <w:rsid w:val="00A234EC"/>
    <w:rsid w:val="00A2417A"/>
    <w:rsid w:val="00A26668"/>
    <w:rsid w:val="00A27804"/>
    <w:rsid w:val="00A36822"/>
    <w:rsid w:val="00A36AB5"/>
    <w:rsid w:val="00A37A23"/>
    <w:rsid w:val="00A411D1"/>
    <w:rsid w:val="00A43389"/>
    <w:rsid w:val="00A43E71"/>
    <w:rsid w:val="00A45753"/>
    <w:rsid w:val="00A47B15"/>
    <w:rsid w:val="00A52F84"/>
    <w:rsid w:val="00A5533F"/>
    <w:rsid w:val="00A554CA"/>
    <w:rsid w:val="00A56B05"/>
    <w:rsid w:val="00A57678"/>
    <w:rsid w:val="00A60E2F"/>
    <w:rsid w:val="00A63284"/>
    <w:rsid w:val="00A64CB8"/>
    <w:rsid w:val="00A67018"/>
    <w:rsid w:val="00A672F3"/>
    <w:rsid w:val="00A673DC"/>
    <w:rsid w:val="00A67D40"/>
    <w:rsid w:val="00A7076E"/>
    <w:rsid w:val="00A709BE"/>
    <w:rsid w:val="00A7162E"/>
    <w:rsid w:val="00A7195A"/>
    <w:rsid w:val="00A72D71"/>
    <w:rsid w:val="00A7519C"/>
    <w:rsid w:val="00A75705"/>
    <w:rsid w:val="00A77C69"/>
    <w:rsid w:val="00A83953"/>
    <w:rsid w:val="00A83A77"/>
    <w:rsid w:val="00A85AF5"/>
    <w:rsid w:val="00A900E7"/>
    <w:rsid w:val="00A903B6"/>
    <w:rsid w:val="00A90F4F"/>
    <w:rsid w:val="00A92E44"/>
    <w:rsid w:val="00A9418A"/>
    <w:rsid w:val="00A947AA"/>
    <w:rsid w:val="00A9769C"/>
    <w:rsid w:val="00AA1B53"/>
    <w:rsid w:val="00AA3556"/>
    <w:rsid w:val="00AA35FD"/>
    <w:rsid w:val="00AA3DB7"/>
    <w:rsid w:val="00AB0340"/>
    <w:rsid w:val="00AB3012"/>
    <w:rsid w:val="00AB321C"/>
    <w:rsid w:val="00AB5B99"/>
    <w:rsid w:val="00AB688F"/>
    <w:rsid w:val="00AB75EA"/>
    <w:rsid w:val="00AB7AA2"/>
    <w:rsid w:val="00AB7BE2"/>
    <w:rsid w:val="00AC4BC1"/>
    <w:rsid w:val="00AD04BD"/>
    <w:rsid w:val="00AD1C72"/>
    <w:rsid w:val="00AD25F6"/>
    <w:rsid w:val="00AD46E6"/>
    <w:rsid w:val="00AD7214"/>
    <w:rsid w:val="00AE1066"/>
    <w:rsid w:val="00AE2AD2"/>
    <w:rsid w:val="00AE4518"/>
    <w:rsid w:val="00AE5D7F"/>
    <w:rsid w:val="00AE79F0"/>
    <w:rsid w:val="00AF2089"/>
    <w:rsid w:val="00AF3350"/>
    <w:rsid w:val="00AF4305"/>
    <w:rsid w:val="00AF5585"/>
    <w:rsid w:val="00AF561C"/>
    <w:rsid w:val="00AF6EC1"/>
    <w:rsid w:val="00B00331"/>
    <w:rsid w:val="00B01A80"/>
    <w:rsid w:val="00B02675"/>
    <w:rsid w:val="00B07C27"/>
    <w:rsid w:val="00B10017"/>
    <w:rsid w:val="00B10DE1"/>
    <w:rsid w:val="00B10FF8"/>
    <w:rsid w:val="00B11A5B"/>
    <w:rsid w:val="00B203C4"/>
    <w:rsid w:val="00B20A27"/>
    <w:rsid w:val="00B22E81"/>
    <w:rsid w:val="00B23996"/>
    <w:rsid w:val="00B23CB2"/>
    <w:rsid w:val="00B24946"/>
    <w:rsid w:val="00B2561A"/>
    <w:rsid w:val="00B25A64"/>
    <w:rsid w:val="00B306AA"/>
    <w:rsid w:val="00B32AB3"/>
    <w:rsid w:val="00B34E7C"/>
    <w:rsid w:val="00B368EA"/>
    <w:rsid w:val="00B37EEF"/>
    <w:rsid w:val="00B424F8"/>
    <w:rsid w:val="00B46E00"/>
    <w:rsid w:val="00B52B4A"/>
    <w:rsid w:val="00B54370"/>
    <w:rsid w:val="00B55185"/>
    <w:rsid w:val="00B55281"/>
    <w:rsid w:val="00B60FD1"/>
    <w:rsid w:val="00B61923"/>
    <w:rsid w:val="00B621D6"/>
    <w:rsid w:val="00B63EF5"/>
    <w:rsid w:val="00B65D6F"/>
    <w:rsid w:val="00B67C23"/>
    <w:rsid w:val="00B70DC7"/>
    <w:rsid w:val="00B715FD"/>
    <w:rsid w:val="00B73042"/>
    <w:rsid w:val="00B74BB9"/>
    <w:rsid w:val="00B75283"/>
    <w:rsid w:val="00B75735"/>
    <w:rsid w:val="00B77142"/>
    <w:rsid w:val="00B807F5"/>
    <w:rsid w:val="00B80A2C"/>
    <w:rsid w:val="00B81F60"/>
    <w:rsid w:val="00B841AC"/>
    <w:rsid w:val="00B843ED"/>
    <w:rsid w:val="00B865B0"/>
    <w:rsid w:val="00B90497"/>
    <w:rsid w:val="00B90780"/>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2FA"/>
    <w:rsid w:val="00BD3EB4"/>
    <w:rsid w:val="00BD5C65"/>
    <w:rsid w:val="00BD71EE"/>
    <w:rsid w:val="00BE6018"/>
    <w:rsid w:val="00BF1F57"/>
    <w:rsid w:val="00BF4086"/>
    <w:rsid w:val="00BF426C"/>
    <w:rsid w:val="00BF58D0"/>
    <w:rsid w:val="00BF63AF"/>
    <w:rsid w:val="00BF7D6A"/>
    <w:rsid w:val="00C013E1"/>
    <w:rsid w:val="00C01611"/>
    <w:rsid w:val="00C02D59"/>
    <w:rsid w:val="00C030B6"/>
    <w:rsid w:val="00C03284"/>
    <w:rsid w:val="00C050D7"/>
    <w:rsid w:val="00C05B5F"/>
    <w:rsid w:val="00C06911"/>
    <w:rsid w:val="00C104CC"/>
    <w:rsid w:val="00C12898"/>
    <w:rsid w:val="00C152FE"/>
    <w:rsid w:val="00C16739"/>
    <w:rsid w:val="00C22C7D"/>
    <w:rsid w:val="00C22CCE"/>
    <w:rsid w:val="00C231D6"/>
    <w:rsid w:val="00C23BA2"/>
    <w:rsid w:val="00C272C4"/>
    <w:rsid w:val="00C31C12"/>
    <w:rsid w:val="00C32AF2"/>
    <w:rsid w:val="00C33204"/>
    <w:rsid w:val="00C338EB"/>
    <w:rsid w:val="00C3465D"/>
    <w:rsid w:val="00C35643"/>
    <w:rsid w:val="00C379E9"/>
    <w:rsid w:val="00C439FB"/>
    <w:rsid w:val="00C43F23"/>
    <w:rsid w:val="00C50011"/>
    <w:rsid w:val="00C52CA1"/>
    <w:rsid w:val="00C5755E"/>
    <w:rsid w:val="00C6379C"/>
    <w:rsid w:val="00C645E6"/>
    <w:rsid w:val="00C64D82"/>
    <w:rsid w:val="00C64FBC"/>
    <w:rsid w:val="00C65A83"/>
    <w:rsid w:val="00C724F2"/>
    <w:rsid w:val="00C72C6F"/>
    <w:rsid w:val="00C75057"/>
    <w:rsid w:val="00C77034"/>
    <w:rsid w:val="00C80F23"/>
    <w:rsid w:val="00C81151"/>
    <w:rsid w:val="00C81EFA"/>
    <w:rsid w:val="00C82CC6"/>
    <w:rsid w:val="00C850A3"/>
    <w:rsid w:val="00C85C32"/>
    <w:rsid w:val="00C87568"/>
    <w:rsid w:val="00C90DB6"/>
    <w:rsid w:val="00C913B6"/>
    <w:rsid w:val="00C9394F"/>
    <w:rsid w:val="00C93B1A"/>
    <w:rsid w:val="00C96F5F"/>
    <w:rsid w:val="00CA4126"/>
    <w:rsid w:val="00CA4574"/>
    <w:rsid w:val="00CA5927"/>
    <w:rsid w:val="00CA79EC"/>
    <w:rsid w:val="00CB041A"/>
    <w:rsid w:val="00CB39C2"/>
    <w:rsid w:val="00CB4664"/>
    <w:rsid w:val="00CB4C8C"/>
    <w:rsid w:val="00CB6782"/>
    <w:rsid w:val="00CC080A"/>
    <w:rsid w:val="00CC0994"/>
    <w:rsid w:val="00CC0C03"/>
    <w:rsid w:val="00CD0AAD"/>
    <w:rsid w:val="00CD6177"/>
    <w:rsid w:val="00CE182E"/>
    <w:rsid w:val="00CE2DAB"/>
    <w:rsid w:val="00CE2DE4"/>
    <w:rsid w:val="00CE2E79"/>
    <w:rsid w:val="00CE5277"/>
    <w:rsid w:val="00CE6358"/>
    <w:rsid w:val="00CF2D54"/>
    <w:rsid w:val="00CF592C"/>
    <w:rsid w:val="00CF6992"/>
    <w:rsid w:val="00CF6AD7"/>
    <w:rsid w:val="00CF7B8C"/>
    <w:rsid w:val="00D03538"/>
    <w:rsid w:val="00D049B8"/>
    <w:rsid w:val="00D0516C"/>
    <w:rsid w:val="00D05EE7"/>
    <w:rsid w:val="00D068D0"/>
    <w:rsid w:val="00D078D1"/>
    <w:rsid w:val="00D129A8"/>
    <w:rsid w:val="00D12FB9"/>
    <w:rsid w:val="00D13FE2"/>
    <w:rsid w:val="00D200BD"/>
    <w:rsid w:val="00D22399"/>
    <w:rsid w:val="00D24B11"/>
    <w:rsid w:val="00D310BA"/>
    <w:rsid w:val="00D32C0A"/>
    <w:rsid w:val="00D33751"/>
    <w:rsid w:val="00D3382F"/>
    <w:rsid w:val="00D33924"/>
    <w:rsid w:val="00D34559"/>
    <w:rsid w:val="00D36F6E"/>
    <w:rsid w:val="00D3705B"/>
    <w:rsid w:val="00D37343"/>
    <w:rsid w:val="00D4205E"/>
    <w:rsid w:val="00D45DB6"/>
    <w:rsid w:val="00D5574C"/>
    <w:rsid w:val="00D604CE"/>
    <w:rsid w:val="00D61982"/>
    <w:rsid w:val="00D6267A"/>
    <w:rsid w:val="00D67D12"/>
    <w:rsid w:val="00D7585A"/>
    <w:rsid w:val="00D77B06"/>
    <w:rsid w:val="00D80618"/>
    <w:rsid w:val="00D82494"/>
    <w:rsid w:val="00D84A4B"/>
    <w:rsid w:val="00D92168"/>
    <w:rsid w:val="00D940B5"/>
    <w:rsid w:val="00D95CB0"/>
    <w:rsid w:val="00D977C0"/>
    <w:rsid w:val="00DA00A3"/>
    <w:rsid w:val="00DA13F3"/>
    <w:rsid w:val="00DA23C3"/>
    <w:rsid w:val="00DA2DE3"/>
    <w:rsid w:val="00DA475D"/>
    <w:rsid w:val="00DA7146"/>
    <w:rsid w:val="00DA716A"/>
    <w:rsid w:val="00DB1F4F"/>
    <w:rsid w:val="00DB37EE"/>
    <w:rsid w:val="00DB4450"/>
    <w:rsid w:val="00DB7B69"/>
    <w:rsid w:val="00DC234A"/>
    <w:rsid w:val="00DC27AD"/>
    <w:rsid w:val="00DC41E4"/>
    <w:rsid w:val="00DC5116"/>
    <w:rsid w:val="00DC7C77"/>
    <w:rsid w:val="00DD074A"/>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6313"/>
    <w:rsid w:val="00E1738C"/>
    <w:rsid w:val="00E207A1"/>
    <w:rsid w:val="00E22D28"/>
    <w:rsid w:val="00E230E3"/>
    <w:rsid w:val="00E27A14"/>
    <w:rsid w:val="00E30EDF"/>
    <w:rsid w:val="00E30F3C"/>
    <w:rsid w:val="00E31EC2"/>
    <w:rsid w:val="00E31FBA"/>
    <w:rsid w:val="00E32CB6"/>
    <w:rsid w:val="00E34042"/>
    <w:rsid w:val="00E34CDF"/>
    <w:rsid w:val="00E36AAE"/>
    <w:rsid w:val="00E41773"/>
    <w:rsid w:val="00E428DD"/>
    <w:rsid w:val="00E43B0B"/>
    <w:rsid w:val="00E44A50"/>
    <w:rsid w:val="00E477F6"/>
    <w:rsid w:val="00E50841"/>
    <w:rsid w:val="00E513F6"/>
    <w:rsid w:val="00E52F3B"/>
    <w:rsid w:val="00E53A45"/>
    <w:rsid w:val="00E53D94"/>
    <w:rsid w:val="00E53DEA"/>
    <w:rsid w:val="00E548E9"/>
    <w:rsid w:val="00E553CC"/>
    <w:rsid w:val="00E55667"/>
    <w:rsid w:val="00E57068"/>
    <w:rsid w:val="00E57630"/>
    <w:rsid w:val="00E616DB"/>
    <w:rsid w:val="00E627A4"/>
    <w:rsid w:val="00E630ED"/>
    <w:rsid w:val="00E74EC5"/>
    <w:rsid w:val="00E75FDC"/>
    <w:rsid w:val="00E76B86"/>
    <w:rsid w:val="00E8342F"/>
    <w:rsid w:val="00E847A7"/>
    <w:rsid w:val="00E85E29"/>
    <w:rsid w:val="00E85F25"/>
    <w:rsid w:val="00E86E79"/>
    <w:rsid w:val="00E87313"/>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4874"/>
    <w:rsid w:val="00EE79A6"/>
    <w:rsid w:val="00EF6111"/>
    <w:rsid w:val="00EF6232"/>
    <w:rsid w:val="00EF698A"/>
    <w:rsid w:val="00F005A0"/>
    <w:rsid w:val="00F006CC"/>
    <w:rsid w:val="00F05EAD"/>
    <w:rsid w:val="00F06616"/>
    <w:rsid w:val="00F11352"/>
    <w:rsid w:val="00F13295"/>
    <w:rsid w:val="00F1498D"/>
    <w:rsid w:val="00F14DDF"/>
    <w:rsid w:val="00F152AD"/>
    <w:rsid w:val="00F2285F"/>
    <w:rsid w:val="00F23155"/>
    <w:rsid w:val="00F24236"/>
    <w:rsid w:val="00F24E0E"/>
    <w:rsid w:val="00F26693"/>
    <w:rsid w:val="00F27C38"/>
    <w:rsid w:val="00F36130"/>
    <w:rsid w:val="00F40444"/>
    <w:rsid w:val="00F40868"/>
    <w:rsid w:val="00F4239C"/>
    <w:rsid w:val="00F423BD"/>
    <w:rsid w:val="00F4255D"/>
    <w:rsid w:val="00F432FF"/>
    <w:rsid w:val="00F46DF9"/>
    <w:rsid w:val="00F4715C"/>
    <w:rsid w:val="00F54869"/>
    <w:rsid w:val="00F556B2"/>
    <w:rsid w:val="00F57252"/>
    <w:rsid w:val="00F5754B"/>
    <w:rsid w:val="00F576DE"/>
    <w:rsid w:val="00F63BF7"/>
    <w:rsid w:val="00F64563"/>
    <w:rsid w:val="00F65617"/>
    <w:rsid w:val="00F65D71"/>
    <w:rsid w:val="00F70112"/>
    <w:rsid w:val="00F710BE"/>
    <w:rsid w:val="00F723B1"/>
    <w:rsid w:val="00F736D2"/>
    <w:rsid w:val="00F7564C"/>
    <w:rsid w:val="00F76220"/>
    <w:rsid w:val="00F769BE"/>
    <w:rsid w:val="00F81C33"/>
    <w:rsid w:val="00F82A1D"/>
    <w:rsid w:val="00F82E6B"/>
    <w:rsid w:val="00F91F6D"/>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C1CA5"/>
    <w:rsid w:val="00FC219C"/>
    <w:rsid w:val="00FC2979"/>
    <w:rsid w:val="00FD1C3C"/>
    <w:rsid w:val="00FD1E02"/>
    <w:rsid w:val="00FD38A8"/>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DCF266-60FA-4E11-934F-6B947CD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FD1E0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1E02"/>
    <w:rPr>
      <w:rFonts w:cs="Times New Roman"/>
      <w:b/>
      <w:bCs/>
      <w:kern w:val="44"/>
      <w:sz w:val="44"/>
      <w:szCs w:val="44"/>
    </w:rPr>
  </w:style>
  <w:style w:type="character" w:customStyle="1" w:styleId="2Char">
    <w:name w:val="标题 2 Char"/>
    <w:link w:val="2"/>
    <w:uiPriority w:val="99"/>
    <w:semiHidden/>
    <w:locked/>
    <w:rsid w:val="00140FF8"/>
    <w:rPr>
      <w:rFonts w:ascii="Cambria" w:eastAsia="宋体" w:hAnsi="Cambria" w:cs="Times New Roman"/>
      <w:b/>
      <w:bCs/>
      <w:sz w:val="32"/>
      <w:szCs w:val="32"/>
    </w:rPr>
  </w:style>
  <w:style w:type="paragraph" w:styleId="a0">
    <w:name w:val="Normal Indent"/>
    <w:basedOn w:val="a"/>
    <w:uiPriority w:val="99"/>
    <w:rsid w:val="00C12898"/>
    <w:pPr>
      <w:ind w:firstLineChars="200" w:firstLine="420"/>
    </w:pPr>
  </w:style>
  <w:style w:type="paragraph" w:styleId="a4">
    <w:name w:val="Body Text Indent"/>
    <w:basedOn w:val="a"/>
    <w:link w:val="Char"/>
    <w:uiPriority w:val="99"/>
    <w:rsid w:val="00C1289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140FF8"/>
    <w:rPr>
      <w:rFonts w:cs="Times New Roman"/>
      <w:sz w:val="24"/>
      <w:szCs w:val="24"/>
    </w:rPr>
  </w:style>
  <w:style w:type="paragraph" w:styleId="a5">
    <w:name w:val="Plain Text"/>
    <w:basedOn w:val="a"/>
    <w:link w:val="Char0"/>
    <w:uiPriority w:val="99"/>
    <w:rsid w:val="00C12898"/>
    <w:rPr>
      <w:rFonts w:ascii="宋体" w:hAnsi="Courier New"/>
      <w:szCs w:val="21"/>
    </w:rPr>
  </w:style>
  <w:style w:type="character" w:customStyle="1" w:styleId="Char0">
    <w:name w:val="纯文本 Char"/>
    <w:link w:val="a5"/>
    <w:uiPriority w:val="99"/>
    <w:locked/>
    <w:rsid w:val="0042253F"/>
    <w:rPr>
      <w:rFonts w:ascii="宋体" w:hAnsi="Courier New" w:cs="Times New Roman"/>
      <w:kern w:val="2"/>
      <w:sz w:val="21"/>
    </w:rPr>
  </w:style>
  <w:style w:type="paragraph" w:styleId="20">
    <w:name w:val="Body Text Indent 2"/>
    <w:basedOn w:val="a"/>
    <w:link w:val="2Char0"/>
    <w:uiPriority w:val="99"/>
    <w:rsid w:val="00C12898"/>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140FF8"/>
    <w:rPr>
      <w:rFonts w:cs="Times New Roman"/>
      <w:sz w:val="24"/>
      <w:szCs w:val="24"/>
    </w:rPr>
  </w:style>
  <w:style w:type="paragraph" w:styleId="a6">
    <w:name w:val="footer"/>
    <w:basedOn w:val="a"/>
    <w:link w:val="Char1"/>
    <w:uiPriority w:val="99"/>
    <w:rsid w:val="00C1289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140FF8"/>
    <w:rPr>
      <w:rFonts w:cs="Times New Roman"/>
      <w:sz w:val="18"/>
      <w:szCs w:val="18"/>
    </w:rPr>
  </w:style>
  <w:style w:type="character" w:styleId="a7">
    <w:name w:val="page number"/>
    <w:uiPriority w:val="99"/>
    <w:rsid w:val="00C12898"/>
    <w:rPr>
      <w:rFonts w:cs="Times New Roman"/>
    </w:rPr>
  </w:style>
  <w:style w:type="character" w:styleId="a8">
    <w:name w:val="Hyperlink"/>
    <w:uiPriority w:val="99"/>
    <w:rsid w:val="00C12898"/>
    <w:rPr>
      <w:rFonts w:cs="Times New Roman"/>
      <w:color w:val="0000FF"/>
      <w:u w:val="single"/>
    </w:rPr>
  </w:style>
  <w:style w:type="paragraph" w:styleId="3">
    <w:name w:val="Body Text Indent 3"/>
    <w:basedOn w:val="a"/>
    <w:link w:val="3Char"/>
    <w:uiPriority w:val="99"/>
    <w:rsid w:val="00C12898"/>
    <w:pPr>
      <w:spacing w:line="560" w:lineRule="exact"/>
      <w:ind w:firstLineChars="200" w:firstLine="420"/>
    </w:pPr>
    <w:rPr>
      <w:rFonts w:ascii="Arial" w:hAnsi="Arial" w:cs="Arial"/>
      <w:color w:val="FF0000"/>
    </w:rPr>
  </w:style>
  <w:style w:type="character" w:customStyle="1" w:styleId="3Char">
    <w:name w:val="正文文本缩进 3 Char"/>
    <w:link w:val="3"/>
    <w:uiPriority w:val="99"/>
    <w:semiHidden/>
    <w:locked/>
    <w:rsid w:val="00140FF8"/>
    <w:rPr>
      <w:rFonts w:cs="Times New Roman"/>
      <w:sz w:val="16"/>
      <w:szCs w:val="16"/>
    </w:rPr>
  </w:style>
  <w:style w:type="paragraph" w:styleId="a9">
    <w:name w:val="header"/>
    <w:basedOn w:val="a"/>
    <w:link w:val="Char2"/>
    <w:uiPriority w:val="99"/>
    <w:rsid w:val="00C1289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FB572A"/>
    <w:rPr>
      <w:rFonts w:cs="Times New Roman"/>
      <w:kern w:val="2"/>
      <w:sz w:val="18"/>
      <w:szCs w:val="18"/>
    </w:rPr>
  </w:style>
  <w:style w:type="character" w:styleId="aa">
    <w:name w:val="FollowedHyperlink"/>
    <w:uiPriority w:val="99"/>
    <w:rsid w:val="00C12898"/>
    <w:rPr>
      <w:rFonts w:cs="Times New Roman"/>
      <w:color w:val="800080"/>
      <w:u w:val="single"/>
    </w:rPr>
  </w:style>
  <w:style w:type="paragraph" w:styleId="ab">
    <w:name w:val="List"/>
    <w:basedOn w:val="ac"/>
    <w:uiPriority w:val="99"/>
    <w:rsid w:val="00C12898"/>
    <w:pPr>
      <w:spacing w:after="220" w:line="220" w:lineRule="atLeast"/>
      <w:ind w:left="1440" w:hanging="360"/>
    </w:pPr>
    <w:rPr>
      <w:szCs w:val="20"/>
    </w:rPr>
  </w:style>
  <w:style w:type="paragraph" w:styleId="ac">
    <w:name w:val="Body Text"/>
    <w:basedOn w:val="a"/>
    <w:link w:val="Char3"/>
    <w:uiPriority w:val="99"/>
    <w:rsid w:val="00C12898"/>
    <w:pPr>
      <w:spacing w:after="120"/>
    </w:pPr>
  </w:style>
  <w:style w:type="character" w:customStyle="1" w:styleId="Char3">
    <w:name w:val="正文文本 Char"/>
    <w:link w:val="ac"/>
    <w:uiPriority w:val="99"/>
    <w:semiHidden/>
    <w:locked/>
    <w:rsid w:val="00140FF8"/>
    <w:rPr>
      <w:rFonts w:cs="Times New Roman"/>
      <w:sz w:val="24"/>
      <w:szCs w:val="24"/>
    </w:rPr>
  </w:style>
  <w:style w:type="paragraph" w:styleId="ad">
    <w:name w:val="Date"/>
    <w:basedOn w:val="a"/>
    <w:next w:val="a"/>
    <w:link w:val="Char4"/>
    <w:uiPriority w:val="99"/>
    <w:rsid w:val="00C12898"/>
    <w:rPr>
      <w:sz w:val="24"/>
      <w:szCs w:val="20"/>
    </w:rPr>
  </w:style>
  <w:style w:type="character" w:customStyle="1" w:styleId="Char4">
    <w:name w:val="日期 Char"/>
    <w:link w:val="ad"/>
    <w:uiPriority w:val="99"/>
    <w:locked/>
    <w:rsid w:val="00F27C38"/>
    <w:rPr>
      <w:rFonts w:cs="Times New Roman"/>
      <w:kern w:val="2"/>
      <w:sz w:val="24"/>
    </w:rPr>
  </w:style>
  <w:style w:type="character" w:customStyle="1" w:styleId="c1">
    <w:name w:val="c1"/>
    <w:uiPriority w:val="99"/>
    <w:rsid w:val="00C12898"/>
    <w:rPr>
      <w:rFonts w:cs="Times New Roman"/>
      <w:color w:val="000000"/>
      <w:sz w:val="18"/>
      <w:szCs w:val="18"/>
    </w:rPr>
  </w:style>
  <w:style w:type="paragraph" w:styleId="10">
    <w:name w:val="index 1"/>
    <w:basedOn w:val="a"/>
    <w:next w:val="a"/>
    <w:autoRedefine/>
    <w:uiPriority w:val="99"/>
    <w:semiHidden/>
    <w:rsid w:val="00C12898"/>
    <w:pPr>
      <w:jc w:val="right"/>
    </w:pPr>
    <w:rPr>
      <w:color w:val="008000"/>
    </w:rPr>
  </w:style>
  <w:style w:type="paragraph" w:customStyle="1" w:styleId="font5">
    <w:name w:val="font5"/>
    <w:basedOn w:val="a"/>
    <w:uiPriority w:val="99"/>
    <w:rsid w:val="00C1289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12898"/>
    <w:rPr>
      <w:sz w:val="18"/>
      <w:szCs w:val="18"/>
    </w:rPr>
  </w:style>
  <w:style w:type="character" w:customStyle="1" w:styleId="Char5">
    <w:name w:val="批注框文本 Char"/>
    <w:link w:val="ae"/>
    <w:uiPriority w:val="99"/>
    <w:semiHidden/>
    <w:locked/>
    <w:rsid w:val="00140FF8"/>
    <w:rPr>
      <w:rFonts w:cs="Times New Roman"/>
      <w:sz w:val="2"/>
    </w:rPr>
  </w:style>
  <w:style w:type="character" w:styleId="af">
    <w:name w:val="annotation reference"/>
    <w:uiPriority w:val="99"/>
    <w:semiHidden/>
    <w:rsid w:val="00C12898"/>
    <w:rPr>
      <w:rFonts w:cs="Times New Roman"/>
      <w:sz w:val="21"/>
      <w:szCs w:val="21"/>
    </w:rPr>
  </w:style>
  <w:style w:type="paragraph" w:styleId="af0">
    <w:name w:val="annotation text"/>
    <w:basedOn w:val="a"/>
    <w:link w:val="Char6"/>
    <w:uiPriority w:val="99"/>
    <w:semiHidden/>
    <w:rsid w:val="00C12898"/>
    <w:pPr>
      <w:jc w:val="left"/>
    </w:pPr>
  </w:style>
  <w:style w:type="character" w:customStyle="1" w:styleId="Char6">
    <w:name w:val="批注文字 Char"/>
    <w:link w:val="af0"/>
    <w:uiPriority w:val="99"/>
    <w:semiHidden/>
    <w:locked/>
    <w:rsid w:val="00140FF8"/>
    <w:rPr>
      <w:rFonts w:cs="Times New Roman"/>
      <w:sz w:val="24"/>
      <w:szCs w:val="24"/>
    </w:rPr>
  </w:style>
  <w:style w:type="paragraph" w:styleId="af1">
    <w:name w:val="annotation subject"/>
    <w:basedOn w:val="af0"/>
    <w:next w:val="af0"/>
    <w:link w:val="Char7"/>
    <w:uiPriority w:val="99"/>
    <w:semiHidden/>
    <w:rsid w:val="00C12898"/>
    <w:rPr>
      <w:b/>
      <w:bCs/>
    </w:rPr>
  </w:style>
  <w:style w:type="character" w:customStyle="1" w:styleId="Char7">
    <w:name w:val="批注主题 Char"/>
    <w:link w:val="af1"/>
    <w:uiPriority w:val="99"/>
    <w:semiHidden/>
    <w:locked/>
    <w:rsid w:val="00140FF8"/>
    <w:rPr>
      <w:rFonts w:cs="Times New Roman"/>
      <w:b/>
      <w:bCs/>
      <w:sz w:val="24"/>
      <w:szCs w:val="24"/>
    </w:rPr>
  </w:style>
  <w:style w:type="paragraph" w:customStyle="1" w:styleId="Char8">
    <w:name w:val="Char"/>
    <w:basedOn w:val="a"/>
    <w:uiPriority w:val="99"/>
    <w:rsid w:val="00C12898"/>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140FF8"/>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140FF8"/>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695296"/>
    <w:pPr>
      <w:widowControl w:val="0"/>
      <w:autoSpaceDE w:val="0"/>
      <w:autoSpaceDN w:val="0"/>
      <w:adjustRightInd w:val="0"/>
    </w:pPr>
    <w:rPr>
      <w:rFonts w:ascii="FangSong" w:hAnsi="FangSong" w:cs="FangSong"/>
      <w:color w:val="000000"/>
      <w:sz w:val="24"/>
      <w:szCs w:val="24"/>
    </w:rPr>
  </w:style>
  <w:style w:type="paragraph" w:styleId="HTML">
    <w:name w:val="HTML Preformatted"/>
    <w:basedOn w:val="a"/>
    <w:link w:val="HTMLChar"/>
    <w:uiPriority w:val="99"/>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634900"/>
    <w:rPr>
      <w:rFonts w:ascii="宋体" w:eastAsia="宋体" w:cs="宋体"/>
      <w:sz w:val="24"/>
      <w:szCs w:val="24"/>
    </w:rPr>
  </w:style>
  <w:style w:type="character" w:styleId="af8">
    <w:name w:val="Strong"/>
    <w:basedOn w:val="a1"/>
    <w:uiPriority w:val="22"/>
    <w:qFormat/>
    <w:locked/>
    <w:rsid w:val="0019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3930">
      <w:bodyDiv w:val="1"/>
      <w:marLeft w:val="0"/>
      <w:marRight w:val="0"/>
      <w:marTop w:val="0"/>
      <w:marBottom w:val="0"/>
      <w:divBdr>
        <w:top w:val="none" w:sz="0" w:space="0" w:color="auto"/>
        <w:left w:val="none" w:sz="0" w:space="0" w:color="auto"/>
        <w:bottom w:val="none" w:sz="0" w:space="0" w:color="auto"/>
        <w:right w:val="none" w:sz="0" w:space="0" w:color="auto"/>
      </w:divBdr>
    </w:div>
    <w:div w:id="1077090524">
      <w:bodyDiv w:val="1"/>
      <w:marLeft w:val="0"/>
      <w:marRight w:val="0"/>
      <w:marTop w:val="0"/>
      <w:marBottom w:val="0"/>
      <w:divBdr>
        <w:top w:val="none" w:sz="0" w:space="0" w:color="auto"/>
        <w:left w:val="none" w:sz="0" w:space="0" w:color="auto"/>
        <w:bottom w:val="none" w:sz="0" w:space="0" w:color="auto"/>
        <w:right w:val="none" w:sz="0" w:space="0" w:color="auto"/>
      </w:divBdr>
    </w:div>
    <w:div w:id="1682857254">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 w:id="1682857256">
      <w:marLeft w:val="0"/>
      <w:marRight w:val="0"/>
      <w:marTop w:val="0"/>
      <w:marBottom w:val="0"/>
      <w:divBdr>
        <w:top w:val="none" w:sz="0" w:space="0" w:color="auto"/>
        <w:left w:val="none" w:sz="0" w:space="0" w:color="auto"/>
        <w:bottom w:val="none" w:sz="0" w:space="0" w:color="auto"/>
        <w:right w:val="none" w:sz="0" w:space="0" w:color="auto"/>
      </w:divBdr>
    </w:div>
    <w:div w:id="1682857257">
      <w:marLeft w:val="0"/>
      <w:marRight w:val="0"/>
      <w:marTop w:val="0"/>
      <w:marBottom w:val="0"/>
      <w:divBdr>
        <w:top w:val="none" w:sz="0" w:space="0" w:color="auto"/>
        <w:left w:val="none" w:sz="0" w:space="0" w:color="auto"/>
        <w:bottom w:val="none" w:sz="0" w:space="0" w:color="auto"/>
        <w:right w:val="none" w:sz="0" w:space="0" w:color="auto"/>
      </w:divBdr>
    </w:div>
    <w:div w:id="1682857258">
      <w:marLeft w:val="0"/>
      <w:marRight w:val="0"/>
      <w:marTop w:val="0"/>
      <w:marBottom w:val="0"/>
      <w:divBdr>
        <w:top w:val="none" w:sz="0" w:space="0" w:color="auto"/>
        <w:left w:val="none" w:sz="0" w:space="0" w:color="auto"/>
        <w:bottom w:val="none" w:sz="0" w:space="0" w:color="auto"/>
        <w:right w:val="none" w:sz="0" w:space="0" w:color="auto"/>
      </w:divBdr>
    </w:div>
    <w:div w:id="1682857259">
      <w:marLeft w:val="0"/>
      <w:marRight w:val="0"/>
      <w:marTop w:val="0"/>
      <w:marBottom w:val="0"/>
      <w:divBdr>
        <w:top w:val="none" w:sz="0" w:space="0" w:color="auto"/>
        <w:left w:val="none" w:sz="0" w:space="0" w:color="auto"/>
        <w:bottom w:val="none" w:sz="0" w:space="0" w:color="auto"/>
        <w:right w:val="none" w:sz="0" w:space="0" w:color="auto"/>
      </w:divBdr>
    </w:div>
    <w:div w:id="1682857260">
      <w:marLeft w:val="0"/>
      <w:marRight w:val="0"/>
      <w:marTop w:val="0"/>
      <w:marBottom w:val="0"/>
      <w:divBdr>
        <w:top w:val="none" w:sz="0" w:space="0" w:color="auto"/>
        <w:left w:val="none" w:sz="0" w:space="0" w:color="auto"/>
        <w:bottom w:val="none" w:sz="0" w:space="0" w:color="auto"/>
        <w:right w:val="none" w:sz="0" w:space="0" w:color="auto"/>
      </w:divBdr>
    </w:div>
    <w:div w:id="1682857261">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2857263">
      <w:marLeft w:val="0"/>
      <w:marRight w:val="0"/>
      <w:marTop w:val="0"/>
      <w:marBottom w:val="0"/>
      <w:divBdr>
        <w:top w:val="none" w:sz="0" w:space="0" w:color="auto"/>
        <w:left w:val="none" w:sz="0" w:space="0" w:color="auto"/>
        <w:bottom w:val="none" w:sz="0" w:space="0" w:color="auto"/>
        <w:right w:val="none" w:sz="0" w:space="0" w:color="auto"/>
      </w:divBdr>
    </w:div>
    <w:div w:id="1682857264">
      <w:marLeft w:val="0"/>
      <w:marRight w:val="0"/>
      <w:marTop w:val="0"/>
      <w:marBottom w:val="0"/>
      <w:divBdr>
        <w:top w:val="none" w:sz="0" w:space="0" w:color="auto"/>
        <w:left w:val="none" w:sz="0" w:space="0" w:color="auto"/>
        <w:bottom w:val="none" w:sz="0" w:space="0" w:color="auto"/>
        <w:right w:val="none" w:sz="0" w:space="0" w:color="auto"/>
      </w:divBdr>
    </w:div>
    <w:div w:id="1682857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1289</Words>
  <Characters>7348</Characters>
  <Application>Microsoft Office Word</Application>
  <DocSecurity>0</DocSecurity>
  <Lines>61</Lines>
  <Paragraphs>17</Paragraphs>
  <ScaleCrop>false</ScaleCrop>
  <Company>TRT. Ltd. Co.</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181</cp:revision>
  <cp:lastPrinted>2019-10-16T13:57:00Z</cp:lastPrinted>
  <dcterms:created xsi:type="dcterms:W3CDTF">2012-11-28T02:28:00Z</dcterms:created>
  <dcterms:modified xsi:type="dcterms:W3CDTF">2019-10-16T13:57:00Z</dcterms:modified>
</cp:coreProperties>
</file>