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易方达科顺定期开放灵活配置混合型证券投资基金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83D7E" w:rsidRDefault="00697E68">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83D7E" w:rsidRDefault="00697E68">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83D7E" w:rsidRDefault="00697E68">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A83D7E" w:rsidRDefault="00697E68">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83D7E" w:rsidRDefault="00697E68">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易方达科顺定开混合（</w:t>
            </w:r>
            <w:r w:rsidRPr="00232B03">
              <w:rPr>
                <w:color w:val="000000"/>
                <w:kern w:val="0"/>
                <w:sz w:val="24"/>
                <w:szCs w:val="24"/>
              </w:rPr>
              <w:t>LOF</w:t>
            </w:r>
            <w:r w:rsidRPr="00232B03">
              <w:rPr>
                <w:color w:val="000000"/>
                <w:kern w:val="0"/>
                <w:sz w:val="24"/>
                <w:szCs w:val="24"/>
              </w:rPr>
              <w:t>）</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易基科顺</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161132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161132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10</w:t>
            </w:r>
            <w:r w:rsidRPr="00232B03">
              <w:rPr>
                <w:color w:val="000000"/>
                <w:kern w:val="0"/>
                <w:sz w:val="24"/>
                <w:szCs w:val="24"/>
              </w:rPr>
              <w:t>月</w:t>
            </w:r>
            <w:r w:rsidRPr="00232B03">
              <w:rPr>
                <w:color w:val="000000"/>
                <w:kern w:val="0"/>
                <w:sz w:val="24"/>
                <w:szCs w:val="24"/>
              </w:rPr>
              <w:t>26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291,673,051.53</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本基金在控制风险的前提下，追求基金资产的稳健增值。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本基金基于定量与定性相结合的宏观及市场分析，确定组合中股票、债券等资产类别的配置比例。股票投资方面，本基金将通过分析行业景气度及竞争格局，对各行业的投资价值进行综合评估后确定并</w:t>
            </w:r>
            <w:r w:rsidRPr="00232B03">
              <w:rPr>
                <w:color w:val="000000"/>
                <w:kern w:val="0"/>
                <w:sz w:val="24"/>
                <w:szCs w:val="24"/>
              </w:rPr>
              <w:lastRenderedPageBreak/>
              <w:t>动态调整行业配置比例；在行业配置基础上，本基金将根据公司基本面和估值水平分析，进行股票组合的构建与调整。债券投资方面，本基金将主要通过类属配置与券种选择两个层次进行投资管理。</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w:t>
            </w:r>
            <w:r w:rsidRPr="00232B03">
              <w:rPr>
                <w:color w:val="000000"/>
                <w:kern w:val="0"/>
                <w:sz w:val="24"/>
                <w:szCs w:val="24"/>
              </w:rPr>
              <w:t>800</w:t>
            </w:r>
            <w:r w:rsidRPr="00232B03">
              <w:rPr>
                <w:color w:val="000000"/>
                <w:kern w:val="0"/>
                <w:sz w:val="24"/>
                <w:szCs w:val="24"/>
              </w:rPr>
              <w:t>指数收益率</w:t>
            </w:r>
            <w:r w:rsidRPr="00232B03">
              <w:rPr>
                <w:color w:val="000000"/>
                <w:kern w:val="0"/>
                <w:sz w:val="24"/>
                <w:szCs w:val="24"/>
              </w:rPr>
              <w:t>×40%+</w:t>
            </w:r>
            <w:r w:rsidRPr="00232B03">
              <w:rPr>
                <w:color w:val="000000"/>
                <w:kern w:val="0"/>
                <w:sz w:val="24"/>
                <w:szCs w:val="24"/>
              </w:rPr>
              <w:t>中证港股通综合指数收益率</w:t>
            </w:r>
            <w:r w:rsidRPr="00232B03">
              <w:rPr>
                <w:color w:val="000000"/>
                <w:kern w:val="0"/>
                <w:sz w:val="24"/>
                <w:szCs w:val="24"/>
              </w:rPr>
              <w:t>×20%+</w:t>
            </w:r>
            <w:r w:rsidRPr="00232B03">
              <w:rPr>
                <w:color w:val="000000"/>
                <w:kern w:val="0"/>
                <w:sz w:val="24"/>
                <w:szCs w:val="24"/>
              </w:rPr>
              <w:t>中债总指数收益率</w:t>
            </w:r>
            <w:r w:rsidRPr="00232B03">
              <w:rPr>
                <w:color w:val="000000"/>
                <w:kern w:val="0"/>
                <w:sz w:val="24"/>
                <w:szCs w:val="24"/>
              </w:rPr>
              <w:t>×40%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7,002,588.72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18,090,839.78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0.0620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359,427,402.92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1.2323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83D7E" w:rsidRDefault="00697E68">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83D7E">
        <w:tc>
          <w:tcPr>
            <w:tcW w:w="1395" w:type="dxa"/>
            <w:vAlign w:val="center"/>
          </w:tcPr>
          <w:p w:rsidR="00A83D7E" w:rsidRDefault="00697E68">
            <w:pPr>
              <w:jc w:val="left"/>
            </w:pPr>
            <w:r>
              <w:rPr>
                <w:color w:val="000000"/>
                <w:kern w:val="0"/>
                <w:sz w:val="24"/>
                <w:szCs w:val="24"/>
              </w:rPr>
              <w:t>过去三个月</w:t>
            </w:r>
          </w:p>
        </w:tc>
        <w:tc>
          <w:tcPr>
            <w:tcW w:w="1092" w:type="dxa"/>
            <w:vAlign w:val="center"/>
          </w:tcPr>
          <w:p w:rsidR="00A83D7E" w:rsidRDefault="00697E68">
            <w:pPr>
              <w:jc w:val="center"/>
            </w:pPr>
            <w:r>
              <w:rPr>
                <w:color w:val="000000"/>
                <w:kern w:val="0"/>
                <w:sz w:val="24"/>
                <w:szCs w:val="24"/>
              </w:rPr>
              <w:t>5.30%</w:t>
            </w:r>
          </w:p>
        </w:tc>
        <w:tc>
          <w:tcPr>
            <w:tcW w:w="1161" w:type="dxa"/>
            <w:vAlign w:val="center"/>
          </w:tcPr>
          <w:p w:rsidR="00A83D7E" w:rsidRDefault="00697E68">
            <w:pPr>
              <w:jc w:val="center"/>
            </w:pPr>
            <w:r>
              <w:rPr>
                <w:color w:val="000000"/>
                <w:kern w:val="0"/>
                <w:sz w:val="24"/>
                <w:szCs w:val="24"/>
              </w:rPr>
              <w:t>0.97%</w:t>
            </w:r>
          </w:p>
        </w:tc>
        <w:tc>
          <w:tcPr>
            <w:tcW w:w="1181" w:type="dxa"/>
            <w:vAlign w:val="center"/>
          </w:tcPr>
          <w:p w:rsidR="00A83D7E" w:rsidRDefault="00697E68">
            <w:pPr>
              <w:jc w:val="center"/>
            </w:pPr>
            <w:r>
              <w:rPr>
                <w:color w:val="000000"/>
                <w:kern w:val="0"/>
                <w:sz w:val="24"/>
                <w:szCs w:val="24"/>
              </w:rPr>
              <w:t>-0.74%</w:t>
            </w:r>
          </w:p>
        </w:tc>
        <w:tc>
          <w:tcPr>
            <w:tcW w:w="1188" w:type="dxa"/>
            <w:vAlign w:val="center"/>
          </w:tcPr>
          <w:p w:rsidR="00A83D7E" w:rsidRDefault="00697E68">
            <w:pPr>
              <w:jc w:val="center"/>
            </w:pPr>
            <w:r>
              <w:rPr>
                <w:color w:val="000000"/>
                <w:kern w:val="0"/>
                <w:sz w:val="24"/>
                <w:szCs w:val="24"/>
              </w:rPr>
              <w:t>0.51%</w:t>
            </w:r>
          </w:p>
        </w:tc>
        <w:tc>
          <w:tcPr>
            <w:tcW w:w="1199" w:type="dxa"/>
            <w:vAlign w:val="center"/>
          </w:tcPr>
          <w:p w:rsidR="00A83D7E" w:rsidRDefault="00697E68">
            <w:pPr>
              <w:jc w:val="center"/>
            </w:pPr>
            <w:r>
              <w:rPr>
                <w:color w:val="000000"/>
                <w:kern w:val="0"/>
                <w:sz w:val="24"/>
                <w:szCs w:val="24"/>
              </w:rPr>
              <w:t>6.04%</w:t>
            </w:r>
          </w:p>
        </w:tc>
        <w:tc>
          <w:tcPr>
            <w:tcW w:w="1204" w:type="dxa"/>
            <w:vAlign w:val="center"/>
          </w:tcPr>
          <w:p w:rsidR="00A83D7E" w:rsidRDefault="00697E68">
            <w:pPr>
              <w:jc w:val="center"/>
            </w:pPr>
            <w:r>
              <w:rPr>
                <w:color w:val="000000"/>
                <w:kern w:val="0"/>
                <w:sz w:val="24"/>
                <w:szCs w:val="24"/>
              </w:rPr>
              <w:t>0.46%</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易方达科顺定期开放灵活配置混合型证券投资基金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10</w:t>
      </w:r>
      <w:r w:rsidRPr="0074694E">
        <w:rPr>
          <w:rFonts w:ascii="Times New Roman" w:hAnsi="Times New Roman"/>
          <w:sz w:val="24"/>
          <w:szCs w:val="24"/>
        </w:rPr>
        <w:t>月</w:t>
      </w:r>
      <w:r w:rsidRPr="0074694E">
        <w:rPr>
          <w:rFonts w:ascii="Times New Roman" w:hAnsi="Times New Roman"/>
          <w:sz w:val="24"/>
          <w:szCs w:val="24"/>
        </w:rPr>
        <w:t>26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97E68"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A83D7E" w:rsidRDefault="00697E6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2018</w:t>
      </w:r>
      <w:r>
        <w:rPr>
          <w:color w:val="000000"/>
          <w:sz w:val="24"/>
          <w:szCs w:val="24"/>
        </w:rPr>
        <w:t>年</w:t>
      </w:r>
      <w:r>
        <w:rPr>
          <w:color w:val="000000"/>
          <w:sz w:val="24"/>
          <w:szCs w:val="24"/>
        </w:rPr>
        <w:t>10</w:t>
      </w:r>
      <w:r>
        <w:rPr>
          <w:color w:val="000000"/>
          <w:sz w:val="24"/>
          <w:szCs w:val="24"/>
        </w:rPr>
        <w:t>月</w:t>
      </w:r>
      <w:r>
        <w:rPr>
          <w:color w:val="000000"/>
          <w:sz w:val="24"/>
          <w:szCs w:val="24"/>
        </w:rPr>
        <w:t>26</w:t>
      </w:r>
      <w:r>
        <w:rPr>
          <w:color w:val="000000"/>
          <w:sz w:val="24"/>
          <w:szCs w:val="24"/>
        </w:rPr>
        <w:t>日生效</w:t>
      </w:r>
      <w:r>
        <w:rPr>
          <w:color w:val="000000"/>
          <w:sz w:val="24"/>
          <w:szCs w:val="24"/>
        </w:rPr>
        <w:t>,</w:t>
      </w:r>
      <w:r>
        <w:rPr>
          <w:color w:val="000000"/>
          <w:sz w:val="24"/>
          <w:szCs w:val="24"/>
        </w:rPr>
        <w:t>截至报告期末本基金合同生效未满一年。</w:t>
      </w:r>
    </w:p>
    <w:p w:rsidR="00A83D7E" w:rsidRDefault="00697E68">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按基金合同和招募说明书的约定，本基金的建仓期为六个月，建仓期结束时各项资产配置比例符合基金合同（第十三部分二、投资范围，三、投资策略和四、投资限制）的有关约定。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自基金合同生效至报告期末，基金份额净值增长率为</w:t>
      </w:r>
      <w:r w:rsidRPr="006C56AA">
        <w:rPr>
          <w:color w:val="000000"/>
          <w:sz w:val="24"/>
          <w:szCs w:val="24"/>
        </w:rPr>
        <w:t>23.23%</w:t>
      </w:r>
      <w:r w:rsidRPr="006C56AA">
        <w:rPr>
          <w:color w:val="000000"/>
          <w:sz w:val="24"/>
          <w:szCs w:val="24"/>
        </w:rPr>
        <w:t>，同期业绩比较基准收益率为</w:t>
      </w:r>
      <w:r w:rsidRPr="006C56AA">
        <w:rPr>
          <w:color w:val="000000"/>
          <w:sz w:val="24"/>
          <w:szCs w:val="24"/>
        </w:rPr>
        <w:t>10.28%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83D7E">
        <w:tc>
          <w:tcPr>
            <w:tcW w:w="567" w:type="dxa"/>
            <w:vAlign w:val="center"/>
          </w:tcPr>
          <w:p w:rsidR="00A83D7E" w:rsidRDefault="00697E68">
            <w:pPr>
              <w:jc w:val="center"/>
            </w:pPr>
            <w:r>
              <w:rPr>
                <w:color w:val="000000"/>
                <w:sz w:val="24"/>
              </w:rPr>
              <w:t>萧楠</w:t>
            </w:r>
          </w:p>
        </w:tc>
        <w:tc>
          <w:tcPr>
            <w:tcW w:w="2835" w:type="dxa"/>
            <w:vAlign w:val="center"/>
          </w:tcPr>
          <w:p w:rsidR="00A83D7E" w:rsidRDefault="00697E68">
            <w:pPr>
              <w:jc w:val="center"/>
            </w:pPr>
            <w:r>
              <w:rPr>
                <w:color w:val="000000"/>
                <w:sz w:val="24"/>
              </w:rPr>
              <w:t>本基金的基金经理、易方达消费行业股票型证券投资基金的基金经理、易方达现代服务业灵活配置混合型证券投资基金的基金经理、易方达瑞恒灵活配置混合型证券投资基金的基金经理、易方达大健康主题灵活配置混合型证券投资基金的基金经理、投资三部总经理、研究部副总经理、投资经理</w:t>
            </w:r>
          </w:p>
        </w:tc>
        <w:tc>
          <w:tcPr>
            <w:tcW w:w="851" w:type="dxa"/>
            <w:vAlign w:val="center"/>
          </w:tcPr>
          <w:p w:rsidR="00A83D7E" w:rsidRDefault="00697E68">
            <w:pPr>
              <w:jc w:val="center"/>
            </w:pPr>
            <w:r>
              <w:rPr>
                <w:color w:val="000000"/>
                <w:sz w:val="24"/>
              </w:rPr>
              <w:t>2018-10-26</w:t>
            </w:r>
          </w:p>
        </w:tc>
        <w:tc>
          <w:tcPr>
            <w:tcW w:w="850" w:type="dxa"/>
            <w:vAlign w:val="center"/>
          </w:tcPr>
          <w:p w:rsidR="00A83D7E" w:rsidRDefault="00697E68">
            <w:pPr>
              <w:jc w:val="center"/>
            </w:pPr>
            <w:r>
              <w:rPr>
                <w:color w:val="000000"/>
                <w:sz w:val="24"/>
              </w:rPr>
              <w:t>-</w:t>
            </w:r>
          </w:p>
        </w:tc>
        <w:tc>
          <w:tcPr>
            <w:tcW w:w="851" w:type="dxa"/>
            <w:vAlign w:val="center"/>
          </w:tcPr>
          <w:p w:rsidR="00A83D7E" w:rsidRDefault="00697E68">
            <w:pPr>
              <w:jc w:val="center"/>
            </w:pPr>
            <w:r>
              <w:rPr>
                <w:color w:val="000000"/>
                <w:sz w:val="24"/>
              </w:rPr>
              <w:t>13</w:t>
            </w:r>
            <w:r>
              <w:rPr>
                <w:color w:val="000000"/>
                <w:sz w:val="24"/>
              </w:rPr>
              <w:t>年</w:t>
            </w:r>
          </w:p>
        </w:tc>
        <w:tc>
          <w:tcPr>
            <w:tcW w:w="2977" w:type="dxa"/>
            <w:vAlign w:val="center"/>
          </w:tcPr>
          <w:p w:rsidR="00A83D7E" w:rsidRDefault="00697E68">
            <w:r>
              <w:rPr>
                <w:color w:val="000000"/>
                <w:sz w:val="24"/>
              </w:rPr>
              <w:t>硕士研究生，曾任易方达基金管理有限公司研究部行业研究员、基金投资部基金经理助理、易方达裕如灵活配置混合型证券投资基金基金经理、易方达新享灵活配置混合型证券投资基金基金经理、易方达瑞和灵活配置混合型证券投资基金基金经理、</w:t>
            </w:r>
            <w:r>
              <w:rPr>
                <w:color w:val="000000"/>
                <w:sz w:val="24"/>
              </w:rPr>
              <w:t>易方达价值成长混合型证券投资基金基金经理助理。</w:t>
            </w:r>
          </w:p>
        </w:tc>
      </w:tr>
    </w:tbl>
    <w:p w:rsidR="00A83D7E" w:rsidRDefault="00697E6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83D7E" w:rsidRDefault="00697E68">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83D7E" w:rsidRDefault="00697E68">
      <w:pPr>
        <w:spacing w:line="360" w:lineRule="auto"/>
        <w:ind w:firstLineChars="200" w:firstLine="480"/>
        <w:rPr>
          <w:color w:val="000000"/>
          <w:sz w:val="24"/>
          <w:szCs w:val="24"/>
        </w:rPr>
      </w:pPr>
      <w:r>
        <w:rPr>
          <w:color w:val="000000"/>
          <w:sz w:val="24"/>
          <w:szCs w:val="24"/>
        </w:rPr>
        <w:t>2019</w:t>
      </w:r>
      <w:r>
        <w:rPr>
          <w:color w:val="000000"/>
          <w:sz w:val="24"/>
          <w:szCs w:val="24"/>
        </w:rPr>
        <w:t>年三季度，</w:t>
      </w:r>
      <w:r>
        <w:rPr>
          <w:color w:val="000000"/>
          <w:sz w:val="24"/>
          <w:szCs w:val="24"/>
        </w:rPr>
        <w:t>A</w:t>
      </w:r>
      <w:r>
        <w:rPr>
          <w:color w:val="000000"/>
          <w:sz w:val="24"/>
          <w:szCs w:val="24"/>
        </w:rPr>
        <w:t>股风险偏好快速上升，新的题材热点不断涌现。三季度上证综指跌</w:t>
      </w:r>
      <w:r>
        <w:rPr>
          <w:color w:val="000000"/>
          <w:sz w:val="24"/>
          <w:szCs w:val="24"/>
        </w:rPr>
        <w:t>2.47%</w:t>
      </w:r>
      <w:r>
        <w:rPr>
          <w:color w:val="000000"/>
          <w:sz w:val="24"/>
          <w:szCs w:val="24"/>
        </w:rPr>
        <w:t>，代表大盘风格的上证</w:t>
      </w:r>
      <w:r>
        <w:rPr>
          <w:color w:val="000000"/>
          <w:sz w:val="24"/>
          <w:szCs w:val="24"/>
        </w:rPr>
        <w:t>50</w:t>
      </w:r>
      <w:r>
        <w:rPr>
          <w:color w:val="000000"/>
          <w:sz w:val="24"/>
          <w:szCs w:val="24"/>
        </w:rPr>
        <w:t>指数跌</w:t>
      </w:r>
      <w:r>
        <w:rPr>
          <w:color w:val="000000"/>
          <w:sz w:val="24"/>
          <w:szCs w:val="24"/>
        </w:rPr>
        <w:t>1.12%</w:t>
      </w:r>
      <w:r>
        <w:rPr>
          <w:color w:val="000000"/>
          <w:sz w:val="24"/>
          <w:szCs w:val="24"/>
        </w:rPr>
        <w:t>，创业板涨</w:t>
      </w:r>
      <w:r>
        <w:rPr>
          <w:color w:val="000000"/>
          <w:sz w:val="24"/>
          <w:szCs w:val="24"/>
        </w:rPr>
        <w:t>7.68%</w:t>
      </w:r>
      <w:r>
        <w:rPr>
          <w:color w:val="000000"/>
          <w:sz w:val="24"/>
          <w:szCs w:val="24"/>
        </w:rPr>
        <w:t>，恒生指数跌</w:t>
      </w:r>
      <w:r>
        <w:rPr>
          <w:color w:val="000000"/>
          <w:sz w:val="24"/>
          <w:szCs w:val="24"/>
        </w:rPr>
        <w:t>8.58%</w:t>
      </w:r>
      <w:r>
        <w:rPr>
          <w:color w:val="000000"/>
          <w:sz w:val="24"/>
          <w:szCs w:val="24"/>
        </w:rPr>
        <w:t>。</w:t>
      </w:r>
      <w:r>
        <w:rPr>
          <w:color w:val="000000"/>
          <w:sz w:val="24"/>
          <w:szCs w:val="24"/>
        </w:rPr>
        <w:t>A</w:t>
      </w:r>
      <w:r>
        <w:rPr>
          <w:color w:val="000000"/>
          <w:sz w:val="24"/>
          <w:szCs w:val="24"/>
        </w:rPr>
        <w:t>股风险偏好快速上升，但港股则受到外部环境冲击较大，不少龙头股票进入调整期。</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三季度我们进一步加大了对港股相关公司的配置，主要是食品饮料、纺织服装等板块配置，思路仍然是寻找有独特竞争力的公司。目前本产品建仓已经基本完成，未来会根据各公司基本面的变化进一步调整。</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1.2323</w:t>
      </w:r>
      <w:r w:rsidRPr="006C56AA">
        <w:rPr>
          <w:color w:val="000000"/>
          <w:sz w:val="24"/>
          <w:szCs w:val="24"/>
        </w:rPr>
        <w:t>元，本报告期份额净值增长率为</w:t>
      </w:r>
      <w:r w:rsidRPr="006C56AA">
        <w:rPr>
          <w:color w:val="000000"/>
          <w:sz w:val="24"/>
          <w:szCs w:val="24"/>
        </w:rPr>
        <w:t>5.30%</w:t>
      </w:r>
      <w:r w:rsidRPr="006C56AA">
        <w:rPr>
          <w:color w:val="000000"/>
          <w:sz w:val="24"/>
          <w:szCs w:val="24"/>
        </w:rPr>
        <w:t>，同期业绩比较基准收益率为</w:t>
      </w:r>
      <w:r w:rsidRPr="006C56AA">
        <w:rPr>
          <w:color w:val="000000"/>
          <w:sz w:val="24"/>
          <w:szCs w:val="24"/>
        </w:rPr>
        <w:t>-0.74%</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284,120,646.11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78.89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284,120,646.11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78.89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10,583,413.40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10,583,413.40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2.94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65,094,171.61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18.07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365,033.01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360,163,264.13</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注：本基金本报告期末通过港股通交易机制投资的港股市值为</w:t>
      </w:r>
      <w:r w:rsidRPr="006C56AA">
        <w:rPr>
          <w:color w:val="000000"/>
          <w:sz w:val="24"/>
          <w:szCs w:val="24"/>
        </w:rPr>
        <w:t>44,463,338.18</w:t>
      </w:r>
      <w:r w:rsidRPr="006C56AA">
        <w:rPr>
          <w:color w:val="000000"/>
          <w:sz w:val="24"/>
          <w:szCs w:val="24"/>
        </w:rPr>
        <w:t>元，占净值比例</w:t>
      </w:r>
      <w:r w:rsidRPr="006C56AA">
        <w:rPr>
          <w:color w:val="000000"/>
          <w:sz w:val="24"/>
          <w:szCs w:val="24"/>
        </w:rPr>
        <w:t>12.37%</w:t>
      </w:r>
      <w:r w:rsidRPr="006C56AA">
        <w:rPr>
          <w:color w:val="000000"/>
          <w:sz w:val="24"/>
          <w:szCs w:val="24"/>
        </w:rPr>
        <w:t>。</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6,127.03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0.00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208,302,410.46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57.95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10,509,758.00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6,709,498.00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434,672.24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13,694,842.20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239,657,307.93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66.68</w:t>
            </w:r>
          </w:p>
        </w:tc>
      </w:tr>
    </w:tbl>
    <w:p w:rsidR="008C2A4F" w:rsidRPr="008C2A4F" w:rsidRDefault="008C2A4F" w:rsidP="008C2A4F">
      <w:pPr>
        <w:jc w:val="left"/>
        <w:rPr>
          <w:rFonts w:eastAsiaTheme="minorEastAsia"/>
          <w:b/>
          <w:bCs/>
          <w:color w:val="000000" w:themeColor="text1"/>
          <w:kern w:val="0"/>
          <w:sz w:val="24"/>
          <w:szCs w:val="24"/>
        </w:rPr>
      </w:pPr>
      <w:r w:rsidRPr="008C2A4F">
        <w:rPr>
          <w:rFonts w:eastAsiaTheme="minorEastAsia"/>
          <w:b/>
          <w:bCs/>
          <w:color w:val="000000" w:themeColor="text1"/>
          <w:kern w:val="0"/>
          <w:sz w:val="24"/>
          <w:szCs w:val="24"/>
        </w:rPr>
        <w:t xml:space="preserve"> 5.2.2</w:t>
      </w:r>
      <w:r w:rsidR="00B912D0">
        <w:rPr>
          <w:rFonts w:eastAsiaTheme="minorEastAsia"/>
          <w:b/>
          <w:bCs/>
          <w:color w:val="000000" w:themeColor="text1"/>
          <w:kern w:val="0"/>
          <w:sz w:val="24"/>
          <w:szCs w:val="24"/>
        </w:rPr>
        <w:t>报告期末按行业分类的</w:t>
      </w:r>
      <w:r w:rsidR="00B912D0">
        <w:rPr>
          <w:rFonts w:eastAsiaTheme="minorEastAsia" w:hint="eastAsia"/>
          <w:b/>
          <w:bCs/>
          <w:color w:val="000000" w:themeColor="text1"/>
          <w:kern w:val="0"/>
          <w:sz w:val="24"/>
          <w:szCs w:val="24"/>
        </w:rPr>
        <w:t>港股通</w:t>
      </w:r>
      <w:r w:rsidRPr="008C2A4F">
        <w:rPr>
          <w:rFonts w:eastAsiaTheme="minorEastAsia"/>
          <w:b/>
          <w:bCs/>
          <w:color w:val="000000" w:themeColor="text1"/>
          <w:kern w:val="0"/>
          <w:sz w:val="24"/>
          <w:szCs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3119"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公允价值（人民币）</w:t>
            </w:r>
          </w:p>
        </w:tc>
        <w:tc>
          <w:tcPr>
            <w:tcW w:w="3118"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r w:rsidRPr="008C2A4F">
              <w:rPr>
                <w:rFonts w:eastAsiaTheme="minorEastAsia"/>
                <w:color w:val="000000" w:themeColor="text1"/>
                <w:kern w:val="0"/>
                <w:sz w:val="24"/>
                <w:szCs w:val="24"/>
              </w:rPr>
              <w:t>%</w:t>
            </w:r>
            <w:r w:rsidRPr="008C2A4F">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能源</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材料</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工业</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非必需消费品</w:t>
            </w:r>
          </w:p>
        </w:tc>
        <w:tc>
          <w:tcPr>
            <w:tcW w:w="3119" w:type="dxa"/>
            <w:vAlign w:val="center"/>
          </w:tcPr>
          <w:p w:rsidR="00A83D7E" w:rsidRDefault="00697E68">
            <w:pPr>
              <w:jc w:val="center"/>
            </w:pPr>
            <w:r>
              <w:rPr>
                <w:rFonts w:eastAsiaTheme="minorEastAsia"/>
                <w:color w:val="000000" w:themeColor="text1"/>
                <w:kern w:val="0"/>
                <w:sz w:val="24"/>
                <w:szCs w:val="24"/>
              </w:rPr>
              <w:t>16,321,690.55</w:t>
            </w:r>
          </w:p>
        </w:tc>
        <w:tc>
          <w:tcPr>
            <w:tcW w:w="3118" w:type="dxa"/>
            <w:vAlign w:val="center"/>
          </w:tcPr>
          <w:p w:rsidR="00A83D7E" w:rsidRDefault="00697E68">
            <w:pPr>
              <w:jc w:val="center"/>
            </w:pPr>
            <w:r>
              <w:rPr>
                <w:rFonts w:eastAsiaTheme="minorEastAsia"/>
                <w:color w:val="000000" w:themeColor="text1"/>
                <w:kern w:val="0"/>
                <w:sz w:val="24"/>
                <w:szCs w:val="24"/>
              </w:rPr>
              <w:t>4.54</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必需消费品</w:t>
            </w:r>
          </w:p>
        </w:tc>
        <w:tc>
          <w:tcPr>
            <w:tcW w:w="3119" w:type="dxa"/>
            <w:vAlign w:val="center"/>
          </w:tcPr>
          <w:p w:rsidR="00A83D7E" w:rsidRDefault="00697E68">
            <w:pPr>
              <w:jc w:val="center"/>
            </w:pPr>
            <w:r>
              <w:rPr>
                <w:rFonts w:eastAsiaTheme="minorEastAsia"/>
                <w:color w:val="000000" w:themeColor="text1"/>
                <w:kern w:val="0"/>
                <w:sz w:val="24"/>
                <w:szCs w:val="24"/>
              </w:rPr>
              <w:t>12,217,996.05</w:t>
            </w:r>
          </w:p>
        </w:tc>
        <w:tc>
          <w:tcPr>
            <w:tcW w:w="3118" w:type="dxa"/>
            <w:vAlign w:val="center"/>
          </w:tcPr>
          <w:p w:rsidR="00A83D7E" w:rsidRDefault="00697E68">
            <w:pPr>
              <w:jc w:val="center"/>
            </w:pPr>
            <w:r>
              <w:rPr>
                <w:rFonts w:eastAsiaTheme="minorEastAsia"/>
                <w:color w:val="000000" w:themeColor="text1"/>
                <w:kern w:val="0"/>
                <w:sz w:val="24"/>
                <w:szCs w:val="24"/>
              </w:rPr>
              <w:t>3.40</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保健</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金融</w:t>
            </w:r>
          </w:p>
        </w:tc>
        <w:tc>
          <w:tcPr>
            <w:tcW w:w="3119" w:type="dxa"/>
            <w:vAlign w:val="center"/>
          </w:tcPr>
          <w:p w:rsidR="00A83D7E" w:rsidRDefault="00697E68">
            <w:pPr>
              <w:jc w:val="center"/>
            </w:pPr>
            <w:r>
              <w:rPr>
                <w:rFonts w:eastAsiaTheme="minorEastAsia"/>
                <w:color w:val="000000" w:themeColor="text1"/>
                <w:kern w:val="0"/>
                <w:sz w:val="24"/>
                <w:szCs w:val="24"/>
              </w:rPr>
              <w:t>15,923,651.58</w:t>
            </w:r>
          </w:p>
        </w:tc>
        <w:tc>
          <w:tcPr>
            <w:tcW w:w="3118" w:type="dxa"/>
            <w:vAlign w:val="center"/>
          </w:tcPr>
          <w:p w:rsidR="00A83D7E" w:rsidRDefault="00697E68">
            <w:pPr>
              <w:jc w:val="center"/>
            </w:pPr>
            <w:r>
              <w:rPr>
                <w:rFonts w:eastAsiaTheme="minorEastAsia"/>
                <w:color w:val="000000" w:themeColor="text1"/>
                <w:kern w:val="0"/>
                <w:sz w:val="24"/>
                <w:szCs w:val="24"/>
              </w:rPr>
              <w:t>4.43</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信息技术</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电信服务</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公用事业</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A83D7E">
        <w:trPr>
          <w:jc w:val="center"/>
        </w:trPr>
        <w:tc>
          <w:tcPr>
            <w:tcW w:w="2397" w:type="dxa"/>
            <w:vAlign w:val="center"/>
          </w:tcPr>
          <w:p w:rsidR="00A83D7E" w:rsidRDefault="00697E68">
            <w:pPr>
              <w:jc w:val="center"/>
            </w:pPr>
            <w:r>
              <w:rPr>
                <w:rFonts w:eastAsiaTheme="minorEastAsia"/>
                <w:color w:val="000000" w:themeColor="text1"/>
                <w:kern w:val="0"/>
                <w:sz w:val="24"/>
                <w:szCs w:val="24"/>
              </w:rPr>
              <w:t>房地产</w:t>
            </w:r>
          </w:p>
        </w:tc>
        <w:tc>
          <w:tcPr>
            <w:tcW w:w="3119" w:type="dxa"/>
            <w:vAlign w:val="center"/>
          </w:tcPr>
          <w:p w:rsidR="00A83D7E" w:rsidRDefault="00697E68">
            <w:pPr>
              <w:jc w:val="center"/>
            </w:pPr>
            <w:r>
              <w:rPr>
                <w:rFonts w:eastAsiaTheme="minorEastAsia"/>
                <w:color w:val="000000" w:themeColor="text1"/>
                <w:kern w:val="0"/>
                <w:sz w:val="24"/>
                <w:szCs w:val="24"/>
              </w:rPr>
              <w:t>-</w:t>
            </w:r>
          </w:p>
        </w:tc>
        <w:tc>
          <w:tcPr>
            <w:tcW w:w="3118" w:type="dxa"/>
            <w:vAlign w:val="center"/>
          </w:tcPr>
          <w:p w:rsidR="00A83D7E" w:rsidRDefault="00697E68">
            <w:pPr>
              <w:jc w:val="center"/>
            </w:pPr>
            <w:r>
              <w:rPr>
                <w:rFonts w:eastAsiaTheme="minorEastAsia"/>
                <w:color w:val="000000" w:themeColor="text1"/>
                <w:kern w:val="0"/>
                <w:sz w:val="24"/>
                <w:szCs w:val="24"/>
              </w:rPr>
              <w:t>-</w:t>
            </w:r>
          </w:p>
        </w:tc>
      </w:tr>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3119"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44,463,338.18</w:t>
            </w:r>
          </w:p>
        </w:tc>
        <w:tc>
          <w:tcPr>
            <w:tcW w:w="3118"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12.37</w:t>
            </w:r>
          </w:p>
        </w:tc>
      </w:tr>
    </w:tbl>
    <w:p w:rsidR="00750D48" w:rsidRPr="008C2A4F" w:rsidRDefault="008C2A4F" w:rsidP="008C2A4F">
      <w:pPr>
        <w:spacing w:line="360" w:lineRule="auto"/>
        <w:ind w:firstLineChars="200" w:firstLine="480"/>
        <w:rPr>
          <w:color w:val="000000"/>
          <w:sz w:val="24"/>
          <w:szCs w:val="24"/>
        </w:rPr>
      </w:pPr>
      <w:r w:rsidRPr="00403A06">
        <w:rPr>
          <w:color w:val="000000"/>
          <w:sz w:val="24"/>
          <w:szCs w:val="24"/>
        </w:rPr>
        <w:t>注：以上分类采用全球行业分类标准（</w:t>
      </w:r>
      <w:r w:rsidRPr="00403A06">
        <w:rPr>
          <w:color w:val="000000"/>
          <w:sz w:val="24"/>
          <w:szCs w:val="24"/>
        </w:rPr>
        <w:t>GICS</w:t>
      </w:r>
      <w:r w:rsidRPr="00403A06">
        <w:rPr>
          <w:color w:val="000000"/>
          <w:sz w:val="24"/>
          <w:szCs w:val="24"/>
        </w:rPr>
        <w:t>）。</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83D7E">
        <w:tc>
          <w:tcPr>
            <w:tcW w:w="851" w:type="dxa"/>
            <w:vAlign w:val="center"/>
          </w:tcPr>
          <w:p w:rsidR="00A83D7E" w:rsidRDefault="00697E68">
            <w:pPr>
              <w:jc w:val="center"/>
            </w:pPr>
            <w:r>
              <w:rPr>
                <w:color w:val="000000"/>
                <w:kern w:val="0"/>
                <w:sz w:val="24"/>
                <w:szCs w:val="24"/>
              </w:rPr>
              <w:t>1</w:t>
            </w:r>
          </w:p>
        </w:tc>
        <w:tc>
          <w:tcPr>
            <w:tcW w:w="1276" w:type="dxa"/>
            <w:vAlign w:val="center"/>
          </w:tcPr>
          <w:p w:rsidR="00A83D7E" w:rsidRDefault="00697E68">
            <w:pPr>
              <w:jc w:val="center"/>
            </w:pPr>
            <w:r>
              <w:rPr>
                <w:color w:val="000000"/>
                <w:kern w:val="0"/>
                <w:sz w:val="24"/>
                <w:szCs w:val="24"/>
              </w:rPr>
              <w:t>600519</w:t>
            </w:r>
          </w:p>
        </w:tc>
        <w:tc>
          <w:tcPr>
            <w:tcW w:w="1418" w:type="dxa"/>
            <w:vAlign w:val="center"/>
          </w:tcPr>
          <w:p w:rsidR="00A83D7E" w:rsidRDefault="00697E68">
            <w:pPr>
              <w:jc w:val="center"/>
            </w:pPr>
            <w:r>
              <w:rPr>
                <w:color w:val="000000"/>
                <w:kern w:val="0"/>
                <w:sz w:val="24"/>
                <w:szCs w:val="24"/>
              </w:rPr>
              <w:t>贵州茅台</w:t>
            </w:r>
          </w:p>
        </w:tc>
        <w:tc>
          <w:tcPr>
            <w:tcW w:w="1701" w:type="dxa"/>
            <w:vAlign w:val="center"/>
          </w:tcPr>
          <w:p w:rsidR="00A83D7E" w:rsidRDefault="00697E68">
            <w:pPr>
              <w:jc w:val="right"/>
            </w:pPr>
            <w:r>
              <w:rPr>
                <w:color w:val="000000"/>
                <w:kern w:val="0"/>
                <w:sz w:val="24"/>
                <w:szCs w:val="24"/>
              </w:rPr>
              <w:t>30,700</w:t>
            </w:r>
          </w:p>
        </w:tc>
        <w:tc>
          <w:tcPr>
            <w:tcW w:w="1984" w:type="dxa"/>
            <w:vAlign w:val="center"/>
          </w:tcPr>
          <w:p w:rsidR="00A83D7E" w:rsidRDefault="00697E68">
            <w:pPr>
              <w:jc w:val="right"/>
            </w:pPr>
            <w:r>
              <w:rPr>
                <w:color w:val="000000"/>
                <w:kern w:val="0"/>
                <w:sz w:val="24"/>
                <w:szCs w:val="24"/>
              </w:rPr>
              <w:t>35,305,000.00</w:t>
            </w:r>
          </w:p>
        </w:tc>
        <w:tc>
          <w:tcPr>
            <w:tcW w:w="1559" w:type="dxa"/>
            <w:vAlign w:val="center"/>
          </w:tcPr>
          <w:p w:rsidR="00A83D7E" w:rsidRDefault="00697E68">
            <w:pPr>
              <w:jc w:val="right"/>
            </w:pPr>
            <w:r>
              <w:rPr>
                <w:color w:val="000000"/>
                <w:kern w:val="0"/>
                <w:sz w:val="24"/>
                <w:szCs w:val="24"/>
              </w:rPr>
              <w:t>9.82</w:t>
            </w:r>
          </w:p>
        </w:tc>
      </w:tr>
      <w:tr w:rsidR="00A83D7E">
        <w:tc>
          <w:tcPr>
            <w:tcW w:w="851" w:type="dxa"/>
            <w:vAlign w:val="center"/>
          </w:tcPr>
          <w:p w:rsidR="00A83D7E" w:rsidRDefault="00697E68">
            <w:pPr>
              <w:jc w:val="center"/>
            </w:pPr>
            <w:r>
              <w:rPr>
                <w:color w:val="000000"/>
                <w:kern w:val="0"/>
                <w:sz w:val="24"/>
                <w:szCs w:val="24"/>
              </w:rPr>
              <w:t>2</w:t>
            </w:r>
          </w:p>
        </w:tc>
        <w:tc>
          <w:tcPr>
            <w:tcW w:w="1276" w:type="dxa"/>
            <w:vAlign w:val="center"/>
          </w:tcPr>
          <w:p w:rsidR="00A83D7E" w:rsidRDefault="00697E68">
            <w:pPr>
              <w:jc w:val="center"/>
            </w:pPr>
            <w:r>
              <w:rPr>
                <w:color w:val="000000"/>
                <w:kern w:val="0"/>
                <w:sz w:val="24"/>
                <w:szCs w:val="24"/>
              </w:rPr>
              <w:t>000858</w:t>
            </w:r>
          </w:p>
        </w:tc>
        <w:tc>
          <w:tcPr>
            <w:tcW w:w="1418" w:type="dxa"/>
            <w:vAlign w:val="center"/>
          </w:tcPr>
          <w:p w:rsidR="00A83D7E" w:rsidRDefault="00697E68">
            <w:pPr>
              <w:jc w:val="center"/>
            </w:pPr>
            <w:r>
              <w:rPr>
                <w:color w:val="000000"/>
                <w:kern w:val="0"/>
                <w:sz w:val="24"/>
                <w:szCs w:val="24"/>
              </w:rPr>
              <w:t>五粮液</w:t>
            </w:r>
          </w:p>
        </w:tc>
        <w:tc>
          <w:tcPr>
            <w:tcW w:w="1701" w:type="dxa"/>
            <w:vAlign w:val="center"/>
          </w:tcPr>
          <w:p w:rsidR="00A83D7E" w:rsidRDefault="00697E68">
            <w:pPr>
              <w:jc w:val="right"/>
            </w:pPr>
            <w:r>
              <w:rPr>
                <w:color w:val="000000"/>
                <w:kern w:val="0"/>
                <w:sz w:val="24"/>
                <w:szCs w:val="24"/>
              </w:rPr>
              <w:t>258,900</w:t>
            </w:r>
          </w:p>
        </w:tc>
        <w:tc>
          <w:tcPr>
            <w:tcW w:w="1984" w:type="dxa"/>
            <w:vAlign w:val="center"/>
          </w:tcPr>
          <w:p w:rsidR="00A83D7E" w:rsidRDefault="00697E68">
            <w:pPr>
              <w:jc w:val="right"/>
            </w:pPr>
            <w:r>
              <w:rPr>
                <w:color w:val="000000"/>
                <w:kern w:val="0"/>
                <w:sz w:val="24"/>
                <w:szCs w:val="24"/>
              </w:rPr>
              <w:t>33,605,220.00</w:t>
            </w:r>
          </w:p>
        </w:tc>
        <w:tc>
          <w:tcPr>
            <w:tcW w:w="1559" w:type="dxa"/>
            <w:vAlign w:val="center"/>
          </w:tcPr>
          <w:p w:rsidR="00A83D7E" w:rsidRDefault="00697E68">
            <w:pPr>
              <w:jc w:val="right"/>
            </w:pPr>
            <w:r>
              <w:rPr>
                <w:color w:val="000000"/>
                <w:kern w:val="0"/>
                <w:sz w:val="24"/>
                <w:szCs w:val="24"/>
              </w:rPr>
              <w:t>9.35</w:t>
            </w:r>
          </w:p>
        </w:tc>
      </w:tr>
      <w:tr w:rsidR="00A83D7E">
        <w:tc>
          <w:tcPr>
            <w:tcW w:w="851" w:type="dxa"/>
            <w:vAlign w:val="center"/>
          </w:tcPr>
          <w:p w:rsidR="00A83D7E" w:rsidRDefault="00697E68">
            <w:pPr>
              <w:jc w:val="center"/>
            </w:pPr>
            <w:r>
              <w:rPr>
                <w:color w:val="000000"/>
                <w:kern w:val="0"/>
                <w:sz w:val="24"/>
                <w:szCs w:val="24"/>
              </w:rPr>
              <w:t>3</w:t>
            </w:r>
          </w:p>
        </w:tc>
        <w:tc>
          <w:tcPr>
            <w:tcW w:w="1276" w:type="dxa"/>
            <w:vAlign w:val="center"/>
          </w:tcPr>
          <w:p w:rsidR="00A83D7E" w:rsidRDefault="00697E68">
            <w:pPr>
              <w:jc w:val="center"/>
            </w:pPr>
            <w:r>
              <w:rPr>
                <w:color w:val="000000"/>
                <w:kern w:val="0"/>
                <w:sz w:val="24"/>
                <w:szCs w:val="24"/>
              </w:rPr>
              <w:t>000860</w:t>
            </w:r>
          </w:p>
        </w:tc>
        <w:tc>
          <w:tcPr>
            <w:tcW w:w="1418" w:type="dxa"/>
            <w:vAlign w:val="center"/>
          </w:tcPr>
          <w:p w:rsidR="00A83D7E" w:rsidRDefault="00697E68">
            <w:pPr>
              <w:jc w:val="center"/>
            </w:pPr>
            <w:r>
              <w:rPr>
                <w:color w:val="000000"/>
                <w:kern w:val="0"/>
                <w:sz w:val="24"/>
                <w:szCs w:val="24"/>
              </w:rPr>
              <w:t>顺鑫农业</w:t>
            </w:r>
          </w:p>
        </w:tc>
        <w:tc>
          <w:tcPr>
            <w:tcW w:w="1701" w:type="dxa"/>
            <w:vAlign w:val="center"/>
          </w:tcPr>
          <w:p w:rsidR="00A83D7E" w:rsidRDefault="00697E68">
            <w:pPr>
              <w:jc w:val="right"/>
            </w:pPr>
            <w:r>
              <w:rPr>
                <w:color w:val="000000"/>
                <w:kern w:val="0"/>
                <w:sz w:val="24"/>
                <w:szCs w:val="24"/>
              </w:rPr>
              <w:t>633,318</w:t>
            </w:r>
          </w:p>
        </w:tc>
        <w:tc>
          <w:tcPr>
            <w:tcW w:w="1984" w:type="dxa"/>
            <w:vAlign w:val="center"/>
          </w:tcPr>
          <w:p w:rsidR="00A83D7E" w:rsidRDefault="00697E68">
            <w:pPr>
              <w:jc w:val="right"/>
            </w:pPr>
            <w:r>
              <w:rPr>
                <w:color w:val="000000"/>
                <w:kern w:val="0"/>
                <w:sz w:val="24"/>
                <w:szCs w:val="24"/>
              </w:rPr>
              <w:t>33,033,866.88</w:t>
            </w:r>
          </w:p>
        </w:tc>
        <w:tc>
          <w:tcPr>
            <w:tcW w:w="1559" w:type="dxa"/>
            <w:vAlign w:val="center"/>
          </w:tcPr>
          <w:p w:rsidR="00A83D7E" w:rsidRDefault="00697E68">
            <w:pPr>
              <w:jc w:val="right"/>
            </w:pPr>
            <w:r>
              <w:rPr>
                <w:color w:val="000000"/>
                <w:kern w:val="0"/>
                <w:sz w:val="24"/>
                <w:szCs w:val="24"/>
              </w:rPr>
              <w:t>9.19</w:t>
            </w:r>
          </w:p>
        </w:tc>
      </w:tr>
      <w:tr w:rsidR="00A83D7E">
        <w:tc>
          <w:tcPr>
            <w:tcW w:w="851" w:type="dxa"/>
            <w:vAlign w:val="center"/>
          </w:tcPr>
          <w:p w:rsidR="00A83D7E" w:rsidRDefault="00697E68">
            <w:pPr>
              <w:jc w:val="center"/>
            </w:pPr>
            <w:r>
              <w:rPr>
                <w:color w:val="000000"/>
                <w:kern w:val="0"/>
                <w:sz w:val="24"/>
                <w:szCs w:val="24"/>
              </w:rPr>
              <w:t>4</w:t>
            </w:r>
          </w:p>
        </w:tc>
        <w:tc>
          <w:tcPr>
            <w:tcW w:w="1276" w:type="dxa"/>
            <w:vAlign w:val="center"/>
          </w:tcPr>
          <w:p w:rsidR="00A83D7E" w:rsidRDefault="00697E68">
            <w:pPr>
              <w:jc w:val="center"/>
            </w:pPr>
            <w:r>
              <w:rPr>
                <w:color w:val="000000"/>
                <w:kern w:val="0"/>
                <w:sz w:val="24"/>
                <w:szCs w:val="24"/>
              </w:rPr>
              <w:t>000651</w:t>
            </w:r>
          </w:p>
        </w:tc>
        <w:tc>
          <w:tcPr>
            <w:tcW w:w="1418" w:type="dxa"/>
            <w:vAlign w:val="center"/>
          </w:tcPr>
          <w:p w:rsidR="00A83D7E" w:rsidRDefault="00697E68">
            <w:pPr>
              <w:jc w:val="center"/>
            </w:pPr>
            <w:r>
              <w:rPr>
                <w:color w:val="000000"/>
                <w:kern w:val="0"/>
                <w:sz w:val="24"/>
                <w:szCs w:val="24"/>
              </w:rPr>
              <w:t>格力电器</w:t>
            </w:r>
          </w:p>
        </w:tc>
        <w:tc>
          <w:tcPr>
            <w:tcW w:w="1701" w:type="dxa"/>
            <w:vAlign w:val="center"/>
          </w:tcPr>
          <w:p w:rsidR="00A83D7E" w:rsidRDefault="00697E68">
            <w:pPr>
              <w:jc w:val="right"/>
            </w:pPr>
            <w:r>
              <w:rPr>
                <w:color w:val="000000"/>
                <w:kern w:val="0"/>
                <w:sz w:val="24"/>
                <w:szCs w:val="24"/>
              </w:rPr>
              <w:t>487,100</w:t>
            </w:r>
          </w:p>
        </w:tc>
        <w:tc>
          <w:tcPr>
            <w:tcW w:w="1984" w:type="dxa"/>
            <w:vAlign w:val="center"/>
          </w:tcPr>
          <w:p w:rsidR="00A83D7E" w:rsidRDefault="00697E68">
            <w:pPr>
              <w:jc w:val="right"/>
            </w:pPr>
            <w:r>
              <w:rPr>
                <w:color w:val="000000"/>
                <w:kern w:val="0"/>
                <w:sz w:val="24"/>
                <w:szCs w:val="24"/>
              </w:rPr>
              <w:t>27,910,830.00</w:t>
            </w:r>
          </w:p>
        </w:tc>
        <w:tc>
          <w:tcPr>
            <w:tcW w:w="1559" w:type="dxa"/>
            <w:vAlign w:val="center"/>
          </w:tcPr>
          <w:p w:rsidR="00A83D7E" w:rsidRDefault="00697E68">
            <w:pPr>
              <w:jc w:val="right"/>
            </w:pPr>
            <w:r>
              <w:rPr>
                <w:color w:val="000000"/>
                <w:kern w:val="0"/>
                <w:sz w:val="24"/>
                <w:szCs w:val="24"/>
              </w:rPr>
              <w:t>7.77</w:t>
            </w:r>
          </w:p>
        </w:tc>
      </w:tr>
      <w:tr w:rsidR="00A83D7E">
        <w:tc>
          <w:tcPr>
            <w:tcW w:w="851" w:type="dxa"/>
            <w:vAlign w:val="center"/>
          </w:tcPr>
          <w:p w:rsidR="00A83D7E" w:rsidRDefault="00697E68">
            <w:pPr>
              <w:jc w:val="center"/>
            </w:pPr>
            <w:r>
              <w:rPr>
                <w:color w:val="000000"/>
                <w:kern w:val="0"/>
                <w:sz w:val="24"/>
                <w:szCs w:val="24"/>
              </w:rPr>
              <w:t>5</w:t>
            </w:r>
          </w:p>
        </w:tc>
        <w:tc>
          <w:tcPr>
            <w:tcW w:w="1276" w:type="dxa"/>
            <w:vAlign w:val="center"/>
          </w:tcPr>
          <w:p w:rsidR="00A83D7E" w:rsidRDefault="00697E68">
            <w:pPr>
              <w:jc w:val="center"/>
            </w:pPr>
            <w:r>
              <w:rPr>
                <w:color w:val="000000"/>
                <w:kern w:val="0"/>
                <w:sz w:val="24"/>
                <w:szCs w:val="24"/>
              </w:rPr>
              <w:t>000596</w:t>
            </w:r>
          </w:p>
        </w:tc>
        <w:tc>
          <w:tcPr>
            <w:tcW w:w="1418" w:type="dxa"/>
            <w:vAlign w:val="center"/>
          </w:tcPr>
          <w:p w:rsidR="00A83D7E" w:rsidRDefault="00697E68">
            <w:pPr>
              <w:jc w:val="center"/>
            </w:pPr>
            <w:r>
              <w:rPr>
                <w:color w:val="000000"/>
                <w:kern w:val="0"/>
                <w:sz w:val="24"/>
                <w:szCs w:val="24"/>
              </w:rPr>
              <w:t>古井贡酒</w:t>
            </w:r>
          </w:p>
        </w:tc>
        <w:tc>
          <w:tcPr>
            <w:tcW w:w="1701" w:type="dxa"/>
            <w:vAlign w:val="center"/>
          </w:tcPr>
          <w:p w:rsidR="00A83D7E" w:rsidRDefault="00697E68">
            <w:pPr>
              <w:jc w:val="right"/>
            </w:pPr>
            <w:r>
              <w:rPr>
                <w:color w:val="000000"/>
                <w:kern w:val="0"/>
                <w:sz w:val="24"/>
                <w:szCs w:val="24"/>
              </w:rPr>
              <w:t>200,139</w:t>
            </w:r>
          </w:p>
        </w:tc>
        <w:tc>
          <w:tcPr>
            <w:tcW w:w="1984" w:type="dxa"/>
            <w:vAlign w:val="center"/>
          </w:tcPr>
          <w:p w:rsidR="00A83D7E" w:rsidRDefault="00697E68">
            <w:pPr>
              <w:jc w:val="right"/>
            </w:pPr>
            <w:r>
              <w:rPr>
                <w:color w:val="000000"/>
                <w:kern w:val="0"/>
                <w:sz w:val="24"/>
                <w:szCs w:val="24"/>
              </w:rPr>
              <w:t>23,015,985.00</w:t>
            </w:r>
          </w:p>
        </w:tc>
        <w:tc>
          <w:tcPr>
            <w:tcW w:w="1559" w:type="dxa"/>
            <w:vAlign w:val="center"/>
          </w:tcPr>
          <w:p w:rsidR="00A83D7E" w:rsidRDefault="00697E68">
            <w:pPr>
              <w:jc w:val="right"/>
            </w:pPr>
            <w:r>
              <w:rPr>
                <w:color w:val="000000"/>
                <w:kern w:val="0"/>
                <w:sz w:val="24"/>
                <w:szCs w:val="24"/>
              </w:rPr>
              <w:t>6.40</w:t>
            </w:r>
          </w:p>
        </w:tc>
      </w:tr>
      <w:tr w:rsidR="00A83D7E">
        <w:tc>
          <w:tcPr>
            <w:tcW w:w="851" w:type="dxa"/>
            <w:vAlign w:val="center"/>
          </w:tcPr>
          <w:p w:rsidR="00A83D7E" w:rsidRDefault="00697E68">
            <w:pPr>
              <w:jc w:val="center"/>
            </w:pPr>
            <w:r>
              <w:rPr>
                <w:color w:val="000000"/>
                <w:kern w:val="0"/>
                <w:sz w:val="24"/>
                <w:szCs w:val="24"/>
              </w:rPr>
              <w:t>6</w:t>
            </w:r>
          </w:p>
        </w:tc>
        <w:tc>
          <w:tcPr>
            <w:tcW w:w="1276" w:type="dxa"/>
            <w:vAlign w:val="center"/>
          </w:tcPr>
          <w:p w:rsidR="00A83D7E" w:rsidRDefault="00697E68">
            <w:pPr>
              <w:jc w:val="center"/>
            </w:pPr>
            <w:r>
              <w:rPr>
                <w:color w:val="000000"/>
                <w:kern w:val="0"/>
                <w:sz w:val="24"/>
                <w:szCs w:val="24"/>
              </w:rPr>
              <w:t>000568</w:t>
            </w:r>
          </w:p>
        </w:tc>
        <w:tc>
          <w:tcPr>
            <w:tcW w:w="1418" w:type="dxa"/>
            <w:vAlign w:val="center"/>
          </w:tcPr>
          <w:p w:rsidR="00A83D7E" w:rsidRDefault="00697E68">
            <w:pPr>
              <w:jc w:val="center"/>
            </w:pPr>
            <w:r>
              <w:rPr>
                <w:color w:val="000000"/>
                <w:kern w:val="0"/>
                <w:sz w:val="24"/>
                <w:szCs w:val="24"/>
              </w:rPr>
              <w:t>泸州老窖</w:t>
            </w:r>
          </w:p>
        </w:tc>
        <w:tc>
          <w:tcPr>
            <w:tcW w:w="1701" w:type="dxa"/>
            <w:vAlign w:val="center"/>
          </w:tcPr>
          <w:p w:rsidR="00A83D7E" w:rsidRDefault="00697E68">
            <w:pPr>
              <w:jc w:val="right"/>
            </w:pPr>
            <w:r>
              <w:rPr>
                <w:color w:val="000000"/>
                <w:kern w:val="0"/>
                <w:sz w:val="24"/>
                <w:szCs w:val="24"/>
              </w:rPr>
              <w:t>223,600</w:t>
            </w:r>
          </w:p>
        </w:tc>
        <w:tc>
          <w:tcPr>
            <w:tcW w:w="1984" w:type="dxa"/>
            <w:vAlign w:val="center"/>
          </w:tcPr>
          <w:p w:rsidR="00A83D7E" w:rsidRDefault="00697E68">
            <w:pPr>
              <w:jc w:val="right"/>
            </w:pPr>
            <w:r>
              <w:rPr>
                <w:color w:val="000000"/>
                <w:kern w:val="0"/>
                <w:sz w:val="24"/>
                <w:szCs w:val="24"/>
              </w:rPr>
              <w:t>19,055,192.00</w:t>
            </w:r>
          </w:p>
        </w:tc>
        <w:tc>
          <w:tcPr>
            <w:tcW w:w="1559" w:type="dxa"/>
            <w:vAlign w:val="center"/>
          </w:tcPr>
          <w:p w:rsidR="00A83D7E" w:rsidRDefault="00697E68">
            <w:pPr>
              <w:jc w:val="right"/>
            </w:pPr>
            <w:r>
              <w:rPr>
                <w:color w:val="000000"/>
                <w:kern w:val="0"/>
                <w:sz w:val="24"/>
                <w:szCs w:val="24"/>
              </w:rPr>
              <w:t>5.30</w:t>
            </w:r>
          </w:p>
        </w:tc>
      </w:tr>
      <w:tr w:rsidR="00A83D7E">
        <w:tc>
          <w:tcPr>
            <w:tcW w:w="851" w:type="dxa"/>
            <w:vAlign w:val="center"/>
          </w:tcPr>
          <w:p w:rsidR="00A83D7E" w:rsidRDefault="00697E68">
            <w:pPr>
              <w:jc w:val="center"/>
            </w:pPr>
            <w:r>
              <w:rPr>
                <w:color w:val="000000"/>
                <w:kern w:val="0"/>
                <w:sz w:val="24"/>
                <w:szCs w:val="24"/>
              </w:rPr>
              <w:t>7</w:t>
            </w:r>
          </w:p>
        </w:tc>
        <w:tc>
          <w:tcPr>
            <w:tcW w:w="1276" w:type="dxa"/>
            <w:vAlign w:val="center"/>
          </w:tcPr>
          <w:p w:rsidR="00A83D7E" w:rsidRDefault="00697E68">
            <w:pPr>
              <w:jc w:val="center"/>
            </w:pPr>
            <w:r>
              <w:rPr>
                <w:color w:val="000000"/>
                <w:kern w:val="0"/>
                <w:sz w:val="24"/>
                <w:szCs w:val="24"/>
              </w:rPr>
              <w:t>600809</w:t>
            </w:r>
          </w:p>
        </w:tc>
        <w:tc>
          <w:tcPr>
            <w:tcW w:w="1418" w:type="dxa"/>
            <w:vAlign w:val="center"/>
          </w:tcPr>
          <w:p w:rsidR="00A83D7E" w:rsidRDefault="00697E68">
            <w:pPr>
              <w:jc w:val="center"/>
            </w:pPr>
            <w:r>
              <w:rPr>
                <w:color w:val="000000"/>
                <w:kern w:val="0"/>
                <w:sz w:val="24"/>
                <w:szCs w:val="24"/>
              </w:rPr>
              <w:t>山西汾酒</w:t>
            </w:r>
          </w:p>
        </w:tc>
        <w:tc>
          <w:tcPr>
            <w:tcW w:w="1701" w:type="dxa"/>
            <w:vAlign w:val="center"/>
          </w:tcPr>
          <w:p w:rsidR="00A83D7E" w:rsidRDefault="00697E68">
            <w:pPr>
              <w:jc w:val="right"/>
            </w:pPr>
            <w:r>
              <w:rPr>
                <w:color w:val="000000"/>
                <w:kern w:val="0"/>
                <w:sz w:val="24"/>
                <w:szCs w:val="24"/>
              </w:rPr>
              <w:t>215,103</w:t>
            </w:r>
          </w:p>
        </w:tc>
        <w:tc>
          <w:tcPr>
            <w:tcW w:w="1984" w:type="dxa"/>
            <w:vAlign w:val="center"/>
          </w:tcPr>
          <w:p w:rsidR="00A83D7E" w:rsidRDefault="00697E68">
            <w:pPr>
              <w:jc w:val="right"/>
            </w:pPr>
            <w:r>
              <w:rPr>
                <w:color w:val="000000"/>
                <w:kern w:val="0"/>
                <w:sz w:val="24"/>
                <w:szCs w:val="24"/>
              </w:rPr>
              <w:t>16,629,612.93</w:t>
            </w:r>
          </w:p>
        </w:tc>
        <w:tc>
          <w:tcPr>
            <w:tcW w:w="1559" w:type="dxa"/>
            <w:vAlign w:val="center"/>
          </w:tcPr>
          <w:p w:rsidR="00A83D7E" w:rsidRDefault="00697E68">
            <w:pPr>
              <w:jc w:val="right"/>
            </w:pPr>
            <w:r>
              <w:rPr>
                <w:color w:val="000000"/>
                <w:kern w:val="0"/>
                <w:sz w:val="24"/>
                <w:szCs w:val="24"/>
              </w:rPr>
              <w:t>4.63</w:t>
            </w:r>
          </w:p>
        </w:tc>
      </w:tr>
      <w:tr w:rsidR="00A83D7E">
        <w:tc>
          <w:tcPr>
            <w:tcW w:w="851" w:type="dxa"/>
            <w:vAlign w:val="center"/>
          </w:tcPr>
          <w:p w:rsidR="00A83D7E" w:rsidRDefault="00697E68">
            <w:pPr>
              <w:jc w:val="center"/>
            </w:pPr>
            <w:r>
              <w:rPr>
                <w:color w:val="000000"/>
                <w:kern w:val="0"/>
                <w:sz w:val="24"/>
                <w:szCs w:val="24"/>
              </w:rPr>
              <w:t>8</w:t>
            </w:r>
          </w:p>
        </w:tc>
        <w:tc>
          <w:tcPr>
            <w:tcW w:w="1276" w:type="dxa"/>
            <w:vAlign w:val="center"/>
          </w:tcPr>
          <w:p w:rsidR="00A83D7E" w:rsidRDefault="00697E68">
            <w:pPr>
              <w:jc w:val="center"/>
            </w:pPr>
            <w:r>
              <w:rPr>
                <w:color w:val="000000"/>
                <w:kern w:val="0"/>
                <w:sz w:val="24"/>
                <w:szCs w:val="24"/>
              </w:rPr>
              <w:t>01299</w:t>
            </w:r>
          </w:p>
        </w:tc>
        <w:tc>
          <w:tcPr>
            <w:tcW w:w="1418" w:type="dxa"/>
            <w:vAlign w:val="center"/>
          </w:tcPr>
          <w:p w:rsidR="00A83D7E" w:rsidRDefault="00697E68">
            <w:pPr>
              <w:jc w:val="center"/>
            </w:pPr>
            <w:r>
              <w:rPr>
                <w:color w:val="000000"/>
                <w:kern w:val="0"/>
                <w:sz w:val="24"/>
                <w:szCs w:val="24"/>
              </w:rPr>
              <w:t>友邦保险</w:t>
            </w:r>
          </w:p>
        </w:tc>
        <w:tc>
          <w:tcPr>
            <w:tcW w:w="1701" w:type="dxa"/>
            <w:vAlign w:val="center"/>
          </w:tcPr>
          <w:p w:rsidR="00A83D7E" w:rsidRDefault="00697E68">
            <w:pPr>
              <w:jc w:val="right"/>
            </w:pPr>
            <w:r>
              <w:rPr>
                <w:color w:val="000000"/>
                <w:kern w:val="0"/>
                <w:sz w:val="24"/>
                <w:szCs w:val="24"/>
              </w:rPr>
              <w:t>238,400</w:t>
            </w:r>
          </w:p>
        </w:tc>
        <w:tc>
          <w:tcPr>
            <w:tcW w:w="1984" w:type="dxa"/>
            <w:vAlign w:val="center"/>
          </w:tcPr>
          <w:p w:rsidR="00A83D7E" w:rsidRDefault="00697E68">
            <w:pPr>
              <w:jc w:val="right"/>
            </w:pPr>
            <w:r>
              <w:rPr>
                <w:color w:val="000000"/>
                <w:kern w:val="0"/>
                <w:sz w:val="24"/>
                <w:szCs w:val="24"/>
              </w:rPr>
              <w:t>15,923,651.58</w:t>
            </w:r>
          </w:p>
        </w:tc>
        <w:tc>
          <w:tcPr>
            <w:tcW w:w="1559" w:type="dxa"/>
            <w:vAlign w:val="center"/>
          </w:tcPr>
          <w:p w:rsidR="00A83D7E" w:rsidRDefault="00697E68">
            <w:pPr>
              <w:jc w:val="right"/>
            </w:pPr>
            <w:r>
              <w:rPr>
                <w:color w:val="000000"/>
                <w:kern w:val="0"/>
                <w:sz w:val="24"/>
                <w:szCs w:val="24"/>
              </w:rPr>
              <w:t>4.43</w:t>
            </w:r>
          </w:p>
        </w:tc>
      </w:tr>
      <w:tr w:rsidR="00A83D7E">
        <w:tc>
          <w:tcPr>
            <w:tcW w:w="851" w:type="dxa"/>
            <w:vAlign w:val="center"/>
          </w:tcPr>
          <w:p w:rsidR="00A83D7E" w:rsidRDefault="00697E68">
            <w:pPr>
              <w:jc w:val="center"/>
            </w:pPr>
            <w:r>
              <w:rPr>
                <w:color w:val="000000"/>
                <w:kern w:val="0"/>
                <w:sz w:val="24"/>
                <w:szCs w:val="24"/>
              </w:rPr>
              <w:t>9</w:t>
            </w:r>
          </w:p>
        </w:tc>
        <w:tc>
          <w:tcPr>
            <w:tcW w:w="1276" w:type="dxa"/>
            <w:vAlign w:val="center"/>
          </w:tcPr>
          <w:p w:rsidR="00A83D7E" w:rsidRDefault="00697E68">
            <w:pPr>
              <w:jc w:val="center"/>
            </w:pPr>
            <w:r>
              <w:rPr>
                <w:color w:val="000000"/>
                <w:kern w:val="0"/>
                <w:sz w:val="24"/>
                <w:szCs w:val="24"/>
              </w:rPr>
              <w:t>601318</w:t>
            </w:r>
          </w:p>
        </w:tc>
        <w:tc>
          <w:tcPr>
            <w:tcW w:w="1418" w:type="dxa"/>
            <w:vAlign w:val="center"/>
          </w:tcPr>
          <w:p w:rsidR="00A83D7E" w:rsidRDefault="00697E68">
            <w:pPr>
              <w:jc w:val="center"/>
            </w:pPr>
            <w:r>
              <w:rPr>
                <w:color w:val="000000"/>
                <w:kern w:val="0"/>
                <w:sz w:val="24"/>
                <w:szCs w:val="24"/>
              </w:rPr>
              <w:t>中国平安</w:t>
            </w:r>
          </w:p>
        </w:tc>
        <w:tc>
          <w:tcPr>
            <w:tcW w:w="1701" w:type="dxa"/>
            <w:vAlign w:val="center"/>
          </w:tcPr>
          <w:p w:rsidR="00A83D7E" w:rsidRDefault="00697E68">
            <w:pPr>
              <w:jc w:val="right"/>
            </w:pPr>
            <w:r>
              <w:rPr>
                <w:color w:val="000000"/>
                <w:kern w:val="0"/>
                <w:sz w:val="24"/>
                <w:szCs w:val="24"/>
              </w:rPr>
              <w:t>156,900</w:t>
            </w:r>
          </w:p>
        </w:tc>
        <w:tc>
          <w:tcPr>
            <w:tcW w:w="1984" w:type="dxa"/>
            <w:vAlign w:val="center"/>
          </w:tcPr>
          <w:p w:rsidR="00A83D7E" w:rsidRDefault="00697E68">
            <w:pPr>
              <w:jc w:val="right"/>
            </w:pPr>
            <w:r>
              <w:rPr>
                <w:color w:val="000000"/>
                <w:kern w:val="0"/>
                <w:sz w:val="24"/>
                <w:szCs w:val="24"/>
              </w:rPr>
              <w:t>13,656,576.00</w:t>
            </w:r>
          </w:p>
        </w:tc>
        <w:tc>
          <w:tcPr>
            <w:tcW w:w="1559" w:type="dxa"/>
            <w:vAlign w:val="center"/>
          </w:tcPr>
          <w:p w:rsidR="00A83D7E" w:rsidRDefault="00697E68">
            <w:pPr>
              <w:jc w:val="right"/>
            </w:pPr>
            <w:r>
              <w:rPr>
                <w:color w:val="000000"/>
                <w:kern w:val="0"/>
                <w:sz w:val="24"/>
                <w:szCs w:val="24"/>
              </w:rPr>
              <w:t>3.80</w:t>
            </w:r>
          </w:p>
        </w:tc>
      </w:tr>
      <w:tr w:rsidR="00A83D7E">
        <w:tc>
          <w:tcPr>
            <w:tcW w:w="851" w:type="dxa"/>
            <w:vAlign w:val="center"/>
          </w:tcPr>
          <w:p w:rsidR="00A83D7E" w:rsidRDefault="00697E68">
            <w:pPr>
              <w:jc w:val="center"/>
            </w:pPr>
            <w:r>
              <w:rPr>
                <w:color w:val="000000"/>
                <w:kern w:val="0"/>
                <w:sz w:val="24"/>
                <w:szCs w:val="24"/>
              </w:rPr>
              <w:t>10</w:t>
            </w:r>
          </w:p>
        </w:tc>
        <w:tc>
          <w:tcPr>
            <w:tcW w:w="1276" w:type="dxa"/>
            <w:vAlign w:val="center"/>
          </w:tcPr>
          <w:p w:rsidR="00A83D7E" w:rsidRDefault="00697E68">
            <w:pPr>
              <w:jc w:val="center"/>
            </w:pPr>
            <w:r>
              <w:rPr>
                <w:color w:val="000000"/>
                <w:kern w:val="0"/>
                <w:sz w:val="24"/>
                <w:szCs w:val="24"/>
              </w:rPr>
              <w:t>00291</w:t>
            </w:r>
          </w:p>
        </w:tc>
        <w:tc>
          <w:tcPr>
            <w:tcW w:w="1418" w:type="dxa"/>
            <w:vAlign w:val="center"/>
          </w:tcPr>
          <w:p w:rsidR="00A83D7E" w:rsidRDefault="00697E68">
            <w:pPr>
              <w:jc w:val="center"/>
            </w:pPr>
            <w:r>
              <w:rPr>
                <w:color w:val="000000"/>
                <w:kern w:val="0"/>
                <w:sz w:val="24"/>
                <w:szCs w:val="24"/>
              </w:rPr>
              <w:t>华润啤酒</w:t>
            </w:r>
          </w:p>
        </w:tc>
        <w:tc>
          <w:tcPr>
            <w:tcW w:w="1701" w:type="dxa"/>
            <w:vAlign w:val="center"/>
          </w:tcPr>
          <w:p w:rsidR="00A83D7E" w:rsidRDefault="00697E68">
            <w:pPr>
              <w:jc w:val="right"/>
            </w:pPr>
            <w:r>
              <w:rPr>
                <w:color w:val="000000"/>
                <w:kern w:val="0"/>
                <w:sz w:val="24"/>
                <w:szCs w:val="24"/>
              </w:rPr>
              <w:t>326,000</w:t>
            </w:r>
          </w:p>
        </w:tc>
        <w:tc>
          <w:tcPr>
            <w:tcW w:w="1984" w:type="dxa"/>
            <w:vAlign w:val="center"/>
          </w:tcPr>
          <w:p w:rsidR="00A83D7E" w:rsidRDefault="00697E68">
            <w:pPr>
              <w:jc w:val="right"/>
            </w:pPr>
            <w:r>
              <w:rPr>
                <w:color w:val="000000"/>
                <w:kern w:val="0"/>
                <w:sz w:val="24"/>
                <w:szCs w:val="24"/>
              </w:rPr>
              <w:t>12,217,996.05</w:t>
            </w:r>
          </w:p>
        </w:tc>
        <w:tc>
          <w:tcPr>
            <w:tcW w:w="1559" w:type="dxa"/>
            <w:vAlign w:val="center"/>
          </w:tcPr>
          <w:p w:rsidR="00A83D7E" w:rsidRDefault="00697E68">
            <w:pPr>
              <w:jc w:val="right"/>
            </w:pPr>
            <w:r>
              <w:rPr>
                <w:color w:val="000000"/>
                <w:kern w:val="0"/>
                <w:sz w:val="24"/>
                <w:szCs w:val="24"/>
              </w:rPr>
              <w:t>3.40</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9,996,000.00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2.78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9,996,000.00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2.78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587,413.40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0.16</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10,583,413.40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83D7E">
        <w:tc>
          <w:tcPr>
            <w:tcW w:w="959" w:type="dxa"/>
            <w:vAlign w:val="center"/>
          </w:tcPr>
          <w:p w:rsidR="00A83D7E" w:rsidRDefault="00697E68">
            <w:pPr>
              <w:jc w:val="center"/>
            </w:pPr>
            <w:r>
              <w:rPr>
                <w:color w:val="000000"/>
                <w:kern w:val="0"/>
                <w:sz w:val="24"/>
                <w:szCs w:val="24"/>
              </w:rPr>
              <w:t>1</w:t>
            </w:r>
          </w:p>
        </w:tc>
        <w:tc>
          <w:tcPr>
            <w:tcW w:w="1276" w:type="dxa"/>
            <w:vAlign w:val="center"/>
          </w:tcPr>
          <w:p w:rsidR="00A83D7E" w:rsidRDefault="00697E68">
            <w:pPr>
              <w:jc w:val="center"/>
            </w:pPr>
            <w:r>
              <w:rPr>
                <w:color w:val="000000"/>
                <w:kern w:val="0"/>
                <w:sz w:val="24"/>
                <w:szCs w:val="24"/>
              </w:rPr>
              <w:t>190302</w:t>
            </w:r>
          </w:p>
        </w:tc>
        <w:tc>
          <w:tcPr>
            <w:tcW w:w="1275" w:type="dxa"/>
            <w:vAlign w:val="center"/>
          </w:tcPr>
          <w:p w:rsidR="00A83D7E" w:rsidRDefault="00697E68">
            <w:pPr>
              <w:jc w:val="center"/>
            </w:pPr>
            <w:r>
              <w:rPr>
                <w:color w:val="000000"/>
                <w:kern w:val="0"/>
                <w:sz w:val="24"/>
                <w:szCs w:val="24"/>
              </w:rPr>
              <w:t>19</w:t>
            </w:r>
            <w:r>
              <w:rPr>
                <w:color w:val="000000"/>
                <w:kern w:val="0"/>
                <w:sz w:val="24"/>
                <w:szCs w:val="24"/>
              </w:rPr>
              <w:t>进出</w:t>
            </w:r>
            <w:r>
              <w:rPr>
                <w:color w:val="000000"/>
                <w:kern w:val="0"/>
                <w:sz w:val="24"/>
                <w:szCs w:val="24"/>
              </w:rPr>
              <w:t>02</w:t>
            </w:r>
          </w:p>
        </w:tc>
        <w:tc>
          <w:tcPr>
            <w:tcW w:w="1560" w:type="dxa"/>
            <w:vAlign w:val="center"/>
          </w:tcPr>
          <w:p w:rsidR="00A83D7E" w:rsidRDefault="00697E68">
            <w:pPr>
              <w:jc w:val="right"/>
            </w:pPr>
            <w:r>
              <w:rPr>
                <w:color w:val="000000"/>
                <w:kern w:val="0"/>
                <w:sz w:val="24"/>
                <w:szCs w:val="24"/>
              </w:rPr>
              <w:t>100,000</w:t>
            </w:r>
          </w:p>
        </w:tc>
        <w:tc>
          <w:tcPr>
            <w:tcW w:w="1984" w:type="dxa"/>
            <w:vAlign w:val="center"/>
          </w:tcPr>
          <w:p w:rsidR="00A83D7E" w:rsidRDefault="00697E68">
            <w:pPr>
              <w:jc w:val="right"/>
            </w:pPr>
            <w:r>
              <w:rPr>
                <w:color w:val="000000"/>
                <w:kern w:val="0"/>
                <w:sz w:val="24"/>
                <w:szCs w:val="24"/>
              </w:rPr>
              <w:t>9,996,000.00</w:t>
            </w:r>
          </w:p>
        </w:tc>
        <w:tc>
          <w:tcPr>
            <w:tcW w:w="1474" w:type="dxa"/>
            <w:vAlign w:val="center"/>
          </w:tcPr>
          <w:p w:rsidR="00A83D7E" w:rsidRDefault="00697E68">
            <w:pPr>
              <w:jc w:val="right"/>
            </w:pPr>
            <w:r>
              <w:rPr>
                <w:color w:val="000000"/>
                <w:kern w:val="0"/>
                <w:sz w:val="24"/>
                <w:szCs w:val="24"/>
              </w:rPr>
              <w:t>2.78</w:t>
            </w:r>
          </w:p>
        </w:tc>
      </w:tr>
      <w:tr w:rsidR="00A83D7E">
        <w:tc>
          <w:tcPr>
            <w:tcW w:w="959" w:type="dxa"/>
            <w:vAlign w:val="center"/>
          </w:tcPr>
          <w:p w:rsidR="00A83D7E" w:rsidRDefault="00697E68">
            <w:pPr>
              <w:jc w:val="center"/>
            </w:pPr>
            <w:r>
              <w:rPr>
                <w:color w:val="000000"/>
                <w:kern w:val="0"/>
                <w:sz w:val="24"/>
                <w:szCs w:val="24"/>
              </w:rPr>
              <w:t>2</w:t>
            </w:r>
          </w:p>
        </w:tc>
        <w:tc>
          <w:tcPr>
            <w:tcW w:w="1276" w:type="dxa"/>
            <w:vAlign w:val="center"/>
          </w:tcPr>
          <w:p w:rsidR="00A83D7E" w:rsidRDefault="00697E68">
            <w:pPr>
              <w:jc w:val="center"/>
            </w:pPr>
            <w:r>
              <w:rPr>
                <w:color w:val="000000"/>
                <w:kern w:val="0"/>
                <w:sz w:val="24"/>
                <w:szCs w:val="24"/>
              </w:rPr>
              <w:t>113543</w:t>
            </w:r>
          </w:p>
        </w:tc>
        <w:tc>
          <w:tcPr>
            <w:tcW w:w="1275" w:type="dxa"/>
            <w:vAlign w:val="center"/>
          </w:tcPr>
          <w:p w:rsidR="00A83D7E" w:rsidRDefault="00697E68">
            <w:pPr>
              <w:jc w:val="center"/>
            </w:pPr>
            <w:r>
              <w:rPr>
                <w:color w:val="000000"/>
                <w:kern w:val="0"/>
                <w:sz w:val="24"/>
                <w:szCs w:val="24"/>
              </w:rPr>
              <w:t>欧派转债</w:t>
            </w:r>
          </w:p>
        </w:tc>
        <w:tc>
          <w:tcPr>
            <w:tcW w:w="1560" w:type="dxa"/>
            <w:vAlign w:val="center"/>
          </w:tcPr>
          <w:p w:rsidR="00A83D7E" w:rsidRDefault="00697E68">
            <w:pPr>
              <w:jc w:val="right"/>
            </w:pPr>
            <w:r>
              <w:rPr>
                <w:color w:val="000000"/>
                <w:kern w:val="0"/>
                <w:sz w:val="24"/>
                <w:szCs w:val="24"/>
              </w:rPr>
              <w:t>2,840</w:t>
            </w:r>
          </w:p>
        </w:tc>
        <w:tc>
          <w:tcPr>
            <w:tcW w:w="1984" w:type="dxa"/>
            <w:vAlign w:val="center"/>
          </w:tcPr>
          <w:p w:rsidR="00A83D7E" w:rsidRDefault="00697E68">
            <w:pPr>
              <w:jc w:val="right"/>
            </w:pPr>
            <w:r>
              <w:rPr>
                <w:color w:val="000000"/>
                <w:kern w:val="0"/>
                <w:sz w:val="24"/>
                <w:szCs w:val="24"/>
              </w:rPr>
              <w:t>341,396.40</w:t>
            </w:r>
          </w:p>
        </w:tc>
        <w:tc>
          <w:tcPr>
            <w:tcW w:w="1474" w:type="dxa"/>
            <w:vAlign w:val="center"/>
          </w:tcPr>
          <w:p w:rsidR="00A83D7E" w:rsidRDefault="00697E68">
            <w:pPr>
              <w:jc w:val="right"/>
            </w:pPr>
            <w:r>
              <w:rPr>
                <w:color w:val="000000"/>
                <w:kern w:val="0"/>
                <w:sz w:val="24"/>
                <w:szCs w:val="24"/>
              </w:rPr>
              <w:t>0.09</w:t>
            </w:r>
          </w:p>
        </w:tc>
      </w:tr>
      <w:tr w:rsidR="00A83D7E">
        <w:tc>
          <w:tcPr>
            <w:tcW w:w="959" w:type="dxa"/>
            <w:vAlign w:val="center"/>
          </w:tcPr>
          <w:p w:rsidR="00A83D7E" w:rsidRDefault="00697E68">
            <w:pPr>
              <w:jc w:val="center"/>
            </w:pPr>
            <w:r>
              <w:rPr>
                <w:color w:val="000000"/>
                <w:kern w:val="0"/>
                <w:sz w:val="24"/>
                <w:szCs w:val="24"/>
              </w:rPr>
              <w:t>3</w:t>
            </w:r>
          </w:p>
        </w:tc>
        <w:tc>
          <w:tcPr>
            <w:tcW w:w="1276" w:type="dxa"/>
            <w:vAlign w:val="center"/>
          </w:tcPr>
          <w:p w:rsidR="00A83D7E" w:rsidRDefault="00697E68">
            <w:pPr>
              <w:jc w:val="center"/>
            </w:pPr>
            <w:r>
              <w:rPr>
                <w:color w:val="000000"/>
                <w:kern w:val="0"/>
                <w:sz w:val="24"/>
                <w:szCs w:val="24"/>
              </w:rPr>
              <w:t>110049</w:t>
            </w:r>
          </w:p>
        </w:tc>
        <w:tc>
          <w:tcPr>
            <w:tcW w:w="1275" w:type="dxa"/>
            <w:vAlign w:val="center"/>
          </w:tcPr>
          <w:p w:rsidR="00A83D7E" w:rsidRDefault="00697E68">
            <w:pPr>
              <w:jc w:val="center"/>
            </w:pPr>
            <w:r>
              <w:rPr>
                <w:color w:val="000000"/>
                <w:kern w:val="0"/>
                <w:sz w:val="24"/>
                <w:szCs w:val="24"/>
              </w:rPr>
              <w:t>海尔转债</w:t>
            </w:r>
          </w:p>
        </w:tc>
        <w:tc>
          <w:tcPr>
            <w:tcW w:w="1560" w:type="dxa"/>
            <w:vAlign w:val="center"/>
          </w:tcPr>
          <w:p w:rsidR="00A83D7E" w:rsidRDefault="00697E68">
            <w:pPr>
              <w:jc w:val="right"/>
            </w:pPr>
            <w:r>
              <w:rPr>
                <w:color w:val="000000"/>
                <w:kern w:val="0"/>
                <w:sz w:val="24"/>
                <w:szCs w:val="24"/>
              </w:rPr>
              <w:t>1,140</w:t>
            </w:r>
          </w:p>
        </w:tc>
        <w:tc>
          <w:tcPr>
            <w:tcW w:w="1984" w:type="dxa"/>
            <w:vAlign w:val="center"/>
          </w:tcPr>
          <w:p w:rsidR="00A83D7E" w:rsidRDefault="00697E68">
            <w:pPr>
              <w:jc w:val="right"/>
            </w:pPr>
            <w:r>
              <w:rPr>
                <w:color w:val="000000"/>
                <w:kern w:val="0"/>
                <w:sz w:val="24"/>
                <w:szCs w:val="24"/>
              </w:rPr>
              <w:t>134,542.80</w:t>
            </w:r>
          </w:p>
        </w:tc>
        <w:tc>
          <w:tcPr>
            <w:tcW w:w="1474" w:type="dxa"/>
            <w:vAlign w:val="center"/>
          </w:tcPr>
          <w:p w:rsidR="00A83D7E" w:rsidRDefault="00697E68">
            <w:pPr>
              <w:jc w:val="right"/>
            </w:pPr>
            <w:r>
              <w:rPr>
                <w:color w:val="000000"/>
                <w:kern w:val="0"/>
                <w:sz w:val="24"/>
                <w:szCs w:val="24"/>
              </w:rPr>
              <w:t>0.04</w:t>
            </w:r>
          </w:p>
        </w:tc>
      </w:tr>
      <w:tr w:rsidR="00A83D7E">
        <w:tc>
          <w:tcPr>
            <w:tcW w:w="959" w:type="dxa"/>
            <w:vAlign w:val="center"/>
          </w:tcPr>
          <w:p w:rsidR="00A83D7E" w:rsidRDefault="00697E68">
            <w:pPr>
              <w:jc w:val="center"/>
            </w:pPr>
            <w:r>
              <w:rPr>
                <w:color w:val="000000"/>
                <w:kern w:val="0"/>
                <w:sz w:val="24"/>
                <w:szCs w:val="24"/>
              </w:rPr>
              <w:t>4</w:t>
            </w:r>
          </w:p>
        </w:tc>
        <w:tc>
          <w:tcPr>
            <w:tcW w:w="1276" w:type="dxa"/>
            <w:vAlign w:val="center"/>
          </w:tcPr>
          <w:p w:rsidR="00A83D7E" w:rsidRDefault="00697E68">
            <w:pPr>
              <w:jc w:val="center"/>
            </w:pPr>
            <w:r>
              <w:rPr>
                <w:color w:val="000000"/>
                <w:kern w:val="0"/>
                <w:sz w:val="24"/>
                <w:szCs w:val="24"/>
              </w:rPr>
              <w:t>113021</w:t>
            </w:r>
          </w:p>
        </w:tc>
        <w:tc>
          <w:tcPr>
            <w:tcW w:w="1275" w:type="dxa"/>
            <w:vAlign w:val="center"/>
          </w:tcPr>
          <w:p w:rsidR="00A83D7E" w:rsidRDefault="00697E68">
            <w:pPr>
              <w:jc w:val="center"/>
            </w:pPr>
            <w:r>
              <w:rPr>
                <w:color w:val="000000"/>
                <w:kern w:val="0"/>
                <w:sz w:val="24"/>
                <w:szCs w:val="24"/>
              </w:rPr>
              <w:t>中信转债</w:t>
            </w:r>
          </w:p>
        </w:tc>
        <w:tc>
          <w:tcPr>
            <w:tcW w:w="1560" w:type="dxa"/>
            <w:vAlign w:val="center"/>
          </w:tcPr>
          <w:p w:rsidR="00A83D7E" w:rsidRDefault="00697E68">
            <w:pPr>
              <w:jc w:val="right"/>
            </w:pPr>
            <w:r>
              <w:rPr>
                <w:color w:val="000000"/>
                <w:kern w:val="0"/>
                <w:sz w:val="24"/>
                <w:szCs w:val="24"/>
              </w:rPr>
              <w:t>530</w:t>
            </w:r>
          </w:p>
        </w:tc>
        <w:tc>
          <w:tcPr>
            <w:tcW w:w="1984" w:type="dxa"/>
            <w:vAlign w:val="center"/>
          </w:tcPr>
          <w:p w:rsidR="00A83D7E" w:rsidRDefault="00697E68">
            <w:pPr>
              <w:jc w:val="right"/>
            </w:pPr>
            <w:r>
              <w:rPr>
                <w:color w:val="000000"/>
                <w:kern w:val="0"/>
                <w:sz w:val="24"/>
                <w:szCs w:val="24"/>
              </w:rPr>
              <w:t>56,254.20</w:t>
            </w:r>
          </w:p>
        </w:tc>
        <w:tc>
          <w:tcPr>
            <w:tcW w:w="1474" w:type="dxa"/>
            <w:vAlign w:val="center"/>
          </w:tcPr>
          <w:p w:rsidR="00A83D7E" w:rsidRDefault="00697E68">
            <w:pPr>
              <w:jc w:val="right"/>
            </w:pPr>
            <w:r>
              <w:rPr>
                <w:color w:val="000000"/>
                <w:kern w:val="0"/>
                <w:sz w:val="24"/>
                <w:szCs w:val="24"/>
              </w:rPr>
              <w:t>0.02</w:t>
            </w:r>
          </w:p>
        </w:tc>
      </w:tr>
      <w:tr w:rsidR="00A83D7E">
        <w:tc>
          <w:tcPr>
            <w:tcW w:w="959" w:type="dxa"/>
            <w:vAlign w:val="center"/>
          </w:tcPr>
          <w:p w:rsidR="00A83D7E" w:rsidRDefault="00697E68">
            <w:pPr>
              <w:jc w:val="center"/>
            </w:pPr>
            <w:r>
              <w:rPr>
                <w:color w:val="000000"/>
                <w:kern w:val="0"/>
                <w:sz w:val="24"/>
                <w:szCs w:val="24"/>
              </w:rPr>
              <w:t>5</w:t>
            </w:r>
          </w:p>
        </w:tc>
        <w:tc>
          <w:tcPr>
            <w:tcW w:w="1276" w:type="dxa"/>
            <w:vAlign w:val="center"/>
          </w:tcPr>
          <w:p w:rsidR="00A83D7E" w:rsidRDefault="00697E68">
            <w:pPr>
              <w:jc w:val="center"/>
            </w:pPr>
            <w:r>
              <w:rPr>
                <w:color w:val="000000"/>
                <w:kern w:val="0"/>
                <w:sz w:val="24"/>
                <w:szCs w:val="24"/>
              </w:rPr>
              <w:t>123021</w:t>
            </w:r>
          </w:p>
        </w:tc>
        <w:tc>
          <w:tcPr>
            <w:tcW w:w="1275" w:type="dxa"/>
            <w:vAlign w:val="center"/>
          </w:tcPr>
          <w:p w:rsidR="00A83D7E" w:rsidRDefault="00697E68">
            <w:pPr>
              <w:jc w:val="center"/>
            </w:pPr>
            <w:r>
              <w:rPr>
                <w:color w:val="000000"/>
                <w:kern w:val="0"/>
                <w:sz w:val="24"/>
                <w:szCs w:val="24"/>
              </w:rPr>
              <w:t>万信转</w:t>
            </w:r>
            <w:r>
              <w:rPr>
                <w:color w:val="000000"/>
                <w:kern w:val="0"/>
                <w:sz w:val="24"/>
                <w:szCs w:val="24"/>
              </w:rPr>
              <w:t>2</w:t>
            </w:r>
          </w:p>
        </w:tc>
        <w:tc>
          <w:tcPr>
            <w:tcW w:w="1560" w:type="dxa"/>
            <w:vAlign w:val="center"/>
          </w:tcPr>
          <w:p w:rsidR="00A83D7E" w:rsidRDefault="00697E68">
            <w:pPr>
              <w:jc w:val="right"/>
            </w:pPr>
            <w:r>
              <w:rPr>
                <w:color w:val="000000"/>
                <w:kern w:val="0"/>
                <w:sz w:val="24"/>
                <w:szCs w:val="24"/>
              </w:rPr>
              <w:t>500</w:t>
            </w:r>
          </w:p>
        </w:tc>
        <w:tc>
          <w:tcPr>
            <w:tcW w:w="1984" w:type="dxa"/>
            <w:vAlign w:val="center"/>
          </w:tcPr>
          <w:p w:rsidR="00A83D7E" w:rsidRDefault="00697E68">
            <w:pPr>
              <w:jc w:val="right"/>
            </w:pPr>
            <w:r>
              <w:rPr>
                <w:color w:val="000000"/>
                <w:kern w:val="0"/>
                <w:sz w:val="24"/>
                <w:szCs w:val="24"/>
              </w:rPr>
              <w:t>55,220.00</w:t>
            </w:r>
          </w:p>
        </w:tc>
        <w:tc>
          <w:tcPr>
            <w:tcW w:w="1474" w:type="dxa"/>
            <w:vAlign w:val="center"/>
          </w:tcPr>
          <w:p w:rsidR="00A83D7E" w:rsidRDefault="00697E68">
            <w:pPr>
              <w:jc w:val="right"/>
            </w:pPr>
            <w:r>
              <w:rPr>
                <w:color w:val="000000"/>
                <w:kern w:val="0"/>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40,030.71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153,445.59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147,059.13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24,497.58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365,033.01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A83D7E">
        <w:tc>
          <w:tcPr>
            <w:tcW w:w="1808" w:type="dxa"/>
            <w:vAlign w:val="center"/>
          </w:tcPr>
          <w:p w:rsidR="00A83D7E" w:rsidRDefault="00697E68">
            <w:pPr>
              <w:jc w:val="center"/>
            </w:pPr>
            <w:r>
              <w:rPr>
                <w:color w:val="000000"/>
                <w:kern w:val="0"/>
                <w:sz w:val="24"/>
                <w:szCs w:val="24"/>
              </w:rPr>
              <w:t>1</w:t>
            </w:r>
          </w:p>
        </w:tc>
        <w:tc>
          <w:tcPr>
            <w:tcW w:w="1729" w:type="dxa"/>
            <w:vAlign w:val="center"/>
          </w:tcPr>
          <w:p w:rsidR="00A83D7E" w:rsidRDefault="00697E68">
            <w:pPr>
              <w:jc w:val="center"/>
            </w:pPr>
            <w:r>
              <w:rPr>
                <w:color w:val="000000"/>
                <w:kern w:val="0"/>
                <w:sz w:val="24"/>
                <w:szCs w:val="24"/>
              </w:rPr>
              <w:t>110049</w:t>
            </w:r>
          </w:p>
        </w:tc>
        <w:tc>
          <w:tcPr>
            <w:tcW w:w="1658" w:type="dxa"/>
            <w:vAlign w:val="center"/>
          </w:tcPr>
          <w:p w:rsidR="00A83D7E" w:rsidRDefault="00697E68">
            <w:pPr>
              <w:jc w:val="center"/>
            </w:pPr>
            <w:r>
              <w:rPr>
                <w:color w:val="000000"/>
                <w:kern w:val="0"/>
                <w:sz w:val="24"/>
                <w:szCs w:val="24"/>
              </w:rPr>
              <w:t>海尔转债</w:t>
            </w:r>
          </w:p>
        </w:tc>
        <w:tc>
          <w:tcPr>
            <w:tcW w:w="1697" w:type="dxa"/>
            <w:vAlign w:val="center"/>
          </w:tcPr>
          <w:p w:rsidR="00A83D7E" w:rsidRDefault="00697E68">
            <w:pPr>
              <w:jc w:val="right"/>
            </w:pPr>
            <w:r>
              <w:rPr>
                <w:color w:val="000000"/>
                <w:kern w:val="0"/>
                <w:sz w:val="24"/>
                <w:szCs w:val="24"/>
              </w:rPr>
              <w:t>134,542.80</w:t>
            </w:r>
          </w:p>
        </w:tc>
        <w:tc>
          <w:tcPr>
            <w:tcW w:w="1621" w:type="dxa"/>
            <w:vAlign w:val="center"/>
          </w:tcPr>
          <w:p w:rsidR="00A83D7E" w:rsidRDefault="00697E68">
            <w:pPr>
              <w:jc w:val="right"/>
            </w:pPr>
            <w:r>
              <w:rPr>
                <w:color w:val="000000"/>
                <w:kern w:val="0"/>
                <w:sz w:val="24"/>
                <w:szCs w:val="24"/>
              </w:rPr>
              <w:t>0.04</w:t>
            </w:r>
          </w:p>
        </w:tc>
      </w:tr>
      <w:tr w:rsidR="00A83D7E">
        <w:tc>
          <w:tcPr>
            <w:tcW w:w="1808" w:type="dxa"/>
            <w:vAlign w:val="center"/>
          </w:tcPr>
          <w:p w:rsidR="00A83D7E" w:rsidRDefault="00697E68">
            <w:pPr>
              <w:jc w:val="center"/>
            </w:pPr>
            <w:r>
              <w:rPr>
                <w:color w:val="000000"/>
                <w:kern w:val="0"/>
                <w:sz w:val="24"/>
                <w:szCs w:val="24"/>
              </w:rPr>
              <w:t>2</w:t>
            </w:r>
          </w:p>
        </w:tc>
        <w:tc>
          <w:tcPr>
            <w:tcW w:w="1729" w:type="dxa"/>
            <w:vAlign w:val="center"/>
          </w:tcPr>
          <w:p w:rsidR="00A83D7E" w:rsidRDefault="00697E68">
            <w:pPr>
              <w:jc w:val="center"/>
            </w:pPr>
            <w:r>
              <w:rPr>
                <w:color w:val="000000"/>
                <w:kern w:val="0"/>
                <w:sz w:val="24"/>
                <w:szCs w:val="24"/>
              </w:rPr>
              <w:t>113021</w:t>
            </w:r>
          </w:p>
        </w:tc>
        <w:tc>
          <w:tcPr>
            <w:tcW w:w="1658" w:type="dxa"/>
            <w:vAlign w:val="center"/>
          </w:tcPr>
          <w:p w:rsidR="00A83D7E" w:rsidRDefault="00697E68">
            <w:pPr>
              <w:jc w:val="center"/>
            </w:pPr>
            <w:r>
              <w:rPr>
                <w:color w:val="000000"/>
                <w:kern w:val="0"/>
                <w:sz w:val="24"/>
                <w:szCs w:val="24"/>
              </w:rPr>
              <w:t>中信转债</w:t>
            </w:r>
          </w:p>
        </w:tc>
        <w:tc>
          <w:tcPr>
            <w:tcW w:w="1697" w:type="dxa"/>
            <w:vAlign w:val="center"/>
          </w:tcPr>
          <w:p w:rsidR="00A83D7E" w:rsidRDefault="00697E68">
            <w:pPr>
              <w:jc w:val="right"/>
            </w:pPr>
            <w:r>
              <w:rPr>
                <w:color w:val="000000"/>
                <w:kern w:val="0"/>
                <w:sz w:val="24"/>
                <w:szCs w:val="24"/>
              </w:rPr>
              <w:t>56,254.20</w:t>
            </w:r>
          </w:p>
        </w:tc>
        <w:tc>
          <w:tcPr>
            <w:tcW w:w="1621" w:type="dxa"/>
            <w:vAlign w:val="center"/>
          </w:tcPr>
          <w:p w:rsidR="00A83D7E" w:rsidRDefault="00697E68">
            <w:pPr>
              <w:jc w:val="right"/>
            </w:pPr>
            <w:r>
              <w:rPr>
                <w:color w:val="000000"/>
                <w:kern w:val="0"/>
                <w:sz w:val="24"/>
                <w:szCs w:val="24"/>
              </w:rPr>
              <w:t>0.02</w:t>
            </w:r>
          </w:p>
        </w:tc>
      </w:tr>
      <w:tr w:rsidR="00A83D7E">
        <w:tc>
          <w:tcPr>
            <w:tcW w:w="1808" w:type="dxa"/>
            <w:vAlign w:val="center"/>
          </w:tcPr>
          <w:p w:rsidR="00A83D7E" w:rsidRDefault="00697E68">
            <w:pPr>
              <w:jc w:val="center"/>
            </w:pPr>
            <w:r>
              <w:rPr>
                <w:color w:val="000000"/>
                <w:kern w:val="0"/>
                <w:sz w:val="24"/>
                <w:szCs w:val="24"/>
              </w:rPr>
              <w:t>3</w:t>
            </w:r>
          </w:p>
        </w:tc>
        <w:tc>
          <w:tcPr>
            <w:tcW w:w="1729" w:type="dxa"/>
            <w:vAlign w:val="center"/>
          </w:tcPr>
          <w:p w:rsidR="00A83D7E" w:rsidRDefault="00697E68">
            <w:pPr>
              <w:jc w:val="center"/>
            </w:pPr>
            <w:r>
              <w:rPr>
                <w:color w:val="000000"/>
                <w:kern w:val="0"/>
                <w:sz w:val="24"/>
                <w:szCs w:val="24"/>
              </w:rPr>
              <w:t>123021</w:t>
            </w:r>
          </w:p>
        </w:tc>
        <w:tc>
          <w:tcPr>
            <w:tcW w:w="1658" w:type="dxa"/>
            <w:vAlign w:val="center"/>
          </w:tcPr>
          <w:p w:rsidR="00A83D7E" w:rsidRDefault="00697E68">
            <w:pPr>
              <w:jc w:val="center"/>
            </w:pPr>
            <w:r>
              <w:rPr>
                <w:color w:val="000000"/>
                <w:kern w:val="0"/>
                <w:sz w:val="24"/>
                <w:szCs w:val="24"/>
              </w:rPr>
              <w:t>万信转</w:t>
            </w:r>
            <w:r>
              <w:rPr>
                <w:color w:val="000000"/>
                <w:kern w:val="0"/>
                <w:sz w:val="24"/>
                <w:szCs w:val="24"/>
              </w:rPr>
              <w:t>2</w:t>
            </w:r>
          </w:p>
        </w:tc>
        <w:tc>
          <w:tcPr>
            <w:tcW w:w="1697" w:type="dxa"/>
            <w:vAlign w:val="center"/>
          </w:tcPr>
          <w:p w:rsidR="00A83D7E" w:rsidRDefault="00697E68">
            <w:pPr>
              <w:jc w:val="right"/>
            </w:pPr>
            <w:r>
              <w:rPr>
                <w:color w:val="000000"/>
                <w:kern w:val="0"/>
                <w:sz w:val="24"/>
                <w:szCs w:val="24"/>
              </w:rPr>
              <w:t>55,220.00</w:t>
            </w:r>
          </w:p>
        </w:tc>
        <w:tc>
          <w:tcPr>
            <w:tcW w:w="1621" w:type="dxa"/>
            <w:vAlign w:val="center"/>
          </w:tcPr>
          <w:p w:rsidR="00A83D7E" w:rsidRDefault="00697E68">
            <w:pPr>
              <w:jc w:val="right"/>
            </w:pPr>
            <w:r>
              <w:rPr>
                <w:color w:val="000000"/>
                <w:kern w:val="0"/>
                <w:sz w:val="24"/>
                <w:szCs w:val="24"/>
              </w:rPr>
              <w:t>0.02</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291,673,051.53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291,673,051.53</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A83D7E" w:rsidRDefault="00697E68">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中国证监会准予易方达科顺定期开放灵活配置混合型证券投资基金注册的文件；</w:t>
      </w:r>
    </w:p>
    <w:p w:rsidR="00A83D7E" w:rsidRDefault="00697E68">
      <w:pPr>
        <w:spacing w:line="360" w:lineRule="auto"/>
        <w:ind w:firstLineChars="200" w:firstLine="480"/>
        <w:rPr>
          <w:color w:val="000000"/>
          <w:sz w:val="24"/>
          <w:szCs w:val="24"/>
        </w:rPr>
      </w:pPr>
      <w:r>
        <w:rPr>
          <w:color w:val="000000"/>
          <w:sz w:val="24"/>
          <w:szCs w:val="24"/>
        </w:rPr>
        <w:t>2.</w:t>
      </w:r>
      <w:r>
        <w:rPr>
          <w:color w:val="000000"/>
          <w:sz w:val="24"/>
          <w:szCs w:val="24"/>
        </w:rPr>
        <w:t>《易方达科顺定期开放灵活配置混合型证券投资基金基金合同》；</w:t>
      </w:r>
    </w:p>
    <w:p w:rsidR="00A83D7E" w:rsidRDefault="00697E68">
      <w:pPr>
        <w:spacing w:line="360" w:lineRule="auto"/>
        <w:ind w:firstLineChars="200" w:firstLine="480"/>
        <w:rPr>
          <w:color w:val="000000"/>
          <w:sz w:val="24"/>
          <w:szCs w:val="24"/>
        </w:rPr>
      </w:pPr>
      <w:r>
        <w:rPr>
          <w:color w:val="000000"/>
          <w:sz w:val="24"/>
          <w:szCs w:val="24"/>
        </w:rPr>
        <w:t>3.</w:t>
      </w:r>
      <w:r>
        <w:rPr>
          <w:color w:val="000000"/>
          <w:sz w:val="24"/>
          <w:szCs w:val="24"/>
        </w:rPr>
        <w:t>《易方达科顺定期开放灵活配置混合型证券投资基金托管协议》；</w:t>
      </w:r>
    </w:p>
    <w:p w:rsidR="00A83D7E" w:rsidRDefault="00697E68">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97E68">
      <w:rPr>
        <w:rStyle w:val="a7"/>
        <w:noProof/>
      </w:rPr>
      <w:t>1</w:t>
    </w:r>
    <w:r>
      <w:rPr>
        <w:rStyle w:val="a7"/>
      </w:rPr>
      <w:fldChar w:fldCharType="end"/>
    </w:r>
    <w:r>
      <w:rPr>
        <w:rStyle w:val="a7"/>
        <w:rFonts w:hint="eastAsia"/>
      </w:rPr>
      <w:t>页共</w:t>
    </w:r>
    <w:r w:rsidR="00697E68">
      <w:fldChar w:fldCharType="begin"/>
    </w:r>
    <w:r w:rsidR="00697E68">
      <w:instrText xml:space="preserve"> NUMPAGES  \* Arabic  \* MERGEFORMAT </w:instrText>
    </w:r>
    <w:r w:rsidR="00697E68">
      <w:fldChar w:fldCharType="separate"/>
    </w:r>
    <w:r w:rsidR="00697E68" w:rsidRPr="00697E68">
      <w:rPr>
        <w:rStyle w:val="a7"/>
        <w:noProof/>
      </w:rPr>
      <w:t>3</w:t>
    </w:r>
    <w:r w:rsidR="00697E68">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97E68">
      <w:rPr>
        <w:rStyle w:val="a7"/>
        <w:noProof/>
      </w:rPr>
      <w:t>12</w:t>
    </w:r>
    <w:r>
      <w:rPr>
        <w:rStyle w:val="a7"/>
      </w:rPr>
      <w:fldChar w:fldCharType="end"/>
    </w:r>
    <w:r>
      <w:rPr>
        <w:rStyle w:val="a7"/>
        <w:rFonts w:hint="eastAsia"/>
      </w:rPr>
      <w:t>页共</w:t>
    </w:r>
    <w:fldSimple w:instr=" NUMPAGES  \* Arabic  \* MERGEFORMAT ">
      <w:r w:rsidR="00697E68" w:rsidRPr="00697E68">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易方达科顺定期开放灵活配置混合型证券投资基金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97E68"/>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83D7E"/>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A3A3-9D8A-4AD9-A4BB-BB90DB5D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966</Words>
  <Characters>5511</Characters>
  <Application>Microsoft Office Word</Application>
  <DocSecurity>0</DocSecurity>
  <Lines>45</Lines>
  <Paragraphs>12</Paragraphs>
  <ScaleCrop>false</ScaleCrop>
  <Company/>
  <LinksUpToDate>false</LinksUpToDate>
  <CharactersWithSpaces>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