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易方达3年封闭运作战略配售灵活配置混合型证券投资基金（LOF）</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中国建设银行股份有限公司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9D3C5E" w:rsidRDefault="001461CE">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9D3C5E" w:rsidRDefault="001461CE">
      <w:pPr>
        <w:spacing w:line="360"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9D3C5E" w:rsidRDefault="001461CE">
      <w:pPr>
        <w:spacing w:line="360" w:lineRule="auto"/>
        <w:ind w:firstLineChars="200" w:firstLine="480"/>
        <w:rPr>
          <w:color w:val="000000"/>
          <w:sz w:val="24"/>
          <w:szCs w:val="24"/>
        </w:rPr>
      </w:pPr>
      <w:r>
        <w:rPr>
          <w:color w:val="000000"/>
          <w:sz w:val="24"/>
          <w:szCs w:val="24"/>
        </w:rPr>
        <w:t>基</w:t>
      </w:r>
      <w:r>
        <w:rPr>
          <w:color w:val="000000"/>
          <w:sz w:val="24"/>
          <w:szCs w:val="24"/>
        </w:rPr>
        <w:t>金管理人承诺以诚实信用、勤勉尽责的原则管理和运用基金资产，但不保证基金一定盈利。</w:t>
      </w:r>
      <w:r>
        <w:rPr>
          <w:color w:val="000000"/>
          <w:sz w:val="24"/>
          <w:szCs w:val="24"/>
        </w:rPr>
        <w:t xml:space="preserve"> </w:t>
      </w:r>
    </w:p>
    <w:p w:rsidR="009D3C5E" w:rsidRDefault="001461CE">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9D3C5E" w:rsidRDefault="001461CE">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w:t>
            </w:r>
            <w:r w:rsidRPr="00232B03">
              <w:rPr>
                <w:color w:val="000000"/>
                <w:kern w:val="0"/>
                <w:sz w:val="24"/>
                <w:szCs w:val="24"/>
              </w:rPr>
              <w:t>3</w:t>
            </w:r>
            <w:r w:rsidRPr="00232B03">
              <w:rPr>
                <w:color w:val="000000"/>
                <w:kern w:val="0"/>
                <w:sz w:val="24"/>
                <w:szCs w:val="24"/>
              </w:rPr>
              <w:t>年封闭战略配售混合（</w:t>
            </w:r>
            <w:r w:rsidRPr="00232B03">
              <w:rPr>
                <w:color w:val="000000"/>
                <w:kern w:val="0"/>
                <w:sz w:val="24"/>
                <w:szCs w:val="24"/>
              </w:rPr>
              <w:t>LOF</w:t>
            </w:r>
            <w:r w:rsidRPr="00232B03">
              <w:rPr>
                <w:color w:val="000000"/>
                <w:kern w:val="0"/>
                <w:sz w:val="24"/>
                <w:szCs w:val="24"/>
              </w:rPr>
              <w:t>）</w:t>
            </w:r>
          </w:p>
        </w:tc>
      </w:tr>
      <w:tr w:rsidR="00815999" w:rsidRPr="00264E55" w:rsidTr="003328D9">
        <w:tc>
          <w:tcPr>
            <w:tcW w:w="2835"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场内简称</w:t>
            </w:r>
          </w:p>
        </w:tc>
        <w:tc>
          <w:tcPr>
            <w:tcW w:w="5479"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易基配售</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161131</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161131</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2018</w:t>
            </w:r>
            <w:r w:rsidRPr="00232B03">
              <w:rPr>
                <w:color w:val="000000"/>
                <w:kern w:val="0"/>
                <w:sz w:val="24"/>
                <w:szCs w:val="24"/>
              </w:rPr>
              <w:t>年</w:t>
            </w:r>
            <w:r w:rsidRPr="00232B03">
              <w:rPr>
                <w:color w:val="000000"/>
                <w:kern w:val="0"/>
                <w:sz w:val="24"/>
                <w:szCs w:val="24"/>
              </w:rPr>
              <w:t>7</w:t>
            </w:r>
            <w:r w:rsidRPr="00232B03">
              <w:rPr>
                <w:color w:val="000000"/>
                <w:kern w:val="0"/>
                <w:sz w:val="24"/>
                <w:szCs w:val="24"/>
              </w:rPr>
              <w:t>月</w:t>
            </w:r>
            <w:r w:rsidRPr="00232B03">
              <w:rPr>
                <w:color w:val="000000"/>
                <w:kern w:val="0"/>
                <w:sz w:val="24"/>
                <w:szCs w:val="24"/>
              </w:rPr>
              <w:t>5</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24,455,755,153.17</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在严格控制风险的前提下，追求超越业绩比较基准的投资回报，力争实现基金资产的长期稳健增值。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本基金在封闭运作期内主要采用战略配售和固定收益两种投资策略。基金将深入分析战略配售股票的投资机会，通过综合分析行业景气度、行业竞争格局、公司基本面、治理状况、估值水平、业务持</w:t>
            </w:r>
            <w:r w:rsidRPr="00232B03">
              <w:rPr>
                <w:color w:val="000000"/>
                <w:kern w:val="0"/>
                <w:sz w:val="24"/>
                <w:szCs w:val="24"/>
              </w:rPr>
              <w:lastRenderedPageBreak/>
              <w:t>续性和盈利确定性等多方面因素，结合市场未来走势等判断，精选战略配售个股，并在锁定期结束后选择适当的时机卖出。在债券投资方面主要通过类属配置与券种选择进行投资管理。类属配置方面，基金结合对宏观经济、市场利率、供求变化等因素的综合分析，定期对投资组合类属资产进行优化配置和调整；在券种选择上，基金以长期利率趋势分析为基础，结合经济变化趋势、货币政策及不同债券品种的收益率水平、流动性和信用风险等因素，实施积极主动的债券投资管理。本基金还将积极关注银行存款、同业存单的投资机会并进行合理配置。</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沪深</w:t>
            </w:r>
            <w:r w:rsidRPr="00232B03">
              <w:rPr>
                <w:color w:val="000000"/>
                <w:kern w:val="0"/>
                <w:sz w:val="24"/>
                <w:szCs w:val="24"/>
              </w:rPr>
              <w:t>300</w:t>
            </w:r>
            <w:r w:rsidRPr="00232B03">
              <w:rPr>
                <w:color w:val="000000"/>
                <w:kern w:val="0"/>
                <w:sz w:val="24"/>
                <w:szCs w:val="24"/>
              </w:rPr>
              <w:t>指数收益率</w:t>
            </w:r>
            <w:r w:rsidRPr="00232B03">
              <w:rPr>
                <w:color w:val="000000"/>
                <w:kern w:val="0"/>
                <w:sz w:val="24"/>
                <w:szCs w:val="24"/>
              </w:rPr>
              <w:t>×60%+</w:t>
            </w:r>
            <w:r w:rsidRPr="00232B03">
              <w:rPr>
                <w:color w:val="000000"/>
                <w:kern w:val="0"/>
                <w:sz w:val="24"/>
                <w:szCs w:val="24"/>
              </w:rPr>
              <w:t>中债总指数收益率</w:t>
            </w:r>
            <w:r w:rsidRPr="00232B03">
              <w:rPr>
                <w:color w:val="000000"/>
                <w:kern w:val="0"/>
                <w:sz w:val="24"/>
                <w:szCs w:val="24"/>
              </w:rPr>
              <w:t>×40%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本基金为混合型证券投资基金，其预期风险与预期收益水平低于股票型基金，高于债券型基金和货币市场基金。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中国建设银行股份有限公司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262,337,505.09</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947,094,773.76</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0.0387</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26,789,701,479.23</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1.0954</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9D3C5E" w:rsidRDefault="001461CE">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9D3C5E">
        <w:tc>
          <w:tcPr>
            <w:tcW w:w="1395" w:type="dxa"/>
            <w:vAlign w:val="center"/>
          </w:tcPr>
          <w:p w:rsidR="009D3C5E" w:rsidRDefault="001461CE">
            <w:pPr>
              <w:jc w:val="left"/>
            </w:pPr>
            <w:r>
              <w:rPr>
                <w:color w:val="000000"/>
                <w:kern w:val="0"/>
                <w:sz w:val="24"/>
                <w:szCs w:val="24"/>
              </w:rPr>
              <w:t>过去三个月</w:t>
            </w:r>
          </w:p>
        </w:tc>
        <w:tc>
          <w:tcPr>
            <w:tcW w:w="1092" w:type="dxa"/>
            <w:vAlign w:val="center"/>
          </w:tcPr>
          <w:p w:rsidR="009D3C5E" w:rsidRDefault="001461CE">
            <w:pPr>
              <w:jc w:val="center"/>
            </w:pPr>
            <w:r>
              <w:rPr>
                <w:color w:val="000000"/>
                <w:kern w:val="0"/>
                <w:sz w:val="24"/>
                <w:szCs w:val="24"/>
              </w:rPr>
              <w:t>3.66%</w:t>
            </w:r>
          </w:p>
        </w:tc>
        <w:tc>
          <w:tcPr>
            <w:tcW w:w="1161" w:type="dxa"/>
            <w:vAlign w:val="center"/>
          </w:tcPr>
          <w:p w:rsidR="009D3C5E" w:rsidRDefault="001461CE">
            <w:pPr>
              <w:jc w:val="center"/>
            </w:pPr>
            <w:r>
              <w:rPr>
                <w:color w:val="000000"/>
                <w:kern w:val="0"/>
                <w:sz w:val="24"/>
                <w:szCs w:val="24"/>
              </w:rPr>
              <w:t>0.30%</w:t>
            </w:r>
          </w:p>
        </w:tc>
        <w:tc>
          <w:tcPr>
            <w:tcW w:w="1181" w:type="dxa"/>
            <w:vAlign w:val="center"/>
          </w:tcPr>
          <w:p w:rsidR="009D3C5E" w:rsidRDefault="001461CE">
            <w:pPr>
              <w:jc w:val="center"/>
            </w:pPr>
            <w:r>
              <w:rPr>
                <w:color w:val="000000"/>
                <w:kern w:val="0"/>
                <w:sz w:val="24"/>
                <w:szCs w:val="24"/>
              </w:rPr>
              <w:t>0.07%</w:t>
            </w:r>
          </w:p>
        </w:tc>
        <w:tc>
          <w:tcPr>
            <w:tcW w:w="1188" w:type="dxa"/>
            <w:vAlign w:val="center"/>
          </w:tcPr>
          <w:p w:rsidR="009D3C5E" w:rsidRDefault="001461CE">
            <w:pPr>
              <w:jc w:val="center"/>
            </w:pPr>
            <w:r>
              <w:rPr>
                <w:color w:val="000000"/>
                <w:kern w:val="0"/>
                <w:sz w:val="24"/>
                <w:szCs w:val="24"/>
              </w:rPr>
              <w:t>0.57%</w:t>
            </w:r>
          </w:p>
        </w:tc>
        <w:tc>
          <w:tcPr>
            <w:tcW w:w="1199" w:type="dxa"/>
            <w:vAlign w:val="center"/>
          </w:tcPr>
          <w:p w:rsidR="009D3C5E" w:rsidRDefault="001461CE">
            <w:pPr>
              <w:jc w:val="center"/>
            </w:pPr>
            <w:r>
              <w:rPr>
                <w:color w:val="000000"/>
                <w:kern w:val="0"/>
                <w:sz w:val="24"/>
                <w:szCs w:val="24"/>
              </w:rPr>
              <w:t>3.59%</w:t>
            </w:r>
          </w:p>
        </w:tc>
        <w:tc>
          <w:tcPr>
            <w:tcW w:w="1204" w:type="dxa"/>
            <w:vAlign w:val="center"/>
          </w:tcPr>
          <w:p w:rsidR="009D3C5E" w:rsidRDefault="001461CE">
            <w:pPr>
              <w:jc w:val="center"/>
            </w:pPr>
            <w:r>
              <w:rPr>
                <w:color w:val="000000"/>
                <w:kern w:val="0"/>
                <w:sz w:val="24"/>
                <w:szCs w:val="24"/>
              </w:rPr>
              <w:t>-0.27%</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w:t>
      </w:r>
      <w:r w:rsidRPr="0074694E">
        <w:rPr>
          <w:color w:val="000000"/>
          <w:sz w:val="24"/>
          <w:szCs w:val="24"/>
        </w:rPr>
        <w:t>3</w:t>
      </w:r>
      <w:r w:rsidRPr="0074694E">
        <w:rPr>
          <w:color w:val="000000"/>
          <w:sz w:val="24"/>
          <w:szCs w:val="24"/>
        </w:rPr>
        <w:t>年封闭运作战略配售灵活配置混合型证券投资基金（</w:t>
      </w:r>
      <w:r w:rsidRPr="0074694E">
        <w:rPr>
          <w:color w:val="000000"/>
          <w:sz w:val="24"/>
          <w:szCs w:val="24"/>
        </w:rPr>
        <w:t>LOF</w:t>
      </w:r>
      <w:r w:rsidRPr="0074694E">
        <w:rPr>
          <w:color w:val="000000"/>
          <w:sz w:val="24"/>
          <w:szCs w:val="24"/>
        </w:rPr>
        <w:t>）</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2018</w:t>
      </w:r>
      <w:r w:rsidRPr="0074694E">
        <w:rPr>
          <w:rFonts w:ascii="Times New Roman" w:hAnsi="Times New Roman"/>
          <w:sz w:val="24"/>
          <w:szCs w:val="24"/>
        </w:rPr>
        <w:t>年</w:t>
      </w:r>
      <w:r w:rsidRPr="0074694E">
        <w:rPr>
          <w:rFonts w:ascii="Times New Roman" w:hAnsi="Times New Roman"/>
          <w:sz w:val="24"/>
          <w:szCs w:val="24"/>
        </w:rPr>
        <w:t>7</w:t>
      </w:r>
      <w:r w:rsidRPr="0074694E">
        <w:rPr>
          <w:rFonts w:ascii="Times New Roman" w:hAnsi="Times New Roman"/>
          <w:sz w:val="24"/>
          <w:szCs w:val="24"/>
        </w:rPr>
        <w:t>月</w:t>
      </w:r>
      <w:r w:rsidRPr="0074694E">
        <w:rPr>
          <w:rFonts w:ascii="Times New Roman" w:hAnsi="Times New Roman"/>
          <w:sz w:val="24"/>
          <w:szCs w:val="24"/>
        </w:rPr>
        <w:t>5</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1461CE"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9D3C5E" w:rsidRDefault="001461CE">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按基金合同和招募说明书的约定，本基金的建仓期为六个月，建仓期结束时各项资产配置比例符合基金合同（第十三部分二、投资范围，三、投资策略和四、投资限制）的有关约定。</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2.</w:t>
      </w:r>
      <w:r w:rsidRPr="006C56AA">
        <w:rPr>
          <w:color w:val="000000"/>
          <w:sz w:val="24"/>
          <w:szCs w:val="24"/>
        </w:rPr>
        <w:t>自基金合同生效至报告期末，基金份额净值增长率为</w:t>
      </w:r>
      <w:r w:rsidRPr="006C56AA">
        <w:rPr>
          <w:color w:val="000000"/>
          <w:sz w:val="24"/>
          <w:szCs w:val="24"/>
        </w:rPr>
        <w:t>9.54%</w:t>
      </w:r>
      <w:r w:rsidRPr="006C56AA">
        <w:rPr>
          <w:color w:val="000000"/>
          <w:sz w:val="24"/>
          <w:szCs w:val="24"/>
        </w:rPr>
        <w:t>，同期业绩比较基准收益率为</w:t>
      </w:r>
      <w:r w:rsidRPr="006C56AA">
        <w:rPr>
          <w:color w:val="000000"/>
          <w:sz w:val="24"/>
          <w:szCs w:val="24"/>
        </w:rPr>
        <w:t>9.30%</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9D3C5E">
        <w:tc>
          <w:tcPr>
            <w:tcW w:w="567" w:type="dxa"/>
            <w:vAlign w:val="center"/>
          </w:tcPr>
          <w:p w:rsidR="009D3C5E" w:rsidRDefault="001461CE">
            <w:pPr>
              <w:jc w:val="center"/>
            </w:pPr>
            <w:r>
              <w:rPr>
                <w:color w:val="000000"/>
                <w:sz w:val="24"/>
              </w:rPr>
              <w:t>付浩</w:t>
            </w:r>
          </w:p>
        </w:tc>
        <w:tc>
          <w:tcPr>
            <w:tcW w:w="2835" w:type="dxa"/>
            <w:vAlign w:val="center"/>
          </w:tcPr>
          <w:p w:rsidR="009D3C5E" w:rsidRDefault="001461CE">
            <w:pPr>
              <w:jc w:val="center"/>
            </w:pPr>
            <w:r>
              <w:rPr>
                <w:color w:val="000000"/>
                <w:sz w:val="24"/>
              </w:rPr>
              <w:t>本基金的基金经理、易方达科汇灵活配置混合型证券投资基金的基金经理、权益投资管理部总经理、投资经理</w:t>
            </w:r>
          </w:p>
        </w:tc>
        <w:tc>
          <w:tcPr>
            <w:tcW w:w="851" w:type="dxa"/>
            <w:vAlign w:val="center"/>
          </w:tcPr>
          <w:p w:rsidR="009D3C5E" w:rsidRDefault="001461CE">
            <w:pPr>
              <w:jc w:val="center"/>
            </w:pPr>
            <w:r>
              <w:rPr>
                <w:color w:val="000000"/>
                <w:sz w:val="24"/>
              </w:rPr>
              <w:t>2018-07-05</w:t>
            </w:r>
          </w:p>
        </w:tc>
        <w:tc>
          <w:tcPr>
            <w:tcW w:w="850" w:type="dxa"/>
            <w:vAlign w:val="center"/>
          </w:tcPr>
          <w:p w:rsidR="009D3C5E" w:rsidRDefault="001461CE">
            <w:pPr>
              <w:jc w:val="center"/>
            </w:pPr>
            <w:r>
              <w:rPr>
                <w:color w:val="000000"/>
                <w:sz w:val="24"/>
              </w:rPr>
              <w:t>-</w:t>
            </w:r>
          </w:p>
        </w:tc>
        <w:tc>
          <w:tcPr>
            <w:tcW w:w="851" w:type="dxa"/>
            <w:vAlign w:val="center"/>
          </w:tcPr>
          <w:p w:rsidR="009D3C5E" w:rsidRDefault="001461CE">
            <w:pPr>
              <w:jc w:val="center"/>
            </w:pPr>
            <w:r>
              <w:rPr>
                <w:color w:val="000000"/>
                <w:sz w:val="24"/>
              </w:rPr>
              <w:t>22</w:t>
            </w:r>
            <w:r>
              <w:rPr>
                <w:color w:val="000000"/>
                <w:sz w:val="24"/>
              </w:rPr>
              <w:t>年</w:t>
            </w:r>
          </w:p>
        </w:tc>
        <w:tc>
          <w:tcPr>
            <w:tcW w:w="2977" w:type="dxa"/>
            <w:vAlign w:val="center"/>
          </w:tcPr>
          <w:p w:rsidR="009D3C5E" w:rsidRDefault="001461CE">
            <w:r>
              <w:rPr>
                <w:color w:val="000000"/>
                <w:sz w:val="24"/>
              </w:rPr>
              <w:t>硕士研究生，曾任广东粤财信托投资有限公司国际金融部职员，深圳和君创业研究咨询有限公司管理咨询项目经理，湖南证券投资银行总部项目经理，融通基金管理有限公司研究策划部研究员，易方达基金管理有限公司权益投资总部副总经理、养老金与专户权益投资部副总经理、公募基金投资部总经理、基金经理助理、易方达策略成长证券投资基金基金经理、科瑞证券投资基金基金经理、易方达科翔股票型证券投资基金基金经理。</w:t>
            </w:r>
          </w:p>
        </w:tc>
      </w:tr>
      <w:tr w:rsidR="009D3C5E">
        <w:tc>
          <w:tcPr>
            <w:tcW w:w="567" w:type="dxa"/>
            <w:vAlign w:val="center"/>
          </w:tcPr>
          <w:p w:rsidR="009D3C5E" w:rsidRDefault="001461CE">
            <w:pPr>
              <w:jc w:val="center"/>
            </w:pPr>
            <w:r>
              <w:rPr>
                <w:color w:val="000000"/>
                <w:sz w:val="24"/>
              </w:rPr>
              <w:t>纪玲云</w:t>
            </w:r>
          </w:p>
        </w:tc>
        <w:tc>
          <w:tcPr>
            <w:tcW w:w="2835" w:type="dxa"/>
            <w:vAlign w:val="center"/>
          </w:tcPr>
          <w:p w:rsidR="009D3C5E" w:rsidRDefault="001461CE">
            <w:pPr>
              <w:jc w:val="center"/>
            </w:pPr>
            <w:r>
              <w:rPr>
                <w:color w:val="000000"/>
                <w:sz w:val="24"/>
              </w:rPr>
              <w:t>本基金的基金经理、易方达信用债债券型证券投资基金的基金经理、易方达瑞财灵活配置混合型证券投资基金的基金经理、易方达恒盛</w:t>
            </w:r>
            <w:r>
              <w:rPr>
                <w:color w:val="000000"/>
                <w:sz w:val="24"/>
              </w:rPr>
              <w:t>3</w:t>
            </w:r>
            <w:r>
              <w:rPr>
                <w:color w:val="000000"/>
                <w:sz w:val="24"/>
              </w:rPr>
              <w:t>个月定期开放混合型发起式证券投资基金的基金经理、易方达恒利</w:t>
            </w:r>
            <w:r>
              <w:rPr>
                <w:color w:val="000000"/>
                <w:sz w:val="24"/>
              </w:rPr>
              <w:t>3</w:t>
            </w:r>
            <w:r>
              <w:rPr>
                <w:color w:val="000000"/>
                <w:sz w:val="24"/>
              </w:rPr>
              <w:t>个月定期开放债券型发起式证券投资基金的基金经理、易方达稳健收益债券型证券投资基金的基金经理助理、易方达丰惠混合型证券投资基金的基金经理助理、固定收益研究部总经理助理</w:t>
            </w:r>
          </w:p>
        </w:tc>
        <w:tc>
          <w:tcPr>
            <w:tcW w:w="851" w:type="dxa"/>
            <w:vAlign w:val="center"/>
          </w:tcPr>
          <w:p w:rsidR="009D3C5E" w:rsidRDefault="001461CE">
            <w:pPr>
              <w:jc w:val="center"/>
            </w:pPr>
            <w:r>
              <w:rPr>
                <w:color w:val="000000"/>
                <w:sz w:val="24"/>
              </w:rPr>
              <w:t>2018-07-05</w:t>
            </w:r>
          </w:p>
        </w:tc>
        <w:tc>
          <w:tcPr>
            <w:tcW w:w="850" w:type="dxa"/>
            <w:vAlign w:val="center"/>
          </w:tcPr>
          <w:p w:rsidR="009D3C5E" w:rsidRDefault="001461CE">
            <w:pPr>
              <w:jc w:val="center"/>
            </w:pPr>
            <w:r>
              <w:rPr>
                <w:color w:val="000000"/>
                <w:sz w:val="24"/>
              </w:rPr>
              <w:t>-</w:t>
            </w:r>
          </w:p>
        </w:tc>
        <w:tc>
          <w:tcPr>
            <w:tcW w:w="851" w:type="dxa"/>
            <w:vAlign w:val="center"/>
          </w:tcPr>
          <w:p w:rsidR="009D3C5E" w:rsidRDefault="001461CE">
            <w:pPr>
              <w:jc w:val="center"/>
            </w:pPr>
            <w:r>
              <w:rPr>
                <w:color w:val="000000"/>
                <w:sz w:val="24"/>
              </w:rPr>
              <w:t>10</w:t>
            </w:r>
            <w:r>
              <w:rPr>
                <w:color w:val="000000"/>
                <w:sz w:val="24"/>
              </w:rPr>
              <w:t>年</w:t>
            </w:r>
          </w:p>
        </w:tc>
        <w:tc>
          <w:tcPr>
            <w:tcW w:w="2977" w:type="dxa"/>
            <w:vAlign w:val="center"/>
          </w:tcPr>
          <w:p w:rsidR="009D3C5E" w:rsidRDefault="001461CE">
            <w:r>
              <w:rPr>
                <w:color w:val="000000"/>
                <w:sz w:val="24"/>
              </w:rPr>
              <w:t>硕士研究生，曾任易方达基金管理有限公司固定收益研究员、投资经理助理兼固定收益研究员。</w:t>
            </w:r>
          </w:p>
        </w:tc>
      </w:tr>
      <w:tr w:rsidR="009D3C5E">
        <w:tc>
          <w:tcPr>
            <w:tcW w:w="567" w:type="dxa"/>
            <w:vAlign w:val="center"/>
          </w:tcPr>
          <w:p w:rsidR="009D3C5E" w:rsidRDefault="001461CE">
            <w:pPr>
              <w:jc w:val="center"/>
            </w:pPr>
            <w:r>
              <w:rPr>
                <w:color w:val="000000"/>
                <w:sz w:val="24"/>
              </w:rPr>
              <w:t>肖林</w:t>
            </w:r>
          </w:p>
        </w:tc>
        <w:tc>
          <w:tcPr>
            <w:tcW w:w="2835" w:type="dxa"/>
            <w:vAlign w:val="center"/>
          </w:tcPr>
          <w:p w:rsidR="009D3C5E" w:rsidRDefault="001461CE">
            <w:pPr>
              <w:jc w:val="center"/>
            </w:pPr>
            <w:r>
              <w:rPr>
                <w:color w:val="000000"/>
                <w:sz w:val="24"/>
              </w:rPr>
              <w:t>本基金的基金经理</w:t>
            </w:r>
          </w:p>
        </w:tc>
        <w:tc>
          <w:tcPr>
            <w:tcW w:w="851" w:type="dxa"/>
            <w:vAlign w:val="center"/>
          </w:tcPr>
          <w:p w:rsidR="009D3C5E" w:rsidRDefault="001461CE">
            <w:pPr>
              <w:jc w:val="center"/>
            </w:pPr>
            <w:r>
              <w:rPr>
                <w:color w:val="000000"/>
                <w:sz w:val="24"/>
              </w:rPr>
              <w:t>2018-07-05</w:t>
            </w:r>
          </w:p>
        </w:tc>
        <w:tc>
          <w:tcPr>
            <w:tcW w:w="850" w:type="dxa"/>
            <w:vAlign w:val="center"/>
          </w:tcPr>
          <w:p w:rsidR="009D3C5E" w:rsidRDefault="001461CE">
            <w:pPr>
              <w:jc w:val="center"/>
            </w:pPr>
            <w:r>
              <w:rPr>
                <w:color w:val="000000"/>
                <w:sz w:val="24"/>
              </w:rPr>
              <w:t>2019-09-10</w:t>
            </w:r>
          </w:p>
        </w:tc>
        <w:tc>
          <w:tcPr>
            <w:tcW w:w="851" w:type="dxa"/>
            <w:vAlign w:val="center"/>
          </w:tcPr>
          <w:p w:rsidR="009D3C5E" w:rsidRDefault="001461CE">
            <w:pPr>
              <w:jc w:val="center"/>
            </w:pPr>
            <w:r>
              <w:rPr>
                <w:color w:val="000000"/>
                <w:sz w:val="24"/>
              </w:rPr>
              <w:t>11</w:t>
            </w:r>
            <w:r>
              <w:rPr>
                <w:color w:val="000000"/>
                <w:sz w:val="24"/>
              </w:rPr>
              <w:t>年</w:t>
            </w:r>
          </w:p>
        </w:tc>
        <w:tc>
          <w:tcPr>
            <w:tcW w:w="2977" w:type="dxa"/>
            <w:vAlign w:val="center"/>
          </w:tcPr>
          <w:p w:rsidR="009D3C5E" w:rsidRDefault="001461CE">
            <w:r>
              <w:rPr>
                <w:color w:val="000000"/>
                <w:sz w:val="24"/>
              </w:rPr>
              <w:t>本科学士，曾任易方达基金管理有限公司集中交易室交易员、运作支持专员，研究部研究员，易方达瑞惠灵活配置混合型发起式证券投资基金基金经理。</w:t>
            </w:r>
          </w:p>
        </w:tc>
      </w:tr>
      <w:tr w:rsidR="009D3C5E">
        <w:tc>
          <w:tcPr>
            <w:tcW w:w="567" w:type="dxa"/>
            <w:vAlign w:val="center"/>
          </w:tcPr>
          <w:p w:rsidR="009D3C5E" w:rsidRDefault="001461CE">
            <w:pPr>
              <w:jc w:val="center"/>
            </w:pPr>
            <w:r>
              <w:rPr>
                <w:color w:val="000000"/>
                <w:sz w:val="24"/>
              </w:rPr>
              <w:t>胡剑</w:t>
            </w:r>
          </w:p>
        </w:tc>
        <w:tc>
          <w:tcPr>
            <w:tcW w:w="2835" w:type="dxa"/>
            <w:vAlign w:val="center"/>
          </w:tcPr>
          <w:p w:rsidR="009D3C5E" w:rsidRDefault="001461CE">
            <w:pPr>
              <w:jc w:val="center"/>
            </w:pPr>
            <w:r>
              <w:rPr>
                <w:color w:val="000000"/>
                <w:sz w:val="24"/>
              </w:rPr>
              <w:t>本基金的基金经理、易方达裕惠回报定期开放式混合型发起式证券投资基金的基金经理、易方达信用债债券型证券投资基金的基金经理、易方达稳健收益债券型证券投资基金的基金经理、易方达岁丰添利债券型证券投资基金的基金经理、易方达瑞祺灵活配置混合型证券投资基金的基金经理、易方达瑞智灵活配置混合型证券投资基金的基金经理（自</w:t>
            </w:r>
            <w:r>
              <w:rPr>
                <w:color w:val="000000"/>
                <w:sz w:val="24"/>
              </w:rPr>
              <w:t>2017</w:t>
            </w:r>
            <w:r>
              <w:rPr>
                <w:color w:val="000000"/>
                <w:sz w:val="24"/>
              </w:rPr>
              <w:t>年</w:t>
            </w:r>
            <w:r>
              <w:rPr>
                <w:color w:val="000000"/>
                <w:sz w:val="24"/>
              </w:rPr>
              <w:t>06</w:t>
            </w:r>
            <w:r>
              <w:rPr>
                <w:color w:val="000000"/>
                <w:sz w:val="24"/>
              </w:rPr>
              <w:t>月</w:t>
            </w:r>
            <w:r>
              <w:rPr>
                <w:color w:val="000000"/>
                <w:sz w:val="24"/>
              </w:rPr>
              <w:t>21</w:t>
            </w:r>
            <w:r>
              <w:rPr>
                <w:color w:val="000000"/>
                <w:sz w:val="24"/>
              </w:rPr>
              <w:t>日至</w:t>
            </w:r>
            <w:r>
              <w:rPr>
                <w:color w:val="000000"/>
                <w:sz w:val="24"/>
              </w:rPr>
              <w:t>201</w:t>
            </w:r>
            <w:r>
              <w:rPr>
                <w:color w:val="000000"/>
                <w:sz w:val="24"/>
              </w:rPr>
              <w:t>9</w:t>
            </w:r>
            <w:r>
              <w:rPr>
                <w:color w:val="000000"/>
                <w:sz w:val="24"/>
              </w:rPr>
              <w:t>年</w:t>
            </w:r>
            <w:r>
              <w:rPr>
                <w:color w:val="000000"/>
                <w:sz w:val="24"/>
              </w:rPr>
              <w:t>07</w:t>
            </w:r>
            <w:r>
              <w:rPr>
                <w:color w:val="000000"/>
                <w:sz w:val="24"/>
              </w:rPr>
              <w:t>月</w:t>
            </w:r>
            <w:r>
              <w:rPr>
                <w:color w:val="000000"/>
                <w:sz w:val="24"/>
              </w:rPr>
              <w:t>02</w:t>
            </w:r>
            <w:r>
              <w:rPr>
                <w:color w:val="000000"/>
                <w:sz w:val="24"/>
              </w:rPr>
              <w:t>日）、易方达瑞兴灵活配置混合型证券投资基金的基金经理（自</w:t>
            </w:r>
            <w:r>
              <w:rPr>
                <w:color w:val="000000"/>
                <w:sz w:val="24"/>
              </w:rPr>
              <w:t>2017</w:t>
            </w:r>
            <w:r>
              <w:rPr>
                <w:color w:val="000000"/>
                <w:sz w:val="24"/>
              </w:rPr>
              <w:t>年</w:t>
            </w:r>
            <w:r>
              <w:rPr>
                <w:color w:val="000000"/>
                <w:sz w:val="24"/>
              </w:rPr>
              <w:t>06</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日）、易方达瑞祥灵活配置混合型证券投资基金的基金经理（自</w:t>
            </w:r>
            <w:r>
              <w:rPr>
                <w:color w:val="000000"/>
                <w:sz w:val="24"/>
              </w:rPr>
              <w:t>2018</w:t>
            </w:r>
            <w:r>
              <w:rPr>
                <w:color w:val="000000"/>
                <w:sz w:val="24"/>
              </w:rPr>
              <w:t>年</w:t>
            </w:r>
            <w:r>
              <w:rPr>
                <w:color w:val="000000"/>
                <w:sz w:val="24"/>
              </w:rPr>
              <w:t>01</w:t>
            </w:r>
            <w:r>
              <w:rPr>
                <w:color w:val="000000"/>
                <w:sz w:val="24"/>
              </w:rPr>
              <w:t>月</w:t>
            </w:r>
            <w:r>
              <w:rPr>
                <w:color w:val="000000"/>
                <w:sz w:val="24"/>
              </w:rPr>
              <w:t>19</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日）、易方达瑞富灵活配置混合型证券投资基金的基金经理、易方达瑞财灵活配置混合型证券投资基金的基金经理、易方达恒益定期开放债券型发起式证券投资基金的基金经理、易方达恒盛</w:t>
            </w:r>
            <w:r>
              <w:rPr>
                <w:color w:val="000000"/>
                <w:sz w:val="24"/>
              </w:rPr>
              <w:t>3</w:t>
            </w:r>
            <w:r>
              <w:rPr>
                <w:color w:val="000000"/>
                <w:sz w:val="24"/>
              </w:rPr>
              <w:t>个月定期开放混合型发起式证券投资基金的基金经理、易方达恒利</w:t>
            </w:r>
            <w:r>
              <w:rPr>
                <w:color w:val="000000"/>
                <w:sz w:val="24"/>
              </w:rPr>
              <w:t>3</w:t>
            </w:r>
            <w:r>
              <w:rPr>
                <w:color w:val="000000"/>
                <w:sz w:val="24"/>
              </w:rPr>
              <w:t>个月定期开放债券型发起式证券投资基金的基金经理、易方达高等级信用债债券</w:t>
            </w:r>
            <w:r>
              <w:rPr>
                <w:color w:val="000000"/>
                <w:sz w:val="24"/>
              </w:rPr>
              <w:t>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17</w:t>
            </w:r>
            <w:r>
              <w:rPr>
                <w:color w:val="000000"/>
                <w:sz w:val="24"/>
              </w:rPr>
              <w:t>日）、易方达丰惠混合型证券投资基金的基金经理、固定收益研究部总经理、固定收益投资部总经理</w:t>
            </w:r>
          </w:p>
        </w:tc>
        <w:tc>
          <w:tcPr>
            <w:tcW w:w="851" w:type="dxa"/>
            <w:vAlign w:val="center"/>
          </w:tcPr>
          <w:p w:rsidR="009D3C5E" w:rsidRDefault="001461CE">
            <w:pPr>
              <w:jc w:val="center"/>
            </w:pPr>
            <w:r>
              <w:rPr>
                <w:color w:val="000000"/>
                <w:sz w:val="24"/>
              </w:rPr>
              <w:t>2018-07-05</w:t>
            </w:r>
          </w:p>
        </w:tc>
        <w:tc>
          <w:tcPr>
            <w:tcW w:w="850" w:type="dxa"/>
            <w:vAlign w:val="center"/>
          </w:tcPr>
          <w:p w:rsidR="009D3C5E" w:rsidRDefault="001461CE">
            <w:pPr>
              <w:jc w:val="center"/>
            </w:pPr>
            <w:r>
              <w:rPr>
                <w:color w:val="000000"/>
                <w:sz w:val="24"/>
              </w:rPr>
              <w:t>-</w:t>
            </w:r>
          </w:p>
        </w:tc>
        <w:tc>
          <w:tcPr>
            <w:tcW w:w="851" w:type="dxa"/>
            <w:vAlign w:val="center"/>
          </w:tcPr>
          <w:p w:rsidR="009D3C5E" w:rsidRDefault="001461CE">
            <w:pPr>
              <w:jc w:val="center"/>
            </w:pPr>
            <w:r>
              <w:rPr>
                <w:color w:val="000000"/>
                <w:sz w:val="24"/>
              </w:rPr>
              <w:t>13</w:t>
            </w:r>
            <w:r>
              <w:rPr>
                <w:color w:val="000000"/>
                <w:sz w:val="24"/>
              </w:rPr>
              <w:t>年</w:t>
            </w:r>
          </w:p>
        </w:tc>
        <w:tc>
          <w:tcPr>
            <w:tcW w:w="2977" w:type="dxa"/>
            <w:vAlign w:val="center"/>
          </w:tcPr>
          <w:p w:rsidR="009D3C5E" w:rsidRDefault="001461CE">
            <w:r>
              <w:rPr>
                <w:color w:val="000000"/>
                <w:sz w:val="24"/>
              </w:rPr>
              <w:t>硕士研究生，曾任易方达基金管理有限公司固定收益部债券研究员、基金经理助理兼债券研究员、固定收益研究部负责人、固定收益总部总经理助理、易方达中债新综合债券指数发起式证券投资基金（</w:t>
            </w:r>
            <w:r>
              <w:rPr>
                <w:color w:val="000000"/>
                <w:sz w:val="24"/>
              </w:rPr>
              <w:t>LOF</w:t>
            </w:r>
            <w:r>
              <w:rPr>
                <w:color w:val="000000"/>
                <w:sz w:val="24"/>
              </w:rPr>
              <w:t>）基金经理、易方达纯债</w:t>
            </w:r>
            <w:r>
              <w:rPr>
                <w:color w:val="000000"/>
                <w:sz w:val="24"/>
              </w:rPr>
              <w:t>1</w:t>
            </w:r>
            <w:r>
              <w:rPr>
                <w:color w:val="000000"/>
                <w:sz w:val="24"/>
              </w:rPr>
              <w:t>年定期开放债券型证券投资基金基金经理、易方达永旭添利定期开放债券型证券投资基金基金经理、易方达纯债债券型证券投资基金基金经理、易方达裕景添利</w:t>
            </w:r>
            <w:r>
              <w:rPr>
                <w:color w:val="000000"/>
                <w:sz w:val="24"/>
              </w:rPr>
              <w:t>6</w:t>
            </w:r>
            <w:r>
              <w:rPr>
                <w:color w:val="000000"/>
                <w:sz w:val="24"/>
              </w:rPr>
              <w:t>个月定期开放债券型证券投资基金基金经理。</w:t>
            </w:r>
          </w:p>
        </w:tc>
      </w:tr>
    </w:tbl>
    <w:p w:rsidR="009D3C5E" w:rsidRDefault="001461CE">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w:t>
      </w:r>
      <w:r>
        <w:rPr>
          <w:color w:val="000000"/>
          <w:sz w:val="24"/>
          <w:szCs w:val="24"/>
        </w:rPr>
        <w:t>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9D3C5E" w:rsidRDefault="001461CE">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9D3C5E" w:rsidRDefault="001461CE">
      <w:pPr>
        <w:spacing w:line="360" w:lineRule="auto"/>
        <w:ind w:firstLineChars="200" w:firstLine="480"/>
        <w:rPr>
          <w:color w:val="000000"/>
          <w:sz w:val="24"/>
          <w:szCs w:val="24"/>
        </w:rPr>
      </w:pPr>
      <w:r>
        <w:rPr>
          <w:color w:val="000000"/>
          <w:sz w:val="24"/>
          <w:szCs w:val="24"/>
        </w:rPr>
        <w:t>2019</w:t>
      </w:r>
      <w:r>
        <w:rPr>
          <w:color w:val="000000"/>
          <w:sz w:val="24"/>
          <w:szCs w:val="24"/>
        </w:rPr>
        <w:t>年三季度经济数据继续呈现月底波动较大但整体偏弱的特征。经济数据在</w:t>
      </w:r>
      <w:r>
        <w:rPr>
          <w:color w:val="000000"/>
          <w:sz w:val="24"/>
          <w:szCs w:val="24"/>
        </w:rPr>
        <w:t>6</w:t>
      </w:r>
      <w:r>
        <w:rPr>
          <w:color w:val="000000"/>
          <w:sz w:val="24"/>
          <w:szCs w:val="24"/>
        </w:rPr>
        <w:t>月份全面大幅回升之后，</w:t>
      </w:r>
      <w:r>
        <w:rPr>
          <w:color w:val="000000"/>
          <w:sz w:val="24"/>
          <w:szCs w:val="24"/>
        </w:rPr>
        <w:t>7</w:t>
      </w:r>
      <w:r>
        <w:rPr>
          <w:color w:val="000000"/>
          <w:sz w:val="24"/>
          <w:szCs w:val="24"/>
        </w:rPr>
        <w:t>月份显著回落。</w:t>
      </w:r>
      <w:r>
        <w:rPr>
          <w:color w:val="000000"/>
          <w:sz w:val="24"/>
          <w:szCs w:val="24"/>
        </w:rPr>
        <w:t>8</w:t>
      </w:r>
      <w:r>
        <w:rPr>
          <w:color w:val="000000"/>
          <w:sz w:val="24"/>
          <w:szCs w:val="24"/>
        </w:rPr>
        <w:t>月份数据则在</w:t>
      </w:r>
      <w:r>
        <w:rPr>
          <w:color w:val="000000"/>
          <w:sz w:val="24"/>
          <w:szCs w:val="24"/>
        </w:rPr>
        <w:t>7</w:t>
      </w:r>
      <w:r>
        <w:rPr>
          <w:color w:val="000000"/>
          <w:sz w:val="24"/>
          <w:szCs w:val="24"/>
        </w:rPr>
        <w:t>月份的基础上持平，显示经济整体在偏弱的水平。从结构上看，制造业投资和以汽车消费为代表的零售数据波动较大。基建投资低位企稳，房地产投资平稳略有波动，维持在相对较好的水平。房地产销售随着三、四线城市的持续好转，显示出较好的韧性。通胀压力略有抬升，但主要是食品价格的大幅抬升带来，非食品价格压力较小，</w:t>
      </w:r>
      <w:r>
        <w:rPr>
          <w:color w:val="000000"/>
          <w:sz w:val="24"/>
          <w:szCs w:val="24"/>
        </w:rPr>
        <w:t>PPI</w:t>
      </w:r>
      <w:r>
        <w:rPr>
          <w:color w:val="000000"/>
          <w:sz w:val="24"/>
          <w:szCs w:val="24"/>
        </w:rPr>
        <w:t>再度回到负值区间。</w:t>
      </w:r>
    </w:p>
    <w:p w:rsidR="009D3C5E" w:rsidRDefault="001461CE">
      <w:pPr>
        <w:spacing w:line="360" w:lineRule="auto"/>
        <w:ind w:firstLineChars="200" w:firstLine="480"/>
        <w:rPr>
          <w:color w:val="000000"/>
          <w:sz w:val="24"/>
          <w:szCs w:val="24"/>
        </w:rPr>
      </w:pPr>
      <w:r>
        <w:rPr>
          <w:color w:val="000000"/>
          <w:sz w:val="24"/>
          <w:szCs w:val="24"/>
        </w:rPr>
        <w:t>政策面对债券市场影响相对偏负面。央行的货币政策更加专注于疏通传导</w:t>
      </w:r>
      <w:r>
        <w:rPr>
          <w:color w:val="000000"/>
          <w:sz w:val="24"/>
          <w:szCs w:val="24"/>
        </w:rPr>
        <w:t>机制，以</w:t>
      </w:r>
      <w:r>
        <w:rPr>
          <w:color w:val="000000"/>
          <w:sz w:val="24"/>
          <w:szCs w:val="24"/>
        </w:rPr>
        <w:t>LPR</w:t>
      </w:r>
      <w:r>
        <w:rPr>
          <w:color w:val="000000"/>
          <w:sz w:val="24"/>
          <w:szCs w:val="24"/>
        </w:rPr>
        <w:t>改革为主导的不对称降息是其主要的政策推进方向，该方向对债券市场影响偏负面。财政方面，地方债额度提前下放增加了基建投资的使用空间。受上述政策面的影响，收益率水平在</w:t>
      </w:r>
      <w:r>
        <w:rPr>
          <w:color w:val="000000"/>
          <w:sz w:val="24"/>
          <w:szCs w:val="24"/>
        </w:rPr>
        <w:t>8</w:t>
      </w:r>
      <w:r>
        <w:rPr>
          <w:color w:val="000000"/>
          <w:sz w:val="24"/>
          <w:szCs w:val="24"/>
        </w:rPr>
        <w:t>月上旬冲低后回升，收益率回到季初水平。债券市场呈现明显的震荡格局。</w:t>
      </w:r>
    </w:p>
    <w:p w:rsidR="009D3C5E" w:rsidRDefault="001461CE">
      <w:pPr>
        <w:spacing w:line="360" w:lineRule="auto"/>
        <w:ind w:firstLineChars="200" w:firstLine="480"/>
        <w:rPr>
          <w:color w:val="000000"/>
          <w:sz w:val="24"/>
          <w:szCs w:val="24"/>
        </w:rPr>
      </w:pPr>
      <w:r>
        <w:rPr>
          <w:color w:val="000000"/>
          <w:sz w:val="24"/>
          <w:szCs w:val="24"/>
        </w:rPr>
        <w:t>三季度权益市场分化较大。大盘股先跌后涨，与债券市场形成一定对冲，上证指数下跌</w:t>
      </w:r>
      <w:r>
        <w:rPr>
          <w:color w:val="000000"/>
          <w:sz w:val="24"/>
          <w:szCs w:val="24"/>
        </w:rPr>
        <w:t>2.47%</w:t>
      </w:r>
      <w:r>
        <w:rPr>
          <w:color w:val="000000"/>
          <w:sz w:val="24"/>
          <w:szCs w:val="24"/>
        </w:rPr>
        <w:t>，沪深</w:t>
      </w:r>
      <w:r>
        <w:rPr>
          <w:color w:val="000000"/>
          <w:sz w:val="24"/>
          <w:szCs w:val="24"/>
        </w:rPr>
        <w:t>300</w:t>
      </w:r>
      <w:r>
        <w:rPr>
          <w:color w:val="000000"/>
          <w:sz w:val="24"/>
          <w:szCs w:val="24"/>
        </w:rPr>
        <w:t>指数下跌</w:t>
      </w:r>
      <w:r>
        <w:rPr>
          <w:color w:val="000000"/>
          <w:sz w:val="24"/>
          <w:szCs w:val="24"/>
        </w:rPr>
        <w:t>0.29%</w:t>
      </w:r>
      <w:r>
        <w:rPr>
          <w:color w:val="000000"/>
          <w:sz w:val="24"/>
          <w:szCs w:val="24"/>
        </w:rPr>
        <w:t>；创业板指震荡上行，整体上涨</w:t>
      </w:r>
      <w:r>
        <w:rPr>
          <w:color w:val="000000"/>
          <w:sz w:val="24"/>
          <w:szCs w:val="24"/>
        </w:rPr>
        <w:t>7.68%</w:t>
      </w:r>
      <w:r>
        <w:rPr>
          <w:color w:val="000000"/>
          <w:sz w:val="24"/>
          <w:szCs w:val="24"/>
        </w:rPr>
        <w:t>；转债市场表现较好，中证转债上涨</w:t>
      </w:r>
      <w:r>
        <w:rPr>
          <w:color w:val="000000"/>
          <w:sz w:val="24"/>
          <w:szCs w:val="24"/>
        </w:rPr>
        <w:t>3.62%</w:t>
      </w:r>
      <w:r>
        <w:rPr>
          <w:color w:val="000000"/>
          <w:sz w:val="24"/>
          <w:szCs w:val="24"/>
        </w:rPr>
        <w:t>。</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操作上，组合在债券方面维持了中短端、高流动性资产为主的配置思路，在给组合提供流动性的同时获取安全的票息收益。权益方面，组合积极参与新股战略配售和网下申购，获取了较好的投资收益。</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1.0954</w:t>
      </w:r>
      <w:r w:rsidRPr="006C56AA">
        <w:rPr>
          <w:color w:val="000000"/>
          <w:sz w:val="24"/>
          <w:szCs w:val="24"/>
        </w:rPr>
        <w:t>元，本报告期份额净值增长率为</w:t>
      </w:r>
      <w:r w:rsidRPr="006C56AA">
        <w:rPr>
          <w:color w:val="000000"/>
          <w:sz w:val="24"/>
          <w:szCs w:val="24"/>
        </w:rPr>
        <w:t>3.66%</w:t>
      </w:r>
      <w:r w:rsidRPr="006C56AA">
        <w:rPr>
          <w:color w:val="000000"/>
          <w:sz w:val="24"/>
          <w:szCs w:val="24"/>
        </w:rPr>
        <w:t>，同期业绩比较基准收益率为</w:t>
      </w:r>
      <w:r w:rsidRPr="006C56AA">
        <w:rPr>
          <w:color w:val="000000"/>
          <w:sz w:val="24"/>
          <w:szCs w:val="24"/>
        </w:rPr>
        <w:t>0.07%</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2,759,463,158.18</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10.30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2,759,463,158.18</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10.30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23,527,528,400.00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87.81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23,527,528,400.00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87.81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177,350,586.03</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0.66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68,472,775.03</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0.26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260,722,133.96</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0.97</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26,793,537,053.20</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8,220,498.00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0.03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2,137,873.54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2,099,733,300.00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7.84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78,198.64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643,351,828.00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2.40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5,941,460.00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2,759,463,158.18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10.30</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9D3C5E">
        <w:tc>
          <w:tcPr>
            <w:tcW w:w="851" w:type="dxa"/>
            <w:vAlign w:val="center"/>
          </w:tcPr>
          <w:p w:rsidR="009D3C5E" w:rsidRDefault="001461CE">
            <w:pPr>
              <w:jc w:val="center"/>
            </w:pPr>
            <w:r>
              <w:rPr>
                <w:color w:val="000000"/>
                <w:kern w:val="0"/>
                <w:sz w:val="24"/>
                <w:szCs w:val="24"/>
              </w:rPr>
              <w:t>1</w:t>
            </w:r>
          </w:p>
        </w:tc>
        <w:tc>
          <w:tcPr>
            <w:tcW w:w="1276" w:type="dxa"/>
            <w:vAlign w:val="center"/>
          </w:tcPr>
          <w:p w:rsidR="009D3C5E" w:rsidRDefault="001461CE">
            <w:pPr>
              <w:jc w:val="center"/>
            </w:pPr>
            <w:r>
              <w:rPr>
                <w:color w:val="000000"/>
                <w:kern w:val="0"/>
                <w:sz w:val="24"/>
                <w:szCs w:val="24"/>
              </w:rPr>
              <w:t>003816</w:t>
            </w:r>
          </w:p>
        </w:tc>
        <w:tc>
          <w:tcPr>
            <w:tcW w:w="1418" w:type="dxa"/>
            <w:vAlign w:val="center"/>
          </w:tcPr>
          <w:p w:rsidR="009D3C5E" w:rsidRDefault="001461CE">
            <w:pPr>
              <w:jc w:val="center"/>
            </w:pPr>
            <w:r>
              <w:rPr>
                <w:color w:val="000000"/>
                <w:kern w:val="0"/>
                <w:sz w:val="24"/>
                <w:szCs w:val="24"/>
              </w:rPr>
              <w:t>中国广核</w:t>
            </w:r>
          </w:p>
        </w:tc>
        <w:tc>
          <w:tcPr>
            <w:tcW w:w="1701" w:type="dxa"/>
            <w:vAlign w:val="center"/>
          </w:tcPr>
          <w:p w:rsidR="009D3C5E" w:rsidRDefault="001461CE">
            <w:pPr>
              <w:jc w:val="right"/>
            </w:pPr>
            <w:r>
              <w:rPr>
                <w:color w:val="000000"/>
                <w:kern w:val="0"/>
                <w:sz w:val="24"/>
                <w:szCs w:val="24"/>
              </w:rPr>
              <w:t>555,485,000</w:t>
            </w:r>
          </w:p>
        </w:tc>
        <w:tc>
          <w:tcPr>
            <w:tcW w:w="1984" w:type="dxa"/>
            <w:vAlign w:val="center"/>
          </w:tcPr>
          <w:p w:rsidR="009D3C5E" w:rsidRDefault="001461CE">
            <w:pPr>
              <w:jc w:val="right"/>
            </w:pPr>
            <w:r>
              <w:rPr>
                <w:color w:val="000000"/>
                <w:kern w:val="0"/>
                <w:sz w:val="24"/>
                <w:szCs w:val="24"/>
              </w:rPr>
              <w:t>2,099,733,300.00</w:t>
            </w:r>
          </w:p>
        </w:tc>
        <w:tc>
          <w:tcPr>
            <w:tcW w:w="1559" w:type="dxa"/>
            <w:vAlign w:val="center"/>
          </w:tcPr>
          <w:p w:rsidR="009D3C5E" w:rsidRDefault="001461CE">
            <w:pPr>
              <w:jc w:val="right"/>
            </w:pPr>
            <w:r>
              <w:rPr>
                <w:color w:val="000000"/>
                <w:kern w:val="0"/>
                <w:sz w:val="24"/>
                <w:szCs w:val="24"/>
              </w:rPr>
              <w:t>7.84</w:t>
            </w:r>
          </w:p>
        </w:tc>
      </w:tr>
      <w:tr w:rsidR="009D3C5E">
        <w:tc>
          <w:tcPr>
            <w:tcW w:w="851" w:type="dxa"/>
            <w:vAlign w:val="center"/>
          </w:tcPr>
          <w:p w:rsidR="009D3C5E" w:rsidRDefault="001461CE">
            <w:pPr>
              <w:jc w:val="center"/>
            </w:pPr>
            <w:r>
              <w:rPr>
                <w:color w:val="000000"/>
                <w:kern w:val="0"/>
                <w:sz w:val="24"/>
                <w:szCs w:val="24"/>
              </w:rPr>
              <w:t>2</w:t>
            </w:r>
          </w:p>
        </w:tc>
        <w:tc>
          <w:tcPr>
            <w:tcW w:w="1276" w:type="dxa"/>
            <w:vAlign w:val="center"/>
          </w:tcPr>
          <w:p w:rsidR="009D3C5E" w:rsidRDefault="001461CE">
            <w:pPr>
              <w:jc w:val="center"/>
            </w:pPr>
            <w:r>
              <w:rPr>
                <w:color w:val="000000"/>
                <w:kern w:val="0"/>
                <w:sz w:val="24"/>
                <w:szCs w:val="24"/>
              </w:rPr>
              <w:t>601319</w:t>
            </w:r>
          </w:p>
        </w:tc>
        <w:tc>
          <w:tcPr>
            <w:tcW w:w="1418" w:type="dxa"/>
            <w:vAlign w:val="center"/>
          </w:tcPr>
          <w:p w:rsidR="009D3C5E" w:rsidRDefault="001461CE">
            <w:pPr>
              <w:jc w:val="center"/>
            </w:pPr>
            <w:r>
              <w:rPr>
                <w:color w:val="000000"/>
                <w:kern w:val="0"/>
                <w:sz w:val="24"/>
                <w:szCs w:val="24"/>
              </w:rPr>
              <w:t>中国人保</w:t>
            </w:r>
          </w:p>
        </w:tc>
        <w:tc>
          <w:tcPr>
            <w:tcW w:w="1701" w:type="dxa"/>
            <w:vAlign w:val="center"/>
          </w:tcPr>
          <w:p w:rsidR="009D3C5E" w:rsidRDefault="001461CE">
            <w:pPr>
              <w:jc w:val="right"/>
            </w:pPr>
            <w:r>
              <w:rPr>
                <w:color w:val="000000"/>
                <w:kern w:val="0"/>
                <w:sz w:val="24"/>
                <w:szCs w:val="24"/>
              </w:rPr>
              <w:t>74,850,000</w:t>
            </w:r>
          </w:p>
        </w:tc>
        <w:tc>
          <w:tcPr>
            <w:tcW w:w="1984" w:type="dxa"/>
            <w:vAlign w:val="center"/>
          </w:tcPr>
          <w:p w:rsidR="009D3C5E" w:rsidRDefault="001461CE">
            <w:pPr>
              <w:jc w:val="right"/>
            </w:pPr>
            <w:r>
              <w:rPr>
                <w:color w:val="000000"/>
                <w:kern w:val="0"/>
                <w:sz w:val="24"/>
                <w:szCs w:val="24"/>
              </w:rPr>
              <w:t>630,985,500.00</w:t>
            </w:r>
          </w:p>
        </w:tc>
        <w:tc>
          <w:tcPr>
            <w:tcW w:w="1559" w:type="dxa"/>
            <w:vAlign w:val="center"/>
          </w:tcPr>
          <w:p w:rsidR="009D3C5E" w:rsidRDefault="001461CE">
            <w:pPr>
              <w:jc w:val="right"/>
            </w:pPr>
            <w:r>
              <w:rPr>
                <w:color w:val="000000"/>
                <w:kern w:val="0"/>
                <w:sz w:val="24"/>
                <w:szCs w:val="24"/>
              </w:rPr>
              <w:t>2.36</w:t>
            </w:r>
          </w:p>
        </w:tc>
      </w:tr>
      <w:tr w:rsidR="009D3C5E">
        <w:tc>
          <w:tcPr>
            <w:tcW w:w="851" w:type="dxa"/>
            <w:vAlign w:val="center"/>
          </w:tcPr>
          <w:p w:rsidR="009D3C5E" w:rsidRDefault="001461CE">
            <w:pPr>
              <w:jc w:val="center"/>
            </w:pPr>
            <w:r>
              <w:rPr>
                <w:color w:val="000000"/>
                <w:kern w:val="0"/>
                <w:sz w:val="24"/>
                <w:szCs w:val="24"/>
              </w:rPr>
              <w:t>3</w:t>
            </w:r>
          </w:p>
        </w:tc>
        <w:tc>
          <w:tcPr>
            <w:tcW w:w="1276" w:type="dxa"/>
            <w:vAlign w:val="center"/>
          </w:tcPr>
          <w:p w:rsidR="009D3C5E" w:rsidRDefault="001461CE">
            <w:pPr>
              <w:jc w:val="center"/>
            </w:pPr>
            <w:r>
              <w:rPr>
                <w:color w:val="000000"/>
                <w:kern w:val="0"/>
                <w:sz w:val="24"/>
                <w:szCs w:val="24"/>
              </w:rPr>
              <w:t>300498</w:t>
            </w:r>
          </w:p>
        </w:tc>
        <w:tc>
          <w:tcPr>
            <w:tcW w:w="1418" w:type="dxa"/>
            <w:vAlign w:val="center"/>
          </w:tcPr>
          <w:p w:rsidR="009D3C5E" w:rsidRDefault="001461CE">
            <w:pPr>
              <w:jc w:val="center"/>
            </w:pPr>
            <w:r>
              <w:rPr>
                <w:color w:val="000000"/>
                <w:kern w:val="0"/>
                <w:sz w:val="24"/>
                <w:szCs w:val="24"/>
              </w:rPr>
              <w:t>温氏股份</w:t>
            </w:r>
          </w:p>
        </w:tc>
        <w:tc>
          <w:tcPr>
            <w:tcW w:w="1701" w:type="dxa"/>
            <w:vAlign w:val="center"/>
          </w:tcPr>
          <w:p w:rsidR="009D3C5E" w:rsidRDefault="001461CE">
            <w:pPr>
              <w:jc w:val="right"/>
            </w:pPr>
            <w:r>
              <w:rPr>
                <w:color w:val="000000"/>
                <w:kern w:val="0"/>
                <w:sz w:val="24"/>
                <w:szCs w:val="24"/>
              </w:rPr>
              <w:t>221,100</w:t>
            </w:r>
          </w:p>
        </w:tc>
        <w:tc>
          <w:tcPr>
            <w:tcW w:w="1984" w:type="dxa"/>
            <w:vAlign w:val="center"/>
          </w:tcPr>
          <w:p w:rsidR="009D3C5E" w:rsidRDefault="001461CE">
            <w:pPr>
              <w:jc w:val="right"/>
            </w:pPr>
            <w:r>
              <w:rPr>
                <w:color w:val="000000"/>
                <w:kern w:val="0"/>
                <w:sz w:val="24"/>
                <w:szCs w:val="24"/>
              </w:rPr>
              <w:t>8,220,498.00</w:t>
            </w:r>
          </w:p>
        </w:tc>
        <w:tc>
          <w:tcPr>
            <w:tcW w:w="1559" w:type="dxa"/>
            <w:vAlign w:val="center"/>
          </w:tcPr>
          <w:p w:rsidR="009D3C5E" w:rsidRDefault="001461CE">
            <w:pPr>
              <w:jc w:val="right"/>
            </w:pPr>
            <w:r>
              <w:rPr>
                <w:color w:val="000000"/>
                <w:kern w:val="0"/>
                <w:sz w:val="24"/>
                <w:szCs w:val="24"/>
              </w:rPr>
              <w:t>0.03</w:t>
            </w:r>
          </w:p>
        </w:tc>
      </w:tr>
      <w:tr w:rsidR="009D3C5E">
        <w:tc>
          <w:tcPr>
            <w:tcW w:w="851" w:type="dxa"/>
            <w:vAlign w:val="center"/>
          </w:tcPr>
          <w:p w:rsidR="009D3C5E" w:rsidRDefault="001461CE">
            <w:pPr>
              <w:jc w:val="center"/>
            </w:pPr>
            <w:r>
              <w:rPr>
                <w:color w:val="000000"/>
                <w:kern w:val="0"/>
                <w:sz w:val="24"/>
                <w:szCs w:val="24"/>
              </w:rPr>
              <w:t>4</w:t>
            </w:r>
          </w:p>
        </w:tc>
        <w:tc>
          <w:tcPr>
            <w:tcW w:w="1276" w:type="dxa"/>
            <w:vAlign w:val="center"/>
          </w:tcPr>
          <w:p w:rsidR="009D3C5E" w:rsidRDefault="001461CE">
            <w:pPr>
              <w:jc w:val="center"/>
            </w:pPr>
            <w:r>
              <w:rPr>
                <w:color w:val="000000"/>
                <w:kern w:val="0"/>
                <w:sz w:val="24"/>
                <w:szCs w:val="24"/>
              </w:rPr>
              <w:t>601318</w:t>
            </w:r>
          </w:p>
        </w:tc>
        <w:tc>
          <w:tcPr>
            <w:tcW w:w="1418" w:type="dxa"/>
            <w:vAlign w:val="center"/>
          </w:tcPr>
          <w:p w:rsidR="009D3C5E" w:rsidRDefault="001461CE">
            <w:pPr>
              <w:jc w:val="center"/>
            </w:pPr>
            <w:r>
              <w:rPr>
                <w:color w:val="000000"/>
                <w:kern w:val="0"/>
                <w:sz w:val="24"/>
                <w:szCs w:val="24"/>
              </w:rPr>
              <w:t>中国平安</w:t>
            </w:r>
          </w:p>
        </w:tc>
        <w:tc>
          <w:tcPr>
            <w:tcW w:w="1701" w:type="dxa"/>
            <w:vAlign w:val="center"/>
          </w:tcPr>
          <w:p w:rsidR="009D3C5E" w:rsidRDefault="001461CE">
            <w:pPr>
              <w:jc w:val="right"/>
            </w:pPr>
            <w:r>
              <w:rPr>
                <w:color w:val="000000"/>
                <w:kern w:val="0"/>
                <w:sz w:val="24"/>
                <w:szCs w:val="24"/>
              </w:rPr>
              <w:t>75,500</w:t>
            </w:r>
          </w:p>
        </w:tc>
        <w:tc>
          <w:tcPr>
            <w:tcW w:w="1984" w:type="dxa"/>
            <w:vAlign w:val="center"/>
          </w:tcPr>
          <w:p w:rsidR="009D3C5E" w:rsidRDefault="001461CE">
            <w:pPr>
              <w:jc w:val="right"/>
            </w:pPr>
            <w:r>
              <w:rPr>
                <w:color w:val="000000"/>
                <w:kern w:val="0"/>
                <w:sz w:val="24"/>
                <w:szCs w:val="24"/>
              </w:rPr>
              <w:t>6,571,520.00</w:t>
            </w:r>
          </w:p>
        </w:tc>
        <w:tc>
          <w:tcPr>
            <w:tcW w:w="1559" w:type="dxa"/>
            <w:vAlign w:val="center"/>
          </w:tcPr>
          <w:p w:rsidR="009D3C5E" w:rsidRDefault="001461CE">
            <w:pPr>
              <w:jc w:val="right"/>
            </w:pPr>
            <w:r>
              <w:rPr>
                <w:color w:val="000000"/>
                <w:kern w:val="0"/>
                <w:sz w:val="24"/>
                <w:szCs w:val="24"/>
              </w:rPr>
              <w:t>0.02</w:t>
            </w:r>
          </w:p>
        </w:tc>
      </w:tr>
      <w:tr w:rsidR="009D3C5E">
        <w:tc>
          <w:tcPr>
            <w:tcW w:w="851" w:type="dxa"/>
            <w:vAlign w:val="center"/>
          </w:tcPr>
          <w:p w:rsidR="009D3C5E" w:rsidRDefault="001461CE">
            <w:pPr>
              <w:jc w:val="center"/>
            </w:pPr>
            <w:r>
              <w:rPr>
                <w:color w:val="000000"/>
                <w:kern w:val="0"/>
                <w:sz w:val="24"/>
                <w:szCs w:val="24"/>
              </w:rPr>
              <w:t>5</w:t>
            </w:r>
          </w:p>
        </w:tc>
        <w:tc>
          <w:tcPr>
            <w:tcW w:w="1276" w:type="dxa"/>
            <w:vAlign w:val="center"/>
          </w:tcPr>
          <w:p w:rsidR="009D3C5E" w:rsidRDefault="001461CE">
            <w:pPr>
              <w:jc w:val="center"/>
            </w:pPr>
            <w:r>
              <w:rPr>
                <w:color w:val="000000"/>
                <w:kern w:val="0"/>
                <w:sz w:val="24"/>
                <w:szCs w:val="24"/>
              </w:rPr>
              <w:t>000002</w:t>
            </w:r>
          </w:p>
        </w:tc>
        <w:tc>
          <w:tcPr>
            <w:tcW w:w="1418" w:type="dxa"/>
            <w:vAlign w:val="center"/>
          </w:tcPr>
          <w:p w:rsidR="009D3C5E" w:rsidRDefault="001461CE">
            <w:pPr>
              <w:jc w:val="center"/>
            </w:pPr>
            <w:r>
              <w:rPr>
                <w:color w:val="000000"/>
                <w:kern w:val="0"/>
                <w:sz w:val="24"/>
                <w:szCs w:val="24"/>
              </w:rPr>
              <w:t>万科</w:t>
            </w:r>
            <w:r>
              <w:rPr>
                <w:color w:val="000000"/>
                <w:kern w:val="0"/>
                <w:sz w:val="24"/>
                <w:szCs w:val="24"/>
              </w:rPr>
              <w:t>A</w:t>
            </w:r>
          </w:p>
        </w:tc>
        <w:tc>
          <w:tcPr>
            <w:tcW w:w="1701" w:type="dxa"/>
            <w:vAlign w:val="center"/>
          </w:tcPr>
          <w:p w:rsidR="009D3C5E" w:rsidRDefault="001461CE">
            <w:pPr>
              <w:jc w:val="right"/>
            </w:pPr>
            <w:r>
              <w:rPr>
                <w:color w:val="000000"/>
                <w:kern w:val="0"/>
                <w:sz w:val="24"/>
                <w:szCs w:val="24"/>
              </w:rPr>
              <w:t>229,400</w:t>
            </w:r>
          </w:p>
        </w:tc>
        <w:tc>
          <w:tcPr>
            <w:tcW w:w="1984" w:type="dxa"/>
            <w:vAlign w:val="center"/>
          </w:tcPr>
          <w:p w:rsidR="009D3C5E" w:rsidRDefault="001461CE">
            <w:pPr>
              <w:jc w:val="right"/>
            </w:pPr>
            <w:r>
              <w:rPr>
                <w:color w:val="000000"/>
                <w:kern w:val="0"/>
                <w:sz w:val="24"/>
                <w:szCs w:val="24"/>
              </w:rPr>
              <w:t>5,941,460.00</w:t>
            </w:r>
          </w:p>
        </w:tc>
        <w:tc>
          <w:tcPr>
            <w:tcW w:w="1559" w:type="dxa"/>
            <w:vAlign w:val="center"/>
          </w:tcPr>
          <w:p w:rsidR="009D3C5E" w:rsidRDefault="001461CE">
            <w:pPr>
              <w:jc w:val="right"/>
            </w:pPr>
            <w:r>
              <w:rPr>
                <w:color w:val="000000"/>
                <w:kern w:val="0"/>
                <w:sz w:val="24"/>
                <w:szCs w:val="24"/>
              </w:rPr>
              <w:t>0.02</w:t>
            </w:r>
          </w:p>
        </w:tc>
      </w:tr>
      <w:tr w:rsidR="009D3C5E">
        <w:tc>
          <w:tcPr>
            <w:tcW w:w="851" w:type="dxa"/>
            <w:vAlign w:val="center"/>
          </w:tcPr>
          <w:p w:rsidR="009D3C5E" w:rsidRDefault="001461CE">
            <w:pPr>
              <w:jc w:val="center"/>
            </w:pPr>
            <w:r>
              <w:rPr>
                <w:color w:val="000000"/>
                <w:kern w:val="0"/>
                <w:sz w:val="24"/>
                <w:szCs w:val="24"/>
              </w:rPr>
              <w:t>6</w:t>
            </w:r>
          </w:p>
        </w:tc>
        <w:tc>
          <w:tcPr>
            <w:tcW w:w="1276" w:type="dxa"/>
            <w:vAlign w:val="center"/>
          </w:tcPr>
          <w:p w:rsidR="009D3C5E" w:rsidRDefault="001461CE">
            <w:pPr>
              <w:jc w:val="center"/>
            </w:pPr>
            <w:r>
              <w:rPr>
                <w:color w:val="000000"/>
                <w:kern w:val="0"/>
                <w:sz w:val="24"/>
                <w:szCs w:val="24"/>
              </w:rPr>
              <w:t>601288</w:t>
            </w:r>
          </w:p>
        </w:tc>
        <w:tc>
          <w:tcPr>
            <w:tcW w:w="1418" w:type="dxa"/>
            <w:vAlign w:val="center"/>
          </w:tcPr>
          <w:p w:rsidR="009D3C5E" w:rsidRDefault="001461CE">
            <w:pPr>
              <w:jc w:val="center"/>
            </w:pPr>
            <w:r>
              <w:rPr>
                <w:color w:val="000000"/>
                <w:kern w:val="0"/>
                <w:sz w:val="24"/>
                <w:szCs w:val="24"/>
              </w:rPr>
              <w:t>农业银行</w:t>
            </w:r>
          </w:p>
        </w:tc>
        <w:tc>
          <w:tcPr>
            <w:tcW w:w="1701" w:type="dxa"/>
            <w:vAlign w:val="center"/>
          </w:tcPr>
          <w:p w:rsidR="009D3C5E" w:rsidRDefault="001461CE">
            <w:pPr>
              <w:jc w:val="right"/>
            </w:pPr>
            <w:r>
              <w:rPr>
                <w:color w:val="000000"/>
                <w:kern w:val="0"/>
                <w:sz w:val="24"/>
                <w:szCs w:val="24"/>
              </w:rPr>
              <w:t>1,674,800</w:t>
            </w:r>
          </w:p>
        </w:tc>
        <w:tc>
          <w:tcPr>
            <w:tcW w:w="1984" w:type="dxa"/>
            <w:vAlign w:val="center"/>
          </w:tcPr>
          <w:p w:rsidR="009D3C5E" w:rsidRDefault="001461CE">
            <w:pPr>
              <w:jc w:val="right"/>
            </w:pPr>
            <w:r>
              <w:rPr>
                <w:color w:val="000000"/>
                <w:kern w:val="0"/>
                <w:sz w:val="24"/>
                <w:szCs w:val="24"/>
              </w:rPr>
              <w:t>5,794,808.00</w:t>
            </w:r>
          </w:p>
        </w:tc>
        <w:tc>
          <w:tcPr>
            <w:tcW w:w="1559" w:type="dxa"/>
            <w:vAlign w:val="center"/>
          </w:tcPr>
          <w:p w:rsidR="009D3C5E" w:rsidRDefault="001461CE">
            <w:pPr>
              <w:jc w:val="right"/>
            </w:pPr>
            <w:r>
              <w:rPr>
                <w:color w:val="000000"/>
                <w:kern w:val="0"/>
                <w:sz w:val="24"/>
                <w:szCs w:val="24"/>
              </w:rPr>
              <w:t>0.02</w:t>
            </w:r>
          </w:p>
        </w:tc>
      </w:tr>
      <w:tr w:rsidR="009D3C5E">
        <w:tc>
          <w:tcPr>
            <w:tcW w:w="851" w:type="dxa"/>
            <w:vAlign w:val="center"/>
          </w:tcPr>
          <w:p w:rsidR="009D3C5E" w:rsidRDefault="001461CE">
            <w:pPr>
              <w:jc w:val="center"/>
            </w:pPr>
            <w:r>
              <w:rPr>
                <w:color w:val="000000"/>
                <w:kern w:val="0"/>
                <w:sz w:val="24"/>
                <w:szCs w:val="24"/>
              </w:rPr>
              <w:t>7</w:t>
            </w:r>
          </w:p>
        </w:tc>
        <w:tc>
          <w:tcPr>
            <w:tcW w:w="1276" w:type="dxa"/>
            <w:vAlign w:val="center"/>
          </w:tcPr>
          <w:p w:rsidR="009D3C5E" w:rsidRDefault="001461CE">
            <w:pPr>
              <w:jc w:val="center"/>
            </w:pPr>
            <w:r>
              <w:rPr>
                <w:color w:val="000000"/>
                <w:kern w:val="0"/>
                <w:sz w:val="24"/>
                <w:szCs w:val="24"/>
              </w:rPr>
              <w:t>688006</w:t>
            </w:r>
          </w:p>
        </w:tc>
        <w:tc>
          <w:tcPr>
            <w:tcW w:w="1418" w:type="dxa"/>
            <w:vAlign w:val="center"/>
          </w:tcPr>
          <w:p w:rsidR="009D3C5E" w:rsidRDefault="001461CE">
            <w:pPr>
              <w:jc w:val="center"/>
            </w:pPr>
            <w:r>
              <w:rPr>
                <w:color w:val="000000"/>
                <w:kern w:val="0"/>
                <w:sz w:val="24"/>
                <w:szCs w:val="24"/>
              </w:rPr>
              <w:t>杭可科技</w:t>
            </w:r>
          </w:p>
        </w:tc>
        <w:tc>
          <w:tcPr>
            <w:tcW w:w="1701" w:type="dxa"/>
            <w:vAlign w:val="center"/>
          </w:tcPr>
          <w:p w:rsidR="009D3C5E" w:rsidRDefault="001461CE">
            <w:pPr>
              <w:jc w:val="right"/>
            </w:pPr>
            <w:r>
              <w:rPr>
                <w:color w:val="000000"/>
                <w:kern w:val="0"/>
                <w:sz w:val="24"/>
                <w:szCs w:val="24"/>
              </w:rPr>
              <w:t>27,915</w:t>
            </w:r>
          </w:p>
        </w:tc>
        <w:tc>
          <w:tcPr>
            <w:tcW w:w="1984" w:type="dxa"/>
            <w:vAlign w:val="center"/>
          </w:tcPr>
          <w:p w:rsidR="009D3C5E" w:rsidRDefault="001461CE">
            <w:pPr>
              <w:jc w:val="right"/>
            </w:pPr>
            <w:r>
              <w:rPr>
                <w:color w:val="000000"/>
                <w:kern w:val="0"/>
                <w:sz w:val="24"/>
                <w:szCs w:val="24"/>
              </w:rPr>
              <w:t>1,077,798.15</w:t>
            </w:r>
          </w:p>
        </w:tc>
        <w:tc>
          <w:tcPr>
            <w:tcW w:w="1559" w:type="dxa"/>
            <w:vAlign w:val="center"/>
          </w:tcPr>
          <w:p w:rsidR="009D3C5E" w:rsidRDefault="001461CE">
            <w:pPr>
              <w:jc w:val="right"/>
            </w:pPr>
            <w:r>
              <w:rPr>
                <w:color w:val="000000"/>
                <w:kern w:val="0"/>
                <w:sz w:val="24"/>
                <w:szCs w:val="24"/>
              </w:rPr>
              <w:t>0.00</w:t>
            </w:r>
          </w:p>
        </w:tc>
      </w:tr>
      <w:tr w:rsidR="009D3C5E">
        <w:tc>
          <w:tcPr>
            <w:tcW w:w="851" w:type="dxa"/>
            <w:vAlign w:val="center"/>
          </w:tcPr>
          <w:p w:rsidR="009D3C5E" w:rsidRDefault="001461CE">
            <w:pPr>
              <w:jc w:val="center"/>
            </w:pPr>
            <w:r>
              <w:rPr>
                <w:color w:val="000000"/>
                <w:kern w:val="0"/>
                <w:sz w:val="24"/>
                <w:szCs w:val="24"/>
              </w:rPr>
              <w:t>8</w:t>
            </w:r>
          </w:p>
        </w:tc>
        <w:tc>
          <w:tcPr>
            <w:tcW w:w="1276" w:type="dxa"/>
            <w:vAlign w:val="center"/>
          </w:tcPr>
          <w:p w:rsidR="009D3C5E" w:rsidRDefault="001461CE">
            <w:pPr>
              <w:jc w:val="center"/>
            </w:pPr>
            <w:r>
              <w:rPr>
                <w:color w:val="000000"/>
                <w:kern w:val="0"/>
                <w:sz w:val="24"/>
                <w:szCs w:val="24"/>
              </w:rPr>
              <w:t>688388</w:t>
            </w:r>
          </w:p>
        </w:tc>
        <w:tc>
          <w:tcPr>
            <w:tcW w:w="1418" w:type="dxa"/>
            <w:vAlign w:val="center"/>
          </w:tcPr>
          <w:p w:rsidR="009D3C5E" w:rsidRDefault="001461CE">
            <w:pPr>
              <w:jc w:val="center"/>
            </w:pPr>
            <w:r>
              <w:rPr>
                <w:color w:val="000000"/>
                <w:kern w:val="0"/>
                <w:sz w:val="24"/>
                <w:szCs w:val="24"/>
              </w:rPr>
              <w:t>嘉元科技</w:t>
            </w:r>
          </w:p>
        </w:tc>
        <w:tc>
          <w:tcPr>
            <w:tcW w:w="1701" w:type="dxa"/>
            <w:vAlign w:val="center"/>
          </w:tcPr>
          <w:p w:rsidR="009D3C5E" w:rsidRDefault="001461CE">
            <w:pPr>
              <w:jc w:val="right"/>
            </w:pPr>
            <w:r>
              <w:rPr>
                <w:color w:val="000000"/>
                <w:kern w:val="0"/>
                <w:sz w:val="24"/>
                <w:szCs w:val="24"/>
              </w:rPr>
              <w:t>24,307</w:t>
            </w:r>
          </w:p>
        </w:tc>
        <w:tc>
          <w:tcPr>
            <w:tcW w:w="1984" w:type="dxa"/>
            <w:vAlign w:val="center"/>
          </w:tcPr>
          <w:p w:rsidR="009D3C5E" w:rsidRDefault="001461CE">
            <w:pPr>
              <w:jc w:val="right"/>
            </w:pPr>
            <w:r>
              <w:rPr>
                <w:color w:val="000000"/>
                <w:kern w:val="0"/>
                <w:sz w:val="24"/>
                <w:szCs w:val="24"/>
              </w:rPr>
              <w:t>1,007,039.01</w:t>
            </w:r>
          </w:p>
        </w:tc>
        <w:tc>
          <w:tcPr>
            <w:tcW w:w="1559" w:type="dxa"/>
            <w:vAlign w:val="center"/>
          </w:tcPr>
          <w:p w:rsidR="009D3C5E" w:rsidRDefault="001461CE">
            <w:pPr>
              <w:jc w:val="right"/>
            </w:pPr>
            <w:r>
              <w:rPr>
                <w:color w:val="000000"/>
                <w:kern w:val="0"/>
                <w:sz w:val="24"/>
                <w:szCs w:val="24"/>
              </w:rPr>
              <w:t>0.00</w:t>
            </w:r>
          </w:p>
        </w:tc>
      </w:tr>
      <w:tr w:rsidR="009D3C5E">
        <w:tc>
          <w:tcPr>
            <w:tcW w:w="851" w:type="dxa"/>
            <w:vAlign w:val="center"/>
          </w:tcPr>
          <w:p w:rsidR="009D3C5E" w:rsidRDefault="001461CE">
            <w:pPr>
              <w:jc w:val="center"/>
            </w:pPr>
            <w:r>
              <w:rPr>
                <w:color w:val="000000"/>
                <w:kern w:val="0"/>
                <w:sz w:val="24"/>
                <w:szCs w:val="24"/>
              </w:rPr>
              <w:t>9</w:t>
            </w:r>
          </w:p>
        </w:tc>
        <w:tc>
          <w:tcPr>
            <w:tcW w:w="1276" w:type="dxa"/>
            <w:vAlign w:val="center"/>
          </w:tcPr>
          <w:p w:rsidR="009D3C5E" w:rsidRDefault="001461CE">
            <w:pPr>
              <w:jc w:val="center"/>
            </w:pPr>
            <w:r>
              <w:rPr>
                <w:color w:val="000000"/>
                <w:kern w:val="0"/>
                <w:sz w:val="24"/>
                <w:szCs w:val="24"/>
              </w:rPr>
              <w:t>603927</w:t>
            </w:r>
          </w:p>
        </w:tc>
        <w:tc>
          <w:tcPr>
            <w:tcW w:w="1418" w:type="dxa"/>
            <w:vAlign w:val="center"/>
          </w:tcPr>
          <w:p w:rsidR="009D3C5E" w:rsidRDefault="001461CE">
            <w:pPr>
              <w:jc w:val="center"/>
            </w:pPr>
            <w:r>
              <w:rPr>
                <w:color w:val="000000"/>
                <w:kern w:val="0"/>
                <w:sz w:val="24"/>
                <w:szCs w:val="24"/>
              </w:rPr>
              <w:t>中科软</w:t>
            </w:r>
          </w:p>
        </w:tc>
        <w:tc>
          <w:tcPr>
            <w:tcW w:w="1701" w:type="dxa"/>
            <w:vAlign w:val="center"/>
          </w:tcPr>
          <w:p w:rsidR="009D3C5E" w:rsidRDefault="001461CE">
            <w:pPr>
              <w:jc w:val="right"/>
            </w:pPr>
            <w:r>
              <w:rPr>
                <w:color w:val="000000"/>
                <w:kern w:val="0"/>
                <w:sz w:val="24"/>
                <w:szCs w:val="24"/>
              </w:rPr>
              <w:t>884</w:t>
            </w:r>
          </w:p>
        </w:tc>
        <w:tc>
          <w:tcPr>
            <w:tcW w:w="1984" w:type="dxa"/>
            <w:vAlign w:val="center"/>
          </w:tcPr>
          <w:p w:rsidR="009D3C5E" w:rsidRDefault="001461CE">
            <w:pPr>
              <w:jc w:val="right"/>
            </w:pPr>
            <w:r>
              <w:rPr>
                <w:color w:val="000000"/>
                <w:kern w:val="0"/>
                <w:sz w:val="24"/>
                <w:szCs w:val="24"/>
              </w:rPr>
              <w:t>78,198.64</w:t>
            </w:r>
          </w:p>
        </w:tc>
        <w:tc>
          <w:tcPr>
            <w:tcW w:w="1559" w:type="dxa"/>
            <w:vAlign w:val="center"/>
          </w:tcPr>
          <w:p w:rsidR="009D3C5E" w:rsidRDefault="001461CE">
            <w:pPr>
              <w:jc w:val="right"/>
            </w:pPr>
            <w:r>
              <w:rPr>
                <w:color w:val="000000"/>
                <w:kern w:val="0"/>
                <w:sz w:val="24"/>
                <w:szCs w:val="24"/>
              </w:rPr>
              <w:t>0.00</w:t>
            </w:r>
          </w:p>
        </w:tc>
      </w:tr>
      <w:tr w:rsidR="009D3C5E">
        <w:tc>
          <w:tcPr>
            <w:tcW w:w="851" w:type="dxa"/>
            <w:vAlign w:val="center"/>
          </w:tcPr>
          <w:p w:rsidR="009D3C5E" w:rsidRDefault="001461CE">
            <w:pPr>
              <w:jc w:val="center"/>
            </w:pPr>
            <w:r>
              <w:rPr>
                <w:color w:val="000000"/>
                <w:kern w:val="0"/>
                <w:sz w:val="24"/>
                <w:szCs w:val="24"/>
              </w:rPr>
              <w:t>10</w:t>
            </w:r>
          </w:p>
        </w:tc>
        <w:tc>
          <w:tcPr>
            <w:tcW w:w="1276" w:type="dxa"/>
            <w:vAlign w:val="center"/>
          </w:tcPr>
          <w:p w:rsidR="009D3C5E" w:rsidRDefault="001461CE">
            <w:pPr>
              <w:jc w:val="center"/>
            </w:pPr>
            <w:r>
              <w:rPr>
                <w:color w:val="000000"/>
                <w:kern w:val="0"/>
                <w:sz w:val="24"/>
                <w:szCs w:val="24"/>
              </w:rPr>
              <w:t>300790</w:t>
            </w:r>
          </w:p>
        </w:tc>
        <w:tc>
          <w:tcPr>
            <w:tcW w:w="1418" w:type="dxa"/>
            <w:vAlign w:val="center"/>
          </w:tcPr>
          <w:p w:rsidR="009D3C5E" w:rsidRDefault="001461CE">
            <w:pPr>
              <w:jc w:val="center"/>
            </w:pPr>
            <w:r>
              <w:rPr>
                <w:color w:val="000000"/>
                <w:kern w:val="0"/>
                <w:sz w:val="24"/>
                <w:szCs w:val="24"/>
              </w:rPr>
              <w:t>宇瞳光学</w:t>
            </w:r>
          </w:p>
        </w:tc>
        <w:tc>
          <w:tcPr>
            <w:tcW w:w="1701" w:type="dxa"/>
            <w:vAlign w:val="center"/>
          </w:tcPr>
          <w:p w:rsidR="009D3C5E" w:rsidRDefault="001461CE">
            <w:pPr>
              <w:jc w:val="right"/>
            </w:pPr>
            <w:r>
              <w:rPr>
                <w:color w:val="000000"/>
                <w:kern w:val="0"/>
                <w:sz w:val="24"/>
                <w:szCs w:val="24"/>
              </w:rPr>
              <w:t>671</w:t>
            </w:r>
          </w:p>
        </w:tc>
        <w:tc>
          <w:tcPr>
            <w:tcW w:w="1984" w:type="dxa"/>
            <w:vAlign w:val="center"/>
          </w:tcPr>
          <w:p w:rsidR="009D3C5E" w:rsidRDefault="001461CE">
            <w:pPr>
              <w:jc w:val="right"/>
            </w:pPr>
            <w:r>
              <w:rPr>
                <w:color w:val="000000"/>
                <w:kern w:val="0"/>
                <w:sz w:val="24"/>
                <w:szCs w:val="24"/>
              </w:rPr>
              <w:t>31,094.14</w:t>
            </w:r>
          </w:p>
        </w:tc>
        <w:tc>
          <w:tcPr>
            <w:tcW w:w="1559" w:type="dxa"/>
            <w:vAlign w:val="center"/>
          </w:tcPr>
          <w:p w:rsidR="009D3C5E" w:rsidRDefault="001461CE">
            <w:pPr>
              <w:jc w:val="right"/>
            </w:pPr>
            <w:r>
              <w:rPr>
                <w:color w:val="000000"/>
                <w:kern w:val="0"/>
                <w:sz w:val="24"/>
                <w:szCs w:val="24"/>
              </w:rPr>
              <w:t>0.00</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3,558,323,000.00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13.28</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3,558,323,000.00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13.28</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2,557,496,400.00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9.55</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3,840,583,000.00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14.34</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13,571,126,000.00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50.66</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23,527,528,400.00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87.82</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9D3C5E">
        <w:tc>
          <w:tcPr>
            <w:tcW w:w="959" w:type="dxa"/>
            <w:vAlign w:val="center"/>
          </w:tcPr>
          <w:p w:rsidR="009D3C5E" w:rsidRDefault="001461CE">
            <w:pPr>
              <w:jc w:val="center"/>
            </w:pPr>
            <w:r>
              <w:rPr>
                <w:color w:val="000000"/>
                <w:kern w:val="0"/>
                <w:sz w:val="24"/>
                <w:szCs w:val="24"/>
              </w:rPr>
              <w:t>1</w:t>
            </w:r>
          </w:p>
        </w:tc>
        <w:tc>
          <w:tcPr>
            <w:tcW w:w="1276" w:type="dxa"/>
            <w:vAlign w:val="center"/>
          </w:tcPr>
          <w:p w:rsidR="009D3C5E" w:rsidRDefault="001461CE">
            <w:pPr>
              <w:jc w:val="center"/>
            </w:pPr>
            <w:r>
              <w:rPr>
                <w:color w:val="000000"/>
                <w:kern w:val="0"/>
                <w:sz w:val="24"/>
                <w:szCs w:val="24"/>
              </w:rPr>
              <w:t>111907049</w:t>
            </w:r>
          </w:p>
        </w:tc>
        <w:tc>
          <w:tcPr>
            <w:tcW w:w="1275" w:type="dxa"/>
            <w:vAlign w:val="center"/>
          </w:tcPr>
          <w:p w:rsidR="009D3C5E" w:rsidRDefault="001461CE">
            <w:pPr>
              <w:jc w:val="center"/>
            </w:pPr>
            <w:r>
              <w:rPr>
                <w:color w:val="000000"/>
                <w:kern w:val="0"/>
                <w:sz w:val="24"/>
                <w:szCs w:val="24"/>
              </w:rPr>
              <w:t>19</w:t>
            </w:r>
            <w:r>
              <w:rPr>
                <w:color w:val="000000"/>
                <w:kern w:val="0"/>
                <w:sz w:val="24"/>
                <w:szCs w:val="24"/>
              </w:rPr>
              <w:t>招商银行</w:t>
            </w:r>
            <w:r>
              <w:rPr>
                <w:color w:val="000000"/>
                <w:kern w:val="0"/>
                <w:sz w:val="24"/>
                <w:szCs w:val="24"/>
              </w:rPr>
              <w:t>CD049</w:t>
            </w:r>
          </w:p>
        </w:tc>
        <w:tc>
          <w:tcPr>
            <w:tcW w:w="1560" w:type="dxa"/>
            <w:vAlign w:val="center"/>
          </w:tcPr>
          <w:p w:rsidR="009D3C5E" w:rsidRDefault="001461CE">
            <w:pPr>
              <w:jc w:val="right"/>
            </w:pPr>
            <w:r>
              <w:rPr>
                <w:color w:val="000000"/>
                <w:kern w:val="0"/>
                <w:sz w:val="24"/>
                <w:szCs w:val="24"/>
              </w:rPr>
              <w:t>20,000,000</w:t>
            </w:r>
          </w:p>
        </w:tc>
        <w:tc>
          <w:tcPr>
            <w:tcW w:w="1984" w:type="dxa"/>
            <w:vAlign w:val="center"/>
          </w:tcPr>
          <w:p w:rsidR="009D3C5E" w:rsidRDefault="001461CE">
            <w:pPr>
              <w:jc w:val="right"/>
            </w:pPr>
            <w:r>
              <w:rPr>
                <w:color w:val="000000"/>
                <w:kern w:val="0"/>
                <w:sz w:val="24"/>
                <w:szCs w:val="24"/>
              </w:rPr>
              <w:t>1,941,000,000.00</w:t>
            </w:r>
          </w:p>
        </w:tc>
        <w:tc>
          <w:tcPr>
            <w:tcW w:w="1474" w:type="dxa"/>
            <w:vAlign w:val="center"/>
          </w:tcPr>
          <w:p w:rsidR="009D3C5E" w:rsidRDefault="001461CE">
            <w:pPr>
              <w:jc w:val="right"/>
            </w:pPr>
            <w:r>
              <w:rPr>
                <w:color w:val="000000"/>
                <w:kern w:val="0"/>
                <w:sz w:val="24"/>
                <w:szCs w:val="24"/>
              </w:rPr>
              <w:t>7.25</w:t>
            </w:r>
          </w:p>
        </w:tc>
      </w:tr>
      <w:tr w:rsidR="009D3C5E">
        <w:tc>
          <w:tcPr>
            <w:tcW w:w="959" w:type="dxa"/>
            <w:vAlign w:val="center"/>
          </w:tcPr>
          <w:p w:rsidR="009D3C5E" w:rsidRDefault="001461CE">
            <w:pPr>
              <w:jc w:val="center"/>
            </w:pPr>
            <w:r>
              <w:rPr>
                <w:color w:val="000000"/>
                <w:kern w:val="0"/>
                <w:sz w:val="24"/>
                <w:szCs w:val="24"/>
              </w:rPr>
              <w:t>2</w:t>
            </w:r>
          </w:p>
        </w:tc>
        <w:tc>
          <w:tcPr>
            <w:tcW w:w="1276" w:type="dxa"/>
            <w:vAlign w:val="center"/>
          </w:tcPr>
          <w:p w:rsidR="009D3C5E" w:rsidRDefault="001461CE">
            <w:pPr>
              <w:jc w:val="center"/>
            </w:pPr>
            <w:r>
              <w:rPr>
                <w:color w:val="000000"/>
                <w:kern w:val="0"/>
                <w:sz w:val="24"/>
                <w:szCs w:val="24"/>
              </w:rPr>
              <w:t>180212</w:t>
            </w:r>
          </w:p>
        </w:tc>
        <w:tc>
          <w:tcPr>
            <w:tcW w:w="1275" w:type="dxa"/>
            <w:vAlign w:val="center"/>
          </w:tcPr>
          <w:p w:rsidR="009D3C5E" w:rsidRDefault="001461CE">
            <w:pPr>
              <w:jc w:val="center"/>
            </w:pPr>
            <w:r>
              <w:rPr>
                <w:color w:val="000000"/>
                <w:kern w:val="0"/>
                <w:sz w:val="24"/>
                <w:szCs w:val="24"/>
              </w:rPr>
              <w:t>18</w:t>
            </w:r>
            <w:r>
              <w:rPr>
                <w:color w:val="000000"/>
                <w:kern w:val="0"/>
                <w:sz w:val="24"/>
                <w:szCs w:val="24"/>
              </w:rPr>
              <w:t>国开</w:t>
            </w:r>
            <w:r>
              <w:rPr>
                <w:color w:val="000000"/>
                <w:kern w:val="0"/>
                <w:sz w:val="24"/>
                <w:szCs w:val="24"/>
              </w:rPr>
              <w:t>12</w:t>
            </w:r>
          </w:p>
        </w:tc>
        <w:tc>
          <w:tcPr>
            <w:tcW w:w="1560" w:type="dxa"/>
            <w:vAlign w:val="center"/>
          </w:tcPr>
          <w:p w:rsidR="009D3C5E" w:rsidRDefault="001461CE">
            <w:pPr>
              <w:jc w:val="right"/>
            </w:pPr>
            <w:r>
              <w:rPr>
                <w:color w:val="000000"/>
                <w:kern w:val="0"/>
                <w:sz w:val="24"/>
                <w:szCs w:val="24"/>
              </w:rPr>
              <w:t>18,600,000</w:t>
            </w:r>
          </w:p>
        </w:tc>
        <w:tc>
          <w:tcPr>
            <w:tcW w:w="1984" w:type="dxa"/>
            <w:vAlign w:val="center"/>
          </w:tcPr>
          <w:p w:rsidR="009D3C5E" w:rsidRDefault="001461CE">
            <w:pPr>
              <w:jc w:val="right"/>
            </w:pPr>
            <w:r>
              <w:rPr>
                <w:color w:val="000000"/>
                <w:kern w:val="0"/>
                <w:sz w:val="24"/>
                <w:szCs w:val="24"/>
              </w:rPr>
              <w:t>1,884,924,000.00</w:t>
            </w:r>
          </w:p>
        </w:tc>
        <w:tc>
          <w:tcPr>
            <w:tcW w:w="1474" w:type="dxa"/>
            <w:vAlign w:val="center"/>
          </w:tcPr>
          <w:p w:rsidR="009D3C5E" w:rsidRDefault="001461CE">
            <w:pPr>
              <w:jc w:val="right"/>
            </w:pPr>
            <w:r>
              <w:rPr>
                <w:color w:val="000000"/>
                <w:kern w:val="0"/>
                <w:sz w:val="24"/>
                <w:szCs w:val="24"/>
              </w:rPr>
              <w:t>7.04</w:t>
            </w:r>
          </w:p>
        </w:tc>
      </w:tr>
      <w:tr w:rsidR="009D3C5E">
        <w:tc>
          <w:tcPr>
            <w:tcW w:w="959" w:type="dxa"/>
            <w:vAlign w:val="center"/>
          </w:tcPr>
          <w:p w:rsidR="009D3C5E" w:rsidRDefault="001461CE">
            <w:pPr>
              <w:jc w:val="center"/>
            </w:pPr>
            <w:r>
              <w:rPr>
                <w:color w:val="000000"/>
                <w:kern w:val="0"/>
                <w:sz w:val="24"/>
                <w:szCs w:val="24"/>
              </w:rPr>
              <w:t>3</w:t>
            </w:r>
          </w:p>
        </w:tc>
        <w:tc>
          <w:tcPr>
            <w:tcW w:w="1276" w:type="dxa"/>
            <w:vAlign w:val="center"/>
          </w:tcPr>
          <w:p w:rsidR="009D3C5E" w:rsidRDefault="001461CE">
            <w:pPr>
              <w:jc w:val="center"/>
            </w:pPr>
            <w:r>
              <w:rPr>
                <w:color w:val="000000"/>
                <w:kern w:val="0"/>
                <w:sz w:val="24"/>
                <w:szCs w:val="24"/>
              </w:rPr>
              <w:t>111906140</w:t>
            </w:r>
          </w:p>
        </w:tc>
        <w:tc>
          <w:tcPr>
            <w:tcW w:w="1275" w:type="dxa"/>
            <w:vAlign w:val="center"/>
          </w:tcPr>
          <w:p w:rsidR="009D3C5E" w:rsidRDefault="001461CE">
            <w:pPr>
              <w:jc w:val="center"/>
            </w:pPr>
            <w:r>
              <w:rPr>
                <w:color w:val="000000"/>
                <w:kern w:val="0"/>
                <w:sz w:val="24"/>
                <w:szCs w:val="24"/>
              </w:rPr>
              <w:t>19</w:t>
            </w:r>
            <w:r>
              <w:rPr>
                <w:color w:val="000000"/>
                <w:kern w:val="0"/>
                <w:sz w:val="24"/>
                <w:szCs w:val="24"/>
              </w:rPr>
              <w:t>交通银行</w:t>
            </w:r>
            <w:r>
              <w:rPr>
                <w:color w:val="000000"/>
                <w:kern w:val="0"/>
                <w:sz w:val="24"/>
                <w:szCs w:val="24"/>
              </w:rPr>
              <w:t>CD140</w:t>
            </w:r>
          </w:p>
        </w:tc>
        <w:tc>
          <w:tcPr>
            <w:tcW w:w="1560" w:type="dxa"/>
            <w:vAlign w:val="center"/>
          </w:tcPr>
          <w:p w:rsidR="009D3C5E" w:rsidRDefault="001461CE">
            <w:pPr>
              <w:jc w:val="right"/>
            </w:pPr>
            <w:r>
              <w:rPr>
                <w:color w:val="000000"/>
                <w:kern w:val="0"/>
                <w:sz w:val="24"/>
                <w:szCs w:val="24"/>
              </w:rPr>
              <w:t>10,000,000</w:t>
            </w:r>
          </w:p>
        </w:tc>
        <w:tc>
          <w:tcPr>
            <w:tcW w:w="1984" w:type="dxa"/>
            <w:vAlign w:val="center"/>
          </w:tcPr>
          <w:p w:rsidR="009D3C5E" w:rsidRDefault="001461CE">
            <w:pPr>
              <w:jc w:val="right"/>
            </w:pPr>
            <w:r>
              <w:rPr>
                <w:color w:val="000000"/>
                <w:kern w:val="0"/>
                <w:sz w:val="24"/>
                <w:szCs w:val="24"/>
              </w:rPr>
              <w:t>969,700,000.00</w:t>
            </w:r>
          </w:p>
        </w:tc>
        <w:tc>
          <w:tcPr>
            <w:tcW w:w="1474" w:type="dxa"/>
            <w:vAlign w:val="center"/>
          </w:tcPr>
          <w:p w:rsidR="009D3C5E" w:rsidRDefault="001461CE">
            <w:pPr>
              <w:jc w:val="right"/>
            </w:pPr>
            <w:r>
              <w:rPr>
                <w:color w:val="000000"/>
                <w:kern w:val="0"/>
                <w:sz w:val="24"/>
                <w:szCs w:val="24"/>
              </w:rPr>
              <w:t>3.62</w:t>
            </w:r>
          </w:p>
        </w:tc>
      </w:tr>
      <w:tr w:rsidR="009D3C5E">
        <w:tc>
          <w:tcPr>
            <w:tcW w:w="959" w:type="dxa"/>
            <w:vAlign w:val="center"/>
          </w:tcPr>
          <w:p w:rsidR="009D3C5E" w:rsidRDefault="001461CE">
            <w:pPr>
              <w:jc w:val="center"/>
            </w:pPr>
            <w:r>
              <w:rPr>
                <w:color w:val="000000"/>
                <w:kern w:val="0"/>
                <w:sz w:val="24"/>
                <w:szCs w:val="24"/>
              </w:rPr>
              <w:t>4</w:t>
            </w:r>
          </w:p>
        </w:tc>
        <w:tc>
          <w:tcPr>
            <w:tcW w:w="1276" w:type="dxa"/>
            <w:vAlign w:val="center"/>
          </w:tcPr>
          <w:p w:rsidR="009D3C5E" w:rsidRDefault="001461CE">
            <w:pPr>
              <w:jc w:val="center"/>
            </w:pPr>
            <w:r>
              <w:rPr>
                <w:color w:val="000000"/>
                <w:kern w:val="0"/>
                <w:sz w:val="24"/>
                <w:szCs w:val="24"/>
              </w:rPr>
              <w:t>180409</w:t>
            </w:r>
          </w:p>
        </w:tc>
        <w:tc>
          <w:tcPr>
            <w:tcW w:w="1275" w:type="dxa"/>
            <w:vAlign w:val="center"/>
          </w:tcPr>
          <w:p w:rsidR="009D3C5E" w:rsidRDefault="001461CE">
            <w:pPr>
              <w:jc w:val="center"/>
            </w:pPr>
            <w:r>
              <w:rPr>
                <w:color w:val="000000"/>
                <w:kern w:val="0"/>
                <w:sz w:val="24"/>
                <w:szCs w:val="24"/>
              </w:rPr>
              <w:t>18</w:t>
            </w:r>
            <w:r>
              <w:rPr>
                <w:color w:val="000000"/>
                <w:kern w:val="0"/>
                <w:sz w:val="24"/>
                <w:szCs w:val="24"/>
              </w:rPr>
              <w:t>农发</w:t>
            </w:r>
            <w:r>
              <w:rPr>
                <w:color w:val="000000"/>
                <w:kern w:val="0"/>
                <w:sz w:val="24"/>
                <w:szCs w:val="24"/>
              </w:rPr>
              <w:t>09</w:t>
            </w:r>
          </w:p>
        </w:tc>
        <w:tc>
          <w:tcPr>
            <w:tcW w:w="1560" w:type="dxa"/>
            <w:vAlign w:val="center"/>
          </w:tcPr>
          <w:p w:rsidR="009D3C5E" w:rsidRDefault="001461CE">
            <w:pPr>
              <w:jc w:val="right"/>
            </w:pPr>
            <w:r>
              <w:rPr>
                <w:color w:val="000000"/>
                <w:kern w:val="0"/>
                <w:sz w:val="24"/>
                <w:szCs w:val="24"/>
              </w:rPr>
              <w:t>8,500,000</w:t>
            </w:r>
          </w:p>
        </w:tc>
        <w:tc>
          <w:tcPr>
            <w:tcW w:w="1984" w:type="dxa"/>
            <w:vAlign w:val="center"/>
          </w:tcPr>
          <w:p w:rsidR="009D3C5E" w:rsidRDefault="001461CE">
            <w:pPr>
              <w:jc w:val="right"/>
            </w:pPr>
            <w:r>
              <w:rPr>
                <w:color w:val="000000"/>
                <w:kern w:val="0"/>
                <w:sz w:val="24"/>
                <w:szCs w:val="24"/>
              </w:rPr>
              <w:t>868,020,000.00</w:t>
            </w:r>
          </w:p>
        </w:tc>
        <w:tc>
          <w:tcPr>
            <w:tcW w:w="1474" w:type="dxa"/>
            <w:vAlign w:val="center"/>
          </w:tcPr>
          <w:p w:rsidR="009D3C5E" w:rsidRDefault="001461CE">
            <w:pPr>
              <w:jc w:val="right"/>
            </w:pPr>
            <w:r>
              <w:rPr>
                <w:color w:val="000000"/>
                <w:kern w:val="0"/>
                <w:sz w:val="24"/>
                <w:szCs w:val="24"/>
              </w:rPr>
              <w:t>3.24</w:t>
            </w:r>
          </w:p>
        </w:tc>
      </w:tr>
      <w:tr w:rsidR="009D3C5E">
        <w:tc>
          <w:tcPr>
            <w:tcW w:w="959" w:type="dxa"/>
            <w:vAlign w:val="center"/>
          </w:tcPr>
          <w:p w:rsidR="009D3C5E" w:rsidRDefault="001461CE">
            <w:pPr>
              <w:jc w:val="center"/>
            </w:pPr>
            <w:r>
              <w:rPr>
                <w:color w:val="000000"/>
                <w:kern w:val="0"/>
                <w:sz w:val="24"/>
                <w:szCs w:val="24"/>
              </w:rPr>
              <w:t>5</w:t>
            </w:r>
          </w:p>
        </w:tc>
        <w:tc>
          <w:tcPr>
            <w:tcW w:w="1276" w:type="dxa"/>
            <w:vAlign w:val="center"/>
          </w:tcPr>
          <w:p w:rsidR="009D3C5E" w:rsidRDefault="001461CE">
            <w:pPr>
              <w:jc w:val="center"/>
            </w:pPr>
            <w:r>
              <w:rPr>
                <w:color w:val="000000"/>
                <w:kern w:val="0"/>
                <w:sz w:val="24"/>
                <w:szCs w:val="24"/>
              </w:rPr>
              <w:t>111917054</w:t>
            </w:r>
          </w:p>
        </w:tc>
        <w:tc>
          <w:tcPr>
            <w:tcW w:w="1275" w:type="dxa"/>
            <w:vAlign w:val="center"/>
          </w:tcPr>
          <w:p w:rsidR="009D3C5E" w:rsidRDefault="001461CE">
            <w:pPr>
              <w:jc w:val="center"/>
            </w:pPr>
            <w:r>
              <w:rPr>
                <w:color w:val="000000"/>
                <w:kern w:val="0"/>
                <w:sz w:val="24"/>
                <w:szCs w:val="24"/>
              </w:rPr>
              <w:t>19</w:t>
            </w:r>
            <w:r>
              <w:rPr>
                <w:color w:val="000000"/>
                <w:kern w:val="0"/>
                <w:sz w:val="24"/>
                <w:szCs w:val="24"/>
              </w:rPr>
              <w:t>光大银行</w:t>
            </w:r>
            <w:r>
              <w:rPr>
                <w:color w:val="000000"/>
                <w:kern w:val="0"/>
                <w:sz w:val="24"/>
                <w:szCs w:val="24"/>
              </w:rPr>
              <w:t>CD054</w:t>
            </w:r>
          </w:p>
        </w:tc>
        <w:tc>
          <w:tcPr>
            <w:tcW w:w="1560" w:type="dxa"/>
            <w:vAlign w:val="center"/>
          </w:tcPr>
          <w:p w:rsidR="009D3C5E" w:rsidRDefault="001461CE">
            <w:pPr>
              <w:jc w:val="right"/>
            </w:pPr>
            <w:r>
              <w:rPr>
                <w:color w:val="000000"/>
                <w:kern w:val="0"/>
                <w:sz w:val="24"/>
                <w:szCs w:val="24"/>
              </w:rPr>
              <w:t>8,000,000</w:t>
            </w:r>
          </w:p>
        </w:tc>
        <w:tc>
          <w:tcPr>
            <w:tcW w:w="1984" w:type="dxa"/>
            <w:vAlign w:val="center"/>
          </w:tcPr>
          <w:p w:rsidR="009D3C5E" w:rsidRDefault="001461CE">
            <w:pPr>
              <w:jc w:val="right"/>
            </w:pPr>
            <w:r>
              <w:rPr>
                <w:color w:val="000000"/>
                <w:kern w:val="0"/>
                <w:sz w:val="24"/>
                <w:szCs w:val="24"/>
              </w:rPr>
              <w:t>776,080,000.00</w:t>
            </w:r>
          </w:p>
        </w:tc>
        <w:tc>
          <w:tcPr>
            <w:tcW w:w="1474" w:type="dxa"/>
            <w:vAlign w:val="center"/>
          </w:tcPr>
          <w:p w:rsidR="009D3C5E" w:rsidRDefault="001461CE">
            <w:pPr>
              <w:jc w:val="right"/>
            </w:pPr>
            <w:r>
              <w:rPr>
                <w:color w:val="000000"/>
                <w:kern w:val="0"/>
                <w:sz w:val="24"/>
                <w:szCs w:val="24"/>
              </w:rPr>
              <w:t>2.90</w:t>
            </w:r>
          </w:p>
        </w:tc>
      </w:tr>
      <w:tr w:rsidR="009D3C5E">
        <w:tc>
          <w:tcPr>
            <w:tcW w:w="959" w:type="dxa"/>
            <w:vAlign w:val="center"/>
          </w:tcPr>
          <w:p w:rsidR="009D3C5E" w:rsidRDefault="001461CE">
            <w:pPr>
              <w:jc w:val="center"/>
            </w:pPr>
            <w:r>
              <w:rPr>
                <w:color w:val="000000"/>
                <w:kern w:val="0"/>
                <w:sz w:val="24"/>
                <w:szCs w:val="24"/>
              </w:rPr>
              <w:t>5</w:t>
            </w:r>
          </w:p>
        </w:tc>
        <w:tc>
          <w:tcPr>
            <w:tcW w:w="1276" w:type="dxa"/>
            <w:vAlign w:val="center"/>
          </w:tcPr>
          <w:p w:rsidR="009D3C5E" w:rsidRDefault="001461CE">
            <w:pPr>
              <w:jc w:val="center"/>
            </w:pPr>
            <w:r>
              <w:rPr>
                <w:color w:val="000000"/>
                <w:kern w:val="0"/>
                <w:sz w:val="24"/>
                <w:szCs w:val="24"/>
              </w:rPr>
              <w:t>111918250</w:t>
            </w:r>
          </w:p>
        </w:tc>
        <w:tc>
          <w:tcPr>
            <w:tcW w:w="1275" w:type="dxa"/>
            <w:vAlign w:val="center"/>
          </w:tcPr>
          <w:p w:rsidR="009D3C5E" w:rsidRDefault="001461CE">
            <w:pPr>
              <w:jc w:val="center"/>
            </w:pPr>
            <w:r>
              <w:rPr>
                <w:color w:val="000000"/>
                <w:kern w:val="0"/>
                <w:sz w:val="24"/>
                <w:szCs w:val="24"/>
              </w:rPr>
              <w:t>19</w:t>
            </w:r>
            <w:r>
              <w:rPr>
                <w:color w:val="000000"/>
                <w:kern w:val="0"/>
                <w:sz w:val="24"/>
                <w:szCs w:val="24"/>
              </w:rPr>
              <w:t>华夏银行</w:t>
            </w:r>
            <w:r>
              <w:rPr>
                <w:color w:val="000000"/>
                <w:kern w:val="0"/>
                <w:sz w:val="24"/>
                <w:szCs w:val="24"/>
              </w:rPr>
              <w:t>CD250</w:t>
            </w:r>
          </w:p>
        </w:tc>
        <w:tc>
          <w:tcPr>
            <w:tcW w:w="1560" w:type="dxa"/>
            <w:vAlign w:val="center"/>
          </w:tcPr>
          <w:p w:rsidR="009D3C5E" w:rsidRDefault="001461CE">
            <w:pPr>
              <w:jc w:val="right"/>
            </w:pPr>
            <w:r>
              <w:rPr>
                <w:color w:val="000000"/>
                <w:kern w:val="0"/>
                <w:sz w:val="24"/>
                <w:szCs w:val="24"/>
              </w:rPr>
              <w:t>8,000,000</w:t>
            </w:r>
          </w:p>
        </w:tc>
        <w:tc>
          <w:tcPr>
            <w:tcW w:w="1984" w:type="dxa"/>
            <w:vAlign w:val="center"/>
          </w:tcPr>
          <w:p w:rsidR="009D3C5E" w:rsidRDefault="001461CE">
            <w:pPr>
              <w:jc w:val="right"/>
            </w:pPr>
            <w:r>
              <w:rPr>
                <w:color w:val="000000"/>
                <w:kern w:val="0"/>
                <w:sz w:val="24"/>
                <w:szCs w:val="24"/>
              </w:rPr>
              <w:t>776,080,000.00</w:t>
            </w:r>
          </w:p>
        </w:tc>
        <w:tc>
          <w:tcPr>
            <w:tcW w:w="1474" w:type="dxa"/>
            <w:vAlign w:val="center"/>
          </w:tcPr>
          <w:p w:rsidR="009D3C5E" w:rsidRDefault="001461CE">
            <w:pPr>
              <w:jc w:val="right"/>
            </w:pPr>
            <w:r>
              <w:rPr>
                <w:color w:val="000000"/>
                <w:kern w:val="0"/>
                <w:sz w:val="24"/>
                <w:szCs w:val="24"/>
              </w:rPr>
              <w:t>2.90</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5.11.119招商银行CD049（代码：111907049）是易方达3年封闭运作战略配售灵活配置混合型证券投资基金(LOF) 的前十大持仓证券。2019年7月8日，中国银行保险监督管理委员会上海监管局针对招商银行股份有限公司信用卡中心在为部分客户办理信用卡业务时未遵守总授信额度管理制度的行为，对招商银行股份有限公司处以责令改正，并处罚款20万元。</w:t>
      </w:r>
    </w:p>
    <w:p w:rsidR="009D3C5E" w:rsidRDefault="001461CE">
      <w:pPr>
        <w:spacing w:line="360" w:lineRule="auto"/>
        <w:rPr>
          <w:rFonts w:ascii="宋体" w:hAnsi="宋体"/>
          <w:color w:val="000000"/>
          <w:sz w:val="24"/>
          <w:szCs w:val="24"/>
        </w:rPr>
      </w:pPr>
      <w:r>
        <w:rPr>
          <w:rFonts w:ascii="宋体" w:hAnsi="宋体"/>
          <w:color w:val="000000"/>
          <w:sz w:val="24"/>
          <w:szCs w:val="24"/>
        </w:rPr>
        <w:t>19</w:t>
      </w:r>
      <w:r>
        <w:rPr>
          <w:rFonts w:ascii="宋体" w:hAnsi="宋体"/>
          <w:color w:val="000000"/>
          <w:sz w:val="24"/>
          <w:szCs w:val="24"/>
        </w:rPr>
        <w:t>交通银行</w:t>
      </w:r>
      <w:r>
        <w:rPr>
          <w:rFonts w:ascii="宋体" w:hAnsi="宋体"/>
          <w:color w:val="000000"/>
          <w:sz w:val="24"/>
          <w:szCs w:val="24"/>
        </w:rPr>
        <w:t>CD140</w:t>
      </w:r>
      <w:r>
        <w:rPr>
          <w:rFonts w:ascii="宋体" w:hAnsi="宋体"/>
          <w:color w:val="000000"/>
          <w:sz w:val="24"/>
          <w:szCs w:val="24"/>
        </w:rPr>
        <w:t>（代码：</w:t>
      </w:r>
      <w:r>
        <w:rPr>
          <w:rFonts w:ascii="宋体" w:hAnsi="宋体"/>
          <w:color w:val="000000"/>
          <w:sz w:val="24"/>
          <w:szCs w:val="24"/>
        </w:rPr>
        <w:t>111906140</w:t>
      </w:r>
      <w:r>
        <w:rPr>
          <w:rFonts w:ascii="宋体" w:hAnsi="宋体"/>
          <w:color w:val="000000"/>
          <w:sz w:val="24"/>
          <w:szCs w:val="24"/>
        </w:rPr>
        <w:t>）是易方达</w:t>
      </w:r>
      <w:r>
        <w:rPr>
          <w:rFonts w:ascii="宋体" w:hAnsi="宋体"/>
          <w:color w:val="000000"/>
          <w:sz w:val="24"/>
          <w:szCs w:val="24"/>
        </w:rPr>
        <w:t>3</w:t>
      </w:r>
      <w:r>
        <w:rPr>
          <w:rFonts w:ascii="宋体" w:hAnsi="宋体"/>
          <w:color w:val="000000"/>
          <w:sz w:val="24"/>
          <w:szCs w:val="24"/>
        </w:rPr>
        <w:t>年封闭运作战略配售灵活配置混合型证券投资基金</w:t>
      </w:r>
      <w:r>
        <w:rPr>
          <w:rFonts w:ascii="宋体" w:hAnsi="宋体"/>
          <w:color w:val="000000"/>
          <w:sz w:val="24"/>
          <w:szCs w:val="24"/>
        </w:rPr>
        <w:t xml:space="preserve">(LOF) </w:t>
      </w:r>
      <w:r>
        <w:rPr>
          <w:rFonts w:ascii="宋体" w:hAnsi="宋体"/>
          <w:color w:val="000000"/>
          <w:sz w:val="24"/>
          <w:szCs w:val="24"/>
        </w:rPr>
        <w:t>的前十大持仓证券。</w:t>
      </w:r>
      <w:r>
        <w:rPr>
          <w:rFonts w:ascii="宋体" w:hAnsi="宋体"/>
          <w:color w:val="000000"/>
          <w:sz w:val="24"/>
          <w:szCs w:val="24"/>
        </w:rPr>
        <w:t>2018</w:t>
      </w:r>
      <w:r>
        <w:rPr>
          <w:rFonts w:ascii="宋体" w:hAnsi="宋体"/>
          <w:color w:val="000000"/>
          <w:sz w:val="24"/>
          <w:szCs w:val="24"/>
        </w:rPr>
        <w:t>年</w:t>
      </w:r>
      <w:r>
        <w:rPr>
          <w:rFonts w:ascii="宋体" w:hAnsi="宋体"/>
          <w:color w:val="000000"/>
          <w:sz w:val="24"/>
          <w:szCs w:val="24"/>
        </w:rPr>
        <w:t>10</w:t>
      </w:r>
      <w:r>
        <w:rPr>
          <w:rFonts w:ascii="宋体" w:hAnsi="宋体"/>
          <w:color w:val="000000"/>
          <w:sz w:val="24"/>
          <w:szCs w:val="24"/>
        </w:rPr>
        <w:t>月</w:t>
      </w:r>
      <w:r>
        <w:rPr>
          <w:rFonts w:ascii="宋体" w:hAnsi="宋体"/>
          <w:color w:val="000000"/>
          <w:sz w:val="24"/>
          <w:szCs w:val="24"/>
        </w:rPr>
        <w:t>18</w:t>
      </w:r>
      <w:r>
        <w:rPr>
          <w:rFonts w:ascii="宋体" w:hAnsi="宋体"/>
          <w:color w:val="000000"/>
          <w:sz w:val="24"/>
          <w:szCs w:val="24"/>
        </w:rPr>
        <w:t>日，中</w:t>
      </w:r>
      <w:r>
        <w:rPr>
          <w:rFonts w:ascii="宋体" w:hAnsi="宋体"/>
          <w:color w:val="000000"/>
          <w:sz w:val="24"/>
          <w:szCs w:val="24"/>
        </w:rPr>
        <w:t>国保监会上海保监局针对交通银行股份有限公司的有关违法违规行为作出</w:t>
      </w:r>
      <w:r>
        <w:rPr>
          <w:rFonts w:ascii="宋体" w:hAnsi="宋体"/>
          <w:color w:val="000000"/>
          <w:sz w:val="24"/>
          <w:szCs w:val="24"/>
        </w:rPr>
        <w:t>“</w:t>
      </w:r>
      <w:r>
        <w:rPr>
          <w:rFonts w:ascii="宋体" w:hAnsi="宋体"/>
          <w:color w:val="000000"/>
          <w:sz w:val="24"/>
          <w:szCs w:val="24"/>
        </w:rPr>
        <w:t>责令改正，并处</w:t>
      </w:r>
      <w:r>
        <w:rPr>
          <w:rFonts w:ascii="宋体" w:hAnsi="宋体"/>
          <w:color w:val="000000"/>
          <w:sz w:val="24"/>
          <w:szCs w:val="24"/>
        </w:rPr>
        <w:t>34</w:t>
      </w:r>
      <w:r>
        <w:rPr>
          <w:rFonts w:ascii="宋体" w:hAnsi="宋体"/>
          <w:color w:val="000000"/>
          <w:sz w:val="24"/>
          <w:szCs w:val="24"/>
        </w:rPr>
        <w:t>万元罚款</w:t>
      </w:r>
      <w:r>
        <w:rPr>
          <w:rFonts w:ascii="宋体" w:hAnsi="宋体"/>
          <w:color w:val="000000"/>
          <w:sz w:val="24"/>
          <w:szCs w:val="24"/>
        </w:rPr>
        <w:t>”</w:t>
      </w:r>
      <w:r>
        <w:rPr>
          <w:rFonts w:ascii="宋体" w:hAnsi="宋体"/>
          <w:color w:val="000000"/>
          <w:sz w:val="24"/>
          <w:szCs w:val="24"/>
        </w:rPr>
        <w:t>的行政处罚决定：（一）欺骗投保人；（二）向投保人隐瞒与合同有关的重要情况。</w:t>
      </w:r>
      <w:r>
        <w:rPr>
          <w:rFonts w:ascii="宋体" w:hAnsi="宋体"/>
          <w:color w:val="000000"/>
          <w:sz w:val="24"/>
          <w:szCs w:val="24"/>
        </w:rPr>
        <w:t>2018</w:t>
      </w:r>
      <w:r>
        <w:rPr>
          <w:rFonts w:ascii="宋体" w:hAnsi="宋体"/>
          <w:color w:val="000000"/>
          <w:sz w:val="24"/>
          <w:szCs w:val="24"/>
        </w:rPr>
        <w:t>年</w:t>
      </w:r>
      <w:r>
        <w:rPr>
          <w:rFonts w:ascii="宋体" w:hAnsi="宋体"/>
          <w:color w:val="000000"/>
          <w:sz w:val="24"/>
          <w:szCs w:val="24"/>
        </w:rPr>
        <w:t>11</w:t>
      </w:r>
      <w:r>
        <w:rPr>
          <w:rFonts w:ascii="宋体" w:hAnsi="宋体"/>
          <w:color w:val="000000"/>
          <w:sz w:val="24"/>
          <w:szCs w:val="24"/>
        </w:rPr>
        <w:t>月</w:t>
      </w:r>
      <w:r>
        <w:rPr>
          <w:rFonts w:ascii="宋体" w:hAnsi="宋体"/>
          <w:color w:val="000000"/>
          <w:sz w:val="24"/>
          <w:szCs w:val="24"/>
        </w:rPr>
        <w:t>9</w:t>
      </w:r>
      <w:r>
        <w:rPr>
          <w:rFonts w:ascii="宋体" w:hAnsi="宋体"/>
          <w:color w:val="000000"/>
          <w:sz w:val="24"/>
          <w:szCs w:val="24"/>
        </w:rPr>
        <w:t>日，中国银行保险监督管理委员会对交通银行股份有限公司的有关违法违规行为罚款</w:t>
      </w:r>
      <w:r>
        <w:rPr>
          <w:rFonts w:ascii="宋体" w:hAnsi="宋体"/>
          <w:color w:val="000000"/>
          <w:sz w:val="24"/>
          <w:szCs w:val="24"/>
        </w:rPr>
        <w:t>50</w:t>
      </w:r>
      <w:r>
        <w:rPr>
          <w:rFonts w:ascii="宋体" w:hAnsi="宋体"/>
          <w:color w:val="000000"/>
          <w:sz w:val="24"/>
          <w:szCs w:val="24"/>
        </w:rPr>
        <w:t>万元：并购贷款占并购交易价款比例不合规、并购贷款尽职调查和风险评估不到位。</w:t>
      </w:r>
      <w:r>
        <w:rPr>
          <w:rFonts w:ascii="宋体" w:hAnsi="宋体"/>
          <w:color w:val="000000"/>
          <w:sz w:val="24"/>
          <w:szCs w:val="24"/>
        </w:rPr>
        <w:t>2018</w:t>
      </w:r>
      <w:r>
        <w:rPr>
          <w:rFonts w:ascii="宋体" w:hAnsi="宋体"/>
          <w:color w:val="000000"/>
          <w:sz w:val="24"/>
          <w:szCs w:val="24"/>
        </w:rPr>
        <w:t>年</w:t>
      </w:r>
      <w:r>
        <w:rPr>
          <w:rFonts w:ascii="宋体" w:hAnsi="宋体"/>
          <w:color w:val="000000"/>
          <w:sz w:val="24"/>
          <w:szCs w:val="24"/>
        </w:rPr>
        <w:t>11</w:t>
      </w:r>
      <w:r>
        <w:rPr>
          <w:rFonts w:ascii="宋体" w:hAnsi="宋体"/>
          <w:color w:val="000000"/>
          <w:sz w:val="24"/>
          <w:szCs w:val="24"/>
        </w:rPr>
        <w:t>月</w:t>
      </w:r>
      <w:r>
        <w:rPr>
          <w:rFonts w:ascii="宋体" w:hAnsi="宋体"/>
          <w:color w:val="000000"/>
          <w:sz w:val="24"/>
          <w:szCs w:val="24"/>
        </w:rPr>
        <w:t>9</w:t>
      </w:r>
      <w:r>
        <w:rPr>
          <w:rFonts w:ascii="宋体" w:hAnsi="宋体"/>
          <w:color w:val="000000"/>
          <w:sz w:val="24"/>
          <w:szCs w:val="24"/>
        </w:rPr>
        <w:t>日，中国银行保险监督管理委员会对交通银行股份有限公司的有关违法违规行为罚款</w:t>
      </w:r>
      <w:r>
        <w:rPr>
          <w:rFonts w:ascii="宋体" w:hAnsi="宋体"/>
          <w:color w:val="000000"/>
          <w:sz w:val="24"/>
          <w:szCs w:val="24"/>
        </w:rPr>
        <w:t>690</w:t>
      </w:r>
      <w:r>
        <w:rPr>
          <w:rFonts w:ascii="宋体" w:hAnsi="宋体"/>
          <w:color w:val="000000"/>
          <w:sz w:val="24"/>
          <w:szCs w:val="24"/>
        </w:rPr>
        <w:t>万元：（一）不良信贷资产未洁净转让、理财资金投资本行不良信贷资产收益权；（二</w:t>
      </w:r>
      <w:r>
        <w:rPr>
          <w:rFonts w:ascii="宋体" w:hAnsi="宋体"/>
          <w:color w:val="000000"/>
          <w:sz w:val="24"/>
          <w:szCs w:val="24"/>
        </w:rPr>
        <w:t>）未尽职调查并使用自有资金垫付承接风险资产；（三）档案管理不到位、内控管理存在严重漏洞；（四）理财资金借助保险资管渠道虚增本行存款规模；（五）违规向土地储备机构提供融资；（六）信贷资金违规承接本行表外理财资产；（七）理财资金违规投资项目资本金；（八）部分理财产品信息披露不合规；（九）现场检查配合不力。</w:t>
      </w:r>
      <w:r>
        <w:rPr>
          <w:rFonts w:ascii="宋体" w:hAnsi="宋体"/>
          <w:color w:val="000000"/>
          <w:sz w:val="24"/>
          <w:szCs w:val="24"/>
        </w:rPr>
        <w:t>2019</w:t>
      </w:r>
      <w:r>
        <w:rPr>
          <w:rFonts w:ascii="宋体" w:hAnsi="宋体"/>
          <w:color w:val="000000"/>
          <w:sz w:val="24"/>
          <w:szCs w:val="24"/>
        </w:rPr>
        <w:t>年</w:t>
      </w:r>
      <w:r>
        <w:rPr>
          <w:rFonts w:ascii="宋体" w:hAnsi="宋体"/>
          <w:color w:val="000000"/>
          <w:sz w:val="24"/>
          <w:szCs w:val="24"/>
        </w:rPr>
        <w:t>7</w:t>
      </w:r>
      <w:r>
        <w:rPr>
          <w:rFonts w:ascii="宋体" w:hAnsi="宋体"/>
          <w:color w:val="000000"/>
          <w:sz w:val="24"/>
          <w:szCs w:val="24"/>
        </w:rPr>
        <w:t>月</w:t>
      </w:r>
      <w:r>
        <w:rPr>
          <w:rFonts w:ascii="宋体" w:hAnsi="宋体"/>
          <w:color w:val="000000"/>
          <w:sz w:val="24"/>
          <w:szCs w:val="24"/>
        </w:rPr>
        <w:t>25</w:t>
      </w:r>
      <w:r>
        <w:rPr>
          <w:rFonts w:ascii="宋体" w:hAnsi="宋体"/>
          <w:color w:val="000000"/>
          <w:sz w:val="24"/>
          <w:szCs w:val="24"/>
        </w:rPr>
        <w:t>日，中国银行保险监督管理委员会上海监管局对交通银行股份有限公司太平洋信用卡中心的如下违法违规行为作出</w:t>
      </w:r>
      <w:r>
        <w:rPr>
          <w:rFonts w:ascii="宋体" w:hAnsi="宋体"/>
          <w:color w:val="000000"/>
          <w:sz w:val="24"/>
          <w:szCs w:val="24"/>
        </w:rPr>
        <w:t>“</w:t>
      </w:r>
      <w:r>
        <w:rPr>
          <w:rFonts w:ascii="宋体" w:hAnsi="宋体"/>
          <w:color w:val="000000"/>
          <w:sz w:val="24"/>
          <w:szCs w:val="24"/>
        </w:rPr>
        <w:t>处以责令改正，并处罚款</w:t>
      </w:r>
      <w:r>
        <w:rPr>
          <w:rFonts w:ascii="宋体" w:hAnsi="宋体"/>
          <w:color w:val="000000"/>
          <w:sz w:val="24"/>
          <w:szCs w:val="24"/>
        </w:rPr>
        <w:t>40</w:t>
      </w:r>
      <w:r>
        <w:rPr>
          <w:rFonts w:ascii="宋体" w:hAnsi="宋体"/>
          <w:color w:val="000000"/>
          <w:sz w:val="24"/>
          <w:szCs w:val="24"/>
        </w:rPr>
        <w:t>万元</w:t>
      </w:r>
      <w:r>
        <w:rPr>
          <w:rFonts w:ascii="宋体" w:hAnsi="宋体"/>
          <w:color w:val="000000"/>
          <w:sz w:val="24"/>
          <w:szCs w:val="24"/>
        </w:rPr>
        <w:t>”</w:t>
      </w:r>
      <w:r>
        <w:rPr>
          <w:rFonts w:ascii="宋体" w:hAnsi="宋体"/>
          <w:color w:val="000000"/>
          <w:sz w:val="24"/>
          <w:szCs w:val="24"/>
        </w:rPr>
        <w:t>的行政处罚决定：</w:t>
      </w:r>
      <w:r>
        <w:rPr>
          <w:rFonts w:ascii="宋体" w:hAnsi="宋体"/>
          <w:color w:val="000000"/>
          <w:sz w:val="24"/>
          <w:szCs w:val="24"/>
        </w:rPr>
        <w:t>2017</w:t>
      </w:r>
      <w:r>
        <w:rPr>
          <w:rFonts w:ascii="宋体" w:hAnsi="宋体"/>
          <w:color w:val="000000"/>
          <w:sz w:val="24"/>
          <w:szCs w:val="24"/>
        </w:rPr>
        <w:t>年</w:t>
      </w:r>
      <w:r>
        <w:rPr>
          <w:rFonts w:ascii="宋体" w:hAnsi="宋体"/>
          <w:color w:val="000000"/>
          <w:sz w:val="24"/>
          <w:szCs w:val="24"/>
        </w:rPr>
        <w:t>6</w:t>
      </w:r>
      <w:r>
        <w:rPr>
          <w:rFonts w:ascii="宋体" w:hAnsi="宋体"/>
          <w:color w:val="000000"/>
          <w:sz w:val="24"/>
          <w:szCs w:val="24"/>
        </w:rPr>
        <w:t>月至</w:t>
      </w:r>
      <w:r>
        <w:rPr>
          <w:rFonts w:ascii="宋体" w:hAnsi="宋体"/>
          <w:color w:val="000000"/>
          <w:sz w:val="24"/>
          <w:szCs w:val="24"/>
        </w:rPr>
        <w:t>10</w:t>
      </w:r>
      <w:r>
        <w:rPr>
          <w:rFonts w:ascii="宋体" w:hAnsi="宋体"/>
          <w:color w:val="000000"/>
          <w:sz w:val="24"/>
          <w:szCs w:val="24"/>
        </w:rPr>
        <w:t>月期间在办理部分客户信</w:t>
      </w:r>
      <w:r>
        <w:rPr>
          <w:rFonts w:ascii="宋体" w:hAnsi="宋体"/>
          <w:color w:val="000000"/>
          <w:sz w:val="24"/>
          <w:szCs w:val="24"/>
        </w:rPr>
        <w:t>用卡业务时未遵守总授信额度管理制度。</w:t>
      </w:r>
    </w:p>
    <w:p w:rsidR="009D3C5E" w:rsidRDefault="001461CE">
      <w:pPr>
        <w:spacing w:line="360" w:lineRule="auto"/>
        <w:rPr>
          <w:rFonts w:ascii="宋体" w:hAnsi="宋体"/>
          <w:color w:val="000000"/>
          <w:sz w:val="24"/>
          <w:szCs w:val="24"/>
        </w:rPr>
      </w:pPr>
      <w:r>
        <w:rPr>
          <w:rFonts w:ascii="宋体" w:hAnsi="宋体"/>
          <w:color w:val="000000"/>
          <w:sz w:val="24"/>
          <w:szCs w:val="24"/>
        </w:rPr>
        <w:t>19</w:t>
      </w:r>
      <w:r>
        <w:rPr>
          <w:rFonts w:ascii="宋体" w:hAnsi="宋体"/>
          <w:color w:val="000000"/>
          <w:sz w:val="24"/>
          <w:szCs w:val="24"/>
        </w:rPr>
        <w:t>华夏银行</w:t>
      </w:r>
      <w:r>
        <w:rPr>
          <w:rFonts w:ascii="宋体" w:hAnsi="宋体"/>
          <w:color w:val="000000"/>
          <w:sz w:val="24"/>
          <w:szCs w:val="24"/>
        </w:rPr>
        <w:t>CD250</w:t>
      </w:r>
      <w:r>
        <w:rPr>
          <w:rFonts w:ascii="宋体" w:hAnsi="宋体"/>
          <w:color w:val="000000"/>
          <w:sz w:val="24"/>
          <w:szCs w:val="24"/>
        </w:rPr>
        <w:t>（代码：</w:t>
      </w:r>
      <w:r>
        <w:rPr>
          <w:rFonts w:ascii="宋体" w:hAnsi="宋体"/>
          <w:color w:val="000000"/>
          <w:sz w:val="24"/>
          <w:szCs w:val="24"/>
        </w:rPr>
        <w:t>111918250</w:t>
      </w:r>
      <w:r>
        <w:rPr>
          <w:rFonts w:ascii="宋体" w:hAnsi="宋体"/>
          <w:color w:val="000000"/>
          <w:sz w:val="24"/>
          <w:szCs w:val="24"/>
        </w:rPr>
        <w:t>）、</w:t>
      </w:r>
      <w:r>
        <w:rPr>
          <w:rFonts w:ascii="宋体" w:hAnsi="宋体"/>
          <w:color w:val="000000"/>
          <w:sz w:val="24"/>
          <w:szCs w:val="24"/>
        </w:rPr>
        <w:t>19</w:t>
      </w:r>
      <w:r>
        <w:rPr>
          <w:rFonts w:ascii="宋体" w:hAnsi="宋体"/>
          <w:color w:val="000000"/>
          <w:sz w:val="24"/>
          <w:szCs w:val="24"/>
        </w:rPr>
        <w:t>华夏银行</w:t>
      </w:r>
      <w:r>
        <w:rPr>
          <w:rFonts w:ascii="宋体" w:hAnsi="宋体"/>
          <w:color w:val="000000"/>
          <w:sz w:val="24"/>
          <w:szCs w:val="24"/>
        </w:rPr>
        <w:t>CD249</w:t>
      </w:r>
      <w:r>
        <w:rPr>
          <w:rFonts w:ascii="宋体" w:hAnsi="宋体"/>
          <w:color w:val="000000"/>
          <w:sz w:val="24"/>
          <w:szCs w:val="24"/>
        </w:rPr>
        <w:t>（代码：</w:t>
      </w:r>
      <w:r>
        <w:rPr>
          <w:rFonts w:ascii="宋体" w:hAnsi="宋体"/>
          <w:color w:val="000000"/>
          <w:sz w:val="24"/>
          <w:szCs w:val="24"/>
        </w:rPr>
        <w:t>111918249</w:t>
      </w:r>
      <w:r>
        <w:rPr>
          <w:rFonts w:ascii="宋体" w:hAnsi="宋体"/>
          <w:color w:val="000000"/>
          <w:sz w:val="24"/>
          <w:szCs w:val="24"/>
        </w:rPr>
        <w:t>）是易方达</w:t>
      </w:r>
      <w:r>
        <w:rPr>
          <w:rFonts w:ascii="宋体" w:hAnsi="宋体"/>
          <w:color w:val="000000"/>
          <w:sz w:val="24"/>
          <w:szCs w:val="24"/>
        </w:rPr>
        <w:t>3</w:t>
      </w:r>
      <w:r>
        <w:rPr>
          <w:rFonts w:ascii="宋体" w:hAnsi="宋体"/>
          <w:color w:val="000000"/>
          <w:sz w:val="24"/>
          <w:szCs w:val="24"/>
        </w:rPr>
        <w:t>年封闭运作战略配售灵活配置混合型证券投资基金</w:t>
      </w:r>
      <w:r>
        <w:rPr>
          <w:rFonts w:ascii="宋体" w:hAnsi="宋体"/>
          <w:color w:val="000000"/>
          <w:sz w:val="24"/>
          <w:szCs w:val="24"/>
        </w:rPr>
        <w:t xml:space="preserve">(LOF) </w:t>
      </w:r>
      <w:r>
        <w:rPr>
          <w:rFonts w:ascii="宋体" w:hAnsi="宋体"/>
          <w:color w:val="000000"/>
          <w:sz w:val="24"/>
          <w:szCs w:val="24"/>
        </w:rPr>
        <w:t>的前十大持仓证券。</w:t>
      </w:r>
      <w:r>
        <w:rPr>
          <w:rFonts w:ascii="宋体" w:hAnsi="宋体"/>
          <w:color w:val="000000"/>
          <w:sz w:val="24"/>
          <w:szCs w:val="24"/>
        </w:rPr>
        <w:t>2019</w:t>
      </w:r>
      <w:r>
        <w:rPr>
          <w:rFonts w:ascii="宋体" w:hAnsi="宋体"/>
          <w:color w:val="000000"/>
          <w:sz w:val="24"/>
          <w:szCs w:val="24"/>
        </w:rPr>
        <w:t>年</w:t>
      </w:r>
      <w:r>
        <w:rPr>
          <w:rFonts w:ascii="宋体" w:hAnsi="宋体"/>
          <w:color w:val="000000"/>
          <w:sz w:val="24"/>
          <w:szCs w:val="24"/>
        </w:rPr>
        <w:t>6</w:t>
      </w:r>
      <w:r>
        <w:rPr>
          <w:rFonts w:ascii="宋体" w:hAnsi="宋体"/>
          <w:color w:val="000000"/>
          <w:sz w:val="24"/>
          <w:szCs w:val="24"/>
        </w:rPr>
        <w:t>月</w:t>
      </w:r>
      <w:r>
        <w:rPr>
          <w:rFonts w:ascii="宋体" w:hAnsi="宋体"/>
          <w:color w:val="000000"/>
          <w:sz w:val="24"/>
          <w:szCs w:val="24"/>
        </w:rPr>
        <w:t>28</w:t>
      </w:r>
      <w:r>
        <w:rPr>
          <w:rFonts w:ascii="宋体" w:hAnsi="宋体"/>
          <w:color w:val="000000"/>
          <w:sz w:val="24"/>
          <w:szCs w:val="24"/>
        </w:rPr>
        <w:t>日，宁波银保监局对华夏银行信用卡中心宁波分中心信用卡业务管理严重不审慎的行为，罚款</w:t>
      </w:r>
      <w:r>
        <w:rPr>
          <w:rFonts w:ascii="宋体" w:hAnsi="宋体"/>
          <w:color w:val="000000"/>
          <w:sz w:val="24"/>
          <w:szCs w:val="24"/>
        </w:rPr>
        <w:t>30</w:t>
      </w:r>
      <w:r>
        <w:rPr>
          <w:rFonts w:ascii="宋体" w:hAnsi="宋体"/>
          <w:color w:val="000000"/>
          <w:sz w:val="24"/>
          <w:szCs w:val="24"/>
        </w:rPr>
        <w:t>万元。</w:t>
      </w:r>
    </w:p>
    <w:p w:rsidR="009D3C5E" w:rsidRDefault="001461CE">
      <w:pPr>
        <w:spacing w:line="360" w:lineRule="auto"/>
        <w:rPr>
          <w:rFonts w:ascii="宋体" w:hAnsi="宋体"/>
          <w:color w:val="000000"/>
          <w:sz w:val="24"/>
          <w:szCs w:val="24"/>
        </w:rPr>
      </w:pPr>
      <w:r>
        <w:rPr>
          <w:rFonts w:ascii="宋体" w:hAnsi="宋体"/>
          <w:color w:val="000000"/>
          <w:sz w:val="24"/>
          <w:szCs w:val="24"/>
        </w:rPr>
        <w:t>19</w:t>
      </w:r>
      <w:r>
        <w:rPr>
          <w:rFonts w:ascii="宋体" w:hAnsi="宋体"/>
          <w:color w:val="000000"/>
          <w:sz w:val="24"/>
          <w:szCs w:val="24"/>
        </w:rPr>
        <w:t>光大银行</w:t>
      </w:r>
      <w:r>
        <w:rPr>
          <w:rFonts w:ascii="宋体" w:hAnsi="宋体"/>
          <w:color w:val="000000"/>
          <w:sz w:val="24"/>
          <w:szCs w:val="24"/>
        </w:rPr>
        <w:t>CD054</w:t>
      </w:r>
      <w:r>
        <w:rPr>
          <w:rFonts w:ascii="宋体" w:hAnsi="宋体"/>
          <w:color w:val="000000"/>
          <w:sz w:val="24"/>
          <w:szCs w:val="24"/>
        </w:rPr>
        <w:t>（代码：</w:t>
      </w:r>
      <w:r>
        <w:rPr>
          <w:rFonts w:ascii="宋体" w:hAnsi="宋体"/>
          <w:color w:val="000000"/>
          <w:sz w:val="24"/>
          <w:szCs w:val="24"/>
        </w:rPr>
        <w:t>111917054</w:t>
      </w:r>
      <w:r>
        <w:rPr>
          <w:rFonts w:ascii="宋体" w:hAnsi="宋体"/>
          <w:color w:val="000000"/>
          <w:sz w:val="24"/>
          <w:szCs w:val="24"/>
        </w:rPr>
        <w:t>）是易方达</w:t>
      </w:r>
      <w:r>
        <w:rPr>
          <w:rFonts w:ascii="宋体" w:hAnsi="宋体"/>
          <w:color w:val="000000"/>
          <w:sz w:val="24"/>
          <w:szCs w:val="24"/>
        </w:rPr>
        <w:t>3</w:t>
      </w:r>
      <w:r>
        <w:rPr>
          <w:rFonts w:ascii="宋体" w:hAnsi="宋体"/>
          <w:color w:val="000000"/>
          <w:sz w:val="24"/>
          <w:szCs w:val="24"/>
        </w:rPr>
        <w:t>年封闭运作战略配售灵活配置混合型证券投资基金</w:t>
      </w:r>
      <w:r>
        <w:rPr>
          <w:rFonts w:ascii="宋体" w:hAnsi="宋体"/>
          <w:color w:val="000000"/>
          <w:sz w:val="24"/>
          <w:szCs w:val="24"/>
        </w:rPr>
        <w:t xml:space="preserve">(LOF) </w:t>
      </w:r>
      <w:r>
        <w:rPr>
          <w:rFonts w:ascii="宋体" w:hAnsi="宋体"/>
          <w:color w:val="000000"/>
          <w:sz w:val="24"/>
          <w:szCs w:val="24"/>
        </w:rPr>
        <w:t>的前十大持仓证券。</w:t>
      </w:r>
      <w:r>
        <w:rPr>
          <w:rFonts w:ascii="宋体" w:hAnsi="宋体"/>
          <w:color w:val="000000"/>
          <w:sz w:val="24"/>
          <w:szCs w:val="24"/>
        </w:rPr>
        <w:t>2018</w:t>
      </w:r>
      <w:r>
        <w:rPr>
          <w:rFonts w:ascii="宋体" w:hAnsi="宋体"/>
          <w:color w:val="000000"/>
          <w:sz w:val="24"/>
          <w:szCs w:val="24"/>
        </w:rPr>
        <w:t>年</w:t>
      </w:r>
      <w:r>
        <w:rPr>
          <w:rFonts w:ascii="宋体" w:hAnsi="宋体"/>
          <w:color w:val="000000"/>
          <w:sz w:val="24"/>
          <w:szCs w:val="24"/>
        </w:rPr>
        <w:t>11</w:t>
      </w:r>
      <w:r>
        <w:rPr>
          <w:rFonts w:ascii="宋体" w:hAnsi="宋体"/>
          <w:color w:val="000000"/>
          <w:sz w:val="24"/>
          <w:szCs w:val="24"/>
        </w:rPr>
        <w:t>月</w:t>
      </w:r>
      <w:r>
        <w:rPr>
          <w:rFonts w:ascii="宋体" w:hAnsi="宋体"/>
          <w:color w:val="000000"/>
          <w:sz w:val="24"/>
          <w:szCs w:val="24"/>
        </w:rPr>
        <w:t>9</w:t>
      </w:r>
      <w:r>
        <w:rPr>
          <w:rFonts w:ascii="宋体" w:hAnsi="宋体"/>
          <w:color w:val="000000"/>
          <w:sz w:val="24"/>
          <w:szCs w:val="24"/>
        </w:rPr>
        <w:t>日，中国银行保险监督管理委员会对中国光大银行股份有限公司的有关违法违规行为作出</w:t>
      </w:r>
      <w:r>
        <w:rPr>
          <w:rFonts w:ascii="宋体" w:hAnsi="宋体"/>
          <w:color w:val="000000"/>
          <w:sz w:val="24"/>
          <w:szCs w:val="24"/>
        </w:rPr>
        <w:t>“</w:t>
      </w:r>
      <w:r>
        <w:rPr>
          <w:rFonts w:ascii="宋体" w:hAnsi="宋体"/>
          <w:color w:val="000000"/>
          <w:sz w:val="24"/>
          <w:szCs w:val="24"/>
        </w:rPr>
        <w:t>没收违法所得</w:t>
      </w:r>
      <w:r>
        <w:rPr>
          <w:rFonts w:ascii="宋体" w:hAnsi="宋体"/>
          <w:color w:val="000000"/>
          <w:sz w:val="24"/>
          <w:szCs w:val="24"/>
        </w:rPr>
        <w:t>100</w:t>
      </w:r>
      <w:r>
        <w:rPr>
          <w:rFonts w:ascii="宋体" w:hAnsi="宋体"/>
          <w:color w:val="000000"/>
          <w:sz w:val="24"/>
          <w:szCs w:val="24"/>
        </w:rPr>
        <w:t>万元，罚款</w:t>
      </w:r>
      <w:r>
        <w:rPr>
          <w:rFonts w:ascii="宋体" w:hAnsi="宋体"/>
          <w:color w:val="000000"/>
          <w:sz w:val="24"/>
          <w:szCs w:val="24"/>
        </w:rPr>
        <w:t>1020</w:t>
      </w:r>
      <w:r>
        <w:rPr>
          <w:rFonts w:ascii="宋体" w:hAnsi="宋体"/>
          <w:color w:val="000000"/>
          <w:sz w:val="24"/>
          <w:szCs w:val="24"/>
        </w:rPr>
        <w:t>万元，合计</w:t>
      </w:r>
      <w:r>
        <w:rPr>
          <w:rFonts w:ascii="宋体" w:hAnsi="宋体"/>
          <w:color w:val="000000"/>
          <w:sz w:val="24"/>
          <w:szCs w:val="24"/>
        </w:rPr>
        <w:t>1120</w:t>
      </w:r>
      <w:r>
        <w:rPr>
          <w:rFonts w:ascii="宋体" w:hAnsi="宋体"/>
          <w:color w:val="000000"/>
          <w:sz w:val="24"/>
          <w:szCs w:val="24"/>
        </w:rPr>
        <w:t>万元</w:t>
      </w:r>
      <w:r>
        <w:rPr>
          <w:rFonts w:ascii="宋体" w:hAnsi="宋体"/>
          <w:color w:val="000000"/>
          <w:sz w:val="24"/>
          <w:szCs w:val="24"/>
        </w:rPr>
        <w:t>”</w:t>
      </w:r>
      <w:r>
        <w:rPr>
          <w:rFonts w:ascii="宋体" w:hAnsi="宋体"/>
          <w:color w:val="000000"/>
          <w:sz w:val="24"/>
          <w:szCs w:val="24"/>
        </w:rPr>
        <w:t>的行政处罚决定：（一）内控管理严重违反审慎经营规则；（二）以误导方式违规销售理财产品；（三）以修改理财合同文本或误导方式违规销售理财产品；（四）违规以类信贷业务收费或提供质价不符的服务；（五）同业投资违规接受担保；（六）通过同业投资或贷款虚增存款规模。</w:t>
      </w:r>
      <w:r>
        <w:rPr>
          <w:rFonts w:ascii="宋体" w:hAnsi="宋体"/>
          <w:color w:val="000000"/>
          <w:sz w:val="24"/>
          <w:szCs w:val="24"/>
        </w:rPr>
        <w:t>2018</w:t>
      </w:r>
      <w:r>
        <w:rPr>
          <w:rFonts w:ascii="宋体" w:hAnsi="宋体"/>
          <w:color w:val="000000"/>
          <w:sz w:val="24"/>
          <w:szCs w:val="24"/>
        </w:rPr>
        <w:t>年</w:t>
      </w:r>
      <w:r>
        <w:rPr>
          <w:rFonts w:ascii="宋体" w:hAnsi="宋体"/>
          <w:color w:val="000000"/>
          <w:sz w:val="24"/>
          <w:szCs w:val="24"/>
        </w:rPr>
        <w:t>12</w:t>
      </w:r>
      <w:r>
        <w:rPr>
          <w:rFonts w:ascii="宋体" w:hAnsi="宋体"/>
          <w:color w:val="000000"/>
          <w:sz w:val="24"/>
          <w:szCs w:val="24"/>
        </w:rPr>
        <w:t>月</w:t>
      </w:r>
      <w:r>
        <w:rPr>
          <w:rFonts w:ascii="宋体" w:hAnsi="宋体"/>
          <w:color w:val="000000"/>
          <w:sz w:val="24"/>
          <w:szCs w:val="24"/>
        </w:rPr>
        <w:t>24</w:t>
      </w:r>
      <w:r>
        <w:rPr>
          <w:rFonts w:ascii="宋体" w:hAnsi="宋体"/>
          <w:color w:val="000000"/>
          <w:sz w:val="24"/>
          <w:szCs w:val="24"/>
        </w:rPr>
        <w:t>日，中国人民银行许昌市中心支行对中国光大银行股份有限公司涉及信息</w:t>
      </w:r>
      <w:r>
        <w:rPr>
          <w:rFonts w:ascii="宋体" w:hAnsi="宋体"/>
          <w:color w:val="000000"/>
          <w:sz w:val="24"/>
          <w:szCs w:val="24"/>
        </w:rPr>
        <w:t>披露虚假或严重误导陈述的行为，处以警告并罚款</w:t>
      </w:r>
      <w:r>
        <w:rPr>
          <w:rFonts w:ascii="宋体" w:hAnsi="宋体"/>
          <w:color w:val="000000"/>
          <w:sz w:val="24"/>
          <w:szCs w:val="24"/>
        </w:rPr>
        <w:t>4</w:t>
      </w:r>
      <w:r>
        <w:rPr>
          <w:rFonts w:ascii="宋体" w:hAnsi="宋体"/>
          <w:color w:val="000000"/>
          <w:sz w:val="24"/>
          <w:szCs w:val="24"/>
        </w:rPr>
        <w:t>万元。</w:t>
      </w:r>
    </w:p>
    <w:p w:rsidR="009D3C5E" w:rsidRDefault="001461CE">
      <w:pPr>
        <w:spacing w:line="360" w:lineRule="auto"/>
        <w:rPr>
          <w:rFonts w:ascii="宋体" w:hAnsi="宋体"/>
          <w:color w:val="000000"/>
          <w:sz w:val="24"/>
          <w:szCs w:val="24"/>
        </w:rPr>
      </w:pPr>
      <w:r>
        <w:rPr>
          <w:rFonts w:ascii="宋体" w:hAnsi="宋体"/>
          <w:color w:val="000000"/>
          <w:sz w:val="24"/>
          <w:szCs w:val="24"/>
        </w:rPr>
        <w:t>19</w:t>
      </w:r>
      <w:r>
        <w:rPr>
          <w:rFonts w:ascii="宋体" w:hAnsi="宋体"/>
          <w:color w:val="000000"/>
          <w:sz w:val="24"/>
          <w:szCs w:val="24"/>
        </w:rPr>
        <w:t>浦发银行</w:t>
      </w:r>
      <w:r>
        <w:rPr>
          <w:rFonts w:ascii="宋体" w:hAnsi="宋体"/>
          <w:color w:val="000000"/>
          <w:sz w:val="24"/>
          <w:szCs w:val="24"/>
        </w:rPr>
        <w:t>CD245</w:t>
      </w:r>
      <w:r>
        <w:rPr>
          <w:rFonts w:ascii="宋体" w:hAnsi="宋体"/>
          <w:color w:val="000000"/>
          <w:sz w:val="24"/>
          <w:szCs w:val="24"/>
        </w:rPr>
        <w:t>（代码：</w:t>
      </w:r>
      <w:r>
        <w:rPr>
          <w:rFonts w:ascii="宋体" w:hAnsi="宋体"/>
          <w:color w:val="000000"/>
          <w:sz w:val="24"/>
          <w:szCs w:val="24"/>
        </w:rPr>
        <w:t>111909245</w:t>
      </w:r>
      <w:r>
        <w:rPr>
          <w:rFonts w:ascii="宋体" w:hAnsi="宋体"/>
          <w:color w:val="000000"/>
          <w:sz w:val="24"/>
          <w:szCs w:val="24"/>
        </w:rPr>
        <w:t>）是易方达</w:t>
      </w:r>
      <w:r>
        <w:rPr>
          <w:rFonts w:ascii="宋体" w:hAnsi="宋体"/>
          <w:color w:val="000000"/>
          <w:sz w:val="24"/>
          <w:szCs w:val="24"/>
        </w:rPr>
        <w:t>3</w:t>
      </w:r>
      <w:r>
        <w:rPr>
          <w:rFonts w:ascii="宋体" w:hAnsi="宋体"/>
          <w:color w:val="000000"/>
          <w:sz w:val="24"/>
          <w:szCs w:val="24"/>
        </w:rPr>
        <w:t>年封闭运作战略配售灵活配置混合型证券投资基金</w:t>
      </w:r>
      <w:r>
        <w:rPr>
          <w:rFonts w:ascii="宋体" w:hAnsi="宋体"/>
          <w:color w:val="000000"/>
          <w:sz w:val="24"/>
          <w:szCs w:val="24"/>
        </w:rPr>
        <w:t xml:space="preserve">(LOF) </w:t>
      </w:r>
      <w:r>
        <w:rPr>
          <w:rFonts w:ascii="宋体" w:hAnsi="宋体"/>
          <w:color w:val="000000"/>
          <w:sz w:val="24"/>
          <w:szCs w:val="24"/>
        </w:rPr>
        <w:t>的前十大持仓证券。</w:t>
      </w:r>
      <w:r>
        <w:rPr>
          <w:rFonts w:ascii="宋体" w:hAnsi="宋体"/>
          <w:color w:val="000000"/>
          <w:sz w:val="24"/>
          <w:szCs w:val="24"/>
        </w:rPr>
        <w:t>2019</w:t>
      </w:r>
      <w:r>
        <w:rPr>
          <w:rFonts w:ascii="宋体" w:hAnsi="宋体"/>
          <w:color w:val="000000"/>
          <w:sz w:val="24"/>
          <w:szCs w:val="24"/>
        </w:rPr>
        <w:t>年</w:t>
      </w:r>
      <w:r>
        <w:rPr>
          <w:rFonts w:ascii="宋体" w:hAnsi="宋体"/>
          <w:color w:val="000000"/>
          <w:sz w:val="24"/>
          <w:szCs w:val="24"/>
        </w:rPr>
        <w:t>6</w:t>
      </w:r>
      <w:r>
        <w:rPr>
          <w:rFonts w:ascii="宋体" w:hAnsi="宋体"/>
          <w:color w:val="000000"/>
          <w:sz w:val="24"/>
          <w:szCs w:val="24"/>
        </w:rPr>
        <w:t>月</w:t>
      </w:r>
      <w:r>
        <w:rPr>
          <w:rFonts w:ascii="宋体" w:hAnsi="宋体"/>
          <w:color w:val="000000"/>
          <w:sz w:val="24"/>
          <w:szCs w:val="24"/>
        </w:rPr>
        <w:t>24</w:t>
      </w:r>
      <w:r>
        <w:rPr>
          <w:rFonts w:ascii="宋体" w:hAnsi="宋体"/>
          <w:color w:val="000000"/>
          <w:sz w:val="24"/>
          <w:szCs w:val="24"/>
        </w:rPr>
        <w:t>日，中国银行保险监督管理委员会对上海浦东发展银行股份有限公司关于以下违法违规事实：（一）对成都分行授信业务及整改情况严重失察；（二）重大审计发现未向监管部门报告；（三）轮岗制度执行不力，处以罚款</w:t>
      </w:r>
      <w:r>
        <w:rPr>
          <w:rFonts w:ascii="宋体" w:hAnsi="宋体"/>
          <w:color w:val="000000"/>
          <w:sz w:val="24"/>
          <w:szCs w:val="24"/>
        </w:rPr>
        <w:t>130</w:t>
      </w:r>
      <w:r>
        <w:rPr>
          <w:rFonts w:ascii="宋体" w:hAnsi="宋体"/>
          <w:color w:val="000000"/>
          <w:sz w:val="24"/>
          <w:szCs w:val="24"/>
        </w:rPr>
        <w:t>万元人民币。</w:t>
      </w:r>
      <w:r>
        <w:rPr>
          <w:rFonts w:ascii="宋体" w:hAnsi="宋体"/>
          <w:color w:val="000000"/>
          <w:sz w:val="24"/>
          <w:szCs w:val="24"/>
        </w:rPr>
        <w:t>2019</w:t>
      </w:r>
      <w:r>
        <w:rPr>
          <w:rFonts w:ascii="宋体" w:hAnsi="宋体"/>
          <w:color w:val="000000"/>
          <w:sz w:val="24"/>
          <w:szCs w:val="24"/>
        </w:rPr>
        <w:t>年</w:t>
      </w:r>
      <w:r>
        <w:rPr>
          <w:rFonts w:ascii="宋体" w:hAnsi="宋体"/>
          <w:color w:val="000000"/>
          <w:sz w:val="24"/>
          <w:szCs w:val="24"/>
        </w:rPr>
        <w:t>7</w:t>
      </w:r>
      <w:r>
        <w:rPr>
          <w:rFonts w:ascii="宋体" w:hAnsi="宋体"/>
          <w:color w:val="000000"/>
          <w:sz w:val="24"/>
          <w:szCs w:val="24"/>
        </w:rPr>
        <w:t>月</w:t>
      </w:r>
      <w:r>
        <w:rPr>
          <w:rFonts w:ascii="宋体" w:hAnsi="宋体"/>
          <w:color w:val="000000"/>
          <w:sz w:val="24"/>
          <w:szCs w:val="24"/>
        </w:rPr>
        <w:t>8</w:t>
      </w:r>
      <w:r>
        <w:rPr>
          <w:rFonts w:ascii="宋体" w:hAnsi="宋体"/>
          <w:color w:val="000000"/>
          <w:sz w:val="24"/>
          <w:szCs w:val="24"/>
        </w:rPr>
        <w:t>日，中国银行保险监督管理委员会上海监管局对上海浦东发展银行股份有限公司信用卡中</w:t>
      </w:r>
      <w:r>
        <w:rPr>
          <w:rFonts w:ascii="宋体" w:hAnsi="宋体"/>
          <w:color w:val="000000"/>
          <w:sz w:val="24"/>
          <w:szCs w:val="24"/>
        </w:rPr>
        <w:t>心的如下违法违规行为作出</w:t>
      </w:r>
      <w:r>
        <w:rPr>
          <w:rFonts w:ascii="宋体" w:hAnsi="宋体"/>
          <w:color w:val="000000"/>
          <w:sz w:val="24"/>
          <w:szCs w:val="24"/>
        </w:rPr>
        <w:t>“</w:t>
      </w:r>
      <w:r>
        <w:rPr>
          <w:rFonts w:ascii="宋体" w:hAnsi="宋体"/>
          <w:color w:val="000000"/>
          <w:sz w:val="24"/>
          <w:szCs w:val="24"/>
        </w:rPr>
        <w:t>责令改正，并处罚款</w:t>
      </w:r>
      <w:r>
        <w:rPr>
          <w:rFonts w:ascii="宋体" w:hAnsi="宋体"/>
          <w:color w:val="000000"/>
          <w:sz w:val="24"/>
          <w:szCs w:val="24"/>
        </w:rPr>
        <w:t>30</w:t>
      </w:r>
      <w:r>
        <w:rPr>
          <w:rFonts w:ascii="宋体" w:hAnsi="宋体"/>
          <w:color w:val="000000"/>
          <w:sz w:val="24"/>
          <w:szCs w:val="24"/>
        </w:rPr>
        <w:t>万元</w:t>
      </w:r>
      <w:r>
        <w:rPr>
          <w:rFonts w:ascii="宋体" w:hAnsi="宋体"/>
          <w:color w:val="000000"/>
          <w:sz w:val="24"/>
          <w:szCs w:val="24"/>
        </w:rPr>
        <w:t>”</w:t>
      </w:r>
      <w:r>
        <w:rPr>
          <w:rFonts w:ascii="宋体" w:hAnsi="宋体"/>
          <w:color w:val="000000"/>
          <w:sz w:val="24"/>
          <w:szCs w:val="24"/>
        </w:rPr>
        <w:t>的行政处罚决定：</w:t>
      </w:r>
      <w:r>
        <w:rPr>
          <w:rFonts w:ascii="宋体" w:hAnsi="宋体"/>
          <w:color w:val="000000"/>
          <w:sz w:val="24"/>
          <w:szCs w:val="24"/>
        </w:rPr>
        <w:t>2015</w:t>
      </w:r>
      <w:r>
        <w:rPr>
          <w:rFonts w:ascii="宋体" w:hAnsi="宋体"/>
          <w:color w:val="000000"/>
          <w:sz w:val="24"/>
          <w:szCs w:val="24"/>
        </w:rPr>
        <w:t>年至</w:t>
      </w:r>
      <w:r>
        <w:rPr>
          <w:rFonts w:ascii="宋体" w:hAnsi="宋体"/>
          <w:color w:val="000000"/>
          <w:sz w:val="24"/>
          <w:szCs w:val="24"/>
        </w:rPr>
        <w:t>2018</w:t>
      </w:r>
      <w:r>
        <w:rPr>
          <w:rFonts w:ascii="宋体" w:hAnsi="宋体"/>
          <w:color w:val="000000"/>
          <w:sz w:val="24"/>
          <w:szCs w:val="24"/>
        </w:rPr>
        <w:t>年</w:t>
      </w:r>
      <w:r>
        <w:rPr>
          <w:rFonts w:ascii="宋体" w:hAnsi="宋体"/>
          <w:color w:val="000000"/>
          <w:sz w:val="24"/>
          <w:szCs w:val="24"/>
        </w:rPr>
        <w:t>6</w:t>
      </w:r>
      <w:r>
        <w:rPr>
          <w:rFonts w:ascii="宋体" w:hAnsi="宋体"/>
          <w:color w:val="000000"/>
          <w:sz w:val="24"/>
          <w:szCs w:val="24"/>
        </w:rPr>
        <w:t>月，该中心在为部分客户办理信用卡业务时，对申请人收入核定严重不审慎。</w:t>
      </w:r>
    </w:p>
    <w:p w:rsidR="009D3C5E" w:rsidRDefault="001461CE">
      <w:pPr>
        <w:spacing w:line="360" w:lineRule="auto"/>
        <w:rPr>
          <w:rFonts w:ascii="宋体" w:hAnsi="宋体"/>
          <w:color w:val="000000"/>
          <w:sz w:val="24"/>
          <w:szCs w:val="24"/>
        </w:rPr>
      </w:pPr>
      <w:r>
        <w:rPr>
          <w:rFonts w:ascii="宋体" w:hAnsi="宋体"/>
          <w:color w:val="000000"/>
          <w:sz w:val="24"/>
          <w:szCs w:val="24"/>
        </w:rPr>
        <w:t>本基金投资</w:t>
      </w:r>
      <w:r>
        <w:rPr>
          <w:rFonts w:ascii="宋体" w:hAnsi="宋体"/>
          <w:color w:val="000000"/>
          <w:sz w:val="24"/>
          <w:szCs w:val="24"/>
        </w:rPr>
        <w:t>19</w:t>
      </w:r>
      <w:r>
        <w:rPr>
          <w:rFonts w:ascii="宋体" w:hAnsi="宋体"/>
          <w:color w:val="000000"/>
          <w:sz w:val="24"/>
          <w:szCs w:val="24"/>
        </w:rPr>
        <w:t>招商银行</w:t>
      </w:r>
      <w:r>
        <w:rPr>
          <w:rFonts w:ascii="宋体" w:hAnsi="宋体"/>
          <w:color w:val="000000"/>
          <w:sz w:val="24"/>
          <w:szCs w:val="24"/>
        </w:rPr>
        <w:t>CD049</w:t>
      </w:r>
      <w:r>
        <w:rPr>
          <w:rFonts w:ascii="宋体" w:hAnsi="宋体"/>
          <w:color w:val="000000"/>
          <w:sz w:val="24"/>
          <w:szCs w:val="24"/>
        </w:rPr>
        <w:t>、</w:t>
      </w:r>
      <w:r>
        <w:rPr>
          <w:rFonts w:ascii="宋体" w:hAnsi="宋体"/>
          <w:color w:val="000000"/>
          <w:sz w:val="24"/>
          <w:szCs w:val="24"/>
        </w:rPr>
        <w:t>19</w:t>
      </w:r>
      <w:r>
        <w:rPr>
          <w:rFonts w:ascii="宋体" w:hAnsi="宋体"/>
          <w:color w:val="000000"/>
          <w:sz w:val="24"/>
          <w:szCs w:val="24"/>
        </w:rPr>
        <w:t>交通银行</w:t>
      </w:r>
      <w:r>
        <w:rPr>
          <w:rFonts w:ascii="宋体" w:hAnsi="宋体"/>
          <w:color w:val="000000"/>
          <w:sz w:val="24"/>
          <w:szCs w:val="24"/>
        </w:rPr>
        <w:t>CD140</w:t>
      </w:r>
      <w:r>
        <w:rPr>
          <w:rFonts w:ascii="宋体" w:hAnsi="宋体"/>
          <w:color w:val="000000"/>
          <w:sz w:val="24"/>
          <w:szCs w:val="24"/>
        </w:rPr>
        <w:t>、</w:t>
      </w:r>
      <w:r>
        <w:rPr>
          <w:rFonts w:ascii="宋体" w:hAnsi="宋体"/>
          <w:color w:val="000000"/>
          <w:sz w:val="24"/>
          <w:szCs w:val="24"/>
        </w:rPr>
        <w:t>19</w:t>
      </w:r>
      <w:r>
        <w:rPr>
          <w:rFonts w:ascii="宋体" w:hAnsi="宋体"/>
          <w:color w:val="000000"/>
          <w:sz w:val="24"/>
          <w:szCs w:val="24"/>
        </w:rPr>
        <w:t>华夏银行</w:t>
      </w:r>
      <w:r>
        <w:rPr>
          <w:rFonts w:ascii="宋体" w:hAnsi="宋体"/>
          <w:color w:val="000000"/>
          <w:sz w:val="24"/>
          <w:szCs w:val="24"/>
        </w:rPr>
        <w:t>CD250</w:t>
      </w:r>
      <w:r>
        <w:rPr>
          <w:rFonts w:ascii="宋体" w:hAnsi="宋体"/>
          <w:color w:val="000000"/>
          <w:sz w:val="24"/>
          <w:szCs w:val="24"/>
        </w:rPr>
        <w:t>、</w:t>
      </w:r>
      <w:r>
        <w:rPr>
          <w:rFonts w:ascii="宋体" w:hAnsi="宋体"/>
          <w:color w:val="000000"/>
          <w:sz w:val="24"/>
          <w:szCs w:val="24"/>
        </w:rPr>
        <w:t>19</w:t>
      </w:r>
      <w:r>
        <w:rPr>
          <w:rFonts w:ascii="宋体" w:hAnsi="宋体"/>
          <w:color w:val="000000"/>
          <w:sz w:val="24"/>
          <w:szCs w:val="24"/>
        </w:rPr>
        <w:t>华夏银行</w:t>
      </w:r>
      <w:r>
        <w:rPr>
          <w:rFonts w:ascii="宋体" w:hAnsi="宋体"/>
          <w:color w:val="000000"/>
          <w:sz w:val="24"/>
          <w:szCs w:val="24"/>
        </w:rPr>
        <w:t>CD249</w:t>
      </w:r>
      <w:r>
        <w:rPr>
          <w:rFonts w:ascii="宋体" w:hAnsi="宋体"/>
          <w:color w:val="000000"/>
          <w:sz w:val="24"/>
          <w:szCs w:val="24"/>
        </w:rPr>
        <w:t>、</w:t>
      </w:r>
      <w:r>
        <w:rPr>
          <w:rFonts w:ascii="宋体" w:hAnsi="宋体"/>
          <w:color w:val="000000"/>
          <w:sz w:val="24"/>
          <w:szCs w:val="24"/>
        </w:rPr>
        <w:t>19</w:t>
      </w:r>
      <w:r>
        <w:rPr>
          <w:rFonts w:ascii="宋体" w:hAnsi="宋体"/>
          <w:color w:val="000000"/>
          <w:sz w:val="24"/>
          <w:szCs w:val="24"/>
        </w:rPr>
        <w:t>光大银行</w:t>
      </w:r>
      <w:r>
        <w:rPr>
          <w:rFonts w:ascii="宋体" w:hAnsi="宋体"/>
          <w:color w:val="000000"/>
          <w:sz w:val="24"/>
          <w:szCs w:val="24"/>
        </w:rPr>
        <w:t>CD054</w:t>
      </w:r>
      <w:r>
        <w:rPr>
          <w:rFonts w:ascii="宋体" w:hAnsi="宋体"/>
          <w:color w:val="000000"/>
          <w:sz w:val="24"/>
          <w:szCs w:val="24"/>
        </w:rPr>
        <w:t>、</w:t>
      </w:r>
      <w:r>
        <w:rPr>
          <w:rFonts w:ascii="宋体" w:hAnsi="宋体"/>
          <w:color w:val="000000"/>
          <w:sz w:val="24"/>
          <w:szCs w:val="24"/>
        </w:rPr>
        <w:t>19</w:t>
      </w:r>
      <w:r>
        <w:rPr>
          <w:rFonts w:ascii="宋体" w:hAnsi="宋体"/>
          <w:color w:val="000000"/>
          <w:sz w:val="24"/>
          <w:szCs w:val="24"/>
        </w:rPr>
        <w:t>浦发银行</w:t>
      </w:r>
      <w:r>
        <w:rPr>
          <w:rFonts w:ascii="宋体" w:hAnsi="宋体"/>
          <w:color w:val="000000"/>
          <w:sz w:val="24"/>
          <w:szCs w:val="24"/>
        </w:rPr>
        <w:t>CD245</w:t>
      </w:r>
      <w:r>
        <w:rPr>
          <w:rFonts w:ascii="宋体" w:hAnsi="宋体"/>
          <w:color w:val="000000"/>
          <w:sz w:val="24"/>
          <w:szCs w:val="24"/>
        </w:rPr>
        <w:t>的投资决策程序符合公司投资制度的规定。</w:t>
      </w:r>
    </w:p>
    <w:p w:rsidR="009D3C5E" w:rsidRDefault="001461CE">
      <w:pPr>
        <w:spacing w:line="360" w:lineRule="auto"/>
        <w:rPr>
          <w:rFonts w:ascii="宋体" w:hAnsi="宋体"/>
          <w:color w:val="000000"/>
          <w:sz w:val="24"/>
          <w:szCs w:val="24"/>
        </w:rPr>
      </w:pPr>
      <w:r>
        <w:rPr>
          <w:rFonts w:ascii="宋体" w:hAnsi="宋体"/>
          <w:color w:val="000000"/>
          <w:sz w:val="24"/>
          <w:szCs w:val="24"/>
        </w:rPr>
        <w:t>除</w:t>
      </w:r>
      <w:r>
        <w:rPr>
          <w:rFonts w:ascii="宋体" w:hAnsi="宋体"/>
          <w:color w:val="000000"/>
          <w:sz w:val="24"/>
          <w:szCs w:val="24"/>
        </w:rPr>
        <w:t>19</w:t>
      </w:r>
      <w:r>
        <w:rPr>
          <w:rFonts w:ascii="宋体" w:hAnsi="宋体"/>
          <w:color w:val="000000"/>
          <w:sz w:val="24"/>
          <w:szCs w:val="24"/>
        </w:rPr>
        <w:t>招商银行</w:t>
      </w:r>
      <w:r>
        <w:rPr>
          <w:rFonts w:ascii="宋体" w:hAnsi="宋体"/>
          <w:color w:val="000000"/>
          <w:sz w:val="24"/>
          <w:szCs w:val="24"/>
        </w:rPr>
        <w:t>CD049</w:t>
      </w:r>
      <w:r>
        <w:rPr>
          <w:rFonts w:ascii="宋体" w:hAnsi="宋体"/>
          <w:color w:val="000000"/>
          <w:sz w:val="24"/>
          <w:szCs w:val="24"/>
        </w:rPr>
        <w:t>、</w:t>
      </w:r>
      <w:r>
        <w:rPr>
          <w:rFonts w:ascii="宋体" w:hAnsi="宋体"/>
          <w:color w:val="000000"/>
          <w:sz w:val="24"/>
          <w:szCs w:val="24"/>
        </w:rPr>
        <w:t>19</w:t>
      </w:r>
      <w:r>
        <w:rPr>
          <w:rFonts w:ascii="宋体" w:hAnsi="宋体"/>
          <w:color w:val="000000"/>
          <w:sz w:val="24"/>
          <w:szCs w:val="24"/>
        </w:rPr>
        <w:t>交通银行</w:t>
      </w:r>
      <w:r>
        <w:rPr>
          <w:rFonts w:ascii="宋体" w:hAnsi="宋体"/>
          <w:color w:val="000000"/>
          <w:sz w:val="24"/>
          <w:szCs w:val="24"/>
        </w:rPr>
        <w:t>CD140</w:t>
      </w:r>
      <w:r>
        <w:rPr>
          <w:rFonts w:ascii="宋体" w:hAnsi="宋体"/>
          <w:color w:val="000000"/>
          <w:sz w:val="24"/>
          <w:szCs w:val="24"/>
        </w:rPr>
        <w:t>、</w:t>
      </w:r>
      <w:r>
        <w:rPr>
          <w:rFonts w:ascii="宋体" w:hAnsi="宋体"/>
          <w:color w:val="000000"/>
          <w:sz w:val="24"/>
          <w:szCs w:val="24"/>
        </w:rPr>
        <w:t>19</w:t>
      </w:r>
      <w:r>
        <w:rPr>
          <w:rFonts w:ascii="宋体" w:hAnsi="宋体"/>
          <w:color w:val="000000"/>
          <w:sz w:val="24"/>
          <w:szCs w:val="24"/>
        </w:rPr>
        <w:t>华夏银行</w:t>
      </w:r>
      <w:r>
        <w:rPr>
          <w:rFonts w:ascii="宋体" w:hAnsi="宋体"/>
          <w:color w:val="000000"/>
          <w:sz w:val="24"/>
          <w:szCs w:val="24"/>
        </w:rPr>
        <w:t>CD250</w:t>
      </w:r>
      <w:r>
        <w:rPr>
          <w:rFonts w:ascii="宋体" w:hAnsi="宋体"/>
          <w:color w:val="000000"/>
          <w:sz w:val="24"/>
          <w:szCs w:val="24"/>
        </w:rPr>
        <w:t>、</w:t>
      </w:r>
      <w:r>
        <w:rPr>
          <w:rFonts w:ascii="宋体" w:hAnsi="宋体"/>
          <w:color w:val="000000"/>
          <w:sz w:val="24"/>
          <w:szCs w:val="24"/>
        </w:rPr>
        <w:t>19</w:t>
      </w:r>
      <w:r>
        <w:rPr>
          <w:rFonts w:ascii="宋体" w:hAnsi="宋体"/>
          <w:color w:val="000000"/>
          <w:sz w:val="24"/>
          <w:szCs w:val="24"/>
        </w:rPr>
        <w:t>华夏银行</w:t>
      </w:r>
      <w:r>
        <w:rPr>
          <w:rFonts w:ascii="宋体" w:hAnsi="宋体"/>
          <w:color w:val="000000"/>
          <w:sz w:val="24"/>
          <w:szCs w:val="24"/>
        </w:rPr>
        <w:t>CD249</w:t>
      </w:r>
      <w:r>
        <w:rPr>
          <w:rFonts w:ascii="宋体" w:hAnsi="宋体"/>
          <w:color w:val="000000"/>
          <w:sz w:val="24"/>
          <w:szCs w:val="24"/>
        </w:rPr>
        <w:t>、</w:t>
      </w:r>
      <w:r>
        <w:rPr>
          <w:rFonts w:ascii="宋体" w:hAnsi="宋体"/>
          <w:color w:val="000000"/>
          <w:sz w:val="24"/>
          <w:szCs w:val="24"/>
        </w:rPr>
        <w:t>19</w:t>
      </w:r>
      <w:r>
        <w:rPr>
          <w:rFonts w:ascii="宋体" w:hAnsi="宋体"/>
          <w:color w:val="000000"/>
          <w:sz w:val="24"/>
          <w:szCs w:val="24"/>
        </w:rPr>
        <w:t>光大银行</w:t>
      </w:r>
      <w:r>
        <w:rPr>
          <w:rFonts w:ascii="宋体" w:hAnsi="宋体"/>
          <w:color w:val="000000"/>
          <w:sz w:val="24"/>
          <w:szCs w:val="24"/>
        </w:rPr>
        <w:t>CD054</w:t>
      </w:r>
      <w:r>
        <w:rPr>
          <w:rFonts w:ascii="宋体" w:hAnsi="宋体"/>
          <w:color w:val="000000"/>
          <w:sz w:val="24"/>
          <w:szCs w:val="24"/>
        </w:rPr>
        <w:t>、</w:t>
      </w:r>
      <w:r>
        <w:rPr>
          <w:rFonts w:ascii="宋体" w:hAnsi="宋体"/>
          <w:color w:val="000000"/>
          <w:sz w:val="24"/>
          <w:szCs w:val="24"/>
        </w:rPr>
        <w:t>19</w:t>
      </w:r>
      <w:r>
        <w:rPr>
          <w:rFonts w:ascii="宋体" w:hAnsi="宋体"/>
          <w:color w:val="000000"/>
          <w:sz w:val="24"/>
          <w:szCs w:val="24"/>
        </w:rPr>
        <w:t>浦发银行</w:t>
      </w:r>
      <w:r>
        <w:rPr>
          <w:rFonts w:ascii="宋体" w:hAnsi="宋体"/>
          <w:color w:val="000000"/>
          <w:sz w:val="24"/>
          <w:szCs w:val="24"/>
        </w:rPr>
        <w:t>CD245</w:t>
      </w:r>
      <w:r>
        <w:rPr>
          <w:rFonts w:ascii="宋体" w:hAnsi="宋体"/>
          <w:color w:val="000000"/>
          <w:sz w:val="24"/>
          <w:szCs w:val="24"/>
        </w:rPr>
        <w:t>外，本基金投</w:t>
      </w:r>
      <w:r>
        <w:rPr>
          <w:rFonts w:ascii="宋体" w:hAnsi="宋体"/>
          <w:color w:val="000000"/>
          <w:sz w:val="24"/>
          <w:szCs w:val="24"/>
        </w:rPr>
        <w:t>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10,177.60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2,041,211.54</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258,644,270.04</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26,474.78</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260,722,133.96</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1302"/>
        <w:gridCol w:w="1301"/>
        <w:gridCol w:w="1805"/>
        <w:gridCol w:w="1655"/>
        <w:gridCol w:w="1367"/>
      </w:tblGrid>
      <w:tr w:rsidR="00750D48" w:rsidRPr="00264E55" w:rsidTr="00B05049">
        <w:tc>
          <w:tcPr>
            <w:tcW w:w="1083"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302"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股票代码</w:t>
            </w:r>
          </w:p>
        </w:tc>
        <w:tc>
          <w:tcPr>
            <w:tcW w:w="1301"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股票名称</w:t>
            </w:r>
          </w:p>
        </w:tc>
        <w:tc>
          <w:tcPr>
            <w:tcW w:w="1805"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流通受限部分的公允价值</w:t>
            </w:r>
            <w:r w:rsidR="005F7917" w:rsidRPr="00B227EA">
              <w:rPr>
                <w:color w:val="000000"/>
                <w:kern w:val="0"/>
                <w:sz w:val="24"/>
                <w:szCs w:val="24"/>
              </w:rPr>
              <w:t>（元）</w:t>
            </w:r>
          </w:p>
        </w:tc>
        <w:tc>
          <w:tcPr>
            <w:tcW w:w="1655"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c>
          <w:tcPr>
            <w:tcW w:w="1367"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流通受限情况说明</w:t>
            </w:r>
          </w:p>
        </w:tc>
      </w:tr>
      <w:tr w:rsidR="009D3C5E">
        <w:tc>
          <w:tcPr>
            <w:tcW w:w="1083" w:type="dxa"/>
            <w:vAlign w:val="center"/>
          </w:tcPr>
          <w:p w:rsidR="009D3C5E" w:rsidRDefault="001461CE">
            <w:pPr>
              <w:jc w:val="center"/>
            </w:pPr>
            <w:r>
              <w:rPr>
                <w:color w:val="000000"/>
                <w:kern w:val="0"/>
                <w:sz w:val="24"/>
                <w:szCs w:val="24"/>
              </w:rPr>
              <w:t>1</w:t>
            </w:r>
          </w:p>
        </w:tc>
        <w:tc>
          <w:tcPr>
            <w:tcW w:w="1302" w:type="dxa"/>
            <w:vAlign w:val="center"/>
          </w:tcPr>
          <w:p w:rsidR="009D3C5E" w:rsidRDefault="001461CE">
            <w:pPr>
              <w:jc w:val="center"/>
            </w:pPr>
            <w:r>
              <w:rPr>
                <w:color w:val="000000"/>
                <w:kern w:val="0"/>
                <w:sz w:val="24"/>
                <w:szCs w:val="24"/>
              </w:rPr>
              <w:t>003816</w:t>
            </w:r>
          </w:p>
        </w:tc>
        <w:tc>
          <w:tcPr>
            <w:tcW w:w="1301" w:type="dxa"/>
            <w:vAlign w:val="center"/>
          </w:tcPr>
          <w:p w:rsidR="009D3C5E" w:rsidRDefault="001461CE">
            <w:pPr>
              <w:jc w:val="center"/>
            </w:pPr>
            <w:r>
              <w:rPr>
                <w:color w:val="000000"/>
                <w:kern w:val="0"/>
                <w:sz w:val="24"/>
                <w:szCs w:val="24"/>
              </w:rPr>
              <w:t>中国广核</w:t>
            </w:r>
          </w:p>
        </w:tc>
        <w:tc>
          <w:tcPr>
            <w:tcW w:w="1805" w:type="dxa"/>
            <w:vAlign w:val="center"/>
          </w:tcPr>
          <w:p w:rsidR="009D3C5E" w:rsidRDefault="001461CE">
            <w:pPr>
              <w:jc w:val="right"/>
            </w:pPr>
            <w:r>
              <w:rPr>
                <w:color w:val="000000"/>
                <w:kern w:val="0"/>
                <w:sz w:val="24"/>
                <w:szCs w:val="24"/>
              </w:rPr>
              <w:t>2,099,733,300.00</w:t>
            </w:r>
          </w:p>
        </w:tc>
        <w:tc>
          <w:tcPr>
            <w:tcW w:w="1655" w:type="dxa"/>
            <w:vAlign w:val="center"/>
          </w:tcPr>
          <w:p w:rsidR="009D3C5E" w:rsidRDefault="001461CE">
            <w:pPr>
              <w:jc w:val="right"/>
            </w:pPr>
            <w:r>
              <w:rPr>
                <w:color w:val="000000"/>
                <w:kern w:val="0"/>
                <w:sz w:val="24"/>
                <w:szCs w:val="24"/>
              </w:rPr>
              <w:t>7.84</w:t>
            </w:r>
          </w:p>
        </w:tc>
        <w:tc>
          <w:tcPr>
            <w:tcW w:w="1367" w:type="dxa"/>
            <w:vAlign w:val="center"/>
          </w:tcPr>
          <w:p w:rsidR="009D3C5E" w:rsidRDefault="001461CE">
            <w:pPr>
              <w:jc w:val="right"/>
            </w:pPr>
            <w:r>
              <w:rPr>
                <w:color w:val="000000"/>
                <w:kern w:val="0"/>
                <w:sz w:val="24"/>
                <w:szCs w:val="24"/>
              </w:rPr>
              <w:t>新股战略配售流通受限</w:t>
            </w:r>
          </w:p>
        </w:tc>
      </w:tr>
      <w:tr w:rsidR="009D3C5E">
        <w:tc>
          <w:tcPr>
            <w:tcW w:w="1083" w:type="dxa"/>
            <w:vAlign w:val="center"/>
          </w:tcPr>
          <w:p w:rsidR="009D3C5E" w:rsidRDefault="001461CE">
            <w:pPr>
              <w:jc w:val="center"/>
            </w:pPr>
            <w:r>
              <w:rPr>
                <w:color w:val="000000"/>
                <w:kern w:val="0"/>
                <w:sz w:val="24"/>
                <w:szCs w:val="24"/>
              </w:rPr>
              <w:t>2</w:t>
            </w:r>
          </w:p>
        </w:tc>
        <w:tc>
          <w:tcPr>
            <w:tcW w:w="1302" w:type="dxa"/>
            <w:vAlign w:val="center"/>
          </w:tcPr>
          <w:p w:rsidR="009D3C5E" w:rsidRDefault="001461CE">
            <w:pPr>
              <w:jc w:val="center"/>
            </w:pPr>
            <w:r>
              <w:rPr>
                <w:color w:val="000000"/>
                <w:kern w:val="0"/>
                <w:sz w:val="24"/>
                <w:szCs w:val="24"/>
              </w:rPr>
              <w:t>601319</w:t>
            </w:r>
          </w:p>
        </w:tc>
        <w:tc>
          <w:tcPr>
            <w:tcW w:w="1301" w:type="dxa"/>
            <w:vAlign w:val="center"/>
          </w:tcPr>
          <w:p w:rsidR="009D3C5E" w:rsidRDefault="001461CE">
            <w:pPr>
              <w:jc w:val="center"/>
            </w:pPr>
            <w:r>
              <w:rPr>
                <w:color w:val="000000"/>
                <w:kern w:val="0"/>
                <w:sz w:val="24"/>
                <w:szCs w:val="24"/>
              </w:rPr>
              <w:t>中国人保</w:t>
            </w:r>
          </w:p>
        </w:tc>
        <w:tc>
          <w:tcPr>
            <w:tcW w:w="1805" w:type="dxa"/>
            <w:vAlign w:val="center"/>
          </w:tcPr>
          <w:p w:rsidR="009D3C5E" w:rsidRDefault="001461CE">
            <w:pPr>
              <w:jc w:val="right"/>
            </w:pPr>
            <w:r>
              <w:rPr>
                <w:color w:val="000000"/>
                <w:kern w:val="0"/>
                <w:sz w:val="24"/>
                <w:szCs w:val="24"/>
              </w:rPr>
              <w:t>630,985,500.00</w:t>
            </w:r>
          </w:p>
        </w:tc>
        <w:tc>
          <w:tcPr>
            <w:tcW w:w="1655" w:type="dxa"/>
            <w:vAlign w:val="center"/>
          </w:tcPr>
          <w:p w:rsidR="009D3C5E" w:rsidRDefault="001461CE">
            <w:pPr>
              <w:jc w:val="right"/>
            </w:pPr>
            <w:r>
              <w:rPr>
                <w:color w:val="000000"/>
                <w:kern w:val="0"/>
                <w:sz w:val="24"/>
                <w:szCs w:val="24"/>
              </w:rPr>
              <w:t>2.36</w:t>
            </w:r>
          </w:p>
        </w:tc>
        <w:tc>
          <w:tcPr>
            <w:tcW w:w="1367" w:type="dxa"/>
            <w:vAlign w:val="center"/>
          </w:tcPr>
          <w:p w:rsidR="009D3C5E" w:rsidRDefault="001461CE">
            <w:pPr>
              <w:jc w:val="right"/>
            </w:pPr>
            <w:r>
              <w:rPr>
                <w:color w:val="000000"/>
                <w:kern w:val="0"/>
                <w:sz w:val="24"/>
                <w:szCs w:val="24"/>
              </w:rPr>
              <w:t>新股战略配售流通受限</w:t>
            </w:r>
          </w:p>
        </w:tc>
      </w:tr>
      <w:tr w:rsidR="009D3C5E">
        <w:tc>
          <w:tcPr>
            <w:tcW w:w="1083" w:type="dxa"/>
            <w:vAlign w:val="center"/>
          </w:tcPr>
          <w:p w:rsidR="009D3C5E" w:rsidRDefault="001461CE">
            <w:pPr>
              <w:jc w:val="center"/>
            </w:pPr>
            <w:r>
              <w:rPr>
                <w:color w:val="000000"/>
                <w:kern w:val="0"/>
                <w:sz w:val="24"/>
                <w:szCs w:val="24"/>
              </w:rPr>
              <w:t>3</w:t>
            </w:r>
          </w:p>
        </w:tc>
        <w:tc>
          <w:tcPr>
            <w:tcW w:w="1302" w:type="dxa"/>
            <w:vAlign w:val="center"/>
          </w:tcPr>
          <w:p w:rsidR="009D3C5E" w:rsidRDefault="001461CE">
            <w:pPr>
              <w:jc w:val="center"/>
            </w:pPr>
            <w:r>
              <w:rPr>
                <w:color w:val="000000"/>
                <w:kern w:val="0"/>
                <w:sz w:val="24"/>
                <w:szCs w:val="24"/>
              </w:rPr>
              <w:t>688006</w:t>
            </w:r>
          </w:p>
        </w:tc>
        <w:tc>
          <w:tcPr>
            <w:tcW w:w="1301" w:type="dxa"/>
            <w:vAlign w:val="center"/>
          </w:tcPr>
          <w:p w:rsidR="009D3C5E" w:rsidRDefault="001461CE">
            <w:pPr>
              <w:jc w:val="center"/>
            </w:pPr>
            <w:r>
              <w:rPr>
                <w:color w:val="000000"/>
                <w:kern w:val="0"/>
                <w:sz w:val="24"/>
                <w:szCs w:val="24"/>
              </w:rPr>
              <w:t>杭可科技</w:t>
            </w:r>
          </w:p>
        </w:tc>
        <w:tc>
          <w:tcPr>
            <w:tcW w:w="1805" w:type="dxa"/>
            <w:vAlign w:val="center"/>
          </w:tcPr>
          <w:p w:rsidR="009D3C5E" w:rsidRDefault="001461CE">
            <w:pPr>
              <w:jc w:val="right"/>
            </w:pPr>
            <w:r>
              <w:rPr>
                <w:color w:val="000000"/>
                <w:kern w:val="0"/>
                <w:sz w:val="24"/>
                <w:szCs w:val="24"/>
              </w:rPr>
              <w:t>1,077,798.15</w:t>
            </w:r>
          </w:p>
        </w:tc>
        <w:tc>
          <w:tcPr>
            <w:tcW w:w="1655" w:type="dxa"/>
            <w:vAlign w:val="center"/>
          </w:tcPr>
          <w:p w:rsidR="009D3C5E" w:rsidRDefault="001461CE">
            <w:pPr>
              <w:jc w:val="right"/>
            </w:pPr>
            <w:r>
              <w:rPr>
                <w:color w:val="000000"/>
                <w:kern w:val="0"/>
                <w:sz w:val="24"/>
                <w:szCs w:val="24"/>
              </w:rPr>
              <w:t>0.00</w:t>
            </w:r>
          </w:p>
        </w:tc>
        <w:tc>
          <w:tcPr>
            <w:tcW w:w="1367" w:type="dxa"/>
            <w:vAlign w:val="center"/>
          </w:tcPr>
          <w:p w:rsidR="009D3C5E" w:rsidRDefault="001461CE">
            <w:pPr>
              <w:jc w:val="right"/>
            </w:pPr>
            <w:r>
              <w:rPr>
                <w:color w:val="000000"/>
                <w:kern w:val="0"/>
                <w:sz w:val="24"/>
                <w:szCs w:val="24"/>
              </w:rPr>
              <w:t>新股流通受限</w:t>
            </w:r>
          </w:p>
        </w:tc>
      </w:tr>
      <w:tr w:rsidR="009D3C5E">
        <w:tc>
          <w:tcPr>
            <w:tcW w:w="1083" w:type="dxa"/>
            <w:vAlign w:val="center"/>
          </w:tcPr>
          <w:p w:rsidR="009D3C5E" w:rsidRDefault="001461CE">
            <w:pPr>
              <w:jc w:val="center"/>
            </w:pPr>
            <w:r>
              <w:rPr>
                <w:color w:val="000000"/>
                <w:kern w:val="0"/>
                <w:sz w:val="24"/>
                <w:szCs w:val="24"/>
              </w:rPr>
              <w:t>4</w:t>
            </w:r>
          </w:p>
        </w:tc>
        <w:tc>
          <w:tcPr>
            <w:tcW w:w="1302" w:type="dxa"/>
            <w:vAlign w:val="center"/>
          </w:tcPr>
          <w:p w:rsidR="009D3C5E" w:rsidRDefault="001461CE">
            <w:pPr>
              <w:jc w:val="center"/>
            </w:pPr>
            <w:r>
              <w:rPr>
                <w:color w:val="000000"/>
                <w:kern w:val="0"/>
                <w:sz w:val="24"/>
                <w:szCs w:val="24"/>
              </w:rPr>
              <w:t>688388</w:t>
            </w:r>
          </w:p>
        </w:tc>
        <w:tc>
          <w:tcPr>
            <w:tcW w:w="1301" w:type="dxa"/>
            <w:vAlign w:val="center"/>
          </w:tcPr>
          <w:p w:rsidR="009D3C5E" w:rsidRDefault="001461CE">
            <w:pPr>
              <w:jc w:val="center"/>
            </w:pPr>
            <w:r>
              <w:rPr>
                <w:color w:val="000000"/>
                <w:kern w:val="0"/>
                <w:sz w:val="24"/>
                <w:szCs w:val="24"/>
              </w:rPr>
              <w:t>嘉元科技</w:t>
            </w:r>
          </w:p>
        </w:tc>
        <w:tc>
          <w:tcPr>
            <w:tcW w:w="1805" w:type="dxa"/>
            <w:vAlign w:val="center"/>
          </w:tcPr>
          <w:p w:rsidR="009D3C5E" w:rsidRDefault="001461CE">
            <w:pPr>
              <w:jc w:val="right"/>
            </w:pPr>
            <w:r>
              <w:rPr>
                <w:color w:val="000000"/>
                <w:kern w:val="0"/>
                <w:sz w:val="24"/>
                <w:szCs w:val="24"/>
              </w:rPr>
              <w:t>1,007,039.01</w:t>
            </w:r>
          </w:p>
        </w:tc>
        <w:tc>
          <w:tcPr>
            <w:tcW w:w="1655" w:type="dxa"/>
            <w:vAlign w:val="center"/>
          </w:tcPr>
          <w:p w:rsidR="009D3C5E" w:rsidRDefault="001461CE">
            <w:pPr>
              <w:jc w:val="right"/>
            </w:pPr>
            <w:r>
              <w:rPr>
                <w:color w:val="000000"/>
                <w:kern w:val="0"/>
                <w:sz w:val="24"/>
                <w:szCs w:val="24"/>
              </w:rPr>
              <w:t>0.00</w:t>
            </w:r>
          </w:p>
        </w:tc>
        <w:tc>
          <w:tcPr>
            <w:tcW w:w="1367" w:type="dxa"/>
            <w:vAlign w:val="center"/>
          </w:tcPr>
          <w:p w:rsidR="009D3C5E" w:rsidRDefault="001461CE">
            <w:pPr>
              <w:jc w:val="right"/>
            </w:pPr>
            <w:r>
              <w:rPr>
                <w:color w:val="000000"/>
                <w:kern w:val="0"/>
                <w:sz w:val="24"/>
                <w:szCs w:val="24"/>
              </w:rPr>
              <w:t>新股流通受限</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24,449,355,786.76</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6,399,366.41</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24,455,755,153.17</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9D3C5E" w:rsidRDefault="001461CE">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w:t>
      </w:r>
      <w:r>
        <w:rPr>
          <w:color w:val="000000"/>
          <w:sz w:val="24"/>
          <w:szCs w:val="24"/>
        </w:rPr>
        <w:t>3</w:t>
      </w:r>
      <w:r>
        <w:rPr>
          <w:color w:val="000000"/>
          <w:sz w:val="24"/>
          <w:szCs w:val="24"/>
        </w:rPr>
        <w:t>年封闭运作战略配售灵活配置混合型证券投资基金（</w:t>
      </w:r>
      <w:r>
        <w:rPr>
          <w:color w:val="000000"/>
          <w:sz w:val="24"/>
          <w:szCs w:val="24"/>
        </w:rPr>
        <w:t>LOF</w:t>
      </w:r>
      <w:r>
        <w:rPr>
          <w:color w:val="000000"/>
          <w:sz w:val="24"/>
          <w:szCs w:val="24"/>
        </w:rPr>
        <w:t>）注册的文件；</w:t>
      </w:r>
    </w:p>
    <w:p w:rsidR="009D3C5E" w:rsidRDefault="001461CE">
      <w:pPr>
        <w:spacing w:line="360" w:lineRule="auto"/>
        <w:ind w:firstLineChars="200" w:firstLine="480"/>
        <w:rPr>
          <w:color w:val="000000"/>
          <w:sz w:val="24"/>
          <w:szCs w:val="24"/>
        </w:rPr>
      </w:pPr>
      <w:r>
        <w:rPr>
          <w:color w:val="000000"/>
          <w:sz w:val="24"/>
          <w:szCs w:val="24"/>
        </w:rPr>
        <w:t>2.</w:t>
      </w:r>
      <w:r>
        <w:rPr>
          <w:color w:val="000000"/>
          <w:sz w:val="24"/>
          <w:szCs w:val="24"/>
        </w:rPr>
        <w:t>《易方达</w:t>
      </w:r>
      <w:r>
        <w:rPr>
          <w:color w:val="000000"/>
          <w:sz w:val="24"/>
          <w:szCs w:val="24"/>
        </w:rPr>
        <w:t>3</w:t>
      </w:r>
      <w:r>
        <w:rPr>
          <w:color w:val="000000"/>
          <w:sz w:val="24"/>
          <w:szCs w:val="24"/>
        </w:rPr>
        <w:t>年封闭运作战略配售灵活配置混合型证券投资基金（</w:t>
      </w:r>
      <w:r>
        <w:rPr>
          <w:color w:val="000000"/>
          <w:sz w:val="24"/>
          <w:szCs w:val="24"/>
        </w:rPr>
        <w:t>LOF</w:t>
      </w:r>
      <w:r>
        <w:rPr>
          <w:color w:val="000000"/>
          <w:sz w:val="24"/>
          <w:szCs w:val="24"/>
        </w:rPr>
        <w:t>）基金合同》；</w:t>
      </w:r>
    </w:p>
    <w:p w:rsidR="009D3C5E" w:rsidRDefault="001461CE">
      <w:pPr>
        <w:spacing w:line="360" w:lineRule="auto"/>
        <w:ind w:firstLineChars="200" w:firstLine="480"/>
        <w:rPr>
          <w:color w:val="000000"/>
          <w:sz w:val="24"/>
          <w:szCs w:val="24"/>
        </w:rPr>
      </w:pPr>
      <w:r>
        <w:rPr>
          <w:color w:val="000000"/>
          <w:sz w:val="24"/>
          <w:szCs w:val="24"/>
        </w:rPr>
        <w:t>3.</w:t>
      </w:r>
      <w:r>
        <w:rPr>
          <w:color w:val="000000"/>
          <w:sz w:val="24"/>
          <w:szCs w:val="24"/>
        </w:rPr>
        <w:t>《易方达</w:t>
      </w:r>
      <w:r>
        <w:rPr>
          <w:color w:val="000000"/>
          <w:sz w:val="24"/>
          <w:szCs w:val="24"/>
        </w:rPr>
        <w:t>3</w:t>
      </w:r>
      <w:r>
        <w:rPr>
          <w:color w:val="000000"/>
          <w:sz w:val="24"/>
          <w:szCs w:val="24"/>
        </w:rPr>
        <w:t>年封闭运作战略配售灵活配置混合型证券投资基金（</w:t>
      </w:r>
      <w:r>
        <w:rPr>
          <w:color w:val="000000"/>
          <w:sz w:val="24"/>
          <w:szCs w:val="24"/>
        </w:rPr>
        <w:t>LOF</w:t>
      </w:r>
      <w:r>
        <w:rPr>
          <w:color w:val="000000"/>
          <w:sz w:val="24"/>
          <w:szCs w:val="24"/>
        </w:rPr>
        <w:t>）托管协议》；</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4.</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1461CE">
      <w:rPr>
        <w:rStyle w:val="a7"/>
        <w:noProof/>
      </w:rPr>
      <w:t>1</w:t>
    </w:r>
    <w:r>
      <w:rPr>
        <w:rStyle w:val="a7"/>
      </w:rPr>
      <w:fldChar w:fldCharType="end"/>
    </w:r>
    <w:r>
      <w:rPr>
        <w:rStyle w:val="a7"/>
        <w:rFonts w:hint="eastAsia"/>
      </w:rPr>
      <w:t>页共</w:t>
    </w:r>
    <w:r w:rsidR="001461CE">
      <w:fldChar w:fldCharType="begin"/>
    </w:r>
    <w:r w:rsidR="001461CE">
      <w:instrText xml:space="preserve"> NUMPAGES  \* Arabic  \* MERGEFORMAT </w:instrText>
    </w:r>
    <w:r w:rsidR="001461CE">
      <w:fldChar w:fldCharType="separate"/>
    </w:r>
    <w:r w:rsidR="001461CE" w:rsidRPr="001461CE">
      <w:rPr>
        <w:rStyle w:val="a7"/>
        <w:noProof/>
      </w:rPr>
      <w:t>3</w:t>
    </w:r>
    <w:r w:rsidR="001461CE">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1461CE">
      <w:rPr>
        <w:rStyle w:val="a7"/>
        <w:noProof/>
      </w:rPr>
      <w:t>16</w:t>
    </w:r>
    <w:r>
      <w:rPr>
        <w:rStyle w:val="a7"/>
      </w:rPr>
      <w:fldChar w:fldCharType="end"/>
    </w:r>
    <w:r>
      <w:rPr>
        <w:rStyle w:val="a7"/>
        <w:rFonts w:hint="eastAsia"/>
      </w:rPr>
      <w:t>页共</w:t>
    </w:r>
    <w:fldSimple w:instr=" NUMPAGES  \* Arabic  \* MERGEFORMAT ">
      <w:r w:rsidR="001461CE" w:rsidRPr="001461CE">
        <w:rPr>
          <w:rStyle w:val="a7"/>
          <w:noProof/>
        </w:rPr>
        <w:t>16</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w:t>
    </w:r>
    <w:r w:rsidRPr="00093704">
      <w:t>3</w:t>
    </w:r>
    <w:r w:rsidRPr="00093704">
      <w:t>年封闭运作战略配售灵活配置混合型证券投资基金（</w:t>
    </w:r>
    <w:r w:rsidRPr="00093704">
      <w:t>LOF</w:t>
    </w:r>
    <w:r w:rsidRPr="00093704">
      <w:t>）</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61CE"/>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3C5E"/>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5DFFC-F236-47CA-8F4F-28C0F563A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1464</Words>
  <Characters>8346</Characters>
  <Application>Microsoft Office Word</Application>
  <DocSecurity>0</DocSecurity>
  <Lines>69</Lines>
  <Paragraphs>19</Paragraphs>
  <ScaleCrop>false</ScaleCrop>
  <Company/>
  <LinksUpToDate>false</LinksUpToDate>
  <CharactersWithSpaces>9791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2019-10-16T13:57:00Z</cp:lastPrinted>
  <dcterms:created xsi:type="dcterms:W3CDTF">2012-10-16T06:07:00Z</dcterms:created>
  <dcterms:modified xsi:type="dcterms:W3CDTF">2019-10-16T13:57:00Z</dcterms:modified>
</cp:coreProperties>
</file>