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51" w:rsidRPr="00820253" w:rsidRDefault="00F13451" w:rsidP="00397616">
      <w:pPr>
        <w:autoSpaceDE w:val="0"/>
        <w:autoSpaceDN w:val="0"/>
        <w:adjustRightInd w:val="0"/>
        <w:spacing w:line="360" w:lineRule="auto"/>
        <w:jc w:val="left"/>
        <w:rPr>
          <w:rFonts w:ascii="宋体" w:cs="Arial"/>
          <w:color w:val="000000"/>
          <w:kern w:val="0"/>
          <w:sz w:val="24"/>
        </w:rPr>
      </w:pPr>
      <w:bookmarkStart w:id="0" w:name="_GoBack"/>
      <w:bookmarkEnd w:id="0"/>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4A355B">
      <w:pPr>
        <w:autoSpaceDE w:val="0"/>
        <w:autoSpaceDN w:val="0"/>
        <w:adjustRightInd w:val="0"/>
        <w:spacing w:line="360" w:lineRule="auto"/>
        <w:jc w:val="left"/>
        <w:rPr>
          <w:rFonts w:ascii="宋体" w:cs="Arial"/>
          <w:color w:val="000000"/>
          <w:kern w:val="0"/>
          <w:sz w:val="24"/>
        </w:rPr>
      </w:pP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易方达纳斯达克100指数证券投资基金（LOF）</w:t>
      </w: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2019年第3季度报告</w:t>
      </w:r>
    </w:p>
    <w:p w:rsidR="00F13451" w:rsidRPr="005771AC" w:rsidRDefault="00F13451" w:rsidP="001A149A">
      <w:pPr>
        <w:spacing w:line="360" w:lineRule="auto"/>
        <w:jc w:val="center"/>
        <w:rPr>
          <w:rFonts w:ascii="宋体" w:hAnsi="宋体"/>
          <w:b/>
          <w:sz w:val="24"/>
          <w:szCs w:val="36"/>
        </w:rPr>
      </w:pPr>
      <w:r w:rsidRPr="005771AC">
        <w:rPr>
          <w:rFonts w:ascii="宋体" w:hAnsi="宋体"/>
          <w:b/>
          <w:sz w:val="24"/>
          <w:szCs w:val="36"/>
        </w:rPr>
        <w:t>2019年9月30日</w:t>
      </w: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rPr>
          <w:rFonts w:ascii="宋体"/>
          <w:b/>
          <w:color w:val="000000"/>
          <w:sz w:val="24"/>
        </w:rPr>
      </w:pP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基金管理人：</w:t>
      </w:r>
      <w:r w:rsidRPr="00820253">
        <w:rPr>
          <w:rFonts w:ascii="宋体" w:hAnsi="宋体"/>
          <w:b/>
          <w:color w:val="000000"/>
          <w:sz w:val="24"/>
        </w:rPr>
        <w:t>易方达基金管理有限公司</w:t>
      </w: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基金托管人：</w:t>
      </w:r>
      <w:r w:rsidRPr="00820253">
        <w:rPr>
          <w:rFonts w:ascii="宋体" w:hAnsi="宋体"/>
          <w:b/>
          <w:color w:val="000000"/>
          <w:sz w:val="24"/>
        </w:rPr>
        <w:t>中国建设银行股份有限公司</w:t>
      </w:r>
    </w:p>
    <w:p w:rsidR="00F13451" w:rsidRPr="00820253" w:rsidRDefault="00F13451" w:rsidP="00476756">
      <w:pPr>
        <w:spacing w:line="360" w:lineRule="auto"/>
        <w:ind w:firstLineChars="900" w:firstLine="2168"/>
        <w:rPr>
          <w:rFonts w:ascii="宋体" w:hAnsi="宋体"/>
          <w:b/>
          <w:color w:val="000000"/>
          <w:sz w:val="24"/>
        </w:rPr>
        <w:sectPr w:rsidR="00F13451" w:rsidRPr="00820253" w:rsidSect="00D6226F">
          <w:headerReference w:type="default" r:id="rId7"/>
          <w:footerReference w:type="default" r:id="rId8"/>
          <w:pgSz w:w="11926" w:h="15840"/>
          <w:pgMar w:top="1418" w:right="1418" w:bottom="851" w:left="1418" w:header="851" w:footer="992" w:gutter="0"/>
          <w:cols w:space="720"/>
          <w:noEndnote/>
        </w:sectPr>
      </w:pPr>
      <w:r w:rsidRPr="00820253">
        <w:rPr>
          <w:rFonts w:ascii="宋体" w:hAnsi="宋体" w:hint="eastAsia"/>
          <w:b/>
          <w:color w:val="000000"/>
          <w:sz w:val="24"/>
        </w:rPr>
        <w:t>报告送出日期：</w:t>
      </w:r>
      <w:r w:rsidRPr="00820253">
        <w:rPr>
          <w:rFonts w:ascii="宋体" w:hAnsi="宋体"/>
          <w:b/>
          <w:color w:val="000000"/>
          <w:sz w:val="24"/>
        </w:rPr>
        <w:t>二〇一九年十月二十四日</w:t>
      </w:r>
    </w:p>
    <w:p w:rsidR="00F13451" w:rsidRPr="00820253" w:rsidRDefault="00F13451" w:rsidP="008B041C">
      <w:pPr>
        <w:pStyle w:val="1"/>
        <w:spacing w:beforeLines="100" w:before="312" w:afterLines="100" w:after="312" w:line="360" w:lineRule="auto"/>
        <w:jc w:val="center"/>
        <w:rPr>
          <w:rFonts w:ascii="宋体" w:cs="Arial"/>
          <w:b w:val="0"/>
          <w:color w:val="000000"/>
          <w:kern w:val="0"/>
          <w:sz w:val="24"/>
          <w:szCs w:val="24"/>
        </w:rPr>
      </w:pPr>
      <w:r w:rsidRPr="00820253">
        <w:rPr>
          <w:rFonts w:ascii="宋体" w:hAnsi="宋体" w:cs="Arial" w:hint="eastAsia"/>
          <w:color w:val="000000"/>
          <w:kern w:val="0"/>
          <w:sz w:val="24"/>
          <w:szCs w:val="24"/>
        </w:rPr>
        <w:lastRenderedPageBreak/>
        <w:t>§</w:t>
      </w:r>
      <w:r w:rsidRPr="00820253">
        <w:rPr>
          <w:rFonts w:ascii="宋体" w:hAnsi="宋体" w:cs="Arial"/>
          <w:color w:val="000000"/>
          <w:kern w:val="0"/>
          <w:sz w:val="24"/>
          <w:szCs w:val="24"/>
        </w:rPr>
        <w:t xml:space="preserve">1  </w:t>
      </w:r>
      <w:r w:rsidRPr="00820253">
        <w:rPr>
          <w:rFonts w:ascii="宋体" w:hAnsi="宋体" w:cs="Arial" w:hint="eastAsia"/>
          <w:color w:val="000000"/>
          <w:kern w:val="0"/>
          <w:sz w:val="24"/>
          <w:szCs w:val="24"/>
        </w:rPr>
        <w:t>重要提示</w:t>
      </w:r>
    </w:p>
    <w:p w:rsidR="00FC05B7" w:rsidRDefault="00BC53E6">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C05B7" w:rsidRDefault="00BC53E6">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C05B7" w:rsidRDefault="00BC53E6">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C05B7" w:rsidRDefault="00BC53E6">
      <w:pPr>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FC05B7" w:rsidRDefault="00BC53E6">
      <w:pPr>
        <w:spacing w:line="360" w:lineRule="auto"/>
        <w:ind w:firstLineChars="200" w:firstLine="480"/>
        <w:rPr>
          <w:color w:val="000000"/>
          <w:sz w:val="24"/>
        </w:rPr>
      </w:pPr>
      <w:r>
        <w:rPr>
          <w:color w:val="000000"/>
          <w:sz w:val="24"/>
        </w:rPr>
        <w:t>本报告中财务资料未经审计。</w:t>
      </w:r>
    </w:p>
    <w:p w:rsidR="00F13451" w:rsidRPr="0040658E" w:rsidRDefault="00F13451" w:rsidP="00476756">
      <w:pPr>
        <w:spacing w:line="360" w:lineRule="auto"/>
        <w:ind w:firstLineChars="200" w:firstLine="480"/>
        <w:rPr>
          <w:color w:val="000000"/>
          <w:sz w:val="24"/>
        </w:rPr>
      </w:pPr>
      <w:r w:rsidRPr="0040658E">
        <w:rPr>
          <w:color w:val="000000"/>
          <w:sz w:val="24"/>
        </w:rPr>
        <w:t>本报告期自</w:t>
      </w:r>
      <w:r w:rsidRPr="0040658E">
        <w:rPr>
          <w:color w:val="000000"/>
          <w:sz w:val="24"/>
        </w:rPr>
        <w:t>2019</w:t>
      </w:r>
      <w:r w:rsidRPr="0040658E">
        <w:rPr>
          <w:color w:val="000000"/>
          <w:sz w:val="24"/>
        </w:rPr>
        <w:t>年</w:t>
      </w:r>
      <w:r w:rsidRPr="0040658E">
        <w:rPr>
          <w:color w:val="000000"/>
          <w:sz w:val="24"/>
        </w:rPr>
        <w:t>7</w:t>
      </w:r>
      <w:r w:rsidRPr="0040658E">
        <w:rPr>
          <w:color w:val="000000"/>
          <w:sz w:val="24"/>
        </w:rPr>
        <w:t>月</w:t>
      </w:r>
      <w:r w:rsidRPr="0040658E">
        <w:rPr>
          <w:color w:val="000000"/>
          <w:sz w:val="24"/>
        </w:rPr>
        <w:t>1</w:t>
      </w:r>
      <w:r w:rsidRPr="0040658E">
        <w:rPr>
          <w:color w:val="000000"/>
          <w:sz w:val="24"/>
        </w:rPr>
        <w:t>日起至</w:t>
      </w:r>
      <w:r w:rsidRPr="0040658E">
        <w:rPr>
          <w:color w:val="000000"/>
          <w:sz w:val="24"/>
        </w:rPr>
        <w:t>9</w:t>
      </w:r>
      <w:r w:rsidRPr="0040658E">
        <w:rPr>
          <w:color w:val="000000"/>
          <w:sz w:val="24"/>
        </w:rPr>
        <w:t>月</w:t>
      </w:r>
      <w:r w:rsidRPr="0040658E">
        <w:rPr>
          <w:color w:val="000000"/>
          <w:sz w:val="24"/>
        </w:rPr>
        <w:t>30</w:t>
      </w:r>
      <w:r w:rsidRPr="0040658E">
        <w:rPr>
          <w:color w:val="000000"/>
          <w:sz w:val="24"/>
        </w:rPr>
        <w:t>日止。</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2  </w:t>
      </w:r>
      <w:r w:rsidRPr="00820253">
        <w:rPr>
          <w:rFonts w:ascii="宋体" w:hAnsi="宋体" w:cs="Arial" w:hint="eastAsia"/>
          <w:color w:val="000000"/>
          <w:kern w:val="0"/>
          <w:sz w:val="24"/>
          <w:szCs w:val="24"/>
        </w:rPr>
        <w:t>基金产品概况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387"/>
      </w:tblGrid>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kern w:val="0"/>
                <w:sz w:val="24"/>
              </w:rPr>
            </w:pPr>
            <w:r w:rsidRPr="0040658E">
              <w:rPr>
                <w:kern w:val="0"/>
                <w:sz w:val="24"/>
              </w:rPr>
              <w:t>基金简称</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易方达纳斯达克</w:t>
            </w:r>
            <w:r w:rsidRPr="0040658E">
              <w:rPr>
                <w:color w:val="000000"/>
                <w:kern w:val="0"/>
                <w:sz w:val="24"/>
              </w:rPr>
              <w:t>100</w:t>
            </w:r>
            <w:r w:rsidRPr="0040658E">
              <w:rPr>
                <w:color w:val="000000"/>
                <w:kern w:val="0"/>
                <w:sz w:val="24"/>
              </w:rPr>
              <w:t>指数（</w:t>
            </w:r>
            <w:r w:rsidRPr="0040658E">
              <w:rPr>
                <w:color w:val="000000"/>
                <w:kern w:val="0"/>
                <w:sz w:val="24"/>
              </w:rPr>
              <w:t>QDII-LOF</w:t>
            </w:r>
            <w:r w:rsidRPr="0040658E">
              <w:rPr>
                <w:color w:val="000000"/>
                <w:kern w:val="0"/>
                <w:sz w:val="24"/>
              </w:rPr>
              <w:t>）</w:t>
            </w:r>
          </w:p>
        </w:tc>
      </w:tr>
      <w:tr w:rsidR="00C81A11" w:rsidRPr="00820253" w:rsidTr="0024781E">
        <w:tc>
          <w:tcPr>
            <w:tcW w:w="297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场内简称</w:t>
            </w:r>
          </w:p>
        </w:tc>
        <w:tc>
          <w:tcPr>
            <w:tcW w:w="538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纳指</w:t>
            </w:r>
            <w:r w:rsidRPr="0040658E">
              <w:rPr>
                <w:kern w:val="0"/>
                <w:sz w:val="24"/>
              </w:rPr>
              <w:t>LOF</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基金主代码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color w:val="000000"/>
                <w:kern w:val="0"/>
                <w:sz w:val="24"/>
              </w:rPr>
              <w:t>161130</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交易代码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kern w:val="0"/>
                <w:sz w:val="24"/>
              </w:rPr>
              <w:t>161130</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基金运作方式</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契约型、上市开放式（</w:t>
            </w:r>
            <w:r w:rsidRPr="0040658E">
              <w:rPr>
                <w:color w:val="000000"/>
                <w:kern w:val="0"/>
                <w:sz w:val="24"/>
              </w:rPr>
              <w:t>LOF</w:t>
            </w:r>
            <w:r w:rsidRPr="0040658E">
              <w:rPr>
                <w:color w:val="000000"/>
                <w:kern w:val="0"/>
                <w:sz w:val="24"/>
              </w:rPr>
              <w:t>）</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基金合同生效日</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2017</w:t>
            </w:r>
            <w:r w:rsidRPr="0040658E">
              <w:rPr>
                <w:color w:val="000000"/>
                <w:kern w:val="0"/>
                <w:sz w:val="24"/>
              </w:rPr>
              <w:t>年</w:t>
            </w:r>
            <w:r w:rsidRPr="0040658E">
              <w:rPr>
                <w:color w:val="000000"/>
                <w:kern w:val="0"/>
                <w:sz w:val="24"/>
              </w:rPr>
              <w:t>6</w:t>
            </w:r>
            <w:r w:rsidRPr="0040658E">
              <w:rPr>
                <w:color w:val="000000"/>
                <w:kern w:val="0"/>
                <w:sz w:val="24"/>
              </w:rPr>
              <w:t>月</w:t>
            </w:r>
            <w:r w:rsidRPr="0040658E">
              <w:rPr>
                <w:color w:val="000000"/>
                <w:kern w:val="0"/>
                <w:sz w:val="24"/>
              </w:rPr>
              <w:t>23</w:t>
            </w:r>
            <w:r w:rsidRPr="0040658E">
              <w:rPr>
                <w:color w:val="000000"/>
                <w:kern w:val="0"/>
                <w:sz w:val="24"/>
              </w:rPr>
              <w:t>日</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报告期末基金份额总额</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81,142,597.62</w:t>
            </w:r>
            <w:r w:rsidRPr="0040658E">
              <w:rPr>
                <w:color w:val="000000"/>
                <w:kern w:val="0"/>
                <w:sz w:val="24"/>
              </w:rPr>
              <w:t>份</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投资目标</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紧密跟踪业绩比较基准，追求跟踪偏离度及跟踪误差的最小化。</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投资策略</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作为追踪纳斯达克</w:t>
            </w:r>
            <w:r w:rsidRPr="0040658E">
              <w:rPr>
                <w:color w:val="000000"/>
                <w:kern w:val="0"/>
                <w:sz w:val="24"/>
              </w:rPr>
              <w:t>100</w:t>
            </w:r>
            <w:r w:rsidRPr="0040658E">
              <w:rPr>
                <w:color w:val="000000"/>
                <w:kern w:val="0"/>
                <w:sz w:val="24"/>
              </w:rPr>
              <w:t>指数的被动式海外指数基金，本基金主要采取完全复制法进行投资，力争紧密跟踪业绩比较基准，追求跟踪偏离度及跟踪误差的最小化。</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lastRenderedPageBreak/>
              <w:t>业绩比较基准</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纳斯达克</w:t>
            </w:r>
            <w:r w:rsidRPr="0040658E">
              <w:rPr>
                <w:color w:val="000000"/>
                <w:kern w:val="0"/>
                <w:sz w:val="24"/>
              </w:rPr>
              <w:t>100</w:t>
            </w:r>
            <w:r w:rsidRPr="0040658E">
              <w:rPr>
                <w:color w:val="000000"/>
                <w:kern w:val="0"/>
                <w:sz w:val="24"/>
              </w:rPr>
              <w:t>指数收益率（使用估值汇率折算）</w:t>
            </w:r>
            <w:r w:rsidRPr="0040658E">
              <w:rPr>
                <w:color w:val="000000"/>
                <w:kern w:val="0"/>
                <w:sz w:val="24"/>
              </w:rPr>
              <w:t>×95%+</w:t>
            </w:r>
            <w:r w:rsidRPr="0040658E">
              <w:rPr>
                <w:color w:val="000000"/>
                <w:kern w:val="0"/>
                <w:sz w:val="24"/>
              </w:rPr>
              <w:t>活期存款利率（税后）</w:t>
            </w:r>
            <w:r w:rsidRPr="0040658E">
              <w:rPr>
                <w:color w:val="000000"/>
                <w:kern w:val="0"/>
                <w:sz w:val="24"/>
              </w:rPr>
              <w:t>×5%</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风险收益特征</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本基金属股票指数基金，预期风险与收益水平高于混合基金、债券基金与货币市场基金。本基金主要采用组合复制策略和适当的替代性策略实现对标的指数的紧密跟踪，具有与标的指数相似的风险收益特征。本基金主要投资美国证券市场，需承担汇率风险以及境外市场的风险。</w:t>
            </w:r>
            <w:r w:rsidRPr="0040658E">
              <w:rPr>
                <w:color w:val="000000"/>
                <w:kern w:val="0"/>
                <w:sz w:val="24"/>
              </w:rPr>
              <w:t xml:space="preserve"> </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基金管理人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易方达基金管理有限公司</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基金托管人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中国建设银行股份有限公司</w:t>
            </w:r>
          </w:p>
        </w:tc>
      </w:tr>
      <w:tr w:rsidR="00E83302" w:rsidRPr="00820253" w:rsidTr="00780E33">
        <w:tc>
          <w:tcPr>
            <w:tcW w:w="2977" w:type="dxa"/>
            <w:vMerge w:val="restart"/>
            <w:vAlign w:val="center"/>
          </w:tcPr>
          <w:p w:rsidR="00E83302" w:rsidRPr="0040658E" w:rsidRDefault="00E83302" w:rsidP="00510BB5">
            <w:pPr>
              <w:adjustRightInd w:val="0"/>
              <w:spacing w:before="29" w:line="360" w:lineRule="auto"/>
              <w:ind w:left="17"/>
              <w:jc w:val="left"/>
              <w:rPr>
                <w:kern w:val="0"/>
                <w:sz w:val="24"/>
              </w:rPr>
            </w:pPr>
            <w:r w:rsidRPr="0040658E">
              <w:rPr>
                <w:kern w:val="0"/>
                <w:sz w:val="24"/>
              </w:rPr>
              <w:t>境外投资顾问</w:t>
            </w: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英文名称</w:t>
            </w:r>
            <w:r>
              <w:rPr>
                <w:rFonts w:hint="eastAsia"/>
                <w:kern w:val="0"/>
                <w:sz w:val="24"/>
              </w:rPr>
              <w:t>：</w:t>
            </w:r>
            <w:r w:rsidRPr="0040658E">
              <w:rPr>
                <w:color w:val="000000"/>
                <w:kern w:val="0"/>
                <w:sz w:val="24"/>
              </w:rPr>
              <w:t>无</w:t>
            </w:r>
          </w:p>
        </w:tc>
      </w:tr>
      <w:tr w:rsidR="00E83302" w:rsidRPr="00820253" w:rsidTr="00780E33">
        <w:tc>
          <w:tcPr>
            <w:tcW w:w="2977" w:type="dxa"/>
            <w:vMerge/>
            <w:vAlign w:val="center"/>
          </w:tcPr>
          <w:p w:rsidR="00E83302" w:rsidRPr="0040658E" w:rsidRDefault="00E83302" w:rsidP="00510BB5">
            <w:pPr>
              <w:adjustRightInd w:val="0"/>
              <w:spacing w:before="29" w:line="360" w:lineRule="auto"/>
              <w:ind w:left="17"/>
              <w:jc w:val="left"/>
              <w:rPr>
                <w:kern w:val="0"/>
                <w:sz w:val="24"/>
              </w:rPr>
            </w:pP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中文名称</w:t>
            </w:r>
            <w:r>
              <w:rPr>
                <w:rFonts w:hint="eastAsia"/>
                <w:kern w:val="0"/>
                <w:sz w:val="24"/>
              </w:rPr>
              <w:t>：</w:t>
            </w:r>
            <w:r w:rsidRPr="0040658E">
              <w:rPr>
                <w:color w:val="000000"/>
                <w:kern w:val="0"/>
                <w:sz w:val="24"/>
              </w:rPr>
              <w:t>无</w:t>
            </w:r>
          </w:p>
        </w:tc>
      </w:tr>
      <w:tr w:rsidR="000C6F3E" w:rsidRPr="00820253" w:rsidTr="00780E33">
        <w:tc>
          <w:tcPr>
            <w:tcW w:w="2977" w:type="dxa"/>
            <w:vMerge w:val="restart"/>
            <w:vAlign w:val="center"/>
          </w:tcPr>
          <w:p w:rsidR="000C6F3E" w:rsidRPr="0040658E" w:rsidRDefault="000C6F3E" w:rsidP="00510BB5">
            <w:pPr>
              <w:adjustRightInd w:val="0"/>
              <w:spacing w:before="29" w:line="360" w:lineRule="auto"/>
              <w:ind w:left="17"/>
              <w:jc w:val="left"/>
              <w:rPr>
                <w:kern w:val="0"/>
                <w:sz w:val="24"/>
              </w:rPr>
            </w:pPr>
            <w:r w:rsidRPr="0040658E">
              <w:rPr>
                <w:kern w:val="0"/>
                <w:sz w:val="24"/>
              </w:rPr>
              <w:t>境外资产托管人</w:t>
            </w: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英文名称</w:t>
            </w:r>
            <w:r>
              <w:rPr>
                <w:rFonts w:hint="eastAsia"/>
                <w:color w:val="000000"/>
                <w:kern w:val="0"/>
                <w:sz w:val="24"/>
              </w:rPr>
              <w:t>：</w:t>
            </w:r>
            <w:r w:rsidRPr="0040658E">
              <w:rPr>
                <w:color w:val="000000"/>
                <w:kern w:val="0"/>
                <w:sz w:val="24"/>
              </w:rPr>
              <w:t>State Street Bank and Trust Company</w:t>
            </w:r>
          </w:p>
        </w:tc>
      </w:tr>
      <w:tr w:rsidR="000C6F3E" w:rsidRPr="00820253" w:rsidTr="00780E33">
        <w:tc>
          <w:tcPr>
            <w:tcW w:w="2977" w:type="dxa"/>
            <w:vMerge/>
            <w:vAlign w:val="center"/>
          </w:tcPr>
          <w:p w:rsidR="000C6F3E" w:rsidRPr="0040658E" w:rsidRDefault="000C6F3E" w:rsidP="00CA3C4F">
            <w:pPr>
              <w:adjustRightInd w:val="0"/>
              <w:spacing w:before="29" w:line="360" w:lineRule="auto"/>
              <w:ind w:left="17"/>
              <w:jc w:val="left"/>
              <w:rPr>
                <w:kern w:val="0"/>
                <w:sz w:val="24"/>
              </w:rPr>
            </w:pP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中文名称</w:t>
            </w:r>
            <w:r>
              <w:rPr>
                <w:rFonts w:hint="eastAsia"/>
                <w:kern w:val="0"/>
                <w:sz w:val="24"/>
              </w:rPr>
              <w:t>：</w:t>
            </w:r>
            <w:r w:rsidRPr="0040658E">
              <w:rPr>
                <w:color w:val="000000"/>
                <w:kern w:val="0"/>
                <w:sz w:val="24"/>
              </w:rPr>
              <w:t xml:space="preserve"> </w:t>
            </w:r>
            <w:r w:rsidRPr="0040658E">
              <w:rPr>
                <w:color w:val="000000"/>
                <w:kern w:val="0"/>
                <w:sz w:val="24"/>
              </w:rPr>
              <w:t>道富银行</w:t>
            </w:r>
          </w:p>
        </w:tc>
      </w:tr>
    </w:tbl>
    <w:p w:rsidR="00F13451" w:rsidRPr="0040658E" w:rsidRDefault="00F13451" w:rsidP="0040658E">
      <w:pPr>
        <w:spacing w:line="360" w:lineRule="auto"/>
        <w:ind w:firstLineChars="200" w:firstLine="480"/>
        <w:rPr>
          <w:color w:val="000000"/>
          <w:sz w:val="24"/>
        </w:rPr>
      </w:pPr>
      <w:r w:rsidRPr="0040658E">
        <w:rPr>
          <w:color w:val="000000"/>
          <w:sz w:val="24"/>
        </w:rPr>
        <w:t>注：易方达纳斯达克</w:t>
      </w:r>
      <w:r w:rsidRPr="0040658E">
        <w:rPr>
          <w:color w:val="000000"/>
          <w:sz w:val="24"/>
        </w:rPr>
        <w:t>100</w:t>
      </w:r>
      <w:r w:rsidRPr="0040658E">
        <w:rPr>
          <w:color w:val="000000"/>
          <w:sz w:val="24"/>
        </w:rPr>
        <w:t>指数（</w:t>
      </w:r>
      <w:r w:rsidRPr="0040658E">
        <w:rPr>
          <w:color w:val="000000"/>
          <w:sz w:val="24"/>
        </w:rPr>
        <w:t>QDII-LOF</w:t>
      </w:r>
      <w:r w:rsidRPr="0040658E">
        <w:rPr>
          <w:color w:val="000000"/>
          <w:sz w:val="24"/>
        </w:rPr>
        <w:t>）含人民币份额（份额代码：</w:t>
      </w:r>
      <w:r w:rsidRPr="0040658E">
        <w:rPr>
          <w:color w:val="000000"/>
          <w:sz w:val="24"/>
        </w:rPr>
        <w:t>161130</w:t>
      </w:r>
      <w:r w:rsidRPr="0040658E">
        <w:rPr>
          <w:color w:val="000000"/>
          <w:sz w:val="24"/>
        </w:rPr>
        <w:t>）及美元现汇份额（份额代码：</w:t>
      </w:r>
      <w:r w:rsidRPr="0040658E">
        <w:rPr>
          <w:color w:val="000000"/>
          <w:sz w:val="24"/>
        </w:rPr>
        <w:t>003722</w:t>
      </w:r>
      <w:r w:rsidRPr="0040658E">
        <w:rPr>
          <w:color w:val="000000"/>
          <w:sz w:val="24"/>
        </w:rPr>
        <w:t>），交易代码仅列示人民币份额代码。</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3  </w:t>
      </w:r>
      <w:r w:rsidRPr="00820253">
        <w:rPr>
          <w:rFonts w:ascii="宋体" w:hAnsi="宋体" w:cs="Arial" w:hint="eastAsia"/>
          <w:color w:val="000000"/>
          <w:kern w:val="0"/>
          <w:sz w:val="24"/>
          <w:szCs w:val="24"/>
        </w:rPr>
        <w:t>主要财务指标和基金净值表现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3.1 </w:t>
      </w:r>
      <w:r w:rsidRPr="00820253">
        <w:rPr>
          <w:rFonts w:ascii="宋体" w:hAnsi="宋体" w:cs="Arial" w:hint="eastAsia"/>
          <w:b/>
          <w:color w:val="000000"/>
          <w:kern w:val="0"/>
          <w:sz w:val="24"/>
        </w:rPr>
        <w:t>主要财务指标</w:t>
      </w:r>
    </w:p>
    <w:p w:rsidR="00B41C16" w:rsidRPr="006506EF" w:rsidRDefault="00B41C16" w:rsidP="00B41C16">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B41C16" w:rsidRPr="006506EF" w:rsidTr="00C3442A">
        <w:tc>
          <w:tcPr>
            <w:tcW w:w="3402" w:type="dxa"/>
            <w:vAlign w:val="center"/>
          </w:tcPr>
          <w:p w:rsidR="00B41C16" w:rsidRPr="006506EF" w:rsidRDefault="00B41C16"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报告期</w:t>
            </w:r>
          </w:p>
          <w:p w:rsidR="00B41C16" w:rsidRPr="006506EF" w:rsidRDefault="00B41C16"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上期金额</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1,373,946.84</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3,677,970.47</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0.0465</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109,043,992.67</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rPr>
          <w:trHeight w:val="158"/>
        </w:trPr>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1.3439</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bl>
    <w:p w:rsidR="00FC05B7" w:rsidRDefault="00BC53E6">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13451" w:rsidRPr="008B041C" w:rsidRDefault="00B41C16" w:rsidP="008B041C">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w:t>
      </w:r>
      <w:r w:rsidRPr="006506EF">
        <w:rPr>
          <w:color w:val="000000"/>
          <w:sz w:val="24"/>
        </w:rPr>
        <w:t>,</w:t>
      </w:r>
      <w:r w:rsidRPr="006506EF">
        <w:rPr>
          <w:color w:val="000000"/>
          <w:sz w:val="24"/>
        </w:rPr>
        <w:t>本期利润为本期已实现收益加上本期公允价值变动收益。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3.2 </w:t>
      </w:r>
      <w:r w:rsidRPr="00820253">
        <w:rPr>
          <w:rFonts w:ascii="宋体" w:hAnsi="宋体" w:cs="Arial" w:hint="eastAsia"/>
          <w:b/>
          <w:color w:val="000000"/>
          <w:kern w:val="0"/>
          <w:sz w:val="24"/>
        </w:rPr>
        <w:t>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3.2.1</w:t>
        </w:r>
      </w:smartTag>
      <w:r w:rsidRPr="00820253">
        <w:rPr>
          <w:rFonts w:ascii="宋体" w:hAnsi="宋体" w:cs="Arial" w:hint="eastAsia"/>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13451" w:rsidRPr="00820253" w:rsidTr="00E35496">
        <w:tc>
          <w:tcPr>
            <w:tcW w:w="1395"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阶段</w:t>
            </w:r>
          </w:p>
        </w:tc>
        <w:tc>
          <w:tcPr>
            <w:tcW w:w="1092"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w:t>
            </w:r>
            <w:r w:rsidRPr="00431EE1">
              <w:rPr>
                <w:rFonts w:ascii="宋体" w:hAnsi="宋体" w:cs="宋体" w:hint="eastAsia"/>
                <w:color w:val="000000"/>
                <w:sz w:val="24"/>
              </w:rPr>
              <w:t>①</w:t>
            </w:r>
          </w:p>
        </w:tc>
        <w:tc>
          <w:tcPr>
            <w:tcW w:w="116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净值增长率标准差</w:t>
            </w:r>
            <w:r w:rsidRPr="00431EE1">
              <w:rPr>
                <w:rFonts w:ascii="宋体" w:hAnsi="宋体" w:cs="宋体" w:hint="eastAsia"/>
                <w:color w:val="000000"/>
                <w:sz w:val="24"/>
              </w:rPr>
              <w:t>②</w:t>
            </w:r>
          </w:p>
        </w:tc>
        <w:tc>
          <w:tcPr>
            <w:tcW w:w="118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w:t>
            </w:r>
            <w:r w:rsidRPr="00431EE1">
              <w:rPr>
                <w:rFonts w:ascii="宋体" w:hAnsi="宋体" w:cs="宋体" w:hint="eastAsia"/>
                <w:color w:val="000000"/>
                <w:sz w:val="24"/>
              </w:rPr>
              <w:t>③</w:t>
            </w:r>
          </w:p>
        </w:tc>
        <w:tc>
          <w:tcPr>
            <w:tcW w:w="1188"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业绩比较基准收益率标准差</w:t>
            </w:r>
            <w:r w:rsidRPr="00431EE1">
              <w:rPr>
                <w:rFonts w:ascii="宋体" w:hAnsi="宋体" w:cs="宋体" w:hint="eastAsia"/>
                <w:color w:val="000000"/>
                <w:sz w:val="24"/>
              </w:rPr>
              <w:t>④</w:t>
            </w:r>
          </w:p>
        </w:tc>
        <w:tc>
          <w:tcPr>
            <w:tcW w:w="1199"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①</w:t>
            </w:r>
            <w:r w:rsidRPr="00431EE1">
              <w:rPr>
                <w:color w:val="000000"/>
                <w:sz w:val="24"/>
              </w:rPr>
              <w:t>-</w:t>
            </w:r>
            <w:r w:rsidRPr="00431EE1">
              <w:rPr>
                <w:rFonts w:ascii="宋体" w:hAnsi="宋体" w:cs="宋体" w:hint="eastAsia"/>
                <w:color w:val="000000"/>
                <w:sz w:val="24"/>
              </w:rPr>
              <w:t>③</w:t>
            </w:r>
          </w:p>
        </w:tc>
        <w:tc>
          <w:tcPr>
            <w:tcW w:w="1204"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②</w:t>
            </w:r>
            <w:r w:rsidRPr="00431EE1">
              <w:rPr>
                <w:color w:val="000000"/>
                <w:sz w:val="24"/>
              </w:rPr>
              <w:t>-</w:t>
            </w:r>
            <w:r w:rsidRPr="00431EE1">
              <w:rPr>
                <w:rFonts w:ascii="宋体" w:hAnsi="宋体" w:cs="宋体" w:hint="eastAsia"/>
                <w:color w:val="000000"/>
                <w:sz w:val="24"/>
              </w:rPr>
              <w:t>④</w:t>
            </w:r>
          </w:p>
        </w:tc>
      </w:tr>
      <w:tr w:rsidR="00FC05B7">
        <w:tc>
          <w:tcPr>
            <w:tcW w:w="1395" w:type="dxa"/>
            <w:vAlign w:val="center"/>
          </w:tcPr>
          <w:p w:rsidR="00FC05B7" w:rsidRDefault="00BC53E6">
            <w:pPr>
              <w:jc w:val="left"/>
            </w:pPr>
            <w:r>
              <w:rPr>
                <w:color w:val="000000"/>
                <w:sz w:val="24"/>
              </w:rPr>
              <w:t>过去三个月</w:t>
            </w:r>
          </w:p>
        </w:tc>
        <w:tc>
          <w:tcPr>
            <w:tcW w:w="1092" w:type="dxa"/>
            <w:vAlign w:val="center"/>
          </w:tcPr>
          <w:p w:rsidR="00FC05B7" w:rsidRDefault="00BC53E6">
            <w:pPr>
              <w:jc w:val="center"/>
            </w:pPr>
            <w:r>
              <w:rPr>
                <w:color w:val="000000"/>
                <w:sz w:val="24"/>
              </w:rPr>
              <w:t>3.83%</w:t>
            </w:r>
          </w:p>
        </w:tc>
        <w:tc>
          <w:tcPr>
            <w:tcW w:w="1161" w:type="dxa"/>
            <w:vAlign w:val="center"/>
          </w:tcPr>
          <w:p w:rsidR="00FC05B7" w:rsidRDefault="00BC53E6">
            <w:pPr>
              <w:jc w:val="center"/>
            </w:pPr>
            <w:r>
              <w:rPr>
                <w:color w:val="000000"/>
                <w:sz w:val="24"/>
              </w:rPr>
              <w:t>1.15%</w:t>
            </w:r>
          </w:p>
        </w:tc>
        <w:tc>
          <w:tcPr>
            <w:tcW w:w="1181" w:type="dxa"/>
            <w:vAlign w:val="center"/>
          </w:tcPr>
          <w:p w:rsidR="00FC05B7" w:rsidRDefault="00BC53E6">
            <w:pPr>
              <w:jc w:val="center"/>
            </w:pPr>
            <w:r>
              <w:rPr>
                <w:color w:val="000000"/>
                <w:sz w:val="24"/>
              </w:rPr>
              <w:t>3.76%</w:t>
            </w:r>
          </w:p>
        </w:tc>
        <w:tc>
          <w:tcPr>
            <w:tcW w:w="1188" w:type="dxa"/>
            <w:vAlign w:val="center"/>
          </w:tcPr>
          <w:p w:rsidR="00FC05B7" w:rsidRDefault="00BC53E6">
            <w:pPr>
              <w:jc w:val="center"/>
            </w:pPr>
            <w:r>
              <w:rPr>
                <w:color w:val="000000"/>
                <w:sz w:val="24"/>
              </w:rPr>
              <w:t>1.14%</w:t>
            </w:r>
          </w:p>
        </w:tc>
        <w:tc>
          <w:tcPr>
            <w:tcW w:w="1199" w:type="dxa"/>
            <w:vAlign w:val="center"/>
          </w:tcPr>
          <w:p w:rsidR="00FC05B7" w:rsidRDefault="00BC53E6">
            <w:pPr>
              <w:jc w:val="center"/>
            </w:pPr>
            <w:r>
              <w:rPr>
                <w:color w:val="000000"/>
                <w:sz w:val="24"/>
              </w:rPr>
              <w:t>0.07%</w:t>
            </w:r>
          </w:p>
        </w:tc>
        <w:tc>
          <w:tcPr>
            <w:tcW w:w="1204" w:type="dxa"/>
            <w:vAlign w:val="center"/>
          </w:tcPr>
          <w:p w:rsidR="00FC05B7" w:rsidRDefault="00BC53E6">
            <w:pPr>
              <w:jc w:val="center"/>
            </w:pPr>
            <w:r>
              <w:rPr>
                <w:color w:val="000000"/>
                <w:sz w:val="24"/>
              </w:rPr>
              <w:t>0.01%</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3.2.2</w:t>
        </w:r>
        <w:r w:rsidRPr="00820253">
          <w:rPr>
            <w:rFonts w:ascii="宋体" w:hAnsi="宋体" w:cs="Arial" w:hint="eastAsia"/>
            <w:b/>
            <w:color w:val="000000"/>
            <w:kern w:val="0"/>
            <w:sz w:val="24"/>
          </w:rPr>
          <w:t xml:space="preserve">　</w:t>
        </w:r>
        <w:r w:rsidR="001A4814" w:rsidRPr="00370BEA">
          <w:rPr>
            <w:rStyle w:val="af8"/>
            <w:rFonts w:hint="eastAsia"/>
            <w:color w:val="000000"/>
            <w:sz w:val="24"/>
            <w:shd w:val="clear" w:color="auto" w:fill="FFFFFF"/>
          </w:rPr>
          <w:t>自基金合同生效以来</w:t>
        </w:r>
      </w:smartTag>
      <w:r w:rsidRPr="00820253">
        <w:rPr>
          <w:rFonts w:ascii="宋体" w:hAnsi="宋体" w:cs="Arial" w:hint="eastAsia"/>
          <w:b/>
          <w:color w:val="000000"/>
          <w:kern w:val="0"/>
          <w:sz w:val="24"/>
        </w:rPr>
        <w:t>基金累计</w:t>
      </w:r>
      <w:r w:rsidR="00CD5FBA" w:rsidRPr="00CD5FBA">
        <w:rPr>
          <w:rFonts w:ascii="宋体" w:hAnsi="宋体" w:cs="Arial" w:hint="eastAsia"/>
          <w:b/>
          <w:color w:val="000000"/>
          <w:kern w:val="0"/>
          <w:sz w:val="24"/>
        </w:rPr>
        <w:t>份额</w:t>
      </w:r>
      <w:r w:rsidRPr="00820253">
        <w:rPr>
          <w:rFonts w:ascii="宋体" w:hAnsi="宋体" w:cs="Arial" w:hint="eastAsia"/>
          <w:b/>
          <w:color w:val="000000"/>
          <w:kern w:val="0"/>
          <w:sz w:val="24"/>
        </w:rPr>
        <w:t>净值增长率变动及其与同期业绩比较基准收益率变动的比较</w:t>
      </w:r>
    </w:p>
    <w:p w:rsidR="00F13451" w:rsidRPr="00431EE1" w:rsidRDefault="00F13451" w:rsidP="0029671E">
      <w:pPr>
        <w:spacing w:line="360" w:lineRule="auto"/>
        <w:jc w:val="center"/>
        <w:rPr>
          <w:sz w:val="24"/>
        </w:rPr>
      </w:pPr>
      <w:r w:rsidRPr="00431EE1">
        <w:rPr>
          <w:sz w:val="24"/>
        </w:rPr>
        <w:t>易方达纳斯达克</w:t>
      </w:r>
      <w:r w:rsidRPr="00431EE1">
        <w:rPr>
          <w:sz w:val="24"/>
        </w:rPr>
        <w:t>100</w:t>
      </w:r>
      <w:r w:rsidRPr="00431EE1">
        <w:rPr>
          <w:sz w:val="24"/>
        </w:rPr>
        <w:t>指数证券投资基金（</w:t>
      </w:r>
      <w:r w:rsidRPr="00431EE1">
        <w:rPr>
          <w:sz w:val="24"/>
        </w:rPr>
        <w:t>LOF</w:t>
      </w:r>
      <w:r w:rsidRPr="00431EE1">
        <w:rPr>
          <w:sz w:val="24"/>
        </w:rPr>
        <w:t>）</w:t>
      </w:r>
    </w:p>
    <w:p w:rsidR="00F13451" w:rsidRPr="00431EE1" w:rsidRDefault="00F13451" w:rsidP="0029671E">
      <w:pPr>
        <w:pStyle w:val="a5"/>
        <w:snapToGrid w:val="0"/>
        <w:spacing w:line="360" w:lineRule="auto"/>
        <w:jc w:val="center"/>
        <w:rPr>
          <w:rFonts w:ascii="Times New Roman" w:hAnsi="Times New Roman"/>
          <w:sz w:val="24"/>
          <w:szCs w:val="24"/>
        </w:rPr>
      </w:pPr>
      <w:r w:rsidRPr="00431EE1">
        <w:rPr>
          <w:rFonts w:ascii="Times New Roman" w:hAnsi="Times New Roman"/>
          <w:sz w:val="24"/>
          <w:szCs w:val="24"/>
        </w:rPr>
        <w:t>累计净值增长率与业绩比较基准收益率的历史走势对比图</w:t>
      </w:r>
    </w:p>
    <w:p w:rsidR="00F13451" w:rsidRPr="00431EE1" w:rsidRDefault="00F13451" w:rsidP="0029671E">
      <w:pPr>
        <w:spacing w:line="360" w:lineRule="auto"/>
        <w:jc w:val="center"/>
        <w:rPr>
          <w:sz w:val="24"/>
        </w:rPr>
      </w:pPr>
      <w:r w:rsidRPr="00431EE1">
        <w:rPr>
          <w:color w:val="000000"/>
          <w:kern w:val="0"/>
          <w:sz w:val="24"/>
        </w:rPr>
        <w:t xml:space="preserve"> (2017</w:t>
      </w:r>
      <w:r w:rsidRPr="00431EE1">
        <w:rPr>
          <w:color w:val="000000"/>
          <w:kern w:val="0"/>
          <w:sz w:val="24"/>
        </w:rPr>
        <w:t>年</w:t>
      </w:r>
      <w:r w:rsidRPr="00431EE1">
        <w:rPr>
          <w:color w:val="000000"/>
          <w:kern w:val="0"/>
          <w:sz w:val="24"/>
        </w:rPr>
        <w:t>6</w:t>
      </w:r>
      <w:r w:rsidRPr="00431EE1">
        <w:rPr>
          <w:color w:val="000000"/>
          <w:kern w:val="0"/>
          <w:sz w:val="24"/>
        </w:rPr>
        <w:t>月</w:t>
      </w:r>
      <w:r w:rsidRPr="00431EE1">
        <w:rPr>
          <w:color w:val="000000"/>
          <w:kern w:val="0"/>
          <w:sz w:val="24"/>
        </w:rPr>
        <w:t>23</w:t>
      </w:r>
      <w:r w:rsidRPr="00431EE1">
        <w:rPr>
          <w:color w:val="000000"/>
          <w:kern w:val="0"/>
          <w:sz w:val="24"/>
        </w:rPr>
        <w:t>日至</w:t>
      </w:r>
      <w:r w:rsidRPr="00431EE1">
        <w:rPr>
          <w:color w:val="000000"/>
          <w:kern w:val="0"/>
          <w:sz w:val="24"/>
        </w:rPr>
        <w:t>2019</w:t>
      </w:r>
      <w:r w:rsidRPr="00431EE1">
        <w:rPr>
          <w:color w:val="000000"/>
          <w:kern w:val="0"/>
          <w:sz w:val="24"/>
        </w:rPr>
        <w:t>年</w:t>
      </w:r>
      <w:r w:rsidRPr="00431EE1">
        <w:rPr>
          <w:color w:val="000000"/>
          <w:kern w:val="0"/>
          <w:sz w:val="24"/>
        </w:rPr>
        <w:t>9</w:t>
      </w:r>
      <w:r w:rsidRPr="00431EE1">
        <w:rPr>
          <w:color w:val="000000"/>
          <w:kern w:val="0"/>
          <w:sz w:val="24"/>
        </w:rPr>
        <w:t>月</w:t>
      </w:r>
      <w:r w:rsidRPr="00431EE1">
        <w:rPr>
          <w:color w:val="000000"/>
          <w:kern w:val="0"/>
          <w:sz w:val="24"/>
        </w:rPr>
        <w:t>30</w:t>
      </w:r>
      <w:r w:rsidRPr="00431EE1">
        <w:rPr>
          <w:color w:val="000000"/>
          <w:kern w:val="0"/>
          <w:sz w:val="24"/>
        </w:rPr>
        <w:t>日</w:t>
      </w:r>
      <w:r w:rsidRPr="00431EE1">
        <w:rPr>
          <w:color w:val="000000"/>
          <w:kern w:val="0"/>
          <w:sz w:val="24"/>
        </w:rPr>
        <w:t>)</w:t>
      </w:r>
    </w:p>
    <w:p w:rsidR="00F13451" w:rsidRPr="00820253" w:rsidRDefault="00BC53E6" w:rsidP="00A726E0">
      <w:pPr>
        <w:tabs>
          <w:tab w:val="left" w:pos="180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11.75pt;height:241.5pt;visibility:visible">
            <v:imagedata r:id="rId9" o:title=""/>
          </v:shape>
        </w:pict>
      </w:r>
    </w:p>
    <w:p w:rsidR="00FC05B7" w:rsidRDefault="00BC53E6">
      <w:pPr>
        <w:spacing w:line="360" w:lineRule="auto"/>
        <w:ind w:firstLineChars="200" w:firstLine="480"/>
        <w:rPr>
          <w:color w:val="000000"/>
          <w:sz w:val="24"/>
        </w:rPr>
      </w:pPr>
      <w:r>
        <w:rPr>
          <w:color w:val="000000"/>
          <w:sz w:val="24"/>
        </w:rPr>
        <w:t>注：</w:t>
      </w:r>
      <w:r>
        <w:rPr>
          <w:color w:val="000000"/>
          <w:sz w:val="24"/>
        </w:rPr>
        <w:t>1.</w:t>
      </w:r>
      <w:r>
        <w:rPr>
          <w:color w:val="000000"/>
          <w:sz w:val="24"/>
        </w:rPr>
        <w:t>本基金的业绩比较基准已经转换为以人民币计价。</w:t>
      </w:r>
    </w:p>
    <w:p w:rsidR="00F13451" w:rsidRPr="0040658E" w:rsidRDefault="00F13451" w:rsidP="0040658E">
      <w:pPr>
        <w:spacing w:line="360" w:lineRule="auto"/>
        <w:ind w:firstLineChars="200" w:firstLine="480"/>
        <w:rPr>
          <w:color w:val="000000"/>
          <w:sz w:val="24"/>
        </w:rPr>
      </w:pPr>
      <w:r w:rsidRPr="0040658E">
        <w:rPr>
          <w:color w:val="000000"/>
          <w:sz w:val="24"/>
        </w:rPr>
        <w:t>2.</w:t>
      </w:r>
      <w:r w:rsidRPr="0040658E">
        <w:rPr>
          <w:color w:val="000000"/>
          <w:sz w:val="24"/>
        </w:rPr>
        <w:t>自基金合同生效至报告期末，基金份额净值增长率为</w:t>
      </w:r>
      <w:r w:rsidRPr="0040658E">
        <w:rPr>
          <w:color w:val="000000"/>
          <w:sz w:val="24"/>
        </w:rPr>
        <w:t xml:space="preserve">34.39% </w:t>
      </w:r>
      <w:r w:rsidRPr="0040658E">
        <w:rPr>
          <w:color w:val="000000"/>
          <w:sz w:val="24"/>
        </w:rPr>
        <w:t>，同期业绩比较基准收益率为</w:t>
      </w:r>
      <w:r w:rsidRPr="0040658E">
        <w:rPr>
          <w:color w:val="000000"/>
          <w:sz w:val="24"/>
        </w:rPr>
        <w:t>37.11%</w:t>
      </w:r>
      <w:r w:rsidRPr="0040658E">
        <w:rPr>
          <w:color w:val="000000"/>
          <w:sz w:val="24"/>
        </w:rPr>
        <w:t>。</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4  </w:t>
      </w:r>
      <w:r w:rsidRPr="00820253">
        <w:rPr>
          <w:rFonts w:ascii="宋体" w:hAnsi="宋体" w:cs="Arial" w:hint="eastAsia"/>
          <w:color w:val="000000"/>
          <w:kern w:val="0"/>
          <w:sz w:val="24"/>
          <w:szCs w:val="24"/>
        </w:rPr>
        <w:t>管理人报告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w:t>
      </w:r>
      <w:r>
        <w:rPr>
          <w:rFonts w:ascii="宋体" w:hAnsi="宋体" w:cs="Arial"/>
          <w:b/>
          <w:color w:val="000000"/>
          <w:kern w:val="0"/>
          <w:sz w:val="24"/>
        </w:rPr>
        <w:t>1</w:t>
      </w:r>
      <w:r w:rsidRPr="00820253">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13451" w:rsidRPr="00820253" w:rsidTr="009C3E98">
        <w:trPr>
          <w:cantSplit/>
          <w:trHeight w:val="292"/>
        </w:trPr>
        <w:tc>
          <w:tcPr>
            <w:tcW w:w="851"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姓名</w:t>
            </w:r>
          </w:p>
        </w:tc>
        <w:tc>
          <w:tcPr>
            <w:tcW w:w="3260"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职务</w:t>
            </w:r>
          </w:p>
        </w:tc>
        <w:tc>
          <w:tcPr>
            <w:tcW w:w="2552" w:type="dxa"/>
            <w:gridSpan w:val="2"/>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任本基金的基金经理期限</w:t>
            </w:r>
          </w:p>
        </w:tc>
        <w:tc>
          <w:tcPr>
            <w:tcW w:w="850" w:type="dxa"/>
            <w:vMerge w:val="restart"/>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证券从业年限</w:t>
            </w:r>
          </w:p>
        </w:tc>
        <w:tc>
          <w:tcPr>
            <w:tcW w:w="1418"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说明</w:t>
            </w:r>
          </w:p>
        </w:tc>
      </w:tr>
      <w:tr w:rsidR="00F13451" w:rsidRPr="00820253" w:rsidTr="009C3E98">
        <w:trPr>
          <w:cantSplit/>
        </w:trPr>
        <w:tc>
          <w:tcPr>
            <w:tcW w:w="851" w:type="dxa"/>
            <w:vMerge/>
            <w:vAlign w:val="center"/>
          </w:tcPr>
          <w:p w:rsidR="00F13451" w:rsidRPr="00431EE1" w:rsidRDefault="00F13451" w:rsidP="00CA3C4F">
            <w:pPr>
              <w:widowControl/>
              <w:spacing w:line="360" w:lineRule="auto"/>
              <w:jc w:val="left"/>
              <w:rPr>
                <w:color w:val="000000"/>
                <w:kern w:val="0"/>
                <w:sz w:val="24"/>
              </w:rPr>
            </w:pPr>
          </w:p>
        </w:tc>
        <w:tc>
          <w:tcPr>
            <w:tcW w:w="3260" w:type="dxa"/>
            <w:vMerge/>
            <w:vAlign w:val="center"/>
          </w:tcPr>
          <w:p w:rsidR="00F13451" w:rsidRPr="00431EE1" w:rsidRDefault="00F13451" w:rsidP="00CA3C4F">
            <w:pPr>
              <w:widowControl/>
              <w:spacing w:line="360" w:lineRule="auto"/>
              <w:jc w:val="left"/>
              <w:rPr>
                <w:color w:val="000000"/>
                <w:kern w:val="0"/>
                <w:sz w:val="24"/>
              </w:rPr>
            </w:pP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任职日期</w:t>
            </w: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离任日期</w:t>
            </w:r>
          </w:p>
        </w:tc>
        <w:tc>
          <w:tcPr>
            <w:tcW w:w="850" w:type="dxa"/>
            <w:vMerge/>
            <w:vAlign w:val="center"/>
          </w:tcPr>
          <w:p w:rsidR="00F13451" w:rsidRPr="00431EE1" w:rsidRDefault="00F13451" w:rsidP="00CA3C4F">
            <w:pPr>
              <w:widowControl/>
              <w:spacing w:line="360" w:lineRule="auto"/>
              <w:jc w:val="left"/>
              <w:rPr>
                <w:color w:val="000000"/>
                <w:kern w:val="0"/>
                <w:sz w:val="24"/>
              </w:rPr>
            </w:pPr>
          </w:p>
        </w:tc>
        <w:tc>
          <w:tcPr>
            <w:tcW w:w="1418" w:type="dxa"/>
            <w:vMerge/>
            <w:vAlign w:val="center"/>
          </w:tcPr>
          <w:p w:rsidR="00F13451" w:rsidRPr="00431EE1" w:rsidRDefault="00F13451" w:rsidP="00CA3C4F">
            <w:pPr>
              <w:widowControl/>
              <w:spacing w:line="360" w:lineRule="auto"/>
              <w:jc w:val="left"/>
              <w:rPr>
                <w:color w:val="000000"/>
                <w:kern w:val="0"/>
                <w:sz w:val="24"/>
              </w:rPr>
            </w:pPr>
          </w:p>
        </w:tc>
      </w:tr>
      <w:tr w:rsidR="00FC05B7">
        <w:tc>
          <w:tcPr>
            <w:tcW w:w="851" w:type="dxa"/>
            <w:vAlign w:val="center"/>
          </w:tcPr>
          <w:p w:rsidR="00FC05B7" w:rsidRDefault="00BC53E6">
            <w:pPr>
              <w:jc w:val="center"/>
            </w:pPr>
            <w:r>
              <w:rPr>
                <w:color w:val="000000"/>
                <w:sz w:val="24"/>
              </w:rPr>
              <w:t>FAN BING(</w:t>
            </w:r>
            <w:r>
              <w:rPr>
                <w:color w:val="000000"/>
                <w:sz w:val="24"/>
              </w:rPr>
              <w:t>范冰</w:t>
            </w:r>
            <w:r>
              <w:rPr>
                <w:color w:val="000000"/>
                <w:sz w:val="24"/>
              </w:rPr>
              <w:t>)</w:t>
            </w:r>
          </w:p>
        </w:tc>
        <w:tc>
          <w:tcPr>
            <w:tcW w:w="3260" w:type="dxa"/>
            <w:vAlign w:val="center"/>
          </w:tcPr>
          <w:p w:rsidR="00FC05B7" w:rsidRDefault="00BC53E6">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的基金经理、易方达黄金交易型开放式证券投资基金联接基金的基金经理、易方达黄金交易型开放式证券投资基金的基金经理、易方达标普医疗保健指数证券投资基金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w:t>
            </w:r>
            <w:r>
              <w:rPr>
                <w:color w:val="000000"/>
                <w:sz w:val="24"/>
              </w:rPr>
              <w:t>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FC05B7" w:rsidRDefault="00BC53E6">
            <w:pPr>
              <w:jc w:val="center"/>
            </w:pPr>
            <w:r>
              <w:rPr>
                <w:color w:val="000000"/>
                <w:sz w:val="24"/>
              </w:rPr>
              <w:t>2017-06-27</w:t>
            </w:r>
          </w:p>
        </w:tc>
        <w:tc>
          <w:tcPr>
            <w:tcW w:w="1276" w:type="dxa"/>
            <w:vAlign w:val="center"/>
          </w:tcPr>
          <w:p w:rsidR="00FC05B7" w:rsidRDefault="00BC53E6">
            <w:pPr>
              <w:jc w:val="center"/>
            </w:pPr>
            <w:r>
              <w:rPr>
                <w:color w:val="000000"/>
                <w:sz w:val="24"/>
              </w:rPr>
              <w:t>-</w:t>
            </w:r>
          </w:p>
        </w:tc>
        <w:tc>
          <w:tcPr>
            <w:tcW w:w="850" w:type="dxa"/>
            <w:vAlign w:val="center"/>
          </w:tcPr>
          <w:p w:rsidR="00FC05B7" w:rsidRDefault="00BC53E6">
            <w:pPr>
              <w:jc w:val="center"/>
            </w:pPr>
            <w:r>
              <w:rPr>
                <w:color w:val="000000"/>
                <w:sz w:val="24"/>
              </w:rPr>
              <w:t>14</w:t>
            </w:r>
            <w:r>
              <w:rPr>
                <w:color w:val="000000"/>
                <w:sz w:val="24"/>
              </w:rPr>
              <w:t>年</w:t>
            </w:r>
          </w:p>
        </w:tc>
        <w:tc>
          <w:tcPr>
            <w:tcW w:w="1418" w:type="dxa"/>
            <w:vAlign w:val="center"/>
          </w:tcPr>
          <w:p w:rsidR="00FC05B7" w:rsidRDefault="00BC53E6">
            <w:r>
              <w:rPr>
                <w:color w:val="000000"/>
                <w:sz w:val="24"/>
              </w:rPr>
              <w:t>新加坡籍，硕士研究生，曾任皇家加拿大银行托管部核算专员，美国道富集团</w:t>
            </w:r>
            <w:r>
              <w:rPr>
                <w:color w:val="000000"/>
                <w:sz w:val="24"/>
              </w:rPr>
              <w:t xml:space="preserve">Middle </w:t>
            </w:r>
            <w:r>
              <w:rPr>
                <w:color w:val="000000"/>
                <w:sz w:val="24"/>
              </w:rPr>
              <w:t>Office</w:t>
            </w:r>
            <w:r>
              <w:rPr>
                <w:color w:val="000000"/>
                <w:sz w:val="24"/>
              </w:rPr>
              <w:t>中台交易支持专员，巴克莱资产管理公司悉尼金融数据部高级金融数据分析员、悉尼金融数据部主管、新加坡金融数据部主管，贝莱德集团金融数据运营部部门经理、风险控制与咨询部客户经理、亚太股票指数基金部基金经理。</w:t>
            </w:r>
          </w:p>
        </w:tc>
      </w:tr>
      <w:tr w:rsidR="00FC05B7">
        <w:tc>
          <w:tcPr>
            <w:tcW w:w="851" w:type="dxa"/>
            <w:vAlign w:val="center"/>
          </w:tcPr>
          <w:p w:rsidR="00FC05B7" w:rsidRDefault="00BC53E6">
            <w:pPr>
              <w:jc w:val="center"/>
            </w:pPr>
            <w:r>
              <w:rPr>
                <w:color w:val="000000"/>
                <w:sz w:val="24"/>
              </w:rPr>
              <w:t>成曦</w:t>
            </w:r>
          </w:p>
        </w:tc>
        <w:tc>
          <w:tcPr>
            <w:tcW w:w="3260" w:type="dxa"/>
            <w:vAlign w:val="center"/>
          </w:tcPr>
          <w:p w:rsidR="00FC05B7" w:rsidRDefault="00BC53E6">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w:t>
            </w:r>
            <w:r>
              <w:rPr>
                <w:color w:val="000000"/>
                <w:sz w:val="24"/>
              </w:rPr>
              <w:t>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交易型开放式指数证券投资基金的基金经理、易方达恒生中国企业交易型开放式指数证券投资基金联接基金的基金经理、易方达恒生中国企业交易型开放式指数证券投资</w:t>
            </w:r>
            <w:r>
              <w:rPr>
                <w:color w:val="000000"/>
                <w:sz w:val="24"/>
              </w:rPr>
              <w:t>基金的基金经理、易方达创业板交易型开放式指数证券投资基金联接基金的基金经理、易方达创业板交易型开放式指数证券投资基金的基金经理、易方达并购重组指数分级证券投资基金的基金经理、易方达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FC05B7" w:rsidRDefault="00BC53E6">
            <w:pPr>
              <w:jc w:val="center"/>
            </w:pPr>
            <w:r>
              <w:rPr>
                <w:color w:val="000000"/>
                <w:sz w:val="24"/>
              </w:rPr>
              <w:t>2018-08-11</w:t>
            </w:r>
          </w:p>
        </w:tc>
        <w:tc>
          <w:tcPr>
            <w:tcW w:w="1276" w:type="dxa"/>
            <w:vAlign w:val="center"/>
          </w:tcPr>
          <w:p w:rsidR="00FC05B7" w:rsidRDefault="00BC53E6">
            <w:pPr>
              <w:jc w:val="center"/>
            </w:pPr>
            <w:r>
              <w:rPr>
                <w:color w:val="000000"/>
                <w:sz w:val="24"/>
              </w:rPr>
              <w:t>-</w:t>
            </w:r>
          </w:p>
        </w:tc>
        <w:tc>
          <w:tcPr>
            <w:tcW w:w="850" w:type="dxa"/>
            <w:vAlign w:val="center"/>
          </w:tcPr>
          <w:p w:rsidR="00FC05B7" w:rsidRDefault="00BC53E6">
            <w:pPr>
              <w:jc w:val="center"/>
            </w:pPr>
            <w:r>
              <w:rPr>
                <w:color w:val="000000"/>
                <w:sz w:val="24"/>
              </w:rPr>
              <w:t>11</w:t>
            </w:r>
            <w:r>
              <w:rPr>
                <w:color w:val="000000"/>
                <w:sz w:val="24"/>
              </w:rPr>
              <w:t>年</w:t>
            </w:r>
          </w:p>
        </w:tc>
        <w:tc>
          <w:tcPr>
            <w:tcW w:w="1418" w:type="dxa"/>
            <w:vAlign w:val="center"/>
          </w:tcPr>
          <w:p w:rsidR="00FC05B7" w:rsidRDefault="00BC53E6">
            <w:r>
              <w:rPr>
                <w:color w:val="000000"/>
                <w:sz w:val="24"/>
              </w:rPr>
              <w:t>硕士研究生，曾任华泰联合证券资产管理部研究员，易方达基金管理有限公司集中交易室交易员、指数与量化投资部指数基金运作专员、基金经理助理。</w:t>
            </w:r>
          </w:p>
        </w:tc>
      </w:tr>
    </w:tbl>
    <w:p w:rsidR="00FC05B7" w:rsidRDefault="00BC53E6">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w:t>
      </w:r>
      <w:r>
        <w:rPr>
          <w:color w:val="000000"/>
          <w:sz w:val="24"/>
        </w:rPr>
        <w:t>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13451" w:rsidRPr="00431EE1" w:rsidRDefault="00F13451" w:rsidP="00431EE1">
      <w:pPr>
        <w:spacing w:line="360" w:lineRule="auto"/>
        <w:ind w:firstLineChars="200" w:firstLine="480"/>
        <w:rPr>
          <w:color w:val="000000"/>
          <w:sz w:val="24"/>
        </w:rPr>
      </w:pPr>
      <w:r w:rsidRPr="0040658E">
        <w:rPr>
          <w:color w:val="000000"/>
          <w:sz w:val="24"/>
        </w:rPr>
        <w:t>2.</w:t>
      </w:r>
      <w:r w:rsidRPr="0040658E">
        <w:rPr>
          <w:color w:val="000000"/>
          <w:sz w:val="24"/>
        </w:rPr>
        <w:t>证券从业的含义遵从《证券业从业人员资格管理办法》的相关规定。</w:t>
      </w:r>
    </w:p>
    <w:p w:rsidR="00F13451" w:rsidRPr="00820253" w:rsidRDefault="00F13451" w:rsidP="0029671E">
      <w:pPr>
        <w:adjustRightInd w:val="0"/>
        <w:snapToGrid w:val="0"/>
        <w:spacing w:line="360" w:lineRule="auto"/>
        <w:rPr>
          <w:rFonts w:ascii="宋体"/>
          <w:b/>
          <w:bCs/>
          <w:color w:val="000000"/>
          <w:sz w:val="24"/>
        </w:rPr>
      </w:pPr>
      <w:r w:rsidRPr="00820253">
        <w:rPr>
          <w:rFonts w:ascii="宋体" w:hAnsi="宋体"/>
          <w:b/>
          <w:bCs/>
          <w:color w:val="000000"/>
          <w:sz w:val="24"/>
        </w:rPr>
        <w:t>4.</w:t>
      </w:r>
      <w:r w:rsidRPr="00820253">
        <w:rPr>
          <w:rFonts w:ascii="宋体"/>
          <w:b/>
          <w:bCs/>
          <w:color w:val="000000"/>
          <w:sz w:val="24"/>
        </w:rPr>
        <w:t>2</w:t>
      </w:r>
      <w:r w:rsidRPr="00820253">
        <w:rPr>
          <w:rFonts w:ascii="宋体" w:hAnsi="宋体" w:hint="eastAsia"/>
          <w:b/>
          <w:bCs/>
          <w:color w:val="000000"/>
          <w:sz w:val="24"/>
        </w:rPr>
        <w:t>境外投资顾问为本基金提供投资建议的主要成员简介</w:t>
      </w:r>
    </w:p>
    <w:p w:rsidR="00F13451" w:rsidRPr="00431EE1" w:rsidRDefault="00F13451" w:rsidP="00431EE1">
      <w:pPr>
        <w:spacing w:line="360" w:lineRule="auto"/>
        <w:ind w:firstLineChars="200" w:firstLine="480"/>
        <w:rPr>
          <w:color w:val="000000"/>
          <w:sz w:val="24"/>
        </w:rPr>
      </w:pPr>
      <w:r w:rsidRPr="0040658E">
        <w:rPr>
          <w:color w:val="000000"/>
          <w:sz w:val="24"/>
        </w:rPr>
        <w:t>本基金未聘请境外投资顾问。</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4.3</w:t>
      </w:r>
      <w:r w:rsidRPr="00820253">
        <w:rPr>
          <w:rFonts w:ascii="宋体" w:hAnsi="宋体" w:cs="Arial" w:hint="eastAsia"/>
          <w:b/>
          <w:color w:val="000000"/>
          <w:kern w:val="0"/>
          <w:sz w:val="24"/>
        </w:rPr>
        <w:t>报告期内本基金运作遵规守信情况说明</w:t>
      </w:r>
    </w:p>
    <w:p w:rsidR="00F13451" w:rsidRPr="00431EE1" w:rsidRDefault="00F13451" w:rsidP="00431EE1">
      <w:pPr>
        <w:spacing w:line="360" w:lineRule="auto"/>
        <w:ind w:firstLineChars="200" w:firstLine="480"/>
        <w:rPr>
          <w:color w:val="000000"/>
          <w:sz w:val="24"/>
        </w:rPr>
      </w:pPr>
      <w:r w:rsidRPr="0040658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4.4</w:t>
      </w:r>
      <w:r w:rsidRPr="00820253">
        <w:rPr>
          <w:rFonts w:ascii="宋体" w:hAnsi="宋体" w:cs="Arial" w:hint="eastAsia"/>
          <w:b/>
          <w:color w:val="000000"/>
          <w:kern w:val="0"/>
          <w:sz w:val="24"/>
        </w:rPr>
        <w:t>公平交易专项说明</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1</w:t>
      </w:r>
      <w:r w:rsidRPr="00820253">
        <w:rPr>
          <w:rFonts w:ascii="宋体" w:hAnsi="宋体" w:hint="eastAsia"/>
          <w:sz w:val="24"/>
        </w:rPr>
        <w:t>公平交易制度的执行情况</w:t>
      </w:r>
    </w:p>
    <w:p w:rsidR="00F13451" w:rsidRPr="0040658E" w:rsidRDefault="00F13451" w:rsidP="00476756">
      <w:pPr>
        <w:spacing w:line="360" w:lineRule="auto"/>
        <w:ind w:firstLineChars="200" w:firstLine="480"/>
        <w:rPr>
          <w:color w:val="000000"/>
          <w:sz w:val="24"/>
        </w:rPr>
      </w:pPr>
      <w:r w:rsidRPr="0040658E">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2</w:t>
      </w:r>
      <w:r w:rsidRPr="00820253">
        <w:rPr>
          <w:rFonts w:ascii="宋体" w:hAnsi="宋体" w:hint="eastAsia"/>
          <w:sz w:val="24"/>
        </w:rPr>
        <w:t>异常交易行为的专项说明</w:t>
      </w:r>
    </w:p>
    <w:p w:rsidR="00FC05B7" w:rsidRDefault="00BC53E6">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13451" w:rsidRPr="00431EE1" w:rsidRDefault="00F13451" w:rsidP="00431EE1">
      <w:pPr>
        <w:spacing w:line="360" w:lineRule="auto"/>
        <w:ind w:firstLineChars="200" w:firstLine="480"/>
        <w:rPr>
          <w:color w:val="000000"/>
          <w:sz w:val="24"/>
        </w:rPr>
      </w:pPr>
      <w:r w:rsidRPr="0040658E">
        <w:rPr>
          <w:color w:val="000000"/>
          <w:sz w:val="24"/>
        </w:rPr>
        <w:t>本报告期内，未发现本基金有可能导致不公平交易和利益输送的异常交易。</w:t>
      </w:r>
    </w:p>
    <w:p w:rsidR="003E3A5C" w:rsidRDefault="00F13451" w:rsidP="003E3A5C">
      <w:pPr>
        <w:autoSpaceDE w:val="0"/>
        <w:autoSpaceDN w:val="0"/>
        <w:adjustRightInd w:val="0"/>
        <w:spacing w:line="360" w:lineRule="auto"/>
        <w:jc w:val="left"/>
        <w:rPr>
          <w:sz w:val="24"/>
        </w:rPr>
      </w:pPr>
      <w:r w:rsidRPr="00820253">
        <w:rPr>
          <w:rFonts w:ascii="宋体" w:hAnsi="宋体" w:cs="Arial"/>
          <w:b/>
          <w:color w:val="000000"/>
          <w:kern w:val="0"/>
          <w:sz w:val="24"/>
        </w:rPr>
        <w:t>4.5</w:t>
      </w:r>
      <w:r w:rsidR="003E3A5C">
        <w:rPr>
          <w:rFonts w:hint="eastAsia"/>
          <w:b/>
          <w:color w:val="000000"/>
          <w:kern w:val="0"/>
          <w:sz w:val="24"/>
        </w:rPr>
        <w:t>报告期内基金的投资策略和业绩表现说明</w:t>
      </w:r>
    </w:p>
    <w:p w:rsidR="00FC05B7" w:rsidRDefault="00BC53E6">
      <w:pPr>
        <w:spacing w:line="360" w:lineRule="auto"/>
        <w:ind w:firstLineChars="200" w:firstLine="480"/>
        <w:rPr>
          <w:color w:val="000000"/>
          <w:sz w:val="24"/>
        </w:rPr>
      </w:pPr>
      <w:r>
        <w:rPr>
          <w:color w:val="000000"/>
          <w:sz w:val="24"/>
        </w:rPr>
        <w:t>回顾</w:t>
      </w:r>
      <w:r>
        <w:rPr>
          <w:color w:val="000000"/>
          <w:sz w:val="24"/>
        </w:rPr>
        <w:t>2019</w:t>
      </w:r>
      <w:r>
        <w:rPr>
          <w:color w:val="000000"/>
          <w:sz w:val="24"/>
        </w:rPr>
        <w:t>年三季度，全球经济增长动能放缓，美国经济面临的压力进一步加大，就业和制造业</w:t>
      </w:r>
      <w:r>
        <w:rPr>
          <w:color w:val="000000"/>
          <w:sz w:val="24"/>
        </w:rPr>
        <w:t>PMI</w:t>
      </w:r>
      <w:r>
        <w:rPr>
          <w:color w:val="000000"/>
          <w:sz w:val="24"/>
        </w:rPr>
        <w:t>等宏观经济指标不达预期，美股企业盈利增速预计放缓。美联储</w:t>
      </w:r>
      <w:r>
        <w:rPr>
          <w:color w:val="000000"/>
          <w:sz w:val="24"/>
        </w:rPr>
        <w:t>7</w:t>
      </w:r>
      <w:r>
        <w:rPr>
          <w:color w:val="000000"/>
          <w:sz w:val="24"/>
        </w:rPr>
        <w:t>月如期降息但指引偏鹰派，紧随其后的贸易摩擦升级推升了市场的避险情绪，美债收益率出现了倒挂的情形。</w:t>
      </w:r>
      <w:r>
        <w:rPr>
          <w:color w:val="000000"/>
          <w:sz w:val="24"/>
        </w:rPr>
        <w:t>9</w:t>
      </w:r>
      <w:r>
        <w:rPr>
          <w:color w:val="000000"/>
          <w:sz w:val="24"/>
        </w:rPr>
        <w:t>月以来，美联储再次降息</w:t>
      </w:r>
      <w:r>
        <w:rPr>
          <w:color w:val="000000"/>
          <w:sz w:val="24"/>
        </w:rPr>
        <w:t>0.25%</w:t>
      </w:r>
      <w:r>
        <w:rPr>
          <w:color w:val="000000"/>
          <w:sz w:val="24"/>
        </w:rPr>
        <w:t>，货币宽松节奏加快，中美贸易谈判前景仍然充满不确定性。受此影响，美股三季度波动较大，美国大选前医保政策的动向对医疗保健企业的表现有所影响，科技板块对全球贸易比较敏感，波动更为明显。</w:t>
      </w:r>
    </w:p>
    <w:p w:rsidR="00FC05B7" w:rsidRDefault="00BC53E6">
      <w:pPr>
        <w:spacing w:line="360" w:lineRule="auto"/>
        <w:ind w:firstLineChars="200" w:firstLine="480"/>
        <w:rPr>
          <w:color w:val="000000"/>
          <w:sz w:val="24"/>
        </w:rPr>
      </w:pPr>
      <w:r>
        <w:rPr>
          <w:color w:val="000000"/>
          <w:sz w:val="24"/>
        </w:rPr>
        <w:t>作为追踪纳斯达克</w:t>
      </w:r>
      <w:r>
        <w:rPr>
          <w:color w:val="000000"/>
          <w:sz w:val="24"/>
        </w:rPr>
        <w:t>1</w:t>
      </w:r>
      <w:r>
        <w:rPr>
          <w:color w:val="000000"/>
          <w:sz w:val="24"/>
        </w:rPr>
        <w:t>00</w:t>
      </w:r>
      <w:r>
        <w:rPr>
          <w:color w:val="000000"/>
          <w:sz w:val="24"/>
        </w:rPr>
        <w:t>指数的被动式海外指数基金，本基金采用完全复制法，力求追踪误差最小化。</w:t>
      </w:r>
    </w:p>
    <w:p w:rsidR="00F13451" w:rsidRPr="00431EE1" w:rsidRDefault="003E3A5C" w:rsidP="00F95B9D">
      <w:pPr>
        <w:spacing w:line="360" w:lineRule="auto"/>
        <w:ind w:firstLineChars="200" w:firstLine="480"/>
        <w:rPr>
          <w:color w:val="000000"/>
          <w:sz w:val="24"/>
        </w:rPr>
      </w:pPr>
      <w:r>
        <w:rPr>
          <w:color w:val="000000"/>
          <w:sz w:val="24"/>
        </w:rPr>
        <w:t>截至报告期末，本基金份额净值为</w:t>
      </w:r>
      <w:r>
        <w:rPr>
          <w:color w:val="000000"/>
          <w:sz w:val="24"/>
        </w:rPr>
        <w:t>1.3439</w:t>
      </w:r>
      <w:r>
        <w:rPr>
          <w:color w:val="000000"/>
          <w:sz w:val="24"/>
        </w:rPr>
        <w:t>元，本报告期份额净值增长率为</w:t>
      </w:r>
      <w:r>
        <w:rPr>
          <w:color w:val="000000"/>
          <w:sz w:val="24"/>
        </w:rPr>
        <w:t>3.83%</w:t>
      </w:r>
      <w:r>
        <w:rPr>
          <w:color w:val="000000"/>
          <w:sz w:val="24"/>
        </w:rPr>
        <w:t>，同期业绩比较基准收益率为</w:t>
      </w:r>
      <w:r>
        <w:rPr>
          <w:color w:val="000000"/>
          <w:sz w:val="24"/>
        </w:rPr>
        <w:t>3.76%</w:t>
      </w:r>
      <w:r>
        <w:rPr>
          <w:color w:val="000000"/>
          <w:sz w:val="24"/>
        </w:rPr>
        <w:t>，年化跟踪误差</w:t>
      </w:r>
      <w:r>
        <w:rPr>
          <w:color w:val="000000"/>
          <w:sz w:val="24"/>
        </w:rPr>
        <w:t>0.436%</w:t>
      </w:r>
      <w:r>
        <w:rPr>
          <w:color w:val="000000"/>
          <w:sz w:val="24"/>
        </w:rPr>
        <w:t>。</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5  </w:t>
      </w:r>
      <w:r w:rsidRPr="00820253">
        <w:rPr>
          <w:rFonts w:ascii="宋体" w:hAnsi="宋体" w:cs="Arial" w:hint="eastAsia"/>
          <w:color w:val="000000"/>
          <w:kern w:val="0"/>
          <w:sz w:val="24"/>
          <w:szCs w:val="24"/>
        </w:rPr>
        <w:t>投资组合报告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 </w:t>
      </w:r>
      <w:r w:rsidRPr="00820253">
        <w:rPr>
          <w:rFonts w:ascii="宋体" w:hAnsi="宋体" w:cs="Arial" w:hint="eastAsia"/>
          <w:b/>
          <w:color w:val="000000"/>
          <w:kern w:val="0"/>
          <w:sz w:val="24"/>
        </w:rPr>
        <w:t>报告期末基金资产组合情况</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552"/>
        <w:gridCol w:w="3402"/>
        <w:gridCol w:w="1701"/>
      </w:tblGrid>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序号</w:t>
            </w:r>
          </w:p>
        </w:tc>
        <w:tc>
          <w:tcPr>
            <w:tcW w:w="2552"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项目</w:t>
            </w:r>
          </w:p>
        </w:tc>
        <w:tc>
          <w:tcPr>
            <w:tcW w:w="3402"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金额</w:t>
            </w:r>
            <w:r w:rsidR="00284EC5" w:rsidRPr="00431EE1">
              <w:rPr>
                <w:color w:val="000000"/>
                <w:sz w:val="24"/>
              </w:rPr>
              <w:t>（</w:t>
            </w:r>
            <w:r w:rsidR="00284EC5" w:rsidRPr="00431EE1">
              <w:rPr>
                <w:color w:val="000000"/>
                <w:kern w:val="0"/>
                <w:sz w:val="24"/>
              </w:rPr>
              <w:t>人民币元</w:t>
            </w:r>
            <w:r w:rsidR="00284EC5" w:rsidRPr="00431EE1">
              <w:rPr>
                <w:color w:val="000000"/>
                <w:sz w:val="24"/>
              </w:rPr>
              <w:t>）</w:t>
            </w:r>
          </w:p>
        </w:tc>
        <w:tc>
          <w:tcPr>
            <w:tcW w:w="1701"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占基金总资产的比例</w:t>
            </w:r>
            <w:r w:rsidR="00284EC5" w:rsidRPr="00431EE1">
              <w:rPr>
                <w:color w:val="000000"/>
                <w:sz w:val="24"/>
              </w:rPr>
              <w:t>（</w:t>
            </w:r>
            <w:r w:rsidR="00284EC5" w:rsidRPr="00431EE1">
              <w:rPr>
                <w:color w:val="000000"/>
                <w:sz w:val="24"/>
              </w:rPr>
              <w:t>%</w:t>
            </w:r>
            <w:r w:rsidR="00284EC5"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1</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权益投资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103,527,428.00</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91.32</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其中：普通股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102,227,439.80</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90.17</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存托凭证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1,299,988.20</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1.15</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优先股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房地产信托</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2</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基金投资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3</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固定收益投资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其中：债券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476756">
            <w:pPr>
              <w:autoSpaceDE w:val="0"/>
              <w:autoSpaceDN w:val="0"/>
              <w:adjustRightInd w:val="0"/>
              <w:spacing w:before="29" w:line="360" w:lineRule="auto"/>
              <w:ind w:left="17" w:firstLineChars="300" w:firstLine="720"/>
              <w:jc w:val="left"/>
              <w:rPr>
                <w:color w:val="000000"/>
                <w:sz w:val="24"/>
              </w:rPr>
            </w:pPr>
            <w:r w:rsidRPr="00431EE1">
              <w:rPr>
                <w:color w:val="000000"/>
                <w:sz w:val="24"/>
              </w:rPr>
              <w:t>资产支持证券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4</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金融衍生品投资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其中：远期</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Del="00455464" w:rsidRDefault="00F13451" w:rsidP="00476756">
            <w:pPr>
              <w:adjustRightInd w:val="0"/>
              <w:snapToGrid w:val="0"/>
              <w:spacing w:line="400" w:lineRule="exact"/>
              <w:ind w:firstLineChars="300" w:firstLine="720"/>
              <w:rPr>
                <w:color w:val="000000"/>
                <w:sz w:val="24"/>
              </w:rPr>
            </w:pPr>
            <w:r w:rsidRPr="00431EE1">
              <w:rPr>
                <w:color w:val="000000"/>
                <w:sz w:val="24"/>
              </w:rPr>
              <w:t>期货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300" w:firstLine="720"/>
              <w:rPr>
                <w:color w:val="000000"/>
                <w:sz w:val="24"/>
              </w:rPr>
            </w:pPr>
            <w:r w:rsidRPr="00431EE1">
              <w:rPr>
                <w:color w:val="000000"/>
                <w:sz w:val="24"/>
              </w:rPr>
              <w:t>期权</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298" w:firstLine="715"/>
              <w:rPr>
                <w:color w:val="000000"/>
                <w:sz w:val="24"/>
              </w:rPr>
            </w:pPr>
            <w:r w:rsidRPr="00431EE1">
              <w:rPr>
                <w:color w:val="000000"/>
                <w:sz w:val="24"/>
              </w:rPr>
              <w:t>权证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5</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其中：买断式回购的买入返售金融资产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6</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货币市场工具</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7</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银行存款和结算备付金合计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9,283,066.03</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8.19</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8</w:t>
            </w:r>
          </w:p>
        </w:tc>
        <w:tc>
          <w:tcPr>
            <w:tcW w:w="2552" w:type="dxa"/>
            <w:vAlign w:val="center"/>
          </w:tcPr>
          <w:p w:rsidR="00F13451" w:rsidRPr="00431EE1" w:rsidRDefault="00F13451" w:rsidP="00780E33">
            <w:pPr>
              <w:jc w:val="left"/>
              <w:rPr>
                <w:sz w:val="24"/>
              </w:rPr>
            </w:pPr>
            <w:r w:rsidRPr="00431EE1">
              <w:rPr>
                <w:color w:val="000000"/>
                <w:sz w:val="24"/>
              </w:rPr>
              <w:t>其他资产</w:t>
            </w:r>
          </w:p>
        </w:tc>
        <w:tc>
          <w:tcPr>
            <w:tcW w:w="3402" w:type="dxa"/>
            <w:vAlign w:val="center"/>
          </w:tcPr>
          <w:p w:rsidR="00F13451" w:rsidRPr="00431EE1" w:rsidRDefault="00F13451" w:rsidP="00780E33">
            <w:pPr>
              <w:jc w:val="right"/>
              <w:rPr>
                <w:color w:val="000000"/>
                <w:sz w:val="24"/>
              </w:rPr>
            </w:pPr>
            <w:r w:rsidRPr="00431EE1">
              <w:rPr>
                <w:color w:val="000000"/>
                <w:sz w:val="24"/>
              </w:rPr>
              <w:t>560,993.61</w:t>
            </w:r>
          </w:p>
        </w:tc>
        <w:tc>
          <w:tcPr>
            <w:tcW w:w="1701" w:type="dxa"/>
            <w:vAlign w:val="center"/>
          </w:tcPr>
          <w:p w:rsidR="00F13451" w:rsidRPr="00431EE1" w:rsidRDefault="00F13451" w:rsidP="00780E33">
            <w:pPr>
              <w:jc w:val="right"/>
              <w:rPr>
                <w:color w:val="000000"/>
                <w:sz w:val="24"/>
              </w:rPr>
            </w:pPr>
            <w:r w:rsidRPr="00431EE1">
              <w:rPr>
                <w:color w:val="000000"/>
                <w:sz w:val="24"/>
              </w:rPr>
              <w:t>0.49</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9</w:t>
            </w:r>
          </w:p>
        </w:tc>
        <w:tc>
          <w:tcPr>
            <w:tcW w:w="2552" w:type="dxa"/>
            <w:vAlign w:val="center"/>
          </w:tcPr>
          <w:p w:rsidR="00F13451" w:rsidRPr="00431EE1" w:rsidRDefault="00F13451" w:rsidP="00780E33">
            <w:pPr>
              <w:jc w:val="left"/>
              <w:rPr>
                <w:sz w:val="24"/>
              </w:rPr>
            </w:pPr>
            <w:r w:rsidRPr="00431EE1">
              <w:rPr>
                <w:color w:val="000000"/>
                <w:sz w:val="24"/>
              </w:rPr>
              <w:t>合计</w:t>
            </w:r>
          </w:p>
        </w:tc>
        <w:tc>
          <w:tcPr>
            <w:tcW w:w="3402" w:type="dxa"/>
            <w:vAlign w:val="center"/>
          </w:tcPr>
          <w:p w:rsidR="00F13451" w:rsidRPr="00431EE1" w:rsidRDefault="00F13451" w:rsidP="00780E33">
            <w:pPr>
              <w:jc w:val="right"/>
              <w:rPr>
                <w:color w:val="000000"/>
                <w:sz w:val="24"/>
              </w:rPr>
            </w:pPr>
            <w:r w:rsidRPr="00431EE1">
              <w:rPr>
                <w:color w:val="000000"/>
                <w:sz w:val="24"/>
              </w:rPr>
              <w:t>113,371,487.64</w:t>
            </w:r>
          </w:p>
        </w:tc>
        <w:tc>
          <w:tcPr>
            <w:tcW w:w="1701" w:type="dxa"/>
            <w:vAlign w:val="center"/>
          </w:tcPr>
          <w:p w:rsidR="00F13451" w:rsidRPr="00431EE1" w:rsidRDefault="00F13451" w:rsidP="00780E33">
            <w:pPr>
              <w:jc w:val="right"/>
              <w:rPr>
                <w:color w:val="000000"/>
                <w:sz w:val="24"/>
              </w:rPr>
            </w:pPr>
            <w:r w:rsidRPr="00431EE1">
              <w:rPr>
                <w:color w:val="000000"/>
                <w:sz w:val="24"/>
              </w:rPr>
              <w:t>100.00</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5.2 </w:t>
      </w:r>
      <w:r w:rsidRPr="00820253">
        <w:rPr>
          <w:rFonts w:ascii="宋体" w:hAnsi="宋体" w:cs="Arial" w:hint="eastAsia"/>
          <w:b/>
          <w:color w:val="000000"/>
          <w:kern w:val="0"/>
          <w:sz w:val="24"/>
        </w:rPr>
        <w:t>报告期末在各个国家（地区）证券市场的股票及存托凭证投资分布</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8"/>
        <w:gridCol w:w="3076"/>
      </w:tblGrid>
      <w:tr w:rsidR="00F13451" w:rsidTr="00E35496">
        <w:trPr>
          <w:jc w:val="center"/>
        </w:trPr>
        <w:tc>
          <w:tcPr>
            <w:tcW w:w="2410"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国家（地区）</w:t>
            </w:r>
          </w:p>
        </w:tc>
        <w:tc>
          <w:tcPr>
            <w:tcW w:w="3118" w:type="dxa"/>
            <w:vAlign w:val="center"/>
          </w:tcPr>
          <w:p w:rsidR="00F13451" w:rsidRPr="00431EE1" w:rsidRDefault="00F13451" w:rsidP="00284EC5">
            <w:pPr>
              <w:autoSpaceDE w:val="0"/>
              <w:autoSpaceDN w:val="0"/>
              <w:adjustRightInd w:val="0"/>
              <w:spacing w:before="29" w:line="360" w:lineRule="auto"/>
              <w:ind w:left="15"/>
              <w:jc w:val="center"/>
              <w:rPr>
                <w:color w:val="000000"/>
                <w:kern w:val="0"/>
                <w:sz w:val="24"/>
              </w:rPr>
            </w:pPr>
            <w:r w:rsidRPr="00431EE1">
              <w:rPr>
                <w:color w:val="000000"/>
                <w:kern w:val="0"/>
                <w:sz w:val="24"/>
              </w:rPr>
              <w:t>公允价值</w:t>
            </w:r>
            <w:r w:rsidR="00284EC5" w:rsidRPr="00431EE1">
              <w:rPr>
                <w:color w:val="000000"/>
                <w:kern w:val="0"/>
                <w:sz w:val="24"/>
              </w:rPr>
              <w:t>（人民币元）</w:t>
            </w:r>
          </w:p>
        </w:tc>
        <w:tc>
          <w:tcPr>
            <w:tcW w:w="3076"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占基金资产净值比例（％）</w:t>
            </w:r>
          </w:p>
        </w:tc>
      </w:tr>
      <w:tr w:rsidR="00FC05B7">
        <w:trPr>
          <w:jc w:val="center"/>
        </w:trPr>
        <w:tc>
          <w:tcPr>
            <w:tcW w:w="2410" w:type="dxa"/>
            <w:vAlign w:val="center"/>
          </w:tcPr>
          <w:p w:rsidR="00FC05B7" w:rsidRDefault="00BC53E6">
            <w:pPr>
              <w:jc w:val="left"/>
            </w:pPr>
            <w:r>
              <w:rPr>
                <w:color w:val="000000"/>
                <w:sz w:val="24"/>
              </w:rPr>
              <w:t>美国</w:t>
            </w:r>
          </w:p>
        </w:tc>
        <w:tc>
          <w:tcPr>
            <w:tcW w:w="3118" w:type="dxa"/>
            <w:vAlign w:val="center"/>
          </w:tcPr>
          <w:p w:rsidR="00FC05B7" w:rsidRDefault="00BC53E6">
            <w:pPr>
              <w:jc w:val="right"/>
            </w:pPr>
            <w:r>
              <w:rPr>
                <w:color w:val="000000"/>
                <w:sz w:val="24"/>
              </w:rPr>
              <w:t>103,527,428.00</w:t>
            </w:r>
          </w:p>
        </w:tc>
        <w:tc>
          <w:tcPr>
            <w:tcW w:w="3076" w:type="dxa"/>
            <w:vAlign w:val="center"/>
          </w:tcPr>
          <w:p w:rsidR="00FC05B7" w:rsidRDefault="00BC53E6">
            <w:pPr>
              <w:jc w:val="right"/>
            </w:pPr>
            <w:r>
              <w:rPr>
                <w:color w:val="000000"/>
                <w:sz w:val="24"/>
              </w:rPr>
              <w:t>94.94</w:t>
            </w:r>
          </w:p>
        </w:tc>
      </w:tr>
      <w:tr w:rsidR="00F13451" w:rsidTr="00E35496">
        <w:trPr>
          <w:jc w:val="center"/>
        </w:trPr>
        <w:tc>
          <w:tcPr>
            <w:tcW w:w="2410" w:type="dxa"/>
          </w:tcPr>
          <w:p w:rsidR="00F13451" w:rsidRPr="00431EE1" w:rsidRDefault="00F13451" w:rsidP="00E35496">
            <w:pPr>
              <w:autoSpaceDE w:val="0"/>
              <w:autoSpaceDN w:val="0"/>
              <w:adjustRightInd w:val="0"/>
              <w:spacing w:before="29" w:line="360" w:lineRule="auto"/>
              <w:jc w:val="center"/>
              <w:rPr>
                <w:color w:val="000000"/>
                <w:sz w:val="24"/>
              </w:rPr>
            </w:pPr>
            <w:r w:rsidRPr="00431EE1">
              <w:rPr>
                <w:color w:val="000000"/>
                <w:sz w:val="24"/>
              </w:rPr>
              <w:t>合计</w:t>
            </w:r>
          </w:p>
        </w:tc>
        <w:tc>
          <w:tcPr>
            <w:tcW w:w="3118"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103,527,428.00</w:t>
            </w:r>
          </w:p>
        </w:tc>
        <w:tc>
          <w:tcPr>
            <w:tcW w:w="3076"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94.94</w:t>
            </w:r>
          </w:p>
        </w:tc>
      </w:tr>
    </w:tbl>
    <w:p w:rsidR="00FC05B7" w:rsidRDefault="00BC53E6">
      <w:pPr>
        <w:spacing w:line="360" w:lineRule="auto"/>
        <w:ind w:firstLineChars="200" w:firstLine="480"/>
        <w:rPr>
          <w:color w:val="000000"/>
          <w:sz w:val="24"/>
        </w:rPr>
      </w:pPr>
      <w:r>
        <w:rPr>
          <w:color w:val="000000"/>
          <w:sz w:val="24"/>
        </w:rPr>
        <w:t>注：</w:t>
      </w:r>
      <w:r>
        <w:rPr>
          <w:color w:val="000000"/>
          <w:sz w:val="24"/>
        </w:rPr>
        <w:t>1.</w:t>
      </w:r>
      <w:r>
        <w:rPr>
          <w:color w:val="000000"/>
          <w:sz w:val="24"/>
        </w:rPr>
        <w:t>国家（地区）类别根据其所在的证券交易所确定。</w:t>
      </w:r>
    </w:p>
    <w:p w:rsidR="00F13451" w:rsidRPr="00431EE1" w:rsidRDefault="00F13451" w:rsidP="00431EE1">
      <w:pPr>
        <w:spacing w:line="360" w:lineRule="auto"/>
        <w:ind w:firstLineChars="200" w:firstLine="480"/>
        <w:rPr>
          <w:color w:val="000000"/>
          <w:sz w:val="24"/>
        </w:rPr>
      </w:pPr>
      <w:r w:rsidRPr="0040658E">
        <w:rPr>
          <w:color w:val="000000"/>
          <w:sz w:val="24"/>
        </w:rPr>
        <w:t>2.ADR</w:t>
      </w:r>
      <w:r w:rsidRPr="0040658E">
        <w:rPr>
          <w:color w:val="000000"/>
          <w:sz w:val="24"/>
        </w:rPr>
        <w:t>、</w:t>
      </w:r>
      <w:r w:rsidRPr="0040658E">
        <w:rPr>
          <w:color w:val="000000"/>
          <w:sz w:val="24"/>
        </w:rPr>
        <w:t>GDR</w:t>
      </w:r>
      <w:r w:rsidRPr="0040658E">
        <w:rPr>
          <w:color w:val="000000"/>
          <w:sz w:val="24"/>
        </w:rPr>
        <w:t>按照存托凭证本身挂牌的证券交易所确定。</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5.3 </w:t>
      </w:r>
      <w:r w:rsidRPr="002149AE">
        <w:rPr>
          <w:rFonts w:ascii="宋体" w:hAnsi="宋体" w:cs="Arial" w:hint="eastAsia"/>
          <w:b/>
          <w:color w:val="000000"/>
          <w:kern w:val="0"/>
          <w:sz w:val="24"/>
        </w:rPr>
        <w:t>报告期末按行业分类的股票及存托凭证投资组合</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551"/>
        <w:gridCol w:w="3175"/>
      </w:tblGrid>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行业类别</w:t>
            </w:r>
          </w:p>
        </w:tc>
        <w:tc>
          <w:tcPr>
            <w:tcW w:w="2551"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3175"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FC05B7">
        <w:tc>
          <w:tcPr>
            <w:tcW w:w="2787" w:type="dxa"/>
            <w:vAlign w:val="center"/>
          </w:tcPr>
          <w:p w:rsidR="00FC05B7" w:rsidRDefault="00BC53E6">
            <w:pPr>
              <w:jc w:val="left"/>
            </w:pPr>
            <w:r>
              <w:rPr>
                <w:color w:val="000000"/>
                <w:sz w:val="24"/>
              </w:rPr>
              <w:t>能源</w:t>
            </w:r>
          </w:p>
        </w:tc>
        <w:tc>
          <w:tcPr>
            <w:tcW w:w="2551" w:type="dxa"/>
            <w:vAlign w:val="center"/>
          </w:tcPr>
          <w:p w:rsidR="00FC05B7" w:rsidRDefault="00BC53E6">
            <w:pPr>
              <w:jc w:val="right"/>
            </w:pPr>
            <w:r>
              <w:rPr>
                <w:color w:val="000000"/>
                <w:sz w:val="24"/>
              </w:rPr>
              <w:t>-</w:t>
            </w:r>
          </w:p>
        </w:tc>
        <w:tc>
          <w:tcPr>
            <w:tcW w:w="3175" w:type="dxa"/>
            <w:vAlign w:val="center"/>
          </w:tcPr>
          <w:p w:rsidR="00FC05B7" w:rsidRDefault="00BC53E6">
            <w:pPr>
              <w:jc w:val="right"/>
            </w:pPr>
            <w:r>
              <w:rPr>
                <w:color w:val="000000"/>
                <w:sz w:val="24"/>
              </w:rPr>
              <w:t>-</w:t>
            </w:r>
          </w:p>
        </w:tc>
      </w:tr>
      <w:tr w:rsidR="00FC05B7">
        <w:tc>
          <w:tcPr>
            <w:tcW w:w="2787" w:type="dxa"/>
            <w:vAlign w:val="center"/>
          </w:tcPr>
          <w:p w:rsidR="00FC05B7" w:rsidRDefault="00BC53E6">
            <w:pPr>
              <w:jc w:val="left"/>
            </w:pPr>
            <w:r>
              <w:rPr>
                <w:color w:val="000000"/>
                <w:sz w:val="24"/>
              </w:rPr>
              <w:t>材料</w:t>
            </w:r>
          </w:p>
        </w:tc>
        <w:tc>
          <w:tcPr>
            <w:tcW w:w="2551" w:type="dxa"/>
            <w:vAlign w:val="center"/>
          </w:tcPr>
          <w:p w:rsidR="00FC05B7" w:rsidRDefault="00BC53E6">
            <w:pPr>
              <w:jc w:val="right"/>
            </w:pPr>
            <w:r>
              <w:rPr>
                <w:color w:val="000000"/>
                <w:sz w:val="24"/>
              </w:rPr>
              <w:t>-</w:t>
            </w:r>
          </w:p>
        </w:tc>
        <w:tc>
          <w:tcPr>
            <w:tcW w:w="3175" w:type="dxa"/>
            <w:vAlign w:val="center"/>
          </w:tcPr>
          <w:p w:rsidR="00FC05B7" w:rsidRDefault="00BC53E6">
            <w:pPr>
              <w:jc w:val="right"/>
            </w:pPr>
            <w:r>
              <w:rPr>
                <w:color w:val="000000"/>
                <w:sz w:val="24"/>
              </w:rPr>
              <w:t>-</w:t>
            </w:r>
          </w:p>
        </w:tc>
      </w:tr>
      <w:tr w:rsidR="00FC05B7">
        <w:tc>
          <w:tcPr>
            <w:tcW w:w="2787" w:type="dxa"/>
            <w:vAlign w:val="center"/>
          </w:tcPr>
          <w:p w:rsidR="00FC05B7" w:rsidRDefault="00BC53E6">
            <w:pPr>
              <w:jc w:val="left"/>
            </w:pPr>
            <w:r>
              <w:rPr>
                <w:color w:val="000000"/>
                <w:sz w:val="24"/>
              </w:rPr>
              <w:t>工业</w:t>
            </w:r>
          </w:p>
        </w:tc>
        <w:tc>
          <w:tcPr>
            <w:tcW w:w="2551" w:type="dxa"/>
            <w:vAlign w:val="center"/>
          </w:tcPr>
          <w:p w:rsidR="00FC05B7" w:rsidRDefault="00BC53E6">
            <w:pPr>
              <w:jc w:val="right"/>
            </w:pPr>
            <w:r>
              <w:rPr>
                <w:color w:val="000000"/>
                <w:sz w:val="24"/>
              </w:rPr>
              <w:t>2,377,181.17</w:t>
            </w:r>
          </w:p>
        </w:tc>
        <w:tc>
          <w:tcPr>
            <w:tcW w:w="3175" w:type="dxa"/>
            <w:vAlign w:val="center"/>
          </w:tcPr>
          <w:p w:rsidR="00FC05B7" w:rsidRDefault="00BC53E6">
            <w:pPr>
              <w:jc w:val="right"/>
            </w:pPr>
            <w:r>
              <w:rPr>
                <w:color w:val="000000"/>
                <w:sz w:val="24"/>
              </w:rPr>
              <w:t>2.18</w:t>
            </w:r>
          </w:p>
        </w:tc>
      </w:tr>
      <w:tr w:rsidR="00FC05B7">
        <w:tc>
          <w:tcPr>
            <w:tcW w:w="2787" w:type="dxa"/>
            <w:vAlign w:val="center"/>
          </w:tcPr>
          <w:p w:rsidR="00FC05B7" w:rsidRDefault="00BC53E6">
            <w:pPr>
              <w:jc w:val="left"/>
            </w:pPr>
            <w:r>
              <w:rPr>
                <w:color w:val="000000"/>
                <w:sz w:val="24"/>
              </w:rPr>
              <w:t>非必需消费品</w:t>
            </w:r>
          </w:p>
        </w:tc>
        <w:tc>
          <w:tcPr>
            <w:tcW w:w="2551" w:type="dxa"/>
            <w:vAlign w:val="center"/>
          </w:tcPr>
          <w:p w:rsidR="00FC05B7" w:rsidRDefault="00BC53E6">
            <w:pPr>
              <w:jc w:val="right"/>
            </w:pPr>
            <w:r>
              <w:rPr>
                <w:color w:val="000000"/>
                <w:sz w:val="24"/>
              </w:rPr>
              <w:t>16,527,765.30</w:t>
            </w:r>
          </w:p>
        </w:tc>
        <w:tc>
          <w:tcPr>
            <w:tcW w:w="3175" w:type="dxa"/>
            <w:vAlign w:val="center"/>
          </w:tcPr>
          <w:p w:rsidR="00FC05B7" w:rsidRDefault="00BC53E6">
            <w:pPr>
              <w:jc w:val="right"/>
            </w:pPr>
            <w:r>
              <w:rPr>
                <w:color w:val="000000"/>
                <w:sz w:val="24"/>
              </w:rPr>
              <w:t>15.16</w:t>
            </w:r>
          </w:p>
        </w:tc>
      </w:tr>
      <w:tr w:rsidR="00FC05B7">
        <w:tc>
          <w:tcPr>
            <w:tcW w:w="2787" w:type="dxa"/>
            <w:vAlign w:val="center"/>
          </w:tcPr>
          <w:p w:rsidR="00FC05B7" w:rsidRDefault="00BC53E6">
            <w:pPr>
              <w:jc w:val="left"/>
            </w:pPr>
            <w:r>
              <w:rPr>
                <w:color w:val="000000"/>
                <w:sz w:val="24"/>
              </w:rPr>
              <w:t>必需消费品</w:t>
            </w:r>
          </w:p>
        </w:tc>
        <w:tc>
          <w:tcPr>
            <w:tcW w:w="2551" w:type="dxa"/>
            <w:vAlign w:val="center"/>
          </w:tcPr>
          <w:p w:rsidR="00FC05B7" w:rsidRDefault="00BC53E6">
            <w:pPr>
              <w:jc w:val="right"/>
            </w:pPr>
            <w:r>
              <w:rPr>
                <w:color w:val="000000"/>
                <w:sz w:val="24"/>
              </w:rPr>
              <w:t>6,416,598.68</w:t>
            </w:r>
          </w:p>
        </w:tc>
        <w:tc>
          <w:tcPr>
            <w:tcW w:w="3175" w:type="dxa"/>
            <w:vAlign w:val="center"/>
          </w:tcPr>
          <w:p w:rsidR="00FC05B7" w:rsidRDefault="00BC53E6">
            <w:pPr>
              <w:jc w:val="right"/>
            </w:pPr>
            <w:r>
              <w:rPr>
                <w:color w:val="000000"/>
                <w:sz w:val="24"/>
              </w:rPr>
              <w:t>5.88</w:t>
            </w:r>
          </w:p>
        </w:tc>
      </w:tr>
      <w:tr w:rsidR="00FC05B7">
        <w:tc>
          <w:tcPr>
            <w:tcW w:w="2787" w:type="dxa"/>
            <w:vAlign w:val="center"/>
          </w:tcPr>
          <w:p w:rsidR="00FC05B7" w:rsidRDefault="00BC53E6">
            <w:pPr>
              <w:jc w:val="left"/>
            </w:pPr>
            <w:r>
              <w:rPr>
                <w:color w:val="000000"/>
                <w:sz w:val="24"/>
              </w:rPr>
              <w:t>保健</w:t>
            </w:r>
          </w:p>
        </w:tc>
        <w:tc>
          <w:tcPr>
            <w:tcW w:w="2551" w:type="dxa"/>
            <w:vAlign w:val="center"/>
          </w:tcPr>
          <w:p w:rsidR="00FC05B7" w:rsidRDefault="00BC53E6">
            <w:pPr>
              <w:jc w:val="right"/>
            </w:pPr>
            <w:r>
              <w:rPr>
                <w:color w:val="000000"/>
                <w:sz w:val="24"/>
              </w:rPr>
              <w:t>7,632,988.76</w:t>
            </w:r>
          </w:p>
        </w:tc>
        <w:tc>
          <w:tcPr>
            <w:tcW w:w="3175" w:type="dxa"/>
            <w:vAlign w:val="center"/>
          </w:tcPr>
          <w:p w:rsidR="00FC05B7" w:rsidRDefault="00BC53E6">
            <w:pPr>
              <w:jc w:val="right"/>
            </w:pPr>
            <w:r>
              <w:rPr>
                <w:color w:val="000000"/>
                <w:sz w:val="24"/>
              </w:rPr>
              <w:t>7.00</w:t>
            </w:r>
          </w:p>
        </w:tc>
      </w:tr>
      <w:tr w:rsidR="00FC05B7">
        <w:tc>
          <w:tcPr>
            <w:tcW w:w="2787" w:type="dxa"/>
            <w:vAlign w:val="center"/>
          </w:tcPr>
          <w:p w:rsidR="00FC05B7" w:rsidRDefault="00BC53E6">
            <w:pPr>
              <w:jc w:val="left"/>
            </w:pPr>
            <w:r>
              <w:rPr>
                <w:color w:val="000000"/>
                <w:sz w:val="24"/>
              </w:rPr>
              <w:t>金融</w:t>
            </w:r>
          </w:p>
        </w:tc>
        <w:tc>
          <w:tcPr>
            <w:tcW w:w="2551" w:type="dxa"/>
            <w:vAlign w:val="center"/>
          </w:tcPr>
          <w:p w:rsidR="00FC05B7" w:rsidRDefault="00BC53E6">
            <w:pPr>
              <w:jc w:val="right"/>
            </w:pPr>
            <w:r>
              <w:rPr>
                <w:color w:val="000000"/>
                <w:sz w:val="24"/>
              </w:rPr>
              <w:t>311,187.51</w:t>
            </w:r>
          </w:p>
        </w:tc>
        <w:tc>
          <w:tcPr>
            <w:tcW w:w="3175" w:type="dxa"/>
            <w:vAlign w:val="center"/>
          </w:tcPr>
          <w:p w:rsidR="00FC05B7" w:rsidRDefault="00BC53E6">
            <w:pPr>
              <w:jc w:val="right"/>
            </w:pPr>
            <w:r>
              <w:rPr>
                <w:color w:val="000000"/>
                <w:sz w:val="24"/>
              </w:rPr>
              <w:t>0.29</w:t>
            </w:r>
          </w:p>
        </w:tc>
      </w:tr>
      <w:tr w:rsidR="00FC05B7">
        <w:tc>
          <w:tcPr>
            <w:tcW w:w="2787" w:type="dxa"/>
            <w:vAlign w:val="center"/>
          </w:tcPr>
          <w:p w:rsidR="00FC05B7" w:rsidRDefault="00BC53E6">
            <w:pPr>
              <w:jc w:val="left"/>
            </w:pPr>
            <w:r>
              <w:rPr>
                <w:color w:val="000000"/>
                <w:sz w:val="24"/>
              </w:rPr>
              <w:t>信息技术</w:t>
            </w:r>
          </w:p>
        </w:tc>
        <w:tc>
          <w:tcPr>
            <w:tcW w:w="2551" w:type="dxa"/>
            <w:vAlign w:val="center"/>
          </w:tcPr>
          <w:p w:rsidR="00FC05B7" w:rsidRDefault="00BC53E6">
            <w:pPr>
              <w:jc w:val="right"/>
            </w:pPr>
            <w:r>
              <w:rPr>
                <w:color w:val="000000"/>
                <w:sz w:val="24"/>
              </w:rPr>
              <w:t>47,542,990.70</w:t>
            </w:r>
          </w:p>
        </w:tc>
        <w:tc>
          <w:tcPr>
            <w:tcW w:w="3175" w:type="dxa"/>
            <w:vAlign w:val="center"/>
          </w:tcPr>
          <w:p w:rsidR="00FC05B7" w:rsidRDefault="00BC53E6">
            <w:pPr>
              <w:jc w:val="right"/>
            </w:pPr>
            <w:r>
              <w:rPr>
                <w:color w:val="000000"/>
                <w:sz w:val="24"/>
              </w:rPr>
              <w:t>43.60</w:t>
            </w:r>
          </w:p>
        </w:tc>
      </w:tr>
      <w:tr w:rsidR="00FC05B7">
        <w:tc>
          <w:tcPr>
            <w:tcW w:w="2787" w:type="dxa"/>
            <w:vAlign w:val="center"/>
          </w:tcPr>
          <w:p w:rsidR="00FC05B7" w:rsidRDefault="00BC53E6">
            <w:pPr>
              <w:jc w:val="left"/>
            </w:pPr>
            <w:r>
              <w:rPr>
                <w:color w:val="000000"/>
                <w:sz w:val="24"/>
              </w:rPr>
              <w:t>电信服务</w:t>
            </w:r>
          </w:p>
        </w:tc>
        <w:tc>
          <w:tcPr>
            <w:tcW w:w="2551" w:type="dxa"/>
            <w:vAlign w:val="center"/>
          </w:tcPr>
          <w:p w:rsidR="00FC05B7" w:rsidRDefault="00BC53E6">
            <w:pPr>
              <w:jc w:val="right"/>
            </w:pPr>
            <w:r>
              <w:rPr>
                <w:color w:val="000000"/>
                <w:sz w:val="24"/>
              </w:rPr>
              <w:t>22,300,143.92</w:t>
            </w:r>
          </w:p>
        </w:tc>
        <w:tc>
          <w:tcPr>
            <w:tcW w:w="3175" w:type="dxa"/>
            <w:vAlign w:val="center"/>
          </w:tcPr>
          <w:p w:rsidR="00FC05B7" w:rsidRDefault="00BC53E6">
            <w:pPr>
              <w:jc w:val="right"/>
            </w:pPr>
            <w:r>
              <w:rPr>
                <w:color w:val="000000"/>
                <w:sz w:val="24"/>
              </w:rPr>
              <w:t>20.45</w:t>
            </w:r>
          </w:p>
        </w:tc>
      </w:tr>
      <w:tr w:rsidR="00FC05B7">
        <w:tc>
          <w:tcPr>
            <w:tcW w:w="2787" w:type="dxa"/>
            <w:vAlign w:val="center"/>
          </w:tcPr>
          <w:p w:rsidR="00FC05B7" w:rsidRDefault="00BC53E6">
            <w:pPr>
              <w:jc w:val="left"/>
            </w:pPr>
            <w:r>
              <w:rPr>
                <w:color w:val="000000"/>
                <w:sz w:val="24"/>
              </w:rPr>
              <w:t>公用事业</w:t>
            </w:r>
          </w:p>
        </w:tc>
        <w:tc>
          <w:tcPr>
            <w:tcW w:w="2551" w:type="dxa"/>
            <w:vAlign w:val="center"/>
          </w:tcPr>
          <w:p w:rsidR="00FC05B7" w:rsidRDefault="00BC53E6">
            <w:pPr>
              <w:jc w:val="right"/>
            </w:pPr>
            <w:r>
              <w:rPr>
                <w:color w:val="000000"/>
                <w:sz w:val="24"/>
              </w:rPr>
              <w:t>418,571.96</w:t>
            </w:r>
          </w:p>
        </w:tc>
        <w:tc>
          <w:tcPr>
            <w:tcW w:w="3175" w:type="dxa"/>
            <w:vAlign w:val="center"/>
          </w:tcPr>
          <w:p w:rsidR="00FC05B7" w:rsidRDefault="00BC53E6">
            <w:pPr>
              <w:jc w:val="right"/>
            </w:pPr>
            <w:r>
              <w:rPr>
                <w:color w:val="000000"/>
                <w:sz w:val="24"/>
              </w:rPr>
              <w:t>0.38</w:t>
            </w:r>
          </w:p>
        </w:tc>
      </w:tr>
      <w:tr w:rsidR="00FC05B7">
        <w:tc>
          <w:tcPr>
            <w:tcW w:w="2787" w:type="dxa"/>
            <w:vAlign w:val="center"/>
          </w:tcPr>
          <w:p w:rsidR="00FC05B7" w:rsidRDefault="00BC53E6">
            <w:pPr>
              <w:jc w:val="left"/>
            </w:pPr>
            <w:r>
              <w:rPr>
                <w:color w:val="000000"/>
                <w:sz w:val="24"/>
              </w:rPr>
              <w:t>房地产</w:t>
            </w:r>
          </w:p>
        </w:tc>
        <w:tc>
          <w:tcPr>
            <w:tcW w:w="2551" w:type="dxa"/>
            <w:vAlign w:val="center"/>
          </w:tcPr>
          <w:p w:rsidR="00FC05B7" w:rsidRDefault="00BC53E6">
            <w:pPr>
              <w:jc w:val="right"/>
            </w:pPr>
            <w:r>
              <w:rPr>
                <w:color w:val="000000"/>
                <w:sz w:val="24"/>
              </w:rPr>
              <w:t>-</w:t>
            </w:r>
          </w:p>
        </w:tc>
        <w:tc>
          <w:tcPr>
            <w:tcW w:w="3175" w:type="dxa"/>
            <w:vAlign w:val="center"/>
          </w:tcPr>
          <w:p w:rsidR="00FC05B7" w:rsidRDefault="00BC53E6">
            <w:pPr>
              <w:jc w:val="right"/>
            </w:pPr>
            <w:r>
              <w:rPr>
                <w:color w:val="000000"/>
                <w:sz w:val="24"/>
              </w:rPr>
              <w:t>-</w:t>
            </w:r>
          </w:p>
        </w:tc>
      </w:tr>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sz w:val="24"/>
              </w:rPr>
            </w:pPr>
            <w:r w:rsidRPr="00A70EAB">
              <w:rPr>
                <w:color w:val="000000"/>
                <w:sz w:val="24"/>
              </w:rPr>
              <w:t>合计</w:t>
            </w:r>
          </w:p>
        </w:tc>
        <w:tc>
          <w:tcPr>
            <w:tcW w:w="2551"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103,527,428.00</w:t>
            </w:r>
          </w:p>
        </w:tc>
        <w:tc>
          <w:tcPr>
            <w:tcW w:w="3175"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94.94</w:t>
            </w:r>
          </w:p>
        </w:tc>
      </w:tr>
    </w:tbl>
    <w:p w:rsidR="00F33530" w:rsidRPr="00A70EAB" w:rsidRDefault="00F33530" w:rsidP="00F33530">
      <w:pPr>
        <w:spacing w:line="360" w:lineRule="auto"/>
        <w:ind w:firstLineChars="200" w:firstLine="480"/>
        <w:rPr>
          <w:color w:val="000000"/>
          <w:sz w:val="24"/>
        </w:rPr>
      </w:pPr>
      <w:r w:rsidRPr="00DB3360">
        <w:rPr>
          <w:color w:val="000000"/>
          <w:sz w:val="24"/>
        </w:rPr>
        <w:t>注：以上分类采用全球行业分类标准（</w:t>
      </w:r>
      <w:r w:rsidRPr="00DB3360">
        <w:rPr>
          <w:color w:val="000000"/>
          <w:sz w:val="24"/>
        </w:rPr>
        <w:t>GICS</w:t>
      </w:r>
      <w:r w:rsidRPr="00DB3360">
        <w:rPr>
          <w:color w:val="000000"/>
          <w:sz w:val="24"/>
        </w:rPr>
        <w:t>）。</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5.4 </w:t>
      </w:r>
      <w:r w:rsidRPr="002149AE">
        <w:rPr>
          <w:rFonts w:ascii="宋体" w:hAnsi="宋体" w:cs="Arial" w:hint="eastAsia"/>
          <w:b/>
          <w:color w:val="000000"/>
          <w:kern w:val="0"/>
          <w:sz w:val="24"/>
        </w:rPr>
        <w:t>报告期末按公允价值占基金资产净值比例大小排序的前十名股票及存托凭证投资明细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
        <w:gridCol w:w="1518"/>
        <w:gridCol w:w="706"/>
        <w:gridCol w:w="1058"/>
        <w:gridCol w:w="529"/>
        <w:gridCol w:w="719"/>
        <w:gridCol w:w="957"/>
        <w:gridCol w:w="1588"/>
        <w:gridCol w:w="957"/>
      </w:tblGrid>
      <w:tr w:rsidR="00F33530" w:rsidRPr="002149AE" w:rsidTr="006D780B">
        <w:tc>
          <w:tcPr>
            <w:tcW w:w="794"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序号</w:t>
            </w:r>
          </w:p>
        </w:tc>
        <w:tc>
          <w:tcPr>
            <w:tcW w:w="974"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公司名称（英文）</w:t>
            </w:r>
          </w:p>
        </w:tc>
        <w:tc>
          <w:tcPr>
            <w:tcW w:w="1019"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公司名称（中文）</w:t>
            </w:r>
          </w:p>
        </w:tc>
        <w:tc>
          <w:tcPr>
            <w:tcW w:w="703"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证券代码</w:t>
            </w:r>
          </w:p>
        </w:tc>
        <w:tc>
          <w:tcPr>
            <w:tcW w:w="793"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所在证</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券市场</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所属国家</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（地区</w:t>
            </w:r>
            <w:r w:rsidRPr="00A70EAB">
              <w:rPr>
                <w:color w:val="000000"/>
                <w:kern w:val="0"/>
                <w:sz w:val="24"/>
              </w:rPr>
              <w:t>)</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数量</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（股）</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FC05B7">
        <w:tc>
          <w:tcPr>
            <w:tcW w:w="0" w:type="auto"/>
            <w:vAlign w:val="center"/>
          </w:tcPr>
          <w:p w:rsidR="00FC05B7" w:rsidRDefault="00BC53E6">
            <w:pPr>
              <w:jc w:val="center"/>
            </w:pPr>
            <w:r>
              <w:rPr>
                <w:color w:val="000000"/>
                <w:sz w:val="24"/>
              </w:rPr>
              <w:t>1</w:t>
            </w:r>
          </w:p>
        </w:tc>
        <w:tc>
          <w:tcPr>
            <w:tcW w:w="0" w:type="auto"/>
            <w:vAlign w:val="center"/>
          </w:tcPr>
          <w:p w:rsidR="00FC05B7" w:rsidRDefault="00BC53E6">
            <w:pPr>
              <w:jc w:val="center"/>
            </w:pPr>
            <w:r>
              <w:rPr>
                <w:color w:val="000000"/>
                <w:sz w:val="24"/>
              </w:rPr>
              <w:t>Microsoft Corp</w:t>
            </w:r>
          </w:p>
        </w:tc>
        <w:tc>
          <w:tcPr>
            <w:tcW w:w="0" w:type="auto"/>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MSFT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12,192</w:t>
            </w:r>
          </w:p>
        </w:tc>
        <w:tc>
          <w:tcPr>
            <w:tcW w:w="0" w:type="auto"/>
            <w:vAlign w:val="center"/>
          </w:tcPr>
          <w:p w:rsidR="00FC05B7" w:rsidRDefault="00BC53E6">
            <w:pPr>
              <w:jc w:val="right"/>
            </w:pPr>
            <w:r>
              <w:rPr>
                <w:color w:val="000000"/>
                <w:sz w:val="24"/>
              </w:rPr>
              <w:t>11,988,945.74</w:t>
            </w:r>
          </w:p>
        </w:tc>
        <w:tc>
          <w:tcPr>
            <w:tcW w:w="0" w:type="auto"/>
            <w:vAlign w:val="center"/>
          </w:tcPr>
          <w:p w:rsidR="00FC05B7" w:rsidRDefault="00BC53E6">
            <w:pPr>
              <w:jc w:val="right"/>
            </w:pPr>
            <w:r>
              <w:rPr>
                <w:color w:val="000000"/>
                <w:sz w:val="24"/>
              </w:rPr>
              <w:t>10.99</w:t>
            </w:r>
          </w:p>
        </w:tc>
      </w:tr>
      <w:tr w:rsidR="00FC05B7">
        <w:tc>
          <w:tcPr>
            <w:tcW w:w="0" w:type="auto"/>
            <w:vAlign w:val="center"/>
          </w:tcPr>
          <w:p w:rsidR="00FC05B7" w:rsidRDefault="00BC53E6">
            <w:pPr>
              <w:jc w:val="center"/>
            </w:pPr>
            <w:r>
              <w:rPr>
                <w:color w:val="000000"/>
                <w:sz w:val="24"/>
              </w:rPr>
              <w:t>2</w:t>
            </w:r>
          </w:p>
        </w:tc>
        <w:tc>
          <w:tcPr>
            <w:tcW w:w="0" w:type="auto"/>
            <w:vAlign w:val="center"/>
          </w:tcPr>
          <w:p w:rsidR="00FC05B7" w:rsidRDefault="00BC53E6">
            <w:pPr>
              <w:jc w:val="center"/>
            </w:pPr>
            <w:r>
              <w:rPr>
                <w:color w:val="000000"/>
                <w:sz w:val="24"/>
              </w:rPr>
              <w:t>Apple Inc</w:t>
            </w:r>
          </w:p>
        </w:tc>
        <w:tc>
          <w:tcPr>
            <w:tcW w:w="0" w:type="auto"/>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AAPL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7,216</w:t>
            </w:r>
          </w:p>
        </w:tc>
        <w:tc>
          <w:tcPr>
            <w:tcW w:w="0" w:type="auto"/>
            <w:vAlign w:val="center"/>
          </w:tcPr>
          <w:p w:rsidR="00FC05B7" w:rsidRDefault="00BC53E6">
            <w:pPr>
              <w:jc w:val="right"/>
            </w:pPr>
            <w:r>
              <w:rPr>
                <w:color w:val="000000"/>
                <w:sz w:val="24"/>
              </w:rPr>
              <w:t>11,430,991.25</w:t>
            </w:r>
          </w:p>
        </w:tc>
        <w:tc>
          <w:tcPr>
            <w:tcW w:w="0" w:type="auto"/>
            <w:vAlign w:val="center"/>
          </w:tcPr>
          <w:p w:rsidR="00FC05B7" w:rsidRDefault="00BC53E6">
            <w:pPr>
              <w:jc w:val="right"/>
            </w:pPr>
            <w:r>
              <w:rPr>
                <w:color w:val="000000"/>
                <w:sz w:val="24"/>
              </w:rPr>
              <w:t>10.48</w:t>
            </w:r>
          </w:p>
        </w:tc>
      </w:tr>
      <w:tr w:rsidR="00FC05B7">
        <w:tc>
          <w:tcPr>
            <w:tcW w:w="0" w:type="auto"/>
            <w:vAlign w:val="center"/>
          </w:tcPr>
          <w:p w:rsidR="00FC05B7" w:rsidRDefault="00BC53E6">
            <w:pPr>
              <w:jc w:val="center"/>
            </w:pPr>
            <w:r>
              <w:rPr>
                <w:color w:val="000000"/>
                <w:sz w:val="24"/>
              </w:rPr>
              <w:t>3</w:t>
            </w:r>
          </w:p>
        </w:tc>
        <w:tc>
          <w:tcPr>
            <w:tcW w:w="0" w:type="auto"/>
            <w:vAlign w:val="center"/>
          </w:tcPr>
          <w:p w:rsidR="00FC05B7" w:rsidRDefault="00BC53E6">
            <w:pPr>
              <w:jc w:val="center"/>
            </w:pPr>
            <w:r>
              <w:rPr>
                <w:color w:val="000000"/>
                <w:sz w:val="24"/>
              </w:rPr>
              <w:t>Amazon.com</w:t>
            </w:r>
            <w:r>
              <w:rPr>
                <w:color w:val="000000"/>
                <w:sz w:val="24"/>
              </w:rPr>
              <w:t xml:space="preserve"> Inc</w:t>
            </w:r>
          </w:p>
        </w:tc>
        <w:tc>
          <w:tcPr>
            <w:tcW w:w="0" w:type="auto"/>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AMZN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790</w:t>
            </w:r>
          </w:p>
        </w:tc>
        <w:tc>
          <w:tcPr>
            <w:tcW w:w="0" w:type="auto"/>
            <w:vAlign w:val="center"/>
          </w:tcPr>
          <w:p w:rsidR="00FC05B7" w:rsidRDefault="00BC53E6">
            <w:pPr>
              <w:jc w:val="right"/>
            </w:pPr>
            <w:r>
              <w:rPr>
                <w:color w:val="000000"/>
                <w:sz w:val="24"/>
              </w:rPr>
              <w:t>9,699,555.09</w:t>
            </w:r>
          </w:p>
        </w:tc>
        <w:tc>
          <w:tcPr>
            <w:tcW w:w="0" w:type="auto"/>
            <w:vAlign w:val="center"/>
          </w:tcPr>
          <w:p w:rsidR="00FC05B7" w:rsidRDefault="00BC53E6">
            <w:pPr>
              <w:jc w:val="right"/>
            </w:pPr>
            <w:r>
              <w:rPr>
                <w:color w:val="000000"/>
                <w:sz w:val="24"/>
              </w:rPr>
              <w:t>8.90</w:t>
            </w:r>
          </w:p>
        </w:tc>
      </w:tr>
      <w:tr w:rsidR="00FC05B7">
        <w:tc>
          <w:tcPr>
            <w:tcW w:w="0" w:type="auto"/>
            <w:vMerge w:val="restart"/>
            <w:vAlign w:val="center"/>
          </w:tcPr>
          <w:p w:rsidR="00FC05B7" w:rsidRDefault="00BC53E6">
            <w:pPr>
              <w:jc w:val="center"/>
            </w:pPr>
            <w:r>
              <w:rPr>
                <w:color w:val="000000"/>
                <w:sz w:val="24"/>
              </w:rPr>
              <w:t>4</w:t>
            </w:r>
          </w:p>
        </w:tc>
        <w:tc>
          <w:tcPr>
            <w:tcW w:w="0" w:type="auto"/>
            <w:vMerge w:val="restart"/>
            <w:vAlign w:val="center"/>
          </w:tcPr>
          <w:p w:rsidR="00FC05B7" w:rsidRDefault="00BC53E6">
            <w:pPr>
              <w:jc w:val="center"/>
            </w:pPr>
            <w:r>
              <w:rPr>
                <w:color w:val="000000"/>
                <w:sz w:val="24"/>
              </w:rPr>
              <w:t>Alphabet Inc</w:t>
            </w:r>
          </w:p>
        </w:tc>
        <w:tc>
          <w:tcPr>
            <w:tcW w:w="0" w:type="auto"/>
            <w:vMerge w:val="restart"/>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GOOG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558</w:t>
            </w:r>
          </w:p>
        </w:tc>
        <w:tc>
          <w:tcPr>
            <w:tcW w:w="0" w:type="auto"/>
            <w:vAlign w:val="center"/>
          </w:tcPr>
          <w:p w:rsidR="00FC05B7" w:rsidRDefault="00BC53E6">
            <w:pPr>
              <w:jc w:val="right"/>
            </w:pPr>
            <w:r>
              <w:rPr>
                <w:color w:val="000000"/>
                <w:sz w:val="24"/>
              </w:rPr>
              <w:t>4,811,000.73</w:t>
            </w:r>
          </w:p>
        </w:tc>
        <w:tc>
          <w:tcPr>
            <w:tcW w:w="0" w:type="auto"/>
            <w:vAlign w:val="center"/>
          </w:tcPr>
          <w:p w:rsidR="00FC05B7" w:rsidRDefault="00BC53E6">
            <w:pPr>
              <w:jc w:val="right"/>
            </w:pPr>
            <w:r>
              <w:rPr>
                <w:color w:val="000000"/>
                <w:sz w:val="24"/>
              </w:rPr>
              <w:t>4.41</w:t>
            </w:r>
          </w:p>
        </w:tc>
      </w:tr>
      <w:tr w:rsidR="00FC05B7">
        <w:tc>
          <w:tcPr>
            <w:tcW w:w="0" w:type="auto"/>
            <w:vMerge/>
          </w:tcPr>
          <w:p w:rsidR="00FC05B7" w:rsidRDefault="00FC05B7"/>
        </w:tc>
        <w:tc>
          <w:tcPr>
            <w:tcW w:w="0" w:type="auto"/>
            <w:vMerge/>
          </w:tcPr>
          <w:p w:rsidR="00FC05B7" w:rsidRDefault="00FC05B7"/>
        </w:tc>
        <w:tc>
          <w:tcPr>
            <w:tcW w:w="0" w:type="auto"/>
            <w:vMerge/>
          </w:tcPr>
          <w:p w:rsidR="00FC05B7" w:rsidRDefault="00FC05B7"/>
        </w:tc>
        <w:tc>
          <w:tcPr>
            <w:tcW w:w="0" w:type="auto"/>
            <w:vAlign w:val="center"/>
          </w:tcPr>
          <w:p w:rsidR="00FC05B7" w:rsidRDefault="00BC53E6">
            <w:pPr>
              <w:jc w:val="center"/>
            </w:pPr>
            <w:r>
              <w:rPr>
                <w:color w:val="000000"/>
                <w:sz w:val="24"/>
              </w:rPr>
              <w:t>GOOGL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491</w:t>
            </w:r>
          </w:p>
        </w:tc>
        <w:tc>
          <w:tcPr>
            <w:tcW w:w="0" w:type="auto"/>
            <w:vAlign w:val="center"/>
          </w:tcPr>
          <w:p w:rsidR="00FC05B7" w:rsidRDefault="00BC53E6">
            <w:pPr>
              <w:jc w:val="right"/>
            </w:pPr>
            <w:r>
              <w:rPr>
                <w:color w:val="000000"/>
                <w:sz w:val="24"/>
              </w:rPr>
              <w:t>4,240,767.54</w:t>
            </w:r>
          </w:p>
        </w:tc>
        <w:tc>
          <w:tcPr>
            <w:tcW w:w="0" w:type="auto"/>
            <w:vAlign w:val="center"/>
          </w:tcPr>
          <w:p w:rsidR="00FC05B7" w:rsidRDefault="00BC53E6">
            <w:pPr>
              <w:jc w:val="right"/>
            </w:pPr>
            <w:r>
              <w:rPr>
                <w:color w:val="000000"/>
                <w:sz w:val="24"/>
              </w:rPr>
              <w:t>3.89</w:t>
            </w:r>
          </w:p>
        </w:tc>
      </w:tr>
      <w:tr w:rsidR="00FC05B7">
        <w:tc>
          <w:tcPr>
            <w:tcW w:w="0" w:type="auto"/>
            <w:vAlign w:val="center"/>
          </w:tcPr>
          <w:p w:rsidR="00FC05B7" w:rsidRDefault="00BC53E6">
            <w:pPr>
              <w:jc w:val="center"/>
            </w:pPr>
            <w:r>
              <w:rPr>
                <w:color w:val="000000"/>
                <w:sz w:val="24"/>
              </w:rPr>
              <w:t>5</w:t>
            </w:r>
          </w:p>
        </w:tc>
        <w:tc>
          <w:tcPr>
            <w:tcW w:w="0" w:type="auto"/>
            <w:vAlign w:val="center"/>
          </w:tcPr>
          <w:p w:rsidR="00FC05B7" w:rsidRDefault="00BC53E6">
            <w:pPr>
              <w:jc w:val="center"/>
            </w:pPr>
            <w:r>
              <w:rPr>
                <w:color w:val="000000"/>
                <w:sz w:val="24"/>
              </w:rPr>
              <w:t>Facebook Inc</w:t>
            </w:r>
          </w:p>
        </w:tc>
        <w:tc>
          <w:tcPr>
            <w:tcW w:w="0" w:type="auto"/>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FB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3,877</w:t>
            </w:r>
          </w:p>
        </w:tc>
        <w:tc>
          <w:tcPr>
            <w:tcW w:w="0" w:type="auto"/>
            <w:vAlign w:val="center"/>
          </w:tcPr>
          <w:p w:rsidR="00FC05B7" w:rsidRDefault="00BC53E6">
            <w:pPr>
              <w:jc w:val="right"/>
            </w:pPr>
            <w:r>
              <w:rPr>
                <w:color w:val="000000"/>
                <w:sz w:val="24"/>
              </w:rPr>
              <w:t>4,883,244.46</w:t>
            </w:r>
          </w:p>
        </w:tc>
        <w:tc>
          <w:tcPr>
            <w:tcW w:w="0" w:type="auto"/>
            <w:vAlign w:val="center"/>
          </w:tcPr>
          <w:p w:rsidR="00FC05B7" w:rsidRDefault="00BC53E6">
            <w:pPr>
              <w:jc w:val="right"/>
            </w:pPr>
            <w:r>
              <w:rPr>
                <w:color w:val="000000"/>
                <w:sz w:val="24"/>
              </w:rPr>
              <w:t>4.48</w:t>
            </w:r>
          </w:p>
        </w:tc>
      </w:tr>
      <w:tr w:rsidR="00FC05B7">
        <w:tc>
          <w:tcPr>
            <w:tcW w:w="0" w:type="auto"/>
            <w:vAlign w:val="center"/>
          </w:tcPr>
          <w:p w:rsidR="00FC05B7" w:rsidRDefault="00BC53E6">
            <w:pPr>
              <w:jc w:val="center"/>
            </w:pPr>
            <w:r>
              <w:rPr>
                <w:color w:val="000000"/>
                <w:sz w:val="24"/>
              </w:rPr>
              <w:t>6</w:t>
            </w:r>
          </w:p>
        </w:tc>
        <w:tc>
          <w:tcPr>
            <w:tcW w:w="0" w:type="auto"/>
            <w:vAlign w:val="center"/>
          </w:tcPr>
          <w:p w:rsidR="00FC05B7" w:rsidRDefault="00BC53E6">
            <w:pPr>
              <w:jc w:val="center"/>
            </w:pPr>
            <w:r>
              <w:rPr>
                <w:color w:val="000000"/>
                <w:sz w:val="24"/>
              </w:rPr>
              <w:t>Intel Corp</w:t>
            </w:r>
          </w:p>
        </w:tc>
        <w:tc>
          <w:tcPr>
            <w:tcW w:w="0" w:type="auto"/>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INTC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7,850</w:t>
            </w:r>
          </w:p>
        </w:tc>
        <w:tc>
          <w:tcPr>
            <w:tcW w:w="0" w:type="auto"/>
            <w:vAlign w:val="center"/>
          </w:tcPr>
          <w:p w:rsidR="00FC05B7" w:rsidRDefault="00BC53E6">
            <w:pPr>
              <w:jc w:val="right"/>
            </w:pPr>
            <w:r>
              <w:rPr>
                <w:color w:val="000000"/>
                <w:sz w:val="24"/>
              </w:rPr>
              <w:t>2,861,062.32</w:t>
            </w:r>
          </w:p>
        </w:tc>
        <w:tc>
          <w:tcPr>
            <w:tcW w:w="0" w:type="auto"/>
            <w:vAlign w:val="center"/>
          </w:tcPr>
          <w:p w:rsidR="00FC05B7" w:rsidRDefault="00BC53E6">
            <w:pPr>
              <w:jc w:val="right"/>
            </w:pPr>
            <w:r>
              <w:rPr>
                <w:color w:val="000000"/>
                <w:sz w:val="24"/>
              </w:rPr>
              <w:t>2.62</w:t>
            </w:r>
          </w:p>
        </w:tc>
      </w:tr>
      <w:tr w:rsidR="00FC05B7">
        <w:tc>
          <w:tcPr>
            <w:tcW w:w="0" w:type="auto"/>
            <w:vAlign w:val="center"/>
          </w:tcPr>
          <w:p w:rsidR="00FC05B7" w:rsidRDefault="00BC53E6">
            <w:pPr>
              <w:jc w:val="center"/>
            </w:pPr>
            <w:r>
              <w:rPr>
                <w:color w:val="000000"/>
                <w:sz w:val="24"/>
              </w:rPr>
              <w:t>7</w:t>
            </w:r>
          </w:p>
        </w:tc>
        <w:tc>
          <w:tcPr>
            <w:tcW w:w="0" w:type="auto"/>
            <w:vAlign w:val="center"/>
          </w:tcPr>
          <w:p w:rsidR="00FC05B7" w:rsidRDefault="00BC53E6">
            <w:pPr>
              <w:jc w:val="center"/>
            </w:pPr>
            <w:r>
              <w:rPr>
                <w:color w:val="000000"/>
                <w:sz w:val="24"/>
              </w:rPr>
              <w:t>Cisco Systems Inc</w:t>
            </w:r>
          </w:p>
        </w:tc>
        <w:tc>
          <w:tcPr>
            <w:tcW w:w="0" w:type="auto"/>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CSCO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7,586</w:t>
            </w:r>
          </w:p>
        </w:tc>
        <w:tc>
          <w:tcPr>
            <w:tcW w:w="0" w:type="auto"/>
            <w:vAlign w:val="center"/>
          </w:tcPr>
          <w:p w:rsidR="00FC05B7" w:rsidRDefault="00BC53E6">
            <w:pPr>
              <w:jc w:val="right"/>
            </w:pPr>
            <w:r>
              <w:rPr>
                <w:color w:val="000000"/>
                <w:sz w:val="24"/>
              </w:rPr>
              <w:t>2,651,094.51</w:t>
            </w:r>
          </w:p>
        </w:tc>
        <w:tc>
          <w:tcPr>
            <w:tcW w:w="0" w:type="auto"/>
            <w:vAlign w:val="center"/>
          </w:tcPr>
          <w:p w:rsidR="00FC05B7" w:rsidRDefault="00BC53E6">
            <w:pPr>
              <w:jc w:val="right"/>
            </w:pPr>
            <w:r>
              <w:rPr>
                <w:color w:val="000000"/>
                <w:sz w:val="24"/>
              </w:rPr>
              <w:t>2.43</w:t>
            </w:r>
          </w:p>
        </w:tc>
      </w:tr>
      <w:tr w:rsidR="00FC05B7">
        <w:tc>
          <w:tcPr>
            <w:tcW w:w="0" w:type="auto"/>
            <w:vAlign w:val="center"/>
          </w:tcPr>
          <w:p w:rsidR="00FC05B7" w:rsidRDefault="00BC53E6">
            <w:pPr>
              <w:jc w:val="center"/>
            </w:pPr>
            <w:r>
              <w:rPr>
                <w:color w:val="000000"/>
                <w:sz w:val="24"/>
              </w:rPr>
              <w:t>8</w:t>
            </w:r>
          </w:p>
        </w:tc>
        <w:tc>
          <w:tcPr>
            <w:tcW w:w="0" w:type="auto"/>
            <w:vAlign w:val="center"/>
          </w:tcPr>
          <w:p w:rsidR="00FC05B7" w:rsidRDefault="00BC53E6">
            <w:pPr>
              <w:jc w:val="center"/>
            </w:pPr>
            <w:r>
              <w:rPr>
                <w:color w:val="000000"/>
                <w:sz w:val="24"/>
              </w:rPr>
              <w:t>Comcast Corp</w:t>
            </w:r>
          </w:p>
        </w:tc>
        <w:tc>
          <w:tcPr>
            <w:tcW w:w="0" w:type="auto"/>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CMCSA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8,037</w:t>
            </w:r>
          </w:p>
        </w:tc>
        <w:tc>
          <w:tcPr>
            <w:tcW w:w="0" w:type="auto"/>
            <w:vAlign w:val="center"/>
          </w:tcPr>
          <w:p w:rsidR="00FC05B7" w:rsidRDefault="00BC53E6">
            <w:pPr>
              <w:jc w:val="right"/>
            </w:pPr>
            <w:r>
              <w:rPr>
                <w:color w:val="000000"/>
                <w:sz w:val="24"/>
              </w:rPr>
              <w:t>2,562,567.97</w:t>
            </w:r>
          </w:p>
        </w:tc>
        <w:tc>
          <w:tcPr>
            <w:tcW w:w="0" w:type="auto"/>
            <w:vAlign w:val="center"/>
          </w:tcPr>
          <w:p w:rsidR="00FC05B7" w:rsidRDefault="00BC53E6">
            <w:pPr>
              <w:jc w:val="right"/>
            </w:pPr>
            <w:r>
              <w:rPr>
                <w:color w:val="000000"/>
                <w:sz w:val="24"/>
              </w:rPr>
              <w:t>2.35</w:t>
            </w:r>
          </w:p>
        </w:tc>
      </w:tr>
      <w:tr w:rsidR="00FC05B7">
        <w:tc>
          <w:tcPr>
            <w:tcW w:w="0" w:type="auto"/>
            <w:vAlign w:val="center"/>
          </w:tcPr>
          <w:p w:rsidR="00FC05B7" w:rsidRDefault="00BC53E6">
            <w:pPr>
              <w:jc w:val="center"/>
            </w:pPr>
            <w:r>
              <w:rPr>
                <w:color w:val="000000"/>
                <w:sz w:val="24"/>
              </w:rPr>
              <w:t>9</w:t>
            </w:r>
          </w:p>
        </w:tc>
        <w:tc>
          <w:tcPr>
            <w:tcW w:w="0" w:type="auto"/>
            <w:vAlign w:val="center"/>
          </w:tcPr>
          <w:p w:rsidR="00FC05B7" w:rsidRDefault="00BC53E6">
            <w:pPr>
              <w:jc w:val="center"/>
            </w:pPr>
            <w:r>
              <w:rPr>
                <w:color w:val="000000"/>
                <w:sz w:val="24"/>
              </w:rPr>
              <w:t>PepsiCo Inc</w:t>
            </w:r>
          </w:p>
        </w:tc>
        <w:tc>
          <w:tcPr>
            <w:tcW w:w="0" w:type="auto"/>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PEP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2,477</w:t>
            </w:r>
          </w:p>
        </w:tc>
        <w:tc>
          <w:tcPr>
            <w:tcW w:w="0" w:type="auto"/>
            <w:vAlign w:val="center"/>
          </w:tcPr>
          <w:p w:rsidR="00FC05B7" w:rsidRDefault="00BC53E6">
            <w:pPr>
              <w:jc w:val="right"/>
            </w:pPr>
            <w:r>
              <w:rPr>
                <w:color w:val="000000"/>
                <w:sz w:val="24"/>
              </w:rPr>
              <w:t>2,401,933.50</w:t>
            </w:r>
          </w:p>
        </w:tc>
        <w:tc>
          <w:tcPr>
            <w:tcW w:w="0" w:type="auto"/>
            <w:vAlign w:val="center"/>
          </w:tcPr>
          <w:p w:rsidR="00FC05B7" w:rsidRDefault="00BC53E6">
            <w:pPr>
              <w:jc w:val="right"/>
            </w:pPr>
            <w:r>
              <w:rPr>
                <w:color w:val="000000"/>
                <w:sz w:val="24"/>
              </w:rPr>
              <w:t>2.20</w:t>
            </w:r>
          </w:p>
        </w:tc>
      </w:tr>
      <w:tr w:rsidR="00FC05B7">
        <w:tc>
          <w:tcPr>
            <w:tcW w:w="0" w:type="auto"/>
            <w:vAlign w:val="center"/>
          </w:tcPr>
          <w:p w:rsidR="00FC05B7" w:rsidRDefault="00BC53E6">
            <w:pPr>
              <w:jc w:val="center"/>
            </w:pPr>
            <w:r>
              <w:rPr>
                <w:color w:val="000000"/>
                <w:sz w:val="24"/>
              </w:rPr>
              <w:t>10</w:t>
            </w:r>
          </w:p>
        </w:tc>
        <w:tc>
          <w:tcPr>
            <w:tcW w:w="0" w:type="auto"/>
            <w:vAlign w:val="center"/>
          </w:tcPr>
          <w:p w:rsidR="00FC05B7" w:rsidRDefault="00BC53E6">
            <w:pPr>
              <w:jc w:val="center"/>
            </w:pPr>
            <w:r>
              <w:rPr>
                <w:color w:val="000000"/>
                <w:sz w:val="24"/>
              </w:rPr>
              <w:t>Adobe Inc</w:t>
            </w:r>
          </w:p>
        </w:tc>
        <w:tc>
          <w:tcPr>
            <w:tcW w:w="0" w:type="auto"/>
            <w:vAlign w:val="center"/>
          </w:tcPr>
          <w:p w:rsidR="00FC05B7" w:rsidRDefault="00BC53E6">
            <w:pPr>
              <w:jc w:val="center"/>
            </w:pPr>
            <w:r>
              <w:rPr>
                <w:color w:val="000000"/>
                <w:sz w:val="24"/>
              </w:rPr>
              <w:t>-</w:t>
            </w:r>
          </w:p>
        </w:tc>
        <w:tc>
          <w:tcPr>
            <w:tcW w:w="0" w:type="auto"/>
            <w:vAlign w:val="center"/>
          </w:tcPr>
          <w:p w:rsidR="00FC05B7" w:rsidRDefault="00BC53E6">
            <w:pPr>
              <w:jc w:val="center"/>
            </w:pPr>
            <w:r>
              <w:rPr>
                <w:color w:val="000000"/>
                <w:sz w:val="24"/>
              </w:rPr>
              <w:t>ADBE US</w:t>
            </w:r>
          </w:p>
        </w:tc>
        <w:tc>
          <w:tcPr>
            <w:tcW w:w="0" w:type="auto"/>
            <w:vAlign w:val="center"/>
          </w:tcPr>
          <w:p w:rsidR="00FC05B7" w:rsidRDefault="00BC53E6">
            <w:pPr>
              <w:jc w:val="center"/>
            </w:pPr>
            <w:r>
              <w:rPr>
                <w:color w:val="000000"/>
                <w:sz w:val="24"/>
              </w:rPr>
              <w:t>纳斯达克证券交易所</w:t>
            </w:r>
          </w:p>
        </w:tc>
        <w:tc>
          <w:tcPr>
            <w:tcW w:w="0" w:type="auto"/>
            <w:vAlign w:val="center"/>
          </w:tcPr>
          <w:p w:rsidR="00FC05B7" w:rsidRDefault="00BC53E6">
            <w:pPr>
              <w:jc w:val="center"/>
            </w:pPr>
            <w:r>
              <w:rPr>
                <w:color w:val="000000"/>
                <w:sz w:val="24"/>
              </w:rPr>
              <w:t>美国</w:t>
            </w:r>
          </w:p>
        </w:tc>
        <w:tc>
          <w:tcPr>
            <w:tcW w:w="0" w:type="auto"/>
            <w:vAlign w:val="center"/>
          </w:tcPr>
          <w:p w:rsidR="00FC05B7" w:rsidRDefault="00BC53E6">
            <w:pPr>
              <w:jc w:val="right"/>
            </w:pPr>
            <w:r>
              <w:rPr>
                <w:color w:val="000000"/>
                <w:sz w:val="24"/>
              </w:rPr>
              <w:t>860</w:t>
            </w:r>
          </w:p>
        </w:tc>
        <w:tc>
          <w:tcPr>
            <w:tcW w:w="0" w:type="auto"/>
            <w:vAlign w:val="center"/>
          </w:tcPr>
          <w:p w:rsidR="00FC05B7" w:rsidRDefault="00BC53E6">
            <w:pPr>
              <w:jc w:val="right"/>
            </w:pPr>
            <w:r>
              <w:rPr>
                <w:color w:val="000000"/>
                <w:sz w:val="24"/>
              </w:rPr>
              <w:t>1,680,344.22</w:t>
            </w:r>
          </w:p>
        </w:tc>
        <w:tc>
          <w:tcPr>
            <w:tcW w:w="0" w:type="auto"/>
            <w:vAlign w:val="center"/>
          </w:tcPr>
          <w:p w:rsidR="00FC05B7" w:rsidRDefault="00BC53E6">
            <w:pPr>
              <w:jc w:val="right"/>
            </w:pPr>
            <w:r>
              <w:rPr>
                <w:color w:val="000000"/>
                <w:sz w:val="24"/>
              </w:rPr>
              <w:t>1.54</w:t>
            </w:r>
          </w:p>
        </w:tc>
      </w:tr>
    </w:tbl>
    <w:p w:rsidR="00F13451" w:rsidRPr="0040658E" w:rsidRDefault="00F33530" w:rsidP="0040658E">
      <w:pPr>
        <w:spacing w:line="360" w:lineRule="auto"/>
        <w:ind w:firstLineChars="200" w:firstLine="480"/>
        <w:rPr>
          <w:color w:val="000000"/>
          <w:sz w:val="24"/>
        </w:rPr>
      </w:pPr>
      <w:r w:rsidRPr="00DB3360">
        <w:rPr>
          <w:color w:val="000000"/>
          <w:sz w:val="24"/>
        </w:rPr>
        <w:t>注：此处所用证券代码的类别是当地市场代码。</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5.5 </w:t>
      </w:r>
      <w:r w:rsidRPr="00820253">
        <w:rPr>
          <w:rFonts w:ascii="宋体" w:hAnsi="宋体" w:cs="Arial" w:hint="eastAsia"/>
          <w:b/>
          <w:color w:val="000000"/>
          <w:kern w:val="0"/>
          <w:sz w:val="24"/>
        </w:rPr>
        <w:t>报告期末按债券信用等级分类的债券投资组合</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5.6</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的前五名债券投资明细</w:t>
      </w:r>
    </w:p>
    <w:p w:rsidR="00F13451" w:rsidRPr="008B041C"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5.7</w:t>
      </w:r>
      <w:r w:rsidR="00476756">
        <w:rPr>
          <w:rFonts w:ascii="宋体" w:hAnsi="宋体" w:cs="Arial" w:hint="eastAsia"/>
          <w:b/>
          <w:color w:val="000000"/>
          <w:kern w:val="0"/>
          <w:sz w:val="24"/>
        </w:rPr>
        <w:t>报告期末按公允价值占基金资产净值比例大小排序</w:t>
      </w:r>
      <w:r w:rsidRPr="0029671E">
        <w:rPr>
          <w:rFonts w:ascii="宋体" w:hAnsi="宋体" w:cs="Arial" w:hint="eastAsia"/>
          <w:b/>
          <w:color w:val="000000"/>
          <w:kern w:val="0"/>
          <w:sz w:val="24"/>
        </w:rPr>
        <w:t>的前十名资产支持证券投资明细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本基金本报告期末未持有资产支持证券。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5.8 </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的前五名金融衍生品投资明细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1856"/>
        <w:gridCol w:w="2693"/>
        <w:gridCol w:w="1477"/>
        <w:gridCol w:w="1884"/>
      </w:tblGrid>
      <w:tr w:rsidR="00F13451" w:rsidRPr="00820253" w:rsidTr="00E35496">
        <w:tc>
          <w:tcPr>
            <w:tcW w:w="675" w:type="dxa"/>
          </w:tcPr>
          <w:p w:rsidR="00F13451" w:rsidRPr="00431EE1" w:rsidRDefault="00F13451" w:rsidP="00E35496">
            <w:pPr>
              <w:autoSpaceDE w:val="0"/>
              <w:autoSpaceDN w:val="0"/>
              <w:adjustRightInd w:val="0"/>
              <w:spacing w:line="360" w:lineRule="auto"/>
              <w:jc w:val="left"/>
              <w:rPr>
                <w:color w:val="000000"/>
                <w:sz w:val="24"/>
              </w:rPr>
            </w:pPr>
            <w:r w:rsidRPr="00431EE1">
              <w:rPr>
                <w:color w:val="000000"/>
                <w:kern w:val="0"/>
                <w:sz w:val="24"/>
              </w:rPr>
              <w:t>序号</w:t>
            </w:r>
          </w:p>
        </w:tc>
        <w:tc>
          <w:tcPr>
            <w:tcW w:w="2352" w:type="dxa"/>
          </w:tcPr>
          <w:p w:rsidR="00F13451" w:rsidRPr="00431EE1" w:rsidRDefault="00F13451" w:rsidP="00E35496">
            <w:pPr>
              <w:autoSpaceDE w:val="0"/>
              <w:autoSpaceDN w:val="0"/>
              <w:adjustRightInd w:val="0"/>
              <w:spacing w:line="360" w:lineRule="auto"/>
              <w:jc w:val="left"/>
              <w:rPr>
                <w:color w:val="000000"/>
                <w:sz w:val="24"/>
              </w:rPr>
            </w:pPr>
            <w:r w:rsidRPr="00431EE1">
              <w:rPr>
                <w:color w:val="000000"/>
                <w:kern w:val="0"/>
                <w:sz w:val="24"/>
              </w:rPr>
              <w:t>衍生品类别</w:t>
            </w:r>
          </w:p>
        </w:tc>
        <w:tc>
          <w:tcPr>
            <w:tcW w:w="1513" w:type="dxa"/>
          </w:tcPr>
          <w:p w:rsidR="00F13451" w:rsidRPr="00431EE1" w:rsidRDefault="00F13451" w:rsidP="00E35496">
            <w:pPr>
              <w:autoSpaceDE w:val="0"/>
              <w:autoSpaceDN w:val="0"/>
              <w:adjustRightInd w:val="0"/>
              <w:spacing w:line="360" w:lineRule="auto"/>
              <w:jc w:val="left"/>
              <w:rPr>
                <w:color w:val="000000"/>
                <w:sz w:val="24"/>
              </w:rPr>
            </w:pPr>
            <w:r w:rsidRPr="00431EE1">
              <w:rPr>
                <w:color w:val="000000"/>
                <w:kern w:val="0"/>
                <w:sz w:val="24"/>
              </w:rPr>
              <w:t>衍生品名称</w:t>
            </w:r>
          </w:p>
        </w:tc>
        <w:tc>
          <w:tcPr>
            <w:tcW w:w="1754" w:type="dxa"/>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公允价值</w:t>
            </w:r>
          </w:p>
          <w:p w:rsidR="00F13451" w:rsidRPr="00431EE1" w:rsidRDefault="00284EC5" w:rsidP="00284EC5">
            <w:pPr>
              <w:autoSpaceDE w:val="0"/>
              <w:autoSpaceDN w:val="0"/>
              <w:adjustRightInd w:val="0"/>
              <w:spacing w:line="360" w:lineRule="auto"/>
              <w:jc w:val="left"/>
              <w:rPr>
                <w:color w:val="000000"/>
                <w:sz w:val="24"/>
              </w:rPr>
            </w:pPr>
            <w:r w:rsidRPr="00431EE1">
              <w:rPr>
                <w:color w:val="000000"/>
                <w:kern w:val="0"/>
                <w:sz w:val="24"/>
              </w:rPr>
              <w:t>（人民币元）</w:t>
            </w:r>
          </w:p>
        </w:tc>
        <w:tc>
          <w:tcPr>
            <w:tcW w:w="2234" w:type="dxa"/>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占基金资产</w:t>
            </w:r>
          </w:p>
          <w:p w:rsidR="00F13451" w:rsidRPr="00431EE1" w:rsidRDefault="00F13451" w:rsidP="00E35496">
            <w:pPr>
              <w:autoSpaceDE w:val="0"/>
              <w:autoSpaceDN w:val="0"/>
              <w:adjustRightInd w:val="0"/>
              <w:spacing w:line="360" w:lineRule="auto"/>
              <w:jc w:val="left"/>
              <w:rPr>
                <w:color w:val="000000"/>
                <w:sz w:val="24"/>
              </w:rPr>
            </w:pPr>
            <w:r w:rsidRPr="00431EE1">
              <w:rPr>
                <w:color w:val="000000"/>
                <w:kern w:val="0"/>
                <w:sz w:val="24"/>
              </w:rPr>
              <w:t>净值比例（</w:t>
            </w:r>
            <w:r w:rsidRPr="00431EE1">
              <w:rPr>
                <w:color w:val="000000"/>
                <w:kern w:val="0"/>
                <w:sz w:val="24"/>
              </w:rPr>
              <w:t>%</w:t>
            </w:r>
            <w:r w:rsidRPr="00431EE1">
              <w:rPr>
                <w:color w:val="000000"/>
                <w:kern w:val="0"/>
                <w:sz w:val="24"/>
              </w:rPr>
              <w:t>）</w:t>
            </w:r>
          </w:p>
        </w:tc>
      </w:tr>
      <w:tr w:rsidR="00FC05B7">
        <w:tc>
          <w:tcPr>
            <w:tcW w:w="0" w:type="auto"/>
            <w:vAlign w:val="center"/>
          </w:tcPr>
          <w:p w:rsidR="00FC05B7" w:rsidRDefault="00BC53E6">
            <w:pPr>
              <w:jc w:val="center"/>
            </w:pPr>
            <w:r>
              <w:rPr>
                <w:color w:val="000000"/>
                <w:sz w:val="24"/>
              </w:rPr>
              <w:t>1</w:t>
            </w:r>
          </w:p>
        </w:tc>
        <w:tc>
          <w:tcPr>
            <w:tcW w:w="0" w:type="auto"/>
            <w:vAlign w:val="center"/>
          </w:tcPr>
          <w:p w:rsidR="00FC05B7" w:rsidRDefault="00BC53E6">
            <w:pPr>
              <w:jc w:val="center"/>
            </w:pPr>
            <w:r>
              <w:rPr>
                <w:color w:val="000000"/>
                <w:sz w:val="24"/>
              </w:rPr>
              <w:t>股指期货</w:t>
            </w:r>
          </w:p>
        </w:tc>
        <w:tc>
          <w:tcPr>
            <w:tcW w:w="0" w:type="auto"/>
            <w:vAlign w:val="center"/>
          </w:tcPr>
          <w:p w:rsidR="00FC05B7" w:rsidRDefault="00BC53E6">
            <w:pPr>
              <w:jc w:val="center"/>
            </w:pPr>
            <w:r>
              <w:rPr>
                <w:color w:val="000000"/>
                <w:sz w:val="24"/>
              </w:rPr>
              <w:t>NASDAQ 100 E-MINI Dec 19</w:t>
            </w:r>
          </w:p>
        </w:tc>
        <w:tc>
          <w:tcPr>
            <w:tcW w:w="0" w:type="auto"/>
            <w:vAlign w:val="center"/>
          </w:tcPr>
          <w:p w:rsidR="00FC05B7" w:rsidRDefault="00BC53E6">
            <w:pPr>
              <w:jc w:val="right"/>
            </w:pPr>
            <w:r>
              <w:rPr>
                <w:color w:val="000000"/>
                <w:sz w:val="24"/>
              </w:rPr>
              <w:t>-</w:t>
            </w:r>
          </w:p>
        </w:tc>
        <w:tc>
          <w:tcPr>
            <w:tcW w:w="0" w:type="auto"/>
            <w:vAlign w:val="center"/>
          </w:tcPr>
          <w:p w:rsidR="00FC05B7" w:rsidRDefault="00BC53E6">
            <w:pPr>
              <w:jc w:val="right"/>
            </w:pPr>
            <w:r>
              <w:rPr>
                <w:color w:val="000000"/>
                <w:sz w:val="24"/>
              </w:rPr>
              <w:t>-</w:t>
            </w:r>
          </w:p>
        </w:tc>
      </w:tr>
    </w:tbl>
    <w:p w:rsidR="00F13451" w:rsidRPr="00431EE1" w:rsidRDefault="00F13451" w:rsidP="00431EE1">
      <w:pPr>
        <w:spacing w:line="360" w:lineRule="auto"/>
        <w:ind w:firstLineChars="200" w:firstLine="480"/>
        <w:rPr>
          <w:color w:val="000000"/>
          <w:sz w:val="24"/>
        </w:rPr>
      </w:pPr>
      <w:r w:rsidRPr="0040658E">
        <w:rPr>
          <w:color w:val="000000"/>
          <w:sz w:val="24"/>
        </w:rPr>
        <w:t>注：按照期货每日无负债结算的结算规则，根据《基金股指期货投资会计业务核算细则</w:t>
      </w:r>
      <w:r w:rsidRPr="0040658E">
        <w:rPr>
          <w:color w:val="000000"/>
          <w:sz w:val="24"/>
        </w:rPr>
        <w:t>(</w:t>
      </w:r>
      <w:r w:rsidRPr="0040658E">
        <w:rPr>
          <w:color w:val="000000"/>
          <w:sz w:val="24"/>
        </w:rPr>
        <w:t>试行</w:t>
      </w:r>
      <w:r w:rsidRPr="0040658E">
        <w:rPr>
          <w:color w:val="000000"/>
          <w:sz w:val="24"/>
        </w:rPr>
        <w:t>)</w:t>
      </w:r>
      <w:r w:rsidRPr="0040658E">
        <w:rPr>
          <w:color w:val="000000"/>
          <w:sz w:val="24"/>
        </w:rPr>
        <w:t>》及《企业会计准则</w:t>
      </w:r>
      <w:r w:rsidRPr="0040658E">
        <w:rPr>
          <w:color w:val="000000"/>
          <w:sz w:val="24"/>
        </w:rPr>
        <w:t>-</w:t>
      </w:r>
      <w:r w:rsidRPr="0040658E">
        <w:rPr>
          <w:color w:val="000000"/>
          <w:sz w:val="24"/>
        </w:rPr>
        <w:t>金融工具列报》的相关规定，</w:t>
      </w:r>
      <w:r w:rsidRPr="0040658E">
        <w:rPr>
          <w:color w:val="000000"/>
          <w:sz w:val="24"/>
        </w:rPr>
        <w:t>“</w:t>
      </w:r>
      <w:r w:rsidRPr="0040658E">
        <w:rPr>
          <w:color w:val="000000"/>
          <w:sz w:val="24"/>
        </w:rPr>
        <w:t>其他衍生工具</w:t>
      </w:r>
      <w:r w:rsidRPr="0040658E">
        <w:rPr>
          <w:color w:val="000000"/>
          <w:sz w:val="24"/>
        </w:rPr>
        <w:t>-</w:t>
      </w:r>
      <w:r w:rsidRPr="0040658E">
        <w:rPr>
          <w:color w:val="000000"/>
          <w:sz w:val="24"/>
        </w:rPr>
        <w:t>期货投资</w:t>
      </w:r>
      <w:r w:rsidRPr="0040658E">
        <w:rPr>
          <w:color w:val="000000"/>
          <w:sz w:val="24"/>
        </w:rPr>
        <w:t>”</w:t>
      </w:r>
      <w:r w:rsidRPr="0040658E">
        <w:rPr>
          <w:color w:val="000000"/>
          <w:sz w:val="24"/>
        </w:rPr>
        <w:t>与</w:t>
      </w:r>
      <w:r w:rsidRPr="0040658E">
        <w:rPr>
          <w:color w:val="000000"/>
          <w:sz w:val="24"/>
        </w:rPr>
        <w:t>“</w:t>
      </w:r>
      <w:r w:rsidRPr="0040658E">
        <w:rPr>
          <w:color w:val="000000"/>
          <w:sz w:val="24"/>
        </w:rPr>
        <w:t>证券清算款</w:t>
      </w:r>
      <w:r w:rsidRPr="0040658E">
        <w:rPr>
          <w:color w:val="000000"/>
          <w:sz w:val="24"/>
        </w:rPr>
        <w:t>-</w:t>
      </w:r>
      <w:r w:rsidRPr="0040658E">
        <w:rPr>
          <w:color w:val="000000"/>
          <w:sz w:val="24"/>
        </w:rPr>
        <w:t>期货每日无负债结算暂收暂付款</w:t>
      </w:r>
      <w:r w:rsidRPr="0040658E">
        <w:rPr>
          <w:color w:val="000000"/>
          <w:sz w:val="24"/>
        </w:rPr>
        <w:t>”</w:t>
      </w:r>
      <w:r w:rsidRPr="0040658E">
        <w:rPr>
          <w:color w:val="000000"/>
          <w:sz w:val="24"/>
        </w:rPr>
        <w:t>，符合金融资产与金融负债相抵销的条件，故将</w:t>
      </w:r>
      <w:r w:rsidRPr="0040658E">
        <w:rPr>
          <w:color w:val="000000"/>
          <w:sz w:val="24"/>
        </w:rPr>
        <w:t>“</w:t>
      </w:r>
      <w:r w:rsidRPr="0040658E">
        <w:rPr>
          <w:color w:val="000000"/>
          <w:sz w:val="24"/>
        </w:rPr>
        <w:t>其他衍生工具</w:t>
      </w:r>
      <w:r w:rsidRPr="0040658E">
        <w:rPr>
          <w:color w:val="000000"/>
          <w:sz w:val="24"/>
        </w:rPr>
        <w:t>-</w:t>
      </w:r>
      <w:r w:rsidRPr="0040658E">
        <w:rPr>
          <w:color w:val="000000"/>
          <w:sz w:val="24"/>
        </w:rPr>
        <w:t>期货投资</w:t>
      </w:r>
      <w:r w:rsidRPr="0040658E">
        <w:rPr>
          <w:color w:val="000000"/>
          <w:sz w:val="24"/>
        </w:rPr>
        <w:t>”</w:t>
      </w:r>
      <w:r w:rsidRPr="0040658E">
        <w:rPr>
          <w:color w:val="000000"/>
          <w:sz w:val="24"/>
        </w:rPr>
        <w:t>的期末公允价值以抵销后的净额列报，净额为零。期货投资的公允价值变动金额为</w:t>
      </w:r>
      <w:r w:rsidRPr="0040658E">
        <w:rPr>
          <w:color w:val="000000"/>
          <w:sz w:val="24"/>
        </w:rPr>
        <w:t>3,507.82</w:t>
      </w:r>
      <w:r w:rsidRPr="0040658E">
        <w:rPr>
          <w:color w:val="000000"/>
          <w:sz w:val="24"/>
        </w:rPr>
        <w:t>元，已包含在结算备付金中。</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5.9</w:t>
      </w:r>
      <w:r w:rsidRPr="0029671E">
        <w:rPr>
          <w:rFonts w:ascii="宋体" w:hAnsi="宋体" w:cs="Arial" w:hint="eastAsia"/>
          <w:b/>
          <w:color w:val="000000"/>
          <w:kern w:val="0"/>
          <w:sz w:val="24"/>
        </w:rPr>
        <w:t>报告期末按公允价值占基金资产净值比例大小排序的前十名基金投资明细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本基金本报告期末未持有基金。</w:t>
      </w:r>
    </w:p>
    <w:p w:rsidR="00F13451" w:rsidRPr="00820253" w:rsidRDefault="00F13451" w:rsidP="00A33DF2">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5.10 </w:t>
      </w:r>
      <w:r w:rsidRPr="00820253">
        <w:rPr>
          <w:rFonts w:ascii="宋体" w:hAnsi="宋体" w:cs="Arial" w:hint="eastAsia"/>
          <w:b/>
          <w:color w:val="000000"/>
          <w:kern w:val="0"/>
          <w:sz w:val="24"/>
        </w:rPr>
        <w:t>投资组合报告附注</w:t>
      </w:r>
    </w:p>
    <w:p w:rsidR="00F13451" w:rsidRPr="00820253" w:rsidRDefault="00F13451" w:rsidP="00A33DF2">
      <w:pPr>
        <w:spacing w:line="360" w:lineRule="auto"/>
        <w:rPr>
          <w:rFonts w:ascii="宋体" w:hAnsi="宋体"/>
          <w:color w:val="000000"/>
          <w:sz w:val="24"/>
        </w:rPr>
      </w:pPr>
      <w:r w:rsidRPr="00820253">
        <w:rPr>
          <w:rFonts w:ascii="宋体" w:hAnsi="宋体"/>
          <w:color w:val="000000"/>
          <w:sz w:val="24"/>
        </w:rPr>
        <w:t>5.10.1</w:t>
      </w:r>
      <w:r w:rsidRPr="00431EE1">
        <w:rPr>
          <w:color w:val="000000"/>
          <w:sz w:val="24"/>
        </w:rPr>
        <w:t>2019</w:t>
      </w:r>
      <w:r w:rsidRPr="00431EE1">
        <w:rPr>
          <w:color w:val="000000"/>
          <w:sz w:val="24"/>
        </w:rPr>
        <w:t>年</w:t>
      </w:r>
      <w:r w:rsidRPr="00431EE1">
        <w:rPr>
          <w:color w:val="000000"/>
          <w:sz w:val="24"/>
        </w:rPr>
        <w:t>3</w:t>
      </w:r>
      <w:r w:rsidRPr="00431EE1">
        <w:rPr>
          <w:color w:val="000000"/>
          <w:sz w:val="24"/>
        </w:rPr>
        <w:t>月</w:t>
      </w:r>
      <w:r w:rsidRPr="00431EE1">
        <w:rPr>
          <w:color w:val="000000"/>
          <w:sz w:val="24"/>
        </w:rPr>
        <w:t>22</w:t>
      </w:r>
      <w:r w:rsidRPr="00431EE1">
        <w:rPr>
          <w:color w:val="000000"/>
          <w:sz w:val="24"/>
        </w:rPr>
        <w:t>日，欧洲反垄断机构欧盟委员会因谷歌违反</w:t>
      </w:r>
      <w:r w:rsidRPr="00431EE1">
        <w:rPr>
          <w:color w:val="000000"/>
          <w:sz w:val="24"/>
        </w:rPr>
        <w:t>“</w:t>
      </w:r>
      <w:r w:rsidRPr="00431EE1">
        <w:rPr>
          <w:color w:val="000000"/>
          <w:sz w:val="24"/>
        </w:rPr>
        <w:t>在线搜索广告规定</w:t>
      </w:r>
      <w:r w:rsidRPr="00431EE1">
        <w:rPr>
          <w:color w:val="000000"/>
          <w:sz w:val="24"/>
        </w:rPr>
        <w:t>”</w:t>
      </w:r>
      <w:r w:rsidRPr="00431EE1">
        <w:rPr>
          <w:color w:val="000000"/>
          <w:sz w:val="24"/>
        </w:rPr>
        <w:t>，屏蔽竞争对手的广告，对其开出</w:t>
      </w:r>
      <w:r w:rsidRPr="00431EE1">
        <w:rPr>
          <w:color w:val="000000"/>
          <w:sz w:val="24"/>
        </w:rPr>
        <w:t>14.9</w:t>
      </w:r>
      <w:r w:rsidRPr="00431EE1">
        <w:rPr>
          <w:color w:val="000000"/>
          <w:sz w:val="24"/>
        </w:rPr>
        <w:t>亿欧元罚款。</w:t>
      </w:r>
    </w:p>
    <w:p w:rsidR="00FC05B7" w:rsidRDefault="00BC53E6">
      <w:pPr>
        <w:spacing w:line="360" w:lineRule="auto"/>
        <w:rPr>
          <w:rFonts w:ascii="宋体" w:hAnsi="宋体"/>
          <w:color w:val="000000"/>
          <w:sz w:val="24"/>
        </w:rPr>
      </w:pPr>
      <w:r>
        <w:rPr>
          <w:color w:val="000000"/>
          <w:sz w:val="24"/>
        </w:rPr>
        <w:t>2019</w:t>
      </w:r>
      <w:r>
        <w:rPr>
          <w:color w:val="000000"/>
          <w:sz w:val="24"/>
        </w:rPr>
        <w:t>年</w:t>
      </w:r>
      <w:r>
        <w:rPr>
          <w:color w:val="000000"/>
          <w:sz w:val="24"/>
        </w:rPr>
        <w:t>4</w:t>
      </w:r>
      <w:r>
        <w:rPr>
          <w:color w:val="000000"/>
          <w:sz w:val="24"/>
        </w:rPr>
        <w:t>月</w:t>
      </w:r>
      <w:r>
        <w:rPr>
          <w:color w:val="000000"/>
          <w:sz w:val="24"/>
        </w:rPr>
        <w:t>11</w:t>
      </w:r>
      <w:r>
        <w:rPr>
          <w:color w:val="000000"/>
          <w:sz w:val="24"/>
        </w:rPr>
        <w:t>日，土耳其个人数据保护局对</w:t>
      </w:r>
      <w:r>
        <w:rPr>
          <w:color w:val="000000"/>
          <w:sz w:val="24"/>
        </w:rPr>
        <w:t>FACEBOOK</w:t>
      </w:r>
      <w:r>
        <w:rPr>
          <w:color w:val="000000"/>
          <w:sz w:val="24"/>
        </w:rPr>
        <w:t>漏洞泄露用户数据的行为处以</w:t>
      </w:r>
      <w:r>
        <w:rPr>
          <w:color w:val="000000"/>
          <w:sz w:val="24"/>
        </w:rPr>
        <w:t>165</w:t>
      </w:r>
      <w:r>
        <w:rPr>
          <w:color w:val="000000"/>
          <w:sz w:val="24"/>
        </w:rPr>
        <w:t>万土耳其里拉的罚款。</w:t>
      </w:r>
    </w:p>
    <w:p w:rsidR="00FC05B7" w:rsidRDefault="00BC53E6">
      <w:pPr>
        <w:spacing w:line="360" w:lineRule="auto"/>
        <w:rPr>
          <w:rFonts w:ascii="宋体" w:hAnsi="宋体"/>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24</w:t>
      </w:r>
      <w:r>
        <w:rPr>
          <w:color w:val="000000"/>
          <w:sz w:val="24"/>
        </w:rPr>
        <w:t>日，美国联邦贸易委员会对</w:t>
      </w:r>
      <w:r>
        <w:rPr>
          <w:color w:val="000000"/>
          <w:sz w:val="24"/>
        </w:rPr>
        <w:t>FACEBOOK</w:t>
      </w:r>
      <w:r>
        <w:rPr>
          <w:color w:val="000000"/>
          <w:sz w:val="24"/>
        </w:rPr>
        <w:t>滥用用户数据的行为处以</w:t>
      </w:r>
      <w:r>
        <w:rPr>
          <w:color w:val="000000"/>
          <w:sz w:val="24"/>
        </w:rPr>
        <w:t>50</w:t>
      </w:r>
      <w:r>
        <w:rPr>
          <w:color w:val="000000"/>
          <w:sz w:val="24"/>
        </w:rPr>
        <w:t>亿美元的罚款。</w:t>
      </w:r>
    </w:p>
    <w:p w:rsidR="00FC05B7" w:rsidRDefault="00BC53E6">
      <w:pPr>
        <w:spacing w:line="360" w:lineRule="auto"/>
        <w:rPr>
          <w:rFonts w:ascii="宋体" w:hAnsi="宋体"/>
          <w:color w:val="000000"/>
          <w:sz w:val="24"/>
        </w:rPr>
      </w:pPr>
      <w:r>
        <w:rPr>
          <w:color w:val="000000"/>
          <w:sz w:val="24"/>
        </w:rPr>
        <w:t>本基金为指数型基金，上述股票系标的指数成份股，上述股票的投资决策程序符合公司投资制度的规定。除谷歌、</w:t>
      </w:r>
      <w:r>
        <w:rPr>
          <w:color w:val="000000"/>
          <w:sz w:val="24"/>
        </w:rPr>
        <w:t>FACEBOOK</w:t>
      </w:r>
      <w:r>
        <w:rPr>
          <w:color w:val="000000"/>
          <w:sz w:val="24"/>
        </w:rPr>
        <w:t>外，本基金投资的前十名证券的发行主体本期没有出现被监管部门立案调查，或在报告编制日前一年内受到公开谴责、处罚的情形。</w:t>
      </w:r>
    </w:p>
    <w:p w:rsidR="00F13451" w:rsidRPr="00431EE1" w:rsidRDefault="00F13451" w:rsidP="00A33DF2">
      <w:pPr>
        <w:spacing w:line="360" w:lineRule="auto"/>
        <w:rPr>
          <w:rFonts w:ascii="Verdana" w:hAnsi="Verdana"/>
          <w:color w:val="000000"/>
          <w:sz w:val="24"/>
        </w:rPr>
      </w:pPr>
      <w:r w:rsidRPr="00820253">
        <w:rPr>
          <w:rFonts w:ascii="宋体" w:hAnsi="宋体"/>
          <w:color w:val="000000"/>
          <w:sz w:val="24"/>
        </w:rPr>
        <w:t>5.10.2</w:t>
      </w:r>
      <w:r w:rsidRPr="00431EE1">
        <w:rPr>
          <w:color w:val="000000"/>
          <w:sz w:val="24"/>
        </w:rPr>
        <w:t>本基金投资的前十名股票没有超出基金合同规定的备选股票库。</w:t>
      </w:r>
    </w:p>
    <w:p w:rsidR="00F13451" w:rsidRPr="005771AC" w:rsidRDefault="00F13451" w:rsidP="00A33DF2">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5.10.3</w:t>
      </w:r>
      <w:r w:rsidRPr="005771AC">
        <w:rPr>
          <w:rFonts w:ascii="宋体" w:hAnsi="宋体" w:cs="Arial" w:hint="eastAsia"/>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序号</w:t>
            </w:r>
          </w:p>
        </w:tc>
        <w:tc>
          <w:tcPr>
            <w:tcW w:w="2903"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名称</w:t>
            </w:r>
          </w:p>
        </w:tc>
        <w:tc>
          <w:tcPr>
            <w:tcW w:w="4808"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金额</w:t>
            </w:r>
            <w:r w:rsidRPr="00431EE1">
              <w:rPr>
                <w:color w:val="000000"/>
                <w:kern w:val="0"/>
                <w:sz w:val="24"/>
              </w:rPr>
              <w:t>(</w:t>
            </w:r>
            <w:r w:rsidRPr="00431EE1">
              <w:rPr>
                <w:color w:val="000000"/>
                <w:kern w:val="0"/>
                <w:sz w:val="24"/>
              </w:rPr>
              <w:t>人民币元</w:t>
            </w: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kern w:val="0"/>
                <w:sz w:val="24"/>
              </w:rPr>
            </w:pPr>
            <w:r w:rsidRPr="00431EE1">
              <w:rPr>
                <w:color w:val="000000"/>
                <w:sz w:val="24"/>
              </w:rPr>
              <w:t>1</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存出保证金</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59,129.44</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2</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应收证券清算款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3</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应收股利</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27,760.93</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4</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应收利息</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1,701.64</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5</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应收申购款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370,732.81</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6</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其他应收款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7</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sz w:val="24"/>
              </w:rPr>
            </w:pPr>
            <w:r w:rsidRPr="00431EE1">
              <w:rPr>
                <w:color w:val="000000"/>
                <w:sz w:val="24"/>
              </w:rPr>
              <w:t>待摊费用</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sz w:val="24"/>
              </w:rPr>
            </w:pPr>
            <w:r w:rsidRPr="00431EE1">
              <w:rPr>
                <w:color w:val="000000"/>
                <w:sz w:val="24"/>
              </w:rPr>
              <w:t>101,668.79</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8</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9</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合计</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560,993.61</w:t>
            </w:r>
          </w:p>
        </w:tc>
      </w:tr>
    </w:tbl>
    <w:p w:rsidR="00F13451" w:rsidRPr="005771AC" w:rsidRDefault="00F13451" w:rsidP="00A33DF2">
      <w:pPr>
        <w:autoSpaceDE w:val="0"/>
        <w:autoSpaceDN w:val="0"/>
        <w:adjustRightInd w:val="0"/>
        <w:spacing w:line="360" w:lineRule="auto"/>
        <w:rPr>
          <w:rFonts w:ascii="宋体" w:cs="Arial"/>
          <w:color w:val="000000"/>
          <w:kern w:val="0"/>
          <w:sz w:val="24"/>
        </w:rPr>
      </w:pPr>
      <w:r w:rsidRPr="005771AC">
        <w:rPr>
          <w:rFonts w:ascii="宋体" w:hAnsi="宋体" w:cs="Arial"/>
          <w:color w:val="000000"/>
          <w:kern w:val="0"/>
          <w:sz w:val="24"/>
        </w:rPr>
        <w:t>5.10.4</w:t>
      </w:r>
      <w:r w:rsidRPr="005771AC">
        <w:rPr>
          <w:rFonts w:ascii="宋体" w:hAnsi="宋体" w:hint="eastAsia"/>
          <w:bCs/>
          <w:sz w:val="24"/>
        </w:rPr>
        <w:t>报告期末持有的处于转股期的可转换债券明细</w:t>
      </w:r>
    </w:p>
    <w:p w:rsidR="00F13451" w:rsidRPr="0040658E" w:rsidRDefault="00F13451" w:rsidP="0040658E">
      <w:pPr>
        <w:spacing w:line="360" w:lineRule="auto"/>
        <w:ind w:firstLineChars="200" w:firstLine="480"/>
        <w:rPr>
          <w:color w:val="000000"/>
          <w:sz w:val="24"/>
        </w:rPr>
      </w:pPr>
      <w:r w:rsidRPr="0040658E">
        <w:rPr>
          <w:color w:val="000000"/>
          <w:sz w:val="24"/>
        </w:rPr>
        <w:t>本基金本报告期末未持有处于转股期的可转换债券。</w:t>
      </w:r>
    </w:p>
    <w:p w:rsidR="00F33530" w:rsidRPr="00CA4176" w:rsidRDefault="00F13451" w:rsidP="00F33530">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5.10.5</w:t>
      </w:r>
      <w:r w:rsidR="00F33530" w:rsidRPr="00CA4176">
        <w:rPr>
          <w:rFonts w:ascii="宋体" w:hAnsi="宋体" w:cs="Arial" w:hint="eastAsia"/>
          <w:color w:val="000000"/>
          <w:kern w:val="0"/>
          <w:sz w:val="24"/>
        </w:rPr>
        <w:t>报告期末前十名股票中存在流通受限情况的说明</w:t>
      </w:r>
    </w:p>
    <w:p w:rsidR="00F13451" w:rsidRPr="00F33530" w:rsidRDefault="00F33530" w:rsidP="00F33530">
      <w:pPr>
        <w:spacing w:line="360" w:lineRule="auto"/>
        <w:ind w:firstLineChars="200" w:firstLine="480"/>
        <w:rPr>
          <w:color w:val="000000"/>
          <w:sz w:val="24"/>
        </w:rPr>
      </w:pPr>
      <w:r w:rsidRPr="00DB3360">
        <w:rPr>
          <w:color w:val="000000"/>
          <w:sz w:val="24"/>
        </w:rPr>
        <w:t>本基金本报告期末前十名股票中不存在流通受限情况。</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Pr>
          <w:rFonts w:ascii="宋体" w:hAnsi="宋体" w:cs="Arial"/>
          <w:color w:val="000000"/>
          <w:kern w:val="0"/>
          <w:sz w:val="24"/>
          <w:szCs w:val="24"/>
        </w:rPr>
        <w:t>6</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开放式基金份额变动</w:t>
      </w:r>
    </w:p>
    <w:p w:rsidR="00F13451" w:rsidRPr="00820253" w:rsidRDefault="00F13451" w:rsidP="008B6A4A">
      <w:pPr>
        <w:autoSpaceDE w:val="0"/>
        <w:autoSpaceDN w:val="0"/>
        <w:adjustRightInd w:val="0"/>
        <w:spacing w:before="29" w:line="360" w:lineRule="auto"/>
        <w:ind w:left="15"/>
        <w:jc w:val="right"/>
        <w:rPr>
          <w:rFonts w:ascii="宋体" w:cs="Arial"/>
          <w:color w:val="000000"/>
          <w:kern w:val="0"/>
          <w:sz w:val="24"/>
        </w:rPr>
      </w:pPr>
      <w:r w:rsidRPr="00820253">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4609"/>
        <w:gridCol w:w="4025"/>
      </w:tblGrid>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78,483,210.26</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29,829,435.04</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27,170,047.68</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81,142,597.62</w:t>
            </w:r>
          </w:p>
        </w:tc>
      </w:tr>
    </w:tbl>
    <w:p w:rsidR="00F13451" w:rsidRPr="0040658E" w:rsidRDefault="00F13451" w:rsidP="0040658E">
      <w:pPr>
        <w:spacing w:line="360" w:lineRule="auto"/>
        <w:ind w:firstLineChars="200" w:firstLine="480"/>
        <w:rPr>
          <w:color w:val="000000"/>
          <w:sz w:val="24"/>
        </w:rPr>
      </w:pPr>
      <w:r w:rsidRPr="0040658E">
        <w:rPr>
          <w:color w:val="000000"/>
          <w:sz w:val="24"/>
        </w:rPr>
        <w:t>注：本基金份额变动含易方达纳斯达克</w:t>
      </w:r>
      <w:r w:rsidRPr="0040658E">
        <w:rPr>
          <w:color w:val="000000"/>
          <w:sz w:val="24"/>
        </w:rPr>
        <w:t>100</w:t>
      </w:r>
      <w:r w:rsidRPr="0040658E">
        <w:rPr>
          <w:color w:val="000000"/>
          <w:sz w:val="24"/>
        </w:rPr>
        <w:t>指数（</w:t>
      </w:r>
      <w:r w:rsidRPr="0040658E">
        <w:rPr>
          <w:color w:val="000000"/>
          <w:sz w:val="24"/>
        </w:rPr>
        <w:t>QDII-LOF</w:t>
      </w:r>
      <w:r w:rsidRPr="0040658E">
        <w:rPr>
          <w:color w:val="000000"/>
          <w:sz w:val="24"/>
        </w:rPr>
        <w:t>）人民币份额及美元现汇份额。</w:t>
      </w:r>
    </w:p>
    <w:p w:rsidR="00F13451" w:rsidRPr="00264E55" w:rsidRDefault="00F13451" w:rsidP="008B041C">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color w:val="000000"/>
          <w:kern w:val="0"/>
          <w:sz w:val="24"/>
          <w:szCs w:val="24"/>
        </w:rPr>
        <w:t>7</w:t>
      </w:r>
      <w:r w:rsidR="00FD0A58" w:rsidRPr="00820253">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R="00F13451" w:rsidRPr="0040658E" w:rsidRDefault="00F13451" w:rsidP="0040658E">
      <w:pPr>
        <w:spacing w:line="360" w:lineRule="auto"/>
        <w:ind w:firstLineChars="200" w:firstLine="480"/>
        <w:rPr>
          <w:color w:val="000000"/>
          <w:sz w:val="24"/>
        </w:rPr>
      </w:pPr>
      <w:r w:rsidRPr="0040658E">
        <w:rPr>
          <w:color w:val="000000"/>
          <w:sz w:val="24"/>
        </w:rPr>
        <w:t>本报告期内基金管理人未运用固有资金申购、赎回、买卖本基金份额。</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8</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备查文件目录</w:t>
      </w:r>
    </w:p>
    <w:p w:rsidR="00F13451" w:rsidRPr="00D67E63" w:rsidRDefault="00F13451" w:rsidP="00CF2C2A">
      <w:pPr>
        <w:spacing w:line="360" w:lineRule="auto"/>
        <w:rPr>
          <w:rFonts w:ascii="宋体"/>
          <w:b/>
          <w:sz w:val="24"/>
        </w:rPr>
      </w:pPr>
      <w:r w:rsidRPr="00D67E63">
        <w:rPr>
          <w:rFonts w:ascii="宋体" w:hAnsi="宋体"/>
          <w:b/>
          <w:sz w:val="24"/>
        </w:rPr>
        <w:t xml:space="preserve">8.1 </w:t>
      </w:r>
      <w:r w:rsidRPr="00D67E63">
        <w:rPr>
          <w:rFonts w:ascii="宋体" w:hAnsi="宋体" w:hint="eastAsia"/>
          <w:b/>
          <w:sz w:val="24"/>
        </w:rPr>
        <w:t>备查文件目录</w:t>
      </w:r>
    </w:p>
    <w:p w:rsidR="00FC05B7" w:rsidRDefault="00BC53E6">
      <w:pPr>
        <w:spacing w:line="360" w:lineRule="auto"/>
        <w:ind w:firstLineChars="200" w:firstLine="480"/>
        <w:rPr>
          <w:color w:val="000000"/>
          <w:sz w:val="24"/>
        </w:rPr>
      </w:pPr>
      <w:r>
        <w:rPr>
          <w:color w:val="000000"/>
          <w:sz w:val="24"/>
        </w:rPr>
        <w:t xml:space="preserve">1. </w:t>
      </w:r>
      <w:r>
        <w:rPr>
          <w:color w:val="000000"/>
          <w:sz w:val="24"/>
        </w:rPr>
        <w:t>中国证监会准予易方达纳斯达克</w:t>
      </w:r>
      <w:r>
        <w:rPr>
          <w:color w:val="000000"/>
          <w:sz w:val="24"/>
        </w:rPr>
        <w:t>100</w:t>
      </w:r>
      <w:r>
        <w:rPr>
          <w:color w:val="000000"/>
          <w:sz w:val="24"/>
        </w:rPr>
        <w:t>指数证券投资基金（</w:t>
      </w:r>
      <w:r>
        <w:rPr>
          <w:color w:val="000000"/>
          <w:sz w:val="24"/>
        </w:rPr>
        <w:t>LOF</w:t>
      </w:r>
      <w:r>
        <w:rPr>
          <w:color w:val="000000"/>
          <w:sz w:val="24"/>
        </w:rPr>
        <w:t>）注册的文件；</w:t>
      </w:r>
    </w:p>
    <w:p w:rsidR="00FC05B7" w:rsidRDefault="00BC53E6">
      <w:pPr>
        <w:spacing w:line="360" w:lineRule="auto"/>
        <w:ind w:firstLineChars="200" w:firstLine="480"/>
        <w:rPr>
          <w:color w:val="000000"/>
          <w:sz w:val="24"/>
        </w:rPr>
      </w:pPr>
      <w:r>
        <w:rPr>
          <w:color w:val="000000"/>
          <w:sz w:val="24"/>
        </w:rPr>
        <w:t xml:space="preserve">2. </w:t>
      </w:r>
      <w:r>
        <w:rPr>
          <w:color w:val="000000"/>
          <w:sz w:val="24"/>
        </w:rPr>
        <w:t>《易方达纳斯达克</w:t>
      </w:r>
      <w:r>
        <w:rPr>
          <w:color w:val="000000"/>
          <w:sz w:val="24"/>
        </w:rPr>
        <w:t>100</w:t>
      </w:r>
      <w:r>
        <w:rPr>
          <w:color w:val="000000"/>
          <w:sz w:val="24"/>
        </w:rPr>
        <w:t>指数证券投资基金（</w:t>
      </w:r>
      <w:r>
        <w:rPr>
          <w:color w:val="000000"/>
          <w:sz w:val="24"/>
        </w:rPr>
        <w:t>LOF</w:t>
      </w:r>
      <w:r>
        <w:rPr>
          <w:color w:val="000000"/>
          <w:sz w:val="24"/>
        </w:rPr>
        <w:t>）基金合同》；</w:t>
      </w:r>
    </w:p>
    <w:p w:rsidR="00FC05B7" w:rsidRDefault="00BC53E6">
      <w:pPr>
        <w:spacing w:line="360" w:lineRule="auto"/>
        <w:ind w:firstLineChars="200" w:firstLine="480"/>
        <w:rPr>
          <w:color w:val="000000"/>
          <w:sz w:val="24"/>
        </w:rPr>
      </w:pPr>
      <w:r>
        <w:rPr>
          <w:color w:val="000000"/>
          <w:sz w:val="24"/>
        </w:rPr>
        <w:t xml:space="preserve">3. </w:t>
      </w:r>
      <w:r>
        <w:rPr>
          <w:color w:val="000000"/>
          <w:sz w:val="24"/>
        </w:rPr>
        <w:t>《易方达纳斯达克</w:t>
      </w:r>
      <w:r>
        <w:rPr>
          <w:color w:val="000000"/>
          <w:sz w:val="24"/>
        </w:rPr>
        <w:t>100</w:t>
      </w:r>
      <w:r>
        <w:rPr>
          <w:color w:val="000000"/>
          <w:sz w:val="24"/>
        </w:rPr>
        <w:t>指数证券投资基金（</w:t>
      </w:r>
      <w:r>
        <w:rPr>
          <w:color w:val="000000"/>
          <w:sz w:val="24"/>
        </w:rPr>
        <w:t>LOF</w:t>
      </w:r>
      <w:r>
        <w:rPr>
          <w:color w:val="000000"/>
          <w:sz w:val="24"/>
        </w:rPr>
        <w:t>）托管协议》；</w:t>
      </w:r>
    </w:p>
    <w:p w:rsidR="00F13451" w:rsidRPr="00431EE1" w:rsidRDefault="00F13451" w:rsidP="00431EE1">
      <w:pPr>
        <w:spacing w:line="360" w:lineRule="auto"/>
        <w:ind w:firstLineChars="200" w:firstLine="480"/>
        <w:rPr>
          <w:color w:val="000000"/>
          <w:sz w:val="24"/>
        </w:rPr>
      </w:pPr>
      <w:r w:rsidRPr="0040658E">
        <w:rPr>
          <w:color w:val="000000"/>
          <w:sz w:val="24"/>
        </w:rPr>
        <w:t xml:space="preserve">4. </w:t>
      </w:r>
      <w:r w:rsidRPr="0040658E">
        <w:rPr>
          <w:color w:val="000000"/>
          <w:sz w:val="24"/>
        </w:rPr>
        <w:t>基金管理人业务资格批件和营业执照。</w:t>
      </w:r>
    </w:p>
    <w:p w:rsidR="00F13451" w:rsidRPr="00D67E63" w:rsidRDefault="00F13451" w:rsidP="00CF2C2A">
      <w:pPr>
        <w:spacing w:line="360" w:lineRule="auto"/>
        <w:rPr>
          <w:rFonts w:ascii="宋体"/>
          <w:b/>
          <w:sz w:val="24"/>
        </w:rPr>
      </w:pPr>
      <w:r w:rsidRPr="00D67E63">
        <w:rPr>
          <w:rFonts w:ascii="宋体" w:hAnsi="宋体"/>
          <w:b/>
          <w:sz w:val="24"/>
        </w:rPr>
        <w:t xml:space="preserve">8.2 </w:t>
      </w:r>
      <w:r w:rsidRPr="00D67E63">
        <w:rPr>
          <w:rFonts w:ascii="宋体" w:hAnsi="宋体" w:hint="eastAsia"/>
          <w:b/>
          <w:sz w:val="24"/>
        </w:rPr>
        <w:t>存放地点</w:t>
      </w:r>
    </w:p>
    <w:p w:rsidR="00F13451" w:rsidRPr="00431EE1" w:rsidRDefault="00F13451" w:rsidP="00431EE1">
      <w:pPr>
        <w:spacing w:line="360" w:lineRule="auto"/>
        <w:ind w:firstLineChars="200" w:firstLine="480"/>
        <w:rPr>
          <w:color w:val="000000"/>
          <w:sz w:val="24"/>
        </w:rPr>
      </w:pPr>
      <w:r w:rsidRPr="0040658E">
        <w:rPr>
          <w:color w:val="000000"/>
          <w:sz w:val="24"/>
        </w:rPr>
        <w:t>广州市天河区珠江新城珠江东路</w:t>
      </w:r>
      <w:r w:rsidRPr="0040658E">
        <w:rPr>
          <w:color w:val="000000"/>
          <w:sz w:val="24"/>
        </w:rPr>
        <w:t>30</w:t>
      </w:r>
      <w:r w:rsidRPr="0040658E">
        <w:rPr>
          <w:color w:val="000000"/>
          <w:sz w:val="24"/>
        </w:rPr>
        <w:t>号广州银行大厦</w:t>
      </w:r>
      <w:r w:rsidRPr="0040658E">
        <w:rPr>
          <w:color w:val="000000"/>
          <w:sz w:val="24"/>
        </w:rPr>
        <w:t>40-43</w:t>
      </w:r>
      <w:r w:rsidRPr="0040658E">
        <w:rPr>
          <w:color w:val="000000"/>
          <w:sz w:val="24"/>
        </w:rPr>
        <w:t>楼。</w:t>
      </w:r>
    </w:p>
    <w:p w:rsidR="00F13451" w:rsidRPr="00D67E63" w:rsidRDefault="00F13451" w:rsidP="00CF2C2A">
      <w:pPr>
        <w:spacing w:line="360" w:lineRule="auto"/>
        <w:rPr>
          <w:rFonts w:ascii="宋体"/>
          <w:b/>
          <w:sz w:val="24"/>
        </w:rPr>
      </w:pPr>
      <w:r w:rsidRPr="00D67E63">
        <w:rPr>
          <w:rFonts w:ascii="宋体" w:hAnsi="宋体"/>
          <w:b/>
          <w:sz w:val="24"/>
        </w:rPr>
        <w:t xml:space="preserve">8.3 </w:t>
      </w:r>
      <w:r w:rsidRPr="00D67E63">
        <w:rPr>
          <w:rFonts w:ascii="宋体" w:hAnsi="宋体" w:hint="eastAsia"/>
          <w:b/>
          <w:sz w:val="24"/>
        </w:rPr>
        <w:t>查阅方式</w:t>
      </w:r>
    </w:p>
    <w:p w:rsidR="00F13451" w:rsidRPr="0040658E" w:rsidRDefault="00F13451" w:rsidP="00476756">
      <w:pPr>
        <w:spacing w:line="360" w:lineRule="auto"/>
        <w:ind w:firstLineChars="200" w:firstLine="480"/>
        <w:rPr>
          <w:color w:val="000000"/>
          <w:sz w:val="24"/>
        </w:rPr>
      </w:pPr>
      <w:r w:rsidRPr="0040658E">
        <w:rPr>
          <w:color w:val="000000"/>
          <w:sz w:val="24"/>
        </w:rPr>
        <w:t>投资者可在营业时间免费查阅，也可按工本费购买复印件。</w:t>
      </w:r>
    </w:p>
    <w:p w:rsidR="00F13451" w:rsidRPr="00820253" w:rsidRDefault="00F13451" w:rsidP="00476756">
      <w:pPr>
        <w:spacing w:line="360" w:lineRule="auto"/>
        <w:ind w:firstLineChars="200" w:firstLine="480"/>
        <w:rPr>
          <w:rFonts w:ascii="宋体" w:hAns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Pr="00820253" w:rsidRDefault="00F13451" w:rsidP="00476756">
      <w:pPr>
        <w:spacing w:line="360" w:lineRule="auto"/>
        <w:ind w:firstLineChars="200" w:firstLine="480"/>
        <w:rPr>
          <w:rFonts w:ascii="宋体"/>
          <w:color w:val="000000"/>
          <w:sz w:val="24"/>
        </w:rPr>
      </w:pP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易方达基金管理有限公司</w:t>
      </w: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二〇一九年十月二十四日</w:t>
      </w:r>
    </w:p>
    <w:sectPr w:rsidR="00F13451" w:rsidRPr="00820253"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0F" w:rsidRDefault="000B270F">
      <w:r>
        <w:separator/>
      </w:r>
    </w:p>
  </w:endnote>
  <w:endnote w:type="continuationSeparator" w:id="0">
    <w:p w:rsidR="000B270F" w:rsidRDefault="000B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1D0DB0" w:rsidRDefault="00F13451" w:rsidP="00D6226F">
    <w:pPr>
      <w:pStyle w:val="a6"/>
      <w:jc w:val="center"/>
    </w:pPr>
    <w:r>
      <w:rPr>
        <w:rFonts w:hint="eastAsia"/>
        <w:szCs w:val="21"/>
      </w:rPr>
      <w:t>第</w:t>
    </w:r>
    <w:r w:rsidR="00D12F5B">
      <w:rPr>
        <w:szCs w:val="21"/>
      </w:rPr>
      <w:fldChar w:fldCharType="begin"/>
    </w:r>
    <w:r>
      <w:rPr>
        <w:szCs w:val="21"/>
      </w:rPr>
      <w:instrText xml:space="preserve"> PAGE </w:instrText>
    </w:r>
    <w:r w:rsidR="00D12F5B">
      <w:rPr>
        <w:szCs w:val="21"/>
      </w:rPr>
      <w:fldChar w:fldCharType="separate"/>
    </w:r>
    <w:r w:rsidR="00BC53E6">
      <w:rPr>
        <w:noProof/>
        <w:szCs w:val="21"/>
      </w:rPr>
      <w:t>1</w:t>
    </w:r>
    <w:r w:rsidR="00D12F5B">
      <w:rPr>
        <w:szCs w:val="21"/>
      </w:rPr>
      <w:fldChar w:fldCharType="end"/>
    </w:r>
    <w:r>
      <w:rPr>
        <w:rFonts w:hint="eastAsia"/>
        <w:szCs w:val="21"/>
      </w:rPr>
      <w:t>页共</w:t>
    </w:r>
    <w:r w:rsidR="00D12F5B">
      <w:rPr>
        <w:szCs w:val="21"/>
      </w:rPr>
      <w:fldChar w:fldCharType="begin"/>
    </w:r>
    <w:r>
      <w:rPr>
        <w:szCs w:val="21"/>
      </w:rPr>
      <w:instrText xml:space="preserve"> NUMPAGES </w:instrText>
    </w:r>
    <w:r w:rsidR="00D12F5B">
      <w:rPr>
        <w:szCs w:val="21"/>
      </w:rPr>
      <w:fldChar w:fldCharType="separate"/>
    </w:r>
    <w:r w:rsidR="00BC53E6">
      <w:rPr>
        <w:noProof/>
        <w:szCs w:val="21"/>
      </w:rPr>
      <w:t>3</w:t>
    </w:r>
    <w:r w:rsidR="00D12F5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end"/>
    </w:r>
  </w:p>
  <w:p w:rsidR="00F13451" w:rsidRDefault="00F1345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separate"/>
    </w:r>
    <w:r w:rsidR="00BC53E6">
      <w:rPr>
        <w:rStyle w:val="a7"/>
        <w:noProof/>
      </w:rPr>
      <w:t>15</w:t>
    </w:r>
    <w:r>
      <w:rPr>
        <w:rStyle w:val="a7"/>
      </w:rPr>
      <w:fldChar w:fldCharType="end"/>
    </w:r>
  </w:p>
  <w:p w:rsidR="00F13451" w:rsidRDefault="00F1345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0F" w:rsidRDefault="000B270F">
      <w:r>
        <w:separator/>
      </w:r>
    </w:p>
  </w:footnote>
  <w:footnote w:type="continuationSeparator" w:id="0">
    <w:p w:rsidR="000B270F" w:rsidRDefault="000B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5771AC" w:rsidRDefault="00F13451" w:rsidP="004E30FB">
    <w:pPr>
      <w:pStyle w:val="a9"/>
      <w:pBdr>
        <w:bottom w:val="single" w:sz="6" w:space="0" w:color="auto"/>
      </w:pBdr>
      <w:jc w:val="right"/>
      <w:rPr>
        <w:sz w:val="15"/>
      </w:rPr>
    </w:pPr>
    <w:r w:rsidRPr="005771AC">
      <w:rPr>
        <w:szCs w:val="21"/>
      </w:rPr>
      <w:t>易方达纳斯达克</w:t>
    </w:r>
    <w:r w:rsidRPr="005771AC">
      <w:rPr>
        <w:szCs w:val="21"/>
      </w:rPr>
      <w:t>100</w:t>
    </w:r>
    <w:r w:rsidRPr="005771AC">
      <w:rPr>
        <w:szCs w:val="21"/>
      </w:rPr>
      <w:t>指数证券投资基金（</w:t>
    </w:r>
    <w:r w:rsidRPr="005771AC">
      <w:rPr>
        <w:szCs w:val="21"/>
      </w:rPr>
      <w:t>LOF</w:t>
    </w:r>
    <w:r w:rsidRPr="005771AC">
      <w:rPr>
        <w:szCs w:val="21"/>
      </w:rPr>
      <w:t>）</w:t>
    </w:r>
    <w:r w:rsidRPr="005771AC">
      <w:rPr>
        <w:szCs w:val="21"/>
      </w:rPr>
      <w:t>2019</w:t>
    </w:r>
    <w:r w:rsidRPr="005771AC">
      <w:rPr>
        <w:szCs w:val="21"/>
      </w:rPr>
      <w:t>年第</w:t>
    </w:r>
    <w:r w:rsidRPr="005771AC">
      <w:rPr>
        <w:szCs w:val="21"/>
      </w:rPr>
      <w:t>3</w:t>
    </w:r>
    <w:r w:rsidRPr="005771AC">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403B"/>
    <w:rsid w:val="00005911"/>
    <w:rsid w:val="00010A83"/>
    <w:rsid w:val="00010A8E"/>
    <w:rsid w:val="00010AC3"/>
    <w:rsid w:val="00011EB5"/>
    <w:rsid w:val="00015F91"/>
    <w:rsid w:val="00017581"/>
    <w:rsid w:val="00020583"/>
    <w:rsid w:val="00021DD4"/>
    <w:rsid w:val="00023BE7"/>
    <w:rsid w:val="0003337A"/>
    <w:rsid w:val="00037FCF"/>
    <w:rsid w:val="00041AB5"/>
    <w:rsid w:val="000421B8"/>
    <w:rsid w:val="00043ABF"/>
    <w:rsid w:val="000445E4"/>
    <w:rsid w:val="00045AE7"/>
    <w:rsid w:val="000510AB"/>
    <w:rsid w:val="00052312"/>
    <w:rsid w:val="00054EC2"/>
    <w:rsid w:val="00055AF1"/>
    <w:rsid w:val="00055B0F"/>
    <w:rsid w:val="00057A02"/>
    <w:rsid w:val="00062875"/>
    <w:rsid w:val="00063A8D"/>
    <w:rsid w:val="00064AE3"/>
    <w:rsid w:val="00066524"/>
    <w:rsid w:val="0006691E"/>
    <w:rsid w:val="00067332"/>
    <w:rsid w:val="00070CD1"/>
    <w:rsid w:val="0007171B"/>
    <w:rsid w:val="00081D05"/>
    <w:rsid w:val="00087CF7"/>
    <w:rsid w:val="00094876"/>
    <w:rsid w:val="00094F45"/>
    <w:rsid w:val="00095912"/>
    <w:rsid w:val="00095CE0"/>
    <w:rsid w:val="00096933"/>
    <w:rsid w:val="00097230"/>
    <w:rsid w:val="000A19F3"/>
    <w:rsid w:val="000A457E"/>
    <w:rsid w:val="000A549A"/>
    <w:rsid w:val="000A72F2"/>
    <w:rsid w:val="000B0C56"/>
    <w:rsid w:val="000B22B8"/>
    <w:rsid w:val="000B270F"/>
    <w:rsid w:val="000B3274"/>
    <w:rsid w:val="000B3E43"/>
    <w:rsid w:val="000B69EF"/>
    <w:rsid w:val="000C1723"/>
    <w:rsid w:val="000C1B20"/>
    <w:rsid w:val="000C1B73"/>
    <w:rsid w:val="000C21D1"/>
    <w:rsid w:val="000C4107"/>
    <w:rsid w:val="000C4586"/>
    <w:rsid w:val="000C45E7"/>
    <w:rsid w:val="000C4E2D"/>
    <w:rsid w:val="000C6C23"/>
    <w:rsid w:val="000C6F3E"/>
    <w:rsid w:val="000D01F4"/>
    <w:rsid w:val="000D0BF3"/>
    <w:rsid w:val="000D121F"/>
    <w:rsid w:val="000D1519"/>
    <w:rsid w:val="000E237B"/>
    <w:rsid w:val="000E4456"/>
    <w:rsid w:val="000E5D28"/>
    <w:rsid w:val="000E6DC4"/>
    <w:rsid w:val="000F161C"/>
    <w:rsid w:val="000F175F"/>
    <w:rsid w:val="000F17D1"/>
    <w:rsid w:val="000F268E"/>
    <w:rsid w:val="000F5F24"/>
    <w:rsid w:val="000F60FF"/>
    <w:rsid w:val="000F635F"/>
    <w:rsid w:val="000F6C61"/>
    <w:rsid w:val="000F6EE9"/>
    <w:rsid w:val="00100C12"/>
    <w:rsid w:val="00100C16"/>
    <w:rsid w:val="00104514"/>
    <w:rsid w:val="001045AA"/>
    <w:rsid w:val="001049B6"/>
    <w:rsid w:val="001051C6"/>
    <w:rsid w:val="0010694D"/>
    <w:rsid w:val="0011177A"/>
    <w:rsid w:val="001120D4"/>
    <w:rsid w:val="00112E27"/>
    <w:rsid w:val="00114B31"/>
    <w:rsid w:val="00116E31"/>
    <w:rsid w:val="00120B9A"/>
    <w:rsid w:val="0012150F"/>
    <w:rsid w:val="0012304E"/>
    <w:rsid w:val="00123B10"/>
    <w:rsid w:val="001248EF"/>
    <w:rsid w:val="001257C7"/>
    <w:rsid w:val="001265C5"/>
    <w:rsid w:val="00126DDF"/>
    <w:rsid w:val="001270BF"/>
    <w:rsid w:val="00127BAC"/>
    <w:rsid w:val="00132AAE"/>
    <w:rsid w:val="00140E80"/>
    <w:rsid w:val="00142A56"/>
    <w:rsid w:val="00143B45"/>
    <w:rsid w:val="00144DF5"/>
    <w:rsid w:val="00145630"/>
    <w:rsid w:val="00145A97"/>
    <w:rsid w:val="00146485"/>
    <w:rsid w:val="00150AD6"/>
    <w:rsid w:val="001522EE"/>
    <w:rsid w:val="00154ADA"/>
    <w:rsid w:val="0015531A"/>
    <w:rsid w:val="0016041C"/>
    <w:rsid w:val="00163B27"/>
    <w:rsid w:val="00165317"/>
    <w:rsid w:val="0017043B"/>
    <w:rsid w:val="00171BAD"/>
    <w:rsid w:val="00172B84"/>
    <w:rsid w:val="0017526D"/>
    <w:rsid w:val="001756A1"/>
    <w:rsid w:val="001761EE"/>
    <w:rsid w:val="00176EAA"/>
    <w:rsid w:val="0017725A"/>
    <w:rsid w:val="00177C4B"/>
    <w:rsid w:val="0018154C"/>
    <w:rsid w:val="0018325A"/>
    <w:rsid w:val="00186199"/>
    <w:rsid w:val="001878B0"/>
    <w:rsid w:val="001928F7"/>
    <w:rsid w:val="00194537"/>
    <w:rsid w:val="00194F40"/>
    <w:rsid w:val="001A149A"/>
    <w:rsid w:val="001A21A9"/>
    <w:rsid w:val="001A4814"/>
    <w:rsid w:val="001A59D8"/>
    <w:rsid w:val="001A5FA6"/>
    <w:rsid w:val="001B2F0C"/>
    <w:rsid w:val="001B2FB1"/>
    <w:rsid w:val="001B63AB"/>
    <w:rsid w:val="001B7820"/>
    <w:rsid w:val="001B7E94"/>
    <w:rsid w:val="001C1984"/>
    <w:rsid w:val="001C37F6"/>
    <w:rsid w:val="001C6288"/>
    <w:rsid w:val="001C7614"/>
    <w:rsid w:val="001D0DB0"/>
    <w:rsid w:val="001D0F6A"/>
    <w:rsid w:val="001D161E"/>
    <w:rsid w:val="001D21BC"/>
    <w:rsid w:val="001D2FA5"/>
    <w:rsid w:val="001D35E0"/>
    <w:rsid w:val="001D5045"/>
    <w:rsid w:val="001D5A44"/>
    <w:rsid w:val="001D724B"/>
    <w:rsid w:val="001D7693"/>
    <w:rsid w:val="001D79D5"/>
    <w:rsid w:val="001E04A5"/>
    <w:rsid w:val="001E11D3"/>
    <w:rsid w:val="001E2A6A"/>
    <w:rsid w:val="001E3DC2"/>
    <w:rsid w:val="001E52F8"/>
    <w:rsid w:val="001E56FF"/>
    <w:rsid w:val="001E5C6B"/>
    <w:rsid w:val="001F03E1"/>
    <w:rsid w:val="001F3CC6"/>
    <w:rsid w:val="001F4530"/>
    <w:rsid w:val="002010DE"/>
    <w:rsid w:val="00202968"/>
    <w:rsid w:val="00202C32"/>
    <w:rsid w:val="00203AEF"/>
    <w:rsid w:val="00211A26"/>
    <w:rsid w:val="002125F7"/>
    <w:rsid w:val="00214463"/>
    <w:rsid w:val="00214756"/>
    <w:rsid w:val="00215CF2"/>
    <w:rsid w:val="00221174"/>
    <w:rsid w:val="0022167B"/>
    <w:rsid w:val="002267F8"/>
    <w:rsid w:val="002328FE"/>
    <w:rsid w:val="002359EB"/>
    <w:rsid w:val="002363AB"/>
    <w:rsid w:val="0024260D"/>
    <w:rsid w:val="00245012"/>
    <w:rsid w:val="0024504E"/>
    <w:rsid w:val="0024651F"/>
    <w:rsid w:val="0025007C"/>
    <w:rsid w:val="0025158D"/>
    <w:rsid w:val="0025281A"/>
    <w:rsid w:val="00253D3C"/>
    <w:rsid w:val="00254F37"/>
    <w:rsid w:val="00255292"/>
    <w:rsid w:val="00256097"/>
    <w:rsid w:val="00257D2B"/>
    <w:rsid w:val="00260200"/>
    <w:rsid w:val="00263405"/>
    <w:rsid w:val="002648D8"/>
    <w:rsid w:val="00264E55"/>
    <w:rsid w:val="00265865"/>
    <w:rsid w:val="00273C7E"/>
    <w:rsid w:val="00273F86"/>
    <w:rsid w:val="0027678D"/>
    <w:rsid w:val="002774F0"/>
    <w:rsid w:val="0028017D"/>
    <w:rsid w:val="0028459B"/>
    <w:rsid w:val="00284C5F"/>
    <w:rsid w:val="00284EC5"/>
    <w:rsid w:val="002873F0"/>
    <w:rsid w:val="002964F9"/>
    <w:rsid w:val="0029671E"/>
    <w:rsid w:val="00297B13"/>
    <w:rsid w:val="002A1F14"/>
    <w:rsid w:val="002A2678"/>
    <w:rsid w:val="002A2E01"/>
    <w:rsid w:val="002A398F"/>
    <w:rsid w:val="002A530F"/>
    <w:rsid w:val="002A5C6B"/>
    <w:rsid w:val="002A5D31"/>
    <w:rsid w:val="002A714F"/>
    <w:rsid w:val="002B1851"/>
    <w:rsid w:val="002B27FF"/>
    <w:rsid w:val="002B4320"/>
    <w:rsid w:val="002B61C3"/>
    <w:rsid w:val="002B6793"/>
    <w:rsid w:val="002C1726"/>
    <w:rsid w:val="002C21A6"/>
    <w:rsid w:val="002C26D5"/>
    <w:rsid w:val="002C5777"/>
    <w:rsid w:val="002D31BB"/>
    <w:rsid w:val="002D32E3"/>
    <w:rsid w:val="002E09F5"/>
    <w:rsid w:val="002E0FEB"/>
    <w:rsid w:val="002E26F5"/>
    <w:rsid w:val="002E5FE7"/>
    <w:rsid w:val="002F0F79"/>
    <w:rsid w:val="002F2234"/>
    <w:rsid w:val="002F235F"/>
    <w:rsid w:val="002F2713"/>
    <w:rsid w:val="002F280E"/>
    <w:rsid w:val="002F3709"/>
    <w:rsid w:val="002F3A6C"/>
    <w:rsid w:val="002F4296"/>
    <w:rsid w:val="002F5D32"/>
    <w:rsid w:val="002F7F82"/>
    <w:rsid w:val="00300951"/>
    <w:rsid w:val="00300E97"/>
    <w:rsid w:val="003019A8"/>
    <w:rsid w:val="00302CA8"/>
    <w:rsid w:val="00302DE9"/>
    <w:rsid w:val="00305084"/>
    <w:rsid w:val="00311094"/>
    <w:rsid w:val="0031598C"/>
    <w:rsid w:val="0031668C"/>
    <w:rsid w:val="003204E9"/>
    <w:rsid w:val="00321E8C"/>
    <w:rsid w:val="00322A86"/>
    <w:rsid w:val="00323AE8"/>
    <w:rsid w:val="00324548"/>
    <w:rsid w:val="0032500D"/>
    <w:rsid w:val="003251F4"/>
    <w:rsid w:val="003303E3"/>
    <w:rsid w:val="003329EA"/>
    <w:rsid w:val="003370F8"/>
    <w:rsid w:val="00340499"/>
    <w:rsid w:val="003407A5"/>
    <w:rsid w:val="00341188"/>
    <w:rsid w:val="0034147B"/>
    <w:rsid w:val="00350238"/>
    <w:rsid w:val="0035109C"/>
    <w:rsid w:val="00351F0A"/>
    <w:rsid w:val="0035432B"/>
    <w:rsid w:val="0035691D"/>
    <w:rsid w:val="00361E7E"/>
    <w:rsid w:val="00366726"/>
    <w:rsid w:val="00367057"/>
    <w:rsid w:val="00370AA4"/>
    <w:rsid w:val="00371FF4"/>
    <w:rsid w:val="003745DA"/>
    <w:rsid w:val="00377520"/>
    <w:rsid w:val="00380D36"/>
    <w:rsid w:val="003812A5"/>
    <w:rsid w:val="003822D3"/>
    <w:rsid w:val="0038257F"/>
    <w:rsid w:val="00385AB9"/>
    <w:rsid w:val="00385E16"/>
    <w:rsid w:val="00386630"/>
    <w:rsid w:val="00390B25"/>
    <w:rsid w:val="00397156"/>
    <w:rsid w:val="00397616"/>
    <w:rsid w:val="00397960"/>
    <w:rsid w:val="003A152F"/>
    <w:rsid w:val="003A3BC4"/>
    <w:rsid w:val="003A458A"/>
    <w:rsid w:val="003B2F13"/>
    <w:rsid w:val="003B405E"/>
    <w:rsid w:val="003B57D3"/>
    <w:rsid w:val="003C09A4"/>
    <w:rsid w:val="003C1F58"/>
    <w:rsid w:val="003C49AA"/>
    <w:rsid w:val="003C6DC5"/>
    <w:rsid w:val="003C792F"/>
    <w:rsid w:val="003D124B"/>
    <w:rsid w:val="003D18F3"/>
    <w:rsid w:val="003D2093"/>
    <w:rsid w:val="003D78B5"/>
    <w:rsid w:val="003E0588"/>
    <w:rsid w:val="003E244F"/>
    <w:rsid w:val="003E379B"/>
    <w:rsid w:val="003E3A5C"/>
    <w:rsid w:val="003E6203"/>
    <w:rsid w:val="003E62A6"/>
    <w:rsid w:val="003E695F"/>
    <w:rsid w:val="003E6C9B"/>
    <w:rsid w:val="003E709C"/>
    <w:rsid w:val="003E7B89"/>
    <w:rsid w:val="003F0275"/>
    <w:rsid w:val="003F4241"/>
    <w:rsid w:val="003F7C45"/>
    <w:rsid w:val="003F7D50"/>
    <w:rsid w:val="00400946"/>
    <w:rsid w:val="004009A4"/>
    <w:rsid w:val="0040132C"/>
    <w:rsid w:val="00403886"/>
    <w:rsid w:val="00405085"/>
    <w:rsid w:val="0040658E"/>
    <w:rsid w:val="004066FC"/>
    <w:rsid w:val="00407C10"/>
    <w:rsid w:val="004113B4"/>
    <w:rsid w:val="00414827"/>
    <w:rsid w:val="00416C10"/>
    <w:rsid w:val="00416D9D"/>
    <w:rsid w:val="00416F85"/>
    <w:rsid w:val="00424EF3"/>
    <w:rsid w:val="004268BB"/>
    <w:rsid w:val="00431047"/>
    <w:rsid w:val="00431B86"/>
    <w:rsid w:val="00431EE1"/>
    <w:rsid w:val="004408EC"/>
    <w:rsid w:val="004417A4"/>
    <w:rsid w:val="00441E6A"/>
    <w:rsid w:val="00443C8F"/>
    <w:rsid w:val="00452481"/>
    <w:rsid w:val="004553AF"/>
    <w:rsid w:val="00455464"/>
    <w:rsid w:val="00455D24"/>
    <w:rsid w:val="004567C5"/>
    <w:rsid w:val="00457804"/>
    <w:rsid w:val="00462B61"/>
    <w:rsid w:val="00464283"/>
    <w:rsid w:val="004646BF"/>
    <w:rsid w:val="00464744"/>
    <w:rsid w:val="004665E3"/>
    <w:rsid w:val="00467BA5"/>
    <w:rsid w:val="004710DD"/>
    <w:rsid w:val="004731F1"/>
    <w:rsid w:val="00476756"/>
    <w:rsid w:val="00477724"/>
    <w:rsid w:val="0047798A"/>
    <w:rsid w:val="00480BC8"/>
    <w:rsid w:val="00481265"/>
    <w:rsid w:val="004814BF"/>
    <w:rsid w:val="00482956"/>
    <w:rsid w:val="0048587E"/>
    <w:rsid w:val="00486D15"/>
    <w:rsid w:val="00487C2B"/>
    <w:rsid w:val="0049297D"/>
    <w:rsid w:val="004929F2"/>
    <w:rsid w:val="00493023"/>
    <w:rsid w:val="00493D46"/>
    <w:rsid w:val="00495A03"/>
    <w:rsid w:val="004968E3"/>
    <w:rsid w:val="00497079"/>
    <w:rsid w:val="004A1BBA"/>
    <w:rsid w:val="004A270C"/>
    <w:rsid w:val="004A3039"/>
    <w:rsid w:val="004A3251"/>
    <w:rsid w:val="004A355B"/>
    <w:rsid w:val="004A3625"/>
    <w:rsid w:val="004A3E3C"/>
    <w:rsid w:val="004A5FA4"/>
    <w:rsid w:val="004A791A"/>
    <w:rsid w:val="004B0E6D"/>
    <w:rsid w:val="004B16E8"/>
    <w:rsid w:val="004B6250"/>
    <w:rsid w:val="004B76B1"/>
    <w:rsid w:val="004C0057"/>
    <w:rsid w:val="004C0541"/>
    <w:rsid w:val="004C2C46"/>
    <w:rsid w:val="004C52A1"/>
    <w:rsid w:val="004C7235"/>
    <w:rsid w:val="004C7955"/>
    <w:rsid w:val="004D047F"/>
    <w:rsid w:val="004D3971"/>
    <w:rsid w:val="004D3D96"/>
    <w:rsid w:val="004D6239"/>
    <w:rsid w:val="004D650F"/>
    <w:rsid w:val="004D6D54"/>
    <w:rsid w:val="004E2133"/>
    <w:rsid w:val="004E30FB"/>
    <w:rsid w:val="004E4941"/>
    <w:rsid w:val="004E5CB8"/>
    <w:rsid w:val="004E5DDD"/>
    <w:rsid w:val="004E60FB"/>
    <w:rsid w:val="004E7AF6"/>
    <w:rsid w:val="004F4B2A"/>
    <w:rsid w:val="004F779C"/>
    <w:rsid w:val="004F7846"/>
    <w:rsid w:val="005000D4"/>
    <w:rsid w:val="00500A6E"/>
    <w:rsid w:val="00510BB5"/>
    <w:rsid w:val="00510CAF"/>
    <w:rsid w:val="005128C5"/>
    <w:rsid w:val="0051478B"/>
    <w:rsid w:val="0051566A"/>
    <w:rsid w:val="00515D7B"/>
    <w:rsid w:val="005161B7"/>
    <w:rsid w:val="005166E9"/>
    <w:rsid w:val="0052009E"/>
    <w:rsid w:val="00525E59"/>
    <w:rsid w:val="005318CC"/>
    <w:rsid w:val="005346F1"/>
    <w:rsid w:val="005349B1"/>
    <w:rsid w:val="005374BC"/>
    <w:rsid w:val="00540522"/>
    <w:rsid w:val="00540D79"/>
    <w:rsid w:val="00543367"/>
    <w:rsid w:val="00543BFA"/>
    <w:rsid w:val="00547D9C"/>
    <w:rsid w:val="00547DA1"/>
    <w:rsid w:val="0055513C"/>
    <w:rsid w:val="00560C94"/>
    <w:rsid w:val="0056291C"/>
    <w:rsid w:val="00564EB5"/>
    <w:rsid w:val="00565A63"/>
    <w:rsid w:val="00566588"/>
    <w:rsid w:val="00567F6D"/>
    <w:rsid w:val="00571CD9"/>
    <w:rsid w:val="0057275D"/>
    <w:rsid w:val="005771AC"/>
    <w:rsid w:val="005800A9"/>
    <w:rsid w:val="00580488"/>
    <w:rsid w:val="0058074D"/>
    <w:rsid w:val="00582FAD"/>
    <w:rsid w:val="00583489"/>
    <w:rsid w:val="00590FE4"/>
    <w:rsid w:val="00591D9C"/>
    <w:rsid w:val="00592483"/>
    <w:rsid w:val="005931C4"/>
    <w:rsid w:val="005948AF"/>
    <w:rsid w:val="00596191"/>
    <w:rsid w:val="00597057"/>
    <w:rsid w:val="00597D8B"/>
    <w:rsid w:val="005A1C30"/>
    <w:rsid w:val="005A2757"/>
    <w:rsid w:val="005A3295"/>
    <w:rsid w:val="005A4302"/>
    <w:rsid w:val="005A46FF"/>
    <w:rsid w:val="005A704A"/>
    <w:rsid w:val="005A7449"/>
    <w:rsid w:val="005B011E"/>
    <w:rsid w:val="005B1542"/>
    <w:rsid w:val="005B2E84"/>
    <w:rsid w:val="005B3103"/>
    <w:rsid w:val="005B37EE"/>
    <w:rsid w:val="005B4D29"/>
    <w:rsid w:val="005B6CA6"/>
    <w:rsid w:val="005B700A"/>
    <w:rsid w:val="005B7B0E"/>
    <w:rsid w:val="005C07DC"/>
    <w:rsid w:val="005C2541"/>
    <w:rsid w:val="005C25C8"/>
    <w:rsid w:val="005C5409"/>
    <w:rsid w:val="005C69AC"/>
    <w:rsid w:val="005C722E"/>
    <w:rsid w:val="005D01A4"/>
    <w:rsid w:val="005D29D4"/>
    <w:rsid w:val="005D4452"/>
    <w:rsid w:val="005D45B3"/>
    <w:rsid w:val="005D4CEB"/>
    <w:rsid w:val="005E2501"/>
    <w:rsid w:val="005E5B01"/>
    <w:rsid w:val="005E5CC1"/>
    <w:rsid w:val="005E7793"/>
    <w:rsid w:val="005F04E6"/>
    <w:rsid w:val="005F43B9"/>
    <w:rsid w:val="005F68CB"/>
    <w:rsid w:val="005F7085"/>
    <w:rsid w:val="006033E3"/>
    <w:rsid w:val="00605748"/>
    <w:rsid w:val="00610C82"/>
    <w:rsid w:val="0061321C"/>
    <w:rsid w:val="00615063"/>
    <w:rsid w:val="0061761F"/>
    <w:rsid w:val="00620C6C"/>
    <w:rsid w:val="0062145B"/>
    <w:rsid w:val="0062386E"/>
    <w:rsid w:val="00623F01"/>
    <w:rsid w:val="006258FD"/>
    <w:rsid w:val="00626E2D"/>
    <w:rsid w:val="00627D94"/>
    <w:rsid w:val="00630B42"/>
    <w:rsid w:val="00631425"/>
    <w:rsid w:val="00642072"/>
    <w:rsid w:val="006440ED"/>
    <w:rsid w:val="00645293"/>
    <w:rsid w:val="006504D0"/>
    <w:rsid w:val="00651B78"/>
    <w:rsid w:val="00652263"/>
    <w:rsid w:val="00652881"/>
    <w:rsid w:val="00655B94"/>
    <w:rsid w:val="006563E4"/>
    <w:rsid w:val="00661974"/>
    <w:rsid w:val="006636D6"/>
    <w:rsid w:val="00664551"/>
    <w:rsid w:val="006676A0"/>
    <w:rsid w:val="00670857"/>
    <w:rsid w:val="00671124"/>
    <w:rsid w:val="006727B0"/>
    <w:rsid w:val="0067307E"/>
    <w:rsid w:val="006746C7"/>
    <w:rsid w:val="006829BB"/>
    <w:rsid w:val="00687AD5"/>
    <w:rsid w:val="00691153"/>
    <w:rsid w:val="006950A3"/>
    <w:rsid w:val="006951C0"/>
    <w:rsid w:val="00695251"/>
    <w:rsid w:val="00695ADE"/>
    <w:rsid w:val="00695C0D"/>
    <w:rsid w:val="00696356"/>
    <w:rsid w:val="006A72C6"/>
    <w:rsid w:val="006B02DA"/>
    <w:rsid w:val="006B1FD1"/>
    <w:rsid w:val="006B2065"/>
    <w:rsid w:val="006B2F2B"/>
    <w:rsid w:val="006B3940"/>
    <w:rsid w:val="006C099C"/>
    <w:rsid w:val="006C168D"/>
    <w:rsid w:val="006C1F15"/>
    <w:rsid w:val="006C5E36"/>
    <w:rsid w:val="006C642C"/>
    <w:rsid w:val="006C6FC6"/>
    <w:rsid w:val="006D00D5"/>
    <w:rsid w:val="006D11D3"/>
    <w:rsid w:val="006D5BA5"/>
    <w:rsid w:val="006D775F"/>
    <w:rsid w:val="006D7A88"/>
    <w:rsid w:val="006E34B7"/>
    <w:rsid w:val="006E5BB0"/>
    <w:rsid w:val="006F01CF"/>
    <w:rsid w:val="006F115E"/>
    <w:rsid w:val="006F2AA6"/>
    <w:rsid w:val="006F39B6"/>
    <w:rsid w:val="006F4CD8"/>
    <w:rsid w:val="006F763F"/>
    <w:rsid w:val="00701F44"/>
    <w:rsid w:val="00703E8A"/>
    <w:rsid w:val="00710335"/>
    <w:rsid w:val="00711522"/>
    <w:rsid w:val="007124FE"/>
    <w:rsid w:val="00713186"/>
    <w:rsid w:val="00713757"/>
    <w:rsid w:val="00717772"/>
    <w:rsid w:val="00721231"/>
    <w:rsid w:val="00721AF1"/>
    <w:rsid w:val="0072280F"/>
    <w:rsid w:val="00722B5E"/>
    <w:rsid w:val="0072708F"/>
    <w:rsid w:val="00732D1D"/>
    <w:rsid w:val="0073413C"/>
    <w:rsid w:val="00736034"/>
    <w:rsid w:val="0073681C"/>
    <w:rsid w:val="00737E9B"/>
    <w:rsid w:val="00741EBE"/>
    <w:rsid w:val="00741F94"/>
    <w:rsid w:val="00746130"/>
    <w:rsid w:val="00746554"/>
    <w:rsid w:val="00746A40"/>
    <w:rsid w:val="00747125"/>
    <w:rsid w:val="00750358"/>
    <w:rsid w:val="007513AC"/>
    <w:rsid w:val="007537F4"/>
    <w:rsid w:val="00755CDF"/>
    <w:rsid w:val="00757A4C"/>
    <w:rsid w:val="007616EE"/>
    <w:rsid w:val="00763A8D"/>
    <w:rsid w:val="00764A94"/>
    <w:rsid w:val="0076518F"/>
    <w:rsid w:val="007651E5"/>
    <w:rsid w:val="007670DC"/>
    <w:rsid w:val="0077111A"/>
    <w:rsid w:val="00772721"/>
    <w:rsid w:val="007756ED"/>
    <w:rsid w:val="00780C47"/>
    <w:rsid w:val="00780E33"/>
    <w:rsid w:val="0078105B"/>
    <w:rsid w:val="00781847"/>
    <w:rsid w:val="0078378A"/>
    <w:rsid w:val="00786CFC"/>
    <w:rsid w:val="007870FC"/>
    <w:rsid w:val="00787919"/>
    <w:rsid w:val="00787CD0"/>
    <w:rsid w:val="00791053"/>
    <w:rsid w:val="00791A3A"/>
    <w:rsid w:val="00791BB9"/>
    <w:rsid w:val="00794196"/>
    <w:rsid w:val="00796EC9"/>
    <w:rsid w:val="00797637"/>
    <w:rsid w:val="007A2630"/>
    <w:rsid w:val="007A3680"/>
    <w:rsid w:val="007A59B8"/>
    <w:rsid w:val="007A6F38"/>
    <w:rsid w:val="007A75F5"/>
    <w:rsid w:val="007B2862"/>
    <w:rsid w:val="007B2A23"/>
    <w:rsid w:val="007B51EE"/>
    <w:rsid w:val="007B662A"/>
    <w:rsid w:val="007B75D4"/>
    <w:rsid w:val="007C1771"/>
    <w:rsid w:val="007C4496"/>
    <w:rsid w:val="007D0E9D"/>
    <w:rsid w:val="007D28C9"/>
    <w:rsid w:val="007D2A39"/>
    <w:rsid w:val="007D3CC8"/>
    <w:rsid w:val="007D62F9"/>
    <w:rsid w:val="007D63A4"/>
    <w:rsid w:val="007D6458"/>
    <w:rsid w:val="007E0B0A"/>
    <w:rsid w:val="007E1AA2"/>
    <w:rsid w:val="007E303C"/>
    <w:rsid w:val="007E4C1F"/>
    <w:rsid w:val="007E4DEE"/>
    <w:rsid w:val="007E5978"/>
    <w:rsid w:val="007F0759"/>
    <w:rsid w:val="007F25C0"/>
    <w:rsid w:val="007F26D5"/>
    <w:rsid w:val="007F5F52"/>
    <w:rsid w:val="007F77C6"/>
    <w:rsid w:val="008003A1"/>
    <w:rsid w:val="008006B7"/>
    <w:rsid w:val="00800FDB"/>
    <w:rsid w:val="00802081"/>
    <w:rsid w:val="00806461"/>
    <w:rsid w:val="0081096D"/>
    <w:rsid w:val="00810EAD"/>
    <w:rsid w:val="00811833"/>
    <w:rsid w:val="00816670"/>
    <w:rsid w:val="008174D4"/>
    <w:rsid w:val="00820253"/>
    <w:rsid w:val="00820FE6"/>
    <w:rsid w:val="00821A66"/>
    <w:rsid w:val="00822476"/>
    <w:rsid w:val="00822882"/>
    <w:rsid w:val="008232BB"/>
    <w:rsid w:val="00825029"/>
    <w:rsid w:val="008257F3"/>
    <w:rsid w:val="00825F68"/>
    <w:rsid w:val="00835408"/>
    <w:rsid w:val="00837CEF"/>
    <w:rsid w:val="00840035"/>
    <w:rsid w:val="008428A9"/>
    <w:rsid w:val="00844112"/>
    <w:rsid w:val="008456C9"/>
    <w:rsid w:val="0084611D"/>
    <w:rsid w:val="0084669C"/>
    <w:rsid w:val="00847CA0"/>
    <w:rsid w:val="00850C62"/>
    <w:rsid w:val="008573E5"/>
    <w:rsid w:val="00863011"/>
    <w:rsid w:val="00865075"/>
    <w:rsid w:val="0086534A"/>
    <w:rsid w:val="00866B03"/>
    <w:rsid w:val="008673EE"/>
    <w:rsid w:val="0086748F"/>
    <w:rsid w:val="008712A3"/>
    <w:rsid w:val="00872CE4"/>
    <w:rsid w:val="00877B62"/>
    <w:rsid w:val="008806D2"/>
    <w:rsid w:val="00881015"/>
    <w:rsid w:val="008810B0"/>
    <w:rsid w:val="008819B6"/>
    <w:rsid w:val="00881AAC"/>
    <w:rsid w:val="008836B7"/>
    <w:rsid w:val="008841D3"/>
    <w:rsid w:val="00887DE6"/>
    <w:rsid w:val="00890172"/>
    <w:rsid w:val="00893048"/>
    <w:rsid w:val="00894C2A"/>
    <w:rsid w:val="00896AAD"/>
    <w:rsid w:val="00897708"/>
    <w:rsid w:val="00897D88"/>
    <w:rsid w:val="008A115D"/>
    <w:rsid w:val="008A2F16"/>
    <w:rsid w:val="008A6D69"/>
    <w:rsid w:val="008B041C"/>
    <w:rsid w:val="008B1823"/>
    <w:rsid w:val="008B6A4A"/>
    <w:rsid w:val="008B6E16"/>
    <w:rsid w:val="008B7110"/>
    <w:rsid w:val="008C2029"/>
    <w:rsid w:val="008C61D6"/>
    <w:rsid w:val="008C64F1"/>
    <w:rsid w:val="008D1BB0"/>
    <w:rsid w:val="008D20FF"/>
    <w:rsid w:val="008D3D3D"/>
    <w:rsid w:val="008D3DE6"/>
    <w:rsid w:val="008D4223"/>
    <w:rsid w:val="008D44CC"/>
    <w:rsid w:val="008D46E3"/>
    <w:rsid w:val="008D6709"/>
    <w:rsid w:val="008E083A"/>
    <w:rsid w:val="008E2450"/>
    <w:rsid w:val="008E7896"/>
    <w:rsid w:val="008E78A4"/>
    <w:rsid w:val="008F2477"/>
    <w:rsid w:val="008F444A"/>
    <w:rsid w:val="008F4AFC"/>
    <w:rsid w:val="008F65AF"/>
    <w:rsid w:val="008F7815"/>
    <w:rsid w:val="008F7EA4"/>
    <w:rsid w:val="009010F0"/>
    <w:rsid w:val="00901162"/>
    <w:rsid w:val="00901240"/>
    <w:rsid w:val="00901469"/>
    <w:rsid w:val="0090159D"/>
    <w:rsid w:val="0090223A"/>
    <w:rsid w:val="0090274F"/>
    <w:rsid w:val="009028E2"/>
    <w:rsid w:val="0090450C"/>
    <w:rsid w:val="009102E4"/>
    <w:rsid w:val="009147F7"/>
    <w:rsid w:val="00914EAB"/>
    <w:rsid w:val="00922D49"/>
    <w:rsid w:val="009239C7"/>
    <w:rsid w:val="0092502E"/>
    <w:rsid w:val="00925E37"/>
    <w:rsid w:val="00925EDD"/>
    <w:rsid w:val="00927D0E"/>
    <w:rsid w:val="009309DA"/>
    <w:rsid w:val="0093260B"/>
    <w:rsid w:val="00936688"/>
    <w:rsid w:val="00937CFA"/>
    <w:rsid w:val="009406B3"/>
    <w:rsid w:val="00943A0D"/>
    <w:rsid w:val="00943C27"/>
    <w:rsid w:val="00945CF5"/>
    <w:rsid w:val="009467E9"/>
    <w:rsid w:val="00950057"/>
    <w:rsid w:val="009500A1"/>
    <w:rsid w:val="0095037E"/>
    <w:rsid w:val="00952AAD"/>
    <w:rsid w:val="00954567"/>
    <w:rsid w:val="00955D4E"/>
    <w:rsid w:val="00957466"/>
    <w:rsid w:val="00961FCD"/>
    <w:rsid w:val="0096260B"/>
    <w:rsid w:val="00962E87"/>
    <w:rsid w:val="009664D5"/>
    <w:rsid w:val="00966865"/>
    <w:rsid w:val="00967903"/>
    <w:rsid w:val="009700DA"/>
    <w:rsid w:val="00970C69"/>
    <w:rsid w:val="00971F1C"/>
    <w:rsid w:val="0097211D"/>
    <w:rsid w:val="00972E10"/>
    <w:rsid w:val="009746CA"/>
    <w:rsid w:val="009760F0"/>
    <w:rsid w:val="00981963"/>
    <w:rsid w:val="00983B7F"/>
    <w:rsid w:val="00983C82"/>
    <w:rsid w:val="00984520"/>
    <w:rsid w:val="0098545C"/>
    <w:rsid w:val="00986D1E"/>
    <w:rsid w:val="00990071"/>
    <w:rsid w:val="00991EA9"/>
    <w:rsid w:val="00992BA2"/>
    <w:rsid w:val="00992F83"/>
    <w:rsid w:val="0099508A"/>
    <w:rsid w:val="00995DDE"/>
    <w:rsid w:val="009974EB"/>
    <w:rsid w:val="009A06E4"/>
    <w:rsid w:val="009A1126"/>
    <w:rsid w:val="009A2020"/>
    <w:rsid w:val="009A2133"/>
    <w:rsid w:val="009A7930"/>
    <w:rsid w:val="009B1584"/>
    <w:rsid w:val="009B1DFD"/>
    <w:rsid w:val="009B21CA"/>
    <w:rsid w:val="009B2648"/>
    <w:rsid w:val="009B7E4A"/>
    <w:rsid w:val="009C03E5"/>
    <w:rsid w:val="009C3730"/>
    <w:rsid w:val="009C37BD"/>
    <w:rsid w:val="009C3AAC"/>
    <w:rsid w:val="009C3E98"/>
    <w:rsid w:val="009C4721"/>
    <w:rsid w:val="009C4D19"/>
    <w:rsid w:val="009C5FDB"/>
    <w:rsid w:val="009C693E"/>
    <w:rsid w:val="009C6C40"/>
    <w:rsid w:val="009C70CB"/>
    <w:rsid w:val="009D1EA4"/>
    <w:rsid w:val="009D27AA"/>
    <w:rsid w:val="009D4991"/>
    <w:rsid w:val="009D5544"/>
    <w:rsid w:val="009D5BB5"/>
    <w:rsid w:val="009D696D"/>
    <w:rsid w:val="009D6ED2"/>
    <w:rsid w:val="009D7A3C"/>
    <w:rsid w:val="009E0F1A"/>
    <w:rsid w:val="009E140D"/>
    <w:rsid w:val="009E1E55"/>
    <w:rsid w:val="009E4465"/>
    <w:rsid w:val="009E6401"/>
    <w:rsid w:val="009E6C54"/>
    <w:rsid w:val="009F2A25"/>
    <w:rsid w:val="009F43CC"/>
    <w:rsid w:val="009F5235"/>
    <w:rsid w:val="009F531A"/>
    <w:rsid w:val="009F6550"/>
    <w:rsid w:val="009F786E"/>
    <w:rsid w:val="00A00902"/>
    <w:rsid w:val="00A02D83"/>
    <w:rsid w:val="00A039FF"/>
    <w:rsid w:val="00A05ACE"/>
    <w:rsid w:val="00A1385E"/>
    <w:rsid w:val="00A14AE3"/>
    <w:rsid w:val="00A1520A"/>
    <w:rsid w:val="00A16675"/>
    <w:rsid w:val="00A22CD6"/>
    <w:rsid w:val="00A234EC"/>
    <w:rsid w:val="00A2417A"/>
    <w:rsid w:val="00A27804"/>
    <w:rsid w:val="00A30E56"/>
    <w:rsid w:val="00A33DF2"/>
    <w:rsid w:val="00A34296"/>
    <w:rsid w:val="00A36AB5"/>
    <w:rsid w:val="00A37398"/>
    <w:rsid w:val="00A37603"/>
    <w:rsid w:val="00A37DDA"/>
    <w:rsid w:val="00A411D1"/>
    <w:rsid w:val="00A43389"/>
    <w:rsid w:val="00A43E71"/>
    <w:rsid w:val="00A45753"/>
    <w:rsid w:val="00A47B15"/>
    <w:rsid w:val="00A52F84"/>
    <w:rsid w:val="00A56AA4"/>
    <w:rsid w:val="00A56B05"/>
    <w:rsid w:val="00A57678"/>
    <w:rsid w:val="00A60E2F"/>
    <w:rsid w:val="00A62536"/>
    <w:rsid w:val="00A63284"/>
    <w:rsid w:val="00A64CB8"/>
    <w:rsid w:val="00A67018"/>
    <w:rsid w:val="00A672F3"/>
    <w:rsid w:val="00A673DC"/>
    <w:rsid w:val="00A7076E"/>
    <w:rsid w:val="00A709BE"/>
    <w:rsid w:val="00A7162E"/>
    <w:rsid w:val="00A726E0"/>
    <w:rsid w:val="00A72D71"/>
    <w:rsid w:val="00A75705"/>
    <w:rsid w:val="00A77C69"/>
    <w:rsid w:val="00A83201"/>
    <w:rsid w:val="00A83953"/>
    <w:rsid w:val="00A840C5"/>
    <w:rsid w:val="00A86B47"/>
    <w:rsid w:val="00A86C94"/>
    <w:rsid w:val="00A903B6"/>
    <w:rsid w:val="00A90F4F"/>
    <w:rsid w:val="00A947AA"/>
    <w:rsid w:val="00A95C1D"/>
    <w:rsid w:val="00AA1B53"/>
    <w:rsid w:val="00AA3556"/>
    <w:rsid w:val="00AA35FD"/>
    <w:rsid w:val="00AA3DB7"/>
    <w:rsid w:val="00AA4B91"/>
    <w:rsid w:val="00AA7BBE"/>
    <w:rsid w:val="00AB0EFF"/>
    <w:rsid w:val="00AB1CE3"/>
    <w:rsid w:val="00AB3012"/>
    <w:rsid w:val="00AB321C"/>
    <w:rsid w:val="00AB42E2"/>
    <w:rsid w:val="00AB67DE"/>
    <w:rsid w:val="00AB688F"/>
    <w:rsid w:val="00AB75EA"/>
    <w:rsid w:val="00AB7AA2"/>
    <w:rsid w:val="00AC4BC1"/>
    <w:rsid w:val="00AC703D"/>
    <w:rsid w:val="00AD04BD"/>
    <w:rsid w:val="00AD0914"/>
    <w:rsid w:val="00AD691E"/>
    <w:rsid w:val="00AD708F"/>
    <w:rsid w:val="00AD7214"/>
    <w:rsid w:val="00AD7540"/>
    <w:rsid w:val="00AE1066"/>
    <w:rsid w:val="00AE19D8"/>
    <w:rsid w:val="00AE4518"/>
    <w:rsid w:val="00AE5D7F"/>
    <w:rsid w:val="00AE630A"/>
    <w:rsid w:val="00AE79F0"/>
    <w:rsid w:val="00AF0C1A"/>
    <w:rsid w:val="00AF41C5"/>
    <w:rsid w:val="00AF616B"/>
    <w:rsid w:val="00AF6EC1"/>
    <w:rsid w:val="00AF7CF5"/>
    <w:rsid w:val="00B00331"/>
    <w:rsid w:val="00B01A80"/>
    <w:rsid w:val="00B07C27"/>
    <w:rsid w:val="00B10DE1"/>
    <w:rsid w:val="00B10FF8"/>
    <w:rsid w:val="00B11CC5"/>
    <w:rsid w:val="00B203C4"/>
    <w:rsid w:val="00B22E81"/>
    <w:rsid w:val="00B23996"/>
    <w:rsid w:val="00B23CB2"/>
    <w:rsid w:val="00B2561A"/>
    <w:rsid w:val="00B25A64"/>
    <w:rsid w:val="00B27C3C"/>
    <w:rsid w:val="00B27CE6"/>
    <w:rsid w:val="00B32AB3"/>
    <w:rsid w:val="00B34E7C"/>
    <w:rsid w:val="00B368EA"/>
    <w:rsid w:val="00B37EEF"/>
    <w:rsid w:val="00B41C16"/>
    <w:rsid w:val="00B47485"/>
    <w:rsid w:val="00B47850"/>
    <w:rsid w:val="00B50B28"/>
    <w:rsid w:val="00B518C3"/>
    <w:rsid w:val="00B52166"/>
    <w:rsid w:val="00B524CA"/>
    <w:rsid w:val="00B55185"/>
    <w:rsid w:val="00B56C5B"/>
    <w:rsid w:val="00B61923"/>
    <w:rsid w:val="00B621D6"/>
    <w:rsid w:val="00B65D6F"/>
    <w:rsid w:val="00B67552"/>
    <w:rsid w:val="00B67C23"/>
    <w:rsid w:val="00B74161"/>
    <w:rsid w:val="00B75735"/>
    <w:rsid w:val="00B76BBB"/>
    <w:rsid w:val="00B77142"/>
    <w:rsid w:val="00B801C4"/>
    <w:rsid w:val="00B80A2C"/>
    <w:rsid w:val="00B814D9"/>
    <w:rsid w:val="00B81F60"/>
    <w:rsid w:val="00B841AC"/>
    <w:rsid w:val="00B8572D"/>
    <w:rsid w:val="00B865B0"/>
    <w:rsid w:val="00B90780"/>
    <w:rsid w:val="00B9240D"/>
    <w:rsid w:val="00B94BB8"/>
    <w:rsid w:val="00B9644D"/>
    <w:rsid w:val="00B97278"/>
    <w:rsid w:val="00BA22A8"/>
    <w:rsid w:val="00BA3E48"/>
    <w:rsid w:val="00BB07ED"/>
    <w:rsid w:val="00BB1EB3"/>
    <w:rsid w:val="00BB2678"/>
    <w:rsid w:val="00BC2343"/>
    <w:rsid w:val="00BC53E6"/>
    <w:rsid w:val="00BC74DE"/>
    <w:rsid w:val="00BD2DC7"/>
    <w:rsid w:val="00BD30C8"/>
    <w:rsid w:val="00BD3EB4"/>
    <w:rsid w:val="00BD55D9"/>
    <w:rsid w:val="00BD5C65"/>
    <w:rsid w:val="00BE01CA"/>
    <w:rsid w:val="00BE099D"/>
    <w:rsid w:val="00BE6018"/>
    <w:rsid w:val="00BF1F57"/>
    <w:rsid w:val="00BF2383"/>
    <w:rsid w:val="00BF2DDD"/>
    <w:rsid w:val="00BF4086"/>
    <w:rsid w:val="00BF426C"/>
    <w:rsid w:val="00BF4E28"/>
    <w:rsid w:val="00BF58D0"/>
    <w:rsid w:val="00BF5FC5"/>
    <w:rsid w:val="00BF70AE"/>
    <w:rsid w:val="00BF7505"/>
    <w:rsid w:val="00BF7D6A"/>
    <w:rsid w:val="00C013E1"/>
    <w:rsid w:val="00C01611"/>
    <w:rsid w:val="00C02C6D"/>
    <w:rsid w:val="00C02D59"/>
    <w:rsid w:val="00C030B6"/>
    <w:rsid w:val="00C03284"/>
    <w:rsid w:val="00C04855"/>
    <w:rsid w:val="00C050D7"/>
    <w:rsid w:val="00C05B5F"/>
    <w:rsid w:val="00C104CC"/>
    <w:rsid w:val="00C152FE"/>
    <w:rsid w:val="00C16739"/>
    <w:rsid w:val="00C22CCE"/>
    <w:rsid w:val="00C23BA2"/>
    <w:rsid w:val="00C24CA0"/>
    <w:rsid w:val="00C32AF2"/>
    <w:rsid w:val="00C33204"/>
    <w:rsid w:val="00C338EB"/>
    <w:rsid w:val="00C3465D"/>
    <w:rsid w:val="00C379E9"/>
    <w:rsid w:val="00C40F7A"/>
    <w:rsid w:val="00C439FB"/>
    <w:rsid w:val="00C43F23"/>
    <w:rsid w:val="00C50011"/>
    <w:rsid w:val="00C56DA4"/>
    <w:rsid w:val="00C64041"/>
    <w:rsid w:val="00C645E6"/>
    <w:rsid w:val="00C64D82"/>
    <w:rsid w:val="00C64FBC"/>
    <w:rsid w:val="00C65A83"/>
    <w:rsid w:val="00C737EE"/>
    <w:rsid w:val="00C80F23"/>
    <w:rsid w:val="00C81151"/>
    <w:rsid w:val="00C81A11"/>
    <w:rsid w:val="00C828B6"/>
    <w:rsid w:val="00C82CC6"/>
    <w:rsid w:val="00C850A3"/>
    <w:rsid w:val="00C85C32"/>
    <w:rsid w:val="00C87568"/>
    <w:rsid w:val="00C9072B"/>
    <w:rsid w:val="00C90DB6"/>
    <w:rsid w:val="00C9394F"/>
    <w:rsid w:val="00C93B1A"/>
    <w:rsid w:val="00C96F5F"/>
    <w:rsid w:val="00CA3C4F"/>
    <w:rsid w:val="00CA5927"/>
    <w:rsid w:val="00CA79EC"/>
    <w:rsid w:val="00CB2D37"/>
    <w:rsid w:val="00CB39C2"/>
    <w:rsid w:val="00CB4C8C"/>
    <w:rsid w:val="00CB6782"/>
    <w:rsid w:val="00CC080A"/>
    <w:rsid w:val="00CC1D4D"/>
    <w:rsid w:val="00CC1F82"/>
    <w:rsid w:val="00CC3C04"/>
    <w:rsid w:val="00CD151F"/>
    <w:rsid w:val="00CD5FBA"/>
    <w:rsid w:val="00CE26E5"/>
    <w:rsid w:val="00CE46DB"/>
    <w:rsid w:val="00CE5277"/>
    <w:rsid w:val="00CE6358"/>
    <w:rsid w:val="00CF0C6C"/>
    <w:rsid w:val="00CF2116"/>
    <w:rsid w:val="00CF2C2A"/>
    <w:rsid w:val="00CF2D54"/>
    <w:rsid w:val="00D01324"/>
    <w:rsid w:val="00D02BA5"/>
    <w:rsid w:val="00D03538"/>
    <w:rsid w:val="00D049B8"/>
    <w:rsid w:val="00D04C0E"/>
    <w:rsid w:val="00D0516C"/>
    <w:rsid w:val="00D05EE7"/>
    <w:rsid w:val="00D06394"/>
    <w:rsid w:val="00D068D0"/>
    <w:rsid w:val="00D0722C"/>
    <w:rsid w:val="00D078D1"/>
    <w:rsid w:val="00D129A8"/>
    <w:rsid w:val="00D12F5B"/>
    <w:rsid w:val="00D12FB9"/>
    <w:rsid w:val="00D200BD"/>
    <w:rsid w:val="00D22399"/>
    <w:rsid w:val="00D33751"/>
    <w:rsid w:val="00D36F6E"/>
    <w:rsid w:val="00D37343"/>
    <w:rsid w:val="00D40397"/>
    <w:rsid w:val="00D4205E"/>
    <w:rsid w:val="00D43CCE"/>
    <w:rsid w:val="00D51F57"/>
    <w:rsid w:val="00D52744"/>
    <w:rsid w:val="00D52DC6"/>
    <w:rsid w:val="00D565EC"/>
    <w:rsid w:val="00D600AB"/>
    <w:rsid w:val="00D61982"/>
    <w:rsid w:val="00D6226F"/>
    <w:rsid w:val="00D6267A"/>
    <w:rsid w:val="00D6596A"/>
    <w:rsid w:val="00D674CF"/>
    <w:rsid w:val="00D67A47"/>
    <w:rsid w:val="00D67D12"/>
    <w:rsid w:val="00D67E63"/>
    <w:rsid w:val="00D70923"/>
    <w:rsid w:val="00D73805"/>
    <w:rsid w:val="00D74F09"/>
    <w:rsid w:val="00D7585A"/>
    <w:rsid w:val="00D77C49"/>
    <w:rsid w:val="00D80618"/>
    <w:rsid w:val="00D82494"/>
    <w:rsid w:val="00D83CF5"/>
    <w:rsid w:val="00D84A4B"/>
    <w:rsid w:val="00D92168"/>
    <w:rsid w:val="00D940B5"/>
    <w:rsid w:val="00D95CB0"/>
    <w:rsid w:val="00D95E12"/>
    <w:rsid w:val="00D977C0"/>
    <w:rsid w:val="00DA00A3"/>
    <w:rsid w:val="00DA11B1"/>
    <w:rsid w:val="00DA13F3"/>
    <w:rsid w:val="00DA2DE3"/>
    <w:rsid w:val="00DA716A"/>
    <w:rsid w:val="00DB1841"/>
    <w:rsid w:val="00DB1F4F"/>
    <w:rsid w:val="00DB37EE"/>
    <w:rsid w:val="00DB413D"/>
    <w:rsid w:val="00DB4450"/>
    <w:rsid w:val="00DB7B69"/>
    <w:rsid w:val="00DC234A"/>
    <w:rsid w:val="00DC34E9"/>
    <w:rsid w:val="00DC41E4"/>
    <w:rsid w:val="00DC66A8"/>
    <w:rsid w:val="00DC7C77"/>
    <w:rsid w:val="00DD78E0"/>
    <w:rsid w:val="00DD7EA2"/>
    <w:rsid w:val="00DE00F2"/>
    <w:rsid w:val="00DE117F"/>
    <w:rsid w:val="00DE144D"/>
    <w:rsid w:val="00DE401C"/>
    <w:rsid w:val="00DE4304"/>
    <w:rsid w:val="00DF0726"/>
    <w:rsid w:val="00DF347B"/>
    <w:rsid w:val="00DF63FA"/>
    <w:rsid w:val="00E012CC"/>
    <w:rsid w:val="00E02B71"/>
    <w:rsid w:val="00E02DEB"/>
    <w:rsid w:val="00E042A1"/>
    <w:rsid w:val="00E04671"/>
    <w:rsid w:val="00E05F9D"/>
    <w:rsid w:val="00E07951"/>
    <w:rsid w:val="00E104FA"/>
    <w:rsid w:val="00E1082A"/>
    <w:rsid w:val="00E11166"/>
    <w:rsid w:val="00E13182"/>
    <w:rsid w:val="00E15383"/>
    <w:rsid w:val="00E1738C"/>
    <w:rsid w:val="00E22D28"/>
    <w:rsid w:val="00E230E3"/>
    <w:rsid w:val="00E230ED"/>
    <w:rsid w:val="00E30EDF"/>
    <w:rsid w:val="00E31FBA"/>
    <w:rsid w:val="00E35496"/>
    <w:rsid w:val="00E36AAE"/>
    <w:rsid w:val="00E41773"/>
    <w:rsid w:val="00E41CF1"/>
    <w:rsid w:val="00E505A3"/>
    <w:rsid w:val="00E513F6"/>
    <w:rsid w:val="00E52F3B"/>
    <w:rsid w:val="00E538AB"/>
    <w:rsid w:val="00E53D94"/>
    <w:rsid w:val="00E53DEA"/>
    <w:rsid w:val="00E55986"/>
    <w:rsid w:val="00E57F40"/>
    <w:rsid w:val="00E616DB"/>
    <w:rsid w:val="00E618DD"/>
    <w:rsid w:val="00E627A4"/>
    <w:rsid w:val="00E630ED"/>
    <w:rsid w:val="00E64C1D"/>
    <w:rsid w:val="00E7357D"/>
    <w:rsid w:val="00E74EC5"/>
    <w:rsid w:val="00E76B86"/>
    <w:rsid w:val="00E80A21"/>
    <w:rsid w:val="00E80E16"/>
    <w:rsid w:val="00E83302"/>
    <w:rsid w:val="00E8342F"/>
    <w:rsid w:val="00E847A7"/>
    <w:rsid w:val="00E85415"/>
    <w:rsid w:val="00E86783"/>
    <w:rsid w:val="00E906B4"/>
    <w:rsid w:val="00E9095B"/>
    <w:rsid w:val="00E92EE0"/>
    <w:rsid w:val="00E9399B"/>
    <w:rsid w:val="00E94008"/>
    <w:rsid w:val="00E94762"/>
    <w:rsid w:val="00E96B52"/>
    <w:rsid w:val="00EA2244"/>
    <w:rsid w:val="00EA6563"/>
    <w:rsid w:val="00EA6FA7"/>
    <w:rsid w:val="00EB067F"/>
    <w:rsid w:val="00EB1F02"/>
    <w:rsid w:val="00EB230B"/>
    <w:rsid w:val="00EB5BC5"/>
    <w:rsid w:val="00EC086C"/>
    <w:rsid w:val="00EC42D0"/>
    <w:rsid w:val="00EC638F"/>
    <w:rsid w:val="00EC7583"/>
    <w:rsid w:val="00ED2713"/>
    <w:rsid w:val="00ED5D6F"/>
    <w:rsid w:val="00EE2061"/>
    <w:rsid w:val="00EE2ACE"/>
    <w:rsid w:val="00EE4874"/>
    <w:rsid w:val="00EE5829"/>
    <w:rsid w:val="00EE79A6"/>
    <w:rsid w:val="00EF0D86"/>
    <w:rsid w:val="00F005A0"/>
    <w:rsid w:val="00F106D2"/>
    <w:rsid w:val="00F11352"/>
    <w:rsid w:val="00F13451"/>
    <w:rsid w:val="00F1498D"/>
    <w:rsid w:val="00F14DDF"/>
    <w:rsid w:val="00F152AD"/>
    <w:rsid w:val="00F20BE9"/>
    <w:rsid w:val="00F2285F"/>
    <w:rsid w:val="00F23155"/>
    <w:rsid w:val="00F24E0E"/>
    <w:rsid w:val="00F2526E"/>
    <w:rsid w:val="00F26693"/>
    <w:rsid w:val="00F31DE4"/>
    <w:rsid w:val="00F33530"/>
    <w:rsid w:val="00F36130"/>
    <w:rsid w:val="00F36A6E"/>
    <w:rsid w:val="00F36FE3"/>
    <w:rsid w:val="00F40444"/>
    <w:rsid w:val="00F40868"/>
    <w:rsid w:val="00F4087A"/>
    <w:rsid w:val="00F423BD"/>
    <w:rsid w:val="00F432FF"/>
    <w:rsid w:val="00F46A39"/>
    <w:rsid w:val="00F46F26"/>
    <w:rsid w:val="00F4715C"/>
    <w:rsid w:val="00F50707"/>
    <w:rsid w:val="00F51C03"/>
    <w:rsid w:val="00F54869"/>
    <w:rsid w:val="00F556B2"/>
    <w:rsid w:val="00F55A5C"/>
    <w:rsid w:val="00F57187"/>
    <w:rsid w:val="00F574E5"/>
    <w:rsid w:val="00F5754B"/>
    <w:rsid w:val="00F576DE"/>
    <w:rsid w:val="00F63BF7"/>
    <w:rsid w:val="00F65617"/>
    <w:rsid w:val="00F710BE"/>
    <w:rsid w:val="00F718C1"/>
    <w:rsid w:val="00F736D2"/>
    <w:rsid w:val="00F7564C"/>
    <w:rsid w:val="00F76220"/>
    <w:rsid w:val="00F769BE"/>
    <w:rsid w:val="00F77D7A"/>
    <w:rsid w:val="00F82E6B"/>
    <w:rsid w:val="00F87CA3"/>
    <w:rsid w:val="00F95B9D"/>
    <w:rsid w:val="00F97B71"/>
    <w:rsid w:val="00FA1925"/>
    <w:rsid w:val="00FA2DDA"/>
    <w:rsid w:val="00FA34CA"/>
    <w:rsid w:val="00FA3CC8"/>
    <w:rsid w:val="00FA4A55"/>
    <w:rsid w:val="00FA4D4F"/>
    <w:rsid w:val="00FA54E8"/>
    <w:rsid w:val="00FB2D17"/>
    <w:rsid w:val="00FB2F69"/>
    <w:rsid w:val="00FB3BCA"/>
    <w:rsid w:val="00FB45FF"/>
    <w:rsid w:val="00FB47E0"/>
    <w:rsid w:val="00FB5D97"/>
    <w:rsid w:val="00FC05B7"/>
    <w:rsid w:val="00FC1991"/>
    <w:rsid w:val="00FC1CA5"/>
    <w:rsid w:val="00FC2979"/>
    <w:rsid w:val="00FC45F4"/>
    <w:rsid w:val="00FC5E83"/>
    <w:rsid w:val="00FD0A58"/>
    <w:rsid w:val="00FD1C3C"/>
    <w:rsid w:val="00FD38A8"/>
    <w:rsid w:val="00FD3B9A"/>
    <w:rsid w:val="00FD6AC8"/>
    <w:rsid w:val="00FD7153"/>
    <w:rsid w:val="00FD7298"/>
    <w:rsid w:val="00FE308B"/>
    <w:rsid w:val="00FE3230"/>
    <w:rsid w:val="00FE3EA1"/>
    <w:rsid w:val="00FE4818"/>
    <w:rsid w:val="00FE5D80"/>
    <w:rsid w:val="00FE6979"/>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0B4FFACB-40C0-42F5-8109-F2B2FEA4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5D44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1B63AB"/>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D4452"/>
    <w:rPr>
      <w:rFonts w:cs="Times New Roman"/>
      <w:b/>
      <w:bCs/>
      <w:kern w:val="44"/>
      <w:sz w:val="44"/>
      <w:szCs w:val="44"/>
    </w:rPr>
  </w:style>
  <w:style w:type="character" w:customStyle="1" w:styleId="2Char">
    <w:name w:val="标题 2 Char"/>
    <w:link w:val="2"/>
    <w:uiPriority w:val="9"/>
    <w:semiHidden/>
    <w:rsid w:val="00D85A42"/>
    <w:rPr>
      <w:rFonts w:ascii="Cambria" w:eastAsia="宋体" w:hAnsi="Cambria" w:cs="Times New Roman"/>
      <w:b/>
      <w:bCs/>
      <w:sz w:val="32"/>
      <w:szCs w:val="32"/>
    </w:rPr>
  </w:style>
  <w:style w:type="paragraph" w:styleId="a0">
    <w:name w:val="Normal Indent"/>
    <w:basedOn w:val="a"/>
    <w:uiPriority w:val="99"/>
    <w:rsid w:val="001B63AB"/>
    <w:pPr>
      <w:ind w:firstLineChars="200" w:firstLine="420"/>
    </w:pPr>
  </w:style>
  <w:style w:type="paragraph" w:styleId="a4">
    <w:name w:val="Body Text Indent"/>
    <w:basedOn w:val="a"/>
    <w:link w:val="Char"/>
    <w:uiPriority w:val="99"/>
    <w:rsid w:val="001B63AB"/>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D85A42"/>
    <w:rPr>
      <w:szCs w:val="24"/>
    </w:rPr>
  </w:style>
  <w:style w:type="paragraph" w:styleId="a5">
    <w:name w:val="Plain Text"/>
    <w:basedOn w:val="a"/>
    <w:link w:val="Char0"/>
    <w:uiPriority w:val="99"/>
    <w:rsid w:val="001B63AB"/>
    <w:rPr>
      <w:rFonts w:ascii="宋体" w:hAnsi="Courier New"/>
      <w:szCs w:val="20"/>
    </w:rPr>
  </w:style>
  <w:style w:type="character" w:customStyle="1" w:styleId="Char0">
    <w:name w:val="纯文本 Char"/>
    <w:link w:val="a5"/>
    <w:uiPriority w:val="99"/>
    <w:locked/>
    <w:rsid w:val="00A726E0"/>
    <w:rPr>
      <w:rFonts w:ascii="宋体" w:hAnsi="Courier New"/>
      <w:kern w:val="2"/>
      <w:sz w:val="21"/>
    </w:rPr>
  </w:style>
  <w:style w:type="paragraph" w:styleId="20">
    <w:name w:val="Body Text Indent 2"/>
    <w:basedOn w:val="a"/>
    <w:link w:val="2Char0"/>
    <w:uiPriority w:val="99"/>
    <w:rsid w:val="001B63AB"/>
    <w:pPr>
      <w:spacing w:line="560" w:lineRule="exact"/>
      <w:ind w:firstLineChars="200" w:firstLine="480"/>
    </w:pPr>
    <w:rPr>
      <w:kern w:val="0"/>
      <w:sz w:val="20"/>
    </w:rPr>
  </w:style>
  <w:style w:type="character" w:customStyle="1" w:styleId="2Char0">
    <w:name w:val="正文文本缩进 2 Char"/>
    <w:link w:val="20"/>
    <w:uiPriority w:val="99"/>
    <w:semiHidden/>
    <w:rsid w:val="00D85A42"/>
    <w:rPr>
      <w:szCs w:val="24"/>
    </w:rPr>
  </w:style>
  <w:style w:type="paragraph" w:styleId="a6">
    <w:name w:val="footer"/>
    <w:basedOn w:val="a"/>
    <w:link w:val="Char1"/>
    <w:uiPriority w:val="99"/>
    <w:rsid w:val="001B63AB"/>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D85A42"/>
    <w:rPr>
      <w:sz w:val="18"/>
      <w:szCs w:val="18"/>
    </w:rPr>
  </w:style>
  <w:style w:type="character" w:styleId="a7">
    <w:name w:val="page number"/>
    <w:uiPriority w:val="99"/>
    <w:rsid w:val="001B63AB"/>
    <w:rPr>
      <w:rFonts w:cs="Times New Roman"/>
    </w:rPr>
  </w:style>
  <w:style w:type="character" w:styleId="a8">
    <w:name w:val="Hyperlink"/>
    <w:uiPriority w:val="99"/>
    <w:rsid w:val="001B63AB"/>
    <w:rPr>
      <w:rFonts w:cs="Times New Roman"/>
      <w:color w:val="0000FF"/>
      <w:u w:val="single"/>
    </w:rPr>
  </w:style>
  <w:style w:type="paragraph" w:styleId="3">
    <w:name w:val="Body Text Indent 3"/>
    <w:basedOn w:val="a"/>
    <w:link w:val="3Char"/>
    <w:uiPriority w:val="99"/>
    <w:rsid w:val="001B63AB"/>
    <w:pPr>
      <w:spacing w:line="560" w:lineRule="exact"/>
      <w:ind w:firstLineChars="200" w:firstLine="420"/>
    </w:pPr>
    <w:rPr>
      <w:kern w:val="0"/>
      <w:sz w:val="16"/>
      <w:szCs w:val="16"/>
    </w:rPr>
  </w:style>
  <w:style w:type="character" w:customStyle="1" w:styleId="3Char">
    <w:name w:val="正文文本缩进 3 Char"/>
    <w:link w:val="3"/>
    <w:uiPriority w:val="99"/>
    <w:semiHidden/>
    <w:rsid w:val="00D85A42"/>
    <w:rPr>
      <w:sz w:val="16"/>
      <w:szCs w:val="16"/>
    </w:rPr>
  </w:style>
  <w:style w:type="paragraph" w:styleId="a9">
    <w:name w:val="header"/>
    <w:basedOn w:val="a"/>
    <w:link w:val="Char2"/>
    <w:uiPriority w:val="99"/>
    <w:rsid w:val="001B63A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4E30FB"/>
    <w:rPr>
      <w:rFonts w:cs="Times New Roman"/>
      <w:kern w:val="2"/>
      <w:sz w:val="18"/>
      <w:szCs w:val="18"/>
    </w:rPr>
  </w:style>
  <w:style w:type="character" w:styleId="aa">
    <w:name w:val="FollowedHyperlink"/>
    <w:uiPriority w:val="99"/>
    <w:rsid w:val="001B63AB"/>
    <w:rPr>
      <w:rFonts w:cs="Times New Roman"/>
      <w:color w:val="800080"/>
      <w:u w:val="single"/>
    </w:rPr>
  </w:style>
  <w:style w:type="paragraph" w:styleId="ab">
    <w:name w:val="List"/>
    <w:basedOn w:val="ac"/>
    <w:uiPriority w:val="99"/>
    <w:rsid w:val="001B63AB"/>
    <w:pPr>
      <w:spacing w:after="220" w:line="220" w:lineRule="atLeast"/>
      <w:ind w:left="1440" w:hanging="360"/>
    </w:pPr>
    <w:rPr>
      <w:szCs w:val="20"/>
    </w:rPr>
  </w:style>
  <w:style w:type="paragraph" w:styleId="ac">
    <w:name w:val="Body Text"/>
    <w:basedOn w:val="a"/>
    <w:link w:val="Char3"/>
    <w:uiPriority w:val="99"/>
    <w:rsid w:val="001B63AB"/>
    <w:pPr>
      <w:spacing w:after="120"/>
    </w:pPr>
    <w:rPr>
      <w:kern w:val="0"/>
      <w:sz w:val="20"/>
    </w:rPr>
  </w:style>
  <w:style w:type="character" w:customStyle="1" w:styleId="Char3">
    <w:name w:val="正文文本 Char"/>
    <w:link w:val="ac"/>
    <w:uiPriority w:val="99"/>
    <w:semiHidden/>
    <w:rsid w:val="00D85A42"/>
    <w:rPr>
      <w:szCs w:val="24"/>
    </w:rPr>
  </w:style>
  <w:style w:type="paragraph" w:styleId="ad">
    <w:name w:val="Date"/>
    <w:basedOn w:val="a"/>
    <w:next w:val="a"/>
    <w:link w:val="Char4"/>
    <w:uiPriority w:val="99"/>
    <w:rsid w:val="001B63AB"/>
    <w:rPr>
      <w:sz w:val="24"/>
      <w:szCs w:val="20"/>
    </w:rPr>
  </w:style>
  <w:style w:type="character" w:customStyle="1" w:styleId="Char4">
    <w:name w:val="日期 Char"/>
    <w:link w:val="ad"/>
    <w:uiPriority w:val="99"/>
    <w:locked/>
    <w:rsid w:val="005E5CC1"/>
    <w:rPr>
      <w:rFonts w:cs="Times New Roman"/>
      <w:kern w:val="2"/>
      <w:sz w:val="24"/>
    </w:rPr>
  </w:style>
  <w:style w:type="character" w:customStyle="1" w:styleId="c1">
    <w:name w:val="c1"/>
    <w:uiPriority w:val="99"/>
    <w:rsid w:val="001B63AB"/>
    <w:rPr>
      <w:rFonts w:cs="Times New Roman"/>
      <w:color w:val="000000"/>
      <w:sz w:val="18"/>
      <w:szCs w:val="18"/>
    </w:rPr>
  </w:style>
  <w:style w:type="paragraph" w:styleId="10">
    <w:name w:val="index 1"/>
    <w:basedOn w:val="a"/>
    <w:next w:val="a"/>
    <w:autoRedefine/>
    <w:uiPriority w:val="99"/>
    <w:semiHidden/>
    <w:rsid w:val="001B63AB"/>
    <w:pPr>
      <w:jc w:val="right"/>
    </w:pPr>
    <w:rPr>
      <w:color w:val="008000"/>
    </w:rPr>
  </w:style>
  <w:style w:type="paragraph" w:customStyle="1" w:styleId="font5">
    <w:name w:val="font5"/>
    <w:basedOn w:val="a"/>
    <w:uiPriority w:val="99"/>
    <w:rsid w:val="001B63AB"/>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1B63AB"/>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1B63AB"/>
    <w:rPr>
      <w:kern w:val="0"/>
      <w:sz w:val="0"/>
      <w:szCs w:val="0"/>
    </w:rPr>
  </w:style>
  <w:style w:type="character" w:customStyle="1" w:styleId="Char5">
    <w:name w:val="批注框文本 Char"/>
    <w:link w:val="ae"/>
    <w:uiPriority w:val="99"/>
    <w:semiHidden/>
    <w:rsid w:val="00D85A42"/>
    <w:rPr>
      <w:sz w:val="0"/>
      <w:szCs w:val="0"/>
    </w:rPr>
  </w:style>
  <w:style w:type="character" w:styleId="af">
    <w:name w:val="annotation reference"/>
    <w:uiPriority w:val="99"/>
    <w:semiHidden/>
    <w:rsid w:val="001B63AB"/>
    <w:rPr>
      <w:rFonts w:cs="Times New Roman"/>
      <w:sz w:val="21"/>
      <w:szCs w:val="21"/>
    </w:rPr>
  </w:style>
  <w:style w:type="paragraph" w:styleId="af0">
    <w:name w:val="annotation text"/>
    <w:basedOn w:val="a"/>
    <w:link w:val="Char6"/>
    <w:uiPriority w:val="99"/>
    <w:semiHidden/>
    <w:rsid w:val="001B63AB"/>
    <w:pPr>
      <w:jc w:val="left"/>
    </w:pPr>
    <w:rPr>
      <w:kern w:val="0"/>
      <w:sz w:val="20"/>
    </w:rPr>
  </w:style>
  <w:style w:type="character" w:customStyle="1" w:styleId="Char6">
    <w:name w:val="批注文字 Char"/>
    <w:link w:val="af0"/>
    <w:uiPriority w:val="99"/>
    <w:semiHidden/>
    <w:rsid w:val="00D85A42"/>
    <w:rPr>
      <w:szCs w:val="24"/>
    </w:rPr>
  </w:style>
  <w:style w:type="paragraph" w:styleId="af1">
    <w:name w:val="annotation subject"/>
    <w:basedOn w:val="af0"/>
    <w:next w:val="af0"/>
    <w:link w:val="Char7"/>
    <w:uiPriority w:val="99"/>
    <w:semiHidden/>
    <w:rsid w:val="001B63AB"/>
    <w:rPr>
      <w:b/>
      <w:bCs/>
    </w:rPr>
  </w:style>
  <w:style w:type="character" w:customStyle="1" w:styleId="Char7">
    <w:name w:val="批注主题 Char"/>
    <w:link w:val="af1"/>
    <w:uiPriority w:val="99"/>
    <w:semiHidden/>
    <w:rsid w:val="00D85A42"/>
    <w:rPr>
      <w:b/>
      <w:bCs/>
      <w:szCs w:val="24"/>
    </w:rPr>
  </w:style>
  <w:style w:type="paragraph" w:customStyle="1" w:styleId="Char8">
    <w:name w:val="Char"/>
    <w:basedOn w:val="a"/>
    <w:uiPriority w:val="99"/>
    <w:rsid w:val="001B63AB"/>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D85A42"/>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D85A42"/>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customStyle="1" w:styleId="t1">
    <w:name w:val="t1"/>
    <w:uiPriority w:val="99"/>
    <w:rsid w:val="00C40F7A"/>
    <w:rPr>
      <w:rFonts w:cs="Times New Roman"/>
      <w:color w:val="990000"/>
    </w:rPr>
  </w:style>
  <w:style w:type="character" w:styleId="af8">
    <w:name w:val="Strong"/>
    <w:uiPriority w:val="22"/>
    <w:qFormat/>
    <w:locked/>
    <w:rsid w:val="001A4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04092">
      <w:bodyDiv w:val="1"/>
      <w:marLeft w:val="0"/>
      <w:marRight w:val="0"/>
      <w:marTop w:val="0"/>
      <w:marBottom w:val="0"/>
      <w:divBdr>
        <w:top w:val="none" w:sz="0" w:space="0" w:color="auto"/>
        <w:left w:val="none" w:sz="0" w:space="0" w:color="auto"/>
        <w:bottom w:val="none" w:sz="0" w:space="0" w:color="auto"/>
        <w:right w:val="none" w:sz="0" w:space="0" w:color="auto"/>
      </w:divBdr>
    </w:div>
    <w:div w:id="1833837360">
      <w:marLeft w:val="0"/>
      <w:marRight w:val="0"/>
      <w:marTop w:val="0"/>
      <w:marBottom w:val="0"/>
      <w:divBdr>
        <w:top w:val="none" w:sz="0" w:space="0" w:color="auto"/>
        <w:left w:val="none" w:sz="0" w:space="0" w:color="auto"/>
        <w:bottom w:val="none" w:sz="0" w:space="0" w:color="auto"/>
        <w:right w:val="none" w:sz="0" w:space="0" w:color="auto"/>
      </w:divBdr>
    </w:div>
    <w:div w:id="1833837361">
      <w:marLeft w:val="0"/>
      <w:marRight w:val="0"/>
      <w:marTop w:val="0"/>
      <w:marBottom w:val="0"/>
      <w:divBdr>
        <w:top w:val="none" w:sz="0" w:space="0" w:color="auto"/>
        <w:left w:val="none" w:sz="0" w:space="0" w:color="auto"/>
        <w:bottom w:val="none" w:sz="0" w:space="0" w:color="auto"/>
        <w:right w:val="none" w:sz="0" w:space="0" w:color="auto"/>
      </w:divBdr>
    </w:div>
    <w:div w:id="1833837362">
      <w:marLeft w:val="0"/>
      <w:marRight w:val="0"/>
      <w:marTop w:val="0"/>
      <w:marBottom w:val="0"/>
      <w:divBdr>
        <w:top w:val="none" w:sz="0" w:space="0" w:color="auto"/>
        <w:left w:val="none" w:sz="0" w:space="0" w:color="auto"/>
        <w:bottom w:val="none" w:sz="0" w:space="0" w:color="auto"/>
        <w:right w:val="none" w:sz="0" w:space="0" w:color="auto"/>
      </w:divBdr>
    </w:div>
    <w:div w:id="1833837363">
      <w:marLeft w:val="0"/>
      <w:marRight w:val="0"/>
      <w:marTop w:val="0"/>
      <w:marBottom w:val="0"/>
      <w:divBdr>
        <w:top w:val="none" w:sz="0" w:space="0" w:color="auto"/>
        <w:left w:val="none" w:sz="0" w:space="0" w:color="auto"/>
        <w:bottom w:val="none" w:sz="0" w:space="0" w:color="auto"/>
        <w:right w:val="none" w:sz="0" w:space="0" w:color="auto"/>
      </w:divBdr>
    </w:div>
    <w:div w:id="1833837364">
      <w:marLeft w:val="0"/>
      <w:marRight w:val="0"/>
      <w:marTop w:val="0"/>
      <w:marBottom w:val="0"/>
      <w:divBdr>
        <w:top w:val="none" w:sz="0" w:space="0" w:color="auto"/>
        <w:left w:val="none" w:sz="0" w:space="0" w:color="auto"/>
        <w:bottom w:val="none" w:sz="0" w:space="0" w:color="auto"/>
        <w:right w:val="none" w:sz="0" w:space="0" w:color="auto"/>
      </w:divBdr>
    </w:div>
    <w:div w:id="1833837365">
      <w:marLeft w:val="0"/>
      <w:marRight w:val="0"/>
      <w:marTop w:val="0"/>
      <w:marBottom w:val="0"/>
      <w:divBdr>
        <w:top w:val="none" w:sz="0" w:space="0" w:color="auto"/>
        <w:left w:val="none" w:sz="0" w:space="0" w:color="auto"/>
        <w:bottom w:val="none" w:sz="0" w:space="0" w:color="auto"/>
        <w:right w:val="none" w:sz="0" w:space="0" w:color="auto"/>
      </w:divBdr>
    </w:div>
    <w:div w:id="1833837366">
      <w:marLeft w:val="0"/>
      <w:marRight w:val="0"/>
      <w:marTop w:val="0"/>
      <w:marBottom w:val="0"/>
      <w:divBdr>
        <w:top w:val="none" w:sz="0" w:space="0" w:color="auto"/>
        <w:left w:val="none" w:sz="0" w:space="0" w:color="auto"/>
        <w:bottom w:val="none" w:sz="0" w:space="0" w:color="auto"/>
        <w:right w:val="none" w:sz="0" w:space="0" w:color="auto"/>
      </w:divBdr>
    </w:div>
    <w:div w:id="1833837367">
      <w:marLeft w:val="0"/>
      <w:marRight w:val="0"/>
      <w:marTop w:val="0"/>
      <w:marBottom w:val="0"/>
      <w:divBdr>
        <w:top w:val="none" w:sz="0" w:space="0" w:color="auto"/>
        <w:left w:val="none" w:sz="0" w:space="0" w:color="auto"/>
        <w:bottom w:val="none" w:sz="0" w:space="0" w:color="auto"/>
        <w:right w:val="none" w:sz="0" w:space="0" w:color="auto"/>
      </w:divBdr>
    </w:div>
    <w:div w:id="1833837368">
      <w:marLeft w:val="0"/>
      <w:marRight w:val="0"/>
      <w:marTop w:val="0"/>
      <w:marBottom w:val="0"/>
      <w:divBdr>
        <w:top w:val="none" w:sz="0" w:space="0" w:color="auto"/>
        <w:left w:val="none" w:sz="0" w:space="0" w:color="auto"/>
        <w:bottom w:val="none" w:sz="0" w:space="0" w:color="auto"/>
        <w:right w:val="none" w:sz="0" w:space="0" w:color="auto"/>
      </w:divBdr>
    </w:div>
    <w:div w:id="1833837369">
      <w:marLeft w:val="0"/>
      <w:marRight w:val="0"/>
      <w:marTop w:val="0"/>
      <w:marBottom w:val="0"/>
      <w:divBdr>
        <w:top w:val="none" w:sz="0" w:space="0" w:color="auto"/>
        <w:left w:val="none" w:sz="0" w:space="0" w:color="auto"/>
        <w:bottom w:val="none" w:sz="0" w:space="0" w:color="auto"/>
        <w:right w:val="none" w:sz="0" w:space="0" w:color="auto"/>
      </w:divBdr>
    </w:div>
    <w:div w:id="1833837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1118</Words>
  <Characters>6374</Characters>
  <Application>Microsoft Office Word</Application>
  <DocSecurity>0</DocSecurity>
  <Lines>53</Lines>
  <Paragraphs>14</Paragraphs>
  <ScaleCrop>false</ScaleCrop>
  <Company>TRT. Ltd. Co.</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144</cp:revision>
  <cp:lastPrinted>2019-10-16T13:57:00Z</cp:lastPrinted>
  <dcterms:created xsi:type="dcterms:W3CDTF">2013-06-21T07:03:00Z</dcterms:created>
  <dcterms:modified xsi:type="dcterms:W3CDTF">2019-10-16T13:57:00Z</dcterms:modified>
</cp:coreProperties>
</file>