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bookmarkStart w:id="0" w:name="_GoBack"/>
      <w:bookmarkEnd w:id="0"/>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F22F00">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易方达原油证券投资基金（QDII）</w:t>
      </w: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2019年第3季度报告</w:t>
      </w:r>
    </w:p>
    <w:p w:rsidR="00397616" w:rsidRPr="008277FF" w:rsidRDefault="00623556" w:rsidP="00506D57">
      <w:pPr>
        <w:spacing w:line="360" w:lineRule="auto"/>
        <w:jc w:val="center"/>
        <w:rPr>
          <w:rFonts w:asciiTheme="minorEastAsia" w:eastAsiaTheme="minorEastAsia" w:hAnsiTheme="minorEastAsia"/>
          <w:b/>
          <w:color w:val="000000" w:themeColor="text1"/>
          <w:sz w:val="24"/>
        </w:rPr>
      </w:pPr>
      <w:r w:rsidRPr="008277FF">
        <w:rPr>
          <w:rFonts w:asciiTheme="minorEastAsia" w:eastAsiaTheme="minorEastAsia" w:hAnsiTheme="minorEastAsia"/>
          <w:b/>
          <w:color w:val="000000" w:themeColor="text1"/>
          <w:sz w:val="24"/>
        </w:rPr>
        <w:t>2019年9月30日</w:t>
      </w: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826B12">
      <w:pPr>
        <w:spacing w:line="288" w:lineRule="auto"/>
        <w:ind w:firstLineChars="900" w:firstLine="2168"/>
        <w:rPr>
          <w:rFonts w:asciiTheme="minorEastAsia" w:eastAsiaTheme="minorEastAsia" w:hAnsiTheme="minorEastAsia"/>
          <w:b/>
          <w:color w:val="000000" w:themeColor="text1"/>
          <w:sz w:val="24"/>
        </w:rPr>
      </w:pP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基金管理人：</w:t>
      </w:r>
      <w:r w:rsidRPr="008277FF">
        <w:rPr>
          <w:rFonts w:asciiTheme="minorEastAsia" w:eastAsiaTheme="minorEastAsia" w:hAnsiTheme="minorEastAsia"/>
          <w:b/>
          <w:color w:val="000000" w:themeColor="text1"/>
          <w:sz w:val="24"/>
        </w:rPr>
        <w:t>易方达基金管理有限公司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基金托管人：</w:t>
      </w:r>
      <w:r w:rsidRPr="008277FF">
        <w:rPr>
          <w:rFonts w:asciiTheme="minorEastAsia" w:eastAsiaTheme="minorEastAsia" w:hAnsiTheme="minorEastAsia"/>
          <w:b/>
          <w:color w:val="000000" w:themeColor="text1"/>
          <w:sz w:val="24"/>
        </w:rPr>
        <w:t>招商银行股份有限公司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sectPr w:rsidR="007D1292" w:rsidRPr="008277FF" w:rsidSect="00B918B8">
          <w:headerReference w:type="default" r:id="rId7"/>
          <w:footerReference w:type="default" r:id="rId8"/>
          <w:pgSz w:w="11926" w:h="15840"/>
          <w:pgMar w:top="1418" w:right="1418" w:bottom="851" w:left="1418" w:header="851" w:footer="992" w:gutter="0"/>
          <w:cols w:space="720"/>
          <w:noEndnote/>
        </w:sectPr>
      </w:pPr>
      <w:r w:rsidRPr="008277FF">
        <w:rPr>
          <w:rFonts w:asciiTheme="minorEastAsia" w:eastAsiaTheme="minorEastAsia" w:hAnsiTheme="minorEastAsia" w:hint="eastAsia"/>
          <w:b/>
          <w:color w:val="000000" w:themeColor="text1"/>
          <w:sz w:val="24"/>
        </w:rPr>
        <w:t>报告送出日期：</w:t>
      </w:r>
      <w:r w:rsidR="00CB44DE" w:rsidRPr="008277FF">
        <w:rPr>
          <w:rFonts w:asciiTheme="minorEastAsia" w:eastAsiaTheme="minorEastAsia" w:hAnsiTheme="minorEastAsia"/>
          <w:b/>
          <w:color w:val="000000" w:themeColor="text1"/>
          <w:sz w:val="24"/>
        </w:rPr>
        <w:t>二〇一九年十月二十四日</w:t>
      </w:r>
    </w:p>
    <w:p w:rsidR="0076518F" w:rsidRPr="00A67563" w:rsidRDefault="0076518F" w:rsidP="00775284">
      <w:pPr>
        <w:pStyle w:val="1"/>
        <w:spacing w:beforeLines="100" w:before="312" w:afterLines="100" w:after="312" w:line="360" w:lineRule="auto"/>
        <w:jc w:val="center"/>
        <w:rPr>
          <w:b w:val="0"/>
          <w:color w:val="000000" w:themeColor="text1"/>
          <w:kern w:val="0"/>
          <w:sz w:val="24"/>
          <w:szCs w:val="24"/>
        </w:rPr>
      </w:pPr>
      <w:r w:rsidRPr="00A67563">
        <w:rPr>
          <w:color w:val="000000" w:themeColor="text1"/>
          <w:kern w:val="0"/>
          <w:sz w:val="24"/>
          <w:szCs w:val="24"/>
        </w:rPr>
        <w:lastRenderedPageBreak/>
        <w:t xml:space="preserve">§1  </w:t>
      </w:r>
      <w:r w:rsidRPr="00A67563">
        <w:rPr>
          <w:color w:val="000000" w:themeColor="text1"/>
          <w:kern w:val="0"/>
          <w:sz w:val="24"/>
          <w:szCs w:val="24"/>
        </w:rPr>
        <w:t>重要提示</w:t>
      </w:r>
    </w:p>
    <w:p w:rsidR="005027ED" w:rsidRDefault="00465027">
      <w:pPr>
        <w:spacing w:line="360" w:lineRule="auto"/>
        <w:ind w:firstLineChars="200" w:firstLine="480"/>
        <w:rPr>
          <w:color w:val="000000" w:themeColor="text1"/>
          <w:sz w:val="24"/>
        </w:rPr>
      </w:pPr>
      <w:r>
        <w:rPr>
          <w:color w:val="000000" w:themeColor="text1"/>
          <w:sz w:val="24"/>
        </w:rPr>
        <w:t>基金管理人的董事会及董事保证本报告所载资料不存在虚假记载、误导性陈述或重大遗漏，并对其内容的真实性、准确性和完整性承担个别及连带责任。</w:t>
      </w:r>
      <w:r>
        <w:rPr>
          <w:color w:val="000000" w:themeColor="text1"/>
          <w:sz w:val="24"/>
        </w:rPr>
        <w:t xml:space="preserve"> </w:t>
      </w:r>
    </w:p>
    <w:p w:rsidR="005027ED" w:rsidRDefault="00465027">
      <w:pPr>
        <w:spacing w:line="360" w:lineRule="auto"/>
        <w:ind w:firstLineChars="200" w:firstLine="480"/>
        <w:rPr>
          <w:color w:val="000000" w:themeColor="text1"/>
          <w:sz w:val="24"/>
        </w:rPr>
      </w:pPr>
      <w:r>
        <w:rPr>
          <w:color w:val="000000" w:themeColor="text1"/>
          <w:sz w:val="24"/>
        </w:rPr>
        <w:t>基金托管人招商银行股份有限公司根据本基金合同规定，于</w:t>
      </w:r>
      <w:r>
        <w:rPr>
          <w:color w:val="000000" w:themeColor="text1"/>
          <w:sz w:val="24"/>
        </w:rPr>
        <w:t>2019</w:t>
      </w:r>
      <w:r>
        <w:rPr>
          <w:color w:val="000000" w:themeColor="text1"/>
          <w:sz w:val="24"/>
        </w:rPr>
        <w:t>年</w:t>
      </w:r>
      <w:r>
        <w:rPr>
          <w:color w:val="000000" w:themeColor="text1"/>
          <w:sz w:val="24"/>
        </w:rPr>
        <w:t>10</w:t>
      </w:r>
      <w:r>
        <w:rPr>
          <w:color w:val="000000" w:themeColor="text1"/>
          <w:sz w:val="24"/>
        </w:rPr>
        <w:t>月</w:t>
      </w:r>
      <w:r>
        <w:rPr>
          <w:color w:val="000000" w:themeColor="text1"/>
          <w:sz w:val="24"/>
        </w:rPr>
        <w:t>22</w:t>
      </w:r>
      <w:r>
        <w:rPr>
          <w:color w:val="000000" w:themeColor="text1"/>
          <w:sz w:val="24"/>
        </w:rPr>
        <w:t>日复核了本报告中的财务指标、净值表现和投资组合报告等内容，保证复核内容不存在虚假记载、误导性陈述或者重大遗漏。</w:t>
      </w:r>
      <w:r>
        <w:rPr>
          <w:color w:val="000000" w:themeColor="text1"/>
          <w:sz w:val="24"/>
        </w:rPr>
        <w:t xml:space="preserve"> </w:t>
      </w:r>
    </w:p>
    <w:p w:rsidR="005027ED" w:rsidRDefault="00465027">
      <w:pPr>
        <w:spacing w:line="360" w:lineRule="auto"/>
        <w:ind w:firstLineChars="200" w:firstLine="480"/>
        <w:rPr>
          <w:color w:val="000000" w:themeColor="text1"/>
          <w:sz w:val="24"/>
        </w:rPr>
      </w:pPr>
      <w:r>
        <w:rPr>
          <w:color w:val="000000" w:themeColor="text1"/>
          <w:sz w:val="24"/>
        </w:rPr>
        <w:t>基金管理人承诺以诚实信用、勤勉尽责的原则管理和运用基金资产，但不保证基金一定盈利。</w:t>
      </w:r>
      <w:r>
        <w:rPr>
          <w:color w:val="000000" w:themeColor="text1"/>
          <w:sz w:val="24"/>
        </w:rPr>
        <w:t xml:space="preserve"> </w:t>
      </w:r>
    </w:p>
    <w:p w:rsidR="005027ED" w:rsidRDefault="00465027">
      <w:pPr>
        <w:spacing w:line="360" w:lineRule="auto"/>
        <w:ind w:firstLineChars="200" w:firstLine="480"/>
        <w:rPr>
          <w:color w:val="000000" w:themeColor="text1"/>
          <w:sz w:val="24"/>
        </w:rPr>
      </w:pPr>
      <w:r>
        <w:rPr>
          <w:color w:val="000000" w:themeColor="text1"/>
          <w:sz w:val="24"/>
        </w:rPr>
        <w:t>基金的过往业绩并不代表其未来表现。投资有风险，投资者在作出投</w:t>
      </w:r>
      <w:r>
        <w:rPr>
          <w:color w:val="000000" w:themeColor="text1"/>
          <w:sz w:val="24"/>
        </w:rPr>
        <w:t>资决策前应仔细阅读本基金的招募说明书。</w:t>
      </w:r>
      <w:r>
        <w:rPr>
          <w:color w:val="000000" w:themeColor="text1"/>
          <w:sz w:val="24"/>
        </w:rPr>
        <w:t xml:space="preserve"> </w:t>
      </w:r>
    </w:p>
    <w:p w:rsidR="005027ED" w:rsidRDefault="00465027">
      <w:pPr>
        <w:spacing w:line="360" w:lineRule="auto"/>
        <w:ind w:firstLineChars="200" w:firstLine="480"/>
        <w:rPr>
          <w:color w:val="000000" w:themeColor="text1"/>
          <w:sz w:val="24"/>
        </w:rPr>
      </w:pPr>
      <w:r>
        <w:rPr>
          <w:color w:val="000000" w:themeColor="text1"/>
          <w:sz w:val="24"/>
        </w:rPr>
        <w:t>本报告中财务资料未经审计。</w:t>
      </w:r>
    </w:p>
    <w:p w:rsidR="007D1292" w:rsidRPr="00A67563" w:rsidRDefault="007D1292" w:rsidP="006669C9">
      <w:pPr>
        <w:spacing w:line="360" w:lineRule="auto"/>
        <w:ind w:firstLineChars="200" w:firstLine="480"/>
        <w:rPr>
          <w:color w:val="000000" w:themeColor="text1"/>
          <w:sz w:val="24"/>
        </w:rPr>
      </w:pPr>
      <w:r w:rsidRPr="00A67563">
        <w:rPr>
          <w:color w:val="000000" w:themeColor="text1"/>
          <w:sz w:val="24"/>
        </w:rPr>
        <w:t>本报告期自</w:t>
      </w: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日起至</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日止。</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§2  </w:t>
      </w:r>
      <w:r w:rsidRPr="00A67563">
        <w:rPr>
          <w:color w:val="000000" w:themeColor="text1"/>
          <w:kern w:val="0"/>
          <w:sz w:val="24"/>
          <w:szCs w:val="24"/>
        </w:rPr>
        <w:t>基金产品概况</w:t>
      </w:r>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67563" w:rsidTr="003376D5">
        <w:tc>
          <w:tcPr>
            <w:tcW w:w="2980" w:type="dxa"/>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基金简称</w:t>
            </w:r>
          </w:p>
        </w:tc>
        <w:tc>
          <w:tcPr>
            <w:tcW w:w="5443" w:type="dxa"/>
            <w:gridSpan w:val="2"/>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易方达原油（</w:t>
            </w:r>
            <w:r w:rsidRPr="00A67563">
              <w:rPr>
                <w:color w:val="000000" w:themeColor="text1"/>
                <w:kern w:val="0"/>
                <w:sz w:val="24"/>
              </w:rPr>
              <w:t>QDII-LOF-FOF</w:t>
            </w:r>
            <w:r w:rsidRPr="00A67563">
              <w:rPr>
                <w:color w:val="000000" w:themeColor="text1"/>
                <w:kern w:val="0"/>
                <w:sz w:val="24"/>
              </w:rPr>
              <w:t>）</w:t>
            </w:r>
          </w:p>
        </w:tc>
      </w:tr>
      <w:tr w:rsidR="008277FF" w:rsidRPr="00A67563" w:rsidTr="003376D5">
        <w:tc>
          <w:tcPr>
            <w:tcW w:w="2980" w:type="dxa"/>
            <w:vAlign w:val="center"/>
          </w:tcPr>
          <w:p w:rsidR="00584F63" w:rsidRPr="00A67563" w:rsidRDefault="00584F63" w:rsidP="003376D5">
            <w:pPr>
              <w:rPr>
                <w:color w:val="000000" w:themeColor="text1"/>
                <w:sz w:val="24"/>
              </w:rPr>
            </w:pPr>
            <w:r w:rsidRPr="00A67563">
              <w:rPr>
                <w:color w:val="000000" w:themeColor="text1"/>
                <w:sz w:val="24"/>
              </w:rPr>
              <w:t>场内简称</w:t>
            </w:r>
          </w:p>
        </w:tc>
        <w:tc>
          <w:tcPr>
            <w:tcW w:w="5443" w:type="dxa"/>
            <w:gridSpan w:val="2"/>
            <w:vAlign w:val="center"/>
          </w:tcPr>
          <w:p w:rsidR="00584F63" w:rsidRPr="00A67563" w:rsidRDefault="00584F63" w:rsidP="003376D5">
            <w:pPr>
              <w:rPr>
                <w:color w:val="000000" w:themeColor="text1"/>
                <w:sz w:val="24"/>
              </w:rPr>
            </w:pPr>
            <w:r w:rsidRPr="00A67563">
              <w:rPr>
                <w:color w:val="000000" w:themeColor="text1"/>
                <w:sz w:val="24"/>
              </w:rPr>
              <w:t>原油基金</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基金主代码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161129</w:t>
            </w:r>
          </w:p>
        </w:tc>
      </w:tr>
      <w:tr w:rsidR="008277FF" w:rsidRPr="00A67563" w:rsidTr="003376D5">
        <w:tc>
          <w:tcPr>
            <w:tcW w:w="2980" w:type="dxa"/>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交易代码</w:t>
            </w:r>
          </w:p>
        </w:tc>
        <w:tc>
          <w:tcPr>
            <w:tcW w:w="5443" w:type="dxa"/>
            <w:gridSpan w:val="2"/>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161129</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基金运作方式</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契约型、上市开放式（</w:t>
            </w:r>
            <w:r w:rsidRPr="00A67563">
              <w:rPr>
                <w:color w:val="000000" w:themeColor="text1"/>
                <w:kern w:val="0"/>
                <w:sz w:val="24"/>
              </w:rPr>
              <w:t>LOF</w:t>
            </w:r>
            <w:r w:rsidRPr="00A67563">
              <w:rPr>
                <w:color w:val="000000" w:themeColor="text1"/>
                <w:kern w:val="0"/>
                <w:sz w:val="24"/>
              </w:rPr>
              <w:t>）</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基金合同生效日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2016</w:t>
            </w:r>
            <w:r w:rsidRPr="00A67563">
              <w:rPr>
                <w:color w:val="000000" w:themeColor="text1"/>
                <w:kern w:val="0"/>
                <w:sz w:val="24"/>
              </w:rPr>
              <w:t>年</w:t>
            </w:r>
            <w:r w:rsidRPr="00A67563">
              <w:rPr>
                <w:color w:val="000000" w:themeColor="text1"/>
                <w:kern w:val="0"/>
                <w:sz w:val="24"/>
              </w:rPr>
              <w:t>12</w:t>
            </w:r>
            <w:r w:rsidRPr="00A67563">
              <w:rPr>
                <w:color w:val="000000" w:themeColor="text1"/>
                <w:kern w:val="0"/>
                <w:sz w:val="24"/>
              </w:rPr>
              <w:t>月</w:t>
            </w:r>
            <w:r w:rsidRPr="00A67563">
              <w:rPr>
                <w:color w:val="000000" w:themeColor="text1"/>
                <w:kern w:val="0"/>
                <w:sz w:val="24"/>
              </w:rPr>
              <w:t>19</w:t>
            </w:r>
            <w:r w:rsidRPr="00A67563">
              <w:rPr>
                <w:color w:val="000000" w:themeColor="text1"/>
                <w:kern w:val="0"/>
                <w:sz w:val="24"/>
              </w:rPr>
              <w:t>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报告期末基金份额总额</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201,792,032.17</w:t>
            </w:r>
            <w:r w:rsidRPr="00A67563">
              <w:rPr>
                <w:color w:val="000000" w:themeColor="text1"/>
                <w:kern w:val="0"/>
                <w:sz w:val="24"/>
              </w:rPr>
              <w:t>份</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投资目标</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本基金力求基金净值增长率与业绩比较基准增长率相当。</w:t>
            </w:r>
            <w:r w:rsidRPr="00A67563">
              <w:rPr>
                <w:color w:val="000000" w:themeColor="text1"/>
                <w:kern w:val="0"/>
                <w:sz w:val="24"/>
              </w:rPr>
              <w:t xml:space="preserve"> </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投资策略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本基金在全球范围内精选优质的原油</w:t>
            </w:r>
            <w:r w:rsidRPr="00A67563">
              <w:rPr>
                <w:color w:val="000000" w:themeColor="text1"/>
                <w:kern w:val="0"/>
                <w:sz w:val="24"/>
              </w:rPr>
              <w:t>ETF</w:t>
            </w:r>
            <w:r w:rsidRPr="00A67563">
              <w:rPr>
                <w:color w:val="000000" w:themeColor="text1"/>
                <w:kern w:val="0"/>
                <w:sz w:val="24"/>
              </w:rPr>
              <w:t>、原油基金，以及法律法规或中国证监会允许基金投资的其他金融工具进行投资，力求基金净值增长率与业绩比较基准增长率相当。</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lastRenderedPageBreak/>
              <w:t>业绩比较基准</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标普高盛原油商品指数（</w:t>
            </w:r>
            <w:r w:rsidRPr="00A67563">
              <w:rPr>
                <w:color w:val="000000" w:themeColor="text1"/>
                <w:kern w:val="0"/>
                <w:sz w:val="24"/>
              </w:rPr>
              <w:t>S&amp;P GSCI Crude Oil Index ER</w:t>
            </w:r>
            <w:r w:rsidRPr="00A67563">
              <w:rPr>
                <w:color w:val="000000" w:themeColor="text1"/>
                <w:kern w:val="0"/>
                <w:sz w:val="24"/>
              </w:rPr>
              <w:t>）收益率</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风险收益特征</w:t>
            </w:r>
          </w:p>
        </w:tc>
        <w:tc>
          <w:tcPr>
            <w:tcW w:w="5443" w:type="dxa"/>
            <w:gridSpan w:val="2"/>
            <w:vAlign w:val="center"/>
          </w:tcPr>
          <w:p w:rsidR="005027ED" w:rsidRDefault="00465027">
            <w:pPr>
              <w:adjustRightInd w:val="0"/>
              <w:spacing w:before="29" w:line="360" w:lineRule="auto"/>
              <w:ind w:left="17"/>
              <w:rPr>
                <w:color w:val="000000" w:themeColor="text1"/>
                <w:sz w:val="24"/>
              </w:rPr>
            </w:pPr>
            <w:r>
              <w:rPr>
                <w:color w:val="000000" w:themeColor="text1"/>
                <w:kern w:val="0"/>
                <w:sz w:val="24"/>
              </w:rPr>
              <w:t>本基金为基金中基金，力求基金净值增长率与业绩比较基准增长率相当，理论上其具有与业绩比较基准相类似的风险收益特征。历史上原油价格波幅较大，波动周期较长，预期收益可能长期超过或低于股票、债券等传统金融资产，因此本基金是预期收益与预期风险较高的基金品种。</w:t>
            </w:r>
            <w:r>
              <w:rPr>
                <w:color w:val="000000" w:themeColor="text1"/>
                <w:kern w:val="0"/>
                <w:sz w:val="24"/>
              </w:rPr>
              <w:t xml:space="preserve"> </w:t>
            </w:r>
          </w:p>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本基金可投资境外证券投资基金，除了需要承担与国内证券投资基金类似的市场波动风险之外，本基金还面临汇率风险等海外市场投资所面临的特别投资风险。</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基金管理人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易方达基金管理有限公司</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基金托管人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招商银行股份有限公司</w:t>
            </w:r>
          </w:p>
        </w:tc>
      </w:tr>
      <w:tr w:rsidR="007F4CD3" w:rsidRPr="00A67563" w:rsidTr="003376D5">
        <w:tc>
          <w:tcPr>
            <w:tcW w:w="2980" w:type="dxa"/>
            <w:vMerge w:val="restart"/>
            <w:vAlign w:val="center"/>
          </w:tcPr>
          <w:p w:rsidR="007F4CD3" w:rsidRPr="00A67563" w:rsidRDefault="007F4CD3" w:rsidP="007F4CD3">
            <w:pPr>
              <w:adjustRightInd w:val="0"/>
              <w:spacing w:before="29" w:line="360" w:lineRule="auto"/>
              <w:ind w:left="17"/>
              <w:rPr>
                <w:color w:val="000000" w:themeColor="text1"/>
                <w:kern w:val="0"/>
                <w:sz w:val="24"/>
              </w:rPr>
            </w:pPr>
            <w:r w:rsidRPr="00A67563">
              <w:rPr>
                <w:color w:val="000000" w:themeColor="text1"/>
                <w:kern w:val="0"/>
                <w:sz w:val="24"/>
              </w:rPr>
              <w:t>境外投资顾问</w:t>
            </w: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sidR="00801249">
              <w:rPr>
                <w:rFonts w:hint="eastAsia"/>
                <w:color w:val="000000" w:themeColor="text1"/>
                <w:kern w:val="0"/>
                <w:sz w:val="24"/>
              </w:rPr>
              <w:t>：</w:t>
            </w:r>
            <w:r w:rsidRPr="00A67563">
              <w:rPr>
                <w:color w:val="000000" w:themeColor="text1"/>
                <w:kern w:val="0"/>
                <w:sz w:val="24"/>
              </w:rPr>
              <w:t>无</w:t>
            </w:r>
          </w:p>
        </w:tc>
      </w:tr>
      <w:tr w:rsidR="007F4CD3" w:rsidRPr="00A67563" w:rsidTr="003376D5">
        <w:tc>
          <w:tcPr>
            <w:tcW w:w="2980" w:type="dxa"/>
            <w:vMerge/>
            <w:vAlign w:val="center"/>
          </w:tcPr>
          <w:p w:rsidR="007F4CD3" w:rsidRPr="00A67563" w:rsidRDefault="007F4CD3" w:rsidP="007F4CD3">
            <w:pPr>
              <w:adjustRightInd w:val="0"/>
              <w:spacing w:before="29" w:line="360" w:lineRule="auto"/>
              <w:ind w:left="17"/>
              <w:rPr>
                <w:color w:val="000000" w:themeColor="text1"/>
                <w:kern w:val="0"/>
                <w:sz w:val="24"/>
              </w:rPr>
            </w:pP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Pr>
                <w:rFonts w:hint="eastAsia"/>
                <w:color w:val="000000" w:themeColor="text1"/>
                <w:kern w:val="0"/>
                <w:sz w:val="24"/>
              </w:rPr>
              <w:t>中文</w:t>
            </w:r>
            <w:r>
              <w:rPr>
                <w:color w:val="000000" w:themeColor="text1"/>
                <w:kern w:val="0"/>
                <w:sz w:val="24"/>
              </w:rPr>
              <w:t>名称</w:t>
            </w:r>
            <w:r>
              <w:rPr>
                <w:rFonts w:hint="eastAsia"/>
                <w:color w:val="000000" w:themeColor="text1"/>
                <w:kern w:val="0"/>
                <w:sz w:val="24"/>
              </w:rPr>
              <w:t>：</w:t>
            </w:r>
            <w:r w:rsidRPr="00A67563">
              <w:rPr>
                <w:color w:val="000000" w:themeColor="text1"/>
                <w:kern w:val="0"/>
                <w:sz w:val="24"/>
              </w:rPr>
              <w:t>无</w:t>
            </w:r>
          </w:p>
        </w:tc>
      </w:tr>
      <w:tr w:rsidR="007F4CD3" w:rsidRPr="00A67563" w:rsidTr="0031104D">
        <w:tc>
          <w:tcPr>
            <w:tcW w:w="2980" w:type="dxa"/>
            <w:vMerge w:val="restart"/>
            <w:vAlign w:val="center"/>
          </w:tcPr>
          <w:p w:rsidR="007F4CD3" w:rsidRPr="00A67563" w:rsidRDefault="007F4CD3" w:rsidP="007F4CD3">
            <w:pPr>
              <w:adjustRightInd w:val="0"/>
              <w:spacing w:before="29" w:line="360" w:lineRule="auto"/>
              <w:ind w:left="17"/>
              <w:rPr>
                <w:color w:val="000000" w:themeColor="text1"/>
                <w:kern w:val="0"/>
                <w:sz w:val="24"/>
              </w:rPr>
            </w:pPr>
            <w:r w:rsidRPr="00A67563">
              <w:rPr>
                <w:color w:val="000000" w:themeColor="text1"/>
                <w:kern w:val="0"/>
                <w:sz w:val="24"/>
              </w:rPr>
              <w:t>境外资产托管人</w:t>
            </w: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The Hongkong and Shanghai Banking Corporation Limited</w:t>
            </w:r>
          </w:p>
        </w:tc>
      </w:tr>
      <w:tr w:rsidR="007F4CD3" w:rsidRPr="00A67563" w:rsidTr="0031104D">
        <w:tc>
          <w:tcPr>
            <w:tcW w:w="2980" w:type="dxa"/>
            <w:vMerge/>
            <w:vAlign w:val="center"/>
          </w:tcPr>
          <w:p w:rsidR="007F4CD3" w:rsidRPr="00A67563" w:rsidRDefault="007F4CD3" w:rsidP="007F4CD3">
            <w:pPr>
              <w:adjustRightInd w:val="0"/>
              <w:spacing w:before="29" w:line="360" w:lineRule="auto"/>
              <w:ind w:left="17"/>
              <w:rPr>
                <w:color w:val="000000" w:themeColor="text1"/>
                <w:kern w:val="0"/>
                <w:sz w:val="24"/>
              </w:rPr>
            </w:pP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香港上海汇丰银行有限公司</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kern w:val="0"/>
                <w:sz w:val="24"/>
              </w:rPr>
            </w:pPr>
            <w:r w:rsidRPr="00A67563">
              <w:rPr>
                <w:color w:val="000000" w:themeColor="text1"/>
                <w:sz w:val="24"/>
              </w:rPr>
              <w:t>下属分级基金的基金简称</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A</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C</w:t>
            </w:r>
          </w:p>
        </w:tc>
      </w:tr>
      <w:tr w:rsidR="00070DD6" w:rsidRPr="00A67563" w:rsidTr="00845292">
        <w:tblPrEx>
          <w:tblLook w:val="0000" w:firstRow="0" w:lastRow="0" w:firstColumn="0" w:lastColumn="0" w:noHBand="0" w:noVBand="0"/>
        </w:tblPrEx>
        <w:trPr>
          <w:trHeight w:val="628"/>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下属分级基金的交易代码</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161129</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003321</w:t>
            </w:r>
          </w:p>
        </w:tc>
      </w:tr>
      <w:tr w:rsidR="00322A5E" w:rsidRPr="00A67563" w:rsidTr="0031104D">
        <w:tblPrEx>
          <w:tblLook w:val="0000" w:firstRow="0" w:lastRow="0" w:firstColumn="0" w:lastColumn="0" w:noHBand="0" w:noVBand="0"/>
        </w:tblPrEx>
        <w:trPr>
          <w:trHeight w:val="555"/>
        </w:trPr>
        <w:tc>
          <w:tcPr>
            <w:tcW w:w="2980" w:type="dxa"/>
            <w:vAlign w:val="center"/>
          </w:tcPr>
          <w:p w:rsidR="00322A5E" w:rsidRPr="00A67563" w:rsidRDefault="00322A5E" w:rsidP="00845292">
            <w:pPr>
              <w:adjustRightInd w:val="0"/>
              <w:spacing w:before="29" w:line="360" w:lineRule="auto"/>
              <w:ind w:left="17"/>
              <w:rPr>
                <w:color w:val="000000" w:themeColor="text1"/>
                <w:sz w:val="24"/>
              </w:rPr>
            </w:pPr>
            <w:r w:rsidRPr="00A67563">
              <w:rPr>
                <w:color w:val="000000" w:themeColor="text1"/>
                <w:sz w:val="24"/>
              </w:rPr>
              <w:t>报告期末下属分级基金的份额总额</w:t>
            </w:r>
          </w:p>
        </w:tc>
        <w:tc>
          <w:tcPr>
            <w:tcW w:w="2780" w:type="dxa"/>
            <w:vAlign w:val="center"/>
          </w:tcPr>
          <w:p w:rsidR="00322A5E" w:rsidRPr="00A67563" w:rsidRDefault="00322A5E" w:rsidP="00845292">
            <w:pPr>
              <w:rPr>
                <w:color w:val="000000" w:themeColor="text1"/>
                <w:sz w:val="24"/>
              </w:rPr>
            </w:pPr>
            <w:r w:rsidRPr="00A67563">
              <w:rPr>
                <w:color w:val="000000" w:themeColor="text1"/>
                <w:sz w:val="24"/>
              </w:rPr>
              <w:t>96,147,928.72</w:t>
            </w:r>
            <w:r w:rsidRPr="00A67563">
              <w:rPr>
                <w:color w:val="000000" w:themeColor="text1"/>
                <w:kern w:val="0"/>
                <w:sz w:val="24"/>
              </w:rPr>
              <w:t>份</w:t>
            </w:r>
          </w:p>
        </w:tc>
        <w:tc>
          <w:tcPr>
            <w:tcW w:w="2663" w:type="dxa"/>
            <w:vAlign w:val="center"/>
          </w:tcPr>
          <w:p w:rsidR="00322A5E" w:rsidRPr="00A67563" w:rsidRDefault="00322A5E" w:rsidP="00845292">
            <w:pPr>
              <w:rPr>
                <w:color w:val="000000" w:themeColor="text1"/>
                <w:sz w:val="24"/>
              </w:rPr>
            </w:pPr>
            <w:r w:rsidRPr="00A67563">
              <w:rPr>
                <w:color w:val="000000" w:themeColor="text1"/>
                <w:sz w:val="24"/>
              </w:rPr>
              <w:t>105,644,103.45</w:t>
            </w:r>
            <w:r w:rsidRPr="00A67563">
              <w:rPr>
                <w:color w:val="000000" w:themeColor="text1"/>
                <w:kern w:val="0"/>
                <w:sz w:val="24"/>
              </w:rPr>
              <w:t>份</w:t>
            </w:r>
          </w:p>
        </w:tc>
      </w:tr>
    </w:tbl>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注：易方达原油（</w:t>
      </w:r>
      <w:r w:rsidRPr="00A67563">
        <w:rPr>
          <w:color w:val="000000" w:themeColor="text1"/>
          <w:sz w:val="24"/>
        </w:rPr>
        <w:t>QDII-LOF-FOF</w:t>
      </w:r>
      <w:r w:rsidRPr="00A67563">
        <w:rPr>
          <w:color w:val="000000" w:themeColor="text1"/>
          <w:sz w:val="24"/>
        </w:rPr>
        <w:t>）</w:t>
      </w:r>
      <w:r w:rsidRPr="00A67563">
        <w:rPr>
          <w:color w:val="000000" w:themeColor="text1"/>
          <w:sz w:val="24"/>
        </w:rPr>
        <w:t>A</w:t>
      </w:r>
      <w:r w:rsidRPr="00A67563">
        <w:rPr>
          <w:color w:val="000000" w:themeColor="text1"/>
          <w:sz w:val="24"/>
        </w:rPr>
        <w:t>含</w:t>
      </w:r>
      <w:r w:rsidRPr="00A67563">
        <w:rPr>
          <w:color w:val="000000" w:themeColor="text1"/>
          <w:sz w:val="24"/>
        </w:rPr>
        <w:t>A</w:t>
      </w:r>
      <w:r w:rsidRPr="00A67563">
        <w:rPr>
          <w:color w:val="000000" w:themeColor="text1"/>
          <w:sz w:val="24"/>
        </w:rPr>
        <w:t>类人民币份额（份额代码：</w:t>
      </w:r>
      <w:r w:rsidRPr="00A67563">
        <w:rPr>
          <w:color w:val="000000" w:themeColor="text1"/>
          <w:sz w:val="24"/>
        </w:rPr>
        <w:t>161129</w:t>
      </w:r>
      <w:r w:rsidRPr="00A67563">
        <w:rPr>
          <w:color w:val="000000" w:themeColor="text1"/>
          <w:sz w:val="24"/>
        </w:rPr>
        <w:t>）及</w:t>
      </w:r>
      <w:r w:rsidRPr="00A67563">
        <w:rPr>
          <w:color w:val="000000" w:themeColor="text1"/>
          <w:sz w:val="24"/>
        </w:rPr>
        <w:t>A</w:t>
      </w:r>
      <w:r w:rsidRPr="00A67563">
        <w:rPr>
          <w:color w:val="000000" w:themeColor="text1"/>
          <w:sz w:val="24"/>
        </w:rPr>
        <w:t>类美元现汇份额（份额代码：</w:t>
      </w:r>
      <w:r w:rsidRPr="00A67563">
        <w:rPr>
          <w:color w:val="000000" w:themeColor="text1"/>
          <w:sz w:val="24"/>
        </w:rPr>
        <w:t>003322</w:t>
      </w:r>
      <w:r w:rsidRPr="00A67563">
        <w:rPr>
          <w:color w:val="000000" w:themeColor="text1"/>
          <w:sz w:val="24"/>
        </w:rPr>
        <w:t>），交易代码仅列示</w:t>
      </w:r>
      <w:r w:rsidRPr="00A67563">
        <w:rPr>
          <w:color w:val="000000" w:themeColor="text1"/>
          <w:sz w:val="24"/>
        </w:rPr>
        <w:t>A</w:t>
      </w:r>
      <w:r w:rsidRPr="00A67563">
        <w:rPr>
          <w:color w:val="000000" w:themeColor="text1"/>
          <w:sz w:val="24"/>
        </w:rPr>
        <w:t>类人民币份额代码；易方达原油（</w:t>
      </w:r>
      <w:r w:rsidRPr="00A67563">
        <w:rPr>
          <w:color w:val="000000" w:themeColor="text1"/>
          <w:sz w:val="24"/>
        </w:rPr>
        <w:t>QDII-LOF-FOF</w:t>
      </w:r>
      <w:r w:rsidRPr="00A67563">
        <w:rPr>
          <w:color w:val="000000" w:themeColor="text1"/>
          <w:sz w:val="24"/>
        </w:rPr>
        <w:t>）</w:t>
      </w:r>
      <w:r w:rsidRPr="00A67563">
        <w:rPr>
          <w:color w:val="000000" w:themeColor="text1"/>
          <w:sz w:val="24"/>
        </w:rPr>
        <w:t>C</w:t>
      </w:r>
      <w:r w:rsidRPr="00A67563">
        <w:rPr>
          <w:color w:val="000000" w:themeColor="text1"/>
          <w:sz w:val="24"/>
        </w:rPr>
        <w:t>含</w:t>
      </w:r>
      <w:r w:rsidRPr="00A67563">
        <w:rPr>
          <w:color w:val="000000" w:themeColor="text1"/>
          <w:sz w:val="24"/>
        </w:rPr>
        <w:t>C</w:t>
      </w:r>
      <w:r w:rsidRPr="00A67563">
        <w:rPr>
          <w:color w:val="000000" w:themeColor="text1"/>
          <w:sz w:val="24"/>
        </w:rPr>
        <w:t>类人民币份额（份额代码：</w:t>
      </w:r>
      <w:r w:rsidRPr="00A67563">
        <w:rPr>
          <w:color w:val="000000" w:themeColor="text1"/>
          <w:sz w:val="24"/>
        </w:rPr>
        <w:t>003321</w:t>
      </w:r>
      <w:r w:rsidRPr="00A67563">
        <w:rPr>
          <w:color w:val="000000" w:themeColor="text1"/>
          <w:sz w:val="24"/>
        </w:rPr>
        <w:t>）及</w:t>
      </w:r>
      <w:r w:rsidRPr="00A67563">
        <w:rPr>
          <w:color w:val="000000" w:themeColor="text1"/>
          <w:sz w:val="24"/>
        </w:rPr>
        <w:t>C</w:t>
      </w:r>
      <w:r w:rsidRPr="00A67563">
        <w:rPr>
          <w:color w:val="000000" w:themeColor="text1"/>
          <w:sz w:val="24"/>
        </w:rPr>
        <w:t>类美元现汇份额（份额代码：</w:t>
      </w:r>
      <w:r w:rsidRPr="00A67563">
        <w:rPr>
          <w:color w:val="000000" w:themeColor="text1"/>
          <w:sz w:val="24"/>
        </w:rPr>
        <w:t>003323</w:t>
      </w:r>
      <w:r w:rsidRPr="00A67563">
        <w:rPr>
          <w:color w:val="000000" w:themeColor="text1"/>
          <w:sz w:val="24"/>
        </w:rPr>
        <w:t>），交易代码仅列示</w:t>
      </w:r>
      <w:r w:rsidRPr="00A67563">
        <w:rPr>
          <w:color w:val="000000" w:themeColor="text1"/>
          <w:sz w:val="24"/>
        </w:rPr>
        <w:t>C</w:t>
      </w:r>
      <w:r w:rsidRPr="00A67563">
        <w:rPr>
          <w:color w:val="000000" w:themeColor="text1"/>
          <w:sz w:val="24"/>
        </w:rPr>
        <w:t>类人民币份额代码。</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lastRenderedPageBreak/>
        <w:t xml:space="preserve">§3  </w:t>
      </w:r>
      <w:r w:rsidRPr="00A67563">
        <w:rPr>
          <w:color w:val="000000" w:themeColor="text1"/>
          <w:kern w:val="0"/>
          <w:sz w:val="24"/>
          <w:szCs w:val="24"/>
        </w:rPr>
        <w:t>主要财务指标和基金净值表现</w:t>
      </w:r>
    </w:p>
    <w:p w:rsidR="0076518F" w:rsidRPr="00A67563" w:rsidRDefault="0076518F" w:rsidP="00506D57">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3.1 </w:t>
      </w:r>
      <w:r w:rsidRPr="00A67563">
        <w:rPr>
          <w:b/>
          <w:color w:val="000000" w:themeColor="text1"/>
          <w:kern w:val="0"/>
          <w:sz w:val="24"/>
        </w:rPr>
        <w:t>主要财务指标</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67563" w:rsidTr="00845292">
        <w:tc>
          <w:tcPr>
            <w:tcW w:w="3402" w:type="dxa"/>
            <w:vMerge w:val="restart"/>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主要财务指标</w:t>
            </w:r>
          </w:p>
        </w:tc>
        <w:tc>
          <w:tcPr>
            <w:tcW w:w="4962" w:type="dxa"/>
            <w:gridSpan w:val="2"/>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报告期</w:t>
            </w:r>
          </w:p>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w:t>
            </w:r>
            <w:r w:rsidRPr="00A67563">
              <w:rPr>
                <w:color w:val="000000" w:themeColor="text1"/>
                <w:sz w:val="24"/>
              </w:rPr>
              <w:t>-2019</w:t>
            </w:r>
            <w:r w:rsidRPr="00A67563">
              <w:rPr>
                <w:color w:val="000000" w:themeColor="text1"/>
                <w:sz w:val="24"/>
              </w:rPr>
              <w:t>年</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w:t>
            </w:r>
            <w:r w:rsidRPr="00A67563">
              <w:rPr>
                <w:color w:val="000000" w:themeColor="text1"/>
                <w:sz w:val="24"/>
              </w:rPr>
              <w:t>)</w:t>
            </w:r>
          </w:p>
        </w:tc>
      </w:tr>
      <w:tr w:rsidR="00225051" w:rsidRPr="00A67563" w:rsidTr="00845292">
        <w:tc>
          <w:tcPr>
            <w:tcW w:w="3402" w:type="dxa"/>
            <w:vMerge/>
            <w:vAlign w:val="center"/>
          </w:tcPr>
          <w:p w:rsidR="00225051" w:rsidRPr="00A67563" w:rsidRDefault="00225051" w:rsidP="00845292">
            <w:pPr>
              <w:adjustRightInd w:val="0"/>
              <w:spacing w:before="29" w:line="360" w:lineRule="auto"/>
              <w:ind w:left="17"/>
              <w:rPr>
                <w:color w:val="000000" w:themeColor="text1"/>
                <w:kern w:val="0"/>
                <w:sz w:val="24"/>
              </w:rPr>
            </w:pP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A</w:t>
            </w: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C</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1.</w:t>
            </w:r>
            <w:r w:rsidRPr="00A67563">
              <w:rPr>
                <w:color w:val="000000" w:themeColor="text1"/>
                <w:kern w:val="0"/>
                <w:sz w:val="24"/>
              </w:rPr>
              <w:t>本期已实现收益</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-2,786,365.76</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-3,266,581.74</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2.</w:t>
            </w:r>
            <w:r w:rsidRPr="00A67563">
              <w:rPr>
                <w:color w:val="000000" w:themeColor="text1"/>
                <w:kern w:val="0"/>
                <w:sz w:val="24"/>
              </w:rPr>
              <w:t>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-2,477,045.36</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-2,637,739.95</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3.</w:t>
            </w:r>
            <w:r w:rsidRPr="00A67563">
              <w:rPr>
                <w:color w:val="000000" w:themeColor="text1"/>
                <w:kern w:val="0"/>
                <w:sz w:val="24"/>
              </w:rPr>
              <w:t>加权平均基金份额本期利润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-0.0227</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-0.0208</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4.</w:t>
            </w:r>
            <w:r w:rsidRPr="00A67563">
              <w:rPr>
                <w:color w:val="000000" w:themeColor="text1"/>
                <w:kern w:val="0"/>
                <w:sz w:val="24"/>
              </w:rPr>
              <w:t>期末基金资产净值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102,833,727.51</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111,661,493.30</w:t>
            </w:r>
          </w:p>
        </w:tc>
      </w:tr>
      <w:tr w:rsidR="00225051" w:rsidRPr="00A67563" w:rsidTr="00845292">
        <w:trPr>
          <w:trHeight w:val="158"/>
        </w:trPr>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5.</w:t>
            </w:r>
            <w:r w:rsidRPr="00A67563">
              <w:rPr>
                <w:color w:val="000000" w:themeColor="text1"/>
                <w:kern w:val="0"/>
                <w:sz w:val="24"/>
              </w:rPr>
              <w:t>期末基金份额净值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1.0695</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1.0570</w:t>
            </w:r>
          </w:p>
        </w:tc>
      </w:tr>
    </w:tbl>
    <w:p w:rsidR="005027ED" w:rsidRDefault="00465027">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所述基金业绩指标不包括持有人认购或交易基金的各项费用，计入费用后实际收益水平要低于所列数字。</w:t>
      </w:r>
    </w:p>
    <w:p w:rsidR="007D1292" w:rsidRPr="00A67563" w:rsidRDefault="007D1292"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本期已实现收益指基金本期利息收入、投资收益、其他收入（不含公允价值变动收益）扣除相关费用后的余额，本期利润为本期已实现收益加上本期公允价值变动收益。</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3.2 </w:t>
      </w:r>
      <w:r w:rsidRPr="00A67563">
        <w:rPr>
          <w:b/>
          <w:color w:val="000000" w:themeColor="text1"/>
          <w:kern w:val="0"/>
          <w:sz w:val="24"/>
        </w:rPr>
        <w:t>基金净值表现</w:t>
      </w:r>
    </w:p>
    <w:p w:rsidR="0076518F" w:rsidRPr="00A67563" w:rsidRDefault="0076518F" w:rsidP="00EC4BA3">
      <w:pPr>
        <w:autoSpaceDE w:val="0"/>
        <w:autoSpaceDN w:val="0"/>
        <w:adjustRightInd w:val="0"/>
        <w:spacing w:line="360" w:lineRule="auto"/>
        <w:jc w:val="left"/>
        <w:rPr>
          <w:b/>
          <w:color w:val="000000" w:themeColor="text1"/>
          <w:kern w:val="0"/>
          <w:sz w:val="24"/>
        </w:rPr>
      </w:pPr>
      <w:smartTag w:uri="urn:schemas-microsoft-com:office:smarttags" w:element="chsdate">
        <w:smartTagPr>
          <w:attr w:name="IsROCDate" w:val="False"/>
          <w:attr w:name="IsLunarDate" w:val="False"/>
          <w:attr w:name="Day" w:val="30"/>
          <w:attr w:name="Month" w:val="12"/>
          <w:attr w:name="Year" w:val="1899"/>
        </w:smartTagPr>
        <w:r w:rsidRPr="00A67563">
          <w:rPr>
            <w:b/>
            <w:color w:val="000000" w:themeColor="text1"/>
            <w:kern w:val="0"/>
            <w:sz w:val="24"/>
          </w:rPr>
          <w:t>3.2.1</w:t>
        </w:r>
      </w:smartTag>
      <w:r w:rsidRPr="00A67563">
        <w:rPr>
          <w:b/>
          <w:color w:val="000000" w:themeColor="text1"/>
          <w:kern w:val="0"/>
          <w:sz w:val="24"/>
        </w:rPr>
        <w:t>本报告期基金份额净值增长率及其与同期业绩比较基准收益率的比较</w:t>
      </w:r>
    </w:p>
    <w:p w:rsidR="0065601A" w:rsidRPr="00A67563" w:rsidRDefault="0065601A" w:rsidP="0065601A">
      <w:pPr>
        <w:spacing w:line="360" w:lineRule="auto"/>
        <w:rPr>
          <w:b/>
          <w:color w:val="000000" w:themeColor="text1"/>
          <w:sz w:val="24"/>
        </w:rPr>
      </w:pPr>
      <w:r w:rsidRPr="00A67563">
        <w:rPr>
          <w:b/>
          <w:color w:val="000000" w:themeColor="text1"/>
          <w:sz w:val="24"/>
        </w:rPr>
        <w:t>1</w:t>
      </w:r>
      <w:r w:rsidRPr="00A67563">
        <w:rPr>
          <w:b/>
          <w:color w:val="000000" w:themeColor="text1"/>
          <w:sz w:val="24"/>
        </w:rPr>
        <w:t>、</w:t>
      </w:r>
      <w:r w:rsidRPr="00A67563">
        <w:rPr>
          <w:b/>
          <w:color w:val="000000" w:themeColor="text1"/>
          <w:kern w:val="0"/>
          <w:sz w:val="24"/>
        </w:rPr>
        <w:t>易方达原油（</w:t>
      </w:r>
      <w:r w:rsidRPr="00A67563">
        <w:rPr>
          <w:b/>
          <w:color w:val="000000" w:themeColor="text1"/>
          <w:kern w:val="0"/>
          <w:sz w:val="24"/>
        </w:rPr>
        <w:t>QDII-LOF-FOF</w:t>
      </w:r>
      <w:r w:rsidRPr="00A67563">
        <w:rPr>
          <w:b/>
          <w:color w:val="000000" w:themeColor="text1"/>
          <w:kern w:val="0"/>
          <w:sz w:val="24"/>
        </w:rPr>
        <w:t>）</w:t>
      </w:r>
      <w:r w:rsidRPr="00A67563">
        <w:rPr>
          <w:b/>
          <w:color w:val="000000" w:themeColor="text1"/>
          <w:kern w:val="0"/>
          <w:sz w:val="24"/>
        </w:rPr>
        <w:t>A</w:t>
      </w:r>
      <w:r w:rsidRPr="00A67563">
        <w:rPr>
          <w:b/>
          <w:color w:val="000000" w:themeColor="text1"/>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5027ED">
        <w:tc>
          <w:tcPr>
            <w:tcW w:w="1290" w:type="dxa"/>
            <w:vAlign w:val="center"/>
          </w:tcPr>
          <w:p w:rsidR="005027ED" w:rsidRDefault="00465027">
            <w:pPr>
              <w:jc w:val="left"/>
            </w:pPr>
            <w:r>
              <w:rPr>
                <w:color w:val="000000" w:themeColor="text1"/>
                <w:sz w:val="24"/>
              </w:rPr>
              <w:t>过去三个月</w:t>
            </w:r>
          </w:p>
        </w:tc>
        <w:tc>
          <w:tcPr>
            <w:tcW w:w="1291" w:type="dxa"/>
            <w:vAlign w:val="center"/>
          </w:tcPr>
          <w:p w:rsidR="005027ED" w:rsidRDefault="00465027">
            <w:pPr>
              <w:jc w:val="right"/>
            </w:pPr>
            <w:r>
              <w:rPr>
                <w:color w:val="000000" w:themeColor="text1"/>
                <w:sz w:val="24"/>
              </w:rPr>
              <w:t>-3.20%</w:t>
            </w:r>
          </w:p>
        </w:tc>
        <w:tc>
          <w:tcPr>
            <w:tcW w:w="1291" w:type="dxa"/>
            <w:vAlign w:val="center"/>
          </w:tcPr>
          <w:p w:rsidR="005027ED" w:rsidRDefault="00465027">
            <w:pPr>
              <w:jc w:val="right"/>
            </w:pPr>
            <w:r>
              <w:rPr>
                <w:color w:val="000000" w:themeColor="text1"/>
                <w:sz w:val="24"/>
              </w:rPr>
              <w:t>2.01%</w:t>
            </w:r>
          </w:p>
        </w:tc>
        <w:tc>
          <w:tcPr>
            <w:tcW w:w="1291" w:type="dxa"/>
            <w:vAlign w:val="center"/>
          </w:tcPr>
          <w:p w:rsidR="005027ED" w:rsidRDefault="00465027">
            <w:pPr>
              <w:jc w:val="right"/>
            </w:pPr>
            <w:r>
              <w:rPr>
                <w:color w:val="000000" w:themeColor="text1"/>
                <w:sz w:val="24"/>
              </w:rPr>
              <w:t>-4.75%</w:t>
            </w:r>
          </w:p>
        </w:tc>
        <w:tc>
          <w:tcPr>
            <w:tcW w:w="1291" w:type="dxa"/>
            <w:vAlign w:val="center"/>
          </w:tcPr>
          <w:p w:rsidR="005027ED" w:rsidRDefault="00465027">
            <w:pPr>
              <w:jc w:val="right"/>
            </w:pPr>
            <w:r>
              <w:rPr>
                <w:color w:val="000000" w:themeColor="text1"/>
                <w:sz w:val="24"/>
              </w:rPr>
              <w:t>2.60%</w:t>
            </w:r>
          </w:p>
        </w:tc>
        <w:tc>
          <w:tcPr>
            <w:tcW w:w="1291" w:type="dxa"/>
            <w:vAlign w:val="center"/>
          </w:tcPr>
          <w:p w:rsidR="005027ED" w:rsidRDefault="00465027">
            <w:pPr>
              <w:jc w:val="right"/>
            </w:pPr>
            <w:r>
              <w:rPr>
                <w:color w:val="000000" w:themeColor="text1"/>
                <w:sz w:val="24"/>
              </w:rPr>
              <w:t>1.55%</w:t>
            </w:r>
          </w:p>
        </w:tc>
        <w:tc>
          <w:tcPr>
            <w:tcW w:w="1291" w:type="dxa"/>
            <w:vAlign w:val="center"/>
          </w:tcPr>
          <w:p w:rsidR="005027ED" w:rsidRDefault="00465027">
            <w:pPr>
              <w:jc w:val="right"/>
            </w:pPr>
            <w:r>
              <w:rPr>
                <w:color w:val="000000" w:themeColor="text1"/>
                <w:sz w:val="24"/>
              </w:rPr>
              <w:t>-0.59%</w:t>
            </w:r>
          </w:p>
        </w:tc>
      </w:tr>
    </w:tbl>
    <w:p w:rsidR="0065601A" w:rsidRPr="00A67563" w:rsidRDefault="0065601A" w:rsidP="00775284">
      <w:pPr>
        <w:adjustRightInd w:val="0"/>
        <w:spacing w:beforeLines="50" w:before="156" w:line="360" w:lineRule="auto"/>
        <w:rPr>
          <w:b/>
          <w:color w:val="000000" w:themeColor="text1"/>
          <w:kern w:val="0"/>
          <w:sz w:val="24"/>
        </w:rPr>
      </w:pPr>
      <w:r w:rsidRPr="00A67563">
        <w:rPr>
          <w:b/>
          <w:color w:val="000000" w:themeColor="text1"/>
          <w:sz w:val="24"/>
        </w:rPr>
        <w:t>2</w:t>
      </w:r>
      <w:r w:rsidRPr="00A67563">
        <w:rPr>
          <w:b/>
          <w:color w:val="000000" w:themeColor="text1"/>
          <w:sz w:val="24"/>
        </w:rPr>
        <w:t>、</w:t>
      </w:r>
      <w:r w:rsidRPr="00A67563">
        <w:rPr>
          <w:b/>
          <w:color w:val="000000" w:themeColor="text1"/>
          <w:kern w:val="0"/>
          <w:sz w:val="24"/>
        </w:rPr>
        <w:t>易方达原油（</w:t>
      </w:r>
      <w:r w:rsidRPr="00A67563">
        <w:rPr>
          <w:b/>
          <w:color w:val="000000" w:themeColor="text1"/>
          <w:kern w:val="0"/>
          <w:sz w:val="24"/>
        </w:rPr>
        <w:t>QDII-LOF-FOF</w:t>
      </w:r>
      <w:r w:rsidRPr="00A67563">
        <w:rPr>
          <w:b/>
          <w:color w:val="000000" w:themeColor="text1"/>
          <w:kern w:val="0"/>
          <w:sz w:val="24"/>
        </w:rPr>
        <w:t>）</w:t>
      </w:r>
      <w:r w:rsidRPr="00A67563">
        <w:rPr>
          <w:b/>
          <w:color w:val="000000" w:themeColor="text1"/>
          <w:kern w:val="0"/>
          <w:sz w:val="24"/>
        </w:rPr>
        <w:t>C</w:t>
      </w:r>
      <w:r w:rsidRPr="00A67563">
        <w:rPr>
          <w:b/>
          <w:color w:val="000000" w:themeColor="text1"/>
          <w:kern w:val="0"/>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5027ED">
        <w:tc>
          <w:tcPr>
            <w:tcW w:w="1290" w:type="dxa"/>
            <w:vAlign w:val="center"/>
          </w:tcPr>
          <w:p w:rsidR="005027ED" w:rsidRDefault="00465027">
            <w:pPr>
              <w:jc w:val="left"/>
            </w:pPr>
            <w:r>
              <w:rPr>
                <w:color w:val="000000" w:themeColor="text1"/>
                <w:sz w:val="24"/>
              </w:rPr>
              <w:t>过去三个月</w:t>
            </w:r>
          </w:p>
        </w:tc>
        <w:tc>
          <w:tcPr>
            <w:tcW w:w="1291" w:type="dxa"/>
            <w:vAlign w:val="center"/>
          </w:tcPr>
          <w:p w:rsidR="005027ED" w:rsidRDefault="00465027">
            <w:pPr>
              <w:jc w:val="right"/>
            </w:pPr>
            <w:r>
              <w:rPr>
                <w:color w:val="000000" w:themeColor="text1"/>
                <w:sz w:val="24"/>
              </w:rPr>
              <w:t>-3.28%</w:t>
            </w:r>
          </w:p>
        </w:tc>
        <w:tc>
          <w:tcPr>
            <w:tcW w:w="1291" w:type="dxa"/>
            <w:vAlign w:val="center"/>
          </w:tcPr>
          <w:p w:rsidR="005027ED" w:rsidRDefault="00465027">
            <w:pPr>
              <w:jc w:val="right"/>
            </w:pPr>
            <w:r>
              <w:rPr>
                <w:color w:val="000000" w:themeColor="text1"/>
                <w:sz w:val="24"/>
              </w:rPr>
              <w:t>2.01%</w:t>
            </w:r>
          </w:p>
        </w:tc>
        <w:tc>
          <w:tcPr>
            <w:tcW w:w="1291" w:type="dxa"/>
            <w:vAlign w:val="center"/>
          </w:tcPr>
          <w:p w:rsidR="005027ED" w:rsidRDefault="00465027">
            <w:pPr>
              <w:jc w:val="right"/>
            </w:pPr>
            <w:r>
              <w:rPr>
                <w:color w:val="000000" w:themeColor="text1"/>
                <w:sz w:val="24"/>
              </w:rPr>
              <w:t>-4.75%</w:t>
            </w:r>
          </w:p>
        </w:tc>
        <w:tc>
          <w:tcPr>
            <w:tcW w:w="1291" w:type="dxa"/>
            <w:vAlign w:val="center"/>
          </w:tcPr>
          <w:p w:rsidR="005027ED" w:rsidRDefault="00465027">
            <w:pPr>
              <w:jc w:val="right"/>
            </w:pPr>
            <w:r>
              <w:rPr>
                <w:color w:val="000000" w:themeColor="text1"/>
                <w:sz w:val="24"/>
              </w:rPr>
              <w:t>2.60%</w:t>
            </w:r>
          </w:p>
        </w:tc>
        <w:tc>
          <w:tcPr>
            <w:tcW w:w="1291" w:type="dxa"/>
            <w:vAlign w:val="center"/>
          </w:tcPr>
          <w:p w:rsidR="005027ED" w:rsidRDefault="00465027">
            <w:pPr>
              <w:jc w:val="right"/>
            </w:pPr>
            <w:r>
              <w:rPr>
                <w:color w:val="000000" w:themeColor="text1"/>
                <w:sz w:val="24"/>
              </w:rPr>
              <w:t>1.47%</w:t>
            </w:r>
          </w:p>
        </w:tc>
        <w:tc>
          <w:tcPr>
            <w:tcW w:w="1291" w:type="dxa"/>
            <w:vAlign w:val="center"/>
          </w:tcPr>
          <w:p w:rsidR="005027ED" w:rsidRDefault="00465027">
            <w:pPr>
              <w:jc w:val="right"/>
            </w:pPr>
            <w:r>
              <w:rPr>
                <w:color w:val="000000" w:themeColor="text1"/>
                <w:sz w:val="24"/>
              </w:rPr>
              <w:t>-0.59%</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3.2.2</w:t>
      </w:r>
      <w:r w:rsidRPr="00A67563">
        <w:rPr>
          <w:b/>
          <w:color w:val="000000" w:themeColor="text1"/>
          <w:kern w:val="0"/>
          <w:sz w:val="24"/>
        </w:rPr>
        <w:t xml:space="preserve">　</w:t>
      </w:r>
      <w:r w:rsidR="009779FD" w:rsidRPr="00A67563">
        <w:rPr>
          <w:rStyle w:val="af8"/>
          <w:color w:val="000000" w:themeColor="text1"/>
          <w:sz w:val="24"/>
          <w:shd w:val="clear" w:color="auto" w:fill="FFFFFF"/>
        </w:rPr>
        <w:t>自基金合同生效以来</w:t>
      </w:r>
      <w:r w:rsidRPr="00A67563">
        <w:rPr>
          <w:b/>
          <w:color w:val="000000" w:themeColor="text1"/>
          <w:kern w:val="0"/>
          <w:sz w:val="24"/>
        </w:rPr>
        <w:t>基金累计</w:t>
      </w:r>
      <w:r w:rsidR="004339D9" w:rsidRPr="00A67563">
        <w:rPr>
          <w:b/>
          <w:color w:val="000000" w:themeColor="text1"/>
          <w:kern w:val="0"/>
          <w:sz w:val="24"/>
        </w:rPr>
        <w:t>份额</w:t>
      </w:r>
      <w:r w:rsidRPr="00A67563">
        <w:rPr>
          <w:b/>
          <w:color w:val="000000" w:themeColor="text1"/>
          <w:kern w:val="0"/>
          <w:sz w:val="24"/>
        </w:rPr>
        <w:t>净值增长率变动及其与同期业绩比较基准收益率变动的比较</w:t>
      </w:r>
    </w:p>
    <w:p w:rsidR="00A96FD9" w:rsidRPr="00A67563" w:rsidRDefault="00A96FD9" w:rsidP="00EC4BA3">
      <w:pPr>
        <w:spacing w:line="360" w:lineRule="auto"/>
        <w:jc w:val="center"/>
        <w:rPr>
          <w:color w:val="000000" w:themeColor="text1"/>
          <w:sz w:val="24"/>
        </w:rPr>
      </w:pPr>
      <w:r w:rsidRPr="00A67563">
        <w:rPr>
          <w:color w:val="000000" w:themeColor="text1"/>
          <w:sz w:val="24"/>
        </w:rPr>
        <w:t>易方达原油证券投资基金（</w:t>
      </w:r>
      <w:r w:rsidRPr="00A67563">
        <w:rPr>
          <w:color w:val="000000" w:themeColor="text1"/>
          <w:sz w:val="24"/>
        </w:rPr>
        <w:t>QDII</w:t>
      </w:r>
      <w:r w:rsidRPr="00A67563">
        <w:rPr>
          <w:color w:val="000000" w:themeColor="text1"/>
          <w:sz w:val="24"/>
        </w:rPr>
        <w:t>）</w:t>
      </w:r>
    </w:p>
    <w:p w:rsidR="0008610C" w:rsidRDefault="0008610C" w:rsidP="0008610C">
      <w:pPr>
        <w:pStyle w:val="a5"/>
        <w:snapToGrid w:val="0"/>
        <w:spacing w:line="360" w:lineRule="auto"/>
        <w:ind w:firstLine="480"/>
        <w:jc w:val="center"/>
        <w:rPr>
          <w:rFonts w:ascii="Times New Roman" w:hAnsi="Times New Roman"/>
          <w:color w:val="000000"/>
          <w:sz w:val="24"/>
          <w:szCs w:val="24"/>
        </w:rPr>
      </w:pPr>
      <w:r>
        <w:rPr>
          <w:rFonts w:ascii="Times New Roman" w:hAnsi="Times New Roman" w:hint="eastAsia"/>
          <w:color w:val="000000"/>
          <w:sz w:val="24"/>
          <w:szCs w:val="24"/>
        </w:rPr>
        <w:t>累计净值增长率与业绩比较基准收益率的历史走势对比图</w:t>
      </w:r>
    </w:p>
    <w:p w:rsidR="005908C0" w:rsidRPr="00A67563" w:rsidRDefault="005908C0" w:rsidP="00EC4BA3">
      <w:pPr>
        <w:spacing w:line="360" w:lineRule="auto"/>
        <w:jc w:val="center"/>
        <w:rPr>
          <w:color w:val="000000" w:themeColor="text1"/>
          <w:sz w:val="24"/>
        </w:rPr>
      </w:pPr>
      <w:r w:rsidRPr="00A67563">
        <w:rPr>
          <w:color w:val="000000" w:themeColor="text1"/>
          <w:kern w:val="0"/>
          <w:sz w:val="24"/>
        </w:rPr>
        <w:t>（</w:t>
      </w:r>
      <w:r w:rsidR="00623556" w:rsidRPr="00A67563">
        <w:rPr>
          <w:color w:val="000000" w:themeColor="text1"/>
          <w:kern w:val="0"/>
          <w:sz w:val="24"/>
        </w:rPr>
        <w:t>2016</w:t>
      </w:r>
      <w:r w:rsidR="00623556" w:rsidRPr="00A67563">
        <w:rPr>
          <w:color w:val="000000" w:themeColor="text1"/>
          <w:kern w:val="0"/>
          <w:sz w:val="24"/>
        </w:rPr>
        <w:t>年</w:t>
      </w:r>
      <w:r w:rsidR="00623556" w:rsidRPr="00A67563">
        <w:rPr>
          <w:color w:val="000000" w:themeColor="text1"/>
          <w:kern w:val="0"/>
          <w:sz w:val="24"/>
        </w:rPr>
        <w:t>12</w:t>
      </w:r>
      <w:r w:rsidR="00623556" w:rsidRPr="00A67563">
        <w:rPr>
          <w:color w:val="000000" w:themeColor="text1"/>
          <w:kern w:val="0"/>
          <w:sz w:val="24"/>
        </w:rPr>
        <w:t>月</w:t>
      </w:r>
      <w:r w:rsidR="00623556" w:rsidRPr="00A67563">
        <w:rPr>
          <w:color w:val="000000" w:themeColor="text1"/>
          <w:kern w:val="0"/>
          <w:sz w:val="24"/>
        </w:rPr>
        <w:t>19</w:t>
      </w:r>
      <w:r w:rsidR="00623556" w:rsidRPr="00A67563">
        <w:rPr>
          <w:color w:val="000000" w:themeColor="text1"/>
          <w:kern w:val="0"/>
          <w:sz w:val="24"/>
        </w:rPr>
        <w:t>日</w:t>
      </w:r>
      <w:r w:rsidRPr="00A67563">
        <w:rPr>
          <w:color w:val="000000" w:themeColor="text1"/>
          <w:kern w:val="0"/>
          <w:sz w:val="24"/>
        </w:rPr>
        <w:t>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snapToGrid w:val="0"/>
        <w:spacing w:line="360" w:lineRule="auto"/>
        <w:rPr>
          <w:color w:val="000000" w:themeColor="text1"/>
          <w:sz w:val="24"/>
        </w:rPr>
      </w:pPr>
      <w:r w:rsidRPr="00A67563">
        <w:rPr>
          <w:color w:val="000000" w:themeColor="text1"/>
          <w:sz w:val="24"/>
        </w:rPr>
        <w:t>1</w:t>
      </w: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A</w:t>
      </w:r>
      <w:r w:rsidRPr="00A67563">
        <w:rPr>
          <w:color w:val="000000" w:themeColor="text1"/>
          <w:sz w:val="24"/>
        </w:rPr>
        <w:t>：</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65601A" w:rsidRPr="00A67563" w:rsidRDefault="0065601A" w:rsidP="00775284">
      <w:pPr>
        <w:snapToGrid w:val="0"/>
        <w:spacing w:beforeLines="100" w:before="312" w:line="360" w:lineRule="auto"/>
        <w:rPr>
          <w:color w:val="000000" w:themeColor="text1"/>
          <w:sz w:val="24"/>
        </w:rPr>
      </w:pPr>
      <w:r w:rsidRPr="00A67563">
        <w:rPr>
          <w:color w:val="000000" w:themeColor="text1"/>
          <w:sz w:val="24"/>
        </w:rPr>
        <w:t>2</w:t>
      </w: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C</w:t>
      </w:r>
      <w:r w:rsidRPr="00A67563">
        <w:rPr>
          <w:color w:val="000000" w:themeColor="text1"/>
          <w:sz w:val="24"/>
        </w:rPr>
        <w:t>：</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5027ED" w:rsidRDefault="00465027">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本基金的业绩比较基准已经转换为以人民币计价。</w:t>
      </w:r>
    </w:p>
    <w:p w:rsidR="0065601A" w:rsidRPr="00A67563" w:rsidRDefault="0065601A"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自基金合同生效至报告期末，</w:t>
      </w:r>
      <w:r w:rsidRPr="00A67563">
        <w:rPr>
          <w:color w:val="000000" w:themeColor="text1"/>
          <w:sz w:val="24"/>
        </w:rPr>
        <w:t>A</w:t>
      </w:r>
      <w:r w:rsidRPr="00A67563">
        <w:rPr>
          <w:color w:val="000000" w:themeColor="text1"/>
          <w:sz w:val="24"/>
        </w:rPr>
        <w:t>类基金份额净值增长率为</w:t>
      </w:r>
      <w:r w:rsidRPr="00A67563">
        <w:rPr>
          <w:color w:val="000000" w:themeColor="text1"/>
          <w:sz w:val="24"/>
        </w:rPr>
        <w:t>6.95%</w:t>
      </w:r>
      <w:r w:rsidRPr="00A67563">
        <w:rPr>
          <w:color w:val="000000" w:themeColor="text1"/>
          <w:sz w:val="24"/>
        </w:rPr>
        <w:t>，</w:t>
      </w:r>
      <w:r w:rsidRPr="00A67563">
        <w:rPr>
          <w:color w:val="000000" w:themeColor="text1"/>
          <w:sz w:val="24"/>
        </w:rPr>
        <w:t>C</w:t>
      </w:r>
      <w:r w:rsidRPr="00A67563">
        <w:rPr>
          <w:color w:val="000000" w:themeColor="text1"/>
          <w:sz w:val="24"/>
        </w:rPr>
        <w:t>类基金份额净值增长率为</w:t>
      </w:r>
      <w:r w:rsidRPr="00A67563">
        <w:rPr>
          <w:color w:val="000000" w:themeColor="text1"/>
          <w:sz w:val="24"/>
        </w:rPr>
        <w:t>5.70%</w:t>
      </w:r>
      <w:r w:rsidRPr="00A67563">
        <w:rPr>
          <w:color w:val="000000" w:themeColor="text1"/>
          <w:sz w:val="24"/>
        </w:rPr>
        <w:t>，同期业绩比较基准收益率为</w:t>
      </w:r>
      <w:r w:rsidRPr="00A67563">
        <w:rPr>
          <w:color w:val="000000" w:themeColor="text1"/>
          <w:sz w:val="24"/>
        </w:rPr>
        <w:t>-3.63%</w:t>
      </w:r>
      <w:r w:rsidRPr="00A67563">
        <w:rPr>
          <w:color w:val="000000" w:themeColor="text1"/>
          <w:sz w:val="24"/>
        </w:rPr>
        <w:t>。</w:t>
      </w:r>
    </w:p>
    <w:p w:rsidR="00845292" w:rsidRPr="00A67563" w:rsidRDefault="00845292" w:rsidP="0065601A">
      <w:pPr>
        <w:spacing w:line="360" w:lineRule="auto"/>
        <w:ind w:firstLineChars="200" w:firstLine="480"/>
        <w:rPr>
          <w:color w:val="000000" w:themeColor="text1"/>
          <w:sz w:val="24"/>
        </w:rPr>
      </w:pP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§4  </w:t>
      </w:r>
      <w:r w:rsidRPr="00A67563">
        <w:rPr>
          <w:color w:val="000000" w:themeColor="text1"/>
          <w:kern w:val="0"/>
          <w:sz w:val="24"/>
          <w:szCs w:val="24"/>
        </w:rPr>
        <w:t>管理人报告</w:t>
      </w:r>
    </w:p>
    <w:p w:rsidR="0040617F" w:rsidRPr="006506EF" w:rsidRDefault="0076518F" w:rsidP="0040617F">
      <w:pPr>
        <w:autoSpaceDE w:val="0"/>
        <w:autoSpaceDN w:val="0"/>
        <w:adjustRightInd w:val="0"/>
        <w:spacing w:line="360" w:lineRule="auto"/>
        <w:jc w:val="left"/>
        <w:rPr>
          <w:b/>
          <w:color w:val="000000"/>
          <w:kern w:val="0"/>
          <w:sz w:val="24"/>
        </w:rPr>
      </w:pPr>
      <w:r w:rsidRPr="00A67563">
        <w:rPr>
          <w:b/>
          <w:color w:val="000000" w:themeColor="text1"/>
          <w:kern w:val="0"/>
          <w:sz w:val="24"/>
        </w:rPr>
        <w:t xml:space="preserve">4.1 </w:t>
      </w:r>
      <w:r w:rsidRPr="00A67563">
        <w:rPr>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40617F" w:rsidRPr="006506EF" w:rsidTr="000B42A7">
        <w:trPr>
          <w:cantSplit/>
          <w:trHeight w:val="292"/>
        </w:trPr>
        <w:tc>
          <w:tcPr>
            <w:tcW w:w="851"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0B42A7">
        <w:trPr>
          <w:cantSplit/>
        </w:trPr>
        <w:tc>
          <w:tcPr>
            <w:tcW w:w="851" w:type="dxa"/>
            <w:vMerge/>
            <w:vAlign w:val="center"/>
          </w:tcPr>
          <w:p w:rsidR="0040617F" w:rsidRPr="006506EF" w:rsidRDefault="0040617F" w:rsidP="000B42A7">
            <w:pPr>
              <w:widowControl/>
              <w:spacing w:line="360" w:lineRule="auto"/>
              <w:jc w:val="left"/>
              <w:rPr>
                <w:color w:val="000000"/>
                <w:kern w:val="0"/>
                <w:sz w:val="24"/>
              </w:rPr>
            </w:pPr>
          </w:p>
        </w:tc>
        <w:tc>
          <w:tcPr>
            <w:tcW w:w="3260" w:type="dxa"/>
            <w:vMerge/>
            <w:vAlign w:val="center"/>
          </w:tcPr>
          <w:p w:rsidR="0040617F" w:rsidRPr="006506EF" w:rsidRDefault="0040617F" w:rsidP="000B42A7">
            <w:pPr>
              <w:widowControl/>
              <w:spacing w:line="360" w:lineRule="auto"/>
              <w:jc w:val="left"/>
              <w:rPr>
                <w:color w:val="000000"/>
                <w:kern w:val="0"/>
                <w:sz w:val="24"/>
              </w:rPr>
            </w:pP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40617F" w:rsidRPr="006506EF" w:rsidRDefault="0040617F" w:rsidP="000B42A7">
            <w:pPr>
              <w:widowControl/>
              <w:spacing w:line="360" w:lineRule="auto"/>
              <w:jc w:val="left"/>
              <w:rPr>
                <w:color w:val="000000"/>
                <w:kern w:val="0"/>
                <w:sz w:val="24"/>
              </w:rPr>
            </w:pPr>
          </w:p>
        </w:tc>
        <w:tc>
          <w:tcPr>
            <w:tcW w:w="1418" w:type="dxa"/>
            <w:vMerge/>
            <w:vAlign w:val="center"/>
          </w:tcPr>
          <w:p w:rsidR="0040617F" w:rsidRPr="006506EF" w:rsidRDefault="0040617F" w:rsidP="000B42A7">
            <w:pPr>
              <w:widowControl/>
              <w:spacing w:line="360" w:lineRule="auto"/>
              <w:jc w:val="left"/>
              <w:rPr>
                <w:color w:val="000000"/>
                <w:kern w:val="0"/>
                <w:sz w:val="24"/>
              </w:rPr>
            </w:pPr>
          </w:p>
        </w:tc>
      </w:tr>
      <w:tr w:rsidR="005027ED">
        <w:tc>
          <w:tcPr>
            <w:tcW w:w="851" w:type="dxa"/>
            <w:vAlign w:val="center"/>
          </w:tcPr>
          <w:p w:rsidR="005027ED" w:rsidRDefault="00465027">
            <w:pPr>
              <w:jc w:val="center"/>
            </w:pPr>
            <w:r>
              <w:rPr>
                <w:color w:val="000000"/>
                <w:sz w:val="24"/>
              </w:rPr>
              <w:t>张胜记</w:t>
            </w:r>
          </w:p>
        </w:tc>
        <w:tc>
          <w:tcPr>
            <w:tcW w:w="3260" w:type="dxa"/>
            <w:vAlign w:val="center"/>
          </w:tcPr>
          <w:p w:rsidR="005027ED" w:rsidRDefault="00465027">
            <w:pPr>
              <w:jc w:val="center"/>
            </w:pPr>
            <w:r>
              <w:rPr>
                <w:color w:val="000000"/>
                <w:sz w:val="24"/>
              </w:rPr>
              <w:t>本基金的基金经理、易方达香港恒生综合小型股指数证券投资基金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标普全球高端消费品指数增强型证券投资基金的基金经理、易方达</w:t>
            </w:r>
            <w:r>
              <w:rPr>
                <w:color w:val="000000"/>
                <w:sz w:val="24"/>
              </w:rPr>
              <w:t>50</w:t>
            </w:r>
            <w:r>
              <w:rPr>
                <w:color w:val="000000"/>
                <w:sz w:val="24"/>
              </w:rPr>
              <w:t>指数证券投资基金的基金经理、指数投资部总经理</w:t>
            </w:r>
          </w:p>
        </w:tc>
        <w:tc>
          <w:tcPr>
            <w:tcW w:w="1276" w:type="dxa"/>
            <w:vAlign w:val="center"/>
          </w:tcPr>
          <w:p w:rsidR="005027ED" w:rsidRDefault="00465027">
            <w:pPr>
              <w:jc w:val="center"/>
            </w:pPr>
            <w:r>
              <w:rPr>
                <w:color w:val="000000"/>
                <w:sz w:val="24"/>
              </w:rPr>
              <w:t>2016-12-19</w:t>
            </w:r>
          </w:p>
        </w:tc>
        <w:tc>
          <w:tcPr>
            <w:tcW w:w="1276" w:type="dxa"/>
            <w:vAlign w:val="center"/>
          </w:tcPr>
          <w:p w:rsidR="005027ED" w:rsidRDefault="00465027">
            <w:pPr>
              <w:jc w:val="center"/>
            </w:pPr>
            <w:r>
              <w:rPr>
                <w:color w:val="000000"/>
                <w:sz w:val="24"/>
              </w:rPr>
              <w:t>-</w:t>
            </w:r>
          </w:p>
        </w:tc>
        <w:tc>
          <w:tcPr>
            <w:tcW w:w="850" w:type="dxa"/>
            <w:vAlign w:val="center"/>
          </w:tcPr>
          <w:p w:rsidR="005027ED" w:rsidRDefault="00465027">
            <w:pPr>
              <w:jc w:val="center"/>
            </w:pPr>
            <w:r>
              <w:rPr>
                <w:color w:val="000000"/>
                <w:sz w:val="24"/>
              </w:rPr>
              <w:t>14</w:t>
            </w:r>
            <w:r>
              <w:rPr>
                <w:color w:val="000000"/>
                <w:sz w:val="24"/>
              </w:rPr>
              <w:t>年</w:t>
            </w:r>
          </w:p>
        </w:tc>
        <w:tc>
          <w:tcPr>
            <w:tcW w:w="1418" w:type="dxa"/>
            <w:vAlign w:val="center"/>
          </w:tcPr>
          <w:p w:rsidR="005027ED" w:rsidRDefault="00465027">
            <w:pPr>
              <w:jc w:val="left"/>
            </w:pPr>
            <w:r>
              <w:rPr>
                <w:color w:val="000000"/>
                <w:sz w:val="24"/>
              </w:rPr>
              <w:t>硕士研究生，曾任易方达基金管理有限公司投资经理助理、基金经理助理、行业研究员、指数与量化投资部总经理助理、指数与量化投资部副总经理、指数及增强投资部副总经理、易方达沪深</w:t>
            </w:r>
            <w:r>
              <w:rPr>
                <w:color w:val="000000"/>
                <w:sz w:val="24"/>
              </w:rPr>
              <w:t>300</w:t>
            </w:r>
            <w:r>
              <w:rPr>
                <w:color w:val="000000"/>
                <w:sz w:val="24"/>
              </w:rPr>
              <w:t>交易型开放式指数发起式证券投资基金联接基金（原易方达沪深</w:t>
            </w:r>
            <w:r>
              <w:rPr>
                <w:color w:val="000000"/>
                <w:sz w:val="24"/>
              </w:rPr>
              <w:t>300</w:t>
            </w:r>
            <w:r>
              <w:rPr>
                <w:color w:val="000000"/>
                <w:sz w:val="24"/>
              </w:rPr>
              <w:t>指数证券投资基金）基金经理、易方达上证中盘交易型开放式指数证券投资基金基金经理、易方达上证中盘交易型开放式指数证券投资基金联接基金基金经理、易方达标普医疗保健指数证券投资基金（</w:t>
            </w:r>
            <w:r>
              <w:rPr>
                <w:color w:val="000000"/>
                <w:sz w:val="24"/>
              </w:rPr>
              <w:t>LOF</w:t>
            </w:r>
            <w:r>
              <w:rPr>
                <w:color w:val="000000"/>
                <w:sz w:val="24"/>
              </w:rPr>
              <w:t>）基金经理、易方达标普</w:t>
            </w:r>
            <w:r>
              <w:rPr>
                <w:color w:val="000000"/>
                <w:sz w:val="24"/>
              </w:rPr>
              <w:t>500</w:t>
            </w:r>
            <w:r>
              <w:rPr>
                <w:color w:val="000000"/>
                <w:sz w:val="24"/>
              </w:rPr>
              <w:t>指数证券投资基金（</w:t>
            </w:r>
            <w:r>
              <w:rPr>
                <w:color w:val="000000"/>
                <w:sz w:val="24"/>
              </w:rPr>
              <w:t>LOF</w:t>
            </w:r>
            <w:r>
              <w:rPr>
                <w:color w:val="000000"/>
                <w:sz w:val="24"/>
              </w:rPr>
              <w:t>）基金经理、易方达标普生物科技指数证券投资</w:t>
            </w:r>
            <w:r>
              <w:rPr>
                <w:color w:val="000000"/>
                <w:sz w:val="24"/>
              </w:rPr>
              <w:t>基金</w:t>
            </w:r>
            <w:r>
              <w:rPr>
                <w:color w:val="000000"/>
                <w:sz w:val="24"/>
              </w:rPr>
              <w:t>(LOF)</w:t>
            </w:r>
            <w:r>
              <w:rPr>
                <w:color w:val="000000"/>
                <w:sz w:val="24"/>
              </w:rPr>
              <w:t>基金经理、易方达标普信息科技指数证券投资基金（</w:t>
            </w:r>
            <w:r>
              <w:rPr>
                <w:color w:val="000000"/>
                <w:sz w:val="24"/>
              </w:rPr>
              <w:t>LOF</w:t>
            </w:r>
            <w:r>
              <w:rPr>
                <w:color w:val="000000"/>
                <w:sz w:val="24"/>
              </w:rPr>
              <w:t>）基金经理。</w:t>
            </w:r>
          </w:p>
        </w:tc>
      </w:tr>
      <w:tr w:rsidR="005027ED">
        <w:tc>
          <w:tcPr>
            <w:tcW w:w="851" w:type="dxa"/>
            <w:vAlign w:val="center"/>
          </w:tcPr>
          <w:p w:rsidR="005027ED" w:rsidRDefault="00465027">
            <w:pPr>
              <w:jc w:val="center"/>
            </w:pPr>
            <w:r>
              <w:rPr>
                <w:color w:val="000000"/>
                <w:sz w:val="24"/>
              </w:rPr>
              <w:t>FAN BING(</w:t>
            </w:r>
            <w:r>
              <w:rPr>
                <w:color w:val="000000"/>
                <w:sz w:val="24"/>
              </w:rPr>
              <w:t>范冰</w:t>
            </w:r>
            <w:r>
              <w:rPr>
                <w:color w:val="000000"/>
                <w:sz w:val="24"/>
              </w:rPr>
              <w:t>)</w:t>
            </w:r>
          </w:p>
        </w:tc>
        <w:tc>
          <w:tcPr>
            <w:tcW w:w="3260" w:type="dxa"/>
            <w:vAlign w:val="center"/>
          </w:tcPr>
          <w:p w:rsidR="005027ED" w:rsidRDefault="00465027">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w:t>
            </w:r>
            <w:r>
              <w:rPr>
                <w:color w:val="000000"/>
                <w:sz w:val="24"/>
              </w:rPr>
              <w:t>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5027ED" w:rsidRDefault="00465027">
            <w:pPr>
              <w:jc w:val="center"/>
            </w:pPr>
            <w:r>
              <w:rPr>
                <w:color w:val="000000"/>
                <w:sz w:val="24"/>
              </w:rPr>
              <w:t>2017-03-25</w:t>
            </w:r>
          </w:p>
        </w:tc>
        <w:tc>
          <w:tcPr>
            <w:tcW w:w="1276" w:type="dxa"/>
            <w:vAlign w:val="center"/>
          </w:tcPr>
          <w:p w:rsidR="005027ED" w:rsidRDefault="00465027">
            <w:pPr>
              <w:jc w:val="center"/>
            </w:pPr>
            <w:r>
              <w:rPr>
                <w:color w:val="000000"/>
                <w:sz w:val="24"/>
              </w:rPr>
              <w:t>-</w:t>
            </w:r>
          </w:p>
        </w:tc>
        <w:tc>
          <w:tcPr>
            <w:tcW w:w="850" w:type="dxa"/>
            <w:vAlign w:val="center"/>
          </w:tcPr>
          <w:p w:rsidR="005027ED" w:rsidRDefault="00465027">
            <w:pPr>
              <w:jc w:val="center"/>
            </w:pPr>
            <w:r>
              <w:rPr>
                <w:color w:val="000000"/>
                <w:sz w:val="24"/>
              </w:rPr>
              <w:t>14</w:t>
            </w:r>
            <w:r>
              <w:rPr>
                <w:color w:val="000000"/>
                <w:sz w:val="24"/>
              </w:rPr>
              <w:t>年</w:t>
            </w:r>
          </w:p>
        </w:tc>
        <w:tc>
          <w:tcPr>
            <w:tcW w:w="1418" w:type="dxa"/>
            <w:vAlign w:val="center"/>
          </w:tcPr>
          <w:p w:rsidR="005027ED" w:rsidRDefault="00465027">
            <w:pPr>
              <w:jc w:val="left"/>
            </w:pPr>
            <w:r>
              <w:rPr>
                <w:color w:val="000000"/>
                <w:sz w:val="24"/>
              </w:rPr>
              <w:t>新加坡籍，硕士研究生，曾任皇家加拿大银行托管部核算专员，</w:t>
            </w:r>
            <w:r>
              <w:rPr>
                <w:color w:val="000000"/>
                <w:sz w:val="24"/>
              </w:rPr>
              <w:t>美国道富集团</w:t>
            </w:r>
            <w:r>
              <w:rPr>
                <w:color w:val="000000"/>
                <w:sz w:val="24"/>
              </w:rPr>
              <w:t>Middle 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5027ED">
        <w:tc>
          <w:tcPr>
            <w:tcW w:w="851" w:type="dxa"/>
            <w:vAlign w:val="center"/>
          </w:tcPr>
          <w:p w:rsidR="005027ED" w:rsidRDefault="00465027">
            <w:pPr>
              <w:jc w:val="center"/>
            </w:pPr>
            <w:r>
              <w:rPr>
                <w:color w:val="000000"/>
                <w:sz w:val="24"/>
              </w:rPr>
              <w:t>成曦</w:t>
            </w:r>
          </w:p>
        </w:tc>
        <w:tc>
          <w:tcPr>
            <w:tcW w:w="3260" w:type="dxa"/>
            <w:vAlign w:val="center"/>
          </w:tcPr>
          <w:p w:rsidR="005027ED" w:rsidRDefault="00465027">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w:t>
            </w:r>
            <w:r>
              <w:rPr>
                <w:color w:val="000000"/>
                <w:sz w:val="24"/>
              </w:rPr>
              <w:t>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w:t>
            </w:r>
            <w:r>
              <w:rPr>
                <w:color w:val="000000"/>
                <w:sz w:val="24"/>
              </w:rPr>
              <w:t>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5027ED" w:rsidRDefault="00465027">
            <w:pPr>
              <w:jc w:val="center"/>
            </w:pPr>
            <w:r>
              <w:rPr>
                <w:color w:val="000000"/>
                <w:sz w:val="24"/>
              </w:rPr>
              <w:t>2018-08-11</w:t>
            </w:r>
          </w:p>
        </w:tc>
        <w:tc>
          <w:tcPr>
            <w:tcW w:w="1276" w:type="dxa"/>
            <w:vAlign w:val="center"/>
          </w:tcPr>
          <w:p w:rsidR="005027ED" w:rsidRDefault="00465027">
            <w:pPr>
              <w:jc w:val="center"/>
            </w:pPr>
            <w:r>
              <w:rPr>
                <w:color w:val="000000"/>
                <w:sz w:val="24"/>
              </w:rPr>
              <w:t>-</w:t>
            </w:r>
          </w:p>
        </w:tc>
        <w:tc>
          <w:tcPr>
            <w:tcW w:w="850" w:type="dxa"/>
            <w:vAlign w:val="center"/>
          </w:tcPr>
          <w:p w:rsidR="005027ED" w:rsidRDefault="00465027">
            <w:pPr>
              <w:jc w:val="center"/>
            </w:pPr>
            <w:r>
              <w:rPr>
                <w:color w:val="000000"/>
                <w:sz w:val="24"/>
              </w:rPr>
              <w:t>11</w:t>
            </w:r>
            <w:r>
              <w:rPr>
                <w:color w:val="000000"/>
                <w:sz w:val="24"/>
              </w:rPr>
              <w:t>年</w:t>
            </w:r>
          </w:p>
        </w:tc>
        <w:tc>
          <w:tcPr>
            <w:tcW w:w="1418" w:type="dxa"/>
            <w:vAlign w:val="center"/>
          </w:tcPr>
          <w:p w:rsidR="005027ED" w:rsidRDefault="00465027">
            <w:pPr>
              <w:jc w:val="left"/>
            </w:pPr>
            <w:r>
              <w:rPr>
                <w:color w:val="000000"/>
                <w:sz w:val="24"/>
              </w:rPr>
              <w:t>硕士研究生，曾任华泰联合证券资产管理部研究员，易方达基金管理有限公司集中交易室交易员、指数与量化投资部指数基金运作专</w:t>
            </w:r>
            <w:r>
              <w:rPr>
                <w:color w:val="000000"/>
                <w:sz w:val="24"/>
              </w:rPr>
              <w:t>员、基金经理助理。</w:t>
            </w:r>
          </w:p>
        </w:tc>
      </w:tr>
    </w:tbl>
    <w:p w:rsidR="005027ED" w:rsidRDefault="00465027">
      <w:pPr>
        <w:autoSpaceDE w:val="0"/>
        <w:autoSpaceDN w:val="0"/>
        <w:adjustRightInd w:val="0"/>
        <w:spacing w:line="360" w:lineRule="auto"/>
        <w:ind w:firstLineChars="200" w:firstLine="480"/>
        <w:jc w:val="left"/>
        <w:rPr>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47E47" w:rsidRPr="00A67563" w:rsidRDefault="0040617F" w:rsidP="00120EAF">
      <w:pPr>
        <w:autoSpaceDE w:val="0"/>
        <w:autoSpaceDN w:val="0"/>
        <w:adjustRightInd w:val="0"/>
        <w:spacing w:line="360" w:lineRule="auto"/>
        <w:ind w:firstLineChars="200" w:firstLine="480"/>
        <w:jc w:val="left"/>
        <w:rPr>
          <w:color w:val="000000" w:themeColor="text1"/>
          <w:sz w:val="24"/>
        </w:rPr>
      </w:pPr>
      <w:r w:rsidRPr="006506EF">
        <w:rPr>
          <w:color w:val="000000"/>
          <w:sz w:val="24"/>
        </w:rPr>
        <w:t>2.</w:t>
      </w:r>
      <w:r w:rsidRPr="006506EF">
        <w:rPr>
          <w:color w:val="000000"/>
          <w:sz w:val="24"/>
        </w:rPr>
        <w:t>证券从业的含义遵从《证券业从业人员资格管理办法》的相关规定。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F077D2" w:rsidRPr="00A67563">
        <w:rPr>
          <w:b/>
          <w:color w:val="000000" w:themeColor="text1"/>
          <w:kern w:val="0"/>
          <w:sz w:val="24"/>
        </w:rPr>
        <w:t>2</w:t>
      </w:r>
      <w:r w:rsidR="00A32FDA" w:rsidRPr="00A67563">
        <w:rPr>
          <w:b/>
          <w:color w:val="000000" w:themeColor="text1"/>
          <w:kern w:val="0"/>
          <w:sz w:val="24"/>
        </w:rPr>
        <w:t xml:space="preserve"> </w:t>
      </w:r>
      <w:r w:rsidRPr="00A67563">
        <w:rPr>
          <w:b/>
          <w:color w:val="000000" w:themeColor="text1"/>
          <w:kern w:val="0"/>
          <w:sz w:val="24"/>
        </w:rPr>
        <w:t>境外投资顾问为本基金提供投资建议的主要成员简介</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本基金未聘请境外投资顾问。</w:t>
      </w:r>
    </w:p>
    <w:p w:rsidR="00FB47E0" w:rsidRPr="00A67563" w:rsidRDefault="00FB47E0" w:rsidP="008B6A4A">
      <w:pPr>
        <w:autoSpaceDE w:val="0"/>
        <w:autoSpaceDN w:val="0"/>
        <w:adjustRightInd w:val="0"/>
        <w:spacing w:line="360" w:lineRule="auto"/>
        <w:jc w:val="left"/>
        <w:rPr>
          <w:color w:val="000000" w:themeColor="text1"/>
          <w:kern w:val="0"/>
          <w:sz w:val="24"/>
        </w:rPr>
      </w:pPr>
    </w:p>
    <w:p w:rsidR="0008610C" w:rsidRDefault="0076518F" w:rsidP="0008610C">
      <w:pPr>
        <w:autoSpaceDE w:val="0"/>
        <w:autoSpaceDN w:val="0"/>
        <w:adjustRightInd w:val="0"/>
        <w:spacing w:line="360" w:lineRule="auto"/>
        <w:jc w:val="left"/>
        <w:rPr>
          <w:b/>
          <w:color w:val="000000"/>
          <w:kern w:val="0"/>
          <w:sz w:val="24"/>
        </w:rPr>
      </w:pPr>
      <w:r w:rsidRPr="00A67563">
        <w:rPr>
          <w:b/>
          <w:color w:val="000000" w:themeColor="text1"/>
          <w:kern w:val="0"/>
          <w:sz w:val="24"/>
        </w:rPr>
        <w:t>4.</w:t>
      </w:r>
      <w:r w:rsidR="00A32FDA" w:rsidRPr="00A67563">
        <w:rPr>
          <w:b/>
          <w:color w:val="000000" w:themeColor="text1"/>
          <w:kern w:val="0"/>
          <w:sz w:val="24"/>
        </w:rPr>
        <w:t>3</w:t>
      </w:r>
      <w:r w:rsidR="0008610C">
        <w:rPr>
          <w:rFonts w:hint="eastAsia"/>
          <w:b/>
          <w:color w:val="000000"/>
          <w:kern w:val="0"/>
          <w:sz w:val="24"/>
        </w:rPr>
        <w:t>报告期内本基金运作遵规守信情况说明</w:t>
      </w:r>
    </w:p>
    <w:p w:rsidR="00363E15" w:rsidRPr="00A67563" w:rsidRDefault="00363E15" w:rsidP="00636CF5">
      <w:pPr>
        <w:spacing w:line="360" w:lineRule="auto"/>
        <w:ind w:firstLineChars="200" w:firstLine="480"/>
        <w:rPr>
          <w:color w:val="000000" w:themeColor="text1"/>
          <w:sz w:val="24"/>
        </w:rPr>
      </w:pPr>
      <w:r w:rsidRPr="00A67563">
        <w:rPr>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6518F" w:rsidRPr="00A67563" w:rsidRDefault="0076518F" w:rsidP="00A70E23">
      <w:pPr>
        <w:autoSpaceDE w:val="0"/>
        <w:autoSpaceDN w:val="0"/>
        <w:adjustRightInd w:val="0"/>
        <w:spacing w:line="360" w:lineRule="auto"/>
        <w:jc w:val="left"/>
        <w:rPr>
          <w:color w:val="000000" w:themeColor="text1"/>
          <w:kern w:val="0"/>
          <w:sz w:val="24"/>
        </w:rPr>
      </w:pPr>
    </w:p>
    <w:p w:rsidR="0076518F" w:rsidRPr="00A67563" w:rsidRDefault="0076518F" w:rsidP="00A70E2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4</w:t>
      </w:r>
      <w:r w:rsidRPr="00A67563">
        <w:rPr>
          <w:b/>
          <w:color w:val="000000" w:themeColor="text1"/>
          <w:kern w:val="0"/>
          <w:sz w:val="24"/>
        </w:rPr>
        <w:t xml:space="preserve"> </w:t>
      </w:r>
      <w:r w:rsidRPr="00A67563">
        <w:rPr>
          <w:b/>
          <w:color w:val="000000" w:themeColor="text1"/>
          <w:kern w:val="0"/>
          <w:sz w:val="24"/>
        </w:rPr>
        <w:t>公平交易专项说明</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4.1</w:t>
      </w:r>
      <w:r w:rsidRPr="00A67563">
        <w:rPr>
          <w:color w:val="000000" w:themeColor="text1"/>
          <w:sz w:val="24"/>
        </w:rPr>
        <w:t>公平交易制度的执行情况</w:t>
      </w:r>
    </w:p>
    <w:p w:rsidR="00AB42E2" w:rsidRPr="00A67563" w:rsidRDefault="001F3C28" w:rsidP="00797DD2">
      <w:pPr>
        <w:spacing w:line="360" w:lineRule="auto"/>
        <w:ind w:firstLineChars="200" w:firstLine="480"/>
        <w:rPr>
          <w:color w:val="000000" w:themeColor="text1"/>
          <w:sz w:val="24"/>
        </w:rPr>
      </w:pPr>
      <w:r w:rsidRPr="00A67563">
        <w:rPr>
          <w:color w:val="000000" w:themeColor="text1"/>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w:t>
      </w:r>
      <w:r w:rsidRPr="00A67563">
        <w:rPr>
          <w:color w:val="000000" w:themeColor="text1"/>
          <w:sz w:val="24"/>
        </w:rPr>
        <w:t>.</w:t>
      </w:r>
      <w:r w:rsidR="00A32FDA" w:rsidRPr="00A67563">
        <w:rPr>
          <w:color w:val="000000" w:themeColor="text1"/>
          <w:sz w:val="24"/>
        </w:rPr>
        <w:t>2</w:t>
      </w:r>
      <w:r w:rsidRPr="00A67563">
        <w:rPr>
          <w:color w:val="000000" w:themeColor="text1"/>
          <w:sz w:val="24"/>
        </w:rPr>
        <w:t>异常交易行为的专项说明</w:t>
      </w:r>
    </w:p>
    <w:p w:rsidR="005027ED" w:rsidRDefault="00465027">
      <w:pPr>
        <w:spacing w:line="360" w:lineRule="auto"/>
        <w:ind w:firstLineChars="200" w:firstLine="480"/>
        <w:rPr>
          <w:color w:val="000000" w:themeColor="text1"/>
          <w:sz w:val="24"/>
        </w:rPr>
      </w:pPr>
      <w:r>
        <w:rPr>
          <w:color w:val="000000" w:themeColor="text1"/>
          <w:sz w:val="24"/>
        </w:rPr>
        <w:t>本报告期内，公司旗下所有投资组合参与的交易所公开竞价交易中，同日反向交易成交较少的单边交易量超过该证券当日成交量的</w:t>
      </w:r>
      <w:r>
        <w:rPr>
          <w:color w:val="000000" w:themeColor="text1"/>
          <w:sz w:val="24"/>
        </w:rPr>
        <w:t>5%</w:t>
      </w:r>
      <w:r>
        <w:rPr>
          <w:color w:val="000000" w:themeColor="text1"/>
          <w:sz w:val="24"/>
        </w:rPr>
        <w:t>的交易共</w:t>
      </w:r>
      <w:r>
        <w:rPr>
          <w:color w:val="000000" w:themeColor="text1"/>
          <w:sz w:val="24"/>
        </w:rPr>
        <w:t>26</w:t>
      </w:r>
      <w:r>
        <w:rPr>
          <w:color w:val="000000" w:themeColor="text1"/>
          <w:sz w:val="24"/>
        </w:rPr>
        <w:t>次，均为指数</w:t>
      </w:r>
      <w:r>
        <w:rPr>
          <w:color w:val="000000" w:themeColor="text1"/>
          <w:sz w:val="24"/>
        </w:rPr>
        <w:t>量化投资组合因投资策略需要和其他组合发生的反向交易。</w:t>
      </w:r>
    </w:p>
    <w:p w:rsidR="001F3C28" w:rsidRPr="00A67563" w:rsidRDefault="001F3C28" w:rsidP="00797DD2">
      <w:pPr>
        <w:spacing w:line="360" w:lineRule="auto"/>
        <w:ind w:firstLineChars="200" w:firstLine="480"/>
        <w:rPr>
          <w:color w:val="000000" w:themeColor="text1"/>
          <w:sz w:val="24"/>
        </w:rPr>
      </w:pPr>
      <w:r w:rsidRPr="00A67563">
        <w:rPr>
          <w:color w:val="000000" w:themeColor="text1"/>
          <w:sz w:val="24"/>
        </w:rPr>
        <w:t>本报告期内，未发现本基金有可能导致不公平交易和利益输送的异常交易。</w:t>
      </w:r>
    </w:p>
    <w:p w:rsidR="0076518F" w:rsidRPr="00A67563" w:rsidRDefault="0076518F" w:rsidP="00A70E23">
      <w:pPr>
        <w:autoSpaceDE w:val="0"/>
        <w:autoSpaceDN w:val="0"/>
        <w:adjustRightInd w:val="0"/>
        <w:spacing w:line="360" w:lineRule="auto"/>
        <w:jc w:val="left"/>
        <w:rPr>
          <w:color w:val="000000" w:themeColor="text1"/>
          <w:kern w:val="0"/>
          <w:sz w:val="24"/>
        </w:rPr>
      </w:pPr>
    </w:p>
    <w:p w:rsidR="0067094A" w:rsidRDefault="0076518F" w:rsidP="0067094A">
      <w:pPr>
        <w:autoSpaceDE w:val="0"/>
        <w:autoSpaceDN w:val="0"/>
        <w:adjustRightInd w:val="0"/>
        <w:spacing w:line="360" w:lineRule="auto"/>
        <w:jc w:val="left"/>
        <w:rPr>
          <w:sz w:val="24"/>
        </w:rPr>
      </w:pPr>
      <w:r w:rsidRPr="00A67563">
        <w:rPr>
          <w:b/>
          <w:color w:val="000000" w:themeColor="text1"/>
          <w:kern w:val="0"/>
          <w:sz w:val="24"/>
        </w:rPr>
        <w:t>4.</w:t>
      </w:r>
      <w:r w:rsidR="00A32FDA" w:rsidRPr="00A67563">
        <w:rPr>
          <w:b/>
          <w:color w:val="000000" w:themeColor="text1"/>
          <w:kern w:val="0"/>
          <w:sz w:val="24"/>
        </w:rPr>
        <w:t>5</w:t>
      </w:r>
      <w:r w:rsidRPr="00A67563">
        <w:rPr>
          <w:b/>
          <w:color w:val="000000" w:themeColor="text1"/>
          <w:kern w:val="0"/>
          <w:sz w:val="24"/>
        </w:rPr>
        <w:t xml:space="preserve"> </w:t>
      </w:r>
      <w:r w:rsidR="0067094A">
        <w:rPr>
          <w:rFonts w:hint="eastAsia"/>
          <w:b/>
          <w:color w:val="000000"/>
          <w:kern w:val="0"/>
          <w:sz w:val="24"/>
        </w:rPr>
        <w:t>报告期内基金的投资策略和业绩表现说明</w:t>
      </w:r>
    </w:p>
    <w:p w:rsidR="005027ED" w:rsidRDefault="00465027">
      <w:pPr>
        <w:spacing w:line="360" w:lineRule="auto"/>
        <w:ind w:firstLineChars="200" w:firstLine="480"/>
        <w:rPr>
          <w:color w:val="000000" w:themeColor="text1"/>
          <w:sz w:val="24"/>
        </w:rPr>
      </w:pPr>
      <w:r>
        <w:rPr>
          <w:color w:val="000000" w:themeColor="text1"/>
          <w:sz w:val="24"/>
        </w:rPr>
        <w:t>回顾</w:t>
      </w:r>
      <w:r>
        <w:rPr>
          <w:color w:val="000000" w:themeColor="text1"/>
          <w:sz w:val="24"/>
        </w:rPr>
        <w:t>2019</w:t>
      </w:r>
      <w:r>
        <w:rPr>
          <w:color w:val="000000" w:themeColor="text1"/>
          <w:sz w:val="24"/>
        </w:rPr>
        <w:t>年三季度，全球经济增长动能放缓，美国经济面临的压力进一步加大，就业和制造业</w:t>
      </w:r>
      <w:r>
        <w:rPr>
          <w:color w:val="000000" w:themeColor="text1"/>
          <w:sz w:val="24"/>
        </w:rPr>
        <w:t>PMI</w:t>
      </w:r>
      <w:r>
        <w:rPr>
          <w:color w:val="000000" w:themeColor="text1"/>
          <w:sz w:val="24"/>
        </w:rPr>
        <w:t>等宏观经济指标不达预期。美联储</w:t>
      </w:r>
      <w:r>
        <w:rPr>
          <w:color w:val="000000" w:themeColor="text1"/>
          <w:sz w:val="24"/>
        </w:rPr>
        <w:t>7</w:t>
      </w:r>
      <w:r>
        <w:rPr>
          <w:color w:val="000000" w:themeColor="text1"/>
          <w:sz w:val="24"/>
        </w:rPr>
        <w:t>月如期降息但指引偏鹰派，紧随其后的贸易摩擦升级推升了市场的避险情绪。</w:t>
      </w:r>
      <w:r>
        <w:rPr>
          <w:color w:val="000000" w:themeColor="text1"/>
          <w:sz w:val="24"/>
        </w:rPr>
        <w:t>9</w:t>
      </w:r>
      <w:r>
        <w:rPr>
          <w:color w:val="000000" w:themeColor="text1"/>
          <w:sz w:val="24"/>
        </w:rPr>
        <w:t>月以来，美联储再次降息</w:t>
      </w:r>
      <w:r>
        <w:rPr>
          <w:color w:val="000000" w:themeColor="text1"/>
          <w:sz w:val="24"/>
        </w:rPr>
        <w:t>0.25%</w:t>
      </w:r>
      <w:r>
        <w:rPr>
          <w:color w:val="000000" w:themeColor="text1"/>
          <w:sz w:val="24"/>
        </w:rPr>
        <w:t>，货币宽松节奏加快，中美贸易谈判前景仍然充满不确定性。沙特油田</w:t>
      </w:r>
      <w:r>
        <w:rPr>
          <w:color w:val="000000" w:themeColor="text1"/>
          <w:sz w:val="24"/>
        </w:rPr>
        <w:t>9</w:t>
      </w:r>
      <w:r>
        <w:rPr>
          <w:color w:val="000000" w:themeColor="text1"/>
          <w:sz w:val="24"/>
        </w:rPr>
        <w:t>月份遇袭，事件驱动油价攀升，但全球经济增速放缓，影响到对原油的需求，油价随之回落。</w:t>
      </w:r>
    </w:p>
    <w:p w:rsidR="005027ED" w:rsidRDefault="00465027">
      <w:pPr>
        <w:spacing w:line="360" w:lineRule="auto"/>
        <w:ind w:firstLineChars="200" w:firstLine="480"/>
        <w:rPr>
          <w:color w:val="000000" w:themeColor="text1"/>
          <w:sz w:val="24"/>
        </w:rPr>
      </w:pPr>
      <w:r>
        <w:rPr>
          <w:color w:val="000000" w:themeColor="text1"/>
          <w:sz w:val="24"/>
        </w:rPr>
        <w:t>在操作中，我们严格遵守基金合同，坚持既定的投资策略，追求跟踪误差最小化，力求基金净值增长率与业绩比较基准增长率相当。</w:t>
      </w:r>
    </w:p>
    <w:p w:rsidR="00FD7298" w:rsidRPr="00A67563" w:rsidRDefault="0067094A" w:rsidP="00F47E2F">
      <w:pPr>
        <w:spacing w:line="360" w:lineRule="auto"/>
        <w:ind w:firstLineChars="200" w:firstLine="480"/>
        <w:rPr>
          <w:color w:val="000000" w:themeColor="text1"/>
          <w:sz w:val="24"/>
        </w:rPr>
      </w:pPr>
      <w:r w:rsidRPr="00F47E2F">
        <w:rPr>
          <w:color w:val="000000" w:themeColor="text1"/>
          <w:sz w:val="24"/>
        </w:rPr>
        <w:t>截至报告期末，本基金</w:t>
      </w:r>
      <w:r w:rsidRPr="00F47E2F">
        <w:rPr>
          <w:color w:val="000000" w:themeColor="text1"/>
          <w:sz w:val="24"/>
        </w:rPr>
        <w:t>A</w:t>
      </w:r>
      <w:r w:rsidRPr="00F47E2F">
        <w:rPr>
          <w:color w:val="000000" w:themeColor="text1"/>
          <w:sz w:val="24"/>
        </w:rPr>
        <w:t>类基金份额净值为</w:t>
      </w:r>
      <w:r w:rsidRPr="00F47E2F">
        <w:rPr>
          <w:color w:val="000000" w:themeColor="text1"/>
          <w:sz w:val="24"/>
        </w:rPr>
        <w:t>1.0695</w:t>
      </w:r>
      <w:r w:rsidRPr="00F47E2F">
        <w:rPr>
          <w:color w:val="000000" w:themeColor="text1"/>
          <w:sz w:val="24"/>
        </w:rPr>
        <w:t>元，本报告期份额净值增长率为</w:t>
      </w:r>
      <w:r w:rsidRPr="00F47E2F">
        <w:rPr>
          <w:color w:val="000000" w:themeColor="text1"/>
          <w:sz w:val="24"/>
        </w:rPr>
        <w:t>-3.20%</w:t>
      </w:r>
      <w:r w:rsidRPr="00F47E2F">
        <w:rPr>
          <w:color w:val="000000" w:themeColor="text1"/>
          <w:sz w:val="24"/>
        </w:rPr>
        <w:t>；</w:t>
      </w:r>
      <w:r w:rsidRPr="00F47E2F">
        <w:rPr>
          <w:color w:val="000000" w:themeColor="text1"/>
          <w:sz w:val="24"/>
        </w:rPr>
        <w:t>C</w:t>
      </w:r>
      <w:r w:rsidRPr="00F47E2F">
        <w:rPr>
          <w:color w:val="000000" w:themeColor="text1"/>
          <w:sz w:val="24"/>
        </w:rPr>
        <w:t>类基金份额净值为</w:t>
      </w:r>
      <w:r w:rsidRPr="00F47E2F">
        <w:rPr>
          <w:color w:val="000000" w:themeColor="text1"/>
          <w:sz w:val="24"/>
        </w:rPr>
        <w:t>1.0570</w:t>
      </w:r>
      <w:r w:rsidRPr="00F47E2F">
        <w:rPr>
          <w:color w:val="000000" w:themeColor="text1"/>
          <w:sz w:val="24"/>
        </w:rPr>
        <w:t>元，本报告期份额净值增长率为</w:t>
      </w:r>
      <w:r w:rsidRPr="00F47E2F">
        <w:rPr>
          <w:color w:val="000000" w:themeColor="text1"/>
          <w:sz w:val="24"/>
        </w:rPr>
        <w:t>-3.28%</w:t>
      </w:r>
      <w:r w:rsidRPr="00F47E2F">
        <w:rPr>
          <w:color w:val="000000" w:themeColor="text1"/>
          <w:sz w:val="24"/>
        </w:rPr>
        <w:t>；同期业绩比较基准收益率为</w:t>
      </w:r>
      <w:r w:rsidRPr="00F47E2F">
        <w:rPr>
          <w:color w:val="000000" w:themeColor="text1"/>
          <w:sz w:val="24"/>
        </w:rPr>
        <w:t>-4.75%</w:t>
      </w:r>
      <w:r w:rsidRPr="00F47E2F">
        <w:rPr>
          <w:color w:val="000000" w:themeColor="text1"/>
          <w:sz w:val="24"/>
        </w:rPr>
        <w:t>。年化跟踪误差</w:t>
      </w:r>
      <w:r w:rsidRPr="00F47E2F">
        <w:rPr>
          <w:color w:val="000000" w:themeColor="text1"/>
          <w:sz w:val="24"/>
        </w:rPr>
        <w:t>21.335%</w:t>
      </w:r>
      <w:r w:rsidRPr="00F47E2F">
        <w:rPr>
          <w:color w:val="000000" w:themeColor="text1"/>
          <w:sz w:val="24"/>
        </w:rPr>
        <w:t>。</w:t>
      </w:r>
    </w:p>
    <w:p w:rsidR="00C736BB" w:rsidRPr="00A67563" w:rsidRDefault="00C736BB" w:rsidP="00A70E23">
      <w:pPr>
        <w:spacing w:line="360" w:lineRule="auto"/>
        <w:ind w:firstLineChars="200" w:firstLine="480"/>
        <w:rPr>
          <w:color w:val="000000" w:themeColor="text1"/>
          <w:sz w:val="24"/>
        </w:rPr>
      </w:pP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§5  </w:t>
      </w:r>
      <w:r w:rsidRPr="00A67563">
        <w:rPr>
          <w:color w:val="000000" w:themeColor="text1"/>
          <w:kern w:val="0"/>
          <w:sz w:val="24"/>
          <w:szCs w:val="24"/>
        </w:rPr>
        <w:t>投资组合报告</w:t>
      </w: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5.1 </w:t>
      </w:r>
      <w:r w:rsidRPr="00A67563">
        <w:rPr>
          <w:b/>
          <w:color w:val="000000" w:themeColor="text1"/>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2835"/>
        <w:gridCol w:w="1559"/>
      </w:tblGrid>
      <w:tr w:rsidR="008277FF" w:rsidRPr="00A67563" w:rsidTr="00592EFF">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序号</w:t>
            </w:r>
          </w:p>
        </w:tc>
        <w:tc>
          <w:tcPr>
            <w:tcW w:w="4253"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项目</w:t>
            </w:r>
          </w:p>
        </w:tc>
        <w:tc>
          <w:tcPr>
            <w:tcW w:w="2835"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金额</w:t>
            </w:r>
            <w:r w:rsidRPr="00A67563">
              <w:rPr>
                <w:color w:val="000000" w:themeColor="text1"/>
                <w:sz w:val="24"/>
              </w:rPr>
              <w:t>(</w:t>
            </w:r>
            <w:r w:rsidR="002655D4" w:rsidRPr="00A67563">
              <w:rPr>
                <w:color w:val="000000" w:themeColor="text1"/>
                <w:sz w:val="24"/>
              </w:rPr>
              <w:t>人民币</w:t>
            </w:r>
            <w:r w:rsidRPr="00A67563">
              <w:rPr>
                <w:color w:val="000000" w:themeColor="text1"/>
                <w:sz w:val="24"/>
              </w:rPr>
              <w:t>元</w:t>
            </w:r>
            <w:r w:rsidRPr="00A67563">
              <w:rPr>
                <w:color w:val="000000" w:themeColor="text1"/>
                <w:sz w:val="24"/>
              </w:rPr>
              <w:t>)</w:t>
            </w:r>
          </w:p>
        </w:tc>
        <w:tc>
          <w:tcPr>
            <w:tcW w:w="1559"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占基金总资产的比例</w:t>
            </w:r>
            <w:r w:rsidRPr="00A67563">
              <w:rPr>
                <w:color w:val="000000" w:themeColor="text1"/>
                <w:sz w:val="24"/>
              </w:rPr>
              <w:t>(%)</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1</w:t>
            </w: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权益投资</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其中：</w:t>
            </w:r>
            <w:r w:rsidR="00E462F4" w:rsidRPr="00A67563">
              <w:rPr>
                <w:color w:val="000000" w:themeColor="text1"/>
                <w:sz w:val="24"/>
              </w:rPr>
              <w:t>普通股</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firstLineChars="300" w:firstLine="720"/>
              <w:rPr>
                <w:color w:val="000000" w:themeColor="text1"/>
                <w:sz w:val="24"/>
              </w:rPr>
            </w:pPr>
            <w:r w:rsidRPr="00A67563">
              <w:rPr>
                <w:color w:val="000000" w:themeColor="text1"/>
                <w:sz w:val="24"/>
              </w:rPr>
              <w:t>存托凭证</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优先股</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房地产信托</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2</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基金投资</w:t>
            </w:r>
          </w:p>
        </w:tc>
        <w:tc>
          <w:tcPr>
            <w:tcW w:w="2835"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203,277,413.73</w:t>
            </w:r>
          </w:p>
        </w:tc>
        <w:tc>
          <w:tcPr>
            <w:tcW w:w="1559"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91.05</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3</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固定收益投资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其中：债券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utoSpaceDE w:val="0"/>
              <w:autoSpaceDN w:val="0"/>
              <w:adjustRightInd w:val="0"/>
              <w:spacing w:before="29" w:line="360" w:lineRule="auto"/>
              <w:ind w:left="17" w:firstLineChars="300" w:firstLine="720"/>
              <w:rPr>
                <w:color w:val="000000" w:themeColor="text1"/>
                <w:sz w:val="24"/>
              </w:rPr>
            </w:pPr>
            <w:r w:rsidRPr="00A67563">
              <w:rPr>
                <w:color w:val="000000" w:themeColor="text1"/>
                <w:sz w:val="24"/>
              </w:rPr>
              <w:t>资产支持证券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4</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金融衍生品投资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其中：远期</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Del="00455464"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期货</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期权</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298" w:firstLine="715"/>
              <w:rPr>
                <w:color w:val="000000" w:themeColor="text1"/>
                <w:sz w:val="24"/>
              </w:rPr>
            </w:pPr>
            <w:r w:rsidRPr="00A67563">
              <w:rPr>
                <w:color w:val="000000" w:themeColor="text1"/>
                <w:sz w:val="24"/>
              </w:rPr>
              <w:t>权证</w:t>
            </w:r>
          </w:p>
        </w:tc>
        <w:tc>
          <w:tcPr>
            <w:tcW w:w="2835"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5</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买入返售金融资产</w:t>
            </w:r>
          </w:p>
        </w:tc>
        <w:tc>
          <w:tcPr>
            <w:tcW w:w="2835"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其中：买断式回购的买入返售金融资产</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6</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货币市场工具</w:t>
            </w:r>
          </w:p>
        </w:tc>
        <w:tc>
          <w:tcPr>
            <w:tcW w:w="2835"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7</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银行存款和结算备付金合计</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18,258,078.13</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8.18</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8</w:t>
            </w:r>
          </w:p>
        </w:tc>
        <w:tc>
          <w:tcPr>
            <w:tcW w:w="4253" w:type="dxa"/>
            <w:shd w:val="clear" w:color="auto" w:fill="auto"/>
            <w:vAlign w:val="center"/>
          </w:tcPr>
          <w:p w:rsidR="00E462F4" w:rsidRPr="00A67563" w:rsidRDefault="001457F4" w:rsidP="00797DD2">
            <w:pPr>
              <w:rPr>
                <w:color w:val="000000" w:themeColor="text1"/>
                <w:sz w:val="24"/>
              </w:rPr>
            </w:pPr>
            <w:r>
              <w:rPr>
                <w:color w:val="000000" w:themeColor="text1"/>
                <w:sz w:val="24"/>
              </w:rPr>
              <w:t>其他</w:t>
            </w:r>
            <w:r w:rsidR="00E462F4" w:rsidRPr="00A67563">
              <w:rPr>
                <w:color w:val="000000" w:themeColor="text1"/>
                <w:sz w:val="24"/>
              </w:rPr>
              <w:t>资产</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1,722,898.16</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0.77</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9</w:t>
            </w:r>
          </w:p>
        </w:tc>
        <w:tc>
          <w:tcPr>
            <w:tcW w:w="4253" w:type="dxa"/>
            <w:shd w:val="clear" w:color="auto" w:fill="auto"/>
            <w:vAlign w:val="center"/>
          </w:tcPr>
          <w:p w:rsidR="00E462F4" w:rsidRPr="00A67563" w:rsidRDefault="00E462F4" w:rsidP="00797DD2">
            <w:pPr>
              <w:rPr>
                <w:color w:val="000000" w:themeColor="text1"/>
                <w:sz w:val="24"/>
              </w:rPr>
            </w:pPr>
            <w:r w:rsidRPr="00A67563">
              <w:rPr>
                <w:color w:val="000000" w:themeColor="text1"/>
                <w:sz w:val="24"/>
              </w:rPr>
              <w:t>合计</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223,258,390.02</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100.00</w:t>
            </w:r>
          </w:p>
        </w:tc>
      </w:tr>
    </w:tbl>
    <w:p w:rsidR="00F512C0" w:rsidRPr="00A67563" w:rsidRDefault="00F512C0" w:rsidP="00363E15">
      <w:pPr>
        <w:autoSpaceDE w:val="0"/>
        <w:autoSpaceDN w:val="0"/>
        <w:adjustRightInd w:val="0"/>
        <w:spacing w:line="360" w:lineRule="auto"/>
        <w:jc w:val="left"/>
        <w:rPr>
          <w:color w:val="000000" w:themeColor="text1"/>
          <w:sz w:val="24"/>
        </w:rPr>
      </w:pPr>
    </w:p>
    <w:p w:rsidR="0076518F" w:rsidRPr="00A67563" w:rsidRDefault="00A82C02"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2</w:t>
      </w:r>
      <w:r w:rsidRPr="00A67563">
        <w:rPr>
          <w:b/>
          <w:color w:val="000000" w:themeColor="text1"/>
          <w:kern w:val="0"/>
          <w:sz w:val="24"/>
        </w:rPr>
        <w:t xml:space="preserve"> </w:t>
      </w:r>
      <w:r w:rsidR="0076518F" w:rsidRPr="00A67563">
        <w:rPr>
          <w:b/>
          <w:color w:val="000000" w:themeColor="text1"/>
          <w:kern w:val="0"/>
          <w:sz w:val="24"/>
        </w:rPr>
        <w:t>报告期末在各个国家（地区）证券市场的股票及存托凭证投资分布</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本基金本报告期末未持有权益投资。</w:t>
      </w:r>
    </w:p>
    <w:p w:rsidR="0076518F" w:rsidRPr="00A67563" w:rsidRDefault="0076518F" w:rsidP="008B6A4A">
      <w:pPr>
        <w:autoSpaceDE w:val="0"/>
        <w:autoSpaceDN w:val="0"/>
        <w:adjustRightInd w:val="0"/>
        <w:spacing w:line="360" w:lineRule="auto"/>
        <w:jc w:val="left"/>
        <w:rPr>
          <w:color w:val="000000" w:themeColor="text1"/>
          <w:kern w:val="0"/>
          <w:sz w:val="24"/>
        </w:rPr>
      </w:pPr>
    </w:p>
    <w:p w:rsidR="00C37E98"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3</w:t>
      </w:r>
      <w:r w:rsidR="0076518F" w:rsidRPr="00A67563">
        <w:rPr>
          <w:b/>
          <w:color w:val="000000" w:themeColor="text1"/>
          <w:kern w:val="0"/>
          <w:sz w:val="24"/>
        </w:rPr>
        <w:t xml:space="preserve"> </w:t>
      </w:r>
      <w:r w:rsidR="0076518F" w:rsidRPr="00A67563">
        <w:rPr>
          <w:b/>
          <w:color w:val="000000" w:themeColor="text1"/>
          <w:kern w:val="0"/>
          <w:sz w:val="24"/>
        </w:rPr>
        <w:t>报告期末按行业分类的股票及存托凭证投资组合</w:t>
      </w:r>
    </w:p>
    <w:p w:rsidR="005B6AC7" w:rsidRPr="00A67563" w:rsidRDefault="000A521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本基金本报告期末未持有权益投资。</w:t>
      </w:r>
    </w:p>
    <w:p w:rsidR="000A521D" w:rsidRPr="00A67563" w:rsidRDefault="000A521D" w:rsidP="008B6A4A">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4</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报告期末按公允价值占基金资产净值比例大小排序的前十名股票及存托凭证投资明细</w:t>
      </w:r>
    </w:p>
    <w:p w:rsidR="00B62914" w:rsidRPr="00A67563" w:rsidRDefault="00E73C41"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本基金本报告期末未持有权益投资。</w:t>
      </w:r>
    </w:p>
    <w:p w:rsidR="00521EDE" w:rsidRPr="00A67563" w:rsidRDefault="00521EDE" w:rsidP="00890172">
      <w:pPr>
        <w:autoSpaceDE w:val="0"/>
        <w:autoSpaceDN w:val="0"/>
        <w:adjustRightInd w:val="0"/>
        <w:spacing w:before="29" w:line="360" w:lineRule="auto"/>
        <w:ind w:left="15"/>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5</w:t>
      </w:r>
      <w:r w:rsidR="0076518F" w:rsidRPr="00A67563">
        <w:rPr>
          <w:b/>
          <w:color w:val="000000" w:themeColor="text1"/>
          <w:kern w:val="0"/>
          <w:sz w:val="24"/>
        </w:rPr>
        <w:t xml:space="preserve"> </w:t>
      </w:r>
      <w:r w:rsidR="0076518F" w:rsidRPr="00A67563">
        <w:rPr>
          <w:b/>
          <w:color w:val="000000" w:themeColor="text1"/>
          <w:kern w:val="0"/>
          <w:sz w:val="24"/>
        </w:rPr>
        <w:t>报告期末按债券信用等级分类的债券投资组合</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本基金本报告期末未持有债券。</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6</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B26CF4">
        <w:rPr>
          <w:rFonts w:hint="eastAsia"/>
          <w:b/>
          <w:color w:val="000000" w:themeColor="text1"/>
          <w:kern w:val="0"/>
          <w:sz w:val="24"/>
        </w:rPr>
        <w:t>序</w:t>
      </w:r>
      <w:r w:rsidR="0076518F" w:rsidRPr="00A67563">
        <w:rPr>
          <w:b/>
          <w:color w:val="000000" w:themeColor="text1"/>
          <w:kern w:val="0"/>
          <w:sz w:val="24"/>
        </w:rPr>
        <w:t>的前五名债券投资明细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本基金本报告期末未持有债券。</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7</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B26CF4">
        <w:rPr>
          <w:rFonts w:hint="eastAsia"/>
          <w:b/>
          <w:color w:val="000000" w:themeColor="text1"/>
          <w:kern w:val="0"/>
          <w:sz w:val="24"/>
        </w:rPr>
        <w:t>序</w:t>
      </w:r>
      <w:r w:rsidR="0076518F" w:rsidRPr="00A67563">
        <w:rPr>
          <w:b/>
          <w:color w:val="000000" w:themeColor="text1"/>
          <w:kern w:val="0"/>
          <w:sz w:val="24"/>
        </w:rPr>
        <w:t>的前十名资产支持证券投资明细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本基金本报告期末未持有资产支持证券。</w:t>
      </w:r>
    </w:p>
    <w:p w:rsidR="005B6AC7" w:rsidRPr="00A67563" w:rsidRDefault="005B6AC7" w:rsidP="00521EDE">
      <w:pPr>
        <w:autoSpaceDE w:val="0"/>
        <w:autoSpaceDN w:val="0"/>
        <w:adjustRightInd w:val="0"/>
        <w:spacing w:before="29" w:line="360" w:lineRule="auto"/>
        <w:ind w:left="15"/>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5.8</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B26CF4">
        <w:rPr>
          <w:rFonts w:hint="eastAsia"/>
          <w:b/>
          <w:color w:val="000000" w:themeColor="text1"/>
          <w:kern w:val="0"/>
          <w:sz w:val="24"/>
        </w:rPr>
        <w:t>序</w:t>
      </w:r>
      <w:r w:rsidR="0076518F" w:rsidRPr="00A67563">
        <w:rPr>
          <w:b/>
          <w:color w:val="000000" w:themeColor="text1"/>
          <w:kern w:val="0"/>
          <w:sz w:val="24"/>
        </w:rPr>
        <w:t>的前五名金融衍生品投资明细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本基金本报告期末未持有金融衍生品。</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22A61"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5.9</w:t>
      </w:r>
      <w:r w:rsidR="0076518F" w:rsidRPr="00A67563">
        <w:rPr>
          <w:b/>
          <w:color w:val="000000" w:themeColor="text1"/>
          <w:kern w:val="0"/>
          <w:sz w:val="24"/>
        </w:rPr>
        <w:t>报告期末按公允价值占基金资产净值比例大小排序的前十名基金投资明细</w:t>
      </w:r>
    </w:p>
    <w:tbl>
      <w:tblPr>
        <w:tblStyle w:val="af7"/>
        <w:tblW w:w="0" w:type="auto"/>
        <w:tblInd w:w="15" w:type="dxa"/>
        <w:tblLook w:val="04A0" w:firstRow="1" w:lastRow="0" w:firstColumn="1" w:lastColumn="0" w:noHBand="0" w:noVBand="1"/>
      </w:tblPr>
      <w:tblGrid>
        <w:gridCol w:w="642"/>
        <w:gridCol w:w="1799"/>
        <w:gridCol w:w="783"/>
        <w:gridCol w:w="642"/>
        <w:gridCol w:w="2182"/>
        <w:gridCol w:w="1596"/>
        <w:gridCol w:w="869"/>
      </w:tblGrid>
      <w:tr w:rsidR="008277FF" w:rsidRPr="00A67563" w:rsidTr="00797DD2">
        <w:tc>
          <w:tcPr>
            <w:tcW w:w="1215" w:type="dxa"/>
            <w:vAlign w:val="center"/>
          </w:tcPr>
          <w:p w:rsidR="00017739" w:rsidRPr="00A67563" w:rsidRDefault="00017739" w:rsidP="00797DD2">
            <w:pPr>
              <w:spacing w:line="360" w:lineRule="auto"/>
              <w:jc w:val="center"/>
              <w:rPr>
                <w:color w:val="000000" w:themeColor="text1"/>
                <w:sz w:val="24"/>
              </w:rPr>
            </w:pPr>
            <w:r w:rsidRPr="00A67563">
              <w:rPr>
                <w:color w:val="000000" w:themeColor="text1"/>
                <w:sz w:val="24"/>
              </w:rPr>
              <w:t>序号</w:t>
            </w:r>
          </w:p>
        </w:tc>
        <w:tc>
          <w:tcPr>
            <w:tcW w:w="1216" w:type="dxa"/>
            <w:vAlign w:val="center"/>
          </w:tcPr>
          <w:p w:rsidR="00017739" w:rsidRPr="00A67563" w:rsidRDefault="00017739" w:rsidP="00797DD2">
            <w:pPr>
              <w:spacing w:line="360" w:lineRule="auto"/>
              <w:rPr>
                <w:color w:val="000000" w:themeColor="text1"/>
                <w:sz w:val="24"/>
              </w:rPr>
            </w:pPr>
            <w:r w:rsidRPr="00A67563">
              <w:rPr>
                <w:color w:val="000000" w:themeColor="text1"/>
                <w:sz w:val="24"/>
              </w:rPr>
              <w:t>基金名称</w:t>
            </w:r>
          </w:p>
        </w:tc>
        <w:tc>
          <w:tcPr>
            <w:tcW w:w="1216" w:type="dxa"/>
            <w:vAlign w:val="center"/>
          </w:tcPr>
          <w:p w:rsidR="00017739" w:rsidRPr="00A67563" w:rsidRDefault="00017739" w:rsidP="00797DD2">
            <w:pPr>
              <w:spacing w:line="360" w:lineRule="auto"/>
              <w:rPr>
                <w:color w:val="000000" w:themeColor="text1"/>
                <w:sz w:val="24"/>
              </w:rPr>
            </w:pPr>
            <w:r w:rsidRPr="00A67563">
              <w:rPr>
                <w:color w:val="000000" w:themeColor="text1"/>
                <w:sz w:val="24"/>
              </w:rPr>
              <w:t>基金类型</w:t>
            </w:r>
          </w:p>
        </w:tc>
        <w:tc>
          <w:tcPr>
            <w:tcW w:w="1216" w:type="dxa"/>
            <w:vAlign w:val="center"/>
          </w:tcPr>
          <w:p w:rsidR="00017739" w:rsidRPr="00A67563" w:rsidRDefault="00017739" w:rsidP="00797DD2">
            <w:pPr>
              <w:spacing w:line="360" w:lineRule="auto"/>
              <w:jc w:val="center"/>
              <w:rPr>
                <w:color w:val="000000" w:themeColor="text1"/>
                <w:sz w:val="24"/>
              </w:rPr>
            </w:pPr>
            <w:r w:rsidRPr="00A67563">
              <w:rPr>
                <w:color w:val="000000" w:themeColor="text1"/>
                <w:sz w:val="24"/>
              </w:rPr>
              <w:t>运作方式</w:t>
            </w:r>
          </w:p>
        </w:tc>
        <w:tc>
          <w:tcPr>
            <w:tcW w:w="1216" w:type="dxa"/>
            <w:vAlign w:val="center"/>
          </w:tcPr>
          <w:p w:rsidR="00017739" w:rsidRPr="00A67563" w:rsidRDefault="00017739" w:rsidP="00797DD2">
            <w:pPr>
              <w:spacing w:line="360" w:lineRule="auto"/>
              <w:jc w:val="center"/>
              <w:rPr>
                <w:color w:val="000000" w:themeColor="text1"/>
                <w:sz w:val="24"/>
              </w:rPr>
            </w:pPr>
            <w:r w:rsidRPr="00A67563">
              <w:rPr>
                <w:color w:val="000000" w:themeColor="text1"/>
                <w:sz w:val="24"/>
              </w:rPr>
              <w:t>管理人</w:t>
            </w:r>
          </w:p>
        </w:tc>
        <w:tc>
          <w:tcPr>
            <w:tcW w:w="1217" w:type="dxa"/>
            <w:vAlign w:val="center"/>
          </w:tcPr>
          <w:p w:rsidR="00017739" w:rsidRPr="00A67563" w:rsidRDefault="00017739" w:rsidP="00797DD2">
            <w:pPr>
              <w:spacing w:line="360" w:lineRule="auto"/>
              <w:jc w:val="center"/>
              <w:rPr>
                <w:color w:val="000000" w:themeColor="text1"/>
                <w:sz w:val="24"/>
              </w:rPr>
            </w:pPr>
            <w:r w:rsidRPr="00A67563">
              <w:rPr>
                <w:color w:val="000000" w:themeColor="text1"/>
                <w:sz w:val="24"/>
              </w:rPr>
              <w:t>公允价值</w:t>
            </w:r>
          </w:p>
          <w:p w:rsidR="00017739" w:rsidRPr="00A67563" w:rsidRDefault="00017739" w:rsidP="00797DD2">
            <w:pPr>
              <w:spacing w:line="360" w:lineRule="auto"/>
              <w:jc w:val="center"/>
              <w:rPr>
                <w:color w:val="000000" w:themeColor="text1"/>
                <w:sz w:val="24"/>
              </w:rPr>
            </w:pPr>
            <w:r w:rsidRPr="00A67563">
              <w:rPr>
                <w:color w:val="000000" w:themeColor="text1"/>
                <w:sz w:val="24"/>
              </w:rPr>
              <w:t>（人民币元）</w:t>
            </w:r>
          </w:p>
        </w:tc>
        <w:tc>
          <w:tcPr>
            <w:tcW w:w="1217" w:type="dxa"/>
            <w:vAlign w:val="center"/>
          </w:tcPr>
          <w:p w:rsidR="00017739" w:rsidRPr="00A67563" w:rsidRDefault="00017739" w:rsidP="00797DD2">
            <w:pPr>
              <w:spacing w:line="360" w:lineRule="auto"/>
              <w:jc w:val="center"/>
              <w:rPr>
                <w:color w:val="000000" w:themeColor="text1"/>
                <w:sz w:val="24"/>
              </w:rPr>
            </w:pPr>
            <w:r w:rsidRPr="00A67563">
              <w:rPr>
                <w:color w:val="000000" w:themeColor="text1"/>
                <w:sz w:val="24"/>
              </w:rPr>
              <w:t>占基金资产净值比例</w:t>
            </w:r>
            <w:r w:rsidRPr="00A67563">
              <w:rPr>
                <w:color w:val="000000" w:themeColor="text1"/>
                <w:sz w:val="24"/>
              </w:rPr>
              <w:t>(%)</w:t>
            </w:r>
          </w:p>
        </w:tc>
      </w:tr>
      <w:tr w:rsidR="005027ED">
        <w:tc>
          <w:tcPr>
            <w:tcW w:w="0" w:type="auto"/>
            <w:vAlign w:val="center"/>
          </w:tcPr>
          <w:p w:rsidR="005027ED" w:rsidRDefault="00465027">
            <w:pPr>
              <w:jc w:val="center"/>
            </w:pPr>
            <w:r>
              <w:rPr>
                <w:color w:val="000000" w:themeColor="text1"/>
                <w:sz w:val="24"/>
              </w:rPr>
              <w:t>1</w:t>
            </w:r>
          </w:p>
        </w:tc>
        <w:tc>
          <w:tcPr>
            <w:tcW w:w="0" w:type="auto"/>
            <w:vAlign w:val="center"/>
          </w:tcPr>
          <w:p w:rsidR="005027ED" w:rsidRDefault="00465027">
            <w:pPr>
              <w:jc w:val="center"/>
            </w:pPr>
            <w:r>
              <w:rPr>
                <w:color w:val="000000" w:themeColor="text1"/>
                <w:sz w:val="24"/>
              </w:rPr>
              <w:t>United States Brent Oil Fund LP</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 xml:space="preserve">United States </w:t>
            </w:r>
            <w:r>
              <w:rPr>
                <w:color w:val="000000" w:themeColor="text1"/>
                <w:sz w:val="24"/>
              </w:rPr>
              <w:t>Commodities Fund LLC</w:t>
            </w:r>
          </w:p>
        </w:tc>
        <w:tc>
          <w:tcPr>
            <w:tcW w:w="0" w:type="auto"/>
            <w:vAlign w:val="center"/>
          </w:tcPr>
          <w:p w:rsidR="005027ED" w:rsidRDefault="00465027">
            <w:pPr>
              <w:jc w:val="right"/>
            </w:pPr>
            <w:r>
              <w:rPr>
                <w:color w:val="000000" w:themeColor="text1"/>
                <w:sz w:val="24"/>
              </w:rPr>
              <w:t>41,079,403.20</w:t>
            </w:r>
          </w:p>
        </w:tc>
        <w:tc>
          <w:tcPr>
            <w:tcW w:w="0" w:type="auto"/>
            <w:vAlign w:val="center"/>
          </w:tcPr>
          <w:p w:rsidR="005027ED" w:rsidRDefault="00465027">
            <w:pPr>
              <w:jc w:val="right"/>
            </w:pPr>
            <w:r>
              <w:rPr>
                <w:color w:val="000000" w:themeColor="text1"/>
                <w:sz w:val="24"/>
              </w:rPr>
              <w:t>19.15</w:t>
            </w:r>
          </w:p>
        </w:tc>
      </w:tr>
      <w:tr w:rsidR="005027ED">
        <w:tc>
          <w:tcPr>
            <w:tcW w:w="0" w:type="auto"/>
            <w:vAlign w:val="center"/>
          </w:tcPr>
          <w:p w:rsidR="005027ED" w:rsidRDefault="00465027">
            <w:pPr>
              <w:jc w:val="center"/>
            </w:pPr>
            <w:r>
              <w:rPr>
                <w:color w:val="000000" w:themeColor="text1"/>
                <w:sz w:val="24"/>
              </w:rPr>
              <w:t>2</w:t>
            </w:r>
          </w:p>
        </w:tc>
        <w:tc>
          <w:tcPr>
            <w:tcW w:w="0" w:type="auto"/>
            <w:vAlign w:val="center"/>
          </w:tcPr>
          <w:p w:rsidR="005027ED" w:rsidRDefault="00465027">
            <w:pPr>
              <w:jc w:val="center"/>
            </w:pPr>
            <w:r>
              <w:rPr>
                <w:color w:val="000000" w:themeColor="text1"/>
                <w:sz w:val="24"/>
              </w:rPr>
              <w:t>United States Oil Fund LP</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United States Commodities Fund LLC</w:t>
            </w:r>
          </w:p>
        </w:tc>
        <w:tc>
          <w:tcPr>
            <w:tcW w:w="0" w:type="auto"/>
            <w:vAlign w:val="center"/>
          </w:tcPr>
          <w:p w:rsidR="005027ED" w:rsidRDefault="00465027">
            <w:pPr>
              <w:jc w:val="right"/>
            </w:pPr>
            <w:r>
              <w:rPr>
                <w:color w:val="000000" w:themeColor="text1"/>
                <w:sz w:val="24"/>
              </w:rPr>
              <w:t>40,905,409.86</w:t>
            </w:r>
          </w:p>
        </w:tc>
        <w:tc>
          <w:tcPr>
            <w:tcW w:w="0" w:type="auto"/>
            <w:vAlign w:val="center"/>
          </w:tcPr>
          <w:p w:rsidR="005027ED" w:rsidRDefault="00465027">
            <w:pPr>
              <w:jc w:val="right"/>
            </w:pPr>
            <w:r>
              <w:rPr>
                <w:color w:val="000000" w:themeColor="text1"/>
                <w:sz w:val="24"/>
              </w:rPr>
              <w:t>19.07</w:t>
            </w:r>
          </w:p>
        </w:tc>
      </w:tr>
      <w:tr w:rsidR="005027ED">
        <w:tc>
          <w:tcPr>
            <w:tcW w:w="0" w:type="auto"/>
            <w:vAlign w:val="center"/>
          </w:tcPr>
          <w:p w:rsidR="005027ED" w:rsidRDefault="00465027">
            <w:pPr>
              <w:jc w:val="center"/>
            </w:pPr>
            <w:r>
              <w:rPr>
                <w:color w:val="000000" w:themeColor="text1"/>
                <w:sz w:val="24"/>
              </w:rPr>
              <w:t>3</w:t>
            </w:r>
          </w:p>
        </w:tc>
        <w:tc>
          <w:tcPr>
            <w:tcW w:w="0" w:type="auto"/>
            <w:vAlign w:val="center"/>
          </w:tcPr>
          <w:p w:rsidR="005027ED" w:rsidRDefault="00465027">
            <w:pPr>
              <w:jc w:val="center"/>
            </w:pPr>
            <w:r>
              <w:rPr>
                <w:color w:val="000000" w:themeColor="text1"/>
                <w:sz w:val="24"/>
              </w:rPr>
              <w:t>Invesco DB Oil Fund</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Invesco Capital Management LLC</w:t>
            </w:r>
          </w:p>
        </w:tc>
        <w:tc>
          <w:tcPr>
            <w:tcW w:w="0" w:type="auto"/>
            <w:vAlign w:val="center"/>
          </w:tcPr>
          <w:p w:rsidR="005027ED" w:rsidRDefault="00465027">
            <w:pPr>
              <w:jc w:val="right"/>
            </w:pPr>
            <w:r>
              <w:rPr>
                <w:color w:val="000000" w:themeColor="text1"/>
                <w:sz w:val="24"/>
              </w:rPr>
              <w:t>40,814,876.74</w:t>
            </w:r>
          </w:p>
        </w:tc>
        <w:tc>
          <w:tcPr>
            <w:tcW w:w="0" w:type="auto"/>
            <w:vAlign w:val="center"/>
          </w:tcPr>
          <w:p w:rsidR="005027ED" w:rsidRDefault="00465027">
            <w:pPr>
              <w:jc w:val="right"/>
            </w:pPr>
            <w:r>
              <w:rPr>
                <w:color w:val="000000" w:themeColor="text1"/>
                <w:sz w:val="24"/>
              </w:rPr>
              <w:t>19.03</w:t>
            </w:r>
          </w:p>
        </w:tc>
      </w:tr>
      <w:tr w:rsidR="005027ED">
        <w:tc>
          <w:tcPr>
            <w:tcW w:w="0" w:type="auto"/>
            <w:vAlign w:val="center"/>
          </w:tcPr>
          <w:p w:rsidR="005027ED" w:rsidRDefault="00465027">
            <w:pPr>
              <w:jc w:val="center"/>
            </w:pPr>
            <w:r>
              <w:rPr>
                <w:color w:val="000000" w:themeColor="text1"/>
                <w:sz w:val="24"/>
              </w:rPr>
              <w:t>4</w:t>
            </w:r>
          </w:p>
        </w:tc>
        <w:tc>
          <w:tcPr>
            <w:tcW w:w="0" w:type="auto"/>
            <w:vAlign w:val="center"/>
          </w:tcPr>
          <w:p w:rsidR="005027ED" w:rsidRDefault="00465027">
            <w:pPr>
              <w:jc w:val="center"/>
            </w:pPr>
            <w:r>
              <w:rPr>
                <w:color w:val="000000" w:themeColor="text1"/>
                <w:sz w:val="24"/>
              </w:rPr>
              <w:t>ETFS WTI Crude Oil</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 xml:space="preserve">ETFS </w:t>
            </w:r>
            <w:r>
              <w:rPr>
                <w:color w:val="000000" w:themeColor="text1"/>
                <w:sz w:val="24"/>
              </w:rPr>
              <w:t>Commodity Securities Ltd</w:t>
            </w:r>
          </w:p>
        </w:tc>
        <w:tc>
          <w:tcPr>
            <w:tcW w:w="0" w:type="auto"/>
            <w:vAlign w:val="center"/>
          </w:tcPr>
          <w:p w:rsidR="005027ED" w:rsidRDefault="00465027">
            <w:pPr>
              <w:jc w:val="right"/>
            </w:pPr>
            <w:r>
              <w:rPr>
                <w:color w:val="000000" w:themeColor="text1"/>
                <w:sz w:val="24"/>
              </w:rPr>
              <w:t>40,619,753.11</w:t>
            </w:r>
          </w:p>
        </w:tc>
        <w:tc>
          <w:tcPr>
            <w:tcW w:w="0" w:type="auto"/>
            <w:vAlign w:val="center"/>
          </w:tcPr>
          <w:p w:rsidR="005027ED" w:rsidRDefault="00465027">
            <w:pPr>
              <w:jc w:val="right"/>
            </w:pPr>
            <w:r>
              <w:rPr>
                <w:color w:val="000000" w:themeColor="text1"/>
                <w:sz w:val="24"/>
              </w:rPr>
              <w:t>18.94</w:t>
            </w:r>
          </w:p>
        </w:tc>
      </w:tr>
      <w:tr w:rsidR="005027ED">
        <w:tc>
          <w:tcPr>
            <w:tcW w:w="0" w:type="auto"/>
            <w:vAlign w:val="center"/>
          </w:tcPr>
          <w:p w:rsidR="005027ED" w:rsidRDefault="00465027">
            <w:pPr>
              <w:jc w:val="center"/>
            </w:pPr>
            <w:r>
              <w:rPr>
                <w:color w:val="000000" w:themeColor="text1"/>
                <w:sz w:val="24"/>
              </w:rPr>
              <w:t>5</w:t>
            </w:r>
          </w:p>
        </w:tc>
        <w:tc>
          <w:tcPr>
            <w:tcW w:w="0" w:type="auto"/>
            <w:vAlign w:val="center"/>
          </w:tcPr>
          <w:p w:rsidR="005027ED" w:rsidRDefault="00465027">
            <w:pPr>
              <w:jc w:val="center"/>
            </w:pPr>
            <w:r>
              <w:rPr>
                <w:color w:val="000000" w:themeColor="text1"/>
                <w:sz w:val="24"/>
              </w:rPr>
              <w:t>Simplex WTI ETF</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Simplex Asset Management Co Ltd/Japan</w:t>
            </w:r>
          </w:p>
        </w:tc>
        <w:tc>
          <w:tcPr>
            <w:tcW w:w="0" w:type="auto"/>
            <w:vAlign w:val="center"/>
          </w:tcPr>
          <w:p w:rsidR="005027ED" w:rsidRDefault="00465027">
            <w:pPr>
              <w:jc w:val="right"/>
            </w:pPr>
            <w:r>
              <w:rPr>
                <w:color w:val="000000" w:themeColor="text1"/>
                <w:sz w:val="24"/>
              </w:rPr>
              <w:t>21,206,651.72</w:t>
            </w:r>
          </w:p>
        </w:tc>
        <w:tc>
          <w:tcPr>
            <w:tcW w:w="0" w:type="auto"/>
            <w:vAlign w:val="center"/>
          </w:tcPr>
          <w:p w:rsidR="005027ED" w:rsidRDefault="00465027">
            <w:pPr>
              <w:jc w:val="right"/>
            </w:pPr>
            <w:r>
              <w:rPr>
                <w:color w:val="000000" w:themeColor="text1"/>
                <w:sz w:val="24"/>
              </w:rPr>
              <w:t>9.89</w:t>
            </w:r>
          </w:p>
        </w:tc>
      </w:tr>
      <w:tr w:rsidR="005027ED">
        <w:tc>
          <w:tcPr>
            <w:tcW w:w="0" w:type="auto"/>
            <w:vAlign w:val="center"/>
          </w:tcPr>
          <w:p w:rsidR="005027ED" w:rsidRDefault="00465027">
            <w:pPr>
              <w:jc w:val="center"/>
            </w:pPr>
            <w:r>
              <w:rPr>
                <w:color w:val="000000" w:themeColor="text1"/>
                <w:sz w:val="24"/>
              </w:rPr>
              <w:t>6</w:t>
            </w:r>
          </w:p>
        </w:tc>
        <w:tc>
          <w:tcPr>
            <w:tcW w:w="0" w:type="auto"/>
            <w:vAlign w:val="center"/>
          </w:tcPr>
          <w:p w:rsidR="005027ED" w:rsidRDefault="00465027">
            <w:pPr>
              <w:jc w:val="center"/>
            </w:pPr>
            <w:r>
              <w:rPr>
                <w:color w:val="000000" w:themeColor="text1"/>
                <w:sz w:val="24"/>
              </w:rPr>
              <w:t>United States 12 Month Oil Fund LP</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United States Commodities Fund LLC</w:t>
            </w:r>
          </w:p>
        </w:tc>
        <w:tc>
          <w:tcPr>
            <w:tcW w:w="0" w:type="auto"/>
            <w:vAlign w:val="center"/>
          </w:tcPr>
          <w:p w:rsidR="005027ED" w:rsidRDefault="00465027">
            <w:pPr>
              <w:jc w:val="right"/>
            </w:pPr>
            <w:r>
              <w:rPr>
                <w:color w:val="000000" w:themeColor="text1"/>
                <w:sz w:val="24"/>
              </w:rPr>
              <w:t>8,279,471.67</w:t>
            </w:r>
          </w:p>
        </w:tc>
        <w:tc>
          <w:tcPr>
            <w:tcW w:w="0" w:type="auto"/>
            <w:vAlign w:val="center"/>
          </w:tcPr>
          <w:p w:rsidR="005027ED" w:rsidRDefault="00465027">
            <w:pPr>
              <w:jc w:val="right"/>
            </w:pPr>
            <w:r>
              <w:rPr>
                <w:color w:val="000000" w:themeColor="text1"/>
                <w:sz w:val="24"/>
              </w:rPr>
              <w:t>3.86</w:t>
            </w:r>
          </w:p>
        </w:tc>
      </w:tr>
      <w:tr w:rsidR="005027ED">
        <w:tc>
          <w:tcPr>
            <w:tcW w:w="0" w:type="auto"/>
            <w:vAlign w:val="center"/>
          </w:tcPr>
          <w:p w:rsidR="005027ED" w:rsidRDefault="00465027">
            <w:pPr>
              <w:jc w:val="center"/>
            </w:pPr>
            <w:r>
              <w:rPr>
                <w:color w:val="000000" w:themeColor="text1"/>
                <w:sz w:val="24"/>
              </w:rPr>
              <w:t>7</w:t>
            </w:r>
          </w:p>
        </w:tc>
        <w:tc>
          <w:tcPr>
            <w:tcW w:w="0" w:type="auto"/>
            <w:vAlign w:val="center"/>
          </w:tcPr>
          <w:p w:rsidR="005027ED" w:rsidRDefault="00465027">
            <w:pPr>
              <w:jc w:val="center"/>
            </w:pPr>
            <w:r>
              <w:rPr>
                <w:color w:val="000000" w:themeColor="text1"/>
                <w:sz w:val="24"/>
              </w:rPr>
              <w:t xml:space="preserve">Next Funds Nomura Crude </w:t>
            </w:r>
            <w:r>
              <w:rPr>
                <w:color w:val="000000" w:themeColor="text1"/>
                <w:sz w:val="24"/>
              </w:rPr>
              <w:t>Oil</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Nomura Asset Management Co Ltd</w:t>
            </w:r>
          </w:p>
        </w:tc>
        <w:tc>
          <w:tcPr>
            <w:tcW w:w="0" w:type="auto"/>
            <w:vAlign w:val="center"/>
          </w:tcPr>
          <w:p w:rsidR="005027ED" w:rsidRDefault="00465027">
            <w:pPr>
              <w:jc w:val="right"/>
            </w:pPr>
            <w:r>
              <w:rPr>
                <w:color w:val="000000" w:themeColor="text1"/>
                <w:sz w:val="24"/>
              </w:rPr>
              <w:t>7,174,330.80</w:t>
            </w:r>
          </w:p>
        </w:tc>
        <w:tc>
          <w:tcPr>
            <w:tcW w:w="0" w:type="auto"/>
            <w:vAlign w:val="center"/>
          </w:tcPr>
          <w:p w:rsidR="005027ED" w:rsidRDefault="00465027">
            <w:pPr>
              <w:jc w:val="right"/>
            </w:pPr>
            <w:r>
              <w:rPr>
                <w:color w:val="000000" w:themeColor="text1"/>
                <w:sz w:val="24"/>
              </w:rPr>
              <w:t>3.34</w:t>
            </w:r>
          </w:p>
        </w:tc>
      </w:tr>
      <w:tr w:rsidR="005027ED">
        <w:tc>
          <w:tcPr>
            <w:tcW w:w="0" w:type="auto"/>
            <w:vAlign w:val="center"/>
          </w:tcPr>
          <w:p w:rsidR="005027ED" w:rsidRDefault="00465027">
            <w:pPr>
              <w:jc w:val="center"/>
            </w:pPr>
            <w:r>
              <w:rPr>
                <w:color w:val="000000" w:themeColor="text1"/>
                <w:sz w:val="24"/>
              </w:rPr>
              <w:t>8</w:t>
            </w:r>
          </w:p>
        </w:tc>
        <w:tc>
          <w:tcPr>
            <w:tcW w:w="0" w:type="auto"/>
            <w:vAlign w:val="center"/>
          </w:tcPr>
          <w:p w:rsidR="005027ED" w:rsidRDefault="00465027">
            <w:pPr>
              <w:jc w:val="center"/>
            </w:pPr>
            <w:r>
              <w:rPr>
                <w:color w:val="000000" w:themeColor="text1"/>
                <w:sz w:val="24"/>
              </w:rPr>
              <w:t>ETFS Brent 1mth Oil Securities</w:t>
            </w:r>
          </w:p>
        </w:tc>
        <w:tc>
          <w:tcPr>
            <w:tcW w:w="0" w:type="auto"/>
            <w:vAlign w:val="center"/>
          </w:tcPr>
          <w:p w:rsidR="005027ED" w:rsidRDefault="00465027">
            <w:pPr>
              <w:jc w:val="center"/>
            </w:pPr>
            <w:r>
              <w:rPr>
                <w:color w:val="000000" w:themeColor="text1"/>
                <w:sz w:val="24"/>
              </w:rPr>
              <w:t>ETF</w:t>
            </w:r>
          </w:p>
        </w:tc>
        <w:tc>
          <w:tcPr>
            <w:tcW w:w="0" w:type="auto"/>
            <w:vAlign w:val="center"/>
          </w:tcPr>
          <w:p w:rsidR="005027ED" w:rsidRDefault="00465027">
            <w:pPr>
              <w:jc w:val="center"/>
            </w:pPr>
            <w:r>
              <w:rPr>
                <w:color w:val="000000" w:themeColor="text1"/>
                <w:sz w:val="24"/>
              </w:rPr>
              <w:t>开放式</w:t>
            </w:r>
          </w:p>
        </w:tc>
        <w:tc>
          <w:tcPr>
            <w:tcW w:w="0" w:type="auto"/>
            <w:vAlign w:val="center"/>
          </w:tcPr>
          <w:p w:rsidR="005027ED" w:rsidRDefault="00465027">
            <w:pPr>
              <w:jc w:val="center"/>
            </w:pPr>
            <w:r>
              <w:rPr>
                <w:color w:val="000000" w:themeColor="text1"/>
                <w:sz w:val="24"/>
              </w:rPr>
              <w:t>ETFS Management Co Jersey Ltd</w:t>
            </w:r>
          </w:p>
        </w:tc>
        <w:tc>
          <w:tcPr>
            <w:tcW w:w="0" w:type="auto"/>
            <w:vAlign w:val="center"/>
          </w:tcPr>
          <w:p w:rsidR="005027ED" w:rsidRDefault="00465027">
            <w:pPr>
              <w:jc w:val="right"/>
            </w:pPr>
            <w:r>
              <w:rPr>
                <w:color w:val="000000" w:themeColor="text1"/>
                <w:sz w:val="24"/>
              </w:rPr>
              <w:t>3,197,516.63</w:t>
            </w:r>
          </w:p>
        </w:tc>
        <w:tc>
          <w:tcPr>
            <w:tcW w:w="0" w:type="auto"/>
            <w:vAlign w:val="center"/>
          </w:tcPr>
          <w:p w:rsidR="005027ED" w:rsidRDefault="00465027">
            <w:pPr>
              <w:jc w:val="right"/>
            </w:pPr>
            <w:r>
              <w:rPr>
                <w:color w:val="000000" w:themeColor="text1"/>
                <w:sz w:val="24"/>
              </w:rPr>
              <w:t>1.49</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55EA7"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76518F" w:rsidRPr="00A67563">
        <w:rPr>
          <w:b/>
          <w:color w:val="000000" w:themeColor="text1"/>
          <w:kern w:val="0"/>
          <w:sz w:val="24"/>
        </w:rPr>
        <w:t>.</w:t>
      </w:r>
      <w:r w:rsidRPr="00A67563">
        <w:rPr>
          <w:b/>
          <w:color w:val="000000" w:themeColor="text1"/>
          <w:kern w:val="0"/>
          <w:sz w:val="24"/>
        </w:rPr>
        <w:t>10</w:t>
      </w:r>
      <w:r w:rsidR="0076518F" w:rsidRPr="00A67563">
        <w:rPr>
          <w:b/>
          <w:color w:val="000000" w:themeColor="text1"/>
          <w:kern w:val="0"/>
          <w:sz w:val="24"/>
        </w:rPr>
        <w:t xml:space="preserve"> </w:t>
      </w:r>
      <w:r w:rsidR="0076518F" w:rsidRPr="00A67563">
        <w:rPr>
          <w:b/>
          <w:color w:val="000000" w:themeColor="text1"/>
          <w:kern w:val="0"/>
          <w:sz w:val="24"/>
        </w:rPr>
        <w:t>投资组合报告附注</w:t>
      </w:r>
    </w:p>
    <w:p w:rsidR="00B55EA7" w:rsidRPr="00A67563" w:rsidRDefault="00B55EA7" w:rsidP="000E3F11">
      <w:pPr>
        <w:widowControl/>
        <w:spacing w:line="360" w:lineRule="auto"/>
        <w:ind w:left="120" w:hangingChars="50" w:hanging="120"/>
        <w:rPr>
          <w:color w:val="000000" w:themeColor="text1"/>
          <w:sz w:val="24"/>
        </w:rPr>
      </w:pPr>
      <w:r w:rsidRPr="00A67563">
        <w:rPr>
          <w:color w:val="000000" w:themeColor="text1"/>
          <w:sz w:val="24"/>
        </w:rPr>
        <w:t>5.10.1</w:t>
      </w:r>
      <w:r w:rsidRPr="00A67563">
        <w:rPr>
          <w:color w:val="000000" w:themeColor="text1"/>
          <w:sz w:val="24"/>
        </w:rPr>
        <w:t>本基金投资的前十名证券的发行主体本期没有出现被监管部门立案调查，或在报告编制日前一年内受到公开谴责、处罚的情形。</w:t>
      </w:r>
    </w:p>
    <w:p w:rsidR="00B55EA7" w:rsidRPr="00A67563" w:rsidRDefault="00B55EA7" w:rsidP="00B55EA7">
      <w:pPr>
        <w:widowControl/>
        <w:spacing w:line="360" w:lineRule="auto"/>
        <w:rPr>
          <w:color w:val="000000" w:themeColor="text1"/>
          <w:sz w:val="24"/>
        </w:rPr>
      </w:pPr>
      <w:r w:rsidRPr="00A67563">
        <w:rPr>
          <w:color w:val="000000" w:themeColor="text1"/>
          <w:sz w:val="24"/>
        </w:rPr>
        <w:t>5.10.2</w:t>
      </w:r>
      <w:r w:rsidRPr="00A67563">
        <w:rPr>
          <w:color w:val="000000" w:themeColor="text1"/>
          <w:sz w:val="24"/>
        </w:rPr>
        <w:t>本基金本报告期末未持有股票。</w:t>
      </w:r>
    </w:p>
    <w:p w:rsidR="0076518F" w:rsidRPr="00A67563" w:rsidRDefault="008C71EB"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.3</w:t>
      </w:r>
      <w:r w:rsidR="0076518F" w:rsidRPr="00A67563">
        <w:rPr>
          <w:b/>
          <w:color w:val="000000" w:themeColor="text1"/>
          <w:kern w:val="0"/>
          <w:sz w:val="24"/>
        </w:rPr>
        <w:t>其他</w:t>
      </w:r>
      <w:r w:rsidR="00B26CF4">
        <w:rPr>
          <w:rFonts w:hint="eastAsia"/>
          <w:b/>
          <w:color w:val="000000" w:themeColor="text1"/>
          <w:kern w:val="0"/>
          <w:sz w:val="24"/>
        </w:rPr>
        <w:t>各项</w:t>
      </w:r>
      <w:r w:rsidR="0076518F" w:rsidRPr="00A67563">
        <w:rPr>
          <w:b/>
          <w:color w:val="000000" w:themeColor="text1"/>
          <w:kern w:val="0"/>
          <w:sz w:val="24"/>
        </w:rPr>
        <w:t>资产构成</w:t>
      </w:r>
    </w:p>
    <w:tbl>
      <w:tblPr>
        <w:tblStyle w:val="af7"/>
        <w:tblW w:w="0" w:type="auto"/>
        <w:tblInd w:w="15" w:type="dxa"/>
        <w:tblLayout w:type="fixed"/>
        <w:tblLook w:val="04A0" w:firstRow="1" w:lastRow="0" w:firstColumn="1" w:lastColumn="0" w:noHBand="0" w:noVBand="1"/>
      </w:tblPr>
      <w:tblGrid>
        <w:gridCol w:w="802"/>
        <w:gridCol w:w="2903"/>
        <w:gridCol w:w="4808"/>
      </w:tblGrid>
      <w:tr w:rsidR="008277FF" w:rsidRPr="00A67563" w:rsidTr="004C05F3">
        <w:tc>
          <w:tcPr>
            <w:tcW w:w="802"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序号</w:t>
            </w:r>
          </w:p>
        </w:tc>
        <w:tc>
          <w:tcPr>
            <w:tcW w:w="2903"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名称</w:t>
            </w:r>
          </w:p>
        </w:tc>
        <w:tc>
          <w:tcPr>
            <w:tcW w:w="4808"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金额</w:t>
            </w:r>
            <w:r w:rsidRPr="00A67563">
              <w:rPr>
                <w:color w:val="000000" w:themeColor="text1"/>
                <w:kern w:val="0"/>
                <w:sz w:val="24"/>
              </w:rPr>
              <w:t>(</w:t>
            </w:r>
            <w:r w:rsidR="00C42431" w:rsidRPr="00A67563">
              <w:rPr>
                <w:color w:val="000000" w:themeColor="text1"/>
                <w:kern w:val="0"/>
                <w:sz w:val="24"/>
              </w:rPr>
              <w:t>人民币</w:t>
            </w:r>
            <w:r w:rsidRPr="00A67563">
              <w:rPr>
                <w:color w:val="000000" w:themeColor="text1"/>
                <w:kern w:val="0"/>
                <w:sz w:val="24"/>
              </w:rPr>
              <w:t>元</w:t>
            </w: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sz w:val="24"/>
              </w:rPr>
              <w:t>1</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存出保证金</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2</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应收证券清算款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783,958.77</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3</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应收股利</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4</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应收利息</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4,098.29</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5</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应收申购款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934,841.10</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6</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其他应收款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7</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sz w:val="24"/>
              </w:rPr>
            </w:pPr>
            <w:r w:rsidRPr="00A67563">
              <w:rPr>
                <w:color w:val="000000" w:themeColor="text1"/>
                <w:sz w:val="24"/>
              </w:rPr>
              <w:t>待摊费用</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sz w:val="24"/>
              </w:rPr>
            </w:pPr>
            <w:r w:rsidRPr="00A67563">
              <w:rPr>
                <w:color w:val="000000" w:themeColor="text1"/>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8</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9</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合计</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1,722,898.16</w:t>
            </w:r>
          </w:p>
        </w:tc>
      </w:tr>
    </w:tbl>
    <w:p w:rsidR="00A22D4B" w:rsidRPr="00A67563" w:rsidRDefault="00A22D4B" w:rsidP="00EC4BA3">
      <w:pPr>
        <w:autoSpaceDE w:val="0"/>
        <w:autoSpaceDN w:val="0"/>
        <w:adjustRightInd w:val="0"/>
        <w:spacing w:line="360" w:lineRule="auto"/>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.4</w:t>
      </w:r>
      <w:r w:rsidR="0076518F" w:rsidRPr="00A67563">
        <w:rPr>
          <w:b/>
          <w:color w:val="000000" w:themeColor="text1"/>
          <w:kern w:val="0"/>
          <w:sz w:val="24"/>
        </w:rPr>
        <w:t>报告期末持有的处于转股期的可转换债券明细</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本基金本报告期末未持有处于转股期的可转换债券。</w:t>
      </w:r>
    </w:p>
    <w:p w:rsidR="009E3391" w:rsidRPr="00A67563" w:rsidRDefault="009E3391" w:rsidP="002236BC">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 xml:space="preserve">.5 </w:t>
      </w:r>
      <w:r w:rsidR="0076518F" w:rsidRPr="00A67563">
        <w:rPr>
          <w:b/>
          <w:color w:val="000000" w:themeColor="text1"/>
          <w:kern w:val="0"/>
          <w:sz w:val="24"/>
        </w:rPr>
        <w:t>报告期末前十名股票中存在流通受限情况的说明</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本基金本报告期末未持有股票。</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§6  </w:t>
      </w:r>
      <w:r w:rsidRPr="00A67563">
        <w:rPr>
          <w:color w:val="000000" w:themeColor="text1"/>
          <w:kern w:val="0"/>
          <w:sz w:val="24"/>
          <w:szCs w:val="24"/>
        </w:rPr>
        <w:t>开放式基金份额变动</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单位：份</w:t>
      </w:r>
    </w:p>
    <w:tbl>
      <w:tblPr>
        <w:tblW w:w="8634" w:type="dxa"/>
        <w:jc w:val="center"/>
        <w:tblLayout w:type="fixed"/>
        <w:tblLook w:val="0000" w:firstRow="0" w:lastRow="0" w:firstColumn="0" w:lastColumn="0" w:noHBand="0" w:noVBand="0"/>
      </w:tblPr>
      <w:tblGrid>
        <w:gridCol w:w="3900"/>
        <w:gridCol w:w="2367"/>
        <w:gridCol w:w="2367"/>
      </w:tblGrid>
      <w:tr w:rsidR="0022505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易方达原油（</w:t>
            </w:r>
            <w:r w:rsidRPr="00A67563">
              <w:rPr>
                <w:color w:val="000000" w:themeColor="text1"/>
                <w:sz w:val="24"/>
              </w:rPr>
              <w:t>QDII-LOF-FOF</w:t>
            </w:r>
            <w:r w:rsidRPr="00A67563">
              <w:rPr>
                <w:color w:val="000000" w:themeColor="text1"/>
                <w:sz w:val="24"/>
              </w:rPr>
              <w:t>）</w:t>
            </w:r>
            <w:r w:rsidRPr="00A67563">
              <w:rPr>
                <w:color w:val="000000" w:themeColor="text1"/>
                <w:sz w:val="24"/>
              </w:rPr>
              <w:t>C</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112,082,388.90</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129,700,033.40</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31,175,261.69</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50,143,462.11</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47,109,721.87</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74,199,392.06</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96,147,928.72</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105,644,103.45</w:t>
            </w:r>
          </w:p>
        </w:tc>
      </w:tr>
    </w:tbl>
    <w:p w:rsidR="00322A5E" w:rsidRPr="00A67563" w:rsidRDefault="00322A5E" w:rsidP="002D6955">
      <w:pPr>
        <w:autoSpaceDE w:val="0"/>
        <w:autoSpaceDN w:val="0"/>
        <w:adjustRightInd w:val="0"/>
        <w:spacing w:line="360" w:lineRule="auto"/>
        <w:jc w:val="left"/>
        <w:rPr>
          <w:color w:val="000000" w:themeColor="text1"/>
          <w:sz w:val="24"/>
        </w:rPr>
      </w:pPr>
      <w:r w:rsidRPr="00A67563">
        <w:rPr>
          <w:color w:val="000000" w:themeColor="text1"/>
          <w:sz w:val="24"/>
        </w:rPr>
        <w:t>注：易方达原油（</w:t>
      </w:r>
      <w:r w:rsidRPr="00A67563">
        <w:rPr>
          <w:color w:val="000000" w:themeColor="text1"/>
          <w:sz w:val="24"/>
        </w:rPr>
        <w:t>QDII-LOF-FOF</w:t>
      </w:r>
      <w:r w:rsidRPr="00A67563">
        <w:rPr>
          <w:color w:val="000000" w:themeColor="text1"/>
          <w:sz w:val="24"/>
        </w:rPr>
        <w:t>）</w:t>
      </w:r>
      <w:r w:rsidRPr="00A67563">
        <w:rPr>
          <w:color w:val="000000" w:themeColor="text1"/>
          <w:sz w:val="24"/>
        </w:rPr>
        <w:t>A</w:t>
      </w:r>
      <w:r w:rsidRPr="00A67563">
        <w:rPr>
          <w:color w:val="000000" w:themeColor="text1"/>
          <w:sz w:val="24"/>
        </w:rPr>
        <w:t>份额变动含</w:t>
      </w:r>
      <w:r w:rsidRPr="00A67563">
        <w:rPr>
          <w:color w:val="000000" w:themeColor="text1"/>
          <w:sz w:val="24"/>
        </w:rPr>
        <w:t>A</w:t>
      </w:r>
      <w:r w:rsidRPr="00A67563">
        <w:rPr>
          <w:color w:val="000000" w:themeColor="text1"/>
          <w:sz w:val="24"/>
        </w:rPr>
        <w:t>类人民币份额及</w:t>
      </w:r>
      <w:r w:rsidRPr="00A67563">
        <w:rPr>
          <w:color w:val="000000" w:themeColor="text1"/>
          <w:sz w:val="24"/>
        </w:rPr>
        <w:t>A</w:t>
      </w:r>
      <w:r w:rsidRPr="00A67563">
        <w:rPr>
          <w:color w:val="000000" w:themeColor="text1"/>
          <w:sz w:val="24"/>
        </w:rPr>
        <w:t>类美元份额；易方达原油（</w:t>
      </w:r>
      <w:r w:rsidRPr="00A67563">
        <w:rPr>
          <w:color w:val="000000" w:themeColor="text1"/>
          <w:sz w:val="24"/>
        </w:rPr>
        <w:t>QDII-LOF-FOF</w:t>
      </w:r>
      <w:r w:rsidRPr="00A67563">
        <w:rPr>
          <w:color w:val="000000" w:themeColor="text1"/>
          <w:sz w:val="24"/>
        </w:rPr>
        <w:t>）</w:t>
      </w:r>
      <w:r w:rsidRPr="00A67563">
        <w:rPr>
          <w:color w:val="000000" w:themeColor="text1"/>
          <w:sz w:val="24"/>
        </w:rPr>
        <w:t>C</w:t>
      </w:r>
      <w:r w:rsidRPr="00A67563">
        <w:rPr>
          <w:color w:val="000000" w:themeColor="text1"/>
          <w:sz w:val="24"/>
        </w:rPr>
        <w:t>份额变动含</w:t>
      </w:r>
      <w:r w:rsidRPr="00A67563">
        <w:rPr>
          <w:color w:val="000000" w:themeColor="text1"/>
          <w:sz w:val="24"/>
        </w:rPr>
        <w:t>C</w:t>
      </w:r>
      <w:r w:rsidRPr="00A67563">
        <w:rPr>
          <w:color w:val="000000" w:themeColor="text1"/>
          <w:sz w:val="24"/>
        </w:rPr>
        <w:t>类人民币份额及</w:t>
      </w:r>
      <w:r w:rsidRPr="00A67563">
        <w:rPr>
          <w:color w:val="000000" w:themeColor="text1"/>
          <w:sz w:val="24"/>
        </w:rPr>
        <w:t>C</w:t>
      </w:r>
      <w:r w:rsidRPr="00A67563">
        <w:rPr>
          <w:color w:val="000000" w:themeColor="text1"/>
          <w:sz w:val="24"/>
        </w:rPr>
        <w:t>类美元份额。</w:t>
      </w:r>
    </w:p>
    <w:p w:rsidR="00BB5F3D" w:rsidRPr="00A67563" w:rsidRDefault="00BB5F3D" w:rsidP="00775284">
      <w:pPr>
        <w:pStyle w:val="1"/>
        <w:tabs>
          <w:tab w:val="center" w:pos="4156"/>
          <w:tab w:val="right" w:pos="8312"/>
        </w:tabs>
        <w:spacing w:beforeLines="100" w:before="312" w:afterLines="100" w:after="312" w:line="360" w:lineRule="auto"/>
        <w:jc w:val="center"/>
        <w:rPr>
          <w:color w:val="000000" w:themeColor="text1"/>
          <w:sz w:val="24"/>
        </w:rPr>
      </w:pPr>
      <w:r w:rsidRPr="00A67563">
        <w:rPr>
          <w:color w:val="000000" w:themeColor="text1"/>
          <w:kern w:val="0"/>
          <w:sz w:val="24"/>
          <w:szCs w:val="24"/>
        </w:rPr>
        <w:t xml:space="preserve">§7  </w:t>
      </w:r>
      <w:r w:rsidRPr="00A67563">
        <w:rPr>
          <w:color w:val="000000" w:themeColor="text1"/>
          <w:sz w:val="24"/>
          <w:szCs w:val="24"/>
        </w:rPr>
        <w:t>基金管理人运用固有资金投资本基金</w:t>
      </w:r>
      <w:r w:rsidR="00775284">
        <w:rPr>
          <w:rFonts w:hint="eastAsia"/>
          <w:color w:val="000000"/>
          <w:kern w:val="0"/>
          <w:sz w:val="24"/>
        </w:rPr>
        <w:t>交易明细</w:t>
      </w:r>
    </w:p>
    <w:p w:rsidR="005E64DA" w:rsidRPr="00A67563" w:rsidRDefault="00BB5F3D" w:rsidP="00E2281D">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本报告期内基金管理人未运用固有资金申购、赎回、买卖本基金份额。</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w:t>
      </w:r>
      <w:r w:rsidR="002711AA" w:rsidRPr="00A67563">
        <w:rPr>
          <w:color w:val="000000" w:themeColor="text1"/>
          <w:kern w:val="0"/>
          <w:sz w:val="24"/>
          <w:szCs w:val="24"/>
        </w:rPr>
        <w:t>8</w:t>
      </w:r>
      <w:r w:rsidR="00BD7FC1" w:rsidRPr="00A67563">
        <w:rPr>
          <w:bCs w:val="0"/>
          <w:color w:val="000000" w:themeColor="text1"/>
          <w:kern w:val="2"/>
          <w:sz w:val="24"/>
          <w:szCs w:val="24"/>
        </w:rPr>
        <w:t xml:space="preserve">  </w:t>
      </w:r>
      <w:r w:rsidRPr="00A67563">
        <w:rPr>
          <w:color w:val="000000" w:themeColor="text1"/>
          <w:kern w:val="0"/>
          <w:sz w:val="24"/>
          <w:szCs w:val="24"/>
        </w:rPr>
        <w:t>备查文件目录</w:t>
      </w: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1</w:t>
      </w:r>
      <w:r w:rsidR="008975BC" w:rsidRPr="00A67563">
        <w:rPr>
          <w:b/>
          <w:bCs/>
          <w:color w:val="000000" w:themeColor="text1"/>
          <w:kern w:val="0"/>
          <w:sz w:val="24"/>
        </w:rPr>
        <w:t xml:space="preserve"> </w:t>
      </w:r>
      <w:r w:rsidR="008975BC" w:rsidRPr="00A67563">
        <w:rPr>
          <w:b/>
          <w:bCs/>
          <w:color w:val="000000" w:themeColor="text1"/>
          <w:kern w:val="0"/>
          <w:sz w:val="24"/>
        </w:rPr>
        <w:t>备查文件目录</w:t>
      </w:r>
    </w:p>
    <w:p w:rsidR="005027ED" w:rsidRDefault="00465027">
      <w:pPr>
        <w:spacing w:line="360" w:lineRule="auto"/>
        <w:ind w:firstLineChars="200" w:firstLine="480"/>
        <w:rPr>
          <w:color w:val="000000" w:themeColor="text1"/>
          <w:sz w:val="24"/>
        </w:rPr>
      </w:pPr>
      <w:r>
        <w:rPr>
          <w:color w:val="000000" w:themeColor="text1"/>
          <w:sz w:val="24"/>
        </w:rPr>
        <w:t>1.</w:t>
      </w:r>
      <w:r>
        <w:rPr>
          <w:color w:val="000000" w:themeColor="text1"/>
          <w:sz w:val="24"/>
        </w:rPr>
        <w:t>中国证监会准予易方达原油证券投资基金（</w:t>
      </w:r>
      <w:r>
        <w:rPr>
          <w:color w:val="000000" w:themeColor="text1"/>
          <w:sz w:val="24"/>
        </w:rPr>
        <w:t>QDII</w:t>
      </w:r>
      <w:r>
        <w:rPr>
          <w:color w:val="000000" w:themeColor="text1"/>
          <w:sz w:val="24"/>
        </w:rPr>
        <w:t>）注册的文件；</w:t>
      </w:r>
    </w:p>
    <w:p w:rsidR="005027ED" w:rsidRDefault="00465027">
      <w:pPr>
        <w:spacing w:line="360" w:lineRule="auto"/>
        <w:ind w:firstLineChars="200" w:firstLine="480"/>
        <w:rPr>
          <w:color w:val="000000" w:themeColor="text1"/>
          <w:sz w:val="24"/>
        </w:rPr>
      </w:pPr>
      <w:r>
        <w:rPr>
          <w:color w:val="000000" w:themeColor="text1"/>
          <w:sz w:val="24"/>
        </w:rPr>
        <w:t>2.</w:t>
      </w:r>
      <w:r>
        <w:rPr>
          <w:color w:val="000000" w:themeColor="text1"/>
          <w:sz w:val="24"/>
        </w:rPr>
        <w:t>《易方达原油证券投资基金（</w:t>
      </w:r>
      <w:r>
        <w:rPr>
          <w:color w:val="000000" w:themeColor="text1"/>
          <w:sz w:val="24"/>
        </w:rPr>
        <w:t>QDII</w:t>
      </w:r>
      <w:r>
        <w:rPr>
          <w:color w:val="000000" w:themeColor="text1"/>
          <w:sz w:val="24"/>
        </w:rPr>
        <w:t>）基金合同》；</w:t>
      </w:r>
    </w:p>
    <w:p w:rsidR="005027ED" w:rsidRDefault="00465027">
      <w:pPr>
        <w:spacing w:line="360" w:lineRule="auto"/>
        <w:ind w:firstLineChars="200" w:firstLine="480"/>
        <w:rPr>
          <w:color w:val="000000" w:themeColor="text1"/>
          <w:sz w:val="24"/>
        </w:rPr>
      </w:pPr>
      <w:r>
        <w:rPr>
          <w:color w:val="000000" w:themeColor="text1"/>
          <w:sz w:val="24"/>
        </w:rPr>
        <w:t>3.</w:t>
      </w:r>
      <w:r>
        <w:rPr>
          <w:color w:val="000000" w:themeColor="text1"/>
          <w:sz w:val="24"/>
        </w:rPr>
        <w:t>《易方达原油证券投资基金（</w:t>
      </w:r>
      <w:r>
        <w:rPr>
          <w:color w:val="000000" w:themeColor="text1"/>
          <w:sz w:val="24"/>
        </w:rPr>
        <w:t>QDII</w:t>
      </w:r>
      <w:r>
        <w:rPr>
          <w:color w:val="000000" w:themeColor="text1"/>
          <w:sz w:val="24"/>
        </w:rPr>
        <w:t>）托管协议》；</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4.</w:t>
      </w:r>
      <w:r w:rsidRPr="00A67563">
        <w:rPr>
          <w:color w:val="000000" w:themeColor="text1"/>
          <w:sz w:val="24"/>
        </w:rPr>
        <w:t>基金管理人业务资格批件和营业执照。</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2</w:t>
      </w:r>
      <w:r w:rsidR="008975BC" w:rsidRPr="00A67563">
        <w:rPr>
          <w:b/>
          <w:bCs/>
          <w:color w:val="000000" w:themeColor="text1"/>
          <w:kern w:val="0"/>
          <w:sz w:val="24"/>
        </w:rPr>
        <w:t xml:space="preserve"> </w:t>
      </w:r>
      <w:r w:rsidR="008975BC" w:rsidRPr="00A67563">
        <w:rPr>
          <w:b/>
          <w:bCs/>
          <w:color w:val="000000" w:themeColor="text1"/>
          <w:kern w:val="0"/>
          <w:sz w:val="24"/>
        </w:rPr>
        <w:t>存放地点</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广州市天河区珠江新城珠江东路</w:t>
      </w:r>
      <w:r w:rsidRPr="00A67563">
        <w:rPr>
          <w:color w:val="000000" w:themeColor="text1"/>
          <w:sz w:val="24"/>
        </w:rPr>
        <w:t>30</w:t>
      </w:r>
      <w:r w:rsidRPr="00A67563">
        <w:rPr>
          <w:color w:val="000000" w:themeColor="text1"/>
          <w:sz w:val="24"/>
        </w:rPr>
        <w:t>号广州银行大厦</w:t>
      </w:r>
      <w:r w:rsidRPr="00A67563">
        <w:rPr>
          <w:color w:val="000000" w:themeColor="text1"/>
          <w:sz w:val="24"/>
        </w:rPr>
        <w:t>40-43</w:t>
      </w:r>
      <w:r w:rsidRPr="00A67563">
        <w:rPr>
          <w:color w:val="000000" w:themeColor="text1"/>
          <w:sz w:val="24"/>
        </w:rPr>
        <w:t>楼。</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3</w:t>
      </w:r>
      <w:r w:rsidR="008975BC" w:rsidRPr="00A67563">
        <w:rPr>
          <w:b/>
          <w:bCs/>
          <w:color w:val="000000" w:themeColor="text1"/>
          <w:kern w:val="0"/>
          <w:sz w:val="24"/>
        </w:rPr>
        <w:t xml:space="preserve"> </w:t>
      </w:r>
      <w:r w:rsidR="008975BC" w:rsidRPr="00A67563">
        <w:rPr>
          <w:b/>
          <w:bCs/>
          <w:color w:val="000000" w:themeColor="text1"/>
          <w:kern w:val="0"/>
          <w:sz w:val="24"/>
        </w:rPr>
        <w:t>查阅方式</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投资者可在营业时间免费查阅，也可按工本费购买复印件。</w:t>
      </w:r>
    </w:p>
    <w:p w:rsidR="0076518F" w:rsidRPr="00A67563" w:rsidRDefault="0076518F" w:rsidP="008B6A4A">
      <w:pPr>
        <w:spacing w:line="360" w:lineRule="auto"/>
        <w:ind w:firstLineChars="200" w:firstLine="480"/>
        <w:rPr>
          <w:color w:val="000000" w:themeColor="text1"/>
          <w:sz w:val="24"/>
        </w:rPr>
      </w:pPr>
    </w:p>
    <w:p w:rsidR="008A2EC6" w:rsidRPr="00A67563" w:rsidRDefault="008A2EC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76518F" w:rsidRPr="00A67563" w:rsidRDefault="0076518F" w:rsidP="008B6A4A">
      <w:pPr>
        <w:spacing w:line="360" w:lineRule="auto"/>
        <w:ind w:firstLineChars="200" w:firstLine="480"/>
        <w:rPr>
          <w:color w:val="000000" w:themeColor="text1"/>
          <w:sz w:val="24"/>
        </w:rPr>
      </w:pPr>
    </w:p>
    <w:p w:rsidR="008975BC" w:rsidRPr="00A67563" w:rsidRDefault="008975BC" w:rsidP="000C7596">
      <w:pPr>
        <w:spacing w:line="360" w:lineRule="auto"/>
        <w:jc w:val="right"/>
        <w:rPr>
          <w:b/>
          <w:bCs/>
          <w:color w:val="000000" w:themeColor="text1"/>
          <w:sz w:val="24"/>
        </w:rPr>
      </w:pPr>
      <w:r w:rsidRPr="00A67563">
        <w:rPr>
          <w:b/>
          <w:bCs/>
          <w:color w:val="000000" w:themeColor="text1"/>
          <w:sz w:val="24"/>
        </w:rPr>
        <w:t>易方达基金管理有限公司</w:t>
      </w:r>
    </w:p>
    <w:p w:rsidR="0076518F" w:rsidRPr="00A67563" w:rsidRDefault="00623556" w:rsidP="000C7596">
      <w:pPr>
        <w:spacing w:line="360" w:lineRule="auto"/>
        <w:jc w:val="right"/>
        <w:rPr>
          <w:b/>
          <w:bCs/>
          <w:color w:val="000000" w:themeColor="text1"/>
          <w:sz w:val="24"/>
        </w:rPr>
      </w:pPr>
      <w:r w:rsidRPr="00A67563">
        <w:rPr>
          <w:b/>
          <w:bCs/>
          <w:color w:val="000000" w:themeColor="text1"/>
          <w:sz w:val="24"/>
        </w:rPr>
        <w:t>二〇一九年十月二十四日</w:t>
      </w:r>
    </w:p>
    <w:sectPr w:rsidR="0076518F" w:rsidRPr="00A67563"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E0" w:rsidRDefault="00F976E0">
      <w:r>
        <w:separator/>
      </w:r>
    </w:p>
  </w:endnote>
  <w:endnote w:type="continuationSeparator" w:id="0">
    <w:p w:rsidR="00F976E0" w:rsidRDefault="00F9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1D0DB0" w:rsidRDefault="00845292" w:rsidP="00B918B8">
    <w:pPr>
      <w:pStyle w:val="a6"/>
      <w:jc w:val="center"/>
    </w:pPr>
    <w:r>
      <w:rPr>
        <w:rFonts w:hint="eastAsia"/>
        <w:kern w:val="0"/>
        <w:szCs w:val="21"/>
      </w:rPr>
      <w:t>第</w:t>
    </w:r>
    <w:r w:rsidR="00C2458C">
      <w:rPr>
        <w:kern w:val="0"/>
        <w:szCs w:val="21"/>
      </w:rPr>
      <w:fldChar w:fldCharType="begin"/>
    </w:r>
    <w:r>
      <w:rPr>
        <w:kern w:val="0"/>
        <w:szCs w:val="21"/>
      </w:rPr>
      <w:instrText xml:space="preserve"> PAGE </w:instrText>
    </w:r>
    <w:r w:rsidR="00C2458C">
      <w:rPr>
        <w:kern w:val="0"/>
        <w:szCs w:val="21"/>
      </w:rPr>
      <w:fldChar w:fldCharType="separate"/>
    </w:r>
    <w:r w:rsidR="00465027">
      <w:rPr>
        <w:noProof/>
        <w:kern w:val="0"/>
        <w:szCs w:val="21"/>
      </w:rPr>
      <w:t>1</w:t>
    </w:r>
    <w:r w:rsidR="00C2458C">
      <w:rPr>
        <w:kern w:val="0"/>
        <w:szCs w:val="21"/>
      </w:rPr>
      <w:fldChar w:fldCharType="end"/>
    </w:r>
    <w:r>
      <w:rPr>
        <w:rFonts w:hint="eastAsia"/>
        <w:kern w:val="0"/>
        <w:szCs w:val="21"/>
      </w:rPr>
      <w:t>页共</w:t>
    </w:r>
    <w:r w:rsidR="00C2458C">
      <w:rPr>
        <w:kern w:val="0"/>
        <w:szCs w:val="21"/>
      </w:rPr>
      <w:fldChar w:fldCharType="begin"/>
    </w:r>
    <w:r>
      <w:rPr>
        <w:kern w:val="0"/>
        <w:szCs w:val="21"/>
      </w:rPr>
      <w:instrText xml:space="preserve"> NUMPAGES </w:instrText>
    </w:r>
    <w:r w:rsidR="00C2458C">
      <w:rPr>
        <w:kern w:val="0"/>
        <w:szCs w:val="21"/>
      </w:rPr>
      <w:fldChar w:fldCharType="separate"/>
    </w:r>
    <w:r w:rsidR="00465027">
      <w:rPr>
        <w:noProof/>
        <w:kern w:val="0"/>
        <w:szCs w:val="21"/>
      </w:rPr>
      <w:t>4</w:t>
    </w:r>
    <w:r w:rsidR="00C2458C">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C2458C">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end"/>
    </w:r>
  </w:p>
  <w:p w:rsidR="00845292" w:rsidRDefault="008452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C2458C">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separate"/>
    </w:r>
    <w:r w:rsidR="00465027">
      <w:rPr>
        <w:rStyle w:val="a7"/>
        <w:noProof/>
      </w:rPr>
      <w:t>15</w:t>
    </w:r>
    <w:r>
      <w:rPr>
        <w:rStyle w:val="a7"/>
      </w:rPr>
      <w:fldChar w:fldCharType="end"/>
    </w:r>
  </w:p>
  <w:p w:rsidR="00845292" w:rsidRDefault="0084529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E0" w:rsidRDefault="00F976E0">
      <w:r>
        <w:separator/>
      </w:r>
    </w:p>
  </w:footnote>
  <w:footnote w:type="continuationSeparator" w:id="0">
    <w:p w:rsidR="00F976E0" w:rsidRDefault="00F97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6669C9" w:rsidRDefault="00845292" w:rsidP="001D1356">
    <w:pPr>
      <w:pStyle w:val="a9"/>
      <w:pBdr>
        <w:bottom w:val="single" w:sz="6" w:space="0" w:color="auto"/>
      </w:pBdr>
      <w:jc w:val="right"/>
    </w:pPr>
    <w:r w:rsidRPr="006669C9">
      <w:t>易方达原油证券投资基金（</w:t>
    </w:r>
    <w:r w:rsidRPr="006669C9">
      <w:t>QDII</w:t>
    </w:r>
    <w:r w:rsidRPr="006669C9">
      <w:t>）</w:t>
    </w:r>
    <w:r w:rsidRPr="006669C9">
      <w:t>2019</w:t>
    </w:r>
    <w:r w:rsidRPr="006669C9">
      <w:t>年第</w:t>
    </w:r>
    <w:r w:rsidRPr="006669C9">
      <w:t>3</w:t>
    </w:r>
    <w:r w:rsidRPr="006669C9">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7581"/>
    <w:rsid w:val="00017739"/>
    <w:rsid w:val="00020583"/>
    <w:rsid w:val="00021DD4"/>
    <w:rsid w:val="0002303F"/>
    <w:rsid w:val="00023BE7"/>
    <w:rsid w:val="00026BFF"/>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610C"/>
    <w:rsid w:val="000876A0"/>
    <w:rsid w:val="00087CF7"/>
    <w:rsid w:val="00094876"/>
    <w:rsid w:val="00095912"/>
    <w:rsid w:val="00095CE0"/>
    <w:rsid w:val="000965F7"/>
    <w:rsid w:val="000965FC"/>
    <w:rsid w:val="00096933"/>
    <w:rsid w:val="00097230"/>
    <w:rsid w:val="000A09BE"/>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76"/>
    <w:rsid w:val="000C7596"/>
    <w:rsid w:val="000D01F4"/>
    <w:rsid w:val="000D121F"/>
    <w:rsid w:val="000D1519"/>
    <w:rsid w:val="000E1F7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26FC"/>
    <w:rsid w:val="00142A56"/>
    <w:rsid w:val="00143B45"/>
    <w:rsid w:val="00144DF5"/>
    <w:rsid w:val="001457F4"/>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325A"/>
    <w:rsid w:val="00184DA0"/>
    <w:rsid w:val="00186199"/>
    <w:rsid w:val="0018734E"/>
    <w:rsid w:val="001928F7"/>
    <w:rsid w:val="00194537"/>
    <w:rsid w:val="00194F40"/>
    <w:rsid w:val="001A21A9"/>
    <w:rsid w:val="001A2E94"/>
    <w:rsid w:val="001A59D8"/>
    <w:rsid w:val="001A5FA6"/>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166D"/>
    <w:rsid w:val="002224FF"/>
    <w:rsid w:val="00222E8C"/>
    <w:rsid w:val="002236BC"/>
    <w:rsid w:val="00223DBB"/>
    <w:rsid w:val="00225051"/>
    <w:rsid w:val="002273CA"/>
    <w:rsid w:val="00232846"/>
    <w:rsid w:val="00233B7F"/>
    <w:rsid w:val="002347A7"/>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55D4"/>
    <w:rsid w:val="00265865"/>
    <w:rsid w:val="00267D54"/>
    <w:rsid w:val="002711AA"/>
    <w:rsid w:val="00273F86"/>
    <w:rsid w:val="002758B5"/>
    <w:rsid w:val="00276834"/>
    <w:rsid w:val="002774F0"/>
    <w:rsid w:val="00280566"/>
    <w:rsid w:val="00281DBD"/>
    <w:rsid w:val="00284519"/>
    <w:rsid w:val="0028459B"/>
    <w:rsid w:val="00284C5F"/>
    <w:rsid w:val="00285ABF"/>
    <w:rsid w:val="002873F0"/>
    <w:rsid w:val="00291151"/>
    <w:rsid w:val="002964F9"/>
    <w:rsid w:val="00297B13"/>
    <w:rsid w:val="00297E05"/>
    <w:rsid w:val="00297E9F"/>
    <w:rsid w:val="002A0FA2"/>
    <w:rsid w:val="002A1F14"/>
    <w:rsid w:val="002A2678"/>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678"/>
    <w:rsid w:val="002C26D5"/>
    <w:rsid w:val="002C5777"/>
    <w:rsid w:val="002D31BB"/>
    <w:rsid w:val="002D32E3"/>
    <w:rsid w:val="002D6955"/>
    <w:rsid w:val="002E0FEB"/>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45DA"/>
    <w:rsid w:val="0037468D"/>
    <w:rsid w:val="00376A15"/>
    <w:rsid w:val="00376E96"/>
    <w:rsid w:val="00377520"/>
    <w:rsid w:val="00380D36"/>
    <w:rsid w:val="00380FB5"/>
    <w:rsid w:val="003822D3"/>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1E6A"/>
    <w:rsid w:val="00443C8F"/>
    <w:rsid w:val="00450AA3"/>
    <w:rsid w:val="00452481"/>
    <w:rsid w:val="004567C5"/>
    <w:rsid w:val="00457804"/>
    <w:rsid w:val="00462B61"/>
    <w:rsid w:val="00464283"/>
    <w:rsid w:val="004646BF"/>
    <w:rsid w:val="00464744"/>
    <w:rsid w:val="00465027"/>
    <w:rsid w:val="004665E3"/>
    <w:rsid w:val="00466B17"/>
    <w:rsid w:val="004705EB"/>
    <w:rsid w:val="004721EF"/>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6C8B"/>
    <w:rsid w:val="00497079"/>
    <w:rsid w:val="00497E38"/>
    <w:rsid w:val="004A0BD6"/>
    <w:rsid w:val="004A1493"/>
    <w:rsid w:val="004A1BBA"/>
    <w:rsid w:val="004A3039"/>
    <w:rsid w:val="004A3E3C"/>
    <w:rsid w:val="004B0E6D"/>
    <w:rsid w:val="004B16E8"/>
    <w:rsid w:val="004B254D"/>
    <w:rsid w:val="004B327C"/>
    <w:rsid w:val="004B38A1"/>
    <w:rsid w:val="004B3F56"/>
    <w:rsid w:val="004B6250"/>
    <w:rsid w:val="004B76B1"/>
    <w:rsid w:val="004C0057"/>
    <w:rsid w:val="004C0541"/>
    <w:rsid w:val="004C05F3"/>
    <w:rsid w:val="004C2C46"/>
    <w:rsid w:val="004C30D5"/>
    <w:rsid w:val="004C52A1"/>
    <w:rsid w:val="004C7235"/>
    <w:rsid w:val="004C7955"/>
    <w:rsid w:val="004C7C9D"/>
    <w:rsid w:val="004D047F"/>
    <w:rsid w:val="004D3971"/>
    <w:rsid w:val="004D3D96"/>
    <w:rsid w:val="004D650F"/>
    <w:rsid w:val="004E2133"/>
    <w:rsid w:val="004E60FB"/>
    <w:rsid w:val="004F16AD"/>
    <w:rsid w:val="004F6565"/>
    <w:rsid w:val="004F779C"/>
    <w:rsid w:val="004F7846"/>
    <w:rsid w:val="005000D4"/>
    <w:rsid w:val="00501BB1"/>
    <w:rsid w:val="005027ED"/>
    <w:rsid w:val="00505BE7"/>
    <w:rsid w:val="00506786"/>
    <w:rsid w:val="00506D57"/>
    <w:rsid w:val="00507F26"/>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291C"/>
    <w:rsid w:val="00565A63"/>
    <w:rsid w:val="00566588"/>
    <w:rsid w:val="00571BD3"/>
    <w:rsid w:val="0057275D"/>
    <w:rsid w:val="005749DF"/>
    <w:rsid w:val="005800A9"/>
    <w:rsid w:val="00580488"/>
    <w:rsid w:val="0058074D"/>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6CF5"/>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094A"/>
    <w:rsid w:val="00671124"/>
    <w:rsid w:val="006727B0"/>
    <w:rsid w:val="0067307E"/>
    <w:rsid w:val="00686EC0"/>
    <w:rsid w:val="00687AD5"/>
    <w:rsid w:val="00691153"/>
    <w:rsid w:val="00695251"/>
    <w:rsid w:val="00695ADE"/>
    <w:rsid w:val="00695C0D"/>
    <w:rsid w:val="00696356"/>
    <w:rsid w:val="006A1DAE"/>
    <w:rsid w:val="006A2C8E"/>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0BCB"/>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284"/>
    <w:rsid w:val="007756ED"/>
    <w:rsid w:val="007870FC"/>
    <w:rsid w:val="00787CD0"/>
    <w:rsid w:val="00791053"/>
    <w:rsid w:val="00791A3A"/>
    <w:rsid w:val="00791BB9"/>
    <w:rsid w:val="00794196"/>
    <w:rsid w:val="00794251"/>
    <w:rsid w:val="00796EC9"/>
    <w:rsid w:val="00797637"/>
    <w:rsid w:val="00797DD2"/>
    <w:rsid w:val="007A3680"/>
    <w:rsid w:val="007A59B8"/>
    <w:rsid w:val="007A75F5"/>
    <w:rsid w:val="007B2862"/>
    <w:rsid w:val="007B662A"/>
    <w:rsid w:val="007B73ED"/>
    <w:rsid w:val="007D1292"/>
    <w:rsid w:val="007D28C9"/>
    <w:rsid w:val="007D3CC8"/>
    <w:rsid w:val="007D5584"/>
    <w:rsid w:val="007D62A3"/>
    <w:rsid w:val="007D62F9"/>
    <w:rsid w:val="007D63A4"/>
    <w:rsid w:val="007E1AA2"/>
    <w:rsid w:val="007E303C"/>
    <w:rsid w:val="007E4C1F"/>
    <w:rsid w:val="007F0759"/>
    <w:rsid w:val="007F25C0"/>
    <w:rsid w:val="007F26D5"/>
    <w:rsid w:val="007F4CD3"/>
    <w:rsid w:val="007F5F52"/>
    <w:rsid w:val="007F768B"/>
    <w:rsid w:val="007F77C6"/>
    <w:rsid w:val="008003A1"/>
    <w:rsid w:val="008006B7"/>
    <w:rsid w:val="00800FDB"/>
    <w:rsid w:val="00801249"/>
    <w:rsid w:val="00802081"/>
    <w:rsid w:val="00806461"/>
    <w:rsid w:val="0081096D"/>
    <w:rsid w:val="00810EAD"/>
    <w:rsid w:val="00811833"/>
    <w:rsid w:val="008118B6"/>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712A3"/>
    <w:rsid w:val="00871E07"/>
    <w:rsid w:val="00872CE4"/>
    <w:rsid w:val="00877B62"/>
    <w:rsid w:val="00877D98"/>
    <w:rsid w:val="00881015"/>
    <w:rsid w:val="008810B0"/>
    <w:rsid w:val="008819B6"/>
    <w:rsid w:val="00881AAC"/>
    <w:rsid w:val="0088256A"/>
    <w:rsid w:val="008836B7"/>
    <w:rsid w:val="008841D3"/>
    <w:rsid w:val="00884359"/>
    <w:rsid w:val="00887C7E"/>
    <w:rsid w:val="00887DE6"/>
    <w:rsid w:val="00890172"/>
    <w:rsid w:val="008911D2"/>
    <w:rsid w:val="00893048"/>
    <w:rsid w:val="00894C2A"/>
    <w:rsid w:val="008975BC"/>
    <w:rsid w:val="00897708"/>
    <w:rsid w:val="00897D88"/>
    <w:rsid w:val="00897E6F"/>
    <w:rsid w:val="008A2EC6"/>
    <w:rsid w:val="008A2F16"/>
    <w:rsid w:val="008A6D69"/>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E37"/>
    <w:rsid w:val="00925EDD"/>
    <w:rsid w:val="00927D0E"/>
    <w:rsid w:val="009309DA"/>
    <w:rsid w:val="0093260B"/>
    <w:rsid w:val="00936688"/>
    <w:rsid w:val="00936891"/>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3250"/>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2A25"/>
    <w:rsid w:val="009F5235"/>
    <w:rsid w:val="009F531A"/>
    <w:rsid w:val="009F6550"/>
    <w:rsid w:val="009F786E"/>
    <w:rsid w:val="00A00902"/>
    <w:rsid w:val="00A039FF"/>
    <w:rsid w:val="00A05ACE"/>
    <w:rsid w:val="00A14AE3"/>
    <w:rsid w:val="00A16675"/>
    <w:rsid w:val="00A22CD6"/>
    <w:rsid w:val="00A22D4B"/>
    <w:rsid w:val="00A234EC"/>
    <w:rsid w:val="00A2417A"/>
    <w:rsid w:val="00A27804"/>
    <w:rsid w:val="00A32FDA"/>
    <w:rsid w:val="00A35A8D"/>
    <w:rsid w:val="00A36AB5"/>
    <w:rsid w:val="00A37DDA"/>
    <w:rsid w:val="00A411D1"/>
    <w:rsid w:val="00A41566"/>
    <w:rsid w:val="00A421B6"/>
    <w:rsid w:val="00A43389"/>
    <w:rsid w:val="00A43C40"/>
    <w:rsid w:val="00A43E71"/>
    <w:rsid w:val="00A45753"/>
    <w:rsid w:val="00A47B15"/>
    <w:rsid w:val="00A47E47"/>
    <w:rsid w:val="00A52F84"/>
    <w:rsid w:val="00A56AA4"/>
    <w:rsid w:val="00A56B05"/>
    <w:rsid w:val="00A57678"/>
    <w:rsid w:val="00A60E2F"/>
    <w:rsid w:val="00A63127"/>
    <w:rsid w:val="00A63284"/>
    <w:rsid w:val="00A64CB8"/>
    <w:rsid w:val="00A67018"/>
    <w:rsid w:val="00A672F3"/>
    <w:rsid w:val="00A673DC"/>
    <w:rsid w:val="00A67563"/>
    <w:rsid w:val="00A7076E"/>
    <w:rsid w:val="00A707A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5D7F"/>
    <w:rsid w:val="00AE79F0"/>
    <w:rsid w:val="00AE7D44"/>
    <w:rsid w:val="00AF4FE7"/>
    <w:rsid w:val="00AF65C5"/>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26CF4"/>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EFD"/>
    <w:rsid w:val="00C013E1"/>
    <w:rsid w:val="00C01611"/>
    <w:rsid w:val="00C01C01"/>
    <w:rsid w:val="00C02C6D"/>
    <w:rsid w:val="00C02D59"/>
    <w:rsid w:val="00C030B6"/>
    <w:rsid w:val="00C03284"/>
    <w:rsid w:val="00C04855"/>
    <w:rsid w:val="00C050D7"/>
    <w:rsid w:val="00C05B5F"/>
    <w:rsid w:val="00C0667A"/>
    <w:rsid w:val="00C104CC"/>
    <w:rsid w:val="00C130C1"/>
    <w:rsid w:val="00C147DA"/>
    <w:rsid w:val="00C152FE"/>
    <w:rsid w:val="00C16739"/>
    <w:rsid w:val="00C22CCE"/>
    <w:rsid w:val="00C23BA2"/>
    <w:rsid w:val="00C2458C"/>
    <w:rsid w:val="00C25D0C"/>
    <w:rsid w:val="00C32AF2"/>
    <w:rsid w:val="00C33204"/>
    <w:rsid w:val="00C338EB"/>
    <w:rsid w:val="00C33E2E"/>
    <w:rsid w:val="00C3465D"/>
    <w:rsid w:val="00C379E9"/>
    <w:rsid w:val="00C37E98"/>
    <w:rsid w:val="00C42431"/>
    <w:rsid w:val="00C439FB"/>
    <w:rsid w:val="00C43F23"/>
    <w:rsid w:val="00C442A1"/>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9C2"/>
    <w:rsid w:val="00CB44DE"/>
    <w:rsid w:val="00CB4C8C"/>
    <w:rsid w:val="00CB6782"/>
    <w:rsid w:val="00CB7629"/>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81D"/>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51FD"/>
    <w:rsid w:val="00EB5BC5"/>
    <w:rsid w:val="00EB72C1"/>
    <w:rsid w:val="00EC086C"/>
    <w:rsid w:val="00EC42D0"/>
    <w:rsid w:val="00EC4BA3"/>
    <w:rsid w:val="00EC5CE6"/>
    <w:rsid w:val="00EC638F"/>
    <w:rsid w:val="00EE2ACE"/>
    <w:rsid w:val="00EE4874"/>
    <w:rsid w:val="00EE53EA"/>
    <w:rsid w:val="00EE79A6"/>
    <w:rsid w:val="00EE7FB4"/>
    <w:rsid w:val="00EF0A46"/>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47E2F"/>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951CF"/>
    <w:rsid w:val="00F976E0"/>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8081DEFF-A442-4695-A556-75477ED7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uiPriority w:val="99"/>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uiPriority w:val="99"/>
    <w:rsid w:val="00C503D3"/>
    <w:rPr>
      <w:kern w:val="2"/>
      <w:sz w:val="24"/>
    </w:rPr>
  </w:style>
  <w:style w:type="character" w:styleId="af8">
    <w:name w:val="Strong"/>
    <w:basedOn w:val="a1"/>
    <w:uiPriority w:val="22"/>
    <w:qFormat/>
    <w:rsid w:val="00977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648">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96727229">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164007311">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5093356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164</TotalTime>
  <Pages>4</Pages>
  <Words>1162</Words>
  <Characters>6628</Characters>
  <Application>Microsoft Office Word</Application>
  <DocSecurity>0</DocSecurity>
  <Lines>55</Lines>
  <Paragraphs>15</Paragraphs>
  <ScaleCrop>false</ScaleCrop>
  <Company>TRT. Ltd. Co.</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60</cp:revision>
  <cp:lastPrinted>2019-10-16T13:57:00Z</cp:lastPrinted>
  <dcterms:created xsi:type="dcterms:W3CDTF">2014-12-16T02:40:00Z</dcterms:created>
  <dcterms:modified xsi:type="dcterms:W3CDTF">2019-10-16T13:57:00Z</dcterms:modified>
</cp:coreProperties>
</file>