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D8" w:rsidRPr="00272E0C" w:rsidRDefault="001C36D8" w:rsidP="00074E9F">
      <w:pPr>
        <w:autoSpaceDE w:val="0"/>
        <w:autoSpaceDN w:val="0"/>
        <w:adjustRightInd w:val="0"/>
        <w:spacing w:line="360" w:lineRule="auto"/>
        <w:jc w:val="left"/>
        <w:rPr>
          <w:rFonts w:ascii="宋体" w:cs="Arial"/>
          <w:color w:val="000000"/>
          <w:kern w:val="0"/>
          <w:sz w:val="24"/>
        </w:rPr>
      </w:pPr>
      <w:bookmarkStart w:id="0" w:name="_GoBack"/>
      <w:bookmarkEnd w:id="0"/>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074E9F">
      <w:pPr>
        <w:autoSpaceDE w:val="0"/>
        <w:autoSpaceDN w:val="0"/>
        <w:adjustRightInd w:val="0"/>
        <w:spacing w:line="360" w:lineRule="auto"/>
        <w:jc w:val="left"/>
        <w:rPr>
          <w:rFonts w:ascii="宋体" w:cs="Arial"/>
          <w:color w:val="000000"/>
          <w:kern w:val="0"/>
          <w:sz w:val="24"/>
        </w:rPr>
      </w:pP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易方达并购重组指数分级证券投资基金</w:t>
      </w:r>
    </w:p>
    <w:p w:rsidR="001C36D8" w:rsidRPr="00272E0C" w:rsidRDefault="001C36D8" w:rsidP="007951F3">
      <w:pPr>
        <w:spacing w:line="360" w:lineRule="auto"/>
        <w:jc w:val="center"/>
        <w:rPr>
          <w:rFonts w:ascii="宋体" w:hAnsi="宋体"/>
          <w:b/>
          <w:sz w:val="36"/>
          <w:szCs w:val="36"/>
        </w:rPr>
      </w:pPr>
      <w:r w:rsidRPr="00272E0C">
        <w:rPr>
          <w:rFonts w:ascii="宋体" w:hAnsi="宋体"/>
          <w:b/>
          <w:sz w:val="36"/>
          <w:szCs w:val="36"/>
        </w:rPr>
        <w:t>2019年第3季度报告</w:t>
      </w:r>
    </w:p>
    <w:p w:rsidR="001C36D8" w:rsidRPr="00717C29" w:rsidRDefault="001C36D8" w:rsidP="007951F3">
      <w:pPr>
        <w:spacing w:line="360" w:lineRule="auto"/>
        <w:jc w:val="center"/>
        <w:rPr>
          <w:rFonts w:ascii="宋体" w:hAnsi="宋体"/>
          <w:b/>
          <w:sz w:val="24"/>
          <w:szCs w:val="36"/>
        </w:rPr>
      </w:pPr>
      <w:r w:rsidRPr="00717C29">
        <w:rPr>
          <w:rFonts w:ascii="宋体" w:hAnsi="宋体"/>
          <w:b/>
          <w:sz w:val="24"/>
          <w:szCs w:val="36"/>
        </w:rPr>
        <w:t>2019年9月30日</w:t>
      </w: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jc w:val="center"/>
        <w:rPr>
          <w:rFonts w:ascii="宋体"/>
          <w:b/>
          <w:color w:val="000000"/>
          <w:sz w:val="24"/>
        </w:rPr>
      </w:pPr>
    </w:p>
    <w:p w:rsidR="001C36D8" w:rsidRPr="00272E0C" w:rsidRDefault="001C36D8" w:rsidP="00074E9F">
      <w:pPr>
        <w:spacing w:line="360" w:lineRule="auto"/>
        <w:rPr>
          <w:rFonts w:ascii="宋体"/>
          <w:b/>
          <w:color w:val="000000"/>
          <w:sz w:val="24"/>
        </w:rPr>
      </w:pP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基金管理人：</w:t>
      </w:r>
      <w:r w:rsidRPr="00272E0C">
        <w:rPr>
          <w:rFonts w:ascii="宋体" w:hAnsi="宋体"/>
          <w:b/>
          <w:color w:val="000000"/>
          <w:sz w:val="24"/>
        </w:rPr>
        <w:t>易方达基金管理有限公司</w:t>
      </w:r>
    </w:p>
    <w:p w:rsidR="001C36D8" w:rsidRPr="00272E0C" w:rsidRDefault="001C36D8" w:rsidP="0015779C">
      <w:pPr>
        <w:spacing w:line="360" w:lineRule="auto"/>
        <w:ind w:firstLineChars="900" w:firstLine="2168"/>
        <w:rPr>
          <w:rFonts w:ascii="宋体" w:hAnsi="宋体"/>
          <w:b/>
          <w:color w:val="000000"/>
          <w:sz w:val="24"/>
        </w:rPr>
      </w:pPr>
      <w:r w:rsidRPr="00272E0C">
        <w:rPr>
          <w:rFonts w:ascii="宋体" w:hAnsi="宋体" w:hint="eastAsia"/>
          <w:b/>
          <w:color w:val="000000"/>
          <w:sz w:val="24"/>
        </w:rPr>
        <w:t>基金托管人：</w:t>
      </w:r>
      <w:r w:rsidRPr="00272E0C">
        <w:rPr>
          <w:rFonts w:ascii="宋体" w:hAnsi="宋体"/>
          <w:b/>
          <w:color w:val="000000"/>
          <w:sz w:val="24"/>
        </w:rPr>
        <w:t>中国建设银行股份有限公司</w:t>
      </w:r>
    </w:p>
    <w:p w:rsidR="001C36D8" w:rsidRPr="00272E0C" w:rsidRDefault="001C36D8" w:rsidP="0015779C">
      <w:pPr>
        <w:spacing w:line="360" w:lineRule="auto"/>
        <w:ind w:firstLineChars="900" w:firstLine="2168"/>
        <w:rPr>
          <w:rFonts w:ascii="宋体" w:hAnsi="宋体"/>
          <w:b/>
          <w:color w:val="000000"/>
          <w:sz w:val="24"/>
        </w:rPr>
        <w:sectPr w:rsidR="001C36D8" w:rsidRPr="00272E0C" w:rsidSect="00230A66">
          <w:headerReference w:type="default" r:id="rId7"/>
          <w:footerReference w:type="default" r:id="rId8"/>
          <w:pgSz w:w="11926" w:h="15840"/>
          <w:pgMar w:top="1418" w:right="1418" w:bottom="851" w:left="1418" w:header="851" w:footer="992" w:gutter="0"/>
          <w:cols w:space="720"/>
          <w:noEndnote/>
        </w:sectPr>
      </w:pPr>
      <w:r w:rsidRPr="00272E0C">
        <w:rPr>
          <w:rFonts w:ascii="宋体" w:hAnsi="宋体" w:hint="eastAsia"/>
          <w:b/>
          <w:color w:val="000000"/>
          <w:sz w:val="24"/>
        </w:rPr>
        <w:t>报告送出日期：</w:t>
      </w:r>
      <w:r w:rsidRPr="00272E0C">
        <w:rPr>
          <w:rFonts w:ascii="宋体" w:hAnsi="宋体"/>
          <w:b/>
          <w:color w:val="000000"/>
          <w:sz w:val="24"/>
        </w:rPr>
        <w:t>二〇一九年十月二十四日</w:t>
      </w:r>
    </w:p>
    <w:p w:rsidR="001C36D8" w:rsidRPr="00272E0C" w:rsidRDefault="001C36D8" w:rsidP="005C6DF3">
      <w:pPr>
        <w:pStyle w:val="1"/>
        <w:spacing w:beforeLines="100" w:before="312" w:afterLines="100" w:after="312" w:line="360" w:lineRule="auto"/>
        <w:jc w:val="center"/>
        <w:rPr>
          <w:rFonts w:ascii="宋体" w:cs="Arial"/>
          <w:b w:val="0"/>
          <w:color w:val="000000"/>
          <w:kern w:val="0"/>
          <w:sz w:val="24"/>
          <w:szCs w:val="24"/>
        </w:rPr>
      </w:pPr>
      <w:r w:rsidRPr="00272E0C">
        <w:rPr>
          <w:rFonts w:ascii="宋体" w:hAnsi="宋体" w:cs="Arial" w:hint="eastAsia"/>
          <w:color w:val="000000"/>
          <w:kern w:val="0"/>
          <w:sz w:val="24"/>
          <w:szCs w:val="24"/>
        </w:rPr>
        <w:lastRenderedPageBreak/>
        <w:t>§</w:t>
      </w:r>
      <w:r w:rsidRPr="00272E0C">
        <w:rPr>
          <w:rFonts w:ascii="宋体" w:hAnsi="宋体" w:cs="Arial"/>
          <w:color w:val="000000"/>
          <w:kern w:val="0"/>
          <w:sz w:val="24"/>
          <w:szCs w:val="24"/>
        </w:rPr>
        <w:t xml:space="preserve">1  </w:t>
      </w:r>
      <w:r w:rsidRPr="00272E0C">
        <w:rPr>
          <w:rFonts w:ascii="宋体" w:hAnsi="宋体" w:cs="Arial" w:hint="eastAsia"/>
          <w:color w:val="000000"/>
          <w:kern w:val="0"/>
          <w:sz w:val="24"/>
          <w:szCs w:val="24"/>
        </w:rPr>
        <w:t>重要提示</w:t>
      </w:r>
    </w:p>
    <w:p w:rsidR="00F74B6C" w:rsidRDefault="00D936E6">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74B6C" w:rsidRDefault="00D936E6">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74B6C" w:rsidRDefault="00D936E6">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74B6C" w:rsidRDefault="00D936E6">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F74B6C" w:rsidRDefault="00D936E6">
      <w:pPr>
        <w:spacing w:line="360" w:lineRule="auto"/>
        <w:ind w:firstLineChars="200" w:firstLine="480"/>
        <w:rPr>
          <w:color w:val="000000"/>
          <w:sz w:val="24"/>
        </w:rPr>
      </w:pPr>
      <w:r>
        <w:rPr>
          <w:color w:val="000000"/>
          <w:sz w:val="24"/>
        </w:rPr>
        <w:t>本报告中财务资料未经审计。</w:t>
      </w:r>
    </w:p>
    <w:p w:rsidR="001C36D8" w:rsidRPr="00CC0C03" w:rsidRDefault="001C36D8" w:rsidP="00CC0C03">
      <w:pPr>
        <w:spacing w:line="360" w:lineRule="auto"/>
        <w:ind w:firstLineChars="200" w:firstLine="480"/>
        <w:rPr>
          <w:color w:val="000000"/>
          <w:sz w:val="24"/>
        </w:rPr>
      </w:pPr>
      <w:r w:rsidRPr="00CC0C03">
        <w:rPr>
          <w:color w:val="000000"/>
          <w:sz w:val="24"/>
        </w:rPr>
        <w:t>本报告期自</w:t>
      </w:r>
      <w:r w:rsidRPr="00CC0C03">
        <w:rPr>
          <w:color w:val="000000"/>
          <w:sz w:val="24"/>
        </w:rPr>
        <w:t>2019</w:t>
      </w:r>
      <w:r w:rsidRPr="00CC0C03">
        <w:rPr>
          <w:color w:val="000000"/>
          <w:sz w:val="24"/>
        </w:rPr>
        <w:t>年</w:t>
      </w:r>
      <w:r w:rsidRPr="00CC0C03">
        <w:rPr>
          <w:color w:val="000000"/>
          <w:sz w:val="24"/>
        </w:rPr>
        <w:t>7</w:t>
      </w:r>
      <w:r w:rsidRPr="00CC0C03">
        <w:rPr>
          <w:color w:val="000000"/>
          <w:sz w:val="24"/>
        </w:rPr>
        <w:t>月</w:t>
      </w:r>
      <w:r w:rsidRPr="00CC0C03">
        <w:rPr>
          <w:color w:val="000000"/>
          <w:sz w:val="24"/>
        </w:rPr>
        <w:t>1</w:t>
      </w:r>
      <w:r w:rsidRPr="00CC0C03">
        <w:rPr>
          <w:color w:val="000000"/>
          <w:sz w:val="24"/>
        </w:rPr>
        <w:t>日起至</w:t>
      </w:r>
      <w:r w:rsidRPr="00CC0C03">
        <w:rPr>
          <w:color w:val="000000"/>
          <w:sz w:val="24"/>
        </w:rPr>
        <w:t>9</w:t>
      </w:r>
      <w:r w:rsidRPr="00CC0C03">
        <w:rPr>
          <w:color w:val="000000"/>
          <w:sz w:val="24"/>
        </w:rPr>
        <w:t>月</w:t>
      </w:r>
      <w:r w:rsidRPr="00CC0C03">
        <w:rPr>
          <w:color w:val="000000"/>
          <w:sz w:val="24"/>
        </w:rPr>
        <w:t>30</w:t>
      </w:r>
      <w:r w:rsidRPr="00CC0C03">
        <w:rPr>
          <w:color w:val="000000"/>
          <w:sz w:val="24"/>
        </w:rPr>
        <w:t>日止。</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2  </w:t>
      </w:r>
      <w:r w:rsidRPr="00272E0C">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26"/>
        <w:gridCol w:w="1826"/>
        <w:gridCol w:w="1827"/>
      </w:tblGrid>
      <w:tr w:rsidR="001C36D8" w:rsidRPr="00272E0C" w:rsidTr="007A6BEA">
        <w:tc>
          <w:tcPr>
            <w:tcW w:w="2835" w:type="dxa"/>
          </w:tcPr>
          <w:p w:rsidR="001C36D8" w:rsidRPr="004C6E88" w:rsidRDefault="001C36D8" w:rsidP="007A6BEA">
            <w:pPr>
              <w:adjustRightInd w:val="0"/>
              <w:spacing w:before="29" w:line="360" w:lineRule="auto"/>
              <w:ind w:left="17"/>
              <w:jc w:val="left"/>
              <w:rPr>
                <w:rFonts w:eastAsiaTheme="minorEastAsia"/>
                <w:kern w:val="0"/>
                <w:sz w:val="24"/>
              </w:rPr>
            </w:pPr>
            <w:r w:rsidRPr="004C6E88">
              <w:rPr>
                <w:rFonts w:eastAsiaTheme="minorEastAsia"/>
                <w:kern w:val="0"/>
                <w:sz w:val="24"/>
              </w:rPr>
              <w:t>基金简称</w:t>
            </w:r>
          </w:p>
        </w:tc>
        <w:tc>
          <w:tcPr>
            <w:tcW w:w="5479" w:type="dxa"/>
            <w:gridSpan w:val="3"/>
          </w:tcPr>
          <w:p w:rsidR="001C36D8" w:rsidRPr="004C6E88" w:rsidRDefault="001C36D8"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易方达重组分级</w:t>
            </w:r>
          </w:p>
        </w:tc>
      </w:tr>
      <w:tr w:rsidR="001C36D8" w:rsidRPr="00272E0C" w:rsidTr="002A44F9">
        <w:tc>
          <w:tcPr>
            <w:tcW w:w="2835" w:type="dxa"/>
          </w:tcPr>
          <w:p w:rsidR="001C36D8" w:rsidRPr="004C6E88" w:rsidRDefault="001C36D8">
            <w:pPr>
              <w:adjustRightInd w:val="0"/>
              <w:spacing w:before="29" w:line="360" w:lineRule="auto"/>
              <w:ind w:left="17"/>
              <w:jc w:val="left"/>
              <w:rPr>
                <w:rFonts w:eastAsiaTheme="minorEastAsia"/>
                <w:kern w:val="0"/>
                <w:sz w:val="24"/>
              </w:rPr>
            </w:pPr>
            <w:r w:rsidRPr="004C6E88">
              <w:rPr>
                <w:rFonts w:eastAsiaTheme="minorEastAsia"/>
                <w:kern w:val="0"/>
                <w:sz w:val="24"/>
              </w:rPr>
              <w:t>基金主代码</w:t>
            </w:r>
          </w:p>
        </w:tc>
        <w:tc>
          <w:tcPr>
            <w:tcW w:w="5479" w:type="dxa"/>
            <w:gridSpan w:val="3"/>
          </w:tcPr>
          <w:p w:rsidR="001C36D8" w:rsidRPr="004C6E88" w:rsidRDefault="001C36D8">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161123</w:t>
            </w:r>
          </w:p>
        </w:tc>
      </w:tr>
      <w:tr w:rsidR="003A768B" w:rsidRPr="00272E0C" w:rsidTr="002A44F9">
        <w:tc>
          <w:tcPr>
            <w:tcW w:w="2835" w:type="dxa"/>
          </w:tcPr>
          <w:p w:rsidR="003A768B" w:rsidRPr="004C6E88" w:rsidRDefault="003A768B" w:rsidP="00E43B0B">
            <w:pPr>
              <w:adjustRightInd w:val="0"/>
              <w:spacing w:before="29" w:line="360" w:lineRule="auto"/>
              <w:ind w:left="17"/>
              <w:jc w:val="left"/>
              <w:rPr>
                <w:rFonts w:eastAsiaTheme="minorEastAsia"/>
                <w:kern w:val="0"/>
                <w:sz w:val="24"/>
              </w:rPr>
            </w:pPr>
            <w:r w:rsidRPr="004C6E88">
              <w:rPr>
                <w:rFonts w:eastAsiaTheme="minorEastAsia"/>
                <w:kern w:val="0"/>
                <w:sz w:val="24"/>
              </w:rPr>
              <w:t>交易代码</w:t>
            </w:r>
          </w:p>
        </w:tc>
        <w:tc>
          <w:tcPr>
            <w:tcW w:w="5479" w:type="dxa"/>
            <w:gridSpan w:val="3"/>
          </w:tcPr>
          <w:p w:rsidR="003A768B" w:rsidRPr="004C6E88" w:rsidRDefault="003A768B" w:rsidP="00E43B0B">
            <w:pPr>
              <w:adjustRightInd w:val="0"/>
              <w:spacing w:before="29" w:line="360" w:lineRule="auto"/>
              <w:ind w:left="17"/>
              <w:jc w:val="left"/>
              <w:rPr>
                <w:rFonts w:eastAsiaTheme="minorEastAsia"/>
                <w:color w:val="000000"/>
                <w:kern w:val="0"/>
                <w:sz w:val="24"/>
              </w:rPr>
            </w:pPr>
            <w:r w:rsidRPr="004C6E88">
              <w:rPr>
                <w:rFonts w:eastAsiaTheme="minorEastAsia"/>
                <w:kern w:val="0"/>
                <w:sz w:val="24"/>
              </w:rPr>
              <w:t>161123</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基金运作方式</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契约型开放式、分级基金</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基金合同生效日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kern w:val="0"/>
                <w:sz w:val="24"/>
              </w:rPr>
            </w:pPr>
            <w:r w:rsidRPr="004C6E88">
              <w:rPr>
                <w:rFonts w:eastAsiaTheme="minorEastAsia"/>
                <w:color w:val="000000"/>
                <w:kern w:val="0"/>
                <w:sz w:val="24"/>
              </w:rPr>
              <w:t>2015</w:t>
            </w:r>
            <w:r w:rsidRPr="004C6E88">
              <w:rPr>
                <w:rFonts w:eastAsiaTheme="minorEastAsia"/>
                <w:color w:val="000000"/>
                <w:kern w:val="0"/>
                <w:sz w:val="24"/>
              </w:rPr>
              <w:t>年</w:t>
            </w:r>
            <w:r w:rsidRPr="004C6E88">
              <w:rPr>
                <w:rFonts w:eastAsiaTheme="minorEastAsia"/>
                <w:color w:val="000000"/>
                <w:kern w:val="0"/>
                <w:sz w:val="24"/>
              </w:rPr>
              <w:t>6</w:t>
            </w:r>
            <w:r w:rsidRPr="004C6E88">
              <w:rPr>
                <w:rFonts w:eastAsiaTheme="minorEastAsia"/>
                <w:color w:val="000000"/>
                <w:kern w:val="0"/>
                <w:sz w:val="24"/>
              </w:rPr>
              <w:t>月</w:t>
            </w:r>
            <w:r w:rsidRPr="004C6E88">
              <w:rPr>
                <w:rFonts w:eastAsiaTheme="minorEastAsia"/>
                <w:color w:val="000000"/>
                <w:kern w:val="0"/>
                <w:sz w:val="24"/>
              </w:rPr>
              <w:t>3</w:t>
            </w:r>
            <w:r w:rsidRPr="004C6E88">
              <w:rPr>
                <w:rFonts w:eastAsiaTheme="minorEastAsia"/>
                <w:color w:val="000000"/>
                <w:kern w:val="0"/>
                <w:sz w:val="24"/>
              </w:rPr>
              <w:t>日</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报告期末基金份额总额</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799,342,948.21</w:t>
            </w:r>
            <w:r w:rsidRPr="004C6E88">
              <w:rPr>
                <w:rFonts w:eastAsiaTheme="minorEastAsia"/>
                <w:color w:val="000000"/>
                <w:kern w:val="0"/>
                <w:sz w:val="24"/>
              </w:rPr>
              <w:t>份</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投资目标</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紧密追踪业绩比较基准，追求跟踪偏离度与跟踪误差的最小化。</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投资策略</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可采取其他指数投资技</w:t>
            </w:r>
            <w:r w:rsidRPr="004C6E88">
              <w:rPr>
                <w:rFonts w:eastAsiaTheme="minorEastAsia"/>
                <w:color w:val="000000"/>
                <w:kern w:val="0"/>
                <w:sz w:val="24"/>
              </w:rPr>
              <w:lastRenderedPageBreak/>
              <w:t>术适当调整基金投资组合，以达到紧密跟踪标的指数的目的。</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lastRenderedPageBreak/>
              <w:t>业绩比较基准</w:t>
            </w:r>
          </w:p>
        </w:tc>
        <w:tc>
          <w:tcPr>
            <w:tcW w:w="5479" w:type="dxa"/>
            <w:gridSpan w:val="3"/>
          </w:tcPr>
          <w:p w:rsidR="003A768B" w:rsidRPr="004C6E88" w:rsidRDefault="003A768B" w:rsidP="00CD0AAD">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中证万得并购重组指数收益率</w:t>
            </w:r>
            <w:r w:rsidRPr="004C6E88">
              <w:rPr>
                <w:rFonts w:eastAsiaTheme="minorEastAsia"/>
                <w:color w:val="000000"/>
                <w:kern w:val="0"/>
                <w:sz w:val="24"/>
              </w:rPr>
              <w:t>×95%+</w:t>
            </w:r>
            <w:r w:rsidRPr="004C6E88">
              <w:rPr>
                <w:rFonts w:eastAsiaTheme="minorEastAsia"/>
                <w:color w:val="000000"/>
                <w:kern w:val="0"/>
                <w:sz w:val="24"/>
              </w:rPr>
              <w:t>活期存款利率（税后）</w:t>
            </w:r>
            <w:r w:rsidRPr="004C6E88">
              <w:rPr>
                <w:rFonts w:eastAsiaTheme="minorEastAsia"/>
                <w:color w:val="000000"/>
                <w:kern w:val="0"/>
                <w:sz w:val="24"/>
              </w:rPr>
              <w:t>×5%</w:t>
            </w:r>
          </w:p>
        </w:tc>
      </w:tr>
      <w:tr w:rsidR="003A768B" w:rsidRPr="00272E0C" w:rsidTr="00A008DA">
        <w:tc>
          <w:tcPr>
            <w:tcW w:w="2835" w:type="dxa"/>
          </w:tcPr>
          <w:p w:rsidR="003A768B" w:rsidRPr="004C6E88" w:rsidRDefault="003A768B" w:rsidP="00A008DA">
            <w:pPr>
              <w:adjustRightInd w:val="0"/>
              <w:spacing w:before="29" w:line="360" w:lineRule="auto"/>
              <w:ind w:left="17"/>
              <w:jc w:val="left"/>
              <w:rPr>
                <w:rFonts w:eastAsiaTheme="minorEastAsia"/>
                <w:sz w:val="24"/>
              </w:rPr>
            </w:pPr>
            <w:r w:rsidRPr="004C6E88">
              <w:rPr>
                <w:rFonts w:eastAsiaTheme="minorEastAsia"/>
                <w:kern w:val="0"/>
                <w:sz w:val="24"/>
              </w:rPr>
              <w:t>风险收益特征</w:t>
            </w:r>
          </w:p>
        </w:tc>
        <w:tc>
          <w:tcPr>
            <w:tcW w:w="5479" w:type="dxa"/>
            <w:gridSpan w:val="3"/>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本基金为股票型基金，主要采用完全复制策略跟踪标的指数的表现，其风险收益特征与标的指数相似。长期而言，其风险收益水平高于混合型基金、债券型基金和货币市场基金；</w:t>
            </w:r>
            <w:r w:rsidRPr="004C6E88">
              <w:rPr>
                <w:rFonts w:eastAsiaTheme="minorEastAsia"/>
                <w:color w:val="000000"/>
                <w:kern w:val="0"/>
                <w:sz w:val="24"/>
              </w:rPr>
              <w:t>A</w:t>
            </w:r>
            <w:r w:rsidRPr="004C6E88">
              <w:rPr>
                <w:rFonts w:eastAsiaTheme="minorEastAsia"/>
                <w:color w:val="000000"/>
                <w:kern w:val="0"/>
                <w:sz w:val="24"/>
              </w:rPr>
              <w:t>类份额具有预期风险、收益较低的特征；</w:t>
            </w:r>
            <w:r w:rsidRPr="004C6E88">
              <w:rPr>
                <w:rFonts w:eastAsiaTheme="minorEastAsia"/>
                <w:color w:val="000000"/>
                <w:kern w:val="0"/>
                <w:sz w:val="24"/>
              </w:rPr>
              <w:t>B</w:t>
            </w:r>
            <w:r w:rsidRPr="004C6E88">
              <w:rPr>
                <w:rFonts w:eastAsiaTheme="minorEastAsia"/>
                <w:color w:val="000000"/>
                <w:kern w:val="0"/>
                <w:sz w:val="24"/>
              </w:rPr>
              <w:t>类份额具有预期风险、收益较高的特征。</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基金管理人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易方达基金管理有限公司</w:t>
            </w:r>
          </w:p>
        </w:tc>
      </w:tr>
      <w:tr w:rsidR="003A768B" w:rsidRPr="00272E0C" w:rsidTr="007A6BEA">
        <w:tc>
          <w:tcPr>
            <w:tcW w:w="2835" w:type="dxa"/>
          </w:tcPr>
          <w:p w:rsidR="003A768B" w:rsidRPr="004C6E88" w:rsidRDefault="003A768B" w:rsidP="007A6BEA">
            <w:pPr>
              <w:adjustRightInd w:val="0"/>
              <w:spacing w:before="29" w:line="360" w:lineRule="auto"/>
              <w:ind w:left="17"/>
              <w:jc w:val="left"/>
              <w:rPr>
                <w:rFonts w:eastAsiaTheme="minorEastAsia"/>
                <w:sz w:val="24"/>
              </w:rPr>
            </w:pPr>
            <w:r w:rsidRPr="004C6E88">
              <w:rPr>
                <w:rFonts w:eastAsiaTheme="minorEastAsia"/>
                <w:kern w:val="0"/>
                <w:sz w:val="24"/>
              </w:rPr>
              <w:t>基金托管人</w:t>
            </w:r>
          </w:p>
        </w:tc>
        <w:tc>
          <w:tcPr>
            <w:tcW w:w="5479" w:type="dxa"/>
            <w:gridSpan w:val="3"/>
          </w:tcPr>
          <w:p w:rsidR="003A768B" w:rsidRPr="004C6E88" w:rsidRDefault="003A768B" w:rsidP="007A6BE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中国建设银行股份有限公司</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kern w:val="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级基金的基金简称</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易方达重组分级</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易方达重组分级</w:t>
            </w:r>
            <w:r w:rsidRPr="004C6E88">
              <w:rPr>
                <w:rFonts w:eastAsiaTheme="minorEastAsia"/>
                <w:sz w:val="24"/>
              </w:rPr>
              <w:t>A</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易方达重组分级</w:t>
            </w:r>
            <w:r w:rsidRPr="004C6E88">
              <w:rPr>
                <w:rFonts w:eastAsiaTheme="minorEastAsia"/>
                <w:sz w:val="24"/>
              </w:rPr>
              <w:t>B</w:t>
            </w:r>
          </w:p>
        </w:tc>
      </w:tr>
      <w:tr w:rsidR="002C2DE0" w:rsidRPr="00272E0C" w:rsidTr="00EB3E72">
        <w:tc>
          <w:tcPr>
            <w:tcW w:w="2835" w:type="dxa"/>
          </w:tcPr>
          <w:p w:rsidR="002C2DE0" w:rsidRPr="004C6E88" w:rsidRDefault="002C2DE0"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003168E2">
              <w:rPr>
                <w:rFonts w:eastAsiaTheme="minorEastAsia"/>
                <w:color w:val="000000"/>
                <w:sz w:val="24"/>
              </w:rPr>
              <w:t>级基金</w:t>
            </w:r>
            <w:r w:rsidRPr="004C6E88">
              <w:rPr>
                <w:rFonts w:eastAsiaTheme="minorEastAsia"/>
                <w:color w:val="000000"/>
                <w:sz w:val="24"/>
              </w:rPr>
              <w:t>场内简称</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重组分级</w:t>
            </w:r>
          </w:p>
        </w:tc>
        <w:tc>
          <w:tcPr>
            <w:tcW w:w="1826"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重组</w:t>
            </w:r>
            <w:r w:rsidRPr="004C6E88">
              <w:rPr>
                <w:rFonts w:eastAsiaTheme="minorEastAsia"/>
                <w:sz w:val="24"/>
              </w:rPr>
              <w:t>A</w:t>
            </w:r>
          </w:p>
        </w:tc>
        <w:tc>
          <w:tcPr>
            <w:tcW w:w="1827" w:type="dxa"/>
            <w:vAlign w:val="center"/>
          </w:tcPr>
          <w:p w:rsidR="002C2DE0" w:rsidRPr="004C6E88" w:rsidRDefault="002C2DE0" w:rsidP="00E43B0B">
            <w:pPr>
              <w:rPr>
                <w:rFonts w:eastAsiaTheme="minorEastAsia"/>
                <w:color w:val="000000"/>
                <w:kern w:val="0"/>
                <w:sz w:val="24"/>
              </w:rPr>
            </w:pPr>
            <w:r w:rsidRPr="004C6E88">
              <w:rPr>
                <w:rFonts w:eastAsiaTheme="minorEastAsia"/>
                <w:sz w:val="24"/>
              </w:rPr>
              <w:t>重组</w:t>
            </w:r>
            <w:r w:rsidRPr="004C6E88">
              <w:rPr>
                <w:rFonts w:eastAsiaTheme="minorEastAsia"/>
                <w:sz w:val="24"/>
              </w:rPr>
              <w:t>B</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下属</w:t>
            </w:r>
            <w:r w:rsidR="004C6E88" w:rsidRPr="004C6E88">
              <w:rPr>
                <w:rFonts w:eastAsiaTheme="minorEastAsia"/>
                <w:color w:val="000000"/>
                <w:sz w:val="24"/>
              </w:rPr>
              <w:t>分</w:t>
            </w:r>
            <w:r w:rsidRPr="004C6E88">
              <w:rPr>
                <w:rFonts w:eastAsiaTheme="minorEastAsia"/>
                <w:color w:val="000000"/>
                <w:sz w:val="24"/>
              </w:rPr>
              <w:t>级基金的交易代码</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161123</w:t>
            </w:r>
          </w:p>
        </w:tc>
        <w:tc>
          <w:tcPr>
            <w:tcW w:w="1826" w:type="dxa"/>
            <w:vAlign w:val="center"/>
          </w:tcPr>
          <w:p w:rsidR="003A768B" w:rsidRPr="004C6E88" w:rsidRDefault="003A768B" w:rsidP="007A6BEA">
            <w:pPr>
              <w:jc w:val="left"/>
              <w:rPr>
                <w:rFonts w:eastAsiaTheme="minorEastAsia"/>
                <w:sz w:val="24"/>
              </w:rPr>
            </w:pPr>
            <w:r w:rsidRPr="004C6E88">
              <w:rPr>
                <w:rFonts w:eastAsiaTheme="minorEastAsia"/>
                <w:sz w:val="24"/>
              </w:rPr>
              <w:t>150259</w:t>
            </w:r>
          </w:p>
        </w:tc>
        <w:tc>
          <w:tcPr>
            <w:tcW w:w="1827" w:type="dxa"/>
            <w:vAlign w:val="center"/>
          </w:tcPr>
          <w:p w:rsidR="003A768B" w:rsidRPr="004C6E88" w:rsidRDefault="003A768B" w:rsidP="007A6BEA">
            <w:pPr>
              <w:jc w:val="left"/>
              <w:rPr>
                <w:rFonts w:eastAsiaTheme="minorEastAsia"/>
                <w:sz w:val="24"/>
              </w:rPr>
            </w:pPr>
            <w:r w:rsidRPr="004C6E88">
              <w:rPr>
                <w:rFonts w:eastAsiaTheme="minorEastAsia"/>
                <w:sz w:val="24"/>
              </w:rPr>
              <w:t>150260</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color w:val="000000"/>
                <w:sz w:val="24"/>
              </w:rPr>
            </w:pPr>
            <w:r w:rsidRPr="004C6E88">
              <w:rPr>
                <w:rFonts w:eastAsiaTheme="minorEastAsia"/>
                <w:color w:val="000000"/>
                <w:sz w:val="24"/>
              </w:rPr>
              <w:t>报告期末下属</w:t>
            </w:r>
            <w:r w:rsidR="004C6E88" w:rsidRPr="004C6E88">
              <w:rPr>
                <w:rFonts w:eastAsiaTheme="minorEastAsia"/>
                <w:color w:val="000000"/>
                <w:sz w:val="24"/>
              </w:rPr>
              <w:t>分</w:t>
            </w:r>
            <w:r w:rsidRPr="004C6E88">
              <w:rPr>
                <w:rFonts w:eastAsiaTheme="minorEastAsia"/>
                <w:color w:val="000000"/>
                <w:sz w:val="24"/>
              </w:rPr>
              <w:t>级基金的份额总额</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780,708,078.21</w:t>
            </w:r>
            <w:r w:rsidRPr="004C6E88">
              <w:rPr>
                <w:rFonts w:eastAsiaTheme="minorEastAsia"/>
                <w:color w:val="000000"/>
                <w:kern w:val="0"/>
                <w:sz w:val="24"/>
              </w:rPr>
              <w:t>份</w:t>
            </w:r>
          </w:p>
        </w:tc>
        <w:tc>
          <w:tcPr>
            <w:tcW w:w="1826" w:type="dxa"/>
            <w:vAlign w:val="center"/>
          </w:tcPr>
          <w:p w:rsidR="003A768B" w:rsidRPr="004C6E88" w:rsidRDefault="003A768B" w:rsidP="00057DD3">
            <w:pPr>
              <w:jc w:val="left"/>
              <w:rPr>
                <w:rFonts w:eastAsiaTheme="minorEastAsia"/>
                <w:sz w:val="24"/>
              </w:rPr>
            </w:pPr>
            <w:r w:rsidRPr="004C6E88">
              <w:rPr>
                <w:rFonts w:eastAsiaTheme="minorEastAsia"/>
                <w:sz w:val="24"/>
              </w:rPr>
              <w:t>9,317,435.00</w:t>
            </w:r>
            <w:r w:rsidRPr="004C6E88">
              <w:rPr>
                <w:rFonts w:eastAsiaTheme="minorEastAsia"/>
                <w:color w:val="000000"/>
                <w:kern w:val="0"/>
                <w:sz w:val="24"/>
              </w:rPr>
              <w:t>份</w:t>
            </w:r>
          </w:p>
        </w:tc>
        <w:tc>
          <w:tcPr>
            <w:tcW w:w="1827" w:type="dxa"/>
            <w:vAlign w:val="center"/>
          </w:tcPr>
          <w:p w:rsidR="003A768B" w:rsidRPr="004C6E88" w:rsidRDefault="003A768B" w:rsidP="00057DD3">
            <w:pPr>
              <w:jc w:val="left"/>
              <w:rPr>
                <w:rFonts w:eastAsiaTheme="minorEastAsia"/>
                <w:sz w:val="24"/>
              </w:rPr>
            </w:pPr>
            <w:r w:rsidRPr="004C6E88">
              <w:rPr>
                <w:rFonts w:eastAsiaTheme="minorEastAsia"/>
                <w:sz w:val="24"/>
              </w:rPr>
              <w:t>9,317,435.00</w:t>
            </w:r>
            <w:r w:rsidRPr="004C6E88">
              <w:rPr>
                <w:rFonts w:eastAsiaTheme="minorEastAsia"/>
                <w:color w:val="000000"/>
                <w:kern w:val="0"/>
                <w:sz w:val="24"/>
              </w:rPr>
              <w:t>份</w:t>
            </w:r>
          </w:p>
        </w:tc>
      </w:tr>
      <w:tr w:rsidR="003A768B" w:rsidRPr="00272E0C" w:rsidTr="00EB3E72">
        <w:tc>
          <w:tcPr>
            <w:tcW w:w="2835" w:type="dxa"/>
          </w:tcPr>
          <w:p w:rsidR="003A768B" w:rsidRPr="004C6E88" w:rsidRDefault="003A768B" w:rsidP="004C6E88">
            <w:pPr>
              <w:adjustRightInd w:val="0"/>
              <w:spacing w:before="29" w:line="360" w:lineRule="auto"/>
              <w:ind w:left="17"/>
              <w:jc w:val="left"/>
              <w:rPr>
                <w:rFonts w:eastAsiaTheme="minorEastAsia"/>
                <w:sz w:val="24"/>
              </w:rPr>
            </w:pPr>
            <w:r w:rsidRPr="004C6E88">
              <w:rPr>
                <w:rFonts w:eastAsiaTheme="minorEastAsia"/>
                <w:color w:val="000000"/>
                <w:kern w:val="0"/>
                <w:sz w:val="24"/>
              </w:rPr>
              <w:t>下属</w:t>
            </w:r>
            <w:r w:rsidR="004C6E88" w:rsidRPr="004C6E88">
              <w:rPr>
                <w:rFonts w:eastAsiaTheme="minorEastAsia"/>
                <w:color w:val="000000"/>
                <w:kern w:val="0"/>
                <w:sz w:val="24"/>
              </w:rPr>
              <w:t>分</w:t>
            </w:r>
            <w:r w:rsidRPr="004C6E88">
              <w:rPr>
                <w:rFonts w:eastAsiaTheme="minorEastAsia"/>
                <w:color w:val="000000"/>
                <w:kern w:val="0"/>
                <w:sz w:val="24"/>
              </w:rPr>
              <w:t>级基金的</w:t>
            </w:r>
            <w:r w:rsidRPr="004C6E88">
              <w:rPr>
                <w:rFonts w:eastAsiaTheme="minorEastAsia"/>
                <w:kern w:val="0"/>
                <w:sz w:val="24"/>
              </w:rPr>
              <w:t>风险收益特征</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基础份额为股票型基金，其风险收益水平高于混合型基金、债券型基金和货币市场基金。</w:t>
            </w:r>
          </w:p>
        </w:tc>
        <w:tc>
          <w:tcPr>
            <w:tcW w:w="1826"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A</w:t>
            </w:r>
            <w:r w:rsidRPr="004C6E88">
              <w:rPr>
                <w:rFonts w:eastAsiaTheme="minorEastAsia"/>
                <w:color w:val="000000"/>
                <w:kern w:val="0"/>
                <w:sz w:val="24"/>
              </w:rPr>
              <w:t>类份额的预期收益和预期风险低于基础份额。</w:t>
            </w:r>
          </w:p>
        </w:tc>
        <w:tc>
          <w:tcPr>
            <w:tcW w:w="1827" w:type="dxa"/>
          </w:tcPr>
          <w:p w:rsidR="003A768B" w:rsidRPr="004C6E88" w:rsidRDefault="003A768B" w:rsidP="00A008DA">
            <w:pPr>
              <w:adjustRightInd w:val="0"/>
              <w:spacing w:before="29" w:line="360" w:lineRule="auto"/>
              <w:ind w:left="17"/>
              <w:jc w:val="left"/>
              <w:rPr>
                <w:rFonts w:eastAsiaTheme="minorEastAsia"/>
                <w:color w:val="000000"/>
                <w:sz w:val="24"/>
              </w:rPr>
            </w:pPr>
            <w:r w:rsidRPr="004C6E88">
              <w:rPr>
                <w:rFonts w:eastAsiaTheme="minorEastAsia"/>
                <w:color w:val="000000"/>
                <w:kern w:val="0"/>
                <w:sz w:val="24"/>
              </w:rPr>
              <w:t>与基础份额相比，</w:t>
            </w:r>
            <w:r w:rsidRPr="004C6E88">
              <w:rPr>
                <w:rFonts w:eastAsiaTheme="minorEastAsia"/>
                <w:color w:val="000000"/>
                <w:kern w:val="0"/>
                <w:sz w:val="24"/>
              </w:rPr>
              <w:t>B</w:t>
            </w:r>
            <w:r w:rsidRPr="004C6E88">
              <w:rPr>
                <w:rFonts w:eastAsiaTheme="minorEastAsia"/>
                <w:color w:val="000000"/>
                <w:kern w:val="0"/>
                <w:sz w:val="24"/>
              </w:rPr>
              <w:t>类份额的预期收益和预期风险高于基础份额。</w:t>
            </w:r>
          </w:p>
        </w:tc>
      </w:tr>
    </w:tbl>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3  </w:t>
      </w:r>
      <w:r w:rsidRPr="00272E0C">
        <w:rPr>
          <w:rFonts w:ascii="宋体" w:hAnsi="宋体" w:cs="Arial" w:hint="eastAsia"/>
          <w:color w:val="000000"/>
          <w:kern w:val="0"/>
          <w:sz w:val="24"/>
          <w:szCs w:val="24"/>
        </w:rPr>
        <w:t>主要财务指标和基金净值表现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3.1 </w:t>
      </w:r>
      <w:r w:rsidRPr="00272E0C">
        <w:rPr>
          <w:rFonts w:ascii="宋体" w:hAnsi="宋体" w:cs="Arial" w:hint="eastAsia"/>
          <w:b/>
          <w:color w:val="000000"/>
          <w:kern w:val="0"/>
          <w:sz w:val="24"/>
        </w:rPr>
        <w:t>主要财务指标</w:t>
      </w:r>
    </w:p>
    <w:p w:rsidR="0008378B" w:rsidRPr="006506EF" w:rsidRDefault="0008378B" w:rsidP="0008378B">
      <w:pPr>
        <w:autoSpaceDE w:val="0"/>
        <w:autoSpaceDN w:val="0"/>
        <w:adjustRightInd w:val="0"/>
        <w:spacing w:before="29" w:line="360" w:lineRule="auto"/>
        <w:ind w:left="15"/>
        <w:jc w:val="right"/>
        <w:rPr>
          <w:color w:val="000000"/>
          <w:kern w:val="0"/>
          <w:sz w:val="24"/>
        </w:rPr>
      </w:pPr>
      <w:r w:rsidRPr="006506EF">
        <w:rPr>
          <w:color w:val="000000"/>
          <w:kern w:val="0"/>
          <w:sz w:val="24"/>
        </w:rPr>
        <w:lastRenderedPageBreak/>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08378B" w:rsidRPr="006506EF" w:rsidTr="005D3A22">
        <w:tc>
          <w:tcPr>
            <w:tcW w:w="3402" w:type="dxa"/>
            <w:vAlign w:val="center"/>
          </w:tcPr>
          <w:p w:rsidR="0008378B" w:rsidRPr="006506EF" w:rsidRDefault="0008378B" w:rsidP="005D3A22">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报告期</w:t>
            </w:r>
          </w:p>
          <w:p w:rsidR="0008378B" w:rsidRPr="006506EF" w:rsidRDefault="0008378B" w:rsidP="005D3A22">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08378B" w:rsidRPr="006506EF" w:rsidRDefault="0008378B" w:rsidP="005D3A22">
            <w:pPr>
              <w:adjustRightInd w:val="0"/>
              <w:spacing w:before="29" w:line="360" w:lineRule="auto"/>
              <w:ind w:left="17"/>
              <w:jc w:val="center"/>
              <w:rPr>
                <w:color w:val="000000"/>
                <w:sz w:val="24"/>
              </w:rPr>
            </w:pPr>
            <w:r w:rsidRPr="006506EF">
              <w:rPr>
                <w:color w:val="000000"/>
                <w:sz w:val="24"/>
              </w:rPr>
              <w:t>上期金额</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5,254,061.02</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9,325,024.44</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0.0114</w:t>
            </w:r>
          </w:p>
        </w:tc>
        <w:tc>
          <w:tcPr>
            <w:tcW w:w="2410" w:type="dxa"/>
            <w:hMerge/>
            <w:vAlign w:val="bottom"/>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722,672,296.24</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r w:rsidR="0008378B" w:rsidRPr="006506EF" w:rsidTr="005D3A22">
        <w:trPr>
          <w:trHeight w:val="158"/>
        </w:trPr>
        <w:tc>
          <w:tcPr>
            <w:tcW w:w="3402" w:type="dxa"/>
          </w:tcPr>
          <w:p w:rsidR="0008378B" w:rsidRPr="006506EF" w:rsidRDefault="0008378B" w:rsidP="005D3A22">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0.9041</w:t>
            </w:r>
          </w:p>
        </w:tc>
        <w:tc>
          <w:tcPr>
            <w:tcW w:w="2410" w:type="dxa"/>
            <w:hMerge/>
          </w:tcPr>
          <w:p w:rsidR="0008378B" w:rsidRPr="006506EF" w:rsidRDefault="0008378B" w:rsidP="005D3A22">
            <w:pPr>
              <w:adjustRightInd w:val="0"/>
              <w:spacing w:before="29" w:line="360" w:lineRule="auto"/>
              <w:ind w:left="17"/>
              <w:jc w:val="right"/>
              <w:rPr>
                <w:color w:val="000000"/>
                <w:sz w:val="24"/>
              </w:rPr>
            </w:pPr>
            <w:r w:rsidRPr="006506EF">
              <w:rPr>
                <w:color w:val="000000"/>
                <w:sz w:val="24"/>
              </w:rPr>
              <w:t>-</w:t>
            </w:r>
          </w:p>
        </w:tc>
      </w:tr>
    </w:tbl>
    <w:p w:rsidR="00F74B6C" w:rsidRDefault="00D936E6">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1C36D8" w:rsidRPr="00E43B0B" w:rsidRDefault="0008378B" w:rsidP="00E43B0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3.2 </w:t>
      </w:r>
      <w:r w:rsidRPr="00272E0C">
        <w:rPr>
          <w:rFonts w:ascii="宋体" w:hAnsi="宋体" w:cs="Arial" w:hint="eastAsia"/>
          <w:b/>
          <w:color w:val="000000"/>
          <w:kern w:val="0"/>
          <w:sz w:val="24"/>
        </w:rPr>
        <w:t>基金净值表现</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3.2.1</w:t>
        </w:r>
      </w:smartTag>
      <w:r w:rsidRPr="00272E0C">
        <w:rPr>
          <w:rFonts w:ascii="宋体" w:hAnsi="宋体" w:cs="Arial" w:hint="eastAsia"/>
          <w:b/>
          <w:color w:val="000000"/>
          <w:kern w:val="0"/>
          <w:sz w:val="24"/>
        </w:rPr>
        <w:t>本报告期基金份额净值增长率及其与同期业绩比较基准收益率的比较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5"/>
        <w:gridCol w:w="1216"/>
        <w:gridCol w:w="1216"/>
        <w:gridCol w:w="1216"/>
        <w:gridCol w:w="1216"/>
        <w:gridCol w:w="1217"/>
        <w:gridCol w:w="1217"/>
      </w:tblGrid>
      <w:tr w:rsidR="001C36D8" w:rsidRPr="00272E0C" w:rsidTr="001A09F9">
        <w:tc>
          <w:tcPr>
            <w:tcW w:w="1215"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阶段</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w:t>
            </w:r>
            <w:r w:rsidRPr="00E43B0B">
              <w:rPr>
                <w:rFonts w:ascii="宋体" w:hAnsi="宋体" w:cs="宋体" w:hint="eastAsia"/>
                <w:color w:val="000000"/>
                <w:sz w:val="24"/>
              </w:rPr>
              <w:t>①</w:t>
            </w:r>
          </w:p>
        </w:tc>
        <w:tc>
          <w:tcPr>
            <w:tcW w:w="1216" w:type="dxa"/>
            <w:vAlign w:val="center"/>
          </w:tcPr>
          <w:p w:rsidR="001C36D8" w:rsidRPr="00E43B0B" w:rsidRDefault="001C36D8" w:rsidP="001A09F9">
            <w:pPr>
              <w:snapToGrid w:val="0"/>
              <w:spacing w:line="288" w:lineRule="auto"/>
              <w:jc w:val="center"/>
              <w:rPr>
                <w:color w:val="000000"/>
                <w:sz w:val="24"/>
                <w:highlight w:val="green"/>
              </w:rPr>
            </w:pPr>
            <w:r w:rsidRPr="00E43B0B">
              <w:rPr>
                <w:color w:val="000000"/>
                <w:sz w:val="24"/>
              </w:rPr>
              <w:t>净值增长率标准差</w:t>
            </w:r>
            <w:r w:rsidRPr="00E43B0B">
              <w:rPr>
                <w:rFonts w:ascii="宋体" w:hAnsi="宋体" w:cs="宋体" w:hint="eastAsia"/>
                <w:color w:val="000000"/>
                <w:sz w:val="24"/>
              </w:rPr>
              <w:t>②</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w:t>
            </w:r>
            <w:r w:rsidRPr="00E43B0B">
              <w:rPr>
                <w:rFonts w:ascii="宋体" w:hAnsi="宋体" w:cs="宋体" w:hint="eastAsia"/>
                <w:color w:val="000000"/>
                <w:sz w:val="24"/>
              </w:rPr>
              <w:t>③</w:t>
            </w:r>
          </w:p>
        </w:tc>
        <w:tc>
          <w:tcPr>
            <w:tcW w:w="1216" w:type="dxa"/>
            <w:vAlign w:val="center"/>
          </w:tcPr>
          <w:p w:rsidR="001C36D8" w:rsidRPr="00E43B0B" w:rsidRDefault="001C36D8" w:rsidP="001A09F9">
            <w:pPr>
              <w:snapToGrid w:val="0"/>
              <w:spacing w:line="288" w:lineRule="auto"/>
              <w:jc w:val="center"/>
              <w:rPr>
                <w:color w:val="000000"/>
                <w:sz w:val="24"/>
              </w:rPr>
            </w:pPr>
            <w:r w:rsidRPr="00E43B0B">
              <w:rPr>
                <w:color w:val="000000"/>
                <w:sz w:val="24"/>
              </w:rPr>
              <w:t>业绩比较基准收益率标准差</w:t>
            </w:r>
            <w:r w:rsidRPr="00E43B0B">
              <w:rPr>
                <w:rFonts w:ascii="宋体" w:hAnsi="宋体" w:cs="宋体" w:hint="eastAsia"/>
                <w:color w:val="000000"/>
                <w:sz w:val="24"/>
              </w:rPr>
              <w:t>④</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①</w:t>
            </w:r>
            <w:r w:rsidRPr="00E43B0B">
              <w:rPr>
                <w:color w:val="000000"/>
                <w:sz w:val="24"/>
              </w:rPr>
              <w:t>－</w:t>
            </w:r>
            <w:r w:rsidRPr="00E43B0B">
              <w:rPr>
                <w:rFonts w:ascii="宋体" w:hAnsi="宋体" w:cs="宋体" w:hint="eastAsia"/>
                <w:color w:val="000000"/>
                <w:sz w:val="24"/>
              </w:rPr>
              <w:t>③</w:t>
            </w:r>
          </w:p>
        </w:tc>
        <w:tc>
          <w:tcPr>
            <w:tcW w:w="1217" w:type="dxa"/>
            <w:vAlign w:val="center"/>
          </w:tcPr>
          <w:p w:rsidR="001C36D8" w:rsidRPr="00E43B0B" w:rsidRDefault="001C36D8" w:rsidP="001A09F9">
            <w:pPr>
              <w:snapToGrid w:val="0"/>
              <w:spacing w:line="288" w:lineRule="auto"/>
              <w:jc w:val="center"/>
              <w:rPr>
                <w:color w:val="000000"/>
                <w:sz w:val="24"/>
              </w:rPr>
            </w:pPr>
            <w:r w:rsidRPr="00E43B0B">
              <w:rPr>
                <w:rFonts w:ascii="宋体" w:hAnsi="宋体" w:cs="宋体" w:hint="eastAsia"/>
                <w:color w:val="000000"/>
                <w:sz w:val="24"/>
              </w:rPr>
              <w:t>②</w:t>
            </w:r>
            <w:r w:rsidRPr="00E43B0B">
              <w:rPr>
                <w:color w:val="000000"/>
                <w:sz w:val="24"/>
              </w:rPr>
              <w:t>－</w:t>
            </w:r>
            <w:r w:rsidRPr="00E43B0B">
              <w:rPr>
                <w:rFonts w:ascii="宋体" w:hAnsi="宋体" w:cs="宋体" w:hint="eastAsia"/>
                <w:color w:val="000000"/>
                <w:sz w:val="24"/>
              </w:rPr>
              <w:t>④</w:t>
            </w:r>
          </w:p>
        </w:tc>
      </w:tr>
      <w:tr w:rsidR="00F74B6C">
        <w:tc>
          <w:tcPr>
            <w:tcW w:w="1215" w:type="dxa"/>
            <w:vAlign w:val="center"/>
          </w:tcPr>
          <w:p w:rsidR="00F74B6C" w:rsidRDefault="00D936E6">
            <w:pPr>
              <w:jc w:val="left"/>
            </w:pPr>
            <w:r>
              <w:rPr>
                <w:color w:val="000000"/>
                <w:sz w:val="24"/>
              </w:rPr>
              <w:t>过去三个月</w:t>
            </w:r>
          </w:p>
        </w:tc>
        <w:tc>
          <w:tcPr>
            <w:tcW w:w="1216" w:type="dxa"/>
            <w:vAlign w:val="center"/>
          </w:tcPr>
          <w:p w:rsidR="00F74B6C" w:rsidRDefault="00D936E6">
            <w:pPr>
              <w:jc w:val="center"/>
            </w:pPr>
            <w:r>
              <w:rPr>
                <w:color w:val="000000"/>
                <w:sz w:val="24"/>
              </w:rPr>
              <w:t>1.28%</w:t>
            </w:r>
          </w:p>
        </w:tc>
        <w:tc>
          <w:tcPr>
            <w:tcW w:w="1216" w:type="dxa"/>
            <w:vAlign w:val="center"/>
          </w:tcPr>
          <w:p w:rsidR="00F74B6C" w:rsidRDefault="00D936E6">
            <w:pPr>
              <w:jc w:val="center"/>
            </w:pPr>
            <w:r>
              <w:rPr>
                <w:color w:val="000000"/>
                <w:sz w:val="24"/>
              </w:rPr>
              <w:t>1.07%</w:t>
            </w:r>
          </w:p>
        </w:tc>
        <w:tc>
          <w:tcPr>
            <w:tcW w:w="1216" w:type="dxa"/>
            <w:vAlign w:val="center"/>
          </w:tcPr>
          <w:p w:rsidR="00F74B6C" w:rsidRDefault="00D936E6">
            <w:pPr>
              <w:jc w:val="center"/>
            </w:pPr>
            <w:r>
              <w:rPr>
                <w:color w:val="000000"/>
                <w:sz w:val="24"/>
              </w:rPr>
              <w:t>0.60%</w:t>
            </w:r>
          </w:p>
        </w:tc>
        <w:tc>
          <w:tcPr>
            <w:tcW w:w="1216" w:type="dxa"/>
            <w:vAlign w:val="center"/>
          </w:tcPr>
          <w:p w:rsidR="00F74B6C" w:rsidRDefault="00D936E6">
            <w:pPr>
              <w:jc w:val="center"/>
            </w:pPr>
            <w:r>
              <w:rPr>
                <w:color w:val="000000"/>
                <w:sz w:val="24"/>
              </w:rPr>
              <w:t>1.09%</w:t>
            </w:r>
          </w:p>
        </w:tc>
        <w:tc>
          <w:tcPr>
            <w:tcW w:w="1217" w:type="dxa"/>
            <w:vAlign w:val="center"/>
          </w:tcPr>
          <w:p w:rsidR="00F74B6C" w:rsidRDefault="00D936E6">
            <w:pPr>
              <w:jc w:val="center"/>
            </w:pPr>
            <w:r>
              <w:rPr>
                <w:color w:val="000000"/>
                <w:sz w:val="24"/>
              </w:rPr>
              <w:t>0.68%</w:t>
            </w:r>
          </w:p>
        </w:tc>
        <w:tc>
          <w:tcPr>
            <w:tcW w:w="1217" w:type="dxa"/>
            <w:vAlign w:val="center"/>
          </w:tcPr>
          <w:p w:rsidR="00F74B6C" w:rsidRDefault="00D936E6">
            <w:pPr>
              <w:jc w:val="center"/>
            </w:pPr>
            <w:r>
              <w:rPr>
                <w:color w:val="000000"/>
                <w:sz w:val="24"/>
              </w:rPr>
              <w:t>-0.02%</w:t>
            </w:r>
          </w:p>
        </w:tc>
      </w:tr>
    </w:tbl>
    <w:p w:rsidR="001C36D8" w:rsidRPr="00272E0C" w:rsidRDefault="001C36D8" w:rsidP="003A4DA3">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cs="Arial"/>
            <w:b/>
            <w:color w:val="000000"/>
            <w:kern w:val="0"/>
            <w:sz w:val="24"/>
          </w:rPr>
          <w:t>3.2.2</w:t>
        </w:r>
        <w:r w:rsidR="00193F07" w:rsidRPr="00370BEA">
          <w:rPr>
            <w:rStyle w:val="af8"/>
            <w:rFonts w:hint="eastAsia"/>
            <w:color w:val="000000"/>
            <w:sz w:val="24"/>
            <w:shd w:val="clear" w:color="auto" w:fill="FFFFFF"/>
          </w:rPr>
          <w:t>自基金合同生效以来</w:t>
        </w:r>
      </w:smartTag>
      <w:r w:rsidRPr="00272E0C">
        <w:rPr>
          <w:rFonts w:ascii="宋体" w:hAnsi="宋体" w:hint="eastAsia"/>
          <w:b/>
          <w:bCs/>
          <w:color w:val="000000"/>
          <w:sz w:val="24"/>
        </w:rPr>
        <w:t>基金累计净值增长率变动及其与同期业绩比较基准收益率变动的比较</w:t>
      </w:r>
    </w:p>
    <w:p w:rsidR="001C36D8" w:rsidRPr="00E43B0B" w:rsidRDefault="001C36D8" w:rsidP="003A4DA3">
      <w:pPr>
        <w:spacing w:line="360" w:lineRule="auto"/>
        <w:jc w:val="center"/>
        <w:rPr>
          <w:sz w:val="24"/>
        </w:rPr>
      </w:pPr>
      <w:r w:rsidRPr="00E43B0B">
        <w:rPr>
          <w:sz w:val="24"/>
        </w:rPr>
        <w:t>易方达并购重组指数分级证券投资基金</w:t>
      </w:r>
    </w:p>
    <w:p w:rsidR="001C36D8" w:rsidRPr="00E43B0B" w:rsidRDefault="006F4C30" w:rsidP="003A4DA3">
      <w:pPr>
        <w:pStyle w:val="a5"/>
        <w:snapToGrid w:val="0"/>
        <w:spacing w:line="360" w:lineRule="auto"/>
        <w:jc w:val="center"/>
        <w:rPr>
          <w:rFonts w:ascii="Times New Roman" w:hAnsi="Times New Roman"/>
          <w:color w:val="000000"/>
          <w:sz w:val="24"/>
          <w:szCs w:val="24"/>
        </w:rPr>
      </w:pPr>
      <w:r w:rsidRPr="00E43B0B">
        <w:rPr>
          <w:rFonts w:ascii="Times New Roman" w:hAnsi="Times New Roman"/>
          <w:color w:val="000000"/>
          <w:sz w:val="24"/>
          <w:szCs w:val="24"/>
        </w:rPr>
        <w:t>累计</w:t>
      </w:r>
      <w:r w:rsidR="001C36D8" w:rsidRPr="00E43B0B">
        <w:rPr>
          <w:rFonts w:ascii="Times New Roman" w:hAnsi="Times New Roman"/>
          <w:color w:val="000000"/>
          <w:sz w:val="24"/>
          <w:szCs w:val="24"/>
        </w:rPr>
        <w:t>净值增长率与业绩比较基准收益率历史走势对比图</w:t>
      </w:r>
    </w:p>
    <w:p w:rsidR="001C36D8" w:rsidRPr="00E43B0B" w:rsidRDefault="001C36D8" w:rsidP="003A4DA3">
      <w:pPr>
        <w:spacing w:line="360" w:lineRule="auto"/>
        <w:jc w:val="center"/>
        <w:rPr>
          <w:sz w:val="24"/>
        </w:rPr>
      </w:pPr>
      <w:r w:rsidRPr="00E43B0B">
        <w:rPr>
          <w:color w:val="000000"/>
          <w:kern w:val="0"/>
          <w:sz w:val="24"/>
        </w:rPr>
        <w:t>（</w:t>
      </w:r>
      <w:r w:rsidRPr="00E43B0B">
        <w:rPr>
          <w:color w:val="000000"/>
          <w:kern w:val="0"/>
          <w:sz w:val="24"/>
        </w:rPr>
        <w:t>2015</w:t>
      </w:r>
      <w:r w:rsidRPr="00E43B0B">
        <w:rPr>
          <w:color w:val="000000"/>
          <w:kern w:val="0"/>
          <w:sz w:val="24"/>
        </w:rPr>
        <w:t>年</w:t>
      </w:r>
      <w:r w:rsidRPr="00E43B0B">
        <w:rPr>
          <w:color w:val="000000"/>
          <w:kern w:val="0"/>
          <w:sz w:val="24"/>
        </w:rPr>
        <w:t>6</w:t>
      </w:r>
      <w:r w:rsidRPr="00E43B0B">
        <w:rPr>
          <w:color w:val="000000"/>
          <w:kern w:val="0"/>
          <w:sz w:val="24"/>
        </w:rPr>
        <w:t>月</w:t>
      </w:r>
      <w:r w:rsidRPr="00E43B0B">
        <w:rPr>
          <w:color w:val="000000"/>
          <w:kern w:val="0"/>
          <w:sz w:val="24"/>
        </w:rPr>
        <w:t>3</w:t>
      </w:r>
      <w:r w:rsidRPr="00E43B0B">
        <w:rPr>
          <w:color w:val="000000"/>
          <w:kern w:val="0"/>
          <w:sz w:val="24"/>
        </w:rPr>
        <w:t>日至</w:t>
      </w:r>
      <w:r w:rsidRPr="00E43B0B">
        <w:rPr>
          <w:color w:val="000000"/>
          <w:kern w:val="0"/>
          <w:sz w:val="24"/>
        </w:rPr>
        <w:t>2019</w:t>
      </w:r>
      <w:r w:rsidRPr="00E43B0B">
        <w:rPr>
          <w:color w:val="000000"/>
          <w:kern w:val="0"/>
          <w:sz w:val="24"/>
        </w:rPr>
        <w:t>年</w:t>
      </w:r>
      <w:r w:rsidRPr="00E43B0B">
        <w:rPr>
          <w:color w:val="000000"/>
          <w:kern w:val="0"/>
          <w:sz w:val="24"/>
        </w:rPr>
        <w:t>9</w:t>
      </w:r>
      <w:r w:rsidRPr="00E43B0B">
        <w:rPr>
          <w:color w:val="000000"/>
          <w:kern w:val="0"/>
          <w:sz w:val="24"/>
        </w:rPr>
        <w:t>月</w:t>
      </w:r>
      <w:r w:rsidRPr="00E43B0B">
        <w:rPr>
          <w:color w:val="000000"/>
          <w:kern w:val="0"/>
          <w:sz w:val="24"/>
        </w:rPr>
        <w:t>30</w:t>
      </w:r>
      <w:r w:rsidRPr="00E43B0B">
        <w:rPr>
          <w:color w:val="000000"/>
          <w:kern w:val="0"/>
          <w:sz w:val="24"/>
        </w:rPr>
        <w:t>日）</w:t>
      </w:r>
    </w:p>
    <w:p w:rsidR="001C36D8" w:rsidRPr="00272E0C" w:rsidRDefault="00D936E6" w:rsidP="0042253F">
      <w:pPr>
        <w:tabs>
          <w:tab w:val="left" w:pos="1800"/>
        </w:tabs>
        <w:spacing w:line="360" w:lineRule="auto"/>
        <w:jc w:val="center"/>
        <w:rPr>
          <w:rFonts w:ascii="宋体"/>
          <w:color w:val="000000"/>
          <w:sz w:val="24"/>
        </w:rPr>
      </w:pPr>
      <w:r>
        <w:rPr>
          <w:rFonts w:ascii="宋体"/>
          <w:noProof/>
          <w:color w:val="00000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1.75pt;height:241.5pt;visibility:visible">
            <v:imagedata r:id="rId9" o:title=""/>
          </v:shape>
        </w:pict>
      </w:r>
    </w:p>
    <w:p w:rsidR="001C36D8" w:rsidRPr="00E43B0B" w:rsidRDefault="001C36D8" w:rsidP="00E43B0B">
      <w:pPr>
        <w:spacing w:line="360" w:lineRule="auto"/>
        <w:ind w:firstLineChars="200" w:firstLine="480"/>
        <w:rPr>
          <w:color w:val="000000"/>
          <w:sz w:val="24"/>
        </w:rPr>
      </w:pPr>
      <w:r w:rsidRPr="003D22BD">
        <w:rPr>
          <w:color w:val="000000"/>
          <w:sz w:val="24"/>
        </w:rPr>
        <w:t>注：自基金合同生效至报告期末，基金份额净值增长率为</w:t>
      </w:r>
      <w:r w:rsidRPr="003D22BD">
        <w:rPr>
          <w:color w:val="000000"/>
          <w:sz w:val="24"/>
        </w:rPr>
        <w:t>-63.66%</w:t>
      </w:r>
      <w:r w:rsidRPr="003D22BD">
        <w:rPr>
          <w:color w:val="000000"/>
          <w:sz w:val="24"/>
        </w:rPr>
        <w:t>，同期业绩比较基准收益率为</w:t>
      </w:r>
      <w:r w:rsidRPr="003D22BD">
        <w:rPr>
          <w:color w:val="000000"/>
          <w:sz w:val="24"/>
        </w:rPr>
        <w:t>-63.36%</w:t>
      </w:r>
      <w:r w:rsidRPr="003D22BD">
        <w:rPr>
          <w:color w:val="000000"/>
          <w:sz w:val="24"/>
        </w:rPr>
        <w:t>。</w:t>
      </w:r>
    </w:p>
    <w:p w:rsidR="001C36D8" w:rsidRPr="00E43B0B" w:rsidRDefault="001C36D8" w:rsidP="00D3705B">
      <w:pPr>
        <w:tabs>
          <w:tab w:val="left" w:pos="1800"/>
        </w:tabs>
        <w:spacing w:line="288" w:lineRule="auto"/>
        <w:rPr>
          <w:color w:val="000000"/>
          <w:sz w:val="24"/>
        </w:rPr>
      </w:pP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4  </w:t>
      </w:r>
      <w:r w:rsidRPr="00272E0C">
        <w:rPr>
          <w:rFonts w:ascii="宋体" w:hAnsi="宋体" w:cs="Arial" w:hint="eastAsia"/>
          <w:color w:val="000000"/>
          <w:kern w:val="0"/>
          <w:sz w:val="24"/>
          <w:szCs w:val="24"/>
        </w:rPr>
        <w:t>管理人报告</w:t>
      </w:r>
    </w:p>
    <w:p w:rsidR="005C6DF3" w:rsidRPr="0078105B" w:rsidRDefault="001C36D8" w:rsidP="005C6DF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4.1 </w:t>
      </w:r>
      <w:r w:rsidRPr="00272E0C">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5C6DF3" w:rsidRPr="0078105B" w:rsidTr="00B7074C">
        <w:trPr>
          <w:cantSplit/>
        </w:trPr>
        <w:tc>
          <w:tcPr>
            <w:tcW w:w="56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5C6DF3" w:rsidRPr="0078105B" w:rsidTr="00B7074C">
        <w:trPr>
          <w:cantSplit/>
        </w:trPr>
        <w:tc>
          <w:tcPr>
            <w:tcW w:w="56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835" w:type="dxa"/>
            <w:vMerge/>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5C6DF3" w:rsidRPr="00FA472B" w:rsidRDefault="005C6DF3" w:rsidP="00B7074C">
            <w:pPr>
              <w:autoSpaceDE w:val="0"/>
              <w:autoSpaceDN w:val="0"/>
              <w:adjustRightInd w:val="0"/>
              <w:spacing w:before="29" w:line="288" w:lineRule="auto"/>
              <w:ind w:left="15"/>
              <w:jc w:val="center"/>
              <w:rPr>
                <w:color w:val="000000"/>
                <w:kern w:val="0"/>
                <w:sz w:val="24"/>
              </w:rPr>
            </w:pPr>
          </w:p>
        </w:tc>
      </w:tr>
      <w:tr w:rsidR="00F74B6C">
        <w:tc>
          <w:tcPr>
            <w:tcW w:w="567" w:type="dxa"/>
            <w:vAlign w:val="center"/>
          </w:tcPr>
          <w:p w:rsidR="00F74B6C" w:rsidRDefault="00D936E6">
            <w:pPr>
              <w:jc w:val="center"/>
            </w:pPr>
            <w:r>
              <w:rPr>
                <w:color w:val="000000"/>
                <w:sz w:val="24"/>
              </w:rPr>
              <w:t>成曦</w:t>
            </w:r>
          </w:p>
        </w:tc>
        <w:tc>
          <w:tcPr>
            <w:tcW w:w="2835" w:type="dxa"/>
            <w:vAlign w:val="center"/>
          </w:tcPr>
          <w:p w:rsidR="00F74B6C" w:rsidRDefault="00D936E6">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的基金经理、易方达银行指数分级证券投资基金的基金经理、易方达生物科技指数分级证券投资基金的基金经理、易方达深证成指交易型开放式指数证券投资基金联接基金的基金经理</w:t>
            </w:r>
            <w:r>
              <w:rPr>
                <w:color w:val="000000"/>
                <w:sz w:val="24"/>
              </w:rPr>
              <w:lastRenderedPageBreak/>
              <w:t>（自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w:t>
            </w:r>
            <w:r>
              <w:rPr>
                <w:color w:val="000000"/>
                <w:sz w:val="24"/>
              </w:rPr>
              <w:t>的基金经理、易方达深证</w:t>
            </w:r>
            <w:r>
              <w:rPr>
                <w:color w:val="000000"/>
                <w:sz w:val="24"/>
              </w:rPr>
              <w:t>100</w:t>
            </w:r>
            <w:r>
              <w:rPr>
                <w:color w:val="000000"/>
                <w:sz w:val="24"/>
              </w:rPr>
              <w:t>交易型开放式指数基金的基金经理、易方达上证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联接基金的基金经理、易方达恒生中国企业交易型开放式指数证券投资基金的基金经理、易方达创业板交易型开放式指数证券投资基金联接基金的基金经理、易方达创业板交易型开放式指数证券投资基金的基金经理、易方达</w:t>
            </w:r>
            <w:r>
              <w:rPr>
                <w:color w:val="000000"/>
                <w:sz w:val="24"/>
              </w:rPr>
              <w:t>MSCI</w:t>
            </w:r>
            <w:r>
              <w:rPr>
                <w:color w:val="000000"/>
                <w:sz w:val="24"/>
              </w:rPr>
              <w:t>中国</w:t>
            </w:r>
            <w:r>
              <w:rPr>
                <w:color w:val="000000"/>
                <w:sz w:val="24"/>
              </w:rPr>
              <w:t>A</w:t>
            </w:r>
            <w:r>
              <w:rPr>
                <w:color w:val="000000"/>
                <w:sz w:val="24"/>
              </w:rPr>
              <w:t>股国际通交易型开</w:t>
            </w:r>
            <w:r>
              <w:rPr>
                <w:color w:val="000000"/>
                <w:sz w:val="24"/>
              </w:rPr>
              <w:t>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F74B6C" w:rsidRDefault="00D936E6">
            <w:pPr>
              <w:jc w:val="center"/>
            </w:pPr>
            <w:r>
              <w:rPr>
                <w:color w:val="000000"/>
                <w:sz w:val="24"/>
              </w:rPr>
              <w:lastRenderedPageBreak/>
              <w:t>2016-05-07</w:t>
            </w:r>
          </w:p>
        </w:tc>
        <w:tc>
          <w:tcPr>
            <w:tcW w:w="850" w:type="dxa"/>
            <w:vAlign w:val="center"/>
          </w:tcPr>
          <w:p w:rsidR="00F74B6C" w:rsidRDefault="00D936E6">
            <w:pPr>
              <w:jc w:val="center"/>
            </w:pPr>
            <w:r>
              <w:rPr>
                <w:color w:val="000000"/>
                <w:sz w:val="24"/>
              </w:rPr>
              <w:t>-</w:t>
            </w:r>
          </w:p>
        </w:tc>
        <w:tc>
          <w:tcPr>
            <w:tcW w:w="851" w:type="dxa"/>
            <w:vAlign w:val="center"/>
          </w:tcPr>
          <w:p w:rsidR="00F74B6C" w:rsidRDefault="00D936E6">
            <w:pPr>
              <w:jc w:val="center"/>
            </w:pPr>
            <w:r>
              <w:rPr>
                <w:color w:val="000000"/>
                <w:sz w:val="24"/>
              </w:rPr>
              <w:t>11</w:t>
            </w:r>
            <w:r>
              <w:rPr>
                <w:color w:val="000000"/>
                <w:sz w:val="24"/>
              </w:rPr>
              <w:t>年</w:t>
            </w:r>
          </w:p>
        </w:tc>
        <w:tc>
          <w:tcPr>
            <w:tcW w:w="2977" w:type="dxa"/>
            <w:vAlign w:val="center"/>
          </w:tcPr>
          <w:p w:rsidR="00F74B6C" w:rsidRDefault="00D936E6">
            <w:r>
              <w:rPr>
                <w:color w:val="000000"/>
                <w:sz w:val="24"/>
              </w:rPr>
              <w:t>硕士研究生，曾任华泰联合证券资产管理部研究员，易方达基金管理有限公司集中交易室交易员、指数与量化投资部指数基金运作专员、基金经理助理。</w:t>
            </w:r>
          </w:p>
        </w:tc>
      </w:tr>
      <w:tr w:rsidR="00F74B6C">
        <w:tc>
          <w:tcPr>
            <w:tcW w:w="567" w:type="dxa"/>
            <w:vAlign w:val="center"/>
          </w:tcPr>
          <w:p w:rsidR="00F74B6C" w:rsidRDefault="00D936E6">
            <w:pPr>
              <w:jc w:val="center"/>
            </w:pPr>
            <w:r>
              <w:rPr>
                <w:color w:val="000000"/>
                <w:sz w:val="24"/>
              </w:rPr>
              <w:t>刘树荣</w:t>
            </w:r>
          </w:p>
        </w:tc>
        <w:tc>
          <w:tcPr>
            <w:tcW w:w="2835" w:type="dxa"/>
            <w:vAlign w:val="center"/>
          </w:tcPr>
          <w:p w:rsidR="00F74B6C" w:rsidRDefault="00D936E6">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w:t>
            </w:r>
            <w:r>
              <w:rPr>
                <w:color w:val="000000"/>
                <w:sz w:val="24"/>
              </w:rPr>
              <w:lastRenderedPageBreak/>
              <w:t>达银行指数分级证券投资基金的基金经理、易方达香港恒生综合小型股指数证券投资基金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w:t>
            </w:r>
            <w:r>
              <w:rPr>
                <w:color w:val="000000"/>
                <w:sz w:val="24"/>
              </w:rPr>
              <w:t>投资基金联接基金的基金经理、易方达深证</w:t>
            </w:r>
            <w:r>
              <w:rPr>
                <w:color w:val="000000"/>
                <w:sz w:val="24"/>
              </w:rPr>
              <w:t>100</w:t>
            </w:r>
            <w:r>
              <w:rPr>
                <w:color w:val="000000"/>
                <w:sz w:val="24"/>
              </w:rPr>
              <w:t>交易型开放式指数基金的基金经理、易方达上证中盘交易型开放式指数证券投资基金联接基金的基金经理、易方达上证中盘交易型开放式指数证券投资基金的基金经理、易方达创业板交易型开放式指数证券投资基金联接基金的基金经理、易方达创业板交易型开放式指数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w:t>
            </w:r>
            <w:r>
              <w:rPr>
                <w:color w:val="000000"/>
                <w:sz w:val="24"/>
              </w:rPr>
              <w:t>的基金经理</w:t>
            </w:r>
          </w:p>
        </w:tc>
        <w:tc>
          <w:tcPr>
            <w:tcW w:w="851" w:type="dxa"/>
            <w:vAlign w:val="center"/>
          </w:tcPr>
          <w:p w:rsidR="00F74B6C" w:rsidRDefault="00D936E6">
            <w:pPr>
              <w:jc w:val="center"/>
            </w:pPr>
            <w:r>
              <w:rPr>
                <w:color w:val="000000"/>
                <w:sz w:val="24"/>
              </w:rPr>
              <w:lastRenderedPageBreak/>
              <w:t>2017-07-18</w:t>
            </w:r>
          </w:p>
        </w:tc>
        <w:tc>
          <w:tcPr>
            <w:tcW w:w="850" w:type="dxa"/>
            <w:vAlign w:val="center"/>
          </w:tcPr>
          <w:p w:rsidR="00F74B6C" w:rsidRDefault="00D936E6">
            <w:pPr>
              <w:jc w:val="center"/>
            </w:pPr>
            <w:r>
              <w:rPr>
                <w:color w:val="000000"/>
                <w:sz w:val="24"/>
              </w:rPr>
              <w:t>-</w:t>
            </w:r>
          </w:p>
        </w:tc>
        <w:tc>
          <w:tcPr>
            <w:tcW w:w="851" w:type="dxa"/>
            <w:vAlign w:val="center"/>
          </w:tcPr>
          <w:p w:rsidR="00F74B6C" w:rsidRDefault="00D936E6">
            <w:pPr>
              <w:jc w:val="center"/>
            </w:pPr>
            <w:r>
              <w:rPr>
                <w:color w:val="000000"/>
                <w:sz w:val="24"/>
              </w:rPr>
              <w:t>12</w:t>
            </w:r>
            <w:r>
              <w:rPr>
                <w:color w:val="000000"/>
                <w:sz w:val="24"/>
              </w:rPr>
              <w:t>年</w:t>
            </w:r>
          </w:p>
        </w:tc>
        <w:tc>
          <w:tcPr>
            <w:tcW w:w="2977" w:type="dxa"/>
            <w:vAlign w:val="center"/>
          </w:tcPr>
          <w:p w:rsidR="00F74B6C" w:rsidRDefault="00D936E6">
            <w:r>
              <w:rPr>
                <w:color w:val="000000"/>
                <w:sz w:val="24"/>
              </w:rPr>
              <w:t>硕士研究生，曾任招商银行资产托管部基金会计，易方达基金管理有限公司核算部基金核算专员、指数与量化投资部运作支持专员、基</w:t>
            </w:r>
            <w:r>
              <w:rPr>
                <w:color w:val="000000"/>
                <w:sz w:val="24"/>
              </w:rPr>
              <w:lastRenderedPageBreak/>
              <w:t>金经理助理。</w:t>
            </w:r>
          </w:p>
        </w:tc>
      </w:tr>
    </w:tbl>
    <w:p w:rsidR="00F74B6C" w:rsidRDefault="00D936E6">
      <w:pPr>
        <w:autoSpaceDE w:val="0"/>
        <w:autoSpaceDN w:val="0"/>
        <w:adjustRightInd w:val="0"/>
        <w:spacing w:line="360" w:lineRule="auto"/>
        <w:ind w:firstLineChars="200" w:firstLine="480"/>
        <w:jc w:val="left"/>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lastRenderedPageBreak/>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CB041A" w:rsidRPr="00232B03" w:rsidRDefault="005C6DF3" w:rsidP="005C6DF3">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1C36D8" w:rsidRPr="00272E0C" w:rsidRDefault="001C36D8" w:rsidP="00CB041A">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4.2</w:t>
      </w:r>
      <w:r w:rsidRPr="00272E0C">
        <w:rPr>
          <w:rFonts w:ascii="宋体" w:hAnsi="宋体" w:hint="eastAsia"/>
          <w:b/>
          <w:bCs/>
          <w:color w:val="000000"/>
          <w:sz w:val="24"/>
        </w:rPr>
        <w:t>管理人对报告期内本基金运作遵规守信情况的说明</w:t>
      </w:r>
    </w:p>
    <w:p w:rsidR="001C36D8" w:rsidRPr="00E43B0B" w:rsidRDefault="001C36D8" w:rsidP="00E43B0B">
      <w:pPr>
        <w:spacing w:line="360" w:lineRule="auto"/>
        <w:ind w:firstLineChars="200" w:firstLine="480"/>
        <w:rPr>
          <w:color w:val="000000"/>
          <w:sz w:val="24"/>
        </w:rPr>
      </w:pPr>
      <w:r w:rsidRPr="003D22BD">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4.3 </w:t>
      </w:r>
      <w:r w:rsidRPr="00272E0C">
        <w:rPr>
          <w:rFonts w:ascii="宋体" w:hAnsi="宋体" w:cs="Arial" w:hint="eastAsia"/>
          <w:b/>
          <w:color w:val="000000"/>
          <w:kern w:val="0"/>
          <w:sz w:val="24"/>
        </w:rPr>
        <w:t>公平交易专项说明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4.3.1</w:t>
        </w:r>
      </w:smartTag>
      <w:r w:rsidRPr="00272E0C">
        <w:rPr>
          <w:rFonts w:ascii="宋体" w:hAnsi="宋体" w:hint="eastAsia"/>
          <w:sz w:val="24"/>
        </w:rPr>
        <w:t>公平交易制度的执行情况</w:t>
      </w:r>
    </w:p>
    <w:p w:rsidR="001C36D8" w:rsidRPr="003D22BD" w:rsidRDefault="001C36D8" w:rsidP="0015779C">
      <w:pPr>
        <w:spacing w:line="360" w:lineRule="auto"/>
        <w:ind w:firstLineChars="200" w:firstLine="480"/>
        <w:rPr>
          <w:color w:val="000000"/>
          <w:sz w:val="24"/>
        </w:rPr>
      </w:pPr>
      <w:r w:rsidRPr="003D22BD">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3D22BD">
        <w:rPr>
          <w:color w:val="000000"/>
          <w:sz w:val="24"/>
        </w:rPr>
        <w:t>“</w:t>
      </w:r>
      <w:r w:rsidRPr="003D22BD">
        <w:rPr>
          <w:color w:val="000000"/>
          <w:sz w:val="24"/>
        </w:rPr>
        <w:t>时间优先、价格优先</w:t>
      </w:r>
      <w:r w:rsidRPr="003D22BD">
        <w:rPr>
          <w:color w:val="000000"/>
          <w:sz w:val="24"/>
        </w:rPr>
        <w:t>”</w:t>
      </w:r>
      <w:r w:rsidRPr="003D22BD">
        <w:rPr>
          <w:color w:val="000000"/>
          <w:sz w:val="24"/>
        </w:rPr>
        <w:t>作为执行指令的基本原则，通过投资交易系统中的公平交易模块，以尽可能确保公平对待各投资组合。本报告期内，公平交易制度总体执行情况良好。</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4.3.2</w:t>
        </w:r>
      </w:smartTag>
      <w:r w:rsidRPr="00272E0C">
        <w:rPr>
          <w:rFonts w:ascii="宋体" w:hAnsi="宋体" w:hint="eastAsia"/>
          <w:sz w:val="24"/>
        </w:rPr>
        <w:t>异常交易行为的专项说明</w:t>
      </w:r>
    </w:p>
    <w:p w:rsidR="00F74B6C" w:rsidRDefault="00D936E6">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1C36D8" w:rsidRPr="00E43B0B" w:rsidRDefault="001C36D8" w:rsidP="00E43B0B">
      <w:pPr>
        <w:spacing w:line="360" w:lineRule="auto"/>
        <w:ind w:firstLineChars="200" w:firstLine="480"/>
        <w:rPr>
          <w:color w:val="000000"/>
          <w:sz w:val="24"/>
        </w:rPr>
      </w:pPr>
      <w:r w:rsidRPr="003D22BD">
        <w:rPr>
          <w:color w:val="000000"/>
          <w:sz w:val="24"/>
        </w:rPr>
        <w:t>本报告期内，未发现本基金有可能导致不公平交易和利益输送的异常交易。</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4.4 </w:t>
      </w:r>
      <w:r w:rsidRPr="00272E0C">
        <w:rPr>
          <w:rFonts w:ascii="宋体" w:hAnsi="宋体" w:cs="Arial" w:hint="eastAsia"/>
          <w:b/>
          <w:color w:val="000000"/>
          <w:kern w:val="0"/>
          <w:sz w:val="24"/>
        </w:rPr>
        <w:t>报告期内基金的投资策略和业绩表现说明</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4.4.1</w:t>
        </w:r>
      </w:smartTag>
      <w:r w:rsidRPr="00272E0C">
        <w:rPr>
          <w:rFonts w:ascii="宋体" w:hAnsi="宋体" w:hint="eastAsia"/>
          <w:sz w:val="24"/>
        </w:rPr>
        <w:t>报告期内基金投资策略和运作分析</w:t>
      </w:r>
    </w:p>
    <w:p w:rsidR="00F74B6C" w:rsidRDefault="00D936E6">
      <w:pPr>
        <w:spacing w:line="360" w:lineRule="auto"/>
        <w:ind w:firstLineChars="200" w:firstLine="480"/>
        <w:rPr>
          <w:color w:val="000000"/>
          <w:sz w:val="24"/>
        </w:rPr>
      </w:pPr>
      <w:r>
        <w:rPr>
          <w:color w:val="000000"/>
          <w:sz w:val="24"/>
        </w:rPr>
        <w:t>本基金跟踪的标的指数为中证万得并购重组指数，中证万得并购重组指数由处于并购或资产重组进程的股票组成，是衡量涉及并购或者资产重组股票整体走势的代表性指数。报告期内，本基金主要采取完全复制法的投资策略，即完全按照标的指数的成份股组成及其权重构建基金股票投资组合，并根据标的指数成份股及其权重的变动而进行相应调整。</w:t>
      </w:r>
    </w:p>
    <w:p w:rsidR="00F74B6C" w:rsidRDefault="00D936E6">
      <w:pPr>
        <w:spacing w:line="360" w:lineRule="auto"/>
        <w:ind w:firstLineChars="200" w:firstLine="480"/>
        <w:rPr>
          <w:color w:val="000000"/>
          <w:sz w:val="24"/>
        </w:rPr>
      </w:pPr>
      <w:r>
        <w:rPr>
          <w:color w:val="000000"/>
          <w:sz w:val="24"/>
        </w:rPr>
        <w:lastRenderedPageBreak/>
        <w:t>并购重组指数走势受监管政策以及市场情绪影响较大。</w:t>
      </w:r>
      <w:r>
        <w:rPr>
          <w:color w:val="000000"/>
          <w:sz w:val="24"/>
        </w:rPr>
        <w:t>201</w:t>
      </w:r>
      <w:r>
        <w:rPr>
          <w:color w:val="000000"/>
          <w:sz w:val="24"/>
        </w:rPr>
        <w:t>9</w:t>
      </w:r>
      <w:r>
        <w:rPr>
          <w:color w:val="000000"/>
          <w:sz w:val="24"/>
        </w:rPr>
        <w:t>年三季度，资本市场全面深化改革清单</w:t>
      </w:r>
      <w:r>
        <w:rPr>
          <w:color w:val="000000"/>
          <w:sz w:val="24"/>
        </w:rPr>
        <w:t>“</w:t>
      </w:r>
      <w:r>
        <w:rPr>
          <w:color w:val="000000"/>
          <w:sz w:val="24"/>
        </w:rPr>
        <w:t>深改</w:t>
      </w:r>
      <w:r>
        <w:rPr>
          <w:color w:val="000000"/>
          <w:sz w:val="24"/>
        </w:rPr>
        <w:t>12</w:t>
      </w:r>
      <w:r>
        <w:rPr>
          <w:color w:val="000000"/>
          <w:sz w:val="24"/>
        </w:rPr>
        <w:t>条</w:t>
      </w:r>
      <w:r>
        <w:rPr>
          <w:color w:val="000000"/>
          <w:sz w:val="24"/>
        </w:rPr>
        <w:t>”</w:t>
      </w:r>
      <w:r>
        <w:rPr>
          <w:color w:val="000000"/>
          <w:sz w:val="24"/>
        </w:rPr>
        <w:t>明确提出要充分发挥资本市场并购重组主渠道作用，优化重组上市、再融资等制度，支持分拆上市试点，未来并购重组和再融资政策有望获得进一步的放松。目前并购重组市场已经有所回暖，未来随着政策的持续放松和落地，并购重组市场有望加速回暖。报告期内，并购重组指数上涨</w:t>
      </w:r>
      <w:r>
        <w:rPr>
          <w:color w:val="000000"/>
          <w:sz w:val="24"/>
        </w:rPr>
        <w:t>0.6%</w:t>
      </w:r>
      <w:r>
        <w:rPr>
          <w:color w:val="000000"/>
          <w:sz w:val="24"/>
        </w:rPr>
        <w:t>，跑赢沪深</w:t>
      </w:r>
      <w:r>
        <w:rPr>
          <w:color w:val="000000"/>
          <w:sz w:val="24"/>
        </w:rPr>
        <w:t>300</w:t>
      </w:r>
      <w:r>
        <w:rPr>
          <w:color w:val="000000"/>
          <w:sz w:val="24"/>
        </w:rPr>
        <w:t>指数。</w:t>
      </w:r>
    </w:p>
    <w:p w:rsidR="001C36D8" w:rsidRPr="003D22BD" w:rsidRDefault="001C36D8" w:rsidP="0015779C">
      <w:pPr>
        <w:spacing w:line="360" w:lineRule="auto"/>
        <w:ind w:firstLineChars="200" w:firstLine="480"/>
        <w:rPr>
          <w:color w:val="000000"/>
          <w:sz w:val="24"/>
        </w:rPr>
      </w:pPr>
      <w:r w:rsidRPr="003D22BD">
        <w:rPr>
          <w:color w:val="000000"/>
          <w:sz w:val="24"/>
        </w:rPr>
        <w:t>基金运作层面，报告期内，本基金严守基金合同认真对待投资者申购、赎回以及成分股调整事项，保障基金的正常运作，基金跟踪误差以及日均偏离度等指标控制在合同规定范围之内。</w:t>
      </w:r>
    </w:p>
    <w:p w:rsidR="001C36D8" w:rsidRPr="00272E0C" w:rsidRDefault="001C36D8" w:rsidP="003A4DA3">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272E0C">
          <w:rPr>
            <w:rFonts w:ascii="宋体" w:hAnsi="宋体"/>
            <w:sz w:val="24"/>
          </w:rPr>
          <w:t>4.4.2</w:t>
        </w:r>
      </w:smartTag>
      <w:r w:rsidRPr="00272E0C">
        <w:rPr>
          <w:rFonts w:ascii="宋体" w:hAnsi="宋体" w:hint="eastAsia"/>
          <w:sz w:val="24"/>
        </w:rPr>
        <w:t>报告期内基金的业绩表现</w:t>
      </w:r>
    </w:p>
    <w:p w:rsidR="001C36D8" w:rsidRPr="00E43B0B" w:rsidRDefault="001C36D8" w:rsidP="00E43B0B">
      <w:pPr>
        <w:spacing w:line="360" w:lineRule="auto"/>
        <w:ind w:firstLineChars="200" w:firstLine="480"/>
        <w:rPr>
          <w:color w:val="000000"/>
          <w:sz w:val="24"/>
        </w:rPr>
      </w:pPr>
      <w:r w:rsidRPr="003D22BD">
        <w:rPr>
          <w:color w:val="000000"/>
          <w:sz w:val="24"/>
        </w:rPr>
        <w:t>截至报告期末，本基金份额净值为</w:t>
      </w:r>
      <w:r w:rsidRPr="003D22BD">
        <w:rPr>
          <w:color w:val="000000"/>
          <w:sz w:val="24"/>
        </w:rPr>
        <w:t>0.9041</w:t>
      </w:r>
      <w:r w:rsidRPr="003D22BD">
        <w:rPr>
          <w:color w:val="000000"/>
          <w:sz w:val="24"/>
        </w:rPr>
        <w:t>元，本报告期份额净值增长率为</w:t>
      </w:r>
      <w:r w:rsidRPr="003D22BD">
        <w:rPr>
          <w:color w:val="000000"/>
          <w:sz w:val="24"/>
        </w:rPr>
        <w:t>1.28%</w:t>
      </w:r>
      <w:r w:rsidRPr="003D22BD">
        <w:rPr>
          <w:color w:val="000000"/>
          <w:sz w:val="24"/>
        </w:rPr>
        <w:t>，同期业绩比较基准收益率为</w:t>
      </w:r>
      <w:r w:rsidRPr="003D22BD">
        <w:rPr>
          <w:color w:val="000000"/>
          <w:sz w:val="24"/>
        </w:rPr>
        <w:t>0.60%</w:t>
      </w:r>
      <w:r w:rsidRPr="003D22BD">
        <w:rPr>
          <w:color w:val="000000"/>
          <w:sz w:val="24"/>
        </w:rPr>
        <w:t>，日跟踪偏离度的均值为</w:t>
      </w:r>
      <w:r w:rsidRPr="003D22BD">
        <w:rPr>
          <w:color w:val="000000"/>
          <w:sz w:val="24"/>
        </w:rPr>
        <w:t>0.02%</w:t>
      </w:r>
      <w:r w:rsidRPr="003D22BD">
        <w:rPr>
          <w:color w:val="000000"/>
          <w:sz w:val="24"/>
        </w:rPr>
        <w:t>，年化跟踪误差</w:t>
      </w:r>
      <w:r w:rsidRPr="003D22BD">
        <w:rPr>
          <w:color w:val="000000"/>
          <w:sz w:val="24"/>
        </w:rPr>
        <w:t>0.74%</w:t>
      </w:r>
      <w:r w:rsidRPr="003D22BD">
        <w:rPr>
          <w:color w:val="000000"/>
          <w:sz w:val="24"/>
        </w:rPr>
        <w:t>，在合同规定的目标控制范围之内。</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 xml:space="preserve">5  </w:t>
      </w:r>
      <w:r w:rsidRPr="00272E0C">
        <w:rPr>
          <w:rFonts w:ascii="宋体" w:hAnsi="宋体" w:cs="Arial" w:hint="eastAsia"/>
          <w:color w:val="000000"/>
          <w:kern w:val="0"/>
          <w:sz w:val="24"/>
          <w:szCs w:val="24"/>
        </w:rPr>
        <w:t>投资组合报告</w:t>
      </w:r>
    </w:p>
    <w:p w:rsidR="001C36D8" w:rsidRPr="00272E0C" w:rsidRDefault="001C36D8" w:rsidP="003A4DA3">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5.1 </w:t>
      </w:r>
      <w:r w:rsidRPr="00272E0C">
        <w:rPr>
          <w:rFonts w:ascii="宋体" w:hAnsi="宋体" w:cs="Arial" w:hint="eastAsia"/>
          <w:b/>
          <w:color w:val="000000"/>
          <w:kern w:val="0"/>
          <w:sz w:val="24"/>
        </w:rPr>
        <w:t>报告期末基金资产组合情况</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3"/>
        <w:gridCol w:w="3283"/>
        <w:gridCol w:w="2977"/>
        <w:gridCol w:w="1843"/>
      </w:tblGrid>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序号</w:t>
            </w:r>
          </w:p>
        </w:tc>
        <w:tc>
          <w:tcPr>
            <w:tcW w:w="328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项目</w:t>
            </w:r>
          </w:p>
        </w:tc>
        <w:tc>
          <w:tcPr>
            <w:tcW w:w="2977"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金额</w:t>
            </w:r>
            <w:r w:rsidR="0015779C" w:rsidRPr="005B1E0B">
              <w:rPr>
                <w:color w:val="000000"/>
                <w:sz w:val="24"/>
              </w:rPr>
              <w:t>（元）</w:t>
            </w:r>
          </w:p>
        </w:tc>
        <w:tc>
          <w:tcPr>
            <w:tcW w:w="1843" w:type="dxa"/>
            <w:vAlign w:val="center"/>
          </w:tcPr>
          <w:p w:rsidR="001C36D8" w:rsidRPr="005B1E0B" w:rsidRDefault="001C36D8" w:rsidP="0015779C">
            <w:pPr>
              <w:spacing w:before="29" w:line="360" w:lineRule="auto"/>
              <w:ind w:left="17"/>
              <w:jc w:val="center"/>
              <w:rPr>
                <w:color w:val="000000"/>
                <w:sz w:val="24"/>
              </w:rPr>
            </w:pPr>
            <w:r w:rsidRPr="005B1E0B">
              <w:rPr>
                <w:color w:val="000000"/>
                <w:sz w:val="24"/>
              </w:rPr>
              <w:t>占基金总资产的比例</w:t>
            </w:r>
            <w:r w:rsidR="0015779C" w:rsidRPr="005B1E0B">
              <w:rPr>
                <w:color w:val="000000"/>
                <w:sz w:val="24"/>
              </w:rPr>
              <w:t>（</w:t>
            </w:r>
            <w:r w:rsidR="0015779C" w:rsidRPr="005B1E0B">
              <w:rPr>
                <w:color w:val="000000"/>
                <w:sz w:val="24"/>
              </w:rPr>
              <w:t>%</w:t>
            </w:r>
            <w:r w:rsidR="0015779C"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1</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权益投资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680,317,389.96</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93.40</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其中：股票</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680,317,389.96</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93.40</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2</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固定收益投资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其中：债券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autoSpaceDE w:val="0"/>
              <w:autoSpaceDN w:val="0"/>
              <w:adjustRightInd w:val="0"/>
              <w:spacing w:before="29" w:line="360" w:lineRule="auto"/>
              <w:ind w:left="17"/>
              <w:jc w:val="left"/>
              <w:rPr>
                <w:color w:val="000000"/>
                <w:sz w:val="24"/>
              </w:rPr>
            </w:pPr>
            <w:r w:rsidRPr="005B1E0B">
              <w:rPr>
                <w:color w:val="000000"/>
                <w:sz w:val="24"/>
              </w:rPr>
              <w:t>资产支持证券</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tcPr>
          <w:p w:rsidR="001C36D8" w:rsidRPr="005B1E0B" w:rsidRDefault="001C36D8" w:rsidP="001A09F9">
            <w:pPr>
              <w:spacing w:before="29" w:line="360" w:lineRule="auto"/>
              <w:ind w:left="17"/>
              <w:jc w:val="center"/>
              <w:rPr>
                <w:color w:val="000000"/>
                <w:sz w:val="24"/>
              </w:rPr>
            </w:pPr>
            <w:r w:rsidRPr="005B1E0B">
              <w:rPr>
                <w:color w:val="000000"/>
                <w:sz w:val="24"/>
              </w:rPr>
              <w:t>3</w:t>
            </w:r>
          </w:p>
        </w:tc>
        <w:tc>
          <w:tcPr>
            <w:tcW w:w="3283" w:type="dxa"/>
          </w:tcPr>
          <w:p w:rsidR="001C36D8" w:rsidRPr="005B1E0B" w:rsidRDefault="001C36D8" w:rsidP="0015779C">
            <w:pPr>
              <w:spacing w:before="29" w:line="360" w:lineRule="auto"/>
              <w:ind w:leftChars="50" w:left="105"/>
              <w:rPr>
                <w:color w:val="000000"/>
                <w:sz w:val="24"/>
              </w:rPr>
            </w:pPr>
            <w:r w:rsidRPr="005B1E0B">
              <w:rPr>
                <w:color w:val="000000"/>
                <w:sz w:val="24"/>
              </w:rPr>
              <w:t>贵金属投资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4</w:t>
            </w:r>
          </w:p>
        </w:tc>
        <w:tc>
          <w:tcPr>
            <w:tcW w:w="3283" w:type="dxa"/>
            <w:vAlign w:val="center"/>
          </w:tcPr>
          <w:p w:rsidR="001C36D8" w:rsidRPr="005B1E0B" w:rsidRDefault="001C36D8" w:rsidP="001A09F9">
            <w:pPr>
              <w:spacing w:before="29" w:line="360" w:lineRule="auto"/>
              <w:ind w:left="17"/>
              <w:jc w:val="left"/>
              <w:rPr>
                <w:color w:val="000000"/>
                <w:sz w:val="24"/>
              </w:rPr>
            </w:pPr>
            <w:r w:rsidRPr="005B1E0B">
              <w:rPr>
                <w:color w:val="000000"/>
                <w:sz w:val="24"/>
              </w:rPr>
              <w:t>金融衍生品投资</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5</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其中：买断式回购的买入返售金融资产</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lastRenderedPageBreak/>
              <w:t>6</w:t>
            </w:r>
          </w:p>
        </w:tc>
        <w:tc>
          <w:tcPr>
            <w:tcW w:w="3283" w:type="dxa"/>
            <w:vAlign w:val="center"/>
          </w:tcPr>
          <w:p w:rsidR="001C36D8" w:rsidRPr="005B1E0B" w:rsidRDefault="001C36D8" w:rsidP="001A09F9">
            <w:pPr>
              <w:spacing w:before="29" w:line="360" w:lineRule="auto"/>
              <w:ind w:left="17"/>
              <w:jc w:val="left"/>
              <w:rPr>
                <w:sz w:val="24"/>
              </w:rPr>
            </w:pPr>
            <w:r w:rsidRPr="005B1E0B">
              <w:rPr>
                <w:color w:val="000000"/>
                <w:sz w:val="24"/>
              </w:rPr>
              <w:t>银行存款和结算备付金合计</w:t>
            </w:r>
          </w:p>
        </w:tc>
        <w:tc>
          <w:tcPr>
            <w:tcW w:w="2977"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43,215,326.25</w:t>
            </w:r>
          </w:p>
        </w:tc>
        <w:tc>
          <w:tcPr>
            <w:tcW w:w="1843" w:type="dxa"/>
            <w:vAlign w:val="center"/>
          </w:tcPr>
          <w:p w:rsidR="001C36D8" w:rsidRPr="005B1E0B" w:rsidRDefault="001C36D8" w:rsidP="001A09F9">
            <w:pPr>
              <w:spacing w:before="29" w:line="360" w:lineRule="auto"/>
              <w:ind w:left="17"/>
              <w:jc w:val="right"/>
              <w:rPr>
                <w:color w:val="000000"/>
                <w:sz w:val="24"/>
              </w:rPr>
            </w:pPr>
            <w:r w:rsidRPr="005B1E0B">
              <w:rPr>
                <w:color w:val="000000"/>
                <w:sz w:val="24"/>
              </w:rPr>
              <w:t>5.93</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7</w:t>
            </w:r>
          </w:p>
        </w:tc>
        <w:tc>
          <w:tcPr>
            <w:tcW w:w="3283" w:type="dxa"/>
            <w:vAlign w:val="center"/>
          </w:tcPr>
          <w:p w:rsidR="001C36D8" w:rsidRPr="005B1E0B" w:rsidRDefault="001C36D8" w:rsidP="001A09F9">
            <w:pPr>
              <w:jc w:val="left"/>
              <w:rPr>
                <w:sz w:val="24"/>
              </w:rPr>
            </w:pPr>
            <w:r w:rsidRPr="005B1E0B">
              <w:rPr>
                <w:color w:val="000000"/>
                <w:sz w:val="24"/>
              </w:rPr>
              <w:t>其他资产</w:t>
            </w:r>
          </w:p>
        </w:tc>
        <w:tc>
          <w:tcPr>
            <w:tcW w:w="2977" w:type="dxa"/>
            <w:vAlign w:val="center"/>
          </w:tcPr>
          <w:p w:rsidR="001C36D8" w:rsidRPr="005B1E0B" w:rsidRDefault="001C36D8" w:rsidP="001A09F9">
            <w:pPr>
              <w:jc w:val="right"/>
              <w:rPr>
                <w:color w:val="000000"/>
                <w:sz w:val="24"/>
              </w:rPr>
            </w:pPr>
            <w:r w:rsidRPr="005B1E0B">
              <w:rPr>
                <w:color w:val="000000"/>
                <w:sz w:val="24"/>
              </w:rPr>
              <w:t>4,883,513.39</w:t>
            </w:r>
          </w:p>
        </w:tc>
        <w:tc>
          <w:tcPr>
            <w:tcW w:w="1843" w:type="dxa"/>
            <w:vAlign w:val="center"/>
          </w:tcPr>
          <w:p w:rsidR="001C36D8" w:rsidRPr="005B1E0B" w:rsidRDefault="001C36D8" w:rsidP="001A09F9">
            <w:pPr>
              <w:jc w:val="right"/>
              <w:rPr>
                <w:color w:val="000000"/>
                <w:sz w:val="24"/>
              </w:rPr>
            </w:pPr>
            <w:r w:rsidRPr="005B1E0B">
              <w:rPr>
                <w:color w:val="000000"/>
                <w:sz w:val="24"/>
              </w:rPr>
              <w:t>0.67</w:t>
            </w:r>
          </w:p>
        </w:tc>
      </w:tr>
      <w:tr w:rsidR="001C36D8" w:rsidRPr="00264E55" w:rsidTr="00737AB0">
        <w:trPr>
          <w:jc w:val="center"/>
        </w:trPr>
        <w:tc>
          <w:tcPr>
            <w:tcW w:w="643" w:type="dxa"/>
            <w:vAlign w:val="center"/>
          </w:tcPr>
          <w:p w:rsidR="001C36D8" w:rsidRPr="005B1E0B" w:rsidRDefault="001C36D8" w:rsidP="001A09F9">
            <w:pPr>
              <w:spacing w:before="29" w:line="360" w:lineRule="auto"/>
              <w:ind w:left="17"/>
              <w:jc w:val="center"/>
              <w:rPr>
                <w:color w:val="000000"/>
                <w:sz w:val="24"/>
              </w:rPr>
            </w:pPr>
            <w:r w:rsidRPr="005B1E0B">
              <w:rPr>
                <w:color w:val="000000"/>
                <w:sz w:val="24"/>
              </w:rPr>
              <w:t>8</w:t>
            </w:r>
          </w:p>
        </w:tc>
        <w:tc>
          <w:tcPr>
            <w:tcW w:w="3283" w:type="dxa"/>
            <w:vAlign w:val="center"/>
          </w:tcPr>
          <w:p w:rsidR="001C36D8" w:rsidRPr="005B1E0B" w:rsidRDefault="001C36D8" w:rsidP="001A09F9">
            <w:pPr>
              <w:jc w:val="left"/>
              <w:rPr>
                <w:sz w:val="24"/>
              </w:rPr>
            </w:pPr>
            <w:r w:rsidRPr="005B1E0B">
              <w:rPr>
                <w:color w:val="000000"/>
                <w:sz w:val="24"/>
              </w:rPr>
              <w:t>合计</w:t>
            </w:r>
          </w:p>
        </w:tc>
        <w:tc>
          <w:tcPr>
            <w:tcW w:w="2977" w:type="dxa"/>
            <w:vAlign w:val="center"/>
          </w:tcPr>
          <w:p w:rsidR="001C36D8" w:rsidRPr="005B1E0B" w:rsidRDefault="001C36D8" w:rsidP="001A09F9">
            <w:pPr>
              <w:jc w:val="right"/>
              <w:rPr>
                <w:color w:val="000000"/>
                <w:sz w:val="24"/>
              </w:rPr>
            </w:pPr>
            <w:r w:rsidRPr="005B1E0B">
              <w:rPr>
                <w:color w:val="000000"/>
                <w:sz w:val="24"/>
              </w:rPr>
              <w:t>728,416,229.60</w:t>
            </w:r>
          </w:p>
        </w:tc>
        <w:tc>
          <w:tcPr>
            <w:tcW w:w="1843" w:type="dxa"/>
            <w:vAlign w:val="center"/>
          </w:tcPr>
          <w:p w:rsidR="001C36D8" w:rsidRPr="005B1E0B" w:rsidRDefault="001C36D8" w:rsidP="001A09F9">
            <w:pPr>
              <w:jc w:val="right"/>
              <w:rPr>
                <w:color w:val="000000"/>
                <w:sz w:val="24"/>
              </w:rPr>
            </w:pPr>
            <w:r w:rsidRPr="005B1E0B">
              <w:rPr>
                <w:color w:val="000000"/>
                <w:sz w:val="24"/>
              </w:rPr>
              <w:t>100.00</w:t>
            </w:r>
          </w:p>
        </w:tc>
      </w:tr>
    </w:tbl>
    <w:p w:rsidR="00737AB0" w:rsidRPr="00220C32" w:rsidRDefault="00737AB0" w:rsidP="00737AB0">
      <w:pPr>
        <w:autoSpaceDE w:val="0"/>
        <w:autoSpaceDN w:val="0"/>
        <w:adjustRightInd w:val="0"/>
        <w:spacing w:line="360" w:lineRule="auto"/>
        <w:jc w:val="left"/>
        <w:rPr>
          <w:rFonts w:asciiTheme="minorEastAsia" w:eastAsiaTheme="minorEastAsia" w:hAnsiTheme="minorEastAsia"/>
          <w:b/>
          <w:bCs/>
          <w:color w:val="000000" w:themeColor="text1"/>
          <w:kern w:val="0"/>
          <w:sz w:val="24"/>
        </w:rPr>
      </w:pPr>
      <w:r w:rsidRPr="00220C32">
        <w:rPr>
          <w:rFonts w:asciiTheme="minorEastAsia" w:eastAsiaTheme="minorEastAsia" w:hAnsiTheme="minorEastAsia"/>
          <w:b/>
          <w:bCs/>
          <w:color w:val="000000" w:themeColor="text1"/>
          <w:kern w:val="0"/>
          <w:sz w:val="24"/>
        </w:rPr>
        <w:t xml:space="preserve">5.2 </w:t>
      </w:r>
      <w:r w:rsidRPr="00220C32">
        <w:rPr>
          <w:rFonts w:asciiTheme="minorEastAsia" w:eastAsiaTheme="minorEastAsia" w:hAnsiTheme="minorEastAsia" w:hint="eastAsia"/>
          <w:b/>
          <w:bCs/>
          <w:color w:val="000000" w:themeColor="text1"/>
          <w:kern w:val="0"/>
          <w:sz w:val="24"/>
        </w:rPr>
        <w:t>报告期末按行业分类的股票投资组合</w:t>
      </w:r>
    </w:p>
    <w:p w:rsidR="00737AB0" w:rsidRPr="000D7474" w:rsidRDefault="00737AB0" w:rsidP="00737AB0">
      <w:pPr>
        <w:rPr>
          <w:rFonts w:asciiTheme="minorEastAsia" w:eastAsiaTheme="minorEastAsia" w:hAnsiTheme="minorEastAsia"/>
          <w:b/>
          <w:bCs/>
          <w:color w:val="000000" w:themeColor="text1"/>
          <w:kern w:val="0"/>
          <w:sz w:val="24"/>
        </w:rPr>
      </w:pPr>
      <w:r w:rsidRPr="000D7474">
        <w:rPr>
          <w:rFonts w:asciiTheme="minorEastAsia" w:eastAsiaTheme="minorEastAsia" w:hAnsiTheme="minorEastAsia" w:hint="eastAsia"/>
          <w:b/>
          <w:bCs/>
          <w:color w:val="000000" w:themeColor="text1"/>
          <w:kern w:val="0"/>
          <w:sz w:val="24"/>
        </w:rPr>
        <w:t>5.2.1报告期末按行业分类的境内股票投资组合</w:t>
      </w:r>
    </w:p>
    <w:tbl>
      <w:tblPr>
        <w:tblW w:w="89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5"/>
        <w:gridCol w:w="3691"/>
        <w:gridCol w:w="2852"/>
        <w:gridCol w:w="1648"/>
      </w:tblGrid>
      <w:tr w:rsidR="00737AB0" w:rsidRPr="008C2A4F" w:rsidTr="00737AB0">
        <w:trPr>
          <w:trHeight w:val="390"/>
        </w:trPr>
        <w:tc>
          <w:tcPr>
            <w:tcW w:w="785" w:type="dxa"/>
            <w:tcBorders>
              <w:top w:val="single" w:sz="4" w:space="0" w:color="000000"/>
              <w:left w:val="single" w:sz="4" w:space="0" w:color="000000"/>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占基金资产净值比例（％）</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utoSpaceDE w:val="0"/>
              <w:autoSpaceDN w:val="0"/>
              <w:adjustRightInd w:val="0"/>
              <w:spacing w:before="29" w:line="360" w:lineRule="auto"/>
              <w:ind w:left="15"/>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51,992,893.38</w:t>
            </w:r>
          </w:p>
          <w:p w:rsidR="00737AB0" w:rsidRPr="008C2A4F" w:rsidRDefault="00737AB0" w:rsidP="00D94F96">
            <w:pPr>
              <w:jc w:val="right"/>
              <w:rPr>
                <w:rFonts w:eastAsiaTheme="minorEastAsia"/>
                <w:color w:val="000000" w:themeColor="text1"/>
                <w:kern w:val="0"/>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7.19</w:t>
            </w:r>
          </w:p>
          <w:p w:rsidR="00737AB0" w:rsidRPr="008C2A4F" w:rsidRDefault="00737AB0" w:rsidP="00D94F96">
            <w:pPr>
              <w:jc w:val="right"/>
              <w:rPr>
                <w:rFonts w:eastAsiaTheme="minorEastAsia"/>
                <w:color w:val="000000" w:themeColor="text1"/>
                <w:kern w:val="0"/>
                <w:sz w:val="24"/>
              </w:rPr>
            </w:pP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435,532,748.04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60.27</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65,501,182.37</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9.06</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12,305,446.00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1.70</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25,059,199.00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3.47</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10,617,526.64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1.47</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36,189,627.60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5.01</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40,398,372.93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5.59</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1,220,658.00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0.17</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1,499,736.00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0.21</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r w:rsidRPr="008C2A4F">
              <w:rPr>
                <w:rFonts w:eastAsiaTheme="minorEastAsia"/>
                <w:color w:val="000000" w:themeColor="text1"/>
                <w:kern w:val="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w:t>
            </w:r>
          </w:p>
        </w:tc>
      </w:tr>
      <w:tr w:rsidR="00737AB0" w:rsidRPr="008C2A4F" w:rsidTr="00737AB0">
        <w:trPr>
          <w:trHeight w:val="285"/>
        </w:trPr>
        <w:tc>
          <w:tcPr>
            <w:tcW w:w="7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jc w:val="center"/>
              <w:rPr>
                <w:rFonts w:eastAsiaTheme="minorEastAsia"/>
                <w:color w:val="000000" w:themeColor="text1"/>
                <w:kern w:val="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737AB0" w:rsidRPr="008C2A4F" w:rsidRDefault="00737AB0" w:rsidP="00D94F96">
            <w:pPr>
              <w:adjustRightInd w:val="0"/>
              <w:snapToGrid w:val="0"/>
              <w:spacing w:line="400" w:lineRule="exact"/>
              <w:rPr>
                <w:rFonts w:eastAsiaTheme="minorEastAsia"/>
                <w:color w:val="000000" w:themeColor="text1"/>
                <w:kern w:val="0"/>
                <w:sz w:val="24"/>
              </w:rPr>
            </w:pPr>
            <w:r w:rsidRPr="008C2A4F">
              <w:rPr>
                <w:rFonts w:eastAsiaTheme="minorEastAsia"/>
                <w:color w:val="000000" w:themeColor="text1"/>
                <w:kern w:val="0"/>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680,317,389.96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37AB0" w:rsidRPr="008C2A4F" w:rsidRDefault="00737AB0" w:rsidP="00D94F96">
            <w:pPr>
              <w:jc w:val="right"/>
              <w:rPr>
                <w:rFonts w:eastAsiaTheme="minorEastAsia"/>
                <w:color w:val="000000" w:themeColor="text1"/>
                <w:kern w:val="0"/>
                <w:sz w:val="24"/>
              </w:rPr>
            </w:pPr>
            <w:r w:rsidRPr="008C2A4F">
              <w:rPr>
                <w:rFonts w:eastAsiaTheme="minorEastAsia"/>
                <w:color w:val="000000" w:themeColor="text1"/>
                <w:kern w:val="0"/>
                <w:sz w:val="24"/>
              </w:rPr>
              <w:t>94.14</w:t>
            </w:r>
          </w:p>
        </w:tc>
      </w:tr>
    </w:tbl>
    <w:p w:rsidR="000F2837" w:rsidRPr="000F2837" w:rsidRDefault="001C36D8" w:rsidP="000F2837">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5.3</w:t>
      </w:r>
      <w:r w:rsidR="00291A74" w:rsidRPr="00291A74">
        <w:rPr>
          <w:rFonts w:ascii="宋体" w:hAnsi="宋体" w:cs="Arial" w:hint="eastAsia"/>
          <w:b/>
          <w:color w:val="000000"/>
          <w:kern w:val="0"/>
          <w:sz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0F2837" w:rsidRPr="00264E55" w:rsidTr="002406DE">
        <w:tc>
          <w:tcPr>
            <w:tcW w:w="85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序号</w:t>
            </w:r>
          </w:p>
        </w:tc>
        <w:tc>
          <w:tcPr>
            <w:tcW w:w="1276"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股票代码</w:t>
            </w:r>
          </w:p>
        </w:tc>
        <w:tc>
          <w:tcPr>
            <w:tcW w:w="1418"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股票名称</w:t>
            </w:r>
          </w:p>
        </w:tc>
        <w:tc>
          <w:tcPr>
            <w:tcW w:w="1701"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数量（股）</w:t>
            </w:r>
          </w:p>
        </w:tc>
        <w:tc>
          <w:tcPr>
            <w:tcW w:w="1984" w:type="dxa"/>
            <w:vAlign w:val="center"/>
          </w:tcPr>
          <w:p w:rsidR="000F2837" w:rsidRPr="00232B03" w:rsidRDefault="000F2837" w:rsidP="002406DE">
            <w:pPr>
              <w:autoSpaceDE w:val="0"/>
              <w:autoSpaceDN w:val="0"/>
              <w:adjustRightInd w:val="0"/>
              <w:spacing w:before="29" w:line="360" w:lineRule="auto"/>
              <w:ind w:left="17"/>
              <w:jc w:val="center"/>
              <w:rPr>
                <w:color w:val="000000"/>
                <w:kern w:val="0"/>
                <w:sz w:val="24"/>
              </w:rPr>
            </w:pPr>
            <w:r w:rsidRPr="00232B03">
              <w:rPr>
                <w:color w:val="000000"/>
                <w:kern w:val="0"/>
                <w:sz w:val="24"/>
              </w:rPr>
              <w:t>公允价值（元）</w:t>
            </w:r>
          </w:p>
        </w:tc>
        <w:tc>
          <w:tcPr>
            <w:tcW w:w="1559" w:type="dxa"/>
            <w:vAlign w:val="center"/>
          </w:tcPr>
          <w:p w:rsidR="000F2837" w:rsidRPr="00232B03" w:rsidRDefault="000F2837" w:rsidP="002406DE">
            <w:pPr>
              <w:spacing w:before="29" w:line="360" w:lineRule="auto"/>
              <w:ind w:left="17"/>
              <w:jc w:val="center"/>
              <w:rPr>
                <w:color w:val="000000"/>
                <w:kern w:val="0"/>
                <w:sz w:val="24"/>
              </w:rPr>
            </w:pPr>
            <w:r w:rsidRPr="00232B03">
              <w:rPr>
                <w:color w:val="000000"/>
                <w:kern w:val="0"/>
                <w:sz w:val="24"/>
              </w:rPr>
              <w:t>占基金资产净值比例</w:t>
            </w:r>
            <w:r w:rsidRPr="00232B03">
              <w:rPr>
                <w:color w:val="000000"/>
                <w:kern w:val="0"/>
                <w:sz w:val="24"/>
              </w:rPr>
              <w:lastRenderedPageBreak/>
              <w:t>（％）</w:t>
            </w:r>
          </w:p>
        </w:tc>
      </w:tr>
      <w:tr w:rsidR="00F74B6C">
        <w:tc>
          <w:tcPr>
            <w:tcW w:w="851" w:type="dxa"/>
            <w:vAlign w:val="center"/>
          </w:tcPr>
          <w:p w:rsidR="00F74B6C" w:rsidRDefault="00D936E6">
            <w:pPr>
              <w:jc w:val="center"/>
            </w:pPr>
            <w:r>
              <w:rPr>
                <w:color w:val="000000"/>
                <w:kern w:val="0"/>
                <w:sz w:val="24"/>
              </w:rPr>
              <w:lastRenderedPageBreak/>
              <w:t>1</w:t>
            </w:r>
          </w:p>
        </w:tc>
        <w:tc>
          <w:tcPr>
            <w:tcW w:w="1276" w:type="dxa"/>
            <w:vAlign w:val="center"/>
          </w:tcPr>
          <w:p w:rsidR="00F74B6C" w:rsidRDefault="00D936E6">
            <w:pPr>
              <w:jc w:val="center"/>
            </w:pPr>
            <w:r>
              <w:rPr>
                <w:color w:val="000000"/>
                <w:kern w:val="0"/>
                <w:sz w:val="24"/>
              </w:rPr>
              <w:t>600690</w:t>
            </w:r>
          </w:p>
        </w:tc>
        <w:tc>
          <w:tcPr>
            <w:tcW w:w="1418" w:type="dxa"/>
            <w:vAlign w:val="center"/>
          </w:tcPr>
          <w:p w:rsidR="00F74B6C" w:rsidRDefault="00D936E6">
            <w:pPr>
              <w:jc w:val="center"/>
            </w:pPr>
            <w:r>
              <w:rPr>
                <w:color w:val="000000"/>
                <w:kern w:val="0"/>
                <w:sz w:val="24"/>
              </w:rPr>
              <w:t>海尔智家</w:t>
            </w:r>
          </w:p>
        </w:tc>
        <w:tc>
          <w:tcPr>
            <w:tcW w:w="1701" w:type="dxa"/>
            <w:vAlign w:val="center"/>
          </w:tcPr>
          <w:p w:rsidR="00F74B6C" w:rsidRDefault="00D936E6">
            <w:pPr>
              <w:jc w:val="right"/>
            </w:pPr>
            <w:r>
              <w:rPr>
                <w:color w:val="000000"/>
                <w:kern w:val="0"/>
                <w:sz w:val="24"/>
              </w:rPr>
              <w:t>2,247,452</w:t>
            </w:r>
          </w:p>
        </w:tc>
        <w:tc>
          <w:tcPr>
            <w:tcW w:w="1984" w:type="dxa"/>
            <w:vAlign w:val="center"/>
          </w:tcPr>
          <w:p w:rsidR="00F74B6C" w:rsidRDefault="00D936E6">
            <w:pPr>
              <w:jc w:val="right"/>
            </w:pPr>
            <w:r>
              <w:rPr>
                <w:color w:val="000000"/>
                <w:kern w:val="0"/>
                <w:sz w:val="24"/>
              </w:rPr>
              <w:t>34,386,015.60</w:t>
            </w:r>
          </w:p>
        </w:tc>
        <w:tc>
          <w:tcPr>
            <w:tcW w:w="1559" w:type="dxa"/>
            <w:vAlign w:val="center"/>
          </w:tcPr>
          <w:p w:rsidR="00F74B6C" w:rsidRDefault="00D936E6">
            <w:pPr>
              <w:jc w:val="right"/>
            </w:pPr>
            <w:r>
              <w:rPr>
                <w:color w:val="000000"/>
                <w:kern w:val="0"/>
                <w:sz w:val="24"/>
              </w:rPr>
              <w:t>4.76</w:t>
            </w:r>
          </w:p>
        </w:tc>
      </w:tr>
      <w:tr w:rsidR="00F74B6C">
        <w:tc>
          <w:tcPr>
            <w:tcW w:w="851" w:type="dxa"/>
            <w:vAlign w:val="center"/>
          </w:tcPr>
          <w:p w:rsidR="00F74B6C" w:rsidRDefault="00D936E6">
            <w:pPr>
              <w:jc w:val="center"/>
            </w:pPr>
            <w:r>
              <w:rPr>
                <w:color w:val="000000"/>
                <w:kern w:val="0"/>
                <w:sz w:val="24"/>
              </w:rPr>
              <w:t>2</w:t>
            </w:r>
          </w:p>
        </w:tc>
        <w:tc>
          <w:tcPr>
            <w:tcW w:w="1276" w:type="dxa"/>
            <w:vAlign w:val="center"/>
          </w:tcPr>
          <w:p w:rsidR="00F74B6C" w:rsidRDefault="00D936E6">
            <w:pPr>
              <w:jc w:val="center"/>
            </w:pPr>
            <w:r>
              <w:rPr>
                <w:color w:val="000000"/>
                <w:kern w:val="0"/>
                <w:sz w:val="24"/>
              </w:rPr>
              <w:t>000661</w:t>
            </w:r>
          </w:p>
        </w:tc>
        <w:tc>
          <w:tcPr>
            <w:tcW w:w="1418" w:type="dxa"/>
            <w:vAlign w:val="center"/>
          </w:tcPr>
          <w:p w:rsidR="00F74B6C" w:rsidRDefault="00D936E6">
            <w:pPr>
              <w:jc w:val="center"/>
            </w:pPr>
            <w:r>
              <w:rPr>
                <w:color w:val="000000"/>
                <w:kern w:val="0"/>
                <w:sz w:val="24"/>
              </w:rPr>
              <w:t>长春高新</w:t>
            </w:r>
          </w:p>
        </w:tc>
        <w:tc>
          <w:tcPr>
            <w:tcW w:w="1701" w:type="dxa"/>
            <w:vAlign w:val="center"/>
          </w:tcPr>
          <w:p w:rsidR="00F74B6C" w:rsidRDefault="00D936E6">
            <w:pPr>
              <w:jc w:val="right"/>
            </w:pPr>
            <w:r>
              <w:rPr>
                <w:color w:val="000000"/>
                <w:kern w:val="0"/>
                <w:sz w:val="24"/>
              </w:rPr>
              <w:t>86,644</w:t>
            </w:r>
          </w:p>
        </w:tc>
        <w:tc>
          <w:tcPr>
            <w:tcW w:w="1984" w:type="dxa"/>
            <w:vAlign w:val="center"/>
          </w:tcPr>
          <w:p w:rsidR="00F74B6C" w:rsidRDefault="00D936E6">
            <w:pPr>
              <w:jc w:val="right"/>
            </w:pPr>
            <w:r>
              <w:rPr>
                <w:color w:val="000000"/>
                <w:kern w:val="0"/>
                <w:sz w:val="24"/>
              </w:rPr>
              <w:t>34,168,927.84</w:t>
            </w:r>
          </w:p>
        </w:tc>
        <w:tc>
          <w:tcPr>
            <w:tcW w:w="1559" w:type="dxa"/>
            <w:vAlign w:val="center"/>
          </w:tcPr>
          <w:p w:rsidR="00F74B6C" w:rsidRDefault="00D936E6">
            <w:pPr>
              <w:jc w:val="right"/>
            </w:pPr>
            <w:r>
              <w:rPr>
                <w:color w:val="000000"/>
                <w:kern w:val="0"/>
                <w:sz w:val="24"/>
              </w:rPr>
              <w:t>4.73</w:t>
            </w:r>
          </w:p>
        </w:tc>
      </w:tr>
      <w:tr w:rsidR="00F74B6C">
        <w:tc>
          <w:tcPr>
            <w:tcW w:w="851" w:type="dxa"/>
            <w:vAlign w:val="center"/>
          </w:tcPr>
          <w:p w:rsidR="00F74B6C" w:rsidRDefault="00D936E6">
            <w:pPr>
              <w:jc w:val="center"/>
            </w:pPr>
            <w:r>
              <w:rPr>
                <w:color w:val="000000"/>
                <w:kern w:val="0"/>
                <w:sz w:val="24"/>
              </w:rPr>
              <w:t>3</w:t>
            </w:r>
          </w:p>
        </w:tc>
        <w:tc>
          <w:tcPr>
            <w:tcW w:w="1276" w:type="dxa"/>
            <w:vAlign w:val="center"/>
          </w:tcPr>
          <w:p w:rsidR="00F74B6C" w:rsidRDefault="00D936E6">
            <w:pPr>
              <w:jc w:val="center"/>
            </w:pPr>
            <w:r>
              <w:rPr>
                <w:color w:val="000000"/>
                <w:kern w:val="0"/>
                <w:sz w:val="24"/>
              </w:rPr>
              <w:t>600795</w:t>
            </w:r>
          </w:p>
        </w:tc>
        <w:tc>
          <w:tcPr>
            <w:tcW w:w="1418" w:type="dxa"/>
            <w:vAlign w:val="center"/>
          </w:tcPr>
          <w:p w:rsidR="00F74B6C" w:rsidRDefault="00D936E6">
            <w:pPr>
              <w:jc w:val="center"/>
            </w:pPr>
            <w:r>
              <w:rPr>
                <w:color w:val="000000"/>
                <w:kern w:val="0"/>
                <w:sz w:val="24"/>
              </w:rPr>
              <w:t>国电电力</w:t>
            </w:r>
          </w:p>
        </w:tc>
        <w:tc>
          <w:tcPr>
            <w:tcW w:w="1701" w:type="dxa"/>
            <w:vAlign w:val="center"/>
          </w:tcPr>
          <w:p w:rsidR="00F74B6C" w:rsidRDefault="00D936E6">
            <w:pPr>
              <w:jc w:val="right"/>
            </w:pPr>
            <w:r>
              <w:rPr>
                <w:color w:val="000000"/>
                <w:kern w:val="0"/>
                <w:sz w:val="24"/>
              </w:rPr>
              <w:t>14,221,400</w:t>
            </w:r>
          </w:p>
        </w:tc>
        <w:tc>
          <w:tcPr>
            <w:tcW w:w="1984" w:type="dxa"/>
            <w:vAlign w:val="center"/>
          </w:tcPr>
          <w:p w:rsidR="00F74B6C" w:rsidRDefault="00D936E6">
            <w:pPr>
              <w:jc w:val="right"/>
            </w:pPr>
            <w:r>
              <w:rPr>
                <w:color w:val="000000"/>
                <w:kern w:val="0"/>
                <w:sz w:val="24"/>
              </w:rPr>
              <w:t>33,989,146.00</w:t>
            </w:r>
          </w:p>
        </w:tc>
        <w:tc>
          <w:tcPr>
            <w:tcW w:w="1559" w:type="dxa"/>
            <w:vAlign w:val="center"/>
          </w:tcPr>
          <w:p w:rsidR="00F74B6C" w:rsidRDefault="00D936E6">
            <w:pPr>
              <w:jc w:val="right"/>
            </w:pPr>
            <w:r>
              <w:rPr>
                <w:color w:val="000000"/>
                <w:kern w:val="0"/>
                <w:sz w:val="24"/>
              </w:rPr>
              <w:t>4.70</w:t>
            </w:r>
          </w:p>
        </w:tc>
      </w:tr>
      <w:tr w:rsidR="00F74B6C">
        <w:tc>
          <w:tcPr>
            <w:tcW w:w="851" w:type="dxa"/>
            <w:vAlign w:val="center"/>
          </w:tcPr>
          <w:p w:rsidR="00F74B6C" w:rsidRDefault="00D936E6">
            <w:pPr>
              <w:jc w:val="center"/>
            </w:pPr>
            <w:r>
              <w:rPr>
                <w:color w:val="000000"/>
                <w:kern w:val="0"/>
                <w:sz w:val="24"/>
              </w:rPr>
              <w:t>4</w:t>
            </w:r>
          </w:p>
        </w:tc>
        <w:tc>
          <w:tcPr>
            <w:tcW w:w="1276" w:type="dxa"/>
            <w:vAlign w:val="center"/>
          </w:tcPr>
          <w:p w:rsidR="00F74B6C" w:rsidRDefault="00D936E6">
            <w:pPr>
              <w:jc w:val="center"/>
            </w:pPr>
            <w:r>
              <w:rPr>
                <w:color w:val="000000"/>
                <w:kern w:val="0"/>
                <w:sz w:val="24"/>
              </w:rPr>
              <w:t>600745</w:t>
            </w:r>
          </w:p>
        </w:tc>
        <w:tc>
          <w:tcPr>
            <w:tcW w:w="1418" w:type="dxa"/>
            <w:vAlign w:val="center"/>
          </w:tcPr>
          <w:p w:rsidR="00F74B6C" w:rsidRDefault="00D936E6">
            <w:pPr>
              <w:jc w:val="center"/>
            </w:pPr>
            <w:r>
              <w:rPr>
                <w:color w:val="000000"/>
                <w:kern w:val="0"/>
                <w:sz w:val="24"/>
              </w:rPr>
              <w:t>闻泰科技</w:t>
            </w:r>
          </w:p>
        </w:tc>
        <w:tc>
          <w:tcPr>
            <w:tcW w:w="1701" w:type="dxa"/>
            <w:vAlign w:val="center"/>
          </w:tcPr>
          <w:p w:rsidR="00F74B6C" w:rsidRDefault="00D936E6">
            <w:pPr>
              <w:jc w:val="right"/>
            </w:pPr>
            <w:r>
              <w:rPr>
                <w:color w:val="000000"/>
                <w:kern w:val="0"/>
                <w:sz w:val="24"/>
              </w:rPr>
              <w:t>474,744</w:t>
            </w:r>
          </w:p>
        </w:tc>
        <w:tc>
          <w:tcPr>
            <w:tcW w:w="1984" w:type="dxa"/>
            <w:vAlign w:val="center"/>
          </w:tcPr>
          <w:p w:rsidR="00F74B6C" w:rsidRDefault="00D936E6">
            <w:pPr>
              <w:jc w:val="right"/>
            </w:pPr>
            <w:r>
              <w:rPr>
                <w:color w:val="000000"/>
                <w:kern w:val="0"/>
                <w:sz w:val="24"/>
              </w:rPr>
              <w:t>33,559,653.36</w:t>
            </w:r>
          </w:p>
        </w:tc>
        <w:tc>
          <w:tcPr>
            <w:tcW w:w="1559" w:type="dxa"/>
            <w:vAlign w:val="center"/>
          </w:tcPr>
          <w:p w:rsidR="00F74B6C" w:rsidRDefault="00D936E6">
            <w:pPr>
              <w:jc w:val="right"/>
            </w:pPr>
            <w:r>
              <w:rPr>
                <w:color w:val="000000"/>
                <w:kern w:val="0"/>
                <w:sz w:val="24"/>
              </w:rPr>
              <w:t>4.64</w:t>
            </w:r>
          </w:p>
        </w:tc>
      </w:tr>
      <w:tr w:rsidR="00F74B6C">
        <w:tc>
          <w:tcPr>
            <w:tcW w:w="851" w:type="dxa"/>
            <w:vAlign w:val="center"/>
          </w:tcPr>
          <w:p w:rsidR="00F74B6C" w:rsidRDefault="00D936E6">
            <w:pPr>
              <w:jc w:val="center"/>
            </w:pPr>
            <w:r>
              <w:rPr>
                <w:color w:val="000000"/>
                <w:kern w:val="0"/>
                <w:sz w:val="24"/>
              </w:rPr>
              <w:t>5</w:t>
            </w:r>
          </w:p>
        </w:tc>
        <w:tc>
          <w:tcPr>
            <w:tcW w:w="1276" w:type="dxa"/>
            <w:vAlign w:val="center"/>
          </w:tcPr>
          <w:p w:rsidR="00F74B6C" w:rsidRDefault="00D936E6">
            <w:pPr>
              <w:jc w:val="center"/>
            </w:pPr>
            <w:r>
              <w:rPr>
                <w:color w:val="000000"/>
                <w:kern w:val="0"/>
                <w:sz w:val="24"/>
              </w:rPr>
              <w:t>601088</w:t>
            </w:r>
          </w:p>
        </w:tc>
        <w:tc>
          <w:tcPr>
            <w:tcW w:w="1418" w:type="dxa"/>
            <w:vAlign w:val="center"/>
          </w:tcPr>
          <w:p w:rsidR="00F74B6C" w:rsidRDefault="00D936E6">
            <w:pPr>
              <w:jc w:val="center"/>
            </w:pPr>
            <w:r>
              <w:rPr>
                <w:color w:val="000000"/>
                <w:kern w:val="0"/>
                <w:sz w:val="24"/>
              </w:rPr>
              <w:t>中国神华</w:t>
            </w:r>
          </w:p>
        </w:tc>
        <w:tc>
          <w:tcPr>
            <w:tcW w:w="1701" w:type="dxa"/>
            <w:vAlign w:val="center"/>
          </w:tcPr>
          <w:p w:rsidR="00F74B6C" w:rsidRDefault="00D936E6">
            <w:pPr>
              <w:jc w:val="right"/>
            </w:pPr>
            <w:r>
              <w:rPr>
                <w:color w:val="000000"/>
                <w:kern w:val="0"/>
                <w:sz w:val="24"/>
              </w:rPr>
              <w:t>1,775,871</w:t>
            </w:r>
          </w:p>
        </w:tc>
        <w:tc>
          <w:tcPr>
            <w:tcW w:w="1984" w:type="dxa"/>
            <w:vAlign w:val="center"/>
          </w:tcPr>
          <w:p w:rsidR="00F74B6C" w:rsidRDefault="00D936E6">
            <w:pPr>
              <w:jc w:val="right"/>
            </w:pPr>
            <w:r>
              <w:rPr>
                <w:color w:val="000000"/>
                <w:kern w:val="0"/>
                <w:sz w:val="24"/>
              </w:rPr>
              <w:t>33,350,857.38</w:t>
            </w:r>
          </w:p>
        </w:tc>
        <w:tc>
          <w:tcPr>
            <w:tcW w:w="1559" w:type="dxa"/>
            <w:vAlign w:val="center"/>
          </w:tcPr>
          <w:p w:rsidR="00F74B6C" w:rsidRDefault="00D936E6">
            <w:pPr>
              <w:jc w:val="right"/>
            </w:pPr>
            <w:r>
              <w:rPr>
                <w:color w:val="000000"/>
                <w:kern w:val="0"/>
                <w:sz w:val="24"/>
              </w:rPr>
              <w:t>4.61</w:t>
            </w:r>
          </w:p>
        </w:tc>
      </w:tr>
      <w:tr w:rsidR="00F74B6C">
        <w:tc>
          <w:tcPr>
            <w:tcW w:w="851" w:type="dxa"/>
            <w:vAlign w:val="center"/>
          </w:tcPr>
          <w:p w:rsidR="00F74B6C" w:rsidRDefault="00D936E6">
            <w:pPr>
              <w:jc w:val="center"/>
            </w:pPr>
            <w:r>
              <w:rPr>
                <w:color w:val="000000"/>
                <w:kern w:val="0"/>
                <w:sz w:val="24"/>
              </w:rPr>
              <w:t>6</w:t>
            </w:r>
          </w:p>
        </w:tc>
        <w:tc>
          <w:tcPr>
            <w:tcW w:w="1276" w:type="dxa"/>
            <w:vAlign w:val="center"/>
          </w:tcPr>
          <w:p w:rsidR="00F74B6C" w:rsidRDefault="00D936E6">
            <w:pPr>
              <w:jc w:val="center"/>
            </w:pPr>
            <w:r>
              <w:rPr>
                <w:color w:val="000000"/>
                <w:kern w:val="0"/>
                <w:sz w:val="24"/>
              </w:rPr>
              <w:t>000895</w:t>
            </w:r>
          </w:p>
        </w:tc>
        <w:tc>
          <w:tcPr>
            <w:tcW w:w="1418" w:type="dxa"/>
            <w:vAlign w:val="center"/>
          </w:tcPr>
          <w:p w:rsidR="00F74B6C" w:rsidRDefault="00D936E6">
            <w:pPr>
              <w:jc w:val="center"/>
            </w:pPr>
            <w:r>
              <w:rPr>
                <w:color w:val="000000"/>
                <w:kern w:val="0"/>
                <w:sz w:val="24"/>
              </w:rPr>
              <w:t>双汇发展</w:t>
            </w:r>
          </w:p>
        </w:tc>
        <w:tc>
          <w:tcPr>
            <w:tcW w:w="1701" w:type="dxa"/>
            <w:vAlign w:val="center"/>
          </w:tcPr>
          <w:p w:rsidR="00F74B6C" w:rsidRDefault="00D936E6">
            <w:pPr>
              <w:jc w:val="right"/>
            </w:pPr>
            <w:r>
              <w:rPr>
                <w:color w:val="000000"/>
                <w:kern w:val="0"/>
                <w:sz w:val="24"/>
              </w:rPr>
              <w:t>1,232,000</w:t>
            </w:r>
          </w:p>
        </w:tc>
        <w:tc>
          <w:tcPr>
            <w:tcW w:w="1984" w:type="dxa"/>
            <w:vAlign w:val="center"/>
          </w:tcPr>
          <w:p w:rsidR="00F74B6C" w:rsidRDefault="00D936E6">
            <w:pPr>
              <w:jc w:val="right"/>
            </w:pPr>
            <w:r>
              <w:rPr>
                <w:color w:val="000000"/>
                <w:kern w:val="0"/>
                <w:sz w:val="24"/>
              </w:rPr>
              <w:t>30,430,400.00</w:t>
            </w:r>
          </w:p>
        </w:tc>
        <w:tc>
          <w:tcPr>
            <w:tcW w:w="1559" w:type="dxa"/>
            <w:vAlign w:val="center"/>
          </w:tcPr>
          <w:p w:rsidR="00F74B6C" w:rsidRDefault="00D936E6">
            <w:pPr>
              <w:jc w:val="right"/>
            </w:pPr>
            <w:r>
              <w:rPr>
                <w:color w:val="000000"/>
                <w:kern w:val="0"/>
                <w:sz w:val="24"/>
              </w:rPr>
              <w:t>4.21</w:t>
            </w:r>
          </w:p>
        </w:tc>
      </w:tr>
      <w:tr w:rsidR="00F74B6C">
        <w:tc>
          <w:tcPr>
            <w:tcW w:w="851" w:type="dxa"/>
            <w:vAlign w:val="center"/>
          </w:tcPr>
          <w:p w:rsidR="00F74B6C" w:rsidRDefault="00D936E6">
            <w:pPr>
              <w:jc w:val="center"/>
            </w:pPr>
            <w:r>
              <w:rPr>
                <w:color w:val="000000"/>
                <w:kern w:val="0"/>
                <w:sz w:val="24"/>
              </w:rPr>
              <w:t>7</w:t>
            </w:r>
          </w:p>
        </w:tc>
        <w:tc>
          <w:tcPr>
            <w:tcW w:w="1276" w:type="dxa"/>
            <w:vAlign w:val="center"/>
          </w:tcPr>
          <w:p w:rsidR="00F74B6C" w:rsidRDefault="00D936E6">
            <w:pPr>
              <w:jc w:val="center"/>
            </w:pPr>
            <w:r>
              <w:rPr>
                <w:color w:val="000000"/>
                <w:kern w:val="0"/>
                <w:sz w:val="24"/>
              </w:rPr>
              <w:t>002049</w:t>
            </w:r>
          </w:p>
        </w:tc>
        <w:tc>
          <w:tcPr>
            <w:tcW w:w="1418" w:type="dxa"/>
            <w:vAlign w:val="center"/>
          </w:tcPr>
          <w:p w:rsidR="00F74B6C" w:rsidRDefault="00D936E6">
            <w:pPr>
              <w:jc w:val="center"/>
            </w:pPr>
            <w:r>
              <w:rPr>
                <w:color w:val="000000"/>
                <w:kern w:val="0"/>
                <w:sz w:val="24"/>
              </w:rPr>
              <w:t>紫光国微</w:t>
            </w:r>
          </w:p>
        </w:tc>
        <w:tc>
          <w:tcPr>
            <w:tcW w:w="1701" w:type="dxa"/>
            <w:vAlign w:val="center"/>
          </w:tcPr>
          <w:p w:rsidR="00F74B6C" w:rsidRDefault="00D936E6">
            <w:pPr>
              <w:jc w:val="right"/>
            </w:pPr>
            <w:r>
              <w:rPr>
                <w:color w:val="000000"/>
                <w:kern w:val="0"/>
                <w:sz w:val="24"/>
              </w:rPr>
              <w:t>528,700</w:t>
            </w:r>
          </w:p>
        </w:tc>
        <w:tc>
          <w:tcPr>
            <w:tcW w:w="1984" w:type="dxa"/>
            <w:vAlign w:val="center"/>
          </w:tcPr>
          <w:p w:rsidR="00F74B6C" w:rsidRDefault="00D936E6">
            <w:pPr>
              <w:jc w:val="right"/>
            </w:pPr>
            <w:r>
              <w:rPr>
                <w:color w:val="000000"/>
                <w:kern w:val="0"/>
                <w:sz w:val="24"/>
              </w:rPr>
              <w:t>27,011,283.00</w:t>
            </w:r>
          </w:p>
        </w:tc>
        <w:tc>
          <w:tcPr>
            <w:tcW w:w="1559" w:type="dxa"/>
            <w:vAlign w:val="center"/>
          </w:tcPr>
          <w:p w:rsidR="00F74B6C" w:rsidRDefault="00D936E6">
            <w:pPr>
              <w:jc w:val="right"/>
            </w:pPr>
            <w:r>
              <w:rPr>
                <w:color w:val="000000"/>
                <w:kern w:val="0"/>
                <w:sz w:val="24"/>
              </w:rPr>
              <w:t>3.74</w:t>
            </w:r>
          </w:p>
        </w:tc>
      </w:tr>
      <w:tr w:rsidR="00F74B6C">
        <w:tc>
          <w:tcPr>
            <w:tcW w:w="851" w:type="dxa"/>
            <w:vAlign w:val="center"/>
          </w:tcPr>
          <w:p w:rsidR="00F74B6C" w:rsidRDefault="00D936E6">
            <w:pPr>
              <w:jc w:val="center"/>
            </w:pPr>
            <w:r>
              <w:rPr>
                <w:color w:val="000000"/>
                <w:kern w:val="0"/>
                <w:sz w:val="24"/>
              </w:rPr>
              <w:t>8</w:t>
            </w:r>
          </w:p>
        </w:tc>
        <w:tc>
          <w:tcPr>
            <w:tcW w:w="1276" w:type="dxa"/>
            <w:vAlign w:val="center"/>
          </w:tcPr>
          <w:p w:rsidR="00F74B6C" w:rsidRDefault="00D936E6">
            <w:pPr>
              <w:jc w:val="center"/>
            </w:pPr>
            <w:r>
              <w:rPr>
                <w:color w:val="000000"/>
                <w:kern w:val="0"/>
                <w:sz w:val="24"/>
              </w:rPr>
              <w:t>600739</w:t>
            </w:r>
          </w:p>
        </w:tc>
        <w:tc>
          <w:tcPr>
            <w:tcW w:w="1418" w:type="dxa"/>
            <w:vAlign w:val="center"/>
          </w:tcPr>
          <w:p w:rsidR="00F74B6C" w:rsidRDefault="00D936E6">
            <w:pPr>
              <w:jc w:val="center"/>
            </w:pPr>
            <w:r>
              <w:rPr>
                <w:color w:val="000000"/>
                <w:kern w:val="0"/>
                <w:sz w:val="24"/>
              </w:rPr>
              <w:t>辽宁成大</w:t>
            </w:r>
          </w:p>
        </w:tc>
        <w:tc>
          <w:tcPr>
            <w:tcW w:w="1701" w:type="dxa"/>
            <w:vAlign w:val="center"/>
          </w:tcPr>
          <w:p w:rsidR="00F74B6C" w:rsidRDefault="00D936E6">
            <w:pPr>
              <w:jc w:val="right"/>
            </w:pPr>
            <w:r>
              <w:rPr>
                <w:color w:val="000000"/>
                <w:kern w:val="0"/>
                <w:sz w:val="24"/>
              </w:rPr>
              <w:t>1,523,100</w:t>
            </w:r>
          </w:p>
        </w:tc>
        <w:tc>
          <w:tcPr>
            <w:tcW w:w="1984" w:type="dxa"/>
            <w:vAlign w:val="center"/>
          </w:tcPr>
          <w:p w:rsidR="00F74B6C" w:rsidRDefault="00D936E6">
            <w:pPr>
              <w:jc w:val="right"/>
            </w:pPr>
            <w:r>
              <w:rPr>
                <w:color w:val="000000"/>
                <w:kern w:val="0"/>
                <w:sz w:val="24"/>
              </w:rPr>
              <w:t>20,150,613.00</w:t>
            </w:r>
          </w:p>
        </w:tc>
        <w:tc>
          <w:tcPr>
            <w:tcW w:w="1559" w:type="dxa"/>
            <w:vAlign w:val="center"/>
          </w:tcPr>
          <w:p w:rsidR="00F74B6C" w:rsidRDefault="00D936E6">
            <w:pPr>
              <w:jc w:val="right"/>
            </w:pPr>
            <w:r>
              <w:rPr>
                <w:color w:val="000000"/>
                <w:kern w:val="0"/>
                <w:sz w:val="24"/>
              </w:rPr>
              <w:t>2.79</w:t>
            </w:r>
          </w:p>
        </w:tc>
      </w:tr>
      <w:tr w:rsidR="00F74B6C">
        <w:tc>
          <w:tcPr>
            <w:tcW w:w="851" w:type="dxa"/>
            <w:vAlign w:val="center"/>
          </w:tcPr>
          <w:p w:rsidR="00F74B6C" w:rsidRDefault="00D936E6">
            <w:pPr>
              <w:jc w:val="center"/>
            </w:pPr>
            <w:r>
              <w:rPr>
                <w:color w:val="000000"/>
                <w:kern w:val="0"/>
                <w:sz w:val="24"/>
              </w:rPr>
              <w:t>9</w:t>
            </w:r>
          </w:p>
        </w:tc>
        <w:tc>
          <w:tcPr>
            <w:tcW w:w="1276" w:type="dxa"/>
            <w:vAlign w:val="center"/>
          </w:tcPr>
          <w:p w:rsidR="00F74B6C" w:rsidRDefault="00D936E6">
            <w:pPr>
              <w:jc w:val="center"/>
            </w:pPr>
            <w:r>
              <w:rPr>
                <w:color w:val="000000"/>
                <w:kern w:val="0"/>
                <w:sz w:val="24"/>
              </w:rPr>
              <w:t>600482</w:t>
            </w:r>
          </w:p>
        </w:tc>
        <w:tc>
          <w:tcPr>
            <w:tcW w:w="1418" w:type="dxa"/>
            <w:vAlign w:val="center"/>
          </w:tcPr>
          <w:p w:rsidR="00F74B6C" w:rsidRDefault="00D936E6">
            <w:pPr>
              <w:jc w:val="center"/>
            </w:pPr>
            <w:r>
              <w:rPr>
                <w:color w:val="000000"/>
                <w:kern w:val="0"/>
                <w:sz w:val="24"/>
              </w:rPr>
              <w:t>中国动力</w:t>
            </w:r>
          </w:p>
        </w:tc>
        <w:tc>
          <w:tcPr>
            <w:tcW w:w="1701" w:type="dxa"/>
            <w:vAlign w:val="center"/>
          </w:tcPr>
          <w:p w:rsidR="00F74B6C" w:rsidRDefault="00D936E6">
            <w:pPr>
              <w:jc w:val="right"/>
            </w:pPr>
            <w:r>
              <w:rPr>
                <w:color w:val="000000"/>
                <w:kern w:val="0"/>
                <w:sz w:val="24"/>
              </w:rPr>
              <w:t>854,500</w:t>
            </w:r>
          </w:p>
        </w:tc>
        <w:tc>
          <w:tcPr>
            <w:tcW w:w="1984" w:type="dxa"/>
            <w:vAlign w:val="center"/>
          </w:tcPr>
          <w:p w:rsidR="00F74B6C" w:rsidRDefault="00D936E6">
            <w:pPr>
              <w:jc w:val="right"/>
            </w:pPr>
            <w:r>
              <w:rPr>
                <w:color w:val="000000"/>
                <w:kern w:val="0"/>
                <w:sz w:val="24"/>
              </w:rPr>
              <w:t>19,533,870.00</w:t>
            </w:r>
          </w:p>
        </w:tc>
        <w:tc>
          <w:tcPr>
            <w:tcW w:w="1559" w:type="dxa"/>
            <w:vAlign w:val="center"/>
          </w:tcPr>
          <w:p w:rsidR="00F74B6C" w:rsidRDefault="00D936E6">
            <w:pPr>
              <w:jc w:val="right"/>
            </w:pPr>
            <w:r>
              <w:rPr>
                <w:color w:val="000000"/>
                <w:kern w:val="0"/>
                <w:sz w:val="24"/>
              </w:rPr>
              <w:t>2.70</w:t>
            </w:r>
          </w:p>
        </w:tc>
      </w:tr>
      <w:tr w:rsidR="00F74B6C">
        <w:tc>
          <w:tcPr>
            <w:tcW w:w="851" w:type="dxa"/>
            <w:vAlign w:val="center"/>
          </w:tcPr>
          <w:p w:rsidR="00F74B6C" w:rsidRDefault="00D936E6">
            <w:pPr>
              <w:jc w:val="center"/>
            </w:pPr>
            <w:r>
              <w:rPr>
                <w:color w:val="000000"/>
                <w:kern w:val="0"/>
                <w:sz w:val="24"/>
              </w:rPr>
              <w:t>10</w:t>
            </w:r>
          </w:p>
        </w:tc>
        <w:tc>
          <w:tcPr>
            <w:tcW w:w="1276" w:type="dxa"/>
            <w:vAlign w:val="center"/>
          </w:tcPr>
          <w:p w:rsidR="00F74B6C" w:rsidRDefault="00D936E6">
            <w:pPr>
              <w:jc w:val="center"/>
            </w:pPr>
            <w:r>
              <w:rPr>
                <w:color w:val="000000"/>
                <w:kern w:val="0"/>
                <w:sz w:val="24"/>
              </w:rPr>
              <w:t>600150</w:t>
            </w:r>
          </w:p>
        </w:tc>
        <w:tc>
          <w:tcPr>
            <w:tcW w:w="1418" w:type="dxa"/>
            <w:vAlign w:val="center"/>
          </w:tcPr>
          <w:p w:rsidR="00F74B6C" w:rsidRDefault="00D936E6">
            <w:pPr>
              <w:jc w:val="center"/>
            </w:pPr>
            <w:r>
              <w:rPr>
                <w:color w:val="000000"/>
                <w:kern w:val="0"/>
                <w:sz w:val="24"/>
              </w:rPr>
              <w:t>中国船舶</w:t>
            </w:r>
          </w:p>
        </w:tc>
        <w:tc>
          <w:tcPr>
            <w:tcW w:w="1701" w:type="dxa"/>
            <w:vAlign w:val="center"/>
          </w:tcPr>
          <w:p w:rsidR="00F74B6C" w:rsidRDefault="00D936E6">
            <w:pPr>
              <w:jc w:val="right"/>
            </w:pPr>
            <w:r>
              <w:rPr>
                <w:color w:val="000000"/>
                <w:kern w:val="0"/>
                <w:sz w:val="24"/>
              </w:rPr>
              <w:t>857,600</w:t>
            </w:r>
          </w:p>
        </w:tc>
        <w:tc>
          <w:tcPr>
            <w:tcW w:w="1984" w:type="dxa"/>
            <w:vAlign w:val="center"/>
          </w:tcPr>
          <w:p w:rsidR="00F74B6C" w:rsidRDefault="00D936E6">
            <w:pPr>
              <w:jc w:val="right"/>
            </w:pPr>
            <w:r>
              <w:rPr>
                <w:color w:val="000000"/>
                <w:kern w:val="0"/>
                <w:sz w:val="24"/>
              </w:rPr>
              <w:t>18,875,776.00</w:t>
            </w:r>
          </w:p>
        </w:tc>
        <w:tc>
          <w:tcPr>
            <w:tcW w:w="1559" w:type="dxa"/>
            <w:vAlign w:val="center"/>
          </w:tcPr>
          <w:p w:rsidR="00F74B6C" w:rsidRDefault="00D936E6">
            <w:pPr>
              <w:jc w:val="right"/>
            </w:pPr>
            <w:r>
              <w:rPr>
                <w:color w:val="000000"/>
                <w:kern w:val="0"/>
                <w:sz w:val="24"/>
              </w:rPr>
              <w:t>2.61</w:t>
            </w:r>
          </w:p>
        </w:tc>
      </w:tr>
    </w:tbl>
    <w:p w:rsidR="00653BAC" w:rsidRPr="00653BAC" w:rsidRDefault="001C36D8" w:rsidP="00653BAC">
      <w:pPr>
        <w:autoSpaceDE w:val="0"/>
        <w:autoSpaceDN w:val="0"/>
        <w:adjustRightInd w:val="0"/>
        <w:spacing w:line="360" w:lineRule="auto"/>
        <w:jc w:val="left"/>
        <w:rPr>
          <w:rFonts w:eastAsiaTheme="minorEastAsia"/>
          <w:b/>
          <w:color w:val="000000" w:themeColor="text1"/>
          <w:kern w:val="0"/>
          <w:sz w:val="24"/>
        </w:rPr>
      </w:pPr>
      <w:r w:rsidRPr="00272E0C">
        <w:rPr>
          <w:rFonts w:ascii="宋体" w:hAnsi="宋体" w:cs="Arial"/>
          <w:b/>
          <w:color w:val="000000"/>
          <w:kern w:val="0"/>
          <w:sz w:val="24"/>
        </w:rPr>
        <w:t xml:space="preserve">5.4 </w:t>
      </w:r>
      <w:r w:rsidRPr="00272E0C">
        <w:rPr>
          <w:rFonts w:ascii="宋体" w:hAnsi="宋体" w:cs="Arial" w:hint="eastAsia"/>
          <w:b/>
          <w:color w:val="000000"/>
          <w:kern w:val="0"/>
          <w:sz w:val="24"/>
        </w:rPr>
        <w:t>报告期末按债券品种分类的债券投资组合</w:t>
      </w:r>
    </w:p>
    <w:p w:rsidR="001C36D8" w:rsidRPr="00653BAC" w:rsidRDefault="00653BAC" w:rsidP="00653BAC">
      <w:pPr>
        <w:spacing w:line="360" w:lineRule="auto"/>
        <w:ind w:firstLineChars="200" w:firstLine="480"/>
        <w:rPr>
          <w:color w:val="000000"/>
          <w:sz w:val="24"/>
        </w:rPr>
      </w:pPr>
      <w:r w:rsidRPr="00653BAC">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 xml:space="preserve">5.5 </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的前五名债券投资明细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本基金本报告期末未持有债券。</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272E0C">
        <w:rPr>
          <w:rFonts w:ascii="宋体" w:hAnsi="宋体" w:cs="Arial"/>
          <w:b/>
          <w:color w:val="000000"/>
          <w:kern w:val="0"/>
          <w:sz w:val="24"/>
        </w:rPr>
        <w:t>5.6</w:t>
      </w:r>
      <w:r w:rsidRPr="00272E0C">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272E0C">
        <w:rPr>
          <w:rFonts w:ascii="宋体" w:hAnsi="宋体" w:cs="Arial" w:hint="eastAsia"/>
          <w:b/>
          <w:color w:val="000000"/>
          <w:kern w:val="0"/>
          <w:sz w:val="24"/>
        </w:rPr>
        <w:t>的前十名资产支持证券投资明细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本基金本报告期末未持有资产支持证券。</w:t>
      </w:r>
    </w:p>
    <w:p w:rsidR="001C36D8" w:rsidRPr="001D63BB" w:rsidRDefault="001C36D8" w:rsidP="001C123E">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本基金本报告期末未持有贵金属。</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sidRPr="001B0A62">
        <w:rPr>
          <w:rFonts w:ascii="宋体"/>
          <w:b/>
          <w:bCs/>
          <w:color w:val="000000"/>
          <w:kern w:val="0"/>
          <w:sz w:val="24"/>
        </w:rPr>
        <w:t>5.8</w:t>
      </w:r>
      <w:r w:rsidRPr="00272E0C">
        <w:rPr>
          <w:rFonts w:ascii="宋体" w:hAnsi="宋体" w:hint="eastAsia"/>
          <w:b/>
          <w:bCs/>
          <w:color w:val="000000"/>
          <w:sz w:val="24"/>
        </w:rPr>
        <w:t>报告期末按公允价值占基金资产净值比例大小排</w:t>
      </w:r>
      <w:r>
        <w:rPr>
          <w:rFonts w:ascii="宋体" w:hAnsi="宋体" w:hint="eastAsia"/>
          <w:b/>
          <w:bCs/>
          <w:color w:val="000000"/>
          <w:sz w:val="24"/>
        </w:rPr>
        <w:t>序</w:t>
      </w:r>
      <w:r w:rsidRPr="00272E0C">
        <w:rPr>
          <w:rFonts w:ascii="宋体" w:hAnsi="宋体" w:hint="eastAsia"/>
          <w:b/>
          <w:bCs/>
          <w:color w:val="000000"/>
          <w:sz w:val="24"/>
        </w:rPr>
        <w:t>的前五名权证投资明细</w:t>
      </w:r>
    </w:p>
    <w:p w:rsidR="001C36D8" w:rsidRPr="005B1E0B" w:rsidRDefault="001C36D8" w:rsidP="005B1E0B">
      <w:pPr>
        <w:spacing w:line="360" w:lineRule="auto"/>
        <w:ind w:firstLineChars="200" w:firstLine="480"/>
        <w:rPr>
          <w:color w:val="000000"/>
          <w:sz w:val="24"/>
        </w:rPr>
      </w:pPr>
      <w:r w:rsidRPr="003D22BD">
        <w:rPr>
          <w:color w:val="000000"/>
          <w:sz w:val="24"/>
        </w:rPr>
        <w:t>本基金本报告期末未持有权证。</w:t>
      </w:r>
    </w:p>
    <w:p w:rsidR="001C36D8" w:rsidRPr="00E85E29" w:rsidRDefault="001C36D8" w:rsidP="00E57068">
      <w:pPr>
        <w:adjustRightInd w:val="0"/>
        <w:snapToGrid w:val="0"/>
        <w:spacing w:line="360" w:lineRule="auto"/>
        <w:rPr>
          <w:rFonts w:ascii="宋体"/>
          <w:b/>
          <w:sz w:val="24"/>
        </w:rPr>
      </w:pPr>
      <w:r w:rsidRPr="001B0A62">
        <w:rPr>
          <w:rFonts w:ascii="宋体"/>
          <w:b/>
          <w:bCs/>
          <w:color w:val="000000"/>
          <w:kern w:val="0"/>
          <w:sz w:val="24"/>
        </w:rPr>
        <w:t>5.9</w:t>
      </w:r>
      <w:r w:rsidRPr="00E85E29">
        <w:rPr>
          <w:rFonts w:ascii="宋体" w:hAnsi="宋体" w:hint="eastAsia"/>
          <w:b/>
          <w:sz w:val="24"/>
        </w:rPr>
        <w:t>报告期末本基金投资的股指期货交易情况说明</w:t>
      </w:r>
    </w:p>
    <w:p w:rsidR="003B3D0C" w:rsidRDefault="003B3D0C" w:rsidP="003B3D0C">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C36D8" w:rsidRPr="00272E0C" w:rsidRDefault="001C36D8" w:rsidP="00576862">
      <w:pPr>
        <w:adjustRightInd w:val="0"/>
        <w:snapToGrid w:val="0"/>
        <w:spacing w:line="360" w:lineRule="auto"/>
        <w:rPr>
          <w:rFonts w:ascii="宋体"/>
          <w:b/>
          <w:sz w:val="24"/>
        </w:rPr>
      </w:pPr>
      <w:r>
        <w:rPr>
          <w:rFonts w:ascii="宋体" w:hAnsi="宋体"/>
          <w:b/>
          <w:sz w:val="24"/>
        </w:rPr>
        <w:t>5</w:t>
      </w:r>
      <w:r w:rsidRPr="00272E0C">
        <w:rPr>
          <w:rFonts w:ascii="宋体"/>
          <w:b/>
          <w:sz w:val="24"/>
        </w:rPr>
        <w:t>.</w:t>
      </w:r>
      <w:r>
        <w:rPr>
          <w:rFonts w:ascii="宋体" w:hAnsi="宋体"/>
          <w:b/>
          <w:sz w:val="24"/>
        </w:rPr>
        <w:t>10</w:t>
      </w:r>
      <w:r w:rsidRPr="00272E0C">
        <w:rPr>
          <w:rFonts w:ascii="宋体" w:hAnsi="宋体" w:hint="eastAsia"/>
          <w:b/>
          <w:sz w:val="24"/>
        </w:rPr>
        <w:t>报告期末本基金投资的国债期货交易情况说明</w:t>
      </w:r>
    </w:p>
    <w:p w:rsidR="000C44BD" w:rsidRDefault="000C44BD" w:rsidP="000C44BD">
      <w:pPr>
        <w:spacing w:line="360" w:lineRule="auto"/>
        <w:ind w:firstLineChars="200" w:firstLine="480"/>
      </w:pPr>
      <w:r>
        <w:rPr>
          <w:color w:val="000000"/>
          <w:sz w:val="24"/>
        </w:rPr>
        <w:t>本基金本报告期末未投资国债期货。</w:t>
      </w:r>
    </w:p>
    <w:p w:rsidR="001C36D8" w:rsidRPr="00272E0C" w:rsidRDefault="001C36D8" w:rsidP="00576862">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272E0C">
        <w:rPr>
          <w:rFonts w:ascii="宋体" w:cs="Arial"/>
          <w:b/>
          <w:color w:val="000000"/>
          <w:kern w:val="0"/>
          <w:sz w:val="24"/>
        </w:rPr>
        <w:t>.</w:t>
      </w:r>
      <w:r>
        <w:rPr>
          <w:rFonts w:ascii="宋体" w:hAnsi="宋体" w:cs="Arial"/>
          <w:b/>
          <w:color w:val="000000"/>
          <w:kern w:val="0"/>
          <w:sz w:val="24"/>
        </w:rPr>
        <w:t>11</w:t>
      </w:r>
      <w:r w:rsidRPr="00272E0C">
        <w:rPr>
          <w:rFonts w:ascii="宋体" w:hAnsi="宋体" w:cs="Arial" w:hint="eastAsia"/>
          <w:b/>
          <w:color w:val="000000"/>
          <w:kern w:val="0"/>
          <w:sz w:val="24"/>
        </w:rPr>
        <w:t>投资组合报告附注</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5.11.1</w:t>
      </w:r>
      <w:r w:rsidRPr="005B1E0B">
        <w:rPr>
          <w:color w:val="000000"/>
          <w:kern w:val="0"/>
          <w:sz w:val="24"/>
        </w:rPr>
        <w:t>本基金投资的前十名证券的发行主体本期没有出现被监管部门立案调查，或在报告编制日前一年内受到公开谴责、处罚的情形。</w:t>
      </w:r>
    </w:p>
    <w:p w:rsidR="001C36D8" w:rsidRPr="005B1E0B" w:rsidRDefault="001C36D8" w:rsidP="00576862">
      <w:pPr>
        <w:spacing w:line="360" w:lineRule="auto"/>
        <w:rPr>
          <w:color w:val="000000"/>
          <w:kern w:val="0"/>
          <w:sz w:val="24"/>
        </w:rPr>
      </w:pPr>
      <w:r w:rsidRPr="001C123E">
        <w:rPr>
          <w:rFonts w:ascii="宋体" w:hAnsi="宋体"/>
          <w:bCs/>
          <w:color w:val="000000"/>
          <w:kern w:val="0"/>
          <w:sz w:val="24"/>
        </w:rPr>
        <w:t>5.11.2</w:t>
      </w:r>
      <w:r w:rsidRPr="005B1E0B">
        <w:rPr>
          <w:color w:val="000000"/>
          <w:kern w:val="0"/>
          <w:sz w:val="24"/>
        </w:rPr>
        <w:t>本基金投资的前十名股票没有超出基金合同规定的备选股票库。</w:t>
      </w:r>
    </w:p>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5.11.3</w:t>
      </w:r>
      <w:r w:rsidRPr="00717C29">
        <w:rPr>
          <w:rFonts w:ascii="宋体" w:hAnsi="宋体" w:cs="Arial" w:hint="eastAsia"/>
          <w:color w:val="000000"/>
          <w:kern w:val="0"/>
          <w:sz w:val="24"/>
        </w:rPr>
        <w:t>其他各项资产构成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761"/>
        <w:gridCol w:w="4808"/>
      </w:tblGrid>
      <w:tr w:rsidR="001C36D8" w:rsidRPr="00272E0C" w:rsidTr="001A09F9">
        <w:tc>
          <w:tcPr>
            <w:tcW w:w="959"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lastRenderedPageBreak/>
              <w:t>序号</w:t>
            </w:r>
          </w:p>
        </w:tc>
        <w:tc>
          <w:tcPr>
            <w:tcW w:w="2761"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名称</w:t>
            </w:r>
          </w:p>
        </w:tc>
        <w:tc>
          <w:tcPr>
            <w:tcW w:w="4808" w:type="dxa"/>
          </w:tcPr>
          <w:p w:rsidR="001C36D8" w:rsidRPr="005B1E0B" w:rsidRDefault="001C36D8" w:rsidP="001A09F9">
            <w:pPr>
              <w:autoSpaceDE w:val="0"/>
              <w:autoSpaceDN w:val="0"/>
              <w:adjustRightInd w:val="0"/>
              <w:spacing w:line="360" w:lineRule="auto"/>
              <w:jc w:val="left"/>
              <w:rPr>
                <w:color w:val="000000"/>
                <w:sz w:val="24"/>
              </w:rPr>
            </w:pPr>
            <w:r w:rsidRPr="005B1E0B">
              <w:rPr>
                <w:color w:val="000000"/>
                <w:sz w:val="24"/>
              </w:rPr>
              <w:t>金额（元）</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kern w:val="0"/>
                <w:sz w:val="24"/>
              </w:rPr>
            </w:pPr>
            <w:r w:rsidRPr="005B1E0B">
              <w:rPr>
                <w:color w:val="000000"/>
                <w:sz w:val="24"/>
              </w:rPr>
              <w:t>1</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存出保证金</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64,658.50</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2</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应收证券清算款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4,803,216.66</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3</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应收股利</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4</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应收利息</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7,600.22</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5</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应收申购款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8,038.01</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6</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其他应收款</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7</w:t>
            </w:r>
          </w:p>
        </w:tc>
        <w:tc>
          <w:tcPr>
            <w:tcW w:w="2761" w:type="dxa"/>
          </w:tcPr>
          <w:p w:rsidR="001C36D8" w:rsidRPr="005B1E0B" w:rsidRDefault="001C36D8" w:rsidP="0015779C">
            <w:pPr>
              <w:autoSpaceDE w:val="0"/>
              <w:autoSpaceDN w:val="0"/>
              <w:adjustRightInd w:val="0"/>
              <w:spacing w:before="29" w:line="360" w:lineRule="auto"/>
              <w:ind w:leftChars="50" w:left="105"/>
              <w:rPr>
                <w:color w:val="000000"/>
                <w:sz w:val="24"/>
              </w:rPr>
            </w:pPr>
            <w:r w:rsidRPr="005B1E0B">
              <w:rPr>
                <w:color w:val="000000"/>
                <w:sz w:val="24"/>
              </w:rPr>
              <w:t>待摊费用</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sz w:val="24"/>
              </w:rPr>
            </w:pPr>
            <w:r w:rsidRPr="005B1E0B">
              <w:rPr>
                <w:color w:val="00000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8</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其他</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w:t>
            </w:r>
          </w:p>
        </w:tc>
      </w:tr>
      <w:tr w:rsidR="001C36D8" w:rsidRPr="00272E0C" w:rsidTr="001A09F9">
        <w:tc>
          <w:tcPr>
            <w:tcW w:w="959" w:type="dxa"/>
            <w:vAlign w:val="center"/>
          </w:tcPr>
          <w:p w:rsidR="001C36D8" w:rsidRPr="005B1E0B" w:rsidRDefault="001C36D8" w:rsidP="001A09F9">
            <w:pPr>
              <w:autoSpaceDE w:val="0"/>
              <w:autoSpaceDN w:val="0"/>
              <w:adjustRightInd w:val="0"/>
              <w:spacing w:before="29" w:line="360" w:lineRule="auto"/>
              <w:ind w:left="15"/>
              <w:jc w:val="center"/>
              <w:rPr>
                <w:color w:val="000000"/>
                <w:sz w:val="24"/>
              </w:rPr>
            </w:pPr>
            <w:r w:rsidRPr="005B1E0B">
              <w:rPr>
                <w:color w:val="000000"/>
                <w:sz w:val="24"/>
              </w:rPr>
              <w:t>9</w:t>
            </w:r>
          </w:p>
        </w:tc>
        <w:tc>
          <w:tcPr>
            <w:tcW w:w="2761" w:type="dxa"/>
            <w:vAlign w:val="center"/>
          </w:tcPr>
          <w:p w:rsidR="001C36D8" w:rsidRPr="005B1E0B" w:rsidRDefault="001C36D8" w:rsidP="001A09F9">
            <w:pPr>
              <w:autoSpaceDE w:val="0"/>
              <w:autoSpaceDN w:val="0"/>
              <w:adjustRightInd w:val="0"/>
              <w:spacing w:before="29" w:line="360" w:lineRule="auto"/>
              <w:ind w:left="15"/>
              <w:jc w:val="left"/>
              <w:rPr>
                <w:color w:val="000000"/>
                <w:kern w:val="0"/>
                <w:sz w:val="24"/>
              </w:rPr>
            </w:pPr>
            <w:r w:rsidRPr="005B1E0B">
              <w:rPr>
                <w:color w:val="000000"/>
                <w:kern w:val="0"/>
                <w:sz w:val="24"/>
              </w:rPr>
              <w:t>合计</w:t>
            </w:r>
          </w:p>
        </w:tc>
        <w:tc>
          <w:tcPr>
            <w:tcW w:w="4808" w:type="dxa"/>
            <w:vAlign w:val="center"/>
          </w:tcPr>
          <w:p w:rsidR="001C36D8" w:rsidRPr="005B1E0B" w:rsidRDefault="001C36D8" w:rsidP="001A09F9">
            <w:pPr>
              <w:autoSpaceDE w:val="0"/>
              <w:autoSpaceDN w:val="0"/>
              <w:adjustRightInd w:val="0"/>
              <w:spacing w:before="29" w:line="360" w:lineRule="auto"/>
              <w:ind w:left="15"/>
              <w:jc w:val="right"/>
              <w:rPr>
                <w:color w:val="000000"/>
                <w:kern w:val="0"/>
                <w:sz w:val="24"/>
              </w:rPr>
            </w:pPr>
            <w:r w:rsidRPr="005B1E0B">
              <w:rPr>
                <w:color w:val="000000"/>
                <w:kern w:val="0"/>
                <w:sz w:val="24"/>
              </w:rPr>
              <w:t>4,883,513.39</w:t>
            </w:r>
          </w:p>
        </w:tc>
      </w:tr>
    </w:tbl>
    <w:p w:rsidR="001C36D8" w:rsidRPr="00717C29" w:rsidRDefault="001C36D8" w:rsidP="00576862">
      <w:pPr>
        <w:autoSpaceDE w:val="0"/>
        <w:autoSpaceDN w:val="0"/>
        <w:adjustRightInd w:val="0"/>
        <w:spacing w:line="360" w:lineRule="auto"/>
        <w:jc w:val="left"/>
        <w:rPr>
          <w:rFonts w:ascii="宋体" w:cs="Arial"/>
          <w:color w:val="000000"/>
          <w:kern w:val="0"/>
          <w:sz w:val="24"/>
        </w:rPr>
      </w:pPr>
      <w:r w:rsidRPr="00717C29">
        <w:rPr>
          <w:rFonts w:ascii="宋体" w:hAnsi="宋体"/>
          <w:bCs/>
          <w:color w:val="000000"/>
          <w:kern w:val="0"/>
          <w:sz w:val="24"/>
        </w:rPr>
        <w:t>5.11.4</w:t>
      </w:r>
      <w:r w:rsidRPr="00717C29">
        <w:rPr>
          <w:rFonts w:ascii="宋体" w:hAnsi="宋体" w:cs="Arial" w:hint="eastAsia"/>
          <w:color w:val="000000"/>
          <w:kern w:val="0"/>
          <w:sz w:val="24"/>
        </w:rPr>
        <w:t>报告期末持有的处于转股期的可转换债券明细</w:t>
      </w:r>
    </w:p>
    <w:p w:rsidR="001C36D8" w:rsidRPr="003D22BD" w:rsidRDefault="001C36D8" w:rsidP="003D22BD">
      <w:pPr>
        <w:spacing w:line="360" w:lineRule="auto"/>
        <w:ind w:firstLineChars="200" w:firstLine="480"/>
        <w:rPr>
          <w:color w:val="000000"/>
          <w:sz w:val="24"/>
        </w:rPr>
      </w:pPr>
      <w:r w:rsidRPr="003D22BD">
        <w:rPr>
          <w:color w:val="000000"/>
          <w:sz w:val="24"/>
        </w:rPr>
        <w:t>本基金本报告期末未持有处于转股期的可转换债券。</w:t>
      </w:r>
    </w:p>
    <w:p w:rsidR="00924A95" w:rsidRPr="001C7E00" w:rsidRDefault="00924A95" w:rsidP="00924A95">
      <w:pPr>
        <w:autoSpaceDE w:val="0"/>
        <w:autoSpaceDN w:val="0"/>
        <w:adjustRightInd w:val="0"/>
        <w:spacing w:line="360" w:lineRule="auto"/>
        <w:jc w:val="left"/>
        <w:rPr>
          <w:rFonts w:ascii="宋体"/>
          <w:bCs/>
          <w:color w:val="000000"/>
          <w:kern w:val="0"/>
          <w:sz w:val="24"/>
        </w:rPr>
      </w:pPr>
      <w:r w:rsidRPr="001C7E00">
        <w:rPr>
          <w:rFonts w:ascii="宋体" w:hAnsi="宋体"/>
          <w:bCs/>
          <w:color w:val="000000"/>
          <w:kern w:val="0"/>
          <w:sz w:val="24"/>
        </w:rPr>
        <w:t>5.11.5</w:t>
      </w:r>
      <w:r w:rsidRPr="001C7E00">
        <w:rPr>
          <w:rFonts w:ascii="宋体" w:hAnsi="宋体" w:hint="eastAsia"/>
          <w:bCs/>
          <w:color w:val="000000"/>
          <w:kern w:val="0"/>
          <w:sz w:val="24"/>
        </w:rPr>
        <w:t>报告期末前十名股票中存在流通受限情况的说明</w:t>
      </w:r>
    </w:p>
    <w:p w:rsidR="001C36D8" w:rsidRPr="005B1E0B" w:rsidRDefault="00924A95" w:rsidP="005B1E0B">
      <w:pPr>
        <w:spacing w:line="360" w:lineRule="auto"/>
        <w:ind w:firstLineChars="200" w:firstLine="480"/>
        <w:rPr>
          <w:color w:val="000000"/>
          <w:sz w:val="24"/>
        </w:rPr>
      </w:pPr>
      <w:r w:rsidRPr="006C56AA">
        <w:rPr>
          <w:color w:val="000000"/>
          <w:sz w:val="24"/>
        </w:rPr>
        <w:t>本基金本报告期末前十名股票中不存在流通受限情况。</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Pr>
          <w:rFonts w:ascii="宋体" w:hAnsi="宋体" w:cs="Arial"/>
          <w:color w:val="000000"/>
          <w:kern w:val="0"/>
          <w:sz w:val="24"/>
          <w:szCs w:val="24"/>
        </w:rPr>
        <w:t>6</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开放式基金份额变动</w:t>
      </w:r>
    </w:p>
    <w:p w:rsidR="001C36D8" w:rsidRPr="00272E0C" w:rsidRDefault="001C36D8" w:rsidP="0019563C">
      <w:pPr>
        <w:autoSpaceDE w:val="0"/>
        <w:autoSpaceDN w:val="0"/>
        <w:adjustRightInd w:val="0"/>
        <w:spacing w:before="29" w:line="360" w:lineRule="auto"/>
        <w:ind w:left="15"/>
        <w:jc w:val="right"/>
        <w:rPr>
          <w:rFonts w:ascii="宋体" w:cs="Arial"/>
          <w:color w:val="000000"/>
          <w:kern w:val="0"/>
          <w:sz w:val="24"/>
        </w:rPr>
      </w:pPr>
      <w:r w:rsidRPr="00272E0C">
        <w:rPr>
          <w:rFonts w:ascii="宋体" w:hAnsi="宋体" w:cs="Arial" w:hint="eastAsia"/>
          <w:color w:val="000000"/>
          <w:kern w:val="0"/>
          <w:sz w:val="24"/>
        </w:rPr>
        <w:t>单位：份</w:t>
      </w:r>
    </w:p>
    <w:tbl>
      <w:tblPr>
        <w:tblW w:w="8719" w:type="dxa"/>
        <w:tblInd w:w="-106" w:type="dxa"/>
        <w:tblLayout w:type="fixed"/>
        <w:tblLook w:val="0000" w:firstRow="0" w:lastRow="0" w:firstColumn="0" w:lastColumn="0" w:noHBand="0" w:noVBand="0"/>
      </w:tblPr>
      <w:tblGrid>
        <w:gridCol w:w="1774"/>
        <w:gridCol w:w="2409"/>
        <w:gridCol w:w="2410"/>
        <w:gridCol w:w="2126"/>
      </w:tblGrid>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项目</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5B14F0">
            <w:pPr>
              <w:autoSpaceDE w:val="0"/>
              <w:autoSpaceDN w:val="0"/>
              <w:adjustRightInd w:val="0"/>
              <w:spacing w:before="29" w:line="360" w:lineRule="auto"/>
              <w:ind w:left="17"/>
              <w:jc w:val="right"/>
              <w:rPr>
                <w:sz w:val="24"/>
              </w:rPr>
            </w:pPr>
            <w:r w:rsidRPr="005B1E0B">
              <w:rPr>
                <w:sz w:val="24"/>
              </w:rPr>
              <w:t>易方达重组分级</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sz w:val="24"/>
              </w:rPr>
              <w:t>易方达重组分级</w:t>
            </w:r>
            <w:r w:rsidRPr="005B1E0B">
              <w:rPr>
                <w:sz w:val="24"/>
              </w:rPr>
              <w:t>A</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易方达重组分级</w:t>
            </w:r>
            <w:r w:rsidRPr="005B1E0B">
              <w:rPr>
                <w:sz w:val="24"/>
              </w:rPr>
              <w:t>B</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报告期期初基金份额总额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811,578,839.37</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9,419,867.00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9,419,867.00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报告期基金总申购份额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827,187.22</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减：报告期基金总赎回份额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31,902,812.38</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w:t>
            </w:r>
          </w:p>
        </w:tc>
      </w:tr>
      <w:tr w:rsidR="001C36D8" w:rsidRPr="00272E0C" w:rsidTr="00491ABD">
        <w:trPr>
          <w:trHeight w:val="1718"/>
        </w:trPr>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t>报告期基金拆分变动份额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204,864.00</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-102,432.00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-102,432.00</w:t>
            </w:r>
          </w:p>
        </w:tc>
      </w:tr>
      <w:tr w:rsidR="001C36D8" w:rsidRPr="00272E0C" w:rsidTr="005B14F0">
        <w:tc>
          <w:tcPr>
            <w:tcW w:w="1774"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left"/>
              <w:rPr>
                <w:color w:val="000000"/>
                <w:kern w:val="0"/>
                <w:sz w:val="24"/>
              </w:rPr>
            </w:pPr>
            <w:r w:rsidRPr="005B1E0B">
              <w:rPr>
                <w:color w:val="000000"/>
                <w:kern w:val="0"/>
                <w:sz w:val="24"/>
              </w:rPr>
              <w:lastRenderedPageBreak/>
              <w:t>报告期期末基金份额总额</w:t>
            </w:r>
          </w:p>
        </w:tc>
        <w:tc>
          <w:tcPr>
            <w:tcW w:w="2409"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7A6BEA">
            <w:pPr>
              <w:autoSpaceDE w:val="0"/>
              <w:autoSpaceDN w:val="0"/>
              <w:adjustRightInd w:val="0"/>
              <w:spacing w:before="29" w:line="360" w:lineRule="auto"/>
              <w:ind w:left="17"/>
              <w:jc w:val="right"/>
              <w:rPr>
                <w:color w:val="000000"/>
                <w:sz w:val="24"/>
              </w:rPr>
            </w:pPr>
            <w:r w:rsidRPr="005B1E0B">
              <w:rPr>
                <w:color w:val="000000"/>
                <w:sz w:val="24"/>
              </w:rPr>
              <w:t>780,708,078.21</w:t>
            </w:r>
          </w:p>
        </w:tc>
        <w:tc>
          <w:tcPr>
            <w:tcW w:w="2410"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465C86">
            <w:pPr>
              <w:autoSpaceDE w:val="0"/>
              <w:autoSpaceDN w:val="0"/>
              <w:adjustRightInd w:val="0"/>
              <w:spacing w:before="29" w:line="360" w:lineRule="auto"/>
              <w:ind w:left="17"/>
              <w:jc w:val="right"/>
              <w:rPr>
                <w:color w:val="000000"/>
                <w:sz w:val="24"/>
              </w:rPr>
            </w:pPr>
            <w:r w:rsidRPr="005B1E0B">
              <w:rPr>
                <w:color w:val="000000"/>
                <w:sz w:val="24"/>
              </w:rPr>
              <w:t>9,317,435.00</w:t>
            </w:r>
          </w:p>
        </w:tc>
        <w:tc>
          <w:tcPr>
            <w:tcW w:w="2126" w:type="dxa"/>
            <w:tcBorders>
              <w:top w:val="single" w:sz="8" w:space="0" w:color="000000"/>
              <w:left w:val="single" w:sz="8" w:space="0" w:color="000000"/>
              <w:bottom w:val="single" w:sz="8" w:space="0" w:color="000000"/>
              <w:right w:val="single" w:sz="8" w:space="0" w:color="000000"/>
            </w:tcBorders>
            <w:vAlign w:val="center"/>
          </w:tcPr>
          <w:p w:rsidR="001C36D8" w:rsidRPr="005B1E0B" w:rsidRDefault="001C36D8" w:rsidP="00183C9E">
            <w:pPr>
              <w:autoSpaceDE w:val="0"/>
              <w:autoSpaceDN w:val="0"/>
              <w:adjustRightInd w:val="0"/>
              <w:spacing w:before="29" w:line="360" w:lineRule="auto"/>
              <w:ind w:left="17"/>
              <w:jc w:val="right"/>
              <w:rPr>
                <w:color w:val="000000"/>
                <w:sz w:val="24"/>
              </w:rPr>
            </w:pPr>
            <w:r w:rsidRPr="005B1E0B">
              <w:rPr>
                <w:sz w:val="24"/>
              </w:rPr>
              <w:t>9,317,435.00</w:t>
            </w:r>
          </w:p>
        </w:tc>
      </w:tr>
    </w:tbl>
    <w:p w:rsidR="001C36D8" w:rsidRPr="003D22BD" w:rsidRDefault="001C36D8" w:rsidP="003D22BD">
      <w:pPr>
        <w:spacing w:line="360" w:lineRule="auto"/>
        <w:ind w:firstLineChars="200" w:firstLine="480"/>
        <w:rPr>
          <w:color w:val="000000"/>
          <w:sz w:val="24"/>
        </w:rPr>
      </w:pPr>
      <w:r w:rsidRPr="003D22BD">
        <w:rPr>
          <w:color w:val="000000"/>
          <w:sz w:val="24"/>
        </w:rPr>
        <w:t>注：拆分变动份额包括三类份额之间的配对转换份额。</w:t>
      </w:r>
    </w:p>
    <w:p w:rsidR="001C36D8" w:rsidRDefault="001C36D8" w:rsidP="005C6DF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1C36D8" w:rsidRDefault="001C36D8" w:rsidP="003D4E5A">
      <w:pPr>
        <w:spacing w:line="360" w:lineRule="auto"/>
        <w:jc w:val="left"/>
        <w:rPr>
          <w:sz w:val="24"/>
        </w:rPr>
      </w:pPr>
      <w:r>
        <w:rPr>
          <w:b/>
          <w:sz w:val="24"/>
        </w:rPr>
        <w:t xml:space="preserve">7.1 </w:t>
      </w:r>
      <w:r>
        <w:rPr>
          <w:rFonts w:hint="eastAsia"/>
          <w:b/>
          <w:sz w:val="24"/>
        </w:rPr>
        <w:t>基金管理人持有本基金份额变动情况</w:t>
      </w:r>
    </w:p>
    <w:p w:rsidR="001C36D8" w:rsidRPr="005B1E0B" w:rsidRDefault="00BF63AF" w:rsidP="005B1E0B">
      <w:pPr>
        <w:spacing w:line="360" w:lineRule="auto"/>
        <w:ind w:firstLineChars="200" w:firstLine="480"/>
        <w:rPr>
          <w:color w:val="000000"/>
          <w:sz w:val="24"/>
        </w:rPr>
      </w:pPr>
      <w:r w:rsidRPr="00510DAB">
        <w:rPr>
          <w:color w:val="000000"/>
          <w:sz w:val="24"/>
        </w:rPr>
        <w:t>本报告期内基金管理人未持有本基金份额。</w:t>
      </w:r>
    </w:p>
    <w:p w:rsidR="001C36D8" w:rsidRDefault="001C36D8" w:rsidP="003D4E5A">
      <w:pPr>
        <w:spacing w:line="360" w:lineRule="auto"/>
        <w:jc w:val="left"/>
        <w:rPr>
          <w:sz w:val="24"/>
        </w:rPr>
      </w:pPr>
      <w:r>
        <w:rPr>
          <w:b/>
          <w:sz w:val="24"/>
        </w:rPr>
        <w:t xml:space="preserve">7.2 </w:t>
      </w:r>
      <w:r>
        <w:rPr>
          <w:rFonts w:hint="eastAsia"/>
          <w:b/>
          <w:sz w:val="24"/>
        </w:rPr>
        <w:t>基金管理人运用固有资金投资本基金交易明细</w:t>
      </w:r>
    </w:p>
    <w:p w:rsidR="001C36D8" w:rsidRPr="003D22BD" w:rsidRDefault="001C36D8" w:rsidP="003D22BD">
      <w:pPr>
        <w:spacing w:line="360" w:lineRule="auto"/>
        <w:ind w:firstLineChars="200" w:firstLine="480"/>
        <w:rPr>
          <w:color w:val="000000"/>
          <w:sz w:val="24"/>
        </w:rPr>
      </w:pPr>
      <w:r w:rsidRPr="003D22BD">
        <w:rPr>
          <w:color w:val="000000"/>
          <w:sz w:val="24"/>
        </w:rPr>
        <w:t>本报告期内基金管理人未运用固有资金申购、赎回、买卖本基金份额。</w:t>
      </w:r>
    </w:p>
    <w:p w:rsidR="00A12EEF" w:rsidRPr="005D2CC7" w:rsidRDefault="00A12EEF" w:rsidP="00A12EEF">
      <w:pPr>
        <w:pStyle w:val="1"/>
        <w:spacing w:beforeLines="100" w:before="312" w:afterLines="100" w:after="312" w:line="360" w:lineRule="auto"/>
        <w:jc w:val="center"/>
        <w:rPr>
          <w:rFonts w:ascii="宋体" w:hAnsi="宋体" w:cs="Arial"/>
          <w:color w:val="000000"/>
          <w:kern w:val="0"/>
          <w:sz w:val="24"/>
          <w:szCs w:val="24"/>
        </w:rPr>
      </w:pPr>
      <w:r w:rsidRPr="005D2CC7">
        <w:rPr>
          <w:rFonts w:ascii="宋体" w:hAnsi="宋体" w:cs="Arial"/>
          <w:color w:val="000000"/>
          <w:kern w:val="0"/>
          <w:sz w:val="24"/>
          <w:szCs w:val="24"/>
        </w:rPr>
        <w:t>§8</w:t>
      </w:r>
      <w:r w:rsidR="005D2CC7" w:rsidRPr="00272E0C">
        <w:rPr>
          <w:rFonts w:ascii="宋体" w:hAnsi="宋体" w:cs="Arial"/>
          <w:color w:val="000000"/>
          <w:kern w:val="0"/>
          <w:sz w:val="24"/>
          <w:szCs w:val="24"/>
        </w:rPr>
        <w:t xml:space="preserve">  </w:t>
      </w:r>
      <w:r w:rsidRPr="005D2CC7">
        <w:rPr>
          <w:rFonts w:ascii="宋体" w:hAnsi="宋体" w:cs="Arial"/>
          <w:color w:val="000000"/>
          <w:kern w:val="0"/>
          <w:sz w:val="24"/>
          <w:szCs w:val="24"/>
        </w:rPr>
        <w:t>影响投资者决策的其他重要信息</w:t>
      </w:r>
    </w:p>
    <w:p w:rsidR="004B7CA0" w:rsidRPr="00654C5E" w:rsidRDefault="004B7CA0" w:rsidP="004B7CA0">
      <w:pPr>
        <w:autoSpaceDE w:val="0"/>
        <w:autoSpaceDN w:val="0"/>
        <w:adjustRightInd w:val="0"/>
        <w:spacing w:line="360" w:lineRule="auto"/>
        <w:jc w:val="left"/>
        <w:rPr>
          <w:rFonts w:ascii="宋体"/>
          <w:b/>
          <w:bCs/>
          <w:color w:val="000000"/>
          <w:kern w:val="0"/>
          <w:sz w:val="24"/>
        </w:rPr>
      </w:pPr>
      <w:r w:rsidRPr="00654C5E">
        <w:rPr>
          <w:rFonts w:ascii="宋体"/>
          <w:b/>
          <w:bCs/>
          <w:color w:val="000000"/>
          <w:kern w:val="0"/>
          <w:sz w:val="24"/>
        </w:rPr>
        <w:t>8.1 影响投资者决策的其他重要信息</w:t>
      </w:r>
    </w:p>
    <w:p w:rsidR="001C36D8" w:rsidRPr="003D22BD" w:rsidRDefault="004B7CA0" w:rsidP="004B7CA0">
      <w:pPr>
        <w:spacing w:line="360" w:lineRule="auto"/>
        <w:ind w:firstLineChars="200" w:firstLine="480"/>
        <w:rPr>
          <w:color w:val="000000"/>
          <w:sz w:val="24"/>
        </w:rPr>
      </w:pPr>
      <w:r w:rsidRPr="00FC0759">
        <w:rPr>
          <w:rFonts w:eastAsiaTheme="minorEastAsia"/>
          <w:color w:val="000000" w:themeColor="text1"/>
          <w:sz w:val="24"/>
        </w:rPr>
        <w:t>根据《关于规范金融机构资产管理业务的指导意见》（以下简称《资管新规》）要求，公募产品不得进行份额分级，应在《资管新规》规定的过渡期结束前进行整改规范，请投资者关注相关风险以及基金管理人届时发布的相关公告。</w:t>
      </w:r>
    </w:p>
    <w:p w:rsidR="001C36D8" w:rsidRPr="00272E0C" w:rsidRDefault="001C36D8" w:rsidP="005C6DF3">
      <w:pPr>
        <w:pStyle w:val="1"/>
        <w:spacing w:beforeLines="100" w:before="312" w:afterLines="100" w:after="312" w:line="360" w:lineRule="auto"/>
        <w:jc w:val="center"/>
        <w:rPr>
          <w:rFonts w:ascii="宋体" w:cs="Arial"/>
          <w:color w:val="000000"/>
          <w:kern w:val="0"/>
          <w:sz w:val="24"/>
          <w:szCs w:val="24"/>
        </w:rPr>
      </w:pPr>
      <w:r w:rsidRPr="00272E0C">
        <w:rPr>
          <w:rFonts w:ascii="宋体" w:hAnsi="宋体" w:cs="Arial" w:hint="eastAsia"/>
          <w:color w:val="000000"/>
          <w:kern w:val="0"/>
          <w:sz w:val="24"/>
          <w:szCs w:val="24"/>
        </w:rPr>
        <w:t>§</w:t>
      </w:r>
      <w:r w:rsidRPr="00272E0C">
        <w:rPr>
          <w:rFonts w:ascii="宋体" w:hAnsi="宋体" w:cs="Arial"/>
          <w:color w:val="000000"/>
          <w:kern w:val="0"/>
          <w:sz w:val="24"/>
          <w:szCs w:val="24"/>
        </w:rPr>
        <w:t>9</w:t>
      </w:r>
      <w:r w:rsidR="005D2CC7" w:rsidRPr="00272E0C">
        <w:rPr>
          <w:rFonts w:ascii="宋体" w:hAnsi="宋体" w:cs="Arial"/>
          <w:color w:val="000000"/>
          <w:kern w:val="0"/>
          <w:sz w:val="24"/>
          <w:szCs w:val="24"/>
        </w:rPr>
        <w:t xml:space="preserve">  </w:t>
      </w:r>
      <w:r w:rsidRPr="00272E0C">
        <w:rPr>
          <w:rFonts w:ascii="宋体" w:hAnsi="宋体" w:cs="Arial" w:hint="eastAsia"/>
          <w:color w:val="000000"/>
          <w:kern w:val="0"/>
          <w:sz w:val="24"/>
          <w:szCs w:val="24"/>
        </w:rPr>
        <w:t>备查文件目录</w:t>
      </w:r>
    </w:p>
    <w:p w:rsidR="001C36D8" w:rsidRPr="00CE2DE4" w:rsidRDefault="001C36D8" w:rsidP="001078B6">
      <w:pPr>
        <w:spacing w:line="360" w:lineRule="auto"/>
        <w:rPr>
          <w:rFonts w:ascii="宋体"/>
          <w:b/>
          <w:color w:val="000000"/>
          <w:kern w:val="0"/>
          <w:sz w:val="24"/>
        </w:rPr>
      </w:pPr>
      <w:r w:rsidRPr="00CE2DE4">
        <w:rPr>
          <w:rFonts w:ascii="宋体" w:hAnsi="宋体"/>
          <w:b/>
          <w:color w:val="000000"/>
          <w:sz w:val="24"/>
        </w:rPr>
        <w:t xml:space="preserve">9.1 </w:t>
      </w:r>
      <w:r w:rsidRPr="00CE2DE4">
        <w:rPr>
          <w:rFonts w:ascii="宋体" w:hAnsi="宋体" w:hint="eastAsia"/>
          <w:b/>
          <w:color w:val="000000"/>
          <w:sz w:val="24"/>
        </w:rPr>
        <w:t>备查文件目录</w:t>
      </w:r>
    </w:p>
    <w:p w:rsidR="00F74B6C" w:rsidRDefault="00D936E6">
      <w:pPr>
        <w:spacing w:line="360" w:lineRule="auto"/>
        <w:ind w:firstLineChars="200" w:firstLine="480"/>
        <w:rPr>
          <w:color w:val="000000"/>
          <w:sz w:val="24"/>
        </w:rPr>
      </w:pPr>
      <w:r>
        <w:rPr>
          <w:color w:val="000000"/>
          <w:sz w:val="24"/>
        </w:rPr>
        <w:t>1.</w:t>
      </w:r>
      <w:r>
        <w:rPr>
          <w:color w:val="000000"/>
          <w:sz w:val="24"/>
        </w:rPr>
        <w:t>中国证监会准予易方达并购重组指数分级证券投资基金募集注册的文件；</w:t>
      </w:r>
    </w:p>
    <w:p w:rsidR="00F74B6C" w:rsidRDefault="00D936E6">
      <w:pPr>
        <w:spacing w:line="360" w:lineRule="auto"/>
        <w:ind w:firstLineChars="200" w:firstLine="480"/>
        <w:rPr>
          <w:color w:val="000000"/>
          <w:sz w:val="24"/>
        </w:rPr>
      </w:pPr>
      <w:r>
        <w:rPr>
          <w:color w:val="000000"/>
          <w:sz w:val="24"/>
        </w:rPr>
        <w:t>2.</w:t>
      </w:r>
      <w:r>
        <w:rPr>
          <w:color w:val="000000"/>
          <w:sz w:val="24"/>
        </w:rPr>
        <w:t>《易方达并购重组指数分级证券投资基金基金合同》；</w:t>
      </w:r>
    </w:p>
    <w:p w:rsidR="00F74B6C" w:rsidRDefault="00D936E6">
      <w:pPr>
        <w:spacing w:line="360" w:lineRule="auto"/>
        <w:ind w:firstLineChars="200" w:firstLine="480"/>
        <w:rPr>
          <w:color w:val="000000"/>
          <w:sz w:val="24"/>
        </w:rPr>
      </w:pPr>
      <w:r>
        <w:rPr>
          <w:color w:val="000000"/>
          <w:sz w:val="24"/>
        </w:rPr>
        <w:t>3.</w:t>
      </w:r>
      <w:r>
        <w:rPr>
          <w:color w:val="000000"/>
          <w:sz w:val="24"/>
        </w:rPr>
        <w:t>《易方达并购重组指数分级证券投资基金托管协议》；</w:t>
      </w:r>
    </w:p>
    <w:p w:rsidR="001C36D8" w:rsidRPr="00E43B0B" w:rsidRDefault="001C36D8" w:rsidP="00E43B0B">
      <w:pPr>
        <w:spacing w:line="360" w:lineRule="auto"/>
        <w:ind w:firstLineChars="200" w:firstLine="480"/>
        <w:rPr>
          <w:color w:val="000000"/>
          <w:sz w:val="24"/>
        </w:rPr>
      </w:pPr>
      <w:r w:rsidRPr="003D22BD">
        <w:rPr>
          <w:color w:val="000000"/>
          <w:sz w:val="24"/>
        </w:rPr>
        <w:t>4.</w:t>
      </w:r>
      <w:r w:rsidRPr="003D22BD">
        <w:rPr>
          <w:color w:val="000000"/>
          <w:sz w:val="24"/>
        </w:rPr>
        <w:t>基金管理人业务资格批件和营业执照。</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9.2 </w:t>
      </w:r>
      <w:r w:rsidRPr="00CE2DE4">
        <w:rPr>
          <w:rFonts w:ascii="宋体" w:hAnsi="宋体" w:hint="eastAsia"/>
          <w:b/>
          <w:color w:val="000000"/>
          <w:sz w:val="24"/>
        </w:rPr>
        <w:t>存放地点</w:t>
      </w:r>
    </w:p>
    <w:p w:rsidR="001C36D8" w:rsidRPr="00E43B0B" w:rsidRDefault="001C36D8" w:rsidP="00E43B0B">
      <w:pPr>
        <w:spacing w:line="360" w:lineRule="auto"/>
        <w:ind w:firstLineChars="200" w:firstLine="480"/>
        <w:rPr>
          <w:color w:val="000000"/>
          <w:sz w:val="24"/>
        </w:rPr>
      </w:pPr>
      <w:r w:rsidRPr="003D22BD">
        <w:rPr>
          <w:color w:val="000000"/>
          <w:sz w:val="24"/>
        </w:rPr>
        <w:t>广州市天河区珠江新城珠江东路</w:t>
      </w:r>
      <w:r w:rsidRPr="003D22BD">
        <w:rPr>
          <w:color w:val="000000"/>
          <w:sz w:val="24"/>
        </w:rPr>
        <w:t>30</w:t>
      </w:r>
      <w:r w:rsidRPr="003D22BD">
        <w:rPr>
          <w:color w:val="000000"/>
          <w:sz w:val="24"/>
        </w:rPr>
        <w:t>号广州银行大厦</w:t>
      </w:r>
      <w:r w:rsidRPr="003D22BD">
        <w:rPr>
          <w:color w:val="000000"/>
          <w:sz w:val="24"/>
        </w:rPr>
        <w:t>40-43</w:t>
      </w:r>
      <w:r w:rsidRPr="003D22BD">
        <w:rPr>
          <w:color w:val="000000"/>
          <w:sz w:val="24"/>
        </w:rPr>
        <w:t>楼。</w:t>
      </w:r>
    </w:p>
    <w:p w:rsidR="001C36D8" w:rsidRPr="00CE2DE4" w:rsidRDefault="001C36D8" w:rsidP="001078B6">
      <w:pPr>
        <w:spacing w:line="360" w:lineRule="auto"/>
        <w:rPr>
          <w:rFonts w:ascii="宋体"/>
          <w:b/>
          <w:color w:val="000000"/>
          <w:sz w:val="24"/>
        </w:rPr>
      </w:pPr>
      <w:r w:rsidRPr="00CE2DE4">
        <w:rPr>
          <w:rFonts w:ascii="宋体" w:hAnsi="宋体"/>
          <w:b/>
          <w:color w:val="000000"/>
          <w:sz w:val="24"/>
        </w:rPr>
        <w:t xml:space="preserve">9.3 </w:t>
      </w:r>
      <w:r w:rsidRPr="00CE2DE4">
        <w:rPr>
          <w:rFonts w:ascii="宋体" w:hAnsi="宋体" w:hint="eastAsia"/>
          <w:b/>
          <w:color w:val="000000"/>
          <w:sz w:val="24"/>
        </w:rPr>
        <w:t>查阅方式</w:t>
      </w:r>
    </w:p>
    <w:p w:rsidR="001C36D8" w:rsidRPr="003D22BD" w:rsidRDefault="001C36D8" w:rsidP="0015779C">
      <w:pPr>
        <w:spacing w:line="360" w:lineRule="auto"/>
        <w:ind w:firstLineChars="200" w:firstLine="480"/>
        <w:rPr>
          <w:color w:val="000000"/>
          <w:sz w:val="24"/>
        </w:rPr>
      </w:pPr>
      <w:r w:rsidRPr="003D22BD">
        <w:rPr>
          <w:color w:val="000000"/>
          <w:sz w:val="24"/>
        </w:rPr>
        <w:t>投资者可在营业时间免费查阅，也可按工本费购买复印件。</w:t>
      </w:r>
    </w:p>
    <w:p w:rsidR="001C36D8" w:rsidRPr="00272E0C" w:rsidRDefault="001C36D8" w:rsidP="0019563C">
      <w:pPr>
        <w:spacing w:line="360" w:lineRule="auto"/>
        <w:ind w:left="840"/>
        <w:jc w:val="right"/>
        <w:rPr>
          <w:rFonts w:ascii="宋体"/>
          <w:color w:val="000000"/>
          <w:sz w:val="24"/>
        </w:rPr>
      </w:pPr>
      <w:r w:rsidRPr="00272E0C">
        <w:rPr>
          <w:rFonts w:ascii="宋体"/>
          <w:color w:val="000000"/>
          <w:sz w:val="24"/>
        </w:rPr>
        <w:tab/>
      </w: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9563C">
      <w:pPr>
        <w:spacing w:line="360" w:lineRule="auto"/>
        <w:ind w:left="840"/>
        <w:jc w:val="right"/>
        <w:rPr>
          <w:rFonts w:ascii="宋体"/>
          <w:color w:val="000000"/>
          <w:sz w:val="24"/>
        </w:rPr>
      </w:pPr>
    </w:p>
    <w:p w:rsidR="001C36D8" w:rsidRPr="00272E0C" w:rsidRDefault="001C36D8" w:rsidP="001078B6">
      <w:pPr>
        <w:spacing w:line="360" w:lineRule="auto"/>
        <w:jc w:val="right"/>
        <w:rPr>
          <w:rFonts w:ascii="宋体" w:hAnsi="宋体"/>
          <w:b/>
          <w:bCs/>
          <w:sz w:val="24"/>
        </w:rPr>
      </w:pPr>
      <w:r w:rsidRPr="00272E0C">
        <w:rPr>
          <w:rFonts w:ascii="宋体" w:hAnsi="宋体"/>
          <w:b/>
          <w:bCs/>
          <w:sz w:val="24"/>
        </w:rPr>
        <w:t>易方达基金管理有限公司</w:t>
      </w:r>
    </w:p>
    <w:p w:rsidR="001C36D8" w:rsidRPr="008C2A97" w:rsidRDefault="001C36D8" w:rsidP="008C2A97">
      <w:pPr>
        <w:spacing w:line="360" w:lineRule="auto"/>
        <w:jc w:val="right"/>
        <w:rPr>
          <w:rFonts w:ascii="宋体" w:hAnsi="宋体"/>
          <w:b/>
          <w:bCs/>
          <w:sz w:val="24"/>
        </w:rPr>
      </w:pPr>
      <w:r w:rsidRPr="00272E0C">
        <w:rPr>
          <w:rFonts w:ascii="宋体" w:hAnsi="宋体"/>
          <w:b/>
          <w:bCs/>
          <w:sz w:val="24"/>
        </w:rPr>
        <w:t>二〇一九年十月二十四日</w:t>
      </w:r>
    </w:p>
    <w:sectPr w:rsidR="001C36D8" w:rsidRPr="008C2A97" w:rsidSect="00DB4450">
      <w:footerReference w:type="even" r:id="rId10"/>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232" w:rsidRDefault="00EF6232">
      <w:r>
        <w:separator/>
      </w:r>
    </w:p>
  </w:endnote>
  <w:endnote w:type="continuationSeparator" w:id="0">
    <w:p w:rsidR="00EF6232" w:rsidRDefault="00EF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1D0DB0" w:rsidRDefault="00E43B0B" w:rsidP="00230A66">
    <w:pPr>
      <w:pStyle w:val="a6"/>
      <w:jc w:val="center"/>
    </w:pPr>
    <w:r>
      <w:rPr>
        <w:rFonts w:hint="eastAsia"/>
        <w:kern w:val="0"/>
        <w:szCs w:val="21"/>
      </w:rPr>
      <w:t>第</w:t>
    </w:r>
    <w:r w:rsidR="0015021E">
      <w:rPr>
        <w:kern w:val="0"/>
        <w:szCs w:val="21"/>
      </w:rPr>
      <w:fldChar w:fldCharType="begin"/>
    </w:r>
    <w:r>
      <w:rPr>
        <w:kern w:val="0"/>
        <w:szCs w:val="21"/>
      </w:rPr>
      <w:instrText xml:space="preserve"> PAGE </w:instrText>
    </w:r>
    <w:r w:rsidR="0015021E">
      <w:rPr>
        <w:kern w:val="0"/>
        <w:szCs w:val="21"/>
      </w:rPr>
      <w:fldChar w:fldCharType="separate"/>
    </w:r>
    <w:r w:rsidR="00D936E6">
      <w:rPr>
        <w:noProof/>
        <w:kern w:val="0"/>
        <w:szCs w:val="21"/>
      </w:rPr>
      <w:t>1</w:t>
    </w:r>
    <w:r w:rsidR="0015021E">
      <w:rPr>
        <w:kern w:val="0"/>
        <w:szCs w:val="21"/>
      </w:rPr>
      <w:fldChar w:fldCharType="end"/>
    </w:r>
    <w:r>
      <w:rPr>
        <w:rFonts w:hint="eastAsia"/>
        <w:kern w:val="0"/>
        <w:szCs w:val="21"/>
      </w:rPr>
      <w:t>页共</w:t>
    </w:r>
    <w:r w:rsidR="0015021E">
      <w:rPr>
        <w:kern w:val="0"/>
        <w:szCs w:val="21"/>
      </w:rPr>
      <w:fldChar w:fldCharType="begin"/>
    </w:r>
    <w:r>
      <w:rPr>
        <w:kern w:val="0"/>
        <w:szCs w:val="21"/>
      </w:rPr>
      <w:instrText xml:space="preserve"> NUMPAGES </w:instrText>
    </w:r>
    <w:r w:rsidR="0015021E">
      <w:rPr>
        <w:kern w:val="0"/>
        <w:szCs w:val="21"/>
      </w:rPr>
      <w:fldChar w:fldCharType="separate"/>
    </w:r>
    <w:r w:rsidR="00D936E6">
      <w:rPr>
        <w:noProof/>
        <w:kern w:val="0"/>
        <w:szCs w:val="21"/>
      </w:rPr>
      <w:t>3</w:t>
    </w:r>
    <w:r w:rsidR="0015021E">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end"/>
    </w:r>
  </w:p>
  <w:p w:rsidR="00E43B0B" w:rsidRDefault="00E43B0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Default="0015021E">
    <w:pPr>
      <w:pStyle w:val="a6"/>
      <w:framePr w:wrap="around" w:vAnchor="text" w:hAnchor="margin" w:xAlign="center" w:y="1"/>
      <w:rPr>
        <w:rStyle w:val="a7"/>
      </w:rPr>
    </w:pPr>
    <w:r>
      <w:rPr>
        <w:rStyle w:val="a7"/>
      </w:rPr>
      <w:fldChar w:fldCharType="begin"/>
    </w:r>
    <w:r w:rsidR="00E43B0B">
      <w:rPr>
        <w:rStyle w:val="a7"/>
      </w:rPr>
      <w:instrText xml:space="preserve">PAGE  </w:instrText>
    </w:r>
    <w:r>
      <w:rPr>
        <w:rStyle w:val="a7"/>
      </w:rPr>
      <w:fldChar w:fldCharType="separate"/>
    </w:r>
    <w:r w:rsidR="00D936E6">
      <w:rPr>
        <w:rStyle w:val="a7"/>
        <w:noProof/>
      </w:rPr>
      <w:t>14</w:t>
    </w:r>
    <w:r>
      <w:rPr>
        <w:rStyle w:val="a7"/>
      </w:rPr>
      <w:fldChar w:fldCharType="end"/>
    </w:r>
  </w:p>
  <w:p w:rsidR="00E43B0B" w:rsidRDefault="00E43B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232" w:rsidRDefault="00EF6232">
      <w:r>
        <w:separator/>
      </w:r>
    </w:p>
  </w:footnote>
  <w:footnote w:type="continuationSeparator" w:id="0">
    <w:p w:rsidR="00EF6232" w:rsidRDefault="00EF6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0B" w:rsidRPr="00717C29" w:rsidRDefault="00E43B0B" w:rsidP="00FB572A">
    <w:pPr>
      <w:pStyle w:val="a9"/>
      <w:pBdr>
        <w:bottom w:val="single" w:sz="6" w:space="0" w:color="auto"/>
      </w:pBdr>
      <w:jc w:val="right"/>
      <w:rPr>
        <w:sz w:val="15"/>
      </w:rPr>
    </w:pPr>
    <w:r w:rsidRPr="00717C29">
      <w:rPr>
        <w:szCs w:val="21"/>
      </w:rPr>
      <w:t>易方达并购重组指数分级证券投资基金</w:t>
    </w:r>
    <w:r w:rsidRPr="00717C29">
      <w:rPr>
        <w:szCs w:val="21"/>
      </w:rPr>
      <w:t>2019</w:t>
    </w:r>
    <w:r w:rsidRPr="00717C29">
      <w:rPr>
        <w:szCs w:val="21"/>
      </w:rPr>
      <w:t>年第</w:t>
    </w:r>
    <w:r w:rsidRPr="00717C29">
      <w:rPr>
        <w:szCs w:val="21"/>
      </w:rPr>
      <w:t>3</w:t>
    </w:r>
    <w:r w:rsidRPr="00717C29">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116E"/>
    <w:rsid w:val="0000403B"/>
    <w:rsid w:val="00005911"/>
    <w:rsid w:val="0000595B"/>
    <w:rsid w:val="00010A83"/>
    <w:rsid w:val="00010A8E"/>
    <w:rsid w:val="00010AC3"/>
    <w:rsid w:val="000118A9"/>
    <w:rsid w:val="00011EB5"/>
    <w:rsid w:val="0001280C"/>
    <w:rsid w:val="00013023"/>
    <w:rsid w:val="000148F1"/>
    <w:rsid w:val="0001536C"/>
    <w:rsid w:val="00017581"/>
    <w:rsid w:val="00020149"/>
    <w:rsid w:val="00020583"/>
    <w:rsid w:val="00021DD4"/>
    <w:rsid w:val="00023BE7"/>
    <w:rsid w:val="00026AAE"/>
    <w:rsid w:val="00037FCF"/>
    <w:rsid w:val="000421B8"/>
    <w:rsid w:val="00043ABF"/>
    <w:rsid w:val="00044045"/>
    <w:rsid w:val="000445E4"/>
    <w:rsid w:val="00046906"/>
    <w:rsid w:val="000510AB"/>
    <w:rsid w:val="00055190"/>
    <w:rsid w:val="00055AF1"/>
    <w:rsid w:val="00056A75"/>
    <w:rsid w:val="00057DD3"/>
    <w:rsid w:val="000625A6"/>
    <w:rsid w:val="000627CD"/>
    <w:rsid w:val="00062BCE"/>
    <w:rsid w:val="00064AE3"/>
    <w:rsid w:val="00066524"/>
    <w:rsid w:val="00070CD1"/>
    <w:rsid w:val="0007171B"/>
    <w:rsid w:val="00074E9F"/>
    <w:rsid w:val="00081D05"/>
    <w:rsid w:val="0008378B"/>
    <w:rsid w:val="00085449"/>
    <w:rsid w:val="00087CF7"/>
    <w:rsid w:val="00090B0F"/>
    <w:rsid w:val="00090D91"/>
    <w:rsid w:val="00091214"/>
    <w:rsid w:val="00094876"/>
    <w:rsid w:val="00095912"/>
    <w:rsid w:val="00095CE0"/>
    <w:rsid w:val="00096933"/>
    <w:rsid w:val="00097230"/>
    <w:rsid w:val="0009778D"/>
    <w:rsid w:val="000A457E"/>
    <w:rsid w:val="000A53FD"/>
    <w:rsid w:val="000A549A"/>
    <w:rsid w:val="000A72F2"/>
    <w:rsid w:val="000B0C56"/>
    <w:rsid w:val="000B3E43"/>
    <w:rsid w:val="000B5974"/>
    <w:rsid w:val="000B5CC0"/>
    <w:rsid w:val="000C1038"/>
    <w:rsid w:val="000C1723"/>
    <w:rsid w:val="000C1B20"/>
    <w:rsid w:val="000C4107"/>
    <w:rsid w:val="000C44BD"/>
    <w:rsid w:val="000C45E7"/>
    <w:rsid w:val="000C57A8"/>
    <w:rsid w:val="000D0149"/>
    <w:rsid w:val="000D01F4"/>
    <w:rsid w:val="000D0D4E"/>
    <w:rsid w:val="000D1519"/>
    <w:rsid w:val="000E1618"/>
    <w:rsid w:val="000E4456"/>
    <w:rsid w:val="000F175F"/>
    <w:rsid w:val="000F17D1"/>
    <w:rsid w:val="000F2837"/>
    <w:rsid w:val="000F399F"/>
    <w:rsid w:val="000F60FF"/>
    <w:rsid w:val="000F635F"/>
    <w:rsid w:val="000F6C61"/>
    <w:rsid w:val="001008A1"/>
    <w:rsid w:val="00100C12"/>
    <w:rsid w:val="00102E56"/>
    <w:rsid w:val="001049B6"/>
    <w:rsid w:val="001051C6"/>
    <w:rsid w:val="001078B6"/>
    <w:rsid w:val="0011177A"/>
    <w:rsid w:val="00111D44"/>
    <w:rsid w:val="00116E31"/>
    <w:rsid w:val="00120BED"/>
    <w:rsid w:val="0012304E"/>
    <w:rsid w:val="001248EF"/>
    <w:rsid w:val="001257C7"/>
    <w:rsid w:val="00126DDF"/>
    <w:rsid w:val="001270BF"/>
    <w:rsid w:val="00127BAC"/>
    <w:rsid w:val="00134868"/>
    <w:rsid w:val="001366D4"/>
    <w:rsid w:val="00140FF8"/>
    <w:rsid w:val="00142A56"/>
    <w:rsid w:val="00144DF5"/>
    <w:rsid w:val="00145A97"/>
    <w:rsid w:val="00146485"/>
    <w:rsid w:val="00147338"/>
    <w:rsid w:val="0015021E"/>
    <w:rsid w:val="001506B4"/>
    <w:rsid w:val="00150A6E"/>
    <w:rsid w:val="00150AD6"/>
    <w:rsid w:val="00153B40"/>
    <w:rsid w:val="00154ADA"/>
    <w:rsid w:val="0015531A"/>
    <w:rsid w:val="00155953"/>
    <w:rsid w:val="0015779C"/>
    <w:rsid w:val="001600E8"/>
    <w:rsid w:val="00163B27"/>
    <w:rsid w:val="00165317"/>
    <w:rsid w:val="00170F80"/>
    <w:rsid w:val="00171BAD"/>
    <w:rsid w:val="001744B4"/>
    <w:rsid w:val="001756A1"/>
    <w:rsid w:val="001761EE"/>
    <w:rsid w:val="0017638D"/>
    <w:rsid w:val="00176EAA"/>
    <w:rsid w:val="0017725A"/>
    <w:rsid w:val="00177C4B"/>
    <w:rsid w:val="0018325A"/>
    <w:rsid w:val="00183C9E"/>
    <w:rsid w:val="00184556"/>
    <w:rsid w:val="00186199"/>
    <w:rsid w:val="001878B0"/>
    <w:rsid w:val="001928F7"/>
    <w:rsid w:val="00193F07"/>
    <w:rsid w:val="00194537"/>
    <w:rsid w:val="0019563C"/>
    <w:rsid w:val="001A09F9"/>
    <w:rsid w:val="001A14DB"/>
    <w:rsid w:val="001A21A9"/>
    <w:rsid w:val="001A363B"/>
    <w:rsid w:val="001A59D8"/>
    <w:rsid w:val="001A5FA6"/>
    <w:rsid w:val="001B0A62"/>
    <w:rsid w:val="001B2F0C"/>
    <w:rsid w:val="001B64E7"/>
    <w:rsid w:val="001C123E"/>
    <w:rsid w:val="001C36D8"/>
    <w:rsid w:val="001C37F6"/>
    <w:rsid w:val="001C4BEC"/>
    <w:rsid w:val="001C6288"/>
    <w:rsid w:val="001C7DE9"/>
    <w:rsid w:val="001D0DB0"/>
    <w:rsid w:val="001D0F6A"/>
    <w:rsid w:val="001D21BC"/>
    <w:rsid w:val="001D2FA5"/>
    <w:rsid w:val="001D35E0"/>
    <w:rsid w:val="001D5045"/>
    <w:rsid w:val="001D5387"/>
    <w:rsid w:val="001D5A44"/>
    <w:rsid w:val="001D63BB"/>
    <w:rsid w:val="001D724B"/>
    <w:rsid w:val="001E11D3"/>
    <w:rsid w:val="001E2A6A"/>
    <w:rsid w:val="001E3DC2"/>
    <w:rsid w:val="001E56FF"/>
    <w:rsid w:val="001E5C6B"/>
    <w:rsid w:val="001E6E4D"/>
    <w:rsid w:val="001F03E1"/>
    <w:rsid w:val="001F0DE2"/>
    <w:rsid w:val="001F218E"/>
    <w:rsid w:val="001F3CC6"/>
    <w:rsid w:val="001F40BA"/>
    <w:rsid w:val="001F4530"/>
    <w:rsid w:val="002010DE"/>
    <w:rsid w:val="00202968"/>
    <w:rsid w:val="00202A66"/>
    <w:rsid w:val="00202C32"/>
    <w:rsid w:val="00203AEF"/>
    <w:rsid w:val="00210344"/>
    <w:rsid w:val="00211A26"/>
    <w:rsid w:val="002125F7"/>
    <w:rsid w:val="00213171"/>
    <w:rsid w:val="00213917"/>
    <w:rsid w:val="00214463"/>
    <w:rsid w:val="00214756"/>
    <w:rsid w:val="00215CF2"/>
    <w:rsid w:val="00215E33"/>
    <w:rsid w:val="00216232"/>
    <w:rsid w:val="00220542"/>
    <w:rsid w:val="00220684"/>
    <w:rsid w:val="00221174"/>
    <w:rsid w:val="00225ADC"/>
    <w:rsid w:val="00230732"/>
    <w:rsid w:val="00230A66"/>
    <w:rsid w:val="00230EC2"/>
    <w:rsid w:val="002359EB"/>
    <w:rsid w:val="002363AB"/>
    <w:rsid w:val="00237FA3"/>
    <w:rsid w:val="0024172D"/>
    <w:rsid w:val="00241B12"/>
    <w:rsid w:val="0024260D"/>
    <w:rsid w:val="00243E40"/>
    <w:rsid w:val="00245012"/>
    <w:rsid w:val="0024504E"/>
    <w:rsid w:val="0024651F"/>
    <w:rsid w:val="002470BA"/>
    <w:rsid w:val="00250BE3"/>
    <w:rsid w:val="00251290"/>
    <w:rsid w:val="0025158D"/>
    <w:rsid w:val="00251D17"/>
    <w:rsid w:val="00251F3A"/>
    <w:rsid w:val="0025281A"/>
    <w:rsid w:val="00253D3C"/>
    <w:rsid w:val="0025435F"/>
    <w:rsid w:val="00255292"/>
    <w:rsid w:val="00260200"/>
    <w:rsid w:val="00263563"/>
    <w:rsid w:val="002648D8"/>
    <w:rsid w:val="00264E55"/>
    <w:rsid w:val="00270548"/>
    <w:rsid w:val="00272E0C"/>
    <w:rsid w:val="00273F86"/>
    <w:rsid w:val="002752B0"/>
    <w:rsid w:val="002774F0"/>
    <w:rsid w:val="0028459B"/>
    <w:rsid w:val="00284C5F"/>
    <w:rsid w:val="002873F0"/>
    <w:rsid w:val="00291A74"/>
    <w:rsid w:val="00292198"/>
    <w:rsid w:val="002964F9"/>
    <w:rsid w:val="00297EF3"/>
    <w:rsid w:val="002A1F14"/>
    <w:rsid w:val="002A2678"/>
    <w:rsid w:val="002A2E01"/>
    <w:rsid w:val="002A398F"/>
    <w:rsid w:val="002A44F9"/>
    <w:rsid w:val="002A5C6B"/>
    <w:rsid w:val="002A5D31"/>
    <w:rsid w:val="002A714F"/>
    <w:rsid w:val="002A74FB"/>
    <w:rsid w:val="002B1851"/>
    <w:rsid w:val="002B27FF"/>
    <w:rsid w:val="002B4429"/>
    <w:rsid w:val="002B6793"/>
    <w:rsid w:val="002C1726"/>
    <w:rsid w:val="002C1DF3"/>
    <w:rsid w:val="002C21A6"/>
    <w:rsid w:val="002C26D5"/>
    <w:rsid w:val="002C2DE0"/>
    <w:rsid w:val="002C5777"/>
    <w:rsid w:val="002C7FC3"/>
    <w:rsid w:val="002D1791"/>
    <w:rsid w:val="002D32E3"/>
    <w:rsid w:val="002D55E7"/>
    <w:rsid w:val="002E0FEB"/>
    <w:rsid w:val="002E1EBA"/>
    <w:rsid w:val="002F0F79"/>
    <w:rsid w:val="002F280E"/>
    <w:rsid w:val="002F3709"/>
    <w:rsid w:val="002F3A6C"/>
    <w:rsid w:val="002F3E9C"/>
    <w:rsid w:val="002F4296"/>
    <w:rsid w:val="00300951"/>
    <w:rsid w:val="003023C9"/>
    <w:rsid w:val="00302CA8"/>
    <w:rsid w:val="00302DE9"/>
    <w:rsid w:val="003041B1"/>
    <w:rsid w:val="00305084"/>
    <w:rsid w:val="003168E2"/>
    <w:rsid w:val="003204E9"/>
    <w:rsid w:val="00320DDA"/>
    <w:rsid w:val="00321E8C"/>
    <w:rsid w:val="00322A65"/>
    <w:rsid w:val="00322A86"/>
    <w:rsid w:val="00323AE8"/>
    <w:rsid w:val="00324548"/>
    <w:rsid w:val="003251F4"/>
    <w:rsid w:val="003303E3"/>
    <w:rsid w:val="00331FA4"/>
    <w:rsid w:val="003329EA"/>
    <w:rsid w:val="00332FDE"/>
    <w:rsid w:val="003407A5"/>
    <w:rsid w:val="00341188"/>
    <w:rsid w:val="0034147B"/>
    <w:rsid w:val="0034432A"/>
    <w:rsid w:val="00350238"/>
    <w:rsid w:val="0035109C"/>
    <w:rsid w:val="00351F0A"/>
    <w:rsid w:val="0035432B"/>
    <w:rsid w:val="00357EB5"/>
    <w:rsid w:val="00361E7E"/>
    <w:rsid w:val="003669EF"/>
    <w:rsid w:val="00370AA4"/>
    <w:rsid w:val="00371FF4"/>
    <w:rsid w:val="00373015"/>
    <w:rsid w:val="00375D24"/>
    <w:rsid w:val="00377520"/>
    <w:rsid w:val="00380D36"/>
    <w:rsid w:val="003822D3"/>
    <w:rsid w:val="0038409E"/>
    <w:rsid w:val="00384BC3"/>
    <w:rsid w:val="00386630"/>
    <w:rsid w:val="00390522"/>
    <w:rsid w:val="00390B25"/>
    <w:rsid w:val="00390C86"/>
    <w:rsid w:val="00397156"/>
    <w:rsid w:val="00397960"/>
    <w:rsid w:val="003A20AA"/>
    <w:rsid w:val="003A3BC4"/>
    <w:rsid w:val="003A458A"/>
    <w:rsid w:val="003A4DA3"/>
    <w:rsid w:val="003A768B"/>
    <w:rsid w:val="003B07C8"/>
    <w:rsid w:val="003B2082"/>
    <w:rsid w:val="003B2F13"/>
    <w:rsid w:val="003B3D0C"/>
    <w:rsid w:val="003B405E"/>
    <w:rsid w:val="003B57D3"/>
    <w:rsid w:val="003C1F58"/>
    <w:rsid w:val="003C792F"/>
    <w:rsid w:val="003D124B"/>
    <w:rsid w:val="003D18F3"/>
    <w:rsid w:val="003D22BD"/>
    <w:rsid w:val="003D4E5A"/>
    <w:rsid w:val="003D5951"/>
    <w:rsid w:val="003D74F2"/>
    <w:rsid w:val="003D78B5"/>
    <w:rsid w:val="003E1062"/>
    <w:rsid w:val="003E244F"/>
    <w:rsid w:val="003E3AE8"/>
    <w:rsid w:val="003E62A6"/>
    <w:rsid w:val="003E695F"/>
    <w:rsid w:val="003E6C9B"/>
    <w:rsid w:val="003E709C"/>
    <w:rsid w:val="003E7B89"/>
    <w:rsid w:val="003F20D3"/>
    <w:rsid w:val="003F4241"/>
    <w:rsid w:val="003F7C45"/>
    <w:rsid w:val="0040132C"/>
    <w:rsid w:val="00405085"/>
    <w:rsid w:val="004066FC"/>
    <w:rsid w:val="00407C10"/>
    <w:rsid w:val="004113B4"/>
    <w:rsid w:val="00414827"/>
    <w:rsid w:val="00416C10"/>
    <w:rsid w:val="004217C8"/>
    <w:rsid w:val="0042180E"/>
    <w:rsid w:val="004222C8"/>
    <w:rsid w:val="0042253F"/>
    <w:rsid w:val="00424726"/>
    <w:rsid w:val="00424EF3"/>
    <w:rsid w:val="004268BB"/>
    <w:rsid w:val="00431047"/>
    <w:rsid w:val="004318F0"/>
    <w:rsid w:val="00431B86"/>
    <w:rsid w:val="00431BC5"/>
    <w:rsid w:val="004344A5"/>
    <w:rsid w:val="004408EC"/>
    <w:rsid w:val="00441B38"/>
    <w:rsid w:val="00441D14"/>
    <w:rsid w:val="00441E6A"/>
    <w:rsid w:val="004432B9"/>
    <w:rsid w:val="00443C8F"/>
    <w:rsid w:val="00452481"/>
    <w:rsid w:val="00453E40"/>
    <w:rsid w:val="004542DD"/>
    <w:rsid w:val="00456CE0"/>
    <w:rsid w:val="004575E9"/>
    <w:rsid w:val="00457804"/>
    <w:rsid w:val="004646BF"/>
    <w:rsid w:val="00464744"/>
    <w:rsid w:val="00465C86"/>
    <w:rsid w:val="004665E3"/>
    <w:rsid w:val="004731F1"/>
    <w:rsid w:val="0047652F"/>
    <w:rsid w:val="00480BC8"/>
    <w:rsid w:val="00481265"/>
    <w:rsid w:val="004814BF"/>
    <w:rsid w:val="004828AE"/>
    <w:rsid w:val="0048587E"/>
    <w:rsid w:val="00487C2B"/>
    <w:rsid w:val="0049168F"/>
    <w:rsid w:val="00491ABD"/>
    <w:rsid w:val="0049297D"/>
    <w:rsid w:val="004929F2"/>
    <w:rsid w:val="00495A03"/>
    <w:rsid w:val="00497079"/>
    <w:rsid w:val="004A1BBA"/>
    <w:rsid w:val="004A1E8A"/>
    <w:rsid w:val="004A3E3C"/>
    <w:rsid w:val="004A3F71"/>
    <w:rsid w:val="004B0E6D"/>
    <w:rsid w:val="004B16E8"/>
    <w:rsid w:val="004B2326"/>
    <w:rsid w:val="004B4D2D"/>
    <w:rsid w:val="004B6250"/>
    <w:rsid w:val="004B76B1"/>
    <w:rsid w:val="004B7CA0"/>
    <w:rsid w:val="004C0057"/>
    <w:rsid w:val="004C04AE"/>
    <w:rsid w:val="004C0541"/>
    <w:rsid w:val="004C2C46"/>
    <w:rsid w:val="004C6E88"/>
    <w:rsid w:val="004C7235"/>
    <w:rsid w:val="004C7955"/>
    <w:rsid w:val="004D047F"/>
    <w:rsid w:val="004D3D96"/>
    <w:rsid w:val="004D650F"/>
    <w:rsid w:val="004D67E0"/>
    <w:rsid w:val="004E12E1"/>
    <w:rsid w:val="004E2133"/>
    <w:rsid w:val="004E32E2"/>
    <w:rsid w:val="004E5AB9"/>
    <w:rsid w:val="004E60FB"/>
    <w:rsid w:val="004F779C"/>
    <w:rsid w:val="004F7846"/>
    <w:rsid w:val="005000D4"/>
    <w:rsid w:val="005015FA"/>
    <w:rsid w:val="00505411"/>
    <w:rsid w:val="00510CAF"/>
    <w:rsid w:val="00510DAB"/>
    <w:rsid w:val="005128C5"/>
    <w:rsid w:val="00514754"/>
    <w:rsid w:val="0051478B"/>
    <w:rsid w:val="0051566A"/>
    <w:rsid w:val="00515D7B"/>
    <w:rsid w:val="005166E9"/>
    <w:rsid w:val="0052009E"/>
    <w:rsid w:val="0052302C"/>
    <w:rsid w:val="00525E59"/>
    <w:rsid w:val="00530D61"/>
    <w:rsid w:val="005318CC"/>
    <w:rsid w:val="00531D1B"/>
    <w:rsid w:val="005349B1"/>
    <w:rsid w:val="005374BC"/>
    <w:rsid w:val="00537A4E"/>
    <w:rsid w:val="00543188"/>
    <w:rsid w:val="00543367"/>
    <w:rsid w:val="00543BFA"/>
    <w:rsid w:val="00547D9C"/>
    <w:rsid w:val="00547DA1"/>
    <w:rsid w:val="005505E1"/>
    <w:rsid w:val="0055513C"/>
    <w:rsid w:val="00557A54"/>
    <w:rsid w:val="00560C94"/>
    <w:rsid w:val="0056150F"/>
    <w:rsid w:val="0056291C"/>
    <w:rsid w:val="00565A63"/>
    <w:rsid w:val="00566588"/>
    <w:rsid w:val="0057155E"/>
    <w:rsid w:val="0057275D"/>
    <w:rsid w:val="00576862"/>
    <w:rsid w:val="005800A9"/>
    <w:rsid w:val="00580488"/>
    <w:rsid w:val="0058074D"/>
    <w:rsid w:val="00580FD1"/>
    <w:rsid w:val="00582FAD"/>
    <w:rsid w:val="00583489"/>
    <w:rsid w:val="005840E4"/>
    <w:rsid w:val="00590FE4"/>
    <w:rsid w:val="00591D9C"/>
    <w:rsid w:val="005961D7"/>
    <w:rsid w:val="00597057"/>
    <w:rsid w:val="00597D8B"/>
    <w:rsid w:val="005A1C30"/>
    <w:rsid w:val="005A229D"/>
    <w:rsid w:val="005A3295"/>
    <w:rsid w:val="005A46FF"/>
    <w:rsid w:val="005A5AE2"/>
    <w:rsid w:val="005B011E"/>
    <w:rsid w:val="005B14F0"/>
    <w:rsid w:val="005B1E0B"/>
    <w:rsid w:val="005B2E84"/>
    <w:rsid w:val="005B70C6"/>
    <w:rsid w:val="005B7B0E"/>
    <w:rsid w:val="005C526E"/>
    <w:rsid w:val="005C5409"/>
    <w:rsid w:val="005C69AC"/>
    <w:rsid w:val="005C6DCF"/>
    <w:rsid w:val="005C6DF3"/>
    <w:rsid w:val="005C722E"/>
    <w:rsid w:val="005D01A4"/>
    <w:rsid w:val="005D14DE"/>
    <w:rsid w:val="005D2CC7"/>
    <w:rsid w:val="005D44E4"/>
    <w:rsid w:val="005D45B3"/>
    <w:rsid w:val="005D4CEB"/>
    <w:rsid w:val="005D5F80"/>
    <w:rsid w:val="005E0C14"/>
    <w:rsid w:val="005E1D51"/>
    <w:rsid w:val="005F04E6"/>
    <w:rsid w:val="005F43B9"/>
    <w:rsid w:val="005F68CB"/>
    <w:rsid w:val="005F6A4A"/>
    <w:rsid w:val="006033E3"/>
    <w:rsid w:val="00603663"/>
    <w:rsid w:val="0061321C"/>
    <w:rsid w:val="006159E5"/>
    <w:rsid w:val="00620DB0"/>
    <w:rsid w:val="0062386E"/>
    <w:rsid w:val="00623D9A"/>
    <w:rsid w:val="00623F01"/>
    <w:rsid w:val="006242FB"/>
    <w:rsid w:val="00626E2D"/>
    <w:rsid w:val="00627D94"/>
    <w:rsid w:val="00630B42"/>
    <w:rsid w:val="00631DB3"/>
    <w:rsid w:val="00634900"/>
    <w:rsid w:val="00637BA7"/>
    <w:rsid w:val="00642072"/>
    <w:rsid w:val="006440ED"/>
    <w:rsid w:val="00645293"/>
    <w:rsid w:val="00651B78"/>
    <w:rsid w:val="00652263"/>
    <w:rsid w:val="00652881"/>
    <w:rsid w:val="00653BAC"/>
    <w:rsid w:val="00657CAF"/>
    <w:rsid w:val="00661974"/>
    <w:rsid w:val="00662F58"/>
    <w:rsid w:val="00664551"/>
    <w:rsid w:val="0066704D"/>
    <w:rsid w:val="006676A0"/>
    <w:rsid w:val="006706B6"/>
    <w:rsid w:val="00670857"/>
    <w:rsid w:val="00671124"/>
    <w:rsid w:val="006727B0"/>
    <w:rsid w:val="0067307E"/>
    <w:rsid w:val="006848C1"/>
    <w:rsid w:val="006868CD"/>
    <w:rsid w:val="00686EEA"/>
    <w:rsid w:val="00687AD5"/>
    <w:rsid w:val="00690EC4"/>
    <w:rsid w:val="00691D14"/>
    <w:rsid w:val="00695251"/>
    <w:rsid w:val="00695296"/>
    <w:rsid w:val="00695ADE"/>
    <w:rsid w:val="00695C0D"/>
    <w:rsid w:val="00696356"/>
    <w:rsid w:val="00696DDE"/>
    <w:rsid w:val="006A72C6"/>
    <w:rsid w:val="006B02DA"/>
    <w:rsid w:val="006B0806"/>
    <w:rsid w:val="006B10DA"/>
    <w:rsid w:val="006B2065"/>
    <w:rsid w:val="006B3940"/>
    <w:rsid w:val="006B5B3E"/>
    <w:rsid w:val="006C168D"/>
    <w:rsid w:val="006C4465"/>
    <w:rsid w:val="006C642C"/>
    <w:rsid w:val="006C6FC6"/>
    <w:rsid w:val="006D0E4F"/>
    <w:rsid w:val="006D676F"/>
    <w:rsid w:val="006D7693"/>
    <w:rsid w:val="006E231B"/>
    <w:rsid w:val="006E346E"/>
    <w:rsid w:val="006E34B7"/>
    <w:rsid w:val="006F103E"/>
    <w:rsid w:val="006F4C30"/>
    <w:rsid w:val="006F4CD8"/>
    <w:rsid w:val="006F53D9"/>
    <w:rsid w:val="007004DC"/>
    <w:rsid w:val="00701347"/>
    <w:rsid w:val="007027B6"/>
    <w:rsid w:val="00703E8A"/>
    <w:rsid w:val="00707FB8"/>
    <w:rsid w:val="0071006D"/>
    <w:rsid w:val="00711522"/>
    <w:rsid w:val="007124FE"/>
    <w:rsid w:val="007125A9"/>
    <w:rsid w:val="00713186"/>
    <w:rsid w:val="00713757"/>
    <w:rsid w:val="00716F79"/>
    <w:rsid w:val="00717772"/>
    <w:rsid w:val="00717C29"/>
    <w:rsid w:val="00721AF1"/>
    <w:rsid w:val="0072280F"/>
    <w:rsid w:val="00722B5E"/>
    <w:rsid w:val="0072708F"/>
    <w:rsid w:val="00727C6C"/>
    <w:rsid w:val="0073150B"/>
    <w:rsid w:val="00732D1D"/>
    <w:rsid w:val="00736034"/>
    <w:rsid w:val="0073681C"/>
    <w:rsid w:val="00737AB0"/>
    <w:rsid w:val="00740619"/>
    <w:rsid w:val="007411F1"/>
    <w:rsid w:val="00741EBE"/>
    <w:rsid w:val="00742ADF"/>
    <w:rsid w:val="00745829"/>
    <w:rsid w:val="00746130"/>
    <w:rsid w:val="00746A40"/>
    <w:rsid w:val="007479DC"/>
    <w:rsid w:val="00747ABE"/>
    <w:rsid w:val="00750358"/>
    <w:rsid w:val="00755CDF"/>
    <w:rsid w:val="00757A4C"/>
    <w:rsid w:val="007622F6"/>
    <w:rsid w:val="00764A94"/>
    <w:rsid w:val="007651E5"/>
    <w:rsid w:val="007665BF"/>
    <w:rsid w:val="007670DC"/>
    <w:rsid w:val="00767239"/>
    <w:rsid w:val="0077111A"/>
    <w:rsid w:val="00772272"/>
    <w:rsid w:val="007756ED"/>
    <w:rsid w:val="007870FC"/>
    <w:rsid w:val="0078729B"/>
    <w:rsid w:val="00787CD0"/>
    <w:rsid w:val="00791053"/>
    <w:rsid w:val="00791A3A"/>
    <w:rsid w:val="00794196"/>
    <w:rsid w:val="007941EA"/>
    <w:rsid w:val="007951F3"/>
    <w:rsid w:val="0079671E"/>
    <w:rsid w:val="00797637"/>
    <w:rsid w:val="007A0A57"/>
    <w:rsid w:val="007A3680"/>
    <w:rsid w:val="007A59B8"/>
    <w:rsid w:val="007A6BEA"/>
    <w:rsid w:val="007B2191"/>
    <w:rsid w:val="007B2862"/>
    <w:rsid w:val="007B3C32"/>
    <w:rsid w:val="007B505A"/>
    <w:rsid w:val="007B662A"/>
    <w:rsid w:val="007C2BCC"/>
    <w:rsid w:val="007C7E22"/>
    <w:rsid w:val="007D1C16"/>
    <w:rsid w:val="007D28C9"/>
    <w:rsid w:val="007D3CC8"/>
    <w:rsid w:val="007D62F9"/>
    <w:rsid w:val="007D63A4"/>
    <w:rsid w:val="007E008D"/>
    <w:rsid w:val="007E0F0C"/>
    <w:rsid w:val="007E1AA2"/>
    <w:rsid w:val="007E1AD0"/>
    <w:rsid w:val="007E4C1F"/>
    <w:rsid w:val="007E5EDC"/>
    <w:rsid w:val="007F0746"/>
    <w:rsid w:val="007F0759"/>
    <w:rsid w:val="007F15C0"/>
    <w:rsid w:val="007F25C0"/>
    <w:rsid w:val="007F35AA"/>
    <w:rsid w:val="007F47E2"/>
    <w:rsid w:val="007F523A"/>
    <w:rsid w:val="007F5F52"/>
    <w:rsid w:val="007F77C6"/>
    <w:rsid w:val="008003A1"/>
    <w:rsid w:val="008006B7"/>
    <w:rsid w:val="00800FDB"/>
    <w:rsid w:val="0080159F"/>
    <w:rsid w:val="00802081"/>
    <w:rsid w:val="008034CF"/>
    <w:rsid w:val="00804533"/>
    <w:rsid w:val="00806461"/>
    <w:rsid w:val="0081096D"/>
    <w:rsid w:val="00810EAD"/>
    <w:rsid w:val="00811833"/>
    <w:rsid w:val="00811C19"/>
    <w:rsid w:val="008174D4"/>
    <w:rsid w:val="00820FE6"/>
    <w:rsid w:val="00821985"/>
    <w:rsid w:val="00821A66"/>
    <w:rsid w:val="00822476"/>
    <w:rsid w:val="00822882"/>
    <w:rsid w:val="00823E6D"/>
    <w:rsid w:val="00824200"/>
    <w:rsid w:val="00825D22"/>
    <w:rsid w:val="00825F68"/>
    <w:rsid w:val="00827CB9"/>
    <w:rsid w:val="008305BF"/>
    <w:rsid w:val="00832748"/>
    <w:rsid w:val="00835408"/>
    <w:rsid w:val="008359DA"/>
    <w:rsid w:val="00836D2A"/>
    <w:rsid w:val="00837CEF"/>
    <w:rsid w:val="00840035"/>
    <w:rsid w:val="00840220"/>
    <w:rsid w:val="00840677"/>
    <w:rsid w:val="00840C20"/>
    <w:rsid w:val="008428A9"/>
    <w:rsid w:val="00844112"/>
    <w:rsid w:val="00844CBE"/>
    <w:rsid w:val="008456C9"/>
    <w:rsid w:val="0084611D"/>
    <w:rsid w:val="00850C62"/>
    <w:rsid w:val="00854463"/>
    <w:rsid w:val="00857643"/>
    <w:rsid w:val="00863011"/>
    <w:rsid w:val="0086312D"/>
    <w:rsid w:val="00863392"/>
    <w:rsid w:val="00865075"/>
    <w:rsid w:val="0086734C"/>
    <w:rsid w:val="0086748F"/>
    <w:rsid w:val="00872CE4"/>
    <w:rsid w:val="00874F4B"/>
    <w:rsid w:val="0087539B"/>
    <w:rsid w:val="00877B62"/>
    <w:rsid w:val="00880016"/>
    <w:rsid w:val="00881015"/>
    <w:rsid w:val="008810B0"/>
    <w:rsid w:val="008819B6"/>
    <w:rsid w:val="00881AAC"/>
    <w:rsid w:val="0088314B"/>
    <w:rsid w:val="008831C4"/>
    <w:rsid w:val="008836B7"/>
    <w:rsid w:val="008841D3"/>
    <w:rsid w:val="00884434"/>
    <w:rsid w:val="00886036"/>
    <w:rsid w:val="00887DE6"/>
    <w:rsid w:val="00894C2A"/>
    <w:rsid w:val="00894DE3"/>
    <w:rsid w:val="008976CB"/>
    <w:rsid w:val="00897708"/>
    <w:rsid w:val="00897D88"/>
    <w:rsid w:val="008A2F16"/>
    <w:rsid w:val="008A4909"/>
    <w:rsid w:val="008B11E0"/>
    <w:rsid w:val="008B1773"/>
    <w:rsid w:val="008B1823"/>
    <w:rsid w:val="008B65CD"/>
    <w:rsid w:val="008B6E16"/>
    <w:rsid w:val="008B7110"/>
    <w:rsid w:val="008C2029"/>
    <w:rsid w:val="008C2A97"/>
    <w:rsid w:val="008C3990"/>
    <w:rsid w:val="008C61D6"/>
    <w:rsid w:val="008C64F1"/>
    <w:rsid w:val="008D1BB0"/>
    <w:rsid w:val="008D20FF"/>
    <w:rsid w:val="008D3DE6"/>
    <w:rsid w:val="008D4223"/>
    <w:rsid w:val="008D44CC"/>
    <w:rsid w:val="008D46E3"/>
    <w:rsid w:val="008D6709"/>
    <w:rsid w:val="008D671F"/>
    <w:rsid w:val="008E083A"/>
    <w:rsid w:val="008E0E7C"/>
    <w:rsid w:val="008E2450"/>
    <w:rsid w:val="008E6497"/>
    <w:rsid w:val="008E7896"/>
    <w:rsid w:val="008F1C17"/>
    <w:rsid w:val="008F2477"/>
    <w:rsid w:val="00900DD1"/>
    <w:rsid w:val="009010F0"/>
    <w:rsid w:val="00901162"/>
    <w:rsid w:val="0090223A"/>
    <w:rsid w:val="009028E2"/>
    <w:rsid w:val="009055EC"/>
    <w:rsid w:val="009100C0"/>
    <w:rsid w:val="0091247B"/>
    <w:rsid w:val="0091320A"/>
    <w:rsid w:val="00914EAB"/>
    <w:rsid w:val="009150A1"/>
    <w:rsid w:val="00916808"/>
    <w:rsid w:val="00922D49"/>
    <w:rsid w:val="0092482C"/>
    <w:rsid w:val="00924A95"/>
    <w:rsid w:val="009259CF"/>
    <w:rsid w:val="00925E37"/>
    <w:rsid w:val="00925EDD"/>
    <w:rsid w:val="00927D0E"/>
    <w:rsid w:val="009309DA"/>
    <w:rsid w:val="00935771"/>
    <w:rsid w:val="00936688"/>
    <w:rsid w:val="00937CFA"/>
    <w:rsid w:val="009406B3"/>
    <w:rsid w:val="00945CF5"/>
    <w:rsid w:val="00946D66"/>
    <w:rsid w:val="009500A1"/>
    <w:rsid w:val="0095037E"/>
    <w:rsid w:val="00952AAD"/>
    <w:rsid w:val="00952F4F"/>
    <w:rsid w:val="00954567"/>
    <w:rsid w:val="009547A9"/>
    <w:rsid w:val="00957466"/>
    <w:rsid w:val="0096260B"/>
    <w:rsid w:val="00963F05"/>
    <w:rsid w:val="00965469"/>
    <w:rsid w:val="009664D5"/>
    <w:rsid w:val="00970C69"/>
    <w:rsid w:val="009716AF"/>
    <w:rsid w:val="00971F1C"/>
    <w:rsid w:val="0097211D"/>
    <w:rsid w:val="00972E10"/>
    <w:rsid w:val="0097328D"/>
    <w:rsid w:val="009746CA"/>
    <w:rsid w:val="0097608D"/>
    <w:rsid w:val="0097659D"/>
    <w:rsid w:val="0097692D"/>
    <w:rsid w:val="00981963"/>
    <w:rsid w:val="00983C82"/>
    <w:rsid w:val="00983D29"/>
    <w:rsid w:val="00983E6E"/>
    <w:rsid w:val="00984520"/>
    <w:rsid w:val="0098545C"/>
    <w:rsid w:val="00990AAA"/>
    <w:rsid w:val="00992BA2"/>
    <w:rsid w:val="00992F83"/>
    <w:rsid w:val="0099508A"/>
    <w:rsid w:val="00997231"/>
    <w:rsid w:val="009974EB"/>
    <w:rsid w:val="009A1126"/>
    <w:rsid w:val="009A5029"/>
    <w:rsid w:val="009A63AC"/>
    <w:rsid w:val="009B1584"/>
    <w:rsid w:val="009B1B32"/>
    <w:rsid w:val="009B21CA"/>
    <w:rsid w:val="009B2648"/>
    <w:rsid w:val="009C03E5"/>
    <w:rsid w:val="009C0C11"/>
    <w:rsid w:val="009C3730"/>
    <w:rsid w:val="009C37BD"/>
    <w:rsid w:val="009C3AAC"/>
    <w:rsid w:val="009C4D19"/>
    <w:rsid w:val="009C5FDB"/>
    <w:rsid w:val="009C6493"/>
    <w:rsid w:val="009C693E"/>
    <w:rsid w:val="009C70CB"/>
    <w:rsid w:val="009D02B7"/>
    <w:rsid w:val="009D0628"/>
    <w:rsid w:val="009D1EA4"/>
    <w:rsid w:val="009D27AA"/>
    <w:rsid w:val="009D2D8B"/>
    <w:rsid w:val="009D38BA"/>
    <w:rsid w:val="009D4991"/>
    <w:rsid w:val="009D5BB5"/>
    <w:rsid w:val="009D696D"/>
    <w:rsid w:val="009D6ED2"/>
    <w:rsid w:val="009E0D5D"/>
    <w:rsid w:val="009E0F1A"/>
    <w:rsid w:val="009E140D"/>
    <w:rsid w:val="009E41E9"/>
    <w:rsid w:val="009E4465"/>
    <w:rsid w:val="009E6401"/>
    <w:rsid w:val="009E6C54"/>
    <w:rsid w:val="009F2261"/>
    <w:rsid w:val="009F2A25"/>
    <w:rsid w:val="009F3EB4"/>
    <w:rsid w:val="009F5235"/>
    <w:rsid w:val="009F531A"/>
    <w:rsid w:val="009F6550"/>
    <w:rsid w:val="009F786E"/>
    <w:rsid w:val="00A008DA"/>
    <w:rsid w:val="00A00902"/>
    <w:rsid w:val="00A039FF"/>
    <w:rsid w:val="00A05ACE"/>
    <w:rsid w:val="00A078CB"/>
    <w:rsid w:val="00A12EEF"/>
    <w:rsid w:val="00A14AE3"/>
    <w:rsid w:val="00A16675"/>
    <w:rsid w:val="00A22CD6"/>
    <w:rsid w:val="00A234EC"/>
    <w:rsid w:val="00A2417A"/>
    <w:rsid w:val="00A26668"/>
    <w:rsid w:val="00A27804"/>
    <w:rsid w:val="00A36822"/>
    <w:rsid w:val="00A36AB5"/>
    <w:rsid w:val="00A37A23"/>
    <w:rsid w:val="00A411D1"/>
    <w:rsid w:val="00A43389"/>
    <w:rsid w:val="00A43E71"/>
    <w:rsid w:val="00A45753"/>
    <w:rsid w:val="00A47B15"/>
    <w:rsid w:val="00A52F84"/>
    <w:rsid w:val="00A5533F"/>
    <w:rsid w:val="00A554CA"/>
    <w:rsid w:val="00A56B05"/>
    <w:rsid w:val="00A57678"/>
    <w:rsid w:val="00A60E2F"/>
    <w:rsid w:val="00A63284"/>
    <w:rsid w:val="00A64CB8"/>
    <w:rsid w:val="00A67018"/>
    <w:rsid w:val="00A672F3"/>
    <w:rsid w:val="00A673DC"/>
    <w:rsid w:val="00A67D40"/>
    <w:rsid w:val="00A7076E"/>
    <w:rsid w:val="00A709BE"/>
    <w:rsid w:val="00A7162E"/>
    <w:rsid w:val="00A7195A"/>
    <w:rsid w:val="00A72D71"/>
    <w:rsid w:val="00A7519C"/>
    <w:rsid w:val="00A75705"/>
    <w:rsid w:val="00A77C69"/>
    <w:rsid w:val="00A83953"/>
    <w:rsid w:val="00A83A77"/>
    <w:rsid w:val="00A85AF5"/>
    <w:rsid w:val="00A900E7"/>
    <w:rsid w:val="00A903B6"/>
    <w:rsid w:val="00A90F4F"/>
    <w:rsid w:val="00A92E44"/>
    <w:rsid w:val="00A9418A"/>
    <w:rsid w:val="00A947AA"/>
    <w:rsid w:val="00A9769C"/>
    <w:rsid w:val="00AA1B53"/>
    <w:rsid w:val="00AA3556"/>
    <w:rsid w:val="00AA35FD"/>
    <w:rsid w:val="00AA3DB7"/>
    <w:rsid w:val="00AB0340"/>
    <w:rsid w:val="00AB3012"/>
    <w:rsid w:val="00AB321C"/>
    <w:rsid w:val="00AB5B99"/>
    <w:rsid w:val="00AB688F"/>
    <w:rsid w:val="00AB75EA"/>
    <w:rsid w:val="00AB7AA2"/>
    <w:rsid w:val="00AB7BE2"/>
    <w:rsid w:val="00AC4BC1"/>
    <w:rsid w:val="00AD04BD"/>
    <w:rsid w:val="00AD1C72"/>
    <w:rsid w:val="00AD25F6"/>
    <w:rsid w:val="00AD46E6"/>
    <w:rsid w:val="00AD7214"/>
    <w:rsid w:val="00AE1066"/>
    <w:rsid w:val="00AE2AD2"/>
    <w:rsid w:val="00AE4518"/>
    <w:rsid w:val="00AE5D7F"/>
    <w:rsid w:val="00AE79F0"/>
    <w:rsid w:val="00AF2089"/>
    <w:rsid w:val="00AF3350"/>
    <w:rsid w:val="00AF4305"/>
    <w:rsid w:val="00AF5585"/>
    <w:rsid w:val="00AF561C"/>
    <w:rsid w:val="00AF6EC1"/>
    <w:rsid w:val="00B00331"/>
    <w:rsid w:val="00B01A80"/>
    <w:rsid w:val="00B02675"/>
    <w:rsid w:val="00B07C27"/>
    <w:rsid w:val="00B10017"/>
    <w:rsid w:val="00B10DE1"/>
    <w:rsid w:val="00B10FF8"/>
    <w:rsid w:val="00B11A5B"/>
    <w:rsid w:val="00B203C4"/>
    <w:rsid w:val="00B20A27"/>
    <w:rsid w:val="00B22E81"/>
    <w:rsid w:val="00B23996"/>
    <w:rsid w:val="00B23CB2"/>
    <w:rsid w:val="00B24946"/>
    <w:rsid w:val="00B2561A"/>
    <w:rsid w:val="00B25A64"/>
    <w:rsid w:val="00B306AA"/>
    <w:rsid w:val="00B32AB3"/>
    <w:rsid w:val="00B34E7C"/>
    <w:rsid w:val="00B368EA"/>
    <w:rsid w:val="00B37EEF"/>
    <w:rsid w:val="00B424F8"/>
    <w:rsid w:val="00B46E00"/>
    <w:rsid w:val="00B52B4A"/>
    <w:rsid w:val="00B54370"/>
    <w:rsid w:val="00B55185"/>
    <w:rsid w:val="00B55281"/>
    <w:rsid w:val="00B60FD1"/>
    <w:rsid w:val="00B61923"/>
    <w:rsid w:val="00B621D6"/>
    <w:rsid w:val="00B63EF5"/>
    <w:rsid w:val="00B65D6F"/>
    <w:rsid w:val="00B67C23"/>
    <w:rsid w:val="00B70DC7"/>
    <w:rsid w:val="00B715FD"/>
    <w:rsid w:val="00B73042"/>
    <w:rsid w:val="00B74BB9"/>
    <w:rsid w:val="00B75283"/>
    <w:rsid w:val="00B75735"/>
    <w:rsid w:val="00B77142"/>
    <w:rsid w:val="00B807F5"/>
    <w:rsid w:val="00B80A2C"/>
    <w:rsid w:val="00B81F60"/>
    <w:rsid w:val="00B841AC"/>
    <w:rsid w:val="00B843ED"/>
    <w:rsid w:val="00B865B0"/>
    <w:rsid w:val="00B90497"/>
    <w:rsid w:val="00B90780"/>
    <w:rsid w:val="00B91F9C"/>
    <w:rsid w:val="00B9240D"/>
    <w:rsid w:val="00B97681"/>
    <w:rsid w:val="00BA08A9"/>
    <w:rsid w:val="00BA22A8"/>
    <w:rsid w:val="00BA3E48"/>
    <w:rsid w:val="00BA4BD3"/>
    <w:rsid w:val="00BB0187"/>
    <w:rsid w:val="00BB1EB3"/>
    <w:rsid w:val="00BB2678"/>
    <w:rsid w:val="00BC013A"/>
    <w:rsid w:val="00BC1F94"/>
    <w:rsid w:val="00BC2343"/>
    <w:rsid w:val="00BC41FB"/>
    <w:rsid w:val="00BD30C8"/>
    <w:rsid w:val="00BD32FA"/>
    <w:rsid w:val="00BD3EB4"/>
    <w:rsid w:val="00BD5C65"/>
    <w:rsid w:val="00BD71EE"/>
    <w:rsid w:val="00BE6018"/>
    <w:rsid w:val="00BF1F57"/>
    <w:rsid w:val="00BF4086"/>
    <w:rsid w:val="00BF426C"/>
    <w:rsid w:val="00BF58D0"/>
    <w:rsid w:val="00BF63AF"/>
    <w:rsid w:val="00BF7D6A"/>
    <w:rsid w:val="00C013E1"/>
    <w:rsid w:val="00C01611"/>
    <w:rsid w:val="00C02D59"/>
    <w:rsid w:val="00C030B6"/>
    <w:rsid w:val="00C03284"/>
    <w:rsid w:val="00C050D7"/>
    <w:rsid w:val="00C05B5F"/>
    <w:rsid w:val="00C06911"/>
    <w:rsid w:val="00C104CC"/>
    <w:rsid w:val="00C12898"/>
    <w:rsid w:val="00C152FE"/>
    <w:rsid w:val="00C16739"/>
    <w:rsid w:val="00C22C7D"/>
    <w:rsid w:val="00C22CCE"/>
    <w:rsid w:val="00C231D6"/>
    <w:rsid w:val="00C23BA2"/>
    <w:rsid w:val="00C272C4"/>
    <w:rsid w:val="00C31C12"/>
    <w:rsid w:val="00C32AF2"/>
    <w:rsid w:val="00C33204"/>
    <w:rsid w:val="00C338EB"/>
    <w:rsid w:val="00C3465D"/>
    <w:rsid w:val="00C35643"/>
    <w:rsid w:val="00C379E9"/>
    <w:rsid w:val="00C439FB"/>
    <w:rsid w:val="00C43F23"/>
    <w:rsid w:val="00C50011"/>
    <w:rsid w:val="00C52CA1"/>
    <w:rsid w:val="00C5755E"/>
    <w:rsid w:val="00C6379C"/>
    <w:rsid w:val="00C645E6"/>
    <w:rsid w:val="00C64D82"/>
    <w:rsid w:val="00C64FBC"/>
    <w:rsid w:val="00C65A83"/>
    <w:rsid w:val="00C724F2"/>
    <w:rsid w:val="00C72C6F"/>
    <w:rsid w:val="00C75057"/>
    <w:rsid w:val="00C77034"/>
    <w:rsid w:val="00C80F23"/>
    <w:rsid w:val="00C81151"/>
    <w:rsid w:val="00C81EFA"/>
    <w:rsid w:val="00C82CC6"/>
    <w:rsid w:val="00C850A3"/>
    <w:rsid w:val="00C85C32"/>
    <w:rsid w:val="00C87568"/>
    <w:rsid w:val="00C90DB6"/>
    <w:rsid w:val="00C913B6"/>
    <w:rsid w:val="00C9394F"/>
    <w:rsid w:val="00C93B1A"/>
    <w:rsid w:val="00C96F5F"/>
    <w:rsid w:val="00CA4126"/>
    <w:rsid w:val="00CA4574"/>
    <w:rsid w:val="00CA5927"/>
    <w:rsid w:val="00CA79EC"/>
    <w:rsid w:val="00CB041A"/>
    <w:rsid w:val="00CB39C2"/>
    <w:rsid w:val="00CB4664"/>
    <w:rsid w:val="00CB4C8C"/>
    <w:rsid w:val="00CB6782"/>
    <w:rsid w:val="00CC080A"/>
    <w:rsid w:val="00CC0994"/>
    <w:rsid w:val="00CC0C03"/>
    <w:rsid w:val="00CD0AAD"/>
    <w:rsid w:val="00CD6177"/>
    <w:rsid w:val="00CE182E"/>
    <w:rsid w:val="00CE2DAB"/>
    <w:rsid w:val="00CE2DE4"/>
    <w:rsid w:val="00CE2E79"/>
    <w:rsid w:val="00CE5277"/>
    <w:rsid w:val="00CE6358"/>
    <w:rsid w:val="00CF2D54"/>
    <w:rsid w:val="00CF592C"/>
    <w:rsid w:val="00CF6992"/>
    <w:rsid w:val="00CF6AD7"/>
    <w:rsid w:val="00CF7B8C"/>
    <w:rsid w:val="00D03538"/>
    <w:rsid w:val="00D049B8"/>
    <w:rsid w:val="00D0516C"/>
    <w:rsid w:val="00D05EE7"/>
    <w:rsid w:val="00D068D0"/>
    <w:rsid w:val="00D078D1"/>
    <w:rsid w:val="00D129A8"/>
    <w:rsid w:val="00D12FB9"/>
    <w:rsid w:val="00D13FE2"/>
    <w:rsid w:val="00D200BD"/>
    <w:rsid w:val="00D22399"/>
    <w:rsid w:val="00D24B11"/>
    <w:rsid w:val="00D310BA"/>
    <w:rsid w:val="00D32C0A"/>
    <w:rsid w:val="00D33751"/>
    <w:rsid w:val="00D3382F"/>
    <w:rsid w:val="00D33924"/>
    <w:rsid w:val="00D34559"/>
    <w:rsid w:val="00D36F6E"/>
    <w:rsid w:val="00D3705B"/>
    <w:rsid w:val="00D37343"/>
    <w:rsid w:val="00D4205E"/>
    <w:rsid w:val="00D45DB6"/>
    <w:rsid w:val="00D5574C"/>
    <w:rsid w:val="00D604CE"/>
    <w:rsid w:val="00D61982"/>
    <w:rsid w:val="00D6267A"/>
    <w:rsid w:val="00D67D12"/>
    <w:rsid w:val="00D7585A"/>
    <w:rsid w:val="00D77B06"/>
    <w:rsid w:val="00D80618"/>
    <w:rsid w:val="00D82494"/>
    <w:rsid w:val="00D84A4B"/>
    <w:rsid w:val="00D92168"/>
    <w:rsid w:val="00D936E6"/>
    <w:rsid w:val="00D940B5"/>
    <w:rsid w:val="00D95CB0"/>
    <w:rsid w:val="00D977C0"/>
    <w:rsid w:val="00DA00A3"/>
    <w:rsid w:val="00DA13F3"/>
    <w:rsid w:val="00DA23C3"/>
    <w:rsid w:val="00DA2DE3"/>
    <w:rsid w:val="00DA475D"/>
    <w:rsid w:val="00DA7146"/>
    <w:rsid w:val="00DA716A"/>
    <w:rsid w:val="00DB1F4F"/>
    <w:rsid w:val="00DB37EE"/>
    <w:rsid w:val="00DB4450"/>
    <w:rsid w:val="00DB7B69"/>
    <w:rsid w:val="00DC234A"/>
    <w:rsid w:val="00DC27AD"/>
    <w:rsid w:val="00DC41E4"/>
    <w:rsid w:val="00DC5116"/>
    <w:rsid w:val="00DC7C77"/>
    <w:rsid w:val="00DD074A"/>
    <w:rsid w:val="00DD2417"/>
    <w:rsid w:val="00DD47BB"/>
    <w:rsid w:val="00DD7251"/>
    <w:rsid w:val="00DD7EA2"/>
    <w:rsid w:val="00DE00F2"/>
    <w:rsid w:val="00DE117F"/>
    <w:rsid w:val="00DE401C"/>
    <w:rsid w:val="00DF22DF"/>
    <w:rsid w:val="00DF63FA"/>
    <w:rsid w:val="00DF7589"/>
    <w:rsid w:val="00E00A1C"/>
    <w:rsid w:val="00E012CC"/>
    <w:rsid w:val="00E02818"/>
    <w:rsid w:val="00E02B71"/>
    <w:rsid w:val="00E02DEB"/>
    <w:rsid w:val="00E042A1"/>
    <w:rsid w:val="00E05A9C"/>
    <w:rsid w:val="00E067FB"/>
    <w:rsid w:val="00E104FA"/>
    <w:rsid w:val="00E1082A"/>
    <w:rsid w:val="00E11166"/>
    <w:rsid w:val="00E13182"/>
    <w:rsid w:val="00E15383"/>
    <w:rsid w:val="00E16313"/>
    <w:rsid w:val="00E1738C"/>
    <w:rsid w:val="00E207A1"/>
    <w:rsid w:val="00E22D28"/>
    <w:rsid w:val="00E230E3"/>
    <w:rsid w:val="00E27A14"/>
    <w:rsid w:val="00E30EDF"/>
    <w:rsid w:val="00E30F3C"/>
    <w:rsid w:val="00E31EC2"/>
    <w:rsid w:val="00E31FBA"/>
    <w:rsid w:val="00E32CB6"/>
    <w:rsid w:val="00E34042"/>
    <w:rsid w:val="00E34CDF"/>
    <w:rsid w:val="00E36AAE"/>
    <w:rsid w:val="00E41773"/>
    <w:rsid w:val="00E428DD"/>
    <w:rsid w:val="00E43B0B"/>
    <w:rsid w:val="00E44A50"/>
    <w:rsid w:val="00E477F6"/>
    <w:rsid w:val="00E50841"/>
    <w:rsid w:val="00E513F6"/>
    <w:rsid w:val="00E52F3B"/>
    <w:rsid w:val="00E53A45"/>
    <w:rsid w:val="00E53D94"/>
    <w:rsid w:val="00E53DEA"/>
    <w:rsid w:val="00E548E9"/>
    <w:rsid w:val="00E553CC"/>
    <w:rsid w:val="00E55667"/>
    <w:rsid w:val="00E57068"/>
    <w:rsid w:val="00E57630"/>
    <w:rsid w:val="00E616DB"/>
    <w:rsid w:val="00E627A4"/>
    <w:rsid w:val="00E630ED"/>
    <w:rsid w:val="00E74EC5"/>
    <w:rsid w:val="00E75FDC"/>
    <w:rsid w:val="00E76B86"/>
    <w:rsid w:val="00E8342F"/>
    <w:rsid w:val="00E847A7"/>
    <w:rsid w:val="00E85E29"/>
    <w:rsid w:val="00E85F25"/>
    <w:rsid w:val="00E86E79"/>
    <w:rsid w:val="00E87313"/>
    <w:rsid w:val="00E906B4"/>
    <w:rsid w:val="00E9095B"/>
    <w:rsid w:val="00E926B8"/>
    <w:rsid w:val="00E9399B"/>
    <w:rsid w:val="00E94008"/>
    <w:rsid w:val="00E94762"/>
    <w:rsid w:val="00E9588D"/>
    <w:rsid w:val="00E95CDA"/>
    <w:rsid w:val="00E96B52"/>
    <w:rsid w:val="00EA2244"/>
    <w:rsid w:val="00EA5D6D"/>
    <w:rsid w:val="00EA6FA7"/>
    <w:rsid w:val="00EB067F"/>
    <w:rsid w:val="00EB0BF5"/>
    <w:rsid w:val="00EB1F02"/>
    <w:rsid w:val="00EB3E72"/>
    <w:rsid w:val="00EB5BC5"/>
    <w:rsid w:val="00EC086C"/>
    <w:rsid w:val="00EC42D0"/>
    <w:rsid w:val="00EC58C8"/>
    <w:rsid w:val="00EC638F"/>
    <w:rsid w:val="00EC64D3"/>
    <w:rsid w:val="00ED0183"/>
    <w:rsid w:val="00ED48AC"/>
    <w:rsid w:val="00EE01D9"/>
    <w:rsid w:val="00EE224C"/>
    <w:rsid w:val="00EE4874"/>
    <w:rsid w:val="00EE79A6"/>
    <w:rsid w:val="00EF6111"/>
    <w:rsid w:val="00EF6232"/>
    <w:rsid w:val="00EF698A"/>
    <w:rsid w:val="00F005A0"/>
    <w:rsid w:val="00F006CC"/>
    <w:rsid w:val="00F05EAD"/>
    <w:rsid w:val="00F06616"/>
    <w:rsid w:val="00F11352"/>
    <w:rsid w:val="00F1498D"/>
    <w:rsid w:val="00F14DDF"/>
    <w:rsid w:val="00F152AD"/>
    <w:rsid w:val="00F2285F"/>
    <w:rsid w:val="00F23155"/>
    <w:rsid w:val="00F24236"/>
    <w:rsid w:val="00F24E0E"/>
    <w:rsid w:val="00F26693"/>
    <w:rsid w:val="00F27C38"/>
    <w:rsid w:val="00F36130"/>
    <w:rsid w:val="00F40444"/>
    <w:rsid w:val="00F40868"/>
    <w:rsid w:val="00F423BD"/>
    <w:rsid w:val="00F4255D"/>
    <w:rsid w:val="00F432FF"/>
    <w:rsid w:val="00F46DF9"/>
    <w:rsid w:val="00F4715C"/>
    <w:rsid w:val="00F54869"/>
    <w:rsid w:val="00F556B2"/>
    <w:rsid w:val="00F57252"/>
    <w:rsid w:val="00F5754B"/>
    <w:rsid w:val="00F576DE"/>
    <w:rsid w:val="00F63BF7"/>
    <w:rsid w:val="00F64563"/>
    <w:rsid w:val="00F65617"/>
    <w:rsid w:val="00F65D71"/>
    <w:rsid w:val="00F70112"/>
    <w:rsid w:val="00F710BE"/>
    <w:rsid w:val="00F723B1"/>
    <w:rsid w:val="00F736D2"/>
    <w:rsid w:val="00F74B6C"/>
    <w:rsid w:val="00F7564C"/>
    <w:rsid w:val="00F76220"/>
    <w:rsid w:val="00F769BE"/>
    <w:rsid w:val="00F81C33"/>
    <w:rsid w:val="00F82A1D"/>
    <w:rsid w:val="00F82E6B"/>
    <w:rsid w:val="00F91F6D"/>
    <w:rsid w:val="00F97B71"/>
    <w:rsid w:val="00FA2DDA"/>
    <w:rsid w:val="00FA34CA"/>
    <w:rsid w:val="00FA4A55"/>
    <w:rsid w:val="00FA4D4F"/>
    <w:rsid w:val="00FA54E8"/>
    <w:rsid w:val="00FA7193"/>
    <w:rsid w:val="00FA7910"/>
    <w:rsid w:val="00FB2D17"/>
    <w:rsid w:val="00FB2F69"/>
    <w:rsid w:val="00FB368B"/>
    <w:rsid w:val="00FB45FF"/>
    <w:rsid w:val="00FB572A"/>
    <w:rsid w:val="00FB5D97"/>
    <w:rsid w:val="00FC1CA5"/>
    <w:rsid w:val="00FC219C"/>
    <w:rsid w:val="00FC2979"/>
    <w:rsid w:val="00FD1C3C"/>
    <w:rsid w:val="00FD1E02"/>
    <w:rsid w:val="00FD38A8"/>
    <w:rsid w:val="00FD6AC8"/>
    <w:rsid w:val="00FE3EA1"/>
    <w:rsid w:val="00FE4818"/>
    <w:rsid w:val="00FE5D80"/>
    <w:rsid w:val="00FE67F1"/>
    <w:rsid w:val="00FF1577"/>
    <w:rsid w:val="00FF351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72DCF266-60FA-4E11-934F-6B947CDA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FD1E0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C1289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FD1E02"/>
    <w:rPr>
      <w:rFonts w:cs="Times New Roman"/>
      <w:b/>
      <w:bCs/>
      <w:kern w:val="44"/>
      <w:sz w:val="44"/>
      <w:szCs w:val="44"/>
    </w:rPr>
  </w:style>
  <w:style w:type="character" w:customStyle="1" w:styleId="2Char">
    <w:name w:val="标题 2 Char"/>
    <w:link w:val="2"/>
    <w:uiPriority w:val="99"/>
    <w:semiHidden/>
    <w:locked/>
    <w:rsid w:val="00140FF8"/>
    <w:rPr>
      <w:rFonts w:ascii="Cambria" w:eastAsia="宋体" w:hAnsi="Cambria" w:cs="Times New Roman"/>
      <w:b/>
      <w:bCs/>
      <w:sz w:val="32"/>
      <w:szCs w:val="32"/>
    </w:rPr>
  </w:style>
  <w:style w:type="paragraph" w:styleId="a0">
    <w:name w:val="Normal Indent"/>
    <w:basedOn w:val="a"/>
    <w:uiPriority w:val="99"/>
    <w:rsid w:val="00C12898"/>
    <w:pPr>
      <w:ind w:firstLineChars="200" w:firstLine="420"/>
    </w:pPr>
  </w:style>
  <w:style w:type="paragraph" w:styleId="a4">
    <w:name w:val="Body Text Indent"/>
    <w:basedOn w:val="a"/>
    <w:link w:val="Char"/>
    <w:uiPriority w:val="99"/>
    <w:rsid w:val="00C12898"/>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
    <w:name w:val="正文文本缩进 Char"/>
    <w:link w:val="a4"/>
    <w:uiPriority w:val="99"/>
    <w:semiHidden/>
    <w:locked/>
    <w:rsid w:val="00140FF8"/>
    <w:rPr>
      <w:rFonts w:cs="Times New Roman"/>
      <w:sz w:val="24"/>
      <w:szCs w:val="24"/>
    </w:rPr>
  </w:style>
  <w:style w:type="paragraph" w:styleId="a5">
    <w:name w:val="Plain Text"/>
    <w:basedOn w:val="a"/>
    <w:link w:val="Char0"/>
    <w:uiPriority w:val="99"/>
    <w:rsid w:val="00C12898"/>
    <w:rPr>
      <w:rFonts w:ascii="宋体" w:hAnsi="Courier New"/>
      <w:szCs w:val="21"/>
    </w:rPr>
  </w:style>
  <w:style w:type="character" w:customStyle="1" w:styleId="Char0">
    <w:name w:val="纯文本 Char"/>
    <w:link w:val="a5"/>
    <w:uiPriority w:val="99"/>
    <w:locked/>
    <w:rsid w:val="0042253F"/>
    <w:rPr>
      <w:rFonts w:ascii="宋体" w:hAnsi="Courier New" w:cs="Times New Roman"/>
      <w:kern w:val="2"/>
      <w:sz w:val="21"/>
    </w:rPr>
  </w:style>
  <w:style w:type="paragraph" w:styleId="20">
    <w:name w:val="Body Text Indent 2"/>
    <w:basedOn w:val="a"/>
    <w:link w:val="2Char0"/>
    <w:uiPriority w:val="99"/>
    <w:rsid w:val="00C12898"/>
    <w:pPr>
      <w:spacing w:line="560" w:lineRule="exact"/>
      <w:ind w:firstLineChars="200" w:firstLine="480"/>
    </w:pPr>
    <w:rPr>
      <w:rFonts w:ascii="宋体" w:hAnsi="宋体"/>
      <w:color w:val="FF0000"/>
      <w:sz w:val="24"/>
    </w:rPr>
  </w:style>
  <w:style w:type="character" w:customStyle="1" w:styleId="2Char0">
    <w:name w:val="正文文本缩进 2 Char"/>
    <w:link w:val="20"/>
    <w:uiPriority w:val="99"/>
    <w:semiHidden/>
    <w:locked/>
    <w:rsid w:val="00140FF8"/>
    <w:rPr>
      <w:rFonts w:cs="Times New Roman"/>
      <w:sz w:val="24"/>
      <w:szCs w:val="24"/>
    </w:rPr>
  </w:style>
  <w:style w:type="paragraph" w:styleId="a6">
    <w:name w:val="footer"/>
    <w:basedOn w:val="a"/>
    <w:link w:val="Char1"/>
    <w:uiPriority w:val="99"/>
    <w:rsid w:val="00C12898"/>
    <w:pPr>
      <w:tabs>
        <w:tab w:val="center" w:pos="4153"/>
        <w:tab w:val="right" w:pos="8306"/>
      </w:tabs>
      <w:snapToGrid w:val="0"/>
      <w:jc w:val="left"/>
    </w:pPr>
    <w:rPr>
      <w:sz w:val="18"/>
      <w:szCs w:val="18"/>
    </w:rPr>
  </w:style>
  <w:style w:type="character" w:customStyle="1" w:styleId="Char1">
    <w:name w:val="页脚 Char"/>
    <w:link w:val="a6"/>
    <w:uiPriority w:val="99"/>
    <w:semiHidden/>
    <w:locked/>
    <w:rsid w:val="00140FF8"/>
    <w:rPr>
      <w:rFonts w:cs="Times New Roman"/>
      <w:sz w:val="18"/>
      <w:szCs w:val="18"/>
    </w:rPr>
  </w:style>
  <w:style w:type="character" w:styleId="a7">
    <w:name w:val="page number"/>
    <w:uiPriority w:val="99"/>
    <w:rsid w:val="00C12898"/>
    <w:rPr>
      <w:rFonts w:cs="Times New Roman"/>
    </w:rPr>
  </w:style>
  <w:style w:type="character" w:styleId="a8">
    <w:name w:val="Hyperlink"/>
    <w:uiPriority w:val="99"/>
    <w:rsid w:val="00C12898"/>
    <w:rPr>
      <w:rFonts w:cs="Times New Roman"/>
      <w:color w:val="0000FF"/>
      <w:u w:val="single"/>
    </w:rPr>
  </w:style>
  <w:style w:type="paragraph" w:styleId="3">
    <w:name w:val="Body Text Indent 3"/>
    <w:basedOn w:val="a"/>
    <w:link w:val="3Char"/>
    <w:uiPriority w:val="99"/>
    <w:rsid w:val="00C12898"/>
    <w:pPr>
      <w:spacing w:line="560" w:lineRule="exact"/>
      <w:ind w:firstLineChars="200" w:firstLine="420"/>
    </w:pPr>
    <w:rPr>
      <w:rFonts w:ascii="Arial" w:hAnsi="Arial" w:cs="Arial"/>
      <w:color w:val="FF0000"/>
    </w:rPr>
  </w:style>
  <w:style w:type="character" w:customStyle="1" w:styleId="3Char">
    <w:name w:val="正文文本缩进 3 Char"/>
    <w:link w:val="3"/>
    <w:uiPriority w:val="99"/>
    <w:semiHidden/>
    <w:locked/>
    <w:rsid w:val="00140FF8"/>
    <w:rPr>
      <w:rFonts w:cs="Times New Roman"/>
      <w:sz w:val="16"/>
      <w:szCs w:val="16"/>
    </w:rPr>
  </w:style>
  <w:style w:type="paragraph" w:styleId="a9">
    <w:name w:val="header"/>
    <w:basedOn w:val="a"/>
    <w:link w:val="Char2"/>
    <w:uiPriority w:val="99"/>
    <w:rsid w:val="00C1289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FB572A"/>
    <w:rPr>
      <w:rFonts w:cs="Times New Roman"/>
      <w:kern w:val="2"/>
      <w:sz w:val="18"/>
      <w:szCs w:val="18"/>
    </w:rPr>
  </w:style>
  <w:style w:type="character" w:styleId="aa">
    <w:name w:val="FollowedHyperlink"/>
    <w:uiPriority w:val="99"/>
    <w:rsid w:val="00C12898"/>
    <w:rPr>
      <w:rFonts w:cs="Times New Roman"/>
      <w:color w:val="800080"/>
      <w:u w:val="single"/>
    </w:rPr>
  </w:style>
  <w:style w:type="paragraph" w:styleId="ab">
    <w:name w:val="List"/>
    <w:basedOn w:val="ac"/>
    <w:uiPriority w:val="99"/>
    <w:rsid w:val="00C12898"/>
    <w:pPr>
      <w:spacing w:after="220" w:line="220" w:lineRule="atLeast"/>
      <w:ind w:left="1440" w:hanging="360"/>
    </w:pPr>
    <w:rPr>
      <w:szCs w:val="20"/>
    </w:rPr>
  </w:style>
  <w:style w:type="paragraph" w:styleId="ac">
    <w:name w:val="Body Text"/>
    <w:basedOn w:val="a"/>
    <w:link w:val="Char3"/>
    <w:uiPriority w:val="99"/>
    <w:rsid w:val="00C12898"/>
    <w:pPr>
      <w:spacing w:after="120"/>
    </w:pPr>
  </w:style>
  <w:style w:type="character" w:customStyle="1" w:styleId="Char3">
    <w:name w:val="正文文本 Char"/>
    <w:link w:val="ac"/>
    <w:uiPriority w:val="99"/>
    <w:semiHidden/>
    <w:locked/>
    <w:rsid w:val="00140FF8"/>
    <w:rPr>
      <w:rFonts w:cs="Times New Roman"/>
      <w:sz w:val="24"/>
      <w:szCs w:val="24"/>
    </w:rPr>
  </w:style>
  <w:style w:type="paragraph" w:styleId="ad">
    <w:name w:val="Date"/>
    <w:basedOn w:val="a"/>
    <w:next w:val="a"/>
    <w:link w:val="Char4"/>
    <w:uiPriority w:val="99"/>
    <w:rsid w:val="00C12898"/>
    <w:rPr>
      <w:sz w:val="24"/>
      <w:szCs w:val="20"/>
    </w:rPr>
  </w:style>
  <w:style w:type="character" w:customStyle="1" w:styleId="Char4">
    <w:name w:val="日期 Char"/>
    <w:link w:val="ad"/>
    <w:uiPriority w:val="99"/>
    <w:locked/>
    <w:rsid w:val="00F27C38"/>
    <w:rPr>
      <w:rFonts w:cs="Times New Roman"/>
      <w:kern w:val="2"/>
      <w:sz w:val="24"/>
    </w:rPr>
  </w:style>
  <w:style w:type="character" w:customStyle="1" w:styleId="c1">
    <w:name w:val="c1"/>
    <w:uiPriority w:val="99"/>
    <w:rsid w:val="00C12898"/>
    <w:rPr>
      <w:rFonts w:cs="Times New Roman"/>
      <w:color w:val="000000"/>
      <w:sz w:val="18"/>
      <w:szCs w:val="18"/>
    </w:rPr>
  </w:style>
  <w:style w:type="paragraph" w:styleId="10">
    <w:name w:val="index 1"/>
    <w:basedOn w:val="a"/>
    <w:next w:val="a"/>
    <w:autoRedefine/>
    <w:uiPriority w:val="99"/>
    <w:semiHidden/>
    <w:rsid w:val="00C12898"/>
    <w:pPr>
      <w:jc w:val="right"/>
    </w:pPr>
    <w:rPr>
      <w:color w:val="008000"/>
    </w:rPr>
  </w:style>
  <w:style w:type="paragraph" w:customStyle="1" w:styleId="font5">
    <w:name w:val="font5"/>
    <w:basedOn w:val="a"/>
    <w:uiPriority w:val="99"/>
    <w:rsid w:val="00C1289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C1289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C1289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C1289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C1289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C12898"/>
    <w:rPr>
      <w:sz w:val="18"/>
      <w:szCs w:val="18"/>
    </w:rPr>
  </w:style>
  <w:style w:type="character" w:customStyle="1" w:styleId="Char5">
    <w:name w:val="批注框文本 Char"/>
    <w:link w:val="ae"/>
    <w:uiPriority w:val="99"/>
    <w:semiHidden/>
    <w:locked/>
    <w:rsid w:val="00140FF8"/>
    <w:rPr>
      <w:rFonts w:cs="Times New Roman"/>
      <w:sz w:val="2"/>
    </w:rPr>
  </w:style>
  <w:style w:type="character" w:styleId="af">
    <w:name w:val="annotation reference"/>
    <w:uiPriority w:val="99"/>
    <w:semiHidden/>
    <w:rsid w:val="00C12898"/>
    <w:rPr>
      <w:rFonts w:cs="Times New Roman"/>
      <w:sz w:val="21"/>
      <w:szCs w:val="21"/>
    </w:rPr>
  </w:style>
  <w:style w:type="paragraph" w:styleId="af0">
    <w:name w:val="annotation text"/>
    <w:basedOn w:val="a"/>
    <w:link w:val="Char6"/>
    <w:uiPriority w:val="99"/>
    <w:semiHidden/>
    <w:rsid w:val="00C12898"/>
    <w:pPr>
      <w:jc w:val="left"/>
    </w:pPr>
  </w:style>
  <w:style w:type="character" w:customStyle="1" w:styleId="Char6">
    <w:name w:val="批注文字 Char"/>
    <w:link w:val="af0"/>
    <w:uiPriority w:val="99"/>
    <w:semiHidden/>
    <w:locked/>
    <w:rsid w:val="00140FF8"/>
    <w:rPr>
      <w:rFonts w:cs="Times New Roman"/>
      <w:sz w:val="24"/>
      <w:szCs w:val="24"/>
    </w:rPr>
  </w:style>
  <w:style w:type="paragraph" w:styleId="af1">
    <w:name w:val="annotation subject"/>
    <w:basedOn w:val="af0"/>
    <w:next w:val="af0"/>
    <w:link w:val="Char7"/>
    <w:uiPriority w:val="99"/>
    <w:semiHidden/>
    <w:rsid w:val="00C12898"/>
    <w:rPr>
      <w:b/>
      <w:bCs/>
    </w:rPr>
  </w:style>
  <w:style w:type="character" w:customStyle="1" w:styleId="Char7">
    <w:name w:val="批注主题 Char"/>
    <w:link w:val="af1"/>
    <w:uiPriority w:val="99"/>
    <w:semiHidden/>
    <w:locked/>
    <w:rsid w:val="00140FF8"/>
    <w:rPr>
      <w:rFonts w:cs="Times New Roman"/>
      <w:b/>
      <w:bCs/>
      <w:sz w:val="24"/>
      <w:szCs w:val="24"/>
    </w:rPr>
  </w:style>
  <w:style w:type="paragraph" w:customStyle="1" w:styleId="Char8">
    <w:name w:val="Char"/>
    <w:basedOn w:val="a"/>
    <w:uiPriority w:val="99"/>
    <w:rsid w:val="00C12898"/>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140FF8"/>
    <w:rPr>
      <w:rFonts w:cs="Times New Roman"/>
      <w:sz w:val="2"/>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140FF8"/>
    <w:rPr>
      <w:rFonts w:cs="Times New Roman"/>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695296"/>
    <w:pPr>
      <w:widowControl w:val="0"/>
      <w:autoSpaceDE w:val="0"/>
      <w:autoSpaceDN w:val="0"/>
      <w:adjustRightInd w:val="0"/>
    </w:pPr>
    <w:rPr>
      <w:rFonts w:ascii="FangSong" w:hAnsi="FangSong" w:cs="FangSong"/>
      <w:color w:val="000000"/>
      <w:sz w:val="24"/>
      <w:szCs w:val="24"/>
    </w:rPr>
  </w:style>
  <w:style w:type="paragraph" w:styleId="HTML">
    <w:name w:val="HTML Preformatted"/>
    <w:basedOn w:val="a"/>
    <w:link w:val="HTMLChar"/>
    <w:uiPriority w:val="99"/>
    <w:rsid w:val="00634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uiPriority w:val="99"/>
    <w:locked/>
    <w:rsid w:val="00634900"/>
    <w:rPr>
      <w:rFonts w:ascii="宋体" w:eastAsia="宋体" w:cs="宋体"/>
      <w:sz w:val="24"/>
      <w:szCs w:val="24"/>
    </w:rPr>
  </w:style>
  <w:style w:type="character" w:styleId="af8">
    <w:name w:val="Strong"/>
    <w:basedOn w:val="a1"/>
    <w:uiPriority w:val="22"/>
    <w:qFormat/>
    <w:locked/>
    <w:rsid w:val="00193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13930">
      <w:bodyDiv w:val="1"/>
      <w:marLeft w:val="0"/>
      <w:marRight w:val="0"/>
      <w:marTop w:val="0"/>
      <w:marBottom w:val="0"/>
      <w:divBdr>
        <w:top w:val="none" w:sz="0" w:space="0" w:color="auto"/>
        <w:left w:val="none" w:sz="0" w:space="0" w:color="auto"/>
        <w:bottom w:val="none" w:sz="0" w:space="0" w:color="auto"/>
        <w:right w:val="none" w:sz="0" w:space="0" w:color="auto"/>
      </w:divBdr>
    </w:div>
    <w:div w:id="1077090524">
      <w:bodyDiv w:val="1"/>
      <w:marLeft w:val="0"/>
      <w:marRight w:val="0"/>
      <w:marTop w:val="0"/>
      <w:marBottom w:val="0"/>
      <w:divBdr>
        <w:top w:val="none" w:sz="0" w:space="0" w:color="auto"/>
        <w:left w:val="none" w:sz="0" w:space="0" w:color="auto"/>
        <w:bottom w:val="none" w:sz="0" w:space="0" w:color="auto"/>
        <w:right w:val="none" w:sz="0" w:space="0" w:color="auto"/>
      </w:divBdr>
    </w:div>
    <w:div w:id="1682857254">
      <w:marLeft w:val="0"/>
      <w:marRight w:val="0"/>
      <w:marTop w:val="0"/>
      <w:marBottom w:val="0"/>
      <w:divBdr>
        <w:top w:val="none" w:sz="0" w:space="0" w:color="auto"/>
        <w:left w:val="none" w:sz="0" w:space="0" w:color="auto"/>
        <w:bottom w:val="none" w:sz="0" w:space="0" w:color="auto"/>
        <w:right w:val="none" w:sz="0" w:space="0" w:color="auto"/>
      </w:divBdr>
    </w:div>
    <w:div w:id="1682857255">
      <w:marLeft w:val="0"/>
      <w:marRight w:val="0"/>
      <w:marTop w:val="0"/>
      <w:marBottom w:val="0"/>
      <w:divBdr>
        <w:top w:val="none" w:sz="0" w:space="0" w:color="auto"/>
        <w:left w:val="none" w:sz="0" w:space="0" w:color="auto"/>
        <w:bottom w:val="none" w:sz="0" w:space="0" w:color="auto"/>
        <w:right w:val="none" w:sz="0" w:space="0" w:color="auto"/>
      </w:divBdr>
    </w:div>
    <w:div w:id="1682857256">
      <w:marLeft w:val="0"/>
      <w:marRight w:val="0"/>
      <w:marTop w:val="0"/>
      <w:marBottom w:val="0"/>
      <w:divBdr>
        <w:top w:val="none" w:sz="0" w:space="0" w:color="auto"/>
        <w:left w:val="none" w:sz="0" w:space="0" w:color="auto"/>
        <w:bottom w:val="none" w:sz="0" w:space="0" w:color="auto"/>
        <w:right w:val="none" w:sz="0" w:space="0" w:color="auto"/>
      </w:divBdr>
    </w:div>
    <w:div w:id="1682857257">
      <w:marLeft w:val="0"/>
      <w:marRight w:val="0"/>
      <w:marTop w:val="0"/>
      <w:marBottom w:val="0"/>
      <w:divBdr>
        <w:top w:val="none" w:sz="0" w:space="0" w:color="auto"/>
        <w:left w:val="none" w:sz="0" w:space="0" w:color="auto"/>
        <w:bottom w:val="none" w:sz="0" w:space="0" w:color="auto"/>
        <w:right w:val="none" w:sz="0" w:space="0" w:color="auto"/>
      </w:divBdr>
    </w:div>
    <w:div w:id="1682857258">
      <w:marLeft w:val="0"/>
      <w:marRight w:val="0"/>
      <w:marTop w:val="0"/>
      <w:marBottom w:val="0"/>
      <w:divBdr>
        <w:top w:val="none" w:sz="0" w:space="0" w:color="auto"/>
        <w:left w:val="none" w:sz="0" w:space="0" w:color="auto"/>
        <w:bottom w:val="none" w:sz="0" w:space="0" w:color="auto"/>
        <w:right w:val="none" w:sz="0" w:space="0" w:color="auto"/>
      </w:divBdr>
    </w:div>
    <w:div w:id="1682857259">
      <w:marLeft w:val="0"/>
      <w:marRight w:val="0"/>
      <w:marTop w:val="0"/>
      <w:marBottom w:val="0"/>
      <w:divBdr>
        <w:top w:val="none" w:sz="0" w:space="0" w:color="auto"/>
        <w:left w:val="none" w:sz="0" w:space="0" w:color="auto"/>
        <w:bottom w:val="none" w:sz="0" w:space="0" w:color="auto"/>
        <w:right w:val="none" w:sz="0" w:space="0" w:color="auto"/>
      </w:divBdr>
    </w:div>
    <w:div w:id="1682857260">
      <w:marLeft w:val="0"/>
      <w:marRight w:val="0"/>
      <w:marTop w:val="0"/>
      <w:marBottom w:val="0"/>
      <w:divBdr>
        <w:top w:val="none" w:sz="0" w:space="0" w:color="auto"/>
        <w:left w:val="none" w:sz="0" w:space="0" w:color="auto"/>
        <w:bottom w:val="none" w:sz="0" w:space="0" w:color="auto"/>
        <w:right w:val="none" w:sz="0" w:space="0" w:color="auto"/>
      </w:divBdr>
    </w:div>
    <w:div w:id="1682857261">
      <w:marLeft w:val="0"/>
      <w:marRight w:val="0"/>
      <w:marTop w:val="0"/>
      <w:marBottom w:val="0"/>
      <w:divBdr>
        <w:top w:val="none" w:sz="0" w:space="0" w:color="auto"/>
        <w:left w:val="none" w:sz="0" w:space="0" w:color="auto"/>
        <w:bottom w:val="none" w:sz="0" w:space="0" w:color="auto"/>
        <w:right w:val="none" w:sz="0" w:space="0" w:color="auto"/>
      </w:divBdr>
    </w:div>
    <w:div w:id="1682857262">
      <w:marLeft w:val="0"/>
      <w:marRight w:val="0"/>
      <w:marTop w:val="0"/>
      <w:marBottom w:val="0"/>
      <w:divBdr>
        <w:top w:val="none" w:sz="0" w:space="0" w:color="auto"/>
        <w:left w:val="none" w:sz="0" w:space="0" w:color="auto"/>
        <w:bottom w:val="none" w:sz="0" w:space="0" w:color="auto"/>
        <w:right w:val="none" w:sz="0" w:space="0" w:color="auto"/>
      </w:divBdr>
    </w:div>
    <w:div w:id="1682857263">
      <w:marLeft w:val="0"/>
      <w:marRight w:val="0"/>
      <w:marTop w:val="0"/>
      <w:marBottom w:val="0"/>
      <w:divBdr>
        <w:top w:val="none" w:sz="0" w:space="0" w:color="auto"/>
        <w:left w:val="none" w:sz="0" w:space="0" w:color="auto"/>
        <w:bottom w:val="none" w:sz="0" w:space="0" w:color="auto"/>
        <w:right w:val="none" w:sz="0" w:space="0" w:color="auto"/>
      </w:divBdr>
    </w:div>
    <w:div w:id="1682857264">
      <w:marLeft w:val="0"/>
      <w:marRight w:val="0"/>
      <w:marTop w:val="0"/>
      <w:marBottom w:val="0"/>
      <w:divBdr>
        <w:top w:val="none" w:sz="0" w:space="0" w:color="auto"/>
        <w:left w:val="none" w:sz="0" w:space="0" w:color="auto"/>
        <w:bottom w:val="none" w:sz="0" w:space="0" w:color="auto"/>
        <w:right w:val="none" w:sz="0" w:space="0" w:color="auto"/>
      </w:divBdr>
    </w:div>
    <w:div w:id="1682857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1095</Words>
  <Characters>6244</Characters>
  <Application>Microsoft Office Word</Application>
  <DocSecurity>0</DocSecurity>
  <Lines>52</Lines>
  <Paragraphs>14</Paragraphs>
  <ScaleCrop>false</ScaleCrop>
  <Company>TRT. Ltd. Co.</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181</cp:revision>
  <cp:lastPrinted>2019-10-16T13:57:00Z</cp:lastPrinted>
  <dcterms:created xsi:type="dcterms:W3CDTF">2012-11-28T02:28:00Z</dcterms:created>
  <dcterms:modified xsi:type="dcterms:W3CDTF">2019-10-16T13:57:00Z</dcterms:modified>
</cp:coreProperties>
</file>