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易方达生物科技指数分级证券投资基金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244EAA" w:rsidRDefault="00D5553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44EAA" w:rsidRDefault="00D55530">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44EAA" w:rsidRDefault="00D5553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44EAA" w:rsidRDefault="00D55530">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244EAA" w:rsidRDefault="00D55530">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易方达生物分级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161122</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161122</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6</w:t>
            </w:r>
            <w:r w:rsidRPr="004C6E88">
              <w:rPr>
                <w:rFonts w:eastAsiaTheme="minorEastAsia"/>
                <w:color w:val="000000"/>
                <w:kern w:val="0"/>
                <w:sz w:val="24"/>
              </w:rPr>
              <w:t>月</w:t>
            </w:r>
            <w:r w:rsidRPr="004C6E88">
              <w:rPr>
                <w:rFonts w:eastAsiaTheme="minorEastAsia"/>
                <w:color w:val="000000"/>
                <w:kern w:val="0"/>
                <w:sz w:val="24"/>
              </w:rPr>
              <w:t>3</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151,236,047.76</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其他指数投资技</w:t>
            </w:r>
            <w:r w:rsidRPr="004C6E88">
              <w:rPr>
                <w:rFonts w:eastAsiaTheme="minorEastAsia"/>
                <w:color w:val="000000"/>
                <w:kern w:val="0"/>
                <w:sz w:val="24"/>
              </w:rPr>
              <w:lastRenderedPageBreak/>
              <w:t>术适当调整基金投资组合，以达到紧密跟踪标的指数的目的。</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中证万得生物科技指数收益率</w:t>
            </w:r>
            <w:r w:rsidRPr="004C6E88">
              <w:rPr>
                <w:rFonts w:eastAsiaTheme="minorEastAsia"/>
                <w:color w:val="000000"/>
                <w:kern w:val="0"/>
                <w:sz w:val="24"/>
              </w:rPr>
              <w:t>×95%+</w:t>
            </w:r>
            <w:r w:rsidRPr="004C6E88">
              <w:rPr>
                <w:rFonts w:eastAsiaTheme="minorEastAsia"/>
                <w:color w:val="000000"/>
                <w:kern w:val="0"/>
                <w:sz w:val="24"/>
              </w:rPr>
              <w:t>活期存款利率（税后）</w:t>
            </w:r>
            <w:r w:rsidRPr="004C6E88">
              <w:rPr>
                <w:rFonts w:eastAsiaTheme="minorEastAsia"/>
                <w:color w:val="000000"/>
                <w:kern w:val="0"/>
                <w:sz w:val="24"/>
              </w:rPr>
              <w:t>×5%</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易方达生物分级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易方达生物分级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易方达生物分级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生物分级</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生物</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生物</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161122</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150257</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150258</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139,952,065.76</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5,641,991.00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5,641,991.00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968,980.50</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18,182,866.42</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0.1142</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172,505,253.86</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1.1406</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244EAA" w:rsidRDefault="00D5553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244EAA">
        <w:tc>
          <w:tcPr>
            <w:tcW w:w="1215" w:type="dxa"/>
            <w:vAlign w:val="center"/>
          </w:tcPr>
          <w:p w:rsidR="00244EAA" w:rsidRDefault="00D55530">
            <w:pPr>
              <w:jc w:val="left"/>
            </w:pPr>
            <w:r>
              <w:rPr>
                <w:color w:val="000000"/>
                <w:sz w:val="24"/>
              </w:rPr>
              <w:t>过去三个月</w:t>
            </w:r>
          </w:p>
        </w:tc>
        <w:tc>
          <w:tcPr>
            <w:tcW w:w="1216" w:type="dxa"/>
            <w:vAlign w:val="center"/>
          </w:tcPr>
          <w:p w:rsidR="00244EAA" w:rsidRDefault="00D55530">
            <w:pPr>
              <w:jc w:val="center"/>
            </w:pPr>
            <w:r>
              <w:rPr>
                <w:color w:val="000000"/>
                <w:sz w:val="24"/>
              </w:rPr>
              <w:t>11.02%</w:t>
            </w:r>
          </w:p>
        </w:tc>
        <w:tc>
          <w:tcPr>
            <w:tcW w:w="1216" w:type="dxa"/>
            <w:vAlign w:val="center"/>
          </w:tcPr>
          <w:p w:rsidR="00244EAA" w:rsidRDefault="00D55530">
            <w:pPr>
              <w:jc w:val="center"/>
            </w:pPr>
            <w:r>
              <w:rPr>
                <w:color w:val="000000"/>
                <w:sz w:val="24"/>
              </w:rPr>
              <w:t>1.18%</w:t>
            </w:r>
          </w:p>
        </w:tc>
        <w:tc>
          <w:tcPr>
            <w:tcW w:w="1216" w:type="dxa"/>
            <w:vAlign w:val="center"/>
          </w:tcPr>
          <w:p w:rsidR="00244EAA" w:rsidRDefault="00D55530">
            <w:pPr>
              <w:jc w:val="center"/>
            </w:pPr>
            <w:r>
              <w:rPr>
                <w:color w:val="000000"/>
                <w:sz w:val="24"/>
              </w:rPr>
              <w:t>10.84%</w:t>
            </w:r>
          </w:p>
        </w:tc>
        <w:tc>
          <w:tcPr>
            <w:tcW w:w="1216" w:type="dxa"/>
            <w:vAlign w:val="center"/>
          </w:tcPr>
          <w:p w:rsidR="00244EAA" w:rsidRDefault="00D55530">
            <w:pPr>
              <w:jc w:val="center"/>
            </w:pPr>
            <w:r>
              <w:rPr>
                <w:color w:val="000000"/>
                <w:sz w:val="24"/>
              </w:rPr>
              <w:t>1.18%</w:t>
            </w:r>
          </w:p>
        </w:tc>
        <w:tc>
          <w:tcPr>
            <w:tcW w:w="1217" w:type="dxa"/>
            <w:vAlign w:val="center"/>
          </w:tcPr>
          <w:p w:rsidR="00244EAA" w:rsidRDefault="00D55530">
            <w:pPr>
              <w:jc w:val="center"/>
            </w:pPr>
            <w:r>
              <w:rPr>
                <w:color w:val="000000"/>
                <w:sz w:val="24"/>
              </w:rPr>
              <w:t>0.18%</w:t>
            </w:r>
          </w:p>
        </w:tc>
        <w:tc>
          <w:tcPr>
            <w:tcW w:w="1217" w:type="dxa"/>
            <w:vAlign w:val="center"/>
          </w:tcPr>
          <w:p w:rsidR="00244EAA" w:rsidRDefault="00D55530">
            <w:pPr>
              <w:jc w:val="center"/>
            </w:pPr>
            <w:r>
              <w:rPr>
                <w:color w:val="000000"/>
                <w:sz w:val="24"/>
              </w:rPr>
              <w:t>0.00%</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易方达生物科技指数分级证券投资基金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6</w:t>
      </w:r>
      <w:r w:rsidRPr="00E43B0B">
        <w:rPr>
          <w:color w:val="000000"/>
          <w:kern w:val="0"/>
          <w:sz w:val="24"/>
        </w:rPr>
        <w:t>月</w:t>
      </w:r>
      <w:r w:rsidRPr="00E43B0B">
        <w:rPr>
          <w:color w:val="000000"/>
          <w:kern w:val="0"/>
          <w:sz w:val="24"/>
        </w:rPr>
        <w:t>3</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D55530"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-21.36%</w:t>
      </w:r>
      <w:r w:rsidRPr="003D22BD">
        <w:rPr>
          <w:color w:val="000000"/>
          <w:sz w:val="24"/>
        </w:rPr>
        <w:t>，同期业绩比较基准收益率为</w:t>
      </w:r>
      <w:r w:rsidRPr="003D22BD">
        <w:rPr>
          <w:color w:val="000000"/>
          <w:sz w:val="24"/>
        </w:rPr>
        <w:t>-23.70%</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244EAA">
        <w:tc>
          <w:tcPr>
            <w:tcW w:w="567" w:type="dxa"/>
            <w:vAlign w:val="center"/>
          </w:tcPr>
          <w:p w:rsidR="00244EAA" w:rsidRDefault="00D55530">
            <w:pPr>
              <w:jc w:val="center"/>
            </w:pPr>
            <w:r>
              <w:rPr>
                <w:color w:val="000000"/>
                <w:sz w:val="24"/>
              </w:rPr>
              <w:t>成曦</w:t>
            </w:r>
          </w:p>
        </w:tc>
        <w:tc>
          <w:tcPr>
            <w:tcW w:w="2835" w:type="dxa"/>
            <w:vAlign w:val="center"/>
          </w:tcPr>
          <w:p w:rsidR="00244EAA" w:rsidRDefault="00D55530">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w:t>
            </w:r>
            <w:r>
              <w:rPr>
                <w:color w:val="000000"/>
                <w:sz w:val="24"/>
              </w:rPr>
              <w:lastRenderedPageBreak/>
              <w:t>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w:t>
            </w:r>
            <w:r>
              <w:rPr>
                <w:color w:val="000000"/>
                <w:sz w:val="24"/>
              </w:rPr>
              <w:t>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w:t>
            </w:r>
            <w:r>
              <w:rPr>
                <w:color w:val="000000"/>
                <w:sz w:val="24"/>
              </w:rPr>
              <w:t>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244EAA" w:rsidRDefault="00D55530">
            <w:pPr>
              <w:jc w:val="center"/>
            </w:pPr>
            <w:r>
              <w:rPr>
                <w:color w:val="000000"/>
                <w:sz w:val="24"/>
              </w:rPr>
              <w:lastRenderedPageBreak/>
              <w:t>2016-05-07</w:t>
            </w:r>
          </w:p>
        </w:tc>
        <w:tc>
          <w:tcPr>
            <w:tcW w:w="850" w:type="dxa"/>
            <w:vAlign w:val="center"/>
          </w:tcPr>
          <w:p w:rsidR="00244EAA" w:rsidRDefault="00D55530">
            <w:pPr>
              <w:jc w:val="center"/>
            </w:pPr>
            <w:r>
              <w:rPr>
                <w:color w:val="000000"/>
                <w:sz w:val="24"/>
              </w:rPr>
              <w:t>-</w:t>
            </w:r>
          </w:p>
        </w:tc>
        <w:tc>
          <w:tcPr>
            <w:tcW w:w="851" w:type="dxa"/>
            <w:vAlign w:val="center"/>
          </w:tcPr>
          <w:p w:rsidR="00244EAA" w:rsidRDefault="00D55530">
            <w:pPr>
              <w:jc w:val="center"/>
            </w:pPr>
            <w:r>
              <w:rPr>
                <w:color w:val="000000"/>
                <w:sz w:val="24"/>
              </w:rPr>
              <w:t>11</w:t>
            </w:r>
            <w:r>
              <w:rPr>
                <w:color w:val="000000"/>
                <w:sz w:val="24"/>
              </w:rPr>
              <w:t>年</w:t>
            </w:r>
          </w:p>
        </w:tc>
        <w:tc>
          <w:tcPr>
            <w:tcW w:w="2977" w:type="dxa"/>
            <w:vAlign w:val="center"/>
          </w:tcPr>
          <w:p w:rsidR="00244EAA" w:rsidRDefault="00D55530">
            <w:r>
              <w:rPr>
                <w:color w:val="000000"/>
                <w:sz w:val="24"/>
              </w:rPr>
              <w:t>硕士研究生，曾任华泰联合证券资产管理部研究员，易方达基金管理有限公司集中交易室交易员、指数与量化投资部指数基金运作专员、基金经理助理。</w:t>
            </w:r>
          </w:p>
        </w:tc>
      </w:tr>
      <w:tr w:rsidR="00244EAA">
        <w:tc>
          <w:tcPr>
            <w:tcW w:w="567" w:type="dxa"/>
            <w:vAlign w:val="center"/>
          </w:tcPr>
          <w:p w:rsidR="00244EAA" w:rsidRDefault="00D55530">
            <w:pPr>
              <w:jc w:val="center"/>
            </w:pPr>
            <w:r>
              <w:rPr>
                <w:color w:val="000000"/>
                <w:sz w:val="24"/>
              </w:rPr>
              <w:t>刘树荣</w:t>
            </w:r>
          </w:p>
        </w:tc>
        <w:tc>
          <w:tcPr>
            <w:tcW w:w="2835" w:type="dxa"/>
            <w:vAlign w:val="center"/>
          </w:tcPr>
          <w:p w:rsidR="00244EAA" w:rsidRDefault="00D55530">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w:t>
            </w:r>
            <w:r>
              <w:rPr>
                <w:color w:val="000000"/>
                <w:sz w:val="24"/>
              </w:rPr>
              <w:lastRenderedPageBreak/>
              <w:t>达银行指数分级证券投资基金的基金经理、易方达香港恒生综合小型股指数证券投资基金</w:t>
            </w:r>
            <w:r>
              <w:rPr>
                <w:color w:val="000000"/>
                <w:sz w:val="24"/>
              </w:rPr>
              <w:t>(LOF)</w:t>
            </w:r>
            <w:r>
              <w:rPr>
                <w:color w:val="000000"/>
                <w:sz w:val="24"/>
              </w:rPr>
              <w:t>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w:t>
            </w:r>
            <w:r>
              <w:rPr>
                <w:color w:val="000000"/>
                <w:sz w:val="24"/>
              </w:rPr>
              <w:t>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w:t>
            </w:r>
            <w:r>
              <w:rPr>
                <w:color w:val="000000"/>
                <w:sz w:val="24"/>
              </w:rPr>
              <w:t>的基金经理</w:t>
            </w:r>
          </w:p>
        </w:tc>
        <w:tc>
          <w:tcPr>
            <w:tcW w:w="851" w:type="dxa"/>
            <w:vAlign w:val="center"/>
          </w:tcPr>
          <w:p w:rsidR="00244EAA" w:rsidRDefault="00D55530">
            <w:pPr>
              <w:jc w:val="center"/>
            </w:pPr>
            <w:r>
              <w:rPr>
                <w:color w:val="000000"/>
                <w:sz w:val="24"/>
              </w:rPr>
              <w:lastRenderedPageBreak/>
              <w:t>2017-07-18</w:t>
            </w:r>
          </w:p>
        </w:tc>
        <w:tc>
          <w:tcPr>
            <w:tcW w:w="850" w:type="dxa"/>
            <w:vAlign w:val="center"/>
          </w:tcPr>
          <w:p w:rsidR="00244EAA" w:rsidRDefault="00D55530">
            <w:pPr>
              <w:jc w:val="center"/>
            </w:pPr>
            <w:r>
              <w:rPr>
                <w:color w:val="000000"/>
                <w:sz w:val="24"/>
              </w:rPr>
              <w:t>-</w:t>
            </w:r>
          </w:p>
        </w:tc>
        <w:tc>
          <w:tcPr>
            <w:tcW w:w="851" w:type="dxa"/>
            <w:vAlign w:val="center"/>
          </w:tcPr>
          <w:p w:rsidR="00244EAA" w:rsidRDefault="00D55530">
            <w:pPr>
              <w:jc w:val="center"/>
            </w:pPr>
            <w:r>
              <w:rPr>
                <w:color w:val="000000"/>
                <w:sz w:val="24"/>
              </w:rPr>
              <w:t>12</w:t>
            </w:r>
            <w:r>
              <w:rPr>
                <w:color w:val="000000"/>
                <w:sz w:val="24"/>
              </w:rPr>
              <w:t>年</w:t>
            </w:r>
          </w:p>
        </w:tc>
        <w:tc>
          <w:tcPr>
            <w:tcW w:w="2977" w:type="dxa"/>
            <w:vAlign w:val="center"/>
          </w:tcPr>
          <w:p w:rsidR="00244EAA" w:rsidRDefault="00D55530">
            <w:r>
              <w:rPr>
                <w:color w:val="000000"/>
                <w:sz w:val="24"/>
              </w:rPr>
              <w:t>硕士研究生，曾任招商银行资产托管部基金会计，易方达基金管理有限公司核算部基金核算专员、指数与量化投资部运作支持专员、基</w:t>
            </w:r>
            <w:r>
              <w:rPr>
                <w:color w:val="000000"/>
                <w:sz w:val="24"/>
              </w:rPr>
              <w:lastRenderedPageBreak/>
              <w:t>金经理助理。</w:t>
            </w:r>
          </w:p>
        </w:tc>
      </w:tr>
    </w:tbl>
    <w:p w:rsidR="00244EAA" w:rsidRDefault="00D55530">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lastRenderedPageBreak/>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244EAA" w:rsidRDefault="00D55530">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244EAA" w:rsidRDefault="00D55530">
      <w:pPr>
        <w:spacing w:line="360" w:lineRule="auto"/>
        <w:ind w:firstLineChars="200" w:firstLine="480"/>
        <w:rPr>
          <w:color w:val="000000"/>
          <w:sz w:val="24"/>
        </w:rPr>
      </w:pPr>
      <w:r>
        <w:rPr>
          <w:color w:val="000000"/>
          <w:sz w:val="24"/>
        </w:rPr>
        <w:t>本基金跟踪的标的指数为中证万得生物科技指数，中证万得生物科技指数选取与生物科技相关业务关系密切的最具代表性的上市企业组成，属于新兴行业的代表指数之一。报告期内，本基金主要采取完全复制法的投资策略，即完全按照标的指数的成份股组成及其权重构建基金股票投资组合，并根据标的指数成份股及其权重的变动而进行相应调整。</w:t>
      </w:r>
    </w:p>
    <w:p w:rsidR="00244EAA" w:rsidRDefault="00D55530">
      <w:pPr>
        <w:spacing w:line="360" w:lineRule="auto"/>
        <w:ind w:firstLineChars="200" w:firstLine="480"/>
        <w:rPr>
          <w:color w:val="000000"/>
          <w:sz w:val="24"/>
        </w:rPr>
      </w:pPr>
      <w:r>
        <w:rPr>
          <w:color w:val="000000"/>
          <w:sz w:val="24"/>
        </w:rPr>
        <w:lastRenderedPageBreak/>
        <w:t>生物科技板块弹性较大，板块的走势与大盘走势相关性不高。三</w:t>
      </w:r>
      <w:r>
        <w:rPr>
          <w:color w:val="000000"/>
          <w:sz w:val="24"/>
        </w:rPr>
        <w:t>季度，无论是医药类板块还是科技类板块都得到了市场的认可，生物科技指数三季度涨幅</w:t>
      </w:r>
      <w:r>
        <w:rPr>
          <w:color w:val="000000"/>
          <w:sz w:val="24"/>
        </w:rPr>
        <w:t>11.4%</w:t>
      </w:r>
      <w:r>
        <w:rPr>
          <w:color w:val="000000"/>
          <w:sz w:val="24"/>
        </w:rPr>
        <w:t>，年初至本报告期末涨幅</w:t>
      </w:r>
      <w:r>
        <w:rPr>
          <w:color w:val="000000"/>
          <w:sz w:val="24"/>
        </w:rPr>
        <w:t>48.3%</w:t>
      </w:r>
      <w:r>
        <w:rPr>
          <w:color w:val="000000"/>
          <w:sz w:val="24"/>
        </w:rPr>
        <w:t>，同期沪深</w:t>
      </w:r>
      <w:r>
        <w:rPr>
          <w:color w:val="000000"/>
          <w:sz w:val="24"/>
        </w:rPr>
        <w:t>300</w:t>
      </w:r>
      <w:r>
        <w:rPr>
          <w:color w:val="000000"/>
          <w:sz w:val="24"/>
        </w:rPr>
        <w:t>指数涨幅分别为</w:t>
      </w:r>
      <w:r>
        <w:rPr>
          <w:color w:val="000000"/>
          <w:sz w:val="24"/>
        </w:rPr>
        <w:t>-0.3%</w:t>
      </w:r>
      <w:r>
        <w:rPr>
          <w:color w:val="000000"/>
          <w:sz w:val="24"/>
        </w:rPr>
        <w:t>、</w:t>
      </w:r>
      <w:r>
        <w:rPr>
          <w:color w:val="000000"/>
          <w:sz w:val="24"/>
        </w:rPr>
        <w:t>26.7%</w:t>
      </w:r>
      <w:r>
        <w:rPr>
          <w:color w:val="000000"/>
          <w:sz w:val="24"/>
        </w:rPr>
        <w:t>，生物科技指数走势大幅领先。</w:t>
      </w:r>
    </w:p>
    <w:p w:rsidR="001C36D8" w:rsidRPr="003D22BD" w:rsidRDefault="001C36D8" w:rsidP="0015779C">
      <w:pPr>
        <w:spacing w:line="360" w:lineRule="auto"/>
        <w:ind w:firstLineChars="200" w:firstLine="480"/>
        <w:rPr>
          <w:color w:val="000000"/>
          <w:sz w:val="24"/>
        </w:rPr>
      </w:pPr>
      <w:r w:rsidRPr="003D22BD">
        <w:rPr>
          <w:color w:val="000000"/>
          <w:sz w:val="24"/>
        </w:rPr>
        <w:t>基金运作层面，报告期内，本基金严守基金合同认真对待投资者申购、赎回以及成分股调整事项，保障基金的正常运作，基金跟踪误差以及日均偏离度等指标控制在合同规定范围之内。</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1.1406</w:t>
      </w:r>
      <w:r w:rsidRPr="003D22BD">
        <w:rPr>
          <w:color w:val="000000"/>
          <w:sz w:val="24"/>
        </w:rPr>
        <w:t>元，本报告期份额净值增长率为</w:t>
      </w:r>
      <w:r w:rsidRPr="003D22BD">
        <w:rPr>
          <w:color w:val="000000"/>
          <w:sz w:val="24"/>
        </w:rPr>
        <w:t>11.02%</w:t>
      </w:r>
      <w:r w:rsidRPr="003D22BD">
        <w:rPr>
          <w:color w:val="000000"/>
          <w:sz w:val="24"/>
        </w:rPr>
        <w:t>，同期业绩比较基准收益率为</w:t>
      </w:r>
      <w:r w:rsidRPr="003D22BD">
        <w:rPr>
          <w:color w:val="000000"/>
          <w:sz w:val="24"/>
        </w:rPr>
        <w:t>10.84%</w:t>
      </w:r>
      <w:r w:rsidRPr="003D22BD">
        <w:rPr>
          <w:color w:val="000000"/>
          <w:sz w:val="24"/>
        </w:rPr>
        <w:t>，日跟踪偏离度的均值为</w:t>
      </w:r>
      <w:r w:rsidRPr="003D22BD">
        <w:rPr>
          <w:color w:val="000000"/>
          <w:sz w:val="24"/>
        </w:rPr>
        <w:t>0.01%</w:t>
      </w:r>
      <w:r w:rsidRPr="003D22BD">
        <w:rPr>
          <w:color w:val="000000"/>
          <w:sz w:val="24"/>
        </w:rPr>
        <w:t>，年化跟踪误差</w:t>
      </w:r>
      <w:r w:rsidRPr="003D22BD">
        <w:rPr>
          <w:color w:val="000000"/>
          <w:sz w:val="24"/>
        </w:rPr>
        <w:t>0.22%</w:t>
      </w:r>
      <w:r w:rsidRPr="003D22BD">
        <w:rPr>
          <w:color w:val="000000"/>
          <w:sz w:val="24"/>
        </w:rPr>
        <w:t>，在合同规定的目标控制范围之内。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163,532,871.03</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94.27</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163,532,871.03</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94.27</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9,867,754.70</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5.69</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75,096.57</w:t>
            </w:r>
          </w:p>
        </w:tc>
        <w:tc>
          <w:tcPr>
            <w:tcW w:w="1843" w:type="dxa"/>
            <w:vAlign w:val="center"/>
          </w:tcPr>
          <w:p w:rsidR="001C36D8" w:rsidRPr="005B1E0B" w:rsidRDefault="001C36D8" w:rsidP="001A09F9">
            <w:pPr>
              <w:jc w:val="right"/>
              <w:rPr>
                <w:color w:val="000000"/>
                <w:sz w:val="24"/>
              </w:rPr>
            </w:pPr>
            <w:r w:rsidRPr="005B1E0B">
              <w:rPr>
                <w:color w:val="000000"/>
                <w:sz w:val="24"/>
              </w:rPr>
              <w:t>0.04</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173,475,722.30</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130,431,519.28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75.61</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13,725,679.75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7.96</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19,375,672.00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11.23</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163,532,871.03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94.80</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244EAA">
        <w:tc>
          <w:tcPr>
            <w:tcW w:w="851" w:type="dxa"/>
            <w:vAlign w:val="center"/>
          </w:tcPr>
          <w:p w:rsidR="00244EAA" w:rsidRDefault="00D55530">
            <w:pPr>
              <w:jc w:val="center"/>
            </w:pPr>
            <w:r>
              <w:rPr>
                <w:color w:val="000000"/>
                <w:kern w:val="0"/>
                <w:sz w:val="24"/>
              </w:rPr>
              <w:t>1</w:t>
            </w:r>
          </w:p>
        </w:tc>
        <w:tc>
          <w:tcPr>
            <w:tcW w:w="1276" w:type="dxa"/>
            <w:vAlign w:val="center"/>
          </w:tcPr>
          <w:p w:rsidR="00244EAA" w:rsidRDefault="00D55530">
            <w:pPr>
              <w:jc w:val="center"/>
            </w:pPr>
            <w:r>
              <w:rPr>
                <w:color w:val="000000"/>
                <w:kern w:val="0"/>
                <w:sz w:val="24"/>
              </w:rPr>
              <w:t>000661</w:t>
            </w:r>
          </w:p>
        </w:tc>
        <w:tc>
          <w:tcPr>
            <w:tcW w:w="1418" w:type="dxa"/>
            <w:vAlign w:val="center"/>
          </w:tcPr>
          <w:p w:rsidR="00244EAA" w:rsidRDefault="00D55530">
            <w:pPr>
              <w:jc w:val="center"/>
            </w:pPr>
            <w:r>
              <w:rPr>
                <w:color w:val="000000"/>
                <w:kern w:val="0"/>
                <w:sz w:val="24"/>
              </w:rPr>
              <w:t>长春高新</w:t>
            </w:r>
          </w:p>
        </w:tc>
        <w:tc>
          <w:tcPr>
            <w:tcW w:w="1701" w:type="dxa"/>
            <w:vAlign w:val="center"/>
          </w:tcPr>
          <w:p w:rsidR="00244EAA" w:rsidRDefault="00D55530">
            <w:pPr>
              <w:jc w:val="right"/>
            </w:pPr>
            <w:r>
              <w:rPr>
                <w:color w:val="000000"/>
                <w:kern w:val="0"/>
                <w:sz w:val="24"/>
              </w:rPr>
              <w:t>45,506</w:t>
            </w:r>
          </w:p>
        </w:tc>
        <w:tc>
          <w:tcPr>
            <w:tcW w:w="1984" w:type="dxa"/>
            <w:vAlign w:val="center"/>
          </w:tcPr>
          <w:p w:rsidR="00244EAA" w:rsidRDefault="00D55530">
            <w:pPr>
              <w:jc w:val="right"/>
            </w:pPr>
            <w:r>
              <w:rPr>
                <w:color w:val="000000"/>
                <w:kern w:val="0"/>
                <w:sz w:val="24"/>
              </w:rPr>
              <w:t>17,945,746.16</w:t>
            </w:r>
          </w:p>
        </w:tc>
        <w:tc>
          <w:tcPr>
            <w:tcW w:w="1559" w:type="dxa"/>
            <w:vAlign w:val="center"/>
          </w:tcPr>
          <w:p w:rsidR="00244EAA" w:rsidRDefault="00D55530">
            <w:pPr>
              <w:jc w:val="right"/>
            </w:pPr>
            <w:r>
              <w:rPr>
                <w:color w:val="000000"/>
                <w:kern w:val="0"/>
                <w:sz w:val="24"/>
              </w:rPr>
              <w:t>10.40</w:t>
            </w:r>
          </w:p>
        </w:tc>
      </w:tr>
      <w:tr w:rsidR="00244EAA">
        <w:tc>
          <w:tcPr>
            <w:tcW w:w="851" w:type="dxa"/>
            <w:vAlign w:val="center"/>
          </w:tcPr>
          <w:p w:rsidR="00244EAA" w:rsidRDefault="00D55530">
            <w:pPr>
              <w:jc w:val="center"/>
            </w:pPr>
            <w:r>
              <w:rPr>
                <w:color w:val="000000"/>
                <w:kern w:val="0"/>
                <w:sz w:val="24"/>
              </w:rPr>
              <w:t>2</w:t>
            </w:r>
          </w:p>
        </w:tc>
        <w:tc>
          <w:tcPr>
            <w:tcW w:w="1276" w:type="dxa"/>
            <w:vAlign w:val="center"/>
          </w:tcPr>
          <w:p w:rsidR="00244EAA" w:rsidRDefault="00D55530">
            <w:pPr>
              <w:jc w:val="center"/>
            </w:pPr>
            <w:r>
              <w:rPr>
                <w:color w:val="000000"/>
                <w:kern w:val="0"/>
                <w:sz w:val="24"/>
              </w:rPr>
              <w:t>300347</w:t>
            </w:r>
          </w:p>
        </w:tc>
        <w:tc>
          <w:tcPr>
            <w:tcW w:w="1418" w:type="dxa"/>
            <w:vAlign w:val="center"/>
          </w:tcPr>
          <w:p w:rsidR="00244EAA" w:rsidRDefault="00D55530">
            <w:pPr>
              <w:jc w:val="center"/>
            </w:pPr>
            <w:r>
              <w:rPr>
                <w:color w:val="000000"/>
                <w:kern w:val="0"/>
                <w:sz w:val="24"/>
              </w:rPr>
              <w:t>泰格医药</w:t>
            </w:r>
          </w:p>
        </w:tc>
        <w:tc>
          <w:tcPr>
            <w:tcW w:w="1701" w:type="dxa"/>
            <w:vAlign w:val="center"/>
          </w:tcPr>
          <w:p w:rsidR="00244EAA" w:rsidRDefault="00D55530">
            <w:pPr>
              <w:jc w:val="right"/>
            </w:pPr>
            <w:r>
              <w:rPr>
                <w:color w:val="000000"/>
                <w:kern w:val="0"/>
                <w:sz w:val="24"/>
              </w:rPr>
              <w:t>258,760</w:t>
            </w:r>
          </w:p>
        </w:tc>
        <w:tc>
          <w:tcPr>
            <w:tcW w:w="1984" w:type="dxa"/>
            <w:vAlign w:val="center"/>
          </w:tcPr>
          <w:p w:rsidR="00244EAA" w:rsidRDefault="00D55530">
            <w:pPr>
              <w:jc w:val="right"/>
            </w:pPr>
            <w:r>
              <w:rPr>
                <w:color w:val="000000"/>
                <w:kern w:val="0"/>
                <w:sz w:val="24"/>
              </w:rPr>
              <w:t>16,056,058.00</w:t>
            </w:r>
          </w:p>
        </w:tc>
        <w:tc>
          <w:tcPr>
            <w:tcW w:w="1559" w:type="dxa"/>
            <w:vAlign w:val="center"/>
          </w:tcPr>
          <w:p w:rsidR="00244EAA" w:rsidRDefault="00D55530">
            <w:pPr>
              <w:jc w:val="right"/>
            </w:pPr>
            <w:r>
              <w:rPr>
                <w:color w:val="000000"/>
                <w:kern w:val="0"/>
                <w:sz w:val="24"/>
              </w:rPr>
              <w:t>9.31</w:t>
            </w:r>
          </w:p>
        </w:tc>
      </w:tr>
      <w:tr w:rsidR="00244EAA">
        <w:tc>
          <w:tcPr>
            <w:tcW w:w="851" w:type="dxa"/>
            <w:vAlign w:val="center"/>
          </w:tcPr>
          <w:p w:rsidR="00244EAA" w:rsidRDefault="00D55530">
            <w:pPr>
              <w:jc w:val="center"/>
            </w:pPr>
            <w:r>
              <w:rPr>
                <w:color w:val="000000"/>
                <w:kern w:val="0"/>
                <w:sz w:val="24"/>
              </w:rPr>
              <w:lastRenderedPageBreak/>
              <w:t>3</w:t>
            </w:r>
          </w:p>
        </w:tc>
        <w:tc>
          <w:tcPr>
            <w:tcW w:w="1276" w:type="dxa"/>
            <w:vAlign w:val="center"/>
          </w:tcPr>
          <w:p w:rsidR="00244EAA" w:rsidRDefault="00D55530">
            <w:pPr>
              <w:jc w:val="center"/>
            </w:pPr>
            <w:r>
              <w:rPr>
                <w:color w:val="000000"/>
                <w:kern w:val="0"/>
                <w:sz w:val="24"/>
              </w:rPr>
              <w:t>300142</w:t>
            </w:r>
          </w:p>
        </w:tc>
        <w:tc>
          <w:tcPr>
            <w:tcW w:w="1418" w:type="dxa"/>
            <w:vAlign w:val="center"/>
          </w:tcPr>
          <w:p w:rsidR="00244EAA" w:rsidRDefault="00D55530">
            <w:pPr>
              <w:jc w:val="center"/>
            </w:pPr>
            <w:r>
              <w:rPr>
                <w:color w:val="000000"/>
                <w:kern w:val="0"/>
                <w:sz w:val="24"/>
              </w:rPr>
              <w:t>沃森生物</w:t>
            </w:r>
          </w:p>
        </w:tc>
        <w:tc>
          <w:tcPr>
            <w:tcW w:w="1701" w:type="dxa"/>
            <w:vAlign w:val="center"/>
          </w:tcPr>
          <w:p w:rsidR="00244EAA" w:rsidRDefault="00D55530">
            <w:pPr>
              <w:jc w:val="right"/>
            </w:pPr>
            <w:r>
              <w:rPr>
                <w:color w:val="000000"/>
                <w:kern w:val="0"/>
                <w:sz w:val="24"/>
              </w:rPr>
              <w:t>530,267</w:t>
            </w:r>
          </w:p>
        </w:tc>
        <w:tc>
          <w:tcPr>
            <w:tcW w:w="1984" w:type="dxa"/>
            <w:vAlign w:val="center"/>
          </w:tcPr>
          <w:p w:rsidR="00244EAA" w:rsidRDefault="00D55530">
            <w:pPr>
              <w:jc w:val="right"/>
            </w:pPr>
            <w:r>
              <w:rPr>
                <w:color w:val="000000"/>
                <w:kern w:val="0"/>
                <w:sz w:val="24"/>
              </w:rPr>
              <w:t>14,311,906.33</w:t>
            </w:r>
          </w:p>
        </w:tc>
        <w:tc>
          <w:tcPr>
            <w:tcW w:w="1559" w:type="dxa"/>
            <w:vAlign w:val="center"/>
          </w:tcPr>
          <w:p w:rsidR="00244EAA" w:rsidRDefault="00D55530">
            <w:pPr>
              <w:jc w:val="right"/>
            </w:pPr>
            <w:r>
              <w:rPr>
                <w:color w:val="000000"/>
                <w:kern w:val="0"/>
                <w:sz w:val="24"/>
              </w:rPr>
              <w:t>8.30</w:t>
            </w:r>
          </w:p>
        </w:tc>
      </w:tr>
      <w:tr w:rsidR="00244EAA">
        <w:tc>
          <w:tcPr>
            <w:tcW w:w="851" w:type="dxa"/>
            <w:vAlign w:val="center"/>
          </w:tcPr>
          <w:p w:rsidR="00244EAA" w:rsidRDefault="00D55530">
            <w:pPr>
              <w:jc w:val="center"/>
            </w:pPr>
            <w:r>
              <w:rPr>
                <w:color w:val="000000"/>
                <w:kern w:val="0"/>
                <w:sz w:val="24"/>
              </w:rPr>
              <w:t>4</w:t>
            </w:r>
          </w:p>
        </w:tc>
        <w:tc>
          <w:tcPr>
            <w:tcW w:w="1276" w:type="dxa"/>
            <w:vAlign w:val="center"/>
          </w:tcPr>
          <w:p w:rsidR="00244EAA" w:rsidRDefault="00D55530">
            <w:pPr>
              <w:jc w:val="center"/>
            </w:pPr>
            <w:r>
              <w:rPr>
                <w:color w:val="000000"/>
                <w:kern w:val="0"/>
                <w:sz w:val="24"/>
              </w:rPr>
              <w:t>002007</w:t>
            </w:r>
          </w:p>
        </w:tc>
        <w:tc>
          <w:tcPr>
            <w:tcW w:w="1418" w:type="dxa"/>
            <w:vAlign w:val="center"/>
          </w:tcPr>
          <w:p w:rsidR="00244EAA" w:rsidRDefault="00D55530">
            <w:pPr>
              <w:jc w:val="center"/>
            </w:pPr>
            <w:r>
              <w:rPr>
                <w:color w:val="000000"/>
                <w:kern w:val="0"/>
                <w:sz w:val="24"/>
              </w:rPr>
              <w:t>华兰生物</w:t>
            </w:r>
          </w:p>
        </w:tc>
        <w:tc>
          <w:tcPr>
            <w:tcW w:w="1701" w:type="dxa"/>
            <w:vAlign w:val="center"/>
          </w:tcPr>
          <w:p w:rsidR="00244EAA" w:rsidRDefault="00D55530">
            <w:pPr>
              <w:jc w:val="right"/>
            </w:pPr>
            <w:r>
              <w:rPr>
                <w:color w:val="000000"/>
                <w:kern w:val="0"/>
                <w:sz w:val="24"/>
              </w:rPr>
              <w:t>362,980</w:t>
            </w:r>
          </w:p>
        </w:tc>
        <w:tc>
          <w:tcPr>
            <w:tcW w:w="1984" w:type="dxa"/>
            <w:vAlign w:val="center"/>
          </w:tcPr>
          <w:p w:rsidR="00244EAA" w:rsidRDefault="00D55530">
            <w:pPr>
              <w:jc w:val="right"/>
            </w:pPr>
            <w:r>
              <w:rPr>
                <w:color w:val="000000"/>
                <w:kern w:val="0"/>
                <w:sz w:val="24"/>
              </w:rPr>
              <w:t>12,450,214.00</w:t>
            </w:r>
          </w:p>
        </w:tc>
        <w:tc>
          <w:tcPr>
            <w:tcW w:w="1559" w:type="dxa"/>
            <w:vAlign w:val="center"/>
          </w:tcPr>
          <w:p w:rsidR="00244EAA" w:rsidRDefault="00D55530">
            <w:pPr>
              <w:jc w:val="right"/>
            </w:pPr>
            <w:r>
              <w:rPr>
                <w:color w:val="000000"/>
                <w:kern w:val="0"/>
                <w:sz w:val="24"/>
              </w:rPr>
              <w:t>7.22</w:t>
            </w:r>
          </w:p>
        </w:tc>
      </w:tr>
      <w:tr w:rsidR="00244EAA">
        <w:tc>
          <w:tcPr>
            <w:tcW w:w="851" w:type="dxa"/>
            <w:vAlign w:val="center"/>
          </w:tcPr>
          <w:p w:rsidR="00244EAA" w:rsidRDefault="00D55530">
            <w:pPr>
              <w:jc w:val="center"/>
            </w:pPr>
            <w:r>
              <w:rPr>
                <w:color w:val="000000"/>
                <w:kern w:val="0"/>
                <w:sz w:val="24"/>
              </w:rPr>
              <w:t>5</w:t>
            </w:r>
          </w:p>
        </w:tc>
        <w:tc>
          <w:tcPr>
            <w:tcW w:w="1276" w:type="dxa"/>
            <w:vAlign w:val="center"/>
          </w:tcPr>
          <w:p w:rsidR="00244EAA" w:rsidRDefault="00D55530">
            <w:pPr>
              <w:jc w:val="center"/>
            </w:pPr>
            <w:r>
              <w:rPr>
                <w:color w:val="000000"/>
                <w:kern w:val="0"/>
                <w:sz w:val="24"/>
              </w:rPr>
              <w:t>300601</w:t>
            </w:r>
          </w:p>
        </w:tc>
        <w:tc>
          <w:tcPr>
            <w:tcW w:w="1418" w:type="dxa"/>
            <w:vAlign w:val="center"/>
          </w:tcPr>
          <w:p w:rsidR="00244EAA" w:rsidRDefault="00D55530">
            <w:pPr>
              <w:jc w:val="center"/>
            </w:pPr>
            <w:r>
              <w:rPr>
                <w:color w:val="000000"/>
                <w:kern w:val="0"/>
                <w:sz w:val="24"/>
              </w:rPr>
              <w:t>康泰生物</w:t>
            </w:r>
          </w:p>
        </w:tc>
        <w:tc>
          <w:tcPr>
            <w:tcW w:w="1701" w:type="dxa"/>
            <w:vAlign w:val="center"/>
          </w:tcPr>
          <w:p w:rsidR="00244EAA" w:rsidRDefault="00D55530">
            <w:pPr>
              <w:jc w:val="right"/>
            </w:pPr>
            <w:r>
              <w:rPr>
                <w:color w:val="000000"/>
                <w:kern w:val="0"/>
                <w:sz w:val="24"/>
              </w:rPr>
              <w:t>139,140</w:t>
            </w:r>
          </w:p>
        </w:tc>
        <w:tc>
          <w:tcPr>
            <w:tcW w:w="1984" w:type="dxa"/>
            <w:vAlign w:val="center"/>
          </w:tcPr>
          <w:p w:rsidR="00244EAA" w:rsidRDefault="00D55530">
            <w:pPr>
              <w:jc w:val="right"/>
            </w:pPr>
            <w:r>
              <w:rPr>
                <w:color w:val="000000"/>
                <w:kern w:val="0"/>
                <w:sz w:val="24"/>
              </w:rPr>
              <w:t>10,329,753.60</w:t>
            </w:r>
          </w:p>
        </w:tc>
        <w:tc>
          <w:tcPr>
            <w:tcW w:w="1559" w:type="dxa"/>
            <w:vAlign w:val="center"/>
          </w:tcPr>
          <w:p w:rsidR="00244EAA" w:rsidRDefault="00D55530">
            <w:pPr>
              <w:jc w:val="right"/>
            </w:pPr>
            <w:r>
              <w:rPr>
                <w:color w:val="000000"/>
                <w:kern w:val="0"/>
                <w:sz w:val="24"/>
              </w:rPr>
              <w:t>5.99</w:t>
            </w:r>
          </w:p>
        </w:tc>
      </w:tr>
      <w:tr w:rsidR="00244EAA">
        <w:tc>
          <w:tcPr>
            <w:tcW w:w="851" w:type="dxa"/>
            <w:vAlign w:val="center"/>
          </w:tcPr>
          <w:p w:rsidR="00244EAA" w:rsidRDefault="00D55530">
            <w:pPr>
              <w:jc w:val="center"/>
            </w:pPr>
            <w:r>
              <w:rPr>
                <w:color w:val="000000"/>
                <w:kern w:val="0"/>
                <w:sz w:val="24"/>
              </w:rPr>
              <w:t>6</w:t>
            </w:r>
          </w:p>
        </w:tc>
        <w:tc>
          <w:tcPr>
            <w:tcW w:w="1276" w:type="dxa"/>
            <w:vAlign w:val="center"/>
          </w:tcPr>
          <w:p w:rsidR="00244EAA" w:rsidRDefault="00D55530">
            <w:pPr>
              <w:jc w:val="center"/>
            </w:pPr>
            <w:r>
              <w:rPr>
                <w:color w:val="000000"/>
                <w:kern w:val="0"/>
                <w:sz w:val="24"/>
              </w:rPr>
              <w:t>300122</w:t>
            </w:r>
          </w:p>
        </w:tc>
        <w:tc>
          <w:tcPr>
            <w:tcW w:w="1418" w:type="dxa"/>
            <w:vAlign w:val="center"/>
          </w:tcPr>
          <w:p w:rsidR="00244EAA" w:rsidRDefault="00D55530">
            <w:pPr>
              <w:jc w:val="center"/>
            </w:pPr>
            <w:r>
              <w:rPr>
                <w:color w:val="000000"/>
                <w:kern w:val="0"/>
                <w:sz w:val="24"/>
              </w:rPr>
              <w:t>智飞生物</w:t>
            </w:r>
          </w:p>
        </w:tc>
        <w:tc>
          <w:tcPr>
            <w:tcW w:w="1701" w:type="dxa"/>
            <w:vAlign w:val="center"/>
          </w:tcPr>
          <w:p w:rsidR="00244EAA" w:rsidRDefault="00D55530">
            <w:pPr>
              <w:jc w:val="right"/>
            </w:pPr>
            <w:r>
              <w:rPr>
                <w:color w:val="000000"/>
                <w:kern w:val="0"/>
                <w:sz w:val="24"/>
              </w:rPr>
              <w:t>206,954</w:t>
            </w:r>
          </w:p>
        </w:tc>
        <w:tc>
          <w:tcPr>
            <w:tcW w:w="1984" w:type="dxa"/>
            <w:vAlign w:val="center"/>
          </w:tcPr>
          <w:p w:rsidR="00244EAA" w:rsidRDefault="00D55530">
            <w:pPr>
              <w:jc w:val="right"/>
            </w:pPr>
            <w:r>
              <w:rPr>
                <w:color w:val="000000"/>
                <w:kern w:val="0"/>
                <w:sz w:val="24"/>
              </w:rPr>
              <w:t>9,819,967.30</w:t>
            </w:r>
          </w:p>
        </w:tc>
        <w:tc>
          <w:tcPr>
            <w:tcW w:w="1559" w:type="dxa"/>
            <w:vAlign w:val="center"/>
          </w:tcPr>
          <w:p w:rsidR="00244EAA" w:rsidRDefault="00D55530">
            <w:pPr>
              <w:jc w:val="right"/>
            </w:pPr>
            <w:r>
              <w:rPr>
                <w:color w:val="000000"/>
                <w:kern w:val="0"/>
                <w:sz w:val="24"/>
              </w:rPr>
              <w:t>5.69</w:t>
            </w:r>
          </w:p>
        </w:tc>
      </w:tr>
      <w:tr w:rsidR="00244EAA">
        <w:tc>
          <w:tcPr>
            <w:tcW w:w="851" w:type="dxa"/>
            <w:vAlign w:val="center"/>
          </w:tcPr>
          <w:p w:rsidR="00244EAA" w:rsidRDefault="00D55530">
            <w:pPr>
              <w:jc w:val="center"/>
            </w:pPr>
            <w:r>
              <w:rPr>
                <w:color w:val="000000"/>
                <w:kern w:val="0"/>
                <w:sz w:val="24"/>
              </w:rPr>
              <w:t>7</w:t>
            </w:r>
          </w:p>
        </w:tc>
        <w:tc>
          <w:tcPr>
            <w:tcW w:w="1276" w:type="dxa"/>
            <w:vAlign w:val="center"/>
          </w:tcPr>
          <w:p w:rsidR="00244EAA" w:rsidRDefault="00D55530">
            <w:pPr>
              <w:jc w:val="center"/>
            </w:pPr>
            <w:r>
              <w:rPr>
                <w:color w:val="000000"/>
                <w:kern w:val="0"/>
                <w:sz w:val="24"/>
              </w:rPr>
              <w:t>600867</w:t>
            </w:r>
          </w:p>
        </w:tc>
        <w:tc>
          <w:tcPr>
            <w:tcW w:w="1418" w:type="dxa"/>
            <w:vAlign w:val="center"/>
          </w:tcPr>
          <w:p w:rsidR="00244EAA" w:rsidRDefault="00D55530">
            <w:pPr>
              <w:jc w:val="center"/>
            </w:pPr>
            <w:r>
              <w:rPr>
                <w:color w:val="000000"/>
                <w:kern w:val="0"/>
                <w:sz w:val="24"/>
              </w:rPr>
              <w:t>通化东宝</w:t>
            </w:r>
          </w:p>
        </w:tc>
        <w:tc>
          <w:tcPr>
            <w:tcW w:w="1701" w:type="dxa"/>
            <w:vAlign w:val="center"/>
          </w:tcPr>
          <w:p w:rsidR="00244EAA" w:rsidRDefault="00D55530">
            <w:pPr>
              <w:jc w:val="right"/>
            </w:pPr>
            <w:r>
              <w:rPr>
                <w:color w:val="000000"/>
                <w:kern w:val="0"/>
                <w:sz w:val="24"/>
              </w:rPr>
              <w:t>526,127</w:t>
            </w:r>
          </w:p>
        </w:tc>
        <w:tc>
          <w:tcPr>
            <w:tcW w:w="1984" w:type="dxa"/>
            <w:vAlign w:val="center"/>
          </w:tcPr>
          <w:p w:rsidR="00244EAA" w:rsidRDefault="00D55530">
            <w:pPr>
              <w:jc w:val="right"/>
            </w:pPr>
            <w:r>
              <w:rPr>
                <w:color w:val="000000"/>
                <w:kern w:val="0"/>
                <w:sz w:val="24"/>
              </w:rPr>
              <w:t>9,207,222.50</w:t>
            </w:r>
          </w:p>
        </w:tc>
        <w:tc>
          <w:tcPr>
            <w:tcW w:w="1559" w:type="dxa"/>
            <w:vAlign w:val="center"/>
          </w:tcPr>
          <w:p w:rsidR="00244EAA" w:rsidRDefault="00D55530">
            <w:pPr>
              <w:jc w:val="right"/>
            </w:pPr>
            <w:r>
              <w:rPr>
                <w:color w:val="000000"/>
                <w:kern w:val="0"/>
                <w:sz w:val="24"/>
              </w:rPr>
              <w:t>5.34</w:t>
            </w:r>
          </w:p>
        </w:tc>
      </w:tr>
      <w:tr w:rsidR="00244EAA">
        <w:tc>
          <w:tcPr>
            <w:tcW w:w="851" w:type="dxa"/>
            <w:vAlign w:val="center"/>
          </w:tcPr>
          <w:p w:rsidR="00244EAA" w:rsidRDefault="00D55530">
            <w:pPr>
              <w:jc w:val="center"/>
            </w:pPr>
            <w:r>
              <w:rPr>
                <w:color w:val="000000"/>
                <w:kern w:val="0"/>
                <w:sz w:val="24"/>
              </w:rPr>
              <w:t>8</w:t>
            </w:r>
          </w:p>
        </w:tc>
        <w:tc>
          <w:tcPr>
            <w:tcW w:w="1276" w:type="dxa"/>
            <w:vAlign w:val="center"/>
          </w:tcPr>
          <w:p w:rsidR="00244EAA" w:rsidRDefault="00D55530">
            <w:pPr>
              <w:jc w:val="center"/>
            </w:pPr>
            <w:r>
              <w:rPr>
                <w:color w:val="000000"/>
                <w:kern w:val="0"/>
                <w:sz w:val="24"/>
              </w:rPr>
              <w:t>600161</w:t>
            </w:r>
          </w:p>
        </w:tc>
        <w:tc>
          <w:tcPr>
            <w:tcW w:w="1418" w:type="dxa"/>
            <w:vAlign w:val="center"/>
          </w:tcPr>
          <w:p w:rsidR="00244EAA" w:rsidRDefault="00D55530">
            <w:pPr>
              <w:jc w:val="center"/>
            </w:pPr>
            <w:r>
              <w:rPr>
                <w:color w:val="000000"/>
                <w:kern w:val="0"/>
                <w:sz w:val="24"/>
              </w:rPr>
              <w:t>天坛生物</w:t>
            </w:r>
          </w:p>
        </w:tc>
        <w:tc>
          <w:tcPr>
            <w:tcW w:w="1701" w:type="dxa"/>
            <w:vAlign w:val="center"/>
          </w:tcPr>
          <w:p w:rsidR="00244EAA" w:rsidRDefault="00D55530">
            <w:pPr>
              <w:jc w:val="right"/>
            </w:pPr>
            <w:r>
              <w:rPr>
                <w:color w:val="000000"/>
                <w:kern w:val="0"/>
                <w:sz w:val="24"/>
              </w:rPr>
              <w:t>225,390</w:t>
            </w:r>
          </w:p>
        </w:tc>
        <w:tc>
          <w:tcPr>
            <w:tcW w:w="1984" w:type="dxa"/>
            <w:vAlign w:val="center"/>
          </w:tcPr>
          <w:p w:rsidR="00244EAA" w:rsidRDefault="00D55530">
            <w:pPr>
              <w:jc w:val="right"/>
            </w:pPr>
            <w:r>
              <w:rPr>
                <w:color w:val="000000"/>
                <w:kern w:val="0"/>
                <w:sz w:val="24"/>
              </w:rPr>
              <w:t>6,398,822.10</w:t>
            </w:r>
          </w:p>
        </w:tc>
        <w:tc>
          <w:tcPr>
            <w:tcW w:w="1559" w:type="dxa"/>
            <w:vAlign w:val="center"/>
          </w:tcPr>
          <w:p w:rsidR="00244EAA" w:rsidRDefault="00D55530">
            <w:pPr>
              <w:jc w:val="right"/>
            </w:pPr>
            <w:r>
              <w:rPr>
                <w:color w:val="000000"/>
                <w:kern w:val="0"/>
                <w:sz w:val="24"/>
              </w:rPr>
              <w:t>3.71</w:t>
            </w:r>
          </w:p>
        </w:tc>
      </w:tr>
      <w:tr w:rsidR="00244EAA">
        <w:tc>
          <w:tcPr>
            <w:tcW w:w="851" w:type="dxa"/>
            <w:vAlign w:val="center"/>
          </w:tcPr>
          <w:p w:rsidR="00244EAA" w:rsidRDefault="00D55530">
            <w:pPr>
              <w:jc w:val="center"/>
            </w:pPr>
            <w:r>
              <w:rPr>
                <w:color w:val="000000"/>
                <w:kern w:val="0"/>
                <w:sz w:val="24"/>
              </w:rPr>
              <w:t>9</w:t>
            </w:r>
          </w:p>
        </w:tc>
        <w:tc>
          <w:tcPr>
            <w:tcW w:w="1276" w:type="dxa"/>
            <w:vAlign w:val="center"/>
          </w:tcPr>
          <w:p w:rsidR="00244EAA" w:rsidRDefault="00D55530">
            <w:pPr>
              <w:jc w:val="center"/>
            </w:pPr>
            <w:r>
              <w:rPr>
                <w:color w:val="000000"/>
                <w:kern w:val="0"/>
                <w:sz w:val="24"/>
              </w:rPr>
              <w:t>603259</w:t>
            </w:r>
          </w:p>
        </w:tc>
        <w:tc>
          <w:tcPr>
            <w:tcW w:w="1418" w:type="dxa"/>
            <w:vAlign w:val="center"/>
          </w:tcPr>
          <w:p w:rsidR="00244EAA" w:rsidRDefault="00D55530">
            <w:pPr>
              <w:jc w:val="center"/>
            </w:pPr>
            <w:r>
              <w:rPr>
                <w:color w:val="000000"/>
                <w:kern w:val="0"/>
                <w:sz w:val="24"/>
              </w:rPr>
              <w:t>药明康德</w:t>
            </w:r>
          </w:p>
        </w:tc>
        <w:tc>
          <w:tcPr>
            <w:tcW w:w="1701" w:type="dxa"/>
            <w:vAlign w:val="center"/>
          </w:tcPr>
          <w:p w:rsidR="00244EAA" w:rsidRDefault="00D55530">
            <w:pPr>
              <w:jc w:val="right"/>
            </w:pPr>
            <w:r>
              <w:rPr>
                <w:color w:val="000000"/>
                <w:kern w:val="0"/>
                <w:sz w:val="24"/>
              </w:rPr>
              <w:t>63,360</w:t>
            </w:r>
          </w:p>
        </w:tc>
        <w:tc>
          <w:tcPr>
            <w:tcW w:w="1984" w:type="dxa"/>
            <w:vAlign w:val="center"/>
          </w:tcPr>
          <w:p w:rsidR="00244EAA" w:rsidRDefault="00D55530">
            <w:pPr>
              <w:jc w:val="right"/>
            </w:pPr>
            <w:r>
              <w:rPr>
                <w:color w:val="000000"/>
                <w:kern w:val="0"/>
                <w:sz w:val="24"/>
              </w:rPr>
              <w:t>5,493,312.00</w:t>
            </w:r>
          </w:p>
        </w:tc>
        <w:tc>
          <w:tcPr>
            <w:tcW w:w="1559" w:type="dxa"/>
            <w:vAlign w:val="center"/>
          </w:tcPr>
          <w:p w:rsidR="00244EAA" w:rsidRDefault="00D55530">
            <w:pPr>
              <w:jc w:val="right"/>
            </w:pPr>
            <w:r>
              <w:rPr>
                <w:color w:val="000000"/>
                <w:kern w:val="0"/>
                <w:sz w:val="24"/>
              </w:rPr>
              <w:t>3.18</w:t>
            </w:r>
          </w:p>
        </w:tc>
      </w:tr>
      <w:tr w:rsidR="00244EAA">
        <w:tc>
          <w:tcPr>
            <w:tcW w:w="851" w:type="dxa"/>
            <w:vAlign w:val="center"/>
          </w:tcPr>
          <w:p w:rsidR="00244EAA" w:rsidRDefault="00D55530">
            <w:pPr>
              <w:jc w:val="center"/>
            </w:pPr>
            <w:r>
              <w:rPr>
                <w:color w:val="000000"/>
                <w:kern w:val="0"/>
                <w:sz w:val="24"/>
              </w:rPr>
              <w:t>10</w:t>
            </w:r>
          </w:p>
        </w:tc>
        <w:tc>
          <w:tcPr>
            <w:tcW w:w="1276" w:type="dxa"/>
            <w:vAlign w:val="center"/>
          </w:tcPr>
          <w:p w:rsidR="00244EAA" w:rsidRDefault="00D55530">
            <w:pPr>
              <w:jc w:val="center"/>
            </w:pPr>
            <w:r>
              <w:rPr>
                <w:color w:val="000000"/>
                <w:kern w:val="0"/>
                <w:sz w:val="24"/>
              </w:rPr>
              <w:t>300676</w:t>
            </w:r>
          </w:p>
        </w:tc>
        <w:tc>
          <w:tcPr>
            <w:tcW w:w="1418" w:type="dxa"/>
            <w:vAlign w:val="center"/>
          </w:tcPr>
          <w:p w:rsidR="00244EAA" w:rsidRDefault="00D55530">
            <w:pPr>
              <w:jc w:val="center"/>
            </w:pPr>
            <w:r>
              <w:rPr>
                <w:color w:val="000000"/>
                <w:kern w:val="0"/>
                <w:sz w:val="24"/>
              </w:rPr>
              <w:t>华大基因</w:t>
            </w:r>
          </w:p>
        </w:tc>
        <w:tc>
          <w:tcPr>
            <w:tcW w:w="1701" w:type="dxa"/>
            <w:vAlign w:val="center"/>
          </w:tcPr>
          <w:p w:rsidR="00244EAA" w:rsidRDefault="00D55530">
            <w:pPr>
              <w:jc w:val="right"/>
            </w:pPr>
            <w:r>
              <w:rPr>
                <w:color w:val="000000"/>
                <w:kern w:val="0"/>
                <w:sz w:val="24"/>
              </w:rPr>
              <w:t>69,000</w:t>
            </w:r>
          </w:p>
        </w:tc>
        <w:tc>
          <w:tcPr>
            <w:tcW w:w="1984" w:type="dxa"/>
            <w:vAlign w:val="center"/>
          </w:tcPr>
          <w:p w:rsidR="00244EAA" w:rsidRDefault="00D55530">
            <w:pPr>
              <w:jc w:val="right"/>
            </w:pPr>
            <w:r>
              <w:rPr>
                <w:color w:val="000000"/>
                <w:kern w:val="0"/>
                <w:sz w:val="24"/>
              </w:rPr>
              <w:t>4,414,620.00</w:t>
            </w:r>
          </w:p>
        </w:tc>
        <w:tc>
          <w:tcPr>
            <w:tcW w:w="1559" w:type="dxa"/>
            <w:vAlign w:val="center"/>
          </w:tcPr>
          <w:p w:rsidR="00244EAA" w:rsidRDefault="00D55530">
            <w:pPr>
              <w:jc w:val="right"/>
            </w:pPr>
            <w:r>
              <w:rPr>
                <w:color w:val="000000"/>
                <w:kern w:val="0"/>
                <w:sz w:val="24"/>
              </w:rPr>
              <w:t>2.56</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16,250.22</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lastRenderedPageBreak/>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1,844.94</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57,001.41</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75,096.57</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易方达生物分级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易方达生物分级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易方达生物分级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153,588,915.67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6,382,828.00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6,382,828.00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5,678,498.02</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20,797,021.93</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1,481,674.00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-740,837.00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-740,837.00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139,952,065.76</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5,641,991.00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5,641,991.00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lastRenderedPageBreak/>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244EAA" w:rsidRDefault="00D55530">
      <w:pPr>
        <w:spacing w:line="360" w:lineRule="auto"/>
        <w:ind w:firstLineChars="200" w:firstLine="480"/>
        <w:rPr>
          <w:color w:val="000000"/>
          <w:sz w:val="24"/>
        </w:rPr>
      </w:pPr>
      <w:r>
        <w:rPr>
          <w:color w:val="000000"/>
          <w:sz w:val="24"/>
        </w:rPr>
        <w:t>1.</w:t>
      </w:r>
      <w:r>
        <w:rPr>
          <w:color w:val="000000"/>
          <w:sz w:val="24"/>
        </w:rPr>
        <w:t>中国证监会准予易方达生物科技指数分级证券投资基金募集注册的文件；</w:t>
      </w:r>
    </w:p>
    <w:p w:rsidR="00244EAA" w:rsidRDefault="00D55530">
      <w:pPr>
        <w:spacing w:line="360" w:lineRule="auto"/>
        <w:ind w:firstLineChars="200" w:firstLine="480"/>
        <w:rPr>
          <w:color w:val="000000"/>
          <w:sz w:val="24"/>
        </w:rPr>
      </w:pPr>
      <w:r>
        <w:rPr>
          <w:color w:val="000000"/>
          <w:sz w:val="24"/>
        </w:rPr>
        <w:t>2.</w:t>
      </w:r>
      <w:r>
        <w:rPr>
          <w:color w:val="000000"/>
          <w:sz w:val="24"/>
        </w:rPr>
        <w:t>《易方达生物科技指数分级证券投资基金基金合同》；</w:t>
      </w:r>
    </w:p>
    <w:p w:rsidR="00244EAA" w:rsidRDefault="00D55530">
      <w:pPr>
        <w:spacing w:line="360" w:lineRule="auto"/>
        <w:ind w:firstLineChars="200" w:firstLine="480"/>
        <w:rPr>
          <w:color w:val="000000"/>
          <w:sz w:val="24"/>
        </w:rPr>
      </w:pPr>
      <w:r>
        <w:rPr>
          <w:color w:val="000000"/>
          <w:sz w:val="24"/>
        </w:rPr>
        <w:t>3.</w:t>
      </w:r>
      <w:r>
        <w:rPr>
          <w:color w:val="000000"/>
          <w:sz w:val="24"/>
        </w:rPr>
        <w:t>《易方达生物科技指数分级证券投资基金托管协议》；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lastRenderedPageBreak/>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D55530">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D55530">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D55530">
      <w:rPr>
        <w:rStyle w:val="a7"/>
        <w:noProof/>
      </w:rPr>
      <w:t>14</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易方达生物科技指数分级证券投资基金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4EAA"/>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530"/>
    <w:rsid w:val="00D5574C"/>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1066</Words>
  <Characters>6078</Characters>
  <Application>Microsoft Office Word</Application>
  <DocSecurity>0</DocSecurity>
  <Lines>50</Lines>
  <Paragraphs>14</Paragraphs>
  <ScaleCrop>false</ScaleCrop>
  <Company>TRT. Ltd. Co.</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