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6D8" w:rsidRPr="00272E0C" w:rsidRDefault="001C36D8" w:rsidP="00074E9F">
      <w:pPr>
        <w:autoSpaceDE w:val="0"/>
        <w:autoSpaceDN w:val="0"/>
        <w:adjustRightInd w:val="0"/>
        <w:spacing w:line="360" w:lineRule="auto"/>
        <w:jc w:val="left"/>
        <w:rPr>
          <w:rFonts w:ascii="宋体" w:cs="Arial"/>
          <w:color w:val="000000"/>
          <w:kern w:val="0"/>
          <w:sz w:val="24"/>
        </w:rPr>
      </w:pPr>
      <w:bookmarkStart w:id="0" w:name="_GoBack"/>
      <w:bookmarkEnd w:id="0"/>
    </w:p>
    <w:p w:rsidR="001C36D8" w:rsidRPr="00272E0C" w:rsidRDefault="001C36D8" w:rsidP="00074E9F">
      <w:pPr>
        <w:autoSpaceDE w:val="0"/>
        <w:autoSpaceDN w:val="0"/>
        <w:adjustRightInd w:val="0"/>
        <w:spacing w:line="360" w:lineRule="auto"/>
        <w:jc w:val="left"/>
        <w:rPr>
          <w:rFonts w:ascii="宋体" w:cs="Arial"/>
          <w:color w:val="000000"/>
          <w:kern w:val="0"/>
          <w:sz w:val="24"/>
        </w:rPr>
      </w:pPr>
    </w:p>
    <w:p w:rsidR="001C36D8" w:rsidRPr="00272E0C" w:rsidRDefault="001C36D8" w:rsidP="00074E9F">
      <w:pPr>
        <w:autoSpaceDE w:val="0"/>
        <w:autoSpaceDN w:val="0"/>
        <w:adjustRightInd w:val="0"/>
        <w:spacing w:line="360" w:lineRule="auto"/>
        <w:jc w:val="left"/>
        <w:rPr>
          <w:rFonts w:ascii="宋体" w:cs="Arial"/>
          <w:color w:val="000000"/>
          <w:kern w:val="0"/>
          <w:sz w:val="24"/>
        </w:rPr>
      </w:pPr>
    </w:p>
    <w:p w:rsidR="001C36D8" w:rsidRPr="00272E0C" w:rsidRDefault="001C36D8" w:rsidP="00074E9F">
      <w:pPr>
        <w:autoSpaceDE w:val="0"/>
        <w:autoSpaceDN w:val="0"/>
        <w:adjustRightInd w:val="0"/>
        <w:spacing w:line="360" w:lineRule="auto"/>
        <w:jc w:val="left"/>
        <w:rPr>
          <w:rFonts w:ascii="宋体" w:cs="Arial"/>
          <w:color w:val="000000"/>
          <w:kern w:val="0"/>
          <w:sz w:val="24"/>
        </w:rPr>
      </w:pPr>
    </w:p>
    <w:p w:rsidR="001C36D8" w:rsidRPr="00272E0C" w:rsidRDefault="001C36D8" w:rsidP="007951F3">
      <w:pPr>
        <w:spacing w:line="360" w:lineRule="auto"/>
        <w:jc w:val="center"/>
        <w:rPr>
          <w:rFonts w:ascii="宋体" w:hAnsi="宋体"/>
          <w:b/>
          <w:sz w:val="36"/>
          <w:szCs w:val="36"/>
        </w:rPr>
      </w:pPr>
      <w:r w:rsidRPr="00272E0C">
        <w:rPr>
          <w:rFonts w:ascii="宋体" w:hAnsi="宋体"/>
          <w:b/>
          <w:sz w:val="36"/>
          <w:szCs w:val="36"/>
        </w:rPr>
        <w:t>易方达银行指数分级证券投资基金</w:t>
      </w:r>
    </w:p>
    <w:p w:rsidR="001C36D8" w:rsidRPr="00272E0C" w:rsidRDefault="001C36D8" w:rsidP="007951F3">
      <w:pPr>
        <w:spacing w:line="360" w:lineRule="auto"/>
        <w:jc w:val="center"/>
        <w:rPr>
          <w:rFonts w:ascii="宋体" w:hAnsi="宋体"/>
          <w:b/>
          <w:sz w:val="36"/>
          <w:szCs w:val="36"/>
        </w:rPr>
      </w:pPr>
      <w:r w:rsidRPr="00272E0C">
        <w:rPr>
          <w:rFonts w:ascii="宋体" w:hAnsi="宋体"/>
          <w:b/>
          <w:sz w:val="36"/>
          <w:szCs w:val="36"/>
        </w:rPr>
        <w:t>2019年第3季度报告</w:t>
      </w:r>
    </w:p>
    <w:p w:rsidR="001C36D8" w:rsidRPr="00717C29" w:rsidRDefault="001C36D8" w:rsidP="007951F3">
      <w:pPr>
        <w:spacing w:line="360" w:lineRule="auto"/>
        <w:jc w:val="center"/>
        <w:rPr>
          <w:rFonts w:ascii="宋体" w:hAnsi="宋体"/>
          <w:b/>
          <w:sz w:val="24"/>
          <w:szCs w:val="36"/>
        </w:rPr>
      </w:pPr>
      <w:r w:rsidRPr="00717C29">
        <w:rPr>
          <w:rFonts w:ascii="宋体" w:hAnsi="宋体"/>
          <w:b/>
          <w:sz w:val="24"/>
          <w:szCs w:val="36"/>
        </w:rPr>
        <w:t>2019年9月30日</w:t>
      </w: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rPr>
          <w:rFonts w:ascii="宋体"/>
          <w:b/>
          <w:color w:val="000000"/>
          <w:sz w:val="24"/>
        </w:rPr>
      </w:pPr>
    </w:p>
    <w:p w:rsidR="001C36D8" w:rsidRPr="00272E0C" w:rsidRDefault="001C36D8" w:rsidP="0015779C">
      <w:pPr>
        <w:spacing w:line="360" w:lineRule="auto"/>
        <w:ind w:firstLineChars="900" w:firstLine="2168"/>
        <w:rPr>
          <w:rFonts w:ascii="宋体" w:hAnsi="宋体"/>
          <w:b/>
          <w:color w:val="000000"/>
          <w:sz w:val="24"/>
        </w:rPr>
      </w:pPr>
      <w:r w:rsidRPr="00272E0C">
        <w:rPr>
          <w:rFonts w:ascii="宋体" w:hAnsi="宋体" w:hint="eastAsia"/>
          <w:b/>
          <w:color w:val="000000"/>
          <w:sz w:val="24"/>
        </w:rPr>
        <w:t>基金管理人：</w:t>
      </w:r>
      <w:r w:rsidRPr="00272E0C">
        <w:rPr>
          <w:rFonts w:ascii="宋体" w:hAnsi="宋体"/>
          <w:b/>
          <w:color w:val="000000"/>
          <w:sz w:val="24"/>
        </w:rPr>
        <w:t>易方达基金管理有限公司</w:t>
      </w:r>
    </w:p>
    <w:p w:rsidR="001C36D8" w:rsidRPr="00272E0C" w:rsidRDefault="001C36D8" w:rsidP="0015779C">
      <w:pPr>
        <w:spacing w:line="360" w:lineRule="auto"/>
        <w:ind w:firstLineChars="900" w:firstLine="2168"/>
        <w:rPr>
          <w:rFonts w:ascii="宋体" w:hAnsi="宋体"/>
          <w:b/>
          <w:color w:val="000000"/>
          <w:sz w:val="24"/>
        </w:rPr>
      </w:pPr>
      <w:r w:rsidRPr="00272E0C">
        <w:rPr>
          <w:rFonts w:ascii="宋体" w:hAnsi="宋体" w:hint="eastAsia"/>
          <w:b/>
          <w:color w:val="000000"/>
          <w:sz w:val="24"/>
        </w:rPr>
        <w:t>基金托管人：</w:t>
      </w:r>
      <w:r w:rsidRPr="00272E0C">
        <w:rPr>
          <w:rFonts w:ascii="宋体" w:hAnsi="宋体"/>
          <w:b/>
          <w:color w:val="000000"/>
          <w:sz w:val="24"/>
        </w:rPr>
        <w:t>中国建设银行股份有限公司</w:t>
      </w:r>
    </w:p>
    <w:p w:rsidR="001C36D8" w:rsidRPr="00272E0C" w:rsidRDefault="001C36D8" w:rsidP="0015779C">
      <w:pPr>
        <w:spacing w:line="360" w:lineRule="auto"/>
        <w:ind w:firstLineChars="900" w:firstLine="2168"/>
        <w:rPr>
          <w:rFonts w:ascii="宋体" w:hAnsi="宋体"/>
          <w:b/>
          <w:color w:val="000000"/>
          <w:sz w:val="24"/>
        </w:rPr>
        <w:sectPr w:rsidR="001C36D8" w:rsidRPr="00272E0C" w:rsidSect="00230A66">
          <w:headerReference w:type="default" r:id="rId7"/>
          <w:footerReference w:type="default" r:id="rId8"/>
          <w:pgSz w:w="11926" w:h="15840"/>
          <w:pgMar w:top="1418" w:right="1418" w:bottom="851" w:left="1418" w:header="851" w:footer="992" w:gutter="0"/>
          <w:cols w:space="720"/>
          <w:noEndnote/>
        </w:sectPr>
      </w:pPr>
      <w:r w:rsidRPr="00272E0C">
        <w:rPr>
          <w:rFonts w:ascii="宋体" w:hAnsi="宋体" w:hint="eastAsia"/>
          <w:b/>
          <w:color w:val="000000"/>
          <w:sz w:val="24"/>
        </w:rPr>
        <w:t>报告送出日期：</w:t>
      </w:r>
      <w:r w:rsidRPr="00272E0C">
        <w:rPr>
          <w:rFonts w:ascii="宋体" w:hAnsi="宋体"/>
          <w:b/>
          <w:color w:val="000000"/>
          <w:sz w:val="24"/>
        </w:rPr>
        <w:t>二〇一九年十月二十四日</w:t>
      </w:r>
    </w:p>
    <w:p w:rsidR="001C36D8" w:rsidRPr="00272E0C" w:rsidRDefault="001C36D8" w:rsidP="005C6DF3">
      <w:pPr>
        <w:pStyle w:val="1"/>
        <w:spacing w:beforeLines="100" w:before="312" w:afterLines="100" w:after="312" w:line="360" w:lineRule="auto"/>
        <w:jc w:val="center"/>
        <w:rPr>
          <w:rFonts w:ascii="宋体" w:cs="Arial"/>
          <w:b w:val="0"/>
          <w:color w:val="000000"/>
          <w:kern w:val="0"/>
          <w:sz w:val="24"/>
          <w:szCs w:val="24"/>
        </w:rPr>
      </w:pPr>
      <w:r w:rsidRPr="00272E0C">
        <w:rPr>
          <w:rFonts w:ascii="宋体" w:hAnsi="宋体" w:cs="Arial" w:hint="eastAsia"/>
          <w:color w:val="000000"/>
          <w:kern w:val="0"/>
          <w:sz w:val="24"/>
          <w:szCs w:val="24"/>
        </w:rPr>
        <w:lastRenderedPageBreak/>
        <w:t>§</w:t>
      </w:r>
      <w:r w:rsidRPr="00272E0C">
        <w:rPr>
          <w:rFonts w:ascii="宋体" w:hAnsi="宋体" w:cs="Arial"/>
          <w:color w:val="000000"/>
          <w:kern w:val="0"/>
          <w:sz w:val="24"/>
          <w:szCs w:val="24"/>
        </w:rPr>
        <w:t xml:space="preserve">1  </w:t>
      </w:r>
      <w:r w:rsidRPr="00272E0C">
        <w:rPr>
          <w:rFonts w:ascii="宋体" w:hAnsi="宋体" w:cs="Arial" w:hint="eastAsia"/>
          <w:color w:val="000000"/>
          <w:kern w:val="0"/>
          <w:sz w:val="24"/>
          <w:szCs w:val="24"/>
        </w:rPr>
        <w:t>重要提示</w:t>
      </w:r>
    </w:p>
    <w:p w:rsidR="00131020" w:rsidRDefault="00D70B49">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131020" w:rsidRDefault="00D70B49">
      <w:pPr>
        <w:spacing w:line="360" w:lineRule="auto"/>
        <w:ind w:firstLineChars="200" w:firstLine="480"/>
        <w:rPr>
          <w:color w:val="000000"/>
          <w:sz w:val="24"/>
        </w:rPr>
      </w:pPr>
      <w:r>
        <w:rPr>
          <w:color w:val="000000"/>
          <w:sz w:val="24"/>
        </w:rPr>
        <w:t>基金托管人中国建设银行股份有限公司根据本基金合同规定，于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131020" w:rsidRDefault="00D70B49">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131020" w:rsidRDefault="00D70B49">
      <w:pPr>
        <w:spacing w:line="360" w:lineRule="auto"/>
        <w:ind w:firstLineChars="200" w:firstLine="480"/>
        <w:rPr>
          <w:color w:val="000000"/>
          <w:sz w:val="24"/>
        </w:rPr>
      </w:pPr>
      <w:r>
        <w:rPr>
          <w:color w:val="000000"/>
          <w:sz w:val="24"/>
        </w:rPr>
        <w:t>基金的过往业绩并不代表其未来表现。投资有风险，投资者在作</w:t>
      </w:r>
      <w:r>
        <w:rPr>
          <w:color w:val="000000"/>
          <w:sz w:val="24"/>
        </w:rPr>
        <w:t>出投资决策前应仔细阅读本基金的招募说明书。</w:t>
      </w:r>
      <w:r>
        <w:rPr>
          <w:color w:val="000000"/>
          <w:sz w:val="24"/>
        </w:rPr>
        <w:t xml:space="preserve"> </w:t>
      </w:r>
    </w:p>
    <w:p w:rsidR="00131020" w:rsidRDefault="00D70B49">
      <w:pPr>
        <w:spacing w:line="360" w:lineRule="auto"/>
        <w:ind w:firstLineChars="200" w:firstLine="480"/>
        <w:rPr>
          <w:color w:val="000000"/>
          <w:sz w:val="24"/>
        </w:rPr>
      </w:pPr>
      <w:r>
        <w:rPr>
          <w:color w:val="000000"/>
          <w:sz w:val="24"/>
        </w:rPr>
        <w:t>本报告中财务资料未经审计。</w:t>
      </w:r>
    </w:p>
    <w:p w:rsidR="001C36D8" w:rsidRPr="00CC0C03" w:rsidRDefault="001C36D8" w:rsidP="00CC0C03">
      <w:pPr>
        <w:spacing w:line="360" w:lineRule="auto"/>
        <w:ind w:firstLineChars="200" w:firstLine="480"/>
        <w:rPr>
          <w:color w:val="000000"/>
          <w:sz w:val="24"/>
        </w:rPr>
      </w:pPr>
      <w:r w:rsidRPr="00CC0C03">
        <w:rPr>
          <w:color w:val="000000"/>
          <w:sz w:val="24"/>
        </w:rPr>
        <w:t>本报告期自</w:t>
      </w:r>
      <w:r w:rsidRPr="00CC0C03">
        <w:rPr>
          <w:color w:val="000000"/>
          <w:sz w:val="24"/>
        </w:rPr>
        <w:t>2019</w:t>
      </w:r>
      <w:r w:rsidRPr="00CC0C03">
        <w:rPr>
          <w:color w:val="000000"/>
          <w:sz w:val="24"/>
        </w:rPr>
        <w:t>年</w:t>
      </w:r>
      <w:r w:rsidRPr="00CC0C03">
        <w:rPr>
          <w:color w:val="000000"/>
          <w:sz w:val="24"/>
        </w:rPr>
        <w:t>7</w:t>
      </w:r>
      <w:r w:rsidRPr="00CC0C03">
        <w:rPr>
          <w:color w:val="000000"/>
          <w:sz w:val="24"/>
        </w:rPr>
        <w:t>月</w:t>
      </w:r>
      <w:r w:rsidRPr="00CC0C03">
        <w:rPr>
          <w:color w:val="000000"/>
          <w:sz w:val="24"/>
        </w:rPr>
        <w:t>1</w:t>
      </w:r>
      <w:r w:rsidRPr="00CC0C03">
        <w:rPr>
          <w:color w:val="000000"/>
          <w:sz w:val="24"/>
        </w:rPr>
        <w:t>日起至</w:t>
      </w:r>
      <w:r w:rsidRPr="00CC0C03">
        <w:rPr>
          <w:color w:val="000000"/>
          <w:sz w:val="24"/>
        </w:rPr>
        <w:t>9</w:t>
      </w:r>
      <w:r w:rsidRPr="00CC0C03">
        <w:rPr>
          <w:color w:val="000000"/>
          <w:sz w:val="24"/>
        </w:rPr>
        <w:t>月</w:t>
      </w:r>
      <w:r w:rsidRPr="00CC0C03">
        <w:rPr>
          <w:color w:val="000000"/>
          <w:sz w:val="24"/>
        </w:rPr>
        <w:t>30</w:t>
      </w:r>
      <w:r w:rsidRPr="00CC0C03">
        <w:rPr>
          <w:color w:val="000000"/>
          <w:sz w:val="24"/>
        </w:rPr>
        <w:t>日止。</w:t>
      </w:r>
    </w:p>
    <w:p w:rsidR="001C36D8" w:rsidRPr="00272E0C" w:rsidRDefault="001C36D8" w:rsidP="005C6DF3">
      <w:pPr>
        <w:pStyle w:val="1"/>
        <w:spacing w:beforeLines="100" w:before="312" w:afterLines="100" w:after="312" w:line="360" w:lineRule="auto"/>
        <w:jc w:val="center"/>
        <w:rPr>
          <w:rFonts w:ascii="宋体" w:cs="Arial"/>
          <w:color w:val="000000"/>
          <w:kern w:val="0"/>
          <w:sz w:val="24"/>
          <w:szCs w:val="24"/>
        </w:rPr>
      </w:pPr>
      <w:r w:rsidRPr="00272E0C">
        <w:rPr>
          <w:rFonts w:ascii="宋体" w:hAnsi="宋体" w:cs="Arial" w:hint="eastAsia"/>
          <w:color w:val="000000"/>
          <w:kern w:val="0"/>
          <w:sz w:val="24"/>
          <w:szCs w:val="24"/>
        </w:rPr>
        <w:t>§</w:t>
      </w:r>
      <w:r w:rsidRPr="00272E0C">
        <w:rPr>
          <w:rFonts w:ascii="宋体" w:hAnsi="宋体" w:cs="Arial"/>
          <w:color w:val="000000"/>
          <w:kern w:val="0"/>
          <w:sz w:val="24"/>
          <w:szCs w:val="24"/>
        </w:rPr>
        <w:t xml:space="preserve">2  </w:t>
      </w:r>
      <w:r w:rsidRPr="00272E0C">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826"/>
        <w:gridCol w:w="1826"/>
        <w:gridCol w:w="1827"/>
      </w:tblGrid>
      <w:tr w:rsidR="001C36D8" w:rsidRPr="00272E0C" w:rsidTr="007A6BEA">
        <w:tc>
          <w:tcPr>
            <w:tcW w:w="2835" w:type="dxa"/>
          </w:tcPr>
          <w:p w:rsidR="001C36D8" w:rsidRPr="004C6E88" w:rsidRDefault="001C36D8" w:rsidP="007A6BEA">
            <w:pPr>
              <w:adjustRightInd w:val="0"/>
              <w:spacing w:before="29" w:line="360" w:lineRule="auto"/>
              <w:ind w:left="17"/>
              <w:jc w:val="left"/>
              <w:rPr>
                <w:rFonts w:eastAsiaTheme="minorEastAsia"/>
                <w:kern w:val="0"/>
                <w:sz w:val="24"/>
              </w:rPr>
            </w:pPr>
            <w:r w:rsidRPr="004C6E88">
              <w:rPr>
                <w:rFonts w:eastAsiaTheme="minorEastAsia"/>
                <w:kern w:val="0"/>
                <w:sz w:val="24"/>
              </w:rPr>
              <w:t>基金简称</w:t>
            </w:r>
          </w:p>
        </w:tc>
        <w:tc>
          <w:tcPr>
            <w:tcW w:w="5479" w:type="dxa"/>
            <w:gridSpan w:val="3"/>
          </w:tcPr>
          <w:p w:rsidR="001C36D8" w:rsidRPr="004C6E88" w:rsidRDefault="001C36D8" w:rsidP="007A6BEA">
            <w:pPr>
              <w:adjustRightInd w:val="0"/>
              <w:spacing w:before="29" w:line="360" w:lineRule="auto"/>
              <w:ind w:left="17"/>
              <w:jc w:val="left"/>
              <w:rPr>
                <w:rFonts w:eastAsiaTheme="minorEastAsia"/>
                <w:color w:val="000000"/>
                <w:kern w:val="0"/>
                <w:sz w:val="24"/>
              </w:rPr>
            </w:pPr>
            <w:r w:rsidRPr="004C6E88">
              <w:rPr>
                <w:rFonts w:eastAsiaTheme="minorEastAsia"/>
                <w:color w:val="000000"/>
                <w:kern w:val="0"/>
                <w:sz w:val="24"/>
              </w:rPr>
              <w:t>易方达银行分级</w:t>
            </w:r>
          </w:p>
        </w:tc>
      </w:tr>
      <w:tr w:rsidR="001C36D8" w:rsidRPr="00272E0C" w:rsidTr="002A44F9">
        <w:tc>
          <w:tcPr>
            <w:tcW w:w="2835" w:type="dxa"/>
          </w:tcPr>
          <w:p w:rsidR="001C36D8" w:rsidRPr="004C6E88" w:rsidRDefault="001C36D8">
            <w:pPr>
              <w:adjustRightInd w:val="0"/>
              <w:spacing w:before="29" w:line="360" w:lineRule="auto"/>
              <w:ind w:left="17"/>
              <w:jc w:val="left"/>
              <w:rPr>
                <w:rFonts w:eastAsiaTheme="minorEastAsia"/>
                <w:kern w:val="0"/>
                <w:sz w:val="24"/>
              </w:rPr>
            </w:pPr>
            <w:r w:rsidRPr="004C6E88">
              <w:rPr>
                <w:rFonts w:eastAsiaTheme="minorEastAsia"/>
                <w:kern w:val="0"/>
                <w:sz w:val="24"/>
              </w:rPr>
              <w:t>基金主代码</w:t>
            </w:r>
          </w:p>
        </w:tc>
        <w:tc>
          <w:tcPr>
            <w:tcW w:w="5479" w:type="dxa"/>
            <w:gridSpan w:val="3"/>
          </w:tcPr>
          <w:p w:rsidR="001C36D8" w:rsidRPr="004C6E88" w:rsidRDefault="001C36D8">
            <w:pPr>
              <w:adjustRightInd w:val="0"/>
              <w:spacing w:before="29" w:line="360" w:lineRule="auto"/>
              <w:ind w:left="17"/>
              <w:jc w:val="left"/>
              <w:rPr>
                <w:rFonts w:eastAsiaTheme="minorEastAsia"/>
                <w:color w:val="000000"/>
                <w:kern w:val="0"/>
                <w:sz w:val="24"/>
              </w:rPr>
            </w:pPr>
            <w:r w:rsidRPr="004C6E88">
              <w:rPr>
                <w:rFonts w:eastAsiaTheme="minorEastAsia"/>
                <w:color w:val="000000"/>
                <w:kern w:val="0"/>
                <w:sz w:val="24"/>
              </w:rPr>
              <w:t>161121</w:t>
            </w:r>
          </w:p>
        </w:tc>
      </w:tr>
      <w:tr w:rsidR="003A768B" w:rsidRPr="00272E0C" w:rsidTr="002A44F9">
        <w:tc>
          <w:tcPr>
            <w:tcW w:w="2835" w:type="dxa"/>
          </w:tcPr>
          <w:p w:rsidR="003A768B" w:rsidRPr="004C6E88" w:rsidRDefault="003A768B" w:rsidP="00E43B0B">
            <w:pPr>
              <w:adjustRightInd w:val="0"/>
              <w:spacing w:before="29" w:line="360" w:lineRule="auto"/>
              <w:ind w:left="17"/>
              <w:jc w:val="left"/>
              <w:rPr>
                <w:rFonts w:eastAsiaTheme="minorEastAsia"/>
                <w:kern w:val="0"/>
                <w:sz w:val="24"/>
              </w:rPr>
            </w:pPr>
            <w:r w:rsidRPr="004C6E88">
              <w:rPr>
                <w:rFonts w:eastAsiaTheme="minorEastAsia"/>
                <w:kern w:val="0"/>
                <w:sz w:val="24"/>
              </w:rPr>
              <w:t>交易代码</w:t>
            </w:r>
          </w:p>
        </w:tc>
        <w:tc>
          <w:tcPr>
            <w:tcW w:w="5479" w:type="dxa"/>
            <w:gridSpan w:val="3"/>
          </w:tcPr>
          <w:p w:rsidR="003A768B" w:rsidRPr="004C6E88" w:rsidRDefault="003A768B" w:rsidP="00E43B0B">
            <w:pPr>
              <w:adjustRightInd w:val="0"/>
              <w:spacing w:before="29" w:line="360" w:lineRule="auto"/>
              <w:ind w:left="17"/>
              <w:jc w:val="left"/>
              <w:rPr>
                <w:rFonts w:eastAsiaTheme="minorEastAsia"/>
                <w:color w:val="000000"/>
                <w:kern w:val="0"/>
                <w:sz w:val="24"/>
              </w:rPr>
            </w:pPr>
            <w:r w:rsidRPr="004C6E88">
              <w:rPr>
                <w:rFonts w:eastAsiaTheme="minorEastAsia"/>
                <w:kern w:val="0"/>
                <w:sz w:val="24"/>
              </w:rPr>
              <w:t>161121</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基金运作方式</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契约型开放式、分级基金</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基金合同生效日</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kern w:val="0"/>
                <w:sz w:val="24"/>
              </w:rPr>
            </w:pPr>
            <w:r w:rsidRPr="004C6E88">
              <w:rPr>
                <w:rFonts w:eastAsiaTheme="minorEastAsia"/>
                <w:color w:val="000000"/>
                <w:kern w:val="0"/>
                <w:sz w:val="24"/>
              </w:rPr>
              <w:t>2015</w:t>
            </w:r>
            <w:r w:rsidRPr="004C6E88">
              <w:rPr>
                <w:rFonts w:eastAsiaTheme="minorEastAsia"/>
                <w:color w:val="000000"/>
                <w:kern w:val="0"/>
                <w:sz w:val="24"/>
              </w:rPr>
              <w:t>年</w:t>
            </w:r>
            <w:r w:rsidRPr="004C6E88">
              <w:rPr>
                <w:rFonts w:eastAsiaTheme="minorEastAsia"/>
                <w:color w:val="000000"/>
                <w:kern w:val="0"/>
                <w:sz w:val="24"/>
              </w:rPr>
              <w:t>6</w:t>
            </w:r>
            <w:r w:rsidRPr="004C6E88">
              <w:rPr>
                <w:rFonts w:eastAsiaTheme="minorEastAsia"/>
                <w:color w:val="000000"/>
                <w:kern w:val="0"/>
                <w:sz w:val="24"/>
              </w:rPr>
              <w:t>月</w:t>
            </w:r>
            <w:r w:rsidRPr="004C6E88">
              <w:rPr>
                <w:rFonts w:eastAsiaTheme="minorEastAsia"/>
                <w:color w:val="000000"/>
                <w:kern w:val="0"/>
                <w:sz w:val="24"/>
              </w:rPr>
              <w:t>3</w:t>
            </w:r>
            <w:r w:rsidRPr="004C6E88">
              <w:rPr>
                <w:rFonts w:eastAsiaTheme="minorEastAsia"/>
                <w:color w:val="000000"/>
                <w:kern w:val="0"/>
                <w:sz w:val="24"/>
              </w:rPr>
              <w:t>日</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报告期末基金份额总额</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242,110,353.79</w:t>
            </w:r>
            <w:r w:rsidRPr="004C6E88">
              <w:rPr>
                <w:rFonts w:eastAsiaTheme="minorEastAsia"/>
                <w:color w:val="000000"/>
                <w:kern w:val="0"/>
                <w:sz w:val="24"/>
              </w:rPr>
              <w:t>份</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投资目标</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紧密追踪业绩比较基准，追求跟踪偏离度与跟踪误差的最小化。</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投资策略</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本基金主要采取完全复制法，即完全按照标的指数的成份股组成及其权重构建基金股票投资组合，并根据标的指数成份股及其权重的变动进行相应调整。但在因特殊情形导致基金无法完全投资于标的指数成份股时，基金管理人可采取其他指数投资技</w:t>
            </w:r>
            <w:r w:rsidRPr="004C6E88">
              <w:rPr>
                <w:rFonts w:eastAsiaTheme="minorEastAsia"/>
                <w:color w:val="000000"/>
                <w:kern w:val="0"/>
                <w:sz w:val="24"/>
              </w:rPr>
              <w:lastRenderedPageBreak/>
              <w:t>术适当调整基金投资组合，以达到紧密跟踪标的指数的目的。</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lastRenderedPageBreak/>
              <w:t>业绩比较基准</w:t>
            </w:r>
          </w:p>
        </w:tc>
        <w:tc>
          <w:tcPr>
            <w:tcW w:w="5479" w:type="dxa"/>
            <w:gridSpan w:val="3"/>
          </w:tcPr>
          <w:p w:rsidR="003A768B" w:rsidRPr="004C6E88" w:rsidRDefault="003A768B" w:rsidP="00CD0AAD">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中证银行指数收益率</w:t>
            </w:r>
            <w:r w:rsidRPr="004C6E88">
              <w:rPr>
                <w:rFonts w:eastAsiaTheme="minorEastAsia"/>
                <w:color w:val="000000"/>
                <w:kern w:val="0"/>
                <w:sz w:val="24"/>
              </w:rPr>
              <w:t>×95%+</w:t>
            </w:r>
            <w:r w:rsidRPr="004C6E88">
              <w:rPr>
                <w:rFonts w:eastAsiaTheme="minorEastAsia"/>
                <w:color w:val="000000"/>
                <w:kern w:val="0"/>
                <w:sz w:val="24"/>
              </w:rPr>
              <w:t>活期存款利率（税后）</w:t>
            </w:r>
            <w:r w:rsidRPr="004C6E88">
              <w:rPr>
                <w:rFonts w:eastAsiaTheme="minorEastAsia"/>
                <w:color w:val="000000"/>
                <w:kern w:val="0"/>
                <w:sz w:val="24"/>
              </w:rPr>
              <w:t>×5%</w:t>
            </w:r>
          </w:p>
        </w:tc>
      </w:tr>
      <w:tr w:rsidR="003A768B" w:rsidRPr="00272E0C" w:rsidTr="00A008DA">
        <w:tc>
          <w:tcPr>
            <w:tcW w:w="2835" w:type="dxa"/>
          </w:tcPr>
          <w:p w:rsidR="003A768B" w:rsidRPr="004C6E88" w:rsidRDefault="003A768B" w:rsidP="00A008DA">
            <w:pPr>
              <w:adjustRightInd w:val="0"/>
              <w:spacing w:before="29" w:line="360" w:lineRule="auto"/>
              <w:ind w:left="17"/>
              <w:jc w:val="left"/>
              <w:rPr>
                <w:rFonts w:eastAsiaTheme="minorEastAsia"/>
                <w:sz w:val="24"/>
              </w:rPr>
            </w:pPr>
            <w:r w:rsidRPr="004C6E88">
              <w:rPr>
                <w:rFonts w:eastAsiaTheme="minorEastAsia"/>
                <w:kern w:val="0"/>
                <w:sz w:val="24"/>
              </w:rPr>
              <w:t>风险收益特征</w:t>
            </w:r>
          </w:p>
        </w:tc>
        <w:tc>
          <w:tcPr>
            <w:tcW w:w="5479" w:type="dxa"/>
            <w:gridSpan w:val="3"/>
          </w:tcPr>
          <w:p w:rsidR="003A768B" w:rsidRPr="004C6E88" w:rsidRDefault="003A768B" w:rsidP="00A008D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本基金为股票型基金，主要采用完全复制策略跟踪标的指数的表现，其风险收益特征与标的指数相似。长期而言，其风险收益水平高于混合型基金、债券型基金和货币市场基金；</w:t>
            </w:r>
            <w:r w:rsidRPr="004C6E88">
              <w:rPr>
                <w:rFonts w:eastAsiaTheme="minorEastAsia"/>
                <w:color w:val="000000"/>
                <w:kern w:val="0"/>
                <w:sz w:val="24"/>
              </w:rPr>
              <w:t>A</w:t>
            </w:r>
            <w:r w:rsidRPr="004C6E88">
              <w:rPr>
                <w:rFonts w:eastAsiaTheme="minorEastAsia"/>
                <w:color w:val="000000"/>
                <w:kern w:val="0"/>
                <w:sz w:val="24"/>
              </w:rPr>
              <w:t>类份额具有预期风险、收益较低的特征；</w:t>
            </w:r>
            <w:r w:rsidRPr="004C6E88">
              <w:rPr>
                <w:rFonts w:eastAsiaTheme="minorEastAsia"/>
                <w:color w:val="000000"/>
                <w:kern w:val="0"/>
                <w:sz w:val="24"/>
              </w:rPr>
              <w:t>B</w:t>
            </w:r>
            <w:r w:rsidRPr="004C6E88">
              <w:rPr>
                <w:rFonts w:eastAsiaTheme="minorEastAsia"/>
                <w:color w:val="000000"/>
                <w:kern w:val="0"/>
                <w:sz w:val="24"/>
              </w:rPr>
              <w:t>类份额具有预期风险、收益较高的特征。</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基金管理人</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易方达基金管理有限公司</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基金托管人</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中国建设银行股份有限公司</w:t>
            </w:r>
          </w:p>
        </w:tc>
      </w:tr>
      <w:tr w:rsidR="003A768B" w:rsidRPr="00272E0C" w:rsidTr="00EB3E72">
        <w:tc>
          <w:tcPr>
            <w:tcW w:w="2835" w:type="dxa"/>
          </w:tcPr>
          <w:p w:rsidR="003A768B" w:rsidRPr="004C6E88" w:rsidRDefault="003A768B" w:rsidP="004C6E88">
            <w:pPr>
              <w:adjustRightInd w:val="0"/>
              <w:spacing w:before="29" w:line="360" w:lineRule="auto"/>
              <w:ind w:left="17"/>
              <w:jc w:val="left"/>
              <w:rPr>
                <w:rFonts w:eastAsiaTheme="minorEastAsia"/>
                <w:kern w:val="0"/>
                <w:sz w:val="24"/>
              </w:rPr>
            </w:pPr>
            <w:r w:rsidRPr="004C6E88">
              <w:rPr>
                <w:rFonts w:eastAsiaTheme="minorEastAsia"/>
                <w:color w:val="000000"/>
                <w:sz w:val="24"/>
              </w:rPr>
              <w:t>下属</w:t>
            </w:r>
            <w:r w:rsidR="004C6E88" w:rsidRPr="004C6E88">
              <w:rPr>
                <w:rFonts w:eastAsiaTheme="minorEastAsia"/>
                <w:color w:val="000000"/>
                <w:sz w:val="24"/>
              </w:rPr>
              <w:t>分</w:t>
            </w:r>
            <w:r w:rsidRPr="004C6E88">
              <w:rPr>
                <w:rFonts w:eastAsiaTheme="minorEastAsia"/>
                <w:color w:val="000000"/>
                <w:sz w:val="24"/>
              </w:rPr>
              <w:t>级基金的基金简称</w:t>
            </w:r>
          </w:p>
        </w:tc>
        <w:tc>
          <w:tcPr>
            <w:tcW w:w="1826" w:type="dxa"/>
            <w:vAlign w:val="center"/>
          </w:tcPr>
          <w:p w:rsidR="003A768B" w:rsidRPr="004C6E88" w:rsidRDefault="003A768B" w:rsidP="007A6BEA">
            <w:pPr>
              <w:jc w:val="left"/>
              <w:rPr>
                <w:rFonts w:eastAsiaTheme="minorEastAsia"/>
                <w:sz w:val="24"/>
              </w:rPr>
            </w:pPr>
            <w:r w:rsidRPr="004C6E88">
              <w:rPr>
                <w:rFonts w:eastAsiaTheme="minorEastAsia"/>
                <w:sz w:val="24"/>
              </w:rPr>
              <w:t>易方达银行分级</w:t>
            </w:r>
          </w:p>
        </w:tc>
        <w:tc>
          <w:tcPr>
            <w:tcW w:w="1826" w:type="dxa"/>
            <w:vAlign w:val="center"/>
          </w:tcPr>
          <w:p w:rsidR="003A768B" w:rsidRPr="004C6E88" w:rsidRDefault="003A768B" w:rsidP="007A6BEA">
            <w:pPr>
              <w:jc w:val="left"/>
              <w:rPr>
                <w:rFonts w:eastAsiaTheme="minorEastAsia"/>
                <w:sz w:val="24"/>
              </w:rPr>
            </w:pPr>
            <w:r w:rsidRPr="004C6E88">
              <w:rPr>
                <w:rFonts w:eastAsiaTheme="minorEastAsia"/>
                <w:sz w:val="24"/>
              </w:rPr>
              <w:t>易方达银行分级</w:t>
            </w:r>
            <w:r w:rsidRPr="004C6E88">
              <w:rPr>
                <w:rFonts w:eastAsiaTheme="minorEastAsia"/>
                <w:sz w:val="24"/>
              </w:rPr>
              <w:t>A</w:t>
            </w:r>
          </w:p>
        </w:tc>
        <w:tc>
          <w:tcPr>
            <w:tcW w:w="1827" w:type="dxa"/>
            <w:vAlign w:val="center"/>
          </w:tcPr>
          <w:p w:rsidR="003A768B" w:rsidRPr="004C6E88" w:rsidRDefault="003A768B" w:rsidP="007A6BEA">
            <w:pPr>
              <w:jc w:val="left"/>
              <w:rPr>
                <w:rFonts w:eastAsiaTheme="minorEastAsia"/>
                <w:sz w:val="24"/>
              </w:rPr>
            </w:pPr>
            <w:r w:rsidRPr="004C6E88">
              <w:rPr>
                <w:rFonts w:eastAsiaTheme="minorEastAsia"/>
                <w:sz w:val="24"/>
              </w:rPr>
              <w:t>易方达银行分级</w:t>
            </w:r>
            <w:r w:rsidRPr="004C6E88">
              <w:rPr>
                <w:rFonts w:eastAsiaTheme="minorEastAsia"/>
                <w:sz w:val="24"/>
              </w:rPr>
              <w:t>B</w:t>
            </w:r>
          </w:p>
        </w:tc>
      </w:tr>
      <w:tr w:rsidR="002C2DE0" w:rsidRPr="00272E0C" w:rsidTr="00EB3E72">
        <w:tc>
          <w:tcPr>
            <w:tcW w:w="2835" w:type="dxa"/>
          </w:tcPr>
          <w:p w:rsidR="002C2DE0" w:rsidRPr="004C6E88" w:rsidRDefault="002C2DE0" w:rsidP="004C6E88">
            <w:pPr>
              <w:adjustRightInd w:val="0"/>
              <w:spacing w:before="29" w:line="360" w:lineRule="auto"/>
              <w:ind w:left="17"/>
              <w:jc w:val="left"/>
              <w:rPr>
                <w:rFonts w:eastAsiaTheme="minorEastAsia"/>
                <w:color w:val="000000"/>
                <w:sz w:val="24"/>
              </w:rPr>
            </w:pPr>
            <w:r w:rsidRPr="004C6E88">
              <w:rPr>
                <w:rFonts w:eastAsiaTheme="minorEastAsia"/>
                <w:color w:val="000000"/>
                <w:sz w:val="24"/>
              </w:rPr>
              <w:t>下属</w:t>
            </w:r>
            <w:r w:rsidR="004C6E88" w:rsidRPr="004C6E88">
              <w:rPr>
                <w:rFonts w:eastAsiaTheme="minorEastAsia"/>
                <w:color w:val="000000"/>
                <w:sz w:val="24"/>
              </w:rPr>
              <w:t>分</w:t>
            </w:r>
            <w:r w:rsidR="003168E2">
              <w:rPr>
                <w:rFonts w:eastAsiaTheme="minorEastAsia"/>
                <w:color w:val="000000"/>
                <w:sz w:val="24"/>
              </w:rPr>
              <w:t>级基金</w:t>
            </w:r>
            <w:r w:rsidRPr="004C6E88">
              <w:rPr>
                <w:rFonts w:eastAsiaTheme="minorEastAsia"/>
                <w:color w:val="000000"/>
                <w:sz w:val="24"/>
              </w:rPr>
              <w:t>场内简称</w:t>
            </w:r>
          </w:p>
        </w:tc>
        <w:tc>
          <w:tcPr>
            <w:tcW w:w="1826" w:type="dxa"/>
            <w:vAlign w:val="center"/>
          </w:tcPr>
          <w:p w:rsidR="002C2DE0" w:rsidRPr="004C6E88" w:rsidRDefault="002C2DE0" w:rsidP="00E43B0B">
            <w:pPr>
              <w:rPr>
                <w:rFonts w:eastAsiaTheme="minorEastAsia"/>
                <w:color w:val="000000"/>
                <w:kern w:val="0"/>
                <w:sz w:val="24"/>
              </w:rPr>
            </w:pPr>
            <w:r w:rsidRPr="004C6E88">
              <w:rPr>
                <w:rFonts w:eastAsiaTheme="minorEastAsia"/>
                <w:sz w:val="24"/>
              </w:rPr>
              <w:t>银行业</w:t>
            </w:r>
          </w:p>
        </w:tc>
        <w:tc>
          <w:tcPr>
            <w:tcW w:w="1826" w:type="dxa"/>
            <w:vAlign w:val="center"/>
          </w:tcPr>
          <w:p w:rsidR="002C2DE0" w:rsidRPr="004C6E88" w:rsidRDefault="002C2DE0" w:rsidP="00E43B0B">
            <w:pPr>
              <w:rPr>
                <w:rFonts w:eastAsiaTheme="minorEastAsia"/>
                <w:color w:val="000000"/>
                <w:kern w:val="0"/>
                <w:sz w:val="24"/>
              </w:rPr>
            </w:pPr>
            <w:r w:rsidRPr="004C6E88">
              <w:rPr>
                <w:rFonts w:eastAsiaTheme="minorEastAsia"/>
                <w:sz w:val="24"/>
              </w:rPr>
              <w:t>银行业</w:t>
            </w:r>
            <w:r w:rsidRPr="004C6E88">
              <w:rPr>
                <w:rFonts w:eastAsiaTheme="minorEastAsia"/>
                <w:sz w:val="24"/>
              </w:rPr>
              <w:t>A</w:t>
            </w:r>
          </w:p>
        </w:tc>
        <w:tc>
          <w:tcPr>
            <w:tcW w:w="1827" w:type="dxa"/>
            <w:vAlign w:val="center"/>
          </w:tcPr>
          <w:p w:rsidR="002C2DE0" w:rsidRPr="004C6E88" w:rsidRDefault="002C2DE0" w:rsidP="00E43B0B">
            <w:pPr>
              <w:rPr>
                <w:rFonts w:eastAsiaTheme="minorEastAsia"/>
                <w:color w:val="000000"/>
                <w:kern w:val="0"/>
                <w:sz w:val="24"/>
              </w:rPr>
            </w:pPr>
            <w:r w:rsidRPr="004C6E88">
              <w:rPr>
                <w:rFonts w:eastAsiaTheme="minorEastAsia"/>
                <w:sz w:val="24"/>
              </w:rPr>
              <w:t>银行业</w:t>
            </w:r>
            <w:r w:rsidRPr="004C6E88">
              <w:rPr>
                <w:rFonts w:eastAsiaTheme="minorEastAsia"/>
                <w:sz w:val="24"/>
              </w:rPr>
              <w:t>B</w:t>
            </w:r>
          </w:p>
        </w:tc>
      </w:tr>
      <w:tr w:rsidR="003A768B" w:rsidRPr="00272E0C" w:rsidTr="00EB3E72">
        <w:tc>
          <w:tcPr>
            <w:tcW w:w="2835" w:type="dxa"/>
          </w:tcPr>
          <w:p w:rsidR="003A768B" w:rsidRPr="004C6E88" w:rsidRDefault="003A768B" w:rsidP="004C6E88">
            <w:pPr>
              <w:adjustRightInd w:val="0"/>
              <w:spacing w:before="29" w:line="360" w:lineRule="auto"/>
              <w:ind w:left="17"/>
              <w:jc w:val="left"/>
              <w:rPr>
                <w:rFonts w:eastAsiaTheme="minorEastAsia"/>
                <w:color w:val="000000"/>
                <w:sz w:val="24"/>
              </w:rPr>
            </w:pPr>
            <w:r w:rsidRPr="004C6E88">
              <w:rPr>
                <w:rFonts w:eastAsiaTheme="minorEastAsia"/>
                <w:color w:val="000000"/>
                <w:sz w:val="24"/>
              </w:rPr>
              <w:t>下属</w:t>
            </w:r>
            <w:r w:rsidR="004C6E88" w:rsidRPr="004C6E88">
              <w:rPr>
                <w:rFonts w:eastAsiaTheme="minorEastAsia"/>
                <w:color w:val="000000"/>
                <w:sz w:val="24"/>
              </w:rPr>
              <w:t>分</w:t>
            </w:r>
            <w:r w:rsidRPr="004C6E88">
              <w:rPr>
                <w:rFonts w:eastAsiaTheme="minorEastAsia"/>
                <w:color w:val="000000"/>
                <w:sz w:val="24"/>
              </w:rPr>
              <w:t>级基金的交易代码</w:t>
            </w:r>
          </w:p>
        </w:tc>
        <w:tc>
          <w:tcPr>
            <w:tcW w:w="1826" w:type="dxa"/>
            <w:vAlign w:val="center"/>
          </w:tcPr>
          <w:p w:rsidR="003A768B" w:rsidRPr="004C6E88" w:rsidRDefault="003A768B" w:rsidP="007A6BEA">
            <w:pPr>
              <w:jc w:val="left"/>
              <w:rPr>
                <w:rFonts w:eastAsiaTheme="minorEastAsia"/>
                <w:sz w:val="24"/>
              </w:rPr>
            </w:pPr>
            <w:r w:rsidRPr="004C6E88">
              <w:rPr>
                <w:rFonts w:eastAsiaTheme="minorEastAsia"/>
                <w:sz w:val="24"/>
              </w:rPr>
              <w:t>161121</w:t>
            </w:r>
          </w:p>
        </w:tc>
        <w:tc>
          <w:tcPr>
            <w:tcW w:w="1826" w:type="dxa"/>
            <w:vAlign w:val="center"/>
          </w:tcPr>
          <w:p w:rsidR="003A768B" w:rsidRPr="004C6E88" w:rsidRDefault="003A768B" w:rsidP="007A6BEA">
            <w:pPr>
              <w:jc w:val="left"/>
              <w:rPr>
                <w:rFonts w:eastAsiaTheme="minorEastAsia"/>
                <w:sz w:val="24"/>
              </w:rPr>
            </w:pPr>
            <w:r w:rsidRPr="004C6E88">
              <w:rPr>
                <w:rFonts w:eastAsiaTheme="minorEastAsia"/>
                <w:sz w:val="24"/>
              </w:rPr>
              <w:t>150255</w:t>
            </w:r>
          </w:p>
        </w:tc>
        <w:tc>
          <w:tcPr>
            <w:tcW w:w="1827" w:type="dxa"/>
            <w:vAlign w:val="center"/>
          </w:tcPr>
          <w:p w:rsidR="003A768B" w:rsidRPr="004C6E88" w:rsidRDefault="003A768B" w:rsidP="007A6BEA">
            <w:pPr>
              <w:jc w:val="left"/>
              <w:rPr>
                <w:rFonts w:eastAsiaTheme="minorEastAsia"/>
                <w:sz w:val="24"/>
              </w:rPr>
            </w:pPr>
            <w:r w:rsidRPr="004C6E88">
              <w:rPr>
                <w:rFonts w:eastAsiaTheme="minorEastAsia"/>
                <w:sz w:val="24"/>
              </w:rPr>
              <w:t>150256</w:t>
            </w:r>
          </w:p>
        </w:tc>
      </w:tr>
      <w:tr w:rsidR="003A768B" w:rsidRPr="00272E0C" w:rsidTr="00EB3E72">
        <w:tc>
          <w:tcPr>
            <w:tcW w:w="2835" w:type="dxa"/>
          </w:tcPr>
          <w:p w:rsidR="003A768B" w:rsidRPr="004C6E88" w:rsidRDefault="003A768B" w:rsidP="004C6E88">
            <w:pPr>
              <w:adjustRightInd w:val="0"/>
              <w:spacing w:before="29" w:line="360" w:lineRule="auto"/>
              <w:ind w:left="17"/>
              <w:jc w:val="left"/>
              <w:rPr>
                <w:rFonts w:eastAsiaTheme="minorEastAsia"/>
                <w:color w:val="000000"/>
                <w:sz w:val="24"/>
              </w:rPr>
            </w:pPr>
            <w:r w:rsidRPr="004C6E88">
              <w:rPr>
                <w:rFonts w:eastAsiaTheme="minorEastAsia"/>
                <w:color w:val="000000"/>
                <w:sz w:val="24"/>
              </w:rPr>
              <w:t>报告期末下属</w:t>
            </w:r>
            <w:r w:rsidR="004C6E88" w:rsidRPr="004C6E88">
              <w:rPr>
                <w:rFonts w:eastAsiaTheme="minorEastAsia"/>
                <w:color w:val="000000"/>
                <w:sz w:val="24"/>
              </w:rPr>
              <w:t>分</w:t>
            </w:r>
            <w:r w:rsidRPr="004C6E88">
              <w:rPr>
                <w:rFonts w:eastAsiaTheme="minorEastAsia"/>
                <w:color w:val="000000"/>
                <w:sz w:val="24"/>
              </w:rPr>
              <w:t>级基金的份额总额</w:t>
            </w:r>
          </w:p>
        </w:tc>
        <w:tc>
          <w:tcPr>
            <w:tcW w:w="1826" w:type="dxa"/>
            <w:vAlign w:val="center"/>
          </w:tcPr>
          <w:p w:rsidR="003A768B" w:rsidRPr="004C6E88" w:rsidRDefault="003A768B" w:rsidP="00057DD3">
            <w:pPr>
              <w:jc w:val="left"/>
              <w:rPr>
                <w:rFonts w:eastAsiaTheme="minorEastAsia"/>
                <w:sz w:val="24"/>
              </w:rPr>
            </w:pPr>
            <w:r w:rsidRPr="004C6E88">
              <w:rPr>
                <w:rFonts w:eastAsiaTheme="minorEastAsia"/>
                <w:sz w:val="24"/>
              </w:rPr>
              <w:t>145,939,589.79</w:t>
            </w:r>
            <w:r w:rsidRPr="004C6E88">
              <w:rPr>
                <w:rFonts w:eastAsiaTheme="minorEastAsia"/>
                <w:color w:val="000000"/>
                <w:kern w:val="0"/>
                <w:sz w:val="24"/>
              </w:rPr>
              <w:t>份</w:t>
            </w:r>
          </w:p>
        </w:tc>
        <w:tc>
          <w:tcPr>
            <w:tcW w:w="1826" w:type="dxa"/>
            <w:vAlign w:val="center"/>
          </w:tcPr>
          <w:p w:rsidR="003A768B" w:rsidRPr="004C6E88" w:rsidRDefault="003A768B" w:rsidP="00057DD3">
            <w:pPr>
              <w:jc w:val="left"/>
              <w:rPr>
                <w:rFonts w:eastAsiaTheme="minorEastAsia"/>
                <w:sz w:val="24"/>
              </w:rPr>
            </w:pPr>
            <w:r w:rsidRPr="004C6E88">
              <w:rPr>
                <w:rFonts w:eastAsiaTheme="minorEastAsia"/>
                <w:sz w:val="24"/>
              </w:rPr>
              <w:t>48,085,382.00</w:t>
            </w:r>
            <w:r w:rsidRPr="004C6E88">
              <w:rPr>
                <w:rFonts w:eastAsiaTheme="minorEastAsia"/>
                <w:color w:val="000000"/>
                <w:kern w:val="0"/>
                <w:sz w:val="24"/>
              </w:rPr>
              <w:t>份</w:t>
            </w:r>
          </w:p>
        </w:tc>
        <w:tc>
          <w:tcPr>
            <w:tcW w:w="1827" w:type="dxa"/>
            <w:vAlign w:val="center"/>
          </w:tcPr>
          <w:p w:rsidR="003A768B" w:rsidRPr="004C6E88" w:rsidRDefault="003A768B" w:rsidP="00057DD3">
            <w:pPr>
              <w:jc w:val="left"/>
              <w:rPr>
                <w:rFonts w:eastAsiaTheme="minorEastAsia"/>
                <w:sz w:val="24"/>
              </w:rPr>
            </w:pPr>
            <w:r w:rsidRPr="004C6E88">
              <w:rPr>
                <w:rFonts w:eastAsiaTheme="minorEastAsia"/>
                <w:sz w:val="24"/>
              </w:rPr>
              <w:t>48,085,382.00</w:t>
            </w:r>
            <w:r w:rsidRPr="004C6E88">
              <w:rPr>
                <w:rFonts w:eastAsiaTheme="minorEastAsia"/>
                <w:color w:val="000000"/>
                <w:kern w:val="0"/>
                <w:sz w:val="24"/>
              </w:rPr>
              <w:t>份</w:t>
            </w:r>
          </w:p>
        </w:tc>
      </w:tr>
      <w:tr w:rsidR="003A768B" w:rsidRPr="00272E0C" w:rsidTr="00EB3E72">
        <w:tc>
          <w:tcPr>
            <w:tcW w:w="2835" w:type="dxa"/>
          </w:tcPr>
          <w:p w:rsidR="003A768B" w:rsidRPr="004C6E88" w:rsidRDefault="003A768B" w:rsidP="004C6E88">
            <w:pPr>
              <w:adjustRightInd w:val="0"/>
              <w:spacing w:before="29" w:line="360" w:lineRule="auto"/>
              <w:ind w:left="17"/>
              <w:jc w:val="left"/>
              <w:rPr>
                <w:rFonts w:eastAsiaTheme="minorEastAsia"/>
                <w:sz w:val="24"/>
              </w:rPr>
            </w:pPr>
            <w:r w:rsidRPr="004C6E88">
              <w:rPr>
                <w:rFonts w:eastAsiaTheme="minorEastAsia"/>
                <w:color w:val="000000"/>
                <w:kern w:val="0"/>
                <w:sz w:val="24"/>
              </w:rPr>
              <w:t>下属</w:t>
            </w:r>
            <w:r w:rsidR="004C6E88" w:rsidRPr="004C6E88">
              <w:rPr>
                <w:rFonts w:eastAsiaTheme="minorEastAsia"/>
                <w:color w:val="000000"/>
                <w:kern w:val="0"/>
                <w:sz w:val="24"/>
              </w:rPr>
              <w:t>分</w:t>
            </w:r>
            <w:r w:rsidRPr="004C6E88">
              <w:rPr>
                <w:rFonts w:eastAsiaTheme="minorEastAsia"/>
                <w:color w:val="000000"/>
                <w:kern w:val="0"/>
                <w:sz w:val="24"/>
              </w:rPr>
              <w:t>级基金的</w:t>
            </w:r>
            <w:r w:rsidRPr="004C6E88">
              <w:rPr>
                <w:rFonts w:eastAsiaTheme="minorEastAsia"/>
                <w:kern w:val="0"/>
                <w:sz w:val="24"/>
              </w:rPr>
              <w:t>风险收益特征</w:t>
            </w:r>
          </w:p>
        </w:tc>
        <w:tc>
          <w:tcPr>
            <w:tcW w:w="1826" w:type="dxa"/>
          </w:tcPr>
          <w:p w:rsidR="003A768B" w:rsidRPr="004C6E88" w:rsidRDefault="003A768B" w:rsidP="00A008D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基础份额为股票型基金，其风险收益水平高于混合型基金、债券型基金和货币市场基金。</w:t>
            </w:r>
          </w:p>
        </w:tc>
        <w:tc>
          <w:tcPr>
            <w:tcW w:w="1826" w:type="dxa"/>
          </w:tcPr>
          <w:p w:rsidR="003A768B" w:rsidRPr="004C6E88" w:rsidRDefault="003A768B" w:rsidP="00A008D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与基础份额相比，</w:t>
            </w:r>
            <w:r w:rsidRPr="004C6E88">
              <w:rPr>
                <w:rFonts w:eastAsiaTheme="minorEastAsia"/>
                <w:color w:val="000000"/>
                <w:kern w:val="0"/>
                <w:sz w:val="24"/>
              </w:rPr>
              <w:t>A</w:t>
            </w:r>
            <w:r w:rsidRPr="004C6E88">
              <w:rPr>
                <w:rFonts w:eastAsiaTheme="minorEastAsia"/>
                <w:color w:val="000000"/>
                <w:kern w:val="0"/>
                <w:sz w:val="24"/>
              </w:rPr>
              <w:t>类份额的预期收益和预期风险低于基础份额。</w:t>
            </w:r>
          </w:p>
        </w:tc>
        <w:tc>
          <w:tcPr>
            <w:tcW w:w="1827" w:type="dxa"/>
          </w:tcPr>
          <w:p w:rsidR="003A768B" w:rsidRPr="004C6E88" w:rsidRDefault="003A768B" w:rsidP="00A008D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与基础份额相比，</w:t>
            </w:r>
            <w:r w:rsidRPr="004C6E88">
              <w:rPr>
                <w:rFonts w:eastAsiaTheme="minorEastAsia"/>
                <w:color w:val="000000"/>
                <w:kern w:val="0"/>
                <w:sz w:val="24"/>
              </w:rPr>
              <w:t>B</w:t>
            </w:r>
            <w:r w:rsidRPr="004C6E88">
              <w:rPr>
                <w:rFonts w:eastAsiaTheme="minorEastAsia"/>
                <w:color w:val="000000"/>
                <w:kern w:val="0"/>
                <w:sz w:val="24"/>
              </w:rPr>
              <w:t>类份额的预期收益和预期风险高于基础份额。</w:t>
            </w:r>
          </w:p>
        </w:tc>
      </w:tr>
    </w:tbl>
    <w:p w:rsidR="001C36D8" w:rsidRPr="00272E0C" w:rsidRDefault="001C36D8" w:rsidP="005C6DF3">
      <w:pPr>
        <w:pStyle w:val="1"/>
        <w:spacing w:beforeLines="100" w:before="312" w:afterLines="100" w:after="312" w:line="360" w:lineRule="auto"/>
        <w:jc w:val="center"/>
        <w:rPr>
          <w:rFonts w:ascii="宋体" w:cs="Arial"/>
          <w:color w:val="000000"/>
          <w:kern w:val="0"/>
          <w:sz w:val="24"/>
          <w:szCs w:val="24"/>
        </w:rPr>
      </w:pPr>
      <w:r w:rsidRPr="00272E0C">
        <w:rPr>
          <w:rFonts w:ascii="宋体" w:hAnsi="宋体" w:cs="Arial" w:hint="eastAsia"/>
          <w:color w:val="000000"/>
          <w:kern w:val="0"/>
          <w:sz w:val="24"/>
          <w:szCs w:val="24"/>
        </w:rPr>
        <w:t>§</w:t>
      </w:r>
      <w:r w:rsidRPr="00272E0C">
        <w:rPr>
          <w:rFonts w:ascii="宋体" w:hAnsi="宋体" w:cs="Arial"/>
          <w:color w:val="000000"/>
          <w:kern w:val="0"/>
          <w:sz w:val="24"/>
          <w:szCs w:val="24"/>
        </w:rPr>
        <w:t xml:space="preserve">3  </w:t>
      </w:r>
      <w:r w:rsidRPr="00272E0C">
        <w:rPr>
          <w:rFonts w:ascii="宋体" w:hAnsi="宋体" w:cs="Arial" w:hint="eastAsia"/>
          <w:color w:val="000000"/>
          <w:kern w:val="0"/>
          <w:sz w:val="24"/>
          <w:szCs w:val="24"/>
        </w:rPr>
        <w:t>主要财务指标和基金净值表现</w:t>
      </w:r>
    </w:p>
    <w:p w:rsidR="001C36D8" w:rsidRPr="00272E0C" w:rsidRDefault="001C36D8" w:rsidP="003A4DA3">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3.1 </w:t>
      </w:r>
      <w:r w:rsidRPr="00272E0C">
        <w:rPr>
          <w:rFonts w:ascii="宋体" w:hAnsi="宋体" w:cs="Arial" w:hint="eastAsia"/>
          <w:b/>
          <w:color w:val="000000"/>
          <w:kern w:val="0"/>
          <w:sz w:val="24"/>
        </w:rPr>
        <w:t>主要财务指标</w:t>
      </w:r>
    </w:p>
    <w:p w:rsidR="0008378B" w:rsidRPr="006506EF" w:rsidRDefault="0008378B" w:rsidP="0008378B">
      <w:pPr>
        <w:autoSpaceDE w:val="0"/>
        <w:autoSpaceDN w:val="0"/>
        <w:adjustRightInd w:val="0"/>
        <w:spacing w:before="29" w:line="360" w:lineRule="auto"/>
        <w:ind w:left="15"/>
        <w:jc w:val="right"/>
        <w:rPr>
          <w:color w:val="000000"/>
          <w:kern w:val="0"/>
          <w:sz w:val="24"/>
        </w:rPr>
      </w:pPr>
      <w:r w:rsidRPr="006506EF">
        <w:rPr>
          <w:color w:val="000000"/>
          <w:kern w:val="0"/>
          <w:sz w:val="24"/>
        </w:rPr>
        <w:lastRenderedPageBreak/>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08378B" w:rsidRPr="006506EF" w:rsidTr="005D3A22">
        <w:tc>
          <w:tcPr>
            <w:tcW w:w="3402" w:type="dxa"/>
            <w:vAlign w:val="center"/>
          </w:tcPr>
          <w:p w:rsidR="0008378B" w:rsidRPr="006506EF" w:rsidRDefault="0008378B" w:rsidP="005D3A22">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08378B" w:rsidRPr="006506EF" w:rsidRDefault="0008378B" w:rsidP="005D3A22">
            <w:pPr>
              <w:adjustRightInd w:val="0"/>
              <w:spacing w:before="29" w:line="360" w:lineRule="auto"/>
              <w:ind w:left="17"/>
              <w:jc w:val="center"/>
              <w:rPr>
                <w:color w:val="000000"/>
                <w:sz w:val="24"/>
              </w:rPr>
            </w:pPr>
            <w:r w:rsidRPr="006506EF">
              <w:rPr>
                <w:color w:val="000000"/>
                <w:sz w:val="24"/>
              </w:rPr>
              <w:t>报告期</w:t>
            </w:r>
          </w:p>
          <w:p w:rsidR="0008378B" w:rsidRPr="006506EF" w:rsidRDefault="0008378B" w:rsidP="005D3A22">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08378B" w:rsidRPr="006506EF" w:rsidRDefault="0008378B" w:rsidP="005D3A22">
            <w:pPr>
              <w:adjustRightInd w:val="0"/>
              <w:spacing w:before="29" w:line="360" w:lineRule="auto"/>
              <w:ind w:left="17"/>
              <w:jc w:val="center"/>
              <w:rPr>
                <w:color w:val="000000"/>
                <w:sz w:val="24"/>
              </w:rPr>
            </w:pPr>
            <w:r w:rsidRPr="006506EF">
              <w:rPr>
                <w:color w:val="000000"/>
                <w:sz w:val="24"/>
              </w:rPr>
              <w:t>上期金额</w:t>
            </w:r>
          </w:p>
        </w:tc>
      </w:tr>
      <w:tr w:rsidR="0008378B" w:rsidRPr="006506EF" w:rsidTr="005D3A22">
        <w:tc>
          <w:tcPr>
            <w:tcW w:w="3402" w:type="dxa"/>
          </w:tcPr>
          <w:p w:rsidR="0008378B" w:rsidRPr="006506EF" w:rsidRDefault="0008378B" w:rsidP="005D3A22">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6,826,782.59</w:t>
            </w:r>
          </w:p>
        </w:tc>
        <w:tc>
          <w:tcPr>
            <w:tcW w:w="2410" w:type="dxa"/>
            <w:hMerge/>
            <w:vAlign w:val="bottom"/>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w:t>
            </w:r>
          </w:p>
        </w:tc>
      </w:tr>
      <w:tr w:rsidR="0008378B" w:rsidRPr="006506EF" w:rsidTr="005D3A22">
        <w:tc>
          <w:tcPr>
            <w:tcW w:w="3402" w:type="dxa"/>
          </w:tcPr>
          <w:p w:rsidR="0008378B" w:rsidRPr="006506EF" w:rsidRDefault="0008378B" w:rsidP="005D3A22">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252,957.67</w:t>
            </w:r>
          </w:p>
        </w:tc>
        <w:tc>
          <w:tcPr>
            <w:tcW w:w="2410" w:type="dxa"/>
            <w:hMerge/>
            <w:vAlign w:val="bottom"/>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w:t>
            </w:r>
          </w:p>
        </w:tc>
      </w:tr>
      <w:tr w:rsidR="0008378B" w:rsidRPr="006506EF" w:rsidTr="005D3A22">
        <w:tc>
          <w:tcPr>
            <w:tcW w:w="3402" w:type="dxa"/>
          </w:tcPr>
          <w:p w:rsidR="0008378B" w:rsidRPr="006506EF" w:rsidRDefault="0008378B" w:rsidP="005D3A22">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0.0010</w:t>
            </w:r>
          </w:p>
        </w:tc>
        <w:tc>
          <w:tcPr>
            <w:tcW w:w="2410" w:type="dxa"/>
            <w:hMerge/>
            <w:vAlign w:val="bottom"/>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w:t>
            </w:r>
          </w:p>
        </w:tc>
      </w:tr>
      <w:tr w:rsidR="0008378B" w:rsidRPr="006506EF" w:rsidTr="005D3A22">
        <w:tc>
          <w:tcPr>
            <w:tcW w:w="3402" w:type="dxa"/>
          </w:tcPr>
          <w:p w:rsidR="0008378B" w:rsidRPr="006506EF" w:rsidRDefault="0008378B" w:rsidP="005D3A22">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235,435,941.38</w:t>
            </w:r>
          </w:p>
        </w:tc>
        <w:tc>
          <w:tcPr>
            <w:tcW w:w="2410" w:type="dxa"/>
            <w:hMerge/>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w:t>
            </w:r>
          </w:p>
        </w:tc>
      </w:tr>
      <w:tr w:rsidR="0008378B" w:rsidRPr="006506EF" w:rsidTr="005D3A22">
        <w:trPr>
          <w:trHeight w:val="158"/>
        </w:trPr>
        <w:tc>
          <w:tcPr>
            <w:tcW w:w="3402" w:type="dxa"/>
          </w:tcPr>
          <w:p w:rsidR="0008378B" w:rsidRPr="006506EF" w:rsidRDefault="0008378B" w:rsidP="005D3A22">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0.9724</w:t>
            </w:r>
          </w:p>
        </w:tc>
        <w:tc>
          <w:tcPr>
            <w:tcW w:w="2410" w:type="dxa"/>
            <w:hMerge/>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w:t>
            </w:r>
          </w:p>
        </w:tc>
      </w:tr>
    </w:tbl>
    <w:p w:rsidR="00131020" w:rsidRDefault="00D70B49">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1C36D8" w:rsidRPr="00E43B0B" w:rsidRDefault="0008378B" w:rsidP="00E43B0B">
      <w:pPr>
        <w:spacing w:line="360" w:lineRule="auto"/>
        <w:ind w:firstLineChars="200" w:firstLine="480"/>
        <w:rPr>
          <w:color w:val="000000"/>
          <w:sz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1C36D8" w:rsidRPr="00272E0C" w:rsidRDefault="001C36D8" w:rsidP="003A4DA3">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3.2 </w:t>
      </w:r>
      <w:r w:rsidRPr="00272E0C">
        <w:rPr>
          <w:rFonts w:ascii="宋体" w:hAnsi="宋体" w:cs="Arial" w:hint="eastAsia"/>
          <w:b/>
          <w:color w:val="000000"/>
          <w:kern w:val="0"/>
          <w:sz w:val="24"/>
        </w:rPr>
        <w:t>基金净值表现</w:t>
      </w:r>
    </w:p>
    <w:p w:rsidR="001C36D8" w:rsidRPr="00272E0C" w:rsidRDefault="001C36D8" w:rsidP="003A4DA3">
      <w:pPr>
        <w:autoSpaceDE w:val="0"/>
        <w:autoSpaceDN w:val="0"/>
        <w:adjustRightInd w:val="0"/>
        <w:spacing w:line="360" w:lineRule="auto"/>
        <w:jc w:val="left"/>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272E0C">
          <w:rPr>
            <w:rFonts w:ascii="宋体" w:hAnsi="宋体" w:cs="Arial"/>
            <w:b/>
            <w:color w:val="000000"/>
            <w:kern w:val="0"/>
            <w:sz w:val="24"/>
          </w:rPr>
          <w:t>3.2.1</w:t>
        </w:r>
      </w:smartTag>
      <w:r w:rsidRPr="00272E0C">
        <w:rPr>
          <w:rFonts w:ascii="宋体" w:hAnsi="宋体" w:cs="Arial" w:hint="eastAsia"/>
          <w:b/>
          <w:color w:val="000000"/>
          <w:kern w:val="0"/>
          <w:sz w:val="24"/>
        </w:rPr>
        <w:t>本报告期基金份额净值增长率及其与同期业绩比较基准收益率的比较</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15"/>
        <w:gridCol w:w="1216"/>
        <w:gridCol w:w="1216"/>
        <w:gridCol w:w="1216"/>
        <w:gridCol w:w="1216"/>
        <w:gridCol w:w="1217"/>
        <w:gridCol w:w="1217"/>
      </w:tblGrid>
      <w:tr w:rsidR="001C36D8" w:rsidRPr="00272E0C" w:rsidTr="001A09F9">
        <w:tc>
          <w:tcPr>
            <w:tcW w:w="1215" w:type="dxa"/>
            <w:vAlign w:val="center"/>
          </w:tcPr>
          <w:p w:rsidR="001C36D8" w:rsidRPr="00E43B0B" w:rsidRDefault="001C36D8" w:rsidP="001A09F9">
            <w:pPr>
              <w:snapToGrid w:val="0"/>
              <w:spacing w:line="288" w:lineRule="auto"/>
              <w:jc w:val="center"/>
              <w:rPr>
                <w:color w:val="000000"/>
                <w:sz w:val="24"/>
              </w:rPr>
            </w:pPr>
            <w:r w:rsidRPr="00E43B0B">
              <w:rPr>
                <w:color w:val="000000"/>
                <w:sz w:val="24"/>
              </w:rPr>
              <w:t>阶段</w:t>
            </w:r>
          </w:p>
        </w:tc>
        <w:tc>
          <w:tcPr>
            <w:tcW w:w="1216" w:type="dxa"/>
            <w:vAlign w:val="center"/>
          </w:tcPr>
          <w:p w:rsidR="001C36D8" w:rsidRPr="00E43B0B" w:rsidRDefault="001C36D8" w:rsidP="001A09F9">
            <w:pPr>
              <w:snapToGrid w:val="0"/>
              <w:spacing w:line="288" w:lineRule="auto"/>
              <w:jc w:val="center"/>
              <w:rPr>
                <w:color w:val="000000"/>
                <w:sz w:val="24"/>
                <w:highlight w:val="green"/>
              </w:rPr>
            </w:pPr>
            <w:r w:rsidRPr="00E43B0B">
              <w:rPr>
                <w:color w:val="000000"/>
                <w:sz w:val="24"/>
              </w:rPr>
              <w:t>净值增长率</w:t>
            </w:r>
            <w:r w:rsidRPr="00E43B0B">
              <w:rPr>
                <w:rFonts w:ascii="宋体" w:hAnsi="宋体" w:cs="宋体" w:hint="eastAsia"/>
                <w:color w:val="000000"/>
                <w:sz w:val="24"/>
              </w:rPr>
              <w:t>①</w:t>
            </w:r>
          </w:p>
        </w:tc>
        <w:tc>
          <w:tcPr>
            <w:tcW w:w="1216" w:type="dxa"/>
            <w:vAlign w:val="center"/>
          </w:tcPr>
          <w:p w:rsidR="001C36D8" w:rsidRPr="00E43B0B" w:rsidRDefault="001C36D8" w:rsidP="001A09F9">
            <w:pPr>
              <w:snapToGrid w:val="0"/>
              <w:spacing w:line="288" w:lineRule="auto"/>
              <w:jc w:val="center"/>
              <w:rPr>
                <w:color w:val="000000"/>
                <w:sz w:val="24"/>
                <w:highlight w:val="green"/>
              </w:rPr>
            </w:pPr>
            <w:r w:rsidRPr="00E43B0B">
              <w:rPr>
                <w:color w:val="000000"/>
                <w:sz w:val="24"/>
              </w:rPr>
              <w:t>净值增长率标准差</w:t>
            </w:r>
            <w:r w:rsidRPr="00E43B0B">
              <w:rPr>
                <w:rFonts w:ascii="宋体" w:hAnsi="宋体" w:cs="宋体" w:hint="eastAsia"/>
                <w:color w:val="000000"/>
                <w:sz w:val="24"/>
              </w:rPr>
              <w:t>②</w:t>
            </w:r>
          </w:p>
        </w:tc>
        <w:tc>
          <w:tcPr>
            <w:tcW w:w="1216" w:type="dxa"/>
            <w:vAlign w:val="center"/>
          </w:tcPr>
          <w:p w:rsidR="001C36D8" w:rsidRPr="00E43B0B" w:rsidRDefault="001C36D8" w:rsidP="001A09F9">
            <w:pPr>
              <w:snapToGrid w:val="0"/>
              <w:spacing w:line="288" w:lineRule="auto"/>
              <w:jc w:val="center"/>
              <w:rPr>
                <w:color w:val="000000"/>
                <w:sz w:val="24"/>
              </w:rPr>
            </w:pPr>
            <w:r w:rsidRPr="00E43B0B">
              <w:rPr>
                <w:color w:val="000000"/>
                <w:sz w:val="24"/>
              </w:rPr>
              <w:t>业绩比较基准收益率</w:t>
            </w:r>
            <w:r w:rsidRPr="00E43B0B">
              <w:rPr>
                <w:rFonts w:ascii="宋体" w:hAnsi="宋体" w:cs="宋体" w:hint="eastAsia"/>
                <w:color w:val="000000"/>
                <w:sz w:val="24"/>
              </w:rPr>
              <w:t>③</w:t>
            </w:r>
          </w:p>
        </w:tc>
        <w:tc>
          <w:tcPr>
            <w:tcW w:w="1216" w:type="dxa"/>
            <w:vAlign w:val="center"/>
          </w:tcPr>
          <w:p w:rsidR="001C36D8" w:rsidRPr="00E43B0B" w:rsidRDefault="001C36D8" w:rsidP="001A09F9">
            <w:pPr>
              <w:snapToGrid w:val="0"/>
              <w:spacing w:line="288" w:lineRule="auto"/>
              <w:jc w:val="center"/>
              <w:rPr>
                <w:color w:val="000000"/>
                <w:sz w:val="24"/>
              </w:rPr>
            </w:pPr>
            <w:r w:rsidRPr="00E43B0B">
              <w:rPr>
                <w:color w:val="000000"/>
                <w:sz w:val="24"/>
              </w:rPr>
              <w:t>业绩比较基准收益率标准差</w:t>
            </w:r>
            <w:r w:rsidRPr="00E43B0B">
              <w:rPr>
                <w:rFonts w:ascii="宋体" w:hAnsi="宋体" w:cs="宋体" w:hint="eastAsia"/>
                <w:color w:val="000000"/>
                <w:sz w:val="24"/>
              </w:rPr>
              <w:t>④</w:t>
            </w:r>
          </w:p>
        </w:tc>
        <w:tc>
          <w:tcPr>
            <w:tcW w:w="1217" w:type="dxa"/>
            <w:vAlign w:val="center"/>
          </w:tcPr>
          <w:p w:rsidR="001C36D8" w:rsidRPr="00E43B0B" w:rsidRDefault="001C36D8" w:rsidP="001A09F9">
            <w:pPr>
              <w:snapToGrid w:val="0"/>
              <w:spacing w:line="288" w:lineRule="auto"/>
              <w:jc w:val="center"/>
              <w:rPr>
                <w:color w:val="000000"/>
                <w:sz w:val="24"/>
              </w:rPr>
            </w:pPr>
            <w:r w:rsidRPr="00E43B0B">
              <w:rPr>
                <w:rFonts w:ascii="宋体" w:hAnsi="宋体" w:cs="宋体" w:hint="eastAsia"/>
                <w:color w:val="000000"/>
                <w:sz w:val="24"/>
              </w:rPr>
              <w:t>①</w:t>
            </w:r>
            <w:r w:rsidRPr="00E43B0B">
              <w:rPr>
                <w:color w:val="000000"/>
                <w:sz w:val="24"/>
              </w:rPr>
              <w:t>－</w:t>
            </w:r>
            <w:r w:rsidRPr="00E43B0B">
              <w:rPr>
                <w:rFonts w:ascii="宋体" w:hAnsi="宋体" w:cs="宋体" w:hint="eastAsia"/>
                <w:color w:val="000000"/>
                <w:sz w:val="24"/>
              </w:rPr>
              <w:t>③</w:t>
            </w:r>
          </w:p>
        </w:tc>
        <w:tc>
          <w:tcPr>
            <w:tcW w:w="1217" w:type="dxa"/>
            <w:vAlign w:val="center"/>
          </w:tcPr>
          <w:p w:rsidR="001C36D8" w:rsidRPr="00E43B0B" w:rsidRDefault="001C36D8" w:rsidP="001A09F9">
            <w:pPr>
              <w:snapToGrid w:val="0"/>
              <w:spacing w:line="288" w:lineRule="auto"/>
              <w:jc w:val="center"/>
              <w:rPr>
                <w:color w:val="000000"/>
                <w:sz w:val="24"/>
              </w:rPr>
            </w:pPr>
            <w:r w:rsidRPr="00E43B0B">
              <w:rPr>
                <w:rFonts w:ascii="宋体" w:hAnsi="宋体" w:cs="宋体" w:hint="eastAsia"/>
                <w:color w:val="000000"/>
                <w:sz w:val="24"/>
              </w:rPr>
              <w:t>②</w:t>
            </w:r>
            <w:r w:rsidRPr="00E43B0B">
              <w:rPr>
                <w:color w:val="000000"/>
                <w:sz w:val="24"/>
              </w:rPr>
              <w:t>－</w:t>
            </w:r>
            <w:r w:rsidRPr="00E43B0B">
              <w:rPr>
                <w:rFonts w:ascii="宋体" w:hAnsi="宋体" w:cs="宋体" w:hint="eastAsia"/>
                <w:color w:val="000000"/>
                <w:sz w:val="24"/>
              </w:rPr>
              <w:t>④</w:t>
            </w:r>
          </w:p>
        </w:tc>
      </w:tr>
      <w:tr w:rsidR="00131020">
        <w:tc>
          <w:tcPr>
            <w:tcW w:w="1215" w:type="dxa"/>
            <w:vAlign w:val="center"/>
          </w:tcPr>
          <w:p w:rsidR="00131020" w:rsidRDefault="00D70B49">
            <w:pPr>
              <w:jc w:val="left"/>
            </w:pPr>
            <w:r>
              <w:rPr>
                <w:color w:val="000000"/>
                <w:sz w:val="24"/>
              </w:rPr>
              <w:t>过去三个月</w:t>
            </w:r>
          </w:p>
        </w:tc>
        <w:tc>
          <w:tcPr>
            <w:tcW w:w="1216" w:type="dxa"/>
            <w:vAlign w:val="center"/>
          </w:tcPr>
          <w:p w:rsidR="00131020" w:rsidRDefault="00D70B49">
            <w:pPr>
              <w:jc w:val="center"/>
            </w:pPr>
            <w:r>
              <w:rPr>
                <w:color w:val="000000"/>
                <w:sz w:val="24"/>
              </w:rPr>
              <w:t>0.07%</w:t>
            </w:r>
          </w:p>
        </w:tc>
        <w:tc>
          <w:tcPr>
            <w:tcW w:w="1216" w:type="dxa"/>
            <w:vAlign w:val="center"/>
          </w:tcPr>
          <w:p w:rsidR="00131020" w:rsidRDefault="00D70B49">
            <w:pPr>
              <w:jc w:val="center"/>
            </w:pPr>
            <w:r>
              <w:rPr>
                <w:color w:val="000000"/>
                <w:sz w:val="24"/>
              </w:rPr>
              <w:t>0.78%</w:t>
            </w:r>
          </w:p>
        </w:tc>
        <w:tc>
          <w:tcPr>
            <w:tcW w:w="1216" w:type="dxa"/>
            <w:vAlign w:val="center"/>
          </w:tcPr>
          <w:p w:rsidR="00131020" w:rsidRDefault="00D70B49">
            <w:pPr>
              <w:jc w:val="center"/>
            </w:pPr>
            <w:r>
              <w:rPr>
                <w:color w:val="000000"/>
                <w:sz w:val="24"/>
              </w:rPr>
              <w:t>-2.73%</w:t>
            </w:r>
          </w:p>
        </w:tc>
        <w:tc>
          <w:tcPr>
            <w:tcW w:w="1216" w:type="dxa"/>
            <w:vAlign w:val="center"/>
          </w:tcPr>
          <w:p w:rsidR="00131020" w:rsidRDefault="00D70B49">
            <w:pPr>
              <w:jc w:val="center"/>
            </w:pPr>
            <w:r>
              <w:rPr>
                <w:color w:val="000000"/>
                <w:sz w:val="24"/>
              </w:rPr>
              <w:t>0.77%</w:t>
            </w:r>
          </w:p>
        </w:tc>
        <w:tc>
          <w:tcPr>
            <w:tcW w:w="1217" w:type="dxa"/>
            <w:vAlign w:val="center"/>
          </w:tcPr>
          <w:p w:rsidR="00131020" w:rsidRDefault="00D70B49">
            <w:pPr>
              <w:jc w:val="center"/>
            </w:pPr>
            <w:r>
              <w:rPr>
                <w:color w:val="000000"/>
                <w:sz w:val="24"/>
              </w:rPr>
              <w:t>2.80%</w:t>
            </w:r>
          </w:p>
        </w:tc>
        <w:tc>
          <w:tcPr>
            <w:tcW w:w="1217" w:type="dxa"/>
            <w:vAlign w:val="center"/>
          </w:tcPr>
          <w:p w:rsidR="00131020" w:rsidRDefault="00D70B49">
            <w:pPr>
              <w:jc w:val="center"/>
            </w:pPr>
            <w:r>
              <w:rPr>
                <w:color w:val="000000"/>
                <w:sz w:val="24"/>
              </w:rPr>
              <w:t>0.01%</w:t>
            </w:r>
          </w:p>
        </w:tc>
      </w:tr>
    </w:tbl>
    <w:p w:rsidR="001C36D8" w:rsidRPr="00272E0C" w:rsidRDefault="001C36D8" w:rsidP="003A4DA3">
      <w:pPr>
        <w:spacing w:line="360" w:lineRule="auto"/>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272E0C">
          <w:rPr>
            <w:rFonts w:ascii="宋体" w:hAnsi="宋体" w:cs="Arial"/>
            <w:b/>
            <w:color w:val="000000"/>
            <w:kern w:val="0"/>
            <w:sz w:val="24"/>
          </w:rPr>
          <w:t>3.2.2</w:t>
        </w:r>
        <w:r w:rsidR="00193F07" w:rsidRPr="00370BEA">
          <w:rPr>
            <w:rStyle w:val="af8"/>
            <w:rFonts w:hint="eastAsia"/>
            <w:color w:val="000000"/>
            <w:sz w:val="24"/>
            <w:shd w:val="clear" w:color="auto" w:fill="FFFFFF"/>
          </w:rPr>
          <w:t>自基金合同生效以来</w:t>
        </w:r>
      </w:smartTag>
      <w:r w:rsidRPr="00272E0C">
        <w:rPr>
          <w:rFonts w:ascii="宋体" w:hAnsi="宋体" w:hint="eastAsia"/>
          <w:b/>
          <w:bCs/>
          <w:color w:val="000000"/>
          <w:sz w:val="24"/>
        </w:rPr>
        <w:t>基金累计净值增长率变动及其与同期业绩比较基准收益率变动的比较</w:t>
      </w:r>
    </w:p>
    <w:p w:rsidR="001C36D8" w:rsidRPr="00E43B0B" w:rsidRDefault="001C36D8" w:rsidP="003A4DA3">
      <w:pPr>
        <w:spacing w:line="360" w:lineRule="auto"/>
        <w:jc w:val="center"/>
        <w:rPr>
          <w:sz w:val="24"/>
        </w:rPr>
      </w:pPr>
      <w:r w:rsidRPr="00E43B0B">
        <w:rPr>
          <w:sz w:val="24"/>
        </w:rPr>
        <w:t>易方达银行指数分级证券投资基金</w:t>
      </w:r>
    </w:p>
    <w:p w:rsidR="001C36D8" w:rsidRPr="00E43B0B" w:rsidRDefault="006F4C30" w:rsidP="003A4DA3">
      <w:pPr>
        <w:pStyle w:val="a5"/>
        <w:snapToGrid w:val="0"/>
        <w:spacing w:line="360" w:lineRule="auto"/>
        <w:jc w:val="center"/>
        <w:rPr>
          <w:rFonts w:ascii="Times New Roman" w:hAnsi="Times New Roman"/>
          <w:color w:val="000000"/>
          <w:sz w:val="24"/>
          <w:szCs w:val="24"/>
        </w:rPr>
      </w:pPr>
      <w:r w:rsidRPr="00E43B0B">
        <w:rPr>
          <w:rFonts w:ascii="Times New Roman" w:hAnsi="Times New Roman"/>
          <w:color w:val="000000"/>
          <w:sz w:val="24"/>
          <w:szCs w:val="24"/>
        </w:rPr>
        <w:t>累计</w:t>
      </w:r>
      <w:r w:rsidR="001C36D8" w:rsidRPr="00E43B0B">
        <w:rPr>
          <w:rFonts w:ascii="Times New Roman" w:hAnsi="Times New Roman"/>
          <w:color w:val="000000"/>
          <w:sz w:val="24"/>
          <w:szCs w:val="24"/>
        </w:rPr>
        <w:t>净值增长率与业绩比较基准收益率历史走势对比图</w:t>
      </w:r>
    </w:p>
    <w:p w:rsidR="001C36D8" w:rsidRPr="00E43B0B" w:rsidRDefault="001C36D8" w:rsidP="003A4DA3">
      <w:pPr>
        <w:spacing w:line="360" w:lineRule="auto"/>
        <w:jc w:val="center"/>
        <w:rPr>
          <w:sz w:val="24"/>
        </w:rPr>
      </w:pPr>
      <w:r w:rsidRPr="00E43B0B">
        <w:rPr>
          <w:color w:val="000000"/>
          <w:kern w:val="0"/>
          <w:sz w:val="24"/>
        </w:rPr>
        <w:t>（</w:t>
      </w:r>
      <w:r w:rsidRPr="00E43B0B">
        <w:rPr>
          <w:color w:val="000000"/>
          <w:kern w:val="0"/>
          <w:sz w:val="24"/>
        </w:rPr>
        <w:t>2015</w:t>
      </w:r>
      <w:r w:rsidRPr="00E43B0B">
        <w:rPr>
          <w:color w:val="000000"/>
          <w:kern w:val="0"/>
          <w:sz w:val="24"/>
        </w:rPr>
        <w:t>年</w:t>
      </w:r>
      <w:r w:rsidRPr="00E43B0B">
        <w:rPr>
          <w:color w:val="000000"/>
          <w:kern w:val="0"/>
          <w:sz w:val="24"/>
        </w:rPr>
        <w:t>6</w:t>
      </w:r>
      <w:r w:rsidRPr="00E43B0B">
        <w:rPr>
          <w:color w:val="000000"/>
          <w:kern w:val="0"/>
          <w:sz w:val="24"/>
        </w:rPr>
        <w:t>月</w:t>
      </w:r>
      <w:r w:rsidRPr="00E43B0B">
        <w:rPr>
          <w:color w:val="000000"/>
          <w:kern w:val="0"/>
          <w:sz w:val="24"/>
        </w:rPr>
        <w:t>3</w:t>
      </w:r>
      <w:r w:rsidRPr="00E43B0B">
        <w:rPr>
          <w:color w:val="000000"/>
          <w:kern w:val="0"/>
          <w:sz w:val="24"/>
        </w:rPr>
        <w:t>日至</w:t>
      </w:r>
      <w:r w:rsidRPr="00E43B0B">
        <w:rPr>
          <w:color w:val="000000"/>
          <w:kern w:val="0"/>
          <w:sz w:val="24"/>
        </w:rPr>
        <w:t>2019</w:t>
      </w:r>
      <w:r w:rsidRPr="00E43B0B">
        <w:rPr>
          <w:color w:val="000000"/>
          <w:kern w:val="0"/>
          <w:sz w:val="24"/>
        </w:rPr>
        <w:t>年</w:t>
      </w:r>
      <w:r w:rsidRPr="00E43B0B">
        <w:rPr>
          <w:color w:val="000000"/>
          <w:kern w:val="0"/>
          <w:sz w:val="24"/>
        </w:rPr>
        <w:t>9</w:t>
      </w:r>
      <w:r w:rsidRPr="00E43B0B">
        <w:rPr>
          <w:color w:val="000000"/>
          <w:kern w:val="0"/>
          <w:sz w:val="24"/>
        </w:rPr>
        <w:t>月</w:t>
      </w:r>
      <w:r w:rsidRPr="00E43B0B">
        <w:rPr>
          <w:color w:val="000000"/>
          <w:kern w:val="0"/>
          <w:sz w:val="24"/>
        </w:rPr>
        <w:t>30</w:t>
      </w:r>
      <w:r w:rsidRPr="00E43B0B">
        <w:rPr>
          <w:color w:val="000000"/>
          <w:kern w:val="0"/>
          <w:sz w:val="24"/>
        </w:rPr>
        <w:t>日）</w:t>
      </w:r>
    </w:p>
    <w:p w:rsidR="001C36D8" w:rsidRPr="00272E0C" w:rsidRDefault="00D70B49" w:rsidP="0042253F">
      <w:pPr>
        <w:tabs>
          <w:tab w:val="left" w:pos="1800"/>
        </w:tabs>
        <w:spacing w:line="360" w:lineRule="auto"/>
        <w:jc w:val="center"/>
        <w:rPr>
          <w:rFonts w:ascii="宋体"/>
          <w:color w:val="000000"/>
          <w:sz w:val="24"/>
        </w:rPr>
      </w:pPr>
      <w:r>
        <w:rPr>
          <w:rFonts w:ascii="宋体"/>
          <w:noProof/>
          <w:color w:val="000000"/>
          <w:sz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1.75pt;height:241.5pt;visibility:visible">
            <v:imagedata r:id="rId9" o:title=""/>
          </v:shape>
        </w:pict>
      </w:r>
    </w:p>
    <w:p w:rsidR="001C36D8" w:rsidRPr="00E43B0B" w:rsidRDefault="001C36D8" w:rsidP="00E43B0B">
      <w:pPr>
        <w:spacing w:line="360" w:lineRule="auto"/>
        <w:ind w:firstLineChars="200" w:firstLine="480"/>
        <w:rPr>
          <w:color w:val="000000"/>
          <w:sz w:val="24"/>
        </w:rPr>
      </w:pPr>
      <w:r w:rsidRPr="003D22BD">
        <w:rPr>
          <w:color w:val="000000"/>
          <w:sz w:val="24"/>
        </w:rPr>
        <w:t>注：自基金合同生效至报告期末，基金份额净值增长率为</w:t>
      </w:r>
      <w:r w:rsidRPr="003D22BD">
        <w:rPr>
          <w:color w:val="000000"/>
          <w:sz w:val="24"/>
        </w:rPr>
        <w:t>8.34%</w:t>
      </w:r>
      <w:r w:rsidRPr="003D22BD">
        <w:rPr>
          <w:color w:val="000000"/>
          <w:sz w:val="24"/>
        </w:rPr>
        <w:t>，同期业绩比较基准收益率为</w:t>
      </w:r>
      <w:r w:rsidRPr="003D22BD">
        <w:rPr>
          <w:color w:val="000000"/>
          <w:sz w:val="24"/>
        </w:rPr>
        <w:t>-2.50%</w:t>
      </w:r>
      <w:r w:rsidRPr="003D22BD">
        <w:rPr>
          <w:color w:val="000000"/>
          <w:sz w:val="24"/>
        </w:rPr>
        <w:t>。</w:t>
      </w:r>
    </w:p>
    <w:p w:rsidR="001C36D8" w:rsidRPr="00E43B0B" w:rsidRDefault="001C36D8" w:rsidP="00D3705B">
      <w:pPr>
        <w:tabs>
          <w:tab w:val="left" w:pos="1800"/>
        </w:tabs>
        <w:spacing w:line="288" w:lineRule="auto"/>
        <w:rPr>
          <w:color w:val="000000"/>
          <w:sz w:val="24"/>
        </w:rPr>
      </w:pPr>
    </w:p>
    <w:p w:rsidR="001C36D8" w:rsidRPr="00272E0C" w:rsidRDefault="001C36D8" w:rsidP="005C6DF3">
      <w:pPr>
        <w:pStyle w:val="1"/>
        <w:spacing w:beforeLines="100" w:before="312" w:afterLines="100" w:after="312" w:line="360" w:lineRule="auto"/>
        <w:jc w:val="center"/>
        <w:rPr>
          <w:rFonts w:ascii="宋体" w:cs="Arial"/>
          <w:color w:val="000000"/>
          <w:kern w:val="0"/>
          <w:sz w:val="24"/>
          <w:szCs w:val="24"/>
        </w:rPr>
      </w:pPr>
      <w:r w:rsidRPr="00272E0C">
        <w:rPr>
          <w:rFonts w:ascii="宋体" w:hAnsi="宋体" w:cs="Arial" w:hint="eastAsia"/>
          <w:color w:val="000000"/>
          <w:kern w:val="0"/>
          <w:sz w:val="24"/>
          <w:szCs w:val="24"/>
        </w:rPr>
        <w:t>§</w:t>
      </w:r>
      <w:r w:rsidRPr="00272E0C">
        <w:rPr>
          <w:rFonts w:ascii="宋体" w:hAnsi="宋体" w:cs="Arial"/>
          <w:color w:val="000000"/>
          <w:kern w:val="0"/>
          <w:sz w:val="24"/>
          <w:szCs w:val="24"/>
        </w:rPr>
        <w:t xml:space="preserve">4  </w:t>
      </w:r>
      <w:r w:rsidRPr="00272E0C">
        <w:rPr>
          <w:rFonts w:ascii="宋体" w:hAnsi="宋体" w:cs="Arial" w:hint="eastAsia"/>
          <w:color w:val="000000"/>
          <w:kern w:val="0"/>
          <w:sz w:val="24"/>
          <w:szCs w:val="24"/>
        </w:rPr>
        <w:t>管理人报告</w:t>
      </w:r>
    </w:p>
    <w:p w:rsidR="005C6DF3" w:rsidRPr="0078105B" w:rsidRDefault="001C36D8" w:rsidP="005C6DF3">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4.1 </w:t>
      </w:r>
      <w:r w:rsidRPr="00272E0C">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5C6DF3" w:rsidRPr="0078105B" w:rsidTr="00B7074C">
        <w:trPr>
          <w:cantSplit/>
        </w:trPr>
        <w:tc>
          <w:tcPr>
            <w:tcW w:w="567" w:type="dxa"/>
            <w:vMerge w:val="restart"/>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5C6DF3" w:rsidRPr="0078105B" w:rsidTr="00B7074C">
        <w:trPr>
          <w:cantSplit/>
        </w:trPr>
        <w:tc>
          <w:tcPr>
            <w:tcW w:w="567" w:type="dxa"/>
            <w:vMerge/>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p>
        </w:tc>
        <w:tc>
          <w:tcPr>
            <w:tcW w:w="2835" w:type="dxa"/>
            <w:vMerge/>
          </w:tcPr>
          <w:p w:rsidR="005C6DF3" w:rsidRPr="00FA472B" w:rsidRDefault="005C6DF3" w:rsidP="00B7074C">
            <w:pPr>
              <w:autoSpaceDE w:val="0"/>
              <w:autoSpaceDN w:val="0"/>
              <w:adjustRightInd w:val="0"/>
              <w:spacing w:before="29" w:line="288" w:lineRule="auto"/>
              <w:ind w:left="15"/>
              <w:jc w:val="center"/>
              <w:rPr>
                <w:color w:val="000000"/>
                <w:kern w:val="0"/>
                <w:sz w:val="24"/>
              </w:rPr>
            </w:pPr>
          </w:p>
        </w:tc>
        <w:tc>
          <w:tcPr>
            <w:tcW w:w="851" w:type="dxa"/>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p>
        </w:tc>
        <w:tc>
          <w:tcPr>
            <w:tcW w:w="2977" w:type="dxa"/>
            <w:vMerge/>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p>
        </w:tc>
      </w:tr>
      <w:tr w:rsidR="00131020">
        <w:tc>
          <w:tcPr>
            <w:tcW w:w="567" w:type="dxa"/>
            <w:vAlign w:val="center"/>
          </w:tcPr>
          <w:p w:rsidR="00131020" w:rsidRDefault="00D70B49">
            <w:pPr>
              <w:jc w:val="center"/>
            </w:pPr>
            <w:r>
              <w:rPr>
                <w:color w:val="000000"/>
                <w:sz w:val="24"/>
              </w:rPr>
              <w:t>成曦</w:t>
            </w:r>
          </w:p>
        </w:tc>
        <w:tc>
          <w:tcPr>
            <w:tcW w:w="2835" w:type="dxa"/>
            <w:vAlign w:val="center"/>
          </w:tcPr>
          <w:p w:rsidR="00131020" w:rsidRDefault="00D70B49">
            <w:pPr>
              <w:jc w:val="center"/>
            </w:pPr>
            <w:r>
              <w:rPr>
                <w:color w:val="000000"/>
                <w:sz w:val="24"/>
              </w:rPr>
              <w:t>本基金的基金经理、易方达中小板指数证券投资基金</w:t>
            </w:r>
            <w:r>
              <w:rPr>
                <w:color w:val="000000"/>
                <w:sz w:val="24"/>
              </w:rPr>
              <w:t>(LOF)</w:t>
            </w:r>
            <w:r>
              <w:rPr>
                <w:color w:val="000000"/>
                <w:sz w:val="24"/>
              </w:rPr>
              <w:t>（原易方达中小板指数分级证券投资基金）的基金经理、易方达原油证券投资基金</w:t>
            </w:r>
            <w:r>
              <w:rPr>
                <w:color w:val="000000"/>
                <w:sz w:val="24"/>
              </w:rPr>
              <w:t>(QDII)</w:t>
            </w:r>
            <w:r>
              <w:rPr>
                <w:color w:val="000000"/>
                <w:sz w:val="24"/>
              </w:rPr>
              <w:t>的基金经理、易方达生物科技指数分级证券投资基金的基金经理、易方达深证成指交易型开放式指数证券投资基金联接基金的基金经理（自</w:t>
            </w:r>
            <w:r>
              <w:rPr>
                <w:color w:val="000000"/>
                <w:sz w:val="24"/>
              </w:rPr>
              <w:t>2017</w:t>
            </w:r>
            <w:r>
              <w:rPr>
                <w:color w:val="000000"/>
                <w:sz w:val="24"/>
              </w:rPr>
              <w:t>年</w:t>
            </w:r>
            <w:r>
              <w:rPr>
                <w:color w:val="000000"/>
                <w:sz w:val="24"/>
              </w:rPr>
              <w:t>05</w:t>
            </w:r>
            <w:r>
              <w:rPr>
                <w:color w:val="000000"/>
                <w:sz w:val="24"/>
              </w:rPr>
              <w:t>月</w:t>
            </w:r>
            <w:r>
              <w:rPr>
                <w:color w:val="000000"/>
                <w:sz w:val="24"/>
              </w:rPr>
              <w:t>04</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w:t>
            </w:r>
            <w:r>
              <w:rPr>
                <w:color w:val="000000"/>
                <w:sz w:val="24"/>
              </w:rPr>
              <w:lastRenderedPageBreak/>
              <w:t>易方达深证成指交易型开放式指数证券投资基金的基金经理（自</w:t>
            </w:r>
            <w:r>
              <w:rPr>
                <w:color w:val="000000"/>
                <w:sz w:val="24"/>
              </w:rPr>
              <w:t>2017</w:t>
            </w:r>
            <w:r>
              <w:rPr>
                <w:color w:val="000000"/>
                <w:sz w:val="24"/>
              </w:rPr>
              <w:t>年</w:t>
            </w:r>
            <w:r>
              <w:rPr>
                <w:color w:val="000000"/>
                <w:sz w:val="24"/>
              </w:rPr>
              <w:t>04</w:t>
            </w:r>
            <w:r>
              <w:rPr>
                <w:color w:val="000000"/>
                <w:sz w:val="24"/>
              </w:rPr>
              <w:t>月</w:t>
            </w:r>
            <w:r>
              <w:rPr>
                <w:color w:val="000000"/>
                <w:sz w:val="24"/>
              </w:rPr>
              <w:t>27</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w:t>
            </w:r>
            <w:r>
              <w:rPr>
                <w:color w:val="000000"/>
                <w:sz w:val="24"/>
              </w:rPr>
              <w:t>100</w:t>
            </w:r>
            <w:r>
              <w:rPr>
                <w:color w:val="000000"/>
                <w:sz w:val="24"/>
              </w:rPr>
              <w:t>交易型开放式指数证券投资基金联接基金的基金经理、易方达深证</w:t>
            </w:r>
            <w:r>
              <w:rPr>
                <w:color w:val="000000"/>
                <w:sz w:val="24"/>
              </w:rPr>
              <w:t>100</w:t>
            </w:r>
            <w:r>
              <w:rPr>
                <w:color w:val="000000"/>
                <w:sz w:val="24"/>
              </w:rPr>
              <w:t>交易型开放式指</w:t>
            </w:r>
            <w:r>
              <w:rPr>
                <w:color w:val="000000"/>
                <w:sz w:val="24"/>
              </w:rPr>
              <w:t>数基金的基金经理、易方达上证</w:t>
            </w:r>
            <w:r>
              <w:rPr>
                <w:color w:val="000000"/>
                <w:sz w:val="24"/>
              </w:rPr>
              <w:t>50</w:t>
            </w:r>
            <w:r>
              <w:rPr>
                <w:color w:val="000000"/>
                <w:sz w:val="24"/>
              </w:rPr>
              <w:t>交易型开放式指数证券投资基金发起式联接基金的基金经理、易方达上证</w:t>
            </w:r>
            <w:r>
              <w:rPr>
                <w:color w:val="000000"/>
                <w:sz w:val="24"/>
              </w:rPr>
              <w:t>50</w:t>
            </w:r>
            <w:r>
              <w:rPr>
                <w:color w:val="000000"/>
                <w:sz w:val="24"/>
              </w:rPr>
              <w:t>交易型开放式指数证券投资基金的基金经理、易方达纳斯达克</w:t>
            </w:r>
            <w:r>
              <w:rPr>
                <w:color w:val="000000"/>
                <w:sz w:val="24"/>
              </w:rPr>
              <w:t>100</w:t>
            </w:r>
            <w:r>
              <w:rPr>
                <w:color w:val="000000"/>
                <w:sz w:val="24"/>
              </w:rPr>
              <w:t>指数证券投资基金</w:t>
            </w:r>
            <w:r>
              <w:rPr>
                <w:color w:val="000000"/>
                <w:sz w:val="24"/>
              </w:rPr>
              <w:t>(LOF)</w:t>
            </w:r>
            <w:r>
              <w:rPr>
                <w:color w:val="000000"/>
                <w:sz w:val="24"/>
              </w:rPr>
              <w:t>的基金经理、易方达恒生中国企业交易型开放式指数证券投资基金联接基金的基金经理、易方达恒生中国企业交易型开放式指数证券投资基金的基金经理、易方达创业板交易型开放式指数证券投资基金联接基金的基金经理、易方达创业板交易型开放式指数证券投资基金的基金经理、易方达并购重组指数分级证券投资基金的基金经理、易方达</w:t>
            </w:r>
            <w:r>
              <w:rPr>
                <w:color w:val="000000"/>
                <w:sz w:val="24"/>
              </w:rPr>
              <w:t>MSCI</w:t>
            </w:r>
            <w:r>
              <w:rPr>
                <w:color w:val="000000"/>
                <w:sz w:val="24"/>
              </w:rPr>
              <w:t>中国</w:t>
            </w:r>
            <w:r>
              <w:rPr>
                <w:color w:val="000000"/>
                <w:sz w:val="24"/>
              </w:rPr>
              <w:t>A</w:t>
            </w:r>
            <w:r>
              <w:rPr>
                <w:color w:val="000000"/>
                <w:sz w:val="24"/>
              </w:rPr>
              <w:t>股国际通交易</w:t>
            </w:r>
            <w:r>
              <w:rPr>
                <w:color w:val="000000"/>
                <w:sz w:val="24"/>
              </w:rPr>
              <w:t>型开放式指数证券投资基金发起式联接基金的基金经理、易方达</w:t>
            </w:r>
            <w:r>
              <w:rPr>
                <w:color w:val="000000"/>
                <w:sz w:val="24"/>
              </w:rPr>
              <w:t>MSCI</w:t>
            </w:r>
            <w:r>
              <w:rPr>
                <w:color w:val="000000"/>
                <w:sz w:val="24"/>
              </w:rPr>
              <w:t>中国</w:t>
            </w:r>
            <w:r>
              <w:rPr>
                <w:color w:val="000000"/>
                <w:sz w:val="24"/>
              </w:rPr>
              <w:t>A</w:t>
            </w:r>
            <w:r>
              <w:rPr>
                <w:color w:val="000000"/>
                <w:sz w:val="24"/>
              </w:rPr>
              <w:t>股国际通交易型开放式指数证券投资基金的基金经理</w:t>
            </w:r>
          </w:p>
        </w:tc>
        <w:tc>
          <w:tcPr>
            <w:tcW w:w="851" w:type="dxa"/>
            <w:vAlign w:val="center"/>
          </w:tcPr>
          <w:p w:rsidR="00131020" w:rsidRDefault="00D70B49">
            <w:pPr>
              <w:jc w:val="center"/>
            </w:pPr>
            <w:r>
              <w:rPr>
                <w:color w:val="000000"/>
                <w:sz w:val="24"/>
              </w:rPr>
              <w:lastRenderedPageBreak/>
              <w:t>2016-05-07</w:t>
            </w:r>
          </w:p>
        </w:tc>
        <w:tc>
          <w:tcPr>
            <w:tcW w:w="850" w:type="dxa"/>
            <w:vAlign w:val="center"/>
          </w:tcPr>
          <w:p w:rsidR="00131020" w:rsidRDefault="00D70B49">
            <w:pPr>
              <w:jc w:val="center"/>
            </w:pPr>
            <w:r>
              <w:rPr>
                <w:color w:val="000000"/>
                <w:sz w:val="24"/>
              </w:rPr>
              <w:t>-</w:t>
            </w:r>
          </w:p>
        </w:tc>
        <w:tc>
          <w:tcPr>
            <w:tcW w:w="851" w:type="dxa"/>
            <w:vAlign w:val="center"/>
          </w:tcPr>
          <w:p w:rsidR="00131020" w:rsidRDefault="00D70B49">
            <w:pPr>
              <w:jc w:val="center"/>
            </w:pPr>
            <w:r>
              <w:rPr>
                <w:color w:val="000000"/>
                <w:sz w:val="24"/>
              </w:rPr>
              <w:t>11</w:t>
            </w:r>
            <w:r>
              <w:rPr>
                <w:color w:val="000000"/>
                <w:sz w:val="24"/>
              </w:rPr>
              <w:t>年</w:t>
            </w:r>
          </w:p>
        </w:tc>
        <w:tc>
          <w:tcPr>
            <w:tcW w:w="2977" w:type="dxa"/>
            <w:vAlign w:val="center"/>
          </w:tcPr>
          <w:p w:rsidR="00131020" w:rsidRDefault="00D70B49">
            <w:r>
              <w:rPr>
                <w:color w:val="000000"/>
                <w:sz w:val="24"/>
              </w:rPr>
              <w:t>硕士研究生，曾任华泰联合证券资产管理部研究员，易方达基金管理有限公司集中交易室交易员、指数与量化投资部指数基金运作专员、基金经理助理。</w:t>
            </w:r>
          </w:p>
        </w:tc>
      </w:tr>
      <w:tr w:rsidR="00131020">
        <w:tc>
          <w:tcPr>
            <w:tcW w:w="567" w:type="dxa"/>
            <w:vAlign w:val="center"/>
          </w:tcPr>
          <w:p w:rsidR="00131020" w:rsidRDefault="00D70B49">
            <w:pPr>
              <w:jc w:val="center"/>
            </w:pPr>
            <w:r>
              <w:rPr>
                <w:color w:val="000000"/>
                <w:sz w:val="24"/>
              </w:rPr>
              <w:t>刘树荣</w:t>
            </w:r>
          </w:p>
        </w:tc>
        <w:tc>
          <w:tcPr>
            <w:tcW w:w="2835" w:type="dxa"/>
            <w:vAlign w:val="center"/>
          </w:tcPr>
          <w:p w:rsidR="00131020" w:rsidRDefault="00D70B49">
            <w:pPr>
              <w:jc w:val="center"/>
            </w:pPr>
            <w:r>
              <w:rPr>
                <w:color w:val="000000"/>
                <w:sz w:val="24"/>
              </w:rPr>
              <w:t>本基金的基金经理、易方达中小板指数证券投资基金</w:t>
            </w:r>
            <w:r>
              <w:rPr>
                <w:color w:val="000000"/>
                <w:sz w:val="24"/>
              </w:rPr>
              <w:t>(LOF)</w:t>
            </w:r>
            <w:r>
              <w:rPr>
                <w:color w:val="000000"/>
                <w:sz w:val="24"/>
              </w:rPr>
              <w:t>（原易方达中小板指数分级证券投资基金）的基金经理、易方</w:t>
            </w:r>
            <w:r>
              <w:rPr>
                <w:color w:val="000000"/>
                <w:sz w:val="24"/>
              </w:rPr>
              <w:lastRenderedPageBreak/>
              <w:t>达香港恒生综合小型股指数证券投资基金</w:t>
            </w:r>
            <w:r>
              <w:rPr>
                <w:color w:val="000000"/>
                <w:sz w:val="24"/>
              </w:rPr>
              <w:t>(LOF)</w:t>
            </w:r>
            <w:r>
              <w:rPr>
                <w:color w:val="000000"/>
                <w:sz w:val="24"/>
              </w:rPr>
              <w:t>的基金经理、易方达生物科技指数分级证券投资基金的基金经理、易方达深证成指交易型开放式指数证券投资基金联接基金的基金经理（自</w:t>
            </w:r>
            <w:r>
              <w:rPr>
                <w:color w:val="000000"/>
                <w:sz w:val="24"/>
              </w:rPr>
              <w:t>2017</w:t>
            </w:r>
            <w:r>
              <w:rPr>
                <w:color w:val="000000"/>
                <w:sz w:val="24"/>
              </w:rPr>
              <w:t>年</w:t>
            </w:r>
            <w:r>
              <w:rPr>
                <w:color w:val="000000"/>
                <w:sz w:val="24"/>
              </w:rPr>
              <w:t>07</w:t>
            </w:r>
            <w:r>
              <w:rPr>
                <w:color w:val="000000"/>
                <w:sz w:val="24"/>
              </w:rPr>
              <w:t>月</w:t>
            </w:r>
            <w:r>
              <w:rPr>
                <w:color w:val="000000"/>
                <w:sz w:val="24"/>
              </w:rPr>
              <w:t>18</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日）、易方达深证成指交易型开放式指数证券投资基金的基金经理（自</w:t>
            </w:r>
            <w:r>
              <w:rPr>
                <w:color w:val="000000"/>
                <w:sz w:val="24"/>
              </w:rPr>
              <w:t>2017</w:t>
            </w:r>
            <w:r>
              <w:rPr>
                <w:color w:val="000000"/>
                <w:sz w:val="24"/>
              </w:rPr>
              <w:t>年</w:t>
            </w:r>
            <w:r>
              <w:rPr>
                <w:color w:val="000000"/>
                <w:sz w:val="24"/>
              </w:rPr>
              <w:t>07</w:t>
            </w:r>
            <w:r>
              <w:rPr>
                <w:color w:val="000000"/>
                <w:sz w:val="24"/>
              </w:rPr>
              <w:t>月</w:t>
            </w:r>
            <w:r>
              <w:rPr>
                <w:color w:val="000000"/>
                <w:sz w:val="24"/>
              </w:rPr>
              <w:t>18</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w:t>
            </w:r>
            <w:r>
              <w:rPr>
                <w:color w:val="000000"/>
                <w:sz w:val="24"/>
              </w:rPr>
              <w:t>100</w:t>
            </w:r>
            <w:r>
              <w:rPr>
                <w:color w:val="000000"/>
                <w:sz w:val="24"/>
              </w:rPr>
              <w:t>交易型开放式指数证券投资基金联接基金的基金经理、易方达深证</w:t>
            </w:r>
            <w:r>
              <w:rPr>
                <w:color w:val="000000"/>
                <w:sz w:val="24"/>
              </w:rPr>
              <w:t>10</w:t>
            </w:r>
            <w:r>
              <w:rPr>
                <w:color w:val="000000"/>
                <w:sz w:val="24"/>
              </w:rPr>
              <w:t>0</w:t>
            </w:r>
            <w:r>
              <w:rPr>
                <w:color w:val="000000"/>
                <w:sz w:val="24"/>
              </w:rPr>
              <w:t>交易型开放式指数基金的基金经理、易方达上证中盘交易型开放式指数证券投资基金联接基金的基金经理、易方达上证中盘交易型开放式指数证券投资基金的基金经理、易方达创业板交易型开放式指数证券投资基金联接基金的基金经理、易方达创业板交易型开放式指数证券投资基金的基金经理、易方达并购重组指数分级证券投资基金的基金经理、易方达标普医疗保健指数证券投资基金</w:t>
            </w:r>
            <w:r>
              <w:rPr>
                <w:color w:val="000000"/>
                <w:sz w:val="24"/>
              </w:rPr>
              <w:t>(LOF)</w:t>
            </w:r>
            <w:r>
              <w:rPr>
                <w:color w:val="000000"/>
                <w:sz w:val="24"/>
              </w:rPr>
              <w:t>的基金经理、易方达标普信息科技指数证券投资基金</w:t>
            </w:r>
            <w:r>
              <w:rPr>
                <w:color w:val="000000"/>
                <w:sz w:val="24"/>
              </w:rPr>
              <w:t>(LOF)</w:t>
            </w:r>
            <w:r>
              <w:rPr>
                <w:color w:val="000000"/>
                <w:sz w:val="24"/>
              </w:rPr>
              <w:t>的基金经理、易方达标普生物科技指数证券投资基金</w:t>
            </w:r>
            <w:r>
              <w:rPr>
                <w:color w:val="000000"/>
                <w:sz w:val="24"/>
              </w:rPr>
              <w:t>(LOF)</w:t>
            </w:r>
            <w:r>
              <w:rPr>
                <w:color w:val="000000"/>
                <w:sz w:val="24"/>
              </w:rPr>
              <w:t>的基金经理、易方达标普</w:t>
            </w:r>
            <w:r>
              <w:rPr>
                <w:color w:val="000000"/>
                <w:sz w:val="24"/>
              </w:rPr>
              <w:t>500</w:t>
            </w:r>
            <w:r>
              <w:rPr>
                <w:color w:val="000000"/>
                <w:sz w:val="24"/>
              </w:rPr>
              <w:t>指数证券投资基金</w:t>
            </w:r>
            <w:r>
              <w:rPr>
                <w:color w:val="000000"/>
                <w:sz w:val="24"/>
              </w:rPr>
              <w:t>(L</w:t>
            </w:r>
            <w:r>
              <w:rPr>
                <w:color w:val="000000"/>
                <w:sz w:val="24"/>
              </w:rPr>
              <w:t>OF)</w:t>
            </w:r>
            <w:r>
              <w:rPr>
                <w:color w:val="000000"/>
                <w:sz w:val="24"/>
              </w:rPr>
              <w:t>的基金经理</w:t>
            </w:r>
          </w:p>
        </w:tc>
        <w:tc>
          <w:tcPr>
            <w:tcW w:w="851" w:type="dxa"/>
            <w:vAlign w:val="center"/>
          </w:tcPr>
          <w:p w:rsidR="00131020" w:rsidRDefault="00D70B49">
            <w:pPr>
              <w:jc w:val="center"/>
            </w:pPr>
            <w:r>
              <w:rPr>
                <w:color w:val="000000"/>
                <w:sz w:val="24"/>
              </w:rPr>
              <w:lastRenderedPageBreak/>
              <w:t>2017-07-18</w:t>
            </w:r>
          </w:p>
        </w:tc>
        <w:tc>
          <w:tcPr>
            <w:tcW w:w="850" w:type="dxa"/>
            <w:vAlign w:val="center"/>
          </w:tcPr>
          <w:p w:rsidR="00131020" w:rsidRDefault="00D70B49">
            <w:pPr>
              <w:jc w:val="center"/>
            </w:pPr>
            <w:r>
              <w:rPr>
                <w:color w:val="000000"/>
                <w:sz w:val="24"/>
              </w:rPr>
              <w:t>-</w:t>
            </w:r>
          </w:p>
        </w:tc>
        <w:tc>
          <w:tcPr>
            <w:tcW w:w="851" w:type="dxa"/>
            <w:vAlign w:val="center"/>
          </w:tcPr>
          <w:p w:rsidR="00131020" w:rsidRDefault="00D70B49">
            <w:pPr>
              <w:jc w:val="center"/>
            </w:pPr>
            <w:r>
              <w:rPr>
                <w:color w:val="000000"/>
                <w:sz w:val="24"/>
              </w:rPr>
              <w:t>12</w:t>
            </w:r>
            <w:r>
              <w:rPr>
                <w:color w:val="000000"/>
                <w:sz w:val="24"/>
              </w:rPr>
              <w:t>年</w:t>
            </w:r>
          </w:p>
        </w:tc>
        <w:tc>
          <w:tcPr>
            <w:tcW w:w="2977" w:type="dxa"/>
            <w:vAlign w:val="center"/>
          </w:tcPr>
          <w:p w:rsidR="00131020" w:rsidRDefault="00D70B49">
            <w:r>
              <w:rPr>
                <w:color w:val="000000"/>
                <w:sz w:val="24"/>
              </w:rPr>
              <w:t>硕士研究生，曾任招商银行资产托管部基金会计，易方达基金管理有限公司核算部基金核算专员、指数与量化投资部运作支持专员、基</w:t>
            </w:r>
            <w:r>
              <w:rPr>
                <w:color w:val="000000"/>
                <w:sz w:val="24"/>
              </w:rPr>
              <w:lastRenderedPageBreak/>
              <w:t>金经理助理。</w:t>
            </w:r>
          </w:p>
        </w:tc>
      </w:tr>
    </w:tbl>
    <w:p w:rsidR="00131020" w:rsidRDefault="00D70B49">
      <w:pPr>
        <w:autoSpaceDE w:val="0"/>
        <w:autoSpaceDN w:val="0"/>
        <w:adjustRightInd w:val="0"/>
        <w:spacing w:line="360" w:lineRule="auto"/>
        <w:ind w:firstLineChars="200" w:firstLine="480"/>
        <w:jc w:val="left"/>
        <w:rPr>
          <w:color w:val="000000"/>
          <w:sz w:val="24"/>
        </w:rPr>
      </w:pPr>
      <w:r>
        <w:rPr>
          <w:color w:val="000000"/>
          <w:sz w:val="24"/>
        </w:rPr>
        <w:lastRenderedPageBreak/>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lastRenderedPageBreak/>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CB041A" w:rsidRPr="00232B03" w:rsidRDefault="005C6DF3" w:rsidP="005C6DF3">
      <w:pPr>
        <w:autoSpaceDE w:val="0"/>
        <w:autoSpaceDN w:val="0"/>
        <w:adjustRightInd w:val="0"/>
        <w:spacing w:line="360" w:lineRule="auto"/>
        <w:ind w:firstLineChars="200" w:firstLine="480"/>
        <w:jc w:val="left"/>
        <w:rPr>
          <w:color w:val="000000"/>
          <w:sz w:val="24"/>
        </w:rPr>
      </w:pPr>
      <w:r w:rsidRPr="00DF18FE">
        <w:rPr>
          <w:color w:val="000000"/>
          <w:sz w:val="24"/>
        </w:rPr>
        <w:t>2.</w:t>
      </w:r>
      <w:r w:rsidRPr="00DF18FE">
        <w:rPr>
          <w:color w:val="000000"/>
          <w:sz w:val="24"/>
        </w:rPr>
        <w:t>证券从业的含义遵从《证券业从业人员资格管理办法》的相关规定。</w:t>
      </w:r>
    </w:p>
    <w:p w:rsidR="001C36D8" w:rsidRPr="00272E0C" w:rsidRDefault="001C36D8" w:rsidP="00CB041A">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4.2</w:t>
      </w:r>
      <w:r w:rsidRPr="00272E0C">
        <w:rPr>
          <w:rFonts w:ascii="宋体" w:hAnsi="宋体" w:hint="eastAsia"/>
          <w:b/>
          <w:bCs/>
          <w:color w:val="000000"/>
          <w:sz w:val="24"/>
        </w:rPr>
        <w:t>管理人对报告期内本基金运作遵规守信情况的说明</w:t>
      </w:r>
    </w:p>
    <w:p w:rsidR="001C36D8" w:rsidRPr="00E43B0B" w:rsidRDefault="001C36D8" w:rsidP="00E43B0B">
      <w:pPr>
        <w:spacing w:line="360" w:lineRule="auto"/>
        <w:ind w:firstLineChars="200" w:firstLine="480"/>
        <w:rPr>
          <w:color w:val="000000"/>
          <w:sz w:val="24"/>
        </w:rPr>
      </w:pPr>
      <w:r w:rsidRPr="003D22BD">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1C36D8" w:rsidRPr="00272E0C" w:rsidRDefault="001C36D8" w:rsidP="003A4DA3">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4.3 </w:t>
      </w:r>
      <w:r w:rsidRPr="00272E0C">
        <w:rPr>
          <w:rFonts w:ascii="宋体" w:hAnsi="宋体" w:cs="Arial" w:hint="eastAsia"/>
          <w:b/>
          <w:color w:val="000000"/>
          <w:kern w:val="0"/>
          <w:sz w:val="24"/>
        </w:rPr>
        <w:t>公平交易专项说明</w:t>
      </w:r>
    </w:p>
    <w:p w:rsidR="001C36D8" w:rsidRPr="00272E0C" w:rsidRDefault="001C36D8" w:rsidP="003A4DA3">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272E0C">
          <w:rPr>
            <w:rFonts w:ascii="宋体" w:hAnsi="宋体"/>
            <w:sz w:val="24"/>
          </w:rPr>
          <w:t>4.3.1</w:t>
        </w:r>
      </w:smartTag>
      <w:r w:rsidRPr="00272E0C">
        <w:rPr>
          <w:rFonts w:ascii="宋体" w:hAnsi="宋体" w:hint="eastAsia"/>
          <w:sz w:val="24"/>
        </w:rPr>
        <w:t>公平交易制度的执行情况</w:t>
      </w:r>
    </w:p>
    <w:p w:rsidR="001C36D8" w:rsidRPr="003D22BD" w:rsidRDefault="001C36D8" w:rsidP="0015779C">
      <w:pPr>
        <w:spacing w:line="360" w:lineRule="auto"/>
        <w:ind w:firstLineChars="200" w:firstLine="480"/>
        <w:rPr>
          <w:color w:val="000000"/>
          <w:sz w:val="24"/>
        </w:rPr>
      </w:pPr>
      <w:r w:rsidRPr="003D22BD">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3D22BD">
        <w:rPr>
          <w:color w:val="000000"/>
          <w:sz w:val="24"/>
        </w:rPr>
        <w:t>“</w:t>
      </w:r>
      <w:r w:rsidRPr="003D22BD">
        <w:rPr>
          <w:color w:val="000000"/>
          <w:sz w:val="24"/>
        </w:rPr>
        <w:t>时间优先、价格优先</w:t>
      </w:r>
      <w:r w:rsidRPr="003D22BD">
        <w:rPr>
          <w:color w:val="000000"/>
          <w:sz w:val="24"/>
        </w:rPr>
        <w:t>”</w:t>
      </w:r>
      <w:r w:rsidRPr="003D22BD">
        <w:rPr>
          <w:color w:val="000000"/>
          <w:sz w:val="24"/>
        </w:rPr>
        <w:t>作为执行指令的基本原则，通过投资交易系统中的公平交易模块，以尽可能确保公平对待各投资组合。本报告期内，公平交易制度总体执行情况良好。</w:t>
      </w:r>
    </w:p>
    <w:p w:rsidR="001C36D8" w:rsidRPr="00272E0C" w:rsidRDefault="001C36D8" w:rsidP="003A4DA3">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272E0C">
          <w:rPr>
            <w:rFonts w:ascii="宋体" w:hAnsi="宋体"/>
            <w:sz w:val="24"/>
          </w:rPr>
          <w:t>4.3.2</w:t>
        </w:r>
      </w:smartTag>
      <w:r w:rsidRPr="00272E0C">
        <w:rPr>
          <w:rFonts w:ascii="宋体" w:hAnsi="宋体" w:hint="eastAsia"/>
          <w:sz w:val="24"/>
        </w:rPr>
        <w:t>异常交易行为的专项说明</w:t>
      </w:r>
    </w:p>
    <w:p w:rsidR="00131020" w:rsidRDefault="00D70B49">
      <w:pPr>
        <w:spacing w:line="360" w:lineRule="auto"/>
        <w:ind w:firstLineChars="200" w:firstLine="480"/>
        <w:rPr>
          <w:color w:val="000000"/>
          <w:sz w:val="24"/>
        </w:rPr>
      </w:pPr>
      <w:r>
        <w:rPr>
          <w:color w:val="000000"/>
          <w:sz w:val="24"/>
        </w:rPr>
        <w:t>本报告期内，公司旗下所有投资组合参与的交易所公开竞价交易中，同日反向交易成交较少的单边交易量超过该证券当日成交量的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1C36D8" w:rsidRPr="00E43B0B" w:rsidRDefault="001C36D8" w:rsidP="00E43B0B">
      <w:pPr>
        <w:spacing w:line="360" w:lineRule="auto"/>
        <w:ind w:firstLineChars="200" w:firstLine="480"/>
        <w:rPr>
          <w:color w:val="000000"/>
          <w:sz w:val="24"/>
        </w:rPr>
      </w:pPr>
      <w:r w:rsidRPr="003D22BD">
        <w:rPr>
          <w:color w:val="000000"/>
          <w:sz w:val="24"/>
        </w:rPr>
        <w:t>本报告期内，未发现本基金有可能导致不公平交易和利益输送的异常交易。</w:t>
      </w:r>
    </w:p>
    <w:p w:rsidR="001C36D8" w:rsidRPr="00272E0C" w:rsidRDefault="001C36D8" w:rsidP="003A4DA3">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4.4 </w:t>
      </w:r>
      <w:r w:rsidRPr="00272E0C">
        <w:rPr>
          <w:rFonts w:ascii="宋体" w:hAnsi="宋体" w:cs="Arial" w:hint="eastAsia"/>
          <w:b/>
          <w:color w:val="000000"/>
          <w:kern w:val="0"/>
          <w:sz w:val="24"/>
        </w:rPr>
        <w:t>报告期内基金的投资策略和业绩表现说明</w:t>
      </w:r>
    </w:p>
    <w:p w:rsidR="001C36D8" w:rsidRPr="00272E0C" w:rsidRDefault="001C36D8" w:rsidP="003A4DA3">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272E0C">
          <w:rPr>
            <w:rFonts w:ascii="宋体" w:hAnsi="宋体"/>
            <w:sz w:val="24"/>
          </w:rPr>
          <w:t>4.4.1</w:t>
        </w:r>
      </w:smartTag>
      <w:r w:rsidRPr="00272E0C">
        <w:rPr>
          <w:rFonts w:ascii="宋体" w:hAnsi="宋体" w:hint="eastAsia"/>
          <w:sz w:val="24"/>
        </w:rPr>
        <w:t>报告期内基金投资策略和运作分析</w:t>
      </w:r>
    </w:p>
    <w:p w:rsidR="00131020" w:rsidRDefault="00D70B49">
      <w:pPr>
        <w:spacing w:line="360" w:lineRule="auto"/>
        <w:ind w:firstLineChars="200" w:firstLine="480"/>
        <w:rPr>
          <w:color w:val="000000"/>
          <w:sz w:val="24"/>
        </w:rPr>
      </w:pPr>
      <w:r>
        <w:rPr>
          <w:color w:val="000000"/>
          <w:sz w:val="24"/>
        </w:rPr>
        <w:t>本基金跟踪的标的指数为中证银行指数，中证银行指数由沪深交易所上市交易的全部银行股组成，是衡量银行股整体走势最具代表性的指数。报告期内，本基金主要采取完全复制法的投资策略，即完全按照标的指数的成份股组成及其权重构建基金股票投资组合，并根据标的指数成份股及其权重的变动而进行相应调整。</w:t>
      </w:r>
    </w:p>
    <w:p w:rsidR="00131020" w:rsidRDefault="00D70B49">
      <w:pPr>
        <w:spacing w:line="360" w:lineRule="auto"/>
        <w:ind w:firstLineChars="200" w:firstLine="480"/>
        <w:rPr>
          <w:color w:val="000000"/>
          <w:sz w:val="24"/>
        </w:rPr>
      </w:pPr>
      <w:r>
        <w:rPr>
          <w:color w:val="000000"/>
          <w:sz w:val="24"/>
        </w:rPr>
        <w:lastRenderedPageBreak/>
        <w:t>三季度，国家出台的相关的政策与制度对银行业本身的发展有着较为深远的影响。</w:t>
      </w:r>
      <w:r>
        <w:rPr>
          <w:color w:val="000000"/>
          <w:sz w:val="24"/>
        </w:rPr>
        <w:t>8</w:t>
      </w:r>
      <w:r>
        <w:rPr>
          <w:color w:val="000000"/>
          <w:sz w:val="24"/>
        </w:rPr>
        <w:t>月份，央</w:t>
      </w:r>
      <w:r>
        <w:rPr>
          <w:color w:val="000000"/>
          <w:sz w:val="24"/>
        </w:rPr>
        <w:t>行发布关于完善</w:t>
      </w:r>
      <w:r>
        <w:rPr>
          <w:color w:val="000000"/>
          <w:sz w:val="24"/>
        </w:rPr>
        <w:t xml:space="preserve"> LPR </w:t>
      </w:r>
      <w:r>
        <w:rPr>
          <w:color w:val="000000"/>
          <w:sz w:val="24"/>
        </w:rPr>
        <w:t>形成机制的公告，从</w:t>
      </w:r>
      <w:r>
        <w:rPr>
          <w:color w:val="000000"/>
          <w:sz w:val="24"/>
        </w:rPr>
        <w:t xml:space="preserve"> LPR </w:t>
      </w:r>
      <w:r>
        <w:rPr>
          <w:color w:val="000000"/>
          <w:sz w:val="24"/>
        </w:rPr>
        <w:t>的报价机制、报价银行、报价频率、期限品种等多方面进行革新。从中长期来看，</w:t>
      </w:r>
      <w:r>
        <w:rPr>
          <w:color w:val="000000"/>
          <w:sz w:val="24"/>
        </w:rPr>
        <w:t xml:space="preserve">LPR </w:t>
      </w:r>
      <w:r>
        <w:rPr>
          <w:color w:val="000000"/>
          <w:sz w:val="24"/>
        </w:rPr>
        <w:t>机制完善打通利率传导，在宽货币环境下有助于降低实体经济融资成本。新的</w:t>
      </w:r>
      <w:r>
        <w:rPr>
          <w:color w:val="000000"/>
          <w:sz w:val="24"/>
        </w:rPr>
        <w:t>LPR</w:t>
      </w:r>
      <w:r>
        <w:rPr>
          <w:color w:val="000000"/>
          <w:sz w:val="24"/>
        </w:rPr>
        <w:t>机制或推动银行贷款利率下行，对银行净息差造成一定压力，倒逼银行提升差异化定价能力，行业内部将更趋分化，未来要更加看重银行的资产端资源分配、负债端结构、风险定价能力及资产质量控制能力。</w:t>
      </w:r>
      <w:r>
        <w:rPr>
          <w:color w:val="000000"/>
          <w:sz w:val="24"/>
        </w:rPr>
        <w:t>9</w:t>
      </w:r>
      <w:r>
        <w:rPr>
          <w:color w:val="000000"/>
          <w:sz w:val="24"/>
        </w:rPr>
        <w:t>月底，金融委第八次会议提出在继续实施好稳健货币政策的同时加大逆周期调节力度，加快构建商业银行资本补充长效机制，丰富银行补充</w:t>
      </w:r>
      <w:r>
        <w:rPr>
          <w:color w:val="000000"/>
          <w:sz w:val="24"/>
        </w:rPr>
        <w:t>资本的资金来源渠道，重点支持中小银行补充资本，引导中小银行支持民营和中小微企业。此外，财政部《金融企业财务规则》要求银行对超额计提拨备部分还原成未分配利润进行分配，将进一步提高股息率，银行股</w:t>
      </w:r>
      <w:r>
        <w:rPr>
          <w:color w:val="000000"/>
          <w:sz w:val="24"/>
        </w:rPr>
        <w:t xml:space="preserve">19Q4 </w:t>
      </w:r>
      <w:r>
        <w:rPr>
          <w:color w:val="000000"/>
          <w:sz w:val="24"/>
        </w:rPr>
        <w:t>或重获机构投资者青睐。本报告期内，中证银行指数涨幅为</w:t>
      </w:r>
      <w:r>
        <w:rPr>
          <w:color w:val="000000"/>
          <w:sz w:val="24"/>
        </w:rPr>
        <w:t>-2.89%</w:t>
      </w:r>
      <w:r>
        <w:rPr>
          <w:color w:val="000000"/>
          <w:sz w:val="24"/>
        </w:rPr>
        <w:t>。</w:t>
      </w:r>
    </w:p>
    <w:p w:rsidR="001C36D8" w:rsidRPr="003D22BD" w:rsidRDefault="001C36D8" w:rsidP="0015779C">
      <w:pPr>
        <w:spacing w:line="360" w:lineRule="auto"/>
        <w:ind w:firstLineChars="200" w:firstLine="480"/>
        <w:rPr>
          <w:color w:val="000000"/>
          <w:sz w:val="24"/>
        </w:rPr>
      </w:pPr>
      <w:r w:rsidRPr="003D22BD">
        <w:rPr>
          <w:color w:val="000000"/>
          <w:sz w:val="24"/>
        </w:rPr>
        <w:t>基金运作层面，报告期内，本基金严守基金合同认真对待投资者申购、赎回以及成分股调整事项，保障基金的正常运作，基金跟踪误差以及日均偏离度等指标控制在合同规定范围之内。</w:t>
      </w:r>
    </w:p>
    <w:p w:rsidR="001C36D8" w:rsidRPr="00272E0C" w:rsidRDefault="001C36D8" w:rsidP="003A4DA3">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272E0C">
          <w:rPr>
            <w:rFonts w:ascii="宋体" w:hAnsi="宋体"/>
            <w:sz w:val="24"/>
          </w:rPr>
          <w:t>4.4.2</w:t>
        </w:r>
      </w:smartTag>
      <w:r w:rsidRPr="00272E0C">
        <w:rPr>
          <w:rFonts w:ascii="宋体" w:hAnsi="宋体" w:hint="eastAsia"/>
          <w:sz w:val="24"/>
        </w:rPr>
        <w:t>报告期内基金的业绩表现</w:t>
      </w:r>
    </w:p>
    <w:p w:rsidR="001C36D8" w:rsidRPr="00E43B0B" w:rsidRDefault="001C36D8" w:rsidP="00E43B0B">
      <w:pPr>
        <w:spacing w:line="360" w:lineRule="auto"/>
        <w:ind w:firstLineChars="200" w:firstLine="480"/>
        <w:rPr>
          <w:color w:val="000000"/>
          <w:sz w:val="24"/>
        </w:rPr>
      </w:pPr>
      <w:r w:rsidRPr="003D22BD">
        <w:rPr>
          <w:color w:val="000000"/>
          <w:sz w:val="24"/>
        </w:rPr>
        <w:t>截至报告期末，本基金份额净值为</w:t>
      </w:r>
      <w:r w:rsidRPr="003D22BD">
        <w:rPr>
          <w:color w:val="000000"/>
          <w:sz w:val="24"/>
        </w:rPr>
        <w:t>0.9724</w:t>
      </w:r>
      <w:r w:rsidRPr="003D22BD">
        <w:rPr>
          <w:color w:val="000000"/>
          <w:sz w:val="24"/>
        </w:rPr>
        <w:t>元，本报告期份额净值增长率为</w:t>
      </w:r>
      <w:r w:rsidRPr="003D22BD">
        <w:rPr>
          <w:color w:val="000000"/>
          <w:sz w:val="24"/>
        </w:rPr>
        <w:t>0.07%</w:t>
      </w:r>
      <w:r w:rsidRPr="003D22BD">
        <w:rPr>
          <w:color w:val="000000"/>
          <w:sz w:val="24"/>
        </w:rPr>
        <w:t>，同期业绩比较基准收益率为</w:t>
      </w:r>
      <w:r w:rsidRPr="003D22BD">
        <w:rPr>
          <w:color w:val="000000"/>
          <w:sz w:val="24"/>
        </w:rPr>
        <w:t>-2.73%</w:t>
      </w:r>
      <w:r w:rsidRPr="003D22BD">
        <w:rPr>
          <w:color w:val="000000"/>
          <w:sz w:val="24"/>
        </w:rPr>
        <w:t>，日跟踪偏离度的均值为</w:t>
      </w:r>
      <w:r w:rsidRPr="003D22BD">
        <w:rPr>
          <w:color w:val="000000"/>
          <w:sz w:val="24"/>
        </w:rPr>
        <w:t>0.06%</w:t>
      </w:r>
      <w:r w:rsidRPr="003D22BD">
        <w:rPr>
          <w:color w:val="000000"/>
          <w:sz w:val="24"/>
        </w:rPr>
        <w:t>，年化跟踪误差</w:t>
      </w:r>
      <w:r w:rsidRPr="003D22BD">
        <w:rPr>
          <w:color w:val="000000"/>
          <w:sz w:val="24"/>
        </w:rPr>
        <w:t>1.76%</w:t>
      </w:r>
      <w:r w:rsidRPr="003D22BD">
        <w:rPr>
          <w:color w:val="000000"/>
          <w:sz w:val="24"/>
        </w:rPr>
        <w:t>，在合同规定的目标控制范围之内。</w:t>
      </w:r>
    </w:p>
    <w:p w:rsidR="001C36D8" w:rsidRPr="00272E0C" w:rsidRDefault="001C36D8" w:rsidP="005C6DF3">
      <w:pPr>
        <w:pStyle w:val="1"/>
        <w:spacing w:beforeLines="100" w:before="312" w:afterLines="100" w:after="312" w:line="360" w:lineRule="auto"/>
        <w:jc w:val="center"/>
        <w:rPr>
          <w:rFonts w:ascii="宋体" w:cs="Arial"/>
          <w:color w:val="000000"/>
          <w:kern w:val="0"/>
          <w:sz w:val="24"/>
          <w:szCs w:val="24"/>
        </w:rPr>
      </w:pPr>
      <w:r w:rsidRPr="00272E0C">
        <w:rPr>
          <w:rFonts w:ascii="宋体" w:hAnsi="宋体" w:cs="Arial" w:hint="eastAsia"/>
          <w:color w:val="000000"/>
          <w:kern w:val="0"/>
          <w:sz w:val="24"/>
          <w:szCs w:val="24"/>
        </w:rPr>
        <w:t>§</w:t>
      </w:r>
      <w:r w:rsidRPr="00272E0C">
        <w:rPr>
          <w:rFonts w:ascii="宋体" w:hAnsi="宋体" w:cs="Arial"/>
          <w:color w:val="000000"/>
          <w:kern w:val="0"/>
          <w:sz w:val="24"/>
          <w:szCs w:val="24"/>
        </w:rPr>
        <w:t xml:space="preserve">5  </w:t>
      </w:r>
      <w:r w:rsidRPr="00272E0C">
        <w:rPr>
          <w:rFonts w:ascii="宋体" w:hAnsi="宋体" w:cs="Arial" w:hint="eastAsia"/>
          <w:color w:val="000000"/>
          <w:kern w:val="0"/>
          <w:sz w:val="24"/>
          <w:szCs w:val="24"/>
        </w:rPr>
        <w:t>投资组合报告</w:t>
      </w:r>
    </w:p>
    <w:p w:rsidR="001C36D8" w:rsidRPr="00272E0C" w:rsidRDefault="001C36D8" w:rsidP="003A4DA3">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5.1 </w:t>
      </w:r>
      <w:r w:rsidRPr="00272E0C">
        <w:rPr>
          <w:rFonts w:ascii="宋体" w:hAnsi="宋体" w:cs="Arial" w:hint="eastAsia"/>
          <w:b/>
          <w:color w:val="000000"/>
          <w:kern w:val="0"/>
          <w:sz w:val="24"/>
        </w:rPr>
        <w:t>报告期末基金资产组合情况</w:t>
      </w:r>
    </w:p>
    <w:tbl>
      <w:tblPr>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3"/>
        <w:gridCol w:w="3283"/>
        <w:gridCol w:w="2977"/>
        <w:gridCol w:w="1843"/>
      </w:tblGrid>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序号</w:t>
            </w:r>
          </w:p>
        </w:tc>
        <w:tc>
          <w:tcPr>
            <w:tcW w:w="328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项目</w:t>
            </w:r>
          </w:p>
        </w:tc>
        <w:tc>
          <w:tcPr>
            <w:tcW w:w="2977" w:type="dxa"/>
            <w:vAlign w:val="center"/>
          </w:tcPr>
          <w:p w:rsidR="001C36D8" w:rsidRPr="005B1E0B" w:rsidRDefault="001C36D8" w:rsidP="0015779C">
            <w:pPr>
              <w:spacing w:before="29" w:line="360" w:lineRule="auto"/>
              <w:ind w:left="17"/>
              <w:jc w:val="center"/>
              <w:rPr>
                <w:color w:val="000000"/>
                <w:sz w:val="24"/>
              </w:rPr>
            </w:pPr>
            <w:r w:rsidRPr="005B1E0B">
              <w:rPr>
                <w:color w:val="000000"/>
                <w:sz w:val="24"/>
              </w:rPr>
              <w:t>金额</w:t>
            </w:r>
            <w:r w:rsidR="0015779C" w:rsidRPr="005B1E0B">
              <w:rPr>
                <w:color w:val="000000"/>
                <w:sz w:val="24"/>
              </w:rPr>
              <w:t>（元）</w:t>
            </w:r>
          </w:p>
        </w:tc>
        <w:tc>
          <w:tcPr>
            <w:tcW w:w="1843" w:type="dxa"/>
            <w:vAlign w:val="center"/>
          </w:tcPr>
          <w:p w:rsidR="001C36D8" w:rsidRPr="005B1E0B" w:rsidRDefault="001C36D8" w:rsidP="0015779C">
            <w:pPr>
              <w:spacing w:before="29" w:line="360" w:lineRule="auto"/>
              <w:ind w:left="17"/>
              <w:jc w:val="center"/>
              <w:rPr>
                <w:color w:val="000000"/>
                <w:sz w:val="24"/>
              </w:rPr>
            </w:pPr>
            <w:r w:rsidRPr="005B1E0B">
              <w:rPr>
                <w:color w:val="000000"/>
                <w:sz w:val="24"/>
              </w:rPr>
              <w:t>占基金总资产的比例</w:t>
            </w:r>
            <w:r w:rsidR="0015779C" w:rsidRPr="005B1E0B">
              <w:rPr>
                <w:color w:val="000000"/>
                <w:sz w:val="24"/>
              </w:rPr>
              <w:t>（</w:t>
            </w:r>
            <w:r w:rsidR="0015779C" w:rsidRPr="005B1E0B">
              <w:rPr>
                <w:color w:val="000000"/>
                <w:sz w:val="24"/>
              </w:rPr>
              <w:t>%</w:t>
            </w:r>
            <w:r w:rsidR="0015779C"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1</w:t>
            </w: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权益投资</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221,700,118.27</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93.50</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其中：股票</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221,700,118.27</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93.50</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2</w:t>
            </w: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固定收益投资</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其中：债券</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p>
        </w:tc>
        <w:tc>
          <w:tcPr>
            <w:tcW w:w="3283" w:type="dxa"/>
            <w:vAlign w:val="center"/>
          </w:tcPr>
          <w:p w:rsidR="001C36D8" w:rsidRPr="005B1E0B" w:rsidRDefault="001C36D8" w:rsidP="001A09F9">
            <w:pPr>
              <w:autoSpaceDE w:val="0"/>
              <w:autoSpaceDN w:val="0"/>
              <w:adjustRightInd w:val="0"/>
              <w:spacing w:before="29" w:line="360" w:lineRule="auto"/>
              <w:ind w:left="17"/>
              <w:jc w:val="left"/>
              <w:rPr>
                <w:color w:val="000000"/>
                <w:sz w:val="24"/>
              </w:rPr>
            </w:pPr>
            <w:r w:rsidRPr="005B1E0B">
              <w:rPr>
                <w:color w:val="000000"/>
                <w:sz w:val="24"/>
              </w:rPr>
              <w:t>资产支持证券</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tcPr>
          <w:p w:rsidR="001C36D8" w:rsidRPr="005B1E0B" w:rsidRDefault="001C36D8" w:rsidP="001A09F9">
            <w:pPr>
              <w:spacing w:before="29" w:line="360" w:lineRule="auto"/>
              <w:ind w:left="17"/>
              <w:jc w:val="center"/>
              <w:rPr>
                <w:color w:val="000000"/>
                <w:sz w:val="24"/>
              </w:rPr>
            </w:pPr>
            <w:r w:rsidRPr="005B1E0B">
              <w:rPr>
                <w:color w:val="000000"/>
                <w:sz w:val="24"/>
              </w:rPr>
              <w:t>3</w:t>
            </w:r>
          </w:p>
        </w:tc>
        <w:tc>
          <w:tcPr>
            <w:tcW w:w="3283" w:type="dxa"/>
          </w:tcPr>
          <w:p w:rsidR="001C36D8" w:rsidRPr="005B1E0B" w:rsidRDefault="001C36D8" w:rsidP="0015779C">
            <w:pPr>
              <w:spacing w:before="29" w:line="360" w:lineRule="auto"/>
              <w:ind w:leftChars="50" w:left="105"/>
              <w:rPr>
                <w:color w:val="000000"/>
                <w:sz w:val="24"/>
              </w:rPr>
            </w:pPr>
            <w:r w:rsidRPr="005B1E0B">
              <w:rPr>
                <w:color w:val="000000"/>
                <w:sz w:val="24"/>
              </w:rPr>
              <w:t>贵金属投资</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4</w:t>
            </w:r>
          </w:p>
        </w:tc>
        <w:tc>
          <w:tcPr>
            <w:tcW w:w="3283" w:type="dxa"/>
            <w:vAlign w:val="center"/>
          </w:tcPr>
          <w:p w:rsidR="001C36D8" w:rsidRPr="005B1E0B" w:rsidRDefault="001C36D8" w:rsidP="001A09F9">
            <w:pPr>
              <w:spacing w:before="29" w:line="360" w:lineRule="auto"/>
              <w:ind w:left="17"/>
              <w:jc w:val="left"/>
              <w:rPr>
                <w:color w:val="000000"/>
                <w:sz w:val="24"/>
              </w:rPr>
            </w:pPr>
            <w:r w:rsidRPr="005B1E0B">
              <w:rPr>
                <w:color w:val="000000"/>
                <w:sz w:val="24"/>
              </w:rPr>
              <w:t>金融衍生品投资</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5</w:t>
            </w: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买入返售金融资产</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其中：买断式回购的买入返售金融资产</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6</w:t>
            </w: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银行存款和结算备付金合计</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13,896,745.65</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5.86</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7</w:t>
            </w:r>
          </w:p>
        </w:tc>
        <w:tc>
          <w:tcPr>
            <w:tcW w:w="3283" w:type="dxa"/>
            <w:vAlign w:val="center"/>
          </w:tcPr>
          <w:p w:rsidR="001C36D8" w:rsidRPr="005B1E0B" w:rsidRDefault="001C36D8" w:rsidP="001A09F9">
            <w:pPr>
              <w:jc w:val="left"/>
              <w:rPr>
                <w:sz w:val="24"/>
              </w:rPr>
            </w:pPr>
            <w:r w:rsidRPr="005B1E0B">
              <w:rPr>
                <w:color w:val="000000"/>
                <w:sz w:val="24"/>
              </w:rPr>
              <w:t>其他资产</w:t>
            </w:r>
          </w:p>
        </w:tc>
        <w:tc>
          <w:tcPr>
            <w:tcW w:w="2977" w:type="dxa"/>
            <w:vAlign w:val="center"/>
          </w:tcPr>
          <w:p w:rsidR="001C36D8" w:rsidRPr="005B1E0B" w:rsidRDefault="001C36D8" w:rsidP="001A09F9">
            <w:pPr>
              <w:jc w:val="right"/>
              <w:rPr>
                <w:color w:val="000000"/>
                <w:sz w:val="24"/>
              </w:rPr>
            </w:pPr>
            <w:r w:rsidRPr="005B1E0B">
              <w:rPr>
                <w:color w:val="000000"/>
                <w:sz w:val="24"/>
              </w:rPr>
              <w:t>1,528,225.36</w:t>
            </w:r>
          </w:p>
        </w:tc>
        <w:tc>
          <w:tcPr>
            <w:tcW w:w="1843" w:type="dxa"/>
            <w:vAlign w:val="center"/>
          </w:tcPr>
          <w:p w:rsidR="001C36D8" w:rsidRPr="005B1E0B" w:rsidRDefault="001C36D8" w:rsidP="001A09F9">
            <w:pPr>
              <w:jc w:val="right"/>
              <w:rPr>
                <w:color w:val="000000"/>
                <w:sz w:val="24"/>
              </w:rPr>
            </w:pPr>
            <w:r w:rsidRPr="005B1E0B">
              <w:rPr>
                <w:color w:val="000000"/>
                <w:sz w:val="24"/>
              </w:rPr>
              <w:t>0.64</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8</w:t>
            </w:r>
          </w:p>
        </w:tc>
        <w:tc>
          <w:tcPr>
            <w:tcW w:w="3283" w:type="dxa"/>
            <w:vAlign w:val="center"/>
          </w:tcPr>
          <w:p w:rsidR="001C36D8" w:rsidRPr="005B1E0B" w:rsidRDefault="001C36D8" w:rsidP="001A09F9">
            <w:pPr>
              <w:jc w:val="left"/>
              <w:rPr>
                <w:sz w:val="24"/>
              </w:rPr>
            </w:pPr>
            <w:r w:rsidRPr="005B1E0B">
              <w:rPr>
                <w:color w:val="000000"/>
                <w:sz w:val="24"/>
              </w:rPr>
              <w:t>合计</w:t>
            </w:r>
          </w:p>
        </w:tc>
        <w:tc>
          <w:tcPr>
            <w:tcW w:w="2977" w:type="dxa"/>
            <w:vAlign w:val="center"/>
          </w:tcPr>
          <w:p w:rsidR="001C36D8" w:rsidRPr="005B1E0B" w:rsidRDefault="001C36D8" w:rsidP="001A09F9">
            <w:pPr>
              <w:jc w:val="right"/>
              <w:rPr>
                <w:color w:val="000000"/>
                <w:sz w:val="24"/>
              </w:rPr>
            </w:pPr>
            <w:r w:rsidRPr="005B1E0B">
              <w:rPr>
                <w:color w:val="000000"/>
                <w:sz w:val="24"/>
              </w:rPr>
              <w:t>237,125,089.28</w:t>
            </w:r>
          </w:p>
        </w:tc>
        <w:tc>
          <w:tcPr>
            <w:tcW w:w="1843" w:type="dxa"/>
            <w:vAlign w:val="center"/>
          </w:tcPr>
          <w:p w:rsidR="001C36D8" w:rsidRPr="005B1E0B" w:rsidRDefault="001C36D8" w:rsidP="001A09F9">
            <w:pPr>
              <w:jc w:val="right"/>
              <w:rPr>
                <w:color w:val="000000"/>
                <w:sz w:val="24"/>
              </w:rPr>
            </w:pPr>
            <w:r w:rsidRPr="005B1E0B">
              <w:rPr>
                <w:color w:val="000000"/>
                <w:sz w:val="24"/>
              </w:rPr>
              <w:t>100.00</w:t>
            </w:r>
          </w:p>
        </w:tc>
      </w:tr>
    </w:tbl>
    <w:p w:rsidR="00737AB0" w:rsidRPr="00220C32" w:rsidRDefault="00737AB0" w:rsidP="00737AB0">
      <w:pPr>
        <w:autoSpaceDE w:val="0"/>
        <w:autoSpaceDN w:val="0"/>
        <w:adjustRightInd w:val="0"/>
        <w:spacing w:line="360" w:lineRule="auto"/>
        <w:jc w:val="left"/>
        <w:rPr>
          <w:rFonts w:asciiTheme="minorEastAsia" w:eastAsiaTheme="minorEastAsia" w:hAnsiTheme="minorEastAsia"/>
          <w:b/>
          <w:bCs/>
          <w:color w:val="000000" w:themeColor="text1"/>
          <w:kern w:val="0"/>
          <w:sz w:val="24"/>
        </w:rPr>
      </w:pPr>
      <w:r w:rsidRPr="00220C32">
        <w:rPr>
          <w:rFonts w:asciiTheme="minorEastAsia" w:eastAsiaTheme="minorEastAsia" w:hAnsiTheme="minorEastAsia"/>
          <w:b/>
          <w:bCs/>
          <w:color w:val="000000" w:themeColor="text1"/>
          <w:kern w:val="0"/>
          <w:sz w:val="24"/>
        </w:rPr>
        <w:t xml:space="preserve">5.2 </w:t>
      </w:r>
      <w:r w:rsidRPr="00220C32">
        <w:rPr>
          <w:rFonts w:asciiTheme="minorEastAsia" w:eastAsiaTheme="minorEastAsia" w:hAnsiTheme="minorEastAsia" w:hint="eastAsia"/>
          <w:b/>
          <w:bCs/>
          <w:color w:val="000000" w:themeColor="text1"/>
          <w:kern w:val="0"/>
          <w:sz w:val="24"/>
        </w:rPr>
        <w:t>报告期末按行业分类的股票投资组合</w:t>
      </w:r>
    </w:p>
    <w:p w:rsidR="00737AB0" w:rsidRPr="000D7474" w:rsidRDefault="00737AB0" w:rsidP="00737AB0">
      <w:pPr>
        <w:rPr>
          <w:rFonts w:asciiTheme="minorEastAsia" w:eastAsiaTheme="minorEastAsia" w:hAnsiTheme="minorEastAsia"/>
          <w:b/>
          <w:bCs/>
          <w:color w:val="000000" w:themeColor="text1"/>
          <w:kern w:val="0"/>
          <w:sz w:val="24"/>
        </w:rPr>
      </w:pPr>
      <w:r w:rsidRPr="000D7474">
        <w:rPr>
          <w:rFonts w:asciiTheme="minorEastAsia" w:eastAsiaTheme="minorEastAsia" w:hAnsiTheme="minorEastAsia" w:hint="eastAsia"/>
          <w:b/>
          <w:bCs/>
          <w:color w:val="000000" w:themeColor="text1"/>
          <w:kern w:val="0"/>
          <w:sz w:val="24"/>
        </w:rPr>
        <w:t>5.2.1报告期末按行业分类的境内股票投资组合</w:t>
      </w:r>
    </w:p>
    <w:tbl>
      <w:tblPr>
        <w:tblW w:w="897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85"/>
        <w:gridCol w:w="3691"/>
        <w:gridCol w:w="2852"/>
        <w:gridCol w:w="1648"/>
      </w:tblGrid>
      <w:tr w:rsidR="00737AB0" w:rsidRPr="008C2A4F" w:rsidTr="00737AB0">
        <w:trPr>
          <w:trHeight w:val="390"/>
        </w:trPr>
        <w:tc>
          <w:tcPr>
            <w:tcW w:w="785" w:type="dxa"/>
            <w:tcBorders>
              <w:top w:val="single" w:sz="4" w:space="0" w:color="000000"/>
              <w:left w:val="single" w:sz="4" w:space="0" w:color="000000"/>
              <w:bottom w:val="single" w:sz="4" w:space="0" w:color="000000"/>
              <w:right w:val="single" w:sz="4" w:space="0" w:color="000000"/>
            </w:tcBorders>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行业类别</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占基金资产净值比例（％）</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autoSpaceDE w:val="0"/>
              <w:autoSpaceDN w:val="0"/>
              <w:adjustRightInd w:val="0"/>
              <w:spacing w:before="29" w:line="360" w:lineRule="auto"/>
              <w:ind w:left="15"/>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utoSpaceDE w:val="0"/>
              <w:autoSpaceDN w:val="0"/>
              <w:adjustRightInd w:val="0"/>
              <w:spacing w:before="29" w:line="360" w:lineRule="auto"/>
              <w:ind w:left="15"/>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p w:rsidR="00737AB0" w:rsidRPr="008C2A4F" w:rsidRDefault="00737AB0" w:rsidP="00D94F96">
            <w:pPr>
              <w:jc w:val="right"/>
              <w:rPr>
                <w:rFonts w:eastAsiaTheme="minorEastAsia"/>
                <w:color w:val="000000" w:themeColor="text1"/>
                <w:kern w:val="0"/>
                <w:sz w:val="24"/>
              </w:rPr>
            </w:pP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p w:rsidR="00737AB0" w:rsidRPr="008C2A4F" w:rsidRDefault="00737AB0" w:rsidP="00D94F96">
            <w:pPr>
              <w:jc w:val="right"/>
              <w:rPr>
                <w:rFonts w:eastAsiaTheme="minorEastAsia"/>
                <w:color w:val="000000" w:themeColor="text1"/>
                <w:kern w:val="0"/>
                <w:sz w:val="24"/>
              </w:rPr>
            </w:pP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制造业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670,902.81</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0.28</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建筑业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金融业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221,029,215.46</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93.88</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房地产业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教育</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lastRenderedPageBreak/>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综合</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合计</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221,700,118.27</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94.17</w:t>
            </w:r>
          </w:p>
        </w:tc>
      </w:tr>
    </w:tbl>
    <w:p w:rsidR="000F2837" w:rsidRPr="000F2837" w:rsidRDefault="001C36D8" w:rsidP="000F2837">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5.3</w:t>
      </w:r>
      <w:r w:rsidR="00291A74" w:rsidRPr="00291A74">
        <w:rPr>
          <w:rFonts w:ascii="宋体" w:hAnsi="宋体" w:cs="Arial" w:hint="eastAsia"/>
          <w:b/>
          <w:color w:val="000000"/>
          <w:kern w:val="0"/>
          <w:sz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0F2837" w:rsidRPr="00264E55" w:rsidTr="002406DE">
        <w:tc>
          <w:tcPr>
            <w:tcW w:w="851" w:type="dxa"/>
            <w:vAlign w:val="center"/>
          </w:tcPr>
          <w:p w:rsidR="000F2837" w:rsidRPr="00232B03" w:rsidRDefault="000F2837" w:rsidP="002406DE">
            <w:pPr>
              <w:spacing w:before="29" w:line="360" w:lineRule="auto"/>
              <w:ind w:left="17"/>
              <w:jc w:val="center"/>
              <w:rPr>
                <w:color w:val="000000"/>
                <w:kern w:val="0"/>
                <w:sz w:val="24"/>
              </w:rPr>
            </w:pPr>
            <w:r w:rsidRPr="00232B03">
              <w:rPr>
                <w:color w:val="000000"/>
                <w:kern w:val="0"/>
                <w:sz w:val="24"/>
              </w:rPr>
              <w:t>序号</w:t>
            </w:r>
          </w:p>
        </w:tc>
        <w:tc>
          <w:tcPr>
            <w:tcW w:w="1276" w:type="dxa"/>
            <w:vAlign w:val="center"/>
          </w:tcPr>
          <w:p w:rsidR="000F2837" w:rsidRPr="00232B03" w:rsidRDefault="000F2837" w:rsidP="002406DE">
            <w:pPr>
              <w:spacing w:before="29" w:line="360" w:lineRule="auto"/>
              <w:ind w:left="17"/>
              <w:jc w:val="center"/>
              <w:rPr>
                <w:color w:val="000000"/>
                <w:kern w:val="0"/>
                <w:sz w:val="24"/>
              </w:rPr>
            </w:pPr>
            <w:r w:rsidRPr="00232B03">
              <w:rPr>
                <w:color w:val="000000"/>
                <w:kern w:val="0"/>
                <w:sz w:val="24"/>
              </w:rPr>
              <w:t>股票代码</w:t>
            </w:r>
          </w:p>
        </w:tc>
        <w:tc>
          <w:tcPr>
            <w:tcW w:w="1418" w:type="dxa"/>
            <w:vAlign w:val="center"/>
          </w:tcPr>
          <w:p w:rsidR="000F2837" w:rsidRPr="00232B03" w:rsidRDefault="000F2837" w:rsidP="002406DE">
            <w:pPr>
              <w:spacing w:before="29" w:line="360" w:lineRule="auto"/>
              <w:ind w:left="17"/>
              <w:jc w:val="center"/>
              <w:rPr>
                <w:color w:val="000000"/>
                <w:kern w:val="0"/>
                <w:sz w:val="24"/>
              </w:rPr>
            </w:pPr>
            <w:r w:rsidRPr="00232B03">
              <w:rPr>
                <w:color w:val="000000"/>
                <w:kern w:val="0"/>
                <w:sz w:val="24"/>
              </w:rPr>
              <w:t>股票名称</w:t>
            </w:r>
          </w:p>
        </w:tc>
        <w:tc>
          <w:tcPr>
            <w:tcW w:w="1701" w:type="dxa"/>
            <w:vAlign w:val="center"/>
          </w:tcPr>
          <w:p w:rsidR="000F2837" w:rsidRPr="00232B03" w:rsidRDefault="000F2837" w:rsidP="002406DE">
            <w:pPr>
              <w:spacing w:before="29" w:line="360" w:lineRule="auto"/>
              <w:ind w:left="17"/>
              <w:jc w:val="center"/>
              <w:rPr>
                <w:color w:val="000000"/>
                <w:kern w:val="0"/>
                <w:sz w:val="24"/>
              </w:rPr>
            </w:pPr>
            <w:r w:rsidRPr="00232B03">
              <w:rPr>
                <w:color w:val="000000"/>
                <w:kern w:val="0"/>
                <w:sz w:val="24"/>
              </w:rPr>
              <w:t>数量（股）</w:t>
            </w:r>
          </w:p>
        </w:tc>
        <w:tc>
          <w:tcPr>
            <w:tcW w:w="1984" w:type="dxa"/>
            <w:vAlign w:val="center"/>
          </w:tcPr>
          <w:p w:rsidR="000F2837" w:rsidRPr="00232B03" w:rsidRDefault="000F2837" w:rsidP="002406DE">
            <w:pPr>
              <w:autoSpaceDE w:val="0"/>
              <w:autoSpaceDN w:val="0"/>
              <w:adjustRightInd w:val="0"/>
              <w:spacing w:before="29" w:line="360" w:lineRule="auto"/>
              <w:ind w:left="17"/>
              <w:jc w:val="center"/>
              <w:rPr>
                <w:color w:val="000000"/>
                <w:kern w:val="0"/>
                <w:sz w:val="24"/>
              </w:rPr>
            </w:pPr>
            <w:r w:rsidRPr="00232B03">
              <w:rPr>
                <w:color w:val="000000"/>
                <w:kern w:val="0"/>
                <w:sz w:val="24"/>
              </w:rPr>
              <w:t>公允价值（元）</w:t>
            </w:r>
          </w:p>
        </w:tc>
        <w:tc>
          <w:tcPr>
            <w:tcW w:w="1559" w:type="dxa"/>
            <w:vAlign w:val="center"/>
          </w:tcPr>
          <w:p w:rsidR="000F2837" w:rsidRPr="00232B03" w:rsidRDefault="000F2837" w:rsidP="002406DE">
            <w:pPr>
              <w:spacing w:before="29" w:line="360" w:lineRule="auto"/>
              <w:ind w:left="17"/>
              <w:jc w:val="center"/>
              <w:rPr>
                <w:color w:val="000000"/>
                <w:kern w:val="0"/>
                <w:sz w:val="24"/>
              </w:rPr>
            </w:pPr>
            <w:r w:rsidRPr="00232B03">
              <w:rPr>
                <w:color w:val="000000"/>
                <w:kern w:val="0"/>
                <w:sz w:val="24"/>
              </w:rPr>
              <w:t>占基金资产净值比例（％）</w:t>
            </w:r>
          </w:p>
        </w:tc>
      </w:tr>
      <w:tr w:rsidR="00131020">
        <w:tc>
          <w:tcPr>
            <w:tcW w:w="851" w:type="dxa"/>
            <w:vAlign w:val="center"/>
          </w:tcPr>
          <w:p w:rsidR="00131020" w:rsidRDefault="00D70B49">
            <w:pPr>
              <w:jc w:val="center"/>
            </w:pPr>
            <w:r>
              <w:rPr>
                <w:color w:val="000000"/>
                <w:kern w:val="0"/>
                <w:sz w:val="24"/>
              </w:rPr>
              <w:t>1</w:t>
            </w:r>
          </w:p>
        </w:tc>
        <w:tc>
          <w:tcPr>
            <w:tcW w:w="1276" w:type="dxa"/>
            <w:vAlign w:val="center"/>
          </w:tcPr>
          <w:p w:rsidR="00131020" w:rsidRDefault="00D70B49">
            <w:pPr>
              <w:jc w:val="center"/>
            </w:pPr>
            <w:r>
              <w:rPr>
                <w:color w:val="000000"/>
                <w:kern w:val="0"/>
                <w:sz w:val="24"/>
              </w:rPr>
              <w:t>600036</w:t>
            </w:r>
          </w:p>
        </w:tc>
        <w:tc>
          <w:tcPr>
            <w:tcW w:w="1418" w:type="dxa"/>
            <w:vAlign w:val="center"/>
          </w:tcPr>
          <w:p w:rsidR="00131020" w:rsidRDefault="00D70B49">
            <w:pPr>
              <w:jc w:val="center"/>
            </w:pPr>
            <w:r>
              <w:rPr>
                <w:color w:val="000000"/>
                <w:kern w:val="0"/>
                <w:sz w:val="24"/>
              </w:rPr>
              <w:t>招商银行</w:t>
            </w:r>
          </w:p>
        </w:tc>
        <w:tc>
          <w:tcPr>
            <w:tcW w:w="1701" w:type="dxa"/>
            <w:vAlign w:val="center"/>
          </w:tcPr>
          <w:p w:rsidR="00131020" w:rsidRDefault="00D70B49">
            <w:pPr>
              <w:jc w:val="right"/>
            </w:pPr>
            <w:r>
              <w:rPr>
                <w:color w:val="000000"/>
                <w:kern w:val="0"/>
                <w:sz w:val="24"/>
              </w:rPr>
              <w:t>964,857</w:t>
            </w:r>
          </w:p>
        </w:tc>
        <w:tc>
          <w:tcPr>
            <w:tcW w:w="1984" w:type="dxa"/>
            <w:vAlign w:val="center"/>
          </w:tcPr>
          <w:p w:rsidR="00131020" w:rsidRDefault="00D70B49">
            <w:pPr>
              <w:jc w:val="right"/>
            </w:pPr>
            <w:r>
              <w:rPr>
                <w:color w:val="000000"/>
                <w:kern w:val="0"/>
                <w:sz w:val="24"/>
              </w:rPr>
              <w:t>33,528,780.75</w:t>
            </w:r>
          </w:p>
        </w:tc>
        <w:tc>
          <w:tcPr>
            <w:tcW w:w="1559" w:type="dxa"/>
            <w:vAlign w:val="center"/>
          </w:tcPr>
          <w:p w:rsidR="00131020" w:rsidRDefault="00D70B49">
            <w:pPr>
              <w:jc w:val="right"/>
            </w:pPr>
            <w:r>
              <w:rPr>
                <w:color w:val="000000"/>
                <w:kern w:val="0"/>
                <w:sz w:val="24"/>
              </w:rPr>
              <w:t>14.24</w:t>
            </w:r>
          </w:p>
        </w:tc>
      </w:tr>
      <w:tr w:rsidR="00131020">
        <w:tc>
          <w:tcPr>
            <w:tcW w:w="851" w:type="dxa"/>
            <w:vAlign w:val="center"/>
          </w:tcPr>
          <w:p w:rsidR="00131020" w:rsidRDefault="00D70B49">
            <w:pPr>
              <w:jc w:val="center"/>
            </w:pPr>
            <w:r>
              <w:rPr>
                <w:color w:val="000000"/>
                <w:kern w:val="0"/>
                <w:sz w:val="24"/>
              </w:rPr>
              <w:t>2</w:t>
            </w:r>
          </w:p>
        </w:tc>
        <w:tc>
          <w:tcPr>
            <w:tcW w:w="1276" w:type="dxa"/>
            <w:vAlign w:val="center"/>
          </w:tcPr>
          <w:p w:rsidR="00131020" w:rsidRDefault="00D70B49">
            <w:pPr>
              <w:jc w:val="center"/>
            </w:pPr>
            <w:r>
              <w:rPr>
                <w:color w:val="000000"/>
                <w:kern w:val="0"/>
                <w:sz w:val="24"/>
              </w:rPr>
              <w:t>601166</w:t>
            </w:r>
          </w:p>
        </w:tc>
        <w:tc>
          <w:tcPr>
            <w:tcW w:w="1418" w:type="dxa"/>
            <w:vAlign w:val="center"/>
          </w:tcPr>
          <w:p w:rsidR="00131020" w:rsidRDefault="00D70B49">
            <w:pPr>
              <w:jc w:val="center"/>
            </w:pPr>
            <w:r>
              <w:rPr>
                <w:color w:val="000000"/>
                <w:kern w:val="0"/>
                <w:sz w:val="24"/>
              </w:rPr>
              <w:t>兴业银行</w:t>
            </w:r>
          </w:p>
        </w:tc>
        <w:tc>
          <w:tcPr>
            <w:tcW w:w="1701" w:type="dxa"/>
            <w:vAlign w:val="center"/>
          </w:tcPr>
          <w:p w:rsidR="00131020" w:rsidRDefault="00D70B49">
            <w:pPr>
              <w:jc w:val="right"/>
            </w:pPr>
            <w:r>
              <w:rPr>
                <w:color w:val="000000"/>
                <w:kern w:val="0"/>
                <w:sz w:val="24"/>
              </w:rPr>
              <w:t>1,576,200</w:t>
            </w:r>
          </w:p>
        </w:tc>
        <w:tc>
          <w:tcPr>
            <w:tcW w:w="1984" w:type="dxa"/>
            <w:vAlign w:val="center"/>
          </w:tcPr>
          <w:p w:rsidR="00131020" w:rsidRDefault="00D70B49">
            <w:pPr>
              <w:jc w:val="right"/>
            </w:pPr>
            <w:r>
              <w:rPr>
                <w:color w:val="000000"/>
                <w:kern w:val="0"/>
                <w:sz w:val="24"/>
              </w:rPr>
              <w:t>27,630,786.00</w:t>
            </w:r>
          </w:p>
        </w:tc>
        <w:tc>
          <w:tcPr>
            <w:tcW w:w="1559" w:type="dxa"/>
            <w:vAlign w:val="center"/>
          </w:tcPr>
          <w:p w:rsidR="00131020" w:rsidRDefault="00D70B49">
            <w:pPr>
              <w:jc w:val="right"/>
            </w:pPr>
            <w:r>
              <w:rPr>
                <w:color w:val="000000"/>
                <w:kern w:val="0"/>
                <w:sz w:val="24"/>
              </w:rPr>
              <w:t>11.74</w:t>
            </w:r>
          </w:p>
        </w:tc>
      </w:tr>
      <w:tr w:rsidR="00131020">
        <w:tc>
          <w:tcPr>
            <w:tcW w:w="851" w:type="dxa"/>
            <w:vAlign w:val="center"/>
          </w:tcPr>
          <w:p w:rsidR="00131020" w:rsidRDefault="00D70B49">
            <w:pPr>
              <w:jc w:val="center"/>
            </w:pPr>
            <w:r>
              <w:rPr>
                <w:color w:val="000000"/>
                <w:kern w:val="0"/>
                <w:sz w:val="24"/>
              </w:rPr>
              <w:t>3</w:t>
            </w:r>
          </w:p>
        </w:tc>
        <w:tc>
          <w:tcPr>
            <w:tcW w:w="1276" w:type="dxa"/>
            <w:vAlign w:val="center"/>
          </w:tcPr>
          <w:p w:rsidR="00131020" w:rsidRDefault="00D70B49">
            <w:pPr>
              <w:jc w:val="center"/>
            </w:pPr>
            <w:r>
              <w:rPr>
                <w:color w:val="000000"/>
                <w:kern w:val="0"/>
                <w:sz w:val="24"/>
              </w:rPr>
              <w:t>601328</w:t>
            </w:r>
          </w:p>
        </w:tc>
        <w:tc>
          <w:tcPr>
            <w:tcW w:w="1418" w:type="dxa"/>
            <w:vAlign w:val="center"/>
          </w:tcPr>
          <w:p w:rsidR="00131020" w:rsidRDefault="00D70B49">
            <w:pPr>
              <w:jc w:val="center"/>
            </w:pPr>
            <w:r>
              <w:rPr>
                <w:color w:val="000000"/>
                <w:kern w:val="0"/>
                <w:sz w:val="24"/>
              </w:rPr>
              <w:t>交通银行</w:t>
            </w:r>
          </w:p>
        </w:tc>
        <w:tc>
          <w:tcPr>
            <w:tcW w:w="1701" w:type="dxa"/>
            <w:vAlign w:val="center"/>
          </w:tcPr>
          <w:p w:rsidR="00131020" w:rsidRDefault="00D70B49">
            <w:pPr>
              <w:jc w:val="right"/>
            </w:pPr>
            <w:r>
              <w:rPr>
                <w:color w:val="000000"/>
                <w:kern w:val="0"/>
                <w:sz w:val="24"/>
              </w:rPr>
              <w:t>2,978,150</w:t>
            </w:r>
          </w:p>
        </w:tc>
        <w:tc>
          <w:tcPr>
            <w:tcW w:w="1984" w:type="dxa"/>
            <w:vAlign w:val="center"/>
          </w:tcPr>
          <w:p w:rsidR="00131020" w:rsidRDefault="00D70B49">
            <w:pPr>
              <w:jc w:val="right"/>
            </w:pPr>
            <w:r>
              <w:rPr>
                <w:color w:val="000000"/>
                <w:kern w:val="0"/>
                <w:sz w:val="24"/>
              </w:rPr>
              <w:t>16,230,917.50</w:t>
            </w:r>
          </w:p>
        </w:tc>
        <w:tc>
          <w:tcPr>
            <w:tcW w:w="1559" w:type="dxa"/>
            <w:vAlign w:val="center"/>
          </w:tcPr>
          <w:p w:rsidR="00131020" w:rsidRDefault="00D70B49">
            <w:pPr>
              <w:jc w:val="right"/>
            </w:pPr>
            <w:r>
              <w:rPr>
                <w:color w:val="000000"/>
                <w:kern w:val="0"/>
                <w:sz w:val="24"/>
              </w:rPr>
              <w:t>6.89</w:t>
            </w:r>
          </w:p>
        </w:tc>
      </w:tr>
      <w:tr w:rsidR="00131020">
        <w:tc>
          <w:tcPr>
            <w:tcW w:w="851" w:type="dxa"/>
            <w:vAlign w:val="center"/>
          </w:tcPr>
          <w:p w:rsidR="00131020" w:rsidRDefault="00D70B49">
            <w:pPr>
              <w:jc w:val="center"/>
            </w:pPr>
            <w:r>
              <w:rPr>
                <w:color w:val="000000"/>
                <w:kern w:val="0"/>
                <w:sz w:val="24"/>
              </w:rPr>
              <w:t>4</w:t>
            </w:r>
          </w:p>
        </w:tc>
        <w:tc>
          <w:tcPr>
            <w:tcW w:w="1276" w:type="dxa"/>
            <w:vAlign w:val="center"/>
          </w:tcPr>
          <w:p w:rsidR="00131020" w:rsidRDefault="00D70B49">
            <w:pPr>
              <w:jc w:val="center"/>
            </w:pPr>
            <w:r>
              <w:rPr>
                <w:color w:val="000000"/>
                <w:kern w:val="0"/>
                <w:sz w:val="24"/>
              </w:rPr>
              <w:t>600016</w:t>
            </w:r>
          </w:p>
        </w:tc>
        <w:tc>
          <w:tcPr>
            <w:tcW w:w="1418" w:type="dxa"/>
            <w:vAlign w:val="center"/>
          </w:tcPr>
          <w:p w:rsidR="00131020" w:rsidRDefault="00D70B49">
            <w:pPr>
              <w:jc w:val="center"/>
            </w:pPr>
            <w:r>
              <w:rPr>
                <w:color w:val="000000"/>
                <w:kern w:val="0"/>
                <w:sz w:val="24"/>
              </w:rPr>
              <w:t>民生银行</w:t>
            </w:r>
          </w:p>
        </w:tc>
        <w:tc>
          <w:tcPr>
            <w:tcW w:w="1701" w:type="dxa"/>
            <w:vAlign w:val="center"/>
          </w:tcPr>
          <w:p w:rsidR="00131020" w:rsidRDefault="00D70B49">
            <w:pPr>
              <w:jc w:val="right"/>
            </w:pPr>
            <w:r>
              <w:rPr>
                <w:color w:val="000000"/>
                <w:kern w:val="0"/>
                <w:sz w:val="24"/>
              </w:rPr>
              <w:t>2,690,608</w:t>
            </w:r>
          </w:p>
        </w:tc>
        <w:tc>
          <w:tcPr>
            <w:tcW w:w="1984" w:type="dxa"/>
            <w:vAlign w:val="center"/>
          </w:tcPr>
          <w:p w:rsidR="00131020" w:rsidRDefault="00D70B49">
            <w:pPr>
              <w:jc w:val="right"/>
            </w:pPr>
            <w:r>
              <w:rPr>
                <w:color w:val="000000"/>
                <w:kern w:val="0"/>
                <w:sz w:val="24"/>
              </w:rPr>
              <w:t>16,197,460.16</w:t>
            </w:r>
          </w:p>
        </w:tc>
        <w:tc>
          <w:tcPr>
            <w:tcW w:w="1559" w:type="dxa"/>
            <w:vAlign w:val="center"/>
          </w:tcPr>
          <w:p w:rsidR="00131020" w:rsidRDefault="00D70B49">
            <w:pPr>
              <w:jc w:val="right"/>
            </w:pPr>
            <w:r>
              <w:rPr>
                <w:color w:val="000000"/>
                <w:kern w:val="0"/>
                <w:sz w:val="24"/>
              </w:rPr>
              <w:t>6.88</w:t>
            </w:r>
          </w:p>
        </w:tc>
      </w:tr>
      <w:tr w:rsidR="00131020">
        <w:tc>
          <w:tcPr>
            <w:tcW w:w="851" w:type="dxa"/>
            <w:vAlign w:val="center"/>
          </w:tcPr>
          <w:p w:rsidR="00131020" w:rsidRDefault="00D70B49">
            <w:pPr>
              <w:jc w:val="center"/>
            </w:pPr>
            <w:r>
              <w:rPr>
                <w:color w:val="000000"/>
                <w:kern w:val="0"/>
                <w:sz w:val="24"/>
              </w:rPr>
              <w:t>5</w:t>
            </w:r>
          </w:p>
        </w:tc>
        <w:tc>
          <w:tcPr>
            <w:tcW w:w="1276" w:type="dxa"/>
            <w:vAlign w:val="center"/>
          </w:tcPr>
          <w:p w:rsidR="00131020" w:rsidRDefault="00D70B49">
            <w:pPr>
              <w:jc w:val="center"/>
            </w:pPr>
            <w:r>
              <w:rPr>
                <w:color w:val="000000"/>
                <w:kern w:val="0"/>
                <w:sz w:val="24"/>
              </w:rPr>
              <w:t>600000</w:t>
            </w:r>
          </w:p>
        </w:tc>
        <w:tc>
          <w:tcPr>
            <w:tcW w:w="1418" w:type="dxa"/>
            <w:vAlign w:val="center"/>
          </w:tcPr>
          <w:p w:rsidR="00131020" w:rsidRDefault="00D70B49">
            <w:pPr>
              <w:jc w:val="center"/>
            </w:pPr>
            <w:r>
              <w:rPr>
                <w:color w:val="000000"/>
                <w:kern w:val="0"/>
                <w:sz w:val="24"/>
              </w:rPr>
              <w:t>浦发银行</w:t>
            </w:r>
          </w:p>
        </w:tc>
        <w:tc>
          <w:tcPr>
            <w:tcW w:w="1701" w:type="dxa"/>
            <w:vAlign w:val="center"/>
          </w:tcPr>
          <w:p w:rsidR="00131020" w:rsidRDefault="00D70B49">
            <w:pPr>
              <w:jc w:val="right"/>
            </w:pPr>
            <w:r>
              <w:rPr>
                <w:color w:val="000000"/>
                <w:kern w:val="0"/>
                <w:sz w:val="24"/>
              </w:rPr>
              <w:t>1,272,654</w:t>
            </w:r>
          </w:p>
        </w:tc>
        <w:tc>
          <w:tcPr>
            <w:tcW w:w="1984" w:type="dxa"/>
            <w:vAlign w:val="center"/>
          </w:tcPr>
          <w:p w:rsidR="00131020" w:rsidRDefault="00D70B49">
            <w:pPr>
              <w:jc w:val="right"/>
            </w:pPr>
            <w:r>
              <w:rPr>
                <w:color w:val="000000"/>
                <w:kern w:val="0"/>
                <w:sz w:val="24"/>
              </w:rPr>
              <w:t>15,068,223.36</w:t>
            </w:r>
          </w:p>
        </w:tc>
        <w:tc>
          <w:tcPr>
            <w:tcW w:w="1559" w:type="dxa"/>
            <w:vAlign w:val="center"/>
          </w:tcPr>
          <w:p w:rsidR="00131020" w:rsidRDefault="00D70B49">
            <w:pPr>
              <w:jc w:val="right"/>
            </w:pPr>
            <w:r>
              <w:rPr>
                <w:color w:val="000000"/>
                <w:kern w:val="0"/>
                <w:sz w:val="24"/>
              </w:rPr>
              <w:t>6.40</w:t>
            </w:r>
          </w:p>
        </w:tc>
      </w:tr>
      <w:tr w:rsidR="00131020">
        <w:tc>
          <w:tcPr>
            <w:tcW w:w="851" w:type="dxa"/>
            <w:vAlign w:val="center"/>
          </w:tcPr>
          <w:p w:rsidR="00131020" w:rsidRDefault="00D70B49">
            <w:pPr>
              <w:jc w:val="center"/>
            </w:pPr>
            <w:r>
              <w:rPr>
                <w:color w:val="000000"/>
                <w:kern w:val="0"/>
                <w:sz w:val="24"/>
              </w:rPr>
              <w:t>6</w:t>
            </w:r>
          </w:p>
        </w:tc>
        <w:tc>
          <w:tcPr>
            <w:tcW w:w="1276" w:type="dxa"/>
            <w:vAlign w:val="center"/>
          </w:tcPr>
          <w:p w:rsidR="00131020" w:rsidRDefault="00D70B49">
            <w:pPr>
              <w:jc w:val="center"/>
            </w:pPr>
            <w:r>
              <w:rPr>
                <w:color w:val="000000"/>
                <w:kern w:val="0"/>
                <w:sz w:val="24"/>
              </w:rPr>
              <w:t>000001</w:t>
            </w:r>
          </w:p>
        </w:tc>
        <w:tc>
          <w:tcPr>
            <w:tcW w:w="1418" w:type="dxa"/>
            <w:vAlign w:val="center"/>
          </w:tcPr>
          <w:p w:rsidR="00131020" w:rsidRDefault="00D70B49">
            <w:pPr>
              <w:jc w:val="center"/>
            </w:pPr>
            <w:r>
              <w:rPr>
                <w:color w:val="000000"/>
                <w:kern w:val="0"/>
                <w:sz w:val="24"/>
              </w:rPr>
              <w:t>平安银行</w:t>
            </w:r>
          </w:p>
        </w:tc>
        <w:tc>
          <w:tcPr>
            <w:tcW w:w="1701" w:type="dxa"/>
            <w:vAlign w:val="center"/>
          </w:tcPr>
          <w:p w:rsidR="00131020" w:rsidRDefault="00D70B49">
            <w:pPr>
              <w:jc w:val="right"/>
            </w:pPr>
            <w:r>
              <w:rPr>
                <w:color w:val="000000"/>
                <w:kern w:val="0"/>
                <w:sz w:val="24"/>
              </w:rPr>
              <w:t>936,169</w:t>
            </w:r>
          </w:p>
        </w:tc>
        <w:tc>
          <w:tcPr>
            <w:tcW w:w="1984" w:type="dxa"/>
            <w:vAlign w:val="center"/>
          </w:tcPr>
          <w:p w:rsidR="00131020" w:rsidRDefault="00D70B49">
            <w:pPr>
              <w:jc w:val="right"/>
            </w:pPr>
            <w:r>
              <w:rPr>
                <w:color w:val="000000"/>
                <w:kern w:val="0"/>
                <w:sz w:val="24"/>
              </w:rPr>
              <w:t>14,594,874.71</w:t>
            </w:r>
          </w:p>
        </w:tc>
        <w:tc>
          <w:tcPr>
            <w:tcW w:w="1559" w:type="dxa"/>
            <w:vAlign w:val="center"/>
          </w:tcPr>
          <w:p w:rsidR="00131020" w:rsidRDefault="00D70B49">
            <w:pPr>
              <w:jc w:val="right"/>
            </w:pPr>
            <w:r>
              <w:rPr>
                <w:color w:val="000000"/>
                <w:kern w:val="0"/>
                <w:sz w:val="24"/>
              </w:rPr>
              <w:t>6.20</w:t>
            </w:r>
          </w:p>
        </w:tc>
      </w:tr>
      <w:tr w:rsidR="00131020">
        <w:tc>
          <w:tcPr>
            <w:tcW w:w="851" w:type="dxa"/>
            <w:vAlign w:val="center"/>
          </w:tcPr>
          <w:p w:rsidR="00131020" w:rsidRDefault="00D70B49">
            <w:pPr>
              <w:jc w:val="center"/>
            </w:pPr>
            <w:r>
              <w:rPr>
                <w:color w:val="000000"/>
                <w:kern w:val="0"/>
                <w:sz w:val="24"/>
              </w:rPr>
              <w:t>7</w:t>
            </w:r>
          </w:p>
        </w:tc>
        <w:tc>
          <w:tcPr>
            <w:tcW w:w="1276" w:type="dxa"/>
            <w:vAlign w:val="center"/>
          </w:tcPr>
          <w:p w:rsidR="00131020" w:rsidRDefault="00D70B49">
            <w:pPr>
              <w:jc w:val="center"/>
            </w:pPr>
            <w:r>
              <w:rPr>
                <w:color w:val="000000"/>
                <w:kern w:val="0"/>
                <w:sz w:val="24"/>
              </w:rPr>
              <w:t>601288</w:t>
            </w:r>
          </w:p>
        </w:tc>
        <w:tc>
          <w:tcPr>
            <w:tcW w:w="1418" w:type="dxa"/>
            <w:vAlign w:val="center"/>
          </w:tcPr>
          <w:p w:rsidR="00131020" w:rsidRDefault="00D70B49">
            <w:pPr>
              <w:jc w:val="center"/>
            </w:pPr>
            <w:r>
              <w:rPr>
                <w:color w:val="000000"/>
                <w:kern w:val="0"/>
                <w:sz w:val="24"/>
              </w:rPr>
              <w:t>农业银行</w:t>
            </w:r>
          </w:p>
        </w:tc>
        <w:tc>
          <w:tcPr>
            <w:tcW w:w="1701" w:type="dxa"/>
            <w:vAlign w:val="center"/>
          </w:tcPr>
          <w:p w:rsidR="00131020" w:rsidRDefault="00D70B49">
            <w:pPr>
              <w:jc w:val="right"/>
            </w:pPr>
            <w:r>
              <w:rPr>
                <w:color w:val="000000"/>
                <w:kern w:val="0"/>
                <w:sz w:val="24"/>
              </w:rPr>
              <w:t>4,152,324</w:t>
            </w:r>
          </w:p>
        </w:tc>
        <w:tc>
          <w:tcPr>
            <w:tcW w:w="1984" w:type="dxa"/>
            <w:vAlign w:val="center"/>
          </w:tcPr>
          <w:p w:rsidR="00131020" w:rsidRDefault="00D70B49">
            <w:pPr>
              <w:jc w:val="right"/>
            </w:pPr>
            <w:r>
              <w:rPr>
                <w:color w:val="000000"/>
                <w:kern w:val="0"/>
                <w:sz w:val="24"/>
              </w:rPr>
              <w:t>14,367,041.04</w:t>
            </w:r>
          </w:p>
        </w:tc>
        <w:tc>
          <w:tcPr>
            <w:tcW w:w="1559" w:type="dxa"/>
            <w:vAlign w:val="center"/>
          </w:tcPr>
          <w:p w:rsidR="00131020" w:rsidRDefault="00D70B49">
            <w:pPr>
              <w:jc w:val="right"/>
            </w:pPr>
            <w:r>
              <w:rPr>
                <w:color w:val="000000"/>
                <w:kern w:val="0"/>
                <w:sz w:val="24"/>
              </w:rPr>
              <w:t>6.10</w:t>
            </w:r>
          </w:p>
        </w:tc>
      </w:tr>
      <w:tr w:rsidR="00131020">
        <w:tc>
          <w:tcPr>
            <w:tcW w:w="851" w:type="dxa"/>
            <w:vAlign w:val="center"/>
          </w:tcPr>
          <w:p w:rsidR="00131020" w:rsidRDefault="00D70B49">
            <w:pPr>
              <w:jc w:val="center"/>
            </w:pPr>
            <w:r>
              <w:rPr>
                <w:color w:val="000000"/>
                <w:kern w:val="0"/>
                <w:sz w:val="24"/>
              </w:rPr>
              <w:t>8</w:t>
            </w:r>
          </w:p>
        </w:tc>
        <w:tc>
          <w:tcPr>
            <w:tcW w:w="1276" w:type="dxa"/>
            <w:vAlign w:val="center"/>
          </w:tcPr>
          <w:p w:rsidR="00131020" w:rsidRDefault="00D70B49">
            <w:pPr>
              <w:jc w:val="center"/>
            </w:pPr>
            <w:r>
              <w:rPr>
                <w:color w:val="000000"/>
                <w:kern w:val="0"/>
                <w:sz w:val="24"/>
              </w:rPr>
              <w:t>601398</w:t>
            </w:r>
          </w:p>
        </w:tc>
        <w:tc>
          <w:tcPr>
            <w:tcW w:w="1418" w:type="dxa"/>
            <w:vAlign w:val="center"/>
          </w:tcPr>
          <w:p w:rsidR="00131020" w:rsidRDefault="00D70B49">
            <w:pPr>
              <w:jc w:val="center"/>
            </w:pPr>
            <w:r>
              <w:rPr>
                <w:color w:val="000000"/>
                <w:kern w:val="0"/>
                <w:sz w:val="24"/>
              </w:rPr>
              <w:t>工商银行</w:t>
            </w:r>
          </w:p>
        </w:tc>
        <w:tc>
          <w:tcPr>
            <w:tcW w:w="1701" w:type="dxa"/>
            <w:vAlign w:val="center"/>
          </w:tcPr>
          <w:p w:rsidR="00131020" w:rsidRDefault="00D70B49">
            <w:pPr>
              <w:jc w:val="right"/>
            </w:pPr>
            <w:r>
              <w:rPr>
                <w:color w:val="000000"/>
                <w:kern w:val="0"/>
                <w:sz w:val="24"/>
              </w:rPr>
              <w:t>2,337,897</w:t>
            </w:r>
          </w:p>
        </w:tc>
        <w:tc>
          <w:tcPr>
            <w:tcW w:w="1984" w:type="dxa"/>
            <w:vAlign w:val="center"/>
          </w:tcPr>
          <w:p w:rsidR="00131020" w:rsidRDefault="00D70B49">
            <w:pPr>
              <w:jc w:val="right"/>
            </w:pPr>
            <w:r>
              <w:rPr>
                <w:color w:val="000000"/>
                <w:kern w:val="0"/>
                <w:sz w:val="24"/>
              </w:rPr>
              <w:t>12,928,570.41</w:t>
            </w:r>
          </w:p>
        </w:tc>
        <w:tc>
          <w:tcPr>
            <w:tcW w:w="1559" w:type="dxa"/>
            <w:vAlign w:val="center"/>
          </w:tcPr>
          <w:p w:rsidR="00131020" w:rsidRDefault="00D70B49">
            <w:pPr>
              <w:jc w:val="right"/>
            </w:pPr>
            <w:r>
              <w:rPr>
                <w:color w:val="000000"/>
                <w:kern w:val="0"/>
                <w:sz w:val="24"/>
              </w:rPr>
              <w:t>5.49</w:t>
            </w:r>
          </w:p>
        </w:tc>
      </w:tr>
      <w:tr w:rsidR="00131020">
        <w:tc>
          <w:tcPr>
            <w:tcW w:w="851" w:type="dxa"/>
            <w:vAlign w:val="center"/>
          </w:tcPr>
          <w:p w:rsidR="00131020" w:rsidRDefault="00D70B49">
            <w:pPr>
              <w:jc w:val="center"/>
            </w:pPr>
            <w:r>
              <w:rPr>
                <w:color w:val="000000"/>
                <w:kern w:val="0"/>
                <w:sz w:val="24"/>
              </w:rPr>
              <w:t>9</w:t>
            </w:r>
          </w:p>
        </w:tc>
        <w:tc>
          <w:tcPr>
            <w:tcW w:w="1276" w:type="dxa"/>
            <w:vAlign w:val="center"/>
          </w:tcPr>
          <w:p w:rsidR="00131020" w:rsidRDefault="00D70B49">
            <w:pPr>
              <w:jc w:val="center"/>
            </w:pPr>
            <w:r>
              <w:rPr>
                <w:color w:val="000000"/>
                <w:kern w:val="0"/>
                <w:sz w:val="24"/>
              </w:rPr>
              <w:t>601169</w:t>
            </w:r>
          </w:p>
        </w:tc>
        <w:tc>
          <w:tcPr>
            <w:tcW w:w="1418" w:type="dxa"/>
            <w:vAlign w:val="center"/>
          </w:tcPr>
          <w:p w:rsidR="00131020" w:rsidRDefault="00D70B49">
            <w:pPr>
              <w:jc w:val="center"/>
            </w:pPr>
            <w:r>
              <w:rPr>
                <w:color w:val="000000"/>
                <w:kern w:val="0"/>
                <w:sz w:val="24"/>
              </w:rPr>
              <w:t>北京银行</w:t>
            </w:r>
          </w:p>
        </w:tc>
        <w:tc>
          <w:tcPr>
            <w:tcW w:w="1701" w:type="dxa"/>
            <w:vAlign w:val="center"/>
          </w:tcPr>
          <w:p w:rsidR="00131020" w:rsidRDefault="00D70B49">
            <w:pPr>
              <w:jc w:val="right"/>
            </w:pPr>
            <w:r>
              <w:rPr>
                <w:color w:val="000000"/>
                <w:kern w:val="0"/>
                <w:sz w:val="24"/>
              </w:rPr>
              <w:t>1,604,264</w:t>
            </w:r>
          </w:p>
        </w:tc>
        <w:tc>
          <w:tcPr>
            <w:tcW w:w="1984" w:type="dxa"/>
            <w:vAlign w:val="center"/>
          </w:tcPr>
          <w:p w:rsidR="00131020" w:rsidRDefault="00D70B49">
            <w:pPr>
              <w:jc w:val="right"/>
            </w:pPr>
            <w:r>
              <w:rPr>
                <w:color w:val="000000"/>
                <w:kern w:val="0"/>
                <w:sz w:val="24"/>
              </w:rPr>
              <w:t>8,598,855.04</w:t>
            </w:r>
          </w:p>
        </w:tc>
        <w:tc>
          <w:tcPr>
            <w:tcW w:w="1559" w:type="dxa"/>
            <w:vAlign w:val="center"/>
          </w:tcPr>
          <w:p w:rsidR="00131020" w:rsidRDefault="00D70B49">
            <w:pPr>
              <w:jc w:val="right"/>
            </w:pPr>
            <w:r>
              <w:rPr>
                <w:color w:val="000000"/>
                <w:kern w:val="0"/>
                <w:sz w:val="24"/>
              </w:rPr>
              <w:t>3.65</w:t>
            </w:r>
          </w:p>
        </w:tc>
      </w:tr>
      <w:tr w:rsidR="00131020">
        <w:tc>
          <w:tcPr>
            <w:tcW w:w="851" w:type="dxa"/>
            <w:vAlign w:val="center"/>
          </w:tcPr>
          <w:p w:rsidR="00131020" w:rsidRDefault="00D70B49">
            <w:pPr>
              <w:jc w:val="center"/>
            </w:pPr>
            <w:r>
              <w:rPr>
                <w:color w:val="000000"/>
                <w:kern w:val="0"/>
                <w:sz w:val="24"/>
              </w:rPr>
              <w:t>10</w:t>
            </w:r>
          </w:p>
        </w:tc>
        <w:tc>
          <w:tcPr>
            <w:tcW w:w="1276" w:type="dxa"/>
            <w:vAlign w:val="center"/>
          </w:tcPr>
          <w:p w:rsidR="00131020" w:rsidRDefault="00D70B49">
            <w:pPr>
              <w:jc w:val="center"/>
            </w:pPr>
            <w:r>
              <w:rPr>
                <w:color w:val="000000"/>
                <w:kern w:val="0"/>
                <w:sz w:val="24"/>
              </w:rPr>
              <w:t>601988</w:t>
            </w:r>
          </w:p>
        </w:tc>
        <w:tc>
          <w:tcPr>
            <w:tcW w:w="1418" w:type="dxa"/>
            <w:vAlign w:val="center"/>
          </w:tcPr>
          <w:p w:rsidR="00131020" w:rsidRDefault="00D70B49">
            <w:pPr>
              <w:jc w:val="center"/>
            </w:pPr>
            <w:r>
              <w:rPr>
                <w:color w:val="000000"/>
                <w:kern w:val="0"/>
                <w:sz w:val="24"/>
              </w:rPr>
              <w:t>中国银行</w:t>
            </w:r>
          </w:p>
        </w:tc>
        <w:tc>
          <w:tcPr>
            <w:tcW w:w="1701" w:type="dxa"/>
            <w:vAlign w:val="center"/>
          </w:tcPr>
          <w:p w:rsidR="00131020" w:rsidRDefault="00D70B49">
            <w:pPr>
              <w:jc w:val="right"/>
            </w:pPr>
            <w:r>
              <w:rPr>
                <w:color w:val="000000"/>
                <w:kern w:val="0"/>
                <w:sz w:val="24"/>
              </w:rPr>
              <w:t>2,284,554</w:t>
            </w:r>
          </w:p>
        </w:tc>
        <w:tc>
          <w:tcPr>
            <w:tcW w:w="1984" w:type="dxa"/>
            <w:vAlign w:val="center"/>
          </w:tcPr>
          <w:p w:rsidR="00131020" w:rsidRDefault="00D70B49">
            <w:pPr>
              <w:jc w:val="right"/>
            </w:pPr>
            <w:r>
              <w:rPr>
                <w:color w:val="000000"/>
                <w:kern w:val="0"/>
                <w:sz w:val="24"/>
              </w:rPr>
              <w:t>8,178,703.32</w:t>
            </w:r>
          </w:p>
        </w:tc>
        <w:tc>
          <w:tcPr>
            <w:tcW w:w="1559" w:type="dxa"/>
            <w:vAlign w:val="center"/>
          </w:tcPr>
          <w:p w:rsidR="00131020" w:rsidRDefault="00D70B49">
            <w:pPr>
              <w:jc w:val="right"/>
            </w:pPr>
            <w:r>
              <w:rPr>
                <w:color w:val="000000"/>
                <w:kern w:val="0"/>
                <w:sz w:val="24"/>
              </w:rPr>
              <w:t>3.47</w:t>
            </w:r>
          </w:p>
        </w:tc>
      </w:tr>
    </w:tbl>
    <w:p w:rsidR="00653BAC" w:rsidRPr="00653BAC" w:rsidRDefault="001C36D8" w:rsidP="00653BAC">
      <w:pPr>
        <w:autoSpaceDE w:val="0"/>
        <w:autoSpaceDN w:val="0"/>
        <w:adjustRightInd w:val="0"/>
        <w:spacing w:line="360" w:lineRule="auto"/>
        <w:jc w:val="left"/>
        <w:rPr>
          <w:rFonts w:eastAsiaTheme="minorEastAsia"/>
          <w:b/>
          <w:color w:val="000000" w:themeColor="text1"/>
          <w:kern w:val="0"/>
          <w:sz w:val="24"/>
        </w:rPr>
      </w:pPr>
      <w:r w:rsidRPr="00272E0C">
        <w:rPr>
          <w:rFonts w:ascii="宋体" w:hAnsi="宋体" w:cs="Arial"/>
          <w:b/>
          <w:color w:val="000000"/>
          <w:kern w:val="0"/>
          <w:sz w:val="24"/>
        </w:rPr>
        <w:t xml:space="preserve">5.4 </w:t>
      </w:r>
      <w:r w:rsidRPr="00272E0C">
        <w:rPr>
          <w:rFonts w:ascii="宋体" w:hAnsi="宋体" w:cs="Arial" w:hint="eastAsia"/>
          <w:b/>
          <w:color w:val="000000"/>
          <w:kern w:val="0"/>
          <w:sz w:val="24"/>
        </w:rPr>
        <w:t>报告期末按债券品种分类的债券投资组合</w:t>
      </w:r>
    </w:p>
    <w:p w:rsidR="001C36D8" w:rsidRPr="00653BAC" w:rsidRDefault="00653BAC" w:rsidP="00653BAC">
      <w:pPr>
        <w:spacing w:line="360" w:lineRule="auto"/>
        <w:ind w:firstLineChars="200" w:firstLine="480"/>
        <w:rPr>
          <w:color w:val="000000"/>
          <w:sz w:val="24"/>
        </w:rPr>
      </w:pPr>
      <w:r w:rsidRPr="00653BAC">
        <w:rPr>
          <w:color w:val="000000"/>
          <w:sz w:val="24"/>
        </w:rPr>
        <w:t>本基金本报告期末未持有债券。</w:t>
      </w:r>
    </w:p>
    <w:p w:rsidR="001C36D8" w:rsidRPr="00272E0C" w:rsidRDefault="001C36D8" w:rsidP="00576862">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5.5 </w:t>
      </w:r>
      <w:r w:rsidRPr="00272E0C">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272E0C">
        <w:rPr>
          <w:rFonts w:ascii="宋体" w:hAnsi="宋体" w:cs="Arial" w:hint="eastAsia"/>
          <w:b/>
          <w:color w:val="000000"/>
          <w:kern w:val="0"/>
          <w:sz w:val="24"/>
        </w:rPr>
        <w:t>的前五名债券投资明细</w:t>
      </w:r>
    </w:p>
    <w:p w:rsidR="001C36D8" w:rsidRPr="005B1E0B" w:rsidRDefault="001C36D8" w:rsidP="005B1E0B">
      <w:pPr>
        <w:spacing w:line="360" w:lineRule="auto"/>
        <w:ind w:firstLineChars="200" w:firstLine="480"/>
        <w:rPr>
          <w:color w:val="000000"/>
          <w:sz w:val="24"/>
        </w:rPr>
      </w:pPr>
      <w:r w:rsidRPr="003D22BD">
        <w:rPr>
          <w:color w:val="000000"/>
          <w:sz w:val="24"/>
        </w:rPr>
        <w:t>本基金本报告期末未持有债券。</w:t>
      </w:r>
    </w:p>
    <w:p w:rsidR="001C36D8" w:rsidRPr="00272E0C" w:rsidRDefault="001C36D8" w:rsidP="00576862">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5.6</w:t>
      </w:r>
      <w:r w:rsidRPr="00272E0C">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272E0C">
        <w:rPr>
          <w:rFonts w:ascii="宋体" w:hAnsi="宋体" w:cs="Arial" w:hint="eastAsia"/>
          <w:b/>
          <w:color w:val="000000"/>
          <w:kern w:val="0"/>
          <w:sz w:val="24"/>
        </w:rPr>
        <w:t>的前十名资产支持证券投资明细</w:t>
      </w:r>
    </w:p>
    <w:p w:rsidR="001C36D8" w:rsidRPr="005B1E0B" w:rsidRDefault="001C36D8" w:rsidP="005B1E0B">
      <w:pPr>
        <w:spacing w:line="360" w:lineRule="auto"/>
        <w:ind w:firstLineChars="200" w:firstLine="480"/>
        <w:rPr>
          <w:color w:val="000000"/>
          <w:sz w:val="24"/>
        </w:rPr>
      </w:pPr>
      <w:r w:rsidRPr="003D22BD">
        <w:rPr>
          <w:color w:val="000000"/>
          <w:sz w:val="24"/>
        </w:rPr>
        <w:t>本基金本报告期末未持有资产支持证券。</w:t>
      </w:r>
    </w:p>
    <w:p w:rsidR="001C36D8" w:rsidRPr="001D63BB" w:rsidRDefault="001C36D8" w:rsidP="001C123E">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1C36D8" w:rsidRPr="005B1E0B" w:rsidRDefault="001C36D8" w:rsidP="005B1E0B">
      <w:pPr>
        <w:spacing w:line="360" w:lineRule="auto"/>
        <w:ind w:firstLineChars="200" w:firstLine="480"/>
        <w:rPr>
          <w:color w:val="000000"/>
          <w:sz w:val="24"/>
        </w:rPr>
      </w:pPr>
      <w:r w:rsidRPr="003D22BD">
        <w:rPr>
          <w:color w:val="000000"/>
          <w:sz w:val="24"/>
        </w:rPr>
        <w:t>本基金本报告期末未持有贵金属。</w:t>
      </w:r>
    </w:p>
    <w:p w:rsidR="001C36D8" w:rsidRPr="00272E0C" w:rsidRDefault="001C36D8" w:rsidP="00576862">
      <w:pPr>
        <w:autoSpaceDE w:val="0"/>
        <w:autoSpaceDN w:val="0"/>
        <w:adjustRightInd w:val="0"/>
        <w:spacing w:line="360" w:lineRule="auto"/>
        <w:jc w:val="left"/>
        <w:rPr>
          <w:rFonts w:ascii="宋体" w:cs="Arial"/>
          <w:b/>
          <w:color w:val="000000"/>
          <w:kern w:val="0"/>
          <w:sz w:val="24"/>
        </w:rPr>
      </w:pPr>
      <w:r w:rsidRPr="001B0A62">
        <w:rPr>
          <w:rFonts w:ascii="宋体"/>
          <w:b/>
          <w:bCs/>
          <w:color w:val="000000"/>
          <w:kern w:val="0"/>
          <w:sz w:val="24"/>
        </w:rPr>
        <w:t>5.8</w:t>
      </w:r>
      <w:r w:rsidRPr="00272E0C">
        <w:rPr>
          <w:rFonts w:ascii="宋体" w:hAnsi="宋体" w:hint="eastAsia"/>
          <w:b/>
          <w:bCs/>
          <w:color w:val="000000"/>
          <w:sz w:val="24"/>
        </w:rPr>
        <w:t>报告期末按公允价值占基金资产净值比例大小排</w:t>
      </w:r>
      <w:r>
        <w:rPr>
          <w:rFonts w:ascii="宋体" w:hAnsi="宋体" w:hint="eastAsia"/>
          <w:b/>
          <w:bCs/>
          <w:color w:val="000000"/>
          <w:sz w:val="24"/>
        </w:rPr>
        <w:t>序</w:t>
      </w:r>
      <w:r w:rsidRPr="00272E0C">
        <w:rPr>
          <w:rFonts w:ascii="宋体" w:hAnsi="宋体" w:hint="eastAsia"/>
          <w:b/>
          <w:bCs/>
          <w:color w:val="000000"/>
          <w:sz w:val="24"/>
        </w:rPr>
        <w:t>的前五名权证投资明细</w:t>
      </w:r>
    </w:p>
    <w:p w:rsidR="001C36D8" w:rsidRPr="005B1E0B" w:rsidRDefault="001C36D8" w:rsidP="005B1E0B">
      <w:pPr>
        <w:spacing w:line="360" w:lineRule="auto"/>
        <w:ind w:firstLineChars="200" w:firstLine="480"/>
        <w:rPr>
          <w:color w:val="000000"/>
          <w:sz w:val="24"/>
        </w:rPr>
      </w:pPr>
      <w:r w:rsidRPr="003D22BD">
        <w:rPr>
          <w:color w:val="000000"/>
          <w:sz w:val="24"/>
        </w:rPr>
        <w:t>本基金本报告期末未持有权证。</w:t>
      </w:r>
    </w:p>
    <w:p w:rsidR="001C36D8" w:rsidRPr="00E85E29" w:rsidRDefault="001C36D8" w:rsidP="00E57068">
      <w:pPr>
        <w:adjustRightInd w:val="0"/>
        <w:snapToGrid w:val="0"/>
        <w:spacing w:line="360" w:lineRule="auto"/>
        <w:rPr>
          <w:rFonts w:ascii="宋体"/>
          <w:b/>
          <w:sz w:val="24"/>
        </w:rPr>
      </w:pPr>
      <w:r w:rsidRPr="001B0A62">
        <w:rPr>
          <w:rFonts w:ascii="宋体"/>
          <w:b/>
          <w:bCs/>
          <w:color w:val="000000"/>
          <w:kern w:val="0"/>
          <w:sz w:val="24"/>
        </w:rPr>
        <w:t>5.9</w:t>
      </w:r>
      <w:r w:rsidRPr="00E85E29">
        <w:rPr>
          <w:rFonts w:ascii="宋体" w:hAnsi="宋体" w:hint="eastAsia"/>
          <w:b/>
          <w:sz w:val="24"/>
        </w:rPr>
        <w:t>报告期末本基金投资的股指期货交易情况说明</w:t>
      </w:r>
    </w:p>
    <w:p w:rsidR="003B3D0C" w:rsidRDefault="003B3D0C" w:rsidP="003B3D0C">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1C36D8" w:rsidRPr="00272E0C" w:rsidRDefault="001C36D8" w:rsidP="00576862">
      <w:pPr>
        <w:adjustRightInd w:val="0"/>
        <w:snapToGrid w:val="0"/>
        <w:spacing w:line="360" w:lineRule="auto"/>
        <w:rPr>
          <w:rFonts w:ascii="宋体"/>
          <w:b/>
          <w:sz w:val="24"/>
        </w:rPr>
      </w:pPr>
      <w:r>
        <w:rPr>
          <w:rFonts w:ascii="宋体" w:hAnsi="宋体"/>
          <w:b/>
          <w:sz w:val="24"/>
        </w:rPr>
        <w:t>5</w:t>
      </w:r>
      <w:r w:rsidRPr="00272E0C">
        <w:rPr>
          <w:rFonts w:ascii="宋体"/>
          <w:b/>
          <w:sz w:val="24"/>
        </w:rPr>
        <w:t>.</w:t>
      </w:r>
      <w:r>
        <w:rPr>
          <w:rFonts w:ascii="宋体" w:hAnsi="宋体"/>
          <w:b/>
          <w:sz w:val="24"/>
        </w:rPr>
        <w:t>10</w:t>
      </w:r>
      <w:r w:rsidRPr="00272E0C">
        <w:rPr>
          <w:rFonts w:ascii="宋体" w:hAnsi="宋体" w:hint="eastAsia"/>
          <w:b/>
          <w:sz w:val="24"/>
        </w:rPr>
        <w:t>报告期末本基金投资的国债期货交易情况说明</w:t>
      </w:r>
    </w:p>
    <w:p w:rsidR="000C44BD" w:rsidRDefault="000C44BD" w:rsidP="000C44BD">
      <w:pPr>
        <w:spacing w:line="360" w:lineRule="auto"/>
        <w:ind w:firstLineChars="200" w:firstLine="480"/>
      </w:pPr>
      <w:r>
        <w:rPr>
          <w:color w:val="000000"/>
          <w:sz w:val="24"/>
        </w:rPr>
        <w:lastRenderedPageBreak/>
        <w:t>本基金本报告期末未投资国债期货。</w:t>
      </w:r>
    </w:p>
    <w:p w:rsidR="001C36D8" w:rsidRPr="00272E0C" w:rsidRDefault="001C36D8" w:rsidP="00576862">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272E0C">
        <w:rPr>
          <w:rFonts w:ascii="宋体" w:cs="Arial"/>
          <w:b/>
          <w:color w:val="000000"/>
          <w:kern w:val="0"/>
          <w:sz w:val="24"/>
        </w:rPr>
        <w:t>.</w:t>
      </w:r>
      <w:r>
        <w:rPr>
          <w:rFonts w:ascii="宋体" w:hAnsi="宋体" w:cs="Arial"/>
          <w:b/>
          <w:color w:val="000000"/>
          <w:kern w:val="0"/>
          <w:sz w:val="24"/>
        </w:rPr>
        <w:t>11</w:t>
      </w:r>
      <w:r w:rsidRPr="00272E0C">
        <w:rPr>
          <w:rFonts w:ascii="宋体" w:hAnsi="宋体" w:cs="Arial" w:hint="eastAsia"/>
          <w:b/>
          <w:color w:val="000000"/>
          <w:kern w:val="0"/>
          <w:sz w:val="24"/>
        </w:rPr>
        <w:t>投资组合报告附注</w:t>
      </w:r>
    </w:p>
    <w:p w:rsidR="001C36D8" w:rsidRPr="005B1E0B" w:rsidRDefault="001C36D8" w:rsidP="00576862">
      <w:pPr>
        <w:spacing w:line="360" w:lineRule="auto"/>
        <w:rPr>
          <w:color w:val="000000"/>
          <w:kern w:val="0"/>
          <w:sz w:val="24"/>
        </w:rPr>
      </w:pPr>
      <w:r w:rsidRPr="001C123E">
        <w:rPr>
          <w:rFonts w:ascii="宋体" w:hAnsi="宋体"/>
          <w:bCs/>
          <w:color w:val="000000"/>
          <w:kern w:val="0"/>
          <w:sz w:val="24"/>
        </w:rPr>
        <w:t>5.11.1</w:t>
      </w:r>
      <w:r w:rsidRPr="005B1E0B">
        <w:rPr>
          <w:color w:val="000000"/>
          <w:kern w:val="0"/>
          <w:sz w:val="24"/>
        </w:rPr>
        <w:t>2018</w:t>
      </w:r>
      <w:r w:rsidRPr="005B1E0B">
        <w:rPr>
          <w:color w:val="000000"/>
          <w:kern w:val="0"/>
          <w:sz w:val="24"/>
        </w:rPr>
        <w:t>年</w:t>
      </w:r>
      <w:r w:rsidRPr="005B1E0B">
        <w:rPr>
          <w:color w:val="000000"/>
          <w:kern w:val="0"/>
          <w:sz w:val="24"/>
        </w:rPr>
        <w:t>11</w:t>
      </w:r>
      <w:r w:rsidRPr="005B1E0B">
        <w:rPr>
          <w:color w:val="000000"/>
          <w:kern w:val="0"/>
          <w:sz w:val="24"/>
        </w:rPr>
        <w:t>月</w:t>
      </w:r>
      <w:r w:rsidRPr="005B1E0B">
        <w:rPr>
          <w:color w:val="000000"/>
          <w:kern w:val="0"/>
          <w:sz w:val="24"/>
        </w:rPr>
        <w:t>9</w:t>
      </w:r>
      <w:r w:rsidRPr="005B1E0B">
        <w:rPr>
          <w:color w:val="000000"/>
          <w:kern w:val="0"/>
          <w:sz w:val="24"/>
        </w:rPr>
        <w:t>日，中国银行保险监督管理委员会对中国民生银行股份有限公司关于以下违规事实：（一）内控管理严重违反审慎经营规则；（二）同业投资违规接受担保；（三）同业投资、理财资金违规投资房地产，用于缴交或置换土地出让金及土地储备融资；（四）本行理财产品之间风险隔离不到位；（五）个人理财资金违规投资；（六）票据代理未明示，增信未簿记和计提资本占用；（七）为非保本理财产品提供保本承诺，处以罚款</w:t>
      </w:r>
      <w:r w:rsidRPr="005B1E0B">
        <w:rPr>
          <w:color w:val="000000"/>
          <w:kern w:val="0"/>
          <w:sz w:val="24"/>
        </w:rPr>
        <w:t>3160</w:t>
      </w:r>
      <w:r w:rsidRPr="005B1E0B">
        <w:rPr>
          <w:color w:val="000000"/>
          <w:kern w:val="0"/>
          <w:sz w:val="24"/>
        </w:rPr>
        <w:t>万元人民币。</w:t>
      </w:r>
    </w:p>
    <w:p w:rsidR="00131020" w:rsidRDefault="00D70B49">
      <w:pPr>
        <w:spacing w:line="360" w:lineRule="auto"/>
        <w:rPr>
          <w:color w:val="000000"/>
          <w:kern w:val="0"/>
          <w:sz w:val="24"/>
        </w:rPr>
      </w:pPr>
      <w:r>
        <w:rPr>
          <w:color w:val="000000"/>
          <w:kern w:val="0"/>
          <w:sz w:val="24"/>
        </w:rPr>
        <w:t>2018</w:t>
      </w:r>
      <w:r>
        <w:rPr>
          <w:color w:val="000000"/>
          <w:kern w:val="0"/>
          <w:sz w:val="24"/>
        </w:rPr>
        <w:t>年</w:t>
      </w:r>
      <w:r>
        <w:rPr>
          <w:color w:val="000000"/>
          <w:kern w:val="0"/>
          <w:sz w:val="24"/>
        </w:rPr>
        <w:t>11</w:t>
      </w:r>
      <w:r>
        <w:rPr>
          <w:color w:val="000000"/>
          <w:kern w:val="0"/>
          <w:sz w:val="24"/>
        </w:rPr>
        <w:t>月</w:t>
      </w:r>
      <w:r>
        <w:rPr>
          <w:color w:val="000000"/>
          <w:kern w:val="0"/>
          <w:sz w:val="24"/>
        </w:rPr>
        <w:t>9</w:t>
      </w:r>
      <w:r>
        <w:rPr>
          <w:color w:val="000000"/>
          <w:kern w:val="0"/>
          <w:sz w:val="24"/>
        </w:rPr>
        <w:t>日，中国银行保险监督管理委员会对中国民生银行股份有限公司贷款业务严重违反审慎经营规则的违规事实，处以罚款</w:t>
      </w:r>
      <w:r>
        <w:rPr>
          <w:color w:val="000000"/>
          <w:kern w:val="0"/>
          <w:sz w:val="24"/>
        </w:rPr>
        <w:t>200</w:t>
      </w:r>
      <w:r>
        <w:rPr>
          <w:color w:val="000000"/>
          <w:kern w:val="0"/>
          <w:sz w:val="24"/>
        </w:rPr>
        <w:t>万元人民币。</w:t>
      </w:r>
    </w:p>
    <w:p w:rsidR="00131020" w:rsidRDefault="00D70B49">
      <w:pPr>
        <w:spacing w:line="360" w:lineRule="auto"/>
        <w:rPr>
          <w:color w:val="000000"/>
          <w:kern w:val="0"/>
          <w:sz w:val="24"/>
        </w:rPr>
      </w:pPr>
      <w:r>
        <w:rPr>
          <w:color w:val="000000"/>
          <w:kern w:val="0"/>
          <w:sz w:val="24"/>
        </w:rPr>
        <w:t>2018</w:t>
      </w:r>
      <w:r>
        <w:rPr>
          <w:color w:val="000000"/>
          <w:kern w:val="0"/>
          <w:sz w:val="24"/>
        </w:rPr>
        <w:t>年</w:t>
      </w:r>
      <w:r>
        <w:rPr>
          <w:color w:val="000000"/>
          <w:kern w:val="0"/>
          <w:sz w:val="24"/>
        </w:rPr>
        <w:t>11</w:t>
      </w:r>
      <w:r>
        <w:rPr>
          <w:color w:val="000000"/>
          <w:kern w:val="0"/>
          <w:sz w:val="24"/>
        </w:rPr>
        <w:t>月</w:t>
      </w:r>
      <w:r>
        <w:rPr>
          <w:color w:val="000000"/>
          <w:kern w:val="0"/>
          <w:sz w:val="24"/>
        </w:rPr>
        <w:t>19</w:t>
      </w:r>
      <w:r>
        <w:rPr>
          <w:color w:val="000000"/>
          <w:kern w:val="0"/>
          <w:sz w:val="24"/>
        </w:rPr>
        <w:t>日，中国保险监督管理委员会北京监管局针对中国民生银行股份有限公司信用卡中心存在电话销售保险过程中欺骗投保人的行为，处以罚款</w:t>
      </w:r>
      <w:r>
        <w:rPr>
          <w:color w:val="000000"/>
          <w:kern w:val="0"/>
          <w:sz w:val="24"/>
        </w:rPr>
        <w:t>30</w:t>
      </w:r>
      <w:r>
        <w:rPr>
          <w:color w:val="000000"/>
          <w:kern w:val="0"/>
          <w:sz w:val="24"/>
        </w:rPr>
        <w:t>万元的行政处罚，并责令改正违法行为。</w:t>
      </w:r>
    </w:p>
    <w:p w:rsidR="00131020" w:rsidRDefault="00D70B49">
      <w:pPr>
        <w:spacing w:line="360" w:lineRule="auto"/>
        <w:rPr>
          <w:color w:val="000000"/>
          <w:kern w:val="0"/>
          <w:sz w:val="24"/>
        </w:rPr>
      </w:pPr>
      <w:r>
        <w:rPr>
          <w:color w:val="000000"/>
          <w:kern w:val="0"/>
          <w:sz w:val="24"/>
        </w:rPr>
        <w:t>2019</w:t>
      </w:r>
      <w:r>
        <w:rPr>
          <w:color w:val="000000"/>
          <w:kern w:val="0"/>
          <w:sz w:val="24"/>
        </w:rPr>
        <w:t>年</w:t>
      </w:r>
      <w:r>
        <w:rPr>
          <w:color w:val="000000"/>
          <w:kern w:val="0"/>
          <w:sz w:val="24"/>
        </w:rPr>
        <w:t>4</w:t>
      </w:r>
      <w:r>
        <w:rPr>
          <w:color w:val="000000"/>
          <w:kern w:val="0"/>
          <w:sz w:val="24"/>
        </w:rPr>
        <w:t>月</w:t>
      </w:r>
      <w:r>
        <w:rPr>
          <w:color w:val="000000"/>
          <w:kern w:val="0"/>
          <w:sz w:val="24"/>
        </w:rPr>
        <w:t>2</w:t>
      </w:r>
      <w:r>
        <w:rPr>
          <w:color w:val="000000"/>
          <w:kern w:val="0"/>
          <w:sz w:val="24"/>
        </w:rPr>
        <w:t>日，中国银行保险监督管理委员会大连监管局针对中国民生银行股份有限公司以贷收贷，掩盖资产真实质量，以贷转存，虚增存贷款规模的违法违规事实，处以罚款</w:t>
      </w:r>
      <w:r>
        <w:rPr>
          <w:color w:val="000000"/>
          <w:kern w:val="0"/>
          <w:sz w:val="24"/>
        </w:rPr>
        <w:t>100</w:t>
      </w:r>
      <w:r>
        <w:rPr>
          <w:color w:val="000000"/>
          <w:kern w:val="0"/>
          <w:sz w:val="24"/>
        </w:rPr>
        <w:t>万元的行政处罚。</w:t>
      </w:r>
    </w:p>
    <w:p w:rsidR="00131020" w:rsidRDefault="00D70B49">
      <w:pPr>
        <w:spacing w:line="360" w:lineRule="auto"/>
        <w:rPr>
          <w:color w:val="000000"/>
          <w:kern w:val="0"/>
          <w:sz w:val="24"/>
        </w:rPr>
      </w:pPr>
      <w:r>
        <w:rPr>
          <w:color w:val="000000"/>
          <w:kern w:val="0"/>
          <w:sz w:val="24"/>
        </w:rPr>
        <w:t>2</w:t>
      </w:r>
      <w:r>
        <w:rPr>
          <w:color w:val="000000"/>
          <w:kern w:val="0"/>
          <w:sz w:val="24"/>
        </w:rPr>
        <w:t>019</w:t>
      </w:r>
      <w:r>
        <w:rPr>
          <w:color w:val="000000"/>
          <w:kern w:val="0"/>
          <w:sz w:val="24"/>
        </w:rPr>
        <w:t>年</w:t>
      </w:r>
      <w:r>
        <w:rPr>
          <w:color w:val="000000"/>
          <w:kern w:val="0"/>
          <w:sz w:val="24"/>
        </w:rPr>
        <w:t>4</w:t>
      </w:r>
      <w:r>
        <w:rPr>
          <w:color w:val="000000"/>
          <w:kern w:val="0"/>
          <w:sz w:val="24"/>
        </w:rPr>
        <w:t>月</w:t>
      </w:r>
      <w:r>
        <w:rPr>
          <w:color w:val="000000"/>
          <w:kern w:val="0"/>
          <w:sz w:val="24"/>
        </w:rPr>
        <w:t>2</w:t>
      </w:r>
      <w:r>
        <w:rPr>
          <w:color w:val="000000"/>
          <w:kern w:val="0"/>
          <w:sz w:val="24"/>
        </w:rPr>
        <w:t>日，中国银行保险监督管理委员会大连监管局针对中国民生银行股份有限公司贷后管理不到位，以贷收贷，掩盖资产真实质量，贴现资金回流作银行承兑汇票保证金，滚动循环签发银行承兑汇票的违法违规事实，处以罚款</w:t>
      </w:r>
      <w:r>
        <w:rPr>
          <w:color w:val="000000"/>
          <w:kern w:val="0"/>
          <w:sz w:val="24"/>
        </w:rPr>
        <w:t>100</w:t>
      </w:r>
      <w:r>
        <w:rPr>
          <w:color w:val="000000"/>
          <w:kern w:val="0"/>
          <w:sz w:val="24"/>
        </w:rPr>
        <w:t>万元的行政处罚。</w:t>
      </w:r>
    </w:p>
    <w:p w:rsidR="00131020" w:rsidRDefault="00D70B49">
      <w:pPr>
        <w:spacing w:line="360" w:lineRule="auto"/>
        <w:rPr>
          <w:color w:val="000000"/>
          <w:kern w:val="0"/>
          <w:sz w:val="24"/>
        </w:rPr>
      </w:pPr>
      <w:r>
        <w:rPr>
          <w:color w:val="000000"/>
          <w:kern w:val="0"/>
          <w:sz w:val="24"/>
        </w:rPr>
        <w:t>2019</w:t>
      </w:r>
      <w:r>
        <w:rPr>
          <w:color w:val="000000"/>
          <w:kern w:val="0"/>
          <w:sz w:val="24"/>
        </w:rPr>
        <w:t>年</w:t>
      </w:r>
      <w:r>
        <w:rPr>
          <w:color w:val="000000"/>
          <w:kern w:val="0"/>
          <w:sz w:val="24"/>
        </w:rPr>
        <w:t>4</w:t>
      </w:r>
      <w:r>
        <w:rPr>
          <w:color w:val="000000"/>
          <w:kern w:val="0"/>
          <w:sz w:val="24"/>
        </w:rPr>
        <w:t>月</w:t>
      </w:r>
      <w:r>
        <w:rPr>
          <w:color w:val="000000"/>
          <w:kern w:val="0"/>
          <w:sz w:val="24"/>
        </w:rPr>
        <w:t>2</w:t>
      </w:r>
      <w:r>
        <w:rPr>
          <w:color w:val="000000"/>
          <w:kern w:val="0"/>
          <w:sz w:val="24"/>
        </w:rPr>
        <w:t>日，中国银行保险监督管理委员会大连监管局针对中国民生银行股份有限公司贷后管理不到位，银行承兑汇票保证金来源审查不严格，贷款回流作银行承兑汇票保证金的违法违规事实，处以罚款</w:t>
      </w:r>
      <w:r>
        <w:rPr>
          <w:color w:val="000000"/>
          <w:kern w:val="0"/>
          <w:sz w:val="24"/>
        </w:rPr>
        <w:t>50</w:t>
      </w:r>
      <w:r>
        <w:rPr>
          <w:color w:val="000000"/>
          <w:kern w:val="0"/>
          <w:sz w:val="24"/>
        </w:rPr>
        <w:t>万元的行政处罚。</w:t>
      </w:r>
    </w:p>
    <w:p w:rsidR="00131020" w:rsidRDefault="00D70B49">
      <w:pPr>
        <w:spacing w:line="360" w:lineRule="auto"/>
        <w:rPr>
          <w:color w:val="000000"/>
          <w:kern w:val="0"/>
          <w:sz w:val="24"/>
        </w:rPr>
      </w:pPr>
      <w:r>
        <w:rPr>
          <w:color w:val="000000"/>
          <w:kern w:val="0"/>
          <w:sz w:val="24"/>
        </w:rPr>
        <w:t>2018</w:t>
      </w:r>
      <w:r>
        <w:rPr>
          <w:color w:val="000000"/>
          <w:kern w:val="0"/>
          <w:sz w:val="24"/>
        </w:rPr>
        <w:t>年</w:t>
      </w:r>
      <w:r>
        <w:rPr>
          <w:color w:val="000000"/>
          <w:kern w:val="0"/>
          <w:sz w:val="24"/>
        </w:rPr>
        <w:t>10</w:t>
      </w:r>
      <w:r>
        <w:rPr>
          <w:color w:val="000000"/>
          <w:kern w:val="0"/>
          <w:sz w:val="24"/>
        </w:rPr>
        <w:t>月</w:t>
      </w:r>
      <w:r>
        <w:rPr>
          <w:color w:val="000000"/>
          <w:kern w:val="0"/>
          <w:sz w:val="24"/>
        </w:rPr>
        <w:t>16</w:t>
      </w:r>
      <w:r>
        <w:rPr>
          <w:color w:val="000000"/>
          <w:kern w:val="0"/>
          <w:sz w:val="24"/>
        </w:rPr>
        <w:t>日，上海保监局针对兴业银行股份有限公司信用卡中心电话</w:t>
      </w:r>
      <w:r>
        <w:rPr>
          <w:color w:val="000000"/>
          <w:kern w:val="0"/>
          <w:sz w:val="24"/>
        </w:rPr>
        <w:t>销售欺骗投保人、电话销售向投保人隐瞒与合同有关的重要情况的违法违规行为，责令改正并处</w:t>
      </w:r>
      <w:r>
        <w:rPr>
          <w:color w:val="000000"/>
          <w:kern w:val="0"/>
          <w:sz w:val="24"/>
        </w:rPr>
        <w:t>35</w:t>
      </w:r>
      <w:r>
        <w:rPr>
          <w:color w:val="000000"/>
          <w:kern w:val="0"/>
          <w:sz w:val="24"/>
        </w:rPr>
        <w:t>万元罚款。</w:t>
      </w:r>
    </w:p>
    <w:p w:rsidR="00131020" w:rsidRDefault="00D70B49">
      <w:pPr>
        <w:spacing w:line="360" w:lineRule="auto"/>
        <w:rPr>
          <w:color w:val="000000"/>
          <w:kern w:val="0"/>
          <w:sz w:val="24"/>
        </w:rPr>
      </w:pPr>
      <w:r>
        <w:rPr>
          <w:color w:val="000000"/>
          <w:kern w:val="0"/>
          <w:sz w:val="24"/>
        </w:rPr>
        <w:t>2019</w:t>
      </w:r>
      <w:r>
        <w:rPr>
          <w:color w:val="000000"/>
          <w:kern w:val="0"/>
          <w:sz w:val="24"/>
        </w:rPr>
        <w:t>年</w:t>
      </w:r>
      <w:r>
        <w:rPr>
          <w:color w:val="000000"/>
          <w:kern w:val="0"/>
          <w:sz w:val="24"/>
        </w:rPr>
        <w:t>7</w:t>
      </w:r>
      <w:r>
        <w:rPr>
          <w:color w:val="000000"/>
          <w:kern w:val="0"/>
          <w:sz w:val="24"/>
        </w:rPr>
        <w:t>月</w:t>
      </w:r>
      <w:r>
        <w:rPr>
          <w:color w:val="000000"/>
          <w:kern w:val="0"/>
          <w:sz w:val="24"/>
        </w:rPr>
        <w:t>8</w:t>
      </w:r>
      <w:r>
        <w:rPr>
          <w:color w:val="000000"/>
          <w:kern w:val="0"/>
          <w:sz w:val="24"/>
        </w:rPr>
        <w:t>日，中国银行保险监督管理委员会上海监管局针对兴业银行股份有限公司信用卡中心</w:t>
      </w:r>
      <w:r>
        <w:rPr>
          <w:color w:val="000000"/>
          <w:kern w:val="0"/>
          <w:sz w:val="24"/>
        </w:rPr>
        <w:t>1</w:t>
      </w:r>
      <w:r>
        <w:rPr>
          <w:color w:val="000000"/>
          <w:kern w:val="0"/>
          <w:sz w:val="24"/>
        </w:rPr>
        <w:t>、</w:t>
      </w:r>
      <w:r>
        <w:rPr>
          <w:color w:val="000000"/>
          <w:kern w:val="0"/>
          <w:sz w:val="24"/>
        </w:rPr>
        <w:t>2016</w:t>
      </w:r>
      <w:r>
        <w:rPr>
          <w:color w:val="000000"/>
          <w:kern w:val="0"/>
          <w:sz w:val="24"/>
        </w:rPr>
        <w:t>年</w:t>
      </w:r>
      <w:r>
        <w:rPr>
          <w:color w:val="000000"/>
          <w:kern w:val="0"/>
          <w:sz w:val="24"/>
        </w:rPr>
        <w:t>1</w:t>
      </w:r>
      <w:r>
        <w:rPr>
          <w:color w:val="000000"/>
          <w:kern w:val="0"/>
          <w:sz w:val="24"/>
        </w:rPr>
        <w:t>月至</w:t>
      </w:r>
      <w:r>
        <w:rPr>
          <w:color w:val="000000"/>
          <w:kern w:val="0"/>
          <w:sz w:val="24"/>
        </w:rPr>
        <w:t>2018</w:t>
      </w:r>
      <w:r>
        <w:rPr>
          <w:color w:val="000000"/>
          <w:kern w:val="0"/>
          <w:sz w:val="24"/>
        </w:rPr>
        <w:t>年</w:t>
      </w:r>
      <w:r>
        <w:rPr>
          <w:color w:val="000000"/>
          <w:kern w:val="0"/>
          <w:sz w:val="24"/>
        </w:rPr>
        <w:t>1</w:t>
      </w:r>
      <w:r>
        <w:rPr>
          <w:color w:val="000000"/>
          <w:kern w:val="0"/>
          <w:sz w:val="24"/>
        </w:rPr>
        <w:t>月在为部分客户办理信用卡业务时未遵守总授信额度管理制度；</w:t>
      </w:r>
      <w:r>
        <w:rPr>
          <w:color w:val="000000"/>
          <w:kern w:val="0"/>
          <w:sz w:val="24"/>
        </w:rPr>
        <w:t>2</w:t>
      </w:r>
      <w:r>
        <w:rPr>
          <w:color w:val="000000"/>
          <w:kern w:val="0"/>
          <w:sz w:val="24"/>
        </w:rPr>
        <w:t>、</w:t>
      </w:r>
      <w:r>
        <w:rPr>
          <w:color w:val="000000"/>
          <w:kern w:val="0"/>
          <w:sz w:val="24"/>
        </w:rPr>
        <w:t>2016</w:t>
      </w:r>
      <w:r>
        <w:rPr>
          <w:color w:val="000000"/>
          <w:kern w:val="0"/>
          <w:sz w:val="24"/>
        </w:rPr>
        <w:t>年至</w:t>
      </w:r>
      <w:r>
        <w:rPr>
          <w:color w:val="000000"/>
          <w:kern w:val="0"/>
          <w:sz w:val="24"/>
        </w:rPr>
        <w:t>2018</w:t>
      </w:r>
      <w:r>
        <w:rPr>
          <w:color w:val="000000"/>
          <w:kern w:val="0"/>
          <w:sz w:val="24"/>
        </w:rPr>
        <w:t>年</w:t>
      </w:r>
      <w:r>
        <w:rPr>
          <w:color w:val="000000"/>
          <w:kern w:val="0"/>
          <w:sz w:val="24"/>
        </w:rPr>
        <w:t>8</w:t>
      </w:r>
      <w:r>
        <w:rPr>
          <w:color w:val="000000"/>
          <w:kern w:val="0"/>
          <w:sz w:val="24"/>
        </w:rPr>
        <w:t>月对部分信用卡申请</w:t>
      </w:r>
      <w:r>
        <w:rPr>
          <w:color w:val="000000"/>
          <w:kern w:val="0"/>
          <w:sz w:val="24"/>
        </w:rPr>
        <w:lastRenderedPageBreak/>
        <w:t>人资信水平调查严重不尽职的违法违规行为，责令改正，并处罚款</w:t>
      </w:r>
      <w:r>
        <w:rPr>
          <w:color w:val="000000"/>
          <w:kern w:val="0"/>
          <w:sz w:val="24"/>
        </w:rPr>
        <w:t>40</w:t>
      </w:r>
      <w:r>
        <w:rPr>
          <w:color w:val="000000"/>
          <w:kern w:val="0"/>
          <w:sz w:val="24"/>
        </w:rPr>
        <w:t>万元。</w:t>
      </w:r>
    </w:p>
    <w:p w:rsidR="00131020" w:rsidRDefault="00D70B49">
      <w:pPr>
        <w:spacing w:line="360" w:lineRule="auto"/>
        <w:rPr>
          <w:color w:val="000000"/>
          <w:kern w:val="0"/>
          <w:sz w:val="24"/>
        </w:rPr>
      </w:pPr>
      <w:r>
        <w:rPr>
          <w:color w:val="000000"/>
          <w:kern w:val="0"/>
          <w:sz w:val="24"/>
        </w:rPr>
        <w:t>2018</w:t>
      </w:r>
      <w:r>
        <w:rPr>
          <w:color w:val="000000"/>
          <w:kern w:val="0"/>
          <w:sz w:val="24"/>
        </w:rPr>
        <w:t>年</w:t>
      </w:r>
      <w:r>
        <w:rPr>
          <w:color w:val="000000"/>
          <w:kern w:val="0"/>
          <w:sz w:val="24"/>
        </w:rPr>
        <w:t>10</w:t>
      </w:r>
      <w:r>
        <w:rPr>
          <w:color w:val="000000"/>
          <w:kern w:val="0"/>
          <w:sz w:val="24"/>
        </w:rPr>
        <w:t>月</w:t>
      </w:r>
      <w:r>
        <w:rPr>
          <w:color w:val="000000"/>
          <w:kern w:val="0"/>
          <w:sz w:val="24"/>
        </w:rPr>
        <w:t>18</w:t>
      </w:r>
      <w:r>
        <w:rPr>
          <w:color w:val="000000"/>
          <w:kern w:val="0"/>
          <w:sz w:val="24"/>
        </w:rPr>
        <w:t>日，上海保监局针对交通银行欺骗投保人、向投保人隐瞒与合同有关的重要情况的违法违规事实，责令改正，并</w:t>
      </w:r>
      <w:r>
        <w:rPr>
          <w:color w:val="000000"/>
          <w:kern w:val="0"/>
          <w:sz w:val="24"/>
        </w:rPr>
        <w:t>处</w:t>
      </w:r>
      <w:r>
        <w:rPr>
          <w:color w:val="000000"/>
          <w:kern w:val="0"/>
          <w:sz w:val="24"/>
        </w:rPr>
        <w:t>34</w:t>
      </w:r>
      <w:r>
        <w:rPr>
          <w:color w:val="000000"/>
          <w:kern w:val="0"/>
          <w:sz w:val="24"/>
        </w:rPr>
        <w:t>万元罚款。</w:t>
      </w:r>
    </w:p>
    <w:p w:rsidR="00131020" w:rsidRDefault="00D70B49">
      <w:pPr>
        <w:spacing w:line="360" w:lineRule="auto"/>
        <w:rPr>
          <w:color w:val="000000"/>
          <w:kern w:val="0"/>
          <w:sz w:val="24"/>
        </w:rPr>
      </w:pPr>
      <w:r>
        <w:rPr>
          <w:color w:val="000000"/>
          <w:kern w:val="0"/>
          <w:sz w:val="24"/>
        </w:rPr>
        <w:t>2018</w:t>
      </w:r>
      <w:r>
        <w:rPr>
          <w:color w:val="000000"/>
          <w:kern w:val="0"/>
          <w:sz w:val="24"/>
        </w:rPr>
        <w:t>年</w:t>
      </w:r>
      <w:r>
        <w:rPr>
          <w:color w:val="000000"/>
          <w:kern w:val="0"/>
          <w:sz w:val="24"/>
        </w:rPr>
        <w:t>11</w:t>
      </w:r>
      <w:r>
        <w:rPr>
          <w:color w:val="000000"/>
          <w:kern w:val="0"/>
          <w:sz w:val="24"/>
        </w:rPr>
        <w:t>月</w:t>
      </w:r>
      <w:r>
        <w:rPr>
          <w:color w:val="000000"/>
          <w:kern w:val="0"/>
          <w:sz w:val="24"/>
        </w:rPr>
        <w:t>9</w:t>
      </w:r>
      <w:r>
        <w:rPr>
          <w:color w:val="000000"/>
          <w:kern w:val="0"/>
          <w:sz w:val="24"/>
        </w:rPr>
        <w:t>日，中国银行保险监督管理委员会对交通银行股份有限公司关于以下违规事实：（一）不良信贷资产未洁净转让、理财资金投资本行不良信贷资产收益权；（二）未尽职调查并使用自有资金垫付承接风险资产；（三）档案管理不到位、内控管理存在严重漏洞；（四）理财资金借助保险资管渠道虚增本行存款规模；（五）违规向土地储备机构提供融资；（六）信贷资金违规承接本行表外理财资产；（七）理财资金违规投资项目资本金；（八）部分理财产品信息披露不合规；（九）现场检查配合不力，处以罚款</w:t>
      </w:r>
      <w:r>
        <w:rPr>
          <w:color w:val="000000"/>
          <w:kern w:val="0"/>
          <w:sz w:val="24"/>
        </w:rPr>
        <w:t>690</w:t>
      </w:r>
      <w:r>
        <w:rPr>
          <w:color w:val="000000"/>
          <w:kern w:val="0"/>
          <w:sz w:val="24"/>
        </w:rPr>
        <w:t>万元人民币。</w:t>
      </w:r>
    </w:p>
    <w:p w:rsidR="00131020" w:rsidRDefault="00D70B49">
      <w:pPr>
        <w:spacing w:line="360" w:lineRule="auto"/>
        <w:rPr>
          <w:color w:val="000000"/>
          <w:kern w:val="0"/>
          <w:sz w:val="24"/>
        </w:rPr>
      </w:pPr>
      <w:r>
        <w:rPr>
          <w:color w:val="000000"/>
          <w:kern w:val="0"/>
          <w:sz w:val="24"/>
        </w:rPr>
        <w:t>201</w:t>
      </w:r>
      <w:r>
        <w:rPr>
          <w:color w:val="000000"/>
          <w:kern w:val="0"/>
          <w:sz w:val="24"/>
        </w:rPr>
        <w:t>8</w:t>
      </w:r>
      <w:r>
        <w:rPr>
          <w:color w:val="000000"/>
          <w:kern w:val="0"/>
          <w:sz w:val="24"/>
        </w:rPr>
        <w:t>年</w:t>
      </w:r>
      <w:r>
        <w:rPr>
          <w:color w:val="000000"/>
          <w:kern w:val="0"/>
          <w:sz w:val="24"/>
        </w:rPr>
        <w:t>11</w:t>
      </w:r>
      <w:r>
        <w:rPr>
          <w:color w:val="000000"/>
          <w:kern w:val="0"/>
          <w:sz w:val="24"/>
        </w:rPr>
        <w:t>月</w:t>
      </w:r>
      <w:r>
        <w:rPr>
          <w:color w:val="000000"/>
          <w:kern w:val="0"/>
          <w:sz w:val="24"/>
        </w:rPr>
        <w:t>9</w:t>
      </w:r>
      <w:r>
        <w:rPr>
          <w:color w:val="000000"/>
          <w:kern w:val="0"/>
          <w:sz w:val="24"/>
        </w:rPr>
        <w:t>日，中国银行保险监督管理委员会对交通银行股份有限公司并购贷款占并购交易价款比例不合规；并购贷款尽职调查和风险评估不到位的违规事实，处以罚款</w:t>
      </w:r>
      <w:r>
        <w:rPr>
          <w:color w:val="000000"/>
          <w:kern w:val="0"/>
          <w:sz w:val="24"/>
        </w:rPr>
        <w:t>50</w:t>
      </w:r>
      <w:r>
        <w:rPr>
          <w:color w:val="000000"/>
          <w:kern w:val="0"/>
          <w:sz w:val="24"/>
        </w:rPr>
        <w:t>万元人民币。</w:t>
      </w:r>
    </w:p>
    <w:p w:rsidR="00131020" w:rsidRDefault="00D70B49">
      <w:pPr>
        <w:spacing w:line="360" w:lineRule="auto"/>
        <w:rPr>
          <w:color w:val="000000"/>
          <w:kern w:val="0"/>
          <w:sz w:val="24"/>
        </w:rPr>
      </w:pPr>
      <w:r>
        <w:rPr>
          <w:color w:val="000000"/>
          <w:kern w:val="0"/>
          <w:sz w:val="24"/>
        </w:rPr>
        <w:t>2019</w:t>
      </w:r>
      <w:r>
        <w:rPr>
          <w:color w:val="000000"/>
          <w:kern w:val="0"/>
          <w:sz w:val="24"/>
        </w:rPr>
        <w:t>年</w:t>
      </w:r>
      <w:r>
        <w:rPr>
          <w:color w:val="000000"/>
          <w:kern w:val="0"/>
          <w:sz w:val="24"/>
        </w:rPr>
        <w:t>7</w:t>
      </w:r>
      <w:r>
        <w:rPr>
          <w:color w:val="000000"/>
          <w:kern w:val="0"/>
          <w:sz w:val="24"/>
        </w:rPr>
        <w:t>月</w:t>
      </w:r>
      <w:r>
        <w:rPr>
          <w:color w:val="000000"/>
          <w:kern w:val="0"/>
          <w:sz w:val="24"/>
        </w:rPr>
        <w:t>25</w:t>
      </w:r>
      <w:r>
        <w:rPr>
          <w:color w:val="000000"/>
          <w:kern w:val="0"/>
          <w:sz w:val="24"/>
        </w:rPr>
        <w:t>日，中国银行保险监督管理委员会上海监管局对交通银行股份有限公司太平洋信用卡中心</w:t>
      </w:r>
      <w:r>
        <w:rPr>
          <w:color w:val="000000"/>
          <w:kern w:val="0"/>
          <w:sz w:val="24"/>
        </w:rPr>
        <w:t>2017</w:t>
      </w:r>
      <w:r>
        <w:rPr>
          <w:color w:val="000000"/>
          <w:kern w:val="0"/>
          <w:sz w:val="24"/>
        </w:rPr>
        <w:t>年</w:t>
      </w:r>
      <w:r>
        <w:rPr>
          <w:color w:val="000000"/>
          <w:kern w:val="0"/>
          <w:sz w:val="24"/>
        </w:rPr>
        <w:t>6</w:t>
      </w:r>
      <w:r>
        <w:rPr>
          <w:color w:val="000000"/>
          <w:kern w:val="0"/>
          <w:sz w:val="24"/>
        </w:rPr>
        <w:t>月至</w:t>
      </w:r>
      <w:r>
        <w:rPr>
          <w:color w:val="000000"/>
          <w:kern w:val="0"/>
          <w:sz w:val="24"/>
        </w:rPr>
        <w:t>10</w:t>
      </w:r>
      <w:r>
        <w:rPr>
          <w:color w:val="000000"/>
          <w:kern w:val="0"/>
          <w:sz w:val="24"/>
        </w:rPr>
        <w:t>月期间在办理部分客户信用卡业务时未遵守总授信额度管理制度的违规事实，处以责令改正，并处罚款</w:t>
      </w:r>
      <w:r>
        <w:rPr>
          <w:color w:val="000000"/>
          <w:kern w:val="0"/>
          <w:sz w:val="24"/>
        </w:rPr>
        <w:t>40</w:t>
      </w:r>
      <w:r>
        <w:rPr>
          <w:color w:val="000000"/>
          <w:kern w:val="0"/>
          <w:sz w:val="24"/>
        </w:rPr>
        <w:t>万元。</w:t>
      </w:r>
    </w:p>
    <w:p w:rsidR="00131020" w:rsidRDefault="00D70B49">
      <w:pPr>
        <w:spacing w:line="360" w:lineRule="auto"/>
        <w:rPr>
          <w:color w:val="000000"/>
          <w:kern w:val="0"/>
          <w:sz w:val="24"/>
        </w:rPr>
      </w:pPr>
      <w:r>
        <w:rPr>
          <w:color w:val="000000"/>
          <w:kern w:val="0"/>
          <w:sz w:val="24"/>
        </w:rPr>
        <w:t>2018</w:t>
      </w:r>
      <w:r>
        <w:rPr>
          <w:color w:val="000000"/>
          <w:kern w:val="0"/>
          <w:sz w:val="24"/>
        </w:rPr>
        <w:t>年</w:t>
      </w:r>
      <w:r>
        <w:rPr>
          <w:color w:val="000000"/>
          <w:kern w:val="0"/>
          <w:sz w:val="24"/>
        </w:rPr>
        <w:t>12</w:t>
      </w:r>
      <w:r>
        <w:rPr>
          <w:color w:val="000000"/>
          <w:kern w:val="0"/>
          <w:sz w:val="24"/>
        </w:rPr>
        <w:t>月</w:t>
      </w:r>
      <w:r>
        <w:rPr>
          <w:color w:val="000000"/>
          <w:kern w:val="0"/>
          <w:sz w:val="24"/>
        </w:rPr>
        <w:t>13</w:t>
      </w:r>
      <w:r>
        <w:rPr>
          <w:color w:val="000000"/>
          <w:kern w:val="0"/>
          <w:sz w:val="24"/>
        </w:rPr>
        <w:t>日，中国银行保险监督管理委员会宁波监管局针对平安银行股份有限公司信用卡中心宁波分中心内控管理不到位的违法违</w:t>
      </w:r>
      <w:r>
        <w:rPr>
          <w:color w:val="000000"/>
          <w:kern w:val="0"/>
          <w:sz w:val="24"/>
        </w:rPr>
        <w:t>规事实，处以罚款人民币</w:t>
      </w:r>
      <w:r>
        <w:rPr>
          <w:color w:val="000000"/>
          <w:kern w:val="0"/>
          <w:sz w:val="24"/>
        </w:rPr>
        <w:t>40</w:t>
      </w:r>
      <w:r>
        <w:rPr>
          <w:color w:val="000000"/>
          <w:kern w:val="0"/>
          <w:sz w:val="24"/>
        </w:rPr>
        <w:t>万元，并责令机构对相关直接责任人给予纪律处分的行政处罚。</w:t>
      </w:r>
    </w:p>
    <w:p w:rsidR="00131020" w:rsidRDefault="00D70B49">
      <w:pPr>
        <w:spacing w:line="360" w:lineRule="auto"/>
        <w:rPr>
          <w:color w:val="000000"/>
          <w:kern w:val="0"/>
          <w:sz w:val="24"/>
        </w:rPr>
      </w:pPr>
      <w:r>
        <w:rPr>
          <w:color w:val="000000"/>
          <w:kern w:val="0"/>
          <w:sz w:val="24"/>
        </w:rPr>
        <w:t>2019</w:t>
      </w:r>
      <w:r>
        <w:rPr>
          <w:color w:val="000000"/>
          <w:kern w:val="0"/>
          <w:sz w:val="24"/>
        </w:rPr>
        <w:t>年</w:t>
      </w:r>
      <w:r>
        <w:rPr>
          <w:color w:val="000000"/>
          <w:kern w:val="0"/>
          <w:sz w:val="24"/>
        </w:rPr>
        <w:t>5</w:t>
      </w:r>
      <w:r>
        <w:rPr>
          <w:color w:val="000000"/>
          <w:kern w:val="0"/>
          <w:sz w:val="24"/>
        </w:rPr>
        <w:t>月</w:t>
      </w:r>
      <w:r>
        <w:rPr>
          <w:color w:val="000000"/>
          <w:kern w:val="0"/>
          <w:sz w:val="24"/>
        </w:rPr>
        <w:t>10</w:t>
      </w:r>
      <w:r>
        <w:rPr>
          <w:color w:val="000000"/>
          <w:kern w:val="0"/>
          <w:sz w:val="24"/>
        </w:rPr>
        <w:t>日，中国银行保险监督管理委员会上海监管局针对平安银行股份有限公司信用卡中心上海分中心</w:t>
      </w:r>
      <w:r>
        <w:rPr>
          <w:color w:val="000000"/>
          <w:kern w:val="0"/>
          <w:sz w:val="24"/>
        </w:rPr>
        <w:t>2015</w:t>
      </w:r>
      <w:r>
        <w:rPr>
          <w:color w:val="000000"/>
          <w:kern w:val="0"/>
          <w:sz w:val="24"/>
        </w:rPr>
        <w:t>年至</w:t>
      </w:r>
      <w:r>
        <w:rPr>
          <w:color w:val="000000"/>
          <w:kern w:val="0"/>
          <w:sz w:val="24"/>
        </w:rPr>
        <w:t>2017</w:t>
      </w:r>
      <w:r>
        <w:rPr>
          <w:color w:val="000000"/>
          <w:kern w:val="0"/>
          <w:sz w:val="24"/>
        </w:rPr>
        <w:t>年对员工经商办企业的行为屡禁不止，员工行为管理严重违反审慎经营规则的违法违规事实，责令改正，并处罚款</w:t>
      </w:r>
      <w:r>
        <w:rPr>
          <w:color w:val="000000"/>
          <w:kern w:val="0"/>
          <w:sz w:val="24"/>
        </w:rPr>
        <w:t>40</w:t>
      </w:r>
      <w:r>
        <w:rPr>
          <w:color w:val="000000"/>
          <w:kern w:val="0"/>
          <w:sz w:val="24"/>
        </w:rPr>
        <w:t>万元。</w:t>
      </w:r>
    </w:p>
    <w:p w:rsidR="00131020" w:rsidRDefault="00D70B49">
      <w:pPr>
        <w:spacing w:line="360" w:lineRule="auto"/>
        <w:rPr>
          <w:color w:val="000000"/>
          <w:kern w:val="0"/>
          <w:sz w:val="24"/>
        </w:rPr>
      </w:pPr>
      <w:r>
        <w:rPr>
          <w:color w:val="000000"/>
          <w:kern w:val="0"/>
          <w:sz w:val="24"/>
        </w:rPr>
        <w:t>2019</w:t>
      </w:r>
      <w:r>
        <w:rPr>
          <w:color w:val="000000"/>
          <w:kern w:val="0"/>
          <w:sz w:val="24"/>
        </w:rPr>
        <w:t>年</w:t>
      </w:r>
      <w:r>
        <w:rPr>
          <w:color w:val="000000"/>
          <w:kern w:val="0"/>
          <w:sz w:val="24"/>
        </w:rPr>
        <w:t>8</w:t>
      </w:r>
      <w:r>
        <w:rPr>
          <w:color w:val="000000"/>
          <w:kern w:val="0"/>
          <w:sz w:val="24"/>
        </w:rPr>
        <w:t>月</w:t>
      </w:r>
      <w:r>
        <w:rPr>
          <w:color w:val="000000"/>
          <w:kern w:val="0"/>
          <w:sz w:val="24"/>
        </w:rPr>
        <w:t>12</w:t>
      </w:r>
      <w:r>
        <w:rPr>
          <w:color w:val="000000"/>
          <w:kern w:val="0"/>
          <w:sz w:val="24"/>
        </w:rPr>
        <w:t>日，中国银行保险监督管理委员会上海监管局针对平安银行股份有限公司资金运营中心</w:t>
      </w:r>
      <w:r>
        <w:rPr>
          <w:color w:val="000000"/>
          <w:kern w:val="0"/>
          <w:sz w:val="24"/>
        </w:rPr>
        <w:t>2017</w:t>
      </w:r>
      <w:r>
        <w:rPr>
          <w:color w:val="000000"/>
          <w:kern w:val="0"/>
          <w:sz w:val="24"/>
        </w:rPr>
        <w:t>年末至</w:t>
      </w:r>
      <w:r>
        <w:rPr>
          <w:color w:val="000000"/>
          <w:kern w:val="0"/>
          <w:sz w:val="24"/>
        </w:rPr>
        <w:t>2018</w:t>
      </w:r>
      <w:r>
        <w:rPr>
          <w:color w:val="000000"/>
          <w:kern w:val="0"/>
          <w:sz w:val="24"/>
        </w:rPr>
        <w:t>年</w:t>
      </w:r>
      <w:r>
        <w:rPr>
          <w:color w:val="000000"/>
          <w:kern w:val="0"/>
          <w:sz w:val="24"/>
        </w:rPr>
        <w:t>9</w:t>
      </w:r>
      <w:r>
        <w:rPr>
          <w:color w:val="000000"/>
          <w:kern w:val="0"/>
          <w:sz w:val="24"/>
        </w:rPr>
        <w:t>月信息科技风险管理严重违反审慎经营规则的违法违规事实，责令改正，并处罚款</w:t>
      </w:r>
      <w:r>
        <w:rPr>
          <w:color w:val="000000"/>
          <w:kern w:val="0"/>
          <w:sz w:val="24"/>
        </w:rPr>
        <w:t>2</w:t>
      </w:r>
      <w:r>
        <w:rPr>
          <w:color w:val="000000"/>
          <w:kern w:val="0"/>
          <w:sz w:val="24"/>
        </w:rPr>
        <w:t>0</w:t>
      </w:r>
      <w:r>
        <w:rPr>
          <w:color w:val="000000"/>
          <w:kern w:val="0"/>
          <w:sz w:val="24"/>
        </w:rPr>
        <w:t>万元。</w:t>
      </w:r>
    </w:p>
    <w:p w:rsidR="00131020" w:rsidRDefault="00D70B49">
      <w:pPr>
        <w:spacing w:line="360" w:lineRule="auto"/>
        <w:rPr>
          <w:color w:val="000000"/>
          <w:kern w:val="0"/>
          <w:sz w:val="24"/>
        </w:rPr>
      </w:pPr>
      <w:r>
        <w:rPr>
          <w:color w:val="000000"/>
          <w:kern w:val="0"/>
          <w:sz w:val="24"/>
        </w:rPr>
        <w:t>2018</w:t>
      </w:r>
      <w:r>
        <w:rPr>
          <w:color w:val="000000"/>
          <w:kern w:val="0"/>
          <w:sz w:val="24"/>
        </w:rPr>
        <w:t>年</w:t>
      </w:r>
      <w:r>
        <w:rPr>
          <w:color w:val="000000"/>
          <w:kern w:val="0"/>
          <w:sz w:val="24"/>
        </w:rPr>
        <w:t>11</w:t>
      </w:r>
      <w:r>
        <w:rPr>
          <w:color w:val="000000"/>
          <w:kern w:val="0"/>
          <w:sz w:val="24"/>
        </w:rPr>
        <w:t>月</w:t>
      </w:r>
      <w:r>
        <w:rPr>
          <w:color w:val="000000"/>
          <w:kern w:val="0"/>
          <w:sz w:val="24"/>
        </w:rPr>
        <w:t>19</w:t>
      </w:r>
      <w:r>
        <w:rPr>
          <w:color w:val="000000"/>
          <w:kern w:val="0"/>
          <w:sz w:val="24"/>
        </w:rPr>
        <w:t>日，中国保险监督管理委员会北京监管局针对中国工商银行股份有限公司存在电话销售保险过程中欺骗投保人的行为，对中国工商银行股份有限公司处以人民币</w:t>
      </w:r>
      <w:r>
        <w:rPr>
          <w:color w:val="000000"/>
          <w:kern w:val="0"/>
          <w:sz w:val="24"/>
        </w:rPr>
        <w:t>30</w:t>
      </w:r>
      <w:r>
        <w:rPr>
          <w:color w:val="000000"/>
          <w:kern w:val="0"/>
          <w:sz w:val="24"/>
        </w:rPr>
        <w:t>万元行政罚款。</w:t>
      </w:r>
    </w:p>
    <w:p w:rsidR="00131020" w:rsidRDefault="00D70B49">
      <w:pPr>
        <w:spacing w:line="360" w:lineRule="auto"/>
        <w:rPr>
          <w:color w:val="000000"/>
          <w:kern w:val="0"/>
          <w:sz w:val="24"/>
        </w:rPr>
      </w:pPr>
      <w:r>
        <w:rPr>
          <w:color w:val="000000"/>
          <w:kern w:val="0"/>
          <w:sz w:val="24"/>
        </w:rPr>
        <w:lastRenderedPageBreak/>
        <w:t>2019</w:t>
      </w:r>
      <w:r>
        <w:rPr>
          <w:color w:val="000000"/>
          <w:kern w:val="0"/>
          <w:sz w:val="24"/>
        </w:rPr>
        <w:t>年</w:t>
      </w:r>
      <w:r>
        <w:rPr>
          <w:color w:val="000000"/>
          <w:kern w:val="0"/>
          <w:sz w:val="24"/>
        </w:rPr>
        <w:t>5</w:t>
      </w:r>
      <w:r>
        <w:rPr>
          <w:color w:val="000000"/>
          <w:kern w:val="0"/>
          <w:sz w:val="24"/>
        </w:rPr>
        <w:t>月</w:t>
      </w:r>
      <w:r>
        <w:rPr>
          <w:color w:val="000000"/>
          <w:kern w:val="0"/>
          <w:sz w:val="24"/>
        </w:rPr>
        <w:t>7</w:t>
      </w:r>
      <w:r>
        <w:rPr>
          <w:color w:val="000000"/>
          <w:kern w:val="0"/>
          <w:sz w:val="24"/>
        </w:rPr>
        <w:t>日，中国银行保险监督管理委员会上海监管局针对中国农业银行股份有限公司信用卡中心</w:t>
      </w:r>
      <w:r>
        <w:rPr>
          <w:color w:val="000000"/>
          <w:kern w:val="0"/>
          <w:sz w:val="24"/>
        </w:rPr>
        <w:t>2016</w:t>
      </w:r>
      <w:r>
        <w:rPr>
          <w:color w:val="000000"/>
          <w:kern w:val="0"/>
          <w:sz w:val="24"/>
        </w:rPr>
        <w:t>年</w:t>
      </w:r>
      <w:r>
        <w:rPr>
          <w:color w:val="000000"/>
          <w:kern w:val="0"/>
          <w:sz w:val="24"/>
        </w:rPr>
        <w:t>9</w:t>
      </w:r>
      <w:r>
        <w:rPr>
          <w:color w:val="000000"/>
          <w:kern w:val="0"/>
          <w:sz w:val="24"/>
        </w:rPr>
        <w:t>月至</w:t>
      </w:r>
      <w:r>
        <w:rPr>
          <w:color w:val="000000"/>
          <w:kern w:val="0"/>
          <w:sz w:val="24"/>
        </w:rPr>
        <w:t>2017</w:t>
      </w:r>
      <w:r>
        <w:rPr>
          <w:color w:val="000000"/>
          <w:kern w:val="0"/>
          <w:sz w:val="24"/>
        </w:rPr>
        <w:t>年</w:t>
      </w:r>
      <w:r>
        <w:rPr>
          <w:color w:val="000000"/>
          <w:kern w:val="0"/>
          <w:sz w:val="24"/>
        </w:rPr>
        <w:t>6</w:t>
      </w:r>
      <w:r>
        <w:rPr>
          <w:color w:val="000000"/>
          <w:kern w:val="0"/>
          <w:sz w:val="24"/>
        </w:rPr>
        <w:t>月间部分信用卡资金违规用于非消费领域的违法违规事实，责令改正，并处罚款</w:t>
      </w:r>
      <w:r>
        <w:rPr>
          <w:color w:val="000000"/>
          <w:kern w:val="0"/>
          <w:sz w:val="24"/>
        </w:rPr>
        <w:t>50</w:t>
      </w:r>
      <w:r>
        <w:rPr>
          <w:color w:val="000000"/>
          <w:kern w:val="0"/>
          <w:sz w:val="24"/>
        </w:rPr>
        <w:t>万元。</w:t>
      </w:r>
    </w:p>
    <w:p w:rsidR="00131020" w:rsidRDefault="00D70B49">
      <w:pPr>
        <w:spacing w:line="360" w:lineRule="auto"/>
        <w:rPr>
          <w:color w:val="000000"/>
          <w:kern w:val="0"/>
          <w:sz w:val="24"/>
        </w:rPr>
      </w:pPr>
      <w:r>
        <w:rPr>
          <w:color w:val="000000"/>
          <w:kern w:val="0"/>
          <w:sz w:val="24"/>
        </w:rPr>
        <w:t>2019</w:t>
      </w:r>
      <w:r>
        <w:rPr>
          <w:color w:val="000000"/>
          <w:kern w:val="0"/>
          <w:sz w:val="24"/>
        </w:rPr>
        <w:t>年</w:t>
      </w:r>
      <w:r>
        <w:rPr>
          <w:color w:val="000000"/>
          <w:kern w:val="0"/>
          <w:sz w:val="24"/>
        </w:rPr>
        <w:t>7</w:t>
      </w:r>
      <w:r>
        <w:rPr>
          <w:color w:val="000000"/>
          <w:kern w:val="0"/>
          <w:sz w:val="24"/>
        </w:rPr>
        <w:t>月</w:t>
      </w:r>
      <w:r>
        <w:rPr>
          <w:color w:val="000000"/>
          <w:kern w:val="0"/>
          <w:sz w:val="24"/>
        </w:rPr>
        <w:t>25</w:t>
      </w:r>
      <w:r>
        <w:rPr>
          <w:color w:val="000000"/>
          <w:kern w:val="0"/>
          <w:sz w:val="24"/>
        </w:rPr>
        <w:t>日，中国银行保险监督管理委员会上海监管局针对中国农业银行股份有限公司信用卡中心</w:t>
      </w:r>
      <w:r>
        <w:rPr>
          <w:color w:val="000000"/>
          <w:kern w:val="0"/>
          <w:sz w:val="24"/>
        </w:rPr>
        <w:t>2017</w:t>
      </w:r>
      <w:r>
        <w:rPr>
          <w:color w:val="000000"/>
          <w:kern w:val="0"/>
          <w:sz w:val="24"/>
        </w:rPr>
        <w:t>年</w:t>
      </w:r>
      <w:r>
        <w:rPr>
          <w:color w:val="000000"/>
          <w:kern w:val="0"/>
          <w:sz w:val="24"/>
        </w:rPr>
        <w:t>5</w:t>
      </w:r>
      <w:r>
        <w:rPr>
          <w:color w:val="000000"/>
          <w:kern w:val="0"/>
          <w:sz w:val="24"/>
        </w:rPr>
        <w:t>月至</w:t>
      </w:r>
      <w:r>
        <w:rPr>
          <w:color w:val="000000"/>
          <w:kern w:val="0"/>
          <w:sz w:val="24"/>
        </w:rPr>
        <w:t>201</w:t>
      </w:r>
      <w:r>
        <w:rPr>
          <w:color w:val="000000"/>
          <w:kern w:val="0"/>
          <w:sz w:val="24"/>
        </w:rPr>
        <w:t>8</w:t>
      </w:r>
      <w:r>
        <w:rPr>
          <w:color w:val="000000"/>
          <w:kern w:val="0"/>
          <w:sz w:val="24"/>
        </w:rPr>
        <w:t>年</w:t>
      </w:r>
      <w:r>
        <w:rPr>
          <w:color w:val="000000"/>
          <w:kern w:val="0"/>
          <w:sz w:val="24"/>
        </w:rPr>
        <w:t>6</w:t>
      </w:r>
      <w:r>
        <w:rPr>
          <w:color w:val="000000"/>
          <w:kern w:val="0"/>
          <w:sz w:val="24"/>
        </w:rPr>
        <w:t>月在办理部分客户信用卡业务时未遵守总授信额度管理制度的违法违规事实，责令改正，并处罚款</w:t>
      </w:r>
      <w:r>
        <w:rPr>
          <w:color w:val="000000"/>
          <w:kern w:val="0"/>
          <w:sz w:val="24"/>
        </w:rPr>
        <w:t>20</w:t>
      </w:r>
      <w:r>
        <w:rPr>
          <w:color w:val="000000"/>
          <w:kern w:val="0"/>
          <w:sz w:val="24"/>
        </w:rPr>
        <w:t>万元。</w:t>
      </w:r>
    </w:p>
    <w:p w:rsidR="00131020" w:rsidRDefault="00D70B49">
      <w:pPr>
        <w:spacing w:line="360" w:lineRule="auto"/>
        <w:rPr>
          <w:color w:val="000000"/>
          <w:kern w:val="0"/>
          <w:sz w:val="24"/>
        </w:rPr>
      </w:pPr>
      <w:r>
        <w:rPr>
          <w:color w:val="000000"/>
          <w:kern w:val="0"/>
          <w:sz w:val="24"/>
        </w:rPr>
        <w:t>2019</w:t>
      </w:r>
      <w:r>
        <w:rPr>
          <w:color w:val="000000"/>
          <w:kern w:val="0"/>
          <w:sz w:val="24"/>
        </w:rPr>
        <w:t>年</w:t>
      </w:r>
      <w:r>
        <w:rPr>
          <w:color w:val="000000"/>
          <w:kern w:val="0"/>
          <w:sz w:val="24"/>
        </w:rPr>
        <w:t>9</w:t>
      </w:r>
      <w:r>
        <w:rPr>
          <w:color w:val="000000"/>
          <w:kern w:val="0"/>
          <w:sz w:val="24"/>
        </w:rPr>
        <w:t>月</w:t>
      </w:r>
      <w:r>
        <w:rPr>
          <w:color w:val="000000"/>
          <w:kern w:val="0"/>
          <w:sz w:val="24"/>
        </w:rPr>
        <w:t>3</w:t>
      </w:r>
      <w:r>
        <w:rPr>
          <w:color w:val="000000"/>
          <w:kern w:val="0"/>
          <w:sz w:val="24"/>
        </w:rPr>
        <w:t>日，北京银保监局对北京银行股份有限公司个人消费贷款被挪用于支付购房首付款或投资股权、个别个人商办用房贷款违反房地产调控政策、同业投资通过信托通道违规发放土地储备贷款的行为的违法违规事实，责令改正，并处罚款</w:t>
      </w:r>
      <w:r>
        <w:rPr>
          <w:color w:val="000000"/>
          <w:kern w:val="0"/>
          <w:sz w:val="24"/>
        </w:rPr>
        <w:t>110</w:t>
      </w:r>
      <w:r>
        <w:rPr>
          <w:color w:val="000000"/>
          <w:kern w:val="0"/>
          <w:sz w:val="24"/>
        </w:rPr>
        <w:t>万元人民币。</w:t>
      </w:r>
    </w:p>
    <w:p w:rsidR="00131020" w:rsidRDefault="00D70B49">
      <w:pPr>
        <w:spacing w:line="360" w:lineRule="auto"/>
        <w:rPr>
          <w:color w:val="000000"/>
          <w:kern w:val="0"/>
          <w:sz w:val="24"/>
        </w:rPr>
      </w:pPr>
      <w:r>
        <w:rPr>
          <w:color w:val="000000"/>
          <w:kern w:val="0"/>
          <w:sz w:val="24"/>
        </w:rPr>
        <w:t>2019</w:t>
      </w:r>
      <w:r>
        <w:rPr>
          <w:color w:val="000000"/>
          <w:kern w:val="0"/>
          <w:sz w:val="24"/>
        </w:rPr>
        <w:t>年</w:t>
      </w:r>
      <w:r>
        <w:rPr>
          <w:color w:val="000000"/>
          <w:kern w:val="0"/>
          <w:sz w:val="24"/>
        </w:rPr>
        <w:t>9</w:t>
      </w:r>
      <w:r>
        <w:rPr>
          <w:color w:val="000000"/>
          <w:kern w:val="0"/>
          <w:sz w:val="24"/>
        </w:rPr>
        <w:t>月</w:t>
      </w:r>
      <w:r>
        <w:rPr>
          <w:color w:val="000000"/>
          <w:kern w:val="0"/>
          <w:sz w:val="24"/>
        </w:rPr>
        <w:t>25</w:t>
      </w:r>
      <w:r>
        <w:rPr>
          <w:color w:val="000000"/>
          <w:kern w:val="0"/>
          <w:sz w:val="24"/>
        </w:rPr>
        <w:t>日，北京银保监局对北京银行股份有限公司员工大额消费贷款违规行为长期未有效整改、同业业务专营部门制改革不到位、同业投资违规接受第三方金融机构信用担保的违</w:t>
      </w:r>
      <w:r>
        <w:rPr>
          <w:color w:val="000000"/>
          <w:kern w:val="0"/>
          <w:sz w:val="24"/>
        </w:rPr>
        <w:t>法违规事实，责令改正，并给予合计</w:t>
      </w:r>
      <w:r>
        <w:rPr>
          <w:color w:val="000000"/>
          <w:kern w:val="0"/>
          <w:sz w:val="24"/>
        </w:rPr>
        <w:t>100</w:t>
      </w:r>
      <w:r>
        <w:rPr>
          <w:color w:val="000000"/>
          <w:kern w:val="0"/>
          <w:sz w:val="24"/>
        </w:rPr>
        <w:t>万元罚款的行政处罚。</w:t>
      </w:r>
    </w:p>
    <w:p w:rsidR="00131020" w:rsidRDefault="00D70B49">
      <w:pPr>
        <w:spacing w:line="360" w:lineRule="auto"/>
        <w:rPr>
          <w:color w:val="000000"/>
          <w:kern w:val="0"/>
          <w:sz w:val="24"/>
        </w:rPr>
      </w:pPr>
      <w:r>
        <w:rPr>
          <w:color w:val="000000"/>
          <w:kern w:val="0"/>
          <w:sz w:val="24"/>
        </w:rPr>
        <w:t>2019</w:t>
      </w:r>
      <w:r>
        <w:rPr>
          <w:color w:val="000000"/>
          <w:kern w:val="0"/>
          <w:sz w:val="24"/>
        </w:rPr>
        <w:t>年</w:t>
      </w:r>
      <w:r>
        <w:rPr>
          <w:color w:val="000000"/>
          <w:kern w:val="0"/>
          <w:sz w:val="24"/>
        </w:rPr>
        <w:t>7</w:t>
      </w:r>
      <w:r>
        <w:rPr>
          <w:color w:val="000000"/>
          <w:kern w:val="0"/>
          <w:sz w:val="24"/>
        </w:rPr>
        <w:t>月</w:t>
      </w:r>
      <w:r>
        <w:rPr>
          <w:color w:val="000000"/>
          <w:kern w:val="0"/>
          <w:sz w:val="24"/>
        </w:rPr>
        <w:t>8</w:t>
      </w:r>
      <w:r>
        <w:rPr>
          <w:color w:val="000000"/>
          <w:kern w:val="0"/>
          <w:sz w:val="24"/>
        </w:rPr>
        <w:t>日，中国银行保险监督管理委员会上海监管局对上海浦东发展银行股份有限公司信用卡中心</w:t>
      </w:r>
      <w:r>
        <w:rPr>
          <w:color w:val="000000"/>
          <w:kern w:val="0"/>
          <w:sz w:val="24"/>
        </w:rPr>
        <w:t>2015</w:t>
      </w:r>
      <w:r>
        <w:rPr>
          <w:color w:val="000000"/>
          <w:kern w:val="0"/>
          <w:sz w:val="24"/>
        </w:rPr>
        <w:t>年至</w:t>
      </w:r>
      <w:r>
        <w:rPr>
          <w:color w:val="000000"/>
          <w:kern w:val="0"/>
          <w:sz w:val="24"/>
        </w:rPr>
        <w:t>2018</w:t>
      </w:r>
      <w:r>
        <w:rPr>
          <w:color w:val="000000"/>
          <w:kern w:val="0"/>
          <w:sz w:val="24"/>
        </w:rPr>
        <w:t>年</w:t>
      </w:r>
      <w:r>
        <w:rPr>
          <w:color w:val="000000"/>
          <w:kern w:val="0"/>
          <w:sz w:val="24"/>
        </w:rPr>
        <w:t>6</w:t>
      </w:r>
      <w:r>
        <w:rPr>
          <w:color w:val="000000"/>
          <w:kern w:val="0"/>
          <w:sz w:val="24"/>
        </w:rPr>
        <w:t>月在为部分客户办理信用卡业务时，对申请人收入核定严重不审慎的违法违规事实，责令改正，并处罚款</w:t>
      </w:r>
      <w:r>
        <w:rPr>
          <w:color w:val="000000"/>
          <w:kern w:val="0"/>
          <w:sz w:val="24"/>
        </w:rPr>
        <w:t>30</w:t>
      </w:r>
      <w:r>
        <w:rPr>
          <w:color w:val="000000"/>
          <w:kern w:val="0"/>
          <w:sz w:val="24"/>
        </w:rPr>
        <w:t>万元。</w:t>
      </w:r>
    </w:p>
    <w:p w:rsidR="00131020" w:rsidRDefault="00D70B49">
      <w:pPr>
        <w:spacing w:line="360" w:lineRule="auto"/>
        <w:rPr>
          <w:color w:val="000000"/>
          <w:kern w:val="0"/>
          <w:sz w:val="24"/>
        </w:rPr>
      </w:pPr>
      <w:r>
        <w:rPr>
          <w:color w:val="000000"/>
          <w:kern w:val="0"/>
          <w:sz w:val="24"/>
        </w:rPr>
        <w:t>2019</w:t>
      </w:r>
      <w:r>
        <w:rPr>
          <w:color w:val="000000"/>
          <w:kern w:val="0"/>
          <w:sz w:val="24"/>
        </w:rPr>
        <w:t>年</w:t>
      </w:r>
      <w:r>
        <w:rPr>
          <w:color w:val="000000"/>
          <w:kern w:val="0"/>
          <w:sz w:val="24"/>
        </w:rPr>
        <w:t>6</w:t>
      </w:r>
      <w:r>
        <w:rPr>
          <w:color w:val="000000"/>
          <w:kern w:val="0"/>
          <w:sz w:val="24"/>
        </w:rPr>
        <w:t>月</w:t>
      </w:r>
      <w:r>
        <w:rPr>
          <w:color w:val="000000"/>
          <w:kern w:val="0"/>
          <w:sz w:val="24"/>
        </w:rPr>
        <w:t>24</w:t>
      </w:r>
      <w:r>
        <w:rPr>
          <w:color w:val="000000"/>
          <w:kern w:val="0"/>
          <w:sz w:val="24"/>
        </w:rPr>
        <w:t>日，中国银行保险监督管理委员会对上海浦东发展银行股份有限公司关于以下违法违规事实：（一）对成都分行授信业务及整改情况严重失察；（二）重大审计发现未向监管部门报告；（三）轮岗制度执行不力，处以罚款</w:t>
      </w:r>
      <w:r>
        <w:rPr>
          <w:color w:val="000000"/>
          <w:kern w:val="0"/>
          <w:sz w:val="24"/>
        </w:rPr>
        <w:t>130</w:t>
      </w:r>
      <w:r>
        <w:rPr>
          <w:color w:val="000000"/>
          <w:kern w:val="0"/>
          <w:sz w:val="24"/>
        </w:rPr>
        <w:t>万元人民币</w:t>
      </w:r>
      <w:r>
        <w:rPr>
          <w:color w:val="000000"/>
          <w:kern w:val="0"/>
          <w:sz w:val="24"/>
        </w:rPr>
        <w:t>。</w:t>
      </w:r>
    </w:p>
    <w:p w:rsidR="00131020" w:rsidRDefault="00D70B49">
      <w:pPr>
        <w:spacing w:line="360" w:lineRule="auto"/>
        <w:rPr>
          <w:color w:val="000000"/>
          <w:kern w:val="0"/>
          <w:sz w:val="24"/>
        </w:rPr>
      </w:pPr>
      <w:r>
        <w:rPr>
          <w:color w:val="000000"/>
          <w:kern w:val="0"/>
          <w:sz w:val="24"/>
        </w:rPr>
        <w:t>2019</w:t>
      </w:r>
      <w:r>
        <w:rPr>
          <w:color w:val="000000"/>
          <w:kern w:val="0"/>
          <w:sz w:val="24"/>
        </w:rPr>
        <w:t>年</w:t>
      </w:r>
      <w:r>
        <w:rPr>
          <w:color w:val="000000"/>
          <w:kern w:val="0"/>
          <w:sz w:val="24"/>
        </w:rPr>
        <w:t>7</w:t>
      </w:r>
      <w:r>
        <w:rPr>
          <w:color w:val="000000"/>
          <w:kern w:val="0"/>
          <w:sz w:val="24"/>
        </w:rPr>
        <w:t>月</w:t>
      </w:r>
      <w:r>
        <w:rPr>
          <w:color w:val="000000"/>
          <w:kern w:val="0"/>
          <w:sz w:val="24"/>
        </w:rPr>
        <w:t>8</w:t>
      </w:r>
      <w:r>
        <w:rPr>
          <w:color w:val="000000"/>
          <w:kern w:val="0"/>
          <w:sz w:val="24"/>
        </w:rPr>
        <w:t>日，中国银行保险监督管理委员会上海监管局对招商银行股份有限公司信用卡中心</w:t>
      </w:r>
      <w:r>
        <w:rPr>
          <w:color w:val="000000"/>
          <w:kern w:val="0"/>
          <w:sz w:val="24"/>
        </w:rPr>
        <w:t>2016</w:t>
      </w:r>
      <w:r>
        <w:rPr>
          <w:color w:val="000000"/>
          <w:kern w:val="0"/>
          <w:sz w:val="24"/>
        </w:rPr>
        <w:t>年</w:t>
      </w:r>
      <w:r>
        <w:rPr>
          <w:color w:val="000000"/>
          <w:kern w:val="0"/>
          <w:sz w:val="24"/>
        </w:rPr>
        <w:t>9</w:t>
      </w:r>
      <w:r>
        <w:rPr>
          <w:color w:val="000000"/>
          <w:kern w:val="0"/>
          <w:sz w:val="24"/>
        </w:rPr>
        <w:t>月至</w:t>
      </w:r>
      <w:r>
        <w:rPr>
          <w:color w:val="000000"/>
          <w:kern w:val="0"/>
          <w:sz w:val="24"/>
        </w:rPr>
        <w:t>2018</w:t>
      </w:r>
      <w:r>
        <w:rPr>
          <w:color w:val="000000"/>
          <w:kern w:val="0"/>
          <w:sz w:val="24"/>
        </w:rPr>
        <w:t>年</w:t>
      </w:r>
      <w:r>
        <w:rPr>
          <w:color w:val="000000"/>
          <w:kern w:val="0"/>
          <w:sz w:val="24"/>
        </w:rPr>
        <w:t>6</w:t>
      </w:r>
      <w:r>
        <w:rPr>
          <w:color w:val="000000"/>
          <w:kern w:val="0"/>
          <w:sz w:val="24"/>
        </w:rPr>
        <w:t>月在为部分客户办理信用卡业务时，未遵守总授信额度管理制度的违法违规事实，责令改正，并处罚款</w:t>
      </w:r>
      <w:r>
        <w:rPr>
          <w:color w:val="000000"/>
          <w:kern w:val="0"/>
          <w:sz w:val="24"/>
        </w:rPr>
        <w:t>20</w:t>
      </w:r>
      <w:r>
        <w:rPr>
          <w:color w:val="000000"/>
          <w:kern w:val="0"/>
          <w:sz w:val="24"/>
        </w:rPr>
        <w:t>万元。</w:t>
      </w:r>
    </w:p>
    <w:p w:rsidR="00131020" w:rsidRDefault="00D70B49">
      <w:pPr>
        <w:spacing w:line="360" w:lineRule="auto"/>
        <w:rPr>
          <w:color w:val="000000"/>
          <w:kern w:val="0"/>
          <w:sz w:val="24"/>
        </w:rPr>
      </w:pPr>
      <w:r>
        <w:rPr>
          <w:color w:val="000000"/>
          <w:kern w:val="0"/>
          <w:sz w:val="24"/>
        </w:rPr>
        <w:t>本基金为指数型基金，上述股票系标的指数成份股，上述股票的投资决策程序符合公司投资制度的规定。除平安银行、招商银行、浦发银行、兴业银行、交通银行、民生银行、工商银行、农业银行、北京银行外，本基金投资的前十名证券的发行主体本期没有出现被监管部门立案调查，或在报告编制日前一年内受到公开</w:t>
      </w:r>
      <w:r>
        <w:rPr>
          <w:color w:val="000000"/>
          <w:kern w:val="0"/>
          <w:sz w:val="24"/>
        </w:rPr>
        <w:lastRenderedPageBreak/>
        <w:t>谴责、处罚</w:t>
      </w:r>
      <w:r>
        <w:rPr>
          <w:color w:val="000000"/>
          <w:kern w:val="0"/>
          <w:sz w:val="24"/>
        </w:rPr>
        <w:t>的情形。</w:t>
      </w:r>
    </w:p>
    <w:p w:rsidR="001C36D8" w:rsidRPr="005B1E0B" w:rsidRDefault="001C36D8" w:rsidP="00576862">
      <w:pPr>
        <w:spacing w:line="360" w:lineRule="auto"/>
        <w:rPr>
          <w:color w:val="000000"/>
          <w:kern w:val="0"/>
          <w:sz w:val="24"/>
        </w:rPr>
      </w:pPr>
      <w:r w:rsidRPr="001C123E">
        <w:rPr>
          <w:rFonts w:ascii="宋体" w:hAnsi="宋体"/>
          <w:bCs/>
          <w:color w:val="000000"/>
          <w:kern w:val="0"/>
          <w:sz w:val="24"/>
        </w:rPr>
        <w:t>5.11.2</w:t>
      </w:r>
      <w:r w:rsidRPr="005B1E0B">
        <w:rPr>
          <w:color w:val="000000"/>
          <w:kern w:val="0"/>
          <w:sz w:val="24"/>
        </w:rPr>
        <w:t>本基金投资的前十名股票没有超出基金合同规定的备选股票库。</w:t>
      </w:r>
    </w:p>
    <w:p w:rsidR="001C36D8" w:rsidRPr="00717C29" w:rsidRDefault="001C36D8" w:rsidP="00576862">
      <w:pPr>
        <w:autoSpaceDE w:val="0"/>
        <w:autoSpaceDN w:val="0"/>
        <w:adjustRightInd w:val="0"/>
        <w:spacing w:line="360" w:lineRule="auto"/>
        <w:jc w:val="left"/>
        <w:rPr>
          <w:rFonts w:ascii="宋体" w:cs="Arial"/>
          <w:color w:val="000000"/>
          <w:kern w:val="0"/>
          <w:sz w:val="24"/>
        </w:rPr>
      </w:pPr>
      <w:r w:rsidRPr="00717C29">
        <w:rPr>
          <w:rFonts w:ascii="宋体" w:hAnsi="宋体"/>
          <w:bCs/>
          <w:color w:val="000000"/>
          <w:kern w:val="0"/>
          <w:sz w:val="24"/>
        </w:rPr>
        <w:t>5.11.3</w:t>
      </w:r>
      <w:r w:rsidRPr="00717C29">
        <w:rPr>
          <w:rFonts w:ascii="宋体" w:hAnsi="宋体" w:cs="Arial" w:hint="eastAsia"/>
          <w:color w:val="000000"/>
          <w:kern w:val="0"/>
          <w:sz w:val="24"/>
        </w:rPr>
        <w:t>其他各项资产构成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761"/>
        <w:gridCol w:w="4808"/>
      </w:tblGrid>
      <w:tr w:rsidR="001C36D8" w:rsidRPr="00272E0C" w:rsidTr="001A09F9">
        <w:tc>
          <w:tcPr>
            <w:tcW w:w="959" w:type="dxa"/>
          </w:tcPr>
          <w:p w:rsidR="001C36D8" w:rsidRPr="005B1E0B" w:rsidRDefault="001C36D8" w:rsidP="001A09F9">
            <w:pPr>
              <w:autoSpaceDE w:val="0"/>
              <w:autoSpaceDN w:val="0"/>
              <w:adjustRightInd w:val="0"/>
              <w:spacing w:line="360" w:lineRule="auto"/>
              <w:jc w:val="left"/>
              <w:rPr>
                <w:color w:val="000000"/>
                <w:sz w:val="24"/>
              </w:rPr>
            </w:pPr>
            <w:r w:rsidRPr="005B1E0B">
              <w:rPr>
                <w:color w:val="000000"/>
                <w:sz w:val="24"/>
              </w:rPr>
              <w:t>序号</w:t>
            </w:r>
          </w:p>
        </w:tc>
        <w:tc>
          <w:tcPr>
            <w:tcW w:w="2761" w:type="dxa"/>
          </w:tcPr>
          <w:p w:rsidR="001C36D8" w:rsidRPr="005B1E0B" w:rsidRDefault="001C36D8" w:rsidP="001A09F9">
            <w:pPr>
              <w:autoSpaceDE w:val="0"/>
              <w:autoSpaceDN w:val="0"/>
              <w:adjustRightInd w:val="0"/>
              <w:spacing w:line="360" w:lineRule="auto"/>
              <w:jc w:val="left"/>
              <w:rPr>
                <w:color w:val="000000"/>
                <w:sz w:val="24"/>
              </w:rPr>
            </w:pPr>
            <w:r w:rsidRPr="005B1E0B">
              <w:rPr>
                <w:color w:val="000000"/>
                <w:sz w:val="24"/>
              </w:rPr>
              <w:t>名称</w:t>
            </w:r>
          </w:p>
        </w:tc>
        <w:tc>
          <w:tcPr>
            <w:tcW w:w="4808" w:type="dxa"/>
          </w:tcPr>
          <w:p w:rsidR="001C36D8" w:rsidRPr="005B1E0B" w:rsidRDefault="001C36D8" w:rsidP="001A09F9">
            <w:pPr>
              <w:autoSpaceDE w:val="0"/>
              <w:autoSpaceDN w:val="0"/>
              <w:adjustRightInd w:val="0"/>
              <w:spacing w:line="360" w:lineRule="auto"/>
              <w:jc w:val="left"/>
              <w:rPr>
                <w:color w:val="000000"/>
                <w:sz w:val="24"/>
              </w:rPr>
            </w:pPr>
            <w:r w:rsidRPr="005B1E0B">
              <w:rPr>
                <w:color w:val="000000"/>
                <w:sz w:val="24"/>
              </w:rPr>
              <w:t>金额（元）</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kern w:val="0"/>
                <w:sz w:val="24"/>
              </w:rPr>
            </w:pPr>
            <w:r w:rsidRPr="005B1E0B">
              <w:rPr>
                <w:color w:val="000000"/>
                <w:sz w:val="24"/>
              </w:rPr>
              <w:t>1</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存出保证金</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16,428.03</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2</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应收证券清算款</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1,336,715.10</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3</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应收股利</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4</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应收利息</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2,434.53</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5</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应收申购款</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172,647.70</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6</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其他应收款</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w:t>
            </w:r>
          </w:p>
        </w:tc>
      </w:tr>
      <w:tr w:rsidR="001C36D8" w:rsidRPr="00272E0C" w:rsidTr="001A09F9">
        <w:tc>
          <w:tcPr>
            <w:tcW w:w="959" w:type="dxa"/>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7</w:t>
            </w:r>
          </w:p>
        </w:tc>
        <w:tc>
          <w:tcPr>
            <w:tcW w:w="2761" w:type="dxa"/>
          </w:tcPr>
          <w:p w:rsidR="001C36D8" w:rsidRPr="005B1E0B" w:rsidRDefault="001C36D8" w:rsidP="0015779C">
            <w:pPr>
              <w:autoSpaceDE w:val="0"/>
              <w:autoSpaceDN w:val="0"/>
              <w:adjustRightInd w:val="0"/>
              <w:spacing w:before="29" w:line="360" w:lineRule="auto"/>
              <w:ind w:leftChars="50" w:left="105"/>
              <w:rPr>
                <w:color w:val="000000"/>
                <w:sz w:val="24"/>
              </w:rPr>
            </w:pPr>
            <w:r w:rsidRPr="005B1E0B">
              <w:rPr>
                <w:color w:val="000000"/>
                <w:sz w:val="24"/>
              </w:rPr>
              <w:t>待摊费用</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sz w:val="24"/>
              </w:rPr>
            </w:pPr>
            <w:r w:rsidRPr="005B1E0B">
              <w:rPr>
                <w:color w:val="000000"/>
                <w:sz w:val="24"/>
              </w:rPr>
              <w:t>-</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8</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其他</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9</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合计</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1,528,225.36</w:t>
            </w:r>
          </w:p>
        </w:tc>
      </w:tr>
    </w:tbl>
    <w:p w:rsidR="001C36D8" w:rsidRPr="00717C29" w:rsidRDefault="001C36D8" w:rsidP="00576862">
      <w:pPr>
        <w:autoSpaceDE w:val="0"/>
        <w:autoSpaceDN w:val="0"/>
        <w:adjustRightInd w:val="0"/>
        <w:spacing w:line="360" w:lineRule="auto"/>
        <w:jc w:val="left"/>
        <w:rPr>
          <w:rFonts w:ascii="宋体" w:cs="Arial"/>
          <w:color w:val="000000"/>
          <w:kern w:val="0"/>
          <w:sz w:val="24"/>
        </w:rPr>
      </w:pPr>
      <w:r w:rsidRPr="00717C29">
        <w:rPr>
          <w:rFonts w:ascii="宋体" w:hAnsi="宋体"/>
          <w:bCs/>
          <w:color w:val="000000"/>
          <w:kern w:val="0"/>
          <w:sz w:val="24"/>
        </w:rPr>
        <w:t>5.11.4</w:t>
      </w:r>
      <w:r w:rsidRPr="00717C29">
        <w:rPr>
          <w:rFonts w:ascii="宋体" w:hAnsi="宋体" w:cs="Arial" w:hint="eastAsia"/>
          <w:color w:val="000000"/>
          <w:kern w:val="0"/>
          <w:sz w:val="24"/>
        </w:rPr>
        <w:t>报告期末持有的处于转股期的可转换债券明细</w:t>
      </w:r>
    </w:p>
    <w:p w:rsidR="001C36D8" w:rsidRPr="003D22BD" w:rsidRDefault="001C36D8" w:rsidP="003D22BD">
      <w:pPr>
        <w:spacing w:line="360" w:lineRule="auto"/>
        <w:ind w:firstLineChars="200" w:firstLine="480"/>
        <w:rPr>
          <w:color w:val="000000"/>
          <w:sz w:val="24"/>
        </w:rPr>
      </w:pPr>
      <w:r w:rsidRPr="003D22BD">
        <w:rPr>
          <w:color w:val="000000"/>
          <w:sz w:val="24"/>
        </w:rPr>
        <w:t>本基金本报告期末未持有处于转股期的可转换债券。</w:t>
      </w:r>
    </w:p>
    <w:p w:rsidR="00924A95" w:rsidRPr="001C7E00" w:rsidRDefault="00924A95" w:rsidP="00924A95">
      <w:pPr>
        <w:autoSpaceDE w:val="0"/>
        <w:autoSpaceDN w:val="0"/>
        <w:adjustRightInd w:val="0"/>
        <w:spacing w:line="360" w:lineRule="auto"/>
        <w:jc w:val="left"/>
        <w:rPr>
          <w:rFonts w:ascii="宋体"/>
          <w:bCs/>
          <w:color w:val="000000"/>
          <w:kern w:val="0"/>
          <w:sz w:val="24"/>
        </w:rPr>
      </w:pPr>
      <w:r w:rsidRPr="001C7E00">
        <w:rPr>
          <w:rFonts w:ascii="宋体" w:hAnsi="宋体"/>
          <w:bCs/>
          <w:color w:val="000000"/>
          <w:kern w:val="0"/>
          <w:sz w:val="24"/>
        </w:rPr>
        <w:t>5.11.5</w:t>
      </w:r>
      <w:r w:rsidRPr="001C7E00">
        <w:rPr>
          <w:rFonts w:ascii="宋体" w:hAnsi="宋体" w:hint="eastAsia"/>
          <w:bCs/>
          <w:color w:val="000000"/>
          <w:kern w:val="0"/>
          <w:sz w:val="24"/>
        </w:rPr>
        <w:t>报告期末前十名股票中存在流通受限情况的说明</w:t>
      </w:r>
    </w:p>
    <w:p w:rsidR="001C36D8" w:rsidRPr="005B1E0B" w:rsidRDefault="00924A95" w:rsidP="005B1E0B">
      <w:pPr>
        <w:spacing w:line="360" w:lineRule="auto"/>
        <w:ind w:firstLineChars="200" w:firstLine="480"/>
        <w:rPr>
          <w:color w:val="000000"/>
          <w:sz w:val="24"/>
        </w:rPr>
      </w:pPr>
      <w:r w:rsidRPr="006C56AA">
        <w:rPr>
          <w:color w:val="000000"/>
          <w:sz w:val="24"/>
        </w:rPr>
        <w:t>本基金本报告期末前十名股票中不存在流通受限情况。</w:t>
      </w:r>
    </w:p>
    <w:p w:rsidR="001C36D8" w:rsidRPr="00272E0C" w:rsidRDefault="001C36D8" w:rsidP="005C6DF3">
      <w:pPr>
        <w:pStyle w:val="1"/>
        <w:spacing w:beforeLines="100" w:before="312" w:afterLines="100" w:after="312" w:line="360" w:lineRule="auto"/>
        <w:jc w:val="center"/>
        <w:rPr>
          <w:rFonts w:ascii="宋体" w:cs="Arial"/>
          <w:color w:val="000000"/>
          <w:kern w:val="0"/>
          <w:sz w:val="24"/>
          <w:szCs w:val="24"/>
        </w:rPr>
      </w:pPr>
      <w:r w:rsidRPr="00272E0C">
        <w:rPr>
          <w:rFonts w:ascii="宋体" w:hAnsi="宋体" w:cs="Arial" w:hint="eastAsia"/>
          <w:color w:val="000000"/>
          <w:kern w:val="0"/>
          <w:sz w:val="24"/>
          <w:szCs w:val="24"/>
        </w:rPr>
        <w:t>§</w:t>
      </w:r>
      <w:r>
        <w:rPr>
          <w:rFonts w:ascii="宋体" w:hAnsi="宋体" w:cs="Arial"/>
          <w:color w:val="000000"/>
          <w:kern w:val="0"/>
          <w:sz w:val="24"/>
          <w:szCs w:val="24"/>
        </w:rPr>
        <w:t>6</w:t>
      </w:r>
      <w:r w:rsidR="005D2CC7" w:rsidRPr="00272E0C">
        <w:rPr>
          <w:rFonts w:ascii="宋体" w:hAnsi="宋体" w:cs="Arial"/>
          <w:color w:val="000000"/>
          <w:kern w:val="0"/>
          <w:sz w:val="24"/>
          <w:szCs w:val="24"/>
        </w:rPr>
        <w:t xml:space="preserve">  </w:t>
      </w:r>
      <w:r w:rsidRPr="00272E0C">
        <w:rPr>
          <w:rFonts w:ascii="宋体" w:hAnsi="宋体" w:cs="Arial" w:hint="eastAsia"/>
          <w:color w:val="000000"/>
          <w:kern w:val="0"/>
          <w:sz w:val="24"/>
          <w:szCs w:val="24"/>
        </w:rPr>
        <w:t>开放式基金份额变动</w:t>
      </w:r>
    </w:p>
    <w:p w:rsidR="001C36D8" w:rsidRPr="00272E0C" w:rsidRDefault="001C36D8" w:rsidP="0019563C">
      <w:pPr>
        <w:autoSpaceDE w:val="0"/>
        <w:autoSpaceDN w:val="0"/>
        <w:adjustRightInd w:val="0"/>
        <w:spacing w:before="29" w:line="360" w:lineRule="auto"/>
        <w:ind w:left="15"/>
        <w:jc w:val="right"/>
        <w:rPr>
          <w:rFonts w:ascii="宋体" w:cs="Arial"/>
          <w:color w:val="000000"/>
          <w:kern w:val="0"/>
          <w:sz w:val="24"/>
        </w:rPr>
      </w:pPr>
      <w:r w:rsidRPr="00272E0C">
        <w:rPr>
          <w:rFonts w:ascii="宋体" w:hAnsi="宋体" w:cs="Arial" w:hint="eastAsia"/>
          <w:color w:val="000000"/>
          <w:kern w:val="0"/>
          <w:sz w:val="24"/>
        </w:rPr>
        <w:t>单位：份</w:t>
      </w:r>
    </w:p>
    <w:tbl>
      <w:tblPr>
        <w:tblW w:w="8719" w:type="dxa"/>
        <w:tblInd w:w="-106" w:type="dxa"/>
        <w:tblLayout w:type="fixed"/>
        <w:tblLook w:val="0000" w:firstRow="0" w:lastRow="0" w:firstColumn="0" w:lastColumn="0" w:noHBand="0" w:noVBand="0"/>
      </w:tblPr>
      <w:tblGrid>
        <w:gridCol w:w="1774"/>
        <w:gridCol w:w="2409"/>
        <w:gridCol w:w="2410"/>
        <w:gridCol w:w="2126"/>
      </w:tblGrid>
      <w:tr w:rsidR="001C36D8" w:rsidRPr="00272E0C"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left"/>
              <w:rPr>
                <w:color w:val="000000"/>
                <w:kern w:val="0"/>
                <w:sz w:val="24"/>
              </w:rPr>
            </w:pPr>
            <w:r w:rsidRPr="005B1E0B">
              <w:rPr>
                <w:color w:val="000000"/>
                <w:kern w:val="0"/>
                <w:sz w:val="24"/>
              </w:rPr>
              <w:t>项目</w:t>
            </w:r>
          </w:p>
        </w:tc>
        <w:tc>
          <w:tcPr>
            <w:tcW w:w="2409"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5B14F0">
            <w:pPr>
              <w:autoSpaceDE w:val="0"/>
              <w:autoSpaceDN w:val="0"/>
              <w:adjustRightInd w:val="0"/>
              <w:spacing w:before="29" w:line="360" w:lineRule="auto"/>
              <w:ind w:left="17"/>
              <w:jc w:val="right"/>
              <w:rPr>
                <w:sz w:val="24"/>
              </w:rPr>
            </w:pPr>
            <w:r w:rsidRPr="005B1E0B">
              <w:rPr>
                <w:sz w:val="24"/>
              </w:rPr>
              <w:t>易方达银行分级</w:t>
            </w:r>
          </w:p>
        </w:tc>
        <w:tc>
          <w:tcPr>
            <w:tcW w:w="2410"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right"/>
              <w:rPr>
                <w:color w:val="000000"/>
                <w:sz w:val="24"/>
              </w:rPr>
            </w:pPr>
            <w:r w:rsidRPr="005B1E0B">
              <w:rPr>
                <w:sz w:val="24"/>
              </w:rPr>
              <w:t>易方达银行分级</w:t>
            </w:r>
            <w:r w:rsidRPr="005B1E0B">
              <w:rPr>
                <w:sz w:val="24"/>
              </w:rPr>
              <w:t>A</w:t>
            </w:r>
          </w:p>
        </w:tc>
        <w:tc>
          <w:tcPr>
            <w:tcW w:w="2126"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183C9E">
            <w:pPr>
              <w:autoSpaceDE w:val="0"/>
              <w:autoSpaceDN w:val="0"/>
              <w:adjustRightInd w:val="0"/>
              <w:spacing w:before="29" w:line="360" w:lineRule="auto"/>
              <w:ind w:left="17"/>
              <w:jc w:val="right"/>
              <w:rPr>
                <w:color w:val="000000"/>
                <w:sz w:val="24"/>
              </w:rPr>
            </w:pPr>
            <w:r w:rsidRPr="005B1E0B">
              <w:rPr>
                <w:sz w:val="24"/>
              </w:rPr>
              <w:t>易方达银行分级</w:t>
            </w:r>
            <w:r w:rsidRPr="005B1E0B">
              <w:rPr>
                <w:sz w:val="24"/>
              </w:rPr>
              <w:t>B</w:t>
            </w:r>
          </w:p>
        </w:tc>
      </w:tr>
      <w:tr w:rsidR="001C36D8" w:rsidRPr="00272E0C"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left"/>
              <w:rPr>
                <w:color w:val="000000"/>
                <w:kern w:val="0"/>
                <w:sz w:val="24"/>
              </w:rPr>
            </w:pPr>
            <w:r w:rsidRPr="005B1E0B">
              <w:rPr>
                <w:color w:val="000000"/>
                <w:kern w:val="0"/>
                <w:sz w:val="24"/>
              </w:rPr>
              <w:t>报告期期初基金份额总额</w:t>
            </w:r>
          </w:p>
        </w:tc>
        <w:tc>
          <w:tcPr>
            <w:tcW w:w="2409"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right"/>
              <w:rPr>
                <w:color w:val="000000"/>
                <w:sz w:val="24"/>
              </w:rPr>
            </w:pPr>
            <w:r w:rsidRPr="005B1E0B">
              <w:rPr>
                <w:color w:val="000000"/>
                <w:sz w:val="24"/>
              </w:rPr>
              <w:t>153,406,089.73</w:t>
            </w:r>
          </w:p>
        </w:tc>
        <w:tc>
          <w:tcPr>
            <w:tcW w:w="2410"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465C86">
            <w:pPr>
              <w:autoSpaceDE w:val="0"/>
              <w:autoSpaceDN w:val="0"/>
              <w:adjustRightInd w:val="0"/>
              <w:spacing w:before="29" w:line="360" w:lineRule="auto"/>
              <w:ind w:left="17"/>
              <w:jc w:val="right"/>
              <w:rPr>
                <w:color w:val="000000"/>
                <w:sz w:val="24"/>
              </w:rPr>
            </w:pPr>
            <w:r w:rsidRPr="005B1E0B">
              <w:rPr>
                <w:color w:val="000000"/>
                <w:sz w:val="24"/>
              </w:rPr>
              <w:t>48,372,105.00</w:t>
            </w:r>
          </w:p>
        </w:tc>
        <w:tc>
          <w:tcPr>
            <w:tcW w:w="2126"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183C9E">
            <w:pPr>
              <w:autoSpaceDE w:val="0"/>
              <w:autoSpaceDN w:val="0"/>
              <w:adjustRightInd w:val="0"/>
              <w:spacing w:before="29" w:line="360" w:lineRule="auto"/>
              <w:ind w:left="17"/>
              <w:jc w:val="right"/>
              <w:rPr>
                <w:color w:val="000000"/>
                <w:sz w:val="24"/>
              </w:rPr>
            </w:pPr>
            <w:r w:rsidRPr="005B1E0B">
              <w:rPr>
                <w:sz w:val="24"/>
              </w:rPr>
              <w:t>48,372,105.00</w:t>
            </w:r>
          </w:p>
        </w:tc>
      </w:tr>
      <w:tr w:rsidR="001C36D8" w:rsidRPr="00272E0C"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left"/>
              <w:rPr>
                <w:color w:val="000000"/>
                <w:kern w:val="0"/>
                <w:sz w:val="24"/>
              </w:rPr>
            </w:pPr>
            <w:r w:rsidRPr="005B1E0B">
              <w:rPr>
                <w:color w:val="000000"/>
                <w:kern w:val="0"/>
                <w:sz w:val="24"/>
              </w:rPr>
              <w:t>报告期基金总申购份额</w:t>
            </w:r>
          </w:p>
        </w:tc>
        <w:tc>
          <w:tcPr>
            <w:tcW w:w="2409"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right"/>
              <w:rPr>
                <w:color w:val="000000"/>
                <w:sz w:val="24"/>
              </w:rPr>
            </w:pPr>
            <w:r w:rsidRPr="005B1E0B">
              <w:rPr>
                <w:color w:val="000000"/>
                <w:sz w:val="24"/>
              </w:rPr>
              <w:t>17,586,233.25</w:t>
            </w:r>
          </w:p>
        </w:tc>
        <w:tc>
          <w:tcPr>
            <w:tcW w:w="2410"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465C86">
            <w:pPr>
              <w:autoSpaceDE w:val="0"/>
              <w:autoSpaceDN w:val="0"/>
              <w:adjustRightInd w:val="0"/>
              <w:spacing w:before="29" w:line="360" w:lineRule="auto"/>
              <w:ind w:left="17"/>
              <w:jc w:val="right"/>
              <w:rPr>
                <w:color w:val="000000"/>
                <w:sz w:val="24"/>
              </w:rPr>
            </w:pPr>
            <w:r w:rsidRPr="005B1E0B">
              <w:rPr>
                <w:color w:val="000000"/>
                <w:sz w:val="24"/>
              </w:rPr>
              <w:t>-</w:t>
            </w:r>
          </w:p>
        </w:tc>
        <w:tc>
          <w:tcPr>
            <w:tcW w:w="2126"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183C9E">
            <w:pPr>
              <w:autoSpaceDE w:val="0"/>
              <w:autoSpaceDN w:val="0"/>
              <w:adjustRightInd w:val="0"/>
              <w:spacing w:before="29" w:line="360" w:lineRule="auto"/>
              <w:ind w:left="17"/>
              <w:jc w:val="right"/>
              <w:rPr>
                <w:color w:val="000000"/>
                <w:sz w:val="24"/>
              </w:rPr>
            </w:pPr>
            <w:r w:rsidRPr="005B1E0B">
              <w:rPr>
                <w:sz w:val="24"/>
              </w:rPr>
              <w:t>-</w:t>
            </w:r>
          </w:p>
        </w:tc>
      </w:tr>
      <w:tr w:rsidR="001C36D8" w:rsidRPr="00272E0C"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left"/>
              <w:rPr>
                <w:color w:val="000000"/>
                <w:kern w:val="0"/>
                <w:sz w:val="24"/>
              </w:rPr>
            </w:pPr>
            <w:r w:rsidRPr="005B1E0B">
              <w:rPr>
                <w:color w:val="000000"/>
                <w:kern w:val="0"/>
                <w:sz w:val="24"/>
              </w:rPr>
              <w:t>减：报告期基金总赎回份额</w:t>
            </w:r>
          </w:p>
        </w:tc>
        <w:tc>
          <w:tcPr>
            <w:tcW w:w="2409"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right"/>
              <w:rPr>
                <w:color w:val="000000"/>
                <w:sz w:val="24"/>
              </w:rPr>
            </w:pPr>
            <w:r w:rsidRPr="005B1E0B">
              <w:rPr>
                <w:color w:val="000000"/>
                <w:sz w:val="24"/>
              </w:rPr>
              <w:t>25,626,179.19</w:t>
            </w:r>
          </w:p>
        </w:tc>
        <w:tc>
          <w:tcPr>
            <w:tcW w:w="2410"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465C86">
            <w:pPr>
              <w:autoSpaceDE w:val="0"/>
              <w:autoSpaceDN w:val="0"/>
              <w:adjustRightInd w:val="0"/>
              <w:spacing w:before="29" w:line="360" w:lineRule="auto"/>
              <w:ind w:left="17"/>
              <w:jc w:val="right"/>
              <w:rPr>
                <w:color w:val="000000"/>
                <w:sz w:val="24"/>
              </w:rPr>
            </w:pPr>
            <w:r w:rsidRPr="005B1E0B">
              <w:rPr>
                <w:color w:val="000000"/>
                <w:sz w:val="24"/>
              </w:rPr>
              <w:t>-</w:t>
            </w:r>
          </w:p>
        </w:tc>
        <w:tc>
          <w:tcPr>
            <w:tcW w:w="2126"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183C9E">
            <w:pPr>
              <w:autoSpaceDE w:val="0"/>
              <w:autoSpaceDN w:val="0"/>
              <w:adjustRightInd w:val="0"/>
              <w:spacing w:before="29" w:line="360" w:lineRule="auto"/>
              <w:ind w:left="17"/>
              <w:jc w:val="right"/>
              <w:rPr>
                <w:color w:val="000000"/>
                <w:sz w:val="24"/>
              </w:rPr>
            </w:pPr>
            <w:r w:rsidRPr="005B1E0B">
              <w:rPr>
                <w:sz w:val="24"/>
              </w:rPr>
              <w:t>-</w:t>
            </w:r>
          </w:p>
        </w:tc>
      </w:tr>
      <w:tr w:rsidR="001C36D8" w:rsidRPr="00272E0C" w:rsidTr="00491ABD">
        <w:trPr>
          <w:trHeight w:val="1718"/>
        </w:trPr>
        <w:tc>
          <w:tcPr>
            <w:tcW w:w="1774"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left"/>
              <w:rPr>
                <w:color w:val="000000"/>
                <w:kern w:val="0"/>
                <w:sz w:val="24"/>
              </w:rPr>
            </w:pPr>
            <w:r w:rsidRPr="005B1E0B">
              <w:rPr>
                <w:color w:val="000000"/>
                <w:kern w:val="0"/>
                <w:sz w:val="24"/>
              </w:rPr>
              <w:lastRenderedPageBreak/>
              <w:t>报告期基金拆分变动份额</w:t>
            </w:r>
          </w:p>
        </w:tc>
        <w:tc>
          <w:tcPr>
            <w:tcW w:w="2409"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right"/>
              <w:rPr>
                <w:color w:val="000000"/>
                <w:sz w:val="24"/>
              </w:rPr>
            </w:pPr>
            <w:r w:rsidRPr="005B1E0B">
              <w:rPr>
                <w:color w:val="000000"/>
                <w:sz w:val="24"/>
              </w:rPr>
              <w:t>573,446.00</w:t>
            </w:r>
          </w:p>
        </w:tc>
        <w:tc>
          <w:tcPr>
            <w:tcW w:w="2410"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465C86">
            <w:pPr>
              <w:autoSpaceDE w:val="0"/>
              <w:autoSpaceDN w:val="0"/>
              <w:adjustRightInd w:val="0"/>
              <w:spacing w:before="29" w:line="360" w:lineRule="auto"/>
              <w:ind w:left="17"/>
              <w:jc w:val="right"/>
              <w:rPr>
                <w:color w:val="000000"/>
                <w:sz w:val="24"/>
              </w:rPr>
            </w:pPr>
            <w:r w:rsidRPr="005B1E0B">
              <w:rPr>
                <w:color w:val="000000"/>
                <w:sz w:val="24"/>
              </w:rPr>
              <w:t>-286,723.00</w:t>
            </w:r>
          </w:p>
        </w:tc>
        <w:tc>
          <w:tcPr>
            <w:tcW w:w="2126"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183C9E">
            <w:pPr>
              <w:autoSpaceDE w:val="0"/>
              <w:autoSpaceDN w:val="0"/>
              <w:adjustRightInd w:val="0"/>
              <w:spacing w:before="29" w:line="360" w:lineRule="auto"/>
              <w:ind w:left="17"/>
              <w:jc w:val="right"/>
              <w:rPr>
                <w:color w:val="000000"/>
                <w:sz w:val="24"/>
              </w:rPr>
            </w:pPr>
            <w:r w:rsidRPr="005B1E0B">
              <w:rPr>
                <w:sz w:val="24"/>
              </w:rPr>
              <w:t>-286,723.00</w:t>
            </w:r>
          </w:p>
        </w:tc>
      </w:tr>
      <w:tr w:rsidR="001C36D8" w:rsidRPr="00272E0C"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left"/>
              <w:rPr>
                <w:color w:val="000000"/>
                <w:kern w:val="0"/>
                <w:sz w:val="24"/>
              </w:rPr>
            </w:pPr>
            <w:r w:rsidRPr="005B1E0B">
              <w:rPr>
                <w:color w:val="000000"/>
                <w:kern w:val="0"/>
                <w:sz w:val="24"/>
              </w:rPr>
              <w:t>报告期期末基金份额总额</w:t>
            </w:r>
          </w:p>
        </w:tc>
        <w:tc>
          <w:tcPr>
            <w:tcW w:w="2409"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right"/>
              <w:rPr>
                <w:color w:val="000000"/>
                <w:sz w:val="24"/>
              </w:rPr>
            </w:pPr>
            <w:r w:rsidRPr="005B1E0B">
              <w:rPr>
                <w:color w:val="000000"/>
                <w:sz w:val="24"/>
              </w:rPr>
              <w:t>145,939,589.79</w:t>
            </w:r>
          </w:p>
        </w:tc>
        <w:tc>
          <w:tcPr>
            <w:tcW w:w="2410"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465C86">
            <w:pPr>
              <w:autoSpaceDE w:val="0"/>
              <w:autoSpaceDN w:val="0"/>
              <w:adjustRightInd w:val="0"/>
              <w:spacing w:before="29" w:line="360" w:lineRule="auto"/>
              <w:ind w:left="17"/>
              <w:jc w:val="right"/>
              <w:rPr>
                <w:color w:val="000000"/>
                <w:sz w:val="24"/>
              </w:rPr>
            </w:pPr>
            <w:r w:rsidRPr="005B1E0B">
              <w:rPr>
                <w:color w:val="000000"/>
                <w:sz w:val="24"/>
              </w:rPr>
              <w:t>48,085,382.00</w:t>
            </w:r>
          </w:p>
        </w:tc>
        <w:tc>
          <w:tcPr>
            <w:tcW w:w="2126"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183C9E">
            <w:pPr>
              <w:autoSpaceDE w:val="0"/>
              <w:autoSpaceDN w:val="0"/>
              <w:adjustRightInd w:val="0"/>
              <w:spacing w:before="29" w:line="360" w:lineRule="auto"/>
              <w:ind w:left="17"/>
              <w:jc w:val="right"/>
              <w:rPr>
                <w:color w:val="000000"/>
                <w:sz w:val="24"/>
              </w:rPr>
            </w:pPr>
            <w:r w:rsidRPr="005B1E0B">
              <w:rPr>
                <w:sz w:val="24"/>
              </w:rPr>
              <w:t>48,085,382.00</w:t>
            </w:r>
          </w:p>
        </w:tc>
      </w:tr>
    </w:tbl>
    <w:p w:rsidR="001C36D8" w:rsidRPr="003D22BD" w:rsidRDefault="001C36D8" w:rsidP="003D22BD">
      <w:pPr>
        <w:spacing w:line="360" w:lineRule="auto"/>
        <w:ind w:firstLineChars="200" w:firstLine="480"/>
        <w:rPr>
          <w:color w:val="000000"/>
          <w:sz w:val="24"/>
        </w:rPr>
      </w:pPr>
      <w:r w:rsidRPr="003D22BD">
        <w:rPr>
          <w:color w:val="000000"/>
          <w:sz w:val="24"/>
        </w:rPr>
        <w:t>注：拆分变动份额包括三类份额之间的配对转换份额。</w:t>
      </w:r>
    </w:p>
    <w:p w:rsidR="001C36D8" w:rsidRDefault="001C36D8" w:rsidP="005C6DF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1C36D8" w:rsidRDefault="001C36D8" w:rsidP="003D4E5A">
      <w:pPr>
        <w:spacing w:line="360" w:lineRule="auto"/>
        <w:jc w:val="left"/>
        <w:rPr>
          <w:sz w:val="24"/>
        </w:rPr>
      </w:pPr>
      <w:r>
        <w:rPr>
          <w:b/>
          <w:sz w:val="24"/>
        </w:rPr>
        <w:t xml:space="preserve">7.1 </w:t>
      </w:r>
      <w:r>
        <w:rPr>
          <w:rFonts w:hint="eastAsia"/>
          <w:b/>
          <w:sz w:val="24"/>
        </w:rPr>
        <w:t>基金管理人持有本基金份额变动情况</w:t>
      </w:r>
    </w:p>
    <w:p w:rsidR="001C36D8" w:rsidRPr="005B1E0B" w:rsidRDefault="00BF63AF" w:rsidP="005B1E0B">
      <w:pPr>
        <w:spacing w:line="360" w:lineRule="auto"/>
        <w:ind w:firstLineChars="200" w:firstLine="480"/>
        <w:rPr>
          <w:color w:val="000000"/>
          <w:sz w:val="24"/>
        </w:rPr>
      </w:pPr>
      <w:r w:rsidRPr="00510DAB">
        <w:rPr>
          <w:color w:val="000000"/>
          <w:sz w:val="24"/>
        </w:rPr>
        <w:t>本报告期内基金管理人未持有本基金份额。</w:t>
      </w:r>
    </w:p>
    <w:p w:rsidR="001C36D8" w:rsidRDefault="001C36D8" w:rsidP="003D4E5A">
      <w:pPr>
        <w:spacing w:line="360" w:lineRule="auto"/>
        <w:jc w:val="left"/>
        <w:rPr>
          <w:sz w:val="24"/>
        </w:rPr>
      </w:pPr>
      <w:r>
        <w:rPr>
          <w:b/>
          <w:sz w:val="24"/>
        </w:rPr>
        <w:t xml:space="preserve">7.2 </w:t>
      </w:r>
      <w:r>
        <w:rPr>
          <w:rFonts w:hint="eastAsia"/>
          <w:b/>
          <w:sz w:val="24"/>
        </w:rPr>
        <w:t>基金管理人运用固有资金投资本基金交易明细</w:t>
      </w:r>
    </w:p>
    <w:p w:rsidR="001C36D8" w:rsidRPr="003D22BD" w:rsidRDefault="001C36D8" w:rsidP="003D22BD">
      <w:pPr>
        <w:spacing w:line="360" w:lineRule="auto"/>
        <w:ind w:firstLineChars="200" w:firstLine="480"/>
        <w:rPr>
          <w:color w:val="000000"/>
          <w:sz w:val="24"/>
        </w:rPr>
      </w:pPr>
      <w:r w:rsidRPr="003D22BD">
        <w:rPr>
          <w:color w:val="000000"/>
          <w:sz w:val="24"/>
        </w:rPr>
        <w:t>本报告期内基金管理人未运用固有资金申购、赎回、买卖本基金份额。</w:t>
      </w:r>
    </w:p>
    <w:p w:rsidR="00A12EEF" w:rsidRPr="005D2CC7" w:rsidRDefault="00A12EEF" w:rsidP="00A12EEF">
      <w:pPr>
        <w:pStyle w:val="1"/>
        <w:spacing w:beforeLines="100" w:before="312" w:afterLines="100" w:after="312" w:line="360" w:lineRule="auto"/>
        <w:jc w:val="center"/>
        <w:rPr>
          <w:rFonts w:ascii="宋体" w:hAnsi="宋体" w:cs="Arial"/>
          <w:color w:val="000000"/>
          <w:kern w:val="0"/>
          <w:sz w:val="24"/>
          <w:szCs w:val="24"/>
        </w:rPr>
      </w:pPr>
      <w:r w:rsidRPr="005D2CC7">
        <w:rPr>
          <w:rFonts w:ascii="宋体" w:hAnsi="宋体" w:cs="Arial"/>
          <w:color w:val="000000"/>
          <w:kern w:val="0"/>
          <w:sz w:val="24"/>
          <w:szCs w:val="24"/>
        </w:rPr>
        <w:t>§8</w:t>
      </w:r>
      <w:r w:rsidR="005D2CC7" w:rsidRPr="00272E0C">
        <w:rPr>
          <w:rFonts w:ascii="宋体" w:hAnsi="宋体" w:cs="Arial"/>
          <w:color w:val="000000"/>
          <w:kern w:val="0"/>
          <w:sz w:val="24"/>
          <w:szCs w:val="24"/>
        </w:rPr>
        <w:t xml:space="preserve">  </w:t>
      </w:r>
      <w:r w:rsidRPr="005D2CC7">
        <w:rPr>
          <w:rFonts w:ascii="宋体" w:hAnsi="宋体" w:cs="Arial"/>
          <w:color w:val="000000"/>
          <w:kern w:val="0"/>
          <w:sz w:val="24"/>
          <w:szCs w:val="24"/>
        </w:rPr>
        <w:t>影响投资者决策的其他重要信息</w:t>
      </w:r>
    </w:p>
    <w:p w:rsidR="004B7CA0" w:rsidRPr="00654C5E" w:rsidRDefault="004B7CA0" w:rsidP="004B7CA0">
      <w:pPr>
        <w:autoSpaceDE w:val="0"/>
        <w:autoSpaceDN w:val="0"/>
        <w:adjustRightInd w:val="0"/>
        <w:spacing w:line="360" w:lineRule="auto"/>
        <w:jc w:val="left"/>
        <w:rPr>
          <w:rFonts w:ascii="宋体"/>
          <w:b/>
          <w:bCs/>
          <w:color w:val="000000"/>
          <w:kern w:val="0"/>
          <w:sz w:val="24"/>
        </w:rPr>
      </w:pPr>
      <w:r w:rsidRPr="00654C5E">
        <w:rPr>
          <w:rFonts w:ascii="宋体"/>
          <w:b/>
          <w:bCs/>
          <w:color w:val="000000"/>
          <w:kern w:val="0"/>
          <w:sz w:val="24"/>
        </w:rPr>
        <w:t>8.1 报告期内单一投资者持有基金份额比例达到或超过20%的情况</w:t>
      </w:r>
    </w:p>
    <w:tbl>
      <w:tblPr>
        <w:tblStyle w:val="af7"/>
        <w:tblW w:w="9640" w:type="dxa"/>
        <w:jc w:val="center"/>
        <w:tblLayout w:type="fixed"/>
        <w:tblLook w:val="04A0" w:firstRow="1" w:lastRow="0" w:firstColumn="1" w:lastColumn="0" w:noHBand="0" w:noVBand="1"/>
      </w:tblPr>
      <w:tblGrid>
        <w:gridCol w:w="709"/>
        <w:gridCol w:w="709"/>
        <w:gridCol w:w="2126"/>
        <w:gridCol w:w="1276"/>
        <w:gridCol w:w="1276"/>
        <w:gridCol w:w="1276"/>
        <w:gridCol w:w="1417"/>
        <w:gridCol w:w="851"/>
      </w:tblGrid>
      <w:tr w:rsidR="004B7CA0" w:rsidRPr="00FC0759" w:rsidTr="00F12FB0">
        <w:trPr>
          <w:jc w:val="center"/>
        </w:trPr>
        <w:tc>
          <w:tcPr>
            <w:tcW w:w="709" w:type="dxa"/>
            <w:vMerge w:val="restart"/>
            <w:vAlign w:val="center"/>
          </w:tcPr>
          <w:p w:rsidR="004B7CA0" w:rsidRPr="00FC0759" w:rsidRDefault="004B7CA0" w:rsidP="00F12FB0">
            <w:pPr>
              <w:autoSpaceDE w:val="0"/>
              <w:autoSpaceDN w:val="0"/>
              <w:adjustRightInd w:val="0"/>
              <w:jc w:val="center"/>
              <w:rPr>
                <w:rFonts w:eastAsiaTheme="minorEastAsia"/>
                <w:b/>
                <w:bCs/>
                <w:color w:val="000000" w:themeColor="text1"/>
                <w:sz w:val="24"/>
              </w:rPr>
            </w:pPr>
            <w:r w:rsidRPr="00FC0759">
              <w:rPr>
                <w:color w:val="000000"/>
                <w:sz w:val="24"/>
              </w:rPr>
              <w:t>投资者类别</w:t>
            </w:r>
          </w:p>
        </w:tc>
        <w:tc>
          <w:tcPr>
            <w:tcW w:w="6663" w:type="dxa"/>
            <w:gridSpan w:val="5"/>
            <w:vAlign w:val="center"/>
          </w:tcPr>
          <w:p w:rsidR="004B7CA0" w:rsidRPr="00FC0759" w:rsidRDefault="004B7CA0" w:rsidP="00F12FB0">
            <w:pPr>
              <w:autoSpaceDE w:val="0"/>
              <w:autoSpaceDN w:val="0"/>
              <w:adjustRightInd w:val="0"/>
              <w:ind w:firstLine="1126"/>
              <w:jc w:val="center"/>
              <w:rPr>
                <w:rFonts w:eastAsiaTheme="minorEastAsia"/>
                <w:b/>
                <w:bCs/>
                <w:color w:val="000000" w:themeColor="text1"/>
                <w:sz w:val="24"/>
              </w:rPr>
            </w:pPr>
            <w:r w:rsidRPr="00FC0759">
              <w:rPr>
                <w:color w:val="000000"/>
                <w:sz w:val="24"/>
              </w:rPr>
              <w:t>报告期内持有基金份额变化情况</w:t>
            </w:r>
          </w:p>
        </w:tc>
        <w:tc>
          <w:tcPr>
            <w:tcW w:w="2268" w:type="dxa"/>
            <w:gridSpan w:val="2"/>
            <w:vAlign w:val="center"/>
          </w:tcPr>
          <w:p w:rsidR="004B7CA0" w:rsidRPr="00FC0759" w:rsidRDefault="004B7CA0" w:rsidP="00F12FB0">
            <w:pPr>
              <w:autoSpaceDE w:val="0"/>
              <w:autoSpaceDN w:val="0"/>
              <w:adjustRightInd w:val="0"/>
              <w:jc w:val="center"/>
              <w:rPr>
                <w:rFonts w:eastAsiaTheme="minorEastAsia"/>
                <w:b/>
                <w:bCs/>
                <w:color w:val="000000" w:themeColor="text1"/>
                <w:sz w:val="24"/>
              </w:rPr>
            </w:pPr>
            <w:r w:rsidRPr="00FC0759">
              <w:rPr>
                <w:color w:val="000000"/>
                <w:sz w:val="24"/>
              </w:rPr>
              <w:t>报告期末持有基金情况</w:t>
            </w:r>
          </w:p>
        </w:tc>
      </w:tr>
      <w:tr w:rsidR="004B7CA0" w:rsidRPr="00FC0759" w:rsidTr="00F12FB0">
        <w:trPr>
          <w:jc w:val="center"/>
        </w:trPr>
        <w:tc>
          <w:tcPr>
            <w:tcW w:w="709" w:type="dxa"/>
            <w:vMerge/>
            <w:vAlign w:val="center"/>
          </w:tcPr>
          <w:p w:rsidR="004B7CA0" w:rsidRPr="00FC0759" w:rsidRDefault="004B7CA0" w:rsidP="00F12FB0">
            <w:pPr>
              <w:autoSpaceDE w:val="0"/>
              <w:autoSpaceDN w:val="0"/>
              <w:adjustRightInd w:val="0"/>
              <w:ind w:firstLine="1234"/>
              <w:jc w:val="center"/>
              <w:rPr>
                <w:rFonts w:eastAsiaTheme="minorEastAsia"/>
                <w:b/>
                <w:bCs/>
                <w:color w:val="000000" w:themeColor="text1"/>
                <w:sz w:val="24"/>
              </w:rPr>
            </w:pPr>
          </w:p>
        </w:tc>
        <w:tc>
          <w:tcPr>
            <w:tcW w:w="709" w:type="dxa"/>
            <w:vAlign w:val="center"/>
          </w:tcPr>
          <w:p w:rsidR="004B7CA0" w:rsidRPr="00FC0759" w:rsidRDefault="004B7CA0" w:rsidP="00F12FB0">
            <w:pPr>
              <w:autoSpaceDE w:val="0"/>
              <w:autoSpaceDN w:val="0"/>
              <w:adjustRightInd w:val="0"/>
              <w:jc w:val="center"/>
              <w:rPr>
                <w:rFonts w:eastAsiaTheme="minorEastAsia"/>
                <w:b/>
                <w:bCs/>
                <w:color w:val="000000" w:themeColor="text1"/>
                <w:sz w:val="24"/>
              </w:rPr>
            </w:pPr>
            <w:r w:rsidRPr="00FC0759">
              <w:rPr>
                <w:color w:val="000000"/>
                <w:sz w:val="24"/>
              </w:rPr>
              <w:t>序号</w:t>
            </w:r>
          </w:p>
        </w:tc>
        <w:tc>
          <w:tcPr>
            <w:tcW w:w="2126" w:type="dxa"/>
            <w:vAlign w:val="center"/>
          </w:tcPr>
          <w:p w:rsidR="004B7CA0" w:rsidRPr="00FC0759" w:rsidRDefault="004B7CA0" w:rsidP="00F12FB0">
            <w:pPr>
              <w:autoSpaceDE w:val="0"/>
              <w:autoSpaceDN w:val="0"/>
              <w:adjustRightInd w:val="0"/>
              <w:jc w:val="center"/>
              <w:rPr>
                <w:rFonts w:eastAsiaTheme="minorEastAsia"/>
                <w:b/>
                <w:bCs/>
                <w:color w:val="000000" w:themeColor="text1"/>
                <w:sz w:val="24"/>
              </w:rPr>
            </w:pPr>
            <w:r w:rsidRPr="00FC0759">
              <w:rPr>
                <w:color w:val="000000"/>
                <w:sz w:val="24"/>
              </w:rPr>
              <w:t>持有基金份额比例达到或者超过</w:t>
            </w:r>
            <w:r w:rsidRPr="00FC0759">
              <w:rPr>
                <w:color w:val="000000"/>
                <w:sz w:val="24"/>
              </w:rPr>
              <w:t>20%</w:t>
            </w:r>
            <w:r w:rsidRPr="00FC0759">
              <w:rPr>
                <w:color w:val="000000"/>
                <w:sz w:val="24"/>
              </w:rPr>
              <w:t>的时间区间</w:t>
            </w:r>
          </w:p>
        </w:tc>
        <w:tc>
          <w:tcPr>
            <w:tcW w:w="1276" w:type="dxa"/>
            <w:vAlign w:val="center"/>
          </w:tcPr>
          <w:p w:rsidR="004B7CA0" w:rsidRPr="00FC0759" w:rsidRDefault="004B7CA0" w:rsidP="00F12FB0">
            <w:pPr>
              <w:widowControl/>
              <w:rPr>
                <w:rFonts w:eastAsiaTheme="minorEastAsia"/>
                <w:b/>
                <w:bCs/>
                <w:color w:val="000000" w:themeColor="text1"/>
                <w:sz w:val="24"/>
              </w:rPr>
            </w:pPr>
            <w:r w:rsidRPr="00FC0759">
              <w:rPr>
                <w:color w:val="000000"/>
                <w:sz w:val="24"/>
              </w:rPr>
              <w:t>期初份额</w:t>
            </w:r>
          </w:p>
        </w:tc>
        <w:tc>
          <w:tcPr>
            <w:tcW w:w="1276" w:type="dxa"/>
            <w:vAlign w:val="center"/>
          </w:tcPr>
          <w:p w:rsidR="004B7CA0" w:rsidRPr="00FC0759" w:rsidRDefault="004B7CA0" w:rsidP="00F12FB0">
            <w:pPr>
              <w:widowControl/>
              <w:rPr>
                <w:rFonts w:eastAsiaTheme="minorEastAsia"/>
                <w:b/>
                <w:bCs/>
                <w:color w:val="000000" w:themeColor="text1"/>
                <w:sz w:val="24"/>
              </w:rPr>
            </w:pPr>
            <w:r w:rsidRPr="00FC0759">
              <w:rPr>
                <w:color w:val="000000"/>
                <w:sz w:val="24"/>
              </w:rPr>
              <w:t>申购份额</w:t>
            </w:r>
          </w:p>
        </w:tc>
        <w:tc>
          <w:tcPr>
            <w:tcW w:w="1276" w:type="dxa"/>
            <w:vAlign w:val="center"/>
          </w:tcPr>
          <w:p w:rsidR="004B7CA0" w:rsidRPr="00FC0759" w:rsidRDefault="004B7CA0" w:rsidP="00F12FB0">
            <w:pPr>
              <w:widowControl/>
              <w:rPr>
                <w:rFonts w:eastAsiaTheme="minorEastAsia"/>
                <w:b/>
                <w:bCs/>
                <w:color w:val="000000" w:themeColor="text1"/>
                <w:sz w:val="24"/>
              </w:rPr>
            </w:pPr>
            <w:r w:rsidRPr="00FC0759">
              <w:rPr>
                <w:color w:val="000000"/>
                <w:sz w:val="24"/>
              </w:rPr>
              <w:t>赎回份额</w:t>
            </w:r>
          </w:p>
        </w:tc>
        <w:tc>
          <w:tcPr>
            <w:tcW w:w="1417" w:type="dxa"/>
            <w:vAlign w:val="center"/>
          </w:tcPr>
          <w:p w:rsidR="004B7CA0" w:rsidRPr="00FC0759" w:rsidRDefault="004B7CA0" w:rsidP="00F12FB0">
            <w:pPr>
              <w:autoSpaceDE w:val="0"/>
              <w:autoSpaceDN w:val="0"/>
              <w:adjustRightInd w:val="0"/>
              <w:jc w:val="center"/>
              <w:rPr>
                <w:rFonts w:eastAsiaTheme="minorEastAsia"/>
                <w:b/>
                <w:bCs/>
                <w:color w:val="000000" w:themeColor="text1"/>
                <w:sz w:val="24"/>
              </w:rPr>
            </w:pPr>
            <w:r w:rsidRPr="00FC0759">
              <w:rPr>
                <w:color w:val="000000"/>
                <w:sz w:val="24"/>
              </w:rPr>
              <w:t>持有份额</w:t>
            </w:r>
          </w:p>
        </w:tc>
        <w:tc>
          <w:tcPr>
            <w:tcW w:w="851" w:type="dxa"/>
            <w:vAlign w:val="center"/>
          </w:tcPr>
          <w:p w:rsidR="004B7CA0" w:rsidRPr="00FC0759" w:rsidRDefault="004B7CA0" w:rsidP="00F12FB0">
            <w:pPr>
              <w:autoSpaceDE w:val="0"/>
              <w:autoSpaceDN w:val="0"/>
              <w:adjustRightInd w:val="0"/>
              <w:jc w:val="center"/>
              <w:rPr>
                <w:rFonts w:eastAsiaTheme="minorEastAsia"/>
                <w:b/>
                <w:bCs/>
                <w:color w:val="000000" w:themeColor="text1"/>
                <w:sz w:val="24"/>
              </w:rPr>
            </w:pPr>
            <w:r w:rsidRPr="00FC0759">
              <w:rPr>
                <w:color w:val="000000"/>
                <w:sz w:val="24"/>
              </w:rPr>
              <w:t>份额占比</w:t>
            </w:r>
          </w:p>
        </w:tc>
      </w:tr>
      <w:tr w:rsidR="00131020">
        <w:trPr>
          <w:jc w:val="center"/>
        </w:trPr>
        <w:tc>
          <w:tcPr>
            <w:tcW w:w="709" w:type="dxa"/>
            <w:vMerge w:val="restart"/>
            <w:vAlign w:val="center"/>
          </w:tcPr>
          <w:p w:rsidR="00131020" w:rsidRDefault="00D70B49">
            <w:r>
              <w:rPr>
                <w:rFonts w:eastAsiaTheme="minorEastAsia"/>
                <w:bCs/>
                <w:color w:val="000000" w:themeColor="text1"/>
                <w:sz w:val="24"/>
              </w:rPr>
              <w:t>机构</w:t>
            </w:r>
          </w:p>
        </w:tc>
        <w:tc>
          <w:tcPr>
            <w:tcW w:w="709" w:type="dxa"/>
            <w:vAlign w:val="center"/>
          </w:tcPr>
          <w:p w:rsidR="00131020" w:rsidRDefault="00D70B49">
            <w:pPr>
              <w:jc w:val="center"/>
            </w:pPr>
            <w:r>
              <w:rPr>
                <w:sz w:val="24"/>
              </w:rPr>
              <w:t>1</w:t>
            </w:r>
          </w:p>
        </w:tc>
        <w:tc>
          <w:tcPr>
            <w:tcW w:w="2126" w:type="dxa"/>
            <w:vAlign w:val="center"/>
          </w:tcPr>
          <w:p w:rsidR="00131020" w:rsidRDefault="00D70B49">
            <w:pPr>
              <w:jc w:val="center"/>
            </w:pPr>
            <w:r>
              <w:rPr>
                <w:sz w:val="24"/>
              </w:rPr>
              <w:t>2019</w:t>
            </w:r>
            <w:r>
              <w:rPr>
                <w:sz w:val="24"/>
              </w:rPr>
              <w:t>年</w:t>
            </w:r>
            <w:r>
              <w:rPr>
                <w:sz w:val="24"/>
              </w:rPr>
              <w:t>07</w:t>
            </w:r>
            <w:r>
              <w:rPr>
                <w:sz w:val="24"/>
              </w:rPr>
              <w:t>月</w:t>
            </w:r>
            <w:r>
              <w:rPr>
                <w:sz w:val="24"/>
              </w:rPr>
              <w:t>01</w:t>
            </w:r>
            <w:r>
              <w:rPr>
                <w:sz w:val="24"/>
              </w:rPr>
              <w:t>日</w:t>
            </w:r>
            <w:r>
              <w:rPr>
                <w:sz w:val="24"/>
              </w:rPr>
              <w:t>~2019</w:t>
            </w:r>
            <w:r>
              <w:rPr>
                <w:sz w:val="24"/>
              </w:rPr>
              <w:t>年</w:t>
            </w:r>
            <w:r>
              <w:rPr>
                <w:sz w:val="24"/>
              </w:rPr>
              <w:t>09</w:t>
            </w:r>
            <w:r>
              <w:rPr>
                <w:sz w:val="24"/>
              </w:rPr>
              <w:t>月</w:t>
            </w:r>
            <w:r>
              <w:rPr>
                <w:sz w:val="24"/>
              </w:rPr>
              <w:t>30</w:t>
            </w:r>
            <w:r>
              <w:rPr>
                <w:sz w:val="24"/>
              </w:rPr>
              <w:t>日</w:t>
            </w:r>
          </w:p>
        </w:tc>
        <w:tc>
          <w:tcPr>
            <w:tcW w:w="1276" w:type="dxa"/>
            <w:vAlign w:val="center"/>
          </w:tcPr>
          <w:p w:rsidR="00131020" w:rsidRDefault="00D70B49">
            <w:pPr>
              <w:jc w:val="center"/>
            </w:pPr>
            <w:r>
              <w:rPr>
                <w:sz w:val="24"/>
              </w:rPr>
              <w:t>68,066,411.25</w:t>
            </w:r>
          </w:p>
        </w:tc>
        <w:tc>
          <w:tcPr>
            <w:tcW w:w="1276" w:type="dxa"/>
            <w:vAlign w:val="center"/>
          </w:tcPr>
          <w:p w:rsidR="00131020" w:rsidRDefault="00D70B49">
            <w:pPr>
              <w:jc w:val="center"/>
            </w:pPr>
            <w:r>
              <w:rPr>
                <w:sz w:val="24"/>
              </w:rPr>
              <w:t>-</w:t>
            </w:r>
          </w:p>
        </w:tc>
        <w:tc>
          <w:tcPr>
            <w:tcW w:w="1276" w:type="dxa"/>
            <w:vAlign w:val="center"/>
          </w:tcPr>
          <w:p w:rsidR="00131020" w:rsidRDefault="00D70B49">
            <w:pPr>
              <w:jc w:val="center"/>
            </w:pPr>
            <w:r>
              <w:rPr>
                <w:sz w:val="24"/>
              </w:rPr>
              <w:t>-</w:t>
            </w:r>
          </w:p>
        </w:tc>
        <w:tc>
          <w:tcPr>
            <w:tcW w:w="1417" w:type="dxa"/>
            <w:vAlign w:val="center"/>
          </w:tcPr>
          <w:p w:rsidR="00131020" w:rsidRDefault="00D70B49">
            <w:pPr>
              <w:jc w:val="center"/>
            </w:pPr>
            <w:r>
              <w:rPr>
                <w:sz w:val="24"/>
              </w:rPr>
              <w:t>68,066,411.25</w:t>
            </w:r>
          </w:p>
        </w:tc>
        <w:tc>
          <w:tcPr>
            <w:tcW w:w="851" w:type="dxa"/>
            <w:vAlign w:val="center"/>
          </w:tcPr>
          <w:p w:rsidR="00131020" w:rsidRDefault="00D70B49">
            <w:pPr>
              <w:jc w:val="center"/>
            </w:pPr>
            <w:r>
              <w:rPr>
                <w:sz w:val="24"/>
              </w:rPr>
              <w:t>28.11%</w:t>
            </w:r>
          </w:p>
        </w:tc>
      </w:tr>
      <w:tr w:rsidR="004B7CA0" w:rsidRPr="00FC0759" w:rsidTr="00F12FB0">
        <w:trPr>
          <w:jc w:val="center"/>
        </w:trPr>
        <w:tc>
          <w:tcPr>
            <w:tcW w:w="9637" w:type="dxa"/>
            <w:gridSpan w:val="8"/>
            <w:vAlign w:val="center"/>
          </w:tcPr>
          <w:p w:rsidR="004B7CA0" w:rsidRPr="00FC0759" w:rsidRDefault="004B7CA0" w:rsidP="007C2BCC">
            <w:pPr>
              <w:autoSpaceDE w:val="0"/>
              <w:autoSpaceDN w:val="0"/>
              <w:adjustRightInd w:val="0"/>
              <w:jc w:val="center"/>
              <w:rPr>
                <w:sz w:val="24"/>
              </w:rPr>
            </w:pPr>
            <w:r w:rsidRPr="00FC0759">
              <w:rPr>
                <w:color w:val="000000"/>
                <w:sz w:val="24"/>
              </w:rPr>
              <w:t>产品特有风险</w:t>
            </w:r>
          </w:p>
        </w:tc>
      </w:tr>
      <w:tr w:rsidR="004B7CA0" w:rsidRPr="00FC0759" w:rsidTr="00F12FB0">
        <w:trPr>
          <w:jc w:val="center"/>
        </w:trPr>
        <w:tc>
          <w:tcPr>
            <w:tcW w:w="9637" w:type="dxa"/>
            <w:gridSpan w:val="8"/>
            <w:vAlign w:val="center"/>
          </w:tcPr>
          <w:p w:rsidR="004B7CA0" w:rsidRPr="00FC0759" w:rsidRDefault="004B7CA0" w:rsidP="00F12FB0">
            <w:pPr>
              <w:autoSpaceDE w:val="0"/>
              <w:autoSpaceDN w:val="0"/>
              <w:adjustRightInd w:val="0"/>
              <w:jc w:val="left"/>
              <w:rPr>
                <w:sz w:val="24"/>
              </w:rPr>
            </w:pPr>
            <w:r w:rsidRPr="00FC0759">
              <w:rPr>
                <w:sz w:val="24"/>
              </w:rPr>
              <w:t>报告期内，本基金存在单一投资者持有份额比例达到或超过</w:t>
            </w:r>
            <w:r w:rsidRPr="00FC0759">
              <w:rPr>
                <w:sz w:val="24"/>
              </w:rPr>
              <w:t>20%</w:t>
            </w:r>
            <w:r w:rsidRPr="00FC0759">
              <w:rPr>
                <w:sz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rPr>
              <w:t>5000</w:t>
            </w:r>
            <w:r w:rsidRPr="00FC0759">
              <w:rPr>
                <w:sz w:val="24"/>
              </w:rPr>
              <w:t>万元，基金还可能面临转换运作方式、与其他基金合并或者终止基金合同等情形；持有基金份额占比较高的投资者在召开持有人大会并对审议事项进行投票表决时可能拥有较大话语权。</w:t>
            </w:r>
          </w:p>
        </w:tc>
      </w:tr>
    </w:tbl>
    <w:p w:rsidR="004B7CA0" w:rsidRPr="00FC0759" w:rsidRDefault="004B7CA0" w:rsidP="004B7CA0">
      <w:pPr>
        <w:autoSpaceDE w:val="0"/>
        <w:autoSpaceDN w:val="0"/>
        <w:adjustRightInd w:val="0"/>
        <w:spacing w:line="360" w:lineRule="auto"/>
        <w:ind w:firstLineChars="200" w:firstLine="480"/>
        <w:jc w:val="left"/>
        <w:rPr>
          <w:rFonts w:eastAsiaTheme="minorEastAsia"/>
          <w:bCs/>
          <w:color w:val="000000" w:themeColor="text1"/>
          <w:kern w:val="0"/>
          <w:sz w:val="24"/>
        </w:rPr>
      </w:pPr>
      <w:r w:rsidRPr="00FC0759">
        <w:rPr>
          <w:bCs/>
          <w:color w:val="000000" w:themeColor="text1"/>
          <w:kern w:val="0"/>
          <w:sz w:val="24"/>
        </w:rPr>
        <w:t>注：申购份额包括申购或者买入基金份额，赎回份额包括赎回或者卖出基金</w:t>
      </w:r>
      <w:r w:rsidRPr="00FC0759">
        <w:rPr>
          <w:bCs/>
          <w:color w:val="000000" w:themeColor="text1"/>
          <w:kern w:val="0"/>
          <w:sz w:val="24"/>
        </w:rPr>
        <w:lastRenderedPageBreak/>
        <w:t>份额。</w:t>
      </w:r>
    </w:p>
    <w:p w:rsidR="004B7CA0" w:rsidRPr="00654C5E" w:rsidRDefault="004B7CA0" w:rsidP="004B7CA0">
      <w:pPr>
        <w:autoSpaceDE w:val="0"/>
        <w:autoSpaceDN w:val="0"/>
        <w:adjustRightInd w:val="0"/>
        <w:spacing w:line="360" w:lineRule="auto"/>
        <w:jc w:val="left"/>
        <w:rPr>
          <w:rFonts w:ascii="宋体"/>
          <w:b/>
          <w:bCs/>
          <w:color w:val="000000"/>
          <w:kern w:val="0"/>
          <w:sz w:val="24"/>
        </w:rPr>
      </w:pPr>
      <w:r w:rsidRPr="00654C5E">
        <w:rPr>
          <w:rFonts w:ascii="宋体"/>
          <w:b/>
          <w:bCs/>
          <w:color w:val="000000"/>
          <w:kern w:val="0"/>
          <w:sz w:val="24"/>
        </w:rPr>
        <w:t>8.2 影响投资者决策的其他重要信息</w:t>
      </w:r>
    </w:p>
    <w:p w:rsidR="001C36D8" w:rsidRPr="003D22BD" w:rsidRDefault="004B7CA0" w:rsidP="004B7CA0">
      <w:pPr>
        <w:spacing w:line="360" w:lineRule="auto"/>
        <w:ind w:firstLineChars="200" w:firstLine="480"/>
        <w:rPr>
          <w:color w:val="000000"/>
          <w:sz w:val="24"/>
        </w:rPr>
      </w:pPr>
      <w:r w:rsidRPr="00FC0759">
        <w:rPr>
          <w:rFonts w:eastAsiaTheme="minorEastAsia"/>
          <w:color w:val="000000" w:themeColor="text1"/>
          <w:sz w:val="24"/>
        </w:rPr>
        <w:t>根据《关于规范金融机构资产管理业务的指导意见》（以下简称《资管新规》）要求，公募产品不得进行份额分级，应在《资管新规》规定的过渡期结束前进行整改规范，请投资者关注相关风险以及基金管理人届时发布的相关公告。</w:t>
      </w:r>
    </w:p>
    <w:p w:rsidR="001C36D8" w:rsidRPr="00272E0C" w:rsidRDefault="001C36D8" w:rsidP="005C6DF3">
      <w:pPr>
        <w:pStyle w:val="1"/>
        <w:spacing w:beforeLines="100" w:before="312" w:afterLines="100" w:after="312" w:line="360" w:lineRule="auto"/>
        <w:jc w:val="center"/>
        <w:rPr>
          <w:rFonts w:ascii="宋体" w:cs="Arial"/>
          <w:color w:val="000000"/>
          <w:kern w:val="0"/>
          <w:sz w:val="24"/>
          <w:szCs w:val="24"/>
        </w:rPr>
      </w:pPr>
      <w:r w:rsidRPr="00272E0C">
        <w:rPr>
          <w:rFonts w:ascii="宋体" w:hAnsi="宋体" w:cs="Arial" w:hint="eastAsia"/>
          <w:color w:val="000000"/>
          <w:kern w:val="0"/>
          <w:sz w:val="24"/>
          <w:szCs w:val="24"/>
        </w:rPr>
        <w:t>§</w:t>
      </w:r>
      <w:r w:rsidRPr="00272E0C">
        <w:rPr>
          <w:rFonts w:ascii="宋体" w:hAnsi="宋体" w:cs="Arial"/>
          <w:color w:val="000000"/>
          <w:kern w:val="0"/>
          <w:sz w:val="24"/>
          <w:szCs w:val="24"/>
        </w:rPr>
        <w:t>9</w:t>
      </w:r>
      <w:r w:rsidR="005D2CC7" w:rsidRPr="00272E0C">
        <w:rPr>
          <w:rFonts w:ascii="宋体" w:hAnsi="宋体" w:cs="Arial"/>
          <w:color w:val="000000"/>
          <w:kern w:val="0"/>
          <w:sz w:val="24"/>
          <w:szCs w:val="24"/>
        </w:rPr>
        <w:t xml:space="preserve">  </w:t>
      </w:r>
      <w:r w:rsidRPr="00272E0C">
        <w:rPr>
          <w:rFonts w:ascii="宋体" w:hAnsi="宋体" w:cs="Arial" w:hint="eastAsia"/>
          <w:color w:val="000000"/>
          <w:kern w:val="0"/>
          <w:sz w:val="24"/>
          <w:szCs w:val="24"/>
        </w:rPr>
        <w:t>备查文件目录</w:t>
      </w:r>
    </w:p>
    <w:p w:rsidR="001C36D8" w:rsidRPr="00CE2DE4" w:rsidRDefault="001C36D8" w:rsidP="001078B6">
      <w:pPr>
        <w:spacing w:line="360" w:lineRule="auto"/>
        <w:rPr>
          <w:rFonts w:ascii="宋体"/>
          <w:b/>
          <w:color w:val="000000"/>
          <w:kern w:val="0"/>
          <w:sz w:val="24"/>
        </w:rPr>
      </w:pPr>
      <w:r w:rsidRPr="00CE2DE4">
        <w:rPr>
          <w:rFonts w:ascii="宋体" w:hAnsi="宋体"/>
          <w:b/>
          <w:color w:val="000000"/>
          <w:sz w:val="24"/>
        </w:rPr>
        <w:t xml:space="preserve">9.1 </w:t>
      </w:r>
      <w:r w:rsidRPr="00CE2DE4">
        <w:rPr>
          <w:rFonts w:ascii="宋体" w:hAnsi="宋体" w:hint="eastAsia"/>
          <w:b/>
          <w:color w:val="000000"/>
          <w:sz w:val="24"/>
        </w:rPr>
        <w:t>备查文件目录</w:t>
      </w:r>
    </w:p>
    <w:p w:rsidR="00131020" w:rsidRDefault="00D70B49">
      <w:pPr>
        <w:spacing w:line="360" w:lineRule="auto"/>
        <w:ind w:firstLineChars="200" w:firstLine="480"/>
        <w:rPr>
          <w:color w:val="000000"/>
          <w:sz w:val="24"/>
        </w:rPr>
      </w:pPr>
      <w:r>
        <w:rPr>
          <w:color w:val="000000"/>
          <w:sz w:val="24"/>
        </w:rPr>
        <w:t>1.</w:t>
      </w:r>
      <w:r>
        <w:rPr>
          <w:color w:val="000000"/>
          <w:sz w:val="24"/>
        </w:rPr>
        <w:t>中国证监会准予易方达银行指数分级证券投资基金募集注册的文件；</w:t>
      </w:r>
    </w:p>
    <w:p w:rsidR="00131020" w:rsidRDefault="00D70B49">
      <w:pPr>
        <w:spacing w:line="360" w:lineRule="auto"/>
        <w:ind w:firstLineChars="200" w:firstLine="480"/>
        <w:rPr>
          <w:color w:val="000000"/>
          <w:sz w:val="24"/>
        </w:rPr>
      </w:pPr>
      <w:r>
        <w:rPr>
          <w:color w:val="000000"/>
          <w:sz w:val="24"/>
        </w:rPr>
        <w:t>2.</w:t>
      </w:r>
      <w:r>
        <w:rPr>
          <w:color w:val="000000"/>
          <w:sz w:val="24"/>
        </w:rPr>
        <w:t>《易方达银行指数分级证券投资基金基金合同》；</w:t>
      </w:r>
    </w:p>
    <w:p w:rsidR="00131020" w:rsidRDefault="00D70B49">
      <w:pPr>
        <w:spacing w:line="360" w:lineRule="auto"/>
        <w:ind w:firstLineChars="200" w:firstLine="480"/>
        <w:rPr>
          <w:color w:val="000000"/>
          <w:sz w:val="24"/>
        </w:rPr>
      </w:pPr>
      <w:r>
        <w:rPr>
          <w:color w:val="000000"/>
          <w:sz w:val="24"/>
        </w:rPr>
        <w:t>3.</w:t>
      </w:r>
      <w:r>
        <w:rPr>
          <w:color w:val="000000"/>
          <w:sz w:val="24"/>
        </w:rPr>
        <w:t>《易方达银行指数分级证券投资基金托管协议》；</w:t>
      </w:r>
    </w:p>
    <w:p w:rsidR="001C36D8" w:rsidRPr="00E43B0B" w:rsidRDefault="001C36D8" w:rsidP="00E43B0B">
      <w:pPr>
        <w:spacing w:line="360" w:lineRule="auto"/>
        <w:ind w:firstLineChars="200" w:firstLine="480"/>
        <w:rPr>
          <w:color w:val="000000"/>
          <w:sz w:val="24"/>
        </w:rPr>
      </w:pPr>
      <w:r w:rsidRPr="003D22BD">
        <w:rPr>
          <w:color w:val="000000"/>
          <w:sz w:val="24"/>
        </w:rPr>
        <w:t>4.</w:t>
      </w:r>
      <w:r w:rsidRPr="003D22BD">
        <w:rPr>
          <w:color w:val="000000"/>
          <w:sz w:val="24"/>
        </w:rPr>
        <w:t>基金管理人业务资格批件和营业执照。</w:t>
      </w:r>
    </w:p>
    <w:p w:rsidR="001C36D8" w:rsidRPr="00CE2DE4" w:rsidRDefault="001C36D8" w:rsidP="001078B6">
      <w:pPr>
        <w:spacing w:line="360" w:lineRule="auto"/>
        <w:rPr>
          <w:rFonts w:ascii="宋体"/>
          <w:b/>
          <w:color w:val="000000"/>
          <w:sz w:val="24"/>
        </w:rPr>
      </w:pPr>
      <w:r w:rsidRPr="00CE2DE4">
        <w:rPr>
          <w:rFonts w:ascii="宋体" w:hAnsi="宋体"/>
          <w:b/>
          <w:color w:val="000000"/>
          <w:sz w:val="24"/>
        </w:rPr>
        <w:t xml:space="preserve">9.2 </w:t>
      </w:r>
      <w:r w:rsidRPr="00CE2DE4">
        <w:rPr>
          <w:rFonts w:ascii="宋体" w:hAnsi="宋体" w:hint="eastAsia"/>
          <w:b/>
          <w:color w:val="000000"/>
          <w:sz w:val="24"/>
        </w:rPr>
        <w:t>存放地点</w:t>
      </w:r>
    </w:p>
    <w:p w:rsidR="001C36D8" w:rsidRPr="00E43B0B" w:rsidRDefault="001C36D8" w:rsidP="00E43B0B">
      <w:pPr>
        <w:spacing w:line="360" w:lineRule="auto"/>
        <w:ind w:firstLineChars="200" w:firstLine="480"/>
        <w:rPr>
          <w:color w:val="000000"/>
          <w:sz w:val="24"/>
        </w:rPr>
      </w:pPr>
      <w:r w:rsidRPr="003D22BD">
        <w:rPr>
          <w:color w:val="000000"/>
          <w:sz w:val="24"/>
        </w:rPr>
        <w:t>广州市天河区珠江新城珠江东路</w:t>
      </w:r>
      <w:r w:rsidRPr="003D22BD">
        <w:rPr>
          <w:color w:val="000000"/>
          <w:sz w:val="24"/>
        </w:rPr>
        <w:t>30</w:t>
      </w:r>
      <w:r w:rsidRPr="003D22BD">
        <w:rPr>
          <w:color w:val="000000"/>
          <w:sz w:val="24"/>
        </w:rPr>
        <w:t>号广州银行大厦</w:t>
      </w:r>
      <w:r w:rsidRPr="003D22BD">
        <w:rPr>
          <w:color w:val="000000"/>
          <w:sz w:val="24"/>
        </w:rPr>
        <w:t>40-43</w:t>
      </w:r>
      <w:r w:rsidRPr="003D22BD">
        <w:rPr>
          <w:color w:val="000000"/>
          <w:sz w:val="24"/>
        </w:rPr>
        <w:t>楼。</w:t>
      </w:r>
    </w:p>
    <w:p w:rsidR="001C36D8" w:rsidRPr="00CE2DE4" w:rsidRDefault="001C36D8" w:rsidP="001078B6">
      <w:pPr>
        <w:spacing w:line="360" w:lineRule="auto"/>
        <w:rPr>
          <w:rFonts w:ascii="宋体"/>
          <w:b/>
          <w:color w:val="000000"/>
          <w:sz w:val="24"/>
        </w:rPr>
      </w:pPr>
      <w:r w:rsidRPr="00CE2DE4">
        <w:rPr>
          <w:rFonts w:ascii="宋体" w:hAnsi="宋体"/>
          <w:b/>
          <w:color w:val="000000"/>
          <w:sz w:val="24"/>
        </w:rPr>
        <w:t xml:space="preserve">9.3 </w:t>
      </w:r>
      <w:r w:rsidRPr="00CE2DE4">
        <w:rPr>
          <w:rFonts w:ascii="宋体" w:hAnsi="宋体" w:hint="eastAsia"/>
          <w:b/>
          <w:color w:val="000000"/>
          <w:sz w:val="24"/>
        </w:rPr>
        <w:t>查阅方式</w:t>
      </w:r>
    </w:p>
    <w:p w:rsidR="001C36D8" w:rsidRPr="003D22BD" w:rsidRDefault="001C36D8" w:rsidP="0015779C">
      <w:pPr>
        <w:spacing w:line="360" w:lineRule="auto"/>
        <w:ind w:firstLineChars="200" w:firstLine="480"/>
        <w:rPr>
          <w:color w:val="000000"/>
          <w:sz w:val="24"/>
        </w:rPr>
      </w:pPr>
      <w:r w:rsidRPr="003D22BD">
        <w:rPr>
          <w:color w:val="000000"/>
          <w:sz w:val="24"/>
        </w:rPr>
        <w:t>投资者可在营业时间免费查阅，也可按工本费购买复印件。</w:t>
      </w:r>
    </w:p>
    <w:p w:rsidR="001C36D8" w:rsidRPr="00272E0C" w:rsidRDefault="001C36D8" w:rsidP="0019563C">
      <w:pPr>
        <w:spacing w:line="360" w:lineRule="auto"/>
        <w:ind w:left="840"/>
        <w:jc w:val="right"/>
        <w:rPr>
          <w:rFonts w:ascii="宋体"/>
          <w:color w:val="000000"/>
          <w:sz w:val="24"/>
        </w:rPr>
      </w:pPr>
      <w:r w:rsidRPr="00272E0C">
        <w:rPr>
          <w:rFonts w:ascii="宋体"/>
          <w:color w:val="000000"/>
          <w:sz w:val="24"/>
        </w:rPr>
        <w:tab/>
      </w:r>
    </w:p>
    <w:p w:rsidR="001C36D8" w:rsidRDefault="001C36D8" w:rsidP="0019563C">
      <w:pPr>
        <w:spacing w:line="360" w:lineRule="auto"/>
        <w:ind w:left="840"/>
        <w:jc w:val="right"/>
        <w:rPr>
          <w:rFonts w:ascii="宋体"/>
          <w:color w:val="000000"/>
          <w:sz w:val="24"/>
        </w:rPr>
      </w:pPr>
    </w:p>
    <w:p w:rsidR="001C36D8" w:rsidRDefault="001C36D8" w:rsidP="0019563C">
      <w:pPr>
        <w:spacing w:line="360" w:lineRule="auto"/>
        <w:ind w:left="840"/>
        <w:jc w:val="right"/>
        <w:rPr>
          <w:rFonts w:ascii="宋体"/>
          <w:color w:val="000000"/>
          <w:sz w:val="24"/>
        </w:rPr>
      </w:pPr>
    </w:p>
    <w:p w:rsidR="001C36D8" w:rsidRDefault="001C36D8" w:rsidP="0019563C">
      <w:pPr>
        <w:spacing w:line="360" w:lineRule="auto"/>
        <w:ind w:left="840"/>
        <w:jc w:val="right"/>
        <w:rPr>
          <w:rFonts w:ascii="宋体"/>
          <w:color w:val="000000"/>
          <w:sz w:val="24"/>
        </w:rPr>
      </w:pPr>
    </w:p>
    <w:p w:rsidR="001C36D8" w:rsidRPr="00272E0C" w:rsidRDefault="001C36D8" w:rsidP="0019563C">
      <w:pPr>
        <w:spacing w:line="360" w:lineRule="auto"/>
        <w:ind w:left="840"/>
        <w:jc w:val="right"/>
        <w:rPr>
          <w:rFonts w:ascii="宋体"/>
          <w:color w:val="000000"/>
          <w:sz w:val="24"/>
        </w:rPr>
      </w:pPr>
    </w:p>
    <w:p w:rsidR="001C36D8" w:rsidRPr="00272E0C" w:rsidRDefault="001C36D8" w:rsidP="0019563C">
      <w:pPr>
        <w:spacing w:line="360" w:lineRule="auto"/>
        <w:ind w:left="840"/>
        <w:jc w:val="right"/>
        <w:rPr>
          <w:rFonts w:ascii="宋体"/>
          <w:color w:val="000000"/>
          <w:sz w:val="24"/>
        </w:rPr>
      </w:pPr>
    </w:p>
    <w:p w:rsidR="001C36D8" w:rsidRPr="00272E0C" w:rsidRDefault="001C36D8" w:rsidP="001078B6">
      <w:pPr>
        <w:spacing w:line="360" w:lineRule="auto"/>
        <w:jc w:val="right"/>
        <w:rPr>
          <w:rFonts w:ascii="宋体" w:hAnsi="宋体"/>
          <w:b/>
          <w:bCs/>
          <w:sz w:val="24"/>
        </w:rPr>
      </w:pPr>
      <w:r w:rsidRPr="00272E0C">
        <w:rPr>
          <w:rFonts w:ascii="宋体" w:hAnsi="宋体"/>
          <w:b/>
          <w:bCs/>
          <w:sz w:val="24"/>
        </w:rPr>
        <w:t>易方达基金管理有限公司</w:t>
      </w:r>
    </w:p>
    <w:p w:rsidR="001C36D8" w:rsidRPr="008C2A97" w:rsidRDefault="001C36D8" w:rsidP="008C2A97">
      <w:pPr>
        <w:spacing w:line="360" w:lineRule="auto"/>
        <w:jc w:val="right"/>
        <w:rPr>
          <w:rFonts w:ascii="宋体" w:hAnsi="宋体"/>
          <w:b/>
          <w:bCs/>
          <w:sz w:val="24"/>
        </w:rPr>
      </w:pPr>
      <w:r w:rsidRPr="00272E0C">
        <w:rPr>
          <w:rFonts w:ascii="宋体" w:hAnsi="宋体"/>
          <w:b/>
          <w:bCs/>
          <w:sz w:val="24"/>
        </w:rPr>
        <w:t>二〇一九年十月二十四日</w:t>
      </w:r>
    </w:p>
    <w:sectPr w:rsidR="001C36D8" w:rsidRPr="008C2A97" w:rsidSect="00DB4450">
      <w:footerReference w:type="even" r:id="rId10"/>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232" w:rsidRDefault="00EF6232">
      <w:r>
        <w:separator/>
      </w:r>
    </w:p>
  </w:endnote>
  <w:endnote w:type="continuationSeparator" w:id="0">
    <w:p w:rsidR="00EF6232" w:rsidRDefault="00EF6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0B" w:rsidRPr="001D0DB0" w:rsidRDefault="00E43B0B" w:rsidP="00230A66">
    <w:pPr>
      <w:pStyle w:val="a6"/>
      <w:jc w:val="center"/>
    </w:pPr>
    <w:r>
      <w:rPr>
        <w:rFonts w:hint="eastAsia"/>
        <w:kern w:val="0"/>
        <w:szCs w:val="21"/>
      </w:rPr>
      <w:t>第</w:t>
    </w:r>
    <w:r w:rsidR="0015021E">
      <w:rPr>
        <w:kern w:val="0"/>
        <w:szCs w:val="21"/>
      </w:rPr>
      <w:fldChar w:fldCharType="begin"/>
    </w:r>
    <w:r>
      <w:rPr>
        <w:kern w:val="0"/>
        <w:szCs w:val="21"/>
      </w:rPr>
      <w:instrText xml:space="preserve"> PAGE </w:instrText>
    </w:r>
    <w:r w:rsidR="0015021E">
      <w:rPr>
        <w:kern w:val="0"/>
        <w:szCs w:val="21"/>
      </w:rPr>
      <w:fldChar w:fldCharType="separate"/>
    </w:r>
    <w:r w:rsidR="00D70B49">
      <w:rPr>
        <w:noProof/>
        <w:kern w:val="0"/>
        <w:szCs w:val="21"/>
      </w:rPr>
      <w:t>1</w:t>
    </w:r>
    <w:r w:rsidR="0015021E">
      <w:rPr>
        <w:kern w:val="0"/>
        <w:szCs w:val="21"/>
      </w:rPr>
      <w:fldChar w:fldCharType="end"/>
    </w:r>
    <w:r>
      <w:rPr>
        <w:rFonts w:hint="eastAsia"/>
        <w:kern w:val="0"/>
        <w:szCs w:val="21"/>
      </w:rPr>
      <w:t>页共</w:t>
    </w:r>
    <w:r w:rsidR="0015021E">
      <w:rPr>
        <w:kern w:val="0"/>
        <w:szCs w:val="21"/>
      </w:rPr>
      <w:fldChar w:fldCharType="begin"/>
    </w:r>
    <w:r>
      <w:rPr>
        <w:kern w:val="0"/>
        <w:szCs w:val="21"/>
      </w:rPr>
      <w:instrText xml:space="preserve"> NUMPAGES </w:instrText>
    </w:r>
    <w:r w:rsidR="0015021E">
      <w:rPr>
        <w:kern w:val="0"/>
        <w:szCs w:val="21"/>
      </w:rPr>
      <w:fldChar w:fldCharType="separate"/>
    </w:r>
    <w:r w:rsidR="00D70B49">
      <w:rPr>
        <w:noProof/>
        <w:kern w:val="0"/>
        <w:szCs w:val="21"/>
      </w:rPr>
      <w:t>3</w:t>
    </w:r>
    <w:r w:rsidR="0015021E">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0B" w:rsidRDefault="0015021E">
    <w:pPr>
      <w:pStyle w:val="a6"/>
      <w:framePr w:wrap="around" w:vAnchor="text" w:hAnchor="margin" w:xAlign="center" w:y="1"/>
      <w:rPr>
        <w:rStyle w:val="a7"/>
      </w:rPr>
    </w:pPr>
    <w:r>
      <w:rPr>
        <w:rStyle w:val="a7"/>
      </w:rPr>
      <w:fldChar w:fldCharType="begin"/>
    </w:r>
    <w:r w:rsidR="00E43B0B">
      <w:rPr>
        <w:rStyle w:val="a7"/>
      </w:rPr>
      <w:instrText xml:space="preserve">PAGE  </w:instrText>
    </w:r>
    <w:r>
      <w:rPr>
        <w:rStyle w:val="a7"/>
      </w:rPr>
      <w:fldChar w:fldCharType="end"/>
    </w:r>
  </w:p>
  <w:p w:rsidR="00E43B0B" w:rsidRDefault="00E43B0B">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0B" w:rsidRDefault="0015021E">
    <w:pPr>
      <w:pStyle w:val="a6"/>
      <w:framePr w:wrap="around" w:vAnchor="text" w:hAnchor="margin" w:xAlign="center" w:y="1"/>
      <w:rPr>
        <w:rStyle w:val="a7"/>
      </w:rPr>
    </w:pPr>
    <w:r>
      <w:rPr>
        <w:rStyle w:val="a7"/>
      </w:rPr>
      <w:fldChar w:fldCharType="begin"/>
    </w:r>
    <w:r w:rsidR="00E43B0B">
      <w:rPr>
        <w:rStyle w:val="a7"/>
      </w:rPr>
      <w:instrText xml:space="preserve">PAGE  </w:instrText>
    </w:r>
    <w:r>
      <w:rPr>
        <w:rStyle w:val="a7"/>
      </w:rPr>
      <w:fldChar w:fldCharType="separate"/>
    </w:r>
    <w:r w:rsidR="00D70B49">
      <w:rPr>
        <w:rStyle w:val="a7"/>
        <w:noProof/>
      </w:rPr>
      <w:t>17</w:t>
    </w:r>
    <w:r>
      <w:rPr>
        <w:rStyle w:val="a7"/>
      </w:rPr>
      <w:fldChar w:fldCharType="end"/>
    </w:r>
  </w:p>
  <w:p w:rsidR="00E43B0B" w:rsidRDefault="00E43B0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232" w:rsidRDefault="00EF6232">
      <w:r>
        <w:separator/>
      </w:r>
    </w:p>
  </w:footnote>
  <w:footnote w:type="continuationSeparator" w:id="0">
    <w:p w:rsidR="00EF6232" w:rsidRDefault="00EF62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0B" w:rsidRPr="00717C29" w:rsidRDefault="00E43B0B" w:rsidP="00FB572A">
    <w:pPr>
      <w:pStyle w:val="a9"/>
      <w:pBdr>
        <w:bottom w:val="single" w:sz="6" w:space="0" w:color="auto"/>
      </w:pBdr>
      <w:jc w:val="right"/>
      <w:rPr>
        <w:sz w:val="15"/>
      </w:rPr>
    </w:pPr>
    <w:r w:rsidRPr="00717C29">
      <w:rPr>
        <w:szCs w:val="21"/>
      </w:rPr>
      <w:t>易方达银行指数分级证券投资基金</w:t>
    </w:r>
    <w:r w:rsidRPr="00717C29">
      <w:rPr>
        <w:szCs w:val="21"/>
      </w:rPr>
      <w:t>2019</w:t>
    </w:r>
    <w:r w:rsidRPr="00717C29">
      <w:rPr>
        <w:szCs w:val="21"/>
      </w:rPr>
      <w:t>年第</w:t>
    </w:r>
    <w:r w:rsidRPr="00717C29">
      <w:rPr>
        <w:szCs w:val="21"/>
      </w:rPr>
      <w:t>3</w:t>
    </w:r>
    <w:r w:rsidRPr="00717C29">
      <w:rPr>
        <w:szCs w:val="21"/>
      </w:rPr>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42A56"/>
    <w:rsid w:val="0000116E"/>
    <w:rsid w:val="0000403B"/>
    <w:rsid w:val="00005911"/>
    <w:rsid w:val="0000595B"/>
    <w:rsid w:val="00010A83"/>
    <w:rsid w:val="00010A8E"/>
    <w:rsid w:val="00010AC3"/>
    <w:rsid w:val="000118A9"/>
    <w:rsid w:val="00011EB5"/>
    <w:rsid w:val="0001280C"/>
    <w:rsid w:val="00013023"/>
    <w:rsid w:val="000148F1"/>
    <w:rsid w:val="0001536C"/>
    <w:rsid w:val="00017581"/>
    <w:rsid w:val="00020149"/>
    <w:rsid w:val="00020583"/>
    <w:rsid w:val="00021DD4"/>
    <w:rsid w:val="00023BE7"/>
    <w:rsid w:val="00026AAE"/>
    <w:rsid w:val="00037FCF"/>
    <w:rsid w:val="000421B8"/>
    <w:rsid w:val="00043ABF"/>
    <w:rsid w:val="00044045"/>
    <w:rsid w:val="000445E4"/>
    <w:rsid w:val="00046906"/>
    <w:rsid w:val="000510AB"/>
    <w:rsid w:val="00055190"/>
    <w:rsid w:val="00055AF1"/>
    <w:rsid w:val="00056A75"/>
    <w:rsid w:val="00057DD3"/>
    <w:rsid w:val="000625A6"/>
    <w:rsid w:val="000627CD"/>
    <w:rsid w:val="00062BCE"/>
    <w:rsid w:val="00064AE3"/>
    <w:rsid w:val="00066524"/>
    <w:rsid w:val="00070CD1"/>
    <w:rsid w:val="0007171B"/>
    <w:rsid w:val="00074E9F"/>
    <w:rsid w:val="00081D05"/>
    <w:rsid w:val="0008378B"/>
    <w:rsid w:val="00085449"/>
    <w:rsid w:val="00087CF7"/>
    <w:rsid w:val="00090B0F"/>
    <w:rsid w:val="00090D91"/>
    <w:rsid w:val="00091214"/>
    <w:rsid w:val="00094876"/>
    <w:rsid w:val="00095912"/>
    <w:rsid w:val="00095CE0"/>
    <w:rsid w:val="00096933"/>
    <w:rsid w:val="00097230"/>
    <w:rsid w:val="0009778D"/>
    <w:rsid w:val="000A457E"/>
    <w:rsid w:val="000A53FD"/>
    <w:rsid w:val="000A549A"/>
    <w:rsid w:val="000A72F2"/>
    <w:rsid w:val="000B0C56"/>
    <w:rsid w:val="000B3E43"/>
    <w:rsid w:val="000B5974"/>
    <w:rsid w:val="000B5CC0"/>
    <w:rsid w:val="000C1038"/>
    <w:rsid w:val="000C1723"/>
    <w:rsid w:val="000C1B20"/>
    <w:rsid w:val="000C4107"/>
    <w:rsid w:val="000C44BD"/>
    <w:rsid w:val="000C45E7"/>
    <w:rsid w:val="000C57A8"/>
    <w:rsid w:val="000D0149"/>
    <w:rsid w:val="000D01F4"/>
    <w:rsid w:val="000D0D4E"/>
    <w:rsid w:val="000D1519"/>
    <w:rsid w:val="000E1618"/>
    <w:rsid w:val="000E4456"/>
    <w:rsid w:val="000F175F"/>
    <w:rsid w:val="000F17D1"/>
    <w:rsid w:val="000F2837"/>
    <w:rsid w:val="000F399F"/>
    <w:rsid w:val="000F60FF"/>
    <w:rsid w:val="000F635F"/>
    <w:rsid w:val="000F6C61"/>
    <w:rsid w:val="001008A1"/>
    <w:rsid w:val="00100C12"/>
    <w:rsid w:val="00102E56"/>
    <w:rsid w:val="001049B6"/>
    <w:rsid w:val="001051C6"/>
    <w:rsid w:val="001078B6"/>
    <w:rsid w:val="0011177A"/>
    <w:rsid w:val="00111D44"/>
    <w:rsid w:val="00116E31"/>
    <w:rsid w:val="00120BED"/>
    <w:rsid w:val="0012304E"/>
    <w:rsid w:val="001248EF"/>
    <w:rsid w:val="001257C7"/>
    <w:rsid w:val="00126DDF"/>
    <w:rsid w:val="001270BF"/>
    <w:rsid w:val="00127BAC"/>
    <w:rsid w:val="00131020"/>
    <w:rsid w:val="00134868"/>
    <w:rsid w:val="001366D4"/>
    <w:rsid w:val="00140FF8"/>
    <w:rsid w:val="00142A56"/>
    <w:rsid w:val="00144DF5"/>
    <w:rsid w:val="00145A97"/>
    <w:rsid w:val="00146485"/>
    <w:rsid w:val="00147338"/>
    <w:rsid w:val="0015021E"/>
    <w:rsid w:val="001506B4"/>
    <w:rsid w:val="00150A6E"/>
    <w:rsid w:val="00150AD6"/>
    <w:rsid w:val="00153B40"/>
    <w:rsid w:val="00154ADA"/>
    <w:rsid w:val="0015531A"/>
    <w:rsid w:val="00155953"/>
    <w:rsid w:val="0015779C"/>
    <w:rsid w:val="001600E8"/>
    <w:rsid w:val="00163B27"/>
    <w:rsid w:val="00165317"/>
    <w:rsid w:val="00170F80"/>
    <w:rsid w:val="00171BAD"/>
    <w:rsid w:val="001744B4"/>
    <w:rsid w:val="001756A1"/>
    <w:rsid w:val="001761EE"/>
    <w:rsid w:val="0017638D"/>
    <w:rsid w:val="00176EAA"/>
    <w:rsid w:val="0017725A"/>
    <w:rsid w:val="00177C4B"/>
    <w:rsid w:val="0018325A"/>
    <w:rsid w:val="00183C9E"/>
    <w:rsid w:val="00184556"/>
    <w:rsid w:val="00186199"/>
    <w:rsid w:val="001878B0"/>
    <w:rsid w:val="001928F7"/>
    <w:rsid w:val="00193F07"/>
    <w:rsid w:val="00194537"/>
    <w:rsid w:val="0019563C"/>
    <w:rsid w:val="001A09F9"/>
    <w:rsid w:val="001A14DB"/>
    <w:rsid w:val="001A21A9"/>
    <w:rsid w:val="001A363B"/>
    <w:rsid w:val="001A59D8"/>
    <w:rsid w:val="001A5FA6"/>
    <w:rsid w:val="001B0A62"/>
    <w:rsid w:val="001B2F0C"/>
    <w:rsid w:val="001B64E7"/>
    <w:rsid w:val="001C123E"/>
    <w:rsid w:val="001C36D8"/>
    <w:rsid w:val="001C37F6"/>
    <w:rsid w:val="001C4BEC"/>
    <w:rsid w:val="001C6288"/>
    <w:rsid w:val="001C7DE9"/>
    <w:rsid w:val="001D0DB0"/>
    <w:rsid w:val="001D0F6A"/>
    <w:rsid w:val="001D21BC"/>
    <w:rsid w:val="001D2FA5"/>
    <w:rsid w:val="001D35E0"/>
    <w:rsid w:val="001D5045"/>
    <w:rsid w:val="001D5387"/>
    <w:rsid w:val="001D5A44"/>
    <w:rsid w:val="001D63BB"/>
    <w:rsid w:val="001D724B"/>
    <w:rsid w:val="001E11D3"/>
    <w:rsid w:val="001E2A6A"/>
    <w:rsid w:val="001E3DC2"/>
    <w:rsid w:val="001E56FF"/>
    <w:rsid w:val="001E5C6B"/>
    <w:rsid w:val="001E6E4D"/>
    <w:rsid w:val="001F03E1"/>
    <w:rsid w:val="001F0DE2"/>
    <w:rsid w:val="001F218E"/>
    <w:rsid w:val="001F3CC6"/>
    <w:rsid w:val="001F40BA"/>
    <w:rsid w:val="001F4530"/>
    <w:rsid w:val="002010DE"/>
    <w:rsid w:val="00202968"/>
    <w:rsid w:val="00202A66"/>
    <w:rsid w:val="00202C32"/>
    <w:rsid w:val="00203AEF"/>
    <w:rsid w:val="00210344"/>
    <w:rsid w:val="00211A26"/>
    <w:rsid w:val="002125F7"/>
    <w:rsid w:val="00213171"/>
    <w:rsid w:val="00213917"/>
    <w:rsid w:val="00214463"/>
    <w:rsid w:val="00214756"/>
    <w:rsid w:val="00215CF2"/>
    <w:rsid w:val="00215E33"/>
    <w:rsid w:val="00216232"/>
    <w:rsid w:val="00220542"/>
    <w:rsid w:val="00220684"/>
    <w:rsid w:val="00221174"/>
    <w:rsid w:val="00225ADC"/>
    <w:rsid w:val="00230732"/>
    <w:rsid w:val="00230A66"/>
    <w:rsid w:val="00230EC2"/>
    <w:rsid w:val="002359EB"/>
    <w:rsid w:val="002363AB"/>
    <w:rsid w:val="00237FA3"/>
    <w:rsid w:val="0024172D"/>
    <w:rsid w:val="00241B12"/>
    <w:rsid w:val="0024260D"/>
    <w:rsid w:val="00243E40"/>
    <w:rsid w:val="00245012"/>
    <w:rsid w:val="0024504E"/>
    <w:rsid w:val="0024651F"/>
    <w:rsid w:val="002470BA"/>
    <w:rsid w:val="00250BE3"/>
    <w:rsid w:val="00251290"/>
    <w:rsid w:val="0025158D"/>
    <w:rsid w:val="00251D17"/>
    <w:rsid w:val="00251F3A"/>
    <w:rsid w:val="0025281A"/>
    <w:rsid w:val="00253D3C"/>
    <w:rsid w:val="0025435F"/>
    <w:rsid w:val="00255292"/>
    <w:rsid w:val="00260200"/>
    <w:rsid w:val="00263563"/>
    <w:rsid w:val="002648D8"/>
    <w:rsid w:val="00264E55"/>
    <w:rsid w:val="00270548"/>
    <w:rsid w:val="00272E0C"/>
    <w:rsid w:val="00273F86"/>
    <w:rsid w:val="002752B0"/>
    <w:rsid w:val="002774F0"/>
    <w:rsid w:val="0028459B"/>
    <w:rsid w:val="00284C5F"/>
    <w:rsid w:val="002873F0"/>
    <w:rsid w:val="00291A74"/>
    <w:rsid w:val="00292198"/>
    <w:rsid w:val="002964F9"/>
    <w:rsid w:val="00297EF3"/>
    <w:rsid w:val="002A1F14"/>
    <w:rsid w:val="002A2678"/>
    <w:rsid w:val="002A2E01"/>
    <w:rsid w:val="002A398F"/>
    <w:rsid w:val="002A44F9"/>
    <w:rsid w:val="002A5C6B"/>
    <w:rsid w:val="002A5D31"/>
    <w:rsid w:val="002A714F"/>
    <w:rsid w:val="002A74FB"/>
    <w:rsid w:val="002B1851"/>
    <w:rsid w:val="002B27FF"/>
    <w:rsid w:val="002B4429"/>
    <w:rsid w:val="002B6793"/>
    <w:rsid w:val="002C1726"/>
    <w:rsid w:val="002C1DF3"/>
    <w:rsid w:val="002C21A6"/>
    <w:rsid w:val="002C26D5"/>
    <w:rsid w:val="002C2DE0"/>
    <w:rsid w:val="002C5777"/>
    <w:rsid w:val="002C7FC3"/>
    <w:rsid w:val="002D1791"/>
    <w:rsid w:val="002D32E3"/>
    <w:rsid w:val="002D55E7"/>
    <w:rsid w:val="002E0FEB"/>
    <w:rsid w:val="002E1EBA"/>
    <w:rsid w:val="002F0F79"/>
    <w:rsid w:val="002F280E"/>
    <w:rsid w:val="002F3709"/>
    <w:rsid w:val="002F3A6C"/>
    <w:rsid w:val="002F3E9C"/>
    <w:rsid w:val="002F4296"/>
    <w:rsid w:val="00300951"/>
    <w:rsid w:val="003023C9"/>
    <w:rsid w:val="00302CA8"/>
    <w:rsid w:val="00302DE9"/>
    <w:rsid w:val="003041B1"/>
    <w:rsid w:val="00305084"/>
    <w:rsid w:val="003168E2"/>
    <w:rsid w:val="003204E9"/>
    <w:rsid w:val="00320DDA"/>
    <w:rsid w:val="00321E8C"/>
    <w:rsid w:val="00322A65"/>
    <w:rsid w:val="00322A86"/>
    <w:rsid w:val="00323AE8"/>
    <w:rsid w:val="00324548"/>
    <w:rsid w:val="003251F4"/>
    <w:rsid w:val="003303E3"/>
    <w:rsid w:val="00331FA4"/>
    <w:rsid w:val="003329EA"/>
    <w:rsid w:val="00332FDE"/>
    <w:rsid w:val="003407A5"/>
    <w:rsid w:val="00341188"/>
    <w:rsid w:val="0034147B"/>
    <w:rsid w:val="0034432A"/>
    <w:rsid w:val="00350238"/>
    <w:rsid w:val="0035109C"/>
    <w:rsid w:val="00351F0A"/>
    <w:rsid w:val="0035432B"/>
    <w:rsid w:val="00357EB5"/>
    <w:rsid w:val="00361E7E"/>
    <w:rsid w:val="003669EF"/>
    <w:rsid w:val="00370AA4"/>
    <w:rsid w:val="00371FF4"/>
    <w:rsid w:val="00373015"/>
    <w:rsid w:val="00375D24"/>
    <w:rsid w:val="00377520"/>
    <w:rsid w:val="00380D36"/>
    <w:rsid w:val="003822D3"/>
    <w:rsid w:val="0038409E"/>
    <w:rsid w:val="00384BC3"/>
    <w:rsid w:val="00386630"/>
    <w:rsid w:val="00390522"/>
    <w:rsid w:val="00390B25"/>
    <w:rsid w:val="00390C86"/>
    <w:rsid w:val="00397156"/>
    <w:rsid w:val="00397960"/>
    <w:rsid w:val="003A20AA"/>
    <w:rsid w:val="003A3BC4"/>
    <w:rsid w:val="003A458A"/>
    <w:rsid w:val="003A4DA3"/>
    <w:rsid w:val="003A768B"/>
    <w:rsid w:val="003B07C8"/>
    <w:rsid w:val="003B2082"/>
    <w:rsid w:val="003B2F13"/>
    <w:rsid w:val="003B3D0C"/>
    <w:rsid w:val="003B405E"/>
    <w:rsid w:val="003B57D3"/>
    <w:rsid w:val="003C1F58"/>
    <w:rsid w:val="003C792F"/>
    <w:rsid w:val="003D124B"/>
    <w:rsid w:val="003D18F3"/>
    <w:rsid w:val="003D22BD"/>
    <w:rsid w:val="003D4E5A"/>
    <w:rsid w:val="003D5951"/>
    <w:rsid w:val="003D74F2"/>
    <w:rsid w:val="003D78B5"/>
    <w:rsid w:val="003E1062"/>
    <w:rsid w:val="003E244F"/>
    <w:rsid w:val="003E3AE8"/>
    <w:rsid w:val="003E62A6"/>
    <w:rsid w:val="003E695F"/>
    <w:rsid w:val="003E6C9B"/>
    <w:rsid w:val="003E709C"/>
    <w:rsid w:val="003E7B89"/>
    <w:rsid w:val="003F20D3"/>
    <w:rsid w:val="003F4241"/>
    <w:rsid w:val="003F7C45"/>
    <w:rsid w:val="0040132C"/>
    <w:rsid w:val="00405085"/>
    <w:rsid w:val="004066FC"/>
    <w:rsid w:val="00407C10"/>
    <w:rsid w:val="004113B4"/>
    <w:rsid w:val="00414827"/>
    <w:rsid w:val="00416C10"/>
    <w:rsid w:val="004217C8"/>
    <w:rsid w:val="0042180E"/>
    <w:rsid w:val="004222C8"/>
    <w:rsid w:val="0042253F"/>
    <w:rsid w:val="00424726"/>
    <w:rsid w:val="00424EF3"/>
    <w:rsid w:val="004268BB"/>
    <w:rsid w:val="00431047"/>
    <w:rsid w:val="004318F0"/>
    <w:rsid w:val="00431B86"/>
    <w:rsid w:val="00431BC5"/>
    <w:rsid w:val="004344A5"/>
    <w:rsid w:val="004408EC"/>
    <w:rsid w:val="00441B38"/>
    <w:rsid w:val="00441D14"/>
    <w:rsid w:val="00441E6A"/>
    <w:rsid w:val="004432B9"/>
    <w:rsid w:val="00443C8F"/>
    <w:rsid w:val="00452481"/>
    <w:rsid w:val="00453E40"/>
    <w:rsid w:val="004542DD"/>
    <w:rsid w:val="00456CE0"/>
    <w:rsid w:val="004575E9"/>
    <w:rsid w:val="00457804"/>
    <w:rsid w:val="004646BF"/>
    <w:rsid w:val="00464744"/>
    <w:rsid w:val="00465C86"/>
    <w:rsid w:val="004665E3"/>
    <w:rsid w:val="004731F1"/>
    <w:rsid w:val="0047652F"/>
    <w:rsid w:val="00480BC8"/>
    <w:rsid w:val="00481265"/>
    <w:rsid w:val="004814BF"/>
    <w:rsid w:val="004828AE"/>
    <w:rsid w:val="0048587E"/>
    <w:rsid w:val="00487C2B"/>
    <w:rsid w:val="0049168F"/>
    <w:rsid w:val="00491ABD"/>
    <w:rsid w:val="0049297D"/>
    <w:rsid w:val="004929F2"/>
    <w:rsid w:val="00495A03"/>
    <w:rsid w:val="00497079"/>
    <w:rsid w:val="004A1BBA"/>
    <w:rsid w:val="004A1E8A"/>
    <w:rsid w:val="004A3E3C"/>
    <w:rsid w:val="004A3F71"/>
    <w:rsid w:val="004B0E6D"/>
    <w:rsid w:val="004B16E8"/>
    <w:rsid w:val="004B2326"/>
    <w:rsid w:val="004B4D2D"/>
    <w:rsid w:val="004B6250"/>
    <w:rsid w:val="004B76B1"/>
    <w:rsid w:val="004B7CA0"/>
    <w:rsid w:val="004C0057"/>
    <w:rsid w:val="004C04AE"/>
    <w:rsid w:val="004C0541"/>
    <w:rsid w:val="004C2C46"/>
    <w:rsid w:val="004C6E88"/>
    <w:rsid w:val="004C7235"/>
    <w:rsid w:val="004C7955"/>
    <w:rsid w:val="004D047F"/>
    <w:rsid w:val="004D3D96"/>
    <w:rsid w:val="004D650F"/>
    <w:rsid w:val="004D67E0"/>
    <w:rsid w:val="004E12E1"/>
    <w:rsid w:val="004E2133"/>
    <w:rsid w:val="004E32E2"/>
    <w:rsid w:val="004E5AB9"/>
    <w:rsid w:val="004E60FB"/>
    <w:rsid w:val="004F779C"/>
    <w:rsid w:val="004F7846"/>
    <w:rsid w:val="005000D4"/>
    <w:rsid w:val="005015FA"/>
    <w:rsid w:val="00505411"/>
    <w:rsid w:val="00510CAF"/>
    <w:rsid w:val="00510DAB"/>
    <w:rsid w:val="005128C5"/>
    <w:rsid w:val="00514754"/>
    <w:rsid w:val="0051478B"/>
    <w:rsid w:val="0051566A"/>
    <w:rsid w:val="00515D7B"/>
    <w:rsid w:val="005166E9"/>
    <w:rsid w:val="0052009E"/>
    <w:rsid w:val="0052302C"/>
    <w:rsid w:val="00525E59"/>
    <w:rsid w:val="00530D61"/>
    <w:rsid w:val="005318CC"/>
    <w:rsid w:val="00531D1B"/>
    <w:rsid w:val="005349B1"/>
    <w:rsid w:val="005374BC"/>
    <w:rsid w:val="00537A4E"/>
    <w:rsid w:val="00543188"/>
    <w:rsid w:val="00543367"/>
    <w:rsid w:val="00543BFA"/>
    <w:rsid w:val="00547D9C"/>
    <w:rsid w:val="00547DA1"/>
    <w:rsid w:val="005505E1"/>
    <w:rsid w:val="0055513C"/>
    <w:rsid w:val="00557A54"/>
    <w:rsid w:val="00560C94"/>
    <w:rsid w:val="0056150F"/>
    <w:rsid w:val="0056291C"/>
    <w:rsid w:val="00565A63"/>
    <w:rsid w:val="00566588"/>
    <w:rsid w:val="0057155E"/>
    <w:rsid w:val="0057275D"/>
    <w:rsid w:val="00576862"/>
    <w:rsid w:val="005800A9"/>
    <w:rsid w:val="00580488"/>
    <w:rsid w:val="0058074D"/>
    <w:rsid w:val="00580FD1"/>
    <w:rsid w:val="00582FAD"/>
    <w:rsid w:val="00583489"/>
    <w:rsid w:val="005840E4"/>
    <w:rsid w:val="00590FE4"/>
    <w:rsid w:val="00591D9C"/>
    <w:rsid w:val="005961D7"/>
    <w:rsid w:val="00597057"/>
    <w:rsid w:val="00597D8B"/>
    <w:rsid w:val="005A1C30"/>
    <w:rsid w:val="005A229D"/>
    <w:rsid w:val="005A3295"/>
    <w:rsid w:val="005A46FF"/>
    <w:rsid w:val="005A5AE2"/>
    <w:rsid w:val="005B011E"/>
    <w:rsid w:val="005B14F0"/>
    <w:rsid w:val="005B1E0B"/>
    <w:rsid w:val="005B2E84"/>
    <w:rsid w:val="005B70C6"/>
    <w:rsid w:val="005B7B0E"/>
    <w:rsid w:val="005C526E"/>
    <w:rsid w:val="005C5409"/>
    <w:rsid w:val="005C69AC"/>
    <w:rsid w:val="005C6DCF"/>
    <w:rsid w:val="005C6DF3"/>
    <w:rsid w:val="005C722E"/>
    <w:rsid w:val="005D01A4"/>
    <w:rsid w:val="005D14DE"/>
    <w:rsid w:val="005D2CC7"/>
    <w:rsid w:val="005D44E4"/>
    <w:rsid w:val="005D45B3"/>
    <w:rsid w:val="005D4CEB"/>
    <w:rsid w:val="005D5F80"/>
    <w:rsid w:val="005E0C14"/>
    <w:rsid w:val="005E1D51"/>
    <w:rsid w:val="005F04E6"/>
    <w:rsid w:val="005F43B9"/>
    <w:rsid w:val="005F68CB"/>
    <w:rsid w:val="005F6A4A"/>
    <w:rsid w:val="006033E3"/>
    <w:rsid w:val="00603663"/>
    <w:rsid w:val="0061321C"/>
    <w:rsid w:val="006159E5"/>
    <w:rsid w:val="00620DB0"/>
    <w:rsid w:val="0062386E"/>
    <w:rsid w:val="00623D9A"/>
    <w:rsid w:val="00623F01"/>
    <w:rsid w:val="006242FB"/>
    <w:rsid w:val="00626E2D"/>
    <w:rsid w:val="00627D94"/>
    <w:rsid w:val="00630B42"/>
    <w:rsid w:val="00631DB3"/>
    <w:rsid w:val="00634900"/>
    <w:rsid w:val="00637BA7"/>
    <w:rsid w:val="00642072"/>
    <w:rsid w:val="006440ED"/>
    <w:rsid w:val="00645293"/>
    <w:rsid w:val="00651B78"/>
    <w:rsid w:val="00652263"/>
    <w:rsid w:val="00652881"/>
    <w:rsid w:val="00653BAC"/>
    <w:rsid w:val="00657CAF"/>
    <w:rsid w:val="00661974"/>
    <w:rsid w:val="00662F58"/>
    <w:rsid w:val="00664551"/>
    <w:rsid w:val="0066704D"/>
    <w:rsid w:val="006676A0"/>
    <w:rsid w:val="006706B6"/>
    <w:rsid w:val="00670857"/>
    <w:rsid w:val="00671124"/>
    <w:rsid w:val="006727B0"/>
    <w:rsid w:val="0067307E"/>
    <w:rsid w:val="006848C1"/>
    <w:rsid w:val="006868CD"/>
    <w:rsid w:val="00686EEA"/>
    <w:rsid w:val="00687AD5"/>
    <w:rsid w:val="00690EC4"/>
    <w:rsid w:val="00691D14"/>
    <w:rsid w:val="00695251"/>
    <w:rsid w:val="00695296"/>
    <w:rsid w:val="00695ADE"/>
    <w:rsid w:val="00695C0D"/>
    <w:rsid w:val="00696356"/>
    <w:rsid w:val="00696DDE"/>
    <w:rsid w:val="006A72C6"/>
    <w:rsid w:val="006B02DA"/>
    <w:rsid w:val="006B0806"/>
    <w:rsid w:val="006B10DA"/>
    <w:rsid w:val="006B2065"/>
    <w:rsid w:val="006B3940"/>
    <w:rsid w:val="006B5B3E"/>
    <w:rsid w:val="006C168D"/>
    <w:rsid w:val="006C4465"/>
    <w:rsid w:val="006C642C"/>
    <w:rsid w:val="006C6FC6"/>
    <w:rsid w:val="006D0E4F"/>
    <w:rsid w:val="006D676F"/>
    <w:rsid w:val="006D7693"/>
    <w:rsid w:val="006E231B"/>
    <w:rsid w:val="006E346E"/>
    <w:rsid w:val="006E34B7"/>
    <w:rsid w:val="006F103E"/>
    <w:rsid w:val="006F4C30"/>
    <w:rsid w:val="006F4CD8"/>
    <w:rsid w:val="006F53D9"/>
    <w:rsid w:val="007004DC"/>
    <w:rsid w:val="00701347"/>
    <w:rsid w:val="007027B6"/>
    <w:rsid w:val="00703E8A"/>
    <w:rsid w:val="00707FB8"/>
    <w:rsid w:val="0071006D"/>
    <w:rsid w:val="00711522"/>
    <w:rsid w:val="007124FE"/>
    <w:rsid w:val="007125A9"/>
    <w:rsid w:val="00713186"/>
    <w:rsid w:val="00713757"/>
    <w:rsid w:val="00716F79"/>
    <w:rsid w:val="00717772"/>
    <w:rsid w:val="00717C29"/>
    <w:rsid w:val="00721AF1"/>
    <w:rsid w:val="0072280F"/>
    <w:rsid w:val="00722B5E"/>
    <w:rsid w:val="0072708F"/>
    <w:rsid w:val="00727C6C"/>
    <w:rsid w:val="0073150B"/>
    <w:rsid w:val="00732D1D"/>
    <w:rsid w:val="00736034"/>
    <w:rsid w:val="0073681C"/>
    <w:rsid w:val="00737AB0"/>
    <w:rsid w:val="00740619"/>
    <w:rsid w:val="007411F1"/>
    <w:rsid w:val="00741EBE"/>
    <w:rsid w:val="00742ADF"/>
    <w:rsid w:val="00745829"/>
    <w:rsid w:val="00746130"/>
    <w:rsid w:val="00746A40"/>
    <w:rsid w:val="007479DC"/>
    <w:rsid w:val="00747ABE"/>
    <w:rsid w:val="00750358"/>
    <w:rsid w:val="00755CDF"/>
    <w:rsid w:val="00757A4C"/>
    <w:rsid w:val="007622F6"/>
    <w:rsid w:val="00764A94"/>
    <w:rsid w:val="007651E5"/>
    <w:rsid w:val="007665BF"/>
    <w:rsid w:val="007670DC"/>
    <w:rsid w:val="00767239"/>
    <w:rsid w:val="0077111A"/>
    <w:rsid w:val="00772272"/>
    <w:rsid w:val="007756ED"/>
    <w:rsid w:val="007870FC"/>
    <w:rsid w:val="0078729B"/>
    <w:rsid w:val="00787CD0"/>
    <w:rsid w:val="00791053"/>
    <w:rsid w:val="00791A3A"/>
    <w:rsid w:val="00794196"/>
    <w:rsid w:val="007941EA"/>
    <w:rsid w:val="007951F3"/>
    <w:rsid w:val="0079671E"/>
    <w:rsid w:val="00797637"/>
    <w:rsid w:val="007A0A57"/>
    <w:rsid w:val="007A3680"/>
    <w:rsid w:val="007A59B8"/>
    <w:rsid w:val="007A6BEA"/>
    <w:rsid w:val="007B2191"/>
    <w:rsid w:val="007B2862"/>
    <w:rsid w:val="007B3C32"/>
    <w:rsid w:val="007B505A"/>
    <w:rsid w:val="007B662A"/>
    <w:rsid w:val="007C2BCC"/>
    <w:rsid w:val="007C7E22"/>
    <w:rsid w:val="007D1C16"/>
    <w:rsid w:val="007D28C9"/>
    <w:rsid w:val="007D3CC8"/>
    <w:rsid w:val="007D62F9"/>
    <w:rsid w:val="007D63A4"/>
    <w:rsid w:val="007E008D"/>
    <w:rsid w:val="007E0F0C"/>
    <w:rsid w:val="007E1AA2"/>
    <w:rsid w:val="007E1AD0"/>
    <w:rsid w:val="007E4C1F"/>
    <w:rsid w:val="007E5EDC"/>
    <w:rsid w:val="007F0746"/>
    <w:rsid w:val="007F0759"/>
    <w:rsid w:val="007F15C0"/>
    <w:rsid w:val="007F25C0"/>
    <w:rsid w:val="007F35AA"/>
    <w:rsid w:val="007F47E2"/>
    <w:rsid w:val="007F523A"/>
    <w:rsid w:val="007F5F52"/>
    <w:rsid w:val="007F77C6"/>
    <w:rsid w:val="008003A1"/>
    <w:rsid w:val="008006B7"/>
    <w:rsid w:val="00800FDB"/>
    <w:rsid w:val="0080159F"/>
    <w:rsid w:val="00802081"/>
    <w:rsid w:val="008034CF"/>
    <w:rsid w:val="00804533"/>
    <w:rsid w:val="00806461"/>
    <w:rsid w:val="0081096D"/>
    <w:rsid w:val="00810EAD"/>
    <w:rsid w:val="00811833"/>
    <w:rsid w:val="00811C19"/>
    <w:rsid w:val="008174D4"/>
    <w:rsid w:val="00820FE6"/>
    <w:rsid w:val="00821985"/>
    <w:rsid w:val="00821A66"/>
    <w:rsid w:val="00822476"/>
    <w:rsid w:val="00822882"/>
    <w:rsid w:val="00823E6D"/>
    <w:rsid w:val="00824200"/>
    <w:rsid w:val="00825D22"/>
    <w:rsid w:val="00825F68"/>
    <w:rsid w:val="00827CB9"/>
    <w:rsid w:val="008305BF"/>
    <w:rsid w:val="00832748"/>
    <w:rsid w:val="00835408"/>
    <w:rsid w:val="008359DA"/>
    <w:rsid w:val="00836D2A"/>
    <w:rsid w:val="00837CEF"/>
    <w:rsid w:val="00840035"/>
    <w:rsid w:val="00840220"/>
    <w:rsid w:val="00840677"/>
    <w:rsid w:val="00840C20"/>
    <w:rsid w:val="008428A9"/>
    <w:rsid w:val="00844112"/>
    <w:rsid w:val="00844CBE"/>
    <w:rsid w:val="008456C9"/>
    <w:rsid w:val="0084611D"/>
    <w:rsid w:val="00850C62"/>
    <w:rsid w:val="00854463"/>
    <w:rsid w:val="00857643"/>
    <w:rsid w:val="00863011"/>
    <w:rsid w:val="0086312D"/>
    <w:rsid w:val="00863392"/>
    <w:rsid w:val="00865075"/>
    <w:rsid w:val="0086734C"/>
    <w:rsid w:val="0086748F"/>
    <w:rsid w:val="00872CE4"/>
    <w:rsid w:val="00874F4B"/>
    <w:rsid w:val="0087539B"/>
    <w:rsid w:val="00877B62"/>
    <w:rsid w:val="00880016"/>
    <w:rsid w:val="00881015"/>
    <w:rsid w:val="008810B0"/>
    <w:rsid w:val="008819B6"/>
    <w:rsid w:val="00881AAC"/>
    <w:rsid w:val="0088314B"/>
    <w:rsid w:val="008831C4"/>
    <w:rsid w:val="008836B7"/>
    <w:rsid w:val="008841D3"/>
    <w:rsid w:val="00884434"/>
    <w:rsid w:val="00886036"/>
    <w:rsid w:val="00887DE6"/>
    <w:rsid w:val="00894C2A"/>
    <w:rsid w:val="00894DE3"/>
    <w:rsid w:val="008976CB"/>
    <w:rsid w:val="00897708"/>
    <w:rsid w:val="00897D88"/>
    <w:rsid w:val="008A2F16"/>
    <w:rsid w:val="008A4909"/>
    <w:rsid w:val="008B11E0"/>
    <w:rsid w:val="008B1773"/>
    <w:rsid w:val="008B1823"/>
    <w:rsid w:val="008B65CD"/>
    <w:rsid w:val="008B6E16"/>
    <w:rsid w:val="008B7110"/>
    <w:rsid w:val="008C2029"/>
    <w:rsid w:val="008C2A97"/>
    <w:rsid w:val="008C3990"/>
    <w:rsid w:val="008C61D6"/>
    <w:rsid w:val="008C64F1"/>
    <w:rsid w:val="008D1BB0"/>
    <w:rsid w:val="008D20FF"/>
    <w:rsid w:val="008D3DE6"/>
    <w:rsid w:val="008D4223"/>
    <w:rsid w:val="008D44CC"/>
    <w:rsid w:val="008D46E3"/>
    <w:rsid w:val="008D6709"/>
    <w:rsid w:val="008D671F"/>
    <w:rsid w:val="008E083A"/>
    <w:rsid w:val="008E0E7C"/>
    <w:rsid w:val="008E2450"/>
    <w:rsid w:val="008E6497"/>
    <w:rsid w:val="008E7896"/>
    <w:rsid w:val="008F1C17"/>
    <w:rsid w:val="008F2477"/>
    <w:rsid w:val="00900DD1"/>
    <w:rsid w:val="009010F0"/>
    <w:rsid w:val="00901162"/>
    <w:rsid w:val="0090223A"/>
    <w:rsid w:val="009028E2"/>
    <w:rsid w:val="009055EC"/>
    <w:rsid w:val="009100C0"/>
    <w:rsid w:val="0091247B"/>
    <w:rsid w:val="0091320A"/>
    <w:rsid w:val="00914EAB"/>
    <w:rsid w:val="009150A1"/>
    <w:rsid w:val="00916808"/>
    <w:rsid w:val="00922D49"/>
    <w:rsid w:val="0092482C"/>
    <w:rsid w:val="00924A95"/>
    <w:rsid w:val="009259CF"/>
    <w:rsid w:val="00925E37"/>
    <w:rsid w:val="00925EDD"/>
    <w:rsid w:val="00927D0E"/>
    <w:rsid w:val="009309DA"/>
    <w:rsid w:val="00935771"/>
    <w:rsid w:val="00936688"/>
    <w:rsid w:val="00937CFA"/>
    <w:rsid w:val="009406B3"/>
    <w:rsid w:val="00945CF5"/>
    <w:rsid w:val="00946D66"/>
    <w:rsid w:val="009500A1"/>
    <w:rsid w:val="0095037E"/>
    <w:rsid w:val="00952AAD"/>
    <w:rsid w:val="00952F4F"/>
    <w:rsid w:val="00954567"/>
    <w:rsid w:val="009547A9"/>
    <w:rsid w:val="00957466"/>
    <w:rsid w:val="0096260B"/>
    <w:rsid w:val="00963F05"/>
    <w:rsid w:val="00965469"/>
    <w:rsid w:val="009664D5"/>
    <w:rsid w:val="00970C69"/>
    <w:rsid w:val="009716AF"/>
    <w:rsid w:val="00971F1C"/>
    <w:rsid w:val="0097211D"/>
    <w:rsid w:val="00972E10"/>
    <w:rsid w:val="0097328D"/>
    <w:rsid w:val="009746CA"/>
    <w:rsid w:val="0097608D"/>
    <w:rsid w:val="0097659D"/>
    <w:rsid w:val="0097692D"/>
    <w:rsid w:val="00981963"/>
    <w:rsid w:val="00983C82"/>
    <w:rsid w:val="00983D29"/>
    <w:rsid w:val="00983E6E"/>
    <w:rsid w:val="00984520"/>
    <w:rsid w:val="0098545C"/>
    <w:rsid w:val="00990AAA"/>
    <w:rsid w:val="00992BA2"/>
    <w:rsid w:val="00992F83"/>
    <w:rsid w:val="0099508A"/>
    <w:rsid w:val="00997231"/>
    <w:rsid w:val="009974EB"/>
    <w:rsid w:val="009A1126"/>
    <w:rsid w:val="009A5029"/>
    <w:rsid w:val="009A63AC"/>
    <w:rsid w:val="009B1584"/>
    <w:rsid w:val="009B1B32"/>
    <w:rsid w:val="009B21CA"/>
    <w:rsid w:val="009B2648"/>
    <w:rsid w:val="009C03E5"/>
    <w:rsid w:val="009C0C11"/>
    <w:rsid w:val="009C3730"/>
    <w:rsid w:val="009C37BD"/>
    <w:rsid w:val="009C3AAC"/>
    <w:rsid w:val="009C4D19"/>
    <w:rsid w:val="009C5FDB"/>
    <w:rsid w:val="009C6493"/>
    <w:rsid w:val="009C693E"/>
    <w:rsid w:val="009C70CB"/>
    <w:rsid w:val="009D02B7"/>
    <w:rsid w:val="009D0628"/>
    <w:rsid w:val="009D1EA4"/>
    <w:rsid w:val="009D27AA"/>
    <w:rsid w:val="009D2D8B"/>
    <w:rsid w:val="009D38BA"/>
    <w:rsid w:val="009D4991"/>
    <w:rsid w:val="009D5BB5"/>
    <w:rsid w:val="009D696D"/>
    <w:rsid w:val="009D6ED2"/>
    <w:rsid w:val="009E0D5D"/>
    <w:rsid w:val="009E0F1A"/>
    <w:rsid w:val="009E140D"/>
    <w:rsid w:val="009E41E9"/>
    <w:rsid w:val="009E4465"/>
    <w:rsid w:val="009E6401"/>
    <w:rsid w:val="009E6C54"/>
    <w:rsid w:val="009F2261"/>
    <w:rsid w:val="009F2A25"/>
    <w:rsid w:val="009F3EB4"/>
    <w:rsid w:val="009F5235"/>
    <w:rsid w:val="009F531A"/>
    <w:rsid w:val="009F6550"/>
    <w:rsid w:val="009F786E"/>
    <w:rsid w:val="00A008DA"/>
    <w:rsid w:val="00A00902"/>
    <w:rsid w:val="00A039FF"/>
    <w:rsid w:val="00A05ACE"/>
    <w:rsid w:val="00A078CB"/>
    <w:rsid w:val="00A12EEF"/>
    <w:rsid w:val="00A14AE3"/>
    <w:rsid w:val="00A16675"/>
    <w:rsid w:val="00A22CD6"/>
    <w:rsid w:val="00A234EC"/>
    <w:rsid w:val="00A2417A"/>
    <w:rsid w:val="00A26668"/>
    <w:rsid w:val="00A27804"/>
    <w:rsid w:val="00A36822"/>
    <w:rsid w:val="00A36AB5"/>
    <w:rsid w:val="00A37A23"/>
    <w:rsid w:val="00A411D1"/>
    <w:rsid w:val="00A43389"/>
    <w:rsid w:val="00A43E71"/>
    <w:rsid w:val="00A45753"/>
    <w:rsid w:val="00A47B15"/>
    <w:rsid w:val="00A52F84"/>
    <w:rsid w:val="00A5533F"/>
    <w:rsid w:val="00A554CA"/>
    <w:rsid w:val="00A56B05"/>
    <w:rsid w:val="00A57678"/>
    <w:rsid w:val="00A60E2F"/>
    <w:rsid w:val="00A63284"/>
    <w:rsid w:val="00A64CB8"/>
    <w:rsid w:val="00A67018"/>
    <w:rsid w:val="00A672F3"/>
    <w:rsid w:val="00A673DC"/>
    <w:rsid w:val="00A67D40"/>
    <w:rsid w:val="00A7076E"/>
    <w:rsid w:val="00A709BE"/>
    <w:rsid w:val="00A7162E"/>
    <w:rsid w:val="00A7195A"/>
    <w:rsid w:val="00A72D71"/>
    <w:rsid w:val="00A7519C"/>
    <w:rsid w:val="00A75705"/>
    <w:rsid w:val="00A77C69"/>
    <w:rsid w:val="00A83953"/>
    <w:rsid w:val="00A83A77"/>
    <w:rsid w:val="00A85AF5"/>
    <w:rsid w:val="00A900E7"/>
    <w:rsid w:val="00A903B6"/>
    <w:rsid w:val="00A90F4F"/>
    <w:rsid w:val="00A92E44"/>
    <w:rsid w:val="00A9418A"/>
    <w:rsid w:val="00A947AA"/>
    <w:rsid w:val="00A9769C"/>
    <w:rsid w:val="00AA1B53"/>
    <w:rsid w:val="00AA3556"/>
    <w:rsid w:val="00AA35FD"/>
    <w:rsid w:val="00AA3DB7"/>
    <w:rsid w:val="00AB0340"/>
    <w:rsid w:val="00AB3012"/>
    <w:rsid w:val="00AB321C"/>
    <w:rsid w:val="00AB5B99"/>
    <w:rsid w:val="00AB688F"/>
    <w:rsid w:val="00AB75EA"/>
    <w:rsid w:val="00AB7AA2"/>
    <w:rsid w:val="00AB7BE2"/>
    <w:rsid w:val="00AC4BC1"/>
    <w:rsid w:val="00AD04BD"/>
    <w:rsid w:val="00AD1C72"/>
    <w:rsid w:val="00AD25F6"/>
    <w:rsid w:val="00AD46E6"/>
    <w:rsid w:val="00AD7214"/>
    <w:rsid w:val="00AE1066"/>
    <w:rsid w:val="00AE2AD2"/>
    <w:rsid w:val="00AE4518"/>
    <w:rsid w:val="00AE5D7F"/>
    <w:rsid w:val="00AE79F0"/>
    <w:rsid w:val="00AF2089"/>
    <w:rsid w:val="00AF3350"/>
    <w:rsid w:val="00AF4305"/>
    <w:rsid w:val="00AF5585"/>
    <w:rsid w:val="00AF561C"/>
    <w:rsid w:val="00AF6EC1"/>
    <w:rsid w:val="00B00331"/>
    <w:rsid w:val="00B01A80"/>
    <w:rsid w:val="00B02675"/>
    <w:rsid w:val="00B07C27"/>
    <w:rsid w:val="00B10017"/>
    <w:rsid w:val="00B10DE1"/>
    <w:rsid w:val="00B10FF8"/>
    <w:rsid w:val="00B11A5B"/>
    <w:rsid w:val="00B203C4"/>
    <w:rsid w:val="00B20A27"/>
    <w:rsid w:val="00B22E81"/>
    <w:rsid w:val="00B23996"/>
    <w:rsid w:val="00B23CB2"/>
    <w:rsid w:val="00B24946"/>
    <w:rsid w:val="00B2561A"/>
    <w:rsid w:val="00B25A64"/>
    <w:rsid w:val="00B306AA"/>
    <w:rsid w:val="00B32AB3"/>
    <w:rsid w:val="00B34E7C"/>
    <w:rsid w:val="00B368EA"/>
    <w:rsid w:val="00B37EEF"/>
    <w:rsid w:val="00B424F8"/>
    <w:rsid w:val="00B46E00"/>
    <w:rsid w:val="00B52B4A"/>
    <w:rsid w:val="00B54370"/>
    <w:rsid w:val="00B55185"/>
    <w:rsid w:val="00B55281"/>
    <w:rsid w:val="00B60FD1"/>
    <w:rsid w:val="00B61923"/>
    <w:rsid w:val="00B621D6"/>
    <w:rsid w:val="00B63EF5"/>
    <w:rsid w:val="00B65D6F"/>
    <w:rsid w:val="00B67C23"/>
    <w:rsid w:val="00B70DC7"/>
    <w:rsid w:val="00B715FD"/>
    <w:rsid w:val="00B73042"/>
    <w:rsid w:val="00B74BB9"/>
    <w:rsid w:val="00B75283"/>
    <w:rsid w:val="00B75735"/>
    <w:rsid w:val="00B77142"/>
    <w:rsid w:val="00B807F5"/>
    <w:rsid w:val="00B80A2C"/>
    <w:rsid w:val="00B81F60"/>
    <w:rsid w:val="00B841AC"/>
    <w:rsid w:val="00B843ED"/>
    <w:rsid w:val="00B865B0"/>
    <w:rsid w:val="00B90497"/>
    <w:rsid w:val="00B90780"/>
    <w:rsid w:val="00B91F9C"/>
    <w:rsid w:val="00B9240D"/>
    <w:rsid w:val="00B97681"/>
    <w:rsid w:val="00BA08A9"/>
    <w:rsid w:val="00BA22A8"/>
    <w:rsid w:val="00BA3E48"/>
    <w:rsid w:val="00BA4BD3"/>
    <w:rsid w:val="00BB0187"/>
    <w:rsid w:val="00BB1EB3"/>
    <w:rsid w:val="00BB2678"/>
    <w:rsid w:val="00BC013A"/>
    <w:rsid w:val="00BC1F94"/>
    <w:rsid w:val="00BC2343"/>
    <w:rsid w:val="00BC41FB"/>
    <w:rsid w:val="00BD30C8"/>
    <w:rsid w:val="00BD32FA"/>
    <w:rsid w:val="00BD3EB4"/>
    <w:rsid w:val="00BD5C65"/>
    <w:rsid w:val="00BD71EE"/>
    <w:rsid w:val="00BE6018"/>
    <w:rsid w:val="00BF1F57"/>
    <w:rsid w:val="00BF4086"/>
    <w:rsid w:val="00BF426C"/>
    <w:rsid w:val="00BF58D0"/>
    <w:rsid w:val="00BF63AF"/>
    <w:rsid w:val="00BF7D6A"/>
    <w:rsid w:val="00C013E1"/>
    <w:rsid w:val="00C01611"/>
    <w:rsid w:val="00C02D59"/>
    <w:rsid w:val="00C030B6"/>
    <w:rsid w:val="00C03284"/>
    <w:rsid w:val="00C050D7"/>
    <w:rsid w:val="00C05B5F"/>
    <w:rsid w:val="00C06911"/>
    <w:rsid w:val="00C104CC"/>
    <w:rsid w:val="00C12898"/>
    <w:rsid w:val="00C152FE"/>
    <w:rsid w:val="00C16739"/>
    <w:rsid w:val="00C22C7D"/>
    <w:rsid w:val="00C22CCE"/>
    <w:rsid w:val="00C231D6"/>
    <w:rsid w:val="00C23BA2"/>
    <w:rsid w:val="00C272C4"/>
    <w:rsid w:val="00C31C12"/>
    <w:rsid w:val="00C32AF2"/>
    <w:rsid w:val="00C33204"/>
    <w:rsid w:val="00C338EB"/>
    <w:rsid w:val="00C3465D"/>
    <w:rsid w:val="00C35643"/>
    <w:rsid w:val="00C379E9"/>
    <w:rsid w:val="00C439FB"/>
    <w:rsid w:val="00C43F23"/>
    <w:rsid w:val="00C50011"/>
    <w:rsid w:val="00C52CA1"/>
    <w:rsid w:val="00C5755E"/>
    <w:rsid w:val="00C6379C"/>
    <w:rsid w:val="00C645E6"/>
    <w:rsid w:val="00C64D82"/>
    <w:rsid w:val="00C64FBC"/>
    <w:rsid w:val="00C65A83"/>
    <w:rsid w:val="00C724F2"/>
    <w:rsid w:val="00C72C6F"/>
    <w:rsid w:val="00C75057"/>
    <w:rsid w:val="00C77034"/>
    <w:rsid w:val="00C80F23"/>
    <w:rsid w:val="00C81151"/>
    <w:rsid w:val="00C81EFA"/>
    <w:rsid w:val="00C82CC6"/>
    <w:rsid w:val="00C850A3"/>
    <w:rsid w:val="00C85C32"/>
    <w:rsid w:val="00C87568"/>
    <w:rsid w:val="00C90DB6"/>
    <w:rsid w:val="00C913B6"/>
    <w:rsid w:val="00C9394F"/>
    <w:rsid w:val="00C93B1A"/>
    <w:rsid w:val="00C96F5F"/>
    <w:rsid w:val="00CA4126"/>
    <w:rsid w:val="00CA4574"/>
    <w:rsid w:val="00CA5927"/>
    <w:rsid w:val="00CA79EC"/>
    <w:rsid w:val="00CB041A"/>
    <w:rsid w:val="00CB39C2"/>
    <w:rsid w:val="00CB4664"/>
    <w:rsid w:val="00CB4C8C"/>
    <w:rsid w:val="00CB6782"/>
    <w:rsid w:val="00CC080A"/>
    <w:rsid w:val="00CC0994"/>
    <w:rsid w:val="00CC0C03"/>
    <w:rsid w:val="00CD0AAD"/>
    <w:rsid w:val="00CD6177"/>
    <w:rsid w:val="00CE182E"/>
    <w:rsid w:val="00CE2DAB"/>
    <w:rsid w:val="00CE2DE4"/>
    <w:rsid w:val="00CE2E79"/>
    <w:rsid w:val="00CE5277"/>
    <w:rsid w:val="00CE6358"/>
    <w:rsid w:val="00CF2D54"/>
    <w:rsid w:val="00CF592C"/>
    <w:rsid w:val="00CF6992"/>
    <w:rsid w:val="00CF6AD7"/>
    <w:rsid w:val="00CF7B8C"/>
    <w:rsid w:val="00D03538"/>
    <w:rsid w:val="00D049B8"/>
    <w:rsid w:val="00D0516C"/>
    <w:rsid w:val="00D05EE7"/>
    <w:rsid w:val="00D068D0"/>
    <w:rsid w:val="00D078D1"/>
    <w:rsid w:val="00D129A8"/>
    <w:rsid w:val="00D12FB9"/>
    <w:rsid w:val="00D13FE2"/>
    <w:rsid w:val="00D200BD"/>
    <w:rsid w:val="00D22399"/>
    <w:rsid w:val="00D24B11"/>
    <w:rsid w:val="00D310BA"/>
    <w:rsid w:val="00D32C0A"/>
    <w:rsid w:val="00D33751"/>
    <w:rsid w:val="00D3382F"/>
    <w:rsid w:val="00D33924"/>
    <w:rsid w:val="00D34559"/>
    <w:rsid w:val="00D36F6E"/>
    <w:rsid w:val="00D3705B"/>
    <w:rsid w:val="00D37343"/>
    <w:rsid w:val="00D4205E"/>
    <w:rsid w:val="00D45DB6"/>
    <w:rsid w:val="00D5574C"/>
    <w:rsid w:val="00D604CE"/>
    <w:rsid w:val="00D61982"/>
    <w:rsid w:val="00D6267A"/>
    <w:rsid w:val="00D67D12"/>
    <w:rsid w:val="00D70B49"/>
    <w:rsid w:val="00D7585A"/>
    <w:rsid w:val="00D77B06"/>
    <w:rsid w:val="00D80618"/>
    <w:rsid w:val="00D82494"/>
    <w:rsid w:val="00D84A4B"/>
    <w:rsid w:val="00D92168"/>
    <w:rsid w:val="00D940B5"/>
    <w:rsid w:val="00D95CB0"/>
    <w:rsid w:val="00D977C0"/>
    <w:rsid w:val="00DA00A3"/>
    <w:rsid w:val="00DA13F3"/>
    <w:rsid w:val="00DA23C3"/>
    <w:rsid w:val="00DA2DE3"/>
    <w:rsid w:val="00DA475D"/>
    <w:rsid w:val="00DA7146"/>
    <w:rsid w:val="00DA716A"/>
    <w:rsid w:val="00DB1F4F"/>
    <w:rsid w:val="00DB37EE"/>
    <w:rsid w:val="00DB4450"/>
    <w:rsid w:val="00DB7B69"/>
    <w:rsid w:val="00DC234A"/>
    <w:rsid w:val="00DC27AD"/>
    <w:rsid w:val="00DC41E4"/>
    <w:rsid w:val="00DC5116"/>
    <w:rsid w:val="00DC7C77"/>
    <w:rsid w:val="00DD074A"/>
    <w:rsid w:val="00DD2417"/>
    <w:rsid w:val="00DD47BB"/>
    <w:rsid w:val="00DD7251"/>
    <w:rsid w:val="00DD7EA2"/>
    <w:rsid w:val="00DE00F2"/>
    <w:rsid w:val="00DE117F"/>
    <w:rsid w:val="00DE401C"/>
    <w:rsid w:val="00DF22DF"/>
    <w:rsid w:val="00DF63FA"/>
    <w:rsid w:val="00DF7589"/>
    <w:rsid w:val="00E00A1C"/>
    <w:rsid w:val="00E012CC"/>
    <w:rsid w:val="00E02818"/>
    <w:rsid w:val="00E02B71"/>
    <w:rsid w:val="00E02DEB"/>
    <w:rsid w:val="00E042A1"/>
    <w:rsid w:val="00E05A9C"/>
    <w:rsid w:val="00E067FB"/>
    <w:rsid w:val="00E104FA"/>
    <w:rsid w:val="00E1082A"/>
    <w:rsid w:val="00E11166"/>
    <w:rsid w:val="00E13182"/>
    <w:rsid w:val="00E15383"/>
    <w:rsid w:val="00E16313"/>
    <w:rsid w:val="00E1738C"/>
    <w:rsid w:val="00E207A1"/>
    <w:rsid w:val="00E22D28"/>
    <w:rsid w:val="00E230E3"/>
    <w:rsid w:val="00E27A14"/>
    <w:rsid w:val="00E30EDF"/>
    <w:rsid w:val="00E30F3C"/>
    <w:rsid w:val="00E31EC2"/>
    <w:rsid w:val="00E31FBA"/>
    <w:rsid w:val="00E32CB6"/>
    <w:rsid w:val="00E34042"/>
    <w:rsid w:val="00E34CDF"/>
    <w:rsid w:val="00E36AAE"/>
    <w:rsid w:val="00E41773"/>
    <w:rsid w:val="00E428DD"/>
    <w:rsid w:val="00E43B0B"/>
    <w:rsid w:val="00E44A50"/>
    <w:rsid w:val="00E477F6"/>
    <w:rsid w:val="00E50841"/>
    <w:rsid w:val="00E513F6"/>
    <w:rsid w:val="00E52F3B"/>
    <w:rsid w:val="00E53A45"/>
    <w:rsid w:val="00E53D94"/>
    <w:rsid w:val="00E53DEA"/>
    <w:rsid w:val="00E548E9"/>
    <w:rsid w:val="00E553CC"/>
    <w:rsid w:val="00E55667"/>
    <w:rsid w:val="00E57068"/>
    <w:rsid w:val="00E57630"/>
    <w:rsid w:val="00E616DB"/>
    <w:rsid w:val="00E627A4"/>
    <w:rsid w:val="00E630ED"/>
    <w:rsid w:val="00E74EC5"/>
    <w:rsid w:val="00E75FDC"/>
    <w:rsid w:val="00E76B86"/>
    <w:rsid w:val="00E8342F"/>
    <w:rsid w:val="00E847A7"/>
    <w:rsid w:val="00E85E29"/>
    <w:rsid w:val="00E85F25"/>
    <w:rsid w:val="00E86E79"/>
    <w:rsid w:val="00E87313"/>
    <w:rsid w:val="00E906B4"/>
    <w:rsid w:val="00E9095B"/>
    <w:rsid w:val="00E926B8"/>
    <w:rsid w:val="00E9399B"/>
    <w:rsid w:val="00E94008"/>
    <w:rsid w:val="00E94762"/>
    <w:rsid w:val="00E9588D"/>
    <w:rsid w:val="00E95CDA"/>
    <w:rsid w:val="00E96B52"/>
    <w:rsid w:val="00EA2244"/>
    <w:rsid w:val="00EA5D6D"/>
    <w:rsid w:val="00EA6FA7"/>
    <w:rsid w:val="00EB067F"/>
    <w:rsid w:val="00EB0BF5"/>
    <w:rsid w:val="00EB1F02"/>
    <w:rsid w:val="00EB3E72"/>
    <w:rsid w:val="00EB5BC5"/>
    <w:rsid w:val="00EC086C"/>
    <w:rsid w:val="00EC42D0"/>
    <w:rsid w:val="00EC58C8"/>
    <w:rsid w:val="00EC638F"/>
    <w:rsid w:val="00EC64D3"/>
    <w:rsid w:val="00ED0183"/>
    <w:rsid w:val="00ED48AC"/>
    <w:rsid w:val="00EE01D9"/>
    <w:rsid w:val="00EE224C"/>
    <w:rsid w:val="00EE4874"/>
    <w:rsid w:val="00EE79A6"/>
    <w:rsid w:val="00EF6111"/>
    <w:rsid w:val="00EF6232"/>
    <w:rsid w:val="00EF698A"/>
    <w:rsid w:val="00F005A0"/>
    <w:rsid w:val="00F006CC"/>
    <w:rsid w:val="00F05EAD"/>
    <w:rsid w:val="00F06616"/>
    <w:rsid w:val="00F11352"/>
    <w:rsid w:val="00F1498D"/>
    <w:rsid w:val="00F14DDF"/>
    <w:rsid w:val="00F152AD"/>
    <w:rsid w:val="00F2285F"/>
    <w:rsid w:val="00F23155"/>
    <w:rsid w:val="00F24236"/>
    <w:rsid w:val="00F24E0E"/>
    <w:rsid w:val="00F26693"/>
    <w:rsid w:val="00F27C38"/>
    <w:rsid w:val="00F36130"/>
    <w:rsid w:val="00F40444"/>
    <w:rsid w:val="00F40868"/>
    <w:rsid w:val="00F423BD"/>
    <w:rsid w:val="00F4255D"/>
    <w:rsid w:val="00F432FF"/>
    <w:rsid w:val="00F46DF9"/>
    <w:rsid w:val="00F4715C"/>
    <w:rsid w:val="00F54869"/>
    <w:rsid w:val="00F556B2"/>
    <w:rsid w:val="00F57252"/>
    <w:rsid w:val="00F5754B"/>
    <w:rsid w:val="00F576DE"/>
    <w:rsid w:val="00F63BF7"/>
    <w:rsid w:val="00F64563"/>
    <w:rsid w:val="00F65617"/>
    <w:rsid w:val="00F65D71"/>
    <w:rsid w:val="00F70112"/>
    <w:rsid w:val="00F710BE"/>
    <w:rsid w:val="00F723B1"/>
    <w:rsid w:val="00F736D2"/>
    <w:rsid w:val="00F7564C"/>
    <w:rsid w:val="00F76220"/>
    <w:rsid w:val="00F769BE"/>
    <w:rsid w:val="00F81C33"/>
    <w:rsid w:val="00F82A1D"/>
    <w:rsid w:val="00F82E6B"/>
    <w:rsid w:val="00F91F6D"/>
    <w:rsid w:val="00F97B71"/>
    <w:rsid w:val="00FA2DDA"/>
    <w:rsid w:val="00FA34CA"/>
    <w:rsid w:val="00FA4A55"/>
    <w:rsid w:val="00FA4D4F"/>
    <w:rsid w:val="00FA54E8"/>
    <w:rsid w:val="00FA7193"/>
    <w:rsid w:val="00FA7910"/>
    <w:rsid w:val="00FB2D17"/>
    <w:rsid w:val="00FB2F69"/>
    <w:rsid w:val="00FB368B"/>
    <w:rsid w:val="00FB45FF"/>
    <w:rsid w:val="00FB572A"/>
    <w:rsid w:val="00FB5D97"/>
    <w:rsid w:val="00FC1CA5"/>
    <w:rsid w:val="00FC219C"/>
    <w:rsid w:val="00FC2979"/>
    <w:rsid w:val="00FD1C3C"/>
    <w:rsid w:val="00FD1E02"/>
    <w:rsid w:val="00FD38A8"/>
    <w:rsid w:val="00FD6AC8"/>
    <w:rsid w:val="00FE3EA1"/>
    <w:rsid w:val="00FE4818"/>
    <w:rsid w:val="00FE5D80"/>
    <w:rsid w:val="00FE67F1"/>
    <w:rsid w:val="00FF1577"/>
    <w:rsid w:val="00FF3515"/>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72DCF266-60FA-4E11-934F-6B947CDA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uiPriority w:val="99"/>
    <w:qFormat/>
    <w:rsid w:val="00FD1E0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C1289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FD1E02"/>
    <w:rPr>
      <w:rFonts w:cs="Times New Roman"/>
      <w:b/>
      <w:bCs/>
      <w:kern w:val="44"/>
      <w:sz w:val="44"/>
      <w:szCs w:val="44"/>
    </w:rPr>
  </w:style>
  <w:style w:type="character" w:customStyle="1" w:styleId="2Char">
    <w:name w:val="标题 2 Char"/>
    <w:link w:val="2"/>
    <w:uiPriority w:val="99"/>
    <w:semiHidden/>
    <w:locked/>
    <w:rsid w:val="00140FF8"/>
    <w:rPr>
      <w:rFonts w:ascii="Cambria" w:eastAsia="宋体" w:hAnsi="Cambria" w:cs="Times New Roman"/>
      <w:b/>
      <w:bCs/>
      <w:sz w:val="32"/>
      <w:szCs w:val="32"/>
    </w:rPr>
  </w:style>
  <w:style w:type="paragraph" w:styleId="a0">
    <w:name w:val="Normal Indent"/>
    <w:basedOn w:val="a"/>
    <w:uiPriority w:val="99"/>
    <w:rsid w:val="00C12898"/>
    <w:pPr>
      <w:ind w:firstLineChars="200" w:firstLine="420"/>
    </w:pPr>
  </w:style>
  <w:style w:type="paragraph" w:styleId="a4">
    <w:name w:val="Body Text Indent"/>
    <w:basedOn w:val="a"/>
    <w:link w:val="Char"/>
    <w:uiPriority w:val="99"/>
    <w:rsid w:val="00C12898"/>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Char">
    <w:name w:val="正文文本缩进 Char"/>
    <w:link w:val="a4"/>
    <w:uiPriority w:val="99"/>
    <w:semiHidden/>
    <w:locked/>
    <w:rsid w:val="00140FF8"/>
    <w:rPr>
      <w:rFonts w:cs="Times New Roman"/>
      <w:sz w:val="24"/>
      <w:szCs w:val="24"/>
    </w:rPr>
  </w:style>
  <w:style w:type="paragraph" w:styleId="a5">
    <w:name w:val="Plain Text"/>
    <w:basedOn w:val="a"/>
    <w:link w:val="Char0"/>
    <w:uiPriority w:val="99"/>
    <w:rsid w:val="00C12898"/>
    <w:rPr>
      <w:rFonts w:ascii="宋体" w:hAnsi="Courier New"/>
      <w:szCs w:val="21"/>
    </w:rPr>
  </w:style>
  <w:style w:type="character" w:customStyle="1" w:styleId="Char0">
    <w:name w:val="纯文本 Char"/>
    <w:link w:val="a5"/>
    <w:uiPriority w:val="99"/>
    <w:locked/>
    <w:rsid w:val="0042253F"/>
    <w:rPr>
      <w:rFonts w:ascii="宋体" w:hAnsi="Courier New" w:cs="Times New Roman"/>
      <w:kern w:val="2"/>
      <w:sz w:val="21"/>
    </w:rPr>
  </w:style>
  <w:style w:type="paragraph" w:styleId="20">
    <w:name w:val="Body Text Indent 2"/>
    <w:basedOn w:val="a"/>
    <w:link w:val="2Char0"/>
    <w:uiPriority w:val="99"/>
    <w:rsid w:val="00C12898"/>
    <w:pPr>
      <w:spacing w:line="560" w:lineRule="exact"/>
      <w:ind w:firstLineChars="200" w:firstLine="480"/>
    </w:pPr>
    <w:rPr>
      <w:rFonts w:ascii="宋体" w:hAnsi="宋体"/>
      <w:color w:val="FF0000"/>
      <w:sz w:val="24"/>
    </w:rPr>
  </w:style>
  <w:style w:type="character" w:customStyle="1" w:styleId="2Char0">
    <w:name w:val="正文文本缩进 2 Char"/>
    <w:link w:val="20"/>
    <w:uiPriority w:val="99"/>
    <w:semiHidden/>
    <w:locked/>
    <w:rsid w:val="00140FF8"/>
    <w:rPr>
      <w:rFonts w:cs="Times New Roman"/>
      <w:sz w:val="24"/>
      <w:szCs w:val="24"/>
    </w:rPr>
  </w:style>
  <w:style w:type="paragraph" w:styleId="a6">
    <w:name w:val="footer"/>
    <w:basedOn w:val="a"/>
    <w:link w:val="Char1"/>
    <w:uiPriority w:val="99"/>
    <w:rsid w:val="00C12898"/>
    <w:pPr>
      <w:tabs>
        <w:tab w:val="center" w:pos="4153"/>
        <w:tab w:val="right" w:pos="8306"/>
      </w:tabs>
      <w:snapToGrid w:val="0"/>
      <w:jc w:val="left"/>
    </w:pPr>
    <w:rPr>
      <w:sz w:val="18"/>
      <w:szCs w:val="18"/>
    </w:rPr>
  </w:style>
  <w:style w:type="character" w:customStyle="1" w:styleId="Char1">
    <w:name w:val="页脚 Char"/>
    <w:link w:val="a6"/>
    <w:uiPriority w:val="99"/>
    <w:semiHidden/>
    <w:locked/>
    <w:rsid w:val="00140FF8"/>
    <w:rPr>
      <w:rFonts w:cs="Times New Roman"/>
      <w:sz w:val="18"/>
      <w:szCs w:val="18"/>
    </w:rPr>
  </w:style>
  <w:style w:type="character" w:styleId="a7">
    <w:name w:val="page number"/>
    <w:uiPriority w:val="99"/>
    <w:rsid w:val="00C12898"/>
    <w:rPr>
      <w:rFonts w:cs="Times New Roman"/>
    </w:rPr>
  </w:style>
  <w:style w:type="character" w:styleId="a8">
    <w:name w:val="Hyperlink"/>
    <w:uiPriority w:val="99"/>
    <w:rsid w:val="00C12898"/>
    <w:rPr>
      <w:rFonts w:cs="Times New Roman"/>
      <w:color w:val="0000FF"/>
      <w:u w:val="single"/>
    </w:rPr>
  </w:style>
  <w:style w:type="paragraph" w:styleId="3">
    <w:name w:val="Body Text Indent 3"/>
    <w:basedOn w:val="a"/>
    <w:link w:val="3Char"/>
    <w:uiPriority w:val="99"/>
    <w:rsid w:val="00C12898"/>
    <w:pPr>
      <w:spacing w:line="560" w:lineRule="exact"/>
      <w:ind w:firstLineChars="200" w:firstLine="420"/>
    </w:pPr>
    <w:rPr>
      <w:rFonts w:ascii="Arial" w:hAnsi="Arial" w:cs="Arial"/>
      <w:color w:val="FF0000"/>
    </w:rPr>
  </w:style>
  <w:style w:type="character" w:customStyle="1" w:styleId="3Char">
    <w:name w:val="正文文本缩进 3 Char"/>
    <w:link w:val="3"/>
    <w:uiPriority w:val="99"/>
    <w:semiHidden/>
    <w:locked/>
    <w:rsid w:val="00140FF8"/>
    <w:rPr>
      <w:rFonts w:cs="Times New Roman"/>
      <w:sz w:val="16"/>
      <w:szCs w:val="16"/>
    </w:rPr>
  </w:style>
  <w:style w:type="paragraph" w:styleId="a9">
    <w:name w:val="header"/>
    <w:basedOn w:val="a"/>
    <w:link w:val="Char2"/>
    <w:uiPriority w:val="99"/>
    <w:rsid w:val="00C1289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FB572A"/>
    <w:rPr>
      <w:rFonts w:cs="Times New Roman"/>
      <w:kern w:val="2"/>
      <w:sz w:val="18"/>
      <w:szCs w:val="18"/>
    </w:rPr>
  </w:style>
  <w:style w:type="character" w:styleId="aa">
    <w:name w:val="FollowedHyperlink"/>
    <w:uiPriority w:val="99"/>
    <w:rsid w:val="00C12898"/>
    <w:rPr>
      <w:rFonts w:cs="Times New Roman"/>
      <w:color w:val="800080"/>
      <w:u w:val="single"/>
    </w:rPr>
  </w:style>
  <w:style w:type="paragraph" w:styleId="ab">
    <w:name w:val="List"/>
    <w:basedOn w:val="ac"/>
    <w:uiPriority w:val="99"/>
    <w:rsid w:val="00C12898"/>
    <w:pPr>
      <w:spacing w:after="220" w:line="220" w:lineRule="atLeast"/>
      <w:ind w:left="1440" w:hanging="360"/>
    </w:pPr>
    <w:rPr>
      <w:szCs w:val="20"/>
    </w:rPr>
  </w:style>
  <w:style w:type="paragraph" w:styleId="ac">
    <w:name w:val="Body Text"/>
    <w:basedOn w:val="a"/>
    <w:link w:val="Char3"/>
    <w:uiPriority w:val="99"/>
    <w:rsid w:val="00C12898"/>
    <w:pPr>
      <w:spacing w:after="120"/>
    </w:pPr>
  </w:style>
  <w:style w:type="character" w:customStyle="1" w:styleId="Char3">
    <w:name w:val="正文文本 Char"/>
    <w:link w:val="ac"/>
    <w:uiPriority w:val="99"/>
    <w:semiHidden/>
    <w:locked/>
    <w:rsid w:val="00140FF8"/>
    <w:rPr>
      <w:rFonts w:cs="Times New Roman"/>
      <w:sz w:val="24"/>
      <w:szCs w:val="24"/>
    </w:rPr>
  </w:style>
  <w:style w:type="paragraph" w:styleId="ad">
    <w:name w:val="Date"/>
    <w:basedOn w:val="a"/>
    <w:next w:val="a"/>
    <w:link w:val="Char4"/>
    <w:uiPriority w:val="99"/>
    <w:rsid w:val="00C12898"/>
    <w:rPr>
      <w:sz w:val="24"/>
      <w:szCs w:val="20"/>
    </w:rPr>
  </w:style>
  <w:style w:type="character" w:customStyle="1" w:styleId="Char4">
    <w:name w:val="日期 Char"/>
    <w:link w:val="ad"/>
    <w:uiPriority w:val="99"/>
    <w:locked/>
    <w:rsid w:val="00F27C38"/>
    <w:rPr>
      <w:rFonts w:cs="Times New Roman"/>
      <w:kern w:val="2"/>
      <w:sz w:val="24"/>
    </w:rPr>
  </w:style>
  <w:style w:type="character" w:customStyle="1" w:styleId="c1">
    <w:name w:val="c1"/>
    <w:uiPriority w:val="99"/>
    <w:rsid w:val="00C12898"/>
    <w:rPr>
      <w:rFonts w:cs="Times New Roman"/>
      <w:color w:val="000000"/>
      <w:sz w:val="18"/>
      <w:szCs w:val="18"/>
    </w:rPr>
  </w:style>
  <w:style w:type="paragraph" w:styleId="10">
    <w:name w:val="index 1"/>
    <w:basedOn w:val="a"/>
    <w:next w:val="a"/>
    <w:autoRedefine/>
    <w:uiPriority w:val="99"/>
    <w:semiHidden/>
    <w:rsid w:val="00C12898"/>
    <w:pPr>
      <w:jc w:val="right"/>
    </w:pPr>
    <w:rPr>
      <w:color w:val="008000"/>
    </w:rPr>
  </w:style>
  <w:style w:type="paragraph" w:customStyle="1" w:styleId="font5">
    <w:name w:val="font5"/>
    <w:basedOn w:val="a"/>
    <w:uiPriority w:val="99"/>
    <w:rsid w:val="00C1289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C1289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C1289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C1289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C1289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C1289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C1289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C1289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C12898"/>
    <w:rPr>
      <w:sz w:val="18"/>
      <w:szCs w:val="18"/>
    </w:rPr>
  </w:style>
  <w:style w:type="character" w:customStyle="1" w:styleId="Char5">
    <w:name w:val="批注框文本 Char"/>
    <w:link w:val="ae"/>
    <w:uiPriority w:val="99"/>
    <w:semiHidden/>
    <w:locked/>
    <w:rsid w:val="00140FF8"/>
    <w:rPr>
      <w:rFonts w:cs="Times New Roman"/>
      <w:sz w:val="2"/>
    </w:rPr>
  </w:style>
  <w:style w:type="character" w:styleId="af">
    <w:name w:val="annotation reference"/>
    <w:uiPriority w:val="99"/>
    <w:semiHidden/>
    <w:rsid w:val="00C12898"/>
    <w:rPr>
      <w:rFonts w:cs="Times New Roman"/>
      <w:sz w:val="21"/>
      <w:szCs w:val="21"/>
    </w:rPr>
  </w:style>
  <w:style w:type="paragraph" w:styleId="af0">
    <w:name w:val="annotation text"/>
    <w:basedOn w:val="a"/>
    <w:link w:val="Char6"/>
    <w:uiPriority w:val="99"/>
    <w:semiHidden/>
    <w:rsid w:val="00C12898"/>
    <w:pPr>
      <w:jc w:val="left"/>
    </w:pPr>
  </w:style>
  <w:style w:type="character" w:customStyle="1" w:styleId="Char6">
    <w:name w:val="批注文字 Char"/>
    <w:link w:val="af0"/>
    <w:uiPriority w:val="99"/>
    <w:semiHidden/>
    <w:locked/>
    <w:rsid w:val="00140FF8"/>
    <w:rPr>
      <w:rFonts w:cs="Times New Roman"/>
      <w:sz w:val="24"/>
      <w:szCs w:val="24"/>
    </w:rPr>
  </w:style>
  <w:style w:type="paragraph" w:styleId="af1">
    <w:name w:val="annotation subject"/>
    <w:basedOn w:val="af0"/>
    <w:next w:val="af0"/>
    <w:link w:val="Char7"/>
    <w:uiPriority w:val="99"/>
    <w:semiHidden/>
    <w:rsid w:val="00C12898"/>
    <w:rPr>
      <w:b/>
      <w:bCs/>
    </w:rPr>
  </w:style>
  <w:style w:type="character" w:customStyle="1" w:styleId="Char7">
    <w:name w:val="批注主题 Char"/>
    <w:link w:val="af1"/>
    <w:uiPriority w:val="99"/>
    <w:semiHidden/>
    <w:locked/>
    <w:rsid w:val="00140FF8"/>
    <w:rPr>
      <w:rFonts w:cs="Times New Roman"/>
      <w:b/>
      <w:bCs/>
      <w:sz w:val="24"/>
      <w:szCs w:val="24"/>
    </w:rPr>
  </w:style>
  <w:style w:type="paragraph" w:customStyle="1" w:styleId="Char8">
    <w:name w:val="Char"/>
    <w:basedOn w:val="a"/>
    <w:uiPriority w:val="99"/>
    <w:rsid w:val="00C12898"/>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140FF8"/>
    <w:rPr>
      <w:rFonts w:cs="Times New Roman"/>
      <w:sz w:val="2"/>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140FF8"/>
    <w:rPr>
      <w:rFonts w:cs="Times New Roman"/>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customStyle="1" w:styleId="Default">
    <w:name w:val="Default"/>
    <w:uiPriority w:val="99"/>
    <w:rsid w:val="00695296"/>
    <w:pPr>
      <w:widowControl w:val="0"/>
      <w:autoSpaceDE w:val="0"/>
      <w:autoSpaceDN w:val="0"/>
      <w:adjustRightInd w:val="0"/>
    </w:pPr>
    <w:rPr>
      <w:rFonts w:ascii="FangSong" w:hAnsi="FangSong" w:cs="FangSong"/>
      <w:color w:val="000000"/>
      <w:sz w:val="24"/>
      <w:szCs w:val="24"/>
    </w:rPr>
  </w:style>
  <w:style w:type="paragraph" w:styleId="HTML">
    <w:name w:val="HTML Preformatted"/>
    <w:basedOn w:val="a"/>
    <w:link w:val="HTMLChar"/>
    <w:uiPriority w:val="99"/>
    <w:rsid w:val="006349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link w:val="HTML"/>
    <w:uiPriority w:val="99"/>
    <w:locked/>
    <w:rsid w:val="00634900"/>
    <w:rPr>
      <w:rFonts w:ascii="宋体" w:eastAsia="宋体" w:cs="宋体"/>
      <w:sz w:val="24"/>
      <w:szCs w:val="24"/>
    </w:rPr>
  </w:style>
  <w:style w:type="character" w:styleId="af8">
    <w:name w:val="Strong"/>
    <w:basedOn w:val="a1"/>
    <w:uiPriority w:val="22"/>
    <w:qFormat/>
    <w:locked/>
    <w:rsid w:val="00193F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413930">
      <w:bodyDiv w:val="1"/>
      <w:marLeft w:val="0"/>
      <w:marRight w:val="0"/>
      <w:marTop w:val="0"/>
      <w:marBottom w:val="0"/>
      <w:divBdr>
        <w:top w:val="none" w:sz="0" w:space="0" w:color="auto"/>
        <w:left w:val="none" w:sz="0" w:space="0" w:color="auto"/>
        <w:bottom w:val="none" w:sz="0" w:space="0" w:color="auto"/>
        <w:right w:val="none" w:sz="0" w:space="0" w:color="auto"/>
      </w:divBdr>
    </w:div>
    <w:div w:id="1077090524">
      <w:bodyDiv w:val="1"/>
      <w:marLeft w:val="0"/>
      <w:marRight w:val="0"/>
      <w:marTop w:val="0"/>
      <w:marBottom w:val="0"/>
      <w:divBdr>
        <w:top w:val="none" w:sz="0" w:space="0" w:color="auto"/>
        <w:left w:val="none" w:sz="0" w:space="0" w:color="auto"/>
        <w:bottom w:val="none" w:sz="0" w:space="0" w:color="auto"/>
        <w:right w:val="none" w:sz="0" w:space="0" w:color="auto"/>
      </w:divBdr>
    </w:div>
    <w:div w:id="1682857254">
      <w:marLeft w:val="0"/>
      <w:marRight w:val="0"/>
      <w:marTop w:val="0"/>
      <w:marBottom w:val="0"/>
      <w:divBdr>
        <w:top w:val="none" w:sz="0" w:space="0" w:color="auto"/>
        <w:left w:val="none" w:sz="0" w:space="0" w:color="auto"/>
        <w:bottom w:val="none" w:sz="0" w:space="0" w:color="auto"/>
        <w:right w:val="none" w:sz="0" w:space="0" w:color="auto"/>
      </w:divBdr>
    </w:div>
    <w:div w:id="1682857255">
      <w:marLeft w:val="0"/>
      <w:marRight w:val="0"/>
      <w:marTop w:val="0"/>
      <w:marBottom w:val="0"/>
      <w:divBdr>
        <w:top w:val="none" w:sz="0" w:space="0" w:color="auto"/>
        <w:left w:val="none" w:sz="0" w:space="0" w:color="auto"/>
        <w:bottom w:val="none" w:sz="0" w:space="0" w:color="auto"/>
        <w:right w:val="none" w:sz="0" w:space="0" w:color="auto"/>
      </w:divBdr>
    </w:div>
    <w:div w:id="1682857256">
      <w:marLeft w:val="0"/>
      <w:marRight w:val="0"/>
      <w:marTop w:val="0"/>
      <w:marBottom w:val="0"/>
      <w:divBdr>
        <w:top w:val="none" w:sz="0" w:space="0" w:color="auto"/>
        <w:left w:val="none" w:sz="0" w:space="0" w:color="auto"/>
        <w:bottom w:val="none" w:sz="0" w:space="0" w:color="auto"/>
        <w:right w:val="none" w:sz="0" w:space="0" w:color="auto"/>
      </w:divBdr>
    </w:div>
    <w:div w:id="1682857257">
      <w:marLeft w:val="0"/>
      <w:marRight w:val="0"/>
      <w:marTop w:val="0"/>
      <w:marBottom w:val="0"/>
      <w:divBdr>
        <w:top w:val="none" w:sz="0" w:space="0" w:color="auto"/>
        <w:left w:val="none" w:sz="0" w:space="0" w:color="auto"/>
        <w:bottom w:val="none" w:sz="0" w:space="0" w:color="auto"/>
        <w:right w:val="none" w:sz="0" w:space="0" w:color="auto"/>
      </w:divBdr>
    </w:div>
    <w:div w:id="1682857258">
      <w:marLeft w:val="0"/>
      <w:marRight w:val="0"/>
      <w:marTop w:val="0"/>
      <w:marBottom w:val="0"/>
      <w:divBdr>
        <w:top w:val="none" w:sz="0" w:space="0" w:color="auto"/>
        <w:left w:val="none" w:sz="0" w:space="0" w:color="auto"/>
        <w:bottom w:val="none" w:sz="0" w:space="0" w:color="auto"/>
        <w:right w:val="none" w:sz="0" w:space="0" w:color="auto"/>
      </w:divBdr>
    </w:div>
    <w:div w:id="1682857259">
      <w:marLeft w:val="0"/>
      <w:marRight w:val="0"/>
      <w:marTop w:val="0"/>
      <w:marBottom w:val="0"/>
      <w:divBdr>
        <w:top w:val="none" w:sz="0" w:space="0" w:color="auto"/>
        <w:left w:val="none" w:sz="0" w:space="0" w:color="auto"/>
        <w:bottom w:val="none" w:sz="0" w:space="0" w:color="auto"/>
        <w:right w:val="none" w:sz="0" w:space="0" w:color="auto"/>
      </w:divBdr>
    </w:div>
    <w:div w:id="1682857260">
      <w:marLeft w:val="0"/>
      <w:marRight w:val="0"/>
      <w:marTop w:val="0"/>
      <w:marBottom w:val="0"/>
      <w:divBdr>
        <w:top w:val="none" w:sz="0" w:space="0" w:color="auto"/>
        <w:left w:val="none" w:sz="0" w:space="0" w:color="auto"/>
        <w:bottom w:val="none" w:sz="0" w:space="0" w:color="auto"/>
        <w:right w:val="none" w:sz="0" w:space="0" w:color="auto"/>
      </w:divBdr>
    </w:div>
    <w:div w:id="1682857261">
      <w:marLeft w:val="0"/>
      <w:marRight w:val="0"/>
      <w:marTop w:val="0"/>
      <w:marBottom w:val="0"/>
      <w:divBdr>
        <w:top w:val="none" w:sz="0" w:space="0" w:color="auto"/>
        <w:left w:val="none" w:sz="0" w:space="0" w:color="auto"/>
        <w:bottom w:val="none" w:sz="0" w:space="0" w:color="auto"/>
        <w:right w:val="none" w:sz="0" w:space="0" w:color="auto"/>
      </w:divBdr>
    </w:div>
    <w:div w:id="1682857262">
      <w:marLeft w:val="0"/>
      <w:marRight w:val="0"/>
      <w:marTop w:val="0"/>
      <w:marBottom w:val="0"/>
      <w:divBdr>
        <w:top w:val="none" w:sz="0" w:space="0" w:color="auto"/>
        <w:left w:val="none" w:sz="0" w:space="0" w:color="auto"/>
        <w:bottom w:val="none" w:sz="0" w:space="0" w:color="auto"/>
        <w:right w:val="none" w:sz="0" w:space="0" w:color="auto"/>
      </w:divBdr>
    </w:div>
    <w:div w:id="1682857263">
      <w:marLeft w:val="0"/>
      <w:marRight w:val="0"/>
      <w:marTop w:val="0"/>
      <w:marBottom w:val="0"/>
      <w:divBdr>
        <w:top w:val="none" w:sz="0" w:space="0" w:color="auto"/>
        <w:left w:val="none" w:sz="0" w:space="0" w:color="auto"/>
        <w:bottom w:val="none" w:sz="0" w:space="0" w:color="auto"/>
        <w:right w:val="none" w:sz="0" w:space="0" w:color="auto"/>
      </w:divBdr>
    </w:div>
    <w:div w:id="1682857264">
      <w:marLeft w:val="0"/>
      <w:marRight w:val="0"/>
      <w:marTop w:val="0"/>
      <w:marBottom w:val="0"/>
      <w:divBdr>
        <w:top w:val="none" w:sz="0" w:space="0" w:color="auto"/>
        <w:left w:val="none" w:sz="0" w:space="0" w:color="auto"/>
        <w:bottom w:val="none" w:sz="0" w:space="0" w:color="auto"/>
        <w:right w:val="none" w:sz="0" w:space="0" w:color="auto"/>
      </w:divBdr>
    </w:div>
    <w:div w:id="16828572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3</Pages>
  <Words>1601</Words>
  <Characters>9126</Characters>
  <Application>Microsoft Office Word</Application>
  <DocSecurity>0</DocSecurity>
  <Lines>76</Lines>
  <Paragraphs>21</Paragraphs>
  <ScaleCrop>false</ScaleCrop>
  <Company>TRT. Ltd. Co.</Company>
  <LinksUpToDate>false</LinksUpToDate>
  <CharactersWithSpaces>10706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181</cp:revision>
  <cp:lastPrinted>2019-10-16T13:57:00Z</cp:lastPrinted>
  <dcterms:created xsi:type="dcterms:W3CDTF">2012-11-28T02:28:00Z</dcterms:created>
  <dcterms:modified xsi:type="dcterms:W3CDTF">2019-10-16T13:57:00Z</dcterms:modified>
</cp:coreProperties>
</file>