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易方达中小板指数证券投资基金（LOF）</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C93889" w:rsidRDefault="0083666A">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93889" w:rsidRDefault="0083666A">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93889" w:rsidRDefault="0083666A">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C93889" w:rsidRDefault="0083666A">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p>
    <w:p w:rsidR="00C93889" w:rsidRDefault="0083666A">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易方达中小板指数（</w:t>
            </w:r>
            <w:r w:rsidRPr="00232B03">
              <w:rPr>
                <w:color w:val="000000"/>
                <w:kern w:val="0"/>
                <w:sz w:val="24"/>
                <w:szCs w:val="24"/>
              </w:rPr>
              <w:t>LOF</w:t>
            </w:r>
            <w:r w:rsidRPr="00232B03">
              <w:rPr>
                <w:color w:val="000000"/>
                <w:kern w:val="0"/>
                <w:sz w:val="24"/>
                <w:szCs w:val="24"/>
              </w:rPr>
              <w:t>）</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易基中小</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161118</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161118</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2012</w:t>
            </w:r>
            <w:r w:rsidRPr="00232B03">
              <w:rPr>
                <w:color w:val="000000"/>
                <w:kern w:val="0"/>
                <w:sz w:val="24"/>
                <w:szCs w:val="24"/>
              </w:rPr>
              <w:t>年</w:t>
            </w:r>
            <w:r w:rsidRPr="00232B03">
              <w:rPr>
                <w:color w:val="000000"/>
                <w:kern w:val="0"/>
                <w:sz w:val="24"/>
                <w:szCs w:val="24"/>
              </w:rPr>
              <w:t>9</w:t>
            </w:r>
            <w:r w:rsidRPr="00232B03">
              <w:rPr>
                <w:color w:val="000000"/>
                <w:kern w:val="0"/>
                <w:sz w:val="24"/>
                <w:szCs w:val="24"/>
              </w:rPr>
              <w:t>月</w:t>
            </w:r>
            <w:r w:rsidRPr="00232B03">
              <w:rPr>
                <w:color w:val="000000"/>
                <w:kern w:val="0"/>
                <w:sz w:val="24"/>
                <w:szCs w:val="24"/>
              </w:rPr>
              <w:t>20</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412,621,449.00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本基金采取指数化投资方式，以实现对业绩比较基准的紧密跟踪，追求跟踪偏离度及跟踪误差最小化。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本基金主要采取完全复制法进行投资，即按照中小板价格指数的成份股组成及权重构建股票投资组合，并根据标的指数成份股及其权重的变动进行相</w:t>
            </w:r>
            <w:r w:rsidRPr="00232B03">
              <w:rPr>
                <w:color w:val="000000"/>
                <w:kern w:val="0"/>
                <w:sz w:val="24"/>
                <w:szCs w:val="24"/>
              </w:rPr>
              <w:lastRenderedPageBreak/>
              <w:t>应调整，以实现对业绩比较基准的紧密跟踪，追求跟踪偏离度及跟踪误差最小化。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中小板价格指数收益率</w:t>
            </w:r>
            <w:r w:rsidRPr="00232B03">
              <w:rPr>
                <w:color w:val="000000"/>
                <w:kern w:val="0"/>
                <w:sz w:val="24"/>
                <w:szCs w:val="24"/>
              </w:rPr>
              <w:t>×95%+</w:t>
            </w:r>
            <w:r w:rsidRPr="00232B03">
              <w:rPr>
                <w:color w:val="000000"/>
                <w:kern w:val="0"/>
                <w:sz w:val="24"/>
                <w:szCs w:val="24"/>
              </w:rPr>
              <w:t>活期存款利率（税后）</w:t>
            </w:r>
            <w:r w:rsidRPr="00232B03">
              <w:rPr>
                <w:color w:val="000000"/>
                <w:kern w:val="0"/>
                <w:sz w:val="24"/>
                <w:szCs w:val="24"/>
              </w:rPr>
              <w:t>×5%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股票基金，预期风险与收益水平高于混合基金、债券基金与货币市场基金。本基金为指数型基金，主要采用完全复制法跟踪标的指数的表现，具有与标的指数、以及标的指数所代表的股票市场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6C56AA" w:rsidRDefault="00750D48" w:rsidP="00403A06">
      <w:pPr>
        <w:spacing w:line="360" w:lineRule="auto"/>
        <w:ind w:firstLineChars="200" w:firstLine="480"/>
        <w:rPr>
          <w:color w:val="000000"/>
          <w:sz w:val="24"/>
          <w:szCs w:val="24"/>
        </w:rPr>
      </w:pPr>
      <w:r w:rsidRPr="006C56AA">
        <w:rPr>
          <w:color w:val="000000"/>
          <w:sz w:val="24"/>
          <w:szCs w:val="24"/>
        </w:rPr>
        <w:t>注：根据《易方达中小板指数分级证券投资基金基金合同》的规定，本基金到期份额折算基准日为第七个分级运作周年的最后一个工作日（即</w:t>
      </w:r>
      <w:r w:rsidRPr="006C56AA">
        <w:rPr>
          <w:color w:val="000000"/>
          <w:sz w:val="24"/>
          <w:szCs w:val="24"/>
        </w:rPr>
        <w:t>2019</w:t>
      </w:r>
      <w:r w:rsidRPr="006C56AA">
        <w:rPr>
          <w:color w:val="000000"/>
          <w:sz w:val="24"/>
          <w:szCs w:val="24"/>
        </w:rPr>
        <w:t>年</w:t>
      </w:r>
      <w:r w:rsidRPr="006C56AA">
        <w:rPr>
          <w:color w:val="000000"/>
          <w:sz w:val="24"/>
          <w:szCs w:val="24"/>
        </w:rPr>
        <w:t>9</w:t>
      </w:r>
      <w:r w:rsidRPr="006C56AA">
        <w:rPr>
          <w:color w:val="000000"/>
          <w:sz w:val="24"/>
          <w:szCs w:val="24"/>
        </w:rPr>
        <w:t>月</w:t>
      </w:r>
      <w:r w:rsidRPr="006C56AA">
        <w:rPr>
          <w:color w:val="000000"/>
          <w:sz w:val="24"/>
          <w:szCs w:val="24"/>
        </w:rPr>
        <w:t>19</w:t>
      </w:r>
      <w:r w:rsidRPr="006C56AA">
        <w:rPr>
          <w:color w:val="000000"/>
          <w:sz w:val="24"/>
          <w:szCs w:val="24"/>
        </w:rPr>
        <w:t>日）。在到期份额折算基准日日终，易基中小板</w:t>
      </w:r>
      <w:r w:rsidRPr="006C56AA">
        <w:rPr>
          <w:color w:val="000000"/>
          <w:sz w:val="24"/>
          <w:szCs w:val="24"/>
        </w:rPr>
        <w:t>A</w:t>
      </w:r>
      <w:r w:rsidRPr="006C56AA">
        <w:rPr>
          <w:color w:val="000000"/>
          <w:sz w:val="24"/>
          <w:szCs w:val="24"/>
        </w:rPr>
        <w:t>类份额和易基中小板</w:t>
      </w:r>
      <w:r w:rsidRPr="006C56AA">
        <w:rPr>
          <w:color w:val="000000"/>
          <w:sz w:val="24"/>
          <w:szCs w:val="24"/>
        </w:rPr>
        <w:t>B</w:t>
      </w:r>
      <w:r w:rsidRPr="006C56AA">
        <w:rPr>
          <w:color w:val="000000"/>
          <w:sz w:val="24"/>
          <w:szCs w:val="24"/>
        </w:rPr>
        <w:t>类份额按各自的基金份额参考净值折算为面值为</w:t>
      </w:r>
      <w:r w:rsidRPr="006C56AA">
        <w:rPr>
          <w:color w:val="000000"/>
          <w:sz w:val="24"/>
          <w:szCs w:val="24"/>
        </w:rPr>
        <w:t>1.0000</w:t>
      </w:r>
      <w:r w:rsidRPr="006C56AA">
        <w:rPr>
          <w:color w:val="000000"/>
          <w:sz w:val="24"/>
          <w:szCs w:val="24"/>
        </w:rPr>
        <w:t>元的场内易方达中小板指数（</w:t>
      </w:r>
      <w:r w:rsidRPr="006C56AA">
        <w:rPr>
          <w:color w:val="000000"/>
          <w:sz w:val="24"/>
          <w:szCs w:val="24"/>
        </w:rPr>
        <w:t>LOF</w:t>
      </w:r>
      <w:r w:rsidRPr="006C56AA">
        <w:rPr>
          <w:color w:val="000000"/>
          <w:sz w:val="24"/>
          <w:szCs w:val="24"/>
        </w:rPr>
        <w:t>）份额，易基中小板份额则按折算后</w:t>
      </w:r>
      <w:r w:rsidRPr="006C56AA">
        <w:rPr>
          <w:color w:val="000000"/>
          <w:sz w:val="24"/>
          <w:szCs w:val="24"/>
        </w:rPr>
        <w:t>1.0000</w:t>
      </w:r>
      <w:r w:rsidRPr="006C56AA">
        <w:rPr>
          <w:color w:val="000000"/>
          <w:sz w:val="24"/>
          <w:szCs w:val="24"/>
        </w:rPr>
        <w:t>元的基金份额净值进行折算。折算完成后，本基金无需召开基金份额持有人大会，于</w:t>
      </w:r>
      <w:r w:rsidRPr="006C56AA">
        <w:rPr>
          <w:color w:val="000000"/>
          <w:sz w:val="24"/>
          <w:szCs w:val="24"/>
        </w:rPr>
        <w:t>2019</w:t>
      </w:r>
      <w:r w:rsidRPr="006C56AA">
        <w:rPr>
          <w:color w:val="000000"/>
          <w:sz w:val="24"/>
          <w:szCs w:val="24"/>
        </w:rPr>
        <w:t>年</w:t>
      </w:r>
      <w:r w:rsidRPr="006C56AA">
        <w:rPr>
          <w:color w:val="000000"/>
          <w:sz w:val="24"/>
          <w:szCs w:val="24"/>
        </w:rPr>
        <w:t>9</w:t>
      </w:r>
      <w:r w:rsidRPr="006C56AA">
        <w:rPr>
          <w:color w:val="000000"/>
          <w:sz w:val="24"/>
          <w:szCs w:val="24"/>
        </w:rPr>
        <w:t>月</w:t>
      </w:r>
      <w:r w:rsidRPr="006C56AA">
        <w:rPr>
          <w:color w:val="000000"/>
          <w:sz w:val="24"/>
          <w:szCs w:val="24"/>
        </w:rPr>
        <w:t>20</w:t>
      </w:r>
      <w:r w:rsidRPr="006C56AA">
        <w:rPr>
          <w:color w:val="000000"/>
          <w:sz w:val="24"/>
          <w:szCs w:val="24"/>
        </w:rPr>
        <w:t>日自动转换为上市开放式基金（</w:t>
      </w:r>
      <w:r w:rsidRPr="006C56AA">
        <w:rPr>
          <w:color w:val="000000"/>
          <w:sz w:val="24"/>
          <w:szCs w:val="24"/>
        </w:rPr>
        <w:t>LOF</w:t>
      </w:r>
      <w:r w:rsidRPr="006C56AA">
        <w:rPr>
          <w:color w:val="000000"/>
          <w:sz w:val="24"/>
          <w:szCs w:val="24"/>
        </w:rPr>
        <w:t>），基金名称变更为</w:t>
      </w:r>
      <w:r w:rsidRPr="006C56AA">
        <w:rPr>
          <w:color w:val="000000"/>
          <w:sz w:val="24"/>
          <w:szCs w:val="24"/>
        </w:rPr>
        <w:t>“</w:t>
      </w:r>
      <w:r w:rsidRPr="006C56AA">
        <w:rPr>
          <w:color w:val="000000"/>
          <w:sz w:val="24"/>
          <w:szCs w:val="24"/>
        </w:rPr>
        <w:t>易方达中小板指数证券投资基金（</w:t>
      </w:r>
      <w:r w:rsidRPr="006C56AA">
        <w:rPr>
          <w:color w:val="000000"/>
          <w:sz w:val="24"/>
          <w:szCs w:val="24"/>
        </w:rPr>
        <w:t>LOF</w:t>
      </w:r>
      <w:r w:rsidRPr="006C56AA">
        <w:rPr>
          <w:color w:val="000000"/>
          <w:sz w:val="24"/>
          <w:szCs w:val="24"/>
        </w:rPr>
        <w:t>）</w:t>
      </w:r>
      <w:r w:rsidRPr="006C56AA">
        <w:rPr>
          <w:color w:val="000000"/>
          <w:sz w:val="24"/>
          <w:szCs w:val="24"/>
        </w:rPr>
        <w:t>”</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27,713,405.78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48,478,104.12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0.0545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lastRenderedPageBreak/>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398,117,288.24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0.9648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C93889" w:rsidRDefault="0083666A">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C93889">
        <w:tc>
          <w:tcPr>
            <w:tcW w:w="1395" w:type="dxa"/>
            <w:vAlign w:val="center"/>
          </w:tcPr>
          <w:p w:rsidR="00C93889" w:rsidRDefault="0083666A">
            <w:pPr>
              <w:jc w:val="left"/>
            </w:pPr>
            <w:r>
              <w:rPr>
                <w:color w:val="000000"/>
                <w:kern w:val="0"/>
                <w:sz w:val="24"/>
                <w:szCs w:val="24"/>
              </w:rPr>
              <w:t>过去三个月</w:t>
            </w:r>
          </w:p>
        </w:tc>
        <w:tc>
          <w:tcPr>
            <w:tcW w:w="1092" w:type="dxa"/>
            <w:vAlign w:val="center"/>
          </w:tcPr>
          <w:p w:rsidR="00C93889" w:rsidRDefault="0083666A">
            <w:pPr>
              <w:jc w:val="center"/>
            </w:pPr>
            <w:r>
              <w:rPr>
                <w:color w:val="000000"/>
                <w:kern w:val="0"/>
                <w:sz w:val="24"/>
                <w:szCs w:val="24"/>
              </w:rPr>
              <w:t>5.38%</w:t>
            </w:r>
          </w:p>
        </w:tc>
        <w:tc>
          <w:tcPr>
            <w:tcW w:w="1161" w:type="dxa"/>
            <w:vAlign w:val="center"/>
          </w:tcPr>
          <w:p w:rsidR="00C93889" w:rsidRDefault="0083666A">
            <w:pPr>
              <w:jc w:val="center"/>
            </w:pPr>
            <w:r>
              <w:rPr>
                <w:color w:val="000000"/>
                <w:kern w:val="0"/>
                <w:sz w:val="24"/>
                <w:szCs w:val="24"/>
              </w:rPr>
              <w:t>1.20%</w:t>
            </w:r>
          </w:p>
        </w:tc>
        <w:tc>
          <w:tcPr>
            <w:tcW w:w="1181" w:type="dxa"/>
            <w:vAlign w:val="center"/>
          </w:tcPr>
          <w:p w:rsidR="00C93889" w:rsidRDefault="0083666A">
            <w:pPr>
              <w:jc w:val="center"/>
            </w:pPr>
            <w:r>
              <w:rPr>
                <w:color w:val="000000"/>
                <w:kern w:val="0"/>
                <w:sz w:val="24"/>
                <w:szCs w:val="24"/>
              </w:rPr>
              <w:t>5.36%</w:t>
            </w:r>
          </w:p>
        </w:tc>
        <w:tc>
          <w:tcPr>
            <w:tcW w:w="1188" w:type="dxa"/>
            <w:vAlign w:val="center"/>
          </w:tcPr>
          <w:p w:rsidR="00C93889" w:rsidRDefault="0083666A">
            <w:pPr>
              <w:jc w:val="center"/>
            </w:pPr>
            <w:r>
              <w:rPr>
                <w:color w:val="000000"/>
                <w:kern w:val="0"/>
                <w:sz w:val="24"/>
                <w:szCs w:val="24"/>
              </w:rPr>
              <w:t>1.20%</w:t>
            </w:r>
          </w:p>
        </w:tc>
        <w:tc>
          <w:tcPr>
            <w:tcW w:w="1199" w:type="dxa"/>
            <w:vAlign w:val="center"/>
          </w:tcPr>
          <w:p w:rsidR="00C93889" w:rsidRDefault="0083666A">
            <w:pPr>
              <w:jc w:val="center"/>
            </w:pPr>
            <w:r>
              <w:rPr>
                <w:color w:val="000000"/>
                <w:kern w:val="0"/>
                <w:sz w:val="24"/>
                <w:szCs w:val="24"/>
              </w:rPr>
              <w:t>0.02%</w:t>
            </w:r>
          </w:p>
        </w:tc>
        <w:tc>
          <w:tcPr>
            <w:tcW w:w="1204" w:type="dxa"/>
            <w:vAlign w:val="center"/>
          </w:tcPr>
          <w:p w:rsidR="00C93889" w:rsidRDefault="0083666A">
            <w:pPr>
              <w:jc w:val="center"/>
            </w:pPr>
            <w:r>
              <w:rPr>
                <w:color w:val="000000"/>
                <w:kern w:val="0"/>
                <w:sz w:val="24"/>
                <w:szCs w:val="24"/>
              </w:rPr>
              <w:t>0.00%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易方达中小板指数证券投资基金（</w:t>
      </w:r>
      <w:r w:rsidRPr="0074694E">
        <w:rPr>
          <w:color w:val="000000"/>
          <w:sz w:val="24"/>
          <w:szCs w:val="24"/>
        </w:rPr>
        <w:t>LOF</w:t>
      </w:r>
      <w:r w:rsidRPr="0074694E">
        <w:rPr>
          <w:color w:val="000000"/>
          <w:sz w:val="24"/>
          <w:szCs w:val="24"/>
        </w:rPr>
        <w:t>）</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2012</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20</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83666A" w:rsidP="004061AC">
      <w:pPr>
        <w:pStyle w:val="a5"/>
        <w:snapToGrid w:val="0"/>
        <w:spacing w:before="120" w:line="360" w:lineRule="auto"/>
        <w:jc w:val="center"/>
        <w:rPr>
          <w:rFonts w:hAnsi="宋体"/>
          <w:color w:val="000000"/>
          <w:sz w:val="24"/>
          <w:szCs w:val="24"/>
        </w:rPr>
      </w:pPr>
      <w:r>
        <w:rPr>
          <w:rFonts w:hAnsi="宋体"/>
          <w:noProof/>
          <w:color w:val="0000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C93889" w:rsidRDefault="0083666A">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根据基金合同的规定，易方达中小板指数分级证券投资基金于</w:t>
      </w:r>
      <w:r>
        <w:rPr>
          <w:color w:val="000000"/>
          <w:sz w:val="24"/>
          <w:szCs w:val="24"/>
        </w:rPr>
        <w:t>2019</w:t>
      </w:r>
      <w:r>
        <w:rPr>
          <w:color w:val="000000"/>
          <w:sz w:val="24"/>
          <w:szCs w:val="24"/>
        </w:rPr>
        <w:t>年</w:t>
      </w:r>
      <w:r>
        <w:rPr>
          <w:color w:val="000000"/>
          <w:sz w:val="24"/>
          <w:szCs w:val="24"/>
        </w:rPr>
        <w:t>9</w:t>
      </w:r>
      <w:r>
        <w:rPr>
          <w:color w:val="000000"/>
          <w:sz w:val="24"/>
          <w:szCs w:val="24"/>
        </w:rPr>
        <w:t>月</w:t>
      </w:r>
      <w:r>
        <w:rPr>
          <w:color w:val="000000"/>
          <w:sz w:val="24"/>
          <w:szCs w:val="24"/>
        </w:rPr>
        <w:t>20</w:t>
      </w:r>
      <w:r>
        <w:rPr>
          <w:color w:val="000000"/>
          <w:sz w:val="24"/>
          <w:szCs w:val="24"/>
        </w:rPr>
        <w:t>日自动转换为易方达中小板指数证券投资基金（</w:t>
      </w:r>
      <w:r>
        <w:rPr>
          <w:color w:val="000000"/>
          <w:sz w:val="24"/>
          <w:szCs w:val="24"/>
        </w:rPr>
        <w:t>LOF</w:t>
      </w:r>
      <w:r>
        <w:rPr>
          <w:color w:val="000000"/>
          <w:sz w:val="24"/>
          <w:szCs w:val="24"/>
        </w:rPr>
        <w:t>）。</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自基金合同生效至报告期末，基金份额净值增长率为</w:t>
      </w:r>
      <w:r w:rsidRPr="006C56AA">
        <w:rPr>
          <w:color w:val="000000"/>
          <w:sz w:val="24"/>
          <w:szCs w:val="24"/>
        </w:rPr>
        <w:t>25.35%</w:t>
      </w:r>
      <w:r w:rsidRPr="006C56AA">
        <w:rPr>
          <w:color w:val="000000"/>
          <w:sz w:val="24"/>
          <w:szCs w:val="24"/>
        </w:rPr>
        <w:t>，同期业绩比较基准收益率为</w:t>
      </w:r>
      <w:r w:rsidRPr="006C56AA">
        <w:rPr>
          <w:color w:val="000000"/>
          <w:sz w:val="24"/>
          <w:szCs w:val="24"/>
        </w:rPr>
        <w:t>38.82%</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C93889">
        <w:tc>
          <w:tcPr>
            <w:tcW w:w="567" w:type="dxa"/>
            <w:vAlign w:val="center"/>
          </w:tcPr>
          <w:p w:rsidR="00C93889" w:rsidRDefault="0083666A">
            <w:pPr>
              <w:jc w:val="center"/>
            </w:pPr>
            <w:r>
              <w:rPr>
                <w:color w:val="000000"/>
                <w:sz w:val="24"/>
              </w:rPr>
              <w:t>成曦</w:t>
            </w:r>
          </w:p>
        </w:tc>
        <w:tc>
          <w:tcPr>
            <w:tcW w:w="2835" w:type="dxa"/>
            <w:vAlign w:val="center"/>
          </w:tcPr>
          <w:p w:rsidR="00C93889" w:rsidRDefault="0083666A">
            <w:pPr>
              <w:jc w:val="center"/>
            </w:pPr>
            <w:r>
              <w:rPr>
                <w:color w:val="000000"/>
                <w:sz w:val="24"/>
              </w:rPr>
              <w:t>本基金（原易方达中小板指数分级证券投资基金）的基金经理、易方达原油证券投资基金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的基金经理、易方达银行指数分级证券投资基金的基金经理、易方达生物科技指数分级证券投资基金的基金经理、易方达深证成指交易型开放式指数证券投资基金联接基金</w:t>
            </w:r>
            <w:r>
              <w:rPr>
                <w:color w:val="000000"/>
                <w:sz w:val="24"/>
              </w:rPr>
              <w:lastRenderedPageBreak/>
              <w:t>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交易型开放式指数基金的</w:t>
            </w:r>
            <w:r>
              <w:rPr>
                <w:color w:val="000000"/>
                <w:sz w:val="24"/>
              </w:rPr>
              <w:t>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联接基金的基金经理、易方达恒生中国企业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w:t>
            </w:r>
            <w:r>
              <w:rPr>
                <w:color w:val="000000"/>
                <w:sz w:val="24"/>
              </w:rPr>
              <w:t>MSCI</w:t>
            </w:r>
            <w:r>
              <w:rPr>
                <w:color w:val="000000"/>
                <w:sz w:val="24"/>
              </w:rPr>
              <w:t>中国</w:t>
            </w:r>
            <w:r>
              <w:rPr>
                <w:color w:val="000000"/>
                <w:sz w:val="24"/>
              </w:rPr>
              <w:t>A</w:t>
            </w:r>
            <w:r>
              <w:rPr>
                <w:color w:val="000000"/>
                <w:sz w:val="24"/>
              </w:rPr>
              <w:t>股国际通交易型开放式</w:t>
            </w:r>
            <w:r>
              <w:rPr>
                <w:color w:val="000000"/>
                <w:sz w:val="24"/>
              </w:rPr>
              <w:t>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C93889" w:rsidRDefault="0083666A">
            <w:pPr>
              <w:jc w:val="center"/>
            </w:pPr>
            <w:r>
              <w:rPr>
                <w:color w:val="000000"/>
                <w:sz w:val="24"/>
              </w:rPr>
              <w:lastRenderedPageBreak/>
              <w:t>2016-05-07</w:t>
            </w:r>
          </w:p>
        </w:tc>
        <w:tc>
          <w:tcPr>
            <w:tcW w:w="850" w:type="dxa"/>
            <w:vAlign w:val="center"/>
          </w:tcPr>
          <w:p w:rsidR="00C93889" w:rsidRDefault="0083666A">
            <w:pPr>
              <w:jc w:val="center"/>
            </w:pPr>
            <w:r>
              <w:rPr>
                <w:color w:val="000000"/>
                <w:sz w:val="24"/>
              </w:rPr>
              <w:t>-</w:t>
            </w:r>
          </w:p>
        </w:tc>
        <w:tc>
          <w:tcPr>
            <w:tcW w:w="851" w:type="dxa"/>
            <w:vAlign w:val="center"/>
          </w:tcPr>
          <w:p w:rsidR="00C93889" w:rsidRDefault="0083666A">
            <w:pPr>
              <w:jc w:val="center"/>
            </w:pPr>
            <w:r>
              <w:rPr>
                <w:color w:val="000000"/>
                <w:sz w:val="24"/>
              </w:rPr>
              <w:t>11</w:t>
            </w:r>
            <w:r>
              <w:rPr>
                <w:color w:val="000000"/>
                <w:sz w:val="24"/>
              </w:rPr>
              <w:t>年</w:t>
            </w:r>
          </w:p>
        </w:tc>
        <w:tc>
          <w:tcPr>
            <w:tcW w:w="2977" w:type="dxa"/>
            <w:vAlign w:val="center"/>
          </w:tcPr>
          <w:p w:rsidR="00C93889" w:rsidRDefault="0083666A">
            <w:r>
              <w:rPr>
                <w:color w:val="000000"/>
                <w:sz w:val="24"/>
              </w:rPr>
              <w:t>硕士研究生，曾任华泰联合证券资产管理部研究员，易方达基金管理有限公司集中交易室交易员、指数与量化投资部指数基金运作专员、基金经理助理。</w:t>
            </w:r>
          </w:p>
        </w:tc>
      </w:tr>
      <w:tr w:rsidR="00C93889">
        <w:tc>
          <w:tcPr>
            <w:tcW w:w="567" w:type="dxa"/>
            <w:vAlign w:val="center"/>
          </w:tcPr>
          <w:p w:rsidR="00C93889" w:rsidRDefault="0083666A">
            <w:pPr>
              <w:jc w:val="center"/>
            </w:pPr>
            <w:r>
              <w:rPr>
                <w:color w:val="000000"/>
                <w:sz w:val="24"/>
              </w:rPr>
              <w:t>刘树荣</w:t>
            </w:r>
          </w:p>
        </w:tc>
        <w:tc>
          <w:tcPr>
            <w:tcW w:w="2835" w:type="dxa"/>
            <w:vAlign w:val="center"/>
          </w:tcPr>
          <w:p w:rsidR="00C93889" w:rsidRDefault="0083666A">
            <w:pPr>
              <w:jc w:val="center"/>
            </w:pPr>
            <w:r>
              <w:rPr>
                <w:color w:val="000000"/>
                <w:sz w:val="24"/>
              </w:rPr>
              <w:t>本基金（原易方达中小板指数分级证券投资基金）的基金经理、易方达银行</w:t>
            </w:r>
            <w:r>
              <w:rPr>
                <w:color w:val="000000"/>
                <w:sz w:val="24"/>
              </w:rPr>
              <w:lastRenderedPageBreak/>
              <w:t>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w:t>
            </w:r>
            <w:r>
              <w:rPr>
                <w:color w:val="000000"/>
                <w:sz w:val="24"/>
              </w:rPr>
              <w:t>开放式指数基金的基金经理、易方达上证中盘交易型开放式指数证券投资基金联接基金的基金经理、易方达上证中盘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w:t>
            </w:r>
            <w:r>
              <w:rPr>
                <w:color w:val="000000"/>
                <w:sz w:val="24"/>
              </w:rPr>
              <w:t>基金经理</w:t>
            </w:r>
          </w:p>
        </w:tc>
        <w:tc>
          <w:tcPr>
            <w:tcW w:w="851" w:type="dxa"/>
            <w:vAlign w:val="center"/>
          </w:tcPr>
          <w:p w:rsidR="00C93889" w:rsidRDefault="0083666A">
            <w:pPr>
              <w:jc w:val="center"/>
            </w:pPr>
            <w:r>
              <w:rPr>
                <w:color w:val="000000"/>
                <w:sz w:val="24"/>
              </w:rPr>
              <w:lastRenderedPageBreak/>
              <w:t>2017-07-18</w:t>
            </w:r>
          </w:p>
        </w:tc>
        <w:tc>
          <w:tcPr>
            <w:tcW w:w="850" w:type="dxa"/>
            <w:vAlign w:val="center"/>
          </w:tcPr>
          <w:p w:rsidR="00C93889" w:rsidRDefault="0083666A">
            <w:pPr>
              <w:jc w:val="center"/>
            </w:pPr>
            <w:r>
              <w:rPr>
                <w:color w:val="000000"/>
                <w:sz w:val="24"/>
              </w:rPr>
              <w:t>-</w:t>
            </w:r>
          </w:p>
        </w:tc>
        <w:tc>
          <w:tcPr>
            <w:tcW w:w="851" w:type="dxa"/>
            <w:vAlign w:val="center"/>
          </w:tcPr>
          <w:p w:rsidR="00C93889" w:rsidRDefault="0083666A">
            <w:pPr>
              <w:jc w:val="center"/>
            </w:pPr>
            <w:r>
              <w:rPr>
                <w:color w:val="000000"/>
                <w:sz w:val="24"/>
              </w:rPr>
              <w:t>12</w:t>
            </w:r>
            <w:r>
              <w:rPr>
                <w:color w:val="000000"/>
                <w:sz w:val="24"/>
              </w:rPr>
              <w:t>年</w:t>
            </w:r>
          </w:p>
        </w:tc>
        <w:tc>
          <w:tcPr>
            <w:tcW w:w="2977" w:type="dxa"/>
            <w:vAlign w:val="center"/>
          </w:tcPr>
          <w:p w:rsidR="00C93889" w:rsidRDefault="0083666A">
            <w:r>
              <w:rPr>
                <w:color w:val="000000"/>
                <w:sz w:val="24"/>
              </w:rPr>
              <w:t>硕士研究生，曾任招商银行资产托管部基金会计，易方达基金管理有限公司核算</w:t>
            </w:r>
            <w:r>
              <w:rPr>
                <w:color w:val="000000"/>
                <w:sz w:val="24"/>
              </w:rPr>
              <w:lastRenderedPageBreak/>
              <w:t>部基金核算专员、指数与量化投资部运作支持专员、基金经理助理。</w:t>
            </w:r>
          </w:p>
        </w:tc>
      </w:tr>
    </w:tbl>
    <w:p w:rsidR="00C93889" w:rsidRDefault="0083666A">
      <w:pPr>
        <w:spacing w:line="360" w:lineRule="auto"/>
        <w:ind w:firstLineChars="200" w:firstLine="480"/>
        <w:rPr>
          <w:color w:val="000000"/>
          <w:sz w:val="24"/>
          <w:szCs w:val="24"/>
        </w:rPr>
      </w:pPr>
      <w:r>
        <w:rPr>
          <w:color w:val="000000"/>
          <w:sz w:val="24"/>
          <w:szCs w:val="24"/>
        </w:rPr>
        <w:lastRenderedPageBreak/>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C93889" w:rsidRDefault="0083666A">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C93889" w:rsidRDefault="0083666A">
      <w:pPr>
        <w:spacing w:line="360" w:lineRule="auto"/>
        <w:ind w:firstLineChars="200" w:firstLine="480"/>
        <w:rPr>
          <w:color w:val="000000"/>
          <w:sz w:val="24"/>
          <w:szCs w:val="24"/>
        </w:rPr>
      </w:pPr>
      <w:r>
        <w:rPr>
          <w:color w:val="000000"/>
          <w:sz w:val="24"/>
          <w:szCs w:val="24"/>
        </w:rPr>
        <w:t>本基金跟踪的标的指数为中小板指数，中小板指数由深交所中小企业板上市交易</w:t>
      </w:r>
      <w:r>
        <w:rPr>
          <w:color w:val="000000"/>
          <w:sz w:val="24"/>
          <w:szCs w:val="24"/>
        </w:rPr>
        <w:t>A</w:t>
      </w:r>
      <w:r>
        <w:rPr>
          <w:color w:val="000000"/>
          <w:sz w:val="24"/>
          <w:szCs w:val="24"/>
        </w:rPr>
        <w:t>股中最具代表性的</w:t>
      </w:r>
      <w:r>
        <w:rPr>
          <w:color w:val="000000"/>
          <w:sz w:val="24"/>
          <w:szCs w:val="24"/>
        </w:rPr>
        <w:t>100</w:t>
      </w:r>
      <w:r>
        <w:rPr>
          <w:color w:val="000000"/>
          <w:sz w:val="24"/>
          <w:szCs w:val="24"/>
        </w:rPr>
        <w:t>只股票组成，是衡量中小板整体表现最具代表性的指数。报告期内，本基金主要采取完全复制法的投资策略，即完全按照标的指数的成份股组成及其权重构建基金股票投资组合，并根据标的指数成份股及其权</w:t>
      </w:r>
      <w:r>
        <w:rPr>
          <w:color w:val="000000"/>
          <w:sz w:val="24"/>
          <w:szCs w:val="24"/>
        </w:rPr>
        <w:lastRenderedPageBreak/>
        <w:t>重的变动而进行相应调整。</w:t>
      </w:r>
    </w:p>
    <w:p w:rsidR="00C93889" w:rsidRDefault="0083666A">
      <w:pPr>
        <w:spacing w:line="360" w:lineRule="auto"/>
        <w:ind w:firstLineChars="200" w:firstLine="480"/>
        <w:rPr>
          <w:color w:val="000000"/>
          <w:sz w:val="24"/>
          <w:szCs w:val="24"/>
        </w:rPr>
      </w:pPr>
      <w:r>
        <w:rPr>
          <w:color w:val="000000"/>
          <w:sz w:val="24"/>
          <w:szCs w:val="24"/>
        </w:rPr>
        <w:t>2019</w:t>
      </w:r>
      <w:r>
        <w:rPr>
          <w:color w:val="000000"/>
          <w:sz w:val="24"/>
          <w:szCs w:val="24"/>
        </w:rPr>
        <w:t>年第三季度，科创板推出提升了市场对高新技术产业的风险偏好，虽然中美贸易摩擦多有反复，但资金对此已有充分预期。受益于以</w:t>
      </w:r>
      <w:r>
        <w:rPr>
          <w:color w:val="000000"/>
          <w:sz w:val="24"/>
          <w:szCs w:val="24"/>
        </w:rPr>
        <w:t>5G</w:t>
      </w:r>
      <w:r>
        <w:rPr>
          <w:color w:val="000000"/>
          <w:sz w:val="24"/>
          <w:szCs w:val="24"/>
        </w:rPr>
        <w:t>为代表的科技产业的发展，科技行业成为市场热点。尽管在</w:t>
      </w:r>
      <w:r>
        <w:rPr>
          <w:color w:val="000000"/>
          <w:sz w:val="24"/>
          <w:szCs w:val="24"/>
        </w:rPr>
        <w:t>9</w:t>
      </w:r>
      <w:r>
        <w:rPr>
          <w:color w:val="000000"/>
          <w:sz w:val="24"/>
          <w:szCs w:val="24"/>
        </w:rPr>
        <w:t>月后半月，出现了资金获利了结的现象，但市场整体依然在国庆节前表现平稳。</w:t>
      </w:r>
    </w:p>
    <w:p w:rsidR="00C93889" w:rsidRDefault="0083666A">
      <w:pPr>
        <w:spacing w:line="360" w:lineRule="auto"/>
        <w:ind w:firstLineChars="200" w:firstLine="480"/>
        <w:rPr>
          <w:color w:val="000000"/>
          <w:sz w:val="24"/>
          <w:szCs w:val="24"/>
        </w:rPr>
      </w:pPr>
      <w:r>
        <w:rPr>
          <w:color w:val="000000"/>
          <w:sz w:val="24"/>
          <w:szCs w:val="24"/>
        </w:rPr>
        <w:t>报告期内，国内经济数据表现一般，以汽车为代表的消费类产业走低。在资金面上，央行启动了利率</w:t>
      </w:r>
      <w:r>
        <w:rPr>
          <w:color w:val="000000"/>
          <w:sz w:val="24"/>
          <w:szCs w:val="24"/>
        </w:rPr>
        <w:t>LPR</w:t>
      </w:r>
      <w:r>
        <w:rPr>
          <w:color w:val="000000"/>
          <w:sz w:val="24"/>
          <w:szCs w:val="24"/>
        </w:rPr>
        <w:t>改革，推进利率市场化，降低实体经济利率水平，资金在政策引导下，逐渐向实体转移。</w:t>
      </w:r>
    </w:p>
    <w:p w:rsidR="00C93889" w:rsidRDefault="0083666A">
      <w:pPr>
        <w:spacing w:line="360" w:lineRule="auto"/>
        <w:ind w:firstLineChars="200" w:firstLine="480"/>
        <w:rPr>
          <w:color w:val="000000"/>
          <w:sz w:val="24"/>
          <w:szCs w:val="24"/>
        </w:rPr>
      </w:pPr>
      <w:r>
        <w:rPr>
          <w:color w:val="000000"/>
          <w:sz w:val="24"/>
          <w:szCs w:val="24"/>
        </w:rPr>
        <w:t>在经济逐步减速的背景下，企业盈利增长越来越成为驱动股票表现核心因素，估值波动的驱动力</w:t>
      </w:r>
      <w:r>
        <w:rPr>
          <w:color w:val="000000"/>
          <w:sz w:val="24"/>
          <w:szCs w:val="24"/>
        </w:rPr>
        <w:t>相对减弱。投资者要注意挑选具备核心竞争力和充足现金流的公司，这类企业更能扛住经济波动，从行业竞争格局的改变中获利。</w:t>
      </w:r>
    </w:p>
    <w:p w:rsidR="00C93889" w:rsidRDefault="0083666A">
      <w:pPr>
        <w:spacing w:line="360" w:lineRule="auto"/>
        <w:ind w:firstLineChars="200" w:firstLine="480"/>
        <w:rPr>
          <w:color w:val="000000"/>
          <w:sz w:val="24"/>
          <w:szCs w:val="24"/>
        </w:rPr>
      </w:pPr>
      <w:r>
        <w:rPr>
          <w:color w:val="000000"/>
          <w:sz w:val="24"/>
          <w:szCs w:val="24"/>
        </w:rPr>
        <w:t>报告期内，本产品的运作形式按照基金合同约定，从分级基金转换成上市式开放式基金（</w:t>
      </w:r>
      <w:r>
        <w:rPr>
          <w:color w:val="000000"/>
          <w:sz w:val="24"/>
          <w:szCs w:val="24"/>
        </w:rPr>
        <w:t>LOF</w:t>
      </w:r>
      <w:r>
        <w:rPr>
          <w:color w:val="000000"/>
          <w:sz w:val="24"/>
          <w:szCs w:val="24"/>
        </w:rPr>
        <w:t>），在深圳证券交易所上市。转换完成后，投资目标、投资策略、投资范围、投资限制、投资管理程序等保持不变。</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基金运作层面，报告期内，本基金严守基金合同认真对待投资者申购、赎回以及成分股调整事项，保障基金的正常运作。</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C93889" w:rsidRDefault="0083666A">
      <w:pPr>
        <w:spacing w:line="360" w:lineRule="auto"/>
        <w:ind w:firstLineChars="200" w:firstLine="480"/>
        <w:rPr>
          <w:color w:val="000000"/>
          <w:sz w:val="24"/>
          <w:szCs w:val="24"/>
        </w:rPr>
      </w:pPr>
      <w:r>
        <w:rPr>
          <w:color w:val="000000"/>
          <w:sz w:val="24"/>
          <w:szCs w:val="24"/>
        </w:rPr>
        <w:t>截至报告期末，本基金份额净值为</w:t>
      </w:r>
      <w:r>
        <w:rPr>
          <w:color w:val="000000"/>
          <w:sz w:val="24"/>
          <w:szCs w:val="24"/>
        </w:rPr>
        <w:t>0.9648</w:t>
      </w:r>
      <w:r>
        <w:rPr>
          <w:color w:val="000000"/>
          <w:sz w:val="24"/>
          <w:szCs w:val="24"/>
        </w:rPr>
        <w:t>元，本报告期份额净值增长</w:t>
      </w:r>
      <w:r>
        <w:rPr>
          <w:color w:val="000000"/>
          <w:sz w:val="24"/>
          <w:szCs w:val="24"/>
        </w:rPr>
        <w:t>率为</w:t>
      </w:r>
      <w:r>
        <w:rPr>
          <w:color w:val="000000"/>
          <w:sz w:val="24"/>
          <w:szCs w:val="24"/>
        </w:rPr>
        <w:t>5.38%</w:t>
      </w:r>
      <w:r>
        <w:rPr>
          <w:color w:val="000000"/>
          <w:sz w:val="24"/>
          <w:szCs w:val="24"/>
        </w:rPr>
        <w:t>，同期业绩比较基准收益率为</w:t>
      </w:r>
      <w:r>
        <w:rPr>
          <w:color w:val="000000"/>
          <w:sz w:val="24"/>
          <w:szCs w:val="24"/>
        </w:rPr>
        <w:t>5.36%</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本报告期，本基金日跟踪偏离度的均值为</w:t>
      </w:r>
      <w:r w:rsidRPr="006C56AA">
        <w:rPr>
          <w:color w:val="000000"/>
          <w:sz w:val="24"/>
          <w:szCs w:val="24"/>
        </w:rPr>
        <w:t>0.02%</w:t>
      </w:r>
      <w:r w:rsidRPr="006C56AA">
        <w:rPr>
          <w:color w:val="000000"/>
          <w:sz w:val="24"/>
          <w:szCs w:val="24"/>
        </w:rPr>
        <w:t>，年化跟踪误差</w:t>
      </w:r>
      <w:r w:rsidRPr="006C56AA">
        <w:rPr>
          <w:color w:val="000000"/>
          <w:sz w:val="24"/>
          <w:szCs w:val="24"/>
        </w:rPr>
        <w:t>0.44%</w:t>
      </w:r>
      <w:r w:rsidRPr="006C56AA">
        <w:rPr>
          <w:color w:val="000000"/>
          <w:sz w:val="24"/>
          <w:szCs w:val="24"/>
        </w:rPr>
        <w:t>，在合同规定的目标控制范围之内。</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373,488,250.43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72.18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373,488,250.43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72.18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131,223,747.14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25.36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12,701,704.34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2.45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517,413,701.91</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11,938,902.00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3.00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227,996,080.98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57.27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2,945,306.00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0.74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5,056,012.78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10,191,761.84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9,272,865.80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44,752,812.58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11.24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32,050,247.59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8.05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2,957,028.12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0.74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14,928,790.00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3.75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lastRenderedPageBreak/>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2,422,603.00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0.61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6,337,354.24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2,638,485.50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0.66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373,488,250.43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93.81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93889">
        <w:tc>
          <w:tcPr>
            <w:tcW w:w="851" w:type="dxa"/>
            <w:vAlign w:val="center"/>
          </w:tcPr>
          <w:p w:rsidR="00C93889" w:rsidRDefault="0083666A">
            <w:pPr>
              <w:jc w:val="center"/>
            </w:pPr>
            <w:r>
              <w:rPr>
                <w:color w:val="000000"/>
                <w:kern w:val="0"/>
                <w:sz w:val="24"/>
                <w:szCs w:val="24"/>
              </w:rPr>
              <w:t>1</w:t>
            </w:r>
          </w:p>
        </w:tc>
        <w:tc>
          <w:tcPr>
            <w:tcW w:w="1276" w:type="dxa"/>
            <w:vAlign w:val="center"/>
          </w:tcPr>
          <w:p w:rsidR="00C93889" w:rsidRDefault="0083666A">
            <w:pPr>
              <w:jc w:val="center"/>
            </w:pPr>
            <w:r>
              <w:rPr>
                <w:color w:val="000000"/>
                <w:kern w:val="0"/>
                <w:sz w:val="24"/>
                <w:szCs w:val="24"/>
              </w:rPr>
              <w:t>002415</w:t>
            </w:r>
          </w:p>
        </w:tc>
        <w:tc>
          <w:tcPr>
            <w:tcW w:w="1418" w:type="dxa"/>
            <w:vAlign w:val="center"/>
          </w:tcPr>
          <w:p w:rsidR="00C93889" w:rsidRDefault="0083666A">
            <w:pPr>
              <w:jc w:val="center"/>
            </w:pPr>
            <w:r>
              <w:rPr>
                <w:color w:val="000000"/>
                <w:kern w:val="0"/>
                <w:sz w:val="24"/>
                <w:szCs w:val="24"/>
              </w:rPr>
              <w:t>海康威视</w:t>
            </w:r>
          </w:p>
        </w:tc>
        <w:tc>
          <w:tcPr>
            <w:tcW w:w="1701" w:type="dxa"/>
            <w:vAlign w:val="center"/>
          </w:tcPr>
          <w:p w:rsidR="00C93889" w:rsidRDefault="0083666A">
            <w:pPr>
              <w:jc w:val="right"/>
            </w:pPr>
            <w:r>
              <w:rPr>
                <w:color w:val="000000"/>
                <w:kern w:val="0"/>
                <w:sz w:val="24"/>
                <w:szCs w:val="24"/>
              </w:rPr>
              <w:t>724,211</w:t>
            </w:r>
          </w:p>
        </w:tc>
        <w:tc>
          <w:tcPr>
            <w:tcW w:w="1984" w:type="dxa"/>
            <w:vAlign w:val="center"/>
          </w:tcPr>
          <w:p w:rsidR="00C93889" w:rsidRDefault="0083666A">
            <w:pPr>
              <w:jc w:val="right"/>
            </w:pPr>
            <w:r>
              <w:rPr>
                <w:color w:val="000000"/>
                <w:kern w:val="0"/>
                <w:sz w:val="24"/>
                <w:szCs w:val="24"/>
              </w:rPr>
              <w:t>23,392,015.30</w:t>
            </w:r>
          </w:p>
        </w:tc>
        <w:tc>
          <w:tcPr>
            <w:tcW w:w="1559" w:type="dxa"/>
            <w:vAlign w:val="center"/>
          </w:tcPr>
          <w:p w:rsidR="00C93889" w:rsidRDefault="0083666A">
            <w:pPr>
              <w:jc w:val="right"/>
            </w:pPr>
            <w:r>
              <w:rPr>
                <w:color w:val="000000"/>
                <w:kern w:val="0"/>
                <w:sz w:val="24"/>
                <w:szCs w:val="24"/>
              </w:rPr>
              <w:t>5.88</w:t>
            </w:r>
          </w:p>
        </w:tc>
      </w:tr>
      <w:tr w:rsidR="00C93889">
        <w:tc>
          <w:tcPr>
            <w:tcW w:w="851" w:type="dxa"/>
            <w:vAlign w:val="center"/>
          </w:tcPr>
          <w:p w:rsidR="00C93889" w:rsidRDefault="0083666A">
            <w:pPr>
              <w:jc w:val="center"/>
            </w:pPr>
            <w:r>
              <w:rPr>
                <w:color w:val="000000"/>
                <w:kern w:val="0"/>
                <w:sz w:val="24"/>
                <w:szCs w:val="24"/>
              </w:rPr>
              <w:t>2</w:t>
            </w:r>
          </w:p>
        </w:tc>
        <w:tc>
          <w:tcPr>
            <w:tcW w:w="1276" w:type="dxa"/>
            <w:vAlign w:val="center"/>
          </w:tcPr>
          <w:p w:rsidR="00C93889" w:rsidRDefault="0083666A">
            <w:pPr>
              <w:jc w:val="center"/>
            </w:pPr>
            <w:r>
              <w:rPr>
                <w:color w:val="000000"/>
                <w:kern w:val="0"/>
                <w:sz w:val="24"/>
                <w:szCs w:val="24"/>
              </w:rPr>
              <w:t>002475</w:t>
            </w:r>
          </w:p>
        </w:tc>
        <w:tc>
          <w:tcPr>
            <w:tcW w:w="1418" w:type="dxa"/>
            <w:vAlign w:val="center"/>
          </w:tcPr>
          <w:p w:rsidR="00C93889" w:rsidRDefault="0083666A">
            <w:pPr>
              <w:jc w:val="center"/>
            </w:pPr>
            <w:r>
              <w:rPr>
                <w:color w:val="000000"/>
                <w:kern w:val="0"/>
                <w:sz w:val="24"/>
                <w:szCs w:val="24"/>
              </w:rPr>
              <w:t>立讯精密</w:t>
            </w:r>
          </w:p>
        </w:tc>
        <w:tc>
          <w:tcPr>
            <w:tcW w:w="1701" w:type="dxa"/>
            <w:vAlign w:val="center"/>
          </w:tcPr>
          <w:p w:rsidR="00C93889" w:rsidRDefault="0083666A">
            <w:pPr>
              <w:jc w:val="right"/>
            </w:pPr>
            <w:r>
              <w:rPr>
                <w:color w:val="000000"/>
                <w:kern w:val="0"/>
                <w:sz w:val="24"/>
                <w:szCs w:val="24"/>
              </w:rPr>
              <w:t>653,473</w:t>
            </w:r>
          </w:p>
        </w:tc>
        <w:tc>
          <w:tcPr>
            <w:tcW w:w="1984" w:type="dxa"/>
            <w:vAlign w:val="center"/>
          </w:tcPr>
          <w:p w:rsidR="00C93889" w:rsidRDefault="0083666A">
            <w:pPr>
              <w:jc w:val="right"/>
            </w:pPr>
            <w:r>
              <w:rPr>
                <w:color w:val="000000"/>
                <w:kern w:val="0"/>
                <w:sz w:val="24"/>
                <w:szCs w:val="24"/>
              </w:rPr>
              <w:t>17,486,937.48</w:t>
            </w:r>
          </w:p>
        </w:tc>
        <w:tc>
          <w:tcPr>
            <w:tcW w:w="1559" w:type="dxa"/>
            <w:vAlign w:val="center"/>
          </w:tcPr>
          <w:p w:rsidR="00C93889" w:rsidRDefault="0083666A">
            <w:pPr>
              <w:jc w:val="right"/>
            </w:pPr>
            <w:r>
              <w:rPr>
                <w:color w:val="000000"/>
                <w:kern w:val="0"/>
                <w:sz w:val="24"/>
                <w:szCs w:val="24"/>
              </w:rPr>
              <w:t>4.39</w:t>
            </w:r>
          </w:p>
        </w:tc>
      </w:tr>
      <w:tr w:rsidR="00C93889">
        <w:tc>
          <w:tcPr>
            <w:tcW w:w="851" w:type="dxa"/>
            <w:vAlign w:val="center"/>
          </w:tcPr>
          <w:p w:rsidR="00C93889" w:rsidRDefault="0083666A">
            <w:pPr>
              <w:jc w:val="center"/>
            </w:pPr>
            <w:r>
              <w:rPr>
                <w:color w:val="000000"/>
                <w:kern w:val="0"/>
                <w:sz w:val="24"/>
                <w:szCs w:val="24"/>
              </w:rPr>
              <w:t>3</w:t>
            </w:r>
          </w:p>
        </w:tc>
        <w:tc>
          <w:tcPr>
            <w:tcW w:w="1276" w:type="dxa"/>
            <w:vAlign w:val="center"/>
          </w:tcPr>
          <w:p w:rsidR="00C93889" w:rsidRDefault="0083666A">
            <w:pPr>
              <w:jc w:val="center"/>
            </w:pPr>
            <w:r>
              <w:rPr>
                <w:color w:val="000000"/>
                <w:kern w:val="0"/>
                <w:sz w:val="24"/>
                <w:szCs w:val="24"/>
              </w:rPr>
              <w:t>002142</w:t>
            </w:r>
          </w:p>
        </w:tc>
        <w:tc>
          <w:tcPr>
            <w:tcW w:w="1418" w:type="dxa"/>
            <w:vAlign w:val="center"/>
          </w:tcPr>
          <w:p w:rsidR="00C93889" w:rsidRDefault="0083666A">
            <w:pPr>
              <w:jc w:val="center"/>
            </w:pPr>
            <w:r>
              <w:rPr>
                <w:color w:val="000000"/>
                <w:kern w:val="0"/>
                <w:sz w:val="24"/>
                <w:szCs w:val="24"/>
              </w:rPr>
              <w:t>宁波银行</w:t>
            </w:r>
          </w:p>
        </w:tc>
        <w:tc>
          <w:tcPr>
            <w:tcW w:w="1701" w:type="dxa"/>
            <w:vAlign w:val="center"/>
          </w:tcPr>
          <w:p w:rsidR="00C93889" w:rsidRDefault="0083666A">
            <w:pPr>
              <w:jc w:val="right"/>
            </w:pPr>
            <w:r>
              <w:rPr>
                <w:color w:val="000000"/>
                <w:kern w:val="0"/>
                <w:sz w:val="24"/>
                <w:szCs w:val="24"/>
              </w:rPr>
              <w:t>519,963</w:t>
            </w:r>
          </w:p>
        </w:tc>
        <w:tc>
          <w:tcPr>
            <w:tcW w:w="1984" w:type="dxa"/>
            <w:vAlign w:val="center"/>
          </w:tcPr>
          <w:p w:rsidR="00C93889" w:rsidRDefault="0083666A">
            <w:pPr>
              <w:jc w:val="right"/>
            </w:pPr>
            <w:r>
              <w:rPr>
                <w:color w:val="000000"/>
                <w:kern w:val="0"/>
                <w:sz w:val="24"/>
                <w:szCs w:val="24"/>
              </w:rPr>
              <w:t>13,108,267.23</w:t>
            </w:r>
          </w:p>
        </w:tc>
        <w:tc>
          <w:tcPr>
            <w:tcW w:w="1559" w:type="dxa"/>
            <w:vAlign w:val="center"/>
          </w:tcPr>
          <w:p w:rsidR="00C93889" w:rsidRDefault="0083666A">
            <w:pPr>
              <w:jc w:val="right"/>
            </w:pPr>
            <w:r>
              <w:rPr>
                <w:color w:val="000000"/>
                <w:kern w:val="0"/>
                <w:sz w:val="24"/>
                <w:szCs w:val="24"/>
              </w:rPr>
              <w:t>3.29</w:t>
            </w:r>
          </w:p>
        </w:tc>
      </w:tr>
      <w:tr w:rsidR="00C93889">
        <w:tc>
          <w:tcPr>
            <w:tcW w:w="851" w:type="dxa"/>
            <w:vAlign w:val="center"/>
          </w:tcPr>
          <w:p w:rsidR="00C93889" w:rsidRDefault="0083666A">
            <w:pPr>
              <w:jc w:val="center"/>
            </w:pPr>
            <w:r>
              <w:rPr>
                <w:color w:val="000000"/>
                <w:kern w:val="0"/>
                <w:sz w:val="24"/>
                <w:szCs w:val="24"/>
              </w:rPr>
              <w:t>4</w:t>
            </w:r>
          </w:p>
        </w:tc>
        <w:tc>
          <w:tcPr>
            <w:tcW w:w="1276" w:type="dxa"/>
            <w:vAlign w:val="center"/>
          </w:tcPr>
          <w:p w:rsidR="00C93889" w:rsidRDefault="0083666A">
            <w:pPr>
              <w:jc w:val="center"/>
            </w:pPr>
            <w:r>
              <w:rPr>
                <w:color w:val="000000"/>
                <w:kern w:val="0"/>
                <w:sz w:val="24"/>
                <w:szCs w:val="24"/>
              </w:rPr>
              <w:t>002027</w:t>
            </w:r>
          </w:p>
        </w:tc>
        <w:tc>
          <w:tcPr>
            <w:tcW w:w="1418" w:type="dxa"/>
            <w:vAlign w:val="center"/>
          </w:tcPr>
          <w:p w:rsidR="00C93889" w:rsidRDefault="0083666A">
            <w:pPr>
              <w:jc w:val="center"/>
            </w:pPr>
            <w:r>
              <w:rPr>
                <w:color w:val="000000"/>
                <w:kern w:val="0"/>
                <w:sz w:val="24"/>
                <w:szCs w:val="24"/>
              </w:rPr>
              <w:t>分众传媒</w:t>
            </w:r>
          </w:p>
        </w:tc>
        <w:tc>
          <w:tcPr>
            <w:tcW w:w="1701" w:type="dxa"/>
            <w:vAlign w:val="center"/>
          </w:tcPr>
          <w:p w:rsidR="00C93889" w:rsidRDefault="0083666A">
            <w:pPr>
              <w:jc w:val="right"/>
            </w:pPr>
            <w:r>
              <w:rPr>
                <w:color w:val="000000"/>
                <w:kern w:val="0"/>
                <w:sz w:val="24"/>
                <w:szCs w:val="24"/>
              </w:rPr>
              <w:t>2,281,148</w:t>
            </w:r>
          </w:p>
        </w:tc>
        <w:tc>
          <w:tcPr>
            <w:tcW w:w="1984" w:type="dxa"/>
            <w:vAlign w:val="center"/>
          </w:tcPr>
          <w:p w:rsidR="00C93889" w:rsidRDefault="0083666A">
            <w:pPr>
              <w:jc w:val="right"/>
            </w:pPr>
            <w:r>
              <w:rPr>
                <w:color w:val="000000"/>
                <w:kern w:val="0"/>
                <w:sz w:val="24"/>
                <w:szCs w:val="24"/>
              </w:rPr>
              <w:t>11,976,027.00</w:t>
            </w:r>
          </w:p>
        </w:tc>
        <w:tc>
          <w:tcPr>
            <w:tcW w:w="1559" w:type="dxa"/>
            <w:vAlign w:val="center"/>
          </w:tcPr>
          <w:p w:rsidR="00C93889" w:rsidRDefault="0083666A">
            <w:pPr>
              <w:jc w:val="right"/>
            </w:pPr>
            <w:r>
              <w:rPr>
                <w:color w:val="000000"/>
                <w:kern w:val="0"/>
                <w:sz w:val="24"/>
                <w:szCs w:val="24"/>
              </w:rPr>
              <w:t>3.01</w:t>
            </w:r>
          </w:p>
        </w:tc>
      </w:tr>
      <w:tr w:rsidR="00C93889">
        <w:tc>
          <w:tcPr>
            <w:tcW w:w="851" w:type="dxa"/>
            <w:vAlign w:val="center"/>
          </w:tcPr>
          <w:p w:rsidR="00C93889" w:rsidRDefault="0083666A">
            <w:pPr>
              <w:jc w:val="center"/>
            </w:pPr>
            <w:r>
              <w:rPr>
                <w:color w:val="000000"/>
                <w:kern w:val="0"/>
                <w:sz w:val="24"/>
                <w:szCs w:val="24"/>
              </w:rPr>
              <w:t>5</w:t>
            </w:r>
          </w:p>
        </w:tc>
        <w:tc>
          <w:tcPr>
            <w:tcW w:w="1276" w:type="dxa"/>
            <w:vAlign w:val="center"/>
          </w:tcPr>
          <w:p w:rsidR="00C93889" w:rsidRDefault="0083666A">
            <w:pPr>
              <w:jc w:val="center"/>
            </w:pPr>
            <w:r>
              <w:rPr>
                <w:color w:val="000000"/>
                <w:kern w:val="0"/>
                <w:sz w:val="24"/>
                <w:szCs w:val="24"/>
              </w:rPr>
              <w:t>002304</w:t>
            </w:r>
          </w:p>
        </w:tc>
        <w:tc>
          <w:tcPr>
            <w:tcW w:w="1418" w:type="dxa"/>
            <w:vAlign w:val="center"/>
          </w:tcPr>
          <w:p w:rsidR="00C93889" w:rsidRDefault="0083666A">
            <w:pPr>
              <w:jc w:val="center"/>
            </w:pPr>
            <w:r>
              <w:rPr>
                <w:color w:val="000000"/>
                <w:kern w:val="0"/>
                <w:sz w:val="24"/>
                <w:szCs w:val="24"/>
              </w:rPr>
              <w:t>洋河股份</w:t>
            </w:r>
          </w:p>
        </w:tc>
        <w:tc>
          <w:tcPr>
            <w:tcW w:w="1701" w:type="dxa"/>
            <w:vAlign w:val="center"/>
          </w:tcPr>
          <w:p w:rsidR="00C93889" w:rsidRDefault="0083666A">
            <w:pPr>
              <w:jc w:val="right"/>
            </w:pPr>
            <w:r>
              <w:rPr>
                <w:color w:val="000000"/>
                <w:kern w:val="0"/>
                <w:sz w:val="24"/>
                <w:szCs w:val="24"/>
              </w:rPr>
              <w:t>114,737</w:t>
            </w:r>
          </w:p>
        </w:tc>
        <w:tc>
          <w:tcPr>
            <w:tcW w:w="1984" w:type="dxa"/>
            <w:vAlign w:val="center"/>
          </w:tcPr>
          <w:p w:rsidR="00C93889" w:rsidRDefault="0083666A">
            <w:pPr>
              <w:jc w:val="right"/>
            </w:pPr>
            <w:r>
              <w:rPr>
                <w:color w:val="000000"/>
                <w:kern w:val="0"/>
                <w:sz w:val="24"/>
                <w:szCs w:val="24"/>
              </w:rPr>
              <w:t>11,932,648.00</w:t>
            </w:r>
          </w:p>
        </w:tc>
        <w:tc>
          <w:tcPr>
            <w:tcW w:w="1559" w:type="dxa"/>
            <w:vAlign w:val="center"/>
          </w:tcPr>
          <w:p w:rsidR="00C93889" w:rsidRDefault="0083666A">
            <w:pPr>
              <w:jc w:val="right"/>
            </w:pPr>
            <w:r>
              <w:rPr>
                <w:color w:val="000000"/>
                <w:kern w:val="0"/>
                <w:sz w:val="24"/>
                <w:szCs w:val="24"/>
              </w:rPr>
              <w:t>3.00</w:t>
            </w:r>
          </w:p>
        </w:tc>
      </w:tr>
      <w:tr w:rsidR="00C93889">
        <w:tc>
          <w:tcPr>
            <w:tcW w:w="851" w:type="dxa"/>
            <w:vAlign w:val="center"/>
          </w:tcPr>
          <w:p w:rsidR="00C93889" w:rsidRDefault="0083666A">
            <w:pPr>
              <w:jc w:val="center"/>
            </w:pPr>
            <w:r>
              <w:rPr>
                <w:color w:val="000000"/>
                <w:kern w:val="0"/>
                <w:sz w:val="24"/>
                <w:szCs w:val="24"/>
              </w:rPr>
              <w:t>6</w:t>
            </w:r>
          </w:p>
        </w:tc>
        <w:tc>
          <w:tcPr>
            <w:tcW w:w="1276" w:type="dxa"/>
            <w:vAlign w:val="center"/>
          </w:tcPr>
          <w:p w:rsidR="00C93889" w:rsidRDefault="0083666A">
            <w:pPr>
              <w:jc w:val="center"/>
            </w:pPr>
            <w:r>
              <w:rPr>
                <w:color w:val="000000"/>
                <w:kern w:val="0"/>
                <w:sz w:val="24"/>
                <w:szCs w:val="24"/>
              </w:rPr>
              <w:t>002230</w:t>
            </w:r>
          </w:p>
        </w:tc>
        <w:tc>
          <w:tcPr>
            <w:tcW w:w="1418" w:type="dxa"/>
            <w:vAlign w:val="center"/>
          </w:tcPr>
          <w:p w:rsidR="00C93889" w:rsidRDefault="0083666A">
            <w:pPr>
              <w:jc w:val="center"/>
            </w:pPr>
            <w:r>
              <w:rPr>
                <w:color w:val="000000"/>
                <w:kern w:val="0"/>
                <w:sz w:val="24"/>
                <w:szCs w:val="24"/>
              </w:rPr>
              <w:t>科大讯飞</w:t>
            </w:r>
          </w:p>
        </w:tc>
        <w:tc>
          <w:tcPr>
            <w:tcW w:w="1701" w:type="dxa"/>
            <w:vAlign w:val="center"/>
          </w:tcPr>
          <w:p w:rsidR="00C93889" w:rsidRDefault="0083666A">
            <w:pPr>
              <w:jc w:val="right"/>
            </w:pPr>
            <w:r>
              <w:rPr>
                <w:color w:val="000000"/>
                <w:kern w:val="0"/>
                <w:sz w:val="24"/>
                <w:szCs w:val="24"/>
              </w:rPr>
              <w:t>324,985</w:t>
            </w:r>
          </w:p>
        </w:tc>
        <w:tc>
          <w:tcPr>
            <w:tcW w:w="1984" w:type="dxa"/>
            <w:vAlign w:val="center"/>
          </w:tcPr>
          <w:p w:rsidR="00C93889" w:rsidRDefault="0083666A">
            <w:pPr>
              <w:jc w:val="right"/>
            </w:pPr>
            <w:r>
              <w:rPr>
                <w:color w:val="000000"/>
                <w:kern w:val="0"/>
                <w:sz w:val="24"/>
                <w:szCs w:val="24"/>
              </w:rPr>
              <w:t>10,354,022.10</w:t>
            </w:r>
          </w:p>
        </w:tc>
        <w:tc>
          <w:tcPr>
            <w:tcW w:w="1559" w:type="dxa"/>
            <w:vAlign w:val="center"/>
          </w:tcPr>
          <w:p w:rsidR="00C93889" w:rsidRDefault="0083666A">
            <w:pPr>
              <w:jc w:val="right"/>
            </w:pPr>
            <w:r>
              <w:rPr>
                <w:color w:val="000000"/>
                <w:kern w:val="0"/>
                <w:sz w:val="24"/>
                <w:szCs w:val="24"/>
              </w:rPr>
              <w:t>2.60</w:t>
            </w:r>
          </w:p>
        </w:tc>
      </w:tr>
      <w:tr w:rsidR="00C93889">
        <w:tc>
          <w:tcPr>
            <w:tcW w:w="851" w:type="dxa"/>
            <w:vAlign w:val="center"/>
          </w:tcPr>
          <w:p w:rsidR="00C93889" w:rsidRDefault="0083666A">
            <w:pPr>
              <w:jc w:val="center"/>
            </w:pPr>
            <w:r>
              <w:rPr>
                <w:color w:val="000000"/>
                <w:kern w:val="0"/>
                <w:sz w:val="24"/>
                <w:szCs w:val="24"/>
              </w:rPr>
              <w:t>7</w:t>
            </w:r>
          </w:p>
        </w:tc>
        <w:tc>
          <w:tcPr>
            <w:tcW w:w="1276" w:type="dxa"/>
            <w:vAlign w:val="center"/>
          </w:tcPr>
          <w:p w:rsidR="00C93889" w:rsidRDefault="0083666A">
            <w:pPr>
              <w:jc w:val="center"/>
            </w:pPr>
            <w:r>
              <w:rPr>
                <w:color w:val="000000"/>
                <w:kern w:val="0"/>
                <w:sz w:val="24"/>
                <w:szCs w:val="24"/>
              </w:rPr>
              <w:t>002714</w:t>
            </w:r>
          </w:p>
        </w:tc>
        <w:tc>
          <w:tcPr>
            <w:tcW w:w="1418" w:type="dxa"/>
            <w:vAlign w:val="center"/>
          </w:tcPr>
          <w:p w:rsidR="00C93889" w:rsidRDefault="0083666A">
            <w:pPr>
              <w:jc w:val="center"/>
            </w:pPr>
            <w:r>
              <w:rPr>
                <w:color w:val="000000"/>
                <w:kern w:val="0"/>
                <w:sz w:val="24"/>
                <w:szCs w:val="24"/>
              </w:rPr>
              <w:t>牧原股份</w:t>
            </w:r>
          </w:p>
        </w:tc>
        <w:tc>
          <w:tcPr>
            <w:tcW w:w="1701" w:type="dxa"/>
            <w:vAlign w:val="center"/>
          </w:tcPr>
          <w:p w:rsidR="00C93889" w:rsidRDefault="0083666A">
            <w:pPr>
              <w:jc w:val="right"/>
            </w:pPr>
            <w:r>
              <w:rPr>
                <w:color w:val="000000"/>
                <w:kern w:val="0"/>
                <w:sz w:val="24"/>
                <w:szCs w:val="24"/>
              </w:rPr>
              <w:t>138,320</w:t>
            </w:r>
          </w:p>
        </w:tc>
        <w:tc>
          <w:tcPr>
            <w:tcW w:w="1984" w:type="dxa"/>
            <w:vAlign w:val="center"/>
          </w:tcPr>
          <w:p w:rsidR="00C93889" w:rsidRDefault="0083666A">
            <w:pPr>
              <w:jc w:val="right"/>
            </w:pPr>
            <w:r>
              <w:rPr>
                <w:color w:val="000000"/>
                <w:kern w:val="0"/>
                <w:sz w:val="24"/>
                <w:szCs w:val="24"/>
              </w:rPr>
              <w:t>9,751,560.00</w:t>
            </w:r>
          </w:p>
        </w:tc>
        <w:tc>
          <w:tcPr>
            <w:tcW w:w="1559" w:type="dxa"/>
            <w:vAlign w:val="center"/>
          </w:tcPr>
          <w:p w:rsidR="00C93889" w:rsidRDefault="0083666A">
            <w:pPr>
              <w:jc w:val="right"/>
            </w:pPr>
            <w:r>
              <w:rPr>
                <w:color w:val="000000"/>
                <w:kern w:val="0"/>
                <w:sz w:val="24"/>
                <w:szCs w:val="24"/>
              </w:rPr>
              <w:t>2.45</w:t>
            </w:r>
          </w:p>
        </w:tc>
      </w:tr>
      <w:tr w:rsidR="00C93889">
        <w:tc>
          <w:tcPr>
            <w:tcW w:w="851" w:type="dxa"/>
            <w:vAlign w:val="center"/>
          </w:tcPr>
          <w:p w:rsidR="00C93889" w:rsidRDefault="0083666A">
            <w:pPr>
              <w:jc w:val="center"/>
            </w:pPr>
            <w:r>
              <w:rPr>
                <w:color w:val="000000"/>
                <w:kern w:val="0"/>
                <w:sz w:val="24"/>
                <w:szCs w:val="24"/>
              </w:rPr>
              <w:t>8</w:t>
            </w:r>
          </w:p>
        </w:tc>
        <w:tc>
          <w:tcPr>
            <w:tcW w:w="1276" w:type="dxa"/>
            <w:vAlign w:val="center"/>
          </w:tcPr>
          <w:p w:rsidR="00C93889" w:rsidRDefault="0083666A">
            <w:pPr>
              <w:jc w:val="center"/>
            </w:pPr>
            <w:r>
              <w:rPr>
                <w:color w:val="000000"/>
                <w:kern w:val="0"/>
                <w:sz w:val="24"/>
                <w:szCs w:val="24"/>
              </w:rPr>
              <w:t>002594</w:t>
            </w:r>
          </w:p>
        </w:tc>
        <w:tc>
          <w:tcPr>
            <w:tcW w:w="1418" w:type="dxa"/>
            <w:vAlign w:val="center"/>
          </w:tcPr>
          <w:p w:rsidR="00C93889" w:rsidRDefault="0083666A">
            <w:pPr>
              <w:jc w:val="center"/>
            </w:pPr>
            <w:r>
              <w:rPr>
                <w:color w:val="000000"/>
                <w:kern w:val="0"/>
                <w:sz w:val="24"/>
                <w:szCs w:val="24"/>
              </w:rPr>
              <w:t>比亚迪</w:t>
            </w:r>
          </w:p>
        </w:tc>
        <w:tc>
          <w:tcPr>
            <w:tcW w:w="1701" w:type="dxa"/>
            <w:vAlign w:val="center"/>
          </w:tcPr>
          <w:p w:rsidR="00C93889" w:rsidRDefault="0083666A">
            <w:pPr>
              <w:jc w:val="right"/>
            </w:pPr>
            <w:r>
              <w:rPr>
                <w:color w:val="000000"/>
                <w:kern w:val="0"/>
                <w:sz w:val="24"/>
                <w:szCs w:val="24"/>
              </w:rPr>
              <w:t>170,948</w:t>
            </w:r>
          </w:p>
        </w:tc>
        <w:tc>
          <w:tcPr>
            <w:tcW w:w="1984" w:type="dxa"/>
            <w:vAlign w:val="center"/>
          </w:tcPr>
          <w:p w:rsidR="00C93889" w:rsidRDefault="0083666A">
            <w:pPr>
              <w:jc w:val="right"/>
            </w:pPr>
            <w:r>
              <w:rPr>
                <w:color w:val="000000"/>
                <w:kern w:val="0"/>
                <w:sz w:val="24"/>
                <w:szCs w:val="24"/>
              </w:rPr>
              <w:t>8,338,843.44</w:t>
            </w:r>
          </w:p>
        </w:tc>
        <w:tc>
          <w:tcPr>
            <w:tcW w:w="1559" w:type="dxa"/>
            <w:vAlign w:val="center"/>
          </w:tcPr>
          <w:p w:rsidR="00C93889" w:rsidRDefault="0083666A">
            <w:pPr>
              <w:jc w:val="right"/>
            </w:pPr>
            <w:r>
              <w:rPr>
                <w:color w:val="000000"/>
                <w:kern w:val="0"/>
                <w:sz w:val="24"/>
                <w:szCs w:val="24"/>
              </w:rPr>
              <w:t>2.09</w:t>
            </w:r>
          </w:p>
        </w:tc>
      </w:tr>
      <w:tr w:rsidR="00C93889">
        <w:tc>
          <w:tcPr>
            <w:tcW w:w="851" w:type="dxa"/>
            <w:vAlign w:val="center"/>
          </w:tcPr>
          <w:p w:rsidR="00C93889" w:rsidRDefault="0083666A">
            <w:pPr>
              <w:jc w:val="center"/>
            </w:pPr>
            <w:r>
              <w:rPr>
                <w:color w:val="000000"/>
                <w:kern w:val="0"/>
                <w:sz w:val="24"/>
                <w:szCs w:val="24"/>
              </w:rPr>
              <w:t>9</w:t>
            </w:r>
          </w:p>
        </w:tc>
        <w:tc>
          <w:tcPr>
            <w:tcW w:w="1276" w:type="dxa"/>
            <w:vAlign w:val="center"/>
          </w:tcPr>
          <w:p w:rsidR="00C93889" w:rsidRDefault="0083666A">
            <w:pPr>
              <w:jc w:val="center"/>
            </w:pPr>
            <w:r>
              <w:rPr>
                <w:color w:val="000000"/>
                <w:kern w:val="0"/>
                <w:sz w:val="24"/>
                <w:szCs w:val="24"/>
              </w:rPr>
              <w:t>002024</w:t>
            </w:r>
          </w:p>
        </w:tc>
        <w:tc>
          <w:tcPr>
            <w:tcW w:w="1418" w:type="dxa"/>
            <w:vAlign w:val="center"/>
          </w:tcPr>
          <w:p w:rsidR="00C93889" w:rsidRDefault="0083666A">
            <w:pPr>
              <w:jc w:val="center"/>
            </w:pPr>
            <w:r>
              <w:rPr>
                <w:color w:val="000000"/>
                <w:kern w:val="0"/>
                <w:sz w:val="24"/>
                <w:szCs w:val="24"/>
              </w:rPr>
              <w:t>苏宁易购</w:t>
            </w:r>
          </w:p>
        </w:tc>
        <w:tc>
          <w:tcPr>
            <w:tcW w:w="1701" w:type="dxa"/>
            <w:vAlign w:val="center"/>
          </w:tcPr>
          <w:p w:rsidR="00C93889" w:rsidRDefault="0083666A">
            <w:pPr>
              <w:jc w:val="right"/>
            </w:pPr>
            <w:r>
              <w:rPr>
                <w:color w:val="000000"/>
                <w:kern w:val="0"/>
                <w:sz w:val="24"/>
                <w:szCs w:val="24"/>
              </w:rPr>
              <w:t>709,594</w:t>
            </w:r>
          </w:p>
        </w:tc>
        <w:tc>
          <w:tcPr>
            <w:tcW w:w="1984" w:type="dxa"/>
            <w:vAlign w:val="center"/>
          </w:tcPr>
          <w:p w:rsidR="00C93889" w:rsidRDefault="0083666A">
            <w:pPr>
              <w:jc w:val="right"/>
            </w:pPr>
            <w:r>
              <w:rPr>
                <w:color w:val="000000"/>
                <w:kern w:val="0"/>
                <w:sz w:val="24"/>
                <w:szCs w:val="24"/>
              </w:rPr>
              <w:t>7,351,393.84</w:t>
            </w:r>
          </w:p>
        </w:tc>
        <w:tc>
          <w:tcPr>
            <w:tcW w:w="1559" w:type="dxa"/>
            <w:vAlign w:val="center"/>
          </w:tcPr>
          <w:p w:rsidR="00C93889" w:rsidRDefault="0083666A">
            <w:pPr>
              <w:jc w:val="right"/>
            </w:pPr>
            <w:r>
              <w:rPr>
                <w:color w:val="000000"/>
                <w:kern w:val="0"/>
                <w:sz w:val="24"/>
                <w:szCs w:val="24"/>
              </w:rPr>
              <w:t>1.85</w:t>
            </w:r>
          </w:p>
        </w:tc>
      </w:tr>
      <w:tr w:rsidR="00C93889">
        <w:tc>
          <w:tcPr>
            <w:tcW w:w="851" w:type="dxa"/>
            <w:vAlign w:val="center"/>
          </w:tcPr>
          <w:p w:rsidR="00C93889" w:rsidRDefault="0083666A">
            <w:pPr>
              <w:jc w:val="center"/>
            </w:pPr>
            <w:r>
              <w:rPr>
                <w:color w:val="000000"/>
                <w:kern w:val="0"/>
                <w:sz w:val="24"/>
                <w:szCs w:val="24"/>
              </w:rPr>
              <w:t>10</w:t>
            </w:r>
          </w:p>
        </w:tc>
        <w:tc>
          <w:tcPr>
            <w:tcW w:w="1276" w:type="dxa"/>
            <w:vAlign w:val="center"/>
          </w:tcPr>
          <w:p w:rsidR="00C93889" w:rsidRDefault="0083666A">
            <w:pPr>
              <w:jc w:val="center"/>
            </w:pPr>
            <w:r>
              <w:rPr>
                <w:color w:val="000000"/>
                <w:kern w:val="0"/>
                <w:sz w:val="24"/>
                <w:szCs w:val="24"/>
              </w:rPr>
              <w:t>002241</w:t>
            </w:r>
          </w:p>
        </w:tc>
        <w:tc>
          <w:tcPr>
            <w:tcW w:w="1418" w:type="dxa"/>
            <w:vAlign w:val="center"/>
          </w:tcPr>
          <w:p w:rsidR="00C93889" w:rsidRDefault="0083666A">
            <w:pPr>
              <w:jc w:val="center"/>
            </w:pPr>
            <w:r>
              <w:rPr>
                <w:color w:val="000000"/>
                <w:kern w:val="0"/>
                <w:sz w:val="24"/>
                <w:szCs w:val="24"/>
              </w:rPr>
              <w:t>歌尔股份</w:t>
            </w:r>
          </w:p>
        </w:tc>
        <w:tc>
          <w:tcPr>
            <w:tcW w:w="1701" w:type="dxa"/>
            <w:vAlign w:val="center"/>
          </w:tcPr>
          <w:p w:rsidR="00C93889" w:rsidRDefault="0083666A">
            <w:pPr>
              <w:jc w:val="right"/>
            </w:pPr>
            <w:r>
              <w:rPr>
                <w:color w:val="000000"/>
                <w:kern w:val="0"/>
                <w:sz w:val="24"/>
                <w:szCs w:val="24"/>
              </w:rPr>
              <w:t>400,864</w:t>
            </w:r>
          </w:p>
        </w:tc>
        <w:tc>
          <w:tcPr>
            <w:tcW w:w="1984" w:type="dxa"/>
            <w:vAlign w:val="center"/>
          </w:tcPr>
          <w:p w:rsidR="00C93889" w:rsidRDefault="0083666A">
            <w:pPr>
              <w:jc w:val="right"/>
            </w:pPr>
            <w:r>
              <w:rPr>
                <w:color w:val="000000"/>
                <w:kern w:val="0"/>
                <w:sz w:val="24"/>
                <w:szCs w:val="24"/>
              </w:rPr>
              <w:t>7,047,189.12</w:t>
            </w:r>
          </w:p>
        </w:tc>
        <w:tc>
          <w:tcPr>
            <w:tcW w:w="1559" w:type="dxa"/>
            <w:vAlign w:val="center"/>
          </w:tcPr>
          <w:p w:rsidR="00C93889" w:rsidRDefault="0083666A">
            <w:pPr>
              <w:jc w:val="right"/>
            </w:pPr>
            <w:r>
              <w:rPr>
                <w:color w:val="000000"/>
                <w:kern w:val="0"/>
                <w:sz w:val="24"/>
                <w:szCs w:val="24"/>
              </w:rPr>
              <w:t>1.77</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lastRenderedPageBreak/>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5.11.12018年12月13日，宁波银监局针对宁波银行个人贷款资金违规流入房市、购买理财的违法违规事实，处以人民币20万元的行政处罚。</w:t>
      </w:r>
    </w:p>
    <w:p w:rsidR="00C93889" w:rsidRDefault="0083666A">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3</w:t>
      </w:r>
      <w:r>
        <w:rPr>
          <w:rFonts w:ascii="宋体" w:hAnsi="宋体"/>
          <w:color w:val="000000"/>
          <w:sz w:val="24"/>
          <w:szCs w:val="24"/>
        </w:rPr>
        <w:t>月</w:t>
      </w:r>
      <w:r>
        <w:rPr>
          <w:rFonts w:ascii="宋体" w:hAnsi="宋体"/>
          <w:color w:val="000000"/>
          <w:sz w:val="24"/>
          <w:szCs w:val="24"/>
        </w:rPr>
        <w:t>3</w:t>
      </w:r>
      <w:r>
        <w:rPr>
          <w:rFonts w:ascii="宋体" w:hAnsi="宋体"/>
          <w:color w:val="000000"/>
          <w:sz w:val="24"/>
          <w:szCs w:val="24"/>
        </w:rPr>
        <w:t>日，宁波银保监局针对宁波银行违规将同业存款变为一般性存款的违法违规事实，处以人民币</w:t>
      </w:r>
      <w:r>
        <w:rPr>
          <w:rFonts w:ascii="宋体" w:hAnsi="宋体"/>
          <w:color w:val="000000"/>
          <w:sz w:val="24"/>
          <w:szCs w:val="24"/>
        </w:rPr>
        <w:t>20</w:t>
      </w:r>
      <w:r>
        <w:rPr>
          <w:rFonts w:ascii="宋体" w:hAnsi="宋体"/>
          <w:color w:val="000000"/>
          <w:sz w:val="24"/>
          <w:szCs w:val="24"/>
        </w:rPr>
        <w:t>万元的行政处罚。</w:t>
      </w:r>
    </w:p>
    <w:p w:rsidR="00C93889" w:rsidRDefault="0083666A">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w:t>
      </w:r>
      <w:r>
        <w:rPr>
          <w:rFonts w:ascii="宋体" w:hAnsi="宋体"/>
          <w:color w:val="000000"/>
          <w:sz w:val="24"/>
          <w:szCs w:val="24"/>
        </w:rPr>
        <w:t>28</w:t>
      </w:r>
      <w:r>
        <w:rPr>
          <w:rFonts w:ascii="宋体" w:hAnsi="宋体"/>
          <w:color w:val="000000"/>
          <w:sz w:val="24"/>
          <w:szCs w:val="24"/>
        </w:rPr>
        <w:t>日，宁波银保监局针对宁波银行违反信贷政策、违反房地产行业政策、违规开展存贷业务、员工管理不到位、向监管部门报送的报表不准确等违法违规事实，处以人民币</w:t>
      </w:r>
      <w:r>
        <w:rPr>
          <w:rFonts w:ascii="宋体" w:hAnsi="宋体"/>
          <w:color w:val="000000"/>
          <w:sz w:val="24"/>
          <w:szCs w:val="24"/>
        </w:rPr>
        <w:t>270</w:t>
      </w:r>
      <w:r>
        <w:rPr>
          <w:rFonts w:ascii="宋体" w:hAnsi="宋体"/>
          <w:color w:val="000000"/>
          <w:sz w:val="24"/>
          <w:szCs w:val="24"/>
        </w:rPr>
        <w:t>万元的行政处罚。</w:t>
      </w:r>
    </w:p>
    <w:p w:rsidR="00C93889" w:rsidRDefault="0083666A">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w:t>
      </w:r>
      <w:r>
        <w:rPr>
          <w:rFonts w:ascii="宋体" w:hAnsi="宋体"/>
          <w:color w:val="000000"/>
          <w:sz w:val="24"/>
          <w:szCs w:val="24"/>
        </w:rPr>
        <w:t>28</w:t>
      </w:r>
      <w:r>
        <w:rPr>
          <w:rFonts w:ascii="宋体" w:hAnsi="宋体"/>
          <w:color w:val="000000"/>
          <w:sz w:val="24"/>
          <w:szCs w:val="24"/>
        </w:rPr>
        <w:t>日，宁波银保监局针对宁波银行销售行为不合规、双录管理不到位的违法违规事实，处以人民币</w:t>
      </w:r>
      <w:r>
        <w:rPr>
          <w:rFonts w:ascii="宋体" w:hAnsi="宋体"/>
          <w:color w:val="000000"/>
          <w:sz w:val="24"/>
          <w:szCs w:val="24"/>
        </w:rPr>
        <w:t>30</w:t>
      </w:r>
      <w:r>
        <w:rPr>
          <w:rFonts w:ascii="宋体" w:hAnsi="宋体"/>
          <w:color w:val="000000"/>
          <w:sz w:val="24"/>
          <w:szCs w:val="24"/>
        </w:rPr>
        <w:t>万元的行政处罚。</w:t>
      </w:r>
    </w:p>
    <w:p w:rsidR="00C93889" w:rsidRDefault="0083666A">
      <w:pPr>
        <w:spacing w:line="360" w:lineRule="auto"/>
        <w:rPr>
          <w:rFonts w:ascii="宋体" w:hAnsi="宋体"/>
          <w:color w:val="000000"/>
          <w:sz w:val="24"/>
          <w:szCs w:val="24"/>
        </w:rPr>
      </w:pPr>
      <w:r>
        <w:rPr>
          <w:rFonts w:ascii="宋体" w:hAnsi="宋体"/>
          <w:color w:val="000000"/>
          <w:sz w:val="24"/>
          <w:szCs w:val="24"/>
        </w:rPr>
        <w:t>本基金为指数型基金，上述股票系标的指数成份股，上述股票的投资决策程序符合公司投资制度的规定。除宁波银行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73,892.98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12,289,379.95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8,166.66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315,264.75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15,000.00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12,701,704.34</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lastRenderedPageBreak/>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976,439,535.88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16,107,946.93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511,232,243.43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-68,693,790.38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412,621,449.00</w:t>
            </w:r>
          </w:p>
        </w:tc>
      </w:tr>
    </w:tbl>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注：拆分变动份额包括折算调整份额。</w:t>
      </w:r>
    </w:p>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影响投资者决策的其他重要信息</w:t>
      </w:r>
    </w:p>
    <w:p w:rsidR="00750D48" w:rsidRPr="004B7A92" w:rsidRDefault="001F5F5D" w:rsidP="001F5F5D">
      <w:pPr>
        <w:spacing w:line="360" w:lineRule="auto"/>
        <w:ind w:firstLineChars="200" w:firstLine="480"/>
        <w:rPr>
          <w:color w:val="000000"/>
          <w:sz w:val="24"/>
          <w:szCs w:val="24"/>
        </w:rPr>
      </w:pPr>
      <w:r w:rsidRPr="00FC0759">
        <w:rPr>
          <w:rFonts w:eastAsiaTheme="minorEastAsia"/>
          <w:color w:val="000000" w:themeColor="text1"/>
          <w:sz w:val="24"/>
          <w:szCs w:val="24"/>
        </w:rPr>
        <w:t>根据《易方达中小板指数分级证券投资基金基金合同》的规定，本基金到期份额折算基准日为第七个分级运作周年的最后一个工作日（即</w:t>
      </w:r>
      <w:r w:rsidRPr="00FC0759">
        <w:rPr>
          <w:rFonts w:eastAsiaTheme="minorEastAsia"/>
          <w:color w:val="000000" w:themeColor="text1"/>
          <w:sz w:val="24"/>
          <w:szCs w:val="24"/>
        </w:rPr>
        <w:t>2019</w:t>
      </w:r>
      <w:r w:rsidRPr="00FC0759">
        <w:rPr>
          <w:rFonts w:eastAsiaTheme="minorEastAsia"/>
          <w:color w:val="000000" w:themeColor="text1"/>
          <w:sz w:val="24"/>
          <w:szCs w:val="24"/>
        </w:rPr>
        <w:t>年</w:t>
      </w:r>
      <w:r w:rsidRPr="00FC0759">
        <w:rPr>
          <w:rFonts w:eastAsiaTheme="minorEastAsia"/>
          <w:color w:val="000000" w:themeColor="text1"/>
          <w:sz w:val="24"/>
          <w:szCs w:val="24"/>
        </w:rPr>
        <w:t>9</w:t>
      </w:r>
      <w:r w:rsidRPr="00FC0759">
        <w:rPr>
          <w:rFonts w:eastAsiaTheme="minorEastAsia"/>
          <w:color w:val="000000" w:themeColor="text1"/>
          <w:sz w:val="24"/>
          <w:szCs w:val="24"/>
        </w:rPr>
        <w:t>月</w:t>
      </w:r>
      <w:r w:rsidRPr="00FC0759">
        <w:rPr>
          <w:rFonts w:eastAsiaTheme="minorEastAsia"/>
          <w:color w:val="000000" w:themeColor="text1"/>
          <w:sz w:val="24"/>
          <w:szCs w:val="24"/>
        </w:rPr>
        <w:t>19</w:t>
      </w:r>
      <w:r w:rsidRPr="00FC0759">
        <w:rPr>
          <w:rFonts w:eastAsiaTheme="minorEastAsia"/>
          <w:color w:val="000000" w:themeColor="text1"/>
          <w:sz w:val="24"/>
          <w:szCs w:val="24"/>
        </w:rPr>
        <w:t>日）。在到期份额折算基准日日终，易基中小板</w:t>
      </w:r>
      <w:r w:rsidRPr="00FC0759">
        <w:rPr>
          <w:rFonts w:eastAsiaTheme="minorEastAsia"/>
          <w:color w:val="000000" w:themeColor="text1"/>
          <w:sz w:val="24"/>
          <w:szCs w:val="24"/>
        </w:rPr>
        <w:t>A</w:t>
      </w:r>
      <w:r w:rsidRPr="00FC0759">
        <w:rPr>
          <w:rFonts w:eastAsiaTheme="minorEastAsia"/>
          <w:color w:val="000000" w:themeColor="text1"/>
          <w:sz w:val="24"/>
          <w:szCs w:val="24"/>
        </w:rPr>
        <w:t>类份额和易基中小板</w:t>
      </w:r>
      <w:r w:rsidRPr="00FC0759">
        <w:rPr>
          <w:rFonts w:eastAsiaTheme="minorEastAsia"/>
          <w:color w:val="000000" w:themeColor="text1"/>
          <w:sz w:val="24"/>
          <w:szCs w:val="24"/>
        </w:rPr>
        <w:t>B</w:t>
      </w:r>
      <w:r w:rsidRPr="00FC0759">
        <w:rPr>
          <w:rFonts w:eastAsiaTheme="minorEastAsia"/>
          <w:color w:val="000000" w:themeColor="text1"/>
          <w:sz w:val="24"/>
          <w:szCs w:val="24"/>
        </w:rPr>
        <w:t>类份额按各自的基金份额参考净值折算为面值为</w:t>
      </w:r>
      <w:r w:rsidRPr="00FC0759">
        <w:rPr>
          <w:rFonts w:eastAsiaTheme="minorEastAsia"/>
          <w:color w:val="000000" w:themeColor="text1"/>
          <w:sz w:val="24"/>
          <w:szCs w:val="24"/>
        </w:rPr>
        <w:t>1.0000</w:t>
      </w:r>
      <w:r w:rsidRPr="00FC0759">
        <w:rPr>
          <w:rFonts w:eastAsiaTheme="minorEastAsia"/>
          <w:color w:val="000000" w:themeColor="text1"/>
          <w:sz w:val="24"/>
          <w:szCs w:val="24"/>
        </w:rPr>
        <w:t>元的场内易方达中小板指数（</w:t>
      </w:r>
      <w:r w:rsidRPr="00FC0759">
        <w:rPr>
          <w:rFonts w:eastAsiaTheme="minorEastAsia"/>
          <w:color w:val="000000" w:themeColor="text1"/>
          <w:sz w:val="24"/>
          <w:szCs w:val="24"/>
        </w:rPr>
        <w:t>LOF</w:t>
      </w:r>
      <w:r w:rsidRPr="00FC0759">
        <w:rPr>
          <w:rFonts w:eastAsiaTheme="minorEastAsia"/>
          <w:color w:val="000000" w:themeColor="text1"/>
          <w:sz w:val="24"/>
          <w:szCs w:val="24"/>
        </w:rPr>
        <w:t>）份额，易基中小板份额则按折算后</w:t>
      </w:r>
      <w:r w:rsidRPr="00FC0759">
        <w:rPr>
          <w:rFonts w:eastAsiaTheme="minorEastAsia"/>
          <w:color w:val="000000" w:themeColor="text1"/>
          <w:sz w:val="24"/>
          <w:szCs w:val="24"/>
        </w:rPr>
        <w:t>1.0000</w:t>
      </w:r>
      <w:r w:rsidRPr="00FC0759">
        <w:rPr>
          <w:rFonts w:eastAsiaTheme="minorEastAsia"/>
          <w:color w:val="000000" w:themeColor="text1"/>
          <w:sz w:val="24"/>
          <w:szCs w:val="24"/>
        </w:rPr>
        <w:t>元的基金份额净值进行折算。折算完成后，本基金无需召开基金份额持有人大会，于</w:t>
      </w:r>
      <w:r w:rsidRPr="00FC0759">
        <w:rPr>
          <w:rFonts w:eastAsiaTheme="minorEastAsia"/>
          <w:color w:val="000000" w:themeColor="text1"/>
          <w:sz w:val="24"/>
          <w:szCs w:val="24"/>
        </w:rPr>
        <w:t>2019</w:t>
      </w:r>
      <w:r w:rsidRPr="00FC0759">
        <w:rPr>
          <w:rFonts w:eastAsiaTheme="minorEastAsia"/>
          <w:color w:val="000000" w:themeColor="text1"/>
          <w:sz w:val="24"/>
          <w:szCs w:val="24"/>
        </w:rPr>
        <w:t>年</w:t>
      </w:r>
      <w:r w:rsidRPr="00FC0759">
        <w:rPr>
          <w:rFonts w:eastAsiaTheme="minorEastAsia"/>
          <w:color w:val="000000" w:themeColor="text1"/>
          <w:sz w:val="24"/>
          <w:szCs w:val="24"/>
        </w:rPr>
        <w:t>9</w:t>
      </w:r>
      <w:r w:rsidRPr="00FC0759">
        <w:rPr>
          <w:rFonts w:eastAsiaTheme="minorEastAsia"/>
          <w:color w:val="000000" w:themeColor="text1"/>
          <w:sz w:val="24"/>
          <w:szCs w:val="24"/>
        </w:rPr>
        <w:t>月</w:t>
      </w:r>
      <w:r w:rsidRPr="00FC0759">
        <w:rPr>
          <w:rFonts w:eastAsiaTheme="minorEastAsia"/>
          <w:color w:val="000000" w:themeColor="text1"/>
          <w:sz w:val="24"/>
          <w:szCs w:val="24"/>
        </w:rPr>
        <w:t>20</w:t>
      </w:r>
      <w:r w:rsidRPr="00FC0759">
        <w:rPr>
          <w:rFonts w:eastAsiaTheme="minorEastAsia"/>
          <w:color w:val="000000" w:themeColor="text1"/>
          <w:sz w:val="24"/>
          <w:szCs w:val="24"/>
        </w:rPr>
        <w:t>日自动转换为上市开放式基金（</w:t>
      </w:r>
      <w:r w:rsidRPr="00FC0759">
        <w:rPr>
          <w:rFonts w:eastAsiaTheme="minorEastAsia"/>
          <w:color w:val="000000" w:themeColor="text1"/>
          <w:sz w:val="24"/>
          <w:szCs w:val="24"/>
        </w:rPr>
        <w:t>LOF</w:t>
      </w:r>
      <w:r w:rsidRPr="00FC0759">
        <w:rPr>
          <w:rFonts w:eastAsiaTheme="minorEastAsia"/>
          <w:color w:val="000000" w:themeColor="text1"/>
          <w:sz w:val="24"/>
          <w:szCs w:val="24"/>
        </w:rPr>
        <w:t>），基金名称变更为</w:t>
      </w:r>
      <w:r w:rsidRPr="00FC0759">
        <w:rPr>
          <w:rFonts w:eastAsiaTheme="minorEastAsia"/>
          <w:color w:val="000000" w:themeColor="text1"/>
          <w:sz w:val="24"/>
          <w:szCs w:val="24"/>
        </w:rPr>
        <w:t>“</w:t>
      </w:r>
      <w:r w:rsidRPr="00FC0759">
        <w:rPr>
          <w:rFonts w:eastAsiaTheme="minorEastAsia"/>
          <w:color w:val="000000" w:themeColor="text1"/>
          <w:sz w:val="24"/>
          <w:szCs w:val="24"/>
        </w:rPr>
        <w:t>易方达中小板指数证券投资基金</w:t>
      </w:r>
      <w:r w:rsidRPr="00FC0759">
        <w:rPr>
          <w:rFonts w:eastAsiaTheme="minorEastAsia"/>
          <w:color w:val="000000" w:themeColor="text1"/>
          <w:sz w:val="24"/>
          <w:szCs w:val="24"/>
        </w:rPr>
        <w:lastRenderedPageBreak/>
        <w:t>（</w:t>
      </w:r>
      <w:r w:rsidRPr="00FC0759">
        <w:rPr>
          <w:rFonts w:eastAsiaTheme="minorEastAsia"/>
          <w:color w:val="000000" w:themeColor="text1"/>
          <w:sz w:val="24"/>
          <w:szCs w:val="24"/>
        </w:rPr>
        <w:t>LOF</w:t>
      </w:r>
      <w:r w:rsidRPr="00FC0759">
        <w:rPr>
          <w:rFonts w:eastAsiaTheme="minorEastAsia"/>
          <w:color w:val="000000" w:themeColor="text1"/>
          <w:sz w:val="24"/>
          <w:szCs w:val="24"/>
        </w:rPr>
        <w:t>）</w:t>
      </w:r>
      <w:r w:rsidRPr="00FC0759">
        <w:rPr>
          <w:rFonts w:eastAsiaTheme="minorEastAsia"/>
          <w:color w:val="000000" w:themeColor="text1"/>
          <w:sz w:val="24"/>
          <w:szCs w:val="24"/>
        </w:rPr>
        <w:t>”</w:t>
      </w:r>
      <w:r w:rsidRPr="00FC0759">
        <w:rPr>
          <w:rFonts w:eastAsiaTheme="minorEastAsia"/>
          <w:color w:val="000000" w:themeColor="text1"/>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C93889" w:rsidRDefault="0083666A">
      <w:pPr>
        <w:spacing w:line="360" w:lineRule="auto"/>
        <w:ind w:firstLineChars="200" w:firstLine="480"/>
        <w:rPr>
          <w:color w:val="000000"/>
          <w:sz w:val="24"/>
          <w:szCs w:val="24"/>
        </w:rPr>
      </w:pPr>
      <w:r>
        <w:rPr>
          <w:color w:val="000000"/>
          <w:sz w:val="24"/>
          <w:szCs w:val="24"/>
        </w:rPr>
        <w:t xml:space="preserve">1. </w:t>
      </w:r>
      <w:r>
        <w:rPr>
          <w:color w:val="000000"/>
          <w:sz w:val="24"/>
          <w:szCs w:val="24"/>
        </w:rPr>
        <w:t>中国证监会核准易方达中小板指数分级证券投资基金募集的文件；</w:t>
      </w:r>
    </w:p>
    <w:p w:rsidR="00C93889" w:rsidRDefault="0083666A">
      <w:pPr>
        <w:spacing w:line="360" w:lineRule="auto"/>
        <w:ind w:firstLineChars="200" w:firstLine="480"/>
        <w:rPr>
          <w:color w:val="000000"/>
          <w:sz w:val="24"/>
          <w:szCs w:val="24"/>
        </w:rPr>
      </w:pPr>
      <w:r>
        <w:rPr>
          <w:color w:val="000000"/>
          <w:sz w:val="24"/>
          <w:szCs w:val="24"/>
        </w:rPr>
        <w:t xml:space="preserve">2. </w:t>
      </w:r>
      <w:r>
        <w:rPr>
          <w:color w:val="000000"/>
          <w:sz w:val="24"/>
          <w:szCs w:val="24"/>
        </w:rPr>
        <w:t>《易方达中小板指数证券投资基金（</w:t>
      </w:r>
      <w:r>
        <w:rPr>
          <w:color w:val="000000"/>
          <w:sz w:val="24"/>
          <w:szCs w:val="24"/>
        </w:rPr>
        <w:t>LOF</w:t>
      </w:r>
      <w:r>
        <w:rPr>
          <w:color w:val="000000"/>
          <w:sz w:val="24"/>
          <w:szCs w:val="24"/>
        </w:rPr>
        <w:t>）基金合同》；</w:t>
      </w:r>
    </w:p>
    <w:p w:rsidR="00C93889" w:rsidRDefault="0083666A">
      <w:pPr>
        <w:spacing w:line="360" w:lineRule="auto"/>
        <w:ind w:firstLineChars="200" w:firstLine="480"/>
        <w:rPr>
          <w:color w:val="000000"/>
          <w:sz w:val="24"/>
          <w:szCs w:val="24"/>
        </w:rPr>
      </w:pPr>
      <w:r>
        <w:rPr>
          <w:color w:val="000000"/>
          <w:sz w:val="24"/>
          <w:szCs w:val="24"/>
        </w:rPr>
        <w:t xml:space="preserve">3. </w:t>
      </w:r>
      <w:r>
        <w:rPr>
          <w:color w:val="000000"/>
          <w:sz w:val="24"/>
          <w:szCs w:val="24"/>
        </w:rPr>
        <w:t>《易方达中小板指数证券投资基金（</w:t>
      </w:r>
      <w:r>
        <w:rPr>
          <w:color w:val="000000"/>
          <w:sz w:val="24"/>
          <w:szCs w:val="24"/>
        </w:rPr>
        <w:t>LOF</w:t>
      </w:r>
      <w:r>
        <w:rPr>
          <w:color w:val="000000"/>
          <w:sz w:val="24"/>
          <w:szCs w:val="24"/>
        </w:rPr>
        <w:t>）托管协议》；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 xml:space="preserve">4. </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3666A">
      <w:rPr>
        <w:rStyle w:val="a7"/>
        <w:noProof/>
      </w:rPr>
      <w:t>1</w:t>
    </w:r>
    <w:r>
      <w:rPr>
        <w:rStyle w:val="a7"/>
      </w:rPr>
      <w:fldChar w:fldCharType="end"/>
    </w:r>
    <w:r>
      <w:rPr>
        <w:rStyle w:val="a7"/>
        <w:rFonts w:hint="eastAsia"/>
      </w:rPr>
      <w:t>页共</w:t>
    </w:r>
    <w:r w:rsidR="0083666A">
      <w:fldChar w:fldCharType="begin"/>
    </w:r>
    <w:r w:rsidR="0083666A">
      <w:instrText xml:space="preserve"> NUMPAGES  \* Arabic  \* MERGEFORMAT </w:instrText>
    </w:r>
    <w:r w:rsidR="0083666A">
      <w:fldChar w:fldCharType="separate"/>
    </w:r>
    <w:r w:rsidR="0083666A" w:rsidRPr="0083666A">
      <w:rPr>
        <w:rStyle w:val="a7"/>
        <w:noProof/>
      </w:rPr>
      <w:t>4</w:t>
    </w:r>
    <w:r w:rsidR="0083666A">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3666A">
      <w:rPr>
        <w:rStyle w:val="a7"/>
        <w:noProof/>
      </w:rPr>
      <w:t>2</w:t>
    </w:r>
    <w:r>
      <w:rPr>
        <w:rStyle w:val="a7"/>
      </w:rPr>
      <w:fldChar w:fldCharType="end"/>
    </w:r>
    <w:r>
      <w:rPr>
        <w:rStyle w:val="a7"/>
        <w:rFonts w:hint="eastAsia"/>
      </w:rPr>
      <w:t>页共</w:t>
    </w:r>
    <w:fldSimple w:instr=" NUMPAGES  \* Arabic  \* MERGEFORMAT ">
      <w:r w:rsidR="0083666A" w:rsidRPr="0083666A">
        <w:rPr>
          <w:rStyle w:val="a7"/>
          <w:noProof/>
        </w:rPr>
        <w:t>4</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易方达中小板指数证券投资基金（</w:t>
    </w:r>
    <w:r w:rsidRPr="00093704">
      <w:t>LOF</w:t>
    </w:r>
    <w:r w:rsidRPr="00093704">
      <w:t>）</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666A"/>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93889"/>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A7D7-DC85-4D2B-9C72-4920BCAD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4</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2019-10-21T02:31:00Z</cp:lastPrinted>
  <dcterms:created xsi:type="dcterms:W3CDTF">2012-10-16T06:07:00Z</dcterms:created>
  <dcterms:modified xsi:type="dcterms:W3CDTF">2019-10-21T02:31:00Z</dcterms:modified>
</cp:coreProperties>
</file>