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易方达永旭添利定期开放债券型证券投资基金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326BB1" w:rsidRDefault="00795916">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326BB1" w:rsidRDefault="00795916">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326BB1" w:rsidRDefault="00795916">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w:t>
      </w:r>
      <w:r>
        <w:rPr>
          <w:color w:val="000000"/>
          <w:sz w:val="24"/>
          <w:szCs w:val="24"/>
        </w:rPr>
        <w:t>利。</w:t>
      </w:r>
      <w:r>
        <w:rPr>
          <w:color w:val="000000"/>
          <w:sz w:val="24"/>
          <w:szCs w:val="24"/>
        </w:rPr>
        <w:t xml:space="preserve"> </w:t>
      </w:r>
    </w:p>
    <w:p w:rsidR="00326BB1" w:rsidRDefault="00795916">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326BB1" w:rsidRDefault="00795916">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易方达永旭定期开放债券</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易基永旭</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161117</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161117</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契约型开放式，本基金合同生效后，每封闭运作两年，集中开放一次申购和赎回</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2012</w:t>
            </w:r>
            <w:r w:rsidRPr="00232B03">
              <w:rPr>
                <w:color w:val="000000"/>
                <w:kern w:val="0"/>
                <w:sz w:val="24"/>
                <w:szCs w:val="24"/>
              </w:rPr>
              <w:t>年</w:t>
            </w:r>
            <w:r w:rsidRPr="00232B03">
              <w:rPr>
                <w:color w:val="000000"/>
                <w:kern w:val="0"/>
                <w:sz w:val="24"/>
                <w:szCs w:val="24"/>
              </w:rPr>
              <w:t>6</w:t>
            </w:r>
            <w:r w:rsidRPr="00232B03">
              <w:rPr>
                <w:color w:val="000000"/>
                <w:kern w:val="0"/>
                <w:sz w:val="24"/>
                <w:szCs w:val="24"/>
              </w:rPr>
              <w:t>月</w:t>
            </w:r>
            <w:r w:rsidRPr="00232B03">
              <w:rPr>
                <w:color w:val="000000"/>
                <w:kern w:val="0"/>
                <w:sz w:val="24"/>
                <w:szCs w:val="24"/>
              </w:rPr>
              <w:t>19</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1,249,121,371.59</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本基金力争为基金持有人提供持续稳定的高于业绩比较基准的收益，实现基金资产的长期增值。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326BB1" w:rsidRDefault="00795916">
            <w:pPr>
              <w:adjustRightInd w:val="0"/>
              <w:spacing w:before="29" w:line="360" w:lineRule="auto"/>
              <w:ind w:left="17"/>
              <w:jc w:val="left"/>
              <w:rPr>
                <w:color w:val="000000"/>
                <w:sz w:val="24"/>
                <w:szCs w:val="24"/>
              </w:rPr>
            </w:pPr>
            <w:r>
              <w:rPr>
                <w:color w:val="000000"/>
                <w:kern w:val="0"/>
                <w:sz w:val="24"/>
                <w:szCs w:val="24"/>
              </w:rPr>
              <w:t>本基金在封闭期与开放期将采取不同的投资策略，力争为基金持有人提供持续稳定的高于业绩比较基准的收益，实现基金资产的长期增值。</w:t>
            </w:r>
          </w:p>
          <w:p w:rsidR="00326BB1" w:rsidRDefault="00795916">
            <w:pPr>
              <w:adjustRightInd w:val="0"/>
              <w:spacing w:before="29" w:line="360" w:lineRule="auto"/>
              <w:ind w:left="17"/>
              <w:jc w:val="left"/>
              <w:rPr>
                <w:color w:val="000000"/>
                <w:sz w:val="24"/>
                <w:szCs w:val="24"/>
              </w:rPr>
            </w:pPr>
            <w:r>
              <w:rPr>
                <w:color w:val="000000"/>
                <w:kern w:val="0"/>
                <w:sz w:val="24"/>
                <w:szCs w:val="24"/>
              </w:rPr>
              <w:lastRenderedPageBreak/>
              <w:t>封闭期内，在遵循债券组合久期与封闭期适当匹配的基础上，本基金通过对宏观经济变量和宏观经济政策的分析，预测未来的市场利率、信用利差水平、利率期限结构的变化，并据此对债券组合进行调整，力争提高债券组合的总投资收益。</w:t>
            </w:r>
          </w:p>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开放期内，本基金为保持较高的组合流动性，方便投资人安排投资，在遵守本基金有关投资限制与投资比例的前提下，将主要投资于高流动性的投资品种，减小基金净值的波动。</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两年期银行定期存款收益率（税前）</w:t>
            </w:r>
            <w:r w:rsidRPr="00232B03">
              <w:rPr>
                <w:color w:val="000000"/>
                <w:kern w:val="0"/>
                <w:sz w:val="24"/>
                <w:szCs w:val="24"/>
              </w:rPr>
              <w:t>+0.5%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本基金为债券型基金，属证券投资基金中的较低风险品种，理论上其长期平均风险和预期收益率低于混合型基金、股票型基金，高于货币市场基金。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19,702,629.37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21,222,082.82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0.0170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1,350,079,721.23</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1.081</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326BB1" w:rsidRDefault="00795916">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326BB1">
        <w:tc>
          <w:tcPr>
            <w:tcW w:w="1395" w:type="dxa"/>
            <w:vAlign w:val="center"/>
          </w:tcPr>
          <w:p w:rsidR="00326BB1" w:rsidRDefault="00795916">
            <w:pPr>
              <w:jc w:val="left"/>
            </w:pPr>
            <w:r>
              <w:rPr>
                <w:color w:val="000000"/>
                <w:kern w:val="0"/>
                <w:sz w:val="24"/>
                <w:szCs w:val="24"/>
              </w:rPr>
              <w:t>过去三个月</w:t>
            </w:r>
          </w:p>
        </w:tc>
        <w:tc>
          <w:tcPr>
            <w:tcW w:w="1092" w:type="dxa"/>
            <w:vAlign w:val="center"/>
          </w:tcPr>
          <w:p w:rsidR="00326BB1" w:rsidRDefault="00795916">
            <w:pPr>
              <w:jc w:val="center"/>
            </w:pPr>
            <w:r>
              <w:rPr>
                <w:color w:val="000000"/>
                <w:kern w:val="0"/>
                <w:sz w:val="24"/>
                <w:szCs w:val="24"/>
              </w:rPr>
              <w:t>1.59%</w:t>
            </w:r>
          </w:p>
        </w:tc>
        <w:tc>
          <w:tcPr>
            <w:tcW w:w="1161" w:type="dxa"/>
            <w:vAlign w:val="center"/>
          </w:tcPr>
          <w:p w:rsidR="00326BB1" w:rsidRDefault="00795916">
            <w:pPr>
              <w:jc w:val="center"/>
            </w:pPr>
            <w:r>
              <w:rPr>
                <w:color w:val="000000"/>
                <w:kern w:val="0"/>
                <w:sz w:val="24"/>
                <w:szCs w:val="24"/>
              </w:rPr>
              <w:t>0.05%</w:t>
            </w:r>
          </w:p>
        </w:tc>
        <w:tc>
          <w:tcPr>
            <w:tcW w:w="1181" w:type="dxa"/>
            <w:vAlign w:val="center"/>
          </w:tcPr>
          <w:p w:rsidR="00326BB1" w:rsidRDefault="00795916">
            <w:pPr>
              <w:jc w:val="center"/>
            </w:pPr>
            <w:r>
              <w:rPr>
                <w:color w:val="000000"/>
                <w:kern w:val="0"/>
                <w:sz w:val="24"/>
                <w:szCs w:val="24"/>
              </w:rPr>
              <w:t>0.66%</w:t>
            </w:r>
          </w:p>
        </w:tc>
        <w:tc>
          <w:tcPr>
            <w:tcW w:w="1188" w:type="dxa"/>
            <w:vAlign w:val="center"/>
          </w:tcPr>
          <w:p w:rsidR="00326BB1" w:rsidRDefault="00795916">
            <w:pPr>
              <w:jc w:val="center"/>
            </w:pPr>
            <w:r>
              <w:rPr>
                <w:color w:val="000000"/>
                <w:kern w:val="0"/>
                <w:sz w:val="24"/>
                <w:szCs w:val="24"/>
              </w:rPr>
              <w:t>0.01%</w:t>
            </w:r>
          </w:p>
        </w:tc>
        <w:tc>
          <w:tcPr>
            <w:tcW w:w="1199" w:type="dxa"/>
            <w:vAlign w:val="center"/>
          </w:tcPr>
          <w:p w:rsidR="00326BB1" w:rsidRDefault="00795916">
            <w:pPr>
              <w:jc w:val="center"/>
            </w:pPr>
            <w:r>
              <w:rPr>
                <w:color w:val="000000"/>
                <w:kern w:val="0"/>
                <w:sz w:val="24"/>
                <w:szCs w:val="24"/>
              </w:rPr>
              <w:t>0.93%</w:t>
            </w:r>
          </w:p>
        </w:tc>
        <w:tc>
          <w:tcPr>
            <w:tcW w:w="1204" w:type="dxa"/>
            <w:vAlign w:val="center"/>
          </w:tcPr>
          <w:p w:rsidR="00326BB1" w:rsidRDefault="00795916">
            <w:pPr>
              <w:jc w:val="center"/>
            </w:pPr>
            <w:r>
              <w:rPr>
                <w:color w:val="000000"/>
                <w:kern w:val="0"/>
                <w:sz w:val="24"/>
                <w:szCs w:val="24"/>
              </w:rPr>
              <w:t>0.04%</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易方达永旭添利定期开放债券型证券投资基金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2012</w:t>
      </w:r>
      <w:r w:rsidRPr="0074694E">
        <w:rPr>
          <w:rFonts w:ascii="Times New Roman" w:hAnsi="Times New Roman"/>
          <w:sz w:val="24"/>
          <w:szCs w:val="24"/>
        </w:rPr>
        <w:t>年</w:t>
      </w:r>
      <w:r w:rsidRPr="0074694E">
        <w:rPr>
          <w:rFonts w:ascii="Times New Roman" w:hAnsi="Times New Roman"/>
          <w:sz w:val="24"/>
          <w:szCs w:val="24"/>
        </w:rPr>
        <w:t>6</w:t>
      </w:r>
      <w:r w:rsidRPr="0074694E">
        <w:rPr>
          <w:rFonts w:ascii="Times New Roman" w:hAnsi="Times New Roman"/>
          <w:sz w:val="24"/>
          <w:szCs w:val="24"/>
        </w:rPr>
        <w:t>月</w:t>
      </w:r>
      <w:r w:rsidRPr="0074694E">
        <w:rPr>
          <w:rFonts w:ascii="Times New Roman" w:hAnsi="Times New Roman"/>
          <w:sz w:val="24"/>
          <w:szCs w:val="24"/>
        </w:rPr>
        <w:t>19</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795916"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62.51%</w:t>
      </w:r>
      <w:r w:rsidRPr="006C56AA">
        <w:rPr>
          <w:color w:val="000000"/>
          <w:sz w:val="24"/>
          <w:szCs w:val="24"/>
        </w:rPr>
        <w:t>，同期业绩比较基准收益率为</w:t>
      </w:r>
      <w:r w:rsidRPr="006C56AA">
        <w:rPr>
          <w:color w:val="000000"/>
          <w:sz w:val="24"/>
          <w:szCs w:val="24"/>
        </w:rPr>
        <w:t>26.51%</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326BB1">
        <w:tc>
          <w:tcPr>
            <w:tcW w:w="567" w:type="dxa"/>
            <w:vAlign w:val="center"/>
          </w:tcPr>
          <w:p w:rsidR="00326BB1" w:rsidRDefault="00795916">
            <w:pPr>
              <w:jc w:val="center"/>
            </w:pPr>
            <w:r>
              <w:rPr>
                <w:color w:val="000000"/>
                <w:sz w:val="24"/>
              </w:rPr>
              <w:t>李一硕</w:t>
            </w:r>
          </w:p>
        </w:tc>
        <w:tc>
          <w:tcPr>
            <w:tcW w:w="2835" w:type="dxa"/>
            <w:vAlign w:val="center"/>
          </w:tcPr>
          <w:p w:rsidR="00326BB1" w:rsidRDefault="00795916">
            <w:pPr>
              <w:jc w:val="center"/>
            </w:pPr>
            <w:r>
              <w:rPr>
                <w:color w:val="000000"/>
                <w:sz w:val="24"/>
              </w:rPr>
              <w:t>本基金的基金经理、易方达裕如灵活配置混合型证券投资基金的基金经理、易方达新享灵活配置混合型证券投资基金的基金经理（自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日）、易方达新利灵活配置混合型证券投资基金的基金经理（自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日）、易方达瑞景灵活配置混合型证券投资基金的基金经理（自</w:t>
            </w:r>
            <w:r>
              <w:rPr>
                <w:color w:val="000000"/>
                <w:sz w:val="24"/>
              </w:rPr>
              <w:t>2016</w:t>
            </w:r>
            <w:r>
              <w:rPr>
                <w:color w:val="000000"/>
                <w:sz w:val="24"/>
              </w:rPr>
              <w:t>年</w:t>
            </w:r>
            <w:r>
              <w:rPr>
                <w:color w:val="000000"/>
                <w:sz w:val="24"/>
              </w:rPr>
              <w:t>08</w:t>
            </w:r>
            <w:r>
              <w:rPr>
                <w:color w:val="000000"/>
                <w:sz w:val="24"/>
              </w:rPr>
              <w:t>月</w:t>
            </w:r>
            <w:r>
              <w:rPr>
                <w:color w:val="000000"/>
                <w:sz w:val="24"/>
              </w:rPr>
              <w:t>06</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日）、易方达年年恒夏纯债一年定期开放债券型发起式证券投资基金的基金经理、易方达聚盈分级债券型发起式证券投资基金的基金经理、易方达恒益定期开放债券型发起式</w:t>
            </w:r>
            <w:r>
              <w:rPr>
                <w:color w:val="000000"/>
                <w:sz w:val="24"/>
              </w:rPr>
              <w:t>证券投资基金的基金经理、易方达恒信定期开放债券型发起式证券投资基金的基金经理、易方达恒惠定期开放债券型发起式证券投资基金的基金经理、易方达富惠纯债债券型证券投资基金的基金经理、易方达纯债</w:t>
            </w:r>
            <w:r>
              <w:rPr>
                <w:color w:val="000000"/>
                <w:sz w:val="24"/>
              </w:rPr>
              <w:t>1</w:t>
            </w:r>
            <w:r>
              <w:rPr>
                <w:color w:val="000000"/>
                <w:sz w:val="24"/>
              </w:rPr>
              <w:t>年定期开放债券型证券投资基金的基金经理、易方达安源中短债债券型证券投资基金的基金经理、易方达裕惠回报定期开放式混合型发起式证券投资基金的基金经理助理、易方达信用债债券型证券投资基金的基金经理助理、易方达中债新综合债券指数发起式证券投资基金</w:t>
            </w:r>
            <w:r>
              <w:rPr>
                <w:color w:val="000000"/>
                <w:sz w:val="24"/>
              </w:rPr>
              <w:t>(LOF)</w:t>
            </w:r>
            <w:r>
              <w:rPr>
                <w:color w:val="000000"/>
                <w:sz w:val="24"/>
              </w:rPr>
              <w:t>的基金经理助理、易方达稳健收益债券型证券投资基金的基金经理助理、易方达丰惠混</w:t>
            </w:r>
            <w:r>
              <w:rPr>
                <w:color w:val="000000"/>
                <w:sz w:val="24"/>
              </w:rPr>
              <w:t>合型证券投资基金的基金经理助理、易方达瑞富灵活配置混合型证券投资基金的基金经理助理、易方达瑞祺灵活配置混合型证券投资基金的基金经理助理、易方达恒益定期开放债券型发起式证券投资基金的基金经理助理（自</w:t>
            </w:r>
            <w:r>
              <w:rPr>
                <w:color w:val="000000"/>
                <w:sz w:val="24"/>
              </w:rPr>
              <w:t>2019</w:t>
            </w:r>
            <w:r>
              <w:rPr>
                <w:color w:val="000000"/>
                <w:sz w:val="24"/>
              </w:rPr>
              <w:t>年</w:t>
            </w:r>
            <w:r>
              <w:rPr>
                <w:color w:val="000000"/>
                <w:sz w:val="24"/>
              </w:rPr>
              <w:t>07</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w:t>
            </w:r>
          </w:p>
        </w:tc>
        <w:tc>
          <w:tcPr>
            <w:tcW w:w="851" w:type="dxa"/>
            <w:vAlign w:val="center"/>
          </w:tcPr>
          <w:p w:rsidR="00326BB1" w:rsidRDefault="00795916">
            <w:pPr>
              <w:jc w:val="center"/>
            </w:pPr>
            <w:r>
              <w:rPr>
                <w:color w:val="000000"/>
                <w:sz w:val="24"/>
              </w:rPr>
              <w:t>2014-07-12</w:t>
            </w:r>
          </w:p>
        </w:tc>
        <w:tc>
          <w:tcPr>
            <w:tcW w:w="850" w:type="dxa"/>
            <w:vAlign w:val="center"/>
          </w:tcPr>
          <w:p w:rsidR="00326BB1" w:rsidRDefault="00795916">
            <w:pPr>
              <w:jc w:val="center"/>
            </w:pPr>
            <w:r>
              <w:rPr>
                <w:color w:val="000000"/>
                <w:sz w:val="24"/>
              </w:rPr>
              <w:t>-</w:t>
            </w:r>
          </w:p>
        </w:tc>
        <w:tc>
          <w:tcPr>
            <w:tcW w:w="851" w:type="dxa"/>
            <w:vAlign w:val="center"/>
          </w:tcPr>
          <w:p w:rsidR="00326BB1" w:rsidRDefault="00795916">
            <w:pPr>
              <w:jc w:val="center"/>
            </w:pPr>
            <w:r>
              <w:rPr>
                <w:color w:val="000000"/>
                <w:sz w:val="24"/>
              </w:rPr>
              <w:t>11</w:t>
            </w:r>
            <w:r>
              <w:rPr>
                <w:color w:val="000000"/>
                <w:sz w:val="24"/>
              </w:rPr>
              <w:t>年</w:t>
            </w:r>
          </w:p>
        </w:tc>
        <w:tc>
          <w:tcPr>
            <w:tcW w:w="2977" w:type="dxa"/>
            <w:vAlign w:val="center"/>
          </w:tcPr>
          <w:p w:rsidR="00326BB1" w:rsidRDefault="00795916">
            <w:r>
              <w:rPr>
                <w:color w:val="000000"/>
                <w:sz w:val="24"/>
              </w:rPr>
              <w:t>硕士研究生，曾任瑞银证券有限公司研究员，中国国际金融有限公司研究员，易方达基金管理有限公司研究员、易方达新利灵活配置混合型证券投资基金基金经理助理、易方达新享灵活配置混合型证券投资基金基金经理助理、易方达裕如灵活配置混合型证券投资基金基金经理助理、易方达瑞祥灵活配置混合型证券投资基金基金经理助理、易方达瑞兴灵活配置混合型证券投资基金基金经理助理、易方达瑞智灵活配置混合型证券投资基金基金经理助理。</w:t>
            </w:r>
          </w:p>
        </w:tc>
      </w:tr>
    </w:tbl>
    <w:p w:rsidR="00326BB1" w:rsidRDefault="00795916">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w:t>
      </w:r>
      <w:r>
        <w:rPr>
          <w:color w:val="000000"/>
          <w:sz w:val="24"/>
          <w:szCs w:val="24"/>
        </w:rPr>
        <w:t>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326BB1" w:rsidRDefault="00795916">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326BB1" w:rsidRDefault="00795916">
      <w:pPr>
        <w:spacing w:line="360" w:lineRule="auto"/>
        <w:ind w:firstLineChars="200" w:firstLine="480"/>
        <w:rPr>
          <w:color w:val="000000"/>
          <w:sz w:val="24"/>
          <w:szCs w:val="24"/>
        </w:rPr>
      </w:pPr>
      <w:r>
        <w:rPr>
          <w:color w:val="000000"/>
          <w:sz w:val="24"/>
          <w:szCs w:val="24"/>
        </w:rPr>
        <w:t>2019</w:t>
      </w:r>
      <w:r>
        <w:rPr>
          <w:color w:val="000000"/>
          <w:sz w:val="24"/>
          <w:szCs w:val="24"/>
        </w:rPr>
        <w:t>年三季度宏观经济维持相对弱势。在经历了</w:t>
      </w:r>
      <w:r>
        <w:rPr>
          <w:color w:val="000000"/>
          <w:sz w:val="24"/>
          <w:szCs w:val="24"/>
        </w:rPr>
        <w:t>6</w:t>
      </w:r>
      <w:r>
        <w:rPr>
          <w:color w:val="000000"/>
          <w:sz w:val="24"/>
          <w:szCs w:val="24"/>
        </w:rPr>
        <w:t>月份超预期的增长数据后，</w:t>
      </w:r>
      <w:r>
        <w:rPr>
          <w:color w:val="000000"/>
          <w:sz w:val="24"/>
          <w:szCs w:val="24"/>
        </w:rPr>
        <w:t>7-8</w:t>
      </w:r>
      <w:r>
        <w:rPr>
          <w:color w:val="000000"/>
          <w:sz w:val="24"/>
          <w:szCs w:val="24"/>
        </w:rPr>
        <w:t>月大部分经济指标均有所回落，低于市场此前的预计水平。其中</w:t>
      </w:r>
      <w:r>
        <w:rPr>
          <w:color w:val="000000"/>
          <w:sz w:val="24"/>
          <w:szCs w:val="24"/>
        </w:rPr>
        <w:t>7</w:t>
      </w:r>
      <w:r>
        <w:rPr>
          <w:color w:val="000000"/>
          <w:sz w:val="24"/>
          <w:szCs w:val="24"/>
        </w:rPr>
        <w:t>月工业增加值同比增速由</w:t>
      </w:r>
      <w:r>
        <w:rPr>
          <w:color w:val="000000"/>
          <w:sz w:val="24"/>
          <w:szCs w:val="24"/>
        </w:rPr>
        <w:t>6</w:t>
      </w:r>
      <w:r>
        <w:rPr>
          <w:color w:val="000000"/>
          <w:sz w:val="24"/>
          <w:szCs w:val="24"/>
        </w:rPr>
        <w:t>月份的</w:t>
      </w:r>
      <w:r>
        <w:rPr>
          <w:color w:val="000000"/>
          <w:sz w:val="24"/>
          <w:szCs w:val="24"/>
        </w:rPr>
        <w:t>6.3%</w:t>
      </w:r>
      <w:r>
        <w:rPr>
          <w:color w:val="000000"/>
          <w:sz w:val="24"/>
          <w:szCs w:val="24"/>
        </w:rPr>
        <w:t>下降至</w:t>
      </w:r>
      <w:r>
        <w:rPr>
          <w:color w:val="000000"/>
          <w:sz w:val="24"/>
          <w:szCs w:val="24"/>
        </w:rPr>
        <w:t>4.8%</w:t>
      </w:r>
      <w:r>
        <w:rPr>
          <w:color w:val="000000"/>
          <w:sz w:val="24"/>
          <w:szCs w:val="24"/>
        </w:rPr>
        <w:t>，</w:t>
      </w:r>
      <w:r>
        <w:rPr>
          <w:color w:val="000000"/>
          <w:sz w:val="24"/>
          <w:szCs w:val="24"/>
        </w:rPr>
        <w:t>8</w:t>
      </w:r>
      <w:r>
        <w:rPr>
          <w:color w:val="000000"/>
          <w:sz w:val="24"/>
          <w:szCs w:val="24"/>
        </w:rPr>
        <w:t>月份进一步回落至</w:t>
      </w:r>
      <w:r>
        <w:rPr>
          <w:color w:val="000000"/>
          <w:sz w:val="24"/>
          <w:szCs w:val="24"/>
        </w:rPr>
        <w:t>4.4%</w:t>
      </w:r>
      <w:r>
        <w:rPr>
          <w:color w:val="000000"/>
          <w:sz w:val="24"/>
          <w:szCs w:val="24"/>
        </w:rPr>
        <w:t>；</w:t>
      </w:r>
      <w:r>
        <w:rPr>
          <w:color w:val="000000"/>
          <w:sz w:val="24"/>
          <w:szCs w:val="24"/>
        </w:rPr>
        <w:t>7</w:t>
      </w:r>
      <w:r>
        <w:rPr>
          <w:color w:val="000000"/>
          <w:sz w:val="24"/>
          <w:szCs w:val="24"/>
        </w:rPr>
        <w:t>月份社会销售品零售总额同比增长</w:t>
      </w:r>
      <w:r>
        <w:rPr>
          <w:color w:val="000000"/>
          <w:sz w:val="24"/>
          <w:szCs w:val="24"/>
        </w:rPr>
        <w:t>7.6%</w:t>
      </w:r>
      <w:r>
        <w:rPr>
          <w:color w:val="000000"/>
          <w:sz w:val="24"/>
          <w:szCs w:val="24"/>
        </w:rPr>
        <w:t>，增速相较</w:t>
      </w:r>
      <w:r>
        <w:rPr>
          <w:color w:val="000000"/>
          <w:sz w:val="24"/>
          <w:szCs w:val="24"/>
        </w:rPr>
        <w:t>6</w:t>
      </w:r>
      <w:r>
        <w:rPr>
          <w:color w:val="000000"/>
          <w:sz w:val="24"/>
          <w:szCs w:val="24"/>
        </w:rPr>
        <w:t>月份回落</w:t>
      </w:r>
      <w:r>
        <w:rPr>
          <w:color w:val="000000"/>
          <w:sz w:val="24"/>
          <w:szCs w:val="24"/>
        </w:rPr>
        <w:t>2.2</w:t>
      </w:r>
      <w:r>
        <w:rPr>
          <w:color w:val="000000"/>
          <w:sz w:val="24"/>
          <w:szCs w:val="24"/>
        </w:rPr>
        <w:t>个百分点，</w:t>
      </w:r>
      <w:r>
        <w:rPr>
          <w:color w:val="000000"/>
          <w:sz w:val="24"/>
          <w:szCs w:val="24"/>
        </w:rPr>
        <w:t>8</w:t>
      </w:r>
      <w:r>
        <w:rPr>
          <w:color w:val="000000"/>
          <w:sz w:val="24"/>
          <w:szCs w:val="24"/>
        </w:rPr>
        <w:t>月份小幅放缓至</w:t>
      </w:r>
      <w:r>
        <w:rPr>
          <w:color w:val="000000"/>
          <w:sz w:val="24"/>
          <w:szCs w:val="24"/>
        </w:rPr>
        <w:t>7.5%</w:t>
      </w:r>
      <w:r>
        <w:rPr>
          <w:color w:val="000000"/>
          <w:sz w:val="24"/>
          <w:szCs w:val="24"/>
        </w:rPr>
        <w:t>；固定资产投资增速在</w:t>
      </w:r>
      <w:r>
        <w:rPr>
          <w:color w:val="000000"/>
          <w:sz w:val="24"/>
          <w:szCs w:val="24"/>
        </w:rPr>
        <w:t>6</w:t>
      </w:r>
      <w:r>
        <w:rPr>
          <w:color w:val="000000"/>
          <w:sz w:val="24"/>
          <w:szCs w:val="24"/>
        </w:rPr>
        <w:t>月份冲高之后同样连续两个月有所回落。三季度海外主要经济体同样面临经济增速下行的风险，叠加中美贸易谈判继续出现诸多波折，未来全球经济的增速预期仍不明朗。</w:t>
      </w:r>
    </w:p>
    <w:p w:rsidR="00326BB1" w:rsidRDefault="00795916">
      <w:pPr>
        <w:spacing w:line="360" w:lineRule="auto"/>
        <w:ind w:firstLineChars="200" w:firstLine="480"/>
        <w:rPr>
          <w:color w:val="000000"/>
          <w:sz w:val="24"/>
          <w:szCs w:val="24"/>
        </w:rPr>
      </w:pPr>
      <w:r>
        <w:rPr>
          <w:color w:val="000000"/>
          <w:sz w:val="24"/>
          <w:szCs w:val="24"/>
        </w:rPr>
        <w:t>在宏观基本面不确定性</w:t>
      </w:r>
      <w:r>
        <w:rPr>
          <w:color w:val="000000"/>
          <w:sz w:val="24"/>
          <w:szCs w:val="24"/>
        </w:rPr>
        <w:t>上升的背景下，货币政策宽松的预期增加，海外债券市场收益率不断回落，共同带动三季度我国债券市场收益率总体呈现下行态势。但</w:t>
      </w:r>
      <w:r>
        <w:rPr>
          <w:color w:val="000000"/>
          <w:sz w:val="24"/>
          <w:szCs w:val="24"/>
        </w:rPr>
        <w:t>9</w:t>
      </w:r>
      <w:r>
        <w:rPr>
          <w:color w:val="000000"/>
          <w:sz w:val="24"/>
          <w:szCs w:val="24"/>
        </w:rPr>
        <w:t>月份以来，随着央行全面下调金融机构存款准备金率的政策公布，债券市场收益率开始出现回升，尤其是长端品种调整较为明显。</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操作上，组合保持了偏高的杠杆水平。未来在维持久期匹配的整体策略下，将根据市场情况灵活调整组合的配置结构。</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1.081</w:t>
      </w:r>
      <w:r w:rsidRPr="006C56AA">
        <w:rPr>
          <w:color w:val="000000"/>
          <w:sz w:val="24"/>
          <w:szCs w:val="24"/>
        </w:rPr>
        <w:t>元，本报告期份额净值增长率为</w:t>
      </w:r>
      <w:r w:rsidRPr="006C56AA">
        <w:rPr>
          <w:color w:val="000000"/>
          <w:sz w:val="24"/>
          <w:szCs w:val="24"/>
        </w:rPr>
        <w:t>1.59%</w:t>
      </w:r>
      <w:r w:rsidRPr="006C56AA">
        <w:rPr>
          <w:color w:val="000000"/>
          <w:sz w:val="24"/>
          <w:szCs w:val="24"/>
        </w:rPr>
        <w:t>，同期业绩比较基准收益率为</w:t>
      </w:r>
      <w:r w:rsidRPr="006C56AA">
        <w:rPr>
          <w:color w:val="000000"/>
          <w:sz w:val="24"/>
          <w:szCs w:val="24"/>
        </w:rPr>
        <w:t>0.66%</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1,953,777,492.50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95.68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1,953,777,492.50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95.68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47,128,842.10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2.31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41,068,015.06</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2.01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2,041,974,349.66</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p w:rsidR="008C2A4F" w:rsidRPr="00403A06" w:rsidRDefault="008C2A4F" w:rsidP="00403A06">
      <w:pPr>
        <w:spacing w:line="360" w:lineRule="auto"/>
        <w:ind w:firstLineChars="200" w:firstLine="480"/>
        <w:rPr>
          <w:color w:val="000000"/>
          <w:sz w:val="24"/>
          <w:szCs w:val="24"/>
        </w:rPr>
      </w:pPr>
      <w:r w:rsidRPr="00403A06">
        <w:rPr>
          <w:color w:val="000000"/>
          <w:sz w:val="24"/>
          <w:szCs w:val="24"/>
        </w:rPr>
        <w:t>本基金本报告期末未持有境内股票。</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1,221,113,492.50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90.45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120,594,000.00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8.93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612,070,000.00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45.34</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1,953,777,492.50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144.72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326BB1">
        <w:tc>
          <w:tcPr>
            <w:tcW w:w="959" w:type="dxa"/>
            <w:vAlign w:val="center"/>
          </w:tcPr>
          <w:p w:rsidR="00326BB1" w:rsidRDefault="00795916">
            <w:pPr>
              <w:jc w:val="center"/>
            </w:pPr>
            <w:r>
              <w:rPr>
                <w:color w:val="000000"/>
                <w:kern w:val="0"/>
                <w:sz w:val="24"/>
                <w:szCs w:val="24"/>
              </w:rPr>
              <w:t>1</w:t>
            </w:r>
          </w:p>
        </w:tc>
        <w:tc>
          <w:tcPr>
            <w:tcW w:w="1276" w:type="dxa"/>
            <w:vAlign w:val="center"/>
          </w:tcPr>
          <w:p w:rsidR="00326BB1" w:rsidRDefault="00795916">
            <w:pPr>
              <w:jc w:val="center"/>
            </w:pPr>
            <w:r>
              <w:rPr>
                <w:color w:val="000000"/>
                <w:kern w:val="0"/>
                <w:sz w:val="24"/>
                <w:szCs w:val="24"/>
              </w:rPr>
              <w:t>155252</w:t>
            </w:r>
          </w:p>
        </w:tc>
        <w:tc>
          <w:tcPr>
            <w:tcW w:w="1275" w:type="dxa"/>
            <w:vAlign w:val="center"/>
          </w:tcPr>
          <w:p w:rsidR="00326BB1" w:rsidRDefault="00795916">
            <w:pPr>
              <w:jc w:val="center"/>
            </w:pPr>
            <w:r>
              <w:rPr>
                <w:color w:val="000000"/>
                <w:kern w:val="0"/>
                <w:sz w:val="24"/>
                <w:szCs w:val="24"/>
              </w:rPr>
              <w:t>19</w:t>
            </w:r>
            <w:r>
              <w:rPr>
                <w:color w:val="000000"/>
                <w:kern w:val="0"/>
                <w:sz w:val="24"/>
                <w:szCs w:val="24"/>
              </w:rPr>
              <w:t>中铁</w:t>
            </w:r>
            <w:r>
              <w:rPr>
                <w:color w:val="000000"/>
                <w:kern w:val="0"/>
                <w:sz w:val="24"/>
                <w:szCs w:val="24"/>
              </w:rPr>
              <w:t>04</w:t>
            </w:r>
          </w:p>
        </w:tc>
        <w:tc>
          <w:tcPr>
            <w:tcW w:w="1560" w:type="dxa"/>
            <w:vAlign w:val="center"/>
          </w:tcPr>
          <w:p w:rsidR="00326BB1" w:rsidRDefault="00795916">
            <w:pPr>
              <w:jc w:val="right"/>
            </w:pPr>
            <w:r>
              <w:rPr>
                <w:color w:val="000000"/>
                <w:kern w:val="0"/>
                <w:sz w:val="24"/>
                <w:szCs w:val="24"/>
              </w:rPr>
              <w:t>600,000</w:t>
            </w:r>
          </w:p>
        </w:tc>
        <w:tc>
          <w:tcPr>
            <w:tcW w:w="1984" w:type="dxa"/>
            <w:vAlign w:val="center"/>
          </w:tcPr>
          <w:p w:rsidR="00326BB1" w:rsidRDefault="00795916">
            <w:pPr>
              <w:jc w:val="right"/>
            </w:pPr>
            <w:r>
              <w:rPr>
                <w:color w:val="000000"/>
                <w:kern w:val="0"/>
                <w:sz w:val="24"/>
                <w:szCs w:val="24"/>
              </w:rPr>
              <w:t>60,354,000.00</w:t>
            </w:r>
          </w:p>
        </w:tc>
        <w:tc>
          <w:tcPr>
            <w:tcW w:w="1474" w:type="dxa"/>
            <w:vAlign w:val="center"/>
          </w:tcPr>
          <w:p w:rsidR="00326BB1" w:rsidRDefault="00795916">
            <w:pPr>
              <w:jc w:val="right"/>
            </w:pPr>
            <w:r>
              <w:rPr>
                <w:color w:val="000000"/>
                <w:kern w:val="0"/>
                <w:sz w:val="24"/>
                <w:szCs w:val="24"/>
              </w:rPr>
              <w:t>4.47</w:t>
            </w:r>
          </w:p>
        </w:tc>
      </w:tr>
      <w:tr w:rsidR="00326BB1">
        <w:tc>
          <w:tcPr>
            <w:tcW w:w="959" w:type="dxa"/>
            <w:vAlign w:val="center"/>
          </w:tcPr>
          <w:p w:rsidR="00326BB1" w:rsidRDefault="00795916">
            <w:pPr>
              <w:jc w:val="center"/>
            </w:pPr>
            <w:r>
              <w:rPr>
                <w:color w:val="000000"/>
                <w:kern w:val="0"/>
                <w:sz w:val="24"/>
                <w:szCs w:val="24"/>
              </w:rPr>
              <w:t>2</w:t>
            </w:r>
          </w:p>
        </w:tc>
        <w:tc>
          <w:tcPr>
            <w:tcW w:w="1276" w:type="dxa"/>
            <w:vAlign w:val="center"/>
          </w:tcPr>
          <w:p w:rsidR="00326BB1" w:rsidRDefault="00795916">
            <w:pPr>
              <w:jc w:val="center"/>
            </w:pPr>
            <w:r>
              <w:rPr>
                <w:color w:val="000000"/>
                <w:kern w:val="0"/>
                <w:sz w:val="24"/>
                <w:szCs w:val="24"/>
              </w:rPr>
              <w:t>101800966</w:t>
            </w:r>
          </w:p>
        </w:tc>
        <w:tc>
          <w:tcPr>
            <w:tcW w:w="1275" w:type="dxa"/>
            <w:vAlign w:val="center"/>
          </w:tcPr>
          <w:p w:rsidR="00326BB1" w:rsidRDefault="00795916">
            <w:pPr>
              <w:jc w:val="center"/>
            </w:pPr>
            <w:r>
              <w:rPr>
                <w:color w:val="000000"/>
                <w:kern w:val="0"/>
                <w:sz w:val="24"/>
                <w:szCs w:val="24"/>
              </w:rPr>
              <w:t>18</w:t>
            </w:r>
            <w:r>
              <w:rPr>
                <w:color w:val="000000"/>
                <w:kern w:val="0"/>
                <w:sz w:val="24"/>
                <w:szCs w:val="24"/>
              </w:rPr>
              <w:t>晋焦煤</w:t>
            </w:r>
            <w:r>
              <w:rPr>
                <w:color w:val="000000"/>
                <w:kern w:val="0"/>
                <w:sz w:val="24"/>
                <w:szCs w:val="24"/>
              </w:rPr>
              <w:t>MTN005</w:t>
            </w:r>
          </w:p>
        </w:tc>
        <w:tc>
          <w:tcPr>
            <w:tcW w:w="1560" w:type="dxa"/>
            <w:vAlign w:val="center"/>
          </w:tcPr>
          <w:p w:rsidR="00326BB1" w:rsidRDefault="00795916">
            <w:pPr>
              <w:jc w:val="right"/>
            </w:pPr>
            <w:r>
              <w:rPr>
                <w:color w:val="000000"/>
                <w:kern w:val="0"/>
                <w:sz w:val="24"/>
                <w:szCs w:val="24"/>
              </w:rPr>
              <w:t>500,000</w:t>
            </w:r>
          </w:p>
        </w:tc>
        <w:tc>
          <w:tcPr>
            <w:tcW w:w="1984" w:type="dxa"/>
            <w:vAlign w:val="center"/>
          </w:tcPr>
          <w:p w:rsidR="00326BB1" w:rsidRDefault="00795916">
            <w:pPr>
              <w:jc w:val="right"/>
            </w:pPr>
            <w:r>
              <w:rPr>
                <w:color w:val="000000"/>
                <w:kern w:val="0"/>
                <w:sz w:val="24"/>
                <w:szCs w:val="24"/>
              </w:rPr>
              <w:t>52,255,000.00</w:t>
            </w:r>
          </w:p>
        </w:tc>
        <w:tc>
          <w:tcPr>
            <w:tcW w:w="1474" w:type="dxa"/>
            <w:vAlign w:val="center"/>
          </w:tcPr>
          <w:p w:rsidR="00326BB1" w:rsidRDefault="00795916">
            <w:pPr>
              <w:jc w:val="right"/>
            </w:pPr>
            <w:r>
              <w:rPr>
                <w:color w:val="000000"/>
                <w:kern w:val="0"/>
                <w:sz w:val="24"/>
                <w:szCs w:val="24"/>
              </w:rPr>
              <w:t>3.87</w:t>
            </w:r>
          </w:p>
        </w:tc>
      </w:tr>
      <w:tr w:rsidR="00326BB1">
        <w:tc>
          <w:tcPr>
            <w:tcW w:w="959" w:type="dxa"/>
            <w:vAlign w:val="center"/>
          </w:tcPr>
          <w:p w:rsidR="00326BB1" w:rsidRDefault="00795916">
            <w:pPr>
              <w:jc w:val="center"/>
            </w:pPr>
            <w:r>
              <w:rPr>
                <w:color w:val="000000"/>
                <w:kern w:val="0"/>
                <w:sz w:val="24"/>
                <w:szCs w:val="24"/>
              </w:rPr>
              <w:t>3</w:t>
            </w:r>
          </w:p>
        </w:tc>
        <w:tc>
          <w:tcPr>
            <w:tcW w:w="1276" w:type="dxa"/>
            <w:vAlign w:val="center"/>
          </w:tcPr>
          <w:p w:rsidR="00326BB1" w:rsidRDefault="00795916">
            <w:pPr>
              <w:jc w:val="center"/>
            </w:pPr>
            <w:r>
              <w:rPr>
                <w:color w:val="000000"/>
                <w:kern w:val="0"/>
                <w:sz w:val="24"/>
                <w:szCs w:val="24"/>
              </w:rPr>
              <w:t>101801187</w:t>
            </w:r>
          </w:p>
        </w:tc>
        <w:tc>
          <w:tcPr>
            <w:tcW w:w="1275" w:type="dxa"/>
            <w:vAlign w:val="center"/>
          </w:tcPr>
          <w:p w:rsidR="00326BB1" w:rsidRDefault="00795916">
            <w:pPr>
              <w:jc w:val="center"/>
            </w:pPr>
            <w:r>
              <w:rPr>
                <w:color w:val="000000"/>
                <w:kern w:val="0"/>
                <w:sz w:val="24"/>
                <w:szCs w:val="24"/>
              </w:rPr>
              <w:t>18</w:t>
            </w:r>
            <w:r>
              <w:rPr>
                <w:color w:val="000000"/>
                <w:kern w:val="0"/>
                <w:sz w:val="24"/>
                <w:szCs w:val="24"/>
              </w:rPr>
              <w:t>陕煤化</w:t>
            </w:r>
            <w:r>
              <w:rPr>
                <w:color w:val="000000"/>
                <w:kern w:val="0"/>
                <w:sz w:val="24"/>
                <w:szCs w:val="24"/>
              </w:rPr>
              <w:t>MTN004</w:t>
            </w:r>
          </w:p>
        </w:tc>
        <w:tc>
          <w:tcPr>
            <w:tcW w:w="1560" w:type="dxa"/>
            <w:vAlign w:val="center"/>
          </w:tcPr>
          <w:p w:rsidR="00326BB1" w:rsidRDefault="00795916">
            <w:pPr>
              <w:jc w:val="right"/>
            </w:pPr>
            <w:r>
              <w:rPr>
                <w:color w:val="000000"/>
                <w:kern w:val="0"/>
                <w:sz w:val="24"/>
                <w:szCs w:val="24"/>
              </w:rPr>
              <w:t>500,000</w:t>
            </w:r>
          </w:p>
        </w:tc>
        <w:tc>
          <w:tcPr>
            <w:tcW w:w="1984" w:type="dxa"/>
            <w:vAlign w:val="center"/>
          </w:tcPr>
          <w:p w:rsidR="00326BB1" w:rsidRDefault="00795916">
            <w:pPr>
              <w:jc w:val="right"/>
            </w:pPr>
            <w:r>
              <w:rPr>
                <w:color w:val="000000"/>
                <w:kern w:val="0"/>
                <w:sz w:val="24"/>
                <w:szCs w:val="24"/>
              </w:rPr>
              <w:t>51,915,000.00</w:t>
            </w:r>
          </w:p>
        </w:tc>
        <w:tc>
          <w:tcPr>
            <w:tcW w:w="1474" w:type="dxa"/>
            <w:vAlign w:val="center"/>
          </w:tcPr>
          <w:p w:rsidR="00326BB1" w:rsidRDefault="00795916">
            <w:pPr>
              <w:jc w:val="right"/>
            </w:pPr>
            <w:r>
              <w:rPr>
                <w:color w:val="000000"/>
                <w:kern w:val="0"/>
                <w:sz w:val="24"/>
                <w:szCs w:val="24"/>
              </w:rPr>
              <w:t>3.85</w:t>
            </w:r>
          </w:p>
        </w:tc>
      </w:tr>
      <w:tr w:rsidR="00326BB1">
        <w:tc>
          <w:tcPr>
            <w:tcW w:w="959" w:type="dxa"/>
            <w:vAlign w:val="center"/>
          </w:tcPr>
          <w:p w:rsidR="00326BB1" w:rsidRDefault="00795916">
            <w:pPr>
              <w:jc w:val="center"/>
            </w:pPr>
            <w:r>
              <w:rPr>
                <w:color w:val="000000"/>
                <w:kern w:val="0"/>
                <w:sz w:val="24"/>
                <w:szCs w:val="24"/>
              </w:rPr>
              <w:t>4</w:t>
            </w:r>
          </w:p>
        </w:tc>
        <w:tc>
          <w:tcPr>
            <w:tcW w:w="1276" w:type="dxa"/>
            <w:vAlign w:val="center"/>
          </w:tcPr>
          <w:p w:rsidR="00326BB1" w:rsidRDefault="00795916">
            <w:pPr>
              <w:jc w:val="center"/>
            </w:pPr>
            <w:r>
              <w:rPr>
                <w:color w:val="000000"/>
                <w:kern w:val="0"/>
                <w:sz w:val="24"/>
                <w:szCs w:val="24"/>
              </w:rPr>
              <w:t>101801079</w:t>
            </w:r>
          </w:p>
        </w:tc>
        <w:tc>
          <w:tcPr>
            <w:tcW w:w="1275" w:type="dxa"/>
            <w:vAlign w:val="center"/>
          </w:tcPr>
          <w:p w:rsidR="00326BB1" w:rsidRDefault="00795916">
            <w:pPr>
              <w:jc w:val="center"/>
            </w:pPr>
            <w:r>
              <w:rPr>
                <w:color w:val="000000"/>
                <w:kern w:val="0"/>
                <w:sz w:val="24"/>
                <w:szCs w:val="24"/>
              </w:rPr>
              <w:t>18</w:t>
            </w:r>
            <w:r>
              <w:rPr>
                <w:color w:val="000000"/>
                <w:kern w:val="0"/>
                <w:sz w:val="24"/>
                <w:szCs w:val="24"/>
              </w:rPr>
              <w:t>闽高速</w:t>
            </w:r>
            <w:r>
              <w:rPr>
                <w:color w:val="000000"/>
                <w:kern w:val="0"/>
                <w:sz w:val="24"/>
                <w:szCs w:val="24"/>
              </w:rPr>
              <w:t>MTN001</w:t>
            </w:r>
          </w:p>
        </w:tc>
        <w:tc>
          <w:tcPr>
            <w:tcW w:w="1560" w:type="dxa"/>
            <w:vAlign w:val="center"/>
          </w:tcPr>
          <w:p w:rsidR="00326BB1" w:rsidRDefault="00795916">
            <w:pPr>
              <w:jc w:val="right"/>
            </w:pPr>
            <w:r>
              <w:rPr>
                <w:color w:val="000000"/>
                <w:kern w:val="0"/>
                <w:sz w:val="24"/>
                <w:szCs w:val="24"/>
              </w:rPr>
              <w:t>500,000</w:t>
            </w:r>
          </w:p>
        </w:tc>
        <w:tc>
          <w:tcPr>
            <w:tcW w:w="1984" w:type="dxa"/>
            <w:vAlign w:val="center"/>
          </w:tcPr>
          <w:p w:rsidR="00326BB1" w:rsidRDefault="00795916">
            <w:pPr>
              <w:jc w:val="right"/>
            </w:pPr>
            <w:r>
              <w:rPr>
                <w:color w:val="000000"/>
                <w:kern w:val="0"/>
                <w:sz w:val="24"/>
                <w:szCs w:val="24"/>
              </w:rPr>
              <w:t>51,735,000.00</w:t>
            </w:r>
          </w:p>
        </w:tc>
        <w:tc>
          <w:tcPr>
            <w:tcW w:w="1474" w:type="dxa"/>
            <w:vAlign w:val="center"/>
          </w:tcPr>
          <w:p w:rsidR="00326BB1" w:rsidRDefault="00795916">
            <w:pPr>
              <w:jc w:val="right"/>
            </w:pPr>
            <w:r>
              <w:rPr>
                <w:color w:val="000000"/>
                <w:kern w:val="0"/>
                <w:sz w:val="24"/>
                <w:szCs w:val="24"/>
              </w:rPr>
              <w:t>3.83</w:t>
            </w:r>
          </w:p>
        </w:tc>
      </w:tr>
      <w:tr w:rsidR="00326BB1">
        <w:tc>
          <w:tcPr>
            <w:tcW w:w="959" w:type="dxa"/>
            <w:vAlign w:val="center"/>
          </w:tcPr>
          <w:p w:rsidR="00326BB1" w:rsidRDefault="00795916">
            <w:pPr>
              <w:jc w:val="center"/>
            </w:pPr>
            <w:r>
              <w:rPr>
                <w:color w:val="000000"/>
                <w:kern w:val="0"/>
                <w:sz w:val="24"/>
                <w:szCs w:val="24"/>
              </w:rPr>
              <w:t>5</w:t>
            </w:r>
          </w:p>
        </w:tc>
        <w:tc>
          <w:tcPr>
            <w:tcW w:w="1276" w:type="dxa"/>
            <w:vAlign w:val="center"/>
          </w:tcPr>
          <w:p w:rsidR="00326BB1" w:rsidRDefault="00795916">
            <w:pPr>
              <w:jc w:val="center"/>
            </w:pPr>
            <w:r>
              <w:rPr>
                <w:color w:val="000000"/>
                <w:kern w:val="0"/>
                <w:sz w:val="24"/>
                <w:szCs w:val="24"/>
              </w:rPr>
              <w:t>143017</w:t>
            </w:r>
          </w:p>
        </w:tc>
        <w:tc>
          <w:tcPr>
            <w:tcW w:w="1275" w:type="dxa"/>
            <w:vAlign w:val="center"/>
          </w:tcPr>
          <w:p w:rsidR="00326BB1" w:rsidRDefault="00795916">
            <w:pPr>
              <w:jc w:val="center"/>
            </w:pPr>
            <w:r>
              <w:rPr>
                <w:color w:val="000000"/>
                <w:kern w:val="0"/>
                <w:sz w:val="24"/>
                <w:szCs w:val="24"/>
              </w:rPr>
              <w:t>17</w:t>
            </w:r>
            <w:r>
              <w:rPr>
                <w:color w:val="000000"/>
                <w:kern w:val="0"/>
                <w:sz w:val="24"/>
                <w:szCs w:val="24"/>
              </w:rPr>
              <w:t>华汽</w:t>
            </w:r>
            <w:r>
              <w:rPr>
                <w:color w:val="000000"/>
                <w:kern w:val="0"/>
                <w:sz w:val="24"/>
                <w:szCs w:val="24"/>
              </w:rPr>
              <w:t>01</w:t>
            </w:r>
          </w:p>
        </w:tc>
        <w:tc>
          <w:tcPr>
            <w:tcW w:w="1560" w:type="dxa"/>
            <w:vAlign w:val="center"/>
          </w:tcPr>
          <w:p w:rsidR="00326BB1" w:rsidRDefault="00795916">
            <w:pPr>
              <w:jc w:val="right"/>
            </w:pPr>
            <w:r>
              <w:rPr>
                <w:color w:val="000000"/>
                <w:kern w:val="0"/>
                <w:sz w:val="24"/>
                <w:szCs w:val="24"/>
              </w:rPr>
              <w:t>500,000</w:t>
            </w:r>
          </w:p>
        </w:tc>
        <w:tc>
          <w:tcPr>
            <w:tcW w:w="1984" w:type="dxa"/>
            <w:vAlign w:val="center"/>
          </w:tcPr>
          <w:p w:rsidR="00326BB1" w:rsidRDefault="00795916">
            <w:pPr>
              <w:jc w:val="right"/>
            </w:pPr>
            <w:r>
              <w:rPr>
                <w:color w:val="000000"/>
                <w:kern w:val="0"/>
                <w:sz w:val="24"/>
                <w:szCs w:val="24"/>
              </w:rPr>
              <w:t>50,585,000.00</w:t>
            </w:r>
          </w:p>
        </w:tc>
        <w:tc>
          <w:tcPr>
            <w:tcW w:w="1474" w:type="dxa"/>
            <w:vAlign w:val="center"/>
          </w:tcPr>
          <w:p w:rsidR="00326BB1" w:rsidRDefault="00795916">
            <w:pPr>
              <w:jc w:val="right"/>
            </w:pPr>
            <w:r>
              <w:rPr>
                <w:color w:val="000000"/>
                <w:kern w:val="0"/>
                <w:sz w:val="24"/>
                <w:szCs w:val="24"/>
              </w:rPr>
              <w:t>3.75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5.11.2本基金本报告期没有投资股票，因此不存在投资的前十名股票超出基金合同规定的备选股票库情况。</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18,756.31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41,011,758.75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37,500.00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41,068,015.06</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1,249,121,371.59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1,249,121,371.59</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326BB1" w:rsidRDefault="00795916">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中国证监会核准易方达永旭添利定期开放债券型证券投资基金募集的文件；</w:t>
      </w:r>
    </w:p>
    <w:p w:rsidR="00326BB1" w:rsidRDefault="00795916">
      <w:pPr>
        <w:spacing w:line="360" w:lineRule="auto"/>
        <w:ind w:firstLineChars="200" w:firstLine="480"/>
        <w:rPr>
          <w:color w:val="000000"/>
          <w:sz w:val="24"/>
          <w:szCs w:val="24"/>
        </w:rPr>
      </w:pPr>
      <w:r>
        <w:rPr>
          <w:color w:val="000000"/>
          <w:sz w:val="24"/>
          <w:szCs w:val="24"/>
        </w:rPr>
        <w:t>2.</w:t>
      </w:r>
      <w:r>
        <w:rPr>
          <w:color w:val="000000"/>
          <w:sz w:val="24"/>
          <w:szCs w:val="24"/>
        </w:rPr>
        <w:t>《易方达永旭添利定期开放债券型证券投资基金基金合同》；</w:t>
      </w:r>
    </w:p>
    <w:p w:rsidR="00326BB1" w:rsidRDefault="00795916">
      <w:pPr>
        <w:spacing w:line="360" w:lineRule="auto"/>
        <w:ind w:firstLineChars="200" w:firstLine="480"/>
        <w:rPr>
          <w:color w:val="000000"/>
          <w:sz w:val="24"/>
          <w:szCs w:val="24"/>
        </w:rPr>
      </w:pPr>
      <w:r>
        <w:rPr>
          <w:color w:val="000000"/>
          <w:sz w:val="24"/>
          <w:szCs w:val="24"/>
        </w:rPr>
        <w:t>3.</w:t>
      </w:r>
      <w:r>
        <w:rPr>
          <w:color w:val="000000"/>
          <w:sz w:val="24"/>
          <w:szCs w:val="24"/>
        </w:rPr>
        <w:t>《易方达永旭添利定期开放债券型证券投资基金托管协议》；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4.</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795916">
      <w:rPr>
        <w:rStyle w:val="a7"/>
        <w:noProof/>
      </w:rPr>
      <w:t>1</w:t>
    </w:r>
    <w:r>
      <w:rPr>
        <w:rStyle w:val="a7"/>
      </w:rPr>
      <w:fldChar w:fldCharType="end"/>
    </w:r>
    <w:r>
      <w:rPr>
        <w:rStyle w:val="a7"/>
        <w:rFonts w:hint="eastAsia"/>
      </w:rPr>
      <w:t>页共</w:t>
    </w:r>
    <w:r w:rsidR="00795916">
      <w:fldChar w:fldCharType="begin"/>
    </w:r>
    <w:r w:rsidR="00795916">
      <w:instrText xml:space="preserve"> NUMPAGES  \* Arabic  \* MERGEFORMAT </w:instrText>
    </w:r>
    <w:r w:rsidR="00795916">
      <w:fldChar w:fldCharType="separate"/>
    </w:r>
    <w:r w:rsidR="00795916" w:rsidRPr="00795916">
      <w:rPr>
        <w:rStyle w:val="a7"/>
        <w:noProof/>
      </w:rPr>
      <w:t>3</w:t>
    </w:r>
    <w:r w:rsidR="00795916">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795916">
      <w:rPr>
        <w:rStyle w:val="a7"/>
        <w:noProof/>
      </w:rPr>
      <w:t>11</w:t>
    </w:r>
    <w:r>
      <w:rPr>
        <w:rStyle w:val="a7"/>
      </w:rPr>
      <w:fldChar w:fldCharType="end"/>
    </w:r>
    <w:r>
      <w:rPr>
        <w:rStyle w:val="a7"/>
        <w:rFonts w:hint="eastAsia"/>
      </w:rPr>
      <w:t>页共</w:t>
    </w:r>
    <w:fldSimple w:instr=" NUMPAGES  \* Arabic  \* MERGEFORMAT ">
      <w:r w:rsidR="00795916" w:rsidRPr="00795916">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易方达永旭添利定期开放债券型证券投资基金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6BB1"/>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59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A06FF-C962-4EA8-9967-8D4C64C7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2019-10-16T13:57:00Z</cp:lastPrinted>
  <dcterms:created xsi:type="dcterms:W3CDTF">2012-10-16T06:07:00Z</dcterms:created>
  <dcterms:modified xsi:type="dcterms:W3CDTF">2019-10-16T13:57:00Z</dcterms:modified>
</cp:coreProperties>
</file>