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易方达岁丰添利债券型证券投资基金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5A31A0" w:rsidRDefault="005B71AE">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A31A0" w:rsidRDefault="005B71AE">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A31A0" w:rsidRDefault="005B71AE">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A31A0" w:rsidRDefault="005B71AE">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A31A0" w:rsidRDefault="005B71AE">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易方达岁丰添利债券（</w:t>
            </w:r>
            <w:r w:rsidRPr="00232B03">
              <w:rPr>
                <w:color w:val="000000"/>
                <w:kern w:val="0"/>
                <w:sz w:val="24"/>
                <w:szCs w:val="24"/>
              </w:rPr>
              <w:t>LOF</w:t>
            </w:r>
            <w:r w:rsidRPr="00232B03">
              <w:rPr>
                <w:color w:val="000000"/>
                <w:kern w:val="0"/>
                <w:sz w:val="24"/>
                <w:szCs w:val="24"/>
              </w:rPr>
              <w:t>）</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易基岁丰</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161115</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161115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契约型，本基金合同生效后三年内（含三年）封闭运作，在深圳证券交易所上市交易。封闭期结束后，本基金转为上市开放式基金（</w:t>
            </w:r>
            <w:r w:rsidRPr="00232B03">
              <w:rPr>
                <w:color w:val="000000"/>
                <w:kern w:val="0"/>
                <w:sz w:val="24"/>
                <w:szCs w:val="24"/>
              </w:rPr>
              <w:t>LOF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2010</w:t>
            </w:r>
            <w:r w:rsidRPr="00232B03">
              <w:rPr>
                <w:color w:val="000000"/>
                <w:kern w:val="0"/>
                <w:sz w:val="24"/>
                <w:szCs w:val="24"/>
              </w:rPr>
              <w:t>年</w:t>
            </w:r>
            <w:r w:rsidRPr="00232B03">
              <w:rPr>
                <w:color w:val="000000"/>
                <w:kern w:val="0"/>
                <w:sz w:val="24"/>
                <w:szCs w:val="24"/>
              </w:rPr>
              <w:t>11</w:t>
            </w:r>
            <w:r w:rsidRPr="00232B03">
              <w:rPr>
                <w:color w:val="000000"/>
                <w:kern w:val="0"/>
                <w:sz w:val="24"/>
                <w:szCs w:val="24"/>
              </w:rPr>
              <w:t>月</w:t>
            </w:r>
            <w:r w:rsidRPr="00232B03">
              <w:rPr>
                <w:color w:val="000000"/>
                <w:kern w:val="0"/>
                <w:sz w:val="24"/>
                <w:szCs w:val="24"/>
              </w:rPr>
              <w:t>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60,703,132.18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本基金通过主要投资债券品种，力争为基金持有人提供持续稳定的高于业绩比较基准的收益，实现基金资产的长期增值。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本基金基于对以下因素的判断，进行基金资产在非</w:t>
            </w:r>
            <w:r w:rsidRPr="00232B03">
              <w:rPr>
                <w:color w:val="000000"/>
                <w:kern w:val="0"/>
                <w:sz w:val="24"/>
                <w:szCs w:val="24"/>
              </w:rPr>
              <w:lastRenderedPageBreak/>
              <w:t>信用类固定收益品种（国债、央行票据等）、信用类固定收益品种（含可转换债券）、新股（含增发）申购之间的配置：</w:t>
            </w:r>
            <w:r w:rsidRPr="00232B03">
              <w:rPr>
                <w:color w:val="000000"/>
                <w:kern w:val="0"/>
                <w:sz w:val="24"/>
                <w:szCs w:val="24"/>
              </w:rPr>
              <w:t>1</w:t>
            </w:r>
            <w:r w:rsidRPr="00232B03">
              <w:rPr>
                <w:color w:val="000000"/>
                <w:kern w:val="0"/>
                <w:sz w:val="24"/>
                <w:szCs w:val="24"/>
              </w:rPr>
              <w:t>）基于对利率走势、利率期限结构等因素的分析，预测固定收益品种的投资收益和风险；</w:t>
            </w:r>
            <w:r w:rsidRPr="00232B03">
              <w:rPr>
                <w:color w:val="000000"/>
                <w:kern w:val="0"/>
                <w:sz w:val="24"/>
                <w:szCs w:val="24"/>
              </w:rPr>
              <w:t>2</w:t>
            </w:r>
            <w:r w:rsidRPr="00232B03">
              <w:rPr>
                <w:color w:val="000000"/>
                <w:kern w:val="0"/>
                <w:sz w:val="24"/>
                <w:szCs w:val="24"/>
              </w:rPr>
              <w:t>）基于对宏观经济、行业前景以及公司财务进行严谨的分析，考察其对固定收益市场信用利差的影响；</w:t>
            </w:r>
            <w:r w:rsidRPr="00232B03">
              <w:rPr>
                <w:color w:val="000000"/>
                <w:kern w:val="0"/>
                <w:sz w:val="24"/>
                <w:szCs w:val="24"/>
              </w:rPr>
              <w:t>3</w:t>
            </w:r>
            <w:r w:rsidRPr="00232B03">
              <w:rPr>
                <w:color w:val="000000"/>
                <w:kern w:val="0"/>
                <w:sz w:val="24"/>
                <w:szCs w:val="24"/>
              </w:rPr>
              <w:t>）基于可转换债券发行公司的基本面，债券利率水平、票息率及派息频率、信用风险等固定收益因素，以及期权定价模型，对可转换债券进行定价分析并制定相关投资策略；</w:t>
            </w:r>
            <w:r w:rsidRPr="00232B03">
              <w:rPr>
                <w:color w:val="000000"/>
                <w:kern w:val="0"/>
                <w:sz w:val="24"/>
                <w:szCs w:val="24"/>
              </w:rPr>
              <w:t>4</w:t>
            </w:r>
            <w:r w:rsidRPr="00232B03">
              <w:rPr>
                <w:color w:val="000000"/>
                <w:kern w:val="0"/>
                <w:sz w:val="24"/>
                <w:szCs w:val="24"/>
              </w:rPr>
              <w:t>）基于对新股（含增发股）发行频率、中签率、上市后的平均涨幅等的分析，预测新股（含增发股）申购的收益率以及风险。</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三年期银行定期存款收益率</w:t>
            </w:r>
            <w:r w:rsidRPr="00232B03">
              <w:rPr>
                <w:color w:val="000000"/>
                <w:kern w:val="0"/>
                <w:sz w:val="24"/>
                <w:szCs w:val="24"/>
              </w:rPr>
              <w:t>+1.2%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本基金为债券型基金，理论上其长期平均风险和预期收益率低于混合型基金、股票型基金，高于货币市场基金。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596,411.58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1,974,907.86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0.0360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90,682,824.39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1.494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5A31A0" w:rsidRDefault="005B71AE">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5A31A0">
        <w:tc>
          <w:tcPr>
            <w:tcW w:w="1395" w:type="dxa"/>
            <w:vAlign w:val="center"/>
          </w:tcPr>
          <w:p w:rsidR="005A31A0" w:rsidRDefault="005B71AE">
            <w:pPr>
              <w:jc w:val="left"/>
            </w:pPr>
            <w:r>
              <w:rPr>
                <w:color w:val="000000"/>
                <w:kern w:val="0"/>
                <w:sz w:val="24"/>
                <w:szCs w:val="24"/>
              </w:rPr>
              <w:t>过去三个月</w:t>
            </w:r>
          </w:p>
        </w:tc>
        <w:tc>
          <w:tcPr>
            <w:tcW w:w="1092" w:type="dxa"/>
            <w:vAlign w:val="center"/>
          </w:tcPr>
          <w:p w:rsidR="005A31A0" w:rsidRDefault="005B71AE">
            <w:pPr>
              <w:jc w:val="center"/>
            </w:pPr>
            <w:r>
              <w:rPr>
                <w:color w:val="000000"/>
                <w:kern w:val="0"/>
                <w:sz w:val="24"/>
                <w:szCs w:val="24"/>
              </w:rPr>
              <w:t>2.61%</w:t>
            </w:r>
          </w:p>
        </w:tc>
        <w:tc>
          <w:tcPr>
            <w:tcW w:w="1161" w:type="dxa"/>
            <w:vAlign w:val="center"/>
          </w:tcPr>
          <w:p w:rsidR="005A31A0" w:rsidRDefault="005B71AE">
            <w:pPr>
              <w:jc w:val="center"/>
            </w:pPr>
            <w:r>
              <w:rPr>
                <w:color w:val="000000"/>
                <w:kern w:val="0"/>
                <w:sz w:val="24"/>
                <w:szCs w:val="24"/>
              </w:rPr>
              <w:t>0.18%</w:t>
            </w:r>
          </w:p>
        </w:tc>
        <w:tc>
          <w:tcPr>
            <w:tcW w:w="1181" w:type="dxa"/>
            <w:vAlign w:val="center"/>
          </w:tcPr>
          <w:p w:rsidR="005A31A0" w:rsidRDefault="005B71AE">
            <w:pPr>
              <w:jc w:val="center"/>
            </w:pPr>
            <w:r>
              <w:rPr>
                <w:color w:val="000000"/>
                <w:kern w:val="0"/>
                <w:sz w:val="24"/>
                <w:szCs w:val="24"/>
              </w:rPr>
              <w:t>1.00%</w:t>
            </w:r>
          </w:p>
        </w:tc>
        <w:tc>
          <w:tcPr>
            <w:tcW w:w="1188" w:type="dxa"/>
            <w:vAlign w:val="center"/>
          </w:tcPr>
          <w:p w:rsidR="005A31A0" w:rsidRDefault="005B71AE">
            <w:pPr>
              <w:jc w:val="center"/>
            </w:pPr>
            <w:r>
              <w:rPr>
                <w:color w:val="000000"/>
                <w:kern w:val="0"/>
                <w:sz w:val="24"/>
                <w:szCs w:val="24"/>
              </w:rPr>
              <w:t>0.01%</w:t>
            </w:r>
          </w:p>
        </w:tc>
        <w:tc>
          <w:tcPr>
            <w:tcW w:w="1199" w:type="dxa"/>
            <w:vAlign w:val="center"/>
          </w:tcPr>
          <w:p w:rsidR="005A31A0" w:rsidRDefault="005B71AE">
            <w:pPr>
              <w:jc w:val="center"/>
            </w:pPr>
            <w:r>
              <w:rPr>
                <w:color w:val="000000"/>
                <w:kern w:val="0"/>
                <w:sz w:val="24"/>
                <w:szCs w:val="24"/>
              </w:rPr>
              <w:t>1.61%</w:t>
            </w:r>
          </w:p>
        </w:tc>
        <w:tc>
          <w:tcPr>
            <w:tcW w:w="1204" w:type="dxa"/>
            <w:vAlign w:val="center"/>
          </w:tcPr>
          <w:p w:rsidR="005A31A0" w:rsidRDefault="005B71AE">
            <w:pPr>
              <w:jc w:val="center"/>
            </w:pPr>
            <w:r>
              <w:rPr>
                <w:color w:val="000000"/>
                <w:kern w:val="0"/>
                <w:sz w:val="24"/>
                <w:szCs w:val="24"/>
              </w:rPr>
              <w:t>0.17%</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易方达岁丰添利债券型证券投资基金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2010</w:t>
      </w:r>
      <w:r w:rsidRPr="0074694E">
        <w:rPr>
          <w:rFonts w:ascii="Times New Roman" w:hAnsi="Times New Roman"/>
          <w:sz w:val="24"/>
          <w:szCs w:val="24"/>
        </w:rPr>
        <w:t>年</w:t>
      </w:r>
      <w:r w:rsidRPr="0074694E">
        <w:rPr>
          <w:rFonts w:ascii="Times New Roman" w:hAnsi="Times New Roman"/>
          <w:sz w:val="24"/>
          <w:szCs w:val="24"/>
        </w:rPr>
        <w:t>11</w:t>
      </w:r>
      <w:r w:rsidRPr="0074694E">
        <w:rPr>
          <w:rFonts w:ascii="Times New Roman" w:hAnsi="Times New Roman"/>
          <w:sz w:val="24"/>
          <w:szCs w:val="24"/>
        </w:rPr>
        <w:t>月</w:t>
      </w:r>
      <w:r w:rsidRPr="0074694E">
        <w:rPr>
          <w:rFonts w:ascii="Times New Roman" w:hAnsi="Times New Roman"/>
          <w:sz w:val="24"/>
          <w:szCs w:val="24"/>
        </w:rPr>
        <w:t>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5B71AE"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129.01%</w:t>
      </w:r>
      <w:r w:rsidRPr="006C56AA">
        <w:rPr>
          <w:color w:val="000000"/>
          <w:sz w:val="24"/>
          <w:szCs w:val="24"/>
        </w:rPr>
        <w:t>，同期业绩比较基准收益率为</w:t>
      </w:r>
      <w:r w:rsidRPr="006C56AA">
        <w:rPr>
          <w:color w:val="000000"/>
          <w:sz w:val="24"/>
          <w:szCs w:val="24"/>
        </w:rPr>
        <w:t>42.76%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5A31A0">
        <w:tc>
          <w:tcPr>
            <w:tcW w:w="567" w:type="dxa"/>
            <w:vAlign w:val="center"/>
          </w:tcPr>
          <w:p w:rsidR="005A31A0" w:rsidRDefault="005B71AE">
            <w:pPr>
              <w:jc w:val="center"/>
            </w:pPr>
            <w:r>
              <w:rPr>
                <w:color w:val="000000"/>
                <w:sz w:val="24"/>
              </w:rPr>
              <w:t>胡剑</w:t>
            </w:r>
          </w:p>
        </w:tc>
        <w:tc>
          <w:tcPr>
            <w:tcW w:w="2835" w:type="dxa"/>
            <w:vAlign w:val="center"/>
          </w:tcPr>
          <w:p w:rsidR="005A31A0" w:rsidRDefault="005B71AE">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w:t>
            </w:r>
            <w:r>
              <w:rPr>
                <w:color w:val="000000"/>
                <w:sz w:val="24"/>
              </w:rPr>
              <w:t>易方达瑞富灵活配置混合型证券投资基金的基金经理、易方达瑞财灵活配置混合型证券投资基金的基金经理、易方达恒益定期开放债券型发起式证券投资基金的基金经理、易方达恒盛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w:t>
            </w:r>
            <w:r>
              <w:rPr>
                <w:color w:val="000000"/>
                <w:sz w:val="24"/>
              </w:rPr>
              <w:t>益投资部总经理</w:t>
            </w:r>
          </w:p>
        </w:tc>
        <w:tc>
          <w:tcPr>
            <w:tcW w:w="851" w:type="dxa"/>
            <w:vAlign w:val="center"/>
          </w:tcPr>
          <w:p w:rsidR="005A31A0" w:rsidRDefault="005B71AE">
            <w:pPr>
              <w:jc w:val="center"/>
            </w:pPr>
            <w:r>
              <w:rPr>
                <w:color w:val="000000"/>
                <w:sz w:val="24"/>
              </w:rPr>
              <w:t>2019-01-04</w:t>
            </w:r>
          </w:p>
        </w:tc>
        <w:tc>
          <w:tcPr>
            <w:tcW w:w="850" w:type="dxa"/>
            <w:vAlign w:val="center"/>
          </w:tcPr>
          <w:p w:rsidR="005A31A0" w:rsidRDefault="005B71AE">
            <w:pPr>
              <w:jc w:val="center"/>
            </w:pPr>
            <w:r>
              <w:rPr>
                <w:color w:val="000000"/>
                <w:sz w:val="24"/>
              </w:rPr>
              <w:t>-</w:t>
            </w:r>
          </w:p>
        </w:tc>
        <w:tc>
          <w:tcPr>
            <w:tcW w:w="851" w:type="dxa"/>
            <w:vAlign w:val="center"/>
          </w:tcPr>
          <w:p w:rsidR="005A31A0" w:rsidRDefault="005B71AE">
            <w:pPr>
              <w:jc w:val="center"/>
            </w:pPr>
            <w:r>
              <w:rPr>
                <w:color w:val="000000"/>
                <w:sz w:val="24"/>
              </w:rPr>
              <w:t>13</w:t>
            </w:r>
            <w:r>
              <w:rPr>
                <w:color w:val="000000"/>
                <w:sz w:val="24"/>
              </w:rPr>
              <w:t>年</w:t>
            </w:r>
          </w:p>
        </w:tc>
        <w:tc>
          <w:tcPr>
            <w:tcW w:w="2977" w:type="dxa"/>
            <w:vAlign w:val="center"/>
          </w:tcPr>
          <w:p w:rsidR="005A31A0" w:rsidRDefault="005B71AE">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5A31A0" w:rsidRDefault="005B71A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5A31A0" w:rsidRDefault="005B71AE">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5A31A0" w:rsidRDefault="005B71AE">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年三季度宏观经济数据逐步走低，体现为工业增加值数据在</w:t>
      </w:r>
      <w:r>
        <w:rPr>
          <w:color w:val="000000"/>
          <w:sz w:val="24"/>
          <w:szCs w:val="24"/>
        </w:rPr>
        <w:t>7-8</w:t>
      </w:r>
      <w:r>
        <w:rPr>
          <w:color w:val="000000"/>
          <w:sz w:val="24"/>
          <w:szCs w:val="24"/>
        </w:rPr>
        <w:t>月有所走弱，</w:t>
      </w:r>
      <w:r>
        <w:rPr>
          <w:color w:val="000000"/>
          <w:sz w:val="24"/>
          <w:szCs w:val="24"/>
        </w:rPr>
        <w:t>7</w:t>
      </w:r>
      <w:r>
        <w:rPr>
          <w:color w:val="000000"/>
          <w:sz w:val="24"/>
          <w:szCs w:val="24"/>
        </w:rPr>
        <w:t>月工业增加值同比增长</w:t>
      </w:r>
      <w:r>
        <w:rPr>
          <w:color w:val="000000"/>
          <w:sz w:val="24"/>
          <w:szCs w:val="24"/>
        </w:rPr>
        <w:t>4.8%</w:t>
      </w:r>
      <w:r>
        <w:rPr>
          <w:color w:val="000000"/>
          <w:sz w:val="24"/>
          <w:szCs w:val="24"/>
        </w:rPr>
        <w:t>，明显低于预期，不过由于之前</w:t>
      </w:r>
      <w:r>
        <w:rPr>
          <w:color w:val="000000"/>
          <w:sz w:val="24"/>
          <w:szCs w:val="24"/>
        </w:rPr>
        <w:t>6</w:t>
      </w:r>
      <w:r>
        <w:rPr>
          <w:color w:val="000000"/>
          <w:sz w:val="24"/>
          <w:szCs w:val="24"/>
        </w:rPr>
        <w:t>月工业增加值同比增长</w:t>
      </w:r>
      <w:r>
        <w:rPr>
          <w:color w:val="000000"/>
          <w:sz w:val="24"/>
          <w:szCs w:val="24"/>
        </w:rPr>
        <w:t>6.3%</w:t>
      </w:r>
      <w:r>
        <w:rPr>
          <w:color w:val="000000"/>
          <w:sz w:val="24"/>
          <w:szCs w:val="24"/>
        </w:rPr>
        <w:t>，大幅超过市场预期，两个月结合在一起看经济还相对平稳；但是</w:t>
      </w:r>
      <w:r>
        <w:rPr>
          <w:color w:val="000000"/>
          <w:sz w:val="24"/>
          <w:szCs w:val="24"/>
        </w:rPr>
        <w:t>8</w:t>
      </w:r>
      <w:r>
        <w:rPr>
          <w:color w:val="000000"/>
          <w:sz w:val="24"/>
          <w:szCs w:val="24"/>
        </w:rPr>
        <w:t>月工业增加值同比增长</w:t>
      </w:r>
      <w:r>
        <w:rPr>
          <w:color w:val="000000"/>
          <w:sz w:val="24"/>
          <w:szCs w:val="24"/>
        </w:rPr>
        <w:t>4.4%</w:t>
      </w:r>
      <w:r>
        <w:rPr>
          <w:color w:val="000000"/>
          <w:sz w:val="24"/>
          <w:szCs w:val="24"/>
        </w:rPr>
        <w:t>，继续低于预期，显示经济增长动能较弱。投资方面，</w:t>
      </w:r>
      <w:r>
        <w:rPr>
          <w:color w:val="000000"/>
          <w:sz w:val="24"/>
          <w:szCs w:val="24"/>
        </w:rPr>
        <w:t>2019</w:t>
      </w:r>
      <w:r>
        <w:rPr>
          <w:color w:val="000000"/>
          <w:sz w:val="24"/>
          <w:szCs w:val="24"/>
        </w:rPr>
        <w:t>年</w:t>
      </w:r>
      <w:r>
        <w:rPr>
          <w:color w:val="000000"/>
          <w:sz w:val="24"/>
          <w:szCs w:val="24"/>
        </w:rPr>
        <w:t>1-8</w:t>
      </w:r>
      <w:r>
        <w:rPr>
          <w:color w:val="000000"/>
          <w:sz w:val="24"/>
          <w:szCs w:val="24"/>
        </w:rPr>
        <w:t>月份全国固定资产投资同比增长</w:t>
      </w:r>
      <w:r>
        <w:rPr>
          <w:color w:val="000000"/>
          <w:sz w:val="24"/>
          <w:szCs w:val="24"/>
        </w:rPr>
        <w:t>5.5%</w:t>
      </w:r>
      <w:r>
        <w:rPr>
          <w:color w:val="000000"/>
          <w:sz w:val="24"/>
          <w:szCs w:val="24"/>
        </w:rPr>
        <w:t>，增速比</w:t>
      </w:r>
      <w:r>
        <w:rPr>
          <w:color w:val="000000"/>
          <w:sz w:val="24"/>
          <w:szCs w:val="24"/>
        </w:rPr>
        <w:t>1-6</w:t>
      </w:r>
      <w:r>
        <w:rPr>
          <w:color w:val="000000"/>
          <w:sz w:val="24"/>
          <w:szCs w:val="24"/>
        </w:rPr>
        <w:t>月份回落</w:t>
      </w:r>
      <w:r>
        <w:rPr>
          <w:color w:val="000000"/>
          <w:sz w:val="24"/>
          <w:szCs w:val="24"/>
        </w:rPr>
        <w:t>0.3</w:t>
      </w:r>
      <w:r>
        <w:rPr>
          <w:color w:val="000000"/>
          <w:sz w:val="24"/>
          <w:szCs w:val="24"/>
        </w:rPr>
        <w:t>个百分点，投资在</w:t>
      </w:r>
      <w:r>
        <w:rPr>
          <w:color w:val="000000"/>
          <w:sz w:val="24"/>
          <w:szCs w:val="24"/>
        </w:rPr>
        <w:t>7-8</w:t>
      </w:r>
      <w:r>
        <w:rPr>
          <w:color w:val="000000"/>
          <w:sz w:val="24"/>
          <w:szCs w:val="24"/>
        </w:rPr>
        <w:t>月连续两个月下滑，结构上主要是民间投资连续两个月回落明显。消费方面，</w:t>
      </w:r>
      <w:r>
        <w:rPr>
          <w:color w:val="000000"/>
          <w:sz w:val="24"/>
          <w:szCs w:val="24"/>
        </w:rPr>
        <w:t>7</w:t>
      </w:r>
      <w:r>
        <w:rPr>
          <w:color w:val="000000"/>
          <w:sz w:val="24"/>
          <w:szCs w:val="24"/>
        </w:rPr>
        <w:t>月和</w:t>
      </w:r>
      <w:r>
        <w:rPr>
          <w:color w:val="000000"/>
          <w:sz w:val="24"/>
          <w:szCs w:val="24"/>
        </w:rPr>
        <w:t>8</w:t>
      </w:r>
      <w:r>
        <w:rPr>
          <w:color w:val="000000"/>
          <w:sz w:val="24"/>
          <w:szCs w:val="24"/>
        </w:rPr>
        <w:t>月社会消费品零售总额同比增长分别</w:t>
      </w:r>
      <w:r>
        <w:rPr>
          <w:color w:val="000000"/>
          <w:sz w:val="24"/>
          <w:szCs w:val="24"/>
        </w:rPr>
        <w:t>为</w:t>
      </w:r>
      <w:r>
        <w:rPr>
          <w:color w:val="000000"/>
          <w:sz w:val="24"/>
          <w:szCs w:val="24"/>
        </w:rPr>
        <w:t>7.6%</w:t>
      </w:r>
      <w:r>
        <w:rPr>
          <w:color w:val="000000"/>
          <w:sz w:val="24"/>
          <w:szCs w:val="24"/>
        </w:rPr>
        <w:t>和</w:t>
      </w:r>
      <w:r>
        <w:rPr>
          <w:color w:val="000000"/>
          <w:sz w:val="24"/>
          <w:szCs w:val="24"/>
        </w:rPr>
        <w:t>7.5%</w:t>
      </w:r>
      <w:r>
        <w:rPr>
          <w:color w:val="000000"/>
          <w:sz w:val="24"/>
          <w:szCs w:val="24"/>
        </w:rPr>
        <w:t>，与工业数据一致，呈现季末大幅上升、季初大幅回落的数据特征，总体来看较为平稳。通胀方面，</w:t>
      </w:r>
      <w:r>
        <w:rPr>
          <w:color w:val="000000"/>
          <w:sz w:val="24"/>
          <w:szCs w:val="24"/>
        </w:rPr>
        <w:t>7</w:t>
      </w:r>
      <w:r>
        <w:rPr>
          <w:color w:val="000000"/>
          <w:sz w:val="24"/>
          <w:szCs w:val="24"/>
        </w:rPr>
        <w:t>月和</w:t>
      </w:r>
      <w:r>
        <w:rPr>
          <w:color w:val="000000"/>
          <w:sz w:val="24"/>
          <w:szCs w:val="24"/>
        </w:rPr>
        <w:t>8</w:t>
      </w:r>
      <w:r>
        <w:rPr>
          <w:color w:val="000000"/>
          <w:sz w:val="24"/>
          <w:szCs w:val="24"/>
        </w:rPr>
        <w:t>月</w:t>
      </w:r>
      <w:r>
        <w:rPr>
          <w:color w:val="000000"/>
          <w:sz w:val="24"/>
          <w:szCs w:val="24"/>
        </w:rPr>
        <w:t>CPI</w:t>
      </w:r>
      <w:r>
        <w:rPr>
          <w:color w:val="000000"/>
          <w:sz w:val="24"/>
          <w:szCs w:val="24"/>
        </w:rPr>
        <w:t>同比都上涨</w:t>
      </w:r>
      <w:r>
        <w:rPr>
          <w:color w:val="000000"/>
          <w:sz w:val="24"/>
          <w:szCs w:val="24"/>
        </w:rPr>
        <w:t>2.8%</w:t>
      </w:r>
      <w:r>
        <w:rPr>
          <w:color w:val="000000"/>
          <w:sz w:val="24"/>
          <w:szCs w:val="24"/>
        </w:rPr>
        <w:t>，略超市场预期，结构上，主要是食品高于预期，非食品略低于预期，结构分化比较明显，非食品在形成通胀预期方面更为重要，从这个角度来看通胀压力可控。金融数据方面，</w:t>
      </w:r>
      <w:r>
        <w:rPr>
          <w:color w:val="000000"/>
          <w:sz w:val="24"/>
          <w:szCs w:val="24"/>
        </w:rPr>
        <w:t>7</w:t>
      </w:r>
      <w:r>
        <w:rPr>
          <w:color w:val="000000"/>
          <w:sz w:val="24"/>
          <w:szCs w:val="24"/>
        </w:rPr>
        <w:t>月新增社会融资规模数据较差，但</w:t>
      </w:r>
      <w:r>
        <w:rPr>
          <w:color w:val="000000"/>
          <w:sz w:val="24"/>
          <w:szCs w:val="24"/>
        </w:rPr>
        <w:t>8</w:t>
      </w:r>
      <w:r>
        <w:rPr>
          <w:color w:val="000000"/>
          <w:sz w:val="24"/>
          <w:szCs w:val="24"/>
        </w:rPr>
        <w:t>月数据较好，不过可能与银行希望在贷款利率调整之前加速放贷有关，是否具有持续性仍有待观察。结构上，表内实体贷款中居民中长期贷款持续表现较好。</w:t>
      </w:r>
    </w:p>
    <w:p w:rsidR="005A31A0" w:rsidRDefault="005B71AE">
      <w:pPr>
        <w:spacing w:line="360" w:lineRule="auto"/>
        <w:ind w:firstLineChars="200" w:firstLine="480"/>
        <w:rPr>
          <w:color w:val="000000"/>
          <w:sz w:val="24"/>
          <w:szCs w:val="24"/>
        </w:rPr>
      </w:pPr>
      <w:r>
        <w:rPr>
          <w:color w:val="000000"/>
          <w:sz w:val="24"/>
          <w:szCs w:val="24"/>
        </w:rPr>
        <w:t>债券市场在三季度先涨后跌，延续震荡走势。</w:t>
      </w:r>
      <w:r>
        <w:rPr>
          <w:color w:val="000000"/>
          <w:sz w:val="24"/>
          <w:szCs w:val="24"/>
        </w:rPr>
        <w:t>7</w:t>
      </w:r>
      <w:r>
        <w:rPr>
          <w:color w:val="000000"/>
          <w:sz w:val="24"/>
          <w:szCs w:val="24"/>
        </w:rPr>
        <w:t>月，工业数据超预期但持续性存疑，海外主要央行</w:t>
      </w:r>
      <w:r>
        <w:rPr>
          <w:color w:val="000000"/>
          <w:sz w:val="24"/>
          <w:szCs w:val="24"/>
        </w:rPr>
        <w:t>“</w:t>
      </w:r>
      <w:r>
        <w:rPr>
          <w:color w:val="000000"/>
          <w:sz w:val="24"/>
          <w:szCs w:val="24"/>
        </w:rPr>
        <w:t>鸽派</w:t>
      </w:r>
      <w:r>
        <w:rPr>
          <w:color w:val="000000"/>
          <w:sz w:val="24"/>
          <w:szCs w:val="24"/>
        </w:rPr>
        <w:t>”</w:t>
      </w:r>
      <w:r>
        <w:rPr>
          <w:color w:val="000000"/>
          <w:sz w:val="24"/>
          <w:szCs w:val="24"/>
        </w:rPr>
        <w:t>宽松，全月看债券市场收益率震荡下行，利率债中长端下行幅度较大。</w:t>
      </w:r>
      <w:r>
        <w:rPr>
          <w:color w:val="000000"/>
          <w:sz w:val="24"/>
          <w:szCs w:val="24"/>
        </w:rPr>
        <w:t>8</w:t>
      </w:r>
      <w:r>
        <w:rPr>
          <w:color w:val="000000"/>
          <w:sz w:val="24"/>
          <w:szCs w:val="24"/>
        </w:rPr>
        <w:t>月，受全球衰退式宽松、中美贸易摩擦加剧、基本面数据不及预期等多重利好因素影响，债券市场继续上涨，利率债长端收益率创本轮牛市新低。</w:t>
      </w:r>
      <w:r>
        <w:rPr>
          <w:color w:val="000000"/>
          <w:sz w:val="24"/>
          <w:szCs w:val="24"/>
        </w:rPr>
        <w:t>9</w:t>
      </w:r>
      <w:r>
        <w:rPr>
          <w:color w:val="000000"/>
          <w:sz w:val="24"/>
          <w:szCs w:val="24"/>
        </w:rPr>
        <w:t>月，缺少利好刺激，部分机构担心明年专项债提前发行，债券收益率出现回调。</w:t>
      </w:r>
    </w:p>
    <w:p w:rsidR="005A31A0" w:rsidRDefault="005B71AE">
      <w:pPr>
        <w:spacing w:line="360" w:lineRule="auto"/>
        <w:ind w:firstLineChars="200" w:firstLine="480"/>
        <w:rPr>
          <w:color w:val="000000"/>
          <w:sz w:val="24"/>
          <w:szCs w:val="24"/>
        </w:rPr>
      </w:pPr>
      <w:r>
        <w:rPr>
          <w:color w:val="000000"/>
          <w:sz w:val="24"/>
          <w:szCs w:val="24"/>
        </w:rPr>
        <w:t>股票市场方面，三季度股票市场横盘整理，创业板表现好于主板。全季看，上证</w:t>
      </w:r>
      <w:r>
        <w:rPr>
          <w:color w:val="000000"/>
          <w:sz w:val="24"/>
          <w:szCs w:val="24"/>
        </w:rPr>
        <w:t>50</w:t>
      </w:r>
      <w:r>
        <w:rPr>
          <w:color w:val="000000"/>
          <w:sz w:val="24"/>
          <w:szCs w:val="24"/>
        </w:rPr>
        <w:t>指数下跌</w:t>
      </w:r>
      <w:r>
        <w:rPr>
          <w:color w:val="000000"/>
          <w:sz w:val="24"/>
          <w:szCs w:val="24"/>
        </w:rPr>
        <w:t>1.12%</w:t>
      </w:r>
      <w:r>
        <w:rPr>
          <w:color w:val="000000"/>
          <w:sz w:val="24"/>
          <w:szCs w:val="24"/>
        </w:rPr>
        <w:t>，沪深</w:t>
      </w:r>
      <w:r>
        <w:rPr>
          <w:color w:val="000000"/>
          <w:sz w:val="24"/>
          <w:szCs w:val="24"/>
        </w:rPr>
        <w:t>300</w:t>
      </w:r>
      <w:r>
        <w:rPr>
          <w:color w:val="000000"/>
          <w:sz w:val="24"/>
          <w:szCs w:val="24"/>
        </w:rPr>
        <w:t>指数下跌</w:t>
      </w:r>
      <w:r>
        <w:rPr>
          <w:color w:val="000000"/>
          <w:sz w:val="24"/>
          <w:szCs w:val="24"/>
        </w:rPr>
        <w:t>0.29%</w:t>
      </w:r>
      <w:r>
        <w:rPr>
          <w:color w:val="000000"/>
          <w:sz w:val="24"/>
          <w:szCs w:val="24"/>
        </w:rPr>
        <w:t>，上证综指下跌</w:t>
      </w:r>
      <w:r>
        <w:rPr>
          <w:color w:val="000000"/>
          <w:sz w:val="24"/>
          <w:szCs w:val="24"/>
        </w:rPr>
        <w:t>2.47%</w:t>
      </w:r>
      <w:r>
        <w:rPr>
          <w:color w:val="000000"/>
          <w:sz w:val="24"/>
          <w:szCs w:val="24"/>
        </w:rPr>
        <w:t>，创业板指数上涨</w:t>
      </w:r>
      <w:r>
        <w:rPr>
          <w:color w:val="000000"/>
          <w:sz w:val="24"/>
          <w:szCs w:val="24"/>
        </w:rPr>
        <w:t>7.68%</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组合在三季度维持了中性偏高的杠杆水平，重点关注信用风险以及组合的流动性风险，积极根据市场情况进行利率债波段操作；权益仓位方面，保留的股票仓位旨在承受一定波动的前提下获得长期超过债券的回报。从各类资产的贡献度来看，信用债和权益资产为组合贡献了较多正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1.494</w:t>
      </w:r>
      <w:r w:rsidRPr="006C56AA">
        <w:rPr>
          <w:color w:val="000000"/>
          <w:sz w:val="24"/>
          <w:szCs w:val="24"/>
        </w:rPr>
        <w:t>元，本报告期份额净值增长率为</w:t>
      </w:r>
      <w:r w:rsidRPr="006C56AA">
        <w:rPr>
          <w:color w:val="000000"/>
          <w:sz w:val="24"/>
          <w:szCs w:val="24"/>
        </w:rPr>
        <w:t>2.61%</w:t>
      </w:r>
      <w:r w:rsidRPr="006C56AA">
        <w:rPr>
          <w:color w:val="000000"/>
          <w:sz w:val="24"/>
          <w:szCs w:val="24"/>
        </w:rPr>
        <w:t>，同期业绩比较基准收益率为</w:t>
      </w:r>
      <w:r w:rsidRPr="006C56AA">
        <w:rPr>
          <w:color w:val="000000"/>
          <w:sz w:val="24"/>
          <w:szCs w:val="24"/>
        </w:rPr>
        <w:t>1.00%</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11,830,959.70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11,830,959.70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106,616,583.10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86.78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106,616,583.10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86.78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2,129,357.53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2,278,235.21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1.85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122,855,135.54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9,418,064.22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10.39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2,412,895.48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11,830,959.70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13.05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5A31A0">
        <w:tc>
          <w:tcPr>
            <w:tcW w:w="851" w:type="dxa"/>
            <w:vAlign w:val="center"/>
          </w:tcPr>
          <w:p w:rsidR="005A31A0" w:rsidRDefault="005B71AE">
            <w:pPr>
              <w:jc w:val="center"/>
            </w:pPr>
            <w:r>
              <w:rPr>
                <w:color w:val="000000"/>
                <w:kern w:val="0"/>
                <w:sz w:val="24"/>
                <w:szCs w:val="24"/>
              </w:rPr>
              <w:t>1</w:t>
            </w:r>
          </w:p>
        </w:tc>
        <w:tc>
          <w:tcPr>
            <w:tcW w:w="1276" w:type="dxa"/>
            <w:vAlign w:val="center"/>
          </w:tcPr>
          <w:p w:rsidR="005A31A0" w:rsidRDefault="005B71AE">
            <w:pPr>
              <w:jc w:val="center"/>
            </w:pPr>
            <w:r>
              <w:rPr>
                <w:color w:val="000000"/>
                <w:kern w:val="0"/>
                <w:sz w:val="24"/>
                <w:szCs w:val="24"/>
              </w:rPr>
              <w:t>603338</w:t>
            </w:r>
          </w:p>
        </w:tc>
        <w:tc>
          <w:tcPr>
            <w:tcW w:w="1418" w:type="dxa"/>
            <w:vAlign w:val="center"/>
          </w:tcPr>
          <w:p w:rsidR="005A31A0" w:rsidRDefault="005B71AE">
            <w:pPr>
              <w:jc w:val="center"/>
            </w:pPr>
            <w:r>
              <w:rPr>
                <w:color w:val="000000"/>
                <w:kern w:val="0"/>
                <w:sz w:val="24"/>
                <w:szCs w:val="24"/>
              </w:rPr>
              <w:t>浙江鼎力</w:t>
            </w:r>
          </w:p>
        </w:tc>
        <w:tc>
          <w:tcPr>
            <w:tcW w:w="1701" w:type="dxa"/>
            <w:vAlign w:val="center"/>
          </w:tcPr>
          <w:p w:rsidR="005A31A0" w:rsidRDefault="005B71AE">
            <w:pPr>
              <w:jc w:val="right"/>
            </w:pPr>
            <w:r>
              <w:rPr>
                <w:color w:val="000000"/>
                <w:kern w:val="0"/>
                <w:sz w:val="24"/>
                <w:szCs w:val="24"/>
              </w:rPr>
              <w:t>64,263</w:t>
            </w:r>
          </w:p>
        </w:tc>
        <w:tc>
          <w:tcPr>
            <w:tcW w:w="1984" w:type="dxa"/>
            <w:vAlign w:val="center"/>
          </w:tcPr>
          <w:p w:rsidR="005A31A0" w:rsidRDefault="005B71AE">
            <w:pPr>
              <w:jc w:val="right"/>
            </w:pPr>
            <w:r>
              <w:rPr>
                <w:color w:val="000000"/>
                <w:kern w:val="0"/>
                <w:sz w:val="24"/>
                <w:szCs w:val="24"/>
              </w:rPr>
              <w:t>3,706,689.84</w:t>
            </w:r>
          </w:p>
        </w:tc>
        <w:tc>
          <w:tcPr>
            <w:tcW w:w="1559" w:type="dxa"/>
            <w:vAlign w:val="center"/>
          </w:tcPr>
          <w:p w:rsidR="005A31A0" w:rsidRDefault="005B71AE">
            <w:pPr>
              <w:jc w:val="right"/>
            </w:pPr>
            <w:r>
              <w:rPr>
                <w:color w:val="000000"/>
                <w:kern w:val="0"/>
                <w:sz w:val="24"/>
                <w:szCs w:val="24"/>
              </w:rPr>
              <w:t>4.09</w:t>
            </w:r>
          </w:p>
        </w:tc>
      </w:tr>
      <w:tr w:rsidR="005A31A0">
        <w:tc>
          <w:tcPr>
            <w:tcW w:w="851" w:type="dxa"/>
            <w:vAlign w:val="center"/>
          </w:tcPr>
          <w:p w:rsidR="005A31A0" w:rsidRDefault="005B71AE">
            <w:pPr>
              <w:jc w:val="center"/>
            </w:pPr>
            <w:r>
              <w:rPr>
                <w:color w:val="000000"/>
                <w:kern w:val="0"/>
                <w:sz w:val="24"/>
                <w:szCs w:val="24"/>
              </w:rPr>
              <w:t>2</w:t>
            </w:r>
          </w:p>
        </w:tc>
        <w:tc>
          <w:tcPr>
            <w:tcW w:w="1276" w:type="dxa"/>
            <w:vAlign w:val="center"/>
          </w:tcPr>
          <w:p w:rsidR="005A31A0" w:rsidRDefault="005B71AE">
            <w:pPr>
              <w:jc w:val="center"/>
            </w:pPr>
            <w:r>
              <w:rPr>
                <w:color w:val="000000"/>
                <w:kern w:val="0"/>
                <w:sz w:val="24"/>
                <w:szCs w:val="24"/>
              </w:rPr>
              <w:t>000568</w:t>
            </w:r>
          </w:p>
        </w:tc>
        <w:tc>
          <w:tcPr>
            <w:tcW w:w="1418" w:type="dxa"/>
            <w:vAlign w:val="center"/>
          </w:tcPr>
          <w:p w:rsidR="005A31A0" w:rsidRDefault="005B71AE">
            <w:pPr>
              <w:jc w:val="center"/>
            </w:pPr>
            <w:r>
              <w:rPr>
                <w:color w:val="000000"/>
                <w:kern w:val="0"/>
                <w:sz w:val="24"/>
                <w:szCs w:val="24"/>
              </w:rPr>
              <w:t>泸州老窖</w:t>
            </w:r>
          </w:p>
        </w:tc>
        <w:tc>
          <w:tcPr>
            <w:tcW w:w="1701" w:type="dxa"/>
            <w:vAlign w:val="center"/>
          </w:tcPr>
          <w:p w:rsidR="005A31A0" w:rsidRDefault="005B71AE">
            <w:pPr>
              <w:jc w:val="right"/>
            </w:pPr>
            <w:r>
              <w:rPr>
                <w:color w:val="000000"/>
                <w:kern w:val="0"/>
                <w:sz w:val="24"/>
                <w:szCs w:val="24"/>
              </w:rPr>
              <w:t>41,667</w:t>
            </w:r>
          </w:p>
        </w:tc>
        <w:tc>
          <w:tcPr>
            <w:tcW w:w="1984" w:type="dxa"/>
            <w:vAlign w:val="center"/>
          </w:tcPr>
          <w:p w:rsidR="005A31A0" w:rsidRDefault="005B71AE">
            <w:pPr>
              <w:jc w:val="right"/>
            </w:pPr>
            <w:r>
              <w:rPr>
                <w:color w:val="000000"/>
                <w:kern w:val="0"/>
                <w:sz w:val="24"/>
                <w:szCs w:val="24"/>
              </w:rPr>
              <w:t>3,550,861.74</w:t>
            </w:r>
          </w:p>
        </w:tc>
        <w:tc>
          <w:tcPr>
            <w:tcW w:w="1559" w:type="dxa"/>
            <w:vAlign w:val="center"/>
          </w:tcPr>
          <w:p w:rsidR="005A31A0" w:rsidRDefault="005B71AE">
            <w:pPr>
              <w:jc w:val="right"/>
            </w:pPr>
            <w:r>
              <w:rPr>
                <w:color w:val="000000"/>
                <w:kern w:val="0"/>
                <w:sz w:val="24"/>
                <w:szCs w:val="24"/>
              </w:rPr>
              <w:t>3.92</w:t>
            </w:r>
          </w:p>
        </w:tc>
      </w:tr>
      <w:tr w:rsidR="005A31A0">
        <w:tc>
          <w:tcPr>
            <w:tcW w:w="851" w:type="dxa"/>
            <w:vAlign w:val="center"/>
          </w:tcPr>
          <w:p w:rsidR="005A31A0" w:rsidRDefault="005B71AE">
            <w:pPr>
              <w:jc w:val="center"/>
            </w:pPr>
            <w:r>
              <w:rPr>
                <w:color w:val="000000"/>
                <w:kern w:val="0"/>
                <w:sz w:val="24"/>
                <w:szCs w:val="24"/>
              </w:rPr>
              <w:t>3</w:t>
            </w:r>
          </w:p>
        </w:tc>
        <w:tc>
          <w:tcPr>
            <w:tcW w:w="1276" w:type="dxa"/>
            <w:vAlign w:val="center"/>
          </w:tcPr>
          <w:p w:rsidR="005A31A0" w:rsidRDefault="005B71AE">
            <w:pPr>
              <w:jc w:val="center"/>
            </w:pPr>
            <w:r>
              <w:rPr>
                <w:color w:val="000000"/>
                <w:kern w:val="0"/>
                <w:sz w:val="24"/>
                <w:szCs w:val="24"/>
              </w:rPr>
              <w:t>000001</w:t>
            </w:r>
          </w:p>
        </w:tc>
        <w:tc>
          <w:tcPr>
            <w:tcW w:w="1418" w:type="dxa"/>
            <w:vAlign w:val="center"/>
          </w:tcPr>
          <w:p w:rsidR="005A31A0" w:rsidRDefault="005B71AE">
            <w:pPr>
              <w:jc w:val="center"/>
            </w:pPr>
            <w:r>
              <w:rPr>
                <w:color w:val="000000"/>
                <w:kern w:val="0"/>
                <w:sz w:val="24"/>
                <w:szCs w:val="24"/>
              </w:rPr>
              <w:t>平安银行</w:t>
            </w:r>
          </w:p>
        </w:tc>
        <w:tc>
          <w:tcPr>
            <w:tcW w:w="1701" w:type="dxa"/>
            <w:vAlign w:val="center"/>
          </w:tcPr>
          <w:p w:rsidR="005A31A0" w:rsidRDefault="005B71AE">
            <w:pPr>
              <w:jc w:val="right"/>
            </w:pPr>
            <w:r>
              <w:rPr>
                <w:color w:val="000000"/>
                <w:kern w:val="0"/>
                <w:sz w:val="24"/>
                <w:szCs w:val="24"/>
              </w:rPr>
              <w:t>154,772</w:t>
            </w:r>
          </w:p>
        </w:tc>
        <w:tc>
          <w:tcPr>
            <w:tcW w:w="1984" w:type="dxa"/>
            <w:vAlign w:val="center"/>
          </w:tcPr>
          <w:p w:rsidR="005A31A0" w:rsidRDefault="005B71AE">
            <w:pPr>
              <w:jc w:val="right"/>
            </w:pPr>
            <w:r>
              <w:rPr>
                <w:color w:val="000000"/>
                <w:kern w:val="0"/>
                <w:sz w:val="24"/>
                <w:szCs w:val="24"/>
              </w:rPr>
              <w:t>2,412,895.48</w:t>
            </w:r>
          </w:p>
        </w:tc>
        <w:tc>
          <w:tcPr>
            <w:tcW w:w="1559" w:type="dxa"/>
            <w:vAlign w:val="center"/>
          </w:tcPr>
          <w:p w:rsidR="005A31A0" w:rsidRDefault="005B71AE">
            <w:pPr>
              <w:jc w:val="right"/>
            </w:pPr>
            <w:r>
              <w:rPr>
                <w:color w:val="000000"/>
                <w:kern w:val="0"/>
                <w:sz w:val="24"/>
                <w:szCs w:val="24"/>
              </w:rPr>
              <w:t>2.66</w:t>
            </w:r>
          </w:p>
        </w:tc>
      </w:tr>
      <w:tr w:rsidR="005A31A0">
        <w:tc>
          <w:tcPr>
            <w:tcW w:w="851" w:type="dxa"/>
            <w:vAlign w:val="center"/>
          </w:tcPr>
          <w:p w:rsidR="005A31A0" w:rsidRDefault="005B71AE">
            <w:pPr>
              <w:jc w:val="center"/>
            </w:pPr>
            <w:r>
              <w:rPr>
                <w:color w:val="000000"/>
                <w:kern w:val="0"/>
                <w:sz w:val="24"/>
                <w:szCs w:val="24"/>
              </w:rPr>
              <w:t>4</w:t>
            </w:r>
          </w:p>
        </w:tc>
        <w:tc>
          <w:tcPr>
            <w:tcW w:w="1276" w:type="dxa"/>
            <w:vAlign w:val="center"/>
          </w:tcPr>
          <w:p w:rsidR="005A31A0" w:rsidRDefault="005B71AE">
            <w:pPr>
              <w:jc w:val="center"/>
            </w:pPr>
            <w:r>
              <w:rPr>
                <w:color w:val="000000"/>
                <w:kern w:val="0"/>
                <w:sz w:val="24"/>
                <w:szCs w:val="24"/>
              </w:rPr>
              <w:t>601012</w:t>
            </w:r>
          </w:p>
        </w:tc>
        <w:tc>
          <w:tcPr>
            <w:tcW w:w="1418" w:type="dxa"/>
            <w:vAlign w:val="center"/>
          </w:tcPr>
          <w:p w:rsidR="005A31A0" w:rsidRDefault="005B71AE">
            <w:pPr>
              <w:jc w:val="center"/>
            </w:pPr>
            <w:r>
              <w:rPr>
                <w:color w:val="000000"/>
                <w:kern w:val="0"/>
                <w:sz w:val="24"/>
                <w:szCs w:val="24"/>
              </w:rPr>
              <w:t>隆基股份</w:t>
            </w:r>
          </w:p>
        </w:tc>
        <w:tc>
          <w:tcPr>
            <w:tcW w:w="1701" w:type="dxa"/>
            <w:vAlign w:val="center"/>
          </w:tcPr>
          <w:p w:rsidR="005A31A0" w:rsidRDefault="005B71AE">
            <w:pPr>
              <w:jc w:val="right"/>
            </w:pPr>
            <w:r>
              <w:rPr>
                <w:color w:val="000000"/>
                <w:kern w:val="0"/>
                <w:sz w:val="24"/>
                <w:szCs w:val="24"/>
              </w:rPr>
              <w:t>82,368</w:t>
            </w:r>
          </w:p>
        </w:tc>
        <w:tc>
          <w:tcPr>
            <w:tcW w:w="1984" w:type="dxa"/>
            <w:vAlign w:val="center"/>
          </w:tcPr>
          <w:p w:rsidR="005A31A0" w:rsidRDefault="005B71AE">
            <w:pPr>
              <w:jc w:val="right"/>
            </w:pPr>
            <w:r>
              <w:rPr>
                <w:color w:val="000000"/>
                <w:kern w:val="0"/>
                <w:sz w:val="24"/>
                <w:szCs w:val="24"/>
              </w:rPr>
              <w:t>2,160,512.64</w:t>
            </w:r>
          </w:p>
        </w:tc>
        <w:tc>
          <w:tcPr>
            <w:tcW w:w="1559" w:type="dxa"/>
            <w:vAlign w:val="center"/>
          </w:tcPr>
          <w:p w:rsidR="005A31A0" w:rsidRDefault="005B71AE">
            <w:pPr>
              <w:jc w:val="right"/>
            </w:pPr>
            <w:r>
              <w:rPr>
                <w:color w:val="000000"/>
                <w:kern w:val="0"/>
                <w:sz w:val="24"/>
                <w:szCs w:val="24"/>
              </w:rPr>
              <w:t>2.38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28,153,470.00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31.05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28,153,470.00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31.05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57,460,800.00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63.36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21,002,313.10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23.16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106,616,583.10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117.57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5A31A0">
        <w:tc>
          <w:tcPr>
            <w:tcW w:w="959" w:type="dxa"/>
            <w:vAlign w:val="center"/>
          </w:tcPr>
          <w:p w:rsidR="005A31A0" w:rsidRDefault="005B71AE">
            <w:pPr>
              <w:jc w:val="center"/>
            </w:pPr>
            <w:r>
              <w:rPr>
                <w:color w:val="000000"/>
                <w:kern w:val="0"/>
                <w:sz w:val="24"/>
                <w:szCs w:val="24"/>
              </w:rPr>
              <w:t>1</w:t>
            </w:r>
          </w:p>
        </w:tc>
        <w:tc>
          <w:tcPr>
            <w:tcW w:w="1276" w:type="dxa"/>
            <w:vAlign w:val="center"/>
          </w:tcPr>
          <w:p w:rsidR="005A31A0" w:rsidRDefault="005B71AE">
            <w:pPr>
              <w:jc w:val="center"/>
            </w:pPr>
            <w:r>
              <w:rPr>
                <w:color w:val="000000"/>
                <w:kern w:val="0"/>
                <w:sz w:val="24"/>
                <w:szCs w:val="24"/>
              </w:rPr>
              <w:t>190401</w:t>
            </w:r>
          </w:p>
        </w:tc>
        <w:tc>
          <w:tcPr>
            <w:tcW w:w="1275" w:type="dxa"/>
            <w:vAlign w:val="center"/>
          </w:tcPr>
          <w:p w:rsidR="005A31A0" w:rsidRDefault="005B71AE">
            <w:pPr>
              <w:jc w:val="center"/>
            </w:pPr>
            <w:r>
              <w:rPr>
                <w:color w:val="000000"/>
                <w:kern w:val="0"/>
                <w:sz w:val="24"/>
                <w:szCs w:val="24"/>
              </w:rPr>
              <w:t>19</w:t>
            </w:r>
            <w:r>
              <w:rPr>
                <w:color w:val="000000"/>
                <w:kern w:val="0"/>
                <w:sz w:val="24"/>
                <w:szCs w:val="24"/>
              </w:rPr>
              <w:t>农发</w:t>
            </w:r>
            <w:r>
              <w:rPr>
                <w:color w:val="000000"/>
                <w:kern w:val="0"/>
                <w:sz w:val="24"/>
                <w:szCs w:val="24"/>
              </w:rPr>
              <w:t>01</w:t>
            </w:r>
          </w:p>
        </w:tc>
        <w:tc>
          <w:tcPr>
            <w:tcW w:w="1560" w:type="dxa"/>
            <w:vAlign w:val="center"/>
          </w:tcPr>
          <w:p w:rsidR="005A31A0" w:rsidRDefault="005B71AE">
            <w:pPr>
              <w:jc w:val="right"/>
            </w:pPr>
            <w:r>
              <w:rPr>
                <w:color w:val="000000"/>
                <w:kern w:val="0"/>
                <w:sz w:val="24"/>
                <w:szCs w:val="24"/>
              </w:rPr>
              <w:t>200,000</w:t>
            </w:r>
          </w:p>
        </w:tc>
        <w:tc>
          <w:tcPr>
            <w:tcW w:w="1984" w:type="dxa"/>
            <w:vAlign w:val="center"/>
          </w:tcPr>
          <w:p w:rsidR="005A31A0" w:rsidRDefault="005B71AE">
            <w:pPr>
              <w:jc w:val="right"/>
            </w:pPr>
            <w:r>
              <w:rPr>
                <w:color w:val="000000"/>
                <w:kern w:val="0"/>
                <w:sz w:val="24"/>
                <w:szCs w:val="24"/>
              </w:rPr>
              <w:t>19,920,000.00</w:t>
            </w:r>
          </w:p>
        </w:tc>
        <w:tc>
          <w:tcPr>
            <w:tcW w:w="1474" w:type="dxa"/>
            <w:vAlign w:val="center"/>
          </w:tcPr>
          <w:p w:rsidR="005A31A0" w:rsidRDefault="005B71AE">
            <w:pPr>
              <w:jc w:val="right"/>
            </w:pPr>
            <w:r>
              <w:rPr>
                <w:color w:val="000000"/>
                <w:kern w:val="0"/>
                <w:sz w:val="24"/>
                <w:szCs w:val="24"/>
              </w:rPr>
              <w:t>21.97</w:t>
            </w:r>
          </w:p>
        </w:tc>
      </w:tr>
      <w:tr w:rsidR="005A31A0">
        <w:tc>
          <w:tcPr>
            <w:tcW w:w="959" w:type="dxa"/>
            <w:vAlign w:val="center"/>
          </w:tcPr>
          <w:p w:rsidR="005A31A0" w:rsidRDefault="005B71AE">
            <w:pPr>
              <w:jc w:val="center"/>
            </w:pPr>
            <w:r>
              <w:rPr>
                <w:color w:val="000000"/>
                <w:kern w:val="0"/>
                <w:sz w:val="24"/>
                <w:szCs w:val="24"/>
              </w:rPr>
              <w:t>2</w:t>
            </w:r>
          </w:p>
        </w:tc>
        <w:tc>
          <w:tcPr>
            <w:tcW w:w="1276" w:type="dxa"/>
            <w:vAlign w:val="center"/>
          </w:tcPr>
          <w:p w:rsidR="005A31A0" w:rsidRDefault="005B71AE">
            <w:pPr>
              <w:jc w:val="center"/>
            </w:pPr>
            <w:r>
              <w:rPr>
                <w:color w:val="000000"/>
                <w:kern w:val="0"/>
                <w:sz w:val="24"/>
                <w:szCs w:val="24"/>
              </w:rPr>
              <w:t>132004</w:t>
            </w:r>
          </w:p>
        </w:tc>
        <w:tc>
          <w:tcPr>
            <w:tcW w:w="1275" w:type="dxa"/>
            <w:vAlign w:val="center"/>
          </w:tcPr>
          <w:p w:rsidR="005A31A0" w:rsidRDefault="005B71AE">
            <w:pPr>
              <w:jc w:val="center"/>
            </w:pPr>
            <w:r>
              <w:rPr>
                <w:color w:val="000000"/>
                <w:kern w:val="0"/>
                <w:sz w:val="24"/>
                <w:szCs w:val="24"/>
              </w:rPr>
              <w:t>15</w:t>
            </w:r>
            <w:r>
              <w:rPr>
                <w:color w:val="000000"/>
                <w:kern w:val="0"/>
                <w:sz w:val="24"/>
                <w:szCs w:val="24"/>
              </w:rPr>
              <w:t>国盛</w:t>
            </w:r>
            <w:r>
              <w:rPr>
                <w:color w:val="000000"/>
                <w:kern w:val="0"/>
                <w:sz w:val="24"/>
                <w:szCs w:val="24"/>
              </w:rPr>
              <w:t>EB</w:t>
            </w:r>
          </w:p>
        </w:tc>
        <w:tc>
          <w:tcPr>
            <w:tcW w:w="1560" w:type="dxa"/>
            <w:vAlign w:val="center"/>
          </w:tcPr>
          <w:p w:rsidR="005A31A0" w:rsidRDefault="005B71AE">
            <w:pPr>
              <w:jc w:val="right"/>
            </w:pPr>
            <w:r>
              <w:rPr>
                <w:color w:val="000000"/>
                <w:kern w:val="0"/>
                <w:sz w:val="24"/>
                <w:szCs w:val="24"/>
              </w:rPr>
              <w:t>61,610</w:t>
            </w:r>
          </w:p>
        </w:tc>
        <w:tc>
          <w:tcPr>
            <w:tcW w:w="1984" w:type="dxa"/>
            <w:vAlign w:val="center"/>
          </w:tcPr>
          <w:p w:rsidR="005A31A0" w:rsidRDefault="005B71AE">
            <w:pPr>
              <w:jc w:val="right"/>
            </w:pPr>
            <w:r>
              <w:rPr>
                <w:color w:val="000000"/>
                <w:kern w:val="0"/>
                <w:sz w:val="24"/>
                <w:szCs w:val="24"/>
              </w:rPr>
              <w:t>6,141,900.90</w:t>
            </w:r>
          </w:p>
        </w:tc>
        <w:tc>
          <w:tcPr>
            <w:tcW w:w="1474" w:type="dxa"/>
            <w:vAlign w:val="center"/>
          </w:tcPr>
          <w:p w:rsidR="005A31A0" w:rsidRDefault="005B71AE">
            <w:pPr>
              <w:jc w:val="right"/>
            </w:pPr>
            <w:r>
              <w:rPr>
                <w:color w:val="000000"/>
                <w:kern w:val="0"/>
                <w:sz w:val="24"/>
                <w:szCs w:val="24"/>
              </w:rPr>
              <w:t>6.77</w:t>
            </w:r>
          </w:p>
        </w:tc>
      </w:tr>
      <w:tr w:rsidR="005A31A0">
        <w:tc>
          <w:tcPr>
            <w:tcW w:w="959" w:type="dxa"/>
            <w:vAlign w:val="center"/>
          </w:tcPr>
          <w:p w:rsidR="005A31A0" w:rsidRDefault="005B71AE">
            <w:pPr>
              <w:jc w:val="center"/>
            </w:pPr>
            <w:r>
              <w:rPr>
                <w:color w:val="000000"/>
                <w:kern w:val="0"/>
                <w:sz w:val="24"/>
                <w:szCs w:val="24"/>
              </w:rPr>
              <w:t>3</w:t>
            </w:r>
          </w:p>
        </w:tc>
        <w:tc>
          <w:tcPr>
            <w:tcW w:w="1276" w:type="dxa"/>
            <w:vAlign w:val="center"/>
          </w:tcPr>
          <w:p w:rsidR="005A31A0" w:rsidRDefault="005B71AE">
            <w:pPr>
              <w:jc w:val="center"/>
            </w:pPr>
            <w:r>
              <w:rPr>
                <w:color w:val="000000"/>
                <w:kern w:val="0"/>
                <w:sz w:val="24"/>
                <w:szCs w:val="24"/>
              </w:rPr>
              <w:t>018007</w:t>
            </w:r>
          </w:p>
        </w:tc>
        <w:tc>
          <w:tcPr>
            <w:tcW w:w="1275" w:type="dxa"/>
            <w:vAlign w:val="center"/>
          </w:tcPr>
          <w:p w:rsidR="005A31A0" w:rsidRDefault="005B71AE">
            <w:pPr>
              <w:jc w:val="center"/>
            </w:pPr>
            <w:r>
              <w:rPr>
                <w:color w:val="000000"/>
                <w:kern w:val="0"/>
                <w:sz w:val="24"/>
                <w:szCs w:val="24"/>
              </w:rPr>
              <w:t>国开</w:t>
            </w:r>
            <w:r>
              <w:rPr>
                <w:color w:val="000000"/>
                <w:kern w:val="0"/>
                <w:sz w:val="24"/>
                <w:szCs w:val="24"/>
              </w:rPr>
              <w:t>1801</w:t>
            </w:r>
          </w:p>
        </w:tc>
        <w:tc>
          <w:tcPr>
            <w:tcW w:w="1560" w:type="dxa"/>
            <w:vAlign w:val="center"/>
          </w:tcPr>
          <w:p w:rsidR="005A31A0" w:rsidRDefault="005B71AE">
            <w:pPr>
              <w:jc w:val="right"/>
            </w:pPr>
            <w:r>
              <w:rPr>
                <w:color w:val="000000"/>
                <w:kern w:val="0"/>
                <w:sz w:val="24"/>
                <w:szCs w:val="24"/>
              </w:rPr>
              <w:t>44,000</w:t>
            </w:r>
          </w:p>
        </w:tc>
        <w:tc>
          <w:tcPr>
            <w:tcW w:w="1984" w:type="dxa"/>
            <w:vAlign w:val="center"/>
          </w:tcPr>
          <w:p w:rsidR="005A31A0" w:rsidRDefault="005B71AE">
            <w:pPr>
              <w:jc w:val="right"/>
            </w:pPr>
            <w:r>
              <w:rPr>
                <w:color w:val="000000"/>
                <w:kern w:val="0"/>
                <w:sz w:val="24"/>
                <w:szCs w:val="24"/>
              </w:rPr>
              <w:t>4,452,800.00</w:t>
            </w:r>
          </w:p>
        </w:tc>
        <w:tc>
          <w:tcPr>
            <w:tcW w:w="1474" w:type="dxa"/>
            <w:vAlign w:val="center"/>
          </w:tcPr>
          <w:p w:rsidR="005A31A0" w:rsidRDefault="005B71AE">
            <w:pPr>
              <w:jc w:val="right"/>
            </w:pPr>
            <w:r>
              <w:rPr>
                <w:color w:val="000000"/>
                <w:kern w:val="0"/>
                <w:sz w:val="24"/>
                <w:szCs w:val="24"/>
              </w:rPr>
              <w:t>4.91</w:t>
            </w:r>
          </w:p>
        </w:tc>
      </w:tr>
      <w:tr w:rsidR="005A31A0">
        <w:tc>
          <w:tcPr>
            <w:tcW w:w="959" w:type="dxa"/>
            <w:vAlign w:val="center"/>
          </w:tcPr>
          <w:p w:rsidR="005A31A0" w:rsidRDefault="005B71AE">
            <w:pPr>
              <w:jc w:val="center"/>
            </w:pPr>
            <w:r>
              <w:rPr>
                <w:color w:val="000000"/>
                <w:kern w:val="0"/>
                <w:sz w:val="24"/>
                <w:szCs w:val="24"/>
              </w:rPr>
              <w:t>4</w:t>
            </w:r>
          </w:p>
        </w:tc>
        <w:tc>
          <w:tcPr>
            <w:tcW w:w="1276" w:type="dxa"/>
            <w:vAlign w:val="center"/>
          </w:tcPr>
          <w:p w:rsidR="005A31A0" w:rsidRDefault="005B71AE">
            <w:pPr>
              <w:jc w:val="center"/>
            </w:pPr>
            <w:r>
              <w:rPr>
                <w:color w:val="000000"/>
                <w:kern w:val="0"/>
                <w:sz w:val="24"/>
                <w:szCs w:val="24"/>
              </w:rPr>
              <w:t>113543</w:t>
            </w:r>
          </w:p>
        </w:tc>
        <w:tc>
          <w:tcPr>
            <w:tcW w:w="1275" w:type="dxa"/>
            <w:vAlign w:val="center"/>
          </w:tcPr>
          <w:p w:rsidR="005A31A0" w:rsidRDefault="005B71AE">
            <w:pPr>
              <w:jc w:val="center"/>
            </w:pPr>
            <w:r>
              <w:rPr>
                <w:color w:val="000000"/>
                <w:kern w:val="0"/>
                <w:sz w:val="24"/>
                <w:szCs w:val="24"/>
              </w:rPr>
              <w:t>欧派转债</w:t>
            </w:r>
          </w:p>
        </w:tc>
        <w:tc>
          <w:tcPr>
            <w:tcW w:w="1560" w:type="dxa"/>
            <w:vAlign w:val="center"/>
          </w:tcPr>
          <w:p w:rsidR="005A31A0" w:rsidRDefault="005B71AE">
            <w:pPr>
              <w:jc w:val="right"/>
            </w:pPr>
            <w:r>
              <w:rPr>
                <w:color w:val="000000"/>
                <w:kern w:val="0"/>
                <w:sz w:val="24"/>
                <w:szCs w:val="24"/>
              </w:rPr>
              <w:t>36,600</w:t>
            </w:r>
          </w:p>
        </w:tc>
        <w:tc>
          <w:tcPr>
            <w:tcW w:w="1984" w:type="dxa"/>
            <w:vAlign w:val="center"/>
          </w:tcPr>
          <w:p w:rsidR="005A31A0" w:rsidRDefault="005B71AE">
            <w:pPr>
              <w:jc w:val="right"/>
            </w:pPr>
            <w:r>
              <w:rPr>
                <w:color w:val="000000"/>
                <w:kern w:val="0"/>
                <w:sz w:val="24"/>
                <w:szCs w:val="24"/>
              </w:rPr>
              <w:t>4,399,686.00</w:t>
            </w:r>
          </w:p>
        </w:tc>
        <w:tc>
          <w:tcPr>
            <w:tcW w:w="1474" w:type="dxa"/>
            <w:vAlign w:val="center"/>
          </w:tcPr>
          <w:p w:rsidR="005A31A0" w:rsidRDefault="005B71AE">
            <w:pPr>
              <w:jc w:val="right"/>
            </w:pPr>
            <w:r>
              <w:rPr>
                <w:color w:val="000000"/>
                <w:kern w:val="0"/>
                <w:sz w:val="24"/>
                <w:szCs w:val="24"/>
              </w:rPr>
              <w:t>4.85</w:t>
            </w:r>
          </w:p>
        </w:tc>
      </w:tr>
      <w:tr w:rsidR="005A31A0">
        <w:tc>
          <w:tcPr>
            <w:tcW w:w="959" w:type="dxa"/>
            <w:vAlign w:val="center"/>
          </w:tcPr>
          <w:p w:rsidR="005A31A0" w:rsidRDefault="005B71AE">
            <w:pPr>
              <w:jc w:val="center"/>
            </w:pPr>
            <w:r>
              <w:rPr>
                <w:color w:val="000000"/>
                <w:kern w:val="0"/>
                <w:sz w:val="24"/>
                <w:szCs w:val="24"/>
              </w:rPr>
              <w:t>5</w:t>
            </w:r>
          </w:p>
        </w:tc>
        <w:tc>
          <w:tcPr>
            <w:tcW w:w="1276" w:type="dxa"/>
            <w:vAlign w:val="center"/>
          </w:tcPr>
          <w:p w:rsidR="005A31A0" w:rsidRDefault="005B71AE">
            <w:pPr>
              <w:jc w:val="center"/>
            </w:pPr>
            <w:r>
              <w:rPr>
                <w:color w:val="000000"/>
                <w:kern w:val="0"/>
                <w:sz w:val="24"/>
                <w:szCs w:val="24"/>
              </w:rPr>
              <w:t>128035</w:t>
            </w:r>
          </w:p>
        </w:tc>
        <w:tc>
          <w:tcPr>
            <w:tcW w:w="1275" w:type="dxa"/>
            <w:vAlign w:val="center"/>
          </w:tcPr>
          <w:p w:rsidR="005A31A0" w:rsidRDefault="005B71AE">
            <w:pPr>
              <w:jc w:val="center"/>
            </w:pPr>
            <w:r>
              <w:rPr>
                <w:color w:val="000000"/>
                <w:kern w:val="0"/>
                <w:sz w:val="24"/>
                <w:szCs w:val="24"/>
              </w:rPr>
              <w:t>大族转债</w:t>
            </w:r>
          </w:p>
        </w:tc>
        <w:tc>
          <w:tcPr>
            <w:tcW w:w="1560" w:type="dxa"/>
            <w:vAlign w:val="center"/>
          </w:tcPr>
          <w:p w:rsidR="005A31A0" w:rsidRDefault="005B71AE">
            <w:pPr>
              <w:jc w:val="right"/>
            </w:pPr>
            <w:r>
              <w:rPr>
                <w:color w:val="000000"/>
                <w:kern w:val="0"/>
                <w:sz w:val="24"/>
                <w:szCs w:val="24"/>
              </w:rPr>
              <w:t>40,010</w:t>
            </w:r>
          </w:p>
        </w:tc>
        <w:tc>
          <w:tcPr>
            <w:tcW w:w="1984" w:type="dxa"/>
            <w:vAlign w:val="center"/>
          </w:tcPr>
          <w:p w:rsidR="005A31A0" w:rsidRDefault="005B71AE">
            <w:pPr>
              <w:jc w:val="right"/>
            </w:pPr>
            <w:r>
              <w:rPr>
                <w:color w:val="000000"/>
                <w:kern w:val="0"/>
                <w:sz w:val="24"/>
                <w:szCs w:val="24"/>
              </w:rPr>
              <w:t>4,272,667.90</w:t>
            </w:r>
          </w:p>
        </w:tc>
        <w:tc>
          <w:tcPr>
            <w:tcW w:w="1474" w:type="dxa"/>
            <w:vAlign w:val="center"/>
          </w:tcPr>
          <w:p w:rsidR="005A31A0" w:rsidRDefault="005B71AE">
            <w:pPr>
              <w:jc w:val="right"/>
            </w:pPr>
            <w:r>
              <w:rPr>
                <w:color w:val="000000"/>
                <w:kern w:val="0"/>
                <w:sz w:val="24"/>
                <w:szCs w:val="24"/>
              </w:rPr>
              <w:t>4.71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20,330.21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2,061,968.85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195,936.15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2,278,235.21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5A31A0">
        <w:tc>
          <w:tcPr>
            <w:tcW w:w="1808" w:type="dxa"/>
            <w:vAlign w:val="center"/>
          </w:tcPr>
          <w:p w:rsidR="005A31A0" w:rsidRDefault="005B71AE">
            <w:pPr>
              <w:jc w:val="center"/>
            </w:pPr>
            <w:r>
              <w:rPr>
                <w:color w:val="000000"/>
                <w:kern w:val="0"/>
                <w:sz w:val="24"/>
                <w:szCs w:val="24"/>
              </w:rPr>
              <w:t>1</w:t>
            </w:r>
          </w:p>
        </w:tc>
        <w:tc>
          <w:tcPr>
            <w:tcW w:w="1729" w:type="dxa"/>
            <w:vAlign w:val="center"/>
          </w:tcPr>
          <w:p w:rsidR="005A31A0" w:rsidRDefault="005B71AE">
            <w:pPr>
              <w:jc w:val="center"/>
            </w:pPr>
            <w:r>
              <w:rPr>
                <w:color w:val="000000"/>
                <w:kern w:val="0"/>
                <w:sz w:val="24"/>
                <w:szCs w:val="24"/>
              </w:rPr>
              <w:t>132004</w:t>
            </w:r>
          </w:p>
        </w:tc>
        <w:tc>
          <w:tcPr>
            <w:tcW w:w="1658" w:type="dxa"/>
            <w:vAlign w:val="center"/>
          </w:tcPr>
          <w:p w:rsidR="005A31A0" w:rsidRDefault="005B71AE">
            <w:pPr>
              <w:jc w:val="center"/>
            </w:pPr>
            <w:r>
              <w:rPr>
                <w:color w:val="000000"/>
                <w:kern w:val="0"/>
                <w:sz w:val="24"/>
                <w:szCs w:val="24"/>
              </w:rPr>
              <w:t>15</w:t>
            </w:r>
            <w:r>
              <w:rPr>
                <w:color w:val="000000"/>
                <w:kern w:val="0"/>
                <w:sz w:val="24"/>
                <w:szCs w:val="24"/>
              </w:rPr>
              <w:t>国盛</w:t>
            </w:r>
            <w:r>
              <w:rPr>
                <w:color w:val="000000"/>
                <w:kern w:val="0"/>
                <w:sz w:val="24"/>
                <w:szCs w:val="24"/>
              </w:rPr>
              <w:t>EB</w:t>
            </w:r>
          </w:p>
        </w:tc>
        <w:tc>
          <w:tcPr>
            <w:tcW w:w="1697" w:type="dxa"/>
            <w:vAlign w:val="center"/>
          </w:tcPr>
          <w:p w:rsidR="005A31A0" w:rsidRDefault="005B71AE">
            <w:pPr>
              <w:jc w:val="right"/>
            </w:pPr>
            <w:r>
              <w:rPr>
                <w:color w:val="000000"/>
                <w:kern w:val="0"/>
                <w:sz w:val="24"/>
                <w:szCs w:val="24"/>
              </w:rPr>
              <w:t>6,141,900.90</w:t>
            </w:r>
          </w:p>
        </w:tc>
        <w:tc>
          <w:tcPr>
            <w:tcW w:w="1621" w:type="dxa"/>
            <w:vAlign w:val="center"/>
          </w:tcPr>
          <w:p w:rsidR="005A31A0" w:rsidRDefault="005B71AE">
            <w:pPr>
              <w:jc w:val="right"/>
            </w:pPr>
            <w:r>
              <w:rPr>
                <w:color w:val="000000"/>
                <w:kern w:val="0"/>
                <w:sz w:val="24"/>
                <w:szCs w:val="24"/>
              </w:rPr>
              <w:t>6.77</w:t>
            </w:r>
          </w:p>
        </w:tc>
      </w:tr>
      <w:tr w:rsidR="005A31A0">
        <w:tc>
          <w:tcPr>
            <w:tcW w:w="1808" w:type="dxa"/>
            <w:vAlign w:val="center"/>
          </w:tcPr>
          <w:p w:rsidR="005A31A0" w:rsidRDefault="005B71AE">
            <w:pPr>
              <w:jc w:val="center"/>
            </w:pPr>
            <w:r>
              <w:rPr>
                <w:color w:val="000000"/>
                <w:kern w:val="0"/>
                <w:sz w:val="24"/>
                <w:szCs w:val="24"/>
              </w:rPr>
              <w:t>2</w:t>
            </w:r>
          </w:p>
        </w:tc>
        <w:tc>
          <w:tcPr>
            <w:tcW w:w="1729" w:type="dxa"/>
            <w:vAlign w:val="center"/>
          </w:tcPr>
          <w:p w:rsidR="005A31A0" w:rsidRDefault="005B71AE">
            <w:pPr>
              <w:jc w:val="center"/>
            </w:pPr>
            <w:r>
              <w:rPr>
                <w:color w:val="000000"/>
                <w:kern w:val="0"/>
                <w:sz w:val="24"/>
                <w:szCs w:val="24"/>
              </w:rPr>
              <w:t>128035</w:t>
            </w:r>
          </w:p>
        </w:tc>
        <w:tc>
          <w:tcPr>
            <w:tcW w:w="1658" w:type="dxa"/>
            <w:vAlign w:val="center"/>
          </w:tcPr>
          <w:p w:rsidR="005A31A0" w:rsidRDefault="005B71AE">
            <w:pPr>
              <w:jc w:val="center"/>
            </w:pPr>
            <w:r>
              <w:rPr>
                <w:color w:val="000000"/>
                <w:kern w:val="0"/>
                <w:sz w:val="24"/>
                <w:szCs w:val="24"/>
              </w:rPr>
              <w:t>大族转债</w:t>
            </w:r>
          </w:p>
        </w:tc>
        <w:tc>
          <w:tcPr>
            <w:tcW w:w="1697" w:type="dxa"/>
            <w:vAlign w:val="center"/>
          </w:tcPr>
          <w:p w:rsidR="005A31A0" w:rsidRDefault="005B71AE">
            <w:pPr>
              <w:jc w:val="right"/>
            </w:pPr>
            <w:r>
              <w:rPr>
                <w:color w:val="000000"/>
                <w:kern w:val="0"/>
                <w:sz w:val="24"/>
                <w:szCs w:val="24"/>
              </w:rPr>
              <w:t>4,272,667.90</w:t>
            </w:r>
          </w:p>
        </w:tc>
        <w:tc>
          <w:tcPr>
            <w:tcW w:w="1621" w:type="dxa"/>
            <w:vAlign w:val="center"/>
          </w:tcPr>
          <w:p w:rsidR="005A31A0" w:rsidRDefault="005B71AE">
            <w:pPr>
              <w:jc w:val="right"/>
            </w:pPr>
            <w:r>
              <w:rPr>
                <w:color w:val="000000"/>
                <w:kern w:val="0"/>
                <w:sz w:val="24"/>
                <w:szCs w:val="24"/>
              </w:rPr>
              <w:t>4.71</w:t>
            </w:r>
          </w:p>
        </w:tc>
      </w:tr>
      <w:tr w:rsidR="005A31A0">
        <w:tc>
          <w:tcPr>
            <w:tcW w:w="1808" w:type="dxa"/>
            <w:vAlign w:val="center"/>
          </w:tcPr>
          <w:p w:rsidR="005A31A0" w:rsidRDefault="005B71AE">
            <w:pPr>
              <w:jc w:val="center"/>
            </w:pPr>
            <w:r>
              <w:rPr>
                <w:color w:val="000000"/>
                <w:kern w:val="0"/>
                <w:sz w:val="24"/>
                <w:szCs w:val="24"/>
              </w:rPr>
              <w:t>3</w:t>
            </w:r>
          </w:p>
        </w:tc>
        <w:tc>
          <w:tcPr>
            <w:tcW w:w="1729" w:type="dxa"/>
            <w:vAlign w:val="center"/>
          </w:tcPr>
          <w:p w:rsidR="005A31A0" w:rsidRDefault="005B71AE">
            <w:pPr>
              <w:jc w:val="center"/>
            </w:pPr>
            <w:r>
              <w:rPr>
                <w:color w:val="000000"/>
                <w:kern w:val="0"/>
                <w:sz w:val="24"/>
                <w:szCs w:val="24"/>
              </w:rPr>
              <w:t>128020</w:t>
            </w:r>
          </w:p>
        </w:tc>
        <w:tc>
          <w:tcPr>
            <w:tcW w:w="1658" w:type="dxa"/>
            <w:vAlign w:val="center"/>
          </w:tcPr>
          <w:p w:rsidR="005A31A0" w:rsidRDefault="005B71AE">
            <w:pPr>
              <w:jc w:val="center"/>
            </w:pPr>
            <w:r>
              <w:rPr>
                <w:color w:val="000000"/>
                <w:kern w:val="0"/>
                <w:sz w:val="24"/>
                <w:szCs w:val="24"/>
              </w:rPr>
              <w:t>水晶转债</w:t>
            </w:r>
          </w:p>
        </w:tc>
        <w:tc>
          <w:tcPr>
            <w:tcW w:w="1697" w:type="dxa"/>
            <w:vAlign w:val="center"/>
          </w:tcPr>
          <w:p w:rsidR="005A31A0" w:rsidRDefault="005B71AE">
            <w:pPr>
              <w:jc w:val="right"/>
            </w:pPr>
            <w:r>
              <w:rPr>
                <w:color w:val="000000"/>
                <w:kern w:val="0"/>
                <w:sz w:val="24"/>
                <w:szCs w:val="24"/>
              </w:rPr>
              <w:t>1,839,354.40</w:t>
            </w:r>
          </w:p>
        </w:tc>
        <w:tc>
          <w:tcPr>
            <w:tcW w:w="1621" w:type="dxa"/>
            <w:vAlign w:val="center"/>
          </w:tcPr>
          <w:p w:rsidR="005A31A0" w:rsidRDefault="005B71AE">
            <w:pPr>
              <w:jc w:val="right"/>
            </w:pPr>
            <w:r>
              <w:rPr>
                <w:color w:val="000000"/>
                <w:kern w:val="0"/>
                <w:sz w:val="24"/>
                <w:szCs w:val="24"/>
              </w:rPr>
              <w:t>2.03</w:t>
            </w:r>
          </w:p>
        </w:tc>
      </w:tr>
      <w:tr w:rsidR="005A31A0">
        <w:tc>
          <w:tcPr>
            <w:tcW w:w="1808" w:type="dxa"/>
            <w:vAlign w:val="center"/>
          </w:tcPr>
          <w:p w:rsidR="005A31A0" w:rsidRDefault="005B71AE">
            <w:pPr>
              <w:jc w:val="center"/>
            </w:pPr>
            <w:r>
              <w:rPr>
                <w:color w:val="000000"/>
                <w:kern w:val="0"/>
                <w:sz w:val="24"/>
                <w:szCs w:val="24"/>
              </w:rPr>
              <w:t>4</w:t>
            </w:r>
          </w:p>
        </w:tc>
        <w:tc>
          <w:tcPr>
            <w:tcW w:w="1729" w:type="dxa"/>
            <w:vAlign w:val="center"/>
          </w:tcPr>
          <w:p w:rsidR="005A31A0" w:rsidRDefault="005B71AE">
            <w:pPr>
              <w:jc w:val="center"/>
            </w:pPr>
            <w:r>
              <w:rPr>
                <w:color w:val="000000"/>
                <w:kern w:val="0"/>
                <w:sz w:val="24"/>
                <w:szCs w:val="24"/>
              </w:rPr>
              <w:t>110034</w:t>
            </w:r>
          </w:p>
        </w:tc>
        <w:tc>
          <w:tcPr>
            <w:tcW w:w="1658" w:type="dxa"/>
            <w:vAlign w:val="center"/>
          </w:tcPr>
          <w:p w:rsidR="005A31A0" w:rsidRDefault="005B71AE">
            <w:pPr>
              <w:jc w:val="center"/>
            </w:pPr>
            <w:r>
              <w:rPr>
                <w:color w:val="000000"/>
                <w:kern w:val="0"/>
                <w:sz w:val="24"/>
                <w:szCs w:val="24"/>
              </w:rPr>
              <w:t>九州转债</w:t>
            </w:r>
          </w:p>
        </w:tc>
        <w:tc>
          <w:tcPr>
            <w:tcW w:w="1697" w:type="dxa"/>
            <w:vAlign w:val="center"/>
          </w:tcPr>
          <w:p w:rsidR="005A31A0" w:rsidRDefault="005B71AE">
            <w:pPr>
              <w:jc w:val="right"/>
            </w:pPr>
            <w:r>
              <w:rPr>
                <w:color w:val="000000"/>
                <w:kern w:val="0"/>
                <w:sz w:val="24"/>
                <w:szCs w:val="24"/>
              </w:rPr>
              <w:t>1,277,760.00</w:t>
            </w:r>
          </w:p>
        </w:tc>
        <w:tc>
          <w:tcPr>
            <w:tcW w:w="1621" w:type="dxa"/>
            <w:vAlign w:val="center"/>
          </w:tcPr>
          <w:p w:rsidR="005A31A0" w:rsidRDefault="005B71AE">
            <w:pPr>
              <w:jc w:val="right"/>
            </w:pPr>
            <w:r>
              <w:rPr>
                <w:color w:val="000000"/>
                <w:kern w:val="0"/>
                <w:sz w:val="24"/>
                <w:szCs w:val="24"/>
              </w:rPr>
              <w:t>1.41</w:t>
            </w:r>
          </w:p>
        </w:tc>
      </w:tr>
      <w:tr w:rsidR="005A31A0">
        <w:tc>
          <w:tcPr>
            <w:tcW w:w="1808" w:type="dxa"/>
            <w:vAlign w:val="center"/>
          </w:tcPr>
          <w:p w:rsidR="005A31A0" w:rsidRDefault="005B71AE">
            <w:pPr>
              <w:jc w:val="center"/>
            </w:pPr>
            <w:r>
              <w:rPr>
                <w:color w:val="000000"/>
                <w:kern w:val="0"/>
                <w:sz w:val="24"/>
                <w:szCs w:val="24"/>
              </w:rPr>
              <w:t>5</w:t>
            </w:r>
          </w:p>
        </w:tc>
        <w:tc>
          <w:tcPr>
            <w:tcW w:w="1729" w:type="dxa"/>
            <w:vAlign w:val="center"/>
          </w:tcPr>
          <w:p w:rsidR="005A31A0" w:rsidRDefault="005B71AE">
            <w:pPr>
              <w:jc w:val="center"/>
            </w:pPr>
            <w:r>
              <w:rPr>
                <w:color w:val="000000"/>
                <w:kern w:val="0"/>
                <w:sz w:val="24"/>
                <w:szCs w:val="24"/>
              </w:rPr>
              <w:t>128023</w:t>
            </w:r>
          </w:p>
        </w:tc>
        <w:tc>
          <w:tcPr>
            <w:tcW w:w="1658" w:type="dxa"/>
            <w:vAlign w:val="center"/>
          </w:tcPr>
          <w:p w:rsidR="005A31A0" w:rsidRDefault="005B71AE">
            <w:pPr>
              <w:jc w:val="center"/>
            </w:pPr>
            <w:r>
              <w:rPr>
                <w:color w:val="000000"/>
                <w:kern w:val="0"/>
                <w:sz w:val="24"/>
                <w:szCs w:val="24"/>
              </w:rPr>
              <w:t>亚太转债</w:t>
            </w:r>
          </w:p>
        </w:tc>
        <w:tc>
          <w:tcPr>
            <w:tcW w:w="1697" w:type="dxa"/>
            <w:vAlign w:val="center"/>
          </w:tcPr>
          <w:p w:rsidR="005A31A0" w:rsidRDefault="005B71AE">
            <w:pPr>
              <w:jc w:val="right"/>
            </w:pPr>
            <w:r>
              <w:rPr>
                <w:color w:val="000000"/>
                <w:kern w:val="0"/>
                <w:sz w:val="24"/>
                <w:szCs w:val="24"/>
              </w:rPr>
              <w:t>367,952.00</w:t>
            </w:r>
          </w:p>
        </w:tc>
        <w:tc>
          <w:tcPr>
            <w:tcW w:w="1621" w:type="dxa"/>
            <w:vAlign w:val="center"/>
          </w:tcPr>
          <w:p w:rsidR="005A31A0" w:rsidRDefault="005B71AE">
            <w:pPr>
              <w:jc w:val="right"/>
            </w:pPr>
            <w:r>
              <w:rPr>
                <w:color w:val="000000"/>
                <w:kern w:val="0"/>
                <w:sz w:val="24"/>
                <w:szCs w:val="24"/>
              </w:rPr>
              <w:t>0.41</w:t>
            </w:r>
          </w:p>
        </w:tc>
      </w:tr>
      <w:tr w:rsidR="005A31A0">
        <w:tc>
          <w:tcPr>
            <w:tcW w:w="1808" w:type="dxa"/>
            <w:vAlign w:val="center"/>
          </w:tcPr>
          <w:p w:rsidR="005A31A0" w:rsidRDefault="005B71AE">
            <w:pPr>
              <w:jc w:val="center"/>
            </w:pPr>
            <w:r>
              <w:rPr>
                <w:color w:val="000000"/>
                <w:kern w:val="0"/>
                <w:sz w:val="24"/>
                <w:szCs w:val="24"/>
              </w:rPr>
              <w:t>6</w:t>
            </w:r>
          </w:p>
        </w:tc>
        <w:tc>
          <w:tcPr>
            <w:tcW w:w="1729" w:type="dxa"/>
            <w:vAlign w:val="center"/>
          </w:tcPr>
          <w:p w:rsidR="005A31A0" w:rsidRDefault="005B71AE">
            <w:pPr>
              <w:jc w:val="center"/>
            </w:pPr>
            <w:r>
              <w:rPr>
                <w:color w:val="000000"/>
                <w:kern w:val="0"/>
                <w:sz w:val="24"/>
                <w:szCs w:val="24"/>
              </w:rPr>
              <w:t>128010</w:t>
            </w:r>
          </w:p>
        </w:tc>
        <w:tc>
          <w:tcPr>
            <w:tcW w:w="1658" w:type="dxa"/>
            <w:vAlign w:val="center"/>
          </w:tcPr>
          <w:p w:rsidR="005A31A0" w:rsidRDefault="005B71AE">
            <w:pPr>
              <w:jc w:val="center"/>
            </w:pPr>
            <w:r>
              <w:rPr>
                <w:color w:val="000000"/>
                <w:kern w:val="0"/>
                <w:sz w:val="24"/>
                <w:szCs w:val="24"/>
              </w:rPr>
              <w:t>顺昌转债</w:t>
            </w:r>
          </w:p>
        </w:tc>
        <w:tc>
          <w:tcPr>
            <w:tcW w:w="1697" w:type="dxa"/>
            <w:vAlign w:val="center"/>
          </w:tcPr>
          <w:p w:rsidR="005A31A0" w:rsidRDefault="005B71AE">
            <w:pPr>
              <w:jc w:val="right"/>
            </w:pPr>
            <w:r>
              <w:rPr>
                <w:color w:val="000000"/>
                <w:kern w:val="0"/>
                <w:sz w:val="24"/>
                <w:szCs w:val="24"/>
              </w:rPr>
              <w:t>334,292.10</w:t>
            </w:r>
          </w:p>
        </w:tc>
        <w:tc>
          <w:tcPr>
            <w:tcW w:w="1621" w:type="dxa"/>
            <w:vAlign w:val="center"/>
          </w:tcPr>
          <w:p w:rsidR="005A31A0" w:rsidRDefault="005B71AE">
            <w:pPr>
              <w:jc w:val="right"/>
            </w:pPr>
            <w:r>
              <w:rPr>
                <w:color w:val="000000"/>
                <w:kern w:val="0"/>
                <w:sz w:val="24"/>
                <w:szCs w:val="24"/>
              </w:rPr>
              <w:t>0.37</w:t>
            </w:r>
          </w:p>
        </w:tc>
      </w:tr>
      <w:tr w:rsidR="005A31A0">
        <w:tc>
          <w:tcPr>
            <w:tcW w:w="1808" w:type="dxa"/>
            <w:vAlign w:val="center"/>
          </w:tcPr>
          <w:p w:rsidR="005A31A0" w:rsidRDefault="005B71AE">
            <w:pPr>
              <w:jc w:val="center"/>
            </w:pPr>
            <w:r>
              <w:rPr>
                <w:color w:val="000000"/>
                <w:kern w:val="0"/>
                <w:sz w:val="24"/>
                <w:szCs w:val="24"/>
              </w:rPr>
              <w:t>7</w:t>
            </w:r>
          </w:p>
        </w:tc>
        <w:tc>
          <w:tcPr>
            <w:tcW w:w="1729" w:type="dxa"/>
            <w:vAlign w:val="center"/>
          </w:tcPr>
          <w:p w:rsidR="005A31A0" w:rsidRDefault="005B71AE">
            <w:pPr>
              <w:jc w:val="center"/>
            </w:pPr>
            <w:r>
              <w:rPr>
                <w:color w:val="000000"/>
                <w:kern w:val="0"/>
                <w:sz w:val="24"/>
                <w:szCs w:val="24"/>
              </w:rPr>
              <w:t>128015</w:t>
            </w:r>
          </w:p>
        </w:tc>
        <w:tc>
          <w:tcPr>
            <w:tcW w:w="1658" w:type="dxa"/>
            <w:vAlign w:val="center"/>
          </w:tcPr>
          <w:p w:rsidR="005A31A0" w:rsidRDefault="005B71AE">
            <w:pPr>
              <w:jc w:val="center"/>
            </w:pPr>
            <w:r>
              <w:rPr>
                <w:color w:val="000000"/>
                <w:kern w:val="0"/>
                <w:sz w:val="24"/>
                <w:szCs w:val="24"/>
              </w:rPr>
              <w:t>久其转债</w:t>
            </w:r>
          </w:p>
        </w:tc>
        <w:tc>
          <w:tcPr>
            <w:tcW w:w="1697" w:type="dxa"/>
            <w:vAlign w:val="center"/>
          </w:tcPr>
          <w:p w:rsidR="005A31A0" w:rsidRDefault="005B71AE">
            <w:pPr>
              <w:jc w:val="right"/>
            </w:pPr>
            <w:r>
              <w:rPr>
                <w:color w:val="000000"/>
                <w:kern w:val="0"/>
                <w:sz w:val="24"/>
                <w:szCs w:val="24"/>
              </w:rPr>
              <w:t>238,500.00</w:t>
            </w:r>
          </w:p>
        </w:tc>
        <w:tc>
          <w:tcPr>
            <w:tcW w:w="1621" w:type="dxa"/>
            <w:vAlign w:val="center"/>
          </w:tcPr>
          <w:p w:rsidR="005A31A0" w:rsidRDefault="005B71AE">
            <w:pPr>
              <w:jc w:val="right"/>
            </w:pPr>
            <w:r>
              <w:rPr>
                <w:color w:val="000000"/>
                <w:kern w:val="0"/>
                <w:sz w:val="24"/>
                <w:szCs w:val="24"/>
              </w:rPr>
              <w:t>0.26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5A31A0">
        <w:tc>
          <w:tcPr>
            <w:tcW w:w="1083" w:type="dxa"/>
            <w:vAlign w:val="center"/>
          </w:tcPr>
          <w:p w:rsidR="005A31A0" w:rsidRDefault="005B71AE">
            <w:pPr>
              <w:jc w:val="center"/>
            </w:pPr>
            <w:r>
              <w:rPr>
                <w:color w:val="000000"/>
                <w:kern w:val="0"/>
                <w:sz w:val="24"/>
                <w:szCs w:val="24"/>
              </w:rPr>
              <w:t>1</w:t>
            </w:r>
          </w:p>
        </w:tc>
        <w:tc>
          <w:tcPr>
            <w:tcW w:w="1302" w:type="dxa"/>
            <w:vAlign w:val="center"/>
          </w:tcPr>
          <w:p w:rsidR="005A31A0" w:rsidRDefault="005B71AE">
            <w:pPr>
              <w:jc w:val="center"/>
            </w:pPr>
            <w:r>
              <w:rPr>
                <w:color w:val="000000"/>
                <w:kern w:val="0"/>
                <w:sz w:val="24"/>
                <w:szCs w:val="24"/>
              </w:rPr>
              <w:t>603338</w:t>
            </w:r>
          </w:p>
        </w:tc>
        <w:tc>
          <w:tcPr>
            <w:tcW w:w="1301" w:type="dxa"/>
            <w:vAlign w:val="center"/>
          </w:tcPr>
          <w:p w:rsidR="005A31A0" w:rsidRDefault="005B71AE">
            <w:pPr>
              <w:jc w:val="center"/>
            </w:pPr>
            <w:r>
              <w:rPr>
                <w:color w:val="000000"/>
                <w:kern w:val="0"/>
                <w:sz w:val="24"/>
                <w:szCs w:val="24"/>
              </w:rPr>
              <w:t>浙江鼎力</w:t>
            </w:r>
          </w:p>
        </w:tc>
        <w:tc>
          <w:tcPr>
            <w:tcW w:w="1805" w:type="dxa"/>
            <w:vAlign w:val="center"/>
          </w:tcPr>
          <w:p w:rsidR="005A31A0" w:rsidRDefault="005B71AE">
            <w:pPr>
              <w:jc w:val="right"/>
            </w:pPr>
            <w:r>
              <w:rPr>
                <w:color w:val="000000"/>
                <w:kern w:val="0"/>
                <w:sz w:val="24"/>
                <w:szCs w:val="24"/>
              </w:rPr>
              <w:t>3,706,689.84</w:t>
            </w:r>
          </w:p>
        </w:tc>
        <w:tc>
          <w:tcPr>
            <w:tcW w:w="1655" w:type="dxa"/>
            <w:vAlign w:val="center"/>
          </w:tcPr>
          <w:p w:rsidR="005A31A0" w:rsidRDefault="005B71AE">
            <w:pPr>
              <w:jc w:val="right"/>
            </w:pPr>
            <w:r>
              <w:rPr>
                <w:color w:val="000000"/>
                <w:kern w:val="0"/>
                <w:sz w:val="24"/>
                <w:szCs w:val="24"/>
              </w:rPr>
              <w:t>4.09</w:t>
            </w:r>
          </w:p>
        </w:tc>
        <w:tc>
          <w:tcPr>
            <w:tcW w:w="1367" w:type="dxa"/>
            <w:vAlign w:val="center"/>
          </w:tcPr>
          <w:p w:rsidR="005A31A0" w:rsidRDefault="005B71AE">
            <w:pPr>
              <w:jc w:val="right"/>
            </w:pPr>
            <w:r>
              <w:rPr>
                <w:color w:val="000000"/>
                <w:kern w:val="0"/>
                <w:sz w:val="24"/>
                <w:szCs w:val="24"/>
              </w:rPr>
              <w:t>非公开发行流通受限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上海证券交易所上市公司股东及董事、监事、高级管理人员减持股份实施细则》，大股东以外的股东减持所持有的上市公司非公开发行股份，采取集中竞价交易方式的，在任意连续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1%</w:t>
      </w:r>
      <w:r w:rsidRPr="006C56AA">
        <w:rPr>
          <w:color w:val="000000"/>
          <w:sz w:val="24"/>
          <w:szCs w:val="24"/>
        </w:rPr>
        <w:t>。持有上市公司非公开发行股份的股东，通过集中竞价交易减持该部分股份的，除遵守前款规定外，自股份解除限售之日起</w:t>
      </w:r>
      <w:r w:rsidRPr="006C56AA">
        <w:rPr>
          <w:color w:val="000000"/>
          <w:sz w:val="24"/>
          <w:szCs w:val="24"/>
        </w:rPr>
        <w:t>12</w:t>
      </w:r>
      <w:r w:rsidRPr="006C56AA">
        <w:rPr>
          <w:color w:val="000000"/>
          <w:sz w:val="24"/>
          <w:szCs w:val="24"/>
        </w:rPr>
        <w:t>个月内，减持数量不得超过其持有该次非公开发行股份数量的</w:t>
      </w:r>
      <w:r w:rsidRPr="006C56AA">
        <w:rPr>
          <w:color w:val="000000"/>
          <w:sz w:val="24"/>
          <w:szCs w:val="24"/>
        </w:rPr>
        <w:t>50%</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42,862,585.26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32,799,811.38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14,959,264.46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60,703,132.18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3,663,744.46</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3,663,744.46</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6.04</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5A31A0" w:rsidRDefault="005B71AE">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中国证监会核准易方达岁丰添利债券型证券投资基金募集的文件；</w:t>
      </w:r>
    </w:p>
    <w:p w:rsidR="005A31A0" w:rsidRDefault="005B71AE">
      <w:pPr>
        <w:spacing w:line="360" w:lineRule="auto"/>
        <w:ind w:firstLineChars="200" w:firstLine="480"/>
        <w:rPr>
          <w:color w:val="000000"/>
          <w:sz w:val="24"/>
          <w:szCs w:val="24"/>
        </w:rPr>
      </w:pPr>
      <w:r>
        <w:rPr>
          <w:color w:val="000000"/>
          <w:sz w:val="24"/>
          <w:szCs w:val="24"/>
        </w:rPr>
        <w:t>2.</w:t>
      </w:r>
      <w:r>
        <w:rPr>
          <w:color w:val="000000"/>
          <w:sz w:val="24"/>
          <w:szCs w:val="24"/>
        </w:rPr>
        <w:t>《易方达岁丰添利债券型证券投资基金基金合同》；</w:t>
      </w:r>
    </w:p>
    <w:p w:rsidR="005A31A0" w:rsidRDefault="005B71AE">
      <w:pPr>
        <w:spacing w:line="360" w:lineRule="auto"/>
        <w:ind w:firstLineChars="200" w:firstLine="480"/>
        <w:rPr>
          <w:color w:val="000000"/>
          <w:sz w:val="24"/>
          <w:szCs w:val="24"/>
        </w:rPr>
      </w:pPr>
      <w:r>
        <w:rPr>
          <w:color w:val="000000"/>
          <w:sz w:val="24"/>
          <w:szCs w:val="24"/>
        </w:rPr>
        <w:t>3.</w:t>
      </w:r>
      <w:r>
        <w:rPr>
          <w:color w:val="000000"/>
          <w:sz w:val="24"/>
          <w:szCs w:val="24"/>
        </w:rPr>
        <w:t>《易方达岁丰添利债券型证券投资基金托管协议》；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B71AE">
      <w:rPr>
        <w:rStyle w:val="a7"/>
        <w:noProof/>
      </w:rPr>
      <w:t>1</w:t>
    </w:r>
    <w:r>
      <w:rPr>
        <w:rStyle w:val="a7"/>
      </w:rPr>
      <w:fldChar w:fldCharType="end"/>
    </w:r>
    <w:r>
      <w:rPr>
        <w:rStyle w:val="a7"/>
        <w:rFonts w:hint="eastAsia"/>
      </w:rPr>
      <w:t>页共</w:t>
    </w:r>
    <w:r w:rsidR="005B71AE">
      <w:fldChar w:fldCharType="begin"/>
    </w:r>
    <w:r w:rsidR="005B71AE">
      <w:instrText xml:space="preserve"> NUMPAGES  \* Arabic  \* MERGEFORMAT </w:instrText>
    </w:r>
    <w:r w:rsidR="005B71AE">
      <w:fldChar w:fldCharType="separate"/>
    </w:r>
    <w:r w:rsidR="005B71AE" w:rsidRPr="005B71AE">
      <w:rPr>
        <w:rStyle w:val="a7"/>
        <w:noProof/>
      </w:rPr>
      <w:t>3</w:t>
    </w:r>
    <w:r w:rsidR="005B71AE">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B71AE">
      <w:rPr>
        <w:rStyle w:val="a7"/>
        <w:noProof/>
      </w:rPr>
      <w:t>14</w:t>
    </w:r>
    <w:r>
      <w:rPr>
        <w:rStyle w:val="a7"/>
      </w:rPr>
      <w:fldChar w:fldCharType="end"/>
    </w:r>
    <w:r>
      <w:rPr>
        <w:rStyle w:val="a7"/>
        <w:rFonts w:hint="eastAsia"/>
      </w:rPr>
      <w:t>页共</w:t>
    </w:r>
    <w:fldSimple w:instr=" NUMPAGES  \* Arabic  \* MERGEFORMAT ">
      <w:r w:rsidR="005B71AE" w:rsidRPr="005B71AE">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易方达岁丰添利债券型证券投资基金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31A0"/>
    <w:rsid w:val="005A478E"/>
    <w:rsid w:val="005A6675"/>
    <w:rsid w:val="005B2E9C"/>
    <w:rsid w:val="005B4F93"/>
    <w:rsid w:val="005B71AE"/>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B0FE-D228-4C6E-BFD3-AD67E1F7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