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易方达黄金交易型开放式证券投资基金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9B7A74" w:rsidRDefault="00F5785B">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B7A74" w:rsidRDefault="00F5785B">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B7A74" w:rsidRDefault="00F5785B">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B7A74" w:rsidRDefault="00F5785B">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B7A74" w:rsidRDefault="00F5785B">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易方达黄金</w:t>
            </w:r>
            <w:r w:rsidRPr="00232B03">
              <w:rPr>
                <w:color w:val="000000"/>
                <w:kern w:val="0"/>
                <w:sz w:val="24"/>
                <w:szCs w:val="24"/>
              </w:rPr>
              <w:t>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黄金</w:t>
            </w:r>
            <w:r w:rsidRPr="00232B03">
              <w:rPr>
                <w:kern w:val="0"/>
                <w:sz w:val="24"/>
                <w:szCs w:val="24"/>
              </w:rPr>
              <w:t>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159934</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159934</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2013</w:t>
            </w:r>
            <w:r w:rsidRPr="00232B03">
              <w:rPr>
                <w:color w:val="000000"/>
                <w:kern w:val="0"/>
                <w:sz w:val="24"/>
                <w:szCs w:val="24"/>
              </w:rPr>
              <w:t>年</w:t>
            </w:r>
            <w:r w:rsidRPr="00232B03">
              <w:rPr>
                <w:color w:val="000000"/>
                <w:kern w:val="0"/>
                <w:sz w:val="24"/>
                <w:szCs w:val="24"/>
              </w:rPr>
              <w:t>11</w:t>
            </w:r>
            <w:r w:rsidRPr="00232B03">
              <w:rPr>
                <w:color w:val="000000"/>
                <w:kern w:val="0"/>
                <w:sz w:val="24"/>
                <w:szCs w:val="24"/>
              </w:rPr>
              <w:t>月</w:t>
            </w:r>
            <w:r w:rsidRPr="00232B03">
              <w:rPr>
                <w:color w:val="000000"/>
                <w:kern w:val="0"/>
                <w:sz w:val="24"/>
                <w:szCs w:val="24"/>
              </w:rPr>
              <w:t>29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620,562,646.00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紧密跟踪业绩比较基准，追求跟踪偏离度与跟踪误差最小化。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本基金投资于黄金现货合约的比例不低于基金资产净值的</w:t>
            </w:r>
            <w:r w:rsidRPr="00232B03">
              <w:rPr>
                <w:color w:val="000000"/>
                <w:kern w:val="0"/>
                <w:sz w:val="24"/>
                <w:szCs w:val="24"/>
              </w:rPr>
              <w:t>95%</w:t>
            </w:r>
            <w:r w:rsidRPr="00232B03">
              <w:rPr>
                <w:color w:val="000000"/>
                <w:kern w:val="0"/>
                <w:sz w:val="24"/>
                <w:szCs w:val="24"/>
              </w:rPr>
              <w:t>。为紧密追踪业绩比较基准的表现，本基金力争将日均跟踪偏离度控制在</w:t>
            </w:r>
            <w:r w:rsidRPr="00232B03">
              <w:rPr>
                <w:color w:val="000000"/>
                <w:kern w:val="0"/>
                <w:sz w:val="24"/>
                <w:szCs w:val="24"/>
              </w:rPr>
              <w:t>0.2%</w:t>
            </w:r>
            <w:r w:rsidRPr="00232B03">
              <w:rPr>
                <w:color w:val="000000"/>
                <w:kern w:val="0"/>
                <w:sz w:val="24"/>
                <w:szCs w:val="24"/>
              </w:rPr>
              <w:t>以内，年化跟踪误差控制在</w:t>
            </w:r>
            <w:r w:rsidRPr="00232B03">
              <w:rPr>
                <w:color w:val="000000"/>
                <w:kern w:val="0"/>
                <w:sz w:val="24"/>
                <w:szCs w:val="24"/>
              </w:rPr>
              <w:t>2%</w:t>
            </w:r>
            <w:r w:rsidRPr="00232B03">
              <w:rPr>
                <w:color w:val="000000"/>
                <w:kern w:val="0"/>
                <w:sz w:val="24"/>
                <w:szCs w:val="24"/>
              </w:rPr>
              <w:t>以内。当黄金现货实盘合约</w:t>
            </w:r>
            <w:r w:rsidRPr="00232B03">
              <w:rPr>
                <w:color w:val="000000"/>
                <w:kern w:val="0"/>
                <w:sz w:val="24"/>
                <w:szCs w:val="24"/>
              </w:rPr>
              <w:lastRenderedPageBreak/>
              <w:t>流动性不足或黄金现货延期交收合约投资成本更低时，本基金可适当投资于黄金现货延期交收合约。为降低基金费用对跟踪偏离度与跟踪误差的影响，本基金可以将持有的黄金现货合约借出给信誉良好的机构，取得租赁收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上海黄金交易所</w:t>
            </w:r>
            <w:r w:rsidRPr="00232B03">
              <w:rPr>
                <w:color w:val="000000"/>
                <w:kern w:val="0"/>
                <w:sz w:val="24"/>
                <w:szCs w:val="24"/>
              </w:rPr>
              <w:t>Au99.99</w:t>
            </w:r>
            <w:r w:rsidRPr="00232B03">
              <w:rPr>
                <w:color w:val="000000"/>
                <w:kern w:val="0"/>
                <w:sz w:val="24"/>
                <w:szCs w:val="24"/>
              </w:rPr>
              <w:t>现货实盘合约收盘价</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本基金追踪上海黄金交易所</w:t>
            </w:r>
            <w:r w:rsidRPr="00232B03">
              <w:rPr>
                <w:color w:val="000000"/>
                <w:kern w:val="0"/>
                <w:sz w:val="24"/>
                <w:szCs w:val="24"/>
              </w:rPr>
              <w:t>Au99.99</w:t>
            </w:r>
            <w:r w:rsidRPr="00232B03">
              <w:rPr>
                <w:color w:val="000000"/>
                <w:kern w:val="0"/>
                <w:sz w:val="24"/>
                <w:szCs w:val="24"/>
              </w:rPr>
              <w:t>现货实盘合约收盘价表现，具有与上海黄金交易所</w:t>
            </w:r>
            <w:r w:rsidRPr="00232B03">
              <w:rPr>
                <w:color w:val="000000"/>
                <w:kern w:val="0"/>
                <w:sz w:val="24"/>
                <w:szCs w:val="24"/>
              </w:rPr>
              <w:t xml:space="preserve">Au99.99 </w:t>
            </w:r>
            <w:r w:rsidRPr="00232B03">
              <w:rPr>
                <w:color w:val="000000"/>
                <w:kern w:val="0"/>
                <w:sz w:val="24"/>
                <w:szCs w:val="24"/>
              </w:rPr>
              <w:t>现货实盘合约相似的风险收益特征。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39,864,389.06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139,301,585.15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0.2593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2,097,142,896.30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3.3794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9B7A74" w:rsidRDefault="00F5785B">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9B7A74" w:rsidRDefault="00F5785B">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2013</w:t>
      </w:r>
      <w:r w:rsidRPr="006506EF">
        <w:rPr>
          <w:color w:val="000000"/>
          <w:sz w:val="24"/>
        </w:rPr>
        <w:t>年</w:t>
      </w:r>
      <w:r w:rsidRPr="006506EF">
        <w:rPr>
          <w:color w:val="000000"/>
          <w:sz w:val="24"/>
        </w:rPr>
        <w:t>12</w:t>
      </w:r>
      <w:r w:rsidRPr="006506EF">
        <w:rPr>
          <w:color w:val="000000"/>
          <w:sz w:val="24"/>
        </w:rPr>
        <w:t>月</w:t>
      </w:r>
      <w:r w:rsidRPr="006506EF">
        <w:rPr>
          <w:color w:val="000000"/>
          <w:sz w:val="24"/>
        </w:rPr>
        <w:t>11</w:t>
      </w:r>
      <w:r w:rsidRPr="006506EF">
        <w:rPr>
          <w:color w:val="000000"/>
          <w:sz w:val="24"/>
        </w:rPr>
        <w:t>日进行了基金份额折算，折算比例为</w:t>
      </w:r>
      <w:r w:rsidRPr="006506EF">
        <w:rPr>
          <w:color w:val="000000"/>
          <w:sz w:val="24"/>
        </w:rPr>
        <w:t>0.40739099</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9B7A74">
        <w:tc>
          <w:tcPr>
            <w:tcW w:w="1395" w:type="dxa"/>
            <w:vAlign w:val="center"/>
          </w:tcPr>
          <w:p w:rsidR="009B7A74" w:rsidRDefault="00F5785B">
            <w:pPr>
              <w:jc w:val="left"/>
            </w:pPr>
            <w:r>
              <w:rPr>
                <w:color w:val="000000"/>
                <w:kern w:val="0"/>
                <w:sz w:val="24"/>
                <w:szCs w:val="24"/>
              </w:rPr>
              <w:t>过去三个月</w:t>
            </w:r>
          </w:p>
        </w:tc>
        <w:tc>
          <w:tcPr>
            <w:tcW w:w="1092" w:type="dxa"/>
            <w:vAlign w:val="center"/>
          </w:tcPr>
          <w:p w:rsidR="009B7A74" w:rsidRDefault="00F5785B">
            <w:pPr>
              <w:jc w:val="center"/>
            </w:pPr>
            <w:r>
              <w:rPr>
                <w:color w:val="000000"/>
                <w:kern w:val="0"/>
                <w:sz w:val="24"/>
                <w:szCs w:val="24"/>
              </w:rPr>
              <w:t>9.38%</w:t>
            </w:r>
          </w:p>
        </w:tc>
        <w:tc>
          <w:tcPr>
            <w:tcW w:w="1161" w:type="dxa"/>
            <w:vAlign w:val="center"/>
          </w:tcPr>
          <w:p w:rsidR="009B7A74" w:rsidRDefault="00F5785B">
            <w:pPr>
              <w:jc w:val="center"/>
            </w:pPr>
            <w:r>
              <w:rPr>
                <w:color w:val="000000"/>
                <w:kern w:val="0"/>
                <w:sz w:val="24"/>
                <w:szCs w:val="24"/>
              </w:rPr>
              <w:t>1.15%</w:t>
            </w:r>
          </w:p>
        </w:tc>
        <w:tc>
          <w:tcPr>
            <w:tcW w:w="1181" w:type="dxa"/>
            <w:vAlign w:val="center"/>
          </w:tcPr>
          <w:p w:rsidR="009B7A74" w:rsidRDefault="00F5785B">
            <w:pPr>
              <w:jc w:val="center"/>
            </w:pPr>
            <w:r>
              <w:rPr>
                <w:color w:val="000000"/>
                <w:kern w:val="0"/>
                <w:sz w:val="24"/>
                <w:szCs w:val="24"/>
              </w:rPr>
              <w:t>9.56%</w:t>
            </w:r>
          </w:p>
        </w:tc>
        <w:tc>
          <w:tcPr>
            <w:tcW w:w="1188" w:type="dxa"/>
            <w:vAlign w:val="center"/>
          </w:tcPr>
          <w:p w:rsidR="009B7A74" w:rsidRDefault="00F5785B">
            <w:pPr>
              <w:jc w:val="center"/>
            </w:pPr>
            <w:r>
              <w:rPr>
                <w:color w:val="000000"/>
                <w:kern w:val="0"/>
                <w:sz w:val="24"/>
                <w:szCs w:val="24"/>
              </w:rPr>
              <w:t>1.15%</w:t>
            </w:r>
          </w:p>
        </w:tc>
        <w:tc>
          <w:tcPr>
            <w:tcW w:w="1199" w:type="dxa"/>
            <w:vAlign w:val="center"/>
          </w:tcPr>
          <w:p w:rsidR="009B7A74" w:rsidRDefault="00F5785B">
            <w:pPr>
              <w:jc w:val="center"/>
            </w:pPr>
            <w:r>
              <w:rPr>
                <w:color w:val="000000"/>
                <w:kern w:val="0"/>
                <w:sz w:val="24"/>
                <w:szCs w:val="24"/>
              </w:rPr>
              <w:t>-0.18%</w:t>
            </w:r>
          </w:p>
        </w:tc>
        <w:tc>
          <w:tcPr>
            <w:tcW w:w="1204" w:type="dxa"/>
            <w:vAlign w:val="center"/>
          </w:tcPr>
          <w:p w:rsidR="009B7A74" w:rsidRDefault="00F5785B">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易方达黄金交易型开放式证券投资基金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2013</w:t>
      </w:r>
      <w:r w:rsidRPr="0074694E">
        <w:rPr>
          <w:rFonts w:ascii="Times New Roman" w:hAnsi="Times New Roman"/>
          <w:sz w:val="24"/>
          <w:szCs w:val="24"/>
        </w:rPr>
        <w:t>年</w:t>
      </w:r>
      <w:r w:rsidRPr="0074694E">
        <w:rPr>
          <w:rFonts w:ascii="Times New Roman" w:hAnsi="Times New Roman"/>
          <w:sz w:val="24"/>
          <w:szCs w:val="24"/>
        </w:rPr>
        <w:t>11</w:t>
      </w:r>
      <w:r w:rsidRPr="0074694E">
        <w:rPr>
          <w:rFonts w:ascii="Times New Roman" w:hAnsi="Times New Roman"/>
          <w:sz w:val="24"/>
          <w:szCs w:val="24"/>
        </w:rPr>
        <w:t>月</w:t>
      </w:r>
      <w:r w:rsidRPr="0074694E">
        <w:rPr>
          <w:rFonts w:ascii="Times New Roman" w:hAnsi="Times New Roman"/>
          <w:sz w:val="24"/>
          <w:szCs w:val="24"/>
        </w:rPr>
        <w:t>29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F5785B"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37.67%</w:t>
      </w:r>
      <w:r w:rsidRPr="006C56AA">
        <w:rPr>
          <w:color w:val="000000"/>
          <w:sz w:val="24"/>
          <w:szCs w:val="24"/>
        </w:rPr>
        <w:t>，同期业绩比较基准收益率为</w:t>
      </w:r>
      <w:r w:rsidRPr="006C56AA">
        <w:rPr>
          <w:color w:val="000000"/>
          <w:sz w:val="24"/>
          <w:szCs w:val="24"/>
        </w:rPr>
        <w:t>40.84%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9B7A74">
        <w:tc>
          <w:tcPr>
            <w:tcW w:w="567" w:type="dxa"/>
            <w:vAlign w:val="center"/>
          </w:tcPr>
          <w:p w:rsidR="009B7A74" w:rsidRDefault="00F5785B">
            <w:pPr>
              <w:jc w:val="center"/>
            </w:pPr>
            <w:r>
              <w:rPr>
                <w:color w:val="000000"/>
                <w:sz w:val="24"/>
              </w:rPr>
              <w:t>FAN BING(</w:t>
            </w:r>
            <w:r>
              <w:rPr>
                <w:color w:val="000000"/>
                <w:sz w:val="24"/>
              </w:rPr>
              <w:t>范冰</w:t>
            </w:r>
            <w:r>
              <w:rPr>
                <w:color w:val="000000"/>
                <w:sz w:val="24"/>
              </w:rPr>
              <w:t>)</w:t>
            </w:r>
          </w:p>
        </w:tc>
        <w:tc>
          <w:tcPr>
            <w:tcW w:w="2835" w:type="dxa"/>
            <w:vAlign w:val="center"/>
          </w:tcPr>
          <w:p w:rsidR="009B7A74" w:rsidRDefault="00F5785B">
            <w:pPr>
              <w:jc w:val="center"/>
            </w:pPr>
            <w:r>
              <w:rPr>
                <w:color w:val="000000"/>
                <w:sz w:val="24"/>
              </w:rPr>
              <w:t>本基金的基金经理、易方达中证海外中国互联网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交易型开放式指数证券投资基金的基金经理、易方达原油证券投资基金</w:t>
            </w:r>
            <w:r>
              <w:rPr>
                <w:color w:val="000000"/>
                <w:sz w:val="24"/>
              </w:rPr>
              <w:t>(QDII)</w:t>
            </w:r>
            <w:r>
              <w:rPr>
                <w:color w:val="000000"/>
                <w:sz w:val="24"/>
              </w:rPr>
              <w:t>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的基金经理、易方达黄金交易型开放式证券投资基金联接基金的基金经理、易方达标普医疗保健指数证券投资基金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w:t>
            </w:r>
            <w:r>
              <w:rPr>
                <w:color w:val="000000"/>
                <w:sz w:val="24"/>
              </w:rPr>
              <w:t>达标普生物科技指数证券投资基金</w:t>
            </w:r>
            <w:r>
              <w:rPr>
                <w:color w:val="000000"/>
                <w:sz w:val="24"/>
              </w:rPr>
              <w:t>(LOF)</w:t>
            </w:r>
            <w:r>
              <w:rPr>
                <w:color w:val="000000"/>
                <w:sz w:val="24"/>
              </w:rPr>
              <w:t>的基金经理、易方达标普全球高端消费品指数增强型证券投资基金的基金经理、易方达标普</w:t>
            </w:r>
            <w:r>
              <w:rPr>
                <w:color w:val="000000"/>
                <w:sz w:val="24"/>
              </w:rPr>
              <w:t>500</w:t>
            </w:r>
            <w:r>
              <w:rPr>
                <w:color w:val="000000"/>
                <w:sz w:val="24"/>
              </w:rPr>
              <w:t>指数证券投资基金</w:t>
            </w:r>
            <w:r>
              <w:rPr>
                <w:color w:val="000000"/>
                <w:sz w:val="24"/>
              </w:rPr>
              <w:t>(LOF)</w:t>
            </w:r>
            <w:r>
              <w:rPr>
                <w:color w:val="000000"/>
                <w:sz w:val="24"/>
              </w:rPr>
              <w:t>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9B7A74" w:rsidRDefault="00F5785B">
            <w:pPr>
              <w:jc w:val="center"/>
            </w:pPr>
            <w:r>
              <w:rPr>
                <w:color w:val="000000"/>
                <w:sz w:val="24"/>
              </w:rPr>
              <w:t>2017-03-25</w:t>
            </w:r>
          </w:p>
        </w:tc>
        <w:tc>
          <w:tcPr>
            <w:tcW w:w="850" w:type="dxa"/>
            <w:vAlign w:val="center"/>
          </w:tcPr>
          <w:p w:rsidR="009B7A74" w:rsidRDefault="00F5785B">
            <w:pPr>
              <w:jc w:val="center"/>
            </w:pPr>
            <w:r>
              <w:rPr>
                <w:color w:val="000000"/>
                <w:sz w:val="24"/>
              </w:rPr>
              <w:t>-</w:t>
            </w:r>
          </w:p>
        </w:tc>
        <w:tc>
          <w:tcPr>
            <w:tcW w:w="851" w:type="dxa"/>
            <w:vAlign w:val="center"/>
          </w:tcPr>
          <w:p w:rsidR="009B7A74" w:rsidRDefault="00F5785B">
            <w:pPr>
              <w:jc w:val="center"/>
            </w:pPr>
            <w:r>
              <w:rPr>
                <w:color w:val="000000"/>
                <w:sz w:val="24"/>
              </w:rPr>
              <w:t>14</w:t>
            </w:r>
            <w:r>
              <w:rPr>
                <w:color w:val="000000"/>
                <w:sz w:val="24"/>
              </w:rPr>
              <w:t>年</w:t>
            </w:r>
          </w:p>
        </w:tc>
        <w:tc>
          <w:tcPr>
            <w:tcW w:w="2977" w:type="dxa"/>
            <w:vAlign w:val="center"/>
          </w:tcPr>
          <w:p w:rsidR="009B7A74" w:rsidRDefault="00F5785B">
            <w:r>
              <w:rPr>
                <w:color w:val="000000"/>
                <w:sz w:val="24"/>
              </w:rPr>
              <w:t>新加坡籍，硕士研究生，曾任皇家加拿大银行托管部核算专员，美国道富集团</w:t>
            </w:r>
            <w:r>
              <w:rPr>
                <w:color w:val="000000"/>
                <w:sz w:val="24"/>
              </w:rPr>
              <w:t xml:space="preserve">Middle </w:t>
            </w:r>
            <w:r>
              <w:rPr>
                <w:color w:val="000000"/>
                <w:sz w:val="24"/>
              </w:rPr>
              <w:t>Office</w:t>
            </w:r>
            <w:r>
              <w:rPr>
                <w:color w:val="000000"/>
                <w:sz w:val="24"/>
              </w:rPr>
              <w:t>中台交易支持专员，巴克莱资产管理公司悉尼金融数据部高级金融数据分析员、悉尼金融数据部主管、新加坡金融数据部主管，贝莱德集团金融数据运营部部门经理、风险控制与咨询部客户经理、亚太股票指数基金部基金经理。</w:t>
            </w:r>
          </w:p>
        </w:tc>
      </w:tr>
      <w:tr w:rsidR="009B7A74">
        <w:tc>
          <w:tcPr>
            <w:tcW w:w="567" w:type="dxa"/>
            <w:vAlign w:val="center"/>
          </w:tcPr>
          <w:p w:rsidR="009B7A74" w:rsidRDefault="00F5785B">
            <w:pPr>
              <w:jc w:val="center"/>
            </w:pPr>
            <w:r>
              <w:rPr>
                <w:color w:val="000000"/>
                <w:sz w:val="24"/>
              </w:rPr>
              <w:t>余海燕</w:t>
            </w:r>
          </w:p>
        </w:tc>
        <w:tc>
          <w:tcPr>
            <w:tcW w:w="2835" w:type="dxa"/>
            <w:vAlign w:val="center"/>
          </w:tcPr>
          <w:p w:rsidR="009B7A74" w:rsidRDefault="00F5785B">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交易型开放式指数发起式证券投资基金联接基金的基金经理、易方达沪深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非银行金融交易型开放式指数证券投资基金的基金经理、易方达恒生中国企业交易型开放式指数证券投资基金联接基金的基金经理、易方达恒生中国企业交易型开放式指数证券投资基金的</w:t>
            </w:r>
            <w:r>
              <w:rPr>
                <w:color w:val="000000"/>
                <w:sz w:val="24"/>
              </w:rPr>
              <w:t>基金经理、易方达国企改革指数分级证券投资基金的基金经理</w:t>
            </w:r>
          </w:p>
        </w:tc>
        <w:tc>
          <w:tcPr>
            <w:tcW w:w="851" w:type="dxa"/>
            <w:vAlign w:val="center"/>
          </w:tcPr>
          <w:p w:rsidR="009B7A74" w:rsidRDefault="00F5785B">
            <w:pPr>
              <w:jc w:val="center"/>
            </w:pPr>
            <w:r>
              <w:rPr>
                <w:color w:val="000000"/>
                <w:sz w:val="24"/>
              </w:rPr>
              <w:t>2018-08-11</w:t>
            </w:r>
          </w:p>
        </w:tc>
        <w:tc>
          <w:tcPr>
            <w:tcW w:w="850" w:type="dxa"/>
            <w:vAlign w:val="center"/>
          </w:tcPr>
          <w:p w:rsidR="009B7A74" w:rsidRDefault="00F5785B">
            <w:pPr>
              <w:jc w:val="center"/>
            </w:pPr>
            <w:r>
              <w:rPr>
                <w:color w:val="000000"/>
                <w:sz w:val="24"/>
              </w:rPr>
              <w:t>-</w:t>
            </w:r>
          </w:p>
        </w:tc>
        <w:tc>
          <w:tcPr>
            <w:tcW w:w="851" w:type="dxa"/>
            <w:vAlign w:val="center"/>
          </w:tcPr>
          <w:p w:rsidR="009B7A74" w:rsidRDefault="00F5785B">
            <w:pPr>
              <w:jc w:val="center"/>
            </w:pPr>
            <w:r>
              <w:rPr>
                <w:color w:val="000000"/>
                <w:sz w:val="24"/>
              </w:rPr>
              <w:t>14</w:t>
            </w:r>
            <w:r>
              <w:rPr>
                <w:color w:val="000000"/>
                <w:sz w:val="24"/>
              </w:rPr>
              <w:t>年</w:t>
            </w:r>
          </w:p>
        </w:tc>
        <w:tc>
          <w:tcPr>
            <w:tcW w:w="2977" w:type="dxa"/>
            <w:vAlign w:val="center"/>
          </w:tcPr>
          <w:p w:rsidR="009B7A74" w:rsidRDefault="00F5785B">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信用风险分析师，华宝兴业基金管理有限公司分析师、基金经理助理、基金经理，易方达基金管理有限公司投资发展部产品经理。</w:t>
            </w:r>
          </w:p>
        </w:tc>
      </w:tr>
    </w:tbl>
    <w:p w:rsidR="009B7A74" w:rsidRDefault="00F5785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9B7A74" w:rsidRDefault="00F5785B">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9B7A74" w:rsidRDefault="00F5785B">
      <w:pPr>
        <w:spacing w:line="360" w:lineRule="auto"/>
        <w:ind w:firstLineChars="200" w:firstLine="480"/>
        <w:rPr>
          <w:color w:val="000000"/>
          <w:sz w:val="24"/>
          <w:szCs w:val="24"/>
        </w:rPr>
      </w:pPr>
      <w:r>
        <w:rPr>
          <w:color w:val="000000"/>
          <w:sz w:val="24"/>
          <w:szCs w:val="24"/>
        </w:rPr>
        <w:t>回顾</w:t>
      </w:r>
      <w:r>
        <w:rPr>
          <w:color w:val="000000"/>
          <w:sz w:val="24"/>
          <w:szCs w:val="24"/>
        </w:rPr>
        <w:t>2019</w:t>
      </w:r>
      <w:r>
        <w:rPr>
          <w:color w:val="000000"/>
          <w:sz w:val="24"/>
          <w:szCs w:val="24"/>
        </w:rPr>
        <w:t>年三季度，全球经济增长动能放缓，美国经济面临的压力进一步加大，就业和制造业</w:t>
      </w:r>
      <w:r>
        <w:rPr>
          <w:color w:val="000000"/>
          <w:sz w:val="24"/>
          <w:szCs w:val="24"/>
        </w:rPr>
        <w:t>PMI</w:t>
      </w:r>
      <w:r>
        <w:rPr>
          <w:color w:val="000000"/>
          <w:sz w:val="24"/>
          <w:szCs w:val="24"/>
        </w:rPr>
        <w:t>等宏观经济指标不达预期。美联储</w:t>
      </w:r>
      <w:r>
        <w:rPr>
          <w:color w:val="000000"/>
          <w:sz w:val="24"/>
          <w:szCs w:val="24"/>
        </w:rPr>
        <w:t>7</w:t>
      </w:r>
      <w:r>
        <w:rPr>
          <w:color w:val="000000"/>
          <w:sz w:val="24"/>
          <w:szCs w:val="24"/>
        </w:rPr>
        <w:t>月如期降息但指引偏鹰派，紧随其后的贸易摩擦升级推升了市场的避险情绪，美债收益率出现了倒挂的情形。</w:t>
      </w:r>
      <w:r>
        <w:rPr>
          <w:color w:val="000000"/>
          <w:sz w:val="24"/>
          <w:szCs w:val="24"/>
        </w:rPr>
        <w:t>9</w:t>
      </w:r>
      <w:r>
        <w:rPr>
          <w:color w:val="000000"/>
          <w:sz w:val="24"/>
          <w:szCs w:val="24"/>
        </w:rPr>
        <w:t>月以来，美联储再次降息</w:t>
      </w:r>
      <w:r>
        <w:rPr>
          <w:color w:val="000000"/>
          <w:sz w:val="24"/>
          <w:szCs w:val="24"/>
        </w:rPr>
        <w:t>0.25%</w:t>
      </w:r>
      <w:r>
        <w:rPr>
          <w:color w:val="000000"/>
          <w:sz w:val="24"/>
          <w:szCs w:val="24"/>
        </w:rPr>
        <w:t>，货币宽松节奏加快，中美贸易谈判前景仍然充满不确定性。欧洲</w:t>
      </w:r>
      <w:r>
        <w:rPr>
          <w:color w:val="000000"/>
          <w:sz w:val="24"/>
          <w:szCs w:val="24"/>
        </w:rPr>
        <w:t>PMI</w:t>
      </w:r>
      <w:r>
        <w:rPr>
          <w:color w:val="000000"/>
          <w:sz w:val="24"/>
          <w:szCs w:val="24"/>
        </w:rPr>
        <w:t>低于预期，英国硬脱欧的风险加大，全球主要央行竞相通过宽松的货币政策应对经济下行的压力，推动金价在三季度走高，并一度突破</w:t>
      </w:r>
      <w:r>
        <w:rPr>
          <w:color w:val="000000"/>
          <w:sz w:val="24"/>
          <w:szCs w:val="24"/>
        </w:rPr>
        <w:t>1550</w:t>
      </w:r>
      <w:r>
        <w:rPr>
          <w:color w:val="000000"/>
          <w:sz w:val="24"/>
          <w:szCs w:val="24"/>
        </w:rPr>
        <w:t>美元</w:t>
      </w:r>
      <w:r>
        <w:rPr>
          <w:color w:val="000000"/>
          <w:sz w:val="24"/>
          <w:szCs w:val="24"/>
        </w:rPr>
        <w:t>/</w:t>
      </w:r>
      <w:r>
        <w:rPr>
          <w:color w:val="000000"/>
          <w:sz w:val="24"/>
          <w:szCs w:val="24"/>
        </w:rPr>
        <w:t>盎司。</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作为被动管理型基金，报告期内，本基金紧密跟踪上海黄金交易所</w:t>
      </w:r>
      <w:r w:rsidRPr="006C56AA">
        <w:rPr>
          <w:color w:val="000000"/>
          <w:sz w:val="24"/>
          <w:szCs w:val="24"/>
        </w:rPr>
        <w:t>Au99.99</w:t>
      </w:r>
      <w:r w:rsidRPr="006C56AA">
        <w:rPr>
          <w:color w:val="000000"/>
          <w:sz w:val="24"/>
          <w:szCs w:val="24"/>
        </w:rPr>
        <w:t>现货实盘合约价格，取得与业绩比较基准基本一致的业绩表现。</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3.3794</w:t>
      </w:r>
      <w:r w:rsidRPr="006C56AA">
        <w:rPr>
          <w:color w:val="000000"/>
          <w:sz w:val="24"/>
          <w:szCs w:val="24"/>
        </w:rPr>
        <w:t>元，本报告期份额净值增长率为</w:t>
      </w:r>
      <w:r w:rsidRPr="006C56AA">
        <w:rPr>
          <w:color w:val="000000"/>
          <w:sz w:val="24"/>
          <w:szCs w:val="24"/>
        </w:rPr>
        <w:t>9.38%</w:t>
      </w:r>
      <w:r w:rsidRPr="006C56AA">
        <w:rPr>
          <w:color w:val="000000"/>
          <w:sz w:val="24"/>
          <w:szCs w:val="24"/>
        </w:rPr>
        <w:t>，同期业绩比较基准收益率为</w:t>
      </w:r>
      <w:r w:rsidRPr="006C56AA">
        <w:rPr>
          <w:color w:val="000000"/>
          <w:sz w:val="24"/>
          <w:szCs w:val="24"/>
        </w:rPr>
        <w:t>9.56%</w:t>
      </w:r>
      <w:r w:rsidRPr="006C56AA">
        <w:rPr>
          <w:color w:val="000000"/>
          <w:sz w:val="24"/>
          <w:szCs w:val="24"/>
        </w:rPr>
        <w:t>，年化跟踪误差</w:t>
      </w:r>
      <w:r w:rsidRPr="006C56AA">
        <w:rPr>
          <w:color w:val="000000"/>
          <w:sz w:val="24"/>
          <w:szCs w:val="24"/>
        </w:rPr>
        <w:t>0.044%</w:t>
      </w:r>
      <w:r w:rsidRPr="006C56AA">
        <w:rPr>
          <w:color w:val="000000"/>
          <w:sz w:val="24"/>
          <w:szCs w:val="24"/>
        </w:rPr>
        <w:t>，在合同规定的目标控制范围之内。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2,095,615,347.60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2,170,493.44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712,136.35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2,098,497,977.39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1"/>
        <w:gridCol w:w="1773"/>
        <w:gridCol w:w="1548"/>
        <w:gridCol w:w="1548"/>
        <w:gridCol w:w="1652"/>
        <w:gridCol w:w="1444"/>
      </w:tblGrid>
      <w:tr w:rsidR="00750D48" w:rsidTr="005602F3">
        <w:trPr>
          <w:jc w:val="center"/>
        </w:trPr>
        <w:tc>
          <w:tcPr>
            <w:tcW w:w="1071" w:type="dxa"/>
            <w:vAlign w:val="center"/>
          </w:tcPr>
          <w:p w:rsidR="00750D48" w:rsidRPr="00232B03" w:rsidRDefault="00750D48" w:rsidP="00B05049">
            <w:pPr>
              <w:adjustRightInd w:val="0"/>
              <w:snapToGrid w:val="0"/>
              <w:spacing w:line="360" w:lineRule="exact"/>
              <w:jc w:val="center"/>
              <w:rPr>
                <w:kern w:val="0"/>
                <w:sz w:val="24"/>
              </w:rPr>
            </w:pPr>
            <w:r w:rsidRPr="00232B03">
              <w:rPr>
                <w:kern w:val="0"/>
                <w:sz w:val="24"/>
              </w:rPr>
              <w:t>序号</w:t>
            </w:r>
          </w:p>
        </w:tc>
        <w:tc>
          <w:tcPr>
            <w:tcW w:w="1773" w:type="dxa"/>
            <w:vAlign w:val="center"/>
          </w:tcPr>
          <w:p w:rsidR="00750D48" w:rsidRPr="00232B03" w:rsidRDefault="00750D48" w:rsidP="00B05049">
            <w:pPr>
              <w:adjustRightInd w:val="0"/>
              <w:snapToGrid w:val="0"/>
              <w:spacing w:line="360" w:lineRule="exact"/>
              <w:jc w:val="center"/>
              <w:rPr>
                <w:kern w:val="0"/>
                <w:sz w:val="24"/>
              </w:rPr>
            </w:pPr>
            <w:r w:rsidRPr="00232B03">
              <w:rPr>
                <w:kern w:val="0"/>
                <w:sz w:val="24"/>
              </w:rPr>
              <w:t>贵金属代码</w:t>
            </w:r>
          </w:p>
        </w:tc>
        <w:tc>
          <w:tcPr>
            <w:tcW w:w="1548" w:type="dxa"/>
            <w:vAlign w:val="center"/>
          </w:tcPr>
          <w:p w:rsidR="00750D48" w:rsidRPr="00232B03" w:rsidRDefault="00750D48" w:rsidP="00B05049">
            <w:pPr>
              <w:adjustRightInd w:val="0"/>
              <w:snapToGrid w:val="0"/>
              <w:spacing w:line="360" w:lineRule="exact"/>
              <w:jc w:val="center"/>
              <w:rPr>
                <w:kern w:val="0"/>
                <w:sz w:val="24"/>
              </w:rPr>
            </w:pPr>
            <w:r w:rsidRPr="00232B03">
              <w:rPr>
                <w:kern w:val="0"/>
                <w:sz w:val="24"/>
              </w:rPr>
              <w:t>贵金属名称</w:t>
            </w:r>
          </w:p>
        </w:tc>
        <w:tc>
          <w:tcPr>
            <w:tcW w:w="1548" w:type="dxa"/>
            <w:vAlign w:val="center"/>
          </w:tcPr>
          <w:p w:rsidR="00750D48" w:rsidRPr="00232B03" w:rsidRDefault="00750D48" w:rsidP="00B05049">
            <w:pPr>
              <w:adjustRightInd w:val="0"/>
              <w:snapToGrid w:val="0"/>
              <w:spacing w:line="360" w:lineRule="exact"/>
              <w:jc w:val="center"/>
              <w:rPr>
                <w:kern w:val="0"/>
                <w:sz w:val="24"/>
              </w:rPr>
            </w:pPr>
            <w:r w:rsidRPr="00232B03">
              <w:rPr>
                <w:kern w:val="0"/>
                <w:sz w:val="24"/>
              </w:rPr>
              <w:t>数量（份）</w:t>
            </w:r>
          </w:p>
        </w:tc>
        <w:tc>
          <w:tcPr>
            <w:tcW w:w="1652" w:type="dxa"/>
            <w:vAlign w:val="center"/>
          </w:tcPr>
          <w:p w:rsidR="00750D48" w:rsidRPr="00232B03" w:rsidRDefault="00750D48" w:rsidP="00B05049">
            <w:pPr>
              <w:adjustRightInd w:val="0"/>
              <w:snapToGrid w:val="0"/>
              <w:spacing w:line="360" w:lineRule="exact"/>
              <w:jc w:val="center"/>
              <w:rPr>
                <w:kern w:val="0"/>
                <w:sz w:val="24"/>
              </w:rPr>
            </w:pPr>
            <w:r w:rsidRPr="00232B03">
              <w:rPr>
                <w:kern w:val="0"/>
                <w:sz w:val="24"/>
              </w:rPr>
              <w:t>公允价值（元）</w:t>
            </w:r>
          </w:p>
        </w:tc>
        <w:tc>
          <w:tcPr>
            <w:tcW w:w="1444" w:type="dxa"/>
            <w:vAlign w:val="center"/>
          </w:tcPr>
          <w:p w:rsidR="00750D48" w:rsidRPr="00232B03" w:rsidRDefault="00750D48" w:rsidP="00B05049">
            <w:pPr>
              <w:adjustRightInd w:val="0"/>
              <w:snapToGrid w:val="0"/>
              <w:spacing w:line="360" w:lineRule="exact"/>
              <w:jc w:val="center"/>
              <w:rPr>
                <w:kern w:val="0"/>
                <w:sz w:val="24"/>
              </w:rPr>
            </w:pPr>
            <w:r w:rsidRPr="00232B03">
              <w:rPr>
                <w:kern w:val="0"/>
                <w:sz w:val="24"/>
              </w:rPr>
              <w:t>占基金资产净值比例（％）</w:t>
            </w:r>
          </w:p>
        </w:tc>
      </w:tr>
      <w:tr w:rsidR="009B7A74">
        <w:trPr>
          <w:jc w:val="center"/>
        </w:trPr>
        <w:tc>
          <w:tcPr>
            <w:tcW w:w="1071" w:type="dxa"/>
            <w:vAlign w:val="center"/>
          </w:tcPr>
          <w:p w:rsidR="009B7A74" w:rsidRDefault="00F5785B">
            <w:pPr>
              <w:jc w:val="center"/>
            </w:pPr>
            <w:r>
              <w:rPr>
                <w:color w:val="000000"/>
                <w:kern w:val="0"/>
                <w:sz w:val="24"/>
                <w:szCs w:val="24"/>
              </w:rPr>
              <w:t>1</w:t>
            </w:r>
          </w:p>
        </w:tc>
        <w:tc>
          <w:tcPr>
            <w:tcW w:w="1773" w:type="dxa"/>
            <w:vAlign w:val="center"/>
          </w:tcPr>
          <w:p w:rsidR="009B7A74" w:rsidRDefault="00F5785B">
            <w:pPr>
              <w:jc w:val="center"/>
            </w:pPr>
            <w:r>
              <w:rPr>
                <w:color w:val="000000"/>
                <w:kern w:val="0"/>
                <w:sz w:val="24"/>
                <w:szCs w:val="24"/>
              </w:rPr>
              <w:t>Au99.99</w:t>
            </w:r>
          </w:p>
        </w:tc>
        <w:tc>
          <w:tcPr>
            <w:tcW w:w="1548" w:type="dxa"/>
            <w:vAlign w:val="center"/>
          </w:tcPr>
          <w:p w:rsidR="009B7A74" w:rsidRDefault="00F5785B">
            <w:pPr>
              <w:jc w:val="center"/>
            </w:pPr>
            <w:r>
              <w:rPr>
                <w:color w:val="000000"/>
                <w:kern w:val="0"/>
                <w:sz w:val="24"/>
                <w:szCs w:val="24"/>
              </w:rPr>
              <w:t>Au99.99</w:t>
            </w:r>
          </w:p>
        </w:tc>
        <w:tc>
          <w:tcPr>
            <w:tcW w:w="1548" w:type="dxa"/>
            <w:vAlign w:val="center"/>
          </w:tcPr>
          <w:p w:rsidR="009B7A74" w:rsidRDefault="00F5785B">
            <w:pPr>
              <w:jc w:val="right"/>
            </w:pPr>
            <w:r>
              <w:rPr>
                <w:color w:val="000000"/>
                <w:kern w:val="0"/>
                <w:sz w:val="24"/>
                <w:szCs w:val="24"/>
              </w:rPr>
              <w:t>6,083,240</w:t>
            </w:r>
          </w:p>
        </w:tc>
        <w:tc>
          <w:tcPr>
            <w:tcW w:w="1652" w:type="dxa"/>
            <w:vAlign w:val="center"/>
          </w:tcPr>
          <w:p w:rsidR="009B7A74" w:rsidRDefault="00F5785B">
            <w:pPr>
              <w:jc w:val="right"/>
            </w:pPr>
            <w:r>
              <w:rPr>
                <w:color w:val="000000"/>
                <w:kern w:val="0"/>
                <w:sz w:val="24"/>
                <w:szCs w:val="24"/>
              </w:rPr>
              <w:t>2,095,615,347.60</w:t>
            </w:r>
          </w:p>
        </w:tc>
        <w:tc>
          <w:tcPr>
            <w:tcW w:w="1444" w:type="dxa"/>
            <w:vAlign w:val="center"/>
          </w:tcPr>
          <w:p w:rsidR="009B7A74" w:rsidRDefault="00F5785B">
            <w:pPr>
              <w:jc w:val="right"/>
            </w:pPr>
            <w:r>
              <w:rPr>
                <w:color w:val="000000"/>
                <w:kern w:val="0"/>
                <w:sz w:val="24"/>
                <w:szCs w:val="24"/>
              </w:rPr>
              <w:t>99.93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5.11.2本基金本报告期末未持有股票。</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92,739.60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58,930.47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560,466.28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712,136.35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468,762,646.00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312,900,000.00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161,100,000.00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620,562,646.00</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9B7A74">
        <w:trPr>
          <w:jc w:val="center"/>
        </w:trPr>
        <w:tc>
          <w:tcPr>
            <w:tcW w:w="1798" w:type="dxa"/>
            <w:vMerge w:val="restart"/>
            <w:vAlign w:val="center"/>
          </w:tcPr>
          <w:p w:rsidR="009B7A74" w:rsidRDefault="00F5785B">
            <w:r>
              <w:rPr>
                <w:sz w:val="24"/>
                <w:szCs w:val="24"/>
              </w:rPr>
              <w:t>中国工商银行股份有限公司－易方达黄金交易型开放式证券投资基金联接基金</w:t>
            </w:r>
          </w:p>
        </w:tc>
        <w:tc>
          <w:tcPr>
            <w:tcW w:w="709" w:type="dxa"/>
            <w:vAlign w:val="center"/>
          </w:tcPr>
          <w:p w:rsidR="009B7A74" w:rsidRDefault="00F5785B">
            <w:pPr>
              <w:jc w:val="center"/>
            </w:pPr>
            <w:r>
              <w:rPr>
                <w:sz w:val="24"/>
                <w:szCs w:val="24"/>
              </w:rPr>
              <w:t>1</w:t>
            </w:r>
          </w:p>
        </w:tc>
        <w:tc>
          <w:tcPr>
            <w:tcW w:w="1985" w:type="dxa"/>
            <w:vAlign w:val="center"/>
          </w:tcPr>
          <w:p w:rsidR="009B7A74" w:rsidRDefault="00F5785B">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9B7A74" w:rsidRDefault="00F5785B">
            <w:pPr>
              <w:jc w:val="center"/>
            </w:pPr>
            <w:r>
              <w:rPr>
                <w:sz w:val="24"/>
                <w:szCs w:val="24"/>
              </w:rPr>
              <w:t>241,317,644.00</w:t>
            </w:r>
          </w:p>
        </w:tc>
        <w:tc>
          <w:tcPr>
            <w:tcW w:w="992" w:type="dxa"/>
            <w:vAlign w:val="center"/>
          </w:tcPr>
          <w:p w:rsidR="009B7A74" w:rsidRDefault="00F5785B">
            <w:pPr>
              <w:jc w:val="center"/>
            </w:pPr>
            <w:r>
              <w:rPr>
                <w:sz w:val="24"/>
                <w:szCs w:val="24"/>
              </w:rPr>
              <w:t>143,985,464.00</w:t>
            </w:r>
          </w:p>
        </w:tc>
        <w:tc>
          <w:tcPr>
            <w:tcW w:w="1134" w:type="dxa"/>
            <w:vAlign w:val="center"/>
          </w:tcPr>
          <w:p w:rsidR="009B7A74" w:rsidRDefault="00F5785B">
            <w:pPr>
              <w:jc w:val="center"/>
            </w:pPr>
            <w:r>
              <w:rPr>
                <w:sz w:val="24"/>
                <w:szCs w:val="24"/>
              </w:rPr>
              <w:t>22,800,000.00</w:t>
            </w:r>
          </w:p>
        </w:tc>
        <w:tc>
          <w:tcPr>
            <w:tcW w:w="1037" w:type="dxa"/>
            <w:vAlign w:val="center"/>
          </w:tcPr>
          <w:p w:rsidR="009B7A74" w:rsidRDefault="00F5785B">
            <w:pPr>
              <w:jc w:val="center"/>
            </w:pPr>
            <w:r>
              <w:rPr>
                <w:sz w:val="24"/>
                <w:szCs w:val="24"/>
              </w:rPr>
              <w:t>362,503,108.00</w:t>
            </w:r>
          </w:p>
        </w:tc>
        <w:tc>
          <w:tcPr>
            <w:tcW w:w="851" w:type="dxa"/>
            <w:vAlign w:val="center"/>
          </w:tcPr>
          <w:p w:rsidR="009B7A74" w:rsidRDefault="00F5785B">
            <w:pPr>
              <w:jc w:val="center"/>
            </w:pPr>
            <w:r>
              <w:rPr>
                <w:sz w:val="24"/>
                <w:szCs w:val="24"/>
              </w:rPr>
              <w:t>58.42%</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9B7A74" w:rsidRDefault="00F5785B">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中国证监会核准易方达黄金交易型开放式证券投资基金募集的文件；</w:t>
      </w:r>
    </w:p>
    <w:p w:rsidR="009B7A74" w:rsidRDefault="00F5785B">
      <w:pPr>
        <w:spacing w:line="360" w:lineRule="auto"/>
        <w:ind w:firstLineChars="200" w:firstLine="480"/>
        <w:rPr>
          <w:color w:val="000000"/>
          <w:sz w:val="24"/>
          <w:szCs w:val="24"/>
        </w:rPr>
      </w:pPr>
      <w:r>
        <w:rPr>
          <w:color w:val="000000"/>
          <w:sz w:val="24"/>
          <w:szCs w:val="24"/>
        </w:rPr>
        <w:t>2.</w:t>
      </w:r>
      <w:r>
        <w:rPr>
          <w:color w:val="000000"/>
          <w:sz w:val="24"/>
          <w:szCs w:val="24"/>
        </w:rPr>
        <w:t>《易方达黄金交易型开放式证券投资基金基金合同》；</w:t>
      </w:r>
    </w:p>
    <w:p w:rsidR="009B7A74" w:rsidRDefault="00F5785B">
      <w:pPr>
        <w:spacing w:line="360" w:lineRule="auto"/>
        <w:ind w:firstLineChars="200" w:firstLine="480"/>
        <w:rPr>
          <w:color w:val="000000"/>
          <w:sz w:val="24"/>
          <w:szCs w:val="24"/>
        </w:rPr>
      </w:pPr>
      <w:r>
        <w:rPr>
          <w:color w:val="000000"/>
          <w:sz w:val="24"/>
          <w:szCs w:val="24"/>
        </w:rPr>
        <w:t>3.</w:t>
      </w:r>
      <w:r>
        <w:rPr>
          <w:color w:val="000000"/>
          <w:sz w:val="24"/>
          <w:szCs w:val="24"/>
        </w:rPr>
        <w:t>《易方达黄金交易型开放式证券投资基金托管协议》；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4.</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5785B">
      <w:rPr>
        <w:rStyle w:val="a7"/>
        <w:noProof/>
      </w:rPr>
      <w:t>1</w:t>
    </w:r>
    <w:r>
      <w:rPr>
        <w:rStyle w:val="a7"/>
      </w:rPr>
      <w:fldChar w:fldCharType="end"/>
    </w:r>
    <w:r>
      <w:rPr>
        <w:rStyle w:val="a7"/>
        <w:rFonts w:hint="eastAsia"/>
      </w:rPr>
      <w:t>页共</w:t>
    </w:r>
    <w:r w:rsidR="00F5785B">
      <w:fldChar w:fldCharType="begin"/>
    </w:r>
    <w:r w:rsidR="00F5785B">
      <w:instrText xml:space="preserve"> NUMPAGES  \* Arabic  \* MERGEFORMAT </w:instrText>
    </w:r>
    <w:r w:rsidR="00F5785B">
      <w:fldChar w:fldCharType="separate"/>
    </w:r>
    <w:r w:rsidR="00F5785B" w:rsidRPr="00F5785B">
      <w:rPr>
        <w:rStyle w:val="a7"/>
        <w:noProof/>
      </w:rPr>
      <w:t>3</w:t>
    </w:r>
    <w:r w:rsidR="00F5785B">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5785B">
      <w:rPr>
        <w:rStyle w:val="a7"/>
        <w:noProof/>
      </w:rPr>
      <w:t>12</w:t>
    </w:r>
    <w:r>
      <w:rPr>
        <w:rStyle w:val="a7"/>
      </w:rPr>
      <w:fldChar w:fldCharType="end"/>
    </w:r>
    <w:r>
      <w:rPr>
        <w:rStyle w:val="a7"/>
        <w:rFonts w:hint="eastAsia"/>
      </w:rPr>
      <w:t>页共</w:t>
    </w:r>
    <w:fldSimple w:instr=" NUMPAGES  \* Arabic  \* MERGEFORMAT ">
      <w:r w:rsidR="00F5785B" w:rsidRPr="00F5785B">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易方达黄金交易型开放式证券投资基金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B7A74"/>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5785B"/>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FA8F-9D5F-4149-B12A-9A40A518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