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易方达深证100交易型开放式指数基金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FB6B11" w:rsidRDefault="00DA4E47">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FB6B11" w:rsidRDefault="00DA4E47">
      <w:pPr>
        <w:spacing w:line="360" w:lineRule="auto"/>
        <w:ind w:firstLineChars="200" w:firstLine="480"/>
        <w:rPr>
          <w:color w:val="000000"/>
          <w:sz w:val="24"/>
          <w:szCs w:val="24"/>
        </w:rPr>
      </w:pPr>
      <w:r>
        <w:rPr>
          <w:color w:val="000000"/>
          <w:sz w:val="24"/>
          <w:szCs w:val="24"/>
        </w:rPr>
        <w:t>基金托管人中国银行股份有限公司根据本基金合同规定，于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FB6B11" w:rsidRDefault="00DA4E47">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FB6B11" w:rsidRDefault="00DA4E47">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FB6B11" w:rsidRDefault="00DA4E47">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易方达深证</w:t>
            </w:r>
            <w:r w:rsidRPr="00232B03">
              <w:rPr>
                <w:color w:val="000000"/>
                <w:kern w:val="0"/>
                <w:sz w:val="24"/>
                <w:szCs w:val="24"/>
              </w:rPr>
              <w:t>100ETF</w:t>
            </w:r>
          </w:p>
        </w:tc>
      </w:tr>
      <w:tr w:rsidR="00815999" w:rsidRPr="00264E55" w:rsidTr="003328D9">
        <w:tc>
          <w:tcPr>
            <w:tcW w:w="2835" w:type="dxa"/>
            <w:vAlign w:val="center"/>
          </w:tcPr>
          <w:p w:rsidR="00815999" w:rsidRPr="00232B03" w:rsidRDefault="00815999" w:rsidP="00815999">
            <w:pPr>
              <w:adjustRightInd w:val="0"/>
              <w:spacing w:before="29" w:line="360" w:lineRule="auto"/>
              <w:ind w:left="17"/>
              <w:jc w:val="left"/>
              <w:rPr>
                <w:kern w:val="0"/>
                <w:sz w:val="24"/>
                <w:szCs w:val="24"/>
              </w:rPr>
            </w:pPr>
            <w:r w:rsidRPr="00232B03">
              <w:rPr>
                <w:kern w:val="0"/>
                <w:sz w:val="24"/>
                <w:szCs w:val="24"/>
              </w:rPr>
              <w:t>场内简称</w:t>
            </w:r>
          </w:p>
        </w:tc>
        <w:tc>
          <w:tcPr>
            <w:tcW w:w="5479" w:type="dxa"/>
            <w:vAlign w:val="center"/>
          </w:tcPr>
          <w:p w:rsidR="00815999" w:rsidRPr="00232B03" w:rsidRDefault="00815999" w:rsidP="00815999">
            <w:pPr>
              <w:adjustRightInd w:val="0"/>
              <w:spacing w:before="29" w:line="360" w:lineRule="auto"/>
              <w:ind w:left="17"/>
              <w:jc w:val="left"/>
              <w:rPr>
                <w:kern w:val="0"/>
                <w:sz w:val="24"/>
                <w:szCs w:val="24"/>
              </w:rPr>
            </w:pPr>
            <w:r w:rsidRPr="00232B03">
              <w:rPr>
                <w:kern w:val="0"/>
                <w:sz w:val="24"/>
                <w:szCs w:val="24"/>
              </w:rPr>
              <w:t>深</w:t>
            </w:r>
            <w:r w:rsidRPr="00232B03">
              <w:rPr>
                <w:kern w:val="0"/>
                <w:sz w:val="24"/>
                <w:szCs w:val="24"/>
              </w:rPr>
              <w:t>100ETF</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159901</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159901</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交易型开放式（</w:t>
            </w:r>
            <w:r w:rsidRPr="00232B03">
              <w:rPr>
                <w:color w:val="000000"/>
                <w:kern w:val="0"/>
                <w:sz w:val="24"/>
                <w:szCs w:val="24"/>
              </w:rPr>
              <w:t>ETF</w:t>
            </w:r>
            <w:r w:rsidRPr="00232B03">
              <w:rPr>
                <w:color w:val="000000"/>
                <w:kern w:val="0"/>
                <w:sz w:val="24"/>
                <w:szCs w:val="24"/>
              </w:rPr>
              <w:t>）</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2006</w:t>
            </w:r>
            <w:r w:rsidRPr="00232B03">
              <w:rPr>
                <w:color w:val="000000"/>
                <w:kern w:val="0"/>
                <w:sz w:val="24"/>
                <w:szCs w:val="24"/>
              </w:rPr>
              <w:t>年</w:t>
            </w:r>
            <w:r w:rsidRPr="00232B03">
              <w:rPr>
                <w:color w:val="000000"/>
                <w:kern w:val="0"/>
                <w:sz w:val="24"/>
                <w:szCs w:val="24"/>
              </w:rPr>
              <w:t>3</w:t>
            </w:r>
            <w:r w:rsidRPr="00232B03">
              <w:rPr>
                <w:color w:val="000000"/>
                <w:kern w:val="0"/>
                <w:sz w:val="24"/>
                <w:szCs w:val="24"/>
              </w:rPr>
              <w:t>月</w:t>
            </w:r>
            <w:r w:rsidRPr="00232B03">
              <w:rPr>
                <w:color w:val="000000"/>
                <w:kern w:val="0"/>
                <w:sz w:val="24"/>
                <w:szCs w:val="24"/>
              </w:rPr>
              <w:t>24</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1,597,533,745.00</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紧密跟踪目标指数，追求跟踪偏离度及跟踪误差的最小化。</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本基金主要采取完全复制法，即完全按照标的指数的成份股组成及其权重构建基金股票投资组合，并根据标的指数成份股及其权重的变动进行相应调整。但在因特殊情况导致无法获得足够数量的股票</w:t>
            </w:r>
            <w:r w:rsidRPr="00232B03">
              <w:rPr>
                <w:color w:val="000000"/>
                <w:kern w:val="0"/>
                <w:sz w:val="24"/>
                <w:szCs w:val="24"/>
              </w:rPr>
              <w:lastRenderedPageBreak/>
              <w:t>时，基金管理人将采用优化方法计算最优化投资组合的个股权重比例，以此构建本基金实际的投资组合，追求尽可能贴近目标指数的表现。</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深证</w:t>
            </w:r>
            <w:r w:rsidRPr="00232B03">
              <w:rPr>
                <w:color w:val="000000"/>
                <w:kern w:val="0"/>
                <w:sz w:val="24"/>
                <w:szCs w:val="24"/>
              </w:rPr>
              <w:t>100</w:t>
            </w:r>
            <w:r w:rsidRPr="00232B03">
              <w:rPr>
                <w:color w:val="000000"/>
                <w:kern w:val="0"/>
                <w:sz w:val="24"/>
                <w:szCs w:val="24"/>
              </w:rPr>
              <w:t>价格指数</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属股票基金，预期风险与收益水平高于混合基金、债券基金与货币市场基金。本基金为指数型基金，主要采用完全复制法跟踪标的指数的表现，具有与标的指数、以及标的指数所代表的股票市场相似的风险收益特征。</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185,619,742.93</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331,019,522.04</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0.2146</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7,455,376,003.75</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4.6668</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FB6B11" w:rsidRDefault="00DA4E47">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FB6B11" w:rsidRDefault="00DA4E47">
      <w:pPr>
        <w:spacing w:line="360" w:lineRule="auto"/>
        <w:ind w:firstLineChars="200" w:firstLine="480"/>
        <w:rPr>
          <w:color w:val="000000"/>
          <w:sz w:val="24"/>
          <w:szCs w:val="24"/>
        </w:rPr>
      </w:pPr>
      <w:r>
        <w:rPr>
          <w:color w:val="000000"/>
          <w:sz w:val="24"/>
        </w:rPr>
        <w:t>2.</w:t>
      </w:r>
      <w:r>
        <w:rPr>
          <w:color w:val="000000"/>
          <w:sz w:val="24"/>
        </w:rPr>
        <w:t>本期已实现收益指基金本期利息收入、投资收益、其他收入（不含公允价值变动收益）扣除相关费用后的余额，本期利润为本期已实现收益加上本期公允价值变动收益。</w:t>
      </w:r>
    </w:p>
    <w:p w:rsidR="00FB6B11" w:rsidRDefault="00DA4E47">
      <w:pPr>
        <w:spacing w:line="360" w:lineRule="auto"/>
        <w:ind w:firstLineChars="200" w:firstLine="480"/>
        <w:rPr>
          <w:color w:val="000000"/>
          <w:sz w:val="24"/>
          <w:szCs w:val="24"/>
        </w:rPr>
      </w:pPr>
      <w:r>
        <w:rPr>
          <w:color w:val="000000"/>
          <w:sz w:val="24"/>
        </w:rPr>
        <w:t xml:space="preserve">3. </w:t>
      </w:r>
      <w:r>
        <w:rPr>
          <w:color w:val="000000"/>
          <w:sz w:val="24"/>
        </w:rPr>
        <w:t>本基金已于</w:t>
      </w:r>
      <w:r>
        <w:rPr>
          <w:color w:val="000000"/>
          <w:sz w:val="24"/>
        </w:rPr>
        <w:t>2006</w:t>
      </w:r>
      <w:r>
        <w:rPr>
          <w:color w:val="000000"/>
          <w:sz w:val="24"/>
        </w:rPr>
        <w:t>年</w:t>
      </w:r>
      <w:r>
        <w:rPr>
          <w:color w:val="000000"/>
          <w:sz w:val="24"/>
        </w:rPr>
        <w:t>4</w:t>
      </w:r>
      <w:r>
        <w:rPr>
          <w:color w:val="000000"/>
          <w:sz w:val="24"/>
        </w:rPr>
        <w:t>月</w:t>
      </w:r>
      <w:r>
        <w:rPr>
          <w:color w:val="000000"/>
          <w:sz w:val="24"/>
        </w:rPr>
        <w:t>14</w:t>
      </w:r>
      <w:r>
        <w:rPr>
          <w:color w:val="000000"/>
          <w:sz w:val="24"/>
        </w:rPr>
        <w:t>日进行了基金份额折算，折算比例为</w:t>
      </w:r>
      <w:r>
        <w:rPr>
          <w:color w:val="000000"/>
          <w:sz w:val="24"/>
        </w:rPr>
        <w:t>0.94948342</w:t>
      </w:r>
      <w:r>
        <w:rPr>
          <w:color w:val="000000"/>
          <w:sz w:val="24"/>
        </w:rPr>
        <w:t>。</w:t>
      </w:r>
    </w:p>
    <w:p w:rsidR="00FB6B11" w:rsidRDefault="00DA4E47">
      <w:pPr>
        <w:spacing w:line="360" w:lineRule="auto"/>
        <w:ind w:firstLineChars="200" w:firstLine="480"/>
        <w:rPr>
          <w:color w:val="000000"/>
          <w:sz w:val="24"/>
          <w:szCs w:val="24"/>
        </w:rPr>
      </w:pPr>
      <w:r>
        <w:rPr>
          <w:color w:val="000000"/>
          <w:sz w:val="24"/>
        </w:rPr>
        <w:t xml:space="preserve">4. </w:t>
      </w:r>
      <w:r>
        <w:rPr>
          <w:color w:val="000000"/>
          <w:sz w:val="24"/>
        </w:rPr>
        <w:t>本基金已于</w:t>
      </w:r>
      <w:r>
        <w:rPr>
          <w:color w:val="000000"/>
          <w:sz w:val="24"/>
        </w:rPr>
        <w:t>2010</w:t>
      </w:r>
      <w:r>
        <w:rPr>
          <w:color w:val="000000"/>
          <w:sz w:val="24"/>
        </w:rPr>
        <w:t>年</w:t>
      </w:r>
      <w:r>
        <w:rPr>
          <w:color w:val="000000"/>
          <w:sz w:val="24"/>
        </w:rPr>
        <w:t>11</w:t>
      </w:r>
      <w:r>
        <w:rPr>
          <w:color w:val="000000"/>
          <w:sz w:val="24"/>
        </w:rPr>
        <w:t>月</w:t>
      </w:r>
      <w:r>
        <w:rPr>
          <w:color w:val="000000"/>
          <w:sz w:val="24"/>
        </w:rPr>
        <w:t>19</w:t>
      </w:r>
      <w:r>
        <w:rPr>
          <w:color w:val="000000"/>
          <w:sz w:val="24"/>
        </w:rPr>
        <w:t>日进行了基金份额拆分，拆分比例为</w:t>
      </w:r>
      <w:r>
        <w:rPr>
          <w:color w:val="000000"/>
          <w:sz w:val="24"/>
        </w:rPr>
        <w:t>5:1</w:t>
      </w:r>
      <w:r>
        <w:rPr>
          <w:color w:val="000000"/>
          <w:sz w:val="24"/>
        </w:rPr>
        <w:t>，即每一份基金份额拆成</w:t>
      </w:r>
      <w:r>
        <w:rPr>
          <w:color w:val="000000"/>
          <w:sz w:val="24"/>
        </w:rPr>
        <w:t>5</w:t>
      </w:r>
      <w:r>
        <w:rPr>
          <w:color w:val="000000"/>
          <w:sz w:val="24"/>
        </w:rPr>
        <w:t>份。</w:t>
      </w:r>
    </w:p>
    <w:p w:rsidR="00750D48" w:rsidRPr="00232B03" w:rsidRDefault="00392044" w:rsidP="00232B03">
      <w:pPr>
        <w:spacing w:line="360" w:lineRule="auto"/>
        <w:ind w:firstLineChars="200" w:firstLine="480"/>
        <w:rPr>
          <w:color w:val="000000"/>
          <w:sz w:val="24"/>
          <w:szCs w:val="24"/>
        </w:rPr>
      </w:pPr>
      <w:r w:rsidRPr="006506EF">
        <w:rPr>
          <w:color w:val="000000"/>
          <w:sz w:val="24"/>
        </w:rPr>
        <w:t>5.</w:t>
      </w:r>
      <w:r w:rsidRPr="006506EF">
        <w:rPr>
          <w:color w:val="000000"/>
          <w:sz w:val="24"/>
        </w:rPr>
        <w:t>本基金已于</w:t>
      </w:r>
      <w:r w:rsidRPr="006506EF">
        <w:rPr>
          <w:color w:val="000000"/>
          <w:sz w:val="24"/>
        </w:rPr>
        <w:t>2014</w:t>
      </w:r>
      <w:r w:rsidRPr="006506EF">
        <w:rPr>
          <w:color w:val="000000"/>
          <w:sz w:val="24"/>
        </w:rPr>
        <w:t>年</w:t>
      </w:r>
      <w:r w:rsidRPr="006506EF">
        <w:rPr>
          <w:color w:val="000000"/>
          <w:sz w:val="24"/>
        </w:rPr>
        <w:t>8</w:t>
      </w:r>
      <w:r w:rsidRPr="006506EF">
        <w:rPr>
          <w:color w:val="000000"/>
          <w:sz w:val="24"/>
        </w:rPr>
        <w:t>月</w:t>
      </w:r>
      <w:r w:rsidRPr="006506EF">
        <w:rPr>
          <w:color w:val="000000"/>
          <w:sz w:val="24"/>
        </w:rPr>
        <w:t>29</w:t>
      </w:r>
      <w:r w:rsidRPr="006506EF">
        <w:rPr>
          <w:color w:val="000000"/>
          <w:sz w:val="24"/>
        </w:rPr>
        <w:t>日进行了基金份额合并，合并比例为</w:t>
      </w:r>
      <w:r w:rsidRPr="006506EF">
        <w:rPr>
          <w:color w:val="000000"/>
          <w:sz w:val="24"/>
        </w:rPr>
        <w:t>0.2:1</w:t>
      </w:r>
      <w:r w:rsidRPr="006506EF">
        <w:rPr>
          <w:color w:val="000000"/>
          <w:sz w:val="24"/>
        </w:rPr>
        <w:t>，即每</w:t>
      </w:r>
      <w:r w:rsidRPr="006506EF">
        <w:rPr>
          <w:color w:val="000000"/>
          <w:sz w:val="24"/>
        </w:rPr>
        <w:t>5</w:t>
      </w:r>
      <w:r w:rsidRPr="006506EF">
        <w:rPr>
          <w:color w:val="000000"/>
          <w:sz w:val="24"/>
        </w:rPr>
        <w:t>份基金份额合并成</w:t>
      </w:r>
      <w:r w:rsidRPr="006506EF">
        <w:rPr>
          <w:color w:val="000000"/>
          <w:sz w:val="24"/>
        </w:rPr>
        <w:t>1</w:t>
      </w:r>
      <w:r w:rsidRPr="006506EF">
        <w:rPr>
          <w:color w:val="000000"/>
          <w:sz w:val="24"/>
        </w:rPr>
        <w:t>份。</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FB6B11">
        <w:tc>
          <w:tcPr>
            <w:tcW w:w="1395" w:type="dxa"/>
            <w:vAlign w:val="center"/>
          </w:tcPr>
          <w:p w:rsidR="00FB6B11" w:rsidRDefault="00DA4E47">
            <w:pPr>
              <w:jc w:val="left"/>
            </w:pPr>
            <w:r>
              <w:rPr>
                <w:color w:val="000000"/>
                <w:kern w:val="0"/>
                <w:sz w:val="24"/>
                <w:szCs w:val="24"/>
              </w:rPr>
              <w:t>过去三个月</w:t>
            </w:r>
          </w:p>
        </w:tc>
        <w:tc>
          <w:tcPr>
            <w:tcW w:w="1092" w:type="dxa"/>
            <w:vAlign w:val="center"/>
          </w:tcPr>
          <w:p w:rsidR="00FB6B11" w:rsidRDefault="00DA4E47">
            <w:pPr>
              <w:jc w:val="center"/>
            </w:pPr>
            <w:r>
              <w:rPr>
                <w:color w:val="000000"/>
                <w:kern w:val="0"/>
                <w:sz w:val="24"/>
                <w:szCs w:val="24"/>
              </w:rPr>
              <w:t>4.77%</w:t>
            </w:r>
          </w:p>
        </w:tc>
        <w:tc>
          <w:tcPr>
            <w:tcW w:w="1161" w:type="dxa"/>
            <w:vAlign w:val="center"/>
          </w:tcPr>
          <w:p w:rsidR="00FB6B11" w:rsidRDefault="00DA4E47">
            <w:pPr>
              <w:jc w:val="center"/>
            </w:pPr>
            <w:r>
              <w:rPr>
                <w:color w:val="000000"/>
                <w:kern w:val="0"/>
                <w:sz w:val="24"/>
                <w:szCs w:val="24"/>
              </w:rPr>
              <w:t>1.17%</w:t>
            </w:r>
          </w:p>
        </w:tc>
        <w:tc>
          <w:tcPr>
            <w:tcW w:w="1181" w:type="dxa"/>
            <w:vAlign w:val="center"/>
          </w:tcPr>
          <w:p w:rsidR="00FB6B11" w:rsidRDefault="00DA4E47">
            <w:pPr>
              <w:jc w:val="center"/>
            </w:pPr>
            <w:r>
              <w:rPr>
                <w:color w:val="000000"/>
                <w:kern w:val="0"/>
                <w:sz w:val="24"/>
                <w:szCs w:val="24"/>
              </w:rPr>
              <w:t>4.17%</w:t>
            </w:r>
          </w:p>
        </w:tc>
        <w:tc>
          <w:tcPr>
            <w:tcW w:w="1188" w:type="dxa"/>
            <w:vAlign w:val="center"/>
          </w:tcPr>
          <w:p w:rsidR="00FB6B11" w:rsidRDefault="00DA4E47">
            <w:pPr>
              <w:jc w:val="center"/>
            </w:pPr>
            <w:r>
              <w:rPr>
                <w:color w:val="000000"/>
                <w:kern w:val="0"/>
                <w:sz w:val="24"/>
                <w:szCs w:val="24"/>
              </w:rPr>
              <w:t>1.17%</w:t>
            </w:r>
          </w:p>
        </w:tc>
        <w:tc>
          <w:tcPr>
            <w:tcW w:w="1199" w:type="dxa"/>
            <w:vAlign w:val="center"/>
          </w:tcPr>
          <w:p w:rsidR="00FB6B11" w:rsidRDefault="00DA4E47">
            <w:pPr>
              <w:jc w:val="center"/>
            </w:pPr>
            <w:r>
              <w:rPr>
                <w:color w:val="000000"/>
                <w:kern w:val="0"/>
                <w:sz w:val="24"/>
                <w:szCs w:val="24"/>
              </w:rPr>
              <w:t>0.60%</w:t>
            </w:r>
          </w:p>
        </w:tc>
        <w:tc>
          <w:tcPr>
            <w:tcW w:w="1204" w:type="dxa"/>
            <w:vAlign w:val="center"/>
          </w:tcPr>
          <w:p w:rsidR="00FB6B11" w:rsidRDefault="00DA4E47">
            <w:pPr>
              <w:jc w:val="center"/>
            </w:pPr>
            <w:r>
              <w:rPr>
                <w:color w:val="000000"/>
                <w:kern w:val="0"/>
                <w:sz w:val="24"/>
                <w:szCs w:val="24"/>
              </w:rPr>
              <w:t>0.00%</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易方达深证</w:t>
      </w:r>
      <w:r w:rsidRPr="0074694E">
        <w:rPr>
          <w:color w:val="000000"/>
          <w:sz w:val="24"/>
          <w:szCs w:val="24"/>
        </w:rPr>
        <w:t>100</w:t>
      </w:r>
      <w:r w:rsidRPr="0074694E">
        <w:rPr>
          <w:color w:val="000000"/>
          <w:sz w:val="24"/>
          <w:szCs w:val="24"/>
        </w:rPr>
        <w:t>交易型开放式指数基金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2006</w:t>
      </w:r>
      <w:r w:rsidRPr="0074694E">
        <w:rPr>
          <w:rFonts w:ascii="Times New Roman" w:hAnsi="Times New Roman"/>
          <w:sz w:val="24"/>
          <w:szCs w:val="24"/>
        </w:rPr>
        <w:t>年</w:t>
      </w:r>
      <w:r w:rsidRPr="0074694E">
        <w:rPr>
          <w:rFonts w:ascii="Times New Roman" w:hAnsi="Times New Roman"/>
          <w:sz w:val="24"/>
          <w:szCs w:val="24"/>
        </w:rPr>
        <w:t>3</w:t>
      </w:r>
      <w:r w:rsidRPr="0074694E">
        <w:rPr>
          <w:rFonts w:ascii="Times New Roman" w:hAnsi="Times New Roman"/>
          <w:sz w:val="24"/>
          <w:szCs w:val="24"/>
        </w:rPr>
        <w:t>月</w:t>
      </w:r>
      <w:r w:rsidRPr="0074694E">
        <w:rPr>
          <w:rFonts w:ascii="Times New Roman" w:hAnsi="Times New Roman"/>
          <w:sz w:val="24"/>
          <w:szCs w:val="24"/>
        </w:rPr>
        <w:t>24</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DA4E47"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356.60%</w:t>
      </w:r>
      <w:r w:rsidRPr="006C56AA">
        <w:rPr>
          <w:color w:val="000000"/>
          <w:sz w:val="24"/>
          <w:szCs w:val="24"/>
        </w:rPr>
        <w:t>，同期业绩比较基准收益率为</w:t>
      </w:r>
      <w:r w:rsidRPr="006C56AA">
        <w:rPr>
          <w:color w:val="000000"/>
          <w:sz w:val="24"/>
          <w:szCs w:val="24"/>
        </w:rPr>
        <w:t>314.08%</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FB6B11">
        <w:tc>
          <w:tcPr>
            <w:tcW w:w="567" w:type="dxa"/>
            <w:vAlign w:val="center"/>
          </w:tcPr>
          <w:p w:rsidR="00FB6B11" w:rsidRDefault="00DA4E47">
            <w:pPr>
              <w:jc w:val="center"/>
            </w:pPr>
            <w:r>
              <w:rPr>
                <w:color w:val="000000"/>
                <w:sz w:val="24"/>
              </w:rPr>
              <w:t>成曦</w:t>
            </w:r>
          </w:p>
        </w:tc>
        <w:tc>
          <w:tcPr>
            <w:tcW w:w="2835" w:type="dxa"/>
            <w:vAlign w:val="center"/>
          </w:tcPr>
          <w:p w:rsidR="00FB6B11" w:rsidRDefault="00DA4E47">
            <w:pPr>
              <w:jc w:val="center"/>
            </w:pPr>
            <w:r>
              <w:rPr>
                <w:color w:val="000000"/>
                <w:sz w:val="24"/>
              </w:rPr>
              <w:t>本基金的基金经理、易方达中小板指数证券投资基金</w:t>
            </w:r>
            <w:r>
              <w:rPr>
                <w:color w:val="000000"/>
                <w:sz w:val="24"/>
              </w:rPr>
              <w:t>(LOF)</w:t>
            </w:r>
            <w:r>
              <w:rPr>
                <w:color w:val="000000"/>
                <w:sz w:val="24"/>
              </w:rPr>
              <w:t>（原易方达中小板指数分级证券投资基金）的基金经理、易方达原油证券投资基金</w:t>
            </w:r>
            <w:r>
              <w:rPr>
                <w:color w:val="000000"/>
                <w:sz w:val="24"/>
              </w:rPr>
              <w:t>(QDII)</w:t>
            </w:r>
            <w:r>
              <w:rPr>
                <w:color w:val="000000"/>
                <w:sz w:val="24"/>
              </w:rPr>
              <w:t>的基金经理、易方达银行指数分级证券投资基金的基金经理、易方达生物科技指数分级证券投资基金的基金经理、易方达深证成指交易型开放式指数证券投资基金联接基金的基金经理（自</w:t>
            </w:r>
            <w:r>
              <w:rPr>
                <w:color w:val="000000"/>
                <w:sz w:val="24"/>
              </w:rPr>
              <w:t>2017</w:t>
            </w:r>
            <w:r>
              <w:rPr>
                <w:color w:val="000000"/>
                <w:sz w:val="24"/>
              </w:rPr>
              <w:t>年</w:t>
            </w:r>
            <w:r>
              <w:rPr>
                <w:color w:val="000000"/>
                <w:sz w:val="24"/>
              </w:rPr>
              <w:t>05</w:t>
            </w:r>
            <w:r>
              <w:rPr>
                <w:color w:val="000000"/>
                <w:sz w:val="24"/>
              </w:rPr>
              <w:t>月</w:t>
            </w:r>
            <w:r>
              <w:rPr>
                <w:color w:val="000000"/>
                <w:sz w:val="24"/>
              </w:rPr>
              <w:t>04</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日）、易方达深证成指交易型开放式指数证券投资基金的基金经理（自</w:t>
            </w:r>
            <w:r>
              <w:rPr>
                <w:color w:val="000000"/>
                <w:sz w:val="24"/>
              </w:rPr>
              <w:t>2017</w:t>
            </w:r>
            <w:r>
              <w:rPr>
                <w:color w:val="000000"/>
                <w:sz w:val="24"/>
              </w:rPr>
              <w:t>年</w:t>
            </w:r>
            <w:r>
              <w:rPr>
                <w:color w:val="000000"/>
                <w:sz w:val="24"/>
              </w:rPr>
              <w:t>04</w:t>
            </w:r>
            <w:r>
              <w:rPr>
                <w:color w:val="000000"/>
                <w:sz w:val="24"/>
              </w:rPr>
              <w:t>月</w:t>
            </w:r>
            <w:r>
              <w:rPr>
                <w:color w:val="000000"/>
                <w:sz w:val="24"/>
              </w:rPr>
              <w:t>27</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w:t>
            </w:r>
            <w:r>
              <w:rPr>
                <w:color w:val="000000"/>
                <w:sz w:val="24"/>
              </w:rPr>
              <w:t>100</w:t>
            </w:r>
            <w:r>
              <w:rPr>
                <w:color w:val="000000"/>
                <w:sz w:val="24"/>
              </w:rPr>
              <w:t>交易型开放式指数证券投资基金联接基金</w:t>
            </w:r>
            <w:r>
              <w:rPr>
                <w:color w:val="000000"/>
                <w:sz w:val="24"/>
              </w:rPr>
              <w:t>的基金经理、易方达上证</w:t>
            </w:r>
            <w:r>
              <w:rPr>
                <w:color w:val="000000"/>
                <w:sz w:val="24"/>
              </w:rPr>
              <w:t>50</w:t>
            </w:r>
            <w:r>
              <w:rPr>
                <w:color w:val="000000"/>
                <w:sz w:val="24"/>
              </w:rPr>
              <w:t>交易型开放式指数证券投资基金发起式联接基金的基金经理、易方达上证</w:t>
            </w:r>
            <w:r>
              <w:rPr>
                <w:color w:val="000000"/>
                <w:sz w:val="24"/>
              </w:rPr>
              <w:t>50</w:t>
            </w:r>
            <w:r>
              <w:rPr>
                <w:color w:val="000000"/>
                <w:sz w:val="24"/>
              </w:rPr>
              <w:t>交易型开放式指数证券投资基金的基金经理、易方达纳斯达克</w:t>
            </w:r>
            <w:r>
              <w:rPr>
                <w:color w:val="000000"/>
                <w:sz w:val="24"/>
              </w:rPr>
              <w:t>100</w:t>
            </w:r>
            <w:r>
              <w:rPr>
                <w:color w:val="000000"/>
                <w:sz w:val="24"/>
              </w:rPr>
              <w:t>指数证券投资基金</w:t>
            </w:r>
            <w:r>
              <w:rPr>
                <w:color w:val="000000"/>
                <w:sz w:val="24"/>
              </w:rPr>
              <w:t>(LOF)</w:t>
            </w:r>
            <w:r>
              <w:rPr>
                <w:color w:val="000000"/>
                <w:sz w:val="24"/>
              </w:rPr>
              <w:t>的基金经理、易方达恒生中国企业交易型开放式指数证券投资基金联接基金的基金经理、易方达恒生中国企业交易型开放式指数证券投资基金的基金经理、易方达创业板交易型开放式指数证券投资基金联接基金的基金经理、易方达创业板交易型开放式指数证券投资基金的基金经理、易方达并购重组指数分级证券投资基金的基金经理、易方达</w:t>
            </w:r>
            <w:r>
              <w:rPr>
                <w:color w:val="000000"/>
                <w:sz w:val="24"/>
              </w:rPr>
              <w:t>MSCI</w:t>
            </w:r>
            <w:r>
              <w:rPr>
                <w:color w:val="000000"/>
                <w:sz w:val="24"/>
              </w:rPr>
              <w:t>中国</w:t>
            </w:r>
            <w:r>
              <w:rPr>
                <w:color w:val="000000"/>
                <w:sz w:val="24"/>
              </w:rPr>
              <w:t>A</w:t>
            </w:r>
            <w:r>
              <w:rPr>
                <w:color w:val="000000"/>
                <w:sz w:val="24"/>
              </w:rPr>
              <w:t>股国际通交易型开放</w:t>
            </w:r>
            <w:r>
              <w:rPr>
                <w:color w:val="000000"/>
                <w:sz w:val="24"/>
              </w:rPr>
              <w:t>式指数证券投资基金发起式联接基金的基金经理、易方达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股国际通交易型开放式指数证券投资基金的基金经理</w:t>
            </w:r>
          </w:p>
        </w:tc>
        <w:tc>
          <w:tcPr>
            <w:tcW w:w="851" w:type="dxa"/>
            <w:vAlign w:val="center"/>
          </w:tcPr>
          <w:p w:rsidR="00FB6B11" w:rsidRDefault="00DA4E47">
            <w:pPr>
              <w:jc w:val="center"/>
            </w:pPr>
            <w:r>
              <w:rPr>
                <w:color w:val="000000"/>
                <w:sz w:val="24"/>
              </w:rPr>
              <w:t>2016-05-07</w:t>
            </w:r>
          </w:p>
        </w:tc>
        <w:tc>
          <w:tcPr>
            <w:tcW w:w="850" w:type="dxa"/>
            <w:vAlign w:val="center"/>
          </w:tcPr>
          <w:p w:rsidR="00FB6B11" w:rsidRDefault="00DA4E47">
            <w:pPr>
              <w:jc w:val="center"/>
            </w:pPr>
            <w:r>
              <w:rPr>
                <w:color w:val="000000"/>
                <w:sz w:val="24"/>
              </w:rPr>
              <w:t>-</w:t>
            </w:r>
          </w:p>
        </w:tc>
        <w:tc>
          <w:tcPr>
            <w:tcW w:w="851" w:type="dxa"/>
            <w:vAlign w:val="center"/>
          </w:tcPr>
          <w:p w:rsidR="00FB6B11" w:rsidRDefault="00DA4E47">
            <w:pPr>
              <w:jc w:val="center"/>
            </w:pPr>
            <w:r>
              <w:rPr>
                <w:color w:val="000000"/>
                <w:sz w:val="24"/>
              </w:rPr>
              <w:t>11</w:t>
            </w:r>
            <w:r>
              <w:rPr>
                <w:color w:val="000000"/>
                <w:sz w:val="24"/>
              </w:rPr>
              <w:t>年</w:t>
            </w:r>
          </w:p>
        </w:tc>
        <w:tc>
          <w:tcPr>
            <w:tcW w:w="2977" w:type="dxa"/>
            <w:vAlign w:val="center"/>
          </w:tcPr>
          <w:p w:rsidR="00FB6B11" w:rsidRDefault="00DA4E47">
            <w:r>
              <w:rPr>
                <w:color w:val="000000"/>
                <w:sz w:val="24"/>
              </w:rPr>
              <w:t>硕士研究生，曾任华泰联合证券资产管理部研究员，易方达基金管理有限公司集中交易室交易员、指数与量化投资部指数基金运作专员、基金经理助理。</w:t>
            </w:r>
          </w:p>
        </w:tc>
      </w:tr>
      <w:tr w:rsidR="00FB6B11">
        <w:tc>
          <w:tcPr>
            <w:tcW w:w="567" w:type="dxa"/>
            <w:vAlign w:val="center"/>
          </w:tcPr>
          <w:p w:rsidR="00FB6B11" w:rsidRDefault="00DA4E47">
            <w:pPr>
              <w:jc w:val="center"/>
            </w:pPr>
            <w:r>
              <w:rPr>
                <w:color w:val="000000"/>
                <w:sz w:val="24"/>
              </w:rPr>
              <w:t>刘树荣</w:t>
            </w:r>
          </w:p>
        </w:tc>
        <w:tc>
          <w:tcPr>
            <w:tcW w:w="2835" w:type="dxa"/>
            <w:vAlign w:val="center"/>
          </w:tcPr>
          <w:p w:rsidR="00FB6B11" w:rsidRDefault="00DA4E47">
            <w:pPr>
              <w:jc w:val="center"/>
            </w:pPr>
            <w:r>
              <w:rPr>
                <w:color w:val="000000"/>
                <w:sz w:val="24"/>
              </w:rPr>
              <w:t>本基金的基金经理、易方达中小板指数证券投资基金</w:t>
            </w:r>
            <w:r>
              <w:rPr>
                <w:color w:val="000000"/>
                <w:sz w:val="24"/>
              </w:rPr>
              <w:t>(LOF)</w:t>
            </w:r>
            <w:r>
              <w:rPr>
                <w:color w:val="000000"/>
                <w:sz w:val="24"/>
              </w:rPr>
              <w:t>（原易方达中小板指数分级证券投资基金）的基金经理、易方达银行指数分级证券投资基金的基金经理、易方达香港恒生综合小型股指数证券投资基金</w:t>
            </w:r>
            <w:r>
              <w:rPr>
                <w:color w:val="000000"/>
                <w:sz w:val="24"/>
              </w:rPr>
              <w:t>(LOF)</w:t>
            </w:r>
            <w:r>
              <w:rPr>
                <w:color w:val="000000"/>
                <w:sz w:val="24"/>
              </w:rPr>
              <w:t>的基金经理、易方达生物科技指数分级证券投资基金的基金经理、易方达深证成指交易型开放式指数证券投资基金联接基金的基金经理（自</w:t>
            </w:r>
            <w:r>
              <w:rPr>
                <w:color w:val="000000"/>
                <w:sz w:val="24"/>
              </w:rPr>
              <w:t>2017</w:t>
            </w:r>
            <w:r>
              <w:rPr>
                <w:color w:val="000000"/>
                <w:sz w:val="24"/>
              </w:rPr>
              <w:t>年</w:t>
            </w:r>
            <w:r>
              <w:rPr>
                <w:color w:val="000000"/>
                <w:sz w:val="24"/>
              </w:rPr>
              <w:t>07</w:t>
            </w:r>
            <w:r>
              <w:rPr>
                <w:color w:val="000000"/>
                <w:sz w:val="24"/>
              </w:rPr>
              <w:t>月</w:t>
            </w:r>
            <w:r>
              <w:rPr>
                <w:color w:val="000000"/>
                <w:sz w:val="24"/>
              </w:rPr>
              <w:t>18</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日）、易方达深证成指交易型开放式指数证券投资基金的基金经理（自</w:t>
            </w:r>
            <w:r>
              <w:rPr>
                <w:color w:val="000000"/>
                <w:sz w:val="24"/>
              </w:rPr>
              <w:t>2017</w:t>
            </w:r>
            <w:r>
              <w:rPr>
                <w:color w:val="000000"/>
                <w:sz w:val="24"/>
              </w:rPr>
              <w:t>年</w:t>
            </w:r>
            <w:r>
              <w:rPr>
                <w:color w:val="000000"/>
                <w:sz w:val="24"/>
              </w:rPr>
              <w:t>07</w:t>
            </w:r>
            <w:r>
              <w:rPr>
                <w:color w:val="000000"/>
                <w:sz w:val="24"/>
              </w:rPr>
              <w:t>月</w:t>
            </w:r>
            <w:r>
              <w:rPr>
                <w:color w:val="000000"/>
                <w:sz w:val="24"/>
              </w:rPr>
              <w:t>18</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w:t>
            </w:r>
            <w:r>
              <w:rPr>
                <w:color w:val="000000"/>
                <w:sz w:val="24"/>
              </w:rPr>
              <w:t>100</w:t>
            </w:r>
            <w:r>
              <w:rPr>
                <w:color w:val="000000"/>
                <w:sz w:val="24"/>
              </w:rPr>
              <w:t>交易型开放式指数证券</w:t>
            </w:r>
            <w:r>
              <w:rPr>
                <w:color w:val="000000"/>
                <w:sz w:val="24"/>
              </w:rPr>
              <w:t>投资基金联接基金的基金经理、易方达上证中盘交易型开放式指数证券投资基金联接基金的基金经理、易方达上证中盘交易型开放式指数证券投资基金的基金经理、易方达创业板交易型开放式指数证券投资基金联接基金的基金经理、易方达创业板交易型开放式指数证券投资基金的基金经理、易方达并购重组指数分级证券投资基金的基金经理、易方达标普医疗保健指数证券投资基金</w:t>
            </w:r>
            <w:r>
              <w:rPr>
                <w:color w:val="000000"/>
                <w:sz w:val="24"/>
              </w:rPr>
              <w:t>(LOF)</w:t>
            </w:r>
            <w:r>
              <w:rPr>
                <w:color w:val="000000"/>
                <w:sz w:val="24"/>
              </w:rPr>
              <w:t>的基金经理、易方达标普信息科技指数证券投资基金</w:t>
            </w:r>
            <w:r>
              <w:rPr>
                <w:color w:val="000000"/>
                <w:sz w:val="24"/>
              </w:rPr>
              <w:t>(LOF)</w:t>
            </w:r>
            <w:r>
              <w:rPr>
                <w:color w:val="000000"/>
                <w:sz w:val="24"/>
              </w:rPr>
              <w:t>的基金经理、易方达标普生物科技指数证券投资基金</w:t>
            </w:r>
            <w:r>
              <w:rPr>
                <w:color w:val="000000"/>
                <w:sz w:val="24"/>
              </w:rPr>
              <w:t>(LOF)</w:t>
            </w:r>
            <w:r>
              <w:rPr>
                <w:color w:val="000000"/>
                <w:sz w:val="24"/>
              </w:rPr>
              <w:t>的基金经理、易方达标普</w:t>
            </w:r>
            <w:r>
              <w:rPr>
                <w:color w:val="000000"/>
                <w:sz w:val="24"/>
              </w:rPr>
              <w:t>500</w:t>
            </w:r>
            <w:r>
              <w:rPr>
                <w:color w:val="000000"/>
                <w:sz w:val="24"/>
              </w:rPr>
              <w:t>指数证券投资基金</w:t>
            </w:r>
            <w:r>
              <w:rPr>
                <w:color w:val="000000"/>
                <w:sz w:val="24"/>
              </w:rPr>
              <w:t>(LOF)</w:t>
            </w:r>
            <w:r>
              <w:rPr>
                <w:color w:val="000000"/>
                <w:sz w:val="24"/>
              </w:rPr>
              <w:t>的基金经理</w:t>
            </w:r>
          </w:p>
        </w:tc>
        <w:tc>
          <w:tcPr>
            <w:tcW w:w="851" w:type="dxa"/>
            <w:vAlign w:val="center"/>
          </w:tcPr>
          <w:p w:rsidR="00FB6B11" w:rsidRDefault="00DA4E47">
            <w:pPr>
              <w:jc w:val="center"/>
            </w:pPr>
            <w:r>
              <w:rPr>
                <w:color w:val="000000"/>
                <w:sz w:val="24"/>
              </w:rPr>
              <w:t>2017-07-18</w:t>
            </w:r>
          </w:p>
        </w:tc>
        <w:tc>
          <w:tcPr>
            <w:tcW w:w="850" w:type="dxa"/>
            <w:vAlign w:val="center"/>
          </w:tcPr>
          <w:p w:rsidR="00FB6B11" w:rsidRDefault="00DA4E47">
            <w:pPr>
              <w:jc w:val="center"/>
            </w:pPr>
            <w:r>
              <w:rPr>
                <w:color w:val="000000"/>
                <w:sz w:val="24"/>
              </w:rPr>
              <w:t>-</w:t>
            </w:r>
          </w:p>
        </w:tc>
        <w:tc>
          <w:tcPr>
            <w:tcW w:w="851" w:type="dxa"/>
            <w:vAlign w:val="center"/>
          </w:tcPr>
          <w:p w:rsidR="00FB6B11" w:rsidRDefault="00DA4E47">
            <w:pPr>
              <w:jc w:val="center"/>
            </w:pPr>
            <w:r>
              <w:rPr>
                <w:color w:val="000000"/>
                <w:sz w:val="24"/>
              </w:rPr>
              <w:t>12</w:t>
            </w:r>
            <w:r>
              <w:rPr>
                <w:color w:val="000000"/>
                <w:sz w:val="24"/>
              </w:rPr>
              <w:t>年</w:t>
            </w:r>
          </w:p>
        </w:tc>
        <w:tc>
          <w:tcPr>
            <w:tcW w:w="2977" w:type="dxa"/>
            <w:vAlign w:val="center"/>
          </w:tcPr>
          <w:p w:rsidR="00FB6B11" w:rsidRDefault="00DA4E47">
            <w:r>
              <w:rPr>
                <w:color w:val="000000"/>
                <w:sz w:val="24"/>
              </w:rPr>
              <w:t>硕士研究生，曾任招商银行资产托管部基金会计，易方达基金管理有限公司核算部基金核算专员、指数与量化投资部运作支持专员、基金经理助理。</w:t>
            </w:r>
          </w:p>
        </w:tc>
      </w:tr>
    </w:tbl>
    <w:p w:rsidR="00FB6B11" w:rsidRDefault="00DA4E47">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FB6B11" w:rsidRDefault="00DA4E47">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w:t>
      </w:r>
      <w:r>
        <w:rPr>
          <w:color w:val="000000"/>
          <w:sz w:val="24"/>
          <w:szCs w:val="24"/>
        </w:rPr>
        <w:t>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FB6B11" w:rsidRDefault="00DA4E47">
      <w:pPr>
        <w:spacing w:line="360" w:lineRule="auto"/>
        <w:ind w:firstLineChars="200" w:firstLine="480"/>
        <w:rPr>
          <w:color w:val="000000"/>
          <w:sz w:val="24"/>
          <w:szCs w:val="24"/>
        </w:rPr>
      </w:pPr>
      <w:r>
        <w:rPr>
          <w:color w:val="000000"/>
          <w:sz w:val="24"/>
          <w:szCs w:val="24"/>
        </w:rPr>
        <w:t>本基金跟踪的标的指数为深证</w:t>
      </w:r>
      <w:r>
        <w:rPr>
          <w:color w:val="000000"/>
          <w:sz w:val="24"/>
          <w:szCs w:val="24"/>
        </w:rPr>
        <w:t>100</w:t>
      </w:r>
      <w:r>
        <w:rPr>
          <w:color w:val="000000"/>
          <w:sz w:val="24"/>
          <w:szCs w:val="24"/>
        </w:rPr>
        <w:t>指数，深证</w:t>
      </w:r>
      <w:r>
        <w:rPr>
          <w:color w:val="000000"/>
          <w:sz w:val="24"/>
          <w:szCs w:val="24"/>
        </w:rPr>
        <w:t>100</w:t>
      </w:r>
      <w:r>
        <w:rPr>
          <w:color w:val="000000"/>
          <w:sz w:val="24"/>
          <w:szCs w:val="24"/>
        </w:rPr>
        <w:t>指数由深圳证券市场规模大、流动性好、最具代表性的</w:t>
      </w:r>
      <w:r>
        <w:rPr>
          <w:color w:val="000000"/>
          <w:sz w:val="24"/>
          <w:szCs w:val="24"/>
        </w:rPr>
        <w:t>100</w:t>
      </w:r>
      <w:r>
        <w:rPr>
          <w:color w:val="000000"/>
          <w:sz w:val="24"/>
          <w:szCs w:val="24"/>
        </w:rPr>
        <w:t>只股票组成，以综合反映深圳证券市场最具影响力的一批龙头企业的整体状况。本基金主要采取完全复制法，即完全按照标的指数的成份股组成及其权重构建基金股票投资组合，并根据标的指数成份股及其权重的变动而进行相应调整。</w:t>
      </w:r>
    </w:p>
    <w:p w:rsidR="00FB6B11" w:rsidRDefault="00DA4E47">
      <w:pPr>
        <w:spacing w:line="360" w:lineRule="auto"/>
        <w:ind w:firstLineChars="200" w:firstLine="480"/>
        <w:rPr>
          <w:color w:val="000000"/>
          <w:sz w:val="24"/>
          <w:szCs w:val="24"/>
        </w:rPr>
      </w:pPr>
      <w:r>
        <w:rPr>
          <w:color w:val="000000"/>
          <w:sz w:val="24"/>
          <w:szCs w:val="24"/>
        </w:rPr>
        <w:t>2019</w:t>
      </w:r>
      <w:r>
        <w:rPr>
          <w:color w:val="000000"/>
          <w:sz w:val="24"/>
          <w:szCs w:val="24"/>
        </w:rPr>
        <w:t>年第三季度，科创板推出提升了市场对高新技术产业的风险偏好，虽然中美贸易摩擦多有反复，但资金对此已有充分预期。受益于以</w:t>
      </w:r>
      <w:r>
        <w:rPr>
          <w:color w:val="000000"/>
          <w:sz w:val="24"/>
          <w:szCs w:val="24"/>
        </w:rPr>
        <w:t>5G</w:t>
      </w:r>
      <w:r>
        <w:rPr>
          <w:color w:val="000000"/>
          <w:sz w:val="24"/>
          <w:szCs w:val="24"/>
        </w:rPr>
        <w:t>为代表的科技产业的发展，科技行业成为市场热点。尽管在</w:t>
      </w:r>
      <w:r>
        <w:rPr>
          <w:color w:val="000000"/>
          <w:sz w:val="24"/>
          <w:szCs w:val="24"/>
        </w:rPr>
        <w:t>9</w:t>
      </w:r>
      <w:r>
        <w:rPr>
          <w:color w:val="000000"/>
          <w:sz w:val="24"/>
          <w:szCs w:val="24"/>
        </w:rPr>
        <w:t>月后半月，出现了资金</w:t>
      </w:r>
      <w:r>
        <w:rPr>
          <w:color w:val="000000"/>
          <w:sz w:val="24"/>
          <w:szCs w:val="24"/>
        </w:rPr>
        <w:t>获利了结的现象，但市场整体依然在国庆节前表现平稳。</w:t>
      </w:r>
    </w:p>
    <w:p w:rsidR="00FB6B11" w:rsidRDefault="00DA4E47">
      <w:pPr>
        <w:spacing w:line="360" w:lineRule="auto"/>
        <w:ind w:firstLineChars="200" w:firstLine="480"/>
        <w:rPr>
          <w:color w:val="000000"/>
          <w:sz w:val="24"/>
          <w:szCs w:val="24"/>
        </w:rPr>
      </w:pPr>
      <w:r>
        <w:rPr>
          <w:color w:val="000000"/>
          <w:sz w:val="24"/>
          <w:szCs w:val="24"/>
        </w:rPr>
        <w:t>报告期内，国内经济数据表现一般，以汽车为代表的消费类产业走低。在资金面上，央行启动了利率</w:t>
      </w:r>
      <w:r>
        <w:rPr>
          <w:color w:val="000000"/>
          <w:sz w:val="24"/>
          <w:szCs w:val="24"/>
        </w:rPr>
        <w:t>LPR</w:t>
      </w:r>
      <w:r>
        <w:rPr>
          <w:color w:val="000000"/>
          <w:sz w:val="24"/>
          <w:szCs w:val="24"/>
        </w:rPr>
        <w:t>改革，推进利率市场化，降低实体经济利率水平，资金在政策引导下，逐渐向实体转移。</w:t>
      </w:r>
    </w:p>
    <w:p w:rsidR="00FB6B11" w:rsidRDefault="00DA4E47">
      <w:pPr>
        <w:spacing w:line="360" w:lineRule="auto"/>
        <w:ind w:firstLineChars="200" w:firstLine="480"/>
        <w:rPr>
          <w:color w:val="000000"/>
          <w:sz w:val="24"/>
          <w:szCs w:val="24"/>
        </w:rPr>
      </w:pPr>
      <w:r>
        <w:rPr>
          <w:color w:val="000000"/>
          <w:sz w:val="24"/>
          <w:szCs w:val="24"/>
        </w:rPr>
        <w:t>在经济逐步减速的背景下，企业盈利增长越来越成为驱动股票表现核心因素，估值波动的驱动力相对减弱。投资者要注意挑选具备核心竞争力和充足现金流的公司，这类企业更能扛住经济波动，从行业竞争格局的改变中获利。</w:t>
      </w:r>
    </w:p>
    <w:p w:rsidR="00FB6B11" w:rsidRDefault="00DA4E47">
      <w:pPr>
        <w:spacing w:line="360" w:lineRule="auto"/>
        <w:ind w:firstLineChars="200" w:firstLine="480"/>
        <w:rPr>
          <w:color w:val="000000"/>
          <w:sz w:val="24"/>
          <w:szCs w:val="24"/>
        </w:rPr>
      </w:pPr>
      <w:r>
        <w:rPr>
          <w:color w:val="000000"/>
          <w:sz w:val="24"/>
          <w:szCs w:val="24"/>
        </w:rPr>
        <w:t>深</w:t>
      </w:r>
      <w:r>
        <w:rPr>
          <w:color w:val="000000"/>
          <w:sz w:val="24"/>
          <w:szCs w:val="24"/>
        </w:rPr>
        <w:t>100</w:t>
      </w:r>
      <w:r>
        <w:rPr>
          <w:color w:val="000000"/>
          <w:sz w:val="24"/>
          <w:szCs w:val="24"/>
        </w:rPr>
        <w:t>指数是深市成长性蓝筹的核心代表，成份股性质以优质民营企业为主，优势源于在充分竞</w:t>
      </w:r>
      <w:r>
        <w:rPr>
          <w:color w:val="000000"/>
          <w:sz w:val="24"/>
          <w:szCs w:val="24"/>
        </w:rPr>
        <w:t>争中形成管理、技术、人员护城河。由此，本指数不仅对冲周期能力较强，同时还具备不错的成长性。</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基金运作层面，报告期内，本基金严守基金合同认真对待投资者申购、赎回以及成分股调整事项，保障基金的正常运作，基金跟踪误差以及日均偏离度等指标控制在合同规定范围之内。</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FB6B11" w:rsidRDefault="00DA4E47">
      <w:pPr>
        <w:spacing w:line="360" w:lineRule="auto"/>
        <w:ind w:firstLineChars="200" w:firstLine="480"/>
        <w:rPr>
          <w:color w:val="000000"/>
          <w:sz w:val="24"/>
          <w:szCs w:val="24"/>
        </w:rPr>
      </w:pPr>
      <w:r>
        <w:rPr>
          <w:color w:val="000000"/>
          <w:sz w:val="24"/>
          <w:szCs w:val="24"/>
        </w:rPr>
        <w:t>截至报告期末，本基金份额净值为</w:t>
      </w:r>
      <w:r>
        <w:rPr>
          <w:color w:val="000000"/>
          <w:sz w:val="24"/>
          <w:szCs w:val="24"/>
        </w:rPr>
        <w:t>4.6668</w:t>
      </w:r>
      <w:r>
        <w:rPr>
          <w:color w:val="000000"/>
          <w:sz w:val="24"/>
          <w:szCs w:val="24"/>
        </w:rPr>
        <w:t>元，本报告期份额净值增长率为</w:t>
      </w:r>
      <w:r>
        <w:rPr>
          <w:color w:val="000000"/>
          <w:sz w:val="24"/>
          <w:szCs w:val="24"/>
        </w:rPr>
        <w:t>4.77%</w:t>
      </w:r>
      <w:r>
        <w:rPr>
          <w:color w:val="000000"/>
          <w:sz w:val="24"/>
          <w:szCs w:val="24"/>
        </w:rPr>
        <w:t>，同期业绩比较基准收益率为</w:t>
      </w:r>
      <w:r>
        <w:rPr>
          <w:color w:val="000000"/>
          <w:sz w:val="24"/>
          <w:szCs w:val="24"/>
        </w:rPr>
        <w:t>4.17%</w:t>
      </w:r>
      <w:r>
        <w:rPr>
          <w:color w:val="000000"/>
          <w:sz w:val="24"/>
          <w:szCs w:val="24"/>
        </w:rPr>
        <w:t>。</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本报告期，本基金日跟踪偏离度的均值为</w:t>
      </w:r>
      <w:r w:rsidRPr="006C56AA">
        <w:rPr>
          <w:color w:val="000000"/>
          <w:sz w:val="24"/>
          <w:szCs w:val="24"/>
        </w:rPr>
        <w:t>0.01%</w:t>
      </w:r>
      <w:r w:rsidRPr="006C56AA">
        <w:rPr>
          <w:color w:val="000000"/>
          <w:sz w:val="24"/>
          <w:szCs w:val="24"/>
        </w:rPr>
        <w:t>，年化跟踪误差</w:t>
      </w:r>
      <w:r w:rsidRPr="006C56AA">
        <w:rPr>
          <w:color w:val="000000"/>
          <w:sz w:val="24"/>
          <w:szCs w:val="24"/>
        </w:rPr>
        <w:t>0.51%</w:t>
      </w:r>
      <w:r w:rsidRPr="006C56AA">
        <w:rPr>
          <w:color w:val="000000"/>
          <w:sz w:val="24"/>
          <w:szCs w:val="24"/>
        </w:rPr>
        <w:t>，在合同规定的控制范围之内。</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7,441,316,132.10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99.74</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7,441,316,132.10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99.74</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14,691,424.31</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0.20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4,757,100.66</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0.06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7,460,764,657.07</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注：上表中的股票投资项含可退替代款估值增值</w:t>
      </w:r>
      <w:r w:rsidRPr="006C56AA">
        <w:rPr>
          <w:color w:val="000000"/>
          <w:sz w:val="24"/>
          <w:szCs w:val="24"/>
        </w:rPr>
        <w:t>,</w:t>
      </w:r>
      <w:r w:rsidRPr="006C56AA">
        <w:rPr>
          <w:color w:val="000000"/>
          <w:sz w:val="24"/>
          <w:szCs w:val="24"/>
        </w:rPr>
        <w:t>而</w:t>
      </w:r>
      <w:r w:rsidRPr="006C56AA">
        <w:rPr>
          <w:color w:val="000000"/>
          <w:sz w:val="24"/>
          <w:szCs w:val="24"/>
        </w:rPr>
        <w:t>5.2</w:t>
      </w:r>
      <w:r w:rsidRPr="006C56AA">
        <w:rPr>
          <w:color w:val="000000"/>
          <w:sz w:val="24"/>
          <w:szCs w:val="24"/>
        </w:rPr>
        <w:t>的合计项不含可退替代款估值增值。</w:t>
      </w:r>
      <w:r w:rsidRPr="006C56AA">
        <w:rPr>
          <w:color w:val="000000"/>
          <w:sz w:val="24"/>
          <w:szCs w:val="24"/>
        </w:rPr>
        <w:t xml:space="preserve"> </w:t>
      </w:r>
    </w:p>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378,236,283.10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5.07</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4,890,960,157.28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65.60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18,218,940.40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0.24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25,041,898.13</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0.34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111,716,056.76</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1.50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86,275,544.90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1.16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404,847,267.96</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5.43</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725,004,330.55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9.72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426,600,604.65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5.72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115,127,181.75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1.54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20,825,490.00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0.28</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22,935,075.24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0.31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23,384,871.00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0.31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146,671,136.80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1.97</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45,471,293.58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0.61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7,441,316,132.10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99.81</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FB6B11">
        <w:tc>
          <w:tcPr>
            <w:tcW w:w="851" w:type="dxa"/>
            <w:vAlign w:val="center"/>
          </w:tcPr>
          <w:p w:rsidR="00FB6B11" w:rsidRDefault="00DA4E47">
            <w:pPr>
              <w:jc w:val="center"/>
            </w:pPr>
            <w:r>
              <w:rPr>
                <w:color w:val="000000"/>
                <w:kern w:val="0"/>
                <w:sz w:val="24"/>
                <w:szCs w:val="24"/>
              </w:rPr>
              <w:t>1</w:t>
            </w:r>
          </w:p>
        </w:tc>
        <w:tc>
          <w:tcPr>
            <w:tcW w:w="1276" w:type="dxa"/>
            <w:vAlign w:val="center"/>
          </w:tcPr>
          <w:p w:rsidR="00FB6B11" w:rsidRDefault="00DA4E47">
            <w:pPr>
              <w:jc w:val="center"/>
            </w:pPr>
            <w:r>
              <w:rPr>
                <w:color w:val="000000"/>
                <w:kern w:val="0"/>
                <w:sz w:val="24"/>
                <w:szCs w:val="24"/>
              </w:rPr>
              <w:t>000651</w:t>
            </w:r>
          </w:p>
        </w:tc>
        <w:tc>
          <w:tcPr>
            <w:tcW w:w="1418" w:type="dxa"/>
            <w:vAlign w:val="center"/>
          </w:tcPr>
          <w:p w:rsidR="00FB6B11" w:rsidRDefault="00DA4E47">
            <w:pPr>
              <w:jc w:val="center"/>
            </w:pPr>
            <w:r>
              <w:rPr>
                <w:color w:val="000000"/>
                <w:kern w:val="0"/>
                <w:sz w:val="24"/>
                <w:szCs w:val="24"/>
              </w:rPr>
              <w:t>格力电器</w:t>
            </w:r>
          </w:p>
        </w:tc>
        <w:tc>
          <w:tcPr>
            <w:tcW w:w="1701" w:type="dxa"/>
            <w:vAlign w:val="center"/>
          </w:tcPr>
          <w:p w:rsidR="00FB6B11" w:rsidRDefault="00DA4E47">
            <w:pPr>
              <w:jc w:val="right"/>
            </w:pPr>
            <w:r>
              <w:rPr>
                <w:color w:val="000000"/>
                <w:kern w:val="0"/>
                <w:sz w:val="24"/>
                <w:szCs w:val="24"/>
              </w:rPr>
              <w:t>9,299,583</w:t>
            </w:r>
          </w:p>
        </w:tc>
        <w:tc>
          <w:tcPr>
            <w:tcW w:w="1984" w:type="dxa"/>
            <w:vAlign w:val="center"/>
          </w:tcPr>
          <w:p w:rsidR="00FB6B11" w:rsidRDefault="00DA4E47">
            <w:pPr>
              <w:jc w:val="right"/>
            </w:pPr>
            <w:r>
              <w:rPr>
                <w:color w:val="000000"/>
                <w:kern w:val="0"/>
                <w:sz w:val="24"/>
                <w:szCs w:val="24"/>
              </w:rPr>
              <w:t>532,866,105.90</w:t>
            </w:r>
          </w:p>
        </w:tc>
        <w:tc>
          <w:tcPr>
            <w:tcW w:w="1559" w:type="dxa"/>
            <w:vAlign w:val="center"/>
          </w:tcPr>
          <w:p w:rsidR="00FB6B11" w:rsidRDefault="00DA4E47">
            <w:pPr>
              <w:jc w:val="right"/>
            </w:pPr>
            <w:r>
              <w:rPr>
                <w:color w:val="000000"/>
                <w:kern w:val="0"/>
                <w:sz w:val="24"/>
                <w:szCs w:val="24"/>
              </w:rPr>
              <w:t>7.15</w:t>
            </w:r>
          </w:p>
        </w:tc>
      </w:tr>
      <w:tr w:rsidR="00FB6B11">
        <w:tc>
          <w:tcPr>
            <w:tcW w:w="851" w:type="dxa"/>
            <w:vAlign w:val="center"/>
          </w:tcPr>
          <w:p w:rsidR="00FB6B11" w:rsidRDefault="00DA4E47">
            <w:pPr>
              <w:jc w:val="center"/>
            </w:pPr>
            <w:r>
              <w:rPr>
                <w:color w:val="000000"/>
                <w:kern w:val="0"/>
                <w:sz w:val="24"/>
                <w:szCs w:val="24"/>
              </w:rPr>
              <w:t>2</w:t>
            </w:r>
          </w:p>
        </w:tc>
        <w:tc>
          <w:tcPr>
            <w:tcW w:w="1276" w:type="dxa"/>
            <w:vAlign w:val="center"/>
          </w:tcPr>
          <w:p w:rsidR="00FB6B11" w:rsidRDefault="00DA4E47">
            <w:pPr>
              <w:jc w:val="center"/>
            </w:pPr>
            <w:r>
              <w:rPr>
                <w:color w:val="000000"/>
                <w:kern w:val="0"/>
                <w:sz w:val="24"/>
                <w:szCs w:val="24"/>
              </w:rPr>
              <w:t>000333</w:t>
            </w:r>
          </w:p>
        </w:tc>
        <w:tc>
          <w:tcPr>
            <w:tcW w:w="1418" w:type="dxa"/>
            <w:vAlign w:val="center"/>
          </w:tcPr>
          <w:p w:rsidR="00FB6B11" w:rsidRDefault="00DA4E47">
            <w:pPr>
              <w:jc w:val="center"/>
            </w:pPr>
            <w:r>
              <w:rPr>
                <w:color w:val="000000"/>
                <w:kern w:val="0"/>
                <w:sz w:val="24"/>
                <w:szCs w:val="24"/>
              </w:rPr>
              <w:t>美的集团</w:t>
            </w:r>
          </w:p>
        </w:tc>
        <w:tc>
          <w:tcPr>
            <w:tcW w:w="1701" w:type="dxa"/>
            <w:vAlign w:val="center"/>
          </w:tcPr>
          <w:p w:rsidR="00FB6B11" w:rsidRDefault="00DA4E47">
            <w:pPr>
              <w:jc w:val="right"/>
            </w:pPr>
            <w:r>
              <w:rPr>
                <w:color w:val="000000"/>
                <w:kern w:val="0"/>
                <w:sz w:val="24"/>
                <w:szCs w:val="24"/>
              </w:rPr>
              <w:t>9,806,409</w:t>
            </w:r>
          </w:p>
        </w:tc>
        <w:tc>
          <w:tcPr>
            <w:tcW w:w="1984" w:type="dxa"/>
            <w:vAlign w:val="center"/>
          </w:tcPr>
          <w:p w:rsidR="00FB6B11" w:rsidRDefault="00DA4E47">
            <w:pPr>
              <w:jc w:val="right"/>
            </w:pPr>
            <w:r>
              <w:rPr>
                <w:color w:val="000000"/>
                <w:kern w:val="0"/>
                <w:sz w:val="24"/>
                <w:szCs w:val="24"/>
              </w:rPr>
              <w:t>501,107,499.90</w:t>
            </w:r>
          </w:p>
        </w:tc>
        <w:tc>
          <w:tcPr>
            <w:tcW w:w="1559" w:type="dxa"/>
            <w:vAlign w:val="center"/>
          </w:tcPr>
          <w:p w:rsidR="00FB6B11" w:rsidRDefault="00DA4E47">
            <w:pPr>
              <w:jc w:val="right"/>
            </w:pPr>
            <w:r>
              <w:rPr>
                <w:color w:val="000000"/>
                <w:kern w:val="0"/>
                <w:sz w:val="24"/>
                <w:szCs w:val="24"/>
              </w:rPr>
              <w:t>6.72</w:t>
            </w:r>
          </w:p>
        </w:tc>
      </w:tr>
      <w:tr w:rsidR="00FB6B11">
        <w:tc>
          <w:tcPr>
            <w:tcW w:w="851" w:type="dxa"/>
            <w:vAlign w:val="center"/>
          </w:tcPr>
          <w:p w:rsidR="00FB6B11" w:rsidRDefault="00DA4E47">
            <w:pPr>
              <w:jc w:val="center"/>
            </w:pPr>
            <w:r>
              <w:rPr>
                <w:color w:val="000000"/>
                <w:kern w:val="0"/>
                <w:sz w:val="24"/>
                <w:szCs w:val="24"/>
              </w:rPr>
              <w:t>3</w:t>
            </w:r>
          </w:p>
        </w:tc>
        <w:tc>
          <w:tcPr>
            <w:tcW w:w="1276" w:type="dxa"/>
            <w:vAlign w:val="center"/>
          </w:tcPr>
          <w:p w:rsidR="00FB6B11" w:rsidRDefault="00DA4E47">
            <w:pPr>
              <w:jc w:val="center"/>
            </w:pPr>
            <w:r>
              <w:rPr>
                <w:color w:val="000000"/>
                <w:kern w:val="0"/>
                <w:sz w:val="24"/>
                <w:szCs w:val="24"/>
              </w:rPr>
              <w:t>000858</w:t>
            </w:r>
          </w:p>
        </w:tc>
        <w:tc>
          <w:tcPr>
            <w:tcW w:w="1418" w:type="dxa"/>
            <w:vAlign w:val="center"/>
          </w:tcPr>
          <w:p w:rsidR="00FB6B11" w:rsidRDefault="00DA4E47">
            <w:pPr>
              <w:jc w:val="center"/>
            </w:pPr>
            <w:r>
              <w:rPr>
                <w:color w:val="000000"/>
                <w:kern w:val="0"/>
                <w:sz w:val="24"/>
                <w:szCs w:val="24"/>
              </w:rPr>
              <w:t>五粮液</w:t>
            </w:r>
          </w:p>
        </w:tc>
        <w:tc>
          <w:tcPr>
            <w:tcW w:w="1701" w:type="dxa"/>
            <w:vAlign w:val="center"/>
          </w:tcPr>
          <w:p w:rsidR="00FB6B11" w:rsidRDefault="00DA4E47">
            <w:pPr>
              <w:jc w:val="right"/>
            </w:pPr>
            <w:r>
              <w:rPr>
                <w:color w:val="000000"/>
                <w:kern w:val="0"/>
                <w:sz w:val="24"/>
                <w:szCs w:val="24"/>
              </w:rPr>
              <w:t>3,573,453</w:t>
            </w:r>
          </w:p>
        </w:tc>
        <w:tc>
          <w:tcPr>
            <w:tcW w:w="1984" w:type="dxa"/>
            <w:vAlign w:val="center"/>
          </w:tcPr>
          <w:p w:rsidR="00FB6B11" w:rsidRDefault="00DA4E47">
            <w:pPr>
              <w:jc w:val="right"/>
            </w:pPr>
            <w:r>
              <w:rPr>
                <w:color w:val="000000"/>
                <w:kern w:val="0"/>
                <w:sz w:val="24"/>
                <w:szCs w:val="24"/>
              </w:rPr>
              <w:t>463,834,199.40</w:t>
            </w:r>
          </w:p>
        </w:tc>
        <w:tc>
          <w:tcPr>
            <w:tcW w:w="1559" w:type="dxa"/>
            <w:vAlign w:val="center"/>
          </w:tcPr>
          <w:p w:rsidR="00FB6B11" w:rsidRDefault="00DA4E47">
            <w:pPr>
              <w:jc w:val="right"/>
            </w:pPr>
            <w:r>
              <w:rPr>
                <w:color w:val="000000"/>
                <w:kern w:val="0"/>
                <w:sz w:val="24"/>
                <w:szCs w:val="24"/>
              </w:rPr>
              <w:t>6.22</w:t>
            </w:r>
          </w:p>
        </w:tc>
      </w:tr>
      <w:tr w:rsidR="00FB6B11">
        <w:tc>
          <w:tcPr>
            <w:tcW w:w="851" w:type="dxa"/>
            <w:vAlign w:val="center"/>
          </w:tcPr>
          <w:p w:rsidR="00FB6B11" w:rsidRDefault="00DA4E47">
            <w:pPr>
              <w:jc w:val="center"/>
            </w:pPr>
            <w:r>
              <w:rPr>
                <w:color w:val="000000"/>
                <w:kern w:val="0"/>
                <w:sz w:val="24"/>
                <w:szCs w:val="24"/>
              </w:rPr>
              <w:t>4</w:t>
            </w:r>
          </w:p>
        </w:tc>
        <w:tc>
          <w:tcPr>
            <w:tcW w:w="1276" w:type="dxa"/>
            <w:vAlign w:val="center"/>
          </w:tcPr>
          <w:p w:rsidR="00FB6B11" w:rsidRDefault="00DA4E47">
            <w:pPr>
              <w:jc w:val="center"/>
            </w:pPr>
            <w:r>
              <w:rPr>
                <w:color w:val="000000"/>
                <w:kern w:val="0"/>
                <w:sz w:val="24"/>
                <w:szCs w:val="24"/>
              </w:rPr>
              <w:t>300498</w:t>
            </w:r>
          </w:p>
        </w:tc>
        <w:tc>
          <w:tcPr>
            <w:tcW w:w="1418" w:type="dxa"/>
            <w:vAlign w:val="center"/>
          </w:tcPr>
          <w:p w:rsidR="00FB6B11" w:rsidRDefault="00DA4E47">
            <w:pPr>
              <w:jc w:val="center"/>
            </w:pPr>
            <w:r>
              <w:rPr>
                <w:color w:val="000000"/>
                <w:kern w:val="0"/>
                <w:sz w:val="24"/>
                <w:szCs w:val="24"/>
              </w:rPr>
              <w:t>温氏股份</w:t>
            </w:r>
          </w:p>
        </w:tc>
        <w:tc>
          <w:tcPr>
            <w:tcW w:w="1701" w:type="dxa"/>
            <w:vAlign w:val="center"/>
          </w:tcPr>
          <w:p w:rsidR="00FB6B11" w:rsidRDefault="00DA4E47">
            <w:pPr>
              <w:jc w:val="right"/>
            </w:pPr>
            <w:r>
              <w:rPr>
                <w:color w:val="000000"/>
                <w:kern w:val="0"/>
                <w:sz w:val="24"/>
                <w:szCs w:val="24"/>
              </w:rPr>
              <w:t>7,643,320</w:t>
            </w:r>
          </w:p>
        </w:tc>
        <w:tc>
          <w:tcPr>
            <w:tcW w:w="1984" w:type="dxa"/>
            <w:vAlign w:val="center"/>
          </w:tcPr>
          <w:p w:rsidR="00FB6B11" w:rsidRDefault="00DA4E47">
            <w:pPr>
              <w:jc w:val="right"/>
            </w:pPr>
            <w:r>
              <w:rPr>
                <w:color w:val="000000"/>
                <w:kern w:val="0"/>
                <w:sz w:val="24"/>
                <w:szCs w:val="24"/>
              </w:rPr>
              <w:t>284,178,637.60</w:t>
            </w:r>
          </w:p>
        </w:tc>
        <w:tc>
          <w:tcPr>
            <w:tcW w:w="1559" w:type="dxa"/>
            <w:vAlign w:val="center"/>
          </w:tcPr>
          <w:p w:rsidR="00FB6B11" w:rsidRDefault="00DA4E47">
            <w:pPr>
              <w:jc w:val="right"/>
            </w:pPr>
            <w:r>
              <w:rPr>
                <w:color w:val="000000"/>
                <w:kern w:val="0"/>
                <w:sz w:val="24"/>
                <w:szCs w:val="24"/>
              </w:rPr>
              <w:t>3.81</w:t>
            </w:r>
          </w:p>
        </w:tc>
      </w:tr>
      <w:tr w:rsidR="00FB6B11">
        <w:tc>
          <w:tcPr>
            <w:tcW w:w="851" w:type="dxa"/>
            <w:vAlign w:val="center"/>
          </w:tcPr>
          <w:p w:rsidR="00FB6B11" w:rsidRDefault="00DA4E47">
            <w:pPr>
              <w:jc w:val="center"/>
            </w:pPr>
            <w:r>
              <w:rPr>
                <w:color w:val="000000"/>
                <w:kern w:val="0"/>
                <w:sz w:val="24"/>
                <w:szCs w:val="24"/>
              </w:rPr>
              <w:t>5</w:t>
            </w:r>
          </w:p>
        </w:tc>
        <w:tc>
          <w:tcPr>
            <w:tcW w:w="1276" w:type="dxa"/>
            <w:vAlign w:val="center"/>
          </w:tcPr>
          <w:p w:rsidR="00FB6B11" w:rsidRDefault="00DA4E47">
            <w:pPr>
              <w:jc w:val="center"/>
            </w:pPr>
            <w:r>
              <w:rPr>
                <w:color w:val="000000"/>
                <w:kern w:val="0"/>
                <w:sz w:val="24"/>
                <w:szCs w:val="24"/>
              </w:rPr>
              <w:t>000001</w:t>
            </w:r>
          </w:p>
        </w:tc>
        <w:tc>
          <w:tcPr>
            <w:tcW w:w="1418" w:type="dxa"/>
            <w:vAlign w:val="center"/>
          </w:tcPr>
          <w:p w:rsidR="00FB6B11" w:rsidRDefault="00DA4E47">
            <w:pPr>
              <w:jc w:val="center"/>
            </w:pPr>
            <w:r>
              <w:rPr>
                <w:color w:val="000000"/>
                <w:kern w:val="0"/>
                <w:sz w:val="24"/>
                <w:szCs w:val="24"/>
              </w:rPr>
              <w:t>平安银行</w:t>
            </w:r>
          </w:p>
        </w:tc>
        <w:tc>
          <w:tcPr>
            <w:tcW w:w="1701" w:type="dxa"/>
            <w:vAlign w:val="center"/>
          </w:tcPr>
          <w:p w:rsidR="00FB6B11" w:rsidRDefault="00DA4E47">
            <w:pPr>
              <w:jc w:val="right"/>
            </w:pPr>
            <w:r>
              <w:rPr>
                <w:color w:val="000000"/>
                <w:kern w:val="0"/>
                <w:sz w:val="24"/>
                <w:szCs w:val="24"/>
              </w:rPr>
              <w:t>16,323,668</w:t>
            </w:r>
          </w:p>
        </w:tc>
        <w:tc>
          <w:tcPr>
            <w:tcW w:w="1984" w:type="dxa"/>
            <w:vAlign w:val="center"/>
          </w:tcPr>
          <w:p w:rsidR="00FB6B11" w:rsidRDefault="00DA4E47">
            <w:pPr>
              <w:jc w:val="right"/>
            </w:pPr>
            <w:r>
              <w:rPr>
                <w:color w:val="000000"/>
                <w:kern w:val="0"/>
                <w:sz w:val="24"/>
                <w:szCs w:val="24"/>
              </w:rPr>
              <w:t>254,485,984.12</w:t>
            </w:r>
          </w:p>
        </w:tc>
        <w:tc>
          <w:tcPr>
            <w:tcW w:w="1559" w:type="dxa"/>
            <w:vAlign w:val="center"/>
          </w:tcPr>
          <w:p w:rsidR="00FB6B11" w:rsidRDefault="00DA4E47">
            <w:pPr>
              <w:jc w:val="right"/>
            </w:pPr>
            <w:r>
              <w:rPr>
                <w:color w:val="000000"/>
                <w:kern w:val="0"/>
                <w:sz w:val="24"/>
                <w:szCs w:val="24"/>
              </w:rPr>
              <w:t>3.41</w:t>
            </w:r>
          </w:p>
        </w:tc>
      </w:tr>
      <w:tr w:rsidR="00FB6B11">
        <w:tc>
          <w:tcPr>
            <w:tcW w:w="851" w:type="dxa"/>
            <w:vAlign w:val="center"/>
          </w:tcPr>
          <w:p w:rsidR="00FB6B11" w:rsidRDefault="00DA4E47">
            <w:pPr>
              <w:jc w:val="center"/>
            </w:pPr>
            <w:r>
              <w:rPr>
                <w:color w:val="000000"/>
                <w:kern w:val="0"/>
                <w:sz w:val="24"/>
                <w:szCs w:val="24"/>
              </w:rPr>
              <w:t>6</w:t>
            </w:r>
          </w:p>
        </w:tc>
        <w:tc>
          <w:tcPr>
            <w:tcW w:w="1276" w:type="dxa"/>
            <w:vAlign w:val="center"/>
          </w:tcPr>
          <w:p w:rsidR="00FB6B11" w:rsidRDefault="00DA4E47">
            <w:pPr>
              <w:jc w:val="center"/>
            </w:pPr>
            <w:r>
              <w:rPr>
                <w:color w:val="000000"/>
                <w:kern w:val="0"/>
                <w:sz w:val="24"/>
                <w:szCs w:val="24"/>
              </w:rPr>
              <w:t>000002</w:t>
            </w:r>
          </w:p>
        </w:tc>
        <w:tc>
          <w:tcPr>
            <w:tcW w:w="1418" w:type="dxa"/>
            <w:vAlign w:val="center"/>
          </w:tcPr>
          <w:p w:rsidR="00FB6B11" w:rsidRDefault="00DA4E47">
            <w:pPr>
              <w:jc w:val="center"/>
            </w:pPr>
            <w:r>
              <w:rPr>
                <w:color w:val="000000"/>
                <w:kern w:val="0"/>
                <w:sz w:val="24"/>
                <w:szCs w:val="24"/>
              </w:rPr>
              <w:t>万科</w:t>
            </w:r>
            <w:r>
              <w:rPr>
                <w:color w:val="000000"/>
                <w:kern w:val="0"/>
                <w:sz w:val="24"/>
                <w:szCs w:val="24"/>
              </w:rPr>
              <w:t>A</w:t>
            </w:r>
          </w:p>
        </w:tc>
        <w:tc>
          <w:tcPr>
            <w:tcW w:w="1701" w:type="dxa"/>
            <w:vAlign w:val="center"/>
          </w:tcPr>
          <w:p w:rsidR="00FB6B11" w:rsidRDefault="00DA4E47">
            <w:pPr>
              <w:jc w:val="right"/>
            </w:pPr>
            <w:r>
              <w:rPr>
                <w:color w:val="000000"/>
                <w:kern w:val="0"/>
                <w:sz w:val="24"/>
                <w:szCs w:val="24"/>
              </w:rPr>
              <w:t>9,258,139</w:t>
            </w:r>
          </w:p>
        </w:tc>
        <w:tc>
          <w:tcPr>
            <w:tcW w:w="1984" w:type="dxa"/>
            <w:vAlign w:val="center"/>
          </w:tcPr>
          <w:p w:rsidR="00FB6B11" w:rsidRDefault="00DA4E47">
            <w:pPr>
              <w:jc w:val="right"/>
            </w:pPr>
            <w:r>
              <w:rPr>
                <w:color w:val="000000"/>
                <w:kern w:val="0"/>
                <w:sz w:val="24"/>
                <w:szCs w:val="24"/>
              </w:rPr>
              <w:t>239,785,800.10</w:t>
            </w:r>
          </w:p>
        </w:tc>
        <w:tc>
          <w:tcPr>
            <w:tcW w:w="1559" w:type="dxa"/>
            <w:vAlign w:val="center"/>
          </w:tcPr>
          <w:p w:rsidR="00FB6B11" w:rsidRDefault="00DA4E47">
            <w:pPr>
              <w:jc w:val="right"/>
            </w:pPr>
            <w:r>
              <w:rPr>
                <w:color w:val="000000"/>
                <w:kern w:val="0"/>
                <w:sz w:val="24"/>
                <w:szCs w:val="24"/>
              </w:rPr>
              <w:t>3.22</w:t>
            </w:r>
          </w:p>
        </w:tc>
      </w:tr>
      <w:tr w:rsidR="00FB6B11">
        <w:tc>
          <w:tcPr>
            <w:tcW w:w="851" w:type="dxa"/>
            <w:vAlign w:val="center"/>
          </w:tcPr>
          <w:p w:rsidR="00FB6B11" w:rsidRDefault="00DA4E47">
            <w:pPr>
              <w:jc w:val="center"/>
            </w:pPr>
            <w:r>
              <w:rPr>
                <w:color w:val="000000"/>
                <w:kern w:val="0"/>
                <w:sz w:val="24"/>
                <w:szCs w:val="24"/>
              </w:rPr>
              <w:t>7</w:t>
            </w:r>
          </w:p>
        </w:tc>
        <w:tc>
          <w:tcPr>
            <w:tcW w:w="1276" w:type="dxa"/>
            <w:vAlign w:val="center"/>
          </w:tcPr>
          <w:p w:rsidR="00FB6B11" w:rsidRDefault="00DA4E47">
            <w:pPr>
              <w:jc w:val="center"/>
            </w:pPr>
            <w:r>
              <w:rPr>
                <w:color w:val="000000"/>
                <w:kern w:val="0"/>
                <w:sz w:val="24"/>
                <w:szCs w:val="24"/>
              </w:rPr>
              <w:t>002415</w:t>
            </w:r>
          </w:p>
        </w:tc>
        <w:tc>
          <w:tcPr>
            <w:tcW w:w="1418" w:type="dxa"/>
            <w:vAlign w:val="center"/>
          </w:tcPr>
          <w:p w:rsidR="00FB6B11" w:rsidRDefault="00DA4E47">
            <w:pPr>
              <w:jc w:val="center"/>
            </w:pPr>
            <w:r>
              <w:rPr>
                <w:color w:val="000000"/>
                <w:kern w:val="0"/>
                <w:sz w:val="24"/>
                <w:szCs w:val="24"/>
              </w:rPr>
              <w:t>海康威视</w:t>
            </w:r>
          </w:p>
        </w:tc>
        <w:tc>
          <w:tcPr>
            <w:tcW w:w="1701" w:type="dxa"/>
            <w:vAlign w:val="center"/>
          </w:tcPr>
          <w:p w:rsidR="00FB6B11" w:rsidRDefault="00DA4E47">
            <w:pPr>
              <w:jc w:val="right"/>
            </w:pPr>
            <w:r>
              <w:rPr>
                <w:color w:val="000000"/>
                <w:kern w:val="0"/>
                <w:sz w:val="24"/>
                <w:szCs w:val="24"/>
              </w:rPr>
              <w:t>6,961,437</w:t>
            </w:r>
          </w:p>
        </w:tc>
        <w:tc>
          <w:tcPr>
            <w:tcW w:w="1984" w:type="dxa"/>
            <w:vAlign w:val="center"/>
          </w:tcPr>
          <w:p w:rsidR="00FB6B11" w:rsidRDefault="00DA4E47">
            <w:pPr>
              <w:jc w:val="right"/>
            </w:pPr>
            <w:r>
              <w:rPr>
                <w:color w:val="000000"/>
                <w:kern w:val="0"/>
                <w:sz w:val="24"/>
                <w:szCs w:val="24"/>
              </w:rPr>
              <w:t>224,854,415.10</w:t>
            </w:r>
          </w:p>
        </w:tc>
        <w:tc>
          <w:tcPr>
            <w:tcW w:w="1559" w:type="dxa"/>
            <w:vAlign w:val="center"/>
          </w:tcPr>
          <w:p w:rsidR="00FB6B11" w:rsidRDefault="00DA4E47">
            <w:pPr>
              <w:jc w:val="right"/>
            </w:pPr>
            <w:r>
              <w:rPr>
                <w:color w:val="000000"/>
                <w:kern w:val="0"/>
                <w:sz w:val="24"/>
                <w:szCs w:val="24"/>
              </w:rPr>
              <w:t>3.02</w:t>
            </w:r>
          </w:p>
        </w:tc>
      </w:tr>
      <w:tr w:rsidR="00FB6B11">
        <w:tc>
          <w:tcPr>
            <w:tcW w:w="851" w:type="dxa"/>
            <w:vAlign w:val="center"/>
          </w:tcPr>
          <w:p w:rsidR="00FB6B11" w:rsidRDefault="00DA4E47">
            <w:pPr>
              <w:jc w:val="center"/>
            </w:pPr>
            <w:r>
              <w:rPr>
                <w:color w:val="000000"/>
                <w:kern w:val="0"/>
                <w:sz w:val="24"/>
                <w:szCs w:val="24"/>
              </w:rPr>
              <w:t>8</w:t>
            </w:r>
          </w:p>
        </w:tc>
        <w:tc>
          <w:tcPr>
            <w:tcW w:w="1276" w:type="dxa"/>
            <w:vAlign w:val="center"/>
          </w:tcPr>
          <w:p w:rsidR="00FB6B11" w:rsidRDefault="00DA4E47">
            <w:pPr>
              <w:jc w:val="center"/>
            </w:pPr>
            <w:r>
              <w:rPr>
                <w:color w:val="000000"/>
                <w:kern w:val="0"/>
                <w:sz w:val="24"/>
                <w:szCs w:val="24"/>
              </w:rPr>
              <w:t>000725</w:t>
            </w:r>
          </w:p>
        </w:tc>
        <w:tc>
          <w:tcPr>
            <w:tcW w:w="1418" w:type="dxa"/>
            <w:vAlign w:val="center"/>
          </w:tcPr>
          <w:p w:rsidR="00FB6B11" w:rsidRDefault="00DA4E47">
            <w:pPr>
              <w:jc w:val="center"/>
            </w:pPr>
            <w:r>
              <w:rPr>
                <w:color w:val="000000"/>
                <w:kern w:val="0"/>
                <w:sz w:val="24"/>
                <w:szCs w:val="24"/>
              </w:rPr>
              <w:t>京东方</w:t>
            </w:r>
            <w:r>
              <w:rPr>
                <w:color w:val="000000"/>
                <w:kern w:val="0"/>
                <w:sz w:val="24"/>
                <w:szCs w:val="24"/>
              </w:rPr>
              <w:t>A</w:t>
            </w:r>
          </w:p>
        </w:tc>
        <w:tc>
          <w:tcPr>
            <w:tcW w:w="1701" w:type="dxa"/>
            <w:vAlign w:val="center"/>
          </w:tcPr>
          <w:p w:rsidR="00FB6B11" w:rsidRDefault="00DA4E47">
            <w:pPr>
              <w:jc w:val="right"/>
            </w:pPr>
            <w:r>
              <w:rPr>
                <w:color w:val="000000"/>
                <w:kern w:val="0"/>
                <w:sz w:val="24"/>
                <w:szCs w:val="24"/>
              </w:rPr>
              <w:t>50,477,587</w:t>
            </w:r>
          </w:p>
        </w:tc>
        <w:tc>
          <w:tcPr>
            <w:tcW w:w="1984" w:type="dxa"/>
            <w:vAlign w:val="center"/>
          </w:tcPr>
          <w:p w:rsidR="00FB6B11" w:rsidRDefault="00DA4E47">
            <w:pPr>
              <w:jc w:val="right"/>
            </w:pPr>
            <w:r>
              <w:rPr>
                <w:color w:val="000000"/>
                <w:kern w:val="0"/>
                <w:sz w:val="24"/>
                <w:szCs w:val="24"/>
              </w:rPr>
              <w:t>189,290,951.25</w:t>
            </w:r>
          </w:p>
        </w:tc>
        <w:tc>
          <w:tcPr>
            <w:tcW w:w="1559" w:type="dxa"/>
            <w:vAlign w:val="center"/>
          </w:tcPr>
          <w:p w:rsidR="00FB6B11" w:rsidRDefault="00DA4E47">
            <w:pPr>
              <w:jc w:val="right"/>
            </w:pPr>
            <w:r>
              <w:rPr>
                <w:color w:val="000000"/>
                <w:kern w:val="0"/>
                <w:sz w:val="24"/>
                <w:szCs w:val="24"/>
              </w:rPr>
              <w:t>2.54</w:t>
            </w:r>
          </w:p>
        </w:tc>
      </w:tr>
      <w:tr w:rsidR="00FB6B11">
        <w:tc>
          <w:tcPr>
            <w:tcW w:w="851" w:type="dxa"/>
            <w:vAlign w:val="center"/>
          </w:tcPr>
          <w:p w:rsidR="00FB6B11" w:rsidRDefault="00DA4E47">
            <w:pPr>
              <w:jc w:val="center"/>
            </w:pPr>
            <w:r>
              <w:rPr>
                <w:color w:val="000000"/>
                <w:kern w:val="0"/>
                <w:sz w:val="24"/>
                <w:szCs w:val="24"/>
              </w:rPr>
              <w:t>9</w:t>
            </w:r>
          </w:p>
        </w:tc>
        <w:tc>
          <w:tcPr>
            <w:tcW w:w="1276" w:type="dxa"/>
            <w:vAlign w:val="center"/>
          </w:tcPr>
          <w:p w:rsidR="00FB6B11" w:rsidRDefault="00DA4E47">
            <w:pPr>
              <w:jc w:val="center"/>
            </w:pPr>
            <w:r>
              <w:rPr>
                <w:color w:val="000000"/>
                <w:kern w:val="0"/>
                <w:sz w:val="24"/>
                <w:szCs w:val="24"/>
              </w:rPr>
              <w:t>002475</w:t>
            </w:r>
          </w:p>
        </w:tc>
        <w:tc>
          <w:tcPr>
            <w:tcW w:w="1418" w:type="dxa"/>
            <w:vAlign w:val="center"/>
          </w:tcPr>
          <w:p w:rsidR="00FB6B11" w:rsidRDefault="00DA4E47">
            <w:pPr>
              <w:jc w:val="center"/>
            </w:pPr>
            <w:r>
              <w:rPr>
                <w:color w:val="000000"/>
                <w:kern w:val="0"/>
                <w:sz w:val="24"/>
                <w:szCs w:val="24"/>
              </w:rPr>
              <w:t>立讯精密</w:t>
            </w:r>
          </w:p>
        </w:tc>
        <w:tc>
          <w:tcPr>
            <w:tcW w:w="1701" w:type="dxa"/>
            <w:vAlign w:val="center"/>
          </w:tcPr>
          <w:p w:rsidR="00FB6B11" w:rsidRDefault="00DA4E47">
            <w:pPr>
              <w:jc w:val="right"/>
            </w:pPr>
            <w:r>
              <w:rPr>
                <w:color w:val="000000"/>
                <w:kern w:val="0"/>
                <w:sz w:val="24"/>
                <w:szCs w:val="24"/>
              </w:rPr>
              <w:t>6,282,019</w:t>
            </w:r>
          </w:p>
        </w:tc>
        <w:tc>
          <w:tcPr>
            <w:tcW w:w="1984" w:type="dxa"/>
            <w:vAlign w:val="center"/>
          </w:tcPr>
          <w:p w:rsidR="00FB6B11" w:rsidRDefault="00DA4E47">
            <w:pPr>
              <w:jc w:val="right"/>
            </w:pPr>
            <w:r>
              <w:rPr>
                <w:color w:val="000000"/>
                <w:kern w:val="0"/>
                <w:sz w:val="24"/>
                <w:szCs w:val="24"/>
              </w:rPr>
              <w:t>168,106,828.44</w:t>
            </w:r>
          </w:p>
        </w:tc>
        <w:tc>
          <w:tcPr>
            <w:tcW w:w="1559" w:type="dxa"/>
            <w:vAlign w:val="center"/>
          </w:tcPr>
          <w:p w:rsidR="00FB6B11" w:rsidRDefault="00DA4E47">
            <w:pPr>
              <w:jc w:val="right"/>
            </w:pPr>
            <w:r>
              <w:rPr>
                <w:color w:val="000000"/>
                <w:kern w:val="0"/>
                <w:sz w:val="24"/>
                <w:szCs w:val="24"/>
              </w:rPr>
              <w:t>2.25</w:t>
            </w:r>
          </w:p>
        </w:tc>
      </w:tr>
      <w:tr w:rsidR="00FB6B11">
        <w:tc>
          <w:tcPr>
            <w:tcW w:w="851" w:type="dxa"/>
            <w:vAlign w:val="center"/>
          </w:tcPr>
          <w:p w:rsidR="00FB6B11" w:rsidRDefault="00DA4E47">
            <w:pPr>
              <w:jc w:val="center"/>
            </w:pPr>
            <w:r>
              <w:rPr>
                <w:color w:val="000000"/>
                <w:kern w:val="0"/>
                <w:sz w:val="24"/>
                <w:szCs w:val="24"/>
              </w:rPr>
              <w:t>10</w:t>
            </w:r>
          </w:p>
        </w:tc>
        <w:tc>
          <w:tcPr>
            <w:tcW w:w="1276" w:type="dxa"/>
            <w:vAlign w:val="center"/>
          </w:tcPr>
          <w:p w:rsidR="00FB6B11" w:rsidRDefault="00DA4E47">
            <w:pPr>
              <w:jc w:val="center"/>
            </w:pPr>
            <w:r>
              <w:rPr>
                <w:color w:val="000000"/>
                <w:kern w:val="0"/>
                <w:sz w:val="24"/>
                <w:szCs w:val="24"/>
              </w:rPr>
              <w:t>000063</w:t>
            </w:r>
          </w:p>
        </w:tc>
        <w:tc>
          <w:tcPr>
            <w:tcW w:w="1418" w:type="dxa"/>
            <w:vAlign w:val="center"/>
          </w:tcPr>
          <w:p w:rsidR="00FB6B11" w:rsidRDefault="00DA4E47">
            <w:pPr>
              <w:jc w:val="center"/>
            </w:pPr>
            <w:r>
              <w:rPr>
                <w:color w:val="000000"/>
                <w:kern w:val="0"/>
                <w:sz w:val="24"/>
                <w:szCs w:val="24"/>
              </w:rPr>
              <w:t>中兴通讯</w:t>
            </w:r>
          </w:p>
        </w:tc>
        <w:tc>
          <w:tcPr>
            <w:tcW w:w="1701" w:type="dxa"/>
            <w:vAlign w:val="center"/>
          </w:tcPr>
          <w:p w:rsidR="00FB6B11" w:rsidRDefault="00DA4E47">
            <w:pPr>
              <w:jc w:val="right"/>
            </w:pPr>
            <w:r>
              <w:rPr>
                <w:color w:val="000000"/>
                <w:kern w:val="0"/>
                <w:sz w:val="24"/>
                <w:szCs w:val="24"/>
              </w:rPr>
              <w:t>4,811,662</w:t>
            </w:r>
          </w:p>
        </w:tc>
        <w:tc>
          <w:tcPr>
            <w:tcW w:w="1984" w:type="dxa"/>
            <w:vAlign w:val="center"/>
          </w:tcPr>
          <w:p w:rsidR="00FB6B11" w:rsidRDefault="00DA4E47">
            <w:pPr>
              <w:jc w:val="right"/>
            </w:pPr>
            <w:r>
              <w:rPr>
                <w:color w:val="000000"/>
                <w:kern w:val="0"/>
                <w:sz w:val="24"/>
                <w:szCs w:val="24"/>
              </w:rPr>
              <w:t>154,021,300.62</w:t>
            </w:r>
          </w:p>
        </w:tc>
        <w:tc>
          <w:tcPr>
            <w:tcW w:w="1559" w:type="dxa"/>
            <w:vAlign w:val="center"/>
          </w:tcPr>
          <w:p w:rsidR="00FB6B11" w:rsidRDefault="00DA4E47">
            <w:pPr>
              <w:jc w:val="right"/>
            </w:pPr>
            <w:r>
              <w:rPr>
                <w:color w:val="000000"/>
                <w:kern w:val="0"/>
                <w:sz w:val="24"/>
                <w:szCs w:val="24"/>
              </w:rPr>
              <w:t>2.07</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p w:rsidR="00750D48" w:rsidRPr="00232B03" w:rsidRDefault="00CA4677" w:rsidP="00403A06">
      <w:pPr>
        <w:spacing w:line="360" w:lineRule="auto"/>
        <w:ind w:firstLineChars="200" w:firstLine="480"/>
        <w:rPr>
          <w:color w:val="000000"/>
          <w:sz w:val="24"/>
          <w:szCs w:val="24"/>
        </w:rPr>
      </w:pPr>
      <w:r w:rsidRPr="00403A06">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5.11.12018年12月13日，中国银行保险监督管理委员会宁波监管局针对平安银行股份有限公司信用卡中心宁波分中心内控管理不到位的违法违规事实，处以罚款人民币40万元，并责令机构对相关直接责任人给予纪律处分的行政处罚。</w:t>
      </w:r>
    </w:p>
    <w:p w:rsidR="00FB6B11" w:rsidRDefault="00DA4E47">
      <w:pPr>
        <w:spacing w:line="360" w:lineRule="auto"/>
        <w:rPr>
          <w:rFonts w:ascii="宋体" w:hAnsi="宋体"/>
          <w:color w:val="000000"/>
          <w:sz w:val="24"/>
          <w:szCs w:val="24"/>
        </w:rPr>
      </w:pPr>
      <w:r>
        <w:rPr>
          <w:rFonts w:ascii="宋体" w:hAnsi="宋体"/>
          <w:color w:val="000000"/>
          <w:sz w:val="24"/>
          <w:szCs w:val="24"/>
        </w:rPr>
        <w:t>2019</w:t>
      </w:r>
      <w:r>
        <w:rPr>
          <w:rFonts w:ascii="宋体" w:hAnsi="宋体"/>
          <w:color w:val="000000"/>
          <w:sz w:val="24"/>
          <w:szCs w:val="24"/>
        </w:rPr>
        <w:t>年</w:t>
      </w:r>
      <w:r>
        <w:rPr>
          <w:rFonts w:ascii="宋体" w:hAnsi="宋体"/>
          <w:color w:val="000000"/>
          <w:sz w:val="24"/>
          <w:szCs w:val="24"/>
        </w:rPr>
        <w:t>5</w:t>
      </w:r>
      <w:r>
        <w:rPr>
          <w:rFonts w:ascii="宋体" w:hAnsi="宋体"/>
          <w:color w:val="000000"/>
          <w:sz w:val="24"/>
          <w:szCs w:val="24"/>
        </w:rPr>
        <w:t>月</w:t>
      </w:r>
      <w:r>
        <w:rPr>
          <w:rFonts w:ascii="宋体" w:hAnsi="宋体"/>
          <w:color w:val="000000"/>
          <w:sz w:val="24"/>
          <w:szCs w:val="24"/>
        </w:rPr>
        <w:t>10</w:t>
      </w:r>
      <w:r>
        <w:rPr>
          <w:rFonts w:ascii="宋体" w:hAnsi="宋体"/>
          <w:color w:val="000000"/>
          <w:sz w:val="24"/>
          <w:szCs w:val="24"/>
        </w:rPr>
        <w:t>日，中国银行保险监督管理委员会上海监管局针对平安银行股份有限公司信用卡中心上海分中心</w:t>
      </w:r>
      <w:r>
        <w:rPr>
          <w:rFonts w:ascii="宋体" w:hAnsi="宋体"/>
          <w:color w:val="000000"/>
          <w:sz w:val="24"/>
          <w:szCs w:val="24"/>
        </w:rPr>
        <w:t>2015</w:t>
      </w:r>
      <w:r>
        <w:rPr>
          <w:rFonts w:ascii="宋体" w:hAnsi="宋体"/>
          <w:color w:val="000000"/>
          <w:sz w:val="24"/>
          <w:szCs w:val="24"/>
        </w:rPr>
        <w:t>年至</w:t>
      </w:r>
      <w:r>
        <w:rPr>
          <w:rFonts w:ascii="宋体" w:hAnsi="宋体"/>
          <w:color w:val="000000"/>
          <w:sz w:val="24"/>
          <w:szCs w:val="24"/>
        </w:rPr>
        <w:t>2017</w:t>
      </w:r>
      <w:r>
        <w:rPr>
          <w:rFonts w:ascii="宋体" w:hAnsi="宋体"/>
          <w:color w:val="000000"/>
          <w:sz w:val="24"/>
          <w:szCs w:val="24"/>
        </w:rPr>
        <w:t>年对员工经商办企业的行为屡禁不止，员工行为管理严重违反审慎经营规则的违法违规事实，责令改正，并处罚款</w:t>
      </w:r>
      <w:r>
        <w:rPr>
          <w:rFonts w:ascii="宋体" w:hAnsi="宋体"/>
          <w:color w:val="000000"/>
          <w:sz w:val="24"/>
          <w:szCs w:val="24"/>
        </w:rPr>
        <w:t>40</w:t>
      </w:r>
      <w:r>
        <w:rPr>
          <w:rFonts w:ascii="宋体" w:hAnsi="宋体"/>
          <w:color w:val="000000"/>
          <w:sz w:val="24"/>
          <w:szCs w:val="24"/>
        </w:rPr>
        <w:t>万元。</w:t>
      </w:r>
    </w:p>
    <w:p w:rsidR="00FB6B11" w:rsidRDefault="00DA4E47">
      <w:pPr>
        <w:spacing w:line="360" w:lineRule="auto"/>
        <w:rPr>
          <w:rFonts w:ascii="宋体" w:hAnsi="宋体"/>
          <w:color w:val="000000"/>
          <w:sz w:val="24"/>
          <w:szCs w:val="24"/>
        </w:rPr>
      </w:pPr>
      <w:r>
        <w:rPr>
          <w:rFonts w:ascii="宋体" w:hAnsi="宋体"/>
          <w:color w:val="000000"/>
          <w:sz w:val="24"/>
          <w:szCs w:val="24"/>
        </w:rPr>
        <w:t>2019</w:t>
      </w:r>
      <w:r>
        <w:rPr>
          <w:rFonts w:ascii="宋体" w:hAnsi="宋体"/>
          <w:color w:val="000000"/>
          <w:sz w:val="24"/>
          <w:szCs w:val="24"/>
        </w:rPr>
        <w:t>年</w:t>
      </w:r>
      <w:r>
        <w:rPr>
          <w:rFonts w:ascii="宋体" w:hAnsi="宋体"/>
          <w:color w:val="000000"/>
          <w:sz w:val="24"/>
          <w:szCs w:val="24"/>
        </w:rPr>
        <w:t>8</w:t>
      </w:r>
      <w:r>
        <w:rPr>
          <w:rFonts w:ascii="宋体" w:hAnsi="宋体"/>
          <w:color w:val="000000"/>
          <w:sz w:val="24"/>
          <w:szCs w:val="24"/>
        </w:rPr>
        <w:t>月</w:t>
      </w:r>
      <w:r>
        <w:rPr>
          <w:rFonts w:ascii="宋体" w:hAnsi="宋体"/>
          <w:color w:val="000000"/>
          <w:sz w:val="24"/>
          <w:szCs w:val="24"/>
        </w:rPr>
        <w:t>12</w:t>
      </w:r>
      <w:r>
        <w:rPr>
          <w:rFonts w:ascii="宋体" w:hAnsi="宋体"/>
          <w:color w:val="000000"/>
          <w:sz w:val="24"/>
          <w:szCs w:val="24"/>
        </w:rPr>
        <w:t>日，中国银行保险监督管理委员会上海监管局针对平安银行股份有限公司资金运营中心</w:t>
      </w:r>
      <w:r>
        <w:rPr>
          <w:rFonts w:ascii="宋体" w:hAnsi="宋体"/>
          <w:color w:val="000000"/>
          <w:sz w:val="24"/>
          <w:szCs w:val="24"/>
        </w:rPr>
        <w:t>2017</w:t>
      </w:r>
      <w:r>
        <w:rPr>
          <w:rFonts w:ascii="宋体" w:hAnsi="宋体"/>
          <w:color w:val="000000"/>
          <w:sz w:val="24"/>
          <w:szCs w:val="24"/>
        </w:rPr>
        <w:t>年末至</w:t>
      </w:r>
      <w:r>
        <w:rPr>
          <w:rFonts w:ascii="宋体" w:hAnsi="宋体"/>
          <w:color w:val="000000"/>
          <w:sz w:val="24"/>
          <w:szCs w:val="24"/>
        </w:rPr>
        <w:t>2018</w:t>
      </w:r>
      <w:r>
        <w:rPr>
          <w:rFonts w:ascii="宋体" w:hAnsi="宋体"/>
          <w:color w:val="000000"/>
          <w:sz w:val="24"/>
          <w:szCs w:val="24"/>
        </w:rPr>
        <w:t>年</w:t>
      </w:r>
      <w:r>
        <w:rPr>
          <w:rFonts w:ascii="宋体" w:hAnsi="宋体"/>
          <w:color w:val="000000"/>
          <w:sz w:val="24"/>
          <w:szCs w:val="24"/>
        </w:rPr>
        <w:t>9</w:t>
      </w:r>
      <w:r>
        <w:rPr>
          <w:rFonts w:ascii="宋体" w:hAnsi="宋体"/>
          <w:color w:val="000000"/>
          <w:sz w:val="24"/>
          <w:szCs w:val="24"/>
        </w:rPr>
        <w:t>月信息科技风险管理严重违反审慎经营规则的违法违规事实，责令改正，并处罚款</w:t>
      </w:r>
      <w:r>
        <w:rPr>
          <w:rFonts w:ascii="宋体" w:hAnsi="宋体"/>
          <w:color w:val="000000"/>
          <w:sz w:val="24"/>
          <w:szCs w:val="24"/>
        </w:rPr>
        <w:t>20</w:t>
      </w:r>
      <w:r>
        <w:rPr>
          <w:rFonts w:ascii="宋体" w:hAnsi="宋体"/>
          <w:color w:val="000000"/>
          <w:sz w:val="24"/>
          <w:szCs w:val="24"/>
        </w:rPr>
        <w:t>万元。</w:t>
      </w:r>
    </w:p>
    <w:p w:rsidR="00FB6B11" w:rsidRDefault="00DA4E47">
      <w:pPr>
        <w:spacing w:line="360" w:lineRule="auto"/>
        <w:rPr>
          <w:rFonts w:ascii="宋体" w:hAnsi="宋体"/>
          <w:color w:val="000000"/>
          <w:sz w:val="24"/>
          <w:szCs w:val="24"/>
        </w:rPr>
      </w:pPr>
      <w:r>
        <w:rPr>
          <w:rFonts w:ascii="宋体" w:hAnsi="宋体"/>
          <w:color w:val="000000"/>
          <w:sz w:val="24"/>
          <w:szCs w:val="24"/>
        </w:rPr>
        <w:t>本基金为指数型基金，上述股票系标的指数成份股，上述股票的投资决策程序符合公</w:t>
      </w:r>
      <w:r>
        <w:rPr>
          <w:rFonts w:ascii="宋体" w:hAnsi="宋体"/>
          <w:color w:val="000000"/>
          <w:sz w:val="24"/>
          <w:szCs w:val="24"/>
        </w:rPr>
        <w:t>司投资制度的规定。除平安银行外，本基金投资的前十名证券的发行主体本期没有出现被监管部门立案调查，或在报告编制日前一年内受到公开谴责、处罚的情形。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294,159.27</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4,459,603.84</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3,337.55</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4,757,100.66</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1,507,388,396.00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719,345,349.00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629,200,000.00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1,597,533,745.00</w:t>
            </w:r>
          </w:p>
        </w:tc>
      </w:tr>
    </w:tbl>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注：期初基金总份额包含场外份额</w:t>
      </w:r>
      <w:r w:rsidRPr="006C56AA">
        <w:rPr>
          <w:color w:val="000000"/>
          <w:sz w:val="24"/>
          <w:szCs w:val="24"/>
        </w:rPr>
        <w:t>159,220,931</w:t>
      </w:r>
      <w:r w:rsidRPr="006C56AA">
        <w:rPr>
          <w:color w:val="000000"/>
          <w:sz w:val="24"/>
          <w:szCs w:val="24"/>
        </w:rPr>
        <w:t>份；期末基金总份额包含场外份额</w:t>
      </w:r>
      <w:r w:rsidRPr="006C56AA">
        <w:rPr>
          <w:color w:val="000000"/>
          <w:sz w:val="24"/>
          <w:szCs w:val="24"/>
        </w:rPr>
        <w:t>160,366,280</w:t>
      </w:r>
      <w:r w:rsidRPr="006C56AA">
        <w:rPr>
          <w:color w:val="000000"/>
          <w:sz w:val="24"/>
          <w:szCs w:val="24"/>
        </w:rPr>
        <w:t>份；总申购份额包含场外总申购份额</w:t>
      </w:r>
      <w:r w:rsidRPr="006C56AA">
        <w:rPr>
          <w:color w:val="000000"/>
          <w:sz w:val="24"/>
          <w:szCs w:val="24"/>
        </w:rPr>
        <w:t>1,145,349</w:t>
      </w:r>
      <w:r w:rsidRPr="006C56AA">
        <w:rPr>
          <w:color w:val="000000"/>
          <w:sz w:val="24"/>
          <w:szCs w:val="24"/>
        </w:rPr>
        <w:t>份。</w:t>
      </w:r>
    </w:p>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4B7A92" w:rsidRPr="004B7A92" w:rsidRDefault="00013E6E" w:rsidP="004B7A92">
      <w:pPr>
        <w:pStyle w:val="1"/>
        <w:spacing w:beforeLines="100" w:before="312" w:afterLines="100" w:after="312" w:line="360" w:lineRule="auto"/>
        <w:jc w:val="center"/>
        <w:rPr>
          <w:rFonts w:ascii="宋体" w:hAnsi="宋体"/>
          <w:color w:val="000000"/>
          <w:kern w:val="0"/>
          <w:sz w:val="24"/>
          <w:szCs w:val="24"/>
        </w:rPr>
      </w:pPr>
      <w:r w:rsidRPr="00264E55">
        <w:rPr>
          <w:rFonts w:ascii="宋体" w:hAnsi="宋体" w:hint="eastAsia"/>
          <w:color w:val="000000"/>
          <w:kern w:val="0"/>
          <w:sz w:val="24"/>
          <w:szCs w:val="24"/>
        </w:rPr>
        <w:t>§</w:t>
      </w:r>
      <w:r w:rsidR="004B7A92" w:rsidRPr="004B7A92">
        <w:rPr>
          <w:rFonts w:ascii="宋体" w:hAnsi="宋体"/>
          <w:color w:val="000000"/>
          <w:kern w:val="0"/>
          <w:sz w:val="24"/>
          <w:szCs w:val="24"/>
        </w:rPr>
        <w:t>8</w:t>
      </w:r>
      <w:r w:rsidR="0043199A" w:rsidRPr="00264E55">
        <w:rPr>
          <w:rFonts w:ascii="宋体" w:hAnsi="宋体"/>
          <w:color w:val="000000"/>
          <w:kern w:val="0"/>
          <w:sz w:val="24"/>
          <w:szCs w:val="24"/>
        </w:rPr>
        <w:t xml:space="preserve">  </w:t>
      </w:r>
      <w:r w:rsidR="004B7A92" w:rsidRPr="004B7A92">
        <w:rPr>
          <w:rFonts w:ascii="宋体" w:hAnsi="宋体"/>
          <w:color w:val="000000"/>
          <w:kern w:val="0"/>
          <w:sz w:val="24"/>
          <w:szCs w:val="24"/>
        </w:rPr>
        <w:t>影响投资者决策的其他重要信息</w:t>
      </w:r>
    </w:p>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8.1 报告期内单一投资者持有基金份额比例达到或超过20%的情况</w:t>
      </w:r>
    </w:p>
    <w:tbl>
      <w:tblPr>
        <w:tblStyle w:val="af7"/>
        <w:tblW w:w="9640" w:type="dxa"/>
        <w:jc w:val="center"/>
        <w:tblLayout w:type="fixed"/>
        <w:tblLook w:val="04A0" w:firstRow="1" w:lastRow="0" w:firstColumn="1" w:lastColumn="0" w:noHBand="0" w:noVBand="1"/>
      </w:tblPr>
      <w:tblGrid>
        <w:gridCol w:w="1798"/>
        <w:gridCol w:w="709"/>
        <w:gridCol w:w="1985"/>
        <w:gridCol w:w="1134"/>
        <w:gridCol w:w="992"/>
        <w:gridCol w:w="1134"/>
        <w:gridCol w:w="1037"/>
        <w:gridCol w:w="851"/>
      </w:tblGrid>
      <w:tr w:rsidR="001F5F5D" w:rsidRPr="00FC0759" w:rsidTr="007125DB">
        <w:trPr>
          <w:jc w:val="center"/>
        </w:trPr>
        <w:tc>
          <w:tcPr>
            <w:tcW w:w="1798" w:type="dxa"/>
            <w:vMerge w:val="restart"/>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投资者类别</w:t>
            </w:r>
          </w:p>
        </w:tc>
        <w:tc>
          <w:tcPr>
            <w:tcW w:w="5954" w:type="dxa"/>
            <w:gridSpan w:val="5"/>
            <w:vAlign w:val="center"/>
          </w:tcPr>
          <w:p w:rsidR="001F5F5D" w:rsidRPr="00FC0759" w:rsidRDefault="001F5F5D" w:rsidP="00D9482C">
            <w:pPr>
              <w:autoSpaceDE w:val="0"/>
              <w:autoSpaceDN w:val="0"/>
              <w:adjustRightInd w:val="0"/>
              <w:ind w:firstLine="1126"/>
              <w:jc w:val="center"/>
              <w:rPr>
                <w:rFonts w:eastAsiaTheme="minorEastAsia"/>
                <w:b/>
                <w:bCs/>
                <w:color w:val="000000" w:themeColor="text1"/>
                <w:sz w:val="24"/>
                <w:szCs w:val="24"/>
              </w:rPr>
            </w:pPr>
            <w:r w:rsidRPr="00FC0759">
              <w:rPr>
                <w:color w:val="000000"/>
                <w:sz w:val="24"/>
                <w:szCs w:val="24"/>
              </w:rPr>
              <w:t>报告期内持有基金份额变化情况</w:t>
            </w:r>
          </w:p>
        </w:tc>
        <w:tc>
          <w:tcPr>
            <w:tcW w:w="1888" w:type="dxa"/>
            <w:gridSpan w:val="2"/>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报告期末持有基金情况</w:t>
            </w:r>
          </w:p>
        </w:tc>
      </w:tr>
      <w:tr w:rsidR="001F5F5D" w:rsidRPr="00FC0759" w:rsidTr="007125DB">
        <w:trPr>
          <w:jc w:val="center"/>
        </w:trPr>
        <w:tc>
          <w:tcPr>
            <w:tcW w:w="1798" w:type="dxa"/>
            <w:vMerge/>
            <w:vAlign w:val="center"/>
          </w:tcPr>
          <w:p w:rsidR="001F5F5D" w:rsidRPr="00FC0759" w:rsidRDefault="001F5F5D" w:rsidP="00D9482C">
            <w:pPr>
              <w:autoSpaceDE w:val="0"/>
              <w:autoSpaceDN w:val="0"/>
              <w:adjustRightInd w:val="0"/>
              <w:ind w:firstLine="1234"/>
              <w:jc w:val="center"/>
              <w:rPr>
                <w:rFonts w:eastAsiaTheme="minorEastAsia"/>
                <w:b/>
                <w:bCs/>
                <w:color w:val="000000" w:themeColor="text1"/>
                <w:sz w:val="24"/>
                <w:szCs w:val="24"/>
              </w:rPr>
            </w:pPr>
          </w:p>
        </w:tc>
        <w:tc>
          <w:tcPr>
            <w:tcW w:w="709"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序号</w:t>
            </w:r>
          </w:p>
        </w:tc>
        <w:tc>
          <w:tcPr>
            <w:tcW w:w="1985"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持有基金份额比例达到或者超过</w:t>
            </w:r>
            <w:r w:rsidRPr="00FC0759">
              <w:rPr>
                <w:color w:val="000000"/>
                <w:sz w:val="24"/>
                <w:szCs w:val="24"/>
              </w:rPr>
              <w:t>20%</w:t>
            </w:r>
            <w:r w:rsidRPr="00FC0759">
              <w:rPr>
                <w:color w:val="000000"/>
                <w:sz w:val="24"/>
                <w:szCs w:val="24"/>
              </w:rPr>
              <w:t>的时间区间</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期初份额</w:t>
            </w:r>
          </w:p>
        </w:tc>
        <w:tc>
          <w:tcPr>
            <w:tcW w:w="992"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申购份额</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赎回份额</w:t>
            </w:r>
          </w:p>
        </w:tc>
        <w:tc>
          <w:tcPr>
            <w:tcW w:w="1037"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持有份额</w:t>
            </w:r>
          </w:p>
        </w:tc>
        <w:tc>
          <w:tcPr>
            <w:tcW w:w="851"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份额占比</w:t>
            </w:r>
          </w:p>
        </w:tc>
      </w:tr>
      <w:tr w:rsidR="00FB6B11">
        <w:trPr>
          <w:jc w:val="center"/>
        </w:trPr>
        <w:tc>
          <w:tcPr>
            <w:tcW w:w="1798" w:type="dxa"/>
            <w:vMerge w:val="restart"/>
            <w:vAlign w:val="center"/>
          </w:tcPr>
          <w:p w:rsidR="00FB6B11" w:rsidRDefault="00DA4E47">
            <w:r>
              <w:rPr>
                <w:sz w:val="24"/>
                <w:szCs w:val="24"/>
              </w:rPr>
              <w:t>中国银行股份有限公司－易方达深证</w:t>
            </w:r>
            <w:r>
              <w:rPr>
                <w:sz w:val="24"/>
                <w:szCs w:val="24"/>
              </w:rPr>
              <w:t>100</w:t>
            </w:r>
            <w:r>
              <w:rPr>
                <w:sz w:val="24"/>
                <w:szCs w:val="24"/>
              </w:rPr>
              <w:t>交易型开放式指数证券投资基金联接基金</w:t>
            </w:r>
          </w:p>
        </w:tc>
        <w:tc>
          <w:tcPr>
            <w:tcW w:w="709" w:type="dxa"/>
            <w:vAlign w:val="center"/>
          </w:tcPr>
          <w:p w:rsidR="00FB6B11" w:rsidRDefault="00DA4E47">
            <w:pPr>
              <w:jc w:val="center"/>
            </w:pPr>
            <w:r>
              <w:rPr>
                <w:sz w:val="24"/>
                <w:szCs w:val="24"/>
              </w:rPr>
              <w:t>1</w:t>
            </w:r>
          </w:p>
        </w:tc>
        <w:tc>
          <w:tcPr>
            <w:tcW w:w="1985" w:type="dxa"/>
            <w:vAlign w:val="center"/>
          </w:tcPr>
          <w:p w:rsidR="00FB6B11" w:rsidRDefault="00DA4E47">
            <w:pPr>
              <w:jc w:val="center"/>
            </w:pPr>
            <w:r>
              <w:rPr>
                <w:sz w:val="24"/>
                <w:szCs w:val="24"/>
              </w:rPr>
              <w:t>2019</w:t>
            </w:r>
            <w:r>
              <w:rPr>
                <w:sz w:val="24"/>
                <w:szCs w:val="24"/>
              </w:rPr>
              <w:t>年</w:t>
            </w:r>
            <w:r>
              <w:rPr>
                <w:sz w:val="24"/>
                <w:szCs w:val="24"/>
              </w:rPr>
              <w:t>07</w:t>
            </w:r>
            <w:r>
              <w:rPr>
                <w:sz w:val="24"/>
                <w:szCs w:val="24"/>
              </w:rPr>
              <w:t>月</w:t>
            </w:r>
            <w:r>
              <w:rPr>
                <w:sz w:val="24"/>
                <w:szCs w:val="24"/>
              </w:rPr>
              <w:t>01</w:t>
            </w:r>
            <w:r>
              <w:rPr>
                <w:sz w:val="24"/>
                <w:szCs w:val="24"/>
              </w:rPr>
              <w:t>日</w:t>
            </w:r>
            <w:r>
              <w:rPr>
                <w:sz w:val="24"/>
                <w:szCs w:val="24"/>
              </w:rPr>
              <w:t>~2019</w:t>
            </w:r>
            <w:r>
              <w:rPr>
                <w:sz w:val="24"/>
                <w:szCs w:val="24"/>
              </w:rPr>
              <w:t>年</w:t>
            </w:r>
            <w:r>
              <w:rPr>
                <w:sz w:val="24"/>
                <w:szCs w:val="24"/>
              </w:rPr>
              <w:t>09</w:t>
            </w:r>
            <w:r>
              <w:rPr>
                <w:sz w:val="24"/>
                <w:szCs w:val="24"/>
              </w:rPr>
              <w:t>月</w:t>
            </w:r>
            <w:r>
              <w:rPr>
                <w:sz w:val="24"/>
                <w:szCs w:val="24"/>
              </w:rPr>
              <w:t>30</w:t>
            </w:r>
            <w:r>
              <w:rPr>
                <w:sz w:val="24"/>
                <w:szCs w:val="24"/>
              </w:rPr>
              <w:t>日</w:t>
            </w:r>
          </w:p>
        </w:tc>
        <w:tc>
          <w:tcPr>
            <w:tcW w:w="1134" w:type="dxa"/>
            <w:vAlign w:val="center"/>
          </w:tcPr>
          <w:p w:rsidR="00FB6B11" w:rsidRDefault="00DA4E47">
            <w:pPr>
              <w:jc w:val="center"/>
            </w:pPr>
            <w:r>
              <w:rPr>
                <w:sz w:val="24"/>
                <w:szCs w:val="24"/>
              </w:rPr>
              <w:t>401,885,684.00</w:t>
            </w:r>
          </w:p>
        </w:tc>
        <w:tc>
          <w:tcPr>
            <w:tcW w:w="992" w:type="dxa"/>
            <w:vAlign w:val="center"/>
          </w:tcPr>
          <w:p w:rsidR="00FB6B11" w:rsidRDefault="00DA4E47">
            <w:pPr>
              <w:jc w:val="center"/>
            </w:pPr>
            <w:r>
              <w:rPr>
                <w:sz w:val="24"/>
                <w:szCs w:val="24"/>
              </w:rPr>
              <w:t>83,842,422.00</w:t>
            </w:r>
          </w:p>
        </w:tc>
        <w:tc>
          <w:tcPr>
            <w:tcW w:w="1134" w:type="dxa"/>
            <w:vAlign w:val="center"/>
          </w:tcPr>
          <w:p w:rsidR="00FB6B11" w:rsidRDefault="00DA4E47">
            <w:pPr>
              <w:jc w:val="center"/>
            </w:pPr>
            <w:r>
              <w:rPr>
                <w:sz w:val="24"/>
                <w:szCs w:val="24"/>
              </w:rPr>
              <w:t>84,619,300.00</w:t>
            </w:r>
          </w:p>
        </w:tc>
        <w:tc>
          <w:tcPr>
            <w:tcW w:w="1037" w:type="dxa"/>
            <w:vAlign w:val="center"/>
          </w:tcPr>
          <w:p w:rsidR="00FB6B11" w:rsidRDefault="00DA4E47">
            <w:pPr>
              <w:jc w:val="center"/>
            </w:pPr>
            <w:r>
              <w:rPr>
                <w:sz w:val="24"/>
                <w:szCs w:val="24"/>
              </w:rPr>
              <w:t>401,108,806.00</w:t>
            </w:r>
          </w:p>
        </w:tc>
        <w:tc>
          <w:tcPr>
            <w:tcW w:w="851" w:type="dxa"/>
            <w:vAlign w:val="center"/>
          </w:tcPr>
          <w:p w:rsidR="00FB6B11" w:rsidRDefault="00DA4E47">
            <w:pPr>
              <w:jc w:val="center"/>
            </w:pPr>
            <w:r>
              <w:rPr>
                <w:sz w:val="24"/>
                <w:szCs w:val="24"/>
              </w:rPr>
              <w:t>25.11%</w:t>
            </w:r>
          </w:p>
        </w:tc>
      </w:tr>
      <w:tr w:rsidR="001F5F5D" w:rsidRPr="00FC0759" w:rsidTr="00D9482C">
        <w:trPr>
          <w:jc w:val="center"/>
        </w:trPr>
        <w:tc>
          <w:tcPr>
            <w:tcW w:w="9637" w:type="dxa"/>
            <w:gridSpan w:val="8"/>
            <w:vAlign w:val="center"/>
          </w:tcPr>
          <w:p w:rsidR="001F5F5D" w:rsidRPr="00FC0759" w:rsidRDefault="001F5F5D" w:rsidP="003350A8">
            <w:pPr>
              <w:autoSpaceDE w:val="0"/>
              <w:autoSpaceDN w:val="0"/>
              <w:adjustRightInd w:val="0"/>
              <w:jc w:val="center"/>
              <w:rPr>
                <w:sz w:val="24"/>
                <w:szCs w:val="24"/>
              </w:rPr>
            </w:pPr>
            <w:r w:rsidRPr="00FC0759">
              <w:rPr>
                <w:color w:val="000000"/>
                <w:sz w:val="24"/>
                <w:szCs w:val="24"/>
              </w:rPr>
              <w:t>产品特有风险</w:t>
            </w:r>
          </w:p>
        </w:tc>
      </w:tr>
      <w:tr w:rsidR="001F5F5D" w:rsidRPr="00FC0759" w:rsidTr="00D9482C">
        <w:trPr>
          <w:jc w:val="center"/>
        </w:trPr>
        <w:tc>
          <w:tcPr>
            <w:tcW w:w="9637" w:type="dxa"/>
            <w:gridSpan w:val="8"/>
            <w:vAlign w:val="center"/>
          </w:tcPr>
          <w:p w:rsidR="001F5F5D" w:rsidRPr="00FC0759" w:rsidRDefault="001F5F5D" w:rsidP="00D9482C">
            <w:pPr>
              <w:autoSpaceDE w:val="0"/>
              <w:autoSpaceDN w:val="0"/>
              <w:adjustRightInd w:val="0"/>
              <w:jc w:val="left"/>
              <w:rPr>
                <w:sz w:val="24"/>
                <w:szCs w:val="24"/>
              </w:rPr>
            </w:pPr>
            <w:r w:rsidRPr="00FC0759">
              <w:rPr>
                <w:sz w:val="24"/>
                <w:szCs w:val="24"/>
              </w:rPr>
              <w:t>报告期内，本基金存在单一投资者持有份额比例达到或超过</w:t>
            </w:r>
            <w:r w:rsidRPr="00FC0759">
              <w:rPr>
                <w:sz w:val="24"/>
                <w:szCs w:val="24"/>
              </w:rPr>
              <w:t>20%</w:t>
            </w:r>
            <w:r w:rsidRPr="00FC0759">
              <w:rPr>
                <w:sz w:val="24"/>
                <w:szCs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szCs w:val="24"/>
              </w:rPr>
              <w:t>5000</w:t>
            </w:r>
            <w:r w:rsidRPr="00FC0759">
              <w:rPr>
                <w:sz w:val="24"/>
                <w:szCs w:val="24"/>
              </w:rPr>
              <w:t>万元，基金还可能面临转换运作方式、与其他基金合并或者终止基金合同等情形；持有基金份额占比较高的投资者在召开持有人大会并对审议事项进行投票表决时可能拥有较大话语权。</w:t>
            </w:r>
          </w:p>
        </w:tc>
      </w:tr>
    </w:tbl>
    <w:p w:rsidR="001F5F5D" w:rsidRPr="00FC0759" w:rsidRDefault="001F5F5D" w:rsidP="001F5F5D">
      <w:pPr>
        <w:autoSpaceDE w:val="0"/>
        <w:autoSpaceDN w:val="0"/>
        <w:adjustRightInd w:val="0"/>
        <w:spacing w:line="360" w:lineRule="auto"/>
        <w:ind w:firstLineChars="200" w:firstLine="480"/>
        <w:jc w:val="left"/>
        <w:rPr>
          <w:rFonts w:eastAsiaTheme="minorEastAsia"/>
          <w:bCs/>
          <w:color w:val="000000" w:themeColor="text1"/>
          <w:kern w:val="0"/>
          <w:sz w:val="24"/>
          <w:szCs w:val="24"/>
        </w:rPr>
      </w:pPr>
      <w:r w:rsidRPr="00FC0759">
        <w:rPr>
          <w:bCs/>
          <w:color w:val="000000" w:themeColor="text1"/>
          <w:kern w:val="0"/>
          <w:sz w:val="24"/>
          <w:szCs w:val="24"/>
        </w:rPr>
        <w:t>注：申购份额包括申购或者买入基金份额，赎回份额包括赎回或者卖出基金份额。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9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9.1 </w:t>
      </w:r>
      <w:r w:rsidRPr="00264E55">
        <w:rPr>
          <w:rFonts w:ascii="宋体" w:hAnsi="宋体" w:hint="eastAsia"/>
          <w:b/>
          <w:bCs/>
          <w:color w:val="000000"/>
          <w:kern w:val="0"/>
          <w:sz w:val="24"/>
          <w:szCs w:val="24"/>
        </w:rPr>
        <w:t>备查文件目录</w:t>
      </w:r>
    </w:p>
    <w:p w:rsidR="00FB6B11" w:rsidRDefault="00DA4E47">
      <w:pPr>
        <w:spacing w:line="360" w:lineRule="auto"/>
        <w:ind w:firstLineChars="200" w:firstLine="480"/>
        <w:rPr>
          <w:color w:val="000000"/>
          <w:sz w:val="24"/>
          <w:szCs w:val="24"/>
        </w:rPr>
      </w:pPr>
      <w:r>
        <w:rPr>
          <w:color w:val="000000"/>
          <w:sz w:val="24"/>
          <w:szCs w:val="24"/>
        </w:rPr>
        <w:t xml:space="preserve">1. </w:t>
      </w:r>
      <w:r>
        <w:rPr>
          <w:color w:val="000000"/>
          <w:sz w:val="24"/>
          <w:szCs w:val="24"/>
        </w:rPr>
        <w:t>中国证监会核准易方达深证</w:t>
      </w:r>
      <w:r>
        <w:rPr>
          <w:color w:val="000000"/>
          <w:sz w:val="24"/>
          <w:szCs w:val="24"/>
        </w:rPr>
        <w:t>100</w:t>
      </w:r>
      <w:r>
        <w:rPr>
          <w:color w:val="000000"/>
          <w:sz w:val="24"/>
          <w:szCs w:val="24"/>
        </w:rPr>
        <w:t>交易型开放式指数基金募集的文件；</w:t>
      </w:r>
    </w:p>
    <w:p w:rsidR="00FB6B11" w:rsidRDefault="00DA4E47">
      <w:pPr>
        <w:spacing w:line="360" w:lineRule="auto"/>
        <w:ind w:firstLineChars="200" w:firstLine="480"/>
        <w:rPr>
          <w:color w:val="000000"/>
          <w:sz w:val="24"/>
          <w:szCs w:val="24"/>
        </w:rPr>
      </w:pPr>
      <w:r>
        <w:rPr>
          <w:color w:val="000000"/>
          <w:sz w:val="24"/>
          <w:szCs w:val="24"/>
        </w:rPr>
        <w:t xml:space="preserve">2. </w:t>
      </w:r>
      <w:r>
        <w:rPr>
          <w:color w:val="000000"/>
          <w:sz w:val="24"/>
          <w:szCs w:val="24"/>
        </w:rPr>
        <w:t>《易方达深证</w:t>
      </w:r>
      <w:r>
        <w:rPr>
          <w:color w:val="000000"/>
          <w:sz w:val="24"/>
          <w:szCs w:val="24"/>
        </w:rPr>
        <w:t>100</w:t>
      </w:r>
      <w:r>
        <w:rPr>
          <w:color w:val="000000"/>
          <w:sz w:val="24"/>
          <w:szCs w:val="24"/>
        </w:rPr>
        <w:t>交易型开放式指数基金基金合同》；</w:t>
      </w:r>
      <w:r>
        <w:rPr>
          <w:color w:val="000000"/>
          <w:sz w:val="24"/>
          <w:szCs w:val="24"/>
        </w:rPr>
        <w:t xml:space="preserve"> </w:t>
      </w:r>
    </w:p>
    <w:p w:rsidR="00FB6B11" w:rsidRDefault="00DA4E47">
      <w:pPr>
        <w:spacing w:line="360" w:lineRule="auto"/>
        <w:ind w:firstLineChars="200" w:firstLine="480"/>
        <w:rPr>
          <w:color w:val="000000"/>
          <w:sz w:val="24"/>
          <w:szCs w:val="24"/>
        </w:rPr>
      </w:pPr>
      <w:r>
        <w:rPr>
          <w:color w:val="000000"/>
          <w:sz w:val="24"/>
          <w:szCs w:val="24"/>
        </w:rPr>
        <w:t xml:space="preserve">3. </w:t>
      </w:r>
      <w:r>
        <w:rPr>
          <w:color w:val="000000"/>
          <w:sz w:val="24"/>
          <w:szCs w:val="24"/>
        </w:rPr>
        <w:t>《易方达深证</w:t>
      </w:r>
      <w:r>
        <w:rPr>
          <w:color w:val="000000"/>
          <w:sz w:val="24"/>
          <w:szCs w:val="24"/>
        </w:rPr>
        <w:t>100</w:t>
      </w:r>
      <w:r>
        <w:rPr>
          <w:color w:val="000000"/>
          <w:sz w:val="24"/>
          <w:szCs w:val="24"/>
        </w:rPr>
        <w:t>交易型开放式指数基金托管协议》；</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 xml:space="preserve">4. </w:t>
      </w:r>
      <w:r w:rsidRPr="006C56AA">
        <w:rPr>
          <w:color w:val="000000"/>
          <w:sz w:val="24"/>
          <w:szCs w:val="24"/>
        </w:rPr>
        <w:t>基金管理人业务资格批件和营业执照。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DA4E47">
      <w:rPr>
        <w:rStyle w:val="a7"/>
        <w:noProof/>
      </w:rPr>
      <w:t>1</w:t>
    </w:r>
    <w:r>
      <w:rPr>
        <w:rStyle w:val="a7"/>
      </w:rPr>
      <w:fldChar w:fldCharType="end"/>
    </w:r>
    <w:r>
      <w:rPr>
        <w:rStyle w:val="a7"/>
        <w:rFonts w:hint="eastAsia"/>
      </w:rPr>
      <w:t>页共</w:t>
    </w:r>
    <w:r w:rsidR="00DA4E47">
      <w:fldChar w:fldCharType="begin"/>
    </w:r>
    <w:r w:rsidR="00DA4E47">
      <w:instrText xml:space="preserve"> NUMPAGES  \* Arabic  \* MERGEFORMAT </w:instrText>
    </w:r>
    <w:r w:rsidR="00DA4E47">
      <w:fldChar w:fldCharType="separate"/>
    </w:r>
    <w:r w:rsidR="00DA4E47" w:rsidRPr="00DA4E47">
      <w:rPr>
        <w:rStyle w:val="a7"/>
        <w:noProof/>
      </w:rPr>
      <w:t>3</w:t>
    </w:r>
    <w:r w:rsidR="00DA4E47">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DA4E47">
      <w:rPr>
        <w:rStyle w:val="a7"/>
        <w:noProof/>
      </w:rPr>
      <w:t>14</w:t>
    </w:r>
    <w:r>
      <w:rPr>
        <w:rStyle w:val="a7"/>
      </w:rPr>
      <w:fldChar w:fldCharType="end"/>
    </w:r>
    <w:r>
      <w:rPr>
        <w:rStyle w:val="a7"/>
        <w:rFonts w:hint="eastAsia"/>
      </w:rPr>
      <w:t>页共</w:t>
    </w:r>
    <w:fldSimple w:instr=" NUMPAGES  \* Arabic  \* MERGEFORMAT ">
      <w:r w:rsidR="00DA4E47" w:rsidRPr="00DA4E47">
        <w:rPr>
          <w:rStyle w:val="a7"/>
          <w:noProof/>
        </w:rPr>
        <w:t>14</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易方达深证</w:t>
    </w:r>
    <w:r w:rsidRPr="00093704">
      <w:t>100</w:t>
    </w:r>
    <w:r w:rsidRPr="00093704">
      <w:t>交易型开放式指数基金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4E47"/>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6B11"/>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233EF-5AB1-4F34-A2E4-4468CB7B4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1255</Words>
  <Characters>7155</Characters>
  <Application>Microsoft Office Word</Application>
  <DocSecurity>0</DocSecurity>
  <Lines>59</Lines>
  <Paragraphs>16</Paragraphs>
  <ScaleCrop>false</ScaleCrop>
  <Company/>
  <LinksUpToDate>false</LinksUpToDate>
  <CharactersWithSpaces>8394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2019-10-16T13:57:00Z</cp:lastPrinted>
  <dcterms:created xsi:type="dcterms:W3CDTF">2012-10-16T06:07:00Z</dcterms:created>
  <dcterms:modified xsi:type="dcterms:W3CDTF">2019-10-16T13:57:00Z</dcterms:modified>
</cp:coreProperties>
</file>