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F6C" w:rsidRPr="0097021E" w:rsidRDefault="00941F6C" w:rsidP="00196812">
      <w:pPr>
        <w:autoSpaceDE w:val="0"/>
        <w:autoSpaceDN w:val="0"/>
        <w:adjustRightInd w:val="0"/>
        <w:spacing w:line="360" w:lineRule="auto"/>
        <w:jc w:val="left"/>
        <w:rPr>
          <w:rFonts w:ascii="宋体" w:cs="Arial"/>
          <w:color w:val="000000"/>
          <w:kern w:val="0"/>
          <w:sz w:val="24"/>
        </w:rPr>
      </w:pPr>
      <w:bookmarkStart w:id="0" w:name="_GoBack"/>
      <w:bookmarkEnd w:id="0"/>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02085F">
      <w:pPr>
        <w:spacing w:line="360" w:lineRule="auto"/>
        <w:jc w:val="center"/>
        <w:rPr>
          <w:rFonts w:ascii="宋体" w:hAnsi="宋体"/>
          <w:b/>
          <w:sz w:val="36"/>
          <w:szCs w:val="36"/>
        </w:rPr>
      </w:pPr>
      <w:r w:rsidRPr="0097021E">
        <w:rPr>
          <w:rFonts w:ascii="宋体" w:hAnsi="宋体"/>
          <w:b/>
          <w:sz w:val="36"/>
          <w:szCs w:val="36"/>
        </w:rPr>
        <w:t>易方达保证金收益货币市场基金</w:t>
      </w:r>
    </w:p>
    <w:p w:rsidR="00941F6C" w:rsidRPr="0097021E" w:rsidRDefault="00941F6C"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941F6C" w:rsidRPr="004F32E4" w:rsidRDefault="00941F6C" w:rsidP="0002085F">
      <w:pPr>
        <w:spacing w:line="360" w:lineRule="auto"/>
        <w:jc w:val="center"/>
        <w:rPr>
          <w:rFonts w:ascii="宋体" w:hAnsi="宋体"/>
          <w:b/>
          <w:sz w:val="24"/>
          <w:szCs w:val="36"/>
        </w:rPr>
      </w:pPr>
      <w:r w:rsidRPr="004F32E4">
        <w:rPr>
          <w:rFonts w:ascii="宋体" w:hAnsi="宋体"/>
          <w:b/>
          <w:sz w:val="24"/>
          <w:szCs w:val="36"/>
        </w:rPr>
        <w:t>2019年9月30日</w:t>
      </w: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rPr>
          <w:rFonts w:ascii="宋体"/>
          <w:b/>
          <w:color w:val="000000"/>
          <w:sz w:val="24"/>
        </w:rPr>
      </w:pPr>
    </w:p>
    <w:p w:rsidR="00941F6C" w:rsidRPr="0097021E" w:rsidRDefault="00941F6C" w:rsidP="00DC22A1">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941F6C" w:rsidRPr="0097021E" w:rsidRDefault="00941F6C" w:rsidP="00DC22A1">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交通银行股份有限公司</w:t>
      </w:r>
    </w:p>
    <w:p w:rsidR="00941F6C" w:rsidRPr="0097021E" w:rsidRDefault="00941F6C" w:rsidP="00DC22A1">
      <w:pPr>
        <w:spacing w:line="360" w:lineRule="auto"/>
        <w:ind w:firstLineChars="900" w:firstLine="2168"/>
        <w:rPr>
          <w:rFonts w:ascii="宋体" w:hAnsi="宋体"/>
          <w:b/>
          <w:color w:val="000000"/>
          <w:sz w:val="24"/>
        </w:rPr>
        <w:sectPr w:rsidR="00941F6C"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941F6C" w:rsidRPr="0097021E" w:rsidRDefault="00941F6C" w:rsidP="00CE0B87">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262A93" w:rsidRDefault="00D26E5E">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62A93" w:rsidRDefault="00D26E5E">
      <w:pPr>
        <w:adjustRightInd w:val="0"/>
        <w:spacing w:line="360" w:lineRule="auto"/>
        <w:ind w:firstLineChars="200" w:firstLine="480"/>
        <w:rPr>
          <w:color w:val="000000"/>
          <w:sz w:val="24"/>
        </w:rPr>
      </w:pPr>
      <w:r>
        <w:rPr>
          <w:color w:val="000000"/>
          <w:sz w:val="24"/>
        </w:rPr>
        <w:t>基金托管人交通银行股份有限公司根据本基金合同规定，于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62A93" w:rsidRDefault="00D26E5E">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62A93" w:rsidRDefault="00D26E5E">
      <w:pPr>
        <w:adjustRightInd w:val="0"/>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262A93" w:rsidRDefault="00D26E5E">
      <w:pPr>
        <w:adjustRightInd w:val="0"/>
        <w:spacing w:line="360" w:lineRule="auto"/>
        <w:ind w:firstLineChars="200" w:firstLine="480"/>
        <w:rPr>
          <w:color w:val="000000"/>
          <w:sz w:val="24"/>
        </w:rPr>
      </w:pPr>
      <w:r>
        <w:rPr>
          <w:color w:val="000000"/>
          <w:sz w:val="24"/>
        </w:rPr>
        <w:t>本报告中财务资料未经审计。</w:t>
      </w:r>
    </w:p>
    <w:p w:rsidR="00941F6C" w:rsidRPr="00A15461" w:rsidRDefault="00941F6C" w:rsidP="00DC22A1">
      <w:pPr>
        <w:adjustRightInd w:val="0"/>
        <w:spacing w:line="360" w:lineRule="auto"/>
        <w:ind w:firstLineChars="200" w:firstLine="480"/>
        <w:rPr>
          <w:color w:val="000000"/>
          <w:sz w:val="24"/>
        </w:rPr>
      </w:pPr>
      <w:r w:rsidRPr="00A15461">
        <w:rPr>
          <w:color w:val="000000"/>
          <w:sz w:val="24"/>
        </w:rPr>
        <w:t>本报告期自</w:t>
      </w:r>
      <w:r w:rsidRPr="00A15461">
        <w:rPr>
          <w:color w:val="000000"/>
          <w:sz w:val="24"/>
        </w:rPr>
        <w:t>2019</w:t>
      </w:r>
      <w:r w:rsidRPr="00A15461">
        <w:rPr>
          <w:color w:val="000000"/>
          <w:sz w:val="24"/>
        </w:rPr>
        <w:t>年</w:t>
      </w:r>
      <w:r w:rsidRPr="00A15461">
        <w:rPr>
          <w:color w:val="000000"/>
          <w:sz w:val="24"/>
        </w:rPr>
        <w:t>7</w:t>
      </w:r>
      <w:r w:rsidRPr="00A15461">
        <w:rPr>
          <w:color w:val="000000"/>
          <w:sz w:val="24"/>
        </w:rPr>
        <w:t>月</w:t>
      </w:r>
      <w:r w:rsidRPr="00A15461">
        <w:rPr>
          <w:color w:val="000000"/>
          <w:sz w:val="24"/>
        </w:rPr>
        <w:t>1</w:t>
      </w:r>
      <w:r w:rsidRPr="00A15461">
        <w:rPr>
          <w:color w:val="000000"/>
          <w:sz w:val="24"/>
        </w:rPr>
        <w:t>日起至</w:t>
      </w:r>
      <w:r w:rsidRPr="00A15461">
        <w:rPr>
          <w:color w:val="000000"/>
          <w:sz w:val="24"/>
        </w:rPr>
        <w:t>9</w:t>
      </w:r>
      <w:r w:rsidRPr="00A15461">
        <w:rPr>
          <w:color w:val="000000"/>
          <w:sz w:val="24"/>
        </w:rPr>
        <w:t>月</w:t>
      </w:r>
      <w:r w:rsidRPr="00A15461">
        <w:rPr>
          <w:color w:val="000000"/>
          <w:sz w:val="24"/>
        </w:rPr>
        <w:t>30</w:t>
      </w:r>
      <w:r w:rsidRPr="00A15461">
        <w:rPr>
          <w:color w:val="000000"/>
          <w:sz w:val="24"/>
        </w:rPr>
        <w:t>日止。</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941F6C" w:rsidRPr="0097021E" w:rsidTr="00F11244">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基金简称</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易方达保证金货币</w:t>
            </w:r>
          </w:p>
        </w:tc>
      </w:tr>
      <w:tr w:rsidR="004C44F3" w:rsidRPr="0097021E" w:rsidTr="003C6293">
        <w:tc>
          <w:tcPr>
            <w:tcW w:w="2835" w:type="dxa"/>
            <w:vAlign w:val="center"/>
          </w:tcPr>
          <w:p w:rsidR="004C44F3" w:rsidRPr="00A15461" w:rsidRDefault="004C44F3" w:rsidP="00AF756E">
            <w:pPr>
              <w:adjustRightInd w:val="0"/>
              <w:spacing w:before="29" w:line="360" w:lineRule="auto"/>
              <w:ind w:left="17"/>
              <w:jc w:val="left"/>
              <w:rPr>
                <w:kern w:val="0"/>
                <w:sz w:val="24"/>
              </w:rPr>
            </w:pPr>
            <w:r w:rsidRPr="00A15461">
              <w:rPr>
                <w:kern w:val="0"/>
                <w:sz w:val="24"/>
              </w:rPr>
              <w:t>场内简称</w:t>
            </w:r>
          </w:p>
        </w:tc>
        <w:tc>
          <w:tcPr>
            <w:tcW w:w="5479" w:type="dxa"/>
            <w:gridSpan w:val="2"/>
            <w:vAlign w:val="center"/>
          </w:tcPr>
          <w:p w:rsidR="004C44F3" w:rsidRPr="00A15461" w:rsidRDefault="004C44F3" w:rsidP="00AF756E">
            <w:pPr>
              <w:adjustRightInd w:val="0"/>
              <w:spacing w:before="29" w:line="360" w:lineRule="auto"/>
              <w:ind w:left="17"/>
              <w:jc w:val="left"/>
              <w:rPr>
                <w:kern w:val="0"/>
                <w:sz w:val="24"/>
              </w:rPr>
            </w:pPr>
            <w:r w:rsidRPr="00A15461">
              <w:rPr>
                <w:kern w:val="0"/>
                <w:sz w:val="24"/>
              </w:rPr>
              <w:t>保证金</w:t>
            </w:r>
          </w:p>
        </w:tc>
      </w:tr>
      <w:tr w:rsidR="00941F6C" w:rsidRPr="0097021E" w:rsidTr="00D06255">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基金主代码</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159001</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基金运作方式</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契约型开放式</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基金合同生效日</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2013</w:t>
            </w:r>
            <w:r w:rsidRPr="00A15461">
              <w:rPr>
                <w:color w:val="000000"/>
                <w:kern w:val="0"/>
                <w:sz w:val="24"/>
              </w:rPr>
              <w:t>年</w:t>
            </w:r>
            <w:r w:rsidRPr="00A15461">
              <w:rPr>
                <w:color w:val="000000"/>
                <w:kern w:val="0"/>
                <w:sz w:val="24"/>
              </w:rPr>
              <w:t>3</w:t>
            </w:r>
            <w:r w:rsidRPr="00A15461">
              <w:rPr>
                <w:color w:val="000000"/>
                <w:kern w:val="0"/>
                <w:sz w:val="24"/>
              </w:rPr>
              <w:t>月</w:t>
            </w:r>
            <w:r w:rsidRPr="00A15461">
              <w:rPr>
                <w:color w:val="000000"/>
                <w:kern w:val="0"/>
                <w:sz w:val="24"/>
              </w:rPr>
              <w:t>29</w:t>
            </w:r>
            <w:r w:rsidRPr="00A15461">
              <w:rPr>
                <w:color w:val="000000"/>
                <w:kern w:val="0"/>
                <w:sz w:val="24"/>
              </w:rPr>
              <w:t>日</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报告期末基金份额总额</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5,205,470.00</w:t>
            </w:r>
            <w:r w:rsidRPr="00A15461">
              <w:rPr>
                <w:color w:val="000000"/>
                <w:kern w:val="0"/>
                <w:sz w:val="24"/>
              </w:rPr>
              <w:t>份</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投资目标</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在有效控制投资风险和保持高流动性的基础上，力争获得高于业绩比较基准的投资回报。</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投资策略</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利用定性分析和定量分析方法，通过对短期金融工具的积极投资，在有效控制投资风险和保持高流动性的基础上，力争获得高于业绩比较基准的投资回</w:t>
            </w:r>
            <w:r w:rsidRPr="00A15461">
              <w:rPr>
                <w:color w:val="000000"/>
                <w:kern w:val="0"/>
                <w:sz w:val="24"/>
              </w:rPr>
              <w:lastRenderedPageBreak/>
              <w:t>报。</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lastRenderedPageBreak/>
              <w:t>业绩比较基准</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中国人民银行公布的活期存款基准利率的税后收益率，即活期存款基准利率</w:t>
            </w:r>
            <w:r w:rsidRPr="00A15461">
              <w:rPr>
                <w:color w:val="000000"/>
                <w:kern w:val="0"/>
                <w:sz w:val="24"/>
              </w:rPr>
              <w:t>×(1</w:t>
            </w:r>
            <w:r w:rsidRPr="00A15461">
              <w:rPr>
                <w:color w:val="000000"/>
                <w:kern w:val="0"/>
                <w:sz w:val="24"/>
              </w:rPr>
              <w:t>－利息税税率</w:t>
            </w:r>
            <w:r w:rsidRPr="00A15461">
              <w:rPr>
                <w:color w:val="000000"/>
                <w:kern w:val="0"/>
                <w:sz w:val="24"/>
              </w:rPr>
              <w:t>)</w:t>
            </w:r>
          </w:p>
        </w:tc>
      </w:tr>
      <w:tr w:rsidR="00941F6C" w:rsidRPr="0097021E" w:rsidTr="00F11244">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风险收益特征</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本基金为货币市场基金，是证券投资基金中的低风险品种。本基金的风险和预期收益低于股票型基金、混合型基金、债券型基金。</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基金管理人</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易方达基金管理有限公司</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基金托管人</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交通银行股份有限公司</w:t>
            </w:r>
          </w:p>
        </w:tc>
      </w:tr>
      <w:tr w:rsidR="00941F6C" w:rsidRPr="0097021E" w:rsidTr="00F11244">
        <w:tc>
          <w:tcPr>
            <w:tcW w:w="2835" w:type="dxa"/>
          </w:tcPr>
          <w:p w:rsidR="00941F6C" w:rsidRPr="00A15461" w:rsidRDefault="00941F6C" w:rsidP="00607D19">
            <w:pPr>
              <w:adjustRightInd w:val="0"/>
              <w:spacing w:before="29" w:line="360" w:lineRule="auto"/>
              <w:ind w:left="17"/>
              <w:jc w:val="left"/>
              <w:rPr>
                <w:kern w:val="0"/>
                <w:sz w:val="24"/>
              </w:rPr>
            </w:pPr>
            <w:r w:rsidRPr="00A15461">
              <w:rPr>
                <w:color w:val="000000"/>
                <w:sz w:val="24"/>
              </w:rPr>
              <w:t>下属</w:t>
            </w:r>
            <w:r w:rsidR="00607D19" w:rsidRPr="00A15461">
              <w:rPr>
                <w:color w:val="000000"/>
                <w:sz w:val="24"/>
              </w:rPr>
              <w:t>分</w:t>
            </w:r>
            <w:r w:rsidRPr="00A15461">
              <w:rPr>
                <w:color w:val="000000"/>
                <w:sz w:val="24"/>
              </w:rPr>
              <w:t>级基金的基金简称</w:t>
            </w:r>
          </w:p>
        </w:tc>
        <w:tc>
          <w:tcPr>
            <w:tcW w:w="2739" w:type="dxa"/>
            <w:vAlign w:val="center"/>
          </w:tcPr>
          <w:p w:rsidR="00941F6C" w:rsidRPr="00A15461" w:rsidRDefault="00941F6C" w:rsidP="00196812">
            <w:pPr>
              <w:spacing w:line="360" w:lineRule="auto"/>
              <w:jc w:val="left"/>
              <w:rPr>
                <w:sz w:val="24"/>
              </w:rPr>
            </w:pPr>
            <w:r w:rsidRPr="00A15461">
              <w:rPr>
                <w:sz w:val="24"/>
              </w:rPr>
              <w:t>易方达保证金货币</w:t>
            </w:r>
            <w:r w:rsidRPr="00A15461">
              <w:rPr>
                <w:sz w:val="24"/>
              </w:rPr>
              <w:t>A</w:t>
            </w:r>
          </w:p>
        </w:tc>
        <w:tc>
          <w:tcPr>
            <w:tcW w:w="2740" w:type="dxa"/>
            <w:vAlign w:val="center"/>
          </w:tcPr>
          <w:p w:rsidR="00941F6C" w:rsidRPr="00A15461" w:rsidRDefault="00941F6C" w:rsidP="00196812">
            <w:pPr>
              <w:spacing w:line="360" w:lineRule="auto"/>
              <w:jc w:val="left"/>
              <w:rPr>
                <w:sz w:val="24"/>
              </w:rPr>
            </w:pPr>
            <w:r w:rsidRPr="00A15461">
              <w:rPr>
                <w:sz w:val="24"/>
              </w:rPr>
              <w:t>易方达保证金货币</w:t>
            </w:r>
            <w:r w:rsidRPr="00A15461">
              <w:rPr>
                <w:sz w:val="24"/>
              </w:rPr>
              <w:t>B</w:t>
            </w:r>
          </w:p>
        </w:tc>
      </w:tr>
      <w:tr w:rsidR="00941F6C" w:rsidRPr="0097021E" w:rsidTr="00F11244">
        <w:tc>
          <w:tcPr>
            <w:tcW w:w="2835" w:type="dxa"/>
          </w:tcPr>
          <w:p w:rsidR="00941F6C" w:rsidRPr="00A15461" w:rsidRDefault="00941F6C" w:rsidP="00607D19">
            <w:pPr>
              <w:adjustRightInd w:val="0"/>
              <w:spacing w:before="29" w:line="360" w:lineRule="auto"/>
              <w:ind w:left="17"/>
              <w:jc w:val="left"/>
              <w:rPr>
                <w:color w:val="000000"/>
                <w:sz w:val="24"/>
              </w:rPr>
            </w:pPr>
            <w:r w:rsidRPr="00A15461">
              <w:rPr>
                <w:color w:val="000000"/>
                <w:sz w:val="24"/>
              </w:rPr>
              <w:t>下属</w:t>
            </w:r>
            <w:r w:rsidR="00607D19" w:rsidRPr="00A15461">
              <w:rPr>
                <w:color w:val="000000"/>
                <w:sz w:val="24"/>
              </w:rPr>
              <w:t>分</w:t>
            </w:r>
            <w:r w:rsidRPr="00A15461">
              <w:rPr>
                <w:color w:val="000000"/>
                <w:sz w:val="24"/>
              </w:rPr>
              <w:t>级基金的交易代码</w:t>
            </w:r>
          </w:p>
        </w:tc>
        <w:tc>
          <w:tcPr>
            <w:tcW w:w="2739" w:type="dxa"/>
            <w:vAlign w:val="center"/>
          </w:tcPr>
          <w:p w:rsidR="00941F6C" w:rsidRPr="00A15461" w:rsidRDefault="00941F6C" w:rsidP="00196812">
            <w:pPr>
              <w:spacing w:line="360" w:lineRule="auto"/>
              <w:jc w:val="left"/>
              <w:rPr>
                <w:sz w:val="24"/>
              </w:rPr>
            </w:pPr>
            <w:r w:rsidRPr="00A15461">
              <w:rPr>
                <w:sz w:val="24"/>
              </w:rPr>
              <w:t>159001</w:t>
            </w:r>
          </w:p>
        </w:tc>
        <w:tc>
          <w:tcPr>
            <w:tcW w:w="2740" w:type="dxa"/>
            <w:vAlign w:val="center"/>
          </w:tcPr>
          <w:p w:rsidR="00941F6C" w:rsidRPr="00A15461" w:rsidRDefault="00941F6C" w:rsidP="00196812">
            <w:pPr>
              <w:spacing w:line="360" w:lineRule="auto"/>
              <w:jc w:val="left"/>
              <w:rPr>
                <w:sz w:val="24"/>
              </w:rPr>
            </w:pPr>
            <w:r w:rsidRPr="00A15461">
              <w:rPr>
                <w:sz w:val="24"/>
              </w:rPr>
              <w:t>159002</w:t>
            </w:r>
          </w:p>
        </w:tc>
      </w:tr>
      <w:tr w:rsidR="00941F6C" w:rsidRPr="0097021E" w:rsidTr="00F11244">
        <w:tc>
          <w:tcPr>
            <w:tcW w:w="2835" w:type="dxa"/>
          </w:tcPr>
          <w:p w:rsidR="00941F6C" w:rsidRPr="00A15461" w:rsidRDefault="00941F6C" w:rsidP="00607D19">
            <w:pPr>
              <w:adjustRightInd w:val="0"/>
              <w:spacing w:before="29" w:line="360" w:lineRule="auto"/>
              <w:ind w:left="17"/>
              <w:jc w:val="left"/>
              <w:rPr>
                <w:color w:val="000000"/>
                <w:sz w:val="24"/>
              </w:rPr>
            </w:pPr>
            <w:r w:rsidRPr="00A15461">
              <w:rPr>
                <w:color w:val="000000"/>
                <w:sz w:val="24"/>
              </w:rPr>
              <w:t>报告期末下属</w:t>
            </w:r>
            <w:r w:rsidR="00607D19" w:rsidRPr="00A15461">
              <w:rPr>
                <w:color w:val="000000"/>
                <w:sz w:val="24"/>
              </w:rPr>
              <w:t>分</w:t>
            </w:r>
            <w:r w:rsidRPr="00A15461">
              <w:rPr>
                <w:color w:val="000000"/>
                <w:sz w:val="24"/>
              </w:rPr>
              <w:t>级基金的份额总额</w:t>
            </w:r>
          </w:p>
        </w:tc>
        <w:tc>
          <w:tcPr>
            <w:tcW w:w="2739" w:type="dxa"/>
            <w:vAlign w:val="center"/>
          </w:tcPr>
          <w:p w:rsidR="00941F6C" w:rsidRPr="00A15461" w:rsidRDefault="00941F6C" w:rsidP="00196812">
            <w:pPr>
              <w:spacing w:line="360" w:lineRule="auto"/>
              <w:jc w:val="left"/>
              <w:rPr>
                <w:sz w:val="24"/>
              </w:rPr>
            </w:pPr>
            <w:r w:rsidRPr="00A15461">
              <w:rPr>
                <w:sz w:val="24"/>
              </w:rPr>
              <w:t>1,945,957.00</w:t>
            </w:r>
            <w:r w:rsidRPr="00A15461">
              <w:rPr>
                <w:sz w:val="24"/>
              </w:rPr>
              <w:t>份</w:t>
            </w:r>
          </w:p>
        </w:tc>
        <w:tc>
          <w:tcPr>
            <w:tcW w:w="2740" w:type="dxa"/>
            <w:vAlign w:val="center"/>
          </w:tcPr>
          <w:p w:rsidR="00941F6C" w:rsidRPr="00A15461" w:rsidRDefault="00941F6C" w:rsidP="00196812">
            <w:pPr>
              <w:spacing w:line="360" w:lineRule="auto"/>
              <w:jc w:val="left"/>
              <w:rPr>
                <w:sz w:val="24"/>
              </w:rPr>
            </w:pPr>
            <w:r w:rsidRPr="00A15461">
              <w:rPr>
                <w:sz w:val="24"/>
              </w:rPr>
              <w:t>3,259,513.00</w:t>
            </w:r>
            <w:r w:rsidRPr="00A15461">
              <w:rPr>
                <w:sz w:val="24"/>
              </w:rPr>
              <w:t>份</w:t>
            </w:r>
          </w:p>
        </w:tc>
      </w:tr>
    </w:tbl>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941F6C" w:rsidRPr="0097021E" w:rsidRDefault="00941F6C"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941F6C" w:rsidRPr="00A15461" w:rsidTr="00F11244">
        <w:tc>
          <w:tcPr>
            <w:tcW w:w="3402" w:type="dxa"/>
            <w:vMerge w:val="restart"/>
            <w:vAlign w:val="center"/>
          </w:tcPr>
          <w:p w:rsidR="00941F6C" w:rsidRPr="00A15461" w:rsidRDefault="00941F6C" w:rsidP="00196812">
            <w:pPr>
              <w:adjustRightInd w:val="0"/>
              <w:spacing w:before="29" w:line="360" w:lineRule="auto"/>
              <w:ind w:left="17"/>
              <w:jc w:val="center"/>
              <w:rPr>
                <w:kern w:val="0"/>
                <w:sz w:val="24"/>
              </w:rPr>
            </w:pPr>
            <w:r w:rsidRPr="00A15461">
              <w:rPr>
                <w:kern w:val="0"/>
                <w:sz w:val="24"/>
              </w:rPr>
              <w:t>主要财务指标</w:t>
            </w:r>
          </w:p>
        </w:tc>
        <w:tc>
          <w:tcPr>
            <w:tcW w:w="4962" w:type="dxa"/>
            <w:gridSpan w:val="2"/>
            <w:vAlign w:val="center"/>
          </w:tcPr>
          <w:p w:rsidR="00941F6C" w:rsidRPr="00A15461" w:rsidRDefault="00941F6C" w:rsidP="00196812">
            <w:pPr>
              <w:adjustRightInd w:val="0"/>
              <w:spacing w:before="29" w:line="360" w:lineRule="auto"/>
              <w:ind w:left="17"/>
              <w:jc w:val="center"/>
              <w:rPr>
                <w:color w:val="000000"/>
                <w:sz w:val="24"/>
              </w:rPr>
            </w:pPr>
            <w:r w:rsidRPr="00A15461">
              <w:rPr>
                <w:color w:val="000000"/>
                <w:sz w:val="24"/>
              </w:rPr>
              <w:t>报告期</w:t>
            </w:r>
            <w:r w:rsidRPr="00A15461">
              <w:rPr>
                <w:color w:val="000000"/>
                <w:sz w:val="24"/>
              </w:rPr>
              <w:t>(2019</w:t>
            </w:r>
            <w:r w:rsidRPr="00A15461">
              <w:rPr>
                <w:color w:val="000000"/>
                <w:sz w:val="24"/>
              </w:rPr>
              <w:t>年</w:t>
            </w:r>
            <w:r w:rsidRPr="00A15461">
              <w:rPr>
                <w:color w:val="000000"/>
                <w:sz w:val="24"/>
              </w:rPr>
              <w:t>7</w:t>
            </w:r>
            <w:r w:rsidRPr="00A15461">
              <w:rPr>
                <w:color w:val="000000"/>
                <w:sz w:val="24"/>
              </w:rPr>
              <w:t>月</w:t>
            </w:r>
            <w:r w:rsidRPr="00A15461">
              <w:rPr>
                <w:color w:val="000000"/>
                <w:sz w:val="24"/>
              </w:rPr>
              <w:t>1</w:t>
            </w:r>
            <w:r w:rsidRPr="00A15461">
              <w:rPr>
                <w:color w:val="000000"/>
                <w:sz w:val="24"/>
              </w:rPr>
              <w:t>日</w:t>
            </w:r>
            <w:r w:rsidRPr="00A15461">
              <w:rPr>
                <w:color w:val="000000"/>
                <w:sz w:val="24"/>
              </w:rPr>
              <w:t>-2019</w:t>
            </w:r>
            <w:r w:rsidRPr="00A15461">
              <w:rPr>
                <w:color w:val="000000"/>
                <w:sz w:val="24"/>
              </w:rPr>
              <w:t>年</w:t>
            </w:r>
            <w:r w:rsidRPr="00A15461">
              <w:rPr>
                <w:color w:val="000000"/>
                <w:sz w:val="24"/>
              </w:rPr>
              <w:t>9</w:t>
            </w:r>
            <w:r w:rsidRPr="00A15461">
              <w:rPr>
                <w:color w:val="000000"/>
                <w:sz w:val="24"/>
              </w:rPr>
              <w:t>月</w:t>
            </w:r>
            <w:r w:rsidRPr="00A15461">
              <w:rPr>
                <w:color w:val="000000"/>
                <w:sz w:val="24"/>
              </w:rPr>
              <w:t>30</w:t>
            </w:r>
            <w:r w:rsidRPr="00A15461">
              <w:rPr>
                <w:color w:val="000000"/>
                <w:sz w:val="24"/>
              </w:rPr>
              <w:t>日</w:t>
            </w:r>
            <w:r w:rsidRPr="00A15461">
              <w:rPr>
                <w:color w:val="000000"/>
                <w:sz w:val="24"/>
              </w:rPr>
              <w:t>)</w:t>
            </w:r>
          </w:p>
        </w:tc>
      </w:tr>
      <w:tr w:rsidR="00941F6C" w:rsidRPr="00A15461" w:rsidTr="00F11244">
        <w:tc>
          <w:tcPr>
            <w:tcW w:w="3402" w:type="dxa"/>
            <w:vMerge/>
            <w:vAlign w:val="center"/>
          </w:tcPr>
          <w:p w:rsidR="00941F6C" w:rsidRPr="00A15461" w:rsidRDefault="00941F6C" w:rsidP="00196812">
            <w:pPr>
              <w:adjustRightInd w:val="0"/>
              <w:spacing w:before="29" w:line="360" w:lineRule="auto"/>
              <w:ind w:left="17"/>
              <w:jc w:val="center"/>
              <w:rPr>
                <w:kern w:val="0"/>
                <w:sz w:val="24"/>
              </w:rPr>
            </w:pPr>
          </w:p>
        </w:tc>
        <w:tc>
          <w:tcPr>
            <w:tcW w:w="2481" w:type="dxa"/>
            <w:vAlign w:val="center"/>
          </w:tcPr>
          <w:p w:rsidR="00941F6C" w:rsidRPr="00A15461" w:rsidRDefault="00941F6C" w:rsidP="00196812">
            <w:pPr>
              <w:adjustRightInd w:val="0"/>
              <w:spacing w:before="29" w:line="360" w:lineRule="auto"/>
              <w:ind w:left="17"/>
              <w:jc w:val="center"/>
              <w:rPr>
                <w:color w:val="000000"/>
                <w:sz w:val="24"/>
              </w:rPr>
            </w:pPr>
            <w:r w:rsidRPr="00A15461">
              <w:rPr>
                <w:sz w:val="24"/>
              </w:rPr>
              <w:t>易方达保证金货币</w:t>
            </w:r>
            <w:r w:rsidRPr="00A15461">
              <w:rPr>
                <w:sz w:val="24"/>
              </w:rPr>
              <w:t>A</w:t>
            </w:r>
          </w:p>
        </w:tc>
        <w:tc>
          <w:tcPr>
            <w:tcW w:w="2481" w:type="dxa"/>
            <w:vAlign w:val="center"/>
          </w:tcPr>
          <w:p w:rsidR="00941F6C" w:rsidRPr="00A15461" w:rsidRDefault="00941F6C" w:rsidP="00196812">
            <w:pPr>
              <w:adjustRightInd w:val="0"/>
              <w:spacing w:before="29" w:line="360" w:lineRule="auto"/>
              <w:ind w:left="17"/>
              <w:jc w:val="center"/>
              <w:rPr>
                <w:color w:val="000000"/>
                <w:sz w:val="24"/>
              </w:rPr>
            </w:pPr>
            <w:r w:rsidRPr="00A15461">
              <w:rPr>
                <w:sz w:val="24"/>
              </w:rPr>
              <w:t>易方达保证金货币</w:t>
            </w:r>
            <w:r w:rsidRPr="00A15461">
              <w:rPr>
                <w:sz w:val="24"/>
              </w:rPr>
              <w:t>B</w:t>
            </w:r>
          </w:p>
        </w:tc>
      </w:tr>
      <w:tr w:rsidR="00941F6C" w:rsidRPr="00A15461" w:rsidTr="00F11244">
        <w:trPr>
          <w:trHeight w:val="840"/>
        </w:trPr>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1.</w:t>
            </w:r>
            <w:r w:rsidRPr="00A15461">
              <w:rPr>
                <w:kern w:val="0"/>
                <w:sz w:val="24"/>
              </w:rPr>
              <w:t>本期已实现收益</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1,030,186.90</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1,903,380.12</w:t>
            </w:r>
          </w:p>
        </w:tc>
      </w:tr>
      <w:tr w:rsidR="00941F6C" w:rsidRPr="00A15461" w:rsidTr="00F11244">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2.</w:t>
            </w:r>
            <w:r w:rsidRPr="00A15461">
              <w:rPr>
                <w:kern w:val="0"/>
                <w:sz w:val="24"/>
              </w:rPr>
              <w:t>本期利润</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1,030,186.90</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1,903,380.12</w:t>
            </w:r>
          </w:p>
        </w:tc>
      </w:tr>
      <w:tr w:rsidR="00941F6C" w:rsidRPr="00A15461" w:rsidTr="00F11244">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3.</w:t>
            </w:r>
            <w:r w:rsidRPr="00A15461">
              <w:rPr>
                <w:kern w:val="0"/>
                <w:sz w:val="24"/>
              </w:rPr>
              <w:t>期末基金资产净值</w:t>
            </w:r>
          </w:p>
        </w:tc>
        <w:tc>
          <w:tcPr>
            <w:tcW w:w="2481" w:type="dxa"/>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194,595,700.00</w:t>
            </w:r>
          </w:p>
        </w:tc>
        <w:tc>
          <w:tcPr>
            <w:tcW w:w="2481" w:type="dxa"/>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325,951,300.00</w:t>
            </w:r>
          </w:p>
        </w:tc>
      </w:tr>
    </w:tbl>
    <w:p w:rsidR="00262A93" w:rsidRDefault="00D26E5E">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w:t>
      </w:r>
      <w:r>
        <w:rPr>
          <w:color w:val="000000"/>
          <w:sz w:val="24"/>
        </w:rPr>
        <w:lastRenderedPageBreak/>
        <w:t>益和本期利润的金额相等。</w:t>
      </w:r>
    </w:p>
    <w:p w:rsidR="00262A93" w:rsidRDefault="00D26E5E">
      <w:pPr>
        <w:adjustRightInd w:val="0"/>
        <w:spacing w:line="360" w:lineRule="auto"/>
        <w:ind w:firstLineChars="200" w:firstLine="480"/>
        <w:rPr>
          <w:color w:val="000000"/>
          <w:sz w:val="24"/>
        </w:rPr>
      </w:pPr>
      <w:r>
        <w:rPr>
          <w:color w:val="000000"/>
          <w:sz w:val="24"/>
        </w:rPr>
        <w:t>2.</w:t>
      </w:r>
      <w:r>
        <w:rPr>
          <w:color w:val="000000"/>
          <w:sz w:val="24"/>
        </w:rPr>
        <w:t>本基金利润分配是按月结转份额。</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3.</w:t>
      </w:r>
      <w:r w:rsidRPr="00A15461">
        <w:rPr>
          <w:color w:val="000000"/>
          <w:sz w:val="24"/>
        </w:rPr>
        <w:t>本基金已于</w:t>
      </w:r>
      <w:r w:rsidRPr="00A15461">
        <w:rPr>
          <w:color w:val="000000"/>
          <w:sz w:val="24"/>
        </w:rPr>
        <w:t>2014</w:t>
      </w:r>
      <w:r w:rsidRPr="00A15461">
        <w:rPr>
          <w:color w:val="000000"/>
          <w:sz w:val="24"/>
        </w:rPr>
        <w:t>年</w:t>
      </w:r>
      <w:r w:rsidRPr="00A15461">
        <w:rPr>
          <w:color w:val="000000"/>
          <w:sz w:val="24"/>
        </w:rPr>
        <w:t>10</w:t>
      </w:r>
      <w:r w:rsidRPr="00A15461">
        <w:rPr>
          <w:color w:val="000000"/>
          <w:sz w:val="24"/>
        </w:rPr>
        <w:t>月</w:t>
      </w:r>
      <w:r w:rsidRPr="00A15461">
        <w:rPr>
          <w:color w:val="000000"/>
          <w:sz w:val="24"/>
        </w:rPr>
        <w:t>13</w:t>
      </w:r>
      <w:r w:rsidRPr="00A15461">
        <w:rPr>
          <w:color w:val="000000"/>
          <w:sz w:val="24"/>
        </w:rPr>
        <w:t>日进行了基金份额折算，每</w:t>
      </w:r>
      <w:r w:rsidRPr="00A15461">
        <w:rPr>
          <w:color w:val="000000"/>
          <w:sz w:val="24"/>
        </w:rPr>
        <w:t>100</w:t>
      </w:r>
      <w:r w:rsidRPr="00A15461">
        <w:rPr>
          <w:color w:val="000000"/>
          <w:sz w:val="24"/>
        </w:rPr>
        <w:t>份基金份额相应折算为</w:t>
      </w:r>
      <w:r w:rsidRPr="00A15461">
        <w:rPr>
          <w:color w:val="000000"/>
          <w:sz w:val="24"/>
        </w:rPr>
        <w:t>1</w:t>
      </w:r>
      <w:r w:rsidRPr="00A15461">
        <w:rPr>
          <w:color w:val="000000"/>
          <w:sz w:val="24"/>
        </w:rPr>
        <w:t>份，折算后每份基金份额对应的面值为</w:t>
      </w:r>
      <w:r w:rsidRPr="00A15461">
        <w:rPr>
          <w:color w:val="000000"/>
          <w:sz w:val="24"/>
        </w:rPr>
        <w:t>100.00</w:t>
      </w:r>
      <w:r w:rsidRPr="00A15461">
        <w:rPr>
          <w:color w:val="000000"/>
          <w:sz w:val="24"/>
        </w:rPr>
        <w:t>元。</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941F6C" w:rsidRPr="0097021E" w:rsidRDefault="00941F6C"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3.2.1</w:t>
        </w:r>
      </w:smartTag>
      <w:r w:rsidRPr="0097021E">
        <w:rPr>
          <w:rFonts w:ascii="宋体" w:hAnsi="宋体" w:cs="Arial" w:hint="eastAsia"/>
          <w:b/>
          <w:color w:val="000000"/>
          <w:kern w:val="0"/>
          <w:sz w:val="24"/>
        </w:rPr>
        <w:t>本报告期基金份额净值收益率及其与同期业绩比较基准收益率的比较</w:t>
      </w:r>
    </w:p>
    <w:p w:rsidR="00941F6C" w:rsidRPr="0097021E" w:rsidRDefault="00941F6C" w:rsidP="004C44F3">
      <w:pPr>
        <w:pStyle w:val="20"/>
        <w:spacing w:line="360" w:lineRule="auto"/>
        <w:ind w:firstLine="402"/>
        <w:rPr>
          <w:b/>
        </w:rPr>
      </w:pPr>
      <w:r>
        <w:rPr>
          <w:b/>
        </w:rPr>
        <w:t>易方达保证金货币</w:t>
      </w:r>
      <w:r>
        <w:rPr>
          <w:b/>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941F6C" w:rsidRPr="0097021E" w:rsidTr="00CA7D55">
        <w:tc>
          <w:tcPr>
            <w:tcW w:w="1328"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阶段</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w:t>
            </w:r>
            <w:r w:rsidRPr="00A15461">
              <w:rPr>
                <w:rFonts w:cs="宋体" w:hint="eastAsia"/>
                <w:color w:val="000000"/>
                <w:szCs w:val="24"/>
              </w:rPr>
              <w:t>①</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净值收益率标准差</w:t>
            </w:r>
            <w:r w:rsidRPr="00A15461">
              <w:rPr>
                <w:rFonts w:cs="宋体" w:hint="eastAsia"/>
                <w:color w:val="000000"/>
                <w:szCs w:val="24"/>
              </w:rPr>
              <w:t>②</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业绩比较基准收益率标准差</w:t>
            </w:r>
            <w:r w:rsidRPr="00A15461">
              <w:rPr>
                <w:rFonts w:cs="宋体" w:hint="eastAsia"/>
                <w:color w:val="000000"/>
                <w:szCs w:val="24"/>
              </w:rPr>
              <w:t>④</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①</w:t>
            </w:r>
            <w:r w:rsidRPr="00A15461">
              <w:rPr>
                <w:rFonts w:ascii="Times New Roman" w:hAnsi="Times New Roman"/>
                <w:color w:val="000000"/>
                <w:szCs w:val="24"/>
              </w:rPr>
              <w:t>-</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②</w:t>
            </w:r>
            <w:r w:rsidRPr="00A15461">
              <w:rPr>
                <w:rFonts w:ascii="Times New Roman" w:hAnsi="Times New Roman"/>
                <w:color w:val="000000"/>
                <w:szCs w:val="24"/>
              </w:rPr>
              <w:t>-</w:t>
            </w:r>
            <w:r w:rsidRPr="00A15461">
              <w:rPr>
                <w:rFonts w:cs="宋体" w:hint="eastAsia"/>
                <w:color w:val="000000"/>
                <w:szCs w:val="24"/>
              </w:rPr>
              <w:t>④</w:t>
            </w:r>
          </w:p>
        </w:tc>
      </w:tr>
      <w:tr w:rsidR="00262A93">
        <w:tc>
          <w:tcPr>
            <w:tcW w:w="1328" w:type="dxa"/>
            <w:vAlign w:val="center"/>
          </w:tcPr>
          <w:p w:rsidR="00262A93" w:rsidRDefault="00D26E5E">
            <w:pPr>
              <w:jc w:val="left"/>
            </w:pPr>
            <w:r>
              <w:rPr>
                <w:color w:val="000000"/>
                <w:sz w:val="24"/>
              </w:rPr>
              <w:t>过去三个月</w:t>
            </w:r>
          </w:p>
        </w:tc>
        <w:tc>
          <w:tcPr>
            <w:tcW w:w="1329" w:type="dxa"/>
            <w:vAlign w:val="center"/>
          </w:tcPr>
          <w:p w:rsidR="00262A93" w:rsidRDefault="00D26E5E">
            <w:pPr>
              <w:jc w:val="center"/>
            </w:pPr>
            <w:r>
              <w:rPr>
                <w:color w:val="000000"/>
                <w:sz w:val="24"/>
              </w:rPr>
              <w:t>0.5472%</w:t>
            </w:r>
          </w:p>
        </w:tc>
        <w:tc>
          <w:tcPr>
            <w:tcW w:w="1329" w:type="dxa"/>
            <w:vAlign w:val="center"/>
          </w:tcPr>
          <w:p w:rsidR="00262A93" w:rsidRDefault="00D26E5E">
            <w:pPr>
              <w:jc w:val="center"/>
            </w:pPr>
            <w:r>
              <w:rPr>
                <w:color w:val="000000"/>
                <w:sz w:val="24"/>
              </w:rPr>
              <w:t>0.0007%</w:t>
            </w:r>
          </w:p>
        </w:tc>
        <w:tc>
          <w:tcPr>
            <w:tcW w:w="1329" w:type="dxa"/>
            <w:vAlign w:val="center"/>
          </w:tcPr>
          <w:p w:rsidR="00262A93" w:rsidRDefault="00D26E5E">
            <w:pPr>
              <w:jc w:val="center"/>
            </w:pPr>
            <w:r>
              <w:rPr>
                <w:color w:val="000000"/>
                <w:sz w:val="24"/>
              </w:rPr>
              <w:t>0.0894%</w:t>
            </w:r>
          </w:p>
        </w:tc>
        <w:tc>
          <w:tcPr>
            <w:tcW w:w="1329" w:type="dxa"/>
            <w:vAlign w:val="center"/>
          </w:tcPr>
          <w:p w:rsidR="00262A93" w:rsidRDefault="00D26E5E">
            <w:pPr>
              <w:jc w:val="center"/>
            </w:pPr>
            <w:r>
              <w:rPr>
                <w:color w:val="000000"/>
                <w:sz w:val="24"/>
              </w:rPr>
              <w:t>0.0000%</w:t>
            </w:r>
          </w:p>
        </w:tc>
        <w:tc>
          <w:tcPr>
            <w:tcW w:w="1329" w:type="dxa"/>
            <w:vAlign w:val="center"/>
          </w:tcPr>
          <w:p w:rsidR="00262A93" w:rsidRDefault="00D26E5E">
            <w:pPr>
              <w:jc w:val="center"/>
            </w:pPr>
            <w:r>
              <w:rPr>
                <w:color w:val="000000"/>
                <w:sz w:val="24"/>
              </w:rPr>
              <w:t>0.4578%</w:t>
            </w:r>
          </w:p>
        </w:tc>
        <w:tc>
          <w:tcPr>
            <w:tcW w:w="1329" w:type="dxa"/>
            <w:vAlign w:val="center"/>
          </w:tcPr>
          <w:p w:rsidR="00262A93" w:rsidRDefault="00D26E5E">
            <w:pPr>
              <w:jc w:val="center"/>
            </w:pPr>
            <w:r>
              <w:rPr>
                <w:color w:val="000000"/>
                <w:sz w:val="24"/>
              </w:rPr>
              <w:t>0.0007%</w:t>
            </w:r>
          </w:p>
        </w:tc>
      </w:tr>
    </w:tbl>
    <w:p w:rsidR="00941F6C" w:rsidRPr="0097021E" w:rsidRDefault="00941F6C" w:rsidP="004C44F3">
      <w:pPr>
        <w:pStyle w:val="20"/>
        <w:spacing w:line="360" w:lineRule="auto"/>
        <w:ind w:firstLine="402"/>
        <w:rPr>
          <w:b/>
        </w:rPr>
      </w:pPr>
      <w:r w:rsidRPr="0097021E">
        <w:rPr>
          <w:b/>
          <w:color w:val="000000"/>
        </w:rPr>
        <w:t>易方达保证金货币</w:t>
      </w:r>
      <w:r w:rsidRPr="0097021E">
        <w:rPr>
          <w:b/>
          <w:color w:val="000000"/>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941F6C" w:rsidRPr="0097021E" w:rsidTr="00CA7D55">
        <w:tc>
          <w:tcPr>
            <w:tcW w:w="1328"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阶段</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w:t>
            </w:r>
            <w:r w:rsidRPr="00A15461">
              <w:rPr>
                <w:rFonts w:cs="宋体" w:hint="eastAsia"/>
                <w:color w:val="000000"/>
                <w:szCs w:val="24"/>
              </w:rPr>
              <w:t>①</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净值收益率标准差</w:t>
            </w:r>
            <w:r w:rsidRPr="00A15461">
              <w:rPr>
                <w:rFonts w:cs="宋体" w:hint="eastAsia"/>
                <w:color w:val="000000"/>
                <w:szCs w:val="24"/>
              </w:rPr>
              <w:t>②</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业绩比较基准收益率标准差</w:t>
            </w:r>
            <w:r w:rsidRPr="00A15461">
              <w:rPr>
                <w:rFonts w:cs="宋体" w:hint="eastAsia"/>
                <w:color w:val="000000"/>
                <w:szCs w:val="24"/>
              </w:rPr>
              <w:t>④</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①</w:t>
            </w:r>
            <w:r w:rsidRPr="00A15461">
              <w:rPr>
                <w:rFonts w:ascii="Times New Roman" w:hAnsi="Times New Roman"/>
                <w:color w:val="000000"/>
                <w:szCs w:val="24"/>
              </w:rPr>
              <w:t>-</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②</w:t>
            </w:r>
            <w:r w:rsidRPr="00A15461">
              <w:rPr>
                <w:rFonts w:ascii="Times New Roman" w:hAnsi="Times New Roman"/>
                <w:color w:val="000000"/>
                <w:szCs w:val="24"/>
              </w:rPr>
              <w:t>-</w:t>
            </w:r>
            <w:r w:rsidRPr="00A15461">
              <w:rPr>
                <w:rFonts w:cs="宋体" w:hint="eastAsia"/>
                <w:color w:val="000000"/>
                <w:szCs w:val="24"/>
              </w:rPr>
              <w:t>④</w:t>
            </w:r>
          </w:p>
        </w:tc>
      </w:tr>
      <w:tr w:rsidR="00262A93">
        <w:tc>
          <w:tcPr>
            <w:tcW w:w="1328" w:type="dxa"/>
            <w:vAlign w:val="center"/>
          </w:tcPr>
          <w:p w:rsidR="00262A93" w:rsidRDefault="00D26E5E">
            <w:pPr>
              <w:jc w:val="left"/>
            </w:pPr>
            <w:r>
              <w:rPr>
                <w:color w:val="000000"/>
                <w:sz w:val="24"/>
              </w:rPr>
              <w:t>过去三个月</w:t>
            </w:r>
          </w:p>
        </w:tc>
        <w:tc>
          <w:tcPr>
            <w:tcW w:w="1329" w:type="dxa"/>
            <w:vAlign w:val="center"/>
          </w:tcPr>
          <w:p w:rsidR="00262A93" w:rsidRDefault="00D26E5E">
            <w:pPr>
              <w:jc w:val="center"/>
            </w:pPr>
            <w:r>
              <w:rPr>
                <w:color w:val="000000"/>
                <w:sz w:val="24"/>
              </w:rPr>
              <w:t>0.6105%</w:t>
            </w:r>
          </w:p>
        </w:tc>
        <w:tc>
          <w:tcPr>
            <w:tcW w:w="1329" w:type="dxa"/>
            <w:vAlign w:val="center"/>
          </w:tcPr>
          <w:p w:rsidR="00262A93" w:rsidRDefault="00D26E5E">
            <w:pPr>
              <w:jc w:val="center"/>
            </w:pPr>
            <w:r>
              <w:rPr>
                <w:color w:val="000000"/>
                <w:sz w:val="24"/>
              </w:rPr>
              <w:t>0.0007%</w:t>
            </w:r>
          </w:p>
        </w:tc>
        <w:tc>
          <w:tcPr>
            <w:tcW w:w="1329" w:type="dxa"/>
            <w:vAlign w:val="center"/>
          </w:tcPr>
          <w:p w:rsidR="00262A93" w:rsidRDefault="00D26E5E">
            <w:pPr>
              <w:jc w:val="center"/>
            </w:pPr>
            <w:r>
              <w:rPr>
                <w:color w:val="000000"/>
                <w:sz w:val="24"/>
              </w:rPr>
              <w:t>0.0894%</w:t>
            </w:r>
          </w:p>
        </w:tc>
        <w:tc>
          <w:tcPr>
            <w:tcW w:w="1329" w:type="dxa"/>
            <w:vAlign w:val="center"/>
          </w:tcPr>
          <w:p w:rsidR="00262A93" w:rsidRDefault="00D26E5E">
            <w:pPr>
              <w:jc w:val="center"/>
            </w:pPr>
            <w:r>
              <w:rPr>
                <w:color w:val="000000"/>
                <w:sz w:val="24"/>
              </w:rPr>
              <w:t>0.0000%</w:t>
            </w:r>
          </w:p>
        </w:tc>
        <w:tc>
          <w:tcPr>
            <w:tcW w:w="1329" w:type="dxa"/>
            <w:vAlign w:val="center"/>
          </w:tcPr>
          <w:p w:rsidR="00262A93" w:rsidRDefault="00D26E5E">
            <w:pPr>
              <w:jc w:val="center"/>
            </w:pPr>
            <w:r>
              <w:rPr>
                <w:color w:val="000000"/>
                <w:sz w:val="24"/>
              </w:rPr>
              <w:t>0.5211%</w:t>
            </w:r>
          </w:p>
        </w:tc>
        <w:tc>
          <w:tcPr>
            <w:tcW w:w="1329" w:type="dxa"/>
            <w:vAlign w:val="center"/>
          </w:tcPr>
          <w:p w:rsidR="00262A93" w:rsidRDefault="00D26E5E">
            <w:pPr>
              <w:jc w:val="center"/>
            </w:pPr>
            <w:r>
              <w:rPr>
                <w:color w:val="000000"/>
                <w:sz w:val="24"/>
              </w:rPr>
              <w:t>0.0007%</w:t>
            </w:r>
          </w:p>
        </w:tc>
      </w:tr>
    </w:tbl>
    <w:p w:rsidR="00941F6C" w:rsidRPr="0097021E" w:rsidRDefault="00941F6C"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3.2.2</w:t>
        </w:r>
        <w:r w:rsidR="000C572D" w:rsidRPr="00370BEA">
          <w:rPr>
            <w:rStyle w:val="af"/>
            <w:rFonts w:hint="eastAsia"/>
            <w:color w:val="000000"/>
            <w:sz w:val="24"/>
            <w:shd w:val="clear" w:color="auto" w:fill="FFFFFF"/>
          </w:rPr>
          <w:t>自基金合同生效以来</w:t>
        </w:r>
      </w:smartTag>
      <w:r w:rsidRPr="0097021E">
        <w:rPr>
          <w:rFonts w:ascii="宋体" w:hAnsi="宋体" w:cs="Arial" w:hint="eastAsia"/>
          <w:b/>
          <w:color w:val="000000"/>
          <w:kern w:val="0"/>
          <w:sz w:val="24"/>
        </w:rPr>
        <w:t>基金累计净值收益率变动及其与同期业绩比较基准收益率变动的比较</w:t>
      </w:r>
    </w:p>
    <w:p w:rsidR="00941F6C" w:rsidRPr="00A15461" w:rsidRDefault="00941F6C" w:rsidP="009A755D">
      <w:pPr>
        <w:spacing w:line="360" w:lineRule="auto"/>
        <w:jc w:val="center"/>
        <w:rPr>
          <w:sz w:val="24"/>
        </w:rPr>
      </w:pPr>
      <w:r w:rsidRPr="00A15461">
        <w:rPr>
          <w:sz w:val="24"/>
        </w:rPr>
        <w:t>易方达保证金收益货币市场基金</w:t>
      </w:r>
    </w:p>
    <w:p w:rsidR="00941F6C" w:rsidRPr="00A15461" w:rsidRDefault="00941F6C" w:rsidP="009A755D">
      <w:pPr>
        <w:pStyle w:val="a6"/>
        <w:snapToGrid w:val="0"/>
        <w:spacing w:line="360" w:lineRule="auto"/>
        <w:jc w:val="center"/>
        <w:rPr>
          <w:rFonts w:ascii="Times New Roman" w:hAnsi="Times New Roman"/>
          <w:sz w:val="24"/>
          <w:szCs w:val="24"/>
        </w:rPr>
      </w:pPr>
      <w:r w:rsidRPr="00A15461">
        <w:rPr>
          <w:rFonts w:ascii="Times New Roman" w:hAnsi="Times New Roman"/>
          <w:sz w:val="24"/>
          <w:szCs w:val="24"/>
        </w:rPr>
        <w:t>累计净值收益率与业绩比较基准收益率的历史走势对比图</w:t>
      </w:r>
    </w:p>
    <w:p w:rsidR="00941F6C" w:rsidRPr="00A15461" w:rsidRDefault="00DC22A1" w:rsidP="009A755D">
      <w:pPr>
        <w:spacing w:line="360" w:lineRule="auto"/>
        <w:jc w:val="center"/>
        <w:rPr>
          <w:sz w:val="24"/>
        </w:rPr>
      </w:pPr>
      <w:r w:rsidRPr="00A15461">
        <w:rPr>
          <w:color w:val="000000"/>
          <w:kern w:val="0"/>
          <w:sz w:val="24"/>
        </w:rPr>
        <w:t>（</w:t>
      </w:r>
      <w:r w:rsidRPr="00A15461">
        <w:rPr>
          <w:color w:val="000000"/>
          <w:kern w:val="0"/>
          <w:sz w:val="24"/>
        </w:rPr>
        <w:t>2013</w:t>
      </w:r>
      <w:r w:rsidRPr="00A15461">
        <w:rPr>
          <w:color w:val="000000"/>
          <w:kern w:val="0"/>
          <w:sz w:val="24"/>
        </w:rPr>
        <w:t>年</w:t>
      </w:r>
      <w:r w:rsidRPr="00A15461">
        <w:rPr>
          <w:color w:val="000000"/>
          <w:kern w:val="0"/>
          <w:sz w:val="24"/>
        </w:rPr>
        <w:t>3</w:t>
      </w:r>
      <w:r w:rsidRPr="00A15461">
        <w:rPr>
          <w:color w:val="000000"/>
          <w:kern w:val="0"/>
          <w:sz w:val="24"/>
        </w:rPr>
        <w:t>月</w:t>
      </w:r>
      <w:r w:rsidRPr="00A15461">
        <w:rPr>
          <w:color w:val="000000"/>
          <w:kern w:val="0"/>
          <w:sz w:val="24"/>
        </w:rPr>
        <w:t>29</w:t>
      </w:r>
      <w:r w:rsidRPr="00A15461">
        <w:rPr>
          <w:color w:val="000000"/>
          <w:kern w:val="0"/>
          <w:sz w:val="24"/>
        </w:rPr>
        <w:t>日至</w:t>
      </w:r>
      <w:r w:rsidRPr="00A15461">
        <w:rPr>
          <w:color w:val="000000"/>
          <w:kern w:val="0"/>
          <w:sz w:val="24"/>
        </w:rPr>
        <w:t>2019</w:t>
      </w:r>
      <w:r w:rsidRPr="00A15461">
        <w:rPr>
          <w:color w:val="000000"/>
          <w:kern w:val="0"/>
          <w:sz w:val="24"/>
        </w:rPr>
        <w:t>年</w:t>
      </w:r>
      <w:r w:rsidRPr="00A15461">
        <w:rPr>
          <w:color w:val="000000"/>
          <w:kern w:val="0"/>
          <w:sz w:val="24"/>
        </w:rPr>
        <w:t>9</w:t>
      </w:r>
      <w:r w:rsidRPr="00A15461">
        <w:rPr>
          <w:color w:val="000000"/>
          <w:kern w:val="0"/>
          <w:sz w:val="24"/>
        </w:rPr>
        <w:t>月</w:t>
      </w:r>
      <w:r w:rsidRPr="00A15461">
        <w:rPr>
          <w:color w:val="000000"/>
          <w:kern w:val="0"/>
          <w:sz w:val="24"/>
        </w:rPr>
        <w:t>30</w:t>
      </w:r>
      <w:r w:rsidRPr="00A15461">
        <w:rPr>
          <w:color w:val="000000"/>
          <w:kern w:val="0"/>
          <w:sz w:val="24"/>
        </w:rPr>
        <w:t>日）</w:t>
      </w:r>
    </w:p>
    <w:p w:rsidR="00941F6C" w:rsidRPr="00A15461" w:rsidRDefault="00941F6C" w:rsidP="00A15461">
      <w:pPr>
        <w:snapToGrid w:val="0"/>
        <w:spacing w:line="360" w:lineRule="auto"/>
        <w:rPr>
          <w:color w:val="000000"/>
          <w:sz w:val="24"/>
        </w:rPr>
      </w:pPr>
      <w:r w:rsidRPr="00A15461">
        <w:rPr>
          <w:color w:val="000000"/>
          <w:kern w:val="0"/>
          <w:sz w:val="24"/>
        </w:rPr>
        <w:t>易方达保证金货币</w:t>
      </w:r>
      <w:r w:rsidRPr="00A15461">
        <w:rPr>
          <w:color w:val="000000"/>
          <w:kern w:val="0"/>
          <w:sz w:val="24"/>
        </w:rPr>
        <w:t>A</w:t>
      </w:r>
    </w:p>
    <w:p w:rsidR="00941F6C" w:rsidRPr="0097021E" w:rsidRDefault="00D26E5E" w:rsidP="00196812">
      <w:pPr>
        <w:tabs>
          <w:tab w:val="left" w:pos="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941F6C" w:rsidRPr="00A15461" w:rsidRDefault="00941F6C" w:rsidP="00A15461">
      <w:pPr>
        <w:snapToGrid w:val="0"/>
        <w:spacing w:line="360" w:lineRule="auto"/>
        <w:rPr>
          <w:color w:val="000000"/>
          <w:sz w:val="24"/>
        </w:rPr>
      </w:pPr>
      <w:r w:rsidRPr="00A15461">
        <w:rPr>
          <w:color w:val="000000"/>
          <w:kern w:val="0"/>
          <w:sz w:val="24"/>
        </w:rPr>
        <w:t>易方达保证金货币</w:t>
      </w:r>
      <w:r w:rsidRPr="00A15461">
        <w:rPr>
          <w:color w:val="000000"/>
          <w:kern w:val="0"/>
          <w:sz w:val="24"/>
        </w:rPr>
        <w:t>B</w:t>
      </w:r>
    </w:p>
    <w:p w:rsidR="00941F6C" w:rsidRPr="0097021E" w:rsidRDefault="00D26E5E" w:rsidP="00196812">
      <w:pPr>
        <w:snapToGrid w:val="0"/>
        <w:spacing w:line="360" w:lineRule="auto"/>
        <w:jc w:val="center"/>
        <w:rPr>
          <w:rFonts w:ascii="宋体"/>
          <w:color w:val="000000"/>
          <w:sz w:val="24"/>
        </w:rPr>
      </w:pPr>
      <w:r>
        <w:rPr>
          <w:rFonts w:ascii="宋体"/>
          <w:noProof/>
          <w:color w:val="000000"/>
          <w:sz w:val="24"/>
        </w:rPr>
        <w:pict>
          <v:shape id="图片 2" o:spid="_x0000_i1026" type="#_x0000_t75" style="width:452.25pt;height:267pt;visibility:visible">
            <v:imagedata r:id="rId10" o:title=""/>
          </v:shape>
        </w:pic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注：自基金合同生效至报告期末，</w:t>
      </w:r>
      <w:r w:rsidRPr="00A15461">
        <w:rPr>
          <w:color w:val="000000"/>
          <w:sz w:val="24"/>
        </w:rPr>
        <w:t>A</w:t>
      </w:r>
      <w:r w:rsidRPr="00A15461">
        <w:rPr>
          <w:color w:val="000000"/>
          <w:sz w:val="24"/>
        </w:rPr>
        <w:t>类基金份额净值收益率为</w:t>
      </w:r>
      <w:r w:rsidRPr="00A15461">
        <w:rPr>
          <w:color w:val="000000"/>
          <w:sz w:val="24"/>
        </w:rPr>
        <w:t>22.3396%</w:t>
      </w:r>
      <w:r w:rsidRPr="00A15461">
        <w:rPr>
          <w:color w:val="000000"/>
          <w:sz w:val="24"/>
        </w:rPr>
        <w:t>，</w:t>
      </w:r>
      <w:r w:rsidRPr="00A15461">
        <w:rPr>
          <w:color w:val="000000"/>
          <w:sz w:val="24"/>
        </w:rPr>
        <w:t>B</w:t>
      </w:r>
      <w:r w:rsidRPr="00A15461">
        <w:rPr>
          <w:color w:val="000000"/>
          <w:sz w:val="24"/>
        </w:rPr>
        <w:t>类基金份额净值收益率为</w:t>
      </w:r>
      <w:r w:rsidRPr="00A15461">
        <w:rPr>
          <w:color w:val="000000"/>
          <w:sz w:val="24"/>
        </w:rPr>
        <w:t>25.0346%</w:t>
      </w:r>
      <w:r w:rsidRPr="00A15461">
        <w:rPr>
          <w:color w:val="000000"/>
          <w:sz w:val="24"/>
        </w:rPr>
        <w:t>，同期业绩比较基准收益率为</w:t>
      </w:r>
      <w:r w:rsidRPr="00A15461">
        <w:rPr>
          <w:color w:val="000000"/>
          <w:sz w:val="24"/>
        </w:rPr>
        <w:t>2.3110%</w:t>
      </w:r>
      <w:r w:rsidRPr="00A15461">
        <w:rPr>
          <w:color w:val="000000"/>
          <w:sz w:val="24"/>
        </w:rPr>
        <w:t>。</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CE0B87" w:rsidRPr="0078105B" w:rsidRDefault="00941F6C" w:rsidP="00CE0B87">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00DC22A1">
        <w:rPr>
          <w:rFonts w:ascii="宋体" w:hAnsi="宋体" w:cs="Arial" w:hint="eastAsia"/>
          <w:b/>
          <w:color w:val="000000"/>
          <w:kern w:val="0"/>
          <w:sz w:val="24"/>
        </w:rPr>
        <w:t>基金经理（</w:t>
      </w:r>
      <w:r w:rsidR="00DC22A1" w:rsidRPr="0097021E">
        <w:rPr>
          <w:rFonts w:ascii="宋体" w:hAnsi="宋体" w:cs="Arial" w:hint="eastAsia"/>
          <w:b/>
          <w:color w:val="000000"/>
          <w:kern w:val="0"/>
          <w:sz w:val="24"/>
        </w:rPr>
        <w:t>或基金经理小组</w:t>
      </w:r>
      <w:r w:rsidR="00DC22A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CE0B87" w:rsidRPr="0078105B" w:rsidTr="00B7074C">
        <w:trPr>
          <w:cantSplit/>
        </w:trPr>
        <w:tc>
          <w:tcPr>
            <w:tcW w:w="567"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CE0B87" w:rsidRPr="0078105B" w:rsidTr="00B7074C">
        <w:trPr>
          <w:cantSplit/>
        </w:trPr>
        <w:tc>
          <w:tcPr>
            <w:tcW w:w="567"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2835" w:type="dxa"/>
            <w:vMerge/>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r>
      <w:tr w:rsidR="00262A93">
        <w:tc>
          <w:tcPr>
            <w:tcW w:w="567" w:type="dxa"/>
            <w:vAlign w:val="center"/>
          </w:tcPr>
          <w:p w:rsidR="00262A93" w:rsidRDefault="00D26E5E">
            <w:pPr>
              <w:jc w:val="center"/>
            </w:pPr>
            <w:r>
              <w:rPr>
                <w:color w:val="000000"/>
                <w:sz w:val="24"/>
              </w:rPr>
              <w:t>石大怿</w:t>
            </w:r>
          </w:p>
        </w:tc>
        <w:tc>
          <w:tcPr>
            <w:tcW w:w="2835" w:type="dxa"/>
            <w:vAlign w:val="center"/>
          </w:tcPr>
          <w:p w:rsidR="00262A93" w:rsidRDefault="00D26E5E">
            <w:pPr>
              <w:jc w:val="center"/>
            </w:pPr>
            <w:r>
              <w:rPr>
                <w:color w:val="000000"/>
                <w:sz w:val="24"/>
              </w:rPr>
              <w:t>本基金的基金经理、易方达掌柜季季盈理财债券型证券投资基金的基金经理、易方达月月利理财债券型证券投资基金的基金经理、易方达易理财货币市场基金的基金经理、易方达现金增利货币市场基金的基金经理、易方达天天增利货币市场基金的基金经理、易方达天天理财货币市场基金的基金经理、易方达天天发货币市场基金的基金经理、易方达龙宝货币市场基金的基金经理、易方达货币市场基金的基金经理、易方达财富快线货币市场基金的基金经理、易方达安瑞短债债券型证券投资基金的基金经理、易方达恒安定期开放债券型发起式证券投资基金的基金经理助理</w:t>
            </w:r>
          </w:p>
        </w:tc>
        <w:tc>
          <w:tcPr>
            <w:tcW w:w="851" w:type="dxa"/>
            <w:vAlign w:val="center"/>
          </w:tcPr>
          <w:p w:rsidR="00262A93" w:rsidRDefault="00D26E5E">
            <w:pPr>
              <w:jc w:val="center"/>
            </w:pPr>
            <w:r>
              <w:rPr>
                <w:color w:val="000000"/>
                <w:sz w:val="24"/>
              </w:rPr>
              <w:t>2013</w:t>
            </w:r>
            <w:r>
              <w:rPr>
                <w:color w:val="000000"/>
                <w:sz w:val="24"/>
              </w:rPr>
              <w:t>-04-22</w:t>
            </w:r>
          </w:p>
        </w:tc>
        <w:tc>
          <w:tcPr>
            <w:tcW w:w="850" w:type="dxa"/>
            <w:vAlign w:val="center"/>
          </w:tcPr>
          <w:p w:rsidR="00262A93" w:rsidRDefault="00D26E5E">
            <w:pPr>
              <w:jc w:val="center"/>
            </w:pPr>
            <w:r>
              <w:rPr>
                <w:color w:val="000000"/>
                <w:sz w:val="24"/>
              </w:rPr>
              <w:t>-</w:t>
            </w:r>
          </w:p>
        </w:tc>
        <w:tc>
          <w:tcPr>
            <w:tcW w:w="851" w:type="dxa"/>
            <w:vAlign w:val="center"/>
          </w:tcPr>
          <w:p w:rsidR="00262A93" w:rsidRDefault="00D26E5E">
            <w:pPr>
              <w:jc w:val="center"/>
            </w:pPr>
            <w:r>
              <w:rPr>
                <w:color w:val="000000"/>
                <w:sz w:val="24"/>
              </w:rPr>
              <w:t>10</w:t>
            </w:r>
            <w:r>
              <w:rPr>
                <w:color w:val="000000"/>
                <w:sz w:val="24"/>
              </w:rPr>
              <w:t>年</w:t>
            </w:r>
          </w:p>
        </w:tc>
        <w:tc>
          <w:tcPr>
            <w:tcW w:w="2977" w:type="dxa"/>
            <w:vAlign w:val="center"/>
          </w:tcPr>
          <w:p w:rsidR="00262A93" w:rsidRDefault="00D26E5E">
            <w:r>
              <w:rPr>
                <w:color w:val="000000"/>
                <w:sz w:val="24"/>
              </w:rPr>
              <w:t>硕士研究生，曾任南方基金管理有限公司交易管理部交易员，易方达基金管理有限公司集中交易室债券交易员、固定收益部基金经理助理、易方达双月利理财债券型证券投资基金基金经理、易方达新鑫灵活配置混合型证券投资基金基金经理助理。</w:t>
            </w:r>
          </w:p>
        </w:tc>
      </w:tr>
      <w:tr w:rsidR="00262A93">
        <w:tc>
          <w:tcPr>
            <w:tcW w:w="567" w:type="dxa"/>
            <w:vAlign w:val="center"/>
          </w:tcPr>
          <w:p w:rsidR="00262A93" w:rsidRDefault="00D26E5E">
            <w:pPr>
              <w:jc w:val="center"/>
            </w:pPr>
            <w:r>
              <w:rPr>
                <w:color w:val="000000"/>
                <w:sz w:val="24"/>
              </w:rPr>
              <w:t>梁莹</w:t>
            </w:r>
          </w:p>
        </w:tc>
        <w:tc>
          <w:tcPr>
            <w:tcW w:w="2835" w:type="dxa"/>
            <w:vAlign w:val="center"/>
          </w:tcPr>
          <w:p w:rsidR="00262A93" w:rsidRDefault="00D26E5E">
            <w:pPr>
              <w:jc w:val="center"/>
            </w:pPr>
            <w:r>
              <w:rPr>
                <w:color w:val="000000"/>
                <w:sz w:val="24"/>
              </w:rPr>
              <w:t>本基金的基金经理、易方达掌柜季季盈理财债券型证券投资基金的基金经理、易方达增金宝货币市场基金的基金经理、易方达月月利理财债券型证券投资基金的基金经理、易方达现金增利货币市场基金的基金经理、易</w:t>
            </w:r>
            <w:r>
              <w:rPr>
                <w:color w:val="000000"/>
                <w:sz w:val="24"/>
              </w:rPr>
              <w:lastRenderedPageBreak/>
              <w:t>方达天天增利货币市场基金的基金经理、易方达龙宝货币市场基金的基金经理、易方达财富快线货币市场基金的基金经理、易方达安悦超短债债券型证券投资基金的基金经理、易方达货币市场基金的基金经理助理、易方达易理财货币市场基金的基金经理助理、易方达天天理财货币市场基金的基金经理助理、投资经理</w:t>
            </w:r>
          </w:p>
        </w:tc>
        <w:tc>
          <w:tcPr>
            <w:tcW w:w="851" w:type="dxa"/>
            <w:vAlign w:val="center"/>
          </w:tcPr>
          <w:p w:rsidR="00262A93" w:rsidRDefault="00D26E5E">
            <w:pPr>
              <w:jc w:val="center"/>
            </w:pPr>
            <w:r>
              <w:rPr>
                <w:color w:val="000000"/>
                <w:sz w:val="24"/>
              </w:rPr>
              <w:lastRenderedPageBreak/>
              <w:t>2017-08-08</w:t>
            </w:r>
          </w:p>
        </w:tc>
        <w:tc>
          <w:tcPr>
            <w:tcW w:w="850" w:type="dxa"/>
            <w:vAlign w:val="center"/>
          </w:tcPr>
          <w:p w:rsidR="00262A93" w:rsidRDefault="00D26E5E">
            <w:pPr>
              <w:jc w:val="center"/>
            </w:pPr>
            <w:r>
              <w:rPr>
                <w:color w:val="000000"/>
                <w:sz w:val="24"/>
              </w:rPr>
              <w:t>-</w:t>
            </w:r>
          </w:p>
        </w:tc>
        <w:tc>
          <w:tcPr>
            <w:tcW w:w="851" w:type="dxa"/>
            <w:vAlign w:val="center"/>
          </w:tcPr>
          <w:p w:rsidR="00262A93" w:rsidRDefault="00D26E5E">
            <w:pPr>
              <w:jc w:val="center"/>
            </w:pPr>
            <w:r>
              <w:rPr>
                <w:color w:val="000000"/>
                <w:sz w:val="24"/>
              </w:rPr>
              <w:t>9</w:t>
            </w:r>
            <w:r>
              <w:rPr>
                <w:color w:val="000000"/>
                <w:sz w:val="24"/>
              </w:rPr>
              <w:t>年</w:t>
            </w:r>
          </w:p>
        </w:tc>
        <w:tc>
          <w:tcPr>
            <w:tcW w:w="2977" w:type="dxa"/>
            <w:vAlign w:val="center"/>
          </w:tcPr>
          <w:p w:rsidR="00262A93" w:rsidRDefault="00D26E5E">
            <w:r>
              <w:rPr>
                <w:color w:val="000000"/>
                <w:sz w:val="24"/>
              </w:rPr>
              <w:t>硕士研究生</w:t>
            </w:r>
            <w:r>
              <w:rPr>
                <w:color w:val="000000"/>
                <w:sz w:val="24"/>
              </w:rPr>
              <w:t>，曾任招商证券股份有限公司债券销售交易部交易员，易方达基金管理有限公司固定收益交易员、易方达保证金收益货币市场基金基金经理助理、易方达双月利理财债券型证券投资基金基金经理。</w:t>
            </w:r>
          </w:p>
        </w:tc>
      </w:tr>
    </w:tbl>
    <w:p w:rsidR="00262A93" w:rsidRDefault="00D26E5E">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BF6648" w:rsidRPr="00232B03" w:rsidRDefault="00CE0B87" w:rsidP="00CE0B87">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941F6C" w:rsidRPr="0097021E" w:rsidRDefault="00941F6C" w:rsidP="00BF6648">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4.2</w:t>
      </w:r>
      <w:r w:rsidRPr="00756761">
        <w:rPr>
          <w:rFonts w:cs="Arial" w:hint="eastAsia"/>
          <w:b/>
          <w:color w:val="000000"/>
          <w:kern w:val="0"/>
          <w:sz w:val="24"/>
        </w:rPr>
        <w:t>管理人对报告期内本基金运作遵规守信情况的说明</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41F6C" w:rsidRPr="0097021E" w:rsidRDefault="00941F6C"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4.3 </w:t>
      </w:r>
      <w:r w:rsidRPr="0097021E">
        <w:rPr>
          <w:rFonts w:ascii="宋体" w:hAnsi="宋体" w:cs="Arial" w:hint="eastAsia"/>
          <w:b/>
          <w:color w:val="000000"/>
          <w:kern w:val="0"/>
          <w:sz w:val="24"/>
        </w:rPr>
        <w:t>公平交易专项说明</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4.3.1</w:t>
        </w:r>
      </w:smartTag>
      <w:r w:rsidRPr="0097021E">
        <w:rPr>
          <w:rFonts w:ascii="宋体" w:hAnsi="宋体" w:hint="eastAsia"/>
          <w:sz w:val="24"/>
        </w:rPr>
        <w:t>公平交易制度的执行情况</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A15461">
        <w:rPr>
          <w:color w:val="000000"/>
          <w:sz w:val="24"/>
        </w:rPr>
        <w:t>“</w:t>
      </w:r>
      <w:r w:rsidRPr="00A15461">
        <w:rPr>
          <w:color w:val="000000"/>
          <w:sz w:val="24"/>
        </w:rPr>
        <w:t>时间优先、价格优先</w:t>
      </w:r>
      <w:r w:rsidRPr="00A15461">
        <w:rPr>
          <w:color w:val="000000"/>
          <w:sz w:val="24"/>
        </w:rPr>
        <w:t>”</w:t>
      </w:r>
      <w:r w:rsidRPr="00A15461">
        <w:rPr>
          <w:color w:val="000000"/>
          <w:sz w:val="24"/>
        </w:rPr>
        <w:t>作为执行指令的基本原则，通过投资交易系统中的公平交易模块，以尽可能确保公平对待各投资组合。本报告期内，公平交易制度总体执行情况良好。</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lastRenderedPageBreak/>
          <w:t>4.3.2</w:t>
        </w:r>
      </w:smartTag>
      <w:r w:rsidRPr="0097021E">
        <w:rPr>
          <w:rFonts w:ascii="宋体" w:hAnsi="宋体" w:hint="eastAsia"/>
          <w:sz w:val="24"/>
        </w:rPr>
        <w:t>异常交易行为的专项说明</w:t>
      </w:r>
    </w:p>
    <w:p w:rsidR="00262A93" w:rsidRDefault="00D26E5E">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本报告期内，公司旗下所有投资组合参与的交易所公开竞价交易中，同日反向交易</w:t>
      </w:r>
      <w:r>
        <w:rPr>
          <w:color w:val="000000"/>
          <w:sz w:val="24"/>
        </w:rPr>
        <w:t>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本报告期内，未发现本基金有可能导致不公平交易和利益输送的异常交易。</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4.4.1</w:t>
        </w:r>
      </w:smartTag>
      <w:r w:rsidRPr="0097021E">
        <w:rPr>
          <w:rFonts w:ascii="宋体" w:hAnsi="宋体" w:hint="eastAsia"/>
          <w:sz w:val="24"/>
        </w:rPr>
        <w:t>报告期内基金投资策略和运作分析</w:t>
      </w:r>
    </w:p>
    <w:p w:rsidR="00262A93" w:rsidRDefault="00D26E5E">
      <w:pPr>
        <w:adjustRightInd w:val="0"/>
        <w:spacing w:line="360" w:lineRule="auto"/>
        <w:ind w:firstLineChars="200" w:firstLine="480"/>
        <w:rPr>
          <w:color w:val="000000"/>
          <w:sz w:val="24"/>
        </w:rPr>
      </w:pPr>
      <w:r>
        <w:rPr>
          <w:color w:val="000000"/>
          <w:sz w:val="24"/>
        </w:rPr>
        <w:t>2019</w:t>
      </w:r>
      <w:r>
        <w:rPr>
          <w:color w:val="000000"/>
          <w:sz w:val="24"/>
        </w:rPr>
        <w:t>年三季度，货币市场整体维持平稳，资金利率小幅上行；债券市场呈现先涨后跌的走势，经济基本面、通胀走势和政策预期变化是驱动债券市场收益率变化的核心因素。</w:t>
      </w:r>
      <w:r>
        <w:rPr>
          <w:color w:val="000000"/>
          <w:sz w:val="24"/>
        </w:rPr>
        <w:t>7</w:t>
      </w:r>
      <w:r>
        <w:rPr>
          <w:color w:val="000000"/>
          <w:sz w:val="24"/>
        </w:rPr>
        <w:t>月，资金面波动加大，回购利率抬升显著，但是在海外市场货币政策宽松、国内制造</w:t>
      </w:r>
      <w:r>
        <w:rPr>
          <w:color w:val="000000"/>
          <w:sz w:val="24"/>
        </w:rPr>
        <w:t>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月，资金面趋于平稳，尽管有中美贸易摩擦加剧、基本面数据不及预期等因素的影响，但受专项债扩容、货币政策宽松预期转弱、海外债券收益率反弹等因素影响，债券市场仍出现小幅震荡上行的行情。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262A93" w:rsidRDefault="00D26E5E">
      <w:pPr>
        <w:adjustRightInd w:val="0"/>
        <w:spacing w:line="360" w:lineRule="auto"/>
        <w:ind w:firstLineChars="200" w:firstLine="480"/>
        <w:rPr>
          <w:color w:val="000000"/>
          <w:sz w:val="24"/>
        </w:rPr>
      </w:pPr>
      <w:r>
        <w:rPr>
          <w:color w:val="000000"/>
          <w:sz w:val="24"/>
        </w:rPr>
        <w:t>总体来看，三季度债券市场收益率整体仍是以下行为主，货币政策仍维持稳健，货币市场利率没有进一步下行，货币市场基金收益率维持稳定。</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操作方面，报告期内基金以同业存单、同业存款、短期逆回购为主要配置资产，在三季度组合保持适中的剩余期限和杠杆率。总体来看，组合在三季度保持了较好的流动性和稳定的收益率。</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4.4.2</w:t>
        </w:r>
      </w:smartTag>
      <w:r w:rsidRPr="0097021E">
        <w:rPr>
          <w:rFonts w:ascii="宋体" w:hAnsi="宋体" w:hint="eastAsia"/>
          <w:sz w:val="24"/>
        </w:rPr>
        <w:t>报告期内基金的业绩表现</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本基金本报告期内</w:t>
      </w:r>
      <w:r w:rsidRPr="00A15461">
        <w:rPr>
          <w:color w:val="000000"/>
          <w:sz w:val="24"/>
        </w:rPr>
        <w:t>A</w:t>
      </w:r>
      <w:r w:rsidRPr="00A15461">
        <w:rPr>
          <w:color w:val="000000"/>
          <w:sz w:val="24"/>
        </w:rPr>
        <w:t>类基金份额净值收益率为</w:t>
      </w:r>
      <w:r w:rsidRPr="00A15461">
        <w:rPr>
          <w:color w:val="000000"/>
          <w:sz w:val="24"/>
        </w:rPr>
        <w:t>0.5472%</w:t>
      </w:r>
      <w:r w:rsidRPr="00A15461">
        <w:rPr>
          <w:color w:val="000000"/>
          <w:sz w:val="24"/>
        </w:rPr>
        <w:t>；</w:t>
      </w:r>
      <w:r w:rsidRPr="00A15461">
        <w:rPr>
          <w:color w:val="000000"/>
          <w:sz w:val="24"/>
        </w:rPr>
        <w:t>B</w:t>
      </w:r>
      <w:r w:rsidRPr="00A15461">
        <w:rPr>
          <w:color w:val="000000"/>
          <w:sz w:val="24"/>
        </w:rPr>
        <w:t>类基金份额净值收益率为</w:t>
      </w:r>
      <w:r w:rsidRPr="00A15461">
        <w:rPr>
          <w:color w:val="000000"/>
          <w:sz w:val="24"/>
        </w:rPr>
        <w:t>0.6105%</w:t>
      </w:r>
      <w:r w:rsidRPr="00A15461">
        <w:rPr>
          <w:color w:val="000000"/>
          <w:sz w:val="24"/>
        </w:rPr>
        <w:t>；同期业绩比较基准收益率为</w:t>
      </w:r>
      <w:r w:rsidRPr="00A15461">
        <w:rPr>
          <w:color w:val="000000"/>
          <w:sz w:val="24"/>
        </w:rPr>
        <w:t>0.0894%</w:t>
      </w:r>
      <w:r w:rsidRPr="00A15461">
        <w:rPr>
          <w:color w:val="000000"/>
          <w:sz w:val="24"/>
        </w:rPr>
        <w:t>。</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941F6C" w:rsidRPr="0097021E" w:rsidRDefault="00941F6C"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序号</w:t>
            </w:r>
          </w:p>
        </w:tc>
        <w:tc>
          <w:tcPr>
            <w:tcW w:w="3357"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项目</w:t>
            </w:r>
          </w:p>
        </w:tc>
        <w:tc>
          <w:tcPr>
            <w:tcW w:w="3119"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金额</w:t>
            </w:r>
            <w:r w:rsidR="00DC22A1" w:rsidRPr="00A15461">
              <w:rPr>
                <w:color w:val="000000"/>
                <w:sz w:val="24"/>
              </w:rPr>
              <w:t>（元）</w:t>
            </w:r>
          </w:p>
        </w:tc>
        <w:tc>
          <w:tcPr>
            <w:tcW w:w="1843"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占基金总资产</w:t>
            </w:r>
            <w:r w:rsidRPr="00A15461">
              <w:rPr>
                <w:color w:val="000000"/>
                <w:sz w:val="24"/>
              </w:rPr>
              <w:lastRenderedPageBreak/>
              <w:t>的比例</w:t>
            </w:r>
            <w:r w:rsidRPr="00A15461">
              <w:rPr>
                <w:color w:val="000000"/>
                <w:sz w:val="24"/>
              </w:rPr>
              <w:t>(%)</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lastRenderedPageBreak/>
              <w:t>1</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固定收益投资</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238,825,112.22</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44.11</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其中：债券</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238,825,112.22</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44.11</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autoSpaceDE w:val="0"/>
              <w:autoSpaceDN w:val="0"/>
              <w:adjustRightInd w:val="0"/>
              <w:spacing w:before="29" w:line="360" w:lineRule="auto"/>
              <w:ind w:left="17"/>
              <w:jc w:val="left"/>
              <w:rPr>
                <w:color w:val="000000"/>
                <w:sz w:val="24"/>
              </w:rPr>
            </w:pPr>
            <w:r w:rsidRPr="00A15461">
              <w:rPr>
                <w:color w:val="000000"/>
                <w:sz w:val="24"/>
              </w:rPr>
              <w:t>资产支持证券</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2</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买入返售金融资产</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236,850,598.28</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43.75</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其中：买断式回购的买入返售金融资产</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3</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银行存款和结算备付金合计</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64,529,906.83</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11.92</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4</w:t>
            </w:r>
          </w:p>
        </w:tc>
        <w:tc>
          <w:tcPr>
            <w:tcW w:w="3357" w:type="dxa"/>
            <w:vAlign w:val="center"/>
          </w:tcPr>
          <w:p w:rsidR="00941F6C" w:rsidRPr="00A15461" w:rsidRDefault="00941F6C" w:rsidP="00196812">
            <w:pPr>
              <w:spacing w:line="360" w:lineRule="auto"/>
              <w:jc w:val="left"/>
              <w:rPr>
                <w:sz w:val="24"/>
              </w:rPr>
            </w:pPr>
            <w:r w:rsidRPr="00A15461">
              <w:rPr>
                <w:color w:val="000000"/>
                <w:sz w:val="24"/>
              </w:rPr>
              <w:t>其他资产</w:t>
            </w:r>
          </w:p>
        </w:tc>
        <w:tc>
          <w:tcPr>
            <w:tcW w:w="3119" w:type="dxa"/>
            <w:vAlign w:val="center"/>
          </w:tcPr>
          <w:p w:rsidR="00941F6C" w:rsidRPr="00A15461" w:rsidRDefault="00941F6C" w:rsidP="00196812">
            <w:pPr>
              <w:spacing w:line="360" w:lineRule="auto"/>
              <w:jc w:val="right"/>
              <w:rPr>
                <w:color w:val="000000"/>
                <w:sz w:val="24"/>
              </w:rPr>
            </w:pPr>
            <w:r w:rsidRPr="00A15461">
              <w:rPr>
                <w:color w:val="000000"/>
                <w:sz w:val="24"/>
              </w:rPr>
              <w:t>1,213,153.45</w:t>
            </w:r>
          </w:p>
        </w:tc>
        <w:tc>
          <w:tcPr>
            <w:tcW w:w="1843" w:type="dxa"/>
            <w:vAlign w:val="center"/>
          </w:tcPr>
          <w:p w:rsidR="00941F6C" w:rsidRPr="00A15461" w:rsidRDefault="00941F6C" w:rsidP="00196812">
            <w:pPr>
              <w:spacing w:line="360" w:lineRule="auto"/>
              <w:jc w:val="right"/>
              <w:rPr>
                <w:color w:val="000000"/>
                <w:sz w:val="24"/>
              </w:rPr>
            </w:pPr>
            <w:r w:rsidRPr="00A15461">
              <w:rPr>
                <w:color w:val="000000"/>
                <w:sz w:val="24"/>
              </w:rPr>
              <w:t>0.22</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5</w:t>
            </w:r>
          </w:p>
        </w:tc>
        <w:tc>
          <w:tcPr>
            <w:tcW w:w="3357" w:type="dxa"/>
            <w:vAlign w:val="center"/>
          </w:tcPr>
          <w:p w:rsidR="00941F6C" w:rsidRPr="00A15461" w:rsidRDefault="00941F6C" w:rsidP="00196812">
            <w:pPr>
              <w:spacing w:line="360" w:lineRule="auto"/>
              <w:jc w:val="left"/>
              <w:rPr>
                <w:sz w:val="24"/>
              </w:rPr>
            </w:pPr>
            <w:r w:rsidRPr="00A15461">
              <w:rPr>
                <w:color w:val="000000"/>
                <w:sz w:val="24"/>
              </w:rPr>
              <w:t>合计</w:t>
            </w:r>
          </w:p>
        </w:tc>
        <w:tc>
          <w:tcPr>
            <w:tcW w:w="3119" w:type="dxa"/>
            <w:vAlign w:val="center"/>
          </w:tcPr>
          <w:p w:rsidR="00941F6C" w:rsidRPr="00A15461" w:rsidRDefault="00941F6C" w:rsidP="00196812">
            <w:pPr>
              <w:spacing w:line="360" w:lineRule="auto"/>
              <w:jc w:val="right"/>
              <w:rPr>
                <w:color w:val="000000"/>
                <w:sz w:val="24"/>
              </w:rPr>
            </w:pPr>
            <w:r w:rsidRPr="00A15461">
              <w:rPr>
                <w:color w:val="000000"/>
                <w:sz w:val="24"/>
              </w:rPr>
              <w:t>541,418,770.78</w:t>
            </w:r>
          </w:p>
        </w:tc>
        <w:tc>
          <w:tcPr>
            <w:tcW w:w="1843" w:type="dxa"/>
            <w:vAlign w:val="center"/>
          </w:tcPr>
          <w:p w:rsidR="00941F6C" w:rsidRPr="00A15461" w:rsidRDefault="00941F6C" w:rsidP="00196812">
            <w:pPr>
              <w:spacing w:line="360" w:lineRule="auto"/>
              <w:jc w:val="right"/>
              <w:rPr>
                <w:color w:val="000000"/>
                <w:sz w:val="24"/>
              </w:rPr>
            </w:pPr>
            <w:r w:rsidRPr="00A15461">
              <w:rPr>
                <w:color w:val="000000"/>
                <w:sz w:val="24"/>
              </w:rPr>
              <w:t>100.00</w:t>
            </w:r>
          </w:p>
        </w:tc>
      </w:tr>
    </w:tbl>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941F6C"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占基金资产净值的比例（％）</w:t>
            </w:r>
          </w:p>
        </w:tc>
      </w:tr>
      <w:tr w:rsidR="00941F6C" w:rsidRPr="0097021E" w:rsidTr="00F11244">
        <w:tc>
          <w:tcPr>
            <w:tcW w:w="861" w:type="dxa"/>
            <w:tcBorders>
              <w:top w:val="single" w:sz="8" w:space="0" w:color="000000"/>
              <w:left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5.04</w:t>
            </w:r>
          </w:p>
        </w:tc>
      </w:tr>
      <w:tr w:rsidR="00941F6C"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r>
      <w:tr w:rsidR="00941F6C" w:rsidRPr="0097021E" w:rsidTr="00F11244">
        <w:tc>
          <w:tcPr>
            <w:tcW w:w="861" w:type="dxa"/>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r w:rsidRPr="00A15461">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color w:val="000000"/>
                <w:kern w:val="0"/>
                <w:sz w:val="24"/>
              </w:rPr>
              <w:t>占基金资产净值的比例（％）</w:t>
            </w:r>
          </w:p>
        </w:tc>
      </w:tr>
      <w:tr w:rsidR="00941F6C" w:rsidRPr="0097021E" w:rsidTr="00F11244">
        <w:tc>
          <w:tcPr>
            <w:tcW w:w="861" w:type="dxa"/>
            <w:vMerge w:val="restart"/>
            <w:tcBorders>
              <w:top w:val="single" w:sz="8" w:space="0" w:color="000000"/>
              <w:left w:val="single" w:sz="8" w:space="0" w:color="000000"/>
              <w:right w:val="single" w:sz="8" w:space="0" w:color="000000"/>
            </w:tcBorders>
            <w:vAlign w:val="center"/>
          </w:tcPr>
          <w:p w:rsidR="00941F6C" w:rsidRPr="00A15461" w:rsidRDefault="00941F6C" w:rsidP="00196812">
            <w:pPr>
              <w:spacing w:line="360" w:lineRule="auto"/>
              <w:rPr>
                <w:color w:val="000000"/>
                <w:sz w:val="24"/>
              </w:rPr>
            </w:pPr>
            <w:r w:rsidRPr="00A15461">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19,991,770.01</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3.84</w:t>
            </w:r>
          </w:p>
        </w:tc>
      </w:tr>
      <w:tr w:rsidR="00941F6C" w:rsidRPr="0097021E" w:rsidTr="00F11244">
        <w:tc>
          <w:tcPr>
            <w:tcW w:w="861" w:type="dxa"/>
            <w:vMerge/>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r>
    </w:tbl>
    <w:p w:rsidR="00941F6C" w:rsidRPr="00A15461" w:rsidRDefault="00941F6C" w:rsidP="00A15461">
      <w:pPr>
        <w:adjustRightInd w:val="0"/>
        <w:spacing w:line="360" w:lineRule="auto"/>
        <w:ind w:firstLineChars="200" w:firstLine="480"/>
        <w:rPr>
          <w:color w:val="000000"/>
          <w:sz w:val="24"/>
        </w:rPr>
      </w:pPr>
      <w:r w:rsidRPr="00A15461">
        <w:rPr>
          <w:color w:val="000000"/>
          <w:sz w:val="24"/>
        </w:rPr>
        <w:t>注：上表中报告期内债券回购融资余额占基金资产净值的比例为报告期内每个交易日融资余额占基金资产净值比例的简单平均值。</w:t>
      </w:r>
    </w:p>
    <w:p w:rsidR="00941F6C" w:rsidRPr="003A0EC1" w:rsidRDefault="00941F6C"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在本报告期内本货币市场基金债券正回购的资金余额未超过资产净值的</w:t>
      </w:r>
      <w:r w:rsidRPr="00A15461">
        <w:rPr>
          <w:color w:val="000000"/>
          <w:sz w:val="24"/>
        </w:rPr>
        <w:t>20%</w:t>
      </w:r>
      <w:r w:rsidRPr="00A15461">
        <w:rPr>
          <w:color w:val="000000"/>
          <w:sz w:val="24"/>
        </w:rPr>
        <w:t>。</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 </w:t>
      </w:r>
      <w:r w:rsidRPr="0097021E">
        <w:rPr>
          <w:rFonts w:ascii="宋体" w:hAnsi="宋体" w:cs="Arial" w:hint="eastAsia"/>
          <w:b/>
          <w:color w:val="000000"/>
          <w:kern w:val="0"/>
          <w:sz w:val="24"/>
        </w:rPr>
        <w:t>基金投资组合平均剩余期限</w:t>
      </w:r>
    </w:p>
    <w:p w:rsidR="00941F6C" w:rsidRPr="0097021E" w:rsidRDefault="00941F6C" w:rsidP="00196812">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5.3.1</w:t>
        </w:r>
      </w:smartTag>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天数</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ind w:right="120"/>
              <w:jc w:val="right"/>
              <w:rPr>
                <w:sz w:val="24"/>
              </w:rPr>
            </w:pPr>
            <w:r w:rsidRPr="00A15461">
              <w:rPr>
                <w:sz w:val="24"/>
              </w:rPr>
              <w:t>46</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lastRenderedPageBreak/>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jc w:val="right"/>
              <w:rPr>
                <w:sz w:val="24"/>
              </w:rPr>
            </w:pPr>
            <w:r w:rsidRPr="00A15461">
              <w:rPr>
                <w:sz w:val="24"/>
              </w:rPr>
              <w:t>52</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ind w:right="120"/>
              <w:jc w:val="right"/>
              <w:rPr>
                <w:sz w:val="24"/>
              </w:rPr>
            </w:pPr>
            <w:r w:rsidRPr="00A15461">
              <w:rPr>
                <w:sz w:val="24"/>
              </w:rPr>
              <w:t>8</w:t>
            </w:r>
          </w:p>
        </w:tc>
      </w:tr>
    </w:tbl>
    <w:p w:rsidR="00941F6C" w:rsidRPr="003A0EC1" w:rsidRDefault="00941F6C" w:rsidP="003A0EC1">
      <w:pPr>
        <w:spacing w:line="360" w:lineRule="auto"/>
        <w:rPr>
          <w:rFonts w:ascii="宋体" w:cs="Arial"/>
          <w:b/>
          <w:color w:val="000000"/>
          <w:kern w:val="0"/>
          <w:sz w:val="24"/>
        </w:rPr>
      </w:pPr>
      <w:r w:rsidRPr="003A0EC1">
        <w:rPr>
          <w:rFonts w:ascii="宋体" w:hAnsi="宋体" w:cs="Arial" w:hint="eastAsia"/>
          <w:b/>
          <w:color w:val="000000"/>
          <w:kern w:val="0"/>
          <w:sz w:val="24"/>
        </w:rPr>
        <w:t>报告期内投资组合平均剩余期限超过</w:t>
      </w:r>
      <w:r w:rsidRPr="003A0EC1">
        <w:rPr>
          <w:rFonts w:ascii="宋体" w:hAnsi="宋体" w:cs="Arial"/>
          <w:b/>
          <w:color w:val="000000"/>
          <w:kern w:val="0"/>
          <w:sz w:val="24"/>
        </w:rPr>
        <w:t>1</w:t>
      </w:r>
      <w:r w:rsidR="008E6C59">
        <w:rPr>
          <w:rFonts w:ascii="宋体" w:hAnsi="宋体" w:cs="Arial" w:hint="eastAsia"/>
          <w:b/>
          <w:color w:val="000000"/>
          <w:kern w:val="0"/>
          <w:sz w:val="24"/>
        </w:rPr>
        <w:t>2</w:t>
      </w:r>
      <w:r w:rsidRPr="003A0EC1">
        <w:rPr>
          <w:rFonts w:ascii="宋体" w:hAnsi="宋体" w:cs="Arial"/>
          <w:b/>
          <w:color w:val="000000"/>
          <w:kern w:val="0"/>
          <w:sz w:val="24"/>
        </w:rPr>
        <w:t>0</w:t>
      </w:r>
      <w:r w:rsidRPr="003A0EC1">
        <w:rPr>
          <w:rFonts w:ascii="宋体" w:hAnsi="宋体" w:cs="Arial" w:hint="eastAsia"/>
          <w:b/>
          <w:color w:val="000000"/>
          <w:kern w:val="0"/>
          <w:sz w:val="24"/>
        </w:rPr>
        <w:t>天情况说明</w:t>
      </w:r>
    </w:p>
    <w:p w:rsidR="008E6C59" w:rsidRPr="008E6C59" w:rsidRDefault="008E6C59" w:rsidP="008E6C59">
      <w:pPr>
        <w:adjustRightInd w:val="0"/>
        <w:spacing w:line="360" w:lineRule="auto"/>
        <w:ind w:firstLineChars="200" w:firstLine="480"/>
        <w:rPr>
          <w:color w:val="000000"/>
          <w:sz w:val="24"/>
        </w:rPr>
      </w:pPr>
      <w:r w:rsidRPr="008E6C59">
        <w:rPr>
          <w:rFonts w:hint="eastAsia"/>
          <w:color w:val="000000"/>
          <w:sz w:val="24"/>
        </w:rPr>
        <w:t>本报告期内本货币市场基金投资组合平均剩余期限未超过</w:t>
      </w:r>
      <w:r w:rsidRPr="008E6C59">
        <w:rPr>
          <w:rFonts w:hint="eastAsia"/>
          <w:color w:val="000000"/>
          <w:sz w:val="24"/>
        </w:rPr>
        <w:t>120</w:t>
      </w:r>
      <w:r w:rsidRPr="008E6C59">
        <w:rPr>
          <w:rFonts w:hint="eastAsia"/>
          <w:color w:val="000000"/>
          <w:sz w:val="24"/>
        </w:rPr>
        <w:t>天。</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各期限资产占基金资产净值的比例（</w:t>
            </w:r>
            <w:r w:rsidRPr="00A15461">
              <w:rPr>
                <w:color w:val="000000"/>
                <w:kern w:val="0"/>
                <w:sz w:val="24"/>
              </w:rPr>
              <w:t>%</w:t>
            </w:r>
            <w:r w:rsidRPr="00A15461">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各期限负债占基金资产净值的比例（％）</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30</w:t>
            </w:r>
            <w:r w:rsidRPr="00A15461">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50.22</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3.85</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r w:rsidRPr="00A15461">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30</w:t>
            </w:r>
            <w:r w:rsidRPr="00A15461">
              <w:rPr>
                <w:color w:val="000000"/>
                <w:sz w:val="24"/>
              </w:rPr>
              <w:t>天（含）</w:t>
            </w:r>
            <w:r w:rsidRPr="00A15461">
              <w:rPr>
                <w:color w:val="000000"/>
                <w:sz w:val="24"/>
              </w:rPr>
              <w:t>—60</w:t>
            </w:r>
            <w:r w:rsidRPr="00A15461">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3.84</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r w:rsidRPr="00A15461">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sz w:val="24"/>
              </w:rPr>
            </w:pPr>
            <w:r w:rsidRPr="00A15461">
              <w:rPr>
                <w:color w:val="000000"/>
                <w:sz w:val="24"/>
              </w:rPr>
              <w:t>60</w:t>
            </w:r>
            <w:r w:rsidRPr="00A15461">
              <w:rPr>
                <w:color w:val="000000"/>
                <w:sz w:val="24"/>
              </w:rPr>
              <w:t>天（含）</w:t>
            </w:r>
            <w:r w:rsidRPr="00A15461">
              <w:rPr>
                <w:color w:val="000000"/>
                <w:sz w:val="24"/>
              </w:rPr>
              <w:t>—90</w:t>
            </w:r>
            <w:r w:rsidRPr="00A15461">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47.80</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r w:rsidRPr="00A15461">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90</w:t>
            </w:r>
            <w:r w:rsidRPr="00E5550E">
              <w:rPr>
                <w:rFonts w:eastAsiaTheme="minorEastAsia"/>
                <w:color w:val="000000" w:themeColor="text1"/>
                <w:sz w:val="24"/>
              </w:rPr>
              <w:t>天（含）</w:t>
            </w:r>
            <w:r w:rsidRPr="00E5550E">
              <w:rPr>
                <w:rFonts w:eastAsiaTheme="minorEastAsia"/>
                <w:color w:val="000000" w:themeColor="text1"/>
                <w:sz w:val="24"/>
              </w:rPr>
              <w:t>—120</w:t>
            </w:r>
            <w:r w:rsidRPr="00E5550E">
              <w:rPr>
                <w:rFonts w:eastAsiaTheme="minorEastAsia"/>
                <w:color w:val="000000" w:themeColor="text1"/>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1.92</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其中：剩余存续期超过</w:t>
            </w:r>
            <w:r w:rsidRPr="00E5550E">
              <w:rPr>
                <w:rFonts w:eastAsiaTheme="minorEastAsia"/>
                <w:color w:val="000000" w:themeColor="text1"/>
                <w:sz w:val="24"/>
              </w:rPr>
              <w:t>397</w:t>
            </w:r>
            <w:r w:rsidRPr="00E5550E">
              <w:rPr>
                <w:rFonts w:eastAsiaTheme="minorEastAsia"/>
                <w:color w:val="000000" w:themeColor="text1"/>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r w:rsidRPr="00A15461">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120</w:t>
            </w:r>
            <w:r w:rsidRPr="00E5550E">
              <w:rPr>
                <w:rFonts w:eastAsiaTheme="minorEastAsia"/>
                <w:color w:val="000000" w:themeColor="text1"/>
                <w:sz w:val="24"/>
              </w:rPr>
              <w:t>天（含）</w:t>
            </w:r>
            <w:r w:rsidRPr="00E5550E">
              <w:rPr>
                <w:rFonts w:eastAsiaTheme="minorEastAsia"/>
                <w:color w:val="000000" w:themeColor="text1"/>
                <w:sz w:val="24"/>
              </w:rPr>
              <w:t>—397</w:t>
            </w:r>
            <w:r w:rsidRPr="00E5550E">
              <w:rPr>
                <w:rFonts w:eastAsiaTheme="minorEastAsia"/>
                <w:color w:val="000000" w:themeColor="text1"/>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其中：剩余存续期超过</w:t>
            </w:r>
            <w:r w:rsidRPr="00E5550E">
              <w:rPr>
                <w:rFonts w:eastAsiaTheme="minorEastAsia"/>
                <w:color w:val="000000" w:themeColor="text1"/>
                <w:sz w:val="24"/>
              </w:rPr>
              <w:t>397</w:t>
            </w:r>
            <w:r w:rsidRPr="00E5550E">
              <w:rPr>
                <w:rFonts w:eastAsiaTheme="minorEastAsia"/>
                <w:color w:val="000000" w:themeColor="text1"/>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4B40EC"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196812">
            <w:pPr>
              <w:autoSpaceDE w:val="0"/>
              <w:autoSpaceDN w:val="0"/>
              <w:adjustRightInd w:val="0"/>
              <w:spacing w:before="29" w:line="360" w:lineRule="auto"/>
              <w:ind w:left="15"/>
              <w:jc w:val="center"/>
              <w:rPr>
                <w:color w:val="000000"/>
                <w:sz w:val="24"/>
              </w:rPr>
            </w:pPr>
            <w:r w:rsidRPr="004B40EC">
              <w:rPr>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7C1713">
            <w:pPr>
              <w:autoSpaceDE w:val="0"/>
              <w:autoSpaceDN w:val="0"/>
              <w:adjustRightInd w:val="0"/>
              <w:spacing w:before="29" w:line="360" w:lineRule="auto"/>
              <w:ind w:left="15"/>
              <w:jc w:val="right"/>
              <w:rPr>
                <w:rFonts w:eastAsiaTheme="minorEastAsia"/>
                <w:color w:val="000000" w:themeColor="text1"/>
                <w:kern w:val="0"/>
                <w:sz w:val="24"/>
              </w:rPr>
            </w:pPr>
            <w:r w:rsidRPr="004B40EC">
              <w:rPr>
                <w:rFonts w:eastAsiaTheme="minorEastAsia"/>
                <w:color w:val="000000" w:themeColor="text1"/>
                <w:sz w:val="24"/>
              </w:rPr>
              <w:t>103.79</w:t>
            </w:r>
          </w:p>
        </w:tc>
        <w:tc>
          <w:tcPr>
            <w:tcW w:w="2431" w:type="dxa"/>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7C1713">
            <w:pPr>
              <w:autoSpaceDE w:val="0"/>
              <w:autoSpaceDN w:val="0"/>
              <w:adjustRightInd w:val="0"/>
              <w:spacing w:before="29" w:line="360" w:lineRule="auto"/>
              <w:ind w:left="15"/>
              <w:jc w:val="right"/>
              <w:rPr>
                <w:rFonts w:eastAsiaTheme="minorEastAsia"/>
                <w:color w:val="000000" w:themeColor="text1"/>
                <w:kern w:val="0"/>
                <w:sz w:val="24"/>
              </w:rPr>
            </w:pPr>
            <w:r w:rsidRPr="004B40EC">
              <w:rPr>
                <w:rFonts w:eastAsiaTheme="minorEastAsia"/>
                <w:color w:val="000000" w:themeColor="text1"/>
                <w:sz w:val="24"/>
              </w:rPr>
              <w:t>3.85</w:t>
            </w:r>
          </w:p>
        </w:tc>
      </w:tr>
    </w:tbl>
    <w:p w:rsidR="004B40EC" w:rsidRPr="003025FA" w:rsidRDefault="004B40EC" w:rsidP="004B40EC">
      <w:pPr>
        <w:spacing w:line="360" w:lineRule="auto"/>
        <w:rPr>
          <w:rFonts w:asciiTheme="minorEastAsia" w:eastAsiaTheme="minorEastAsia" w:hAnsiTheme="minorEastAsia" w:cs="Arial"/>
          <w:b/>
          <w:color w:val="000000" w:themeColor="text1"/>
          <w:kern w:val="0"/>
          <w:sz w:val="24"/>
        </w:rPr>
      </w:pPr>
      <w:r>
        <w:rPr>
          <w:rFonts w:asciiTheme="minorEastAsia" w:eastAsiaTheme="minorEastAsia" w:hAnsiTheme="minorEastAsia" w:cs="Arial" w:hint="eastAsia"/>
          <w:b/>
          <w:color w:val="000000" w:themeColor="text1"/>
          <w:kern w:val="0"/>
          <w:sz w:val="24"/>
        </w:rPr>
        <w:t>5.4</w:t>
      </w:r>
      <w:r>
        <w:rPr>
          <w:rFonts w:ascii="宋体" w:hAnsi="宋体" w:hint="eastAsia"/>
          <w:b/>
          <w:color w:val="000000"/>
          <w:sz w:val="24"/>
        </w:rPr>
        <w:t>报告期内投资组合平均剩余存续期超过240天情况说明</w:t>
      </w:r>
    </w:p>
    <w:p w:rsidR="004B40EC" w:rsidRPr="004B40EC" w:rsidRDefault="004B40EC" w:rsidP="00A15461">
      <w:pPr>
        <w:adjustRightInd w:val="0"/>
        <w:spacing w:line="360" w:lineRule="auto"/>
        <w:ind w:firstLineChars="200" w:firstLine="480"/>
        <w:rPr>
          <w:color w:val="000000"/>
          <w:sz w:val="24"/>
        </w:rPr>
      </w:pPr>
      <w:r w:rsidRPr="004B40EC">
        <w:rPr>
          <w:rFonts w:eastAsiaTheme="minorEastAsia"/>
          <w:color w:val="000000" w:themeColor="text1"/>
          <w:sz w:val="24"/>
        </w:rPr>
        <w:lastRenderedPageBreak/>
        <w:t>本报告期内本货币市场基金投资组合平均剩余存续期未超过</w:t>
      </w:r>
      <w:r w:rsidRPr="004B40EC">
        <w:rPr>
          <w:rFonts w:eastAsiaTheme="minorEastAsia"/>
          <w:color w:val="000000" w:themeColor="text1"/>
          <w:sz w:val="24"/>
        </w:rPr>
        <w:t>240</w:t>
      </w:r>
      <w:r w:rsidRPr="004B40EC">
        <w:rPr>
          <w:rFonts w:eastAsiaTheme="minorEastAsia"/>
          <w:color w:val="000000" w:themeColor="text1"/>
          <w:sz w:val="24"/>
        </w:rPr>
        <w:t>天。</w:t>
      </w:r>
    </w:p>
    <w:p w:rsidR="006B01A5" w:rsidRPr="00A370A1" w:rsidRDefault="00941F6C" w:rsidP="006B01A5">
      <w:pPr>
        <w:spacing w:line="360" w:lineRule="auto"/>
        <w:rPr>
          <w:rFonts w:eastAsiaTheme="minorEastAsia"/>
          <w:b/>
          <w:color w:val="000000" w:themeColor="text1"/>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261"/>
        <w:gridCol w:w="1984"/>
      </w:tblGrid>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序号</w:t>
            </w:r>
          </w:p>
        </w:tc>
        <w:tc>
          <w:tcPr>
            <w:tcW w:w="3260"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债券品种</w:t>
            </w:r>
          </w:p>
        </w:tc>
        <w:tc>
          <w:tcPr>
            <w:tcW w:w="3261"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摊余成本（元）</w:t>
            </w:r>
          </w:p>
        </w:tc>
        <w:tc>
          <w:tcPr>
            <w:tcW w:w="1984"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占基金资产净值比例</w:t>
            </w:r>
            <w:r w:rsidRPr="00A370A1">
              <w:rPr>
                <w:rFonts w:eastAsiaTheme="minorEastAsia"/>
                <w:color w:val="000000" w:themeColor="text1"/>
                <w:sz w:val="24"/>
              </w:rPr>
              <w:t>(</w:t>
            </w:r>
            <w:r w:rsidRPr="00A370A1">
              <w:rPr>
                <w:rFonts w:eastAsiaTheme="minorEastAsia"/>
                <w:color w:val="000000" w:themeColor="text1"/>
                <w:sz w:val="24"/>
              </w:rPr>
              <w:t>％</w:t>
            </w: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1</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国家债券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19,999,593.86</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3.84</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2</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央行票据</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3</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金融债券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20,005,963.52</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3.84</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其中：政策性金融债</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20,005,963.52</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3.84</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4</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企业债券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5</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企业短期融资券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6</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中期票据</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7</w:t>
            </w:r>
          </w:p>
        </w:tc>
        <w:tc>
          <w:tcPr>
            <w:tcW w:w="3260" w:type="dxa"/>
            <w:vAlign w:val="center"/>
          </w:tcPr>
          <w:p w:rsidR="006B01A5" w:rsidRPr="00A370A1" w:rsidRDefault="006B01A5" w:rsidP="00735A6C">
            <w:pPr>
              <w:spacing w:before="29" w:line="360" w:lineRule="auto"/>
              <w:ind w:left="17"/>
              <w:jc w:val="left"/>
              <w:rPr>
                <w:rFonts w:eastAsiaTheme="minorEastAsia"/>
                <w:color w:val="000000" w:themeColor="text1"/>
                <w:sz w:val="24"/>
              </w:rPr>
            </w:pPr>
            <w:r w:rsidRPr="00A370A1">
              <w:rPr>
                <w:rFonts w:eastAsiaTheme="minorEastAsia"/>
                <w:color w:val="000000" w:themeColor="text1"/>
                <w:sz w:val="24"/>
              </w:rPr>
              <w:t>同业存单</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198,819,554.84</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38.19</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8</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其他</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9</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合计</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238,825,112.22</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45.88</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10</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剩余存续期超过</w:t>
            </w:r>
            <w:r w:rsidRPr="00A370A1">
              <w:rPr>
                <w:rFonts w:eastAsiaTheme="minorEastAsia"/>
                <w:color w:val="000000" w:themeColor="text1"/>
                <w:sz w:val="24"/>
              </w:rPr>
              <w:t>397</w:t>
            </w:r>
            <w:r w:rsidRPr="00A370A1">
              <w:rPr>
                <w:rFonts w:eastAsiaTheme="minorEastAsia"/>
                <w:color w:val="000000" w:themeColor="text1"/>
                <w:sz w:val="24"/>
              </w:rPr>
              <w:t>天的浮动利率债券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bl>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6</w:t>
      </w:r>
      <w:r w:rsidRPr="0097021E">
        <w:rPr>
          <w:rFonts w:ascii="宋体" w:hAnsi="宋体" w:cs="Arial"/>
          <w:b/>
          <w:color w:val="000000"/>
          <w:kern w:val="0"/>
          <w:sz w:val="24"/>
        </w:rPr>
        <w:t xml:space="preserve"> </w:t>
      </w:r>
      <w:r w:rsidR="00DA133F">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1497"/>
        <w:gridCol w:w="1977"/>
        <w:gridCol w:w="1442"/>
        <w:gridCol w:w="1596"/>
        <w:gridCol w:w="1434"/>
      </w:tblGrid>
      <w:tr w:rsidR="00941F6C" w:rsidRPr="0097021E" w:rsidTr="00CA7D55">
        <w:tc>
          <w:tcPr>
            <w:tcW w:w="1547"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序号</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债券代码</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债券名称</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债券数量</w:t>
            </w:r>
          </w:p>
          <w:p w:rsidR="00941F6C" w:rsidRPr="00A15461" w:rsidRDefault="00DC22A1" w:rsidP="00DC22A1">
            <w:pPr>
              <w:autoSpaceDE w:val="0"/>
              <w:autoSpaceDN w:val="0"/>
              <w:adjustRightInd w:val="0"/>
              <w:spacing w:before="29" w:line="360" w:lineRule="auto"/>
              <w:ind w:left="15"/>
              <w:jc w:val="center"/>
              <w:rPr>
                <w:color w:val="000000"/>
                <w:kern w:val="0"/>
                <w:sz w:val="24"/>
              </w:rPr>
            </w:pPr>
            <w:r w:rsidRPr="00A15461">
              <w:rPr>
                <w:color w:val="000000"/>
                <w:kern w:val="0"/>
                <w:sz w:val="24"/>
              </w:rPr>
              <w:t>（张）</w:t>
            </w:r>
          </w:p>
        </w:tc>
        <w:tc>
          <w:tcPr>
            <w:tcW w:w="1548" w:type="dxa"/>
            <w:vAlign w:val="center"/>
          </w:tcPr>
          <w:p w:rsidR="00941F6C" w:rsidRPr="00A15461" w:rsidRDefault="00941F6C" w:rsidP="00DC22A1">
            <w:pPr>
              <w:autoSpaceDE w:val="0"/>
              <w:autoSpaceDN w:val="0"/>
              <w:adjustRightInd w:val="0"/>
              <w:spacing w:before="29" w:line="360" w:lineRule="auto"/>
              <w:ind w:left="15"/>
              <w:jc w:val="center"/>
              <w:rPr>
                <w:color w:val="000000"/>
                <w:kern w:val="0"/>
                <w:sz w:val="24"/>
              </w:rPr>
            </w:pPr>
            <w:r w:rsidRPr="00A15461">
              <w:rPr>
                <w:color w:val="000000"/>
                <w:kern w:val="0"/>
                <w:sz w:val="24"/>
              </w:rPr>
              <w:t>摊余成本</w:t>
            </w:r>
            <w:r w:rsidR="00DC22A1" w:rsidRPr="00A15461">
              <w:rPr>
                <w:color w:val="000000"/>
                <w:kern w:val="0"/>
                <w:sz w:val="24"/>
              </w:rPr>
              <w:t>（元）</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占基金资产净值比例（％）</w:t>
            </w:r>
          </w:p>
        </w:tc>
      </w:tr>
      <w:tr w:rsidR="00262A93">
        <w:tc>
          <w:tcPr>
            <w:tcW w:w="0" w:type="auto"/>
            <w:vAlign w:val="center"/>
          </w:tcPr>
          <w:p w:rsidR="00262A93" w:rsidRDefault="00D26E5E">
            <w:pPr>
              <w:jc w:val="center"/>
            </w:pPr>
            <w:r>
              <w:rPr>
                <w:color w:val="000000"/>
                <w:sz w:val="24"/>
              </w:rPr>
              <w:t>1</w:t>
            </w:r>
          </w:p>
        </w:tc>
        <w:tc>
          <w:tcPr>
            <w:tcW w:w="0" w:type="auto"/>
            <w:vAlign w:val="center"/>
          </w:tcPr>
          <w:p w:rsidR="00262A93" w:rsidRDefault="00D26E5E">
            <w:pPr>
              <w:jc w:val="center"/>
            </w:pPr>
            <w:r>
              <w:rPr>
                <w:color w:val="000000"/>
                <w:sz w:val="24"/>
              </w:rPr>
              <w:t>111808313</w:t>
            </w:r>
          </w:p>
        </w:tc>
        <w:tc>
          <w:tcPr>
            <w:tcW w:w="0" w:type="auto"/>
            <w:vAlign w:val="center"/>
          </w:tcPr>
          <w:p w:rsidR="00262A93" w:rsidRDefault="00D26E5E">
            <w:pPr>
              <w:jc w:val="center"/>
            </w:pPr>
            <w:r>
              <w:rPr>
                <w:color w:val="000000"/>
                <w:sz w:val="24"/>
              </w:rPr>
              <w:t>18</w:t>
            </w:r>
            <w:r>
              <w:rPr>
                <w:color w:val="000000"/>
                <w:sz w:val="24"/>
              </w:rPr>
              <w:t>中信银行</w:t>
            </w:r>
            <w:r>
              <w:rPr>
                <w:color w:val="000000"/>
                <w:sz w:val="24"/>
              </w:rPr>
              <w:t>CD313</w:t>
            </w:r>
          </w:p>
        </w:tc>
        <w:tc>
          <w:tcPr>
            <w:tcW w:w="0" w:type="auto"/>
            <w:vAlign w:val="center"/>
          </w:tcPr>
          <w:p w:rsidR="00262A93" w:rsidRDefault="00D26E5E">
            <w:pPr>
              <w:jc w:val="right"/>
            </w:pPr>
            <w:r>
              <w:rPr>
                <w:color w:val="000000"/>
                <w:sz w:val="24"/>
              </w:rPr>
              <w:t>500,000</w:t>
            </w:r>
          </w:p>
        </w:tc>
        <w:tc>
          <w:tcPr>
            <w:tcW w:w="0" w:type="auto"/>
            <w:vAlign w:val="center"/>
          </w:tcPr>
          <w:p w:rsidR="00262A93" w:rsidRDefault="00D26E5E">
            <w:pPr>
              <w:jc w:val="right"/>
            </w:pPr>
            <w:r>
              <w:rPr>
                <w:color w:val="000000"/>
                <w:sz w:val="24"/>
              </w:rPr>
              <w:t>49,728,796.22</w:t>
            </w:r>
          </w:p>
        </w:tc>
        <w:tc>
          <w:tcPr>
            <w:tcW w:w="0" w:type="auto"/>
            <w:vAlign w:val="center"/>
          </w:tcPr>
          <w:p w:rsidR="00262A93" w:rsidRDefault="00D26E5E">
            <w:pPr>
              <w:jc w:val="right"/>
            </w:pPr>
            <w:r>
              <w:rPr>
                <w:color w:val="000000"/>
                <w:sz w:val="24"/>
              </w:rPr>
              <w:t>9.55</w:t>
            </w:r>
          </w:p>
        </w:tc>
      </w:tr>
      <w:tr w:rsidR="00262A93">
        <w:tc>
          <w:tcPr>
            <w:tcW w:w="0" w:type="auto"/>
            <w:vAlign w:val="center"/>
          </w:tcPr>
          <w:p w:rsidR="00262A93" w:rsidRDefault="00D26E5E">
            <w:pPr>
              <w:jc w:val="center"/>
            </w:pPr>
            <w:r>
              <w:rPr>
                <w:color w:val="000000"/>
                <w:sz w:val="24"/>
              </w:rPr>
              <w:t>2</w:t>
            </w:r>
          </w:p>
        </w:tc>
        <w:tc>
          <w:tcPr>
            <w:tcW w:w="0" w:type="auto"/>
            <w:vAlign w:val="center"/>
          </w:tcPr>
          <w:p w:rsidR="00262A93" w:rsidRDefault="00D26E5E">
            <w:pPr>
              <w:jc w:val="center"/>
            </w:pPr>
            <w:r>
              <w:rPr>
                <w:color w:val="000000"/>
                <w:sz w:val="24"/>
              </w:rPr>
              <w:t>111803212</w:t>
            </w:r>
          </w:p>
        </w:tc>
        <w:tc>
          <w:tcPr>
            <w:tcW w:w="0" w:type="auto"/>
            <w:vAlign w:val="center"/>
          </w:tcPr>
          <w:p w:rsidR="00262A93" w:rsidRDefault="00D26E5E">
            <w:pPr>
              <w:jc w:val="center"/>
            </w:pPr>
            <w:r>
              <w:rPr>
                <w:color w:val="000000"/>
                <w:sz w:val="24"/>
              </w:rPr>
              <w:t>18</w:t>
            </w:r>
            <w:r>
              <w:rPr>
                <w:color w:val="000000"/>
                <w:sz w:val="24"/>
              </w:rPr>
              <w:t>农业银行</w:t>
            </w:r>
            <w:r>
              <w:rPr>
                <w:color w:val="000000"/>
                <w:sz w:val="24"/>
              </w:rPr>
              <w:t>CD212</w:t>
            </w:r>
          </w:p>
        </w:tc>
        <w:tc>
          <w:tcPr>
            <w:tcW w:w="0" w:type="auto"/>
            <w:vAlign w:val="center"/>
          </w:tcPr>
          <w:p w:rsidR="00262A93" w:rsidRDefault="00D26E5E">
            <w:pPr>
              <w:jc w:val="right"/>
            </w:pPr>
            <w:r>
              <w:rPr>
                <w:color w:val="000000"/>
                <w:sz w:val="24"/>
              </w:rPr>
              <w:t>500,000</w:t>
            </w:r>
          </w:p>
        </w:tc>
        <w:tc>
          <w:tcPr>
            <w:tcW w:w="0" w:type="auto"/>
            <w:vAlign w:val="center"/>
          </w:tcPr>
          <w:p w:rsidR="00262A93" w:rsidRDefault="00D26E5E">
            <w:pPr>
              <w:jc w:val="right"/>
            </w:pPr>
            <w:r>
              <w:rPr>
                <w:color w:val="000000"/>
                <w:sz w:val="24"/>
              </w:rPr>
              <w:t>49,709,819.71</w:t>
            </w:r>
          </w:p>
        </w:tc>
        <w:tc>
          <w:tcPr>
            <w:tcW w:w="0" w:type="auto"/>
            <w:vAlign w:val="center"/>
          </w:tcPr>
          <w:p w:rsidR="00262A93" w:rsidRDefault="00D26E5E">
            <w:pPr>
              <w:jc w:val="right"/>
            </w:pPr>
            <w:r>
              <w:rPr>
                <w:color w:val="000000"/>
                <w:sz w:val="24"/>
              </w:rPr>
              <w:t>9.55</w:t>
            </w:r>
          </w:p>
        </w:tc>
      </w:tr>
      <w:tr w:rsidR="00262A93">
        <w:tc>
          <w:tcPr>
            <w:tcW w:w="0" w:type="auto"/>
            <w:vAlign w:val="center"/>
          </w:tcPr>
          <w:p w:rsidR="00262A93" w:rsidRDefault="00D26E5E">
            <w:pPr>
              <w:jc w:val="center"/>
            </w:pPr>
            <w:r>
              <w:rPr>
                <w:color w:val="000000"/>
                <w:sz w:val="24"/>
              </w:rPr>
              <w:t>3</w:t>
            </w:r>
          </w:p>
        </w:tc>
        <w:tc>
          <w:tcPr>
            <w:tcW w:w="0" w:type="auto"/>
            <w:vAlign w:val="center"/>
          </w:tcPr>
          <w:p w:rsidR="00262A93" w:rsidRDefault="00D26E5E">
            <w:pPr>
              <w:jc w:val="center"/>
            </w:pPr>
            <w:r>
              <w:rPr>
                <w:color w:val="000000"/>
                <w:sz w:val="24"/>
              </w:rPr>
              <w:t>111804103</w:t>
            </w:r>
          </w:p>
        </w:tc>
        <w:tc>
          <w:tcPr>
            <w:tcW w:w="0" w:type="auto"/>
            <w:vAlign w:val="center"/>
          </w:tcPr>
          <w:p w:rsidR="00262A93" w:rsidRDefault="00D26E5E">
            <w:pPr>
              <w:jc w:val="center"/>
            </w:pPr>
            <w:r>
              <w:rPr>
                <w:color w:val="000000"/>
                <w:sz w:val="24"/>
              </w:rPr>
              <w:t>18</w:t>
            </w:r>
            <w:r>
              <w:rPr>
                <w:color w:val="000000"/>
                <w:sz w:val="24"/>
              </w:rPr>
              <w:t>中国银行</w:t>
            </w:r>
            <w:r>
              <w:rPr>
                <w:color w:val="000000"/>
                <w:sz w:val="24"/>
              </w:rPr>
              <w:t>CD103</w:t>
            </w:r>
          </w:p>
        </w:tc>
        <w:tc>
          <w:tcPr>
            <w:tcW w:w="0" w:type="auto"/>
            <w:vAlign w:val="center"/>
          </w:tcPr>
          <w:p w:rsidR="00262A93" w:rsidRDefault="00D26E5E">
            <w:pPr>
              <w:jc w:val="right"/>
            </w:pPr>
            <w:r>
              <w:rPr>
                <w:color w:val="000000"/>
                <w:sz w:val="24"/>
              </w:rPr>
              <w:t>500,000</w:t>
            </w:r>
          </w:p>
        </w:tc>
        <w:tc>
          <w:tcPr>
            <w:tcW w:w="0" w:type="auto"/>
            <w:vAlign w:val="center"/>
          </w:tcPr>
          <w:p w:rsidR="00262A93" w:rsidRDefault="00D26E5E">
            <w:pPr>
              <w:jc w:val="right"/>
            </w:pPr>
            <w:r>
              <w:rPr>
                <w:color w:val="000000"/>
                <w:sz w:val="24"/>
              </w:rPr>
              <w:t>49,707,706.61</w:t>
            </w:r>
          </w:p>
        </w:tc>
        <w:tc>
          <w:tcPr>
            <w:tcW w:w="0" w:type="auto"/>
            <w:vAlign w:val="center"/>
          </w:tcPr>
          <w:p w:rsidR="00262A93" w:rsidRDefault="00D26E5E">
            <w:pPr>
              <w:jc w:val="right"/>
            </w:pPr>
            <w:r>
              <w:rPr>
                <w:color w:val="000000"/>
                <w:sz w:val="24"/>
              </w:rPr>
              <w:t>9.55</w:t>
            </w:r>
          </w:p>
        </w:tc>
      </w:tr>
      <w:tr w:rsidR="00262A93">
        <w:tc>
          <w:tcPr>
            <w:tcW w:w="0" w:type="auto"/>
            <w:vAlign w:val="center"/>
          </w:tcPr>
          <w:p w:rsidR="00262A93" w:rsidRDefault="00D26E5E">
            <w:pPr>
              <w:jc w:val="center"/>
            </w:pPr>
            <w:r>
              <w:rPr>
                <w:color w:val="000000"/>
                <w:sz w:val="24"/>
              </w:rPr>
              <w:t>4</w:t>
            </w:r>
          </w:p>
        </w:tc>
        <w:tc>
          <w:tcPr>
            <w:tcW w:w="0" w:type="auto"/>
            <w:vAlign w:val="center"/>
          </w:tcPr>
          <w:p w:rsidR="00262A93" w:rsidRDefault="00D26E5E">
            <w:pPr>
              <w:jc w:val="center"/>
            </w:pPr>
            <w:r>
              <w:rPr>
                <w:color w:val="000000"/>
                <w:sz w:val="24"/>
              </w:rPr>
              <w:t>111916292</w:t>
            </w:r>
          </w:p>
        </w:tc>
        <w:tc>
          <w:tcPr>
            <w:tcW w:w="0" w:type="auto"/>
            <w:vAlign w:val="center"/>
          </w:tcPr>
          <w:p w:rsidR="00262A93" w:rsidRDefault="00D26E5E">
            <w:pPr>
              <w:jc w:val="center"/>
            </w:pPr>
            <w:r>
              <w:rPr>
                <w:color w:val="000000"/>
                <w:sz w:val="24"/>
              </w:rPr>
              <w:t>19</w:t>
            </w:r>
            <w:r>
              <w:rPr>
                <w:color w:val="000000"/>
                <w:sz w:val="24"/>
              </w:rPr>
              <w:t>上海银行</w:t>
            </w:r>
            <w:r>
              <w:rPr>
                <w:color w:val="000000"/>
                <w:sz w:val="24"/>
              </w:rPr>
              <w:t>CD292</w:t>
            </w:r>
          </w:p>
        </w:tc>
        <w:tc>
          <w:tcPr>
            <w:tcW w:w="0" w:type="auto"/>
            <w:vAlign w:val="center"/>
          </w:tcPr>
          <w:p w:rsidR="00262A93" w:rsidRDefault="00D26E5E">
            <w:pPr>
              <w:jc w:val="right"/>
            </w:pPr>
            <w:r>
              <w:rPr>
                <w:color w:val="000000"/>
                <w:sz w:val="24"/>
              </w:rPr>
              <w:t>500,000</w:t>
            </w:r>
          </w:p>
        </w:tc>
        <w:tc>
          <w:tcPr>
            <w:tcW w:w="0" w:type="auto"/>
            <w:vAlign w:val="center"/>
          </w:tcPr>
          <w:p w:rsidR="00262A93" w:rsidRDefault="00D26E5E">
            <w:pPr>
              <w:jc w:val="right"/>
            </w:pPr>
            <w:r>
              <w:rPr>
                <w:color w:val="000000"/>
                <w:sz w:val="24"/>
              </w:rPr>
              <w:t>49,673,232.30</w:t>
            </w:r>
          </w:p>
        </w:tc>
        <w:tc>
          <w:tcPr>
            <w:tcW w:w="0" w:type="auto"/>
            <w:vAlign w:val="center"/>
          </w:tcPr>
          <w:p w:rsidR="00262A93" w:rsidRDefault="00D26E5E">
            <w:pPr>
              <w:jc w:val="right"/>
            </w:pPr>
            <w:r>
              <w:rPr>
                <w:color w:val="000000"/>
                <w:sz w:val="24"/>
              </w:rPr>
              <w:t>9.54</w:t>
            </w:r>
          </w:p>
        </w:tc>
      </w:tr>
      <w:tr w:rsidR="00262A93">
        <w:tc>
          <w:tcPr>
            <w:tcW w:w="0" w:type="auto"/>
            <w:vAlign w:val="center"/>
          </w:tcPr>
          <w:p w:rsidR="00262A93" w:rsidRDefault="00D26E5E">
            <w:pPr>
              <w:jc w:val="center"/>
            </w:pPr>
            <w:r>
              <w:rPr>
                <w:color w:val="000000"/>
                <w:sz w:val="24"/>
              </w:rPr>
              <w:t>5</w:t>
            </w:r>
          </w:p>
        </w:tc>
        <w:tc>
          <w:tcPr>
            <w:tcW w:w="0" w:type="auto"/>
            <w:vAlign w:val="center"/>
          </w:tcPr>
          <w:p w:rsidR="00262A93" w:rsidRDefault="00D26E5E">
            <w:pPr>
              <w:jc w:val="center"/>
            </w:pPr>
            <w:r>
              <w:rPr>
                <w:color w:val="000000"/>
                <w:sz w:val="24"/>
              </w:rPr>
              <w:t>180026</w:t>
            </w:r>
          </w:p>
        </w:tc>
        <w:tc>
          <w:tcPr>
            <w:tcW w:w="0" w:type="auto"/>
            <w:vAlign w:val="center"/>
          </w:tcPr>
          <w:p w:rsidR="00262A93" w:rsidRDefault="00D26E5E">
            <w:pPr>
              <w:jc w:val="center"/>
            </w:pPr>
            <w:r>
              <w:rPr>
                <w:color w:val="000000"/>
                <w:sz w:val="24"/>
              </w:rPr>
              <w:t>18</w:t>
            </w:r>
            <w:r>
              <w:rPr>
                <w:color w:val="000000"/>
                <w:sz w:val="24"/>
              </w:rPr>
              <w:t>附息国债</w:t>
            </w:r>
            <w:r>
              <w:rPr>
                <w:color w:val="000000"/>
                <w:sz w:val="24"/>
              </w:rPr>
              <w:t>26</w:t>
            </w:r>
          </w:p>
        </w:tc>
        <w:tc>
          <w:tcPr>
            <w:tcW w:w="0" w:type="auto"/>
            <w:vAlign w:val="center"/>
          </w:tcPr>
          <w:p w:rsidR="00262A93" w:rsidRDefault="00D26E5E">
            <w:pPr>
              <w:jc w:val="right"/>
            </w:pPr>
            <w:r>
              <w:rPr>
                <w:color w:val="000000"/>
                <w:sz w:val="24"/>
              </w:rPr>
              <w:t>200,000</w:t>
            </w:r>
          </w:p>
        </w:tc>
        <w:tc>
          <w:tcPr>
            <w:tcW w:w="0" w:type="auto"/>
            <w:vAlign w:val="center"/>
          </w:tcPr>
          <w:p w:rsidR="00262A93" w:rsidRDefault="00D26E5E">
            <w:pPr>
              <w:jc w:val="right"/>
            </w:pPr>
            <w:r>
              <w:rPr>
                <w:color w:val="000000"/>
                <w:sz w:val="24"/>
              </w:rPr>
              <w:t>19,999,593.86</w:t>
            </w:r>
          </w:p>
        </w:tc>
        <w:tc>
          <w:tcPr>
            <w:tcW w:w="0" w:type="auto"/>
            <w:vAlign w:val="center"/>
          </w:tcPr>
          <w:p w:rsidR="00262A93" w:rsidRDefault="00D26E5E">
            <w:pPr>
              <w:jc w:val="right"/>
            </w:pPr>
            <w:r>
              <w:rPr>
                <w:color w:val="000000"/>
                <w:sz w:val="24"/>
              </w:rPr>
              <w:t>3.84</w:t>
            </w:r>
          </w:p>
        </w:tc>
      </w:tr>
      <w:tr w:rsidR="00262A93">
        <w:tc>
          <w:tcPr>
            <w:tcW w:w="0" w:type="auto"/>
            <w:vAlign w:val="center"/>
          </w:tcPr>
          <w:p w:rsidR="00262A93" w:rsidRDefault="00D26E5E">
            <w:pPr>
              <w:jc w:val="center"/>
            </w:pPr>
            <w:r>
              <w:rPr>
                <w:color w:val="000000"/>
                <w:sz w:val="24"/>
              </w:rPr>
              <w:t>6</w:t>
            </w:r>
          </w:p>
        </w:tc>
        <w:tc>
          <w:tcPr>
            <w:tcW w:w="0" w:type="auto"/>
            <w:vAlign w:val="center"/>
          </w:tcPr>
          <w:p w:rsidR="00262A93" w:rsidRDefault="00D26E5E">
            <w:pPr>
              <w:jc w:val="center"/>
            </w:pPr>
            <w:r>
              <w:rPr>
                <w:color w:val="000000"/>
                <w:sz w:val="24"/>
              </w:rPr>
              <w:t>140445</w:t>
            </w:r>
          </w:p>
        </w:tc>
        <w:tc>
          <w:tcPr>
            <w:tcW w:w="0" w:type="auto"/>
            <w:vAlign w:val="center"/>
          </w:tcPr>
          <w:p w:rsidR="00262A93" w:rsidRDefault="00D26E5E">
            <w:pPr>
              <w:jc w:val="center"/>
            </w:pPr>
            <w:r>
              <w:rPr>
                <w:color w:val="000000"/>
                <w:sz w:val="24"/>
              </w:rPr>
              <w:t>14</w:t>
            </w:r>
            <w:r>
              <w:rPr>
                <w:color w:val="000000"/>
                <w:sz w:val="24"/>
              </w:rPr>
              <w:t>农发</w:t>
            </w:r>
            <w:r>
              <w:rPr>
                <w:color w:val="000000"/>
                <w:sz w:val="24"/>
              </w:rPr>
              <w:t>45</w:t>
            </w:r>
          </w:p>
        </w:tc>
        <w:tc>
          <w:tcPr>
            <w:tcW w:w="0" w:type="auto"/>
            <w:vAlign w:val="center"/>
          </w:tcPr>
          <w:p w:rsidR="00262A93" w:rsidRDefault="00D26E5E">
            <w:pPr>
              <w:jc w:val="right"/>
            </w:pPr>
            <w:r>
              <w:rPr>
                <w:color w:val="000000"/>
                <w:sz w:val="24"/>
              </w:rPr>
              <w:t>100,000</w:t>
            </w:r>
          </w:p>
        </w:tc>
        <w:tc>
          <w:tcPr>
            <w:tcW w:w="0" w:type="auto"/>
            <w:vAlign w:val="center"/>
          </w:tcPr>
          <w:p w:rsidR="00262A93" w:rsidRDefault="00D26E5E">
            <w:pPr>
              <w:jc w:val="right"/>
            </w:pPr>
            <w:r>
              <w:rPr>
                <w:color w:val="000000"/>
                <w:sz w:val="24"/>
              </w:rPr>
              <w:t>10,007,154.21</w:t>
            </w:r>
          </w:p>
        </w:tc>
        <w:tc>
          <w:tcPr>
            <w:tcW w:w="0" w:type="auto"/>
            <w:vAlign w:val="center"/>
          </w:tcPr>
          <w:p w:rsidR="00262A93" w:rsidRDefault="00D26E5E">
            <w:pPr>
              <w:jc w:val="right"/>
            </w:pPr>
            <w:r>
              <w:rPr>
                <w:color w:val="000000"/>
                <w:sz w:val="24"/>
              </w:rPr>
              <w:t>1.92</w:t>
            </w:r>
          </w:p>
        </w:tc>
      </w:tr>
      <w:tr w:rsidR="00262A93">
        <w:tc>
          <w:tcPr>
            <w:tcW w:w="0" w:type="auto"/>
            <w:vAlign w:val="center"/>
          </w:tcPr>
          <w:p w:rsidR="00262A93" w:rsidRDefault="00D26E5E">
            <w:pPr>
              <w:jc w:val="center"/>
            </w:pPr>
            <w:r>
              <w:rPr>
                <w:color w:val="000000"/>
                <w:sz w:val="24"/>
              </w:rPr>
              <w:lastRenderedPageBreak/>
              <w:t>7</w:t>
            </w:r>
          </w:p>
        </w:tc>
        <w:tc>
          <w:tcPr>
            <w:tcW w:w="0" w:type="auto"/>
            <w:vAlign w:val="center"/>
          </w:tcPr>
          <w:p w:rsidR="00262A93" w:rsidRDefault="00D26E5E">
            <w:pPr>
              <w:jc w:val="center"/>
            </w:pPr>
            <w:r>
              <w:rPr>
                <w:color w:val="000000"/>
                <w:sz w:val="24"/>
              </w:rPr>
              <w:t>190201</w:t>
            </w:r>
          </w:p>
        </w:tc>
        <w:tc>
          <w:tcPr>
            <w:tcW w:w="0" w:type="auto"/>
            <w:vAlign w:val="center"/>
          </w:tcPr>
          <w:p w:rsidR="00262A93" w:rsidRDefault="00D26E5E">
            <w:pPr>
              <w:jc w:val="center"/>
            </w:pPr>
            <w:r>
              <w:rPr>
                <w:color w:val="000000"/>
                <w:sz w:val="24"/>
              </w:rPr>
              <w:t>19</w:t>
            </w:r>
            <w:r>
              <w:rPr>
                <w:color w:val="000000"/>
                <w:sz w:val="24"/>
              </w:rPr>
              <w:t>国开</w:t>
            </w:r>
            <w:r>
              <w:rPr>
                <w:color w:val="000000"/>
                <w:sz w:val="24"/>
              </w:rPr>
              <w:t>01</w:t>
            </w:r>
          </w:p>
        </w:tc>
        <w:tc>
          <w:tcPr>
            <w:tcW w:w="0" w:type="auto"/>
            <w:vAlign w:val="center"/>
          </w:tcPr>
          <w:p w:rsidR="00262A93" w:rsidRDefault="00D26E5E">
            <w:pPr>
              <w:jc w:val="right"/>
            </w:pPr>
            <w:r>
              <w:rPr>
                <w:color w:val="000000"/>
                <w:sz w:val="24"/>
              </w:rPr>
              <w:t>100,000</w:t>
            </w:r>
          </w:p>
        </w:tc>
        <w:tc>
          <w:tcPr>
            <w:tcW w:w="0" w:type="auto"/>
            <w:vAlign w:val="center"/>
          </w:tcPr>
          <w:p w:rsidR="00262A93" w:rsidRDefault="00D26E5E">
            <w:pPr>
              <w:jc w:val="right"/>
            </w:pPr>
            <w:r>
              <w:rPr>
                <w:color w:val="000000"/>
                <w:sz w:val="24"/>
              </w:rPr>
              <w:t>9,998,809.31</w:t>
            </w:r>
          </w:p>
        </w:tc>
        <w:tc>
          <w:tcPr>
            <w:tcW w:w="0" w:type="auto"/>
            <w:vAlign w:val="center"/>
          </w:tcPr>
          <w:p w:rsidR="00262A93" w:rsidRDefault="00D26E5E">
            <w:pPr>
              <w:jc w:val="right"/>
            </w:pPr>
            <w:r>
              <w:rPr>
                <w:color w:val="000000"/>
                <w:sz w:val="24"/>
              </w:rPr>
              <w:t>1.92</w:t>
            </w:r>
          </w:p>
        </w:tc>
      </w:tr>
    </w:tbl>
    <w:p w:rsidR="00941F6C" w:rsidRPr="0097021E" w:rsidRDefault="00941F6C" w:rsidP="003A0EC1">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偏离情况</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报告期内偏离度的绝对值在</w:t>
            </w:r>
            <w:r w:rsidRPr="00A15461">
              <w:rPr>
                <w:color w:val="000000"/>
                <w:kern w:val="0"/>
                <w:sz w:val="24"/>
              </w:rPr>
              <w:t>0.25(</w:t>
            </w:r>
            <w:r w:rsidRPr="00A15461">
              <w:rPr>
                <w:color w:val="000000"/>
                <w:kern w:val="0"/>
                <w:sz w:val="24"/>
              </w:rPr>
              <w:t>含</w:t>
            </w:r>
            <w:r w:rsidRPr="00A15461">
              <w:rPr>
                <w:color w:val="000000"/>
                <w:kern w:val="0"/>
                <w:sz w:val="24"/>
              </w:rPr>
              <w:t>)-0.5%</w:t>
            </w:r>
            <w:r w:rsidRPr="00A15461">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w:t>
            </w:r>
            <w:r w:rsidRPr="00A15461">
              <w:rPr>
                <w:color w:val="000000"/>
                <w:sz w:val="24"/>
              </w:rPr>
              <w:t>次</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0.0592%</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-0.0005%</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404A00">
            <w:pPr>
              <w:autoSpaceDE w:val="0"/>
              <w:autoSpaceDN w:val="0"/>
              <w:adjustRightInd w:val="0"/>
              <w:spacing w:before="29" w:line="360" w:lineRule="auto"/>
              <w:ind w:left="15"/>
              <w:jc w:val="left"/>
              <w:rPr>
                <w:color w:val="000000"/>
                <w:kern w:val="0"/>
                <w:sz w:val="24"/>
              </w:rPr>
            </w:pPr>
            <w:r w:rsidRPr="00A15461">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0.0159%</w:t>
            </w:r>
          </w:p>
        </w:tc>
      </w:tr>
    </w:tbl>
    <w:p w:rsidR="004B40EC" w:rsidRPr="004B40EC" w:rsidRDefault="004B40EC" w:rsidP="004B40EC">
      <w:pPr>
        <w:spacing w:line="360" w:lineRule="auto"/>
        <w:rPr>
          <w:rFonts w:eastAsiaTheme="minorEastAsia"/>
          <w:b/>
          <w:color w:val="000000" w:themeColor="text1"/>
          <w:kern w:val="0"/>
          <w:sz w:val="24"/>
        </w:rPr>
      </w:pPr>
      <w:r w:rsidRPr="004B40EC">
        <w:rPr>
          <w:b/>
          <w:color w:val="000000"/>
          <w:sz w:val="24"/>
        </w:rPr>
        <w:t>报告期内负偏离度的绝对值达到</w:t>
      </w:r>
      <w:r w:rsidRPr="004B40EC">
        <w:rPr>
          <w:b/>
          <w:color w:val="000000"/>
          <w:sz w:val="24"/>
        </w:rPr>
        <w:t>0.25%</w:t>
      </w:r>
      <w:r w:rsidRPr="004B40EC">
        <w:rPr>
          <w:b/>
          <w:color w:val="000000"/>
          <w:sz w:val="24"/>
        </w:rPr>
        <w:t>情况说明</w:t>
      </w:r>
    </w:p>
    <w:p w:rsidR="004B40EC" w:rsidRPr="004B40EC" w:rsidRDefault="004B40EC" w:rsidP="004B40EC">
      <w:pPr>
        <w:adjustRightInd w:val="0"/>
        <w:spacing w:line="360" w:lineRule="auto"/>
        <w:ind w:firstLineChars="200" w:firstLine="480"/>
        <w:rPr>
          <w:color w:val="000000"/>
          <w:sz w:val="24"/>
        </w:rPr>
      </w:pPr>
      <w:r w:rsidRPr="004B40EC">
        <w:rPr>
          <w:color w:val="000000"/>
          <w:sz w:val="24"/>
        </w:rPr>
        <w:t>本基金本报告期内不存在负偏离度的绝对值达到</w:t>
      </w:r>
      <w:r w:rsidRPr="004B40EC">
        <w:rPr>
          <w:color w:val="000000"/>
          <w:sz w:val="24"/>
        </w:rPr>
        <w:t>0.25%</w:t>
      </w:r>
      <w:r w:rsidRPr="004B40EC">
        <w:rPr>
          <w:color w:val="000000"/>
          <w:sz w:val="24"/>
        </w:rPr>
        <w:t>的情况。</w:t>
      </w:r>
    </w:p>
    <w:p w:rsidR="004B40EC" w:rsidRPr="004B40EC" w:rsidRDefault="004B40EC" w:rsidP="004B40EC">
      <w:pPr>
        <w:spacing w:line="360" w:lineRule="auto"/>
        <w:rPr>
          <w:rFonts w:eastAsiaTheme="minorEastAsia"/>
          <w:b/>
          <w:color w:val="000000" w:themeColor="text1"/>
          <w:kern w:val="0"/>
          <w:sz w:val="24"/>
        </w:rPr>
      </w:pPr>
      <w:r w:rsidRPr="004B40EC">
        <w:rPr>
          <w:b/>
          <w:color w:val="000000"/>
          <w:sz w:val="24"/>
        </w:rPr>
        <w:t>报告期内正偏离度的绝对值达到</w:t>
      </w:r>
      <w:r w:rsidRPr="004B40EC">
        <w:rPr>
          <w:b/>
          <w:color w:val="000000"/>
          <w:sz w:val="24"/>
        </w:rPr>
        <w:t>0.5%</w:t>
      </w:r>
      <w:r w:rsidRPr="004B40EC">
        <w:rPr>
          <w:b/>
          <w:color w:val="000000"/>
          <w:sz w:val="24"/>
        </w:rPr>
        <w:t>情况说明</w:t>
      </w:r>
    </w:p>
    <w:p w:rsidR="004B40EC" w:rsidRPr="004B40EC" w:rsidRDefault="004B40EC" w:rsidP="00A15461">
      <w:pPr>
        <w:adjustRightInd w:val="0"/>
        <w:spacing w:line="360" w:lineRule="auto"/>
        <w:ind w:firstLineChars="200" w:firstLine="480"/>
        <w:rPr>
          <w:color w:val="000000"/>
          <w:sz w:val="24"/>
        </w:rPr>
      </w:pPr>
      <w:r w:rsidRPr="004B40EC">
        <w:rPr>
          <w:color w:val="000000"/>
          <w:sz w:val="24"/>
        </w:rPr>
        <w:t>本基金本报告期内不存在正偏离度的绝对值达到</w:t>
      </w:r>
      <w:r w:rsidRPr="004B40EC">
        <w:rPr>
          <w:color w:val="000000"/>
          <w:sz w:val="24"/>
        </w:rPr>
        <w:t>0.5%</w:t>
      </w:r>
      <w:r w:rsidRPr="004B40EC">
        <w:rPr>
          <w:color w:val="000000"/>
          <w:sz w:val="24"/>
        </w:rPr>
        <w:t>的情况。</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8</w:t>
      </w:r>
      <w:r w:rsidR="009A5367">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本基金本报告期末未持有资产支持证券。</w:t>
      </w:r>
    </w:p>
    <w:p w:rsidR="00941F6C" w:rsidRPr="006662B2" w:rsidRDefault="00941F6C" w:rsidP="00815CDE">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4B40EC" w:rsidRPr="004B40EC" w:rsidRDefault="004B40EC" w:rsidP="004B40EC">
      <w:pPr>
        <w:spacing w:line="360" w:lineRule="auto"/>
        <w:rPr>
          <w:rFonts w:eastAsiaTheme="minorEastAsia"/>
          <w:color w:val="000000" w:themeColor="text1"/>
          <w:sz w:val="24"/>
        </w:rPr>
      </w:pPr>
      <w:r w:rsidRPr="004B40EC">
        <w:rPr>
          <w:rFonts w:eastAsiaTheme="minorEastAsia"/>
          <w:color w:val="000000" w:themeColor="text1"/>
          <w:sz w:val="24"/>
        </w:rPr>
        <w:t>5.9.1</w:t>
      </w:r>
      <w:r w:rsidRPr="004B40EC">
        <w:rPr>
          <w:rFonts w:eastAsiaTheme="minorEastAsia"/>
          <w:color w:val="000000" w:themeColor="text1"/>
          <w:sz w:val="24"/>
        </w:rPr>
        <w:t>基金计价方法说明</w:t>
      </w:r>
    </w:p>
    <w:p w:rsidR="00262A93" w:rsidRDefault="00D26E5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本基金目前投资工具的估值方法如下：</w:t>
      </w:r>
    </w:p>
    <w:p w:rsidR="00262A93" w:rsidRDefault="00D26E5E">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）基金持有的债券（包括票据）购买时采用实际支付价款（包含交易费用）确定初始成本，按实际利率计算其摊余成本及各期利息收入，每日计提收益；</w:t>
      </w:r>
    </w:p>
    <w:p w:rsidR="00262A93" w:rsidRDefault="00D26E5E">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）基金持有的回购以成本列示，按实际利率在实际持有期间内逐日计提利息；合同利率与实际利率差异较小的，也可采用合同利率计算确定利息收入；</w:t>
      </w:r>
    </w:p>
    <w:p w:rsidR="00262A93" w:rsidRDefault="00D26E5E">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）基金持有的银行存款以本金列示，按实际协议利率逐日计提利息。</w:t>
      </w:r>
    </w:p>
    <w:p w:rsidR="00262A93" w:rsidRDefault="00D26E5E">
      <w:pPr>
        <w:spacing w:line="360" w:lineRule="auto"/>
        <w:ind w:firstLineChars="200" w:firstLine="480"/>
        <w:rPr>
          <w:rFonts w:eastAsiaTheme="minorEastAsia"/>
          <w:color w:val="000000" w:themeColor="text1"/>
          <w:sz w:val="24"/>
        </w:rPr>
      </w:pPr>
      <w:r>
        <w:rPr>
          <w:rFonts w:eastAsiaTheme="minorEastAsia"/>
          <w:color w:val="000000" w:themeColor="text1"/>
          <w:sz w:val="24"/>
        </w:rPr>
        <w:t>如有确凿证据表明按上述方法进行估值不能客观反映其公允价值的，基金管理人可根据具体情况与基金托管人商定后，按最能反映公允价值的方法估值。</w:t>
      </w:r>
    </w:p>
    <w:p w:rsidR="004B40EC" w:rsidRPr="004B40EC" w:rsidRDefault="004B40EC" w:rsidP="004B40EC">
      <w:pPr>
        <w:spacing w:line="360" w:lineRule="auto"/>
        <w:ind w:firstLineChars="200" w:firstLine="480"/>
        <w:rPr>
          <w:rFonts w:eastAsiaTheme="minorEastAsia"/>
          <w:color w:val="000000" w:themeColor="text1"/>
          <w:sz w:val="24"/>
        </w:rPr>
      </w:pPr>
      <w:r w:rsidRPr="004B40EC">
        <w:rPr>
          <w:rFonts w:eastAsiaTheme="minorEastAsia"/>
          <w:color w:val="000000" w:themeColor="text1"/>
          <w:sz w:val="24"/>
        </w:rPr>
        <w:t>如有新增事项，按国家最新规定估值。</w:t>
      </w:r>
    </w:p>
    <w:p w:rsidR="00941F6C" w:rsidRPr="004B40EC" w:rsidRDefault="004B40EC" w:rsidP="004B40EC">
      <w:pPr>
        <w:widowControl/>
        <w:spacing w:line="360" w:lineRule="auto"/>
        <w:rPr>
          <w:color w:val="000000"/>
          <w:sz w:val="24"/>
        </w:rPr>
      </w:pPr>
      <w:r w:rsidRPr="004B40EC">
        <w:rPr>
          <w:rFonts w:eastAsiaTheme="minorEastAsia"/>
          <w:color w:val="000000" w:themeColor="text1"/>
          <w:sz w:val="24"/>
        </w:rPr>
        <w:t>5.9.218</w:t>
      </w:r>
      <w:r w:rsidRPr="004B40EC">
        <w:rPr>
          <w:rFonts w:eastAsiaTheme="minorEastAsia"/>
          <w:color w:val="000000" w:themeColor="text1"/>
          <w:sz w:val="24"/>
        </w:rPr>
        <w:t>中信银行</w:t>
      </w:r>
      <w:r w:rsidRPr="004B40EC">
        <w:rPr>
          <w:rFonts w:eastAsiaTheme="minorEastAsia"/>
          <w:color w:val="000000" w:themeColor="text1"/>
          <w:sz w:val="24"/>
        </w:rPr>
        <w:t>CD313</w:t>
      </w:r>
      <w:r w:rsidRPr="004B40EC">
        <w:rPr>
          <w:rFonts w:eastAsiaTheme="minorEastAsia"/>
          <w:color w:val="000000" w:themeColor="text1"/>
          <w:sz w:val="24"/>
        </w:rPr>
        <w:t>（代码：</w:t>
      </w:r>
      <w:r w:rsidRPr="004B40EC">
        <w:rPr>
          <w:rFonts w:eastAsiaTheme="minorEastAsia"/>
          <w:color w:val="000000" w:themeColor="text1"/>
          <w:sz w:val="24"/>
        </w:rPr>
        <w:t>111808313</w:t>
      </w:r>
      <w:r w:rsidRPr="004B40EC">
        <w:rPr>
          <w:rFonts w:eastAsiaTheme="minorEastAsia"/>
          <w:color w:val="000000" w:themeColor="text1"/>
          <w:sz w:val="24"/>
        </w:rPr>
        <w:t>）是易方达保证金收益货币市场基金的前十大持仓证券。</w:t>
      </w:r>
      <w:r w:rsidRPr="004B40EC">
        <w:rPr>
          <w:rFonts w:eastAsiaTheme="minorEastAsia"/>
          <w:color w:val="000000" w:themeColor="text1"/>
          <w:sz w:val="24"/>
        </w:rPr>
        <w:t>2018</w:t>
      </w:r>
      <w:r w:rsidRPr="004B40EC">
        <w:rPr>
          <w:rFonts w:eastAsiaTheme="minorEastAsia"/>
          <w:color w:val="000000" w:themeColor="text1"/>
          <w:sz w:val="24"/>
        </w:rPr>
        <w:t>年</w:t>
      </w:r>
      <w:r w:rsidRPr="004B40EC">
        <w:rPr>
          <w:rFonts w:eastAsiaTheme="minorEastAsia"/>
          <w:color w:val="000000" w:themeColor="text1"/>
          <w:sz w:val="24"/>
        </w:rPr>
        <w:t>11</w:t>
      </w:r>
      <w:r w:rsidRPr="004B40EC">
        <w:rPr>
          <w:rFonts w:eastAsiaTheme="minorEastAsia"/>
          <w:color w:val="000000" w:themeColor="text1"/>
          <w:sz w:val="24"/>
        </w:rPr>
        <w:t>月</w:t>
      </w:r>
      <w:r w:rsidRPr="004B40EC">
        <w:rPr>
          <w:rFonts w:eastAsiaTheme="minorEastAsia"/>
          <w:color w:val="000000" w:themeColor="text1"/>
          <w:sz w:val="24"/>
        </w:rPr>
        <w:t>19</w:t>
      </w:r>
      <w:r w:rsidRPr="004B40EC">
        <w:rPr>
          <w:rFonts w:eastAsiaTheme="minorEastAsia"/>
          <w:color w:val="000000" w:themeColor="text1"/>
          <w:sz w:val="24"/>
        </w:rPr>
        <w:t>日，中国银行保险监督管理委员会针对中信银行股份有限公司的如下违法违规行为作出罚款</w:t>
      </w:r>
      <w:r w:rsidRPr="004B40EC">
        <w:rPr>
          <w:rFonts w:eastAsiaTheme="minorEastAsia"/>
          <w:color w:val="000000" w:themeColor="text1"/>
          <w:sz w:val="24"/>
        </w:rPr>
        <w:t>2280</w:t>
      </w:r>
      <w:r w:rsidRPr="004B40EC">
        <w:rPr>
          <w:rFonts w:eastAsiaTheme="minorEastAsia"/>
          <w:color w:val="000000" w:themeColor="text1"/>
          <w:sz w:val="24"/>
        </w:rPr>
        <w:t>万元的行政处罚决定：（一）理财资金违规缴纳土地款；（二）自有资金融资违规缴纳土地款；（三）为非保本理财产品提供保本承诺；</w:t>
      </w:r>
      <w:r w:rsidRPr="004B40EC">
        <w:rPr>
          <w:rFonts w:eastAsiaTheme="minorEastAsia"/>
          <w:color w:val="000000" w:themeColor="text1"/>
          <w:sz w:val="24"/>
        </w:rPr>
        <w:lastRenderedPageBreak/>
        <w:t>（四）本行信贷资金为理财产品提供融资；（五）收益权转让业务违规提供信用担保；（六）项目投资审核严重缺位。</w:t>
      </w:r>
      <w:r w:rsidRPr="004B40EC">
        <w:rPr>
          <w:rFonts w:eastAsiaTheme="minorEastAsia"/>
          <w:color w:val="000000" w:themeColor="text1"/>
          <w:sz w:val="24"/>
        </w:rPr>
        <w:t xml:space="preserve"> 2019</w:t>
      </w:r>
      <w:r w:rsidRPr="004B40EC">
        <w:rPr>
          <w:rFonts w:eastAsiaTheme="minorEastAsia"/>
          <w:color w:val="000000" w:themeColor="text1"/>
          <w:sz w:val="24"/>
        </w:rPr>
        <w:t>年</w:t>
      </w:r>
      <w:r w:rsidRPr="004B40EC">
        <w:rPr>
          <w:rFonts w:eastAsiaTheme="minorEastAsia"/>
          <w:color w:val="000000" w:themeColor="text1"/>
          <w:sz w:val="24"/>
        </w:rPr>
        <w:t>7</w:t>
      </w:r>
      <w:r w:rsidRPr="004B40EC">
        <w:rPr>
          <w:rFonts w:eastAsiaTheme="minorEastAsia"/>
          <w:color w:val="000000" w:themeColor="text1"/>
          <w:sz w:val="24"/>
        </w:rPr>
        <w:t>月</w:t>
      </w:r>
      <w:r w:rsidRPr="004B40EC">
        <w:rPr>
          <w:rFonts w:eastAsiaTheme="minorEastAsia"/>
          <w:color w:val="000000" w:themeColor="text1"/>
          <w:sz w:val="24"/>
        </w:rPr>
        <w:t>3</w:t>
      </w:r>
      <w:r w:rsidRPr="004B40EC">
        <w:rPr>
          <w:rFonts w:eastAsiaTheme="minorEastAsia"/>
          <w:color w:val="000000" w:themeColor="text1"/>
          <w:sz w:val="24"/>
        </w:rPr>
        <w:t>日，中国银行保险监督管理委员会针对中信银行股份有限公司的如下违法违规行为，作出</w:t>
      </w:r>
      <w:r w:rsidRPr="004B40EC">
        <w:rPr>
          <w:rFonts w:eastAsiaTheme="minorEastAsia"/>
          <w:color w:val="000000" w:themeColor="text1"/>
          <w:sz w:val="24"/>
        </w:rPr>
        <w:t>“</w:t>
      </w:r>
      <w:r w:rsidRPr="004B40EC">
        <w:rPr>
          <w:rFonts w:eastAsiaTheme="minorEastAsia"/>
          <w:color w:val="000000" w:themeColor="text1"/>
          <w:sz w:val="24"/>
        </w:rPr>
        <w:t>没收违法所得</w:t>
      </w:r>
      <w:r w:rsidRPr="004B40EC">
        <w:rPr>
          <w:rFonts w:eastAsiaTheme="minorEastAsia"/>
          <w:color w:val="000000" w:themeColor="text1"/>
          <w:sz w:val="24"/>
        </w:rPr>
        <w:t>33.6677</w:t>
      </w:r>
      <w:r w:rsidRPr="004B40EC">
        <w:rPr>
          <w:rFonts w:eastAsiaTheme="minorEastAsia"/>
          <w:color w:val="000000" w:themeColor="text1"/>
          <w:sz w:val="24"/>
        </w:rPr>
        <w:t>万元，罚款</w:t>
      </w:r>
      <w:r w:rsidRPr="004B40EC">
        <w:rPr>
          <w:rFonts w:eastAsiaTheme="minorEastAsia"/>
          <w:color w:val="000000" w:themeColor="text1"/>
          <w:sz w:val="24"/>
        </w:rPr>
        <w:t>2190</w:t>
      </w:r>
      <w:r w:rsidRPr="004B40EC">
        <w:rPr>
          <w:rFonts w:eastAsiaTheme="minorEastAsia"/>
          <w:color w:val="000000" w:themeColor="text1"/>
          <w:sz w:val="24"/>
        </w:rPr>
        <w:t>万元，合计</w:t>
      </w:r>
      <w:r w:rsidRPr="004B40EC">
        <w:rPr>
          <w:rFonts w:eastAsiaTheme="minorEastAsia"/>
          <w:color w:val="000000" w:themeColor="text1"/>
          <w:sz w:val="24"/>
        </w:rPr>
        <w:t>2223.6677</w:t>
      </w:r>
      <w:r w:rsidRPr="004B40EC">
        <w:rPr>
          <w:rFonts w:eastAsiaTheme="minorEastAsia"/>
          <w:color w:val="000000" w:themeColor="text1"/>
          <w:sz w:val="24"/>
        </w:rPr>
        <w:t>万元</w:t>
      </w:r>
      <w:r w:rsidRPr="004B40EC">
        <w:rPr>
          <w:rFonts w:eastAsiaTheme="minorEastAsia"/>
          <w:color w:val="000000" w:themeColor="text1"/>
          <w:sz w:val="24"/>
        </w:rPr>
        <w:t>”</w:t>
      </w:r>
      <w:r w:rsidRPr="004B40EC">
        <w:rPr>
          <w:rFonts w:eastAsiaTheme="minorEastAsia"/>
          <w:color w:val="000000" w:themeColor="text1"/>
          <w:sz w:val="24"/>
        </w:rPr>
        <w:t>的行政处罚决定：（一）未按规定提供报表且逾期未改正</w:t>
      </w:r>
      <w:r w:rsidRPr="004B40EC">
        <w:rPr>
          <w:rFonts w:eastAsiaTheme="minorEastAsia"/>
          <w:color w:val="000000" w:themeColor="text1"/>
          <w:sz w:val="24"/>
        </w:rPr>
        <w:t>;</w:t>
      </w:r>
      <w:r w:rsidRPr="004B40EC">
        <w:rPr>
          <w:rFonts w:eastAsiaTheme="minorEastAsia"/>
          <w:color w:val="000000" w:themeColor="text1"/>
          <w:sz w:val="24"/>
        </w:rPr>
        <w:t>（二）错报、漏报银行业监管统计资料；（三）未向监管部门报告重要信息系统运营中断事件</w:t>
      </w:r>
      <w:r w:rsidRPr="004B40EC">
        <w:rPr>
          <w:rFonts w:eastAsiaTheme="minorEastAsia"/>
          <w:color w:val="000000" w:themeColor="text1"/>
          <w:sz w:val="24"/>
        </w:rPr>
        <w:t>;</w:t>
      </w:r>
      <w:r w:rsidRPr="004B40EC">
        <w:rPr>
          <w:rFonts w:eastAsiaTheme="minorEastAsia"/>
          <w:color w:val="000000" w:themeColor="text1"/>
          <w:sz w:val="24"/>
        </w:rPr>
        <w:t>（四）信息系统控制存在较大安全漏洞，未做到有效的安全控制</w:t>
      </w:r>
      <w:r w:rsidRPr="004B40EC">
        <w:rPr>
          <w:rFonts w:eastAsiaTheme="minorEastAsia"/>
          <w:color w:val="000000" w:themeColor="text1"/>
          <w:sz w:val="24"/>
        </w:rPr>
        <w:t>;</w:t>
      </w:r>
      <w:r w:rsidRPr="004B40EC">
        <w:rPr>
          <w:rFonts w:eastAsiaTheme="minorEastAsia"/>
          <w:color w:val="000000" w:themeColor="text1"/>
          <w:sz w:val="24"/>
        </w:rPr>
        <w:t>（五）未按企业划型标准将多家企业划分为小微型企业，报送监管数据不真实</w:t>
      </w:r>
      <w:r w:rsidRPr="004B40EC">
        <w:rPr>
          <w:rFonts w:eastAsiaTheme="minorEastAsia"/>
          <w:color w:val="000000" w:themeColor="text1"/>
          <w:sz w:val="24"/>
        </w:rPr>
        <w:t>;</w:t>
      </w:r>
      <w:r w:rsidRPr="004B40EC">
        <w:rPr>
          <w:rFonts w:eastAsiaTheme="minorEastAsia"/>
          <w:color w:val="000000" w:themeColor="text1"/>
          <w:sz w:val="24"/>
        </w:rPr>
        <w:t>（六）向关系人发放信用贷款、向关系人发放担保贷款的条件优于其他借款人同类贷款条件</w:t>
      </w:r>
      <w:r w:rsidRPr="004B40EC">
        <w:rPr>
          <w:rFonts w:eastAsiaTheme="minorEastAsia"/>
          <w:color w:val="000000" w:themeColor="text1"/>
          <w:sz w:val="24"/>
        </w:rPr>
        <w:t>;</w:t>
      </w:r>
      <w:r w:rsidRPr="004B40EC">
        <w:rPr>
          <w:rFonts w:eastAsiaTheme="minorEastAsia"/>
          <w:color w:val="000000" w:themeColor="text1"/>
          <w:sz w:val="24"/>
        </w:rPr>
        <w:t>（七）重大关联交易未按规定审查审批且未向监管部门报告</w:t>
      </w:r>
      <w:r w:rsidRPr="004B40EC">
        <w:rPr>
          <w:rFonts w:eastAsiaTheme="minorEastAsia"/>
          <w:color w:val="000000" w:themeColor="text1"/>
          <w:sz w:val="24"/>
        </w:rPr>
        <w:t>;</w:t>
      </w:r>
      <w:r w:rsidRPr="004B40EC">
        <w:rPr>
          <w:rFonts w:eastAsiaTheme="minorEastAsia"/>
          <w:color w:val="000000" w:themeColor="text1"/>
          <w:sz w:val="24"/>
        </w:rPr>
        <w:t>（八）贷后管理不到位导致贷款资金被挪用</w:t>
      </w:r>
      <w:r w:rsidRPr="004B40EC">
        <w:rPr>
          <w:rFonts w:eastAsiaTheme="minorEastAsia"/>
          <w:color w:val="000000" w:themeColor="text1"/>
          <w:sz w:val="24"/>
        </w:rPr>
        <w:t>;</w:t>
      </w:r>
      <w:r w:rsidRPr="004B40EC">
        <w:rPr>
          <w:rFonts w:eastAsiaTheme="minorEastAsia"/>
          <w:color w:val="000000" w:themeColor="text1"/>
          <w:sz w:val="24"/>
        </w:rPr>
        <w:t>（九）以流动资金贷款名义发放房地产开发贷款</w:t>
      </w:r>
      <w:r w:rsidRPr="004B40EC">
        <w:rPr>
          <w:rFonts w:eastAsiaTheme="minorEastAsia"/>
          <w:color w:val="000000" w:themeColor="text1"/>
          <w:sz w:val="24"/>
        </w:rPr>
        <w:t>;</w:t>
      </w:r>
      <w:r w:rsidRPr="004B40EC">
        <w:rPr>
          <w:rFonts w:eastAsiaTheme="minorEastAsia"/>
          <w:color w:val="000000" w:themeColor="text1"/>
          <w:sz w:val="24"/>
        </w:rPr>
        <w:t>（十）未将房地产企业贷款计入房地产开发贷款科目</w:t>
      </w:r>
      <w:r w:rsidRPr="004B40EC">
        <w:rPr>
          <w:rFonts w:eastAsiaTheme="minorEastAsia"/>
          <w:color w:val="000000" w:themeColor="text1"/>
          <w:sz w:val="24"/>
        </w:rPr>
        <w:t>;</w:t>
      </w:r>
      <w:r w:rsidRPr="004B40EC">
        <w:rPr>
          <w:rFonts w:eastAsiaTheme="minorEastAsia"/>
          <w:color w:val="000000" w:themeColor="text1"/>
          <w:sz w:val="24"/>
        </w:rPr>
        <w:t>（十一）投资同一家银行机构同期非保本理财产品采用风险权重不一致</w:t>
      </w:r>
      <w:r w:rsidRPr="004B40EC">
        <w:rPr>
          <w:rFonts w:eastAsiaTheme="minorEastAsia"/>
          <w:color w:val="000000" w:themeColor="text1"/>
          <w:sz w:val="24"/>
        </w:rPr>
        <w:t>;</w:t>
      </w:r>
      <w:r w:rsidRPr="004B40EC">
        <w:rPr>
          <w:rFonts w:eastAsiaTheme="minorEastAsia"/>
          <w:color w:val="000000" w:themeColor="text1"/>
          <w:sz w:val="24"/>
        </w:rPr>
        <w:t>（十二）购买非保本理财产品签订可提前赎回协议，未准确计量风险加权资产</w:t>
      </w:r>
      <w:r w:rsidRPr="004B40EC">
        <w:rPr>
          <w:rFonts w:eastAsiaTheme="minorEastAsia"/>
          <w:color w:val="000000" w:themeColor="text1"/>
          <w:sz w:val="24"/>
        </w:rPr>
        <w:t>;</w:t>
      </w:r>
      <w:r w:rsidRPr="004B40EC">
        <w:rPr>
          <w:rFonts w:eastAsiaTheme="minorEastAsia"/>
          <w:color w:val="000000" w:themeColor="text1"/>
          <w:sz w:val="24"/>
        </w:rPr>
        <w:t>（十三）未按规定计提资产支持证券业务的风险加权资产。</w:t>
      </w:r>
    </w:p>
    <w:p w:rsidR="00262A93" w:rsidRDefault="00D26E5E">
      <w:pPr>
        <w:widowControl/>
        <w:spacing w:line="360" w:lineRule="auto"/>
        <w:rPr>
          <w:color w:val="000000"/>
          <w:sz w:val="24"/>
        </w:rPr>
      </w:pPr>
      <w:r>
        <w:rPr>
          <w:rFonts w:eastAsiaTheme="minorEastAsia"/>
          <w:color w:val="000000" w:themeColor="text1"/>
          <w:sz w:val="24"/>
        </w:rPr>
        <w:t>18</w:t>
      </w:r>
      <w:r>
        <w:rPr>
          <w:rFonts w:eastAsiaTheme="minorEastAsia"/>
          <w:color w:val="000000" w:themeColor="text1"/>
          <w:sz w:val="24"/>
        </w:rPr>
        <w:t>农业银行</w:t>
      </w:r>
      <w:r>
        <w:rPr>
          <w:rFonts w:eastAsiaTheme="minorEastAsia"/>
          <w:color w:val="000000" w:themeColor="text1"/>
          <w:sz w:val="24"/>
        </w:rPr>
        <w:t>CD212</w:t>
      </w:r>
      <w:r>
        <w:rPr>
          <w:rFonts w:eastAsiaTheme="minorEastAsia"/>
          <w:color w:val="000000" w:themeColor="text1"/>
          <w:sz w:val="24"/>
        </w:rPr>
        <w:t>（代码：</w:t>
      </w:r>
      <w:r>
        <w:rPr>
          <w:rFonts w:eastAsiaTheme="minorEastAsia"/>
          <w:color w:val="000000" w:themeColor="text1"/>
          <w:sz w:val="24"/>
        </w:rPr>
        <w:t>111803212</w:t>
      </w:r>
      <w:r>
        <w:rPr>
          <w:rFonts w:eastAsiaTheme="minorEastAsia"/>
          <w:color w:val="000000" w:themeColor="text1"/>
          <w:sz w:val="24"/>
        </w:rPr>
        <w:t>）是易方达保证金收益货币市场基金的前十大持仓证券。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w:t>
      </w:r>
      <w:r>
        <w:rPr>
          <w:rFonts w:eastAsiaTheme="minorEastAsia"/>
          <w:color w:val="000000" w:themeColor="text1"/>
          <w:sz w:val="24"/>
        </w:rPr>
        <w:t>7</w:t>
      </w:r>
      <w:r>
        <w:rPr>
          <w:rFonts w:eastAsiaTheme="minorEastAsia"/>
          <w:color w:val="000000" w:themeColor="text1"/>
          <w:sz w:val="24"/>
        </w:rPr>
        <w:t>日，中国银保监会上海监管局针对中国农业银行股份有限公司中心部分信用卡资金违规用于非消费</w:t>
      </w:r>
      <w:r>
        <w:rPr>
          <w:rFonts w:eastAsiaTheme="minorEastAsia"/>
          <w:color w:val="000000" w:themeColor="text1"/>
          <w:sz w:val="24"/>
        </w:rPr>
        <w:t>领域的违法违规行为，作出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50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日，中国银行保险监督管理委员会上海监管局针对中国农业银行股份有限公司信用卡中心的如下违法违规行为作出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20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月在办理部分客户信用卡业务时未遵守总授信额度管理制度的违法违规事实。</w:t>
      </w:r>
    </w:p>
    <w:p w:rsidR="00262A93" w:rsidRDefault="00D26E5E">
      <w:pPr>
        <w:widowControl/>
        <w:spacing w:line="360" w:lineRule="auto"/>
        <w:rPr>
          <w:color w:val="000000"/>
          <w:sz w:val="24"/>
        </w:rPr>
      </w:pP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CD292</w:t>
      </w:r>
      <w:r>
        <w:rPr>
          <w:rFonts w:eastAsiaTheme="minorEastAsia"/>
          <w:color w:val="000000" w:themeColor="text1"/>
          <w:sz w:val="24"/>
        </w:rPr>
        <w:t>（代码：</w:t>
      </w:r>
      <w:r>
        <w:rPr>
          <w:rFonts w:eastAsiaTheme="minorEastAsia"/>
          <w:color w:val="000000" w:themeColor="text1"/>
          <w:sz w:val="24"/>
        </w:rPr>
        <w:t>111916292</w:t>
      </w:r>
      <w:r>
        <w:rPr>
          <w:rFonts w:eastAsiaTheme="minorEastAsia"/>
          <w:color w:val="000000" w:themeColor="text1"/>
          <w:sz w:val="24"/>
        </w:rPr>
        <w:t>）是易方达保证金收益货币市场基金的前十大持仓证券。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w:t>
      </w:r>
      <w:r>
        <w:rPr>
          <w:rFonts w:eastAsiaTheme="minorEastAsia"/>
          <w:color w:val="000000" w:themeColor="text1"/>
          <w:sz w:val="24"/>
        </w:rPr>
        <w:t>27</w:t>
      </w:r>
      <w:r>
        <w:rPr>
          <w:rFonts w:eastAsiaTheme="minorEastAsia"/>
          <w:color w:val="000000" w:themeColor="text1"/>
          <w:sz w:val="24"/>
        </w:rPr>
        <w:t>日，中国银行业监督管理委员会上海监管局对上海银行股份有限公司信用</w:t>
      </w:r>
      <w:r>
        <w:rPr>
          <w:rFonts w:eastAsiaTheme="minorEastAsia"/>
          <w:color w:val="000000" w:themeColor="text1"/>
          <w:sz w:val="24"/>
        </w:rPr>
        <w:t>卡中心的如下违法违规行为作出</w:t>
      </w:r>
      <w:r>
        <w:rPr>
          <w:rFonts w:eastAsiaTheme="minorEastAsia"/>
          <w:color w:val="000000" w:themeColor="text1"/>
          <w:sz w:val="24"/>
        </w:rPr>
        <w:t>“</w:t>
      </w:r>
      <w:r>
        <w:rPr>
          <w:rFonts w:eastAsiaTheme="minorEastAsia"/>
          <w:color w:val="000000" w:themeColor="text1"/>
          <w:sz w:val="24"/>
        </w:rPr>
        <w:t>责令改正，并处罚款共计</w:t>
      </w:r>
      <w:r>
        <w:rPr>
          <w:rFonts w:eastAsiaTheme="minorEastAsia"/>
          <w:color w:val="000000" w:themeColor="text1"/>
          <w:sz w:val="24"/>
        </w:rPr>
        <w:t>100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的行政处罚决定：（一）</w:t>
      </w:r>
      <w:r>
        <w:rPr>
          <w:rFonts w:eastAsiaTheme="minorEastAsia"/>
          <w:color w:val="000000" w:themeColor="text1"/>
          <w:sz w:val="24"/>
        </w:rPr>
        <w:t>2014</w:t>
      </w:r>
      <w:r>
        <w:rPr>
          <w:rFonts w:eastAsiaTheme="minorEastAsia"/>
          <w:color w:val="000000" w:themeColor="text1"/>
          <w:sz w:val="24"/>
        </w:rPr>
        <w:t>年至</w:t>
      </w:r>
      <w:r>
        <w:rPr>
          <w:rFonts w:eastAsiaTheme="minorEastAsia"/>
          <w:color w:val="000000" w:themeColor="text1"/>
          <w:sz w:val="24"/>
        </w:rPr>
        <w:t>2017</w:t>
      </w:r>
      <w:r>
        <w:rPr>
          <w:rFonts w:eastAsiaTheme="minorEastAsia"/>
          <w:color w:val="000000" w:themeColor="text1"/>
          <w:sz w:val="24"/>
        </w:rPr>
        <w:t>年间，该中心部分信用卡汽车分期资金用途核查未执行标准统一的业务流程；（二）</w:t>
      </w:r>
      <w:r>
        <w:rPr>
          <w:rFonts w:eastAsiaTheme="minorEastAsia"/>
          <w:color w:val="000000" w:themeColor="text1"/>
          <w:sz w:val="24"/>
        </w:rPr>
        <w:t>2017</w:t>
      </w:r>
      <w:r>
        <w:rPr>
          <w:rFonts w:eastAsiaTheme="minorEastAsia"/>
          <w:color w:val="000000" w:themeColor="text1"/>
          <w:sz w:val="24"/>
        </w:rPr>
        <w:t>年，该中心未对某涉嫌套现的特约商户停止服务。</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日，中国银保监会上海监管局对上海银行股份有限公司违规向其关系人发放信用贷款的行为，作出</w:t>
      </w:r>
      <w:r>
        <w:rPr>
          <w:rFonts w:eastAsiaTheme="minorEastAsia"/>
          <w:color w:val="000000" w:themeColor="text1"/>
          <w:sz w:val="24"/>
        </w:rPr>
        <w:t>“</w:t>
      </w:r>
      <w:r>
        <w:rPr>
          <w:rFonts w:eastAsiaTheme="minorEastAsia"/>
          <w:color w:val="000000" w:themeColor="text1"/>
          <w:sz w:val="24"/>
        </w:rPr>
        <w:t>责令改正，罚没合计</w:t>
      </w:r>
      <w:r>
        <w:rPr>
          <w:rFonts w:eastAsiaTheme="minorEastAsia"/>
          <w:color w:val="000000" w:themeColor="text1"/>
          <w:sz w:val="24"/>
        </w:rPr>
        <w:t>1091460.03</w:t>
      </w:r>
      <w:r>
        <w:rPr>
          <w:rFonts w:eastAsiaTheme="minorEastAsia"/>
          <w:color w:val="000000" w:themeColor="text1"/>
          <w:sz w:val="24"/>
        </w:rPr>
        <w:t>元</w:t>
      </w:r>
      <w:r>
        <w:rPr>
          <w:rFonts w:eastAsiaTheme="minorEastAsia"/>
          <w:color w:val="000000" w:themeColor="text1"/>
          <w:sz w:val="24"/>
        </w:rPr>
        <w:t>”</w:t>
      </w:r>
      <w:r>
        <w:rPr>
          <w:rFonts w:eastAsiaTheme="minorEastAsia"/>
          <w:color w:val="000000" w:themeColor="text1"/>
          <w:sz w:val="24"/>
        </w:rPr>
        <w:t>的行政处罚。</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日，中国银保监会上海监管局针对上海银行股份有限公司对某同业资金违规投向资本</w:t>
      </w:r>
      <w:r>
        <w:rPr>
          <w:rFonts w:eastAsiaTheme="minorEastAsia"/>
          <w:color w:val="000000" w:themeColor="text1"/>
          <w:sz w:val="24"/>
        </w:rPr>
        <w:lastRenderedPageBreak/>
        <w:t>金不足的房地产项目合规性审查</w:t>
      </w:r>
      <w:r>
        <w:rPr>
          <w:rFonts w:eastAsiaTheme="minorEastAsia"/>
          <w:color w:val="000000" w:themeColor="text1"/>
          <w:sz w:val="24"/>
        </w:rPr>
        <w:t>未尽职的行为，作出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50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8</w:t>
      </w:r>
      <w:r>
        <w:rPr>
          <w:rFonts w:eastAsiaTheme="minorEastAsia"/>
          <w:color w:val="000000" w:themeColor="text1"/>
          <w:sz w:val="24"/>
        </w:rPr>
        <w:t>日，中国银行保险监督管理委员会上海监管局对上海银行股份有限公司信用卡中心的如下违法违规行为作出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40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12</w:t>
      </w:r>
      <w:r>
        <w:rPr>
          <w:rFonts w:eastAsiaTheme="minorEastAsia"/>
          <w:color w:val="000000" w:themeColor="text1"/>
          <w:sz w:val="24"/>
        </w:rPr>
        <w:t>月，该中心在为部分客户办理信用卡业务时，未遵守总授信额度管理制度。</w:t>
      </w:r>
    </w:p>
    <w:p w:rsidR="00262A93" w:rsidRDefault="00D26E5E">
      <w:pPr>
        <w:widowControl/>
        <w:spacing w:line="360" w:lineRule="auto"/>
        <w:rPr>
          <w:color w:val="000000"/>
          <w:sz w:val="24"/>
        </w:rPr>
      </w:pPr>
      <w:r>
        <w:rPr>
          <w:rFonts w:eastAsiaTheme="minorEastAsia"/>
          <w:color w:val="000000" w:themeColor="text1"/>
          <w:sz w:val="24"/>
        </w:rPr>
        <w:t>本基金投资</w:t>
      </w:r>
      <w:r>
        <w:rPr>
          <w:rFonts w:eastAsiaTheme="minorEastAsia"/>
          <w:color w:val="000000" w:themeColor="text1"/>
          <w:sz w:val="24"/>
        </w:rPr>
        <w:t>18</w:t>
      </w:r>
      <w:r>
        <w:rPr>
          <w:rFonts w:eastAsiaTheme="minorEastAsia"/>
          <w:color w:val="000000" w:themeColor="text1"/>
          <w:sz w:val="24"/>
        </w:rPr>
        <w:t>中信银行</w:t>
      </w:r>
      <w:r>
        <w:rPr>
          <w:rFonts w:eastAsiaTheme="minorEastAsia"/>
          <w:color w:val="000000" w:themeColor="text1"/>
          <w:sz w:val="24"/>
        </w:rPr>
        <w:t>CD313</w:t>
      </w:r>
      <w:r>
        <w:rPr>
          <w:rFonts w:eastAsiaTheme="minorEastAsia"/>
          <w:color w:val="000000" w:themeColor="text1"/>
          <w:sz w:val="24"/>
        </w:rPr>
        <w:t>、</w:t>
      </w:r>
      <w:r>
        <w:rPr>
          <w:rFonts w:eastAsiaTheme="minorEastAsia"/>
          <w:color w:val="000000" w:themeColor="text1"/>
          <w:sz w:val="24"/>
        </w:rPr>
        <w:t>18</w:t>
      </w:r>
      <w:r>
        <w:rPr>
          <w:rFonts w:eastAsiaTheme="minorEastAsia"/>
          <w:color w:val="000000" w:themeColor="text1"/>
          <w:sz w:val="24"/>
        </w:rPr>
        <w:t>农业银行</w:t>
      </w:r>
      <w:r>
        <w:rPr>
          <w:rFonts w:eastAsiaTheme="minorEastAsia"/>
          <w:color w:val="000000" w:themeColor="text1"/>
          <w:sz w:val="24"/>
        </w:rPr>
        <w:t>CD212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CD292</w:t>
      </w:r>
      <w:r>
        <w:rPr>
          <w:rFonts w:eastAsiaTheme="minorEastAsia"/>
          <w:color w:val="000000" w:themeColor="text1"/>
          <w:sz w:val="24"/>
        </w:rPr>
        <w:t>的投资决策程序符合公司投资制度的规定。</w:t>
      </w:r>
    </w:p>
    <w:p w:rsidR="00262A93" w:rsidRDefault="00D26E5E">
      <w:pPr>
        <w:widowControl/>
        <w:spacing w:line="360" w:lineRule="auto"/>
        <w:rPr>
          <w:color w:val="000000"/>
          <w:sz w:val="24"/>
        </w:rPr>
      </w:pPr>
      <w:r>
        <w:rPr>
          <w:rFonts w:eastAsiaTheme="minorEastAsia"/>
          <w:color w:val="000000" w:themeColor="text1"/>
          <w:sz w:val="24"/>
        </w:rPr>
        <w:t>除</w:t>
      </w:r>
      <w:r>
        <w:rPr>
          <w:rFonts w:eastAsiaTheme="minorEastAsia"/>
          <w:color w:val="000000" w:themeColor="text1"/>
          <w:sz w:val="24"/>
        </w:rPr>
        <w:t>18</w:t>
      </w:r>
      <w:r>
        <w:rPr>
          <w:rFonts w:eastAsiaTheme="minorEastAsia"/>
          <w:color w:val="000000" w:themeColor="text1"/>
          <w:sz w:val="24"/>
        </w:rPr>
        <w:t>中信银行</w:t>
      </w:r>
      <w:r>
        <w:rPr>
          <w:rFonts w:eastAsiaTheme="minorEastAsia"/>
          <w:color w:val="000000" w:themeColor="text1"/>
          <w:sz w:val="24"/>
        </w:rPr>
        <w:t>CD313</w:t>
      </w:r>
      <w:r>
        <w:rPr>
          <w:rFonts w:eastAsiaTheme="minorEastAsia"/>
          <w:color w:val="000000" w:themeColor="text1"/>
          <w:sz w:val="24"/>
        </w:rPr>
        <w:t>、</w:t>
      </w:r>
      <w:r>
        <w:rPr>
          <w:rFonts w:eastAsiaTheme="minorEastAsia"/>
          <w:color w:val="000000" w:themeColor="text1"/>
          <w:sz w:val="24"/>
        </w:rPr>
        <w:t>18</w:t>
      </w:r>
      <w:r>
        <w:rPr>
          <w:rFonts w:eastAsiaTheme="minorEastAsia"/>
          <w:color w:val="000000" w:themeColor="text1"/>
          <w:sz w:val="24"/>
        </w:rPr>
        <w:t>农业银行</w:t>
      </w:r>
      <w:r>
        <w:rPr>
          <w:rFonts w:eastAsiaTheme="minorEastAsia"/>
          <w:color w:val="000000" w:themeColor="text1"/>
          <w:sz w:val="24"/>
        </w:rPr>
        <w:t>CD212</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上海银行</w:t>
      </w:r>
      <w:r>
        <w:rPr>
          <w:rFonts w:eastAsiaTheme="minorEastAsia"/>
          <w:color w:val="000000" w:themeColor="text1"/>
          <w:sz w:val="24"/>
        </w:rPr>
        <w:t>CD292</w:t>
      </w:r>
      <w:r>
        <w:rPr>
          <w:rFonts w:eastAsiaTheme="minorEastAsia"/>
          <w:color w:val="000000" w:themeColor="text1"/>
          <w:sz w:val="24"/>
        </w:rPr>
        <w:t>外，本基金投资的前十名</w:t>
      </w:r>
      <w:r>
        <w:rPr>
          <w:rFonts w:eastAsiaTheme="minorEastAsia"/>
          <w:color w:val="000000" w:themeColor="text1"/>
          <w:sz w:val="24"/>
        </w:rPr>
        <w:t>证券的发行主体本期没有出现被监管部门立案调查，或在报告编制日前一年内受到公开谴责、处罚的情形。</w:t>
      </w:r>
    </w:p>
    <w:p w:rsidR="00941F6C" w:rsidRPr="004B40EC" w:rsidRDefault="00941F6C" w:rsidP="00815CDE">
      <w:pPr>
        <w:spacing w:line="360" w:lineRule="auto"/>
        <w:rPr>
          <w:bCs/>
          <w:sz w:val="24"/>
        </w:rPr>
      </w:pPr>
      <w:r w:rsidRPr="004B40EC">
        <w:rPr>
          <w:sz w:val="24"/>
        </w:rPr>
        <w:t>5.9.3</w:t>
      </w:r>
      <w:r w:rsidRPr="004B40EC">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7"/>
              <w:jc w:val="center"/>
              <w:rPr>
                <w:color w:val="000000"/>
                <w:kern w:val="0"/>
                <w:sz w:val="24"/>
              </w:rPr>
            </w:pPr>
            <w:r w:rsidRPr="004B40EC">
              <w:rPr>
                <w:color w:val="000000"/>
                <w:kern w:val="0"/>
                <w:sz w:val="24"/>
              </w:rPr>
              <w:t>序号</w:t>
            </w:r>
          </w:p>
        </w:tc>
        <w:tc>
          <w:tcPr>
            <w:tcW w:w="3535" w:type="dxa"/>
            <w:vAlign w:val="center"/>
          </w:tcPr>
          <w:p w:rsidR="00941F6C" w:rsidRPr="004B40EC" w:rsidRDefault="00941F6C" w:rsidP="00CA7D55">
            <w:pPr>
              <w:autoSpaceDE w:val="0"/>
              <w:autoSpaceDN w:val="0"/>
              <w:adjustRightInd w:val="0"/>
              <w:spacing w:before="29" w:line="360" w:lineRule="auto"/>
              <w:ind w:left="17"/>
              <w:jc w:val="center"/>
              <w:rPr>
                <w:color w:val="000000"/>
                <w:kern w:val="0"/>
                <w:sz w:val="24"/>
              </w:rPr>
            </w:pPr>
            <w:r w:rsidRPr="004B40EC">
              <w:rPr>
                <w:color w:val="000000"/>
                <w:kern w:val="0"/>
                <w:sz w:val="24"/>
              </w:rPr>
              <w:t>名称</w:t>
            </w:r>
          </w:p>
        </w:tc>
        <w:tc>
          <w:tcPr>
            <w:tcW w:w="4808" w:type="dxa"/>
            <w:vAlign w:val="center"/>
          </w:tcPr>
          <w:p w:rsidR="00941F6C" w:rsidRPr="004B40EC" w:rsidRDefault="00941F6C" w:rsidP="00DC22A1">
            <w:pPr>
              <w:autoSpaceDE w:val="0"/>
              <w:autoSpaceDN w:val="0"/>
              <w:adjustRightInd w:val="0"/>
              <w:spacing w:before="29" w:line="360" w:lineRule="auto"/>
              <w:ind w:left="17"/>
              <w:jc w:val="center"/>
              <w:rPr>
                <w:color w:val="000000"/>
                <w:kern w:val="0"/>
                <w:sz w:val="24"/>
              </w:rPr>
            </w:pPr>
            <w:r w:rsidRPr="004B40EC">
              <w:rPr>
                <w:color w:val="000000"/>
                <w:kern w:val="0"/>
                <w:sz w:val="24"/>
              </w:rPr>
              <w:t>金额</w:t>
            </w:r>
            <w:r w:rsidR="00DC22A1" w:rsidRPr="004B40EC">
              <w:rPr>
                <w:color w:val="000000"/>
                <w:kern w:val="0"/>
                <w:sz w:val="24"/>
              </w:rPr>
              <w:t>（元）</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kern w:val="0"/>
                <w:sz w:val="24"/>
              </w:rPr>
            </w:pPr>
            <w:r w:rsidRPr="004B40EC">
              <w:rPr>
                <w:color w:val="000000"/>
                <w:sz w:val="24"/>
              </w:rPr>
              <w:t>1</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存出保证金</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2</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应收证券清算款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50,860.27</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3</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应收利息</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1,162,293.18</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4</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应收申购款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5</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其他应收款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6</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待摊费用</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7</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其他</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8</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合计</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1,213,153.45</w:t>
            </w:r>
          </w:p>
        </w:tc>
      </w:tr>
    </w:tbl>
    <w:p w:rsidR="00873984" w:rsidRPr="0097021E" w:rsidRDefault="00873984"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873984" w:rsidRPr="00361E73" w:rsidRDefault="00873984" w:rsidP="00873984">
      <w:pPr>
        <w:autoSpaceDE w:val="0"/>
        <w:autoSpaceDN w:val="0"/>
        <w:adjustRightInd w:val="0"/>
        <w:spacing w:before="29" w:line="360" w:lineRule="auto"/>
        <w:ind w:left="15"/>
        <w:jc w:val="right"/>
        <w:rPr>
          <w:rFonts w:ascii="宋体" w:hAnsi="宋体" w:cs="Arial"/>
          <w:color w:val="000000"/>
          <w:kern w:val="0"/>
          <w:sz w:val="24"/>
        </w:rPr>
      </w:pPr>
      <w:r w:rsidRPr="00361E73">
        <w:rPr>
          <w:rFonts w:ascii="宋体" w:hAnsi="宋体" w:cs="Arial" w:hint="eastAsia"/>
          <w:color w:val="000000"/>
          <w:kern w:val="0"/>
          <w:sz w:val="24"/>
        </w:rPr>
        <w:t>单位：份</w:t>
      </w: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4"/>
        <w:gridCol w:w="2920"/>
        <w:gridCol w:w="2920"/>
      </w:tblGrid>
      <w:tr w:rsidR="00873984" w:rsidRPr="00E179CD" w:rsidTr="00547B14">
        <w:tc>
          <w:tcPr>
            <w:tcW w:w="4134"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color w:val="000000"/>
                <w:kern w:val="0"/>
                <w:sz w:val="24"/>
              </w:rPr>
              <w:t>项目</w:t>
            </w:r>
          </w:p>
        </w:tc>
        <w:tc>
          <w:tcPr>
            <w:tcW w:w="2920"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sz w:val="24"/>
              </w:rPr>
              <w:t>易方达保证金货币</w:t>
            </w:r>
            <w:r w:rsidRPr="00361E73">
              <w:rPr>
                <w:sz w:val="24"/>
              </w:rPr>
              <w:t>A</w:t>
            </w:r>
          </w:p>
        </w:tc>
        <w:tc>
          <w:tcPr>
            <w:tcW w:w="2920"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sz w:val="24"/>
              </w:rPr>
              <w:t>易方达保证金货币</w:t>
            </w:r>
            <w:r w:rsidRPr="00361E73">
              <w:rPr>
                <w:sz w:val="24"/>
              </w:rPr>
              <w:t>B</w:t>
            </w:r>
          </w:p>
        </w:tc>
      </w:tr>
      <w:tr w:rsidR="00873984" w:rsidRPr="00E179CD" w:rsidTr="00547B14">
        <w:tc>
          <w:tcPr>
            <w:tcW w:w="4134" w:type="dxa"/>
            <w:vAlign w:val="center"/>
          </w:tcPr>
          <w:p w:rsidR="00873984" w:rsidRPr="00361E73" w:rsidRDefault="00873984" w:rsidP="00547B14">
            <w:pPr>
              <w:autoSpaceDE w:val="0"/>
              <w:autoSpaceDN w:val="0"/>
              <w:adjustRightInd w:val="0"/>
              <w:spacing w:before="29" w:line="360" w:lineRule="auto"/>
              <w:ind w:left="17"/>
              <w:rPr>
                <w:color w:val="000000"/>
                <w:kern w:val="0"/>
                <w:sz w:val="24"/>
              </w:rPr>
            </w:pPr>
            <w:r w:rsidRPr="00A15461">
              <w:rPr>
                <w:color w:val="000000"/>
                <w:kern w:val="0"/>
                <w:sz w:val="24"/>
              </w:rPr>
              <w:t>报告期期初基金份额总额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1,712,919.00</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4,120,036.00</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361E73">
              <w:rPr>
                <w:color w:val="000000"/>
                <w:kern w:val="0"/>
                <w:sz w:val="24"/>
              </w:rPr>
              <w:t>本报告期</w:t>
            </w:r>
            <w:r w:rsidRPr="009742E2">
              <w:rPr>
                <w:color w:val="000000"/>
                <w:sz w:val="24"/>
              </w:rPr>
              <w:t>基金总申购份额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457,488,078.00</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35,399,908.00</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361E73">
              <w:rPr>
                <w:color w:val="000000"/>
                <w:kern w:val="0"/>
                <w:sz w:val="24"/>
              </w:rPr>
              <w:lastRenderedPageBreak/>
              <w:t>本报告期</w:t>
            </w:r>
            <w:r w:rsidRPr="009742E2">
              <w:rPr>
                <w:color w:val="000000"/>
                <w:sz w:val="24"/>
              </w:rPr>
              <w:t>基金总赎回份额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457,255,040.00</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36,260,431.00</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9742E2">
              <w:rPr>
                <w:color w:val="000000"/>
                <w:sz w:val="24"/>
              </w:rPr>
              <w:t>报告期期末基金份额总额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1,945,957.00</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3,259,513.00</w:t>
            </w:r>
          </w:p>
        </w:tc>
      </w:tr>
    </w:tbl>
    <w:p w:rsidR="00873984" w:rsidRPr="00A15461" w:rsidRDefault="00873984" w:rsidP="00873984">
      <w:pPr>
        <w:adjustRightInd w:val="0"/>
        <w:spacing w:line="360" w:lineRule="auto"/>
        <w:ind w:firstLineChars="200" w:firstLine="480"/>
        <w:rPr>
          <w:color w:val="000000"/>
          <w:sz w:val="24"/>
        </w:rPr>
      </w:pPr>
      <w:r w:rsidRPr="00361E73">
        <w:rPr>
          <w:color w:val="000000"/>
          <w:sz w:val="24"/>
        </w:rPr>
        <w:t>注：总申购份额含因份额升降级、二级市场买入等导致的强制调增份额，总赎回份额含因份额升降级、二级市场卖出等导致的强制调减份额。</w:t>
      </w:r>
    </w:p>
    <w:p w:rsidR="00941F6C" w:rsidRPr="00264E55" w:rsidRDefault="00941F6C" w:rsidP="00CE0B87">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7</w:t>
      </w:r>
      <w:r w:rsidR="00B963A4" w:rsidRPr="0097021E">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本报告期内基金管理人未运用固有资金申购、赎回、买卖本基金份额。</w:t>
      </w:r>
    </w:p>
    <w:p w:rsidR="00764629" w:rsidRPr="002C33A0" w:rsidRDefault="00764629" w:rsidP="00764629">
      <w:pPr>
        <w:pStyle w:val="1"/>
        <w:spacing w:beforeLines="100" w:before="312" w:afterLines="100" w:after="312" w:line="360" w:lineRule="auto"/>
        <w:jc w:val="center"/>
        <w:rPr>
          <w:rFonts w:ascii="宋体" w:hAnsi="宋体" w:cs="Arial"/>
          <w:color w:val="000000"/>
          <w:kern w:val="0"/>
          <w:sz w:val="24"/>
          <w:szCs w:val="24"/>
        </w:rPr>
      </w:pPr>
      <w:r w:rsidRPr="002C33A0">
        <w:rPr>
          <w:rFonts w:ascii="宋体" w:hAnsi="宋体" w:cs="Arial"/>
          <w:color w:val="000000"/>
          <w:kern w:val="0"/>
          <w:sz w:val="24"/>
          <w:szCs w:val="24"/>
        </w:rPr>
        <w:t>§8</w:t>
      </w:r>
      <w:r w:rsidR="00B963A4" w:rsidRPr="0097021E">
        <w:rPr>
          <w:rFonts w:ascii="宋体" w:hAnsi="宋体" w:cs="Arial"/>
          <w:color w:val="000000"/>
          <w:kern w:val="0"/>
          <w:sz w:val="24"/>
          <w:szCs w:val="24"/>
        </w:rPr>
        <w:t xml:space="preserve">  </w:t>
      </w:r>
      <w:r w:rsidRPr="002C33A0">
        <w:rPr>
          <w:rFonts w:ascii="宋体" w:hAnsi="宋体" w:cs="Arial"/>
          <w:color w:val="000000"/>
          <w:kern w:val="0"/>
          <w:sz w:val="24"/>
          <w:szCs w:val="24"/>
        </w:rPr>
        <w:t>影响投资者决策的其他重要信息</w:t>
      </w:r>
    </w:p>
    <w:p w:rsidR="001614DC" w:rsidRPr="001F5F5D" w:rsidRDefault="001614DC" w:rsidP="001614DC">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a"/>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1614DC" w:rsidRPr="00FC0759" w:rsidTr="00CD72D6">
        <w:trPr>
          <w:jc w:val="center"/>
        </w:trPr>
        <w:tc>
          <w:tcPr>
            <w:tcW w:w="709" w:type="dxa"/>
            <w:vMerge w:val="restart"/>
            <w:vAlign w:val="center"/>
          </w:tcPr>
          <w:p w:rsidR="001614DC" w:rsidRPr="00FC0759" w:rsidRDefault="001614DC"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1614DC" w:rsidRPr="00FC0759" w:rsidRDefault="001614DC"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1614DC" w:rsidRPr="00FC0759" w:rsidRDefault="001614DC"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1614DC" w:rsidRPr="00FC0759" w:rsidTr="00CD72D6">
        <w:trPr>
          <w:jc w:val="center"/>
        </w:trPr>
        <w:tc>
          <w:tcPr>
            <w:tcW w:w="709" w:type="dxa"/>
            <w:vMerge/>
            <w:vAlign w:val="center"/>
          </w:tcPr>
          <w:p w:rsidR="001614DC" w:rsidRPr="00FC0759" w:rsidRDefault="001614DC"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1614DC" w:rsidRPr="00FC0759" w:rsidRDefault="001614DC"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1614DC" w:rsidRPr="00FC0759" w:rsidRDefault="001614DC"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1614DC" w:rsidRPr="00FC0759" w:rsidRDefault="001614DC"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1614DC" w:rsidRPr="00FC0759" w:rsidRDefault="001614DC"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1614DC" w:rsidRPr="00FC0759" w:rsidRDefault="001614DC"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1614DC" w:rsidRPr="00FC0759" w:rsidRDefault="001614DC"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1614DC" w:rsidRPr="00FC0759" w:rsidRDefault="001614DC"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262A93">
        <w:trPr>
          <w:jc w:val="center"/>
        </w:trPr>
        <w:tc>
          <w:tcPr>
            <w:tcW w:w="709" w:type="dxa"/>
            <w:vMerge w:val="restart"/>
            <w:vAlign w:val="center"/>
          </w:tcPr>
          <w:p w:rsidR="00262A93" w:rsidRDefault="00D26E5E">
            <w:r>
              <w:rPr>
                <w:rFonts w:eastAsiaTheme="minorEastAsia"/>
                <w:bCs/>
                <w:color w:val="000000" w:themeColor="text1"/>
                <w:sz w:val="24"/>
              </w:rPr>
              <w:t>机构</w:t>
            </w:r>
          </w:p>
        </w:tc>
        <w:tc>
          <w:tcPr>
            <w:tcW w:w="709" w:type="dxa"/>
            <w:vAlign w:val="center"/>
          </w:tcPr>
          <w:p w:rsidR="00262A93" w:rsidRDefault="00D26E5E">
            <w:pPr>
              <w:jc w:val="center"/>
            </w:pPr>
            <w:r>
              <w:rPr>
                <w:sz w:val="24"/>
              </w:rPr>
              <w:t>1</w:t>
            </w:r>
          </w:p>
        </w:tc>
        <w:tc>
          <w:tcPr>
            <w:tcW w:w="2126" w:type="dxa"/>
            <w:vAlign w:val="center"/>
          </w:tcPr>
          <w:p w:rsidR="00262A93" w:rsidRDefault="00D26E5E">
            <w:pPr>
              <w:jc w:val="center"/>
            </w:pPr>
            <w:r>
              <w:rPr>
                <w:sz w:val="24"/>
              </w:rPr>
              <w:t>2019</w:t>
            </w:r>
            <w:r>
              <w:rPr>
                <w:sz w:val="24"/>
              </w:rPr>
              <w:t>年</w:t>
            </w:r>
            <w:r>
              <w:rPr>
                <w:sz w:val="24"/>
              </w:rPr>
              <w:t>08</w:t>
            </w:r>
            <w:r>
              <w:rPr>
                <w:sz w:val="24"/>
              </w:rPr>
              <w:t>月</w:t>
            </w:r>
            <w:r>
              <w:rPr>
                <w:sz w:val="24"/>
              </w:rPr>
              <w:t>05</w:t>
            </w:r>
            <w:r>
              <w:rPr>
                <w:sz w:val="24"/>
              </w:rPr>
              <w:t>日</w:t>
            </w:r>
            <w:r>
              <w:rPr>
                <w:sz w:val="24"/>
              </w:rPr>
              <w:t>~2019</w:t>
            </w:r>
            <w:r>
              <w:rPr>
                <w:sz w:val="24"/>
              </w:rPr>
              <w:t>年</w:t>
            </w:r>
            <w:r>
              <w:rPr>
                <w:sz w:val="24"/>
              </w:rPr>
              <w:t>08</w:t>
            </w:r>
            <w:r>
              <w:rPr>
                <w:sz w:val="24"/>
              </w:rPr>
              <w:t>月</w:t>
            </w:r>
            <w:r>
              <w:rPr>
                <w:sz w:val="24"/>
              </w:rPr>
              <w:t>08</w:t>
            </w:r>
            <w:r>
              <w:rPr>
                <w:sz w:val="24"/>
              </w:rPr>
              <w:t>日</w:t>
            </w:r>
          </w:p>
        </w:tc>
        <w:tc>
          <w:tcPr>
            <w:tcW w:w="1276" w:type="dxa"/>
            <w:vAlign w:val="center"/>
          </w:tcPr>
          <w:p w:rsidR="00262A93" w:rsidRDefault="00D26E5E">
            <w:pPr>
              <w:jc w:val="center"/>
            </w:pPr>
            <w:r>
              <w:rPr>
                <w:sz w:val="24"/>
              </w:rPr>
              <w:t>-</w:t>
            </w:r>
          </w:p>
        </w:tc>
        <w:tc>
          <w:tcPr>
            <w:tcW w:w="1276" w:type="dxa"/>
            <w:vAlign w:val="center"/>
          </w:tcPr>
          <w:p w:rsidR="00262A93" w:rsidRDefault="00D26E5E">
            <w:pPr>
              <w:jc w:val="center"/>
            </w:pPr>
            <w:r>
              <w:rPr>
                <w:sz w:val="24"/>
              </w:rPr>
              <w:t>3,928,849.00</w:t>
            </w:r>
          </w:p>
        </w:tc>
        <w:tc>
          <w:tcPr>
            <w:tcW w:w="1276" w:type="dxa"/>
            <w:vAlign w:val="center"/>
          </w:tcPr>
          <w:p w:rsidR="00262A93" w:rsidRDefault="00D26E5E">
            <w:pPr>
              <w:jc w:val="center"/>
            </w:pPr>
            <w:r>
              <w:rPr>
                <w:sz w:val="24"/>
              </w:rPr>
              <w:t>3,928,849.00</w:t>
            </w:r>
          </w:p>
        </w:tc>
        <w:tc>
          <w:tcPr>
            <w:tcW w:w="1417" w:type="dxa"/>
            <w:vAlign w:val="center"/>
          </w:tcPr>
          <w:p w:rsidR="00262A93" w:rsidRDefault="00D26E5E">
            <w:pPr>
              <w:jc w:val="center"/>
            </w:pPr>
            <w:r>
              <w:rPr>
                <w:sz w:val="24"/>
              </w:rPr>
              <w:t>-</w:t>
            </w:r>
          </w:p>
        </w:tc>
        <w:tc>
          <w:tcPr>
            <w:tcW w:w="851" w:type="dxa"/>
            <w:vAlign w:val="center"/>
          </w:tcPr>
          <w:p w:rsidR="00262A93" w:rsidRDefault="00D26E5E">
            <w:pPr>
              <w:jc w:val="center"/>
            </w:pPr>
            <w:r>
              <w:rPr>
                <w:sz w:val="24"/>
              </w:rPr>
              <w:t>-</w:t>
            </w:r>
          </w:p>
        </w:tc>
      </w:tr>
      <w:tr w:rsidR="00262A93">
        <w:trPr>
          <w:jc w:val="center"/>
        </w:trPr>
        <w:tc>
          <w:tcPr>
            <w:tcW w:w="709" w:type="dxa"/>
            <w:vMerge/>
          </w:tcPr>
          <w:p w:rsidR="00262A93" w:rsidRDefault="00262A93"/>
        </w:tc>
        <w:tc>
          <w:tcPr>
            <w:tcW w:w="709" w:type="dxa"/>
            <w:vAlign w:val="center"/>
          </w:tcPr>
          <w:p w:rsidR="00262A93" w:rsidRDefault="00D26E5E">
            <w:pPr>
              <w:jc w:val="center"/>
            </w:pPr>
            <w:r>
              <w:rPr>
                <w:sz w:val="24"/>
              </w:rPr>
              <w:t>2</w:t>
            </w:r>
          </w:p>
        </w:tc>
        <w:tc>
          <w:tcPr>
            <w:tcW w:w="2126" w:type="dxa"/>
            <w:vAlign w:val="center"/>
          </w:tcPr>
          <w:p w:rsidR="00262A93" w:rsidRDefault="00D26E5E">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07</w:t>
            </w:r>
            <w:r>
              <w:rPr>
                <w:sz w:val="24"/>
              </w:rPr>
              <w:t>月</w:t>
            </w:r>
            <w:r>
              <w:rPr>
                <w:sz w:val="24"/>
              </w:rPr>
              <w:t>03</w:t>
            </w:r>
            <w:r>
              <w:rPr>
                <w:sz w:val="24"/>
              </w:rPr>
              <w:t>日</w:t>
            </w:r>
            <w:r>
              <w:rPr>
                <w:sz w:val="24"/>
              </w:rPr>
              <w:t>,2019</w:t>
            </w:r>
            <w:r>
              <w:rPr>
                <w:sz w:val="24"/>
              </w:rPr>
              <w:t>年</w:t>
            </w:r>
            <w:r>
              <w:rPr>
                <w:sz w:val="24"/>
              </w:rPr>
              <w:t>07</w:t>
            </w:r>
            <w:r>
              <w:rPr>
                <w:sz w:val="24"/>
              </w:rPr>
              <w:t>月</w:t>
            </w:r>
            <w:r>
              <w:rPr>
                <w:sz w:val="24"/>
              </w:rPr>
              <w:t>09</w:t>
            </w:r>
            <w:r>
              <w:rPr>
                <w:sz w:val="24"/>
              </w:rPr>
              <w:t>日</w:t>
            </w:r>
            <w:r>
              <w:rPr>
                <w:sz w:val="24"/>
              </w:rPr>
              <w:t>,2019</w:t>
            </w:r>
            <w:r>
              <w:rPr>
                <w:sz w:val="24"/>
              </w:rPr>
              <w:t>年</w:t>
            </w:r>
            <w:r>
              <w:rPr>
                <w:sz w:val="24"/>
              </w:rPr>
              <w:t>07</w:t>
            </w:r>
            <w:r>
              <w:rPr>
                <w:sz w:val="24"/>
              </w:rPr>
              <w:t>月</w:t>
            </w:r>
            <w:r>
              <w:rPr>
                <w:sz w:val="24"/>
              </w:rPr>
              <w:t>11</w:t>
            </w:r>
            <w:r>
              <w:rPr>
                <w:sz w:val="24"/>
              </w:rPr>
              <w:t>日</w:t>
            </w:r>
            <w:r>
              <w:rPr>
                <w:sz w:val="24"/>
              </w:rPr>
              <w:t>~2019</w:t>
            </w:r>
            <w:r>
              <w:rPr>
                <w:sz w:val="24"/>
              </w:rPr>
              <w:t>年</w:t>
            </w:r>
            <w:r>
              <w:rPr>
                <w:sz w:val="24"/>
              </w:rPr>
              <w:t>07</w:t>
            </w:r>
            <w:r>
              <w:rPr>
                <w:sz w:val="24"/>
              </w:rPr>
              <w:t>月</w:t>
            </w:r>
            <w:r>
              <w:rPr>
                <w:sz w:val="24"/>
              </w:rPr>
              <w:t>15</w:t>
            </w:r>
            <w:r>
              <w:rPr>
                <w:sz w:val="24"/>
              </w:rPr>
              <w:t>日</w:t>
            </w:r>
            <w:r>
              <w:rPr>
                <w:sz w:val="24"/>
              </w:rPr>
              <w:t>,2019</w:t>
            </w:r>
            <w:r>
              <w:rPr>
                <w:sz w:val="24"/>
              </w:rPr>
              <w:t>年</w:t>
            </w:r>
            <w:r>
              <w:rPr>
                <w:sz w:val="24"/>
              </w:rPr>
              <w:t>07</w:t>
            </w:r>
            <w:r>
              <w:rPr>
                <w:sz w:val="24"/>
              </w:rPr>
              <w:t>月</w:t>
            </w:r>
            <w:r>
              <w:rPr>
                <w:sz w:val="24"/>
              </w:rPr>
              <w:t>17</w:t>
            </w:r>
            <w:r>
              <w:rPr>
                <w:sz w:val="24"/>
              </w:rPr>
              <w:t>日</w:t>
            </w:r>
            <w:r>
              <w:rPr>
                <w:sz w:val="24"/>
              </w:rPr>
              <w:t>,2019</w:t>
            </w:r>
            <w:r>
              <w:rPr>
                <w:sz w:val="24"/>
              </w:rPr>
              <w:t>年</w:t>
            </w:r>
            <w:r>
              <w:rPr>
                <w:sz w:val="24"/>
              </w:rPr>
              <w:t>07</w:t>
            </w:r>
            <w:r>
              <w:rPr>
                <w:sz w:val="24"/>
              </w:rPr>
              <w:t>月</w:t>
            </w:r>
            <w:r>
              <w:rPr>
                <w:sz w:val="24"/>
              </w:rPr>
              <w:t>23</w:t>
            </w:r>
            <w:r>
              <w:rPr>
                <w:sz w:val="24"/>
              </w:rPr>
              <w:t>日</w:t>
            </w:r>
            <w:r>
              <w:rPr>
                <w:sz w:val="24"/>
              </w:rPr>
              <w:t>~2019</w:t>
            </w:r>
            <w:r>
              <w:rPr>
                <w:sz w:val="24"/>
              </w:rPr>
              <w:t>年</w:t>
            </w:r>
            <w:r>
              <w:rPr>
                <w:sz w:val="24"/>
              </w:rPr>
              <w:t>07</w:t>
            </w:r>
            <w:r>
              <w:rPr>
                <w:sz w:val="24"/>
              </w:rPr>
              <w:t>月</w:t>
            </w:r>
            <w:r>
              <w:rPr>
                <w:sz w:val="24"/>
              </w:rPr>
              <w:t>31</w:t>
            </w:r>
            <w:r>
              <w:rPr>
                <w:sz w:val="24"/>
              </w:rPr>
              <w:t>日</w:t>
            </w:r>
          </w:p>
        </w:tc>
        <w:tc>
          <w:tcPr>
            <w:tcW w:w="1276" w:type="dxa"/>
            <w:vAlign w:val="center"/>
          </w:tcPr>
          <w:p w:rsidR="00262A93" w:rsidRDefault="00D26E5E">
            <w:pPr>
              <w:jc w:val="center"/>
            </w:pPr>
            <w:r>
              <w:rPr>
                <w:sz w:val="24"/>
              </w:rPr>
              <w:t>2,139,467.00</w:t>
            </w:r>
          </w:p>
        </w:tc>
        <w:tc>
          <w:tcPr>
            <w:tcW w:w="1276" w:type="dxa"/>
            <w:vAlign w:val="center"/>
          </w:tcPr>
          <w:p w:rsidR="00262A93" w:rsidRDefault="00D26E5E">
            <w:pPr>
              <w:jc w:val="center"/>
            </w:pPr>
            <w:r>
              <w:rPr>
                <w:sz w:val="24"/>
              </w:rPr>
              <w:t>5,071,700.00</w:t>
            </w:r>
          </w:p>
        </w:tc>
        <w:tc>
          <w:tcPr>
            <w:tcW w:w="1276" w:type="dxa"/>
            <w:vAlign w:val="center"/>
          </w:tcPr>
          <w:p w:rsidR="00262A93" w:rsidRDefault="00D26E5E">
            <w:pPr>
              <w:jc w:val="center"/>
            </w:pPr>
            <w:r>
              <w:rPr>
                <w:sz w:val="24"/>
              </w:rPr>
              <w:t>7,161,267.00</w:t>
            </w:r>
          </w:p>
        </w:tc>
        <w:tc>
          <w:tcPr>
            <w:tcW w:w="1417" w:type="dxa"/>
            <w:vAlign w:val="center"/>
          </w:tcPr>
          <w:p w:rsidR="00262A93" w:rsidRDefault="00D26E5E">
            <w:pPr>
              <w:jc w:val="center"/>
            </w:pPr>
            <w:r>
              <w:rPr>
                <w:sz w:val="24"/>
              </w:rPr>
              <w:t>49,900.00</w:t>
            </w:r>
          </w:p>
        </w:tc>
        <w:tc>
          <w:tcPr>
            <w:tcW w:w="851" w:type="dxa"/>
            <w:vAlign w:val="center"/>
          </w:tcPr>
          <w:p w:rsidR="00262A93" w:rsidRDefault="00D26E5E">
            <w:pPr>
              <w:jc w:val="center"/>
            </w:pPr>
            <w:r>
              <w:rPr>
                <w:sz w:val="24"/>
              </w:rPr>
              <w:t>0.96%</w:t>
            </w:r>
          </w:p>
        </w:tc>
      </w:tr>
      <w:tr w:rsidR="001614DC" w:rsidRPr="00FC0759" w:rsidTr="00CD72D6">
        <w:trPr>
          <w:jc w:val="center"/>
        </w:trPr>
        <w:tc>
          <w:tcPr>
            <w:tcW w:w="9637" w:type="dxa"/>
            <w:gridSpan w:val="8"/>
            <w:vAlign w:val="center"/>
          </w:tcPr>
          <w:p w:rsidR="001614DC" w:rsidRPr="00FC0759" w:rsidRDefault="001614DC" w:rsidP="009D3827">
            <w:pPr>
              <w:autoSpaceDE w:val="0"/>
              <w:autoSpaceDN w:val="0"/>
              <w:adjustRightInd w:val="0"/>
              <w:jc w:val="center"/>
              <w:rPr>
                <w:sz w:val="24"/>
              </w:rPr>
            </w:pPr>
            <w:r w:rsidRPr="00FC0759">
              <w:rPr>
                <w:color w:val="000000"/>
                <w:sz w:val="24"/>
              </w:rPr>
              <w:t>产品特有风险</w:t>
            </w:r>
          </w:p>
        </w:tc>
      </w:tr>
      <w:tr w:rsidR="001614DC" w:rsidRPr="00FC0759" w:rsidTr="00CD72D6">
        <w:trPr>
          <w:jc w:val="center"/>
        </w:trPr>
        <w:tc>
          <w:tcPr>
            <w:tcW w:w="9637" w:type="dxa"/>
            <w:gridSpan w:val="8"/>
            <w:vAlign w:val="center"/>
          </w:tcPr>
          <w:p w:rsidR="001614DC" w:rsidRPr="00FC0759" w:rsidRDefault="001614DC"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w:t>
            </w:r>
            <w:r w:rsidRPr="00FC0759">
              <w:rPr>
                <w:sz w:val="24"/>
              </w:rPr>
              <w:lastRenderedPageBreak/>
              <w:t>止基金合同等情形；持有基金份额占比较高的投资者在召开持有人大会并对审议事项进行投票表决时可能拥有较大话语权。</w:t>
            </w:r>
          </w:p>
        </w:tc>
      </w:tr>
    </w:tbl>
    <w:p w:rsidR="001614DC" w:rsidRPr="00FC0759" w:rsidRDefault="001614DC" w:rsidP="001614DC">
      <w:pPr>
        <w:autoSpaceDE w:val="0"/>
        <w:autoSpaceDN w:val="0"/>
        <w:adjustRightInd w:val="0"/>
        <w:spacing w:line="360" w:lineRule="auto"/>
        <w:ind w:firstLineChars="200" w:firstLine="480"/>
        <w:jc w:val="left"/>
        <w:rPr>
          <w:rFonts w:eastAsiaTheme="minorEastAsia"/>
          <w:bCs/>
          <w:color w:val="000000" w:themeColor="text1"/>
          <w:kern w:val="0"/>
          <w:sz w:val="24"/>
        </w:rPr>
      </w:pPr>
      <w:r w:rsidRPr="00FC0759">
        <w:rPr>
          <w:bCs/>
          <w:color w:val="000000" w:themeColor="text1"/>
          <w:kern w:val="0"/>
          <w:sz w:val="24"/>
        </w:rPr>
        <w:lastRenderedPageBreak/>
        <w:t>注：申购份额包括申购或者买入基金份额，赎回份额包括赎回或者卖出基金份额。</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9  </w:t>
      </w:r>
      <w:r w:rsidRPr="0097021E">
        <w:rPr>
          <w:rFonts w:ascii="宋体" w:hAnsi="宋体" w:cs="Arial" w:hint="eastAsia"/>
          <w:color w:val="000000"/>
          <w:kern w:val="0"/>
          <w:sz w:val="24"/>
          <w:szCs w:val="24"/>
        </w:rPr>
        <w:t>备查文件目录</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262A93" w:rsidRDefault="00D26E5E">
      <w:pPr>
        <w:adjustRightInd w:val="0"/>
        <w:spacing w:line="360" w:lineRule="auto"/>
        <w:ind w:firstLineChars="200" w:firstLine="480"/>
        <w:rPr>
          <w:color w:val="000000"/>
          <w:sz w:val="24"/>
        </w:rPr>
      </w:pPr>
      <w:r>
        <w:rPr>
          <w:color w:val="000000"/>
          <w:sz w:val="24"/>
        </w:rPr>
        <w:t>1.</w:t>
      </w:r>
      <w:r>
        <w:rPr>
          <w:color w:val="000000"/>
          <w:sz w:val="24"/>
        </w:rPr>
        <w:t>中国证监会核准易方达保证金收益货币市场基金募集的文件；</w:t>
      </w:r>
    </w:p>
    <w:p w:rsidR="00262A93" w:rsidRDefault="00D26E5E">
      <w:pPr>
        <w:adjustRightInd w:val="0"/>
        <w:spacing w:line="360" w:lineRule="auto"/>
        <w:ind w:firstLineChars="200" w:firstLine="480"/>
        <w:rPr>
          <w:color w:val="000000"/>
          <w:sz w:val="24"/>
        </w:rPr>
      </w:pPr>
      <w:r>
        <w:rPr>
          <w:color w:val="000000"/>
          <w:sz w:val="24"/>
        </w:rPr>
        <w:t>2.</w:t>
      </w:r>
      <w:r>
        <w:rPr>
          <w:color w:val="000000"/>
          <w:sz w:val="24"/>
        </w:rPr>
        <w:t>《易方达保证金收益货币市场基金基金合同》；</w:t>
      </w:r>
    </w:p>
    <w:p w:rsidR="00262A93" w:rsidRDefault="00D26E5E">
      <w:pPr>
        <w:adjustRightInd w:val="0"/>
        <w:spacing w:line="360" w:lineRule="auto"/>
        <w:ind w:firstLineChars="200" w:firstLine="480"/>
        <w:rPr>
          <w:color w:val="000000"/>
          <w:sz w:val="24"/>
        </w:rPr>
      </w:pPr>
      <w:r>
        <w:rPr>
          <w:color w:val="000000"/>
          <w:sz w:val="24"/>
        </w:rPr>
        <w:t>3.</w:t>
      </w:r>
      <w:r>
        <w:rPr>
          <w:color w:val="000000"/>
          <w:sz w:val="24"/>
        </w:rPr>
        <w:t>《易方达保证金收益货币市场基金托管协议》；</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4.</w:t>
      </w:r>
      <w:r w:rsidRPr="00A15461">
        <w:rPr>
          <w:color w:val="000000"/>
          <w:sz w:val="24"/>
        </w:rPr>
        <w:t>基金管理人业务资格批件、营业执照。</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广州市天河区珠江新城珠江东路</w:t>
      </w:r>
      <w:r w:rsidRPr="00A15461">
        <w:rPr>
          <w:color w:val="000000"/>
          <w:sz w:val="24"/>
        </w:rPr>
        <w:t>30</w:t>
      </w:r>
      <w:r w:rsidRPr="00A15461">
        <w:rPr>
          <w:color w:val="000000"/>
          <w:sz w:val="24"/>
        </w:rPr>
        <w:t>号广州银行大厦</w:t>
      </w:r>
      <w:r w:rsidRPr="00A15461">
        <w:rPr>
          <w:color w:val="000000"/>
          <w:sz w:val="24"/>
        </w:rPr>
        <w:t>40-43</w:t>
      </w:r>
      <w:r w:rsidRPr="00A15461">
        <w:rPr>
          <w:color w:val="000000"/>
          <w:sz w:val="24"/>
        </w:rPr>
        <w:t>楼。</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9</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投资者可在营业时间免费查阅，也可按工本费购买复印件。</w:t>
      </w: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Pr="0097021E" w:rsidRDefault="00941F6C" w:rsidP="00196812">
      <w:pPr>
        <w:spacing w:line="360" w:lineRule="auto"/>
        <w:ind w:left="840"/>
        <w:jc w:val="right"/>
        <w:rPr>
          <w:rFonts w:ascii="宋体"/>
          <w:color w:val="000000"/>
          <w:sz w:val="24"/>
        </w:rPr>
      </w:pPr>
    </w:p>
    <w:p w:rsidR="00941F6C" w:rsidRPr="0097021E" w:rsidRDefault="00941F6C" w:rsidP="00394BC1">
      <w:pPr>
        <w:spacing w:line="360" w:lineRule="auto"/>
        <w:jc w:val="right"/>
        <w:rPr>
          <w:rFonts w:ascii="宋体" w:hAnsi="宋体"/>
          <w:b/>
          <w:bCs/>
          <w:sz w:val="24"/>
        </w:rPr>
      </w:pPr>
      <w:r w:rsidRPr="0097021E">
        <w:rPr>
          <w:rFonts w:ascii="宋体" w:hAnsi="宋体"/>
          <w:b/>
          <w:bCs/>
          <w:sz w:val="24"/>
        </w:rPr>
        <w:t>易方达基金管理有限公司</w:t>
      </w:r>
    </w:p>
    <w:p w:rsidR="00941F6C" w:rsidRPr="0097021E" w:rsidRDefault="00941F6C" w:rsidP="00394BC1">
      <w:pPr>
        <w:spacing w:line="360" w:lineRule="auto"/>
        <w:jc w:val="right"/>
        <w:rPr>
          <w:rFonts w:ascii="宋体" w:hAnsi="宋体"/>
          <w:b/>
          <w:bCs/>
          <w:sz w:val="24"/>
        </w:rPr>
      </w:pPr>
      <w:r w:rsidRPr="0097021E">
        <w:rPr>
          <w:rFonts w:ascii="宋体" w:hAnsi="宋体"/>
          <w:b/>
          <w:bCs/>
          <w:sz w:val="24"/>
        </w:rPr>
        <w:t>二〇一九年十月二十四日</w:t>
      </w:r>
    </w:p>
    <w:sectPr w:rsidR="00941F6C"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72A" w:rsidRDefault="00A6672A">
      <w:r>
        <w:separator/>
      </w:r>
    </w:p>
  </w:endnote>
  <w:endnote w:type="continuationSeparator" w:id="0">
    <w:p w:rsidR="00A6672A" w:rsidRDefault="00A6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F6C" w:rsidRPr="001D0DB0" w:rsidRDefault="00941F6C" w:rsidP="001D0DB0">
    <w:pPr>
      <w:pStyle w:val="a5"/>
      <w:jc w:val="center"/>
    </w:pPr>
    <w:r>
      <w:rPr>
        <w:rFonts w:hint="eastAsia"/>
        <w:szCs w:val="21"/>
      </w:rPr>
      <w:t>第</w:t>
    </w:r>
    <w:r w:rsidR="000D7F46">
      <w:rPr>
        <w:szCs w:val="21"/>
      </w:rPr>
      <w:fldChar w:fldCharType="begin"/>
    </w:r>
    <w:r>
      <w:rPr>
        <w:szCs w:val="21"/>
      </w:rPr>
      <w:instrText xml:space="preserve"> PAGE </w:instrText>
    </w:r>
    <w:r w:rsidR="000D7F46">
      <w:rPr>
        <w:szCs w:val="21"/>
      </w:rPr>
      <w:fldChar w:fldCharType="separate"/>
    </w:r>
    <w:r w:rsidR="00D26E5E">
      <w:rPr>
        <w:noProof/>
        <w:szCs w:val="21"/>
      </w:rPr>
      <w:t>1</w:t>
    </w:r>
    <w:r w:rsidR="000D7F46">
      <w:rPr>
        <w:szCs w:val="21"/>
      </w:rPr>
      <w:fldChar w:fldCharType="end"/>
    </w:r>
    <w:r>
      <w:rPr>
        <w:rFonts w:hint="eastAsia"/>
        <w:szCs w:val="21"/>
      </w:rPr>
      <w:t>页共</w:t>
    </w:r>
    <w:r w:rsidR="000D7F46">
      <w:rPr>
        <w:szCs w:val="21"/>
      </w:rPr>
      <w:fldChar w:fldCharType="begin"/>
    </w:r>
    <w:r>
      <w:rPr>
        <w:szCs w:val="21"/>
      </w:rPr>
      <w:instrText xml:space="preserve"> NUMPAGES </w:instrText>
    </w:r>
    <w:r w:rsidR="000D7F46">
      <w:rPr>
        <w:szCs w:val="21"/>
      </w:rPr>
      <w:fldChar w:fldCharType="separate"/>
    </w:r>
    <w:r w:rsidR="00D26E5E">
      <w:rPr>
        <w:noProof/>
        <w:szCs w:val="21"/>
      </w:rPr>
      <w:t>3</w:t>
    </w:r>
    <w:r w:rsidR="000D7F46">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72A" w:rsidRDefault="00A6672A">
      <w:r>
        <w:separator/>
      </w:r>
    </w:p>
  </w:footnote>
  <w:footnote w:type="continuationSeparator" w:id="0">
    <w:p w:rsidR="00A6672A" w:rsidRDefault="00A66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F6C" w:rsidRPr="004F32E4" w:rsidRDefault="00941F6C" w:rsidP="008379E2">
    <w:pPr>
      <w:pStyle w:val="a4"/>
      <w:pBdr>
        <w:bottom w:val="single" w:sz="6" w:space="0" w:color="auto"/>
      </w:pBdr>
      <w:jc w:val="right"/>
      <w:rPr>
        <w:sz w:val="15"/>
      </w:rPr>
    </w:pPr>
    <w:r w:rsidRPr="004F32E4">
      <w:rPr>
        <w:szCs w:val="21"/>
      </w:rPr>
      <w:t>易方达保证金收益货币市场基金</w:t>
    </w:r>
    <w:r w:rsidRPr="004F32E4">
      <w:rPr>
        <w:szCs w:val="21"/>
      </w:rPr>
      <w:t>2019</w:t>
    </w:r>
    <w:r w:rsidRPr="004F32E4">
      <w:rPr>
        <w:szCs w:val="21"/>
      </w:rPr>
      <w:t>年第</w:t>
    </w:r>
    <w:r w:rsidRPr="004F32E4">
      <w:rPr>
        <w:szCs w:val="21"/>
      </w:rPr>
      <w:t>3</w:t>
    </w:r>
    <w:r w:rsidRPr="004F32E4">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7283"/>
    <w:rsid w:val="000028CE"/>
    <w:rsid w:val="00004DE7"/>
    <w:rsid w:val="00005433"/>
    <w:rsid w:val="0001552D"/>
    <w:rsid w:val="0001566B"/>
    <w:rsid w:val="0002085F"/>
    <w:rsid w:val="00035596"/>
    <w:rsid w:val="000417E0"/>
    <w:rsid w:val="00044724"/>
    <w:rsid w:val="00047661"/>
    <w:rsid w:val="00052CA4"/>
    <w:rsid w:val="0005518A"/>
    <w:rsid w:val="00057D26"/>
    <w:rsid w:val="00063BA4"/>
    <w:rsid w:val="00065BBC"/>
    <w:rsid w:val="0006697D"/>
    <w:rsid w:val="00070092"/>
    <w:rsid w:val="0007109E"/>
    <w:rsid w:val="00075BBB"/>
    <w:rsid w:val="00075CA2"/>
    <w:rsid w:val="0007770D"/>
    <w:rsid w:val="00081C7E"/>
    <w:rsid w:val="000A2104"/>
    <w:rsid w:val="000A7480"/>
    <w:rsid w:val="000B2044"/>
    <w:rsid w:val="000B2266"/>
    <w:rsid w:val="000C469F"/>
    <w:rsid w:val="000C572D"/>
    <w:rsid w:val="000D0F44"/>
    <w:rsid w:val="000D12EA"/>
    <w:rsid w:val="000D6294"/>
    <w:rsid w:val="000D66F0"/>
    <w:rsid w:val="000D7F46"/>
    <w:rsid w:val="000E0F6E"/>
    <w:rsid w:val="000E7D73"/>
    <w:rsid w:val="000F2DA3"/>
    <w:rsid w:val="000F3C21"/>
    <w:rsid w:val="000F4826"/>
    <w:rsid w:val="000F5947"/>
    <w:rsid w:val="001007E9"/>
    <w:rsid w:val="00101278"/>
    <w:rsid w:val="001038EF"/>
    <w:rsid w:val="00103B93"/>
    <w:rsid w:val="001074D6"/>
    <w:rsid w:val="00113777"/>
    <w:rsid w:val="00114C97"/>
    <w:rsid w:val="001302DB"/>
    <w:rsid w:val="00145BCE"/>
    <w:rsid w:val="00157B55"/>
    <w:rsid w:val="001614DC"/>
    <w:rsid w:val="00162222"/>
    <w:rsid w:val="001635C7"/>
    <w:rsid w:val="0018401C"/>
    <w:rsid w:val="00186667"/>
    <w:rsid w:val="00186F56"/>
    <w:rsid w:val="001878B0"/>
    <w:rsid w:val="00191B28"/>
    <w:rsid w:val="00193BCF"/>
    <w:rsid w:val="00195C6F"/>
    <w:rsid w:val="00196812"/>
    <w:rsid w:val="00197ED0"/>
    <w:rsid w:val="001A2524"/>
    <w:rsid w:val="001B2821"/>
    <w:rsid w:val="001B42BE"/>
    <w:rsid w:val="001B72D6"/>
    <w:rsid w:val="001B7CC6"/>
    <w:rsid w:val="001C5D80"/>
    <w:rsid w:val="001D0D4C"/>
    <w:rsid w:val="001D0DB0"/>
    <w:rsid w:val="001D3FAC"/>
    <w:rsid w:val="001D65C8"/>
    <w:rsid w:val="001D6ECD"/>
    <w:rsid w:val="001D75D9"/>
    <w:rsid w:val="001F0286"/>
    <w:rsid w:val="00204CFA"/>
    <w:rsid w:val="0020640F"/>
    <w:rsid w:val="0021251E"/>
    <w:rsid w:val="00232095"/>
    <w:rsid w:val="00233014"/>
    <w:rsid w:val="0024424F"/>
    <w:rsid w:val="002507FE"/>
    <w:rsid w:val="002525C7"/>
    <w:rsid w:val="002611C3"/>
    <w:rsid w:val="002622E8"/>
    <w:rsid w:val="00262A93"/>
    <w:rsid w:val="00264E55"/>
    <w:rsid w:val="00267283"/>
    <w:rsid w:val="00267FF0"/>
    <w:rsid w:val="00274FAC"/>
    <w:rsid w:val="0027576B"/>
    <w:rsid w:val="002A4B7F"/>
    <w:rsid w:val="002B45A4"/>
    <w:rsid w:val="002B48D0"/>
    <w:rsid w:val="002C33A0"/>
    <w:rsid w:val="002D1E78"/>
    <w:rsid w:val="002D3ADF"/>
    <w:rsid w:val="002E040C"/>
    <w:rsid w:val="002E0F4A"/>
    <w:rsid w:val="002E303A"/>
    <w:rsid w:val="002F0E9D"/>
    <w:rsid w:val="002F210C"/>
    <w:rsid w:val="002F6539"/>
    <w:rsid w:val="00304E44"/>
    <w:rsid w:val="00307062"/>
    <w:rsid w:val="00307395"/>
    <w:rsid w:val="00311ADA"/>
    <w:rsid w:val="00311AEB"/>
    <w:rsid w:val="00322B07"/>
    <w:rsid w:val="0032323A"/>
    <w:rsid w:val="00323377"/>
    <w:rsid w:val="00327FB0"/>
    <w:rsid w:val="00340292"/>
    <w:rsid w:val="00340C3A"/>
    <w:rsid w:val="00343648"/>
    <w:rsid w:val="00343AF0"/>
    <w:rsid w:val="003446AD"/>
    <w:rsid w:val="00346359"/>
    <w:rsid w:val="00346B82"/>
    <w:rsid w:val="0035022C"/>
    <w:rsid w:val="0035215C"/>
    <w:rsid w:val="0035397F"/>
    <w:rsid w:val="003571ED"/>
    <w:rsid w:val="00361AB7"/>
    <w:rsid w:val="00362E2A"/>
    <w:rsid w:val="00371E26"/>
    <w:rsid w:val="00373AAB"/>
    <w:rsid w:val="00374016"/>
    <w:rsid w:val="0038256A"/>
    <w:rsid w:val="00383631"/>
    <w:rsid w:val="00384942"/>
    <w:rsid w:val="00393DB8"/>
    <w:rsid w:val="00394BC1"/>
    <w:rsid w:val="003A0538"/>
    <w:rsid w:val="003A0EC1"/>
    <w:rsid w:val="003A2D1C"/>
    <w:rsid w:val="003B36B4"/>
    <w:rsid w:val="003B6DC6"/>
    <w:rsid w:val="003C0E8C"/>
    <w:rsid w:val="003C1137"/>
    <w:rsid w:val="003C495A"/>
    <w:rsid w:val="003D1ECF"/>
    <w:rsid w:val="003D21F4"/>
    <w:rsid w:val="003E14FE"/>
    <w:rsid w:val="003E565B"/>
    <w:rsid w:val="003F43EB"/>
    <w:rsid w:val="00402654"/>
    <w:rsid w:val="00403ED2"/>
    <w:rsid w:val="00404A00"/>
    <w:rsid w:val="0041278D"/>
    <w:rsid w:val="004147F3"/>
    <w:rsid w:val="004250C5"/>
    <w:rsid w:val="00425438"/>
    <w:rsid w:val="00433C1E"/>
    <w:rsid w:val="004369B0"/>
    <w:rsid w:val="00440828"/>
    <w:rsid w:val="0044257C"/>
    <w:rsid w:val="00446474"/>
    <w:rsid w:val="004527E3"/>
    <w:rsid w:val="00452968"/>
    <w:rsid w:val="00452D31"/>
    <w:rsid w:val="00460000"/>
    <w:rsid w:val="00461A70"/>
    <w:rsid w:val="004702DF"/>
    <w:rsid w:val="00473E10"/>
    <w:rsid w:val="00473EC9"/>
    <w:rsid w:val="00474896"/>
    <w:rsid w:val="004771B9"/>
    <w:rsid w:val="00483671"/>
    <w:rsid w:val="00496B2E"/>
    <w:rsid w:val="004A1355"/>
    <w:rsid w:val="004A2432"/>
    <w:rsid w:val="004A3251"/>
    <w:rsid w:val="004A357E"/>
    <w:rsid w:val="004A46A0"/>
    <w:rsid w:val="004B1C09"/>
    <w:rsid w:val="004B40EC"/>
    <w:rsid w:val="004C44F3"/>
    <w:rsid w:val="004C5B7C"/>
    <w:rsid w:val="004D18E1"/>
    <w:rsid w:val="004D22E1"/>
    <w:rsid w:val="004D6065"/>
    <w:rsid w:val="004E041A"/>
    <w:rsid w:val="004E3452"/>
    <w:rsid w:val="004E4E63"/>
    <w:rsid w:val="004F32E4"/>
    <w:rsid w:val="00505FFA"/>
    <w:rsid w:val="00506EF6"/>
    <w:rsid w:val="005134E7"/>
    <w:rsid w:val="005141F5"/>
    <w:rsid w:val="00515166"/>
    <w:rsid w:val="0051578D"/>
    <w:rsid w:val="00515B05"/>
    <w:rsid w:val="005212AE"/>
    <w:rsid w:val="00533490"/>
    <w:rsid w:val="0054464B"/>
    <w:rsid w:val="0054785C"/>
    <w:rsid w:val="00555883"/>
    <w:rsid w:val="00560F94"/>
    <w:rsid w:val="005633AD"/>
    <w:rsid w:val="00570F8C"/>
    <w:rsid w:val="005717B1"/>
    <w:rsid w:val="00575970"/>
    <w:rsid w:val="00582960"/>
    <w:rsid w:val="00587524"/>
    <w:rsid w:val="00592D0A"/>
    <w:rsid w:val="00594DCA"/>
    <w:rsid w:val="00595285"/>
    <w:rsid w:val="005A60B7"/>
    <w:rsid w:val="005B527B"/>
    <w:rsid w:val="005C2541"/>
    <w:rsid w:val="005C3044"/>
    <w:rsid w:val="005C4337"/>
    <w:rsid w:val="005D596C"/>
    <w:rsid w:val="005D6138"/>
    <w:rsid w:val="005D6807"/>
    <w:rsid w:val="005E05CC"/>
    <w:rsid w:val="005E1CCF"/>
    <w:rsid w:val="005E2087"/>
    <w:rsid w:val="005E6FA5"/>
    <w:rsid w:val="005F17EC"/>
    <w:rsid w:val="005F41D2"/>
    <w:rsid w:val="005F668B"/>
    <w:rsid w:val="005F6B28"/>
    <w:rsid w:val="005F7007"/>
    <w:rsid w:val="00607D19"/>
    <w:rsid w:val="00613327"/>
    <w:rsid w:val="006214E4"/>
    <w:rsid w:val="0063302E"/>
    <w:rsid w:val="00633177"/>
    <w:rsid w:val="006331F2"/>
    <w:rsid w:val="00636261"/>
    <w:rsid w:val="00636B17"/>
    <w:rsid w:val="0064191E"/>
    <w:rsid w:val="00664834"/>
    <w:rsid w:val="0066598A"/>
    <w:rsid w:val="006662B2"/>
    <w:rsid w:val="00672BEF"/>
    <w:rsid w:val="00673BA5"/>
    <w:rsid w:val="00685DE8"/>
    <w:rsid w:val="006911A1"/>
    <w:rsid w:val="00693EE6"/>
    <w:rsid w:val="006A1E40"/>
    <w:rsid w:val="006A2D00"/>
    <w:rsid w:val="006B01A5"/>
    <w:rsid w:val="006B2957"/>
    <w:rsid w:val="006B4C67"/>
    <w:rsid w:val="006D27DD"/>
    <w:rsid w:val="006D3126"/>
    <w:rsid w:val="006D4647"/>
    <w:rsid w:val="006D4C22"/>
    <w:rsid w:val="006E4EB5"/>
    <w:rsid w:val="006F1C55"/>
    <w:rsid w:val="006F3228"/>
    <w:rsid w:val="006F3CEE"/>
    <w:rsid w:val="006F622C"/>
    <w:rsid w:val="006F73DC"/>
    <w:rsid w:val="00707CB2"/>
    <w:rsid w:val="00710487"/>
    <w:rsid w:val="00712226"/>
    <w:rsid w:val="00714B3D"/>
    <w:rsid w:val="007277D1"/>
    <w:rsid w:val="00727EA0"/>
    <w:rsid w:val="0073105A"/>
    <w:rsid w:val="00734B8E"/>
    <w:rsid w:val="00737060"/>
    <w:rsid w:val="00741288"/>
    <w:rsid w:val="0074455F"/>
    <w:rsid w:val="007521F9"/>
    <w:rsid w:val="00756489"/>
    <w:rsid w:val="00756761"/>
    <w:rsid w:val="00756EA2"/>
    <w:rsid w:val="00757F37"/>
    <w:rsid w:val="00762E87"/>
    <w:rsid w:val="00764629"/>
    <w:rsid w:val="00764CF7"/>
    <w:rsid w:val="00764D09"/>
    <w:rsid w:val="00770628"/>
    <w:rsid w:val="007723FD"/>
    <w:rsid w:val="00772687"/>
    <w:rsid w:val="00774E1E"/>
    <w:rsid w:val="00780252"/>
    <w:rsid w:val="0078105B"/>
    <w:rsid w:val="00782061"/>
    <w:rsid w:val="00785C32"/>
    <w:rsid w:val="00795606"/>
    <w:rsid w:val="007B082A"/>
    <w:rsid w:val="007B1C3E"/>
    <w:rsid w:val="007C42E5"/>
    <w:rsid w:val="007C7149"/>
    <w:rsid w:val="007D3CAD"/>
    <w:rsid w:val="007D6B90"/>
    <w:rsid w:val="007E0C02"/>
    <w:rsid w:val="007F1DE3"/>
    <w:rsid w:val="007F5A8D"/>
    <w:rsid w:val="007F7BD7"/>
    <w:rsid w:val="008056FA"/>
    <w:rsid w:val="008115B6"/>
    <w:rsid w:val="00813897"/>
    <w:rsid w:val="00814461"/>
    <w:rsid w:val="00815CDE"/>
    <w:rsid w:val="00824D84"/>
    <w:rsid w:val="00825EA5"/>
    <w:rsid w:val="00833555"/>
    <w:rsid w:val="008347B3"/>
    <w:rsid w:val="00835BDD"/>
    <w:rsid w:val="00837049"/>
    <w:rsid w:val="008379E2"/>
    <w:rsid w:val="00852119"/>
    <w:rsid w:val="0085498E"/>
    <w:rsid w:val="008564C2"/>
    <w:rsid w:val="0086245E"/>
    <w:rsid w:val="00866CC9"/>
    <w:rsid w:val="00873984"/>
    <w:rsid w:val="00880EE6"/>
    <w:rsid w:val="00882323"/>
    <w:rsid w:val="00893021"/>
    <w:rsid w:val="008966EA"/>
    <w:rsid w:val="008A3C06"/>
    <w:rsid w:val="008A6C04"/>
    <w:rsid w:val="008B23BD"/>
    <w:rsid w:val="008C6B6D"/>
    <w:rsid w:val="008D0A39"/>
    <w:rsid w:val="008E4638"/>
    <w:rsid w:val="008E6C59"/>
    <w:rsid w:val="008E71D2"/>
    <w:rsid w:val="008F44F3"/>
    <w:rsid w:val="008F602A"/>
    <w:rsid w:val="008F76DB"/>
    <w:rsid w:val="009004F7"/>
    <w:rsid w:val="00902E3F"/>
    <w:rsid w:val="00903E98"/>
    <w:rsid w:val="00906C9B"/>
    <w:rsid w:val="00910FB5"/>
    <w:rsid w:val="00911C0E"/>
    <w:rsid w:val="009153D7"/>
    <w:rsid w:val="00920D1F"/>
    <w:rsid w:val="00941F6C"/>
    <w:rsid w:val="0094213C"/>
    <w:rsid w:val="00943AFD"/>
    <w:rsid w:val="0097021E"/>
    <w:rsid w:val="00971C19"/>
    <w:rsid w:val="00971D35"/>
    <w:rsid w:val="0097327D"/>
    <w:rsid w:val="0099296A"/>
    <w:rsid w:val="009965A5"/>
    <w:rsid w:val="009A2DB3"/>
    <w:rsid w:val="009A5367"/>
    <w:rsid w:val="009A56D7"/>
    <w:rsid w:val="009A5CE7"/>
    <w:rsid w:val="009A755D"/>
    <w:rsid w:val="009B15FD"/>
    <w:rsid w:val="009B2693"/>
    <w:rsid w:val="009B3C3F"/>
    <w:rsid w:val="009B4EB9"/>
    <w:rsid w:val="009B73A7"/>
    <w:rsid w:val="009C1A42"/>
    <w:rsid w:val="009D3827"/>
    <w:rsid w:val="009D4685"/>
    <w:rsid w:val="009D60EB"/>
    <w:rsid w:val="009D74FC"/>
    <w:rsid w:val="009E07F4"/>
    <w:rsid w:val="009E26B0"/>
    <w:rsid w:val="009E2BAA"/>
    <w:rsid w:val="009E3E0B"/>
    <w:rsid w:val="009F480F"/>
    <w:rsid w:val="00A01505"/>
    <w:rsid w:val="00A1530B"/>
    <w:rsid w:val="00A15461"/>
    <w:rsid w:val="00A15E5D"/>
    <w:rsid w:val="00A16747"/>
    <w:rsid w:val="00A16D78"/>
    <w:rsid w:val="00A21EC2"/>
    <w:rsid w:val="00A24DC0"/>
    <w:rsid w:val="00A27322"/>
    <w:rsid w:val="00A3193E"/>
    <w:rsid w:val="00A42A96"/>
    <w:rsid w:val="00A455A0"/>
    <w:rsid w:val="00A50D92"/>
    <w:rsid w:val="00A62DD4"/>
    <w:rsid w:val="00A64F4A"/>
    <w:rsid w:val="00A65A66"/>
    <w:rsid w:val="00A6672A"/>
    <w:rsid w:val="00A7219D"/>
    <w:rsid w:val="00A732C4"/>
    <w:rsid w:val="00A805BC"/>
    <w:rsid w:val="00A80F9F"/>
    <w:rsid w:val="00A81075"/>
    <w:rsid w:val="00A87550"/>
    <w:rsid w:val="00A94718"/>
    <w:rsid w:val="00A95FA9"/>
    <w:rsid w:val="00AA5B03"/>
    <w:rsid w:val="00AA68D4"/>
    <w:rsid w:val="00AB373C"/>
    <w:rsid w:val="00AB5159"/>
    <w:rsid w:val="00AB67DE"/>
    <w:rsid w:val="00AC2B47"/>
    <w:rsid w:val="00AC3A1A"/>
    <w:rsid w:val="00AC3D9E"/>
    <w:rsid w:val="00AC446F"/>
    <w:rsid w:val="00AC6C3D"/>
    <w:rsid w:val="00AD1ADB"/>
    <w:rsid w:val="00AE17F1"/>
    <w:rsid w:val="00AE2FB9"/>
    <w:rsid w:val="00AE342F"/>
    <w:rsid w:val="00AE4F96"/>
    <w:rsid w:val="00AE6D9A"/>
    <w:rsid w:val="00AE7435"/>
    <w:rsid w:val="00AF2397"/>
    <w:rsid w:val="00AF27F9"/>
    <w:rsid w:val="00AF3D19"/>
    <w:rsid w:val="00B040BC"/>
    <w:rsid w:val="00B0441A"/>
    <w:rsid w:val="00B044FC"/>
    <w:rsid w:val="00B06458"/>
    <w:rsid w:val="00B25119"/>
    <w:rsid w:val="00B27004"/>
    <w:rsid w:val="00B33F45"/>
    <w:rsid w:val="00B33FA5"/>
    <w:rsid w:val="00B415B8"/>
    <w:rsid w:val="00B420AC"/>
    <w:rsid w:val="00B4354A"/>
    <w:rsid w:val="00B54CC5"/>
    <w:rsid w:val="00B60E27"/>
    <w:rsid w:val="00B64D62"/>
    <w:rsid w:val="00B6646C"/>
    <w:rsid w:val="00B76BBB"/>
    <w:rsid w:val="00B83944"/>
    <w:rsid w:val="00B92A84"/>
    <w:rsid w:val="00B94530"/>
    <w:rsid w:val="00B94B49"/>
    <w:rsid w:val="00B963A4"/>
    <w:rsid w:val="00BA7AF1"/>
    <w:rsid w:val="00BB03CC"/>
    <w:rsid w:val="00BB1083"/>
    <w:rsid w:val="00BB252C"/>
    <w:rsid w:val="00BB5126"/>
    <w:rsid w:val="00BB7518"/>
    <w:rsid w:val="00BC0205"/>
    <w:rsid w:val="00BC14F5"/>
    <w:rsid w:val="00BC2146"/>
    <w:rsid w:val="00BD1A7F"/>
    <w:rsid w:val="00BD6918"/>
    <w:rsid w:val="00BE439F"/>
    <w:rsid w:val="00BE5584"/>
    <w:rsid w:val="00BF1111"/>
    <w:rsid w:val="00BF3886"/>
    <w:rsid w:val="00BF6648"/>
    <w:rsid w:val="00C009AF"/>
    <w:rsid w:val="00C02FCF"/>
    <w:rsid w:val="00C2005E"/>
    <w:rsid w:val="00C205E4"/>
    <w:rsid w:val="00C2782D"/>
    <w:rsid w:val="00C3040F"/>
    <w:rsid w:val="00C31398"/>
    <w:rsid w:val="00C31708"/>
    <w:rsid w:val="00C365A8"/>
    <w:rsid w:val="00C36C15"/>
    <w:rsid w:val="00C4213A"/>
    <w:rsid w:val="00C4371A"/>
    <w:rsid w:val="00C4627A"/>
    <w:rsid w:val="00C54D3E"/>
    <w:rsid w:val="00C637D1"/>
    <w:rsid w:val="00C640B8"/>
    <w:rsid w:val="00C64FED"/>
    <w:rsid w:val="00C7033B"/>
    <w:rsid w:val="00C83157"/>
    <w:rsid w:val="00C927D5"/>
    <w:rsid w:val="00CA0730"/>
    <w:rsid w:val="00CA1C04"/>
    <w:rsid w:val="00CA3808"/>
    <w:rsid w:val="00CA65DD"/>
    <w:rsid w:val="00CA7D55"/>
    <w:rsid w:val="00CB0E8A"/>
    <w:rsid w:val="00CC05B9"/>
    <w:rsid w:val="00CC171F"/>
    <w:rsid w:val="00CC3F83"/>
    <w:rsid w:val="00CC57FC"/>
    <w:rsid w:val="00CC7DB0"/>
    <w:rsid w:val="00CD2092"/>
    <w:rsid w:val="00CD5F24"/>
    <w:rsid w:val="00CE0B87"/>
    <w:rsid w:val="00CE0E18"/>
    <w:rsid w:val="00CE193A"/>
    <w:rsid w:val="00CE6A71"/>
    <w:rsid w:val="00CF1F4A"/>
    <w:rsid w:val="00CF38CA"/>
    <w:rsid w:val="00CF540B"/>
    <w:rsid w:val="00CF5996"/>
    <w:rsid w:val="00CF6DF0"/>
    <w:rsid w:val="00D0349F"/>
    <w:rsid w:val="00D03770"/>
    <w:rsid w:val="00D05BAA"/>
    <w:rsid w:val="00D06255"/>
    <w:rsid w:val="00D06394"/>
    <w:rsid w:val="00D15D82"/>
    <w:rsid w:val="00D1705E"/>
    <w:rsid w:val="00D25602"/>
    <w:rsid w:val="00D26E5E"/>
    <w:rsid w:val="00D30BD3"/>
    <w:rsid w:val="00D33791"/>
    <w:rsid w:val="00D33BA8"/>
    <w:rsid w:val="00D364EB"/>
    <w:rsid w:val="00D40363"/>
    <w:rsid w:val="00D451BC"/>
    <w:rsid w:val="00D47169"/>
    <w:rsid w:val="00D51E96"/>
    <w:rsid w:val="00D568BB"/>
    <w:rsid w:val="00D630DA"/>
    <w:rsid w:val="00D63B9E"/>
    <w:rsid w:val="00D65D90"/>
    <w:rsid w:val="00D66016"/>
    <w:rsid w:val="00D769BA"/>
    <w:rsid w:val="00D8034F"/>
    <w:rsid w:val="00D81755"/>
    <w:rsid w:val="00D85366"/>
    <w:rsid w:val="00D8617C"/>
    <w:rsid w:val="00D86415"/>
    <w:rsid w:val="00D87D00"/>
    <w:rsid w:val="00D94E23"/>
    <w:rsid w:val="00D9798C"/>
    <w:rsid w:val="00DA133F"/>
    <w:rsid w:val="00DA1983"/>
    <w:rsid w:val="00DA2F1E"/>
    <w:rsid w:val="00DA5831"/>
    <w:rsid w:val="00DB0538"/>
    <w:rsid w:val="00DB2873"/>
    <w:rsid w:val="00DC22A1"/>
    <w:rsid w:val="00DC4482"/>
    <w:rsid w:val="00DD5028"/>
    <w:rsid w:val="00DF1198"/>
    <w:rsid w:val="00DF5A9C"/>
    <w:rsid w:val="00E12082"/>
    <w:rsid w:val="00E21589"/>
    <w:rsid w:val="00E24D9E"/>
    <w:rsid w:val="00E257C8"/>
    <w:rsid w:val="00E26581"/>
    <w:rsid w:val="00E2722E"/>
    <w:rsid w:val="00E31609"/>
    <w:rsid w:val="00E3447D"/>
    <w:rsid w:val="00E36895"/>
    <w:rsid w:val="00E431CE"/>
    <w:rsid w:val="00E445F8"/>
    <w:rsid w:val="00E503E4"/>
    <w:rsid w:val="00E5550E"/>
    <w:rsid w:val="00E55E02"/>
    <w:rsid w:val="00E571C4"/>
    <w:rsid w:val="00E62A69"/>
    <w:rsid w:val="00E63B3D"/>
    <w:rsid w:val="00E64479"/>
    <w:rsid w:val="00E67D99"/>
    <w:rsid w:val="00E71B2F"/>
    <w:rsid w:val="00E75556"/>
    <w:rsid w:val="00E76F1F"/>
    <w:rsid w:val="00E80BE2"/>
    <w:rsid w:val="00E8309D"/>
    <w:rsid w:val="00E90A9C"/>
    <w:rsid w:val="00E92BEC"/>
    <w:rsid w:val="00E95356"/>
    <w:rsid w:val="00E966E5"/>
    <w:rsid w:val="00EA3D96"/>
    <w:rsid w:val="00EA6B69"/>
    <w:rsid w:val="00EA6B7B"/>
    <w:rsid w:val="00EB25E4"/>
    <w:rsid w:val="00EB3D8B"/>
    <w:rsid w:val="00ED093E"/>
    <w:rsid w:val="00ED1B77"/>
    <w:rsid w:val="00ED5511"/>
    <w:rsid w:val="00ED57D1"/>
    <w:rsid w:val="00EF3B7C"/>
    <w:rsid w:val="00EF56FA"/>
    <w:rsid w:val="00EF6216"/>
    <w:rsid w:val="00EF6E42"/>
    <w:rsid w:val="00F0613C"/>
    <w:rsid w:val="00F11244"/>
    <w:rsid w:val="00F14A7B"/>
    <w:rsid w:val="00F1658B"/>
    <w:rsid w:val="00F2540D"/>
    <w:rsid w:val="00F26602"/>
    <w:rsid w:val="00F31380"/>
    <w:rsid w:val="00F333BF"/>
    <w:rsid w:val="00F34499"/>
    <w:rsid w:val="00F3498A"/>
    <w:rsid w:val="00F406E3"/>
    <w:rsid w:val="00F40C82"/>
    <w:rsid w:val="00F45796"/>
    <w:rsid w:val="00F50707"/>
    <w:rsid w:val="00F5114E"/>
    <w:rsid w:val="00F53B1A"/>
    <w:rsid w:val="00F54568"/>
    <w:rsid w:val="00F57249"/>
    <w:rsid w:val="00F62DE3"/>
    <w:rsid w:val="00F70E0A"/>
    <w:rsid w:val="00F77131"/>
    <w:rsid w:val="00F85D7E"/>
    <w:rsid w:val="00F92B0F"/>
    <w:rsid w:val="00FA4C13"/>
    <w:rsid w:val="00FB345F"/>
    <w:rsid w:val="00FB4DA5"/>
    <w:rsid w:val="00FC57A1"/>
    <w:rsid w:val="00FC6069"/>
    <w:rsid w:val="00FD3820"/>
    <w:rsid w:val="00FD768A"/>
    <w:rsid w:val="00FE3C23"/>
    <w:rsid w:val="00FE6E6D"/>
    <w:rsid w:val="00FF0DAE"/>
    <w:rsid w:val="00FF3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0E7FA0B6-0CD6-4FAF-B1B2-DB9659CC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79613F"/>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79613F"/>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79613F"/>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79613F"/>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79613F"/>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D03770"/>
    <w:pPr>
      <w:snapToGrid w:val="0"/>
      <w:jc w:val="left"/>
    </w:pPr>
    <w:rPr>
      <w:sz w:val="18"/>
      <w:szCs w:val="18"/>
    </w:rPr>
  </w:style>
  <w:style w:type="character" w:customStyle="1" w:styleId="Char6">
    <w:name w:val="脚注文本 Char"/>
    <w:link w:val="ad"/>
    <w:uiPriority w:val="99"/>
    <w:locked/>
    <w:rsid w:val="00D03770"/>
    <w:rPr>
      <w:rFonts w:cs="Times New Roman"/>
      <w:kern w:val="2"/>
      <w:sz w:val="18"/>
      <w:szCs w:val="18"/>
    </w:rPr>
  </w:style>
  <w:style w:type="character" w:styleId="ae">
    <w:name w:val="footnote reference"/>
    <w:uiPriority w:val="99"/>
    <w:rsid w:val="00D03770"/>
    <w:rPr>
      <w:rFonts w:cs="Times New Roman"/>
      <w:vertAlign w:val="superscript"/>
    </w:rPr>
  </w:style>
  <w:style w:type="character" w:styleId="af">
    <w:name w:val="Strong"/>
    <w:uiPriority w:val="22"/>
    <w:qFormat/>
    <w:locked/>
    <w:rsid w:val="000C5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8538">
      <w:marLeft w:val="0"/>
      <w:marRight w:val="0"/>
      <w:marTop w:val="0"/>
      <w:marBottom w:val="0"/>
      <w:divBdr>
        <w:top w:val="none" w:sz="0" w:space="0" w:color="auto"/>
        <w:left w:val="none" w:sz="0" w:space="0" w:color="auto"/>
        <w:bottom w:val="none" w:sz="0" w:space="0" w:color="auto"/>
        <w:right w:val="none" w:sz="0" w:space="0" w:color="auto"/>
      </w:divBdr>
    </w:div>
    <w:div w:id="179708539">
      <w:marLeft w:val="0"/>
      <w:marRight w:val="0"/>
      <w:marTop w:val="0"/>
      <w:marBottom w:val="0"/>
      <w:divBdr>
        <w:top w:val="none" w:sz="0" w:space="0" w:color="auto"/>
        <w:left w:val="none" w:sz="0" w:space="0" w:color="auto"/>
        <w:bottom w:val="none" w:sz="0" w:space="0" w:color="auto"/>
        <w:right w:val="none" w:sz="0" w:space="0" w:color="auto"/>
      </w:divBdr>
    </w:div>
    <w:div w:id="179708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3</Pages>
  <Words>1391</Words>
  <Characters>7934</Characters>
  <Application>Microsoft Office Word</Application>
  <DocSecurity>0</DocSecurity>
  <Lines>66</Lines>
  <Paragraphs>18</Paragraphs>
  <ScaleCrop>false</ScaleCrop>
  <Company>jysld</Company>
  <LinksUpToDate>false</LinksUpToDate>
  <CharactersWithSpaces>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208</cp:revision>
  <cp:lastPrinted>2019-10-16T13:56:00Z</cp:lastPrinted>
  <dcterms:created xsi:type="dcterms:W3CDTF">2012-11-21T05:49:00Z</dcterms:created>
  <dcterms:modified xsi:type="dcterms:W3CDTF">2019-10-16T13:57:00Z</dcterms:modified>
</cp:coreProperties>
</file>