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616" w:rsidRPr="008277FF" w:rsidRDefault="00397616" w:rsidP="00397616">
      <w:pPr>
        <w:autoSpaceDE w:val="0"/>
        <w:autoSpaceDN w:val="0"/>
        <w:adjustRightInd w:val="0"/>
        <w:spacing w:line="360" w:lineRule="auto"/>
        <w:jc w:val="left"/>
        <w:rPr>
          <w:rFonts w:asciiTheme="minorEastAsia" w:eastAsiaTheme="minorEastAsia" w:hAnsiTheme="minorEastAsia" w:cs="Arial"/>
          <w:color w:val="000000" w:themeColor="text1"/>
          <w:kern w:val="0"/>
          <w:sz w:val="24"/>
        </w:rPr>
      </w:pPr>
      <w:bookmarkStart w:id="0" w:name="_GoBack"/>
      <w:bookmarkEnd w:id="0"/>
    </w:p>
    <w:p w:rsidR="00397616" w:rsidRPr="008277FF" w:rsidRDefault="00397616" w:rsidP="00397616">
      <w:pPr>
        <w:autoSpaceDE w:val="0"/>
        <w:autoSpaceDN w:val="0"/>
        <w:adjustRightInd w:val="0"/>
        <w:spacing w:line="360" w:lineRule="auto"/>
        <w:jc w:val="left"/>
        <w:rPr>
          <w:rFonts w:asciiTheme="minorEastAsia" w:eastAsiaTheme="minorEastAsia" w:hAnsiTheme="minorEastAsia" w:cs="Arial"/>
          <w:color w:val="000000" w:themeColor="text1"/>
          <w:kern w:val="0"/>
          <w:sz w:val="24"/>
        </w:rPr>
      </w:pPr>
    </w:p>
    <w:p w:rsidR="00397616" w:rsidRPr="008277FF" w:rsidRDefault="00397616" w:rsidP="00397616">
      <w:pPr>
        <w:autoSpaceDE w:val="0"/>
        <w:autoSpaceDN w:val="0"/>
        <w:adjustRightInd w:val="0"/>
        <w:spacing w:line="360" w:lineRule="auto"/>
        <w:jc w:val="left"/>
        <w:rPr>
          <w:rFonts w:asciiTheme="minorEastAsia" w:eastAsiaTheme="minorEastAsia" w:hAnsiTheme="minorEastAsia" w:cs="Arial"/>
          <w:color w:val="000000" w:themeColor="text1"/>
          <w:kern w:val="0"/>
          <w:sz w:val="24"/>
        </w:rPr>
      </w:pPr>
    </w:p>
    <w:p w:rsidR="00F22F00" w:rsidRPr="008277FF" w:rsidRDefault="00F22F00" w:rsidP="00F22F00">
      <w:pPr>
        <w:autoSpaceDE w:val="0"/>
        <w:autoSpaceDN w:val="0"/>
        <w:adjustRightInd w:val="0"/>
        <w:spacing w:line="360" w:lineRule="auto"/>
        <w:jc w:val="left"/>
        <w:rPr>
          <w:rFonts w:asciiTheme="minorEastAsia" w:eastAsiaTheme="minorEastAsia" w:hAnsiTheme="minorEastAsia" w:cs="Arial"/>
          <w:color w:val="000000" w:themeColor="text1"/>
          <w:kern w:val="0"/>
          <w:sz w:val="24"/>
        </w:rPr>
      </w:pPr>
    </w:p>
    <w:p w:rsidR="00F22F00" w:rsidRPr="008277FF" w:rsidRDefault="00F22F00" w:rsidP="00506D57">
      <w:pPr>
        <w:spacing w:line="360" w:lineRule="auto"/>
        <w:jc w:val="center"/>
        <w:rPr>
          <w:rFonts w:asciiTheme="minorEastAsia" w:eastAsiaTheme="minorEastAsia" w:hAnsiTheme="minorEastAsia"/>
          <w:b/>
          <w:color w:val="000000" w:themeColor="text1"/>
          <w:sz w:val="36"/>
          <w:szCs w:val="36"/>
        </w:rPr>
      </w:pPr>
      <w:r w:rsidRPr="008277FF">
        <w:rPr>
          <w:rFonts w:asciiTheme="minorEastAsia" w:eastAsiaTheme="minorEastAsia" w:hAnsiTheme="minorEastAsia" w:hint="eastAsia"/>
          <w:b/>
          <w:color w:val="000000" w:themeColor="text1"/>
          <w:sz w:val="36"/>
          <w:szCs w:val="36"/>
        </w:rPr>
        <w:t>易方达标普全球高端消费品指数增强型证券投资基金</w:t>
      </w:r>
    </w:p>
    <w:p w:rsidR="00F22F00" w:rsidRPr="008277FF" w:rsidRDefault="00F22F00" w:rsidP="00506D57">
      <w:pPr>
        <w:spacing w:line="360" w:lineRule="auto"/>
        <w:jc w:val="center"/>
        <w:rPr>
          <w:rFonts w:asciiTheme="minorEastAsia" w:eastAsiaTheme="minorEastAsia" w:hAnsiTheme="minorEastAsia"/>
          <w:b/>
          <w:color w:val="000000" w:themeColor="text1"/>
          <w:sz w:val="36"/>
          <w:szCs w:val="36"/>
        </w:rPr>
      </w:pPr>
      <w:r w:rsidRPr="008277FF">
        <w:rPr>
          <w:rFonts w:asciiTheme="minorEastAsia" w:eastAsiaTheme="minorEastAsia" w:hAnsiTheme="minorEastAsia" w:hint="eastAsia"/>
          <w:b/>
          <w:color w:val="000000" w:themeColor="text1"/>
          <w:sz w:val="36"/>
          <w:szCs w:val="36"/>
        </w:rPr>
        <w:t>2019年第3季度报告</w:t>
      </w:r>
    </w:p>
    <w:p w:rsidR="00397616" w:rsidRPr="008277FF" w:rsidRDefault="00623556" w:rsidP="00506D57">
      <w:pPr>
        <w:spacing w:line="360" w:lineRule="auto"/>
        <w:jc w:val="center"/>
        <w:rPr>
          <w:rFonts w:asciiTheme="minorEastAsia" w:eastAsiaTheme="minorEastAsia" w:hAnsiTheme="minorEastAsia"/>
          <w:b/>
          <w:color w:val="000000" w:themeColor="text1"/>
          <w:sz w:val="24"/>
        </w:rPr>
      </w:pPr>
      <w:r w:rsidRPr="008277FF">
        <w:rPr>
          <w:rFonts w:asciiTheme="minorEastAsia" w:eastAsiaTheme="minorEastAsia" w:hAnsiTheme="minorEastAsia"/>
          <w:b/>
          <w:color w:val="000000" w:themeColor="text1"/>
          <w:sz w:val="24"/>
        </w:rPr>
        <w:t>2019年9月30日</w:t>
      </w: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826B12">
      <w:pPr>
        <w:spacing w:line="288" w:lineRule="auto"/>
        <w:ind w:firstLineChars="900" w:firstLine="2168"/>
        <w:rPr>
          <w:rFonts w:asciiTheme="minorEastAsia" w:eastAsiaTheme="minorEastAsia" w:hAnsiTheme="minorEastAsia"/>
          <w:b/>
          <w:color w:val="000000" w:themeColor="text1"/>
          <w:sz w:val="24"/>
        </w:rPr>
      </w:pPr>
    </w:p>
    <w:p w:rsidR="007D1292" w:rsidRPr="008277FF" w:rsidRDefault="007D1292" w:rsidP="00506D57">
      <w:pPr>
        <w:spacing w:line="360" w:lineRule="auto"/>
        <w:ind w:firstLineChars="900" w:firstLine="2168"/>
        <w:rPr>
          <w:rFonts w:asciiTheme="minorEastAsia" w:eastAsiaTheme="minorEastAsia" w:hAnsiTheme="minorEastAsia"/>
          <w:b/>
          <w:color w:val="000000" w:themeColor="text1"/>
          <w:sz w:val="24"/>
        </w:rPr>
      </w:pPr>
      <w:r w:rsidRPr="008277FF">
        <w:rPr>
          <w:rFonts w:asciiTheme="minorEastAsia" w:eastAsiaTheme="minorEastAsia" w:hAnsiTheme="minorEastAsia" w:hint="eastAsia"/>
          <w:b/>
          <w:color w:val="000000" w:themeColor="text1"/>
          <w:sz w:val="24"/>
        </w:rPr>
        <w:t>基金管理人：</w:t>
      </w:r>
      <w:r w:rsidRPr="008277FF">
        <w:rPr>
          <w:rFonts w:asciiTheme="minorEastAsia" w:eastAsiaTheme="minorEastAsia" w:hAnsiTheme="minorEastAsia"/>
          <w:b/>
          <w:color w:val="000000" w:themeColor="text1"/>
          <w:sz w:val="24"/>
        </w:rPr>
        <w:t>易方达基金管理有限公司</w:t>
      </w:r>
    </w:p>
    <w:p w:rsidR="007D1292" w:rsidRPr="008277FF" w:rsidRDefault="007D1292" w:rsidP="00506D57">
      <w:pPr>
        <w:spacing w:line="360" w:lineRule="auto"/>
        <w:ind w:firstLineChars="900" w:firstLine="2168"/>
        <w:rPr>
          <w:rFonts w:asciiTheme="minorEastAsia" w:eastAsiaTheme="minorEastAsia" w:hAnsiTheme="minorEastAsia"/>
          <w:b/>
          <w:color w:val="000000" w:themeColor="text1"/>
          <w:sz w:val="24"/>
        </w:rPr>
      </w:pPr>
      <w:r w:rsidRPr="008277FF">
        <w:rPr>
          <w:rFonts w:asciiTheme="minorEastAsia" w:eastAsiaTheme="minorEastAsia" w:hAnsiTheme="minorEastAsia" w:hint="eastAsia"/>
          <w:b/>
          <w:color w:val="000000" w:themeColor="text1"/>
          <w:sz w:val="24"/>
        </w:rPr>
        <w:t>基金托管人：</w:t>
      </w:r>
      <w:r w:rsidRPr="008277FF">
        <w:rPr>
          <w:rFonts w:asciiTheme="minorEastAsia" w:eastAsiaTheme="minorEastAsia" w:hAnsiTheme="minorEastAsia"/>
          <w:b/>
          <w:color w:val="000000" w:themeColor="text1"/>
          <w:sz w:val="24"/>
        </w:rPr>
        <w:t>中国银行股份有限公司</w:t>
      </w:r>
    </w:p>
    <w:p w:rsidR="007D1292" w:rsidRPr="008277FF" w:rsidRDefault="007D1292" w:rsidP="00506D57">
      <w:pPr>
        <w:spacing w:line="360" w:lineRule="auto"/>
        <w:ind w:firstLineChars="900" w:firstLine="2168"/>
        <w:rPr>
          <w:rFonts w:asciiTheme="minorEastAsia" w:eastAsiaTheme="minorEastAsia" w:hAnsiTheme="minorEastAsia"/>
          <w:b/>
          <w:color w:val="000000" w:themeColor="text1"/>
          <w:sz w:val="24"/>
        </w:rPr>
        <w:sectPr w:rsidR="007D1292" w:rsidRPr="008277FF" w:rsidSect="00B918B8">
          <w:headerReference w:type="default" r:id="rId7"/>
          <w:footerReference w:type="default" r:id="rId8"/>
          <w:pgSz w:w="11926" w:h="15840"/>
          <w:pgMar w:top="1418" w:right="1418" w:bottom="851" w:left="1418" w:header="851" w:footer="992" w:gutter="0"/>
          <w:cols w:space="720"/>
          <w:noEndnote/>
        </w:sectPr>
      </w:pPr>
      <w:r w:rsidRPr="008277FF">
        <w:rPr>
          <w:rFonts w:asciiTheme="minorEastAsia" w:eastAsiaTheme="minorEastAsia" w:hAnsiTheme="minorEastAsia" w:hint="eastAsia"/>
          <w:b/>
          <w:color w:val="000000" w:themeColor="text1"/>
          <w:sz w:val="24"/>
        </w:rPr>
        <w:t>报告送出日期：</w:t>
      </w:r>
      <w:r w:rsidR="00CB44DE" w:rsidRPr="008277FF">
        <w:rPr>
          <w:rFonts w:asciiTheme="minorEastAsia" w:eastAsiaTheme="minorEastAsia" w:hAnsiTheme="minorEastAsia"/>
          <w:b/>
          <w:color w:val="000000" w:themeColor="text1"/>
          <w:sz w:val="24"/>
        </w:rPr>
        <w:t>二〇一九年十月二十四日</w:t>
      </w:r>
    </w:p>
    <w:p w:rsidR="0076518F" w:rsidRPr="00A67563" w:rsidRDefault="0076518F" w:rsidP="00014E7F">
      <w:pPr>
        <w:pStyle w:val="1"/>
        <w:spacing w:beforeLines="100" w:before="312" w:afterLines="100" w:after="312" w:line="360" w:lineRule="auto"/>
        <w:jc w:val="center"/>
        <w:rPr>
          <w:b w:val="0"/>
          <w:color w:val="000000" w:themeColor="text1"/>
          <w:kern w:val="0"/>
          <w:sz w:val="24"/>
          <w:szCs w:val="24"/>
        </w:rPr>
      </w:pPr>
      <w:r w:rsidRPr="00A67563">
        <w:rPr>
          <w:color w:val="000000" w:themeColor="text1"/>
          <w:kern w:val="0"/>
          <w:sz w:val="24"/>
          <w:szCs w:val="24"/>
        </w:rPr>
        <w:lastRenderedPageBreak/>
        <w:t xml:space="preserve">§1  </w:t>
      </w:r>
      <w:r w:rsidRPr="00A67563">
        <w:rPr>
          <w:color w:val="000000" w:themeColor="text1"/>
          <w:kern w:val="0"/>
          <w:sz w:val="24"/>
          <w:szCs w:val="24"/>
        </w:rPr>
        <w:t>重要提示</w:t>
      </w:r>
    </w:p>
    <w:p w:rsidR="002755C3" w:rsidRDefault="00AE4B60">
      <w:pPr>
        <w:spacing w:line="360" w:lineRule="auto"/>
        <w:ind w:firstLineChars="200" w:firstLine="480"/>
        <w:rPr>
          <w:color w:val="000000" w:themeColor="text1"/>
          <w:sz w:val="24"/>
        </w:rPr>
      </w:pPr>
      <w:r>
        <w:rPr>
          <w:color w:val="000000" w:themeColor="text1"/>
          <w:sz w:val="24"/>
        </w:rPr>
        <w:t>基金管理人的董事会及董事保证本报告所载资料不存在虚假记载、误导性陈述或重大遗漏，并对其内容的真实性、准确性和完整性承担个别及连带责任。</w:t>
      </w:r>
      <w:r>
        <w:rPr>
          <w:color w:val="000000" w:themeColor="text1"/>
          <w:sz w:val="24"/>
        </w:rPr>
        <w:t xml:space="preserve"> </w:t>
      </w:r>
    </w:p>
    <w:p w:rsidR="002755C3" w:rsidRDefault="00AE4B60">
      <w:pPr>
        <w:spacing w:line="360" w:lineRule="auto"/>
        <w:ind w:firstLineChars="200" w:firstLine="480"/>
        <w:rPr>
          <w:color w:val="000000" w:themeColor="text1"/>
          <w:sz w:val="24"/>
        </w:rPr>
      </w:pPr>
      <w:r>
        <w:rPr>
          <w:color w:val="000000" w:themeColor="text1"/>
          <w:sz w:val="24"/>
        </w:rPr>
        <w:t>基金托管人中国银行股份有限公司根据本基金合同规定，于</w:t>
      </w:r>
      <w:r>
        <w:rPr>
          <w:color w:val="000000" w:themeColor="text1"/>
          <w:sz w:val="24"/>
        </w:rPr>
        <w:t>2019</w:t>
      </w:r>
      <w:r>
        <w:rPr>
          <w:color w:val="000000" w:themeColor="text1"/>
          <w:sz w:val="24"/>
        </w:rPr>
        <w:t>年</w:t>
      </w:r>
      <w:r>
        <w:rPr>
          <w:color w:val="000000" w:themeColor="text1"/>
          <w:sz w:val="24"/>
        </w:rPr>
        <w:t>10</w:t>
      </w:r>
      <w:r>
        <w:rPr>
          <w:color w:val="000000" w:themeColor="text1"/>
          <w:sz w:val="24"/>
        </w:rPr>
        <w:t>月</w:t>
      </w:r>
      <w:r>
        <w:rPr>
          <w:color w:val="000000" w:themeColor="text1"/>
          <w:sz w:val="24"/>
        </w:rPr>
        <w:t>22</w:t>
      </w:r>
      <w:r>
        <w:rPr>
          <w:color w:val="000000" w:themeColor="text1"/>
          <w:sz w:val="24"/>
        </w:rPr>
        <w:t>日复核了本报告中的财务指标、净值表现和投资组合报告等内容，保证复核内容不存在虚假记载、误导性陈述或者重大遗漏。</w:t>
      </w:r>
      <w:r>
        <w:rPr>
          <w:color w:val="000000" w:themeColor="text1"/>
          <w:sz w:val="24"/>
        </w:rPr>
        <w:t xml:space="preserve"> </w:t>
      </w:r>
    </w:p>
    <w:p w:rsidR="002755C3" w:rsidRDefault="00AE4B60">
      <w:pPr>
        <w:spacing w:line="360" w:lineRule="auto"/>
        <w:ind w:firstLineChars="200" w:firstLine="480"/>
        <w:rPr>
          <w:color w:val="000000" w:themeColor="text1"/>
          <w:sz w:val="24"/>
        </w:rPr>
      </w:pPr>
      <w:r>
        <w:rPr>
          <w:color w:val="000000" w:themeColor="text1"/>
          <w:sz w:val="24"/>
        </w:rPr>
        <w:t>基金管理人承诺以诚实信用、勤勉尽责的原则管理和运用基金资产，但不保证基金一定盈利。</w:t>
      </w:r>
      <w:r>
        <w:rPr>
          <w:color w:val="000000" w:themeColor="text1"/>
          <w:sz w:val="24"/>
        </w:rPr>
        <w:t xml:space="preserve"> </w:t>
      </w:r>
    </w:p>
    <w:p w:rsidR="002755C3" w:rsidRDefault="00AE4B60">
      <w:pPr>
        <w:spacing w:line="360" w:lineRule="auto"/>
        <w:ind w:firstLineChars="200" w:firstLine="480"/>
        <w:rPr>
          <w:color w:val="000000" w:themeColor="text1"/>
          <w:sz w:val="24"/>
        </w:rPr>
      </w:pPr>
      <w:r>
        <w:rPr>
          <w:color w:val="000000" w:themeColor="text1"/>
          <w:sz w:val="24"/>
        </w:rPr>
        <w:t>基金的过往业绩并不代表其未来表现。投资有风险，</w:t>
      </w:r>
      <w:r>
        <w:rPr>
          <w:color w:val="000000" w:themeColor="text1"/>
          <w:sz w:val="24"/>
        </w:rPr>
        <w:t>投资者在作出投资决策前应仔细阅读本基金的招募说明书。</w:t>
      </w:r>
      <w:r>
        <w:rPr>
          <w:color w:val="000000" w:themeColor="text1"/>
          <w:sz w:val="24"/>
        </w:rPr>
        <w:t xml:space="preserve"> </w:t>
      </w:r>
    </w:p>
    <w:p w:rsidR="002755C3" w:rsidRDefault="00AE4B60">
      <w:pPr>
        <w:spacing w:line="360" w:lineRule="auto"/>
        <w:ind w:firstLineChars="200" w:firstLine="480"/>
        <w:rPr>
          <w:color w:val="000000" w:themeColor="text1"/>
          <w:sz w:val="24"/>
        </w:rPr>
      </w:pPr>
      <w:r>
        <w:rPr>
          <w:color w:val="000000" w:themeColor="text1"/>
          <w:sz w:val="24"/>
        </w:rPr>
        <w:t>本报告中财务资料未经审计。</w:t>
      </w:r>
    </w:p>
    <w:p w:rsidR="007D1292" w:rsidRPr="00A67563" w:rsidRDefault="007D1292" w:rsidP="006669C9">
      <w:pPr>
        <w:spacing w:line="360" w:lineRule="auto"/>
        <w:ind w:firstLineChars="200" w:firstLine="480"/>
        <w:rPr>
          <w:color w:val="000000" w:themeColor="text1"/>
          <w:sz w:val="24"/>
        </w:rPr>
      </w:pPr>
      <w:r w:rsidRPr="00A67563">
        <w:rPr>
          <w:color w:val="000000" w:themeColor="text1"/>
          <w:sz w:val="24"/>
        </w:rPr>
        <w:t>本报告期自</w:t>
      </w:r>
      <w:r w:rsidRPr="00A67563">
        <w:rPr>
          <w:color w:val="000000" w:themeColor="text1"/>
          <w:sz w:val="24"/>
        </w:rPr>
        <w:t>2019</w:t>
      </w:r>
      <w:r w:rsidRPr="00A67563">
        <w:rPr>
          <w:color w:val="000000" w:themeColor="text1"/>
          <w:sz w:val="24"/>
        </w:rPr>
        <w:t>年</w:t>
      </w:r>
      <w:r w:rsidRPr="00A67563">
        <w:rPr>
          <w:color w:val="000000" w:themeColor="text1"/>
          <w:sz w:val="24"/>
        </w:rPr>
        <w:t>7</w:t>
      </w:r>
      <w:r w:rsidRPr="00A67563">
        <w:rPr>
          <w:color w:val="000000" w:themeColor="text1"/>
          <w:sz w:val="24"/>
        </w:rPr>
        <w:t>月</w:t>
      </w:r>
      <w:r w:rsidRPr="00A67563">
        <w:rPr>
          <w:color w:val="000000" w:themeColor="text1"/>
          <w:sz w:val="24"/>
        </w:rPr>
        <w:t>1</w:t>
      </w:r>
      <w:r w:rsidRPr="00A67563">
        <w:rPr>
          <w:color w:val="000000" w:themeColor="text1"/>
          <w:sz w:val="24"/>
        </w:rPr>
        <w:t>日起至</w:t>
      </w:r>
      <w:r w:rsidRPr="00A67563">
        <w:rPr>
          <w:color w:val="000000" w:themeColor="text1"/>
          <w:sz w:val="24"/>
        </w:rPr>
        <w:t>9</w:t>
      </w:r>
      <w:r w:rsidRPr="00A67563">
        <w:rPr>
          <w:color w:val="000000" w:themeColor="text1"/>
          <w:sz w:val="24"/>
        </w:rPr>
        <w:t>月</w:t>
      </w:r>
      <w:r w:rsidRPr="00A67563">
        <w:rPr>
          <w:color w:val="000000" w:themeColor="text1"/>
          <w:sz w:val="24"/>
        </w:rPr>
        <w:t>30</w:t>
      </w:r>
      <w:r w:rsidRPr="00A67563">
        <w:rPr>
          <w:color w:val="000000" w:themeColor="text1"/>
          <w:sz w:val="24"/>
        </w:rPr>
        <w:t>日止。</w:t>
      </w:r>
    </w:p>
    <w:p w:rsidR="0076518F" w:rsidRPr="00A67563" w:rsidRDefault="0076518F" w:rsidP="00014E7F">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t xml:space="preserve">§2  </w:t>
      </w:r>
      <w:r w:rsidRPr="00A67563">
        <w:rPr>
          <w:color w:val="000000" w:themeColor="text1"/>
          <w:kern w:val="0"/>
          <w:sz w:val="24"/>
          <w:szCs w:val="24"/>
        </w:rPr>
        <w:t>基金产品概况</w:t>
      </w:r>
    </w:p>
    <w:tbl>
      <w:tblPr>
        <w:tblW w:w="84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0"/>
        <w:gridCol w:w="2780"/>
        <w:gridCol w:w="2663"/>
      </w:tblGrid>
      <w:tr w:rsidR="008277FF" w:rsidRPr="00A67563" w:rsidTr="003376D5">
        <w:tc>
          <w:tcPr>
            <w:tcW w:w="2980" w:type="dxa"/>
            <w:vAlign w:val="center"/>
          </w:tcPr>
          <w:p w:rsidR="00363E15" w:rsidRPr="00A67563" w:rsidRDefault="00363E15" w:rsidP="003376D5">
            <w:pPr>
              <w:adjustRightInd w:val="0"/>
              <w:spacing w:before="29" w:line="360" w:lineRule="auto"/>
              <w:ind w:left="17"/>
              <w:rPr>
                <w:color w:val="000000" w:themeColor="text1"/>
                <w:kern w:val="0"/>
                <w:sz w:val="24"/>
              </w:rPr>
            </w:pPr>
            <w:r w:rsidRPr="00A67563">
              <w:rPr>
                <w:color w:val="000000" w:themeColor="text1"/>
                <w:kern w:val="0"/>
                <w:sz w:val="24"/>
              </w:rPr>
              <w:t>基金简称</w:t>
            </w:r>
          </w:p>
        </w:tc>
        <w:tc>
          <w:tcPr>
            <w:tcW w:w="5443" w:type="dxa"/>
            <w:gridSpan w:val="2"/>
            <w:vAlign w:val="center"/>
          </w:tcPr>
          <w:p w:rsidR="00363E15" w:rsidRPr="00A67563" w:rsidRDefault="00363E15" w:rsidP="003376D5">
            <w:pPr>
              <w:adjustRightInd w:val="0"/>
              <w:spacing w:before="29" w:line="360" w:lineRule="auto"/>
              <w:ind w:left="17"/>
              <w:rPr>
                <w:color w:val="000000" w:themeColor="text1"/>
                <w:kern w:val="0"/>
                <w:sz w:val="24"/>
              </w:rPr>
            </w:pPr>
            <w:r w:rsidRPr="00A67563">
              <w:rPr>
                <w:color w:val="000000" w:themeColor="text1"/>
                <w:kern w:val="0"/>
                <w:sz w:val="24"/>
              </w:rPr>
              <w:t>易方达标普消费品指数增强（</w:t>
            </w:r>
            <w:r w:rsidRPr="00A67563">
              <w:rPr>
                <w:color w:val="000000" w:themeColor="text1"/>
                <w:kern w:val="0"/>
                <w:sz w:val="24"/>
              </w:rPr>
              <w:t>QDII</w:t>
            </w:r>
            <w:r w:rsidRPr="00A67563">
              <w:rPr>
                <w:color w:val="000000" w:themeColor="text1"/>
                <w:kern w:val="0"/>
                <w:sz w:val="24"/>
              </w:rPr>
              <w:t>）</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kern w:val="0"/>
                <w:sz w:val="24"/>
              </w:rPr>
            </w:pPr>
            <w:r w:rsidRPr="00A67563">
              <w:rPr>
                <w:color w:val="000000" w:themeColor="text1"/>
                <w:kern w:val="0"/>
                <w:sz w:val="24"/>
              </w:rPr>
              <w:t>基金主代码</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kern w:val="0"/>
                <w:sz w:val="24"/>
              </w:rPr>
            </w:pPr>
            <w:r w:rsidRPr="00A67563">
              <w:rPr>
                <w:color w:val="000000" w:themeColor="text1"/>
                <w:kern w:val="0"/>
                <w:sz w:val="24"/>
              </w:rPr>
              <w:t>118002</w:t>
            </w:r>
          </w:p>
        </w:tc>
      </w:tr>
      <w:tr w:rsidR="008277FF" w:rsidRPr="00A67563" w:rsidTr="003376D5">
        <w:tc>
          <w:tcPr>
            <w:tcW w:w="2980" w:type="dxa"/>
            <w:vAlign w:val="center"/>
          </w:tcPr>
          <w:p w:rsidR="005837E4" w:rsidRPr="00A67563" w:rsidRDefault="005837E4" w:rsidP="003376D5">
            <w:pPr>
              <w:adjustRightInd w:val="0"/>
              <w:spacing w:before="29" w:line="360" w:lineRule="auto"/>
              <w:ind w:left="17"/>
              <w:rPr>
                <w:color w:val="000000" w:themeColor="text1"/>
                <w:kern w:val="0"/>
                <w:sz w:val="24"/>
              </w:rPr>
            </w:pPr>
            <w:r w:rsidRPr="00A67563">
              <w:rPr>
                <w:color w:val="000000" w:themeColor="text1"/>
                <w:kern w:val="0"/>
                <w:sz w:val="24"/>
              </w:rPr>
              <w:t>交易代码</w:t>
            </w:r>
          </w:p>
        </w:tc>
        <w:tc>
          <w:tcPr>
            <w:tcW w:w="5443" w:type="dxa"/>
            <w:gridSpan w:val="2"/>
            <w:vAlign w:val="center"/>
          </w:tcPr>
          <w:p w:rsidR="005837E4" w:rsidRPr="00A67563" w:rsidRDefault="005837E4" w:rsidP="003376D5">
            <w:pPr>
              <w:adjustRightInd w:val="0"/>
              <w:spacing w:before="29" w:line="360" w:lineRule="auto"/>
              <w:ind w:left="17"/>
              <w:rPr>
                <w:color w:val="000000" w:themeColor="text1"/>
                <w:kern w:val="0"/>
                <w:sz w:val="24"/>
              </w:rPr>
            </w:pPr>
            <w:r w:rsidRPr="00A67563">
              <w:rPr>
                <w:color w:val="000000" w:themeColor="text1"/>
                <w:kern w:val="0"/>
                <w:sz w:val="24"/>
              </w:rPr>
              <w:t>118002</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基金运作方式</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契约型开放式</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基金合同生效日</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kern w:val="0"/>
                <w:sz w:val="24"/>
              </w:rPr>
            </w:pPr>
            <w:r w:rsidRPr="00A67563">
              <w:rPr>
                <w:color w:val="000000" w:themeColor="text1"/>
                <w:kern w:val="0"/>
                <w:sz w:val="24"/>
              </w:rPr>
              <w:t>2012</w:t>
            </w:r>
            <w:r w:rsidRPr="00A67563">
              <w:rPr>
                <w:color w:val="000000" w:themeColor="text1"/>
                <w:kern w:val="0"/>
                <w:sz w:val="24"/>
              </w:rPr>
              <w:t>年</w:t>
            </w:r>
            <w:r w:rsidRPr="00A67563">
              <w:rPr>
                <w:color w:val="000000" w:themeColor="text1"/>
                <w:kern w:val="0"/>
                <w:sz w:val="24"/>
              </w:rPr>
              <w:t>6</w:t>
            </w:r>
            <w:r w:rsidRPr="00A67563">
              <w:rPr>
                <w:color w:val="000000" w:themeColor="text1"/>
                <w:kern w:val="0"/>
                <w:sz w:val="24"/>
              </w:rPr>
              <w:t>月</w:t>
            </w:r>
            <w:r w:rsidRPr="00A67563">
              <w:rPr>
                <w:color w:val="000000" w:themeColor="text1"/>
                <w:kern w:val="0"/>
                <w:sz w:val="24"/>
              </w:rPr>
              <w:t>4</w:t>
            </w:r>
            <w:r w:rsidRPr="00A67563">
              <w:rPr>
                <w:color w:val="000000" w:themeColor="text1"/>
                <w:kern w:val="0"/>
                <w:sz w:val="24"/>
              </w:rPr>
              <w:t>日</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报告期末基金份额总额</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26,271,410.91</w:t>
            </w:r>
            <w:r w:rsidRPr="00A67563">
              <w:rPr>
                <w:color w:val="000000" w:themeColor="text1"/>
                <w:kern w:val="0"/>
                <w:sz w:val="24"/>
              </w:rPr>
              <w:t>份</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投资目标</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在严格控制跟踪误差的基础上，追求超越业绩比较基准的投资回报，力争实现基金资产的长期稳健增值。</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投资策略</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本基金以指数化投资为主，并辅以有限度的增强操作。本基金将以标普全球高端消费品指数的成份股构成及权重为基础，并基于量化模型和基本面研究进行投资组合的构建。在投资组合建立后，基金管</w:t>
            </w:r>
            <w:r w:rsidRPr="00A67563">
              <w:rPr>
                <w:color w:val="000000" w:themeColor="text1"/>
                <w:kern w:val="0"/>
                <w:sz w:val="24"/>
              </w:rPr>
              <w:lastRenderedPageBreak/>
              <w:t>理人将适时对投资组合进行调整，力争将投资组合对业绩比较基准的年化跟踪误差控制在</w:t>
            </w:r>
            <w:r w:rsidRPr="00A67563">
              <w:rPr>
                <w:color w:val="000000" w:themeColor="text1"/>
                <w:kern w:val="0"/>
                <w:sz w:val="24"/>
              </w:rPr>
              <w:t>8%</w:t>
            </w:r>
            <w:r w:rsidRPr="00A67563">
              <w:rPr>
                <w:color w:val="000000" w:themeColor="text1"/>
                <w:kern w:val="0"/>
                <w:sz w:val="24"/>
              </w:rPr>
              <w:t>以内，从而分享高端消费品行业品牌优势，高盈利所具有的长期投资价值，并力求获得超越业绩比较基准的投资回报。</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lastRenderedPageBreak/>
              <w:t>业绩比较基准</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标普全球高端消费品指数（净收益指数，使用估值汇率折算）</w:t>
            </w:r>
            <w:r w:rsidRPr="00A67563">
              <w:rPr>
                <w:color w:val="000000" w:themeColor="text1"/>
                <w:kern w:val="0"/>
                <w:sz w:val="24"/>
              </w:rPr>
              <w:t xml:space="preserve"> </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风险收益特征</w:t>
            </w:r>
          </w:p>
        </w:tc>
        <w:tc>
          <w:tcPr>
            <w:tcW w:w="5443" w:type="dxa"/>
            <w:gridSpan w:val="2"/>
            <w:vAlign w:val="center"/>
          </w:tcPr>
          <w:p w:rsidR="002755C3" w:rsidRDefault="00AE4B60">
            <w:pPr>
              <w:adjustRightInd w:val="0"/>
              <w:spacing w:before="29" w:line="360" w:lineRule="auto"/>
              <w:ind w:left="17"/>
              <w:rPr>
                <w:color w:val="000000" w:themeColor="text1"/>
                <w:sz w:val="24"/>
              </w:rPr>
            </w:pPr>
            <w:r>
              <w:rPr>
                <w:color w:val="000000" w:themeColor="text1"/>
                <w:kern w:val="0"/>
                <w:sz w:val="24"/>
              </w:rPr>
              <w:t>本基金为股票基金，其预期风险与收益水平高于货币市场基金、债券基金和混合型基金。本基金在控制跟踪误差的基础上，力争获得超越业绩比较基准的收益。长期来看，本基金具有与业绩比较基准相近的风险水平。</w:t>
            </w:r>
          </w:p>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本基金主要投资于全球高端消费品企业，需承担汇率风险、国家风险和高端消费品企业特有的风险。</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基金管理人</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易方达基金管理有限公司</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基金托管人</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中国银行股份有限公司</w:t>
            </w:r>
          </w:p>
        </w:tc>
      </w:tr>
      <w:tr w:rsidR="00D02B0F" w:rsidRPr="00A67563" w:rsidTr="003376D5">
        <w:tc>
          <w:tcPr>
            <w:tcW w:w="2980" w:type="dxa"/>
            <w:vMerge w:val="restart"/>
            <w:vAlign w:val="center"/>
          </w:tcPr>
          <w:p w:rsidR="00D02B0F" w:rsidRPr="00A67563" w:rsidRDefault="00D02B0F" w:rsidP="00D02B0F">
            <w:pPr>
              <w:adjustRightInd w:val="0"/>
              <w:spacing w:before="29" w:line="360" w:lineRule="auto"/>
              <w:ind w:left="17"/>
              <w:rPr>
                <w:color w:val="000000" w:themeColor="text1"/>
                <w:kern w:val="0"/>
                <w:sz w:val="24"/>
              </w:rPr>
            </w:pPr>
            <w:r w:rsidRPr="00A67563">
              <w:rPr>
                <w:color w:val="000000" w:themeColor="text1"/>
                <w:kern w:val="0"/>
                <w:sz w:val="24"/>
              </w:rPr>
              <w:t>境外投资顾问</w:t>
            </w:r>
          </w:p>
        </w:tc>
        <w:tc>
          <w:tcPr>
            <w:tcW w:w="5443" w:type="dxa"/>
            <w:gridSpan w:val="2"/>
            <w:vAlign w:val="center"/>
          </w:tcPr>
          <w:p w:rsidR="00D02B0F" w:rsidRPr="00A67563" w:rsidRDefault="00D02B0F" w:rsidP="00857E0E">
            <w:pPr>
              <w:adjustRightInd w:val="0"/>
              <w:spacing w:before="29" w:line="360" w:lineRule="auto"/>
              <w:ind w:left="17"/>
              <w:jc w:val="left"/>
              <w:rPr>
                <w:color w:val="000000" w:themeColor="text1"/>
                <w:kern w:val="0"/>
                <w:sz w:val="24"/>
              </w:rPr>
            </w:pPr>
            <w:r w:rsidRPr="00A67563">
              <w:rPr>
                <w:color w:val="000000" w:themeColor="text1"/>
                <w:kern w:val="0"/>
                <w:sz w:val="24"/>
              </w:rPr>
              <w:t>英文名称</w:t>
            </w:r>
            <w:r>
              <w:rPr>
                <w:rFonts w:hint="eastAsia"/>
                <w:color w:val="000000" w:themeColor="text1"/>
                <w:kern w:val="0"/>
                <w:sz w:val="24"/>
              </w:rPr>
              <w:t>：</w:t>
            </w:r>
            <w:r w:rsidRPr="00A67563">
              <w:rPr>
                <w:color w:val="000000" w:themeColor="text1"/>
                <w:kern w:val="0"/>
                <w:sz w:val="24"/>
              </w:rPr>
              <w:t>无</w:t>
            </w:r>
          </w:p>
        </w:tc>
      </w:tr>
      <w:tr w:rsidR="00D02B0F" w:rsidRPr="00A67563" w:rsidTr="003376D5">
        <w:tc>
          <w:tcPr>
            <w:tcW w:w="2980" w:type="dxa"/>
            <w:vMerge/>
            <w:vAlign w:val="center"/>
          </w:tcPr>
          <w:p w:rsidR="00D02B0F" w:rsidRPr="00A67563" w:rsidRDefault="00D02B0F" w:rsidP="00D02B0F">
            <w:pPr>
              <w:adjustRightInd w:val="0"/>
              <w:spacing w:before="29" w:line="360" w:lineRule="auto"/>
              <w:ind w:left="17"/>
              <w:rPr>
                <w:color w:val="000000" w:themeColor="text1"/>
                <w:kern w:val="0"/>
                <w:sz w:val="24"/>
              </w:rPr>
            </w:pPr>
          </w:p>
        </w:tc>
        <w:tc>
          <w:tcPr>
            <w:tcW w:w="5443" w:type="dxa"/>
            <w:gridSpan w:val="2"/>
            <w:vAlign w:val="center"/>
          </w:tcPr>
          <w:p w:rsidR="00D02B0F" w:rsidRPr="00A67563" w:rsidRDefault="00D02B0F" w:rsidP="00857E0E">
            <w:pPr>
              <w:adjustRightInd w:val="0"/>
              <w:spacing w:before="29" w:line="360" w:lineRule="auto"/>
              <w:ind w:left="17"/>
              <w:jc w:val="left"/>
              <w:rPr>
                <w:color w:val="000000" w:themeColor="text1"/>
                <w:kern w:val="0"/>
                <w:sz w:val="24"/>
              </w:rPr>
            </w:pPr>
            <w:r w:rsidRPr="00A67563">
              <w:rPr>
                <w:color w:val="000000" w:themeColor="text1"/>
                <w:kern w:val="0"/>
                <w:sz w:val="24"/>
              </w:rPr>
              <w:t>中文名称</w:t>
            </w:r>
            <w:r>
              <w:rPr>
                <w:rFonts w:hint="eastAsia"/>
                <w:color w:val="000000" w:themeColor="text1"/>
                <w:kern w:val="0"/>
                <w:sz w:val="24"/>
              </w:rPr>
              <w:t>：</w:t>
            </w:r>
            <w:r w:rsidRPr="00A67563">
              <w:rPr>
                <w:color w:val="000000" w:themeColor="text1"/>
                <w:kern w:val="0"/>
                <w:sz w:val="24"/>
              </w:rPr>
              <w:t>无</w:t>
            </w:r>
          </w:p>
        </w:tc>
      </w:tr>
      <w:tr w:rsidR="00D02B0F" w:rsidRPr="00A67563" w:rsidTr="0031104D">
        <w:tc>
          <w:tcPr>
            <w:tcW w:w="2980" w:type="dxa"/>
            <w:vMerge w:val="restart"/>
            <w:vAlign w:val="center"/>
          </w:tcPr>
          <w:p w:rsidR="00D02B0F" w:rsidRPr="00A67563" w:rsidRDefault="00D02B0F" w:rsidP="00D02B0F">
            <w:pPr>
              <w:adjustRightInd w:val="0"/>
              <w:spacing w:before="29" w:line="360" w:lineRule="auto"/>
              <w:ind w:left="17"/>
              <w:rPr>
                <w:color w:val="000000" w:themeColor="text1"/>
                <w:kern w:val="0"/>
                <w:sz w:val="24"/>
              </w:rPr>
            </w:pPr>
            <w:r w:rsidRPr="00A67563">
              <w:rPr>
                <w:color w:val="000000" w:themeColor="text1"/>
                <w:kern w:val="0"/>
                <w:sz w:val="24"/>
              </w:rPr>
              <w:t>境外资产托管人</w:t>
            </w:r>
          </w:p>
        </w:tc>
        <w:tc>
          <w:tcPr>
            <w:tcW w:w="5443" w:type="dxa"/>
            <w:gridSpan w:val="2"/>
            <w:vAlign w:val="center"/>
          </w:tcPr>
          <w:p w:rsidR="00D02B0F" w:rsidRPr="00A67563" w:rsidRDefault="00D02B0F" w:rsidP="00857E0E">
            <w:pPr>
              <w:adjustRightInd w:val="0"/>
              <w:spacing w:before="29" w:line="360" w:lineRule="auto"/>
              <w:ind w:left="17"/>
              <w:jc w:val="left"/>
              <w:rPr>
                <w:color w:val="000000" w:themeColor="text1"/>
                <w:kern w:val="0"/>
                <w:sz w:val="24"/>
              </w:rPr>
            </w:pPr>
            <w:r w:rsidRPr="00A67563">
              <w:rPr>
                <w:color w:val="000000" w:themeColor="text1"/>
                <w:kern w:val="0"/>
                <w:sz w:val="24"/>
              </w:rPr>
              <w:t>英文名称</w:t>
            </w:r>
            <w:r>
              <w:rPr>
                <w:rFonts w:hint="eastAsia"/>
                <w:color w:val="000000" w:themeColor="text1"/>
                <w:kern w:val="0"/>
                <w:sz w:val="24"/>
              </w:rPr>
              <w:t>：</w:t>
            </w:r>
            <w:r w:rsidRPr="00A67563">
              <w:rPr>
                <w:color w:val="000000" w:themeColor="text1"/>
                <w:kern w:val="0"/>
                <w:sz w:val="24"/>
              </w:rPr>
              <w:t>Bank of China</w:t>
            </w:r>
            <w:r w:rsidRPr="00A67563">
              <w:rPr>
                <w:color w:val="000000" w:themeColor="text1"/>
                <w:kern w:val="0"/>
                <w:sz w:val="24"/>
              </w:rPr>
              <w:t>（</w:t>
            </w:r>
            <w:r w:rsidRPr="00A67563">
              <w:rPr>
                <w:color w:val="000000" w:themeColor="text1"/>
                <w:kern w:val="0"/>
                <w:sz w:val="24"/>
              </w:rPr>
              <w:t>Hong Kong</w:t>
            </w:r>
            <w:r w:rsidRPr="00A67563">
              <w:rPr>
                <w:color w:val="000000" w:themeColor="text1"/>
                <w:kern w:val="0"/>
                <w:sz w:val="24"/>
              </w:rPr>
              <w:t>）</w:t>
            </w:r>
            <w:r w:rsidRPr="00A67563">
              <w:rPr>
                <w:color w:val="000000" w:themeColor="text1"/>
                <w:kern w:val="0"/>
                <w:sz w:val="24"/>
              </w:rPr>
              <w:t>Limited</w:t>
            </w:r>
          </w:p>
        </w:tc>
      </w:tr>
      <w:tr w:rsidR="00D02B0F" w:rsidRPr="00A67563" w:rsidTr="0031104D">
        <w:tc>
          <w:tcPr>
            <w:tcW w:w="2980" w:type="dxa"/>
            <w:vMerge/>
            <w:vAlign w:val="center"/>
          </w:tcPr>
          <w:p w:rsidR="00D02B0F" w:rsidRPr="00A67563" w:rsidRDefault="00D02B0F" w:rsidP="00D02B0F">
            <w:pPr>
              <w:adjustRightInd w:val="0"/>
              <w:spacing w:before="29" w:line="360" w:lineRule="auto"/>
              <w:rPr>
                <w:color w:val="000000" w:themeColor="text1"/>
                <w:kern w:val="0"/>
                <w:sz w:val="24"/>
              </w:rPr>
            </w:pPr>
          </w:p>
        </w:tc>
        <w:tc>
          <w:tcPr>
            <w:tcW w:w="5443" w:type="dxa"/>
            <w:gridSpan w:val="2"/>
            <w:vAlign w:val="center"/>
          </w:tcPr>
          <w:p w:rsidR="00D02B0F" w:rsidRPr="00A67563" w:rsidRDefault="00D02B0F" w:rsidP="00857E0E">
            <w:pPr>
              <w:adjustRightInd w:val="0"/>
              <w:spacing w:before="29" w:line="360" w:lineRule="auto"/>
              <w:ind w:left="17"/>
              <w:jc w:val="left"/>
              <w:rPr>
                <w:color w:val="000000" w:themeColor="text1"/>
                <w:kern w:val="0"/>
                <w:sz w:val="24"/>
              </w:rPr>
            </w:pPr>
            <w:r w:rsidRPr="00A67563">
              <w:rPr>
                <w:color w:val="000000" w:themeColor="text1"/>
                <w:kern w:val="0"/>
                <w:sz w:val="24"/>
              </w:rPr>
              <w:t>中文名称</w:t>
            </w:r>
            <w:r>
              <w:rPr>
                <w:rFonts w:hint="eastAsia"/>
                <w:color w:val="000000" w:themeColor="text1"/>
                <w:kern w:val="0"/>
                <w:sz w:val="24"/>
              </w:rPr>
              <w:t>：</w:t>
            </w:r>
            <w:r w:rsidRPr="00A67563">
              <w:rPr>
                <w:color w:val="000000" w:themeColor="text1"/>
                <w:kern w:val="0"/>
                <w:sz w:val="24"/>
              </w:rPr>
              <w:t>中国银行</w:t>
            </w:r>
            <w:r w:rsidRPr="00A67563">
              <w:rPr>
                <w:color w:val="000000" w:themeColor="text1"/>
                <w:kern w:val="0"/>
                <w:sz w:val="24"/>
              </w:rPr>
              <w:t>(</w:t>
            </w:r>
            <w:r w:rsidRPr="00A67563">
              <w:rPr>
                <w:color w:val="000000" w:themeColor="text1"/>
                <w:kern w:val="0"/>
                <w:sz w:val="24"/>
              </w:rPr>
              <w:t>香港</w:t>
            </w:r>
            <w:r w:rsidRPr="00A67563">
              <w:rPr>
                <w:color w:val="000000" w:themeColor="text1"/>
                <w:kern w:val="0"/>
                <w:sz w:val="24"/>
              </w:rPr>
              <w:t>)</w:t>
            </w:r>
            <w:r w:rsidRPr="00A67563">
              <w:rPr>
                <w:color w:val="000000" w:themeColor="text1"/>
                <w:kern w:val="0"/>
                <w:sz w:val="24"/>
              </w:rPr>
              <w:t>有限公司</w:t>
            </w:r>
          </w:p>
        </w:tc>
      </w:tr>
      <w:tr w:rsidR="00070DD6" w:rsidRPr="00A67563" w:rsidTr="00845292">
        <w:tblPrEx>
          <w:tblLook w:val="0000" w:firstRow="0" w:lastRow="0" w:firstColumn="0" w:lastColumn="0" w:noHBand="0" w:noVBand="0"/>
        </w:tblPrEx>
        <w:trPr>
          <w:trHeight w:val="866"/>
        </w:trPr>
        <w:tc>
          <w:tcPr>
            <w:tcW w:w="2980" w:type="dxa"/>
          </w:tcPr>
          <w:p w:rsidR="00070DD6" w:rsidRPr="00A67563" w:rsidRDefault="00070DD6" w:rsidP="00845292">
            <w:pPr>
              <w:adjustRightInd w:val="0"/>
              <w:spacing w:before="29" w:line="360" w:lineRule="auto"/>
              <w:ind w:left="17"/>
              <w:jc w:val="left"/>
              <w:rPr>
                <w:color w:val="000000" w:themeColor="text1"/>
                <w:kern w:val="0"/>
                <w:sz w:val="24"/>
              </w:rPr>
            </w:pPr>
            <w:r w:rsidRPr="00A67563">
              <w:rPr>
                <w:color w:val="000000" w:themeColor="text1"/>
                <w:sz w:val="24"/>
              </w:rPr>
              <w:t>下属分级基金的基金简称</w:t>
            </w:r>
          </w:p>
        </w:tc>
        <w:tc>
          <w:tcPr>
            <w:tcW w:w="2780" w:type="dxa"/>
            <w:vAlign w:val="center"/>
          </w:tcPr>
          <w:p w:rsidR="00070DD6" w:rsidRPr="00A67563" w:rsidRDefault="00070DD6" w:rsidP="00845292">
            <w:pPr>
              <w:jc w:val="left"/>
              <w:rPr>
                <w:color w:val="000000" w:themeColor="text1"/>
                <w:sz w:val="24"/>
              </w:rPr>
            </w:pPr>
            <w:r w:rsidRPr="00A67563">
              <w:rPr>
                <w:color w:val="000000" w:themeColor="text1"/>
                <w:sz w:val="24"/>
              </w:rPr>
              <w:t>易方达标普消费品指数增强（</w:t>
            </w:r>
            <w:r w:rsidRPr="00A67563">
              <w:rPr>
                <w:color w:val="000000" w:themeColor="text1"/>
                <w:sz w:val="24"/>
              </w:rPr>
              <w:t>QDII</w:t>
            </w:r>
            <w:r w:rsidRPr="00A67563">
              <w:rPr>
                <w:color w:val="000000" w:themeColor="text1"/>
                <w:sz w:val="24"/>
              </w:rPr>
              <w:t>）</w:t>
            </w:r>
            <w:r w:rsidRPr="00A67563">
              <w:rPr>
                <w:color w:val="000000" w:themeColor="text1"/>
                <w:sz w:val="24"/>
              </w:rPr>
              <w:t>A</w:t>
            </w:r>
          </w:p>
        </w:tc>
        <w:tc>
          <w:tcPr>
            <w:tcW w:w="2663" w:type="dxa"/>
            <w:vAlign w:val="center"/>
          </w:tcPr>
          <w:p w:rsidR="00070DD6" w:rsidRPr="00A67563" w:rsidRDefault="00070DD6" w:rsidP="00845292">
            <w:pPr>
              <w:jc w:val="left"/>
              <w:rPr>
                <w:color w:val="000000" w:themeColor="text1"/>
                <w:sz w:val="24"/>
              </w:rPr>
            </w:pPr>
            <w:r w:rsidRPr="00A67563">
              <w:rPr>
                <w:color w:val="000000" w:themeColor="text1"/>
                <w:sz w:val="24"/>
              </w:rPr>
              <w:t>易方达标普消费品指数增强（</w:t>
            </w:r>
            <w:r w:rsidRPr="00A67563">
              <w:rPr>
                <w:color w:val="000000" w:themeColor="text1"/>
                <w:sz w:val="24"/>
              </w:rPr>
              <w:t>QDII</w:t>
            </w:r>
            <w:r w:rsidRPr="00A67563">
              <w:rPr>
                <w:color w:val="000000" w:themeColor="text1"/>
                <w:sz w:val="24"/>
              </w:rPr>
              <w:t>）</w:t>
            </w:r>
            <w:r w:rsidRPr="00A67563">
              <w:rPr>
                <w:color w:val="000000" w:themeColor="text1"/>
                <w:sz w:val="24"/>
              </w:rPr>
              <w:t>C</w:t>
            </w:r>
          </w:p>
        </w:tc>
      </w:tr>
      <w:tr w:rsidR="00070DD6" w:rsidRPr="00A67563" w:rsidTr="00845292">
        <w:tblPrEx>
          <w:tblLook w:val="0000" w:firstRow="0" w:lastRow="0" w:firstColumn="0" w:lastColumn="0" w:noHBand="0" w:noVBand="0"/>
        </w:tblPrEx>
        <w:trPr>
          <w:trHeight w:val="628"/>
        </w:trPr>
        <w:tc>
          <w:tcPr>
            <w:tcW w:w="2980" w:type="dxa"/>
          </w:tcPr>
          <w:p w:rsidR="00070DD6" w:rsidRPr="00A67563" w:rsidRDefault="00070DD6" w:rsidP="00845292">
            <w:pPr>
              <w:adjustRightInd w:val="0"/>
              <w:spacing w:before="29" w:line="360" w:lineRule="auto"/>
              <w:ind w:left="17"/>
              <w:jc w:val="left"/>
              <w:rPr>
                <w:color w:val="000000" w:themeColor="text1"/>
                <w:sz w:val="24"/>
              </w:rPr>
            </w:pPr>
            <w:r w:rsidRPr="00A67563">
              <w:rPr>
                <w:color w:val="000000" w:themeColor="text1"/>
                <w:sz w:val="24"/>
              </w:rPr>
              <w:t>下属分级基金的交易代码</w:t>
            </w:r>
          </w:p>
        </w:tc>
        <w:tc>
          <w:tcPr>
            <w:tcW w:w="2780" w:type="dxa"/>
            <w:vAlign w:val="center"/>
          </w:tcPr>
          <w:p w:rsidR="00070DD6" w:rsidRPr="00A67563" w:rsidRDefault="00070DD6" w:rsidP="00845292">
            <w:pPr>
              <w:jc w:val="left"/>
              <w:rPr>
                <w:color w:val="000000" w:themeColor="text1"/>
                <w:sz w:val="24"/>
              </w:rPr>
            </w:pPr>
            <w:r w:rsidRPr="00A67563">
              <w:rPr>
                <w:color w:val="000000" w:themeColor="text1"/>
                <w:sz w:val="24"/>
              </w:rPr>
              <w:t>118002</w:t>
            </w:r>
          </w:p>
        </w:tc>
        <w:tc>
          <w:tcPr>
            <w:tcW w:w="2663" w:type="dxa"/>
            <w:vAlign w:val="center"/>
          </w:tcPr>
          <w:p w:rsidR="00070DD6" w:rsidRPr="00A67563" w:rsidRDefault="00070DD6" w:rsidP="00845292">
            <w:pPr>
              <w:jc w:val="left"/>
              <w:rPr>
                <w:color w:val="000000" w:themeColor="text1"/>
                <w:sz w:val="24"/>
              </w:rPr>
            </w:pPr>
            <w:r w:rsidRPr="00A67563">
              <w:rPr>
                <w:color w:val="000000" w:themeColor="text1"/>
                <w:sz w:val="24"/>
              </w:rPr>
              <w:t>005676</w:t>
            </w:r>
          </w:p>
        </w:tc>
      </w:tr>
      <w:tr w:rsidR="00322A5E" w:rsidRPr="00A67563" w:rsidTr="0031104D">
        <w:tblPrEx>
          <w:tblLook w:val="0000" w:firstRow="0" w:lastRow="0" w:firstColumn="0" w:lastColumn="0" w:noHBand="0" w:noVBand="0"/>
        </w:tblPrEx>
        <w:trPr>
          <w:trHeight w:val="555"/>
        </w:trPr>
        <w:tc>
          <w:tcPr>
            <w:tcW w:w="2980" w:type="dxa"/>
            <w:vAlign w:val="center"/>
          </w:tcPr>
          <w:p w:rsidR="00322A5E" w:rsidRPr="00A67563" w:rsidRDefault="00322A5E" w:rsidP="00845292">
            <w:pPr>
              <w:adjustRightInd w:val="0"/>
              <w:spacing w:before="29" w:line="360" w:lineRule="auto"/>
              <w:ind w:left="17"/>
              <w:rPr>
                <w:color w:val="000000" w:themeColor="text1"/>
                <w:sz w:val="24"/>
              </w:rPr>
            </w:pPr>
            <w:r w:rsidRPr="00A67563">
              <w:rPr>
                <w:color w:val="000000" w:themeColor="text1"/>
                <w:sz w:val="24"/>
              </w:rPr>
              <w:t>报告期末下属分级基金的份额总额</w:t>
            </w:r>
          </w:p>
        </w:tc>
        <w:tc>
          <w:tcPr>
            <w:tcW w:w="2780" w:type="dxa"/>
            <w:vAlign w:val="center"/>
          </w:tcPr>
          <w:p w:rsidR="00322A5E" w:rsidRPr="00A67563" w:rsidRDefault="00322A5E" w:rsidP="00845292">
            <w:pPr>
              <w:rPr>
                <w:color w:val="000000" w:themeColor="text1"/>
                <w:sz w:val="24"/>
              </w:rPr>
            </w:pPr>
            <w:r w:rsidRPr="00A67563">
              <w:rPr>
                <w:color w:val="000000" w:themeColor="text1"/>
                <w:sz w:val="24"/>
              </w:rPr>
              <w:t>25,044,732.32</w:t>
            </w:r>
            <w:r w:rsidRPr="00A67563">
              <w:rPr>
                <w:color w:val="000000" w:themeColor="text1"/>
                <w:kern w:val="0"/>
                <w:sz w:val="24"/>
              </w:rPr>
              <w:t>份</w:t>
            </w:r>
          </w:p>
        </w:tc>
        <w:tc>
          <w:tcPr>
            <w:tcW w:w="2663" w:type="dxa"/>
            <w:vAlign w:val="center"/>
          </w:tcPr>
          <w:p w:rsidR="00322A5E" w:rsidRPr="00A67563" w:rsidRDefault="00322A5E" w:rsidP="00845292">
            <w:pPr>
              <w:rPr>
                <w:color w:val="000000" w:themeColor="text1"/>
                <w:sz w:val="24"/>
              </w:rPr>
            </w:pPr>
            <w:r w:rsidRPr="00A67563">
              <w:rPr>
                <w:color w:val="000000" w:themeColor="text1"/>
                <w:sz w:val="24"/>
              </w:rPr>
              <w:t>1,226,678.59</w:t>
            </w:r>
            <w:r w:rsidRPr="00A67563">
              <w:rPr>
                <w:color w:val="000000" w:themeColor="text1"/>
                <w:kern w:val="0"/>
                <w:sz w:val="24"/>
              </w:rPr>
              <w:t>份</w:t>
            </w:r>
          </w:p>
        </w:tc>
      </w:tr>
    </w:tbl>
    <w:p w:rsidR="002755C3" w:rsidRDefault="00AE4B60">
      <w:pPr>
        <w:autoSpaceDE w:val="0"/>
        <w:autoSpaceDN w:val="0"/>
        <w:adjustRightInd w:val="0"/>
        <w:spacing w:line="360" w:lineRule="auto"/>
        <w:ind w:firstLineChars="200" w:firstLine="480"/>
        <w:jc w:val="left"/>
        <w:rPr>
          <w:color w:val="000000" w:themeColor="text1"/>
          <w:sz w:val="24"/>
        </w:rPr>
      </w:pPr>
      <w:r>
        <w:rPr>
          <w:color w:val="000000" w:themeColor="text1"/>
          <w:sz w:val="24"/>
        </w:rPr>
        <w:t>注：</w:t>
      </w:r>
      <w:r>
        <w:rPr>
          <w:color w:val="000000" w:themeColor="text1"/>
          <w:sz w:val="24"/>
        </w:rPr>
        <w:t>1.</w:t>
      </w:r>
      <w:r>
        <w:rPr>
          <w:color w:val="000000" w:themeColor="text1"/>
          <w:sz w:val="24"/>
        </w:rPr>
        <w:t>自</w:t>
      </w:r>
      <w:r>
        <w:rPr>
          <w:color w:val="000000" w:themeColor="text1"/>
          <w:sz w:val="24"/>
        </w:rPr>
        <w:t>2018</w:t>
      </w:r>
      <w:r>
        <w:rPr>
          <w:color w:val="000000" w:themeColor="text1"/>
          <w:sz w:val="24"/>
        </w:rPr>
        <w:t>年</w:t>
      </w:r>
      <w:r>
        <w:rPr>
          <w:color w:val="000000" w:themeColor="text1"/>
          <w:sz w:val="24"/>
        </w:rPr>
        <w:t>2</w:t>
      </w:r>
      <w:r>
        <w:rPr>
          <w:color w:val="000000" w:themeColor="text1"/>
          <w:sz w:val="24"/>
        </w:rPr>
        <w:t>月</w:t>
      </w:r>
      <w:r>
        <w:rPr>
          <w:color w:val="000000" w:themeColor="text1"/>
          <w:sz w:val="24"/>
        </w:rPr>
        <w:t>9</w:t>
      </w:r>
      <w:r>
        <w:rPr>
          <w:color w:val="000000" w:themeColor="text1"/>
          <w:sz w:val="24"/>
        </w:rPr>
        <w:t>日起</w:t>
      </w:r>
      <w:r>
        <w:rPr>
          <w:color w:val="000000" w:themeColor="text1"/>
          <w:sz w:val="24"/>
        </w:rPr>
        <w:t>,</w:t>
      </w:r>
      <w:r>
        <w:rPr>
          <w:color w:val="000000" w:themeColor="text1"/>
          <w:sz w:val="24"/>
        </w:rPr>
        <w:t>本基金增设</w:t>
      </w:r>
      <w:r>
        <w:rPr>
          <w:color w:val="000000" w:themeColor="text1"/>
          <w:sz w:val="24"/>
        </w:rPr>
        <w:t>C</w:t>
      </w:r>
      <w:r>
        <w:rPr>
          <w:color w:val="000000" w:themeColor="text1"/>
          <w:sz w:val="24"/>
        </w:rPr>
        <w:t>类份额类别</w:t>
      </w:r>
      <w:r>
        <w:rPr>
          <w:color w:val="000000" w:themeColor="text1"/>
          <w:sz w:val="24"/>
        </w:rPr>
        <w:t>,</w:t>
      </w:r>
      <w:r>
        <w:rPr>
          <w:color w:val="000000" w:themeColor="text1"/>
          <w:sz w:val="24"/>
        </w:rPr>
        <w:t>份额首次确认日为</w:t>
      </w:r>
      <w:r>
        <w:rPr>
          <w:color w:val="000000" w:themeColor="text1"/>
          <w:sz w:val="24"/>
        </w:rPr>
        <w:t>2018</w:t>
      </w:r>
      <w:r>
        <w:rPr>
          <w:color w:val="000000" w:themeColor="text1"/>
          <w:sz w:val="24"/>
        </w:rPr>
        <w:t>年</w:t>
      </w:r>
      <w:r>
        <w:rPr>
          <w:color w:val="000000" w:themeColor="text1"/>
          <w:sz w:val="24"/>
        </w:rPr>
        <w:t>2</w:t>
      </w:r>
      <w:r>
        <w:rPr>
          <w:color w:val="000000" w:themeColor="text1"/>
          <w:sz w:val="24"/>
        </w:rPr>
        <w:t>月</w:t>
      </w:r>
      <w:r>
        <w:rPr>
          <w:color w:val="000000" w:themeColor="text1"/>
          <w:sz w:val="24"/>
        </w:rPr>
        <w:t>12</w:t>
      </w:r>
      <w:r>
        <w:rPr>
          <w:color w:val="000000" w:themeColor="text1"/>
          <w:sz w:val="24"/>
        </w:rPr>
        <w:t>日。</w:t>
      </w:r>
    </w:p>
    <w:p w:rsidR="00363E15" w:rsidRPr="00A67563" w:rsidRDefault="00363E15"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2.</w:t>
      </w:r>
      <w:r w:rsidRPr="00A67563">
        <w:rPr>
          <w:color w:val="000000" w:themeColor="text1"/>
          <w:sz w:val="24"/>
        </w:rPr>
        <w:t>易方达标普消费品指数增强（</w:t>
      </w:r>
      <w:r w:rsidRPr="00A67563">
        <w:rPr>
          <w:color w:val="000000" w:themeColor="text1"/>
          <w:sz w:val="24"/>
        </w:rPr>
        <w:t>QDII</w:t>
      </w:r>
      <w:r w:rsidRPr="00A67563">
        <w:rPr>
          <w:color w:val="000000" w:themeColor="text1"/>
          <w:sz w:val="24"/>
        </w:rPr>
        <w:t>）</w:t>
      </w:r>
      <w:r w:rsidRPr="00A67563">
        <w:rPr>
          <w:color w:val="000000" w:themeColor="text1"/>
          <w:sz w:val="24"/>
        </w:rPr>
        <w:t>A</w:t>
      </w:r>
      <w:r w:rsidRPr="00A67563">
        <w:rPr>
          <w:color w:val="000000" w:themeColor="text1"/>
          <w:sz w:val="24"/>
        </w:rPr>
        <w:t>含</w:t>
      </w:r>
      <w:r w:rsidRPr="00A67563">
        <w:rPr>
          <w:color w:val="000000" w:themeColor="text1"/>
          <w:sz w:val="24"/>
        </w:rPr>
        <w:t>A</w:t>
      </w:r>
      <w:r w:rsidRPr="00A67563">
        <w:rPr>
          <w:color w:val="000000" w:themeColor="text1"/>
          <w:sz w:val="24"/>
        </w:rPr>
        <w:t>类人民币份额（份额代码：</w:t>
      </w:r>
      <w:r w:rsidRPr="00A67563">
        <w:rPr>
          <w:color w:val="000000" w:themeColor="text1"/>
          <w:sz w:val="24"/>
        </w:rPr>
        <w:t xml:space="preserve"> </w:t>
      </w:r>
      <w:r w:rsidRPr="00A67563">
        <w:rPr>
          <w:color w:val="000000" w:themeColor="text1"/>
          <w:sz w:val="24"/>
        </w:rPr>
        <w:lastRenderedPageBreak/>
        <w:t>118002</w:t>
      </w:r>
      <w:r w:rsidRPr="00A67563">
        <w:rPr>
          <w:color w:val="000000" w:themeColor="text1"/>
          <w:sz w:val="24"/>
        </w:rPr>
        <w:t>）及</w:t>
      </w:r>
      <w:r w:rsidRPr="00A67563">
        <w:rPr>
          <w:color w:val="000000" w:themeColor="text1"/>
          <w:sz w:val="24"/>
        </w:rPr>
        <w:t>A</w:t>
      </w:r>
      <w:r w:rsidRPr="00A67563">
        <w:rPr>
          <w:color w:val="000000" w:themeColor="text1"/>
          <w:sz w:val="24"/>
        </w:rPr>
        <w:t>类美元现汇份额（份额代码：</w:t>
      </w:r>
      <w:r w:rsidRPr="00A67563">
        <w:rPr>
          <w:color w:val="000000" w:themeColor="text1"/>
          <w:sz w:val="24"/>
        </w:rPr>
        <w:t>000593</w:t>
      </w:r>
      <w:r w:rsidRPr="00A67563">
        <w:rPr>
          <w:color w:val="000000" w:themeColor="text1"/>
          <w:sz w:val="24"/>
        </w:rPr>
        <w:t>），交易代码仅列示</w:t>
      </w:r>
      <w:r w:rsidRPr="00A67563">
        <w:rPr>
          <w:color w:val="000000" w:themeColor="text1"/>
          <w:sz w:val="24"/>
        </w:rPr>
        <w:t>A</w:t>
      </w:r>
      <w:r w:rsidRPr="00A67563">
        <w:rPr>
          <w:color w:val="000000" w:themeColor="text1"/>
          <w:sz w:val="24"/>
        </w:rPr>
        <w:t>类人民币份额代码。易方达标普消费品指数增强（</w:t>
      </w:r>
      <w:r w:rsidRPr="00A67563">
        <w:rPr>
          <w:color w:val="000000" w:themeColor="text1"/>
          <w:sz w:val="24"/>
        </w:rPr>
        <w:t>QDII</w:t>
      </w:r>
      <w:r w:rsidRPr="00A67563">
        <w:rPr>
          <w:color w:val="000000" w:themeColor="text1"/>
          <w:sz w:val="24"/>
        </w:rPr>
        <w:t>）</w:t>
      </w:r>
      <w:r w:rsidRPr="00A67563">
        <w:rPr>
          <w:color w:val="000000" w:themeColor="text1"/>
          <w:sz w:val="24"/>
        </w:rPr>
        <w:t>C</w:t>
      </w:r>
      <w:r w:rsidRPr="00A67563">
        <w:rPr>
          <w:color w:val="000000" w:themeColor="text1"/>
          <w:sz w:val="24"/>
        </w:rPr>
        <w:t>含</w:t>
      </w:r>
      <w:r w:rsidRPr="00A67563">
        <w:rPr>
          <w:color w:val="000000" w:themeColor="text1"/>
          <w:sz w:val="24"/>
        </w:rPr>
        <w:t>C</w:t>
      </w:r>
      <w:r w:rsidRPr="00A67563">
        <w:rPr>
          <w:color w:val="000000" w:themeColor="text1"/>
          <w:sz w:val="24"/>
        </w:rPr>
        <w:t>类人民币份额（份额代码：</w:t>
      </w:r>
      <w:r w:rsidRPr="00A67563">
        <w:rPr>
          <w:color w:val="000000" w:themeColor="text1"/>
          <w:sz w:val="24"/>
        </w:rPr>
        <w:t>005676</w:t>
      </w:r>
      <w:r w:rsidRPr="00A67563">
        <w:rPr>
          <w:color w:val="000000" w:themeColor="text1"/>
          <w:sz w:val="24"/>
        </w:rPr>
        <w:t>）。</w:t>
      </w:r>
    </w:p>
    <w:p w:rsidR="0076518F" w:rsidRPr="00A67563" w:rsidRDefault="0076518F" w:rsidP="00014E7F">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t xml:space="preserve">§3  </w:t>
      </w:r>
      <w:r w:rsidRPr="00A67563">
        <w:rPr>
          <w:color w:val="000000" w:themeColor="text1"/>
          <w:kern w:val="0"/>
          <w:sz w:val="24"/>
          <w:szCs w:val="24"/>
        </w:rPr>
        <w:t>主要财务指标和基金净值表现</w:t>
      </w:r>
    </w:p>
    <w:p w:rsidR="0076518F" w:rsidRPr="00A67563" w:rsidRDefault="0076518F" w:rsidP="00506D57">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 xml:space="preserve">3.1 </w:t>
      </w:r>
      <w:r w:rsidRPr="00A67563">
        <w:rPr>
          <w:b/>
          <w:color w:val="000000" w:themeColor="text1"/>
          <w:kern w:val="0"/>
          <w:sz w:val="24"/>
        </w:rPr>
        <w:t>主要财务指标</w:t>
      </w:r>
    </w:p>
    <w:p w:rsidR="0076518F" w:rsidRPr="00A67563" w:rsidRDefault="0076518F" w:rsidP="008B6A4A">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225051" w:rsidRPr="00A67563" w:rsidTr="00845292">
        <w:tc>
          <w:tcPr>
            <w:tcW w:w="3402" w:type="dxa"/>
            <w:vMerge w:val="restart"/>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主要财务指标</w:t>
            </w:r>
          </w:p>
        </w:tc>
        <w:tc>
          <w:tcPr>
            <w:tcW w:w="4962" w:type="dxa"/>
            <w:gridSpan w:val="2"/>
            <w:vAlign w:val="center"/>
          </w:tcPr>
          <w:p w:rsidR="00225051" w:rsidRPr="00A67563" w:rsidRDefault="00225051" w:rsidP="00845292">
            <w:pPr>
              <w:adjustRightInd w:val="0"/>
              <w:spacing w:before="29" w:line="360" w:lineRule="auto"/>
              <w:ind w:left="17"/>
              <w:jc w:val="center"/>
              <w:rPr>
                <w:color w:val="000000" w:themeColor="text1"/>
                <w:sz w:val="24"/>
              </w:rPr>
            </w:pPr>
            <w:r w:rsidRPr="00A67563">
              <w:rPr>
                <w:color w:val="000000" w:themeColor="text1"/>
                <w:sz w:val="24"/>
              </w:rPr>
              <w:t>报告期</w:t>
            </w:r>
          </w:p>
          <w:p w:rsidR="00225051" w:rsidRPr="00A67563" w:rsidRDefault="00225051" w:rsidP="00845292">
            <w:pPr>
              <w:adjustRightInd w:val="0"/>
              <w:spacing w:before="29" w:line="360" w:lineRule="auto"/>
              <w:ind w:left="17"/>
              <w:jc w:val="center"/>
              <w:rPr>
                <w:color w:val="000000" w:themeColor="text1"/>
                <w:sz w:val="24"/>
              </w:rPr>
            </w:pPr>
            <w:r w:rsidRPr="00A67563">
              <w:rPr>
                <w:color w:val="000000" w:themeColor="text1"/>
                <w:sz w:val="24"/>
              </w:rPr>
              <w:t>(2019</w:t>
            </w:r>
            <w:r w:rsidRPr="00A67563">
              <w:rPr>
                <w:color w:val="000000" w:themeColor="text1"/>
                <w:sz w:val="24"/>
              </w:rPr>
              <w:t>年</w:t>
            </w:r>
            <w:r w:rsidRPr="00A67563">
              <w:rPr>
                <w:color w:val="000000" w:themeColor="text1"/>
                <w:sz w:val="24"/>
              </w:rPr>
              <w:t>7</w:t>
            </w:r>
            <w:r w:rsidRPr="00A67563">
              <w:rPr>
                <w:color w:val="000000" w:themeColor="text1"/>
                <w:sz w:val="24"/>
              </w:rPr>
              <w:t>月</w:t>
            </w:r>
            <w:r w:rsidRPr="00A67563">
              <w:rPr>
                <w:color w:val="000000" w:themeColor="text1"/>
                <w:sz w:val="24"/>
              </w:rPr>
              <w:t>1</w:t>
            </w:r>
            <w:r w:rsidRPr="00A67563">
              <w:rPr>
                <w:color w:val="000000" w:themeColor="text1"/>
                <w:sz w:val="24"/>
              </w:rPr>
              <w:t>日</w:t>
            </w:r>
            <w:r w:rsidRPr="00A67563">
              <w:rPr>
                <w:color w:val="000000" w:themeColor="text1"/>
                <w:sz w:val="24"/>
              </w:rPr>
              <w:t>-2019</w:t>
            </w:r>
            <w:r w:rsidRPr="00A67563">
              <w:rPr>
                <w:color w:val="000000" w:themeColor="text1"/>
                <w:sz w:val="24"/>
              </w:rPr>
              <w:t>年</w:t>
            </w:r>
            <w:r w:rsidRPr="00A67563">
              <w:rPr>
                <w:color w:val="000000" w:themeColor="text1"/>
                <w:sz w:val="24"/>
              </w:rPr>
              <w:t>9</w:t>
            </w:r>
            <w:r w:rsidRPr="00A67563">
              <w:rPr>
                <w:color w:val="000000" w:themeColor="text1"/>
                <w:sz w:val="24"/>
              </w:rPr>
              <w:t>月</w:t>
            </w:r>
            <w:r w:rsidRPr="00A67563">
              <w:rPr>
                <w:color w:val="000000" w:themeColor="text1"/>
                <w:sz w:val="24"/>
              </w:rPr>
              <w:t>30</w:t>
            </w:r>
            <w:r w:rsidRPr="00A67563">
              <w:rPr>
                <w:color w:val="000000" w:themeColor="text1"/>
                <w:sz w:val="24"/>
              </w:rPr>
              <w:t>日</w:t>
            </w:r>
            <w:r w:rsidRPr="00A67563">
              <w:rPr>
                <w:color w:val="000000" w:themeColor="text1"/>
                <w:sz w:val="24"/>
              </w:rPr>
              <w:t>)</w:t>
            </w:r>
          </w:p>
        </w:tc>
      </w:tr>
      <w:tr w:rsidR="00225051" w:rsidRPr="00A67563" w:rsidTr="00845292">
        <w:tc>
          <w:tcPr>
            <w:tcW w:w="3402" w:type="dxa"/>
            <w:vMerge/>
            <w:vAlign w:val="center"/>
          </w:tcPr>
          <w:p w:rsidR="00225051" w:rsidRPr="00A67563" w:rsidRDefault="00225051" w:rsidP="00845292">
            <w:pPr>
              <w:adjustRightInd w:val="0"/>
              <w:spacing w:before="29" w:line="360" w:lineRule="auto"/>
              <w:ind w:left="17"/>
              <w:rPr>
                <w:color w:val="000000" w:themeColor="text1"/>
                <w:kern w:val="0"/>
                <w:sz w:val="24"/>
              </w:rPr>
            </w:pPr>
          </w:p>
        </w:tc>
        <w:tc>
          <w:tcPr>
            <w:tcW w:w="2481" w:type="dxa"/>
            <w:vAlign w:val="center"/>
          </w:tcPr>
          <w:p w:rsidR="00225051" w:rsidRPr="00A67563" w:rsidRDefault="00225051" w:rsidP="00845292">
            <w:pPr>
              <w:adjustRightInd w:val="0"/>
              <w:spacing w:before="29" w:line="360" w:lineRule="auto"/>
              <w:ind w:left="17"/>
              <w:jc w:val="center"/>
              <w:rPr>
                <w:color w:val="000000" w:themeColor="text1"/>
                <w:sz w:val="24"/>
              </w:rPr>
            </w:pPr>
            <w:r w:rsidRPr="00A67563">
              <w:rPr>
                <w:color w:val="000000" w:themeColor="text1"/>
                <w:sz w:val="24"/>
              </w:rPr>
              <w:t>易方达标普消费品指数增强（</w:t>
            </w:r>
            <w:r w:rsidRPr="00A67563">
              <w:rPr>
                <w:color w:val="000000" w:themeColor="text1"/>
                <w:sz w:val="24"/>
              </w:rPr>
              <w:t>QDII</w:t>
            </w:r>
            <w:r w:rsidRPr="00A67563">
              <w:rPr>
                <w:color w:val="000000" w:themeColor="text1"/>
                <w:sz w:val="24"/>
              </w:rPr>
              <w:t>）</w:t>
            </w:r>
            <w:r w:rsidRPr="00A67563">
              <w:rPr>
                <w:color w:val="000000" w:themeColor="text1"/>
                <w:sz w:val="24"/>
              </w:rPr>
              <w:t>A</w:t>
            </w:r>
          </w:p>
        </w:tc>
        <w:tc>
          <w:tcPr>
            <w:tcW w:w="2481" w:type="dxa"/>
            <w:vAlign w:val="center"/>
          </w:tcPr>
          <w:p w:rsidR="00225051" w:rsidRPr="00A67563" w:rsidRDefault="00225051" w:rsidP="00845292">
            <w:pPr>
              <w:adjustRightInd w:val="0"/>
              <w:spacing w:before="29" w:line="360" w:lineRule="auto"/>
              <w:ind w:left="17"/>
              <w:jc w:val="center"/>
              <w:rPr>
                <w:color w:val="000000" w:themeColor="text1"/>
                <w:sz w:val="24"/>
              </w:rPr>
            </w:pPr>
            <w:r w:rsidRPr="00A67563">
              <w:rPr>
                <w:color w:val="000000" w:themeColor="text1"/>
                <w:sz w:val="24"/>
              </w:rPr>
              <w:t>易方达标普消费品指数增强（</w:t>
            </w:r>
            <w:r w:rsidRPr="00A67563">
              <w:rPr>
                <w:color w:val="000000" w:themeColor="text1"/>
                <w:sz w:val="24"/>
              </w:rPr>
              <w:t>QDII</w:t>
            </w:r>
            <w:r w:rsidRPr="00A67563">
              <w:rPr>
                <w:color w:val="000000" w:themeColor="text1"/>
                <w:sz w:val="24"/>
              </w:rPr>
              <w:t>）</w:t>
            </w:r>
            <w:r w:rsidRPr="00A67563">
              <w:rPr>
                <w:color w:val="000000" w:themeColor="text1"/>
                <w:sz w:val="24"/>
              </w:rPr>
              <w:t>C</w:t>
            </w:r>
          </w:p>
        </w:tc>
      </w:tr>
      <w:tr w:rsidR="00225051" w:rsidRPr="00A67563" w:rsidTr="00845292">
        <w:tc>
          <w:tcPr>
            <w:tcW w:w="3402" w:type="dxa"/>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1.</w:t>
            </w:r>
            <w:r w:rsidRPr="00A67563">
              <w:rPr>
                <w:color w:val="000000" w:themeColor="text1"/>
                <w:kern w:val="0"/>
                <w:sz w:val="24"/>
              </w:rPr>
              <w:t>本期已实现收益</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107,194.01</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3,714.58</w:t>
            </w:r>
          </w:p>
        </w:tc>
      </w:tr>
      <w:tr w:rsidR="00225051" w:rsidRPr="00A67563" w:rsidTr="00845292">
        <w:tc>
          <w:tcPr>
            <w:tcW w:w="3402" w:type="dxa"/>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2.</w:t>
            </w:r>
            <w:r w:rsidRPr="00A67563">
              <w:rPr>
                <w:color w:val="000000" w:themeColor="text1"/>
                <w:kern w:val="0"/>
                <w:sz w:val="24"/>
              </w:rPr>
              <w:t>本期利润</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-369,143.53</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-16,716.53</w:t>
            </w:r>
          </w:p>
        </w:tc>
      </w:tr>
      <w:tr w:rsidR="00225051" w:rsidRPr="00A67563" w:rsidTr="00845292">
        <w:tc>
          <w:tcPr>
            <w:tcW w:w="3402" w:type="dxa"/>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3.</w:t>
            </w:r>
            <w:r w:rsidRPr="00A67563">
              <w:rPr>
                <w:color w:val="000000" w:themeColor="text1"/>
                <w:kern w:val="0"/>
                <w:sz w:val="24"/>
              </w:rPr>
              <w:t>加权平均基金份额本期利润</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-0.0138</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-0.0130</w:t>
            </w:r>
          </w:p>
        </w:tc>
      </w:tr>
      <w:tr w:rsidR="00225051" w:rsidRPr="00A67563" w:rsidTr="00845292">
        <w:tc>
          <w:tcPr>
            <w:tcW w:w="3402" w:type="dxa"/>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4.</w:t>
            </w:r>
            <w:r w:rsidRPr="00A67563">
              <w:rPr>
                <w:color w:val="000000" w:themeColor="text1"/>
                <w:kern w:val="0"/>
                <w:sz w:val="24"/>
              </w:rPr>
              <w:t>期末基金资产净值</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47,528,917.60</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2,318,358.08</w:t>
            </w:r>
          </w:p>
        </w:tc>
      </w:tr>
      <w:tr w:rsidR="00225051" w:rsidRPr="00A67563" w:rsidTr="00845292">
        <w:trPr>
          <w:trHeight w:val="158"/>
        </w:trPr>
        <w:tc>
          <w:tcPr>
            <w:tcW w:w="3402" w:type="dxa"/>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5.</w:t>
            </w:r>
            <w:r w:rsidRPr="00A67563">
              <w:rPr>
                <w:color w:val="000000" w:themeColor="text1"/>
                <w:kern w:val="0"/>
                <w:sz w:val="24"/>
              </w:rPr>
              <w:t>期末基金份额净值</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1.898</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1.890</w:t>
            </w:r>
          </w:p>
        </w:tc>
      </w:tr>
    </w:tbl>
    <w:p w:rsidR="002755C3" w:rsidRDefault="00AE4B60">
      <w:pPr>
        <w:autoSpaceDE w:val="0"/>
        <w:autoSpaceDN w:val="0"/>
        <w:adjustRightInd w:val="0"/>
        <w:spacing w:line="360" w:lineRule="auto"/>
        <w:ind w:firstLineChars="200" w:firstLine="480"/>
        <w:jc w:val="left"/>
        <w:rPr>
          <w:color w:val="000000" w:themeColor="text1"/>
          <w:sz w:val="24"/>
        </w:rPr>
      </w:pPr>
      <w:r>
        <w:rPr>
          <w:color w:val="000000" w:themeColor="text1"/>
          <w:sz w:val="24"/>
        </w:rPr>
        <w:t>注：</w:t>
      </w:r>
      <w:r>
        <w:rPr>
          <w:color w:val="000000" w:themeColor="text1"/>
          <w:sz w:val="24"/>
        </w:rPr>
        <w:t>1.</w:t>
      </w:r>
      <w:r>
        <w:rPr>
          <w:color w:val="000000" w:themeColor="text1"/>
          <w:sz w:val="24"/>
        </w:rPr>
        <w:t>所述基金业绩指标不包括持有人认购或交易基金的各项费用，计入费用后实际收益水平要低于所列数字。</w:t>
      </w:r>
    </w:p>
    <w:p w:rsidR="007D1292" w:rsidRPr="00A67563" w:rsidRDefault="007D1292"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2.</w:t>
      </w:r>
      <w:r w:rsidRPr="00A67563">
        <w:rPr>
          <w:color w:val="000000" w:themeColor="text1"/>
          <w:sz w:val="24"/>
        </w:rPr>
        <w:t>本期已实现收益指基金本期利息收入、投资收益、其他收入（不含公允价值变动收益）扣除相关费用后的余额，本期利润为本期已实现收益加上本期公允价值变动收益。</w:t>
      </w:r>
    </w:p>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76518F"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 xml:space="preserve">3.2 </w:t>
      </w:r>
      <w:r w:rsidRPr="00A67563">
        <w:rPr>
          <w:b/>
          <w:color w:val="000000" w:themeColor="text1"/>
          <w:kern w:val="0"/>
          <w:sz w:val="24"/>
        </w:rPr>
        <w:t>基金净值表现</w:t>
      </w:r>
    </w:p>
    <w:p w:rsidR="0076518F" w:rsidRPr="00A67563" w:rsidRDefault="0076518F" w:rsidP="00EC4BA3">
      <w:pPr>
        <w:autoSpaceDE w:val="0"/>
        <w:autoSpaceDN w:val="0"/>
        <w:adjustRightInd w:val="0"/>
        <w:spacing w:line="360" w:lineRule="auto"/>
        <w:jc w:val="left"/>
        <w:rPr>
          <w:b/>
          <w:color w:val="000000" w:themeColor="text1"/>
          <w:kern w:val="0"/>
          <w:sz w:val="24"/>
        </w:rPr>
      </w:pPr>
      <w:smartTag w:uri="urn:schemas-microsoft-com:office:smarttags" w:element="chsdate">
        <w:smartTagPr>
          <w:attr w:name="IsROCDate" w:val="False"/>
          <w:attr w:name="IsLunarDate" w:val="False"/>
          <w:attr w:name="Day" w:val="30"/>
          <w:attr w:name="Month" w:val="12"/>
          <w:attr w:name="Year" w:val="1899"/>
        </w:smartTagPr>
        <w:r w:rsidRPr="00A67563">
          <w:rPr>
            <w:b/>
            <w:color w:val="000000" w:themeColor="text1"/>
            <w:kern w:val="0"/>
            <w:sz w:val="24"/>
          </w:rPr>
          <w:t>3.2.1</w:t>
        </w:r>
      </w:smartTag>
      <w:r w:rsidRPr="00A67563">
        <w:rPr>
          <w:b/>
          <w:color w:val="000000" w:themeColor="text1"/>
          <w:kern w:val="0"/>
          <w:sz w:val="24"/>
        </w:rPr>
        <w:t>本报告期基金份额净值增长率及其与同期业绩比较基准收益率的比较</w:t>
      </w:r>
    </w:p>
    <w:p w:rsidR="0065601A" w:rsidRPr="00A67563" w:rsidRDefault="0065601A" w:rsidP="0065601A">
      <w:pPr>
        <w:spacing w:line="360" w:lineRule="auto"/>
        <w:rPr>
          <w:b/>
          <w:color w:val="000000" w:themeColor="text1"/>
          <w:sz w:val="24"/>
        </w:rPr>
      </w:pPr>
      <w:r w:rsidRPr="00A67563">
        <w:rPr>
          <w:b/>
          <w:color w:val="000000" w:themeColor="text1"/>
          <w:sz w:val="24"/>
        </w:rPr>
        <w:t>1</w:t>
      </w:r>
      <w:r w:rsidRPr="00A67563">
        <w:rPr>
          <w:b/>
          <w:color w:val="000000" w:themeColor="text1"/>
          <w:sz w:val="24"/>
        </w:rPr>
        <w:t>、</w:t>
      </w:r>
      <w:r w:rsidRPr="00A67563">
        <w:rPr>
          <w:b/>
          <w:color w:val="000000" w:themeColor="text1"/>
          <w:kern w:val="0"/>
          <w:sz w:val="24"/>
        </w:rPr>
        <w:t>易方达标普消费品指数增强（</w:t>
      </w:r>
      <w:r w:rsidRPr="00A67563">
        <w:rPr>
          <w:b/>
          <w:color w:val="000000" w:themeColor="text1"/>
          <w:kern w:val="0"/>
          <w:sz w:val="24"/>
        </w:rPr>
        <w:t>QDII</w:t>
      </w:r>
      <w:r w:rsidRPr="00A67563">
        <w:rPr>
          <w:b/>
          <w:color w:val="000000" w:themeColor="text1"/>
          <w:kern w:val="0"/>
          <w:sz w:val="24"/>
        </w:rPr>
        <w:t>）</w:t>
      </w:r>
      <w:r w:rsidRPr="00A67563">
        <w:rPr>
          <w:b/>
          <w:color w:val="000000" w:themeColor="text1"/>
          <w:kern w:val="0"/>
          <w:sz w:val="24"/>
        </w:rPr>
        <w:t>A</w:t>
      </w:r>
      <w:r w:rsidRPr="00A67563">
        <w:rPr>
          <w:b/>
          <w:color w:val="000000" w:themeColor="text1"/>
          <w:sz w:val="24"/>
        </w:rPr>
        <w:t>：</w:t>
      </w:r>
    </w:p>
    <w:tbl>
      <w:tblPr>
        <w:tblStyle w:val="af7"/>
        <w:tblW w:w="0" w:type="auto"/>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65601A" w:rsidRPr="00A67563" w:rsidTr="00845292">
        <w:tc>
          <w:tcPr>
            <w:tcW w:w="1290"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阶段</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净值增长率</w:t>
            </w:r>
            <w:r w:rsidRPr="00A67563">
              <w:rPr>
                <w:rFonts w:ascii="宋体" w:hAnsi="宋体" w:cs="宋体" w:hint="eastAsia"/>
                <w:color w:val="000000" w:themeColor="text1"/>
                <w:sz w:val="24"/>
              </w:rPr>
              <w:t>①</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净值增长率标准差</w:t>
            </w:r>
            <w:r w:rsidRPr="00A67563">
              <w:rPr>
                <w:rFonts w:ascii="宋体" w:hAnsi="宋体" w:cs="宋体" w:hint="eastAsia"/>
                <w:color w:val="000000" w:themeColor="text1"/>
                <w:sz w:val="24"/>
              </w:rPr>
              <w:t>②</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业绩比较基准收益率</w:t>
            </w:r>
            <w:r w:rsidRPr="00A67563">
              <w:rPr>
                <w:rFonts w:ascii="宋体" w:hAnsi="宋体" w:cs="宋体" w:hint="eastAsia"/>
                <w:color w:val="000000" w:themeColor="text1"/>
                <w:sz w:val="24"/>
              </w:rPr>
              <w:t>③</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业绩比较基准收益率标准差</w:t>
            </w:r>
            <w:r w:rsidRPr="00A67563">
              <w:rPr>
                <w:rFonts w:ascii="宋体" w:hAnsi="宋体" w:cs="宋体" w:hint="eastAsia"/>
                <w:color w:val="000000" w:themeColor="text1"/>
                <w:sz w:val="24"/>
              </w:rPr>
              <w:t>④</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rFonts w:ascii="宋体" w:hAnsi="宋体" w:cs="宋体" w:hint="eastAsia"/>
                <w:color w:val="000000" w:themeColor="text1"/>
                <w:sz w:val="24"/>
              </w:rPr>
              <w:t>①</w:t>
            </w:r>
            <w:r w:rsidRPr="00A67563">
              <w:rPr>
                <w:color w:val="000000" w:themeColor="text1"/>
                <w:sz w:val="24"/>
              </w:rPr>
              <w:t>－</w:t>
            </w:r>
            <w:r w:rsidRPr="00A67563">
              <w:rPr>
                <w:rFonts w:ascii="宋体" w:hAnsi="宋体" w:cs="宋体" w:hint="eastAsia"/>
                <w:color w:val="000000" w:themeColor="text1"/>
                <w:sz w:val="24"/>
              </w:rPr>
              <w:t>③</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rFonts w:ascii="宋体" w:hAnsi="宋体" w:cs="宋体" w:hint="eastAsia"/>
                <w:color w:val="000000" w:themeColor="text1"/>
                <w:sz w:val="24"/>
              </w:rPr>
              <w:t>②</w:t>
            </w:r>
            <w:r w:rsidRPr="00A67563">
              <w:rPr>
                <w:color w:val="000000" w:themeColor="text1"/>
                <w:sz w:val="24"/>
              </w:rPr>
              <w:t>－</w:t>
            </w:r>
            <w:r w:rsidRPr="00A67563">
              <w:rPr>
                <w:rFonts w:ascii="宋体" w:hAnsi="宋体" w:cs="宋体" w:hint="eastAsia"/>
                <w:color w:val="000000" w:themeColor="text1"/>
                <w:sz w:val="24"/>
              </w:rPr>
              <w:t>④</w:t>
            </w:r>
          </w:p>
        </w:tc>
      </w:tr>
      <w:tr w:rsidR="002755C3">
        <w:tc>
          <w:tcPr>
            <w:tcW w:w="1290" w:type="dxa"/>
            <w:vAlign w:val="center"/>
          </w:tcPr>
          <w:p w:rsidR="002755C3" w:rsidRDefault="00AE4B60">
            <w:pPr>
              <w:jc w:val="left"/>
            </w:pPr>
            <w:r>
              <w:rPr>
                <w:color w:val="000000" w:themeColor="text1"/>
                <w:sz w:val="24"/>
              </w:rPr>
              <w:lastRenderedPageBreak/>
              <w:t>过去三个月</w:t>
            </w:r>
          </w:p>
        </w:tc>
        <w:tc>
          <w:tcPr>
            <w:tcW w:w="1291" w:type="dxa"/>
            <w:vAlign w:val="center"/>
          </w:tcPr>
          <w:p w:rsidR="002755C3" w:rsidRDefault="00AE4B60">
            <w:pPr>
              <w:jc w:val="right"/>
            </w:pPr>
            <w:r>
              <w:rPr>
                <w:color w:val="000000" w:themeColor="text1"/>
                <w:sz w:val="24"/>
              </w:rPr>
              <w:t>-0.68%</w:t>
            </w:r>
          </w:p>
        </w:tc>
        <w:tc>
          <w:tcPr>
            <w:tcW w:w="1291" w:type="dxa"/>
            <w:vAlign w:val="center"/>
          </w:tcPr>
          <w:p w:rsidR="002755C3" w:rsidRDefault="00AE4B60">
            <w:pPr>
              <w:jc w:val="right"/>
            </w:pPr>
            <w:r>
              <w:rPr>
                <w:color w:val="000000" w:themeColor="text1"/>
                <w:sz w:val="24"/>
              </w:rPr>
              <w:t>1.09%</w:t>
            </w:r>
          </w:p>
        </w:tc>
        <w:tc>
          <w:tcPr>
            <w:tcW w:w="1291" w:type="dxa"/>
            <w:vAlign w:val="center"/>
          </w:tcPr>
          <w:p w:rsidR="002755C3" w:rsidRDefault="00AE4B60">
            <w:pPr>
              <w:jc w:val="right"/>
            </w:pPr>
            <w:r>
              <w:rPr>
                <w:color w:val="000000" w:themeColor="text1"/>
                <w:sz w:val="24"/>
              </w:rPr>
              <w:t>-1.27%</w:t>
            </w:r>
          </w:p>
        </w:tc>
        <w:tc>
          <w:tcPr>
            <w:tcW w:w="1291" w:type="dxa"/>
            <w:vAlign w:val="center"/>
          </w:tcPr>
          <w:p w:rsidR="002755C3" w:rsidRDefault="00AE4B60">
            <w:pPr>
              <w:jc w:val="right"/>
            </w:pPr>
            <w:r>
              <w:rPr>
                <w:color w:val="000000" w:themeColor="text1"/>
                <w:sz w:val="24"/>
              </w:rPr>
              <w:t>1.07%</w:t>
            </w:r>
          </w:p>
        </w:tc>
        <w:tc>
          <w:tcPr>
            <w:tcW w:w="1291" w:type="dxa"/>
            <w:vAlign w:val="center"/>
          </w:tcPr>
          <w:p w:rsidR="002755C3" w:rsidRDefault="00AE4B60">
            <w:pPr>
              <w:jc w:val="right"/>
            </w:pPr>
            <w:r>
              <w:rPr>
                <w:color w:val="000000" w:themeColor="text1"/>
                <w:sz w:val="24"/>
              </w:rPr>
              <w:t>0.59%</w:t>
            </w:r>
          </w:p>
        </w:tc>
        <w:tc>
          <w:tcPr>
            <w:tcW w:w="1291" w:type="dxa"/>
            <w:vAlign w:val="center"/>
          </w:tcPr>
          <w:p w:rsidR="002755C3" w:rsidRDefault="00AE4B60">
            <w:pPr>
              <w:jc w:val="right"/>
            </w:pPr>
            <w:r>
              <w:rPr>
                <w:color w:val="000000" w:themeColor="text1"/>
                <w:sz w:val="24"/>
              </w:rPr>
              <w:t>0.02%</w:t>
            </w:r>
          </w:p>
        </w:tc>
      </w:tr>
    </w:tbl>
    <w:p w:rsidR="0065601A" w:rsidRPr="00A67563" w:rsidRDefault="0065601A" w:rsidP="00014E7F">
      <w:pPr>
        <w:adjustRightInd w:val="0"/>
        <w:spacing w:beforeLines="50" w:before="156" w:line="360" w:lineRule="auto"/>
        <w:rPr>
          <w:b/>
          <w:color w:val="000000" w:themeColor="text1"/>
          <w:kern w:val="0"/>
          <w:sz w:val="24"/>
        </w:rPr>
      </w:pPr>
      <w:r w:rsidRPr="00A67563">
        <w:rPr>
          <w:b/>
          <w:color w:val="000000" w:themeColor="text1"/>
          <w:sz w:val="24"/>
        </w:rPr>
        <w:t>2</w:t>
      </w:r>
      <w:r w:rsidRPr="00A67563">
        <w:rPr>
          <w:b/>
          <w:color w:val="000000" w:themeColor="text1"/>
          <w:sz w:val="24"/>
        </w:rPr>
        <w:t>、</w:t>
      </w:r>
      <w:r w:rsidRPr="00A67563">
        <w:rPr>
          <w:b/>
          <w:color w:val="000000" w:themeColor="text1"/>
          <w:kern w:val="0"/>
          <w:sz w:val="24"/>
        </w:rPr>
        <w:t>易方达标普消费品指数增强（</w:t>
      </w:r>
      <w:r w:rsidRPr="00A67563">
        <w:rPr>
          <w:b/>
          <w:color w:val="000000" w:themeColor="text1"/>
          <w:kern w:val="0"/>
          <w:sz w:val="24"/>
        </w:rPr>
        <w:t>QDII</w:t>
      </w:r>
      <w:r w:rsidRPr="00A67563">
        <w:rPr>
          <w:b/>
          <w:color w:val="000000" w:themeColor="text1"/>
          <w:kern w:val="0"/>
          <w:sz w:val="24"/>
        </w:rPr>
        <w:t>）</w:t>
      </w:r>
      <w:r w:rsidRPr="00A67563">
        <w:rPr>
          <w:b/>
          <w:color w:val="000000" w:themeColor="text1"/>
          <w:kern w:val="0"/>
          <w:sz w:val="24"/>
        </w:rPr>
        <w:t>C</w:t>
      </w:r>
      <w:r w:rsidRPr="00A67563">
        <w:rPr>
          <w:b/>
          <w:color w:val="000000" w:themeColor="text1"/>
          <w:kern w:val="0"/>
          <w:sz w:val="24"/>
        </w:rPr>
        <w:t>：</w:t>
      </w:r>
    </w:p>
    <w:tbl>
      <w:tblPr>
        <w:tblStyle w:val="af7"/>
        <w:tblW w:w="0" w:type="auto"/>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65601A" w:rsidRPr="00A67563" w:rsidTr="00845292">
        <w:tc>
          <w:tcPr>
            <w:tcW w:w="1290"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阶段</w:t>
            </w:r>
          </w:p>
        </w:tc>
        <w:tc>
          <w:tcPr>
            <w:tcW w:w="1291" w:type="dxa"/>
            <w:vAlign w:val="center"/>
          </w:tcPr>
          <w:p w:rsidR="0065601A" w:rsidRPr="00A67563" w:rsidRDefault="0065601A" w:rsidP="00845292">
            <w:pPr>
              <w:snapToGrid w:val="0"/>
              <w:spacing w:line="288" w:lineRule="auto"/>
              <w:jc w:val="center"/>
              <w:rPr>
                <w:color w:val="000000" w:themeColor="text1"/>
                <w:sz w:val="24"/>
                <w:highlight w:val="green"/>
              </w:rPr>
            </w:pPr>
            <w:r w:rsidRPr="00A67563">
              <w:rPr>
                <w:color w:val="000000" w:themeColor="text1"/>
                <w:sz w:val="24"/>
              </w:rPr>
              <w:t>净值增长率</w:t>
            </w:r>
            <w:r w:rsidRPr="00A67563">
              <w:rPr>
                <w:rFonts w:ascii="宋体" w:hAnsi="宋体" w:cs="宋体" w:hint="eastAsia"/>
                <w:color w:val="000000" w:themeColor="text1"/>
                <w:sz w:val="24"/>
              </w:rPr>
              <w:t>①</w:t>
            </w:r>
          </w:p>
        </w:tc>
        <w:tc>
          <w:tcPr>
            <w:tcW w:w="1291" w:type="dxa"/>
            <w:vAlign w:val="center"/>
          </w:tcPr>
          <w:p w:rsidR="0065601A" w:rsidRPr="00A67563" w:rsidRDefault="0065601A" w:rsidP="00845292">
            <w:pPr>
              <w:snapToGrid w:val="0"/>
              <w:spacing w:line="288" w:lineRule="auto"/>
              <w:jc w:val="center"/>
              <w:rPr>
                <w:color w:val="000000" w:themeColor="text1"/>
                <w:sz w:val="24"/>
                <w:highlight w:val="green"/>
              </w:rPr>
            </w:pPr>
            <w:r w:rsidRPr="00A67563">
              <w:rPr>
                <w:color w:val="000000" w:themeColor="text1"/>
                <w:sz w:val="24"/>
              </w:rPr>
              <w:t>净值增长率标准差</w:t>
            </w:r>
            <w:r w:rsidRPr="00A67563">
              <w:rPr>
                <w:rFonts w:ascii="宋体" w:hAnsi="宋体" w:cs="宋体" w:hint="eastAsia"/>
                <w:color w:val="000000" w:themeColor="text1"/>
                <w:sz w:val="24"/>
              </w:rPr>
              <w:t>②</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业绩比较基准收益率</w:t>
            </w:r>
            <w:r w:rsidRPr="00A67563">
              <w:rPr>
                <w:rFonts w:ascii="宋体" w:hAnsi="宋体" w:cs="宋体" w:hint="eastAsia"/>
                <w:color w:val="000000" w:themeColor="text1"/>
                <w:sz w:val="24"/>
              </w:rPr>
              <w:t>③</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业绩比较基准收益率标准差</w:t>
            </w:r>
            <w:r w:rsidRPr="00A67563">
              <w:rPr>
                <w:rFonts w:ascii="宋体" w:hAnsi="宋体" w:cs="宋体" w:hint="eastAsia"/>
                <w:color w:val="000000" w:themeColor="text1"/>
                <w:sz w:val="24"/>
              </w:rPr>
              <w:t>④</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rFonts w:ascii="宋体" w:hAnsi="宋体" w:cs="宋体" w:hint="eastAsia"/>
                <w:color w:val="000000" w:themeColor="text1"/>
                <w:sz w:val="24"/>
              </w:rPr>
              <w:t>①</w:t>
            </w:r>
            <w:r w:rsidRPr="00A67563">
              <w:rPr>
                <w:color w:val="000000" w:themeColor="text1"/>
                <w:sz w:val="24"/>
              </w:rPr>
              <w:t>－</w:t>
            </w:r>
            <w:r w:rsidRPr="00A67563">
              <w:rPr>
                <w:rFonts w:ascii="宋体" w:hAnsi="宋体" w:cs="宋体" w:hint="eastAsia"/>
                <w:color w:val="000000" w:themeColor="text1"/>
                <w:sz w:val="24"/>
              </w:rPr>
              <w:t>③</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rFonts w:ascii="宋体" w:hAnsi="宋体" w:cs="宋体" w:hint="eastAsia"/>
                <w:color w:val="000000" w:themeColor="text1"/>
                <w:sz w:val="24"/>
              </w:rPr>
              <w:t>②</w:t>
            </w:r>
            <w:r w:rsidRPr="00A67563">
              <w:rPr>
                <w:color w:val="000000" w:themeColor="text1"/>
                <w:sz w:val="24"/>
              </w:rPr>
              <w:t>－</w:t>
            </w:r>
            <w:r w:rsidRPr="00A67563">
              <w:rPr>
                <w:rFonts w:ascii="宋体" w:hAnsi="宋体" w:cs="宋体" w:hint="eastAsia"/>
                <w:color w:val="000000" w:themeColor="text1"/>
                <w:sz w:val="24"/>
              </w:rPr>
              <w:t>④</w:t>
            </w:r>
          </w:p>
        </w:tc>
      </w:tr>
      <w:tr w:rsidR="002755C3">
        <w:tc>
          <w:tcPr>
            <w:tcW w:w="1290" w:type="dxa"/>
            <w:vAlign w:val="center"/>
          </w:tcPr>
          <w:p w:rsidR="002755C3" w:rsidRDefault="00AE4B60">
            <w:pPr>
              <w:jc w:val="left"/>
            </w:pPr>
            <w:r>
              <w:rPr>
                <w:color w:val="000000" w:themeColor="text1"/>
                <w:sz w:val="24"/>
              </w:rPr>
              <w:t>过去三个月</w:t>
            </w:r>
          </w:p>
        </w:tc>
        <w:tc>
          <w:tcPr>
            <w:tcW w:w="1291" w:type="dxa"/>
            <w:vAlign w:val="center"/>
          </w:tcPr>
          <w:p w:rsidR="002755C3" w:rsidRDefault="00AE4B60">
            <w:pPr>
              <w:jc w:val="right"/>
            </w:pPr>
            <w:r>
              <w:rPr>
                <w:color w:val="000000" w:themeColor="text1"/>
                <w:sz w:val="24"/>
              </w:rPr>
              <w:t>-0.79%</w:t>
            </w:r>
          </w:p>
        </w:tc>
        <w:tc>
          <w:tcPr>
            <w:tcW w:w="1291" w:type="dxa"/>
            <w:vAlign w:val="center"/>
          </w:tcPr>
          <w:p w:rsidR="002755C3" w:rsidRDefault="00AE4B60">
            <w:pPr>
              <w:jc w:val="right"/>
            </w:pPr>
            <w:r>
              <w:rPr>
                <w:color w:val="000000" w:themeColor="text1"/>
                <w:sz w:val="24"/>
              </w:rPr>
              <w:t>1.09%</w:t>
            </w:r>
          </w:p>
        </w:tc>
        <w:tc>
          <w:tcPr>
            <w:tcW w:w="1291" w:type="dxa"/>
            <w:vAlign w:val="center"/>
          </w:tcPr>
          <w:p w:rsidR="002755C3" w:rsidRDefault="00AE4B60">
            <w:pPr>
              <w:jc w:val="right"/>
            </w:pPr>
            <w:r>
              <w:rPr>
                <w:color w:val="000000" w:themeColor="text1"/>
                <w:sz w:val="24"/>
              </w:rPr>
              <w:t>-1.27%</w:t>
            </w:r>
          </w:p>
        </w:tc>
        <w:tc>
          <w:tcPr>
            <w:tcW w:w="1291" w:type="dxa"/>
            <w:vAlign w:val="center"/>
          </w:tcPr>
          <w:p w:rsidR="002755C3" w:rsidRDefault="00AE4B60">
            <w:pPr>
              <w:jc w:val="right"/>
            </w:pPr>
            <w:r>
              <w:rPr>
                <w:color w:val="000000" w:themeColor="text1"/>
                <w:sz w:val="24"/>
              </w:rPr>
              <w:t>1.07%</w:t>
            </w:r>
          </w:p>
        </w:tc>
        <w:tc>
          <w:tcPr>
            <w:tcW w:w="1291" w:type="dxa"/>
            <w:vAlign w:val="center"/>
          </w:tcPr>
          <w:p w:rsidR="002755C3" w:rsidRDefault="00AE4B60">
            <w:pPr>
              <w:jc w:val="right"/>
            </w:pPr>
            <w:r>
              <w:rPr>
                <w:color w:val="000000" w:themeColor="text1"/>
                <w:sz w:val="24"/>
              </w:rPr>
              <w:t>0.48%</w:t>
            </w:r>
          </w:p>
        </w:tc>
        <w:tc>
          <w:tcPr>
            <w:tcW w:w="1291" w:type="dxa"/>
            <w:vAlign w:val="center"/>
          </w:tcPr>
          <w:p w:rsidR="002755C3" w:rsidRDefault="00AE4B60">
            <w:pPr>
              <w:jc w:val="right"/>
            </w:pPr>
            <w:r>
              <w:rPr>
                <w:color w:val="000000" w:themeColor="text1"/>
                <w:sz w:val="24"/>
              </w:rPr>
              <w:t>0.02%</w:t>
            </w:r>
          </w:p>
        </w:tc>
      </w:tr>
    </w:tbl>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76518F"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3.2.2</w:t>
      </w:r>
      <w:r w:rsidR="00867510">
        <w:rPr>
          <w:rFonts w:hint="eastAsia"/>
          <w:b/>
          <w:color w:val="000000" w:themeColor="text1"/>
          <w:kern w:val="0"/>
          <w:sz w:val="24"/>
        </w:rPr>
        <w:t xml:space="preserve"> </w:t>
      </w:r>
      <w:r w:rsidR="00196CE2" w:rsidRPr="00370BEA">
        <w:rPr>
          <w:rStyle w:val="af8"/>
          <w:rFonts w:hint="eastAsia"/>
          <w:color w:val="000000"/>
          <w:sz w:val="24"/>
          <w:shd w:val="clear" w:color="auto" w:fill="FFFFFF"/>
        </w:rPr>
        <w:t>自基金合同生效以来</w:t>
      </w:r>
      <w:r w:rsidRPr="00A67563">
        <w:rPr>
          <w:b/>
          <w:color w:val="000000" w:themeColor="text1"/>
          <w:kern w:val="0"/>
          <w:sz w:val="24"/>
        </w:rPr>
        <w:t>基金累计</w:t>
      </w:r>
      <w:r w:rsidR="004339D9" w:rsidRPr="00A67563">
        <w:rPr>
          <w:b/>
          <w:color w:val="000000" w:themeColor="text1"/>
          <w:kern w:val="0"/>
          <w:sz w:val="24"/>
        </w:rPr>
        <w:t>份额</w:t>
      </w:r>
      <w:r w:rsidRPr="00A67563">
        <w:rPr>
          <w:b/>
          <w:color w:val="000000" w:themeColor="text1"/>
          <w:kern w:val="0"/>
          <w:sz w:val="24"/>
        </w:rPr>
        <w:t>净值增长率变动及其与同期业绩比较基准收益率变动的比较</w:t>
      </w:r>
    </w:p>
    <w:p w:rsidR="00A96FD9" w:rsidRPr="00A67563" w:rsidRDefault="00A96FD9" w:rsidP="00EC4BA3">
      <w:pPr>
        <w:spacing w:line="360" w:lineRule="auto"/>
        <w:jc w:val="center"/>
        <w:rPr>
          <w:color w:val="000000" w:themeColor="text1"/>
          <w:sz w:val="24"/>
        </w:rPr>
      </w:pPr>
      <w:r w:rsidRPr="00A67563">
        <w:rPr>
          <w:color w:val="000000" w:themeColor="text1"/>
          <w:sz w:val="24"/>
        </w:rPr>
        <w:t>易方达标普全球高端消费品指数增强型证券投资基金</w:t>
      </w:r>
    </w:p>
    <w:p w:rsidR="00483EE3" w:rsidRPr="006506EF" w:rsidRDefault="00483EE3" w:rsidP="00483EE3">
      <w:pPr>
        <w:pStyle w:val="a5"/>
        <w:snapToGrid w:val="0"/>
        <w:spacing w:line="360" w:lineRule="auto"/>
        <w:ind w:firstLine="480"/>
        <w:jc w:val="center"/>
        <w:rPr>
          <w:rFonts w:ascii="Times New Roman" w:hAnsi="Times New Roman"/>
          <w:color w:val="000000"/>
          <w:sz w:val="24"/>
          <w:szCs w:val="24"/>
        </w:rPr>
      </w:pPr>
      <w:r w:rsidRPr="006506EF">
        <w:rPr>
          <w:rFonts w:ascii="Times New Roman" w:hAnsi="Times New Roman"/>
          <w:color w:val="000000"/>
          <w:sz w:val="24"/>
          <w:szCs w:val="24"/>
        </w:rPr>
        <w:t>累计净值增长率与业绩比较基准收益率的历史走势对比图</w:t>
      </w:r>
    </w:p>
    <w:p w:rsidR="0065601A" w:rsidRDefault="0065601A" w:rsidP="0065601A">
      <w:pPr>
        <w:snapToGrid w:val="0"/>
        <w:spacing w:line="360" w:lineRule="auto"/>
        <w:rPr>
          <w:color w:val="000000" w:themeColor="text1"/>
          <w:sz w:val="24"/>
        </w:rPr>
      </w:pPr>
      <w:r w:rsidRPr="00A67563">
        <w:rPr>
          <w:color w:val="000000" w:themeColor="text1"/>
          <w:sz w:val="24"/>
        </w:rPr>
        <w:t>1</w:t>
      </w:r>
      <w:r w:rsidRPr="00A67563">
        <w:rPr>
          <w:color w:val="000000" w:themeColor="text1"/>
          <w:sz w:val="24"/>
        </w:rPr>
        <w:t>．易方达标普消费品指数增强（</w:t>
      </w:r>
      <w:r w:rsidRPr="00A67563">
        <w:rPr>
          <w:color w:val="000000" w:themeColor="text1"/>
          <w:sz w:val="24"/>
        </w:rPr>
        <w:t>QDII</w:t>
      </w:r>
      <w:r w:rsidRPr="00A67563">
        <w:rPr>
          <w:color w:val="000000" w:themeColor="text1"/>
          <w:sz w:val="24"/>
        </w:rPr>
        <w:t>）</w:t>
      </w:r>
      <w:r w:rsidRPr="00A67563">
        <w:rPr>
          <w:color w:val="000000" w:themeColor="text1"/>
          <w:sz w:val="24"/>
        </w:rPr>
        <w:t>A</w:t>
      </w:r>
      <w:r w:rsidRPr="00A67563">
        <w:rPr>
          <w:color w:val="000000" w:themeColor="text1"/>
          <w:sz w:val="24"/>
        </w:rPr>
        <w:t>：</w:t>
      </w:r>
    </w:p>
    <w:p w:rsidR="00881617" w:rsidRPr="00881617" w:rsidRDefault="00881617" w:rsidP="00881617">
      <w:pPr>
        <w:snapToGrid w:val="0"/>
        <w:spacing w:line="360" w:lineRule="auto"/>
        <w:jc w:val="center"/>
        <w:rPr>
          <w:color w:val="000000" w:themeColor="text1"/>
          <w:sz w:val="24"/>
        </w:rPr>
      </w:pPr>
      <w:r w:rsidRPr="00A67563">
        <w:rPr>
          <w:color w:val="000000" w:themeColor="text1"/>
          <w:kern w:val="0"/>
          <w:sz w:val="24"/>
        </w:rPr>
        <w:t>（</w:t>
      </w:r>
      <w:r w:rsidRPr="00A67563">
        <w:rPr>
          <w:color w:val="000000" w:themeColor="text1"/>
          <w:kern w:val="0"/>
          <w:sz w:val="24"/>
        </w:rPr>
        <w:t>2012</w:t>
      </w:r>
      <w:r w:rsidRPr="00A67563">
        <w:rPr>
          <w:color w:val="000000" w:themeColor="text1"/>
          <w:kern w:val="0"/>
          <w:sz w:val="24"/>
        </w:rPr>
        <w:t>年</w:t>
      </w:r>
      <w:r w:rsidRPr="00A67563">
        <w:rPr>
          <w:color w:val="000000" w:themeColor="text1"/>
          <w:kern w:val="0"/>
          <w:sz w:val="24"/>
        </w:rPr>
        <w:t>6</w:t>
      </w:r>
      <w:r w:rsidRPr="00A67563">
        <w:rPr>
          <w:color w:val="000000" w:themeColor="text1"/>
          <w:kern w:val="0"/>
          <w:sz w:val="24"/>
        </w:rPr>
        <w:t>月</w:t>
      </w:r>
      <w:r w:rsidRPr="00A67563">
        <w:rPr>
          <w:color w:val="000000" w:themeColor="text1"/>
          <w:kern w:val="0"/>
          <w:sz w:val="24"/>
        </w:rPr>
        <w:t>4</w:t>
      </w:r>
      <w:r w:rsidRPr="00A67563">
        <w:rPr>
          <w:color w:val="000000" w:themeColor="text1"/>
          <w:kern w:val="0"/>
          <w:sz w:val="24"/>
        </w:rPr>
        <w:t>日至</w:t>
      </w:r>
      <w:r w:rsidRPr="00A67563">
        <w:rPr>
          <w:color w:val="000000" w:themeColor="text1"/>
          <w:kern w:val="0"/>
          <w:sz w:val="24"/>
        </w:rPr>
        <w:t>2019</w:t>
      </w:r>
      <w:r w:rsidRPr="00A67563">
        <w:rPr>
          <w:color w:val="000000" w:themeColor="text1"/>
          <w:kern w:val="0"/>
          <w:sz w:val="24"/>
        </w:rPr>
        <w:t>年</w:t>
      </w:r>
      <w:r w:rsidRPr="00A67563">
        <w:rPr>
          <w:color w:val="000000" w:themeColor="text1"/>
          <w:kern w:val="0"/>
          <w:sz w:val="24"/>
        </w:rPr>
        <w:t>9</w:t>
      </w:r>
      <w:r w:rsidRPr="00A67563">
        <w:rPr>
          <w:color w:val="000000" w:themeColor="text1"/>
          <w:kern w:val="0"/>
          <w:sz w:val="24"/>
        </w:rPr>
        <w:t>月</w:t>
      </w:r>
      <w:r w:rsidRPr="00A67563">
        <w:rPr>
          <w:color w:val="000000" w:themeColor="text1"/>
          <w:kern w:val="0"/>
          <w:sz w:val="24"/>
        </w:rPr>
        <w:t>30</w:t>
      </w:r>
      <w:r w:rsidRPr="00A67563">
        <w:rPr>
          <w:color w:val="000000" w:themeColor="text1"/>
          <w:kern w:val="0"/>
          <w:sz w:val="24"/>
        </w:rPr>
        <w:t>日）</w:t>
      </w:r>
    </w:p>
    <w:p w:rsidR="0065601A" w:rsidRPr="00A67563" w:rsidRDefault="0065601A" w:rsidP="0065601A">
      <w:pPr>
        <w:pStyle w:val="20"/>
        <w:spacing w:line="288" w:lineRule="auto"/>
        <w:ind w:firstLineChars="0" w:firstLine="0"/>
        <w:jc w:val="center"/>
        <w:rPr>
          <w:rFonts w:ascii="Times New Roman" w:hAnsi="Times New Roman"/>
          <w:color w:val="000000" w:themeColor="text1"/>
        </w:rPr>
      </w:pPr>
      <w:r w:rsidRPr="00A67563">
        <w:rPr>
          <w:rFonts w:ascii="Times New Roman" w:hAnsi="Times New Roman"/>
          <w:noProof/>
          <w:color w:val="000000" w:themeColor="text1"/>
        </w:rPr>
        <w:drawing>
          <wp:inline distT="0" distB="0" distL="0" distR="0">
            <wp:extent cx="5591175" cy="3276600"/>
            <wp:effectExtent l="0" t="0" r="0" b="0"/>
            <wp:docPr id="2" name="图片 2"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浏览器下载\走势图柱状图\走势图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rsidR="0065601A" w:rsidRDefault="0065601A" w:rsidP="00014E7F">
      <w:pPr>
        <w:snapToGrid w:val="0"/>
        <w:spacing w:beforeLines="100" w:before="312" w:line="360" w:lineRule="auto"/>
        <w:rPr>
          <w:color w:val="000000" w:themeColor="text1"/>
          <w:sz w:val="24"/>
        </w:rPr>
      </w:pPr>
      <w:r w:rsidRPr="00A67563">
        <w:rPr>
          <w:color w:val="000000" w:themeColor="text1"/>
          <w:sz w:val="24"/>
        </w:rPr>
        <w:t>2</w:t>
      </w:r>
      <w:r w:rsidRPr="00A67563">
        <w:rPr>
          <w:color w:val="000000" w:themeColor="text1"/>
          <w:sz w:val="24"/>
        </w:rPr>
        <w:t>．易方达标普消费品指数增强（</w:t>
      </w:r>
      <w:r w:rsidRPr="00A67563">
        <w:rPr>
          <w:color w:val="000000" w:themeColor="text1"/>
          <w:sz w:val="24"/>
        </w:rPr>
        <w:t>QDII</w:t>
      </w:r>
      <w:r w:rsidRPr="00A67563">
        <w:rPr>
          <w:color w:val="000000" w:themeColor="text1"/>
          <w:sz w:val="24"/>
        </w:rPr>
        <w:t>）</w:t>
      </w:r>
      <w:r w:rsidRPr="00A67563">
        <w:rPr>
          <w:color w:val="000000" w:themeColor="text1"/>
          <w:sz w:val="24"/>
        </w:rPr>
        <w:t>C</w:t>
      </w:r>
      <w:r w:rsidRPr="00A67563">
        <w:rPr>
          <w:color w:val="000000" w:themeColor="text1"/>
          <w:sz w:val="24"/>
        </w:rPr>
        <w:t>：</w:t>
      </w:r>
    </w:p>
    <w:p w:rsidR="00881617" w:rsidRPr="00A67563" w:rsidRDefault="00881617" w:rsidP="00014E7F">
      <w:pPr>
        <w:snapToGrid w:val="0"/>
        <w:spacing w:beforeLines="100" w:before="312" w:line="360" w:lineRule="auto"/>
        <w:jc w:val="center"/>
        <w:rPr>
          <w:color w:val="000000" w:themeColor="text1"/>
          <w:sz w:val="24"/>
        </w:rPr>
      </w:pPr>
      <w:r w:rsidRPr="00A67563">
        <w:rPr>
          <w:color w:val="000000" w:themeColor="text1"/>
          <w:kern w:val="0"/>
          <w:sz w:val="24"/>
        </w:rPr>
        <w:t>（</w:t>
      </w:r>
      <w:r w:rsidRPr="00B71959">
        <w:rPr>
          <w:color w:val="000000"/>
          <w:sz w:val="24"/>
        </w:rPr>
        <w:t>20</w:t>
      </w:r>
      <w:r>
        <w:rPr>
          <w:rFonts w:hint="eastAsia"/>
          <w:color w:val="000000"/>
          <w:sz w:val="24"/>
        </w:rPr>
        <w:t>18</w:t>
      </w:r>
      <w:r w:rsidRPr="00B71959">
        <w:rPr>
          <w:color w:val="000000"/>
          <w:sz w:val="24"/>
        </w:rPr>
        <w:t>年</w:t>
      </w:r>
      <w:r>
        <w:rPr>
          <w:rFonts w:hint="eastAsia"/>
          <w:color w:val="000000"/>
          <w:sz w:val="24"/>
        </w:rPr>
        <w:t>2</w:t>
      </w:r>
      <w:r w:rsidRPr="00B71959">
        <w:rPr>
          <w:color w:val="000000"/>
          <w:sz w:val="24"/>
        </w:rPr>
        <w:t>月</w:t>
      </w:r>
      <w:r w:rsidRPr="00B71959">
        <w:rPr>
          <w:color w:val="000000"/>
          <w:sz w:val="24"/>
        </w:rPr>
        <w:t>1</w:t>
      </w:r>
      <w:r>
        <w:rPr>
          <w:rFonts w:hint="eastAsia"/>
          <w:color w:val="000000"/>
          <w:sz w:val="24"/>
        </w:rPr>
        <w:t>2</w:t>
      </w:r>
      <w:r w:rsidRPr="00B71959">
        <w:rPr>
          <w:color w:val="000000"/>
          <w:sz w:val="24"/>
        </w:rPr>
        <w:t>日</w:t>
      </w:r>
      <w:r w:rsidRPr="00A67563">
        <w:rPr>
          <w:color w:val="000000" w:themeColor="text1"/>
          <w:kern w:val="0"/>
          <w:sz w:val="24"/>
        </w:rPr>
        <w:t>至</w:t>
      </w:r>
      <w:r w:rsidRPr="00A67563">
        <w:rPr>
          <w:color w:val="000000" w:themeColor="text1"/>
          <w:kern w:val="0"/>
          <w:sz w:val="24"/>
        </w:rPr>
        <w:t>2019</w:t>
      </w:r>
      <w:r w:rsidRPr="00A67563">
        <w:rPr>
          <w:color w:val="000000" w:themeColor="text1"/>
          <w:kern w:val="0"/>
          <w:sz w:val="24"/>
        </w:rPr>
        <w:t>年</w:t>
      </w:r>
      <w:r w:rsidRPr="00A67563">
        <w:rPr>
          <w:color w:val="000000" w:themeColor="text1"/>
          <w:kern w:val="0"/>
          <w:sz w:val="24"/>
        </w:rPr>
        <w:t>9</w:t>
      </w:r>
      <w:r w:rsidRPr="00A67563">
        <w:rPr>
          <w:color w:val="000000" w:themeColor="text1"/>
          <w:kern w:val="0"/>
          <w:sz w:val="24"/>
        </w:rPr>
        <w:t>月</w:t>
      </w:r>
      <w:r w:rsidRPr="00A67563">
        <w:rPr>
          <w:color w:val="000000" w:themeColor="text1"/>
          <w:kern w:val="0"/>
          <w:sz w:val="24"/>
        </w:rPr>
        <w:t>30</w:t>
      </w:r>
      <w:r w:rsidRPr="00A67563">
        <w:rPr>
          <w:color w:val="000000" w:themeColor="text1"/>
          <w:kern w:val="0"/>
          <w:sz w:val="24"/>
        </w:rPr>
        <w:t>日）</w:t>
      </w:r>
    </w:p>
    <w:p w:rsidR="0065601A" w:rsidRPr="00A67563" w:rsidRDefault="0065601A" w:rsidP="0065601A">
      <w:pPr>
        <w:pStyle w:val="20"/>
        <w:spacing w:line="288" w:lineRule="auto"/>
        <w:ind w:firstLineChars="0" w:firstLine="0"/>
        <w:jc w:val="center"/>
        <w:rPr>
          <w:rFonts w:ascii="Times New Roman" w:hAnsi="Times New Roman"/>
          <w:color w:val="000000" w:themeColor="text1"/>
        </w:rPr>
      </w:pPr>
      <w:r w:rsidRPr="00A67563">
        <w:rPr>
          <w:rFonts w:ascii="Times New Roman" w:hAnsi="Times New Roman"/>
          <w:noProof/>
          <w:color w:val="000000" w:themeColor="text1"/>
        </w:rPr>
        <w:lastRenderedPageBreak/>
        <w:drawing>
          <wp:inline distT="0" distB="0" distL="0" distR="0">
            <wp:extent cx="5591175" cy="3276600"/>
            <wp:effectExtent l="0" t="0" r="0" b="0"/>
            <wp:docPr id="3" name="图片 3" descr="D:\浏览器下载\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浏览器下载\走势图柱状图\走势图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rsidR="002755C3" w:rsidRDefault="00AE4B60">
      <w:pPr>
        <w:autoSpaceDE w:val="0"/>
        <w:autoSpaceDN w:val="0"/>
        <w:adjustRightInd w:val="0"/>
        <w:spacing w:line="360" w:lineRule="auto"/>
        <w:ind w:firstLineChars="200" w:firstLine="480"/>
        <w:jc w:val="left"/>
        <w:rPr>
          <w:color w:val="000000" w:themeColor="text1"/>
          <w:sz w:val="24"/>
        </w:rPr>
      </w:pPr>
      <w:r>
        <w:rPr>
          <w:color w:val="000000" w:themeColor="text1"/>
          <w:sz w:val="24"/>
        </w:rPr>
        <w:t>注：</w:t>
      </w:r>
      <w:r>
        <w:rPr>
          <w:color w:val="000000" w:themeColor="text1"/>
          <w:sz w:val="24"/>
        </w:rPr>
        <w:t>1.</w:t>
      </w:r>
      <w:r>
        <w:rPr>
          <w:color w:val="000000" w:themeColor="text1"/>
          <w:sz w:val="24"/>
        </w:rPr>
        <w:t>本基金的业绩比较基准已经转换为以人民币计价。</w:t>
      </w:r>
    </w:p>
    <w:p w:rsidR="002755C3" w:rsidRDefault="00AE4B60">
      <w:pPr>
        <w:autoSpaceDE w:val="0"/>
        <w:autoSpaceDN w:val="0"/>
        <w:adjustRightInd w:val="0"/>
        <w:spacing w:line="360" w:lineRule="auto"/>
        <w:ind w:firstLineChars="200" w:firstLine="480"/>
        <w:jc w:val="left"/>
        <w:rPr>
          <w:color w:val="000000" w:themeColor="text1"/>
          <w:sz w:val="24"/>
        </w:rPr>
      </w:pPr>
      <w:r>
        <w:rPr>
          <w:color w:val="000000" w:themeColor="text1"/>
          <w:sz w:val="24"/>
        </w:rPr>
        <w:t>2.</w:t>
      </w:r>
      <w:r>
        <w:rPr>
          <w:color w:val="000000" w:themeColor="text1"/>
          <w:sz w:val="24"/>
        </w:rPr>
        <w:t>自</w:t>
      </w:r>
      <w:r>
        <w:rPr>
          <w:color w:val="000000" w:themeColor="text1"/>
          <w:sz w:val="24"/>
        </w:rPr>
        <w:t>2018</w:t>
      </w:r>
      <w:r>
        <w:rPr>
          <w:color w:val="000000" w:themeColor="text1"/>
          <w:sz w:val="24"/>
        </w:rPr>
        <w:t>年</w:t>
      </w:r>
      <w:r>
        <w:rPr>
          <w:color w:val="000000" w:themeColor="text1"/>
          <w:sz w:val="24"/>
        </w:rPr>
        <w:t>2</w:t>
      </w:r>
      <w:r>
        <w:rPr>
          <w:color w:val="000000" w:themeColor="text1"/>
          <w:sz w:val="24"/>
        </w:rPr>
        <w:t>月</w:t>
      </w:r>
      <w:r>
        <w:rPr>
          <w:color w:val="000000" w:themeColor="text1"/>
          <w:sz w:val="24"/>
        </w:rPr>
        <w:t>9</w:t>
      </w:r>
      <w:r>
        <w:rPr>
          <w:color w:val="000000" w:themeColor="text1"/>
          <w:sz w:val="24"/>
        </w:rPr>
        <w:t>日起，本基金增设</w:t>
      </w:r>
      <w:r>
        <w:rPr>
          <w:color w:val="000000" w:themeColor="text1"/>
          <w:sz w:val="24"/>
        </w:rPr>
        <w:t>C</w:t>
      </w:r>
      <w:r>
        <w:rPr>
          <w:color w:val="000000" w:themeColor="text1"/>
          <w:sz w:val="24"/>
        </w:rPr>
        <w:t>类份额类别，份额首次确认日为</w:t>
      </w:r>
      <w:r>
        <w:rPr>
          <w:color w:val="000000" w:themeColor="text1"/>
          <w:sz w:val="24"/>
        </w:rPr>
        <w:t>2018</w:t>
      </w:r>
      <w:r>
        <w:rPr>
          <w:color w:val="000000" w:themeColor="text1"/>
          <w:sz w:val="24"/>
        </w:rPr>
        <w:t>年</w:t>
      </w:r>
      <w:r>
        <w:rPr>
          <w:color w:val="000000" w:themeColor="text1"/>
          <w:sz w:val="24"/>
        </w:rPr>
        <w:t>2</w:t>
      </w:r>
      <w:r>
        <w:rPr>
          <w:color w:val="000000" w:themeColor="text1"/>
          <w:sz w:val="24"/>
        </w:rPr>
        <w:t>月</w:t>
      </w:r>
      <w:r>
        <w:rPr>
          <w:color w:val="000000" w:themeColor="text1"/>
          <w:sz w:val="24"/>
        </w:rPr>
        <w:t>12</w:t>
      </w:r>
      <w:r>
        <w:rPr>
          <w:color w:val="000000" w:themeColor="text1"/>
          <w:sz w:val="24"/>
        </w:rPr>
        <w:t>日，增设当期的相关数据和指标按实际存续期计算。</w:t>
      </w:r>
    </w:p>
    <w:p w:rsidR="0065601A" w:rsidRPr="00A67563" w:rsidRDefault="0065601A"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3.</w:t>
      </w:r>
      <w:r w:rsidRPr="00A67563">
        <w:rPr>
          <w:color w:val="000000" w:themeColor="text1"/>
          <w:sz w:val="24"/>
        </w:rPr>
        <w:t>自基金合同生效至报告期末，</w:t>
      </w:r>
      <w:r w:rsidRPr="00A67563">
        <w:rPr>
          <w:color w:val="000000" w:themeColor="text1"/>
          <w:sz w:val="24"/>
        </w:rPr>
        <w:t>A</w:t>
      </w:r>
      <w:r w:rsidRPr="00A67563">
        <w:rPr>
          <w:color w:val="000000" w:themeColor="text1"/>
          <w:sz w:val="24"/>
        </w:rPr>
        <w:t>类基金份额净值增长率为</w:t>
      </w:r>
      <w:r w:rsidRPr="00A67563">
        <w:rPr>
          <w:color w:val="000000" w:themeColor="text1"/>
          <w:sz w:val="24"/>
        </w:rPr>
        <w:t>89.80%</w:t>
      </w:r>
      <w:r w:rsidRPr="00A67563">
        <w:rPr>
          <w:color w:val="000000" w:themeColor="text1"/>
          <w:sz w:val="24"/>
        </w:rPr>
        <w:t>，同期业绩比较基准收益率为</w:t>
      </w:r>
      <w:r w:rsidRPr="00A67563">
        <w:rPr>
          <w:color w:val="000000" w:themeColor="text1"/>
          <w:sz w:val="24"/>
        </w:rPr>
        <w:t>128.31%</w:t>
      </w:r>
      <w:r w:rsidRPr="00A67563">
        <w:rPr>
          <w:color w:val="000000" w:themeColor="text1"/>
          <w:sz w:val="24"/>
        </w:rPr>
        <w:t>。</w:t>
      </w:r>
      <w:r w:rsidRPr="00A67563">
        <w:rPr>
          <w:color w:val="000000" w:themeColor="text1"/>
          <w:sz w:val="24"/>
        </w:rPr>
        <w:t>C</w:t>
      </w:r>
      <w:r w:rsidRPr="00A67563">
        <w:rPr>
          <w:color w:val="000000" w:themeColor="text1"/>
          <w:sz w:val="24"/>
        </w:rPr>
        <w:t>类基金份额净值增长率为</w:t>
      </w:r>
      <w:r w:rsidRPr="00A67563">
        <w:rPr>
          <w:color w:val="000000" w:themeColor="text1"/>
          <w:sz w:val="24"/>
        </w:rPr>
        <w:t>8.43%</w:t>
      </w:r>
      <w:r w:rsidRPr="00A67563">
        <w:rPr>
          <w:color w:val="000000" w:themeColor="text1"/>
          <w:sz w:val="24"/>
        </w:rPr>
        <w:t>，同期业绩比较基准收益率为</w:t>
      </w:r>
      <w:r w:rsidRPr="00A67563">
        <w:rPr>
          <w:color w:val="000000" w:themeColor="text1"/>
          <w:sz w:val="24"/>
        </w:rPr>
        <w:t>12.50%</w:t>
      </w:r>
      <w:r w:rsidRPr="00A67563">
        <w:rPr>
          <w:color w:val="000000" w:themeColor="text1"/>
          <w:sz w:val="24"/>
        </w:rPr>
        <w:t>。</w:t>
      </w:r>
      <w:r w:rsidRPr="00A67563">
        <w:rPr>
          <w:color w:val="000000" w:themeColor="text1"/>
          <w:sz w:val="24"/>
        </w:rPr>
        <w:t xml:space="preserve"> </w:t>
      </w:r>
    </w:p>
    <w:p w:rsidR="0076518F" w:rsidRPr="00A67563" w:rsidRDefault="0076518F" w:rsidP="00014E7F">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t xml:space="preserve">§4  </w:t>
      </w:r>
      <w:r w:rsidRPr="00A67563">
        <w:rPr>
          <w:color w:val="000000" w:themeColor="text1"/>
          <w:kern w:val="0"/>
          <w:sz w:val="24"/>
          <w:szCs w:val="24"/>
        </w:rPr>
        <w:t>管理人报告</w:t>
      </w:r>
    </w:p>
    <w:p w:rsidR="0040617F" w:rsidRPr="006506EF" w:rsidRDefault="0076518F" w:rsidP="0040617F">
      <w:pPr>
        <w:autoSpaceDE w:val="0"/>
        <w:autoSpaceDN w:val="0"/>
        <w:adjustRightInd w:val="0"/>
        <w:spacing w:line="360" w:lineRule="auto"/>
        <w:jc w:val="left"/>
        <w:rPr>
          <w:b/>
          <w:color w:val="000000"/>
          <w:kern w:val="0"/>
          <w:sz w:val="24"/>
        </w:rPr>
      </w:pPr>
      <w:r w:rsidRPr="00A67563">
        <w:rPr>
          <w:b/>
          <w:color w:val="000000" w:themeColor="text1"/>
          <w:kern w:val="0"/>
          <w:sz w:val="24"/>
        </w:rPr>
        <w:t xml:space="preserve">4.1 </w:t>
      </w:r>
      <w:r w:rsidRPr="00A67563">
        <w:rPr>
          <w:b/>
          <w:color w:val="000000" w:themeColor="text1"/>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260"/>
        <w:gridCol w:w="1276"/>
        <w:gridCol w:w="1276"/>
        <w:gridCol w:w="850"/>
        <w:gridCol w:w="1418"/>
      </w:tblGrid>
      <w:tr w:rsidR="0040617F" w:rsidRPr="006506EF" w:rsidTr="000B42A7">
        <w:trPr>
          <w:cantSplit/>
          <w:trHeight w:val="292"/>
        </w:trPr>
        <w:tc>
          <w:tcPr>
            <w:tcW w:w="851" w:type="dxa"/>
            <w:vMerge w:val="restart"/>
            <w:vAlign w:val="center"/>
          </w:tcPr>
          <w:p w:rsidR="0040617F" w:rsidRPr="006506EF" w:rsidRDefault="0040617F" w:rsidP="000B42A7">
            <w:pPr>
              <w:widowControl/>
              <w:spacing w:before="29" w:line="360" w:lineRule="auto"/>
              <w:ind w:left="17"/>
              <w:jc w:val="center"/>
              <w:rPr>
                <w:color w:val="000000"/>
                <w:kern w:val="0"/>
                <w:sz w:val="24"/>
              </w:rPr>
            </w:pPr>
            <w:r w:rsidRPr="006506EF">
              <w:rPr>
                <w:color w:val="000000"/>
                <w:kern w:val="0"/>
                <w:sz w:val="24"/>
              </w:rPr>
              <w:t>姓名</w:t>
            </w:r>
          </w:p>
        </w:tc>
        <w:tc>
          <w:tcPr>
            <w:tcW w:w="3260" w:type="dxa"/>
            <w:vMerge w:val="restart"/>
            <w:vAlign w:val="center"/>
          </w:tcPr>
          <w:p w:rsidR="0040617F" w:rsidRPr="006506EF" w:rsidRDefault="0040617F" w:rsidP="000B42A7">
            <w:pPr>
              <w:widowControl/>
              <w:spacing w:before="29" w:line="360" w:lineRule="auto"/>
              <w:ind w:left="17"/>
              <w:jc w:val="center"/>
              <w:rPr>
                <w:color w:val="000000"/>
                <w:kern w:val="0"/>
                <w:sz w:val="24"/>
              </w:rPr>
            </w:pPr>
            <w:r w:rsidRPr="006506EF">
              <w:rPr>
                <w:color w:val="000000"/>
                <w:kern w:val="0"/>
                <w:sz w:val="24"/>
              </w:rPr>
              <w:t>职务</w:t>
            </w:r>
          </w:p>
        </w:tc>
        <w:tc>
          <w:tcPr>
            <w:tcW w:w="2552" w:type="dxa"/>
            <w:gridSpan w:val="2"/>
            <w:vAlign w:val="center"/>
          </w:tcPr>
          <w:p w:rsidR="0040617F" w:rsidRPr="006506EF" w:rsidRDefault="0040617F" w:rsidP="000B42A7">
            <w:pPr>
              <w:autoSpaceDE w:val="0"/>
              <w:autoSpaceDN w:val="0"/>
              <w:adjustRightInd w:val="0"/>
              <w:spacing w:before="29" w:line="360" w:lineRule="auto"/>
              <w:ind w:left="17"/>
              <w:jc w:val="center"/>
              <w:rPr>
                <w:color w:val="000000"/>
                <w:kern w:val="0"/>
                <w:sz w:val="24"/>
              </w:rPr>
            </w:pPr>
            <w:r w:rsidRPr="006506EF">
              <w:rPr>
                <w:color w:val="000000"/>
                <w:kern w:val="0"/>
                <w:sz w:val="24"/>
              </w:rPr>
              <w:t>任本基金的基金经理期限</w:t>
            </w:r>
          </w:p>
        </w:tc>
        <w:tc>
          <w:tcPr>
            <w:tcW w:w="850" w:type="dxa"/>
            <w:vMerge w:val="restart"/>
            <w:vAlign w:val="center"/>
          </w:tcPr>
          <w:p w:rsidR="0040617F" w:rsidRPr="006506EF" w:rsidRDefault="0040617F" w:rsidP="000B42A7">
            <w:pPr>
              <w:autoSpaceDE w:val="0"/>
              <w:autoSpaceDN w:val="0"/>
              <w:adjustRightInd w:val="0"/>
              <w:spacing w:before="29" w:line="360" w:lineRule="auto"/>
              <w:ind w:left="17"/>
              <w:jc w:val="center"/>
              <w:rPr>
                <w:color w:val="000000"/>
                <w:kern w:val="0"/>
                <w:sz w:val="24"/>
              </w:rPr>
            </w:pPr>
            <w:r w:rsidRPr="006506EF">
              <w:rPr>
                <w:color w:val="000000"/>
                <w:kern w:val="0"/>
                <w:sz w:val="24"/>
              </w:rPr>
              <w:t>证券从业年限</w:t>
            </w:r>
          </w:p>
        </w:tc>
        <w:tc>
          <w:tcPr>
            <w:tcW w:w="1418" w:type="dxa"/>
            <w:vMerge w:val="restart"/>
            <w:vAlign w:val="center"/>
          </w:tcPr>
          <w:p w:rsidR="0040617F" w:rsidRPr="006506EF" w:rsidRDefault="0040617F" w:rsidP="000B42A7">
            <w:pPr>
              <w:widowControl/>
              <w:spacing w:before="29" w:line="360" w:lineRule="auto"/>
              <w:ind w:left="17"/>
              <w:jc w:val="center"/>
              <w:rPr>
                <w:color w:val="000000"/>
                <w:kern w:val="0"/>
                <w:sz w:val="24"/>
              </w:rPr>
            </w:pPr>
            <w:r w:rsidRPr="006506EF">
              <w:rPr>
                <w:color w:val="000000"/>
                <w:kern w:val="0"/>
                <w:sz w:val="24"/>
              </w:rPr>
              <w:t>说明</w:t>
            </w:r>
          </w:p>
        </w:tc>
      </w:tr>
      <w:tr w:rsidR="0040617F" w:rsidRPr="006506EF" w:rsidTr="000B42A7">
        <w:trPr>
          <w:cantSplit/>
        </w:trPr>
        <w:tc>
          <w:tcPr>
            <w:tcW w:w="851" w:type="dxa"/>
            <w:vMerge/>
            <w:vAlign w:val="center"/>
          </w:tcPr>
          <w:p w:rsidR="0040617F" w:rsidRPr="006506EF" w:rsidRDefault="0040617F" w:rsidP="000B42A7">
            <w:pPr>
              <w:widowControl/>
              <w:spacing w:line="360" w:lineRule="auto"/>
              <w:jc w:val="left"/>
              <w:rPr>
                <w:color w:val="000000"/>
                <w:kern w:val="0"/>
                <w:sz w:val="24"/>
              </w:rPr>
            </w:pPr>
          </w:p>
        </w:tc>
        <w:tc>
          <w:tcPr>
            <w:tcW w:w="3260" w:type="dxa"/>
            <w:vMerge/>
            <w:vAlign w:val="center"/>
          </w:tcPr>
          <w:p w:rsidR="0040617F" w:rsidRPr="006506EF" w:rsidRDefault="0040617F" w:rsidP="000B42A7">
            <w:pPr>
              <w:widowControl/>
              <w:spacing w:line="360" w:lineRule="auto"/>
              <w:jc w:val="left"/>
              <w:rPr>
                <w:color w:val="000000"/>
                <w:kern w:val="0"/>
                <w:sz w:val="24"/>
              </w:rPr>
            </w:pPr>
          </w:p>
        </w:tc>
        <w:tc>
          <w:tcPr>
            <w:tcW w:w="1276" w:type="dxa"/>
            <w:vAlign w:val="center"/>
          </w:tcPr>
          <w:p w:rsidR="0040617F" w:rsidRPr="006506EF" w:rsidRDefault="0040617F" w:rsidP="000B42A7">
            <w:pPr>
              <w:autoSpaceDE w:val="0"/>
              <w:autoSpaceDN w:val="0"/>
              <w:adjustRightInd w:val="0"/>
              <w:spacing w:before="29" w:line="360" w:lineRule="auto"/>
              <w:ind w:left="17"/>
              <w:jc w:val="center"/>
              <w:rPr>
                <w:color w:val="000000"/>
                <w:kern w:val="0"/>
                <w:sz w:val="24"/>
              </w:rPr>
            </w:pPr>
            <w:r w:rsidRPr="006506EF">
              <w:rPr>
                <w:color w:val="000000"/>
                <w:kern w:val="0"/>
                <w:sz w:val="24"/>
              </w:rPr>
              <w:t>任职日期</w:t>
            </w:r>
          </w:p>
        </w:tc>
        <w:tc>
          <w:tcPr>
            <w:tcW w:w="1276" w:type="dxa"/>
            <w:vAlign w:val="center"/>
          </w:tcPr>
          <w:p w:rsidR="0040617F" w:rsidRPr="006506EF" w:rsidRDefault="0040617F" w:rsidP="000B42A7">
            <w:pPr>
              <w:autoSpaceDE w:val="0"/>
              <w:autoSpaceDN w:val="0"/>
              <w:adjustRightInd w:val="0"/>
              <w:spacing w:before="29" w:line="360" w:lineRule="auto"/>
              <w:ind w:left="17"/>
              <w:jc w:val="center"/>
              <w:rPr>
                <w:color w:val="000000"/>
                <w:kern w:val="0"/>
                <w:sz w:val="24"/>
              </w:rPr>
            </w:pPr>
            <w:r w:rsidRPr="006506EF">
              <w:rPr>
                <w:color w:val="000000"/>
                <w:kern w:val="0"/>
                <w:sz w:val="24"/>
              </w:rPr>
              <w:t>离任日期</w:t>
            </w:r>
          </w:p>
        </w:tc>
        <w:tc>
          <w:tcPr>
            <w:tcW w:w="850" w:type="dxa"/>
            <w:vMerge/>
            <w:vAlign w:val="center"/>
          </w:tcPr>
          <w:p w:rsidR="0040617F" w:rsidRPr="006506EF" w:rsidRDefault="0040617F" w:rsidP="000B42A7">
            <w:pPr>
              <w:widowControl/>
              <w:spacing w:line="360" w:lineRule="auto"/>
              <w:jc w:val="left"/>
              <w:rPr>
                <w:color w:val="000000"/>
                <w:kern w:val="0"/>
                <w:sz w:val="24"/>
              </w:rPr>
            </w:pPr>
          </w:p>
        </w:tc>
        <w:tc>
          <w:tcPr>
            <w:tcW w:w="1418" w:type="dxa"/>
            <w:vMerge/>
            <w:vAlign w:val="center"/>
          </w:tcPr>
          <w:p w:rsidR="0040617F" w:rsidRPr="006506EF" w:rsidRDefault="0040617F" w:rsidP="000B42A7">
            <w:pPr>
              <w:widowControl/>
              <w:spacing w:line="360" w:lineRule="auto"/>
              <w:jc w:val="left"/>
              <w:rPr>
                <w:color w:val="000000"/>
                <w:kern w:val="0"/>
                <w:sz w:val="24"/>
              </w:rPr>
            </w:pPr>
          </w:p>
        </w:tc>
      </w:tr>
      <w:tr w:rsidR="002755C3">
        <w:tc>
          <w:tcPr>
            <w:tcW w:w="851" w:type="dxa"/>
            <w:vAlign w:val="center"/>
          </w:tcPr>
          <w:p w:rsidR="002755C3" w:rsidRDefault="00AE4B60">
            <w:pPr>
              <w:jc w:val="center"/>
            </w:pPr>
            <w:r>
              <w:rPr>
                <w:color w:val="000000"/>
                <w:sz w:val="24"/>
              </w:rPr>
              <w:t>张胜记</w:t>
            </w:r>
          </w:p>
        </w:tc>
        <w:tc>
          <w:tcPr>
            <w:tcW w:w="3260" w:type="dxa"/>
            <w:vAlign w:val="center"/>
          </w:tcPr>
          <w:p w:rsidR="002755C3" w:rsidRDefault="00AE4B60">
            <w:pPr>
              <w:jc w:val="center"/>
            </w:pPr>
            <w:r>
              <w:rPr>
                <w:color w:val="000000"/>
                <w:sz w:val="24"/>
              </w:rPr>
              <w:t>本基金的基金经理、易方达原油证券投资基金</w:t>
            </w:r>
            <w:r>
              <w:rPr>
                <w:color w:val="000000"/>
                <w:sz w:val="24"/>
              </w:rPr>
              <w:t>(QDII)</w:t>
            </w:r>
            <w:r>
              <w:rPr>
                <w:color w:val="000000"/>
                <w:sz w:val="24"/>
              </w:rPr>
              <w:t>的基金经理、易方达香港恒生综合小型股指数证券投资基金</w:t>
            </w:r>
            <w:r>
              <w:rPr>
                <w:color w:val="000000"/>
                <w:sz w:val="24"/>
              </w:rPr>
              <w:t>(LOF)</w:t>
            </w:r>
            <w:r>
              <w:rPr>
                <w:color w:val="000000"/>
                <w:sz w:val="24"/>
              </w:rPr>
              <w:t>的基金经理、易方达恒生中国企业交易型开放式指数证券投资基金联接基金的基金经理、易方达恒生中国企</w:t>
            </w:r>
            <w:r>
              <w:rPr>
                <w:color w:val="000000"/>
                <w:sz w:val="24"/>
              </w:rPr>
              <w:lastRenderedPageBreak/>
              <w:t>业交易型开放式指数证券投资基金的基金经理、易方达</w:t>
            </w:r>
            <w:r>
              <w:rPr>
                <w:color w:val="000000"/>
                <w:sz w:val="24"/>
              </w:rPr>
              <w:t>50</w:t>
            </w:r>
            <w:r>
              <w:rPr>
                <w:color w:val="000000"/>
                <w:sz w:val="24"/>
              </w:rPr>
              <w:t>指数证券投资基金的基金经理、指数投资部总经理</w:t>
            </w:r>
          </w:p>
        </w:tc>
        <w:tc>
          <w:tcPr>
            <w:tcW w:w="1276" w:type="dxa"/>
            <w:vAlign w:val="center"/>
          </w:tcPr>
          <w:p w:rsidR="002755C3" w:rsidRDefault="00AE4B60">
            <w:pPr>
              <w:jc w:val="center"/>
            </w:pPr>
            <w:r>
              <w:rPr>
                <w:color w:val="000000"/>
                <w:sz w:val="24"/>
              </w:rPr>
              <w:lastRenderedPageBreak/>
              <w:t>2014-09-13</w:t>
            </w:r>
          </w:p>
        </w:tc>
        <w:tc>
          <w:tcPr>
            <w:tcW w:w="1276" w:type="dxa"/>
            <w:vAlign w:val="center"/>
          </w:tcPr>
          <w:p w:rsidR="002755C3" w:rsidRDefault="00AE4B60">
            <w:pPr>
              <w:jc w:val="center"/>
            </w:pPr>
            <w:r>
              <w:rPr>
                <w:color w:val="000000"/>
                <w:sz w:val="24"/>
              </w:rPr>
              <w:t>-</w:t>
            </w:r>
          </w:p>
        </w:tc>
        <w:tc>
          <w:tcPr>
            <w:tcW w:w="850" w:type="dxa"/>
            <w:vAlign w:val="center"/>
          </w:tcPr>
          <w:p w:rsidR="002755C3" w:rsidRDefault="00AE4B60">
            <w:pPr>
              <w:jc w:val="center"/>
            </w:pPr>
            <w:r>
              <w:rPr>
                <w:color w:val="000000"/>
                <w:sz w:val="24"/>
              </w:rPr>
              <w:t>14</w:t>
            </w:r>
            <w:r>
              <w:rPr>
                <w:color w:val="000000"/>
                <w:sz w:val="24"/>
              </w:rPr>
              <w:t>年</w:t>
            </w:r>
          </w:p>
        </w:tc>
        <w:tc>
          <w:tcPr>
            <w:tcW w:w="1418" w:type="dxa"/>
            <w:vAlign w:val="center"/>
          </w:tcPr>
          <w:p w:rsidR="002755C3" w:rsidRDefault="00AE4B60">
            <w:pPr>
              <w:jc w:val="left"/>
            </w:pPr>
            <w:r>
              <w:rPr>
                <w:color w:val="000000"/>
                <w:sz w:val="24"/>
              </w:rPr>
              <w:t>硕士研究生，曾任易方达基金管理有限公司投资经理助理、基金经理助理、行业研究员、</w:t>
            </w:r>
            <w:r>
              <w:rPr>
                <w:color w:val="000000"/>
                <w:sz w:val="24"/>
              </w:rPr>
              <w:lastRenderedPageBreak/>
              <w:t>指数与量化投资部总经理助理、指数与量化投资部副总经理、指数及增强投资部副总经理、易方达沪深</w:t>
            </w:r>
            <w:r>
              <w:rPr>
                <w:color w:val="000000"/>
                <w:sz w:val="24"/>
              </w:rPr>
              <w:t>300</w:t>
            </w:r>
            <w:r>
              <w:rPr>
                <w:color w:val="000000"/>
                <w:sz w:val="24"/>
              </w:rPr>
              <w:t>交易型开放式指数发起式证券投资基金联接基金（原易方达沪深</w:t>
            </w:r>
            <w:r>
              <w:rPr>
                <w:color w:val="000000"/>
                <w:sz w:val="24"/>
              </w:rPr>
              <w:t>300</w:t>
            </w:r>
            <w:r>
              <w:rPr>
                <w:color w:val="000000"/>
                <w:sz w:val="24"/>
              </w:rPr>
              <w:t>指数证券投资基金）基金经理、易方达上证中盘交易型开放式指数证券投资基金基金经理、易方达上证中盘交易型开放式指数证券投资基金联接基金基金经理、易方达标普医疗保健指数证券投资基金（</w:t>
            </w:r>
            <w:r>
              <w:rPr>
                <w:color w:val="000000"/>
                <w:sz w:val="24"/>
              </w:rPr>
              <w:t>LOF</w:t>
            </w:r>
            <w:r>
              <w:rPr>
                <w:color w:val="000000"/>
                <w:sz w:val="24"/>
              </w:rPr>
              <w:t>）基金经理、易方达标普</w:t>
            </w:r>
            <w:r>
              <w:rPr>
                <w:color w:val="000000"/>
                <w:sz w:val="24"/>
              </w:rPr>
              <w:t>500</w:t>
            </w:r>
            <w:r>
              <w:rPr>
                <w:color w:val="000000"/>
                <w:sz w:val="24"/>
              </w:rPr>
              <w:t>指数证券投资基金（</w:t>
            </w:r>
            <w:r>
              <w:rPr>
                <w:color w:val="000000"/>
                <w:sz w:val="24"/>
              </w:rPr>
              <w:t>LOF</w:t>
            </w:r>
            <w:r>
              <w:rPr>
                <w:color w:val="000000"/>
                <w:sz w:val="24"/>
              </w:rPr>
              <w:t>）基金经理、易方达标普生物科技指数证券投资</w:t>
            </w:r>
            <w:r>
              <w:rPr>
                <w:color w:val="000000"/>
                <w:sz w:val="24"/>
              </w:rPr>
              <w:t>基金</w:t>
            </w:r>
            <w:r>
              <w:rPr>
                <w:color w:val="000000"/>
                <w:sz w:val="24"/>
              </w:rPr>
              <w:t>(LOF)</w:t>
            </w:r>
            <w:r>
              <w:rPr>
                <w:color w:val="000000"/>
                <w:sz w:val="24"/>
              </w:rPr>
              <w:t>基</w:t>
            </w:r>
            <w:r>
              <w:rPr>
                <w:color w:val="000000"/>
                <w:sz w:val="24"/>
              </w:rPr>
              <w:lastRenderedPageBreak/>
              <w:t>金经理、易方达标普信息科技指数证券投资基金（</w:t>
            </w:r>
            <w:r>
              <w:rPr>
                <w:color w:val="000000"/>
                <w:sz w:val="24"/>
              </w:rPr>
              <w:t>LOF</w:t>
            </w:r>
            <w:r>
              <w:rPr>
                <w:color w:val="000000"/>
                <w:sz w:val="24"/>
              </w:rPr>
              <w:t>）基金经理。</w:t>
            </w:r>
          </w:p>
        </w:tc>
      </w:tr>
      <w:tr w:rsidR="002755C3">
        <w:tc>
          <w:tcPr>
            <w:tcW w:w="851" w:type="dxa"/>
            <w:vAlign w:val="center"/>
          </w:tcPr>
          <w:p w:rsidR="002755C3" w:rsidRDefault="00AE4B60">
            <w:pPr>
              <w:jc w:val="center"/>
            </w:pPr>
            <w:r>
              <w:rPr>
                <w:color w:val="000000"/>
                <w:sz w:val="24"/>
              </w:rPr>
              <w:lastRenderedPageBreak/>
              <w:t>FAN BING(</w:t>
            </w:r>
            <w:r>
              <w:rPr>
                <w:color w:val="000000"/>
                <w:sz w:val="24"/>
              </w:rPr>
              <w:t>范冰</w:t>
            </w:r>
            <w:r>
              <w:rPr>
                <w:color w:val="000000"/>
                <w:sz w:val="24"/>
              </w:rPr>
              <w:t>)</w:t>
            </w:r>
          </w:p>
        </w:tc>
        <w:tc>
          <w:tcPr>
            <w:tcW w:w="3260" w:type="dxa"/>
            <w:vAlign w:val="center"/>
          </w:tcPr>
          <w:p w:rsidR="002755C3" w:rsidRDefault="00AE4B60">
            <w:pPr>
              <w:jc w:val="center"/>
            </w:pPr>
            <w:r>
              <w:rPr>
                <w:color w:val="000000"/>
                <w:sz w:val="24"/>
              </w:rPr>
              <w:t>本基金的基金经理、易方达中证海外中国互联网</w:t>
            </w:r>
            <w:r>
              <w:rPr>
                <w:color w:val="000000"/>
                <w:sz w:val="24"/>
              </w:rPr>
              <w:t>50</w:t>
            </w:r>
            <w:r>
              <w:rPr>
                <w:color w:val="000000"/>
                <w:sz w:val="24"/>
              </w:rPr>
              <w:t>交易型开放式指数证券投资基金联接基金的基金经理、易方达中证海外中国互联网</w:t>
            </w:r>
            <w:r>
              <w:rPr>
                <w:color w:val="000000"/>
                <w:sz w:val="24"/>
              </w:rPr>
              <w:t>50</w:t>
            </w:r>
            <w:r>
              <w:rPr>
                <w:color w:val="000000"/>
                <w:sz w:val="24"/>
              </w:rPr>
              <w:t>交易型开放式指数证券投资基金的基金经理、易方达原油证券投资基金</w:t>
            </w:r>
            <w:r>
              <w:rPr>
                <w:color w:val="000000"/>
                <w:sz w:val="24"/>
              </w:rPr>
              <w:t>(QDII)</w:t>
            </w:r>
            <w:r>
              <w:rPr>
                <w:color w:val="000000"/>
                <w:sz w:val="24"/>
              </w:rPr>
              <w:t>的基金经理、易方达日兴资管日经</w:t>
            </w:r>
            <w:r>
              <w:rPr>
                <w:color w:val="000000"/>
                <w:sz w:val="24"/>
              </w:rPr>
              <w:t>225</w:t>
            </w:r>
            <w:r>
              <w:rPr>
                <w:color w:val="000000"/>
                <w:sz w:val="24"/>
              </w:rPr>
              <w:t>交易型开放式指数证券投资基金</w:t>
            </w:r>
            <w:r>
              <w:rPr>
                <w:color w:val="000000"/>
                <w:sz w:val="24"/>
              </w:rPr>
              <w:t>(QDII)</w:t>
            </w:r>
            <w:r>
              <w:rPr>
                <w:color w:val="000000"/>
                <w:sz w:val="24"/>
              </w:rPr>
              <w:t>的基金经理、易方达纳斯达克</w:t>
            </w:r>
            <w:r>
              <w:rPr>
                <w:color w:val="000000"/>
                <w:sz w:val="24"/>
              </w:rPr>
              <w:t>100</w:t>
            </w:r>
            <w:r>
              <w:rPr>
                <w:color w:val="000000"/>
                <w:sz w:val="24"/>
              </w:rPr>
              <w:t>指数证券投资基金</w:t>
            </w:r>
            <w:r>
              <w:rPr>
                <w:color w:val="000000"/>
                <w:sz w:val="24"/>
              </w:rPr>
              <w:t>(LOF)</w:t>
            </w:r>
            <w:r>
              <w:rPr>
                <w:color w:val="000000"/>
                <w:sz w:val="24"/>
              </w:rPr>
              <w:t>的基金经理、易方达黄金交易型开放式证券投资基金联接基金的基金经理、易方达黄</w:t>
            </w:r>
            <w:r>
              <w:rPr>
                <w:color w:val="000000"/>
                <w:sz w:val="24"/>
              </w:rPr>
              <w:t>金交易型开放式证券投资基金的基金经理、易方达标普医疗保健指数证券投资基金</w:t>
            </w:r>
            <w:r>
              <w:rPr>
                <w:color w:val="000000"/>
                <w:sz w:val="24"/>
              </w:rPr>
              <w:t>(LOF)</w:t>
            </w:r>
            <w:r>
              <w:rPr>
                <w:color w:val="000000"/>
                <w:sz w:val="24"/>
              </w:rPr>
              <w:t>的基金经理、易方达标普信息科技指数证券投资基金</w:t>
            </w:r>
            <w:r>
              <w:rPr>
                <w:color w:val="000000"/>
                <w:sz w:val="24"/>
              </w:rPr>
              <w:t>(LOF)</w:t>
            </w:r>
            <w:r>
              <w:rPr>
                <w:color w:val="000000"/>
                <w:sz w:val="24"/>
              </w:rPr>
              <w:t>的基金经理、易方达标普生物科技指数证券投资基金</w:t>
            </w:r>
            <w:r>
              <w:rPr>
                <w:color w:val="000000"/>
                <w:sz w:val="24"/>
              </w:rPr>
              <w:t>(LOF)</w:t>
            </w:r>
            <w:r>
              <w:rPr>
                <w:color w:val="000000"/>
                <w:sz w:val="24"/>
              </w:rPr>
              <w:t>的基金经理、易方达标普</w:t>
            </w:r>
            <w:r>
              <w:rPr>
                <w:color w:val="000000"/>
                <w:sz w:val="24"/>
              </w:rPr>
              <w:t>500</w:t>
            </w:r>
            <w:r>
              <w:rPr>
                <w:color w:val="000000"/>
                <w:sz w:val="24"/>
              </w:rPr>
              <w:t>指数证券投资基金</w:t>
            </w:r>
            <w:r>
              <w:rPr>
                <w:color w:val="000000"/>
                <w:sz w:val="24"/>
              </w:rPr>
              <w:t>(LOF)</w:t>
            </w:r>
            <w:r>
              <w:rPr>
                <w:color w:val="000000"/>
                <w:sz w:val="24"/>
              </w:rPr>
              <w:t>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股国际通交易型开放式指数证券投资基金发起式联接基金的基金经理、易方达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股国际通交易型开放式指数证券投资基金的基金经理</w:t>
            </w:r>
          </w:p>
        </w:tc>
        <w:tc>
          <w:tcPr>
            <w:tcW w:w="1276" w:type="dxa"/>
            <w:vAlign w:val="center"/>
          </w:tcPr>
          <w:p w:rsidR="002755C3" w:rsidRDefault="00AE4B60">
            <w:pPr>
              <w:jc w:val="center"/>
            </w:pPr>
            <w:r>
              <w:rPr>
                <w:color w:val="000000"/>
                <w:sz w:val="24"/>
              </w:rPr>
              <w:t>2017-03-25</w:t>
            </w:r>
          </w:p>
        </w:tc>
        <w:tc>
          <w:tcPr>
            <w:tcW w:w="1276" w:type="dxa"/>
            <w:vAlign w:val="center"/>
          </w:tcPr>
          <w:p w:rsidR="002755C3" w:rsidRDefault="00AE4B60">
            <w:pPr>
              <w:jc w:val="center"/>
            </w:pPr>
            <w:r>
              <w:rPr>
                <w:color w:val="000000"/>
                <w:sz w:val="24"/>
              </w:rPr>
              <w:t>-</w:t>
            </w:r>
          </w:p>
        </w:tc>
        <w:tc>
          <w:tcPr>
            <w:tcW w:w="850" w:type="dxa"/>
            <w:vAlign w:val="center"/>
          </w:tcPr>
          <w:p w:rsidR="002755C3" w:rsidRDefault="00AE4B60">
            <w:pPr>
              <w:jc w:val="center"/>
            </w:pPr>
            <w:r>
              <w:rPr>
                <w:color w:val="000000"/>
                <w:sz w:val="24"/>
              </w:rPr>
              <w:t>14</w:t>
            </w:r>
            <w:r>
              <w:rPr>
                <w:color w:val="000000"/>
                <w:sz w:val="24"/>
              </w:rPr>
              <w:t>年</w:t>
            </w:r>
          </w:p>
        </w:tc>
        <w:tc>
          <w:tcPr>
            <w:tcW w:w="1418" w:type="dxa"/>
            <w:vAlign w:val="center"/>
          </w:tcPr>
          <w:p w:rsidR="002755C3" w:rsidRDefault="00AE4B60">
            <w:pPr>
              <w:jc w:val="left"/>
            </w:pPr>
            <w:r>
              <w:rPr>
                <w:color w:val="000000"/>
                <w:sz w:val="24"/>
              </w:rPr>
              <w:t>新加坡籍，硕士研究生，曾任皇家加拿大银行托管部核算专员，美国道富集团</w:t>
            </w:r>
            <w:r>
              <w:rPr>
                <w:color w:val="000000"/>
                <w:sz w:val="24"/>
              </w:rPr>
              <w:t>Middle Office</w:t>
            </w:r>
            <w:r>
              <w:rPr>
                <w:color w:val="000000"/>
                <w:sz w:val="24"/>
              </w:rPr>
              <w:t>中台交易支持专员，巴克莱资产管理公司悉尼金融数据部高级金融数据分析员、悉尼金融数据部主管、新加坡金融数据部主管，贝莱德集团金融数据运营部部门经理、风险控制与咨询部客户经理、亚太股票指数基金部基金经理。</w:t>
            </w:r>
          </w:p>
        </w:tc>
      </w:tr>
    </w:tbl>
    <w:p w:rsidR="002755C3" w:rsidRDefault="00AE4B60">
      <w:pPr>
        <w:autoSpaceDE w:val="0"/>
        <w:autoSpaceDN w:val="0"/>
        <w:adjustRightInd w:val="0"/>
        <w:spacing w:line="360" w:lineRule="auto"/>
        <w:ind w:firstLineChars="200" w:firstLine="480"/>
        <w:jc w:val="left"/>
        <w:rPr>
          <w:color w:val="000000" w:themeColor="text1"/>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A47E47" w:rsidRPr="00A67563" w:rsidRDefault="0040617F" w:rsidP="00120EAF">
      <w:pPr>
        <w:autoSpaceDE w:val="0"/>
        <w:autoSpaceDN w:val="0"/>
        <w:adjustRightInd w:val="0"/>
        <w:spacing w:line="360" w:lineRule="auto"/>
        <w:ind w:firstLineChars="200" w:firstLine="480"/>
        <w:jc w:val="left"/>
        <w:rPr>
          <w:color w:val="000000" w:themeColor="text1"/>
          <w:sz w:val="24"/>
        </w:rPr>
      </w:pPr>
      <w:r w:rsidRPr="006506EF">
        <w:rPr>
          <w:color w:val="000000"/>
          <w:sz w:val="24"/>
        </w:rPr>
        <w:t>2.</w:t>
      </w:r>
      <w:r w:rsidRPr="006506EF">
        <w:rPr>
          <w:color w:val="000000"/>
          <w:sz w:val="24"/>
        </w:rPr>
        <w:t>证券从业的含义遵从《证券业从业人员资格管理办法》的相关规定。</w:t>
      </w:r>
    </w:p>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76518F"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lastRenderedPageBreak/>
        <w:t>4.</w:t>
      </w:r>
      <w:r w:rsidR="00F077D2" w:rsidRPr="00A67563">
        <w:rPr>
          <w:b/>
          <w:color w:val="000000" w:themeColor="text1"/>
          <w:kern w:val="0"/>
          <w:sz w:val="24"/>
        </w:rPr>
        <w:t>2</w:t>
      </w:r>
      <w:r w:rsidR="00A32FDA" w:rsidRPr="00A67563">
        <w:rPr>
          <w:b/>
          <w:color w:val="000000" w:themeColor="text1"/>
          <w:kern w:val="0"/>
          <w:sz w:val="24"/>
        </w:rPr>
        <w:t xml:space="preserve"> </w:t>
      </w:r>
      <w:r w:rsidRPr="00A67563">
        <w:rPr>
          <w:b/>
          <w:color w:val="000000" w:themeColor="text1"/>
          <w:kern w:val="0"/>
          <w:sz w:val="24"/>
        </w:rPr>
        <w:t>境外投资顾问为本基金提供投资建议的主要成员简介</w:t>
      </w:r>
    </w:p>
    <w:p w:rsidR="00363E15" w:rsidRPr="00A67563" w:rsidRDefault="00363E15"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本基金未聘请境外投资顾问。</w:t>
      </w:r>
    </w:p>
    <w:p w:rsidR="00FB47E0" w:rsidRPr="00A67563" w:rsidRDefault="00FB47E0" w:rsidP="008B6A4A">
      <w:pPr>
        <w:autoSpaceDE w:val="0"/>
        <w:autoSpaceDN w:val="0"/>
        <w:adjustRightInd w:val="0"/>
        <w:spacing w:line="360" w:lineRule="auto"/>
        <w:jc w:val="left"/>
        <w:rPr>
          <w:color w:val="000000" w:themeColor="text1"/>
          <w:kern w:val="0"/>
          <w:sz w:val="24"/>
        </w:rPr>
      </w:pPr>
    </w:p>
    <w:p w:rsidR="00266CB0" w:rsidRPr="006506EF" w:rsidRDefault="0076518F" w:rsidP="00266CB0">
      <w:pPr>
        <w:autoSpaceDE w:val="0"/>
        <w:autoSpaceDN w:val="0"/>
        <w:adjustRightInd w:val="0"/>
        <w:spacing w:line="360" w:lineRule="auto"/>
        <w:jc w:val="left"/>
        <w:rPr>
          <w:b/>
          <w:color w:val="000000"/>
          <w:kern w:val="0"/>
          <w:sz w:val="24"/>
        </w:rPr>
      </w:pPr>
      <w:r w:rsidRPr="00A67563">
        <w:rPr>
          <w:b/>
          <w:color w:val="000000" w:themeColor="text1"/>
          <w:kern w:val="0"/>
          <w:sz w:val="24"/>
        </w:rPr>
        <w:t>4.</w:t>
      </w:r>
      <w:r w:rsidR="00A32FDA" w:rsidRPr="00A67563">
        <w:rPr>
          <w:b/>
          <w:color w:val="000000" w:themeColor="text1"/>
          <w:kern w:val="0"/>
          <w:sz w:val="24"/>
        </w:rPr>
        <w:t>3</w:t>
      </w:r>
      <w:r w:rsidR="00266CB0" w:rsidRPr="006506EF">
        <w:rPr>
          <w:b/>
          <w:color w:val="000000"/>
          <w:kern w:val="0"/>
          <w:sz w:val="24"/>
        </w:rPr>
        <w:t>报告期内本基金运作遵规守信情况说明</w:t>
      </w:r>
    </w:p>
    <w:p w:rsidR="00363E15" w:rsidRPr="00A67563" w:rsidRDefault="00363E15" w:rsidP="00797DD2">
      <w:pPr>
        <w:spacing w:line="360" w:lineRule="auto"/>
        <w:ind w:firstLineChars="200" w:firstLine="480"/>
        <w:rPr>
          <w:color w:val="000000" w:themeColor="text1"/>
          <w:sz w:val="24"/>
        </w:rPr>
      </w:pPr>
      <w:r w:rsidRPr="00A67563">
        <w:rPr>
          <w:color w:val="000000" w:themeColor="text1"/>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6518F" w:rsidRPr="00A67563" w:rsidRDefault="0076518F" w:rsidP="00A70E23">
      <w:pPr>
        <w:autoSpaceDE w:val="0"/>
        <w:autoSpaceDN w:val="0"/>
        <w:adjustRightInd w:val="0"/>
        <w:spacing w:line="360" w:lineRule="auto"/>
        <w:jc w:val="left"/>
        <w:rPr>
          <w:color w:val="000000" w:themeColor="text1"/>
          <w:kern w:val="0"/>
          <w:sz w:val="24"/>
        </w:rPr>
      </w:pPr>
    </w:p>
    <w:p w:rsidR="0076518F" w:rsidRPr="00A67563" w:rsidRDefault="0076518F" w:rsidP="00A70E2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4.</w:t>
      </w:r>
      <w:r w:rsidR="00A32FDA" w:rsidRPr="00A67563">
        <w:rPr>
          <w:b/>
          <w:color w:val="000000" w:themeColor="text1"/>
          <w:kern w:val="0"/>
          <w:sz w:val="24"/>
        </w:rPr>
        <w:t>4</w:t>
      </w:r>
      <w:r w:rsidRPr="00A67563">
        <w:rPr>
          <w:b/>
          <w:color w:val="000000" w:themeColor="text1"/>
          <w:kern w:val="0"/>
          <w:sz w:val="24"/>
        </w:rPr>
        <w:t xml:space="preserve"> </w:t>
      </w:r>
      <w:r w:rsidRPr="00A67563">
        <w:rPr>
          <w:b/>
          <w:color w:val="000000" w:themeColor="text1"/>
          <w:kern w:val="0"/>
          <w:sz w:val="24"/>
        </w:rPr>
        <w:t>公平交易专项说明</w:t>
      </w:r>
    </w:p>
    <w:p w:rsidR="00AB42E2" w:rsidRPr="00A67563" w:rsidRDefault="00AB42E2" w:rsidP="00A70E23">
      <w:pPr>
        <w:spacing w:line="360" w:lineRule="auto"/>
        <w:rPr>
          <w:color w:val="000000" w:themeColor="text1"/>
          <w:sz w:val="24"/>
        </w:rPr>
      </w:pPr>
      <w:r w:rsidRPr="00A67563">
        <w:rPr>
          <w:color w:val="000000" w:themeColor="text1"/>
          <w:sz w:val="24"/>
        </w:rPr>
        <w:t>4.</w:t>
      </w:r>
      <w:r w:rsidR="00A32FDA" w:rsidRPr="00A67563">
        <w:rPr>
          <w:color w:val="000000" w:themeColor="text1"/>
          <w:sz w:val="24"/>
        </w:rPr>
        <w:t>4.1</w:t>
      </w:r>
      <w:r w:rsidRPr="00A67563">
        <w:rPr>
          <w:color w:val="000000" w:themeColor="text1"/>
          <w:sz w:val="24"/>
        </w:rPr>
        <w:t>公平交易制度的执行情况</w:t>
      </w:r>
    </w:p>
    <w:p w:rsidR="00AB42E2" w:rsidRPr="00A67563" w:rsidRDefault="001F3C28" w:rsidP="00797DD2">
      <w:pPr>
        <w:spacing w:line="360" w:lineRule="auto"/>
        <w:ind w:firstLineChars="200" w:firstLine="480"/>
        <w:rPr>
          <w:color w:val="000000" w:themeColor="text1"/>
          <w:sz w:val="24"/>
        </w:rPr>
      </w:pPr>
      <w:r w:rsidRPr="00A67563">
        <w:rPr>
          <w:color w:val="000000" w:themeColor="text1"/>
          <w:sz w:val="24"/>
        </w:rPr>
        <w:t>本基金管理人努力通过建立有纪律、规范化的投资研究和决策流程来确保公平对待不同投资组合，切实防范利益输送。本基金管理人制定了相应的投资权限管理制度、投资备选库管理制度和集中交易制度等，通过投资交易系统中的公平交易模块，同时依据境外市场的交易特点规范交易委托方式，以尽可能确保公平对待各投资组合。本报告期内，公平交易制度总体执行情况良好。</w:t>
      </w:r>
    </w:p>
    <w:p w:rsidR="00AB42E2" w:rsidRPr="00A67563" w:rsidRDefault="00AB42E2" w:rsidP="00A70E23">
      <w:pPr>
        <w:spacing w:line="360" w:lineRule="auto"/>
        <w:rPr>
          <w:color w:val="000000" w:themeColor="text1"/>
          <w:sz w:val="24"/>
        </w:rPr>
      </w:pPr>
      <w:r w:rsidRPr="00A67563">
        <w:rPr>
          <w:color w:val="000000" w:themeColor="text1"/>
          <w:sz w:val="24"/>
        </w:rPr>
        <w:t>4.</w:t>
      </w:r>
      <w:r w:rsidR="00A32FDA" w:rsidRPr="00A67563">
        <w:rPr>
          <w:color w:val="000000" w:themeColor="text1"/>
          <w:sz w:val="24"/>
        </w:rPr>
        <w:t>4</w:t>
      </w:r>
      <w:r w:rsidRPr="00A67563">
        <w:rPr>
          <w:color w:val="000000" w:themeColor="text1"/>
          <w:sz w:val="24"/>
        </w:rPr>
        <w:t>.</w:t>
      </w:r>
      <w:r w:rsidR="00A32FDA" w:rsidRPr="00A67563">
        <w:rPr>
          <w:color w:val="000000" w:themeColor="text1"/>
          <w:sz w:val="24"/>
        </w:rPr>
        <w:t>2</w:t>
      </w:r>
      <w:r w:rsidRPr="00A67563">
        <w:rPr>
          <w:color w:val="000000" w:themeColor="text1"/>
          <w:sz w:val="24"/>
        </w:rPr>
        <w:t>异常交易行为的专项说明</w:t>
      </w:r>
    </w:p>
    <w:p w:rsidR="002755C3" w:rsidRDefault="00AE4B60">
      <w:pPr>
        <w:spacing w:line="360" w:lineRule="auto"/>
        <w:ind w:firstLineChars="200" w:firstLine="480"/>
        <w:rPr>
          <w:color w:val="000000" w:themeColor="text1"/>
          <w:sz w:val="24"/>
        </w:rPr>
      </w:pPr>
      <w:r>
        <w:rPr>
          <w:color w:val="000000" w:themeColor="text1"/>
          <w:sz w:val="24"/>
        </w:rPr>
        <w:t>本报告期内，公司旗下所有投资组合参与的交易所公开竞价交易中，同日反向交易成交较少的单边交易量超过该证券当日成交量的</w:t>
      </w:r>
      <w:r>
        <w:rPr>
          <w:color w:val="000000" w:themeColor="text1"/>
          <w:sz w:val="24"/>
        </w:rPr>
        <w:t>5%</w:t>
      </w:r>
      <w:r>
        <w:rPr>
          <w:color w:val="000000" w:themeColor="text1"/>
          <w:sz w:val="24"/>
        </w:rPr>
        <w:t>的交易共</w:t>
      </w:r>
      <w:r>
        <w:rPr>
          <w:color w:val="000000" w:themeColor="text1"/>
          <w:sz w:val="24"/>
        </w:rPr>
        <w:t>26</w:t>
      </w:r>
      <w:r>
        <w:rPr>
          <w:color w:val="000000" w:themeColor="text1"/>
          <w:sz w:val="24"/>
        </w:rPr>
        <w:t>次，均为指数</w:t>
      </w:r>
      <w:r>
        <w:rPr>
          <w:color w:val="000000" w:themeColor="text1"/>
          <w:sz w:val="24"/>
        </w:rPr>
        <w:t>量化投资组合因投资策略需要和其他组合发生的反向交易。</w:t>
      </w:r>
    </w:p>
    <w:p w:rsidR="001F3C28" w:rsidRPr="00A67563" w:rsidRDefault="001F3C28" w:rsidP="00797DD2">
      <w:pPr>
        <w:spacing w:line="360" w:lineRule="auto"/>
        <w:ind w:firstLineChars="200" w:firstLine="480"/>
        <w:rPr>
          <w:color w:val="000000" w:themeColor="text1"/>
          <w:sz w:val="24"/>
        </w:rPr>
      </w:pPr>
      <w:r w:rsidRPr="00A67563">
        <w:rPr>
          <w:color w:val="000000" w:themeColor="text1"/>
          <w:sz w:val="24"/>
        </w:rPr>
        <w:t>本报告期内，未发现本基金有可能导致不公平交易和利益输送的异常交易。</w:t>
      </w:r>
    </w:p>
    <w:p w:rsidR="0076518F" w:rsidRPr="00A67563" w:rsidRDefault="0076518F" w:rsidP="00A70E23">
      <w:pPr>
        <w:autoSpaceDE w:val="0"/>
        <w:autoSpaceDN w:val="0"/>
        <w:adjustRightInd w:val="0"/>
        <w:spacing w:line="360" w:lineRule="auto"/>
        <w:jc w:val="left"/>
        <w:rPr>
          <w:color w:val="000000" w:themeColor="text1"/>
          <w:kern w:val="0"/>
          <w:sz w:val="24"/>
        </w:rPr>
      </w:pPr>
    </w:p>
    <w:p w:rsidR="00C81460" w:rsidRPr="006506EF" w:rsidRDefault="0076518F" w:rsidP="00C81460">
      <w:pPr>
        <w:autoSpaceDE w:val="0"/>
        <w:autoSpaceDN w:val="0"/>
        <w:adjustRightInd w:val="0"/>
        <w:spacing w:line="360" w:lineRule="auto"/>
        <w:jc w:val="left"/>
        <w:rPr>
          <w:sz w:val="24"/>
        </w:rPr>
      </w:pPr>
      <w:r w:rsidRPr="00A67563">
        <w:rPr>
          <w:b/>
          <w:color w:val="000000" w:themeColor="text1"/>
          <w:kern w:val="0"/>
          <w:sz w:val="24"/>
        </w:rPr>
        <w:t>4.</w:t>
      </w:r>
      <w:r w:rsidR="00A32FDA" w:rsidRPr="00A67563">
        <w:rPr>
          <w:b/>
          <w:color w:val="000000" w:themeColor="text1"/>
          <w:kern w:val="0"/>
          <w:sz w:val="24"/>
        </w:rPr>
        <w:t>5</w:t>
      </w:r>
      <w:r w:rsidR="00B50DAF">
        <w:rPr>
          <w:rFonts w:hint="eastAsia"/>
          <w:b/>
          <w:color w:val="000000" w:themeColor="text1"/>
          <w:kern w:val="0"/>
          <w:sz w:val="24"/>
        </w:rPr>
        <w:t xml:space="preserve"> </w:t>
      </w:r>
      <w:r w:rsidR="00C81460" w:rsidRPr="00E13203">
        <w:rPr>
          <w:rFonts w:hint="eastAsia"/>
          <w:b/>
          <w:color w:val="000000"/>
          <w:kern w:val="0"/>
          <w:sz w:val="24"/>
        </w:rPr>
        <w:t>报告期内基金的投资策略和业绩表现说明</w:t>
      </w:r>
    </w:p>
    <w:p w:rsidR="002755C3" w:rsidRDefault="00AE4B60">
      <w:pPr>
        <w:spacing w:line="360" w:lineRule="auto"/>
        <w:ind w:firstLineChars="200" w:firstLine="480"/>
        <w:rPr>
          <w:color w:val="000000" w:themeColor="text1"/>
          <w:sz w:val="24"/>
        </w:rPr>
      </w:pPr>
      <w:r>
        <w:rPr>
          <w:color w:val="000000" w:themeColor="text1"/>
          <w:sz w:val="24"/>
        </w:rPr>
        <w:t>回顾</w:t>
      </w:r>
      <w:r>
        <w:rPr>
          <w:color w:val="000000" w:themeColor="text1"/>
          <w:sz w:val="24"/>
        </w:rPr>
        <w:t>2019</w:t>
      </w:r>
      <w:r>
        <w:rPr>
          <w:color w:val="000000" w:themeColor="text1"/>
          <w:sz w:val="24"/>
        </w:rPr>
        <w:t>年三季度，全球经济增长动能放缓，美国经济面临的压力进一步加大，就业和制造业</w:t>
      </w:r>
      <w:r>
        <w:rPr>
          <w:color w:val="000000" w:themeColor="text1"/>
          <w:sz w:val="24"/>
        </w:rPr>
        <w:t>PMI</w:t>
      </w:r>
      <w:r>
        <w:rPr>
          <w:color w:val="000000" w:themeColor="text1"/>
          <w:sz w:val="24"/>
        </w:rPr>
        <w:t>等宏观经济指标不达预期，美股企业盈利增速预计放缓。美联储</w:t>
      </w:r>
      <w:r>
        <w:rPr>
          <w:color w:val="000000" w:themeColor="text1"/>
          <w:sz w:val="24"/>
        </w:rPr>
        <w:t>7</w:t>
      </w:r>
      <w:r>
        <w:rPr>
          <w:color w:val="000000" w:themeColor="text1"/>
          <w:sz w:val="24"/>
        </w:rPr>
        <w:t>月如期降息但指引偏鹰派，紧随其后的贸易摩擦升级推升了市场的避险情绪，美债收益率出现了倒挂的情形。</w:t>
      </w:r>
      <w:r>
        <w:rPr>
          <w:color w:val="000000" w:themeColor="text1"/>
          <w:sz w:val="24"/>
        </w:rPr>
        <w:t>9</w:t>
      </w:r>
      <w:r>
        <w:rPr>
          <w:color w:val="000000" w:themeColor="text1"/>
          <w:sz w:val="24"/>
        </w:rPr>
        <w:t>月以来，美联储再次降息</w:t>
      </w:r>
      <w:r>
        <w:rPr>
          <w:color w:val="000000" w:themeColor="text1"/>
          <w:sz w:val="24"/>
        </w:rPr>
        <w:t>0.25%</w:t>
      </w:r>
      <w:r>
        <w:rPr>
          <w:color w:val="000000" w:themeColor="text1"/>
          <w:sz w:val="24"/>
        </w:rPr>
        <w:t>，货币宽松节奏加快，中美贸易谈判前景仍然充满不确定性。欧洲</w:t>
      </w:r>
      <w:r>
        <w:rPr>
          <w:color w:val="000000" w:themeColor="text1"/>
          <w:sz w:val="24"/>
        </w:rPr>
        <w:t>PMI</w:t>
      </w:r>
      <w:r>
        <w:rPr>
          <w:color w:val="000000" w:themeColor="text1"/>
          <w:sz w:val="24"/>
        </w:rPr>
        <w:t>低于预期，</w:t>
      </w:r>
      <w:r>
        <w:rPr>
          <w:color w:val="000000" w:themeColor="text1"/>
          <w:sz w:val="24"/>
        </w:rPr>
        <w:lastRenderedPageBreak/>
        <w:t>英国硬脱欧的风险加大，全球主要央行竞相通过宽松的货币政策应对经济下行的压力；日本在三季度末上调消费税率；香港的紧张局势压制了港股的表现。</w:t>
      </w:r>
    </w:p>
    <w:p w:rsidR="002755C3" w:rsidRDefault="00AE4B60">
      <w:pPr>
        <w:spacing w:line="360" w:lineRule="auto"/>
        <w:ind w:firstLineChars="200" w:firstLine="480"/>
        <w:rPr>
          <w:color w:val="000000" w:themeColor="text1"/>
          <w:sz w:val="24"/>
        </w:rPr>
      </w:pPr>
      <w:r>
        <w:rPr>
          <w:color w:val="000000" w:themeColor="text1"/>
          <w:sz w:val="24"/>
        </w:rPr>
        <w:t>本基金是跟踪标普全球</w:t>
      </w:r>
      <w:r>
        <w:rPr>
          <w:color w:val="000000" w:themeColor="text1"/>
          <w:sz w:val="24"/>
        </w:rPr>
        <w:t>高端消费品指数的增强型指数基金，股票仓位根据合同要求一直保持在</w:t>
      </w:r>
      <w:r>
        <w:rPr>
          <w:color w:val="000000" w:themeColor="text1"/>
          <w:sz w:val="24"/>
        </w:rPr>
        <w:t>90%</w:t>
      </w:r>
      <w:r>
        <w:rPr>
          <w:color w:val="000000" w:themeColor="text1"/>
          <w:sz w:val="24"/>
        </w:rPr>
        <w:t>以上，在行业配置上，基本与指数权重分布一致，珠宝、酒店休闲业有一定的低配，服饰、化妆品行业有所超配。在国别配置上，与指数权重分布基本一致，低配韩国、美国、瑞士等市场，超配法国、英国市场。报告期本基金主动操作较少，投资组合基本贴近指数组合，报告期业绩战胜基准指数。</w:t>
      </w:r>
    </w:p>
    <w:p w:rsidR="00FD7298" w:rsidRPr="00A67563" w:rsidRDefault="00C81460" w:rsidP="002C6A25">
      <w:pPr>
        <w:spacing w:line="360" w:lineRule="auto"/>
        <w:ind w:firstLineChars="200" w:firstLine="480"/>
        <w:rPr>
          <w:color w:val="000000" w:themeColor="text1"/>
          <w:sz w:val="24"/>
        </w:rPr>
      </w:pPr>
      <w:r w:rsidRPr="002C6A25">
        <w:rPr>
          <w:color w:val="000000" w:themeColor="text1"/>
          <w:sz w:val="24"/>
        </w:rPr>
        <w:t>截至报告期末，本基金</w:t>
      </w:r>
      <w:r w:rsidRPr="002C6A25">
        <w:rPr>
          <w:color w:val="000000" w:themeColor="text1"/>
          <w:sz w:val="24"/>
        </w:rPr>
        <w:t>A</w:t>
      </w:r>
      <w:r w:rsidRPr="002C6A25">
        <w:rPr>
          <w:color w:val="000000" w:themeColor="text1"/>
          <w:sz w:val="24"/>
        </w:rPr>
        <w:t>类基金份额净值为</w:t>
      </w:r>
      <w:r w:rsidRPr="002C6A25">
        <w:rPr>
          <w:color w:val="000000" w:themeColor="text1"/>
          <w:sz w:val="24"/>
        </w:rPr>
        <w:t>1.898</w:t>
      </w:r>
      <w:r w:rsidRPr="002C6A25">
        <w:rPr>
          <w:color w:val="000000" w:themeColor="text1"/>
          <w:sz w:val="24"/>
        </w:rPr>
        <w:t>元，本报告期份额净值增长率为</w:t>
      </w:r>
      <w:r w:rsidRPr="002C6A25">
        <w:rPr>
          <w:color w:val="000000" w:themeColor="text1"/>
          <w:sz w:val="24"/>
        </w:rPr>
        <w:t>-0.68%</w:t>
      </w:r>
      <w:r w:rsidRPr="002C6A25">
        <w:rPr>
          <w:color w:val="000000" w:themeColor="text1"/>
          <w:sz w:val="24"/>
        </w:rPr>
        <w:t>；</w:t>
      </w:r>
      <w:r w:rsidRPr="002C6A25">
        <w:rPr>
          <w:color w:val="000000" w:themeColor="text1"/>
          <w:sz w:val="24"/>
        </w:rPr>
        <w:t>C</w:t>
      </w:r>
      <w:r w:rsidRPr="002C6A25">
        <w:rPr>
          <w:color w:val="000000" w:themeColor="text1"/>
          <w:sz w:val="24"/>
        </w:rPr>
        <w:t>类基金份额净值为</w:t>
      </w:r>
      <w:r w:rsidRPr="002C6A25">
        <w:rPr>
          <w:color w:val="000000" w:themeColor="text1"/>
          <w:sz w:val="24"/>
        </w:rPr>
        <w:t>1.890</w:t>
      </w:r>
      <w:r w:rsidRPr="002C6A25">
        <w:rPr>
          <w:color w:val="000000" w:themeColor="text1"/>
          <w:sz w:val="24"/>
        </w:rPr>
        <w:t>元，本报告期份额净值增长率为</w:t>
      </w:r>
      <w:r w:rsidRPr="002C6A25">
        <w:rPr>
          <w:color w:val="000000" w:themeColor="text1"/>
          <w:sz w:val="24"/>
        </w:rPr>
        <w:t>-0.79%</w:t>
      </w:r>
      <w:r w:rsidRPr="002C6A25">
        <w:rPr>
          <w:color w:val="000000" w:themeColor="text1"/>
          <w:sz w:val="24"/>
        </w:rPr>
        <w:t>；同期业绩比较基准收益率为</w:t>
      </w:r>
      <w:r w:rsidRPr="002C6A25">
        <w:rPr>
          <w:color w:val="000000" w:themeColor="text1"/>
          <w:sz w:val="24"/>
        </w:rPr>
        <w:t>-1.27%</w:t>
      </w:r>
      <w:r w:rsidRPr="002C6A25">
        <w:rPr>
          <w:color w:val="000000" w:themeColor="text1"/>
          <w:sz w:val="24"/>
        </w:rPr>
        <w:t>。年化跟踪误差</w:t>
      </w:r>
      <w:r w:rsidRPr="002C6A25">
        <w:rPr>
          <w:color w:val="000000" w:themeColor="text1"/>
          <w:sz w:val="24"/>
        </w:rPr>
        <w:t>3.648%</w:t>
      </w:r>
      <w:r w:rsidRPr="002C6A25">
        <w:rPr>
          <w:color w:val="000000" w:themeColor="text1"/>
          <w:sz w:val="24"/>
        </w:rPr>
        <w:t>。</w:t>
      </w:r>
    </w:p>
    <w:p w:rsidR="00C736BB" w:rsidRPr="00A67563" w:rsidRDefault="00C736BB" w:rsidP="00A70E23">
      <w:pPr>
        <w:spacing w:line="360" w:lineRule="auto"/>
        <w:ind w:firstLineChars="200" w:firstLine="480"/>
        <w:rPr>
          <w:color w:val="000000" w:themeColor="text1"/>
          <w:sz w:val="24"/>
        </w:rPr>
      </w:pPr>
    </w:p>
    <w:p w:rsidR="0076518F" w:rsidRPr="00A67563" w:rsidRDefault="0076518F" w:rsidP="00014E7F">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t xml:space="preserve">§5  </w:t>
      </w:r>
      <w:r w:rsidRPr="00A67563">
        <w:rPr>
          <w:color w:val="000000" w:themeColor="text1"/>
          <w:kern w:val="0"/>
          <w:sz w:val="24"/>
          <w:szCs w:val="24"/>
        </w:rPr>
        <w:t>投资组合报告</w:t>
      </w:r>
    </w:p>
    <w:p w:rsidR="0076518F" w:rsidRPr="00A67563" w:rsidRDefault="0076518F"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 xml:space="preserve">5.1 </w:t>
      </w:r>
      <w:r w:rsidRPr="00A67563">
        <w:rPr>
          <w:b/>
          <w:color w:val="000000" w:themeColor="text1"/>
          <w:kern w:val="0"/>
          <w:sz w:val="24"/>
        </w:rPr>
        <w:t>报告期末基金资产组合情况</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3"/>
        <w:gridCol w:w="2835"/>
        <w:gridCol w:w="1559"/>
      </w:tblGrid>
      <w:tr w:rsidR="008277FF" w:rsidRPr="00A67563" w:rsidTr="00592EFF">
        <w:tc>
          <w:tcPr>
            <w:tcW w:w="851" w:type="dxa"/>
            <w:shd w:val="clear" w:color="auto" w:fill="auto"/>
            <w:vAlign w:val="center"/>
          </w:tcPr>
          <w:p w:rsidR="00363E15" w:rsidRPr="00A67563" w:rsidRDefault="00363E15" w:rsidP="00B918B8">
            <w:pPr>
              <w:spacing w:before="29" w:line="360" w:lineRule="auto"/>
              <w:ind w:left="17"/>
              <w:jc w:val="center"/>
              <w:rPr>
                <w:color w:val="000000" w:themeColor="text1"/>
                <w:sz w:val="24"/>
              </w:rPr>
            </w:pPr>
            <w:r w:rsidRPr="00A67563">
              <w:rPr>
                <w:color w:val="000000" w:themeColor="text1"/>
                <w:sz w:val="24"/>
              </w:rPr>
              <w:t>序号</w:t>
            </w:r>
          </w:p>
        </w:tc>
        <w:tc>
          <w:tcPr>
            <w:tcW w:w="4253" w:type="dxa"/>
            <w:shd w:val="clear" w:color="auto" w:fill="auto"/>
            <w:vAlign w:val="center"/>
          </w:tcPr>
          <w:p w:rsidR="00363E15" w:rsidRPr="00A67563" w:rsidRDefault="00363E15" w:rsidP="00B918B8">
            <w:pPr>
              <w:spacing w:before="29" w:line="360" w:lineRule="auto"/>
              <w:ind w:left="17"/>
              <w:jc w:val="center"/>
              <w:rPr>
                <w:color w:val="000000" w:themeColor="text1"/>
                <w:sz w:val="24"/>
              </w:rPr>
            </w:pPr>
            <w:r w:rsidRPr="00A67563">
              <w:rPr>
                <w:color w:val="000000" w:themeColor="text1"/>
                <w:sz w:val="24"/>
              </w:rPr>
              <w:t>项目</w:t>
            </w:r>
          </w:p>
        </w:tc>
        <w:tc>
          <w:tcPr>
            <w:tcW w:w="2835" w:type="dxa"/>
            <w:shd w:val="clear" w:color="auto" w:fill="auto"/>
            <w:vAlign w:val="center"/>
          </w:tcPr>
          <w:p w:rsidR="00363E15" w:rsidRPr="00A67563" w:rsidRDefault="00363E15" w:rsidP="00B918B8">
            <w:pPr>
              <w:spacing w:before="29" w:line="360" w:lineRule="auto"/>
              <w:ind w:left="17"/>
              <w:jc w:val="center"/>
              <w:rPr>
                <w:color w:val="000000" w:themeColor="text1"/>
                <w:sz w:val="24"/>
              </w:rPr>
            </w:pPr>
            <w:r w:rsidRPr="00A67563">
              <w:rPr>
                <w:color w:val="000000" w:themeColor="text1"/>
                <w:sz w:val="24"/>
              </w:rPr>
              <w:t>金额</w:t>
            </w:r>
            <w:r w:rsidRPr="00A67563">
              <w:rPr>
                <w:color w:val="000000" w:themeColor="text1"/>
                <w:sz w:val="24"/>
              </w:rPr>
              <w:t>(</w:t>
            </w:r>
            <w:r w:rsidR="002655D4" w:rsidRPr="00A67563">
              <w:rPr>
                <w:color w:val="000000" w:themeColor="text1"/>
                <w:sz w:val="24"/>
              </w:rPr>
              <w:t>人民币</w:t>
            </w:r>
            <w:r w:rsidRPr="00A67563">
              <w:rPr>
                <w:color w:val="000000" w:themeColor="text1"/>
                <w:sz w:val="24"/>
              </w:rPr>
              <w:t>元</w:t>
            </w:r>
            <w:r w:rsidRPr="00A67563">
              <w:rPr>
                <w:color w:val="000000" w:themeColor="text1"/>
                <w:sz w:val="24"/>
              </w:rPr>
              <w:t>)</w:t>
            </w:r>
          </w:p>
        </w:tc>
        <w:tc>
          <w:tcPr>
            <w:tcW w:w="1559" w:type="dxa"/>
            <w:shd w:val="clear" w:color="auto" w:fill="auto"/>
            <w:vAlign w:val="center"/>
          </w:tcPr>
          <w:p w:rsidR="00363E15" w:rsidRPr="00A67563" w:rsidRDefault="00363E15" w:rsidP="00B918B8">
            <w:pPr>
              <w:spacing w:before="29" w:line="360" w:lineRule="auto"/>
              <w:ind w:left="17"/>
              <w:jc w:val="center"/>
              <w:rPr>
                <w:color w:val="000000" w:themeColor="text1"/>
                <w:sz w:val="24"/>
              </w:rPr>
            </w:pPr>
            <w:r w:rsidRPr="00A67563">
              <w:rPr>
                <w:color w:val="000000" w:themeColor="text1"/>
                <w:sz w:val="24"/>
              </w:rPr>
              <w:t>占基金总资产的比例</w:t>
            </w:r>
            <w:r w:rsidRPr="00A67563">
              <w:rPr>
                <w:color w:val="000000" w:themeColor="text1"/>
                <w:sz w:val="24"/>
              </w:rPr>
              <w:t>(%)</w:t>
            </w:r>
          </w:p>
        </w:tc>
      </w:tr>
      <w:tr w:rsidR="008277FF" w:rsidRPr="00A67563" w:rsidTr="00877D98">
        <w:tc>
          <w:tcPr>
            <w:tcW w:w="851" w:type="dxa"/>
            <w:shd w:val="clear" w:color="auto" w:fill="auto"/>
            <w:vAlign w:val="center"/>
          </w:tcPr>
          <w:p w:rsidR="00363E15" w:rsidRPr="00A67563" w:rsidRDefault="00363E15" w:rsidP="00B918B8">
            <w:pPr>
              <w:spacing w:before="29" w:line="360" w:lineRule="auto"/>
              <w:ind w:left="17"/>
              <w:jc w:val="center"/>
              <w:rPr>
                <w:color w:val="000000" w:themeColor="text1"/>
                <w:sz w:val="24"/>
              </w:rPr>
            </w:pPr>
            <w:r w:rsidRPr="00A67563">
              <w:rPr>
                <w:color w:val="000000" w:themeColor="text1"/>
                <w:sz w:val="24"/>
              </w:rPr>
              <w:t>1</w:t>
            </w:r>
          </w:p>
        </w:tc>
        <w:tc>
          <w:tcPr>
            <w:tcW w:w="4253" w:type="dxa"/>
            <w:shd w:val="clear" w:color="auto" w:fill="auto"/>
            <w:vAlign w:val="center"/>
          </w:tcPr>
          <w:p w:rsidR="00363E15" w:rsidRPr="00A67563" w:rsidRDefault="00363E15" w:rsidP="00877D98">
            <w:pPr>
              <w:spacing w:before="29" w:line="360" w:lineRule="auto"/>
              <w:ind w:left="17"/>
              <w:rPr>
                <w:color w:val="000000" w:themeColor="text1"/>
                <w:sz w:val="24"/>
              </w:rPr>
            </w:pPr>
            <w:r w:rsidRPr="00A67563">
              <w:rPr>
                <w:color w:val="000000" w:themeColor="text1"/>
                <w:sz w:val="24"/>
              </w:rPr>
              <w:t>权益投资</w:t>
            </w:r>
          </w:p>
        </w:tc>
        <w:tc>
          <w:tcPr>
            <w:tcW w:w="2835" w:type="dxa"/>
            <w:shd w:val="clear" w:color="auto" w:fill="auto"/>
            <w:vAlign w:val="center"/>
          </w:tcPr>
          <w:p w:rsidR="00363E15" w:rsidRPr="00A67563" w:rsidRDefault="00363E15" w:rsidP="00BF1DD5">
            <w:pPr>
              <w:spacing w:before="29" w:line="360" w:lineRule="auto"/>
              <w:ind w:left="17"/>
              <w:jc w:val="right"/>
              <w:rPr>
                <w:color w:val="000000" w:themeColor="text1"/>
                <w:sz w:val="24"/>
              </w:rPr>
            </w:pPr>
            <w:r w:rsidRPr="00A67563">
              <w:rPr>
                <w:color w:val="000000" w:themeColor="text1"/>
                <w:sz w:val="24"/>
              </w:rPr>
              <w:t>47,485,288.23</w:t>
            </w:r>
          </w:p>
        </w:tc>
        <w:tc>
          <w:tcPr>
            <w:tcW w:w="1559" w:type="dxa"/>
            <w:shd w:val="clear" w:color="auto" w:fill="auto"/>
            <w:vAlign w:val="center"/>
          </w:tcPr>
          <w:p w:rsidR="00363E15" w:rsidRPr="00A67563" w:rsidRDefault="00363E15" w:rsidP="00BF1DD5">
            <w:pPr>
              <w:spacing w:before="29" w:line="360" w:lineRule="auto"/>
              <w:ind w:left="17"/>
              <w:jc w:val="right"/>
              <w:rPr>
                <w:color w:val="000000" w:themeColor="text1"/>
                <w:sz w:val="24"/>
              </w:rPr>
            </w:pPr>
            <w:r w:rsidRPr="00A67563">
              <w:rPr>
                <w:color w:val="000000" w:themeColor="text1"/>
                <w:sz w:val="24"/>
              </w:rPr>
              <w:t>91.73</w:t>
            </w:r>
          </w:p>
        </w:tc>
      </w:tr>
      <w:tr w:rsidR="008277FF" w:rsidRPr="00A67563" w:rsidTr="00877D98">
        <w:tc>
          <w:tcPr>
            <w:tcW w:w="851" w:type="dxa"/>
            <w:shd w:val="clear" w:color="auto" w:fill="auto"/>
            <w:vAlign w:val="center"/>
          </w:tcPr>
          <w:p w:rsidR="00363E15" w:rsidRPr="00A67563" w:rsidRDefault="00363E15" w:rsidP="00B918B8">
            <w:pPr>
              <w:spacing w:before="29" w:line="360" w:lineRule="auto"/>
              <w:ind w:left="17"/>
              <w:jc w:val="center"/>
              <w:rPr>
                <w:color w:val="000000" w:themeColor="text1"/>
                <w:sz w:val="24"/>
              </w:rPr>
            </w:pPr>
          </w:p>
        </w:tc>
        <w:tc>
          <w:tcPr>
            <w:tcW w:w="4253" w:type="dxa"/>
            <w:shd w:val="clear" w:color="auto" w:fill="auto"/>
            <w:vAlign w:val="center"/>
          </w:tcPr>
          <w:p w:rsidR="00363E15" w:rsidRPr="00A67563" w:rsidRDefault="00363E15" w:rsidP="00877D98">
            <w:pPr>
              <w:spacing w:before="29" w:line="360" w:lineRule="auto"/>
              <w:ind w:left="17"/>
              <w:rPr>
                <w:color w:val="000000" w:themeColor="text1"/>
                <w:sz w:val="24"/>
              </w:rPr>
            </w:pPr>
            <w:r w:rsidRPr="00A67563">
              <w:rPr>
                <w:color w:val="000000" w:themeColor="text1"/>
                <w:sz w:val="24"/>
              </w:rPr>
              <w:t>其中：</w:t>
            </w:r>
            <w:r w:rsidR="00E462F4" w:rsidRPr="00A67563">
              <w:rPr>
                <w:color w:val="000000" w:themeColor="text1"/>
                <w:sz w:val="24"/>
              </w:rPr>
              <w:t>普通股</w:t>
            </w:r>
          </w:p>
        </w:tc>
        <w:tc>
          <w:tcPr>
            <w:tcW w:w="2835" w:type="dxa"/>
            <w:shd w:val="clear" w:color="auto" w:fill="auto"/>
            <w:vAlign w:val="center"/>
          </w:tcPr>
          <w:p w:rsidR="00363E15" w:rsidRPr="00A67563" w:rsidRDefault="00363E15" w:rsidP="00BF1DD5">
            <w:pPr>
              <w:spacing w:before="29" w:line="360" w:lineRule="auto"/>
              <w:ind w:left="17"/>
              <w:jc w:val="right"/>
              <w:rPr>
                <w:color w:val="000000" w:themeColor="text1"/>
                <w:sz w:val="24"/>
              </w:rPr>
            </w:pPr>
            <w:r w:rsidRPr="00A67563">
              <w:rPr>
                <w:color w:val="000000" w:themeColor="text1"/>
                <w:sz w:val="24"/>
              </w:rPr>
              <w:t>46,429,151.59</w:t>
            </w:r>
          </w:p>
        </w:tc>
        <w:tc>
          <w:tcPr>
            <w:tcW w:w="1559" w:type="dxa"/>
            <w:shd w:val="clear" w:color="auto" w:fill="auto"/>
            <w:vAlign w:val="center"/>
          </w:tcPr>
          <w:p w:rsidR="00363E15" w:rsidRPr="00A67563" w:rsidRDefault="00363E15" w:rsidP="00BF1DD5">
            <w:pPr>
              <w:spacing w:before="29" w:line="360" w:lineRule="auto"/>
              <w:ind w:left="17"/>
              <w:jc w:val="right"/>
              <w:rPr>
                <w:color w:val="000000" w:themeColor="text1"/>
                <w:sz w:val="24"/>
              </w:rPr>
            </w:pPr>
            <w:r w:rsidRPr="00A67563">
              <w:rPr>
                <w:color w:val="000000" w:themeColor="text1"/>
                <w:sz w:val="24"/>
              </w:rPr>
              <w:t>89.69</w:t>
            </w:r>
          </w:p>
        </w:tc>
      </w:tr>
      <w:tr w:rsidR="008277FF" w:rsidRPr="00A67563" w:rsidTr="00877D98">
        <w:tc>
          <w:tcPr>
            <w:tcW w:w="851" w:type="dxa"/>
            <w:shd w:val="clear" w:color="auto" w:fill="auto"/>
            <w:vAlign w:val="center"/>
          </w:tcPr>
          <w:p w:rsidR="00E462F4" w:rsidRPr="00A67563" w:rsidRDefault="00E462F4" w:rsidP="00877D98">
            <w:pPr>
              <w:spacing w:before="29" w:line="360" w:lineRule="auto"/>
              <w:ind w:left="17"/>
              <w:jc w:val="center"/>
              <w:rPr>
                <w:color w:val="000000" w:themeColor="text1"/>
                <w:sz w:val="24"/>
              </w:rPr>
            </w:pPr>
          </w:p>
        </w:tc>
        <w:tc>
          <w:tcPr>
            <w:tcW w:w="4253" w:type="dxa"/>
            <w:shd w:val="clear" w:color="auto" w:fill="auto"/>
            <w:vAlign w:val="center"/>
          </w:tcPr>
          <w:p w:rsidR="00E462F4" w:rsidRPr="00A67563" w:rsidRDefault="00E462F4" w:rsidP="00877D98">
            <w:pPr>
              <w:spacing w:before="29" w:line="360" w:lineRule="auto"/>
              <w:ind w:left="17" w:firstLineChars="300" w:firstLine="720"/>
              <w:rPr>
                <w:color w:val="000000" w:themeColor="text1"/>
                <w:sz w:val="24"/>
              </w:rPr>
            </w:pPr>
            <w:r w:rsidRPr="00A67563">
              <w:rPr>
                <w:color w:val="000000" w:themeColor="text1"/>
                <w:sz w:val="24"/>
              </w:rPr>
              <w:t>存托凭证</w:t>
            </w:r>
          </w:p>
        </w:tc>
        <w:tc>
          <w:tcPr>
            <w:tcW w:w="2835"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354,840.32</w:t>
            </w:r>
          </w:p>
        </w:tc>
        <w:tc>
          <w:tcPr>
            <w:tcW w:w="1559"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0.69</w:t>
            </w:r>
          </w:p>
        </w:tc>
      </w:tr>
      <w:tr w:rsidR="008277FF" w:rsidRPr="00A67563" w:rsidTr="00877D98">
        <w:tc>
          <w:tcPr>
            <w:tcW w:w="851" w:type="dxa"/>
            <w:shd w:val="clear" w:color="auto" w:fill="auto"/>
            <w:vAlign w:val="center"/>
          </w:tcPr>
          <w:p w:rsidR="00CE4499" w:rsidRPr="00A67563" w:rsidRDefault="00CE4499" w:rsidP="00877D98">
            <w:pPr>
              <w:spacing w:before="29" w:line="360" w:lineRule="auto"/>
              <w:ind w:left="17"/>
              <w:jc w:val="center"/>
              <w:rPr>
                <w:color w:val="000000" w:themeColor="text1"/>
                <w:sz w:val="24"/>
              </w:rPr>
            </w:pPr>
          </w:p>
        </w:tc>
        <w:tc>
          <w:tcPr>
            <w:tcW w:w="4253" w:type="dxa"/>
            <w:shd w:val="clear" w:color="auto" w:fill="auto"/>
            <w:vAlign w:val="center"/>
          </w:tcPr>
          <w:p w:rsidR="00CE4499" w:rsidRPr="00A67563" w:rsidRDefault="00CE4499" w:rsidP="00877D98">
            <w:pPr>
              <w:spacing w:before="29" w:line="360" w:lineRule="auto"/>
              <w:ind w:left="17" w:firstLineChars="300" w:firstLine="720"/>
              <w:rPr>
                <w:color w:val="000000" w:themeColor="text1"/>
                <w:sz w:val="24"/>
              </w:rPr>
            </w:pPr>
            <w:r w:rsidRPr="00A67563">
              <w:rPr>
                <w:color w:val="000000" w:themeColor="text1"/>
                <w:sz w:val="24"/>
              </w:rPr>
              <w:t>优先股</w:t>
            </w:r>
          </w:p>
        </w:tc>
        <w:tc>
          <w:tcPr>
            <w:tcW w:w="2835" w:type="dxa"/>
            <w:shd w:val="clear" w:color="auto" w:fill="auto"/>
            <w:vAlign w:val="center"/>
          </w:tcPr>
          <w:p w:rsidR="00CE4499" w:rsidRPr="00A67563" w:rsidRDefault="00CE4499" w:rsidP="00BF1DD5">
            <w:pPr>
              <w:spacing w:before="29" w:line="360" w:lineRule="auto"/>
              <w:ind w:left="17"/>
              <w:jc w:val="right"/>
              <w:rPr>
                <w:color w:val="000000" w:themeColor="text1"/>
                <w:sz w:val="24"/>
              </w:rPr>
            </w:pPr>
            <w:r w:rsidRPr="00A67563">
              <w:rPr>
                <w:color w:val="000000" w:themeColor="text1"/>
                <w:sz w:val="24"/>
              </w:rPr>
              <w:t>701,296.32</w:t>
            </w:r>
          </w:p>
        </w:tc>
        <w:tc>
          <w:tcPr>
            <w:tcW w:w="1559" w:type="dxa"/>
            <w:shd w:val="clear" w:color="auto" w:fill="auto"/>
            <w:vAlign w:val="center"/>
          </w:tcPr>
          <w:p w:rsidR="00CE4499" w:rsidRPr="00A67563" w:rsidRDefault="00CE4499" w:rsidP="00BF1DD5">
            <w:pPr>
              <w:spacing w:before="29" w:line="360" w:lineRule="auto"/>
              <w:ind w:left="17"/>
              <w:jc w:val="right"/>
              <w:rPr>
                <w:color w:val="000000" w:themeColor="text1"/>
                <w:sz w:val="24"/>
              </w:rPr>
            </w:pPr>
            <w:r w:rsidRPr="00A67563">
              <w:rPr>
                <w:color w:val="000000" w:themeColor="text1"/>
                <w:sz w:val="24"/>
              </w:rPr>
              <w:t>1.35</w:t>
            </w:r>
          </w:p>
        </w:tc>
      </w:tr>
      <w:tr w:rsidR="008277FF" w:rsidRPr="00A67563" w:rsidTr="00877D98">
        <w:tc>
          <w:tcPr>
            <w:tcW w:w="851" w:type="dxa"/>
            <w:shd w:val="clear" w:color="auto" w:fill="auto"/>
            <w:vAlign w:val="center"/>
          </w:tcPr>
          <w:p w:rsidR="00CE4499" w:rsidRPr="00A67563" w:rsidRDefault="00CE4499" w:rsidP="00877D98">
            <w:pPr>
              <w:spacing w:before="29" w:line="360" w:lineRule="auto"/>
              <w:ind w:left="17"/>
              <w:jc w:val="center"/>
              <w:rPr>
                <w:color w:val="000000" w:themeColor="text1"/>
                <w:sz w:val="24"/>
              </w:rPr>
            </w:pPr>
          </w:p>
        </w:tc>
        <w:tc>
          <w:tcPr>
            <w:tcW w:w="4253" w:type="dxa"/>
            <w:shd w:val="clear" w:color="auto" w:fill="auto"/>
            <w:vAlign w:val="center"/>
          </w:tcPr>
          <w:p w:rsidR="00CE4499" w:rsidRPr="00A67563" w:rsidRDefault="00CE4499" w:rsidP="00877D98">
            <w:pPr>
              <w:spacing w:before="29" w:line="360" w:lineRule="auto"/>
              <w:ind w:left="17" w:firstLineChars="300" w:firstLine="720"/>
              <w:rPr>
                <w:color w:val="000000" w:themeColor="text1"/>
                <w:sz w:val="24"/>
              </w:rPr>
            </w:pPr>
            <w:r w:rsidRPr="00A67563">
              <w:rPr>
                <w:color w:val="000000" w:themeColor="text1"/>
                <w:sz w:val="24"/>
              </w:rPr>
              <w:t>房地产信托</w:t>
            </w:r>
          </w:p>
        </w:tc>
        <w:tc>
          <w:tcPr>
            <w:tcW w:w="2835" w:type="dxa"/>
            <w:shd w:val="clear" w:color="auto" w:fill="auto"/>
            <w:vAlign w:val="center"/>
          </w:tcPr>
          <w:p w:rsidR="00CE4499" w:rsidRPr="00A67563" w:rsidRDefault="00CE4499"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CE4499" w:rsidRPr="00A67563" w:rsidRDefault="00CE4499"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877D98">
            <w:pPr>
              <w:adjustRightInd w:val="0"/>
              <w:snapToGrid w:val="0"/>
              <w:spacing w:line="400" w:lineRule="exact"/>
              <w:jc w:val="center"/>
              <w:rPr>
                <w:color w:val="000000" w:themeColor="text1"/>
                <w:sz w:val="24"/>
              </w:rPr>
            </w:pPr>
            <w:r w:rsidRPr="00A67563">
              <w:rPr>
                <w:color w:val="000000" w:themeColor="text1"/>
                <w:sz w:val="24"/>
              </w:rPr>
              <w:t>2</w:t>
            </w:r>
          </w:p>
        </w:tc>
        <w:tc>
          <w:tcPr>
            <w:tcW w:w="4253" w:type="dxa"/>
            <w:shd w:val="clear" w:color="auto" w:fill="auto"/>
            <w:vAlign w:val="center"/>
          </w:tcPr>
          <w:p w:rsidR="00E462F4" w:rsidRPr="00A67563" w:rsidRDefault="00E462F4" w:rsidP="00877D98">
            <w:pPr>
              <w:adjustRightInd w:val="0"/>
              <w:snapToGrid w:val="0"/>
              <w:spacing w:line="400" w:lineRule="exact"/>
              <w:rPr>
                <w:color w:val="000000" w:themeColor="text1"/>
                <w:sz w:val="24"/>
              </w:rPr>
            </w:pPr>
            <w:r w:rsidRPr="00A67563">
              <w:rPr>
                <w:color w:val="000000" w:themeColor="text1"/>
                <w:sz w:val="24"/>
              </w:rPr>
              <w:t>基金投资</w:t>
            </w:r>
          </w:p>
        </w:tc>
        <w:tc>
          <w:tcPr>
            <w:tcW w:w="2835" w:type="dxa"/>
            <w:shd w:val="clear" w:color="auto" w:fill="auto"/>
            <w:vAlign w:val="center"/>
          </w:tcPr>
          <w:p w:rsidR="00E462F4" w:rsidRPr="00A67563" w:rsidRDefault="006C4E16"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6C4E16"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B918B8">
            <w:pPr>
              <w:spacing w:before="29" w:line="360" w:lineRule="auto"/>
              <w:ind w:left="17"/>
              <w:jc w:val="center"/>
              <w:rPr>
                <w:color w:val="000000" w:themeColor="text1"/>
                <w:sz w:val="24"/>
              </w:rPr>
            </w:pPr>
            <w:r w:rsidRPr="00A67563">
              <w:rPr>
                <w:color w:val="000000" w:themeColor="text1"/>
                <w:sz w:val="24"/>
              </w:rPr>
              <w:t>3</w:t>
            </w:r>
          </w:p>
        </w:tc>
        <w:tc>
          <w:tcPr>
            <w:tcW w:w="4253" w:type="dxa"/>
            <w:shd w:val="clear" w:color="auto" w:fill="auto"/>
            <w:vAlign w:val="center"/>
          </w:tcPr>
          <w:p w:rsidR="00E462F4" w:rsidRPr="00A67563" w:rsidRDefault="00E462F4" w:rsidP="00877D98">
            <w:pPr>
              <w:spacing w:before="29" w:line="360" w:lineRule="auto"/>
              <w:ind w:left="17"/>
              <w:rPr>
                <w:color w:val="000000" w:themeColor="text1"/>
                <w:sz w:val="24"/>
              </w:rPr>
            </w:pPr>
            <w:r w:rsidRPr="00A67563">
              <w:rPr>
                <w:color w:val="000000" w:themeColor="text1"/>
                <w:sz w:val="24"/>
              </w:rPr>
              <w:t>固定收益投资</w:t>
            </w:r>
          </w:p>
        </w:tc>
        <w:tc>
          <w:tcPr>
            <w:tcW w:w="2835"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B918B8">
            <w:pPr>
              <w:spacing w:before="29" w:line="360" w:lineRule="auto"/>
              <w:ind w:left="17"/>
              <w:jc w:val="center"/>
              <w:rPr>
                <w:color w:val="000000" w:themeColor="text1"/>
                <w:sz w:val="24"/>
              </w:rPr>
            </w:pPr>
          </w:p>
        </w:tc>
        <w:tc>
          <w:tcPr>
            <w:tcW w:w="4253" w:type="dxa"/>
            <w:shd w:val="clear" w:color="auto" w:fill="auto"/>
            <w:vAlign w:val="center"/>
          </w:tcPr>
          <w:p w:rsidR="00E462F4" w:rsidRPr="00A67563" w:rsidRDefault="00E462F4" w:rsidP="00877D98">
            <w:pPr>
              <w:spacing w:before="29" w:line="360" w:lineRule="auto"/>
              <w:ind w:left="17"/>
              <w:rPr>
                <w:color w:val="000000" w:themeColor="text1"/>
                <w:sz w:val="24"/>
              </w:rPr>
            </w:pPr>
            <w:r w:rsidRPr="00A67563">
              <w:rPr>
                <w:color w:val="000000" w:themeColor="text1"/>
                <w:sz w:val="24"/>
              </w:rPr>
              <w:t>其中：债券</w:t>
            </w:r>
          </w:p>
        </w:tc>
        <w:tc>
          <w:tcPr>
            <w:tcW w:w="2835"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B918B8">
            <w:pPr>
              <w:spacing w:before="29" w:line="360" w:lineRule="auto"/>
              <w:ind w:left="17"/>
              <w:jc w:val="center"/>
              <w:rPr>
                <w:color w:val="000000" w:themeColor="text1"/>
                <w:sz w:val="24"/>
              </w:rPr>
            </w:pPr>
          </w:p>
        </w:tc>
        <w:tc>
          <w:tcPr>
            <w:tcW w:w="4253" w:type="dxa"/>
            <w:shd w:val="clear" w:color="auto" w:fill="auto"/>
            <w:vAlign w:val="center"/>
          </w:tcPr>
          <w:p w:rsidR="00E462F4" w:rsidRPr="00A67563" w:rsidRDefault="00E462F4" w:rsidP="00877D98">
            <w:pPr>
              <w:autoSpaceDE w:val="0"/>
              <w:autoSpaceDN w:val="0"/>
              <w:adjustRightInd w:val="0"/>
              <w:spacing w:before="29" w:line="360" w:lineRule="auto"/>
              <w:ind w:left="17" w:firstLineChars="300" w:firstLine="720"/>
              <w:rPr>
                <w:color w:val="000000" w:themeColor="text1"/>
                <w:sz w:val="24"/>
              </w:rPr>
            </w:pPr>
            <w:r w:rsidRPr="00A67563">
              <w:rPr>
                <w:color w:val="000000" w:themeColor="text1"/>
                <w:sz w:val="24"/>
              </w:rPr>
              <w:t>资产支持证券</w:t>
            </w:r>
          </w:p>
        </w:tc>
        <w:tc>
          <w:tcPr>
            <w:tcW w:w="2835"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B918B8">
            <w:pPr>
              <w:spacing w:before="29" w:line="360" w:lineRule="auto"/>
              <w:ind w:left="17"/>
              <w:jc w:val="center"/>
              <w:rPr>
                <w:color w:val="000000" w:themeColor="text1"/>
                <w:sz w:val="24"/>
              </w:rPr>
            </w:pPr>
            <w:r w:rsidRPr="00A67563">
              <w:rPr>
                <w:color w:val="000000" w:themeColor="text1"/>
                <w:sz w:val="24"/>
              </w:rPr>
              <w:t>4</w:t>
            </w:r>
          </w:p>
        </w:tc>
        <w:tc>
          <w:tcPr>
            <w:tcW w:w="4253" w:type="dxa"/>
            <w:shd w:val="clear" w:color="auto" w:fill="auto"/>
            <w:vAlign w:val="center"/>
          </w:tcPr>
          <w:p w:rsidR="00E462F4" w:rsidRPr="00A67563" w:rsidRDefault="00E462F4" w:rsidP="00877D98">
            <w:pPr>
              <w:spacing w:before="29" w:line="360" w:lineRule="auto"/>
              <w:ind w:left="17"/>
              <w:rPr>
                <w:color w:val="000000" w:themeColor="text1"/>
                <w:sz w:val="24"/>
              </w:rPr>
            </w:pPr>
            <w:r w:rsidRPr="00A67563">
              <w:rPr>
                <w:color w:val="000000" w:themeColor="text1"/>
                <w:sz w:val="24"/>
              </w:rPr>
              <w:t>金融衍生品投资</w:t>
            </w:r>
          </w:p>
        </w:tc>
        <w:tc>
          <w:tcPr>
            <w:tcW w:w="2835"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B918B8">
            <w:pPr>
              <w:spacing w:before="29" w:line="360" w:lineRule="auto"/>
              <w:ind w:left="17"/>
              <w:jc w:val="center"/>
              <w:rPr>
                <w:color w:val="000000" w:themeColor="text1"/>
                <w:sz w:val="24"/>
              </w:rPr>
            </w:pPr>
          </w:p>
        </w:tc>
        <w:tc>
          <w:tcPr>
            <w:tcW w:w="4253" w:type="dxa"/>
            <w:shd w:val="clear" w:color="auto" w:fill="auto"/>
            <w:vAlign w:val="center"/>
          </w:tcPr>
          <w:p w:rsidR="00E462F4" w:rsidRPr="00A67563" w:rsidRDefault="00E462F4" w:rsidP="00877D98">
            <w:pPr>
              <w:adjustRightInd w:val="0"/>
              <w:snapToGrid w:val="0"/>
              <w:spacing w:line="400" w:lineRule="exact"/>
              <w:rPr>
                <w:color w:val="000000" w:themeColor="text1"/>
                <w:sz w:val="24"/>
              </w:rPr>
            </w:pPr>
            <w:r w:rsidRPr="00A67563">
              <w:rPr>
                <w:color w:val="000000" w:themeColor="text1"/>
                <w:sz w:val="24"/>
              </w:rPr>
              <w:t>其中：远期</w:t>
            </w:r>
          </w:p>
        </w:tc>
        <w:tc>
          <w:tcPr>
            <w:tcW w:w="2835" w:type="dxa"/>
            <w:shd w:val="clear" w:color="auto" w:fill="auto"/>
            <w:vAlign w:val="center"/>
          </w:tcPr>
          <w:p w:rsidR="00E462F4" w:rsidRPr="00A67563" w:rsidRDefault="00664F49"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664F49"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B918B8">
            <w:pPr>
              <w:spacing w:before="29" w:line="360" w:lineRule="auto"/>
              <w:ind w:left="17"/>
              <w:jc w:val="center"/>
              <w:rPr>
                <w:color w:val="000000" w:themeColor="text1"/>
                <w:sz w:val="24"/>
              </w:rPr>
            </w:pPr>
          </w:p>
        </w:tc>
        <w:tc>
          <w:tcPr>
            <w:tcW w:w="4253" w:type="dxa"/>
            <w:shd w:val="clear" w:color="auto" w:fill="auto"/>
            <w:vAlign w:val="center"/>
          </w:tcPr>
          <w:p w:rsidR="00E462F4" w:rsidRPr="00A67563" w:rsidDel="00455464" w:rsidRDefault="00E462F4" w:rsidP="00877D98">
            <w:pPr>
              <w:adjustRightInd w:val="0"/>
              <w:snapToGrid w:val="0"/>
              <w:spacing w:line="400" w:lineRule="exact"/>
              <w:ind w:firstLineChars="300" w:firstLine="720"/>
              <w:rPr>
                <w:color w:val="000000" w:themeColor="text1"/>
                <w:sz w:val="24"/>
              </w:rPr>
            </w:pPr>
            <w:r w:rsidRPr="00A67563">
              <w:rPr>
                <w:color w:val="000000" w:themeColor="text1"/>
                <w:sz w:val="24"/>
              </w:rPr>
              <w:t>期货</w:t>
            </w:r>
          </w:p>
        </w:tc>
        <w:tc>
          <w:tcPr>
            <w:tcW w:w="2835" w:type="dxa"/>
            <w:shd w:val="clear" w:color="auto" w:fill="auto"/>
            <w:vAlign w:val="center"/>
          </w:tcPr>
          <w:p w:rsidR="00E462F4" w:rsidRPr="00A67563" w:rsidRDefault="00664F49"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664F49"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B918B8">
            <w:pPr>
              <w:spacing w:before="29" w:line="360" w:lineRule="auto"/>
              <w:ind w:left="17"/>
              <w:jc w:val="center"/>
              <w:rPr>
                <w:color w:val="000000" w:themeColor="text1"/>
                <w:sz w:val="24"/>
              </w:rPr>
            </w:pPr>
          </w:p>
        </w:tc>
        <w:tc>
          <w:tcPr>
            <w:tcW w:w="4253" w:type="dxa"/>
            <w:shd w:val="clear" w:color="auto" w:fill="auto"/>
            <w:vAlign w:val="center"/>
          </w:tcPr>
          <w:p w:rsidR="00E462F4" w:rsidRPr="00A67563" w:rsidRDefault="00E462F4" w:rsidP="00877D98">
            <w:pPr>
              <w:adjustRightInd w:val="0"/>
              <w:snapToGrid w:val="0"/>
              <w:spacing w:line="400" w:lineRule="exact"/>
              <w:ind w:firstLineChars="300" w:firstLine="720"/>
              <w:rPr>
                <w:color w:val="000000" w:themeColor="text1"/>
                <w:sz w:val="24"/>
              </w:rPr>
            </w:pPr>
            <w:r w:rsidRPr="00A67563">
              <w:rPr>
                <w:color w:val="000000" w:themeColor="text1"/>
                <w:sz w:val="24"/>
              </w:rPr>
              <w:t>期权</w:t>
            </w:r>
          </w:p>
        </w:tc>
        <w:tc>
          <w:tcPr>
            <w:tcW w:w="2835" w:type="dxa"/>
            <w:shd w:val="clear" w:color="auto" w:fill="auto"/>
            <w:vAlign w:val="center"/>
          </w:tcPr>
          <w:p w:rsidR="00E462F4" w:rsidRPr="00A67563" w:rsidRDefault="00664F49"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664F49"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877D98">
            <w:pPr>
              <w:spacing w:before="29" w:line="360" w:lineRule="auto"/>
              <w:ind w:left="17"/>
              <w:jc w:val="center"/>
              <w:rPr>
                <w:color w:val="000000" w:themeColor="text1"/>
                <w:sz w:val="24"/>
              </w:rPr>
            </w:pPr>
          </w:p>
        </w:tc>
        <w:tc>
          <w:tcPr>
            <w:tcW w:w="4253" w:type="dxa"/>
            <w:shd w:val="clear" w:color="auto" w:fill="auto"/>
            <w:vAlign w:val="center"/>
          </w:tcPr>
          <w:p w:rsidR="00E462F4" w:rsidRPr="00A67563" w:rsidRDefault="00E462F4" w:rsidP="00877D98">
            <w:pPr>
              <w:adjustRightInd w:val="0"/>
              <w:snapToGrid w:val="0"/>
              <w:spacing w:line="400" w:lineRule="exact"/>
              <w:ind w:firstLineChars="298" w:firstLine="715"/>
              <w:rPr>
                <w:color w:val="000000" w:themeColor="text1"/>
                <w:sz w:val="24"/>
              </w:rPr>
            </w:pPr>
            <w:r w:rsidRPr="00A67563">
              <w:rPr>
                <w:color w:val="000000" w:themeColor="text1"/>
                <w:sz w:val="24"/>
              </w:rPr>
              <w:t>权证</w:t>
            </w:r>
          </w:p>
        </w:tc>
        <w:tc>
          <w:tcPr>
            <w:tcW w:w="2835" w:type="dxa"/>
            <w:shd w:val="clear" w:color="auto" w:fill="auto"/>
            <w:vAlign w:val="center"/>
          </w:tcPr>
          <w:p w:rsidR="00E462F4" w:rsidRPr="00A67563" w:rsidRDefault="00664F49" w:rsidP="00877D98">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664F49" w:rsidP="00877D98">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877D98">
            <w:pPr>
              <w:spacing w:before="29" w:line="360" w:lineRule="auto"/>
              <w:ind w:left="17"/>
              <w:jc w:val="center"/>
              <w:rPr>
                <w:color w:val="000000" w:themeColor="text1"/>
                <w:sz w:val="24"/>
              </w:rPr>
            </w:pPr>
            <w:r w:rsidRPr="00A67563">
              <w:rPr>
                <w:color w:val="000000" w:themeColor="text1"/>
                <w:sz w:val="24"/>
              </w:rPr>
              <w:t>5</w:t>
            </w:r>
          </w:p>
        </w:tc>
        <w:tc>
          <w:tcPr>
            <w:tcW w:w="4253" w:type="dxa"/>
            <w:shd w:val="clear" w:color="auto" w:fill="auto"/>
            <w:vAlign w:val="center"/>
          </w:tcPr>
          <w:p w:rsidR="00E462F4" w:rsidRPr="00A67563" w:rsidRDefault="00E462F4" w:rsidP="00877D98">
            <w:pPr>
              <w:spacing w:before="29" w:line="360" w:lineRule="auto"/>
              <w:ind w:left="17"/>
              <w:rPr>
                <w:color w:val="000000" w:themeColor="text1"/>
                <w:sz w:val="24"/>
              </w:rPr>
            </w:pPr>
            <w:r w:rsidRPr="00A67563">
              <w:rPr>
                <w:color w:val="000000" w:themeColor="text1"/>
                <w:sz w:val="24"/>
              </w:rPr>
              <w:t>买入返售金融资产</w:t>
            </w:r>
          </w:p>
        </w:tc>
        <w:tc>
          <w:tcPr>
            <w:tcW w:w="2835" w:type="dxa"/>
            <w:shd w:val="clear" w:color="auto" w:fill="auto"/>
            <w:vAlign w:val="center"/>
          </w:tcPr>
          <w:p w:rsidR="00E462F4" w:rsidRPr="00A67563" w:rsidRDefault="00E462F4" w:rsidP="00877D98">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E462F4" w:rsidP="00877D98">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877D98">
            <w:pPr>
              <w:spacing w:before="29" w:line="360" w:lineRule="auto"/>
              <w:ind w:left="17"/>
              <w:jc w:val="center"/>
              <w:rPr>
                <w:color w:val="000000" w:themeColor="text1"/>
                <w:sz w:val="24"/>
              </w:rPr>
            </w:pPr>
          </w:p>
        </w:tc>
        <w:tc>
          <w:tcPr>
            <w:tcW w:w="4253" w:type="dxa"/>
            <w:shd w:val="clear" w:color="auto" w:fill="auto"/>
            <w:vAlign w:val="center"/>
          </w:tcPr>
          <w:p w:rsidR="00E462F4" w:rsidRPr="00A67563" w:rsidRDefault="00E462F4" w:rsidP="00877D98">
            <w:pPr>
              <w:spacing w:before="29" w:line="360" w:lineRule="auto"/>
              <w:ind w:left="17"/>
              <w:rPr>
                <w:color w:val="000000" w:themeColor="text1"/>
                <w:sz w:val="24"/>
              </w:rPr>
            </w:pPr>
            <w:r w:rsidRPr="00A67563">
              <w:rPr>
                <w:color w:val="000000" w:themeColor="text1"/>
                <w:sz w:val="24"/>
              </w:rPr>
              <w:t>其中：买断式回购的买入返售金融资产</w:t>
            </w:r>
          </w:p>
        </w:tc>
        <w:tc>
          <w:tcPr>
            <w:tcW w:w="2835"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877D98">
            <w:pPr>
              <w:adjustRightInd w:val="0"/>
              <w:snapToGrid w:val="0"/>
              <w:spacing w:line="400" w:lineRule="exact"/>
              <w:jc w:val="center"/>
              <w:rPr>
                <w:color w:val="000000" w:themeColor="text1"/>
                <w:sz w:val="24"/>
              </w:rPr>
            </w:pPr>
            <w:r w:rsidRPr="00A67563">
              <w:rPr>
                <w:color w:val="000000" w:themeColor="text1"/>
                <w:sz w:val="24"/>
              </w:rPr>
              <w:t>6</w:t>
            </w:r>
          </w:p>
        </w:tc>
        <w:tc>
          <w:tcPr>
            <w:tcW w:w="4253" w:type="dxa"/>
            <w:shd w:val="clear" w:color="auto" w:fill="auto"/>
            <w:vAlign w:val="center"/>
          </w:tcPr>
          <w:p w:rsidR="00E462F4" w:rsidRPr="00A67563" w:rsidRDefault="00E462F4" w:rsidP="00877D98">
            <w:pPr>
              <w:adjustRightInd w:val="0"/>
              <w:snapToGrid w:val="0"/>
              <w:spacing w:line="400" w:lineRule="exact"/>
              <w:rPr>
                <w:color w:val="000000" w:themeColor="text1"/>
                <w:sz w:val="24"/>
              </w:rPr>
            </w:pPr>
            <w:r w:rsidRPr="00A67563">
              <w:rPr>
                <w:color w:val="000000" w:themeColor="text1"/>
                <w:sz w:val="24"/>
              </w:rPr>
              <w:t>货币市场工具</w:t>
            </w:r>
          </w:p>
        </w:tc>
        <w:tc>
          <w:tcPr>
            <w:tcW w:w="2835" w:type="dxa"/>
            <w:shd w:val="clear" w:color="auto" w:fill="auto"/>
            <w:vAlign w:val="center"/>
          </w:tcPr>
          <w:p w:rsidR="00E462F4" w:rsidRPr="00A67563" w:rsidRDefault="00CE7FC6"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CE7FC6"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877D98">
            <w:pPr>
              <w:spacing w:before="29" w:line="360" w:lineRule="auto"/>
              <w:ind w:left="17"/>
              <w:jc w:val="center"/>
              <w:rPr>
                <w:color w:val="000000" w:themeColor="text1"/>
                <w:sz w:val="24"/>
              </w:rPr>
            </w:pPr>
            <w:r w:rsidRPr="00A67563">
              <w:rPr>
                <w:color w:val="000000" w:themeColor="text1"/>
                <w:sz w:val="24"/>
              </w:rPr>
              <w:t>7</w:t>
            </w:r>
          </w:p>
        </w:tc>
        <w:tc>
          <w:tcPr>
            <w:tcW w:w="4253" w:type="dxa"/>
            <w:shd w:val="clear" w:color="auto" w:fill="auto"/>
            <w:vAlign w:val="center"/>
          </w:tcPr>
          <w:p w:rsidR="00E462F4" w:rsidRPr="00A67563" w:rsidRDefault="00E462F4" w:rsidP="00877D98">
            <w:pPr>
              <w:spacing w:before="29" w:line="360" w:lineRule="auto"/>
              <w:ind w:left="17"/>
              <w:rPr>
                <w:color w:val="000000" w:themeColor="text1"/>
                <w:sz w:val="24"/>
              </w:rPr>
            </w:pPr>
            <w:r w:rsidRPr="00A67563">
              <w:rPr>
                <w:color w:val="000000" w:themeColor="text1"/>
                <w:sz w:val="24"/>
              </w:rPr>
              <w:t>银行存款和结算备付金合计</w:t>
            </w:r>
          </w:p>
        </w:tc>
        <w:tc>
          <w:tcPr>
            <w:tcW w:w="2835"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3,461,039.96</w:t>
            </w:r>
          </w:p>
        </w:tc>
        <w:tc>
          <w:tcPr>
            <w:tcW w:w="1559"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6.69</w:t>
            </w:r>
          </w:p>
        </w:tc>
      </w:tr>
      <w:tr w:rsidR="008277FF" w:rsidRPr="00A67563" w:rsidTr="00797DD2">
        <w:tc>
          <w:tcPr>
            <w:tcW w:w="851" w:type="dxa"/>
            <w:shd w:val="clear" w:color="auto" w:fill="auto"/>
            <w:vAlign w:val="center"/>
          </w:tcPr>
          <w:p w:rsidR="00E462F4" w:rsidRPr="00A67563" w:rsidRDefault="00E462F4" w:rsidP="00466B17">
            <w:pPr>
              <w:spacing w:before="29" w:line="360" w:lineRule="auto"/>
              <w:ind w:left="17"/>
              <w:jc w:val="center"/>
              <w:rPr>
                <w:color w:val="000000" w:themeColor="text1"/>
                <w:sz w:val="24"/>
              </w:rPr>
            </w:pPr>
            <w:r w:rsidRPr="00A67563">
              <w:rPr>
                <w:color w:val="000000" w:themeColor="text1"/>
                <w:sz w:val="24"/>
              </w:rPr>
              <w:t>8</w:t>
            </w:r>
          </w:p>
        </w:tc>
        <w:tc>
          <w:tcPr>
            <w:tcW w:w="4253" w:type="dxa"/>
            <w:shd w:val="clear" w:color="auto" w:fill="auto"/>
            <w:vAlign w:val="center"/>
          </w:tcPr>
          <w:p w:rsidR="00E462F4" w:rsidRPr="002A27C2" w:rsidRDefault="001457F4" w:rsidP="002A27C2">
            <w:pPr>
              <w:rPr>
                <w:color w:val="000000" w:themeColor="text1"/>
                <w:sz w:val="24"/>
              </w:rPr>
            </w:pPr>
            <w:r>
              <w:rPr>
                <w:color w:val="000000" w:themeColor="text1"/>
                <w:sz w:val="24"/>
              </w:rPr>
              <w:t>其他</w:t>
            </w:r>
            <w:r w:rsidR="00E462F4" w:rsidRPr="00A67563">
              <w:rPr>
                <w:color w:val="000000" w:themeColor="text1"/>
                <w:sz w:val="24"/>
              </w:rPr>
              <w:t>资产</w:t>
            </w:r>
          </w:p>
        </w:tc>
        <w:tc>
          <w:tcPr>
            <w:tcW w:w="2835" w:type="dxa"/>
            <w:shd w:val="clear" w:color="auto" w:fill="auto"/>
            <w:vAlign w:val="center"/>
          </w:tcPr>
          <w:p w:rsidR="00E462F4" w:rsidRPr="00A67563" w:rsidRDefault="00E462F4" w:rsidP="00BF1DD5">
            <w:pPr>
              <w:jc w:val="right"/>
              <w:rPr>
                <w:color w:val="000000" w:themeColor="text1"/>
                <w:sz w:val="24"/>
              </w:rPr>
            </w:pPr>
            <w:r w:rsidRPr="00A67563">
              <w:rPr>
                <w:color w:val="000000" w:themeColor="text1"/>
                <w:sz w:val="24"/>
              </w:rPr>
              <w:t>817,820.59</w:t>
            </w:r>
          </w:p>
        </w:tc>
        <w:tc>
          <w:tcPr>
            <w:tcW w:w="1559" w:type="dxa"/>
            <w:shd w:val="clear" w:color="auto" w:fill="auto"/>
            <w:vAlign w:val="center"/>
          </w:tcPr>
          <w:p w:rsidR="00E462F4" w:rsidRPr="00A67563" w:rsidRDefault="00E462F4" w:rsidP="00BF1DD5">
            <w:pPr>
              <w:jc w:val="right"/>
              <w:rPr>
                <w:color w:val="000000" w:themeColor="text1"/>
                <w:sz w:val="24"/>
              </w:rPr>
            </w:pPr>
            <w:r w:rsidRPr="00A67563">
              <w:rPr>
                <w:color w:val="000000" w:themeColor="text1"/>
                <w:sz w:val="24"/>
              </w:rPr>
              <w:t>1.58</w:t>
            </w:r>
          </w:p>
        </w:tc>
      </w:tr>
      <w:tr w:rsidR="008277FF" w:rsidRPr="00A67563" w:rsidTr="00797DD2">
        <w:tc>
          <w:tcPr>
            <w:tcW w:w="851" w:type="dxa"/>
            <w:shd w:val="clear" w:color="auto" w:fill="auto"/>
            <w:vAlign w:val="center"/>
          </w:tcPr>
          <w:p w:rsidR="00E462F4" w:rsidRPr="00A67563" w:rsidRDefault="00E462F4" w:rsidP="00466B17">
            <w:pPr>
              <w:spacing w:before="29" w:line="360" w:lineRule="auto"/>
              <w:ind w:left="17"/>
              <w:jc w:val="center"/>
              <w:rPr>
                <w:color w:val="000000" w:themeColor="text1"/>
                <w:sz w:val="24"/>
              </w:rPr>
            </w:pPr>
            <w:r w:rsidRPr="00A67563">
              <w:rPr>
                <w:color w:val="000000" w:themeColor="text1"/>
                <w:sz w:val="24"/>
              </w:rPr>
              <w:t>9</w:t>
            </w:r>
          </w:p>
        </w:tc>
        <w:tc>
          <w:tcPr>
            <w:tcW w:w="4253" w:type="dxa"/>
            <w:shd w:val="clear" w:color="auto" w:fill="auto"/>
            <w:vAlign w:val="center"/>
          </w:tcPr>
          <w:p w:rsidR="00E462F4" w:rsidRPr="00A67563" w:rsidRDefault="00E462F4" w:rsidP="00797DD2">
            <w:pPr>
              <w:rPr>
                <w:color w:val="000000" w:themeColor="text1"/>
                <w:sz w:val="24"/>
              </w:rPr>
            </w:pPr>
            <w:r w:rsidRPr="00A67563">
              <w:rPr>
                <w:color w:val="000000" w:themeColor="text1"/>
                <w:sz w:val="24"/>
              </w:rPr>
              <w:t>合计</w:t>
            </w:r>
          </w:p>
        </w:tc>
        <w:tc>
          <w:tcPr>
            <w:tcW w:w="2835" w:type="dxa"/>
            <w:shd w:val="clear" w:color="auto" w:fill="auto"/>
            <w:vAlign w:val="center"/>
          </w:tcPr>
          <w:p w:rsidR="00E462F4" w:rsidRPr="00A67563" w:rsidRDefault="00E462F4" w:rsidP="00BF1DD5">
            <w:pPr>
              <w:jc w:val="right"/>
              <w:rPr>
                <w:color w:val="000000" w:themeColor="text1"/>
                <w:sz w:val="24"/>
              </w:rPr>
            </w:pPr>
            <w:r w:rsidRPr="00A67563">
              <w:rPr>
                <w:color w:val="000000" w:themeColor="text1"/>
                <w:sz w:val="24"/>
              </w:rPr>
              <w:t>51,764,148.78</w:t>
            </w:r>
          </w:p>
        </w:tc>
        <w:tc>
          <w:tcPr>
            <w:tcW w:w="1559" w:type="dxa"/>
            <w:shd w:val="clear" w:color="auto" w:fill="auto"/>
            <w:vAlign w:val="center"/>
          </w:tcPr>
          <w:p w:rsidR="00E462F4" w:rsidRPr="00A67563" w:rsidRDefault="00E462F4" w:rsidP="00BF1DD5">
            <w:pPr>
              <w:jc w:val="right"/>
              <w:rPr>
                <w:color w:val="000000" w:themeColor="text1"/>
                <w:sz w:val="24"/>
              </w:rPr>
            </w:pPr>
            <w:r w:rsidRPr="00A67563">
              <w:rPr>
                <w:color w:val="000000" w:themeColor="text1"/>
                <w:sz w:val="24"/>
              </w:rPr>
              <w:t>100.00</w:t>
            </w:r>
          </w:p>
        </w:tc>
      </w:tr>
    </w:tbl>
    <w:p w:rsidR="00F512C0" w:rsidRPr="00A67563" w:rsidRDefault="00F512C0" w:rsidP="00363E15">
      <w:pPr>
        <w:autoSpaceDE w:val="0"/>
        <w:autoSpaceDN w:val="0"/>
        <w:adjustRightInd w:val="0"/>
        <w:spacing w:line="360" w:lineRule="auto"/>
        <w:jc w:val="left"/>
        <w:rPr>
          <w:color w:val="000000" w:themeColor="text1"/>
          <w:sz w:val="24"/>
        </w:rPr>
      </w:pPr>
    </w:p>
    <w:p w:rsidR="0076518F" w:rsidRPr="00A67563" w:rsidRDefault="00A82C02"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w:t>
      </w:r>
      <w:r w:rsidR="002A0FA2" w:rsidRPr="00A67563">
        <w:rPr>
          <w:b/>
          <w:color w:val="000000" w:themeColor="text1"/>
          <w:kern w:val="0"/>
          <w:sz w:val="24"/>
        </w:rPr>
        <w:t>2</w:t>
      </w:r>
      <w:r w:rsidRPr="00A67563">
        <w:rPr>
          <w:b/>
          <w:color w:val="000000" w:themeColor="text1"/>
          <w:kern w:val="0"/>
          <w:sz w:val="24"/>
        </w:rPr>
        <w:t xml:space="preserve"> </w:t>
      </w:r>
      <w:r w:rsidR="0076518F" w:rsidRPr="00A67563">
        <w:rPr>
          <w:b/>
          <w:color w:val="000000" w:themeColor="text1"/>
          <w:kern w:val="0"/>
          <w:sz w:val="24"/>
        </w:rPr>
        <w:t>报告期末在各个国家（地区）证券市场的股票及存托凭证投资分布</w:t>
      </w:r>
    </w:p>
    <w:tbl>
      <w:tblPr>
        <w:tblStyle w:val="af7"/>
        <w:tblW w:w="8604" w:type="dxa"/>
        <w:jc w:val="center"/>
        <w:tblLayout w:type="fixed"/>
        <w:tblLook w:val="04A0" w:firstRow="1" w:lastRow="0" w:firstColumn="1" w:lastColumn="0" w:noHBand="0" w:noVBand="1"/>
      </w:tblPr>
      <w:tblGrid>
        <w:gridCol w:w="2410"/>
        <w:gridCol w:w="3118"/>
        <w:gridCol w:w="3076"/>
      </w:tblGrid>
      <w:tr w:rsidR="008277FF" w:rsidRPr="00A67563" w:rsidTr="002C042C">
        <w:trPr>
          <w:jc w:val="center"/>
        </w:trPr>
        <w:tc>
          <w:tcPr>
            <w:tcW w:w="2410" w:type="dxa"/>
            <w:vAlign w:val="center"/>
          </w:tcPr>
          <w:p w:rsidR="002C042C" w:rsidRPr="00A67563" w:rsidRDefault="002C042C"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kern w:val="0"/>
                <w:sz w:val="24"/>
              </w:rPr>
              <w:t>国家（地区）</w:t>
            </w:r>
          </w:p>
        </w:tc>
        <w:tc>
          <w:tcPr>
            <w:tcW w:w="3118" w:type="dxa"/>
            <w:vAlign w:val="center"/>
          </w:tcPr>
          <w:p w:rsidR="002C042C" w:rsidRPr="00A67563" w:rsidRDefault="002C042C"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kern w:val="0"/>
                <w:sz w:val="24"/>
              </w:rPr>
              <w:t>公允价值</w:t>
            </w:r>
            <w:r w:rsidRPr="00A67563">
              <w:rPr>
                <w:color w:val="000000" w:themeColor="text1"/>
                <w:kern w:val="0"/>
                <w:sz w:val="24"/>
              </w:rPr>
              <w:t>(</w:t>
            </w:r>
            <w:r w:rsidRPr="00A67563">
              <w:rPr>
                <w:color w:val="000000" w:themeColor="text1"/>
                <w:kern w:val="0"/>
                <w:sz w:val="24"/>
              </w:rPr>
              <w:t>人民币元</w:t>
            </w:r>
            <w:r w:rsidRPr="00A67563">
              <w:rPr>
                <w:color w:val="000000" w:themeColor="text1"/>
                <w:kern w:val="0"/>
                <w:sz w:val="24"/>
              </w:rPr>
              <w:t>)</w:t>
            </w:r>
          </w:p>
        </w:tc>
        <w:tc>
          <w:tcPr>
            <w:tcW w:w="3076" w:type="dxa"/>
            <w:vAlign w:val="center"/>
          </w:tcPr>
          <w:p w:rsidR="002C042C" w:rsidRPr="00A67563" w:rsidRDefault="002C042C"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kern w:val="0"/>
                <w:sz w:val="24"/>
              </w:rPr>
              <w:t>占基金资产净值比例（％）</w:t>
            </w:r>
          </w:p>
        </w:tc>
      </w:tr>
      <w:tr w:rsidR="002755C3">
        <w:trPr>
          <w:jc w:val="center"/>
        </w:trPr>
        <w:tc>
          <w:tcPr>
            <w:tcW w:w="2410" w:type="dxa"/>
            <w:vAlign w:val="center"/>
          </w:tcPr>
          <w:p w:rsidR="002755C3" w:rsidRDefault="00AE4B60">
            <w:pPr>
              <w:jc w:val="left"/>
            </w:pPr>
            <w:r>
              <w:rPr>
                <w:color w:val="000000" w:themeColor="text1"/>
                <w:sz w:val="24"/>
              </w:rPr>
              <w:t>美国</w:t>
            </w:r>
          </w:p>
        </w:tc>
        <w:tc>
          <w:tcPr>
            <w:tcW w:w="3118" w:type="dxa"/>
            <w:vAlign w:val="center"/>
          </w:tcPr>
          <w:p w:rsidR="002755C3" w:rsidRDefault="00AE4B60">
            <w:pPr>
              <w:jc w:val="right"/>
            </w:pPr>
            <w:r>
              <w:rPr>
                <w:color w:val="000000" w:themeColor="text1"/>
                <w:sz w:val="24"/>
              </w:rPr>
              <w:t>16,362,603.75</w:t>
            </w:r>
          </w:p>
        </w:tc>
        <w:tc>
          <w:tcPr>
            <w:tcW w:w="3076" w:type="dxa"/>
            <w:vAlign w:val="center"/>
          </w:tcPr>
          <w:p w:rsidR="002755C3" w:rsidRDefault="00AE4B60">
            <w:pPr>
              <w:jc w:val="right"/>
            </w:pPr>
            <w:r>
              <w:rPr>
                <w:color w:val="000000" w:themeColor="text1"/>
                <w:sz w:val="24"/>
              </w:rPr>
              <w:t>32.83</w:t>
            </w:r>
          </w:p>
        </w:tc>
      </w:tr>
      <w:tr w:rsidR="002755C3">
        <w:trPr>
          <w:jc w:val="center"/>
        </w:trPr>
        <w:tc>
          <w:tcPr>
            <w:tcW w:w="2410" w:type="dxa"/>
            <w:vAlign w:val="center"/>
          </w:tcPr>
          <w:p w:rsidR="002755C3" w:rsidRDefault="00AE4B60">
            <w:pPr>
              <w:jc w:val="left"/>
            </w:pPr>
            <w:r>
              <w:rPr>
                <w:color w:val="000000" w:themeColor="text1"/>
                <w:sz w:val="24"/>
              </w:rPr>
              <w:t>法国</w:t>
            </w:r>
          </w:p>
        </w:tc>
        <w:tc>
          <w:tcPr>
            <w:tcW w:w="3118" w:type="dxa"/>
            <w:vAlign w:val="center"/>
          </w:tcPr>
          <w:p w:rsidR="002755C3" w:rsidRDefault="00AE4B60">
            <w:pPr>
              <w:jc w:val="right"/>
            </w:pPr>
            <w:r>
              <w:rPr>
                <w:color w:val="000000" w:themeColor="text1"/>
                <w:sz w:val="24"/>
              </w:rPr>
              <w:t>13,924,187.98</w:t>
            </w:r>
          </w:p>
        </w:tc>
        <w:tc>
          <w:tcPr>
            <w:tcW w:w="3076" w:type="dxa"/>
            <w:vAlign w:val="center"/>
          </w:tcPr>
          <w:p w:rsidR="002755C3" w:rsidRDefault="00AE4B60">
            <w:pPr>
              <w:jc w:val="right"/>
            </w:pPr>
            <w:r>
              <w:rPr>
                <w:color w:val="000000" w:themeColor="text1"/>
                <w:sz w:val="24"/>
              </w:rPr>
              <w:t>27.93</w:t>
            </w:r>
          </w:p>
        </w:tc>
      </w:tr>
      <w:tr w:rsidR="002755C3">
        <w:trPr>
          <w:jc w:val="center"/>
        </w:trPr>
        <w:tc>
          <w:tcPr>
            <w:tcW w:w="2410" w:type="dxa"/>
            <w:vAlign w:val="center"/>
          </w:tcPr>
          <w:p w:rsidR="002755C3" w:rsidRDefault="00AE4B60">
            <w:pPr>
              <w:jc w:val="left"/>
            </w:pPr>
            <w:r>
              <w:rPr>
                <w:color w:val="000000" w:themeColor="text1"/>
                <w:sz w:val="24"/>
              </w:rPr>
              <w:t>德国</w:t>
            </w:r>
          </w:p>
        </w:tc>
        <w:tc>
          <w:tcPr>
            <w:tcW w:w="3118" w:type="dxa"/>
            <w:vAlign w:val="center"/>
          </w:tcPr>
          <w:p w:rsidR="002755C3" w:rsidRDefault="00AE4B60">
            <w:pPr>
              <w:jc w:val="right"/>
            </w:pPr>
            <w:r>
              <w:rPr>
                <w:color w:val="000000" w:themeColor="text1"/>
                <w:sz w:val="24"/>
              </w:rPr>
              <w:t>4,731,953.86</w:t>
            </w:r>
          </w:p>
        </w:tc>
        <w:tc>
          <w:tcPr>
            <w:tcW w:w="3076" w:type="dxa"/>
            <w:vAlign w:val="center"/>
          </w:tcPr>
          <w:p w:rsidR="002755C3" w:rsidRDefault="00AE4B60">
            <w:pPr>
              <w:jc w:val="right"/>
            </w:pPr>
            <w:r>
              <w:rPr>
                <w:color w:val="000000" w:themeColor="text1"/>
                <w:sz w:val="24"/>
              </w:rPr>
              <w:t>9.49</w:t>
            </w:r>
          </w:p>
        </w:tc>
      </w:tr>
      <w:tr w:rsidR="002755C3">
        <w:trPr>
          <w:jc w:val="center"/>
        </w:trPr>
        <w:tc>
          <w:tcPr>
            <w:tcW w:w="2410" w:type="dxa"/>
            <w:vAlign w:val="center"/>
          </w:tcPr>
          <w:p w:rsidR="002755C3" w:rsidRDefault="00AE4B60">
            <w:pPr>
              <w:jc w:val="left"/>
            </w:pPr>
            <w:r>
              <w:rPr>
                <w:color w:val="000000" w:themeColor="text1"/>
                <w:sz w:val="24"/>
              </w:rPr>
              <w:t>英国</w:t>
            </w:r>
          </w:p>
        </w:tc>
        <w:tc>
          <w:tcPr>
            <w:tcW w:w="3118" w:type="dxa"/>
            <w:vAlign w:val="center"/>
          </w:tcPr>
          <w:p w:rsidR="002755C3" w:rsidRDefault="00AE4B60">
            <w:pPr>
              <w:jc w:val="right"/>
            </w:pPr>
            <w:r>
              <w:rPr>
                <w:color w:val="000000" w:themeColor="text1"/>
                <w:sz w:val="24"/>
              </w:rPr>
              <w:t>3,686,090.01</w:t>
            </w:r>
          </w:p>
        </w:tc>
        <w:tc>
          <w:tcPr>
            <w:tcW w:w="3076" w:type="dxa"/>
            <w:vAlign w:val="center"/>
          </w:tcPr>
          <w:p w:rsidR="002755C3" w:rsidRDefault="00AE4B60">
            <w:pPr>
              <w:jc w:val="right"/>
            </w:pPr>
            <w:r>
              <w:rPr>
                <w:color w:val="000000" w:themeColor="text1"/>
                <w:sz w:val="24"/>
              </w:rPr>
              <w:t>7.39</w:t>
            </w:r>
          </w:p>
        </w:tc>
      </w:tr>
      <w:tr w:rsidR="002755C3">
        <w:trPr>
          <w:jc w:val="center"/>
        </w:trPr>
        <w:tc>
          <w:tcPr>
            <w:tcW w:w="2410" w:type="dxa"/>
            <w:vAlign w:val="center"/>
          </w:tcPr>
          <w:p w:rsidR="002755C3" w:rsidRDefault="00AE4B60">
            <w:pPr>
              <w:jc w:val="left"/>
            </w:pPr>
            <w:r>
              <w:rPr>
                <w:color w:val="000000" w:themeColor="text1"/>
                <w:sz w:val="24"/>
              </w:rPr>
              <w:t>日本</w:t>
            </w:r>
          </w:p>
        </w:tc>
        <w:tc>
          <w:tcPr>
            <w:tcW w:w="3118" w:type="dxa"/>
            <w:vAlign w:val="center"/>
          </w:tcPr>
          <w:p w:rsidR="002755C3" w:rsidRDefault="00AE4B60">
            <w:pPr>
              <w:jc w:val="right"/>
            </w:pPr>
            <w:r>
              <w:rPr>
                <w:color w:val="000000" w:themeColor="text1"/>
                <w:sz w:val="24"/>
              </w:rPr>
              <w:t>2,437,741.69</w:t>
            </w:r>
          </w:p>
        </w:tc>
        <w:tc>
          <w:tcPr>
            <w:tcW w:w="3076" w:type="dxa"/>
            <w:vAlign w:val="center"/>
          </w:tcPr>
          <w:p w:rsidR="002755C3" w:rsidRDefault="00AE4B60">
            <w:pPr>
              <w:jc w:val="right"/>
            </w:pPr>
            <w:r>
              <w:rPr>
                <w:color w:val="000000" w:themeColor="text1"/>
                <w:sz w:val="24"/>
              </w:rPr>
              <w:t>4.89</w:t>
            </w:r>
          </w:p>
        </w:tc>
      </w:tr>
      <w:tr w:rsidR="002755C3">
        <w:trPr>
          <w:jc w:val="center"/>
        </w:trPr>
        <w:tc>
          <w:tcPr>
            <w:tcW w:w="2410" w:type="dxa"/>
            <w:vAlign w:val="center"/>
          </w:tcPr>
          <w:p w:rsidR="002755C3" w:rsidRDefault="00AE4B60">
            <w:pPr>
              <w:jc w:val="left"/>
            </w:pPr>
            <w:r>
              <w:rPr>
                <w:color w:val="000000" w:themeColor="text1"/>
                <w:sz w:val="24"/>
              </w:rPr>
              <w:t>意大利</w:t>
            </w:r>
          </w:p>
        </w:tc>
        <w:tc>
          <w:tcPr>
            <w:tcW w:w="3118" w:type="dxa"/>
            <w:vAlign w:val="center"/>
          </w:tcPr>
          <w:p w:rsidR="002755C3" w:rsidRDefault="00AE4B60">
            <w:pPr>
              <w:jc w:val="right"/>
            </w:pPr>
            <w:r>
              <w:rPr>
                <w:color w:val="000000" w:themeColor="text1"/>
                <w:sz w:val="24"/>
              </w:rPr>
              <w:t>2,163,019.20</w:t>
            </w:r>
          </w:p>
        </w:tc>
        <w:tc>
          <w:tcPr>
            <w:tcW w:w="3076" w:type="dxa"/>
            <w:vAlign w:val="center"/>
          </w:tcPr>
          <w:p w:rsidR="002755C3" w:rsidRDefault="00AE4B60">
            <w:pPr>
              <w:jc w:val="right"/>
            </w:pPr>
            <w:r>
              <w:rPr>
                <w:color w:val="000000" w:themeColor="text1"/>
                <w:sz w:val="24"/>
              </w:rPr>
              <w:t>4.34</w:t>
            </w:r>
          </w:p>
        </w:tc>
      </w:tr>
      <w:tr w:rsidR="002755C3">
        <w:trPr>
          <w:jc w:val="center"/>
        </w:trPr>
        <w:tc>
          <w:tcPr>
            <w:tcW w:w="2410" w:type="dxa"/>
            <w:vAlign w:val="center"/>
          </w:tcPr>
          <w:p w:rsidR="002755C3" w:rsidRDefault="00AE4B60">
            <w:pPr>
              <w:jc w:val="left"/>
            </w:pPr>
            <w:r>
              <w:rPr>
                <w:color w:val="000000" w:themeColor="text1"/>
                <w:sz w:val="24"/>
              </w:rPr>
              <w:t>瑞士</w:t>
            </w:r>
          </w:p>
        </w:tc>
        <w:tc>
          <w:tcPr>
            <w:tcW w:w="3118" w:type="dxa"/>
            <w:vAlign w:val="center"/>
          </w:tcPr>
          <w:p w:rsidR="002755C3" w:rsidRDefault="00AE4B60">
            <w:pPr>
              <w:jc w:val="right"/>
            </w:pPr>
            <w:r>
              <w:rPr>
                <w:color w:val="000000" w:themeColor="text1"/>
                <w:sz w:val="24"/>
              </w:rPr>
              <w:t>2,009,797.93</w:t>
            </w:r>
          </w:p>
        </w:tc>
        <w:tc>
          <w:tcPr>
            <w:tcW w:w="3076" w:type="dxa"/>
            <w:vAlign w:val="center"/>
          </w:tcPr>
          <w:p w:rsidR="002755C3" w:rsidRDefault="00AE4B60">
            <w:pPr>
              <w:jc w:val="right"/>
            </w:pPr>
            <w:r>
              <w:rPr>
                <w:color w:val="000000" w:themeColor="text1"/>
                <w:sz w:val="24"/>
              </w:rPr>
              <w:t>4.03</w:t>
            </w:r>
          </w:p>
        </w:tc>
      </w:tr>
      <w:tr w:rsidR="002755C3">
        <w:trPr>
          <w:jc w:val="center"/>
        </w:trPr>
        <w:tc>
          <w:tcPr>
            <w:tcW w:w="2410" w:type="dxa"/>
            <w:vAlign w:val="center"/>
          </w:tcPr>
          <w:p w:rsidR="002755C3" w:rsidRDefault="00AE4B60">
            <w:pPr>
              <w:jc w:val="left"/>
            </w:pPr>
            <w:r>
              <w:rPr>
                <w:color w:val="000000" w:themeColor="text1"/>
                <w:sz w:val="24"/>
              </w:rPr>
              <w:t>香港</w:t>
            </w:r>
          </w:p>
        </w:tc>
        <w:tc>
          <w:tcPr>
            <w:tcW w:w="3118" w:type="dxa"/>
            <w:vAlign w:val="center"/>
          </w:tcPr>
          <w:p w:rsidR="002755C3" w:rsidRDefault="00AE4B60">
            <w:pPr>
              <w:jc w:val="right"/>
            </w:pPr>
            <w:r>
              <w:rPr>
                <w:color w:val="000000" w:themeColor="text1"/>
                <w:sz w:val="24"/>
              </w:rPr>
              <w:t>1,627,359.54</w:t>
            </w:r>
          </w:p>
        </w:tc>
        <w:tc>
          <w:tcPr>
            <w:tcW w:w="3076" w:type="dxa"/>
            <w:vAlign w:val="center"/>
          </w:tcPr>
          <w:p w:rsidR="002755C3" w:rsidRDefault="00AE4B60">
            <w:pPr>
              <w:jc w:val="right"/>
            </w:pPr>
            <w:r>
              <w:rPr>
                <w:color w:val="000000" w:themeColor="text1"/>
                <w:sz w:val="24"/>
              </w:rPr>
              <w:t>3.26</w:t>
            </w:r>
          </w:p>
        </w:tc>
      </w:tr>
      <w:tr w:rsidR="002755C3">
        <w:trPr>
          <w:jc w:val="center"/>
        </w:trPr>
        <w:tc>
          <w:tcPr>
            <w:tcW w:w="2410" w:type="dxa"/>
            <w:vAlign w:val="center"/>
          </w:tcPr>
          <w:p w:rsidR="002755C3" w:rsidRDefault="00AE4B60">
            <w:pPr>
              <w:jc w:val="left"/>
            </w:pPr>
            <w:r>
              <w:rPr>
                <w:color w:val="000000" w:themeColor="text1"/>
                <w:sz w:val="24"/>
              </w:rPr>
              <w:t>澳大利亚</w:t>
            </w:r>
          </w:p>
        </w:tc>
        <w:tc>
          <w:tcPr>
            <w:tcW w:w="3118" w:type="dxa"/>
            <w:vAlign w:val="center"/>
          </w:tcPr>
          <w:p w:rsidR="002755C3" w:rsidRDefault="00AE4B60">
            <w:pPr>
              <w:jc w:val="right"/>
            </w:pPr>
            <w:r>
              <w:rPr>
                <w:color w:val="000000" w:themeColor="text1"/>
                <w:sz w:val="24"/>
              </w:rPr>
              <w:t>542,534.27</w:t>
            </w:r>
          </w:p>
        </w:tc>
        <w:tc>
          <w:tcPr>
            <w:tcW w:w="3076" w:type="dxa"/>
            <w:vAlign w:val="center"/>
          </w:tcPr>
          <w:p w:rsidR="002755C3" w:rsidRDefault="00AE4B60">
            <w:pPr>
              <w:jc w:val="right"/>
            </w:pPr>
            <w:r>
              <w:rPr>
                <w:color w:val="000000" w:themeColor="text1"/>
                <w:sz w:val="24"/>
              </w:rPr>
              <w:t>1.09</w:t>
            </w:r>
          </w:p>
        </w:tc>
      </w:tr>
      <w:tr w:rsidR="008277FF" w:rsidRPr="00A67563" w:rsidTr="00877D98">
        <w:trPr>
          <w:jc w:val="center"/>
        </w:trPr>
        <w:tc>
          <w:tcPr>
            <w:tcW w:w="2410" w:type="dxa"/>
            <w:vAlign w:val="center"/>
          </w:tcPr>
          <w:p w:rsidR="002C042C" w:rsidRPr="00A67563" w:rsidRDefault="002C042C" w:rsidP="00877D98">
            <w:pPr>
              <w:autoSpaceDE w:val="0"/>
              <w:autoSpaceDN w:val="0"/>
              <w:adjustRightInd w:val="0"/>
              <w:spacing w:before="29" w:line="360" w:lineRule="auto"/>
              <w:rPr>
                <w:color w:val="000000" w:themeColor="text1"/>
                <w:sz w:val="24"/>
              </w:rPr>
            </w:pPr>
            <w:r w:rsidRPr="00A67563">
              <w:rPr>
                <w:color w:val="000000" w:themeColor="text1"/>
                <w:sz w:val="24"/>
              </w:rPr>
              <w:t>合计</w:t>
            </w:r>
          </w:p>
        </w:tc>
        <w:tc>
          <w:tcPr>
            <w:tcW w:w="3118" w:type="dxa"/>
            <w:vAlign w:val="center"/>
          </w:tcPr>
          <w:p w:rsidR="002C042C" w:rsidRPr="00A67563" w:rsidRDefault="002C042C" w:rsidP="00877D98">
            <w:pPr>
              <w:autoSpaceDE w:val="0"/>
              <w:autoSpaceDN w:val="0"/>
              <w:adjustRightInd w:val="0"/>
              <w:spacing w:before="29" w:line="360" w:lineRule="auto"/>
              <w:jc w:val="right"/>
              <w:rPr>
                <w:color w:val="000000" w:themeColor="text1"/>
                <w:sz w:val="24"/>
              </w:rPr>
            </w:pPr>
            <w:r w:rsidRPr="00A67563">
              <w:rPr>
                <w:color w:val="000000" w:themeColor="text1"/>
                <w:sz w:val="24"/>
              </w:rPr>
              <w:t>47,485,288.23</w:t>
            </w:r>
          </w:p>
        </w:tc>
        <w:tc>
          <w:tcPr>
            <w:tcW w:w="3076" w:type="dxa"/>
            <w:vAlign w:val="center"/>
          </w:tcPr>
          <w:p w:rsidR="002C042C" w:rsidRPr="00A67563" w:rsidRDefault="002C042C" w:rsidP="00877D98">
            <w:pPr>
              <w:autoSpaceDE w:val="0"/>
              <w:autoSpaceDN w:val="0"/>
              <w:adjustRightInd w:val="0"/>
              <w:spacing w:before="29" w:line="360" w:lineRule="auto"/>
              <w:jc w:val="right"/>
              <w:rPr>
                <w:color w:val="000000" w:themeColor="text1"/>
                <w:sz w:val="24"/>
              </w:rPr>
            </w:pPr>
            <w:r w:rsidRPr="00A67563">
              <w:rPr>
                <w:color w:val="000000" w:themeColor="text1"/>
                <w:sz w:val="24"/>
              </w:rPr>
              <w:t>95.25</w:t>
            </w:r>
          </w:p>
        </w:tc>
      </w:tr>
    </w:tbl>
    <w:p w:rsidR="002755C3" w:rsidRDefault="00AE4B60">
      <w:pPr>
        <w:autoSpaceDE w:val="0"/>
        <w:autoSpaceDN w:val="0"/>
        <w:adjustRightInd w:val="0"/>
        <w:spacing w:line="360" w:lineRule="auto"/>
        <w:ind w:firstLineChars="200" w:firstLine="480"/>
        <w:jc w:val="left"/>
        <w:rPr>
          <w:color w:val="000000" w:themeColor="text1"/>
          <w:sz w:val="24"/>
        </w:rPr>
      </w:pPr>
      <w:r>
        <w:rPr>
          <w:color w:val="000000" w:themeColor="text1"/>
          <w:sz w:val="24"/>
        </w:rPr>
        <w:t>注：</w:t>
      </w:r>
      <w:r>
        <w:rPr>
          <w:color w:val="000000" w:themeColor="text1"/>
          <w:sz w:val="24"/>
        </w:rPr>
        <w:t>1.</w:t>
      </w:r>
      <w:r>
        <w:rPr>
          <w:color w:val="000000" w:themeColor="text1"/>
          <w:sz w:val="24"/>
        </w:rPr>
        <w:t>国家（地区）类别根据其所在的证券交易所确定。</w:t>
      </w:r>
    </w:p>
    <w:p w:rsidR="00363E15" w:rsidRPr="00A67563" w:rsidRDefault="00363E15"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2.ADR</w:t>
      </w:r>
      <w:r w:rsidRPr="00A67563">
        <w:rPr>
          <w:color w:val="000000" w:themeColor="text1"/>
          <w:sz w:val="24"/>
        </w:rPr>
        <w:t>、</w:t>
      </w:r>
      <w:r w:rsidRPr="00A67563">
        <w:rPr>
          <w:color w:val="000000" w:themeColor="text1"/>
          <w:sz w:val="24"/>
        </w:rPr>
        <w:t>GDR</w:t>
      </w:r>
      <w:r w:rsidRPr="00A67563">
        <w:rPr>
          <w:color w:val="000000" w:themeColor="text1"/>
          <w:sz w:val="24"/>
        </w:rPr>
        <w:t>按照存托凭证本身挂牌的证券交易所确定。</w:t>
      </w:r>
    </w:p>
    <w:p w:rsidR="0076518F" w:rsidRPr="00A67563" w:rsidRDefault="0076518F" w:rsidP="008B6A4A">
      <w:pPr>
        <w:autoSpaceDE w:val="0"/>
        <w:autoSpaceDN w:val="0"/>
        <w:adjustRightInd w:val="0"/>
        <w:spacing w:line="360" w:lineRule="auto"/>
        <w:jc w:val="left"/>
        <w:rPr>
          <w:color w:val="000000" w:themeColor="text1"/>
          <w:kern w:val="0"/>
          <w:sz w:val="24"/>
        </w:rPr>
      </w:pPr>
    </w:p>
    <w:p w:rsidR="00C37E98" w:rsidRPr="00A67563" w:rsidRDefault="008C71EB"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w:t>
      </w:r>
      <w:r w:rsidR="002A0FA2" w:rsidRPr="00A67563">
        <w:rPr>
          <w:b/>
          <w:color w:val="000000" w:themeColor="text1"/>
          <w:kern w:val="0"/>
          <w:sz w:val="24"/>
        </w:rPr>
        <w:t>3</w:t>
      </w:r>
      <w:r w:rsidR="0076518F" w:rsidRPr="00A67563">
        <w:rPr>
          <w:b/>
          <w:color w:val="000000" w:themeColor="text1"/>
          <w:kern w:val="0"/>
          <w:sz w:val="24"/>
        </w:rPr>
        <w:t xml:space="preserve"> </w:t>
      </w:r>
      <w:r w:rsidR="0076518F" w:rsidRPr="00A67563">
        <w:rPr>
          <w:b/>
          <w:color w:val="000000" w:themeColor="text1"/>
          <w:kern w:val="0"/>
          <w:sz w:val="24"/>
        </w:rPr>
        <w:t>报告期末按行业分类的股票及存托凭证投资组合</w:t>
      </w:r>
    </w:p>
    <w:tbl>
      <w:tblPr>
        <w:tblStyle w:val="af7"/>
        <w:tblW w:w="0" w:type="auto"/>
        <w:tblInd w:w="15" w:type="dxa"/>
        <w:tblLayout w:type="fixed"/>
        <w:tblLook w:val="04A0" w:firstRow="1" w:lastRow="0" w:firstColumn="1" w:lastColumn="0" w:noHBand="0" w:noVBand="1"/>
      </w:tblPr>
      <w:tblGrid>
        <w:gridCol w:w="2787"/>
        <w:gridCol w:w="2551"/>
        <w:gridCol w:w="3175"/>
      </w:tblGrid>
      <w:tr w:rsidR="008277FF" w:rsidRPr="00A67563" w:rsidTr="008B2EAD">
        <w:tc>
          <w:tcPr>
            <w:tcW w:w="2787" w:type="dxa"/>
            <w:vAlign w:val="center"/>
          </w:tcPr>
          <w:p w:rsidR="00C37E98" w:rsidRPr="00A67563" w:rsidRDefault="00C37E98"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kern w:val="0"/>
                <w:sz w:val="24"/>
              </w:rPr>
              <w:t>行业类别</w:t>
            </w:r>
          </w:p>
        </w:tc>
        <w:tc>
          <w:tcPr>
            <w:tcW w:w="2551" w:type="dxa"/>
            <w:vAlign w:val="center"/>
          </w:tcPr>
          <w:p w:rsidR="00C37E98" w:rsidRPr="00A67563" w:rsidRDefault="00C37E98"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kern w:val="0"/>
                <w:sz w:val="24"/>
              </w:rPr>
              <w:t>公允价值（人民币元）</w:t>
            </w:r>
          </w:p>
        </w:tc>
        <w:tc>
          <w:tcPr>
            <w:tcW w:w="3175" w:type="dxa"/>
            <w:vAlign w:val="center"/>
          </w:tcPr>
          <w:p w:rsidR="00C37E98" w:rsidRPr="00A67563" w:rsidRDefault="00C37E98"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kern w:val="0"/>
                <w:sz w:val="24"/>
              </w:rPr>
              <w:t>占基金资产净值比例（％）</w:t>
            </w:r>
          </w:p>
        </w:tc>
      </w:tr>
      <w:tr w:rsidR="002755C3">
        <w:tc>
          <w:tcPr>
            <w:tcW w:w="2787" w:type="dxa"/>
            <w:vAlign w:val="center"/>
          </w:tcPr>
          <w:p w:rsidR="002755C3" w:rsidRDefault="00AE4B60">
            <w:pPr>
              <w:jc w:val="left"/>
            </w:pPr>
            <w:r>
              <w:rPr>
                <w:color w:val="000000" w:themeColor="text1"/>
                <w:sz w:val="24"/>
              </w:rPr>
              <w:t>能源</w:t>
            </w:r>
          </w:p>
        </w:tc>
        <w:tc>
          <w:tcPr>
            <w:tcW w:w="2551" w:type="dxa"/>
            <w:vAlign w:val="center"/>
          </w:tcPr>
          <w:p w:rsidR="002755C3" w:rsidRDefault="00AE4B60">
            <w:pPr>
              <w:jc w:val="right"/>
            </w:pPr>
            <w:r>
              <w:rPr>
                <w:color w:val="000000" w:themeColor="text1"/>
                <w:sz w:val="24"/>
              </w:rPr>
              <w:t>-</w:t>
            </w:r>
          </w:p>
        </w:tc>
        <w:tc>
          <w:tcPr>
            <w:tcW w:w="3175" w:type="dxa"/>
            <w:vAlign w:val="center"/>
          </w:tcPr>
          <w:p w:rsidR="002755C3" w:rsidRDefault="00AE4B60">
            <w:pPr>
              <w:jc w:val="right"/>
            </w:pPr>
            <w:r>
              <w:rPr>
                <w:color w:val="000000" w:themeColor="text1"/>
                <w:sz w:val="24"/>
              </w:rPr>
              <w:t>-</w:t>
            </w:r>
          </w:p>
        </w:tc>
      </w:tr>
      <w:tr w:rsidR="002755C3">
        <w:tc>
          <w:tcPr>
            <w:tcW w:w="2787" w:type="dxa"/>
            <w:vAlign w:val="center"/>
          </w:tcPr>
          <w:p w:rsidR="002755C3" w:rsidRDefault="00AE4B60">
            <w:pPr>
              <w:jc w:val="left"/>
            </w:pPr>
            <w:r>
              <w:rPr>
                <w:color w:val="000000" w:themeColor="text1"/>
                <w:sz w:val="24"/>
              </w:rPr>
              <w:t>材料</w:t>
            </w:r>
          </w:p>
        </w:tc>
        <w:tc>
          <w:tcPr>
            <w:tcW w:w="2551" w:type="dxa"/>
            <w:vAlign w:val="center"/>
          </w:tcPr>
          <w:p w:rsidR="002755C3" w:rsidRDefault="00AE4B60">
            <w:pPr>
              <w:jc w:val="right"/>
            </w:pPr>
            <w:r>
              <w:rPr>
                <w:color w:val="000000" w:themeColor="text1"/>
                <w:sz w:val="24"/>
              </w:rPr>
              <w:t>-</w:t>
            </w:r>
          </w:p>
        </w:tc>
        <w:tc>
          <w:tcPr>
            <w:tcW w:w="3175" w:type="dxa"/>
            <w:vAlign w:val="center"/>
          </w:tcPr>
          <w:p w:rsidR="002755C3" w:rsidRDefault="00AE4B60">
            <w:pPr>
              <w:jc w:val="right"/>
            </w:pPr>
            <w:r>
              <w:rPr>
                <w:color w:val="000000" w:themeColor="text1"/>
                <w:sz w:val="24"/>
              </w:rPr>
              <w:t>-</w:t>
            </w:r>
          </w:p>
        </w:tc>
      </w:tr>
      <w:tr w:rsidR="002755C3">
        <w:tc>
          <w:tcPr>
            <w:tcW w:w="2787" w:type="dxa"/>
            <w:vAlign w:val="center"/>
          </w:tcPr>
          <w:p w:rsidR="002755C3" w:rsidRDefault="00AE4B60">
            <w:pPr>
              <w:jc w:val="left"/>
            </w:pPr>
            <w:r>
              <w:rPr>
                <w:color w:val="000000" w:themeColor="text1"/>
                <w:sz w:val="24"/>
              </w:rPr>
              <w:t>工业</w:t>
            </w:r>
          </w:p>
        </w:tc>
        <w:tc>
          <w:tcPr>
            <w:tcW w:w="2551" w:type="dxa"/>
            <w:vAlign w:val="center"/>
          </w:tcPr>
          <w:p w:rsidR="002755C3" w:rsidRDefault="00AE4B60">
            <w:pPr>
              <w:jc w:val="right"/>
            </w:pPr>
            <w:r>
              <w:rPr>
                <w:color w:val="000000" w:themeColor="text1"/>
                <w:sz w:val="24"/>
              </w:rPr>
              <w:t>-</w:t>
            </w:r>
          </w:p>
        </w:tc>
        <w:tc>
          <w:tcPr>
            <w:tcW w:w="3175" w:type="dxa"/>
            <w:vAlign w:val="center"/>
          </w:tcPr>
          <w:p w:rsidR="002755C3" w:rsidRDefault="00AE4B60">
            <w:pPr>
              <w:jc w:val="right"/>
            </w:pPr>
            <w:r>
              <w:rPr>
                <w:color w:val="000000" w:themeColor="text1"/>
                <w:sz w:val="24"/>
              </w:rPr>
              <w:t>-</w:t>
            </w:r>
          </w:p>
        </w:tc>
      </w:tr>
      <w:tr w:rsidR="002755C3">
        <w:tc>
          <w:tcPr>
            <w:tcW w:w="2787" w:type="dxa"/>
            <w:vAlign w:val="center"/>
          </w:tcPr>
          <w:p w:rsidR="002755C3" w:rsidRDefault="00AE4B60">
            <w:pPr>
              <w:jc w:val="left"/>
            </w:pPr>
            <w:r>
              <w:rPr>
                <w:color w:val="000000" w:themeColor="text1"/>
                <w:sz w:val="24"/>
              </w:rPr>
              <w:t>非必需消费品</w:t>
            </w:r>
          </w:p>
        </w:tc>
        <w:tc>
          <w:tcPr>
            <w:tcW w:w="2551" w:type="dxa"/>
            <w:vAlign w:val="center"/>
          </w:tcPr>
          <w:p w:rsidR="002755C3" w:rsidRDefault="00AE4B60">
            <w:pPr>
              <w:jc w:val="right"/>
            </w:pPr>
            <w:r>
              <w:rPr>
                <w:color w:val="000000" w:themeColor="text1"/>
                <w:sz w:val="24"/>
              </w:rPr>
              <w:t>35,529,924.62</w:t>
            </w:r>
          </w:p>
        </w:tc>
        <w:tc>
          <w:tcPr>
            <w:tcW w:w="3175" w:type="dxa"/>
            <w:vAlign w:val="center"/>
          </w:tcPr>
          <w:p w:rsidR="002755C3" w:rsidRDefault="00AE4B60">
            <w:pPr>
              <w:jc w:val="right"/>
            </w:pPr>
            <w:r>
              <w:rPr>
                <w:color w:val="000000" w:themeColor="text1"/>
                <w:sz w:val="24"/>
              </w:rPr>
              <w:t>71.28</w:t>
            </w:r>
          </w:p>
        </w:tc>
      </w:tr>
      <w:tr w:rsidR="002755C3">
        <w:tc>
          <w:tcPr>
            <w:tcW w:w="2787" w:type="dxa"/>
            <w:vAlign w:val="center"/>
          </w:tcPr>
          <w:p w:rsidR="002755C3" w:rsidRDefault="00AE4B60">
            <w:pPr>
              <w:jc w:val="left"/>
            </w:pPr>
            <w:r>
              <w:rPr>
                <w:color w:val="000000" w:themeColor="text1"/>
                <w:sz w:val="24"/>
              </w:rPr>
              <w:t>必需消费品</w:t>
            </w:r>
          </w:p>
        </w:tc>
        <w:tc>
          <w:tcPr>
            <w:tcW w:w="2551" w:type="dxa"/>
            <w:vAlign w:val="center"/>
          </w:tcPr>
          <w:p w:rsidR="002755C3" w:rsidRDefault="00AE4B60">
            <w:pPr>
              <w:jc w:val="right"/>
            </w:pPr>
            <w:r>
              <w:rPr>
                <w:color w:val="000000" w:themeColor="text1"/>
                <w:sz w:val="24"/>
              </w:rPr>
              <w:t>11,657,519.91</w:t>
            </w:r>
          </w:p>
        </w:tc>
        <w:tc>
          <w:tcPr>
            <w:tcW w:w="3175" w:type="dxa"/>
            <w:vAlign w:val="center"/>
          </w:tcPr>
          <w:p w:rsidR="002755C3" w:rsidRDefault="00AE4B60">
            <w:pPr>
              <w:jc w:val="right"/>
            </w:pPr>
            <w:r>
              <w:rPr>
                <w:color w:val="000000" w:themeColor="text1"/>
                <w:sz w:val="24"/>
              </w:rPr>
              <w:t>23.39</w:t>
            </w:r>
          </w:p>
        </w:tc>
      </w:tr>
      <w:tr w:rsidR="002755C3">
        <w:tc>
          <w:tcPr>
            <w:tcW w:w="2787" w:type="dxa"/>
            <w:vAlign w:val="center"/>
          </w:tcPr>
          <w:p w:rsidR="002755C3" w:rsidRDefault="00AE4B60">
            <w:pPr>
              <w:jc w:val="left"/>
            </w:pPr>
            <w:r>
              <w:rPr>
                <w:color w:val="000000" w:themeColor="text1"/>
                <w:sz w:val="24"/>
              </w:rPr>
              <w:t>保健</w:t>
            </w:r>
          </w:p>
        </w:tc>
        <w:tc>
          <w:tcPr>
            <w:tcW w:w="2551" w:type="dxa"/>
            <w:vAlign w:val="center"/>
          </w:tcPr>
          <w:p w:rsidR="002755C3" w:rsidRDefault="00AE4B60">
            <w:pPr>
              <w:jc w:val="right"/>
            </w:pPr>
            <w:r>
              <w:rPr>
                <w:color w:val="000000" w:themeColor="text1"/>
                <w:sz w:val="24"/>
              </w:rPr>
              <w:t>-</w:t>
            </w:r>
          </w:p>
        </w:tc>
        <w:tc>
          <w:tcPr>
            <w:tcW w:w="3175" w:type="dxa"/>
            <w:vAlign w:val="center"/>
          </w:tcPr>
          <w:p w:rsidR="002755C3" w:rsidRDefault="00AE4B60">
            <w:pPr>
              <w:jc w:val="right"/>
            </w:pPr>
            <w:r>
              <w:rPr>
                <w:color w:val="000000" w:themeColor="text1"/>
                <w:sz w:val="24"/>
              </w:rPr>
              <w:t>-</w:t>
            </w:r>
          </w:p>
        </w:tc>
      </w:tr>
      <w:tr w:rsidR="002755C3">
        <w:tc>
          <w:tcPr>
            <w:tcW w:w="2787" w:type="dxa"/>
            <w:vAlign w:val="center"/>
          </w:tcPr>
          <w:p w:rsidR="002755C3" w:rsidRDefault="00AE4B60">
            <w:pPr>
              <w:jc w:val="left"/>
            </w:pPr>
            <w:r>
              <w:rPr>
                <w:color w:val="000000" w:themeColor="text1"/>
                <w:sz w:val="24"/>
              </w:rPr>
              <w:t>金融</w:t>
            </w:r>
          </w:p>
        </w:tc>
        <w:tc>
          <w:tcPr>
            <w:tcW w:w="2551" w:type="dxa"/>
            <w:vAlign w:val="center"/>
          </w:tcPr>
          <w:p w:rsidR="002755C3" w:rsidRDefault="00AE4B60">
            <w:pPr>
              <w:jc w:val="right"/>
            </w:pPr>
            <w:r>
              <w:rPr>
                <w:color w:val="000000" w:themeColor="text1"/>
                <w:sz w:val="24"/>
              </w:rPr>
              <w:t>-</w:t>
            </w:r>
          </w:p>
        </w:tc>
        <w:tc>
          <w:tcPr>
            <w:tcW w:w="3175" w:type="dxa"/>
            <w:vAlign w:val="center"/>
          </w:tcPr>
          <w:p w:rsidR="002755C3" w:rsidRDefault="00AE4B60">
            <w:pPr>
              <w:jc w:val="right"/>
            </w:pPr>
            <w:r>
              <w:rPr>
                <w:color w:val="000000" w:themeColor="text1"/>
                <w:sz w:val="24"/>
              </w:rPr>
              <w:t>-</w:t>
            </w:r>
          </w:p>
        </w:tc>
      </w:tr>
      <w:tr w:rsidR="002755C3">
        <w:tc>
          <w:tcPr>
            <w:tcW w:w="2787" w:type="dxa"/>
            <w:vAlign w:val="center"/>
          </w:tcPr>
          <w:p w:rsidR="002755C3" w:rsidRDefault="00AE4B60">
            <w:pPr>
              <w:jc w:val="left"/>
            </w:pPr>
            <w:r>
              <w:rPr>
                <w:color w:val="000000" w:themeColor="text1"/>
                <w:sz w:val="24"/>
              </w:rPr>
              <w:t>信息技术</w:t>
            </w:r>
          </w:p>
        </w:tc>
        <w:tc>
          <w:tcPr>
            <w:tcW w:w="2551" w:type="dxa"/>
            <w:vAlign w:val="center"/>
          </w:tcPr>
          <w:p w:rsidR="002755C3" w:rsidRDefault="00AE4B60">
            <w:pPr>
              <w:jc w:val="right"/>
            </w:pPr>
            <w:r>
              <w:rPr>
                <w:color w:val="000000" w:themeColor="text1"/>
                <w:sz w:val="24"/>
              </w:rPr>
              <w:t>-</w:t>
            </w:r>
          </w:p>
        </w:tc>
        <w:tc>
          <w:tcPr>
            <w:tcW w:w="3175" w:type="dxa"/>
            <w:vAlign w:val="center"/>
          </w:tcPr>
          <w:p w:rsidR="002755C3" w:rsidRDefault="00AE4B60">
            <w:pPr>
              <w:jc w:val="right"/>
            </w:pPr>
            <w:r>
              <w:rPr>
                <w:color w:val="000000" w:themeColor="text1"/>
                <w:sz w:val="24"/>
              </w:rPr>
              <w:t>-</w:t>
            </w:r>
          </w:p>
        </w:tc>
      </w:tr>
      <w:tr w:rsidR="002755C3">
        <w:tc>
          <w:tcPr>
            <w:tcW w:w="2787" w:type="dxa"/>
            <w:vAlign w:val="center"/>
          </w:tcPr>
          <w:p w:rsidR="002755C3" w:rsidRDefault="00AE4B60">
            <w:pPr>
              <w:jc w:val="left"/>
            </w:pPr>
            <w:r>
              <w:rPr>
                <w:color w:val="000000" w:themeColor="text1"/>
                <w:sz w:val="24"/>
              </w:rPr>
              <w:lastRenderedPageBreak/>
              <w:t>电信服务</w:t>
            </w:r>
          </w:p>
        </w:tc>
        <w:tc>
          <w:tcPr>
            <w:tcW w:w="2551" w:type="dxa"/>
            <w:vAlign w:val="center"/>
          </w:tcPr>
          <w:p w:rsidR="002755C3" w:rsidRDefault="00AE4B60">
            <w:pPr>
              <w:jc w:val="right"/>
            </w:pPr>
            <w:r>
              <w:rPr>
                <w:color w:val="000000" w:themeColor="text1"/>
                <w:sz w:val="24"/>
              </w:rPr>
              <w:t>297,843.70</w:t>
            </w:r>
          </w:p>
        </w:tc>
        <w:tc>
          <w:tcPr>
            <w:tcW w:w="3175" w:type="dxa"/>
            <w:vAlign w:val="center"/>
          </w:tcPr>
          <w:p w:rsidR="002755C3" w:rsidRDefault="00AE4B60">
            <w:pPr>
              <w:jc w:val="right"/>
            </w:pPr>
            <w:r>
              <w:rPr>
                <w:color w:val="000000" w:themeColor="text1"/>
                <w:sz w:val="24"/>
              </w:rPr>
              <w:t>0.60</w:t>
            </w:r>
          </w:p>
        </w:tc>
      </w:tr>
      <w:tr w:rsidR="002755C3">
        <w:tc>
          <w:tcPr>
            <w:tcW w:w="2787" w:type="dxa"/>
            <w:vAlign w:val="center"/>
          </w:tcPr>
          <w:p w:rsidR="002755C3" w:rsidRDefault="00AE4B60">
            <w:pPr>
              <w:jc w:val="left"/>
            </w:pPr>
            <w:r>
              <w:rPr>
                <w:color w:val="000000" w:themeColor="text1"/>
                <w:sz w:val="24"/>
              </w:rPr>
              <w:t>公用事业</w:t>
            </w:r>
          </w:p>
        </w:tc>
        <w:tc>
          <w:tcPr>
            <w:tcW w:w="2551" w:type="dxa"/>
            <w:vAlign w:val="center"/>
          </w:tcPr>
          <w:p w:rsidR="002755C3" w:rsidRDefault="00AE4B60">
            <w:pPr>
              <w:jc w:val="right"/>
            </w:pPr>
            <w:r>
              <w:rPr>
                <w:color w:val="000000" w:themeColor="text1"/>
                <w:sz w:val="24"/>
              </w:rPr>
              <w:t>-</w:t>
            </w:r>
          </w:p>
        </w:tc>
        <w:tc>
          <w:tcPr>
            <w:tcW w:w="3175" w:type="dxa"/>
            <w:vAlign w:val="center"/>
          </w:tcPr>
          <w:p w:rsidR="002755C3" w:rsidRDefault="00AE4B60">
            <w:pPr>
              <w:jc w:val="right"/>
            </w:pPr>
            <w:r>
              <w:rPr>
                <w:color w:val="000000" w:themeColor="text1"/>
                <w:sz w:val="24"/>
              </w:rPr>
              <w:t>-</w:t>
            </w:r>
          </w:p>
        </w:tc>
      </w:tr>
      <w:tr w:rsidR="002755C3">
        <w:tc>
          <w:tcPr>
            <w:tcW w:w="2787" w:type="dxa"/>
            <w:vAlign w:val="center"/>
          </w:tcPr>
          <w:p w:rsidR="002755C3" w:rsidRDefault="00AE4B60">
            <w:pPr>
              <w:jc w:val="left"/>
            </w:pPr>
            <w:r>
              <w:rPr>
                <w:color w:val="000000" w:themeColor="text1"/>
                <w:sz w:val="24"/>
              </w:rPr>
              <w:t>房地产</w:t>
            </w:r>
          </w:p>
        </w:tc>
        <w:tc>
          <w:tcPr>
            <w:tcW w:w="2551" w:type="dxa"/>
            <w:vAlign w:val="center"/>
          </w:tcPr>
          <w:p w:rsidR="002755C3" w:rsidRDefault="00AE4B60">
            <w:pPr>
              <w:jc w:val="right"/>
            </w:pPr>
            <w:r>
              <w:rPr>
                <w:color w:val="000000" w:themeColor="text1"/>
                <w:sz w:val="24"/>
              </w:rPr>
              <w:t>-</w:t>
            </w:r>
          </w:p>
        </w:tc>
        <w:tc>
          <w:tcPr>
            <w:tcW w:w="3175" w:type="dxa"/>
            <w:vAlign w:val="center"/>
          </w:tcPr>
          <w:p w:rsidR="002755C3" w:rsidRDefault="00AE4B60">
            <w:pPr>
              <w:jc w:val="right"/>
            </w:pPr>
            <w:r>
              <w:rPr>
                <w:color w:val="000000" w:themeColor="text1"/>
                <w:sz w:val="24"/>
              </w:rPr>
              <w:t>-</w:t>
            </w:r>
          </w:p>
        </w:tc>
      </w:tr>
      <w:tr w:rsidR="008277FF" w:rsidRPr="00A67563" w:rsidTr="00877D98">
        <w:tc>
          <w:tcPr>
            <w:tcW w:w="2787" w:type="dxa"/>
            <w:vAlign w:val="center"/>
          </w:tcPr>
          <w:p w:rsidR="00C37E98" w:rsidRPr="00A67563" w:rsidRDefault="00C37E98" w:rsidP="00877D98">
            <w:pPr>
              <w:autoSpaceDE w:val="0"/>
              <w:autoSpaceDN w:val="0"/>
              <w:adjustRightInd w:val="0"/>
              <w:spacing w:before="29" w:line="360" w:lineRule="auto"/>
              <w:ind w:left="15"/>
              <w:rPr>
                <w:color w:val="000000" w:themeColor="text1"/>
                <w:sz w:val="24"/>
              </w:rPr>
            </w:pPr>
            <w:r w:rsidRPr="00A67563">
              <w:rPr>
                <w:color w:val="000000" w:themeColor="text1"/>
                <w:sz w:val="24"/>
              </w:rPr>
              <w:t>合计</w:t>
            </w:r>
          </w:p>
        </w:tc>
        <w:tc>
          <w:tcPr>
            <w:tcW w:w="2551" w:type="dxa"/>
            <w:vAlign w:val="center"/>
          </w:tcPr>
          <w:p w:rsidR="00C37E98" w:rsidRPr="00A67563" w:rsidRDefault="00C37E98" w:rsidP="00C9504A">
            <w:pPr>
              <w:autoSpaceDE w:val="0"/>
              <w:autoSpaceDN w:val="0"/>
              <w:adjustRightInd w:val="0"/>
              <w:spacing w:before="29" w:line="360" w:lineRule="auto"/>
              <w:ind w:left="15"/>
              <w:jc w:val="right"/>
              <w:rPr>
                <w:color w:val="000000" w:themeColor="text1"/>
                <w:sz w:val="24"/>
              </w:rPr>
            </w:pPr>
            <w:r w:rsidRPr="00A67563">
              <w:rPr>
                <w:color w:val="000000" w:themeColor="text1"/>
                <w:sz w:val="24"/>
              </w:rPr>
              <w:t>47,485,288.23</w:t>
            </w:r>
          </w:p>
        </w:tc>
        <w:tc>
          <w:tcPr>
            <w:tcW w:w="3175" w:type="dxa"/>
            <w:vAlign w:val="center"/>
          </w:tcPr>
          <w:p w:rsidR="00C37E98" w:rsidRPr="00A67563" w:rsidRDefault="00C37E98" w:rsidP="00C9504A">
            <w:pPr>
              <w:autoSpaceDE w:val="0"/>
              <w:autoSpaceDN w:val="0"/>
              <w:adjustRightInd w:val="0"/>
              <w:spacing w:before="29" w:line="360" w:lineRule="auto"/>
              <w:ind w:left="15"/>
              <w:jc w:val="right"/>
              <w:rPr>
                <w:color w:val="000000" w:themeColor="text1"/>
                <w:sz w:val="24"/>
              </w:rPr>
            </w:pPr>
            <w:r w:rsidRPr="00A67563">
              <w:rPr>
                <w:color w:val="000000" w:themeColor="text1"/>
                <w:sz w:val="24"/>
              </w:rPr>
              <w:t>95.26</w:t>
            </w:r>
          </w:p>
        </w:tc>
      </w:tr>
    </w:tbl>
    <w:p w:rsidR="005B6AC7" w:rsidRPr="00A67563" w:rsidRDefault="000A521D"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注：以上分类采用全球行业分类标准（</w:t>
      </w:r>
      <w:r w:rsidRPr="00A67563">
        <w:rPr>
          <w:color w:val="000000" w:themeColor="text1"/>
          <w:sz w:val="24"/>
        </w:rPr>
        <w:t>GICS</w:t>
      </w:r>
      <w:r w:rsidRPr="00A67563">
        <w:rPr>
          <w:color w:val="000000" w:themeColor="text1"/>
          <w:sz w:val="24"/>
        </w:rPr>
        <w:t>）。</w:t>
      </w:r>
    </w:p>
    <w:p w:rsidR="000A521D" w:rsidRPr="00A67563" w:rsidRDefault="000A521D" w:rsidP="008B6A4A">
      <w:pPr>
        <w:autoSpaceDE w:val="0"/>
        <w:autoSpaceDN w:val="0"/>
        <w:adjustRightInd w:val="0"/>
        <w:spacing w:line="360" w:lineRule="auto"/>
        <w:jc w:val="left"/>
        <w:rPr>
          <w:color w:val="000000" w:themeColor="text1"/>
          <w:sz w:val="24"/>
        </w:rPr>
      </w:pPr>
    </w:p>
    <w:p w:rsidR="0076518F" w:rsidRPr="00A67563" w:rsidRDefault="008C71EB"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w:t>
      </w:r>
      <w:r w:rsidR="002A0FA2" w:rsidRPr="00A67563">
        <w:rPr>
          <w:b/>
          <w:color w:val="000000" w:themeColor="text1"/>
          <w:kern w:val="0"/>
          <w:sz w:val="24"/>
        </w:rPr>
        <w:t>4</w:t>
      </w:r>
      <w:r w:rsidR="0076518F" w:rsidRPr="00A67563">
        <w:rPr>
          <w:b/>
          <w:color w:val="000000" w:themeColor="text1"/>
          <w:kern w:val="0"/>
          <w:sz w:val="24"/>
        </w:rPr>
        <w:t xml:space="preserve"> </w:t>
      </w:r>
      <w:r w:rsidR="0076518F" w:rsidRPr="00A67563">
        <w:rPr>
          <w:b/>
          <w:color w:val="000000" w:themeColor="text1"/>
          <w:kern w:val="0"/>
          <w:sz w:val="24"/>
        </w:rPr>
        <w:t>报告期末按公允价值占基金资产净值比例大小排序的前十名股票及存托凭证投资明细</w:t>
      </w:r>
    </w:p>
    <w:tbl>
      <w:tblPr>
        <w:tblStyle w:val="af7"/>
        <w:tblW w:w="0" w:type="auto"/>
        <w:tblInd w:w="15" w:type="dxa"/>
        <w:tblLook w:val="04A0" w:firstRow="1" w:lastRow="0" w:firstColumn="1" w:lastColumn="0" w:noHBand="0" w:noVBand="1"/>
      </w:tblPr>
      <w:tblGrid>
        <w:gridCol w:w="478"/>
        <w:gridCol w:w="1678"/>
        <w:gridCol w:w="704"/>
        <w:gridCol w:w="732"/>
        <w:gridCol w:w="816"/>
        <w:gridCol w:w="717"/>
        <w:gridCol w:w="956"/>
        <w:gridCol w:w="1476"/>
        <w:gridCol w:w="956"/>
      </w:tblGrid>
      <w:tr w:rsidR="008277FF" w:rsidRPr="00A67563" w:rsidTr="001C7D5D">
        <w:tc>
          <w:tcPr>
            <w:tcW w:w="794" w:type="dxa"/>
            <w:vAlign w:val="center"/>
          </w:tcPr>
          <w:p w:rsidR="001C7D5D" w:rsidRPr="00A67563" w:rsidRDefault="001C7D5D"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kern w:val="0"/>
                <w:sz w:val="24"/>
              </w:rPr>
              <w:t>序号</w:t>
            </w:r>
          </w:p>
        </w:tc>
        <w:tc>
          <w:tcPr>
            <w:tcW w:w="974" w:type="dxa"/>
            <w:vAlign w:val="center"/>
          </w:tcPr>
          <w:p w:rsidR="001C7D5D" w:rsidRPr="00A67563" w:rsidRDefault="001C7D5D" w:rsidP="001C7D5D">
            <w:pPr>
              <w:adjustRightInd w:val="0"/>
              <w:snapToGrid w:val="0"/>
              <w:spacing w:line="400" w:lineRule="exact"/>
              <w:jc w:val="center"/>
              <w:rPr>
                <w:color w:val="000000" w:themeColor="text1"/>
                <w:kern w:val="0"/>
                <w:sz w:val="24"/>
              </w:rPr>
            </w:pPr>
            <w:r w:rsidRPr="00A67563">
              <w:rPr>
                <w:color w:val="000000" w:themeColor="text1"/>
                <w:kern w:val="0"/>
                <w:sz w:val="24"/>
              </w:rPr>
              <w:t>公司名称（英文）</w:t>
            </w:r>
          </w:p>
        </w:tc>
        <w:tc>
          <w:tcPr>
            <w:tcW w:w="1019" w:type="dxa"/>
            <w:vAlign w:val="center"/>
          </w:tcPr>
          <w:p w:rsidR="001C7D5D" w:rsidRPr="00A67563" w:rsidRDefault="001C7D5D" w:rsidP="00797DD2">
            <w:pPr>
              <w:adjustRightInd w:val="0"/>
              <w:snapToGrid w:val="0"/>
              <w:spacing w:line="400" w:lineRule="exact"/>
              <w:jc w:val="center"/>
              <w:rPr>
                <w:color w:val="000000" w:themeColor="text1"/>
                <w:kern w:val="0"/>
                <w:sz w:val="24"/>
              </w:rPr>
            </w:pPr>
            <w:r w:rsidRPr="00A67563">
              <w:rPr>
                <w:color w:val="000000" w:themeColor="text1"/>
                <w:kern w:val="0"/>
                <w:sz w:val="24"/>
              </w:rPr>
              <w:t>公司名称（中文）</w:t>
            </w:r>
          </w:p>
        </w:tc>
        <w:tc>
          <w:tcPr>
            <w:tcW w:w="703" w:type="dxa"/>
            <w:vAlign w:val="center"/>
          </w:tcPr>
          <w:p w:rsidR="001C7D5D" w:rsidRPr="00A67563" w:rsidRDefault="001C7D5D" w:rsidP="00797DD2">
            <w:pPr>
              <w:adjustRightInd w:val="0"/>
              <w:snapToGrid w:val="0"/>
              <w:spacing w:line="400" w:lineRule="exact"/>
              <w:jc w:val="center"/>
              <w:rPr>
                <w:color w:val="000000" w:themeColor="text1"/>
                <w:kern w:val="0"/>
                <w:sz w:val="24"/>
              </w:rPr>
            </w:pPr>
            <w:r w:rsidRPr="00A67563">
              <w:rPr>
                <w:color w:val="000000" w:themeColor="text1"/>
                <w:kern w:val="0"/>
                <w:sz w:val="24"/>
              </w:rPr>
              <w:t>证券代码</w:t>
            </w:r>
          </w:p>
        </w:tc>
        <w:tc>
          <w:tcPr>
            <w:tcW w:w="793" w:type="dxa"/>
            <w:vAlign w:val="center"/>
          </w:tcPr>
          <w:p w:rsidR="001C7D5D" w:rsidRPr="00A67563" w:rsidRDefault="001C7D5D"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kern w:val="0"/>
                <w:sz w:val="24"/>
              </w:rPr>
              <w:t>所在证</w:t>
            </w:r>
          </w:p>
          <w:p w:rsidR="001C7D5D" w:rsidRPr="00A67563" w:rsidRDefault="001C7D5D"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kern w:val="0"/>
                <w:sz w:val="24"/>
              </w:rPr>
              <w:t>券市场</w:t>
            </w:r>
          </w:p>
        </w:tc>
        <w:tc>
          <w:tcPr>
            <w:tcW w:w="969" w:type="dxa"/>
            <w:vAlign w:val="center"/>
          </w:tcPr>
          <w:p w:rsidR="001C7D5D" w:rsidRPr="00A67563" w:rsidRDefault="001C7D5D"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kern w:val="0"/>
                <w:sz w:val="24"/>
              </w:rPr>
              <w:t>所属国家</w:t>
            </w:r>
          </w:p>
          <w:p w:rsidR="001C7D5D" w:rsidRPr="00A67563" w:rsidRDefault="001C7D5D"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kern w:val="0"/>
                <w:sz w:val="24"/>
              </w:rPr>
              <w:t>（地区</w:t>
            </w:r>
            <w:r w:rsidRPr="00A67563">
              <w:rPr>
                <w:color w:val="000000" w:themeColor="text1"/>
                <w:kern w:val="0"/>
                <w:sz w:val="24"/>
              </w:rPr>
              <w:t>)</w:t>
            </w:r>
          </w:p>
        </w:tc>
        <w:tc>
          <w:tcPr>
            <w:tcW w:w="1146" w:type="dxa"/>
            <w:vAlign w:val="center"/>
          </w:tcPr>
          <w:p w:rsidR="001C7D5D" w:rsidRPr="00A67563" w:rsidRDefault="001C7D5D"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kern w:val="0"/>
                <w:sz w:val="24"/>
              </w:rPr>
              <w:t>数量</w:t>
            </w:r>
          </w:p>
          <w:p w:rsidR="001C7D5D" w:rsidRPr="00A67563" w:rsidRDefault="001C7D5D"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kern w:val="0"/>
                <w:sz w:val="24"/>
              </w:rPr>
              <w:t>（股）</w:t>
            </w:r>
          </w:p>
        </w:tc>
        <w:tc>
          <w:tcPr>
            <w:tcW w:w="969" w:type="dxa"/>
            <w:vAlign w:val="center"/>
          </w:tcPr>
          <w:p w:rsidR="001C7D5D" w:rsidRPr="00A67563" w:rsidRDefault="001C7D5D"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kern w:val="0"/>
                <w:sz w:val="24"/>
              </w:rPr>
              <w:t>公允价值（人民币元）</w:t>
            </w:r>
          </w:p>
        </w:tc>
        <w:tc>
          <w:tcPr>
            <w:tcW w:w="1146" w:type="dxa"/>
            <w:vAlign w:val="center"/>
          </w:tcPr>
          <w:p w:rsidR="001C7D5D" w:rsidRPr="00A67563" w:rsidRDefault="001C7D5D"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kern w:val="0"/>
                <w:sz w:val="24"/>
              </w:rPr>
              <w:t>占基金资产净值比例（％）</w:t>
            </w:r>
          </w:p>
        </w:tc>
      </w:tr>
      <w:tr w:rsidR="002755C3">
        <w:tc>
          <w:tcPr>
            <w:tcW w:w="0" w:type="auto"/>
            <w:vAlign w:val="center"/>
          </w:tcPr>
          <w:p w:rsidR="002755C3" w:rsidRDefault="00AE4B60">
            <w:pPr>
              <w:jc w:val="center"/>
            </w:pPr>
            <w:r>
              <w:rPr>
                <w:color w:val="000000" w:themeColor="text1"/>
                <w:sz w:val="24"/>
              </w:rPr>
              <w:t>1</w:t>
            </w:r>
          </w:p>
        </w:tc>
        <w:tc>
          <w:tcPr>
            <w:tcW w:w="0" w:type="auto"/>
            <w:vAlign w:val="center"/>
          </w:tcPr>
          <w:p w:rsidR="002755C3" w:rsidRDefault="00AE4B60">
            <w:pPr>
              <w:jc w:val="center"/>
            </w:pPr>
            <w:r>
              <w:rPr>
                <w:color w:val="000000" w:themeColor="text1"/>
                <w:sz w:val="24"/>
              </w:rPr>
              <w:t>LVMH Moet Hennessy Louis Vuitton SE</w:t>
            </w:r>
          </w:p>
        </w:tc>
        <w:tc>
          <w:tcPr>
            <w:tcW w:w="0" w:type="auto"/>
            <w:vAlign w:val="center"/>
          </w:tcPr>
          <w:p w:rsidR="002755C3" w:rsidRDefault="00AE4B60">
            <w:pPr>
              <w:jc w:val="center"/>
            </w:pPr>
            <w:r>
              <w:rPr>
                <w:color w:val="000000" w:themeColor="text1"/>
                <w:sz w:val="24"/>
              </w:rPr>
              <w:t>-</w:t>
            </w:r>
          </w:p>
        </w:tc>
        <w:tc>
          <w:tcPr>
            <w:tcW w:w="0" w:type="auto"/>
            <w:vAlign w:val="center"/>
          </w:tcPr>
          <w:p w:rsidR="002755C3" w:rsidRDefault="00AE4B60">
            <w:pPr>
              <w:jc w:val="center"/>
            </w:pPr>
            <w:r>
              <w:rPr>
                <w:color w:val="000000" w:themeColor="text1"/>
                <w:sz w:val="24"/>
              </w:rPr>
              <w:t>MC FP</w:t>
            </w:r>
          </w:p>
        </w:tc>
        <w:tc>
          <w:tcPr>
            <w:tcW w:w="0" w:type="auto"/>
            <w:vAlign w:val="center"/>
          </w:tcPr>
          <w:p w:rsidR="002755C3" w:rsidRDefault="00AE4B60">
            <w:pPr>
              <w:jc w:val="center"/>
            </w:pPr>
            <w:r>
              <w:rPr>
                <w:color w:val="000000" w:themeColor="text1"/>
                <w:sz w:val="24"/>
              </w:rPr>
              <w:t>泛欧证券交易所</w:t>
            </w:r>
          </w:p>
        </w:tc>
        <w:tc>
          <w:tcPr>
            <w:tcW w:w="0" w:type="auto"/>
            <w:vAlign w:val="center"/>
          </w:tcPr>
          <w:p w:rsidR="002755C3" w:rsidRDefault="00AE4B60">
            <w:pPr>
              <w:jc w:val="center"/>
            </w:pPr>
            <w:r>
              <w:rPr>
                <w:color w:val="000000" w:themeColor="text1"/>
                <w:sz w:val="24"/>
              </w:rPr>
              <w:t>法国</w:t>
            </w:r>
          </w:p>
        </w:tc>
        <w:tc>
          <w:tcPr>
            <w:tcW w:w="0" w:type="auto"/>
            <w:vAlign w:val="center"/>
          </w:tcPr>
          <w:p w:rsidR="002755C3" w:rsidRDefault="00AE4B60">
            <w:pPr>
              <w:jc w:val="right"/>
            </w:pPr>
            <w:r>
              <w:rPr>
                <w:color w:val="000000" w:themeColor="text1"/>
                <w:sz w:val="24"/>
              </w:rPr>
              <w:t>1,770</w:t>
            </w:r>
          </w:p>
        </w:tc>
        <w:tc>
          <w:tcPr>
            <w:tcW w:w="0" w:type="auto"/>
            <w:vAlign w:val="center"/>
          </w:tcPr>
          <w:p w:rsidR="002755C3" w:rsidRDefault="00AE4B60">
            <w:pPr>
              <w:jc w:val="right"/>
            </w:pPr>
            <w:r>
              <w:rPr>
                <w:color w:val="000000" w:themeColor="text1"/>
                <w:sz w:val="24"/>
              </w:rPr>
              <w:t>5,004,539.01</w:t>
            </w:r>
          </w:p>
        </w:tc>
        <w:tc>
          <w:tcPr>
            <w:tcW w:w="0" w:type="auto"/>
            <w:vAlign w:val="center"/>
          </w:tcPr>
          <w:p w:rsidR="002755C3" w:rsidRDefault="00AE4B60">
            <w:pPr>
              <w:jc w:val="right"/>
            </w:pPr>
            <w:r>
              <w:rPr>
                <w:color w:val="000000" w:themeColor="text1"/>
                <w:sz w:val="24"/>
              </w:rPr>
              <w:t>10.04</w:t>
            </w:r>
          </w:p>
        </w:tc>
      </w:tr>
      <w:tr w:rsidR="002755C3">
        <w:tc>
          <w:tcPr>
            <w:tcW w:w="0" w:type="auto"/>
            <w:vAlign w:val="center"/>
          </w:tcPr>
          <w:p w:rsidR="002755C3" w:rsidRDefault="00AE4B60">
            <w:pPr>
              <w:jc w:val="center"/>
            </w:pPr>
            <w:r>
              <w:rPr>
                <w:color w:val="000000" w:themeColor="text1"/>
                <w:sz w:val="24"/>
              </w:rPr>
              <w:t>2</w:t>
            </w:r>
          </w:p>
        </w:tc>
        <w:tc>
          <w:tcPr>
            <w:tcW w:w="0" w:type="auto"/>
            <w:vAlign w:val="center"/>
          </w:tcPr>
          <w:p w:rsidR="002755C3" w:rsidRDefault="00AE4B60">
            <w:pPr>
              <w:jc w:val="center"/>
            </w:pPr>
            <w:r>
              <w:rPr>
                <w:color w:val="000000" w:themeColor="text1"/>
                <w:sz w:val="24"/>
              </w:rPr>
              <w:t>Kering SA</w:t>
            </w:r>
          </w:p>
        </w:tc>
        <w:tc>
          <w:tcPr>
            <w:tcW w:w="0" w:type="auto"/>
            <w:vAlign w:val="center"/>
          </w:tcPr>
          <w:p w:rsidR="002755C3" w:rsidRDefault="00AE4B60">
            <w:pPr>
              <w:jc w:val="center"/>
            </w:pPr>
            <w:r>
              <w:rPr>
                <w:color w:val="000000" w:themeColor="text1"/>
                <w:sz w:val="24"/>
              </w:rPr>
              <w:t>-</w:t>
            </w:r>
          </w:p>
        </w:tc>
        <w:tc>
          <w:tcPr>
            <w:tcW w:w="0" w:type="auto"/>
            <w:vAlign w:val="center"/>
          </w:tcPr>
          <w:p w:rsidR="002755C3" w:rsidRDefault="00AE4B60">
            <w:pPr>
              <w:jc w:val="center"/>
            </w:pPr>
            <w:r>
              <w:rPr>
                <w:color w:val="000000" w:themeColor="text1"/>
                <w:sz w:val="24"/>
              </w:rPr>
              <w:t>KER FP</w:t>
            </w:r>
          </w:p>
        </w:tc>
        <w:tc>
          <w:tcPr>
            <w:tcW w:w="0" w:type="auto"/>
            <w:vAlign w:val="center"/>
          </w:tcPr>
          <w:p w:rsidR="002755C3" w:rsidRDefault="00AE4B60">
            <w:pPr>
              <w:jc w:val="center"/>
            </w:pPr>
            <w:r>
              <w:rPr>
                <w:color w:val="000000" w:themeColor="text1"/>
                <w:sz w:val="24"/>
              </w:rPr>
              <w:t>泛欧证券交易所</w:t>
            </w:r>
          </w:p>
        </w:tc>
        <w:tc>
          <w:tcPr>
            <w:tcW w:w="0" w:type="auto"/>
            <w:vAlign w:val="center"/>
          </w:tcPr>
          <w:p w:rsidR="002755C3" w:rsidRDefault="00AE4B60">
            <w:pPr>
              <w:jc w:val="center"/>
            </w:pPr>
            <w:r>
              <w:rPr>
                <w:color w:val="000000" w:themeColor="text1"/>
                <w:sz w:val="24"/>
              </w:rPr>
              <w:t>法国</w:t>
            </w:r>
          </w:p>
        </w:tc>
        <w:tc>
          <w:tcPr>
            <w:tcW w:w="0" w:type="auto"/>
            <w:vAlign w:val="center"/>
          </w:tcPr>
          <w:p w:rsidR="002755C3" w:rsidRDefault="00AE4B60">
            <w:pPr>
              <w:jc w:val="right"/>
            </w:pPr>
            <w:r>
              <w:rPr>
                <w:color w:val="000000" w:themeColor="text1"/>
                <w:sz w:val="24"/>
              </w:rPr>
              <w:t>1,004</w:t>
            </w:r>
          </w:p>
        </w:tc>
        <w:tc>
          <w:tcPr>
            <w:tcW w:w="0" w:type="auto"/>
            <w:vAlign w:val="center"/>
          </w:tcPr>
          <w:p w:rsidR="002755C3" w:rsidRDefault="00AE4B60">
            <w:pPr>
              <w:jc w:val="right"/>
            </w:pPr>
            <w:r>
              <w:rPr>
                <w:color w:val="000000" w:themeColor="text1"/>
                <w:sz w:val="24"/>
              </w:rPr>
              <w:t>3,639,790.35</w:t>
            </w:r>
          </w:p>
        </w:tc>
        <w:tc>
          <w:tcPr>
            <w:tcW w:w="0" w:type="auto"/>
            <w:vAlign w:val="center"/>
          </w:tcPr>
          <w:p w:rsidR="002755C3" w:rsidRDefault="00AE4B60">
            <w:pPr>
              <w:jc w:val="right"/>
            </w:pPr>
            <w:r>
              <w:rPr>
                <w:color w:val="000000" w:themeColor="text1"/>
                <w:sz w:val="24"/>
              </w:rPr>
              <w:t>7.30</w:t>
            </w:r>
          </w:p>
        </w:tc>
      </w:tr>
      <w:tr w:rsidR="002755C3">
        <w:tc>
          <w:tcPr>
            <w:tcW w:w="0" w:type="auto"/>
            <w:vAlign w:val="center"/>
          </w:tcPr>
          <w:p w:rsidR="002755C3" w:rsidRDefault="00AE4B60">
            <w:pPr>
              <w:jc w:val="center"/>
            </w:pPr>
            <w:r>
              <w:rPr>
                <w:color w:val="000000" w:themeColor="text1"/>
                <w:sz w:val="24"/>
              </w:rPr>
              <w:t>3</w:t>
            </w:r>
          </w:p>
        </w:tc>
        <w:tc>
          <w:tcPr>
            <w:tcW w:w="0" w:type="auto"/>
            <w:vAlign w:val="center"/>
          </w:tcPr>
          <w:p w:rsidR="002755C3" w:rsidRDefault="00AE4B60">
            <w:pPr>
              <w:jc w:val="center"/>
            </w:pPr>
            <w:r>
              <w:rPr>
                <w:color w:val="000000" w:themeColor="text1"/>
                <w:sz w:val="24"/>
              </w:rPr>
              <w:t>NIKE Inc</w:t>
            </w:r>
          </w:p>
        </w:tc>
        <w:tc>
          <w:tcPr>
            <w:tcW w:w="0" w:type="auto"/>
            <w:vAlign w:val="center"/>
          </w:tcPr>
          <w:p w:rsidR="002755C3" w:rsidRDefault="00AE4B60">
            <w:pPr>
              <w:jc w:val="center"/>
            </w:pPr>
            <w:r>
              <w:rPr>
                <w:color w:val="000000" w:themeColor="text1"/>
                <w:sz w:val="24"/>
              </w:rPr>
              <w:t>-</w:t>
            </w:r>
          </w:p>
        </w:tc>
        <w:tc>
          <w:tcPr>
            <w:tcW w:w="0" w:type="auto"/>
            <w:vAlign w:val="center"/>
          </w:tcPr>
          <w:p w:rsidR="002755C3" w:rsidRDefault="00AE4B60">
            <w:pPr>
              <w:jc w:val="center"/>
            </w:pPr>
            <w:r>
              <w:rPr>
                <w:color w:val="000000" w:themeColor="text1"/>
                <w:sz w:val="24"/>
              </w:rPr>
              <w:t>NKE US</w:t>
            </w:r>
          </w:p>
        </w:tc>
        <w:tc>
          <w:tcPr>
            <w:tcW w:w="0" w:type="auto"/>
            <w:vAlign w:val="center"/>
          </w:tcPr>
          <w:p w:rsidR="002755C3" w:rsidRDefault="00AE4B60">
            <w:pPr>
              <w:jc w:val="center"/>
            </w:pPr>
            <w:r>
              <w:rPr>
                <w:color w:val="000000" w:themeColor="text1"/>
                <w:sz w:val="24"/>
              </w:rPr>
              <w:t>纽约证券交易所</w:t>
            </w:r>
          </w:p>
        </w:tc>
        <w:tc>
          <w:tcPr>
            <w:tcW w:w="0" w:type="auto"/>
            <w:vAlign w:val="center"/>
          </w:tcPr>
          <w:p w:rsidR="002755C3" w:rsidRDefault="00AE4B60">
            <w:pPr>
              <w:jc w:val="center"/>
            </w:pPr>
            <w:r>
              <w:rPr>
                <w:color w:val="000000" w:themeColor="text1"/>
                <w:sz w:val="24"/>
              </w:rPr>
              <w:t>美国</w:t>
            </w:r>
          </w:p>
        </w:tc>
        <w:tc>
          <w:tcPr>
            <w:tcW w:w="0" w:type="auto"/>
            <w:vAlign w:val="center"/>
          </w:tcPr>
          <w:p w:rsidR="002755C3" w:rsidRDefault="00AE4B60">
            <w:pPr>
              <w:jc w:val="right"/>
            </w:pPr>
            <w:r>
              <w:rPr>
                <w:color w:val="000000" w:themeColor="text1"/>
                <w:sz w:val="24"/>
              </w:rPr>
              <w:t>5,470</w:t>
            </w:r>
          </w:p>
        </w:tc>
        <w:tc>
          <w:tcPr>
            <w:tcW w:w="0" w:type="auto"/>
            <w:vAlign w:val="center"/>
          </w:tcPr>
          <w:p w:rsidR="002755C3" w:rsidRDefault="00AE4B60">
            <w:pPr>
              <w:jc w:val="right"/>
            </w:pPr>
            <w:r>
              <w:rPr>
                <w:color w:val="000000" w:themeColor="text1"/>
                <w:sz w:val="24"/>
              </w:rPr>
              <w:t>3,633,648.62</w:t>
            </w:r>
          </w:p>
        </w:tc>
        <w:tc>
          <w:tcPr>
            <w:tcW w:w="0" w:type="auto"/>
            <w:vAlign w:val="center"/>
          </w:tcPr>
          <w:p w:rsidR="002755C3" w:rsidRDefault="00AE4B60">
            <w:pPr>
              <w:jc w:val="right"/>
            </w:pPr>
            <w:r>
              <w:rPr>
                <w:color w:val="000000" w:themeColor="text1"/>
                <w:sz w:val="24"/>
              </w:rPr>
              <w:t>7.29</w:t>
            </w:r>
          </w:p>
        </w:tc>
      </w:tr>
      <w:tr w:rsidR="002755C3">
        <w:tc>
          <w:tcPr>
            <w:tcW w:w="0" w:type="auto"/>
            <w:vAlign w:val="center"/>
          </w:tcPr>
          <w:p w:rsidR="002755C3" w:rsidRDefault="00AE4B60">
            <w:pPr>
              <w:jc w:val="center"/>
            </w:pPr>
            <w:r>
              <w:rPr>
                <w:color w:val="000000" w:themeColor="text1"/>
                <w:sz w:val="24"/>
              </w:rPr>
              <w:t>4</w:t>
            </w:r>
          </w:p>
        </w:tc>
        <w:tc>
          <w:tcPr>
            <w:tcW w:w="0" w:type="auto"/>
            <w:vAlign w:val="center"/>
          </w:tcPr>
          <w:p w:rsidR="002755C3" w:rsidRDefault="00AE4B60">
            <w:pPr>
              <w:jc w:val="center"/>
            </w:pPr>
            <w:r>
              <w:rPr>
                <w:color w:val="000000" w:themeColor="text1"/>
                <w:sz w:val="24"/>
              </w:rPr>
              <w:t>Estee Lauder Cos Inc</w:t>
            </w:r>
          </w:p>
        </w:tc>
        <w:tc>
          <w:tcPr>
            <w:tcW w:w="0" w:type="auto"/>
            <w:vAlign w:val="center"/>
          </w:tcPr>
          <w:p w:rsidR="002755C3" w:rsidRDefault="00AE4B60">
            <w:pPr>
              <w:jc w:val="center"/>
            </w:pPr>
            <w:r>
              <w:rPr>
                <w:color w:val="000000" w:themeColor="text1"/>
                <w:sz w:val="24"/>
              </w:rPr>
              <w:t>-</w:t>
            </w:r>
          </w:p>
        </w:tc>
        <w:tc>
          <w:tcPr>
            <w:tcW w:w="0" w:type="auto"/>
            <w:vAlign w:val="center"/>
          </w:tcPr>
          <w:p w:rsidR="002755C3" w:rsidRDefault="00AE4B60">
            <w:pPr>
              <w:jc w:val="center"/>
            </w:pPr>
            <w:r>
              <w:rPr>
                <w:color w:val="000000" w:themeColor="text1"/>
                <w:sz w:val="24"/>
              </w:rPr>
              <w:t>EL US</w:t>
            </w:r>
          </w:p>
        </w:tc>
        <w:tc>
          <w:tcPr>
            <w:tcW w:w="0" w:type="auto"/>
            <w:vAlign w:val="center"/>
          </w:tcPr>
          <w:p w:rsidR="002755C3" w:rsidRDefault="00AE4B60">
            <w:pPr>
              <w:jc w:val="center"/>
            </w:pPr>
            <w:r>
              <w:rPr>
                <w:color w:val="000000" w:themeColor="text1"/>
                <w:sz w:val="24"/>
              </w:rPr>
              <w:t>纽约证券交易所</w:t>
            </w:r>
          </w:p>
        </w:tc>
        <w:tc>
          <w:tcPr>
            <w:tcW w:w="0" w:type="auto"/>
            <w:vAlign w:val="center"/>
          </w:tcPr>
          <w:p w:rsidR="002755C3" w:rsidRDefault="00AE4B60">
            <w:pPr>
              <w:jc w:val="center"/>
            </w:pPr>
            <w:r>
              <w:rPr>
                <w:color w:val="000000" w:themeColor="text1"/>
                <w:sz w:val="24"/>
              </w:rPr>
              <w:t>美国</w:t>
            </w:r>
          </w:p>
        </w:tc>
        <w:tc>
          <w:tcPr>
            <w:tcW w:w="0" w:type="auto"/>
            <w:vAlign w:val="center"/>
          </w:tcPr>
          <w:p w:rsidR="002755C3" w:rsidRDefault="00AE4B60">
            <w:pPr>
              <w:jc w:val="right"/>
            </w:pPr>
            <w:r>
              <w:rPr>
                <w:color w:val="000000" w:themeColor="text1"/>
                <w:sz w:val="24"/>
              </w:rPr>
              <w:t>2,373</w:t>
            </w:r>
          </w:p>
        </w:tc>
        <w:tc>
          <w:tcPr>
            <w:tcW w:w="0" w:type="auto"/>
            <w:vAlign w:val="center"/>
          </w:tcPr>
          <w:p w:rsidR="002755C3" w:rsidRDefault="00AE4B60">
            <w:pPr>
              <w:jc w:val="right"/>
            </w:pPr>
            <w:r>
              <w:rPr>
                <w:color w:val="000000" w:themeColor="text1"/>
                <w:sz w:val="24"/>
              </w:rPr>
              <w:t>3,339,175.15</w:t>
            </w:r>
          </w:p>
        </w:tc>
        <w:tc>
          <w:tcPr>
            <w:tcW w:w="0" w:type="auto"/>
            <w:vAlign w:val="center"/>
          </w:tcPr>
          <w:p w:rsidR="002755C3" w:rsidRDefault="00AE4B60">
            <w:pPr>
              <w:jc w:val="right"/>
            </w:pPr>
            <w:r>
              <w:rPr>
                <w:color w:val="000000" w:themeColor="text1"/>
                <w:sz w:val="24"/>
              </w:rPr>
              <w:t>6.70</w:t>
            </w:r>
          </w:p>
        </w:tc>
      </w:tr>
      <w:tr w:rsidR="002755C3">
        <w:tc>
          <w:tcPr>
            <w:tcW w:w="0" w:type="auto"/>
            <w:vAlign w:val="center"/>
          </w:tcPr>
          <w:p w:rsidR="002755C3" w:rsidRDefault="00AE4B60">
            <w:pPr>
              <w:jc w:val="center"/>
            </w:pPr>
            <w:r>
              <w:rPr>
                <w:color w:val="000000" w:themeColor="text1"/>
                <w:sz w:val="24"/>
              </w:rPr>
              <w:t>5</w:t>
            </w:r>
          </w:p>
        </w:tc>
        <w:tc>
          <w:tcPr>
            <w:tcW w:w="0" w:type="auto"/>
            <w:vAlign w:val="center"/>
          </w:tcPr>
          <w:p w:rsidR="002755C3" w:rsidRDefault="00AE4B60">
            <w:pPr>
              <w:jc w:val="center"/>
            </w:pPr>
            <w:r>
              <w:rPr>
                <w:color w:val="000000" w:themeColor="text1"/>
                <w:sz w:val="24"/>
              </w:rPr>
              <w:t>Diageo PLC</w:t>
            </w:r>
          </w:p>
        </w:tc>
        <w:tc>
          <w:tcPr>
            <w:tcW w:w="0" w:type="auto"/>
            <w:vAlign w:val="center"/>
          </w:tcPr>
          <w:p w:rsidR="002755C3" w:rsidRDefault="00AE4B60">
            <w:pPr>
              <w:jc w:val="center"/>
            </w:pPr>
            <w:r>
              <w:rPr>
                <w:color w:val="000000" w:themeColor="text1"/>
                <w:sz w:val="24"/>
              </w:rPr>
              <w:t>-</w:t>
            </w:r>
          </w:p>
        </w:tc>
        <w:tc>
          <w:tcPr>
            <w:tcW w:w="0" w:type="auto"/>
            <w:vAlign w:val="center"/>
          </w:tcPr>
          <w:p w:rsidR="002755C3" w:rsidRDefault="00AE4B60">
            <w:pPr>
              <w:jc w:val="center"/>
            </w:pPr>
            <w:r>
              <w:rPr>
                <w:color w:val="000000" w:themeColor="text1"/>
                <w:sz w:val="24"/>
              </w:rPr>
              <w:t>DGE LN</w:t>
            </w:r>
          </w:p>
        </w:tc>
        <w:tc>
          <w:tcPr>
            <w:tcW w:w="0" w:type="auto"/>
            <w:vAlign w:val="center"/>
          </w:tcPr>
          <w:p w:rsidR="002755C3" w:rsidRDefault="00AE4B60">
            <w:pPr>
              <w:jc w:val="center"/>
            </w:pPr>
            <w:r>
              <w:rPr>
                <w:color w:val="000000" w:themeColor="text1"/>
                <w:sz w:val="24"/>
              </w:rPr>
              <w:t>伦敦证券交易所</w:t>
            </w:r>
          </w:p>
        </w:tc>
        <w:tc>
          <w:tcPr>
            <w:tcW w:w="0" w:type="auto"/>
            <w:vAlign w:val="center"/>
          </w:tcPr>
          <w:p w:rsidR="002755C3" w:rsidRDefault="00AE4B60">
            <w:pPr>
              <w:jc w:val="center"/>
            </w:pPr>
            <w:r>
              <w:rPr>
                <w:color w:val="000000" w:themeColor="text1"/>
                <w:sz w:val="24"/>
              </w:rPr>
              <w:t>英国</w:t>
            </w:r>
          </w:p>
        </w:tc>
        <w:tc>
          <w:tcPr>
            <w:tcW w:w="0" w:type="auto"/>
            <w:vAlign w:val="center"/>
          </w:tcPr>
          <w:p w:rsidR="002755C3" w:rsidRDefault="00AE4B60">
            <w:pPr>
              <w:jc w:val="right"/>
            </w:pPr>
            <w:r>
              <w:rPr>
                <w:color w:val="000000" w:themeColor="text1"/>
                <w:sz w:val="24"/>
              </w:rPr>
              <w:t>8,565</w:t>
            </w:r>
          </w:p>
        </w:tc>
        <w:tc>
          <w:tcPr>
            <w:tcW w:w="0" w:type="auto"/>
            <w:vAlign w:val="center"/>
          </w:tcPr>
          <w:p w:rsidR="002755C3" w:rsidRDefault="00AE4B60">
            <w:pPr>
              <w:jc w:val="right"/>
            </w:pPr>
            <w:r>
              <w:rPr>
                <w:color w:val="000000" w:themeColor="text1"/>
                <w:sz w:val="24"/>
              </w:rPr>
              <w:t>2,488,625.91</w:t>
            </w:r>
          </w:p>
        </w:tc>
        <w:tc>
          <w:tcPr>
            <w:tcW w:w="0" w:type="auto"/>
            <w:vAlign w:val="center"/>
          </w:tcPr>
          <w:p w:rsidR="002755C3" w:rsidRDefault="00AE4B60">
            <w:pPr>
              <w:jc w:val="right"/>
            </w:pPr>
            <w:r>
              <w:rPr>
                <w:color w:val="000000" w:themeColor="text1"/>
                <w:sz w:val="24"/>
              </w:rPr>
              <w:t>4.99</w:t>
            </w:r>
          </w:p>
        </w:tc>
      </w:tr>
      <w:tr w:rsidR="002755C3">
        <w:tc>
          <w:tcPr>
            <w:tcW w:w="0" w:type="auto"/>
            <w:vAlign w:val="center"/>
          </w:tcPr>
          <w:p w:rsidR="002755C3" w:rsidRDefault="00AE4B60">
            <w:pPr>
              <w:jc w:val="center"/>
            </w:pPr>
            <w:r>
              <w:rPr>
                <w:color w:val="000000" w:themeColor="text1"/>
                <w:sz w:val="24"/>
              </w:rPr>
              <w:t>6</w:t>
            </w:r>
          </w:p>
        </w:tc>
        <w:tc>
          <w:tcPr>
            <w:tcW w:w="0" w:type="auto"/>
            <w:vAlign w:val="center"/>
          </w:tcPr>
          <w:p w:rsidR="002755C3" w:rsidRDefault="00AE4B60">
            <w:pPr>
              <w:jc w:val="center"/>
            </w:pPr>
            <w:r>
              <w:rPr>
                <w:color w:val="000000" w:themeColor="text1"/>
                <w:sz w:val="24"/>
              </w:rPr>
              <w:t>Daimler AG</w:t>
            </w:r>
          </w:p>
        </w:tc>
        <w:tc>
          <w:tcPr>
            <w:tcW w:w="0" w:type="auto"/>
            <w:vAlign w:val="center"/>
          </w:tcPr>
          <w:p w:rsidR="002755C3" w:rsidRDefault="00AE4B60">
            <w:pPr>
              <w:jc w:val="center"/>
            </w:pPr>
            <w:r>
              <w:rPr>
                <w:color w:val="000000" w:themeColor="text1"/>
                <w:sz w:val="24"/>
              </w:rPr>
              <w:t>-</w:t>
            </w:r>
          </w:p>
        </w:tc>
        <w:tc>
          <w:tcPr>
            <w:tcW w:w="0" w:type="auto"/>
            <w:vAlign w:val="center"/>
          </w:tcPr>
          <w:p w:rsidR="002755C3" w:rsidRDefault="00AE4B60">
            <w:pPr>
              <w:jc w:val="center"/>
            </w:pPr>
            <w:r>
              <w:rPr>
                <w:color w:val="000000" w:themeColor="text1"/>
                <w:sz w:val="24"/>
              </w:rPr>
              <w:t>DAI GR</w:t>
            </w:r>
          </w:p>
        </w:tc>
        <w:tc>
          <w:tcPr>
            <w:tcW w:w="0" w:type="auto"/>
            <w:vAlign w:val="center"/>
          </w:tcPr>
          <w:p w:rsidR="002755C3" w:rsidRDefault="00AE4B60">
            <w:pPr>
              <w:jc w:val="center"/>
            </w:pPr>
            <w:r>
              <w:rPr>
                <w:color w:val="000000" w:themeColor="text1"/>
                <w:sz w:val="24"/>
              </w:rPr>
              <w:t>德国证券交易所</w:t>
            </w:r>
            <w:r>
              <w:rPr>
                <w:color w:val="000000" w:themeColor="text1"/>
                <w:sz w:val="24"/>
              </w:rPr>
              <w:t>Xetra</w:t>
            </w:r>
            <w:r>
              <w:rPr>
                <w:color w:val="000000" w:themeColor="text1"/>
                <w:sz w:val="24"/>
              </w:rPr>
              <w:t>交易平台</w:t>
            </w:r>
          </w:p>
        </w:tc>
        <w:tc>
          <w:tcPr>
            <w:tcW w:w="0" w:type="auto"/>
            <w:vAlign w:val="center"/>
          </w:tcPr>
          <w:p w:rsidR="002755C3" w:rsidRDefault="00AE4B60">
            <w:pPr>
              <w:jc w:val="center"/>
            </w:pPr>
            <w:r>
              <w:rPr>
                <w:color w:val="000000" w:themeColor="text1"/>
                <w:sz w:val="24"/>
              </w:rPr>
              <w:t>德国</w:t>
            </w:r>
          </w:p>
        </w:tc>
        <w:tc>
          <w:tcPr>
            <w:tcW w:w="0" w:type="auto"/>
            <w:vAlign w:val="center"/>
          </w:tcPr>
          <w:p w:rsidR="002755C3" w:rsidRDefault="00AE4B60">
            <w:pPr>
              <w:jc w:val="right"/>
            </w:pPr>
            <w:r>
              <w:rPr>
                <w:color w:val="000000" w:themeColor="text1"/>
                <w:sz w:val="24"/>
              </w:rPr>
              <w:t>6,902</w:t>
            </w:r>
          </w:p>
        </w:tc>
        <w:tc>
          <w:tcPr>
            <w:tcW w:w="0" w:type="auto"/>
            <w:vAlign w:val="center"/>
          </w:tcPr>
          <w:p w:rsidR="002755C3" w:rsidRDefault="00AE4B60">
            <w:pPr>
              <w:jc w:val="right"/>
            </w:pPr>
            <w:r>
              <w:rPr>
                <w:color w:val="000000" w:themeColor="text1"/>
                <w:sz w:val="24"/>
              </w:rPr>
              <w:t>2,441,433.11</w:t>
            </w:r>
          </w:p>
        </w:tc>
        <w:tc>
          <w:tcPr>
            <w:tcW w:w="0" w:type="auto"/>
            <w:vAlign w:val="center"/>
          </w:tcPr>
          <w:p w:rsidR="002755C3" w:rsidRDefault="00AE4B60">
            <w:pPr>
              <w:jc w:val="right"/>
            </w:pPr>
            <w:r>
              <w:rPr>
                <w:color w:val="000000" w:themeColor="text1"/>
                <w:sz w:val="24"/>
              </w:rPr>
              <w:t>4.90</w:t>
            </w:r>
          </w:p>
        </w:tc>
      </w:tr>
      <w:tr w:rsidR="002755C3">
        <w:tc>
          <w:tcPr>
            <w:tcW w:w="0" w:type="auto"/>
            <w:vAlign w:val="center"/>
          </w:tcPr>
          <w:p w:rsidR="002755C3" w:rsidRDefault="00AE4B60">
            <w:pPr>
              <w:jc w:val="center"/>
            </w:pPr>
            <w:r>
              <w:rPr>
                <w:color w:val="000000" w:themeColor="text1"/>
                <w:sz w:val="24"/>
              </w:rPr>
              <w:lastRenderedPageBreak/>
              <w:t>7</w:t>
            </w:r>
          </w:p>
        </w:tc>
        <w:tc>
          <w:tcPr>
            <w:tcW w:w="0" w:type="auto"/>
            <w:vAlign w:val="center"/>
          </w:tcPr>
          <w:p w:rsidR="002755C3" w:rsidRDefault="00AE4B60">
            <w:pPr>
              <w:jc w:val="center"/>
            </w:pPr>
            <w:r>
              <w:rPr>
                <w:color w:val="000000" w:themeColor="text1"/>
                <w:sz w:val="24"/>
              </w:rPr>
              <w:t>Shiseido Co Ltd</w:t>
            </w:r>
          </w:p>
        </w:tc>
        <w:tc>
          <w:tcPr>
            <w:tcW w:w="0" w:type="auto"/>
            <w:vAlign w:val="center"/>
          </w:tcPr>
          <w:p w:rsidR="002755C3" w:rsidRDefault="00AE4B60">
            <w:pPr>
              <w:jc w:val="center"/>
            </w:pPr>
            <w:r>
              <w:rPr>
                <w:color w:val="000000" w:themeColor="text1"/>
                <w:sz w:val="24"/>
              </w:rPr>
              <w:t>-</w:t>
            </w:r>
          </w:p>
        </w:tc>
        <w:tc>
          <w:tcPr>
            <w:tcW w:w="0" w:type="auto"/>
            <w:vAlign w:val="center"/>
          </w:tcPr>
          <w:p w:rsidR="002755C3" w:rsidRDefault="00AE4B60">
            <w:pPr>
              <w:jc w:val="center"/>
            </w:pPr>
            <w:r>
              <w:rPr>
                <w:color w:val="000000" w:themeColor="text1"/>
                <w:sz w:val="24"/>
              </w:rPr>
              <w:t>4911 JP</w:t>
            </w:r>
          </w:p>
        </w:tc>
        <w:tc>
          <w:tcPr>
            <w:tcW w:w="0" w:type="auto"/>
            <w:vAlign w:val="center"/>
          </w:tcPr>
          <w:p w:rsidR="002755C3" w:rsidRDefault="00AE4B60">
            <w:pPr>
              <w:jc w:val="center"/>
            </w:pPr>
            <w:r>
              <w:rPr>
                <w:color w:val="000000" w:themeColor="text1"/>
                <w:sz w:val="24"/>
              </w:rPr>
              <w:t>东京证券交易所</w:t>
            </w:r>
          </w:p>
        </w:tc>
        <w:tc>
          <w:tcPr>
            <w:tcW w:w="0" w:type="auto"/>
            <w:vAlign w:val="center"/>
          </w:tcPr>
          <w:p w:rsidR="002755C3" w:rsidRDefault="00AE4B60">
            <w:pPr>
              <w:jc w:val="center"/>
            </w:pPr>
            <w:r>
              <w:rPr>
                <w:color w:val="000000" w:themeColor="text1"/>
                <w:sz w:val="24"/>
              </w:rPr>
              <w:t>日本</w:t>
            </w:r>
          </w:p>
        </w:tc>
        <w:tc>
          <w:tcPr>
            <w:tcW w:w="0" w:type="auto"/>
            <w:vAlign w:val="center"/>
          </w:tcPr>
          <w:p w:rsidR="002755C3" w:rsidRDefault="00AE4B60">
            <w:pPr>
              <w:jc w:val="right"/>
            </w:pPr>
            <w:r>
              <w:rPr>
                <w:color w:val="000000" w:themeColor="text1"/>
                <w:sz w:val="24"/>
              </w:rPr>
              <w:t>4,300</w:t>
            </w:r>
          </w:p>
        </w:tc>
        <w:tc>
          <w:tcPr>
            <w:tcW w:w="0" w:type="auto"/>
            <w:vAlign w:val="center"/>
          </w:tcPr>
          <w:p w:rsidR="002755C3" w:rsidRDefault="00AE4B60">
            <w:pPr>
              <w:jc w:val="right"/>
            </w:pPr>
            <w:r>
              <w:rPr>
                <w:color w:val="000000" w:themeColor="text1"/>
                <w:sz w:val="24"/>
              </w:rPr>
              <w:t>2,437,741.69</w:t>
            </w:r>
          </w:p>
        </w:tc>
        <w:tc>
          <w:tcPr>
            <w:tcW w:w="0" w:type="auto"/>
            <w:vAlign w:val="center"/>
          </w:tcPr>
          <w:p w:rsidR="002755C3" w:rsidRDefault="00AE4B60">
            <w:pPr>
              <w:jc w:val="right"/>
            </w:pPr>
            <w:r>
              <w:rPr>
                <w:color w:val="000000" w:themeColor="text1"/>
                <w:sz w:val="24"/>
              </w:rPr>
              <w:t>4.89</w:t>
            </w:r>
          </w:p>
        </w:tc>
      </w:tr>
      <w:tr w:rsidR="002755C3">
        <w:tc>
          <w:tcPr>
            <w:tcW w:w="0" w:type="auto"/>
            <w:vAlign w:val="center"/>
          </w:tcPr>
          <w:p w:rsidR="002755C3" w:rsidRDefault="00AE4B60">
            <w:pPr>
              <w:jc w:val="center"/>
            </w:pPr>
            <w:r>
              <w:rPr>
                <w:color w:val="000000" w:themeColor="text1"/>
                <w:sz w:val="24"/>
              </w:rPr>
              <w:t>8</w:t>
            </w:r>
          </w:p>
        </w:tc>
        <w:tc>
          <w:tcPr>
            <w:tcW w:w="0" w:type="auto"/>
            <w:vAlign w:val="center"/>
          </w:tcPr>
          <w:p w:rsidR="002755C3" w:rsidRDefault="00AE4B60">
            <w:pPr>
              <w:jc w:val="center"/>
            </w:pPr>
            <w:r>
              <w:rPr>
                <w:color w:val="000000" w:themeColor="text1"/>
                <w:sz w:val="24"/>
              </w:rPr>
              <w:t>Pernod-Ricard SA</w:t>
            </w:r>
          </w:p>
        </w:tc>
        <w:tc>
          <w:tcPr>
            <w:tcW w:w="0" w:type="auto"/>
            <w:vAlign w:val="center"/>
          </w:tcPr>
          <w:p w:rsidR="002755C3" w:rsidRDefault="00AE4B60">
            <w:pPr>
              <w:jc w:val="center"/>
            </w:pPr>
            <w:r>
              <w:rPr>
                <w:color w:val="000000" w:themeColor="text1"/>
                <w:sz w:val="24"/>
              </w:rPr>
              <w:t>-</w:t>
            </w:r>
          </w:p>
        </w:tc>
        <w:tc>
          <w:tcPr>
            <w:tcW w:w="0" w:type="auto"/>
            <w:vAlign w:val="center"/>
          </w:tcPr>
          <w:p w:rsidR="002755C3" w:rsidRDefault="00AE4B60">
            <w:pPr>
              <w:jc w:val="center"/>
            </w:pPr>
            <w:r>
              <w:rPr>
                <w:color w:val="000000" w:themeColor="text1"/>
                <w:sz w:val="24"/>
              </w:rPr>
              <w:t>RI FP</w:t>
            </w:r>
          </w:p>
        </w:tc>
        <w:tc>
          <w:tcPr>
            <w:tcW w:w="0" w:type="auto"/>
            <w:vAlign w:val="center"/>
          </w:tcPr>
          <w:p w:rsidR="002755C3" w:rsidRDefault="00AE4B60">
            <w:pPr>
              <w:jc w:val="center"/>
            </w:pPr>
            <w:r>
              <w:rPr>
                <w:color w:val="000000" w:themeColor="text1"/>
                <w:sz w:val="24"/>
              </w:rPr>
              <w:t>泛欧证券交易所</w:t>
            </w:r>
          </w:p>
        </w:tc>
        <w:tc>
          <w:tcPr>
            <w:tcW w:w="0" w:type="auto"/>
            <w:vAlign w:val="center"/>
          </w:tcPr>
          <w:p w:rsidR="002755C3" w:rsidRDefault="00AE4B60">
            <w:pPr>
              <w:jc w:val="center"/>
            </w:pPr>
            <w:r>
              <w:rPr>
                <w:color w:val="000000" w:themeColor="text1"/>
                <w:sz w:val="24"/>
              </w:rPr>
              <w:t>法国</w:t>
            </w:r>
          </w:p>
        </w:tc>
        <w:tc>
          <w:tcPr>
            <w:tcW w:w="0" w:type="auto"/>
            <w:vAlign w:val="center"/>
          </w:tcPr>
          <w:p w:rsidR="002755C3" w:rsidRDefault="00AE4B60">
            <w:pPr>
              <w:jc w:val="right"/>
            </w:pPr>
            <w:r>
              <w:rPr>
                <w:color w:val="000000" w:themeColor="text1"/>
                <w:sz w:val="24"/>
              </w:rPr>
              <w:t>1,658</w:t>
            </w:r>
          </w:p>
        </w:tc>
        <w:tc>
          <w:tcPr>
            <w:tcW w:w="0" w:type="auto"/>
            <w:vAlign w:val="center"/>
          </w:tcPr>
          <w:p w:rsidR="002755C3" w:rsidRDefault="00AE4B60">
            <w:pPr>
              <w:jc w:val="right"/>
            </w:pPr>
            <w:r>
              <w:rPr>
                <w:color w:val="000000" w:themeColor="text1"/>
                <w:sz w:val="24"/>
              </w:rPr>
              <w:t>2,100,637.79</w:t>
            </w:r>
          </w:p>
        </w:tc>
        <w:tc>
          <w:tcPr>
            <w:tcW w:w="0" w:type="auto"/>
            <w:vAlign w:val="center"/>
          </w:tcPr>
          <w:p w:rsidR="002755C3" w:rsidRDefault="00AE4B60">
            <w:pPr>
              <w:jc w:val="right"/>
            </w:pPr>
            <w:r>
              <w:rPr>
                <w:color w:val="000000" w:themeColor="text1"/>
                <w:sz w:val="24"/>
              </w:rPr>
              <w:t>4.21</w:t>
            </w:r>
          </w:p>
        </w:tc>
      </w:tr>
      <w:tr w:rsidR="002755C3">
        <w:tc>
          <w:tcPr>
            <w:tcW w:w="0" w:type="auto"/>
            <w:vAlign w:val="center"/>
          </w:tcPr>
          <w:p w:rsidR="002755C3" w:rsidRDefault="00AE4B60">
            <w:pPr>
              <w:jc w:val="center"/>
            </w:pPr>
            <w:r>
              <w:rPr>
                <w:color w:val="000000" w:themeColor="text1"/>
                <w:sz w:val="24"/>
              </w:rPr>
              <w:t>9</w:t>
            </w:r>
          </w:p>
        </w:tc>
        <w:tc>
          <w:tcPr>
            <w:tcW w:w="0" w:type="auto"/>
            <w:vAlign w:val="center"/>
          </w:tcPr>
          <w:p w:rsidR="002755C3" w:rsidRDefault="00AE4B60">
            <w:pPr>
              <w:jc w:val="center"/>
            </w:pPr>
            <w:r>
              <w:rPr>
                <w:color w:val="000000" w:themeColor="text1"/>
                <w:sz w:val="24"/>
              </w:rPr>
              <w:t>Cie Financiere Richemont SA</w:t>
            </w:r>
          </w:p>
        </w:tc>
        <w:tc>
          <w:tcPr>
            <w:tcW w:w="0" w:type="auto"/>
            <w:vAlign w:val="center"/>
          </w:tcPr>
          <w:p w:rsidR="002755C3" w:rsidRDefault="00AE4B60">
            <w:pPr>
              <w:jc w:val="center"/>
            </w:pPr>
            <w:r>
              <w:rPr>
                <w:color w:val="000000" w:themeColor="text1"/>
                <w:sz w:val="24"/>
              </w:rPr>
              <w:t>-</w:t>
            </w:r>
          </w:p>
        </w:tc>
        <w:tc>
          <w:tcPr>
            <w:tcW w:w="0" w:type="auto"/>
            <w:vAlign w:val="center"/>
          </w:tcPr>
          <w:p w:rsidR="002755C3" w:rsidRDefault="00AE4B60">
            <w:pPr>
              <w:jc w:val="center"/>
            </w:pPr>
            <w:r>
              <w:rPr>
                <w:color w:val="000000" w:themeColor="text1"/>
                <w:sz w:val="24"/>
              </w:rPr>
              <w:t>CFR SW</w:t>
            </w:r>
          </w:p>
        </w:tc>
        <w:tc>
          <w:tcPr>
            <w:tcW w:w="0" w:type="auto"/>
            <w:vAlign w:val="center"/>
          </w:tcPr>
          <w:p w:rsidR="002755C3" w:rsidRDefault="00AE4B60">
            <w:pPr>
              <w:jc w:val="center"/>
            </w:pPr>
            <w:r>
              <w:rPr>
                <w:color w:val="000000" w:themeColor="text1"/>
                <w:sz w:val="24"/>
              </w:rPr>
              <w:t>瑞士证券交易所</w:t>
            </w:r>
          </w:p>
        </w:tc>
        <w:tc>
          <w:tcPr>
            <w:tcW w:w="0" w:type="auto"/>
            <w:vAlign w:val="center"/>
          </w:tcPr>
          <w:p w:rsidR="002755C3" w:rsidRDefault="00AE4B60">
            <w:pPr>
              <w:jc w:val="center"/>
            </w:pPr>
            <w:r>
              <w:rPr>
                <w:color w:val="000000" w:themeColor="text1"/>
                <w:sz w:val="24"/>
              </w:rPr>
              <w:t>瑞士</w:t>
            </w:r>
          </w:p>
        </w:tc>
        <w:tc>
          <w:tcPr>
            <w:tcW w:w="0" w:type="auto"/>
            <w:vAlign w:val="center"/>
          </w:tcPr>
          <w:p w:rsidR="002755C3" w:rsidRDefault="00AE4B60">
            <w:pPr>
              <w:jc w:val="right"/>
            </w:pPr>
            <w:r>
              <w:rPr>
                <w:color w:val="000000" w:themeColor="text1"/>
                <w:sz w:val="24"/>
              </w:rPr>
              <w:t>3,834</w:t>
            </w:r>
          </w:p>
        </w:tc>
        <w:tc>
          <w:tcPr>
            <w:tcW w:w="0" w:type="auto"/>
            <w:vAlign w:val="center"/>
          </w:tcPr>
          <w:p w:rsidR="002755C3" w:rsidRDefault="00AE4B60">
            <w:pPr>
              <w:jc w:val="right"/>
            </w:pPr>
            <w:r>
              <w:rPr>
                <w:color w:val="000000" w:themeColor="text1"/>
                <w:sz w:val="24"/>
              </w:rPr>
              <w:t>2,009,797.93</w:t>
            </w:r>
          </w:p>
        </w:tc>
        <w:tc>
          <w:tcPr>
            <w:tcW w:w="0" w:type="auto"/>
            <w:vAlign w:val="center"/>
          </w:tcPr>
          <w:p w:rsidR="002755C3" w:rsidRDefault="00AE4B60">
            <w:pPr>
              <w:jc w:val="right"/>
            </w:pPr>
            <w:r>
              <w:rPr>
                <w:color w:val="000000" w:themeColor="text1"/>
                <w:sz w:val="24"/>
              </w:rPr>
              <w:t>4.03</w:t>
            </w:r>
          </w:p>
        </w:tc>
      </w:tr>
      <w:tr w:rsidR="002755C3">
        <w:tc>
          <w:tcPr>
            <w:tcW w:w="0" w:type="auto"/>
            <w:vAlign w:val="center"/>
          </w:tcPr>
          <w:p w:rsidR="002755C3" w:rsidRDefault="00AE4B60">
            <w:pPr>
              <w:jc w:val="center"/>
            </w:pPr>
            <w:r>
              <w:rPr>
                <w:color w:val="000000" w:themeColor="text1"/>
                <w:sz w:val="24"/>
              </w:rPr>
              <w:t>10</w:t>
            </w:r>
          </w:p>
        </w:tc>
        <w:tc>
          <w:tcPr>
            <w:tcW w:w="0" w:type="auto"/>
            <w:vAlign w:val="center"/>
          </w:tcPr>
          <w:p w:rsidR="002755C3" w:rsidRDefault="00AE4B60">
            <w:pPr>
              <w:jc w:val="center"/>
            </w:pPr>
            <w:r>
              <w:rPr>
                <w:color w:val="000000" w:themeColor="text1"/>
                <w:sz w:val="24"/>
              </w:rPr>
              <w:t>Hermes International</w:t>
            </w:r>
          </w:p>
        </w:tc>
        <w:tc>
          <w:tcPr>
            <w:tcW w:w="0" w:type="auto"/>
            <w:vAlign w:val="center"/>
          </w:tcPr>
          <w:p w:rsidR="002755C3" w:rsidRDefault="00AE4B60">
            <w:pPr>
              <w:jc w:val="center"/>
            </w:pPr>
            <w:r>
              <w:rPr>
                <w:color w:val="000000" w:themeColor="text1"/>
                <w:sz w:val="24"/>
              </w:rPr>
              <w:t>-</w:t>
            </w:r>
          </w:p>
        </w:tc>
        <w:tc>
          <w:tcPr>
            <w:tcW w:w="0" w:type="auto"/>
            <w:vAlign w:val="center"/>
          </w:tcPr>
          <w:p w:rsidR="002755C3" w:rsidRDefault="00AE4B60">
            <w:pPr>
              <w:jc w:val="center"/>
            </w:pPr>
            <w:r>
              <w:rPr>
                <w:color w:val="000000" w:themeColor="text1"/>
                <w:sz w:val="24"/>
              </w:rPr>
              <w:t>RMS FP</w:t>
            </w:r>
          </w:p>
        </w:tc>
        <w:tc>
          <w:tcPr>
            <w:tcW w:w="0" w:type="auto"/>
            <w:vAlign w:val="center"/>
          </w:tcPr>
          <w:p w:rsidR="002755C3" w:rsidRDefault="00AE4B60">
            <w:pPr>
              <w:jc w:val="center"/>
            </w:pPr>
            <w:r>
              <w:rPr>
                <w:color w:val="000000" w:themeColor="text1"/>
                <w:sz w:val="24"/>
              </w:rPr>
              <w:t>泛欧证券交易所</w:t>
            </w:r>
          </w:p>
        </w:tc>
        <w:tc>
          <w:tcPr>
            <w:tcW w:w="0" w:type="auto"/>
            <w:vAlign w:val="center"/>
          </w:tcPr>
          <w:p w:rsidR="002755C3" w:rsidRDefault="00AE4B60">
            <w:pPr>
              <w:jc w:val="center"/>
            </w:pPr>
            <w:r>
              <w:rPr>
                <w:color w:val="000000" w:themeColor="text1"/>
                <w:sz w:val="24"/>
              </w:rPr>
              <w:t>法国</w:t>
            </w:r>
          </w:p>
        </w:tc>
        <w:tc>
          <w:tcPr>
            <w:tcW w:w="0" w:type="auto"/>
            <w:vAlign w:val="center"/>
          </w:tcPr>
          <w:p w:rsidR="002755C3" w:rsidRDefault="00AE4B60">
            <w:pPr>
              <w:jc w:val="right"/>
            </w:pPr>
            <w:r>
              <w:rPr>
                <w:color w:val="000000" w:themeColor="text1"/>
                <w:sz w:val="24"/>
              </w:rPr>
              <w:t>399</w:t>
            </w:r>
          </w:p>
        </w:tc>
        <w:tc>
          <w:tcPr>
            <w:tcW w:w="0" w:type="auto"/>
            <w:vAlign w:val="center"/>
          </w:tcPr>
          <w:p w:rsidR="002755C3" w:rsidRDefault="00AE4B60">
            <w:pPr>
              <w:jc w:val="right"/>
            </w:pPr>
            <w:r>
              <w:rPr>
                <w:color w:val="000000" w:themeColor="text1"/>
                <w:sz w:val="24"/>
              </w:rPr>
              <w:t>1,961,447.77</w:t>
            </w:r>
          </w:p>
        </w:tc>
        <w:tc>
          <w:tcPr>
            <w:tcW w:w="0" w:type="auto"/>
            <w:vAlign w:val="center"/>
          </w:tcPr>
          <w:p w:rsidR="002755C3" w:rsidRDefault="00AE4B60">
            <w:pPr>
              <w:jc w:val="right"/>
            </w:pPr>
            <w:r>
              <w:rPr>
                <w:color w:val="000000" w:themeColor="text1"/>
                <w:sz w:val="24"/>
              </w:rPr>
              <w:t>3.93</w:t>
            </w:r>
          </w:p>
        </w:tc>
      </w:tr>
    </w:tbl>
    <w:p w:rsidR="002755C3" w:rsidRDefault="00AE4B60">
      <w:pPr>
        <w:autoSpaceDE w:val="0"/>
        <w:autoSpaceDN w:val="0"/>
        <w:adjustRightInd w:val="0"/>
        <w:spacing w:line="360" w:lineRule="auto"/>
        <w:ind w:firstLineChars="200" w:firstLine="480"/>
        <w:jc w:val="left"/>
        <w:rPr>
          <w:color w:val="000000" w:themeColor="text1"/>
          <w:sz w:val="24"/>
        </w:rPr>
      </w:pPr>
      <w:r>
        <w:rPr>
          <w:color w:val="000000" w:themeColor="text1"/>
          <w:sz w:val="24"/>
        </w:rPr>
        <w:t>注：</w:t>
      </w:r>
      <w:r>
        <w:rPr>
          <w:color w:val="000000" w:themeColor="text1"/>
          <w:sz w:val="24"/>
        </w:rPr>
        <w:t>1.</w:t>
      </w:r>
      <w:r>
        <w:rPr>
          <w:color w:val="000000" w:themeColor="text1"/>
          <w:sz w:val="24"/>
        </w:rPr>
        <w:t>此处所用证券代码的类别是当地市场代码。</w:t>
      </w:r>
    </w:p>
    <w:p w:rsidR="00B62914" w:rsidRPr="00A67563" w:rsidRDefault="00E73C41"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2.</w:t>
      </w:r>
      <w:r w:rsidRPr="00A67563">
        <w:rPr>
          <w:color w:val="000000" w:themeColor="text1"/>
          <w:sz w:val="24"/>
        </w:rPr>
        <w:t>本报告期末本基金投资路易威登占基金资产净值比例超过</w:t>
      </w:r>
      <w:r w:rsidRPr="00A67563">
        <w:rPr>
          <w:color w:val="000000" w:themeColor="text1"/>
          <w:sz w:val="24"/>
        </w:rPr>
        <w:t>10%</w:t>
      </w:r>
      <w:r w:rsidRPr="00A67563">
        <w:rPr>
          <w:color w:val="000000" w:themeColor="text1"/>
          <w:sz w:val="24"/>
        </w:rPr>
        <w:t>，属于被动超标。</w:t>
      </w:r>
    </w:p>
    <w:p w:rsidR="00521EDE" w:rsidRPr="00A67563" w:rsidRDefault="00521EDE" w:rsidP="00890172">
      <w:pPr>
        <w:autoSpaceDE w:val="0"/>
        <w:autoSpaceDN w:val="0"/>
        <w:adjustRightInd w:val="0"/>
        <w:spacing w:before="29" w:line="360" w:lineRule="auto"/>
        <w:ind w:left="15"/>
        <w:jc w:val="left"/>
        <w:rPr>
          <w:color w:val="000000" w:themeColor="text1"/>
          <w:sz w:val="24"/>
        </w:rPr>
      </w:pPr>
    </w:p>
    <w:p w:rsidR="0076518F" w:rsidRPr="00A67563" w:rsidRDefault="008C71EB"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w:t>
      </w:r>
      <w:r w:rsidR="002A0FA2" w:rsidRPr="00A67563">
        <w:rPr>
          <w:b/>
          <w:color w:val="000000" w:themeColor="text1"/>
          <w:kern w:val="0"/>
          <w:sz w:val="24"/>
        </w:rPr>
        <w:t>5</w:t>
      </w:r>
      <w:r w:rsidR="0076518F" w:rsidRPr="00A67563">
        <w:rPr>
          <w:b/>
          <w:color w:val="000000" w:themeColor="text1"/>
          <w:kern w:val="0"/>
          <w:sz w:val="24"/>
        </w:rPr>
        <w:t xml:space="preserve"> </w:t>
      </w:r>
      <w:r w:rsidR="0076518F" w:rsidRPr="00A67563">
        <w:rPr>
          <w:b/>
          <w:color w:val="000000" w:themeColor="text1"/>
          <w:kern w:val="0"/>
          <w:sz w:val="24"/>
        </w:rPr>
        <w:t>报告期末按债券信用等级分类的债券投资组合</w:t>
      </w:r>
    </w:p>
    <w:p w:rsidR="00521EDE" w:rsidRPr="00A67563" w:rsidRDefault="00521EDE"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本基金本报告期末未持有债券。</w:t>
      </w:r>
    </w:p>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8C71EB"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w:t>
      </w:r>
      <w:r w:rsidR="002A0FA2" w:rsidRPr="00A67563">
        <w:rPr>
          <w:b/>
          <w:color w:val="000000" w:themeColor="text1"/>
          <w:kern w:val="0"/>
          <w:sz w:val="24"/>
        </w:rPr>
        <w:t>6</w:t>
      </w:r>
      <w:r w:rsidRPr="00A67563">
        <w:rPr>
          <w:b/>
          <w:color w:val="000000" w:themeColor="text1"/>
          <w:kern w:val="0"/>
          <w:sz w:val="24"/>
        </w:rPr>
        <w:t xml:space="preserve"> </w:t>
      </w:r>
      <w:r w:rsidR="0076518F" w:rsidRPr="00A67563">
        <w:rPr>
          <w:b/>
          <w:color w:val="000000" w:themeColor="text1"/>
          <w:kern w:val="0"/>
          <w:sz w:val="24"/>
        </w:rPr>
        <w:t>报告期末按公允价值占基金资产净值比例大小排</w:t>
      </w:r>
      <w:r w:rsidR="00D96556">
        <w:rPr>
          <w:rFonts w:hint="eastAsia"/>
          <w:b/>
          <w:color w:val="000000" w:themeColor="text1"/>
          <w:kern w:val="0"/>
          <w:sz w:val="24"/>
        </w:rPr>
        <w:t>序</w:t>
      </w:r>
      <w:r w:rsidR="0076518F" w:rsidRPr="00A67563">
        <w:rPr>
          <w:b/>
          <w:color w:val="000000" w:themeColor="text1"/>
          <w:kern w:val="0"/>
          <w:sz w:val="24"/>
        </w:rPr>
        <w:t>的前五名债券投资明细</w:t>
      </w:r>
    </w:p>
    <w:p w:rsidR="00521EDE" w:rsidRPr="00A67563" w:rsidRDefault="00521EDE"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本基金本报告期末未持有债券。</w:t>
      </w:r>
    </w:p>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8C71EB"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w:t>
      </w:r>
      <w:r w:rsidR="002A0FA2" w:rsidRPr="00A67563">
        <w:rPr>
          <w:b/>
          <w:color w:val="000000" w:themeColor="text1"/>
          <w:kern w:val="0"/>
          <w:sz w:val="24"/>
        </w:rPr>
        <w:t>7</w:t>
      </w:r>
      <w:r w:rsidRPr="00A67563">
        <w:rPr>
          <w:b/>
          <w:color w:val="000000" w:themeColor="text1"/>
          <w:kern w:val="0"/>
          <w:sz w:val="24"/>
        </w:rPr>
        <w:t xml:space="preserve"> </w:t>
      </w:r>
      <w:r w:rsidR="0076518F" w:rsidRPr="00A67563">
        <w:rPr>
          <w:b/>
          <w:color w:val="000000" w:themeColor="text1"/>
          <w:kern w:val="0"/>
          <w:sz w:val="24"/>
        </w:rPr>
        <w:t>报告期末按公允价值占基金资产净值比例大小排</w:t>
      </w:r>
      <w:r w:rsidR="00D96556">
        <w:rPr>
          <w:rFonts w:hint="eastAsia"/>
          <w:b/>
          <w:color w:val="000000" w:themeColor="text1"/>
          <w:kern w:val="0"/>
          <w:sz w:val="24"/>
        </w:rPr>
        <w:t>序</w:t>
      </w:r>
      <w:r w:rsidR="0076518F" w:rsidRPr="00A67563">
        <w:rPr>
          <w:b/>
          <w:color w:val="000000" w:themeColor="text1"/>
          <w:kern w:val="0"/>
          <w:sz w:val="24"/>
        </w:rPr>
        <w:t>的前十名资产支持证券投资明细</w:t>
      </w:r>
    </w:p>
    <w:p w:rsidR="00521EDE" w:rsidRPr="00A67563" w:rsidRDefault="00521EDE"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本基金本报告期末未持有资产支持证券。</w:t>
      </w:r>
    </w:p>
    <w:p w:rsidR="005B6AC7" w:rsidRPr="00A67563" w:rsidRDefault="005B6AC7" w:rsidP="00521EDE">
      <w:pPr>
        <w:autoSpaceDE w:val="0"/>
        <w:autoSpaceDN w:val="0"/>
        <w:adjustRightInd w:val="0"/>
        <w:spacing w:before="29" w:line="360" w:lineRule="auto"/>
        <w:ind w:left="15"/>
        <w:jc w:val="left"/>
        <w:rPr>
          <w:b/>
          <w:color w:val="000000" w:themeColor="text1"/>
          <w:kern w:val="0"/>
          <w:sz w:val="24"/>
        </w:rPr>
      </w:pPr>
    </w:p>
    <w:p w:rsidR="0076518F" w:rsidRPr="00A67563" w:rsidRDefault="008C71EB"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5.8</w:t>
      </w:r>
      <w:r w:rsidR="0076518F" w:rsidRPr="00A67563">
        <w:rPr>
          <w:b/>
          <w:color w:val="000000" w:themeColor="text1"/>
          <w:kern w:val="0"/>
          <w:sz w:val="24"/>
        </w:rPr>
        <w:t xml:space="preserve"> </w:t>
      </w:r>
      <w:r w:rsidR="0076518F" w:rsidRPr="00A67563">
        <w:rPr>
          <w:b/>
          <w:color w:val="000000" w:themeColor="text1"/>
          <w:kern w:val="0"/>
          <w:sz w:val="24"/>
        </w:rPr>
        <w:t>报告期末按公允价值占基金资产净值比例大小排</w:t>
      </w:r>
      <w:r w:rsidR="00D96556">
        <w:rPr>
          <w:rFonts w:hint="eastAsia"/>
          <w:b/>
          <w:color w:val="000000" w:themeColor="text1"/>
          <w:kern w:val="0"/>
          <w:sz w:val="24"/>
        </w:rPr>
        <w:t>序</w:t>
      </w:r>
      <w:r w:rsidR="0076518F" w:rsidRPr="00A67563">
        <w:rPr>
          <w:b/>
          <w:color w:val="000000" w:themeColor="text1"/>
          <w:kern w:val="0"/>
          <w:sz w:val="24"/>
        </w:rPr>
        <w:t>的前五名金融衍生品投资明细</w:t>
      </w:r>
    </w:p>
    <w:p w:rsidR="00521EDE" w:rsidRPr="00A67563" w:rsidRDefault="00521EDE"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本基金本报告期末未持有金融衍生品。</w:t>
      </w:r>
    </w:p>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B22A61"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5.9</w:t>
      </w:r>
      <w:r w:rsidR="0076518F" w:rsidRPr="00A67563">
        <w:rPr>
          <w:b/>
          <w:color w:val="000000" w:themeColor="text1"/>
          <w:kern w:val="0"/>
          <w:sz w:val="24"/>
        </w:rPr>
        <w:t>报告期末按公允价值占基金资产净值比例大小排序的前十名基金投资明细</w:t>
      </w:r>
    </w:p>
    <w:p w:rsidR="00521EDE" w:rsidRPr="00A67563" w:rsidRDefault="00521EDE"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lastRenderedPageBreak/>
        <w:t>本基金本报告期末未持有基金。</w:t>
      </w:r>
    </w:p>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B55EA7" w:rsidP="0049659A">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w:t>
      </w:r>
      <w:r w:rsidR="0076518F" w:rsidRPr="00A67563">
        <w:rPr>
          <w:b/>
          <w:color w:val="000000" w:themeColor="text1"/>
          <w:kern w:val="0"/>
          <w:sz w:val="24"/>
        </w:rPr>
        <w:t>.</w:t>
      </w:r>
      <w:r w:rsidRPr="00A67563">
        <w:rPr>
          <w:b/>
          <w:color w:val="000000" w:themeColor="text1"/>
          <w:kern w:val="0"/>
          <w:sz w:val="24"/>
        </w:rPr>
        <w:t>10</w:t>
      </w:r>
      <w:r w:rsidR="0076518F" w:rsidRPr="00A67563">
        <w:rPr>
          <w:b/>
          <w:color w:val="000000" w:themeColor="text1"/>
          <w:kern w:val="0"/>
          <w:sz w:val="24"/>
        </w:rPr>
        <w:t xml:space="preserve"> </w:t>
      </w:r>
      <w:r w:rsidR="0076518F" w:rsidRPr="00A67563">
        <w:rPr>
          <w:b/>
          <w:color w:val="000000" w:themeColor="text1"/>
          <w:kern w:val="0"/>
          <w:sz w:val="24"/>
        </w:rPr>
        <w:t>投资组合报告附注</w:t>
      </w:r>
    </w:p>
    <w:p w:rsidR="00B55EA7" w:rsidRPr="00A67563" w:rsidRDefault="00B55EA7" w:rsidP="000E3F11">
      <w:pPr>
        <w:widowControl/>
        <w:spacing w:line="360" w:lineRule="auto"/>
        <w:ind w:left="120" w:hangingChars="50" w:hanging="120"/>
        <w:rPr>
          <w:color w:val="000000" w:themeColor="text1"/>
          <w:sz w:val="24"/>
        </w:rPr>
      </w:pPr>
      <w:r w:rsidRPr="00A67563">
        <w:rPr>
          <w:color w:val="000000" w:themeColor="text1"/>
          <w:sz w:val="24"/>
        </w:rPr>
        <w:t>5.10.12019</w:t>
      </w:r>
      <w:r w:rsidRPr="00A67563">
        <w:rPr>
          <w:color w:val="000000" w:themeColor="text1"/>
          <w:sz w:val="24"/>
        </w:rPr>
        <w:t>年</w:t>
      </w:r>
      <w:r w:rsidRPr="00A67563">
        <w:rPr>
          <w:color w:val="000000" w:themeColor="text1"/>
          <w:sz w:val="24"/>
        </w:rPr>
        <w:t>3</w:t>
      </w:r>
      <w:r w:rsidRPr="00A67563">
        <w:rPr>
          <w:color w:val="000000" w:themeColor="text1"/>
          <w:sz w:val="24"/>
        </w:rPr>
        <w:t>月</w:t>
      </w:r>
      <w:r w:rsidRPr="00A67563">
        <w:rPr>
          <w:color w:val="000000" w:themeColor="text1"/>
          <w:sz w:val="24"/>
        </w:rPr>
        <w:t>25</w:t>
      </w:r>
      <w:r w:rsidRPr="00A67563">
        <w:rPr>
          <w:color w:val="000000" w:themeColor="text1"/>
          <w:sz w:val="24"/>
        </w:rPr>
        <w:t>日，欧洲反垄断机构欧盟委员会以违反《欧盟竞争法》为由，要求美国体育用品公司</w:t>
      </w:r>
      <w:r w:rsidRPr="00A67563">
        <w:rPr>
          <w:color w:val="000000" w:themeColor="text1"/>
          <w:sz w:val="24"/>
        </w:rPr>
        <w:t>NIKE</w:t>
      </w:r>
      <w:r w:rsidRPr="00A67563">
        <w:rPr>
          <w:color w:val="000000" w:themeColor="text1"/>
          <w:sz w:val="24"/>
        </w:rPr>
        <w:t>耐克支付</w:t>
      </w:r>
      <w:r w:rsidRPr="00A67563">
        <w:rPr>
          <w:color w:val="000000" w:themeColor="text1"/>
          <w:sz w:val="24"/>
        </w:rPr>
        <w:t>1250</w:t>
      </w:r>
      <w:r w:rsidRPr="00A67563">
        <w:rPr>
          <w:color w:val="000000" w:themeColor="text1"/>
          <w:sz w:val="24"/>
        </w:rPr>
        <w:t>万欧元的罚款。</w:t>
      </w:r>
    </w:p>
    <w:p w:rsidR="002755C3" w:rsidRDefault="00AE4B60">
      <w:pPr>
        <w:widowControl/>
        <w:spacing w:line="360" w:lineRule="auto"/>
        <w:ind w:left="120" w:hangingChars="50" w:hanging="120"/>
        <w:rPr>
          <w:color w:val="000000" w:themeColor="text1"/>
          <w:sz w:val="24"/>
        </w:rPr>
      </w:pPr>
      <w:r>
        <w:rPr>
          <w:color w:val="000000" w:themeColor="text1"/>
          <w:sz w:val="24"/>
        </w:rPr>
        <w:t>2019</w:t>
      </w:r>
      <w:r>
        <w:rPr>
          <w:color w:val="000000" w:themeColor="text1"/>
          <w:sz w:val="24"/>
        </w:rPr>
        <w:t>年</w:t>
      </w:r>
      <w:r>
        <w:rPr>
          <w:color w:val="000000" w:themeColor="text1"/>
          <w:sz w:val="24"/>
        </w:rPr>
        <w:t>9</w:t>
      </w:r>
      <w:r>
        <w:rPr>
          <w:color w:val="000000" w:themeColor="text1"/>
          <w:sz w:val="24"/>
        </w:rPr>
        <w:t>月</w:t>
      </w:r>
      <w:r>
        <w:rPr>
          <w:color w:val="000000" w:themeColor="text1"/>
          <w:sz w:val="24"/>
        </w:rPr>
        <w:t>24</w:t>
      </w:r>
      <w:r>
        <w:rPr>
          <w:color w:val="000000" w:themeColor="text1"/>
          <w:sz w:val="24"/>
        </w:rPr>
        <w:t>日，戴姆勒因排放违规被处以</w:t>
      </w:r>
      <w:r>
        <w:rPr>
          <w:color w:val="000000" w:themeColor="text1"/>
          <w:sz w:val="24"/>
        </w:rPr>
        <w:t>8.7</w:t>
      </w:r>
      <w:r>
        <w:rPr>
          <w:color w:val="000000" w:themeColor="text1"/>
          <w:sz w:val="24"/>
        </w:rPr>
        <w:t>亿欧元罚款。</w:t>
      </w:r>
    </w:p>
    <w:p w:rsidR="002755C3" w:rsidRDefault="00AE4B60">
      <w:pPr>
        <w:widowControl/>
        <w:spacing w:line="360" w:lineRule="auto"/>
        <w:ind w:left="120" w:hangingChars="50" w:hanging="120"/>
        <w:rPr>
          <w:color w:val="000000" w:themeColor="text1"/>
          <w:sz w:val="24"/>
        </w:rPr>
      </w:pPr>
      <w:r>
        <w:rPr>
          <w:color w:val="000000" w:themeColor="text1"/>
          <w:sz w:val="24"/>
        </w:rPr>
        <w:t>本基金为指数型基金，上述股票系标的指数成份股，上述股票的投资决策程序符合公司投资制度的规定。除耐克、戴姆勒外，本基金投资的前十名证券的发行主体本期没有出现被监管部门立案调查，或在报告编制日前一年内受到公开谴责、处罚的情形。</w:t>
      </w:r>
    </w:p>
    <w:p w:rsidR="00B55EA7" w:rsidRPr="00A67563" w:rsidRDefault="00B55EA7" w:rsidP="00B55EA7">
      <w:pPr>
        <w:widowControl/>
        <w:spacing w:line="360" w:lineRule="auto"/>
        <w:rPr>
          <w:color w:val="000000" w:themeColor="text1"/>
          <w:sz w:val="24"/>
        </w:rPr>
      </w:pPr>
      <w:r w:rsidRPr="00A67563">
        <w:rPr>
          <w:color w:val="000000" w:themeColor="text1"/>
          <w:sz w:val="24"/>
        </w:rPr>
        <w:t>5.10.2</w:t>
      </w:r>
      <w:r w:rsidRPr="00A67563">
        <w:rPr>
          <w:color w:val="000000" w:themeColor="text1"/>
          <w:sz w:val="24"/>
        </w:rPr>
        <w:t>本基金投资的前十名股票没有超出基金合同规定的备选股票库。</w:t>
      </w:r>
    </w:p>
    <w:p w:rsidR="0076518F" w:rsidRPr="00A67563" w:rsidRDefault="008C71EB" w:rsidP="0049659A">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5.1</w:t>
      </w:r>
      <w:r w:rsidR="002A0FA2" w:rsidRPr="00A67563">
        <w:rPr>
          <w:b/>
          <w:color w:val="000000" w:themeColor="text1"/>
          <w:kern w:val="0"/>
          <w:sz w:val="24"/>
        </w:rPr>
        <w:t>0</w:t>
      </w:r>
      <w:r w:rsidR="0076518F" w:rsidRPr="00A67563">
        <w:rPr>
          <w:b/>
          <w:color w:val="000000" w:themeColor="text1"/>
          <w:kern w:val="0"/>
          <w:sz w:val="24"/>
        </w:rPr>
        <w:t>.3</w:t>
      </w:r>
      <w:r w:rsidR="004F356E">
        <w:rPr>
          <w:rFonts w:hint="eastAsia"/>
          <w:b/>
          <w:color w:val="000000" w:themeColor="text1"/>
          <w:kern w:val="0"/>
          <w:sz w:val="24"/>
        </w:rPr>
        <w:t>其他各项资产构成</w:t>
      </w:r>
    </w:p>
    <w:tbl>
      <w:tblPr>
        <w:tblStyle w:val="af7"/>
        <w:tblW w:w="0" w:type="auto"/>
        <w:tblInd w:w="15" w:type="dxa"/>
        <w:tblLayout w:type="fixed"/>
        <w:tblLook w:val="04A0" w:firstRow="1" w:lastRow="0" w:firstColumn="1" w:lastColumn="0" w:noHBand="0" w:noVBand="1"/>
      </w:tblPr>
      <w:tblGrid>
        <w:gridCol w:w="802"/>
        <w:gridCol w:w="2903"/>
        <w:gridCol w:w="4808"/>
      </w:tblGrid>
      <w:tr w:rsidR="008277FF" w:rsidRPr="00A67563" w:rsidTr="004C05F3">
        <w:tc>
          <w:tcPr>
            <w:tcW w:w="802" w:type="dxa"/>
            <w:vAlign w:val="center"/>
          </w:tcPr>
          <w:p w:rsidR="002C2678" w:rsidRPr="00A67563" w:rsidRDefault="002C2678" w:rsidP="00797DD2">
            <w:pPr>
              <w:autoSpaceDE w:val="0"/>
              <w:autoSpaceDN w:val="0"/>
              <w:adjustRightInd w:val="0"/>
              <w:spacing w:before="29" w:line="360" w:lineRule="auto"/>
              <w:ind w:left="17"/>
              <w:jc w:val="center"/>
              <w:rPr>
                <w:color w:val="000000" w:themeColor="text1"/>
                <w:kern w:val="0"/>
                <w:sz w:val="24"/>
              </w:rPr>
            </w:pPr>
            <w:r w:rsidRPr="00A67563">
              <w:rPr>
                <w:color w:val="000000" w:themeColor="text1"/>
                <w:kern w:val="0"/>
                <w:sz w:val="24"/>
              </w:rPr>
              <w:t>序号</w:t>
            </w:r>
          </w:p>
        </w:tc>
        <w:tc>
          <w:tcPr>
            <w:tcW w:w="2903" w:type="dxa"/>
            <w:vAlign w:val="center"/>
          </w:tcPr>
          <w:p w:rsidR="002C2678" w:rsidRPr="00A67563" w:rsidRDefault="002C2678" w:rsidP="00797DD2">
            <w:pPr>
              <w:autoSpaceDE w:val="0"/>
              <w:autoSpaceDN w:val="0"/>
              <w:adjustRightInd w:val="0"/>
              <w:spacing w:before="29" w:line="360" w:lineRule="auto"/>
              <w:ind w:left="17"/>
              <w:jc w:val="center"/>
              <w:rPr>
                <w:color w:val="000000" w:themeColor="text1"/>
                <w:kern w:val="0"/>
                <w:sz w:val="24"/>
              </w:rPr>
            </w:pPr>
            <w:r w:rsidRPr="00A67563">
              <w:rPr>
                <w:color w:val="000000" w:themeColor="text1"/>
                <w:kern w:val="0"/>
                <w:sz w:val="24"/>
              </w:rPr>
              <w:t>名称</w:t>
            </w:r>
          </w:p>
        </w:tc>
        <w:tc>
          <w:tcPr>
            <w:tcW w:w="4808" w:type="dxa"/>
            <w:vAlign w:val="center"/>
          </w:tcPr>
          <w:p w:rsidR="002C2678" w:rsidRPr="00A67563" w:rsidRDefault="002C2678" w:rsidP="00797DD2">
            <w:pPr>
              <w:autoSpaceDE w:val="0"/>
              <w:autoSpaceDN w:val="0"/>
              <w:adjustRightInd w:val="0"/>
              <w:spacing w:before="29" w:line="360" w:lineRule="auto"/>
              <w:ind w:left="17"/>
              <w:jc w:val="center"/>
              <w:rPr>
                <w:color w:val="000000" w:themeColor="text1"/>
                <w:kern w:val="0"/>
                <w:sz w:val="24"/>
              </w:rPr>
            </w:pPr>
            <w:r w:rsidRPr="00A67563">
              <w:rPr>
                <w:color w:val="000000" w:themeColor="text1"/>
                <w:kern w:val="0"/>
                <w:sz w:val="24"/>
              </w:rPr>
              <w:t>金额</w:t>
            </w:r>
            <w:r w:rsidRPr="00A67563">
              <w:rPr>
                <w:color w:val="000000" w:themeColor="text1"/>
                <w:kern w:val="0"/>
                <w:sz w:val="24"/>
              </w:rPr>
              <w:t>(</w:t>
            </w:r>
            <w:r w:rsidR="00C42431" w:rsidRPr="00A67563">
              <w:rPr>
                <w:color w:val="000000" w:themeColor="text1"/>
                <w:kern w:val="0"/>
                <w:sz w:val="24"/>
              </w:rPr>
              <w:t>人民币</w:t>
            </w:r>
            <w:r w:rsidRPr="00A67563">
              <w:rPr>
                <w:color w:val="000000" w:themeColor="text1"/>
                <w:kern w:val="0"/>
                <w:sz w:val="24"/>
              </w:rPr>
              <w:t>元</w:t>
            </w:r>
            <w:r w:rsidRPr="00A67563">
              <w:rPr>
                <w:color w:val="000000" w:themeColor="text1"/>
                <w:kern w:val="0"/>
                <w:sz w:val="24"/>
              </w:rPr>
              <w:t>)</w:t>
            </w:r>
          </w:p>
        </w:tc>
      </w:tr>
      <w:tr w:rsidR="008277FF" w:rsidRPr="00A67563" w:rsidTr="009E3391">
        <w:tc>
          <w:tcPr>
            <w:tcW w:w="802" w:type="dxa"/>
            <w:vAlign w:val="center"/>
          </w:tcPr>
          <w:p w:rsidR="002C2678" w:rsidRPr="00A67563" w:rsidRDefault="002C2678"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sz w:val="24"/>
              </w:rPr>
              <w:t>1</w:t>
            </w:r>
          </w:p>
        </w:tc>
        <w:tc>
          <w:tcPr>
            <w:tcW w:w="2903" w:type="dxa"/>
            <w:vAlign w:val="center"/>
          </w:tcPr>
          <w:p w:rsidR="002C2678" w:rsidRPr="00A67563" w:rsidRDefault="002C2678" w:rsidP="009E3391">
            <w:pPr>
              <w:autoSpaceDE w:val="0"/>
              <w:autoSpaceDN w:val="0"/>
              <w:adjustRightInd w:val="0"/>
              <w:spacing w:before="29" w:line="360" w:lineRule="auto"/>
              <w:ind w:left="15"/>
              <w:rPr>
                <w:color w:val="000000" w:themeColor="text1"/>
                <w:kern w:val="0"/>
                <w:sz w:val="24"/>
              </w:rPr>
            </w:pPr>
            <w:r w:rsidRPr="00A67563">
              <w:rPr>
                <w:color w:val="000000" w:themeColor="text1"/>
                <w:kern w:val="0"/>
                <w:sz w:val="24"/>
              </w:rPr>
              <w:t>存出保证金</w:t>
            </w:r>
          </w:p>
        </w:tc>
        <w:tc>
          <w:tcPr>
            <w:tcW w:w="4808" w:type="dxa"/>
            <w:vAlign w:val="center"/>
          </w:tcPr>
          <w:p w:rsidR="002C2678" w:rsidRPr="00A67563" w:rsidRDefault="002C2678" w:rsidP="00797DD2">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w:t>
            </w:r>
          </w:p>
        </w:tc>
      </w:tr>
      <w:tr w:rsidR="008277FF" w:rsidRPr="00A67563" w:rsidTr="009E3391">
        <w:tc>
          <w:tcPr>
            <w:tcW w:w="802" w:type="dxa"/>
            <w:vAlign w:val="center"/>
          </w:tcPr>
          <w:p w:rsidR="002C2678" w:rsidRPr="00A67563" w:rsidRDefault="002C2678" w:rsidP="00797DD2">
            <w:pPr>
              <w:autoSpaceDE w:val="0"/>
              <w:autoSpaceDN w:val="0"/>
              <w:adjustRightInd w:val="0"/>
              <w:spacing w:before="29" w:line="360" w:lineRule="auto"/>
              <w:ind w:left="15"/>
              <w:jc w:val="center"/>
              <w:rPr>
                <w:color w:val="000000" w:themeColor="text1"/>
                <w:sz w:val="24"/>
              </w:rPr>
            </w:pPr>
            <w:r w:rsidRPr="00A67563">
              <w:rPr>
                <w:color w:val="000000" w:themeColor="text1"/>
                <w:sz w:val="24"/>
              </w:rPr>
              <w:t>2</w:t>
            </w:r>
          </w:p>
        </w:tc>
        <w:tc>
          <w:tcPr>
            <w:tcW w:w="2903" w:type="dxa"/>
            <w:vAlign w:val="center"/>
          </w:tcPr>
          <w:p w:rsidR="002C2678" w:rsidRPr="00A67563" w:rsidRDefault="002C2678" w:rsidP="009E3391">
            <w:pPr>
              <w:autoSpaceDE w:val="0"/>
              <w:autoSpaceDN w:val="0"/>
              <w:adjustRightInd w:val="0"/>
              <w:spacing w:before="29" w:line="360" w:lineRule="auto"/>
              <w:ind w:left="15"/>
              <w:rPr>
                <w:color w:val="000000" w:themeColor="text1"/>
                <w:kern w:val="0"/>
                <w:sz w:val="24"/>
              </w:rPr>
            </w:pPr>
            <w:r w:rsidRPr="00A67563">
              <w:rPr>
                <w:color w:val="000000" w:themeColor="text1"/>
                <w:kern w:val="0"/>
                <w:sz w:val="24"/>
              </w:rPr>
              <w:t>应收证券清算款</w:t>
            </w:r>
          </w:p>
        </w:tc>
        <w:tc>
          <w:tcPr>
            <w:tcW w:w="4808" w:type="dxa"/>
            <w:vAlign w:val="center"/>
          </w:tcPr>
          <w:p w:rsidR="002C2678" w:rsidRPr="00A67563" w:rsidRDefault="002C2678" w:rsidP="00797DD2">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657,395.32</w:t>
            </w:r>
          </w:p>
        </w:tc>
      </w:tr>
      <w:tr w:rsidR="008277FF" w:rsidRPr="00A67563" w:rsidTr="009E3391">
        <w:tc>
          <w:tcPr>
            <w:tcW w:w="802" w:type="dxa"/>
            <w:vAlign w:val="center"/>
          </w:tcPr>
          <w:p w:rsidR="002C2678" w:rsidRPr="00A67563" w:rsidRDefault="002C2678" w:rsidP="00797DD2">
            <w:pPr>
              <w:autoSpaceDE w:val="0"/>
              <w:autoSpaceDN w:val="0"/>
              <w:adjustRightInd w:val="0"/>
              <w:spacing w:before="29" w:line="360" w:lineRule="auto"/>
              <w:ind w:left="15"/>
              <w:jc w:val="center"/>
              <w:rPr>
                <w:color w:val="000000" w:themeColor="text1"/>
                <w:sz w:val="24"/>
              </w:rPr>
            </w:pPr>
            <w:r w:rsidRPr="00A67563">
              <w:rPr>
                <w:color w:val="000000" w:themeColor="text1"/>
                <w:sz w:val="24"/>
              </w:rPr>
              <w:t>3</w:t>
            </w:r>
          </w:p>
        </w:tc>
        <w:tc>
          <w:tcPr>
            <w:tcW w:w="2903" w:type="dxa"/>
            <w:vAlign w:val="center"/>
          </w:tcPr>
          <w:p w:rsidR="002C2678" w:rsidRPr="00A67563" w:rsidRDefault="002C2678" w:rsidP="009E3391">
            <w:pPr>
              <w:autoSpaceDE w:val="0"/>
              <w:autoSpaceDN w:val="0"/>
              <w:adjustRightInd w:val="0"/>
              <w:spacing w:before="29" w:line="360" w:lineRule="auto"/>
              <w:ind w:left="15"/>
              <w:rPr>
                <w:color w:val="000000" w:themeColor="text1"/>
                <w:kern w:val="0"/>
                <w:sz w:val="24"/>
              </w:rPr>
            </w:pPr>
            <w:r w:rsidRPr="00A67563">
              <w:rPr>
                <w:color w:val="000000" w:themeColor="text1"/>
                <w:kern w:val="0"/>
                <w:sz w:val="24"/>
              </w:rPr>
              <w:t>应收股利</w:t>
            </w:r>
          </w:p>
        </w:tc>
        <w:tc>
          <w:tcPr>
            <w:tcW w:w="4808" w:type="dxa"/>
            <w:vAlign w:val="center"/>
          </w:tcPr>
          <w:p w:rsidR="002C2678" w:rsidRPr="00A67563" w:rsidRDefault="002C2678" w:rsidP="00797DD2">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58,350.43</w:t>
            </w:r>
          </w:p>
        </w:tc>
      </w:tr>
      <w:tr w:rsidR="008277FF" w:rsidRPr="00A67563" w:rsidTr="009E3391">
        <w:tc>
          <w:tcPr>
            <w:tcW w:w="802" w:type="dxa"/>
            <w:vAlign w:val="center"/>
          </w:tcPr>
          <w:p w:rsidR="002C2678" w:rsidRPr="00A67563" w:rsidRDefault="002C2678" w:rsidP="00797DD2">
            <w:pPr>
              <w:autoSpaceDE w:val="0"/>
              <w:autoSpaceDN w:val="0"/>
              <w:adjustRightInd w:val="0"/>
              <w:spacing w:before="29" w:line="360" w:lineRule="auto"/>
              <w:ind w:left="15"/>
              <w:jc w:val="center"/>
              <w:rPr>
                <w:color w:val="000000" w:themeColor="text1"/>
                <w:sz w:val="24"/>
              </w:rPr>
            </w:pPr>
            <w:r w:rsidRPr="00A67563">
              <w:rPr>
                <w:color w:val="000000" w:themeColor="text1"/>
                <w:sz w:val="24"/>
              </w:rPr>
              <w:t>4</w:t>
            </w:r>
          </w:p>
        </w:tc>
        <w:tc>
          <w:tcPr>
            <w:tcW w:w="2903" w:type="dxa"/>
            <w:vAlign w:val="center"/>
          </w:tcPr>
          <w:p w:rsidR="002C2678" w:rsidRPr="00A67563" w:rsidRDefault="002C2678" w:rsidP="009E3391">
            <w:pPr>
              <w:autoSpaceDE w:val="0"/>
              <w:autoSpaceDN w:val="0"/>
              <w:adjustRightInd w:val="0"/>
              <w:spacing w:before="29" w:line="360" w:lineRule="auto"/>
              <w:ind w:left="15"/>
              <w:rPr>
                <w:color w:val="000000" w:themeColor="text1"/>
                <w:kern w:val="0"/>
                <w:sz w:val="24"/>
              </w:rPr>
            </w:pPr>
            <w:r w:rsidRPr="00A67563">
              <w:rPr>
                <w:color w:val="000000" w:themeColor="text1"/>
                <w:kern w:val="0"/>
                <w:sz w:val="24"/>
              </w:rPr>
              <w:t>应收利息</w:t>
            </w:r>
          </w:p>
        </w:tc>
        <w:tc>
          <w:tcPr>
            <w:tcW w:w="4808" w:type="dxa"/>
            <w:vAlign w:val="center"/>
          </w:tcPr>
          <w:p w:rsidR="002C2678" w:rsidRPr="00A67563" w:rsidRDefault="002C2678" w:rsidP="00797DD2">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120.04</w:t>
            </w:r>
          </w:p>
        </w:tc>
      </w:tr>
      <w:tr w:rsidR="008277FF" w:rsidRPr="00A67563" w:rsidTr="009E3391">
        <w:tc>
          <w:tcPr>
            <w:tcW w:w="802" w:type="dxa"/>
            <w:vAlign w:val="center"/>
          </w:tcPr>
          <w:p w:rsidR="002C2678" w:rsidRPr="00A67563" w:rsidRDefault="002C2678" w:rsidP="00797DD2">
            <w:pPr>
              <w:autoSpaceDE w:val="0"/>
              <w:autoSpaceDN w:val="0"/>
              <w:adjustRightInd w:val="0"/>
              <w:spacing w:before="29" w:line="360" w:lineRule="auto"/>
              <w:ind w:left="15"/>
              <w:jc w:val="center"/>
              <w:rPr>
                <w:color w:val="000000" w:themeColor="text1"/>
                <w:sz w:val="24"/>
              </w:rPr>
            </w:pPr>
            <w:r w:rsidRPr="00A67563">
              <w:rPr>
                <w:color w:val="000000" w:themeColor="text1"/>
                <w:sz w:val="24"/>
              </w:rPr>
              <w:t>5</w:t>
            </w:r>
          </w:p>
        </w:tc>
        <w:tc>
          <w:tcPr>
            <w:tcW w:w="2903" w:type="dxa"/>
            <w:vAlign w:val="center"/>
          </w:tcPr>
          <w:p w:rsidR="002C2678" w:rsidRPr="00A67563" w:rsidRDefault="002C2678" w:rsidP="009E3391">
            <w:pPr>
              <w:autoSpaceDE w:val="0"/>
              <w:autoSpaceDN w:val="0"/>
              <w:adjustRightInd w:val="0"/>
              <w:spacing w:before="29" w:line="360" w:lineRule="auto"/>
              <w:ind w:left="15"/>
              <w:rPr>
                <w:color w:val="000000" w:themeColor="text1"/>
                <w:kern w:val="0"/>
                <w:sz w:val="24"/>
              </w:rPr>
            </w:pPr>
            <w:r w:rsidRPr="00A67563">
              <w:rPr>
                <w:color w:val="000000" w:themeColor="text1"/>
                <w:kern w:val="0"/>
                <w:sz w:val="24"/>
              </w:rPr>
              <w:t>应收申购款</w:t>
            </w:r>
          </w:p>
        </w:tc>
        <w:tc>
          <w:tcPr>
            <w:tcW w:w="4808" w:type="dxa"/>
            <w:vAlign w:val="center"/>
          </w:tcPr>
          <w:p w:rsidR="002C2678" w:rsidRPr="00A67563" w:rsidRDefault="002C2678" w:rsidP="00797DD2">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101,954.80</w:t>
            </w:r>
          </w:p>
        </w:tc>
      </w:tr>
      <w:tr w:rsidR="008277FF" w:rsidRPr="00A67563" w:rsidTr="009E3391">
        <w:tc>
          <w:tcPr>
            <w:tcW w:w="802" w:type="dxa"/>
            <w:vAlign w:val="center"/>
          </w:tcPr>
          <w:p w:rsidR="002C2678" w:rsidRPr="00A67563" w:rsidRDefault="002C2678" w:rsidP="00797DD2">
            <w:pPr>
              <w:autoSpaceDE w:val="0"/>
              <w:autoSpaceDN w:val="0"/>
              <w:adjustRightInd w:val="0"/>
              <w:spacing w:before="29" w:line="360" w:lineRule="auto"/>
              <w:ind w:left="15"/>
              <w:jc w:val="center"/>
              <w:rPr>
                <w:color w:val="000000" w:themeColor="text1"/>
                <w:sz w:val="24"/>
              </w:rPr>
            </w:pPr>
            <w:r w:rsidRPr="00A67563">
              <w:rPr>
                <w:color w:val="000000" w:themeColor="text1"/>
                <w:sz w:val="24"/>
              </w:rPr>
              <w:t>6</w:t>
            </w:r>
          </w:p>
        </w:tc>
        <w:tc>
          <w:tcPr>
            <w:tcW w:w="2903" w:type="dxa"/>
            <w:vAlign w:val="center"/>
          </w:tcPr>
          <w:p w:rsidR="002C2678" w:rsidRPr="00A67563" w:rsidRDefault="002C2678" w:rsidP="009E3391">
            <w:pPr>
              <w:autoSpaceDE w:val="0"/>
              <w:autoSpaceDN w:val="0"/>
              <w:adjustRightInd w:val="0"/>
              <w:spacing w:before="29" w:line="360" w:lineRule="auto"/>
              <w:ind w:left="15"/>
              <w:rPr>
                <w:color w:val="000000" w:themeColor="text1"/>
                <w:kern w:val="0"/>
                <w:sz w:val="24"/>
              </w:rPr>
            </w:pPr>
            <w:r w:rsidRPr="00A67563">
              <w:rPr>
                <w:color w:val="000000" w:themeColor="text1"/>
                <w:kern w:val="0"/>
                <w:sz w:val="24"/>
              </w:rPr>
              <w:t>其他应收款</w:t>
            </w:r>
          </w:p>
        </w:tc>
        <w:tc>
          <w:tcPr>
            <w:tcW w:w="4808" w:type="dxa"/>
            <w:vAlign w:val="center"/>
          </w:tcPr>
          <w:p w:rsidR="002C2678" w:rsidRPr="00A67563" w:rsidRDefault="002C2678" w:rsidP="00797DD2">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w:t>
            </w:r>
          </w:p>
        </w:tc>
      </w:tr>
      <w:tr w:rsidR="008277FF" w:rsidRPr="00A67563" w:rsidTr="009E3391">
        <w:tc>
          <w:tcPr>
            <w:tcW w:w="802" w:type="dxa"/>
            <w:vAlign w:val="center"/>
          </w:tcPr>
          <w:p w:rsidR="00F951CF" w:rsidRPr="00A67563" w:rsidRDefault="00F951CF" w:rsidP="00797DD2">
            <w:pPr>
              <w:autoSpaceDE w:val="0"/>
              <w:autoSpaceDN w:val="0"/>
              <w:adjustRightInd w:val="0"/>
              <w:spacing w:before="29" w:line="360" w:lineRule="auto"/>
              <w:ind w:left="15"/>
              <w:jc w:val="center"/>
              <w:rPr>
                <w:color w:val="000000" w:themeColor="text1"/>
                <w:sz w:val="24"/>
              </w:rPr>
            </w:pPr>
            <w:r w:rsidRPr="00A67563">
              <w:rPr>
                <w:color w:val="000000" w:themeColor="text1"/>
                <w:sz w:val="24"/>
              </w:rPr>
              <w:t>7</w:t>
            </w:r>
          </w:p>
        </w:tc>
        <w:tc>
          <w:tcPr>
            <w:tcW w:w="2903" w:type="dxa"/>
            <w:vAlign w:val="center"/>
          </w:tcPr>
          <w:p w:rsidR="00F951CF" w:rsidRPr="00A67563" w:rsidRDefault="00F951CF" w:rsidP="009E3391">
            <w:pPr>
              <w:autoSpaceDE w:val="0"/>
              <w:autoSpaceDN w:val="0"/>
              <w:adjustRightInd w:val="0"/>
              <w:spacing w:before="29" w:line="360" w:lineRule="auto"/>
              <w:ind w:left="15"/>
              <w:rPr>
                <w:color w:val="000000" w:themeColor="text1"/>
                <w:sz w:val="24"/>
              </w:rPr>
            </w:pPr>
            <w:r w:rsidRPr="00A67563">
              <w:rPr>
                <w:color w:val="000000" w:themeColor="text1"/>
                <w:sz w:val="24"/>
              </w:rPr>
              <w:t>待摊费用</w:t>
            </w:r>
          </w:p>
        </w:tc>
        <w:tc>
          <w:tcPr>
            <w:tcW w:w="4808" w:type="dxa"/>
            <w:vAlign w:val="center"/>
          </w:tcPr>
          <w:p w:rsidR="00F951CF" w:rsidRPr="00A67563" w:rsidRDefault="00F951CF" w:rsidP="00797DD2">
            <w:pPr>
              <w:autoSpaceDE w:val="0"/>
              <w:autoSpaceDN w:val="0"/>
              <w:adjustRightInd w:val="0"/>
              <w:spacing w:before="29" w:line="360" w:lineRule="auto"/>
              <w:ind w:left="15"/>
              <w:jc w:val="right"/>
              <w:rPr>
                <w:color w:val="000000" w:themeColor="text1"/>
                <w:sz w:val="24"/>
              </w:rPr>
            </w:pPr>
            <w:r w:rsidRPr="00A67563">
              <w:rPr>
                <w:color w:val="000000" w:themeColor="text1"/>
                <w:sz w:val="24"/>
              </w:rPr>
              <w:t>-</w:t>
            </w:r>
          </w:p>
        </w:tc>
      </w:tr>
      <w:tr w:rsidR="008277FF" w:rsidRPr="00A67563" w:rsidTr="009E3391">
        <w:tc>
          <w:tcPr>
            <w:tcW w:w="802" w:type="dxa"/>
            <w:vAlign w:val="center"/>
          </w:tcPr>
          <w:p w:rsidR="00F951CF" w:rsidRPr="00A67563" w:rsidRDefault="00F951CF" w:rsidP="00797DD2">
            <w:pPr>
              <w:autoSpaceDE w:val="0"/>
              <w:autoSpaceDN w:val="0"/>
              <w:adjustRightInd w:val="0"/>
              <w:spacing w:before="29" w:line="360" w:lineRule="auto"/>
              <w:ind w:left="15"/>
              <w:jc w:val="center"/>
              <w:rPr>
                <w:color w:val="000000" w:themeColor="text1"/>
                <w:sz w:val="24"/>
              </w:rPr>
            </w:pPr>
            <w:r w:rsidRPr="00A67563">
              <w:rPr>
                <w:color w:val="000000" w:themeColor="text1"/>
                <w:sz w:val="24"/>
              </w:rPr>
              <w:t>8</w:t>
            </w:r>
          </w:p>
        </w:tc>
        <w:tc>
          <w:tcPr>
            <w:tcW w:w="2903" w:type="dxa"/>
            <w:vAlign w:val="center"/>
          </w:tcPr>
          <w:p w:rsidR="00F951CF" w:rsidRPr="00A67563" w:rsidRDefault="00F951CF" w:rsidP="009E3391">
            <w:pPr>
              <w:autoSpaceDE w:val="0"/>
              <w:autoSpaceDN w:val="0"/>
              <w:adjustRightInd w:val="0"/>
              <w:spacing w:before="29" w:line="360" w:lineRule="auto"/>
              <w:ind w:left="15"/>
              <w:rPr>
                <w:color w:val="000000" w:themeColor="text1"/>
                <w:kern w:val="0"/>
                <w:sz w:val="24"/>
              </w:rPr>
            </w:pPr>
            <w:r w:rsidRPr="00A67563">
              <w:rPr>
                <w:color w:val="000000" w:themeColor="text1"/>
                <w:kern w:val="0"/>
                <w:sz w:val="24"/>
              </w:rPr>
              <w:t>其他</w:t>
            </w:r>
          </w:p>
        </w:tc>
        <w:tc>
          <w:tcPr>
            <w:tcW w:w="4808" w:type="dxa"/>
            <w:vAlign w:val="center"/>
          </w:tcPr>
          <w:p w:rsidR="00F951CF" w:rsidRPr="00A67563" w:rsidRDefault="00F951CF" w:rsidP="00797DD2">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w:t>
            </w:r>
          </w:p>
        </w:tc>
      </w:tr>
      <w:tr w:rsidR="008277FF" w:rsidRPr="00A67563" w:rsidTr="009E3391">
        <w:tc>
          <w:tcPr>
            <w:tcW w:w="802" w:type="dxa"/>
            <w:vAlign w:val="center"/>
          </w:tcPr>
          <w:p w:rsidR="00F951CF" w:rsidRPr="00A67563" w:rsidRDefault="00F951CF" w:rsidP="00797DD2">
            <w:pPr>
              <w:autoSpaceDE w:val="0"/>
              <w:autoSpaceDN w:val="0"/>
              <w:adjustRightInd w:val="0"/>
              <w:spacing w:before="29" w:line="360" w:lineRule="auto"/>
              <w:ind w:left="15"/>
              <w:jc w:val="center"/>
              <w:rPr>
                <w:color w:val="000000" w:themeColor="text1"/>
                <w:sz w:val="24"/>
              </w:rPr>
            </w:pPr>
            <w:r w:rsidRPr="00A67563">
              <w:rPr>
                <w:color w:val="000000" w:themeColor="text1"/>
                <w:sz w:val="24"/>
              </w:rPr>
              <w:t>9</w:t>
            </w:r>
          </w:p>
        </w:tc>
        <w:tc>
          <w:tcPr>
            <w:tcW w:w="2903" w:type="dxa"/>
            <w:vAlign w:val="center"/>
          </w:tcPr>
          <w:p w:rsidR="00F951CF" w:rsidRPr="00A67563" w:rsidRDefault="00F951CF" w:rsidP="009E3391">
            <w:pPr>
              <w:autoSpaceDE w:val="0"/>
              <w:autoSpaceDN w:val="0"/>
              <w:adjustRightInd w:val="0"/>
              <w:spacing w:before="29" w:line="360" w:lineRule="auto"/>
              <w:ind w:left="15"/>
              <w:rPr>
                <w:color w:val="000000" w:themeColor="text1"/>
                <w:kern w:val="0"/>
                <w:sz w:val="24"/>
              </w:rPr>
            </w:pPr>
            <w:r w:rsidRPr="00A67563">
              <w:rPr>
                <w:color w:val="000000" w:themeColor="text1"/>
                <w:kern w:val="0"/>
                <w:sz w:val="24"/>
              </w:rPr>
              <w:t>合计</w:t>
            </w:r>
          </w:p>
        </w:tc>
        <w:tc>
          <w:tcPr>
            <w:tcW w:w="4808" w:type="dxa"/>
            <w:vAlign w:val="center"/>
          </w:tcPr>
          <w:p w:rsidR="00F951CF" w:rsidRPr="00A67563" w:rsidRDefault="00F951CF" w:rsidP="00797DD2">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817,820.59</w:t>
            </w:r>
          </w:p>
        </w:tc>
      </w:tr>
    </w:tbl>
    <w:p w:rsidR="00A22D4B" w:rsidRPr="00A67563" w:rsidRDefault="00A22D4B" w:rsidP="00EC4BA3">
      <w:pPr>
        <w:autoSpaceDE w:val="0"/>
        <w:autoSpaceDN w:val="0"/>
        <w:adjustRightInd w:val="0"/>
        <w:spacing w:line="360" w:lineRule="auto"/>
        <w:jc w:val="left"/>
        <w:rPr>
          <w:b/>
          <w:color w:val="000000" w:themeColor="text1"/>
          <w:kern w:val="0"/>
          <w:sz w:val="24"/>
        </w:rPr>
      </w:pPr>
    </w:p>
    <w:p w:rsidR="0076518F" w:rsidRPr="00A67563" w:rsidRDefault="008C71EB"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5.1</w:t>
      </w:r>
      <w:r w:rsidR="002A0FA2" w:rsidRPr="00A67563">
        <w:rPr>
          <w:b/>
          <w:color w:val="000000" w:themeColor="text1"/>
          <w:kern w:val="0"/>
          <w:sz w:val="24"/>
        </w:rPr>
        <w:t>0</w:t>
      </w:r>
      <w:r w:rsidR="0076518F" w:rsidRPr="00A67563">
        <w:rPr>
          <w:b/>
          <w:color w:val="000000" w:themeColor="text1"/>
          <w:kern w:val="0"/>
          <w:sz w:val="24"/>
        </w:rPr>
        <w:t>.4</w:t>
      </w:r>
      <w:r w:rsidR="0076518F" w:rsidRPr="00A67563">
        <w:rPr>
          <w:b/>
          <w:color w:val="000000" w:themeColor="text1"/>
          <w:kern w:val="0"/>
          <w:sz w:val="24"/>
        </w:rPr>
        <w:t>报告期末持有的处于转股期的可转换债券明细</w:t>
      </w:r>
    </w:p>
    <w:p w:rsidR="000A55BD" w:rsidRPr="00A67563" w:rsidRDefault="000A55BD"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本基金本报告期末未持有处于转股期的可转换债券。</w:t>
      </w:r>
    </w:p>
    <w:p w:rsidR="009E3391" w:rsidRPr="00A67563" w:rsidRDefault="009E3391" w:rsidP="002236BC">
      <w:pPr>
        <w:autoSpaceDE w:val="0"/>
        <w:autoSpaceDN w:val="0"/>
        <w:adjustRightInd w:val="0"/>
        <w:spacing w:line="360" w:lineRule="auto"/>
        <w:jc w:val="left"/>
        <w:rPr>
          <w:color w:val="000000" w:themeColor="text1"/>
          <w:sz w:val="24"/>
        </w:rPr>
      </w:pPr>
    </w:p>
    <w:p w:rsidR="0076518F" w:rsidRPr="00A67563" w:rsidRDefault="008C71EB"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5.1</w:t>
      </w:r>
      <w:r w:rsidR="002A0FA2" w:rsidRPr="00A67563">
        <w:rPr>
          <w:b/>
          <w:color w:val="000000" w:themeColor="text1"/>
          <w:kern w:val="0"/>
          <w:sz w:val="24"/>
        </w:rPr>
        <w:t>0</w:t>
      </w:r>
      <w:r w:rsidR="0076518F" w:rsidRPr="00A67563">
        <w:rPr>
          <w:b/>
          <w:color w:val="000000" w:themeColor="text1"/>
          <w:kern w:val="0"/>
          <w:sz w:val="24"/>
        </w:rPr>
        <w:t xml:space="preserve">.5 </w:t>
      </w:r>
      <w:r w:rsidR="0076518F" w:rsidRPr="00A67563">
        <w:rPr>
          <w:b/>
          <w:color w:val="000000" w:themeColor="text1"/>
          <w:kern w:val="0"/>
          <w:sz w:val="24"/>
        </w:rPr>
        <w:t>报告期末前十名股票中存在流通受限情况的说明</w:t>
      </w:r>
    </w:p>
    <w:p w:rsidR="000A55BD" w:rsidRPr="00A67563" w:rsidRDefault="000A55BD"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本基金本报告期末前十名股票中不存在流通受限情况。</w:t>
      </w:r>
    </w:p>
    <w:p w:rsidR="0076518F" w:rsidRPr="00A67563" w:rsidRDefault="0076518F" w:rsidP="00014E7F">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lastRenderedPageBreak/>
        <w:t xml:space="preserve">§6  </w:t>
      </w:r>
      <w:r w:rsidRPr="00A67563">
        <w:rPr>
          <w:color w:val="000000" w:themeColor="text1"/>
          <w:kern w:val="0"/>
          <w:sz w:val="24"/>
          <w:szCs w:val="24"/>
        </w:rPr>
        <w:t>开放式基金份额变动</w:t>
      </w:r>
    </w:p>
    <w:p w:rsidR="0076518F" w:rsidRPr="00A67563" w:rsidRDefault="0076518F" w:rsidP="008B6A4A">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单位：份</w:t>
      </w:r>
    </w:p>
    <w:tbl>
      <w:tblPr>
        <w:tblW w:w="8634" w:type="dxa"/>
        <w:jc w:val="center"/>
        <w:tblLayout w:type="fixed"/>
        <w:tblLook w:val="0000" w:firstRow="0" w:lastRow="0" w:firstColumn="0" w:lastColumn="0" w:noHBand="0" w:noVBand="0"/>
      </w:tblPr>
      <w:tblGrid>
        <w:gridCol w:w="3900"/>
        <w:gridCol w:w="2367"/>
        <w:gridCol w:w="2367"/>
      </w:tblGrid>
      <w:tr w:rsidR="0022505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225051" w:rsidRPr="00A67563" w:rsidRDefault="00225051" w:rsidP="00845292">
            <w:pPr>
              <w:autoSpaceDE w:val="0"/>
              <w:autoSpaceDN w:val="0"/>
              <w:adjustRightInd w:val="0"/>
              <w:spacing w:before="29" w:line="360" w:lineRule="auto"/>
              <w:ind w:left="17"/>
              <w:jc w:val="center"/>
              <w:rPr>
                <w:color w:val="000000" w:themeColor="text1"/>
                <w:kern w:val="0"/>
                <w:sz w:val="24"/>
              </w:rPr>
            </w:pPr>
            <w:r w:rsidRPr="00A67563">
              <w:rPr>
                <w:color w:val="000000" w:themeColor="text1"/>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225051" w:rsidRPr="00A67563" w:rsidRDefault="0022505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易方达标普消费品指数增强（</w:t>
            </w:r>
            <w:r w:rsidRPr="00A67563">
              <w:rPr>
                <w:color w:val="000000" w:themeColor="text1"/>
                <w:sz w:val="24"/>
              </w:rPr>
              <w:t>QDII</w:t>
            </w:r>
            <w:r w:rsidRPr="00A67563">
              <w:rPr>
                <w:color w:val="000000" w:themeColor="text1"/>
                <w:sz w:val="24"/>
              </w:rPr>
              <w:t>）</w:t>
            </w:r>
            <w:r w:rsidRPr="00A67563">
              <w:rPr>
                <w:color w:val="000000" w:themeColor="text1"/>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225051" w:rsidRPr="00A67563" w:rsidRDefault="0022505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易方达标普消费品指数增强（</w:t>
            </w:r>
            <w:r w:rsidRPr="00A67563">
              <w:rPr>
                <w:color w:val="000000" w:themeColor="text1"/>
                <w:sz w:val="24"/>
              </w:rPr>
              <w:t>QDII</w:t>
            </w:r>
            <w:r w:rsidRPr="00A67563">
              <w:rPr>
                <w:color w:val="000000" w:themeColor="text1"/>
                <w:sz w:val="24"/>
              </w:rPr>
              <w:t>）</w:t>
            </w:r>
            <w:r w:rsidRPr="00A67563">
              <w:rPr>
                <w:color w:val="000000" w:themeColor="text1"/>
                <w:sz w:val="24"/>
              </w:rPr>
              <w:t>C</w:t>
            </w:r>
          </w:p>
        </w:tc>
      </w:tr>
      <w:tr w:rsidR="0055051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left"/>
              <w:rPr>
                <w:color w:val="000000" w:themeColor="text1"/>
                <w:kern w:val="0"/>
                <w:sz w:val="24"/>
              </w:rPr>
            </w:pPr>
            <w:r w:rsidRPr="00A67563">
              <w:rPr>
                <w:color w:val="000000" w:themeColor="text1"/>
                <w:kern w:val="0"/>
                <w:sz w:val="24"/>
              </w:rPr>
              <w:t>本报告期期初基金份额总额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27,833,752.52</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1,249,058.10</w:t>
            </w:r>
          </w:p>
        </w:tc>
      </w:tr>
      <w:tr w:rsidR="0055051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left"/>
              <w:rPr>
                <w:color w:val="000000" w:themeColor="text1"/>
                <w:kern w:val="0"/>
                <w:sz w:val="24"/>
              </w:rPr>
            </w:pPr>
            <w:r w:rsidRPr="00A67563">
              <w:rPr>
                <w:color w:val="000000" w:themeColor="text1"/>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2,268,018.41</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731,458.11</w:t>
            </w:r>
          </w:p>
        </w:tc>
      </w:tr>
      <w:tr w:rsidR="0055051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left"/>
              <w:rPr>
                <w:color w:val="000000" w:themeColor="text1"/>
                <w:kern w:val="0"/>
                <w:sz w:val="24"/>
              </w:rPr>
            </w:pPr>
            <w:r w:rsidRPr="00A67563">
              <w:rPr>
                <w:color w:val="000000" w:themeColor="text1"/>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5,057,038.61</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753,837.62</w:t>
            </w:r>
          </w:p>
        </w:tc>
      </w:tr>
      <w:tr w:rsidR="0055051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left"/>
              <w:rPr>
                <w:color w:val="000000" w:themeColor="text1"/>
                <w:kern w:val="0"/>
                <w:sz w:val="24"/>
              </w:rPr>
            </w:pPr>
            <w:r w:rsidRPr="00A67563">
              <w:rPr>
                <w:color w:val="000000" w:themeColor="text1"/>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w:t>
            </w:r>
          </w:p>
        </w:tc>
      </w:tr>
      <w:tr w:rsidR="0055051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left"/>
              <w:rPr>
                <w:color w:val="000000" w:themeColor="text1"/>
                <w:kern w:val="0"/>
                <w:sz w:val="24"/>
              </w:rPr>
            </w:pPr>
            <w:r w:rsidRPr="00A67563">
              <w:rPr>
                <w:color w:val="000000" w:themeColor="text1"/>
                <w:kern w:val="0"/>
                <w:sz w:val="24"/>
              </w:rPr>
              <w:t>本报告期期末基金份额总额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25,044,732.32</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1,226,678.59</w:t>
            </w:r>
          </w:p>
        </w:tc>
      </w:tr>
    </w:tbl>
    <w:p w:rsidR="00322A5E" w:rsidRPr="00A67563" w:rsidRDefault="00322A5E" w:rsidP="002D6955">
      <w:pPr>
        <w:autoSpaceDE w:val="0"/>
        <w:autoSpaceDN w:val="0"/>
        <w:adjustRightInd w:val="0"/>
        <w:spacing w:line="360" w:lineRule="auto"/>
        <w:jc w:val="left"/>
        <w:rPr>
          <w:color w:val="000000" w:themeColor="text1"/>
          <w:sz w:val="24"/>
        </w:rPr>
      </w:pPr>
      <w:r w:rsidRPr="00A67563">
        <w:rPr>
          <w:color w:val="000000" w:themeColor="text1"/>
          <w:sz w:val="24"/>
        </w:rPr>
        <w:t>注：易方达标普消费品指数增强（</w:t>
      </w:r>
      <w:r w:rsidRPr="00A67563">
        <w:rPr>
          <w:color w:val="000000" w:themeColor="text1"/>
          <w:sz w:val="24"/>
        </w:rPr>
        <w:t>QDII</w:t>
      </w:r>
      <w:r w:rsidRPr="00A67563">
        <w:rPr>
          <w:color w:val="000000" w:themeColor="text1"/>
          <w:sz w:val="24"/>
        </w:rPr>
        <w:t>）</w:t>
      </w:r>
      <w:r w:rsidRPr="00A67563">
        <w:rPr>
          <w:color w:val="000000" w:themeColor="text1"/>
          <w:sz w:val="24"/>
        </w:rPr>
        <w:t>A</w:t>
      </w:r>
      <w:r w:rsidRPr="00A67563">
        <w:rPr>
          <w:color w:val="000000" w:themeColor="text1"/>
          <w:sz w:val="24"/>
        </w:rPr>
        <w:t>份额变动含</w:t>
      </w:r>
      <w:r w:rsidRPr="00A67563">
        <w:rPr>
          <w:color w:val="000000" w:themeColor="text1"/>
          <w:sz w:val="24"/>
        </w:rPr>
        <w:t>A</w:t>
      </w:r>
      <w:r w:rsidRPr="00A67563">
        <w:rPr>
          <w:color w:val="000000" w:themeColor="text1"/>
          <w:sz w:val="24"/>
        </w:rPr>
        <w:t>类人民币份额及</w:t>
      </w:r>
      <w:r w:rsidRPr="00A67563">
        <w:rPr>
          <w:color w:val="000000" w:themeColor="text1"/>
          <w:sz w:val="24"/>
        </w:rPr>
        <w:t>A</w:t>
      </w:r>
      <w:r w:rsidRPr="00A67563">
        <w:rPr>
          <w:color w:val="000000" w:themeColor="text1"/>
          <w:sz w:val="24"/>
        </w:rPr>
        <w:t>类美元现汇份额；易方达标普消费品指数增强（</w:t>
      </w:r>
      <w:r w:rsidRPr="00A67563">
        <w:rPr>
          <w:color w:val="000000" w:themeColor="text1"/>
          <w:sz w:val="24"/>
        </w:rPr>
        <w:t>QDII</w:t>
      </w:r>
      <w:r w:rsidRPr="00A67563">
        <w:rPr>
          <w:color w:val="000000" w:themeColor="text1"/>
          <w:sz w:val="24"/>
        </w:rPr>
        <w:t>）</w:t>
      </w:r>
      <w:r w:rsidRPr="00A67563">
        <w:rPr>
          <w:color w:val="000000" w:themeColor="text1"/>
          <w:sz w:val="24"/>
        </w:rPr>
        <w:t>C</w:t>
      </w:r>
      <w:r w:rsidRPr="00A67563">
        <w:rPr>
          <w:color w:val="000000" w:themeColor="text1"/>
          <w:sz w:val="24"/>
        </w:rPr>
        <w:t>份额变动含</w:t>
      </w:r>
      <w:r w:rsidRPr="00A67563">
        <w:rPr>
          <w:color w:val="000000" w:themeColor="text1"/>
          <w:sz w:val="24"/>
        </w:rPr>
        <w:t>C</w:t>
      </w:r>
      <w:r w:rsidRPr="00A67563">
        <w:rPr>
          <w:color w:val="000000" w:themeColor="text1"/>
          <w:sz w:val="24"/>
        </w:rPr>
        <w:t>类人民币份额。</w:t>
      </w:r>
    </w:p>
    <w:p w:rsidR="00BB5F3D" w:rsidRPr="00A67563" w:rsidRDefault="00BB5F3D" w:rsidP="00014E7F">
      <w:pPr>
        <w:pStyle w:val="1"/>
        <w:tabs>
          <w:tab w:val="center" w:pos="4156"/>
          <w:tab w:val="right" w:pos="8312"/>
        </w:tabs>
        <w:spacing w:beforeLines="100" w:before="312" w:afterLines="100" w:after="312" w:line="360" w:lineRule="auto"/>
        <w:jc w:val="center"/>
        <w:rPr>
          <w:color w:val="000000" w:themeColor="text1"/>
          <w:sz w:val="24"/>
        </w:rPr>
      </w:pPr>
      <w:r w:rsidRPr="00A67563">
        <w:rPr>
          <w:color w:val="000000" w:themeColor="text1"/>
          <w:kern w:val="0"/>
          <w:sz w:val="24"/>
          <w:szCs w:val="24"/>
        </w:rPr>
        <w:t xml:space="preserve">§7  </w:t>
      </w:r>
      <w:r w:rsidRPr="00A67563">
        <w:rPr>
          <w:color w:val="000000" w:themeColor="text1"/>
          <w:sz w:val="24"/>
          <w:szCs w:val="24"/>
        </w:rPr>
        <w:t>基金管理人运用固有资金投资本基金</w:t>
      </w:r>
      <w:r w:rsidR="00014E7F">
        <w:rPr>
          <w:rFonts w:hint="eastAsia"/>
          <w:color w:val="000000"/>
          <w:kern w:val="0"/>
          <w:sz w:val="24"/>
        </w:rPr>
        <w:t>交易明细</w:t>
      </w:r>
    </w:p>
    <w:p w:rsidR="005E64DA" w:rsidRPr="00A67563" w:rsidRDefault="00BB5F3D" w:rsidP="00D1053F">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本报告期内基金管理人未运用固有资金申购、赎回、买卖本基金份额。</w:t>
      </w:r>
    </w:p>
    <w:p w:rsidR="0076518F" w:rsidRPr="00A67563" w:rsidRDefault="0076518F" w:rsidP="00014E7F">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t>§</w:t>
      </w:r>
      <w:r w:rsidR="002711AA" w:rsidRPr="00A67563">
        <w:rPr>
          <w:color w:val="000000" w:themeColor="text1"/>
          <w:kern w:val="0"/>
          <w:sz w:val="24"/>
          <w:szCs w:val="24"/>
        </w:rPr>
        <w:t>8</w:t>
      </w:r>
      <w:r w:rsidR="00BD7FC1" w:rsidRPr="00A67563">
        <w:rPr>
          <w:bCs w:val="0"/>
          <w:color w:val="000000" w:themeColor="text1"/>
          <w:kern w:val="2"/>
          <w:sz w:val="24"/>
          <w:szCs w:val="24"/>
        </w:rPr>
        <w:t xml:space="preserve">  </w:t>
      </w:r>
      <w:r w:rsidRPr="00A67563">
        <w:rPr>
          <w:color w:val="000000" w:themeColor="text1"/>
          <w:kern w:val="0"/>
          <w:sz w:val="24"/>
          <w:szCs w:val="24"/>
        </w:rPr>
        <w:t>备查文件目录</w:t>
      </w:r>
    </w:p>
    <w:p w:rsidR="008975BC" w:rsidRPr="00A67563" w:rsidRDefault="00280566" w:rsidP="000C7596">
      <w:pPr>
        <w:autoSpaceDE w:val="0"/>
        <w:autoSpaceDN w:val="0"/>
        <w:adjustRightInd w:val="0"/>
        <w:spacing w:line="360" w:lineRule="auto"/>
        <w:jc w:val="left"/>
        <w:rPr>
          <w:b/>
          <w:bCs/>
          <w:color w:val="000000" w:themeColor="text1"/>
          <w:kern w:val="0"/>
          <w:sz w:val="24"/>
        </w:rPr>
      </w:pPr>
      <w:r w:rsidRPr="00A67563">
        <w:rPr>
          <w:b/>
          <w:bCs/>
          <w:color w:val="000000" w:themeColor="text1"/>
          <w:kern w:val="0"/>
          <w:sz w:val="24"/>
        </w:rPr>
        <w:t>8</w:t>
      </w:r>
      <w:r w:rsidR="008975BC" w:rsidRPr="00A67563">
        <w:rPr>
          <w:b/>
          <w:bCs/>
          <w:color w:val="000000" w:themeColor="text1"/>
          <w:kern w:val="0"/>
          <w:sz w:val="24"/>
        </w:rPr>
        <w:t>.</w:t>
      </w:r>
      <w:r w:rsidR="00376A15" w:rsidRPr="00A67563">
        <w:rPr>
          <w:b/>
          <w:bCs/>
          <w:color w:val="000000" w:themeColor="text1"/>
          <w:kern w:val="0"/>
          <w:sz w:val="24"/>
        </w:rPr>
        <w:t>1</w:t>
      </w:r>
      <w:r w:rsidR="008975BC" w:rsidRPr="00A67563">
        <w:rPr>
          <w:b/>
          <w:bCs/>
          <w:color w:val="000000" w:themeColor="text1"/>
          <w:kern w:val="0"/>
          <w:sz w:val="24"/>
        </w:rPr>
        <w:t xml:space="preserve"> </w:t>
      </w:r>
      <w:r w:rsidR="008975BC" w:rsidRPr="00A67563">
        <w:rPr>
          <w:b/>
          <w:bCs/>
          <w:color w:val="000000" w:themeColor="text1"/>
          <w:kern w:val="0"/>
          <w:sz w:val="24"/>
        </w:rPr>
        <w:t>备查文件目录</w:t>
      </w:r>
    </w:p>
    <w:p w:rsidR="002755C3" w:rsidRDefault="00AE4B60">
      <w:pPr>
        <w:spacing w:line="360" w:lineRule="auto"/>
        <w:ind w:firstLineChars="200" w:firstLine="480"/>
        <w:rPr>
          <w:color w:val="000000" w:themeColor="text1"/>
          <w:sz w:val="24"/>
        </w:rPr>
      </w:pPr>
      <w:r>
        <w:rPr>
          <w:color w:val="000000" w:themeColor="text1"/>
          <w:sz w:val="24"/>
        </w:rPr>
        <w:t>1.</w:t>
      </w:r>
      <w:r>
        <w:rPr>
          <w:color w:val="000000" w:themeColor="text1"/>
          <w:sz w:val="24"/>
        </w:rPr>
        <w:t>中国证监会核准易方达标普全球高端消费品指数增强型证券投资基金募集的文件；</w:t>
      </w:r>
    </w:p>
    <w:p w:rsidR="002755C3" w:rsidRDefault="00AE4B60">
      <w:pPr>
        <w:spacing w:line="360" w:lineRule="auto"/>
        <w:ind w:firstLineChars="200" w:firstLine="480"/>
        <w:rPr>
          <w:color w:val="000000" w:themeColor="text1"/>
          <w:sz w:val="24"/>
        </w:rPr>
      </w:pPr>
      <w:r>
        <w:rPr>
          <w:color w:val="000000" w:themeColor="text1"/>
          <w:sz w:val="24"/>
        </w:rPr>
        <w:t>2.</w:t>
      </w:r>
      <w:r>
        <w:rPr>
          <w:color w:val="000000" w:themeColor="text1"/>
          <w:sz w:val="24"/>
        </w:rPr>
        <w:t>《易方达标普全球高端消费品指数增强型证券投资基金基金合同》；</w:t>
      </w:r>
    </w:p>
    <w:p w:rsidR="002755C3" w:rsidRDefault="00AE4B60">
      <w:pPr>
        <w:spacing w:line="360" w:lineRule="auto"/>
        <w:ind w:firstLineChars="200" w:firstLine="480"/>
        <w:rPr>
          <w:color w:val="000000" w:themeColor="text1"/>
          <w:sz w:val="24"/>
        </w:rPr>
      </w:pPr>
      <w:r>
        <w:rPr>
          <w:color w:val="000000" w:themeColor="text1"/>
          <w:sz w:val="24"/>
        </w:rPr>
        <w:t>3.</w:t>
      </w:r>
      <w:r>
        <w:rPr>
          <w:color w:val="000000" w:themeColor="text1"/>
          <w:sz w:val="24"/>
        </w:rPr>
        <w:t>《易方达标普全球高端消费品指数增强型证券投资基金托管协议》；</w:t>
      </w:r>
    </w:p>
    <w:p w:rsidR="002755C3" w:rsidRDefault="00AE4B60">
      <w:pPr>
        <w:spacing w:line="360" w:lineRule="auto"/>
        <w:ind w:firstLineChars="200" w:firstLine="480"/>
        <w:rPr>
          <w:color w:val="000000" w:themeColor="text1"/>
          <w:sz w:val="24"/>
        </w:rPr>
      </w:pPr>
      <w:r>
        <w:rPr>
          <w:color w:val="000000" w:themeColor="text1"/>
          <w:sz w:val="24"/>
        </w:rPr>
        <w:t>4.</w:t>
      </w:r>
      <w:r>
        <w:rPr>
          <w:color w:val="000000" w:themeColor="text1"/>
          <w:sz w:val="24"/>
        </w:rPr>
        <w:t>《易方达基金管理有限公司开放式基金业务规则》；</w:t>
      </w:r>
    </w:p>
    <w:p w:rsidR="008975BC" w:rsidRPr="00A67563" w:rsidRDefault="008975BC" w:rsidP="002D6955">
      <w:pPr>
        <w:spacing w:line="360" w:lineRule="auto"/>
        <w:ind w:firstLineChars="200" w:firstLine="480"/>
        <w:rPr>
          <w:color w:val="000000" w:themeColor="text1"/>
          <w:sz w:val="24"/>
        </w:rPr>
      </w:pPr>
      <w:r w:rsidRPr="00A67563">
        <w:rPr>
          <w:color w:val="000000" w:themeColor="text1"/>
          <w:sz w:val="24"/>
        </w:rPr>
        <w:t>5.</w:t>
      </w:r>
      <w:r w:rsidRPr="00A67563">
        <w:rPr>
          <w:color w:val="000000" w:themeColor="text1"/>
          <w:sz w:val="24"/>
        </w:rPr>
        <w:t>基金管理人业务资格批件和营业执照。</w:t>
      </w:r>
    </w:p>
    <w:p w:rsidR="008A2EC6" w:rsidRPr="00A67563" w:rsidRDefault="008A2EC6" w:rsidP="000C7596">
      <w:pPr>
        <w:spacing w:line="360" w:lineRule="auto"/>
        <w:ind w:firstLineChars="200" w:firstLine="480"/>
        <w:rPr>
          <w:color w:val="000000" w:themeColor="text1"/>
          <w:sz w:val="24"/>
        </w:rPr>
      </w:pPr>
    </w:p>
    <w:p w:rsidR="008975BC" w:rsidRPr="00A67563" w:rsidRDefault="00280566" w:rsidP="000C7596">
      <w:pPr>
        <w:autoSpaceDE w:val="0"/>
        <w:autoSpaceDN w:val="0"/>
        <w:adjustRightInd w:val="0"/>
        <w:spacing w:line="360" w:lineRule="auto"/>
        <w:jc w:val="left"/>
        <w:rPr>
          <w:b/>
          <w:bCs/>
          <w:color w:val="000000" w:themeColor="text1"/>
          <w:kern w:val="0"/>
          <w:sz w:val="24"/>
        </w:rPr>
      </w:pPr>
      <w:r w:rsidRPr="00A67563">
        <w:rPr>
          <w:b/>
          <w:bCs/>
          <w:color w:val="000000" w:themeColor="text1"/>
          <w:kern w:val="0"/>
          <w:sz w:val="24"/>
        </w:rPr>
        <w:t>8</w:t>
      </w:r>
      <w:r w:rsidR="008975BC" w:rsidRPr="00A67563">
        <w:rPr>
          <w:b/>
          <w:bCs/>
          <w:color w:val="000000" w:themeColor="text1"/>
          <w:kern w:val="0"/>
          <w:sz w:val="24"/>
        </w:rPr>
        <w:t>.</w:t>
      </w:r>
      <w:r w:rsidR="00376A15" w:rsidRPr="00A67563">
        <w:rPr>
          <w:b/>
          <w:bCs/>
          <w:color w:val="000000" w:themeColor="text1"/>
          <w:kern w:val="0"/>
          <w:sz w:val="24"/>
        </w:rPr>
        <w:t>2</w:t>
      </w:r>
      <w:r w:rsidR="008975BC" w:rsidRPr="00A67563">
        <w:rPr>
          <w:b/>
          <w:bCs/>
          <w:color w:val="000000" w:themeColor="text1"/>
          <w:kern w:val="0"/>
          <w:sz w:val="24"/>
        </w:rPr>
        <w:t xml:space="preserve"> </w:t>
      </w:r>
      <w:r w:rsidR="008975BC" w:rsidRPr="00A67563">
        <w:rPr>
          <w:b/>
          <w:bCs/>
          <w:color w:val="000000" w:themeColor="text1"/>
          <w:kern w:val="0"/>
          <w:sz w:val="24"/>
        </w:rPr>
        <w:t>存放地点</w:t>
      </w:r>
    </w:p>
    <w:p w:rsidR="008975BC" w:rsidRPr="00A67563" w:rsidRDefault="008975BC" w:rsidP="002D6955">
      <w:pPr>
        <w:spacing w:line="360" w:lineRule="auto"/>
        <w:ind w:firstLineChars="200" w:firstLine="480"/>
        <w:rPr>
          <w:color w:val="000000" w:themeColor="text1"/>
          <w:sz w:val="24"/>
        </w:rPr>
      </w:pPr>
      <w:r w:rsidRPr="00A67563">
        <w:rPr>
          <w:color w:val="000000" w:themeColor="text1"/>
          <w:sz w:val="24"/>
        </w:rPr>
        <w:t>广州市天河区珠江新城珠江东路</w:t>
      </w:r>
      <w:r w:rsidRPr="00A67563">
        <w:rPr>
          <w:color w:val="000000" w:themeColor="text1"/>
          <w:sz w:val="24"/>
        </w:rPr>
        <w:t>30</w:t>
      </w:r>
      <w:r w:rsidRPr="00A67563">
        <w:rPr>
          <w:color w:val="000000" w:themeColor="text1"/>
          <w:sz w:val="24"/>
        </w:rPr>
        <w:t>号广州银行大厦</w:t>
      </w:r>
      <w:r w:rsidRPr="00A67563">
        <w:rPr>
          <w:color w:val="000000" w:themeColor="text1"/>
          <w:sz w:val="24"/>
        </w:rPr>
        <w:t>40-43</w:t>
      </w:r>
      <w:r w:rsidRPr="00A67563">
        <w:rPr>
          <w:color w:val="000000" w:themeColor="text1"/>
          <w:sz w:val="24"/>
        </w:rPr>
        <w:t>楼。</w:t>
      </w:r>
    </w:p>
    <w:p w:rsidR="008A2EC6" w:rsidRPr="00A67563" w:rsidRDefault="008A2EC6" w:rsidP="000C7596">
      <w:pPr>
        <w:spacing w:line="360" w:lineRule="auto"/>
        <w:ind w:firstLineChars="200" w:firstLine="480"/>
        <w:rPr>
          <w:color w:val="000000" w:themeColor="text1"/>
          <w:sz w:val="24"/>
        </w:rPr>
      </w:pPr>
    </w:p>
    <w:p w:rsidR="008975BC" w:rsidRPr="00A67563" w:rsidRDefault="00280566" w:rsidP="000C7596">
      <w:pPr>
        <w:autoSpaceDE w:val="0"/>
        <w:autoSpaceDN w:val="0"/>
        <w:adjustRightInd w:val="0"/>
        <w:spacing w:line="360" w:lineRule="auto"/>
        <w:jc w:val="left"/>
        <w:rPr>
          <w:b/>
          <w:bCs/>
          <w:color w:val="000000" w:themeColor="text1"/>
          <w:kern w:val="0"/>
          <w:sz w:val="24"/>
        </w:rPr>
      </w:pPr>
      <w:r w:rsidRPr="00A67563">
        <w:rPr>
          <w:b/>
          <w:bCs/>
          <w:color w:val="000000" w:themeColor="text1"/>
          <w:kern w:val="0"/>
          <w:sz w:val="24"/>
        </w:rPr>
        <w:lastRenderedPageBreak/>
        <w:t>8</w:t>
      </w:r>
      <w:r w:rsidR="008975BC" w:rsidRPr="00A67563">
        <w:rPr>
          <w:b/>
          <w:bCs/>
          <w:color w:val="000000" w:themeColor="text1"/>
          <w:kern w:val="0"/>
          <w:sz w:val="24"/>
        </w:rPr>
        <w:t>.</w:t>
      </w:r>
      <w:r w:rsidR="00376A15" w:rsidRPr="00A67563">
        <w:rPr>
          <w:b/>
          <w:bCs/>
          <w:color w:val="000000" w:themeColor="text1"/>
          <w:kern w:val="0"/>
          <w:sz w:val="24"/>
        </w:rPr>
        <w:t>3</w:t>
      </w:r>
      <w:r w:rsidR="008975BC" w:rsidRPr="00A67563">
        <w:rPr>
          <w:b/>
          <w:bCs/>
          <w:color w:val="000000" w:themeColor="text1"/>
          <w:kern w:val="0"/>
          <w:sz w:val="24"/>
        </w:rPr>
        <w:t xml:space="preserve"> </w:t>
      </w:r>
      <w:r w:rsidR="008975BC" w:rsidRPr="00A67563">
        <w:rPr>
          <w:b/>
          <w:bCs/>
          <w:color w:val="000000" w:themeColor="text1"/>
          <w:kern w:val="0"/>
          <w:sz w:val="24"/>
        </w:rPr>
        <w:t>查阅方式</w:t>
      </w:r>
    </w:p>
    <w:p w:rsidR="008975BC" w:rsidRPr="00A67563" w:rsidRDefault="008975BC" w:rsidP="002D6955">
      <w:pPr>
        <w:spacing w:line="360" w:lineRule="auto"/>
        <w:ind w:firstLineChars="200" w:firstLine="480"/>
        <w:rPr>
          <w:color w:val="000000" w:themeColor="text1"/>
          <w:sz w:val="24"/>
        </w:rPr>
      </w:pPr>
      <w:r w:rsidRPr="00A67563">
        <w:rPr>
          <w:color w:val="000000" w:themeColor="text1"/>
          <w:sz w:val="24"/>
        </w:rPr>
        <w:t>投资者可在营业时间免费查阅，也可按工本费购买复印件。</w:t>
      </w:r>
    </w:p>
    <w:p w:rsidR="0076518F" w:rsidRPr="00A67563" w:rsidRDefault="0076518F" w:rsidP="008B6A4A">
      <w:pPr>
        <w:spacing w:line="360" w:lineRule="auto"/>
        <w:ind w:firstLineChars="200" w:firstLine="480"/>
        <w:rPr>
          <w:color w:val="000000" w:themeColor="text1"/>
          <w:sz w:val="24"/>
        </w:rPr>
      </w:pPr>
    </w:p>
    <w:p w:rsidR="008A2EC6" w:rsidRPr="00A67563" w:rsidRDefault="008A2EC6" w:rsidP="008B6A4A">
      <w:pPr>
        <w:spacing w:line="360" w:lineRule="auto"/>
        <w:ind w:firstLineChars="200" w:firstLine="480"/>
        <w:rPr>
          <w:color w:val="000000" w:themeColor="text1"/>
          <w:sz w:val="24"/>
        </w:rPr>
      </w:pPr>
    </w:p>
    <w:p w:rsidR="000C7596" w:rsidRPr="00A67563" w:rsidRDefault="000C7596" w:rsidP="008B6A4A">
      <w:pPr>
        <w:spacing w:line="360" w:lineRule="auto"/>
        <w:ind w:firstLineChars="200" w:firstLine="480"/>
        <w:rPr>
          <w:color w:val="000000" w:themeColor="text1"/>
          <w:sz w:val="24"/>
        </w:rPr>
      </w:pPr>
    </w:p>
    <w:p w:rsidR="000C7596" w:rsidRPr="00A67563" w:rsidRDefault="000C7596" w:rsidP="008B6A4A">
      <w:pPr>
        <w:spacing w:line="360" w:lineRule="auto"/>
        <w:ind w:firstLineChars="200" w:firstLine="480"/>
        <w:rPr>
          <w:color w:val="000000" w:themeColor="text1"/>
          <w:sz w:val="24"/>
        </w:rPr>
      </w:pPr>
    </w:p>
    <w:p w:rsidR="000C7596" w:rsidRPr="00A67563" w:rsidRDefault="000C7596" w:rsidP="008B6A4A">
      <w:pPr>
        <w:spacing w:line="360" w:lineRule="auto"/>
        <w:ind w:firstLineChars="200" w:firstLine="480"/>
        <w:rPr>
          <w:color w:val="000000" w:themeColor="text1"/>
          <w:sz w:val="24"/>
        </w:rPr>
      </w:pPr>
    </w:p>
    <w:p w:rsidR="000C7596" w:rsidRPr="00A67563" w:rsidRDefault="000C7596" w:rsidP="008B6A4A">
      <w:pPr>
        <w:spacing w:line="360" w:lineRule="auto"/>
        <w:ind w:firstLineChars="200" w:firstLine="480"/>
        <w:rPr>
          <w:color w:val="000000" w:themeColor="text1"/>
          <w:sz w:val="24"/>
        </w:rPr>
      </w:pPr>
    </w:p>
    <w:p w:rsidR="0076518F" w:rsidRPr="00A67563" w:rsidRDefault="0076518F" w:rsidP="008B6A4A">
      <w:pPr>
        <w:spacing w:line="360" w:lineRule="auto"/>
        <w:ind w:firstLineChars="200" w:firstLine="480"/>
        <w:rPr>
          <w:color w:val="000000" w:themeColor="text1"/>
          <w:sz w:val="24"/>
        </w:rPr>
      </w:pPr>
    </w:p>
    <w:p w:rsidR="008975BC" w:rsidRPr="00A67563" w:rsidRDefault="008975BC" w:rsidP="000C7596">
      <w:pPr>
        <w:spacing w:line="360" w:lineRule="auto"/>
        <w:jc w:val="right"/>
        <w:rPr>
          <w:b/>
          <w:bCs/>
          <w:color w:val="000000" w:themeColor="text1"/>
          <w:sz w:val="24"/>
        </w:rPr>
      </w:pPr>
      <w:r w:rsidRPr="00A67563">
        <w:rPr>
          <w:b/>
          <w:bCs/>
          <w:color w:val="000000" w:themeColor="text1"/>
          <w:sz w:val="24"/>
        </w:rPr>
        <w:t>易方达基金管理有限公司</w:t>
      </w:r>
    </w:p>
    <w:p w:rsidR="0076518F" w:rsidRPr="00A67563" w:rsidRDefault="00623556" w:rsidP="000C7596">
      <w:pPr>
        <w:spacing w:line="360" w:lineRule="auto"/>
        <w:jc w:val="right"/>
        <w:rPr>
          <w:b/>
          <w:bCs/>
          <w:color w:val="000000" w:themeColor="text1"/>
          <w:sz w:val="24"/>
        </w:rPr>
      </w:pPr>
      <w:r w:rsidRPr="00A67563">
        <w:rPr>
          <w:b/>
          <w:bCs/>
          <w:color w:val="000000" w:themeColor="text1"/>
          <w:sz w:val="24"/>
        </w:rPr>
        <w:t>二〇一九年十月二十四日</w:t>
      </w:r>
    </w:p>
    <w:sectPr w:rsidR="0076518F" w:rsidRPr="00A67563" w:rsidSect="00DB4450">
      <w:headerReference w:type="even" r:id="rId11"/>
      <w:footerReference w:type="even" r:id="rId12"/>
      <w:footerReference w:type="default" r:id="rId13"/>
      <w:headerReference w:type="first" r:id="rId14"/>
      <w:footerReference w:type="first" r:id="rId15"/>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AA0" w:rsidRDefault="00C63AA0">
      <w:r>
        <w:separator/>
      </w:r>
    </w:p>
  </w:endnote>
  <w:endnote w:type="continuationSeparator" w:id="0">
    <w:p w:rsidR="00C63AA0" w:rsidRDefault="00C6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Pr="001D0DB0" w:rsidRDefault="00845292" w:rsidP="00B918B8">
    <w:pPr>
      <w:pStyle w:val="a6"/>
      <w:jc w:val="center"/>
    </w:pPr>
    <w:r>
      <w:rPr>
        <w:rFonts w:hint="eastAsia"/>
        <w:kern w:val="0"/>
        <w:szCs w:val="21"/>
      </w:rPr>
      <w:t>第</w:t>
    </w:r>
    <w:r w:rsidR="00F84138">
      <w:rPr>
        <w:kern w:val="0"/>
        <w:szCs w:val="21"/>
      </w:rPr>
      <w:fldChar w:fldCharType="begin"/>
    </w:r>
    <w:r>
      <w:rPr>
        <w:kern w:val="0"/>
        <w:szCs w:val="21"/>
      </w:rPr>
      <w:instrText xml:space="preserve"> PAGE </w:instrText>
    </w:r>
    <w:r w:rsidR="00F84138">
      <w:rPr>
        <w:kern w:val="0"/>
        <w:szCs w:val="21"/>
      </w:rPr>
      <w:fldChar w:fldCharType="separate"/>
    </w:r>
    <w:r w:rsidR="00AE4B60">
      <w:rPr>
        <w:noProof/>
        <w:kern w:val="0"/>
        <w:szCs w:val="21"/>
      </w:rPr>
      <w:t>1</w:t>
    </w:r>
    <w:r w:rsidR="00F84138">
      <w:rPr>
        <w:kern w:val="0"/>
        <w:szCs w:val="21"/>
      </w:rPr>
      <w:fldChar w:fldCharType="end"/>
    </w:r>
    <w:r>
      <w:rPr>
        <w:rFonts w:hint="eastAsia"/>
        <w:kern w:val="0"/>
        <w:szCs w:val="21"/>
      </w:rPr>
      <w:t>页共</w:t>
    </w:r>
    <w:r w:rsidR="00F84138">
      <w:rPr>
        <w:kern w:val="0"/>
        <w:szCs w:val="21"/>
      </w:rPr>
      <w:fldChar w:fldCharType="begin"/>
    </w:r>
    <w:r>
      <w:rPr>
        <w:kern w:val="0"/>
        <w:szCs w:val="21"/>
      </w:rPr>
      <w:instrText xml:space="preserve"> NUMPAGES </w:instrText>
    </w:r>
    <w:r w:rsidR="00F84138">
      <w:rPr>
        <w:kern w:val="0"/>
        <w:szCs w:val="21"/>
      </w:rPr>
      <w:fldChar w:fldCharType="separate"/>
    </w:r>
    <w:r w:rsidR="00AE4B60">
      <w:rPr>
        <w:noProof/>
        <w:kern w:val="0"/>
        <w:szCs w:val="21"/>
      </w:rPr>
      <w:t>3</w:t>
    </w:r>
    <w:r w:rsidR="00F84138">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Default="00F84138">
    <w:pPr>
      <w:pStyle w:val="a6"/>
      <w:framePr w:wrap="around" w:vAnchor="text" w:hAnchor="margin" w:xAlign="center" w:y="1"/>
      <w:rPr>
        <w:rStyle w:val="a7"/>
      </w:rPr>
    </w:pPr>
    <w:r>
      <w:rPr>
        <w:rStyle w:val="a7"/>
      </w:rPr>
      <w:fldChar w:fldCharType="begin"/>
    </w:r>
    <w:r w:rsidR="00845292">
      <w:rPr>
        <w:rStyle w:val="a7"/>
      </w:rPr>
      <w:instrText xml:space="preserve">PAGE  </w:instrText>
    </w:r>
    <w:r>
      <w:rPr>
        <w:rStyle w:val="a7"/>
      </w:rPr>
      <w:fldChar w:fldCharType="end"/>
    </w:r>
  </w:p>
  <w:p w:rsidR="00845292" w:rsidRDefault="0084529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Default="00F84138">
    <w:pPr>
      <w:pStyle w:val="a6"/>
      <w:framePr w:wrap="around" w:vAnchor="text" w:hAnchor="margin" w:xAlign="center" w:y="1"/>
      <w:rPr>
        <w:rStyle w:val="a7"/>
      </w:rPr>
    </w:pPr>
    <w:r>
      <w:rPr>
        <w:rStyle w:val="a7"/>
      </w:rPr>
      <w:fldChar w:fldCharType="begin"/>
    </w:r>
    <w:r w:rsidR="00845292">
      <w:rPr>
        <w:rStyle w:val="a7"/>
      </w:rPr>
      <w:instrText xml:space="preserve">PAGE  </w:instrText>
    </w:r>
    <w:r>
      <w:rPr>
        <w:rStyle w:val="a7"/>
      </w:rPr>
      <w:fldChar w:fldCharType="separate"/>
    </w:r>
    <w:r w:rsidR="00AE4B60">
      <w:rPr>
        <w:rStyle w:val="a7"/>
        <w:noProof/>
      </w:rPr>
      <w:t>16</w:t>
    </w:r>
    <w:r>
      <w:rPr>
        <w:rStyle w:val="a7"/>
      </w:rPr>
      <w:fldChar w:fldCharType="end"/>
    </w:r>
  </w:p>
  <w:p w:rsidR="00845292" w:rsidRDefault="00845292">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Default="0084529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AA0" w:rsidRDefault="00C63AA0">
      <w:r>
        <w:separator/>
      </w:r>
    </w:p>
  </w:footnote>
  <w:footnote w:type="continuationSeparator" w:id="0">
    <w:p w:rsidR="00C63AA0" w:rsidRDefault="00C63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Pr="006669C9" w:rsidRDefault="00845292" w:rsidP="001D1356">
    <w:pPr>
      <w:pStyle w:val="a9"/>
      <w:pBdr>
        <w:bottom w:val="single" w:sz="6" w:space="0" w:color="auto"/>
      </w:pBdr>
      <w:jc w:val="right"/>
    </w:pPr>
    <w:r w:rsidRPr="006669C9">
      <w:t>易方达标普全球高端消费品指数增强型证券投资基金</w:t>
    </w:r>
    <w:r w:rsidRPr="006669C9">
      <w:t>2019</w:t>
    </w:r>
    <w:r w:rsidRPr="006669C9">
      <w:t>年第</w:t>
    </w:r>
    <w:r w:rsidRPr="006669C9">
      <w:t>3</w:t>
    </w:r>
    <w:r w:rsidRPr="006669C9">
      <w:t>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Default="0084529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Default="0084529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7FB4"/>
    <w:rsid w:val="0000403B"/>
    <w:rsid w:val="00005911"/>
    <w:rsid w:val="00010A83"/>
    <w:rsid w:val="00010A8E"/>
    <w:rsid w:val="00010AC3"/>
    <w:rsid w:val="00011D4F"/>
    <w:rsid w:val="00011E10"/>
    <w:rsid w:val="00011EB5"/>
    <w:rsid w:val="00014E7F"/>
    <w:rsid w:val="00017581"/>
    <w:rsid w:val="00017739"/>
    <w:rsid w:val="00020583"/>
    <w:rsid w:val="00021DD4"/>
    <w:rsid w:val="00023BE7"/>
    <w:rsid w:val="00026BFF"/>
    <w:rsid w:val="00030396"/>
    <w:rsid w:val="000306F0"/>
    <w:rsid w:val="0003091A"/>
    <w:rsid w:val="00037FCF"/>
    <w:rsid w:val="00041AB5"/>
    <w:rsid w:val="000421B8"/>
    <w:rsid w:val="00042C9C"/>
    <w:rsid w:val="00043ABF"/>
    <w:rsid w:val="000445E4"/>
    <w:rsid w:val="00045AE7"/>
    <w:rsid w:val="000510AB"/>
    <w:rsid w:val="00055668"/>
    <w:rsid w:val="00055AF1"/>
    <w:rsid w:val="000565DC"/>
    <w:rsid w:val="00063A8D"/>
    <w:rsid w:val="00064AE3"/>
    <w:rsid w:val="00066524"/>
    <w:rsid w:val="00067332"/>
    <w:rsid w:val="00070CD1"/>
    <w:rsid w:val="00070DD6"/>
    <w:rsid w:val="0007171B"/>
    <w:rsid w:val="00081D05"/>
    <w:rsid w:val="000876A0"/>
    <w:rsid w:val="00087CF7"/>
    <w:rsid w:val="00094876"/>
    <w:rsid w:val="00095912"/>
    <w:rsid w:val="00095CE0"/>
    <w:rsid w:val="000965F7"/>
    <w:rsid w:val="000965FC"/>
    <w:rsid w:val="00096933"/>
    <w:rsid w:val="00097230"/>
    <w:rsid w:val="000A09BE"/>
    <w:rsid w:val="000A457E"/>
    <w:rsid w:val="000A521D"/>
    <w:rsid w:val="000A549A"/>
    <w:rsid w:val="000A55BD"/>
    <w:rsid w:val="000A72F2"/>
    <w:rsid w:val="000B0C56"/>
    <w:rsid w:val="000B3274"/>
    <w:rsid w:val="000B3E43"/>
    <w:rsid w:val="000C11E0"/>
    <w:rsid w:val="000C1723"/>
    <w:rsid w:val="000C1B20"/>
    <w:rsid w:val="000C4107"/>
    <w:rsid w:val="000C41AE"/>
    <w:rsid w:val="000C45E7"/>
    <w:rsid w:val="000C6876"/>
    <w:rsid w:val="000C7596"/>
    <w:rsid w:val="000D01F4"/>
    <w:rsid w:val="000D121F"/>
    <w:rsid w:val="000D123A"/>
    <w:rsid w:val="000D1519"/>
    <w:rsid w:val="000E1F7C"/>
    <w:rsid w:val="000E3B88"/>
    <w:rsid w:val="000E3F11"/>
    <w:rsid w:val="000E4456"/>
    <w:rsid w:val="000F175F"/>
    <w:rsid w:val="000F17D1"/>
    <w:rsid w:val="000F60FF"/>
    <w:rsid w:val="000F635F"/>
    <w:rsid w:val="000F6C61"/>
    <w:rsid w:val="00100A7C"/>
    <w:rsid w:val="00100C12"/>
    <w:rsid w:val="001049B6"/>
    <w:rsid w:val="001051C6"/>
    <w:rsid w:val="0010694D"/>
    <w:rsid w:val="0011177A"/>
    <w:rsid w:val="00112E27"/>
    <w:rsid w:val="0011345C"/>
    <w:rsid w:val="00114B31"/>
    <w:rsid w:val="00116E31"/>
    <w:rsid w:val="00120EAF"/>
    <w:rsid w:val="00120FAF"/>
    <w:rsid w:val="0012150F"/>
    <w:rsid w:val="00121683"/>
    <w:rsid w:val="0012304E"/>
    <w:rsid w:val="00123B10"/>
    <w:rsid w:val="001248EF"/>
    <w:rsid w:val="001257C7"/>
    <w:rsid w:val="00126DDF"/>
    <w:rsid w:val="001270BF"/>
    <w:rsid w:val="00127BAC"/>
    <w:rsid w:val="001326FC"/>
    <w:rsid w:val="00142A56"/>
    <w:rsid w:val="00143B45"/>
    <w:rsid w:val="00144DF5"/>
    <w:rsid w:val="001457F4"/>
    <w:rsid w:val="00145A97"/>
    <w:rsid w:val="00146485"/>
    <w:rsid w:val="00150AD6"/>
    <w:rsid w:val="001542CC"/>
    <w:rsid w:val="00154ADA"/>
    <w:rsid w:val="0015531A"/>
    <w:rsid w:val="0016041C"/>
    <w:rsid w:val="00163B27"/>
    <w:rsid w:val="00165317"/>
    <w:rsid w:val="00171BAD"/>
    <w:rsid w:val="00172B84"/>
    <w:rsid w:val="001756A1"/>
    <w:rsid w:val="001761EE"/>
    <w:rsid w:val="00176EAA"/>
    <w:rsid w:val="0017725A"/>
    <w:rsid w:val="00177C4B"/>
    <w:rsid w:val="0018325A"/>
    <w:rsid w:val="00184DA0"/>
    <w:rsid w:val="00186199"/>
    <w:rsid w:val="0018734E"/>
    <w:rsid w:val="001928F7"/>
    <w:rsid w:val="00194537"/>
    <w:rsid w:val="00194F40"/>
    <w:rsid w:val="00196CE2"/>
    <w:rsid w:val="001A21A9"/>
    <w:rsid w:val="001A59D8"/>
    <w:rsid w:val="001A5FA6"/>
    <w:rsid w:val="001B28D0"/>
    <w:rsid w:val="001B2F0C"/>
    <w:rsid w:val="001C37F6"/>
    <w:rsid w:val="001C46E1"/>
    <w:rsid w:val="001C5C03"/>
    <w:rsid w:val="001C6288"/>
    <w:rsid w:val="001C7D5D"/>
    <w:rsid w:val="001D0F6A"/>
    <w:rsid w:val="001D1356"/>
    <w:rsid w:val="001D21BC"/>
    <w:rsid w:val="001D2AF9"/>
    <w:rsid w:val="001D2FA5"/>
    <w:rsid w:val="001D3187"/>
    <w:rsid w:val="001D35E0"/>
    <w:rsid w:val="001D369F"/>
    <w:rsid w:val="001D4F52"/>
    <w:rsid w:val="001D5045"/>
    <w:rsid w:val="001D5A44"/>
    <w:rsid w:val="001D724B"/>
    <w:rsid w:val="001E11D3"/>
    <w:rsid w:val="001E227F"/>
    <w:rsid w:val="001E2A6A"/>
    <w:rsid w:val="001E3DC2"/>
    <w:rsid w:val="001E4ABC"/>
    <w:rsid w:val="001E56FF"/>
    <w:rsid w:val="001E5C6B"/>
    <w:rsid w:val="001F03E1"/>
    <w:rsid w:val="001F0629"/>
    <w:rsid w:val="001F26C1"/>
    <w:rsid w:val="001F3C28"/>
    <w:rsid w:val="001F3CC6"/>
    <w:rsid w:val="001F4530"/>
    <w:rsid w:val="002010DE"/>
    <w:rsid w:val="00202968"/>
    <w:rsid w:val="00202C32"/>
    <w:rsid w:val="00203AEF"/>
    <w:rsid w:val="00206F8C"/>
    <w:rsid w:val="00211A26"/>
    <w:rsid w:val="002125F7"/>
    <w:rsid w:val="00214463"/>
    <w:rsid w:val="00214756"/>
    <w:rsid w:val="002149AE"/>
    <w:rsid w:val="00215CF2"/>
    <w:rsid w:val="00221174"/>
    <w:rsid w:val="0022166D"/>
    <w:rsid w:val="002224FF"/>
    <w:rsid w:val="00222E8C"/>
    <w:rsid w:val="002236BC"/>
    <w:rsid w:val="00223DBB"/>
    <w:rsid w:val="00225051"/>
    <w:rsid w:val="002273CA"/>
    <w:rsid w:val="00232846"/>
    <w:rsid w:val="00233B7F"/>
    <w:rsid w:val="002347A7"/>
    <w:rsid w:val="002359EB"/>
    <w:rsid w:val="002363AB"/>
    <w:rsid w:val="0024260D"/>
    <w:rsid w:val="00245012"/>
    <w:rsid w:val="0024504E"/>
    <w:rsid w:val="0024651F"/>
    <w:rsid w:val="0025158D"/>
    <w:rsid w:val="0025281A"/>
    <w:rsid w:val="00253D3C"/>
    <w:rsid w:val="00254F37"/>
    <w:rsid w:val="00255292"/>
    <w:rsid w:val="00256097"/>
    <w:rsid w:val="00256156"/>
    <w:rsid w:val="00260200"/>
    <w:rsid w:val="00261DB3"/>
    <w:rsid w:val="002648D8"/>
    <w:rsid w:val="002655D4"/>
    <w:rsid w:val="00265865"/>
    <w:rsid w:val="00266CB0"/>
    <w:rsid w:val="00267D54"/>
    <w:rsid w:val="002711AA"/>
    <w:rsid w:val="00273F86"/>
    <w:rsid w:val="002755C3"/>
    <w:rsid w:val="002758B5"/>
    <w:rsid w:val="00276834"/>
    <w:rsid w:val="002774F0"/>
    <w:rsid w:val="00280566"/>
    <w:rsid w:val="00281DBD"/>
    <w:rsid w:val="00284519"/>
    <w:rsid w:val="0028459B"/>
    <w:rsid w:val="00284C5F"/>
    <w:rsid w:val="00285ABF"/>
    <w:rsid w:val="002873F0"/>
    <w:rsid w:val="00291151"/>
    <w:rsid w:val="002964F9"/>
    <w:rsid w:val="00297B13"/>
    <w:rsid w:val="00297E05"/>
    <w:rsid w:val="00297E9F"/>
    <w:rsid w:val="002A0FA2"/>
    <w:rsid w:val="002A1F14"/>
    <w:rsid w:val="002A2678"/>
    <w:rsid w:val="002A27C2"/>
    <w:rsid w:val="002A2E01"/>
    <w:rsid w:val="002A398F"/>
    <w:rsid w:val="002A530F"/>
    <w:rsid w:val="002A5C6B"/>
    <w:rsid w:val="002A5D31"/>
    <w:rsid w:val="002A714F"/>
    <w:rsid w:val="002B14C2"/>
    <w:rsid w:val="002B1851"/>
    <w:rsid w:val="002B250D"/>
    <w:rsid w:val="002B27FF"/>
    <w:rsid w:val="002B3A0A"/>
    <w:rsid w:val="002B4320"/>
    <w:rsid w:val="002B6793"/>
    <w:rsid w:val="002C042C"/>
    <w:rsid w:val="002C1726"/>
    <w:rsid w:val="002C21A6"/>
    <w:rsid w:val="002C2678"/>
    <w:rsid w:val="002C26D5"/>
    <w:rsid w:val="002C5777"/>
    <w:rsid w:val="002C6A25"/>
    <w:rsid w:val="002D31BB"/>
    <w:rsid w:val="002D32E3"/>
    <w:rsid w:val="002D6955"/>
    <w:rsid w:val="002E0FEB"/>
    <w:rsid w:val="002E6899"/>
    <w:rsid w:val="002F0F79"/>
    <w:rsid w:val="002F2234"/>
    <w:rsid w:val="002F2713"/>
    <w:rsid w:val="002F280E"/>
    <w:rsid w:val="002F3709"/>
    <w:rsid w:val="002F3A6C"/>
    <w:rsid w:val="002F4296"/>
    <w:rsid w:val="002F6127"/>
    <w:rsid w:val="00300951"/>
    <w:rsid w:val="00302CA8"/>
    <w:rsid w:val="00302DE9"/>
    <w:rsid w:val="00304106"/>
    <w:rsid w:val="00304E5A"/>
    <w:rsid w:val="00304E97"/>
    <w:rsid w:val="00305084"/>
    <w:rsid w:val="0031104D"/>
    <w:rsid w:val="00311094"/>
    <w:rsid w:val="0031598C"/>
    <w:rsid w:val="00316339"/>
    <w:rsid w:val="003204E9"/>
    <w:rsid w:val="00321E8C"/>
    <w:rsid w:val="00322A5E"/>
    <w:rsid w:val="00322A86"/>
    <w:rsid w:val="00323AE8"/>
    <w:rsid w:val="00324548"/>
    <w:rsid w:val="003251F4"/>
    <w:rsid w:val="003303E3"/>
    <w:rsid w:val="00332937"/>
    <w:rsid w:val="003329EA"/>
    <w:rsid w:val="0033649D"/>
    <w:rsid w:val="003371D0"/>
    <w:rsid w:val="003376D5"/>
    <w:rsid w:val="003407A5"/>
    <w:rsid w:val="00341188"/>
    <w:rsid w:val="0034147B"/>
    <w:rsid w:val="00345F56"/>
    <w:rsid w:val="00350238"/>
    <w:rsid w:val="003508B0"/>
    <w:rsid w:val="0035109C"/>
    <w:rsid w:val="00351F0A"/>
    <w:rsid w:val="003526A6"/>
    <w:rsid w:val="0035432B"/>
    <w:rsid w:val="00356D17"/>
    <w:rsid w:val="003570F4"/>
    <w:rsid w:val="00361E7E"/>
    <w:rsid w:val="00363E15"/>
    <w:rsid w:val="00370AA4"/>
    <w:rsid w:val="00371FF4"/>
    <w:rsid w:val="003745DA"/>
    <w:rsid w:val="0037468D"/>
    <w:rsid w:val="00376A15"/>
    <w:rsid w:val="00376E96"/>
    <w:rsid w:val="00377520"/>
    <w:rsid w:val="00380D36"/>
    <w:rsid w:val="00380FB5"/>
    <w:rsid w:val="003822D3"/>
    <w:rsid w:val="00386630"/>
    <w:rsid w:val="00390B25"/>
    <w:rsid w:val="00395BC9"/>
    <w:rsid w:val="00396E32"/>
    <w:rsid w:val="00397156"/>
    <w:rsid w:val="00397616"/>
    <w:rsid w:val="00397960"/>
    <w:rsid w:val="003A30B8"/>
    <w:rsid w:val="003A328A"/>
    <w:rsid w:val="003A3BC4"/>
    <w:rsid w:val="003A458A"/>
    <w:rsid w:val="003B2F13"/>
    <w:rsid w:val="003B405E"/>
    <w:rsid w:val="003B57D3"/>
    <w:rsid w:val="003C1F58"/>
    <w:rsid w:val="003C6BB7"/>
    <w:rsid w:val="003C792F"/>
    <w:rsid w:val="003D0053"/>
    <w:rsid w:val="003D124B"/>
    <w:rsid w:val="003D18F3"/>
    <w:rsid w:val="003D78B5"/>
    <w:rsid w:val="003E244F"/>
    <w:rsid w:val="003E6203"/>
    <w:rsid w:val="003E62A6"/>
    <w:rsid w:val="003E695F"/>
    <w:rsid w:val="003E6C9B"/>
    <w:rsid w:val="003E709C"/>
    <w:rsid w:val="003E7B89"/>
    <w:rsid w:val="003F0275"/>
    <w:rsid w:val="003F06B1"/>
    <w:rsid w:val="003F4241"/>
    <w:rsid w:val="003F59C4"/>
    <w:rsid w:val="003F7C45"/>
    <w:rsid w:val="0040132C"/>
    <w:rsid w:val="00401FEA"/>
    <w:rsid w:val="004027BA"/>
    <w:rsid w:val="0040469F"/>
    <w:rsid w:val="00405085"/>
    <w:rsid w:val="0040617F"/>
    <w:rsid w:val="004061D9"/>
    <w:rsid w:val="004066FC"/>
    <w:rsid w:val="00407C10"/>
    <w:rsid w:val="004113B4"/>
    <w:rsid w:val="00414827"/>
    <w:rsid w:val="00416C10"/>
    <w:rsid w:val="00420007"/>
    <w:rsid w:val="00421C77"/>
    <w:rsid w:val="00424EF3"/>
    <w:rsid w:val="004261BD"/>
    <w:rsid w:val="004268BB"/>
    <w:rsid w:val="00431047"/>
    <w:rsid w:val="00431B86"/>
    <w:rsid w:val="004339D9"/>
    <w:rsid w:val="004408EC"/>
    <w:rsid w:val="00440E5F"/>
    <w:rsid w:val="00441E6A"/>
    <w:rsid w:val="00443C8F"/>
    <w:rsid w:val="00452481"/>
    <w:rsid w:val="004567C5"/>
    <w:rsid w:val="00457804"/>
    <w:rsid w:val="00462B61"/>
    <w:rsid w:val="00464283"/>
    <w:rsid w:val="004646BF"/>
    <w:rsid w:val="00464744"/>
    <w:rsid w:val="004665E3"/>
    <w:rsid w:val="00466B17"/>
    <w:rsid w:val="004705EB"/>
    <w:rsid w:val="004721EF"/>
    <w:rsid w:val="004731F1"/>
    <w:rsid w:val="004745CC"/>
    <w:rsid w:val="00477111"/>
    <w:rsid w:val="0047798A"/>
    <w:rsid w:val="00480BC8"/>
    <w:rsid w:val="00481265"/>
    <w:rsid w:val="004814BF"/>
    <w:rsid w:val="00482956"/>
    <w:rsid w:val="00483EE3"/>
    <w:rsid w:val="0048587E"/>
    <w:rsid w:val="00487C2B"/>
    <w:rsid w:val="0049297D"/>
    <w:rsid w:val="004929F2"/>
    <w:rsid w:val="004958BE"/>
    <w:rsid w:val="00495A03"/>
    <w:rsid w:val="0049659A"/>
    <w:rsid w:val="004966FE"/>
    <w:rsid w:val="00497079"/>
    <w:rsid w:val="00497E38"/>
    <w:rsid w:val="004A0BD6"/>
    <w:rsid w:val="004A1493"/>
    <w:rsid w:val="004A1BBA"/>
    <w:rsid w:val="004A3039"/>
    <w:rsid w:val="004A3E3C"/>
    <w:rsid w:val="004A7FBA"/>
    <w:rsid w:val="004B0E6D"/>
    <w:rsid w:val="004B16E8"/>
    <w:rsid w:val="004B254D"/>
    <w:rsid w:val="004B327C"/>
    <w:rsid w:val="004B38A1"/>
    <w:rsid w:val="004B3F56"/>
    <w:rsid w:val="004B6250"/>
    <w:rsid w:val="004B76B1"/>
    <w:rsid w:val="004C0057"/>
    <w:rsid w:val="004C0541"/>
    <w:rsid w:val="004C05F3"/>
    <w:rsid w:val="004C2C46"/>
    <w:rsid w:val="004C52A1"/>
    <w:rsid w:val="004C7235"/>
    <w:rsid w:val="004C7955"/>
    <w:rsid w:val="004C7C9D"/>
    <w:rsid w:val="004D047F"/>
    <w:rsid w:val="004D3971"/>
    <w:rsid w:val="004D3D96"/>
    <w:rsid w:val="004D650F"/>
    <w:rsid w:val="004E2133"/>
    <w:rsid w:val="004E60FB"/>
    <w:rsid w:val="004F16AD"/>
    <w:rsid w:val="004F356E"/>
    <w:rsid w:val="004F6565"/>
    <w:rsid w:val="004F779C"/>
    <w:rsid w:val="004F7846"/>
    <w:rsid w:val="005000D4"/>
    <w:rsid w:val="00501BB1"/>
    <w:rsid w:val="005021AE"/>
    <w:rsid w:val="00505BE7"/>
    <w:rsid w:val="00506786"/>
    <w:rsid w:val="00506D57"/>
    <w:rsid w:val="00507F26"/>
    <w:rsid w:val="00510CAF"/>
    <w:rsid w:val="005128C5"/>
    <w:rsid w:val="0051478B"/>
    <w:rsid w:val="0051566A"/>
    <w:rsid w:val="00515D7B"/>
    <w:rsid w:val="005166E9"/>
    <w:rsid w:val="0052009E"/>
    <w:rsid w:val="00521EDE"/>
    <w:rsid w:val="00525E59"/>
    <w:rsid w:val="005318CC"/>
    <w:rsid w:val="005346F1"/>
    <w:rsid w:val="005349B1"/>
    <w:rsid w:val="005374BC"/>
    <w:rsid w:val="00543367"/>
    <w:rsid w:val="00543BFA"/>
    <w:rsid w:val="0054649D"/>
    <w:rsid w:val="00547D9C"/>
    <w:rsid w:val="00547DA1"/>
    <w:rsid w:val="00550511"/>
    <w:rsid w:val="0055513C"/>
    <w:rsid w:val="00560C94"/>
    <w:rsid w:val="0056291C"/>
    <w:rsid w:val="00565A63"/>
    <w:rsid w:val="00566588"/>
    <w:rsid w:val="00571BD3"/>
    <w:rsid w:val="0057275D"/>
    <w:rsid w:val="005749DF"/>
    <w:rsid w:val="005800A9"/>
    <w:rsid w:val="00580488"/>
    <w:rsid w:val="0058074D"/>
    <w:rsid w:val="00582FAD"/>
    <w:rsid w:val="00583489"/>
    <w:rsid w:val="005837E4"/>
    <w:rsid w:val="00584F63"/>
    <w:rsid w:val="00587B92"/>
    <w:rsid w:val="005908C0"/>
    <w:rsid w:val="00590FE4"/>
    <w:rsid w:val="005914B6"/>
    <w:rsid w:val="00591D9C"/>
    <w:rsid w:val="00592EFF"/>
    <w:rsid w:val="00597057"/>
    <w:rsid w:val="00597D8B"/>
    <w:rsid w:val="005A128A"/>
    <w:rsid w:val="005A140B"/>
    <w:rsid w:val="005A1C30"/>
    <w:rsid w:val="005A2929"/>
    <w:rsid w:val="005A2C00"/>
    <w:rsid w:val="005A3295"/>
    <w:rsid w:val="005A44E4"/>
    <w:rsid w:val="005A46FF"/>
    <w:rsid w:val="005A6BFC"/>
    <w:rsid w:val="005A704A"/>
    <w:rsid w:val="005B011E"/>
    <w:rsid w:val="005B2E84"/>
    <w:rsid w:val="005B3103"/>
    <w:rsid w:val="005B6AC7"/>
    <w:rsid w:val="005B6CA6"/>
    <w:rsid w:val="005B7B0E"/>
    <w:rsid w:val="005C5409"/>
    <w:rsid w:val="005C69AC"/>
    <w:rsid w:val="005C722E"/>
    <w:rsid w:val="005C76B9"/>
    <w:rsid w:val="005C7FD4"/>
    <w:rsid w:val="005D01A4"/>
    <w:rsid w:val="005D45B3"/>
    <w:rsid w:val="005D4CEB"/>
    <w:rsid w:val="005E0EAB"/>
    <w:rsid w:val="005E2501"/>
    <w:rsid w:val="005E64DA"/>
    <w:rsid w:val="005F04E6"/>
    <w:rsid w:val="005F43B9"/>
    <w:rsid w:val="005F68CB"/>
    <w:rsid w:val="005F7085"/>
    <w:rsid w:val="005F79F9"/>
    <w:rsid w:val="00602ACD"/>
    <w:rsid w:val="006033E3"/>
    <w:rsid w:val="00605748"/>
    <w:rsid w:val="00610C82"/>
    <w:rsid w:val="0061321C"/>
    <w:rsid w:val="0062145B"/>
    <w:rsid w:val="00623556"/>
    <w:rsid w:val="0062386E"/>
    <w:rsid w:val="00623F01"/>
    <w:rsid w:val="00624407"/>
    <w:rsid w:val="00626E2D"/>
    <w:rsid w:val="00627D94"/>
    <w:rsid w:val="00630B42"/>
    <w:rsid w:val="0063181A"/>
    <w:rsid w:val="00637258"/>
    <w:rsid w:val="00642072"/>
    <w:rsid w:val="006440ED"/>
    <w:rsid w:val="00645293"/>
    <w:rsid w:val="00646237"/>
    <w:rsid w:val="00651B78"/>
    <w:rsid w:val="00652263"/>
    <w:rsid w:val="00652881"/>
    <w:rsid w:val="0065601A"/>
    <w:rsid w:val="00656776"/>
    <w:rsid w:val="00661974"/>
    <w:rsid w:val="00662D4B"/>
    <w:rsid w:val="00664551"/>
    <w:rsid w:val="00664F49"/>
    <w:rsid w:val="006658FA"/>
    <w:rsid w:val="006669C9"/>
    <w:rsid w:val="0066726C"/>
    <w:rsid w:val="006674BD"/>
    <w:rsid w:val="006676A0"/>
    <w:rsid w:val="00670857"/>
    <w:rsid w:val="00671124"/>
    <w:rsid w:val="006727B0"/>
    <w:rsid w:val="0067307E"/>
    <w:rsid w:val="006861C0"/>
    <w:rsid w:val="00686EC0"/>
    <w:rsid w:val="00687AD5"/>
    <w:rsid w:val="00691153"/>
    <w:rsid w:val="00695251"/>
    <w:rsid w:val="00695ADE"/>
    <w:rsid w:val="00695C0D"/>
    <w:rsid w:val="00696356"/>
    <w:rsid w:val="006A1DAE"/>
    <w:rsid w:val="006A2C8E"/>
    <w:rsid w:val="006A72C6"/>
    <w:rsid w:val="006B02DA"/>
    <w:rsid w:val="006B077E"/>
    <w:rsid w:val="006B1FD1"/>
    <w:rsid w:val="006B2065"/>
    <w:rsid w:val="006B2F2B"/>
    <w:rsid w:val="006B3940"/>
    <w:rsid w:val="006B47D1"/>
    <w:rsid w:val="006C0411"/>
    <w:rsid w:val="006C124D"/>
    <w:rsid w:val="006C168D"/>
    <w:rsid w:val="006C1D52"/>
    <w:rsid w:val="006C4E16"/>
    <w:rsid w:val="006C55C8"/>
    <w:rsid w:val="006C5E36"/>
    <w:rsid w:val="006C642C"/>
    <w:rsid w:val="006C6FC6"/>
    <w:rsid w:val="006D00D5"/>
    <w:rsid w:val="006E34B7"/>
    <w:rsid w:val="006F4CD8"/>
    <w:rsid w:val="00700B57"/>
    <w:rsid w:val="00701F44"/>
    <w:rsid w:val="00703E8A"/>
    <w:rsid w:val="007058F8"/>
    <w:rsid w:val="00706F31"/>
    <w:rsid w:val="00710335"/>
    <w:rsid w:val="00711522"/>
    <w:rsid w:val="007124FE"/>
    <w:rsid w:val="00713186"/>
    <w:rsid w:val="00713757"/>
    <w:rsid w:val="00717772"/>
    <w:rsid w:val="00721AF1"/>
    <w:rsid w:val="0072280F"/>
    <w:rsid w:val="00722B5E"/>
    <w:rsid w:val="0072708F"/>
    <w:rsid w:val="00730500"/>
    <w:rsid w:val="00732D1D"/>
    <w:rsid w:val="00736034"/>
    <w:rsid w:val="00736479"/>
    <w:rsid w:val="0073681C"/>
    <w:rsid w:val="00741EBE"/>
    <w:rsid w:val="00746130"/>
    <w:rsid w:val="00746A40"/>
    <w:rsid w:val="00750358"/>
    <w:rsid w:val="007513AC"/>
    <w:rsid w:val="00751763"/>
    <w:rsid w:val="00755CDF"/>
    <w:rsid w:val="00757A4C"/>
    <w:rsid w:val="0076093C"/>
    <w:rsid w:val="00763925"/>
    <w:rsid w:val="00764A94"/>
    <w:rsid w:val="0076518F"/>
    <w:rsid w:val="007651E5"/>
    <w:rsid w:val="007670DC"/>
    <w:rsid w:val="0077111A"/>
    <w:rsid w:val="00772721"/>
    <w:rsid w:val="007756ED"/>
    <w:rsid w:val="007870FC"/>
    <w:rsid w:val="00787CD0"/>
    <w:rsid w:val="00791053"/>
    <w:rsid w:val="00791A3A"/>
    <w:rsid w:val="00791BB9"/>
    <w:rsid w:val="00794196"/>
    <w:rsid w:val="00794251"/>
    <w:rsid w:val="00796EC9"/>
    <w:rsid w:val="00797637"/>
    <w:rsid w:val="00797DD2"/>
    <w:rsid w:val="007A3680"/>
    <w:rsid w:val="007A59B8"/>
    <w:rsid w:val="007A75F5"/>
    <w:rsid w:val="007B2862"/>
    <w:rsid w:val="007B662A"/>
    <w:rsid w:val="007B73ED"/>
    <w:rsid w:val="007C6337"/>
    <w:rsid w:val="007D1292"/>
    <w:rsid w:val="007D28C9"/>
    <w:rsid w:val="007D30CE"/>
    <w:rsid w:val="007D3CC8"/>
    <w:rsid w:val="007D5584"/>
    <w:rsid w:val="007D62A3"/>
    <w:rsid w:val="007D62F9"/>
    <w:rsid w:val="007D63A4"/>
    <w:rsid w:val="007E1AA2"/>
    <w:rsid w:val="007E303C"/>
    <w:rsid w:val="007E4C1F"/>
    <w:rsid w:val="007F0759"/>
    <w:rsid w:val="007F25C0"/>
    <w:rsid w:val="007F26D5"/>
    <w:rsid w:val="007F5F52"/>
    <w:rsid w:val="007F768B"/>
    <w:rsid w:val="007F77C6"/>
    <w:rsid w:val="008003A1"/>
    <w:rsid w:val="008006B7"/>
    <w:rsid w:val="00800FDB"/>
    <w:rsid w:val="00802081"/>
    <w:rsid w:val="00806461"/>
    <w:rsid w:val="0081096D"/>
    <w:rsid w:val="00810EAD"/>
    <w:rsid w:val="00811833"/>
    <w:rsid w:val="008118B6"/>
    <w:rsid w:val="008174D4"/>
    <w:rsid w:val="00820FE6"/>
    <w:rsid w:val="00821A66"/>
    <w:rsid w:val="00822476"/>
    <w:rsid w:val="00822882"/>
    <w:rsid w:val="00825F68"/>
    <w:rsid w:val="00826B12"/>
    <w:rsid w:val="008277FF"/>
    <w:rsid w:val="00835408"/>
    <w:rsid w:val="00837CEF"/>
    <w:rsid w:val="00840035"/>
    <w:rsid w:val="008428A9"/>
    <w:rsid w:val="00844112"/>
    <w:rsid w:val="00844929"/>
    <w:rsid w:val="00845292"/>
    <w:rsid w:val="008456C9"/>
    <w:rsid w:val="0084611D"/>
    <w:rsid w:val="00850C62"/>
    <w:rsid w:val="00852E6D"/>
    <w:rsid w:val="00857E0E"/>
    <w:rsid w:val="00861D07"/>
    <w:rsid w:val="008620ED"/>
    <w:rsid w:val="00863011"/>
    <w:rsid w:val="00865075"/>
    <w:rsid w:val="008673EE"/>
    <w:rsid w:val="0086748F"/>
    <w:rsid w:val="00867510"/>
    <w:rsid w:val="008712A3"/>
    <w:rsid w:val="00871E07"/>
    <w:rsid w:val="00872CE4"/>
    <w:rsid w:val="00877B62"/>
    <w:rsid w:val="00877D98"/>
    <w:rsid w:val="00881015"/>
    <w:rsid w:val="008810B0"/>
    <w:rsid w:val="00881617"/>
    <w:rsid w:val="008819B6"/>
    <w:rsid w:val="00881AAC"/>
    <w:rsid w:val="0088256A"/>
    <w:rsid w:val="008836B7"/>
    <w:rsid w:val="008841D3"/>
    <w:rsid w:val="00884359"/>
    <w:rsid w:val="00887DE6"/>
    <w:rsid w:val="00890172"/>
    <w:rsid w:val="008911D2"/>
    <w:rsid w:val="00893048"/>
    <w:rsid w:val="00893AF7"/>
    <w:rsid w:val="00894C2A"/>
    <w:rsid w:val="008975BC"/>
    <w:rsid w:val="00897708"/>
    <w:rsid w:val="00897D88"/>
    <w:rsid w:val="00897E6F"/>
    <w:rsid w:val="008A1213"/>
    <w:rsid w:val="008A2EC6"/>
    <w:rsid w:val="008A2F16"/>
    <w:rsid w:val="008A6D69"/>
    <w:rsid w:val="008B0A73"/>
    <w:rsid w:val="008B1823"/>
    <w:rsid w:val="008B2C17"/>
    <w:rsid w:val="008B2EAD"/>
    <w:rsid w:val="008B6A4A"/>
    <w:rsid w:val="008B6E16"/>
    <w:rsid w:val="008B7110"/>
    <w:rsid w:val="008C2029"/>
    <w:rsid w:val="008C503E"/>
    <w:rsid w:val="008C50F5"/>
    <w:rsid w:val="008C61D6"/>
    <w:rsid w:val="008C64F1"/>
    <w:rsid w:val="008C71EB"/>
    <w:rsid w:val="008C761C"/>
    <w:rsid w:val="008D1BB0"/>
    <w:rsid w:val="008D20FF"/>
    <w:rsid w:val="008D36E4"/>
    <w:rsid w:val="008D3DE6"/>
    <w:rsid w:val="008D4223"/>
    <w:rsid w:val="008D44CC"/>
    <w:rsid w:val="008D46E3"/>
    <w:rsid w:val="008D49A6"/>
    <w:rsid w:val="008D52CA"/>
    <w:rsid w:val="008D6709"/>
    <w:rsid w:val="008D74B6"/>
    <w:rsid w:val="008E083A"/>
    <w:rsid w:val="008E2450"/>
    <w:rsid w:val="008E7896"/>
    <w:rsid w:val="008E7D2D"/>
    <w:rsid w:val="008F2477"/>
    <w:rsid w:val="008F7815"/>
    <w:rsid w:val="00900F02"/>
    <w:rsid w:val="009010F0"/>
    <w:rsid w:val="00901162"/>
    <w:rsid w:val="0090223A"/>
    <w:rsid w:val="009028E2"/>
    <w:rsid w:val="00914EAB"/>
    <w:rsid w:val="00917AFA"/>
    <w:rsid w:val="00920F85"/>
    <w:rsid w:val="00922D49"/>
    <w:rsid w:val="0092502E"/>
    <w:rsid w:val="00925E37"/>
    <w:rsid w:val="00925EDD"/>
    <w:rsid w:val="00927D0E"/>
    <w:rsid w:val="009309DA"/>
    <w:rsid w:val="0093260B"/>
    <w:rsid w:val="00936688"/>
    <w:rsid w:val="00936891"/>
    <w:rsid w:val="00937CFA"/>
    <w:rsid w:val="009406B3"/>
    <w:rsid w:val="00943C27"/>
    <w:rsid w:val="00945CF5"/>
    <w:rsid w:val="009500A1"/>
    <w:rsid w:val="0095037E"/>
    <w:rsid w:val="00952AAD"/>
    <w:rsid w:val="00954567"/>
    <w:rsid w:val="00957466"/>
    <w:rsid w:val="0096260B"/>
    <w:rsid w:val="009664D5"/>
    <w:rsid w:val="00970C69"/>
    <w:rsid w:val="00971F1C"/>
    <w:rsid w:val="0097211D"/>
    <w:rsid w:val="00972E10"/>
    <w:rsid w:val="009746CA"/>
    <w:rsid w:val="009779FD"/>
    <w:rsid w:val="00981963"/>
    <w:rsid w:val="00983C82"/>
    <w:rsid w:val="00984520"/>
    <w:rsid w:val="0098545C"/>
    <w:rsid w:val="00985BF7"/>
    <w:rsid w:val="00990071"/>
    <w:rsid w:val="00991EA9"/>
    <w:rsid w:val="00992BA2"/>
    <w:rsid w:val="00992F83"/>
    <w:rsid w:val="00993250"/>
    <w:rsid w:val="0099508A"/>
    <w:rsid w:val="009974EB"/>
    <w:rsid w:val="009A1126"/>
    <w:rsid w:val="009A5E42"/>
    <w:rsid w:val="009A781F"/>
    <w:rsid w:val="009B1584"/>
    <w:rsid w:val="009B21CA"/>
    <w:rsid w:val="009B2235"/>
    <w:rsid w:val="009B2648"/>
    <w:rsid w:val="009C03E5"/>
    <w:rsid w:val="009C3730"/>
    <w:rsid w:val="009C37BD"/>
    <w:rsid w:val="009C3AAC"/>
    <w:rsid w:val="009C3D84"/>
    <w:rsid w:val="009C4D19"/>
    <w:rsid w:val="009C5134"/>
    <w:rsid w:val="009C5FDB"/>
    <w:rsid w:val="009C693E"/>
    <w:rsid w:val="009C70CB"/>
    <w:rsid w:val="009C77A0"/>
    <w:rsid w:val="009D1EA4"/>
    <w:rsid w:val="009D27AA"/>
    <w:rsid w:val="009D4991"/>
    <w:rsid w:val="009D5BB5"/>
    <w:rsid w:val="009D696D"/>
    <w:rsid w:val="009D6DAB"/>
    <w:rsid w:val="009D6ED2"/>
    <w:rsid w:val="009E0F1A"/>
    <w:rsid w:val="009E140D"/>
    <w:rsid w:val="009E1E55"/>
    <w:rsid w:val="009E3391"/>
    <w:rsid w:val="009E4465"/>
    <w:rsid w:val="009E6401"/>
    <w:rsid w:val="009E6C54"/>
    <w:rsid w:val="009E6D44"/>
    <w:rsid w:val="009F107B"/>
    <w:rsid w:val="009F2A25"/>
    <w:rsid w:val="009F5235"/>
    <w:rsid w:val="009F531A"/>
    <w:rsid w:val="009F6550"/>
    <w:rsid w:val="009F786E"/>
    <w:rsid w:val="00A00902"/>
    <w:rsid w:val="00A039FF"/>
    <w:rsid w:val="00A05ACE"/>
    <w:rsid w:val="00A14AE3"/>
    <w:rsid w:val="00A16675"/>
    <w:rsid w:val="00A22CD6"/>
    <w:rsid w:val="00A22D4B"/>
    <w:rsid w:val="00A234EC"/>
    <w:rsid w:val="00A2417A"/>
    <w:rsid w:val="00A27804"/>
    <w:rsid w:val="00A32FDA"/>
    <w:rsid w:val="00A35A8D"/>
    <w:rsid w:val="00A36AB5"/>
    <w:rsid w:val="00A37DDA"/>
    <w:rsid w:val="00A411D1"/>
    <w:rsid w:val="00A41566"/>
    <w:rsid w:val="00A421B6"/>
    <w:rsid w:val="00A43389"/>
    <w:rsid w:val="00A43C40"/>
    <w:rsid w:val="00A43E71"/>
    <w:rsid w:val="00A45753"/>
    <w:rsid w:val="00A47B15"/>
    <w:rsid w:val="00A47E47"/>
    <w:rsid w:val="00A52F84"/>
    <w:rsid w:val="00A56AA4"/>
    <w:rsid w:val="00A56B05"/>
    <w:rsid w:val="00A57678"/>
    <w:rsid w:val="00A60E2F"/>
    <w:rsid w:val="00A63127"/>
    <w:rsid w:val="00A63284"/>
    <w:rsid w:val="00A64CB8"/>
    <w:rsid w:val="00A67018"/>
    <w:rsid w:val="00A672F3"/>
    <w:rsid w:val="00A673DC"/>
    <w:rsid w:val="00A67563"/>
    <w:rsid w:val="00A7076E"/>
    <w:rsid w:val="00A707AE"/>
    <w:rsid w:val="00A709BE"/>
    <w:rsid w:val="00A70E23"/>
    <w:rsid w:val="00A7162E"/>
    <w:rsid w:val="00A72D71"/>
    <w:rsid w:val="00A75705"/>
    <w:rsid w:val="00A7634D"/>
    <w:rsid w:val="00A77C69"/>
    <w:rsid w:val="00A82C02"/>
    <w:rsid w:val="00A83953"/>
    <w:rsid w:val="00A840C5"/>
    <w:rsid w:val="00A903B6"/>
    <w:rsid w:val="00A90F4F"/>
    <w:rsid w:val="00A947AA"/>
    <w:rsid w:val="00A96748"/>
    <w:rsid w:val="00A96FD9"/>
    <w:rsid w:val="00AA1B53"/>
    <w:rsid w:val="00AA3556"/>
    <w:rsid w:val="00AA35FD"/>
    <w:rsid w:val="00AA3DB7"/>
    <w:rsid w:val="00AA72C6"/>
    <w:rsid w:val="00AA7F64"/>
    <w:rsid w:val="00AB2DFA"/>
    <w:rsid w:val="00AB3012"/>
    <w:rsid w:val="00AB321C"/>
    <w:rsid w:val="00AB3DEF"/>
    <w:rsid w:val="00AB42E2"/>
    <w:rsid w:val="00AB688F"/>
    <w:rsid w:val="00AB75EA"/>
    <w:rsid w:val="00AB7AA2"/>
    <w:rsid w:val="00AC3EB9"/>
    <w:rsid w:val="00AC4BC1"/>
    <w:rsid w:val="00AC588F"/>
    <w:rsid w:val="00AC5E4B"/>
    <w:rsid w:val="00AD04BD"/>
    <w:rsid w:val="00AD1A03"/>
    <w:rsid w:val="00AD7214"/>
    <w:rsid w:val="00AE1066"/>
    <w:rsid w:val="00AE19D8"/>
    <w:rsid w:val="00AE4518"/>
    <w:rsid w:val="00AE4B60"/>
    <w:rsid w:val="00AE5D7F"/>
    <w:rsid w:val="00AE79F0"/>
    <w:rsid w:val="00AE7D44"/>
    <w:rsid w:val="00AF4FE7"/>
    <w:rsid w:val="00AF6EC1"/>
    <w:rsid w:val="00AF7CF5"/>
    <w:rsid w:val="00B00331"/>
    <w:rsid w:val="00B0116D"/>
    <w:rsid w:val="00B01A80"/>
    <w:rsid w:val="00B07C27"/>
    <w:rsid w:val="00B10DE1"/>
    <w:rsid w:val="00B10FF8"/>
    <w:rsid w:val="00B111B9"/>
    <w:rsid w:val="00B203C4"/>
    <w:rsid w:val="00B22995"/>
    <w:rsid w:val="00B22A61"/>
    <w:rsid w:val="00B22E81"/>
    <w:rsid w:val="00B23996"/>
    <w:rsid w:val="00B23CB2"/>
    <w:rsid w:val="00B2561A"/>
    <w:rsid w:val="00B25A64"/>
    <w:rsid w:val="00B26B91"/>
    <w:rsid w:val="00B32AB3"/>
    <w:rsid w:val="00B34E7C"/>
    <w:rsid w:val="00B368EA"/>
    <w:rsid w:val="00B37EEF"/>
    <w:rsid w:val="00B43FC2"/>
    <w:rsid w:val="00B47485"/>
    <w:rsid w:val="00B50DAF"/>
    <w:rsid w:val="00B518C3"/>
    <w:rsid w:val="00B55185"/>
    <w:rsid w:val="00B55EA7"/>
    <w:rsid w:val="00B61923"/>
    <w:rsid w:val="00B621D6"/>
    <w:rsid w:val="00B62914"/>
    <w:rsid w:val="00B65D6F"/>
    <w:rsid w:val="00B67552"/>
    <w:rsid w:val="00B67C23"/>
    <w:rsid w:val="00B75735"/>
    <w:rsid w:val="00B76B0F"/>
    <w:rsid w:val="00B77142"/>
    <w:rsid w:val="00B7766E"/>
    <w:rsid w:val="00B77F5A"/>
    <w:rsid w:val="00B80A2C"/>
    <w:rsid w:val="00B81F60"/>
    <w:rsid w:val="00B83F8E"/>
    <w:rsid w:val="00B841AC"/>
    <w:rsid w:val="00B865B0"/>
    <w:rsid w:val="00B90780"/>
    <w:rsid w:val="00B918B8"/>
    <w:rsid w:val="00B9240D"/>
    <w:rsid w:val="00B94BB8"/>
    <w:rsid w:val="00B94C15"/>
    <w:rsid w:val="00B95E5A"/>
    <w:rsid w:val="00BA22A8"/>
    <w:rsid w:val="00BA3E48"/>
    <w:rsid w:val="00BA5FB8"/>
    <w:rsid w:val="00BB1EB3"/>
    <w:rsid w:val="00BB2678"/>
    <w:rsid w:val="00BB531E"/>
    <w:rsid w:val="00BB5F3D"/>
    <w:rsid w:val="00BC2343"/>
    <w:rsid w:val="00BC5A18"/>
    <w:rsid w:val="00BC76D5"/>
    <w:rsid w:val="00BD18B8"/>
    <w:rsid w:val="00BD30C8"/>
    <w:rsid w:val="00BD31D1"/>
    <w:rsid w:val="00BD3EB4"/>
    <w:rsid w:val="00BD5C65"/>
    <w:rsid w:val="00BD7FC1"/>
    <w:rsid w:val="00BE01CA"/>
    <w:rsid w:val="00BE4973"/>
    <w:rsid w:val="00BE6018"/>
    <w:rsid w:val="00BF1DD5"/>
    <w:rsid w:val="00BF1F57"/>
    <w:rsid w:val="00BF3EA0"/>
    <w:rsid w:val="00BF4086"/>
    <w:rsid w:val="00BF426C"/>
    <w:rsid w:val="00BF460D"/>
    <w:rsid w:val="00BF58D0"/>
    <w:rsid w:val="00BF7D6A"/>
    <w:rsid w:val="00C00EFD"/>
    <w:rsid w:val="00C013E1"/>
    <w:rsid w:val="00C01611"/>
    <w:rsid w:val="00C01C01"/>
    <w:rsid w:val="00C02C6D"/>
    <w:rsid w:val="00C02D59"/>
    <w:rsid w:val="00C030B6"/>
    <w:rsid w:val="00C03284"/>
    <w:rsid w:val="00C04855"/>
    <w:rsid w:val="00C050D7"/>
    <w:rsid w:val="00C05B5F"/>
    <w:rsid w:val="00C0667A"/>
    <w:rsid w:val="00C104CC"/>
    <w:rsid w:val="00C130C1"/>
    <w:rsid w:val="00C152FE"/>
    <w:rsid w:val="00C16739"/>
    <w:rsid w:val="00C22CCE"/>
    <w:rsid w:val="00C23BA2"/>
    <w:rsid w:val="00C25D0C"/>
    <w:rsid w:val="00C32AF2"/>
    <w:rsid w:val="00C33204"/>
    <w:rsid w:val="00C338EB"/>
    <w:rsid w:val="00C33E2E"/>
    <w:rsid w:val="00C3465D"/>
    <w:rsid w:val="00C379E9"/>
    <w:rsid w:val="00C37E98"/>
    <w:rsid w:val="00C42431"/>
    <w:rsid w:val="00C439FB"/>
    <w:rsid w:val="00C43F23"/>
    <w:rsid w:val="00C4675D"/>
    <w:rsid w:val="00C50011"/>
    <w:rsid w:val="00C503D3"/>
    <w:rsid w:val="00C62509"/>
    <w:rsid w:val="00C63AA0"/>
    <w:rsid w:val="00C645E6"/>
    <w:rsid w:val="00C64D82"/>
    <w:rsid w:val="00C64FBC"/>
    <w:rsid w:val="00C65A83"/>
    <w:rsid w:val="00C67DCB"/>
    <w:rsid w:val="00C736BB"/>
    <w:rsid w:val="00C737E8"/>
    <w:rsid w:val="00C80F23"/>
    <w:rsid w:val="00C81151"/>
    <w:rsid w:val="00C81460"/>
    <w:rsid w:val="00C81746"/>
    <w:rsid w:val="00C82A96"/>
    <w:rsid w:val="00C82CC6"/>
    <w:rsid w:val="00C850A3"/>
    <w:rsid w:val="00C85C32"/>
    <w:rsid w:val="00C87568"/>
    <w:rsid w:val="00C87BB7"/>
    <w:rsid w:val="00C90DB6"/>
    <w:rsid w:val="00C9394F"/>
    <w:rsid w:val="00C93B1A"/>
    <w:rsid w:val="00C9504A"/>
    <w:rsid w:val="00C96275"/>
    <w:rsid w:val="00C96F5F"/>
    <w:rsid w:val="00CA1A4F"/>
    <w:rsid w:val="00CA3977"/>
    <w:rsid w:val="00CA5927"/>
    <w:rsid w:val="00CA79EC"/>
    <w:rsid w:val="00CB39C2"/>
    <w:rsid w:val="00CB44DE"/>
    <w:rsid w:val="00CB4C8C"/>
    <w:rsid w:val="00CB6782"/>
    <w:rsid w:val="00CB7629"/>
    <w:rsid w:val="00CC00EC"/>
    <w:rsid w:val="00CC080A"/>
    <w:rsid w:val="00CC3C04"/>
    <w:rsid w:val="00CC4396"/>
    <w:rsid w:val="00CD5216"/>
    <w:rsid w:val="00CE2741"/>
    <w:rsid w:val="00CE3C13"/>
    <w:rsid w:val="00CE4499"/>
    <w:rsid w:val="00CE5277"/>
    <w:rsid w:val="00CE6358"/>
    <w:rsid w:val="00CE7FC6"/>
    <w:rsid w:val="00CF0C6C"/>
    <w:rsid w:val="00CF2D54"/>
    <w:rsid w:val="00CF622A"/>
    <w:rsid w:val="00D01324"/>
    <w:rsid w:val="00D02B0F"/>
    <w:rsid w:val="00D02BA5"/>
    <w:rsid w:val="00D03538"/>
    <w:rsid w:val="00D03B67"/>
    <w:rsid w:val="00D049B8"/>
    <w:rsid w:val="00D0516C"/>
    <w:rsid w:val="00D05EE7"/>
    <w:rsid w:val="00D068D0"/>
    <w:rsid w:val="00D078D1"/>
    <w:rsid w:val="00D1053F"/>
    <w:rsid w:val="00D129A8"/>
    <w:rsid w:val="00D12FB9"/>
    <w:rsid w:val="00D13987"/>
    <w:rsid w:val="00D200BD"/>
    <w:rsid w:val="00D22399"/>
    <w:rsid w:val="00D310E8"/>
    <w:rsid w:val="00D33751"/>
    <w:rsid w:val="00D36F6E"/>
    <w:rsid w:val="00D37343"/>
    <w:rsid w:val="00D4205E"/>
    <w:rsid w:val="00D46CA6"/>
    <w:rsid w:val="00D565EC"/>
    <w:rsid w:val="00D61982"/>
    <w:rsid w:val="00D6226F"/>
    <w:rsid w:val="00D6267A"/>
    <w:rsid w:val="00D674CF"/>
    <w:rsid w:val="00D678DF"/>
    <w:rsid w:val="00D67D12"/>
    <w:rsid w:val="00D70923"/>
    <w:rsid w:val="00D74F09"/>
    <w:rsid w:val="00D754C0"/>
    <w:rsid w:val="00D75673"/>
    <w:rsid w:val="00D7585A"/>
    <w:rsid w:val="00D80618"/>
    <w:rsid w:val="00D82494"/>
    <w:rsid w:val="00D84A4B"/>
    <w:rsid w:val="00D85E13"/>
    <w:rsid w:val="00D8669F"/>
    <w:rsid w:val="00D92168"/>
    <w:rsid w:val="00D940B5"/>
    <w:rsid w:val="00D95318"/>
    <w:rsid w:val="00D95CB0"/>
    <w:rsid w:val="00D96556"/>
    <w:rsid w:val="00D9766F"/>
    <w:rsid w:val="00D977C0"/>
    <w:rsid w:val="00DA00A3"/>
    <w:rsid w:val="00DA13F3"/>
    <w:rsid w:val="00DA27D4"/>
    <w:rsid w:val="00DA2DE3"/>
    <w:rsid w:val="00DA716A"/>
    <w:rsid w:val="00DB1841"/>
    <w:rsid w:val="00DB1F4F"/>
    <w:rsid w:val="00DB37EE"/>
    <w:rsid w:val="00DB4450"/>
    <w:rsid w:val="00DB7B69"/>
    <w:rsid w:val="00DC234A"/>
    <w:rsid w:val="00DC34E9"/>
    <w:rsid w:val="00DC41E4"/>
    <w:rsid w:val="00DC6697"/>
    <w:rsid w:val="00DC7C77"/>
    <w:rsid w:val="00DC7F19"/>
    <w:rsid w:val="00DD2809"/>
    <w:rsid w:val="00DD7EA2"/>
    <w:rsid w:val="00DE00F2"/>
    <w:rsid w:val="00DE07B4"/>
    <w:rsid w:val="00DE117F"/>
    <w:rsid w:val="00DE279B"/>
    <w:rsid w:val="00DE2B64"/>
    <w:rsid w:val="00DE401C"/>
    <w:rsid w:val="00DE4304"/>
    <w:rsid w:val="00DE6DF1"/>
    <w:rsid w:val="00DF0726"/>
    <w:rsid w:val="00DF63FA"/>
    <w:rsid w:val="00E012CC"/>
    <w:rsid w:val="00E02B71"/>
    <w:rsid w:val="00E02DEB"/>
    <w:rsid w:val="00E042A1"/>
    <w:rsid w:val="00E104FA"/>
    <w:rsid w:val="00E1082A"/>
    <w:rsid w:val="00E11166"/>
    <w:rsid w:val="00E13182"/>
    <w:rsid w:val="00E15383"/>
    <w:rsid w:val="00E1738C"/>
    <w:rsid w:val="00E174D4"/>
    <w:rsid w:val="00E22D28"/>
    <w:rsid w:val="00E230E3"/>
    <w:rsid w:val="00E27344"/>
    <w:rsid w:val="00E30EDF"/>
    <w:rsid w:val="00E31FBA"/>
    <w:rsid w:val="00E36AAE"/>
    <w:rsid w:val="00E41773"/>
    <w:rsid w:val="00E4392C"/>
    <w:rsid w:val="00E44C57"/>
    <w:rsid w:val="00E45967"/>
    <w:rsid w:val="00E462F4"/>
    <w:rsid w:val="00E46FFD"/>
    <w:rsid w:val="00E513F6"/>
    <w:rsid w:val="00E52AA3"/>
    <w:rsid w:val="00E52F3B"/>
    <w:rsid w:val="00E53D94"/>
    <w:rsid w:val="00E53DEA"/>
    <w:rsid w:val="00E616DB"/>
    <w:rsid w:val="00E618DD"/>
    <w:rsid w:val="00E627A4"/>
    <w:rsid w:val="00E630ED"/>
    <w:rsid w:val="00E73C41"/>
    <w:rsid w:val="00E74EC5"/>
    <w:rsid w:val="00E750C2"/>
    <w:rsid w:val="00E76B86"/>
    <w:rsid w:val="00E81AFF"/>
    <w:rsid w:val="00E8342F"/>
    <w:rsid w:val="00E847A7"/>
    <w:rsid w:val="00E87C2F"/>
    <w:rsid w:val="00E906B4"/>
    <w:rsid w:val="00E9095B"/>
    <w:rsid w:val="00E90CF1"/>
    <w:rsid w:val="00E9399B"/>
    <w:rsid w:val="00E94008"/>
    <w:rsid w:val="00E94762"/>
    <w:rsid w:val="00E96B52"/>
    <w:rsid w:val="00EA2244"/>
    <w:rsid w:val="00EA411E"/>
    <w:rsid w:val="00EA5FC0"/>
    <w:rsid w:val="00EA6FA7"/>
    <w:rsid w:val="00EB067F"/>
    <w:rsid w:val="00EB1F02"/>
    <w:rsid w:val="00EB51FD"/>
    <w:rsid w:val="00EB5BC5"/>
    <w:rsid w:val="00EB72C1"/>
    <w:rsid w:val="00EC086C"/>
    <w:rsid w:val="00EC42D0"/>
    <w:rsid w:val="00EC4BA3"/>
    <w:rsid w:val="00EC5CE6"/>
    <w:rsid w:val="00EC638F"/>
    <w:rsid w:val="00EE2ACE"/>
    <w:rsid w:val="00EE4874"/>
    <w:rsid w:val="00EE53EA"/>
    <w:rsid w:val="00EE79A6"/>
    <w:rsid w:val="00EE7FB4"/>
    <w:rsid w:val="00EF0A46"/>
    <w:rsid w:val="00EF0D26"/>
    <w:rsid w:val="00EF0D86"/>
    <w:rsid w:val="00EF22FE"/>
    <w:rsid w:val="00EF76AC"/>
    <w:rsid w:val="00EF7C29"/>
    <w:rsid w:val="00F005A0"/>
    <w:rsid w:val="00F01D97"/>
    <w:rsid w:val="00F02435"/>
    <w:rsid w:val="00F0542C"/>
    <w:rsid w:val="00F058BE"/>
    <w:rsid w:val="00F077D2"/>
    <w:rsid w:val="00F11352"/>
    <w:rsid w:val="00F13FCD"/>
    <w:rsid w:val="00F1498D"/>
    <w:rsid w:val="00F14D34"/>
    <w:rsid w:val="00F14DDF"/>
    <w:rsid w:val="00F152AD"/>
    <w:rsid w:val="00F158FF"/>
    <w:rsid w:val="00F20BE9"/>
    <w:rsid w:val="00F2285F"/>
    <w:rsid w:val="00F22F00"/>
    <w:rsid w:val="00F23155"/>
    <w:rsid w:val="00F24E0E"/>
    <w:rsid w:val="00F26693"/>
    <w:rsid w:val="00F36130"/>
    <w:rsid w:val="00F3658D"/>
    <w:rsid w:val="00F40444"/>
    <w:rsid w:val="00F423BD"/>
    <w:rsid w:val="00F432FF"/>
    <w:rsid w:val="00F4715C"/>
    <w:rsid w:val="00F512C0"/>
    <w:rsid w:val="00F51C16"/>
    <w:rsid w:val="00F54869"/>
    <w:rsid w:val="00F556B2"/>
    <w:rsid w:val="00F57187"/>
    <w:rsid w:val="00F574E5"/>
    <w:rsid w:val="00F5754B"/>
    <w:rsid w:val="00F576DE"/>
    <w:rsid w:val="00F63BF7"/>
    <w:rsid w:val="00F65617"/>
    <w:rsid w:val="00F666BC"/>
    <w:rsid w:val="00F70316"/>
    <w:rsid w:val="00F710BE"/>
    <w:rsid w:val="00F72CEF"/>
    <w:rsid w:val="00F736D2"/>
    <w:rsid w:val="00F7564C"/>
    <w:rsid w:val="00F76220"/>
    <w:rsid w:val="00F769BE"/>
    <w:rsid w:val="00F76A66"/>
    <w:rsid w:val="00F813A0"/>
    <w:rsid w:val="00F82E6B"/>
    <w:rsid w:val="00F84138"/>
    <w:rsid w:val="00F951CF"/>
    <w:rsid w:val="00F97B71"/>
    <w:rsid w:val="00FA1925"/>
    <w:rsid w:val="00FA2DDA"/>
    <w:rsid w:val="00FA34CA"/>
    <w:rsid w:val="00FA3CC8"/>
    <w:rsid w:val="00FA4A55"/>
    <w:rsid w:val="00FA4D4F"/>
    <w:rsid w:val="00FA54E8"/>
    <w:rsid w:val="00FA5CA2"/>
    <w:rsid w:val="00FB0D88"/>
    <w:rsid w:val="00FB26B3"/>
    <w:rsid w:val="00FB2D17"/>
    <w:rsid w:val="00FB2F69"/>
    <w:rsid w:val="00FB39F7"/>
    <w:rsid w:val="00FB3BCA"/>
    <w:rsid w:val="00FB45FF"/>
    <w:rsid w:val="00FB47E0"/>
    <w:rsid w:val="00FB5CB1"/>
    <w:rsid w:val="00FB5D97"/>
    <w:rsid w:val="00FB7363"/>
    <w:rsid w:val="00FC1CA5"/>
    <w:rsid w:val="00FC2979"/>
    <w:rsid w:val="00FC45F4"/>
    <w:rsid w:val="00FD1C3C"/>
    <w:rsid w:val="00FD3480"/>
    <w:rsid w:val="00FD38A8"/>
    <w:rsid w:val="00FD6AC8"/>
    <w:rsid w:val="00FD7298"/>
    <w:rsid w:val="00FE308B"/>
    <w:rsid w:val="00FE3EA1"/>
    <w:rsid w:val="00FE4818"/>
    <w:rsid w:val="00FE5D80"/>
    <w:rsid w:val="00FF6ADB"/>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5:docId w15:val="{84E193FC-461E-441C-A2A8-A1F743A9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A7634D"/>
    <w:pPr>
      <w:keepNext/>
      <w:keepLines/>
      <w:spacing w:before="340" w:after="330" w:line="578" w:lineRule="auto"/>
      <w:outlineLvl w:val="0"/>
    </w:pPr>
    <w:rPr>
      <w:b/>
      <w:bCs/>
      <w:kern w:val="44"/>
      <w:sz w:val="44"/>
      <w:szCs w:val="44"/>
    </w:rPr>
  </w:style>
  <w:style w:type="paragraph" w:styleId="2">
    <w:name w:val="heading 2"/>
    <w:basedOn w:val="a"/>
    <w:next w:val="a0"/>
    <w:qFormat/>
    <w:rsid w:val="00EB72C1"/>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EB72C1"/>
    <w:pPr>
      <w:ind w:firstLineChars="200" w:firstLine="420"/>
    </w:pPr>
  </w:style>
  <w:style w:type="paragraph" w:styleId="a4">
    <w:name w:val="Body Text Indent"/>
    <w:basedOn w:val="a"/>
    <w:rsid w:val="00EB72C1"/>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EB72C1"/>
    <w:rPr>
      <w:rFonts w:ascii="宋体" w:hAnsi="Courier New"/>
      <w:szCs w:val="21"/>
    </w:rPr>
  </w:style>
  <w:style w:type="paragraph" w:styleId="20">
    <w:name w:val="Body Text Indent 2"/>
    <w:basedOn w:val="a"/>
    <w:rsid w:val="00EB72C1"/>
    <w:pPr>
      <w:spacing w:line="560" w:lineRule="exact"/>
      <w:ind w:firstLineChars="200" w:firstLine="480"/>
    </w:pPr>
    <w:rPr>
      <w:rFonts w:ascii="宋体" w:hAnsi="宋体"/>
      <w:color w:val="FF0000"/>
      <w:sz w:val="24"/>
    </w:rPr>
  </w:style>
  <w:style w:type="paragraph" w:styleId="a6">
    <w:name w:val="footer"/>
    <w:basedOn w:val="a"/>
    <w:rsid w:val="00EB72C1"/>
    <w:pPr>
      <w:tabs>
        <w:tab w:val="center" w:pos="4153"/>
        <w:tab w:val="right" w:pos="8306"/>
      </w:tabs>
      <w:snapToGrid w:val="0"/>
      <w:jc w:val="left"/>
    </w:pPr>
    <w:rPr>
      <w:sz w:val="18"/>
      <w:szCs w:val="18"/>
    </w:rPr>
  </w:style>
  <w:style w:type="character" w:styleId="a7">
    <w:name w:val="page number"/>
    <w:basedOn w:val="a1"/>
    <w:rsid w:val="00EB72C1"/>
  </w:style>
  <w:style w:type="character" w:styleId="a8">
    <w:name w:val="Hyperlink"/>
    <w:rsid w:val="00EB72C1"/>
    <w:rPr>
      <w:color w:val="0000FF"/>
      <w:u w:val="single"/>
    </w:rPr>
  </w:style>
  <w:style w:type="paragraph" w:styleId="3">
    <w:name w:val="Body Text Indent 3"/>
    <w:basedOn w:val="a"/>
    <w:rsid w:val="00EB72C1"/>
    <w:pPr>
      <w:spacing w:line="560" w:lineRule="exact"/>
      <w:ind w:firstLineChars="200" w:firstLine="420"/>
    </w:pPr>
    <w:rPr>
      <w:rFonts w:ascii="Arial" w:hAnsi="Arial" w:cs="Arial"/>
      <w:color w:val="FF0000"/>
    </w:rPr>
  </w:style>
  <w:style w:type="paragraph" w:styleId="a9">
    <w:name w:val="header"/>
    <w:basedOn w:val="a"/>
    <w:link w:val="Char0"/>
    <w:uiPriority w:val="99"/>
    <w:rsid w:val="00EB72C1"/>
    <w:pPr>
      <w:pBdr>
        <w:bottom w:val="single" w:sz="6" w:space="1" w:color="auto"/>
      </w:pBdr>
      <w:tabs>
        <w:tab w:val="center" w:pos="4153"/>
        <w:tab w:val="right" w:pos="8306"/>
      </w:tabs>
      <w:snapToGrid w:val="0"/>
      <w:jc w:val="center"/>
    </w:pPr>
    <w:rPr>
      <w:sz w:val="18"/>
      <w:szCs w:val="18"/>
    </w:rPr>
  </w:style>
  <w:style w:type="character" w:styleId="aa">
    <w:name w:val="FollowedHyperlink"/>
    <w:rsid w:val="00EB72C1"/>
    <w:rPr>
      <w:color w:val="800080"/>
      <w:u w:val="single"/>
    </w:rPr>
  </w:style>
  <w:style w:type="paragraph" w:styleId="ab">
    <w:name w:val="List"/>
    <w:basedOn w:val="ac"/>
    <w:rsid w:val="00EB72C1"/>
    <w:pPr>
      <w:spacing w:after="220" w:line="220" w:lineRule="atLeast"/>
      <w:ind w:left="1440" w:hanging="360"/>
    </w:pPr>
    <w:rPr>
      <w:szCs w:val="20"/>
    </w:rPr>
  </w:style>
  <w:style w:type="paragraph" w:styleId="ac">
    <w:name w:val="Body Text"/>
    <w:basedOn w:val="a"/>
    <w:rsid w:val="00EB72C1"/>
    <w:pPr>
      <w:spacing w:after="120"/>
    </w:pPr>
  </w:style>
  <w:style w:type="paragraph" w:styleId="ad">
    <w:name w:val="Date"/>
    <w:basedOn w:val="a"/>
    <w:next w:val="a"/>
    <w:link w:val="Char1"/>
    <w:uiPriority w:val="99"/>
    <w:rsid w:val="00EB72C1"/>
    <w:rPr>
      <w:sz w:val="24"/>
      <w:szCs w:val="20"/>
    </w:rPr>
  </w:style>
  <w:style w:type="character" w:customStyle="1" w:styleId="c1">
    <w:name w:val="c1"/>
    <w:rsid w:val="00EB72C1"/>
    <w:rPr>
      <w:color w:val="000000"/>
      <w:sz w:val="18"/>
      <w:szCs w:val="18"/>
    </w:rPr>
  </w:style>
  <w:style w:type="paragraph" w:styleId="10">
    <w:name w:val="index 1"/>
    <w:basedOn w:val="a"/>
    <w:next w:val="a"/>
    <w:autoRedefine/>
    <w:semiHidden/>
    <w:rsid w:val="00EB72C1"/>
    <w:pPr>
      <w:jc w:val="right"/>
    </w:pPr>
    <w:rPr>
      <w:color w:val="008000"/>
    </w:rPr>
  </w:style>
  <w:style w:type="paragraph" w:customStyle="1" w:styleId="font5">
    <w:name w:val="font5"/>
    <w:basedOn w:val="a"/>
    <w:rsid w:val="00EB72C1"/>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EB72C1"/>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EB72C1"/>
    <w:rPr>
      <w:sz w:val="18"/>
      <w:szCs w:val="18"/>
    </w:rPr>
  </w:style>
  <w:style w:type="character" w:styleId="af">
    <w:name w:val="annotation reference"/>
    <w:semiHidden/>
    <w:rsid w:val="00EB72C1"/>
    <w:rPr>
      <w:sz w:val="21"/>
      <w:szCs w:val="21"/>
    </w:rPr>
  </w:style>
  <w:style w:type="paragraph" w:styleId="af0">
    <w:name w:val="annotation text"/>
    <w:basedOn w:val="a"/>
    <w:semiHidden/>
    <w:rsid w:val="00EB72C1"/>
    <w:pPr>
      <w:jc w:val="left"/>
    </w:pPr>
  </w:style>
  <w:style w:type="paragraph" w:styleId="af1">
    <w:name w:val="annotation subject"/>
    <w:basedOn w:val="af0"/>
    <w:next w:val="af0"/>
    <w:semiHidden/>
    <w:rsid w:val="00EB72C1"/>
    <w:rPr>
      <w:b/>
      <w:bCs/>
    </w:rPr>
  </w:style>
  <w:style w:type="paragraph" w:customStyle="1" w:styleId="Char2">
    <w:name w:val="Char"/>
    <w:basedOn w:val="a"/>
    <w:rsid w:val="00EB72C1"/>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Char">
    <w:name w:val="纯文本 Char"/>
    <w:link w:val="a5"/>
    <w:uiPriority w:val="99"/>
    <w:rsid w:val="00A96FD9"/>
    <w:rPr>
      <w:rFonts w:ascii="宋体" w:hAnsi="Courier New"/>
      <w:kern w:val="2"/>
      <w:sz w:val="21"/>
      <w:szCs w:val="21"/>
    </w:rPr>
  </w:style>
  <w:style w:type="character" w:customStyle="1" w:styleId="Char0">
    <w:name w:val="页眉 Char"/>
    <w:basedOn w:val="a1"/>
    <w:link w:val="a9"/>
    <w:uiPriority w:val="99"/>
    <w:rsid w:val="001D1356"/>
    <w:rPr>
      <w:kern w:val="2"/>
      <w:sz w:val="18"/>
      <w:szCs w:val="18"/>
    </w:rPr>
  </w:style>
  <w:style w:type="character" w:customStyle="1" w:styleId="1Char">
    <w:name w:val="标题 1 Char"/>
    <w:basedOn w:val="a1"/>
    <w:link w:val="1"/>
    <w:rsid w:val="00A7634D"/>
    <w:rPr>
      <w:b/>
      <w:bCs/>
      <w:kern w:val="44"/>
      <w:sz w:val="44"/>
      <w:szCs w:val="44"/>
    </w:rPr>
  </w:style>
  <w:style w:type="character" w:customStyle="1" w:styleId="Char1">
    <w:name w:val="日期 Char"/>
    <w:basedOn w:val="a1"/>
    <w:link w:val="ad"/>
    <w:uiPriority w:val="99"/>
    <w:rsid w:val="00C503D3"/>
    <w:rPr>
      <w:kern w:val="2"/>
      <w:sz w:val="24"/>
    </w:rPr>
  </w:style>
  <w:style w:type="character" w:styleId="af8">
    <w:name w:val="Strong"/>
    <w:basedOn w:val="a1"/>
    <w:uiPriority w:val="22"/>
    <w:qFormat/>
    <w:rsid w:val="009779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248806163">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825586713">
      <w:bodyDiv w:val="1"/>
      <w:marLeft w:val="0"/>
      <w:marRight w:val="0"/>
      <w:marTop w:val="0"/>
      <w:marBottom w:val="0"/>
      <w:divBdr>
        <w:top w:val="none" w:sz="0" w:space="0" w:color="auto"/>
        <w:left w:val="none" w:sz="0" w:space="0" w:color="auto"/>
        <w:bottom w:val="none" w:sz="0" w:space="0" w:color="auto"/>
        <w:right w:val="none" w:sz="0" w:space="0" w:color="auto"/>
      </w:divBdr>
    </w:div>
    <w:div w:id="1050878569">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512455957">
      <w:bodyDiv w:val="1"/>
      <w:marLeft w:val="0"/>
      <w:marRight w:val="0"/>
      <w:marTop w:val="0"/>
      <w:marBottom w:val="0"/>
      <w:divBdr>
        <w:top w:val="none" w:sz="0" w:space="0" w:color="auto"/>
        <w:left w:val="none" w:sz="0" w:space="0" w:color="auto"/>
        <w:bottom w:val="none" w:sz="0" w:space="0" w:color="auto"/>
        <w:right w:val="none" w:sz="0" w:space="0" w:color="auto"/>
      </w:divBdr>
    </w:div>
    <w:div w:id="1633444076">
      <w:bodyDiv w:val="1"/>
      <w:marLeft w:val="0"/>
      <w:marRight w:val="0"/>
      <w:marTop w:val="0"/>
      <w:marBottom w:val="0"/>
      <w:divBdr>
        <w:top w:val="none" w:sz="0" w:space="0" w:color="auto"/>
        <w:left w:val="none" w:sz="0" w:space="0" w:color="auto"/>
        <w:bottom w:val="none" w:sz="0" w:space="0" w:color="auto"/>
        <w:right w:val="none" w:sz="0" w:space="0" w:color="auto"/>
      </w:divBdr>
      <w:divsChild>
        <w:div w:id="1453405627">
          <w:marLeft w:val="0"/>
          <w:marRight w:val="0"/>
          <w:marTop w:val="0"/>
          <w:marBottom w:val="0"/>
          <w:divBdr>
            <w:top w:val="none" w:sz="0" w:space="0" w:color="auto"/>
            <w:left w:val="none" w:sz="0" w:space="0" w:color="auto"/>
            <w:bottom w:val="none" w:sz="0" w:space="0" w:color="auto"/>
            <w:right w:val="none" w:sz="0" w:space="0" w:color="auto"/>
          </w:divBdr>
        </w:div>
      </w:divsChild>
    </w:div>
    <w:div w:id="18372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qdii.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qdii.dot</Template>
  <TotalTime>154</TotalTime>
  <Pages>3</Pages>
  <Words>1220</Words>
  <Characters>6958</Characters>
  <Application>Microsoft Office Word</Application>
  <DocSecurity>0</DocSecurity>
  <Lines>57</Lines>
  <Paragraphs>16</Paragraphs>
  <ScaleCrop>false</ScaleCrop>
  <Company>TRT. Ltd. Co.</Company>
  <LinksUpToDate>false</LinksUpToDate>
  <CharactersWithSpaces>8162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74</cp:revision>
  <cp:lastPrinted>2019-10-16T13:56:00Z</cp:lastPrinted>
  <dcterms:created xsi:type="dcterms:W3CDTF">2014-12-16T02:40:00Z</dcterms:created>
  <dcterms:modified xsi:type="dcterms:W3CDTF">2019-10-16T13:56:00Z</dcterms:modified>
</cp:coreProperties>
</file>