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易方达安源中短债债券型证券投资基金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中国建设银行股份有限公司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3830E2" w:rsidRDefault="00ED5B50">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3830E2" w:rsidRDefault="00ED5B50">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3830E2" w:rsidRDefault="00ED5B50">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3830E2" w:rsidRDefault="00ED5B50">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3830E2" w:rsidRDefault="00ED5B50">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易方达安源中短债债券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110052</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2019</w:t>
            </w:r>
            <w:r w:rsidRPr="00C30CFF">
              <w:rPr>
                <w:color w:val="000000"/>
                <w:kern w:val="0"/>
                <w:sz w:val="24"/>
              </w:rPr>
              <w:t>年</w:t>
            </w:r>
            <w:r w:rsidRPr="00C30CFF">
              <w:rPr>
                <w:color w:val="000000"/>
                <w:kern w:val="0"/>
                <w:sz w:val="24"/>
              </w:rPr>
              <w:t>5</w:t>
            </w:r>
            <w:r w:rsidRPr="00C30CFF">
              <w:rPr>
                <w:color w:val="000000"/>
                <w:kern w:val="0"/>
                <w:sz w:val="24"/>
              </w:rPr>
              <w:t>月</w:t>
            </w:r>
            <w:r w:rsidRPr="00C30CFF">
              <w:rPr>
                <w:color w:val="000000"/>
                <w:kern w:val="0"/>
                <w:sz w:val="24"/>
              </w:rPr>
              <w:t>28</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152,668,690.71</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本基金主要投资中短期债券，在严格控制风险和保持较高流动性的基础上，力求获得超越业绩比较基准的投资回报。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主要投资中短期债券，在严格控制风险和保持较高流动性的基础上，力求获得超越业绩比较基准的投资回报。久期策略方面，基金管理人将在深入研究国内外的宏观经济走势、货币政策变化趋势、市场资金供求状况的基础上，预测未来收益率曲线</w:t>
            </w:r>
            <w:r w:rsidRPr="00C30CFF">
              <w:rPr>
                <w:color w:val="000000"/>
                <w:kern w:val="0"/>
                <w:sz w:val="24"/>
              </w:rPr>
              <w:lastRenderedPageBreak/>
              <w:t>变动趋势，积极调整本基金的组合久期。期限结构配置方面，本基金对债券市场收益率期限结构进行分析，运用统计和数量分析技术，预测收益率期限结构的变化方式，确定期限结构配置策略以及各期限固定收益品种的配置比例，以达到预期投资收益最大化的目的。类属配置方面，本基金对不同类型固定收益品种的信用风险、税赋水平、市场流动性、市场风险等因素进行分析，研究同期限的国债、金融债、短期融资券、中期票据等投资品种的利差和变化趋势，制定债券类属配置策略，以获取不同债券类属之间利差变化所带来的投资收益。个券策略方面，本基金对于信用类固定收益品种的投资，将根据发行人的公司背景、行业特性、盈利能力、偿债能力、流动性等因素，对信用债进行信用风险评估，积极发掘信用利差具有相对投资机会的个券进行投资，并采取分散化投资策略，严格控制组合整体的违约风险水平。</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中债综合财富（</w:t>
            </w:r>
            <w:r w:rsidRPr="00C30CFF">
              <w:rPr>
                <w:color w:val="000000"/>
                <w:kern w:val="0"/>
                <w:sz w:val="24"/>
              </w:rPr>
              <w:t>1 -3</w:t>
            </w:r>
            <w:r w:rsidRPr="00C30CFF">
              <w:rPr>
                <w:color w:val="000000"/>
                <w:kern w:val="0"/>
                <w:sz w:val="24"/>
              </w:rPr>
              <w:t>年）指数收益率</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本基金为债券型基金，其长期平均风险和预期收益率理论上低于股票型基金、混合型基金，高于货币市场基金。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中国建设银行股份有限公司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易方达安源中短债债券</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易方达安源中短债债券</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110053</w:t>
            </w:r>
          </w:p>
        </w:tc>
        <w:tc>
          <w:tcPr>
            <w:tcW w:w="2790" w:type="dxa"/>
            <w:vAlign w:val="center"/>
          </w:tcPr>
          <w:p w:rsidR="00F016DD" w:rsidRPr="00C30CFF" w:rsidRDefault="00F016DD" w:rsidP="00950413">
            <w:pPr>
              <w:jc w:val="left"/>
              <w:rPr>
                <w:color w:val="000000"/>
                <w:sz w:val="24"/>
              </w:rPr>
            </w:pPr>
            <w:r w:rsidRPr="00C30CFF">
              <w:rPr>
                <w:color w:val="000000"/>
                <w:sz w:val="24"/>
              </w:rPr>
              <w:t>110052</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40,439,712.83</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112,228,977.88</w:t>
            </w:r>
            <w:r w:rsidRPr="00C30CFF">
              <w:rPr>
                <w:color w:val="000000"/>
                <w:kern w:val="0"/>
                <w:sz w:val="24"/>
              </w:rPr>
              <w:t>份</w:t>
            </w:r>
          </w:p>
        </w:tc>
      </w:tr>
    </w:tbl>
    <w:p w:rsidR="00F016DD" w:rsidRPr="00C30CFF" w:rsidRDefault="00F016DD" w:rsidP="00C30CFF">
      <w:pPr>
        <w:spacing w:line="360" w:lineRule="auto"/>
        <w:ind w:firstLineChars="200" w:firstLine="480"/>
        <w:rPr>
          <w:color w:val="000000"/>
          <w:sz w:val="24"/>
        </w:rPr>
      </w:pPr>
      <w:r w:rsidRPr="00C30CFF">
        <w:rPr>
          <w:color w:val="000000"/>
          <w:sz w:val="24"/>
        </w:rPr>
        <w:lastRenderedPageBreak/>
        <w:t>注：本基金</w:t>
      </w:r>
      <w:r w:rsidRPr="00C30CFF">
        <w:rPr>
          <w:color w:val="000000"/>
          <w:sz w:val="24"/>
        </w:rPr>
        <w:t>A</w:t>
      </w:r>
      <w:r w:rsidRPr="00C30CFF">
        <w:rPr>
          <w:color w:val="000000"/>
          <w:sz w:val="24"/>
        </w:rPr>
        <w:t>类基金份额由原易方达双月利理财债券型证券投资基金</w:t>
      </w:r>
      <w:r w:rsidRPr="00C30CFF">
        <w:rPr>
          <w:color w:val="000000"/>
          <w:sz w:val="24"/>
        </w:rPr>
        <w:t>B</w:t>
      </w:r>
      <w:r w:rsidRPr="00C30CFF">
        <w:rPr>
          <w:color w:val="000000"/>
          <w:sz w:val="24"/>
        </w:rPr>
        <w:t>类基金份额转型而来，</w:t>
      </w:r>
      <w:r w:rsidRPr="00C30CFF">
        <w:rPr>
          <w:color w:val="000000"/>
          <w:sz w:val="24"/>
        </w:rPr>
        <w:t>C</w:t>
      </w:r>
      <w:r w:rsidRPr="00C30CFF">
        <w:rPr>
          <w:color w:val="000000"/>
          <w:sz w:val="24"/>
        </w:rPr>
        <w:t>类基金份额由原易方达双月利理财债券型证券投资基金</w:t>
      </w:r>
      <w:r w:rsidRPr="00C30CFF">
        <w:rPr>
          <w:color w:val="000000"/>
          <w:sz w:val="24"/>
        </w:rPr>
        <w:t>A</w:t>
      </w:r>
      <w:r w:rsidRPr="00C30CFF">
        <w:rPr>
          <w:color w:val="000000"/>
          <w:sz w:val="24"/>
        </w:rPr>
        <w:t>类基金份额转型而来。</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易方达安源中短债债券</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易方达安源中短债债券</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405,347.38</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870,265.93</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425,805.22</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899,276.44</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0.0104</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0.0094</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40,974,467.18</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113,607,357.56</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1.0132</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1.0123</w:t>
            </w:r>
          </w:p>
        </w:tc>
      </w:tr>
    </w:tbl>
    <w:p w:rsidR="003830E2" w:rsidRDefault="00ED5B50">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w:t>
      </w:r>
      <w:r w:rsidRPr="00C30CFF">
        <w:rPr>
          <w:color w:val="000000"/>
          <w:sz w:val="24"/>
        </w:rPr>
        <w:t>(</w:t>
      </w:r>
      <w:r w:rsidRPr="00C30CFF">
        <w:rPr>
          <w:color w:val="000000"/>
          <w:sz w:val="24"/>
        </w:rPr>
        <w:t>不含公允价值变动收益</w:t>
      </w:r>
      <w:r w:rsidRPr="00C30CFF">
        <w:rPr>
          <w:color w:val="000000"/>
          <w:sz w:val="24"/>
        </w:rPr>
        <w:t>)</w:t>
      </w:r>
      <w:r w:rsidRPr="00C30CFF">
        <w:rPr>
          <w:color w:val="000000"/>
          <w:sz w:val="24"/>
        </w:rPr>
        <w:t>扣除相关费用后的余额</w:t>
      </w:r>
      <w:r w:rsidRPr="00C30CFF">
        <w:rPr>
          <w:color w:val="000000"/>
          <w:sz w:val="24"/>
        </w:rPr>
        <w:t>,</w:t>
      </w:r>
      <w:r w:rsidRPr="00C30CFF">
        <w:rPr>
          <w:color w:val="000000"/>
          <w:sz w:val="24"/>
        </w:rPr>
        <w:t>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易方达安源中短债债券A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3830E2">
        <w:tc>
          <w:tcPr>
            <w:tcW w:w="1290" w:type="dxa"/>
            <w:vAlign w:val="center"/>
          </w:tcPr>
          <w:p w:rsidR="003830E2" w:rsidRDefault="00ED5B50">
            <w:pPr>
              <w:jc w:val="left"/>
            </w:pPr>
            <w:r>
              <w:rPr>
                <w:color w:val="000000"/>
                <w:sz w:val="24"/>
              </w:rPr>
              <w:t>过去三个月</w:t>
            </w:r>
          </w:p>
        </w:tc>
        <w:tc>
          <w:tcPr>
            <w:tcW w:w="1291" w:type="dxa"/>
            <w:vAlign w:val="center"/>
          </w:tcPr>
          <w:p w:rsidR="003830E2" w:rsidRDefault="00ED5B50">
            <w:pPr>
              <w:jc w:val="center"/>
            </w:pPr>
            <w:r>
              <w:rPr>
                <w:color w:val="000000"/>
                <w:sz w:val="24"/>
              </w:rPr>
              <w:t>1.02%</w:t>
            </w:r>
          </w:p>
        </w:tc>
        <w:tc>
          <w:tcPr>
            <w:tcW w:w="1291" w:type="dxa"/>
            <w:vAlign w:val="center"/>
          </w:tcPr>
          <w:p w:rsidR="003830E2" w:rsidRDefault="00ED5B50">
            <w:pPr>
              <w:jc w:val="center"/>
            </w:pPr>
            <w:r>
              <w:rPr>
                <w:color w:val="000000"/>
                <w:sz w:val="24"/>
              </w:rPr>
              <w:t>0.02%</w:t>
            </w:r>
          </w:p>
        </w:tc>
        <w:tc>
          <w:tcPr>
            <w:tcW w:w="1291" w:type="dxa"/>
            <w:vAlign w:val="center"/>
          </w:tcPr>
          <w:p w:rsidR="003830E2" w:rsidRDefault="00ED5B50">
            <w:pPr>
              <w:jc w:val="center"/>
            </w:pPr>
            <w:r>
              <w:rPr>
                <w:color w:val="000000"/>
                <w:sz w:val="24"/>
              </w:rPr>
              <w:t>1.20%</w:t>
            </w:r>
          </w:p>
        </w:tc>
        <w:tc>
          <w:tcPr>
            <w:tcW w:w="1291" w:type="dxa"/>
            <w:vAlign w:val="center"/>
          </w:tcPr>
          <w:p w:rsidR="003830E2" w:rsidRDefault="00ED5B50">
            <w:pPr>
              <w:jc w:val="center"/>
            </w:pPr>
            <w:r>
              <w:rPr>
                <w:color w:val="000000"/>
                <w:sz w:val="24"/>
              </w:rPr>
              <w:t>0.01%</w:t>
            </w:r>
          </w:p>
        </w:tc>
        <w:tc>
          <w:tcPr>
            <w:tcW w:w="1291" w:type="dxa"/>
            <w:vAlign w:val="center"/>
          </w:tcPr>
          <w:p w:rsidR="003830E2" w:rsidRDefault="00ED5B50">
            <w:pPr>
              <w:jc w:val="center"/>
            </w:pPr>
            <w:r>
              <w:rPr>
                <w:color w:val="000000"/>
                <w:sz w:val="24"/>
              </w:rPr>
              <w:t>-0.18%</w:t>
            </w:r>
          </w:p>
        </w:tc>
        <w:tc>
          <w:tcPr>
            <w:tcW w:w="1291" w:type="dxa"/>
            <w:vAlign w:val="center"/>
          </w:tcPr>
          <w:p w:rsidR="003830E2" w:rsidRDefault="00ED5B50">
            <w:pPr>
              <w:jc w:val="center"/>
            </w:pPr>
            <w:r>
              <w:rPr>
                <w:color w:val="000000"/>
                <w:sz w:val="24"/>
              </w:rPr>
              <w:t>0.01%</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lastRenderedPageBreak/>
        <w:t>易方达安源中短债债券C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3830E2">
        <w:tc>
          <w:tcPr>
            <w:tcW w:w="1290" w:type="dxa"/>
            <w:vAlign w:val="center"/>
          </w:tcPr>
          <w:p w:rsidR="003830E2" w:rsidRDefault="00ED5B50">
            <w:pPr>
              <w:jc w:val="left"/>
            </w:pPr>
            <w:r>
              <w:rPr>
                <w:color w:val="000000"/>
                <w:sz w:val="24"/>
              </w:rPr>
              <w:t>过去三个月</w:t>
            </w:r>
          </w:p>
        </w:tc>
        <w:tc>
          <w:tcPr>
            <w:tcW w:w="1291" w:type="dxa"/>
            <w:vAlign w:val="center"/>
          </w:tcPr>
          <w:p w:rsidR="003830E2" w:rsidRDefault="00ED5B50">
            <w:pPr>
              <w:jc w:val="center"/>
            </w:pPr>
            <w:r>
              <w:rPr>
                <w:color w:val="000000"/>
                <w:sz w:val="24"/>
              </w:rPr>
              <w:t>0.96%</w:t>
            </w:r>
          </w:p>
        </w:tc>
        <w:tc>
          <w:tcPr>
            <w:tcW w:w="1291" w:type="dxa"/>
            <w:vAlign w:val="center"/>
          </w:tcPr>
          <w:p w:rsidR="003830E2" w:rsidRDefault="00ED5B50">
            <w:pPr>
              <w:jc w:val="center"/>
            </w:pPr>
            <w:r>
              <w:rPr>
                <w:color w:val="000000"/>
                <w:sz w:val="24"/>
              </w:rPr>
              <w:t>0.02%</w:t>
            </w:r>
          </w:p>
        </w:tc>
        <w:tc>
          <w:tcPr>
            <w:tcW w:w="1291" w:type="dxa"/>
            <w:vAlign w:val="center"/>
          </w:tcPr>
          <w:p w:rsidR="003830E2" w:rsidRDefault="00ED5B50">
            <w:pPr>
              <w:jc w:val="center"/>
            </w:pPr>
            <w:r>
              <w:rPr>
                <w:color w:val="000000"/>
                <w:sz w:val="24"/>
              </w:rPr>
              <w:t>1.20%</w:t>
            </w:r>
          </w:p>
        </w:tc>
        <w:tc>
          <w:tcPr>
            <w:tcW w:w="1291" w:type="dxa"/>
            <w:vAlign w:val="center"/>
          </w:tcPr>
          <w:p w:rsidR="003830E2" w:rsidRDefault="00ED5B50">
            <w:pPr>
              <w:jc w:val="center"/>
            </w:pPr>
            <w:r>
              <w:rPr>
                <w:color w:val="000000"/>
                <w:sz w:val="24"/>
              </w:rPr>
              <w:t>0.01%</w:t>
            </w:r>
          </w:p>
        </w:tc>
        <w:tc>
          <w:tcPr>
            <w:tcW w:w="1291" w:type="dxa"/>
            <w:vAlign w:val="center"/>
          </w:tcPr>
          <w:p w:rsidR="003830E2" w:rsidRDefault="00ED5B50">
            <w:pPr>
              <w:jc w:val="center"/>
            </w:pPr>
            <w:r>
              <w:rPr>
                <w:color w:val="000000"/>
                <w:sz w:val="24"/>
              </w:rPr>
              <w:t>-0.24%</w:t>
            </w:r>
          </w:p>
        </w:tc>
        <w:tc>
          <w:tcPr>
            <w:tcW w:w="1291" w:type="dxa"/>
            <w:vAlign w:val="center"/>
          </w:tcPr>
          <w:p w:rsidR="003830E2" w:rsidRDefault="00ED5B50">
            <w:pPr>
              <w:jc w:val="center"/>
            </w:pPr>
            <w:r>
              <w:rPr>
                <w:color w:val="000000"/>
                <w:sz w:val="24"/>
              </w:rPr>
              <w:t>0.01%</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自基金转型以来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易方达安源中短债债券型证券投资基金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5</w:t>
      </w:r>
      <w:r w:rsidRPr="00FA472B">
        <w:rPr>
          <w:rFonts w:ascii="Times New Roman" w:hAnsi="Times New Roman"/>
          <w:sz w:val="24"/>
          <w:szCs w:val="24"/>
        </w:rPr>
        <w:t>月</w:t>
      </w:r>
      <w:r w:rsidRPr="00FA472B">
        <w:rPr>
          <w:rFonts w:ascii="Times New Roman" w:hAnsi="Times New Roman"/>
          <w:sz w:val="24"/>
          <w:szCs w:val="24"/>
        </w:rPr>
        <w:t>28</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易方达安源中短债债券</w:t>
      </w:r>
      <w:r w:rsidRPr="00611CB2">
        <w:rPr>
          <w:color w:val="000000"/>
          <w:sz w:val="24"/>
        </w:rPr>
        <w:t>A</w:t>
      </w:r>
    </w:p>
    <w:p w:rsidR="00F016DD" w:rsidRPr="0078105B" w:rsidRDefault="00ED5B50" w:rsidP="00FC7F43">
      <w:pPr>
        <w:pStyle w:val="20"/>
        <w:spacing w:line="288" w:lineRule="auto"/>
        <w:ind w:firstLineChars="0" w:firstLine="0"/>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易方达安源中短债债券</w:t>
      </w:r>
      <w:r w:rsidRPr="00611CB2">
        <w:rPr>
          <w:color w:val="000000"/>
          <w:sz w:val="24"/>
        </w:rPr>
        <w:t>C</w:t>
      </w:r>
    </w:p>
    <w:p w:rsidR="00F016DD" w:rsidRPr="0078105B" w:rsidRDefault="00ED5B50" w:rsidP="00FC7F43">
      <w:pPr>
        <w:pStyle w:val="20"/>
        <w:spacing w:line="288" w:lineRule="auto"/>
        <w:ind w:firstLineChars="0" w:firstLine="0"/>
        <w:jc w:val="center"/>
        <w:rPr>
          <w:color w:val="000000"/>
        </w:rPr>
      </w:pPr>
      <w:r>
        <w:rPr>
          <w:noProof/>
          <w:color w:val="000000"/>
        </w:rPr>
        <w:lastRenderedPageBreak/>
        <w:pict>
          <v:shape id="图片 3" o:spid="_x0000_i1026" type="#_x0000_t75" style="width:435.75pt;height:258pt;visibility:visible">
            <v:imagedata r:id="rId10" o:title=""/>
          </v:shape>
        </w:pict>
      </w:r>
    </w:p>
    <w:p w:rsidR="003830E2" w:rsidRDefault="00ED5B50">
      <w:pPr>
        <w:spacing w:line="360" w:lineRule="auto"/>
        <w:ind w:firstLineChars="200" w:firstLine="480"/>
        <w:rPr>
          <w:color w:val="000000"/>
          <w:sz w:val="24"/>
        </w:rPr>
      </w:pPr>
      <w:r>
        <w:rPr>
          <w:color w:val="000000"/>
          <w:sz w:val="24"/>
        </w:rPr>
        <w:t>注：</w:t>
      </w:r>
      <w:r>
        <w:rPr>
          <w:color w:val="000000"/>
          <w:sz w:val="24"/>
        </w:rPr>
        <w:t>1.</w:t>
      </w:r>
      <w:r>
        <w:rPr>
          <w:color w:val="000000"/>
          <w:sz w:val="24"/>
        </w:rPr>
        <w:t>本基金由原易方达双月利理财债券型证券投资基金于</w:t>
      </w:r>
      <w:r>
        <w:rPr>
          <w:color w:val="000000"/>
          <w:sz w:val="24"/>
        </w:rPr>
        <w:t>2019</w:t>
      </w:r>
      <w:r>
        <w:rPr>
          <w:color w:val="000000"/>
          <w:sz w:val="24"/>
        </w:rPr>
        <w:t>年</w:t>
      </w:r>
      <w:r>
        <w:rPr>
          <w:color w:val="000000"/>
          <w:sz w:val="24"/>
        </w:rPr>
        <w:t>5</w:t>
      </w:r>
      <w:r>
        <w:rPr>
          <w:color w:val="000000"/>
          <w:sz w:val="24"/>
        </w:rPr>
        <w:t>月</w:t>
      </w:r>
      <w:r>
        <w:rPr>
          <w:color w:val="000000"/>
          <w:sz w:val="24"/>
        </w:rPr>
        <w:t>28</w:t>
      </w:r>
      <w:r>
        <w:rPr>
          <w:color w:val="000000"/>
          <w:sz w:val="24"/>
        </w:rPr>
        <w:t>日转型而来，截至报告期末，本基金合同生效未满一年。</w:t>
      </w:r>
    </w:p>
    <w:p w:rsidR="003830E2" w:rsidRDefault="00ED5B50">
      <w:pPr>
        <w:spacing w:line="360" w:lineRule="auto"/>
        <w:ind w:firstLineChars="200" w:firstLine="480"/>
        <w:rPr>
          <w:color w:val="000000"/>
          <w:sz w:val="24"/>
        </w:rPr>
      </w:pPr>
      <w:r>
        <w:rPr>
          <w:color w:val="000000"/>
          <w:sz w:val="24"/>
        </w:rPr>
        <w:t>2.</w:t>
      </w:r>
      <w:r>
        <w:rPr>
          <w:color w:val="000000"/>
          <w:sz w:val="24"/>
        </w:rPr>
        <w:t>按基金合同和招募说明书的约定，自基金合同生效之日起六个月内使基金的投资组合比例符合本基金合同（第十一部分二、投资范围，三、投资策略和四、投资限制）的有关约定。本报告期本基金处于建仓期内。</w:t>
      </w:r>
    </w:p>
    <w:p w:rsidR="00F016DD" w:rsidRPr="00DF18FE" w:rsidRDefault="00F016DD" w:rsidP="00DF18FE">
      <w:pPr>
        <w:spacing w:line="360" w:lineRule="auto"/>
        <w:ind w:firstLineChars="200" w:firstLine="480"/>
        <w:rPr>
          <w:color w:val="000000"/>
          <w:sz w:val="24"/>
        </w:rPr>
      </w:pPr>
      <w:r w:rsidRPr="00DF18FE">
        <w:rPr>
          <w:color w:val="000000"/>
          <w:sz w:val="24"/>
        </w:rPr>
        <w:t>3.</w:t>
      </w:r>
      <w:r w:rsidRPr="00DF18FE">
        <w:rPr>
          <w:color w:val="000000"/>
          <w:sz w:val="24"/>
        </w:rPr>
        <w:t>自基金转型至报告期末，</w:t>
      </w:r>
      <w:r w:rsidRPr="00DF18FE">
        <w:rPr>
          <w:color w:val="000000"/>
          <w:sz w:val="24"/>
        </w:rPr>
        <w:t>A</w:t>
      </w:r>
      <w:r w:rsidRPr="00DF18FE">
        <w:rPr>
          <w:color w:val="000000"/>
          <w:sz w:val="24"/>
        </w:rPr>
        <w:t>类基金份额净值增长率为</w:t>
      </w:r>
      <w:r w:rsidRPr="00DF18FE">
        <w:rPr>
          <w:color w:val="000000"/>
          <w:sz w:val="24"/>
        </w:rPr>
        <w:t>1.32%</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1.23%</w:t>
      </w:r>
      <w:r w:rsidRPr="00DF18FE">
        <w:rPr>
          <w:color w:val="000000"/>
          <w:sz w:val="24"/>
        </w:rPr>
        <w:t>，同期业绩比较基准收益率为</w:t>
      </w:r>
      <w:r w:rsidRPr="00DF18FE">
        <w:rPr>
          <w:color w:val="000000"/>
          <w:sz w:val="24"/>
        </w:rPr>
        <w:t>1.65%</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3830E2">
        <w:tc>
          <w:tcPr>
            <w:tcW w:w="567" w:type="dxa"/>
            <w:vAlign w:val="center"/>
          </w:tcPr>
          <w:p w:rsidR="003830E2" w:rsidRDefault="00ED5B50">
            <w:pPr>
              <w:jc w:val="center"/>
            </w:pPr>
            <w:r>
              <w:rPr>
                <w:color w:val="000000"/>
                <w:sz w:val="24"/>
              </w:rPr>
              <w:t>李一硕</w:t>
            </w:r>
          </w:p>
        </w:tc>
        <w:tc>
          <w:tcPr>
            <w:tcW w:w="2835" w:type="dxa"/>
            <w:vAlign w:val="center"/>
          </w:tcPr>
          <w:p w:rsidR="003830E2" w:rsidRDefault="00ED5B50">
            <w:pPr>
              <w:jc w:val="center"/>
            </w:pPr>
            <w:r>
              <w:rPr>
                <w:color w:val="000000"/>
                <w:sz w:val="24"/>
              </w:rPr>
              <w:t>本基金的基金经理、易方达裕如灵活配置混合型证券投资基金的基金经理、易方达永旭添利定期开放债券型证券投资基</w:t>
            </w:r>
            <w:r>
              <w:rPr>
                <w:color w:val="000000"/>
                <w:sz w:val="24"/>
              </w:rPr>
              <w:lastRenderedPageBreak/>
              <w:t>金的基金经理、易方达新享灵活配置混合型证券投资基金的基金经理（自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日）、易方达新利灵活配置混合型证券投资基金的基金经理（自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日）、易方达瑞景灵活配置混合型证券投资基金的基金经理（自</w:t>
            </w:r>
            <w:r>
              <w:rPr>
                <w:color w:val="000000"/>
                <w:sz w:val="24"/>
              </w:rPr>
              <w:t>2016</w:t>
            </w:r>
            <w:r>
              <w:rPr>
                <w:color w:val="000000"/>
                <w:sz w:val="24"/>
              </w:rPr>
              <w:t>年</w:t>
            </w:r>
            <w:r>
              <w:rPr>
                <w:color w:val="000000"/>
                <w:sz w:val="24"/>
              </w:rPr>
              <w:t>08</w:t>
            </w:r>
            <w:r>
              <w:rPr>
                <w:color w:val="000000"/>
                <w:sz w:val="24"/>
              </w:rPr>
              <w:t>月</w:t>
            </w:r>
            <w:r>
              <w:rPr>
                <w:color w:val="000000"/>
                <w:sz w:val="24"/>
              </w:rPr>
              <w:t>06</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日）、易方达年年恒夏纯债一年定期开放债券型发起式证券投资基金的基金经理、易方达聚盈分级债券型发起式证</w:t>
            </w:r>
            <w:r>
              <w:rPr>
                <w:color w:val="000000"/>
                <w:sz w:val="24"/>
              </w:rPr>
              <w:t>券投资基金的基金经理、易方达恒益定期开放债券型发起式证券投资基金的基金经理、易方达恒信定期开放债券型发起式证券投资基金的基金经理、易方达恒惠定期开放债券型发起式证券投资基金的基金经理、易方达富惠纯债债券型证券投资基金的基金经理、易方达纯债</w:t>
            </w:r>
            <w:r>
              <w:rPr>
                <w:color w:val="000000"/>
                <w:sz w:val="24"/>
              </w:rPr>
              <w:t>1</w:t>
            </w:r>
            <w:r>
              <w:rPr>
                <w:color w:val="000000"/>
                <w:sz w:val="24"/>
              </w:rPr>
              <w:t>年定期开放债券型证券投资基金的基金经理、易方达裕惠回报定期开放式混合型发起式证券投资基金的基金经理助理、易方达信用债债券型证券投资基金的基金经理助理、易方达中债新综合债券指数发起式证券投资基金</w:t>
            </w:r>
            <w:r>
              <w:rPr>
                <w:color w:val="000000"/>
                <w:sz w:val="24"/>
              </w:rPr>
              <w:t>(LOF)</w:t>
            </w:r>
            <w:r>
              <w:rPr>
                <w:color w:val="000000"/>
                <w:sz w:val="24"/>
              </w:rPr>
              <w:t>的基金经理助理、易方达稳健收益债券型证券投资基金的基金经理助理、易方达</w:t>
            </w:r>
            <w:r>
              <w:rPr>
                <w:color w:val="000000"/>
                <w:sz w:val="24"/>
              </w:rPr>
              <w:t>丰惠混合型证券投资基金的基金经理助理、易方</w:t>
            </w:r>
            <w:r>
              <w:rPr>
                <w:color w:val="000000"/>
                <w:sz w:val="24"/>
              </w:rPr>
              <w:lastRenderedPageBreak/>
              <w:t>达瑞富灵活配置混合型证券投资基金的基金经理助理、易方达瑞祺灵活配置混合型证券投资基金的基金经理助理、易方达恒益定期开放债券型发起式证券投资基金的基金经理助理（自</w:t>
            </w:r>
            <w:r>
              <w:rPr>
                <w:color w:val="000000"/>
                <w:sz w:val="24"/>
              </w:rPr>
              <w:t>2019</w:t>
            </w:r>
            <w:r>
              <w:rPr>
                <w:color w:val="000000"/>
                <w:sz w:val="24"/>
              </w:rPr>
              <w:t>年</w:t>
            </w:r>
            <w:r>
              <w:rPr>
                <w:color w:val="000000"/>
                <w:sz w:val="24"/>
              </w:rPr>
              <w:t>07</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w:t>
            </w:r>
          </w:p>
        </w:tc>
        <w:tc>
          <w:tcPr>
            <w:tcW w:w="851" w:type="dxa"/>
            <w:vAlign w:val="center"/>
          </w:tcPr>
          <w:p w:rsidR="003830E2" w:rsidRDefault="00ED5B50">
            <w:pPr>
              <w:jc w:val="center"/>
            </w:pPr>
            <w:r>
              <w:rPr>
                <w:color w:val="000000"/>
                <w:sz w:val="24"/>
              </w:rPr>
              <w:lastRenderedPageBreak/>
              <w:t>2019-05-28</w:t>
            </w:r>
          </w:p>
        </w:tc>
        <w:tc>
          <w:tcPr>
            <w:tcW w:w="850" w:type="dxa"/>
            <w:vAlign w:val="center"/>
          </w:tcPr>
          <w:p w:rsidR="003830E2" w:rsidRDefault="00ED5B50">
            <w:pPr>
              <w:jc w:val="center"/>
            </w:pPr>
            <w:r>
              <w:rPr>
                <w:color w:val="000000"/>
                <w:sz w:val="24"/>
              </w:rPr>
              <w:t>-</w:t>
            </w:r>
          </w:p>
        </w:tc>
        <w:tc>
          <w:tcPr>
            <w:tcW w:w="851" w:type="dxa"/>
            <w:vAlign w:val="center"/>
          </w:tcPr>
          <w:p w:rsidR="003830E2" w:rsidRDefault="00ED5B50">
            <w:pPr>
              <w:jc w:val="center"/>
            </w:pPr>
            <w:r>
              <w:rPr>
                <w:color w:val="000000"/>
                <w:sz w:val="24"/>
              </w:rPr>
              <w:t>11</w:t>
            </w:r>
            <w:r>
              <w:rPr>
                <w:color w:val="000000"/>
                <w:sz w:val="24"/>
              </w:rPr>
              <w:t>年</w:t>
            </w:r>
          </w:p>
        </w:tc>
        <w:tc>
          <w:tcPr>
            <w:tcW w:w="2977" w:type="dxa"/>
            <w:vAlign w:val="center"/>
          </w:tcPr>
          <w:p w:rsidR="003830E2" w:rsidRDefault="00ED5B50">
            <w:r>
              <w:rPr>
                <w:color w:val="000000"/>
                <w:sz w:val="24"/>
              </w:rPr>
              <w:t>硕士研究生，曾任瑞银证券有限公司研究员，中国国际金融有限公司研究员，易方达基金管理有限公司研究员、易方达新利灵活配置混</w:t>
            </w:r>
            <w:r>
              <w:rPr>
                <w:color w:val="000000"/>
                <w:sz w:val="24"/>
              </w:rPr>
              <w:lastRenderedPageBreak/>
              <w:t>合型证券投资基金基金经理助理、易方达新享灵活配置混合型证券投资基金基金经理助理、易方达裕如灵活配置混合型证券</w:t>
            </w:r>
            <w:r>
              <w:rPr>
                <w:color w:val="000000"/>
                <w:sz w:val="24"/>
              </w:rPr>
              <w:t>投资基金基金经理助理、易方达瑞祥灵活配置混合型证券投资基金基金经理助理、易方达瑞兴灵活配置混合型证券投资基金基金经理助理、易方达瑞智灵活配置混合型证券投资基金基金经理助理。</w:t>
            </w:r>
          </w:p>
        </w:tc>
      </w:tr>
    </w:tbl>
    <w:p w:rsidR="003830E2" w:rsidRDefault="00ED5B50">
      <w:pPr>
        <w:spacing w:line="360" w:lineRule="auto"/>
        <w:ind w:firstLineChars="200" w:firstLine="480"/>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3830E2" w:rsidRDefault="00ED5B50">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3830E2" w:rsidRDefault="00ED5B50">
      <w:pPr>
        <w:spacing w:line="360" w:lineRule="auto"/>
        <w:ind w:firstLineChars="200" w:firstLine="480"/>
        <w:rPr>
          <w:color w:val="000000"/>
          <w:sz w:val="24"/>
        </w:rPr>
      </w:pPr>
      <w:r>
        <w:rPr>
          <w:color w:val="000000"/>
          <w:sz w:val="24"/>
        </w:rPr>
        <w:t>2019</w:t>
      </w:r>
      <w:r>
        <w:rPr>
          <w:color w:val="000000"/>
          <w:sz w:val="24"/>
        </w:rPr>
        <w:t>年三季度宏观经济维持相对弱势。在经历了</w:t>
      </w:r>
      <w:r>
        <w:rPr>
          <w:color w:val="000000"/>
          <w:sz w:val="24"/>
        </w:rPr>
        <w:t>6</w:t>
      </w:r>
      <w:r>
        <w:rPr>
          <w:color w:val="000000"/>
          <w:sz w:val="24"/>
        </w:rPr>
        <w:t>月份超预期的增长数据后，</w:t>
      </w:r>
      <w:r>
        <w:rPr>
          <w:color w:val="000000"/>
          <w:sz w:val="24"/>
        </w:rPr>
        <w:t>7-8</w:t>
      </w:r>
      <w:r>
        <w:rPr>
          <w:color w:val="000000"/>
          <w:sz w:val="24"/>
        </w:rPr>
        <w:t>月大部分经济指标均有所回落，低于市场此前的预计水平。其中</w:t>
      </w:r>
      <w:r>
        <w:rPr>
          <w:color w:val="000000"/>
          <w:sz w:val="24"/>
        </w:rPr>
        <w:t>7</w:t>
      </w:r>
      <w:r>
        <w:rPr>
          <w:color w:val="000000"/>
          <w:sz w:val="24"/>
        </w:rPr>
        <w:t>月工业增加值同比增速由</w:t>
      </w:r>
      <w:r>
        <w:rPr>
          <w:color w:val="000000"/>
          <w:sz w:val="24"/>
        </w:rPr>
        <w:t>6</w:t>
      </w:r>
      <w:r>
        <w:rPr>
          <w:color w:val="000000"/>
          <w:sz w:val="24"/>
        </w:rPr>
        <w:t>月份的</w:t>
      </w:r>
      <w:r>
        <w:rPr>
          <w:color w:val="000000"/>
          <w:sz w:val="24"/>
        </w:rPr>
        <w:t>6.3%</w:t>
      </w:r>
      <w:r>
        <w:rPr>
          <w:color w:val="000000"/>
          <w:sz w:val="24"/>
        </w:rPr>
        <w:t>下降至</w:t>
      </w:r>
      <w:r>
        <w:rPr>
          <w:color w:val="000000"/>
          <w:sz w:val="24"/>
        </w:rPr>
        <w:t>4.8%</w:t>
      </w:r>
      <w:r>
        <w:rPr>
          <w:color w:val="000000"/>
          <w:sz w:val="24"/>
        </w:rPr>
        <w:t>，</w:t>
      </w:r>
      <w:r>
        <w:rPr>
          <w:color w:val="000000"/>
          <w:sz w:val="24"/>
        </w:rPr>
        <w:t>8</w:t>
      </w:r>
      <w:r>
        <w:rPr>
          <w:color w:val="000000"/>
          <w:sz w:val="24"/>
        </w:rPr>
        <w:t>月份进一步回落至</w:t>
      </w:r>
      <w:r>
        <w:rPr>
          <w:color w:val="000000"/>
          <w:sz w:val="24"/>
        </w:rPr>
        <w:t>4.4%</w:t>
      </w:r>
      <w:r>
        <w:rPr>
          <w:color w:val="000000"/>
          <w:sz w:val="24"/>
        </w:rPr>
        <w:t>；</w:t>
      </w:r>
      <w:r>
        <w:rPr>
          <w:color w:val="000000"/>
          <w:sz w:val="24"/>
        </w:rPr>
        <w:t>7</w:t>
      </w:r>
      <w:r>
        <w:rPr>
          <w:color w:val="000000"/>
          <w:sz w:val="24"/>
        </w:rPr>
        <w:t>月份社会销售品零售总额同比增长</w:t>
      </w:r>
      <w:r>
        <w:rPr>
          <w:color w:val="000000"/>
          <w:sz w:val="24"/>
        </w:rPr>
        <w:t>7.6%</w:t>
      </w:r>
      <w:r>
        <w:rPr>
          <w:color w:val="000000"/>
          <w:sz w:val="24"/>
        </w:rPr>
        <w:t>，增速相较</w:t>
      </w:r>
      <w:r>
        <w:rPr>
          <w:color w:val="000000"/>
          <w:sz w:val="24"/>
        </w:rPr>
        <w:t>6</w:t>
      </w:r>
      <w:r>
        <w:rPr>
          <w:color w:val="000000"/>
          <w:sz w:val="24"/>
        </w:rPr>
        <w:t>月份回落</w:t>
      </w:r>
      <w:r>
        <w:rPr>
          <w:color w:val="000000"/>
          <w:sz w:val="24"/>
        </w:rPr>
        <w:t>2.2</w:t>
      </w:r>
      <w:r>
        <w:rPr>
          <w:color w:val="000000"/>
          <w:sz w:val="24"/>
        </w:rPr>
        <w:t>个百分点，</w:t>
      </w:r>
      <w:r>
        <w:rPr>
          <w:color w:val="000000"/>
          <w:sz w:val="24"/>
        </w:rPr>
        <w:t>8</w:t>
      </w:r>
      <w:r>
        <w:rPr>
          <w:color w:val="000000"/>
          <w:sz w:val="24"/>
        </w:rPr>
        <w:t>月份小幅放缓至</w:t>
      </w:r>
      <w:r>
        <w:rPr>
          <w:color w:val="000000"/>
          <w:sz w:val="24"/>
        </w:rPr>
        <w:t>7.5%</w:t>
      </w:r>
      <w:r>
        <w:rPr>
          <w:color w:val="000000"/>
          <w:sz w:val="24"/>
        </w:rPr>
        <w:t>；固定资产投资增速在</w:t>
      </w:r>
      <w:r>
        <w:rPr>
          <w:color w:val="000000"/>
          <w:sz w:val="24"/>
        </w:rPr>
        <w:t>6</w:t>
      </w:r>
      <w:r>
        <w:rPr>
          <w:color w:val="000000"/>
          <w:sz w:val="24"/>
        </w:rPr>
        <w:t>月份冲高之后同样连续两个月有所回落。三季度海外主要经济体同样面临经济增速下行的风险，叠加中美贸易谈判继续出现诸多波折，未来全球经济的增速预期仍不明朗。</w:t>
      </w:r>
    </w:p>
    <w:p w:rsidR="003830E2" w:rsidRDefault="00ED5B50">
      <w:pPr>
        <w:spacing w:line="360" w:lineRule="auto"/>
        <w:ind w:firstLineChars="200" w:firstLine="480"/>
        <w:rPr>
          <w:color w:val="000000"/>
          <w:sz w:val="24"/>
        </w:rPr>
      </w:pPr>
      <w:r>
        <w:rPr>
          <w:color w:val="000000"/>
          <w:sz w:val="24"/>
        </w:rPr>
        <w:t>在宏观基本面不确定性</w:t>
      </w:r>
      <w:r>
        <w:rPr>
          <w:color w:val="000000"/>
          <w:sz w:val="24"/>
        </w:rPr>
        <w:t>上升的背景下，货币政策宽松的预期增加，海外债券市场收益率不断回落，共同带动三季度我国债券市场收益率总体呈现下行态势。但</w:t>
      </w:r>
      <w:r>
        <w:rPr>
          <w:color w:val="000000"/>
          <w:sz w:val="24"/>
        </w:rPr>
        <w:t>9</w:t>
      </w:r>
      <w:r>
        <w:rPr>
          <w:color w:val="000000"/>
          <w:sz w:val="24"/>
        </w:rPr>
        <w:t>月份以来，随着央行全面下调金融机构存款准备金率的政策公布，债券市场收益率开始出现回升，尤其是长端品种调整较为明显。</w:t>
      </w:r>
    </w:p>
    <w:p w:rsidR="00F016DD" w:rsidRPr="00DF18FE" w:rsidRDefault="00F016DD" w:rsidP="00DF18FE">
      <w:pPr>
        <w:spacing w:line="360" w:lineRule="auto"/>
        <w:ind w:firstLineChars="200" w:firstLine="480"/>
        <w:rPr>
          <w:color w:val="000000"/>
          <w:sz w:val="24"/>
        </w:rPr>
      </w:pPr>
      <w:r w:rsidRPr="00DF18FE">
        <w:rPr>
          <w:color w:val="000000"/>
          <w:sz w:val="24"/>
        </w:rPr>
        <w:t>本基金由短期理财基金转型为中短债基金后，主要配置</w:t>
      </w:r>
      <w:r w:rsidRPr="00DF18FE">
        <w:rPr>
          <w:color w:val="000000"/>
          <w:sz w:val="24"/>
        </w:rPr>
        <w:t>1-3</w:t>
      </w:r>
      <w:r w:rsidRPr="00DF18FE">
        <w:rPr>
          <w:color w:val="000000"/>
          <w:sz w:val="24"/>
        </w:rPr>
        <w:t>年期中高评级信用债品种，并重点关注中短端收益率曲线的结构，在期限配置上力争获取超额收益。三季度组合净值保持稳健增长的态势。</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1.0132</w:t>
      </w:r>
      <w:r w:rsidRPr="00DF18FE">
        <w:rPr>
          <w:color w:val="000000"/>
          <w:sz w:val="24"/>
        </w:rPr>
        <w:t>元，本报告期份额净值增长率为</w:t>
      </w:r>
      <w:r w:rsidRPr="00DF18FE">
        <w:rPr>
          <w:color w:val="000000"/>
          <w:sz w:val="24"/>
        </w:rPr>
        <w:t>1.02%</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1.0123</w:t>
      </w:r>
      <w:r w:rsidRPr="00DF18FE">
        <w:rPr>
          <w:color w:val="000000"/>
          <w:sz w:val="24"/>
        </w:rPr>
        <w:t>元，本报告期份额净值增长率为</w:t>
      </w:r>
      <w:r w:rsidRPr="00DF18FE">
        <w:rPr>
          <w:color w:val="000000"/>
          <w:sz w:val="24"/>
        </w:rPr>
        <w:t>0.96%</w:t>
      </w:r>
      <w:r w:rsidRPr="00DF18FE">
        <w:rPr>
          <w:color w:val="000000"/>
          <w:sz w:val="24"/>
        </w:rPr>
        <w:t>；同期业绩比较基准收益率为</w:t>
      </w:r>
      <w:r w:rsidRPr="00DF18FE">
        <w:rPr>
          <w:color w:val="000000"/>
          <w:sz w:val="24"/>
        </w:rPr>
        <w:t>1.20%</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141,301,500.00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89.97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141,301,500.00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89.97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12,811,469.63</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8.16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2,942,046.77</w:t>
            </w:r>
          </w:p>
        </w:tc>
        <w:tc>
          <w:tcPr>
            <w:tcW w:w="1843" w:type="dxa"/>
            <w:vAlign w:val="center"/>
          </w:tcPr>
          <w:p w:rsidR="00F016DD" w:rsidRPr="00FA472B" w:rsidRDefault="00F016DD" w:rsidP="00F4518C">
            <w:pPr>
              <w:jc w:val="right"/>
              <w:rPr>
                <w:color w:val="000000"/>
                <w:sz w:val="24"/>
              </w:rPr>
            </w:pPr>
            <w:r w:rsidRPr="00FA472B">
              <w:rPr>
                <w:color w:val="000000"/>
                <w:sz w:val="24"/>
              </w:rPr>
              <w:t>1.87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157,055,016.40</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p w:rsidR="00874AA3" w:rsidRPr="00EA6415" w:rsidRDefault="00874AA3" w:rsidP="00EA6415">
      <w:pPr>
        <w:spacing w:line="360" w:lineRule="auto"/>
        <w:ind w:firstLineChars="200" w:firstLine="480"/>
        <w:rPr>
          <w:color w:val="000000"/>
          <w:sz w:val="24"/>
        </w:rPr>
      </w:pPr>
      <w:r w:rsidRPr="00EA6415">
        <w:rPr>
          <w:color w:val="000000"/>
          <w:sz w:val="24"/>
        </w:rPr>
        <w:t>本基金本报告期末未持有境内股票。</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9,989,000.00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6.46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9,989,000.00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6.46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85,994,000.00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55.63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45,318,500.00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29.32</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141,301,500.00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91.41</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3830E2">
        <w:tc>
          <w:tcPr>
            <w:tcW w:w="802" w:type="dxa"/>
            <w:vAlign w:val="center"/>
          </w:tcPr>
          <w:p w:rsidR="003830E2" w:rsidRDefault="00ED5B50">
            <w:pPr>
              <w:jc w:val="center"/>
            </w:pPr>
            <w:r>
              <w:rPr>
                <w:color w:val="000000"/>
                <w:sz w:val="24"/>
              </w:rPr>
              <w:t>1</w:t>
            </w:r>
          </w:p>
        </w:tc>
        <w:tc>
          <w:tcPr>
            <w:tcW w:w="1559" w:type="dxa"/>
            <w:vAlign w:val="center"/>
          </w:tcPr>
          <w:p w:rsidR="003830E2" w:rsidRDefault="00ED5B50">
            <w:pPr>
              <w:jc w:val="center"/>
            </w:pPr>
            <w:r>
              <w:rPr>
                <w:color w:val="000000"/>
                <w:sz w:val="24"/>
              </w:rPr>
              <w:t>112672</w:t>
            </w:r>
          </w:p>
        </w:tc>
        <w:tc>
          <w:tcPr>
            <w:tcW w:w="1985" w:type="dxa"/>
            <w:vAlign w:val="center"/>
          </w:tcPr>
          <w:p w:rsidR="003830E2" w:rsidRDefault="00ED5B50">
            <w:pPr>
              <w:jc w:val="center"/>
            </w:pPr>
            <w:r>
              <w:rPr>
                <w:color w:val="000000"/>
                <w:sz w:val="24"/>
              </w:rPr>
              <w:t>18</w:t>
            </w:r>
            <w:r>
              <w:rPr>
                <w:color w:val="000000"/>
                <w:sz w:val="24"/>
              </w:rPr>
              <w:t>深建</w:t>
            </w:r>
            <w:r>
              <w:rPr>
                <w:color w:val="000000"/>
                <w:sz w:val="24"/>
              </w:rPr>
              <w:t>01</w:t>
            </w:r>
          </w:p>
        </w:tc>
        <w:tc>
          <w:tcPr>
            <w:tcW w:w="1559" w:type="dxa"/>
            <w:vAlign w:val="center"/>
          </w:tcPr>
          <w:p w:rsidR="003830E2" w:rsidRDefault="00ED5B50">
            <w:pPr>
              <w:jc w:val="right"/>
            </w:pPr>
            <w:r>
              <w:rPr>
                <w:color w:val="000000"/>
                <w:sz w:val="24"/>
              </w:rPr>
              <w:t>100,000</w:t>
            </w:r>
          </w:p>
        </w:tc>
        <w:tc>
          <w:tcPr>
            <w:tcW w:w="2126" w:type="dxa"/>
            <w:vAlign w:val="center"/>
          </w:tcPr>
          <w:p w:rsidR="003830E2" w:rsidRDefault="00ED5B50">
            <w:pPr>
              <w:jc w:val="right"/>
            </w:pPr>
            <w:r>
              <w:rPr>
                <w:color w:val="000000"/>
                <w:sz w:val="24"/>
              </w:rPr>
              <w:t>10,348,000.00</w:t>
            </w:r>
          </w:p>
        </w:tc>
        <w:tc>
          <w:tcPr>
            <w:tcW w:w="990" w:type="dxa"/>
            <w:vAlign w:val="center"/>
          </w:tcPr>
          <w:p w:rsidR="003830E2" w:rsidRDefault="00ED5B50">
            <w:pPr>
              <w:jc w:val="right"/>
            </w:pPr>
            <w:r>
              <w:rPr>
                <w:color w:val="000000"/>
                <w:sz w:val="24"/>
              </w:rPr>
              <w:t>6.69</w:t>
            </w:r>
          </w:p>
        </w:tc>
      </w:tr>
      <w:tr w:rsidR="003830E2">
        <w:tc>
          <w:tcPr>
            <w:tcW w:w="802" w:type="dxa"/>
            <w:vAlign w:val="center"/>
          </w:tcPr>
          <w:p w:rsidR="003830E2" w:rsidRDefault="00ED5B50">
            <w:pPr>
              <w:jc w:val="center"/>
            </w:pPr>
            <w:r>
              <w:rPr>
                <w:color w:val="000000"/>
                <w:sz w:val="24"/>
              </w:rPr>
              <w:t>2</w:t>
            </w:r>
          </w:p>
        </w:tc>
        <w:tc>
          <w:tcPr>
            <w:tcW w:w="1559" w:type="dxa"/>
            <w:vAlign w:val="center"/>
          </w:tcPr>
          <w:p w:rsidR="003830E2" w:rsidRDefault="00ED5B50">
            <w:pPr>
              <w:jc w:val="center"/>
            </w:pPr>
            <w:r>
              <w:rPr>
                <w:color w:val="000000"/>
                <w:sz w:val="24"/>
              </w:rPr>
              <w:t>136417</w:t>
            </w:r>
          </w:p>
        </w:tc>
        <w:tc>
          <w:tcPr>
            <w:tcW w:w="1985" w:type="dxa"/>
            <w:vAlign w:val="center"/>
          </w:tcPr>
          <w:p w:rsidR="003830E2" w:rsidRDefault="00ED5B50">
            <w:pPr>
              <w:jc w:val="center"/>
            </w:pPr>
            <w:r>
              <w:rPr>
                <w:color w:val="000000"/>
                <w:sz w:val="24"/>
              </w:rPr>
              <w:t>16</w:t>
            </w:r>
            <w:r>
              <w:rPr>
                <w:color w:val="000000"/>
                <w:sz w:val="24"/>
              </w:rPr>
              <w:t>万达</w:t>
            </w:r>
            <w:r>
              <w:rPr>
                <w:color w:val="000000"/>
                <w:sz w:val="24"/>
              </w:rPr>
              <w:t>02</w:t>
            </w:r>
          </w:p>
        </w:tc>
        <w:tc>
          <w:tcPr>
            <w:tcW w:w="1559" w:type="dxa"/>
            <w:vAlign w:val="center"/>
          </w:tcPr>
          <w:p w:rsidR="003830E2" w:rsidRDefault="00ED5B50">
            <w:pPr>
              <w:jc w:val="right"/>
            </w:pPr>
            <w:r>
              <w:rPr>
                <w:color w:val="000000"/>
                <w:sz w:val="24"/>
              </w:rPr>
              <w:t>100,000</w:t>
            </w:r>
          </w:p>
        </w:tc>
        <w:tc>
          <w:tcPr>
            <w:tcW w:w="2126" w:type="dxa"/>
            <w:vAlign w:val="center"/>
          </w:tcPr>
          <w:p w:rsidR="003830E2" w:rsidRDefault="00ED5B50">
            <w:pPr>
              <w:jc w:val="right"/>
            </w:pPr>
            <w:r>
              <w:rPr>
                <w:color w:val="000000"/>
                <w:sz w:val="24"/>
              </w:rPr>
              <w:t>10,142,000.00</w:t>
            </w:r>
          </w:p>
        </w:tc>
        <w:tc>
          <w:tcPr>
            <w:tcW w:w="990" w:type="dxa"/>
            <w:vAlign w:val="center"/>
          </w:tcPr>
          <w:p w:rsidR="003830E2" w:rsidRDefault="00ED5B50">
            <w:pPr>
              <w:jc w:val="right"/>
            </w:pPr>
            <w:r>
              <w:rPr>
                <w:color w:val="000000"/>
                <w:sz w:val="24"/>
              </w:rPr>
              <w:t>6.56</w:t>
            </w:r>
          </w:p>
        </w:tc>
      </w:tr>
      <w:tr w:rsidR="003830E2">
        <w:tc>
          <w:tcPr>
            <w:tcW w:w="802" w:type="dxa"/>
            <w:vAlign w:val="center"/>
          </w:tcPr>
          <w:p w:rsidR="003830E2" w:rsidRDefault="00ED5B50">
            <w:pPr>
              <w:jc w:val="center"/>
            </w:pPr>
            <w:r>
              <w:rPr>
                <w:color w:val="000000"/>
                <w:sz w:val="24"/>
              </w:rPr>
              <w:t>3</w:t>
            </w:r>
          </w:p>
        </w:tc>
        <w:tc>
          <w:tcPr>
            <w:tcW w:w="1559" w:type="dxa"/>
            <w:vAlign w:val="center"/>
          </w:tcPr>
          <w:p w:rsidR="003830E2" w:rsidRDefault="00ED5B50">
            <w:pPr>
              <w:jc w:val="center"/>
            </w:pPr>
            <w:r>
              <w:rPr>
                <w:color w:val="000000"/>
                <w:sz w:val="24"/>
              </w:rPr>
              <w:t>101461042</w:t>
            </w:r>
          </w:p>
        </w:tc>
        <w:tc>
          <w:tcPr>
            <w:tcW w:w="1985" w:type="dxa"/>
            <w:vAlign w:val="center"/>
          </w:tcPr>
          <w:p w:rsidR="003830E2" w:rsidRDefault="00ED5B50">
            <w:pPr>
              <w:jc w:val="center"/>
            </w:pPr>
            <w:r>
              <w:rPr>
                <w:color w:val="000000"/>
                <w:sz w:val="24"/>
              </w:rPr>
              <w:t>14</w:t>
            </w:r>
            <w:r>
              <w:rPr>
                <w:color w:val="000000"/>
                <w:sz w:val="24"/>
              </w:rPr>
              <w:t>工艺</w:t>
            </w:r>
            <w:r>
              <w:rPr>
                <w:color w:val="000000"/>
                <w:sz w:val="24"/>
              </w:rPr>
              <w:t>MTN002</w:t>
            </w:r>
          </w:p>
        </w:tc>
        <w:tc>
          <w:tcPr>
            <w:tcW w:w="1559" w:type="dxa"/>
            <w:vAlign w:val="center"/>
          </w:tcPr>
          <w:p w:rsidR="003830E2" w:rsidRDefault="00ED5B50">
            <w:pPr>
              <w:jc w:val="right"/>
            </w:pPr>
            <w:r>
              <w:rPr>
                <w:color w:val="000000"/>
                <w:sz w:val="24"/>
              </w:rPr>
              <w:t>100,000</w:t>
            </w:r>
          </w:p>
        </w:tc>
        <w:tc>
          <w:tcPr>
            <w:tcW w:w="2126" w:type="dxa"/>
            <w:vAlign w:val="center"/>
          </w:tcPr>
          <w:p w:rsidR="003830E2" w:rsidRDefault="00ED5B50">
            <w:pPr>
              <w:jc w:val="right"/>
            </w:pPr>
            <w:r>
              <w:rPr>
                <w:color w:val="000000"/>
                <w:sz w:val="24"/>
              </w:rPr>
              <w:t>10,141,000.00</w:t>
            </w:r>
          </w:p>
        </w:tc>
        <w:tc>
          <w:tcPr>
            <w:tcW w:w="990" w:type="dxa"/>
            <w:vAlign w:val="center"/>
          </w:tcPr>
          <w:p w:rsidR="003830E2" w:rsidRDefault="00ED5B50">
            <w:pPr>
              <w:jc w:val="right"/>
            </w:pPr>
            <w:r>
              <w:rPr>
                <w:color w:val="000000"/>
                <w:sz w:val="24"/>
              </w:rPr>
              <w:t>6.56</w:t>
            </w:r>
          </w:p>
        </w:tc>
      </w:tr>
      <w:tr w:rsidR="003830E2">
        <w:tc>
          <w:tcPr>
            <w:tcW w:w="802" w:type="dxa"/>
            <w:vAlign w:val="center"/>
          </w:tcPr>
          <w:p w:rsidR="003830E2" w:rsidRDefault="00ED5B50">
            <w:pPr>
              <w:jc w:val="center"/>
            </w:pPr>
            <w:r>
              <w:rPr>
                <w:color w:val="000000"/>
                <w:sz w:val="24"/>
              </w:rPr>
              <w:t>4</w:t>
            </w:r>
          </w:p>
        </w:tc>
        <w:tc>
          <w:tcPr>
            <w:tcW w:w="1559" w:type="dxa"/>
            <w:vAlign w:val="center"/>
          </w:tcPr>
          <w:p w:rsidR="003830E2" w:rsidRDefault="00ED5B50">
            <w:pPr>
              <w:jc w:val="center"/>
            </w:pPr>
            <w:r>
              <w:rPr>
                <w:color w:val="000000"/>
                <w:sz w:val="24"/>
              </w:rPr>
              <w:t>143273</w:t>
            </w:r>
          </w:p>
        </w:tc>
        <w:tc>
          <w:tcPr>
            <w:tcW w:w="1985" w:type="dxa"/>
            <w:vAlign w:val="center"/>
          </w:tcPr>
          <w:p w:rsidR="003830E2" w:rsidRDefault="00ED5B50">
            <w:pPr>
              <w:jc w:val="center"/>
            </w:pPr>
            <w:r>
              <w:rPr>
                <w:color w:val="000000"/>
                <w:sz w:val="24"/>
              </w:rPr>
              <w:t>17</w:t>
            </w:r>
            <w:r>
              <w:rPr>
                <w:color w:val="000000"/>
                <w:sz w:val="24"/>
              </w:rPr>
              <w:t>两江</w:t>
            </w:r>
            <w:r>
              <w:rPr>
                <w:color w:val="000000"/>
                <w:sz w:val="24"/>
              </w:rPr>
              <w:t>01</w:t>
            </w:r>
          </w:p>
        </w:tc>
        <w:tc>
          <w:tcPr>
            <w:tcW w:w="1559" w:type="dxa"/>
            <w:vAlign w:val="center"/>
          </w:tcPr>
          <w:p w:rsidR="003830E2" w:rsidRDefault="00ED5B50">
            <w:pPr>
              <w:jc w:val="right"/>
            </w:pPr>
            <w:r>
              <w:rPr>
                <w:color w:val="000000"/>
                <w:sz w:val="24"/>
              </w:rPr>
              <w:t>100,000</w:t>
            </w:r>
          </w:p>
        </w:tc>
        <w:tc>
          <w:tcPr>
            <w:tcW w:w="2126" w:type="dxa"/>
            <w:vAlign w:val="center"/>
          </w:tcPr>
          <w:p w:rsidR="003830E2" w:rsidRDefault="00ED5B50">
            <w:pPr>
              <w:jc w:val="right"/>
            </w:pPr>
            <w:r>
              <w:rPr>
                <w:color w:val="000000"/>
                <w:sz w:val="24"/>
              </w:rPr>
              <w:t>10,131,000.00</w:t>
            </w:r>
          </w:p>
        </w:tc>
        <w:tc>
          <w:tcPr>
            <w:tcW w:w="990" w:type="dxa"/>
            <w:vAlign w:val="center"/>
          </w:tcPr>
          <w:p w:rsidR="003830E2" w:rsidRDefault="00ED5B50">
            <w:pPr>
              <w:jc w:val="right"/>
            </w:pPr>
            <w:r>
              <w:rPr>
                <w:color w:val="000000"/>
                <w:sz w:val="24"/>
              </w:rPr>
              <w:t>6.55</w:t>
            </w:r>
          </w:p>
        </w:tc>
      </w:tr>
      <w:tr w:rsidR="003830E2">
        <w:tc>
          <w:tcPr>
            <w:tcW w:w="802" w:type="dxa"/>
            <w:vAlign w:val="center"/>
          </w:tcPr>
          <w:p w:rsidR="003830E2" w:rsidRDefault="00ED5B50">
            <w:pPr>
              <w:jc w:val="center"/>
            </w:pPr>
            <w:r>
              <w:rPr>
                <w:color w:val="000000"/>
                <w:sz w:val="24"/>
              </w:rPr>
              <w:t>5</w:t>
            </w:r>
          </w:p>
        </w:tc>
        <w:tc>
          <w:tcPr>
            <w:tcW w:w="1559" w:type="dxa"/>
            <w:vAlign w:val="center"/>
          </w:tcPr>
          <w:p w:rsidR="003830E2" w:rsidRDefault="00ED5B50">
            <w:pPr>
              <w:jc w:val="center"/>
            </w:pPr>
            <w:r>
              <w:rPr>
                <w:color w:val="000000"/>
                <w:sz w:val="24"/>
              </w:rPr>
              <w:t>122486</w:t>
            </w:r>
          </w:p>
        </w:tc>
        <w:tc>
          <w:tcPr>
            <w:tcW w:w="1985" w:type="dxa"/>
            <w:vAlign w:val="center"/>
          </w:tcPr>
          <w:p w:rsidR="003830E2" w:rsidRDefault="00ED5B50">
            <w:pPr>
              <w:jc w:val="center"/>
            </w:pPr>
            <w:r>
              <w:rPr>
                <w:color w:val="000000"/>
                <w:sz w:val="24"/>
              </w:rPr>
              <w:t>15</w:t>
            </w:r>
            <w:r>
              <w:rPr>
                <w:color w:val="000000"/>
                <w:sz w:val="24"/>
              </w:rPr>
              <w:t>旭辉</w:t>
            </w:r>
            <w:r>
              <w:rPr>
                <w:color w:val="000000"/>
                <w:sz w:val="24"/>
              </w:rPr>
              <w:t>01</w:t>
            </w:r>
          </w:p>
        </w:tc>
        <w:tc>
          <w:tcPr>
            <w:tcW w:w="1559" w:type="dxa"/>
            <w:vAlign w:val="center"/>
          </w:tcPr>
          <w:p w:rsidR="003830E2" w:rsidRDefault="00ED5B50">
            <w:pPr>
              <w:jc w:val="right"/>
            </w:pPr>
            <w:r>
              <w:rPr>
                <w:color w:val="000000"/>
                <w:sz w:val="24"/>
              </w:rPr>
              <w:t>100,000</w:t>
            </w:r>
          </w:p>
        </w:tc>
        <w:tc>
          <w:tcPr>
            <w:tcW w:w="2126" w:type="dxa"/>
            <w:vAlign w:val="center"/>
          </w:tcPr>
          <w:p w:rsidR="003830E2" w:rsidRDefault="00ED5B50">
            <w:pPr>
              <w:jc w:val="right"/>
            </w:pPr>
            <w:r>
              <w:rPr>
                <w:color w:val="000000"/>
                <w:sz w:val="24"/>
              </w:rPr>
              <w:t>10,124,000.00</w:t>
            </w:r>
          </w:p>
        </w:tc>
        <w:tc>
          <w:tcPr>
            <w:tcW w:w="990" w:type="dxa"/>
            <w:vAlign w:val="center"/>
          </w:tcPr>
          <w:p w:rsidR="003830E2" w:rsidRDefault="00ED5B50">
            <w:pPr>
              <w:jc w:val="right"/>
            </w:pPr>
            <w:r>
              <w:rPr>
                <w:color w:val="000000"/>
                <w:sz w:val="24"/>
              </w:rPr>
              <w:t>6.55</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本基金本报告期没有投资股票，因此不存在投资的前十名股票超出基金合同规定的备选股票库情况。</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4,930.65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lastRenderedPageBreak/>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2,095,616.26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841,499.86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2,942,046.77</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易方达安源中短债债券</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易方达安源中短债债券</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50,862,656.94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90,290,012.71</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31,429,262.13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44,776,743.48</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41,852,206.24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22,837,778.31</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40,439,712.83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112,228,977.88</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8.1</w:t>
      </w:r>
      <w:r w:rsidRPr="00E8153C">
        <w:rPr>
          <w:color w:val="000000"/>
          <w:kern w:val="0"/>
          <w:sz w:val="24"/>
        </w:rPr>
        <w:t>备查文件目录</w:t>
      </w:r>
    </w:p>
    <w:p w:rsidR="003830E2" w:rsidRDefault="00ED5B50">
      <w:pPr>
        <w:spacing w:line="360" w:lineRule="auto"/>
        <w:ind w:firstLineChars="200" w:firstLine="480"/>
        <w:rPr>
          <w:color w:val="000000"/>
          <w:sz w:val="24"/>
        </w:rPr>
      </w:pPr>
      <w:r>
        <w:rPr>
          <w:color w:val="000000"/>
          <w:sz w:val="24"/>
        </w:rPr>
        <w:t>1.</w:t>
      </w:r>
      <w:r>
        <w:rPr>
          <w:color w:val="000000"/>
          <w:sz w:val="24"/>
        </w:rPr>
        <w:t>中国证监会准予易方达双月利理财债券型证券投资基金变更注册为易方达安源中短债债券型证券投资基金的文件；</w:t>
      </w:r>
    </w:p>
    <w:p w:rsidR="003830E2" w:rsidRDefault="00ED5B50">
      <w:pPr>
        <w:spacing w:line="360" w:lineRule="auto"/>
        <w:ind w:firstLineChars="200" w:firstLine="480"/>
        <w:rPr>
          <w:color w:val="000000"/>
          <w:sz w:val="24"/>
        </w:rPr>
      </w:pPr>
      <w:r>
        <w:rPr>
          <w:color w:val="000000"/>
          <w:sz w:val="24"/>
        </w:rPr>
        <w:t>2.</w:t>
      </w:r>
      <w:r>
        <w:rPr>
          <w:color w:val="000000"/>
          <w:sz w:val="24"/>
        </w:rPr>
        <w:t>《易方达双月利理财债券型证券投资基金基金份额持有人大会表决结果暨决议生效的公告》；</w:t>
      </w:r>
    </w:p>
    <w:p w:rsidR="003830E2" w:rsidRDefault="00ED5B50">
      <w:pPr>
        <w:spacing w:line="360" w:lineRule="auto"/>
        <w:ind w:firstLineChars="200" w:firstLine="480"/>
        <w:rPr>
          <w:color w:val="000000"/>
          <w:sz w:val="24"/>
        </w:rPr>
      </w:pPr>
      <w:r>
        <w:rPr>
          <w:color w:val="000000"/>
          <w:sz w:val="24"/>
        </w:rPr>
        <w:t>3.</w:t>
      </w:r>
      <w:r>
        <w:rPr>
          <w:color w:val="000000"/>
          <w:sz w:val="24"/>
        </w:rPr>
        <w:t>《易方达安源中短债债券型证券投资基金基金合同》；</w:t>
      </w:r>
    </w:p>
    <w:p w:rsidR="003830E2" w:rsidRDefault="00ED5B50">
      <w:pPr>
        <w:spacing w:line="360" w:lineRule="auto"/>
        <w:ind w:firstLineChars="200" w:firstLine="480"/>
        <w:rPr>
          <w:color w:val="000000"/>
          <w:sz w:val="24"/>
        </w:rPr>
      </w:pPr>
      <w:r>
        <w:rPr>
          <w:color w:val="000000"/>
          <w:sz w:val="24"/>
        </w:rPr>
        <w:t>4.</w:t>
      </w:r>
      <w:r>
        <w:rPr>
          <w:color w:val="000000"/>
          <w:sz w:val="24"/>
        </w:rPr>
        <w:t>《易方达安源中短债债券型证券投资基金托管协议》；</w:t>
      </w:r>
    </w:p>
    <w:p w:rsidR="003830E2" w:rsidRDefault="00ED5B50">
      <w:pPr>
        <w:spacing w:line="360" w:lineRule="auto"/>
        <w:ind w:firstLineChars="200" w:firstLine="480"/>
        <w:rPr>
          <w:color w:val="000000"/>
          <w:sz w:val="24"/>
        </w:rPr>
      </w:pPr>
      <w:r>
        <w:rPr>
          <w:color w:val="000000"/>
          <w:sz w:val="24"/>
        </w:rPr>
        <w:t>5.</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6.</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ED5B50">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ED5B50">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ED5B50">
      <w:rPr>
        <w:rStyle w:val="a7"/>
        <w:noProof/>
      </w:rPr>
      <w:t>13</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易方达安源中短债债券型证券投资基金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30E2"/>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5B50"/>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53628BB-400E-477D-B7D6-F7F52303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1037</Words>
  <Characters>5912</Characters>
  <Application>Microsoft Office Word</Application>
  <DocSecurity>0</DocSecurity>
  <Lines>49</Lines>
  <Paragraphs>13</Paragraphs>
  <ScaleCrop>false</ScaleCrop>
  <Company>TRT. Ltd. Co.</Company>
  <LinksUpToDate>false</LinksUpToDate>
  <CharactersWithSpaces>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2019-10-16T13:56:00Z</cp:lastPrinted>
  <dcterms:created xsi:type="dcterms:W3CDTF">2013-06-21T06:56:00Z</dcterms:created>
  <dcterms:modified xsi:type="dcterms:W3CDTF">2019-10-16T13:56:00Z</dcterms:modified>
</cp:coreProperties>
</file>